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wmf" ContentType="image/x-wmf"/>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7.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7.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8.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9.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0.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3.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4.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5.xml" ContentType="application/vnd.openxmlformats-officedocument.themeOverride+xml"/>
  <Override PartName="/word/charts/chart25.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6.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7.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8.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9.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0.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1.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2.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3.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4.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5.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6.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7.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8.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9.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40.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1.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2.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3.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4.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5.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6.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7.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8.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9.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50.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16.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xmlns:c="http://schemas.openxmlformats.org/drawingml/2006/chart" mc:Ignorable="w14 w15 w16se w16cid w16 w16cex w16sdtdh wp14">
  <w:body>
    <w:p w:rsidRPr="00F31A99" w:rsidR="00F31A99" w:rsidP="00F31A99" w:rsidRDefault="00F31A99" w14:paraId="02A83ABA" w14:textId="77777777">
      <w:pPr>
        <w:autoSpaceDN w:val="0"/>
        <w:spacing w:line="480" w:lineRule="auto"/>
        <w:jc w:val="center"/>
        <w:rPr>
          <w:rFonts w:ascii="Times New Roman" w:hAnsi="Times New Roman" w:eastAsia="Calibri" w:cs="Times New Roman"/>
          <w:b/>
          <w:bCs/>
          <w:sz w:val="28"/>
          <w:szCs w:val="28"/>
          <w:u w:val="single" w:color="000000"/>
        </w:rPr>
      </w:pPr>
      <w:r w:rsidRPr="00F31A99">
        <w:rPr>
          <w:rFonts w:ascii="Times New Roman" w:hAnsi="Times New Roman" w:eastAsia="Calibri" w:cs="Times New Roman"/>
          <w:b/>
          <w:bCs/>
          <w:sz w:val="28"/>
          <w:szCs w:val="28"/>
          <w:u w:val="single" w:color="000000"/>
        </w:rPr>
        <w:t>ACTA N° 30-2021</w:t>
      </w:r>
    </w:p>
    <w:p w:rsidRPr="00F31A99" w:rsidR="00F31A99" w:rsidP="00F31A99" w:rsidRDefault="00F31A99" w14:paraId="0AE19790" w14:textId="77777777">
      <w:pPr>
        <w:autoSpaceDN w:val="0"/>
        <w:spacing w:line="480" w:lineRule="auto"/>
        <w:ind w:firstLine="709"/>
        <w:jc w:val="both"/>
        <w:rPr>
          <w:rFonts w:ascii="Times New Roman" w:hAnsi="Times New Roman" w:eastAsia="Calibri" w:cs="Times New Roman"/>
          <w:sz w:val="28"/>
          <w:szCs w:val="28"/>
          <w:u w:color="000000"/>
        </w:rPr>
      </w:pPr>
      <w:r w:rsidRPr="00F31A99">
        <w:rPr>
          <w:rFonts w:ascii="Times New Roman" w:hAnsi="Times New Roman" w:eastAsia="Calibri" w:cs="Times New Roman"/>
          <w:b/>
          <w:bCs/>
          <w:sz w:val="28"/>
          <w:szCs w:val="28"/>
          <w:u w:val="single" w:color="000000"/>
        </w:rPr>
        <w:t>SESIÓN EXTRAORDINARIA DE CONSEJO SUPERIOR DEL PODER JUDICIAL</w:t>
      </w:r>
      <w:r w:rsidRPr="00F31A99">
        <w:rPr>
          <w:rFonts w:ascii="Times New Roman" w:hAnsi="Times New Roman" w:eastAsia="Calibri" w:cs="Times New Roman"/>
          <w:sz w:val="28"/>
          <w:szCs w:val="28"/>
          <w:u w:color="000000"/>
        </w:rPr>
        <w:t>. - San José, a las nueve horas treinta minutos del dieciséis de abril de dos mil veintiuno.</w:t>
      </w:r>
    </w:p>
    <w:p w:rsidRPr="00F31A99" w:rsidR="00F31A99" w:rsidP="00F31A99" w:rsidRDefault="00F31A99" w14:paraId="0B802651" w14:textId="77777777">
      <w:pPr>
        <w:autoSpaceDN w:val="0"/>
        <w:rPr>
          <w:rFonts w:ascii="Times New Roman" w:hAnsi="Times New Roman" w:eastAsia="Calibri" w:cs="Times New Roman"/>
          <w:u w:color="000000"/>
        </w:rPr>
      </w:pPr>
    </w:p>
    <w:p w:rsidRPr="00F31A99" w:rsidR="00F31A99" w:rsidP="00F31A99" w:rsidRDefault="00F31A99" w14:paraId="4E4AA1F8" w14:textId="4739CEDA">
      <w:pPr>
        <w:autoSpaceDN w:val="0"/>
        <w:spacing w:line="480" w:lineRule="auto"/>
        <w:ind w:firstLine="708"/>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 xml:space="preserve">En esta sesión extraordinaria de Presupuesto 2022 con asistencia del Magistrado Fernando Cruz Castro, Presidente, del Máster Carlos Montero Zúñiga, el Lic. Gary Amador Badilla, la licenciada Sandra Pizarro Gutiérrez y el Lic. Gary Bonilla Garro, además los representantes de los grupos gremiales Master Hugo Hernández Alfaro y Licda. Yerma Campos Calvo. Asiste también la Directora Ejecutiva, Máster Ana Eugenia Romero Jenkins, la Directora de Planificación, licenciada Nacira Valverde Bermúdez, el MSc. Erick Antonio Mora Leiva, Jefe del Proceso de Planeación y Evaluación y el Lic. Minor Alvarado Chaves, Jefe del Subproceso de Presupuesto y Portafolio de Proyectos, en calidad de asesores. </w:t>
      </w:r>
    </w:p>
    <w:p w:rsidRPr="00F31A99" w:rsidR="00F31A99" w:rsidP="00F31A99" w:rsidRDefault="00F31A99" w14:paraId="08640FD6" w14:textId="0FC16B12">
      <w:pPr>
        <w:keepNext/>
        <w:shd w:val="clear" w:color="auto" w:fill="FFFFFF"/>
        <w:autoSpaceDE w:val="0"/>
        <w:autoSpaceDN w:val="0"/>
        <w:jc w:val="center"/>
        <w:outlineLvl w:val="0"/>
        <w:rPr>
          <w:rFonts w:ascii="Times New Roman" w:hAnsi="Times New Roman" w:eastAsia="Times New Roman" w:cs="Times New Roman"/>
          <w:b/>
          <w:bCs/>
          <w:kern w:val="36"/>
          <w:sz w:val="28"/>
          <w:szCs w:val="28"/>
          <w:u w:val="single" w:color="000000"/>
          <w:lang w:eastAsia="es-ES"/>
        </w:rPr>
      </w:pPr>
      <w:r w:rsidRPr="00F31A99">
        <w:rPr>
          <w:rFonts w:ascii="Times New Roman" w:hAnsi="Times New Roman" w:eastAsia="Times New Roman" w:cs="Times New Roman"/>
          <w:b/>
          <w:bCs/>
          <w:kern w:val="36"/>
          <w:sz w:val="28"/>
          <w:szCs w:val="28"/>
          <w:u w:val="single" w:color="000000"/>
          <w:lang w:eastAsia="es-ES"/>
        </w:rPr>
        <w:t>ARTÍCULO I</w:t>
      </w:r>
    </w:p>
    <w:p w:rsidRPr="00F31A99" w:rsidR="00F31A99" w:rsidP="00F31A99" w:rsidRDefault="00F31A99" w14:paraId="01C037D9" w14:textId="77777777">
      <w:pPr>
        <w:autoSpaceDN w:val="0"/>
        <w:rPr>
          <w:rFonts w:ascii="Times New Roman" w:hAnsi="Times New Roman" w:eastAsia="Calibri" w:cs="Times New Roman"/>
          <w:b/>
          <w:bCs/>
          <w:sz w:val="24"/>
          <w:szCs w:val="24"/>
          <w:u w:color="000000"/>
        </w:rPr>
      </w:pPr>
    </w:p>
    <w:p w:rsidRPr="00F31A99" w:rsidR="00F31A99" w:rsidP="00F31A99" w:rsidRDefault="00F31A99" w14:paraId="08CDA6AB" w14:textId="77777777">
      <w:pPr>
        <w:autoSpaceDN w:val="0"/>
        <w:spacing w:line="480" w:lineRule="auto"/>
        <w:jc w:val="both"/>
        <w:rPr>
          <w:rFonts w:ascii="Times New Roman" w:hAnsi="Times New Roman" w:eastAsia="Times New Roman" w:cs="Times New Roman"/>
          <w:b/>
          <w:bCs/>
          <w:sz w:val="28"/>
          <w:szCs w:val="28"/>
          <w:u w:color="000000"/>
          <w:lang w:eastAsia="es-ES"/>
        </w:rPr>
      </w:pPr>
      <w:r w:rsidRPr="00F31A99">
        <w:rPr>
          <w:rFonts w:ascii="Times New Roman" w:hAnsi="Times New Roman" w:eastAsia="Times New Roman" w:cs="Times New Roman"/>
          <w:b/>
          <w:bCs/>
          <w:sz w:val="28"/>
          <w:szCs w:val="28"/>
          <w:u w:color="000000"/>
          <w:lang w:eastAsia="es-ES"/>
        </w:rPr>
        <w:t>Documento N° 3825-2021</w:t>
      </w:r>
    </w:p>
    <w:p w:rsidRPr="00F31A99" w:rsidR="00F31A99" w:rsidP="00F31A99" w:rsidRDefault="00F31A99" w14:paraId="547FB0BB" w14:textId="77777777">
      <w:pPr>
        <w:autoSpaceDN w:val="0"/>
        <w:spacing w:line="480" w:lineRule="auto"/>
        <w:ind w:firstLine="709"/>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 xml:space="preserve">En reunión de trabajo del pasado 24 de marzo, la Dirección de Gestión Humana indicó que mediante oficio PJ-DGH-CAP-075-2021, se remitió la </w:t>
      </w:r>
      <w:r w:rsidRPr="00F31A99">
        <w:rPr>
          <w:rFonts w:ascii="Times New Roman" w:hAnsi="Times New Roman" w:eastAsia="Calibri" w:cs="Times New Roman"/>
          <w:sz w:val="28"/>
          <w:szCs w:val="28"/>
          <w:u w:color="000000"/>
        </w:rPr>
        <w:lastRenderedPageBreak/>
        <w:t xml:space="preserve">proyección presupuestaria 2022 </w:t>
      </w:r>
      <w:r w:rsidRPr="00F31A99">
        <w:rPr>
          <w:rFonts w:ascii="Times New Roman" w:hAnsi="Times New Roman" w:eastAsia="Calibri" w:cs="Times New Roman"/>
          <w:b/>
          <w:bCs/>
          <w:sz w:val="28"/>
          <w:szCs w:val="28"/>
          <w:u w:color="000000"/>
        </w:rPr>
        <w:t>de permisos con goce de salario con sustitución para personal judicial becado, así como la proyección de becas que incluye los pagos parciales o totales de posgrados y ayudas económicas de actividades formativas</w:t>
      </w:r>
      <w:r w:rsidRPr="00F31A99">
        <w:rPr>
          <w:rFonts w:ascii="Times New Roman" w:hAnsi="Times New Roman" w:eastAsia="Calibri" w:cs="Times New Roman"/>
          <w:sz w:val="28"/>
          <w:szCs w:val="28"/>
          <w:u w:color="000000"/>
        </w:rPr>
        <w:t xml:space="preserve">. En dicho oficio se aclara que el anteproyecto presentado fue analizado y aprobado por el Consejo de Rectoría, según minuta de reunión N°01-EJ-2021 </w:t>
      </w:r>
      <w:r w:rsidRPr="00F31A99">
        <w:rPr>
          <w:rFonts w:ascii="Times New Roman" w:hAnsi="Times New Roman" w:eastAsia="Calibri" w:cs="Times New Roman"/>
          <w:i/>
          <w:iCs/>
          <w:sz w:val="28"/>
          <w:szCs w:val="28"/>
          <w:u w:color="000000"/>
          <w:lang w:eastAsia="es-CR"/>
        </w:rPr>
        <w:t xml:space="preserve">“Reunión de Rectoría, Escuela Judicial y las Unidades de Capacitación”, </w:t>
      </w:r>
      <w:r w:rsidRPr="00F31A99">
        <w:rPr>
          <w:rFonts w:ascii="Times New Roman" w:hAnsi="Times New Roman" w:eastAsia="Calibri" w:cs="Times New Roman"/>
          <w:sz w:val="28"/>
          <w:szCs w:val="28"/>
          <w:u w:color="000000"/>
          <w:lang w:eastAsia="es-CR"/>
        </w:rPr>
        <w:t xml:space="preserve">la cual se llevó a cabo el miércoles 17 de febrero de 2021, de 7:30 a.m. a 8:25 a.m. </w:t>
      </w:r>
      <w:r w:rsidRPr="00F31A99">
        <w:rPr>
          <w:rFonts w:ascii="Times New Roman" w:hAnsi="Times New Roman" w:eastAsia="Calibri" w:cs="Times New Roman"/>
          <w:sz w:val="28"/>
          <w:szCs w:val="28"/>
          <w:u w:color="000000"/>
        </w:rPr>
        <w:t>En dicho oficio, en la parte introductoria se indica lo siguiente:</w:t>
      </w:r>
    </w:p>
    <w:p w:rsidRPr="00F31A99" w:rsidR="00F31A99" w:rsidP="00F31A99" w:rsidRDefault="00F31A99" w14:paraId="41ABE221" w14:textId="77777777">
      <w:pPr>
        <w:shd w:val="clear" w:color="auto" w:fill="FFFFFF"/>
        <w:autoSpaceDN w:val="0"/>
        <w:ind w:left="851" w:right="851" w:firstLine="709"/>
        <w:jc w:val="both"/>
        <w:rPr>
          <w:rFonts w:ascii="Times New Roman" w:hAnsi="Times New Roman" w:eastAsia="Times New Roman" w:cs="Times New Roman"/>
          <w:i/>
          <w:iCs/>
          <w:sz w:val="26"/>
          <w:szCs w:val="26"/>
          <w:u w:color="000000"/>
          <w:lang w:eastAsia="es-CR"/>
        </w:rPr>
      </w:pPr>
      <w:r w:rsidRPr="00F31A99">
        <w:rPr>
          <w:rFonts w:ascii="Times New Roman" w:hAnsi="Times New Roman" w:eastAsia="Times New Roman" w:cs="Times New Roman"/>
          <w:i/>
          <w:iCs/>
          <w:sz w:val="26"/>
          <w:szCs w:val="26"/>
          <w:u w:color="000000"/>
          <w:lang w:eastAsia="es-ES"/>
        </w:rPr>
        <w:t xml:space="preserve">“Se remite </w:t>
      </w:r>
      <w:r w:rsidRPr="00F31A99">
        <w:rPr>
          <w:rFonts w:ascii="Times New Roman" w:hAnsi="Times New Roman" w:eastAsia="Times New Roman" w:cs="Times New Roman"/>
          <w:i/>
          <w:iCs/>
          <w:sz w:val="26"/>
          <w:szCs w:val="26"/>
          <w:u w:color="000000"/>
          <w:lang w:eastAsia="es-CR"/>
        </w:rPr>
        <w:t>la proyección presupuestaria de becas (pagos parciales o totales de posgrados y ayudas económicas de actividades formativas) y permisos con goce de salario con sustitución para personal judicial becado correspondientes al año 2022.</w:t>
      </w:r>
    </w:p>
    <w:p w:rsidRPr="00F31A99" w:rsidR="00F31A99" w:rsidP="00F31A99" w:rsidRDefault="00F31A99" w14:paraId="7A0EF0EA" w14:textId="77777777">
      <w:pPr>
        <w:shd w:val="clear" w:color="auto" w:fill="FFFFFF"/>
        <w:autoSpaceDN w:val="0"/>
        <w:ind w:left="851" w:right="851" w:firstLine="709"/>
        <w:jc w:val="both"/>
        <w:rPr>
          <w:rFonts w:ascii="Times New Roman" w:hAnsi="Times New Roman" w:eastAsia="Times New Roman" w:cs="Times New Roman"/>
          <w:i/>
          <w:iCs/>
          <w:sz w:val="26"/>
          <w:szCs w:val="26"/>
          <w:u w:color="000000"/>
          <w:lang w:eastAsia="es-CR"/>
        </w:rPr>
      </w:pPr>
    </w:p>
    <w:p w:rsidRPr="00F31A99" w:rsidR="00F31A99" w:rsidP="00F31A99" w:rsidRDefault="00F31A99" w14:paraId="2A3D348D" w14:textId="77777777">
      <w:pPr>
        <w:shd w:val="clear" w:color="auto" w:fill="FFFFFF"/>
        <w:autoSpaceDN w:val="0"/>
        <w:ind w:left="851" w:right="851" w:firstLine="709"/>
        <w:jc w:val="both"/>
        <w:rPr>
          <w:rFonts w:ascii="Times New Roman" w:hAnsi="Times New Roman" w:eastAsia="Times New Roman" w:cs="Times New Roman"/>
          <w:i/>
          <w:iCs/>
          <w:sz w:val="26"/>
          <w:szCs w:val="26"/>
          <w:u w:color="000000"/>
          <w:lang w:eastAsia="es-CR"/>
        </w:rPr>
      </w:pPr>
      <w:r w:rsidRPr="00F31A99">
        <w:rPr>
          <w:rFonts w:ascii="Times New Roman" w:hAnsi="Times New Roman" w:eastAsia="Times New Roman" w:cs="Times New Roman"/>
          <w:i/>
          <w:iCs/>
          <w:sz w:val="26"/>
          <w:szCs w:val="26"/>
          <w:u w:color="000000"/>
          <w:lang w:eastAsia="es-CR"/>
        </w:rPr>
        <w:t xml:space="preserve">Para lo cual, se consideró: </w:t>
      </w:r>
    </w:p>
    <w:p w:rsidRPr="00F31A99" w:rsidR="00F31A99" w:rsidP="00F31A99" w:rsidRDefault="00F31A99" w14:paraId="0915BC4C" w14:textId="77777777">
      <w:pPr>
        <w:shd w:val="clear" w:color="auto" w:fill="FFFFFF"/>
        <w:autoSpaceDN w:val="0"/>
        <w:ind w:left="851" w:right="851" w:firstLine="709"/>
        <w:jc w:val="both"/>
        <w:rPr>
          <w:rFonts w:ascii="Times New Roman" w:hAnsi="Times New Roman" w:eastAsia="Times New Roman" w:cs="Times New Roman"/>
          <w:i/>
          <w:iCs/>
          <w:sz w:val="26"/>
          <w:szCs w:val="26"/>
          <w:u w:color="000000"/>
          <w:lang w:eastAsia="es-CR"/>
        </w:rPr>
      </w:pPr>
    </w:p>
    <w:p w:rsidRPr="00F31A99" w:rsidR="00F31A99" w:rsidP="00F31A99" w:rsidRDefault="00F31A99" w14:paraId="21E5767E" w14:textId="77777777">
      <w:pPr>
        <w:numPr>
          <w:ilvl w:val="0"/>
          <w:numId w:val="146"/>
        </w:numPr>
        <w:shd w:val="clear" w:color="auto" w:fill="FFFFFF"/>
        <w:autoSpaceDN w:val="0"/>
        <w:ind w:left="851" w:right="851" w:firstLine="709"/>
        <w:jc w:val="both"/>
        <w:rPr>
          <w:rFonts w:ascii="Times New Roman" w:hAnsi="Times New Roman" w:eastAsia="Times New Roman" w:cs="Times New Roman"/>
          <w:i/>
          <w:iCs/>
          <w:sz w:val="26"/>
          <w:szCs w:val="26"/>
          <w:u w:color="000000"/>
          <w:lang w:eastAsia="es-ES"/>
        </w:rPr>
      </w:pPr>
      <w:r w:rsidRPr="00F31A99">
        <w:rPr>
          <w:rFonts w:ascii="Times New Roman" w:hAnsi="Times New Roman" w:eastAsia="Times New Roman" w:cs="Times New Roman"/>
          <w:i/>
          <w:iCs/>
          <w:sz w:val="26"/>
          <w:szCs w:val="26"/>
          <w:u w:color="000000"/>
          <w:lang w:eastAsia="es-ES"/>
        </w:rPr>
        <w:t>El procedimiento aprobado por la Dirección de Planificación en el oficio 1169-PLA-2018.</w:t>
      </w:r>
    </w:p>
    <w:p w:rsidRPr="00F31A99" w:rsidR="00F31A99" w:rsidP="00F31A99" w:rsidRDefault="00F31A99" w14:paraId="7AFF932A" w14:textId="77777777">
      <w:pPr>
        <w:shd w:val="clear" w:color="auto" w:fill="FFFFFF"/>
        <w:autoSpaceDN w:val="0"/>
        <w:ind w:left="851" w:right="851" w:firstLine="709"/>
        <w:jc w:val="both"/>
        <w:rPr>
          <w:rFonts w:ascii="Times New Roman" w:hAnsi="Times New Roman" w:eastAsia="Times New Roman" w:cs="Times New Roman"/>
          <w:i/>
          <w:iCs/>
          <w:sz w:val="26"/>
          <w:szCs w:val="26"/>
          <w:u w:color="000000"/>
          <w:lang w:eastAsia="es-ES"/>
        </w:rPr>
      </w:pPr>
    </w:p>
    <w:p w:rsidRPr="00F31A99" w:rsidR="00F31A99" w:rsidP="00F31A99" w:rsidRDefault="00F31A99" w14:paraId="39BDB8D4" w14:textId="77777777">
      <w:pPr>
        <w:numPr>
          <w:ilvl w:val="0"/>
          <w:numId w:val="146"/>
        </w:numPr>
        <w:shd w:val="clear" w:color="auto" w:fill="FFFFFF"/>
        <w:autoSpaceDN w:val="0"/>
        <w:ind w:left="851" w:right="851" w:firstLine="709"/>
        <w:jc w:val="both"/>
        <w:rPr>
          <w:rFonts w:ascii="Times New Roman" w:hAnsi="Times New Roman" w:eastAsia="Times New Roman" w:cs="Times New Roman"/>
          <w:i/>
          <w:iCs/>
          <w:sz w:val="26"/>
          <w:szCs w:val="26"/>
          <w:u w:color="000000"/>
          <w:lang w:eastAsia="es-ES"/>
        </w:rPr>
      </w:pPr>
      <w:r w:rsidRPr="00F31A99">
        <w:rPr>
          <w:rFonts w:ascii="Times New Roman" w:hAnsi="Times New Roman" w:eastAsia="Times New Roman" w:cs="Times New Roman"/>
          <w:i/>
          <w:iCs/>
          <w:sz w:val="26"/>
          <w:szCs w:val="26"/>
          <w:u w:color="000000"/>
          <w:lang w:eastAsia="es-ES"/>
        </w:rPr>
        <w:t xml:space="preserve">Las medidas para la contención del gasto en el Poder Judicial aprobadas por Corte Plena en sesión No. 27-2017, celebrada el 21 de agosto de 2017, artículo XVI. </w:t>
      </w:r>
    </w:p>
    <w:p w:rsidRPr="00F31A99" w:rsidR="00F31A99" w:rsidP="00F31A99" w:rsidRDefault="00F31A99" w14:paraId="3E687F8C" w14:textId="77777777">
      <w:pPr>
        <w:shd w:val="clear" w:color="auto" w:fill="FFFFFF"/>
        <w:autoSpaceDN w:val="0"/>
        <w:ind w:left="851" w:right="851" w:firstLine="709"/>
        <w:jc w:val="both"/>
        <w:rPr>
          <w:rFonts w:ascii="Times New Roman" w:hAnsi="Times New Roman" w:eastAsia="Times New Roman" w:cs="Times New Roman"/>
          <w:i/>
          <w:iCs/>
          <w:sz w:val="26"/>
          <w:szCs w:val="26"/>
          <w:u w:color="000000"/>
          <w:lang w:eastAsia="es-ES"/>
        </w:rPr>
      </w:pPr>
    </w:p>
    <w:p w:rsidRPr="00F31A99" w:rsidR="00F31A99" w:rsidP="00F31A99" w:rsidRDefault="00F31A99" w14:paraId="49F1F23A" w14:textId="77777777">
      <w:pPr>
        <w:numPr>
          <w:ilvl w:val="0"/>
          <w:numId w:val="146"/>
        </w:numPr>
        <w:shd w:val="clear" w:color="auto" w:fill="FFFFFF"/>
        <w:autoSpaceDN w:val="0"/>
        <w:ind w:left="851" w:right="851" w:firstLine="709"/>
        <w:jc w:val="both"/>
        <w:rPr>
          <w:rFonts w:ascii="Times New Roman" w:hAnsi="Times New Roman" w:eastAsia="Times New Roman" w:cs="Times New Roman"/>
          <w:i/>
          <w:iCs/>
          <w:sz w:val="26"/>
          <w:szCs w:val="26"/>
          <w:u w:color="000000"/>
          <w:lang w:eastAsia="es-ES"/>
        </w:rPr>
      </w:pPr>
      <w:r w:rsidRPr="00F31A99">
        <w:rPr>
          <w:rFonts w:ascii="Times New Roman" w:hAnsi="Times New Roman" w:eastAsia="Times New Roman" w:cs="Times New Roman"/>
          <w:i/>
          <w:iCs/>
          <w:sz w:val="26"/>
          <w:szCs w:val="26"/>
          <w:u w:color="000000"/>
          <w:lang w:eastAsia="es-ES"/>
        </w:rPr>
        <w:t xml:space="preserve">Las directrices </w:t>
      </w:r>
      <w:bookmarkStart w:name="_Hlk63252668" w:id="0"/>
      <w:r w:rsidRPr="00F31A99">
        <w:rPr>
          <w:rFonts w:ascii="Times New Roman" w:hAnsi="Times New Roman" w:eastAsia="Times New Roman" w:cs="Times New Roman"/>
          <w:i/>
          <w:iCs/>
          <w:sz w:val="26"/>
          <w:szCs w:val="26"/>
          <w:u w:color="000000"/>
          <w:lang w:eastAsia="es-ES"/>
        </w:rPr>
        <w:t>técnicas para guiar el proceso de formulación 2022</w:t>
      </w:r>
      <w:bookmarkEnd w:id="0"/>
      <w:r w:rsidRPr="00F31A99">
        <w:rPr>
          <w:rFonts w:ascii="Times New Roman" w:hAnsi="Times New Roman" w:eastAsia="Times New Roman" w:cs="Times New Roman"/>
          <w:i/>
          <w:iCs/>
          <w:sz w:val="26"/>
          <w:szCs w:val="26"/>
          <w:u w:color="000000"/>
          <w:lang w:eastAsia="es-ES"/>
        </w:rPr>
        <w:t>, según oficio 1964-PP-2020.</w:t>
      </w:r>
    </w:p>
    <w:p w:rsidRPr="00F31A99" w:rsidR="00F31A99" w:rsidP="00F31A99" w:rsidRDefault="00F31A99" w14:paraId="61E68923" w14:textId="77777777">
      <w:pPr>
        <w:shd w:val="clear" w:color="auto" w:fill="FFFFFF"/>
        <w:autoSpaceDN w:val="0"/>
        <w:ind w:left="851" w:right="851" w:firstLine="709"/>
        <w:jc w:val="both"/>
        <w:rPr>
          <w:rFonts w:ascii="Times New Roman" w:hAnsi="Times New Roman" w:eastAsia="Times New Roman" w:cs="Times New Roman"/>
          <w:i/>
          <w:iCs/>
          <w:sz w:val="26"/>
          <w:szCs w:val="26"/>
          <w:u w:color="000000"/>
          <w:lang w:eastAsia="es-ES"/>
        </w:rPr>
      </w:pPr>
    </w:p>
    <w:p w:rsidRPr="00F31A99" w:rsidR="00F31A99" w:rsidP="00F31A99" w:rsidRDefault="00F31A99" w14:paraId="6427FD66" w14:textId="77777777">
      <w:pPr>
        <w:numPr>
          <w:ilvl w:val="0"/>
          <w:numId w:val="146"/>
        </w:numPr>
        <w:shd w:val="clear" w:color="auto" w:fill="FFFFFF"/>
        <w:autoSpaceDN w:val="0"/>
        <w:ind w:left="851" w:right="851" w:firstLine="709"/>
        <w:jc w:val="both"/>
        <w:rPr>
          <w:rFonts w:ascii="Times New Roman" w:hAnsi="Times New Roman" w:eastAsia="Times New Roman" w:cs="Times New Roman"/>
          <w:i/>
          <w:iCs/>
          <w:sz w:val="26"/>
          <w:szCs w:val="26"/>
          <w:u w:color="000000"/>
          <w:lang w:eastAsia="es-ES"/>
        </w:rPr>
      </w:pPr>
      <w:r w:rsidRPr="00F31A99">
        <w:rPr>
          <w:rFonts w:ascii="Times New Roman" w:hAnsi="Times New Roman" w:eastAsia="Times New Roman" w:cs="Times New Roman"/>
          <w:i/>
          <w:iCs/>
          <w:sz w:val="26"/>
          <w:szCs w:val="26"/>
          <w:u w:color="000000"/>
          <w:lang w:eastAsia="es-ES"/>
        </w:rPr>
        <w:t xml:space="preserve">El límite presupuestario a formular para el año 2022, según oficio </w:t>
      </w:r>
      <w:bookmarkStart w:name="_Hlk63253637" w:id="1"/>
      <w:r w:rsidRPr="00F31A99">
        <w:rPr>
          <w:rFonts w:ascii="Times New Roman" w:hAnsi="Times New Roman" w:eastAsia="Times New Roman" w:cs="Times New Roman"/>
          <w:i/>
          <w:iCs/>
          <w:sz w:val="26"/>
          <w:szCs w:val="26"/>
          <w:u w:color="000000"/>
          <w:lang w:eastAsia="es-ES"/>
        </w:rPr>
        <w:t>90-TR-2021.</w:t>
      </w:r>
    </w:p>
    <w:bookmarkEnd w:id="1"/>
    <w:p w:rsidRPr="00F31A99" w:rsidR="00F31A99" w:rsidP="00F31A99" w:rsidRDefault="00F31A99" w14:paraId="6D310B4B" w14:textId="77777777">
      <w:pPr>
        <w:shd w:val="clear" w:color="auto" w:fill="FFFFFF"/>
        <w:autoSpaceDN w:val="0"/>
        <w:ind w:left="851" w:right="851" w:firstLine="709"/>
        <w:jc w:val="both"/>
        <w:rPr>
          <w:rFonts w:ascii="Times New Roman" w:hAnsi="Times New Roman" w:eastAsia="Times New Roman" w:cs="Times New Roman"/>
          <w:i/>
          <w:iCs/>
          <w:sz w:val="26"/>
          <w:szCs w:val="26"/>
          <w:u w:color="000000"/>
          <w:lang w:eastAsia="es-CR"/>
        </w:rPr>
      </w:pPr>
    </w:p>
    <w:p w:rsidRPr="00F31A99" w:rsidR="00F31A99" w:rsidP="00F31A99" w:rsidRDefault="00F31A99" w14:paraId="0D8B22E7" w14:textId="77777777">
      <w:pPr>
        <w:numPr>
          <w:ilvl w:val="0"/>
          <w:numId w:val="146"/>
        </w:numPr>
        <w:shd w:val="clear" w:color="auto" w:fill="FFFFFF"/>
        <w:autoSpaceDN w:val="0"/>
        <w:ind w:left="851" w:right="851" w:firstLine="709"/>
        <w:jc w:val="both"/>
        <w:rPr>
          <w:rFonts w:ascii="Times New Roman" w:hAnsi="Times New Roman" w:eastAsia="Times New Roman" w:cs="Times New Roman"/>
          <w:i/>
          <w:iCs/>
          <w:sz w:val="26"/>
          <w:szCs w:val="26"/>
          <w:u w:color="000000"/>
          <w:lang w:eastAsia="es-CR"/>
        </w:rPr>
      </w:pPr>
      <w:r w:rsidRPr="00F31A99">
        <w:rPr>
          <w:rFonts w:ascii="Times New Roman" w:hAnsi="Times New Roman" w:eastAsia="Times New Roman" w:cs="Times New Roman"/>
          <w:i/>
          <w:iCs/>
          <w:sz w:val="26"/>
          <w:szCs w:val="26"/>
          <w:u w:color="000000"/>
          <w:lang w:eastAsia="es-ES"/>
        </w:rPr>
        <w:lastRenderedPageBreak/>
        <w:t>Los informes de resultados obtenidos de los Diagnósticos de Necesidades de Capacitación realizados por la Escuela Judicial y las diferentes Unidades de Capacitación.</w:t>
      </w:r>
    </w:p>
    <w:p w:rsidRPr="00F31A99" w:rsidR="00F31A99" w:rsidP="00F31A99" w:rsidRDefault="00F31A99" w14:paraId="2DC6A5B3" w14:textId="77777777">
      <w:pPr>
        <w:shd w:val="clear" w:color="auto" w:fill="FFFFFF"/>
        <w:autoSpaceDN w:val="0"/>
        <w:ind w:left="851" w:right="851" w:firstLine="709"/>
        <w:jc w:val="both"/>
        <w:rPr>
          <w:rFonts w:ascii="Times New Roman" w:hAnsi="Times New Roman" w:eastAsia="Times New Roman" w:cs="Times New Roman"/>
          <w:i/>
          <w:iCs/>
          <w:sz w:val="26"/>
          <w:szCs w:val="26"/>
          <w:u w:color="000000"/>
          <w:lang w:eastAsia="es-CR"/>
        </w:rPr>
      </w:pPr>
    </w:p>
    <w:p w:rsidRPr="00F31A99" w:rsidR="00F31A99" w:rsidP="00F31A99" w:rsidRDefault="00F31A99" w14:paraId="38CF9D31" w14:textId="77777777">
      <w:pPr>
        <w:numPr>
          <w:ilvl w:val="0"/>
          <w:numId w:val="146"/>
        </w:numPr>
        <w:shd w:val="clear" w:color="auto" w:fill="FFFFFF"/>
        <w:autoSpaceDN w:val="0"/>
        <w:ind w:left="851" w:right="851" w:firstLine="709"/>
        <w:jc w:val="both"/>
        <w:rPr>
          <w:rFonts w:ascii="Times New Roman" w:hAnsi="Times New Roman" w:eastAsia="Times New Roman" w:cs="Times New Roman"/>
          <w:i/>
          <w:iCs/>
          <w:sz w:val="26"/>
          <w:szCs w:val="26"/>
          <w:u w:color="000000"/>
          <w:lang w:eastAsia="es-CR"/>
        </w:rPr>
      </w:pPr>
      <w:r w:rsidRPr="00F31A99">
        <w:rPr>
          <w:rFonts w:ascii="Times New Roman" w:hAnsi="Times New Roman" w:eastAsia="Times New Roman" w:cs="Times New Roman"/>
          <w:i/>
          <w:iCs/>
          <w:sz w:val="26"/>
          <w:szCs w:val="26"/>
          <w:u w:color="000000"/>
          <w:lang w:eastAsia="es-ES"/>
        </w:rPr>
        <w:t xml:space="preserve">La formulación presupuestaria para las becas que se proyectaron por las diferentes Unidades de Capacitación y Escuela Judicial en atención a las necesidades detectadas. </w:t>
      </w:r>
    </w:p>
    <w:p w:rsidRPr="00F31A99" w:rsidR="00F31A99" w:rsidP="00F31A99" w:rsidRDefault="00F31A99" w14:paraId="0FCE407D" w14:textId="77777777">
      <w:pPr>
        <w:shd w:val="clear" w:color="auto" w:fill="FFFFFF"/>
        <w:autoSpaceDN w:val="0"/>
        <w:ind w:left="851" w:right="851" w:firstLine="709"/>
        <w:jc w:val="both"/>
        <w:rPr>
          <w:rFonts w:ascii="Times New Roman" w:hAnsi="Times New Roman" w:eastAsia="Times New Roman" w:cs="Times New Roman"/>
          <w:i/>
          <w:iCs/>
          <w:sz w:val="26"/>
          <w:szCs w:val="26"/>
          <w:u w:color="000000"/>
          <w:lang w:eastAsia="es-CR"/>
        </w:rPr>
      </w:pPr>
    </w:p>
    <w:p w:rsidRPr="00F31A99" w:rsidR="00F31A99" w:rsidP="00F31A99" w:rsidRDefault="00F31A99" w14:paraId="768CAD29" w14:textId="77777777">
      <w:pPr>
        <w:numPr>
          <w:ilvl w:val="0"/>
          <w:numId w:val="146"/>
        </w:numPr>
        <w:shd w:val="clear" w:color="auto" w:fill="FFFFFF"/>
        <w:autoSpaceDN w:val="0"/>
        <w:ind w:left="851" w:right="851" w:firstLine="709"/>
        <w:jc w:val="both"/>
        <w:rPr>
          <w:rFonts w:ascii="Times New Roman" w:hAnsi="Times New Roman" w:eastAsia="Times New Roman" w:cs="Times New Roman"/>
          <w:i/>
          <w:iCs/>
          <w:sz w:val="26"/>
          <w:szCs w:val="26"/>
          <w:u w:color="000000"/>
          <w:lang w:eastAsia="es-CR"/>
        </w:rPr>
      </w:pPr>
      <w:r w:rsidRPr="00F31A99">
        <w:rPr>
          <w:rFonts w:ascii="Times New Roman" w:hAnsi="Times New Roman" w:eastAsia="Times New Roman" w:cs="Times New Roman"/>
          <w:i/>
          <w:iCs/>
          <w:sz w:val="26"/>
          <w:szCs w:val="26"/>
          <w:u w:color="000000"/>
          <w:lang w:eastAsia="es-ES"/>
        </w:rPr>
        <w:t xml:space="preserve">La estimación del tipo de cambio del dólar autorizado para el 2022, siendo este </w:t>
      </w:r>
      <w:r w:rsidRPr="00F31A99">
        <w:rPr>
          <w:rFonts w:ascii="Times New Roman" w:hAnsi="Times New Roman" w:eastAsia="Times New Roman" w:cs="Times New Roman"/>
          <w:b/>
          <w:bCs/>
          <w:i/>
          <w:iCs/>
          <w:sz w:val="26"/>
          <w:szCs w:val="26"/>
          <w:u w:color="000000"/>
          <w:lang w:eastAsia="es-CR"/>
        </w:rPr>
        <w:t xml:space="preserve">¢650,69, </w:t>
      </w:r>
      <w:r w:rsidRPr="00F31A99">
        <w:rPr>
          <w:rFonts w:ascii="Times New Roman" w:hAnsi="Times New Roman" w:eastAsia="Times New Roman" w:cs="Times New Roman"/>
          <w:i/>
          <w:iCs/>
          <w:sz w:val="26"/>
          <w:szCs w:val="26"/>
          <w:u w:color="000000"/>
          <w:lang w:eastAsia="es-CR"/>
        </w:rPr>
        <w:t>brindado por la MBA. Rita Castro Abarca, Administradora Pública de la Unidad de Presupuesto.</w:t>
      </w:r>
    </w:p>
    <w:p w:rsidRPr="00F31A99" w:rsidR="00F31A99" w:rsidP="00F31A99" w:rsidRDefault="00F31A99" w14:paraId="0DDBEF1D" w14:textId="77777777">
      <w:pPr>
        <w:shd w:val="clear" w:color="auto" w:fill="FFFFFF"/>
        <w:autoSpaceDN w:val="0"/>
        <w:ind w:left="851" w:right="851" w:firstLine="709"/>
        <w:jc w:val="both"/>
        <w:rPr>
          <w:rFonts w:ascii="Times New Roman" w:hAnsi="Times New Roman" w:eastAsia="Times New Roman" w:cs="Times New Roman"/>
          <w:i/>
          <w:iCs/>
          <w:sz w:val="26"/>
          <w:szCs w:val="26"/>
          <w:u w:color="000000"/>
          <w:lang w:eastAsia="es-CR"/>
        </w:rPr>
      </w:pPr>
    </w:p>
    <w:p w:rsidRPr="00F31A99" w:rsidR="00F31A99" w:rsidP="00F31A99" w:rsidRDefault="00F31A99" w14:paraId="4970F0B2" w14:textId="77777777">
      <w:pPr>
        <w:numPr>
          <w:ilvl w:val="0"/>
          <w:numId w:val="146"/>
        </w:numPr>
        <w:shd w:val="clear" w:color="auto" w:fill="FFFFFF"/>
        <w:autoSpaceDN w:val="0"/>
        <w:ind w:left="851" w:right="851" w:firstLine="709"/>
        <w:jc w:val="both"/>
        <w:rPr>
          <w:rFonts w:ascii="Times New Roman" w:hAnsi="Times New Roman" w:eastAsia="Times New Roman" w:cs="Times New Roman"/>
          <w:i/>
          <w:iCs/>
          <w:sz w:val="26"/>
          <w:szCs w:val="26"/>
          <w:u w:color="000000"/>
          <w:lang w:eastAsia="es-CR"/>
        </w:rPr>
      </w:pPr>
      <w:r w:rsidRPr="00F31A99">
        <w:rPr>
          <w:rFonts w:ascii="Times New Roman" w:hAnsi="Times New Roman" w:eastAsia="Times New Roman" w:cs="Times New Roman"/>
          <w:i/>
          <w:iCs/>
          <w:sz w:val="26"/>
          <w:szCs w:val="26"/>
          <w:u w:color="000000"/>
          <w:lang w:eastAsia="es-CR"/>
        </w:rPr>
        <w:t xml:space="preserve">La estimación del tipo de cambio del euro </w:t>
      </w:r>
      <w:r w:rsidRPr="00F31A99">
        <w:rPr>
          <w:rFonts w:ascii="Times New Roman" w:hAnsi="Times New Roman" w:eastAsia="Times New Roman" w:cs="Times New Roman"/>
          <w:i/>
          <w:iCs/>
          <w:sz w:val="26"/>
          <w:szCs w:val="26"/>
          <w:u w:color="000000"/>
          <w:lang w:eastAsia="es-ES"/>
        </w:rPr>
        <w:t>autorizado</w:t>
      </w:r>
      <w:r w:rsidRPr="00F31A99">
        <w:rPr>
          <w:rFonts w:ascii="Times New Roman" w:hAnsi="Times New Roman" w:eastAsia="Times New Roman" w:cs="Times New Roman"/>
          <w:i/>
          <w:iCs/>
          <w:sz w:val="26"/>
          <w:szCs w:val="26"/>
          <w:u w:color="000000"/>
          <w:lang w:eastAsia="es-CR"/>
        </w:rPr>
        <w:t xml:space="preserve"> para el 2022, siendo este </w:t>
      </w:r>
      <w:r w:rsidRPr="00F31A99">
        <w:rPr>
          <w:rFonts w:ascii="Times New Roman" w:hAnsi="Times New Roman" w:eastAsia="Times New Roman" w:cs="Times New Roman"/>
          <w:b/>
          <w:bCs/>
          <w:i/>
          <w:iCs/>
          <w:sz w:val="26"/>
          <w:szCs w:val="26"/>
          <w:u w:color="000000"/>
          <w:lang w:eastAsia="es-CR"/>
        </w:rPr>
        <w:t>¢769,46</w:t>
      </w:r>
      <w:r w:rsidRPr="00F31A99">
        <w:rPr>
          <w:rFonts w:ascii="Times New Roman" w:hAnsi="Times New Roman" w:eastAsia="Times New Roman" w:cs="Times New Roman"/>
          <w:i/>
          <w:iCs/>
          <w:sz w:val="26"/>
          <w:szCs w:val="26"/>
          <w:u w:color="000000"/>
          <w:lang w:eastAsia="es-CR"/>
        </w:rPr>
        <w:t>, brindado por el MBA. José Andrés Lizano Vargas, Jefe del Proceso de Riesgos de Financiero Contable.</w:t>
      </w:r>
    </w:p>
    <w:p w:rsidRPr="00F31A99" w:rsidR="00F31A99" w:rsidP="00F31A99" w:rsidRDefault="00F31A99" w14:paraId="0CCEA93F" w14:textId="77777777">
      <w:pPr>
        <w:shd w:val="clear" w:color="auto" w:fill="FFFFFF"/>
        <w:autoSpaceDN w:val="0"/>
        <w:ind w:left="851" w:right="851" w:firstLine="709"/>
        <w:jc w:val="both"/>
        <w:rPr>
          <w:rFonts w:ascii="Times New Roman" w:hAnsi="Times New Roman" w:eastAsia="Times New Roman" w:cs="Times New Roman"/>
          <w:i/>
          <w:iCs/>
          <w:sz w:val="26"/>
          <w:szCs w:val="26"/>
          <w:u w:color="000000"/>
          <w:lang w:eastAsia="es-CR"/>
        </w:rPr>
      </w:pPr>
    </w:p>
    <w:p w:rsidRPr="00F31A99" w:rsidR="00F31A99" w:rsidP="00F31A99" w:rsidRDefault="00F31A99" w14:paraId="6F3F7B6C" w14:textId="77777777">
      <w:pPr>
        <w:numPr>
          <w:ilvl w:val="0"/>
          <w:numId w:val="146"/>
        </w:numPr>
        <w:shd w:val="clear" w:color="auto" w:fill="FFFFFF"/>
        <w:autoSpaceDN w:val="0"/>
        <w:ind w:left="851" w:right="851" w:firstLine="709"/>
        <w:jc w:val="both"/>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i/>
          <w:iCs/>
          <w:sz w:val="26"/>
          <w:szCs w:val="26"/>
          <w:u w:color="000000"/>
          <w:lang w:eastAsia="es-CR"/>
        </w:rPr>
        <w:t xml:space="preserve">El cálculo de los salarios se fundamenta en la información proporcionada por la Unidad de Presupuesto y Estudios Especiales de la Dirección de Gestión Humana”. </w:t>
      </w:r>
    </w:p>
    <w:p w:rsidRPr="00F31A99" w:rsidR="00F31A99" w:rsidP="00F31A99" w:rsidRDefault="00F31A99" w14:paraId="716EDE82" w14:textId="77777777">
      <w:pPr>
        <w:autoSpaceDN w:val="0"/>
        <w:ind w:left="851" w:right="851" w:firstLine="709"/>
        <w:jc w:val="both"/>
        <w:rPr>
          <w:rFonts w:ascii="Times New Roman" w:hAnsi="Times New Roman" w:eastAsia="Calibri" w:cs="Times New Roman"/>
          <w:i/>
          <w:iCs/>
          <w:sz w:val="26"/>
          <w:szCs w:val="26"/>
          <w:u w:color="000000"/>
          <w:lang w:eastAsia="es-CR"/>
        </w:rPr>
      </w:pPr>
    </w:p>
    <w:p w:rsidRPr="00F31A99" w:rsidR="00F31A99" w:rsidP="00F31A99" w:rsidRDefault="00F31A99" w14:paraId="455B203B"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Antes de entrar al detalle de lo solicitado, se presenta un resumen de los movimientos que tuvo este presupuesto para el 2021, que incluye rebajos aplicados a nivel del Ministerio de Hacienda y de la Asamblea Legislativa.</w:t>
      </w:r>
    </w:p>
    <w:p w:rsidRPr="00F31A99" w:rsidR="00F31A99" w:rsidP="00F31A99" w:rsidRDefault="00F31A99" w14:paraId="53F04CC7" w14:textId="77777777">
      <w:pPr>
        <w:autoSpaceDN w:val="0"/>
        <w:jc w:val="center"/>
        <w:rPr>
          <w:rFonts w:ascii="Times New Roman" w:hAnsi="Times New Roman" w:eastAsia="Calibri" w:cs="Times New Roman"/>
          <w:u w:color="000000"/>
        </w:rPr>
      </w:pPr>
      <w:r w:rsidRPr="00F31A99">
        <w:rPr>
          <w:rFonts w:ascii="Times New Roman" w:hAnsi="Times New Roman" w:eastAsia="Calibri" w:cs="Times New Roman"/>
          <w:noProof/>
          <w:u w:color="000000"/>
        </w:rPr>
        <w:drawing>
          <wp:inline distT="0" distB="0" distL="0" distR="0" wp14:anchorId="1B879D57" wp14:editId="3CABCEA0">
            <wp:extent cx="5760720" cy="286067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2860675"/>
                    </a:xfrm>
                    <a:prstGeom prst="rect">
                      <a:avLst/>
                    </a:prstGeom>
                    <a:noFill/>
                    <a:ln>
                      <a:noFill/>
                    </a:ln>
                  </pic:spPr>
                </pic:pic>
              </a:graphicData>
            </a:graphic>
          </wp:inline>
        </w:drawing>
      </w:r>
    </w:p>
    <w:p w:rsidRPr="00F31A99" w:rsidR="00F31A99" w:rsidP="00F31A99" w:rsidRDefault="00F31A99" w14:paraId="44BE43DC" w14:textId="77777777">
      <w:pPr>
        <w:autoSpaceDN w:val="0"/>
        <w:ind w:left="851" w:right="851" w:firstLine="709"/>
        <w:jc w:val="both"/>
        <w:rPr>
          <w:rFonts w:ascii="Times New Roman" w:hAnsi="Times New Roman" w:eastAsia="Calibri" w:cs="Times New Roman"/>
          <w:u w:color="000000"/>
        </w:rPr>
      </w:pPr>
    </w:p>
    <w:p w:rsidRPr="00F31A99" w:rsidR="00F31A99" w:rsidP="00F31A99" w:rsidRDefault="00F31A99" w14:paraId="523E3965" w14:textId="77777777">
      <w:pPr>
        <w:autoSpaceDN w:val="0"/>
        <w:ind w:left="851" w:right="851" w:firstLine="709"/>
        <w:jc w:val="both"/>
        <w:rPr>
          <w:rFonts w:ascii="Times New Roman" w:hAnsi="Times New Roman" w:eastAsia="Calibri" w:cs="Times New Roman"/>
          <w:u w:color="000000"/>
        </w:rPr>
      </w:pPr>
    </w:p>
    <w:p w:rsidRPr="00F31A99" w:rsidR="00F31A99" w:rsidP="00F31A99" w:rsidRDefault="00F31A99" w14:paraId="382CB5CD"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Como aspectos relevantes y según se extraen del oficio, se tienen los siguientes: </w:t>
      </w:r>
    </w:p>
    <w:p w:rsidRPr="00F31A99" w:rsidR="00F31A99" w:rsidP="00F31A99" w:rsidRDefault="00F31A99" w14:paraId="264758B5" w14:textId="77777777">
      <w:pPr>
        <w:numPr>
          <w:ilvl w:val="0"/>
          <w:numId w:val="147"/>
        </w:numPr>
        <w:shd w:val="clear" w:color="auto" w:fill="FFFFFF"/>
        <w:autoSpaceDN w:val="0"/>
        <w:ind w:left="851" w:right="851" w:firstLine="709"/>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Se procedió a aplicar lo establecido en el inciso “b” de la directriz N°81, que señala: “… </w:t>
      </w:r>
      <w:r w:rsidRPr="00F31A99">
        <w:rPr>
          <w:rFonts w:ascii="Times New Roman" w:hAnsi="Times New Roman" w:eastAsia="Times New Roman" w:cs="Times New Roman"/>
          <w:i/>
          <w:iCs/>
          <w:sz w:val="26"/>
          <w:szCs w:val="26"/>
          <w:u w:color="000000"/>
          <w:lang w:eastAsia="es-ES"/>
        </w:rPr>
        <w:t xml:space="preserve">todas las ayudas económicas formuladas por concepto de beca deberán realizarse en la subpartida 60201 (Becas a funcionarios), y no deberán incluirse recursos en la subpartida 10701 (Actividades de Capacitación)”. </w:t>
      </w:r>
      <w:r w:rsidRPr="00F31A99">
        <w:rPr>
          <w:rFonts w:ascii="Times New Roman" w:hAnsi="Times New Roman" w:eastAsia="Times New Roman" w:cs="Times New Roman"/>
          <w:sz w:val="26"/>
          <w:szCs w:val="26"/>
          <w:u w:color="000000"/>
          <w:lang w:eastAsia="es-ES"/>
        </w:rPr>
        <w:t>Al respecto se justifica, que el ajuste se realiza en razón de que los recursos de la subpartida 10701 (Actividades de capacitación) podrían utilizarse en actividades de becas o no, por la naturaleza de la subpartida, lo que para las oficinas donde se incluyen los recursos ha generado confusión en años anteriores, sobre el uso de los recursos y el tipo de actividades que se pueden abordar; además, que la Subpartida 60201 (Becas a funcionarios) es amplia en su uso y permite que desde esta se brinden las ayudas económicas que el Poder Judicial considere brindar.</w:t>
      </w:r>
    </w:p>
    <w:p w:rsidRPr="00F31A99" w:rsidR="00F31A99" w:rsidP="00F31A99" w:rsidRDefault="00F31A99" w14:paraId="1A22EC6D"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48D4CED0" w14:textId="77777777">
      <w:pPr>
        <w:numPr>
          <w:ilvl w:val="0"/>
          <w:numId w:val="147"/>
        </w:numPr>
        <w:shd w:val="clear" w:color="auto" w:fill="FFFFFF"/>
        <w:autoSpaceDN w:val="0"/>
        <w:ind w:left="851" w:right="851" w:firstLine="709"/>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Dado que todos los años los recursos que se incluyen en la subpartida 00105 “Suplencias” no son exclusivos para becas, a partir del 2022 en este informe solamente se presentan los permisos exclusivos para becas y que atienden las necesidades de capacitación de la población judicial y por tanto se excluye lo correspondiente a los especialistas en contenido. Como complemento de este tema, mediante oficio PJ-DGH-CAP-089-2021, el Subproceso de Gestión de la Capacitación comunicó a la Dirección de Gestión Humana, las proyecciones realizadas tanto por ese Subproceso, como también por parte de la Escuela Judicial y las Unidades de Capacitación respecto de los recursos requeridos en 2022 para los Especialistas en Contenido, lo anterior para que sea considerado a la hora de realizar las estimaciones generales a nivel institucional de la subpartida 00105.</w:t>
      </w:r>
    </w:p>
    <w:p w:rsidRPr="00F31A99" w:rsidR="00F31A99" w:rsidP="00F31A99" w:rsidRDefault="00F31A99" w14:paraId="270EEAC3" w14:textId="77777777">
      <w:pPr>
        <w:autoSpaceDN w:val="0"/>
        <w:ind w:left="851" w:right="851" w:firstLine="709"/>
        <w:jc w:val="both"/>
        <w:rPr>
          <w:rFonts w:ascii="Times New Roman" w:hAnsi="Times New Roman" w:eastAsia="Times New Roman" w:cs="Times New Roman"/>
          <w:sz w:val="26"/>
          <w:szCs w:val="26"/>
          <w:u w:color="000000"/>
          <w:lang w:eastAsia="es-ES"/>
        </w:rPr>
      </w:pPr>
    </w:p>
    <w:p w:rsidRPr="00F31A99" w:rsidR="00F31A99" w:rsidP="00F31A99" w:rsidRDefault="00F31A99" w14:paraId="02511595" w14:textId="77777777">
      <w:pPr>
        <w:numPr>
          <w:ilvl w:val="0"/>
          <w:numId w:val="147"/>
        </w:numPr>
        <w:shd w:val="clear" w:color="auto" w:fill="FFFFFF"/>
        <w:autoSpaceDN w:val="0"/>
        <w:ind w:left="851" w:right="851" w:firstLine="709"/>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Según lo establecido en el Decreto N°41779 “Reglamento de la Ley del Impuesto sobre el Valor Agregado”, específicamente en el Capítulo 4, Artículo 23, Inciso 2c, para los postgrados nacionales que se incluyan finalmente dentro del presupuesto proyectado, no se debe cancelar el Impuesto sobre el Valor Agregado (IVA), a excepción de las actividades formativas </w:t>
      </w:r>
      <w:r w:rsidRPr="00F31A99">
        <w:rPr>
          <w:rFonts w:ascii="Times New Roman" w:hAnsi="Times New Roman" w:eastAsia="Times New Roman" w:cs="Times New Roman"/>
          <w:sz w:val="26"/>
          <w:szCs w:val="26"/>
          <w:u w:color="000000"/>
          <w:lang w:eastAsia="es-ES"/>
        </w:rPr>
        <w:lastRenderedPageBreak/>
        <w:t>impartidas por las siguientes instituciones, ya que las mismas no se encuentran exentas de este impuesto:</w:t>
      </w:r>
    </w:p>
    <w:p w:rsidRPr="00F31A99" w:rsidR="00F31A99" w:rsidP="00F31A99" w:rsidRDefault="00F31A99" w14:paraId="7BB5A754" w14:textId="77777777">
      <w:pPr>
        <w:numPr>
          <w:ilvl w:val="0"/>
          <w:numId w:val="22"/>
        </w:numPr>
        <w:shd w:val="clear" w:color="auto" w:fill="FFFFFF"/>
        <w:autoSpaceDN w:val="0"/>
        <w:ind w:left="851" w:right="851" w:firstLine="709"/>
        <w:contextualSpacing/>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El Instituto Tecnológico de Costa Rica (TEC) debido a que estas son administradas por FUNDATEC.</w:t>
      </w:r>
    </w:p>
    <w:p w:rsidRPr="00F31A99" w:rsidR="00F31A99" w:rsidP="00F31A99" w:rsidRDefault="00F31A99" w14:paraId="02E1362F" w14:textId="77777777">
      <w:pPr>
        <w:numPr>
          <w:ilvl w:val="0"/>
          <w:numId w:val="22"/>
        </w:numPr>
        <w:shd w:val="clear" w:color="auto" w:fill="FFFFFF"/>
        <w:autoSpaceDN w:val="0"/>
        <w:ind w:left="851" w:right="851" w:firstLine="709"/>
        <w:contextualSpacing/>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El Instituto Centroamericano de la Administración Pública.</w:t>
      </w:r>
    </w:p>
    <w:p w:rsidRPr="00F31A99" w:rsidR="00F31A99" w:rsidP="00F31A99" w:rsidRDefault="00F31A99" w14:paraId="14E86C70" w14:textId="77777777">
      <w:pPr>
        <w:numPr>
          <w:ilvl w:val="0"/>
          <w:numId w:val="22"/>
        </w:numPr>
        <w:shd w:val="clear" w:color="auto" w:fill="FFFFFF"/>
        <w:autoSpaceDN w:val="0"/>
        <w:ind w:left="851" w:right="851" w:firstLine="709"/>
        <w:contextualSpacing/>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La Universidad Latina de Costa Rica. </w:t>
      </w:r>
    </w:p>
    <w:p w:rsidRPr="00F31A99" w:rsidR="00F31A99" w:rsidP="00F31A99" w:rsidRDefault="00F31A99" w14:paraId="3394C37B"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6D1C1867" w14:textId="77777777">
      <w:pPr>
        <w:numPr>
          <w:ilvl w:val="0"/>
          <w:numId w:val="147"/>
        </w:numPr>
        <w:shd w:val="clear" w:color="auto" w:fill="FFFFFF"/>
        <w:autoSpaceDN w:val="0"/>
        <w:ind w:left="851" w:right="851" w:firstLine="709"/>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el tema de becas (subpartida 60201), para el 2021 y como parte de los ajustes realizados al presupuesto vía moción en la Asamblea Legislativa, al Programa Administrativo (926) se le eliminaron la totalidad de los recursos que tenía presupuestados, por lo que para aclarar el panorama de este Programa con miras al 2022, la Dirección de Gestión Humana, mediante oficios PJ-DGH-CAP-084-2021 y PJ-DGH-CAP-150-2021, solicitan elevar para valoración del Consejo Superior, varias propuestas para poder formular recursos en este Programa Presupuestario, las que se detallan más adelante. Como complemento, cabe señalar que mediante modificación externa 3-2021 se reforzó esta subpartida en este Programa por un total de ¢3.990.000.</w:t>
      </w:r>
    </w:p>
    <w:p w:rsidRPr="00F31A99" w:rsidR="00F31A99" w:rsidP="00F31A99" w:rsidRDefault="00F31A99" w14:paraId="69E115A3" w14:textId="77777777">
      <w:pPr>
        <w:autoSpaceDN w:val="0"/>
        <w:ind w:left="851" w:right="851" w:firstLine="709"/>
        <w:jc w:val="both"/>
        <w:rPr>
          <w:rFonts w:ascii="Times New Roman" w:hAnsi="Times New Roman" w:eastAsia="Times New Roman" w:cs="Times New Roman"/>
          <w:sz w:val="26"/>
          <w:szCs w:val="26"/>
          <w:u w:color="000000"/>
          <w:lang w:eastAsia="es-ES"/>
        </w:rPr>
      </w:pPr>
    </w:p>
    <w:p w:rsidRPr="00F31A99" w:rsidR="00F31A99" w:rsidP="00F31A99" w:rsidRDefault="00F31A99" w14:paraId="7B07EF8B"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Se indica en el oficio, que la formulación presupuestaria de cada Programa se orientó a partir de los resultados obtenidos de los distintos diagnósticos de necesidades de capacitación. La formulación del Programa Administrativo la realiza directamente la Dirección de Gestión Humana y en el resto de los Programas seguidamente se indican las personas que remitieron las necesidades. </w:t>
      </w:r>
    </w:p>
    <w:p w:rsidRPr="00F31A99" w:rsidR="00F31A99" w:rsidP="00F31A99" w:rsidRDefault="00F31A99" w14:paraId="7A7DA5D2"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414F7315" w14:textId="77777777">
      <w:pPr>
        <w:numPr>
          <w:ilvl w:val="0"/>
          <w:numId w:val="19"/>
        </w:numPr>
        <w:autoSpaceDN w:val="0"/>
        <w:ind w:left="851" w:right="851" w:firstLine="709"/>
        <w:contextualSpacing/>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Programa Jurisdiccional: Licda. Eimy Solano Castro, Coordinadora de Unidad en la Administración de la Escuela Judicial.</w:t>
      </w:r>
    </w:p>
    <w:p w:rsidRPr="00F31A99" w:rsidR="00F31A99" w:rsidP="00F31A99" w:rsidRDefault="00F31A99" w14:paraId="1FFEC7F8" w14:textId="77777777">
      <w:pPr>
        <w:numPr>
          <w:ilvl w:val="0"/>
          <w:numId w:val="19"/>
        </w:numPr>
        <w:autoSpaceDN w:val="0"/>
        <w:ind w:left="851" w:right="851" w:firstLine="709"/>
        <w:contextualSpacing/>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Organismo de Investigación Judicial: Máster Karla Alpízar Mora, Especialista en Educación de la Unidad de Capacitación.</w:t>
      </w:r>
    </w:p>
    <w:p w:rsidRPr="00F31A99" w:rsidR="00F31A99" w:rsidP="00F31A99" w:rsidRDefault="00F31A99" w14:paraId="0C4A38AF" w14:textId="77777777">
      <w:pPr>
        <w:numPr>
          <w:ilvl w:val="0"/>
          <w:numId w:val="19"/>
        </w:numPr>
        <w:autoSpaceDN w:val="0"/>
        <w:ind w:left="851" w:right="851" w:firstLine="709"/>
        <w:contextualSpacing/>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Ministerio Público: Máster Hulda Chinchilla Rizo, Abogada de la Unidad de Capacitación y Supervisión – Reclutamiento y Selección.</w:t>
      </w:r>
    </w:p>
    <w:p w:rsidRPr="00F31A99" w:rsidR="00F31A99" w:rsidP="00F31A99" w:rsidRDefault="00F31A99" w14:paraId="166D3EE9" w14:textId="77777777">
      <w:pPr>
        <w:numPr>
          <w:ilvl w:val="0"/>
          <w:numId w:val="19"/>
        </w:numPr>
        <w:autoSpaceDN w:val="0"/>
        <w:ind w:left="851" w:right="851" w:firstLine="709"/>
        <w:contextualSpacing/>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Defensa Pública: Licda. Damaris Cruz Obregón, Encargada de la Unidad de Gestión del Conocimiento.</w:t>
      </w:r>
    </w:p>
    <w:p w:rsidRPr="00F31A99" w:rsidR="00F31A99" w:rsidP="00F31A99" w:rsidRDefault="00F31A99" w14:paraId="78131FFF" w14:textId="77777777">
      <w:pPr>
        <w:numPr>
          <w:ilvl w:val="0"/>
          <w:numId w:val="19"/>
        </w:numPr>
        <w:autoSpaceDN w:val="0"/>
        <w:ind w:left="851" w:right="851" w:firstLine="709"/>
        <w:contextualSpacing/>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lastRenderedPageBreak/>
        <w:t xml:space="preserve">Servicio de Atención y Protección de Víctimas y Testigos: </w:t>
      </w:r>
      <w:r w:rsidRPr="00F31A99">
        <w:rPr>
          <w:rFonts w:ascii="Times New Roman" w:hAnsi="Times New Roman" w:eastAsia="Times New Roman" w:cs="Times New Roman"/>
          <w:bCs/>
          <w:sz w:val="26"/>
          <w:szCs w:val="26"/>
          <w:u w:color="000000"/>
          <w:lang w:eastAsia="es-ES"/>
        </w:rPr>
        <w:t>Licda. Yaclínn Quesada Fallas, Profesional 1 de la Oficina de Atención a la Víctima de Delitos.</w:t>
      </w:r>
    </w:p>
    <w:p w:rsidRPr="00F31A99" w:rsidR="00F31A99" w:rsidP="00F31A99" w:rsidRDefault="00F31A99" w14:paraId="10BF720D" w14:textId="77777777">
      <w:pPr>
        <w:autoSpaceDN w:val="0"/>
        <w:ind w:left="851" w:right="851" w:firstLine="709"/>
        <w:jc w:val="both"/>
        <w:rPr>
          <w:rFonts w:ascii="Times New Roman" w:hAnsi="Times New Roman" w:eastAsia="Calibri" w:cs="Times New Roman"/>
          <w:sz w:val="26"/>
          <w:szCs w:val="26"/>
          <w:highlight w:val="yellow"/>
          <w:u w:color="000000"/>
        </w:rPr>
      </w:pPr>
    </w:p>
    <w:p w:rsidRPr="00F31A99" w:rsidR="00F31A99" w:rsidP="00F31A99" w:rsidRDefault="00F31A99" w14:paraId="1B870C4E" w14:textId="77777777">
      <w:pPr>
        <w:autoSpaceDN w:val="0"/>
        <w:ind w:left="851" w:right="851" w:firstLine="709"/>
        <w:jc w:val="both"/>
        <w:rPr>
          <w:rFonts w:ascii="Times New Roman" w:hAnsi="Times New Roman" w:eastAsia="Calibri" w:cs="Times New Roman"/>
          <w:sz w:val="26"/>
          <w:szCs w:val="26"/>
          <w:highlight w:val="yellow"/>
          <w:u w:color="000000"/>
        </w:rPr>
      </w:pPr>
    </w:p>
    <w:p w:rsidRPr="00F31A99" w:rsidR="00F31A99" w:rsidP="00F31A99" w:rsidRDefault="00F31A99" w14:paraId="26EFCCED"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Seguidamente se adjuntan los oficios remitidos por la Dirección de Gestión Humana:</w:t>
      </w:r>
    </w:p>
    <w:p w:rsidRPr="00F31A99" w:rsidR="00F31A99" w:rsidP="00F31A99" w:rsidRDefault="00F31A99" w14:paraId="5895699A"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object w:dxaOrig="1520" w:dyaOrig="970" w14:anchorId="3C1F1C7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84" style="width:75.95pt;height:48.25pt" o:ole="" type="#_x0000_t75">
            <v:imagedata o:title="" r:id="rId9"/>
          </v:shape>
          <o:OLEObject Type="Embed" ProgID="Word.Document.12" ShapeID="_x0000_i1584" DrawAspect="Icon" ObjectID="_1681900440" r:id="rId10">
            <o:FieldCodes>\s</o:FieldCodes>
          </o:OLEObject>
        </w:object>
      </w:r>
      <w:r w:rsidRPr="00F31A99">
        <w:rPr>
          <w:rFonts w:ascii="Times New Roman" w:hAnsi="Times New Roman" w:eastAsia="Calibri" w:cs="Times New Roman"/>
          <w:sz w:val="26"/>
          <w:szCs w:val="26"/>
          <w:u w:color="000000"/>
        </w:rPr>
        <w:object w:dxaOrig="1520" w:dyaOrig="970" w14:anchorId="1094288C">
          <v:shape id="_x0000_i1585" style="width:75.95pt;height:48.25pt" o:ole="" type="#_x0000_t75">
            <v:imagedata o:title="" r:id="rId11"/>
          </v:shape>
          <o:OLEObject Type="Embed" ProgID="Word.Document.12" ShapeID="_x0000_i1585" DrawAspect="Icon" ObjectID="_1681900441" r:id="rId12">
            <o:FieldCodes>\s</o:FieldCodes>
          </o:OLEObject>
        </w:object>
      </w:r>
      <w:r w:rsidRPr="00F31A99">
        <w:rPr>
          <w:rFonts w:ascii="Times New Roman" w:hAnsi="Times New Roman" w:eastAsia="Calibri" w:cs="Times New Roman"/>
          <w:sz w:val="26"/>
          <w:szCs w:val="26"/>
          <w:u w:color="000000"/>
        </w:rPr>
        <w:object w:dxaOrig="1520" w:dyaOrig="970" w14:anchorId="1EE44D7E">
          <v:shape id="_x0000_i1586" style="width:75.95pt;height:48.25pt" o:ole="" type="#_x0000_t75">
            <v:imagedata o:title="" r:id="rId13"/>
          </v:shape>
          <o:OLEObject Type="Embed" ProgID="Word.Document.12" ShapeID="_x0000_i1586" DrawAspect="Icon" ObjectID="_1681900442" r:id="rId14">
            <o:FieldCodes>\s</o:FieldCodes>
          </o:OLEObject>
        </w:object>
      </w:r>
    </w:p>
    <w:p w:rsidRPr="00F31A99" w:rsidR="00F31A99" w:rsidP="00F31A99" w:rsidRDefault="00F31A99" w14:paraId="77011A0D" w14:textId="77777777">
      <w:pPr>
        <w:numPr>
          <w:ilvl w:val="0"/>
          <w:numId w:val="27"/>
        </w:numPr>
        <w:autoSpaceDN w:val="0"/>
        <w:ind w:left="851" w:right="851" w:firstLine="709"/>
        <w:contextualSpacing/>
        <w:jc w:val="both"/>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 xml:space="preserve">Aspectos Relevantes </w:t>
      </w:r>
    </w:p>
    <w:p w:rsidRPr="00F31A99" w:rsidR="00F31A99" w:rsidP="00F31A99" w:rsidRDefault="00F31A99" w14:paraId="00514E27"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A continuación, se presenta el análisis y los aspectos más relevantes de cada uno de los rubros, pero antes de ello se muestra una tabla comparativa de los rubros aprobados para 2021 y los solicitados para 2022.</w:t>
      </w:r>
    </w:p>
    <w:p w:rsidRPr="00F31A99" w:rsidR="00F31A99" w:rsidP="00F31A99" w:rsidRDefault="00F31A99" w14:paraId="4A2FD129" w14:textId="77777777">
      <w:pPr>
        <w:autoSpaceDN w:val="0"/>
        <w:ind w:left="851" w:right="851" w:firstLine="709"/>
        <w:jc w:val="both"/>
        <w:rPr>
          <w:rFonts w:ascii="Times New Roman" w:hAnsi="Times New Roman" w:eastAsia="Calibri" w:cs="Times New Roman"/>
          <w:highlight w:val="yellow"/>
          <w:u w:color="000000"/>
        </w:rPr>
      </w:pPr>
    </w:p>
    <w:p w:rsidRPr="00F31A99" w:rsidR="00F31A99" w:rsidP="00F31A99" w:rsidRDefault="00F31A99" w14:paraId="2777E511" w14:textId="77777777">
      <w:pPr>
        <w:autoSpaceDN w:val="0"/>
        <w:rPr>
          <w:rFonts w:ascii="Times New Roman" w:hAnsi="Times New Roman" w:eastAsia="Calibri" w:cs="Times New Roman"/>
          <w:highlight w:val="yellow"/>
          <w:u w:color="000000"/>
        </w:rPr>
      </w:pPr>
      <w:r w:rsidRPr="00F31A99">
        <w:rPr>
          <w:rFonts w:ascii="Times New Roman" w:hAnsi="Times New Roman" w:eastAsia="Calibri" w:cs="Times New Roman"/>
          <w:noProof/>
          <w:u w:color="000000"/>
        </w:rPr>
        <w:drawing>
          <wp:inline distT="0" distB="0" distL="0" distR="0" wp14:anchorId="2622968F" wp14:editId="17F6BBE7">
            <wp:extent cx="5760720" cy="1463040"/>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1463040"/>
                    </a:xfrm>
                    <a:prstGeom prst="rect">
                      <a:avLst/>
                    </a:prstGeom>
                    <a:noFill/>
                    <a:ln>
                      <a:noFill/>
                    </a:ln>
                  </pic:spPr>
                </pic:pic>
              </a:graphicData>
            </a:graphic>
          </wp:inline>
        </w:drawing>
      </w:r>
    </w:p>
    <w:p w:rsidRPr="00F31A99" w:rsidR="00F31A99" w:rsidP="00F31A99" w:rsidRDefault="00F31A99" w14:paraId="3D9B96DE" w14:textId="77777777">
      <w:pPr>
        <w:autoSpaceDN w:val="0"/>
        <w:jc w:val="center"/>
        <w:rPr>
          <w:rFonts w:ascii="Times New Roman" w:hAnsi="Times New Roman" w:eastAsia="Calibri" w:cs="Times New Roman"/>
          <w:highlight w:val="yellow"/>
          <w:u w:color="000000"/>
        </w:rPr>
      </w:pPr>
    </w:p>
    <w:p w:rsidRPr="00F31A99" w:rsidR="00F31A99" w:rsidP="00F31A99" w:rsidRDefault="00F31A99" w14:paraId="14F78663" w14:textId="77777777">
      <w:pPr>
        <w:autoSpaceDN w:val="0"/>
        <w:ind w:left="851" w:right="851" w:firstLine="709"/>
        <w:jc w:val="both"/>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Nota: En 2021 para especialistas en contenido se aprobaron un total de 14 permisos con un costo total de ¢582.865.099. Según consulta realizada a la Dirección de Gestión Humana, para el 2022 se prevén la misma cantidad de permisos, en este caso con un costo de ¢579.851.457.</w:t>
      </w:r>
    </w:p>
    <w:p w:rsidRPr="00F31A99" w:rsidR="00F31A99" w:rsidP="00F31A99" w:rsidRDefault="00F31A99" w14:paraId="76EB3F3B" w14:textId="77777777">
      <w:pPr>
        <w:autoSpaceDN w:val="0"/>
        <w:ind w:left="851" w:right="851" w:firstLine="709"/>
        <w:jc w:val="both"/>
        <w:rPr>
          <w:rFonts w:ascii="Times New Roman" w:hAnsi="Times New Roman" w:eastAsia="Calibri" w:cs="Times New Roman"/>
          <w:b/>
          <w:bCs/>
          <w:sz w:val="26"/>
          <w:szCs w:val="26"/>
          <w:u w:color="000000"/>
        </w:rPr>
      </w:pPr>
    </w:p>
    <w:p w:rsidRPr="00F31A99" w:rsidR="00F31A99" w:rsidP="00F31A99" w:rsidRDefault="00F31A99" w14:paraId="39E5AE46" w14:textId="77777777">
      <w:pPr>
        <w:autoSpaceDN w:val="0"/>
        <w:ind w:left="850" w:right="850"/>
        <w:jc w:val="center"/>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object w:dxaOrig="1520" w:dyaOrig="970" w14:anchorId="377D8AF4">
          <v:shape id="_x0000_i1587" style="width:75.95pt;height:48.25pt" o:ole="" type="#_x0000_t75">
            <v:imagedata o:title="" r:id="rId16"/>
          </v:shape>
          <o:OLEObject Type="Embed" ProgID="Excel.Sheet.12" ShapeID="_x0000_i1587" DrawAspect="Icon" ObjectID="_1681900443" r:id="rId17"/>
        </w:object>
      </w:r>
    </w:p>
    <w:p w:rsidRPr="00F31A99" w:rsidR="00F31A99" w:rsidP="00F31A99" w:rsidRDefault="00F31A99" w14:paraId="3B5B8660"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413EEDA3" w14:textId="77777777">
      <w:pPr>
        <w:autoSpaceDN w:val="0"/>
        <w:ind w:left="851" w:right="851" w:firstLine="709"/>
        <w:jc w:val="both"/>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A. Requerimientos para Permisos con Goce de Salario para Sustitución del Personal Judicial Becado.</w:t>
      </w:r>
    </w:p>
    <w:p w:rsidRPr="00F31A99" w:rsidR="00F31A99" w:rsidP="00F31A99" w:rsidRDefault="00F31A99" w14:paraId="262F5B1C" w14:textId="77777777">
      <w:pPr>
        <w:autoSpaceDN w:val="0"/>
        <w:ind w:left="851" w:right="851" w:firstLine="709"/>
        <w:jc w:val="both"/>
        <w:rPr>
          <w:rFonts w:ascii="Times New Roman" w:hAnsi="Times New Roman" w:eastAsia="Calibri" w:cs="Times New Roman"/>
          <w:b/>
          <w:bCs/>
          <w:sz w:val="26"/>
          <w:szCs w:val="26"/>
          <w:highlight w:val="yellow"/>
          <w:u w:color="000000"/>
        </w:rPr>
      </w:pPr>
    </w:p>
    <w:p w:rsidRPr="00F31A99" w:rsidR="00F31A99" w:rsidP="00F31A99" w:rsidRDefault="00F31A99" w14:paraId="01C7134C" w14:textId="77777777">
      <w:pPr>
        <w:numPr>
          <w:ilvl w:val="0"/>
          <w:numId w:val="18"/>
        </w:num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Para el 2021 se aprobaron un total de ¢680.498.818, incluyendo dentro de este monto los permisos para los Especialistas </w:t>
      </w:r>
      <w:r w:rsidRPr="00F31A99">
        <w:rPr>
          <w:rFonts w:ascii="Times New Roman" w:hAnsi="Times New Roman" w:eastAsia="Calibri" w:cs="Times New Roman"/>
          <w:bCs/>
          <w:sz w:val="26"/>
          <w:szCs w:val="26"/>
          <w:u w:color="000000"/>
        </w:rPr>
        <w:lastRenderedPageBreak/>
        <w:t>en Contenido. Excluyendo estos últimos, el presupuesto final fue de ¢109.291.021 y si a este rubro se le rebaja el 4% aprobado por Corte Plena para el establecimiento de los límites máximos a formular, quedaría un monto neto de ¢104.919.380. Para el 2022 solamente se están solicitando ¢75.830.296 en el Programa 927 “Servicio Jurisdiccional”, lo que representa un decrecimiento del 30,6% respecto al aprobado para el 2021.</w:t>
      </w:r>
    </w:p>
    <w:p w:rsidRPr="00F31A99" w:rsidR="00F31A99" w:rsidP="00F31A99" w:rsidRDefault="00F31A99" w14:paraId="4D3C0115" w14:textId="77777777">
      <w:pPr>
        <w:autoSpaceDN w:val="0"/>
        <w:ind w:left="851" w:right="851" w:firstLine="709"/>
        <w:jc w:val="both"/>
        <w:rPr>
          <w:rFonts w:ascii="Times New Roman" w:hAnsi="Times New Roman" w:eastAsia="Calibri" w:cs="Times New Roman"/>
          <w:bCs/>
          <w:sz w:val="26"/>
          <w:szCs w:val="26"/>
          <w:highlight w:val="yellow"/>
          <w:u w:color="000000"/>
        </w:rPr>
      </w:pPr>
    </w:p>
    <w:p w:rsidRPr="00F31A99" w:rsidR="00F31A99" w:rsidP="00F31A99" w:rsidRDefault="00F31A99" w14:paraId="12025E7F"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Seguidamente se presenta el detalle de lo solicitado para el Programa Jurisdiccional. Como puede observarse se trata de 9 Permisos, para un total de 22,5 meses.</w:t>
      </w:r>
    </w:p>
    <w:p w:rsidRPr="00F31A99" w:rsidR="00F31A99" w:rsidP="00F31A99" w:rsidRDefault="00F31A99" w14:paraId="7FEFECC6" w14:textId="77777777">
      <w:pPr>
        <w:autoSpaceDN w:val="0"/>
        <w:spacing w:line="360" w:lineRule="auto"/>
        <w:ind w:left="708"/>
        <w:rPr>
          <w:rFonts w:ascii="Times New Roman" w:hAnsi="Times New Roman" w:eastAsia="Calibri" w:cs="Times New Roman"/>
          <w:bCs/>
          <w:u w:color="000000"/>
        </w:rPr>
      </w:pPr>
    </w:p>
    <w:tbl>
      <w:tblPr>
        <w:tblW w:w="587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454"/>
        <w:gridCol w:w="1672"/>
        <w:gridCol w:w="960"/>
        <w:gridCol w:w="941"/>
        <w:gridCol w:w="1219"/>
        <w:gridCol w:w="1220"/>
        <w:gridCol w:w="1409"/>
        <w:gridCol w:w="1507"/>
      </w:tblGrid>
      <w:tr w:rsidRPr="00F31A99" w:rsidR="00AE1B2B" w:rsidTr="00A306B2" w14:paraId="76DC3BED" w14:textId="77777777">
        <w:trPr>
          <w:trHeight w:val="390"/>
          <w:jc w:val="center"/>
        </w:trPr>
        <w:tc>
          <w:tcPr>
            <w:tcW w:w="5000" w:type="pct"/>
            <w:gridSpan w:val="8"/>
            <w:tcBorders>
              <w:top w:val="single" w:color="auto" w:sz="4" w:space="0"/>
              <w:left w:val="single" w:color="auto" w:sz="4" w:space="0"/>
              <w:bottom w:val="single" w:color="auto" w:sz="4" w:space="0"/>
              <w:right w:val="single" w:color="auto" w:sz="4" w:space="0"/>
            </w:tcBorders>
            <w:shd w:val="clear" w:color="auto" w:fill="D9D9D9"/>
            <w:noWrap/>
            <w:vAlign w:val="center"/>
            <w:hideMark/>
          </w:tcPr>
          <w:p w:rsidRPr="00F31A99" w:rsidR="00F31A99" w:rsidP="00F31A99" w:rsidRDefault="00F31A99" w14:paraId="325B6270" w14:textId="77777777">
            <w:pPr>
              <w:autoSpaceDN w:val="0"/>
              <w:spacing w:line="256" w:lineRule="auto"/>
              <w:jc w:val="center"/>
              <w:rPr>
                <w:rFonts w:ascii="Times New Roman" w:hAnsi="Times New Roman" w:eastAsia="Calibri" w:cs="Times New Roman"/>
                <w:b/>
                <w:bCs/>
                <w:sz w:val="20"/>
                <w:szCs w:val="16"/>
                <w:u w:color="000000"/>
                <w:lang w:eastAsia="es-CR"/>
              </w:rPr>
            </w:pPr>
            <w:r w:rsidRPr="00F31A99">
              <w:rPr>
                <w:rFonts w:ascii="Times New Roman" w:hAnsi="Times New Roman" w:eastAsia="Calibri" w:cs="Times New Roman"/>
                <w:b/>
                <w:bCs/>
                <w:sz w:val="20"/>
                <w:szCs w:val="16"/>
                <w:u w:color="000000"/>
                <w:lang w:eastAsia="es-CR"/>
              </w:rPr>
              <w:t>PROGRAMA 927 -JURISDICCIONAL-</w:t>
            </w:r>
          </w:p>
        </w:tc>
      </w:tr>
      <w:tr w:rsidRPr="00F31A99" w:rsidR="00AE1B2B" w:rsidTr="00A306B2" w14:paraId="7BFDA0A9" w14:textId="77777777">
        <w:trPr>
          <w:trHeight w:val="1020"/>
          <w:jc w:val="center"/>
        </w:trPr>
        <w:tc>
          <w:tcPr>
            <w:tcW w:w="707" w:type="pct"/>
            <w:tcBorders>
              <w:top w:val="single" w:color="auto" w:sz="4" w:space="0"/>
              <w:left w:val="single" w:color="auto" w:sz="4" w:space="0"/>
              <w:bottom w:val="single" w:color="auto" w:sz="4" w:space="0"/>
              <w:right w:val="single" w:color="auto" w:sz="4" w:space="0"/>
            </w:tcBorders>
            <w:shd w:val="clear" w:color="auto" w:fill="D9D9D9"/>
            <w:noWrap/>
            <w:vAlign w:val="center"/>
            <w:hideMark/>
          </w:tcPr>
          <w:p w:rsidRPr="00F31A99" w:rsidR="00F31A99" w:rsidP="00F31A99" w:rsidRDefault="00F31A99" w14:paraId="79F3D9BF" w14:textId="77777777">
            <w:pPr>
              <w:autoSpaceDN w:val="0"/>
              <w:spacing w:line="256" w:lineRule="auto"/>
              <w:jc w:val="center"/>
              <w:rPr>
                <w:rFonts w:ascii="Times New Roman" w:hAnsi="Times New Roman" w:eastAsia="Calibri" w:cs="Times New Roman"/>
                <w:b/>
                <w:bCs/>
                <w:sz w:val="20"/>
                <w:szCs w:val="16"/>
                <w:u w:color="000000"/>
                <w:lang w:eastAsia="es-CR"/>
              </w:rPr>
            </w:pPr>
            <w:r w:rsidRPr="00F31A99">
              <w:rPr>
                <w:rFonts w:ascii="Times New Roman" w:hAnsi="Times New Roman" w:eastAsia="Calibri" w:cs="Times New Roman"/>
                <w:b/>
                <w:bCs/>
                <w:sz w:val="20"/>
                <w:szCs w:val="16"/>
                <w:u w:color="000000"/>
                <w:lang w:eastAsia="es-CR"/>
              </w:rPr>
              <w:t>Actividad</w:t>
            </w:r>
          </w:p>
        </w:tc>
        <w:tc>
          <w:tcPr>
            <w:tcW w:w="812" w:type="pct"/>
            <w:tcBorders>
              <w:top w:val="single" w:color="auto" w:sz="4" w:space="0"/>
              <w:left w:val="single" w:color="auto" w:sz="4" w:space="0"/>
              <w:bottom w:val="single" w:color="auto" w:sz="4" w:space="0"/>
              <w:right w:val="single" w:color="auto" w:sz="4" w:space="0"/>
            </w:tcBorders>
            <w:shd w:val="clear" w:color="auto" w:fill="D9D9D9"/>
            <w:noWrap/>
            <w:vAlign w:val="center"/>
            <w:hideMark/>
          </w:tcPr>
          <w:p w:rsidRPr="00F31A99" w:rsidR="00F31A99" w:rsidP="00F31A99" w:rsidRDefault="00F31A99" w14:paraId="1AF56EE6" w14:textId="77777777">
            <w:pPr>
              <w:autoSpaceDN w:val="0"/>
              <w:spacing w:line="256" w:lineRule="auto"/>
              <w:jc w:val="center"/>
              <w:rPr>
                <w:rFonts w:ascii="Times New Roman" w:hAnsi="Times New Roman" w:eastAsia="Calibri" w:cs="Times New Roman"/>
                <w:b/>
                <w:bCs/>
                <w:sz w:val="20"/>
                <w:szCs w:val="16"/>
                <w:u w:color="000000"/>
                <w:lang w:eastAsia="es-CR"/>
              </w:rPr>
            </w:pPr>
            <w:r w:rsidRPr="00F31A99">
              <w:rPr>
                <w:rFonts w:ascii="Times New Roman" w:hAnsi="Times New Roman" w:eastAsia="Calibri" w:cs="Times New Roman"/>
                <w:b/>
                <w:bCs/>
                <w:sz w:val="20"/>
                <w:szCs w:val="16"/>
                <w:u w:color="000000"/>
                <w:lang w:eastAsia="es-CR"/>
              </w:rPr>
              <w:t>Ente organizador</w:t>
            </w:r>
          </w:p>
        </w:tc>
        <w:tc>
          <w:tcPr>
            <w:tcW w:w="469" w:type="pct"/>
            <w:tcBorders>
              <w:top w:val="single" w:color="auto" w:sz="4" w:space="0"/>
              <w:left w:val="single" w:color="auto" w:sz="4" w:space="0"/>
              <w:bottom w:val="single" w:color="auto" w:sz="4" w:space="0"/>
              <w:right w:val="single" w:color="auto" w:sz="4" w:space="0"/>
            </w:tcBorders>
            <w:shd w:val="clear" w:color="auto" w:fill="D9D9D9"/>
            <w:vAlign w:val="center"/>
            <w:hideMark/>
          </w:tcPr>
          <w:p w:rsidRPr="00F31A99" w:rsidR="00F31A99" w:rsidP="00F31A99" w:rsidRDefault="00F31A99" w14:paraId="54AC206E" w14:textId="77777777">
            <w:pPr>
              <w:autoSpaceDN w:val="0"/>
              <w:spacing w:line="256" w:lineRule="auto"/>
              <w:jc w:val="center"/>
              <w:rPr>
                <w:rFonts w:ascii="Times New Roman" w:hAnsi="Times New Roman" w:eastAsia="Calibri" w:cs="Times New Roman"/>
                <w:b/>
                <w:bCs/>
                <w:sz w:val="20"/>
                <w:szCs w:val="16"/>
                <w:u w:color="000000"/>
                <w:lang w:eastAsia="es-CR"/>
              </w:rPr>
            </w:pPr>
            <w:r w:rsidRPr="00F31A99">
              <w:rPr>
                <w:rFonts w:ascii="Times New Roman" w:hAnsi="Times New Roman" w:eastAsia="Calibri" w:cs="Times New Roman"/>
                <w:b/>
                <w:bCs/>
                <w:sz w:val="20"/>
                <w:szCs w:val="16"/>
                <w:u w:color="000000"/>
                <w:lang w:eastAsia="es-CR"/>
              </w:rPr>
              <w:t>Cantidad de Permisos</w:t>
            </w:r>
          </w:p>
        </w:tc>
        <w:tc>
          <w:tcPr>
            <w:tcW w:w="453" w:type="pct"/>
            <w:tcBorders>
              <w:top w:val="single" w:color="auto" w:sz="4" w:space="0"/>
              <w:left w:val="single" w:color="auto" w:sz="4" w:space="0"/>
              <w:bottom w:val="single" w:color="auto" w:sz="4" w:space="0"/>
              <w:right w:val="single" w:color="auto" w:sz="4" w:space="0"/>
            </w:tcBorders>
            <w:shd w:val="clear" w:color="auto" w:fill="D9D9D9"/>
            <w:vAlign w:val="center"/>
            <w:hideMark/>
          </w:tcPr>
          <w:p w:rsidRPr="00F31A99" w:rsidR="00F31A99" w:rsidP="00F31A99" w:rsidRDefault="00F31A99" w14:paraId="6A65029C" w14:textId="77777777">
            <w:pPr>
              <w:autoSpaceDN w:val="0"/>
              <w:spacing w:line="256" w:lineRule="auto"/>
              <w:jc w:val="center"/>
              <w:rPr>
                <w:rFonts w:ascii="Times New Roman" w:hAnsi="Times New Roman" w:eastAsia="Calibri" w:cs="Times New Roman"/>
                <w:b/>
                <w:bCs/>
                <w:sz w:val="20"/>
                <w:szCs w:val="16"/>
                <w:u w:color="000000"/>
                <w:lang w:eastAsia="es-CR"/>
              </w:rPr>
            </w:pPr>
            <w:r w:rsidRPr="00F31A99">
              <w:rPr>
                <w:rFonts w:ascii="Times New Roman" w:hAnsi="Times New Roman" w:eastAsia="Calibri" w:cs="Times New Roman"/>
                <w:b/>
                <w:bCs/>
                <w:sz w:val="20"/>
                <w:szCs w:val="16"/>
                <w:u w:color="000000"/>
                <w:lang w:eastAsia="es-CR"/>
              </w:rPr>
              <w:t>Cantidad de meses</w:t>
            </w:r>
          </w:p>
        </w:tc>
        <w:tc>
          <w:tcPr>
            <w:tcW w:w="594" w:type="pct"/>
            <w:tcBorders>
              <w:top w:val="single" w:color="auto" w:sz="4" w:space="0"/>
              <w:left w:val="single" w:color="auto" w:sz="4" w:space="0"/>
              <w:bottom w:val="single" w:color="auto" w:sz="4" w:space="0"/>
              <w:right w:val="single" w:color="auto" w:sz="4" w:space="0"/>
            </w:tcBorders>
            <w:shd w:val="clear" w:color="auto" w:fill="D9D9D9"/>
            <w:vAlign w:val="center"/>
            <w:hideMark/>
          </w:tcPr>
          <w:p w:rsidRPr="00F31A99" w:rsidR="00F31A99" w:rsidP="00F31A99" w:rsidRDefault="00F31A99" w14:paraId="40221508" w14:textId="77777777">
            <w:pPr>
              <w:autoSpaceDN w:val="0"/>
              <w:spacing w:line="256" w:lineRule="auto"/>
              <w:jc w:val="center"/>
              <w:rPr>
                <w:rFonts w:ascii="Times New Roman" w:hAnsi="Times New Roman" w:eastAsia="Calibri" w:cs="Times New Roman"/>
                <w:b/>
                <w:bCs/>
                <w:sz w:val="20"/>
                <w:szCs w:val="16"/>
                <w:u w:color="000000"/>
                <w:lang w:eastAsia="es-CR"/>
              </w:rPr>
            </w:pPr>
            <w:r w:rsidRPr="00F31A99">
              <w:rPr>
                <w:rFonts w:ascii="Times New Roman" w:hAnsi="Times New Roman" w:eastAsia="Calibri" w:cs="Times New Roman"/>
                <w:b/>
                <w:bCs/>
                <w:sz w:val="20"/>
                <w:szCs w:val="16"/>
                <w:u w:color="000000"/>
                <w:lang w:eastAsia="es-CR"/>
              </w:rPr>
              <w:t>Salario base</w:t>
            </w:r>
          </w:p>
        </w:tc>
        <w:tc>
          <w:tcPr>
            <w:tcW w:w="594" w:type="pct"/>
            <w:tcBorders>
              <w:top w:val="single" w:color="auto" w:sz="4" w:space="0"/>
              <w:left w:val="single" w:color="auto" w:sz="4" w:space="0"/>
              <w:bottom w:val="single" w:color="auto" w:sz="4" w:space="0"/>
              <w:right w:val="single" w:color="auto" w:sz="4" w:space="0"/>
            </w:tcBorders>
            <w:shd w:val="clear" w:color="auto" w:fill="D9D9D9"/>
            <w:vAlign w:val="center"/>
            <w:hideMark/>
          </w:tcPr>
          <w:p w:rsidRPr="00F31A99" w:rsidR="00F31A99" w:rsidP="00F31A99" w:rsidRDefault="00F31A99" w14:paraId="768D9F22" w14:textId="77777777">
            <w:pPr>
              <w:autoSpaceDN w:val="0"/>
              <w:spacing w:line="256" w:lineRule="auto"/>
              <w:jc w:val="center"/>
              <w:rPr>
                <w:rFonts w:ascii="Times New Roman" w:hAnsi="Times New Roman" w:eastAsia="Calibri" w:cs="Times New Roman"/>
                <w:b/>
                <w:bCs/>
                <w:sz w:val="20"/>
                <w:szCs w:val="16"/>
                <w:u w:color="000000"/>
                <w:lang w:eastAsia="es-CR"/>
              </w:rPr>
            </w:pPr>
            <w:r w:rsidRPr="00F31A99">
              <w:rPr>
                <w:rFonts w:ascii="Times New Roman" w:hAnsi="Times New Roman" w:eastAsia="Calibri" w:cs="Times New Roman"/>
                <w:b/>
                <w:bCs/>
                <w:sz w:val="20"/>
                <w:szCs w:val="16"/>
                <w:u w:color="000000"/>
                <w:lang w:eastAsia="es-CR"/>
              </w:rPr>
              <w:t>Salario total mensual</w:t>
            </w:r>
          </w:p>
        </w:tc>
        <w:tc>
          <w:tcPr>
            <w:tcW w:w="685" w:type="pct"/>
            <w:tcBorders>
              <w:top w:val="single" w:color="auto" w:sz="4" w:space="0"/>
              <w:left w:val="single" w:color="auto" w:sz="4" w:space="0"/>
              <w:bottom w:val="single" w:color="auto" w:sz="4" w:space="0"/>
              <w:right w:val="single" w:color="auto" w:sz="4" w:space="0"/>
            </w:tcBorders>
            <w:shd w:val="clear" w:color="auto" w:fill="D9D9D9"/>
            <w:vAlign w:val="center"/>
            <w:hideMark/>
          </w:tcPr>
          <w:p w:rsidRPr="00F31A99" w:rsidR="00F31A99" w:rsidP="00F31A99" w:rsidRDefault="00F31A99" w14:paraId="321EC347" w14:textId="77777777">
            <w:pPr>
              <w:autoSpaceDN w:val="0"/>
              <w:spacing w:line="256" w:lineRule="auto"/>
              <w:jc w:val="center"/>
              <w:rPr>
                <w:rFonts w:ascii="Times New Roman" w:hAnsi="Times New Roman" w:eastAsia="Calibri" w:cs="Times New Roman"/>
                <w:b/>
                <w:bCs/>
                <w:sz w:val="20"/>
                <w:szCs w:val="16"/>
                <w:u w:color="000000"/>
                <w:lang w:eastAsia="es-CR"/>
              </w:rPr>
            </w:pPr>
            <w:r w:rsidRPr="00F31A99">
              <w:rPr>
                <w:rFonts w:ascii="Times New Roman" w:hAnsi="Times New Roman" w:eastAsia="Calibri" w:cs="Times New Roman"/>
                <w:b/>
                <w:bCs/>
                <w:sz w:val="20"/>
                <w:szCs w:val="16"/>
                <w:u w:color="000000"/>
                <w:lang w:eastAsia="es-CR"/>
              </w:rPr>
              <w:t>Monto aprobado para el año 2021</w:t>
            </w:r>
          </w:p>
        </w:tc>
        <w:tc>
          <w:tcPr>
            <w:tcW w:w="685" w:type="pct"/>
            <w:tcBorders>
              <w:top w:val="single" w:color="auto" w:sz="4" w:space="0"/>
              <w:left w:val="single" w:color="auto" w:sz="4" w:space="0"/>
              <w:bottom w:val="single" w:color="auto" w:sz="4" w:space="0"/>
              <w:right w:val="single" w:color="auto" w:sz="4" w:space="0"/>
            </w:tcBorders>
            <w:shd w:val="clear" w:color="auto" w:fill="D9D9D9"/>
            <w:vAlign w:val="center"/>
            <w:hideMark/>
          </w:tcPr>
          <w:p w:rsidRPr="00F31A99" w:rsidR="00F31A99" w:rsidP="00F31A99" w:rsidRDefault="00F31A99" w14:paraId="6136523C" w14:textId="77777777">
            <w:pPr>
              <w:autoSpaceDN w:val="0"/>
              <w:spacing w:line="256" w:lineRule="auto"/>
              <w:jc w:val="center"/>
              <w:rPr>
                <w:rFonts w:ascii="Times New Roman" w:hAnsi="Times New Roman" w:eastAsia="Calibri" w:cs="Times New Roman"/>
                <w:b/>
                <w:bCs/>
                <w:sz w:val="20"/>
                <w:szCs w:val="16"/>
                <w:u w:color="000000"/>
                <w:lang w:eastAsia="es-CR"/>
              </w:rPr>
            </w:pPr>
            <w:r w:rsidRPr="00F31A99">
              <w:rPr>
                <w:rFonts w:ascii="Times New Roman" w:hAnsi="Times New Roman" w:eastAsia="Calibri" w:cs="Times New Roman"/>
                <w:b/>
                <w:bCs/>
                <w:sz w:val="20"/>
                <w:szCs w:val="16"/>
                <w:u w:color="000000"/>
                <w:lang w:eastAsia="es-CR"/>
              </w:rPr>
              <w:t>PROYECCIÓN 2022</w:t>
            </w:r>
          </w:p>
        </w:tc>
      </w:tr>
      <w:tr w:rsidRPr="00F31A99" w:rsidR="00AE1B2B" w:rsidTr="00A306B2" w14:paraId="2F5F9DC5" w14:textId="77777777">
        <w:trPr>
          <w:trHeight w:val="1380"/>
          <w:jc w:val="center"/>
        </w:trPr>
        <w:tc>
          <w:tcPr>
            <w:tcW w:w="707"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4C095D91" w14:textId="77777777">
            <w:pPr>
              <w:autoSpaceDN w:val="0"/>
              <w:spacing w:line="256" w:lineRule="auto"/>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Máster en Argumentación Jurídica</w:t>
            </w:r>
          </w:p>
        </w:tc>
        <w:tc>
          <w:tcPr>
            <w:tcW w:w="812"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1E576C5A"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Universidad Alicante, España</w:t>
            </w:r>
          </w:p>
        </w:tc>
        <w:tc>
          <w:tcPr>
            <w:tcW w:w="469"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1AE48905"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w:t>
            </w:r>
          </w:p>
        </w:tc>
        <w:tc>
          <w:tcPr>
            <w:tcW w:w="453"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4C6953DE"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1,50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7FC33753"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1 296 900,00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7F2E5685"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3 370 235,36</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2FBA37C2"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5 099 450,49</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15F9E8AB"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5 055 353,04</w:t>
            </w:r>
          </w:p>
        </w:tc>
      </w:tr>
      <w:tr w:rsidRPr="00F31A99" w:rsidR="00AE1B2B" w:rsidTr="00A306B2" w14:paraId="6A0B8C72" w14:textId="77777777">
        <w:trPr>
          <w:trHeight w:val="1380"/>
          <w:jc w:val="center"/>
        </w:trPr>
        <w:tc>
          <w:tcPr>
            <w:tcW w:w="707"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02346A82" w14:textId="77777777">
            <w:pPr>
              <w:autoSpaceDN w:val="0"/>
              <w:spacing w:line="256" w:lineRule="auto"/>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Cursos de Especialización en Derecho</w:t>
            </w:r>
          </w:p>
        </w:tc>
        <w:tc>
          <w:tcPr>
            <w:tcW w:w="812"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2FE6ABD5"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Universidad de Salamanca, España</w:t>
            </w:r>
          </w:p>
        </w:tc>
        <w:tc>
          <w:tcPr>
            <w:tcW w:w="469"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3F5AE379"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w:t>
            </w:r>
          </w:p>
        </w:tc>
        <w:tc>
          <w:tcPr>
            <w:tcW w:w="453"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1CD56250"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0,50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41296A3C"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1 296 900,00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6CDD4B19"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3 370 235,36</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0096ECFB"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1 699 816,83</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390E0611"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1 685 117,68</w:t>
            </w:r>
          </w:p>
        </w:tc>
      </w:tr>
      <w:tr w:rsidRPr="00F31A99" w:rsidR="00AE1B2B" w:rsidTr="00A306B2" w14:paraId="02A1A5AF" w14:textId="77777777">
        <w:trPr>
          <w:trHeight w:val="1380"/>
          <w:jc w:val="center"/>
        </w:trPr>
        <w:tc>
          <w:tcPr>
            <w:tcW w:w="707"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5817E7A6" w14:textId="77777777">
            <w:pPr>
              <w:autoSpaceDN w:val="0"/>
              <w:spacing w:line="256" w:lineRule="auto"/>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Cursos de Postgrado en Derecho</w:t>
            </w:r>
          </w:p>
        </w:tc>
        <w:tc>
          <w:tcPr>
            <w:tcW w:w="812"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281EBD46"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Universidad Castilla de la Mancha</w:t>
            </w:r>
          </w:p>
        </w:tc>
        <w:tc>
          <w:tcPr>
            <w:tcW w:w="469"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3E4FE479"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w:t>
            </w:r>
          </w:p>
        </w:tc>
        <w:tc>
          <w:tcPr>
            <w:tcW w:w="453"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19FCB8B9"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0,50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0F473E9E"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1 296 900,00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3B39E9B9"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3 370 235,36</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37C82C22"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1 699 816,83</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1551EA99"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1 685 117,68</w:t>
            </w:r>
          </w:p>
        </w:tc>
      </w:tr>
      <w:tr w:rsidRPr="00F31A99" w:rsidR="00AE1B2B" w:rsidTr="00A306B2" w14:paraId="14B03F10" w14:textId="77777777">
        <w:trPr>
          <w:trHeight w:val="1950"/>
          <w:jc w:val="center"/>
        </w:trPr>
        <w:tc>
          <w:tcPr>
            <w:tcW w:w="707"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0E5DE399" w14:textId="77777777">
            <w:pPr>
              <w:autoSpaceDN w:val="0"/>
              <w:spacing w:line="256" w:lineRule="auto"/>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Postgrado Iberoamericano en Gobernabilidad, Derechos Humanos y Cultura de Paz</w:t>
            </w:r>
          </w:p>
        </w:tc>
        <w:tc>
          <w:tcPr>
            <w:tcW w:w="812"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42F120D4"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Universidad Castilla de la Mancha</w:t>
            </w:r>
          </w:p>
        </w:tc>
        <w:tc>
          <w:tcPr>
            <w:tcW w:w="469"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378530FE"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w:t>
            </w:r>
          </w:p>
        </w:tc>
        <w:tc>
          <w:tcPr>
            <w:tcW w:w="453"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0BB56129"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0,50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485D100D"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1 296 900,00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353D985E"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3 370 235,36</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170B193B"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1 699 816,83</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1FD3A010"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1 685 117,68</w:t>
            </w:r>
          </w:p>
        </w:tc>
      </w:tr>
      <w:tr w:rsidRPr="00F31A99" w:rsidR="00AE1B2B" w:rsidTr="00A306B2" w14:paraId="77859232" w14:textId="77777777">
        <w:trPr>
          <w:trHeight w:val="1380"/>
          <w:jc w:val="center"/>
        </w:trPr>
        <w:tc>
          <w:tcPr>
            <w:tcW w:w="707"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486FF399" w14:textId="77777777">
            <w:pPr>
              <w:autoSpaceDN w:val="0"/>
              <w:spacing w:line="256" w:lineRule="auto"/>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lastRenderedPageBreak/>
              <w:t>Máster en Protección Internacional de los Derechos Humanos</w:t>
            </w:r>
          </w:p>
        </w:tc>
        <w:tc>
          <w:tcPr>
            <w:tcW w:w="812"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09E1038F"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Facultad de Derecho, Universidad de Alcalá, España</w:t>
            </w:r>
          </w:p>
        </w:tc>
        <w:tc>
          <w:tcPr>
            <w:tcW w:w="469"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185249A9"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w:t>
            </w:r>
          </w:p>
        </w:tc>
        <w:tc>
          <w:tcPr>
            <w:tcW w:w="453"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27E0A187"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3,00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6FA1764E"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1 296 900,00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20448C5E"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3 370 235,36</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00C9B9B6"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10 198 900,98</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55E61A23"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10 110 706,08</w:t>
            </w:r>
          </w:p>
        </w:tc>
      </w:tr>
      <w:tr w:rsidRPr="00F31A99" w:rsidR="00AE1B2B" w:rsidTr="00A306B2" w14:paraId="7559C87E" w14:textId="77777777">
        <w:trPr>
          <w:trHeight w:val="1380"/>
          <w:jc w:val="center"/>
        </w:trPr>
        <w:tc>
          <w:tcPr>
            <w:tcW w:w="707"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5A467987" w14:textId="77777777">
            <w:pPr>
              <w:autoSpaceDN w:val="0"/>
              <w:spacing w:line="256" w:lineRule="auto"/>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Máster Universitario en Derecho y Violencia de Género</w:t>
            </w:r>
          </w:p>
        </w:tc>
        <w:tc>
          <w:tcPr>
            <w:tcW w:w="812"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5CB12980"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Universidad de Valencia, España</w:t>
            </w:r>
          </w:p>
        </w:tc>
        <w:tc>
          <w:tcPr>
            <w:tcW w:w="469"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1391FE33"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w:t>
            </w:r>
          </w:p>
        </w:tc>
        <w:tc>
          <w:tcPr>
            <w:tcW w:w="453"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62D1B72D"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2,50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226D3295"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1 296 900,00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523A53EC"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3 370 235,36</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22B25DC0"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8 499 084,15</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2FC36080"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8 425 588,40</w:t>
            </w:r>
          </w:p>
        </w:tc>
      </w:tr>
      <w:tr w:rsidRPr="00F31A99" w:rsidR="00AE1B2B" w:rsidTr="00A306B2" w14:paraId="42BF7D66" w14:textId="77777777">
        <w:trPr>
          <w:trHeight w:val="1853"/>
          <w:jc w:val="center"/>
        </w:trPr>
        <w:tc>
          <w:tcPr>
            <w:tcW w:w="707"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106D7A3E" w14:textId="77777777">
            <w:pPr>
              <w:autoSpaceDN w:val="0"/>
              <w:spacing w:line="256" w:lineRule="auto"/>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Título de Especialista en Justicia Constitucional, Interpretación y Aplicación de la Constitución</w:t>
            </w:r>
          </w:p>
        </w:tc>
        <w:tc>
          <w:tcPr>
            <w:tcW w:w="812"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52F768BA"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Universidad de Castilla La Mancha</w:t>
            </w:r>
          </w:p>
        </w:tc>
        <w:tc>
          <w:tcPr>
            <w:tcW w:w="469"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787976FE"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w:t>
            </w:r>
          </w:p>
        </w:tc>
        <w:tc>
          <w:tcPr>
            <w:tcW w:w="453"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66D6DCCA"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1,00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5BE12E96"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1 296 900,00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68C51E56"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3 370 235,36</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6D29AE05"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3 399 633,66</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7305DB6B"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3 370 235,36</w:t>
            </w:r>
          </w:p>
        </w:tc>
      </w:tr>
      <w:tr w:rsidRPr="00F31A99" w:rsidR="00AE1B2B" w:rsidTr="00A306B2" w14:paraId="14BC6A82" w14:textId="77777777">
        <w:trPr>
          <w:trHeight w:val="1904"/>
          <w:jc w:val="center"/>
        </w:trPr>
        <w:tc>
          <w:tcPr>
            <w:tcW w:w="707"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473A90B0" w14:textId="77777777">
            <w:pPr>
              <w:autoSpaceDN w:val="0"/>
              <w:spacing w:line="256" w:lineRule="auto"/>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Curso de Alta Formación en Justicia Constitucional y Tutela Jurisdiccional de los Derechos</w:t>
            </w:r>
          </w:p>
        </w:tc>
        <w:tc>
          <w:tcPr>
            <w:tcW w:w="812"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2CCD9996"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Universidad de Pisa, Italia</w:t>
            </w:r>
          </w:p>
        </w:tc>
        <w:tc>
          <w:tcPr>
            <w:tcW w:w="469"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6689EDAD"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w:t>
            </w:r>
          </w:p>
        </w:tc>
        <w:tc>
          <w:tcPr>
            <w:tcW w:w="453"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546FEC0D"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1,00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64BF7F45"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1 296 900,00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21825E06"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3 370 235,36</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215DCB7F"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3 399 633,66</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26548D46"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3 370 235,36</w:t>
            </w:r>
          </w:p>
        </w:tc>
      </w:tr>
      <w:tr w:rsidRPr="00F31A99" w:rsidR="00AE1B2B" w:rsidTr="00A306B2" w14:paraId="2D472B32" w14:textId="77777777">
        <w:trPr>
          <w:trHeight w:val="1380"/>
          <w:jc w:val="center"/>
        </w:trPr>
        <w:tc>
          <w:tcPr>
            <w:tcW w:w="707"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1B4EB9EC" w14:textId="77777777">
            <w:pPr>
              <w:autoSpaceDN w:val="0"/>
              <w:spacing w:line="256" w:lineRule="auto"/>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Doctorado en Derecho</w:t>
            </w:r>
          </w:p>
        </w:tc>
        <w:tc>
          <w:tcPr>
            <w:tcW w:w="812"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363F4B28"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 xml:space="preserve">Por definir </w:t>
            </w:r>
          </w:p>
        </w:tc>
        <w:tc>
          <w:tcPr>
            <w:tcW w:w="469" w:type="pct"/>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35330EC1"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w:t>
            </w:r>
          </w:p>
        </w:tc>
        <w:tc>
          <w:tcPr>
            <w:tcW w:w="453"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02C9D80F"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12,00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1472780A"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1 296 900,00</w:t>
            </w:r>
          </w:p>
        </w:tc>
        <w:tc>
          <w:tcPr>
            <w:tcW w:w="594"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0673E125"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3 370 235,36</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2690F3D4"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40 795 603,92</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21E6C603" w14:textId="77777777">
            <w:pPr>
              <w:autoSpaceDN w:val="0"/>
              <w:spacing w:line="256" w:lineRule="auto"/>
              <w:jc w:val="center"/>
              <w:rPr>
                <w:rFonts w:ascii="Times New Roman" w:hAnsi="Times New Roman" w:eastAsia="Calibri" w:cs="Times New Roman"/>
                <w:sz w:val="20"/>
                <w:szCs w:val="16"/>
                <w:u w:color="000000"/>
                <w:lang w:eastAsia="es-CR"/>
              </w:rPr>
            </w:pPr>
            <w:r w:rsidRPr="00F31A99">
              <w:rPr>
                <w:rFonts w:ascii="Times New Roman" w:hAnsi="Times New Roman" w:eastAsia="Calibri" w:cs="Times New Roman"/>
                <w:sz w:val="20"/>
                <w:szCs w:val="16"/>
                <w:u w:color="000000"/>
                <w:lang w:eastAsia="es-CR"/>
              </w:rPr>
              <w:t>40 442 824,32</w:t>
            </w:r>
          </w:p>
        </w:tc>
      </w:tr>
      <w:tr w:rsidRPr="00F31A99" w:rsidR="00AE1B2B" w:rsidTr="00A306B2" w14:paraId="5419228F" w14:textId="77777777">
        <w:trPr>
          <w:trHeight w:val="420"/>
          <w:jc w:val="center"/>
        </w:trPr>
        <w:tc>
          <w:tcPr>
            <w:tcW w:w="1518" w:type="pct"/>
            <w:gridSpan w:val="2"/>
            <w:tcBorders>
              <w:top w:val="single" w:color="auto" w:sz="4" w:space="0"/>
              <w:left w:val="single" w:color="auto" w:sz="4" w:space="0"/>
              <w:bottom w:val="single" w:color="auto" w:sz="4" w:space="0"/>
              <w:right w:val="single" w:color="auto" w:sz="4" w:space="0"/>
            </w:tcBorders>
            <w:vAlign w:val="center"/>
            <w:hideMark/>
          </w:tcPr>
          <w:p w:rsidRPr="00F31A99" w:rsidR="00F31A99" w:rsidP="00F31A99" w:rsidRDefault="00F31A99" w14:paraId="1E50E94B" w14:textId="77777777">
            <w:pPr>
              <w:autoSpaceDN w:val="0"/>
              <w:spacing w:line="256" w:lineRule="auto"/>
              <w:jc w:val="center"/>
              <w:rPr>
                <w:rFonts w:ascii="Times New Roman" w:hAnsi="Times New Roman" w:eastAsia="Calibri" w:cs="Times New Roman"/>
                <w:b/>
                <w:bCs/>
                <w:sz w:val="20"/>
                <w:szCs w:val="16"/>
                <w:u w:color="000000"/>
                <w:lang w:eastAsia="es-CR"/>
              </w:rPr>
            </w:pPr>
            <w:r w:rsidRPr="00F31A99">
              <w:rPr>
                <w:rFonts w:ascii="Times New Roman" w:hAnsi="Times New Roman" w:eastAsia="Calibri" w:cs="Times New Roman"/>
                <w:b/>
                <w:bCs/>
                <w:sz w:val="20"/>
                <w:szCs w:val="16"/>
                <w:u w:color="000000"/>
                <w:lang w:eastAsia="es-CR"/>
              </w:rPr>
              <w:t>MONTO TOTAL PRESUPUESTADO PARA BECAS</w:t>
            </w:r>
          </w:p>
        </w:tc>
        <w:tc>
          <w:tcPr>
            <w:tcW w:w="469"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2112AAB4" w14:textId="77777777">
            <w:pPr>
              <w:autoSpaceDN w:val="0"/>
              <w:spacing w:line="256" w:lineRule="auto"/>
              <w:jc w:val="center"/>
              <w:rPr>
                <w:rFonts w:ascii="Times New Roman" w:hAnsi="Times New Roman" w:eastAsia="Calibri" w:cs="Times New Roman"/>
                <w:b/>
                <w:bCs/>
                <w:sz w:val="20"/>
                <w:szCs w:val="16"/>
                <w:u w:color="000000"/>
                <w:lang w:eastAsia="es-CR"/>
              </w:rPr>
            </w:pPr>
            <w:r w:rsidRPr="00F31A99">
              <w:rPr>
                <w:rFonts w:ascii="Times New Roman" w:hAnsi="Times New Roman" w:eastAsia="Calibri" w:cs="Times New Roman"/>
                <w:b/>
                <w:bCs/>
                <w:sz w:val="20"/>
                <w:szCs w:val="16"/>
                <w:u w:color="000000"/>
                <w:lang w:eastAsia="es-CR"/>
              </w:rPr>
              <w:t>9,00</w:t>
            </w:r>
          </w:p>
        </w:tc>
        <w:tc>
          <w:tcPr>
            <w:tcW w:w="453"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642B87AA" w14:textId="77777777">
            <w:pPr>
              <w:autoSpaceDN w:val="0"/>
              <w:spacing w:line="256" w:lineRule="auto"/>
              <w:jc w:val="center"/>
              <w:rPr>
                <w:rFonts w:ascii="Times New Roman" w:hAnsi="Times New Roman" w:eastAsia="Calibri" w:cs="Times New Roman"/>
                <w:b/>
                <w:bCs/>
                <w:sz w:val="20"/>
                <w:szCs w:val="16"/>
                <w:u w:color="000000"/>
                <w:lang w:eastAsia="es-CR"/>
              </w:rPr>
            </w:pPr>
            <w:r w:rsidRPr="00F31A99">
              <w:rPr>
                <w:rFonts w:ascii="Times New Roman" w:hAnsi="Times New Roman" w:eastAsia="Calibri" w:cs="Times New Roman"/>
                <w:b/>
                <w:bCs/>
                <w:sz w:val="20"/>
                <w:szCs w:val="16"/>
                <w:u w:color="000000"/>
                <w:lang w:eastAsia="es-CR"/>
              </w:rPr>
              <w:t>22,50</w:t>
            </w:r>
          </w:p>
        </w:tc>
        <w:tc>
          <w:tcPr>
            <w:tcW w:w="594" w:type="pct"/>
            <w:tcBorders>
              <w:top w:val="single" w:color="auto" w:sz="4" w:space="0"/>
              <w:left w:val="single" w:color="auto" w:sz="4" w:space="0"/>
              <w:bottom w:val="single" w:color="auto" w:sz="4" w:space="0"/>
              <w:right w:val="single" w:color="auto" w:sz="4" w:space="0"/>
            </w:tcBorders>
            <w:noWrap/>
            <w:vAlign w:val="center"/>
          </w:tcPr>
          <w:p w:rsidRPr="00F31A99" w:rsidR="00F31A99" w:rsidP="00F31A99" w:rsidRDefault="00F31A99" w14:paraId="75008183" w14:textId="77777777">
            <w:pPr>
              <w:autoSpaceDN w:val="0"/>
              <w:spacing w:line="256" w:lineRule="auto"/>
              <w:jc w:val="center"/>
              <w:rPr>
                <w:rFonts w:ascii="Times New Roman" w:hAnsi="Times New Roman" w:eastAsia="Calibri" w:cs="Times New Roman"/>
                <w:b/>
                <w:bCs/>
                <w:sz w:val="20"/>
                <w:szCs w:val="16"/>
                <w:u w:color="000000"/>
                <w:lang w:eastAsia="es-CR"/>
              </w:rPr>
            </w:pPr>
          </w:p>
        </w:tc>
        <w:tc>
          <w:tcPr>
            <w:tcW w:w="594" w:type="pct"/>
            <w:tcBorders>
              <w:top w:val="single" w:color="auto" w:sz="4" w:space="0"/>
              <w:left w:val="single" w:color="auto" w:sz="4" w:space="0"/>
              <w:bottom w:val="single" w:color="auto" w:sz="4" w:space="0"/>
              <w:right w:val="single" w:color="auto" w:sz="4" w:space="0"/>
            </w:tcBorders>
            <w:noWrap/>
            <w:vAlign w:val="center"/>
          </w:tcPr>
          <w:p w:rsidRPr="00F31A99" w:rsidR="00F31A99" w:rsidP="00F31A99" w:rsidRDefault="00F31A99" w14:paraId="2F7568FD" w14:textId="77777777">
            <w:pPr>
              <w:autoSpaceDN w:val="0"/>
              <w:spacing w:line="256" w:lineRule="auto"/>
              <w:jc w:val="center"/>
              <w:rPr>
                <w:rFonts w:ascii="Times New Roman" w:hAnsi="Times New Roman" w:eastAsia="Calibri" w:cs="Times New Roman"/>
                <w:b/>
                <w:bCs/>
                <w:sz w:val="20"/>
                <w:szCs w:val="16"/>
                <w:u w:color="000000"/>
                <w:lang w:eastAsia="es-CR"/>
              </w:rPr>
            </w:pP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4649890D" w14:textId="77777777">
            <w:pPr>
              <w:autoSpaceDN w:val="0"/>
              <w:spacing w:line="256" w:lineRule="auto"/>
              <w:jc w:val="center"/>
              <w:rPr>
                <w:rFonts w:ascii="Times New Roman" w:hAnsi="Times New Roman" w:eastAsia="Calibri" w:cs="Times New Roman"/>
                <w:b/>
                <w:bCs/>
                <w:sz w:val="20"/>
                <w:szCs w:val="16"/>
                <w:u w:color="000000"/>
                <w:lang w:eastAsia="es-CR"/>
              </w:rPr>
            </w:pPr>
            <w:r w:rsidRPr="00F31A99">
              <w:rPr>
                <w:rFonts w:ascii="Times New Roman" w:hAnsi="Times New Roman" w:eastAsia="Calibri" w:cs="Times New Roman"/>
                <w:b/>
                <w:bCs/>
                <w:sz w:val="20"/>
                <w:szCs w:val="16"/>
                <w:u w:color="000000"/>
              </w:rPr>
              <w:t>76 491 757,35</w:t>
            </w:r>
          </w:p>
        </w:tc>
        <w:tc>
          <w:tcPr>
            <w:tcW w:w="685" w:type="pct"/>
            <w:tcBorders>
              <w:top w:val="single" w:color="auto" w:sz="4" w:space="0"/>
              <w:left w:val="single" w:color="auto" w:sz="4" w:space="0"/>
              <w:bottom w:val="single" w:color="auto" w:sz="4" w:space="0"/>
              <w:right w:val="single" w:color="auto" w:sz="4" w:space="0"/>
            </w:tcBorders>
            <w:noWrap/>
            <w:vAlign w:val="center"/>
            <w:hideMark/>
          </w:tcPr>
          <w:p w:rsidRPr="00F31A99" w:rsidR="00F31A99" w:rsidP="00F31A99" w:rsidRDefault="00F31A99" w14:paraId="0E1B9B15" w14:textId="77777777">
            <w:pPr>
              <w:autoSpaceDN w:val="0"/>
              <w:spacing w:line="256" w:lineRule="auto"/>
              <w:jc w:val="center"/>
              <w:rPr>
                <w:rFonts w:ascii="Times New Roman" w:hAnsi="Times New Roman" w:eastAsia="Calibri" w:cs="Times New Roman"/>
                <w:b/>
                <w:bCs/>
                <w:sz w:val="20"/>
                <w:szCs w:val="16"/>
                <w:u w:color="000000"/>
                <w:lang w:eastAsia="es-CR"/>
              </w:rPr>
            </w:pPr>
            <w:r w:rsidRPr="00F31A99">
              <w:rPr>
                <w:rFonts w:ascii="Times New Roman" w:hAnsi="Times New Roman" w:eastAsia="Calibri" w:cs="Times New Roman"/>
                <w:b/>
                <w:bCs/>
                <w:sz w:val="20"/>
                <w:szCs w:val="16"/>
                <w:u w:color="000000"/>
              </w:rPr>
              <w:t>75 830 295,60</w:t>
            </w:r>
          </w:p>
        </w:tc>
      </w:tr>
    </w:tbl>
    <w:p w:rsidRPr="00F31A99" w:rsidR="00F31A99" w:rsidP="00F31A99" w:rsidRDefault="00F31A99" w14:paraId="634FAF0C" w14:textId="77777777">
      <w:pPr>
        <w:autoSpaceDN w:val="0"/>
        <w:spacing w:line="480" w:lineRule="auto"/>
        <w:ind w:right="-40"/>
        <w:rPr>
          <w:rFonts w:ascii="Times New Roman" w:hAnsi="Times New Roman" w:eastAsia="Calibri" w:cs="Times New Roman"/>
          <w:b/>
          <w:u w:color="000000"/>
        </w:rPr>
      </w:pPr>
    </w:p>
    <w:p w:rsidRPr="00F31A99" w:rsidR="00F31A99" w:rsidP="00F31A99" w:rsidRDefault="00F31A99" w14:paraId="02FB5D2B" w14:textId="77777777">
      <w:pPr>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B. Becas para Personas Funcionarias Judiciales</w:t>
      </w:r>
    </w:p>
    <w:p w:rsidRPr="00F31A99" w:rsidR="00F31A99" w:rsidP="00F31A99" w:rsidRDefault="00F31A99" w14:paraId="0031ED21" w14:textId="77777777">
      <w:pPr>
        <w:widowControl w:val="0"/>
        <w:autoSpaceDE w:val="0"/>
        <w:autoSpaceDN w:val="0"/>
        <w:adjustRightInd w:val="0"/>
        <w:ind w:left="851" w:right="851" w:firstLine="709"/>
        <w:jc w:val="both"/>
        <w:rPr>
          <w:rFonts w:ascii="Times New Roman" w:hAnsi="Times New Roman" w:eastAsia="Arial Unicode MS" w:cs="Times New Roman"/>
          <w:b/>
          <w:bCs/>
          <w:sz w:val="26"/>
          <w:szCs w:val="26"/>
          <w:u w:val="single" w:color="000000"/>
          <w:lang w:eastAsia="es-ES"/>
        </w:rPr>
      </w:pPr>
      <w:r w:rsidRPr="00F31A99">
        <w:rPr>
          <w:rFonts w:ascii="Times New Roman" w:hAnsi="Times New Roman" w:eastAsia="Arial Unicode MS" w:cs="Times New Roman"/>
          <w:b/>
          <w:bCs/>
          <w:sz w:val="26"/>
          <w:szCs w:val="26"/>
          <w:u w:val="single" w:color="000000"/>
          <w:lang w:eastAsia="es-ES"/>
        </w:rPr>
        <w:t>Oficio 075-CAP-2021</w:t>
      </w:r>
    </w:p>
    <w:p w:rsidRPr="00F31A99" w:rsidR="00F31A99" w:rsidP="00F31A99" w:rsidRDefault="00F31A99" w14:paraId="1662A871" w14:textId="77777777">
      <w:pPr>
        <w:widowControl w:val="0"/>
        <w:autoSpaceDE w:val="0"/>
        <w:autoSpaceDN w:val="0"/>
        <w:adjustRightInd w:val="0"/>
        <w:ind w:left="851" w:right="851" w:firstLine="709"/>
        <w:jc w:val="both"/>
        <w:rPr>
          <w:rFonts w:ascii="Times New Roman" w:hAnsi="Times New Roman" w:eastAsia="Arial Unicode MS" w:cs="Times New Roman"/>
          <w:sz w:val="26"/>
          <w:szCs w:val="26"/>
          <w:u w:color="000000"/>
          <w:lang w:eastAsia="es-ES"/>
        </w:rPr>
      </w:pPr>
      <w:r w:rsidRPr="00F31A99">
        <w:rPr>
          <w:rFonts w:ascii="Times New Roman" w:hAnsi="Times New Roman" w:eastAsia="Arial Unicode MS" w:cs="Times New Roman"/>
          <w:sz w:val="26"/>
          <w:szCs w:val="26"/>
          <w:u w:color="000000"/>
          <w:lang w:eastAsia="es-ES"/>
        </w:rPr>
        <w:t xml:space="preserve">Según lo explicado en el punto 1 de aspectos generales, a partir del 2022 los recursos que se solicitaban por la subpartida 10701 y correspondientes a las ayudas económicas formuladas por concepto de becas, se trasladan a la subpartida 60201 “Becas a Funcionarios”, por lo que se parte para esta subpartida de un presupuesto máximo a formular de ¢24.292.504 que es el resultado de la suma de los montos finales aprobados tanto en la subpartida 10701 como en la 60201, </w:t>
      </w:r>
      <w:r w:rsidRPr="00F31A99">
        <w:rPr>
          <w:rFonts w:ascii="Times New Roman" w:hAnsi="Times New Roman" w:eastAsia="Arial Unicode MS" w:cs="Times New Roman"/>
          <w:sz w:val="26"/>
          <w:szCs w:val="26"/>
          <w:u w:color="000000"/>
          <w:lang w:eastAsia="es-ES"/>
        </w:rPr>
        <w:lastRenderedPageBreak/>
        <w:t>menos el 4% que es el límite máximo autorizado por Corte Plena para el 2022.</w:t>
      </w:r>
    </w:p>
    <w:p w:rsidRPr="00F31A99" w:rsidR="00F31A99" w:rsidP="00F31A99" w:rsidRDefault="00F31A99" w14:paraId="61E4A9EB" w14:textId="77777777">
      <w:pPr>
        <w:widowControl w:val="0"/>
        <w:autoSpaceDE w:val="0"/>
        <w:autoSpaceDN w:val="0"/>
        <w:adjustRightInd w:val="0"/>
        <w:ind w:left="851" w:right="851" w:firstLine="709"/>
        <w:jc w:val="both"/>
        <w:rPr>
          <w:rFonts w:ascii="Times New Roman" w:hAnsi="Times New Roman" w:eastAsia="Arial Unicode MS" w:cs="Times New Roman"/>
          <w:sz w:val="26"/>
          <w:szCs w:val="26"/>
          <w:u w:color="000000"/>
          <w:lang w:eastAsia="es-ES"/>
        </w:rPr>
      </w:pPr>
      <w:r w:rsidRPr="00F31A99">
        <w:rPr>
          <w:rFonts w:ascii="Times New Roman" w:hAnsi="Times New Roman" w:eastAsia="Arial Unicode MS" w:cs="Times New Roman"/>
          <w:sz w:val="26"/>
          <w:szCs w:val="26"/>
          <w:u w:color="000000"/>
          <w:lang w:eastAsia="es-ES"/>
        </w:rPr>
        <w:t>Originalmente en el oficio 075-CAP-2021 se planteó una propuesta de formulación de becas para el 2022, la que consideraba a todos los Programas, excepto al Administrativo (926), con la justificación de que a este Programa se le rebajó la totalidad del presupuesto aprobado para el 2021. En resumen, la propuesta planteada es la siguiente:</w:t>
      </w:r>
    </w:p>
    <w:p w:rsidRPr="00F31A99" w:rsidR="00F31A99" w:rsidP="00F31A99" w:rsidRDefault="00F31A99" w14:paraId="1C579921" w14:textId="77777777">
      <w:pPr>
        <w:widowControl w:val="0"/>
        <w:autoSpaceDE w:val="0"/>
        <w:autoSpaceDN w:val="0"/>
        <w:adjustRightInd w:val="0"/>
        <w:ind w:left="851" w:right="851" w:firstLine="709"/>
        <w:jc w:val="both"/>
        <w:rPr>
          <w:rFonts w:ascii="Times New Roman" w:hAnsi="Times New Roman" w:eastAsia="Arial Unicode MS" w:cs="Times New Roman"/>
          <w:sz w:val="26"/>
          <w:szCs w:val="26"/>
          <w:u w:color="000000"/>
          <w:lang w:eastAsia="es-ES"/>
        </w:rPr>
      </w:pPr>
    </w:p>
    <w:tbl>
      <w:tblPr>
        <w:tblW w:w="9640" w:type="dxa"/>
        <w:tblInd w:w="-431" w:type="dxa"/>
        <w:tblCellMar>
          <w:left w:w="70" w:type="dxa"/>
          <w:right w:w="70" w:type="dxa"/>
        </w:tblCellMar>
        <w:tblLook w:val="04A0" w:firstRow="1" w:lastRow="0" w:firstColumn="1" w:lastColumn="0" w:noHBand="0" w:noVBand="1"/>
      </w:tblPr>
      <w:tblGrid>
        <w:gridCol w:w="3403"/>
        <w:gridCol w:w="1701"/>
        <w:gridCol w:w="2126"/>
        <w:gridCol w:w="2410"/>
      </w:tblGrid>
      <w:tr w:rsidRPr="00F31A99" w:rsidR="00AE1B2B" w:rsidTr="00A306B2" w14:paraId="253CFC53" w14:textId="77777777">
        <w:trPr>
          <w:trHeight w:val="411"/>
        </w:trPr>
        <w:tc>
          <w:tcPr>
            <w:tcW w:w="9640" w:type="dxa"/>
            <w:gridSpan w:val="4"/>
            <w:tcBorders>
              <w:top w:val="single" w:color="auto" w:sz="4" w:space="0"/>
              <w:left w:val="single" w:color="auto" w:sz="4" w:space="0"/>
              <w:bottom w:val="single" w:color="auto" w:sz="4" w:space="0"/>
              <w:right w:val="single" w:color="auto" w:sz="4" w:space="0"/>
            </w:tcBorders>
            <w:shd w:val="clear" w:color="auto" w:fill="D9D9D9"/>
            <w:vAlign w:val="center"/>
            <w:hideMark/>
          </w:tcPr>
          <w:p w:rsidRPr="00F31A99" w:rsidR="00F31A99" w:rsidP="00F31A99" w:rsidRDefault="00F31A99" w14:paraId="679A4B05" w14:textId="77777777">
            <w:pPr>
              <w:autoSpaceDN w:val="0"/>
              <w:spacing w:line="256" w:lineRule="auto"/>
              <w:jc w:val="center"/>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Resumen Subpartida 6.02.01 (Becas a funcionarios)</w:t>
            </w:r>
          </w:p>
        </w:tc>
      </w:tr>
      <w:tr w:rsidRPr="00F31A99" w:rsidR="00AE1B2B" w:rsidTr="00A306B2" w14:paraId="7BF51253" w14:textId="77777777">
        <w:trPr>
          <w:trHeight w:val="870"/>
        </w:trPr>
        <w:tc>
          <w:tcPr>
            <w:tcW w:w="3403" w:type="dxa"/>
            <w:tcBorders>
              <w:top w:val="nil"/>
              <w:left w:val="single" w:color="auto" w:sz="4" w:space="0"/>
              <w:bottom w:val="single" w:color="auto" w:sz="4" w:space="0"/>
              <w:right w:val="single" w:color="auto" w:sz="4" w:space="0"/>
            </w:tcBorders>
            <w:shd w:val="clear" w:color="auto" w:fill="D9D9D9"/>
            <w:vAlign w:val="center"/>
            <w:hideMark/>
          </w:tcPr>
          <w:p w:rsidRPr="00F31A99" w:rsidR="00F31A99" w:rsidP="00F31A99" w:rsidRDefault="00F31A99" w14:paraId="2FA8B925" w14:textId="77777777">
            <w:pPr>
              <w:autoSpaceDN w:val="0"/>
              <w:spacing w:line="256" w:lineRule="auto"/>
              <w:jc w:val="center"/>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Programa presupuestario</w:t>
            </w:r>
          </w:p>
        </w:tc>
        <w:tc>
          <w:tcPr>
            <w:tcW w:w="1701" w:type="dxa"/>
            <w:tcBorders>
              <w:top w:val="nil"/>
              <w:left w:val="nil"/>
              <w:bottom w:val="single" w:color="auto" w:sz="4" w:space="0"/>
              <w:right w:val="single" w:color="auto" w:sz="4" w:space="0"/>
            </w:tcBorders>
            <w:shd w:val="clear" w:color="auto" w:fill="D9D9D9"/>
            <w:vAlign w:val="center"/>
            <w:hideMark/>
          </w:tcPr>
          <w:p w:rsidRPr="00F31A99" w:rsidR="00F31A99" w:rsidP="00F31A99" w:rsidRDefault="00F31A99" w14:paraId="76D394BC" w14:textId="77777777">
            <w:pPr>
              <w:autoSpaceDN w:val="0"/>
              <w:spacing w:line="256" w:lineRule="auto"/>
              <w:jc w:val="center"/>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Máximo a formular para el año 2022</w:t>
            </w:r>
          </w:p>
        </w:tc>
        <w:tc>
          <w:tcPr>
            <w:tcW w:w="2126" w:type="dxa"/>
            <w:tcBorders>
              <w:top w:val="nil"/>
              <w:left w:val="nil"/>
              <w:bottom w:val="single" w:color="auto" w:sz="4" w:space="0"/>
              <w:right w:val="single" w:color="auto" w:sz="4" w:space="0"/>
            </w:tcBorders>
            <w:shd w:val="clear" w:color="auto" w:fill="D9D9D9"/>
            <w:vAlign w:val="center"/>
            <w:hideMark/>
          </w:tcPr>
          <w:p w:rsidRPr="00F31A99" w:rsidR="00F31A99" w:rsidP="00F31A99" w:rsidRDefault="00F31A99" w14:paraId="2DFDD766" w14:textId="77777777">
            <w:pPr>
              <w:autoSpaceDN w:val="0"/>
              <w:spacing w:line="256" w:lineRule="auto"/>
              <w:jc w:val="center"/>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Recursos en la subpartida 10701</w:t>
            </w:r>
          </w:p>
          <w:p w:rsidRPr="00F31A99" w:rsidR="00F31A99" w:rsidP="00F31A99" w:rsidRDefault="00F31A99" w14:paraId="7E3D3B7E" w14:textId="77777777">
            <w:pPr>
              <w:autoSpaceDN w:val="0"/>
              <w:spacing w:line="256" w:lineRule="auto"/>
              <w:jc w:val="center"/>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 xml:space="preserve"> para becas (ayudas económicas)</w:t>
            </w:r>
          </w:p>
        </w:tc>
        <w:tc>
          <w:tcPr>
            <w:tcW w:w="2410" w:type="dxa"/>
            <w:tcBorders>
              <w:top w:val="nil"/>
              <w:left w:val="nil"/>
              <w:bottom w:val="single" w:color="auto" w:sz="4" w:space="0"/>
              <w:right w:val="single" w:color="auto" w:sz="4" w:space="0"/>
            </w:tcBorders>
            <w:shd w:val="clear" w:color="auto" w:fill="D9D9D9"/>
            <w:vAlign w:val="center"/>
            <w:hideMark/>
          </w:tcPr>
          <w:p w:rsidRPr="00F31A99" w:rsidR="00F31A99" w:rsidP="00F31A99" w:rsidRDefault="00F31A99" w14:paraId="0E205001" w14:textId="77777777">
            <w:pPr>
              <w:autoSpaceDN w:val="0"/>
              <w:spacing w:line="256" w:lineRule="auto"/>
              <w:jc w:val="center"/>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Total de recursos por formular para becas</w:t>
            </w:r>
          </w:p>
          <w:p w:rsidRPr="00F31A99" w:rsidR="00F31A99" w:rsidP="00F31A99" w:rsidRDefault="00F31A99" w14:paraId="08A9FA54" w14:textId="77777777">
            <w:pPr>
              <w:autoSpaceDN w:val="0"/>
              <w:spacing w:line="256" w:lineRule="auto"/>
              <w:jc w:val="center"/>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(pago parcial o total posgrados, ayudas económicas)</w:t>
            </w:r>
          </w:p>
        </w:tc>
      </w:tr>
      <w:tr w:rsidRPr="00F31A99" w:rsidR="00AE1B2B" w:rsidTr="00A306B2" w14:paraId="2C3E006D" w14:textId="77777777">
        <w:trPr>
          <w:trHeight w:val="290"/>
        </w:trPr>
        <w:tc>
          <w:tcPr>
            <w:tcW w:w="3403" w:type="dxa"/>
            <w:tcBorders>
              <w:top w:val="nil"/>
              <w:left w:val="single" w:color="auto" w:sz="4" w:space="0"/>
              <w:bottom w:val="single" w:color="auto" w:sz="4" w:space="0"/>
              <w:right w:val="single" w:color="auto" w:sz="4" w:space="0"/>
            </w:tcBorders>
            <w:vAlign w:val="center"/>
            <w:hideMark/>
          </w:tcPr>
          <w:p w:rsidRPr="00F31A99" w:rsidR="00F31A99" w:rsidP="00F31A99" w:rsidRDefault="00F31A99" w14:paraId="03CCE1A2"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926 (Dirección y Administración)</w:t>
            </w:r>
          </w:p>
        </w:tc>
        <w:tc>
          <w:tcPr>
            <w:tcW w:w="1701" w:type="dxa"/>
            <w:tcBorders>
              <w:top w:val="nil"/>
              <w:left w:val="nil"/>
              <w:bottom w:val="single" w:color="auto" w:sz="4" w:space="0"/>
              <w:right w:val="single" w:color="auto" w:sz="4" w:space="0"/>
            </w:tcBorders>
            <w:vAlign w:val="center"/>
            <w:hideMark/>
          </w:tcPr>
          <w:p w:rsidRPr="00F31A99" w:rsidR="00F31A99" w:rsidP="00F31A99" w:rsidRDefault="00F31A99" w14:paraId="65F8B17B"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0,00</w:t>
            </w:r>
          </w:p>
        </w:tc>
        <w:tc>
          <w:tcPr>
            <w:tcW w:w="2126" w:type="dxa"/>
            <w:tcBorders>
              <w:top w:val="nil"/>
              <w:left w:val="nil"/>
              <w:bottom w:val="single" w:color="auto" w:sz="4" w:space="0"/>
              <w:right w:val="single" w:color="auto" w:sz="4" w:space="0"/>
            </w:tcBorders>
            <w:vAlign w:val="center"/>
            <w:hideMark/>
          </w:tcPr>
          <w:p w:rsidRPr="00F31A99" w:rsidR="00F31A99" w:rsidP="00F31A99" w:rsidRDefault="00F31A99" w14:paraId="10BDAD47"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0,00</w:t>
            </w:r>
          </w:p>
        </w:tc>
        <w:tc>
          <w:tcPr>
            <w:tcW w:w="2410" w:type="dxa"/>
            <w:tcBorders>
              <w:top w:val="nil"/>
              <w:left w:val="nil"/>
              <w:bottom w:val="single" w:color="auto" w:sz="4" w:space="0"/>
              <w:right w:val="single" w:color="auto" w:sz="4" w:space="0"/>
            </w:tcBorders>
            <w:vAlign w:val="center"/>
            <w:hideMark/>
          </w:tcPr>
          <w:p w:rsidRPr="00F31A99" w:rsidR="00F31A99" w:rsidP="00F31A99" w:rsidRDefault="00F31A99" w14:paraId="57AD3E5B"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0,00</w:t>
            </w:r>
          </w:p>
        </w:tc>
      </w:tr>
      <w:tr w:rsidRPr="00F31A99" w:rsidR="00AE1B2B" w:rsidTr="00A306B2" w14:paraId="660AEC05" w14:textId="77777777">
        <w:trPr>
          <w:trHeight w:val="290"/>
        </w:trPr>
        <w:tc>
          <w:tcPr>
            <w:tcW w:w="3403" w:type="dxa"/>
            <w:tcBorders>
              <w:top w:val="nil"/>
              <w:left w:val="single" w:color="auto" w:sz="4" w:space="0"/>
              <w:bottom w:val="single" w:color="auto" w:sz="4" w:space="0"/>
              <w:right w:val="single" w:color="auto" w:sz="4" w:space="0"/>
            </w:tcBorders>
            <w:vAlign w:val="center"/>
            <w:hideMark/>
          </w:tcPr>
          <w:p w:rsidRPr="00F31A99" w:rsidR="00F31A99" w:rsidP="00F31A99" w:rsidRDefault="00F31A99" w14:paraId="61A3277E"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927 (Judicatura)</w:t>
            </w:r>
          </w:p>
        </w:tc>
        <w:tc>
          <w:tcPr>
            <w:tcW w:w="1701" w:type="dxa"/>
            <w:tcBorders>
              <w:top w:val="nil"/>
              <w:left w:val="nil"/>
              <w:bottom w:val="single" w:color="auto" w:sz="4" w:space="0"/>
              <w:right w:val="single" w:color="auto" w:sz="4" w:space="0"/>
            </w:tcBorders>
            <w:vAlign w:val="center"/>
            <w:hideMark/>
          </w:tcPr>
          <w:p w:rsidRPr="00F31A99" w:rsidR="00F31A99" w:rsidP="00F31A99" w:rsidRDefault="00F31A99" w14:paraId="4B2EFB11"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5 411 097,60</w:t>
            </w:r>
          </w:p>
        </w:tc>
        <w:tc>
          <w:tcPr>
            <w:tcW w:w="2126" w:type="dxa"/>
            <w:tcBorders>
              <w:top w:val="nil"/>
              <w:left w:val="nil"/>
              <w:bottom w:val="single" w:color="auto" w:sz="4" w:space="0"/>
              <w:right w:val="single" w:color="auto" w:sz="4" w:space="0"/>
            </w:tcBorders>
            <w:vAlign w:val="center"/>
            <w:hideMark/>
          </w:tcPr>
          <w:p w:rsidRPr="00F31A99" w:rsidR="00F31A99" w:rsidP="00F31A99" w:rsidRDefault="00F31A99" w14:paraId="6462A366"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2 051 174,40</w:t>
            </w:r>
          </w:p>
        </w:tc>
        <w:tc>
          <w:tcPr>
            <w:tcW w:w="2410" w:type="dxa"/>
            <w:tcBorders>
              <w:top w:val="nil"/>
              <w:left w:val="nil"/>
              <w:bottom w:val="single" w:color="auto" w:sz="4" w:space="0"/>
              <w:right w:val="single" w:color="auto" w:sz="4" w:space="0"/>
            </w:tcBorders>
            <w:vAlign w:val="center"/>
            <w:hideMark/>
          </w:tcPr>
          <w:p w:rsidRPr="00F31A99" w:rsidR="00F31A99" w:rsidP="00F31A99" w:rsidRDefault="00F31A99" w14:paraId="3723734C"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7 462 272,00</w:t>
            </w:r>
          </w:p>
        </w:tc>
      </w:tr>
      <w:tr w:rsidRPr="00F31A99" w:rsidR="00AE1B2B" w:rsidTr="00A306B2" w14:paraId="73C453F8" w14:textId="77777777">
        <w:trPr>
          <w:trHeight w:val="290"/>
        </w:trPr>
        <w:tc>
          <w:tcPr>
            <w:tcW w:w="3403" w:type="dxa"/>
            <w:tcBorders>
              <w:top w:val="nil"/>
              <w:left w:val="single" w:color="auto" w:sz="4" w:space="0"/>
              <w:bottom w:val="single" w:color="auto" w:sz="4" w:space="0"/>
              <w:right w:val="single" w:color="auto" w:sz="4" w:space="0"/>
            </w:tcBorders>
            <w:vAlign w:val="center"/>
            <w:hideMark/>
          </w:tcPr>
          <w:p w:rsidRPr="00F31A99" w:rsidR="00F31A99" w:rsidP="00F31A99" w:rsidRDefault="00F31A99" w14:paraId="4C0D6B9C"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928 (OIJ)</w:t>
            </w:r>
          </w:p>
        </w:tc>
        <w:tc>
          <w:tcPr>
            <w:tcW w:w="1701" w:type="dxa"/>
            <w:tcBorders>
              <w:top w:val="nil"/>
              <w:left w:val="nil"/>
              <w:bottom w:val="single" w:color="auto" w:sz="4" w:space="0"/>
              <w:right w:val="single" w:color="auto" w:sz="4" w:space="0"/>
            </w:tcBorders>
            <w:vAlign w:val="center"/>
            <w:hideMark/>
          </w:tcPr>
          <w:p w:rsidRPr="00F31A99" w:rsidR="00F31A99" w:rsidP="00F31A99" w:rsidRDefault="00F31A99" w14:paraId="39E619D0"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1 500 672,00</w:t>
            </w:r>
          </w:p>
        </w:tc>
        <w:tc>
          <w:tcPr>
            <w:tcW w:w="2126" w:type="dxa"/>
            <w:tcBorders>
              <w:top w:val="nil"/>
              <w:left w:val="nil"/>
              <w:bottom w:val="single" w:color="auto" w:sz="4" w:space="0"/>
              <w:right w:val="single" w:color="auto" w:sz="4" w:space="0"/>
            </w:tcBorders>
            <w:vAlign w:val="center"/>
            <w:hideMark/>
          </w:tcPr>
          <w:p w:rsidRPr="00F31A99" w:rsidR="00F31A99" w:rsidP="00F31A99" w:rsidRDefault="00F31A99" w14:paraId="4B7907BE"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0,00</w:t>
            </w:r>
          </w:p>
        </w:tc>
        <w:tc>
          <w:tcPr>
            <w:tcW w:w="2410" w:type="dxa"/>
            <w:tcBorders>
              <w:top w:val="nil"/>
              <w:left w:val="nil"/>
              <w:bottom w:val="single" w:color="auto" w:sz="4" w:space="0"/>
              <w:right w:val="single" w:color="auto" w:sz="4" w:space="0"/>
            </w:tcBorders>
            <w:vAlign w:val="center"/>
            <w:hideMark/>
          </w:tcPr>
          <w:p w:rsidRPr="00F31A99" w:rsidR="00F31A99" w:rsidP="00F31A99" w:rsidRDefault="00F31A99" w14:paraId="7D2AF34A"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1 500 672,00</w:t>
            </w:r>
          </w:p>
        </w:tc>
      </w:tr>
      <w:tr w:rsidRPr="00F31A99" w:rsidR="00AE1B2B" w:rsidTr="00A306B2" w14:paraId="1D923F35" w14:textId="77777777">
        <w:trPr>
          <w:trHeight w:val="290"/>
        </w:trPr>
        <w:tc>
          <w:tcPr>
            <w:tcW w:w="3403" w:type="dxa"/>
            <w:tcBorders>
              <w:top w:val="nil"/>
              <w:left w:val="single" w:color="auto" w:sz="4" w:space="0"/>
              <w:bottom w:val="single" w:color="auto" w:sz="4" w:space="0"/>
              <w:right w:val="single" w:color="auto" w:sz="4" w:space="0"/>
            </w:tcBorders>
            <w:vAlign w:val="center"/>
            <w:hideMark/>
          </w:tcPr>
          <w:p w:rsidRPr="00F31A99" w:rsidR="00F31A99" w:rsidP="00F31A99" w:rsidRDefault="00F31A99" w14:paraId="4DD6351F"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929 (Ministerio Público)</w:t>
            </w:r>
          </w:p>
        </w:tc>
        <w:tc>
          <w:tcPr>
            <w:tcW w:w="1701" w:type="dxa"/>
            <w:tcBorders>
              <w:top w:val="nil"/>
              <w:left w:val="nil"/>
              <w:bottom w:val="single" w:color="auto" w:sz="4" w:space="0"/>
              <w:right w:val="single" w:color="auto" w:sz="4" w:space="0"/>
            </w:tcBorders>
            <w:vAlign w:val="center"/>
            <w:hideMark/>
          </w:tcPr>
          <w:p w:rsidRPr="00F31A99" w:rsidR="00F31A99" w:rsidP="00F31A99" w:rsidRDefault="00F31A99" w14:paraId="2DC0D2FC"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5 678 584,32</w:t>
            </w:r>
          </w:p>
        </w:tc>
        <w:tc>
          <w:tcPr>
            <w:tcW w:w="2126" w:type="dxa"/>
            <w:tcBorders>
              <w:top w:val="nil"/>
              <w:left w:val="nil"/>
              <w:bottom w:val="single" w:color="auto" w:sz="4" w:space="0"/>
              <w:right w:val="single" w:color="auto" w:sz="4" w:space="0"/>
            </w:tcBorders>
            <w:vAlign w:val="center"/>
            <w:hideMark/>
          </w:tcPr>
          <w:p w:rsidRPr="00F31A99" w:rsidR="00F31A99" w:rsidP="00F31A99" w:rsidRDefault="00F31A99" w14:paraId="596AD687"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256 396,80</w:t>
            </w:r>
          </w:p>
        </w:tc>
        <w:tc>
          <w:tcPr>
            <w:tcW w:w="2410" w:type="dxa"/>
            <w:tcBorders>
              <w:top w:val="nil"/>
              <w:left w:val="nil"/>
              <w:bottom w:val="single" w:color="auto" w:sz="4" w:space="0"/>
              <w:right w:val="single" w:color="auto" w:sz="4" w:space="0"/>
            </w:tcBorders>
            <w:vAlign w:val="center"/>
            <w:hideMark/>
          </w:tcPr>
          <w:p w:rsidRPr="00F31A99" w:rsidR="00F31A99" w:rsidP="00F31A99" w:rsidRDefault="00F31A99" w14:paraId="72B4CFBB"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5 934 981,12</w:t>
            </w:r>
          </w:p>
        </w:tc>
      </w:tr>
      <w:tr w:rsidRPr="00F31A99" w:rsidR="00AE1B2B" w:rsidTr="00A306B2" w14:paraId="40D5B9D4" w14:textId="77777777">
        <w:trPr>
          <w:trHeight w:val="290"/>
        </w:trPr>
        <w:tc>
          <w:tcPr>
            <w:tcW w:w="3403" w:type="dxa"/>
            <w:tcBorders>
              <w:top w:val="nil"/>
              <w:left w:val="single" w:color="auto" w:sz="4" w:space="0"/>
              <w:bottom w:val="single" w:color="auto" w:sz="4" w:space="0"/>
              <w:right w:val="single" w:color="auto" w:sz="4" w:space="0"/>
            </w:tcBorders>
            <w:vAlign w:val="center"/>
            <w:hideMark/>
          </w:tcPr>
          <w:p w:rsidRPr="00F31A99" w:rsidR="00F31A99" w:rsidP="00F31A99" w:rsidRDefault="00F31A99" w14:paraId="0E8F9AEA"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930 (Defensa Pública)</w:t>
            </w:r>
          </w:p>
        </w:tc>
        <w:tc>
          <w:tcPr>
            <w:tcW w:w="1701" w:type="dxa"/>
            <w:tcBorders>
              <w:top w:val="nil"/>
              <w:left w:val="nil"/>
              <w:bottom w:val="single" w:color="auto" w:sz="4" w:space="0"/>
              <w:right w:val="single" w:color="auto" w:sz="4" w:space="0"/>
            </w:tcBorders>
            <w:vAlign w:val="center"/>
            <w:hideMark/>
          </w:tcPr>
          <w:p w:rsidRPr="00F31A99" w:rsidR="00F31A99" w:rsidP="00F31A99" w:rsidRDefault="00F31A99" w14:paraId="3636C180"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7 627 795,20</w:t>
            </w:r>
          </w:p>
        </w:tc>
        <w:tc>
          <w:tcPr>
            <w:tcW w:w="2126" w:type="dxa"/>
            <w:tcBorders>
              <w:top w:val="nil"/>
              <w:left w:val="nil"/>
              <w:bottom w:val="single" w:color="auto" w:sz="4" w:space="0"/>
              <w:right w:val="single" w:color="auto" w:sz="4" w:space="0"/>
            </w:tcBorders>
            <w:vAlign w:val="center"/>
            <w:hideMark/>
          </w:tcPr>
          <w:p w:rsidRPr="00F31A99" w:rsidR="00F31A99" w:rsidP="00F31A99" w:rsidRDefault="00F31A99" w14:paraId="6DAA11B5"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0,00</w:t>
            </w:r>
          </w:p>
        </w:tc>
        <w:tc>
          <w:tcPr>
            <w:tcW w:w="2410" w:type="dxa"/>
            <w:tcBorders>
              <w:top w:val="nil"/>
              <w:left w:val="nil"/>
              <w:bottom w:val="single" w:color="auto" w:sz="4" w:space="0"/>
              <w:right w:val="single" w:color="auto" w:sz="4" w:space="0"/>
            </w:tcBorders>
            <w:vAlign w:val="center"/>
            <w:hideMark/>
          </w:tcPr>
          <w:p w:rsidRPr="00F31A99" w:rsidR="00F31A99" w:rsidP="00F31A99" w:rsidRDefault="00F31A99" w14:paraId="30762E29"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7 627 795,20</w:t>
            </w:r>
          </w:p>
        </w:tc>
      </w:tr>
      <w:tr w:rsidRPr="00F31A99" w:rsidR="00AE1B2B" w:rsidTr="00A306B2" w14:paraId="22E01CB1" w14:textId="77777777">
        <w:trPr>
          <w:trHeight w:val="290"/>
        </w:trPr>
        <w:tc>
          <w:tcPr>
            <w:tcW w:w="3403" w:type="dxa"/>
            <w:tcBorders>
              <w:top w:val="nil"/>
              <w:left w:val="single" w:color="auto" w:sz="4" w:space="0"/>
              <w:bottom w:val="single" w:color="auto" w:sz="4" w:space="0"/>
              <w:right w:val="single" w:color="auto" w:sz="4" w:space="0"/>
            </w:tcBorders>
            <w:vAlign w:val="center"/>
            <w:hideMark/>
          </w:tcPr>
          <w:p w:rsidRPr="00F31A99" w:rsidR="00F31A99" w:rsidP="00F31A99" w:rsidRDefault="00F31A99" w14:paraId="6246D92C"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950 (OAPVD)</w:t>
            </w:r>
          </w:p>
        </w:tc>
        <w:tc>
          <w:tcPr>
            <w:tcW w:w="1701" w:type="dxa"/>
            <w:tcBorders>
              <w:top w:val="nil"/>
              <w:left w:val="nil"/>
              <w:bottom w:val="single" w:color="auto" w:sz="4" w:space="0"/>
              <w:right w:val="single" w:color="auto" w:sz="4" w:space="0"/>
            </w:tcBorders>
            <w:vAlign w:val="center"/>
            <w:hideMark/>
          </w:tcPr>
          <w:p w:rsidRPr="00F31A99" w:rsidR="00F31A99" w:rsidP="00F31A99" w:rsidRDefault="00F31A99" w14:paraId="5306610C"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1 574 784,00</w:t>
            </w:r>
          </w:p>
        </w:tc>
        <w:tc>
          <w:tcPr>
            <w:tcW w:w="2126" w:type="dxa"/>
            <w:tcBorders>
              <w:top w:val="nil"/>
              <w:left w:val="nil"/>
              <w:bottom w:val="single" w:color="auto" w:sz="4" w:space="0"/>
              <w:right w:val="single" w:color="auto" w:sz="4" w:space="0"/>
            </w:tcBorders>
            <w:vAlign w:val="center"/>
            <w:hideMark/>
          </w:tcPr>
          <w:p w:rsidRPr="00F31A99" w:rsidR="00F31A99" w:rsidP="00F31A99" w:rsidRDefault="00F31A99" w14:paraId="36C5F110"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192 000,00</w:t>
            </w:r>
          </w:p>
        </w:tc>
        <w:tc>
          <w:tcPr>
            <w:tcW w:w="2410" w:type="dxa"/>
            <w:tcBorders>
              <w:top w:val="nil"/>
              <w:left w:val="nil"/>
              <w:bottom w:val="single" w:color="auto" w:sz="4" w:space="0"/>
              <w:right w:val="single" w:color="auto" w:sz="4" w:space="0"/>
            </w:tcBorders>
            <w:vAlign w:val="center"/>
            <w:hideMark/>
          </w:tcPr>
          <w:p w:rsidRPr="00F31A99" w:rsidR="00F31A99" w:rsidP="00F31A99" w:rsidRDefault="00F31A99" w14:paraId="62BDB546"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1 766 784,00</w:t>
            </w:r>
          </w:p>
        </w:tc>
      </w:tr>
      <w:tr w:rsidRPr="00F31A99" w:rsidR="00AE1B2B" w:rsidTr="00A306B2" w14:paraId="6C1C845C" w14:textId="77777777">
        <w:trPr>
          <w:trHeight w:val="290"/>
        </w:trPr>
        <w:tc>
          <w:tcPr>
            <w:tcW w:w="3403" w:type="dxa"/>
            <w:tcBorders>
              <w:top w:val="nil"/>
              <w:left w:val="single" w:color="auto" w:sz="4" w:space="0"/>
              <w:bottom w:val="single" w:color="auto" w:sz="4" w:space="0"/>
              <w:right w:val="single" w:color="auto" w:sz="4" w:space="0"/>
            </w:tcBorders>
            <w:vAlign w:val="center"/>
            <w:hideMark/>
          </w:tcPr>
          <w:p w:rsidRPr="00F31A99" w:rsidR="00F31A99" w:rsidP="00F31A99" w:rsidRDefault="00F31A99" w14:paraId="0AB9791D" w14:textId="77777777">
            <w:pPr>
              <w:autoSpaceDN w:val="0"/>
              <w:spacing w:line="256" w:lineRule="auto"/>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TOTAL</w:t>
            </w:r>
          </w:p>
        </w:tc>
        <w:tc>
          <w:tcPr>
            <w:tcW w:w="1701" w:type="dxa"/>
            <w:tcBorders>
              <w:top w:val="nil"/>
              <w:left w:val="nil"/>
              <w:bottom w:val="single" w:color="auto" w:sz="4" w:space="0"/>
              <w:right w:val="single" w:color="auto" w:sz="4" w:space="0"/>
            </w:tcBorders>
            <w:vAlign w:val="center"/>
            <w:hideMark/>
          </w:tcPr>
          <w:p w:rsidRPr="00F31A99" w:rsidR="00F31A99" w:rsidP="00F31A99" w:rsidRDefault="00F31A99" w14:paraId="0867F39A" w14:textId="77777777">
            <w:pPr>
              <w:autoSpaceDN w:val="0"/>
              <w:spacing w:line="256" w:lineRule="auto"/>
              <w:jc w:val="right"/>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21 792 933,12</w:t>
            </w:r>
          </w:p>
        </w:tc>
        <w:tc>
          <w:tcPr>
            <w:tcW w:w="2126" w:type="dxa"/>
            <w:tcBorders>
              <w:top w:val="nil"/>
              <w:left w:val="nil"/>
              <w:bottom w:val="single" w:color="auto" w:sz="4" w:space="0"/>
              <w:right w:val="single" w:color="auto" w:sz="4" w:space="0"/>
            </w:tcBorders>
            <w:vAlign w:val="center"/>
            <w:hideMark/>
          </w:tcPr>
          <w:p w:rsidRPr="00F31A99" w:rsidR="00F31A99" w:rsidP="00F31A99" w:rsidRDefault="00F31A99" w14:paraId="16F918EA" w14:textId="77777777">
            <w:pPr>
              <w:autoSpaceDN w:val="0"/>
              <w:spacing w:line="256" w:lineRule="auto"/>
              <w:jc w:val="right"/>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2 499 571,20</w:t>
            </w:r>
          </w:p>
        </w:tc>
        <w:tc>
          <w:tcPr>
            <w:tcW w:w="2410" w:type="dxa"/>
            <w:tcBorders>
              <w:top w:val="nil"/>
              <w:left w:val="nil"/>
              <w:bottom w:val="single" w:color="auto" w:sz="4" w:space="0"/>
              <w:right w:val="single" w:color="auto" w:sz="4" w:space="0"/>
            </w:tcBorders>
            <w:vAlign w:val="center"/>
            <w:hideMark/>
          </w:tcPr>
          <w:p w:rsidRPr="00F31A99" w:rsidR="00F31A99" w:rsidP="00F31A99" w:rsidRDefault="00F31A99" w14:paraId="6D3D84CC" w14:textId="77777777">
            <w:pPr>
              <w:autoSpaceDN w:val="0"/>
              <w:spacing w:line="256" w:lineRule="auto"/>
              <w:jc w:val="right"/>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24 292 504,32</w:t>
            </w:r>
          </w:p>
        </w:tc>
      </w:tr>
    </w:tbl>
    <w:p w:rsidRPr="00F31A99" w:rsidR="00F31A99" w:rsidP="00F31A99" w:rsidRDefault="00F31A99" w14:paraId="1D0EC02D" w14:textId="77777777">
      <w:pPr>
        <w:widowControl w:val="0"/>
        <w:autoSpaceDE w:val="0"/>
        <w:autoSpaceDN w:val="0"/>
        <w:adjustRightInd w:val="0"/>
        <w:ind w:left="851" w:right="851" w:firstLine="709"/>
        <w:jc w:val="both"/>
        <w:rPr>
          <w:rFonts w:ascii="Times New Roman" w:hAnsi="Times New Roman" w:eastAsia="Arial Unicode MS" w:cs="Times New Roman"/>
          <w:sz w:val="26"/>
          <w:szCs w:val="26"/>
          <w:u w:color="000000"/>
          <w:lang w:eastAsia="es-ES"/>
        </w:rPr>
      </w:pPr>
      <w:r w:rsidRPr="00F31A99">
        <w:rPr>
          <w:rFonts w:ascii="Times New Roman" w:hAnsi="Times New Roman" w:eastAsia="Arial Unicode MS" w:cs="Times New Roman"/>
          <w:sz w:val="26"/>
          <w:szCs w:val="26"/>
          <w:u w:color="000000"/>
          <w:lang w:eastAsia="es-ES"/>
        </w:rPr>
        <w:t>En resumen, sobre las estimaciones de estos montos por Programa, la Dirección de Gestión Humana expuso lo siguiente:</w:t>
      </w:r>
    </w:p>
    <w:p w:rsidRPr="00F31A99" w:rsidR="00F31A99" w:rsidP="00F31A99" w:rsidRDefault="00F31A99" w14:paraId="59EF3079" w14:textId="77777777">
      <w:pPr>
        <w:numPr>
          <w:ilvl w:val="0"/>
          <w:numId w:val="26"/>
        </w:numPr>
        <w:autoSpaceDN w:val="0"/>
        <w:ind w:left="851" w:right="851" w:firstLine="709"/>
        <w:contextualSpacing/>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b/>
          <w:bCs/>
          <w:sz w:val="26"/>
          <w:szCs w:val="26"/>
          <w:u w:color="000000"/>
          <w:lang w:eastAsia="es-ES"/>
        </w:rPr>
        <w:t>Programa 926 (Dirección y Administración):</w:t>
      </w:r>
      <w:r w:rsidRPr="00F31A99">
        <w:rPr>
          <w:rFonts w:ascii="Times New Roman" w:hAnsi="Times New Roman" w:eastAsia="Times New Roman" w:cs="Times New Roman"/>
          <w:sz w:val="26"/>
          <w:szCs w:val="26"/>
          <w:u w:color="000000"/>
          <w:lang w:eastAsia="es-ES"/>
        </w:rPr>
        <w:t xml:space="preserve"> en razón de que </w:t>
      </w:r>
      <w:r w:rsidRPr="00F31A99">
        <w:rPr>
          <w:rFonts w:ascii="Times New Roman" w:hAnsi="Times New Roman" w:eastAsia="Times New Roman" w:cs="Times New Roman"/>
          <w:b/>
          <w:bCs/>
          <w:sz w:val="26"/>
          <w:szCs w:val="26"/>
          <w:u w:color="000000"/>
          <w:lang w:eastAsia="es-ES"/>
        </w:rPr>
        <w:t xml:space="preserve">no </w:t>
      </w:r>
      <w:r w:rsidRPr="00F31A99">
        <w:rPr>
          <w:rFonts w:ascii="Times New Roman" w:hAnsi="Times New Roman" w:eastAsia="Times New Roman" w:cs="Times New Roman"/>
          <w:sz w:val="26"/>
          <w:szCs w:val="26"/>
          <w:u w:color="000000"/>
          <w:lang w:eastAsia="es-ES"/>
        </w:rPr>
        <w:t xml:space="preserve">se cuenta con recursos aprobados para la subpartida 60201 (becas a funcionarios) desde el periodo 2021, el Subproceso Gestión de la Capacitación de la Dirección de Gestión Humana, mediante el oficio PJ-DHG-CAP-084-2021 solicitó al Consejo Superior valorar una propuesta para redistribuir de forma equitativa los recursos asignados en esta subpartida para el año 2022 a los diferentes programas presupuestarios. Lo anterior, con el fin de contar con recursos económicos para atender las necesidades de capacitación de la población judicial que pertenece a este programa. </w:t>
      </w:r>
    </w:p>
    <w:p w:rsidRPr="00F31A99" w:rsidR="00F31A99" w:rsidP="00F31A99" w:rsidRDefault="00F31A99" w14:paraId="48237FA7"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14E50083" w14:textId="77777777">
      <w:pPr>
        <w:numPr>
          <w:ilvl w:val="0"/>
          <w:numId w:val="25"/>
        </w:numPr>
        <w:autoSpaceDN w:val="0"/>
        <w:ind w:left="851" w:right="851" w:firstLine="709"/>
        <w:contextualSpacing/>
        <w:jc w:val="both"/>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b/>
          <w:bCs/>
          <w:sz w:val="26"/>
          <w:szCs w:val="26"/>
          <w:u w:color="000000"/>
          <w:lang w:eastAsia="es-ES"/>
        </w:rPr>
        <w:t>Programa 927 (Judicatura):</w:t>
      </w:r>
      <w:r w:rsidRPr="00F31A99">
        <w:rPr>
          <w:rFonts w:ascii="Times New Roman" w:hAnsi="Times New Roman" w:eastAsia="Times New Roman" w:cs="Times New Roman"/>
          <w:sz w:val="26"/>
          <w:szCs w:val="26"/>
          <w:u w:color="000000"/>
          <w:lang w:eastAsia="es-CR"/>
        </w:rPr>
        <w:t xml:space="preserve"> los recursos asignados </w:t>
      </w:r>
      <w:r w:rsidRPr="00F31A99">
        <w:rPr>
          <w:rFonts w:ascii="Times New Roman" w:hAnsi="Times New Roman" w:eastAsia="Times New Roman" w:cs="Times New Roman"/>
          <w:sz w:val="26"/>
          <w:szCs w:val="26"/>
          <w:u w:color="000000"/>
          <w:lang w:eastAsia="es-ES"/>
        </w:rPr>
        <w:t xml:space="preserve">se formulan para tres actividades nacionales (dos becas completas y una beca parcial) y ocho internacionales (ayudas económicas); además, se considera la actualización del tipo de cambio del euro. </w:t>
      </w:r>
    </w:p>
    <w:p w:rsidRPr="00F31A99" w:rsidR="00F31A99" w:rsidP="00F31A99" w:rsidRDefault="00F31A99" w14:paraId="30516913" w14:textId="77777777">
      <w:pPr>
        <w:autoSpaceDN w:val="0"/>
        <w:ind w:left="851" w:right="851" w:firstLine="709"/>
        <w:jc w:val="both"/>
        <w:rPr>
          <w:rFonts w:ascii="Times New Roman" w:hAnsi="Times New Roman" w:eastAsia="Times New Roman" w:cs="Times New Roman"/>
          <w:b/>
          <w:bCs/>
          <w:sz w:val="26"/>
          <w:szCs w:val="26"/>
          <w:u w:color="000000"/>
          <w:lang w:eastAsia="es-ES"/>
        </w:rPr>
      </w:pPr>
    </w:p>
    <w:p w:rsidRPr="00F31A99" w:rsidR="00F31A99" w:rsidP="00F31A99" w:rsidRDefault="00F31A99" w14:paraId="3E38BC51" w14:textId="77777777">
      <w:pPr>
        <w:numPr>
          <w:ilvl w:val="0"/>
          <w:numId w:val="25"/>
        </w:numPr>
        <w:autoSpaceDN w:val="0"/>
        <w:ind w:left="851" w:right="851" w:firstLine="709"/>
        <w:contextualSpacing/>
        <w:jc w:val="both"/>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b/>
          <w:bCs/>
          <w:sz w:val="26"/>
          <w:szCs w:val="26"/>
          <w:u w:color="000000"/>
          <w:lang w:eastAsia="es-CR"/>
        </w:rPr>
        <w:lastRenderedPageBreak/>
        <w:t xml:space="preserve">Programa 928 (Organismo de Investigación Judicial): </w:t>
      </w:r>
      <w:r w:rsidRPr="00F31A99">
        <w:rPr>
          <w:rFonts w:ascii="Times New Roman" w:hAnsi="Times New Roman" w:eastAsia="Times New Roman" w:cs="Times New Roman"/>
          <w:sz w:val="26"/>
          <w:szCs w:val="26"/>
          <w:u w:color="000000"/>
          <w:lang w:eastAsia="es-CR"/>
        </w:rPr>
        <w:t xml:space="preserve">los recursos asignados </w:t>
      </w:r>
      <w:r w:rsidRPr="00F31A99">
        <w:rPr>
          <w:rFonts w:ascii="Times New Roman" w:hAnsi="Times New Roman" w:eastAsia="Times New Roman" w:cs="Times New Roman"/>
          <w:sz w:val="26"/>
          <w:szCs w:val="26"/>
          <w:u w:color="000000"/>
          <w:lang w:eastAsia="es-ES"/>
        </w:rPr>
        <w:t xml:space="preserve">se formulan para una actividad nacional, considerando el pago de una beca parcial, ya que el monto no es suficiente para cubrir el costo total de la maestría. </w:t>
      </w:r>
    </w:p>
    <w:p w:rsidRPr="00F31A99" w:rsidR="00F31A99" w:rsidP="00F31A99" w:rsidRDefault="00F31A99" w14:paraId="219D5508" w14:textId="77777777">
      <w:pPr>
        <w:autoSpaceDN w:val="0"/>
        <w:ind w:left="851" w:right="851" w:firstLine="709"/>
        <w:jc w:val="both"/>
        <w:rPr>
          <w:rFonts w:ascii="Times New Roman" w:hAnsi="Times New Roman" w:eastAsia="Times New Roman" w:cs="Times New Roman"/>
          <w:sz w:val="26"/>
          <w:szCs w:val="26"/>
          <w:u w:color="000000"/>
          <w:lang w:eastAsia="es-CR"/>
        </w:rPr>
      </w:pPr>
    </w:p>
    <w:p w:rsidRPr="00F31A99" w:rsidR="00F31A99" w:rsidP="00F31A99" w:rsidRDefault="00F31A99" w14:paraId="2BD3D313" w14:textId="77777777">
      <w:pPr>
        <w:numPr>
          <w:ilvl w:val="0"/>
          <w:numId w:val="25"/>
        </w:numPr>
        <w:autoSpaceDN w:val="0"/>
        <w:ind w:left="851" w:right="851" w:firstLine="709"/>
        <w:contextualSpacing/>
        <w:jc w:val="both"/>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b/>
          <w:bCs/>
          <w:sz w:val="26"/>
          <w:szCs w:val="26"/>
          <w:u w:color="000000"/>
          <w:lang w:eastAsia="es-CR"/>
        </w:rPr>
        <w:t xml:space="preserve">Programa 929 (Ministerio Público): </w:t>
      </w:r>
      <w:r w:rsidRPr="00F31A99">
        <w:rPr>
          <w:rFonts w:ascii="Times New Roman" w:hAnsi="Times New Roman" w:eastAsia="Times New Roman" w:cs="Times New Roman"/>
          <w:sz w:val="26"/>
          <w:szCs w:val="26"/>
          <w:u w:color="000000"/>
          <w:lang w:eastAsia="es-CR"/>
        </w:rPr>
        <w:t xml:space="preserve">los recursos asignados </w:t>
      </w:r>
      <w:r w:rsidRPr="00F31A99">
        <w:rPr>
          <w:rFonts w:ascii="Times New Roman" w:hAnsi="Times New Roman" w:eastAsia="Times New Roman" w:cs="Times New Roman"/>
          <w:sz w:val="26"/>
          <w:szCs w:val="26"/>
          <w:u w:color="000000"/>
          <w:lang w:eastAsia="es-ES"/>
        </w:rPr>
        <w:t xml:space="preserve">se formulan para una actividad nacional, considerando el pago de cuatro becas completas. </w:t>
      </w:r>
    </w:p>
    <w:p w:rsidRPr="00F31A99" w:rsidR="00F31A99" w:rsidP="00F31A99" w:rsidRDefault="00F31A99" w14:paraId="78553818" w14:textId="77777777">
      <w:pPr>
        <w:autoSpaceDN w:val="0"/>
        <w:ind w:left="851" w:right="851" w:firstLine="709"/>
        <w:jc w:val="both"/>
        <w:rPr>
          <w:rFonts w:ascii="Times New Roman" w:hAnsi="Times New Roman" w:eastAsia="Times New Roman" w:cs="Times New Roman"/>
          <w:sz w:val="26"/>
          <w:szCs w:val="26"/>
          <w:highlight w:val="yellow"/>
          <w:u w:color="000000"/>
          <w:lang w:eastAsia="es-CR"/>
        </w:rPr>
      </w:pPr>
    </w:p>
    <w:p w:rsidRPr="00F31A99" w:rsidR="00F31A99" w:rsidP="00F31A99" w:rsidRDefault="00F31A99" w14:paraId="7855F9C2" w14:textId="77777777">
      <w:pPr>
        <w:numPr>
          <w:ilvl w:val="0"/>
          <w:numId w:val="25"/>
        </w:numPr>
        <w:autoSpaceDN w:val="0"/>
        <w:ind w:left="851" w:right="851" w:firstLine="709"/>
        <w:contextualSpacing/>
        <w:jc w:val="both"/>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b/>
          <w:bCs/>
          <w:sz w:val="26"/>
          <w:szCs w:val="26"/>
          <w:u w:color="000000"/>
          <w:lang w:eastAsia="es-CR"/>
        </w:rPr>
        <w:t xml:space="preserve">Programa 930 (Defensa Pública): </w:t>
      </w:r>
      <w:r w:rsidRPr="00F31A99">
        <w:rPr>
          <w:rFonts w:ascii="Times New Roman" w:hAnsi="Times New Roman" w:eastAsia="Times New Roman" w:cs="Times New Roman"/>
          <w:sz w:val="26"/>
          <w:szCs w:val="26"/>
          <w:u w:color="000000"/>
          <w:lang w:eastAsia="es-CR"/>
        </w:rPr>
        <w:t xml:space="preserve">los recursos asignados </w:t>
      </w:r>
      <w:r w:rsidRPr="00F31A99">
        <w:rPr>
          <w:rFonts w:ascii="Times New Roman" w:hAnsi="Times New Roman" w:eastAsia="Times New Roman" w:cs="Times New Roman"/>
          <w:sz w:val="26"/>
          <w:szCs w:val="26"/>
          <w:u w:color="000000"/>
          <w:lang w:eastAsia="es-ES"/>
        </w:rPr>
        <w:t>se formulan para tres actividades nacionales con una beca completa que cubre el costo total de matrícula y materias para cada actividad.</w:t>
      </w:r>
    </w:p>
    <w:p w:rsidRPr="00F31A99" w:rsidR="00F31A99" w:rsidP="00F31A99" w:rsidRDefault="00F31A99" w14:paraId="155B9039" w14:textId="77777777">
      <w:pPr>
        <w:autoSpaceDN w:val="0"/>
        <w:ind w:left="851" w:right="851" w:firstLine="709"/>
        <w:jc w:val="both"/>
        <w:rPr>
          <w:rFonts w:ascii="Times New Roman" w:hAnsi="Times New Roman" w:eastAsia="Times New Roman" w:cs="Times New Roman"/>
          <w:sz w:val="26"/>
          <w:szCs w:val="26"/>
          <w:highlight w:val="yellow"/>
          <w:u w:color="000000"/>
          <w:lang w:eastAsia="es-CR"/>
        </w:rPr>
      </w:pPr>
    </w:p>
    <w:p w:rsidRPr="00F31A99" w:rsidR="00F31A99" w:rsidP="00F31A99" w:rsidRDefault="00F31A99" w14:paraId="74B8A136" w14:textId="77777777">
      <w:pPr>
        <w:numPr>
          <w:ilvl w:val="0"/>
          <w:numId w:val="25"/>
        </w:numPr>
        <w:autoSpaceDN w:val="0"/>
        <w:ind w:left="851" w:right="851" w:firstLine="709"/>
        <w:contextualSpacing/>
        <w:jc w:val="both"/>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b/>
          <w:bCs/>
          <w:sz w:val="26"/>
          <w:szCs w:val="26"/>
          <w:u w:color="000000"/>
          <w:lang w:eastAsia="es-CR"/>
        </w:rPr>
        <w:t xml:space="preserve">Programa 950 (Oficina de Atención y Protección a la Víctima del Delito): </w:t>
      </w:r>
      <w:r w:rsidRPr="00F31A99">
        <w:rPr>
          <w:rFonts w:ascii="Times New Roman" w:hAnsi="Times New Roman" w:eastAsia="Times New Roman" w:cs="Times New Roman"/>
          <w:sz w:val="26"/>
          <w:szCs w:val="26"/>
          <w:u w:color="000000"/>
          <w:lang w:eastAsia="es-CR"/>
        </w:rPr>
        <w:t xml:space="preserve">los recursos asignados </w:t>
      </w:r>
      <w:r w:rsidRPr="00F31A99">
        <w:rPr>
          <w:rFonts w:ascii="Times New Roman" w:hAnsi="Times New Roman" w:eastAsia="Times New Roman" w:cs="Times New Roman"/>
          <w:sz w:val="26"/>
          <w:szCs w:val="26"/>
          <w:u w:color="000000"/>
          <w:lang w:eastAsia="es-ES"/>
        </w:rPr>
        <w:t xml:space="preserve">se formulan para una actividad nacional, considerando el pago de una beca parcial, ya que el monto no es suficiente para cubrir el costo total de la maestría. </w:t>
      </w:r>
    </w:p>
    <w:p w:rsidRPr="00F31A99" w:rsidR="00F31A99" w:rsidP="00F31A99" w:rsidRDefault="00F31A99" w14:paraId="6A0D91E5" w14:textId="77777777">
      <w:pPr>
        <w:widowControl w:val="0"/>
        <w:autoSpaceDE w:val="0"/>
        <w:autoSpaceDN w:val="0"/>
        <w:adjustRightInd w:val="0"/>
        <w:ind w:left="851" w:right="851" w:firstLine="709"/>
        <w:jc w:val="both"/>
        <w:rPr>
          <w:rFonts w:ascii="Times New Roman" w:hAnsi="Times New Roman" w:eastAsia="Arial Unicode MS" w:cs="Times New Roman"/>
          <w:sz w:val="26"/>
          <w:szCs w:val="26"/>
          <w:u w:color="000000"/>
          <w:lang w:eastAsia="es-ES"/>
        </w:rPr>
      </w:pPr>
      <w:r w:rsidRPr="00F31A99">
        <w:rPr>
          <w:rFonts w:ascii="Times New Roman" w:hAnsi="Times New Roman" w:eastAsia="Arial Unicode MS" w:cs="Times New Roman"/>
          <w:sz w:val="26"/>
          <w:szCs w:val="26"/>
          <w:u w:color="000000"/>
          <w:lang w:eastAsia="es-ES"/>
        </w:rPr>
        <w:t>Sin embargo, en el apartado de conclusiones y recomendaciones, se indica que esta propuesta de becas podría variar dependiendo del acuerdo que tome el Consejo Superior a lo planteado por el Subproceso de Gestión de la Capacitación en el oficio 084-CAP-2021, respecto a la propuesta para redistribuir de forma equitativa los recursos asignados para el 2022.</w:t>
      </w:r>
    </w:p>
    <w:p w:rsidRPr="00F31A99" w:rsidR="00F31A99" w:rsidP="00F31A99" w:rsidRDefault="00F31A99" w14:paraId="25A2F302" w14:textId="77777777">
      <w:pPr>
        <w:widowControl w:val="0"/>
        <w:autoSpaceDE w:val="0"/>
        <w:autoSpaceDN w:val="0"/>
        <w:adjustRightInd w:val="0"/>
        <w:ind w:left="851" w:right="851" w:firstLine="709"/>
        <w:jc w:val="both"/>
        <w:rPr>
          <w:rFonts w:ascii="Times New Roman" w:hAnsi="Times New Roman" w:eastAsia="Arial Unicode MS" w:cs="Times New Roman"/>
          <w:b/>
          <w:bCs/>
          <w:sz w:val="26"/>
          <w:szCs w:val="26"/>
          <w:u w:val="single" w:color="000000"/>
          <w:lang w:eastAsia="es-ES"/>
        </w:rPr>
      </w:pPr>
    </w:p>
    <w:p w:rsidRPr="00F31A99" w:rsidR="00F31A99" w:rsidP="00F31A99" w:rsidRDefault="00F31A99" w14:paraId="77514E05" w14:textId="77777777">
      <w:pPr>
        <w:widowControl w:val="0"/>
        <w:autoSpaceDE w:val="0"/>
        <w:autoSpaceDN w:val="0"/>
        <w:adjustRightInd w:val="0"/>
        <w:ind w:left="851" w:right="851" w:firstLine="709"/>
        <w:jc w:val="both"/>
        <w:rPr>
          <w:rFonts w:ascii="Times New Roman" w:hAnsi="Times New Roman" w:eastAsia="Arial Unicode MS" w:cs="Times New Roman"/>
          <w:b/>
          <w:bCs/>
          <w:sz w:val="26"/>
          <w:szCs w:val="26"/>
          <w:u w:val="single" w:color="000000"/>
          <w:lang w:eastAsia="es-ES"/>
        </w:rPr>
      </w:pPr>
      <w:r w:rsidRPr="00F31A99">
        <w:rPr>
          <w:rFonts w:ascii="Times New Roman" w:hAnsi="Times New Roman" w:eastAsia="Arial Unicode MS" w:cs="Times New Roman"/>
          <w:b/>
          <w:bCs/>
          <w:sz w:val="26"/>
          <w:szCs w:val="26"/>
          <w:u w:val="single" w:color="000000"/>
          <w:lang w:eastAsia="es-ES"/>
        </w:rPr>
        <w:t>Oficio 084-CAP-2021</w:t>
      </w:r>
    </w:p>
    <w:p w:rsidRPr="00F31A99" w:rsidR="00F31A99" w:rsidP="00F31A99" w:rsidRDefault="00F31A99" w14:paraId="052AFBCC" w14:textId="77777777">
      <w:pPr>
        <w:widowControl w:val="0"/>
        <w:autoSpaceDE w:val="0"/>
        <w:autoSpaceDN w:val="0"/>
        <w:adjustRightInd w:val="0"/>
        <w:ind w:left="851" w:right="851" w:firstLine="709"/>
        <w:jc w:val="both"/>
        <w:rPr>
          <w:rFonts w:ascii="Times New Roman" w:hAnsi="Times New Roman" w:eastAsia="Arial Unicode MS" w:cs="Times New Roman"/>
          <w:sz w:val="26"/>
          <w:szCs w:val="26"/>
          <w:u w:color="000000"/>
          <w:lang w:eastAsia="es-ES"/>
        </w:rPr>
      </w:pPr>
      <w:r w:rsidRPr="00F31A99">
        <w:rPr>
          <w:rFonts w:ascii="Times New Roman" w:hAnsi="Times New Roman" w:eastAsia="Arial Unicode MS" w:cs="Times New Roman"/>
          <w:sz w:val="26"/>
          <w:szCs w:val="26"/>
          <w:u w:color="000000"/>
          <w:lang w:eastAsia="es-ES"/>
        </w:rPr>
        <w:t>En este oficio se plantean dos propuestas las que se detallan a continuación:</w:t>
      </w:r>
    </w:p>
    <w:p w:rsidRPr="00F31A99" w:rsidR="00F31A99" w:rsidP="00F31A99" w:rsidRDefault="00F31A99" w14:paraId="5D0A7CD3" w14:textId="77777777">
      <w:pPr>
        <w:autoSpaceDN w:val="0"/>
        <w:ind w:left="851" w:right="851" w:firstLine="709"/>
        <w:jc w:val="both"/>
        <w:rPr>
          <w:rFonts w:ascii="Times New Roman" w:hAnsi="Times New Roman" w:eastAsia="Calibri" w:cs="Times New Roman"/>
          <w:b/>
          <w:bCs/>
          <w:sz w:val="26"/>
          <w:szCs w:val="26"/>
          <w:u w:val="single" w:color="000000"/>
        </w:rPr>
      </w:pPr>
    </w:p>
    <w:p w:rsidRPr="00F31A99" w:rsidR="00F31A99" w:rsidP="00F31A99" w:rsidRDefault="00F31A99" w14:paraId="7663A1EF" w14:textId="77777777">
      <w:pPr>
        <w:autoSpaceDN w:val="0"/>
        <w:ind w:left="851" w:right="851" w:firstLine="709"/>
        <w:jc w:val="both"/>
        <w:rPr>
          <w:rFonts w:ascii="Times New Roman" w:hAnsi="Times New Roman" w:eastAsia="Calibri" w:cs="Times New Roman"/>
          <w:b/>
          <w:bCs/>
          <w:sz w:val="26"/>
          <w:szCs w:val="26"/>
          <w:u w:val="single" w:color="000000"/>
        </w:rPr>
      </w:pPr>
      <w:r w:rsidRPr="00F31A99">
        <w:rPr>
          <w:rFonts w:ascii="Times New Roman" w:hAnsi="Times New Roman" w:eastAsia="Calibri" w:cs="Times New Roman"/>
          <w:b/>
          <w:bCs/>
          <w:sz w:val="26"/>
          <w:szCs w:val="26"/>
          <w:u w:val="single" w:color="000000"/>
        </w:rPr>
        <w:t>PROPUESTA – A</w:t>
      </w:r>
    </w:p>
    <w:p w:rsidRPr="00F31A99" w:rsidR="00F31A99" w:rsidP="00F31A99" w:rsidRDefault="00F31A99" w14:paraId="6748549E" w14:textId="77777777">
      <w:pPr>
        <w:autoSpaceDN w:val="0"/>
        <w:ind w:left="851" w:right="851" w:firstLine="709"/>
        <w:jc w:val="both"/>
        <w:rPr>
          <w:rFonts w:ascii="Times New Roman" w:hAnsi="Times New Roman" w:eastAsia="Calibri" w:cs="Times New Roman"/>
          <w:b/>
          <w:bCs/>
          <w:sz w:val="26"/>
          <w:szCs w:val="26"/>
          <w:u w:val="single" w:color="000000"/>
        </w:rPr>
      </w:pPr>
    </w:p>
    <w:p w:rsidRPr="00F31A99" w:rsidR="00F31A99" w:rsidP="00F31A99" w:rsidRDefault="00F31A99" w14:paraId="5CE328E8"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En virtud de que se aprobó una modificación externa para otorgar recursos a la subpartida 60201 para asumir los compromisos de becas presentes para el año 2021, se solicita al Consejo Superior valorar la posibilidad de que se permita incrementar mediante esta formulación 2022, los recursos presupuestarios en la subpartida 60201 (Becas a Funcionarios) del programa 926 (Dirección y Administración), por el mismo monto que se encontraba comprometido para el año 2021, siendo este ₡3.990.000,00. </w:t>
      </w:r>
    </w:p>
    <w:p w:rsidRPr="00F31A99" w:rsidR="00F31A99" w:rsidP="00F31A99" w:rsidRDefault="00F31A99" w14:paraId="11A5419F"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lastRenderedPageBreak/>
        <w:t xml:space="preserve">Con el fin de poder formular recursos para el año 2022 y atender las necesidades de capacitación de la población judicial que pertenece a este programa. </w:t>
      </w:r>
    </w:p>
    <w:p w:rsidRPr="00F31A99" w:rsidR="00F31A99" w:rsidP="00F31A99" w:rsidRDefault="00F31A99" w14:paraId="0BD33579" w14:textId="77777777">
      <w:pPr>
        <w:autoSpaceDN w:val="0"/>
        <w:ind w:left="851" w:right="851" w:firstLine="709"/>
        <w:jc w:val="both"/>
        <w:rPr>
          <w:rFonts w:ascii="Times New Roman" w:hAnsi="Times New Roman" w:eastAsia="Calibri" w:cs="Times New Roman"/>
          <w:b/>
          <w:bCs/>
          <w:sz w:val="26"/>
          <w:szCs w:val="26"/>
          <w:u w:val="single" w:color="000000"/>
        </w:rPr>
      </w:pPr>
    </w:p>
    <w:p w:rsidRPr="00F31A99" w:rsidR="00F31A99" w:rsidP="00F31A99" w:rsidRDefault="00F31A99" w14:paraId="40B72C16" w14:textId="77777777">
      <w:pPr>
        <w:autoSpaceDN w:val="0"/>
        <w:ind w:left="851" w:right="851" w:firstLine="709"/>
        <w:jc w:val="both"/>
        <w:rPr>
          <w:rFonts w:ascii="Times New Roman" w:hAnsi="Times New Roman" w:eastAsia="Calibri" w:cs="Times New Roman"/>
          <w:b/>
          <w:bCs/>
          <w:sz w:val="26"/>
          <w:szCs w:val="26"/>
          <w:u w:val="single" w:color="000000"/>
        </w:rPr>
      </w:pPr>
      <w:r w:rsidRPr="00F31A99">
        <w:rPr>
          <w:rFonts w:ascii="Times New Roman" w:hAnsi="Times New Roman" w:eastAsia="Calibri" w:cs="Times New Roman"/>
          <w:b/>
          <w:bCs/>
          <w:sz w:val="26"/>
          <w:szCs w:val="26"/>
          <w:u w:val="single" w:color="000000"/>
        </w:rPr>
        <w:t xml:space="preserve">PROPUESTA – B </w:t>
      </w:r>
    </w:p>
    <w:p w:rsidRPr="00F31A99" w:rsidR="00F31A99" w:rsidP="00F31A99" w:rsidRDefault="00F31A99" w14:paraId="4E232C9F" w14:textId="77777777">
      <w:pPr>
        <w:autoSpaceDN w:val="0"/>
        <w:ind w:left="851" w:right="851" w:firstLine="709"/>
        <w:jc w:val="both"/>
        <w:rPr>
          <w:rFonts w:ascii="Times New Roman" w:hAnsi="Times New Roman" w:eastAsia="Calibri" w:cs="Times New Roman"/>
          <w:b/>
          <w:bCs/>
          <w:sz w:val="26"/>
          <w:szCs w:val="26"/>
          <w:u w:val="single" w:color="000000"/>
        </w:rPr>
      </w:pPr>
    </w:p>
    <w:p w:rsidRPr="00F31A99" w:rsidR="00F31A99" w:rsidP="00F31A99" w:rsidRDefault="00F31A99" w14:paraId="3673A76E"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Considerando el acuerdo tomado por el Consejo Superior en sesión extraordinaria No. 29-19, celebrada el 29 de marzo del 2019, artículo II, el cual indica textualmente: </w:t>
      </w:r>
    </w:p>
    <w:p w:rsidRPr="00F31A99" w:rsidR="00F31A99" w:rsidP="00F31A99" w:rsidRDefault="00F31A99" w14:paraId="0DEAEE5F"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08C769F6" w14:textId="77777777">
      <w:pPr>
        <w:autoSpaceDN w:val="0"/>
        <w:ind w:left="851" w:right="851" w:firstLine="709"/>
        <w:jc w:val="both"/>
        <w:rPr>
          <w:rFonts w:ascii="Times New Roman" w:hAnsi="Times New Roman" w:eastAsia="Calibri" w:cs="Times New Roman"/>
          <w:i/>
          <w:iCs/>
          <w:sz w:val="26"/>
          <w:szCs w:val="26"/>
          <w:u w:color="000000"/>
        </w:rPr>
      </w:pPr>
      <w:r w:rsidRPr="00F31A99">
        <w:rPr>
          <w:rFonts w:ascii="Times New Roman" w:hAnsi="Times New Roman" w:eastAsia="Calibri" w:cs="Times New Roman"/>
          <w:b/>
          <w:bCs/>
          <w:i/>
          <w:iCs/>
          <w:sz w:val="26"/>
          <w:szCs w:val="26"/>
          <w:u w:color="000000"/>
        </w:rPr>
        <w:t>“Se acordó:</w:t>
      </w:r>
      <w:r w:rsidRPr="00F31A99">
        <w:rPr>
          <w:rFonts w:ascii="Times New Roman" w:hAnsi="Times New Roman" w:eastAsia="Calibri" w:cs="Times New Roman"/>
          <w:i/>
          <w:iCs/>
          <w:sz w:val="26"/>
          <w:szCs w:val="26"/>
          <w:u w:color="000000"/>
        </w:rPr>
        <w:t xml:space="preserve"> Previamente a resolver se le solicita de forma urgente a la Dirección de Gestión Humana realizar una propuesta de redistribución de recursos más equitativa entre los diferentes programas presupuestarios […].” </w:t>
      </w:r>
    </w:p>
    <w:p w:rsidRPr="00F31A99" w:rsidR="00F31A99" w:rsidP="00F31A99" w:rsidRDefault="00F31A99" w14:paraId="6538C5BA" w14:textId="77777777">
      <w:pPr>
        <w:autoSpaceDN w:val="0"/>
        <w:ind w:left="851" w:right="851" w:firstLine="709"/>
        <w:jc w:val="both"/>
        <w:rPr>
          <w:rFonts w:ascii="Times New Roman" w:hAnsi="Times New Roman" w:eastAsia="Calibri" w:cs="Times New Roman"/>
          <w:i/>
          <w:iCs/>
          <w:sz w:val="26"/>
          <w:szCs w:val="26"/>
          <w:u w:color="000000"/>
        </w:rPr>
      </w:pPr>
    </w:p>
    <w:p w:rsidRPr="00F31A99" w:rsidR="00F31A99" w:rsidP="00F31A99" w:rsidRDefault="00F31A99" w14:paraId="4E0655B9"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Se propone al Consejo Superior valorar para el periodo 2022, una redistribución de los recursos ya existentes de forma más equitativa entre los diferentes programas presupuestarios, con el fin de que todos los programas cuenten con una cantidad de recursos similar para atender las necesidades de capacitación de la población a cargo. </w:t>
      </w:r>
    </w:p>
    <w:p w:rsidRPr="00F31A99" w:rsidR="00F31A99" w:rsidP="00F31A99" w:rsidRDefault="00F31A99" w14:paraId="64137C49"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5A93F3CE" w14:textId="77777777">
      <w:pPr>
        <w:widowControl w:val="0"/>
        <w:autoSpaceDE w:val="0"/>
        <w:autoSpaceDN w:val="0"/>
        <w:adjustRightInd w:val="0"/>
        <w:ind w:left="851" w:right="851" w:firstLine="709"/>
        <w:jc w:val="both"/>
        <w:rPr>
          <w:rFonts w:ascii="Times New Roman" w:hAnsi="Times New Roman" w:eastAsia="Arial Unicode MS" w:cs="Times New Roman"/>
          <w:b/>
          <w:bCs/>
          <w:sz w:val="26"/>
          <w:szCs w:val="26"/>
          <w:u w:val="single" w:color="000000"/>
          <w:lang w:eastAsia="es-ES"/>
        </w:rPr>
      </w:pPr>
      <w:r w:rsidRPr="00F31A99">
        <w:rPr>
          <w:rFonts w:ascii="Times New Roman" w:hAnsi="Times New Roman" w:eastAsia="Arial Unicode MS" w:cs="Times New Roman"/>
          <w:b/>
          <w:bCs/>
          <w:sz w:val="26"/>
          <w:szCs w:val="26"/>
          <w:u w:val="single" w:color="000000"/>
          <w:lang w:eastAsia="es-ES"/>
        </w:rPr>
        <w:t>Oficio 150-CAP-2021</w:t>
      </w:r>
    </w:p>
    <w:p w:rsidRPr="00F31A99" w:rsidR="00F31A99" w:rsidP="00F31A99" w:rsidRDefault="00F31A99" w14:paraId="78FD0644" w14:textId="77777777">
      <w:pPr>
        <w:widowControl w:val="0"/>
        <w:autoSpaceDE w:val="0"/>
        <w:autoSpaceDN w:val="0"/>
        <w:adjustRightInd w:val="0"/>
        <w:ind w:left="851" w:right="851" w:firstLine="709"/>
        <w:jc w:val="both"/>
        <w:rPr>
          <w:rFonts w:ascii="Times New Roman" w:hAnsi="Times New Roman" w:eastAsia="Arial Unicode MS" w:cs="Times New Roman"/>
          <w:sz w:val="26"/>
          <w:szCs w:val="26"/>
          <w:u w:color="000000"/>
          <w:lang w:eastAsia="es-ES"/>
        </w:rPr>
      </w:pPr>
      <w:r w:rsidRPr="00F31A99">
        <w:rPr>
          <w:rFonts w:ascii="Times New Roman" w:hAnsi="Times New Roman" w:eastAsia="Arial Unicode MS" w:cs="Times New Roman"/>
          <w:sz w:val="26"/>
          <w:szCs w:val="26"/>
          <w:u w:color="000000"/>
          <w:lang w:eastAsia="es-ES"/>
        </w:rPr>
        <w:t>Posteriormente, mediante oficio 150-CAP-2021, se plantea una nueva propuesta de distribución de recursos para esta subpartida, sobre la que nuevamente se reitera que, de ser aprobada por el Consejo Superior, dejaría sin efecto la propuesta original, por lo que esta segunda propuesta es la que se expone seguidamente.</w:t>
      </w:r>
    </w:p>
    <w:p w:rsidRPr="00F31A99" w:rsidR="00F31A99" w:rsidP="00F31A99" w:rsidRDefault="00F31A99" w14:paraId="1DE65624" w14:textId="77777777">
      <w:pPr>
        <w:numPr>
          <w:ilvl w:val="0"/>
          <w:numId w:val="148"/>
        </w:num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Unificar el presupuesto asignado a la subpartida 60201 (Becas a funcionarios) para los programas 929 (Ministerio Público) y 950 (Oficina de Atención y Protección a la Víctima del Delito - OAPVD), debido a que este último pertenece al Ministerio Público y no cuenta con unidad de capacitación propia, por lo que es la Unidad de Capacitación del Ministerio Público la encargada de dar seguimiento a los contratos de formación suscritos por concepto de beca por parte de las personas servidoras judiciales que pertenezcan a la OAPVD. </w:t>
      </w:r>
    </w:p>
    <w:p w:rsidRPr="00F31A99" w:rsidR="00F31A99" w:rsidP="00F31A99" w:rsidRDefault="00F31A99" w14:paraId="28836B3C"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54B5B390"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59B68230" w14:textId="77777777">
      <w:pPr>
        <w:numPr>
          <w:ilvl w:val="0"/>
          <w:numId w:val="148"/>
        </w:num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lastRenderedPageBreak/>
        <w:t>A partir de lo anterior, se contaría únicamente con cinco programas presupuestarios, siendo estos:</w:t>
      </w:r>
    </w:p>
    <w:p w:rsidRPr="00F31A99" w:rsidR="00F31A99" w:rsidP="00F31A99" w:rsidRDefault="00F31A99" w14:paraId="49AD5456"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19894C79" w14:textId="77777777">
      <w:pPr>
        <w:numPr>
          <w:ilvl w:val="1"/>
          <w:numId w:val="148"/>
        </w:num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926 – Dirección y Administración</w:t>
      </w:r>
    </w:p>
    <w:p w:rsidRPr="00F31A99" w:rsidR="00F31A99" w:rsidP="00F31A99" w:rsidRDefault="00F31A99" w14:paraId="434780A5" w14:textId="77777777">
      <w:pPr>
        <w:numPr>
          <w:ilvl w:val="1"/>
          <w:numId w:val="148"/>
        </w:num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927 – Judicatura</w:t>
      </w:r>
    </w:p>
    <w:p w:rsidRPr="00F31A99" w:rsidR="00F31A99" w:rsidP="00F31A99" w:rsidRDefault="00F31A99" w14:paraId="291F06BF" w14:textId="77777777">
      <w:pPr>
        <w:numPr>
          <w:ilvl w:val="1"/>
          <w:numId w:val="148"/>
        </w:num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928 – Organismo de Investigación Judicial</w:t>
      </w:r>
    </w:p>
    <w:p w:rsidRPr="00F31A99" w:rsidR="00F31A99" w:rsidP="00F31A99" w:rsidRDefault="00F31A99" w14:paraId="265287D5" w14:textId="77777777">
      <w:pPr>
        <w:numPr>
          <w:ilvl w:val="1"/>
          <w:numId w:val="148"/>
        </w:num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929 – Ministerio Público</w:t>
      </w:r>
    </w:p>
    <w:p w:rsidRPr="00F31A99" w:rsidR="00F31A99" w:rsidP="00F31A99" w:rsidRDefault="00F31A99" w14:paraId="4731C3EE" w14:textId="77777777">
      <w:pPr>
        <w:numPr>
          <w:ilvl w:val="1"/>
          <w:numId w:val="148"/>
        </w:num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930 – Defensa Pública</w:t>
      </w:r>
    </w:p>
    <w:p w:rsidRPr="00F31A99" w:rsidR="00F31A99" w:rsidP="00F31A99" w:rsidRDefault="00F31A99" w14:paraId="5B365B39"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4F568AC6" w14:textId="77777777">
      <w:pPr>
        <w:numPr>
          <w:ilvl w:val="0"/>
          <w:numId w:val="148"/>
        </w:num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Dividir el monto total propuesto para formular en becas del año 2022, entre los cinco programas presupuestarios. El monto total es </w:t>
      </w:r>
      <w:r w:rsidRPr="00F31A99">
        <w:rPr>
          <w:rFonts w:ascii="Times New Roman" w:hAnsi="Times New Roman" w:eastAsia="Calibri" w:cs="Times New Roman"/>
          <w:b/>
          <w:bCs/>
          <w:sz w:val="26"/>
          <w:szCs w:val="26"/>
          <w:u w:color="000000"/>
        </w:rPr>
        <w:t>₡</w:t>
      </w:r>
      <w:r w:rsidRPr="00F31A99">
        <w:rPr>
          <w:rFonts w:ascii="Times New Roman" w:hAnsi="Times New Roman" w:eastAsia="Calibri" w:cs="Times New Roman"/>
          <w:b/>
          <w:bCs/>
          <w:sz w:val="26"/>
          <w:szCs w:val="26"/>
          <w:u w:color="000000"/>
          <w:lang w:eastAsia="es-CR"/>
        </w:rPr>
        <w:t>23.408.096.</w:t>
      </w:r>
    </w:p>
    <w:p w:rsidRPr="00F31A99" w:rsidR="00F31A99" w:rsidP="00F31A99" w:rsidRDefault="00F31A99" w14:paraId="4616AB71"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6EBBDBE6" w14:textId="77777777">
      <w:pPr>
        <w:numPr>
          <w:ilvl w:val="0"/>
          <w:numId w:val="148"/>
        </w:num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Cada programa presupuestario quedaría con un monto de </w:t>
      </w:r>
      <w:r w:rsidRPr="00F31A99">
        <w:rPr>
          <w:rFonts w:ascii="Times New Roman" w:hAnsi="Times New Roman" w:eastAsia="Calibri" w:cs="Times New Roman"/>
          <w:b/>
          <w:bCs/>
          <w:sz w:val="26"/>
          <w:szCs w:val="26"/>
          <w:u w:color="000000"/>
        </w:rPr>
        <w:t xml:space="preserve">₡4.681.619 </w:t>
      </w:r>
      <w:r w:rsidRPr="00F31A99">
        <w:rPr>
          <w:rFonts w:ascii="Times New Roman" w:hAnsi="Times New Roman" w:eastAsia="Calibri" w:cs="Times New Roman"/>
          <w:sz w:val="26"/>
          <w:szCs w:val="26"/>
          <w:u w:color="000000"/>
        </w:rPr>
        <w:t xml:space="preserve">para formular becas en la subpartida 60201 (Becas a funcionarios) para el año 2022. </w:t>
      </w:r>
    </w:p>
    <w:p w:rsidRPr="00F31A99" w:rsidR="00F31A99" w:rsidP="00F31A99" w:rsidRDefault="00F31A99" w14:paraId="37EFFC31"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0CAAC489"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Se indica en esta segunda propuesta, que de ser aprobada, la Dirección de Gestión Humana plantea las siguientes recomendaciones al Consejo Superior:</w:t>
      </w:r>
    </w:p>
    <w:p w:rsidRPr="00F31A99" w:rsidR="00F31A99" w:rsidP="00F31A99" w:rsidRDefault="00F31A99" w14:paraId="0E42825B"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288F9495" w14:textId="77777777">
      <w:pPr>
        <w:numPr>
          <w:ilvl w:val="0"/>
          <w:numId w:val="24"/>
        </w:numPr>
        <w:autoSpaceDN w:val="0"/>
        <w:ind w:left="851" w:right="851" w:firstLine="709"/>
        <w:jc w:val="both"/>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t xml:space="preserve">El Consejo Superior establezca la distribución de los </w:t>
      </w:r>
      <w:r w:rsidRPr="00F31A99">
        <w:rPr>
          <w:rFonts w:ascii="Times New Roman" w:hAnsi="Times New Roman" w:eastAsia="Calibri" w:cs="Times New Roman"/>
          <w:b/>
          <w:bCs/>
          <w:i/>
          <w:iCs/>
          <w:sz w:val="26"/>
          <w:szCs w:val="26"/>
          <w:u w:color="000000"/>
        </w:rPr>
        <w:t xml:space="preserve">₡4.681.619,25 </w:t>
      </w:r>
      <w:r w:rsidRPr="00F31A99">
        <w:rPr>
          <w:rFonts w:ascii="Times New Roman" w:hAnsi="Times New Roman" w:eastAsia="Calibri" w:cs="Times New Roman"/>
          <w:i/>
          <w:iCs/>
          <w:sz w:val="26"/>
          <w:szCs w:val="26"/>
          <w:u w:color="000000"/>
        </w:rPr>
        <w:t xml:space="preserve">entre el programa 929 (Ministerio Público) y el programa 950 (Oficina de Atención y Protección a la Víctima del Delito), siendo que este último pertenece al Ministerio Público. </w:t>
      </w:r>
    </w:p>
    <w:p w:rsidRPr="00F31A99" w:rsidR="00F31A99" w:rsidP="00F31A99" w:rsidRDefault="00F31A99" w14:paraId="2743E276" w14:textId="77777777">
      <w:pPr>
        <w:autoSpaceDN w:val="0"/>
        <w:ind w:left="851" w:right="851" w:firstLine="709"/>
        <w:jc w:val="both"/>
        <w:rPr>
          <w:rFonts w:ascii="Times New Roman" w:hAnsi="Times New Roman" w:eastAsia="Calibri" w:cs="Times New Roman"/>
          <w:i/>
          <w:iCs/>
          <w:sz w:val="26"/>
          <w:szCs w:val="26"/>
          <w:u w:color="000000"/>
        </w:rPr>
      </w:pPr>
    </w:p>
    <w:p w:rsidRPr="00F31A99" w:rsidR="00F31A99" w:rsidP="00F31A99" w:rsidRDefault="00F31A99" w14:paraId="72538389" w14:textId="77777777">
      <w:pPr>
        <w:numPr>
          <w:ilvl w:val="0"/>
          <w:numId w:val="24"/>
        </w:numPr>
        <w:autoSpaceDN w:val="0"/>
        <w:ind w:left="851" w:right="851" w:firstLine="709"/>
        <w:jc w:val="both"/>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t xml:space="preserve">Se comunique la aprobación de esta propuesta a todas las Unidades de Capacitación y Escuela Judicial con el fin de brindar que se ajusten las propuestas de formulación presupuestaria de becas para el año 2022, al nuevo monto asignado a cada programa presupuestario, específicamente en la subpartida 60201 (Becas a funcionarios). </w:t>
      </w:r>
    </w:p>
    <w:p w:rsidRPr="00F31A99" w:rsidR="00F31A99" w:rsidP="00F31A99" w:rsidRDefault="00F31A99" w14:paraId="08EA013B"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143DDBA0" w14:textId="77777777">
      <w:pPr>
        <w:autoSpaceDN w:val="0"/>
        <w:ind w:right="851"/>
        <w:jc w:val="both"/>
        <w:rPr>
          <w:rFonts w:ascii="Times New Roman" w:hAnsi="Times New Roman" w:eastAsia="Calibri" w:cs="Times New Roman"/>
          <w:bCs/>
          <w:sz w:val="26"/>
          <w:szCs w:val="26"/>
          <w:u w:color="000000"/>
        </w:rPr>
      </w:pPr>
    </w:p>
    <w:p w:rsidRPr="00F31A99" w:rsidR="00F31A99" w:rsidP="00F31A99" w:rsidRDefault="00F31A99" w14:paraId="241F3C87" w14:textId="77777777">
      <w:pPr>
        <w:numPr>
          <w:ilvl w:val="0"/>
          <w:numId w:val="24"/>
        </w:numPr>
        <w:autoSpaceDN w:val="0"/>
        <w:ind w:left="851" w:right="851" w:firstLine="709"/>
        <w:contextualSpacing/>
        <w:jc w:val="both"/>
        <w:rPr>
          <w:rFonts w:ascii="Times New Roman" w:hAnsi="Times New Roman" w:eastAsia="Times New Roman" w:cs="Times New Roman"/>
          <w:b/>
          <w:caps/>
          <w:sz w:val="26"/>
          <w:szCs w:val="26"/>
          <w:u w:color="000000"/>
          <w:lang w:eastAsia="es-ES"/>
        </w:rPr>
      </w:pPr>
      <w:r w:rsidRPr="00F31A99">
        <w:rPr>
          <w:rFonts w:ascii="Times New Roman" w:hAnsi="Times New Roman" w:eastAsia="Times New Roman" w:cs="Times New Roman"/>
          <w:b/>
          <w:caps/>
          <w:sz w:val="26"/>
          <w:szCs w:val="26"/>
          <w:u w:color="000000"/>
          <w:lang w:eastAsia="es-ES"/>
        </w:rPr>
        <w:t>Ejecución de la Subpartida 60201 “Becas a Funcionarios”</w:t>
      </w:r>
    </w:p>
    <w:p w:rsidRPr="00F31A99" w:rsidR="00F31A99" w:rsidP="00F31A99" w:rsidRDefault="00F31A99" w14:paraId="5D61D1BF" w14:textId="77777777">
      <w:pPr>
        <w:autoSpaceDN w:val="0"/>
        <w:ind w:left="851" w:right="851" w:firstLine="709"/>
        <w:jc w:val="both"/>
        <w:rPr>
          <w:rFonts w:ascii="Times New Roman" w:hAnsi="Times New Roman" w:eastAsia="Calibri" w:cs="Times New Roman"/>
          <w:bCs/>
          <w:sz w:val="26"/>
          <w:szCs w:val="26"/>
          <w:highlight w:val="yellow"/>
          <w:u w:color="000000"/>
        </w:rPr>
      </w:pPr>
    </w:p>
    <w:p w:rsidRPr="00F31A99" w:rsidR="00F31A99" w:rsidP="00F31A99" w:rsidRDefault="00F31A99" w14:paraId="0CB869E7"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En este apartado se presenta un resumen de la ejecución de la subpartida de Becas, total y por Programa Presupuestario para el período 2020.</w:t>
      </w:r>
    </w:p>
    <w:p w:rsidRPr="00F31A99" w:rsidR="00F31A99" w:rsidP="00F31A99" w:rsidRDefault="00F31A99" w14:paraId="19C36A68" w14:textId="77777777">
      <w:pPr>
        <w:autoSpaceDN w:val="0"/>
        <w:spacing w:line="360" w:lineRule="auto"/>
        <w:ind w:firstLine="708"/>
        <w:rPr>
          <w:rFonts w:ascii="Times New Roman" w:hAnsi="Times New Roman" w:eastAsia="Calibri" w:cs="Times New Roman"/>
          <w:bCs/>
          <w:sz w:val="26"/>
          <w:szCs w:val="26"/>
          <w:highlight w:val="yellow"/>
          <w:u w:color="000000"/>
        </w:rPr>
      </w:pPr>
    </w:p>
    <w:tbl>
      <w:tblPr>
        <w:tblW w:w="0" w:type="auto"/>
        <w:jc w:val="center"/>
        <w:tblLook w:val="04A0" w:firstRow="1" w:lastRow="0" w:firstColumn="1" w:lastColumn="0" w:noHBand="0" w:noVBand="1"/>
      </w:tblPr>
      <w:tblGrid>
        <w:gridCol w:w="8619"/>
        <w:gridCol w:w="222"/>
      </w:tblGrid>
      <w:tr w:rsidRPr="00F31A99" w:rsidR="00AE1B2B" w:rsidTr="00A306B2" w14:paraId="5BCAC6FB" w14:textId="77777777">
        <w:trPr>
          <w:trHeight w:val="614"/>
          <w:jc w:val="center"/>
        </w:trPr>
        <w:tc>
          <w:tcPr>
            <w:tcW w:w="8848" w:type="dxa"/>
          </w:tcPr>
          <w:p w:rsidRPr="00F31A99" w:rsidR="00F31A99" w:rsidP="00F31A99" w:rsidRDefault="00F31A99" w14:paraId="78D5E70D" w14:textId="77777777">
            <w:pPr>
              <w:autoSpaceDN w:val="0"/>
              <w:spacing w:line="480" w:lineRule="auto"/>
              <w:jc w:val="center"/>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Ejecución 2020</w:t>
            </w:r>
          </w:p>
          <w:tbl>
            <w:tblPr>
              <w:tblW w:w="8820" w:type="dxa"/>
              <w:tblCellMar>
                <w:left w:w="70" w:type="dxa"/>
                <w:right w:w="70" w:type="dxa"/>
              </w:tblCellMar>
              <w:tblLook w:val="04A0" w:firstRow="1" w:lastRow="0" w:firstColumn="1" w:lastColumn="0" w:noHBand="0" w:noVBand="1"/>
            </w:tblPr>
            <w:tblGrid>
              <w:gridCol w:w="3659"/>
              <w:gridCol w:w="1181"/>
              <w:gridCol w:w="1181"/>
              <w:gridCol w:w="1181"/>
              <w:gridCol w:w="1181"/>
            </w:tblGrid>
            <w:tr w:rsidRPr="00F31A99" w:rsidR="00AE1B2B" w:rsidTr="00A306B2" w14:paraId="44D6D25D" w14:textId="77777777">
              <w:trPr>
                <w:trHeight w:val="300"/>
              </w:trPr>
              <w:tc>
                <w:tcPr>
                  <w:tcW w:w="3860" w:type="dxa"/>
                  <w:tcBorders>
                    <w:top w:val="single" w:color="auto" w:sz="8" w:space="0"/>
                    <w:left w:val="single" w:color="auto" w:sz="8" w:space="0"/>
                    <w:bottom w:val="single" w:color="auto" w:sz="8" w:space="0"/>
                    <w:right w:val="single" w:color="auto" w:sz="8" w:space="0"/>
                  </w:tcBorders>
                  <w:shd w:val="clear" w:color="auto" w:fill="BFBFBF"/>
                  <w:noWrap/>
                  <w:vAlign w:val="center"/>
                  <w:hideMark/>
                </w:tcPr>
                <w:p w:rsidRPr="00F31A99" w:rsidR="00F31A99" w:rsidP="00F31A99" w:rsidRDefault="00F31A99" w14:paraId="410DE4AB" w14:textId="77777777">
                  <w:pPr>
                    <w:autoSpaceDN w:val="0"/>
                    <w:spacing w:line="256" w:lineRule="auto"/>
                    <w:jc w:val="center"/>
                    <w:rPr>
                      <w:rFonts w:ascii="Times New Roman" w:hAnsi="Times New Roman" w:eastAsia="Calibri" w:cs="Times New Roman"/>
                      <w:b/>
                      <w:bCs/>
                      <w:u w:color="000000"/>
                      <w:lang w:eastAsia="es-ES_tradnl"/>
                    </w:rPr>
                  </w:pPr>
                  <w:r w:rsidRPr="00F31A99">
                    <w:rPr>
                      <w:rFonts w:ascii="Times New Roman" w:hAnsi="Times New Roman" w:eastAsia="Calibri" w:cs="Times New Roman"/>
                      <w:b/>
                      <w:bCs/>
                      <w:u w:color="000000"/>
                      <w:lang w:eastAsia="es-ES_tradnl"/>
                    </w:rPr>
                    <w:t>Programa</w:t>
                  </w:r>
                </w:p>
              </w:tc>
              <w:tc>
                <w:tcPr>
                  <w:tcW w:w="1240" w:type="dxa"/>
                  <w:tcBorders>
                    <w:top w:val="single" w:color="auto" w:sz="8" w:space="0"/>
                    <w:left w:val="nil"/>
                    <w:bottom w:val="single" w:color="auto" w:sz="8" w:space="0"/>
                    <w:right w:val="single" w:color="auto" w:sz="8" w:space="0"/>
                  </w:tcBorders>
                  <w:shd w:val="clear" w:color="auto" w:fill="BFBFBF"/>
                  <w:noWrap/>
                  <w:vAlign w:val="center"/>
                  <w:hideMark/>
                </w:tcPr>
                <w:p w:rsidRPr="00F31A99" w:rsidR="00F31A99" w:rsidP="00F31A99" w:rsidRDefault="00F31A99" w14:paraId="4D0A5334" w14:textId="77777777">
                  <w:pPr>
                    <w:autoSpaceDN w:val="0"/>
                    <w:spacing w:line="256" w:lineRule="auto"/>
                    <w:jc w:val="center"/>
                    <w:rPr>
                      <w:rFonts w:ascii="Times New Roman" w:hAnsi="Times New Roman" w:eastAsia="Calibri" w:cs="Times New Roman"/>
                      <w:b/>
                      <w:bCs/>
                      <w:u w:color="000000"/>
                      <w:lang w:eastAsia="es-ES_tradnl"/>
                    </w:rPr>
                  </w:pPr>
                  <w:r w:rsidRPr="00F31A99">
                    <w:rPr>
                      <w:rFonts w:ascii="Times New Roman" w:hAnsi="Times New Roman" w:eastAsia="Calibri" w:cs="Times New Roman"/>
                      <w:b/>
                      <w:bCs/>
                      <w:u w:color="000000"/>
                      <w:lang w:eastAsia="es-ES_tradnl"/>
                    </w:rPr>
                    <w:t>Ppto. Inicial</w:t>
                  </w:r>
                </w:p>
              </w:tc>
              <w:tc>
                <w:tcPr>
                  <w:tcW w:w="1240" w:type="dxa"/>
                  <w:tcBorders>
                    <w:top w:val="single" w:color="auto" w:sz="8" w:space="0"/>
                    <w:left w:val="nil"/>
                    <w:bottom w:val="single" w:color="auto" w:sz="8" w:space="0"/>
                    <w:right w:val="single" w:color="auto" w:sz="8" w:space="0"/>
                  </w:tcBorders>
                  <w:shd w:val="clear" w:color="auto" w:fill="BFBFBF"/>
                  <w:noWrap/>
                  <w:vAlign w:val="center"/>
                  <w:hideMark/>
                </w:tcPr>
                <w:p w:rsidRPr="00F31A99" w:rsidR="00F31A99" w:rsidP="00F31A99" w:rsidRDefault="00F31A99" w14:paraId="2026DEFD" w14:textId="77777777">
                  <w:pPr>
                    <w:autoSpaceDN w:val="0"/>
                    <w:spacing w:line="256" w:lineRule="auto"/>
                    <w:jc w:val="center"/>
                    <w:rPr>
                      <w:rFonts w:ascii="Times New Roman" w:hAnsi="Times New Roman" w:eastAsia="Calibri" w:cs="Times New Roman"/>
                      <w:b/>
                      <w:bCs/>
                      <w:u w:color="000000"/>
                      <w:lang w:eastAsia="es-ES_tradnl"/>
                    </w:rPr>
                  </w:pPr>
                  <w:r w:rsidRPr="00F31A99">
                    <w:rPr>
                      <w:rFonts w:ascii="Times New Roman" w:hAnsi="Times New Roman" w:eastAsia="Calibri" w:cs="Times New Roman"/>
                      <w:b/>
                      <w:bCs/>
                      <w:u w:color="000000"/>
                      <w:lang w:eastAsia="es-ES_tradnl"/>
                    </w:rPr>
                    <w:t>Ppto. Actual</w:t>
                  </w:r>
                </w:p>
              </w:tc>
              <w:tc>
                <w:tcPr>
                  <w:tcW w:w="1240" w:type="dxa"/>
                  <w:tcBorders>
                    <w:top w:val="single" w:color="auto" w:sz="8" w:space="0"/>
                    <w:left w:val="nil"/>
                    <w:bottom w:val="single" w:color="auto" w:sz="8" w:space="0"/>
                    <w:right w:val="single" w:color="auto" w:sz="8" w:space="0"/>
                  </w:tcBorders>
                  <w:shd w:val="clear" w:color="auto" w:fill="BFBFBF"/>
                  <w:noWrap/>
                  <w:vAlign w:val="center"/>
                  <w:hideMark/>
                </w:tcPr>
                <w:p w:rsidRPr="00F31A99" w:rsidR="00F31A99" w:rsidP="00F31A99" w:rsidRDefault="00F31A99" w14:paraId="0E45555F" w14:textId="77777777">
                  <w:pPr>
                    <w:autoSpaceDN w:val="0"/>
                    <w:spacing w:line="256" w:lineRule="auto"/>
                    <w:jc w:val="center"/>
                    <w:rPr>
                      <w:rFonts w:ascii="Times New Roman" w:hAnsi="Times New Roman" w:eastAsia="Calibri" w:cs="Times New Roman"/>
                      <w:b/>
                      <w:bCs/>
                      <w:u w:color="000000"/>
                      <w:lang w:eastAsia="es-ES_tradnl"/>
                    </w:rPr>
                  </w:pPr>
                  <w:r w:rsidRPr="00F31A99">
                    <w:rPr>
                      <w:rFonts w:ascii="Times New Roman" w:hAnsi="Times New Roman" w:eastAsia="Calibri" w:cs="Times New Roman"/>
                      <w:b/>
                      <w:bCs/>
                      <w:u w:color="000000"/>
                      <w:lang w:eastAsia="es-ES_tradnl"/>
                    </w:rPr>
                    <w:t>Ejecutado</w:t>
                  </w:r>
                </w:p>
              </w:tc>
              <w:tc>
                <w:tcPr>
                  <w:tcW w:w="1240" w:type="dxa"/>
                  <w:tcBorders>
                    <w:top w:val="single" w:color="auto" w:sz="8" w:space="0"/>
                    <w:left w:val="nil"/>
                    <w:bottom w:val="single" w:color="auto" w:sz="8" w:space="0"/>
                    <w:right w:val="single" w:color="auto" w:sz="8" w:space="0"/>
                  </w:tcBorders>
                  <w:shd w:val="clear" w:color="auto" w:fill="BFBFBF"/>
                  <w:noWrap/>
                  <w:vAlign w:val="center"/>
                  <w:hideMark/>
                </w:tcPr>
                <w:p w:rsidRPr="00F31A99" w:rsidR="00F31A99" w:rsidP="00F31A99" w:rsidRDefault="00F31A99" w14:paraId="14E8DF9A" w14:textId="77777777">
                  <w:pPr>
                    <w:autoSpaceDN w:val="0"/>
                    <w:spacing w:line="256" w:lineRule="auto"/>
                    <w:jc w:val="center"/>
                    <w:rPr>
                      <w:rFonts w:ascii="Times New Roman" w:hAnsi="Times New Roman" w:eastAsia="Calibri" w:cs="Times New Roman"/>
                      <w:b/>
                      <w:bCs/>
                      <w:u w:color="000000"/>
                      <w:lang w:eastAsia="es-ES_tradnl"/>
                    </w:rPr>
                  </w:pPr>
                  <w:r w:rsidRPr="00F31A99">
                    <w:rPr>
                      <w:rFonts w:ascii="Times New Roman" w:hAnsi="Times New Roman" w:eastAsia="Calibri" w:cs="Times New Roman"/>
                      <w:b/>
                      <w:bCs/>
                      <w:u w:color="000000"/>
                      <w:lang w:eastAsia="es-ES_tradnl"/>
                    </w:rPr>
                    <w:t>% Ejecución</w:t>
                  </w:r>
                </w:p>
              </w:tc>
            </w:tr>
            <w:tr w:rsidRPr="00F31A99" w:rsidR="00AE1B2B" w:rsidTr="00A306B2" w14:paraId="4EC7882C" w14:textId="77777777">
              <w:trPr>
                <w:trHeight w:val="300"/>
              </w:trPr>
              <w:tc>
                <w:tcPr>
                  <w:tcW w:w="3860" w:type="dxa"/>
                  <w:tcBorders>
                    <w:top w:val="nil"/>
                    <w:left w:val="single" w:color="auto" w:sz="8" w:space="0"/>
                    <w:bottom w:val="single" w:color="auto" w:sz="8" w:space="0"/>
                    <w:right w:val="single" w:color="auto" w:sz="8" w:space="0"/>
                  </w:tcBorders>
                  <w:noWrap/>
                  <w:vAlign w:val="bottom"/>
                  <w:hideMark/>
                </w:tcPr>
                <w:p w:rsidRPr="00F31A99" w:rsidR="00F31A99" w:rsidP="00F31A99" w:rsidRDefault="00F31A99" w14:paraId="00511534" w14:textId="77777777">
                  <w:pPr>
                    <w:autoSpaceDN w:val="0"/>
                    <w:spacing w:line="256" w:lineRule="auto"/>
                    <w:rPr>
                      <w:rFonts w:ascii="Times New Roman" w:hAnsi="Times New Roman" w:eastAsia="Calibri" w:cs="Times New Roman"/>
                      <w:u w:color="000000"/>
                      <w:lang w:eastAsia="es-ES_tradnl"/>
                    </w:rPr>
                  </w:pPr>
                  <w:r w:rsidRPr="00F31A99">
                    <w:rPr>
                      <w:rFonts w:ascii="Times New Roman" w:hAnsi="Times New Roman" w:eastAsia="Calibri" w:cs="Times New Roman"/>
                      <w:u w:color="000000"/>
                      <w:lang w:eastAsia="es-ES_tradnl"/>
                    </w:rPr>
                    <w:t>926 Direcc. Adm. Y Otros Org. De Apoyo</w:t>
                  </w:r>
                </w:p>
              </w:tc>
              <w:tc>
                <w:tcPr>
                  <w:tcW w:w="1240" w:type="dxa"/>
                  <w:tcBorders>
                    <w:top w:val="nil"/>
                    <w:left w:val="nil"/>
                    <w:bottom w:val="single" w:color="auto" w:sz="8" w:space="0"/>
                    <w:right w:val="single" w:color="auto" w:sz="8" w:space="0"/>
                  </w:tcBorders>
                  <w:vAlign w:val="center"/>
                  <w:hideMark/>
                </w:tcPr>
                <w:p w:rsidRPr="00F31A99" w:rsidR="00F31A99" w:rsidP="00F31A99" w:rsidRDefault="00F31A99" w14:paraId="41A71015"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15 105 891</w:t>
                  </w:r>
                </w:p>
              </w:tc>
              <w:tc>
                <w:tcPr>
                  <w:tcW w:w="1240" w:type="dxa"/>
                  <w:tcBorders>
                    <w:top w:val="nil"/>
                    <w:left w:val="nil"/>
                    <w:bottom w:val="single" w:color="auto" w:sz="8" w:space="0"/>
                    <w:right w:val="single" w:color="auto" w:sz="8" w:space="0"/>
                  </w:tcBorders>
                  <w:vAlign w:val="center"/>
                  <w:hideMark/>
                </w:tcPr>
                <w:p w:rsidRPr="00F31A99" w:rsidR="00F31A99" w:rsidP="00F31A99" w:rsidRDefault="00F31A99" w14:paraId="4120C534"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5 819 489</w:t>
                  </w:r>
                </w:p>
              </w:tc>
              <w:tc>
                <w:tcPr>
                  <w:tcW w:w="1240" w:type="dxa"/>
                  <w:tcBorders>
                    <w:top w:val="nil"/>
                    <w:left w:val="nil"/>
                    <w:bottom w:val="single" w:color="auto" w:sz="8" w:space="0"/>
                    <w:right w:val="single" w:color="auto" w:sz="8" w:space="0"/>
                  </w:tcBorders>
                  <w:vAlign w:val="center"/>
                  <w:hideMark/>
                </w:tcPr>
                <w:p w:rsidRPr="00F31A99" w:rsidR="00F31A99" w:rsidP="00F31A99" w:rsidRDefault="00F31A99" w14:paraId="213A405F"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5 182 450</w:t>
                  </w:r>
                </w:p>
              </w:tc>
              <w:tc>
                <w:tcPr>
                  <w:tcW w:w="1240" w:type="dxa"/>
                  <w:tcBorders>
                    <w:top w:val="nil"/>
                    <w:left w:val="nil"/>
                    <w:bottom w:val="single" w:color="auto" w:sz="8" w:space="0"/>
                    <w:right w:val="single" w:color="auto" w:sz="8" w:space="0"/>
                  </w:tcBorders>
                  <w:noWrap/>
                  <w:vAlign w:val="center"/>
                  <w:hideMark/>
                </w:tcPr>
                <w:p w:rsidRPr="00F31A99" w:rsidR="00F31A99" w:rsidP="00F31A99" w:rsidRDefault="00F31A99" w14:paraId="52C4463E" w14:textId="77777777">
                  <w:pPr>
                    <w:autoSpaceDN w:val="0"/>
                    <w:spacing w:line="256" w:lineRule="auto"/>
                    <w:jc w:val="center"/>
                    <w:rPr>
                      <w:rFonts w:ascii="Times New Roman" w:hAnsi="Times New Roman" w:eastAsia="Calibri" w:cs="Times New Roman"/>
                      <w:u w:color="000000"/>
                      <w:lang w:eastAsia="es-ES_tradnl"/>
                    </w:rPr>
                  </w:pPr>
                  <w:r w:rsidRPr="00F31A99">
                    <w:rPr>
                      <w:rFonts w:ascii="Times New Roman" w:hAnsi="Times New Roman" w:eastAsia="Calibri" w:cs="Times New Roman"/>
                      <w:u w:color="000000"/>
                      <w:lang w:eastAsia="es-ES_tradnl"/>
                    </w:rPr>
                    <w:t>89%</w:t>
                  </w:r>
                </w:p>
              </w:tc>
            </w:tr>
            <w:tr w:rsidRPr="00F31A99" w:rsidR="00AE1B2B" w:rsidTr="00A306B2" w14:paraId="4786CE52" w14:textId="77777777">
              <w:trPr>
                <w:trHeight w:val="300"/>
              </w:trPr>
              <w:tc>
                <w:tcPr>
                  <w:tcW w:w="3860" w:type="dxa"/>
                  <w:tcBorders>
                    <w:top w:val="nil"/>
                    <w:left w:val="single" w:color="auto" w:sz="8" w:space="0"/>
                    <w:bottom w:val="single" w:color="auto" w:sz="8" w:space="0"/>
                    <w:right w:val="single" w:color="auto" w:sz="8" w:space="0"/>
                  </w:tcBorders>
                  <w:noWrap/>
                  <w:vAlign w:val="bottom"/>
                  <w:hideMark/>
                </w:tcPr>
                <w:p w:rsidRPr="00F31A99" w:rsidR="00F31A99" w:rsidP="00F31A99" w:rsidRDefault="00F31A99" w14:paraId="57BFDD0B" w14:textId="77777777">
                  <w:pPr>
                    <w:autoSpaceDN w:val="0"/>
                    <w:spacing w:line="256" w:lineRule="auto"/>
                    <w:rPr>
                      <w:rFonts w:ascii="Times New Roman" w:hAnsi="Times New Roman" w:eastAsia="Calibri" w:cs="Times New Roman"/>
                      <w:u w:color="000000"/>
                      <w:lang w:eastAsia="es-ES_tradnl"/>
                    </w:rPr>
                  </w:pPr>
                  <w:r w:rsidRPr="00F31A99">
                    <w:rPr>
                      <w:rFonts w:ascii="Times New Roman" w:hAnsi="Times New Roman" w:eastAsia="Calibri" w:cs="Times New Roman"/>
                      <w:u w:color="000000"/>
                      <w:lang w:eastAsia="es-ES_tradnl"/>
                    </w:rPr>
                    <w:t>927 Servicio Jurisdiccional</w:t>
                  </w:r>
                </w:p>
              </w:tc>
              <w:tc>
                <w:tcPr>
                  <w:tcW w:w="1240" w:type="dxa"/>
                  <w:tcBorders>
                    <w:top w:val="nil"/>
                    <w:left w:val="nil"/>
                    <w:bottom w:val="single" w:color="auto" w:sz="8" w:space="0"/>
                    <w:right w:val="single" w:color="auto" w:sz="8" w:space="0"/>
                  </w:tcBorders>
                  <w:vAlign w:val="center"/>
                  <w:hideMark/>
                </w:tcPr>
                <w:p w:rsidRPr="00F31A99" w:rsidR="00F31A99" w:rsidP="00F31A99" w:rsidRDefault="00F31A99" w14:paraId="768FDFC3"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16 784 288</w:t>
                  </w:r>
                </w:p>
              </w:tc>
              <w:tc>
                <w:tcPr>
                  <w:tcW w:w="1240" w:type="dxa"/>
                  <w:tcBorders>
                    <w:top w:val="nil"/>
                    <w:left w:val="nil"/>
                    <w:bottom w:val="single" w:color="auto" w:sz="8" w:space="0"/>
                    <w:right w:val="single" w:color="auto" w:sz="8" w:space="0"/>
                  </w:tcBorders>
                  <w:vAlign w:val="center"/>
                  <w:hideMark/>
                </w:tcPr>
                <w:p w:rsidRPr="00F31A99" w:rsidR="00F31A99" w:rsidP="00F31A99" w:rsidRDefault="00F31A99" w14:paraId="088823D8"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10 824 860</w:t>
                  </w:r>
                </w:p>
              </w:tc>
              <w:tc>
                <w:tcPr>
                  <w:tcW w:w="1240" w:type="dxa"/>
                  <w:tcBorders>
                    <w:top w:val="nil"/>
                    <w:left w:val="nil"/>
                    <w:bottom w:val="single" w:color="auto" w:sz="8" w:space="0"/>
                    <w:right w:val="single" w:color="auto" w:sz="8" w:space="0"/>
                  </w:tcBorders>
                  <w:vAlign w:val="center"/>
                  <w:hideMark/>
                </w:tcPr>
                <w:p w:rsidRPr="00F31A99" w:rsidR="00F31A99" w:rsidP="00F31A99" w:rsidRDefault="00F31A99" w14:paraId="69D3CD70"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8 472 195</w:t>
                  </w:r>
                </w:p>
              </w:tc>
              <w:tc>
                <w:tcPr>
                  <w:tcW w:w="1240" w:type="dxa"/>
                  <w:tcBorders>
                    <w:top w:val="nil"/>
                    <w:left w:val="nil"/>
                    <w:bottom w:val="single" w:color="auto" w:sz="8" w:space="0"/>
                    <w:right w:val="single" w:color="auto" w:sz="8" w:space="0"/>
                  </w:tcBorders>
                  <w:noWrap/>
                  <w:vAlign w:val="center"/>
                  <w:hideMark/>
                </w:tcPr>
                <w:p w:rsidRPr="00F31A99" w:rsidR="00F31A99" w:rsidP="00F31A99" w:rsidRDefault="00F31A99" w14:paraId="7D7D35D3" w14:textId="77777777">
                  <w:pPr>
                    <w:autoSpaceDN w:val="0"/>
                    <w:spacing w:line="256" w:lineRule="auto"/>
                    <w:jc w:val="center"/>
                    <w:rPr>
                      <w:rFonts w:ascii="Times New Roman" w:hAnsi="Times New Roman" w:eastAsia="Calibri" w:cs="Times New Roman"/>
                      <w:u w:color="000000"/>
                      <w:lang w:eastAsia="es-ES_tradnl"/>
                    </w:rPr>
                  </w:pPr>
                  <w:r w:rsidRPr="00F31A99">
                    <w:rPr>
                      <w:rFonts w:ascii="Times New Roman" w:hAnsi="Times New Roman" w:eastAsia="Calibri" w:cs="Times New Roman"/>
                      <w:u w:color="000000"/>
                      <w:lang w:eastAsia="es-ES_tradnl"/>
                    </w:rPr>
                    <w:t>78%</w:t>
                  </w:r>
                </w:p>
              </w:tc>
            </w:tr>
            <w:tr w:rsidRPr="00F31A99" w:rsidR="00AE1B2B" w:rsidTr="00A306B2" w14:paraId="56167365" w14:textId="77777777">
              <w:trPr>
                <w:trHeight w:val="300"/>
              </w:trPr>
              <w:tc>
                <w:tcPr>
                  <w:tcW w:w="3860" w:type="dxa"/>
                  <w:tcBorders>
                    <w:top w:val="nil"/>
                    <w:left w:val="single" w:color="auto" w:sz="8" w:space="0"/>
                    <w:bottom w:val="single" w:color="auto" w:sz="8" w:space="0"/>
                    <w:right w:val="single" w:color="auto" w:sz="8" w:space="0"/>
                  </w:tcBorders>
                  <w:noWrap/>
                  <w:vAlign w:val="bottom"/>
                  <w:hideMark/>
                </w:tcPr>
                <w:p w:rsidRPr="00F31A99" w:rsidR="00F31A99" w:rsidP="00F31A99" w:rsidRDefault="00F31A99" w14:paraId="19A60492" w14:textId="77777777">
                  <w:pPr>
                    <w:autoSpaceDN w:val="0"/>
                    <w:spacing w:line="256" w:lineRule="auto"/>
                    <w:rPr>
                      <w:rFonts w:ascii="Times New Roman" w:hAnsi="Times New Roman" w:eastAsia="Calibri" w:cs="Times New Roman"/>
                      <w:u w:color="000000"/>
                      <w:lang w:eastAsia="es-ES_tradnl"/>
                    </w:rPr>
                  </w:pPr>
                  <w:r w:rsidRPr="00F31A99">
                    <w:rPr>
                      <w:rFonts w:ascii="Times New Roman" w:hAnsi="Times New Roman" w:eastAsia="Calibri" w:cs="Times New Roman"/>
                      <w:u w:color="000000"/>
                      <w:lang w:eastAsia="es-ES_tradnl"/>
                    </w:rPr>
                    <w:t>928 Organismo de Investigación Judicial</w:t>
                  </w:r>
                </w:p>
              </w:tc>
              <w:tc>
                <w:tcPr>
                  <w:tcW w:w="1240" w:type="dxa"/>
                  <w:tcBorders>
                    <w:top w:val="nil"/>
                    <w:left w:val="nil"/>
                    <w:bottom w:val="single" w:color="auto" w:sz="8" w:space="0"/>
                    <w:right w:val="single" w:color="auto" w:sz="8" w:space="0"/>
                  </w:tcBorders>
                  <w:vAlign w:val="center"/>
                  <w:hideMark/>
                </w:tcPr>
                <w:p w:rsidRPr="00F31A99" w:rsidR="00F31A99" w:rsidP="00F31A99" w:rsidRDefault="00F31A99" w14:paraId="110A1448"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11 519 931</w:t>
                  </w:r>
                </w:p>
              </w:tc>
              <w:tc>
                <w:tcPr>
                  <w:tcW w:w="1240" w:type="dxa"/>
                  <w:tcBorders>
                    <w:top w:val="nil"/>
                    <w:left w:val="nil"/>
                    <w:bottom w:val="single" w:color="auto" w:sz="8" w:space="0"/>
                    <w:right w:val="single" w:color="auto" w:sz="8" w:space="0"/>
                  </w:tcBorders>
                  <w:vAlign w:val="center"/>
                  <w:hideMark/>
                </w:tcPr>
                <w:p w:rsidRPr="00F31A99" w:rsidR="00F31A99" w:rsidP="00F31A99" w:rsidRDefault="00F31A99" w14:paraId="4AB8CD52"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4 699 149</w:t>
                  </w:r>
                </w:p>
              </w:tc>
              <w:tc>
                <w:tcPr>
                  <w:tcW w:w="1240" w:type="dxa"/>
                  <w:tcBorders>
                    <w:top w:val="nil"/>
                    <w:left w:val="nil"/>
                    <w:bottom w:val="single" w:color="auto" w:sz="8" w:space="0"/>
                    <w:right w:val="single" w:color="auto" w:sz="8" w:space="0"/>
                  </w:tcBorders>
                  <w:vAlign w:val="center"/>
                  <w:hideMark/>
                </w:tcPr>
                <w:p w:rsidRPr="00F31A99" w:rsidR="00F31A99" w:rsidP="00F31A99" w:rsidRDefault="00F31A99" w14:paraId="2EA9A15A"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3 908 000</w:t>
                  </w:r>
                </w:p>
              </w:tc>
              <w:tc>
                <w:tcPr>
                  <w:tcW w:w="1240" w:type="dxa"/>
                  <w:tcBorders>
                    <w:top w:val="nil"/>
                    <w:left w:val="nil"/>
                    <w:bottom w:val="single" w:color="auto" w:sz="8" w:space="0"/>
                    <w:right w:val="single" w:color="auto" w:sz="8" w:space="0"/>
                  </w:tcBorders>
                  <w:noWrap/>
                  <w:vAlign w:val="center"/>
                  <w:hideMark/>
                </w:tcPr>
                <w:p w:rsidRPr="00F31A99" w:rsidR="00F31A99" w:rsidP="00F31A99" w:rsidRDefault="00F31A99" w14:paraId="3C9FB603" w14:textId="77777777">
                  <w:pPr>
                    <w:autoSpaceDN w:val="0"/>
                    <w:spacing w:line="256" w:lineRule="auto"/>
                    <w:jc w:val="center"/>
                    <w:rPr>
                      <w:rFonts w:ascii="Times New Roman" w:hAnsi="Times New Roman" w:eastAsia="Calibri" w:cs="Times New Roman"/>
                      <w:u w:color="000000"/>
                      <w:lang w:eastAsia="es-ES_tradnl"/>
                    </w:rPr>
                  </w:pPr>
                  <w:r w:rsidRPr="00F31A99">
                    <w:rPr>
                      <w:rFonts w:ascii="Times New Roman" w:hAnsi="Times New Roman" w:eastAsia="Calibri" w:cs="Times New Roman"/>
                      <w:u w:color="000000"/>
                      <w:lang w:eastAsia="es-ES_tradnl"/>
                    </w:rPr>
                    <w:t>83%</w:t>
                  </w:r>
                </w:p>
              </w:tc>
            </w:tr>
            <w:tr w:rsidRPr="00F31A99" w:rsidR="00AE1B2B" w:rsidTr="00A306B2" w14:paraId="54B3AB04" w14:textId="77777777">
              <w:trPr>
                <w:trHeight w:val="300"/>
              </w:trPr>
              <w:tc>
                <w:tcPr>
                  <w:tcW w:w="3860" w:type="dxa"/>
                  <w:tcBorders>
                    <w:top w:val="nil"/>
                    <w:left w:val="single" w:color="auto" w:sz="8" w:space="0"/>
                    <w:bottom w:val="single" w:color="auto" w:sz="8" w:space="0"/>
                    <w:right w:val="single" w:color="auto" w:sz="8" w:space="0"/>
                  </w:tcBorders>
                  <w:noWrap/>
                  <w:vAlign w:val="bottom"/>
                  <w:hideMark/>
                </w:tcPr>
                <w:p w:rsidRPr="00F31A99" w:rsidR="00F31A99" w:rsidP="00F31A99" w:rsidRDefault="00F31A99" w14:paraId="3655CF85" w14:textId="77777777">
                  <w:pPr>
                    <w:autoSpaceDN w:val="0"/>
                    <w:spacing w:line="256" w:lineRule="auto"/>
                    <w:rPr>
                      <w:rFonts w:ascii="Times New Roman" w:hAnsi="Times New Roman" w:eastAsia="Calibri" w:cs="Times New Roman"/>
                      <w:u w:color="000000"/>
                      <w:lang w:eastAsia="es-ES_tradnl"/>
                    </w:rPr>
                  </w:pPr>
                  <w:r w:rsidRPr="00F31A99">
                    <w:rPr>
                      <w:rFonts w:ascii="Times New Roman" w:hAnsi="Times New Roman" w:eastAsia="Calibri" w:cs="Times New Roman"/>
                      <w:u w:color="000000"/>
                      <w:lang w:eastAsia="es-ES_tradnl"/>
                    </w:rPr>
                    <w:t>929 Ministerio Público</w:t>
                  </w:r>
                </w:p>
              </w:tc>
              <w:tc>
                <w:tcPr>
                  <w:tcW w:w="1240" w:type="dxa"/>
                  <w:tcBorders>
                    <w:top w:val="nil"/>
                    <w:left w:val="nil"/>
                    <w:bottom w:val="single" w:color="auto" w:sz="8" w:space="0"/>
                    <w:right w:val="single" w:color="auto" w:sz="8" w:space="0"/>
                  </w:tcBorders>
                  <w:vAlign w:val="center"/>
                  <w:hideMark/>
                </w:tcPr>
                <w:p w:rsidRPr="00F31A99" w:rsidR="00F31A99" w:rsidP="00F31A99" w:rsidRDefault="00F31A99" w14:paraId="1506F564"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11 994 726</w:t>
                  </w:r>
                </w:p>
              </w:tc>
              <w:tc>
                <w:tcPr>
                  <w:tcW w:w="1240" w:type="dxa"/>
                  <w:tcBorders>
                    <w:top w:val="nil"/>
                    <w:left w:val="nil"/>
                    <w:bottom w:val="single" w:color="auto" w:sz="8" w:space="0"/>
                    <w:right w:val="single" w:color="auto" w:sz="8" w:space="0"/>
                  </w:tcBorders>
                  <w:vAlign w:val="center"/>
                  <w:hideMark/>
                </w:tcPr>
                <w:p w:rsidRPr="00F31A99" w:rsidR="00F31A99" w:rsidP="00F31A99" w:rsidRDefault="00F31A99" w14:paraId="4700A929"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6 124 027</w:t>
                  </w:r>
                </w:p>
              </w:tc>
              <w:tc>
                <w:tcPr>
                  <w:tcW w:w="1240" w:type="dxa"/>
                  <w:tcBorders>
                    <w:top w:val="nil"/>
                    <w:left w:val="nil"/>
                    <w:bottom w:val="single" w:color="auto" w:sz="8" w:space="0"/>
                    <w:right w:val="single" w:color="auto" w:sz="8" w:space="0"/>
                  </w:tcBorders>
                  <w:vAlign w:val="center"/>
                  <w:hideMark/>
                </w:tcPr>
                <w:p w:rsidRPr="00F31A99" w:rsidR="00F31A99" w:rsidP="00F31A99" w:rsidRDefault="00F31A99" w14:paraId="7F666DB2"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0</w:t>
                  </w:r>
                </w:p>
              </w:tc>
              <w:tc>
                <w:tcPr>
                  <w:tcW w:w="1240" w:type="dxa"/>
                  <w:tcBorders>
                    <w:top w:val="nil"/>
                    <w:left w:val="nil"/>
                    <w:bottom w:val="single" w:color="auto" w:sz="8" w:space="0"/>
                    <w:right w:val="single" w:color="auto" w:sz="8" w:space="0"/>
                  </w:tcBorders>
                  <w:noWrap/>
                  <w:vAlign w:val="center"/>
                  <w:hideMark/>
                </w:tcPr>
                <w:p w:rsidRPr="00F31A99" w:rsidR="00F31A99" w:rsidP="00F31A99" w:rsidRDefault="00F31A99" w14:paraId="178B43C5" w14:textId="77777777">
                  <w:pPr>
                    <w:autoSpaceDN w:val="0"/>
                    <w:spacing w:line="256" w:lineRule="auto"/>
                    <w:jc w:val="center"/>
                    <w:rPr>
                      <w:rFonts w:ascii="Times New Roman" w:hAnsi="Times New Roman" w:eastAsia="Calibri" w:cs="Times New Roman"/>
                      <w:u w:color="000000"/>
                      <w:lang w:eastAsia="es-ES_tradnl"/>
                    </w:rPr>
                  </w:pPr>
                  <w:r w:rsidRPr="00F31A99">
                    <w:rPr>
                      <w:rFonts w:ascii="Times New Roman" w:hAnsi="Times New Roman" w:eastAsia="Calibri" w:cs="Times New Roman"/>
                      <w:u w:color="000000"/>
                      <w:lang w:eastAsia="es-ES_tradnl"/>
                    </w:rPr>
                    <w:t>0%</w:t>
                  </w:r>
                </w:p>
              </w:tc>
            </w:tr>
            <w:tr w:rsidRPr="00F31A99" w:rsidR="00AE1B2B" w:rsidTr="00A306B2" w14:paraId="054A40EE" w14:textId="77777777">
              <w:trPr>
                <w:trHeight w:val="300"/>
              </w:trPr>
              <w:tc>
                <w:tcPr>
                  <w:tcW w:w="3860" w:type="dxa"/>
                  <w:tcBorders>
                    <w:top w:val="nil"/>
                    <w:left w:val="single" w:color="auto" w:sz="8" w:space="0"/>
                    <w:bottom w:val="single" w:color="auto" w:sz="8" w:space="0"/>
                    <w:right w:val="single" w:color="auto" w:sz="8" w:space="0"/>
                  </w:tcBorders>
                  <w:noWrap/>
                  <w:vAlign w:val="bottom"/>
                  <w:hideMark/>
                </w:tcPr>
                <w:p w:rsidRPr="00F31A99" w:rsidR="00F31A99" w:rsidP="00F31A99" w:rsidRDefault="00F31A99" w14:paraId="0BB4991D" w14:textId="77777777">
                  <w:pPr>
                    <w:autoSpaceDN w:val="0"/>
                    <w:spacing w:line="256" w:lineRule="auto"/>
                    <w:rPr>
                      <w:rFonts w:ascii="Times New Roman" w:hAnsi="Times New Roman" w:eastAsia="Calibri" w:cs="Times New Roman"/>
                      <w:u w:color="000000"/>
                      <w:lang w:eastAsia="es-ES_tradnl"/>
                    </w:rPr>
                  </w:pPr>
                  <w:r w:rsidRPr="00F31A99">
                    <w:rPr>
                      <w:rFonts w:ascii="Times New Roman" w:hAnsi="Times New Roman" w:eastAsia="Calibri" w:cs="Times New Roman"/>
                      <w:u w:color="000000"/>
                      <w:lang w:eastAsia="es-ES_tradnl"/>
                    </w:rPr>
                    <w:t>930 Defensa Pública</w:t>
                  </w:r>
                </w:p>
              </w:tc>
              <w:tc>
                <w:tcPr>
                  <w:tcW w:w="1240" w:type="dxa"/>
                  <w:tcBorders>
                    <w:top w:val="nil"/>
                    <w:left w:val="nil"/>
                    <w:bottom w:val="single" w:color="auto" w:sz="8" w:space="0"/>
                    <w:right w:val="single" w:color="auto" w:sz="8" w:space="0"/>
                  </w:tcBorders>
                  <w:vAlign w:val="center"/>
                  <w:hideMark/>
                </w:tcPr>
                <w:p w:rsidRPr="00F31A99" w:rsidR="00F31A99" w:rsidP="00F31A99" w:rsidRDefault="00F31A99" w14:paraId="2A62AD27"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20 451 312</w:t>
                  </w:r>
                </w:p>
              </w:tc>
              <w:tc>
                <w:tcPr>
                  <w:tcW w:w="1240" w:type="dxa"/>
                  <w:tcBorders>
                    <w:top w:val="nil"/>
                    <w:left w:val="nil"/>
                    <w:bottom w:val="single" w:color="auto" w:sz="8" w:space="0"/>
                    <w:right w:val="single" w:color="auto" w:sz="8" w:space="0"/>
                  </w:tcBorders>
                  <w:vAlign w:val="center"/>
                  <w:hideMark/>
                </w:tcPr>
                <w:p w:rsidRPr="00F31A99" w:rsidR="00F31A99" w:rsidP="00F31A99" w:rsidRDefault="00F31A99" w14:paraId="26996CD0"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14 350 692</w:t>
                  </w:r>
                </w:p>
              </w:tc>
              <w:tc>
                <w:tcPr>
                  <w:tcW w:w="1240" w:type="dxa"/>
                  <w:tcBorders>
                    <w:top w:val="nil"/>
                    <w:left w:val="nil"/>
                    <w:bottom w:val="single" w:color="auto" w:sz="8" w:space="0"/>
                    <w:right w:val="single" w:color="auto" w:sz="8" w:space="0"/>
                  </w:tcBorders>
                  <w:vAlign w:val="center"/>
                  <w:hideMark/>
                </w:tcPr>
                <w:p w:rsidRPr="00F31A99" w:rsidR="00F31A99" w:rsidP="00F31A99" w:rsidRDefault="00F31A99" w14:paraId="66F03184"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13 570 200</w:t>
                  </w:r>
                </w:p>
              </w:tc>
              <w:tc>
                <w:tcPr>
                  <w:tcW w:w="1240" w:type="dxa"/>
                  <w:tcBorders>
                    <w:top w:val="nil"/>
                    <w:left w:val="nil"/>
                    <w:bottom w:val="single" w:color="auto" w:sz="8" w:space="0"/>
                    <w:right w:val="single" w:color="auto" w:sz="8" w:space="0"/>
                  </w:tcBorders>
                  <w:noWrap/>
                  <w:vAlign w:val="center"/>
                  <w:hideMark/>
                </w:tcPr>
                <w:p w:rsidRPr="00F31A99" w:rsidR="00F31A99" w:rsidP="00F31A99" w:rsidRDefault="00F31A99" w14:paraId="27A87982" w14:textId="77777777">
                  <w:pPr>
                    <w:autoSpaceDN w:val="0"/>
                    <w:spacing w:line="256" w:lineRule="auto"/>
                    <w:jc w:val="center"/>
                    <w:rPr>
                      <w:rFonts w:ascii="Times New Roman" w:hAnsi="Times New Roman" w:eastAsia="Calibri" w:cs="Times New Roman"/>
                      <w:u w:color="000000"/>
                      <w:lang w:eastAsia="es-ES_tradnl"/>
                    </w:rPr>
                  </w:pPr>
                  <w:r w:rsidRPr="00F31A99">
                    <w:rPr>
                      <w:rFonts w:ascii="Times New Roman" w:hAnsi="Times New Roman" w:eastAsia="Calibri" w:cs="Times New Roman"/>
                      <w:u w:color="000000"/>
                      <w:lang w:eastAsia="es-ES_tradnl"/>
                    </w:rPr>
                    <w:t>95%</w:t>
                  </w:r>
                </w:p>
              </w:tc>
            </w:tr>
            <w:tr w:rsidRPr="00F31A99" w:rsidR="00AE1B2B" w:rsidTr="00A306B2" w14:paraId="3B636EBD" w14:textId="77777777">
              <w:trPr>
                <w:trHeight w:val="300"/>
              </w:trPr>
              <w:tc>
                <w:tcPr>
                  <w:tcW w:w="3860" w:type="dxa"/>
                  <w:tcBorders>
                    <w:top w:val="nil"/>
                    <w:left w:val="single" w:color="auto" w:sz="8" w:space="0"/>
                    <w:bottom w:val="single" w:color="auto" w:sz="8" w:space="0"/>
                    <w:right w:val="single" w:color="auto" w:sz="8" w:space="0"/>
                  </w:tcBorders>
                  <w:noWrap/>
                  <w:vAlign w:val="bottom"/>
                  <w:hideMark/>
                </w:tcPr>
                <w:p w:rsidRPr="00F31A99" w:rsidR="00F31A99" w:rsidP="00F31A99" w:rsidRDefault="00F31A99" w14:paraId="0CA98FA1" w14:textId="77777777">
                  <w:pPr>
                    <w:autoSpaceDN w:val="0"/>
                    <w:spacing w:line="256" w:lineRule="auto"/>
                    <w:rPr>
                      <w:rFonts w:ascii="Times New Roman" w:hAnsi="Times New Roman" w:eastAsia="Calibri" w:cs="Times New Roman"/>
                      <w:u w:color="000000"/>
                      <w:lang w:eastAsia="es-ES_tradnl"/>
                    </w:rPr>
                  </w:pPr>
                  <w:r w:rsidRPr="00F31A99">
                    <w:rPr>
                      <w:rFonts w:ascii="Times New Roman" w:hAnsi="Times New Roman" w:eastAsia="Calibri" w:cs="Times New Roman"/>
                      <w:u w:color="000000"/>
                      <w:lang w:eastAsia="es-ES_tradnl"/>
                    </w:rPr>
                    <w:t>950 Serv. Atenc. y Protecc. Víct. Y Testigos</w:t>
                  </w:r>
                </w:p>
              </w:tc>
              <w:tc>
                <w:tcPr>
                  <w:tcW w:w="1240" w:type="dxa"/>
                  <w:tcBorders>
                    <w:top w:val="nil"/>
                    <w:left w:val="nil"/>
                    <w:bottom w:val="single" w:color="auto" w:sz="8" w:space="0"/>
                    <w:right w:val="single" w:color="auto" w:sz="8" w:space="0"/>
                  </w:tcBorders>
                  <w:vAlign w:val="center"/>
                </w:tcPr>
                <w:p w:rsidRPr="00F31A99" w:rsidR="00F31A99" w:rsidP="00F31A99" w:rsidRDefault="00F31A99" w14:paraId="5FF7CA8F"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6 613 094</w:t>
                  </w:r>
                </w:p>
                <w:p w:rsidRPr="00F31A99" w:rsidR="00F31A99" w:rsidP="00F31A99" w:rsidRDefault="00F31A99" w14:paraId="4022BD32" w14:textId="77777777">
                  <w:pPr>
                    <w:autoSpaceDN w:val="0"/>
                    <w:spacing w:line="256" w:lineRule="auto"/>
                    <w:jc w:val="right"/>
                    <w:rPr>
                      <w:rFonts w:ascii="Times New Roman" w:hAnsi="Times New Roman" w:eastAsia="Calibri" w:cs="Times New Roman"/>
                      <w:u w:color="000000"/>
                      <w:lang w:eastAsia="es-ES_tradnl"/>
                    </w:rPr>
                  </w:pPr>
                </w:p>
              </w:tc>
              <w:tc>
                <w:tcPr>
                  <w:tcW w:w="1240" w:type="dxa"/>
                  <w:tcBorders>
                    <w:top w:val="nil"/>
                    <w:left w:val="nil"/>
                    <w:bottom w:val="single" w:color="auto" w:sz="8" w:space="0"/>
                    <w:right w:val="single" w:color="auto" w:sz="8" w:space="0"/>
                  </w:tcBorders>
                  <w:vAlign w:val="center"/>
                </w:tcPr>
                <w:p w:rsidRPr="00F31A99" w:rsidR="00F31A99" w:rsidP="00F31A99" w:rsidRDefault="00F31A99" w14:paraId="0FC0FA90"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6 613 094</w:t>
                  </w:r>
                </w:p>
                <w:p w:rsidRPr="00F31A99" w:rsidR="00F31A99" w:rsidP="00F31A99" w:rsidRDefault="00F31A99" w14:paraId="79592027" w14:textId="77777777">
                  <w:pPr>
                    <w:autoSpaceDN w:val="0"/>
                    <w:spacing w:line="256" w:lineRule="auto"/>
                    <w:jc w:val="right"/>
                    <w:rPr>
                      <w:rFonts w:ascii="Times New Roman" w:hAnsi="Times New Roman" w:eastAsia="Calibri" w:cs="Times New Roman"/>
                      <w:u w:color="000000"/>
                      <w:lang w:eastAsia="es-ES_tradnl"/>
                    </w:rPr>
                  </w:pPr>
                </w:p>
              </w:tc>
              <w:tc>
                <w:tcPr>
                  <w:tcW w:w="1240" w:type="dxa"/>
                  <w:tcBorders>
                    <w:top w:val="nil"/>
                    <w:left w:val="nil"/>
                    <w:bottom w:val="single" w:color="auto" w:sz="8" w:space="0"/>
                    <w:right w:val="single" w:color="auto" w:sz="8" w:space="0"/>
                  </w:tcBorders>
                  <w:vAlign w:val="center"/>
                </w:tcPr>
                <w:p w:rsidRPr="00F31A99" w:rsidR="00F31A99" w:rsidP="00F31A99" w:rsidRDefault="00F31A99" w14:paraId="6B33810F"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rPr>
                    <w:t>6 542 300</w:t>
                  </w:r>
                </w:p>
                <w:p w:rsidRPr="00F31A99" w:rsidR="00F31A99" w:rsidP="00F31A99" w:rsidRDefault="00F31A99" w14:paraId="31EB1742" w14:textId="77777777">
                  <w:pPr>
                    <w:autoSpaceDN w:val="0"/>
                    <w:spacing w:line="256" w:lineRule="auto"/>
                    <w:jc w:val="right"/>
                    <w:rPr>
                      <w:rFonts w:ascii="Times New Roman" w:hAnsi="Times New Roman" w:eastAsia="Calibri" w:cs="Times New Roman"/>
                      <w:u w:color="000000"/>
                      <w:lang w:eastAsia="es-ES_tradnl"/>
                    </w:rPr>
                  </w:pPr>
                </w:p>
              </w:tc>
              <w:tc>
                <w:tcPr>
                  <w:tcW w:w="1240" w:type="dxa"/>
                  <w:tcBorders>
                    <w:top w:val="nil"/>
                    <w:left w:val="nil"/>
                    <w:bottom w:val="single" w:color="auto" w:sz="8" w:space="0"/>
                    <w:right w:val="single" w:color="auto" w:sz="8" w:space="0"/>
                  </w:tcBorders>
                  <w:noWrap/>
                  <w:vAlign w:val="center"/>
                  <w:hideMark/>
                </w:tcPr>
                <w:p w:rsidRPr="00F31A99" w:rsidR="00F31A99" w:rsidP="00F31A99" w:rsidRDefault="00F31A99" w14:paraId="22E80DBA" w14:textId="77777777">
                  <w:pPr>
                    <w:autoSpaceDN w:val="0"/>
                    <w:spacing w:line="256" w:lineRule="auto"/>
                    <w:jc w:val="center"/>
                    <w:rPr>
                      <w:rFonts w:ascii="Times New Roman" w:hAnsi="Times New Roman" w:eastAsia="Calibri" w:cs="Times New Roman"/>
                      <w:u w:color="000000"/>
                      <w:lang w:eastAsia="es-ES_tradnl"/>
                    </w:rPr>
                  </w:pPr>
                  <w:r w:rsidRPr="00F31A99">
                    <w:rPr>
                      <w:rFonts w:ascii="Times New Roman" w:hAnsi="Times New Roman" w:eastAsia="Calibri" w:cs="Times New Roman"/>
                      <w:u w:color="000000"/>
                      <w:lang w:eastAsia="es-ES_tradnl"/>
                    </w:rPr>
                    <w:t>99%</w:t>
                  </w:r>
                </w:p>
              </w:tc>
            </w:tr>
            <w:tr w:rsidRPr="00F31A99" w:rsidR="00AE1B2B" w:rsidTr="00A306B2" w14:paraId="5312BCEE" w14:textId="77777777">
              <w:trPr>
                <w:trHeight w:val="300"/>
              </w:trPr>
              <w:tc>
                <w:tcPr>
                  <w:tcW w:w="3860" w:type="dxa"/>
                  <w:tcBorders>
                    <w:top w:val="nil"/>
                    <w:left w:val="single" w:color="auto" w:sz="8" w:space="0"/>
                    <w:bottom w:val="single" w:color="auto" w:sz="8" w:space="0"/>
                    <w:right w:val="single" w:color="auto" w:sz="8" w:space="0"/>
                  </w:tcBorders>
                  <w:shd w:val="clear" w:color="auto" w:fill="BFBFBF"/>
                  <w:noWrap/>
                  <w:vAlign w:val="bottom"/>
                  <w:hideMark/>
                </w:tcPr>
                <w:p w:rsidRPr="00F31A99" w:rsidR="00F31A99" w:rsidP="00F31A99" w:rsidRDefault="00F31A99" w14:paraId="709C1E27" w14:textId="77777777">
                  <w:pPr>
                    <w:autoSpaceDN w:val="0"/>
                    <w:spacing w:line="256" w:lineRule="auto"/>
                    <w:jc w:val="center"/>
                    <w:rPr>
                      <w:rFonts w:ascii="Times New Roman" w:hAnsi="Times New Roman" w:eastAsia="Calibri" w:cs="Times New Roman"/>
                      <w:b/>
                      <w:bCs/>
                      <w:u w:color="000000"/>
                      <w:lang w:eastAsia="es-ES_tradnl"/>
                    </w:rPr>
                  </w:pPr>
                  <w:r w:rsidRPr="00F31A99">
                    <w:rPr>
                      <w:rFonts w:ascii="Times New Roman" w:hAnsi="Times New Roman" w:eastAsia="Calibri" w:cs="Times New Roman"/>
                      <w:b/>
                      <w:bCs/>
                      <w:u w:color="000000"/>
                      <w:lang w:eastAsia="es-ES_tradnl"/>
                    </w:rPr>
                    <w:t>TOTAL</w:t>
                  </w:r>
                </w:p>
              </w:tc>
              <w:tc>
                <w:tcPr>
                  <w:tcW w:w="1240" w:type="dxa"/>
                  <w:tcBorders>
                    <w:top w:val="nil"/>
                    <w:left w:val="nil"/>
                    <w:bottom w:val="single" w:color="auto" w:sz="8" w:space="0"/>
                    <w:right w:val="single" w:color="auto" w:sz="8" w:space="0"/>
                  </w:tcBorders>
                  <w:shd w:val="clear" w:color="auto" w:fill="BFBFBF"/>
                  <w:noWrap/>
                  <w:vAlign w:val="center"/>
                  <w:hideMark/>
                </w:tcPr>
                <w:p w:rsidRPr="00F31A99" w:rsidR="00F31A99" w:rsidP="00F31A99" w:rsidRDefault="00F31A99" w14:paraId="303DA1AD" w14:textId="77777777">
                  <w:pPr>
                    <w:autoSpaceDN w:val="0"/>
                    <w:spacing w:line="256" w:lineRule="auto"/>
                    <w:jc w:val="right"/>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rPr>
                    <w:t>82 469 242</w:t>
                  </w:r>
                </w:p>
              </w:tc>
              <w:tc>
                <w:tcPr>
                  <w:tcW w:w="1240" w:type="dxa"/>
                  <w:tcBorders>
                    <w:top w:val="nil"/>
                    <w:left w:val="nil"/>
                    <w:bottom w:val="single" w:color="auto" w:sz="8" w:space="0"/>
                    <w:right w:val="single" w:color="auto" w:sz="8" w:space="0"/>
                  </w:tcBorders>
                  <w:shd w:val="clear" w:color="auto" w:fill="BFBFBF"/>
                  <w:noWrap/>
                  <w:vAlign w:val="center"/>
                  <w:hideMark/>
                </w:tcPr>
                <w:p w:rsidRPr="00F31A99" w:rsidR="00F31A99" w:rsidP="00F31A99" w:rsidRDefault="00F31A99" w14:paraId="477025B7" w14:textId="77777777">
                  <w:pPr>
                    <w:autoSpaceDN w:val="0"/>
                    <w:spacing w:line="256" w:lineRule="auto"/>
                    <w:jc w:val="right"/>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rPr>
                    <w:t>48 431 311</w:t>
                  </w:r>
                </w:p>
              </w:tc>
              <w:tc>
                <w:tcPr>
                  <w:tcW w:w="1240" w:type="dxa"/>
                  <w:tcBorders>
                    <w:top w:val="nil"/>
                    <w:left w:val="nil"/>
                    <w:bottom w:val="single" w:color="auto" w:sz="8" w:space="0"/>
                    <w:right w:val="single" w:color="auto" w:sz="8" w:space="0"/>
                  </w:tcBorders>
                  <w:shd w:val="clear" w:color="auto" w:fill="BFBFBF"/>
                  <w:noWrap/>
                  <w:vAlign w:val="center"/>
                  <w:hideMark/>
                </w:tcPr>
                <w:p w:rsidRPr="00F31A99" w:rsidR="00F31A99" w:rsidP="00F31A99" w:rsidRDefault="00F31A99" w14:paraId="3463BC57" w14:textId="77777777">
                  <w:pPr>
                    <w:autoSpaceDN w:val="0"/>
                    <w:spacing w:line="256" w:lineRule="auto"/>
                    <w:jc w:val="right"/>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rPr>
                    <w:t>37 675 145</w:t>
                  </w:r>
                </w:p>
              </w:tc>
              <w:tc>
                <w:tcPr>
                  <w:tcW w:w="1240" w:type="dxa"/>
                  <w:tcBorders>
                    <w:top w:val="nil"/>
                    <w:left w:val="nil"/>
                    <w:bottom w:val="single" w:color="auto" w:sz="8" w:space="0"/>
                    <w:right w:val="single" w:color="auto" w:sz="8" w:space="0"/>
                  </w:tcBorders>
                  <w:shd w:val="clear" w:color="auto" w:fill="BFBFBF"/>
                  <w:noWrap/>
                  <w:vAlign w:val="center"/>
                  <w:hideMark/>
                </w:tcPr>
                <w:p w:rsidRPr="00F31A99" w:rsidR="00F31A99" w:rsidP="00F31A99" w:rsidRDefault="00F31A99" w14:paraId="713D2DCB" w14:textId="77777777">
                  <w:pPr>
                    <w:autoSpaceDN w:val="0"/>
                    <w:spacing w:line="256" w:lineRule="auto"/>
                    <w:jc w:val="center"/>
                    <w:rPr>
                      <w:rFonts w:ascii="Times New Roman" w:hAnsi="Times New Roman" w:eastAsia="Calibri" w:cs="Times New Roman"/>
                      <w:b/>
                      <w:bCs/>
                      <w:u w:color="000000"/>
                      <w:lang w:eastAsia="es-ES_tradnl"/>
                    </w:rPr>
                  </w:pPr>
                  <w:r w:rsidRPr="00F31A99">
                    <w:rPr>
                      <w:rFonts w:ascii="Times New Roman" w:hAnsi="Times New Roman" w:eastAsia="Calibri" w:cs="Times New Roman"/>
                      <w:b/>
                      <w:bCs/>
                      <w:u w:color="000000"/>
                      <w:lang w:eastAsia="es-ES_tradnl"/>
                    </w:rPr>
                    <w:t>78%</w:t>
                  </w:r>
                </w:p>
              </w:tc>
            </w:tr>
          </w:tbl>
          <w:p w:rsidRPr="00F31A99" w:rsidR="00F31A99" w:rsidP="00F31A99" w:rsidRDefault="00F31A99" w14:paraId="10E6DDCA" w14:textId="77777777">
            <w:pPr>
              <w:autoSpaceDN w:val="0"/>
              <w:spacing w:line="360" w:lineRule="auto"/>
              <w:rPr>
                <w:rFonts w:ascii="Times New Roman" w:hAnsi="Times New Roman" w:eastAsia="Calibri" w:cs="Times New Roman"/>
                <w:sz w:val="26"/>
                <w:szCs w:val="26"/>
                <w:u w:color="000000"/>
              </w:rPr>
            </w:pPr>
          </w:p>
          <w:p w:rsidRPr="00F31A99" w:rsidR="00F31A99" w:rsidP="00F31A99" w:rsidRDefault="00F31A99" w14:paraId="03D7545F" w14:textId="77777777">
            <w:pPr>
              <w:autoSpaceDN w:val="0"/>
              <w:spacing w:line="256" w:lineRule="auto"/>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En primer lugar, es importante resaltar que de los ¢82.469.242 aprobados para 2020, vía modificaciones presupuestarias se cedieron por parte de todos los Programas Presupuestarios excepto el 950, un 41% de los recursos (¢34.037.931), por lo que quedaron disponibles para ejecutar solamente ¢48.431.311 (59%). Del monto indicado anteriormente, se ejecutó el 78%, equivalente a ¢37.675.145.</w:t>
            </w:r>
          </w:p>
          <w:p w:rsidRPr="00F31A99" w:rsidR="00F31A99" w:rsidP="00F31A99" w:rsidRDefault="00F31A99" w14:paraId="76CC66A6" w14:textId="77777777">
            <w:pPr>
              <w:autoSpaceDN w:val="0"/>
              <w:spacing w:line="360" w:lineRule="auto"/>
              <w:rPr>
                <w:rFonts w:ascii="Times New Roman" w:hAnsi="Times New Roman" w:eastAsia="Calibri" w:cs="Times New Roman"/>
                <w:b/>
                <w:bCs/>
                <w:sz w:val="26"/>
                <w:szCs w:val="26"/>
                <w:highlight w:val="yellow"/>
                <w:u w:color="000000"/>
              </w:rPr>
            </w:pPr>
          </w:p>
        </w:tc>
        <w:tc>
          <w:tcPr>
            <w:tcW w:w="222" w:type="dxa"/>
          </w:tcPr>
          <w:p w:rsidRPr="00F31A99" w:rsidR="00F31A99" w:rsidP="00F31A99" w:rsidRDefault="00F31A99" w14:paraId="1A8AD99B" w14:textId="77777777">
            <w:pPr>
              <w:autoSpaceDN w:val="0"/>
              <w:spacing w:line="480" w:lineRule="auto"/>
              <w:jc w:val="center"/>
              <w:rPr>
                <w:rFonts w:ascii="Times New Roman" w:hAnsi="Times New Roman" w:eastAsia="Calibri" w:cs="Times New Roman"/>
                <w:b/>
                <w:bCs/>
                <w:sz w:val="26"/>
                <w:szCs w:val="26"/>
                <w:highlight w:val="yellow"/>
                <w:u w:color="000000"/>
              </w:rPr>
            </w:pPr>
          </w:p>
        </w:tc>
      </w:tr>
    </w:tbl>
    <w:p w:rsidRPr="00F31A99" w:rsidR="00F31A99" w:rsidP="00F31A99" w:rsidRDefault="00F31A99" w14:paraId="0D406374"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De acuerdo con el Ministerio de Hacienda, para que una ejecución se considere como “buena” debe alcanzar al menos el 90%, por lo que seguidamente se presentan las justificaciones brindadas por los Programas Jurisdiccional, OIJ y Ministerio Público.</w:t>
      </w:r>
    </w:p>
    <w:p w:rsidRPr="00F31A99" w:rsidR="00F31A99" w:rsidP="00F31A99" w:rsidRDefault="00F31A99" w14:paraId="7A340B90" w14:textId="77777777">
      <w:pPr>
        <w:autoSpaceDN w:val="0"/>
        <w:ind w:left="851" w:right="851" w:firstLine="709"/>
        <w:jc w:val="both"/>
        <w:rPr>
          <w:rFonts w:ascii="Times New Roman" w:hAnsi="Times New Roman" w:eastAsia="Calibri" w:cs="Times New Roman"/>
          <w:i/>
          <w:iCs/>
          <w:sz w:val="26"/>
          <w:szCs w:val="26"/>
          <w:highlight w:val="yellow"/>
          <w:u w:color="000000"/>
        </w:rPr>
      </w:pPr>
    </w:p>
    <w:p w:rsidRPr="00F31A99" w:rsidR="00F31A99" w:rsidP="00F31A99" w:rsidRDefault="00F31A99" w14:paraId="39AC9CE2" w14:textId="77777777">
      <w:pPr>
        <w:autoSpaceDN w:val="0"/>
        <w:ind w:left="851" w:right="851" w:firstLine="709"/>
        <w:jc w:val="both"/>
        <w:rPr>
          <w:rFonts w:ascii="Times New Roman" w:hAnsi="Times New Roman" w:eastAsia="Calibri" w:cs="Times New Roman"/>
          <w:b/>
          <w:bCs/>
          <w:i/>
          <w:iCs/>
          <w:sz w:val="26"/>
          <w:szCs w:val="26"/>
          <w:u w:val="single" w:color="000000"/>
        </w:rPr>
      </w:pPr>
      <w:r w:rsidRPr="00F31A99">
        <w:rPr>
          <w:rFonts w:ascii="Times New Roman" w:hAnsi="Times New Roman" w:eastAsia="Calibri" w:cs="Times New Roman"/>
          <w:b/>
          <w:bCs/>
          <w:i/>
          <w:iCs/>
          <w:sz w:val="26"/>
          <w:szCs w:val="26"/>
          <w:u w:val="single" w:color="000000"/>
        </w:rPr>
        <w:t>Programa Presupuestario 927 (Judicatura):</w:t>
      </w:r>
    </w:p>
    <w:p w:rsidRPr="00F31A99" w:rsidR="00F31A99" w:rsidP="00F31A99" w:rsidRDefault="00F31A99" w14:paraId="2E0B5076" w14:textId="77777777">
      <w:pPr>
        <w:autoSpaceDN w:val="0"/>
        <w:ind w:left="851" w:right="851" w:firstLine="709"/>
        <w:jc w:val="both"/>
        <w:rPr>
          <w:rFonts w:ascii="Times New Roman" w:hAnsi="Times New Roman" w:eastAsia="Calibri" w:cs="Times New Roman"/>
          <w:i/>
          <w:iCs/>
          <w:sz w:val="26"/>
          <w:szCs w:val="26"/>
          <w:highlight w:val="yellow"/>
          <w:u w:color="000000"/>
        </w:rPr>
      </w:pPr>
    </w:p>
    <w:p w:rsidRPr="00F31A99" w:rsidR="00F31A99" w:rsidP="00F31A99" w:rsidRDefault="00F31A99" w14:paraId="031A87DA"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El monto sin ejecutar en la subpartida 60201 del programa 927 para el año 2020, correspondiente a un monto de ₡ 2.352.665,00, se debe a que la señora María Ester Vargas Monge, becada por el Consejo Superior en sesión No. 102-18, celebrada el 22 de noviembre de 2018, artículo XLII, para cursar la Maestría en Ciencias Penales de la Universidad de Costa Rica (UCR) durante los años 2019-2020, en el I semestre del año 2020 cursó únicamente dos materias del plan </w:t>
      </w:r>
      <w:r w:rsidRPr="00F31A99">
        <w:rPr>
          <w:rFonts w:ascii="Times New Roman" w:hAnsi="Times New Roman" w:eastAsia="Calibri" w:cs="Times New Roman"/>
          <w:sz w:val="26"/>
          <w:szCs w:val="26"/>
          <w:u w:color="000000"/>
        </w:rPr>
        <w:lastRenderedPageBreak/>
        <w:t xml:space="preserve">de estudios y el 27 de agosto del 2020, la señora Vargas comunicó que se encontraba incapacitada, por lo que no realizó la matrícula para el II semestre del año 2020. </w:t>
      </w:r>
    </w:p>
    <w:p w:rsidRPr="00F31A99" w:rsidR="00F31A99" w:rsidP="00F31A99" w:rsidRDefault="00F31A99" w14:paraId="2BDA6687" w14:textId="77777777">
      <w:pPr>
        <w:autoSpaceDN w:val="0"/>
        <w:ind w:left="851" w:right="851" w:firstLine="709"/>
        <w:jc w:val="both"/>
        <w:rPr>
          <w:rFonts w:ascii="Times New Roman" w:hAnsi="Times New Roman" w:eastAsia="Calibri" w:cs="Times New Roman"/>
          <w:i/>
          <w:iCs/>
          <w:sz w:val="26"/>
          <w:szCs w:val="26"/>
          <w:highlight w:val="yellow"/>
          <w:u w:color="000000"/>
        </w:rPr>
      </w:pPr>
    </w:p>
    <w:p w:rsidRPr="00F31A99" w:rsidR="00F31A99" w:rsidP="00F31A99" w:rsidRDefault="00F31A99" w14:paraId="749C0296"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Por parte del Subproceso Gestión de la Capacitación, se han interpuesto consultas ante el Consejo de Personal sobre el estado de la beca de la servidora y su afectación al contrato de adiestramiento suscrito, sin embargo, según sesión de Consejo de Personal No. 01-21, celebrada el 19 de enero de 2021, artículo IV, se acordó: </w:t>
      </w:r>
    </w:p>
    <w:p w:rsidRPr="00F31A99" w:rsidR="00F31A99" w:rsidP="00F31A99" w:rsidRDefault="00F31A99" w14:paraId="201C3885" w14:textId="77777777">
      <w:pPr>
        <w:autoSpaceDN w:val="0"/>
        <w:ind w:left="851" w:right="851" w:firstLine="709"/>
        <w:jc w:val="both"/>
        <w:rPr>
          <w:rFonts w:ascii="Times New Roman" w:hAnsi="Times New Roman" w:eastAsia="Calibri" w:cs="Times New Roman"/>
          <w:sz w:val="26"/>
          <w:szCs w:val="26"/>
          <w:u w:color="000000"/>
          <w:lang w:eastAsia="es-CR"/>
        </w:rPr>
      </w:pPr>
    </w:p>
    <w:p w:rsidRPr="00F31A99" w:rsidR="00F31A99" w:rsidP="00F31A99" w:rsidRDefault="00F31A99" w14:paraId="75B0FBE3" w14:textId="77777777">
      <w:pPr>
        <w:autoSpaceDN w:val="0"/>
        <w:ind w:left="851" w:right="851" w:firstLine="709"/>
        <w:contextualSpacing/>
        <w:jc w:val="both"/>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t>“1. Devolver el oficio N°PJ-DGH-CP-436-20 a la Sección de Gestión de la Capacitación, afín de que solicite a la señora Vargas Monge una vez que finalice su incapacidad, aclare por qué en el primer semestre matriculó únicamente dos materias, cuando debió haber cursado las cuatro materias del bloque completo para dar cumplimiento al contrato establecido para beneficiarse de la beca, así como investigar si en el semestre del 2020 aprobó las dos materias matriculadas en la Universidad de Costa Rica, de lo contrario por qué no se aprobaron académicamente.</w:t>
      </w:r>
    </w:p>
    <w:p w:rsidRPr="00F31A99" w:rsidR="00F31A99" w:rsidP="00F31A99" w:rsidRDefault="00F31A99" w14:paraId="21BC2ECD" w14:textId="77777777">
      <w:pPr>
        <w:autoSpaceDN w:val="0"/>
        <w:ind w:left="851" w:right="851" w:firstLine="709"/>
        <w:contextualSpacing/>
        <w:jc w:val="both"/>
        <w:rPr>
          <w:rFonts w:ascii="Times New Roman" w:hAnsi="Times New Roman" w:eastAsia="Calibri" w:cs="Times New Roman"/>
          <w:i/>
          <w:iCs/>
          <w:sz w:val="26"/>
          <w:szCs w:val="26"/>
          <w:u w:color="000000"/>
        </w:rPr>
      </w:pPr>
    </w:p>
    <w:p w:rsidRPr="00F31A99" w:rsidR="00F31A99" w:rsidP="00F31A99" w:rsidRDefault="00F31A99" w14:paraId="4B5C2159" w14:textId="77777777">
      <w:pPr>
        <w:autoSpaceDN w:val="0"/>
        <w:ind w:left="851" w:right="851" w:firstLine="709"/>
        <w:contextualSpacing/>
        <w:jc w:val="both"/>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t>2. Que la Sección de Gestión de la Capacitación, investigue con la universidad qué medidas adoptaron en el segundo semestre del 2020, para que la señora María Ester Vargas Monge, diera cumplimiento a sus responsabilidades estudiantiles, dadas las condiciones de salud que presentó.”</w:t>
      </w:r>
    </w:p>
    <w:p w:rsidRPr="00F31A99" w:rsidR="00F31A99" w:rsidP="00F31A99" w:rsidRDefault="00F31A99" w14:paraId="287839FC" w14:textId="77777777">
      <w:pPr>
        <w:autoSpaceDN w:val="0"/>
        <w:ind w:left="851" w:right="851" w:firstLine="709"/>
        <w:jc w:val="both"/>
        <w:rPr>
          <w:rFonts w:ascii="Times New Roman" w:hAnsi="Times New Roman" w:eastAsia="Calibri" w:cs="Times New Roman"/>
          <w:sz w:val="26"/>
          <w:szCs w:val="26"/>
          <w:u w:color="000000"/>
          <w:lang w:eastAsia="es-CR"/>
        </w:rPr>
      </w:pPr>
    </w:p>
    <w:p w:rsidRPr="00F31A99" w:rsidR="00F31A99" w:rsidP="00F31A99" w:rsidRDefault="00F31A99" w14:paraId="27554C8B" w14:textId="77777777">
      <w:pPr>
        <w:autoSpaceDN w:val="0"/>
        <w:ind w:left="851" w:right="851" w:firstLine="709"/>
        <w:jc w:val="both"/>
        <w:rPr>
          <w:rFonts w:ascii="Times New Roman" w:hAnsi="Times New Roman" w:eastAsia="Calibri" w:cs="Times New Roman"/>
          <w:sz w:val="26"/>
          <w:szCs w:val="26"/>
          <w:u w:color="000000"/>
          <w:lang w:eastAsia="es-CR"/>
        </w:rPr>
      </w:pPr>
    </w:p>
    <w:p w:rsidRPr="00F31A99" w:rsidR="00F31A99" w:rsidP="00F31A99" w:rsidRDefault="00F31A99" w14:paraId="0E663BBA"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Por lo que se procedió con lo solicitado y mediante oficio PJ-DGH-CAP-103-2021 se brindó informe al Consejo de Personal sobre las medidas tomadas por parte de la Universidad de Costa Rica. </w:t>
      </w:r>
    </w:p>
    <w:p w:rsidRPr="00F31A99" w:rsidR="00F31A99" w:rsidP="00F31A99" w:rsidRDefault="00F31A99" w14:paraId="030E1023"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4D8DBFB8"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Actualmente se está dando seguimiento a la gestión. </w:t>
      </w:r>
    </w:p>
    <w:p w:rsidRPr="00F31A99" w:rsidR="00F31A99" w:rsidP="00F31A99" w:rsidRDefault="00F31A99" w14:paraId="5200C7BE" w14:textId="77777777">
      <w:pPr>
        <w:autoSpaceDN w:val="0"/>
        <w:ind w:left="851" w:right="851" w:firstLine="709"/>
        <w:jc w:val="both"/>
        <w:rPr>
          <w:rFonts w:ascii="Times New Roman" w:hAnsi="Times New Roman" w:eastAsia="Calibri" w:cs="Times New Roman"/>
          <w:i/>
          <w:iCs/>
          <w:sz w:val="26"/>
          <w:szCs w:val="26"/>
          <w:highlight w:val="yellow"/>
          <w:u w:color="000000"/>
        </w:rPr>
      </w:pPr>
    </w:p>
    <w:p w:rsidRPr="00F31A99" w:rsidR="00F31A99" w:rsidP="00F31A99" w:rsidRDefault="00F31A99" w14:paraId="02FBA2F6" w14:textId="77777777">
      <w:pPr>
        <w:autoSpaceDN w:val="0"/>
        <w:ind w:left="851" w:right="851" w:firstLine="709"/>
        <w:jc w:val="both"/>
        <w:rPr>
          <w:rFonts w:ascii="Times New Roman" w:hAnsi="Times New Roman" w:eastAsia="Calibri" w:cs="Times New Roman"/>
          <w:b/>
          <w:bCs/>
          <w:i/>
          <w:iCs/>
          <w:sz w:val="26"/>
          <w:szCs w:val="26"/>
          <w:u w:val="single" w:color="000000"/>
        </w:rPr>
      </w:pPr>
      <w:r w:rsidRPr="00F31A99">
        <w:rPr>
          <w:rFonts w:ascii="Times New Roman" w:hAnsi="Times New Roman" w:eastAsia="Calibri" w:cs="Times New Roman"/>
          <w:b/>
          <w:bCs/>
          <w:i/>
          <w:iCs/>
          <w:sz w:val="26"/>
          <w:szCs w:val="26"/>
          <w:u w:val="single" w:color="000000"/>
        </w:rPr>
        <w:t>Programa Presupuestario 928 (Organismo de Investigación Judicial):</w:t>
      </w:r>
    </w:p>
    <w:p w:rsidRPr="00F31A99" w:rsidR="00F31A99" w:rsidP="00F31A99" w:rsidRDefault="00F31A99" w14:paraId="0AA7702B" w14:textId="77777777">
      <w:pPr>
        <w:autoSpaceDN w:val="0"/>
        <w:ind w:left="851" w:right="851" w:firstLine="709"/>
        <w:jc w:val="both"/>
        <w:rPr>
          <w:rFonts w:ascii="Times New Roman" w:hAnsi="Times New Roman" w:eastAsia="Calibri" w:cs="Times New Roman"/>
          <w:b/>
          <w:bCs/>
          <w:i/>
          <w:iCs/>
          <w:sz w:val="26"/>
          <w:szCs w:val="26"/>
          <w:highlight w:val="yellow"/>
          <w:u w:val="single" w:color="000000"/>
        </w:rPr>
      </w:pPr>
    </w:p>
    <w:p w:rsidRPr="00F31A99" w:rsidR="00F31A99" w:rsidP="00F31A99" w:rsidRDefault="00F31A99" w14:paraId="5486C8F6"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El monto sin ejecutar en la subpartida 60201 del programa 928 para el año 2020, correspondiente a un monto de ₡ 791.149,00, se debe a que el señor Manfred Quesada Sánchez, becado por el Consejo Superior en sesión No. 76-19 celebrada el 29 de agosto de 2019, </w:t>
      </w:r>
      <w:r w:rsidRPr="00F31A99">
        <w:rPr>
          <w:rFonts w:ascii="Times New Roman" w:hAnsi="Times New Roman" w:eastAsia="Calibri" w:cs="Times New Roman"/>
          <w:sz w:val="26"/>
          <w:szCs w:val="26"/>
          <w:u w:color="000000"/>
        </w:rPr>
        <w:lastRenderedPageBreak/>
        <w:t>artículo XLIII, para cursar la Maestría Profesional en Criminología impartida por la Universidad Estatal a Distancia (UNED), por error de interpretación asumió que con la solicitud que realizó el Subproceso Gestión de la Capacitación a la UNED para que se facturara a nombre del Poder Judicial, se le había reservado la matrícula y no realizó el trámite en línea estipulado por la UNED.</w:t>
      </w:r>
    </w:p>
    <w:p w:rsidRPr="00F31A99" w:rsidR="00F31A99" w:rsidP="00F31A99" w:rsidRDefault="00F31A99" w14:paraId="51D85DB3"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748F6C7F"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Quedando así sin ejecutar lo correspondiente a las cuatro materias que debió cursar el señor Quesada en el I trimestre del año 2020. </w:t>
      </w:r>
    </w:p>
    <w:p w:rsidRPr="00F31A99" w:rsidR="00F31A99" w:rsidP="00F31A99" w:rsidRDefault="00F31A99" w14:paraId="3D42477D"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32BD49EC"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Dicha gestión fue conocida por el Consejo Superior en sesión No. 72-20, celebrada el 16 de julio de 2020, artículo XV, en el cual se acordó: </w:t>
      </w:r>
    </w:p>
    <w:p w:rsidRPr="00F31A99" w:rsidR="00F31A99" w:rsidP="00F31A99" w:rsidRDefault="00F31A99" w14:paraId="22C9AF77"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2E5D1BB5" w14:textId="77777777">
      <w:pPr>
        <w:autoSpaceDN w:val="0"/>
        <w:ind w:left="851" w:right="851" w:firstLine="709"/>
        <w:contextualSpacing/>
        <w:jc w:val="both"/>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t xml:space="preserve">“Acoger el acuerdo tomado por el Consejo de Personal en sesión N° 08-2020 celebrada el 09 de junio de 2020 artículo III, en consecuencia: 1.) Deberá licenciado Manfred Quesada Sánchez, asumir el pago del último cuatrimestre de la </w:t>
      </w:r>
      <w:r w:rsidRPr="00F31A99">
        <w:rPr>
          <w:rFonts w:ascii="Times New Roman" w:hAnsi="Times New Roman" w:eastAsia="Calibri" w:cs="Times New Roman"/>
          <w:b/>
          <w:bCs/>
          <w:i/>
          <w:iCs/>
          <w:sz w:val="26"/>
          <w:szCs w:val="26"/>
          <w:u w:color="000000"/>
        </w:rPr>
        <w:t>Maestría en Criminología en la Universidad Estatal a Distancia</w:t>
      </w:r>
      <w:r w:rsidRPr="00F31A99">
        <w:rPr>
          <w:rFonts w:ascii="Times New Roman" w:hAnsi="Times New Roman" w:eastAsia="Calibri" w:cs="Times New Roman"/>
          <w:i/>
          <w:iCs/>
          <w:sz w:val="26"/>
          <w:szCs w:val="26"/>
          <w:u w:color="000000"/>
        </w:rPr>
        <w:t>, con el objetivo de no comprometer el presupuesto del 2021 asignado a la partida de otorgamiento de becas. 2.) Deberá el Subproceso Gestión de la Capacitación de la Dirección de Gestión Humana coordinar con la Dirección Jurídica, el ajuste que debe realizarse al contrato firmado por el señor Quesada Sánchez por ser beneficiario de la beca citada, a fin de que se ajuste su monto y el rige a partir de la aprobación de este acuerdo por parte del Consejo de Personal.”</w:t>
      </w:r>
    </w:p>
    <w:p w:rsidRPr="00F31A99" w:rsidR="00F31A99" w:rsidP="00F31A99" w:rsidRDefault="00F31A99" w14:paraId="44FCC06D" w14:textId="77777777">
      <w:pPr>
        <w:autoSpaceDN w:val="0"/>
        <w:ind w:left="851" w:right="851" w:firstLine="709"/>
        <w:jc w:val="both"/>
        <w:rPr>
          <w:rFonts w:ascii="Times New Roman" w:hAnsi="Times New Roman" w:eastAsia="Calibri" w:cs="Times New Roman"/>
          <w:i/>
          <w:iCs/>
          <w:sz w:val="26"/>
          <w:szCs w:val="26"/>
          <w:u w:color="000000"/>
        </w:rPr>
      </w:pPr>
    </w:p>
    <w:p w:rsidRPr="00F31A99" w:rsidR="00F31A99" w:rsidP="00F31A99" w:rsidRDefault="00F31A99" w14:paraId="2F6EEEFD"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Por parte del Subproceso Gestión de la Capacitación, se procedió a realizar el ajuste al contrato suscrito por el señor Quesada según criterio de la Dirección Jurídica no. 609-DJ/CAD-2020 y se remitió la adenda suscrita por todas las partes a la Unidad de Gestión Documental y Archivo para su incorporación en el expediente digital del señor Quesada. </w:t>
      </w:r>
    </w:p>
    <w:p w:rsidRPr="00F31A99" w:rsidR="00F31A99" w:rsidP="00F31A99" w:rsidRDefault="00F31A99" w14:paraId="4DD32E23" w14:textId="77777777">
      <w:pPr>
        <w:autoSpaceDN w:val="0"/>
        <w:ind w:left="851" w:right="851" w:firstLine="709"/>
        <w:jc w:val="both"/>
        <w:rPr>
          <w:rFonts w:ascii="Times New Roman" w:hAnsi="Times New Roman" w:eastAsia="Calibri" w:cs="Times New Roman"/>
          <w:b/>
          <w:bCs/>
          <w:i/>
          <w:iCs/>
          <w:sz w:val="26"/>
          <w:szCs w:val="26"/>
          <w:highlight w:val="yellow"/>
          <w:u w:val="single" w:color="000000"/>
        </w:rPr>
      </w:pPr>
    </w:p>
    <w:p w:rsidRPr="00F31A99" w:rsidR="00F31A99" w:rsidP="00F31A99" w:rsidRDefault="00F31A99" w14:paraId="399DC078" w14:textId="77777777">
      <w:pPr>
        <w:autoSpaceDN w:val="0"/>
        <w:ind w:left="851" w:right="851" w:firstLine="709"/>
        <w:jc w:val="both"/>
        <w:rPr>
          <w:rFonts w:ascii="Times New Roman" w:hAnsi="Times New Roman" w:eastAsia="Calibri" w:cs="Times New Roman"/>
          <w:b/>
          <w:bCs/>
          <w:i/>
          <w:iCs/>
          <w:sz w:val="26"/>
          <w:szCs w:val="26"/>
          <w:highlight w:val="yellow"/>
          <w:u w:val="single" w:color="000000"/>
        </w:rPr>
      </w:pPr>
    </w:p>
    <w:p w:rsidRPr="00F31A99" w:rsidR="00F31A99" w:rsidP="00F31A99" w:rsidRDefault="00F31A99" w14:paraId="73ED8791" w14:textId="77777777">
      <w:pPr>
        <w:autoSpaceDN w:val="0"/>
        <w:ind w:left="851" w:right="851" w:firstLine="709"/>
        <w:jc w:val="both"/>
        <w:rPr>
          <w:rFonts w:ascii="Times New Roman" w:hAnsi="Times New Roman" w:eastAsia="Calibri" w:cs="Times New Roman"/>
          <w:b/>
          <w:bCs/>
          <w:i/>
          <w:iCs/>
          <w:sz w:val="26"/>
          <w:szCs w:val="26"/>
          <w:highlight w:val="yellow"/>
          <w:u w:val="single" w:color="000000"/>
        </w:rPr>
      </w:pPr>
    </w:p>
    <w:p w:rsidRPr="00F31A99" w:rsidR="00F31A99" w:rsidP="00F31A99" w:rsidRDefault="00F31A99" w14:paraId="7A76CCEB" w14:textId="77777777">
      <w:pPr>
        <w:autoSpaceDN w:val="0"/>
        <w:ind w:left="851" w:right="851" w:firstLine="709"/>
        <w:jc w:val="both"/>
        <w:rPr>
          <w:rFonts w:ascii="Times New Roman" w:hAnsi="Times New Roman" w:eastAsia="Calibri" w:cs="Times New Roman"/>
          <w:b/>
          <w:bCs/>
          <w:i/>
          <w:iCs/>
          <w:sz w:val="26"/>
          <w:szCs w:val="26"/>
          <w:u w:val="single" w:color="000000"/>
        </w:rPr>
      </w:pPr>
      <w:r w:rsidRPr="00F31A99">
        <w:rPr>
          <w:rFonts w:ascii="Times New Roman" w:hAnsi="Times New Roman" w:eastAsia="Calibri" w:cs="Times New Roman"/>
          <w:b/>
          <w:bCs/>
          <w:i/>
          <w:iCs/>
          <w:sz w:val="26"/>
          <w:szCs w:val="26"/>
          <w:u w:val="single" w:color="000000"/>
        </w:rPr>
        <w:t>Programa Presupuestario 929 (Ministerio Público):</w:t>
      </w:r>
    </w:p>
    <w:p w:rsidRPr="00F31A99" w:rsidR="00F31A99" w:rsidP="00F31A99" w:rsidRDefault="00F31A99" w14:paraId="3AA04E54" w14:textId="77777777">
      <w:pPr>
        <w:autoSpaceDN w:val="0"/>
        <w:ind w:left="851" w:right="851" w:firstLine="709"/>
        <w:jc w:val="both"/>
        <w:rPr>
          <w:rFonts w:ascii="Times New Roman" w:hAnsi="Times New Roman" w:eastAsia="Calibri" w:cs="Times New Roman"/>
          <w:b/>
          <w:bCs/>
          <w:i/>
          <w:iCs/>
          <w:sz w:val="26"/>
          <w:szCs w:val="26"/>
          <w:highlight w:val="yellow"/>
          <w:u w:val="single" w:color="000000"/>
        </w:rPr>
      </w:pPr>
    </w:p>
    <w:p w:rsidRPr="00F31A99" w:rsidR="00F31A99" w:rsidP="00F31A99" w:rsidRDefault="00F31A99" w14:paraId="32E9C934"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lastRenderedPageBreak/>
        <w:t xml:space="preserve">El monto sin ejecutar en la subpartida 60201 del programa 929 para el año 2020, correspondiente a un monto de ₡ 6 124 027,00, se debe a que, para este programa se destinaron becas para las siguientes actividades y su respectiva justificación: </w:t>
      </w:r>
    </w:p>
    <w:p w:rsidRPr="00F31A99" w:rsidR="00F31A99" w:rsidP="00F31A99" w:rsidRDefault="00F31A99" w14:paraId="4DD89DD1" w14:textId="77777777">
      <w:pPr>
        <w:autoSpaceDN w:val="0"/>
        <w:spacing w:line="360" w:lineRule="auto"/>
        <w:rPr>
          <w:rFonts w:ascii="Times New Roman" w:hAnsi="Times New Roman" w:eastAsia="Calibri" w:cs="Times New Roman"/>
          <w:highlight w:val="yellow"/>
          <w:u w:color="000000"/>
        </w:rPr>
      </w:pPr>
    </w:p>
    <w:p w:rsidRPr="00F31A99" w:rsidR="00F31A99" w:rsidP="00F31A99" w:rsidRDefault="00F31A99" w14:paraId="0A2B312C" w14:textId="77777777">
      <w:pPr>
        <w:autoSpaceDN w:val="0"/>
        <w:spacing w:line="360" w:lineRule="auto"/>
        <w:rPr>
          <w:rFonts w:ascii="Times New Roman" w:hAnsi="Times New Roman" w:eastAsia="Calibri" w:cs="Times New Roman"/>
          <w:highlight w:val="yellow"/>
          <w:u w:color="000000"/>
        </w:rPr>
      </w:pPr>
    </w:p>
    <w:p w:rsidRPr="00F31A99" w:rsidR="00F31A99" w:rsidP="00F31A99" w:rsidRDefault="00F31A99" w14:paraId="360A1B15" w14:textId="77777777">
      <w:pPr>
        <w:autoSpaceDN w:val="0"/>
        <w:rPr>
          <w:rFonts w:ascii="Times New Roman" w:hAnsi="Times New Roman" w:eastAsia="Calibri" w:cs="Times New Roman"/>
          <w:highlight w:val="yellow"/>
          <w:u w:color="000000"/>
        </w:rPr>
      </w:pPr>
    </w:p>
    <w:tbl>
      <w:tblPr>
        <w:tblW w:w="10060" w:type="dxa"/>
        <w:jc w:val="center"/>
        <w:tblCellMar>
          <w:left w:w="70" w:type="dxa"/>
          <w:right w:w="70" w:type="dxa"/>
        </w:tblCellMar>
        <w:tblLook w:val="04A0" w:firstRow="1" w:lastRow="0" w:firstColumn="1" w:lastColumn="0" w:noHBand="0" w:noVBand="1"/>
      </w:tblPr>
      <w:tblGrid>
        <w:gridCol w:w="1478"/>
        <w:gridCol w:w="1570"/>
        <w:gridCol w:w="7012"/>
      </w:tblGrid>
      <w:tr w:rsidRPr="00F31A99" w:rsidR="00AE1B2B" w:rsidTr="00A306B2" w14:paraId="102732F4" w14:textId="77777777">
        <w:trPr>
          <w:trHeight w:val="507"/>
          <w:jc w:val="center"/>
        </w:trPr>
        <w:tc>
          <w:tcPr>
            <w:tcW w:w="1478" w:type="dxa"/>
            <w:tcBorders>
              <w:top w:val="single" w:color="auto" w:sz="4" w:space="0"/>
              <w:left w:val="single" w:color="auto" w:sz="4" w:space="0"/>
              <w:bottom w:val="single" w:color="auto" w:sz="4" w:space="0"/>
              <w:right w:val="single" w:color="auto" w:sz="4" w:space="0"/>
            </w:tcBorders>
            <w:shd w:val="clear" w:color="auto" w:fill="D9D9D9"/>
            <w:noWrap/>
            <w:vAlign w:val="center"/>
            <w:hideMark/>
          </w:tcPr>
          <w:p w:rsidRPr="00F31A99" w:rsidR="00F31A99" w:rsidP="00F31A99" w:rsidRDefault="00F31A99" w14:paraId="3CBDD403" w14:textId="77777777">
            <w:pPr>
              <w:autoSpaceDN w:val="0"/>
              <w:spacing w:line="256" w:lineRule="auto"/>
              <w:jc w:val="center"/>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Postgrado</w:t>
            </w:r>
          </w:p>
        </w:tc>
        <w:tc>
          <w:tcPr>
            <w:tcW w:w="1570" w:type="dxa"/>
            <w:tcBorders>
              <w:top w:val="single" w:color="auto" w:sz="4" w:space="0"/>
              <w:left w:val="nil"/>
              <w:bottom w:val="single" w:color="auto" w:sz="4" w:space="0"/>
              <w:right w:val="single" w:color="auto" w:sz="4" w:space="0"/>
            </w:tcBorders>
            <w:shd w:val="clear" w:color="auto" w:fill="D9D9D9"/>
            <w:noWrap/>
            <w:vAlign w:val="center"/>
            <w:hideMark/>
          </w:tcPr>
          <w:p w:rsidRPr="00F31A99" w:rsidR="00F31A99" w:rsidP="00F31A99" w:rsidRDefault="00F31A99" w14:paraId="597B59B2" w14:textId="77777777">
            <w:pPr>
              <w:autoSpaceDN w:val="0"/>
              <w:spacing w:line="256" w:lineRule="auto"/>
              <w:jc w:val="center"/>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Universidad</w:t>
            </w:r>
          </w:p>
        </w:tc>
        <w:tc>
          <w:tcPr>
            <w:tcW w:w="7012" w:type="dxa"/>
            <w:tcBorders>
              <w:top w:val="single" w:color="auto" w:sz="4" w:space="0"/>
              <w:left w:val="nil"/>
              <w:bottom w:val="single" w:color="auto" w:sz="4" w:space="0"/>
              <w:right w:val="single" w:color="auto" w:sz="4" w:space="0"/>
            </w:tcBorders>
            <w:shd w:val="clear" w:color="auto" w:fill="D9D9D9"/>
            <w:vAlign w:val="center"/>
            <w:hideMark/>
          </w:tcPr>
          <w:p w:rsidRPr="00F31A99" w:rsidR="00F31A99" w:rsidP="00F31A99" w:rsidRDefault="00F31A99" w14:paraId="6C2CDD00" w14:textId="77777777">
            <w:pPr>
              <w:autoSpaceDN w:val="0"/>
              <w:spacing w:line="256" w:lineRule="auto"/>
              <w:jc w:val="center"/>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Justificación</w:t>
            </w:r>
          </w:p>
        </w:tc>
      </w:tr>
      <w:tr w:rsidRPr="00F31A99" w:rsidR="00AE1B2B" w:rsidTr="00A306B2" w14:paraId="1BBA1CD2" w14:textId="77777777">
        <w:trPr>
          <w:trHeight w:val="634"/>
          <w:jc w:val="center"/>
        </w:trPr>
        <w:tc>
          <w:tcPr>
            <w:tcW w:w="1478" w:type="dxa"/>
            <w:tcBorders>
              <w:top w:val="nil"/>
              <w:left w:val="single" w:color="auto" w:sz="4" w:space="0"/>
              <w:bottom w:val="single" w:color="auto" w:sz="4" w:space="0"/>
              <w:right w:val="single" w:color="auto" w:sz="4" w:space="0"/>
            </w:tcBorders>
            <w:vAlign w:val="center"/>
            <w:hideMark/>
          </w:tcPr>
          <w:p w:rsidRPr="00F31A99" w:rsidR="00F31A99" w:rsidP="00F31A99" w:rsidRDefault="00F31A99" w14:paraId="4ADA681F"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Maestría en Derechos Humanos y Educación para la Paz</w:t>
            </w:r>
          </w:p>
        </w:tc>
        <w:tc>
          <w:tcPr>
            <w:tcW w:w="1570" w:type="dxa"/>
            <w:tcBorders>
              <w:top w:val="nil"/>
              <w:left w:val="nil"/>
              <w:bottom w:val="single" w:color="auto" w:sz="4" w:space="0"/>
              <w:right w:val="single" w:color="auto" w:sz="4" w:space="0"/>
            </w:tcBorders>
            <w:vAlign w:val="center"/>
            <w:hideMark/>
          </w:tcPr>
          <w:p w:rsidRPr="00F31A99" w:rsidR="00F31A99" w:rsidP="00F31A99" w:rsidRDefault="00F31A99" w14:paraId="37D950EB"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Universidad Nacional (UNA)</w:t>
            </w:r>
          </w:p>
        </w:tc>
        <w:tc>
          <w:tcPr>
            <w:tcW w:w="7012" w:type="dxa"/>
            <w:tcBorders>
              <w:top w:val="nil"/>
              <w:left w:val="nil"/>
              <w:bottom w:val="single" w:color="auto" w:sz="4" w:space="0"/>
              <w:right w:val="single" w:color="auto" w:sz="4" w:space="0"/>
            </w:tcBorders>
            <w:vAlign w:val="center"/>
          </w:tcPr>
          <w:p w:rsidRPr="00F31A99" w:rsidR="00F31A99" w:rsidP="00F31A99" w:rsidRDefault="00F31A99" w14:paraId="2702112D"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El 28 de abril de 2020, la UNA nos informó que la apertura de próxima promoción de esta actividad sería en febrero del 2021, por lo que, por razones externas a este Subproceso, no se pudo ejecutar el presupuesto asignado a esta actividad en el año 2020. </w:t>
            </w:r>
          </w:p>
          <w:p w:rsidRPr="00F31A99" w:rsidR="00F31A99" w:rsidP="00F31A99" w:rsidRDefault="00F31A99" w14:paraId="1559C1F8" w14:textId="77777777">
            <w:pPr>
              <w:autoSpaceDN w:val="0"/>
              <w:spacing w:line="256" w:lineRule="auto"/>
              <w:rPr>
                <w:rFonts w:ascii="Times New Roman" w:hAnsi="Times New Roman" w:eastAsia="Calibri" w:cs="Times New Roman"/>
                <w:u w:color="000000"/>
                <w:lang w:eastAsia="es-CR"/>
              </w:rPr>
            </w:pPr>
          </w:p>
          <w:p w:rsidRPr="00F31A99" w:rsidR="00F31A99" w:rsidP="00F31A99" w:rsidRDefault="00F31A99" w14:paraId="2F72F9AC"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rPr>
              <w:object w:dxaOrig="1440" w:dyaOrig="1270" w14:anchorId="6648849C">
                <v:shape id="_x0000_i1588" style="width:1in;height:63.3pt" o:ole="" type="#_x0000_t75">
                  <v:imagedata o:title="" r:id="rId18"/>
                </v:shape>
                <o:OLEObject Type="Embed" ProgID="MailMsgAtt" ShapeID="_x0000_i1588" DrawAspect="Icon" ObjectID="_1681900444" r:id="rId19"/>
              </w:object>
            </w:r>
          </w:p>
          <w:p w:rsidRPr="00F31A99" w:rsidR="00F31A99" w:rsidP="00F31A99" w:rsidRDefault="00F31A99" w14:paraId="68E10643" w14:textId="77777777">
            <w:pPr>
              <w:autoSpaceDN w:val="0"/>
              <w:spacing w:line="256" w:lineRule="auto"/>
              <w:rPr>
                <w:rFonts w:ascii="Times New Roman" w:hAnsi="Times New Roman" w:eastAsia="Calibri" w:cs="Times New Roman"/>
                <w:u w:color="000000"/>
                <w:lang w:eastAsia="es-CR"/>
              </w:rPr>
            </w:pPr>
          </w:p>
        </w:tc>
      </w:tr>
      <w:tr w:rsidRPr="00F31A99" w:rsidR="00AE1B2B" w:rsidTr="00A306B2" w14:paraId="44EC7ACC" w14:textId="77777777">
        <w:trPr>
          <w:trHeight w:val="634"/>
          <w:jc w:val="center"/>
        </w:trPr>
        <w:tc>
          <w:tcPr>
            <w:tcW w:w="1478" w:type="dxa"/>
            <w:tcBorders>
              <w:top w:val="nil"/>
              <w:left w:val="single" w:color="auto" w:sz="4" w:space="0"/>
              <w:bottom w:val="single" w:color="auto" w:sz="4" w:space="0"/>
              <w:right w:val="single" w:color="auto" w:sz="4" w:space="0"/>
            </w:tcBorders>
            <w:vAlign w:val="center"/>
            <w:hideMark/>
          </w:tcPr>
          <w:p w:rsidRPr="00F31A99" w:rsidR="00F31A99" w:rsidP="00F31A99" w:rsidRDefault="00F31A99" w14:paraId="4DF06E05"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Maestría Académica en Estudios de las Mujeres, Géneros y Sexualidades</w:t>
            </w:r>
          </w:p>
        </w:tc>
        <w:tc>
          <w:tcPr>
            <w:tcW w:w="1570" w:type="dxa"/>
            <w:tcBorders>
              <w:top w:val="nil"/>
              <w:left w:val="nil"/>
              <w:bottom w:val="single" w:color="auto" w:sz="4" w:space="0"/>
              <w:right w:val="single" w:color="auto" w:sz="4" w:space="0"/>
            </w:tcBorders>
            <w:vAlign w:val="center"/>
            <w:hideMark/>
          </w:tcPr>
          <w:p w:rsidRPr="00F31A99" w:rsidR="00F31A99" w:rsidP="00F31A99" w:rsidRDefault="00F31A99" w14:paraId="1BB98578"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Universidad de Costa Rica (UCR)</w:t>
            </w:r>
          </w:p>
        </w:tc>
        <w:tc>
          <w:tcPr>
            <w:tcW w:w="7012" w:type="dxa"/>
            <w:tcBorders>
              <w:top w:val="nil"/>
              <w:left w:val="nil"/>
              <w:bottom w:val="single" w:color="auto" w:sz="4" w:space="0"/>
              <w:right w:val="single" w:color="auto" w:sz="4" w:space="0"/>
            </w:tcBorders>
            <w:vAlign w:val="center"/>
          </w:tcPr>
          <w:p w:rsidRPr="00F31A99" w:rsidR="00F31A99" w:rsidP="00F31A99" w:rsidRDefault="00F31A99" w14:paraId="3742034B"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El 25 de marzo de 2020, la UCR nos informó que la apertura de próxima promoción de esta actividad sería en marzo del 2021, por lo que, por razones externas a este Subproceso, no se pudo ejecutar el presupuesto asignado a esta actividad en el año 2020. </w:t>
            </w:r>
          </w:p>
          <w:p w:rsidRPr="00F31A99" w:rsidR="00F31A99" w:rsidP="00F31A99" w:rsidRDefault="00F31A99" w14:paraId="7A851EA6" w14:textId="77777777">
            <w:pPr>
              <w:autoSpaceDN w:val="0"/>
              <w:spacing w:line="256" w:lineRule="auto"/>
              <w:rPr>
                <w:rFonts w:ascii="Times New Roman" w:hAnsi="Times New Roman" w:eastAsia="Calibri" w:cs="Times New Roman"/>
                <w:u w:color="000000"/>
                <w:lang w:eastAsia="es-CR"/>
              </w:rPr>
            </w:pPr>
          </w:p>
          <w:p w:rsidRPr="00F31A99" w:rsidR="00F31A99" w:rsidP="00F31A99" w:rsidRDefault="00F31A99" w14:paraId="5FF5AE4E"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rPr>
              <w:object w:dxaOrig="1440" w:dyaOrig="1270" w14:anchorId="071449F0">
                <v:shape id="_x0000_i1589" style="width:1in;height:63.3pt" o:ole="" type="#_x0000_t75">
                  <v:imagedata o:title="" r:id="rId20"/>
                </v:shape>
                <o:OLEObject Type="Embed" ProgID="MailMsgAtt" ShapeID="_x0000_i1589" DrawAspect="Icon" ObjectID="_1681900445" r:id="rId21"/>
              </w:object>
            </w:r>
          </w:p>
          <w:p w:rsidRPr="00F31A99" w:rsidR="00F31A99" w:rsidP="00F31A99" w:rsidRDefault="00F31A99" w14:paraId="6F2CC4AB" w14:textId="77777777">
            <w:pPr>
              <w:autoSpaceDN w:val="0"/>
              <w:spacing w:line="256" w:lineRule="auto"/>
              <w:rPr>
                <w:rFonts w:ascii="Times New Roman" w:hAnsi="Times New Roman" w:eastAsia="Calibri" w:cs="Times New Roman"/>
                <w:u w:color="000000"/>
                <w:lang w:eastAsia="es-CR"/>
              </w:rPr>
            </w:pPr>
          </w:p>
          <w:p w:rsidRPr="00F31A99" w:rsidR="00F31A99" w:rsidP="00F31A99" w:rsidRDefault="00F31A99" w14:paraId="2381C843" w14:textId="77777777">
            <w:pPr>
              <w:autoSpaceDN w:val="0"/>
              <w:spacing w:line="256" w:lineRule="auto"/>
              <w:rPr>
                <w:rFonts w:ascii="Times New Roman" w:hAnsi="Times New Roman" w:eastAsia="Calibri" w:cs="Times New Roman"/>
                <w:u w:color="000000"/>
                <w:lang w:eastAsia="es-CR"/>
              </w:rPr>
            </w:pPr>
          </w:p>
        </w:tc>
      </w:tr>
      <w:tr w:rsidRPr="00F31A99" w:rsidR="00AE1B2B" w:rsidTr="00A306B2" w14:paraId="73705009" w14:textId="77777777">
        <w:trPr>
          <w:trHeight w:val="634"/>
          <w:jc w:val="center"/>
        </w:trPr>
        <w:tc>
          <w:tcPr>
            <w:tcW w:w="1478" w:type="dxa"/>
            <w:tcBorders>
              <w:top w:val="nil"/>
              <w:left w:val="single" w:color="auto" w:sz="4" w:space="0"/>
              <w:bottom w:val="single" w:color="auto" w:sz="4" w:space="0"/>
              <w:right w:val="single" w:color="auto" w:sz="4" w:space="0"/>
            </w:tcBorders>
            <w:vAlign w:val="center"/>
            <w:hideMark/>
          </w:tcPr>
          <w:p w:rsidRPr="00F31A99" w:rsidR="00F31A99" w:rsidP="00F31A99" w:rsidRDefault="00F31A99" w14:paraId="3F2FB063"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Maestría en Ciencias Penales</w:t>
            </w:r>
          </w:p>
        </w:tc>
        <w:tc>
          <w:tcPr>
            <w:tcW w:w="1570" w:type="dxa"/>
            <w:tcBorders>
              <w:top w:val="nil"/>
              <w:left w:val="nil"/>
              <w:bottom w:val="single" w:color="auto" w:sz="4" w:space="0"/>
              <w:right w:val="single" w:color="auto" w:sz="4" w:space="0"/>
            </w:tcBorders>
            <w:vAlign w:val="center"/>
            <w:hideMark/>
          </w:tcPr>
          <w:p w:rsidRPr="00F31A99" w:rsidR="00F31A99" w:rsidP="00F31A99" w:rsidRDefault="00F31A99" w14:paraId="238E9C5C"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Universidad de Costa Rica (UCR)</w:t>
            </w:r>
          </w:p>
        </w:tc>
        <w:tc>
          <w:tcPr>
            <w:tcW w:w="7012" w:type="dxa"/>
            <w:tcBorders>
              <w:top w:val="nil"/>
              <w:left w:val="nil"/>
              <w:bottom w:val="single" w:color="auto" w:sz="4" w:space="0"/>
              <w:right w:val="single" w:color="auto" w:sz="4" w:space="0"/>
            </w:tcBorders>
            <w:vAlign w:val="center"/>
          </w:tcPr>
          <w:p w:rsidRPr="00F31A99" w:rsidR="00F31A99" w:rsidP="00F31A99" w:rsidRDefault="00F31A99" w14:paraId="31113975"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En la divulgación que se realizó en el año 2019 para la promoción de esta actividad que dio inicio en marzo del año 2020, no participó ninguna persona servidora judicial de este programa presupuestario, por lo que, por razones ajenas a este Subproceso, no se pudo ejecutar el presupuesto asignado a esta actividad en el año 2020. Según el calendario académico de la UCR, no se abrió otra promoción para el año 2020 y la próxima por abrir dará inicio en agosto del año 2021.</w:t>
            </w:r>
          </w:p>
          <w:p w:rsidRPr="00F31A99" w:rsidR="00F31A99" w:rsidP="00F31A99" w:rsidRDefault="00F31A99" w14:paraId="7CD614A4" w14:textId="77777777">
            <w:pPr>
              <w:autoSpaceDN w:val="0"/>
              <w:spacing w:line="256" w:lineRule="auto"/>
              <w:rPr>
                <w:rFonts w:ascii="Times New Roman" w:hAnsi="Times New Roman" w:eastAsia="Calibri" w:cs="Times New Roman"/>
                <w:u w:color="000000"/>
                <w:lang w:eastAsia="es-CR"/>
              </w:rPr>
            </w:pPr>
          </w:p>
          <w:p w:rsidRPr="00F31A99" w:rsidR="00F31A99" w:rsidP="00F31A99" w:rsidRDefault="00F31A99" w14:paraId="3BE2E14C"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rPr>
              <w:object w:dxaOrig="1440" w:dyaOrig="1270" w14:anchorId="306539EE">
                <v:shape id="_x0000_i1590" style="width:1in;height:63.3pt" o:ole="" type="#_x0000_t75">
                  <v:imagedata o:title="" r:id="rId22"/>
                </v:shape>
                <o:OLEObject Type="Embed" ProgID="MailMsgAtt" ShapeID="_x0000_i1590" DrawAspect="Icon" ObjectID="_1681900446" r:id="rId23"/>
              </w:object>
            </w:r>
            <w:r w:rsidRPr="00F31A99">
              <w:rPr>
                <w:rFonts w:ascii="Times New Roman" w:hAnsi="Times New Roman" w:eastAsia="Calibri" w:cs="Times New Roman"/>
                <w:u w:color="000000"/>
              </w:rPr>
              <w:t xml:space="preserve"> </w:t>
            </w:r>
            <w:r w:rsidRPr="00F31A99">
              <w:rPr>
                <w:rFonts w:ascii="Times New Roman" w:hAnsi="Times New Roman" w:eastAsia="Calibri" w:cs="Times New Roman"/>
                <w:u w:color="000000"/>
              </w:rPr>
              <w:object w:dxaOrig="1440" w:dyaOrig="1270" w14:anchorId="366C2CB7">
                <v:shape id="_x0000_i1591" style="width:1in;height:63.3pt" o:ole="" type="#_x0000_t75">
                  <v:imagedata o:title="" r:id="rId24"/>
                </v:shape>
                <o:OLEObject Type="Embed" ProgID="Outlook.FileAttach" ShapeID="_x0000_i1591" DrawAspect="Icon" ObjectID="_1681900447" r:id="rId25"/>
              </w:object>
            </w:r>
          </w:p>
          <w:p w:rsidRPr="00F31A99" w:rsidR="00F31A99" w:rsidP="00F31A99" w:rsidRDefault="00F31A99" w14:paraId="09E9F50F" w14:textId="77777777">
            <w:pPr>
              <w:autoSpaceDN w:val="0"/>
              <w:spacing w:line="256" w:lineRule="auto"/>
              <w:rPr>
                <w:rFonts w:ascii="Times New Roman" w:hAnsi="Times New Roman" w:eastAsia="Calibri" w:cs="Times New Roman"/>
                <w:u w:color="000000"/>
                <w:lang w:eastAsia="es-CR"/>
              </w:rPr>
            </w:pPr>
          </w:p>
          <w:p w:rsidRPr="00F31A99" w:rsidR="00F31A99" w:rsidP="00F31A99" w:rsidRDefault="00F31A99" w14:paraId="6F6AE8C2" w14:textId="77777777">
            <w:pPr>
              <w:autoSpaceDN w:val="0"/>
              <w:spacing w:line="256" w:lineRule="auto"/>
              <w:rPr>
                <w:rFonts w:ascii="Times New Roman" w:hAnsi="Times New Roman" w:eastAsia="Calibri" w:cs="Times New Roman"/>
                <w:u w:color="000000"/>
                <w:lang w:eastAsia="es-CR"/>
              </w:rPr>
            </w:pPr>
          </w:p>
        </w:tc>
      </w:tr>
      <w:tr w:rsidRPr="00F31A99" w:rsidR="00AE1B2B" w:rsidTr="00A306B2" w14:paraId="53EC67BC" w14:textId="77777777">
        <w:trPr>
          <w:trHeight w:val="634"/>
          <w:jc w:val="center"/>
        </w:trPr>
        <w:tc>
          <w:tcPr>
            <w:tcW w:w="1478" w:type="dxa"/>
            <w:tcBorders>
              <w:top w:val="nil"/>
              <w:left w:val="single" w:color="auto" w:sz="4" w:space="0"/>
              <w:bottom w:val="single" w:color="auto" w:sz="4" w:space="0"/>
              <w:right w:val="single" w:color="auto" w:sz="4" w:space="0"/>
            </w:tcBorders>
            <w:vAlign w:val="center"/>
            <w:hideMark/>
          </w:tcPr>
          <w:p w:rsidRPr="00F31A99" w:rsidR="00F31A99" w:rsidP="00F31A99" w:rsidRDefault="00F31A99" w14:paraId="36BB6953"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lastRenderedPageBreak/>
              <w:t>Maestría en Derecho Público</w:t>
            </w:r>
          </w:p>
        </w:tc>
        <w:tc>
          <w:tcPr>
            <w:tcW w:w="1570" w:type="dxa"/>
            <w:tcBorders>
              <w:top w:val="nil"/>
              <w:left w:val="nil"/>
              <w:bottom w:val="single" w:color="auto" w:sz="4" w:space="0"/>
              <w:right w:val="single" w:color="auto" w:sz="4" w:space="0"/>
            </w:tcBorders>
            <w:vAlign w:val="center"/>
            <w:hideMark/>
          </w:tcPr>
          <w:p w:rsidRPr="00F31A99" w:rsidR="00F31A99" w:rsidP="00F31A99" w:rsidRDefault="00F31A99" w14:paraId="4EC458F6"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Universidad de Costa Rica (UCR)</w:t>
            </w:r>
          </w:p>
        </w:tc>
        <w:tc>
          <w:tcPr>
            <w:tcW w:w="7012" w:type="dxa"/>
            <w:tcBorders>
              <w:top w:val="nil"/>
              <w:left w:val="nil"/>
              <w:bottom w:val="single" w:color="auto" w:sz="4" w:space="0"/>
              <w:right w:val="single" w:color="auto" w:sz="4" w:space="0"/>
            </w:tcBorders>
            <w:vAlign w:val="center"/>
          </w:tcPr>
          <w:p w:rsidRPr="00F31A99" w:rsidR="00F31A99" w:rsidP="00F31A99" w:rsidRDefault="00F31A99" w14:paraId="5D95BDF7"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En la divulgación que se realizó en el año 2019 para la promoción de esta actividad que dio inicio en marzo del año 2020, no participó ninguna persona servidora judicial de este programa presupuestario, por lo que, por razones ajenas a este Subproceso, no se pudo ejecutar el presupuesto asignado a esta actividad en el año 2020. Según el calendario académico de la UCR, no se abrió otra promoción para el año 2020 y la próxima por abrir dará inicio en agosto del año 2021. </w:t>
            </w:r>
          </w:p>
          <w:p w:rsidRPr="00F31A99" w:rsidR="00F31A99" w:rsidP="00F31A99" w:rsidRDefault="00F31A99" w14:paraId="54A59C73" w14:textId="77777777">
            <w:pPr>
              <w:autoSpaceDN w:val="0"/>
              <w:spacing w:line="256" w:lineRule="auto"/>
              <w:rPr>
                <w:rFonts w:ascii="Times New Roman" w:hAnsi="Times New Roman" w:eastAsia="Calibri" w:cs="Times New Roman"/>
                <w:u w:color="000000"/>
                <w:lang w:eastAsia="es-CR"/>
              </w:rPr>
            </w:pPr>
          </w:p>
          <w:p w:rsidRPr="00F31A99" w:rsidR="00F31A99" w:rsidP="00F31A99" w:rsidRDefault="00F31A99" w14:paraId="706FBAF2"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rPr>
              <w:object w:dxaOrig="1440" w:dyaOrig="1270" w14:anchorId="6EFC265E">
                <v:shape id="_x0000_i1592" style="width:1in;height:63.25pt" o:ole="" type="#_x0000_t75">
                  <v:imagedata o:title="" r:id="rId26"/>
                </v:shape>
                <o:OLEObject Type="Embed" ProgID="MailMsgAtt" ShapeID="_x0000_i1592" DrawAspect="Icon" ObjectID="_1681900448" r:id="rId27"/>
              </w:object>
            </w:r>
            <w:r w:rsidRPr="00F31A99">
              <w:rPr>
                <w:rFonts w:ascii="Times New Roman" w:hAnsi="Times New Roman" w:eastAsia="Calibri" w:cs="Times New Roman"/>
                <w:u w:color="000000"/>
              </w:rPr>
              <w:t xml:space="preserve"> </w:t>
            </w:r>
          </w:p>
          <w:p w:rsidRPr="00F31A99" w:rsidR="00F31A99" w:rsidP="00F31A99" w:rsidRDefault="00F31A99" w14:paraId="0963C795" w14:textId="77777777">
            <w:pPr>
              <w:autoSpaceDN w:val="0"/>
              <w:spacing w:line="256" w:lineRule="auto"/>
              <w:rPr>
                <w:rFonts w:ascii="Times New Roman" w:hAnsi="Times New Roman" w:eastAsia="Calibri" w:cs="Times New Roman"/>
                <w:u w:color="000000"/>
                <w:lang w:eastAsia="es-CR"/>
              </w:rPr>
            </w:pPr>
          </w:p>
        </w:tc>
      </w:tr>
    </w:tbl>
    <w:p w:rsidRPr="00F31A99" w:rsidR="00F31A99" w:rsidP="00F31A99" w:rsidRDefault="00F31A99" w14:paraId="2F547183" w14:textId="77777777">
      <w:pPr>
        <w:autoSpaceDN w:val="0"/>
        <w:spacing w:line="360" w:lineRule="auto"/>
        <w:rPr>
          <w:rFonts w:ascii="Times New Roman" w:hAnsi="Times New Roman" w:eastAsia="Calibri" w:cs="Times New Roman"/>
          <w:u w:color="000000"/>
        </w:rPr>
      </w:pPr>
    </w:p>
    <w:p w:rsidRPr="00F31A99" w:rsidR="00F31A99" w:rsidP="00F31A99" w:rsidRDefault="00F31A99" w14:paraId="55937CBD"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Finalmente, en relación con el tema incluido en las directrices de formulación presupuestaria, en cuanto a que las Unidades de Capacitación deben velar por la ejecución de los recursos presupuestarios aprobados para becas y que deberán justificar tanto la ejecución como la no ejecución, se indica en el oficio 075-CAP-2021, que el Subproceso Gestión de la Capacitación solicitará a las diferentes Unidades de Capacitación y la Escuela Judicial que elaboren un cronograma de trabajo para el año 2022, que incluya los detalles relevantes de cada actividad para su gestión, además de informes trimestrales de la ejecución del presupuesto que se apruebe para la subpartida 60201 (Becas a funcionarios). Agregan, además, que se requiere que el Consejo Superior realice un recordatorio de la obligatoriedad de responder a estos seguimientos. </w:t>
      </w:r>
    </w:p>
    <w:p w:rsidRPr="00F31A99" w:rsidR="00F31A99" w:rsidP="00F31A99" w:rsidRDefault="00F31A99" w14:paraId="162549CF"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2F8D5A4D"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Adicionalmente, en cuanto al tema del informe de seguimiento semestral a los contratos de adiestramiento por concepto de beca, que las Unidades de Capacitación y la Escuela Judicial deben rendir al Subproceso de Gestión de la Capacitación, la Dirección de Gestión Humana solicita que el Consejo Superior realice un recordatorio de la obligatoriedad de responder a estos seguimientos.</w:t>
      </w:r>
    </w:p>
    <w:p w:rsidRPr="00F31A99" w:rsidR="00F31A99" w:rsidP="00F31A99" w:rsidRDefault="00F31A99" w14:paraId="5CCDF61E" w14:textId="77777777">
      <w:pPr>
        <w:autoSpaceDN w:val="0"/>
        <w:spacing w:line="360" w:lineRule="auto"/>
        <w:rPr>
          <w:rFonts w:ascii="Times New Roman" w:hAnsi="Times New Roman" w:eastAsia="Calibri" w:cs="Times New Roman"/>
          <w:u w:color="000000"/>
        </w:rPr>
      </w:pPr>
    </w:p>
    <w:p w:rsidRPr="00F31A99" w:rsidR="00F31A99" w:rsidP="00F31A99" w:rsidRDefault="00F31A99" w14:paraId="6467B4F0" w14:textId="77777777">
      <w:pPr>
        <w:autoSpaceDE w:val="0"/>
        <w:autoSpaceDN w:val="0"/>
        <w:adjustRightInd w:val="0"/>
        <w:spacing w:line="360" w:lineRule="auto"/>
        <w:jc w:val="center"/>
        <w:rPr>
          <w:rFonts w:ascii="Times New Roman" w:hAnsi="Times New Roman" w:eastAsia="Times New Roman" w:cs="Times New Roman"/>
          <w:sz w:val="28"/>
          <w:szCs w:val="24"/>
          <w:u w:color="000000"/>
          <w:lang w:eastAsia="es-ES"/>
        </w:rPr>
      </w:pPr>
      <w:r w:rsidRPr="00F31A99">
        <w:rPr>
          <w:rFonts w:ascii="Times New Roman" w:hAnsi="Times New Roman" w:eastAsia="Times New Roman" w:cs="Times New Roman"/>
          <w:sz w:val="28"/>
          <w:szCs w:val="24"/>
          <w:u w:color="000000"/>
          <w:lang w:eastAsia="es-ES"/>
        </w:rPr>
        <w:t>- 0 -</w:t>
      </w:r>
    </w:p>
    <w:p w:rsidRPr="00F31A99" w:rsidR="00F31A99" w:rsidP="00F31A99" w:rsidRDefault="00F31A99" w14:paraId="7995456F" w14:textId="77777777">
      <w:pPr>
        <w:autoSpaceDN w:val="0"/>
        <w:spacing w:line="360" w:lineRule="auto"/>
        <w:rPr>
          <w:rFonts w:ascii="Times New Roman" w:hAnsi="Times New Roman" w:eastAsia="Calibri" w:cs="Times New Roman"/>
          <w:sz w:val="28"/>
          <w:szCs w:val="28"/>
          <w:u w:color="000000"/>
        </w:rPr>
      </w:pPr>
    </w:p>
    <w:p w:rsidRPr="00F31A99" w:rsidR="00F31A99" w:rsidP="00F31A99" w:rsidRDefault="00F31A99" w14:paraId="6E95A2E4" w14:textId="77777777">
      <w:pPr>
        <w:autoSpaceDN w:val="0"/>
        <w:spacing w:line="480" w:lineRule="auto"/>
        <w:ind w:firstLine="709"/>
        <w:jc w:val="both"/>
        <w:rPr>
          <w:rFonts w:ascii="Times New Roman" w:hAnsi="Times New Roman" w:eastAsia="Calibri" w:cs="Times New Roman"/>
          <w:b/>
          <w:bCs/>
          <w:sz w:val="28"/>
          <w:szCs w:val="28"/>
          <w:u w:color="000000"/>
        </w:rPr>
      </w:pPr>
      <w:r w:rsidRPr="00F31A99">
        <w:rPr>
          <w:rFonts w:ascii="Times New Roman" w:hAnsi="Times New Roman" w:eastAsia="Calibri" w:cs="Times New Roman"/>
          <w:b/>
          <w:bCs/>
          <w:sz w:val="28"/>
          <w:szCs w:val="28"/>
          <w:u w:color="000000"/>
        </w:rPr>
        <w:t>Se acordó</w:t>
      </w:r>
      <w:r w:rsidRPr="00F31A99">
        <w:rPr>
          <w:rFonts w:ascii="Times New Roman" w:hAnsi="Times New Roman" w:eastAsia="Calibri" w:cs="Times New Roman"/>
          <w:sz w:val="28"/>
          <w:szCs w:val="28"/>
          <w:u w:color="000000"/>
        </w:rPr>
        <w:t xml:space="preserve">: </w:t>
      </w:r>
      <w:r w:rsidRPr="00F31A99">
        <w:rPr>
          <w:rFonts w:ascii="Times New Roman" w:hAnsi="Times New Roman" w:eastAsia="Calibri" w:cs="Times New Roman"/>
          <w:b/>
          <w:bCs/>
          <w:sz w:val="28"/>
          <w:szCs w:val="28"/>
          <w:u w:color="000000"/>
        </w:rPr>
        <w:t>1.)</w:t>
      </w:r>
      <w:r w:rsidRPr="00F31A99">
        <w:rPr>
          <w:rFonts w:ascii="Times New Roman" w:hAnsi="Times New Roman" w:eastAsia="Calibri" w:cs="Times New Roman"/>
          <w:sz w:val="28"/>
          <w:szCs w:val="28"/>
          <w:u w:color="000000"/>
        </w:rPr>
        <w:t xml:space="preserve"> Aprobar el escenario que propone un monto de ₡23.408.096 para becas, el cual se distribuirá por Programa Institucional considerando la ejecución presupuestaria del 2020 y el 2019, la Dirección de Gestión Humana deberá presentar el escenario ajustado. </w:t>
      </w:r>
      <w:r w:rsidRPr="00F31A99">
        <w:rPr>
          <w:rFonts w:ascii="Times New Roman" w:hAnsi="Times New Roman" w:eastAsia="Calibri" w:cs="Times New Roman"/>
          <w:b/>
          <w:bCs/>
          <w:sz w:val="28"/>
          <w:szCs w:val="28"/>
          <w:u w:color="000000"/>
        </w:rPr>
        <w:t>2.)</w:t>
      </w:r>
      <w:r w:rsidRPr="00F31A99">
        <w:rPr>
          <w:rFonts w:ascii="Times New Roman" w:hAnsi="Times New Roman" w:eastAsia="Calibri" w:cs="Times New Roman"/>
          <w:sz w:val="28"/>
          <w:szCs w:val="28"/>
          <w:u w:color="000000"/>
        </w:rPr>
        <w:t xml:space="preserve"> Lo relativo a Becas del Programa 950 Servicio de Atención y Protección de Víctimas y Testigos se debe incluir por separado del monto para el Programa 929 Ministerio Público, ya que se debe mantener el principio de formulación por programas presupuestarios. </w:t>
      </w:r>
      <w:r w:rsidRPr="00F31A99">
        <w:rPr>
          <w:rFonts w:ascii="Times New Roman" w:hAnsi="Times New Roman" w:eastAsia="Calibri" w:cs="Times New Roman"/>
          <w:b/>
          <w:bCs/>
          <w:sz w:val="28"/>
          <w:szCs w:val="28"/>
          <w:u w:color="000000"/>
        </w:rPr>
        <w:t>3.)</w:t>
      </w:r>
      <w:r w:rsidRPr="00F31A99">
        <w:rPr>
          <w:rFonts w:ascii="Times New Roman" w:hAnsi="Times New Roman" w:eastAsia="Calibri" w:cs="Times New Roman"/>
          <w:sz w:val="28"/>
          <w:szCs w:val="28"/>
          <w:u w:color="000000"/>
        </w:rPr>
        <w:t xml:space="preserve"> La Dirección de Gestión Humana hará la desagregación y estimación correspondiente para reservar y mostrar los recursos para permisos con goce de salario de los 14 especialistas en contenido requeridos para el 2022, tal y como se ha mostrado en años anteriores, ya que es un recurso presupuestario utilizado para los fines de capacitación. </w:t>
      </w:r>
      <w:r w:rsidRPr="00F31A99">
        <w:rPr>
          <w:rFonts w:ascii="Times New Roman" w:hAnsi="Times New Roman" w:eastAsia="Calibri" w:cs="Times New Roman"/>
          <w:b/>
          <w:bCs/>
          <w:sz w:val="28"/>
          <w:szCs w:val="28"/>
          <w:u w:color="000000"/>
        </w:rPr>
        <w:t>Se declara acuerdo firme.</w:t>
      </w:r>
    </w:p>
    <w:p w:rsidRPr="00F31A99" w:rsidR="00F31A99" w:rsidP="00F31A99" w:rsidRDefault="00F31A99" w14:paraId="7D96F07F" w14:textId="0A355E45">
      <w:pPr>
        <w:keepNext/>
        <w:shd w:val="clear" w:color="auto" w:fill="FFFFFF"/>
        <w:autoSpaceDE w:val="0"/>
        <w:autoSpaceDN w:val="0"/>
        <w:spacing w:line="360" w:lineRule="auto"/>
        <w:jc w:val="center"/>
        <w:outlineLvl w:val="0"/>
        <w:rPr>
          <w:rFonts w:ascii="Times New Roman" w:hAnsi="Times New Roman" w:eastAsia="Times New Roman" w:cs="Times New Roman"/>
          <w:b/>
          <w:bCs/>
          <w:kern w:val="36"/>
          <w:sz w:val="28"/>
          <w:szCs w:val="28"/>
          <w:u w:val="single" w:color="000000"/>
          <w:lang w:eastAsia="es-ES"/>
        </w:rPr>
      </w:pPr>
      <w:r w:rsidRPr="00F31A99">
        <w:rPr>
          <w:rFonts w:ascii="Times New Roman" w:hAnsi="Times New Roman" w:eastAsia="Times New Roman" w:cs="Times New Roman"/>
          <w:b/>
          <w:bCs/>
          <w:kern w:val="36"/>
          <w:sz w:val="28"/>
          <w:szCs w:val="28"/>
          <w:u w:val="single" w:color="000000"/>
          <w:lang w:eastAsia="es-ES"/>
        </w:rPr>
        <w:t>ARTÍCULO II</w:t>
      </w:r>
    </w:p>
    <w:p w:rsidRPr="00F31A99" w:rsidR="00F31A99" w:rsidP="00F31A99" w:rsidRDefault="00F31A99" w14:paraId="7A94FD30" w14:textId="77777777">
      <w:pPr>
        <w:autoSpaceDN w:val="0"/>
        <w:spacing w:line="480" w:lineRule="auto"/>
        <w:jc w:val="both"/>
        <w:rPr>
          <w:rFonts w:ascii="Times New Roman" w:hAnsi="Times New Roman" w:eastAsia="Times New Roman" w:cs="Times New Roman"/>
          <w:b/>
          <w:bCs/>
          <w:sz w:val="28"/>
          <w:szCs w:val="28"/>
          <w:u w:color="000000"/>
          <w:lang w:eastAsia="es-ES"/>
        </w:rPr>
      </w:pPr>
      <w:r w:rsidRPr="00F31A99">
        <w:rPr>
          <w:rFonts w:ascii="Times New Roman" w:hAnsi="Times New Roman" w:eastAsia="Times New Roman" w:cs="Times New Roman"/>
          <w:b/>
          <w:bCs/>
          <w:sz w:val="28"/>
          <w:szCs w:val="28"/>
          <w:u w:color="000000"/>
          <w:lang w:eastAsia="es-ES"/>
        </w:rPr>
        <w:t>Documento N° 3827-2021</w:t>
      </w:r>
    </w:p>
    <w:p w:rsidRPr="00F31A99" w:rsidR="00F31A99" w:rsidP="00F31A99" w:rsidRDefault="00F31A99" w14:paraId="40C226EE" w14:textId="77777777">
      <w:pPr>
        <w:shd w:val="clear" w:color="auto" w:fill="FFFFFD"/>
        <w:autoSpaceDN w:val="0"/>
        <w:spacing w:line="480" w:lineRule="auto"/>
        <w:ind w:firstLine="708"/>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 xml:space="preserve">En reunión de trabajo del pasado 24 de marzo, la Dirección de Gestión Humana presentó </w:t>
      </w:r>
      <w:hyperlink w:history="1" r:id="rId28">
        <w:r w:rsidRPr="00F31A99">
          <w:rPr>
            <w:rFonts w:ascii="Times New Roman" w:hAnsi="Times New Roman" w:eastAsia="Calibri" w:cs="Times New Roman"/>
            <w:b/>
            <w:bCs/>
            <w:sz w:val="28"/>
            <w:szCs w:val="28"/>
            <w:u w:val="single" w:color="000000"/>
          </w:rPr>
          <w:t xml:space="preserve"> la estimación del Salario Escolar 2022</w:t>
        </w:r>
      </w:hyperlink>
      <w:r w:rsidRPr="00F31A99">
        <w:rPr>
          <w:rFonts w:ascii="Times New Roman" w:hAnsi="Times New Roman" w:eastAsia="Calibri" w:cs="Times New Roman"/>
          <w:sz w:val="28"/>
          <w:szCs w:val="28"/>
          <w:u w:color="000000"/>
        </w:rPr>
        <w:t xml:space="preserve">, la cual fue </w:t>
      </w:r>
      <w:r w:rsidRPr="00F31A99">
        <w:rPr>
          <w:rFonts w:ascii="Times New Roman" w:hAnsi="Times New Roman" w:eastAsia="Calibri" w:cs="Times New Roman"/>
          <w:sz w:val="28"/>
          <w:szCs w:val="28"/>
          <w:u w:color="000000"/>
        </w:rPr>
        <w:lastRenderedPageBreak/>
        <w:t xml:space="preserve">conciliada con el Departamento Financiero Contable. La información fue remitida por la Dirección de Gestión Humana, mediante correo electrónico del día 16 de marzo del 2021. </w:t>
      </w:r>
    </w:p>
    <w:p w:rsidRPr="00F31A99" w:rsidR="00F31A99" w:rsidP="00F31A99" w:rsidRDefault="00F31A99" w14:paraId="735C421D" w14:textId="77777777">
      <w:pPr>
        <w:widowControl w:val="0"/>
        <w:numPr>
          <w:ilvl w:val="0"/>
          <w:numId w:val="1"/>
        </w:numPr>
        <w:shd w:val="clear" w:color="auto" w:fill="FFFFFF"/>
        <w:autoSpaceDE w:val="0"/>
        <w:autoSpaceDN w:val="0"/>
        <w:adjustRightInd w:val="0"/>
        <w:ind w:left="851" w:right="851" w:firstLine="709"/>
        <w:jc w:val="both"/>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“Escenario de Cálculo Tradicional</w:t>
      </w:r>
    </w:p>
    <w:p w:rsidRPr="00F31A99" w:rsidR="00F31A99" w:rsidP="00F31A99" w:rsidRDefault="00F31A99" w14:paraId="35614194" w14:textId="77777777">
      <w:pPr>
        <w:shd w:val="clear" w:color="auto" w:fill="FFFFFD"/>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6F1DAC18" w14:textId="77777777">
      <w:pPr>
        <w:shd w:val="clear" w:color="auto" w:fill="FFFFFD"/>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El cálculo del </w:t>
      </w:r>
      <w:r w:rsidRPr="00F31A99">
        <w:rPr>
          <w:rFonts w:ascii="Times New Roman" w:hAnsi="Times New Roman" w:eastAsia="Calibri" w:cs="Times New Roman"/>
          <w:b/>
          <w:bCs/>
          <w:sz w:val="26"/>
          <w:szCs w:val="26"/>
          <w:u w:color="000000"/>
        </w:rPr>
        <w:t>escenario tradicional</w:t>
      </w:r>
      <w:r w:rsidRPr="00F31A99">
        <w:rPr>
          <w:rFonts w:ascii="Times New Roman" w:hAnsi="Times New Roman" w:eastAsia="Calibri" w:cs="Times New Roman"/>
          <w:sz w:val="26"/>
          <w:szCs w:val="26"/>
          <w:u w:color="000000"/>
        </w:rPr>
        <w:t xml:space="preserve"> se realizó con base en el comportamiento del gasto real de las planillas de enero 2021 a la segunda quincena del mes de marzo 2021 con una proyección del gasto a diciembre del 2021. </w:t>
      </w:r>
    </w:p>
    <w:p w:rsidRPr="00F31A99" w:rsidR="00F31A99" w:rsidP="00F31A99" w:rsidRDefault="00F31A99" w14:paraId="6060130C" w14:textId="77777777">
      <w:pPr>
        <w:shd w:val="clear" w:color="auto" w:fill="FFFFFD"/>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Es importante indicar que para el cálculo del Salario Escolar 2022, no se contemplan ajustes por aumento por costo de vida, ya que los mismos están congelados por el Ministerio de Hacienda para los años 2021 y 2022, según Decreto Ejecutivo. Además, según lo indicado, se consideró el faltante de ¢90.000.000, que se presentó en enero del 2021, el cual se subsanó mediante la modificación externa 01-2021. </w:t>
      </w:r>
    </w:p>
    <w:p w:rsidRPr="00F31A99" w:rsidR="00F31A99" w:rsidP="00F31A99" w:rsidRDefault="00F31A99" w14:paraId="60C796CA" w14:textId="77777777">
      <w:pPr>
        <w:shd w:val="clear" w:color="auto" w:fill="FFFFFD"/>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Por otra parte, en cumplimiento a lo dispuesto por la Corte Plena en sesión 41-15 artículo XIX, el cálculo del Salario Escolar se realiza sobre la base del 8.33% de lo correspondiente a Remuneraciones. </w:t>
      </w:r>
    </w:p>
    <w:p w:rsidRPr="00F31A99" w:rsidR="00F31A99" w:rsidP="00F31A99" w:rsidRDefault="00F31A99" w14:paraId="63F09EA5" w14:textId="77777777">
      <w:pPr>
        <w:autoSpaceDN w:val="0"/>
        <w:ind w:left="851" w:right="851" w:firstLine="709"/>
        <w:jc w:val="both"/>
        <w:rPr>
          <w:rFonts w:ascii="Times New Roman" w:hAnsi="Times New Roman" w:eastAsia="Calibri" w:cs="Times New Roman"/>
          <w:b/>
          <w:bCs/>
          <w:sz w:val="26"/>
          <w:szCs w:val="26"/>
          <w:u w:color="000000"/>
        </w:rPr>
      </w:pPr>
    </w:p>
    <w:p w:rsidRPr="00F31A99" w:rsidR="00F31A99" w:rsidP="00F31A99" w:rsidRDefault="00F31A99" w14:paraId="210302ED" w14:textId="77777777">
      <w:pPr>
        <w:shd w:val="clear" w:color="auto" w:fill="FFFFFD"/>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De acuerdo con la información suministrada por la Dirección de Gestión Humana, el monto por presupuestar sería de </w:t>
      </w:r>
      <w:r w:rsidRPr="00F31A99">
        <w:rPr>
          <w:rFonts w:ascii="Times New Roman" w:hAnsi="Times New Roman" w:eastAsia="Calibri" w:cs="Times New Roman"/>
          <w:b/>
          <w:bCs/>
          <w:sz w:val="26"/>
          <w:szCs w:val="26"/>
          <w:u w:color="000000"/>
        </w:rPr>
        <w:t>¢20.734.421.396</w:t>
      </w:r>
      <w:r w:rsidRPr="00F31A99">
        <w:rPr>
          <w:rFonts w:ascii="Times New Roman" w:hAnsi="Times New Roman" w:eastAsia="Calibri" w:cs="Times New Roman"/>
          <w:sz w:val="26"/>
          <w:szCs w:val="26"/>
          <w:u w:color="000000"/>
        </w:rPr>
        <w:t>, según el siguiente detalle:</w:t>
      </w:r>
    </w:p>
    <w:p w:rsidRPr="00F31A99" w:rsidR="00F31A99" w:rsidP="00F31A99" w:rsidRDefault="00F31A99" w14:paraId="0B93EF8E" w14:textId="77777777">
      <w:pPr>
        <w:shd w:val="clear" w:color="auto" w:fill="FFFFFD"/>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4559C991" w14:textId="77777777">
      <w:pPr>
        <w:shd w:val="clear" w:color="auto" w:fill="FFFFFD"/>
        <w:autoSpaceDN w:val="0"/>
        <w:spacing w:line="480" w:lineRule="auto"/>
        <w:rPr>
          <w:rFonts w:ascii="Times New Roman" w:hAnsi="Times New Roman" w:eastAsia="Calibri" w:cs="Times New Roman"/>
          <w:sz w:val="28"/>
          <w:szCs w:val="28"/>
          <w:u w:color="000000"/>
        </w:rPr>
      </w:pPr>
      <w:r w:rsidRPr="00F31A99">
        <w:rPr>
          <w:rFonts w:ascii="Times New Roman" w:hAnsi="Times New Roman" w:eastAsia="Calibri" w:cs="Times New Roman"/>
          <w:noProof/>
          <w:u w:color="000000"/>
        </w:rPr>
        <w:drawing>
          <wp:inline distT="0" distB="0" distL="0" distR="0" wp14:anchorId="6F933920" wp14:editId="7E0360E8">
            <wp:extent cx="5760720" cy="2051050"/>
            <wp:effectExtent l="0" t="0" r="0"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2051050"/>
                    </a:xfrm>
                    <a:prstGeom prst="rect">
                      <a:avLst/>
                    </a:prstGeom>
                    <a:noFill/>
                    <a:ln>
                      <a:noFill/>
                    </a:ln>
                  </pic:spPr>
                </pic:pic>
              </a:graphicData>
            </a:graphic>
          </wp:inline>
        </w:drawing>
      </w:r>
    </w:p>
    <w:p w:rsidRPr="00F31A99" w:rsidR="00F31A99" w:rsidP="00F31A99" w:rsidRDefault="00F31A99" w14:paraId="2096953F" w14:textId="77777777">
      <w:pPr>
        <w:shd w:val="clear" w:color="auto" w:fill="FFFFFD"/>
        <w:autoSpaceDN w:val="0"/>
        <w:spacing w:line="480" w:lineRule="auto"/>
        <w:rPr>
          <w:rFonts w:ascii="Times New Roman" w:hAnsi="Times New Roman" w:eastAsia="Calibri" w:cs="Times New Roman"/>
          <w:sz w:val="28"/>
          <w:szCs w:val="28"/>
          <w:u w:color="000000"/>
        </w:rPr>
      </w:pPr>
    </w:p>
    <w:p w:rsidRPr="00F31A99" w:rsidR="00F31A99" w:rsidP="00F31A99" w:rsidRDefault="00F31A99" w14:paraId="4BE855FF" w14:textId="77777777">
      <w:pPr>
        <w:autoSpaceDN w:val="0"/>
        <w:rPr>
          <w:rFonts w:ascii="Times New Roman" w:hAnsi="Times New Roman" w:eastAsia="Calibri" w:cs="Times New Roman"/>
          <w:sz w:val="28"/>
          <w:szCs w:val="28"/>
          <w:u w:color="000000"/>
        </w:rPr>
      </w:pPr>
    </w:p>
    <w:p w:rsidRPr="00F31A99" w:rsidR="00F31A99" w:rsidP="00F31A99" w:rsidRDefault="00F31A99" w14:paraId="2B37F5C0" w14:textId="77777777">
      <w:pPr>
        <w:autoSpaceDN w:val="0"/>
        <w:spacing w:after="200" w:line="276" w:lineRule="auto"/>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br w:type="page"/>
      </w:r>
    </w:p>
    <w:p w:rsidRPr="00F31A99" w:rsidR="00F31A99" w:rsidP="00F31A99" w:rsidRDefault="00F31A99" w14:paraId="1CDB7FA0" w14:textId="77777777">
      <w:pPr>
        <w:autoSpaceDN w:val="0"/>
        <w:rPr>
          <w:rFonts w:ascii="Times New Roman" w:hAnsi="Times New Roman" w:eastAsia="Calibri" w:cs="Times New Roman"/>
          <w:sz w:val="28"/>
          <w:szCs w:val="28"/>
          <w:u w:color="000000"/>
        </w:rPr>
      </w:pPr>
    </w:p>
    <w:p w:rsidRPr="00F31A99" w:rsidR="00F31A99" w:rsidP="00F31A99" w:rsidRDefault="00F31A99" w14:paraId="2BBBCB6F" w14:textId="77777777">
      <w:pPr>
        <w:autoSpaceDN w:val="0"/>
        <w:rPr>
          <w:rFonts w:ascii="Times New Roman" w:hAnsi="Times New Roman" w:eastAsia="Calibri" w:cs="Times New Roman"/>
          <w:sz w:val="28"/>
          <w:szCs w:val="28"/>
          <w:u w:color="000000"/>
        </w:rPr>
      </w:pPr>
    </w:p>
    <w:tbl>
      <w:tblPr>
        <w:tblW w:w="9820" w:type="dxa"/>
        <w:tblCellMar>
          <w:left w:w="0" w:type="dxa"/>
          <w:right w:w="0" w:type="dxa"/>
        </w:tblCellMar>
        <w:tblLook w:val="04A0" w:firstRow="1" w:lastRow="0" w:firstColumn="1" w:lastColumn="0" w:noHBand="0" w:noVBand="1"/>
      </w:tblPr>
      <w:tblGrid>
        <w:gridCol w:w="580"/>
        <w:gridCol w:w="1124"/>
        <w:gridCol w:w="1683"/>
        <w:gridCol w:w="1600"/>
        <w:gridCol w:w="1683"/>
        <w:gridCol w:w="1683"/>
        <w:gridCol w:w="1513"/>
      </w:tblGrid>
      <w:tr w:rsidRPr="00F31A99" w:rsidR="00AE1B2B" w:rsidTr="00A306B2" w14:paraId="41387D55" w14:textId="77777777">
        <w:trPr>
          <w:trHeight w:val="552"/>
        </w:trPr>
        <w:tc>
          <w:tcPr>
            <w:tcW w:w="9820" w:type="dxa"/>
            <w:gridSpan w:val="7"/>
            <w:shd w:val="clear" w:color="auto" w:fill="538DD5"/>
            <w:noWrap/>
            <w:tcMar>
              <w:top w:w="0" w:type="dxa"/>
              <w:left w:w="70" w:type="dxa"/>
              <w:bottom w:w="0" w:type="dxa"/>
              <w:right w:w="70" w:type="dxa"/>
            </w:tcMar>
            <w:vAlign w:val="center"/>
            <w:hideMark/>
          </w:tcPr>
          <w:p w:rsidRPr="00F31A99" w:rsidR="00F31A99" w:rsidP="00F31A99" w:rsidRDefault="00F31A99" w14:paraId="5E781E8A"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Detalle de la Subpartida 00304 "Salario Escolar "</w:t>
            </w:r>
          </w:p>
        </w:tc>
      </w:tr>
      <w:tr w:rsidRPr="00F31A99" w:rsidR="00AE1B2B" w:rsidTr="00A306B2" w14:paraId="7AE7E218" w14:textId="77777777">
        <w:trPr>
          <w:trHeight w:val="432"/>
        </w:trPr>
        <w:tc>
          <w:tcPr>
            <w:tcW w:w="534" w:type="dxa"/>
            <w:shd w:val="clear" w:color="auto" w:fill="BFBFBF"/>
            <w:noWrap/>
            <w:tcMar>
              <w:top w:w="0" w:type="dxa"/>
              <w:left w:w="70" w:type="dxa"/>
              <w:bottom w:w="0" w:type="dxa"/>
              <w:right w:w="70" w:type="dxa"/>
            </w:tcMar>
            <w:vAlign w:val="center"/>
            <w:hideMark/>
          </w:tcPr>
          <w:p w:rsidRPr="00F31A99" w:rsidR="00F31A99" w:rsidP="00F31A99" w:rsidRDefault="00F31A99" w14:paraId="2F2D009E"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Año</w:t>
            </w:r>
          </w:p>
        </w:tc>
        <w:tc>
          <w:tcPr>
            <w:tcW w:w="1124" w:type="dxa"/>
            <w:shd w:val="clear" w:color="auto" w:fill="BFBFBF"/>
            <w:noWrap/>
            <w:tcMar>
              <w:top w:w="0" w:type="dxa"/>
              <w:left w:w="70" w:type="dxa"/>
              <w:bottom w:w="0" w:type="dxa"/>
              <w:right w:w="70" w:type="dxa"/>
            </w:tcMar>
            <w:vAlign w:val="center"/>
            <w:hideMark/>
          </w:tcPr>
          <w:p w:rsidRPr="00F31A99" w:rsidR="00F31A99" w:rsidP="00F31A99" w:rsidRDefault="00F31A99" w14:paraId="6C7D85F6"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Subpartida</w:t>
            </w:r>
          </w:p>
        </w:tc>
        <w:tc>
          <w:tcPr>
            <w:tcW w:w="1683" w:type="dxa"/>
            <w:shd w:val="clear" w:color="auto" w:fill="BFBFBF"/>
            <w:noWrap/>
            <w:tcMar>
              <w:top w:w="0" w:type="dxa"/>
              <w:left w:w="70" w:type="dxa"/>
              <w:bottom w:w="0" w:type="dxa"/>
              <w:right w:w="70" w:type="dxa"/>
            </w:tcMar>
            <w:vAlign w:val="center"/>
            <w:hideMark/>
          </w:tcPr>
          <w:p w:rsidRPr="00F31A99" w:rsidR="00F31A99" w:rsidP="00F31A99" w:rsidRDefault="00F31A99" w14:paraId="26892308"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Inicial</w:t>
            </w:r>
          </w:p>
        </w:tc>
        <w:tc>
          <w:tcPr>
            <w:tcW w:w="1600" w:type="dxa"/>
            <w:shd w:val="clear" w:color="auto" w:fill="BFBFBF"/>
            <w:noWrap/>
            <w:tcMar>
              <w:top w:w="0" w:type="dxa"/>
              <w:left w:w="70" w:type="dxa"/>
              <w:bottom w:w="0" w:type="dxa"/>
              <w:right w:w="70" w:type="dxa"/>
            </w:tcMar>
            <w:vAlign w:val="center"/>
            <w:hideMark/>
          </w:tcPr>
          <w:p w:rsidRPr="00F31A99" w:rsidR="00F31A99" w:rsidP="00F31A99" w:rsidRDefault="00F31A99" w14:paraId="7611BCB3"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Modificaciones </w:t>
            </w:r>
          </w:p>
        </w:tc>
        <w:tc>
          <w:tcPr>
            <w:tcW w:w="1683" w:type="dxa"/>
            <w:shd w:val="clear" w:color="auto" w:fill="BFBFBF"/>
            <w:noWrap/>
            <w:tcMar>
              <w:top w:w="0" w:type="dxa"/>
              <w:left w:w="70" w:type="dxa"/>
              <w:bottom w:w="0" w:type="dxa"/>
              <w:right w:w="70" w:type="dxa"/>
            </w:tcMar>
            <w:vAlign w:val="center"/>
            <w:hideMark/>
          </w:tcPr>
          <w:p w:rsidRPr="00F31A99" w:rsidR="00F31A99" w:rsidP="00F31A99" w:rsidRDefault="00F31A99" w14:paraId="21811438"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Actual</w:t>
            </w:r>
          </w:p>
        </w:tc>
        <w:tc>
          <w:tcPr>
            <w:tcW w:w="1683" w:type="dxa"/>
            <w:shd w:val="clear" w:color="auto" w:fill="BFBFBF"/>
            <w:noWrap/>
            <w:tcMar>
              <w:top w:w="0" w:type="dxa"/>
              <w:left w:w="70" w:type="dxa"/>
              <w:bottom w:w="0" w:type="dxa"/>
              <w:right w:w="70" w:type="dxa"/>
            </w:tcMar>
            <w:vAlign w:val="center"/>
            <w:hideMark/>
          </w:tcPr>
          <w:p w:rsidRPr="00F31A99" w:rsidR="00F31A99" w:rsidP="00F31A99" w:rsidRDefault="00F31A99" w14:paraId="6FF15F1D"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Pagado</w:t>
            </w:r>
          </w:p>
        </w:tc>
        <w:tc>
          <w:tcPr>
            <w:tcW w:w="1513" w:type="dxa"/>
            <w:shd w:val="clear" w:color="auto" w:fill="BFBFBF"/>
            <w:noWrap/>
            <w:tcMar>
              <w:top w:w="0" w:type="dxa"/>
              <w:left w:w="70" w:type="dxa"/>
              <w:bottom w:w="0" w:type="dxa"/>
              <w:right w:w="70" w:type="dxa"/>
            </w:tcMar>
            <w:vAlign w:val="center"/>
            <w:hideMark/>
          </w:tcPr>
          <w:p w:rsidRPr="00F31A99" w:rsidR="00F31A99" w:rsidP="00F31A99" w:rsidRDefault="00F31A99" w14:paraId="19DAD346"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Diferencia</w:t>
            </w:r>
          </w:p>
        </w:tc>
      </w:tr>
      <w:tr w:rsidRPr="00F31A99" w:rsidR="00AE1B2B" w:rsidTr="00A306B2" w14:paraId="6A7D3258" w14:textId="77777777">
        <w:trPr>
          <w:trHeight w:val="288"/>
        </w:trPr>
        <w:tc>
          <w:tcPr>
            <w:tcW w:w="534" w:type="dxa"/>
            <w:noWrap/>
            <w:tcMar>
              <w:top w:w="0" w:type="dxa"/>
              <w:left w:w="70" w:type="dxa"/>
              <w:bottom w:w="0" w:type="dxa"/>
              <w:right w:w="70" w:type="dxa"/>
            </w:tcMar>
            <w:vAlign w:val="bottom"/>
            <w:hideMark/>
          </w:tcPr>
          <w:p w:rsidRPr="00F31A99" w:rsidR="00F31A99" w:rsidP="00F31A99" w:rsidRDefault="00F31A99" w14:paraId="2CD99F5E"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2019</w:t>
            </w:r>
          </w:p>
        </w:tc>
        <w:tc>
          <w:tcPr>
            <w:tcW w:w="1124" w:type="dxa"/>
            <w:noWrap/>
            <w:tcMar>
              <w:top w:w="0" w:type="dxa"/>
              <w:left w:w="70" w:type="dxa"/>
              <w:bottom w:w="0" w:type="dxa"/>
              <w:right w:w="70" w:type="dxa"/>
            </w:tcMar>
            <w:vAlign w:val="bottom"/>
            <w:hideMark/>
          </w:tcPr>
          <w:p w:rsidRPr="00F31A99" w:rsidR="00F31A99" w:rsidP="00F31A99" w:rsidRDefault="00F31A99" w14:paraId="33C39B50"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00304</w:t>
            </w:r>
          </w:p>
        </w:tc>
        <w:tc>
          <w:tcPr>
            <w:tcW w:w="1683" w:type="dxa"/>
            <w:noWrap/>
            <w:tcMar>
              <w:top w:w="0" w:type="dxa"/>
              <w:left w:w="70" w:type="dxa"/>
              <w:bottom w:w="0" w:type="dxa"/>
              <w:right w:w="70" w:type="dxa"/>
            </w:tcMar>
            <w:vAlign w:val="bottom"/>
            <w:hideMark/>
          </w:tcPr>
          <w:p w:rsidRPr="00F31A99" w:rsidR="00F31A99" w:rsidP="00F31A99" w:rsidRDefault="00F31A99" w14:paraId="722A0E72"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 20 699 277 032 </w:t>
            </w:r>
          </w:p>
        </w:tc>
        <w:tc>
          <w:tcPr>
            <w:tcW w:w="1600" w:type="dxa"/>
            <w:noWrap/>
            <w:tcMar>
              <w:top w:w="0" w:type="dxa"/>
              <w:left w:w="70" w:type="dxa"/>
              <w:bottom w:w="0" w:type="dxa"/>
              <w:right w:w="70" w:type="dxa"/>
            </w:tcMar>
            <w:vAlign w:val="bottom"/>
            <w:hideMark/>
          </w:tcPr>
          <w:p w:rsidRPr="00F31A99" w:rsidR="00F31A99" w:rsidP="00F31A99" w:rsidRDefault="00F31A99" w14:paraId="52792911"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 282 500 000 </w:t>
            </w:r>
          </w:p>
        </w:tc>
        <w:tc>
          <w:tcPr>
            <w:tcW w:w="1683" w:type="dxa"/>
            <w:noWrap/>
            <w:tcMar>
              <w:top w:w="0" w:type="dxa"/>
              <w:left w:w="70" w:type="dxa"/>
              <w:bottom w:w="0" w:type="dxa"/>
              <w:right w:w="70" w:type="dxa"/>
            </w:tcMar>
            <w:vAlign w:val="bottom"/>
            <w:hideMark/>
          </w:tcPr>
          <w:p w:rsidRPr="00F31A99" w:rsidR="00F31A99" w:rsidP="00F31A99" w:rsidRDefault="00F31A99" w14:paraId="0D29628C"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 20 981 777 032 </w:t>
            </w:r>
          </w:p>
        </w:tc>
        <w:tc>
          <w:tcPr>
            <w:tcW w:w="1683" w:type="dxa"/>
            <w:noWrap/>
            <w:tcMar>
              <w:top w:w="0" w:type="dxa"/>
              <w:left w:w="70" w:type="dxa"/>
              <w:bottom w:w="0" w:type="dxa"/>
              <w:right w:w="70" w:type="dxa"/>
            </w:tcMar>
            <w:vAlign w:val="bottom"/>
            <w:hideMark/>
          </w:tcPr>
          <w:p w:rsidRPr="00F31A99" w:rsidR="00F31A99" w:rsidP="00F31A99" w:rsidRDefault="00F31A99" w14:paraId="07B64185"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 20 968 788 522 </w:t>
            </w:r>
          </w:p>
        </w:tc>
        <w:tc>
          <w:tcPr>
            <w:tcW w:w="1513" w:type="dxa"/>
            <w:noWrap/>
            <w:tcMar>
              <w:top w:w="0" w:type="dxa"/>
              <w:left w:w="70" w:type="dxa"/>
              <w:bottom w:w="0" w:type="dxa"/>
              <w:right w:w="70" w:type="dxa"/>
            </w:tcMar>
            <w:vAlign w:val="bottom"/>
            <w:hideMark/>
          </w:tcPr>
          <w:p w:rsidRPr="00F31A99" w:rsidR="00F31A99" w:rsidP="00F31A99" w:rsidRDefault="00F31A99" w14:paraId="75FC48AE"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 (12 988 510)</w:t>
            </w:r>
          </w:p>
        </w:tc>
      </w:tr>
      <w:tr w:rsidRPr="00F31A99" w:rsidR="00AE1B2B" w:rsidTr="00A306B2" w14:paraId="20FF4E66" w14:textId="77777777">
        <w:trPr>
          <w:trHeight w:val="288"/>
        </w:trPr>
        <w:tc>
          <w:tcPr>
            <w:tcW w:w="534" w:type="dxa"/>
            <w:noWrap/>
            <w:tcMar>
              <w:top w:w="0" w:type="dxa"/>
              <w:left w:w="70" w:type="dxa"/>
              <w:bottom w:w="0" w:type="dxa"/>
              <w:right w:w="70" w:type="dxa"/>
            </w:tcMar>
            <w:vAlign w:val="bottom"/>
            <w:hideMark/>
          </w:tcPr>
          <w:p w:rsidRPr="00F31A99" w:rsidR="00F31A99" w:rsidP="00F31A99" w:rsidRDefault="00F31A99" w14:paraId="600152FA"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2020</w:t>
            </w:r>
          </w:p>
        </w:tc>
        <w:tc>
          <w:tcPr>
            <w:tcW w:w="1124" w:type="dxa"/>
            <w:noWrap/>
            <w:tcMar>
              <w:top w:w="0" w:type="dxa"/>
              <w:left w:w="70" w:type="dxa"/>
              <w:bottom w:w="0" w:type="dxa"/>
              <w:right w:w="70" w:type="dxa"/>
            </w:tcMar>
            <w:vAlign w:val="bottom"/>
            <w:hideMark/>
          </w:tcPr>
          <w:p w:rsidRPr="00F31A99" w:rsidR="00F31A99" w:rsidP="00F31A99" w:rsidRDefault="00F31A99" w14:paraId="2DD92813"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00304</w:t>
            </w:r>
          </w:p>
        </w:tc>
        <w:tc>
          <w:tcPr>
            <w:tcW w:w="1683" w:type="dxa"/>
            <w:noWrap/>
            <w:tcMar>
              <w:top w:w="0" w:type="dxa"/>
              <w:left w:w="70" w:type="dxa"/>
              <w:bottom w:w="0" w:type="dxa"/>
              <w:right w:w="70" w:type="dxa"/>
            </w:tcMar>
            <w:vAlign w:val="bottom"/>
            <w:hideMark/>
          </w:tcPr>
          <w:p w:rsidRPr="00F31A99" w:rsidR="00F31A99" w:rsidP="00F31A99" w:rsidRDefault="00F31A99" w14:paraId="7EE31FEA"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 21 573 067 511 </w:t>
            </w:r>
          </w:p>
        </w:tc>
        <w:tc>
          <w:tcPr>
            <w:tcW w:w="1600" w:type="dxa"/>
            <w:noWrap/>
            <w:tcMar>
              <w:top w:w="0" w:type="dxa"/>
              <w:left w:w="70" w:type="dxa"/>
              <w:bottom w:w="0" w:type="dxa"/>
              <w:right w:w="70" w:type="dxa"/>
            </w:tcMar>
            <w:vAlign w:val="bottom"/>
            <w:hideMark/>
          </w:tcPr>
          <w:p w:rsidRPr="00F31A99" w:rsidR="00F31A99" w:rsidP="00F31A99" w:rsidRDefault="00F31A99" w14:paraId="6A4C4AFE"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 45 000 000 </w:t>
            </w:r>
          </w:p>
        </w:tc>
        <w:tc>
          <w:tcPr>
            <w:tcW w:w="1683" w:type="dxa"/>
            <w:noWrap/>
            <w:tcMar>
              <w:top w:w="0" w:type="dxa"/>
              <w:left w:w="70" w:type="dxa"/>
              <w:bottom w:w="0" w:type="dxa"/>
              <w:right w:w="70" w:type="dxa"/>
            </w:tcMar>
            <w:vAlign w:val="bottom"/>
            <w:hideMark/>
          </w:tcPr>
          <w:p w:rsidRPr="00F31A99" w:rsidR="00F31A99" w:rsidP="00F31A99" w:rsidRDefault="00F31A99" w14:paraId="0BE5DD33"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 21 618 067 511 </w:t>
            </w:r>
          </w:p>
        </w:tc>
        <w:tc>
          <w:tcPr>
            <w:tcW w:w="1683" w:type="dxa"/>
            <w:noWrap/>
            <w:tcMar>
              <w:top w:w="0" w:type="dxa"/>
              <w:left w:w="70" w:type="dxa"/>
              <w:bottom w:w="0" w:type="dxa"/>
              <w:right w:w="70" w:type="dxa"/>
            </w:tcMar>
            <w:vAlign w:val="bottom"/>
            <w:hideMark/>
          </w:tcPr>
          <w:p w:rsidRPr="00F31A99" w:rsidR="00F31A99" w:rsidP="00F31A99" w:rsidRDefault="00F31A99" w14:paraId="0C63A8B9"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 21 446 240 221 </w:t>
            </w:r>
          </w:p>
        </w:tc>
        <w:tc>
          <w:tcPr>
            <w:tcW w:w="1513" w:type="dxa"/>
            <w:noWrap/>
            <w:tcMar>
              <w:top w:w="0" w:type="dxa"/>
              <w:left w:w="70" w:type="dxa"/>
              <w:bottom w:w="0" w:type="dxa"/>
              <w:right w:w="70" w:type="dxa"/>
            </w:tcMar>
            <w:vAlign w:val="bottom"/>
            <w:hideMark/>
          </w:tcPr>
          <w:p w:rsidRPr="00F31A99" w:rsidR="00F31A99" w:rsidP="00F31A99" w:rsidRDefault="00F31A99" w14:paraId="664C87B6"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(171 827 290)</w:t>
            </w:r>
          </w:p>
        </w:tc>
      </w:tr>
      <w:tr w:rsidRPr="00F31A99" w:rsidR="00AE1B2B" w:rsidTr="00A306B2" w14:paraId="29619CB2" w14:textId="77777777">
        <w:trPr>
          <w:trHeight w:val="288"/>
        </w:trPr>
        <w:tc>
          <w:tcPr>
            <w:tcW w:w="534" w:type="dxa"/>
            <w:noWrap/>
            <w:tcMar>
              <w:top w:w="0" w:type="dxa"/>
              <w:left w:w="70" w:type="dxa"/>
              <w:bottom w:w="0" w:type="dxa"/>
              <w:right w:w="70" w:type="dxa"/>
            </w:tcMar>
            <w:vAlign w:val="bottom"/>
            <w:hideMark/>
          </w:tcPr>
          <w:p w:rsidRPr="00F31A99" w:rsidR="00F31A99" w:rsidP="00F31A99" w:rsidRDefault="00F31A99" w14:paraId="7D6F6D80"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2021</w:t>
            </w:r>
          </w:p>
        </w:tc>
        <w:tc>
          <w:tcPr>
            <w:tcW w:w="1124" w:type="dxa"/>
            <w:noWrap/>
            <w:tcMar>
              <w:top w:w="0" w:type="dxa"/>
              <w:left w:w="70" w:type="dxa"/>
              <w:bottom w:w="0" w:type="dxa"/>
              <w:right w:w="70" w:type="dxa"/>
            </w:tcMar>
            <w:vAlign w:val="bottom"/>
            <w:hideMark/>
          </w:tcPr>
          <w:p w:rsidRPr="00F31A99" w:rsidR="00F31A99" w:rsidP="00F31A99" w:rsidRDefault="00F31A99" w14:paraId="36C8CE86"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00304</w:t>
            </w:r>
          </w:p>
        </w:tc>
        <w:tc>
          <w:tcPr>
            <w:tcW w:w="1683" w:type="dxa"/>
            <w:noWrap/>
            <w:tcMar>
              <w:top w:w="0" w:type="dxa"/>
              <w:left w:w="70" w:type="dxa"/>
              <w:bottom w:w="0" w:type="dxa"/>
              <w:right w:w="70" w:type="dxa"/>
            </w:tcMar>
            <w:vAlign w:val="bottom"/>
            <w:hideMark/>
          </w:tcPr>
          <w:p w:rsidRPr="00F31A99" w:rsidR="00F31A99" w:rsidP="00F31A99" w:rsidRDefault="00F31A99" w14:paraId="50A7AA71"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 21 369 217 089 </w:t>
            </w:r>
          </w:p>
        </w:tc>
        <w:tc>
          <w:tcPr>
            <w:tcW w:w="1600" w:type="dxa"/>
            <w:noWrap/>
            <w:tcMar>
              <w:top w:w="0" w:type="dxa"/>
              <w:left w:w="70" w:type="dxa"/>
              <w:bottom w:w="0" w:type="dxa"/>
              <w:right w:w="70" w:type="dxa"/>
            </w:tcMar>
            <w:vAlign w:val="bottom"/>
            <w:hideMark/>
          </w:tcPr>
          <w:p w:rsidRPr="00F31A99" w:rsidR="00F31A99" w:rsidP="00F31A99" w:rsidRDefault="00F31A99" w14:paraId="4B42A0FE"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 90 000 000 </w:t>
            </w:r>
          </w:p>
        </w:tc>
        <w:tc>
          <w:tcPr>
            <w:tcW w:w="1683" w:type="dxa"/>
            <w:noWrap/>
            <w:tcMar>
              <w:top w:w="0" w:type="dxa"/>
              <w:left w:w="70" w:type="dxa"/>
              <w:bottom w:w="0" w:type="dxa"/>
              <w:right w:w="70" w:type="dxa"/>
            </w:tcMar>
            <w:vAlign w:val="bottom"/>
            <w:hideMark/>
          </w:tcPr>
          <w:p w:rsidRPr="00F31A99" w:rsidR="00F31A99" w:rsidP="00F31A99" w:rsidRDefault="00F31A99" w14:paraId="56271859"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 21 459 217 089 </w:t>
            </w:r>
          </w:p>
        </w:tc>
        <w:tc>
          <w:tcPr>
            <w:tcW w:w="1683" w:type="dxa"/>
            <w:noWrap/>
            <w:tcMar>
              <w:top w:w="0" w:type="dxa"/>
              <w:left w:w="70" w:type="dxa"/>
              <w:bottom w:w="0" w:type="dxa"/>
              <w:right w:w="70" w:type="dxa"/>
            </w:tcMar>
            <w:vAlign w:val="bottom"/>
            <w:hideMark/>
          </w:tcPr>
          <w:p w:rsidRPr="00F31A99" w:rsidR="00F31A99" w:rsidP="00F31A99" w:rsidRDefault="00F31A99" w14:paraId="34DDF3A3"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xml:space="preserve"> 21 329 063 377 </w:t>
            </w:r>
          </w:p>
        </w:tc>
        <w:tc>
          <w:tcPr>
            <w:tcW w:w="1513" w:type="dxa"/>
            <w:noWrap/>
            <w:tcMar>
              <w:top w:w="0" w:type="dxa"/>
              <w:left w:w="70" w:type="dxa"/>
              <w:bottom w:w="0" w:type="dxa"/>
              <w:right w:w="70" w:type="dxa"/>
            </w:tcMar>
            <w:vAlign w:val="bottom"/>
            <w:hideMark/>
          </w:tcPr>
          <w:p w:rsidRPr="00F31A99" w:rsidR="00F31A99" w:rsidP="00F31A99" w:rsidRDefault="00F31A99" w14:paraId="41D87DDF" w14:textId="77777777">
            <w:pPr>
              <w:autoSpaceDN w:val="0"/>
              <w:spacing w:line="256" w:lineRule="auto"/>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 (130 153 712)</w:t>
            </w:r>
          </w:p>
        </w:tc>
      </w:tr>
    </w:tbl>
    <w:p w:rsidRPr="00F31A99" w:rsidR="00F31A99" w:rsidP="00F31A99" w:rsidRDefault="00F31A99" w14:paraId="20C5137C" w14:textId="77777777">
      <w:pPr>
        <w:autoSpaceDN w:val="0"/>
        <w:rPr>
          <w:rFonts w:ascii="Times New Roman" w:hAnsi="Times New Roman" w:eastAsia="Calibri" w:cs="Times New Roman"/>
          <w:sz w:val="28"/>
          <w:szCs w:val="28"/>
          <w:u w:color="000000"/>
        </w:rPr>
      </w:pPr>
    </w:p>
    <w:p w:rsidRPr="00F31A99" w:rsidR="00F31A99" w:rsidP="00F31A99" w:rsidRDefault="00F31A99" w14:paraId="43894613"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Indica la Dirección de Gestión Humana que la subpartida no puede quedar en cero en enero cuando se hace el pago a los servidores judiciales, porque se pueden presentar los cobros en procesos judiciales en trámite o renuncia o salida de personal que solicita el pago y debe atenderse, lo cual crea incertidumbre.</w:t>
      </w:r>
    </w:p>
    <w:p w:rsidRPr="00F31A99" w:rsidR="00F31A99" w:rsidP="00F31A99" w:rsidRDefault="00F31A99" w14:paraId="0452326E" w14:textId="77777777">
      <w:pPr>
        <w:autoSpaceDN w:val="0"/>
        <w:rPr>
          <w:rFonts w:ascii="Times New Roman" w:hAnsi="Times New Roman" w:eastAsia="Calibri" w:cs="Times New Roman"/>
          <w:sz w:val="28"/>
          <w:szCs w:val="28"/>
          <w:u w:color="000000"/>
        </w:rPr>
      </w:pPr>
    </w:p>
    <w:p w:rsidRPr="00F31A99" w:rsidR="00F31A99" w:rsidP="00F31A99" w:rsidRDefault="00F31A99" w14:paraId="60654C2C" w14:textId="77777777">
      <w:pPr>
        <w:autoSpaceDN w:val="0"/>
        <w:ind w:lef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En consulta realizada a Olga Guerrero Córdoba, Subdirectora de la Dirección de Gestión Humana, sobre la aplicación de un porcentaje de sustitución en la estimación del Salario Escolar, manifestó que, existen otros factores que también son impredecibles y que afectan en mayor medida el Salario Escolar estimado, tal como, las reinstalaciones; sin embargo, considera que, con el cálculo de Pleno Empleo, hay una mayor probabilidad de subsanar posibles imprevistos. </w:t>
      </w:r>
    </w:p>
    <w:p w:rsidRPr="00F31A99" w:rsidR="00F31A99" w:rsidP="00F31A99" w:rsidRDefault="00F31A99" w14:paraId="29282640" w14:textId="77777777">
      <w:pPr>
        <w:autoSpaceDN w:val="0"/>
        <w:ind w:left="851" w:firstLine="709"/>
        <w:jc w:val="both"/>
        <w:rPr>
          <w:rFonts w:ascii="Times New Roman" w:hAnsi="Times New Roman" w:eastAsia="Calibri" w:cs="Times New Roman"/>
          <w:sz w:val="26"/>
          <w:szCs w:val="26"/>
          <w:u w:color="000000"/>
        </w:rPr>
      </w:pPr>
    </w:p>
    <w:p w:rsidRPr="00F31A99" w:rsidR="00F31A99" w:rsidP="00F31A99" w:rsidRDefault="00F31A99" w14:paraId="04503F2B" w14:textId="77777777">
      <w:pPr>
        <w:autoSpaceDN w:val="0"/>
        <w:jc w:val="both"/>
        <w:rPr>
          <w:rFonts w:ascii="Times New Roman" w:hAnsi="Times New Roman" w:eastAsia="Calibri" w:cs="Times New Roman"/>
          <w:sz w:val="26"/>
          <w:szCs w:val="26"/>
          <w:u w:color="000000"/>
        </w:rPr>
      </w:pPr>
    </w:p>
    <w:p w:rsidRPr="00F31A99" w:rsidR="00F31A99" w:rsidP="00F31A99" w:rsidRDefault="00F31A99" w14:paraId="159406E7" w14:textId="77777777">
      <w:pPr>
        <w:shd w:val="clear" w:color="auto" w:fill="FFFFFD"/>
        <w:autoSpaceDN w:val="0"/>
        <w:ind w:lef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La Dirección de Gestión Humana indica que la disminución que presenta la estimación del Salario Escolar en relación con lo formulado para el 2021 obedece a que no contemplan una serie de variables que, en definitiva, afectan el presupuesto del salario escolar como lo son los diferentes movimientos o sustituciones que se generen durante el año, o bien cualquier otro factor que afecte el pago o la planilla de los servidores judiciales, por ejemplo el aumento de permisos con goce de salario, sustituciones, la entrada en vigencia de nuevas leyes o decretos, pagos de juicios o reinstalaciones de exservidores, entre otros, que hacen que al final del periodo el monto presupuestado o bien el monto proyectado no sean coincidentes con lo que realmente se deberá cancelar.</w:t>
      </w:r>
    </w:p>
    <w:p w:rsidRPr="00F31A99" w:rsidR="00F31A99" w:rsidP="00F31A99" w:rsidRDefault="00F31A99" w14:paraId="6AD97AD2" w14:textId="77777777">
      <w:pPr>
        <w:autoSpaceDN w:val="0"/>
        <w:ind w:left="851" w:firstLine="709"/>
        <w:jc w:val="both"/>
        <w:rPr>
          <w:rFonts w:ascii="Times New Roman" w:hAnsi="Times New Roman" w:eastAsia="Calibri" w:cs="Times New Roman"/>
          <w:sz w:val="26"/>
          <w:szCs w:val="26"/>
          <w:u w:color="000000"/>
          <w:lang w:eastAsia="es-CR"/>
        </w:rPr>
      </w:pPr>
    </w:p>
    <w:p w:rsidRPr="00F31A99" w:rsidR="00F31A99" w:rsidP="00F31A99" w:rsidRDefault="00F31A99" w14:paraId="3449BF41" w14:textId="77777777">
      <w:pPr>
        <w:widowControl w:val="0"/>
        <w:numPr>
          <w:ilvl w:val="0"/>
          <w:numId w:val="1"/>
        </w:numPr>
        <w:shd w:val="clear" w:color="auto" w:fill="FFFFFF"/>
        <w:autoSpaceDE w:val="0"/>
        <w:autoSpaceDN w:val="0"/>
        <w:adjustRightInd w:val="0"/>
        <w:ind w:left="851" w:firstLine="709"/>
        <w:jc w:val="both"/>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Escenario Pleno Empleo</w:t>
      </w:r>
    </w:p>
    <w:p w:rsidRPr="00F31A99" w:rsidR="00F31A99" w:rsidP="00F31A99" w:rsidRDefault="00F31A99" w14:paraId="0C3AE8EC" w14:textId="77777777">
      <w:pPr>
        <w:autoSpaceDN w:val="0"/>
        <w:ind w:left="851" w:firstLine="709"/>
        <w:jc w:val="both"/>
        <w:rPr>
          <w:rFonts w:ascii="Times New Roman" w:hAnsi="Times New Roman" w:eastAsia="Calibri" w:cs="Times New Roman"/>
          <w:b/>
          <w:bCs/>
          <w:sz w:val="26"/>
          <w:szCs w:val="26"/>
          <w:u w:color="000000"/>
        </w:rPr>
      </w:pPr>
    </w:p>
    <w:p w:rsidRPr="00F31A99" w:rsidR="00F31A99" w:rsidP="00F31A99" w:rsidRDefault="00F31A99" w14:paraId="4B066413" w14:textId="77777777">
      <w:pPr>
        <w:autoSpaceDN w:val="0"/>
        <w:ind w:left="851" w:firstLine="709"/>
        <w:jc w:val="both"/>
        <w:rPr>
          <w:rFonts w:ascii="Times New Roman" w:hAnsi="Times New Roman" w:eastAsia="Calibri" w:cs="Times New Roman"/>
          <w:b/>
          <w:bCs/>
          <w:sz w:val="26"/>
          <w:szCs w:val="26"/>
          <w:u w:color="000000"/>
        </w:rPr>
      </w:pPr>
    </w:p>
    <w:p w:rsidRPr="00F31A99" w:rsidR="00F31A99" w:rsidP="00F31A99" w:rsidRDefault="00F31A99" w14:paraId="4F3A0B89" w14:textId="77777777">
      <w:pPr>
        <w:shd w:val="clear" w:color="auto" w:fill="FFFFFD"/>
        <w:autoSpaceDN w:val="0"/>
        <w:ind w:lef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lastRenderedPageBreak/>
        <w:t xml:space="preserve">Para las proyecciones realizadas para este segundo escenario la Dirección de Gestión Humana, consideró la ocupación de las 12569 plazas ordinarias y extraordinarias aprobadas para el ejercicio presupuestario del año 2021 o sea el 100% de los recursos aprobados para el 2021 para salarios. En este caso, el monto a formular sería de </w:t>
      </w:r>
      <w:r w:rsidRPr="00F31A99">
        <w:rPr>
          <w:rFonts w:ascii="Times New Roman" w:hAnsi="Times New Roman" w:eastAsia="Calibri" w:cs="Times New Roman"/>
          <w:b/>
          <w:bCs/>
          <w:sz w:val="26"/>
          <w:szCs w:val="26"/>
          <w:u w:color="000000"/>
        </w:rPr>
        <w:t>¢21.025.253.183,</w:t>
      </w:r>
      <w:r w:rsidRPr="00F31A99">
        <w:rPr>
          <w:rFonts w:ascii="Times New Roman" w:hAnsi="Times New Roman" w:eastAsia="Calibri" w:cs="Times New Roman"/>
          <w:sz w:val="26"/>
          <w:szCs w:val="26"/>
          <w:u w:color="000000"/>
        </w:rPr>
        <w:t xml:space="preserve"> según el siguiente detalle: </w:t>
      </w:r>
    </w:p>
    <w:p w:rsidRPr="00F31A99" w:rsidR="00F31A99" w:rsidP="00F31A99" w:rsidRDefault="00F31A99" w14:paraId="00D9706C" w14:textId="77777777">
      <w:pPr>
        <w:shd w:val="clear" w:color="auto" w:fill="FFFFFD"/>
        <w:autoSpaceDN w:val="0"/>
        <w:spacing w:line="480" w:lineRule="auto"/>
        <w:ind w:firstLine="709"/>
        <w:rPr>
          <w:rFonts w:ascii="Times New Roman" w:hAnsi="Times New Roman" w:eastAsia="Calibri" w:cs="Times New Roman"/>
          <w:sz w:val="28"/>
          <w:szCs w:val="28"/>
          <w:u w:color="000000"/>
        </w:rPr>
      </w:pPr>
    </w:p>
    <w:p w:rsidRPr="00F31A99" w:rsidR="00F31A99" w:rsidP="00F31A99" w:rsidRDefault="00F31A99" w14:paraId="30BA970F" w14:textId="77777777">
      <w:pPr>
        <w:shd w:val="clear" w:color="auto" w:fill="FFFFFD"/>
        <w:autoSpaceDN w:val="0"/>
        <w:spacing w:line="480" w:lineRule="auto"/>
        <w:ind w:firstLine="709"/>
        <w:jc w:val="center"/>
        <w:rPr>
          <w:rFonts w:ascii="Times New Roman" w:hAnsi="Times New Roman" w:eastAsia="Calibri" w:cs="Times New Roman"/>
          <w:sz w:val="28"/>
          <w:szCs w:val="28"/>
          <w:u w:color="000000"/>
        </w:rPr>
      </w:pPr>
      <w:r w:rsidRPr="00F31A99">
        <w:rPr>
          <w:rFonts w:ascii="Times New Roman" w:hAnsi="Times New Roman" w:eastAsia="Calibri" w:cs="Times New Roman"/>
          <w:noProof/>
          <w:u w:color="000000"/>
        </w:rPr>
        <w:drawing>
          <wp:inline distT="0" distB="0" distL="0" distR="0" wp14:anchorId="62A98DDA" wp14:editId="1DB3E1DA">
            <wp:extent cx="4578350" cy="185483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8350" cy="1854835"/>
                    </a:xfrm>
                    <a:prstGeom prst="rect">
                      <a:avLst/>
                    </a:prstGeom>
                    <a:noFill/>
                    <a:ln>
                      <a:noFill/>
                    </a:ln>
                  </pic:spPr>
                </pic:pic>
              </a:graphicData>
            </a:graphic>
          </wp:inline>
        </w:drawing>
      </w:r>
    </w:p>
    <w:p w:rsidRPr="00F31A99" w:rsidR="00F31A99" w:rsidP="00F31A99" w:rsidRDefault="00F31A99" w14:paraId="0141DA4B" w14:textId="77777777">
      <w:pPr>
        <w:autoSpaceDN w:val="0"/>
        <w:spacing w:after="200" w:line="276" w:lineRule="auto"/>
        <w:rPr>
          <w:rFonts w:ascii="Times New Roman" w:hAnsi="Times New Roman" w:eastAsia="Calibri" w:cs="Times New Roman"/>
          <w:sz w:val="28"/>
          <w:szCs w:val="28"/>
          <w:u w:color="000000"/>
        </w:rPr>
      </w:pPr>
    </w:p>
    <w:p w:rsidRPr="00F31A99" w:rsidR="00F31A99" w:rsidP="00F31A99" w:rsidRDefault="00F31A99" w14:paraId="566024EE" w14:textId="77777777">
      <w:pPr>
        <w:shd w:val="clear" w:color="auto" w:fill="FFFFFD"/>
        <w:autoSpaceDN w:val="0"/>
        <w:spacing w:line="480" w:lineRule="auto"/>
        <w:jc w:val="center"/>
        <w:rPr>
          <w:rFonts w:ascii="Times New Roman" w:hAnsi="Times New Roman" w:eastAsia="Calibri" w:cs="Times New Roman"/>
          <w:b/>
          <w:bCs/>
          <w:sz w:val="28"/>
          <w:szCs w:val="28"/>
          <w:u w:val="single" w:color="000000"/>
        </w:rPr>
      </w:pPr>
      <w:r w:rsidRPr="00F31A99">
        <w:rPr>
          <w:rFonts w:ascii="Times New Roman" w:hAnsi="Times New Roman" w:eastAsia="Calibri" w:cs="Times New Roman"/>
          <w:b/>
          <w:bCs/>
          <w:sz w:val="26"/>
          <w:szCs w:val="26"/>
          <w:u w:color="000000"/>
        </w:rPr>
        <w:t>Detalle por Partida y Subpartida</w:t>
      </w:r>
      <w:r w:rsidRPr="00F31A99">
        <w:rPr>
          <w:rFonts w:ascii="Times New Roman" w:hAnsi="Times New Roman" w:eastAsia="Calibri" w:cs="Times New Roman"/>
          <w:sz w:val="26"/>
          <w:szCs w:val="26"/>
          <w:u w:color="000000"/>
        </w:rPr>
        <w:t xml:space="preserve"> </w:t>
      </w:r>
      <w:r w:rsidRPr="00F31A99">
        <w:rPr>
          <w:rFonts w:ascii="Times New Roman" w:hAnsi="Times New Roman" w:eastAsia="Calibri" w:cs="Times New Roman"/>
          <w:noProof/>
          <w:u w:color="000000"/>
        </w:rPr>
        <w:drawing>
          <wp:inline distT="0" distB="0" distL="0" distR="0" wp14:anchorId="18EC3320" wp14:editId="38721EAE">
            <wp:extent cx="5767070" cy="1769745"/>
            <wp:effectExtent l="0" t="0" r="508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7070" cy="1769745"/>
                    </a:xfrm>
                    <a:prstGeom prst="rect">
                      <a:avLst/>
                    </a:prstGeom>
                    <a:noFill/>
                    <a:ln>
                      <a:noFill/>
                    </a:ln>
                  </pic:spPr>
                </pic:pic>
              </a:graphicData>
            </a:graphic>
          </wp:inline>
        </w:drawing>
      </w:r>
    </w:p>
    <w:p w:rsidRPr="00F31A99" w:rsidR="00F31A99" w:rsidP="00F31A99" w:rsidRDefault="00F31A99" w14:paraId="4175B111" w14:textId="77777777">
      <w:pPr>
        <w:shd w:val="clear" w:color="auto" w:fill="FFFFFD"/>
        <w:autoSpaceDN w:val="0"/>
        <w:spacing w:line="480" w:lineRule="auto"/>
        <w:rPr>
          <w:rFonts w:ascii="Times New Roman" w:hAnsi="Times New Roman" w:eastAsia="Calibri" w:cs="Times New Roman"/>
          <w:b/>
          <w:bCs/>
          <w:sz w:val="28"/>
          <w:szCs w:val="28"/>
          <w:u w:val="single" w:color="000000"/>
        </w:rPr>
      </w:pPr>
    </w:p>
    <w:p w:rsidRPr="00F31A99" w:rsidR="00F31A99" w:rsidP="00F31A99" w:rsidRDefault="00F31A99" w14:paraId="5B16A467" w14:textId="77777777">
      <w:pPr>
        <w:autoSpaceDN w:val="0"/>
        <w:ind w:left="851" w:right="851" w:firstLine="709"/>
        <w:rPr>
          <w:rFonts w:ascii="Times New Roman" w:hAnsi="Times New Roman" w:eastAsia="Calibri" w:cs="Times New Roman"/>
          <w:strike/>
          <w:sz w:val="26"/>
          <w:szCs w:val="26"/>
          <w:u w:color="000000"/>
        </w:rPr>
      </w:pPr>
      <w:bookmarkStart w:name="_Hlk35448752" w:id="2"/>
      <w:r w:rsidRPr="00F31A99">
        <w:rPr>
          <w:rFonts w:ascii="Times New Roman" w:hAnsi="Times New Roman" w:eastAsia="Calibri" w:cs="Times New Roman"/>
          <w:sz w:val="26"/>
          <w:szCs w:val="26"/>
          <w:u w:color="000000"/>
        </w:rPr>
        <w:t xml:space="preserve">Como requerimiento final, es necesario que se autorice a la Dirección de Planificación a actualizar el monto aprobado en caso de que se realice algún ajuste que afecte directamente esta Subpartida. </w:t>
      </w:r>
      <w:bookmarkEnd w:id="2"/>
    </w:p>
    <w:p w:rsidRPr="00F31A99" w:rsidR="00F31A99" w:rsidP="00F31A99" w:rsidRDefault="00F31A99" w14:paraId="0EADEB59" w14:textId="77777777">
      <w:pPr>
        <w:shd w:val="clear" w:color="auto" w:fill="FFFFFD"/>
        <w:autoSpaceDN w:val="0"/>
        <w:ind w:left="851" w:right="851" w:firstLine="709"/>
        <w:rPr>
          <w:rFonts w:ascii="Times New Roman" w:hAnsi="Times New Roman" w:eastAsia="Calibri" w:cs="Times New Roman"/>
          <w:b/>
          <w:bCs/>
          <w:sz w:val="26"/>
          <w:szCs w:val="26"/>
          <w:u w:val="single" w:color="000000"/>
        </w:rPr>
      </w:pPr>
    </w:p>
    <w:p w:rsidRPr="00F31A99" w:rsidR="00F31A99" w:rsidP="00F31A99" w:rsidRDefault="00F31A99" w14:paraId="412A6656" w14:textId="77777777">
      <w:pPr>
        <w:autoSpaceDE w:val="0"/>
        <w:autoSpaceDN w:val="0"/>
        <w:adjustRightInd w:val="0"/>
        <w:spacing w:line="360" w:lineRule="auto"/>
        <w:jc w:val="center"/>
        <w:rPr>
          <w:rFonts w:ascii="Times New Roman" w:hAnsi="Times New Roman" w:eastAsia="Times New Roman" w:cs="Times New Roman"/>
          <w:sz w:val="28"/>
          <w:szCs w:val="24"/>
          <w:u w:color="000000"/>
          <w:lang w:eastAsia="es-ES"/>
        </w:rPr>
      </w:pPr>
      <w:r w:rsidRPr="00F31A99">
        <w:rPr>
          <w:rFonts w:ascii="Times New Roman" w:hAnsi="Times New Roman" w:eastAsia="Times New Roman" w:cs="Times New Roman"/>
          <w:sz w:val="28"/>
          <w:szCs w:val="24"/>
          <w:u w:color="000000"/>
          <w:lang w:eastAsia="es-ES"/>
        </w:rPr>
        <w:lastRenderedPageBreak/>
        <w:t>- 0 -</w:t>
      </w:r>
    </w:p>
    <w:p w:rsidRPr="00F31A99" w:rsidR="00F31A99" w:rsidP="00F31A99" w:rsidRDefault="00F31A99" w14:paraId="12A4C324"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De forma complementaria, en reunión de trabajo del pasado 9 de abril, la Licenciada Roxana Arrieta Meléndez expone algunos elementos que justifican formular para el año 2022, al menos el mismo monto aprobado para el año 2021, dadas algunas situaciones exógenas que podrían incidir en las necesidades reales del próximo año. </w:t>
      </w:r>
    </w:p>
    <w:p w:rsidRPr="00F31A99" w:rsidR="00F31A99" w:rsidP="00F31A99" w:rsidRDefault="00F31A99" w14:paraId="55DF0402"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67A9A8F3"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Señaló que la propuesta está basada en que, para determinar los ¢21.025.253.18, solo se está considerando el escenario de pleno empleo, el cual si bien es cierto es el punto de partida del presupuesto, no contempla variables importantes que cada año se van incrementando producto de las nuevas dinámicas a las que se ve expuesta la Institución, así por ejemplo tenemos que las personas que finalizan su relación laboral con el Poder Judicial, sea por jubilación, fallecimiento, renuncia, despido o jubilación para mejor servicio, solicitan la cancelación inmediata de todos sus extremos laborales, en cuenta también aguinaldo y salario escolar, no suelen esperarse hasta que el pago les sea realizado con el pago de general para toda la población (sea diciembre y enero, respectivamente); adicionalmente el volumen de sentencias (sea por salarios caídos, reinstalación de servidores, componentes dejados de percibir, horas extra, entre otros), que cada año esta Dirección debe cancelar, en una gran mayoría implica el pago de este rubro. La otra variable que también impacta esta subpartida son los diferentes movimientos que se generan en el periodo del 2021, sean estos principalmente permisos con goce de salario para proyectos, sustituciones por todos los motivos que se tiene autorizado, entre otros.</w:t>
      </w:r>
    </w:p>
    <w:p w:rsidRPr="00F31A99" w:rsidR="00F31A99" w:rsidP="00F31A99" w:rsidRDefault="00F31A99" w14:paraId="72C36584"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4D1A60BA"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En razón de lo anteriormente expuesto es que consideramos un riesgo alto, fijar un presupuesto de salario escolar según se desprende de la minuta de trabajo, basado solo en pleno empleo y sugerimos que se presupueste al menos el gasto que se incurrió para esa partida, para el 2021, considerando que la mayoría de la población aún se mantiene en los mismos puestos desde antes de la ley 9635 (es decir no hay un efecto “nominalización” que pueda afectar hacia la baja el presupuesto). Se adjunta el detalle por programa:</w:t>
      </w:r>
    </w:p>
    <w:p w:rsidRPr="00F31A99" w:rsidR="00F31A99" w:rsidP="00F31A99" w:rsidRDefault="00F31A99" w14:paraId="07FDAF71" w14:textId="77777777">
      <w:pPr>
        <w:autoSpaceDN w:val="0"/>
        <w:rPr>
          <w:rFonts w:ascii="Times New Roman" w:hAnsi="Times New Roman" w:eastAsia="Calibri" w:cs="Times New Roman"/>
          <w:sz w:val="26"/>
          <w:szCs w:val="26"/>
          <w:u w:color="000000"/>
        </w:rPr>
      </w:pPr>
    </w:p>
    <w:tbl>
      <w:tblPr>
        <w:tblW w:w="3540" w:type="dxa"/>
        <w:jc w:val="center"/>
        <w:tblLayout w:type="fixed"/>
        <w:tblCellMar>
          <w:left w:w="0" w:type="dxa"/>
          <w:right w:w="0" w:type="dxa"/>
        </w:tblCellMar>
        <w:tblLook w:val="04A0" w:firstRow="1" w:lastRow="0" w:firstColumn="1" w:lastColumn="0" w:noHBand="0" w:noVBand="1"/>
      </w:tblPr>
      <w:tblGrid>
        <w:gridCol w:w="1199"/>
        <w:gridCol w:w="2341"/>
      </w:tblGrid>
      <w:tr w:rsidRPr="00F31A99" w:rsidR="00F31A99" w:rsidTr="00A306B2" w14:paraId="452A5E44" w14:textId="77777777">
        <w:trPr>
          <w:trHeight w:val="300"/>
          <w:jc w:val="center"/>
        </w:trPr>
        <w:tc>
          <w:tcPr>
            <w:tcW w:w="1200" w:type="dxa"/>
            <w:tcBorders>
              <w:top w:val="nil"/>
              <w:left w:val="nil"/>
              <w:bottom w:val="single" w:color="FFFFFF" w:sz="12" w:space="0"/>
              <w:right w:val="single" w:color="FFFFFF" w:sz="8" w:space="0"/>
            </w:tcBorders>
            <w:shd w:val="clear" w:color="auto" w:fill="708090"/>
            <w:tcMar>
              <w:top w:w="0" w:type="dxa"/>
              <w:left w:w="70" w:type="dxa"/>
              <w:bottom w:w="0" w:type="dxa"/>
              <w:right w:w="70" w:type="dxa"/>
            </w:tcMar>
            <w:hideMark/>
          </w:tcPr>
          <w:p w:rsidRPr="00F31A99" w:rsidR="00F31A99" w:rsidP="00F31A99" w:rsidRDefault="00F31A99" w14:paraId="2A403CCC" w14:textId="77777777">
            <w:pPr>
              <w:autoSpaceDN w:val="0"/>
              <w:spacing w:line="256" w:lineRule="auto"/>
              <w:jc w:val="center"/>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lastRenderedPageBreak/>
              <w:t>Programa</w:t>
            </w:r>
          </w:p>
        </w:tc>
        <w:tc>
          <w:tcPr>
            <w:tcW w:w="2343" w:type="dxa"/>
            <w:tcBorders>
              <w:top w:val="nil"/>
              <w:left w:val="nil"/>
              <w:bottom w:val="single" w:color="FFFFFF" w:sz="12" w:space="0"/>
              <w:right w:val="nil"/>
            </w:tcBorders>
            <w:shd w:val="clear" w:color="auto" w:fill="708090"/>
            <w:tcMar>
              <w:top w:w="0" w:type="dxa"/>
              <w:left w:w="70" w:type="dxa"/>
              <w:bottom w:w="0" w:type="dxa"/>
              <w:right w:w="70" w:type="dxa"/>
            </w:tcMar>
            <w:hideMark/>
          </w:tcPr>
          <w:p w:rsidRPr="00F31A99" w:rsidR="00F31A99" w:rsidP="00F31A99" w:rsidRDefault="00F31A99" w14:paraId="7D69212B" w14:textId="77777777">
            <w:pPr>
              <w:autoSpaceDN w:val="0"/>
              <w:spacing w:line="256" w:lineRule="auto"/>
              <w:jc w:val="center"/>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Presupuesto Inicial 2021</w:t>
            </w:r>
          </w:p>
        </w:tc>
      </w:tr>
      <w:tr w:rsidRPr="00F31A99" w:rsidR="00F31A99" w:rsidTr="00A306B2" w14:paraId="162AD4B2" w14:textId="77777777">
        <w:trPr>
          <w:trHeight w:val="300"/>
          <w:jc w:val="center"/>
        </w:trPr>
        <w:tc>
          <w:tcPr>
            <w:tcW w:w="1200" w:type="dxa"/>
            <w:tcBorders>
              <w:top w:val="nil"/>
              <w:left w:val="nil"/>
              <w:bottom w:val="single" w:color="FFFFFF" w:sz="8" w:space="0"/>
              <w:right w:val="single" w:color="FFFFFF" w:sz="8" w:space="0"/>
            </w:tcBorders>
            <w:shd w:val="clear" w:color="auto" w:fill="B8CCE4"/>
            <w:tcMar>
              <w:top w:w="0" w:type="dxa"/>
              <w:left w:w="70" w:type="dxa"/>
              <w:bottom w:w="0" w:type="dxa"/>
              <w:right w:w="70" w:type="dxa"/>
            </w:tcMar>
            <w:hideMark/>
          </w:tcPr>
          <w:p w:rsidRPr="00F31A99" w:rsidR="00F31A99" w:rsidP="00F31A99" w:rsidRDefault="00F31A99" w14:paraId="056F230F"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926</w:t>
            </w:r>
          </w:p>
        </w:tc>
        <w:tc>
          <w:tcPr>
            <w:tcW w:w="2343" w:type="dxa"/>
            <w:tcBorders>
              <w:top w:val="nil"/>
              <w:left w:val="nil"/>
              <w:bottom w:val="single" w:color="FFFFFF" w:sz="8" w:space="0"/>
              <w:right w:val="nil"/>
            </w:tcBorders>
            <w:shd w:val="clear" w:color="auto" w:fill="B8CCE4"/>
            <w:tcMar>
              <w:top w:w="0" w:type="dxa"/>
              <w:left w:w="70" w:type="dxa"/>
              <w:bottom w:w="0" w:type="dxa"/>
              <w:right w:w="70" w:type="dxa"/>
            </w:tcMar>
            <w:hideMark/>
          </w:tcPr>
          <w:p w:rsidRPr="00F31A99" w:rsidR="00F31A99" w:rsidP="00F31A99" w:rsidRDefault="00F31A99" w14:paraId="13A0AD73"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3,431,794,136.00</w:t>
            </w:r>
          </w:p>
        </w:tc>
      </w:tr>
      <w:tr w:rsidRPr="00F31A99" w:rsidR="00F31A99" w:rsidTr="00A306B2" w14:paraId="6E84EE87" w14:textId="77777777">
        <w:trPr>
          <w:trHeight w:val="300"/>
          <w:jc w:val="center"/>
        </w:trPr>
        <w:tc>
          <w:tcPr>
            <w:tcW w:w="1200" w:type="dxa"/>
            <w:tcBorders>
              <w:top w:val="nil"/>
              <w:left w:val="nil"/>
              <w:bottom w:val="single" w:color="FFFFFF" w:sz="8" w:space="0"/>
              <w:right w:val="single" w:color="FFFFFF" w:sz="8" w:space="0"/>
            </w:tcBorders>
            <w:shd w:val="clear" w:color="auto" w:fill="DCE6F1"/>
            <w:tcMar>
              <w:top w:w="0" w:type="dxa"/>
              <w:left w:w="70" w:type="dxa"/>
              <w:bottom w:w="0" w:type="dxa"/>
              <w:right w:w="70" w:type="dxa"/>
            </w:tcMar>
            <w:hideMark/>
          </w:tcPr>
          <w:p w:rsidRPr="00F31A99" w:rsidR="00F31A99" w:rsidP="00F31A99" w:rsidRDefault="00F31A99" w14:paraId="042E61D2"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927</w:t>
            </w:r>
          </w:p>
        </w:tc>
        <w:tc>
          <w:tcPr>
            <w:tcW w:w="2343" w:type="dxa"/>
            <w:tcBorders>
              <w:top w:val="nil"/>
              <w:left w:val="nil"/>
              <w:bottom w:val="single" w:color="FFFFFF" w:sz="8" w:space="0"/>
              <w:right w:val="nil"/>
            </w:tcBorders>
            <w:shd w:val="clear" w:color="auto" w:fill="DCE6F1"/>
            <w:tcMar>
              <w:top w:w="0" w:type="dxa"/>
              <w:left w:w="70" w:type="dxa"/>
              <w:bottom w:w="0" w:type="dxa"/>
              <w:right w:w="70" w:type="dxa"/>
            </w:tcMar>
            <w:hideMark/>
          </w:tcPr>
          <w:p w:rsidRPr="00F31A99" w:rsidR="00F31A99" w:rsidP="00F31A99" w:rsidRDefault="00F31A99" w14:paraId="026B6EC3"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8,311,962,028.00</w:t>
            </w:r>
          </w:p>
        </w:tc>
      </w:tr>
      <w:tr w:rsidRPr="00F31A99" w:rsidR="00F31A99" w:rsidTr="00A306B2" w14:paraId="4161789B" w14:textId="77777777">
        <w:trPr>
          <w:trHeight w:val="300"/>
          <w:jc w:val="center"/>
        </w:trPr>
        <w:tc>
          <w:tcPr>
            <w:tcW w:w="1200" w:type="dxa"/>
            <w:tcBorders>
              <w:top w:val="nil"/>
              <w:left w:val="nil"/>
              <w:bottom w:val="single" w:color="FFFFFF" w:sz="8" w:space="0"/>
              <w:right w:val="single" w:color="FFFFFF" w:sz="8" w:space="0"/>
            </w:tcBorders>
            <w:shd w:val="clear" w:color="auto" w:fill="B8CCE4"/>
            <w:tcMar>
              <w:top w:w="0" w:type="dxa"/>
              <w:left w:w="70" w:type="dxa"/>
              <w:bottom w:w="0" w:type="dxa"/>
              <w:right w:w="70" w:type="dxa"/>
            </w:tcMar>
            <w:hideMark/>
          </w:tcPr>
          <w:p w:rsidRPr="00F31A99" w:rsidR="00F31A99" w:rsidP="00F31A99" w:rsidRDefault="00F31A99" w14:paraId="7CBF9A04"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928</w:t>
            </w:r>
          </w:p>
        </w:tc>
        <w:tc>
          <w:tcPr>
            <w:tcW w:w="2343" w:type="dxa"/>
            <w:tcBorders>
              <w:top w:val="nil"/>
              <w:left w:val="nil"/>
              <w:bottom w:val="single" w:color="FFFFFF" w:sz="8" w:space="0"/>
              <w:right w:val="nil"/>
            </w:tcBorders>
            <w:shd w:val="clear" w:color="auto" w:fill="B8CCE4"/>
            <w:tcMar>
              <w:top w:w="0" w:type="dxa"/>
              <w:left w:w="70" w:type="dxa"/>
              <w:bottom w:w="0" w:type="dxa"/>
              <w:right w:w="70" w:type="dxa"/>
            </w:tcMar>
            <w:hideMark/>
          </w:tcPr>
          <w:p w:rsidRPr="00F31A99" w:rsidR="00F31A99" w:rsidP="00F31A99" w:rsidRDefault="00F31A99" w14:paraId="5D848EA7"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4,282,396,214.00</w:t>
            </w:r>
          </w:p>
        </w:tc>
      </w:tr>
      <w:tr w:rsidRPr="00F31A99" w:rsidR="00F31A99" w:rsidTr="00A306B2" w14:paraId="6328E1D1" w14:textId="77777777">
        <w:trPr>
          <w:trHeight w:val="300"/>
          <w:jc w:val="center"/>
        </w:trPr>
        <w:tc>
          <w:tcPr>
            <w:tcW w:w="1200" w:type="dxa"/>
            <w:tcBorders>
              <w:top w:val="nil"/>
              <w:left w:val="nil"/>
              <w:bottom w:val="single" w:color="FFFFFF" w:sz="8" w:space="0"/>
              <w:right w:val="single" w:color="FFFFFF" w:sz="8" w:space="0"/>
            </w:tcBorders>
            <w:shd w:val="clear" w:color="auto" w:fill="DCE6F1"/>
            <w:tcMar>
              <w:top w:w="0" w:type="dxa"/>
              <w:left w:w="70" w:type="dxa"/>
              <w:bottom w:w="0" w:type="dxa"/>
              <w:right w:w="70" w:type="dxa"/>
            </w:tcMar>
            <w:hideMark/>
          </w:tcPr>
          <w:p w:rsidRPr="00F31A99" w:rsidR="00F31A99" w:rsidP="00F31A99" w:rsidRDefault="00F31A99" w14:paraId="535CA747"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929</w:t>
            </w:r>
          </w:p>
        </w:tc>
        <w:tc>
          <w:tcPr>
            <w:tcW w:w="2343" w:type="dxa"/>
            <w:tcBorders>
              <w:top w:val="nil"/>
              <w:left w:val="nil"/>
              <w:bottom w:val="single" w:color="FFFFFF" w:sz="8" w:space="0"/>
              <w:right w:val="nil"/>
            </w:tcBorders>
            <w:shd w:val="clear" w:color="auto" w:fill="DCE6F1"/>
            <w:tcMar>
              <w:top w:w="0" w:type="dxa"/>
              <w:left w:w="70" w:type="dxa"/>
              <w:bottom w:w="0" w:type="dxa"/>
              <w:right w:w="70" w:type="dxa"/>
            </w:tcMar>
            <w:hideMark/>
          </w:tcPr>
          <w:p w:rsidRPr="00F31A99" w:rsidR="00F31A99" w:rsidP="00F31A99" w:rsidRDefault="00F31A99" w14:paraId="248A27E2"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2,787,696,347.00</w:t>
            </w:r>
          </w:p>
        </w:tc>
      </w:tr>
      <w:tr w:rsidRPr="00F31A99" w:rsidR="00F31A99" w:rsidTr="00A306B2" w14:paraId="5E703F44" w14:textId="77777777">
        <w:trPr>
          <w:trHeight w:val="300"/>
          <w:jc w:val="center"/>
        </w:trPr>
        <w:tc>
          <w:tcPr>
            <w:tcW w:w="1200" w:type="dxa"/>
            <w:tcBorders>
              <w:top w:val="nil"/>
              <w:left w:val="nil"/>
              <w:bottom w:val="single" w:color="FFFFFF" w:sz="8" w:space="0"/>
              <w:right w:val="single" w:color="FFFFFF" w:sz="8" w:space="0"/>
            </w:tcBorders>
            <w:shd w:val="clear" w:color="auto" w:fill="B8CCE4"/>
            <w:tcMar>
              <w:top w:w="0" w:type="dxa"/>
              <w:left w:w="70" w:type="dxa"/>
              <w:bottom w:w="0" w:type="dxa"/>
              <w:right w:w="70" w:type="dxa"/>
            </w:tcMar>
            <w:hideMark/>
          </w:tcPr>
          <w:p w:rsidRPr="00F31A99" w:rsidR="00F31A99" w:rsidP="00F31A99" w:rsidRDefault="00F31A99" w14:paraId="326BEB2A"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930</w:t>
            </w:r>
          </w:p>
        </w:tc>
        <w:tc>
          <w:tcPr>
            <w:tcW w:w="2343" w:type="dxa"/>
            <w:tcBorders>
              <w:top w:val="nil"/>
              <w:left w:val="nil"/>
              <w:bottom w:val="single" w:color="FFFFFF" w:sz="8" w:space="0"/>
              <w:right w:val="nil"/>
            </w:tcBorders>
            <w:shd w:val="clear" w:color="auto" w:fill="B8CCE4"/>
            <w:tcMar>
              <w:top w:w="0" w:type="dxa"/>
              <w:left w:w="70" w:type="dxa"/>
              <w:bottom w:w="0" w:type="dxa"/>
              <w:right w:w="70" w:type="dxa"/>
            </w:tcMar>
            <w:hideMark/>
          </w:tcPr>
          <w:p w:rsidRPr="00F31A99" w:rsidR="00F31A99" w:rsidP="00F31A99" w:rsidRDefault="00F31A99" w14:paraId="712974BC"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2,094,430,204.00</w:t>
            </w:r>
          </w:p>
        </w:tc>
      </w:tr>
      <w:tr w:rsidRPr="00F31A99" w:rsidR="00F31A99" w:rsidTr="00A306B2" w14:paraId="3E79295B" w14:textId="77777777">
        <w:trPr>
          <w:trHeight w:val="300"/>
          <w:jc w:val="center"/>
        </w:trPr>
        <w:tc>
          <w:tcPr>
            <w:tcW w:w="1200" w:type="dxa"/>
            <w:tcBorders>
              <w:top w:val="nil"/>
              <w:left w:val="nil"/>
              <w:bottom w:val="single" w:color="FFFFFF" w:sz="8" w:space="0"/>
              <w:right w:val="single" w:color="FFFFFF" w:sz="8" w:space="0"/>
            </w:tcBorders>
            <w:shd w:val="clear" w:color="auto" w:fill="DCE6F1"/>
            <w:tcMar>
              <w:top w:w="0" w:type="dxa"/>
              <w:left w:w="70" w:type="dxa"/>
              <w:bottom w:w="0" w:type="dxa"/>
              <w:right w:w="70" w:type="dxa"/>
            </w:tcMar>
            <w:hideMark/>
          </w:tcPr>
          <w:p w:rsidRPr="00F31A99" w:rsidR="00F31A99" w:rsidP="00F31A99" w:rsidRDefault="00F31A99" w14:paraId="1337EDFF" w14:textId="77777777">
            <w:pPr>
              <w:autoSpaceDN w:val="0"/>
              <w:spacing w:line="256" w:lineRule="auto"/>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950</w:t>
            </w:r>
          </w:p>
        </w:tc>
        <w:tc>
          <w:tcPr>
            <w:tcW w:w="2343" w:type="dxa"/>
            <w:tcBorders>
              <w:top w:val="nil"/>
              <w:left w:val="nil"/>
              <w:bottom w:val="single" w:color="FFFFFF" w:sz="8" w:space="0"/>
              <w:right w:val="nil"/>
            </w:tcBorders>
            <w:shd w:val="clear" w:color="auto" w:fill="DCE6F1"/>
            <w:tcMar>
              <w:top w:w="0" w:type="dxa"/>
              <w:left w:w="70" w:type="dxa"/>
              <w:bottom w:w="0" w:type="dxa"/>
              <w:right w:w="70" w:type="dxa"/>
            </w:tcMar>
            <w:hideMark/>
          </w:tcPr>
          <w:p w:rsidRPr="00F31A99" w:rsidR="00F31A99" w:rsidP="00F31A99" w:rsidRDefault="00F31A99" w14:paraId="63B1FE64" w14:textId="77777777">
            <w:pPr>
              <w:autoSpaceDN w:val="0"/>
              <w:spacing w:line="256" w:lineRule="auto"/>
              <w:jc w:val="right"/>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460,938,160.00</w:t>
            </w:r>
          </w:p>
        </w:tc>
      </w:tr>
      <w:tr w:rsidRPr="00F31A99" w:rsidR="00F31A99" w:rsidTr="00A306B2" w14:paraId="2C748421" w14:textId="77777777">
        <w:trPr>
          <w:trHeight w:val="300"/>
          <w:jc w:val="center"/>
        </w:trPr>
        <w:tc>
          <w:tcPr>
            <w:tcW w:w="1200" w:type="dxa"/>
            <w:tcBorders>
              <w:top w:val="nil"/>
              <w:left w:val="nil"/>
              <w:bottom w:val="nil"/>
              <w:right w:val="single" w:color="FFFFFF" w:sz="8" w:space="0"/>
            </w:tcBorders>
            <w:shd w:val="clear" w:color="auto" w:fill="708090"/>
            <w:tcMar>
              <w:top w:w="0" w:type="dxa"/>
              <w:left w:w="70" w:type="dxa"/>
              <w:bottom w:w="0" w:type="dxa"/>
              <w:right w:w="70" w:type="dxa"/>
            </w:tcMar>
            <w:hideMark/>
          </w:tcPr>
          <w:p w:rsidRPr="00F31A99" w:rsidR="00F31A99" w:rsidP="00F31A99" w:rsidRDefault="00F31A99" w14:paraId="49345888" w14:textId="77777777">
            <w:pPr>
              <w:autoSpaceDN w:val="0"/>
              <w:spacing w:line="256" w:lineRule="auto"/>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Total</w:t>
            </w:r>
          </w:p>
        </w:tc>
        <w:tc>
          <w:tcPr>
            <w:tcW w:w="2343" w:type="dxa"/>
            <w:shd w:val="clear" w:color="auto" w:fill="708090"/>
            <w:tcMar>
              <w:top w:w="0" w:type="dxa"/>
              <w:left w:w="70" w:type="dxa"/>
              <w:bottom w:w="0" w:type="dxa"/>
              <w:right w:w="70" w:type="dxa"/>
            </w:tcMar>
            <w:hideMark/>
          </w:tcPr>
          <w:p w:rsidRPr="00F31A99" w:rsidR="00F31A99" w:rsidP="00F31A99" w:rsidRDefault="00F31A99" w14:paraId="78353664" w14:textId="77777777">
            <w:pPr>
              <w:autoSpaceDN w:val="0"/>
              <w:spacing w:line="256" w:lineRule="auto"/>
              <w:jc w:val="right"/>
              <w:rPr>
                <w:rFonts w:ascii="Times New Roman" w:hAnsi="Times New Roman" w:eastAsia="Calibri" w:cs="Times New Roman"/>
                <w:b/>
                <w:bCs/>
                <w:u w:color="000000"/>
                <w:lang w:eastAsia="es-CR"/>
              </w:rPr>
            </w:pPr>
            <w:r w:rsidRPr="00F31A99">
              <w:rPr>
                <w:rFonts w:ascii="Times New Roman" w:hAnsi="Times New Roman" w:eastAsia="Calibri" w:cs="Times New Roman"/>
                <w:b/>
                <w:bCs/>
                <w:u w:color="000000"/>
                <w:lang w:eastAsia="es-CR"/>
              </w:rPr>
              <w:t>21,369,217,089.00</w:t>
            </w:r>
          </w:p>
        </w:tc>
      </w:tr>
    </w:tbl>
    <w:p w:rsidRPr="00F31A99" w:rsidR="00F31A99" w:rsidP="00F31A99" w:rsidRDefault="00F31A99" w14:paraId="0CFDABC0" w14:textId="77777777">
      <w:pPr>
        <w:autoSpaceDE w:val="0"/>
        <w:autoSpaceDN w:val="0"/>
        <w:adjustRightInd w:val="0"/>
        <w:spacing w:line="360" w:lineRule="auto"/>
        <w:jc w:val="center"/>
        <w:rPr>
          <w:rFonts w:ascii="Times New Roman" w:hAnsi="Times New Roman" w:eastAsia="Times New Roman" w:cs="Times New Roman"/>
          <w:sz w:val="28"/>
          <w:szCs w:val="24"/>
          <w:u w:color="000000"/>
          <w:lang w:eastAsia="es-ES"/>
        </w:rPr>
      </w:pPr>
    </w:p>
    <w:p w:rsidRPr="00F31A99" w:rsidR="00F31A99" w:rsidP="00F31A99" w:rsidRDefault="00F31A99" w14:paraId="7AB29C58" w14:textId="77777777">
      <w:pPr>
        <w:autoSpaceDE w:val="0"/>
        <w:autoSpaceDN w:val="0"/>
        <w:adjustRightInd w:val="0"/>
        <w:ind w:left="850" w:firstLine="706"/>
        <w:jc w:val="both"/>
        <w:rPr>
          <w:rFonts w:ascii="Times New Roman" w:hAnsi="Times New Roman" w:eastAsia="Times New Roman" w:cs="Times New Roman"/>
          <w:sz w:val="28"/>
          <w:szCs w:val="24"/>
          <w:u w:color="000000"/>
          <w:lang w:eastAsia="es-ES"/>
        </w:rPr>
      </w:pPr>
      <w:r w:rsidRPr="00F31A99">
        <w:rPr>
          <w:rFonts w:ascii="Times New Roman" w:hAnsi="Times New Roman" w:eastAsia="Times New Roman" w:cs="Times New Roman"/>
          <w:sz w:val="28"/>
          <w:szCs w:val="24"/>
          <w:u w:color="000000"/>
          <w:lang w:eastAsia="es-ES"/>
        </w:rPr>
        <w:t>(…)</w:t>
      </w:r>
    </w:p>
    <w:p w:rsidRPr="00F31A99" w:rsidR="00F31A99" w:rsidP="00F31A99" w:rsidRDefault="00F31A99" w14:paraId="3124D3A1" w14:textId="77777777">
      <w:pPr>
        <w:autoSpaceDE w:val="0"/>
        <w:autoSpaceDN w:val="0"/>
        <w:adjustRightInd w:val="0"/>
        <w:spacing w:line="360" w:lineRule="auto"/>
        <w:jc w:val="center"/>
        <w:rPr>
          <w:rFonts w:ascii="Times New Roman" w:hAnsi="Times New Roman" w:eastAsia="Times New Roman" w:cs="Times New Roman"/>
          <w:sz w:val="28"/>
          <w:szCs w:val="24"/>
          <w:u w:color="000000"/>
          <w:lang w:eastAsia="es-ES"/>
        </w:rPr>
      </w:pPr>
      <w:r w:rsidRPr="00F31A99">
        <w:rPr>
          <w:rFonts w:ascii="Times New Roman" w:hAnsi="Times New Roman" w:eastAsia="Times New Roman" w:cs="Times New Roman"/>
          <w:sz w:val="28"/>
          <w:szCs w:val="24"/>
          <w:u w:color="000000"/>
          <w:lang w:eastAsia="es-ES"/>
        </w:rPr>
        <w:t>- 0 -</w:t>
      </w:r>
    </w:p>
    <w:p w:rsidRPr="00F31A99" w:rsidR="00F31A99" w:rsidP="00F31A99" w:rsidRDefault="00F31A99" w14:paraId="6CD7A479" w14:textId="77777777">
      <w:pPr>
        <w:autoSpaceDN w:val="0"/>
        <w:spacing w:line="480" w:lineRule="auto"/>
        <w:ind w:firstLine="708"/>
        <w:jc w:val="both"/>
        <w:rPr>
          <w:rFonts w:ascii="Times New Roman" w:hAnsi="Times New Roman" w:eastAsia="Calibri" w:cs="Times New Roman"/>
          <w:sz w:val="28"/>
          <w:szCs w:val="28"/>
          <w:u w:color="000000"/>
        </w:rPr>
      </w:pPr>
      <w:r w:rsidRPr="00F31A99">
        <w:rPr>
          <w:rFonts w:ascii="Times New Roman" w:hAnsi="Times New Roman" w:eastAsia="Calibri" w:cs="Times New Roman"/>
          <w:b/>
          <w:bCs/>
          <w:sz w:val="28"/>
          <w:szCs w:val="28"/>
          <w:u w:color="000000"/>
        </w:rPr>
        <w:t>Se acordó:</w:t>
      </w:r>
      <w:r w:rsidRPr="00F31A99">
        <w:rPr>
          <w:rFonts w:ascii="Times New Roman" w:hAnsi="Times New Roman" w:eastAsia="Calibri" w:cs="Times New Roman"/>
          <w:sz w:val="28"/>
          <w:szCs w:val="28"/>
          <w:u w:color="000000"/>
        </w:rPr>
        <w:t xml:space="preserve"> </w:t>
      </w:r>
      <w:r w:rsidRPr="00F31A99">
        <w:rPr>
          <w:rFonts w:ascii="Times New Roman" w:hAnsi="Times New Roman" w:eastAsia="Calibri" w:cs="Times New Roman"/>
          <w:b/>
          <w:bCs/>
          <w:sz w:val="28"/>
          <w:szCs w:val="28"/>
          <w:u w:color="000000"/>
        </w:rPr>
        <w:t>1.)</w:t>
      </w:r>
      <w:r w:rsidRPr="00F31A99">
        <w:rPr>
          <w:rFonts w:ascii="Times New Roman" w:hAnsi="Times New Roman" w:eastAsia="Calibri" w:cs="Times New Roman"/>
          <w:sz w:val="28"/>
          <w:szCs w:val="28"/>
          <w:u w:color="000000"/>
        </w:rPr>
        <w:t xml:space="preserve"> Aprobar el anteproyecto de presupuesto para el ejercicio económico 2022 correspondiente al Salario Escolar, Subpartida 0.03.04, por un monto de ¢21.369.217.089, esto es, igual al formulado para el 2021, considerando los aspectos señalados por la licenciada Roxana Arrieta Meléndez. </w:t>
      </w:r>
      <w:r w:rsidRPr="00F31A99">
        <w:rPr>
          <w:rFonts w:ascii="Times New Roman" w:hAnsi="Times New Roman" w:eastAsia="Calibri" w:cs="Times New Roman"/>
          <w:b/>
          <w:sz w:val="28"/>
          <w:szCs w:val="28"/>
          <w:u w:color="000000"/>
        </w:rPr>
        <w:t>2.)</w:t>
      </w:r>
      <w:r w:rsidRPr="00F31A99">
        <w:rPr>
          <w:rFonts w:ascii="Times New Roman" w:hAnsi="Times New Roman" w:eastAsia="Calibri" w:cs="Times New Roman"/>
          <w:sz w:val="28"/>
          <w:szCs w:val="28"/>
          <w:u w:color="000000"/>
        </w:rPr>
        <w:t xml:space="preserve"> Autorizar a la Dirección de Planificación a actualizar el monto aprobado en caso de que se realice algún ajuste que afecte directamente esta Subpartida. </w:t>
      </w:r>
      <w:r w:rsidRPr="00F31A99">
        <w:rPr>
          <w:rFonts w:ascii="Times New Roman" w:hAnsi="Times New Roman" w:eastAsia="Calibri" w:cs="Times New Roman"/>
          <w:b/>
          <w:bCs/>
          <w:sz w:val="28"/>
          <w:szCs w:val="28"/>
          <w:u w:color="000000"/>
        </w:rPr>
        <w:t>Se declara acuerdo firme.</w:t>
      </w:r>
      <w:r w:rsidRPr="00F31A99">
        <w:rPr>
          <w:rFonts w:ascii="Times New Roman" w:hAnsi="Times New Roman" w:eastAsia="Calibri" w:cs="Times New Roman"/>
          <w:sz w:val="28"/>
          <w:szCs w:val="28"/>
          <w:u w:color="000000"/>
        </w:rPr>
        <w:t xml:space="preserve"> </w:t>
      </w:r>
    </w:p>
    <w:p w:rsidRPr="00F31A99" w:rsidR="00F31A99" w:rsidP="00F31A99" w:rsidRDefault="00F31A99" w14:paraId="27CD9FC2" w14:textId="77777777">
      <w:pPr>
        <w:autoSpaceDN w:val="0"/>
        <w:rPr>
          <w:rFonts w:ascii="Times New Roman" w:hAnsi="Times New Roman" w:eastAsia="Calibri" w:cs="Times New Roman"/>
          <w:b/>
          <w:sz w:val="28"/>
          <w:szCs w:val="28"/>
          <w:u w:color="000000"/>
        </w:rPr>
      </w:pPr>
    </w:p>
    <w:p w:rsidRPr="00F31A99" w:rsidR="00F31A99" w:rsidP="00F31A99" w:rsidRDefault="00F31A99" w14:paraId="16769B3D" w14:textId="3C6E308B">
      <w:pPr>
        <w:keepNext/>
        <w:shd w:val="clear" w:color="auto" w:fill="FFFFFF"/>
        <w:autoSpaceDE w:val="0"/>
        <w:autoSpaceDN w:val="0"/>
        <w:spacing w:line="360" w:lineRule="auto"/>
        <w:jc w:val="center"/>
        <w:outlineLvl w:val="0"/>
        <w:rPr>
          <w:rFonts w:ascii="Times New Roman" w:hAnsi="Times New Roman" w:eastAsia="Times New Roman" w:cs="Times New Roman"/>
          <w:b/>
          <w:bCs/>
          <w:kern w:val="36"/>
          <w:sz w:val="28"/>
          <w:szCs w:val="28"/>
          <w:u w:val="single" w:color="000000"/>
          <w:lang w:eastAsia="es-ES"/>
        </w:rPr>
      </w:pPr>
      <w:r w:rsidRPr="00F31A99">
        <w:rPr>
          <w:rFonts w:ascii="Times New Roman" w:hAnsi="Times New Roman" w:eastAsia="Times New Roman" w:cs="Times New Roman"/>
          <w:b/>
          <w:bCs/>
          <w:kern w:val="36"/>
          <w:sz w:val="28"/>
          <w:szCs w:val="28"/>
          <w:u w:val="single" w:color="000000"/>
          <w:lang w:eastAsia="es-ES"/>
        </w:rPr>
        <w:t>ARTÍCULO III</w:t>
      </w:r>
    </w:p>
    <w:p w:rsidRPr="00F31A99" w:rsidR="00F31A99" w:rsidP="00F31A99" w:rsidRDefault="00F31A99" w14:paraId="1337CDEA" w14:textId="77777777">
      <w:pPr>
        <w:autoSpaceDN w:val="0"/>
        <w:spacing w:line="480" w:lineRule="auto"/>
        <w:jc w:val="both"/>
        <w:rPr>
          <w:rFonts w:ascii="Times New Roman" w:hAnsi="Times New Roman" w:eastAsia="Times New Roman" w:cs="Times New Roman"/>
          <w:b/>
          <w:bCs/>
          <w:sz w:val="28"/>
          <w:szCs w:val="28"/>
          <w:u w:color="000000"/>
          <w:lang w:eastAsia="es-ES"/>
        </w:rPr>
      </w:pPr>
      <w:r w:rsidRPr="00F31A99">
        <w:rPr>
          <w:rFonts w:ascii="Times New Roman" w:hAnsi="Times New Roman" w:eastAsia="Times New Roman" w:cs="Times New Roman"/>
          <w:b/>
          <w:bCs/>
          <w:sz w:val="28"/>
          <w:szCs w:val="28"/>
          <w:u w:color="000000"/>
          <w:lang w:eastAsia="es-ES"/>
        </w:rPr>
        <w:t>Documento N° 3828-2021</w:t>
      </w:r>
    </w:p>
    <w:p w:rsidRPr="00F31A99" w:rsidR="00F31A99" w:rsidP="00F31A99" w:rsidRDefault="00F31A99" w14:paraId="5EE34666" w14:textId="77777777">
      <w:pPr>
        <w:autoSpaceDN w:val="0"/>
        <w:spacing w:line="480" w:lineRule="auto"/>
        <w:ind w:firstLine="708"/>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 xml:space="preserve">En reunión de trabajo del pasado 24 de marzo, la licenciada Nacira Valverde, Directora de Planificación informó que en relación con el acuerdo del Consejo Superior tomado en la sesión 21-2021, artículo VIII, en torno a solicitar </w:t>
      </w:r>
      <w:r w:rsidRPr="00F31A99">
        <w:rPr>
          <w:rFonts w:ascii="Times New Roman" w:hAnsi="Times New Roman" w:eastAsia="Calibri" w:cs="Times New Roman"/>
          <w:sz w:val="28"/>
          <w:szCs w:val="28"/>
          <w:u w:color="000000"/>
        </w:rPr>
        <w:lastRenderedPageBreak/>
        <w:t xml:space="preserve">al Despacho de la Presidencia, coordinar, a la brevedad, una </w:t>
      </w:r>
      <w:r w:rsidRPr="00F31A99">
        <w:rPr>
          <w:rFonts w:ascii="Times New Roman" w:hAnsi="Times New Roman" w:eastAsia="Calibri" w:cs="Times New Roman"/>
          <w:b/>
          <w:bCs/>
          <w:sz w:val="28"/>
          <w:szCs w:val="28"/>
          <w:u w:color="000000"/>
        </w:rPr>
        <w:t>reunión con el Ministerio de Hacienda y la Presidencia de la República</w:t>
      </w:r>
      <w:r w:rsidRPr="00F31A99">
        <w:rPr>
          <w:rFonts w:ascii="Times New Roman" w:hAnsi="Times New Roman" w:eastAsia="Calibri" w:cs="Times New Roman"/>
          <w:sz w:val="28"/>
          <w:szCs w:val="28"/>
          <w:u w:color="000000"/>
        </w:rPr>
        <w:t xml:space="preserve"> para analizar sobre la situación económica y presupuestaria para el Poder Judicial de cara al proceso de formulación presupuestaria del 2022, se tiene que mediante oficio DP-122-2021 del 18 de marzo anterior, el licenciado Roger Mata Brenes, Director del Despacho de la Presidencia informó que la reunión solicitada se programó para este miércoles 24 de marzo, a las 11 a.m. en Casa Presidencial.</w:t>
      </w:r>
    </w:p>
    <w:p w:rsidRPr="00F31A99" w:rsidR="00F31A99" w:rsidP="00F31A99" w:rsidRDefault="00F31A99" w14:paraId="5010A054" w14:textId="77777777">
      <w:pPr>
        <w:autoSpaceDN w:val="0"/>
        <w:spacing w:line="480" w:lineRule="auto"/>
        <w:ind w:firstLine="709"/>
        <w:jc w:val="both"/>
        <w:rPr>
          <w:rFonts w:ascii="Times New Roman" w:hAnsi="Times New Roman" w:eastAsia="Calibri" w:cs="Times New Roman"/>
          <w:sz w:val="28"/>
          <w:szCs w:val="28"/>
          <w:u w:color="000000"/>
        </w:rPr>
      </w:pPr>
      <w:r w:rsidRPr="00F31A99">
        <w:rPr>
          <w:rFonts w:ascii="Times New Roman" w:hAnsi="Times New Roman" w:eastAsia="Calibri" w:cs="Times New Roman"/>
          <w:b/>
          <w:bCs/>
          <w:sz w:val="28"/>
          <w:szCs w:val="28"/>
          <w:u w:color="000000"/>
        </w:rPr>
        <w:t>Se acordó</w:t>
      </w:r>
      <w:r w:rsidRPr="00F31A99">
        <w:rPr>
          <w:rFonts w:ascii="Times New Roman" w:hAnsi="Times New Roman" w:eastAsia="Calibri" w:cs="Times New Roman"/>
          <w:sz w:val="28"/>
          <w:szCs w:val="28"/>
          <w:u w:color="000000"/>
        </w:rPr>
        <w:t>: Tomar nota de los alcances de la reunión sostenida sobre la situación económica y presupuestaria para el Poder Judicial de cara al proceso de formulación presupuestaria del 2022.</w:t>
      </w:r>
      <w:r w:rsidRPr="00F31A99">
        <w:rPr>
          <w:rFonts w:ascii="Times New Roman" w:hAnsi="Times New Roman" w:eastAsia="Calibri" w:cs="Times New Roman"/>
          <w:b/>
          <w:bCs/>
          <w:sz w:val="28"/>
          <w:szCs w:val="28"/>
          <w:u w:color="000000"/>
        </w:rPr>
        <w:t xml:space="preserve"> Se declara acuerdo firme.</w:t>
      </w:r>
    </w:p>
    <w:p w:rsidRPr="00F31A99" w:rsidR="00F31A99" w:rsidP="00F31A99" w:rsidRDefault="00F31A99" w14:paraId="28E39839" w14:textId="6A49162A">
      <w:pPr>
        <w:keepNext/>
        <w:shd w:val="clear" w:color="auto" w:fill="FFFFFF"/>
        <w:autoSpaceDE w:val="0"/>
        <w:autoSpaceDN w:val="0"/>
        <w:spacing w:line="360" w:lineRule="auto"/>
        <w:jc w:val="center"/>
        <w:outlineLvl w:val="0"/>
        <w:rPr>
          <w:rFonts w:ascii="Times New Roman" w:hAnsi="Times New Roman" w:eastAsia="Times New Roman" w:cs="Times New Roman"/>
          <w:b/>
          <w:bCs/>
          <w:kern w:val="36"/>
          <w:sz w:val="32"/>
          <w:szCs w:val="32"/>
          <w:u w:val="single" w:color="000000"/>
          <w:lang w:eastAsia="es-ES"/>
        </w:rPr>
      </w:pPr>
      <w:r w:rsidRPr="00F31A99">
        <w:rPr>
          <w:rFonts w:ascii="Times New Roman" w:hAnsi="Times New Roman" w:eastAsia="Times New Roman" w:cs="Times New Roman"/>
          <w:b/>
          <w:bCs/>
          <w:kern w:val="36"/>
          <w:sz w:val="32"/>
          <w:szCs w:val="32"/>
          <w:u w:val="single" w:color="000000"/>
          <w:lang w:eastAsia="es-ES"/>
        </w:rPr>
        <w:t>ARTÍCULO IV</w:t>
      </w:r>
    </w:p>
    <w:p w:rsidRPr="00F31A99" w:rsidR="00F31A99" w:rsidP="00F31A99" w:rsidRDefault="00F31A99" w14:paraId="781506CB" w14:textId="77777777">
      <w:pPr>
        <w:autoSpaceDN w:val="0"/>
        <w:spacing w:line="480" w:lineRule="auto"/>
        <w:jc w:val="both"/>
        <w:rPr>
          <w:rFonts w:ascii="Times New Roman" w:hAnsi="Times New Roman" w:eastAsia="Times New Roman" w:cs="Times New Roman"/>
          <w:b/>
          <w:bCs/>
          <w:sz w:val="28"/>
          <w:szCs w:val="28"/>
          <w:u w:color="000000"/>
          <w:lang w:eastAsia="es-ES"/>
        </w:rPr>
      </w:pPr>
      <w:r w:rsidRPr="00F31A99">
        <w:rPr>
          <w:rFonts w:ascii="Times New Roman" w:hAnsi="Times New Roman" w:eastAsia="Times New Roman" w:cs="Times New Roman"/>
          <w:b/>
          <w:bCs/>
          <w:sz w:val="28"/>
          <w:szCs w:val="28"/>
          <w:u w:color="000000"/>
          <w:lang w:eastAsia="es-ES"/>
        </w:rPr>
        <w:t>Documento N° 3829-2021</w:t>
      </w:r>
    </w:p>
    <w:p w:rsidRPr="00F31A99" w:rsidR="00F31A99" w:rsidP="00F31A99" w:rsidRDefault="00F31A99" w14:paraId="59B2966D" w14:textId="77777777">
      <w:pPr>
        <w:shd w:val="clear" w:color="auto" w:fill="FFFFFF"/>
        <w:autoSpaceDE w:val="0"/>
        <w:autoSpaceDN w:val="0"/>
        <w:spacing w:line="480" w:lineRule="auto"/>
        <w:ind w:firstLine="708"/>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En reunión de trabajo del pasado 24 de marzo, la licenciada Nacira Valverde</w:t>
      </w:r>
      <w:r w:rsidRPr="00F31A99">
        <w:rPr>
          <w:rFonts w:ascii="Times New Roman" w:hAnsi="Times New Roman" w:eastAsia="Calibri" w:cs="Times New Roman"/>
          <w:sz w:val="28"/>
          <w:szCs w:val="28"/>
          <w:u w:color="000000"/>
          <w:shd w:val="clear" w:color="auto" w:fill="FFFFFF"/>
        </w:rPr>
        <w:t xml:space="preserve">, Directora de Planificación informó que en el artículo XVI de la sesión 21-2021 del Consejo Superior Presupuesto 2022, del pasado 12 de marzo, al conocerse el </w:t>
      </w:r>
      <w:r w:rsidRPr="00F31A99">
        <w:rPr>
          <w:rFonts w:ascii="Times New Roman" w:hAnsi="Times New Roman" w:eastAsia="Calibri" w:cs="Times New Roman"/>
          <w:sz w:val="28"/>
          <w:szCs w:val="28"/>
          <w:u w:color="000000"/>
        </w:rPr>
        <w:t>Anteproyecto de Presupuesto y el Plan Anual Operativo 2022 correspondiente al Área de Construcciones, se dispuso, entre otros, lo siguiente:</w:t>
      </w:r>
    </w:p>
    <w:p w:rsidRPr="00F31A99" w:rsidR="00F31A99" w:rsidP="00F31A99" w:rsidRDefault="00F31A99" w14:paraId="3341B707" w14:textId="77777777">
      <w:pPr>
        <w:autoSpaceDN w:val="0"/>
        <w:ind w:left="851" w:right="851" w:firstLine="709"/>
        <w:jc w:val="both"/>
        <w:rPr>
          <w:rFonts w:ascii="Times New Roman" w:hAnsi="Times New Roman" w:eastAsia="Calibri" w:cs="Times New Roman"/>
          <w:i/>
          <w:iCs/>
          <w:sz w:val="26"/>
          <w:szCs w:val="26"/>
          <w:u w:color="000000"/>
        </w:rPr>
      </w:pPr>
      <w:bookmarkStart w:name="_Hlk64018900" w:id="3"/>
      <w:bookmarkStart w:name="_MailOriginal" w:id="4"/>
      <w:bookmarkEnd w:id="3"/>
      <w:r w:rsidRPr="00F31A99">
        <w:rPr>
          <w:rFonts w:ascii="Times New Roman" w:hAnsi="Times New Roman" w:eastAsia="Calibri" w:cs="Times New Roman"/>
          <w:b/>
          <w:bCs/>
          <w:i/>
          <w:iCs/>
          <w:sz w:val="26"/>
          <w:szCs w:val="26"/>
          <w:u w:color="000000"/>
        </w:rPr>
        <w:t>“Se acordó</w:t>
      </w:r>
      <w:r w:rsidRPr="00F31A99">
        <w:rPr>
          <w:rFonts w:ascii="Times New Roman" w:hAnsi="Times New Roman" w:eastAsia="Calibri" w:cs="Times New Roman"/>
          <w:i/>
          <w:iCs/>
          <w:sz w:val="26"/>
          <w:szCs w:val="26"/>
          <w:u w:color="000000"/>
        </w:rPr>
        <w:t xml:space="preserve">: (…) 4) Con respecto a los recursos solicitados por la Administración Regional de Puntarenas como requerimientos operativos adicionales por la suma de ¢1.584.959.249, se dispone solicitar a la Dirección Ejecutiva un escenario alternativo que </w:t>
      </w:r>
      <w:r w:rsidRPr="00F31A99">
        <w:rPr>
          <w:rFonts w:ascii="Times New Roman" w:hAnsi="Times New Roman" w:eastAsia="Calibri" w:cs="Times New Roman"/>
          <w:i/>
          <w:iCs/>
          <w:sz w:val="26"/>
          <w:szCs w:val="26"/>
          <w:u w:color="000000"/>
        </w:rPr>
        <w:lastRenderedPageBreak/>
        <w:t>permita incorporar este requerimiento como parte del presupuesto del Área de Construcciones.</w:t>
      </w:r>
    </w:p>
    <w:bookmarkEnd w:id="4"/>
    <w:p w:rsidRPr="00F31A99" w:rsidR="00F31A99" w:rsidP="00F31A99" w:rsidRDefault="00F31A99" w14:paraId="7B1762CD" w14:textId="77777777">
      <w:pPr>
        <w:shd w:val="clear" w:color="auto" w:fill="FFFFFF"/>
        <w:autoSpaceDE w:val="0"/>
        <w:autoSpaceDN w:val="0"/>
        <w:ind w:left="851" w:right="851" w:firstLine="709"/>
        <w:jc w:val="both"/>
        <w:rPr>
          <w:rFonts w:ascii="Times New Roman" w:hAnsi="Times New Roman" w:eastAsia="Calibri" w:cs="Times New Roman"/>
          <w:sz w:val="26"/>
          <w:szCs w:val="26"/>
          <w:u w:color="000000"/>
          <w:shd w:val="clear" w:color="auto" w:fill="FFFFFF"/>
        </w:rPr>
      </w:pPr>
    </w:p>
    <w:p w:rsidRPr="00F31A99" w:rsidR="00F31A99" w:rsidP="00F31A99" w:rsidRDefault="00F31A99" w14:paraId="4B365BD1" w14:textId="77777777">
      <w:pPr>
        <w:shd w:val="clear" w:color="auto" w:fill="FFFFFF"/>
        <w:autoSpaceDE w:val="0"/>
        <w:autoSpaceDN w:val="0"/>
        <w:ind w:left="851" w:right="851" w:firstLine="709"/>
        <w:jc w:val="both"/>
        <w:rPr>
          <w:rFonts w:ascii="Times New Roman" w:hAnsi="Times New Roman" w:eastAsia="Calibri" w:cs="Times New Roman"/>
          <w:sz w:val="26"/>
          <w:szCs w:val="26"/>
          <w:u w:color="000000"/>
          <w:shd w:val="clear" w:color="auto" w:fill="FFFFFF"/>
        </w:rPr>
      </w:pPr>
      <w:r w:rsidRPr="00F31A99">
        <w:rPr>
          <w:rFonts w:ascii="Times New Roman" w:hAnsi="Times New Roman" w:eastAsia="Calibri" w:cs="Times New Roman"/>
          <w:sz w:val="26"/>
          <w:szCs w:val="26"/>
          <w:u w:color="000000"/>
          <w:shd w:val="clear" w:color="auto" w:fill="FFFFFF"/>
        </w:rPr>
        <w:t>Con posterioridad al envío de la agenda, la Máster. Ana Romero, Directora Ejecutiva mediante correo electrónico de este 24 de marzo, remitió el oficio 962-DE-2021, en el cual se presentan tres posibles escenarios, que contemplan disponer de parte o la totalidad de los recursos, incorporarlos al proyecto de presupuesto 2022 y trasladarlos al Fideicomiso, para destinarlos al proyecto de Tribunales de Puntarenas.</w:t>
      </w:r>
    </w:p>
    <w:p w:rsidRPr="00F31A99" w:rsidR="00F31A99" w:rsidP="00F31A99" w:rsidRDefault="00F31A99" w14:paraId="7F6D38D0" w14:textId="77777777">
      <w:pPr>
        <w:shd w:val="clear" w:color="auto" w:fill="FFFFFF"/>
        <w:autoSpaceDE w:val="0"/>
        <w:autoSpaceDN w:val="0"/>
        <w:ind w:left="851" w:firstLine="709"/>
        <w:jc w:val="both"/>
        <w:rPr>
          <w:rFonts w:ascii="Times New Roman" w:hAnsi="Times New Roman" w:eastAsia="Calibri" w:cs="Times New Roman"/>
          <w:sz w:val="26"/>
          <w:szCs w:val="26"/>
          <w:u w:color="000000"/>
          <w:shd w:val="clear" w:color="auto" w:fill="FFFFFF"/>
        </w:rPr>
      </w:pPr>
    </w:p>
    <w:p w:rsidRPr="00F31A99" w:rsidR="00F31A99" w:rsidP="00F31A99" w:rsidRDefault="00F31A99" w14:paraId="1C29863D" w14:textId="77777777">
      <w:pPr>
        <w:shd w:val="clear" w:color="auto" w:fill="FFFFFF"/>
        <w:autoSpaceDE w:val="0"/>
        <w:autoSpaceDN w:val="0"/>
        <w:spacing w:line="480" w:lineRule="auto"/>
        <w:jc w:val="center"/>
        <w:rPr>
          <w:rFonts w:ascii="Times New Roman" w:hAnsi="Times New Roman" w:eastAsia="Calibri" w:cs="Times New Roman"/>
          <w:sz w:val="28"/>
          <w:szCs w:val="28"/>
          <w:u w:color="000000"/>
          <w:shd w:val="clear" w:color="auto" w:fill="FFFFFF"/>
        </w:rPr>
      </w:pPr>
      <w:r w:rsidRPr="00F31A99">
        <w:rPr>
          <w:rFonts w:ascii="Times New Roman" w:hAnsi="Times New Roman" w:eastAsia="Calibri" w:cs="Times New Roman"/>
          <w:sz w:val="28"/>
          <w:szCs w:val="28"/>
          <w:u w:color="000000"/>
          <w:shd w:val="clear" w:color="auto" w:fill="FFFFFF"/>
        </w:rPr>
        <w:object w:dxaOrig="1520" w:dyaOrig="970" w14:anchorId="5A58E5B3">
          <v:shape id="_x0000_i1593" style="width:76.4pt;height:48.2pt" o:ole="" type="#_x0000_t75">
            <v:imagedata o:title="" r:id="rId32"/>
          </v:shape>
          <o:OLEObject Type="Embed" ProgID="AcroExch.Document.DC" ShapeID="_x0000_i1593" DrawAspect="Icon" ObjectID="_1681900449" r:id="rId33"/>
        </w:object>
      </w:r>
    </w:p>
    <w:p w:rsidRPr="00F31A99" w:rsidR="00F31A99" w:rsidP="00F31A99" w:rsidRDefault="00F31A99" w14:paraId="000FA39D" w14:textId="77777777">
      <w:pPr>
        <w:autoSpaceDE w:val="0"/>
        <w:autoSpaceDN w:val="0"/>
        <w:adjustRightInd w:val="0"/>
        <w:spacing w:line="360" w:lineRule="auto"/>
        <w:jc w:val="center"/>
        <w:rPr>
          <w:rFonts w:ascii="Times New Roman" w:hAnsi="Times New Roman" w:eastAsia="Times New Roman" w:cs="Times New Roman"/>
          <w:sz w:val="28"/>
          <w:szCs w:val="24"/>
          <w:u w:color="000000"/>
          <w:lang w:eastAsia="es-ES"/>
        </w:rPr>
      </w:pPr>
      <w:r w:rsidRPr="00F31A99">
        <w:rPr>
          <w:rFonts w:ascii="Times New Roman" w:hAnsi="Times New Roman" w:eastAsia="Times New Roman" w:cs="Times New Roman"/>
          <w:sz w:val="28"/>
          <w:szCs w:val="24"/>
          <w:u w:color="000000"/>
          <w:lang w:eastAsia="es-ES"/>
        </w:rPr>
        <w:t>- 0 -</w:t>
      </w:r>
    </w:p>
    <w:p w:rsidRPr="00F31A99" w:rsidR="00F31A99" w:rsidP="00F31A99" w:rsidRDefault="00F31A99" w14:paraId="73045C27" w14:textId="77777777">
      <w:pPr>
        <w:autoSpaceDN w:val="0"/>
        <w:spacing w:line="480" w:lineRule="auto"/>
        <w:ind w:firstLine="708"/>
        <w:jc w:val="both"/>
        <w:rPr>
          <w:rFonts w:ascii="Times New Roman" w:hAnsi="Times New Roman" w:eastAsia="Calibri" w:cs="Times New Roman"/>
          <w:b/>
          <w:bCs/>
          <w:sz w:val="28"/>
          <w:szCs w:val="28"/>
          <w:u w:color="000000"/>
        </w:rPr>
      </w:pPr>
      <w:r w:rsidRPr="00F31A99">
        <w:rPr>
          <w:rFonts w:ascii="Times New Roman" w:hAnsi="Times New Roman" w:eastAsia="Calibri" w:cs="Times New Roman"/>
          <w:b/>
          <w:bCs/>
          <w:sz w:val="28"/>
          <w:szCs w:val="28"/>
          <w:u w:color="000000"/>
        </w:rPr>
        <w:t>Se acordó</w:t>
      </w:r>
      <w:r w:rsidRPr="00F31A99">
        <w:rPr>
          <w:rFonts w:ascii="Times New Roman" w:hAnsi="Times New Roman" w:eastAsia="Calibri" w:cs="Times New Roman"/>
          <w:sz w:val="28"/>
          <w:szCs w:val="28"/>
          <w:u w:color="000000"/>
        </w:rPr>
        <w:t xml:space="preserve">: Tomar nota del oficio presentado por la Dirección Ejecutiva y quedar a la espera de la comunicación que emitirá el Ministerio de Hacienda, para valorar la posibilidad de incorporar o no en el presupuesto 2022 las sumas propuestas por la Dirección Ejecutiva, las cuales se dirigirán al Fideicomiso Inmobiliario PJ-BCR 2015, específicamente para disminuir la cuota de arrendamiento operativo. De prosperar la propuesta, los recursos se incluirán en el presupuesto de la Comisión de Construcciones. </w:t>
      </w:r>
      <w:r w:rsidRPr="00F31A99">
        <w:rPr>
          <w:rFonts w:ascii="Times New Roman" w:hAnsi="Times New Roman" w:eastAsia="Calibri" w:cs="Times New Roman"/>
          <w:b/>
          <w:bCs/>
          <w:sz w:val="28"/>
          <w:szCs w:val="28"/>
          <w:u w:color="000000"/>
        </w:rPr>
        <w:t>Se declara acuerdo firme.</w:t>
      </w:r>
    </w:p>
    <w:p w:rsidRPr="00F31A99" w:rsidR="00F31A99" w:rsidP="00F31A99" w:rsidRDefault="00F31A99" w14:paraId="09504520" w14:textId="10E44904">
      <w:pPr>
        <w:keepNext/>
        <w:shd w:val="clear" w:color="auto" w:fill="FFFFFF"/>
        <w:autoSpaceDE w:val="0"/>
        <w:autoSpaceDN w:val="0"/>
        <w:spacing w:line="360" w:lineRule="auto"/>
        <w:jc w:val="center"/>
        <w:outlineLvl w:val="0"/>
        <w:rPr>
          <w:rFonts w:ascii="Times New Roman" w:hAnsi="Times New Roman" w:eastAsia="Times New Roman" w:cs="Times New Roman"/>
          <w:b/>
          <w:bCs/>
          <w:kern w:val="36"/>
          <w:sz w:val="36"/>
          <w:szCs w:val="36"/>
          <w:u w:val="single" w:color="000000"/>
          <w:lang w:eastAsia="es-ES"/>
        </w:rPr>
      </w:pPr>
      <w:r w:rsidRPr="00F31A99">
        <w:rPr>
          <w:rFonts w:ascii="Times New Roman" w:hAnsi="Times New Roman" w:eastAsia="Times New Roman" w:cs="Times New Roman"/>
          <w:b/>
          <w:bCs/>
          <w:kern w:val="36"/>
          <w:sz w:val="36"/>
          <w:szCs w:val="36"/>
          <w:u w:val="single" w:color="000000"/>
          <w:lang w:eastAsia="es-ES"/>
        </w:rPr>
        <w:t>ARTÍCULO V</w:t>
      </w:r>
    </w:p>
    <w:p w:rsidRPr="00F31A99" w:rsidR="00F31A99" w:rsidP="00F31A99" w:rsidRDefault="00F31A99" w14:paraId="67788E9A" w14:textId="77777777">
      <w:pPr>
        <w:autoSpaceDN w:val="0"/>
        <w:rPr>
          <w:rFonts w:ascii="Times New Roman" w:hAnsi="Times New Roman" w:eastAsia="Times New Roman" w:cs="Times New Roman"/>
          <w:b/>
          <w:bCs/>
          <w:kern w:val="36"/>
          <w:u w:val="single" w:color="000000"/>
        </w:rPr>
      </w:pPr>
    </w:p>
    <w:p w:rsidRPr="00F31A99" w:rsidR="00F31A99" w:rsidP="00F31A99" w:rsidRDefault="00F31A99" w14:paraId="65128313" w14:textId="77777777">
      <w:pPr>
        <w:autoSpaceDN w:val="0"/>
        <w:spacing w:line="480" w:lineRule="auto"/>
        <w:jc w:val="both"/>
        <w:rPr>
          <w:rFonts w:ascii="Times New Roman" w:hAnsi="Times New Roman" w:eastAsia="Times New Roman" w:cs="Times New Roman"/>
          <w:b/>
          <w:bCs/>
          <w:sz w:val="28"/>
          <w:szCs w:val="28"/>
          <w:u w:color="000000"/>
          <w:lang w:eastAsia="es-ES"/>
        </w:rPr>
      </w:pPr>
      <w:r w:rsidRPr="00F31A99">
        <w:rPr>
          <w:rFonts w:ascii="Times New Roman" w:hAnsi="Times New Roman" w:eastAsia="Times New Roman" w:cs="Times New Roman"/>
          <w:b/>
          <w:bCs/>
          <w:sz w:val="28"/>
          <w:szCs w:val="28"/>
          <w:u w:color="000000"/>
          <w:lang w:eastAsia="es-ES"/>
        </w:rPr>
        <w:t>Documento N° 3830-2021</w:t>
      </w:r>
    </w:p>
    <w:p w:rsidRPr="00F31A99" w:rsidR="00F31A99" w:rsidP="00F31A99" w:rsidRDefault="00F31A99" w14:paraId="123B60D3" w14:textId="77777777">
      <w:pPr>
        <w:shd w:val="clear" w:color="auto" w:fill="FFFFFF"/>
        <w:autoSpaceDE w:val="0"/>
        <w:autoSpaceDN w:val="0"/>
        <w:spacing w:line="480" w:lineRule="auto"/>
        <w:ind w:firstLine="708"/>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En reunión de trabajo del pasado 24 de marzo, la licenciada Nacira Valverde</w:t>
      </w:r>
      <w:r w:rsidRPr="00F31A99">
        <w:rPr>
          <w:rFonts w:ascii="Times New Roman" w:hAnsi="Times New Roman" w:eastAsia="Calibri" w:cs="Times New Roman"/>
          <w:sz w:val="28"/>
          <w:szCs w:val="28"/>
          <w:u w:color="000000"/>
          <w:shd w:val="clear" w:color="auto" w:fill="FFFFFF"/>
        </w:rPr>
        <w:t xml:space="preserve">, Directora de Planificación informó que en el artículo XV de la sesión </w:t>
      </w:r>
      <w:r w:rsidRPr="00F31A99">
        <w:rPr>
          <w:rFonts w:ascii="Times New Roman" w:hAnsi="Times New Roman" w:eastAsia="Calibri" w:cs="Times New Roman"/>
          <w:sz w:val="28"/>
          <w:szCs w:val="28"/>
          <w:u w:color="000000"/>
          <w:shd w:val="clear" w:color="auto" w:fill="FFFFFF"/>
        </w:rPr>
        <w:lastRenderedPageBreak/>
        <w:t xml:space="preserve">21-2021 del Consejo Superior Presupuesto 2022, del pasado 12 de marzo, al conocerse el </w:t>
      </w:r>
      <w:r w:rsidRPr="00F31A99">
        <w:rPr>
          <w:rFonts w:ascii="Times New Roman" w:hAnsi="Times New Roman" w:eastAsia="Calibri" w:cs="Times New Roman"/>
          <w:sz w:val="28"/>
          <w:szCs w:val="28"/>
          <w:u w:color="000000"/>
        </w:rPr>
        <w:t>Anteproyecto de Presupuesto y el Plan Anual Operativo 2022 correspondiente al Área de Informática, se dispuso, entre otros, lo siguiente:</w:t>
      </w:r>
    </w:p>
    <w:p w:rsidRPr="00F31A99" w:rsidR="00F31A99" w:rsidP="00F31A99" w:rsidRDefault="00F31A99" w14:paraId="0AFE27DE" w14:textId="77777777">
      <w:pPr>
        <w:autoSpaceDN w:val="0"/>
        <w:ind w:left="851" w:right="851" w:firstLine="709"/>
        <w:jc w:val="both"/>
        <w:rPr>
          <w:rFonts w:ascii="Times New Roman" w:hAnsi="Times New Roman" w:eastAsia="Calibri" w:cs="Times New Roman"/>
          <w:i/>
          <w:iCs/>
          <w:sz w:val="26"/>
          <w:szCs w:val="26"/>
          <w:u w:color="000000"/>
        </w:rPr>
      </w:pPr>
      <w:r w:rsidRPr="00F31A99">
        <w:rPr>
          <w:rFonts w:ascii="Times New Roman" w:hAnsi="Times New Roman" w:eastAsia="Calibri" w:cs="Times New Roman"/>
          <w:b/>
          <w:bCs/>
          <w:i/>
          <w:iCs/>
          <w:sz w:val="26"/>
          <w:szCs w:val="26"/>
          <w:u w:color="000000"/>
        </w:rPr>
        <w:t>“Se acordó:</w:t>
      </w:r>
      <w:r w:rsidRPr="00F31A99">
        <w:rPr>
          <w:rFonts w:ascii="Times New Roman" w:hAnsi="Times New Roman" w:eastAsia="Calibri" w:cs="Times New Roman"/>
          <w:i/>
          <w:iCs/>
          <w:sz w:val="26"/>
          <w:szCs w:val="26"/>
          <w:u w:color="000000"/>
        </w:rPr>
        <w:t xml:space="preserve"> </w:t>
      </w:r>
      <w:r w:rsidRPr="00F31A99">
        <w:rPr>
          <w:rFonts w:ascii="Times New Roman" w:hAnsi="Times New Roman" w:eastAsia="Calibri" w:cs="Times New Roman"/>
          <w:b/>
          <w:bCs/>
          <w:i/>
          <w:iCs/>
          <w:sz w:val="26"/>
          <w:szCs w:val="26"/>
          <w:u w:color="000000"/>
        </w:rPr>
        <w:t>(…)</w:t>
      </w:r>
    </w:p>
    <w:p w:rsidRPr="00F31A99" w:rsidR="00F31A99" w:rsidP="00F31A99" w:rsidRDefault="00F31A99" w14:paraId="534C1F60" w14:textId="77777777">
      <w:pPr>
        <w:autoSpaceDN w:val="0"/>
        <w:ind w:left="851" w:right="851" w:firstLine="709"/>
        <w:jc w:val="both"/>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t>2) En línea con lo anterior, solicitar a la Dirección de Tecnología de la Información, plantear dos escenarios alternativos al presentado, un escenario A (mismo monto 2021, crecimiento Cero) y un escenario B (escenario al -4%), diferenciando en ambos escenarios el presupuesto entre gasto corriente y gasto de capital, para presentar en la próxima reunión de trabajo del Consejo Superior prevista para el 26 de marzo de 2021.</w:t>
      </w:r>
    </w:p>
    <w:p w:rsidRPr="00F31A99" w:rsidR="00F31A99" w:rsidP="00F31A99" w:rsidRDefault="00F31A99" w14:paraId="2A5C9AC4" w14:textId="77777777">
      <w:pPr>
        <w:autoSpaceDN w:val="0"/>
        <w:ind w:left="851" w:right="851" w:firstLine="709"/>
        <w:jc w:val="both"/>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t xml:space="preserve">3) Solicitar a la Dirección de Tecnología valorar en conjunto con la Dirección Ejecutiva, la posibilidad de adquirir equipos en este 2021 a través del Fondo de Emergencia, amparados al decreto ejecutivo de emergencia producto de la pandemia producto del CIVID-19. </w:t>
      </w:r>
    </w:p>
    <w:p w:rsidRPr="00F31A99" w:rsidR="00F31A99" w:rsidP="00F31A99" w:rsidRDefault="00F31A99" w14:paraId="3DAA1277" w14:textId="77777777">
      <w:pPr>
        <w:autoSpaceDN w:val="0"/>
        <w:ind w:left="851" w:right="851" w:firstLine="709"/>
        <w:jc w:val="both"/>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t xml:space="preserve">4) En cuanto a los requerimientos adicionales solicitados por la Dirección de Tecnología de la Información por ¢50.850.000 para sistemas de control de acceso para los cuartos de comunicación, por tratarse de recomendaciones de la Auditoría Judicial, solicitar a la Dirección de Tecnología de previo a su incorporación como parte del presupuesto del Área de Seguridad, la información a partir de cuándo se debe cumplir lo indicado. </w:t>
      </w:r>
    </w:p>
    <w:p w:rsidRPr="00F31A99" w:rsidR="00F31A99" w:rsidP="00F31A99" w:rsidRDefault="00F31A99" w14:paraId="40934116" w14:textId="77777777">
      <w:pPr>
        <w:autoSpaceDN w:val="0"/>
        <w:ind w:left="851" w:right="851" w:firstLine="709"/>
        <w:jc w:val="both"/>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t xml:space="preserve">5) Solicitar a la Dirección de Tecnología de la Información atender las observaciones y cambios que correspondan, en cuanto a las observaciones realizadas en los proyectos, recursos incluidos en el Sistema de Proyección Plurianual y recursos formulados en el anteproyecto de presupuesto del Área de Informática 2022, concretamente: </w:t>
      </w:r>
    </w:p>
    <w:p w:rsidRPr="00F31A99" w:rsidR="00F31A99" w:rsidP="00F31A99" w:rsidRDefault="00F31A99" w14:paraId="6C34CB5F" w14:textId="77777777">
      <w:pPr>
        <w:numPr>
          <w:ilvl w:val="0"/>
          <w:numId w:val="2"/>
        </w:numPr>
        <w:autoSpaceDN w:val="0"/>
        <w:ind w:left="851" w:right="851" w:firstLine="709"/>
        <w:contextualSpacing/>
        <w:jc w:val="both"/>
        <w:rPr>
          <w:rFonts w:ascii="Times New Roman" w:hAnsi="Times New Roman" w:eastAsia="Times New Roman" w:cs="Times New Roman"/>
          <w:i/>
          <w:iCs/>
          <w:sz w:val="26"/>
          <w:szCs w:val="26"/>
          <w:u w:color="000000"/>
          <w:lang w:eastAsia="es-ES"/>
        </w:rPr>
      </w:pPr>
      <w:r w:rsidRPr="00F31A99">
        <w:rPr>
          <w:rFonts w:ascii="Times New Roman" w:hAnsi="Times New Roman" w:eastAsia="Times New Roman" w:cs="Times New Roman"/>
          <w:i/>
          <w:iCs/>
          <w:sz w:val="26"/>
          <w:szCs w:val="26"/>
          <w:u w:color="000000"/>
          <w:lang w:eastAsia="es-ES"/>
        </w:rPr>
        <w:t xml:space="preserve">Revisar los proyectos que tienen recursos formulados en el Sistema de Proyección Plurianual y en el anteproyecto de presupuesto del Área de Informática 2022, pero los montos no coinciden. </w:t>
      </w:r>
    </w:p>
    <w:p w:rsidRPr="00F31A99" w:rsidR="00F31A99" w:rsidP="00F31A99" w:rsidRDefault="00F31A99" w14:paraId="406AE84F" w14:textId="77777777">
      <w:pPr>
        <w:numPr>
          <w:ilvl w:val="0"/>
          <w:numId w:val="2"/>
        </w:numPr>
        <w:autoSpaceDN w:val="0"/>
        <w:ind w:left="851" w:right="851" w:firstLine="709"/>
        <w:contextualSpacing/>
        <w:jc w:val="both"/>
        <w:rPr>
          <w:rFonts w:ascii="Times New Roman" w:hAnsi="Times New Roman" w:eastAsia="Times New Roman" w:cs="Times New Roman"/>
          <w:i/>
          <w:iCs/>
          <w:sz w:val="26"/>
          <w:szCs w:val="26"/>
          <w:u w:color="000000"/>
          <w:lang w:eastAsia="es-ES"/>
        </w:rPr>
      </w:pPr>
      <w:r w:rsidRPr="00F31A99">
        <w:rPr>
          <w:rFonts w:ascii="Times New Roman" w:hAnsi="Times New Roman" w:eastAsia="Times New Roman" w:cs="Times New Roman"/>
          <w:i/>
          <w:iCs/>
          <w:sz w:val="26"/>
          <w:szCs w:val="26"/>
          <w:u w:color="000000"/>
          <w:lang w:eastAsia="es-ES"/>
        </w:rPr>
        <w:t>Revisar los proyectos que tienen recursos formulados en el Sistema de Proyección Plurianual, pero no se incorporaron en el anteproyecto de presupuesto del Área de Informática 2022.</w:t>
      </w:r>
    </w:p>
    <w:p w:rsidRPr="00F31A99" w:rsidR="00F31A99" w:rsidP="00F31A99" w:rsidRDefault="00F31A99" w14:paraId="605EEEA5" w14:textId="77777777">
      <w:pPr>
        <w:numPr>
          <w:ilvl w:val="0"/>
          <w:numId w:val="2"/>
        </w:numPr>
        <w:autoSpaceDN w:val="0"/>
        <w:ind w:left="851" w:right="851" w:firstLine="709"/>
        <w:contextualSpacing/>
        <w:jc w:val="both"/>
        <w:rPr>
          <w:rFonts w:ascii="Times New Roman" w:hAnsi="Times New Roman" w:eastAsia="Times New Roman" w:cs="Times New Roman"/>
          <w:i/>
          <w:iCs/>
          <w:sz w:val="26"/>
          <w:szCs w:val="26"/>
          <w:u w:color="000000"/>
          <w:lang w:eastAsia="es-ES"/>
        </w:rPr>
      </w:pPr>
      <w:r w:rsidRPr="00F31A99">
        <w:rPr>
          <w:rFonts w:ascii="Times New Roman" w:hAnsi="Times New Roman" w:eastAsia="Times New Roman" w:cs="Times New Roman"/>
          <w:i/>
          <w:iCs/>
          <w:sz w:val="26"/>
          <w:szCs w:val="26"/>
          <w:u w:color="000000"/>
          <w:lang w:eastAsia="es-ES"/>
        </w:rPr>
        <w:lastRenderedPageBreak/>
        <w:t>Revisar los proyectos que se encuentran en el portafolio de proyectos institucionales, pero no se muestran recursos en el Sistema de Proyección Plurianual y tampoco en el anteproyecto de presupuesto del Área de Informática 2022.</w:t>
      </w:r>
    </w:p>
    <w:p w:rsidRPr="00F31A99" w:rsidR="00F31A99" w:rsidP="00F31A99" w:rsidRDefault="00F31A99" w14:paraId="34F628E0" w14:textId="77777777">
      <w:pPr>
        <w:numPr>
          <w:ilvl w:val="0"/>
          <w:numId w:val="2"/>
        </w:numPr>
        <w:autoSpaceDN w:val="0"/>
        <w:ind w:left="851" w:right="851" w:firstLine="709"/>
        <w:contextualSpacing/>
        <w:jc w:val="both"/>
        <w:rPr>
          <w:rFonts w:ascii="Times New Roman" w:hAnsi="Times New Roman" w:eastAsia="Times New Roman" w:cs="Times New Roman"/>
          <w:i/>
          <w:iCs/>
          <w:sz w:val="26"/>
          <w:szCs w:val="26"/>
          <w:u w:color="000000"/>
          <w:lang w:eastAsia="es-ES"/>
        </w:rPr>
      </w:pPr>
      <w:r w:rsidRPr="00F31A99">
        <w:rPr>
          <w:rFonts w:ascii="Times New Roman" w:hAnsi="Times New Roman" w:eastAsia="Times New Roman" w:cs="Times New Roman"/>
          <w:i/>
          <w:iCs/>
          <w:sz w:val="26"/>
          <w:szCs w:val="26"/>
          <w:u w:color="000000"/>
          <w:lang w:eastAsia="es-ES"/>
        </w:rPr>
        <w:t>Revisar los proyectos que tienen finalización en el 2021 y tienen recursos formulados en el anteproyecto de presupuesto del Área de Informática 2022.</w:t>
      </w:r>
    </w:p>
    <w:p w:rsidRPr="00F31A99" w:rsidR="00F31A99" w:rsidP="00F31A99" w:rsidRDefault="00F31A99" w14:paraId="628AF9A8" w14:textId="77777777">
      <w:pPr>
        <w:numPr>
          <w:ilvl w:val="0"/>
          <w:numId w:val="2"/>
        </w:numPr>
        <w:autoSpaceDN w:val="0"/>
        <w:ind w:left="851" w:right="851" w:firstLine="709"/>
        <w:contextualSpacing/>
        <w:jc w:val="both"/>
        <w:rPr>
          <w:rFonts w:ascii="Times New Roman" w:hAnsi="Times New Roman" w:eastAsia="Times New Roman" w:cs="Times New Roman"/>
          <w:i/>
          <w:iCs/>
          <w:sz w:val="26"/>
          <w:szCs w:val="26"/>
          <w:u w:color="000000"/>
          <w:lang w:eastAsia="es-ES"/>
        </w:rPr>
      </w:pPr>
      <w:r w:rsidRPr="00F31A99">
        <w:rPr>
          <w:rFonts w:ascii="Times New Roman" w:hAnsi="Times New Roman" w:eastAsia="Times New Roman" w:cs="Times New Roman"/>
          <w:i/>
          <w:iCs/>
          <w:sz w:val="26"/>
          <w:szCs w:val="26"/>
          <w:u w:color="000000"/>
          <w:lang w:eastAsia="es-ES"/>
        </w:rPr>
        <w:t>Revisar lo solicitado para el proyecto 0122-DTI-P13 Fortalecimiento del SDJ y Acceso en Línea Banco de Costa Rica, por cuanto se suspendió a partir del 2021 debido al retiro del recurso humano.</w:t>
      </w:r>
    </w:p>
    <w:p w:rsidRPr="00F31A99" w:rsidR="00F31A99" w:rsidP="00F31A99" w:rsidRDefault="00F31A99" w14:paraId="08988B89" w14:textId="77777777">
      <w:pPr>
        <w:numPr>
          <w:ilvl w:val="0"/>
          <w:numId w:val="2"/>
        </w:numPr>
        <w:autoSpaceDN w:val="0"/>
        <w:ind w:left="851" w:right="851" w:firstLine="709"/>
        <w:contextualSpacing/>
        <w:jc w:val="both"/>
        <w:rPr>
          <w:rFonts w:ascii="Times New Roman" w:hAnsi="Times New Roman" w:eastAsia="Times New Roman" w:cs="Times New Roman"/>
          <w:i/>
          <w:iCs/>
          <w:sz w:val="26"/>
          <w:szCs w:val="26"/>
          <w:u w:color="000000"/>
          <w:lang w:eastAsia="es-ES"/>
        </w:rPr>
      </w:pPr>
      <w:r w:rsidRPr="00F31A99">
        <w:rPr>
          <w:rFonts w:ascii="Times New Roman" w:hAnsi="Times New Roman" w:eastAsia="Times New Roman" w:cs="Times New Roman"/>
          <w:i/>
          <w:iCs/>
          <w:sz w:val="26"/>
          <w:szCs w:val="26"/>
          <w:u w:color="000000"/>
          <w:lang w:eastAsia="es-ES"/>
        </w:rPr>
        <w:t>Revisar los proyectos que no han remitido la documentación de la metodología de proyectos, pero se prorrogan más allá del 2021, por cuanto se debieron haber incluido recursos en el Sistema de Proyección Plurianual y en el Área de Informática 2022.</w:t>
      </w:r>
    </w:p>
    <w:p w:rsidRPr="00F31A99" w:rsidR="00F31A99" w:rsidP="00F31A99" w:rsidRDefault="00F31A99" w14:paraId="5F2DB0A7" w14:textId="77777777">
      <w:pPr>
        <w:numPr>
          <w:ilvl w:val="0"/>
          <w:numId w:val="2"/>
        </w:numPr>
        <w:autoSpaceDN w:val="0"/>
        <w:ind w:left="851" w:right="851" w:firstLine="709"/>
        <w:contextualSpacing/>
        <w:jc w:val="both"/>
        <w:rPr>
          <w:rFonts w:ascii="Times New Roman" w:hAnsi="Times New Roman" w:eastAsia="Times New Roman" w:cs="Times New Roman"/>
          <w:i/>
          <w:iCs/>
          <w:sz w:val="26"/>
          <w:szCs w:val="26"/>
          <w:u w:color="000000"/>
          <w:lang w:eastAsia="es-ES"/>
        </w:rPr>
      </w:pPr>
      <w:r w:rsidRPr="00F31A99">
        <w:rPr>
          <w:rFonts w:ascii="Times New Roman" w:hAnsi="Times New Roman" w:eastAsia="Times New Roman" w:cs="Times New Roman"/>
          <w:i/>
          <w:iCs/>
          <w:sz w:val="26"/>
          <w:szCs w:val="26"/>
          <w:u w:color="000000"/>
          <w:lang w:eastAsia="es-ES"/>
        </w:rPr>
        <w:t>Revisar el proyecto “Desarrollo del Portal Digital” por cuanto no se encuentra en el portafolio de proyectos institucionales y se están incluyendo recursos en el anteproyecto de presupuesto del Área de Informática 2022. En este caso se requiere que la Dirección de Tecnología de la Información remita la información correspondiente del acta de constitución del proyecto y la estimación plurianual del mismo.”.</w:t>
      </w:r>
    </w:p>
    <w:p w:rsidRPr="00F31A99" w:rsidR="00F31A99" w:rsidP="00F31A99" w:rsidRDefault="00F31A99" w14:paraId="76DEE51C" w14:textId="77777777">
      <w:pPr>
        <w:autoSpaceDN w:val="0"/>
        <w:ind w:left="851" w:right="851" w:firstLine="709"/>
        <w:jc w:val="both"/>
        <w:rPr>
          <w:rFonts w:ascii="Times New Roman" w:hAnsi="Times New Roman" w:eastAsia="Calibri" w:cs="Times New Roman"/>
          <w:i/>
          <w:iCs/>
          <w:sz w:val="26"/>
          <w:szCs w:val="26"/>
          <w:u w:color="000000"/>
        </w:rPr>
      </w:pPr>
    </w:p>
    <w:p w:rsidRPr="00F31A99" w:rsidR="00F31A99" w:rsidP="00F31A99" w:rsidRDefault="00F31A99" w14:paraId="60085955"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Al respecto, con posterioridad al envío de la agenda, la Licda. Kattia Morales Directora de Tecnología de la Información mediante correo electrónico de este 23 de marzo remitió el oficio 519-DTI-2021, en el que brinda respuesta a la acordado por el Consejo Superior. </w:t>
      </w:r>
    </w:p>
    <w:p w:rsidRPr="00F31A99" w:rsidR="00F31A99" w:rsidP="00F31A99" w:rsidRDefault="00F31A99" w14:paraId="3B57FCF4" w14:textId="77777777">
      <w:pPr>
        <w:autoSpaceDN w:val="0"/>
        <w:ind w:left="851" w:right="851" w:firstLine="709"/>
        <w:jc w:val="both"/>
        <w:rPr>
          <w:rFonts w:ascii="Times New Roman" w:hAnsi="Times New Roman" w:eastAsia="Calibri" w:cs="Times New Roman"/>
          <w:i/>
          <w:iCs/>
          <w:sz w:val="26"/>
          <w:szCs w:val="26"/>
          <w:u w:color="000000"/>
        </w:rPr>
      </w:pPr>
    </w:p>
    <w:p w:rsidRPr="00F31A99" w:rsidR="00F31A99" w:rsidP="00F31A99" w:rsidRDefault="00F31A99" w14:paraId="398FE5C5" w14:textId="77777777">
      <w:pPr>
        <w:autoSpaceDN w:val="0"/>
        <w:ind w:left="850" w:right="850"/>
        <w:jc w:val="center"/>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object w:dxaOrig="1520" w:dyaOrig="970" w14:anchorId="1F70E01E">
          <v:shape id="_x0000_i1594" style="width:76.4pt;height:48.2pt" o:ole="" type="#_x0000_t75">
            <v:imagedata o:title="" r:id="rId34"/>
          </v:shape>
          <o:OLEObject Type="Embed" ProgID="Word.Document.12" ShapeID="_x0000_i1594" DrawAspect="Icon" ObjectID="_1681900450" r:id="rId35">
            <o:FieldCodes>\s</o:FieldCodes>
          </o:OLEObject>
        </w:object>
      </w:r>
    </w:p>
    <w:p w:rsidRPr="00F31A99" w:rsidR="00F31A99" w:rsidP="00F31A99" w:rsidRDefault="00F31A99" w14:paraId="606E9B32" w14:textId="77777777">
      <w:pPr>
        <w:autoSpaceDN w:val="0"/>
        <w:ind w:left="851" w:right="851" w:firstLine="709"/>
        <w:jc w:val="center"/>
        <w:rPr>
          <w:rFonts w:ascii="Times New Roman" w:hAnsi="Times New Roman" w:eastAsia="Calibri" w:cs="Times New Roman"/>
          <w:i/>
          <w:iCs/>
          <w:sz w:val="26"/>
          <w:szCs w:val="26"/>
          <w:u w:color="000000"/>
        </w:rPr>
      </w:pPr>
    </w:p>
    <w:p w:rsidRPr="00F31A99" w:rsidR="00F31A99" w:rsidP="00F31A99" w:rsidRDefault="00F31A99" w14:paraId="0E44A4D5" w14:textId="77777777">
      <w:pPr>
        <w:autoSpaceDN w:val="0"/>
        <w:ind w:left="850" w:right="850"/>
        <w:contextualSpacing/>
        <w:jc w:val="center"/>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t>-0 –</w:t>
      </w:r>
    </w:p>
    <w:p w:rsidRPr="00F31A99" w:rsidR="00F31A99" w:rsidP="00F31A99" w:rsidRDefault="00F31A99" w14:paraId="7A7446C8" w14:textId="77777777">
      <w:pPr>
        <w:autoSpaceDN w:val="0"/>
        <w:ind w:left="851" w:right="851" w:firstLine="709"/>
        <w:contextualSpacing/>
        <w:jc w:val="center"/>
        <w:rPr>
          <w:rFonts w:ascii="Times New Roman" w:hAnsi="Times New Roman" w:eastAsia="Calibri" w:cs="Times New Roman"/>
          <w:i/>
          <w:iCs/>
          <w:sz w:val="26"/>
          <w:szCs w:val="26"/>
          <w:u w:color="000000"/>
        </w:rPr>
      </w:pPr>
    </w:p>
    <w:p w:rsidRPr="00F31A99" w:rsidR="00F31A99" w:rsidP="00F31A99" w:rsidRDefault="00F31A99" w14:paraId="59CC6AD4" w14:textId="77777777">
      <w:pPr>
        <w:numPr>
          <w:ilvl w:val="0"/>
          <w:numId w:val="3"/>
        </w:numPr>
        <w:autoSpaceDN w:val="0"/>
        <w:ind w:left="851" w:right="851" w:firstLine="709"/>
        <w:contextualSpacing/>
        <w:rPr>
          <w:rFonts w:ascii="Times New Roman" w:hAnsi="Times New Roman" w:eastAsia="Times New Roman" w:cs="Times New Roman"/>
          <w:b/>
          <w:i/>
          <w:sz w:val="26"/>
          <w:szCs w:val="26"/>
          <w:u w:color="000000"/>
          <w:lang w:eastAsia="es-ES"/>
        </w:rPr>
      </w:pPr>
      <w:r w:rsidRPr="00F31A99">
        <w:rPr>
          <w:rFonts w:ascii="Times New Roman" w:hAnsi="Times New Roman" w:eastAsia="Times New Roman" w:cs="Times New Roman"/>
          <w:b/>
          <w:i/>
          <w:sz w:val="26"/>
          <w:szCs w:val="26"/>
          <w:u w:color="000000"/>
          <w:lang w:eastAsia="es-ES"/>
        </w:rPr>
        <w:t>Requerimiento Adicional para sistemas de control de acceso para los cuartos de comunicación</w:t>
      </w:r>
    </w:p>
    <w:p w:rsidRPr="00F31A99" w:rsidR="00F31A99" w:rsidP="00F31A99" w:rsidRDefault="00F31A99" w14:paraId="122B30BE"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1DF9A7D1"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lastRenderedPageBreak/>
        <w:t>En relación con el punto 4 del acuerdo del artículo XV de la sesión 21-2021, cabe recordar que como parte del anteproyecto de presupuesto 2022 del Área de Informática, se solicitaron ¢50.850.000 para sistemas de control de acceso para los cuartos de comunicación, estos recursos fueron eliminados de ese presupuesto, ya que la directriz presupuestaria N°114 señala necesidades de este tipo deben ser enviadas al Departamento de Seguridad para su valoración e inclusión como parte de presupuesto del Área de Seguridad.</w:t>
      </w:r>
    </w:p>
    <w:p w:rsidRPr="00F31A99" w:rsidR="00F31A99" w:rsidP="00F31A99" w:rsidRDefault="00F31A99" w14:paraId="0DA7B8A6"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766362DC"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La Dirección de Tecnología de la Información argumenta que los controles de accesos solicitados responden a recomendaciones de Auditoría Judicial y remiten a los informes N°1203-70-ATI-2012 </w:t>
      </w:r>
      <w:r w:rsidRPr="00F31A99">
        <w:rPr>
          <w:rFonts w:ascii="Times New Roman" w:hAnsi="Times New Roman" w:eastAsia="Calibri" w:cs="Times New Roman"/>
          <w:i/>
          <w:iCs/>
          <w:sz w:val="26"/>
          <w:szCs w:val="26"/>
          <w:u w:color="000000"/>
        </w:rPr>
        <w:t>"Evaluación del ambiente físico de las telecomunicaciones del Poder Judicial”</w:t>
      </w:r>
      <w:r w:rsidRPr="00F31A99">
        <w:rPr>
          <w:rFonts w:ascii="Times New Roman" w:hAnsi="Times New Roman" w:eastAsia="Calibri" w:cs="Times New Roman"/>
          <w:sz w:val="26"/>
          <w:szCs w:val="26"/>
          <w:u w:color="000000"/>
        </w:rPr>
        <w:t xml:space="preserve"> y N°148-18-ATI-2014 </w:t>
      </w:r>
      <w:r w:rsidRPr="00F31A99">
        <w:rPr>
          <w:rFonts w:ascii="Times New Roman" w:hAnsi="Times New Roman" w:eastAsia="Calibri" w:cs="Times New Roman"/>
          <w:i/>
          <w:iCs/>
          <w:sz w:val="26"/>
          <w:szCs w:val="26"/>
          <w:u w:color="000000"/>
        </w:rPr>
        <w:t>“Evaluación de la seguridad física y ambiental de las áreas sensibles de la Dirección de Tecnología de Información y Comunicación”</w:t>
      </w:r>
      <w:r w:rsidRPr="00F31A99">
        <w:rPr>
          <w:rFonts w:ascii="Times New Roman" w:hAnsi="Times New Roman" w:eastAsia="Calibri" w:cs="Times New Roman"/>
          <w:sz w:val="26"/>
          <w:szCs w:val="26"/>
          <w:u w:color="000000"/>
        </w:rPr>
        <w:t xml:space="preserve">. </w:t>
      </w:r>
    </w:p>
    <w:p w:rsidRPr="00F31A99" w:rsidR="00F31A99" w:rsidP="00F31A99" w:rsidRDefault="00F31A99" w14:paraId="5DD498B7"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3FF39BFE"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Al respecto, se consultó a la Licda. Ericka Monge, Jefa de la Sección de Telemática de la Dirección de Tecnología de la Información, quien señaló lo siguiente: </w:t>
      </w:r>
    </w:p>
    <w:p w:rsidRPr="00F31A99" w:rsidR="00F31A99" w:rsidP="00F31A99" w:rsidRDefault="00F31A99" w14:paraId="7FB42E3F" w14:textId="77777777">
      <w:pPr>
        <w:autoSpaceDN w:val="0"/>
        <w:ind w:left="851" w:right="851" w:firstLine="709"/>
        <w:rPr>
          <w:rFonts w:ascii="Times New Roman" w:hAnsi="Times New Roman" w:eastAsia="Calibri" w:cs="Times New Roman"/>
          <w:sz w:val="26"/>
          <w:szCs w:val="26"/>
          <w:u w:color="000000"/>
        </w:rPr>
      </w:pPr>
    </w:p>
    <w:p w:rsidRPr="00F31A99" w:rsidR="00F31A99" w:rsidP="00F31A99" w:rsidRDefault="00F31A99" w14:paraId="3E5F11F6" w14:textId="77777777">
      <w:pPr>
        <w:autoSpaceDN w:val="0"/>
        <w:ind w:left="851" w:right="851" w:firstLine="709"/>
        <w:jc w:val="both"/>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t>“ Se remitieron los informes de Auditoria anteriores como el origen de los requisitos de las áreas seguras, las cuales deben tener un sistema de control de acceso, antes eran con llave y la misma tenía que ser controlada para que solo personal con acceso pueda ingresar, con inconvenientes de copias generadas y accesos de otros departamentos u oficinas a dichas zonas. Los informes son la justificación para que todo cuarto nuevo cumpla y siga esas recomendaciones emitidas. Así las cosas para nuevos cuartos de comunicación se deben planificar la inversión para seguir cumpliendo con las recomendaciones. El alcance original de dichas recomendaciones fueron atendidos pero queda la obligación de seguir aplicándolas.</w:t>
      </w:r>
    </w:p>
    <w:p w:rsidRPr="00F31A99" w:rsidR="00F31A99" w:rsidP="00F31A99" w:rsidRDefault="00F31A99" w14:paraId="6040D392" w14:textId="77777777">
      <w:pPr>
        <w:autoSpaceDN w:val="0"/>
        <w:ind w:left="851" w:right="851" w:firstLine="709"/>
        <w:jc w:val="both"/>
        <w:rPr>
          <w:rFonts w:ascii="Times New Roman" w:hAnsi="Times New Roman" w:eastAsia="Times New Roman" w:cs="Times New Roman"/>
          <w:i/>
          <w:iCs/>
          <w:sz w:val="26"/>
          <w:szCs w:val="26"/>
          <w:u w:color="000000"/>
          <w:lang w:eastAsia="es-ES"/>
        </w:rPr>
      </w:pPr>
    </w:p>
    <w:p w:rsidRPr="00F31A99" w:rsidR="00F31A99" w:rsidP="00F31A99" w:rsidRDefault="00F31A99" w14:paraId="320173A3" w14:textId="77777777">
      <w:pPr>
        <w:autoSpaceDN w:val="0"/>
        <w:ind w:left="851" w:right="851" w:firstLine="709"/>
        <w:jc w:val="both"/>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t xml:space="preserve">Conforme a lo anterior, en este año 2021 se estará terminando el cableado estructurado de la Corte Suprema de Justicia y se deben incorporar al sistema de control de acceso, son 14 cuartos nuevos, dos por piso del nivel 4 al 9, uno en el nivel 1 y otro en nivel 3. Adicionalmente, continuar la implementación de estos controles en </w:t>
      </w:r>
      <w:r w:rsidRPr="00F31A99">
        <w:rPr>
          <w:rFonts w:ascii="Times New Roman" w:hAnsi="Times New Roman" w:eastAsia="Calibri" w:cs="Times New Roman"/>
          <w:i/>
          <w:iCs/>
          <w:sz w:val="26"/>
          <w:szCs w:val="26"/>
          <w:u w:color="000000"/>
        </w:rPr>
        <w:lastRenderedPageBreak/>
        <w:t>cuartos de comunicación en oficinas judiciales que están ubicadas fuera de los edificios principales del I Circuito Judicial de San José.</w:t>
      </w:r>
    </w:p>
    <w:p w:rsidRPr="00F31A99" w:rsidR="00F31A99" w:rsidP="00F31A99" w:rsidRDefault="00F31A99" w14:paraId="7CBE07C2" w14:textId="77777777">
      <w:pPr>
        <w:autoSpaceDN w:val="0"/>
        <w:ind w:left="851" w:right="851" w:firstLine="709"/>
        <w:jc w:val="both"/>
        <w:rPr>
          <w:rFonts w:ascii="Times New Roman" w:hAnsi="Times New Roman" w:eastAsia="Times New Roman" w:cs="Times New Roman"/>
          <w:i/>
          <w:iCs/>
          <w:sz w:val="26"/>
          <w:szCs w:val="26"/>
          <w:u w:color="000000"/>
          <w:lang w:eastAsia="es-ES"/>
        </w:rPr>
      </w:pPr>
    </w:p>
    <w:p w:rsidRPr="00F31A99" w:rsidR="00F31A99" w:rsidP="00F31A99" w:rsidRDefault="00F31A99" w14:paraId="213C8BA0" w14:textId="77777777">
      <w:pPr>
        <w:autoSpaceDN w:val="0"/>
        <w:ind w:left="851" w:right="851" w:firstLine="709"/>
        <w:jc w:val="both"/>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t>El objetivo es controlar y evitar accesos físicos no autorizados a zonas de acceso restringido de cuartos de comunicación, daños contra las instalaciones de procesamiento de información e interrupciones de los servicios tecnológicos del Poder Judicial.”</w:t>
      </w:r>
    </w:p>
    <w:p w:rsidRPr="00F31A99" w:rsidR="00F31A99" w:rsidP="00F31A99" w:rsidRDefault="00F31A99" w14:paraId="2AC52D34" w14:textId="77777777">
      <w:pPr>
        <w:autoSpaceDN w:val="0"/>
        <w:ind w:left="851" w:right="851" w:firstLine="709"/>
        <w:jc w:val="both"/>
        <w:rPr>
          <w:rFonts w:ascii="Times New Roman" w:hAnsi="Times New Roman" w:eastAsia="Calibri" w:cs="Times New Roman"/>
          <w:i/>
          <w:iCs/>
          <w:sz w:val="26"/>
          <w:szCs w:val="26"/>
          <w:u w:color="000000"/>
        </w:rPr>
      </w:pPr>
    </w:p>
    <w:p w:rsidRPr="00F31A99" w:rsidR="00F31A99" w:rsidP="00F31A99" w:rsidRDefault="00F31A99" w14:paraId="6963E095"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De forma complementaria, la Licda. Kattia Morales, Directora de Tecnología señaló:</w:t>
      </w:r>
    </w:p>
    <w:p w:rsidRPr="00F31A99" w:rsidR="00F31A99" w:rsidP="00F31A99" w:rsidRDefault="00F31A99" w14:paraId="37AB92EA" w14:textId="77777777">
      <w:pPr>
        <w:autoSpaceDN w:val="0"/>
        <w:ind w:left="851" w:right="851" w:firstLine="709"/>
        <w:jc w:val="both"/>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t>“(…) no es que no se ha cumplido con los acuerdos de Auditoria, sino que estos acuerdos nos dan la responsabilidad de que además de los cuartos evaluados en su momento, todos los cuartos de comunicación y centros de datos del país cuenten con control de acceso, por esta razón lo presupuestamos nosotros, ya que somos los que tenemos la visibilidad dela necesidad y no seguridad, además de que la auditoria nos da la responsabilidad a nosotros y no a seguridad.</w:t>
      </w:r>
    </w:p>
    <w:p w:rsidRPr="00F31A99" w:rsidR="00F31A99" w:rsidP="00F31A99" w:rsidRDefault="00F31A99" w14:paraId="4C2FEC3B" w14:textId="77777777">
      <w:pPr>
        <w:autoSpaceDN w:val="0"/>
        <w:ind w:left="851" w:right="851" w:firstLine="709"/>
        <w:jc w:val="both"/>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t>Así que cualquier alquiler, remodelación o compra, implicara en adelante implantar estos sistemas de control”.</w:t>
      </w:r>
    </w:p>
    <w:p w:rsidRPr="00F31A99" w:rsidR="00F31A99" w:rsidP="00F31A99" w:rsidRDefault="00F31A99" w14:paraId="65866960"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70856ED3"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49F98485"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045DC381"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Adicionalmente, este martes 23 de marzo, María José Alfaro Rojas, Secretaria General a.i. de la Secretaría General de la Corte remitió correo electrónico a la Dirección de Planificación en el que solicita agregar a la agenda de presupuesto del Consejo Superior el oficio 499-DTI-2021, en el que se ratifica lo indicado con anterioridad. </w:t>
      </w:r>
    </w:p>
    <w:p w:rsidRPr="00F31A99" w:rsidR="00F31A99" w:rsidP="00F31A99" w:rsidRDefault="00F31A99" w14:paraId="1C21CF88" w14:textId="77777777">
      <w:pPr>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58235990" w14:textId="77777777">
      <w:pPr>
        <w:autoSpaceDN w:val="0"/>
        <w:ind w:left="850" w:right="850"/>
        <w:jc w:val="center"/>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object w:dxaOrig="1520" w:dyaOrig="970" w14:anchorId="48529B71">
          <v:shape id="_x0000_i1595" style="width:76.4pt;height:48.2pt" o:ole="" type="#_x0000_t75">
            <v:imagedata o:title="" r:id="rId36"/>
          </v:shape>
          <o:OLEObject Type="Embed" ProgID="Word.Document.12" ShapeID="_x0000_i1595" DrawAspect="Icon" ObjectID="_1681900451" r:id="rId37">
            <o:FieldCodes>\s</o:FieldCodes>
          </o:OLEObject>
        </w:object>
      </w:r>
    </w:p>
    <w:p w:rsidRPr="00F31A99" w:rsidR="00F31A99" w:rsidP="00F31A99" w:rsidRDefault="00F31A99" w14:paraId="5F2FDC40"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Por lo tanto, se solicita valorar la posibilidad de incluir los recursos para el 2022 como parte del anteproyecto de presupuesto del Área de Seguridad. El artículo por incluir es el código 17499 Sistema de Control de Acceso, clasificado en la subpartida 50199 Maquinaria y equipo diverso por un total de ¢50.850.000, esto incrementaría el gasto de capital. De incluirse estos recursos el monto total del presupuesto del Área de Seguridad pasaría a ser ¢617.193.817 con un </w:t>
      </w:r>
      <w:r w:rsidRPr="00F31A99">
        <w:rPr>
          <w:rFonts w:ascii="Times New Roman" w:hAnsi="Times New Roman" w:eastAsia="Calibri" w:cs="Times New Roman"/>
          <w:sz w:val="26"/>
          <w:szCs w:val="26"/>
          <w:u w:color="000000"/>
        </w:rPr>
        <w:lastRenderedPageBreak/>
        <w:t>incremento del 4,6’% con respecto al presupuesto aprobado para el 2021 y estaría por encima del límite presupuestario solicitado. Este sería el nuevo escenario:</w:t>
      </w:r>
    </w:p>
    <w:p w:rsidRPr="00F31A99" w:rsidR="00F31A99" w:rsidP="00F31A99" w:rsidRDefault="00F31A99" w14:paraId="4A217584" w14:textId="77777777">
      <w:pPr>
        <w:autoSpaceDN w:val="0"/>
        <w:spacing w:line="360" w:lineRule="auto"/>
        <w:jc w:val="both"/>
        <w:rPr>
          <w:rFonts w:ascii="Times New Roman" w:hAnsi="Times New Roman" w:eastAsia="Calibri" w:cs="Times New Roman"/>
          <w:sz w:val="28"/>
          <w:szCs w:val="28"/>
          <w:u w:color="000000"/>
        </w:rPr>
      </w:pPr>
    </w:p>
    <w:p w:rsidRPr="00F31A99" w:rsidR="00F31A99" w:rsidP="00F31A99" w:rsidRDefault="00F31A99" w14:paraId="00A622DF" w14:textId="77777777">
      <w:pPr>
        <w:autoSpaceDN w:val="0"/>
        <w:spacing w:line="360" w:lineRule="auto"/>
        <w:jc w:val="center"/>
        <w:rPr>
          <w:rFonts w:ascii="Times New Roman" w:hAnsi="Times New Roman" w:eastAsia="Calibri" w:cs="Times New Roman"/>
          <w:u w:color="000000"/>
        </w:rPr>
      </w:pPr>
      <w:r w:rsidRPr="00F31A99">
        <w:rPr>
          <w:rFonts w:ascii="Times New Roman" w:hAnsi="Times New Roman" w:eastAsia="Calibri" w:cs="Times New Roman"/>
          <w:noProof/>
          <w:u w:color="000000"/>
        </w:rPr>
        <w:drawing>
          <wp:inline distT="0" distB="0" distL="0" distR="0" wp14:anchorId="0D0FBAB4" wp14:editId="2F7A356D">
            <wp:extent cx="5003165" cy="882015"/>
            <wp:effectExtent l="0" t="0" r="698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03165" cy="882015"/>
                    </a:xfrm>
                    <a:prstGeom prst="rect">
                      <a:avLst/>
                    </a:prstGeom>
                    <a:noFill/>
                    <a:ln>
                      <a:noFill/>
                    </a:ln>
                  </pic:spPr>
                </pic:pic>
              </a:graphicData>
            </a:graphic>
          </wp:inline>
        </w:drawing>
      </w:r>
    </w:p>
    <w:p w:rsidRPr="00F31A99" w:rsidR="00F31A99" w:rsidP="00F31A99" w:rsidRDefault="00F31A99" w14:paraId="0094774B" w14:textId="77777777">
      <w:pPr>
        <w:autoSpaceDN w:val="0"/>
        <w:spacing w:line="360" w:lineRule="auto"/>
        <w:ind w:left="850" w:firstLine="566"/>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w:t>
      </w:r>
    </w:p>
    <w:p w:rsidRPr="00F31A99" w:rsidR="00F31A99" w:rsidP="00F31A99" w:rsidRDefault="00F31A99" w14:paraId="5AB12727" w14:textId="77777777">
      <w:pPr>
        <w:autoSpaceDE w:val="0"/>
        <w:autoSpaceDN w:val="0"/>
        <w:adjustRightInd w:val="0"/>
        <w:spacing w:line="360" w:lineRule="auto"/>
        <w:jc w:val="center"/>
        <w:rPr>
          <w:rFonts w:ascii="Times New Roman" w:hAnsi="Times New Roman" w:eastAsia="Times New Roman" w:cs="Times New Roman"/>
          <w:sz w:val="28"/>
          <w:szCs w:val="24"/>
          <w:u w:color="000000"/>
          <w:lang w:eastAsia="es-ES"/>
        </w:rPr>
      </w:pPr>
      <w:r w:rsidRPr="00F31A99">
        <w:rPr>
          <w:rFonts w:ascii="Times New Roman" w:hAnsi="Times New Roman" w:eastAsia="Times New Roman" w:cs="Times New Roman"/>
          <w:sz w:val="28"/>
          <w:szCs w:val="24"/>
          <w:u w:color="000000"/>
          <w:lang w:eastAsia="es-ES"/>
        </w:rPr>
        <w:t>- 0 -</w:t>
      </w:r>
    </w:p>
    <w:p w:rsidRPr="00F31A99" w:rsidR="00F31A99" w:rsidP="00F31A99" w:rsidRDefault="00F31A99" w14:paraId="5937DD44" w14:textId="77777777">
      <w:pPr>
        <w:autoSpaceDN w:val="0"/>
        <w:jc w:val="both"/>
        <w:rPr>
          <w:rFonts w:ascii="Times New Roman" w:hAnsi="Times New Roman" w:eastAsia="Calibri" w:cs="Times New Roman"/>
          <w:b/>
          <w:bCs/>
          <w:sz w:val="28"/>
          <w:szCs w:val="28"/>
          <w:u w:color="000000"/>
        </w:rPr>
      </w:pPr>
    </w:p>
    <w:p w:rsidRPr="00F31A99" w:rsidR="00F31A99" w:rsidP="00F31A99" w:rsidRDefault="00F31A99" w14:paraId="4F305FFB" w14:textId="77777777">
      <w:pPr>
        <w:autoSpaceDN w:val="0"/>
        <w:spacing w:line="480" w:lineRule="auto"/>
        <w:ind w:firstLine="708"/>
        <w:jc w:val="both"/>
        <w:rPr>
          <w:rFonts w:ascii="Times New Roman" w:hAnsi="Times New Roman" w:eastAsia="Calibri" w:cs="Times New Roman"/>
          <w:b/>
          <w:bCs/>
          <w:sz w:val="28"/>
          <w:szCs w:val="28"/>
          <w:u w:color="000000"/>
        </w:rPr>
      </w:pPr>
      <w:r w:rsidRPr="00F31A99">
        <w:rPr>
          <w:rFonts w:ascii="Times New Roman" w:hAnsi="Times New Roman" w:eastAsia="Calibri" w:cs="Times New Roman"/>
          <w:b/>
          <w:bCs/>
          <w:sz w:val="28"/>
          <w:szCs w:val="28"/>
          <w:u w:color="000000"/>
        </w:rPr>
        <w:t>Se acordó</w:t>
      </w:r>
      <w:r w:rsidRPr="00F31A99">
        <w:rPr>
          <w:rFonts w:ascii="Times New Roman" w:hAnsi="Times New Roman" w:eastAsia="Calibri" w:cs="Times New Roman"/>
          <w:sz w:val="28"/>
          <w:szCs w:val="28"/>
          <w:u w:color="000000"/>
        </w:rPr>
        <w:t xml:space="preserve">: </w:t>
      </w:r>
      <w:r w:rsidRPr="00F31A99">
        <w:rPr>
          <w:rFonts w:ascii="Times New Roman" w:hAnsi="Times New Roman" w:eastAsia="Calibri" w:cs="Times New Roman"/>
          <w:b/>
          <w:bCs/>
          <w:sz w:val="28"/>
          <w:szCs w:val="28"/>
          <w:u w:color="000000"/>
        </w:rPr>
        <w:t>1.)</w:t>
      </w:r>
      <w:r w:rsidRPr="00F31A99">
        <w:rPr>
          <w:rFonts w:ascii="Times New Roman" w:hAnsi="Times New Roman" w:eastAsia="Calibri" w:cs="Times New Roman"/>
          <w:sz w:val="28"/>
          <w:szCs w:val="28"/>
          <w:u w:color="000000"/>
        </w:rPr>
        <w:t xml:space="preserve"> En relación con los dos escenarios alternativos presentados en el oficio 519-DTI-2021, se toma nota de lo planteado por la Dirección de Tecnología de la Información, lo cual quedará sujeto a la propuesta integral de presupuesto 2022 que consolide todas las necesidades institucionales. </w:t>
      </w:r>
      <w:r w:rsidRPr="00F31A99">
        <w:rPr>
          <w:rFonts w:ascii="Times New Roman" w:hAnsi="Times New Roman" w:eastAsia="Calibri" w:cs="Times New Roman"/>
          <w:b/>
          <w:bCs/>
          <w:sz w:val="28"/>
          <w:szCs w:val="28"/>
          <w:u w:color="000000"/>
        </w:rPr>
        <w:t>2.)</w:t>
      </w:r>
      <w:r w:rsidRPr="00F31A99">
        <w:rPr>
          <w:rFonts w:ascii="Times New Roman" w:hAnsi="Times New Roman" w:eastAsia="Calibri" w:cs="Times New Roman"/>
          <w:sz w:val="28"/>
          <w:szCs w:val="28"/>
          <w:u w:color="000000"/>
        </w:rPr>
        <w:t xml:space="preserve"> Con respecto a la posibilidad de adquirir equipos en este 2021 a través del Fondo de Emergencia, la señora Morales indicó que se está realizando el análisis pertinente para coordinar con la Dirección Ejecutiva lo correspondiente. </w:t>
      </w:r>
      <w:r w:rsidRPr="00F31A99">
        <w:rPr>
          <w:rFonts w:ascii="Times New Roman" w:hAnsi="Times New Roman" w:eastAsia="Calibri" w:cs="Times New Roman"/>
          <w:b/>
          <w:bCs/>
          <w:sz w:val="28"/>
          <w:szCs w:val="28"/>
          <w:u w:color="000000"/>
        </w:rPr>
        <w:t>3.)</w:t>
      </w:r>
      <w:r w:rsidRPr="00F31A99">
        <w:rPr>
          <w:rFonts w:ascii="Times New Roman" w:hAnsi="Times New Roman" w:eastAsia="Calibri" w:cs="Times New Roman"/>
          <w:sz w:val="28"/>
          <w:szCs w:val="28"/>
          <w:u w:color="000000"/>
        </w:rPr>
        <w:t xml:space="preserve"> Con respecto a la respuesta a las observaciones y cambios relacionados con los proyectos, recursos incluidos en el Sistema de Proyección Plurianual y recursos formulados en el anteproyecto de presupuesto del Área de Informática 2022, se toma nota de lo indicado en el oficio 519-DTI-2021 y será objeto de revisión por parte de la Dirección de Planificación. </w:t>
      </w:r>
      <w:r w:rsidRPr="00F31A99">
        <w:rPr>
          <w:rFonts w:ascii="Times New Roman" w:hAnsi="Times New Roman" w:eastAsia="Calibri" w:cs="Times New Roman"/>
          <w:b/>
          <w:bCs/>
          <w:sz w:val="28"/>
          <w:szCs w:val="28"/>
          <w:u w:color="000000"/>
        </w:rPr>
        <w:t>4.)</w:t>
      </w:r>
      <w:r w:rsidRPr="00F31A99">
        <w:rPr>
          <w:rFonts w:ascii="Times New Roman" w:hAnsi="Times New Roman" w:eastAsia="Calibri" w:cs="Times New Roman"/>
          <w:sz w:val="28"/>
          <w:szCs w:val="28"/>
          <w:u w:color="000000"/>
        </w:rPr>
        <w:t xml:space="preserve"> En cuanto a los </w:t>
      </w:r>
      <w:r w:rsidRPr="00F31A99">
        <w:rPr>
          <w:rFonts w:ascii="Times New Roman" w:hAnsi="Times New Roman" w:eastAsia="Calibri" w:cs="Times New Roman"/>
          <w:sz w:val="28"/>
          <w:szCs w:val="28"/>
          <w:u w:color="000000"/>
        </w:rPr>
        <w:lastRenderedPageBreak/>
        <w:t xml:space="preserve">requerimientos adicionales solicitados por la Dirección de Tecnología de la Información por ¢50.850.000 para sistemas de control de acceso para los cuartos de comunicación, se aprueban y se incorporan como parte del presupuesto del Área de Seguridad. </w:t>
      </w:r>
      <w:r w:rsidRPr="00F31A99">
        <w:rPr>
          <w:rFonts w:ascii="Times New Roman" w:hAnsi="Times New Roman" w:eastAsia="Calibri" w:cs="Times New Roman"/>
          <w:b/>
          <w:bCs/>
          <w:sz w:val="28"/>
          <w:szCs w:val="28"/>
          <w:u w:color="000000"/>
        </w:rPr>
        <w:t>Se declara acuerdo firme.</w:t>
      </w:r>
    </w:p>
    <w:p w:rsidRPr="00F31A99" w:rsidR="00F31A99" w:rsidP="00F31A99" w:rsidRDefault="00F31A99" w14:paraId="0DDEF7B4" w14:textId="20D1C651">
      <w:pPr>
        <w:widowControl w:val="0"/>
        <w:shd w:val="clear" w:color="auto" w:fill="FFFFFF"/>
        <w:autoSpaceDE w:val="0"/>
        <w:autoSpaceDN w:val="0"/>
        <w:spacing w:line="360" w:lineRule="auto"/>
        <w:jc w:val="center"/>
        <w:outlineLvl w:val="0"/>
        <w:rPr>
          <w:rFonts w:ascii="Times New Roman" w:hAnsi="Times New Roman" w:eastAsia="Times New Roman" w:cs="Times New Roman"/>
          <w:b/>
          <w:bCs/>
          <w:kern w:val="36"/>
          <w:sz w:val="28"/>
          <w:szCs w:val="28"/>
          <w:u w:val="single" w:color="000000"/>
          <w:lang w:eastAsia="es-ES"/>
        </w:rPr>
      </w:pPr>
      <w:r w:rsidRPr="00F31A99">
        <w:rPr>
          <w:rFonts w:ascii="Times New Roman" w:hAnsi="Times New Roman" w:eastAsia="Times New Roman" w:cs="Times New Roman"/>
          <w:b/>
          <w:bCs/>
          <w:kern w:val="36"/>
          <w:sz w:val="28"/>
          <w:szCs w:val="28"/>
          <w:u w:val="single" w:color="000000"/>
          <w:lang w:eastAsia="es-ES"/>
        </w:rPr>
        <w:t>ARTÍCULO VI</w:t>
      </w:r>
    </w:p>
    <w:p w:rsidRPr="00F31A99" w:rsidR="00F31A99" w:rsidP="00F31A99" w:rsidRDefault="00F31A99" w14:paraId="2617BA76" w14:textId="77777777">
      <w:pPr>
        <w:widowControl w:val="0"/>
        <w:autoSpaceDN w:val="0"/>
        <w:spacing w:line="480" w:lineRule="auto"/>
        <w:jc w:val="both"/>
        <w:rPr>
          <w:rFonts w:ascii="Times New Roman" w:hAnsi="Times New Roman" w:eastAsia="Times New Roman" w:cs="Times New Roman"/>
          <w:b/>
          <w:bCs/>
          <w:sz w:val="28"/>
          <w:szCs w:val="28"/>
          <w:u w:color="000000"/>
          <w:lang w:eastAsia="es-ES"/>
        </w:rPr>
      </w:pPr>
      <w:r w:rsidRPr="00F31A99">
        <w:rPr>
          <w:rFonts w:ascii="Times New Roman" w:hAnsi="Times New Roman" w:eastAsia="Times New Roman" w:cs="Times New Roman"/>
          <w:b/>
          <w:bCs/>
          <w:sz w:val="28"/>
          <w:szCs w:val="28"/>
          <w:u w:color="000000"/>
          <w:lang w:eastAsia="es-ES"/>
        </w:rPr>
        <w:t>Documento N° 2682-2021</w:t>
      </w:r>
    </w:p>
    <w:p w:rsidRPr="00F31A99" w:rsidR="00F31A99" w:rsidP="00F31A99" w:rsidRDefault="00F31A99" w14:paraId="77590E0A" w14:textId="77777777">
      <w:pPr>
        <w:widowControl w:val="0"/>
        <w:autoSpaceDN w:val="0"/>
        <w:spacing w:line="480" w:lineRule="auto"/>
        <w:ind w:firstLine="708"/>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En reunión de trabajo del pasado 24 de marzo, la licenciada Nacira Valverde</w:t>
      </w:r>
      <w:r w:rsidRPr="00F31A99">
        <w:rPr>
          <w:rFonts w:ascii="Times New Roman" w:hAnsi="Times New Roman" w:eastAsia="Calibri" w:cs="Times New Roman"/>
          <w:sz w:val="28"/>
          <w:szCs w:val="28"/>
          <w:u w:color="000000"/>
          <w:shd w:val="clear" w:color="auto" w:fill="FFFFFF"/>
        </w:rPr>
        <w:t xml:space="preserve">, Directora de Planificación, informó </w:t>
      </w:r>
      <w:r w:rsidRPr="00F31A99">
        <w:rPr>
          <w:rFonts w:ascii="Times New Roman" w:hAnsi="Times New Roman" w:eastAsia="Calibri" w:cs="Times New Roman"/>
          <w:sz w:val="28"/>
          <w:szCs w:val="28"/>
          <w:u w:color="000000"/>
        </w:rPr>
        <w:t xml:space="preserve">que mediante oficio N° CGTI-05-2021, del 15 de marzo 2021, la máster Kattia Morales Navarro, en calidad de Secretaria de la Comisión Gerencial de Tecnologías, informó sobre </w:t>
      </w:r>
      <w:bookmarkStart w:name="_Hlk52455347" w:id="5"/>
      <w:r w:rsidRPr="00F31A99">
        <w:rPr>
          <w:rFonts w:ascii="Times New Roman" w:hAnsi="Times New Roman" w:eastAsia="Calibri" w:cs="Times New Roman"/>
          <w:sz w:val="28"/>
          <w:szCs w:val="28"/>
          <w:u w:color="000000"/>
        </w:rPr>
        <w:t xml:space="preserve">el acuerdo tomado </w:t>
      </w:r>
      <w:bookmarkEnd w:id="5"/>
      <w:r w:rsidRPr="00F31A99">
        <w:rPr>
          <w:rFonts w:ascii="Times New Roman" w:hAnsi="Times New Roman" w:eastAsia="Calibri" w:cs="Times New Roman"/>
          <w:sz w:val="28"/>
          <w:szCs w:val="28"/>
          <w:u w:color="000000"/>
        </w:rPr>
        <w:t>por esta Comisión en la sesión extraordinaria N°b02-2021, celebrada el 16 de febrero 2021, en torno al oficio N° 339-DTI-2021 “</w:t>
      </w:r>
      <w:r w:rsidRPr="00F31A99">
        <w:rPr>
          <w:rFonts w:ascii="Times New Roman" w:hAnsi="Times New Roman" w:eastAsia="Calibri" w:cs="Times New Roman"/>
          <w:b/>
          <w:bCs/>
          <w:i/>
          <w:iCs/>
          <w:sz w:val="28"/>
          <w:szCs w:val="28"/>
          <w:u w:color="000000"/>
        </w:rPr>
        <w:t xml:space="preserve">ACTUALIZACIÓN DEL ANÁLISIS DEL LEASING COMO MODALIDAD DE INVERSIÓN EN EQUIPO DE CÓMPUTO PARA EL PODER JUDICIAL”, </w:t>
      </w:r>
      <w:r w:rsidRPr="00F31A99">
        <w:rPr>
          <w:rFonts w:ascii="Times New Roman" w:hAnsi="Times New Roman" w:eastAsia="Calibri" w:cs="Times New Roman"/>
          <w:sz w:val="28"/>
          <w:szCs w:val="28"/>
          <w:u w:color="000000"/>
        </w:rPr>
        <w:t>en el cual literalmente se indicó:</w:t>
      </w:r>
    </w:p>
    <w:p w:rsidRPr="00F31A99" w:rsidR="00F31A99" w:rsidP="00F31A99" w:rsidRDefault="00F31A99" w14:paraId="2E7C9949" w14:textId="77777777">
      <w:pPr>
        <w:widowControl w:val="0"/>
        <w:autoSpaceDN w:val="0"/>
        <w:rPr>
          <w:rFonts w:ascii="Times New Roman" w:hAnsi="Times New Roman" w:eastAsia="Calibri" w:cs="Times New Roman"/>
          <w:b/>
          <w:bCs/>
          <w:sz w:val="24"/>
          <w:u w:color="000000"/>
        </w:rPr>
      </w:pPr>
    </w:p>
    <w:bookmarkStart w:name="_MON_1677496404" w:id="6"/>
    <w:bookmarkEnd w:id="6"/>
    <w:p w:rsidRPr="00F31A99" w:rsidR="00F31A99" w:rsidP="00F31A99" w:rsidRDefault="00F31A99" w14:paraId="7D113E89" w14:textId="77777777">
      <w:pPr>
        <w:widowControl w:val="0"/>
        <w:autoSpaceDN w:val="0"/>
        <w:jc w:val="center"/>
        <w:rPr>
          <w:rFonts w:ascii="Times New Roman" w:hAnsi="Times New Roman" w:eastAsia="Calibri" w:cs="Times New Roman"/>
          <w:b/>
          <w:bCs/>
          <w:sz w:val="24"/>
          <w:u w:color="000000"/>
        </w:rPr>
      </w:pPr>
      <w:r w:rsidRPr="00F31A99">
        <w:rPr>
          <w:rFonts w:ascii="Times New Roman" w:hAnsi="Times New Roman" w:eastAsia="Calibri" w:cs="Times New Roman"/>
          <w:b/>
          <w:bCs/>
          <w:sz w:val="24"/>
          <w:u w:color="000000"/>
        </w:rPr>
        <w:object w:dxaOrig="1376" w:dyaOrig="899" w14:anchorId="24220EE7">
          <v:shape id="_x0000_i1596" style="width:68.85pt;height:45.1pt" o:ole="" type="#_x0000_t75">
            <v:imagedata o:title="" r:id="rId39"/>
          </v:shape>
          <o:OLEObject Type="Embed" ProgID="Word.Document.12" ShapeID="_x0000_i1596" DrawAspect="Icon" ObjectID="_1681900452" r:id="rId40">
            <o:FieldCodes>\s</o:FieldCodes>
          </o:OLEObject>
        </w:object>
      </w:r>
    </w:p>
    <w:p w:rsidRPr="00F31A99" w:rsidR="00F31A99" w:rsidP="00F31A99" w:rsidRDefault="00F31A99" w14:paraId="199916BE" w14:textId="77777777">
      <w:pPr>
        <w:widowControl w:val="0"/>
        <w:spacing w:line="360" w:lineRule="auto"/>
        <w:jc w:val="center"/>
        <w:rPr>
          <w:rFonts w:ascii="Times New Roman" w:hAnsi="Times New Roman" w:eastAsia="Times New Roman" w:cs="Times New Roman"/>
          <w:b/>
          <w:bCs/>
          <w:i/>
          <w:iCs/>
          <w:sz w:val="20"/>
          <w:szCs w:val="20"/>
          <w:u w:val="single" w:color="000000"/>
          <w:lang w:eastAsia="es-ES"/>
        </w:rPr>
      </w:pPr>
    </w:p>
    <w:p w:rsidRPr="00F31A99" w:rsidR="00F31A99" w:rsidP="00F31A99" w:rsidRDefault="00F31A99" w14:paraId="210A2C00" w14:textId="77777777">
      <w:pPr>
        <w:widowControl w:val="0"/>
        <w:jc w:val="center"/>
        <w:rPr>
          <w:rFonts w:ascii="Times New Roman" w:hAnsi="Times New Roman" w:eastAsia="Times New Roman" w:cs="Times New Roman"/>
          <w:b/>
          <w:bCs/>
          <w:i/>
          <w:iCs/>
          <w:sz w:val="26"/>
          <w:szCs w:val="26"/>
          <w:u w:val="single" w:color="000000"/>
          <w:lang w:eastAsia="es-ES"/>
        </w:rPr>
      </w:pPr>
      <w:r w:rsidRPr="00F31A99">
        <w:rPr>
          <w:rFonts w:ascii="Times New Roman" w:hAnsi="Times New Roman" w:eastAsia="Times New Roman" w:cs="Times New Roman"/>
          <w:b/>
          <w:bCs/>
          <w:i/>
          <w:iCs/>
          <w:sz w:val="26"/>
          <w:szCs w:val="26"/>
          <w:u w:val="single" w:color="000000"/>
          <w:lang w:eastAsia="es-ES"/>
        </w:rPr>
        <w:t>“ARTÍCULO UNICO</w:t>
      </w:r>
    </w:p>
    <w:p w:rsidRPr="00F31A99" w:rsidR="00F31A99" w:rsidP="00F31A99" w:rsidRDefault="00F31A99" w14:paraId="1E46BF96" w14:textId="77777777">
      <w:pPr>
        <w:widowControl w:val="0"/>
        <w:autoSpaceDE w:val="0"/>
        <w:autoSpaceDN w:val="0"/>
        <w:adjustRightInd w:val="0"/>
        <w:ind w:left="851" w:right="851" w:firstLine="709"/>
        <w:jc w:val="both"/>
        <w:rPr>
          <w:rFonts w:ascii="Times New Roman" w:hAnsi="Times New Roman" w:eastAsia="Calibri" w:cs="Times New Roman"/>
          <w:i/>
          <w:iCs/>
          <w:sz w:val="26"/>
          <w:szCs w:val="26"/>
          <w:u w:color="000000"/>
          <w:lang w:eastAsia="es-ES"/>
        </w:rPr>
      </w:pPr>
    </w:p>
    <w:p w:rsidRPr="00F31A99" w:rsidR="00F31A99" w:rsidP="00F31A99" w:rsidRDefault="00F31A99" w14:paraId="1B30B131" w14:textId="77777777">
      <w:pPr>
        <w:widowControl w:val="0"/>
        <w:autoSpaceDE w:val="0"/>
        <w:autoSpaceDN w:val="0"/>
        <w:adjustRightInd w:val="0"/>
        <w:ind w:left="851" w:right="851" w:firstLine="709"/>
        <w:jc w:val="both"/>
        <w:rPr>
          <w:rFonts w:ascii="Times New Roman" w:hAnsi="Times New Roman" w:eastAsia="Calibri" w:cs="Times New Roman"/>
          <w:i/>
          <w:iCs/>
          <w:sz w:val="26"/>
          <w:szCs w:val="26"/>
          <w:u w:color="000000"/>
          <w:lang w:eastAsia="es-ES"/>
        </w:rPr>
      </w:pPr>
      <w:r w:rsidRPr="00F31A99">
        <w:rPr>
          <w:rFonts w:ascii="Times New Roman" w:hAnsi="Times New Roman" w:eastAsia="Calibri" w:cs="Times New Roman"/>
          <w:i/>
          <w:iCs/>
          <w:sz w:val="26"/>
          <w:szCs w:val="26"/>
          <w:u w:color="000000"/>
          <w:lang w:eastAsia="es-ES"/>
        </w:rPr>
        <w:t xml:space="preserve">El Lic. Jonathan Montiel Álvarez, Jefe del Subproceso de </w:t>
      </w:r>
      <w:r w:rsidRPr="00F31A99">
        <w:rPr>
          <w:rFonts w:ascii="Times New Roman" w:hAnsi="Times New Roman" w:eastAsia="Calibri" w:cs="Times New Roman"/>
          <w:i/>
          <w:iCs/>
          <w:sz w:val="26"/>
          <w:szCs w:val="26"/>
          <w:u w:color="000000"/>
          <w:lang w:eastAsia="es-ES"/>
        </w:rPr>
        <w:lastRenderedPageBreak/>
        <w:t>Gestión del Servicio de la Dirección de Tecnología, presenta el oficio 339-DTI-2021 “ACTUALIZACIÓN DEL ANÁLISIS DEL LEASING COMO MODALIDAD DE INVERSIÓN EN EQUIPO DE CÓMPUTO PARA EL PODER JUDICIAL”.</w:t>
      </w:r>
    </w:p>
    <w:p w:rsidRPr="00F31A99" w:rsidR="00F31A99" w:rsidP="00F31A99" w:rsidRDefault="00F31A99" w14:paraId="360A5428" w14:textId="77777777">
      <w:pPr>
        <w:widowControl w:val="0"/>
        <w:autoSpaceDE w:val="0"/>
        <w:autoSpaceDN w:val="0"/>
        <w:adjustRightInd w:val="0"/>
        <w:ind w:left="851" w:right="851" w:firstLine="709"/>
        <w:jc w:val="both"/>
        <w:rPr>
          <w:rFonts w:ascii="Times New Roman" w:hAnsi="Times New Roman" w:eastAsia="Calibri" w:cs="Times New Roman"/>
          <w:i/>
          <w:iCs/>
          <w:sz w:val="26"/>
          <w:szCs w:val="26"/>
          <w:u w:color="000000"/>
          <w:lang w:eastAsia="es-ES"/>
        </w:rPr>
      </w:pPr>
    </w:p>
    <w:p w:rsidRPr="00F31A99" w:rsidR="00F31A99" w:rsidP="00F31A99" w:rsidRDefault="00F31A99" w14:paraId="454B5494" w14:textId="77777777">
      <w:pPr>
        <w:widowControl w:val="0"/>
        <w:autoSpaceDN w:val="0"/>
        <w:ind w:left="851" w:right="851" w:firstLine="709"/>
        <w:jc w:val="both"/>
        <w:rPr>
          <w:rFonts w:ascii="Times New Roman" w:hAnsi="Times New Roman" w:eastAsia="Calibri" w:cs="Times New Roman"/>
          <w:i/>
          <w:iCs/>
          <w:sz w:val="26"/>
          <w:szCs w:val="26"/>
          <w:u w:color="000000"/>
        </w:rPr>
      </w:pPr>
      <w:r w:rsidRPr="00F31A99">
        <w:rPr>
          <w:rFonts w:ascii="Times New Roman" w:hAnsi="Times New Roman" w:eastAsia="Calibri" w:cs="Times New Roman"/>
          <w:i/>
          <w:iCs/>
          <w:sz w:val="26"/>
          <w:szCs w:val="26"/>
          <w:u w:color="000000"/>
        </w:rPr>
        <w:t>Anotaciones</w:t>
      </w:r>
    </w:p>
    <w:p w:rsidRPr="00F31A99" w:rsidR="00F31A99" w:rsidP="00F31A99" w:rsidRDefault="00F31A99" w14:paraId="75F887A1" w14:textId="77777777">
      <w:pPr>
        <w:widowControl w:val="0"/>
        <w:autoSpaceDN w:val="0"/>
        <w:rPr>
          <w:rFonts w:ascii="Times New Roman" w:hAnsi="Times New Roman" w:eastAsia="Calibri" w:cs="Times New Roman"/>
          <w:i/>
          <w:iCs/>
          <w:u w:color="000000"/>
        </w:rPr>
      </w:pPr>
    </w:p>
    <w:tbl>
      <w:tblPr>
        <w:tblStyle w:val="Tablaconcuadrcula3"/>
        <w:tblW w:w="8828" w:type="dxa"/>
        <w:jc w:val="center"/>
        <w:tblLook w:val="04A0" w:firstRow="1" w:lastRow="0" w:firstColumn="1" w:lastColumn="0" w:noHBand="0" w:noVBand="1"/>
      </w:tblPr>
      <w:tblGrid>
        <w:gridCol w:w="546"/>
        <w:gridCol w:w="8282"/>
      </w:tblGrid>
      <w:tr w:rsidRPr="00F31A99" w:rsidR="00AE1B2B" w:rsidTr="00F31A99" w14:paraId="501CAC71" w14:textId="77777777">
        <w:trPr>
          <w:tblHeader/>
          <w:jc w:val="center"/>
        </w:trPr>
        <w:tc>
          <w:tcPr>
            <w:tcW w:w="8828" w:type="dxa"/>
            <w:gridSpan w:val="2"/>
            <w:shd w:val="clear" w:color="auto" w:fill="C9C9C9"/>
            <w:vAlign w:val="center"/>
          </w:tcPr>
          <w:p w:rsidRPr="00F31A99" w:rsidR="00F31A99" w:rsidP="00F31A99" w:rsidRDefault="00F31A99" w14:paraId="5A7831D5" w14:textId="77777777">
            <w:pPr>
              <w:widowControl w:val="0"/>
              <w:jc w:val="center"/>
              <w:rPr>
                <w:rFonts w:ascii="Times New Roman" w:hAnsi="Times New Roman" w:cs="Times New Roman"/>
                <w:b/>
                <w:bCs/>
                <w:i/>
                <w:iCs/>
                <w:u w:color="000000"/>
              </w:rPr>
            </w:pPr>
            <w:r w:rsidRPr="00F31A99">
              <w:rPr>
                <w:rFonts w:ascii="Times New Roman" w:hAnsi="Times New Roman" w:cs="Times New Roman"/>
                <w:b/>
                <w:bCs/>
                <w:i/>
                <w:iCs/>
                <w:u w:color="000000"/>
              </w:rPr>
              <w:t>Comentarios</w:t>
            </w:r>
          </w:p>
        </w:tc>
      </w:tr>
      <w:tr w:rsidRPr="00F31A99" w:rsidR="00AE1B2B" w:rsidTr="00F31A99" w14:paraId="5F757DBC" w14:textId="77777777">
        <w:trPr>
          <w:tblHeader/>
          <w:jc w:val="center"/>
        </w:trPr>
        <w:tc>
          <w:tcPr>
            <w:tcW w:w="546" w:type="dxa"/>
            <w:shd w:val="clear" w:color="auto" w:fill="F2F2F2"/>
            <w:vAlign w:val="center"/>
          </w:tcPr>
          <w:p w:rsidRPr="00F31A99" w:rsidR="00F31A99" w:rsidP="00F31A99" w:rsidRDefault="00F31A99" w14:paraId="771052C0" w14:textId="77777777">
            <w:pPr>
              <w:widowControl w:val="0"/>
              <w:rPr>
                <w:rFonts w:ascii="Times New Roman" w:hAnsi="Times New Roman" w:cs="Times New Roman"/>
                <w:b/>
                <w:bCs/>
                <w:i/>
                <w:iCs/>
                <w:u w:color="000000"/>
              </w:rPr>
            </w:pPr>
            <w:r w:rsidRPr="00F31A99">
              <w:rPr>
                <w:rFonts w:ascii="Times New Roman" w:hAnsi="Times New Roman" w:cs="Times New Roman"/>
                <w:b/>
                <w:bCs/>
                <w:i/>
                <w:iCs/>
                <w:u w:color="000000"/>
              </w:rPr>
              <w:t>#</w:t>
            </w:r>
          </w:p>
        </w:tc>
        <w:tc>
          <w:tcPr>
            <w:tcW w:w="8282" w:type="dxa"/>
            <w:shd w:val="clear" w:color="auto" w:fill="F2F2F2"/>
            <w:vAlign w:val="center"/>
          </w:tcPr>
          <w:p w:rsidRPr="00F31A99" w:rsidR="00F31A99" w:rsidP="00F31A99" w:rsidRDefault="00F31A99" w14:paraId="48437893" w14:textId="77777777">
            <w:pPr>
              <w:widowControl w:val="0"/>
              <w:rPr>
                <w:rFonts w:ascii="Times New Roman" w:hAnsi="Times New Roman" w:cs="Times New Roman"/>
                <w:b/>
                <w:bCs/>
                <w:i/>
                <w:iCs/>
                <w:u w:color="000000"/>
              </w:rPr>
            </w:pPr>
            <w:r w:rsidRPr="00F31A99">
              <w:rPr>
                <w:rFonts w:ascii="Times New Roman" w:hAnsi="Times New Roman" w:cs="Times New Roman"/>
                <w:b/>
                <w:bCs/>
                <w:i/>
                <w:iCs/>
                <w:u w:color="000000"/>
              </w:rPr>
              <w:t>Detalle</w:t>
            </w:r>
          </w:p>
        </w:tc>
      </w:tr>
      <w:tr w:rsidRPr="00F31A99" w:rsidR="00AE1B2B" w:rsidTr="00A306B2" w14:paraId="7DBB0B13" w14:textId="77777777">
        <w:trPr>
          <w:jc w:val="center"/>
        </w:trPr>
        <w:tc>
          <w:tcPr>
            <w:tcW w:w="546" w:type="dxa"/>
            <w:vAlign w:val="center"/>
          </w:tcPr>
          <w:p w:rsidRPr="00F31A99" w:rsidR="00F31A99" w:rsidP="00F31A99" w:rsidRDefault="00F31A99" w14:paraId="39658970" w14:textId="77777777">
            <w:pPr>
              <w:widowControl w:val="0"/>
              <w:autoSpaceDN w:val="0"/>
              <w:rPr>
                <w:rFonts w:ascii="Times New Roman" w:hAnsi="Times New Roman" w:cs="Times New Roman"/>
                <w:i/>
                <w:iCs/>
                <w:u w:color="000000"/>
              </w:rPr>
            </w:pPr>
            <w:r w:rsidRPr="00F31A99">
              <w:rPr>
                <w:rFonts w:ascii="Times New Roman" w:hAnsi="Times New Roman" w:cs="Times New Roman"/>
                <w:i/>
                <w:iCs/>
                <w:u w:color="000000"/>
              </w:rPr>
              <w:t>1</w:t>
            </w:r>
          </w:p>
        </w:tc>
        <w:tc>
          <w:tcPr>
            <w:tcW w:w="8282" w:type="dxa"/>
            <w:vAlign w:val="center"/>
          </w:tcPr>
          <w:p w:rsidRPr="00F31A99" w:rsidR="00F31A99" w:rsidP="00F31A99" w:rsidRDefault="00F31A99" w14:paraId="075655FF" w14:textId="77777777">
            <w:pPr>
              <w:widowControl w:val="0"/>
              <w:autoSpaceDN w:val="0"/>
              <w:rPr>
                <w:rFonts w:ascii="Times New Roman" w:hAnsi="Times New Roman" w:cs="Times New Roman"/>
                <w:i/>
                <w:iCs/>
                <w:u w:color="000000"/>
              </w:rPr>
            </w:pPr>
            <w:r w:rsidRPr="00F31A99">
              <w:rPr>
                <w:rFonts w:ascii="Times New Roman" w:hAnsi="Times New Roman" w:cs="Times New Roman"/>
                <w:i/>
                <w:iCs/>
                <w:u w:color="000000"/>
              </w:rPr>
              <w:t>Doña Nacira consulta, si los 8 mil millones es para la compra total de los equipos del contrato en computadoras portátiles y cuál es el criterio tecnológico de la Dirección</w:t>
            </w:r>
          </w:p>
          <w:p w:rsidRPr="00F31A99" w:rsidR="00F31A99" w:rsidP="00F31A99" w:rsidRDefault="00F31A99" w14:paraId="162DD5FB" w14:textId="77777777">
            <w:pPr>
              <w:widowControl w:val="0"/>
              <w:autoSpaceDN w:val="0"/>
              <w:rPr>
                <w:rFonts w:ascii="Times New Roman" w:hAnsi="Times New Roman" w:cs="Times New Roman"/>
                <w:i/>
                <w:iCs/>
                <w:u w:color="000000"/>
              </w:rPr>
            </w:pPr>
            <w:r w:rsidRPr="00F31A99">
              <w:rPr>
                <w:rFonts w:ascii="Times New Roman" w:hAnsi="Times New Roman" w:cs="Times New Roman"/>
                <w:i/>
                <w:iCs/>
                <w:u w:color="000000"/>
              </w:rPr>
              <w:t xml:space="preserve">Doña Kattia indica, que no se da una sugerencia en el informe, ya que el criterio se basa en el presupuesto, por lo cual el cambiar todos los equipos del nuevo contrato a computadoras portátiles es un tema estratégico por parte de la DTIC, que nos permite mantener el equipo actualizado y no tener el riesgo de obsolescencia </w:t>
            </w:r>
          </w:p>
          <w:p w:rsidRPr="00F31A99" w:rsidR="00F31A99" w:rsidP="00F31A99" w:rsidRDefault="00F31A99" w14:paraId="7776B674" w14:textId="77777777">
            <w:pPr>
              <w:widowControl w:val="0"/>
              <w:autoSpaceDN w:val="0"/>
              <w:rPr>
                <w:rFonts w:ascii="Times New Roman" w:hAnsi="Times New Roman" w:cs="Times New Roman"/>
                <w:i/>
                <w:iCs/>
                <w:u w:color="000000"/>
              </w:rPr>
            </w:pPr>
            <w:r w:rsidRPr="00F31A99">
              <w:rPr>
                <w:rFonts w:ascii="Times New Roman" w:hAnsi="Times New Roman" w:cs="Times New Roman"/>
                <w:i/>
                <w:iCs/>
                <w:u w:color="000000"/>
              </w:rPr>
              <w:t>Don Martin indica, que para responderle la pregunta puntualmente a doña Nacira, ya sea en un contrato de alquiler o compra, técnicamente los equipos son los mismos, por lo que técnicamente no habría diferencias.</w:t>
            </w:r>
          </w:p>
          <w:p w:rsidRPr="00F31A99" w:rsidR="00F31A99" w:rsidP="00F31A99" w:rsidRDefault="00F31A99" w14:paraId="204269CB" w14:textId="77777777">
            <w:pPr>
              <w:widowControl w:val="0"/>
              <w:autoSpaceDN w:val="0"/>
              <w:rPr>
                <w:rFonts w:ascii="Times New Roman" w:hAnsi="Times New Roman" w:cs="Times New Roman"/>
                <w:i/>
                <w:iCs/>
                <w:u w:color="000000"/>
              </w:rPr>
            </w:pPr>
            <w:r w:rsidRPr="00F31A99">
              <w:rPr>
                <w:rFonts w:ascii="Times New Roman" w:hAnsi="Times New Roman" w:cs="Times New Roman"/>
                <w:i/>
                <w:iCs/>
                <w:u w:color="000000"/>
              </w:rPr>
              <w:t>Don Luis indica, que se inclina por un contrato de Leasing y 100% equipos portátiles, esto porque las condiciones financieras se facilitan con el leasing al diluirse en el presupuesto a 4 años, siendo que el soporte y mantenimiento lo asume el arrendante. Cambiar el contrato a 100% de equipo portátil, nos da un cambio de cultura a la institución y nos da mayor acceso a la virtualización.</w:t>
            </w:r>
          </w:p>
          <w:p w:rsidRPr="00F31A99" w:rsidR="00F31A99" w:rsidP="00F31A99" w:rsidRDefault="00F31A99" w14:paraId="2EE148B8" w14:textId="77777777">
            <w:pPr>
              <w:widowControl w:val="0"/>
              <w:autoSpaceDN w:val="0"/>
              <w:rPr>
                <w:rFonts w:ascii="Times New Roman" w:hAnsi="Times New Roman" w:cs="Times New Roman"/>
                <w:i/>
                <w:iCs/>
                <w:u w:color="000000"/>
              </w:rPr>
            </w:pPr>
            <w:r w:rsidRPr="00F31A99">
              <w:rPr>
                <w:rFonts w:ascii="Times New Roman" w:hAnsi="Times New Roman" w:cs="Times New Roman"/>
                <w:i/>
                <w:iCs/>
                <w:u w:color="000000"/>
              </w:rPr>
              <w:t>Don Wilbert indica, que se inclina por el alquiler y el valor de rescate de la compra no es tan real, ya que se requiere bodegaje y trámites que generan una carga administrativa considerable. Indica si se ha valorado que el cambiar todo el contrato por computadoras portátiles, va a requerir mayor licenciamiento VPN o demás para los sistemas, lo cual sería un gasto mayor</w:t>
            </w:r>
          </w:p>
          <w:p w:rsidRPr="00F31A99" w:rsidR="00F31A99" w:rsidP="00F31A99" w:rsidRDefault="00F31A99" w14:paraId="13AF889F" w14:textId="77777777">
            <w:pPr>
              <w:widowControl w:val="0"/>
              <w:autoSpaceDN w:val="0"/>
              <w:rPr>
                <w:rFonts w:ascii="Times New Roman" w:hAnsi="Times New Roman" w:cs="Times New Roman"/>
                <w:i/>
                <w:iCs/>
                <w:u w:color="000000"/>
              </w:rPr>
            </w:pPr>
            <w:r w:rsidRPr="00F31A99">
              <w:rPr>
                <w:rFonts w:ascii="Times New Roman" w:hAnsi="Times New Roman" w:cs="Times New Roman"/>
                <w:i/>
                <w:iCs/>
                <w:u w:color="000000"/>
              </w:rPr>
              <w:t xml:space="preserve">Doña Kattia indica, que sí puede generar un aumento en el licenciamiento de VPN y VDI, pero se ha analizado que la demanda VPN en computadora personal no es el deseado porque los usuarios no tienen los requerimientos mínimos requeridos según circular, por lo cual, no se les puede asignar la licencia de VPN, por lo que se inclinan a VDI, dónde la misma le permite usar los sistemas jurisdiccionales, pero es más costoso. Además, el nuevo sistema de gestión no requeriría acceso al VPN. </w:t>
            </w:r>
          </w:p>
          <w:p w:rsidRPr="00F31A99" w:rsidR="00F31A99" w:rsidP="00F31A99" w:rsidRDefault="00F31A99" w14:paraId="50190411" w14:textId="77777777">
            <w:pPr>
              <w:widowControl w:val="0"/>
              <w:autoSpaceDN w:val="0"/>
              <w:rPr>
                <w:rFonts w:ascii="Times New Roman" w:hAnsi="Times New Roman" w:cs="Times New Roman"/>
                <w:i/>
                <w:iCs/>
                <w:u w:color="000000"/>
              </w:rPr>
            </w:pPr>
          </w:p>
          <w:p w:rsidRPr="00F31A99" w:rsidR="00F31A99" w:rsidP="00F31A99" w:rsidRDefault="00F31A99" w14:paraId="6ABDE4E1" w14:textId="77777777">
            <w:pPr>
              <w:widowControl w:val="0"/>
              <w:autoSpaceDN w:val="0"/>
              <w:rPr>
                <w:rFonts w:ascii="Times New Roman" w:hAnsi="Times New Roman" w:cs="Times New Roman"/>
                <w:i/>
                <w:iCs/>
                <w:u w:color="000000"/>
              </w:rPr>
            </w:pPr>
            <w:r w:rsidRPr="00F31A99">
              <w:rPr>
                <w:rFonts w:ascii="Times New Roman" w:hAnsi="Times New Roman" w:cs="Times New Roman"/>
                <w:i/>
                <w:iCs/>
                <w:u w:color="000000"/>
              </w:rPr>
              <w:t>Don Martin indica, que sí se van a requerir más licencias, pero tener un equipo portátil con las licencias institucionales, nos va a permitir tener mayor seguridad en los equipos.</w:t>
            </w:r>
          </w:p>
          <w:p w:rsidRPr="00F31A99" w:rsidR="00F31A99" w:rsidP="00F31A99" w:rsidRDefault="00F31A99" w14:paraId="12026A60" w14:textId="77777777">
            <w:pPr>
              <w:widowControl w:val="0"/>
              <w:autoSpaceDN w:val="0"/>
              <w:rPr>
                <w:rFonts w:ascii="Times New Roman" w:hAnsi="Times New Roman" w:cs="Times New Roman"/>
                <w:i/>
                <w:iCs/>
                <w:u w:color="000000"/>
              </w:rPr>
            </w:pPr>
          </w:p>
          <w:p w:rsidRPr="00F31A99" w:rsidR="00F31A99" w:rsidP="00F31A99" w:rsidRDefault="00F31A99" w14:paraId="01B7A82A" w14:textId="77777777">
            <w:pPr>
              <w:widowControl w:val="0"/>
              <w:autoSpaceDN w:val="0"/>
              <w:rPr>
                <w:rFonts w:ascii="Times New Roman" w:hAnsi="Times New Roman" w:cs="Times New Roman"/>
                <w:i/>
                <w:iCs/>
                <w:u w:color="000000"/>
              </w:rPr>
            </w:pPr>
          </w:p>
        </w:tc>
      </w:tr>
    </w:tbl>
    <w:p w:rsidRPr="00F31A99" w:rsidR="00F31A99" w:rsidP="00F31A99" w:rsidRDefault="00F31A99" w14:paraId="0BA4E479" w14:textId="77777777">
      <w:pPr>
        <w:widowControl w:val="0"/>
        <w:autoSpaceDN w:val="0"/>
        <w:ind w:left="708"/>
        <w:rPr>
          <w:rFonts w:ascii="Times New Roman" w:hAnsi="Times New Roman" w:eastAsia="Calibri" w:cs="Times New Roman"/>
          <w:b/>
          <w:bCs/>
          <w:i/>
          <w:iCs/>
          <w:u w:color="000000"/>
          <w:lang w:eastAsia="es-ES"/>
        </w:rPr>
      </w:pPr>
    </w:p>
    <w:p w:rsidRPr="00F31A99" w:rsidR="00F31A99" w:rsidP="00F31A99" w:rsidRDefault="00F31A99" w14:paraId="4FDDB738" w14:textId="77777777">
      <w:pPr>
        <w:widowControl w:val="0"/>
        <w:ind w:left="851" w:right="851" w:firstLine="709"/>
        <w:jc w:val="both"/>
        <w:rPr>
          <w:rFonts w:ascii="Times New Roman" w:hAnsi="Times New Roman" w:eastAsia="Calibri" w:cs="Times New Roman"/>
          <w:i/>
          <w:iCs/>
          <w:sz w:val="26"/>
          <w:szCs w:val="26"/>
          <w:u w:color="000000"/>
          <w:lang w:eastAsia="es-CR"/>
        </w:rPr>
      </w:pPr>
      <w:r w:rsidRPr="00F31A99">
        <w:rPr>
          <w:rFonts w:ascii="Times New Roman" w:hAnsi="Times New Roman" w:eastAsia="Calibri" w:cs="Times New Roman"/>
          <w:b/>
          <w:bCs/>
          <w:i/>
          <w:iCs/>
          <w:sz w:val="26"/>
          <w:szCs w:val="26"/>
          <w:u w:color="000000"/>
          <w:lang w:eastAsia="es-CR"/>
        </w:rPr>
        <w:t>Se acordó: 1)</w:t>
      </w:r>
      <w:r w:rsidRPr="00F31A99">
        <w:rPr>
          <w:rFonts w:ascii="Times New Roman" w:hAnsi="Times New Roman" w:eastAsia="Calibri" w:cs="Times New Roman"/>
          <w:i/>
          <w:iCs/>
          <w:sz w:val="26"/>
          <w:szCs w:val="26"/>
          <w:u w:color="000000"/>
          <w:lang w:eastAsia="es-CR"/>
        </w:rPr>
        <w:t xml:space="preserve"> Tener por rendido el informe del Subproceso de Gestión del Servicio de la Dirección de Tecnología, referente “ACTUALIZACIÓN DEL ANÁLISIS DEL LEASING COMO MODALIDAD DE INVERSIÓN EN EQUIPO DE CÓMPUTO PARA EL PODER JUDICIAL”. Completar el estudio para agregar el valor de rescate y costos ocultos. </w:t>
      </w:r>
      <w:r w:rsidRPr="00F31A99">
        <w:rPr>
          <w:rFonts w:ascii="Times New Roman" w:hAnsi="Times New Roman" w:eastAsia="Calibri" w:cs="Times New Roman"/>
          <w:b/>
          <w:bCs/>
          <w:i/>
          <w:iCs/>
          <w:sz w:val="26"/>
          <w:szCs w:val="26"/>
          <w:u w:color="000000"/>
          <w:lang w:eastAsia="es-CR"/>
        </w:rPr>
        <w:t>2)</w:t>
      </w:r>
      <w:r w:rsidRPr="00F31A99">
        <w:rPr>
          <w:rFonts w:ascii="Times New Roman" w:hAnsi="Times New Roman" w:eastAsia="Calibri" w:cs="Times New Roman"/>
          <w:i/>
          <w:iCs/>
          <w:sz w:val="26"/>
          <w:szCs w:val="26"/>
          <w:u w:color="000000"/>
          <w:lang w:eastAsia="es-CR"/>
        </w:rPr>
        <w:t xml:space="preserve"> Proponer al Consejo Superior que el nuevo contrato sea Leasing y que sea 100% portátil. </w:t>
      </w:r>
    </w:p>
    <w:p w:rsidRPr="00F31A99" w:rsidR="00F31A99" w:rsidP="00F31A99" w:rsidRDefault="00F31A99" w14:paraId="07CAC134" w14:textId="77777777">
      <w:pPr>
        <w:widowControl w:val="0"/>
        <w:ind w:left="851" w:right="851" w:firstLine="709"/>
        <w:jc w:val="both"/>
        <w:rPr>
          <w:rFonts w:ascii="Times New Roman" w:hAnsi="Times New Roman" w:eastAsia="Calibri" w:cs="Times New Roman"/>
          <w:i/>
          <w:iCs/>
          <w:sz w:val="26"/>
          <w:szCs w:val="26"/>
          <w:u w:color="000000"/>
          <w:lang w:eastAsia="es-CR"/>
        </w:rPr>
      </w:pPr>
    </w:p>
    <w:p w:rsidRPr="00F31A99" w:rsidR="00F31A99" w:rsidP="00F31A99" w:rsidRDefault="00F31A99" w14:paraId="0862A3E9" w14:textId="77777777">
      <w:pPr>
        <w:widowControl w:val="0"/>
        <w:ind w:left="851" w:right="851" w:firstLine="709"/>
        <w:jc w:val="both"/>
        <w:rPr>
          <w:rFonts w:ascii="Times New Roman" w:hAnsi="Times New Roman" w:eastAsia="Calibri" w:cs="Times New Roman"/>
          <w:i/>
          <w:iCs/>
          <w:sz w:val="26"/>
          <w:szCs w:val="26"/>
          <w:u w:color="000000"/>
          <w:lang w:eastAsia="es-CR"/>
        </w:rPr>
      </w:pPr>
      <w:r w:rsidRPr="00F31A99">
        <w:rPr>
          <w:rFonts w:ascii="Times New Roman" w:hAnsi="Times New Roman" w:eastAsia="Calibri" w:cs="Times New Roman"/>
          <w:i/>
          <w:iCs/>
          <w:sz w:val="26"/>
          <w:szCs w:val="26"/>
          <w:u w:color="000000"/>
          <w:lang w:eastAsia="es-CR"/>
        </w:rPr>
        <w:t xml:space="preserve">Doña Nacira, se abstiene a votar hasta no tener el detalle del </w:t>
      </w:r>
      <w:r w:rsidRPr="00F31A99">
        <w:rPr>
          <w:rFonts w:ascii="Times New Roman" w:hAnsi="Times New Roman" w:eastAsia="Calibri" w:cs="Times New Roman"/>
          <w:i/>
          <w:iCs/>
          <w:sz w:val="26"/>
          <w:szCs w:val="26"/>
          <w:u w:color="000000"/>
          <w:lang w:eastAsia="es-CR"/>
        </w:rPr>
        <w:lastRenderedPageBreak/>
        <w:t>aumento por mes del costo del nuevo contrato al 100% portátiles, posteriormente se remitió informe final con los datos solicitados, sin embargo, no se recibió manifestación ni a favor ni en contra de la propuesta”.</w:t>
      </w:r>
    </w:p>
    <w:p w:rsidRPr="00F31A99" w:rsidR="00F31A99" w:rsidP="00F31A99" w:rsidRDefault="00F31A99" w14:paraId="4B36E814" w14:textId="77777777">
      <w:pPr>
        <w:widowControl w:val="0"/>
        <w:ind w:left="851" w:right="851" w:firstLine="709"/>
        <w:jc w:val="both"/>
        <w:rPr>
          <w:rFonts w:ascii="Times New Roman" w:hAnsi="Times New Roman" w:eastAsia="Calibri" w:cs="Times New Roman"/>
          <w:sz w:val="26"/>
          <w:szCs w:val="26"/>
          <w:u w:color="000000"/>
          <w:lang w:eastAsia="es-CR"/>
        </w:rPr>
      </w:pPr>
    </w:p>
    <w:p w:rsidRPr="00F31A99" w:rsidR="00F31A99" w:rsidP="00F31A99" w:rsidRDefault="00F31A99" w14:paraId="14721738"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Al respecto, el Lic. Martín Hernández Serrano de la Dirección de Tecnología de la Información expone e informa del alcance del estudio realizado y los escenarios correspondientes.</w:t>
      </w:r>
    </w:p>
    <w:p w:rsidRPr="00F31A99" w:rsidR="00F31A99" w:rsidP="00F31A99" w:rsidRDefault="00F31A99" w14:paraId="77F16B8C"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03B7E082" w14:textId="77777777">
      <w:pPr>
        <w:widowControl w:val="0"/>
        <w:tabs>
          <w:tab w:val="left" w:pos="1320"/>
        </w:tabs>
        <w:autoSpaceDN w:val="0"/>
        <w:spacing w:line="480" w:lineRule="auto"/>
        <w:jc w:val="center"/>
        <w:rPr>
          <w:rFonts w:ascii="Times New Roman" w:hAnsi="Times New Roman" w:eastAsia="Times New Roman" w:cs="Times New Roman"/>
          <w:b/>
          <w:sz w:val="28"/>
          <w:szCs w:val="28"/>
          <w:u w:color="000000"/>
          <w:lang w:eastAsia="es-CR"/>
        </w:rPr>
      </w:pPr>
      <w:r w:rsidRPr="00F31A99">
        <w:rPr>
          <w:rFonts w:ascii="Times New Roman" w:hAnsi="Times New Roman" w:eastAsia="Times New Roman" w:cs="Times New Roman"/>
          <w:sz w:val="28"/>
          <w:szCs w:val="28"/>
          <w:u w:color="000000"/>
          <w:lang w:eastAsia="es-CR"/>
        </w:rPr>
        <w:t>- 0 -</w:t>
      </w:r>
    </w:p>
    <w:p w:rsidRPr="00F31A99" w:rsidR="00F31A99" w:rsidP="00F31A99" w:rsidRDefault="00F31A99" w14:paraId="402C9E70" w14:textId="77777777">
      <w:pPr>
        <w:widowControl w:val="0"/>
        <w:autoSpaceDN w:val="0"/>
        <w:spacing w:line="480" w:lineRule="auto"/>
        <w:ind w:firstLine="708"/>
        <w:jc w:val="both"/>
        <w:rPr>
          <w:rFonts w:ascii="Times New Roman" w:hAnsi="Times New Roman" w:eastAsia="Calibri" w:cs="Times New Roman"/>
          <w:sz w:val="28"/>
          <w:szCs w:val="28"/>
          <w:u w:color="000000"/>
        </w:rPr>
      </w:pPr>
      <w:r w:rsidRPr="00F31A99">
        <w:rPr>
          <w:rFonts w:ascii="Times New Roman" w:hAnsi="Times New Roman" w:eastAsia="Calibri" w:cs="Times New Roman"/>
          <w:b/>
          <w:bCs/>
          <w:sz w:val="28"/>
          <w:szCs w:val="28"/>
          <w:u w:color="000000"/>
        </w:rPr>
        <w:t>Se acordó</w:t>
      </w:r>
      <w:r w:rsidRPr="00F31A99">
        <w:rPr>
          <w:rFonts w:ascii="Times New Roman" w:hAnsi="Times New Roman" w:eastAsia="Calibri" w:cs="Times New Roman"/>
          <w:sz w:val="28"/>
          <w:szCs w:val="28"/>
          <w:u w:color="000000"/>
        </w:rPr>
        <w:t xml:space="preserve">: </w:t>
      </w:r>
      <w:r w:rsidRPr="00F31A99">
        <w:rPr>
          <w:rFonts w:ascii="Times New Roman" w:hAnsi="Times New Roman" w:eastAsia="Calibri" w:cs="Times New Roman"/>
          <w:b/>
          <w:sz w:val="28"/>
          <w:szCs w:val="28"/>
          <w:u w:color="000000"/>
        </w:rPr>
        <w:t>1)</w:t>
      </w:r>
      <w:r w:rsidRPr="00F31A99">
        <w:rPr>
          <w:rFonts w:ascii="Times New Roman" w:hAnsi="Times New Roman" w:eastAsia="Calibri" w:cs="Times New Roman"/>
          <w:sz w:val="28"/>
          <w:szCs w:val="28"/>
          <w:u w:color="000000"/>
        </w:rPr>
        <w:t xml:space="preserve"> El oficio debe de trasladarse a la Secretaria General de la Corte, para que se conozca en una sesión ordinaria de Consejo Superior. </w:t>
      </w:r>
      <w:r w:rsidRPr="00F31A99">
        <w:rPr>
          <w:rFonts w:ascii="Times New Roman" w:hAnsi="Times New Roman" w:eastAsia="Calibri" w:cs="Times New Roman"/>
          <w:b/>
          <w:sz w:val="28"/>
          <w:szCs w:val="28"/>
          <w:u w:color="000000"/>
        </w:rPr>
        <w:t>2)</w:t>
      </w:r>
      <w:r w:rsidRPr="00F31A99">
        <w:rPr>
          <w:rFonts w:ascii="Times New Roman" w:hAnsi="Times New Roman" w:eastAsia="Calibri" w:cs="Times New Roman"/>
          <w:sz w:val="28"/>
          <w:szCs w:val="28"/>
          <w:u w:color="000000"/>
        </w:rPr>
        <w:t xml:space="preserve"> La Dirección de Tecnología de la Información debe estimar el presupuesto adicional que se requiere, de acuerdo con cada escenario propuesto y remitirlo ante el Consejo Superior como información complementaria para la toma de decisiones finales. </w:t>
      </w:r>
      <w:r w:rsidRPr="00F31A99">
        <w:rPr>
          <w:rFonts w:ascii="Times New Roman" w:hAnsi="Times New Roman" w:eastAsia="Calibri" w:cs="Times New Roman"/>
          <w:b/>
          <w:sz w:val="28"/>
          <w:szCs w:val="28"/>
          <w:u w:color="000000"/>
        </w:rPr>
        <w:t>Se declara acuerdo firme.</w:t>
      </w:r>
    </w:p>
    <w:p w:rsidRPr="00F31A99" w:rsidR="00F31A99" w:rsidP="00F31A99" w:rsidRDefault="00F31A99" w14:paraId="0AC705E8" w14:textId="2AB1DD2E">
      <w:pPr>
        <w:widowControl w:val="0"/>
        <w:shd w:val="clear" w:color="auto" w:fill="FFFFFF"/>
        <w:autoSpaceDE w:val="0"/>
        <w:autoSpaceDN w:val="0"/>
        <w:spacing w:line="480" w:lineRule="auto"/>
        <w:jc w:val="center"/>
        <w:outlineLvl w:val="0"/>
        <w:rPr>
          <w:rFonts w:ascii="Times New Roman" w:hAnsi="Times New Roman" w:eastAsia="Times New Roman" w:cs="Times New Roman"/>
          <w:b/>
          <w:bCs/>
          <w:kern w:val="36"/>
          <w:sz w:val="36"/>
          <w:szCs w:val="36"/>
          <w:u w:val="single" w:color="000000"/>
          <w:lang w:eastAsia="es-ES"/>
        </w:rPr>
      </w:pPr>
      <w:r w:rsidRPr="00F31A99">
        <w:rPr>
          <w:rFonts w:ascii="Times New Roman" w:hAnsi="Times New Roman" w:eastAsia="Times New Roman" w:cs="Times New Roman"/>
          <w:b/>
          <w:bCs/>
          <w:kern w:val="36"/>
          <w:sz w:val="36"/>
          <w:szCs w:val="36"/>
          <w:u w:val="single" w:color="000000"/>
          <w:lang w:eastAsia="es-ES"/>
        </w:rPr>
        <w:t>ARTÍCULO VII</w:t>
      </w:r>
    </w:p>
    <w:p w:rsidRPr="00F31A99" w:rsidR="00F31A99" w:rsidP="00F31A99" w:rsidRDefault="00F31A99" w14:paraId="1FA49E68" w14:textId="77777777">
      <w:pPr>
        <w:widowControl w:val="0"/>
        <w:autoSpaceDN w:val="0"/>
        <w:spacing w:line="480" w:lineRule="auto"/>
        <w:jc w:val="both"/>
        <w:rPr>
          <w:rFonts w:ascii="Times New Roman" w:hAnsi="Times New Roman" w:eastAsia="Times New Roman" w:cs="Times New Roman"/>
          <w:b/>
          <w:bCs/>
          <w:sz w:val="28"/>
          <w:szCs w:val="28"/>
          <w:u w:color="000000"/>
          <w:lang w:eastAsia="es-ES"/>
        </w:rPr>
      </w:pPr>
      <w:r w:rsidRPr="00F31A99">
        <w:rPr>
          <w:rFonts w:ascii="Times New Roman" w:hAnsi="Times New Roman" w:eastAsia="Times New Roman" w:cs="Times New Roman"/>
          <w:b/>
          <w:bCs/>
          <w:sz w:val="28"/>
          <w:szCs w:val="28"/>
          <w:u w:color="000000"/>
          <w:lang w:eastAsia="es-ES"/>
        </w:rPr>
        <w:t>Documento N° 3831-2021</w:t>
      </w:r>
    </w:p>
    <w:p w:rsidRPr="00F31A99" w:rsidR="00F31A99" w:rsidP="00F31A99" w:rsidRDefault="00F31A99" w14:paraId="095DB1F5" w14:textId="77777777">
      <w:pPr>
        <w:widowControl w:val="0"/>
        <w:autoSpaceDN w:val="0"/>
        <w:spacing w:line="480" w:lineRule="auto"/>
        <w:ind w:firstLine="709"/>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En reunión de trabajo del pasado 9 de abril, la licenciada Nacira Valverde</w:t>
      </w:r>
      <w:r w:rsidRPr="00F31A99">
        <w:rPr>
          <w:rFonts w:ascii="Times New Roman" w:hAnsi="Times New Roman" w:eastAsia="Calibri" w:cs="Times New Roman"/>
          <w:sz w:val="28"/>
          <w:szCs w:val="28"/>
          <w:u w:color="000000"/>
          <w:shd w:val="clear" w:color="auto" w:fill="FFFFFF"/>
        </w:rPr>
        <w:t xml:space="preserve">, Directora de Planificación, presentó </w:t>
      </w:r>
      <w:r w:rsidRPr="00F31A99">
        <w:rPr>
          <w:rFonts w:ascii="Times New Roman" w:hAnsi="Times New Roman" w:eastAsia="Calibri" w:cs="Times New Roman"/>
          <w:sz w:val="28"/>
          <w:szCs w:val="28"/>
          <w:u w:color="000000"/>
        </w:rPr>
        <w:t xml:space="preserve">la estimación de recursos del Aporte Patronal a la Asociación Solidarista del Poder Judicial y Coopejudicial R.L. para el ejercicio económico 2022, </w:t>
      </w:r>
      <w:r w:rsidRPr="00F31A99">
        <w:rPr>
          <w:rFonts w:ascii="Times New Roman" w:hAnsi="Times New Roman" w:eastAsia="Calibri" w:cs="Times New Roman"/>
          <w:bCs/>
          <w:sz w:val="28"/>
          <w:szCs w:val="28"/>
          <w:u w:color="000000"/>
        </w:rPr>
        <w:t>Subpartida 00505 "Contribución Patronal a Fondos Administrados por Entidades Privadas</w:t>
      </w:r>
      <w:r w:rsidRPr="00F31A99">
        <w:rPr>
          <w:rFonts w:ascii="Times New Roman" w:hAnsi="Times New Roman" w:eastAsia="Calibri" w:cs="Times New Roman"/>
          <w:sz w:val="28"/>
          <w:szCs w:val="28"/>
          <w:u w:color="000000"/>
        </w:rPr>
        <w:t>", que dice:</w:t>
      </w:r>
    </w:p>
    <w:p w:rsidRPr="00F31A99" w:rsidR="00F31A99" w:rsidP="00F31A99" w:rsidRDefault="00F31A99" w14:paraId="6A80C3FE"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shd w:val="clear" w:color="auto" w:fill="FFFFFF"/>
          <w:lang w:eastAsia="es-CR"/>
        </w:rPr>
        <w:lastRenderedPageBreak/>
        <w:t>“Al igual que para la formulación presupuestaria 2021, conforme el voto 1529-2018 de la Sala Constitucional que da la posibilidad a las personas trabajadoras, de que además de las asociaciones solidaristas, sean las organizaciones cooperativas quienes puedan administrar el aporte patronal de su cesantía, para el 2022 se incluye las proyecciones del aporte patronal que correspondería a la Coopejudicial R.L.</w:t>
      </w:r>
    </w:p>
    <w:p w:rsidRPr="00F31A99" w:rsidR="00F31A99" w:rsidP="00F31A99" w:rsidRDefault="00F31A99" w14:paraId="68EBC5C1"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380E7F31"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shd w:val="clear" w:color="auto" w:fill="FFFFFF"/>
          <w:lang w:eastAsia="es-CR"/>
        </w:rPr>
        <w:t>La proyección fue realizada con base en la información suministrada vía correo electrónico por Coopejudicial R.L. el 12 de marzo 2021, además de datos aportados por la Asociación Solidarista de Empleados Judiciales el 15 de marzo 2021 y finalmente, el Macroproceso Financiero Contable el 18 de marzo 2021.</w:t>
      </w:r>
      <w:r w:rsidRPr="00F31A99">
        <w:rPr>
          <w:rFonts w:ascii="Times New Roman" w:hAnsi="Times New Roman" w:eastAsia="Times New Roman" w:cs="Times New Roman"/>
          <w:sz w:val="26"/>
          <w:szCs w:val="26"/>
          <w:u w:color="000000"/>
          <w:lang w:eastAsia="es-CR"/>
        </w:rPr>
        <w:t> </w:t>
      </w:r>
    </w:p>
    <w:p w:rsidRPr="00F31A99" w:rsidR="00F31A99" w:rsidP="00F31A99" w:rsidRDefault="00F31A99" w14:paraId="1F323ADE"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650915BC"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shd w:val="clear" w:color="auto" w:fill="FFFFFF"/>
          <w:lang w:eastAsia="es-CR"/>
        </w:rPr>
      </w:pPr>
      <w:r w:rsidRPr="00F31A99">
        <w:rPr>
          <w:rFonts w:ascii="Times New Roman" w:hAnsi="Times New Roman" w:eastAsia="Times New Roman" w:cs="Times New Roman"/>
          <w:sz w:val="26"/>
          <w:szCs w:val="26"/>
          <w:u w:color="000000"/>
          <w:shd w:val="clear" w:color="auto" w:fill="FFFFFF"/>
          <w:lang w:eastAsia="es-CR"/>
        </w:rPr>
        <w:t>Conforme lo indicado por la Dirección de Gestión Humana, no se contemplan ajustes por aumento por costo de vida, ya que los mismos están congelados por el Ministerio de Hacienda para los años 2021 y 2022, según Decreto Ejecutivo.</w:t>
      </w:r>
    </w:p>
    <w:p w:rsidRPr="00F31A99" w:rsidR="00F31A99" w:rsidP="00F31A99" w:rsidRDefault="00F31A99" w14:paraId="2893CB41"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48E93D0D" w14:textId="77777777">
      <w:pPr>
        <w:widowControl w:val="0"/>
        <w:numPr>
          <w:ilvl w:val="0"/>
          <w:numId w:val="11"/>
        </w:numPr>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b/>
          <w:bCs/>
          <w:sz w:val="26"/>
          <w:szCs w:val="26"/>
          <w:u w:color="000000"/>
          <w:lang w:eastAsia="es-CR"/>
        </w:rPr>
        <w:t>Para la ASOSEJUD se tomaron las siguientes consideraciones en el cálculo:</w:t>
      </w:r>
    </w:p>
    <w:p w:rsidRPr="00F31A99" w:rsidR="00F31A99" w:rsidP="00F31A99" w:rsidRDefault="00F31A99" w14:paraId="36D7FDA8"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172AD905" w14:textId="77777777">
      <w:pPr>
        <w:widowControl w:val="0"/>
        <w:numPr>
          <w:ilvl w:val="0"/>
          <w:numId w:val="12"/>
        </w:numPr>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lang w:eastAsia="es-CR"/>
        </w:rPr>
        <w:t>Se utilizó el monto cancelado por Programa a la ASOSEJUD, considerando las planillas de enero y febrero 2021, por concepto de porcentaje del Aporte Patronal a la Asociación Solidarista (2,33%), aplicado a la planilla ordinaria y el salario escolar de las personas afiliadas, dato proporcionado por el Departamento Financiero Contable. </w:t>
      </w:r>
    </w:p>
    <w:p w:rsidRPr="00F31A99" w:rsidR="00F31A99" w:rsidP="00F31A99" w:rsidRDefault="00F31A99" w14:paraId="61D45720"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2A1F5D50" w14:textId="77777777">
      <w:pPr>
        <w:widowControl w:val="0"/>
        <w:numPr>
          <w:ilvl w:val="0"/>
          <w:numId w:val="12"/>
        </w:numPr>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lang w:eastAsia="es-CR"/>
        </w:rPr>
        <w:t xml:space="preserve">Se incluye un decrecimiento de un </w:t>
      </w:r>
      <w:r w:rsidRPr="00F31A99">
        <w:rPr>
          <w:rFonts w:ascii="Times New Roman" w:hAnsi="Times New Roman" w:eastAsia="Times New Roman" w:cs="Times New Roman"/>
          <w:b/>
          <w:bCs/>
          <w:sz w:val="26"/>
          <w:szCs w:val="26"/>
          <w:u w:color="000000"/>
          <w:lang w:eastAsia="es-CR"/>
        </w:rPr>
        <w:t xml:space="preserve">0.11% </w:t>
      </w:r>
      <w:r w:rsidRPr="00F31A99">
        <w:rPr>
          <w:rFonts w:ascii="Times New Roman" w:hAnsi="Times New Roman" w:eastAsia="Times New Roman" w:cs="Times New Roman"/>
          <w:sz w:val="26"/>
          <w:szCs w:val="26"/>
          <w:u w:color="000000"/>
          <w:lang w:eastAsia="es-CR"/>
        </w:rPr>
        <w:t>como promedio mensual de variación en la planilla de asociados, considerando el comportamiento presentado en esta variable durante el período de Febrero de 2020 a Febrero de 2021. Este promedio decreció en un 0.49% en comparación con el promedio utilizado para la estimación del monto formulado para el 2021 (0.38%); lo anterior en virtud que para el 2020 y 2021, se ha presentado una disminución de asociados (88 afiliaciones vrs 888 desafiliaciones).</w:t>
      </w:r>
    </w:p>
    <w:p w:rsidRPr="00F31A99" w:rsidR="00F31A99" w:rsidP="00F31A99" w:rsidRDefault="00F31A99" w14:paraId="104B951D"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3EA44537" w14:textId="77777777">
      <w:pPr>
        <w:widowControl w:val="0"/>
        <w:numPr>
          <w:ilvl w:val="0"/>
          <w:numId w:val="12"/>
        </w:numPr>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lang w:eastAsia="es-CR"/>
        </w:rPr>
        <w:t xml:space="preserve">El monto por presupuestar para el 2022 para la ASOSEJUD se estima en ¢3.769.469.157, monto que refleja una </w:t>
      </w:r>
      <w:r w:rsidRPr="00F31A99">
        <w:rPr>
          <w:rFonts w:ascii="Times New Roman" w:hAnsi="Times New Roman" w:eastAsia="Times New Roman" w:cs="Times New Roman"/>
          <w:sz w:val="26"/>
          <w:szCs w:val="26"/>
          <w:u w:color="000000"/>
          <w:lang w:eastAsia="es-CR"/>
        </w:rPr>
        <w:lastRenderedPageBreak/>
        <w:t>variación porcentual del -1.08% en comparación con el monto aprobado para el 2021, tal como se aprecia a continuación: </w:t>
      </w:r>
    </w:p>
    <w:p w:rsidRPr="00F31A99" w:rsidR="00F31A99" w:rsidP="00F31A99" w:rsidRDefault="00F31A99" w14:paraId="3F0013FD" w14:textId="77777777">
      <w:pPr>
        <w:widowControl w:val="0"/>
        <w:shd w:val="clear" w:color="auto" w:fill="FFFFFF"/>
        <w:autoSpaceDE w:val="0"/>
        <w:autoSpaceDN w:val="0"/>
        <w:adjustRightInd w:val="0"/>
        <w:spacing w:line="360" w:lineRule="auto"/>
        <w:ind w:left="720"/>
        <w:jc w:val="both"/>
        <w:rPr>
          <w:rFonts w:ascii="Times New Roman" w:hAnsi="Times New Roman" w:eastAsia="Times New Roman" w:cs="Times New Roman"/>
          <w:sz w:val="24"/>
          <w:szCs w:val="24"/>
          <w:u w:color="000000"/>
          <w:lang w:eastAsia="es-CR"/>
        </w:rPr>
      </w:pPr>
    </w:p>
    <w:tbl>
      <w:tblPr>
        <w:tblW w:w="75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201"/>
        <w:gridCol w:w="1530"/>
        <w:gridCol w:w="1598"/>
        <w:gridCol w:w="1237"/>
      </w:tblGrid>
      <w:tr w:rsidRPr="00F31A99" w:rsidR="00AE1B2B" w:rsidTr="00A306B2" w14:paraId="41E31BA4" w14:textId="77777777">
        <w:trPr>
          <w:trHeight w:val="362"/>
          <w:jc w:val="center"/>
        </w:trPr>
        <w:tc>
          <w:tcPr>
            <w:tcW w:w="3201" w:type="dxa"/>
            <w:shd w:val="clear" w:color="000000" w:fill="92CDDC"/>
            <w:vAlign w:val="center"/>
            <w:hideMark/>
          </w:tcPr>
          <w:p w:rsidRPr="00F31A99" w:rsidR="00F31A99" w:rsidP="00F31A99" w:rsidRDefault="00F31A99" w14:paraId="010BB5EB"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Programa</w:t>
            </w:r>
          </w:p>
        </w:tc>
        <w:tc>
          <w:tcPr>
            <w:tcW w:w="1530" w:type="dxa"/>
            <w:shd w:val="clear" w:color="000000" w:fill="92CDDC"/>
            <w:noWrap/>
            <w:vAlign w:val="center"/>
            <w:hideMark/>
          </w:tcPr>
          <w:p w:rsidRPr="00F31A99" w:rsidR="00F31A99" w:rsidP="00F31A99" w:rsidRDefault="00F31A99" w14:paraId="394EA627"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Formulado 2021</w:t>
            </w:r>
          </w:p>
        </w:tc>
        <w:tc>
          <w:tcPr>
            <w:tcW w:w="1598" w:type="dxa"/>
            <w:shd w:val="clear" w:color="000000" w:fill="92CDDC"/>
            <w:noWrap/>
            <w:vAlign w:val="center"/>
            <w:hideMark/>
          </w:tcPr>
          <w:p w:rsidRPr="00F31A99" w:rsidR="00F31A99" w:rsidP="00F31A99" w:rsidRDefault="00F31A99" w14:paraId="1948FF56"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Proyectado 2022</w:t>
            </w:r>
          </w:p>
        </w:tc>
        <w:tc>
          <w:tcPr>
            <w:tcW w:w="1237" w:type="dxa"/>
            <w:shd w:val="clear" w:color="000000" w:fill="92CDDC"/>
            <w:vAlign w:val="center"/>
            <w:hideMark/>
          </w:tcPr>
          <w:p w:rsidRPr="00F31A99" w:rsidR="00F31A99" w:rsidP="00F31A99" w:rsidRDefault="00F31A99" w14:paraId="20784B07"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Variación %</w:t>
            </w:r>
          </w:p>
        </w:tc>
      </w:tr>
      <w:tr w:rsidRPr="00F31A99" w:rsidR="00AE1B2B" w:rsidTr="00A306B2" w14:paraId="32C78EE5" w14:textId="77777777">
        <w:trPr>
          <w:trHeight w:val="351"/>
          <w:jc w:val="center"/>
        </w:trPr>
        <w:tc>
          <w:tcPr>
            <w:tcW w:w="3201" w:type="dxa"/>
            <w:shd w:val="clear" w:color="000000" w:fill="FFFFFF"/>
            <w:noWrap/>
            <w:vAlign w:val="center"/>
            <w:hideMark/>
          </w:tcPr>
          <w:p w:rsidRPr="00F31A99" w:rsidR="00F31A99" w:rsidP="00F31A99" w:rsidRDefault="00F31A99" w14:paraId="40A84316" w14:textId="77777777">
            <w:pPr>
              <w:widowControl w:val="0"/>
              <w:autoSpaceDN w:val="0"/>
              <w:spacing w:before="120" w:after="12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926 Dirección, Adm. y Otros Órganos de Apoyo</w:t>
            </w:r>
          </w:p>
        </w:tc>
        <w:tc>
          <w:tcPr>
            <w:tcW w:w="1530" w:type="dxa"/>
            <w:shd w:val="clear" w:color="000000" w:fill="FFFFFF"/>
            <w:noWrap/>
            <w:vAlign w:val="center"/>
            <w:hideMark/>
          </w:tcPr>
          <w:p w:rsidRPr="00F31A99" w:rsidR="00F31A99" w:rsidP="00F31A99" w:rsidRDefault="00F31A99" w14:paraId="12227B09" w14:textId="77777777">
            <w:pPr>
              <w:widowControl w:val="0"/>
              <w:autoSpaceDN w:val="0"/>
              <w:spacing w:before="120" w:after="12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739 322 087</w:t>
            </w:r>
          </w:p>
        </w:tc>
        <w:tc>
          <w:tcPr>
            <w:tcW w:w="1598" w:type="dxa"/>
            <w:shd w:val="clear" w:color="000000" w:fill="FFFFFF"/>
            <w:noWrap/>
            <w:vAlign w:val="center"/>
            <w:hideMark/>
          </w:tcPr>
          <w:p w:rsidRPr="00F31A99" w:rsidR="00F31A99" w:rsidP="00F31A99" w:rsidRDefault="00F31A99" w14:paraId="4FD6CC27" w14:textId="77777777">
            <w:pPr>
              <w:widowControl w:val="0"/>
              <w:autoSpaceDN w:val="0"/>
              <w:spacing w:before="120" w:after="12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731 609 782</w:t>
            </w:r>
          </w:p>
        </w:tc>
        <w:tc>
          <w:tcPr>
            <w:tcW w:w="1237" w:type="dxa"/>
            <w:shd w:val="clear" w:color="000000" w:fill="FFFFFF"/>
            <w:noWrap/>
            <w:vAlign w:val="center"/>
            <w:hideMark/>
          </w:tcPr>
          <w:p w:rsidRPr="00F31A99" w:rsidR="00F31A99" w:rsidP="00F31A99" w:rsidRDefault="00F31A99" w14:paraId="7E62E3BC" w14:textId="77777777">
            <w:pPr>
              <w:widowControl w:val="0"/>
              <w:autoSpaceDN w:val="0"/>
              <w:spacing w:before="120" w:after="12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-1,04%</w:t>
            </w:r>
          </w:p>
        </w:tc>
      </w:tr>
      <w:tr w:rsidRPr="00F31A99" w:rsidR="00AE1B2B" w:rsidTr="00A306B2" w14:paraId="5766733C" w14:textId="77777777">
        <w:trPr>
          <w:trHeight w:val="339"/>
          <w:jc w:val="center"/>
        </w:trPr>
        <w:tc>
          <w:tcPr>
            <w:tcW w:w="3201" w:type="dxa"/>
            <w:shd w:val="clear" w:color="000000" w:fill="FFFFFF"/>
            <w:noWrap/>
            <w:vAlign w:val="center"/>
            <w:hideMark/>
          </w:tcPr>
          <w:p w:rsidRPr="00F31A99" w:rsidR="00F31A99" w:rsidP="00F31A99" w:rsidRDefault="00F31A99" w14:paraId="2CC1BABD" w14:textId="77777777">
            <w:pPr>
              <w:widowControl w:val="0"/>
              <w:autoSpaceDN w:val="0"/>
              <w:spacing w:before="120" w:after="12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927 Servicio Jurisdiccional</w:t>
            </w:r>
          </w:p>
        </w:tc>
        <w:tc>
          <w:tcPr>
            <w:tcW w:w="1530" w:type="dxa"/>
            <w:shd w:val="clear" w:color="000000" w:fill="FFFFFF"/>
            <w:noWrap/>
            <w:vAlign w:val="center"/>
            <w:hideMark/>
          </w:tcPr>
          <w:p w:rsidRPr="00F31A99" w:rsidR="00F31A99" w:rsidP="00F31A99" w:rsidRDefault="00F31A99" w14:paraId="1F25AC72"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1 368 928 631</w:t>
            </w:r>
          </w:p>
        </w:tc>
        <w:tc>
          <w:tcPr>
            <w:tcW w:w="1598" w:type="dxa"/>
            <w:shd w:val="clear" w:color="000000" w:fill="FFFFFF"/>
            <w:noWrap/>
            <w:vAlign w:val="center"/>
            <w:hideMark/>
          </w:tcPr>
          <w:p w:rsidRPr="00F31A99" w:rsidR="00F31A99" w:rsidP="00F31A99" w:rsidRDefault="00F31A99" w14:paraId="03554558"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1 355 387 520</w:t>
            </w:r>
          </w:p>
        </w:tc>
        <w:tc>
          <w:tcPr>
            <w:tcW w:w="1237" w:type="dxa"/>
            <w:shd w:val="clear" w:color="000000" w:fill="FFFFFF"/>
            <w:noWrap/>
            <w:vAlign w:val="center"/>
            <w:hideMark/>
          </w:tcPr>
          <w:p w:rsidRPr="00F31A99" w:rsidR="00F31A99" w:rsidP="00F31A99" w:rsidRDefault="00F31A99" w14:paraId="7951EFB9"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-0,99%</w:t>
            </w:r>
          </w:p>
        </w:tc>
      </w:tr>
      <w:tr w:rsidRPr="00F31A99" w:rsidR="00AE1B2B" w:rsidTr="00A306B2" w14:paraId="1B7183EF" w14:textId="77777777">
        <w:trPr>
          <w:trHeight w:val="339"/>
          <w:jc w:val="center"/>
        </w:trPr>
        <w:tc>
          <w:tcPr>
            <w:tcW w:w="3201" w:type="dxa"/>
            <w:shd w:val="clear" w:color="000000" w:fill="FFFFFF"/>
            <w:noWrap/>
            <w:vAlign w:val="center"/>
            <w:hideMark/>
          </w:tcPr>
          <w:p w:rsidRPr="00F31A99" w:rsidR="00F31A99" w:rsidP="00F31A99" w:rsidRDefault="00F31A99" w14:paraId="105FAC47" w14:textId="77777777">
            <w:pPr>
              <w:widowControl w:val="0"/>
              <w:autoSpaceDN w:val="0"/>
              <w:spacing w:before="120" w:after="12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928 Organismo de Investigación Judicial</w:t>
            </w:r>
          </w:p>
        </w:tc>
        <w:tc>
          <w:tcPr>
            <w:tcW w:w="1530" w:type="dxa"/>
            <w:shd w:val="clear" w:color="000000" w:fill="FFFFFF"/>
            <w:noWrap/>
            <w:vAlign w:val="center"/>
            <w:hideMark/>
          </w:tcPr>
          <w:p w:rsidRPr="00F31A99" w:rsidR="00F31A99" w:rsidP="00F31A99" w:rsidRDefault="00F31A99" w14:paraId="4160CD5A"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849 038 906</w:t>
            </w:r>
          </w:p>
        </w:tc>
        <w:tc>
          <w:tcPr>
            <w:tcW w:w="1598" w:type="dxa"/>
            <w:shd w:val="clear" w:color="000000" w:fill="FFFFFF"/>
            <w:noWrap/>
            <w:vAlign w:val="center"/>
            <w:hideMark/>
          </w:tcPr>
          <w:p w:rsidRPr="00F31A99" w:rsidR="00F31A99" w:rsidP="00F31A99" w:rsidRDefault="00F31A99" w14:paraId="39B2B9F5"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839 445 105</w:t>
            </w:r>
          </w:p>
        </w:tc>
        <w:tc>
          <w:tcPr>
            <w:tcW w:w="1237" w:type="dxa"/>
            <w:shd w:val="clear" w:color="000000" w:fill="FFFFFF"/>
            <w:noWrap/>
            <w:vAlign w:val="center"/>
            <w:hideMark/>
          </w:tcPr>
          <w:p w:rsidRPr="00F31A99" w:rsidR="00F31A99" w:rsidP="00F31A99" w:rsidRDefault="00F31A99" w14:paraId="1894B1B1"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-1,13%</w:t>
            </w:r>
          </w:p>
        </w:tc>
      </w:tr>
      <w:tr w:rsidRPr="00F31A99" w:rsidR="00AE1B2B" w:rsidTr="00A306B2" w14:paraId="75CA5AD4" w14:textId="77777777">
        <w:trPr>
          <w:trHeight w:val="339"/>
          <w:jc w:val="center"/>
        </w:trPr>
        <w:tc>
          <w:tcPr>
            <w:tcW w:w="3201" w:type="dxa"/>
            <w:shd w:val="clear" w:color="000000" w:fill="FFFFFF"/>
            <w:noWrap/>
            <w:vAlign w:val="center"/>
            <w:hideMark/>
          </w:tcPr>
          <w:p w:rsidRPr="00F31A99" w:rsidR="00F31A99" w:rsidP="00F31A99" w:rsidRDefault="00F31A99" w14:paraId="6CDF16E0" w14:textId="77777777">
            <w:pPr>
              <w:widowControl w:val="0"/>
              <w:autoSpaceDN w:val="0"/>
              <w:spacing w:before="120" w:after="12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929 Ministerio Público</w:t>
            </w:r>
          </w:p>
        </w:tc>
        <w:tc>
          <w:tcPr>
            <w:tcW w:w="1530" w:type="dxa"/>
            <w:shd w:val="clear" w:color="000000" w:fill="FFFFFF"/>
            <w:noWrap/>
            <w:vAlign w:val="center"/>
            <w:hideMark/>
          </w:tcPr>
          <w:p w:rsidRPr="00F31A99" w:rsidR="00F31A99" w:rsidP="00F31A99" w:rsidRDefault="00F31A99" w14:paraId="457D9246"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457 960 341</w:t>
            </w:r>
          </w:p>
        </w:tc>
        <w:tc>
          <w:tcPr>
            <w:tcW w:w="1598" w:type="dxa"/>
            <w:shd w:val="clear" w:color="000000" w:fill="FFFFFF"/>
            <w:noWrap/>
            <w:vAlign w:val="center"/>
            <w:hideMark/>
          </w:tcPr>
          <w:p w:rsidRPr="00F31A99" w:rsidR="00F31A99" w:rsidP="00F31A99" w:rsidRDefault="00F31A99" w14:paraId="7D616DDA"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454 153 991</w:t>
            </w:r>
          </w:p>
        </w:tc>
        <w:tc>
          <w:tcPr>
            <w:tcW w:w="1237" w:type="dxa"/>
            <w:shd w:val="clear" w:color="000000" w:fill="FFFFFF"/>
            <w:noWrap/>
            <w:vAlign w:val="center"/>
            <w:hideMark/>
          </w:tcPr>
          <w:p w:rsidRPr="00F31A99" w:rsidR="00F31A99" w:rsidP="00F31A99" w:rsidRDefault="00F31A99" w14:paraId="1DC05004"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-0,83%</w:t>
            </w:r>
          </w:p>
        </w:tc>
      </w:tr>
      <w:tr w:rsidRPr="00F31A99" w:rsidR="00AE1B2B" w:rsidTr="00A306B2" w14:paraId="27667E42" w14:textId="77777777">
        <w:trPr>
          <w:trHeight w:val="339"/>
          <w:jc w:val="center"/>
        </w:trPr>
        <w:tc>
          <w:tcPr>
            <w:tcW w:w="3201" w:type="dxa"/>
            <w:shd w:val="clear" w:color="000000" w:fill="FFFFFF"/>
            <w:noWrap/>
            <w:vAlign w:val="center"/>
            <w:hideMark/>
          </w:tcPr>
          <w:p w:rsidRPr="00F31A99" w:rsidR="00F31A99" w:rsidP="00F31A99" w:rsidRDefault="00F31A99" w14:paraId="6F0B6BC0" w14:textId="77777777">
            <w:pPr>
              <w:widowControl w:val="0"/>
              <w:autoSpaceDN w:val="0"/>
              <w:spacing w:before="120" w:after="12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930 Defensa Pública</w:t>
            </w:r>
          </w:p>
        </w:tc>
        <w:tc>
          <w:tcPr>
            <w:tcW w:w="1530" w:type="dxa"/>
            <w:shd w:val="clear" w:color="000000" w:fill="FFFFFF"/>
            <w:noWrap/>
            <w:vAlign w:val="center"/>
            <w:hideMark/>
          </w:tcPr>
          <w:p w:rsidRPr="00F31A99" w:rsidR="00F31A99" w:rsidP="00F31A99" w:rsidRDefault="00F31A99" w14:paraId="2431A4F4"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311 691 117</w:t>
            </w:r>
          </w:p>
        </w:tc>
        <w:tc>
          <w:tcPr>
            <w:tcW w:w="1598" w:type="dxa"/>
            <w:shd w:val="clear" w:color="000000" w:fill="FFFFFF"/>
            <w:noWrap/>
            <w:vAlign w:val="center"/>
            <w:hideMark/>
          </w:tcPr>
          <w:p w:rsidRPr="00F31A99" w:rsidR="00F31A99" w:rsidP="00F31A99" w:rsidRDefault="00F31A99" w14:paraId="1F91F664"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306 704 066</w:t>
            </w:r>
          </w:p>
        </w:tc>
        <w:tc>
          <w:tcPr>
            <w:tcW w:w="1237" w:type="dxa"/>
            <w:shd w:val="clear" w:color="000000" w:fill="FFFFFF"/>
            <w:noWrap/>
            <w:vAlign w:val="center"/>
            <w:hideMark/>
          </w:tcPr>
          <w:p w:rsidRPr="00F31A99" w:rsidR="00F31A99" w:rsidP="00F31A99" w:rsidRDefault="00F31A99" w14:paraId="3DA61453"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-1,60%</w:t>
            </w:r>
          </w:p>
        </w:tc>
      </w:tr>
      <w:tr w:rsidRPr="00F31A99" w:rsidR="00AE1B2B" w:rsidTr="00A306B2" w14:paraId="445ACE9E" w14:textId="77777777">
        <w:trPr>
          <w:trHeight w:val="351"/>
          <w:jc w:val="center"/>
        </w:trPr>
        <w:tc>
          <w:tcPr>
            <w:tcW w:w="3201" w:type="dxa"/>
            <w:shd w:val="clear" w:color="000000" w:fill="FFFFFF"/>
            <w:noWrap/>
            <w:vAlign w:val="center"/>
            <w:hideMark/>
          </w:tcPr>
          <w:p w:rsidRPr="00F31A99" w:rsidR="00F31A99" w:rsidP="00F31A99" w:rsidRDefault="00F31A99" w14:paraId="2206761B" w14:textId="77777777">
            <w:pPr>
              <w:widowControl w:val="0"/>
              <w:autoSpaceDN w:val="0"/>
              <w:spacing w:before="120" w:after="12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950 Servicio Atención y Protec. Víctimas y Testigos</w:t>
            </w:r>
          </w:p>
        </w:tc>
        <w:tc>
          <w:tcPr>
            <w:tcW w:w="1530" w:type="dxa"/>
            <w:shd w:val="clear" w:color="000000" w:fill="FFFFFF"/>
            <w:noWrap/>
            <w:vAlign w:val="center"/>
            <w:hideMark/>
          </w:tcPr>
          <w:p w:rsidRPr="00F31A99" w:rsidR="00F31A99" w:rsidP="00F31A99" w:rsidRDefault="00F31A99" w14:paraId="6CEDB243"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83 538 057</w:t>
            </w:r>
          </w:p>
        </w:tc>
        <w:tc>
          <w:tcPr>
            <w:tcW w:w="1598" w:type="dxa"/>
            <w:shd w:val="clear" w:color="000000" w:fill="FFFFFF"/>
            <w:noWrap/>
            <w:vAlign w:val="center"/>
            <w:hideMark/>
          </w:tcPr>
          <w:p w:rsidRPr="00F31A99" w:rsidR="00F31A99" w:rsidP="00F31A99" w:rsidRDefault="00F31A99" w14:paraId="75DCA6FA"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82 168 694</w:t>
            </w:r>
          </w:p>
        </w:tc>
        <w:tc>
          <w:tcPr>
            <w:tcW w:w="1237" w:type="dxa"/>
            <w:shd w:val="clear" w:color="000000" w:fill="FFFFFF"/>
            <w:noWrap/>
            <w:vAlign w:val="center"/>
            <w:hideMark/>
          </w:tcPr>
          <w:p w:rsidRPr="00F31A99" w:rsidR="00F31A99" w:rsidP="00F31A99" w:rsidRDefault="00F31A99" w14:paraId="2CFEC1BA"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-1,64%</w:t>
            </w:r>
          </w:p>
        </w:tc>
      </w:tr>
      <w:tr w:rsidRPr="00F31A99" w:rsidR="00AE1B2B" w:rsidTr="00A306B2" w14:paraId="55BC6204" w14:textId="77777777">
        <w:trPr>
          <w:trHeight w:val="362"/>
          <w:jc w:val="center"/>
        </w:trPr>
        <w:tc>
          <w:tcPr>
            <w:tcW w:w="3201" w:type="dxa"/>
            <w:shd w:val="clear" w:color="000000" w:fill="FFFFFF"/>
            <w:noWrap/>
            <w:vAlign w:val="center"/>
            <w:hideMark/>
          </w:tcPr>
          <w:p w:rsidRPr="00F31A99" w:rsidR="00F31A99" w:rsidP="00F31A99" w:rsidRDefault="00F31A99" w14:paraId="6AB55944" w14:textId="77777777">
            <w:pPr>
              <w:widowControl w:val="0"/>
              <w:autoSpaceDN w:val="0"/>
              <w:spacing w:before="120" w:after="12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TOTAL</w:t>
            </w:r>
          </w:p>
        </w:tc>
        <w:tc>
          <w:tcPr>
            <w:tcW w:w="1530" w:type="dxa"/>
            <w:shd w:val="clear" w:color="000000" w:fill="FFFFFF"/>
            <w:noWrap/>
            <w:vAlign w:val="center"/>
            <w:hideMark/>
          </w:tcPr>
          <w:p w:rsidRPr="00F31A99" w:rsidR="00F31A99" w:rsidP="00F31A99" w:rsidRDefault="00F31A99" w14:paraId="4A2E65B0"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₡3 810 479 139</w:t>
            </w:r>
          </w:p>
        </w:tc>
        <w:tc>
          <w:tcPr>
            <w:tcW w:w="1598" w:type="dxa"/>
            <w:shd w:val="clear" w:color="000000" w:fill="FFFFFF"/>
            <w:noWrap/>
            <w:vAlign w:val="center"/>
            <w:hideMark/>
          </w:tcPr>
          <w:p w:rsidRPr="00F31A99" w:rsidR="00F31A99" w:rsidP="00F31A99" w:rsidRDefault="00F31A99" w14:paraId="70FFDE90"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₡3 769 469 157</w:t>
            </w:r>
          </w:p>
        </w:tc>
        <w:tc>
          <w:tcPr>
            <w:tcW w:w="1237" w:type="dxa"/>
            <w:shd w:val="clear" w:color="000000" w:fill="FFFFFF"/>
            <w:noWrap/>
            <w:vAlign w:val="center"/>
            <w:hideMark/>
          </w:tcPr>
          <w:p w:rsidRPr="00F31A99" w:rsidR="00F31A99" w:rsidP="00F31A99" w:rsidRDefault="00F31A99" w14:paraId="230A1B0C" w14:textId="77777777">
            <w:pPr>
              <w:widowControl w:val="0"/>
              <w:autoSpaceDN w:val="0"/>
              <w:spacing w:before="120" w:after="12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-1,08%</w:t>
            </w:r>
          </w:p>
        </w:tc>
      </w:tr>
    </w:tbl>
    <w:p w:rsidRPr="00F31A99" w:rsidR="00F31A99" w:rsidP="00F31A99" w:rsidRDefault="00F31A99" w14:paraId="3709184F" w14:textId="77777777">
      <w:pPr>
        <w:widowControl w:val="0"/>
        <w:shd w:val="clear" w:color="auto" w:fill="FFFFFF"/>
        <w:autoSpaceDE w:val="0"/>
        <w:autoSpaceDN w:val="0"/>
        <w:adjustRightInd w:val="0"/>
        <w:spacing w:line="360" w:lineRule="auto"/>
        <w:ind w:left="705"/>
        <w:jc w:val="both"/>
        <w:textAlignment w:val="baseline"/>
        <w:rPr>
          <w:rFonts w:ascii="Times New Roman" w:hAnsi="Times New Roman" w:eastAsia="Times New Roman" w:cs="Times New Roman"/>
          <w:sz w:val="24"/>
          <w:szCs w:val="24"/>
          <w:u w:color="000000"/>
          <w:lang w:eastAsia="es-CR"/>
        </w:rPr>
      </w:pPr>
    </w:p>
    <w:p w:rsidRPr="00F31A99" w:rsidR="00F31A99" w:rsidP="00F31A99" w:rsidRDefault="00F31A99" w14:paraId="72F654E7" w14:textId="77777777">
      <w:pPr>
        <w:widowControl w:val="0"/>
        <w:numPr>
          <w:ilvl w:val="0"/>
          <w:numId w:val="13"/>
        </w:numPr>
        <w:shd w:val="clear" w:color="auto" w:fill="FFFFFF"/>
        <w:autoSpaceDE w:val="0"/>
        <w:autoSpaceDN w:val="0"/>
        <w:adjustRightInd w:val="0"/>
        <w:ind w:left="851" w:right="851" w:firstLine="720"/>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lang w:eastAsia="es-CR"/>
        </w:rPr>
        <w:t>Al comparar el Aporte Patronal a la Asociación Solidarista formulado en el 2022 con el monto aprobado para el 2021, se presenta un leve decrecimiento de ¢41.009.982, producto de las afiliaciones vrs desafiliaciones, situación que se presenta debido a la crisis económica que atraviesa el país, donde el asociado ve la renuncia a la asociación como una forma de mejorar su liquidez.</w:t>
      </w:r>
    </w:p>
    <w:p w:rsidRPr="00F31A99" w:rsidR="00F31A99" w:rsidP="00F31A99" w:rsidRDefault="00F31A99" w14:paraId="6F2429AF" w14:textId="77777777">
      <w:pPr>
        <w:widowControl w:val="0"/>
        <w:shd w:val="clear" w:color="auto" w:fill="FFFFFF"/>
        <w:autoSpaceDN w:val="0"/>
        <w:ind w:left="851" w:right="851" w:firstLine="720"/>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596023DF" w14:textId="77777777">
      <w:pPr>
        <w:widowControl w:val="0"/>
        <w:numPr>
          <w:ilvl w:val="0"/>
          <w:numId w:val="14"/>
        </w:numPr>
        <w:shd w:val="clear" w:color="auto" w:fill="FFFFFF"/>
        <w:autoSpaceDE w:val="0"/>
        <w:autoSpaceDN w:val="0"/>
        <w:adjustRightInd w:val="0"/>
        <w:ind w:left="851" w:right="851" w:firstLine="720"/>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b/>
          <w:bCs/>
          <w:sz w:val="26"/>
          <w:szCs w:val="26"/>
          <w:u w:color="000000"/>
          <w:lang w:eastAsia="es-CR"/>
        </w:rPr>
        <w:t>Para la COOPEJUDICIAL R.L. se tuvieron los siguientes aspectos en consideración para el cálculo del aporte de la Institución a esta entidad financiera por concepto de cesantía:</w:t>
      </w:r>
    </w:p>
    <w:p w:rsidRPr="00F31A99" w:rsidR="00F31A99" w:rsidP="00F31A99" w:rsidRDefault="00F31A99" w14:paraId="584D013F" w14:textId="77777777">
      <w:pPr>
        <w:widowControl w:val="0"/>
        <w:shd w:val="clear" w:color="auto" w:fill="FFFFFF"/>
        <w:autoSpaceDE w:val="0"/>
        <w:autoSpaceDN w:val="0"/>
        <w:adjustRightInd w:val="0"/>
        <w:ind w:left="851" w:right="851" w:firstLine="720"/>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1D35A28F" w14:textId="77777777">
      <w:pPr>
        <w:widowControl w:val="0"/>
        <w:numPr>
          <w:ilvl w:val="0"/>
          <w:numId w:val="15"/>
        </w:numPr>
        <w:shd w:val="clear" w:color="auto" w:fill="FFFFFF"/>
        <w:autoSpaceDE w:val="0"/>
        <w:autoSpaceDN w:val="0"/>
        <w:adjustRightInd w:val="0"/>
        <w:ind w:left="851" w:right="851" w:firstLine="720"/>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lang w:eastAsia="es-CR"/>
        </w:rPr>
        <w:t>Se utilizó el monto cancelado por Programa a Coopejudicial R.L. considerando las planillas de enero y febrero 2021, por concepto de porcentaje del Aporte Patronal a Coopejudicial (2,33%), aplicado a la planilla ordinaria y el salario escolar de las personas afiliadas, proporcionado por el Departamento de Financiero Contable. </w:t>
      </w:r>
    </w:p>
    <w:p w:rsidRPr="00F31A99" w:rsidR="00F31A99" w:rsidP="00F31A99" w:rsidRDefault="00F31A99" w14:paraId="2DAA052B" w14:textId="77777777">
      <w:pPr>
        <w:widowControl w:val="0"/>
        <w:shd w:val="clear" w:color="auto" w:fill="FFFFFF"/>
        <w:autoSpaceDE w:val="0"/>
        <w:autoSpaceDN w:val="0"/>
        <w:adjustRightInd w:val="0"/>
        <w:ind w:left="851" w:right="851" w:firstLine="720"/>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6E950574" w14:textId="77777777">
      <w:pPr>
        <w:widowControl w:val="0"/>
        <w:numPr>
          <w:ilvl w:val="0"/>
          <w:numId w:val="15"/>
        </w:numPr>
        <w:shd w:val="clear" w:color="auto" w:fill="FFFFFF"/>
        <w:autoSpaceDE w:val="0"/>
        <w:autoSpaceDN w:val="0"/>
        <w:adjustRightInd w:val="0"/>
        <w:ind w:left="851" w:right="851" w:firstLine="720"/>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lang w:eastAsia="es-CR"/>
        </w:rPr>
        <w:t xml:space="preserve">Se incluye un </w:t>
      </w:r>
      <w:r w:rsidRPr="00F31A99">
        <w:rPr>
          <w:rFonts w:ascii="Times New Roman" w:hAnsi="Times New Roman" w:eastAsia="Times New Roman" w:cs="Times New Roman"/>
          <w:b/>
          <w:bCs/>
          <w:sz w:val="26"/>
          <w:szCs w:val="26"/>
          <w:u w:color="000000"/>
          <w:lang w:eastAsia="es-CR"/>
        </w:rPr>
        <w:t xml:space="preserve">0,82% </w:t>
      </w:r>
      <w:r w:rsidRPr="00F31A99">
        <w:rPr>
          <w:rFonts w:ascii="Times New Roman" w:hAnsi="Times New Roman" w:eastAsia="Times New Roman" w:cs="Times New Roman"/>
          <w:sz w:val="26"/>
          <w:szCs w:val="26"/>
          <w:u w:color="000000"/>
          <w:lang w:eastAsia="es-CR"/>
        </w:rPr>
        <w:t xml:space="preserve">como promedio mensual de crecimiento de la planilla de asociados, considerando el comportamiento presentado en esta variable durante el período de febrero 2020 a febrero 2021. Este promedio decreció en 0.8% en comparación con el promedio utilizado para la estimación del monto formulado para el 2021 (0.90%); en virtud de que para el 2020 y 2021, las afiliaciones crecieron en relación con las desafiliaciones (301 Afiliación vrs 55 desafiliaciones del 2020). </w:t>
      </w:r>
    </w:p>
    <w:p w:rsidRPr="00F31A99" w:rsidR="00F31A99" w:rsidP="00F31A99" w:rsidRDefault="00F31A99" w14:paraId="65FF343D" w14:textId="77777777">
      <w:pPr>
        <w:widowControl w:val="0"/>
        <w:shd w:val="clear" w:color="auto" w:fill="FFFFFF"/>
        <w:autoSpaceDE w:val="0"/>
        <w:autoSpaceDN w:val="0"/>
        <w:adjustRightInd w:val="0"/>
        <w:ind w:left="851" w:right="851" w:firstLine="720"/>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0A84072B" w14:textId="77777777">
      <w:pPr>
        <w:widowControl w:val="0"/>
        <w:numPr>
          <w:ilvl w:val="0"/>
          <w:numId w:val="15"/>
        </w:numPr>
        <w:shd w:val="clear" w:color="auto" w:fill="FFFFFF"/>
        <w:autoSpaceDE w:val="0"/>
        <w:autoSpaceDN w:val="0"/>
        <w:adjustRightInd w:val="0"/>
        <w:ind w:left="851" w:right="851" w:firstLine="720"/>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lang w:eastAsia="es-CR"/>
        </w:rPr>
        <w:t xml:space="preserve">El Departamento Financiero Contable suministró las planillas mensuales a cancelar por programa presupuestario, correspondiente a la planilla judicial afiliada a la Coopejudicial R.L, así como la planilla correspondiente al pago del Salario Escolar. </w:t>
      </w:r>
    </w:p>
    <w:p w:rsidRPr="00F31A99" w:rsidR="00F31A99" w:rsidP="00F31A99" w:rsidRDefault="00F31A99" w14:paraId="0613AB88" w14:textId="77777777">
      <w:pPr>
        <w:widowControl w:val="0"/>
        <w:shd w:val="clear" w:color="auto" w:fill="FFFFFF"/>
        <w:autoSpaceDE w:val="0"/>
        <w:autoSpaceDN w:val="0"/>
        <w:adjustRightInd w:val="0"/>
        <w:ind w:left="851" w:right="851" w:firstLine="720"/>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3BA828A5" w14:textId="77777777">
      <w:pPr>
        <w:widowControl w:val="0"/>
        <w:numPr>
          <w:ilvl w:val="0"/>
          <w:numId w:val="15"/>
        </w:numPr>
        <w:shd w:val="clear" w:color="auto" w:fill="FFFFFF"/>
        <w:autoSpaceDE w:val="0"/>
        <w:autoSpaceDN w:val="0"/>
        <w:adjustRightInd w:val="0"/>
        <w:ind w:left="851" w:right="851" w:firstLine="720"/>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lang w:eastAsia="es-CR"/>
        </w:rPr>
        <w:t>Por otro lado, se estima un monto a presupuestar para el 2022 para la Coopejudicial R.L. de ¢ 727.298.646, distribuido entre los distintos programas presupuestarios, como se aprecia a continuación: </w:t>
      </w:r>
    </w:p>
    <w:p w:rsidRPr="00F31A99" w:rsidR="00F31A99" w:rsidP="00F31A99" w:rsidRDefault="00F31A99" w14:paraId="3D2C0A2C" w14:textId="77777777">
      <w:pPr>
        <w:widowControl w:val="0"/>
        <w:shd w:val="clear" w:color="auto" w:fill="FFFFFF"/>
        <w:autoSpaceDE w:val="0"/>
        <w:autoSpaceDN w:val="0"/>
        <w:adjustRightInd w:val="0"/>
        <w:spacing w:line="360" w:lineRule="auto"/>
        <w:jc w:val="both"/>
        <w:textAlignment w:val="baseline"/>
        <w:rPr>
          <w:rFonts w:ascii="Times New Roman" w:hAnsi="Times New Roman" w:eastAsia="Times New Roman" w:cs="Times New Roman"/>
          <w:sz w:val="24"/>
          <w:szCs w:val="24"/>
          <w:u w:color="000000"/>
          <w:lang w:eastAsia="es-CR"/>
        </w:rPr>
      </w:pPr>
    </w:p>
    <w:tbl>
      <w:tblPr>
        <w:tblW w:w="82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828"/>
        <w:gridCol w:w="1605"/>
        <w:gridCol w:w="1654"/>
        <w:gridCol w:w="1167"/>
      </w:tblGrid>
      <w:tr w:rsidRPr="00F31A99" w:rsidR="00AE1B2B" w:rsidTr="00A306B2" w14:paraId="17A92226" w14:textId="77777777">
        <w:trPr>
          <w:trHeight w:val="412"/>
          <w:jc w:val="center"/>
        </w:trPr>
        <w:tc>
          <w:tcPr>
            <w:tcW w:w="3828" w:type="dxa"/>
            <w:shd w:val="clear" w:color="000000" w:fill="D9D9D9"/>
            <w:vAlign w:val="center"/>
            <w:hideMark/>
          </w:tcPr>
          <w:p w:rsidRPr="00F31A99" w:rsidR="00F31A99" w:rsidP="00F31A99" w:rsidRDefault="00F31A99" w14:paraId="5D8F17B8" w14:textId="77777777">
            <w:pPr>
              <w:widowControl w:val="0"/>
              <w:autoSpaceDN w:val="0"/>
              <w:spacing w:line="360" w:lineRule="auto"/>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PROGRAMA </w:t>
            </w:r>
          </w:p>
        </w:tc>
        <w:tc>
          <w:tcPr>
            <w:tcW w:w="1605" w:type="dxa"/>
            <w:shd w:val="clear" w:color="000000" w:fill="D9D9D9"/>
            <w:noWrap/>
            <w:vAlign w:val="center"/>
            <w:hideMark/>
          </w:tcPr>
          <w:p w:rsidRPr="00F31A99" w:rsidR="00F31A99" w:rsidP="00F31A99" w:rsidRDefault="00F31A99" w14:paraId="558DD099" w14:textId="77777777">
            <w:pPr>
              <w:widowControl w:val="0"/>
              <w:autoSpaceDN w:val="0"/>
              <w:spacing w:line="360" w:lineRule="auto"/>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Formulado 2021</w:t>
            </w:r>
          </w:p>
        </w:tc>
        <w:tc>
          <w:tcPr>
            <w:tcW w:w="1654" w:type="dxa"/>
            <w:shd w:val="clear" w:color="000000" w:fill="D9D9D9"/>
            <w:noWrap/>
            <w:vAlign w:val="center"/>
            <w:hideMark/>
          </w:tcPr>
          <w:p w:rsidRPr="00F31A99" w:rsidR="00F31A99" w:rsidP="00F31A99" w:rsidRDefault="00F31A99" w14:paraId="3C8866DB" w14:textId="77777777">
            <w:pPr>
              <w:widowControl w:val="0"/>
              <w:autoSpaceDN w:val="0"/>
              <w:spacing w:line="360" w:lineRule="auto"/>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Proyectado 2022</w:t>
            </w:r>
          </w:p>
        </w:tc>
        <w:tc>
          <w:tcPr>
            <w:tcW w:w="1167" w:type="dxa"/>
            <w:shd w:val="clear" w:color="000000" w:fill="D9D9D9"/>
            <w:vAlign w:val="center"/>
            <w:hideMark/>
          </w:tcPr>
          <w:p w:rsidRPr="00F31A99" w:rsidR="00F31A99" w:rsidP="00F31A99" w:rsidRDefault="00F31A99" w14:paraId="57DEC144" w14:textId="77777777">
            <w:pPr>
              <w:widowControl w:val="0"/>
              <w:autoSpaceDN w:val="0"/>
              <w:spacing w:line="360" w:lineRule="auto"/>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Variación Porcentual</w:t>
            </w:r>
          </w:p>
        </w:tc>
      </w:tr>
      <w:tr w:rsidRPr="00F31A99" w:rsidR="00AE1B2B" w:rsidTr="00A306B2" w14:paraId="4CB6D36D" w14:textId="77777777">
        <w:trPr>
          <w:trHeight w:val="295"/>
          <w:jc w:val="center"/>
        </w:trPr>
        <w:tc>
          <w:tcPr>
            <w:tcW w:w="3828" w:type="dxa"/>
            <w:shd w:val="clear" w:color="000000" w:fill="FFFFFF"/>
            <w:noWrap/>
            <w:vAlign w:val="bottom"/>
            <w:hideMark/>
          </w:tcPr>
          <w:p w:rsidRPr="00F31A99" w:rsidR="00F31A99" w:rsidP="00F31A99" w:rsidRDefault="00F31A99" w14:paraId="4E8FDA7B" w14:textId="77777777">
            <w:pPr>
              <w:widowControl w:val="0"/>
              <w:autoSpaceDN w:val="0"/>
              <w:spacing w:line="360" w:lineRule="auto"/>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926 Dirección, Adm. y Otros Órganos de Apoyo</w:t>
            </w:r>
          </w:p>
        </w:tc>
        <w:tc>
          <w:tcPr>
            <w:tcW w:w="1605" w:type="dxa"/>
            <w:shd w:val="clear" w:color="000000" w:fill="FFFFFF"/>
            <w:noWrap/>
            <w:vAlign w:val="bottom"/>
            <w:hideMark/>
          </w:tcPr>
          <w:p w:rsidRPr="00F31A99" w:rsidR="00F31A99" w:rsidP="00F31A99" w:rsidRDefault="00F31A99" w14:paraId="7FBD6FE1"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75 702 016</w:t>
            </w:r>
          </w:p>
        </w:tc>
        <w:tc>
          <w:tcPr>
            <w:tcW w:w="1654" w:type="dxa"/>
            <w:shd w:val="clear" w:color="000000" w:fill="FFFFFF"/>
            <w:noWrap/>
            <w:vAlign w:val="bottom"/>
            <w:hideMark/>
          </w:tcPr>
          <w:p w:rsidRPr="00F31A99" w:rsidR="00F31A99" w:rsidP="00F31A99" w:rsidRDefault="00F31A99" w14:paraId="217A0AB8"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83 970 445</w:t>
            </w:r>
          </w:p>
        </w:tc>
        <w:tc>
          <w:tcPr>
            <w:tcW w:w="1167" w:type="dxa"/>
            <w:shd w:val="clear" w:color="000000" w:fill="FFFFFF"/>
            <w:noWrap/>
            <w:vAlign w:val="bottom"/>
            <w:hideMark/>
          </w:tcPr>
          <w:p w:rsidRPr="00F31A99" w:rsidR="00F31A99" w:rsidP="00F31A99" w:rsidRDefault="00F31A99" w14:paraId="61F9F19C" w14:textId="77777777">
            <w:pPr>
              <w:widowControl w:val="0"/>
              <w:autoSpaceDN w:val="0"/>
              <w:spacing w:line="360" w:lineRule="auto"/>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10,9%</w:t>
            </w:r>
          </w:p>
        </w:tc>
      </w:tr>
      <w:tr w:rsidRPr="00F31A99" w:rsidR="00AE1B2B" w:rsidTr="00A306B2" w14:paraId="72A46B67" w14:textId="77777777">
        <w:trPr>
          <w:trHeight w:val="285"/>
          <w:jc w:val="center"/>
        </w:trPr>
        <w:tc>
          <w:tcPr>
            <w:tcW w:w="3828" w:type="dxa"/>
            <w:shd w:val="clear" w:color="000000" w:fill="FFFFFF"/>
            <w:noWrap/>
            <w:vAlign w:val="bottom"/>
            <w:hideMark/>
          </w:tcPr>
          <w:p w:rsidRPr="00F31A99" w:rsidR="00F31A99" w:rsidP="00F31A99" w:rsidRDefault="00F31A99" w14:paraId="1CD9C9B4" w14:textId="77777777">
            <w:pPr>
              <w:widowControl w:val="0"/>
              <w:autoSpaceDN w:val="0"/>
              <w:spacing w:line="360" w:lineRule="auto"/>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927 Servicio Jurisdiccional</w:t>
            </w:r>
          </w:p>
        </w:tc>
        <w:tc>
          <w:tcPr>
            <w:tcW w:w="1605" w:type="dxa"/>
            <w:shd w:val="clear" w:color="000000" w:fill="FFFFFF"/>
            <w:noWrap/>
            <w:vAlign w:val="bottom"/>
            <w:hideMark/>
          </w:tcPr>
          <w:p w:rsidRPr="00F31A99" w:rsidR="00F31A99" w:rsidP="00F31A99" w:rsidRDefault="00F31A99" w14:paraId="6A1BAE58"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322 734 779</w:t>
            </w:r>
          </w:p>
        </w:tc>
        <w:tc>
          <w:tcPr>
            <w:tcW w:w="1654" w:type="dxa"/>
            <w:shd w:val="clear" w:color="000000" w:fill="FFFFFF"/>
            <w:noWrap/>
            <w:vAlign w:val="bottom"/>
            <w:hideMark/>
          </w:tcPr>
          <w:p w:rsidRPr="00F31A99" w:rsidR="00F31A99" w:rsidP="00F31A99" w:rsidRDefault="00F31A99" w14:paraId="42FC4966"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357 639 485</w:t>
            </w:r>
          </w:p>
        </w:tc>
        <w:tc>
          <w:tcPr>
            <w:tcW w:w="1167" w:type="dxa"/>
            <w:shd w:val="clear" w:color="000000" w:fill="FFFFFF"/>
            <w:noWrap/>
            <w:vAlign w:val="bottom"/>
            <w:hideMark/>
          </w:tcPr>
          <w:p w:rsidRPr="00F31A99" w:rsidR="00F31A99" w:rsidP="00F31A99" w:rsidRDefault="00F31A99" w14:paraId="6398A951" w14:textId="77777777">
            <w:pPr>
              <w:widowControl w:val="0"/>
              <w:autoSpaceDN w:val="0"/>
              <w:spacing w:line="360" w:lineRule="auto"/>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10,8%</w:t>
            </w:r>
          </w:p>
        </w:tc>
      </w:tr>
      <w:tr w:rsidRPr="00F31A99" w:rsidR="00AE1B2B" w:rsidTr="00A306B2" w14:paraId="46A8C08B" w14:textId="77777777">
        <w:trPr>
          <w:trHeight w:val="285"/>
          <w:jc w:val="center"/>
        </w:trPr>
        <w:tc>
          <w:tcPr>
            <w:tcW w:w="3828" w:type="dxa"/>
            <w:shd w:val="clear" w:color="000000" w:fill="FFFFFF"/>
            <w:noWrap/>
            <w:vAlign w:val="bottom"/>
            <w:hideMark/>
          </w:tcPr>
          <w:p w:rsidRPr="00F31A99" w:rsidR="00F31A99" w:rsidP="00F31A99" w:rsidRDefault="00F31A99" w14:paraId="28B94C99" w14:textId="77777777">
            <w:pPr>
              <w:widowControl w:val="0"/>
              <w:autoSpaceDN w:val="0"/>
              <w:spacing w:line="360" w:lineRule="auto"/>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928 Organismo de Investigación Judicial</w:t>
            </w:r>
          </w:p>
        </w:tc>
        <w:tc>
          <w:tcPr>
            <w:tcW w:w="1605" w:type="dxa"/>
            <w:shd w:val="clear" w:color="000000" w:fill="FFFFFF"/>
            <w:noWrap/>
            <w:vAlign w:val="bottom"/>
            <w:hideMark/>
          </w:tcPr>
          <w:p w:rsidRPr="00F31A99" w:rsidR="00F31A99" w:rsidP="00F31A99" w:rsidRDefault="00F31A99" w14:paraId="67BC5EEC"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108 099 884</w:t>
            </w:r>
          </w:p>
        </w:tc>
        <w:tc>
          <w:tcPr>
            <w:tcW w:w="1654" w:type="dxa"/>
            <w:shd w:val="clear" w:color="000000" w:fill="FFFFFF"/>
            <w:noWrap/>
            <w:vAlign w:val="bottom"/>
            <w:hideMark/>
          </w:tcPr>
          <w:p w:rsidRPr="00F31A99" w:rsidR="00F31A99" w:rsidP="00F31A99" w:rsidRDefault="00F31A99" w14:paraId="40927FAB"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119 142 637</w:t>
            </w:r>
          </w:p>
        </w:tc>
        <w:tc>
          <w:tcPr>
            <w:tcW w:w="1167" w:type="dxa"/>
            <w:shd w:val="clear" w:color="000000" w:fill="FFFFFF"/>
            <w:noWrap/>
            <w:vAlign w:val="bottom"/>
            <w:hideMark/>
          </w:tcPr>
          <w:p w:rsidRPr="00F31A99" w:rsidR="00F31A99" w:rsidP="00F31A99" w:rsidRDefault="00F31A99" w14:paraId="4F38873B" w14:textId="77777777">
            <w:pPr>
              <w:widowControl w:val="0"/>
              <w:autoSpaceDN w:val="0"/>
              <w:spacing w:line="360" w:lineRule="auto"/>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10,2%</w:t>
            </w:r>
          </w:p>
        </w:tc>
      </w:tr>
      <w:tr w:rsidRPr="00F31A99" w:rsidR="00AE1B2B" w:rsidTr="00A306B2" w14:paraId="0E2E8F7B" w14:textId="77777777">
        <w:trPr>
          <w:trHeight w:val="285"/>
          <w:jc w:val="center"/>
        </w:trPr>
        <w:tc>
          <w:tcPr>
            <w:tcW w:w="3828" w:type="dxa"/>
            <w:shd w:val="clear" w:color="000000" w:fill="FFFFFF"/>
            <w:noWrap/>
            <w:vAlign w:val="bottom"/>
            <w:hideMark/>
          </w:tcPr>
          <w:p w:rsidRPr="00F31A99" w:rsidR="00F31A99" w:rsidP="00F31A99" w:rsidRDefault="00F31A99" w14:paraId="52EF73BB" w14:textId="77777777">
            <w:pPr>
              <w:widowControl w:val="0"/>
              <w:autoSpaceDN w:val="0"/>
              <w:spacing w:line="360" w:lineRule="auto"/>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929 Ministerio Público</w:t>
            </w:r>
          </w:p>
        </w:tc>
        <w:tc>
          <w:tcPr>
            <w:tcW w:w="1605" w:type="dxa"/>
            <w:shd w:val="clear" w:color="000000" w:fill="FFFFFF"/>
            <w:noWrap/>
            <w:vAlign w:val="bottom"/>
            <w:hideMark/>
          </w:tcPr>
          <w:p w:rsidRPr="00F31A99" w:rsidR="00F31A99" w:rsidP="00F31A99" w:rsidRDefault="00F31A99" w14:paraId="4737A19A"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69 373 459</w:t>
            </w:r>
          </w:p>
        </w:tc>
        <w:tc>
          <w:tcPr>
            <w:tcW w:w="1654" w:type="dxa"/>
            <w:shd w:val="clear" w:color="000000" w:fill="FFFFFF"/>
            <w:noWrap/>
            <w:vAlign w:val="bottom"/>
            <w:hideMark/>
          </w:tcPr>
          <w:p w:rsidRPr="00F31A99" w:rsidR="00F31A99" w:rsidP="00F31A99" w:rsidRDefault="00F31A99" w14:paraId="3C3F7487"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76 479 143</w:t>
            </w:r>
          </w:p>
        </w:tc>
        <w:tc>
          <w:tcPr>
            <w:tcW w:w="1167" w:type="dxa"/>
            <w:shd w:val="clear" w:color="000000" w:fill="FFFFFF"/>
            <w:noWrap/>
            <w:vAlign w:val="bottom"/>
            <w:hideMark/>
          </w:tcPr>
          <w:p w:rsidRPr="00F31A99" w:rsidR="00F31A99" w:rsidP="00F31A99" w:rsidRDefault="00F31A99" w14:paraId="696621E0" w14:textId="77777777">
            <w:pPr>
              <w:widowControl w:val="0"/>
              <w:autoSpaceDN w:val="0"/>
              <w:spacing w:line="360" w:lineRule="auto"/>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10,2%</w:t>
            </w:r>
          </w:p>
        </w:tc>
      </w:tr>
      <w:tr w:rsidRPr="00F31A99" w:rsidR="00AE1B2B" w:rsidTr="00A306B2" w14:paraId="108DC6E7" w14:textId="77777777">
        <w:trPr>
          <w:trHeight w:val="285"/>
          <w:jc w:val="center"/>
        </w:trPr>
        <w:tc>
          <w:tcPr>
            <w:tcW w:w="3828" w:type="dxa"/>
            <w:shd w:val="clear" w:color="000000" w:fill="FFFFFF"/>
            <w:noWrap/>
            <w:vAlign w:val="bottom"/>
            <w:hideMark/>
          </w:tcPr>
          <w:p w:rsidRPr="00F31A99" w:rsidR="00F31A99" w:rsidP="00F31A99" w:rsidRDefault="00F31A99" w14:paraId="2B4313E3" w14:textId="77777777">
            <w:pPr>
              <w:widowControl w:val="0"/>
              <w:autoSpaceDN w:val="0"/>
              <w:spacing w:line="360" w:lineRule="auto"/>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930 Defensa Pública</w:t>
            </w:r>
          </w:p>
        </w:tc>
        <w:tc>
          <w:tcPr>
            <w:tcW w:w="1605" w:type="dxa"/>
            <w:shd w:val="clear" w:color="000000" w:fill="FFFFFF"/>
            <w:noWrap/>
            <w:vAlign w:val="bottom"/>
            <w:hideMark/>
          </w:tcPr>
          <w:p w:rsidRPr="00F31A99" w:rsidR="00F31A99" w:rsidP="00F31A99" w:rsidRDefault="00F31A99" w14:paraId="475EB9C4"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72 649 402</w:t>
            </w:r>
          </w:p>
        </w:tc>
        <w:tc>
          <w:tcPr>
            <w:tcW w:w="1654" w:type="dxa"/>
            <w:shd w:val="clear" w:color="000000" w:fill="FFFFFF"/>
            <w:noWrap/>
            <w:vAlign w:val="bottom"/>
            <w:hideMark/>
          </w:tcPr>
          <w:p w:rsidRPr="00F31A99" w:rsidR="00F31A99" w:rsidP="00F31A99" w:rsidRDefault="00F31A99" w14:paraId="180966ED"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79 928 146</w:t>
            </w:r>
          </w:p>
        </w:tc>
        <w:tc>
          <w:tcPr>
            <w:tcW w:w="1167" w:type="dxa"/>
            <w:shd w:val="clear" w:color="000000" w:fill="FFFFFF"/>
            <w:noWrap/>
            <w:vAlign w:val="bottom"/>
            <w:hideMark/>
          </w:tcPr>
          <w:p w:rsidRPr="00F31A99" w:rsidR="00F31A99" w:rsidP="00F31A99" w:rsidRDefault="00F31A99" w14:paraId="3BBE59F4" w14:textId="77777777">
            <w:pPr>
              <w:widowControl w:val="0"/>
              <w:autoSpaceDN w:val="0"/>
              <w:spacing w:line="360" w:lineRule="auto"/>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10,0%</w:t>
            </w:r>
          </w:p>
        </w:tc>
      </w:tr>
      <w:tr w:rsidRPr="00F31A99" w:rsidR="00AE1B2B" w:rsidTr="00A306B2" w14:paraId="295A6D9D" w14:textId="77777777">
        <w:trPr>
          <w:trHeight w:val="295"/>
          <w:jc w:val="center"/>
        </w:trPr>
        <w:tc>
          <w:tcPr>
            <w:tcW w:w="3828" w:type="dxa"/>
            <w:shd w:val="clear" w:color="000000" w:fill="FFFFFF"/>
            <w:noWrap/>
            <w:vAlign w:val="bottom"/>
            <w:hideMark/>
          </w:tcPr>
          <w:p w:rsidRPr="00F31A99" w:rsidR="00F31A99" w:rsidP="00F31A99" w:rsidRDefault="00F31A99" w14:paraId="2A14368E" w14:textId="77777777">
            <w:pPr>
              <w:widowControl w:val="0"/>
              <w:autoSpaceDN w:val="0"/>
              <w:spacing w:line="360" w:lineRule="auto"/>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950 Servicio Atención y Protec. Víctimas y Testigos</w:t>
            </w:r>
          </w:p>
        </w:tc>
        <w:tc>
          <w:tcPr>
            <w:tcW w:w="1605" w:type="dxa"/>
            <w:shd w:val="clear" w:color="000000" w:fill="FFFFFF"/>
            <w:noWrap/>
            <w:vAlign w:val="bottom"/>
            <w:hideMark/>
          </w:tcPr>
          <w:p w:rsidRPr="00F31A99" w:rsidR="00F31A99" w:rsidP="00F31A99" w:rsidRDefault="00F31A99" w14:paraId="647DA69F"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9 384 803</w:t>
            </w:r>
          </w:p>
        </w:tc>
        <w:tc>
          <w:tcPr>
            <w:tcW w:w="1654" w:type="dxa"/>
            <w:shd w:val="clear" w:color="000000" w:fill="FFFFFF"/>
            <w:noWrap/>
            <w:vAlign w:val="bottom"/>
            <w:hideMark/>
          </w:tcPr>
          <w:p w:rsidRPr="00F31A99" w:rsidR="00F31A99" w:rsidP="00F31A99" w:rsidRDefault="00F31A99" w14:paraId="436E1514"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10 138 789</w:t>
            </w:r>
          </w:p>
        </w:tc>
        <w:tc>
          <w:tcPr>
            <w:tcW w:w="1167" w:type="dxa"/>
            <w:shd w:val="clear" w:color="000000" w:fill="FFFFFF"/>
            <w:noWrap/>
            <w:vAlign w:val="bottom"/>
            <w:hideMark/>
          </w:tcPr>
          <w:p w:rsidRPr="00F31A99" w:rsidR="00F31A99" w:rsidP="00F31A99" w:rsidRDefault="00F31A99" w14:paraId="712B68A5" w14:textId="77777777">
            <w:pPr>
              <w:widowControl w:val="0"/>
              <w:autoSpaceDN w:val="0"/>
              <w:spacing w:line="360" w:lineRule="auto"/>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8,0%</w:t>
            </w:r>
          </w:p>
        </w:tc>
      </w:tr>
      <w:tr w:rsidRPr="00F31A99" w:rsidR="00AE1B2B" w:rsidTr="00A306B2" w14:paraId="010FB823" w14:textId="77777777">
        <w:trPr>
          <w:trHeight w:val="304"/>
          <w:jc w:val="center"/>
        </w:trPr>
        <w:tc>
          <w:tcPr>
            <w:tcW w:w="3828" w:type="dxa"/>
            <w:shd w:val="clear" w:color="000000" w:fill="FFFFFF"/>
            <w:noWrap/>
            <w:vAlign w:val="bottom"/>
            <w:hideMark/>
          </w:tcPr>
          <w:p w:rsidRPr="00F31A99" w:rsidR="00F31A99" w:rsidP="00F31A99" w:rsidRDefault="00F31A99" w14:paraId="0D2BFAA0" w14:textId="77777777">
            <w:pPr>
              <w:widowControl w:val="0"/>
              <w:autoSpaceDN w:val="0"/>
              <w:spacing w:line="360" w:lineRule="auto"/>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TOTAL</w:t>
            </w:r>
          </w:p>
        </w:tc>
        <w:tc>
          <w:tcPr>
            <w:tcW w:w="1605" w:type="dxa"/>
            <w:shd w:val="clear" w:color="000000" w:fill="FFFFFF"/>
            <w:noWrap/>
            <w:vAlign w:val="bottom"/>
            <w:hideMark/>
          </w:tcPr>
          <w:p w:rsidRPr="00F31A99" w:rsidR="00F31A99" w:rsidP="00F31A99" w:rsidRDefault="00F31A99" w14:paraId="6B3A96C0" w14:textId="77777777">
            <w:pPr>
              <w:widowControl w:val="0"/>
              <w:autoSpaceDN w:val="0"/>
              <w:spacing w:line="360" w:lineRule="auto"/>
              <w:jc w:val="right"/>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₡657 944 344</w:t>
            </w:r>
          </w:p>
        </w:tc>
        <w:tc>
          <w:tcPr>
            <w:tcW w:w="1654" w:type="dxa"/>
            <w:shd w:val="clear" w:color="000000" w:fill="FFFFFF"/>
            <w:noWrap/>
            <w:vAlign w:val="bottom"/>
            <w:hideMark/>
          </w:tcPr>
          <w:p w:rsidRPr="00F31A99" w:rsidR="00F31A99" w:rsidP="00F31A99" w:rsidRDefault="00F31A99" w14:paraId="41B640A8" w14:textId="77777777">
            <w:pPr>
              <w:widowControl w:val="0"/>
              <w:autoSpaceDN w:val="0"/>
              <w:spacing w:line="360" w:lineRule="auto"/>
              <w:jc w:val="right"/>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₡727 298 646</w:t>
            </w:r>
          </w:p>
        </w:tc>
        <w:tc>
          <w:tcPr>
            <w:tcW w:w="1167" w:type="dxa"/>
            <w:shd w:val="clear" w:color="000000" w:fill="FFFFFF"/>
            <w:noWrap/>
            <w:vAlign w:val="bottom"/>
            <w:hideMark/>
          </w:tcPr>
          <w:p w:rsidRPr="00F31A99" w:rsidR="00F31A99" w:rsidP="00F31A99" w:rsidRDefault="00F31A99" w14:paraId="07DB3F15" w14:textId="77777777">
            <w:pPr>
              <w:widowControl w:val="0"/>
              <w:autoSpaceDN w:val="0"/>
              <w:spacing w:line="360" w:lineRule="auto"/>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10,5%</w:t>
            </w:r>
          </w:p>
        </w:tc>
      </w:tr>
    </w:tbl>
    <w:p w:rsidRPr="00F31A99" w:rsidR="00F31A99" w:rsidP="00F31A99" w:rsidRDefault="00F31A99" w14:paraId="5317D055" w14:textId="77777777">
      <w:pPr>
        <w:widowControl w:val="0"/>
        <w:shd w:val="clear" w:color="auto" w:fill="FFFFFF"/>
        <w:autoSpaceDE w:val="0"/>
        <w:autoSpaceDN w:val="0"/>
        <w:adjustRightInd w:val="0"/>
        <w:spacing w:line="360" w:lineRule="auto"/>
        <w:ind w:left="705"/>
        <w:jc w:val="both"/>
        <w:textAlignment w:val="baseline"/>
        <w:rPr>
          <w:rFonts w:ascii="Times New Roman" w:hAnsi="Times New Roman" w:eastAsia="Times New Roman" w:cs="Times New Roman"/>
          <w:sz w:val="24"/>
          <w:szCs w:val="24"/>
          <w:u w:color="000000"/>
          <w:lang w:eastAsia="es-CR"/>
        </w:rPr>
      </w:pPr>
    </w:p>
    <w:p w:rsidRPr="00F31A99" w:rsidR="00F31A99" w:rsidP="00F31A99" w:rsidRDefault="00F31A99" w14:paraId="53A040DE" w14:textId="77777777">
      <w:pPr>
        <w:widowControl w:val="0"/>
        <w:numPr>
          <w:ilvl w:val="0"/>
          <w:numId w:val="16"/>
        </w:numPr>
        <w:shd w:val="clear" w:color="auto" w:fill="FFFFFF"/>
        <w:autoSpaceDE w:val="0"/>
        <w:autoSpaceDN w:val="0"/>
        <w:adjustRightInd w:val="0"/>
        <w:ind w:left="851" w:right="851" w:firstLine="720"/>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lang w:eastAsia="es-CR"/>
        </w:rPr>
        <w:t xml:space="preserve">Al comparar el Aporte Patronal formulado en el 2022 para Coopejudicial con el monto aprobado para el 2021, se presenta un crecimiento de ¢69.354.302, producto de que para febrero del 2020 se tenían 953 asociados mientras que, para febrero del 2021, </w:t>
      </w:r>
      <w:r w:rsidRPr="00F31A99">
        <w:rPr>
          <w:rFonts w:ascii="Times New Roman" w:hAnsi="Times New Roman" w:eastAsia="Times New Roman" w:cs="Times New Roman"/>
          <w:sz w:val="26"/>
          <w:szCs w:val="26"/>
          <w:u w:color="000000"/>
          <w:lang w:eastAsia="es-CR"/>
        </w:rPr>
        <w:lastRenderedPageBreak/>
        <w:t>1213 asociados.</w:t>
      </w:r>
    </w:p>
    <w:p w:rsidRPr="00F31A99" w:rsidR="00F31A99" w:rsidP="00F31A99" w:rsidRDefault="00F31A99" w14:paraId="45E570D8" w14:textId="77777777">
      <w:pPr>
        <w:widowControl w:val="0"/>
        <w:shd w:val="clear" w:color="auto" w:fill="FFFFFF"/>
        <w:autoSpaceDN w:val="0"/>
        <w:ind w:left="851" w:right="851" w:firstLine="720"/>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0E26F367" w14:textId="77777777">
      <w:pPr>
        <w:widowControl w:val="0"/>
        <w:numPr>
          <w:ilvl w:val="0"/>
          <w:numId w:val="16"/>
        </w:numPr>
        <w:shd w:val="clear" w:color="auto" w:fill="FFFFFF"/>
        <w:autoSpaceDE w:val="0"/>
        <w:autoSpaceDN w:val="0"/>
        <w:adjustRightInd w:val="0"/>
        <w:ind w:left="851" w:right="851" w:firstLine="720"/>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b/>
          <w:bCs/>
          <w:sz w:val="26"/>
          <w:szCs w:val="26"/>
          <w:u w:color="000000"/>
          <w:lang w:eastAsia="es-CR"/>
        </w:rPr>
        <w:t>Monto total a Presupuestar 2022</w:t>
      </w:r>
      <w:r w:rsidRPr="00F31A99">
        <w:rPr>
          <w:rFonts w:ascii="Times New Roman" w:hAnsi="Times New Roman" w:eastAsia="Times New Roman" w:cs="Times New Roman"/>
          <w:sz w:val="26"/>
          <w:szCs w:val="26"/>
          <w:u w:color="000000"/>
          <w:lang w:eastAsia="es-CR"/>
        </w:rPr>
        <w:t> </w:t>
      </w:r>
    </w:p>
    <w:p w:rsidRPr="00F31A99" w:rsidR="00F31A99" w:rsidP="00F31A99" w:rsidRDefault="00F31A99" w14:paraId="07545D3C" w14:textId="77777777">
      <w:pPr>
        <w:widowControl w:val="0"/>
        <w:shd w:val="clear" w:color="auto" w:fill="FFFFFF"/>
        <w:autoSpaceDE w:val="0"/>
        <w:autoSpaceDN w:val="0"/>
        <w:adjustRightInd w:val="0"/>
        <w:ind w:left="851" w:right="851" w:firstLine="720"/>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4A897DB8" w14:textId="77777777">
      <w:pPr>
        <w:widowControl w:val="0"/>
        <w:shd w:val="clear" w:color="auto" w:fill="FFFFFF"/>
        <w:autoSpaceDE w:val="0"/>
        <w:autoSpaceDN w:val="0"/>
        <w:adjustRightInd w:val="0"/>
        <w:ind w:left="851" w:right="851" w:firstLine="720"/>
        <w:jc w:val="both"/>
        <w:textAlignment w:val="baseline"/>
        <w:rPr>
          <w:rFonts w:ascii="Times New Roman" w:hAnsi="Times New Roman" w:eastAsia="Times New Roman" w:cs="Times New Roman"/>
          <w:sz w:val="26"/>
          <w:szCs w:val="26"/>
          <w:u w:color="000000"/>
          <w:shd w:val="clear" w:color="auto" w:fill="FFFFFF"/>
          <w:lang w:eastAsia="es-CR"/>
        </w:rPr>
      </w:pPr>
      <w:r w:rsidRPr="00F31A99">
        <w:rPr>
          <w:rFonts w:ascii="Times New Roman" w:hAnsi="Times New Roman" w:eastAsia="Times New Roman" w:cs="Times New Roman"/>
          <w:sz w:val="26"/>
          <w:szCs w:val="26"/>
          <w:u w:color="000000"/>
          <w:shd w:val="clear" w:color="auto" w:fill="FFFFFF"/>
          <w:lang w:eastAsia="es-CR"/>
        </w:rPr>
        <w:t>Finalmente, el monto total proyectado para el presupuesto 2022 que conforma la Subpartida 00505 "Contribución Patronal a Fondos Administrados por Entidades Privadas" es de ¢4.496.767.803, distribuidos por Programa presupuestario de la siguiente manera:</w:t>
      </w:r>
    </w:p>
    <w:p w:rsidRPr="00F31A99" w:rsidR="00F31A99" w:rsidP="00F31A99" w:rsidRDefault="00F31A99" w14:paraId="17A8DB28" w14:textId="77777777">
      <w:pPr>
        <w:widowControl w:val="0"/>
        <w:shd w:val="clear" w:color="auto" w:fill="FFFFFF"/>
        <w:autoSpaceDE w:val="0"/>
        <w:autoSpaceDN w:val="0"/>
        <w:adjustRightInd w:val="0"/>
        <w:spacing w:line="360" w:lineRule="auto"/>
        <w:ind w:firstLine="705"/>
        <w:jc w:val="both"/>
        <w:textAlignment w:val="baseline"/>
        <w:rPr>
          <w:rFonts w:ascii="Times New Roman" w:hAnsi="Times New Roman" w:eastAsia="Times New Roman" w:cs="Times New Roman"/>
          <w:sz w:val="24"/>
          <w:szCs w:val="24"/>
          <w:u w:color="000000"/>
          <w:shd w:val="clear" w:color="auto" w:fill="FFFFFF"/>
          <w:lang w:eastAsia="es-CR"/>
        </w:rPr>
      </w:pPr>
    </w:p>
    <w:p w:rsidRPr="00F31A99" w:rsidR="00F31A99" w:rsidP="00F31A99" w:rsidRDefault="00F31A99" w14:paraId="43EC42CE" w14:textId="77777777">
      <w:pPr>
        <w:widowControl w:val="0"/>
        <w:shd w:val="clear" w:color="auto" w:fill="FFFFFF"/>
        <w:autoSpaceDE w:val="0"/>
        <w:autoSpaceDN w:val="0"/>
        <w:adjustRightInd w:val="0"/>
        <w:jc w:val="center"/>
        <w:textAlignment w:val="baseline"/>
        <w:rPr>
          <w:rFonts w:ascii="Times New Roman" w:hAnsi="Times New Roman" w:eastAsia="Times New Roman" w:cs="Times New Roman"/>
          <w:sz w:val="24"/>
          <w:szCs w:val="24"/>
          <w:u w:color="000000"/>
          <w:shd w:val="clear" w:color="auto" w:fill="FFFFFF"/>
          <w:lang w:eastAsia="es-CR"/>
        </w:rPr>
      </w:pPr>
      <w:r w:rsidRPr="00F31A99">
        <w:rPr>
          <w:rFonts w:ascii="Times New Roman" w:hAnsi="Times New Roman" w:eastAsia="Times New Roman" w:cs="Times New Roman"/>
          <w:noProof/>
          <w:sz w:val="24"/>
          <w:szCs w:val="24"/>
          <w:u w:color="000000"/>
          <w:shd w:val="clear" w:color="auto" w:fill="FFFFFF"/>
          <w:lang w:eastAsia="es-MX"/>
        </w:rPr>
        <w:drawing>
          <wp:inline distT="0" distB="0" distL="0" distR="0" wp14:anchorId="7E606C9D" wp14:editId="5433B0F4">
            <wp:extent cx="5614670" cy="1640205"/>
            <wp:effectExtent l="0" t="0" r="508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4670" cy="1640205"/>
                    </a:xfrm>
                    <a:prstGeom prst="rect">
                      <a:avLst/>
                    </a:prstGeom>
                    <a:noFill/>
                  </pic:spPr>
                </pic:pic>
              </a:graphicData>
            </a:graphic>
          </wp:inline>
        </w:drawing>
      </w:r>
    </w:p>
    <w:p w:rsidRPr="00F31A99" w:rsidR="00F31A99" w:rsidP="00F31A99" w:rsidRDefault="00F31A99" w14:paraId="59CBB84B"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7769FED1" w14:textId="77777777">
      <w:pPr>
        <w:widowControl w:val="0"/>
        <w:numPr>
          <w:ilvl w:val="0"/>
          <w:numId w:val="17"/>
        </w:numPr>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b/>
          <w:bCs/>
          <w:sz w:val="26"/>
          <w:szCs w:val="26"/>
          <w:u w:color="000000"/>
          <w:lang w:eastAsia="es-CR"/>
        </w:rPr>
      </w:pPr>
      <w:r w:rsidRPr="00F31A99">
        <w:rPr>
          <w:rFonts w:ascii="Times New Roman" w:hAnsi="Times New Roman" w:eastAsia="Times New Roman" w:cs="Times New Roman"/>
          <w:b/>
          <w:bCs/>
          <w:sz w:val="26"/>
          <w:szCs w:val="26"/>
          <w:u w:color="000000"/>
          <w:lang w:eastAsia="es-CR"/>
        </w:rPr>
        <w:t xml:space="preserve">Ejecución de Recursos </w:t>
      </w:r>
    </w:p>
    <w:p w:rsidRPr="00F31A99" w:rsidR="00F31A99" w:rsidP="00F31A99" w:rsidRDefault="00F31A99" w14:paraId="38619582"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12B16031"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lang w:eastAsia="es-CR"/>
        </w:rPr>
        <w:t>En el siguiente detalle se muestra los recursos formulados y ejecutados en el período del 2019 al 2022.</w:t>
      </w:r>
    </w:p>
    <w:p w:rsidRPr="00F31A99" w:rsidR="00F31A99" w:rsidP="00F31A99" w:rsidRDefault="00F31A99" w14:paraId="39C3E19D" w14:textId="77777777">
      <w:pPr>
        <w:widowControl w:val="0"/>
        <w:shd w:val="clear" w:color="auto" w:fill="FFFFFF"/>
        <w:autoSpaceDE w:val="0"/>
        <w:autoSpaceDN w:val="0"/>
        <w:adjustRightInd w:val="0"/>
        <w:spacing w:line="360" w:lineRule="auto"/>
        <w:ind w:left="720"/>
        <w:jc w:val="both"/>
        <w:textAlignment w:val="baseline"/>
        <w:rPr>
          <w:rFonts w:ascii="Times New Roman" w:hAnsi="Times New Roman" w:eastAsia="Times New Roman" w:cs="Times New Roman"/>
          <w:sz w:val="24"/>
          <w:szCs w:val="24"/>
          <w:u w:color="000000"/>
          <w:lang w:eastAsia="es-CR"/>
        </w:rPr>
      </w:pPr>
    </w:p>
    <w:tbl>
      <w:tblPr>
        <w:tblW w:w="75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837"/>
        <w:gridCol w:w="1694"/>
        <w:gridCol w:w="1694"/>
        <w:gridCol w:w="1694"/>
        <w:gridCol w:w="1785"/>
      </w:tblGrid>
      <w:tr w:rsidRPr="00F31A99" w:rsidR="00AE1B2B" w:rsidTr="00A306B2" w14:paraId="30D956BA" w14:textId="77777777">
        <w:trPr>
          <w:trHeight w:val="323"/>
          <w:jc w:val="center"/>
        </w:trPr>
        <w:tc>
          <w:tcPr>
            <w:tcW w:w="7526" w:type="dxa"/>
            <w:gridSpan w:val="5"/>
            <w:shd w:val="clear" w:color="000000" w:fill="B8CCE4"/>
            <w:noWrap/>
            <w:vAlign w:val="bottom"/>
            <w:hideMark/>
          </w:tcPr>
          <w:p w:rsidRPr="00F31A99" w:rsidR="00F31A99" w:rsidP="00F31A99" w:rsidRDefault="00F31A99" w14:paraId="2AB30526" w14:textId="77777777">
            <w:pPr>
              <w:widowControl w:val="0"/>
              <w:autoSpaceDN w:val="0"/>
              <w:spacing w:line="360" w:lineRule="auto"/>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Comportamiento de la Subpartida del 2019 al 2022 </w:t>
            </w:r>
          </w:p>
        </w:tc>
      </w:tr>
      <w:tr w:rsidRPr="00F31A99" w:rsidR="00AE1B2B" w:rsidTr="00A306B2" w14:paraId="1CEB420D" w14:textId="77777777">
        <w:trPr>
          <w:trHeight w:val="323"/>
          <w:jc w:val="center"/>
        </w:trPr>
        <w:tc>
          <w:tcPr>
            <w:tcW w:w="658" w:type="dxa"/>
            <w:shd w:val="clear" w:color="DCE6F1" w:fill="DCE6F1"/>
            <w:noWrap/>
            <w:vAlign w:val="bottom"/>
            <w:hideMark/>
          </w:tcPr>
          <w:p w:rsidRPr="00F31A99" w:rsidR="00F31A99" w:rsidP="00F31A99" w:rsidRDefault="00F31A99" w14:paraId="1CE0E1D5" w14:textId="77777777">
            <w:pPr>
              <w:widowControl w:val="0"/>
              <w:autoSpaceDN w:val="0"/>
              <w:spacing w:line="360" w:lineRule="auto"/>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Año</w:t>
            </w:r>
          </w:p>
        </w:tc>
        <w:tc>
          <w:tcPr>
            <w:tcW w:w="1694" w:type="dxa"/>
            <w:shd w:val="clear" w:color="DCE6F1" w:fill="DCE6F1"/>
            <w:noWrap/>
            <w:vAlign w:val="bottom"/>
            <w:hideMark/>
          </w:tcPr>
          <w:p w:rsidRPr="00F31A99" w:rsidR="00F31A99" w:rsidP="00F31A99" w:rsidRDefault="00F31A99" w14:paraId="7A446E0F" w14:textId="77777777">
            <w:pPr>
              <w:widowControl w:val="0"/>
              <w:autoSpaceDN w:val="0"/>
              <w:spacing w:line="360" w:lineRule="auto"/>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Formulado</w:t>
            </w:r>
          </w:p>
        </w:tc>
        <w:tc>
          <w:tcPr>
            <w:tcW w:w="1694" w:type="dxa"/>
            <w:shd w:val="clear" w:color="DCE6F1" w:fill="DCE6F1"/>
            <w:noWrap/>
            <w:vAlign w:val="bottom"/>
            <w:hideMark/>
          </w:tcPr>
          <w:p w:rsidRPr="00F31A99" w:rsidR="00F31A99" w:rsidP="00F31A99" w:rsidRDefault="00F31A99" w14:paraId="2E3F32CE" w14:textId="77777777">
            <w:pPr>
              <w:widowControl w:val="0"/>
              <w:autoSpaceDN w:val="0"/>
              <w:spacing w:line="360" w:lineRule="auto"/>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actual</w:t>
            </w:r>
          </w:p>
        </w:tc>
        <w:tc>
          <w:tcPr>
            <w:tcW w:w="1694" w:type="dxa"/>
            <w:shd w:val="clear" w:color="DCE6F1" w:fill="DCE6F1"/>
            <w:noWrap/>
            <w:vAlign w:val="bottom"/>
            <w:hideMark/>
          </w:tcPr>
          <w:p w:rsidRPr="00F31A99" w:rsidR="00F31A99" w:rsidP="00F31A99" w:rsidRDefault="00F31A99" w14:paraId="498CDE54" w14:textId="77777777">
            <w:pPr>
              <w:widowControl w:val="0"/>
              <w:autoSpaceDN w:val="0"/>
              <w:spacing w:line="360" w:lineRule="auto"/>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Ejecutado</w:t>
            </w:r>
          </w:p>
        </w:tc>
        <w:tc>
          <w:tcPr>
            <w:tcW w:w="1785" w:type="dxa"/>
            <w:shd w:val="clear" w:color="DCE6F1" w:fill="DCE6F1"/>
            <w:noWrap/>
            <w:vAlign w:val="bottom"/>
            <w:hideMark/>
          </w:tcPr>
          <w:p w:rsidRPr="00F31A99" w:rsidR="00F31A99" w:rsidP="00F31A99" w:rsidRDefault="00F31A99" w14:paraId="3C3A2005" w14:textId="77777777">
            <w:pPr>
              <w:widowControl w:val="0"/>
              <w:autoSpaceDN w:val="0"/>
              <w:spacing w:line="360" w:lineRule="auto"/>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Diferencia</w:t>
            </w:r>
          </w:p>
        </w:tc>
      </w:tr>
      <w:tr w:rsidRPr="00F31A99" w:rsidR="00AE1B2B" w:rsidTr="00A306B2" w14:paraId="4B0051F4" w14:textId="77777777">
        <w:trPr>
          <w:trHeight w:val="323"/>
          <w:jc w:val="center"/>
        </w:trPr>
        <w:tc>
          <w:tcPr>
            <w:tcW w:w="658" w:type="dxa"/>
            <w:shd w:val="clear" w:color="auto" w:fill="auto"/>
            <w:noWrap/>
            <w:vAlign w:val="bottom"/>
            <w:hideMark/>
          </w:tcPr>
          <w:p w:rsidRPr="00F31A99" w:rsidR="00F31A99" w:rsidP="00F31A99" w:rsidRDefault="00F31A99" w14:paraId="0851A539" w14:textId="77777777">
            <w:pPr>
              <w:widowControl w:val="0"/>
              <w:autoSpaceDN w:val="0"/>
              <w:spacing w:line="360" w:lineRule="auto"/>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2019</w:t>
            </w:r>
          </w:p>
        </w:tc>
        <w:tc>
          <w:tcPr>
            <w:tcW w:w="1694" w:type="dxa"/>
            <w:shd w:val="clear" w:color="auto" w:fill="auto"/>
            <w:noWrap/>
            <w:vAlign w:val="bottom"/>
            <w:hideMark/>
          </w:tcPr>
          <w:p w:rsidRPr="00F31A99" w:rsidR="00F31A99" w:rsidP="00F31A99" w:rsidRDefault="00F31A99" w14:paraId="3F3C2D89"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3 851 000 000</w:t>
            </w:r>
          </w:p>
        </w:tc>
        <w:tc>
          <w:tcPr>
            <w:tcW w:w="1694" w:type="dxa"/>
            <w:shd w:val="clear" w:color="auto" w:fill="auto"/>
            <w:noWrap/>
            <w:vAlign w:val="bottom"/>
            <w:hideMark/>
          </w:tcPr>
          <w:p w:rsidRPr="00F31A99" w:rsidR="00F31A99" w:rsidP="00F31A99" w:rsidRDefault="00F31A99" w14:paraId="02ABB298"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3 916 000 000</w:t>
            </w:r>
          </w:p>
        </w:tc>
        <w:tc>
          <w:tcPr>
            <w:tcW w:w="1694" w:type="dxa"/>
            <w:shd w:val="clear" w:color="auto" w:fill="auto"/>
            <w:noWrap/>
            <w:vAlign w:val="bottom"/>
            <w:hideMark/>
          </w:tcPr>
          <w:p w:rsidRPr="00F31A99" w:rsidR="00F31A99" w:rsidP="00F31A99" w:rsidRDefault="00F31A99" w14:paraId="0FEF322F"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3 916 000 000</w:t>
            </w:r>
          </w:p>
        </w:tc>
        <w:tc>
          <w:tcPr>
            <w:tcW w:w="1785" w:type="dxa"/>
            <w:shd w:val="clear" w:color="auto" w:fill="auto"/>
            <w:noWrap/>
            <w:vAlign w:val="bottom"/>
            <w:hideMark/>
          </w:tcPr>
          <w:p w:rsidRPr="00F31A99" w:rsidR="00F31A99" w:rsidP="00F31A99" w:rsidRDefault="00F31A99" w14:paraId="6664FB0F"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0</w:t>
            </w:r>
          </w:p>
        </w:tc>
      </w:tr>
      <w:tr w:rsidRPr="00F31A99" w:rsidR="00AE1B2B" w:rsidTr="00A306B2" w14:paraId="457D0B79" w14:textId="77777777">
        <w:trPr>
          <w:trHeight w:val="323"/>
          <w:jc w:val="center"/>
        </w:trPr>
        <w:tc>
          <w:tcPr>
            <w:tcW w:w="658" w:type="dxa"/>
            <w:shd w:val="clear" w:color="auto" w:fill="auto"/>
            <w:noWrap/>
            <w:vAlign w:val="bottom"/>
            <w:hideMark/>
          </w:tcPr>
          <w:p w:rsidRPr="00F31A99" w:rsidR="00F31A99" w:rsidP="00F31A99" w:rsidRDefault="00F31A99" w14:paraId="6654DFDF" w14:textId="77777777">
            <w:pPr>
              <w:widowControl w:val="0"/>
              <w:autoSpaceDN w:val="0"/>
              <w:spacing w:line="360" w:lineRule="auto"/>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2020</w:t>
            </w:r>
          </w:p>
        </w:tc>
        <w:tc>
          <w:tcPr>
            <w:tcW w:w="1694" w:type="dxa"/>
            <w:shd w:val="clear" w:color="auto" w:fill="auto"/>
            <w:noWrap/>
            <w:vAlign w:val="bottom"/>
            <w:hideMark/>
          </w:tcPr>
          <w:p w:rsidRPr="00F31A99" w:rsidR="00F31A99" w:rsidP="00F31A99" w:rsidRDefault="00F31A99" w14:paraId="611D4CDF"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5 015 375 000</w:t>
            </w:r>
          </w:p>
        </w:tc>
        <w:tc>
          <w:tcPr>
            <w:tcW w:w="1694" w:type="dxa"/>
            <w:shd w:val="clear" w:color="auto" w:fill="auto"/>
            <w:noWrap/>
            <w:vAlign w:val="bottom"/>
            <w:hideMark/>
          </w:tcPr>
          <w:p w:rsidRPr="00F31A99" w:rsidR="00F31A99" w:rsidP="00F31A99" w:rsidRDefault="00F31A99" w14:paraId="3C1ADF34"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4 431 375 000</w:t>
            </w:r>
          </w:p>
        </w:tc>
        <w:tc>
          <w:tcPr>
            <w:tcW w:w="1694" w:type="dxa"/>
            <w:shd w:val="clear" w:color="auto" w:fill="auto"/>
            <w:noWrap/>
            <w:vAlign w:val="bottom"/>
            <w:hideMark/>
          </w:tcPr>
          <w:p w:rsidRPr="00F31A99" w:rsidR="00F31A99" w:rsidP="00F31A99" w:rsidRDefault="00F31A99" w14:paraId="6DF19FB6"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4 420 418 282</w:t>
            </w:r>
          </w:p>
        </w:tc>
        <w:tc>
          <w:tcPr>
            <w:tcW w:w="1785" w:type="dxa"/>
            <w:shd w:val="clear" w:color="auto" w:fill="auto"/>
            <w:noWrap/>
            <w:vAlign w:val="bottom"/>
            <w:hideMark/>
          </w:tcPr>
          <w:p w:rsidRPr="00F31A99" w:rsidR="00F31A99" w:rsidP="00F31A99" w:rsidRDefault="00F31A99" w14:paraId="6988F071"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-10 956 718</w:t>
            </w:r>
          </w:p>
        </w:tc>
      </w:tr>
      <w:tr w:rsidRPr="00F31A99" w:rsidR="00AE1B2B" w:rsidTr="00A306B2" w14:paraId="39CEBCF8" w14:textId="77777777">
        <w:trPr>
          <w:trHeight w:val="323"/>
          <w:jc w:val="center"/>
        </w:trPr>
        <w:tc>
          <w:tcPr>
            <w:tcW w:w="658" w:type="dxa"/>
            <w:shd w:val="clear" w:color="auto" w:fill="auto"/>
            <w:noWrap/>
            <w:vAlign w:val="bottom"/>
            <w:hideMark/>
          </w:tcPr>
          <w:p w:rsidRPr="00F31A99" w:rsidR="00F31A99" w:rsidP="00F31A99" w:rsidRDefault="00F31A99" w14:paraId="692DF46D" w14:textId="77777777">
            <w:pPr>
              <w:widowControl w:val="0"/>
              <w:autoSpaceDN w:val="0"/>
              <w:spacing w:line="360" w:lineRule="auto"/>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2021(1)</w:t>
            </w:r>
          </w:p>
        </w:tc>
        <w:tc>
          <w:tcPr>
            <w:tcW w:w="1694" w:type="dxa"/>
            <w:shd w:val="clear" w:color="auto" w:fill="auto"/>
            <w:noWrap/>
            <w:vAlign w:val="bottom"/>
            <w:hideMark/>
          </w:tcPr>
          <w:p w:rsidRPr="00F31A99" w:rsidR="00F31A99" w:rsidP="00F31A99" w:rsidRDefault="00F31A99" w14:paraId="2306E0C7"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4 642 430 640</w:t>
            </w:r>
          </w:p>
        </w:tc>
        <w:tc>
          <w:tcPr>
            <w:tcW w:w="1694" w:type="dxa"/>
            <w:shd w:val="clear" w:color="auto" w:fill="auto"/>
            <w:noWrap/>
            <w:vAlign w:val="bottom"/>
            <w:hideMark/>
          </w:tcPr>
          <w:p w:rsidRPr="00F31A99" w:rsidR="00F31A99" w:rsidP="00F31A99" w:rsidRDefault="00F31A99" w14:paraId="59E9EA57"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4 642 430 640</w:t>
            </w:r>
          </w:p>
        </w:tc>
        <w:tc>
          <w:tcPr>
            <w:tcW w:w="1694" w:type="dxa"/>
            <w:shd w:val="clear" w:color="auto" w:fill="auto"/>
            <w:noWrap/>
            <w:vAlign w:val="bottom"/>
            <w:hideMark/>
          </w:tcPr>
          <w:p w:rsidRPr="00F31A99" w:rsidR="00F31A99" w:rsidP="00F31A99" w:rsidRDefault="00F31A99" w14:paraId="7DCFE059"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971 224 117</w:t>
            </w:r>
          </w:p>
        </w:tc>
        <w:tc>
          <w:tcPr>
            <w:tcW w:w="1785" w:type="dxa"/>
            <w:shd w:val="clear" w:color="auto" w:fill="auto"/>
            <w:noWrap/>
            <w:vAlign w:val="bottom"/>
            <w:hideMark/>
          </w:tcPr>
          <w:p w:rsidRPr="00F31A99" w:rsidR="00F31A99" w:rsidP="00F31A99" w:rsidRDefault="00F31A99" w14:paraId="2ADEA0E2"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-3 671 206 523</w:t>
            </w:r>
          </w:p>
        </w:tc>
      </w:tr>
      <w:tr w:rsidRPr="00F31A99" w:rsidR="00AE1B2B" w:rsidTr="00A306B2" w14:paraId="0780B72E" w14:textId="77777777">
        <w:trPr>
          <w:trHeight w:val="323"/>
          <w:jc w:val="center"/>
        </w:trPr>
        <w:tc>
          <w:tcPr>
            <w:tcW w:w="658" w:type="dxa"/>
            <w:shd w:val="clear" w:color="auto" w:fill="auto"/>
            <w:noWrap/>
            <w:vAlign w:val="bottom"/>
            <w:hideMark/>
          </w:tcPr>
          <w:p w:rsidRPr="00F31A99" w:rsidR="00F31A99" w:rsidP="00F31A99" w:rsidRDefault="00F31A99" w14:paraId="4B3438C8" w14:textId="77777777">
            <w:pPr>
              <w:widowControl w:val="0"/>
              <w:autoSpaceDN w:val="0"/>
              <w:spacing w:line="360" w:lineRule="auto"/>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2022</w:t>
            </w:r>
          </w:p>
        </w:tc>
        <w:tc>
          <w:tcPr>
            <w:tcW w:w="1694" w:type="dxa"/>
            <w:shd w:val="clear" w:color="auto" w:fill="auto"/>
            <w:noWrap/>
            <w:vAlign w:val="bottom"/>
            <w:hideMark/>
          </w:tcPr>
          <w:p w:rsidRPr="00F31A99" w:rsidR="00F31A99" w:rsidP="00F31A99" w:rsidRDefault="00F31A99" w14:paraId="2D731D76" w14:textId="77777777">
            <w:pPr>
              <w:widowControl w:val="0"/>
              <w:autoSpaceDN w:val="0"/>
              <w:spacing w:line="360" w:lineRule="auto"/>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4 496 767 803</w:t>
            </w:r>
          </w:p>
        </w:tc>
        <w:tc>
          <w:tcPr>
            <w:tcW w:w="1694" w:type="dxa"/>
            <w:shd w:val="clear" w:color="auto" w:fill="auto"/>
            <w:noWrap/>
            <w:vAlign w:val="bottom"/>
            <w:hideMark/>
          </w:tcPr>
          <w:p w:rsidRPr="00F31A99" w:rsidR="00F31A99" w:rsidP="00F31A99" w:rsidRDefault="00F31A99" w14:paraId="343DF250" w14:textId="77777777">
            <w:pPr>
              <w:widowControl w:val="0"/>
              <w:autoSpaceDN w:val="0"/>
              <w:spacing w:line="360" w:lineRule="auto"/>
              <w:jc w:val="right"/>
              <w:rPr>
                <w:rFonts w:ascii="Times New Roman" w:hAnsi="Times New Roman" w:eastAsia="Times New Roman" w:cs="Times New Roman"/>
                <w:u w:color="000000"/>
                <w:lang w:eastAsia="es-CR"/>
              </w:rPr>
            </w:pPr>
          </w:p>
        </w:tc>
        <w:tc>
          <w:tcPr>
            <w:tcW w:w="1694" w:type="dxa"/>
            <w:shd w:val="clear" w:color="auto" w:fill="auto"/>
            <w:noWrap/>
            <w:vAlign w:val="bottom"/>
            <w:hideMark/>
          </w:tcPr>
          <w:p w:rsidRPr="00F31A99" w:rsidR="00F31A99" w:rsidP="00F31A99" w:rsidRDefault="00F31A99" w14:paraId="4785B49D" w14:textId="77777777">
            <w:pPr>
              <w:widowControl w:val="0"/>
              <w:autoSpaceDN w:val="0"/>
              <w:spacing w:line="360" w:lineRule="auto"/>
              <w:rPr>
                <w:rFonts w:ascii="Times New Roman" w:hAnsi="Times New Roman" w:eastAsia="Times New Roman" w:cs="Times New Roman"/>
                <w:u w:color="000000"/>
                <w:lang w:eastAsia="es-CR"/>
              </w:rPr>
            </w:pPr>
          </w:p>
        </w:tc>
        <w:tc>
          <w:tcPr>
            <w:tcW w:w="1785" w:type="dxa"/>
            <w:shd w:val="clear" w:color="auto" w:fill="auto"/>
            <w:noWrap/>
            <w:vAlign w:val="bottom"/>
            <w:hideMark/>
          </w:tcPr>
          <w:p w:rsidRPr="00F31A99" w:rsidR="00F31A99" w:rsidP="00F31A99" w:rsidRDefault="00F31A99" w14:paraId="6F6EC4CC" w14:textId="77777777">
            <w:pPr>
              <w:widowControl w:val="0"/>
              <w:autoSpaceDN w:val="0"/>
              <w:spacing w:line="360" w:lineRule="auto"/>
              <w:rPr>
                <w:rFonts w:ascii="Times New Roman" w:hAnsi="Times New Roman" w:eastAsia="Times New Roman" w:cs="Times New Roman"/>
                <w:u w:color="000000"/>
                <w:lang w:eastAsia="es-CR"/>
              </w:rPr>
            </w:pPr>
          </w:p>
        </w:tc>
      </w:tr>
    </w:tbl>
    <w:p w:rsidRPr="00F31A99" w:rsidR="00F31A99" w:rsidP="00F31A99" w:rsidRDefault="00F31A99" w14:paraId="700016EE" w14:textId="77777777">
      <w:pPr>
        <w:widowControl w:val="0"/>
        <w:numPr>
          <w:ilvl w:val="1"/>
          <w:numId w:val="14"/>
        </w:numPr>
        <w:shd w:val="clear" w:color="auto" w:fill="FFFFFF"/>
        <w:autoSpaceDE w:val="0"/>
        <w:autoSpaceDN w:val="0"/>
        <w:adjustRightInd w:val="0"/>
        <w:spacing w:line="360" w:lineRule="auto"/>
        <w:jc w:val="both"/>
        <w:textAlignment w:val="baseline"/>
        <w:rPr>
          <w:rFonts w:ascii="Times New Roman" w:hAnsi="Times New Roman" w:eastAsia="Times New Roman" w:cs="Times New Roman"/>
          <w:sz w:val="16"/>
          <w:szCs w:val="16"/>
          <w:u w:color="000000"/>
          <w:lang w:eastAsia="es-CR"/>
        </w:rPr>
      </w:pPr>
      <w:r w:rsidRPr="00F31A99">
        <w:rPr>
          <w:rFonts w:ascii="Times New Roman" w:hAnsi="Times New Roman" w:eastAsia="Times New Roman" w:cs="Times New Roman"/>
          <w:sz w:val="16"/>
          <w:szCs w:val="16"/>
          <w:u w:color="000000"/>
          <w:lang w:eastAsia="es-CR"/>
        </w:rPr>
        <w:t>Monto ejecutado a febrero 2021, incluye salario escolar.</w:t>
      </w:r>
    </w:p>
    <w:p w:rsidRPr="00F31A99" w:rsidR="00F31A99" w:rsidP="00F31A99" w:rsidRDefault="00F31A99" w14:paraId="4E7CA3A4" w14:textId="77777777">
      <w:pPr>
        <w:widowControl w:val="0"/>
        <w:shd w:val="clear" w:color="auto" w:fill="FFFFFF"/>
        <w:autoSpaceDE w:val="0"/>
        <w:autoSpaceDN w:val="0"/>
        <w:adjustRightInd w:val="0"/>
        <w:spacing w:line="360" w:lineRule="auto"/>
        <w:ind w:left="720"/>
        <w:jc w:val="both"/>
        <w:textAlignment w:val="baseline"/>
        <w:rPr>
          <w:rFonts w:ascii="Times New Roman" w:hAnsi="Times New Roman" w:eastAsia="Times New Roman" w:cs="Times New Roman"/>
          <w:sz w:val="24"/>
          <w:szCs w:val="24"/>
          <w:u w:color="000000"/>
          <w:lang w:eastAsia="es-CR"/>
        </w:rPr>
      </w:pPr>
    </w:p>
    <w:p w:rsidRPr="00F31A99" w:rsidR="00F31A99" w:rsidP="00F31A99" w:rsidRDefault="00F31A99" w14:paraId="1E9EBC19"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lang w:eastAsia="es-CR"/>
        </w:rPr>
        <w:t xml:space="preserve">Es importante indicar que tal como se observa en el detalle anterior, para el período del 2019, fue necesario reforzar la subpartida por medio de Modificaciones Externas por la suma de ¢65.000.000, monto que no fue suficiente, debido a que fue necesario cancelar </w:t>
      </w:r>
      <w:r w:rsidRPr="00F31A99">
        <w:rPr>
          <w:rFonts w:ascii="Times New Roman" w:hAnsi="Times New Roman" w:eastAsia="Times New Roman" w:cs="Times New Roman"/>
          <w:sz w:val="26"/>
          <w:szCs w:val="26"/>
          <w:u w:color="000000"/>
          <w:lang w:eastAsia="es-CR"/>
        </w:rPr>
        <w:lastRenderedPageBreak/>
        <w:t xml:space="preserve">planillas del 2019 con recursos 2020, por la suma de ¢15.933.293. </w:t>
      </w:r>
    </w:p>
    <w:p w:rsidRPr="00F31A99" w:rsidR="00F31A99" w:rsidP="00F31A99" w:rsidRDefault="00F31A99" w14:paraId="4AA2C5AD"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61865955"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lang w:eastAsia="es-CR"/>
        </w:rPr>
        <w:t>Para el 2020 que fue un año de transición e incertidumbre por abrirse la afiliación a las cooperativas, se rebajaron más de ¢594 millones respecto a lo formulado, lo que hace que para el 2021 se ajuste la apropiación y en el 2022 refleje una tendencia hacia la baja, producto también de la desafiliación de servidores.</w:t>
      </w:r>
    </w:p>
    <w:p w:rsidRPr="00F31A99" w:rsidR="00F31A99" w:rsidP="00F31A99" w:rsidRDefault="00F31A99" w14:paraId="7A1E09C3"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6D696FA7" w14:textId="77777777">
      <w:pPr>
        <w:widowControl w:val="0"/>
        <w:numPr>
          <w:ilvl w:val="0"/>
          <w:numId w:val="17"/>
        </w:numPr>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b/>
          <w:bCs/>
          <w:sz w:val="26"/>
          <w:szCs w:val="26"/>
          <w:u w:color="000000"/>
          <w:lang w:eastAsia="es-CR"/>
        </w:rPr>
        <w:t>Escenario Plena Afiliación</w:t>
      </w:r>
    </w:p>
    <w:p w:rsidRPr="00F31A99" w:rsidR="00F31A99" w:rsidP="00F31A99" w:rsidRDefault="00F31A99" w14:paraId="00ED5694"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2C1F1773"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shd w:val="clear" w:color="auto" w:fill="FFFFFF"/>
          <w:lang w:eastAsia="es-CR"/>
        </w:rPr>
        <w:t>Este escenario contempla para el 2022 la totalidad de la planilla como si estuviese afiliada, el monto del aporte patronal requerido habría sido de ¢6.378.915.953, es decir, habría un faltante de ¢1.882.148.150, dado que se formularon para el 2022 ¢4.496.767.803 en esta subpartida.</w:t>
      </w:r>
    </w:p>
    <w:p w:rsidRPr="00F31A99" w:rsidR="00F31A99" w:rsidP="00F31A99" w:rsidRDefault="00F31A99" w14:paraId="3FD36CA6"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p>
    <w:p w:rsidRPr="00F31A99" w:rsidR="00F31A99" w:rsidP="00F31A99" w:rsidRDefault="00F31A99" w14:paraId="2CFBE16D" w14:textId="77777777">
      <w:pPr>
        <w:widowControl w:val="0"/>
        <w:shd w:val="clear" w:color="auto" w:fill="FFFFFF"/>
        <w:autoSpaceDE w:val="0"/>
        <w:autoSpaceDN w:val="0"/>
        <w:adjustRightInd w:val="0"/>
        <w:ind w:left="851" w:right="851" w:firstLine="709"/>
        <w:jc w:val="both"/>
        <w:textAlignment w:val="baseline"/>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shd w:val="clear" w:color="auto" w:fill="FFFFFF"/>
          <w:lang w:eastAsia="es-CR"/>
        </w:rPr>
        <w:t>No obstante, lo anterior sería bajo el supuesto de que toda la población judicial solicitaría la administración de la cesantía, aspecto que no es posible proyectar en este momento; por lo que la cifra de ¢6.378 millones podría representar un mínimo a formular bajo el supuesto de plena afiliación.</w:t>
      </w:r>
      <w:r w:rsidRPr="00F31A99">
        <w:rPr>
          <w:rFonts w:ascii="Times New Roman" w:hAnsi="Times New Roman" w:eastAsia="Times New Roman" w:cs="Times New Roman"/>
          <w:sz w:val="26"/>
          <w:szCs w:val="26"/>
          <w:u w:color="000000"/>
          <w:lang w:eastAsia="es-CR"/>
        </w:rPr>
        <w:t> </w:t>
      </w:r>
    </w:p>
    <w:p w:rsidRPr="00F31A99" w:rsidR="00F31A99" w:rsidP="00F31A99" w:rsidRDefault="00F31A99" w14:paraId="5603EEE9" w14:textId="77777777">
      <w:pPr>
        <w:widowControl w:val="0"/>
        <w:shd w:val="clear" w:color="auto" w:fill="FFFFFF"/>
        <w:autoSpaceDE w:val="0"/>
        <w:autoSpaceDN w:val="0"/>
        <w:adjustRightInd w:val="0"/>
        <w:spacing w:line="360" w:lineRule="auto"/>
        <w:ind w:firstLine="705"/>
        <w:jc w:val="both"/>
        <w:textAlignment w:val="baseline"/>
        <w:rPr>
          <w:rFonts w:ascii="Times New Roman" w:hAnsi="Times New Roman" w:eastAsia="Times New Roman" w:cs="Times New Roman"/>
          <w:sz w:val="24"/>
          <w:szCs w:val="24"/>
          <w:u w:color="000000"/>
          <w:lang w:eastAsia="es-CR"/>
        </w:rPr>
      </w:pPr>
    </w:p>
    <w:p w:rsidRPr="00F31A99" w:rsidR="00F31A99" w:rsidP="00F31A99" w:rsidRDefault="00F31A99" w14:paraId="6FF13217" w14:textId="77777777">
      <w:pPr>
        <w:widowControl w:val="0"/>
        <w:shd w:val="clear" w:color="auto" w:fill="FFFFFF"/>
        <w:autoSpaceDE w:val="0"/>
        <w:autoSpaceDN w:val="0"/>
        <w:adjustRightInd w:val="0"/>
        <w:spacing w:line="360" w:lineRule="auto"/>
        <w:jc w:val="center"/>
        <w:textAlignment w:val="baseline"/>
        <w:rPr>
          <w:rFonts w:ascii="Times New Roman" w:hAnsi="Times New Roman" w:eastAsia="Times New Roman" w:cs="Times New Roman"/>
          <w:sz w:val="24"/>
          <w:szCs w:val="24"/>
          <w:u w:color="000000"/>
          <w:lang w:eastAsia="es-CR"/>
        </w:rPr>
      </w:pPr>
      <w:r w:rsidRPr="00F31A99">
        <w:rPr>
          <w:rFonts w:ascii="Times New Roman" w:hAnsi="Times New Roman" w:eastAsia="Times New Roman" w:cs="Times New Roman"/>
          <w:noProof/>
          <w:sz w:val="24"/>
          <w:szCs w:val="24"/>
          <w:u w:color="000000"/>
          <w:lang w:eastAsia="es-MX"/>
        </w:rPr>
        <w:drawing>
          <wp:inline distT="0" distB="0" distL="0" distR="0" wp14:anchorId="5E186C76" wp14:editId="6A05D351">
            <wp:extent cx="4549968" cy="1150620"/>
            <wp:effectExtent l="0" t="0" r="317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65535" cy="1154557"/>
                    </a:xfrm>
                    <a:prstGeom prst="rect">
                      <a:avLst/>
                    </a:prstGeom>
                    <a:noFill/>
                    <a:ln>
                      <a:noFill/>
                    </a:ln>
                  </pic:spPr>
                </pic:pic>
              </a:graphicData>
            </a:graphic>
          </wp:inline>
        </w:drawing>
      </w:r>
    </w:p>
    <w:p w:rsidRPr="00F31A99" w:rsidR="00F31A99" w:rsidP="00F31A99" w:rsidRDefault="00F31A99" w14:paraId="131B8735" w14:textId="77777777">
      <w:pPr>
        <w:widowControl w:val="0"/>
        <w:shd w:val="clear" w:color="auto" w:fill="FFFFFD"/>
        <w:autoSpaceDE w:val="0"/>
        <w:autoSpaceDN w:val="0"/>
        <w:adjustRightInd w:val="0"/>
        <w:spacing w:line="360" w:lineRule="auto"/>
        <w:jc w:val="both"/>
        <w:textAlignment w:val="baseline"/>
        <w:rPr>
          <w:rFonts w:ascii="Times New Roman" w:hAnsi="Times New Roman" w:eastAsia="Times New Roman" w:cs="Times New Roman"/>
          <w:sz w:val="24"/>
          <w:szCs w:val="24"/>
          <w:u w:color="000000"/>
          <w:lang w:eastAsia="es-CR"/>
        </w:rPr>
      </w:pPr>
    </w:p>
    <w:p w:rsidRPr="00F31A99" w:rsidR="00F31A99" w:rsidP="00F31A99" w:rsidRDefault="00F31A99" w14:paraId="221EB0A2" w14:textId="77777777">
      <w:pPr>
        <w:widowControl w:val="0"/>
        <w:shd w:val="clear" w:color="auto" w:fill="FFFFFD"/>
        <w:autoSpaceDE w:val="0"/>
        <w:autoSpaceDN w:val="0"/>
        <w:adjustRightInd w:val="0"/>
        <w:ind w:left="851" w:right="851" w:firstLine="703"/>
        <w:jc w:val="both"/>
        <w:textAlignment w:val="baseline"/>
        <w:rPr>
          <w:rFonts w:ascii="Times New Roman" w:hAnsi="Times New Roman" w:eastAsia="Times New Roman" w:cs="Times New Roman"/>
          <w:sz w:val="26"/>
          <w:szCs w:val="26"/>
          <w:u w:color="000000"/>
          <w:shd w:val="clear" w:color="auto" w:fill="FFFFFF"/>
          <w:lang w:eastAsia="es-CR"/>
        </w:rPr>
      </w:pPr>
      <w:r w:rsidRPr="00F31A99">
        <w:rPr>
          <w:rFonts w:ascii="Times New Roman" w:hAnsi="Times New Roman" w:eastAsia="Times New Roman" w:cs="Times New Roman"/>
          <w:sz w:val="26"/>
          <w:szCs w:val="26"/>
          <w:u w:color="000000"/>
          <w:shd w:val="clear" w:color="auto" w:fill="FFFFFF"/>
          <w:lang w:eastAsia="es-CR"/>
        </w:rPr>
        <w:t>Como requerimiento final es necesario que se autorice a la Dirección de Planificación a actualizar el monto aprobado en caso de que se realice algún ajuste que afecte directamente esta Subpartida producto de recortes que podría indicar el Ministerio de Hacienda.”</w:t>
      </w:r>
    </w:p>
    <w:p w:rsidRPr="00F31A99" w:rsidR="00F31A99" w:rsidP="00F31A99" w:rsidRDefault="00F31A99" w14:paraId="0E6AE90F" w14:textId="77777777">
      <w:pPr>
        <w:widowControl w:val="0"/>
        <w:shd w:val="clear" w:color="auto" w:fill="FFFFFD"/>
        <w:autoSpaceDE w:val="0"/>
        <w:autoSpaceDN w:val="0"/>
        <w:adjustRightInd w:val="0"/>
        <w:ind w:left="851" w:right="851" w:firstLine="703"/>
        <w:jc w:val="both"/>
        <w:textAlignment w:val="baseline"/>
        <w:rPr>
          <w:rFonts w:ascii="Times New Roman" w:hAnsi="Times New Roman" w:eastAsia="Times New Roman" w:cs="Times New Roman"/>
          <w:b/>
          <w:sz w:val="26"/>
          <w:szCs w:val="26"/>
          <w:u w:color="000000"/>
          <w:lang w:eastAsia="es-ES"/>
        </w:rPr>
      </w:pPr>
    </w:p>
    <w:p w:rsidRPr="00F31A99" w:rsidR="00F31A99" w:rsidP="00F31A99" w:rsidRDefault="00F31A99" w14:paraId="367B8C63" w14:textId="77777777">
      <w:pPr>
        <w:widowControl w:val="0"/>
        <w:tabs>
          <w:tab w:val="left" w:pos="1320"/>
        </w:tabs>
        <w:autoSpaceDN w:val="0"/>
        <w:spacing w:line="480" w:lineRule="auto"/>
        <w:jc w:val="center"/>
        <w:rPr>
          <w:rFonts w:ascii="Times New Roman" w:hAnsi="Times New Roman" w:eastAsia="Times New Roman" w:cs="Times New Roman"/>
          <w:sz w:val="28"/>
          <w:szCs w:val="28"/>
          <w:u w:color="000000"/>
          <w:lang w:eastAsia="es-CR"/>
        </w:rPr>
      </w:pPr>
      <w:r w:rsidRPr="00F31A99">
        <w:rPr>
          <w:rFonts w:ascii="Times New Roman" w:hAnsi="Times New Roman" w:eastAsia="Times New Roman" w:cs="Times New Roman"/>
          <w:sz w:val="28"/>
          <w:szCs w:val="28"/>
          <w:u w:color="000000"/>
          <w:lang w:eastAsia="es-CR"/>
        </w:rPr>
        <w:t>- 0 -</w:t>
      </w:r>
    </w:p>
    <w:p w:rsidRPr="00F31A99" w:rsidR="00F31A99" w:rsidP="00F31A99" w:rsidRDefault="00F31A99" w14:paraId="3CC584B0" w14:textId="77777777">
      <w:pPr>
        <w:widowControl w:val="0"/>
        <w:autoSpaceDN w:val="0"/>
        <w:spacing w:line="480" w:lineRule="auto"/>
        <w:ind w:firstLine="709"/>
        <w:jc w:val="both"/>
        <w:rPr>
          <w:rFonts w:ascii="Times New Roman" w:hAnsi="Times New Roman" w:eastAsia="Calibri" w:cs="Times New Roman"/>
          <w:u w:color="000000"/>
        </w:rPr>
      </w:pPr>
      <w:r w:rsidRPr="00F31A99">
        <w:rPr>
          <w:rFonts w:ascii="Times New Roman" w:hAnsi="Times New Roman" w:eastAsia="Times New Roman" w:cs="Times New Roman"/>
          <w:b/>
          <w:bCs/>
          <w:sz w:val="28"/>
          <w:szCs w:val="28"/>
          <w:u w:color="000000"/>
          <w:shd w:val="clear" w:color="auto" w:fill="FFFFFF"/>
          <w:lang w:eastAsia="es-CR"/>
        </w:rPr>
        <w:t>Se acordó:</w:t>
      </w:r>
      <w:r w:rsidRPr="00F31A99">
        <w:rPr>
          <w:rFonts w:ascii="Times New Roman" w:hAnsi="Times New Roman" w:eastAsia="Times New Roman" w:cs="Times New Roman"/>
          <w:sz w:val="28"/>
          <w:szCs w:val="28"/>
          <w:u w:color="000000"/>
          <w:shd w:val="clear" w:color="auto" w:fill="FFFFFF"/>
          <w:lang w:eastAsia="es-CR"/>
        </w:rPr>
        <w:t xml:space="preserve"> </w:t>
      </w:r>
      <w:r w:rsidRPr="00F31A99">
        <w:rPr>
          <w:rFonts w:ascii="Times New Roman" w:hAnsi="Times New Roman" w:eastAsia="Calibri" w:cs="Times New Roman"/>
          <w:b/>
          <w:bCs/>
          <w:sz w:val="28"/>
          <w:szCs w:val="28"/>
          <w:u w:color="000000"/>
        </w:rPr>
        <w:t>1.)</w:t>
      </w:r>
      <w:r w:rsidRPr="00F31A99">
        <w:rPr>
          <w:rFonts w:ascii="Times New Roman" w:hAnsi="Times New Roman" w:eastAsia="Calibri" w:cs="Times New Roman"/>
          <w:sz w:val="28"/>
          <w:szCs w:val="28"/>
          <w:u w:color="000000"/>
        </w:rPr>
        <w:t xml:space="preserve"> Aprobar el anteproyecto de presupuesto para el ejercicio </w:t>
      </w:r>
      <w:r w:rsidRPr="00F31A99">
        <w:rPr>
          <w:rFonts w:ascii="Times New Roman" w:hAnsi="Times New Roman" w:eastAsia="Calibri" w:cs="Times New Roman"/>
          <w:sz w:val="28"/>
          <w:szCs w:val="28"/>
          <w:u w:color="000000"/>
        </w:rPr>
        <w:lastRenderedPageBreak/>
        <w:t xml:space="preserve">económico 2022 correspondiente al Aporte Patronal del Poder Judicial (Subpartida 00505 "Contribución Patronal a Fondos Administrados por Entidades Privadas") por un monto de ¢4.642.430.640, de tal forma que se mantienen el mismo monto formulado para el 2021. </w:t>
      </w:r>
      <w:r w:rsidRPr="00F31A99">
        <w:rPr>
          <w:rFonts w:ascii="Times New Roman" w:hAnsi="Times New Roman" w:eastAsia="Calibri" w:cs="Times New Roman"/>
          <w:b/>
          <w:sz w:val="28"/>
          <w:szCs w:val="28"/>
          <w:u w:color="000000"/>
          <w:lang w:eastAsia="es-CR"/>
        </w:rPr>
        <w:t>Se declara acuerdo firme.</w:t>
      </w:r>
    </w:p>
    <w:p w:rsidRPr="00F31A99" w:rsidR="00F31A99" w:rsidP="00F31A99" w:rsidRDefault="00F31A99" w14:paraId="00801BCC" w14:textId="047EF9B1">
      <w:pPr>
        <w:widowControl w:val="0"/>
        <w:shd w:val="clear" w:color="auto" w:fill="FFFFFF"/>
        <w:autoSpaceDE w:val="0"/>
        <w:autoSpaceDN w:val="0"/>
        <w:spacing w:line="480" w:lineRule="auto"/>
        <w:jc w:val="center"/>
        <w:outlineLvl w:val="0"/>
        <w:rPr>
          <w:rFonts w:ascii="Times New Roman" w:hAnsi="Times New Roman" w:eastAsia="Times New Roman" w:cs="Times New Roman"/>
          <w:b/>
          <w:bCs/>
          <w:kern w:val="36"/>
          <w:sz w:val="36"/>
          <w:szCs w:val="36"/>
          <w:u w:val="single" w:color="000000"/>
          <w:lang w:eastAsia="es-ES"/>
        </w:rPr>
      </w:pPr>
      <w:r w:rsidRPr="00F31A99">
        <w:rPr>
          <w:rFonts w:ascii="Times New Roman" w:hAnsi="Times New Roman" w:eastAsia="Times New Roman" w:cs="Times New Roman"/>
          <w:b/>
          <w:bCs/>
          <w:kern w:val="36"/>
          <w:sz w:val="36"/>
          <w:szCs w:val="36"/>
          <w:u w:val="single" w:color="000000"/>
          <w:lang w:eastAsia="es-ES"/>
        </w:rPr>
        <w:t>ARTÍCULO VIII</w:t>
      </w:r>
    </w:p>
    <w:p w:rsidRPr="00F31A99" w:rsidR="00F31A99" w:rsidP="00F31A99" w:rsidRDefault="00F31A99" w14:paraId="2AB2A2D2" w14:textId="77777777">
      <w:pPr>
        <w:widowControl w:val="0"/>
        <w:autoSpaceDN w:val="0"/>
        <w:spacing w:line="480" w:lineRule="auto"/>
        <w:jc w:val="both"/>
        <w:rPr>
          <w:rFonts w:ascii="Times New Roman" w:hAnsi="Times New Roman" w:eastAsia="Times New Roman" w:cs="Times New Roman"/>
          <w:b/>
          <w:bCs/>
          <w:sz w:val="28"/>
          <w:szCs w:val="28"/>
          <w:u w:color="000000"/>
          <w:lang w:eastAsia="es-ES"/>
        </w:rPr>
      </w:pPr>
      <w:r w:rsidRPr="00F31A99">
        <w:rPr>
          <w:rFonts w:ascii="Times New Roman" w:hAnsi="Times New Roman" w:eastAsia="Times New Roman" w:cs="Times New Roman"/>
          <w:b/>
          <w:bCs/>
          <w:sz w:val="28"/>
          <w:szCs w:val="28"/>
          <w:u w:color="000000"/>
          <w:lang w:eastAsia="es-ES"/>
        </w:rPr>
        <w:t>Documento N° 3832-2021</w:t>
      </w:r>
    </w:p>
    <w:p w:rsidRPr="00F31A99" w:rsidR="00F31A99" w:rsidP="00F31A99" w:rsidRDefault="00F31A99" w14:paraId="221D09F7" w14:textId="77777777">
      <w:pPr>
        <w:widowControl w:val="0"/>
        <w:shd w:val="clear" w:color="auto" w:fill="FFFFFD"/>
        <w:autoSpaceDN w:val="0"/>
        <w:spacing w:line="480" w:lineRule="auto"/>
        <w:ind w:firstLine="709"/>
        <w:jc w:val="both"/>
        <w:rPr>
          <w:rFonts w:ascii="Times New Roman" w:hAnsi="Times New Roman" w:eastAsia="Times New Roman" w:cs="Times New Roman"/>
          <w:sz w:val="28"/>
          <w:szCs w:val="28"/>
          <w:u w:color="000000"/>
          <w:lang w:eastAsia="es-ES"/>
        </w:rPr>
      </w:pPr>
      <w:r w:rsidRPr="00F31A99">
        <w:rPr>
          <w:rFonts w:ascii="Times New Roman" w:hAnsi="Times New Roman" w:eastAsia="Calibri" w:cs="Times New Roman"/>
          <w:sz w:val="28"/>
          <w:szCs w:val="28"/>
          <w:u w:color="000000"/>
        </w:rPr>
        <w:t>En reunión de trabajo del pasado 9 de abril, la licenciada Nacira Valverde</w:t>
      </w:r>
      <w:r w:rsidRPr="00F31A99">
        <w:rPr>
          <w:rFonts w:ascii="Times New Roman" w:hAnsi="Times New Roman" w:eastAsia="Calibri" w:cs="Times New Roman"/>
          <w:sz w:val="28"/>
          <w:szCs w:val="28"/>
          <w:u w:color="000000"/>
          <w:shd w:val="clear" w:color="auto" w:fill="FFFFFF"/>
        </w:rPr>
        <w:t xml:space="preserve">, Directora de Planificación, indicó </w:t>
      </w:r>
      <w:r w:rsidRPr="00F31A99">
        <w:rPr>
          <w:rFonts w:ascii="Times New Roman" w:hAnsi="Times New Roman" w:eastAsia="Times New Roman" w:cs="Times New Roman"/>
          <w:sz w:val="28"/>
          <w:szCs w:val="28"/>
          <w:u w:color="000000"/>
          <w:lang w:eastAsia="es-ES"/>
        </w:rPr>
        <w:t xml:space="preserve">que mediante correo electrónico enviado el 6 de abril del 2021 por la Dirección de Gestión Humana, se remiten las estimaciones de la </w:t>
      </w:r>
      <w:r w:rsidRPr="00F31A99">
        <w:rPr>
          <w:rFonts w:ascii="Times New Roman" w:hAnsi="Times New Roman" w:eastAsia="Times New Roman" w:cs="Times New Roman"/>
          <w:bCs/>
          <w:sz w:val="28"/>
          <w:szCs w:val="28"/>
          <w:u w:color="000000"/>
          <w:lang w:eastAsia="es-ES"/>
        </w:rPr>
        <w:t>Subpartida 60301, Prestaciones Legales</w:t>
      </w:r>
      <w:r w:rsidRPr="00F31A99">
        <w:rPr>
          <w:rFonts w:ascii="Times New Roman" w:hAnsi="Times New Roman" w:eastAsia="Times New Roman" w:cs="Times New Roman"/>
          <w:sz w:val="28"/>
          <w:szCs w:val="28"/>
          <w:u w:color="000000"/>
          <w:lang w:eastAsia="es-ES"/>
        </w:rPr>
        <w:t xml:space="preserve"> para el anteproyecto de presupuesto del 2022. A continuación se muestra un cuadro con la distribución por programa presupuestario:</w:t>
      </w:r>
    </w:p>
    <w:p w:rsidRPr="00F31A99" w:rsidR="00F31A99" w:rsidP="00F31A99" w:rsidRDefault="00F31A99" w14:paraId="4F13FAA2" w14:textId="77777777">
      <w:pPr>
        <w:widowControl w:val="0"/>
        <w:shd w:val="clear" w:color="auto" w:fill="FFFFFD"/>
        <w:autoSpaceDN w:val="0"/>
        <w:spacing w:line="480" w:lineRule="auto"/>
        <w:jc w:val="center"/>
        <w:rPr>
          <w:rFonts w:ascii="Times New Roman" w:hAnsi="Times New Roman" w:eastAsia="Times New Roman" w:cs="Times New Roman"/>
          <w:sz w:val="28"/>
          <w:szCs w:val="28"/>
          <w:u w:color="000000"/>
          <w:lang w:eastAsia="es-ES"/>
        </w:rPr>
      </w:pPr>
      <w:r w:rsidRPr="00F31A99">
        <w:rPr>
          <w:rFonts w:ascii="Times New Roman" w:hAnsi="Times New Roman" w:eastAsia="Calibri" w:cs="Times New Roman"/>
          <w:noProof/>
          <w:u w:color="000000"/>
          <w:lang w:eastAsia="es-MX"/>
        </w:rPr>
        <w:drawing>
          <wp:inline distT="0" distB="0" distL="0" distR="0" wp14:anchorId="7C88AC34" wp14:editId="224348AB">
            <wp:extent cx="5612130" cy="1857375"/>
            <wp:effectExtent l="0" t="0" r="7620" b="9525"/>
            <wp:docPr id="58" name="Imagen 5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Tabla&#10;&#10;Descripción generada automáticamente"/>
                    <pic:cNvPicPr/>
                  </pic:nvPicPr>
                  <pic:blipFill>
                    <a:blip r:embed="rId43"/>
                    <a:stretch>
                      <a:fillRect/>
                    </a:stretch>
                  </pic:blipFill>
                  <pic:spPr>
                    <a:xfrm>
                      <a:off x="0" y="0"/>
                      <a:ext cx="5612130" cy="1857375"/>
                    </a:xfrm>
                    <a:prstGeom prst="rect">
                      <a:avLst/>
                    </a:prstGeom>
                  </pic:spPr>
                </pic:pic>
              </a:graphicData>
            </a:graphic>
          </wp:inline>
        </w:drawing>
      </w:r>
    </w:p>
    <w:p w:rsidRPr="00F31A99" w:rsidR="00F31A99" w:rsidP="00F31A99" w:rsidRDefault="00F31A99" w14:paraId="4C82F1A4" w14:textId="77777777">
      <w:pPr>
        <w:widowControl w:val="0"/>
        <w:shd w:val="clear" w:color="auto" w:fill="FFFFFD"/>
        <w:autoSpaceDN w:val="0"/>
        <w:spacing w:line="480" w:lineRule="auto"/>
        <w:jc w:val="both"/>
        <w:rPr>
          <w:rFonts w:ascii="Times New Roman" w:hAnsi="Times New Roman" w:eastAsia="Times New Roman" w:cs="Times New Roman"/>
          <w:b/>
          <w:sz w:val="28"/>
          <w:szCs w:val="28"/>
          <w:u w:color="000000"/>
          <w:lang w:eastAsia="es-ES"/>
        </w:rPr>
      </w:pPr>
    </w:p>
    <w:p w:rsidRPr="00F31A99" w:rsidR="00F31A99" w:rsidP="00F31A99" w:rsidRDefault="00F31A99" w14:paraId="567D03C8" w14:textId="77777777">
      <w:pPr>
        <w:widowControl w:val="0"/>
        <w:shd w:val="clear" w:color="auto" w:fill="FFFFFD"/>
        <w:autoSpaceDN w:val="0"/>
        <w:spacing w:line="480" w:lineRule="auto"/>
        <w:jc w:val="both"/>
        <w:rPr>
          <w:rFonts w:ascii="Times New Roman" w:hAnsi="Times New Roman" w:eastAsia="Times New Roman" w:cs="Times New Roman"/>
          <w:b/>
          <w:sz w:val="28"/>
          <w:szCs w:val="28"/>
          <w:u w:color="000000"/>
          <w:lang w:eastAsia="es-ES"/>
        </w:rPr>
      </w:pPr>
      <w:r w:rsidRPr="00F31A99">
        <w:rPr>
          <w:rFonts w:ascii="Times New Roman" w:hAnsi="Times New Roman" w:eastAsia="Times New Roman" w:cs="Times New Roman"/>
          <w:b/>
          <w:noProof/>
          <w:sz w:val="28"/>
          <w:szCs w:val="28"/>
          <w:u w:color="000000"/>
          <w:lang w:eastAsia="es-MX"/>
        </w:rPr>
        <w:lastRenderedPageBreak/>
        <w:drawing>
          <wp:inline distT="0" distB="0" distL="0" distR="0" wp14:anchorId="0A4792AE" wp14:editId="76D2C66B">
            <wp:extent cx="5607050" cy="3060700"/>
            <wp:effectExtent l="0" t="0" r="0" b="6350"/>
            <wp:docPr id="64" name="Imagen 64"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descr="Gráfico, Gráfico circular&#10;&#10;Descripción generada automáticament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07050" cy="3060700"/>
                    </a:xfrm>
                    <a:prstGeom prst="rect">
                      <a:avLst/>
                    </a:prstGeom>
                    <a:noFill/>
                    <a:ln>
                      <a:noFill/>
                    </a:ln>
                  </pic:spPr>
                </pic:pic>
              </a:graphicData>
            </a:graphic>
          </wp:inline>
        </w:drawing>
      </w:r>
    </w:p>
    <w:p w:rsidRPr="00F31A99" w:rsidR="00F31A99" w:rsidP="00F31A99" w:rsidRDefault="00F31A99" w14:paraId="1506FC61" w14:textId="77777777">
      <w:pPr>
        <w:widowControl w:val="0"/>
        <w:shd w:val="clear" w:color="auto" w:fill="FFFFFD"/>
        <w:autoSpaceDN w:val="0"/>
        <w:spacing w:line="480" w:lineRule="auto"/>
        <w:ind w:firstLine="709"/>
        <w:jc w:val="both"/>
        <w:rPr>
          <w:rFonts w:ascii="Times New Roman" w:hAnsi="Times New Roman" w:eastAsia="Times New Roman" w:cs="Times New Roman"/>
          <w:sz w:val="28"/>
          <w:szCs w:val="28"/>
          <w:u w:color="000000"/>
          <w:lang w:eastAsia="es-ES"/>
        </w:rPr>
      </w:pPr>
      <w:r w:rsidRPr="00F31A99">
        <w:rPr>
          <w:rFonts w:ascii="Times New Roman" w:hAnsi="Times New Roman" w:eastAsia="Times New Roman" w:cs="Times New Roman"/>
          <w:sz w:val="28"/>
          <w:szCs w:val="28"/>
          <w:u w:color="000000"/>
          <w:lang w:eastAsia="es-ES"/>
        </w:rPr>
        <w:t>La Dirección de Gestión Humana en dicho correo señala que:</w:t>
      </w:r>
    </w:p>
    <w:p w:rsidRPr="00F31A99" w:rsidR="00F31A99" w:rsidP="00F31A99" w:rsidRDefault="00F31A99" w14:paraId="480CDE38" w14:textId="77777777">
      <w:pPr>
        <w:widowControl w:val="0"/>
        <w:shd w:val="clear" w:color="auto" w:fill="FFFFFD"/>
        <w:autoSpaceDN w:val="0"/>
        <w:ind w:left="851" w:right="851" w:firstLine="709"/>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i/>
          <w:iCs/>
          <w:sz w:val="26"/>
          <w:szCs w:val="26"/>
          <w:u w:color="000000"/>
          <w:lang w:eastAsia="es-ES"/>
        </w:rPr>
        <w:t>“Con relación a la estimación de la cantidad de posibles servidores que se acogieran a su derecho de jubilación es importante indicar que, si bien es cierto la proyección 2021, se realizó basada en un estudio detallado sobre las personas que cuentan con requisitos jubilatorios, para la proyección del 2022, este factor no es posible considerarlo, debido a la incertidumbre que existe en este grupo de personas posterior a conocerse la reforma del capítulo de jubilaciones de la Ley Orgánica del Poder Judicial, que como muestra, para el 2020, implicó únicamente el pago de alrededor de mil millones, muy por debajo de los más de 3 mil millones estimados para ese periodo. Así las cosas, la estimación de los 1500 millones de colones, toma como referencia únicamente lo pagado durante el 2020.”</w:t>
      </w:r>
      <w:r w:rsidRPr="00F31A99">
        <w:rPr>
          <w:rFonts w:ascii="Times New Roman" w:hAnsi="Times New Roman" w:eastAsia="Times New Roman" w:cs="Times New Roman"/>
          <w:sz w:val="26"/>
          <w:szCs w:val="26"/>
          <w:u w:color="000000"/>
          <w:lang w:eastAsia="es-ES"/>
        </w:rPr>
        <w:t>.</w:t>
      </w:r>
    </w:p>
    <w:p w:rsidRPr="00F31A99" w:rsidR="00F31A99" w:rsidP="00F31A99" w:rsidRDefault="00F31A99" w14:paraId="30B5E109" w14:textId="77777777">
      <w:pPr>
        <w:widowControl w:val="0"/>
        <w:shd w:val="clear" w:color="auto" w:fill="FFFFFD"/>
        <w:autoSpaceDN w:val="0"/>
        <w:ind w:left="851" w:right="851" w:firstLine="709"/>
        <w:jc w:val="both"/>
        <w:rPr>
          <w:rFonts w:ascii="Times New Roman" w:hAnsi="Times New Roman" w:eastAsia="Times New Roman" w:cs="Times New Roman"/>
          <w:sz w:val="26"/>
          <w:szCs w:val="26"/>
          <w:u w:color="000000"/>
          <w:lang w:eastAsia="es-ES"/>
        </w:rPr>
      </w:pPr>
    </w:p>
    <w:p w:rsidRPr="00F31A99" w:rsidR="00F31A99" w:rsidP="00F31A99" w:rsidRDefault="00F31A99" w14:paraId="4C86F62D" w14:textId="77777777">
      <w:pPr>
        <w:widowControl w:val="0"/>
        <w:shd w:val="clear" w:color="auto" w:fill="FFFFFD"/>
        <w:autoSpaceDN w:val="0"/>
        <w:spacing w:line="480" w:lineRule="auto"/>
        <w:jc w:val="center"/>
        <w:rPr>
          <w:rFonts w:ascii="Times New Roman" w:hAnsi="Times New Roman" w:eastAsia="Times New Roman" w:cs="Times New Roman"/>
          <w:sz w:val="28"/>
          <w:szCs w:val="28"/>
          <w:u w:color="000000"/>
          <w:lang w:eastAsia="es-ES"/>
        </w:rPr>
      </w:pPr>
      <w:r w:rsidRPr="00F31A99">
        <w:rPr>
          <w:rFonts w:ascii="Times New Roman" w:hAnsi="Times New Roman" w:eastAsia="Times New Roman" w:cs="Times New Roman"/>
          <w:sz w:val="28"/>
          <w:szCs w:val="28"/>
          <w:u w:color="000000"/>
          <w:lang w:eastAsia="es-ES"/>
        </w:rPr>
        <w:t>- 0 -</w:t>
      </w:r>
    </w:p>
    <w:p w:rsidRPr="00F31A99" w:rsidR="00F31A99" w:rsidP="00F31A99" w:rsidRDefault="00F31A99" w14:paraId="709F095E" w14:textId="77777777">
      <w:pPr>
        <w:widowControl w:val="0"/>
        <w:shd w:val="clear" w:color="auto" w:fill="FFFFFD"/>
        <w:autoSpaceDN w:val="0"/>
        <w:spacing w:line="480" w:lineRule="auto"/>
        <w:ind w:firstLine="709"/>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 xml:space="preserve">De forma complementaria, doña Roxana Arrieta indicó que respecto a las estimaciones realizadas y su preocupación en cuanto a que los recursos </w:t>
      </w:r>
      <w:r w:rsidRPr="00F31A99">
        <w:rPr>
          <w:rFonts w:ascii="Times New Roman" w:hAnsi="Times New Roman" w:eastAsia="Calibri" w:cs="Times New Roman"/>
          <w:sz w:val="28"/>
          <w:szCs w:val="28"/>
          <w:u w:color="000000"/>
        </w:rPr>
        <w:lastRenderedPageBreak/>
        <w:t>formulados preliminarmente para el 2022, podrían ser limitados.</w:t>
      </w:r>
    </w:p>
    <w:p w:rsidRPr="00F31A99" w:rsidR="00F31A99" w:rsidP="00F31A99" w:rsidRDefault="00F31A99" w14:paraId="20374001" w14:textId="77777777">
      <w:pPr>
        <w:widowControl w:val="0"/>
        <w:shd w:val="clear" w:color="auto" w:fill="FFFFFD"/>
        <w:autoSpaceDN w:val="0"/>
        <w:spacing w:line="480" w:lineRule="auto"/>
        <w:ind w:firstLine="709"/>
        <w:jc w:val="both"/>
        <w:rPr>
          <w:rFonts w:ascii="Times New Roman" w:hAnsi="Times New Roman" w:eastAsia="Calibri" w:cs="Times New Roman"/>
          <w:u w:color="000000"/>
        </w:rPr>
      </w:pPr>
      <w:r w:rsidRPr="00F31A99">
        <w:rPr>
          <w:rFonts w:ascii="Times New Roman" w:hAnsi="Times New Roman" w:eastAsia="Calibri" w:cs="Times New Roman"/>
          <w:b/>
          <w:bCs/>
          <w:sz w:val="28"/>
          <w:szCs w:val="28"/>
          <w:u w:color="000000"/>
        </w:rPr>
        <w:t>Se acordó</w:t>
      </w:r>
      <w:r w:rsidRPr="00F31A99">
        <w:rPr>
          <w:rFonts w:ascii="Times New Roman" w:hAnsi="Times New Roman" w:eastAsia="Calibri" w:cs="Times New Roman"/>
          <w:sz w:val="28"/>
          <w:szCs w:val="28"/>
          <w:u w:color="000000"/>
        </w:rPr>
        <w:t xml:space="preserve">: </w:t>
      </w:r>
      <w:r w:rsidRPr="00F31A99">
        <w:rPr>
          <w:rFonts w:ascii="Times New Roman" w:hAnsi="Times New Roman" w:eastAsia="Calibri" w:cs="Times New Roman"/>
          <w:b/>
          <w:bCs/>
          <w:sz w:val="28"/>
          <w:szCs w:val="28"/>
          <w:u w:color="000000"/>
        </w:rPr>
        <w:t>1.)</w:t>
      </w:r>
      <w:r w:rsidRPr="00F31A99">
        <w:rPr>
          <w:rFonts w:ascii="Times New Roman" w:hAnsi="Times New Roman" w:eastAsia="Calibri" w:cs="Times New Roman"/>
          <w:sz w:val="28"/>
          <w:szCs w:val="28"/>
          <w:u w:color="000000"/>
        </w:rPr>
        <w:t xml:space="preserve"> Solicitar a la Dirección de Gestión Humana la elaboración de escenarios alternativos para analizar en el anteproyecto de presupuesto 2022, que permitan establecer el monto definitivo a formular en la subpartida 60301 Prestaciones Legales. </w:t>
      </w:r>
      <w:r w:rsidRPr="00F31A99">
        <w:rPr>
          <w:rFonts w:ascii="Times New Roman" w:hAnsi="Times New Roman" w:eastAsia="Calibri" w:cs="Times New Roman"/>
          <w:b/>
          <w:sz w:val="28"/>
          <w:szCs w:val="28"/>
          <w:u w:color="000000"/>
          <w:lang w:eastAsia="es-CR"/>
        </w:rPr>
        <w:t>Se declara acuerdo firme.</w:t>
      </w:r>
    </w:p>
    <w:p w:rsidRPr="00F31A99" w:rsidR="00F31A99" w:rsidP="00F31A99" w:rsidRDefault="00F31A99" w14:paraId="029F2CBA" w14:textId="163DB5D3">
      <w:pPr>
        <w:widowControl w:val="0"/>
        <w:shd w:val="clear" w:color="auto" w:fill="FFFFFF"/>
        <w:autoSpaceDE w:val="0"/>
        <w:autoSpaceDN w:val="0"/>
        <w:spacing w:line="480" w:lineRule="auto"/>
        <w:jc w:val="center"/>
        <w:outlineLvl w:val="0"/>
        <w:rPr>
          <w:rFonts w:ascii="Times New Roman" w:hAnsi="Times New Roman" w:eastAsia="Times New Roman" w:cs="Times New Roman"/>
          <w:b/>
          <w:bCs/>
          <w:kern w:val="36"/>
          <w:sz w:val="28"/>
          <w:szCs w:val="28"/>
          <w:u w:val="single" w:color="000000"/>
          <w:lang w:eastAsia="es-ES"/>
        </w:rPr>
      </w:pPr>
      <w:r w:rsidRPr="00F31A99">
        <w:rPr>
          <w:rFonts w:ascii="Times New Roman" w:hAnsi="Times New Roman" w:eastAsia="Times New Roman" w:cs="Times New Roman"/>
          <w:b/>
          <w:bCs/>
          <w:kern w:val="36"/>
          <w:sz w:val="28"/>
          <w:szCs w:val="28"/>
          <w:u w:val="single" w:color="000000"/>
          <w:lang w:eastAsia="es-ES"/>
        </w:rPr>
        <w:t xml:space="preserve">ARTÍCULO IX </w:t>
      </w:r>
    </w:p>
    <w:p w:rsidRPr="00F31A99" w:rsidR="00F31A99" w:rsidP="00F31A99" w:rsidRDefault="00F31A99" w14:paraId="5AC723F2" w14:textId="77777777">
      <w:pPr>
        <w:widowControl w:val="0"/>
        <w:autoSpaceDN w:val="0"/>
        <w:spacing w:line="480" w:lineRule="auto"/>
        <w:jc w:val="both"/>
        <w:rPr>
          <w:rFonts w:ascii="Times New Roman" w:hAnsi="Times New Roman" w:eastAsia="Times New Roman" w:cs="Times New Roman"/>
          <w:b/>
          <w:bCs/>
          <w:sz w:val="28"/>
          <w:szCs w:val="28"/>
          <w:u w:color="000000"/>
          <w:lang w:eastAsia="es-ES"/>
        </w:rPr>
      </w:pPr>
      <w:r w:rsidRPr="00F31A99">
        <w:rPr>
          <w:rFonts w:ascii="Times New Roman" w:hAnsi="Times New Roman" w:eastAsia="Times New Roman" w:cs="Times New Roman"/>
          <w:b/>
          <w:bCs/>
          <w:sz w:val="28"/>
          <w:szCs w:val="28"/>
          <w:u w:color="000000"/>
          <w:lang w:eastAsia="es-ES"/>
        </w:rPr>
        <w:t>Documento N° 3833-2021</w:t>
      </w:r>
    </w:p>
    <w:p w:rsidRPr="00F31A99" w:rsidR="00F31A99" w:rsidP="00F31A99" w:rsidRDefault="00F31A99" w14:paraId="24BADDF9" w14:textId="77777777">
      <w:pPr>
        <w:widowControl w:val="0"/>
        <w:autoSpaceDN w:val="0"/>
        <w:spacing w:line="480" w:lineRule="auto"/>
        <w:ind w:firstLine="709"/>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En reunión de trabajo del pasado 9 de abril, la licenciada Nacira Valverde</w:t>
      </w:r>
      <w:r w:rsidRPr="00F31A99">
        <w:rPr>
          <w:rFonts w:ascii="Times New Roman" w:hAnsi="Times New Roman" w:eastAsia="Calibri" w:cs="Times New Roman"/>
          <w:sz w:val="28"/>
          <w:szCs w:val="28"/>
          <w:u w:color="000000"/>
          <w:shd w:val="clear" w:color="auto" w:fill="FFFFFF"/>
        </w:rPr>
        <w:t xml:space="preserve">, Directora de Planificación, </w:t>
      </w:r>
      <w:r w:rsidRPr="00F31A99">
        <w:rPr>
          <w:rFonts w:ascii="Times New Roman" w:hAnsi="Times New Roman" w:eastAsia="Calibri" w:cs="Times New Roman"/>
          <w:sz w:val="28"/>
          <w:szCs w:val="28"/>
          <w:u w:color="000000"/>
        </w:rPr>
        <w:t xml:space="preserve">presentó la estimación de requerimientos para el 2022 en las </w:t>
      </w:r>
      <w:r w:rsidRPr="00F31A99">
        <w:rPr>
          <w:rFonts w:ascii="Times New Roman" w:hAnsi="Times New Roman" w:eastAsia="Calibri" w:cs="Times New Roman"/>
          <w:bCs/>
          <w:sz w:val="28"/>
          <w:szCs w:val="28"/>
          <w:u w:color="000000"/>
        </w:rPr>
        <w:t>subpartidas 10201 Servicio de Agua y Alcantarillado, 10202 Servicio de Energía Eléctrica y 10204 Servicio de Telecomunicaciones</w:t>
      </w:r>
      <w:r w:rsidRPr="00F31A99">
        <w:rPr>
          <w:rFonts w:ascii="Times New Roman" w:hAnsi="Times New Roman" w:eastAsia="Calibri" w:cs="Times New Roman"/>
          <w:sz w:val="28"/>
          <w:szCs w:val="28"/>
          <w:u w:color="000000"/>
        </w:rPr>
        <w:t>.</w:t>
      </w:r>
    </w:p>
    <w:p w:rsidRPr="00F31A99" w:rsidR="00F31A99" w:rsidP="00F31A99" w:rsidRDefault="00F31A99" w14:paraId="2FE251E1" w14:textId="77777777">
      <w:pPr>
        <w:widowControl w:val="0"/>
        <w:autoSpaceDN w:val="0"/>
        <w:spacing w:line="480" w:lineRule="auto"/>
        <w:ind w:firstLine="709"/>
        <w:jc w:val="both"/>
        <w:rPr>
          <w:rFonts w:ascii="Times New Roman" w:hAnsi="Times New Roman" w:eastAsia="Calibri" w:cs="Times New Roman"/>
          <w:bCs/>
          <w:sz w:val="28"/>
          <w:szCs w:val="28"/>
          <w:u w:color="000000"/>
        </w:rPr>
      </w:pPr>
      <w:r w:rsidRPr="00F31A99">
        <w:rPr>
          <w:rFonts w:ascii="Times New Roman" w:hAnsi="Times New Roman" w:eastAsia="Calibri" w:cs="Times New Roman"/>
          <w:bCs/>
          <w:sz w:val="28"/>
          <w:szCs w:val="28"/>
          <w:u w:color="000000"/>
        </w:rPr>
        <w:t>Los datos de análisis para los Servicios Públicos fueron suministrados por la Dirección Ejecutiva mediante el oficio N°3357-DE-2020 del 18 de setiembre del 2020. En este se detallan los montos correspondientes para 2021 (acueducto y alcantarillado, electricidad y telecomunicaciones). Así mismo se indica:</w:t>
      </w:r>
    </w:p>
    <w:p w:rsidRPr="00F31A99" w:rsidR="00F31A99" w:rsidP="00F31A99" w:rsidRDefault="00F31A99" w14:paraId="186BF5F7" w14:textId="77777777">
      <w:pPr>
        <w:widowControl w:val="0"/>
        <w:autoSpaceDN w:val="0"/>
        <w:ind w:left="851" w:right="851" w:firstLine="709"/>
        <w:jc w:val="both"/>
        <w:rPr>
          <w:rFonts w:ascii="Times New Roman" w:hAnsi="Times New Roman" w:eastAsia="Calibri" w:cs="Times New Roman"/>
          <w:bCs/>
          <w:i/>
          <w:iCs/>
          <w:sz w:val="26"/>
          <w:szCs w:val="26"/>
          <w:u w:color="000000"/>
        </w:rPr>
      </w:pPr>
      <w:r w:rsidRPr="00F31A99">
        <w:rPr>
          <w:rFonts w:ascii="Times New Roman" w:hAnsi="Times New Roman" w:eastAsia="Calibri" w:cs="Times New Roman"/>
          <w:bCs/>
          <w:i/>
          <w:iCs/>
          <w:sz w:val="26"/>
          <w:szCs w:val="26"/>
          <w:u w:color="000000"/>
        </w:rPr>
        <w:t xml:space="preserve"> “2020 ha tenido una particularidad excepcional producto del COVID-19, por lo que se debe considerar que lo presupuestado se acerque más a los compromisos reales en tiempos de no pandemia. Los rubos estimados, son basados en costos reales y proyectados durante el 2019, costo de vida proyectado para el 2020, así como el 13% del impuesto al valor agregado.</w:t>
      </w:r>
    </w:p>
    <w:p w:rsidRPr="00F31A99" w:rsidR="00F31A99" w:rsidP="00F31A99" w:rsidRDefault="00F31A99" w14:paraId="00C7B450" w14:textId="77777777">
      <w:pPr>
        <w:widowControl w:val="0"/>
        <w:autoSpaceDN w:val="0"/>
        <w:ind w:left="851" w:right="851" w:firstLine="709"/>
        <w:jc w:val="both"/>
        <w:rPr>
          <w:rFonts w:ascii="Times New Roman" w:hAnsi="Times New Roman" w:eastAsia="Calibri" w:cs="Times New Roman"/>
          <w:bCs/>
          <w:i/>
          <w:iCs/>
          <w:sz w:val="26"/>
          <w:szCs w:val="26"/>
          <w:u w:color="000000"/>
        </w:rPr>
      </w:pPr>
      <w:r w:rsidRPr="00F31A99">
        <w:rPr>
          <w:rFonts w:ascii="Times New Roman" w:hAnsi="Times New Roman" w:eastAsia="Calibri" w:cs="Times New Roman"/>
          <w:bCs/>
          <w:i/>
          <w:iCs/>
          <w:sz w:val="26"/>
          <w:szCs w:val="26"/>
          <w:u w:color="000000"/>
        </w:rPr>
        <w:t xml:space="preserve">Por su lado, la distribución del monto adicional para alcanzar el monto meta para la formulación en servicios públicos para el año </w:t>
      </w:r>
      <w:r w:rsidRPr="00F31A99">
        <w:rPr>
          <w:rFonts w:ascii="Times New Roman" w:hAnsi="Times New Roman" w:eastAsia="Calibri" w:cs="Times New Roman"/>
          <w:bCs/>
          <w:i/>
          <w:iCs/>
          <w:sz w:val="26"/>
          <w:szCs w:val="26"/>
          <w:u w:color="000000"/>
        </w:rPr>
        <w:lastRenderedPageBreak/>
        <w:t>2021, debe ser lo más objetiva posible, de modo tal que se consideren las recomendaciones realizadas por el Ministerio de Hacienda, para que los recursos asignados a un programa sean para cubrir sus servicios y se acerque lo más posible a la realidad del gasto”.</w:t>
      </w:r>
    </w:p>
    <w:p w:rsidRPr="00F31A99" w:rsidR="00F31A99" w:rsidP="00F31A99" w:rsidRDefault="00F31A99" w14:paraId="085D21A8" w14:textId="77777777">
      <w:pPr>
        <w:widowControl w:val="0"/>
        <w:autoSpaceDN w:val="0"/>
        <w:ind w:left="851" w:right="851" w:firstLine="709"/>
        <w:jc w:val="both"/>
        <w:rPr>
          <w:rFonts w:ascii="Times New Roman" w:hAnsi="Times New Roman" w:eastAsia="Calibri" w:cs="Times New Roman"/>
          <w:bCs/>
          <w:i/>
          <w:iCs/>
          <w:sz w:val="26"/>
          <w:szCs w:val="26"/>
          <w:u w:color="000000"/>
        </w:rPr>
      </w:pPr>
    </w:p>
    <w:p w:rsidRPr="00F31A99" w:rsidR="00F31A99" w:rsidP="00F31A99" w:rsidRDefault="00F31A99" w14:paraId="77E0CD2C" w14:textId="77777777">
      <w:pPr>
        <w:widowControl w:val="0"/>
        <w:numPr>
          <w:ilvl w:val="1"/>
          <w:numId w:val="13"/>
        </w:numPr>
        <w:autoSpaceDN w:val="0"/>
        <w:ind w:left="851" w:right="851" w:firstLine="709"/>
        <w:jc w:val="both"/>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Subpartidas relacionadas con servicios públicos</w:t>
      </w:r>
    </w:p>
    <w:p w:rsidRPr="00F31A99" w:rsidR="00F31A99" w:rsidP="00F31A99" w:rsidRDefault="00F31A99" w14:paraId="062BFD99" w14:textId="77777777">
      <w:pPr>
        <w:widowControl w:val="0"/>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En lo que corresponde al comportamiento de las subpartidas relacionadas con servicios públicos, según se puede apreciar en la tabla 1, se tiene un incremento global del 4% para el 2022 en comparación con el presupuesto formulado para el 2021. </w:t>
      </w:r>
    </w:p>
    <w:p w:rsidRPr="00F31A99" w:rsidR="00F31A99" w:rsidP="00F31A99" w:rsidRDefault="00F31A99" w14:paraId="60AC81F7" w14:textId="77777777">
      <w:pPr>
        <w:widowControl w:val="0"/>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5502C116" w14:textId="77777777">
      <w:pPr>
        <w:widowControl w:val="0"/>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Tabla 1. Comparativo del presupuesto de las subpartidas de servicios públicos período 2020-2021</w:t>
      </w:r>
    </w:p>
    <w:p w:rsidRPr="00F31A99" w:rsidR="00F31A99" w:rsidP="00F31A99" w:rsidRDefault="00F31A99" w14:paraId="65B65975" w14:textId="77777777">
      <w:pPr>
        <w:widowControl w:val="0"/>
        <w:autoSpaceDN w:val="0"/>
        <w:ind w:left="851" w:right="851" w:firstLine="709"/>
        <w:jc w:val="both"/>
        <w:rPr>
          <w:rFonts w:ascii="Times New Roman" w:hAnsi="Times New Roman" w:eastAsia="Calibri" w:cs="Times New Roman"/>
          <w:b/>
          <w:sz w:val="26"/>
          <w:szCs w:val="26"/>
          <w:u w:color="000000"/>
        </w:rPr>
      </w:pPr>
    </w:p>
    <w:tbl>
      <w:tblPr>
        <w:tblW w:w="92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2431"/>
        <w:gridCol w:w="1859"/>
        <w:gridCol w:w="2002"/>
        <w:gridCol w:w="1716"/>
        <w:gridCol w:w="1287"/>
      </w:tblGrid>
      <w:tr w:rsidRPr="00F31A99" w:rsidR="00AE1B2B" w:rsidTr="00A306B2" w14:paraId="58104DB1" w14:textId="77777777">
        <w:trPr>
          <w:trHeight w:val="306"/>
          <w:jc w:val="center"/>
        </w:trPr>
        <w:tc>
          <w:tcPr>
            <w:tcW w:w="2431" w:type="dxa"/>
            <w:shd w:val="clear" w:color="000000" w:fill="F2F2F2"/>
            <w:noWrap/>
            <w:vAlign w:val="center"/>
            <w:hideMark/>
          </w:tcPr>
          <w:p w:rsidRPr="00F31A99" w:rsidR="00F31A99" w:rsidP="00F31A99" w:rsidRDefault="00F31A99" w14:paraId="1F92CFFF"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Subpartida</w:t>
            </w:r>
          </w:p>
        </w:tc>
        <w:tc>
          <w:tcPr>
            <w:tcW w:w="1859" w:type="dxa"/>
            <w:shd w:val="clear" w:color="000000" w:fill="F2F2F2"/>
            <w:noWrap/>
            <w:vAlign w:val="center"/>
            <w:hideMark/>
          </w:tcPr>
          <w:p w:rsidRPr="00F31A99" w:rsidR="00F31A99" w:rsidP="00F31A99" w:rsidRDefault="00F31A99" w14:paraId="5E423217"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Presupuesto 2021</w:t>
            </w:r>
          </w:p>
        </w:tc>
        <w:tc>
          <w:tcPr>
            <w:tcW w:w="2002" w:type="dxa"/>
            <w:shd w:val="clear" w:color="000000" w:fill="F2F2F2"/>
            <w:noWrap/>
            <w:vAlign w:val="center"/>
            <w:hideMark/>
          </w:tcPr>
          <w:p w:rsidRPr="00F31A99" w:rsidR="00F31A99" w:rsidP="00F31A99" w:rsidRDefault="00F31A99" w14:paraId="2C888EFF"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Formulado 2022</w:t>
            </w:r>
          </w:p>
        </w:tc>
        <w:tc>
          <w:tcPr>
            <w:tcW w:w="1716" w:type="dxa"/>
            <w:shd w:val="clear" w:color="000000" w:fill="F2F2F2"/>
            <w:noWrap/>
            <w:vAlign w:val="center"/>
            <w:hideMark/>
          </w:tcPr>
          <w:p w:rsidRPr="00F31A99" w:rsidR="00F31A99" w:rsidP="00F31A99" w:rsidRDefault="00F31A99" w14:paraId="0DE2A308"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Dif Absoluta</w:t>
            </w:r>
          </w:p>
        </w:tc>
        <w:tc>
          <w:tcPr>
            <w:tcW w:w="1287" w:type="dxa"/>
            <w:shd w:val="clear" w:color="000000" w:fill="F2F2F2"/>
            <w:noWrap/>
            <w:vAlign w:val="center"/>
            <w:hideMark/>
          </w:tcPr>
          <w:p w:rsidRPr="00F31A99" w:rsidR="00F31A99" w:rsidP="00F31A99" w:rsidRDefault="00F31A99" w14:paraId="4A952DF1"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Variación</w:t>
            </w:r>
          </w:p>
        </w:tc>
      </w:tr>
      <w:tr w:rsidRPr="00F31A99" w:rsidR="00AE1B2B" w:rsidTr="00A306B2" w14:paraId="2BC51C74" w14:textId="77777777">
        <w:trPr>
          <w:trHeight w:val="306"/>
          <w:jc w:val="center"/>
        </w:trPr>
        <w:tc>
          <w:tcPr>
            <w:tcW w:w="2431" w:type="dxa"/>
            <w:shd w:val="clear" w:color="000000" w:fill="F2F2F2"/>
            <w:noWrap/>
            <w:vAlign w:val="center"/>
            <w:hideMark/>
          </w:tcPr>
          <w:p w:rsidRPr="00F31A99" w:rsidR="00F31A99" w:rsidP="00F31A99" w:rsidRDefault="00F31A99" w14:paraId="048162A9"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10201 servicio de agua y alcantarillado</w:t>
            </w:r>
          </w:p>
        </w:tc>
        <w:tc>
          <w:tcPr>
            <w:tcW w:w="1859" w:type="dxa"/>
            <w:shd w:val="clear" w:color="000000" w:fill="F2F2F2"/>
            <w:noWrap/>
            <w:vAlign w:val="center"/>
            <w:hideMark/>
          </w:tcPr>
          <w:p w:rsidRPr="00F31A99" w:rsidR="00F31A99" w:rsidP="00F31A99" w:rsidRDefault="00F31A99" w14:paraId="72B29B53"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862,756,633</w:t>
            </w:r>
          </w:p>
        </w:tc>
        <w:tc>
          <w:tcPr>
            <w:tcW w:w="2002" w:type="dxa"/>
            <w:shd w:val="clear" w:color="000000" w:fill="F2F2F2"/>
            <w:noWrap/>
            <w:vAlign w:val="center"/>
            <w:hideMark/>
          </w:tcPr>
          <w:p w:rsidRPr="00F31A99" w:rsidR="00F31A99" w:rsidP="00F31A99" w:rsidRDefault="00F31A99" w14:paraId="48FDA641"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878,354,685</w:t>
            </w:r>
          </w:p>
        </w:tc>
        <w:tc>
          <w:tcPr>
            <w:tcW w:w="1716" w:type="dxa"/>
            <w:shd w:val="clear" w:color="000000" w:fill="F2F2F2"/>
            <w:noWrap/>
            <w:vAlign w:val="center"/>
            <w:hideMark/>
          </w:tcPr>
          <w:p w:rsidRPr="00F31A99" w:rsidR="00F31A99" w:rsidP="00F31A99" w:rsidRDefault="00F31A99" w14:paraId="45DFE30E"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15,598,052</w:t>
            </w:r>
          </w:p>
        </w:tc>
        <w:tc>
          <w:tcPr>
            <w:tcW w:w="1287" w:type="dxa"/>
            <w:shd w:val="clear" w:color="000000" w:fill="F2F2F2"/>
            <w:noWrap/>
            <w:vAlign w:val="center"/>
            <w:hideMark/>
          </w:tcPr>
          <w:p w:rsidRPr="00F31A99" w:rsidR="00F31A99" w:rsidP="00F31A99" w:rsidRDefault="00F31A99" w14:paraId="391668F4"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w:t>
            </w:r>
          </w:p>
        </w:tc>
      </w:tr>
      <w:tr w:rsidRPr="00F31A99" w:rsidR="00AE1B2B" w:rsidTr="00A306B2" w14:paraId="0F2B38DA" w14:textId="77777777">
        <w:trPr>
          <w:trHeight w:val="306"/>
          <w:jc w:val="center"/>
        </w:trPr>
        <w:tc>
          <w:tcPr>
            <w:tcW w:w="2431" w:type="dxa"/>
            <w:shd w:val="clear" w:color="000000" w:fill="F2F2F2"/>
            <w:noWrap/>
            <w:vAlign w:val="center"/>
            <w:hideMark/>
          </w:tcPr>
          <w:p w:rsidRPr="00F31A99" w:rsidR="00F31A99" w:rsidP="00F31A99" w:rsidRDefault="00F31A99" w14:paraId="43E15061"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10202 servicio de energía eléctrica</w:t>
            </w:r>
          </w:p>
        </w:tc>
        <w:tc>
          <w:tcPr>
            <w:tcW w:w="1859" w:type="dxa"/>
            <w:shd w:val="clear" w:color="000000" w:fill="F2F2F2"/>
            <w:noWrap/>
            <w:vAlign w:val="center"/>
            <w:hideMark/>
          </w:tcPr>
          <w:p w:rsidRPr="00F31A99" w:rsidR="00F31A99" w:rsidP="00F31A99" w:rsidRDefault="00F31A99" w14:paraId="35D56298"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2,885,223,587</w:t>
            </w:r>
          </w:p>
        </w:tc>
        <w:tc>
          <w:tcPr>
            <w:tcW w:w="2002" w:type="dxa"/>
            <w:shd w:val="clear" w:color="000000" w:fill="F2F2F2"/>
            <w:noWrap/>
            <w:vAlign w:val="center"/>
            <w:hideMark/>
          </w:tcPr>
          <w:p w:rsidRPr="00F31A99" w:rsidR="00F31A99" w:rsidP="00F31A99" w:rsidRDefault="00F31A99" w14:paraId="56343463"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2,921,685,447</w:t>
            </w:r>
          </w:p>
        </w:tc>
        <w:tc>
          <w:tcPr>
            <w:tcW w:w="1716" w:type="dxa"/>
            <w:shd w:val="clear" w:color="000000" w:fill="F2F2F2"/>
            <w:noWrap/>
            <w:vAlign w:val="center"/>
            <w:hideMark/>
          </w:tcPr>
          <w:p w:rsidRPr="00F31A99" w:rsidR="00F31A99" w:rsidP="00F31A99" w:rsidRDefault="00F31A99" w14:paraId="2BCAABA2"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36,461,860</w:t>
            </w:r>
          </w:p>
        </w:tc>
        <w:tc>
          <w:tcPr>
            <w:tcW w:w="1287" w:type="dxa"/>
            <w:shd w:val="clear" w:color="000000" w:fill="F2F2F2"/>
            <w:noWrap/>
            <w:vAlign w:val="center"/>
            <w:hideMark/>
          </w:tcPr>
          <w:p w:rsidRPr="00F31A99" w:rsidR="00F31A99" w:rsidP="00F31A99" w:rsidRDefault="00F31A99" w14:paraId="19272E63"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w:t>
            </w:r>
          </w:p>
        </w:tc>
      </w:tr>
      <w:tr w:rsidRPr="00F31A99" w:rsidR="00AE1B2B" w:rsidTr="00A306B2" w14:paraId="7D2AFCAF" w14:textId="77777777">
        <w:trPr>
          <w:trHeight w:val="306"/>
          <w:jc w:val="center"/>
        </w:trPr>
        <w:tc>
          <w:tcPr>
            <w:tcW w:w="2431" w:type="dxa"/>
            <w:shd w:val="clear" w:color="000000" w:fill="F2F2F2"/>
            <w:noWrap/>
            <w:vAlign w:val="center"/>
            <w:hideMark/>
          </w:tcPr>
          <w:p w:rsidRPr="00F31A99" w:rsidR="00F31A99" w:rsidP="00F31A99" w:rsidRDefault="00F31A99" w14:paraId="0830AF1B"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10204 servicio de telecomunicaciones</w:t>
            </w:r>
          </w:p>
        </w:tc>
        <w:tc>
          <w:tcPr>
            <w:tcW w:w="1859" w:type="dxa"/>
            <w:shd w:val="clear" w:color="000000" w:fill="F2F2F2"/>
            <w:noWrap/>
            <w:vAlign w:val="center"/>
            <w:hideMark/>
          </w:tcPr>
          <w:p w:rsidRPr="00F31A99" w:rsidR="00F31A99" w:rsidP="00F31A99" w:rsidRDefault="00F31A99" w14:paraId="4EBA6338"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3,562,666,932</w:t>
            </w:r>
          </w:p>
        </w:tc>
        <w:tc>
          <w:tcPr>
            <w:tcW w:w="2002" w:type="dxa"/>
            <w:shd w:val="clear" w:color="000000" w:fill="F2F2F2"/>
            <w:noWrap/>
            <w:vAlign w:val="center"/>
            <w:hideMark/>
          </w:tcPr>
          <w:p w:rsidRPr="00F31A99" w:rsidR="00F31A99" w:rsidP="00F31A99" w:rsidRDefault="00F31A99" w14:paraId="5F7D2EF6"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3,814,407,768</w:t>
            </w:r>
          </w:p>
        </w:tc>
        <w:tc>
          <w:tcPr>
            <w:tcW w:w="1716" w:type="dxa"/>
            <w:shd w:val="clear" w:color="000000" w:fill="F2F2F2"/>
            <w:noWrap/>
            <w:vAlign w:val="center"/>
            <w:hideMark/>
          </w:tcPr>
          <w:p w:rsidRPr="00F31A99" w:rsidR="00F31A99" w:rsidP="00F31A99" w:rsidRDefault="00F31A99" w14:paraId="607F887A"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251,740,836</w:t>
            </w:r>
          </w:p>
        </w:tc>
        <w:tc>
          <w:tcPr>
            <w:tcW w:w="1287" w:type="dxa"/>
            <w:shd w:val="clear" w:color="000000" w:fill="F2F2F2"/>
            <w:noWrap/>
            <w:vAlign w:val="center"/>
            <w:hideMark/>
          </w:tcPr>
          <w:p w:rsidRPr="00F31A99" w:rsidR="00F31A99" w:rsidP="00F31A99" w:rsidRDefault="00F31A99" w14:paraId="17A3ACDB"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7%</w:t>
            </w:r>
          </w:p>
        </w:tc>
      </w:tr>
      <w:tr w:rsidRPr="00F31A99" w:rsidR="00AE1B2B" w:rsidTr="00A306B2" w14:paraId="2C23395F" w14:textId="77777777">
        <w:trPr>
          <w:trHeight w:val="306"/>
          <w:jc w:val="center"/>
        </w:trPr>
        <w:tc>
          <w:tcPr>
            <w:tcW w:w="2431" w:type="dxa"/>
            <w:shd w:val="clear" w:color="000000" w:fill="F2F2F2"/>
            <w:noWrap/>
            <w:vAlign w:val="center"/>
            <w:hideMark/>
          </w:tcPr>
          <w:p w:rsidRPr="00F31A99" w:rsidR="00F31A99" w:rsidP="00F31A99" w:rsidRDefault="00F31A99" w14:paraId="752CCF70"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Total</w:t>
            </w:r>
          </w:p>
        </w:tc>
        <w:tc>
          <w:tcPr>
            <w:tcW w:w="1859" w:type="dxa"/>
            <w:shd w:val="clear" w:color="000000" w:fill="F2F2F2"/>
            <w:noWrap/>
            <w:vAlign w:val="center"/>
            <w:hideMark/>
          </w:tcPr>
          <w:p w:rsidRPr="00F31A99" w:rsidR="00F31A99" w:rsidP="00F31A99" w:rsidRDefault="00F31A99" w14:paraId="531F0448"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7,310,647,152</w:t>
            </w:r>
          </w:p>
        </w:tc>
        <w:tc>
          <w:tcPr>
            <w:tcW w:w="2002" w:type="dxa"/>
            <w:shd w:val="clear" w:color="000000" w:fill="F2F2F2"/>
            <w:noWrap/>
            <w:vAlign w:val="center"/>
            <w:hideMark/>
          </w:tcPr>
          <w:p w:rsidRPr="00F31A99" w:rsidR="00F31A99" w:rsidP="00F31A99" w:rsidRDefault="00F31A99" w14:paraId="67F41D17"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7,614,447,900</w:t>
            </w:r>
          </w:p>
        </w:tc>
        <w:tc>
          <w:tcPr>
            <w:tcW w:w="1716" w:type="dxa"/>
            <w:shd w:val="clear" w:color="000000" w:fill="F2F2F2"/>
            <w:noWrap/>
            <w:vAlign w:val="center"/>
            <w:hideMark/>
          </w:tcPr>
          <w:p w:rsidRPr="00F31A99" w:rsidR="00F31A99" w:rsidP="00F31A99" w:rsidRDefault="00F31A99" w14:paraId="1B0CDA84"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303,800,748</w:t>
            </w:r>
          </w:p>
        </w:tc>
        <w:tc>
          <w:tcPr>
            <w:tcW w:w="1287" w:type="dxa"/>
            <w:shd w:val="clear" w:color="000000" w:fill="F2F2F2"/>
            <w:noWrap/>
            <w:vAlign w:val="center"/>
            <w:hideMark/>
          </w:tcPr>
          <w:p w:rsidRPr="00F31A99" w:rsidR="00F31A99" w:rsidP="00F31A99" w:rsidRDefault="00F31A99" w14:paraId="5727C7A7"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4%</w:t>
            </w:r>
          </w:p>
        </w:tc>
      </w:tr>
    </w:tbl>
    <w:p w:rsidRPr="00F31A99" w:rsidR="00F31A99" w:rsidP="00F31A99" w:rsidRDefault="00F31A99" w14:paraId="5E5CB3F9" w14:textId="77777777">
      <w:pPr>
        <w:widowControl w:val="0"/>
        <w:autoSpaceDN w:val="0"/>
        <w:rPr>
          <w:rFonts w:ascii="Times New Roman" w:hAnsi="Times New Roman" w:eastAsia="Calibri" w:cs="Times New Roman"/>
          <w:bCs/>
          <w:sz w:val="16"/>
          <w:szCs w:val="16"/>
          <w:u w:color="000000"/>
        </w:rPr>
      </w:pPr>
    </w:p>
    <w:p w:rsidRPr="00F31A99" w:rsidR="00F31A99" w:rsidP="00F31A99" w:rsidRDefault="00F31A99" w14:paraId="257135B8" w14:textId="77777777">
      <w:pPr>
        <w:widowControl w:val="0"/>
        <w:autoSpaceDN w:val="0"/>
        <w:rPr>
          <w:rFonts w:ascii="Times New Roman" w:hAnsi="Times New Roman" w:eastAsia="Calibri" w:cs="Times New Roman"/>
          <w:bCs/>
          <w:sz w:val="16"/>
          <w:szCs w:val="16"/>
          <w:u w:color="000000"/>
        </w:rPr>
      </w:pPr>
      <w:r w:rsidRPr="00F31A99">
        <w:rPr>
          <w:rFonts w:ascii="Times New Roman" w:hAnsi="Times New Roman" w:eastAsia="Calibri" w:cs="Times New Roman"/>
          <w:bCs/>
          <w:sz w:val="16"/>
          <w:szCs w:val="16"/>
          <w:u w:color="000000"/>
        </w:rPr>
        <w:t>Fuente: SIGA PJ</w:t>
      </w:r>
    </w:p>
    <w:p w:rsidRPr="00F31A99" w:rsidR="00F31A99" w:rsidP="00F31A99" w:rsidRDefault="00F31A99" w14:paraId="03269AA8" w14:textId="77777777">
      <w:pPr>
        <w:widowControl w:val="0"/>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7B07C517"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El análisis de las subpartidas relacionadas con servicios públicos, presentan un crecimiento para el periodo 2022, esto realizando una comparación con el periodo 2021. En el caso del servicio de telecomunicaciones es el que generó el mayor crecimiento con un 7%.</w:t>
      </w:r>
    </w:p>
    <w:p w:rsidRPr="00F31A99" w:rsidR="00F31A99" w:rsidP="00F31A99" w:rsidRDefault="00F31A99" w14:paraId="74210E0C"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3324DB85"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Con el fin de conocer las proyecciones para el 2021 se solicitó al Departamento de Financiero Contable los resultados para las subpartidas que se analizan en este informe, de seguido se muestra un cuadro con el reporte:</w:t>
      </w:r>
    </w:p>
    <w:p w:rsidRPr="00F31A99" w:rsidR="00F31A99" w:rsidP="00F31A99" w:rsidRDefault="00F31A99" w14:paraId="28064C38" w14:textId="77777777">
      <w:pPr>
        <w:widowControl w:val="0"/>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14A6BE16" w14:textId="77777777">
      <w:pPr>
        <w:widowControl w:val="0"/>
        <w:autoSpaceDN w:val="0"/>
        <w:spacing w:line="360" w:lineRule="auto"/>
        <w:jc w:val="both"/>
        <w:rPr>
          <w:rFonts w:ascii="Times New Roman" w:hAnsi="Times New Roman" w:eastAsia="Calibri" w:cs="Times New Roman"/>
          <w:sz w:val="24"/>
          <w:szCs w:val="24"/>
          <w:u w:color="000000"/>
        </w:rPr>
      </w:pPr>
      <w:r w:rsidRPr="00F31A99">
        <w:rPr>
          <w:rFonts w:ascii="Times New Roman" w:hAnsi="Times New Roman" w:eastAsia="Calibri" w:cs="Times New Roman"/>
          <w:noProof/>
          <w:u w:color="000000"/>
          <w:lang w:eastAsia="es-MX"/>
        </w:rPr>
        <w:lastRenderedPageBreak/>
        <w:drawing>
          <wp:inline distT="0" distB="0" distL="0" distR="0" wp14:anchorId="0F12F355" wp14:editId="650DAC1D">
            <wp:extent cx="5612130" cy="1588770"/>
            <wp:effectExtent l="0" t="0" r="762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2130" cy="1588770"/>
                    </a:xfrm>
                    <a:prstGeom prst="rect">
                      <a:avLst/>
                    </a:prstGeom>
                    <a:noFill/>
                    <a:ln>
                      <a:noFill/>
                    </a:ln>
                  </pic:spPr>
                </pic:pic>
              </a:graphicData>
            </a:graphic>
          </wp:inline>
        </w:drawing>
      </w:r>
    </w:p>
    <w:p w:rsidRPr="00F31A99" w:rsidR="00F31A99" w:rsidP="00F31A99" w:rsidRDefault="00F31A99" w14:paraId="5BD71F3E" w14:textId="77777777">
      <w:pPr>
        <w:widowControl w:val="0"/>
        <w:autoSpaceDN w:val="0"/>
        <w:ind w:left="851" w:right="851" w:firstLine="709"/>
        <w:jc w:val="both"/>
        <w:rPr>
          <w:rFonts w:ascii="Times New Roman" w:hAnsi="Times New Roman" w:eastAsia="Times New Roman" w:cs="Times New Roman"/>
          <w:sz w:val="26"/>
          <w:szCs w:val="26"/>
          <w:u w:color="000000"/>
          <w:lang w:eastAsia="es-CR"/>
        </w:rPr>
      </w:pPr>
      <w:r w:rsidRPr="00F31A99">
        <w:rPr>
          <w:rFonts w:ascii="Times New Roman" w:hAnsi="Times New Roman" w:eastAsia="Times New Roman" w:cs="Times New Roman"/>
          <w:sz w:val="26"/>
          <w:szCs w:val="26"/>
          <w:u w:color="000000"/>
          <w:lang w:eastAsia="es-CR"/>
        </w:rPr>
        <w:t>Por otra parte, con el fin de saber si para el periodo 2020 se generaron ahorros en las subpartidas 10201 Servicios de Agua y Alcantarillado, 10202 Servicios de Energía Eléctrica y 10204 Telecomunicaciones; a continuación, se muestran los montos que se cancelaron en dichas subpartidas durante el 2020, detallando el monto pagado y el Impuesto al Valor Agregado (I.V.A.), donde se evidencia la disminución en el consumo de servicios públicos:</w:t>
      </w:r>
    </w:p>
    <w:p w:rsidRPr="00F31A99" w:rsidR="00F31A99" w:rsidP="00F31A99" w:rsidRDefault="00F31A99" w14:paraId="66D671C7" w14:textId="77777777">
      <w:pPr>
        <w:widowControl w:val="0"/>
        <w:autoSpaceDN w:val="0"/>
        <w:ind w:left="851" w:right="851" w:firstLine="709"/>
        <w:jc w:val="both"/>
        <w:rPr>
          <w:rFonts w:ascii="Times New Roman" w:hAnsi="Times New Roman" w:eastAsia="Times New Roman" w:cs="Times New Roman"/>
          <w:sz w:val="26"/>
          <w:szCs w:val="26"/>
          <w:u w:color="000000"/>
          <w:lang w:eastAsia="es-CR"/>
        </w:rPr>
      </w:pPr>
    </w:p>
    <w:tbl>
      <w:tblPr>
        <w:tblW w:w="103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760"/>
        <w:gridCol w:w="2140"/>
        <w:gridCol w:w="2200"/>
        <w:gridCol w:w="2280"/>
      </w:tblGrid>
      <w:tr w:rsidRPr="00F31A99" w:rsidR="00AE1B2B" w:rsidTr="00A306B2" w14:paraId="337E4619" w14:textId="77777777">
        <w:trPr>
          <w:trHeight w:val="384"/>
          <w:jc w:val="center"/>
        </w:trPr>
        <w:tc>
          <w:tcPr>
            <w:tcW w:w="3760" w:type="dxa"/>
            <w:shd w:val="clear" w:color="708090" w:fill="ACB9CA"/>
            <w:vAlign w:val="center"/>
            <w:hideMark/>
          </w:tcPr>
          <w:p w:rsidRPr="00F31A99" w:rsidR="00F31A99" w:rsidP="00F31A99" w:rsidRDefault="00F31A99" w14:paraId="4BD7BA7B"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Subpartida</w:t>
            </w:r>
          </w:p>
        </w:tc>
        <w:tc>
          <w:tcPr>
            <w:tcW w:w="2140" w:type="dxa"/>
            <w:shd w:val="clear" w:color="000000" w:fill="ACB9CA"/>
            <w:vAlign w:val="center"/>
            <w:hideMark/>
          </w:tcPr>
          <w:p w:rsidRPr="00F31A99" w:rsidR="00F31A99" w:rsidP="00F31A99" w:rsidRDefault="00F31A99" w14:paraId="2E19DCB2"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Total, Incluido IVA</w:t>
            </w:r>
          </w:p>
        </w:tc>
        <w:tc>
          <w:tcPr>
            <w:tcW w:w="2200" w:type="dxa"/>
            <w:shd w:val="clear" w:color="000000" w:fill="ACB9CA"/>
            <w:vAlign w:val="center"/>
            <w:hideMark/>
          </w:tcPr>
          <w:p w:rsidRPr="00F31A99" w:rsidR="00F31A99" w:rsidP="00F31A99" w:rsidRDefault="00F31A99" w14:paraId="3134749A"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Total, IVA</w:t>
            </w:r>
          </w:p>
        </w:tc>
        <w:tc>
          <w:tcPr>
            <w:tcW w:w="2280" w:type="dxa"/>
            <w:shd w:val="clear" w:color="000000" w:fill="ACB9CA"/>
            <w:vAlign w:val="center"/>
            <w:hideMark/>
          </w:tcPr>
          <w:p w:rsidRPr="00F31A99" w:rsidR="00F31A99" w:rsidP="00F31A99" w:rsidRDefault="00F31A99" w14:paraId="446A0CEA"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Total, Sin IVA</w:t>
            </w:r>
          </w:p>
        </w:tc>
      </w:tr>
      <w:tr w:rsidRPr="00F31A99" w:rsidR="00AE1B2B" w:rsidTr="00A306B2" w14:paraId="31CA4AE9" w14:textId="77777777">
        <w:trPr>
          <w:trHeight w:val="348"/>
          <w:jc w:val="center"/>
        </w:trPr>
        <w:tc>
          <w:tcPr>
            <w:tcW w:w="3760" w:type="dxa"/>
            <w:shd w:val="clear" w:color="auto" w:fill="auto"/>
            <w:hideMark/>
          </w:tcPr>
          <w:p w:rsidRPr="00F31A99" w:rsidR="00F31A99" w:rsidP="00F31A99" w:rsidRDefault="00F31A99" w14:paraId="0E5405CD"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10201 - Servicio de agua y alcantarillado </w:t>
            </w:r>
          </w:p>
        </w:tc>
        <w:tc>
          <w:tcPr>
            <w:tcW w:w="2140" w:type="dxa"/>
            <w:shd w:val="clear" w:color="auto" w:fill="auto"/>
            <w:noWrap/>
            <w:vAlign w:val="center"/>
            <w:hideMark/>
          </w:tcPr>
          <w:p w:rsidRPr="00F31A99" w:rsidR="00F31A99" w:rsidP="00F31A99" w:rsidRDefault="00F31A99" w14:paraId="486F3F59"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860,927,588.96 </w:t>
            </w:r>
          </w:p>
        </w:tc>
        <w:tc>
          <w:tcPr>
            <w:tcW w:w="2200" w:type="dxa"/>
            <w:shd w:val="clear" w:color="auto" w:fill="auto"/>
            <w:noWrap/>
            <w:vAlign w:val="bottom"/>
            <w:hideMark/>
          </w:tcPr>
          <w:p w:rsidRPr="00F31A99" w:rsidR="00F31A99" w:rsidP="00F31A99" w:rsidRDefault="00F31A99" w14:paraId="6EDE03CF"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64,118,963.84 </w:t>
            </w:r>
          </w:p>
        </w:tc>
        <w:tc>
          <w:tcPr>
            <w:tcW w:w="2280" w:type="dxa"/>
            <w:shd w:val="clear" w:color="auto" w:fill="auto"/>
            <w:noWrap/>
            <w:vAlign w:val="bottom"/>
            <w:hideMark/>
          </w:tcPr>
          <w:p w:rsidRPr="00F31A99" w:rsidR="00F31A99" w:rsidP="00F31A99" w:rsidRDefault="00F31A99" w14:paraId="56450B2B"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796,808,625.12 </w:t>
            </w:r>
          </w:p>
        </w:tc>
      </w:tr>
      <w:tr w:rsidRPr="00F31A99" w:rsidR="00AE1B2B" w:rsidTr="00A306B2" w14:paraId="48EB1DAF" w14:textId="77777777">
        <w:trPr>
          <w:trHeight w:val="348"/>
          <w:jc w:val="center"/>
        </w:trPr>
        <w:tc>
          <w:tcPr>
            <w:tcW w:w="3760" w:type="dxa"/>
            <w:shd w:val="clear" w:color="auto" w:fill="auto"/>
            <w:hideMark/>
          </w:tcPr>
          <w:p w:rsidRPr="00F31A99" w:rsidR="00F31A99" w:rsidP="00F31A99" w:rsidRDefault="00F31A99" w14:paraId="38A8A1C4"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10202 - Servicio de energía eléctrica</w:t>
            </w:r>
          </w:p>
        </w:tc>
        <w:tc>
          <w:tcPr>
            <w:tcW w:w="2140" w:type="dxa"/>
            <w:shd w:val="clear" w:color="auto" w:fill="auto"/>
            <w:noWrap/>
            <w:vAlign w:val="center"/>
            <w:hideMark/>
          </w:tcPr>
          <w:p w:rsidRPr="00F31A99" w:rsidR="00F31A99" w:rsidP="00F31A99" w:rsidRDefault="00F31A99" w14:paraId="38529CDE"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2,624,631,337.55 </w:t>
            </w:r>
          </w:p>
        </w:tc>
        <w:tc>
          <w:tcPr>
            <w:tcW w:w="2200" w:type="dxa"/>
            <w:shd w:val="clear" w:color="auto" w:fill="auto"/>
            <w:noWrap/>
            <w:vAlign w:val="bottom"/>
            <w:hideMark/>
          </w:tcPr>
          <w:p w:rsidRPr="00F31A99" w:rsidR="00F31A99" w:rsidP="00F31A99" w:rsidRDefault="00F31A99" w14:paraId="5458C11F"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285,499,025.52 </w:t>
            </w:r>
          </w:p>
        </w:tc>
        <w:tc>
          <w:tcPr>
            <w:tcW w:w="2280" w:type="dxa"/>
            <w:shd w:val="clear" w:color="auto" w:fill="auto"/>
            <w:noWrap/>
            <w:vAlign w:val="bottom"/>
            <w:hideMark/>
          </w:tcPr>
          <w:p w:rsidRPr="00F31A99" w:rsidR="00F31A99" w:rsidP="00F31A99" w:rsidRDefault="00F31A99" w14:paraId="6BF59F3F"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2,339,132,312.03 </w:t>
            </w:r>
          </w:p>
        </w:tc>
      </w:tr>
      <w:tr w:rsidRPr="00F31A99" w:rsidR="00AE1B2B" w:rsidTr="00A306B2" w14:paraId="251AC10E" w14:textId="77777777">
        <w:trPr>
          <w:trHeight w:val="348"/>
          <w:jc w:val="center"/>
        </w:trPr>
        <w:tc>
          <w:tcPr>
            <w:tcW w:w="3760" w:type="dxa"/>
            <w:shd w:val="clear" w:color="auto" w:fill="auto"/>
            <w:hideMark/>
          </w:tcPr>
          <w:p w:rsidRPr="00F31A99" w:rsidR="00F31A99" w:rsidP="00F31A99" w:rsidRDefault="00F31A99" w14:paraId="7EDEAEB1"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10204 - Servicio de telecomunicaciones</w:t>
            </w:r>
          </w:p>
        </w:tc>
        <w:tc>
          <w:tcPr>
            <w:tcW w:w="2140" w:type="dxa"/>
            <w:shd w:val="clear" w:color="auto" w:fill="auto"/>
            <w:noWrap/>
            <w:vAlign w:val="center"/>
            <w:hideMark/>
          </w:tcPr>
          <w:p w:rsidRPr="00F31A99" w:rsidR="00F31A99" w:rsidP="00F31A99" w:rsidRDefault="00F31A99" w14:paraId="3FE0C0A0"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3,003,614,057.65 </w:t>
            </w:r>
          </w:p>
        </w:tc>
        <w:tc>
          <w:tcPr>
            <w:tcW w:w="2200" w:type="dxa"/>
            <w:shd w:val="clear" w:color="auto" w:fill="auto"/>
            <w:noWrap/>
            <w:vAlign w:val="bottom"/>
            <w:hideMark/>
          </w:tcPr>
          <w:p w:rsidRPr="00F31A99" w:rsidR="00F31A99" w:rsidP="00F31A99" w:rsidRDefault="00F31A99" w14:paraId="2C4A8B93"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344,466,554.72 </w:t>
            </w:r>
          </w:p>
        </w:tc>
        <w:tc>
          <w:tcPr>
            <w:tcW w:w="2280" w:type="dxa"/>
            <w:shd w:val="clear" w:color="auto" w:fill="auto"/>
            <w:noWrap/>
            <w:vAlign w:val="bottom"/>
            <w:hideMark/>
          </w:tcPr>
          <w:p w:rsidRPr="00F31A99" w:rsidR="00F31A99" w:rsidP="00F31A99" w:rsidRDefault="00F31A99" w14:paraId="42D94AE3"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2,659,147,502.93 </w:t>
            </w:r>
          </w:p>
        </w:tc>
      </w:tr>
      <w:tr w:rsidRPr="00F31A99" w:rsidR="00AE1B2B" w:rsidTr="00A306B2" w14:paraId="335BE248" w14:textId="77777777">
        <w:trPr>
          <w:trHeight w:val="217"/>
          <w:jc w:val="center"/>
        </w:trPr>
        <w:tc>
          <w:tcPr>
            <w:tcW w:w="3760" w:type="dxa"/>
            <w:shd w:val="clear" w:color="708090" w:fill="ACB9CA"/>
            <w:vAlign w:val="center"/>
            <w:hideMark/>
          </w:tcPr>
          <w:p w:rsidRPr="00F31A99" w:rsidR="00F31A99" w:rsidP="00F31A99" w:rsidRDefault="00F31A99" w14:paraId="0E6D00B8"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Total 2020</w:t>
            </w:r>
          </w:p>
        </w:tc>
        <w:tc>
          <w:tcPr>
            <w:tcW w:w="2140" w:type="dxa"/>
            <w:shd w:val="clear" w:color="000000" w:fill="ACB9CA"/>
            <w:noWrap/>
            <w:vAlign w:val="center"/>
            <w:hideMark/>
          </w:tcPr>
          <w:p w:rsidRPr="00F31A99" w:rsidR="00F31A99" w:rsidP="00F31A99" w:rsidRDefault="00F31A99" w14:paraId="06C14307" w14:textId="77777777">
            <w:pPr>
              <w:widowControl w:val="0"/>
              <w:autoSpaceDN w:val="0"/>
              <w:jc w:val="right"/>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6,489,172,984.16 </w:t>
            </w:r>
          </w:p>
        </w:tc>
        <w:tc>
          <w:tcPr>
            <w:tcW w:w="2200" w:type="dxa"/>
            <w:shd w:val="clear" w:color="000000" w:fill="ACB9CA"/>
            <w:noWrap/>
            <w:vAlign w:val="bottom"/>
            <w:hideMark/>
          </w:tcPr>
          <w:p w:rsidRPr="00F31A99" w:rsidR="00F31A99" w:rsidP="00F31A99" w:rsidRDefault="00F31A99" w14:paraId="3F350F27" w14:textId="77777777">
            <w:pPr>
              <w:widowControl w:val="0"/>
              <w:autoSpaceDN w:val="0"/>
              <w:jc w:val="right"/>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694,084,544.08 </w:t>
            </w:r>
          </w:p>
        </w:tc>
        <w:tc>
          <w:tcPr>
            <w:tcW w:w="2280" w:type="dxa"/>
            <w:shd w:val="clear" w:color="000000" w:fill="ACB9CA"/>
            <w:noWrap/>
            <w:vAlign w:val="bottom"/>
            <w:hideMark/>
          </w:tcPr>
          <w:p w:rsidRPr="00F31A99" w:rsidR="00F31A99" w:rsidP="00F31A99" w:rsidRDefault="00F31A99" w14:paraId="71931A11" w14:textId="77777777">
            <w:pPr>
              <w:widowControl w:val="0"/>
              <w:autoSpaceDN w:val="0"/>
              <w:jc w:val="right"/>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5,795,088,440.08 </w:t>
            </w:r>
          </w:p>
        </w:tc>
      </w:tr>
    </w:tbl>
    <w:p w:rsidRPr="00F31A99" w:rsidR="00F31A99" w:rsidP="00F31A99" w:rsidRDefault="00F31A99" w14:paraId="6704B168" w14:textId="77777777">
      <w:pPr>
        <w:widowControl w:val="0"/>
        <w:autoSpaceDN w:val="0"/>
        <w:jc w:val="both"/>
        <w:rPr>
          <w:rFonts w:ascii="Times New Roman" w:hAnsi="Times New Roman" w:eastAsia="Calibri" w:cs="Times New Roman"/>
          <w:bCs/>
          <w:sz w:val="24"/>
          <w:u w:color="000000"/>
        </w:rPr>
      </w:pPr>
    </w:p>
    <w:p w:rsidRPr="00F31A99" w:rsidR="00F31A99" w:rsidP="00F31A99" w:rsidRDefault="00F31A99" w14:paraId="3A16C709" w14:textId="77777777">
      <w:pPr>
        <w:widowControl w:val="0"/>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A continuación, se analiza el comportamiento individual de cada una de las subpartidas mostradas anteriormente:</w:t>
      </w:r>
    </w:p>
    <w:p w:rsidRPr="00F31A99" w:rsidR="00F31A99" w:rsidP="00F31A99" w:rsidRDefault="00F31A99" w14:paraId="16DE7F76" w14:textId="77777777">
      <w:pPr>
        <w:widowControl w:val="0"/>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70CC8783" w14:textId="77777777">
      <w:pPr>
        <w:widowControl w:val="0"/>
        <w:autoSpaceDN w:val="0"/>
        <w:ind w:left="851" w:right="851" w:firstLine="709"/>
        <w:jc w:val="both"/>
        <w:rPr>
          <w:rFonts w:ascii="Times New Roman" w:hAnsi="Times New Roman" w:eastAsia="Calibri" w:cs="Times New Roman"/>
          <w:b/>
          <w:bCs/>
          <w:sz w:val="26"/>
          <w:szCs w:val="26"/>
          <w:u w:color="000000"/>
        </w:rPr>
      </w:pPr>
      <w:r w:rsidRPr="00F31A99">
        <w:rPr>
          <w:rFonts w:ascii="Times New Roman" w:hAnsi="Times New Roman" w:eastAsia="Calibri" w:cs="Times New Roman"/>
          <w:sz w:val="26"/>
          <w:szCs w:val="26"/>
          <w:u w:color="000000"/>
          <w:shd w:val="clear" w:color="auto" w:fill="F2F2F2"/>
        </w:rPr>
        <w:t>1.1 Subpartida 1.02.01 Servicio de agua y alcantarillado</w:t>
      </w:r>
    </w:p>
    <w:p w:rsidRPr="00F31A99" w:rsidR="00F31A99" w:rsidP="00F31A99" w:rsidRDefault="00F31A99" w14:paraId="7177AEE3" w14:textId="77777777">
      <w:pPr>
        <w:widowControl w:val="0"/>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177D35E0" w14:textId="77777777">
      <w:pPr>
        <w:widowControl w:val="0"/>
        <w:ind w:left="851" w:right="851" w:firstLine="709"/>
        <w:jc w:val="both"/>
        <w:rPr>
          <w:rFonts w:ascii="Times New Roman" w:hAnsi="Times New Roman" w:eastAsia="Arial" w:cs="Times New Roman"/>
          <w:kern w:val="1"/>
          <w:sz w:val="26"/>
          <w:szCs w:val="26"/>
          <w:lang w:eastAsia="zh-CN" w:bidi="hi-IN"/>
        </w:rPr>
      </w:pPr>
      <w:r w:rsidRPr="00F31A99">
        <w:rPr>
          <w:rFonts w:ascii="Times New Roman" w:hAnsi="Times New Roman" w:eastAsia="Arial" w:cs="Times New Roman"/>
          <w:spacing w:val="-3"/>
          <w:kern w:val="1"/>
          <w:sz w:val="26"/>
          <w:szCs w:val="26"/>
          <w:lang w:eastAsia="zh-CN" w:bidi="hi-IN"/>
        </w:rPr>
        <w:t xml:space="preserve">Lo estimado dentro de esta subpartida es para responder al </w:t>
      </w:r>
      <w:r w:rsidRPr="00F31A99">
        <w:rPr>
          <w:rFonts w:ascii="Times New Roman" w:hAnsi="Times New Roman" w:eastAsia="Arial" w:cs="Times New Roman"/>
          <w:kern w:val="1"/>
          <w:sz w:val="26"/>
          <w:szCs w:val="26"/>
          <w:lang w:eastAsia="zh-CN" w:bidi="hi-IN"/>
        </w:rPr>
        <w:t>pago para a</w:t>
      </w:r>
      <w:r w:rsidRPr="00F31A99">
        <w:rPr>
          <w:rFonts w:ascii="Times New Roman" w:hAnsi="Times New Roman" w:eastAsia="Arial" w:cs="Times New Roman"/>
          <w:spacing w:val="-3"/>
          <w:kern w:val="1"/>
          <w:sz w:val="26"/>
          <w:szCs w:val="26"/>
          <w:lang w:eastAsia="zh-CN" w:bidi="hi-IN"/>
        </w:rPr>
        <w:t xml:space="preserve">quellas </w:t>
      </w:r>
      <w:r w:rsidRPr="00F31A99">
        <w:rPr>
          <w:rFonts w:ascii="Times New Roman" w:hAnsi="Times New Roman" w:eastAsia="Arial" w:cs="Times New Roman"/>
          <w:kern w:val="1"/>
          <w:sz w:val="26"/>
          <w:szCs w:val="26"/>
          <w:lang w:eastAsia="zh-CN" w:bidi="hi-IN"/>
        </w:rPr>
        <w:t>instituciones públicas o empresas que prestan servicio al Poder Judicial en materia de servicios públicos de agua y alcantarillado. Información que suministra el Departamento de Financiero Contable conforme a las proyecciones realizadas y avaladas por la Dirección Ejecutiva.</w:t>
      </w:r>
    </w:p>
    <w:p w:rsidRPr="00F31A99" w:rsidR="00F31A99" w:rsidP="00F31A99" w:rsidRDefault="00F31A99" w14:paraId="39888C25" w14:textId="77777777">
      <w:pPr>
        <w:widowControl w:val="0"/>
        <w:ind w:left="851" w:right="851" w:firstLine="709"/>
        <w:jc w:val="both"/>
        <w:rPr>
          <w:rFonts w:ascii="Times New Roman" w:hAnsi="Times New Roman" w:eastAsia="Courier New" w:cs="Times New Roman"/>
          <w:kern w:val="1"/>
          <w:sz w:val="26"/>
          <w:szCs w:val="26"/>
          <w:lang w:eastAsia="zh-CN" w:bidi="hi-IN"/>
        </w:rPr>
      </w:pPr>
    </w:p>
    <w:p w:rsidRPr="00F31A99" w:rsidR="00F31A99" w:rsidP="00F31A99" w:rsidRDefault="00F31A99" w14:paraId="46754301" w14:textId="77777777">
      <w:pPr>
        <w:widowControl w:val="0"/>
        <w:ind w:left="851" w:right="851" w:firstLine="709"/>
        <w:jc w:val="both"/>
        <w:rPr>
          <w:rFonts w:ascii="Times New Roman" w:hAnsi="Times New Roman" w:eastAsia="Arial" w:cs="Times New Roman"/>
          <w:spacing w:val="-3"/>
          <w:kern w:val="1"/>
          <w:sz w:val="26"/>
          <w:szCs w:val="26"/>
          <w:lang w:eastAsia="zh-CN" w:bidi="hi-IN"/>
        </w:rPr>
      </w:pPr>
      <w:r w:rsidRPr="00F31A99">
        <w:rPr>
          <w:rFonts w:ascii="Times New Roman" w:hAnsi="Times New Roman" w:eastAsia="Arial" w:cs="Times New Roman"/>
          <w:spacing w:val="-3"/>
          <w:kern w:val="1"/>
          <w:sz w:val="26"/>
          <w:szCs w:val="26"/>
          <w:lang w:eastAsia="zh-CN" w:bidi="hi-IN"/>
        </w:rPr>
        <w:t>Durante los últimos cuatro años el comportamiento de esta subpartida ha sido creciente, esto se puede visualizar en el gráfico de la Figura 1.</w:t>
      </w:r>
    </w:p>
    <w:p w:rsidRPr="00F31A99" w:rsidR="00F31A99" w:rsidP="00F31A99" w:rsidRDefault="00F31A99" w14:paraId="1B9855DB" w14:textId="77777777">
      <w:pPr>
        <w:widowControl w:val="0"/>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3E2279E4" w14:textId="77777777">
      <w:pPr>
        <w:widowControl w:val="0"/>
        <w:autoSpaceDN w:val="0"/>
        <w:ind w:left="851" w:right="851" w:firstLine="709"/>
        <w:jc w:val="both"/>
        <w:rPr>
          <w:rFonts w:ascii="Times New Roman" w:hAnsi="Times New Roman" w:eastAsia="Calibri" w:cs="Times New Roman"/>
          <w:b/>
          <w:bCs/>
          <w:sz w:val="26"/>
          <w:szCs w:val="26"/>
          <w:u w:color="000000"/>
        </w:rPr>
      </w:pPr>
      <w:r w:rsidRPr="00F31A99">
        <w:rPr>
          <w:rFonts w:ascii="Times New Roman" w:hAnsi="Times New Roman" w:eastAsia="Calibri" w:cs="Times New Roman"/>
          <w:b/>
          <w:sz w:val="26"/>
          <w:szCs w:val="26"/>
          <w:u w:color="000000"/>
        </w:rPr>
        <w:lastRenderedPageBreak/>
        <w:t>1.1.1 Comportamiento histórico de la subpartida</w:t>
      </w:r>
    </w:p>
    <w:p w:rsidRPr="00F31A99" w:rsidR="00F31A99" w:rsidP="00F31A99" w:rsidRDefault="00F31A99" w14:paraId="4BAAF6AB"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78C5EBF6" w14:textId="77777777">
      <w:pPr>
        <w:widowControl w:val="0"/>
        <w:autoSpaceDN w:val="0"/>
        <w:ind w:left="851" w:right="851" w:firstLine="709"/>
        <w:jc w:val="both"/>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Tabla 2. Detalle del comportamiento histórico de lo formulado en la subpartida 10201 Servicio de agua y alcantarillado. Periodo 2018 – 2022.</w:t>
      </w:r>
    </w:p>
    <w:p w:rsidRPr="00F31A99" w:rsidR="00F31A99" w:rsidP="00F31A99" w:rsidRDefault="00F31A99" w14:paraId="5BFA4782" w14:textId="77777777">
      <w:pPr>
        <w:widowControl w:val="0"/>
        <w:autoSpaceDN w:val="0"/>
        <w:ind w:left="851" w:right="851" w:firstLine="709"/>
        <w:jc w:val="both"/>
        <w:rPr>
          <w:rFonts w:ascii="Times New Roman" w:hAnsi="Times New Roman" w:eastAsia="Times New Roman" w:cs="Times New Roman"/>
          <w:b/>
          <w:bCs/>
          <w:sz w:val="26"/>
          <w:szCs w:val="26"/>
          <w:u w:color="000000"/>
        </w:rPr>
      </w:pPr>
    </w:p>
    <w:tbl>
      <w:tblPr>
        <w:tblW w:w="8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800"/>
        <w:gridCol w:w="1280"/>
        <w:gridCol w:w="1280"/>
        <w:gridCol w:w="1280"/>
        <w:gridCol w:w="1280"/>
        <w:gridCol w:w="1380"/>
      </w:tblGrid>
      <w:tr w:rsidRPr="00F31A99" w:rsidR="00AE1B2B" w:rsidTr="00A306B2" w14:paraId="132D9250" w14:textId="77777777">
        <w:trPr>
          <w:trHeight w:val="300"/>
          <w:jc w:val="center"/>
        </w:trPr>
        <w:tc>
          <w:tcPr>
            <w:tcW w:w="1800" w:type="dxa"/>
            <w:shd w:val="clear" w:color="000000" w:fill="FFFFFF"/>
            <w:noWrap/>
            <w:vAlign w:val="center"/>
            <w:hideMark/>
          </w:tcPr>
          <w:p w:rsidRPr="00F31A99" w:rsidR="00F31A99" w:rsidP="00F31A99" w:rsidRDefault="00F31A99" w14:paraId="2B962BE8" w14:textId="77777777">
            <w:pPr>
              <w:widowControl w:val="0"/>
              <w:autoSpaceDN w:val="0"/>
              <w:jc w:val="both"/>
              <w:rPr>
                <w:rFonts w:ascii="Times New Roman" w:hAnsi="Times New Roman" w:eastAsia="Times New Roman" w:cs="Times New Roman"/>
                <w:u w:color="000000"/>
                <w:lang w:eastAsia="es-CR"/>
              </w:rPr>
            </w:pPr>
          </w:p>
        </w:tc>
        <w:tc>
          <w:tcPr>
            <w:tcW w:w="1280" w:type="dxa"/>
            <w:shd w:val="clear" w:color="000000" w:fill="F2F2F2"/>
            <w:noWrap/>
            <w:vAlign w:val="center"/>
            <w:hideMark/>
          </w:tcPr>
          <w:p w:rsidRPr="00F31A99" w:rsidR="00F31A99" w:rsidP="00F31A99" w:rsidRDefault="00F31A99" w14:paraId="3B1F296A" w14:textId="77777777">
            <w:pPr>
              <w:widowControl w:val="0"/>
              <w:autoSpaceDN w:val="0"/>
              <w:jc w:val="both"/>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2018</w:t>
            </w:r>
          </w:p>
        </w:tc>
        <w:tc>
          <w:tcPr>
            <w:tcW w:w="1280" w:type="dxa"/>
            <w:shd w:val="clear" w:color="000000" w:fill="F2F2F2"/>
            <w:noWrap/>
            <w:vAlign w:val="center"/>
            <w:hideMark/>
          </w:tcPr>
          <w:p w:rsidRPr="00F31A99" w:rsidR="00F31A99" w:rsidP="00F31A99" w:rsidRDefault="00F31A99" w14:paraId="3584A1F2" w14:textId="77777777">
            <w:pPr>
              <w:widowControl w:val="0"/>
              <w:autoSpaceDN w:val="0"/>
              <w:jc w:val="both"/>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2019</w:t>
            </w:r>
          </w:p>
        </w:tc>
        <w:tc>
          <w:tcPr>
            <w:tcW w:w="1280" w:type="dxa"/>
            <w:shd w:val="clear" w:color="000000" w:fill="F2F2F2"/>
            <w:noWrap/>
            <w:vAlign w:val="center"/>
            <w:hideMark/>
          </w:tcPr>
          <w:p w:rsidRPr="00F31A99" w:rsidR="00F31A99" w:rsidP="00F31A99" w:rsidRDefault="00F31A99" w14:paraId="3C45A3F8" w14:textId="77777777">
            <w:pPr>
              <w:widowControl w:val="0"/>
              <w:autoSpaceDN w:val="0"/>
              <w:jc w:val="both"/>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2020</w:t>
            </w:r>
          </w:p>
        </w:tc>
        <w:tc>
          <w:tcPr>
            <w:tcW w:w="1280" w:type="dxa"/>
            <w:shd w:val="clear" w:color="000000" w:fill="F2F2F2"/>
            <w:noWrap/>
            <w:vAlign w:val="center"/>
            <w:hideMark/>
          </w:tcPr>
          <w:p w:rsidRPr="00F31A99" w:rsidR="00F31A99" w:rsidP="00F31A99" w:rsidRDefault="00F31A99" w14:paraId="56B03FE1" w14:textId="77777777">
            <w:pPr>
              <w:widowControl w:val="0"/>
              <w:autoSpaceDN w:val="0"/>
              <w:jc w:val="both"/>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2021</w:t>
            </w:r>
          </w:p>
        </w:tc>
        <w:tc>
          <w:tcPr>
            <w:tcW w:w="1380" w:type="dxa"/>
            <w:shd w:val="clear" w:color="000000" w:fill="F2F2F2"/>
            <w:noWrap/>
            <w:vAlign w:val="center"/>
            <w:hideMark/>
          </w:tcPr>
          <w:p w:rsidRPr="00F31A99" w:rsidR="00F31A99" w:rsidP="00F31A99" w:rsidRDefault="00F31A99" w14:paraId="428F6BF6" w14:textId="77777777">
            <w:pPr>
              <w:widowControl w:val="0"/>
              <w:autoSpaceDN w:val="0"/>
              <w:jc w:val="both"/>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2022</w:t>
            </w:r>
          </w:p>
        </w:tc>
      </w:tr>
      <w:tr w:rsidRPr="00F31A99" w:rsidR="00AE1B2B" w:rsidTr="00A306B2" w14:paraId="449F24CB" w14:textId="77777777">
        <w:trPr>
          <w:trHeight w:val="288"/>
          <w:jc w:val="center"/>
        </w:trPr>
        <w:tc>
          <w:tcPr>
            <w:tcW w:w="1800" w:type="dxa"/>
            <w:shd w:val="clear" w:color="000000" w:fill="F2F2F2"/>
            <w:noWrap/>
            <w:vAlign w:val="center"/>
            <w:hideMark/>
          </w:tcPr>
          <w:p w:rsidRPr="00F31A99" w:rsidR="00F31A99" w:rsidP="00F31A99" w:rsidRDefault="00F31A99" w14:paraId="5652C7A6" w14:textId="77777777">
            <w:pPr>
              <w:widowControl w:val="0"/>
              <w:autoSpaceDN w:val="0"/>
              <w:jc w:val="both"/>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Monto formulado</w:t>
            </w:r>
          </w:p>
        </w:tc>
        <w:tc>
          <w:tcPr>
            <w:tcW w:w="1280" w:type="dxa"/>
            <w:shd w:val="clear" w:color="000000" w:fill="FFFFFF"/>
            <w:noWrap/>
            <w:vAlign w:val="center"/>
            <w:hideMark/>
          </w:tcPr>
          <w:p w:rsidRPr="00F31A99" w:rsidR="00F31A99" w:rsidP="00F31A99" w:rsidRDefault="00F31A99" w14:paraId="40C21B2C" w14:textId="77777777">
            <w:pPr>
              <w:widowControl w:val="0"/>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569,273,649</w:t>
            </w:r>
          </w:p>
        </w:tc>
        <w:tc>
          <w:tcPr>
            <w:tcW w:w="1280" w:type="dxa"/>
            <w:shd w:val="clear" w:color="000000" w:fill="FFFFFF"/>
            <w:noWrap/>
            <w:vAlign w:val="center"/>
            <w:hideMark/>
          </w:tcPr>
          <w:p w:rsidRPr="00F31A99" w:rsidR="00F31A99" w:rsidP="00F31A99" w:rsidRDefault="00F31A99" w14:paraId="71994817" w14:textId="77777777">
            <w:pPr>
              <w:widowControl w:val="0"/>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605,664,679</w:t>
            </w:r>
          </w:p>
        </w:tc>
        <w:tc>
          <w:tcPr>
            <w:tcW w:w="1280" w:type="dxa"/>
            <w:shd w:val="clear" w:color="000000" w:fill="FFFFFF"/>
            <w:noWrap/>
            <w:vAlign w:val="center"/>
            <w:hideMark/>
          </w:tcPr>
          <w:p w:rsidRPr="00F31A99" w:rsidR="00F31A99" w:rsidP="00F31A99" w:rsidRDefault="00F31A99" w14:paraId="206F83C8" w14:textId="77777777">
            <w:pPr>
              <w:widowControl w:val="0"/>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671,965,866</w:t>
            </w:r>
          </w:p>
        </w:tc>
        <w:tc>
          <w:tcPr>
            <w:tcW w:w="1280" w:type="dxa"/>
            <w:shd w:val="clear" w:color="000000" w:fill="FFFFFF"/>
            <w:noWrap/>
            <w:vAlign w:val="center"/>
            <w:hideMark/>
          </w:tcPr>
          <w:p w:rsidRPr="00F31A99" w:rsidR="00F31A99" w:rsidP="00F31A99" w:rsidRDefault="00F31A99" w14:paraId="711F5902" w14:textId="77777777">
            <w:pPr>
              <w:widowControl w:val="0"/>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863,189,794</w:t>
            </w:r>
          </w:p>
        </w:tc>
        <w:tc>
          <w:tcPr>
            <w:tcW w:w="1380" w:type="dxa"/>
            <w:shd w:val="clear" w:color="auto" w:fill="auto"/>
            <w:noWrap/>
            <w:vAlign w:val="center"/>
            <w:hideMark/>
          </w:tcPr>
          <w:p w:rsidRPr="00F31A99" w:rsidR="00F31A99" w:rsidP="00F31A99" w:rsidRDefault="00F31A99" w14:paraId="5AA69B42" w14:textId="77777777">
            <w:pPr>
              <w:widowControl w:val="0"/>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878,354,685 </w:t>
            </w:r>
          </w:p>
        </w:tc>
      </w:tr>
      <w:tr w:rsidRPr="00F31A99" w:rsidR="00AE1B2B" w:rsidTr="00A306B2" w14:paraId="334F4AFC" w14:textId="77777777">
        <w:trPr>
          <w:trHeight w:val="300"/>
          <w:jc w:val="center"/>
        </w:trPr>
        <w:tc>
          <w:tcPr>
            <w:tcW w:w="1800" w:type="dxa"/>
            <w:shd w:val="clear" w:color="000000" w:fill="F2F2F2"/>
            <w:noWrap/>
            <w:vAlign w:val="center"/>
            <w:hideMark/>
          </w:tcPr>
          <w:p w:rsidRPr="00F31A99" w:rsidR="00F31A99" w:rsidP="00F31A99" w:rsidRDefault="00F31A99" w14:paraId="28535637" w14:textId="77777777">
            <w:pPr>
              <w:widowControl w:val="0"/>
              <w:autoSpaceDN w:val="0"/>
              <w:jc w:val="both"/>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Variación</w:t>
            </w:r>
          </w:p>
        </w:tc>
        <w:tc>
          <w:tcPr>
            <w:tcW w:w="1280" w:type="dxa"/>
            <w:shd w:val="clear" w:color="000000" w:fill="FFFFFF"/>
            <w:noWrap/>
            <w:vAlign w:val="center"/>
            <w:hideMark/>
          </w:tcPr>
          <w:p w:rsidRPr="00F31A99" w:rsidR="00F31A99" w:rsidP="00F31A99" w:rsidRDefault="00F31A99" w14:paraId="201F46FC" w14:textId="77777777">
            <w:pPr>
              <w:widowControl w:val="0"/>
              <w:autoSpaceDN w:val="0"/>
              <w:jc w:val="both"/>
              <w:rPr>
                <w:rFonts w:ascii="Times New Roman" w:hAnsi="Times New Roman" w:eastAsia="Times New Roman" w:cs="Times New Roman"/>
                <w:u w:color="000000"/>
                <w:lang w:eastAsia="es-CR"/>
              </w:rPr>
            </w:pPr>
          </w:p>
        </w:tc>
        <w:tc>
          <w:tcPr>
            <w:tcW w:w="1280" w:type="dxa"/>
            <w:shd w:val="clear" w:color="000000" w:fill="FFFFFF"/>
            <w:noWrap/>
            <w:vAlign w:val="center"/>
            <w:hideMark/>
          </w:tcPr>
          <w:p w:rsidRPr="00F31A99" w:rsidR="00F31A99" w:rsidP="00F31A99" w:rsidRDefault="00F31A99" w14:paraId="6AF30491" w14:textId="77777777">
            <w:pPr>
              <w:widowControl w:val="0"/>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6%</w:t>
            </w:r>
          </w:p>
        </w:tc>
        <w:tc>
          <w:tcPr>
            <w:tcW w:w="1280" w:type="dxa"/>
            <w:shd w:val="clear" w:color="000000" w:fill="FFFFFF"/>
            <w:noWrap/>
            <w:vAlign w:val="center"/>
            <w:hideMark/>
          </w:tcPr>
          <w:p w:rsidRPr="00F31A99" w:rsidR="00F31A99" w:rsidP="00F31A99" w:rsidRDefault="00F31A99" w14:paraId="08031269" w14:textId="77777777">
            <w:pPr>
              <w:widowControl w:val="0"/>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11%</w:t>
            </w:r>
          </w:p>
        </w:tc>
        <w:tc>
          <w:tcPr>
            <w:tcW w:w="1280" w:type="dxa"/>
            <w:shd w:val="clear" w:color="000000" w:fill="FFFFFF"/>
            <w:noWrap/>
            <w:vAlign w:val="center"/>
            <w:hideMark/>
          </w:tcPr>
          <w:p w:rsidRPr="00F31A99" w:rsidR="00F31A99" w:rsidP="00F31A99" w:rsidRDefault="00F31A99" w14:paraId="78E5F0A0" w14:textId="77777777">
            <w:pPr>
              <w:widowControl w:val="0"/>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29%</w:t>
            </w:r>
          </w:p>
        </w:tc>
        <w:tc>
          <w:tcPr>
            <w:tcW w:w="1380" w:type="dxa"/>
            <w:shd w:val="clear" w:color="000000" w:fill="FFFFFF"/>
            <w:noWrap/>
            <w:vAlign w:val="center"/>
            <w:hideMark/>
          </w:tcPr>
          <w:p w:rsidRPr="00F31A99" w:rsidR="00F31A99" w:rsidP="00F31A99" w:rsidRDefault="00F31A99" w14:paraId="284D29F4" w14:textId="77777777">
            <w:pPr>
              <w:widowControl w:val="0"/>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w:t>
            </w:r>
          </w:p>
        </w:tc>
      </w:tr>
    </w:tbl>
    <w:p w:rsidRPr="00F31A99" w:rsidR="00F31A99" w:rsidP="00F31A99" w:rsidRDefault="00F31A99" w14:paraId="03FC7B1E" w14:textId="77777777">
      <w:pPr>
        <w:widowControl w:val="0"/>
        <w:autoSpaceDN w:val="0"/>
        <w:ind w:left="851" w:right="851"/>
        <w:jc w:val="both"/>
        <w:rPr>
          <w:rFonts w:ascii="Times New Roman" w:hAnsi="Times New Roman" w:eastAsia="Calibri" w:cs="Times New Roman"/>
          <w:bCs/>
          <w:sz w:val="16"/>
          <w:szCs w:val="16"/>
          <w:u w:color="000000"/>
        </w:rPr>
      </w:pPr>
    </w:p>
    <w:p w:rsidRPr="00F31A99" w:rsidR="00F31A99" w:rsidP="00F31A99" w:rsidRDefault="00F31A99" w14:paraId="080BF203" w14:textId="77777777">
      <w:pPr>
        <w:widowControl w:val="0"/>
        <w:autoSpaceDN w:val="0"/>
        <w:ind w:left="851" w:right="851"/>
        <w:jc w:val="both"/>
        <w:rPr>
          <w:rFonts w:ascii="Times New Roman" w:hAnsi="Times New Roman" w:eastAsia="Calibri" w:cs="Times New Roman"/>
          <w:bCs/>
          <w:sz w:val="16"/>
          <w:szCs w:val="16"/>
          <w:u w:color="000000"/>
        </w:rPr>
      </w:pPr>
      <w:r w:rsidRPr="00F31A99">
        <w:rPr>
          <w:rFonts w:ascii="Times New Roman" w:hAnsi="Times New Roman" w:eastAsia="Calibri" w:cs="Times New Roman"/>
          <w:bCs/>
          <w:sz w:val="16"/>
          <w:szCs w:val="16"/>
          <w:u w:color="000000"/>
        </w:rPr>
        <w:t>Fuente: SIGA PJ</w:t>
      </w:r>
    </w:p>
    <w:p w:rsidRPr="00F31A99" w:rsidR="00F31A99" w:rsidP="00F31A99" w:rsidRDefault="00F31A99" w14:paraId="4D5014D6"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143C34FB"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De lo anterior, se logra observar que entre el periodo 2020 y 2021 se da el mayor aumento del periodo analizado con un crecimiento del 29% y del 2021 al 2022 se presenta el menor crecimiento con apenas un 2%. </w:t>
      </w:r>
    </w:p>
    <w:p w:rsidRPr="00F31A99" w:rsidR="00F31A99" w:rsidP="00F31A99" w:rsidRDefault="00F31A99" w14:paraId="64C92F7D"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152FB1FE" w14:textId="77777777">
      <w:pPr>
        <w:widowControl w:val="0"/>
        <w:autoSpaceDN w:val="0"/>
        <w:ind w:left="851" w:right="851" w:firstLine="709"/>
        <w:jc w:val="both"/>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Figura N° 1. Formulación y Ejecución Periodos 2018 – 2022</w:t>
      </w:r>
    </w:p>
    <w:p w:rsidRPr="00F31A99" w:rsidR="00F31A99" w:rsidP="00F31A99" w:rsidRDefault="00F31A99" w14:paraId="61CC201C" w14:textId="77777777">
      <w:pPr>
        <w:widowControl w:val="0"/>
        <w:autoSpaceDN w:val="0"/>
        <w:ind w:left="851" w:right="851" w:firstLine="709"/>
        <w:jc w:val="both"/>
        <w:rPr>
          <w:rFonts w:ascii="Times New Roman" w:hAnsi="Times New Roman" w:eastAsia="Times New Roman" w:cs="Times New Roman"/>
          <w:b/>
          <w:bCs/>
          <w:sz w:val="26"/>
          <w:szCs w:val="26"/>
          <w:u w:color="000000"/>
        </w:rPr>
      </w:pPr>
    </w:p>
    <w:p w:rsidRPr="00F31A99" w:rsidR="00F31A99" w:rsidP="00F31A99" w:rsidRDefault="00F31A99" w14:paraId="6EF8ACE8" w14:textId="77777777">
      <w:pPr>
        <w:widowControl w:val="0"/>
        <w:autoSpaceDN w:val="0"/>
        <w:jc w:val="center"/>
        <w:rPr>
          <w:rFonts w:ascii="Times New Roman" w:hAnsi="Times New Roman" w:eastAsia="Calibri" w:cs="Times New Roman"/>
          <w:u w:color="000000"/>
        </w:rPr>
      </w:pPr>
      <w:r w:rsidRPr="00F31A99">
        <w:rPr>
          <w:rFonts w:ascii="Times New Roman" w:hAnsi="Times New Roman" w:eastAsia="Calibri" w:cs="Times New Roman"/>
          <w:noProof/>
          <w:u w:color="000000"/>
          <w:lang w:eastAsia="es-MX"/>
        </w:rPr>
        <w:drawing>
          <wp:inline distT="0" distB="0" distL="0" distR="0" wp14:anchorId="5890C321" wp14:editId="449AA6B9">
            <wp:extent cx="5585460" cy="1946606"/>
            <wp:effectExtent l="0" t="0" r="0" b="0"/>
            <wp:docPr id="126" name="Imagen 1">
              <a:extLst xmlns:a="http://schemas.openxmlformats.org/drawingml/2006/main">
                <a:ext uri="{FF2B5EF4-FFF2-40B4-BE49-F238E27FC236}">
                  <a16:creationId xmlns:a16="http://schemas.microsoft.com/office/drawing/2014/main" id="{92C69E5B-E90D-4E27-8AC7-BA6B8D7245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92C69E5B-E90D-4E27-8AC7-BA6B8D724563}"/>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31928" cy="1962801"/>
                    </a:xfrm>
                    <a:prstGeom prst="rect">
                      <a:avLst/>
                    </a:prstGeom>
                    <a:noFill/>
                  </pic:spPr>
                </pic:pic>
              </a:graphicData>
            </a:graphic>
          </wp:inline>
        </w:drawing>
      </w:r>
    </w:p>
    <w:p w:rsidRPr="00F31A99" w:rsidR="00F31A99" w:rsidP="00F31A99" w:rsidRDefault="00F31A99" w14:paraId="550E3F35" w14:textId="77777777">
      <w:pPr>
        <w:widowControl w:val="0"/>
        <w:autoSpaceDN w:val="0"/>
        <w:rPr>
          <w:rFonts w:ascii="Times New Roman" w:hAnsi="Times New Roman" w:eastAsia="Calibri" w:cs="Times New Roman"/>
          <w:bCs/>
          <w:sz w:val="14"/>
          <w:szCs w:val="14"/>
          <w:u w:color="000000"/>
        </w:rPr>
      </w:pPr>
      <w:r w:rsidRPr="00F31A99">
        <w:rPr>
          <w:rFonts w:ascii="Times New Roman" w:hAnsi="Times New Roman" w:eastAsia="Calibri" w:cs="Times New Roman"/>
          <w:sz w:val="14"/>
          <w:szCs w:val="14"/>
          <w:u w:color="000000"/>
        </w:rPr>
        <w:t xml:space="preserve"> </w:t>
      </w:r>
      <w:r w:rsidRPr="00F31A99">
        <w:rPr>
          <w:rFonts w:ascii="Times New Roman" w:hAnsi="Times New Roman" w:eastAsia="Calibri" w:cs="Times New Roman"/>
          <w:bCs/>
          <w:sz w:val="14"/>
          <w:szCs w:val="14"/>
          <w:u w:color="000000"/>
        </w:rPr>
        <w:t>Fuente: SIGA PJ</w:t>
      </w:r>
    </w:p>
    <w:p w:rsidRPr="00F31A99" w:rsidR="00F31A99" w:rsidP="00F31A99" w:rsidRDefault="00F31A99" w14:paraId="1E9BC912" w14:textId="77777777">
      <w:pPr>
        <w:widowControl w:val="0"/>
        <w:autoSpaceDN w:val="0"/>
        <w:spacing w:line="360" w:lineRule="auto"/>
        <w:ind w:firstLine="360"/>
        <w:jc w:val="both"/>
        <w:rPr>
          <w:rFonts w:ascii="Times New Roman" w:hAnsi="Times New Roman" w:eastAsia="Calibri" w:cs="Times New Roman"/>
          <w:sz w:val="24"/>
          <w:szCs w:val="24"/>
          <w:u w:color="000000"/>
        </w:rPr>
      </w:pPr>
    </w:p>
    <w:p w:rsidRPr="00F31A99" w:rsidR="00F31A99" w:rsidP="00F31A99" w:rsidRDefault="00F31A99" w14:paraId="597D71D5"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En la figura anterior, se puede observar el comportamiento de la subpartida de servicios de agua y alcantarillado, tanto en la formulación, así como en la ejecución. </w:t>
      </w:r>
    </w:p>
    <w:p w:rsidRPr="00F31A99" w:rsidR="00F31A99" w:rsidP="00F31A99" w:rsidRDefault="00F31A99" w14:paraId="3C84DE5B"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50532B10"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Es importante indicar, que a nivel institucional se ha tenido que tomar medidas para hacer frente a los incrementos presentados durante el periodo 2018, 2019 y 2020, porque la ejecución estuvo por encima de la formulación presupuestaria.</w:t>
      </w:r>
    </w:p>
    <w:p w:rsidRPr="00F31A99" w:rsidR="00F31A99" w:rsidP="00F31A99" w:rsidRDefault="00F31A99" w14:paraId="21A7F522"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4373D78B" w14:textId="77777777">
      <w:pPr>
        <w:widowControl w:val="0"/>
        <w:autoSpaceDN w:val="0"/>
        <w:ind w:left="851" w:right="851" w:firstLine="709"/>
        <w:jc w:val="both"/>
        <w:rPr>
          <w:rFonts w:ascii="Times New Roman" w:hAnsi="Times New Roman" w:eastAsia="Calibri" w:cs="Times New Roman"/>
          <w:b/>
          <w:bCs/>
          <w:sz w:val="26"/>
          <w:szCs w:val="26"/>
          <w:u w:color="000000"/>
        </w:rPr>
      </w:pPr>
      <w:r w:rsidRPr="00F31A99">
        <w:rPr>
          <w:rFonts w:ascii="Times New Roman" w:hAnsi="Times New Roman" w:eastAsia="Calibri" w:cs="Times New Roman"/>
          <w:b/>
          <w:sz w:val="26"/>
          <w:szCs w:val="26"/>
          <w:u w:color="000000"/>
        </w:rPr>
        <w:t>1.1.2 Análisis de la ejecución presupuestaria de la subpartida</w:t>
      </w:r>
    </w:p>
    <w:p w:rsidRPr="00F31A99" w:rsidR="00F31A99" w:rsidP="00F31A99" w:rsidRDefault="00F31A99" w14:paraId="4E20C031"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597A09B1" w14:textId="77777777">
      <w:pPr>
        <w:widowControl w:val="0"/>
        <w:autoSpaceDN w:val="0"/>
        <w:ind w:left="851" w:right="851" w:firstLine="709"/>
        <w:jc w:val="both"/>
        <w:rPr>
          <w:rFonts w:ascii="Times New Roman" w:hAnsi="Times New Roman" w:eastAsia="Calibri" w:cs="Times New Roman"/>
          <w:b/>
          <w:sz w:val="26"/>
          <w:szCs w:val="26"/>
          <w:u w:color="000000"/>
        </w:rPr>
      </w:pPr>
    </w:p>
    <w:p w:rsidRPr="00F31A99" w:rsidR="00F31A99" w:rsidP="00F31A99" w:rsidRDefault="00F31A99" w14:paraId="39D2A8BD" w14:textId="77777777">
      <w:pPr>
        <w:widowControl w:val="0"/>
        <w:autoSpaceDN w:val="0"/>
        <w:ind w:left="851" w:right="851"/>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Tabla 3. Ejecución presupuestaria periodos 2018 – 2020</w:t>
      </w:r>
    </w:p>
    <w:p w:rsidRPr="00F31A99" w:rsidR="00F31A99" w:rsidP="00F31A99" w:rsidRDefault="00F31A99" w14:paraId="61A0218A" w14:textId="77777777">
      <w:pPr>
        <w:widowControl w:val="0"/>
        <w:autoSpaceDN w:val="0"/>
        <w:ind w:left="851" w:right="851" w:firstLine="709"/>
        <w:jc w:val="both"/>
        <w:rPr>
          <w:rFonts w:ascii="Times New Roman" w:hAnsi="Times New Roman" w:eastAsia="Calibri" w:cs="Times New Roman"/>
          <w:bCs/>
          <w:sz w:val="26"/>
          <w:szCs w:val="26"/>
          <w:u w:color="000000"/>
        </w:rPr>
      </w:pPr>
    </w:p>
    <w:tbl>
      <w:tblPr>
        <w:tblW w:w="61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931"/>
        <w:gridCol w:w="1833"/>
        <w:gridCol w:w="1996"/>
        <w:gridCol w:w="1381"/>
      </w:tblGrid>
      <w:tr w:rsidRPr="00F31A99" w:rsidR="00AE1B2B" w:rsidTr="00A306B2" w14:paraId="072D500D" w14:textId="77777777">
        <w:trPr>
          <w:trHeight w:val="311"/>
          <w:jc w:val="center"/>
        </w:trPr>
        <w:tc>
          <w:tcPr>
            <w:tcW w:w="931" w:type="dxa"/>
            <w:shd w:val="clear" w:color="000000" w:fill="D9D9D9"/>
            <w:noWrap/>
            <w:vAlign w:val="center"/>
            <w:hideMark/>
          </w:tcPr>
          <w:p w:rsidRPr="00F31A99" w:rsidR="00F31A99" w:rsidP="00F31A99" w:rsidRDefault="00F31A99" w14:paraId="5733A4E4"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Periodo</w:t>
            </w:r>
          </w:p>
        </w:tc>
        <w:tc>
          <w:tcPr>
            <w:tcW w:w="1833" w:type="dxa"/>
            <w:shd w:val="clear" w:color="000000" w:fill="D9D9D9"/>
            <w:noWrap/>
            <w:vAlign w:val="center"/>
            <w:hideMark/>
          </w:tcPr>
          <w:p w:rsidRPr="00F31A99" w:rsidR="00F31A99" w:rsidP="00F31A99" w:rsidRDefault="00F31A99" w14:paraId="73499F09"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Formulado</w:t>
            </w:r>
          </w:p>
        </w:tc>
        <w:tc>
          <w:tcPr>
            <w:tcW w:w="1996" w:type="dxa"/>
            <w:shd w:val="clear" w:color="000000" w:fill="D9D9D9"/>
            <w:noWrap/>
            <w:vAlign w:val="center"/>
            <w:hideMark/>
          </w:tcPr>
          <w:p w:rsidRPr="00F31A99" w:rsidR="00F31A99" w:rsidP="00F31A99" w:rsidRDefault="00F31A99" w14:paraId="6A66FECC"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Ejecutado</w:t>
            </w:r>
          </w:p>
        </w:tc>
        <w:tc>
          <w:tcPr>
            <w:tcW w:w="1381" w:type="dxa"/>
            <w:shd w:val="clear" w:color="000000" w:fill="D9D9D9"/>
            <w:noWrap/>
            <w:vAlign w:val="center"/>
            <w:hideMark/>
          </w:tcPr>
          <w:p w:rsidRPr="00F31A99" w:rsidR="00F31A99" w:rsidP="00F31A99" w:rsidRDefault="00F31A99" w14:paraId="0C49D2EC"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Ejecución</w:t>
            </w:r>
          </w:p>
        </w:tc>
      </w:tr>
      <w:tr w:rsidRPr="00F31A99" w:rsidR="00AE1B2B" w:rsidTr="00A306B2" w14:paraId="62841CEF" w14:textId="77777777">
        <w:trPr>
          <w:trHeight w:val="311"/>
          <w:jc w:val="center"/>
        </w:trPr>
        <w:tc>
          <w:tcPr>
            <w:tcW w:w="931" w:type="dxa"/>
            <w:shd w:val="clear" w:color="auto" w:fill="auto"/>
            <w:noWrap/>
            <w:vAlign w:val="bottom"/>
            <w:hideMark/>
          </w:tcPr>
          <w:p w:rsidRPr="00F31A99" w:rsidR="00F31A99" w:rsidP="00F31A99" w:rsidRDefault="00F31A99" w14:paraId="7064AB8E"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2018</w:t>
            </w:r>
          </w:p>
        </w:tc>
        <w:tc>
          <w:tcPr>
            <w:tcW w:w="1833" w:type="dxa"/>
            <w:shd w:val="clear" w:color="auto" w:fill="auto"/>
            <w:noWrap/>
            <w:vAlign w:val="bottom"/>
            <w:hideMark/>
          </w:tcPr>
          <w:p w:rsidRPr="00F31A99" w:rsidR="00F31A99" w:rsidP="00F31A99" w:rsidRDefault="00F31A99" w14:paraId="61166690"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 569,273,649 </w:t>
            </w:r>
          </w:p>
        </w:tc>
        <w:tc>
          <w:tcPr>
            <w:tcW w:w="1996" w:type="dxa"/>
            <w:shd w:val="clear" w:color="auto" w:fill="auto"/>
            <w:noWrap/>
            <w:vAlign w:val="bottom"/>
            <w:hideMark/>
          </w:tcPr>
          <w:p w:rsidRPr="00F31A99" w:rsidR="00F31A99" w:rsidP="00F31A99" w:rsidRDefault="00F31A99" w14:paraId="33698572"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 669,006,708 </w:t>
            </w:r>
          </w:p>
        </w:tc>
        <w:tc>
          <w:tcPr>
            <w:tcW w:w="1381" w:type="dxa"/>
            <w:shd w:val="clear" w:color="auto" w:fill="auto"/>
            <w:noWrap/>
            <w:vAlign w:val="bottom"/>
            <w:hideMark/>
          </w:tcPr>
          <w:p w:rsidRPr="00F31A99" w:rsidR="00F31A99" w:rsidP="00F31A99" w:rsidRDefault="00F31A99" w14:paraId="723125CD"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117.52%</w:t>
            </w:r>
          </w:p>
        </w:tc>
      </w:tr>
      <w:tr w:rsidRPr="00F31A99" w:rsidR="00AE1B2B" w:rsidTr="00A306B2" w14:paraId="5559249F" w14:textId="77777777">
        <w:trPr>
          <w:trHeight w:val="311"/>
          <w:jc w:val="center"/>
        </w:trPr>
        <w:tc>
          <w:tcPr>
            <w:tcW w:w="931" w:type="dxa"/>
            <w:shd w:val="clear" w:color="auto" w:fill="auto"/>
            <w:noWrap/>
            <w:vAlign w:val="bottom"/>
            <w:hideMark/>
          </w:tcPr>
          <w:p w:rsidRPr="00F31A99" w:rsidR="00F31A99" w:rsidP="00F31A99" w:rsidRDefault="00F31A99" w14:paraId="0156F995"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2019</w:t>
            </w:r>
          </w:p>
        </w:tc>
        <w:tc>
          <w:tcPr>
            <w:tcW w:w="1833" w:type="dxa"/>
            <w:shd w:val="clear" w:color="auto" w:fill="auto"/>
            <w:noWrap/>
            <w:vAlign w:val="bottom"/>
            <w:hideMark/>
          </w:tcPr>
          <w:p w:rsidRPr="00F31A99" w:rsidR="00F31A99" w:rsidP="00F31A99" w:rsidRDefault="00F31A99" w14:paraId="00B18D2B"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 605,664,679 </w:t>
            </w:r>
          </w:p>
        </w:tc>
        <w:tc>
          <w:tcPr>
            <w:tcW w:w="1996" w:type="dxa"/>
            <w:shd w:val="clear" w:color="auto" w:fill="auto"/>
            <w:noWrap/>
            <w:vAlign w:val="bottom"/>
            <w:hideMark/>
          </w:tcPr>
          <w:p w:rsidRPr="00F31A99" w:rsidR="00F31A99" w:rsidP="00F31A99" w:rsidRDefault="00F31A99" w14:paraId="36815B67"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 779,588,737 </w:t>
            </w:r>
          </w:p>
        </w:tc>
        <w:tc>
          <w:tcPr>
            <w:tcW w:w="1381" w:type="dxa"/>
            <w:shd w:val="clear" w:color="auto" w:fill="auto"/>
            <w:noWrap/>
            <w:vAlign w:val="bottom"/>
            <w:hideMark/>
          </w:tcPr>
          <w:p w:rsidRPr="00F31A99" w:rsidR="00F31A99" w:rsidP="00F31A99" w:rsidRDefault="00F31A99" w14:paraId="1B9C46E9"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128.72%</w:t>
            </w:r>
          </w:p>
        </w:tc>
      </w:tr>
      <w:tr w:rsidRPr="00F31A99" w:rsidR="00AE1B2B" w:rsidTr="00A306B2" w14:paraId="5C64681C" w14:textId="77777777">
        <w:trPr>
          <w:trHeight w:val="311"/>
          <w:jc w:val="center"/>
        </w:trPr>
        <w:tc>
          <w:tcPr>
            <w:tcW w:w="931" w:type="dxa"/>
            <w:shd w:val="clear" w:color="auto" w:fill="auto"/>
            <w:noWrap/>
            <w:vAlign w:val="bottom"/>
            <w:hideMark/>
          </w:tcPr>
          <w:p w:rsidRPr="00F31A99" w:rsidR="00F31A99" w:rsidP="00F31A99" w:rsidRDefault="00F31A99" w14:paraId="57DEC8A5"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2020</w:t>
            </w:r>
          </w:p>
        </w:tc>
        <w:tc>
          <w:tcPr>
            <w:tcW w:w="1833" w:type="dxa"/>
            <w:shd w:val="clear" w:color="auto" w:fill="auto"/>
            <w:noWrap/>
            <w:vAlign w:val="bottom"/>
            <w:hideMark/>
          </w:tcPr>
          <w:p w:rsidRPr="00F31A99" w:rsidR="00F31A99" w:rsidP="00F31A99" w:rsidRDefault="00F31A99" w14:paraId="18C43677"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 671,965,866 </w:t>
            </w:r>
          </w:p>
        </w:tc>
        <w:tc>
          <w:tcPr>
            <w:tcW w:w="1996" w:type="dxa"/>
            <w:shd w:val="clear" w:color="auto" w:fill="auto"/>
            <w:noWrap/>
            <w:vAlign w:val="bottom"/>
            <w:hideMark/>
          </w:tcPr>
          <w:p w:rsidRPr="00F31A99" w:rsidR="00F31A99" w:rsidP="00F31A99" w:rsidRDefault="00F31A99" w14:paraId="3A6A2283"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 944,745,071 </w:t>
            </w:r>
          </w:p>
        </w:tc>
        <w:tc>
          <w:tcPr>
            <w:tcW w:w="1381" w:type="dxa"/>
            <w:shd w:val="clear" w:color="auto" w:fill="auto"/>
            <w:noWrap/>
            <w:vAlign w:val="bottom"/>
            <w:hideMark/>
          </w:tcPr>
          <w:p w:rsidRPr="00F31A99" w:rsidR="00F31A99" w:rsidP="00F31A99" w:rsidRDefault="00F31A99" w14:paraId="14BAC6AC"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140.59%</w:t>
            </w:r>
          </w:p>
        </w:tc>
      </w:tr>
      <w:tr w:rsidRPr="00F31A99" w:rsidR="00AE1B2B" w:rsidTr="00A306B2" w14:paraId="52A9618F" w14:textId="77777777">
        <w:trPr>
          <w:trHeight w:val="311"/>
          <w:jc w:val="center"/>
        </w:trPr>
        <w:tc>
          <w:tcPr>
            <w:tcW w:w="931" w:type="dxa"/>
            <w:shd w:val="clear" w:color="auto" w:fill="auto"/>
            <w:noWrap/>
            <w:vAlign w:val="bottom"/>
            <w:hideMark/>
          </w:tcPr>
          <w:p w:rsidRPr="00F31A99" w:rsidR="00F31A99" w:rsidP="00F31A99" w:rsidRDefault="00F31A99" w14:paraId="12FAD9C9" w14:textId="77777777">
            <w:pPr>
              <w:widowControl w:val="0"/>
              <w:autoSpaceDN w:val="0"/>
              <w:jc w:val="right"/>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Total</w:t>
            </w:r>
          </w:p>
        </w:tc>
        <w:tc>
          <w:tcPr>
            <w:tcW w:w="1833" w:type="dxa"/>
            <w:shd w:val="clear" w:color="auto" w:fill="auto"/>
            <w:noWrap/>
            <w:vAlign w:val="bottom"/>
            <w:hideMark/>
          </w:tcPr>
          <w:p w:rsidRPr="00F31A99" w:rsidR="00F31A99" w:rsidP="00F31A99" w:rsidRDefault="00F31A99" w14:paraId="3C819ECE"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 ₡ 1,846,904,194 </w:t>
            </w:r>
          </w:p>
        </w:tc>
        <w:tc>
          <w:tcPr>
            <w:tcW w:w="1996" w:type="dxa"/>
            <w:shd w:val="clear" w:color="auto" w:fill="auto"/>
            <w:noWrap/>
            <w:vAlign w:val="bottom"/>
            <w:hideMark/>
          </w:tcPr>
          <w:p w:rsidRPr="00F31A99" w:rsidR="00F31A99" w:rsidP="00F31A99" w:rsidRDefault="00F31A99" w14:paraId="53B613CF"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 ₡ 2,393,340,516 </w:t>
            </w:r>
          </w:p>
        </w:tc>
        <w:tc>
          <w:tcPr>
            <w:tcW w:w="1381" w:type="dxa"/>
            <w:shd w:val="clear" w:color="auto" w:fill="auto"/>
            <w:noWrap/>
            <w:vAlign w:val="bottom"/>
            <w:hideMark/>
          </w:tcPr>
          <w:p w:rsidRPr="00F31A99" w:rsidR="00F31A99" w:rsidP="00F31A99" w:rsidRDefault="00F31A99" w14:paraId="0B22D746" w14:textId="77777777">
            <w:pPr>
              <w:widowControl w:val="0"/>
              <w:autoSpaceDN w:val="0"/>
              <w:jc w:val="right"/>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129.59%</w:t>
            </w:r>
          </w:p>
        </w:tc>
      </w:tr>
    </w:tbl>
    <w:p w:rsidRPr="00F31A99" w:rsidR="00F31A99" w:rsidP="00F31A99" w:rsidRDefault="00F31A99" w14:paraId="47108F94" w14:textId="77777777">
      <w:pPr>
        <w:widowControl w:val="0"/>
        <w:autoSpaceDN w:val="0"/>
        <w:rPr>
          <w:rFonts w:ascii="Times New Roman" w:hAnsi="Times New Roman" w:eastAsia="Calibri" w:cs="Times New Roman"/>
          <w:bCs/>
          <w:szCs w:val="20"/>
          <w:u w:color="000000"/>
        </w:rPr>
      </w:pPr>
      <w:r w:rsidRPr="00F31A99">
        <w:rPr>
          <w:rFonts w:ascii="Times New Roman" w:hAnsi="Times New Roman" w:eastAsia="Calibri" w:cs="Times New Roman"/>
          <w:bCs/>
          <w:szCs w:val="20"/>
          <w:u w:color="000000"/>
        </w:rPr>
        <w:t xml:space="preserve"> </w:t>
      </w:r>
    </w:p>
    <w:p w:rsidRPr="00F31A99" w:rsidR="00F31A99" w:rsidP="00F31A99" w:rsidRDefault="00F31A99" w14:paraId="6160F86E" w14:textId="77777777">
      <w:pPr>
        <w:widowControl w:val="0"/>
        <w:autoSpaceDN w:val="0"/>
        <w:ind w:firstLine="709"/>
        <w:rPr>
          <w:rFonts w:ascii="Times New Roman" w:hAnsi="Times New Roman" w:eastAsia="Calibri" w:cs="Times New Roman"/>
          <w:bCs/>
          <w:sz w:val="14"/>
          <w:szCs w:val="14"/>
          <w:u w:color="000000"/>
        </w:rPr>
      </w:pPr>
      <w:r w:rsidRPr="00F31A99">
        <w:rPr>
          <w:rFonts w:ascii="Times New Roman" w:hAnsi="Times New Roman" w:eastAsia="Calibri" w:cs="Times New Roman"/>
          <w:bCs/>
          <w:sz w:val="14"/>
          <w:szCs w:val="14"/>
          <w:u w:color="000000"/>
        </w:rPr>
        <w:t>Fuente: SIGA PJ</w:t>
      </w:r>
    </w:p>
    <w:p w:rsidRPr="00F31A99" w:rsidR="00F31A99" w:rsidP="00F31A99" w:rsidRDefault="00F31A99" w14:paraId="602781BB" w14:textId="77777777">
      <w:pPr>
        <w:widowControl w:val="0"/>
        <w:autoSpaceDN w:val="0"/>
        <w:rPr>
          <w:rFonts w:ascii="Times New Roman" w:hAnsi="Times New Roman" w:eastAsia="Calibri" w:cs="Times New Roman"/>
          <w:bCs/>
          <w:sz w:val="14"/>
          <w:szCs w:val="14"/>
          <w:u w:color="000000"/>
        </w:rPr>
      </w:pPr>
    </w:p>
    <w:p w:rsidRPr="00F31A99" w:rsidR="00F31A99" w:rsidP="00F31A99" w:rsidRDefault="00F31A99" w14:paraId="66A8C0BE" w14:textId="77777777">
      <w:pPr>
        <w:widowControl w:val="0"/>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Durante el periodo analizado del 2018 al 2020 la ejecución presupuestaria presenta un comportamiento creciente. Los porcentajes de ejecución son superiores al 100% con porcentajes de 117,52%, 128,72% y 140,59% respectivamente. </w:t>
      </w:r>
    </w:p>
    <w:p w:rsidRPr="00F31A99" w:rsidR="00F31A99" w:rsidP="00F31A99" w:rsidRDefault="00F31A99" w14:paraId="72F722BF" w14:textId="77777777">
      <w:pPr>
        <w:widowControl w:val="0"/>
        <w:autoSpaceDN w:val="0"/>
        <w:ind w:left="851" w:right="851" w:firstLine="709"/>
        <w:jc w:val="both"/>
        <w:rPr>
          <w:rFonts w:ascii="Times New Roman" w:hAnsi="Times New Roman" w:eastAsia="Times New Roman" w:cs="Times New Roman"/>
          <w:sz w:val="26"/>
          <w:szCs w:val="26"/>
          <w:u w:color="000000"/>
        </w:rPr>
      </w:pPr>
      <w:r w:rsidRPr="00F31A99">
        <w:rPr>
          <w:rFonts w:ascii="Times New Roman" w:hAnsi="Times New Roman" w:eastAsia="Times New Roman" w:cs="Times New Roman"/>
          <w:sz w:val="26"/>
          <w:szCs w:val="26"/>
          <w:u w:color="000000"/>
        </w:rPr>
        <w:t>Cabe indicar que el incremento en los periodos 2018 al 2020 obedece al comportamiento normal de consumo, teniendo en cuenta que la formulación se hace con una proyección. Además, para el 2020 el incremento reflejado obedece a que no se había contemplado dentro de la formulación el Impuesto al Valor Agregado, que según estimó el Departamento de Financiero Contable fue de ¢64,118,963.84.</w:t>
      </w:r>
    </w:p>
    <w:p w:rsidRPr="00F31A99" w:rsidR="00F31A99" w:rsidP="00F31A99" w:rsidRDefault="00F31A99" w14:paraId="0DFCDE8B" w14:textId="77777777">
      <w:pPr>
        <w:widowControl w:val="0"/>
        <w:autoSpaceDN w:val="0"/>
        <w:ind w:left="851" w:right="851" w:firstLine="709"/>
        <w:jc w:val="both"/>
        <w:rPr>
          <w:rFonts w:ascii="Times New Roman" w:hAnsi="Times New Roman" w:eastAsia="Calibri" w:cs="Times New Roman"/>
          <w:b/>
          <w:sz w:val="26"/>
          <w:szCs w:val="26"/>
          <w:u w:color="000000"/>
        </w:rPr>
      </w:pPr>
    </w:p>
    <w:p w:rsidRPr="00F31A99" w:rsidR="00F31A99" w:rsidP="00F31A99" w:rsidRDefault="00F31A99" w14:paraId="38F2365D" w14:textId="77777777">
      <w:pPr>
        <w:widowControl w:val="0"/>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1.1.3 Variación por programa 2021-2022</w:t>
      </w:r>
    </w:p>
    <w:p w:rsidRPr="00F31A99" w:rsidR="00F31A99" w:rsidP="00F31A99" w:rsidRDefault="00F31A99" w14:paraId="3F1C6CA5" w14:textId="77777777">
      <w:pPr>
        <w:widowControl w:val="0"/>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4080CE22"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Al realizar el análisis comparativo por programa presupuestario, se determina que el Programa 926 Dirección, Administración y Otros Órganos de Apoyo, es el que presenta el mayor incremento en la formulación de Servicio de Agua y Alcantarillado, teniendo una variación del 3.5%, seguido del Programa 930 con una variación del 2.5% y el Programa 927 con un 2.3%. </w:t>
      </w:r>
    </w:p>
    <w:p w:rsidRPr="00F31A99" w:rsidR="00F31A99" w:rsidP="00F31A99" w:rsidRDefault="00F31A99" w14:paraId="2870C02D"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08893F50"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En el siguiente cuadro se muestra el detalle de la variación para cada uno de los programas presupuestarios:</w:t>
      </w:r>
    </w:p>
    <w:p w:rsidRPr="00F31A99" w:rsidR="00F31A99" w:rsidP="00F31A99" w:rsidRDefault="00F31A99" w14:paraId="144EA60C" w14:textId="77777777">
      <w:pPr>
        <w:widowControl w:val="0"/>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2844E6DD" w14:textId="77777777">
      <w:pPr>
        <w:widowControl w:val="0"/>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lastRenderedPageBreak/>
        <w:t>Tabla 4. Porcentaje de variación por programa periodos 2020 – 2021</w:t>
      </w:r>
    </w:p>
    <w:p w:rsidRPr="00F31A99" w:rsidR="00F31A99" w:rsidP="00F31A99" w:rsidRDefault="00F31A99" w14:paraId="76597137" w14:textId="77777777">
      <w:pPr>
        <w:widowControl w:val="0"/>
        <w:autoSpaceDN w:val="0"/>
        <w:jc w:val="both"/>
        <w:rPr>
          <w:rFonts w:ascii="Times New Roman" w:hAnsi="Times New Roman" w:eastAsia="Calibri" w:cs="Times New Roman"/>
          <w:b/>
          <w:sz w:val="24"/>
          <w:u w:color="000000"/>
        </w:rPr>
      </w:pPr>
    </w:p>
    <w:tbl>
      <w:tblPr>
        <w:tblW w:w="92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039"/>
        <w:gridCol w:w="1392"/>
        <w:gridCol w:w="1318"/>
        <w:gridCol w:w="1254"/>
        <w:gridCol w:w="1141"/>
        <w:gridCol w:w="1074"/>
      </w:tblGrid>
      <w:tr w:rsidRPr="00F31A99" w:rsidR="00AE1B2B" w:rsidTr="00A306B2" w14:paraId="59FCDB64" w14:textId="77777777">
        <w:trPr>
          <w:trHeight w:val="454"/>
          <w:jc w:val="center"/>
        </w:trPr>
        <w:tc>
          <w:tcPr>
            <w:tcW w:w="3039" w:type="dxa"/>
            <w:shd w:val="clear" w:color="D9E1F2" w:fill="F2F2F2"/>
            <w:noWrap/>
            <w:vAlign w:val="center"/>
            <w:hideMark/>
          </w:tcPr>
          <w:p w:rsidRPr="00F31A99" w:rsidR="00F31A99" w:rsidP="00F31A99" w:rsidRDefault="00F31A99" w14:paraId="60594F61"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Programa</w:t>
            </w:r>
          </w:p>
        </w:tc>
        <w:tc>
          <w:tcPr>
            <w:tcW w:w="1392" w:type="dxa"/>
            <w:shd w:val="clear" w:color="D9E1F2" w:fill="F2F2F2"/>
            <w:noWrap/>
            <w:vAlign w:val="center"/>
            <w:hideMark/>
          </w:tcPr>
          <w:p w:rsidRPr="00F31A99" w:rsidR="00F31A99" w:rsidP="00F31A99" w:rsidRDefault="00F31A99" w14:paraId="5D471494"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Ejecución 2020</w:t>
            </w:r>
          </w:p>
        </w:tc>
        <w:tc>
          <w:tcPr>
            <w:tcW w:w="1318" w:type="dxa"/>
            <w:shd w:val="clear" w:color="D9E1F2" w:fill="F2F2F2"/>
            <w:noWrap/>
            <w:vAlign w:val="center"/>
            <w:hideMark/>
          </w:tcPr>
          <w:p w:rsidRPr="00F31A99" w:rsidR="00F31A99" w:rsidP="00F31A99" w:rsidRDefault="00F31A99" w14:paraId="0AED5187"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2021</w:t>
            </w:r>
          </w:p>
        </w:tc>
        <w:tc>
          <w:tcPr>
            <w:tcW w:w="1254" w:type="dxa"/>
            <w:shd w:val="clear" w:color="D9E1F2" w:fill="F2F2F2"/>
            <w:noWrap/>
            <w:vAlign w:val="center"/>
            <w:hideMark/>
          </w:tcPr>
          <w:p w:rsidRPr="00F31A99" w:rsidR="00F31A99" w:rsidP="00F31A99" w:rsidRDefault="00F31A99" w14:paraId="4D5D60C3"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2022</w:t>
            </w:r>
          </w:p>
        </w:tc>
        <w:tc>
          <w:tcPr>
            <w:tcW w:w="1141" w:type="dxa"/>
            <w:shd w:val="clear" w:color="D9E1F2" w:fill="F2F2F2"/>
            <w:noWrap/>
            <w:vAlign w:val="center"/>
            <w:hideMark/>
          </w:tcPr>
          <w:p w:rsidRPr="00F31A99" w:rsidR="00F31A99" w:rsidP="00F31A99" w:rsidRDefault="00F31A99" w14:paraId="125605F0"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Diferencia</w:t>
            </w:r>
          </w:p>
        </w:tc>
        <w:tc>
          <w:tcPr>
            <w:tcW w:w="1074" w:type="dxa"/>
            <w:shd w:val="clear" w:color="D9E1F2" w:fill="F2F2F2"/>
            <w:noWrap/>
            <w:vAlign w:val="center"/>
            <w:hideMark/>
          </w:tcPr>
          <w:p w:rsidRPr="00F31A99" w:rsidR="00F31A99" w:rsidP="00F31A99" w:rsidRDefault="00F31A99" w14:paraId="092E8DA6"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Variación %</w:t>
            </w:r>
          </w:p>
        </w:tc>
      </w:tr>
      <w:tr w:rsidRPr="00F31A99" w:rsidR="00AE1B2B" w:rsidTr="00A306B2" w14:paraId="57CF69D1" w14:textId="77777777">
        <w:trPr>
          <w:trHeight w:val="302"/>
          <w:jc w:val="center"/>
        </w:trPr>
        <w:tc>
          <w:tcPr>
            <w:tcW w:w="3039" w:type="dxa"/>
            <w:shd w:val="clear" w:color="auto" w:fill="auto"/>
            <w:noWrap/>
            <w:vAlign w:val="center"/>
            <w:hideMark/>
          </w:tcPr>
          <w:p w:rsidRPr="00F31A99" w:rsidR="00F31A99" w:rsidP="00F31A99" w:rsidRDefault="00F31A99" w14:paraId="54796D1C"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Dirección, Administración y Otros Órganos de Apoyo</w:t>
            </w:r>
          </w:p>
        </w:tc>
        <w:tc>
          <w:tcPr>
            <w:tcW w:w="1392" w:type="dxa"/>
            <w:shd w:val="clear" w:color="auto" w:fill="auto"/>
            <w:noWrap/>
            <w:vAlign w:val="center"/>
            <w:hideMark/>
          </w:tcPr>
          <w:p w:rsidRPr="00F31A99" w:rsidR="00F31A99" w:rsidP="00F31A99" w:rsidRDefault="00F31A99" w14:paraId="515BA695"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240,130,551</w:t>
            </w:r>
          </w:p>
        </w:tc>
        <w:tc>
          <w:tcPr>
            <w:tcW w:w="1318" w:type="dxa"/>
            <w:shd w:val="clear" w:color="auto" w:fill="auto"/>
            <w:noWrap/>
            <w:vAlign w:val="center"/>
            <w:hideMark/>
          </w:tcPr>
          <w:p w:rsidRPr="00F31A99" w:rsidR="00F31A99" w:rsidP="00F31A99" w:rsidRDefault="00F31A99" w14:paraId="4412930C"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164,697,705</w:t>
            </w:r>
          </w:p>
        </w:tc>
        <w:tc>
          <w:tcPr>
            <w:tcW w:w="1254" w:type="dxa"/>
            <w:shd w:val="clear" w:color="auto" w:fill="auto"/>
            <w:noWrap/>
            <w:vAlign w:val="center"/>
            <w:hideMark/>
          </w:tcPr>
          <w:p w:rsidRPr="00F31A99" w:rsidR="00F31A99" w:rsidP="00F31A99" w:rsidRDefault="00F31A99" w14:paraId="17A002F0"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170,414,893</w:t>
            </w:r>
          </w:p>
        </w:tc>
        <w:tc>
          <w:tcPr>
            <w:tcW w:w="1141" w:type="dxa"/>
            <w:shd w:val="clear" w:color="auto" w:fill="auto"/>
            <w:noWrap/>
            <w:vAlign w:val="center"/>
            <w:hideMark/>
          </w:tcPr>
          <w:p w:rsidRPr="00F31A99" w:rsidR="00F31A99" w:rsidP="00F31A99" w:rsidRDefault="00F31A99" w14:paraId="709D60EA"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5,717,188</w:t>
            </w:r>
          </w:p>
        </w:tc>
        <w:tc>
          <w:tcPr>
            <w:tcW w:w="1074" w:type="dxa"/>
            <w:shd w:val="clear" w:color="auto" w:fill="auto"/>
            <w:noWrap/>
            <w:vAlign w:val="center"/>
            <w:hideMark/>
          </w:tcPr>
          <w:p w:rsidRPr="00F31A99" w:rsidR="00F31A99" w:rsidP="00F31A99" w:rsidRDefault="00F31A99" w14:paraId="609BE5E5"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3.5%</w:t>
            </w:r>
          </w:p>
        </w:tc>
      </w:tr>
      <w:tr w:rsidRPr="00F31A99" w:rsidR="00AE1B2B" w:rsidTr="00A306B2" w14:paraId="4A9D7BEA" w14:textId="77777777">
        <w:trPr>
          <w:trHeight w:val="302"/>
          <w:jc w:val="center"/>
        </w:trPr>
        <w:tc>
          <w:tcPr>
            <w:tcW w:w="3039" w:type="dxa"/>
            <w:shd w:val="clear" w:color="auto" w:fill="auto"/>
            <w:noWrap/>
            <w:vAlign w:val="center"/>
            <w:hideMark/>
          </w:tcPr>
          <w:p w:rsidRPr="00F31A99" w:rsidR="00F31A99" w:rsidP="00F31A99" w:rsidRDefault="00F31A99" w14:paraId="4B1B58C8"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Servicio Jurisdiccional</w:t>
            </w:r>
          </w:p>
        </w:tc>
        <w:tc>
          <w:tcPr>
            <w:tcW w:w="1392" w:type="dxa"/>
            <w:shd w:val="clear" w:color="auto" w:fill="auto"/>
            <w:noWrap/>
            <w:vAlign w:val="center"/>
            <w:hideMark/>
          </w:tcPr>
          <w:p w:rsidRPr="00F31A99" w:rsidR="00F31A99" w:rsidP="00F31A99" w:rsidRDefault="00F31A99" w14:paraId="7329D309"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342,931,991</w:t>
            </w:r>
          </w:p>
        </w:tc>
        <w:tc>
          <w:tcPr>
            <w:tcW w:w="1318" w:type="dxa"/>
            <w:shd w:val="clear" w:color="auto" w:fill="auto"/>
            <w:noWrap/>
            <w:vAlign w:val="center"/>
            <w:hideMark/>
          </w:tcPr>
          <w:p w:rsidRPr="00F31A99" w:rsidR="00F31A99" w:rsidP="00F31A99" w:rsidRDefault="00F31A99" w14:paraId="2691ED11"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331,766,723</w:t>
            </w:r>
          </w:p>
        </w:tc>
        <w:tc>
          <w:tcPr>
            <w:tcW w:w="1254" w:type="dxa"/>
            <w:shd w:val="clear" w:color="auto" w:fill="auto"/>
            <w:noWrap/>
            <w:vAlign w:val="center"/>
            <w:hideMark/>
          </w:tcPr>
          <w:p w:rsidRPr="00F31A99" w:rsidR="00F31A99" w:rsidP="00F31A99" w:rsidRDefault="00F31A99" w14:paraId="47407520"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339,310,777</w:t>
            </w:r>
          </w:p>
        </w:tc>
        <w:tc>
          <w:tcPr>
            <w:tcW w:w="1141" w:type="dxa"/>
            <w:shd w:val="clear" w:color="auto" w:fill="auto"/>
            <w:noWrap/>
            <w:vAlign w:val="center"/>
            <w:hideMark/>
          </w:tcPr>
          <w:p w:rsidRPr="00F31A99" w:rsidR="00F31A99" w:rsidP="00F31A99" w:rsidRDefault="00F31A99" w14:paraId="0EDA1F33"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7,544,054</w:t>
            </w:r>
          </w:p>
        </w:tc>
        <w:tc>
          <w:tcPr>
            <w:tcW w:w="1074" w:type="dxa"/>
            <w:shd w:val="clear" w:color="auto" w:fill="auto"/>
            <w:noWrap/>
            <w:vAlign w:val="center"/>
            <w:hideMark/>
          </w:tcPr>
          <w:p w:rsidRPr="00F31A99" w:rsidR="00F31A99" w:rsidP="00F31A99" w:rsidRDefault="00F31A99" w14:paraId="60EBA172"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2.3%</w:t>
            </w:r>
          </w:p>
        </w:tc>
      </w:tr>
      <w:tr w:rsidRPr="00F31A99" w:rsidR="00AE1B2B" w:rsidTr="00A306B2" w14:paraId="5E8E4AAA" w14:textId="77777777">
        <w:trPr>
          <w:trHeight w:val="302"/>
          <w:jc w:val="center"/>
        </w:trPr>
        <w:tc>
          <w:tcPr>
            <w:tcW w:w="3039" w:type="dxa"/>
            <w:shd w:val="clear" w:color="auto" w:fill="auto"/>
            <w:noWrap/>
            <w:vAlign w:val="center"/>
            <w:hideMark/>
          </w:tcPr>
          <w:p w:rsidRPr="00F31A99" w:rsidR="00F31A99" w:rsidP="00F31A99" w:rsidRDefault="00F31A99" w14:paraId="16A79042"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Organismo de Investigación Judicial</w:t>
            </w:r>
          </w:p>
        </w:tc>
        <w:tc>
          <w:tcPr>
            <w:tcW w:w="1392" w:type="dxa"/>
            <w:shd w:val="clear" w:color="auto" w:fill="auto"/>
            <w:noWrap/>
            <w:vAlign w:val="center"/>
            <w:hideMark/>
          </w:tcPr>
          <w:p w:rsidRPr="00F31A99" w:rsidR="00F31A99" w:rsidP="00F31A99" w:rsidRDefault="00F31A99" w14:paraId="3555FC0F"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211,134,499</w:t>
            </w:r>
          </w:p>
        </w:tc>
        <w:tc>
          <w:tcPr>
            <w:tcW w:w="1318" w:type="dxa"/>
            <w:shd w:val="clear" w:color="auto" w:fill="auto"/>
            <w:noWrap/>
            <w:vAlign w:val="center"/>
            <w:hideMark/>
          </w:tcPr>
          <w:p w:rsidRPr="00F31A99" w:rsidR="00F31A99" w:rsidP="00F31A99" w:rsidRDefault="00F31A99" w14:paraId="3EB39B40"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180,493,665</w:t>
            </w:r>
          </w:p>
        </w:tc>
        <w:tc>
          <w:tcPr>
            <w:tcW w:w="1254" w:type="dxa"/>
            <w:shd w:val="clear" w:color="auto" w:fill="auto"/>
            <w:noWrap/>
            <w:vAlign w:val="center"/>
            <w:hideMark/>
          </w:tcPr>
          <w:p w:rsidRPr="00F31A99" w:rsidR="00F31A99" w:rsidP="00F31A99" w:rsidRDefault="00F31A99" w14:paraId="0B57AAE3"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180,242,275</w:t>
            </w:r>
          </w:p>
        </w:tc>
        <w:tc>
          <w:tcPr>
            <w:tcW w:w="1141" w:type="dxa"/>
            <w:shd w:val="clear" w:color="auto" w:fill="auto"/>
            <w:noWrap/>
            <w:vAlign w:val="center"/>
            <w:hideMark/>
          </w:tcPr>
          <w:p w:rsidRPr="00F31A99" w:rsidR="00F31A99" w:rsidP="00F31A99" w:rsidRDefault="00F31A99" w14:paraId="3D4388A1"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- 251,390</w:t>
            </w:r>
          </w:p>
        </w:tc>
        <w:tc>
          <w:tcPr>
            <w:tcW w:w="1074" w:type="dxa"/>
            <w:shd w:val="clear" w:color="auto" w:fill="auto"/>
            <w:noWrap/>
            <w:vAlign w:val="center"/>
            <w:hideMark/>
          </w:tcPr>
          <w:p w:rsidRPr="00F31A99" w:rsidR="00F31A99" w:rsidP="00F31A99" w:rsidRDefault="00F31A99" w14:paraId="62DD4ADF"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-0.1%</w:t>
            </w:r>
          </w:p>
        </w:tc>
      </w:tr>
      <w:tr w:rsidRPr="00F31A99" w:rsidR="00AE1B2B" w:rsidTr="00A306B2" w14:paraId="77DB8487" w14:textId="77777777">
        <w:trPr>
          <w:trHeight w:val="302"/>
          <w:jc w:val="center"/>
        </w:trPr>
        <w:tc>
          <w:tcPr>
            <w:tcW w:w="3039" w:type="dxa"/>
            <w:shd w:val="clear" w:color="auto" w:fill="auto"/>
            <w:noWrap/>
            <w:vAlign w:val="center"/>
            <w:hideMark/>
          </w:tcPr>
          <w:p w:rsidRPr="00F31A99" w:rsidR="00F31A99" w:rsidP="00F31A99" w:rsidRDefault="00F31A99" w14:paraId="13D34D0D"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Ministerio Público</w:t>
            </w:r>
          </w:p>
        </w:tc>
        <w:tc>
          <w:tcPr>
            <w:tcW w:w="1392" w:type="dxa"/>
            <w:shd w:val="clear" w:color="auto" w:fill="auto"/>
            <w:noWrap/>
            <w:vAlign w:val="center"/>
            <w:hideMark/>
          </w:tcPr>
          <w:p w:rsidRPr="00F31A99" w:rsidR="00F31A99" w:rsidP="00F31A99" w:rsidRDefault="00F31A99" w14:paraId="2C3FB7C7"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94,440,140</w:t>
            </w:r>
          </w:p>
        </w:tc>
        <w:tc>
          <w:tcPr>
            <w:tcW w:w="1318" w:type="dxa"/>
            <w:shd w:val="clear" w:color="auto" w:fill="auto"/>
            <w:noWrap/>
            <w:vAlign w:val="center"/>
            <w:hideMark/>
          </w:tcPr>
          <w:p w:rsidRPr="00F31A99" w:rsidR="00F31A99" w:rsidP="00F31A99" w:rsidRDefault="00F31A99" w14:paraId="237A0EC8"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115,536,011</w:t>
            </w:r>
          </w:p>
        </w:tc>
        <w:tc>
          <w:tcPr>
            <w:tcW w:w="1254" w:type="dxa"/>
            <w:shd w:val="clear" w:color="auto" w:fill="auto"/>
            <w:noWrap/>
            <w:vAlign w:val="center"/>
            <w:hideMark/>
          </w:tcPr>
          <w:p w:rsidRPr="00F31A99" w:rsidR="00F31A99" w:rsidP="00F31A99" w:rsidRDefault="00F31A99" w14:paraId="1C95DF0F"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116,037,470</w:t>
            </w:r>
          </w:p>
        </w:tc>
        <w:tc>
          <w:tcPr>
            <w:tcW w:w="1141" w:type="dxa"/>
            <w:shd w:val="clear" w:color="auto" w:fill="auto"/>
            <w:noWrap/>
            <w:vAlign w:val="center"/>
            <w:hideMark/>
          </w:tcPr>
          <w:p w:rsidRPr="00F31A99" w:rsidR="00F31A99" w:rsidP="00F31A99" w:rsidRDefault="00F31A99" w14:paraId="3C9AF21B"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501,459</w:t>
            </w:r>
          </w:p>
        </w:tc>
        <w:tc>
          <w:tcPr>
            <w:tcW w:w="1074" w:type="dxa"/>
            <w:shd w:val="clear" w:color="auto" w:fill="auto"/>
            <w:noWrap/>
            <w:vAlign w:val="center"/>
            <w:hideMark/>
          </w:tcPr>
          <w:p w:rsidRPr="00F31A99" w:rsidR="00F31A99" w:rsidP="00F31A99" w:rsidRDefault="00F31A99" w14:paraId="1F46BD5E"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0.4%</w:t>
            </w:r>
          </w:p>
        </w:tc>
      </w:tr>
      <w:tr w:rsidRPr="00F31A99" w:rsidR="00AE1B2B" w:rsidTr="00A306B2" w14:paraId="3358A80F" w14:textId="77777777">
        <w:trPr>
          <w:trHeight w:val="302"/>
          <w:jc w:val="center"/>
        </w:trPr>
        <w:tc>
          <w:tcPr>
            <w:tcW w:w="3039" w:type="dxa"/>
            <w:shd w:val="clear" w:color="auto" w:fill="auto"/>
            <w:noWrap/>
            <w:vAlign w:val="center"/>
            <w:hideMark/>
          </w:tcPr>
          <w:p w:rsidRPr="00F31A99" w:rsidR="00F31A99" w:rsidP="00F31A99" w:rsidRDefault="00F31A99" w14:paraId="3B7836E3"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Defensa Pública</w:t>
            </w:r>
          </w:p>
        </w:tc>
        <w:tc>
          <w:tcPr>
            <w:tcW w:w="1392" w:type="dxa"/>
            <w:shd w:val="clear" w:color="auto" w:fill="auto"/>
            <w:noWrap/>
            <w:vAlign w:val="center"/>
            <w:hideMark/>
          </w:tcPr>
          <w:p w:rsidRPr="00F31A99" w:rsidR="00F31A99" w:rsidP="00F31A99" w:rsidRDefault="00F31A99" w14:paraId="0DDE8872"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40,189,101</w:t>
            </w:r>
          </w:p>
        </w:tc>
        <w:tc>
          <w:tcPr>
            <w:tcW w:w="1318" w:type="dxa"/>
            <w:shd w:val="clear" w:color="auto" w:fill="auto"/>
            <w:noWrap/>
            <w:vAlign w:val="center"/>
            <w:hideMark/>
          </w:tcPr>
          <w:p w:rsidRPr="00F31A99" w:rsidR="00F31A99" w:rsidP="00F31A99" w:rsidRDefault="00F31A99" w14:paraId="2D25390F"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57,404,665</w:t>
            </w:r>
          </w:p>
        </w:tc>
        <w:tc>
          <w:tcPr>
            <w:tcW w:w="1254" w:type="dxa"/>
            <w:shd w:val="clear" w:color="auto" w:fill="auto"/>
            <w:noWrap/>
            <w:vAlign w:val="center"/>
            <w:hideMark/>
          </w:tcPr>
          <w:p w:rsidRPr="00F31A99" w:rsidR="00F31A99" w:rsidP="00F31A99" w:rsidRDefault="00F31A99" w14:paraId="080ABE68"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58,855,846</w:t>
            </w:r>
          </w:p>
        </w:tc>
        <w:tc>
          <w:tcPr>
            <w:tcW w:w="1141" w:type="dxa"/>
            <w:shd w:val="clear" w:color="auto" w:fill="auto"/>
            <w:noWrap/>
            <w:vAlign w:val="center"/>
            <w:hideMark/>
          </w:tcPr>
          <w:p w:rsidRPr="00F31A99" w:rsidR="00F31A99" w:rsidP="00F31A99" w:rsidRDefault="00F31A99" w14:paraId="1F3759F9"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1,451,181</w:t>
            </w:r>
          </w:p>
        </w:tc>
        <w:tc>
          <w:tcPr>
            <w:tcW w:w="1074" w:type="dxa"/>
            <w:shd w:val="clear" w:color="auto" w:fill="auto"/>
            <w:noWrap/>
            <w:vAlign w:val="center"/>
            <w:hideMark/>
          </w:tcPr>
          <w:p w:rsidRPr="00F31A99" w:rsidR="00F31A99" w:rsidP="00F31A99" w:rsidRDefault="00F31A99" w14:paraId="29837628"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2.5%</w:t>
            </w:r>
          </w:p>
        </w:tc>
      </w:tr>
      <w:tr w:rsidRPr="00F31A99" w:rsidR="00AE1B2B" w:rsidTr="00A306B2" w14:paraId="401AF28E" w14:textId="77777777">
        <w:trPr>
          <w:trHeight w:val="302"/>
          <w:jc w:val="center"/>
        </w:trPr>
        <w:tc>
          <w:tcPr>
            <w:tcW w:w="3039" w:type="dxa"/>
            <w:shd w:val="clear" w:color="auto" w:fill="auto"/>
            <w:noWrap/>
            <w:vAlign w:val="center"/>
            <w:hideMark/>
          </w:tcPr>
          <w:p w:rsidRPr="00F31A99" w:rsidR="00F31A99" w:rsidP="00F31A99" w:rsidRDefault="00F31A99" w14:paraId="6B3424E2"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Serv. Atenc - Protec Víctimas y Testigos</w:t>
            </w:r>
          </w:p>
        </w:tc>
        <w:tc>
          <w:tcPr>
            <w:tcW w:w="1392" w:type="dxa"/>
            <w:shd w:val="clear" w:color="auto" w:fill="auto"/>
            <w:noWrap/>
            <w:vAlign w:val="center"/>
            <w:hideMark/>
          </w:tcPr>
          <w:p w:rsidRPr="00F31A99" w:rsidR="00F31A99" w:rsidP="00F31A99" w:rsidRDefault="00F31A99" w14:paraId="4A77DF59"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15,918,789</w:t>
            </w:r>
          </w:p>
        </w:tc>
        <w:tc>
          <w:tcPr>
            <w:tcW w:w="1318" w:type="dxa"/>
            <w:shd w:val="clear" w:color="auto" w:fill="auto"/>
            <w:noWrap/>
            <w:vAlign w:val="center"/>
            <w:hideMark/>
          </w:tcPr>
          <w:p w:rsidRPr="00F31A99" w:rsidR="00F31A99" w:rsidP="00F31A99" w:rsidRDefault="00F31A99" w14:paraId="73C02CE0"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13,291,025</w:t>
            </w:r>
          </w:p>
        </w:tc>
        <w:tc>
          <w:tcPr>
            <w:tcW w:w="1254" w:type="dxa"/>
            <w:shd w:val="clear" w:color="auto" w:fill="auto"/>
            <w:noWrap/>
            <w:vAlign w:val="center"/>
            <w:hideMark/>
          </w:tcPr>
          <w:p w:rsidRPr="00F31A99" w:rsidR="00F31A99" w:rsidP="00F31A99" w:rsidRDefault="00F31A99" w14:paraId="2E867B85"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13,493,424</w:t>
            </w:r>
          </w:p>
        </w:tc>
        <w:tc>
          <w:tcPr>
            <w:tcW w:w="1141" w:type="dxa"/>
            <w:shd w:val="clear" w:color="auto" w:fill="auto"/>
            <w:noWrap/>
            <w:vAlign w:val="center"/>
            <w:hideMark/>
          </w:tcPr>
          <w:p w:rsidRPr="00F31A99" w:rsidR="00F31A99" w:rsidP="00F31A99" w:rsidRDefault="00F31A99" w14:paraId="783D77C0"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202,399</w:t>
            </w:r>
          </w:p>
        </w:tc>
        <w:tc>
          <w:tcPr>
            <w:tcW w:w="1074" w:type="dxa"/>
            <w:shd w:val="clear" w:color="auto" w:fill="auto"/>
            <w:noWrap/>
            <w:vAlign w:val="center"/>
            <w:hideMark/>
          </w:tcPr>
          <w:p w:rsidRPr="00F31A99" w:rsidR="00F31A99" w:rsidP="00F31A99" w:rsidRDefault="00F31A99" w14:paraId="69280A2B"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1.5%</w:t>
            </w:r>
          </w:p>
        </w:tc>
      </w:tr>
      <w:tr w:rsidRPr="00F31A99" w:rsidR="00AE1B2B" w:rsidTr="00A306B2" w14:paraId="7C9700DA" w14:textId="77777777">
        <w:trPr>
          <w:trHeight w:val="302"/>
          <w:jc w:val="center"/>
        </w:trPr>
        <w:tc>
          <w:tcPr>
            <w:tcW w:w="3039" w:type="dxa"/>
            <w:shd w:val="clear" w:color="D9E1F2" w:fill="F2F2F2"/>
            <w:noWrap/>
            <w:vAlign w:val="center"/>
            <w:hideMark/>
          </w:tcPr>
          <w:p w:rsidRPr="00F31A99" w:rsidR="00F31A99" w:rsidP="00F31A99" w:rsidRDefault="00F31A99" w14:paraId="64D810BE"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Total general</w:t>
            </w:r>
          </w:p>
        </w:tc>
        <w:tc>
          <w:tcPr>
            <w:tcW w:w="1392" w:type="dxa"/>
            <w:shd w:val="clear" w:color="D9E1F2" w:fill="F2F2F2"/>
            <w:noWrap/>
            <w:vAlign w:val="center"/>
            <w:hideMark/>
          </w:tcPr>
          <w:p w:rsidRPr="00F31A99" w:rsidR="00F31A99" w:rsidP="00F31A99" w:rsidRDefault="00F31A99" w14:paraId="50073D16"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Calibri" w:cs="Times New Roman"/>
                <w:b/>
                <w:bCs/>
                <w:u w:color="000000"/>
              </w:rPr>
              <w:t>944,745,071</w:t>
            </w:r>
          </w:p>
        </w:tc>
        <w:tc>
          <w:tcPr>
            <w:tcW w:w="1318" w:type="dxa"/>
            <w:shd w:val="clear" w:color="D9E1F2" w:fill="F2F2F2"/>
            <w:noWrap/>
            <w:vAlign w:val="center"/>
            <w:hideMark/>
          </w:tcPr>
          <w:p w:rsidRPr="00F31A99" w:rsidR="00F31A99" w:rsidP="00F31A99" w:rsidRDefault="00F31A99" w14:paraId="40BF5CB1"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Calibri" w:cs="Times New Roman"/>
                <w:b/>
                <w:bCs/>
                <w:u w:color="000000"/>
              </w:rPr>
              <w:t>863,189,794</w:t>
            </w:r>
          </w:p>
        </w:tc>
        <w:tc>
          <w:tcPr>
            <w:tcW w:w="1254" w:type="dxa"/>
            <w:shd w:val="clear" w:color="D9E1F2" w:fill="F2F2F2"/>
            <w:noWrap/>
            <w:vAlign w:val="center"/>
            <w:hideMark/>
          </w:tcPr>
          <w:p w:rsidRPr="00F31A99" w:rsidR="00F31A99" w:rsidP="00F31A99" w:rsidRDefault="00F31A99" w14:paraId="0853DB21"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Calibri" w:cs="Times New Roman"/>
                <w:b/>
                <w:bCs/>
                <w:u w:color="000000"/>
              </w:rPr>
              <w:t>878,354,685</w:t>
            </w:r>
          </w:p>
        </w:tc>
        <w:tc>
          <w:tcPr>
            <w:tcW w:w="1141" w:type="dxa"/>
            <w:shd w:val="clear" w:color="D9E1F2" w:fill="F2F2F2"/>
            <w:noWrap/>
            <w:vAlign w:val="center"/>
            <w:hideMark/>
          </w:tcPr>
          <w:p w:rsidRPr="00F31A99" w:rsidR="00F31A99" w:rsidP="00F31A99" w:rsidRDefault="00F31A99" w14:paraId="140A38E3"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Calibri" w:cs="Times New Roman"/>
                <w:b/>
                <w:bCs/>
                <w:u w:color="000000"/>
              </w:rPr>
              <w:t>15,164,891</w:t>
            </w:r>
          </w:p>
        </w:tc>
        <w:tc>
          <w:tcPr>
            <w:tcW w:w="1074" w:type="dxa"/>
            <w:shd w:val="clear" w:color="D9E1F2" w:fill="F2F2F2"/>
            <w:noWrap/>
            <w:vAlign w:val="center"/>
            <w:hideMark/>
          </w:tcPr>
          <w:p w:rsidRPr="00F31A99" w:rsidR="00F31A99" w:rsidP="00F31A99" w:rsidRDefault="00F31A99" w14:paraId="67352345"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Calibri" w:cs="Times New Roman"/>
                <w:b/>
                <w:bCs/>
                <w:u w:color="000000"/>
              </w:rPr>
              <w:t>1.8%</w:t>
            </w:r>
          </w:p>
        </w:tc>
      </w:tr>
    </w:tbl>
    <w:p w:rsidRPr="00F31A99" w:rsidR="00F31A99" w:rsidP="00F31A99" w:rsidRDefault="00F31A99" w14:paraId="4808B5E3" w14:textId="77777777">
      <w:pPr>
        <w:widowControl w:val="0"/>
        <w:autoSpaceDN w:val="0"/>
        <w:rPr>
          <w:rFonts w:ascii="Times New Roman" w:hAnsi="Times New Roman" w:eastAsia="Calibri" w:cs="Times New Roman"/>
          <w:bCs/>
          <w:sz w:val="18"/>
          <w:szCs w:val="18"/>
          <w:u w:color="000000"/>
        </w:rPr>
      </w:pPr>
    </w:p>
    <w:p w:rsidRPr="00F31A99" w:rsidR="00F31A99" w:rsidP="00F31A99" w:rsidRDefault="00F31A99" w14:paraId="1136A7B3" w14:textId="77777777">
      <w:pPr>
        <w:widowControl w:val="0"/>
        <w:autoSpaceDN w:val="0"/>
        <w:ind w:firstLine="709"/>
        <w:rPr>
          <w:rFonts w:ascii="Times New Roman" w:hAnsi="Times New Roman" w:eastAsia="Calibri" w:cs="Times New Roman"/>
          <w:bCs/>
          <w:sz w:val="16"/>
          <w:szCs w:val="16"/>
          <w:u w:color="000000"/>
        </w:rPr>
      </w:pPr>
      <w:r w:rsidRPr="00F31A99">
        <w:rPr>
          <w:rFonts w:ascii="Times New Roman" w:hAnsi="Times New Roman" w:eastAsia="Calibri" w:cs="Times New Roman"/>
          <w:bCs/>
          <w:sz w:val="16"/>
          <w:szCs w:val="16"/>
          <w:u w:color="000000"/>
        </w:rPr>
        <w:t>Fuente: SIGA PJ</w:t>
      </w:r>
    </w:p>
    <w:p w:rsidRPr="00F31A99" w:rsidR="00F31A99" w:rsidP="00F31A99" w:rsidRDefault="00F31A99" w14:paraId="78CC3685" w14:textId="77777777">
      <w:pPr>
        <w:widowControl w:val="0"/>
        <w:autoSpaceDN w:val="0"/>
        <w:jc w:val="both"/>
        <w:rPr>
          <w:rFonts w:ascii="Times New Roman" w:hAnsi="Times New Roman" w:eastAsia="Calibri" w:cs="Times New Roman"/>
          <w:bCs/>
          <w:sz w:val="24"/>
          <w:u w:color="000000"/>
        </w:rPr>
      </w:pPr>
    </w:p>
    <w:p w:rsidRPr="00F31A99" w:rsidR="00F31A99" w:rsidP="00F31A99" w:rsidRDefault="00F31A99" w14:paraId="4D548ADF" w14:textId="77777777">
      <w:pPr>
        <w:widowControl w:val="0"/>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En lo que concierne a los programas 950 y 929 la variación en el servicio de agua y alcantarillado fue de 1.5% y 0.4% respectivamente. En cuanto al programa 928 es el único que presentó una disminución de -0.1% en relación con lo formulado entre el 2021 y 2022.</w:t>
      </w:r>
    </w:p>
    <w:p w:rsidRPr="00F31A99" w:rsidR="00F31A99" w:rsidP="00F31A99" w:rsidRDefault="00F31A99" w14:paraId="3F605EE9" w14:textId="77777777">
      <w:pPr>
        <w:widowControl w:val="0"/>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6F25D893" w14:textId="77777777">
      <w:pPr>
        <w:widowControl w:val="0"/>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Figura N° 2. Distribución de recursos por programa, para la subpartida 10201 Servicio de Agua y Alcantarillado.</w:t>
      </w:r>
    </w:p>
    <w:p w:rsidRPr="00F31A99" w:rsidR="00F31A99" w:rsidP="00F31A99" w:rsidRDefault="00F31A99" w14:paraId="19F267A1" w14:textId="77777777">
      <w:pPr>
        <w:widowControl w:val="0"/>
        <w:autoSpaceDN w:val="0"/>
        <w:rPr>
          <w:rFonts w:ascii="Times New Roman" w:hAnsi="Times New Roman" w:eastAsia="Calibri" w:cs="Times New Roman"/>
          <w:b/>
          <w:sz w:val="24"/>
          <w:u w:color="000000"/>
        </w:rPr>
      </w:pPr>
    </w:p>
    <w:p w:rsidRPr="00F31A99" w:rsidR="00F31A99" w:rsidP="00F31A99" w:rsidRDefault="00F31A99" w14:paraId="037E5872" w14:textId="77777777">
      <w:pPr>
        <w:widowControl w:val="0"/>
        <w:autoSpaceDN w:val="0"/>
        <w:jc w:val="center"/>
        <w:rPr>
          <w:rFonts w:ascii="Times New Roman" w:hAnsi="Times New Roman" w:eastAsia="Calibri" w:cs="Times New Roman"/>
          <w:bCs/>
          <w:sz w:val="24"/>
          <w:u w:color="000000"/>
        </w:rPr>
      </w:pPr>
      <w:r w:rsidRPr="00F31A99">
        <w:rPr>
          <w:rFonts w:ascii="Times New Roman" w:hAnsi="Times New Roman" w:eastAsia="Calibri" w:cs="Times New Roman"/>
          <w:noProof/>
          <w:u w:color="000000"/>
          <w:lang w:eastAsia="es-MX"/>
        </w:rPr>
        <w:drawing>
          <wp:inline distT="0" distB="0" distL="0" distR="0" wp14:anchorId="7BFAE9F6" wp14:editId="63EE6BA4">
            <wp:extent cx="4791075" cy="1990725"/>
            <wp:effectExtent l="0" t="0" r="9525" b="9525"/>
            <wp:docPr id="127" name="Gráfico 127">
              <a:extLst xmlns:a="http://schemas.openxmlformats.org/drawingml/2006/main">
                <a:ext uri="{FF2B5EF4-FFF2-40B4-BE49-F238E27FC236}">
                  <a16:creationId xmlns:a16="http://schemas.microsoft.com/office/drawing/2014/main" id="{2DA17E6B-B7AB-4080-AB13-C409208F05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Pr="00F31A99" w:rsidR="00F31A99" w:rsidP="00F31A99" w:rsidRDefault="00F31A99" w14:paraId="2113AF6F" w14:textId="77777777">
      <w:pPr>
        <w:widowControl w:val="0"/>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0B3DFAA3" w14:textId="77777777">
      <w:pPr>
        <w:widowControl w:val="0"/>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Según se muestra en la figura N° 2, el programa 927 Servicio Jurisdiccional, es el que formula la mayor cantidad de recursos para el periodo 2022, con un total de ¢339.310.777, lo que representa un </w:t>
      </w:r>
      <w:r w:rsidRPr="00F31A99">
        <w:rPr>
          <w:rFonts w:ascii="Times New Roman" w:hAnsi="Times New Roman" w:eastAsia="Calibri" w:cs="Times New Roman"/>
          <w:bCs/>
          <w:sz w:val="26"/>
          <w:szCs w:val="26"/>
          <w:u w:color="000000"/>
        </w:rPr>
        <w:lastRenderedPageBreak/>
        <w:t>39% del total de los recursos de la subpartida. Por otra parte, el Programa 928 y 926 representan un 21% y 19% de los recursos.</w:t>
      </w:r>
    </w:p>
    <w:p w:rsidRPr="00F31A99" w:rsidR="00F31A99" w:rsidP="00F31A99" w:rsidRDefault="00F31A99" w14:paraId="63C4F35D" w14:textId="77777777">
      <w:pPr>
        <w:widowControl w:val="0"/>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15B920D0" w14:textId="77777777">
      <w:pPr>
        <w:widowControl w:val="0"/>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En un menor porcentaje los programas 929, 930 y 950 representan un 21% del total de recursos formulados.</w:t>
      </w:r>
    </w:p>
    <w:p w:rsidRPr="00F31A99" w:rsidR="00F31A99" w:rsidP="00F31A99" w:rsidRDefault="00F31A99" w14:paraId="7A2C7FDC" w14:textId="77777777">
      <w:pPr>
        <w:widowControl w:val="0"/>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183212E3" w14:textId="77777777">
      <w:pPr>
        <w:widowControl w:val="0"/>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1.1.4 Distribución por Centro de Responsabilidad</w:t>
      </w:r>
    </w:p>
    <w:p w:rsidRPr="00F31A99" w:rsidR="00F31A99" w:rsidP="00F31A99" w:rsidRDefault="00F31A99" w14:paraId="540B3A99" w14:textId="77777777">
      <w:pPr>
        <w:widowControl w:val="0"/>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4DD3D8E5" w14:textId="77777777">
      <w:pPr>
        <w:widowControl w:val="0"/>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Centros de responsabilidad con los montos más representativos dentro de la subpartida.</w:t>
      </w:r>
    </w:p>
    <w:p w:rsidRPr="00F31A99" w:rsidR="00F31A99" w:rsidP="00F31A99" w:rsidRDefault="00F31A99" w14:paraId="5334B6D0" w14:textId="77777777">
      <w:pPr>
        <w:widowControl w:val="0"/>
        <w:autoSpaceDN w:val="0"/>
        <w:jc w:val="both"/>
        <w:rPr>
          <w:rFonts w:ascii="Times New Roman" w:hAnsi="Times New Roman" w:eastAsia="Calibri" w:cs="Times New Roman"/>
          <w:bCs/>
          <w:sz w:val="24"/>
          <w:u w:color="000000"/>
        </w:rPr>
      </w:pPr>
    </w:p>
    <w:p w:rsidRPr="00F31A99" w:rsidR="00F31A99" w:rsidP="00F31A99" w:rsidRDefault="00F31A99" w14:paraId="28561970" w14:textId="77777777">
      <w:pPr>
        <w:widowControl w:val="0"/>
        <w:autoSpaceDN w:val="0"/>
        <w:ind w:left="851" w:right="851" w:firstLine="709"/>
        <w:jc w:val="both"/>
        <w:rPr>
          <w:rFonts w:ascii="Times New Roman" w:hAnsi="Times New Roman" w:eastAsia="Calibri" w:cs="Times New Roman"/>
          <w:bCs/>
          <w:szCs w:val="20"/>
          <w:u w:color="000000"/>
        </w:rPr>
      </w:pPr>
      <w:r w:rsidRPr="00F31A99">
        <w:rPr>
          <w:rFonts w:ascii="Times New Roman" w:hAnsi="Times New Roman" w:eastAsia="Calibri" w:cs="Times New Roman"/>
          <w:b/>
          <w:sz w:val="26"/>
          <w:szCs w:val="26"/>
          <w:u w:color="000000"/>
        </w:rPr>
        <w:t>Tabla 5. Distribución de la subpartida por Centro de Responsabilidad Periodos 2021 – 2022</w:t>
      </w:r>
      <w:r w:rsidRPr="00F31A99">
        <w:rPr>
          <w:rFonts w:ascii="Times New Roman" w:hAnsi="Times New Roman" w:eastAsia="Calibri" w:cs="Times New Roman"/>
          <w:bCs/>
          <w:szCs w:val="20"/>
          <w:u w:color="000000"/>
        </w:rPr>
        <w:t xml:space="preserve"> </w:t>
      </w:r>
    </w:p>
    <w:p w:rsidRPr="00F31A99" w:rsidR="00F31A99" w:rsidP="00F31A99" w:rsidRDefault="00F31A99" w14:paraId="0A1AA94B" w14:textId="77777777">
      <w:pPr>
        <w:widowControl w:val="0"/>
        <w:autoSpaceDN w:val="0"/>
        <w:ind w:left="851" w:right="851" w:firstLine="709"/>
        <w:jc w:val="both"/>
        <w:rPr>
          <w:rFonts w:ascii="Times New Roman" w:hAnsi="Times New Roman" w:eastAsia="Calibri" w:cs="Times New Roman"/>
          <w:bCs/>
          <w:sz w:val="16"/>
          <w:szCs w:val="16"/>
          <w:u w:color="000000"/>
        </w:rPr>
      </w:pPr>
      <w:r w:rsidRPr="00F31A99">
        <w:rPr>
          <w:rFonts w:ascii="Times New Roman" w:hAnsi="Times New Roman" w:eastAsia="Calibri" w:cs="Times New Roman"/>
          <w:bCs/>
          <w:szCs w:val="20"/>
          <w:u w:color="000000"/>
        </w:rPr>
        <w:t xml:space="preserve"> </w:t>
      </w:r>
    </w:p>
    <w:tbl>
      <w:tblPr>
        <w:tblW w:w="95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4647"/>
        <w:gridCol w:w="1804"/>
        <w:gridCol w:w="1531"/>
        <w:gridCol w:w="1595"/>
      </w:tblGrid>
      <w:tr w:rsidRPr="00F31A99" w:rsidR="00AE1B2B" w:rsidTr="00A306B2" w14:paraId="1FBB58C3" w14:textId="77777777">
        <w:trPr>
          <w:trHeight w:val="339"/>
          <w:jc w:val="center"/>
        </w:trPr>
        <w:tc>
          <w:tcPr>
            <w:tcW w:w="4647" w:type="dxa"/>
            <w:shd w:val="clear" w:color="000000" w:fill="F2F2F2"/>
            <w:noWrap/>
            <w:vAlign w:val="center"/>
            <w:hideMark/>
          </w:tcPr>
          <w:p w:rsidRPr="00F31A99" w:rsidR="00F31A99" w:rsidP="00F31A99" w:rsidRDefault="00F31A99" w14:paraId="3BDD604A"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Centro de Responsabilidad</w:t>
            </w:r>
          </w:p>
        </w:tc>
        <w:tc>
          <w:tcPr>
            <w:tcW w:w="1804" w:type="dxa"/>
            <w:shd w:val="clear" w:color="000000" w:fill="F2F2F2"/>
            <w:noWrap/>
            <w:vAlign w:val="center"/>
            <w:hideMark/>
          </w:tcPr>
          <w:p w:rsidRPr="00F31A99" w:rsidR="00F31A99" w:rsidP="00F31A99" w:rsidRDefault="00F31A99" w14:paraId="36C3B9A5"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2021</w:t>
            </w:r>
          </w:p>
        </w:tc>
        <w:tc>
          <w:tcPr>
            <w:tcW w:w="1531" w:type="dxa"/>
            <w:shd w:val="clear" w:color="000000" w:fill="F2F2F2"/>
            <w:noWrap/>
            <w:vAlign w:val="center"/>
            <w:hideMark/>
          </w:tcPr>
          <w:p w:rsidRPr="00F31A99" w:rsidR="00F31A99" w:rsidP="00F31A99" w:rsidRDefault="00F31A99" w14:paraId="0DB5C2B7"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2022</w:t>
            </w:r>
          </w:p>
        </w:tc>
        <w:tc>
          <w:tcPr>
            <w:tcW w:w="1595" w:type="dxa"/>
            <w:shd w:val="clear" w:color="000000" w:fill="F2F2F2"/>
            <w:noWrap/>
            <w:vAlign w:val="center"/>
            <w:hideMark/>
          </w:tcPr>
          <w:p w:rsidRPr="00F31A99" w:rsidR="00F31A99" w:rsidP="00F31A99" w:rsidRDefault="00F31A99" w14:paraId="10FB9CCF"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Representación</w:t>
            </w:r>
          </w:p>
        </w:tc>
      </w:tr>
      <w:tr w:rsidRPr="00F31A99" w:rsidR="00AE1B2B" w:rsidTr="00A306B2" w14:paraId="1B667AD3" w14:textId="77777777">
        <w:trPr>
          <w:trHeight w:val="288"/>
          <w:jc w:val="center"/>
        </w:trPr>
        <w:tc>
          <w:tcPr>
            <w:tcW w:w="4647" w:type="dxa"/>
            <w:shd w:val="clear" w:color="auto" w:fill="auto"/>
            <w:vAlign w:val="center"/>
            <w:hideMark/>
          </w:tcPr>
          <w:p w:rsidRPr="00F31A99" w:rsidR="00F31A99" w:rsidP="00F31A99" w:rsidRDefault="00F31A99" w14:paraId="71490714"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Organismo de Investigación Judicial</w:t>
            </w:r>
          </w:p>
        </w:tc>
        <w:tc>
          <w:tcPr>
            <w:tcW w:w="1804" w:type="dxa"/>
            <w:shd w:val="clear" w:color="auto" w:fill="auto"/>
            <w:vAlign w:val="center"/>
            <w:hideMark/>
          </w:tcPr>
          <w:p w:rsidRPr="00F31A99" w:rsidR="00F31A99" w:rsidP="00F31A99" w:rsidRDefault="00F31A99" w14:paraId="19A18D18"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180,493,665.00</w:t>
            </w:r>
          </w:p>
        </w:tc>
        <w:tc>
          <w:tcPr>
            <w:tcW w:w="1531" w:type="dxa"/>
            <w:shd w:val="clear" w:color="auto" w:fill="auto"/>
            <w:vAlign w:val="center"/>
            <w:hideMark/>
          </w:tcPr>
          <w:p w:rsidRPr="00F31A99" w:rsidR="00F31A99" w:rsidP="00F31A99" w:rsidRDefault="00F31A99" w14:paraId="65AE8AE3"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180,242,275.00</w:t>
            </w:r>
          </w:p>
        </w:tc>
        <w:tc>
          <w:tcPr>
            <w:tcW w:w="1595" w:type="dxa"/>
            <w:shd w:val="clear" w:color="auto" w:fill="auto"/>
            <w:noWrap/>
            <w:vAlign w:val="center"/>
            <w:hideMark/>
          </w:tcPr>
          <w:p w:rsidRPr="00F31A99" w:rsidR="00F31A99" w:rsidP="00F31A99" w:rsidRDefault="00F31A99" w14:paraId="74131701"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21%</w:t>
            </w:r>
          </w:p>
        </w:tc>
      </w:tr>
      <w:tr w:rsidRPr="00F31A99" w:rsidR="00AE1B2B" w:rsidTr="00A306B2" w14:paraId="76A3B607" w14:textId="77777777">
        <w:trPr>
          <w:trHeight w:val="288"/>
          <w:jc w:val="center"/>
        </w:trPr>
        <w:tc>
          <w:tcPr>
            <w:tcW w:w="4647" w:type="dxa"/>
            <w:shd w:val="clear" w:color="auto" w:fill="auto"/>
            <w:vAlign w:val="center"/>
            <w:hideMark/>
          </w:tcPr>
          <w:p w:rsidRPr="00F31A99" w:rsidR="00F31A99" w:rsidP="00F31A99" w:rsidRDefault="00F31A99" w14:paraId="4582B510"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Primer Circuito Judicial San José</w:t>
            </w:r>
          </w:p>
        </w:tc>
        <w:tc>
          <w:tcPr>
            <w:tcW w:w="1804" w:type="dxa"/>
            <w:shd w:val="clear" w:color="auto" w:fill="auto"/>
            <w:vAlign w:val="center"/>
            <w:hideMark/>
          </w:tcPr>
          <w:p w:rsidRPr="00F31A99" w:rsidR="00F31A99" w:rsidP="00F31A99" w:rsidRDefault="00F31A99" w14:paraId="4268FA6F"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145,754,347.00</w:t>
            </w:r>
          </w:p>
        </w:tc>
        <w:tc>
          <w:tcPr>
            <w:tcW w:w="1531" w:type="dxa"/>
            <w:shd w:val="clear" w:color="auto" w:fill="auto"/>
            <w:vAlign w:val="center"/>
            <w:hideMark/>
          </w:tcPr>
          <w:p w:rsidRPr="00F31A99" w:rsidR="00F31A99" w:rsidP="00F31A99" w:rsidRDefault="00F31A99" w14:paraId="505C4313"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147,903,455.00</w:t>
            </w:r>
          </w:p>
        </w:tc>
        <w:tc>
          <w:tcPr>
            <w:tcW w:w="1595" w:type="dxa"/>
            <w:shd w:val="clear" w:color="auto" w:fill="auto"/>
            <w:noWrap/>
            <w:vAlign w:val="center"/>
            <w:hideMark/>
          </w:tcPr>
          <w:p w:rsidRPr="00F31A99" w:rsidR="00F31A99" w:rsidP="00F31A99" w:rsidRDefault="00F31A99" w14:paraId="7E860611"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17%</w:t>
            </w:r>
          </w:p>
        </w:tc>
      </w:tr>
      <w:tr w:rsidRPr="00F31A99" w:rsidR="00AE1B2B" w:rsidTr="00A306B2" w14:paraId="63368804" w14:textId="77777777">
        <w:trPr>
          <w:trHeight w:val="288"/>
          <w:jc w:val="center"/>
        </w:trPr>
        <w:tc>
          <w:tcPr>
            <w:tcW w:w="4647" w:type="dxa"/>
            <w:shd w:val="clear" w:color="auto" w:fill="auto"/>
            <w:vAlign w:val="center"/>
            <w:hideMark/>
          </w:tcPr>
          <w:p w:rsidRPr="00F31A99" w:rsidR="00F31A99" w:rsidP="00F31A99" w:rsidRDefault="00F31A99" w14:paraId="018B347D"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Ministerio Público</w:t>
            </w:r>
          </w:p>
        </w:tc>
        <w:tc>
          <w:tcPr>
            <w:tcW w:w="1804" w:type="dxa"/>
            <w:shd w:val="clear" w:color="auto" w:fill="auto"/>
            <w:vAlign w:val="center"/>
            <w:hideMark/>
          </w:tcPr>
          <w:p w:rsidRPr="00F31A99" w:rsidR="00F31A99" w:rsidP="00F31A99" w:rsidRDefault="00F31A99" w14:paraId="54696252"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115,536,011.00</w:t>
            </w:r>
          </w:p>
        </w:tc>
        <w:tc>
          <w:tcPr>
            <w:tcW w:w="1531" w:type="dxa"/>
            <w:shd w:val="clear" w:color="auto" w:fill="auto"/>
            <w:vAlign w:val="center"/>
            <w:hideMark/>
          </w:tcPr>
          <w:p w:rsidRPr="00F31A99" w:rsidR="00F31A99" w:rsidP="00F31A99" w:rsidRDefault="00F31A99" w14:paraId="69EDC57F"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116,037,470.00</w:t>
            </w:r>
          </w:p>
        </w:tc>
        <w:tc>
          <w:tcPr>
            <w:tcW w:w="1595" w:type="dxa"/>
            <w:shd w:val="clear" w:color="auto" w:fill="auto"/>
            <w:noWrap/>
            <w:vAlign w:val="center"/>
            <w:hideMark/>
          </w:tcPr>
          <w:p w:rsidRPr="00F31A99" w:rsidR="00F31A99" w:rsidP="00F31A99" w:rsidRDefault="00F31A99" w14:paraId="61BE790B"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13%</w:t>
            </w:r>
          </w:p>
        </w:tc>
      </w:tr>
      <w:tr w:rsidRPr="00F31A99" w:rsidR="00AE1B2B" w:rsidTr="00A306B2" w14:paraId="5A4A2F3F" w14:textId="77777777">
        <w:trPr>
          <w:trHeight w:val="288"/>
          <w:jc w:val="center"/>
        </w:trPr>
        <w:tc>
          <w:tcPr>
            <w:tcW w:w="4647" w:type="dxa"/>
            <w:shd w:val="clear" w:color="auto" w:fill="auto"/>
            <w:vAlign w:val="center"/>
            <w:hideMark/>
          </w:tcPr>
          <w:p w:rsidRPr="00F31A99" w:rsidR="00F31A99" w:rsidP="00F31A99" w:rsidRDefault="00F31A99" w14:paraId="3E0CE64F"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Dirección Ejecutiva</w:t>
            </w:r>
          </w:p>
        </w:tc>
        <w:tc>
          <w:tcPr>
            <w:tcW w:w="1804" w:type="dxa"/>
            <w:shd w:val="clear" w:color="auto" w:fill="auto"/>
            <w:vAlign w:val="center"/>
            <w:hideMark/>
          </w:tcPr>
          <w:p w:rsidRPr="00F31A99" w:rsidR="00F31A99" w:rsidP="00F31A99" w:rsidRDefault="00F31A99" w14:paraId="0FEC2AE9"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73,242,940.00</w:t>
            </w:r>
          </w:p>
        </w:tc>
        <w:tc>
          <w:tcPr>
            <w:tcW w:w="1531" w:type="dxa"/>
            <w:shd w:val="clear" w:color="auto" w:fill="auto"/>
            <w:vAlign w:val="center"/>
            <w:hideMark/>
          </w:tcPr>
          <w:p w:rsidRPr="00F31A99" w:rsidR="00F31A99" w:rsidP="00F31A99" w:rsidRDefault="00F31A99" w14:paraId="7236E7AF"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75,060,462.00</w:t>
            </w:r>
          </w:p>
        </w:tc>
        <w:tc>
          <w:tcPr>
            <w:tcW w:w="1595" w:type="dxa"/>
            <w:shd w:val="clear" w:color="auto" w:fill="auto"/>
            <w:noWrap/>
            <w:vAlign w:val="center"/>
            <w:hideMark/>
          </w:tcPr>
          <w:p w:rsidRPr="00F31A99" w:rsidR="00F31A99" w:rsidP="00F31A99" w:rsidRDefault="00F31A99" w14:paraId="3F6329DF"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9%</w:t>
            </w:r>
          </w:p>
        </w:tc>
      </w:tr>
      <w:tr w:rsidRPr="00F31A99" w:rsidR="00AE1B2B" w:rsidTr="00A306B2" w14:paraId="01F8E6DB" w14:textId="77777777">
        <w:trPr>
          <w:trHeight w:val="288"/>
          <w:jc w:val="center"/>
        </w:trPr>
        <w:tc>
          <w:tcPr>
            <w:tcW w:w="4647" w:type="dxa"/>
            <w:shd w:val="clear" w:color="auto" w:fill="auto"/>
            <w:vAlign w:val="center"/>
            <w:hideMark/>
          </w:tcPr>
          <w:p w:rsidRPr="00F31A99" w:rsidR="00F31A99" w:rsidP="00F31A99" w:rsidRDefault="00F31A99" w14:paraId="6B03588E"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Defensa Pública</w:t>
            </w:r>
          </w:p>
        </w:tc>
        <w:tc>
          <w:tcPr>
            <w:tcW w:w="1804" w:type="dxa"/>
            <w:shd w:val="clear" w:color="auto" w:fill="auto"/>
            <w:vAlign w:val="center"/>
            <w:hideMark/>
          </w:tcPr>
          <w:p w:rsidRPr="00F31A99" w:rsidR="00F31A99" w:rsidP="00F31A99" w:rsidRDefault="00F31A99" w14:paraId="7A69232A"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57,404,665.00</w:t>
            </w:r>
          </w:p>
        </w:tc>
        <w:tc>
          <w:tcPr>
            <w:tcW w:w="1531" w:type="dxa"/>
            <w:shd w:val="clear" w:color="auto" w:fill="auto"/>
            <w:vAlign w:val="center"/>
            <w:hideMark/>
          </w:tcPr>
          <w:p w:rsidRPr="00F31A99" w:rsidR="00F31A99" w:rsidP="00F31A99" w:rsidRDefault="00F31A99" w14:paraId="2E76EB89"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58,855,846.00</w:t>
            </w:r>
          </w:p>
        </w:tc>
        <w:tc>
          <w:tcPr>
            <w:tcW w:w="1595" w:type="dxa"/>
            <w:shd w:val="clear" w:color="auto" w:fill="auto"/>
            <w:noWrap/>
            <w:vAlign w:val="center"/>
            <w:hideMark/>
          </w:tcPr>
          <w:p w:rsidRPr="00F31A99" w:rsidR="00F31A99" w:rsidP="00F31A99" w:rsidRDefault="00F31A99" w14:paraId="2336A231"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7%</w:t>
            </w:r>
          </w:p>
        </w:tc>
      </w:tr>
      <w:tr w:rsidRPr="00F31A99" w:rsidR="00AE1B2B" w:rsidTr="00A306B2" w14:paraId="053ED535" w14:textId="77777777">
        <w:trPr>
          <w:trHeight w:val="288"/>
          <w:jc w:val="center"/>
        </w:trPr>
        <w:tc>
          <w:tcPr>
            <w:tcW w:w="4647" w:type="dxa"/>
            <w:shd w:val="clear" w:color="auto" w:fill="auto"/>
            <w:vAlign w:val="center"/>
            <w:hideMark/>
          </w:tcPr>
          <w:p w:rsidRPr="00F31A99" w:rsidR="00F31A99" w:rsidP="00F31A99" w:rsidRDefault="00F31A99" w14:paraId="44BD03C0"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Segundo Circuito Judicial San José</w:t>
            </w:r>
          </w:p>
        </w:tc>
        <w:tc>
          <w:tcPr>
            <w:tcW w:w="1804" w:type="dxa"/>
            <w:shd w:val="clear" w:color="auto" w:fill="auto"/>
            <w:vAlign w:val="center"/>
            <w:hideMark/>
          </w:tcPr>
          <w:p w:rsidRPr="00F31A99" w:rsidR="00F31A99" w:rsidP="00F31A99" w:rsidRDefault="00F31A99" w14:paraId="2245AC54"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32,366,104.00</w:t>
            </w:r>
          </w:p>
        </w:tc>
        <w:tc>
          <w:tcPr>
            <w:tcW w:w="1531" w:type="dxa"/>
            <w:shd w:val="clear" w:color="auto" w:fill="auto"/>
            <w:vAlign w:val="center"/>
            <w:hideMark/>
          </w:tcPr>
          <w:p w:rsidRPr="00F31A99" w:rsidR="00F31A99" w:rsidP="00F31A99" w:rsidRDefault="00F31A99" w14:paraId="65F0D93F"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32,858,979.00</w:t>
            </w:r>
          </w:p>
        </w:tc>
        <w:tc>
          <w:tcPr>
            <w:tcW w:w="1595" w:type="dxa"/>
            <w:shd w:val="clear" w:color="auto" w:fill="auto"/>
            <w:noWrap/>
            <w:vAlign w:val="center"/>
            <w:hideMark/>
          </w:tcPr>
          <w:p w:rsidRPr="00F31A99" w:rsidR="00F31A99" w:rsidP="00F31A99" w:rsidRDefault="00F31A99" w14:paraId="63CB31B5"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4%</w:t>
            </w:r>
          </w:p>
        </w:tc>
      </w:tr>
      <w:tr w:rsidRPr="00F31A99" w:rsidR="00AE1B2B" w:rsidTr="00A306B2" w14:paraId="0B89465B" w14:textId="77777777">
        <w:trPr>
          <w:trHeight w:val="288"/>
          <w:jc w:val="center"/>
        </w:trPr>
        <w:tc>
          <w:tcPr>
            <w:tcW w:w="4647" w:type="dxa"/>
            <w:shd w:val="clear" w:color="auto" w:fill="auto"/>
            <w:vAlign w:val="center"/>
            <w:hideMark/>
          </w:tcPr>
          <w:p w:rsidRPr="00F31A99" w:rsidR="00F31A99" w:rsidP="00F31A99" w:rsidRDefault="00F31A99" w14:paraId="56860DAC"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Tercer Circuito Judicial San José</w:t>
            </w:r>
          </w:p>
        </w:tc>
        <w:tc>
          <w:tcPr>
            <w:tcW w:w="1804" w:type="dxa"/>
            <w:shd w:val="clear" w:color="auto" w:fill="auto"/>
            <w:vAlign w:val="center"/>
            <w:hideMark/>
          </w:tcPr>
          <w:p w:rsidRPr="00F31A99" w:rsidR="00F31A99" w:rsidP="00F31A99" w:rsidRDefault="00F31A99" w14:paraId="6FC75AE5"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24,814,262.00</w:t>
            </w:r>
          </w:p>
        </w:tc>
        <w:tc>
          <w:tcPr>
            <w:tcW w:w="1531" w:type="dxa"/>
            <w:shd w:val="clear" w:color="auto" w:fill="auto"/>
            <w:vAlign w:val="center"/>
            <w:hideMark/>
          </w:tcPr>
          <w:p w:rsidRPr="00F31A99" w:rsidR="00F31A99" w:rsidP="00F31A99" w:rsidRDefault="00F31A99" w14:paraId="4DF6F41C"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25,552,130.00</w:t>
            </w:r>
          </w:p>
        </w:tc>
        <w:tc>
          <w:tcPr>
            <w:tcW w:w="1595" w:type="dxa"/>
            <w:shd w:val="clear" w:color="auto" w:fill="auto"/>
            <w:noWrap/>
            <w:vAlign w:val="center"/>
            <w:hideMark/>
          </w:tcPr>
          <w:p w:rsidRPr="00F31A99" w:rsidR="00F31A99" w:rsidP="00F31A99" w:rsidRDefault="00F31A99" w14:paraId="15FFA5D3"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w:t>
            </w:r>
          </w:p>
        </w:tc>
      </w:tr>
      <w:tr w:rsidRPr="00F31A99" w:rsidR="00AE1B2B" w:rsidTr="00A306B2" w14:paraId="03597368" w14:textId="77777777">
        <w:trPr>
          <w:trHeight w:val="288"/>
          <w:jc w:val="center"/>
        </w:trPr>
        <w:tc>
          <w:tcPr>
            <w:tcW w:w="4647" w:type="dxa"/>
            <w:shd w:val="clear" w:color="auto" w:fill="auto"/>
            <w:vAlign w:val="center"/>
            <w:hideMark/>
          </w:tcPr>
          <w:p w:rsidRPr="00F31A99" w:rsidR="00F31A99" w:rsidP="00F31A99" w:rsidRDefault="00F31A99" w14:paraId="2C5CB51A"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Primer Circuito Judicial Guanacaste</w:t>
            </w:r>
          </w:p>
        </w:tc>
        <w:tc>
          <w:tcPr>
            <w:tcW w:w="1804" w:type="dxa"/>
            <w:shd w:val="clear" w:color="auto" w:fill="auto"/>
            <w:vAlign w:val="center"/>
            <w:hideMark/>
          </w:tcPr>
          <w:p w:rsidRPr="00F31A99" w:rsidR="00F31A99" w:rsidP="00F31A99" w:rsidRDefault="00F31A99" w14:paraId="7B9C6814"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14,782,830.00</w:t>
            </w:r>
          </w:p>
        </w:tc>
        <w:tc>
          <w:tcPr>
            <w:tcW w:w="1531" w:type="dxa"/>
            <w:shd w:val="clear" w:color="auto" w:fill="auto"/>
            <w:vAlign w:val="center"/>
            <w:hideMark/>
          </w:tcPr>
          <w:p w:rsidRPr="00F31A99" w:rsidR="00F31A99" w:rsidP="00F31A99" w:rsidRDefault="00F31A99" w14:paraId="3A51CBF7"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15,820,430.00</w:t>
            </w:r>
          </w:p>
        </w:tc>
        <w:tc>
          <w:tcPr>
            <w:tcW w:w="1595" w:type="dxa"/>
            <w:shd w:val="clear" w:color="auto" w:fill="auto"/>
            <w:noWrap/>
            <w:vAlign w:val="center"/>
            <w:hideMark/>
          </w:tcPr>
          <w:p w:rsidRPr="00F31A99" w:rsidR="00F31A99" w:rsidP="00F31A99" w:rsidRDefault="00F31A99" w14:paraId="6F0A9094"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w:t>
            </w:r>
          </w:p>
        </w:tc>
      </w:tr>
      <w:tr w:rsidRPr="00F31A99" w:rsidR="00AE1B2B" w:rsidTr="00A306B2" w14:paraId="73368887" w14:textId="77777777">
        <w:trPr>
          <w:trHeight w:val="288"/>
          <w:jc w:val="center"/>
        </w:trPr>
        <w:tc>
          <w:tcPr>
            <w:tcW w:w="4647" w:type="dxa"/>
            <w:shd w:val="clear" w:color="auto" w:fill="auto"/>
            <w:vAlign w:val="center"/>
            <w:hideMark/>
          </w:tcPr>
          <w:p w:rsidRPr="00F31A99" w:rsidR="00F31A99" w:rsidP="00F31A99" w:rsidRDefault="00F31A99" w14:paraId="19AD1727"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Primer Circuito Judicial Zona Atlántica</w:t>
            </w:r>
          </w:p>
        </w:tc>
        <w:tc>
          <w:tcPr>
            <w:tcW w:w="1804" w:type="dxa"/>
            <w:shd w:val="clear" w:color="auto" w:fill="auto"/>
            <w:vAlign w:val="center"/>
            <w:hideMark/>
          </w:tcPr>
          <w:p w:rsidRPr="00F31A99" w:rsidR="00F31A99" w:rsidP="00F31A99" w:rsidRDefault="00F31A99" w14:paraId="205DF9C1"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12,833,652.00</w:t>
            </w:r>
          </w:p>
        </w:tc>
        <w:tc>
          <w:tcPr>
            <w:tcW w:w="1531" w:type="dxa"/>
            <w:shd w:val="clear" w:color="auto" w:fill="auto"/>
            <w:vAlign w:val="center"/>
            <w:hideMark/>
          </w:tcPr>
          <w:p w:rsidRPr="00F31A99" w:rsidR="00F31A99" w:rsidP="00F31A99" w:rsidRDefault="00F31A99" w14:paraId="504318A2"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13,965,140.00</w:t>
            </w:r>
          </w:p>
        </w:tc>
        <w:tc>
          <w:tcPr>
            <w:tcW w:w="1595" w:type="dxa"/>
            <w:shd w:val="clear" w:color="auto" w:fill="auto"/>
            <w:noWrap/>
            <w:vAlign w:val="center"/>
            <w:hideMark/>
          </w:tcPr>
          <w:p w:rsidRPr="00F31A99" w:rsidR="00F31A99" w:rsidP="00F31A99" w:rsidRDefault="00F31A99" w14:paraId="3914EF8B"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w:t>
            </w:r>
          </w:p>
        </w:tc>
      </w:tr>
      <w:tr w:rsidRPr="00F31A99" w:rsidR="00AE1B2B" w:rsidTr="00A306B2" w14:paraId="7932910B" w14:textId="77777777">
        <w:trPr>
          <w:trHeight w:val="288"/>
          <w:jc w:val="center"/>
        </w:trPr>
        <w:tc>
          <w:tcPr>
            <w:tcW w:w="4647" w:type="dxa"/>
            <w:shd w:val="clear" w:color="auto" w:fill="auto"/>
            <w:vAlign w:val="center"/>
            <w:hideMark/>
          </w:tcPr>
          <w:p w:rsidRPr="00F31A99" w:rsidR="00F31A99" w:rsidP="00F31A99" w:rsidRDefault="00F31A99" w14:paraId="0E208581"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Servicio de Atención y Protección de Víctimas y Testigos</w:t>
            </w:r>
          </w:p>
        </w:tc>
        <w:tc>
          <w:tcPr>
            <w:tcW w:w="1804" w:type="dxa"/>
            <w:shd w:val="clear" w:color="auto" w:fill="auto"/>
            <w:vAlign w:val="center"/>
            <w:hideMark/>
          </w:tcPr>
          <w:p w:rsidRPr="00F31A99" w:rsidR="00F31A99" w:rsidP="00F31A99" w:rsidRDefault="00F31A99" w14:paraId="10AE4D0E"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13,291,025.00</w:t>
            </w:r>
          </w:p>
        </w:tc>
        <w:tc>
          <w:tcPr>
            <w:tcW w:w="1531" w:type="dxa"/>
            <w:shd w:val="clear" w:color="auto" w:fill="auto"/>
            <w:vAlign w:val="center"/>
            <w:hideMark/>
          </w:tcPr>
          <w:p w:rsidRPr="00F31A99" w:rsidR="00F31A99" w:rsidP="00F31A99" w:rsidRDefault="00F31A99" w14:paraId="09CEC57E"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13,493,424.00</w:t>
            </w:r>
          </w:p>
        </w:tc>
        <w:tc>
          <w:tcPr>
            <w:tcW w:w="1595" w:type="dxa"/>
            <w:shd w:val="clear" w:color="auto" w:fill="auto"/>
            <w:noWrap/>
            <w:vAlign w:val="center"/>
            <w:hideMark/>
          </w:tcPr>
          <w:p w:rsidRPr="00F31A99" w:rsidR="00F31A99" w:rsidP="00F31A99" w:rsidRDefault="00F31A99" w14:paraId="5C7B171D"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w:t>
            </w:r>
          </w:p>
        </w:tc>
      </w:tr>
      <w:tr w:rsidRPr="00F31A99" w:rsidR="00AE1B2B" w:rsidTr="00A306B2" w14:paraId="071A7580" w14:textId="77777777">
        <w:trPr>
          <w:trHeight w:val="288"/>
          <w:jc w:val="center"/>
        </w:trPr>
        <w:tc>
          <w:tcPr>
            <w:tcW w:w="4647" w:type="dxa"/>
            <w:shd w:val="clear" w:color="auto" w:fill="auto"/>
            <w:vAlign w:val="center"/>
            <w:hideMark/>
          </w:tcPr>
          <w:p w:rsidRPr="00F31A99" w:rsidR="00F31A99" w:rsidP="00F31A99" w:rsidRDefault="00F31A99" w14:paraId="23F34736"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Circuito Judicial Puntarenas</w:t>
            </w:r>
          </w:p>
        </w:tc>
        <w:tc>
          <w:tcPr>
            <w:tcW w:w="1804" w:type="dxa"/>
            <w:shd w:val="clear" w:color="auto" w:fill="auto"/>
            <w:vAlign w:val="center"/>
            <w:hideMark/>
          </w:tcPr>
          <w:p w:rsidRPr="00F31A99" w:rsidR="00F31A99" w:rsidP="00F31A99" w:rsidRDefault="00F31A99" w14:paraId="46FFB1F7"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12,033,423.00</w:t>
            </w:r>
          </w:p>
        </w:tc>
        <w:tc>
          <w:tcPr>
            <w:tcW w:w="1531" w:type="dxa"/>
            <w:shd w:val="clear" w:color="auto" w:fill="auto"/>
            <w:vAlign w:val="center"/>
            <w:hideMark/>
          </w:tcPr>
          <w:p w:rsidRPr="00F31A99" w:rsidR="00F31A99" w:rsidP="00F31A99" w:rsidRDefault="00F31A99" w14:paraId="5A5B3848"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12,216,669.00</w:t>
            </w:r>
          </w:p>
        </w:tc>
        <w:tc>
          <w:tcPr>
            <w:tcW w:w="1595" w:type="dxa"/>
            <w:shd w:val="clear" w:color="auto" w:fill="auto"/>
            <w:noWrap/>
            <w:vAlign w:val="center"/>
            <w:hideMark/>
          </w:tcPr>
          <w:p w:rsidRPr="00F31A99" w:rsidR="00F31A99" w:rsidP="00F31A99" w:rsidRDefault="00F31A99" w14:paraId="788AFD0B"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w:t>
            </w:r>
          </w:p>
        </w:tc>
      </w:tr>
      <w:tr w:rsidRPr="00F31A99" w:rsidR="00AE1B2B" w:rsidTr="00A306B2" w14:paraId="38C25650" w14:textId="77777777">
        <w:trPr>
          <w:trHeight w:val="288"/>
          <w:jc w:val="center"/>
        </w:trPr>
        <w:tc>
          <w:tcPr>
            <w:tcW w:w="4647" w:type="dxa"/>
            <w:shd w:val="clear" w:color="auto" w:fill="auto"/>
            <w:vAlign w:val="center"/>
            <w:hideMark/>
          </w:tcPr>
          <w:p w:rsidRPr="00F31A99" w:rsidR="00F31A99" w:rsidP="00F31A99" w:rsidRDefault="00F31A99" w14:paraId="1D1A758F"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Circuito Judicial Heredia</w:t>
            </w:r>
          </w:p>
        </w:tc>
        <w:tc>
          <w:tcPr>
            <w:tcW w:w="1804" w:type="dxa"/>
            <w:shd w:val="clear" w:color="auto" w:fill="auto"/>
            <w:vAlign w:val="center"/>
            <w:hideMark/>
          </w:tcPr>
          <w:p w:rsidRPr="00F31A99" w:rsidR="00F31A99" w:rsidP="00F31A99" w:rsidRDefault="00F31A99" w14:paraId="1B1CC26C"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11,290,959.00</w:t>
            </w:r>
          </w:p>
        </w:tc>
        <w:tc>
          <w:tcPr>
            <w:tcW w:w="1531" w:type="dxa"/>
            <w:shd w:val="clear" w:color="auto" w:fill="auto"/>
            <w:vAlign w:val="center"/>
            <w:hideMark/>
          </w:tcPr>
          <w:p w:rsidRPr="00F31A99" w:rsidR="00F31A99" w:rsidP="00F31A99" w:rsidRDefault="00F31A99" w14:paraId="395B6A0C"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11,462,898.00</w:t>
            </w:r>
          </w:p>
        </w:tc>
        <w:tc>
          <w:tcPr>
            <w:tcW w:w="1595" w:type="dxa"/>
            <w:shd w:val="clear" w:color="auto" w:fill="auto"/>
            <w:noWrap/>
            <w:vAlign w:val="center"/>
            <w:hideMark/>
          </w:tcPr>
          <w:p w:rsidRPr="00F31A99" w:rsidR="00F31A99" w:rsidP="00F31A99" w:rsidRDefault="00F31A99" w14:paraId="03002CC6"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w:t>
            </w:r>
          </w:p>
        </w:tc>
      </w:tr>
      <w:tr w:rsidRPr="00F31A99" w:rsidR="00AE1B2B" w:rsidTr="00A306B2" w14:paraId="66755CE5" w14:textId="77777777">
        <w:trPr>
          <w:trHeight w:val="288"/>
          <w:jc w:val="center"/>
        </w:trPr>
        <w:tc>
          <w:tcPr>
            <w:tcW w:w="4647" w:type="dxa"/>
            <w:shd w:val="clear" w:color="auto" w:fill="auto"/>
            <w:vAlign w:val="center"/>
            <w:hideMark/>
          </w:tcPr>
          <w:p w:rsidRPr="00F31A99" w:rsidR="00F31A99" w:rsidP="00F31A99" w:rsidRDefault="00F31A99" w14:paraId="1275FF41"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Segundo Circuito Judicial Alajuela</w:t>
            </w:r>
          </w:p>
        </w:tc>
        <w:tc>
          <w:tcPr>
            <w:tcW w:w="1804" w:type="dxa"/>
            <w:shd w:val="clear" w:color="auto" w:fill="auto"/>
            <w:vAlign w:val="center"/>
            <w:hideMark/>
          </w:tcPr>
          <w:p w:rsidRPr="00F31A99" w:rsidR="00F31A99" w:rsidP="00F31A99" w:rsidRDefault="00F31A99" w14:paraId="53CE0FF8"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9,206,147.00</w:t>
            </w:r>
          </w:p>
        </w:tc>
        <w:tc>
          <w:tcPr>
            <w:tcW w:w="1531" w:type="dxa"/>
            <w:shd w:val="clear" w:color="auto" w:fill="auto"/>
            <w:vAlign w:val="center"/>
            <w:hideMark/>
          </w:tcPr>
          <w:p w:rsidRPr="00F31A99" w:rsidR="00F31A99" w:rsidP="00F31A99" w:rsidRDefault="00F31A99" w14:paraId="23476F24"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11,005,339.00</w:t>
            </w:r>
          </w:p>
        </w:tc>
        <w:tc>
          <w:tcPr>
            <w:tcW w:w="1595" w:type="dxa"/>
            <w:shd w:val="clear" w:color="auto" w:fill="auto"/>
            <w:noWrap/>
            <w:vAlign w:val="center"/>
            <w:hideMark/>
          </w:tcPr>
          <w:p w:rsidRPr="00F31A99" w:rsidR="00F31A99" w:rsidP="00F31A99" w:rsidRDefault="00F31A99" w14:paraId="067F8DF3"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w:t>
            </w:r>
          </w:p>
        </w:tc>
      </w:tr>
      <w:tr w:rsidRPr="00F31A99" w:rsidR="00AE1B2B" w:rsidTr="00A306B2" w14:paraId="0CA27003" w14:textId="77777777">
        <w:trPr>
          <w:trHeight w:val="288"/>
          <w:jc w:val="center"/>
        </w:trPr>
        <w:tc>
          <w:tcPr>
            <w:tcW w:w="4647" w:type="dxa"/>
            <w:shd w:val="clear" w:color="auto" w:fill="auto"/>
            <w:vAlign w:val="center"/>
            <w:hideMark/>
          </w:tcPr>
          <w:p w:rsidRPr="00F31A99" w:rsidR="00F31A99" w:rsidP="00F31A99" w:rsidRDefault="00F31A99" w14:paraId="3F79B12E"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Salas</w:t>
            </w:r>
          </w:p>
        </w:tc>
        <w:tc>
          <w:tcPr>
            <w:tcW w:w="1804" w:type="dxa"/>
            <w:shd w:val="clear" w:color="auto" w:fill="auto"/>
            <w:vAlign w:val="center"/>
            <w:hideMark/>
          </w:tcPr>
          <w:p w:rsidRPr="00F31A99" w:rsidR="00F31A99" w:rsidP="00F31A99" w:rsidRDefault="00F31A99" w14:paraId="3A8F1272"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10,415,740.00</w:t>
            </w:r>
          </w:p>
        </w:tc>
        <w:tc>
          <w:tcPr>
            <w:tcW w:w="1531" w:type="dxa"/>
            <w:shd w:val="clear" w:color="auto" w:fill="auto"/>
            <w:vAlign w:val="center"/>
            <w:hideMark/>
          </w:tcPr>
          <w:p w:rsidRPr="00F31A99" w:rsidR="00F31A99" w:rsidP="00F31A99" w:rsidRDefault="00F31A99" w14:paraId="1DC36600"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10,574,360.00</w:t>
            </w:r>
          </w:p>
        </w:tc>
        <w:tc>
          <w:tcPr>
            <w:tcW w:w="1595" w:type="dxa"/>
            <w:shd w:val="clear" w:color="auto" w:fill="auto"/>
            <w:noWrap/>
            <w:vAlign w:val="center"/>
            <w:hideMark/>
          </w:tcPr>
          <w:p w:rsidRPr="00F31A99" w:rsidR="00F31A99" w:rsidP="00F31A99" w:rsidRDefault="00F31A99" w14:paraId="6C2CC585" w14:textId="77777777">
            <w:pPr>
              <w:widowControl w:val="0"/>
              <w:autoSpaceDN w:val="0"/>
              <w:outlineLvl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w:t>
            </w:r>
          </w:p>
        </w:tc>
      </w:tr>
    </w:tbl>
    <w:p w:rsidRPr="00F31A99" w:rsidR="00F31A99" w:rsidP="00F31A99" w:rsidRDefault="00F31A99" w14:paraId="4EAFDDC2" w14:textId="77777777">
      <w:pPr>
        <w:widowControl w:val="0"/>
        <w:autoSpaceDN w:val="0"/>
        <w:rPr>
          <w:rFonts w:ascii="Times New Roman" w:hAnsi="Times New Roman" w:eastAsia="Calibri" w:cs="Times New Roman"/>
          <w:bCs/>
          <w:sz w:val="16"/>
          <w:szCs w:val="16"/>
          <w:u w:color="000000"/>
        </w:rPr>
      </w:pPr>
    </w:p>
    <w:p w:rsidRPr="00F31A99" w:rsidR="00F31A99" w:rsidP="00F31A99" w:rsidRDefault="00F31A99" w14:paraId="4BDB3DEF" w14:textId="77777777">
      <w:pPr>
        <w:widowControl w:val="0"/>
        <w:autoSpaceDN w:val="0"/>
        <w:ind w:firstLine="709"/>
        <w:rPr>
          <w:rFonts w:ascii="Times New Roman" w:hAnsi="Times New Roman" w:eastAsia="Calibri" w:cs="Times New Roman"/>
          <w:bCs/>
          <w:sz w:val="16"/>
          <w:szCs w:val="16"/>
          <w:u w:color="000000"/>
        </w:rPr>
      </w:pPr>
      <w:r w:rsidRPr="00F31A99">
        <w:rPr>
          <w:rFonts w:ascii="Times New Roman" w:hAnsi="Times New Roman" w:eastAsia="Calibri" w:cs="Times New Roman"/>
          <w:bCs/>
          <w:sz w:val="16"/>
          <w:szCs w:val="16"/>
          <w:u w:color="000000"/>
        </w:rPr>
        <w:t>Fuente: SIGA PJ</w:t>
      </w:r>
    </w:p>
    <w:p w:rsidRPr="00F31A99" w:rsidR="00F31A99" w:rsidP="00F31A99" w:rsidRDefault="00F31A99" w14:paraId="34E3C73A" w14:textId="77777777">
      <w:pPr>
        <w:widowControl w:val="0"/>
        <w:autoSpaceDN w:val="0"/>
        <w:jc w:val="both"/>
        <w:rPr>
          <w:rFonts w:ascii="Times New Roman" w:hAnsi="Times New Roman" w:eastAsia="Calibri" w:cs="Times New Roman"/>
          <w:bCs/>
          <w:sz w:val="24"/>
          <w:u w:color="000000"/>
        </w:rPr>
      </w:pPr>
    </w:p>
    <w:p w:rsidRPr="00F31A99" w:rsidR="00F31A99" w:rsidP="00F31A99" w:rsidRDefault="00F31A99" w14:paraId="215EC7E6" w14:textId="77777777">
      <w:pPr>
        <w:widowControl w:val="0"/>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Según se muestra en el cuadro anterior, la principal concentración de recursos para el periodo 2022 por Centro de Responsabilidad, recae sobre el Organismo de Investigación Judicial con 21%, Primer Circuito Judicial de San José con 17%, Ministerio Público 13%, la Dirección Ejecutiva 9% estas representan un 59% del total de recursos formulados.</w:t>
      </w:r>
    </w:p>
    <w:p w:rsidRPr="00F31A99" w:rsidR="00F31A99" w:rsidP="00F31A99" w:rsidRDefault="00F31A99" w14:paraId="4C279580" w14:textId="77777777">
      <w:pPr>
        <w:widowControl w:val="0"/>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259F2C43" w14:textId="77777777">
      <w:pPr>
        <w:widowControl w:val="0"/>
        <w:autoSpaceDN w:val="0"/>
        <w:ind w:left="851" w:right="851" w:firstLine="709"/>
        <w:rPr>
          <w:rFonts w:ascii="Times New Roman" w:hAnsi="Times New Roman" w:eastAsia="Times New Roman" w:cs="Times New Roman"/>
          <w:b/>
          <w:bCs/>
          <w:sz w:val="26"/>
          <w:szCs w:val="26"/>
          <w:u w:color="000000"/>
        </w:rPr>
      </w:pPr>
      <w:r w:rsidRPr="00F31A99">
        <w:rPr>
          <w:rFonts w:ascii="Times New Roman" w:hAnsi="Times New Roman" w:eastAsia="Calibri" w:cs="Times New Roman"/>
          <w:b/>
          <w:sz w:val="26"/>
          <w:szCs w:val="26"/>
          <w:u w:color="000000"/>
        </w:rPr>
        <w:t>1.2 Subpartida 1.02.02 Servicio de energía eléctrica</w:t>
      </w:r>
    </w:p>
    <w:p w:rsidRPr="00F31A99" w:rsidR="00F31A99" w:rsidP="00F31A99" w:rsidRDefault="00F31A99" w14:paraId="6671DB3B" w14:textId="77777777">
      <w:pPr>
        <w:widowControl w:val="0"/>
        <w:autoSpaceDN w:val="0"/>
        <w:ind w:left="851" w:right="851" w:firstLine="709"/>
        <w:rPr>
          <w:rFonts w:ascii="Times New Roman" w:hAnsi="Times New Roman" w:eastAsia="Calibri" w:cs="Times New Roman"/>
          <w:sz w:val="26"/>
          <w:szCs w:val="26"/>
          <w:u w:color="000000"/>
        </w:rPr>
      </w:pPr>
    </w:p>
    <w:p w:rsidRPr="00F31A99" w:rsidR="00F31A99" w:rsidP="00F31A99" w:rsidRDefault="00F31A99" w14:paraId="38F45EEB"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En cuanto a la subpartida 1.02.02 para los últimos cinco años, se contemplan </w:t>
      </w:r>
      <w:r w:rsidRPr="00F31A99">
        <w:rPr>
          <w:rFonts w:ascii="Times New Roman" w:hAnsi="Times New Roman" w:eastAsia="Arial" w:cs="Times New Roman"/>
          <w:sz w:val="26"/>
          <w:szCs w:val="26"/>
          <w:u w:color="000000"/>
        </w:rPr>
        <w:t>los gastos de electricidad, por servicios que prestan empresas como: Empresa de Servicios Públicos de Heredia, Coopeguanacaste, Coopesantos S.A, Coopelesca S.A, Jasec, Coopealfaro Ruiz, Compañía Nacional de Fuerza y Luz, Instituto Costarricense de Electricidad a los diferentes programas que conforman el Poder Judicial.</w:t>
      </w:r>
    </w:p>
    <w:p w:rsidRPr="00F31A99" w:rsidR="00F31A99" w:rsidP="00F31A99" w:rsidRDefault="00F31A99" w14:paraId="11EA3A36" w14:textId="77777777">
      <w:pPr>
        <w:widowControl w:val="0"/>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sz w:val="26"/>
          <w:szCs w:val="26"/>
          <w:u w:color="000000"/>
        </w:rPr>
        <w:t>1.2.1 Comportamiento histórico de la subpartida</w:t>
      </w:r>
    </w:p>
    <w:p w:rsidRPr="00F31A99" w:rsidR="00F31A99" w:rsidP="00F31A99" w:rsidRDefault="00F31A99" w14:paraId="61C7DF1D" w14:textId="77777777">
      <w:pPr>
        <w:widowControl w:val="0"/>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4BC74FE6"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Tabla 6. Detalle del comportamiento histórico de la subpartida 10202 Servicio de energía eléctrica. Periodo 2017 – 2021.</w:t>
      </w:r>
    </w:p>
    <w:p w:rsidRPr="00F31A99" w:rsidR="00F31A99" w:rsidP="00F31A99" w:rsidRDefault="00F31A99" w14:paraId="385107C4" w14:textId="77777777">
      <w:pPr>
        <w:widowControl w:val="0"/>
        <w:autoSpaceDN w:val="0"/>
        <w:ind w:left="851" w:right="851" w:firstLine="709"/>
        <w:jc w:val="center"/>
        <w:rPr>
          <w:rFonts w:ascii="Times New Roman" w:hAnsi="Times New Roman" w:eastAsia="Times New Roman" w:cs="Times New Roman"/>
          <w:b/>
          <w:bCs/>
          <w:sz w:val="26"/>
          <w:szCs w:val="26"/>
          <w:u w:color="000000"/>
        </w:rPr>
      </w:pPr>
    </w:p>
    <w:tbl>
      <w:tblPr>
        <w:tblW w:w="91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987"/>
        <w:gridCol w:w="1405"/>
        <w:gridCol w:w="1405"/>
        <w:gridCol w:w="1405"/>
        <w:gridCol w:w="1405"/>
        <w:gridCol w:w="1601"/>
      </w:tblGrid>
      <w:tr w:rsidRPr="00F31A99" w:rsidR="00AE1B2B" w:rsidTr="00F31A99" w14:paraId="296A9869" w14:textId="77777777">
        <w:trPr>
          <w:trHeight w:val="335"/>
          <w:jc w:val="center"/>
        </w:trPr>
        <w:tc>
          <w:tcPr>
            <w:tcW w:w="1987" w:type="dxa"/>
            <w:shd w:val="clear" w:color="auto" w:fill="F2F2F2"/>
            <w:noWrap/>
            <w:vAlign w:val="bottom"/>
          </w:tcPr>
          <w:p w:rsidRPr="00F31A99" w:rsidR="00F31A99" w:rsidP="00F31A99" w:rsidRDefault="00F31A99" w14:paraId="17A3C28C" w14:textId="77777777">
            <w:pPr>
              <w:widowControl w:val="0"/>
              <w:autoSpaceDN w:val="0"/>
              <w:rPr>
                <w:rFonts w:ascii="Times New Roman" w:hAnsi="Times New Roman" w:eastAsia="Times New Roman" w:cs="Times New Roman"/>
                <w:b/>
                <w:bCs/>
                <w:u w:color="000000"/>
                <w:lang w:eastAsia="es-CR"/>
              </w:rPr>
            </w:pPr>
          </w:p>
        </w:tc>
        <w:tc>
          <w:tcPr>
            <w:tcW w:w="1390" w:type="dxa"/>
            <w:shd w:val="clear" w:color="auto" w:fill="auto"/>
            <w:noWrap/>
            <w:vAlign w:val="bottom"/>
          </w:tcPr>
          <w:p w:rsidRPr="00F31A99" w:rsidR="00F31A99" w:rsidP="00F31A99" w:rsidRDefault="00F31A99" w14:paraId="006B2E42"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2018</w:t>
            </w:r>
          </w:p>
        </w:tc>
        <w:tc>
          <w:tcPr>
            <w:tcW w:w="1388" w:type="dxa"/>
            <w:shd w:val="clear" w:color="auto" w:fill="auto"/>
            <w:noWrap/>
            <w:vAlign w:val="bottom"/>
          </w:tcPr>
          <w:p w:rsidRPr="00F31A99" w:rsidR="00F31A99" w:rsidP="00F31A99" w:rsidRDefault="00F31A99" w14:paraId="2ADA52B3"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2019</w:t>
            </w:r>
          </w:p>
        </w:tc>
        <w:tc>
          <w:tcPr>
            <w:tcW w:w="1388" w:type="dxa"/>
            <w:shd w:val="clear" w:color="auto" w:fill="auto"/>
            <w:noWrap/>
            <w:vAlign w:val="bottom"/>
          </w:tcPr>
          <w:p w:rsidRPr="00F31A99" w:rsidR="00F31A99" w:rsidP="00F31A99" w:rsidRDefault="00F31A99" w14:paraId="14A363C4"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2020</w:t>
            </w:r>
          </w:p>
        </w:tc>
        <w:tc>
          <w:tcPr>
            <w:tcW w:w="1388" w:type="dxa"/>
            <w:shd w:val="clear" w:color="auto" w:fill="auto"/>
            <w:noWrap/>
            <w:vAlign w:val="bottom"/>
          </w:tcPr>
          <w:p w:rsidRPr="00F31A99" w:rsidR="00F31A99" w:rsidP="00F31A99" w:rsidRDefault="00F31A99" w14:paraId="5B3700CC"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2021</w:t>
            </w:r>
          </w:p>
        </w:tc>
        <w:tc>
          <w:tcPr>
            <w:tcW w:w="1601" w:type="dxa"/>
            <w:shd w:val="clear" w:color="auto" w:fill="auto"/>
            <w:noWrap/>
            <w:vAlign w:val="bottom"/>
          </w:tcPr>
          <w:p w:rsidRPr="00F31A99" w:rsidR="00F31A99" w:rsidP="00F31A99" w:rsidRDefault="00F31A99" w14:paraId="68268935"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2022</w:t>
            </w:r>
          </w:p>
        </w:tc>
      </w:tr>
      <w:tr w:rsidRPr="00F31A99" w:rsidR="00AE1B2B" w:rsidTr="00F31A99" w14:paraId="11F441B6" w14:textId="77777777">
        <w:trPr>
          <w:trHeight w:val="335"/>
          <w:jc w:val="center"/>
        </w:trPr>
        <w:tc>
          <w:tcPr>
            <w:tcW w:w="1987" w:type="dxa"/>
            <w:shd w:val="clear" w:color="auto" w:fill="F2F2F2"/>
            <w:noWrap/>
            <w:vAlign w:val="bottom"/>
          </w:tcPr>
          <w:p w:rsidRPr="00F31A99" w:rsidR="00F31A99" w:rsidP="00F31A99" w:rsidRDefault="00F31A99" w14:paraId="7965CC08"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Monto formulado</w:t>
            </w:r>
          </w:p>
        </w:tc>
        <w:tc>
          <w:tcPr>
            <w:tcW w:w="1390" w:type="dxa"/>
            <w:shd w:val="clear" w:color="auto" w:fill="auto"/>
            <w:noWrap/>
            <w:vAlign w:val="bottom"/>
          </w:tcPr>
          <w:p w:rsidRPr="00F31A99" w:rsidR="00F31A99" w:rsidP="00F31A99" w:rsidRDefault="00F31A99" w14:paraId="51515195"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2,837,313,449 </w:t>
            </w:r>
          </w:p>
        </w:tc>
        <w:tc>
          <w:tcPr>
            <w:tcW w:w="1388" w:type="dxa"/>
            <w:shd w:val="clear" w:color="auto" w:fill="auto"/>
            <w:noWrap/>
            <w:vAlign w:val="bottom"/>
          </w:tcPr>
          <w:p w:rsidRPr="00F31A99" w:rsidR="00F31A99" w:rsidP="00F31A99" w:rsidRDefault="00F31A99" w14:paraId="37B39294"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2,532,789,863 </w:t>
            </w:r>
          </w:p>
        </w:tc>
        <w:tc>
          <w:tcPr>
            <w:tcW w:w="1388" w:type="dxa"/>
            <w:shd w:val="clear" w:color="auto" w:fill="auto"/>
            <w:noWrap/>
            <w:vAlign w:val="bottom"/>
          </w:tcPr>
          <w:p w:rsidRPr="00F31A99" w:rsidR="00F31A99" w:rsidP="00F31A99" w:rsidRDefault="00F31A99" w14:paraId="7F0AFC3F"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2,560,918,327 </w:t>
            </w:r>
          </w:p>
        </w:tc>
        <w:tc>
          <w:tcPr>
            <w:tcW w:w="1388" w:type="dxa"/>
            <w:shd w:val="clear" w:color="auto" w:fill="auto"/>
            <w:noWrap/>
            <w:vAlign w:val="bottom"/>
          </w:tcPr>
          <w:p w:rsidRPr="00F31A99" w:rsidR="00F31A99" w:rsidP="00F31A99" w:rsidRDefault="00F31A99" w14:paraId="637BFDD6"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2,886,981,790 </w:t>
            </w:r>
          </w:p>
        </w:tc>
        <w:tc>
          <w:tcPr>
            <w:tcW w:w="1601" w:type="dxa"/>
            <w:shd w:val="clear" w:color="auto" w:fill="auto"/>
            <w:noWrap/>
            <w:vAlign w:val="bottom"/>
          </w:tcPr>
          <w:p w:rsidRPr="00F31A99" w:rsidR="00F31A99" w:rsidP="00F31A99" w:rsidRDefault="00F31A99" w14:paraId="26C5EBD0"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2,921,685,447 </w:t>
            </w:r>
          </w:p>
        </w:tc>
      </w:tr>
      <w:tr w:rsidRPr="00F31A99" w:rsidR="00AE1B2B" w:rsidTr="00F31A99" w14:paraId="2F1E7376" w14:textId="77777777">
        <w:trPr>
          <w:trHeight w:val="335"/>
          <w:jc w:val="center"/>
        </w:trPr>
        <w:tc>
          <w:tcPr>
            <w:tcW w:w="1987" w:type="dxa"/>
            <w:shd w:val="clear" w:color="auto" w:fill="F2F2F2"/>
            <w:noWrap/>
            <w:vAlign w:val="bottom"/>
          </w:tcPr>
          <w:p w:rsidRPr="00F31A99" w:rsidR="00F31A99" w:rsidP="00F31A99" w:rsidRDefault="00F31A99" w14:paraId="6289B0F7"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Variación </w:t>
            </w:r>
          </w:p>
        </w:tc>
        <w:tc>
          <w:tcPr>
            <w:tcW w:w="1390" w:type="dxa"/>
            <w:shd w:val="clear" w:color="auto" w:fill="auto"/>
            <w:noWrap/>
            <w:vAlign w:val="bottom"/>
          </w:tcPr>
          <w:p w:rsidRPr="00F31A99" w:rsidR="00F31A99" w:rsidP="00F31A99" w:rsidRDefault="00F31A99" w14:paraId="5756E95E" w14:textId="77777777">
            <w:pPr>
              <w:widowControl w:val="0"/>
              <w:autoSpaceDN w:val="0"/>
              <w:jc w:val="right"/>
              <w:rPr>
                <w:rFonts w:ascii="Times New Roman" w:hAnsi="Times New Roman" w:eastAsia="Times New Roman" w:cs="Times New Roman"/>
                <w:u w:color="000000"/>
                <w:lang w:eastAsia="es-CR"/>
              </w:rPr>
            </w:pPr>
          </w:p>
        </w:tc>
        <w:tc>
          <w:tcPr>
            <w:tcW w:w="1388" w:type="dxa"/>
            <w:shd w:val="clear" w:color="auto" w:fill="auto"/>
            <w:noWrap/>
            <w:vAlign w:val="bottom"/>
          </w:tcPr>
          <w:p w:rsidRPr="00F31A99" w:rsidR="00F31A99" w:rsidP="00F31A99" w:rsidRDefault="00F31A99" w14:paraId="3C439BBB"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-11%</w:t>
            </w:r>
          </w:p>
        </w:tc>
        <w:tc>
          <w:tcPr>
            <w:tcW w:w="1388" w:type="dxa"/>
            <w:shd w:val="clear" w:color="auto" w:fill="auto"/>
            <w:noWrap/>
            <w:vAlign w:val="bottom"/>
          </w:tcPr>
          <w:p w:rsidRPr="00F31A99" w:rsidR="00F31A99" w:rsidP="00F31A99" w:rsidRDefault="00F31A99" w14:paraId="08BA33F2"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w:t>
            </w:r>
          </w:p>
        </w:tc>
        <w:tc>
          <w:tcPr>
            <w:tcW w:w="1388" w:type="dxa"/>
            <w:shd w:val="clear" w:color="auto" w:fill="auto"/>
            <w:noWrap/>
            <w:vAlign w:val="bottom"/>
          </w:tcPr>
          <w:p w:rsidRPr="00F31A99" w:rsidR="00F31A99" w:rsidP="00F31A99" w:rsidRDefault="00F31A99" w14:paraId="6A678AAD"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13%</w:t>
            </w:r>
          </w:p>
        </w:tc>
        <w:tc>
          <w:tcPr>
            <w:tcW w:w="1601" w:type="dxa"/>
            <w:shd w:val="clear" w:color="auto" w:fill="auto"/>
            <w:noWrap/>
            <w:vAlign w:val="bottom"/>
          </w:tcPr>
          <w:p w:rsidRPr="00F31A99" w:rsidR="00F31A99" w:rsidP="00F31A99" w:rsidRDefault="00F31A99" w14:paraId="213FFECB"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w:t>
            </w:r>
          </w:p>
        </w:tc>
      </w:tr>
    </w:tbl>
    <w:p w:rsidRPr="00F31A99" w:rsidR="00F31A99" w:rsidP="00F31A99" w:rsidRDefault="00F31A99" w14:paraId="3E4034CF" w14:textId="77777777">
      <w:pPr>
        <w:widowControl w:val="0"/>
        <w:autoSpaceDN w:val="0"/>
        <w:rPr>
          <w:rFonts w:ascii="Times New Roman" w:hAnsi="Times New Roman" w:eastAsia="Calibri" w:cs="Times New Roman"/>
          <w:bCs/>
          <w:sz w:val="16"/>
          <w:szCs w:val="16"/>
          <w:u w:color="000000"/>
        </w:rPr>
      </w:pPr>
    </w:p>
    <w:p w:rsidRPr="00F31A99" w:rsidR="00F31A99" w:rsidP="00F31A99" w:rsidRDefault="00F31A99" w14:paraId="4036B2DB" w14:textId="77777777">
      <w:pPr>
        <w:widowControl w:val="0"/>
        <w:autoSpaceDN w:val="0"/>
        <w:ind w:firstLine="709"/>
        <w:rPr>
          <w:rFonts w:ascii="Times New Roman" w:hAnsi="Times New Roman" w:eastAsia="Calibri" w:cs="Times New Roman"/>
          <w:bCs/>
          <w:sz w:val="16"/>
          <w:szCs w:val="16"/>
          <w:u w:color="000000"/>
        </w:rPr>
      </w:pPr>
      <w:r w:rsidRPr="00F31A99">
        <w:rPr>
          <w:rFonts w:ascii="Times New Roman" w:hAnsi="Times New Roman" w:eastAsia="Calibri" w:cs="Times New Roman"/>
          <w:bCs/>
          <w:sz w:val="16"/>
          <w:szCs w:val="16"/>
          <w:u w:color="000000"/>
        </w:rPr>
        <w:t>Fuente: SIGA PJ</w:t>
      </w:r>
    </w:p>
    <w:p w:rsidRPr="00F31A99" w:rsidR="00F31A99" w:rsidP="00F31A99" w:rsidRDefault="00F31A99" w14:paraId="0D78443E" w14:textId="77777777">
      <w:pPr>
        <w:widowControl w:val="0"/>
        <w:autoSpaceDN w:val="0"/>
        <w:spacing w:line="360" w:lineRule="auto"/>
        <w:ind w:firstLine="709"/>
        <w:jc w:val="both"/>
        <w:rPr>
          <w:rFonts w:ascii="Times New Roman" w:hAnsi="Times New Roman" w:eastAsia="Calibri" w:cs="Times New Roman"/>
          <w:sz w:val="24"/>
          <w:szCs w:val="24"/>
          <w:u w:color="000000"/>
        </w:rPr>
      </w:pPr>
    </w:p>
    <w:p w:rsidRPr="00F31A99" w:rsidR="00F31A99" w:rsidP="00F31A99" w:rsidRDefault="00F31A99" w14:paraId="59DEB957"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Del cuadro anterior, se puede observar que la conducta de la subpartida de energía eléctrica no es constante a través de los años, para el periodo 2019 la subpartida disminuyó en 11%. Para los años 2020, 2021 y 2022 los porcentajes son 1%, 13% y 1% respectivamente. </w:t>
      </w:r>
    </w:p>
    <w:p w:rsidRPr="00F31A99" w:rsidR="00F31A99" w:rsidP="00F31A99" w:rsidRDefault="00F31A99" w14:paraId="50792EFF" w14:textId="77777777">
      <w:pPr>
        <w:widowControl w:val="0"/>
        <w:autoSpaceDN w:val="0"/>
        <w:rPr>
          <w:rFonts w:ascii="Times New Roman" w:hAnsi="Times New Roman" w:eastAsia="Times New Roman" w:cs="Times New Roman"/>
          <w:b/>
          <w:bCs/>
          <w:sz w:val="24"/>
          <w:szCs w:val="24"/>
          <w:u w:color="000000"/>
        </w:rPr>
      </w:pPr>
    </w:p>
    <w:p w:rsidRPr="00F31A99" w:rsidR="00F31A99" w:rsidP="00F31A99" w:rsidRDefault="00F31A99" w14:paraId="540CD828"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Figura N° 3. Formulación y Ejecución Periodos 2018 – 2022</w:t>
      </w:r>
    </w:p>
    <w:p w:rsidRPr="00F31A99" w:rsidR="00F31A99" w:rsidP="00F31A99" w:rsidRDefault="00F31A99" w14:paraId="0BCD697A" w14:textId="77777777">
      <w:pPr>
        <w:widowControl w:val="0"/>
        <w:autoSpaceDN w:val="0"/>
        <w:ind w:left="851" w:right="851" w:firstLine="709"/>
        <w:jc w:val="center"/>
        <w:rPr>
          <w:rFonts w:ascii="Times New Roman" w:hAnsi="Times New Roman" w:eastAsia="Times New Roman" w:cs="Times New Roman"/>
          <w:b/>
          <w:bCs/>
          <w:sz w:val="24"/>
          <w:szCs w:val="24"/>
          <w:u w:color="000000"/>
        </w:rPr>
      </w:pPr>
    </w:p>
    <w:p w:rsidRPr="00F31A99" w:rsidR="00F31A99" w:rsidP="00F31A99" w:rsidRDefault="00F31A99" w14:paraId="625412DC" w14:textId="77777777">
      <w:pPr>
        <w:widowControl w:val="0"/>
        <w:autoSpaceDN w:val="0"/>
        <w:jc w:val="center"/>
        <w:rPr>
          <w:rFonts w:ascii="Times New Roman" w:hAnsi="Times New Roman" w:eastAsia="Calibri" w:cs="Times New Roman"/>
          <w:bCs/>
          <w:sz w:val="24"/>
          <w:u w:color="000000"/>
        </w:rPr>
      </w:pPr>
      <w:r w:rsidRPr="00F31A99">
        <w:rPr>
          <w:rFonts w:ascii="Times New Roman" w:hAnsi="Times New Roman" w:eastAsia="Calibri" w:cs="Times New Roman"/>
          <w:noProof/>
          <w:u w:color="000000"/>
          <w:lang w:eastAsia="es-MX"/>
        </w:rPr>
        <w:drawing>
          <wp:inline distT="0" distB="0" distL="0" distR="0" wp14:anchorId="4CA4545C" wp14:editId="574528D5">
            <wp:extent cx="5353050" cy="1938194"/>
            <wp:effectExtent l="0" t="0" r="0" b="5080"/>
            <wp:docPr id="128" name="Imagen 1">
              <a:extLst xmlns:a="http://schemas.openxmlformats.org/drawingml/2006/main">
                <a:ext uri="{FF2B5EF4-FFF2-40B4-BE49-F238E27FC236}">
                  <a16:creationId xmlns:a16="http://schemas.microsoft.com/office/drawing/2014/main" id="{4F6BBA0A-6DA3-46E3-81E0-5B44A7A547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4F6BBA0A-6DA3-46E3-81E0-5B44A7A547A3}"/>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75296" cy="1946249"/>
                    </a:xfrm>
                    <a:prstGeom prst="rect">
                      <a:avLst/>
                    </a:prstGeom>
                    <a:noFill/>
                  </pic:spPr>
                </pic:pic>
              </a:graphicData>
            </a:graphic>
          </wp:inline>
        </w:drawing>
      </w:r>
    </w:p>
    <w:p w:rsidRPr="00F31A99" w:rsidR="00F31A99" w:rsidP="00F31A99" w:rsidRDefault="00F31A99" w14:paraId="4E645BD6" w14:textId="77777777">
      <w:pPr>
        <w:widowControl w:val="0"/>
        <w:autoSpaceDN w:val="0"/>
        <w:ind w:firstLine="709"/>
        <w:jc w:val="both"/>
        <w:rPr>
          <w:rFonts w:ascii="Times New Roman" w:hAnsi="Times New Roman" w:eastAsia="Calibri" w:cs="Times New Roman"/>
          <w:bCs/>
          <w:sz w:val="16"/>
          <w:szCs w:val="16"/>
          <w:u w:color="000000"/>
        </w:rPr>
      </w:pPr>
      <w:r w:rsidRPr="00F31A99">
        <w:rPr>
          <w:rFonts w:ascii="Times New Roman" w:hAnsi="Times New Roman" w:eastAsia="Calibri" w:cs="Times New Roman"/>
          <w:bCs/>
          <w:sz w:val="16"/>
          <w:szCs w:val="16"/>
          <w:u w:color="000000"/>
        </w:rPr>
        <w:t>Fuente: SIGA PJ</w:t>
      </w:r>
    </w:p>
    <w:p w:rsidRPr="00F31A99" w:rsidR="00F31A99" w:rsidP="00F31A99" w:rsidRDefault="00F31A99" w14:paraId="7B23F961"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2E22F9DF"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lastRenderedPageBreak/>
        <w:t xml:space="preserve">En la figura anterior, se puede observar el comportamiento de la subpartida de servicio de energía eléctrica, tanto en la formulación como en la ejecución. </w:t>
      </w:r>
    </w:p>
    <w:p w:rsidRPr="00F31A99" w:rsidR="00F31A99" w:rsidP="00F31A99" w:rsidRDefault="00F31A99" w14:paraId="0ED8AEC4"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29B54502"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El comportamiento en el periodo 2018 presentó una formulación superior a la ejecución, no así para los periodos 2019 y 2020, donde el monto formulado fue inferior al monto ejecutado. A partir del periodo 2021 se presenta un incremento, considerando los montos establecidos por concepto del impuesto al valor agregado. </w:t>
      </w:r>
    </w:p>
    <w:p w:rsidRPr="00F31A99" w:rsidR="00F31A99" w:rsidP="00F31A99" w:rsidRDefault="00F31A99" w14:paraId="2A253339"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702ACED9"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Mediante oficio N° 3357-DE-20 relacionado con la Formulación Presupuestaria de Servicios Públicos 2022, la Dirección Ejecutiva indicó:</w:t>
      </w:r>
    </w:p>
    <w:p w:rsidRPr="00F31A99" w:rsidR="00F31A99" w:rsidP="00F31A99" w:rsidRDefault="00F31A99" w14:paraId="354E3D10"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15896DC0"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“Los rubros estimados, son basados en costos reales y proyectados durante el 2019, costo de vida proyectado para el 2020, así como el 13% del impuesto al valor agregado. </w:t>
      </w:r>
    </w:p>
    <w:p w:rsidRPr="00F31A99" w:rsidR="00F31A99" w:rsidP="00F31A99" w:rsidRDefault="00F31A99" w14:paraId="5444178B"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5348238F"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Por su lado, la distribución del monto adicional para alcanzar el monto meta para la formulación en servicios públicos para el año 2021, debe ser lo más objetiva posible, de modo tal que se consideren las recomendaciones realizadas por el Ministerio de Hacienda, para que los recursos asignados a un programa sean para cubrir sus servicios y se acerque lo más posible a la realidad del gasto.”</w:t>
      </w:r>
    </w:p>
    <w:p w:rsidRPr="00F31A99" w:rsidR="00F31A99" w:rsidP="00F31A99" w:rsidRDefault="00F31A99" w14:paraId="11890CA7"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51B72521" w14:textId="77777777">
      <w:pPr>
        <w:widowControl w:val="0"/>
        <w:autoSpaceDN w:val="0"/>
        <w:ind w:left="851" w:right="851" w:firstLine="709"/>
        <w:rPr>
          <w:rFonts w:ascii="Times New Roman" w:hAnsi="Times New Roman" w:eastAsia="Calibri" w:cs="Times New Roman"/>
          <w:sz w:val="23"/>
          <w:szCs w:val="23"/>
          <w:u w:color="000000"/>
        </w:rPr>
      </w:pPr>
      <w:r w:rsidRPr="00F31A99">
        <w:rPr>
          <w:rFonts w:ascii="Times New Roman" w:hAnsi="Times New Roman" w:eastAsia="Calibri" w:cs="Times New Roman"/>
          <w:b/>
          <w:bCs/>
          <w:sz w:val="26"/>
          <w:szCs w:val="26"/>
          <w:u w:color="000000"/>
        </w:rPr>
        <w:t>1.2.2 Análisis de la ejecución presupuestaria de la subpartida</w:t>
      </w:r>
    </w:p>
    <w:p w:rsidRPr="00F31A99" w:rsidR="00F31A99" w:rsidP="00F31A99" w:rsidRDefault="00F31A99" w14:paraId="7A18413F" w14:textId="77777777">
      <w:pPr>
        <w:widowControl w:val="0"/>
        <w:autoSpaceDN w:val="0"/>
        <w:jc w:val="both"/>
        <w:rPr>
          <w:rFonts w:ascii="Times New Roman" w:hAnsi="Times New Roman" w:eastAsia="Calibri" w:cs="Times New Roman"/>
          <w:bCs/>
          <w:sz w:val="24"/>
          <w:u w:color="000000"/>
        </w:rPr>
      </w:pPr>
    </w:p>
    <w:p w:rsidRPr="00F31A99" w:rsidR="00F31A99" w:rsidP="00F31A99" w:rsidRDefault="00F31A99" w14:paraId="0F8BFB0F" w14:textId="77777777">
      <w:pPr>
        <w:widowControl w:val="0"/>
        <w:autoSpaceDN w:val="0"/>
        <w:ind w:left="851" w:right="851" w:firstLine="709"/>
        <w:jc w:val="both"/>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Tabla 7. Ejecución presupuestaria periodos 2018 -2020</w:t>
      </w:r>
    </w:p>
    <w:p w:rsidRPr="00F31A99" w:rsidR="00F31A99" w:rsidP="00F31A99" w:rsidRDefault="00F31A99" w14:paraId="082B3AF4" w14:textId="77777777">
      <w:pPr>
        <w:widowControl w:val="0"/>
        <w:autoSpaceDN w:val="0"/>
        <w:ind w:left="851" w:right="851" w:firstLine="709"/>
        <w:jc w:val="both"/>
        <w:rPr>
          <w:rFonts w:ascii="Times New Roman" w:hAnsi="Times New Roman" w:eastAsia="Calibri" w:cs="Times New Roman"/>
          <w:b/>
          <w:bCs/>
          <w:sz w:val="26"/>
          <w:szCs w:val="26"/>
          <w:u w:color="000000"/>
        </w:rPr>
      </w:pPr>
    </w:p>
    <w:tbl>
      <w:tblPr>
        <w:tblW w:w="5000" w:type="pct"/>
        <w:jc w:val="center"/>
        <w:tblCellMar>
          <w:left w:w="70" w:type="dxa"/>
          <w:right w:w="70" w:type="dxa"/>
        </w:tblCellMar>
        <w:tblLook w:val="04A0" w:firstRow="1" w:lastRow="0" w:firstColumn="1" w:lastColumn="0" w:noHBand="0" w:noVBand="1"/>
      </w:tblPr>
      <w:tblGrid>
        <w:gridCol w:w="1393"/>
        <w:gridCol w:w="2760"/>
        <w:gridCol w:w="2711"/>
        <w:gridCol w:w="1977"/>
      </w:tblGrid>
      <w:tr w:rsidRPr="00F31A99" w:rsidR="00AE1B2B" w:rsidTr="00A306B2" w14:paraId="39FC1E0F" w14:textId="77777777">
        <w:trPr>
          <w:trHeight w:val="300"/>
          <w:jc w:val="center"/>
        </w:trPr>
        <w:tc>
          <w:tcPr>
            <w:tcW w:w="788" w:type="pct"/>
            <w:tcBorders>
              <w:top w:val="nil"/>
              <w:left w:val="nil"/>
              <w:bottom w:val="single" w:color="8497B0" w:sz="8" w:space="0"/>
              <w:right w:val="nil"/>
            </w:tcBorders>
            <w:shd w:val="clear" w:color="000000" w:fill="D9D9D9"/>
            <w:noWrap/>
            <w:vAlign w:val="bottom"/>
            <w:hideMark/>
          </w:tcPr>
          <w:p w:rsidRPr="00F31A99" w:rsidR="00F31A99" w:rsidP="00F31A99" w:rsidRDefault="00F31A99" w14:paraId="7D816792" w14:textId="77777777">
            <w:pPr>
              <w:widowControl w:val="0"/>
              <w:autoSpaceDN w:val="0"/>
              <w:rPr>
                <w:rFonts w:ascii="Times New Roman" w:hAnsi="Times New Roman" w:eastAsia="Times New Roman" w:cs="Times New Roman"/>
                <w:b/>
                <w:bCs/>
                <w:u w:color="000000"/>
                <w:lang w:eastAsia="es-CR"/>
              </w:rPr>
            </w:pPr>
            <w:bookmarkStart w:name="_Hlk66873276" w:id="7"/>
            <w:r w:rsidRPr="00F31A99">
              <w:rPr>
                <w:rFonts w:ascii="Times New Roman" w:hAnsi="Times New Roman" w:eastAsia="Times New Roman" w:cs="Times New Roman"/>
                <w:b/>
                <w:bCs/>
                <w:u w:color="000000"/>
                <w:lang w:eastAsia="es-CR"/>
              </w:rPr>
              <w:t>Periodo</w:t>
            </w:r>
          </w:p>
        </w:tc>
        <w:tc>
          <w:tcPr>
            <w:tcW w:w="1561" w:type="pct"/>
            <w:tcBorders>
              <w:top w:val="nil"/>
              <w:left w:val="nil"/>
              <w:bottom w:val="single" w:color="8497B0" w:sz="8" w:space="0"/>
              <w:right w:val="nil"/>
            </w:tcBorders>
            <w:shd w:val="clear" w:color="000000" w:fill="D9D9D9"/>
            <w:noWrap/>
            <w:vAlign w:val="center"/>
            <w:hideMark/>
          </w:tcPr>
          <w:p w:rsidRPr="00F31A99" w:rsidR="00F31A99" w:rsidP="00F31A99" w:rsidRDefault="00F31A99" w14:paraId="686F506F"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Formulado</w:t>
            </w:r>
          </w:p>
        </w:tc>
        <w:tc>
          <w:tcPr>
            <w:tcW w:w="1533" w:type="pct"/>
            <w:tcBorders>
              <w:top w:val="nil"/>
              <w:left w:val="nil"/>
              <w:bottom w:val="single" w:color="8497B0" w:sz="8" w:space="0"/>
              <w:right w:val="nil"/>
            </w:tcBorders>
            <w:shd w:val="clear" w:color="000000" w:fill="D9D9D9"/>
            <w:noWrap/>
            <w:vAlign w:val="bottom"/>
            <w:hideMark/>
          </w:tcPr>
          <w:p w:rsidRPr="00F31A99" w:rsidR="00F31A99" w:rsidP="00F31A99" w:rsidRDefault="00F31A99" w14:paraId="116DB108"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Ejecutado</w:t>
            </w:r>
          </w:p>
        </w:tc>
        <w:tc>
          <w:tcPr>
            <w:tcW w:w="1118" w:type="pct"/>
            <w:tcBorders>
              <w:top w:val="nil"/>
              <w:left w:val="nil"/>
              <w:bottom w:val="single" w:color="8497B0" w:sz="8" w:space="0"/>
              <w:right w:val="nil"/>
            </w:tcBorders>
            <w:shd w:val="clear" w:color="000000" w:fill="D9D9D9"/>
            <w:noWrap/>
            <w:vAlign w:val="bottom"/>
            <w:hideMark/>
          </w:tcPr>
          <w:p w:rsidRPr="00F31A99" w:rsidR="00F31A99" w:rsidP="00F31A99" w:rsidRDefault="00F31A99" w14:paraId="382D394D"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Ejecución</w:t>
            </w:r>
          </w:p>
        </w:tc>
      </w:tr>
      <w:tr w:rsidRPr="00F31A99" w:rsidR="00AE1B2B" w:rsidTr="00A306B2" w14:paraId="274DF905" w14:textId="77777777">
        <w:trPr>
          <w:trHeight w:val="288"/>
          <w:jc w:val="center"/>
        </w:trPr>
        <w:tc>
          <w:tcPr>
            <w:tcW w:w="788" w:type="pct"/>
            <w:tcBorders>
              <w:top w:val="nil"/>
              <w:left w:val="nil"/>
              <w:bottom w:val="nil"/>
              <w:right w:val="nil"/>
            </w:tcBorders>
            <w:shd w:val="clear" w:color="auto" w:fill="auto"/>
            <w:noWrap/>
            <w:vAlign w:val="center"/>
            <w:hideMark/>
          </w:tcPr>
          <w:p w:rsidRPr="00F31A99" w:rsidR="00F31A99" w:rsidP="00F31A99" w:rsidRDefault="00F31A99" w14:paraId="1819EC2F"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2018 </w:t>
            </w:r>
          </w:p>
        </w:tc>
        <w:tc>
          <w:tcPr>
            <w:tcW w:w="1561" w:type="pct"/>
            <w:tcBorders>
              <w:top w:val="nil"/>
              <w:left w:val="nil"/>
              <w:bottom w:val="nil"/>
              <w:right w:val="nil"/>
            </w:tcBorders>
            <w:shd w:val="clear" w:color="auto" w:fill="auto"/>
            <w:noWrap/>
            <w:vAlign w:val="center"/>
            <w:hideMark/>
          </w:tcPr>
          <w:p w:rsidRPr="00F31A99" w:rsidR="00F31A99" w:rsidP="00F31A99" w:rsidRDefault="00F31A99" w14:paraId="35868C89"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 2,837,313,449 </w:t>
            </w:r>
          </w:p>
        </w:tc>
        <w:tc>
          <w:tcPr>
            <w:tcW w:w="1533" w:type="pct"/>
            <w:tcBorders>
              <w:top w:val="nil"/>
              <w:left w:val="nil"/>
              <w:bottom w:val="nil"/>
              <w:right w:val="nil"/>
            </w:tcBorders>
            <w:shd w:val="clear" w:color="auto" w:fill="auto"/>
            <w:noWrap/>
            <w:vAlign w:val="center"/>
            <w:hideMark/>
          </w:tcPr>
          <w:p w:rsidRPr="00F31A99" w:rsidR="00F31A99" w:rsidP="00F31A99" w:rsidRDefault="00F31A99" w14:paraId="05CA25DC"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 2,512,792,991 </w:t>
            </w:r>
          </w:p>
        </w:tc>
        <w:tc>
          <w:tcPr>
            <w:tcW w:w="1118" w:type="pct"/>
            <w:tcBorders>
              <w:top w:val="nil"/>
              <w:left w:val="nil"/>
              <w:bottom w:val="nil"/>
              <w:right w:val="nil"/>
            </w:tcBorders>
            <w:shd w:val="clear" w:color="auto" w:fill="auto"/>
            <w:noWrap/>
            <w:vAlign w:val="bottom"/>
            <w:hideMark/>
          </w:tcPr>
          <w:p w:rsidRPr="00F31A99" w:rsidR="00F31A99" w:rsidP="00F31A99" w:rsidRDefault="00F31A99" w14:paraId="371B2457"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88.56%</w:t>
            </w:r>
          </w:p>
        </w:tc>
      </w:tr>
      <w:tr w:rsidRPr="00F31A99" w:rsidR="00AE1B2B" w:rsidTr="00A306B2" w14:paraId="70AE125C" w14:textId="77777777">
        <w:trPr>
          <w:trHeight w:val="300"/>
          <w:jc w:val="center"/>
        </w:trPr>
        <w:tc>
          <w:tcPr>
            <w:tcW w:w="788" w:type="pct"/>
            <w:tcBorders>
              <w:top w:val="nil"/>
              <w:left w:val="nil"/>
              <w:bottom w:val="nil"/>
              <w:right w:val="nil"/>
            </w:tcBorders>
            <w:shd w:val="clear" w:color="auto" w:fill="auto"/>
            <w:noWrap/>
            <w:vAlign w:val="center"/>
            <w:hideMark/>
          </w:tcPr>
          <w:p w:rsidRPr="00F31A99" w:rsidR="00F31A99" w:rsidP="00F31A99" w:rsidRDefault="00F31A99" w14:paraId="7556FF5E"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2019 </w:t>
            </w:r>
          </w:p>
        </w:tc>
        <w:tc>
          <w:tcPr>
            <w:tcW w:w="1561" w:type="pct"/>
            <w:tcBorders>
              <w:top w:val="nil"/>
              <w:left w:val="nil"/>
              <w:bottom w:val="nil"/>
              <w:right w:val="nil"/>
            </w:tcBorders>
            <w:shd w:val="clear" w:color="auto" w:fill="auto"/>
            <w:noWrap/>
            <w:vAlign w:val="center"/>
            <w:hideMark/>
          </w:tcPr>
          <w:p w:rsidRPr="00F31A99" w:rsidR="00F31A99" w:rsidP="00F31A99" w:rsidRDefault="00F31A99" w14:paraId="258FAF16"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 2,532,789,863 </w:t>
            </w:r>
          </w:p>
        </w:tc>
        <w:tc>
          <w:tcPr>
            <w:tcW w:w="1533" w:type="pct"/>
            <w:tcBorders>
              <w:top w:val="nil"/>
              <w:left w:val="nil"/>
              <w:bottom w:val="nil"/>
              <w:right w:val="nil"/>
            </w:tcBorders>
            <w:shd w:val="clear" w:color="auto" w:fill="auto"/>
            <w:noWrap/>
            <w:vAlign w:val="bottom"/>
            <w:hideMark/>
          </w:tcPr>
          <w:p w:rsidRPr="00F31A99" w:rsidR="00F31A99" w:rsidP="00F31A99" w:rsidRDefault="00F31A99" w14:paraId="143CB53D"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 2,543,549,863 </w:t>
            </w:r>
          </w:p>
        </w:tc>
        <w:tc>
          <w:tcPr>
            <w:tcW w:w="1118" w:type="pct"/>
            <w:tcBorders>
              <w:top w:val="nil"/>
              <w:left w:val="nil"/>
              <w:bottom w:val="nil"/>
              <w:right w:val="nil"/>
            </w:tcBorders>
            <w:shd w:val="clear" w:color="auto" w:fill="auto"/>
            <w:noWrap/>
            <w:vAlign w:val="bottom"/>
            <w:hideMark/>
          </w:tcPr>
          <w:p w:rsidRPr="00F31A99" w:rsidR="00F31A99" w:rsidP="00F31A99" w:rsidRDefault="00F31A99" w14:paraId="78019B41"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100.42%</w:t>
            </w:r>
          </w:p>
        </w:tc>
      </w:tr>
      <w:tr w:rsidRPr="00F31A99" w:rsidR="00AE1B2B" w:rsidTr="00A306B2" w14:paraId="3E71CD24" w14:textId="77777777">
        <w:trPr>
          <w:trHeight w:val="300"/>
          <w:jc w:val="center"/>
        </w:trPr>
        <w:tc>
          <w:tcPr>
            <w:tcW w:w="788" w:type="pct"/>
            <w:tcBorders>
              <w:top w:val="nil"/>
              <w:left w:val="nil"/>
              <w:bottom w:val="single" w:color="8497B0" w:sz="8" w:space="0"/>
              <w:right w:val="nil"/>
            </w:tcBorders>
            <w:shd w:val="clear" w:color="auto" w:fill="auto"/>
            <w:noWrap/>
            <w:vAlign w:val="center"/>
            <w:hideMark/>
          </w:tcPr>
          <w:p w:rsidRPr="00F31A99" w:rsidR="00F31A99" w:rsidP="00F31A99" w:rsidRDefault="00F31A99" w14:paraId="6103361A"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2020 </w:t>
            </w:r>
          </w:p>
        </w:tc>
        <w:tc>
          <w:tcPr>
            <w:tcW w:w="1561" w:type="pct"/>
            <w:tcBorders>
              <w:top w:val="nil"/>
              <w:left w:val="nil"/>
              <w:bottom w:val="single" w:color="8497B0" w:sz="8" w:space="0"/>
              <w:right w:val="nil"/>
            </w:tcBorders>
            <w:shd w:val="clear" w:color="auto" w:fill="auto"/>
            <w:noWrap/>
            <w:vAlign w:val="center"/>
            <w:hideMark/>
          </w:tcPr>
          <w:p w:rsidRPr="00F31A99" w:rsidR="00F31A99" w:rsidP="00F31A99" w:rsidRDefault="00F31A99" w14:paraId="533F65D3"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 2,560,918,327 </w:t>
            </w:r>
          </w:p>
        </w:tc>
        <w:tc>
          <w:tcPr>
            <w:tcW w:w="1533" w:type="pct"/>
            <w:tcBorders>
              <w:top w:val="nil"/>
              <w:left w:val="nil"/>
              <w:bottom w:val="single" w:color="8497B0" w:sz="8" w:space="0"/>
              <w:right w:val="nil"/>
            </w:tcBorders>
            <w:shd w:val="clear" w:color="auto" w:fill="auto"/>
            <w:noWrap/>
            <w:vAlign w:val="center"/>
            <w:hideMark/>
          </w:tcPr>
          <w:p w:rsidRPr="00F31A99" w:rsidR="00F31A99" w:rsidP="00F31A99" w:rsidRDefault="00F31A99" w14:paraId="42323C73"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 2,709,165,627 </w:t>
            </w:r>
          </w:p>
        </w:tc>
        <w:tc>
          <w:tcPr>
            <w:tcW w:w="1118" w:type="pct"/>
            <w:tcBorders>
              <w:top w:val="nil"/>
              <w:left w:val="nil"/>
              <w:bottom w:val="single" w:color="8497B0" w:sz="8" w:space="0"/>
              <w:right w:val="nil"/>
            </w:tcBorders>
            <w:shd w:val="clear" w:color="auto" w:fill="auto"/>
            <w:noWrap/>
            <w:vAlign w:val="bottom"/>
            <w:hideMark/>
          </w:tcPr>
          <w:p w:rsidRPr="00F31A99" w:rsidR="00F31A99" w:rsidP="00F31A99" w:rsidRDefault="00F31A99" w14:paraId="1C45D7BA"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105.79%</w:t>
            </w:r>
          </w:p>
        </w:tc>
      </w:tr>
      <w:tr w:rsidRPr="00F31A99" w:rsidR="00AE1B2B" w:rsidTr="00A306B2" w14:paraId="5E595C49" w14:textId="77777777">
        <w:trPr>
          <w:trHeight w:val="288"/>
          <w:jc w:val="center"/>
        </w:trPr>
        <w:tc>
          <w:tcPr>
            <w:tcW w:w="788" w:type="pct"/>
            <w:tcBorders>
              <w:top w:val="nil"/>
              <w:left w:val="nil"/>
              <w:bottom w:val="nil"/>
              <w:right w:val="nil"/>
            </w:tcBorders>
            <w:shd w:val="clear" w:color="auto" w:fill="auto"/>
            <w:noWrap/>
            <w:vAlign w:val="center"/>
            <w:hideMark/>
          </w:tcPr>
          <w:p w:rsidRPr="00F31A99" w:rsidR="00F31A99" w:rsidP="00F31A99" w:rsidRDefault="00F31A99" w14:paraId="2ED7BE5D" w14:textId="77777777">
            <w:pPr>
              <w:widowControl w:val="0"/>
              <w:autoSpaceDN w:val="0"/>
              <w:jc w:val="right"/>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 Total </w:t>
            </w:r>
          </w:p>
        </w:tc>
        <w:tc>
          <w:tcPr>
            <w:tcW w:w="1561" w:type="pct"/>
            <w:tcBorders>
              <w:top w:val="nil"/>
              <w:left w:val="nil"/>
              <w:bottom w:val="nil"/>
              <w:right w:val="nil"/>
            </w:tcBorders>
            <w:shd w:val="clear" w:color="auto" w:fill="auto"/>
            <w:noWrap/>
            <w:vAlign w:val="bottom"/>
            <w:hideMark/>
          </w:tcPr>
          <w:p w:rsidRPr="00F31A99" w:rsidR="00F31A99" w:rsidP="00F31A99" w:rsidRDefault="00F31A99" w14:paraId="25AEB8EC"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 ₡ 7,931,021,639 </w:t>
            </w:r>
          </w:p>
        </w:tc>
        <w:tc>
          <w:tcPr>
            <w:tcW w:w="1533" w:type="pct"/>
            <w:tcBorders>
              <w:top w:val="nil"/>
              <w:left w:val="nil"/>
              <w:bottom w:val="nil"/>
              <w:right w:val="nil"/>
            </w:tcBorders>
            <w:shd w:val="clear" w:color="auto" w:fill="auto"/>
            <w:noWrap/>
            <w:vAlign w:val="bottom"/>
            <w:hideMark/>
          </w:tcPr>
          <w:p w:rsidRPr="00F31A99" w:rsidR="00F31A99" w:rsidP="00F31A99" w:rsidRDefault="00F31A99" w14:paraId="3AF905FC"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 ₡ 7,765,508,481 </w:t>
            </w:r>
          </w:p>
        </w:tc>
        <w:tc>
          <w:tcPr>
            <w:tcW w:w="1118" w:type="pct"/>
            <w:tcBorders>
              <w:top w:val="nil"/>
              <w:left w:val="nil"/>
              <w:bottom w:val="nil"/>
              <w:right w:val="nil"/>
            </w:tcBorders>
            <w:shd w:val="clear" w:color="auto" w:fill="auto"/>
            <w:noWrap/>
            <w:vAlign w:val="bottom"/>
            <w:hideMark/>
          </w:tcPr>
          <w:p w:rsidRPr="00F31A99" w:rsidR="00F31A99" w:rsidP="00F31A99" w:rsidRDefault="00F31A99" w14:paraId="7E675CA0" w14:textId="77777777">
            <w:pPr>
              <w:widowControl w:val="0"/>
              <w:autoSpaceDN w:val="0"/>
              <w:jc w:val="right"/>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97.91%</w:t>
            </w:r>
          </w:p>
        </w:tc>
      </w:tr>
      <w:bookmarkEnd w:id="7"/>
    </w:tbl>
    <w:p w:rsidRPr="00F31A99" w:rsidR="00F31A99" w:rsidP="00F31A99" w:rsidRDefault="00F31A99" w14:paraId="25364798" w14:textId="77777777">
      <w:pPr>
        <w:widowControl w:val="0"/>
        <w:autoSpaceDN w:val="0"/>
        <w:spacing w:line="360" w:lineRule="auto"/>
        <w:jc w:val="both"/>
        <w:rPr>
          <w:rFonts w:ascii="Times New Roman" w:hAnsi="Times New Roman" w:eastAsia="Calibri" w:cs="Times New Roman"/>
          <w:bCs/>
          <w:szCs w:val="20"/>
          <w:u w:color="000000"/>
        </w:rPr>
      </w:pPr>
    </w:p>
    <w:p w:rsidRPr="00F31A99" w:rsidR="00F31A99" w:rsidP="00F31A99" w:rsidRDefault="00F31A99" w14:paraId="2E655B5A" w14:textId="77777777">
      <w:pPr>
        <w:widowControl w:val="0"/>
        <w:autoSpaceDN w:val="0"/>
        <w:spacing w:line="360" w:lineRule="auto"/>
        <w:ind w:firstLine="709"/>
        <w:jc w:val="both"/>
        <w:rPr>
          <w:rFonts w:ascii="Times New Roman" w:hAnsi="Times New Roman" w:eastAsia="Calibri" w:cs="Times New Roman"/>
          <w:bCs/>
          <w:sz w:val="16"/>
          <w:szCs w:val="16"/>
          <w:u w:color="000000"/>
        </w:rPr>
      </w:pPr>
      <w:r w:rsidRPr="00F31A99">
        <w:rPr>
          <w:rFonts w:ascii="Times New Roman" w:hAnsi="Times New Roman" w:eastAsia="Calibri" w:cs="Times New Roman"/>
          <w:bCs/>
          <w:sz w:val="16"/>
          <w:szCs w:val="16"/>
          <w:u w:color="000000"/>
        </w:rPr>
        <w:t>Fuente: SIGA PJ</w:t>
      </w:r>
    </w:p>
    <w:p w:rsidRPr="00F31A99" w:rsidR="00F31A99" w:rsidP="00F31A99" w:rsidRDefault="00F31A99" w14:paraId="016E49F7" w14:textId="77777777">
      <w:pPr>
        <w:widowControl w:val="0"/>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7F183A08"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Durante el periodo 2018, el porcentaje de ejecución estuvo por </w:t>
      </w:r>
      <w:r w:rsidRPr="00F31A99">
        <w:rPr>
          <w:rFonts w:ascii="Times New Roman" w:hAnsi="Times New Roman" w:eastAsia="Calibri" w:cs="Times New Roman"/>
          <w:sz w:val="26"/>
          <w:szCs w:val="26"/>
          <w:u w:color="000000"/>
        </w:rPr>
        <w:lastRenderedPageBreak/>
        <w:t xml:space="preserve">debajo del 100%, siendo este de un 88.56%; no obstante, para el periodo 2019 y 2020 se presentó una ejecución superior al 100% con 100.42% y 105.79% respectivamente. </w:t>
      </w:r>
    </w:p>
    <w:p w:rsidRPr="00F31A99" w:rsidR="00F31A99" w:rsidP="00F31A99" w:rsidRDefault="00F31A99" w14:paraId="5F7732AD"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7AE00045"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Cabe indicar que el incremento en el año 2019 que representa un 0.42% obedece al comportamiento normal de consumo, teniendo en cuenta que la formulación se hace con una proyección. </w:t>
      </w:r>
    </w:p>
    <w:p w:rsidRPr="00F31A99" w:rsidR="00F31A99" w:rsidP="00F31A99" w:rsidRDefault="00F31A99" w14:paraId="7E7746B5"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40E08078"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Además, para el 2020 el incremento reflejado obedece a que no se había contemplado dentro de la formulación el Impuesto al valor agregado, que según estimó el Departamento de Financiero Contable fue de ¢285,499,025.</w:t>
      </w:r>
    </w:p>
    <w:p w:rsidRPr="00F31A99" w:rsidR="00F31A99" w:rsidP="00F31A99" w:rsidRDefault="00F31A99" w14:paraId="7FAD5907" w14:textId="77777777">
      <w:pPr>
        <w:widowControl w:val="0"/>
        <w:autoSpaceDN w:val="0"/>
        <w:rPr>
          <w:rFonts w:ascii="Times New Roman" w:hAnsi="Times New Roman" w:eastAsia="Calibri" w:cs="Times New Roman"/>
          <w:b/>
          <w:bCs/>
          <w:u w:color="000000"/>
        </w:rPr>
      </w:pPr>
    </w:p>
    <w:p w:rsidRPr="00F31A99" w:rsidR="00F31A99" w:rsidP="00F31A99" w:rsidRDefault="00F31A99" w14:paraId="383D4ECA" w14:textId="77777777">
      <w:pPr>
        <w:widowControl w:val="0"/>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1.2.3 Variación por programa 2021-2022</w:t>
      </w:r>
    </w:p>
    <w:p w:rsidRPr="00F31A99" w:rsidR="00F31A99" w:rsidP="00F31A99" w:rsidRDefault="00F31A99" w14:paraId="23046EEE" w14:textId="77777777">
      <w:pPr>
        <w:widowControl w:val="0"/>
        <w:autoSpaceDN w:val="0"/>
        <w:rPr>
          <w:rFonts w:ascii="Times New Roman" w:hAnsi="Times New Roman" w:eastAsia="Calibri" w:cs="Times New Roman"/>
          <w:u w:color="000000"/>
        </w:rPr>
      </w:pPr>
    </w:p>
    <w:p w:rsidRPr="00F31A99" w:rsidR="00F31A99" w:rsidP="00F31A99" w:rsidRDefault="00F31A99" w14:paraId="7C20683D"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Con el análisis comparativo por programa presupuestario, se determina que el Programa 927 Servicio Jurisdiccional, es el que presenta el mayor incremento en la formulación del Servicio de energía eléctrica con relación al periodo anterior, con una diferencia de ¢ 17.078.461 y una variación del 1.5%, seguido del Programa 926 y 928 con un incremento de ¢11.175.359 y ¢5.505.934 y una variación del 1.5% y 0.9% para dichos programas.</w:t>
      </w:r>
    </w:p>
    <w:p w:rsidRPr="00F31A99" w:rsidR="00F31A99" w:rsidP="00F31A99" w:rsidRDefault="00F31A99" w14:paraId="024BECD1"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35C8BCC2"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En el siguiente cuadro se muestra el detalle de la variación para cada uno de los programas presupuestarios:</w:t>
      </w:r>
    </w:p>
    <w:p w:rsidRPr="00F31A99" w:rsidR="00F31A99" w:rsidP="00F31A99" w:rsidRDefault="00F31A99" w14:paraId="70FE261C" w14:textId="77777777">
      <w:pPr>
        <w:widowControl w:val="0"/>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6108E386" w14:textId="77777777">
      <w:pPr>
        <w:widowControl w:val="0"/>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Tabla 8. Porcentaje de variación por programa periodos 2020 – 2021</w:t>
      </w:r>
    </w:p>
    <w:p w:rsidRPr="00F31A99" w:rsidR="00F31A99" w:rsidP="00F31A99" w:rsidRDefault="00F31A99" w14:paraId="2D0D867D" w14:textId="77777777">
      <w:pPr>
        <w:widowControl w:val="0"/>
        <w:autoSpaceDN w:val="0"/>
        <w:ind w:left="851" w:right="851" w:firstLine="709"/>
        <w:rPr>
          <w:rFonts w:ascii="Times New Roman" w:hAnsi="Times New Roman" w:eastAsia="Calibri" w:cs="Times New Roman"/>
          <w:b/>
          <w:bCs/>
          <w:sz w:val="26"/>
          <w:szCs w:val="26"/>
          <w:u w:color="000000"/>
        </w:rPr>
      </w:pPr>
    </w:p>
    <w:tbl>
      <w:tblPr>
        <w:tblW w:w="54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2753"/>
        <w:gridCol w:w="1540"/>
        <w:gridCol w:w="1473"/>
        <w:gridCol w:w="1330"/>
        <w:gridCol w:w="1263"/>
        <w:gridCol w:w="1267"/>
      </w:tblGrid>
      <w:tr w:rsidRPr="00F31A99" w:rsidR="00AE1B2B" w:rsidTr="00A306B2" w14:paraId="4ABBEA0E" w14:textId="77777777">
        <w:trPr>
          <w:trHeight w:val="484"/>
          <w:jc w:val="center"/>
        </w:trPr>
        <w:tc>
          <w:tcPr>
            <w:tcW w:w="1430" w:type="pct"/>
            <w:shd w:val="clear" w:color="D9E1F2" w:fill="F2F2F2"/>
            <w:noWrap/>
            <w:vAlign w:val="center"/>
          </w:tcPr>
          <w:p w:rsidRPr="00F31A99" w:rsidR="00F31A99" w:rsidP="00F31A99" w:rsidRDefault="00F31A99" w14:paraId="7AED3815"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Programa</w:t>
            </w:r>
          </w:p>
        </w:tc>
        <w:tc>
          <w:tcPr>
            <w:tcW w:w="800" w:type="pct"/>
            <w:shd w:val="clear" w:color="D9E1F2" w:fill="F2F2F2"/>
            <w:noWrap/>
            <w:vAlign w:val="center"/>
          </w:tcPr>
          <w:p w:rsidRPr="00F31A99" w:rsidR="00F31A99" w:rsidP="00F31A99" w:rsidRDefault="00F31A99" w14:paraId="798D7330"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Ejecución 2020</w:t>
            </w:r>
          </w:p>
        </w:tc>
        <w:tc>
          <w:tcPr>
            <w:tcW w:w="765" w:type="pct"/>
            <w:shd w:val="clear" w:color="D9E1F2" w:fill="F2F2F2"/>
            <w:noWrap/>
            <w:vAlign w:val="center"/>
          </w:tcPr>
          <w:p w:rsidRPr="00F31A99" w:rsidR="00F31A99" w:rsidP="00F31A99" w:rsidRDefault="00F31A99" w14:paraId="4288F87D"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2021</w:t>
            </w:r>
          </w:p>
        </w:tc>
        <w:tc>
          <w:tcPr>
            <w:tcW w:w="691" w:type="pct"/>
            <w:shd w:val="clear" w:color="D9E1F2" w:fill="F2F2F2"/>
            <w:noWrap/>
            <w:vAlign w:val="center"/>
          </w:tcPr>
          <w:p w:rsidRPr="00F31A99" w:rsidR="00F31A99" w:rsidP="00F31A99" w:rsidRDefault="00F31A99" w14:paraId="1BB1BD96"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2022</w:t>
            </w:r>
          </w:p>
        </w:tc>
        <w:tc>
          <w:tcPr>
            <w:tcW w:w="656" w:type="pct"/>
            <w:shd w:val="clear" w:color="D9E1F2" w:fill="F2F2F2"/>
            <w:noWrap/>
            <w:vAlign w:val="center"/>
          </w:tcPr>
          <w:p w:rsidRPr="00F31A99" w:rsidR="00F31A99" w:rsidP="00F31A99" w:rsidRDefault="00F31A99" w14:paraId="0CC2E5BB"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Diferencia</w:t>
            </w:r>
          </w:p>
        </w:tc>
        <w:tc>
          <w:tcPr>
            <w:tcW w:w="658" w:type="pct"/>
            <w:shd w:val="clear" w:color="D9E1F2" w:fill="F2F2F2"/>
            <w:noWrap/>
            <w:vAlign w:val="center"/>
          </w:tcPr>
          <w:p w:rsidRPr="00F31A99" w:rsidR="00F31A99" w:rsidP="00F31A99" w:rsidRDefault="00F31A99" w14:paraId="2BF4004A"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Variación %</w:t>
            </w:r>
          </w:p>
        </w:tc>
      </w:tr>
      <w:tr w:rsidRPr="00F31A99" w:rsidR="00AE1B2B" w:rsidTr="00A306B2" w14:paraId="5FB0E56C" w14:textId="77777777">
        <w:trPr>
          <w:trHeight w:val="484"/>
          <w:jc w:val="center"/>
        </w:trPr>
        <w:tc>
          <w:tcPr>
            <w:tcW w:w="1430" w:type="pct"/>
            <w:shd w:val="clear" w:color="D9E1F2" w:fill="F2F2F2"/>
            <w:noWrap/>
            <w:vAlign w:val="center"/>
          </w:tcPr>
          <w:p w:rsidRPr="00F31A99" w:rsidR="00F31A99" w:rsidP="00F31A99" w:rsidRDefault="00F31A99" w14:paraId="260EE664"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Dirección, Administración y Otros Órganos de Apoyo</w:t>
            </w:r>
          </w:p>
        </w:tc>
        <w:tc>
          <w:tcPr>
            <w:tcW w:w="800" w:type="pct"/>
            <w:shd w:val="clear" w:color="D9E1F2" w:fill="F2F2F2"/>
            <w:noWrap/>
            <w:vAlign w:val="center"/>
          </w:tcPr>
          <w:p w:rsidRPr="00F31A99" w:rsidR="00F31A99" w:rsidP="00F31A99" w:rsidRDefault="00F31A99" w14:paraId="24A952DC"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486,826,948</w:t>
            </w:r>
          </w:p>
        </w:tc>
        <w:tc>
          <w:tcPr>
            <w:tcW w:w="765" w:type="pct"/>
            <w:shd w:val="clear" w:color="D9E1F2" w:fill="F2F2F2"/>
            <w:noWrap/>
            <w:vAlign w:val="center"/>
          </w:tcPr>
          <w:p w:rsidRPr="00F31A99" w:rsidR="00F31A99" w:rsidP="00F31A99" w:rsidRDefault="00F31A99" w14:paraId="0EDC952C"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733,851,247</w:t>
            </w:r>
          </w:p>
        </w:tc>
        <w:tc>
          <w:tcPr>
            <w:tcW w:w="691" w:type="pct"/>
            <w:shd w:val="clear" w:color="D9E1F2" w:fill="F2F2F2"/>
            <w:noWrap/>
            <w:vAlign w:val="center"/>
          </w:tcPr>
          <w:p w:rsidRPr="00F31A99" w:rsidR="00F31A99" w:rsidP="00F31A99" w:rsidRDefault="00F31A99" w14:paraId="3F5364E5"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745,026,606</w:t>
            </w:r>
          </w:p>
        </w:tc>
        <w:tc>
          <w:tcPr>
            <w:tcW w:w="656" w:type="pct"/>
            <w:shd w:val="clear" w:color="D9E1F2" w:fill="F2F2F2"/>
            <w:noWrap/>
            <w:vAlign w:val="center"/>
          </w:tcPr>
          <w:p w:rsidRPr="00F31A99" w:rsidR="00F31A99" w:rsidP="00F31A99" w:rsidRDefault="00F31A99" w14:paraId="7D526999"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11,175,359</w:t>
            </w:r>
          </w:p>
        </w:tc>
        <w:tc>
          <w:tcPr>
            <w:tcW w:w="658" w:type="pct"/>
            <w:shd w:val="clear" w:color="D9E1F2" w:fill="F2F2F2"/>
            <w:noWrap/>
            <w:vAlign w:val="center"/>
          </w:tcPr>
          <w:p w:rsidRPr="00F31A99" w:rsidR="00F31A99" w:rsidP="00F31A99" w:rsidRDefault="00F31A99" w14:paraId="5DAA0C90"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1.5%</w:t>
            </w:r>
          </w:p>
        </w:tc>
      </w:tr>
      <w:tr w:rsidRPr="00F31A99" w:rsidR="00AE1B2B" w:rsidTr="00A306B2" w14:paraId="3CE31581" w14:textId="77777777">
        <w:trPr>
          <w:trHeight w:val="484"/>
          <w:jc w:val="center"/>
        </w:trPr>
        <w:tc>
          <w:tcPr>
            <w:tcW w:w="1430" w:type="pct"/>
            <w:shd w:val="clear" w:color="D9E1F2" w:fill="F2F2F2"/>
            <w:noWrap/>
            <w:vAlign w:val="center"/>
          </w:tcPr>
          <w:p w:rsidRPr="00F31A99" w:rsidR="00F31A99" w:rsidP="00F31A99" w:rsidRDefault="00F31A99" w14:paraId="205E5CC4"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Servicio Jurisdiccional</w:t>
            </w:r>
          </w:p>
        </w:tc>
        <w:tc>
          <w:tcPr>
            <w:tcW w:w="800" w:type="pct"/>
            <w:shd w:val="clear" w:color="D9E1F2" w:fill="F2F2F2"/>
            <w:noWrap/>
            <w:vAlign w:val="center"/>
          </w:tcPr>
          <w:p w:rsidRPr="00F31A99" w:rsidR="00F31A99" w:rsidP="00F31A99" w:rsidRDefault="00F31A99" w14:paraId="5F19A0B2"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1,119,854,527</w:t>
            </w:r>
          </w:p>
        </w:tc>
        <w:tc>
          <w:tcPr>
            <w:tcW w:w="765" w:type="pct"/>
            <w:shd w:val="clear" w:color="D9E1F2" w:fill="F2F2F2"/>
            <w:noWrap/>
            <w:vAlign w:val="center"/>
          </w:tcPr>
          <w:p w:rsidRPr="00F31A99" w:rsidR="00F31A99" w:rsidP="00F31A99" w:rsidRDefault="00F31A99" w14:paraId="7536B02A"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1,121,492,577</w:t>
            </w:r>
          </w:p>
        </w:tc>
        <w:tc>
          <w:tcPr>
            <w:tcW w:w="691" w:type="pct"/>
            <w:shd w:val="clear" w:color="D9E1F2" w:fill="F2F2F2"/>
            <w:noWrap/>
            <w:vAlign w:val="center"/>
          </w:tcPr>
          <w:p w:rsidRPr="00F31A99" w:rsidR="00F31A99" w:rsidP="00F31A99" w:rsidRDefault="00F31A99" w14:paraId="4E1143DA"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1,138,571,038</w:t>
            </w:r>
          </w:p>
        </w:tc>
        <w:tc>
          <w:tcPr>
            <w:tcW w:w="656" w:type="pct"/>
            <w:shd w:val="clear" w:color="D9E1F2" w:fill="F2F2F2"/>
            <w:noWrap/>
            <w:vAlign w:val="center"/>
          </w:tcPr>
          <w:p w:rsidRPr="00F31A99" w:rsidR="00F31A99" w:rsidP="00F31A99" w:rsidRDefault="00F31A99" w14:paraId="0764E122"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17,078,461</w:t>
            </w:r>
          </w:p>
        </w:tc>
        <w:tc>
          <w:tcPr>
            <w:tcW w:w="658" w:type="pct"/>
            <w:shd w:val="clear" w:color="D9E1F2" w:fill="F2F2F2"/>
            <w:noWrap/>
            <w:vAlign w:val="center"/>
          </w:tcPr>
          <w:p w:rsidRPr="00F31A99" w:rsidR="00F31A99" w:rsidP="00F31A99" w:rsidRDefault="00F31A99" w14:paraId="441D8E26"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1.5%</w:t>
            </w:r>
          </w:p>
        </w:tc>
      </w:tr>
      <w:tr w:rsidRPr="00F31A99" w:rsidR="00AE1B2B" w:rsidTr="00A306B2" w14:paraId="362944C5" w14:textId="77777777">
        <w:trPr>
          <w:trHeight w:val="484"/>
          <w:jc w:val="center"/>
        </w:trPr>
        <w:tc>
          <w:tcPr>
            <w:tcW w:w="1430" w:type="pct"/>
            <w:shd w:val="clear" w:color="D9E1F2" w:fill="F2F2F2"/>
            <w:noWrap/>
            <w:vAlign w:val="center"/>
          </w:tcPr>
          <w:p w:rsidRPr="00F31A99" w:rsidR="00F31A99" w:rsidP="00F31A99" w:rsidRDefault="00F31A99" w14:paraId="6EBCDD90"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Organismo de Investigación Judicial</w:t>
            </w:r>
          </w:p>
        </w:tc>
        <w:tc>
          <w:tcPr>
            <w:tcW w:w="800" w:type="pct"/>
            <w:shd w:val="clear" w:color="D9E1F2" w:fill="F2F2F2"/>
            <w:noWrap/>
            <w:vAlign w:val="center"/>
          </w:tcPr>
          <w:p w:rsidRPr="00F31A99" w:rsidR="00F31A99" w:rsidP="00F31A99" w:rsidRDefault="00F31A99" w14:paraId="5E8CC623"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616,709,403</w:t>
            </w:r>
          </w:p>
        </w:tc>
        <w:tc>
          <w:tcPr>
            <w:tcW w:w="765" w:type="pct"/>
            <w:shd w:val="clear" w:color="D9E1F2" w:fill="F2F2F2"/>
            <w:noWrap/>
            <w:vAlign w:val="center"/>
          </w:tcPr>
          <w:p w:rsidRPr="00F31A99" w:rsidR="00F31A99" w:rsidP="00F31A99" w:rsidRDefault="00F31A99" w14:paraId="599A0B0C"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637,358,385</w:t>
            </w:r>
          </w:p>
        </w:tc>
        <w:tc>
          <w:tcPr>
            <w:tcW w:w="691" w:type="pct"/>
            <w:shd w:val="clear" w:color="D9E1F2" w:fill="F2F2F2"/>
            <w:noWrap/>
            <w:vAlign w:val="center"/>
          </w:tcPr>
          <w:p w:rsidRPr="00F31A99" w:rsidR="00F31A99" w:rsidP="00F31A99" w:rsidRDefault="00F31A99" w14:paraId="05A6BF81"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642,864,319</w:t>
            </w:r>
          </w:p>
        </w:tc>
        <w:tc>
          <w:tcPr>
            <w:tcW w:w="656" w:type="pct"/>
            <w:shd w:val="clear" w:color="D9E1F2" w:fill="F2F2F2"/>
            <w:noWrap/>
            <w:vAlign w:val="center"/>
          </w:tcPr>
          <w:p w:rsidRPr="00F31A99" w:rsidR="00F31A99" w:rsidP="00F31A99" w:rsidRDefault="00F31A99" w14:paraId="690D59CE"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5,505,934</w:t>
            </w:r>
          </w:p>
        </w:tc>
        <w:tc>
          <w:tcPr>
            <w:tcW w:w="658" w:type="pct"/>
            <w:shd w:val="clear" w:color="D9E1F2" w:fill="F2F2F2"/>
            <w:noWrap/>
            <w:vAlign w:val="center"/>
          </w:tcPr>
          <w:p w:rsidRPr="00F31A99" w:rsidR="00F31A99" w:rsidP="00F31A99" w:rsidRDefault="00F31A99" w14:paraId="403B188A"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0.9%</w:t>
            </w:r>
          </w:p>
        </w:tc>
      </w:tr>
      <w:tr w:rsidRPr="00F31A99" w:rsidR="00AE1B2B" w:rsidTr="00A306B2" w14:paraId="27813EA7" w14:textId="77777777">
        <w:trPr>
          <w:trHeight w:val="484"/>
          <w:jc w:val="center"/>
        </w:trPr>
        <w:tc>
          <w:tcPr>
            <w:tcW w:w="1430" w:type="pct"/>
            <w:shd w:val="clear" w:color="D9E1F2" w:fill="F2F2F2"/>
            <w:noWrap/>
            <w:vAlign w:val="center"/>
          </w:tcPr>
          <w:p w:rsidRPr="00F31A99" w:rsidR="00F31A99" w:rsidP="00F31A99" w:rsidRDefault="00F31A99" w14:paraId="683FFCDA"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Ministerio Público</w:t>
            </w:r>
          </w:p>
        </w:tc>
        <w:tc>
          <w:tcPr>
            <w:tcW w:w="800" w:type="pct"/>
            <w:shd w:val="clear" w:color="D9E1F2" w:fill="F2F2F2"/>
            <w:noWrap/>
            <w:vAlign w:val="center"/>
          </w:tcPr>
          <w:p w:rsidRPr="00F31A99" w:rsidR="00F31A99" w:rsidP="00F31A99" w:rsidRDefault="00F31A99" w14:paraId="79D41561"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255,007,546</w:t>
            </w:r>
          </w:p>
        </w:tc>
        <w:tc>
          <w:tcPr>
            <w:tcW w:w="765" w:type="pct"/>
            <w:shd w:val="clear" w:color="D9E1F2" w:fill="F2F2F2"/>
            <w:noWrap/>
            <w:vAlign w:val="center"/>
          </w:tcPr>
          <w:p w:rsidRPr="00F31A99" w:rsidR="00F31A99" w:rsidP="00F31A99" w:rsidRDefault="00F31A99" w14:paraId="58451070"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253,827,775</w:t>
            </w:r>
          </w:p>
        </w:tc>
        <w:tc>
          <w:tcPr>
            <w:tcW w:w="691" w:type="pct"/>
            <w:shd w:val="clear" w:color="D9E1F2" w:fill="F2F2F2"/>
            <w:noWrap/>
            <w:vAlign w:val="center"/>
          </w:tcPr>
          <w:p w:rsidRPr="00F31A99" w:rsidR="00F31A99" w:rsidP="00F31A99" w:rsidRDefault="00F31A99" w14:paraId="6C948F99"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252,632,833</w:t>
            </w:r>
          </w:p>
        </w:tc>
        <w:tc>
          <w:tcPr>
            <w:tcW w:w="656" w:type="pct"/>
            <w:shd w:val="clear" w:color="D9E1F2" w:fill="F2F2F2"/>
            <w:noWrap/>
            <w:vAlign w:val="center"/>
          </w:tcPr>
          <w:p w:rsidRPr="00F31A99" w:rsidR="00F31A99" w:rsidP="00F31A99" w:rsidRDefault="00F31A99" w14:paraId="1A55C48A"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- 1,194,942</w:t>
            </w:r>
          </w:p>
        </w:tc>
        <w:tc>
          <w:tcPr>
            <w:tcW w:w="658" w:type="pct"/>
            <w:shd w:val="clear" w:color="D9E1F2" w:fill="F2F2F2"/>
            <w:noWrap/>
            <w:vAlign w:val="center"/>
          </w:tcPr>
          <w:p w:rsidRPr="00F31A99" w:rsidR="00F31A99" w:rsidP="00F31A99" w:rsidRDefault="00F31A99" w14:paraId="6761A198"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-0.5%</w:t>
            </w:r>
          </w:p>
        </w:tc>
      </w:tr>
      <w:tr w:rsidRPr="00F31A99" w:rsidR="00AE1B2B" w:rsidTr="00A306B2" w14:paraId="69F11B2F" w14:textId="77777777">
        <w:trPr>
          <w:trHeight w:val="484"/>
          <w:jc w:val="center"/>
        </w:trPr>
        <w:tc>
          <w:tcPr>
            <w:tcW w:w="1430" w:type="pct"/>
            <w:shd w:val="clear" w:color="D9E1F2" w:fill="F2F2F2"/>
            <w:noWrap/>
            <w:vAlign w:val="center"/>
          </w:tcPr>
          <w:p w:rsidRPr="00F31A99" w:rsidR="00F31A99" w:rsidP="00F31A99" w:rsidRDefault="00F31A99" w14:paraId="244D5EDE"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Defensa Pública</w:t>
            </w:r>
          </w:p>
        </w:tc>
        <w:tc>
          <w:tcPr>
            <w:tcW w:w="800" w:type="pct"/>
            <w:shd w:val="clear" w:color="D9E1F2" w:fill="F2F2F2"/>
            <w:noWrap/>
            <w:vAlign w:val="center"/>
          </w:tcPr>
          <w:p w:rsidRPr="00F31A99" w:rsidR="00F31A99" w:rsidP="00F31A99" w:rsidRDefault="00F31A99" w14:paraId="473D2817"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198,588,417</w:t>
            </w:r>
          </w:p>
        </w:tc>
        <w:tc>
          <w:tcPr>
            <w:tcW w:w="765" w:type="pct"/>
            <w:shd w:val="clear" w:color="D9E1F2" w:fill="F2F2F2"/>
            <w:noWrap/>
            <w:vAlign w:val="center"/>
          </w:tcPr>
          <w:p w:rsidRPr="00F31A99" w:rsidR="00F31A99" w:rsidP="00F31A99" w:rsidRDefault="00F31A99" w14:paraId="1037D21A"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106,377,530</w:t>
            </w:r>
          </w:p>
        </w:tc>
        <w:tc>
          <w:tcPr>
            <w:tcW w:w="691" w:type="pct"/>
            <w:shd w:val="clear" w:color="D9E1F2" w:fill="F2F2F2"/>
            <w:noWrap/>
            <w:vAlign w:val="center"/>
          </w:tcPr>
          <w:p w:rsidRPr="00F31A99" w:rsidR="00F31A99" w:rsidP="00F31A99" w:rsidRDefault="00F31A99" w14:paraId="4883D775"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107,997,477</w:t>
            </w:r>
          </w:p>
        </w:tc>
        <w:tc>
          <w:tcPr>
            <w:tcW w:w="656" w:type="pct"/>
            <w:shd w:val="clear" w:color="D9E1F2" w:fill="F2F2F2"/>
            <w:noWrap/>
            <w:vAlign w:val="center"/>
          </w:tcPr>
          <w:p w:rsidRPr="00F31A99" w:rsidR="00F31A99" w:rsidP="00F31A99" w:rsidRDefault="00F31A99" w14:paraId="04ED7D32"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1,619,947</w:t>
            </w:r>
          </w:p>
        </w:tc>
        <w:tc>
          <w:tcPr>
            <w:tcW w:w="658" w:type="pct"/>
            <w:shd w:val="clear" w:color="D9E1F2" w:fill="F2F2F2"/>
            <w:noWrap/>
            <w:vAlign w:val="center"/>
          </w:tcPr>
          <w:p w:rsidRPr="00F31A99" w:rsidR="00F31A99" w:rsidP="00F31A99" w:rsidRDefault="00F31A99" w14:paraId="25E8AAE7"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1.5%</w:t>
            </w:r>
          </w:p>
        </w:tc>
      </w:tr>
      <w:tr w:rsidRPr="00F31A99" w:rsidR="00AE1B2B" w:rsidTr="00A306B2" w14:paraId="4D912FB1" w14:textId="77777777">
        <w:trPr>
          <w:trHeight w:val="484"/>
          <w:jc w:val="center"/>
        </w:trPr>
        <w:tc>
          <w:tcPr>
            <w:tcW w:w="1430" w:type="pct"/>
            <w:shd w:val="clear" w:color="D9E1F2" w:fill="F2F2F2"/>
            <w:noWrap/>
            <w:vAlign w:val="center"/>
          </w:tcPr>
          <w:p w:rsidRPr="00F31A99" w:rsidR="00F31A99" w:rsidP="00F31A99" w:rsidRDefault="00F31A99" w14:paraId="61ACCDE9"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lastRenderedPageBreak/>
              <w:t>Serv. Atenc - Protec Víctimas y Testigos</w:t>
            </w:r>
          </w:p>
        </w:tc>
        <w:tc>
          <w:tcPr>
            <w:tcW w:w="800" w:type="pct"/>
            <w:shd w:val="clear" w:color="D9E1F2" w:fill="F2F2F2"/>
            <w:noWrap/>
            <w:vAlign w:val="center"/>
          </w:tcPr>
          <w:p w:rsidRPr="00F31A99" w:rsidR="00F31A99" w:rsidP="00F31A99" w:rsidRDefault="00F31A99" w14:paraId="3D645CCE"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32,178,786</w:t>
            </w:r>
          </w:p>
        </w:tc>
        <w:tc>
          <w:tcPr>
            <w:tcW w:w="765" w:type="pct"/>
            <w:shd w:val="clear" w:color="D9E1F2" w:fill="F2F2F2"/>
            <w:noWrap/>
            <w:vAlign w:val="center"/>
          </w:tcPr>
          <w:p w:rsidRPr="00F31A99" w:rsidR="00F31A99" w:rsidP="00F31A99" w:rsidRDefault="00F31A99" w14:paraId="4E4919A9"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34,074,276</w:t>
            </w:r>
          </w:p>
        </w:tc>
        <w:tc>
          <w:tcPr>
            <w:tcW w:w="691" w:type="pct"/>
            <w:shd w:val="clear" w:color="D9E1F2" w:fill="F2F2F2"/>
            <w:noWrap/>
            <w:vAlign w:val="center"/>
          </w:tcPr>
          <w:p w:rsidRPr="00F31A99" w:rsidR="00F31A99" w:rsidP="00F31A99" w:rsidRDefault="00F31A99" w14:paraId="656A4587"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34,593,174</w:t>
            </w:r>
          </w:p>
        </w:tc>
        <w:tc>
          <w:tcPr>
            <w:tcW w:w="656" w:type="pct"/>
            <w:shd w:val="clear" w:color="D9E1F2" w:fill="F2F2F2"/>
            <w:noWrap/>
            <w:vAlign w:val="center"/>
          </w:tcPr>
          <w:p w:rsidRPr="00F31A99" w:rsidR="00F31A99" w:rsidP="00F31A99" w:rsidRDefault="00F31A99" w14:paraId="38FA43C7"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518,898</w:t>
            </w:r>
          </w:p>
        </w:tc>
        <w:tc>
          <w:tcPr>
            <w:tcW w:w="658" w:type="pct"/>
            <w:shd w:val="clear" w:color="D9E1F2" w:fill="F2F2F2"/>
            <w:noWrap/>
            <w:vAlign w:val="center"/>
          </w:tcPr>
          <w:p w:rsidRPr="00F31A99" w:rsidR="00F31A99" w:rsidP="00F31A99" w:rsidRDefault="00F31A99" w14:paraId="74070D2B"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1.5%</w:t>
            </w:r>
          </w:p>
        </w:tc>
      </w:tr>
      <w:tr w:rsidRPr="00F31A99" w:rsidR="00AE1B2B" w:rsidTr="00A306B2" w14:paraId="49D705EB" w14:textId="77777777">
        <w:trPr>
          <w:trHeight w:val="484"/>
          <w:jc w:val="center"/>
        </w:trPr>
        <w:tc>
          <w:tcPr>
            <w:tcW w:w="1430" w:type="pct"/>
            <w:shd w:val="clear" w:color="D9E1F2" w:fill="F2F2F2"/>
            <w:noWrap/>
            <w:vAlign w:val="center"/>
          </w:tcPr>
          <w:p w:rsidRPr="00F31A99" w:rsidR="00F31A99" w:rsidP="00F31A99" w:rsidRDefault="00F31A99" w14:paraId="55DF89EB" w14:textId="77777777">
            <w:pPr>
              <w:widowControl w:val="0"/>
              <w:autoSpaceDN w:val="0"/>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Total general</w:t>
            </w:r>
          </w:p>
        </w:tc>
        <w:tc>
          <w:tcPr>
            <w:tcW w:w="800" w:type="pct"/>
            <w:shd w:val="clear" w:color="D9E1F2" w:fill="F2F2F2"/>
            <w:noWrap/>
            <w:vAlign w:val="center"/>
          </w:tcPr>
          <w:p w:rsidRPr="00F31A99" w:rsidR="00F31A99" w:rsidP="00F31A99" w:rsidRDefault="00F31A99" w14:paraId="7BBAD66E" w14:textId="77777777">
            <w:pPr>
              <w:widowControl w:val="0"/>
              <w:autoSpaceDN w:val="0"/>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2,709,165,627</w:t>
            </w:r>
          </w:p>
        </w:tc>
        <w:tc>
          <w:tcPr>
            <w:tcW w:w="765" w:type="pct"/>
            <w:shd w:val="clear" w:color="D9E1F2" w:fill="F2F2F2"/>
            <w:noWrap/>
            <w:vAlign w:val="center"/>
          </w:tcPr>
          <w:p w:rsidRPr="00F31A99" w:rsidR="00F31A99" w:rsidP="00F31A99" w:rsidRDefault="00F31A99" w14:paraId="49C146E7" w14:textId="77777777">
            <w:pPr>
              <w:widowControl w:val="0"/>
              <w:autoSpaceDN w:val="0"/>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2,886,981,790</w:t>
            </w:r>
          </w:p>
        </w:tc>
        <w:tc>
          <w:tcPr>
            <w:tcW w:w="691" w:type="pct"/>
            <w:shd w:val="clear" w:color="D9E1F2" w:fill="F2F2F2"/>
            <w:noWrap/>
            <w:vAlign w:val="center"/>
          </w:tcPr>
          <w:p w:rsidRPr="00F31A99" w:rsidR="00F31A99" w:rsidP="00F31A99" w:rsidRDefault="00F31A99" w14:paraId="16C9D906" w14:textId="77777777">
            <w:pPr>
              <w:widowControl w:val="0"/>
              <w:autoSpaceDN w:val="0"/>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2,921,685,447</w:t>
            </w:r>
          </w:p>
        </w:tc>
        <w:tc>
          <w:tcPr>
            <w:tcW w:w="656" w:type="pct"/>
            <w:shd w:val="clear" w:color="D9E1F2" w:fill="F2F2F2"/>
            <w:noWrap/>
            <w:vAlign w:val="center"/>
          </w:tcPr>
          <w:p w:rsidRPr="00F31A99" w:rsidR="00F31A99" w:rsidP="00F31A99" w:rsidRDefault="00F31A99" w14:paraId="58976B22" w14:textId="77777777">
            <w:pPr>
              <w:widowControl w:val="0"/>
              <w:autoSpaceDN w:val="0"/>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34,703,657</w:t>
            </w:r>
          </w:p>
        </w:tc>
        <w:tc>
          <w:tcPr>
            <w:tcW w:w="658" w:type="pct"/>
            <w:shd w:val="clear" w:color="D9E1F2" w:fill="F2F2F2"/>
            <w:noWrap/>
            <w:vAlign w:val="center"/>
          </w:tcPr>
          <w:p w:rsidRPr="00F31A99" w:rsidR="00F31A99" w:rsidP="00F31A99" w:rsidRDefault="00F31A99" w14:paraId="43F5DAC8" w14:textId="77777777">
            <w:pPr>
              <w:widowControl w:val="0"/>
              <w:autoSpaceDN w:val="0"/>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1.2%</w:t>
            </w:r>
          </w:p>
        </w:tc>
      </w:tr>
    </w:tbl>
    <w:p w:rsidRPr="00F31A99" w:rsidR="00F31A99" w:rsidP="00F31A99" w:rsidRDefault="00F31A99" w14:paraId="590AEB5A" w14:textId="77777777">
      <w:pPr>
        <w:widowControl w:val="0"/>
        <w:autoSpaceDN w:val="0"/>
        <w:rPr>
          <w:rFonts w:ascii="Times New Roman" w:hAnsi="Times New Roman" w:eastAsia="Calibri" w:cs="Times New Roman"/>
          <w:bCs/>
          <w:sz w:val="16"/>
          <w:szCs w:val="16"/>
          <w:u w:color="000000"/>
        </w:rPr>
      </w:pPr>
    </w:p>
    <w:p w:rsidRPr="00F31A99" w:rsidR="00F31A99" w:rsidP="00F31A99" w:rsidRDefault="00F31A99" w14:paraId="12F3B384" w14:textId="77777777">
      <w:pPr>
        <w:widowControl w:val="0"/>
        <w:autoSpaceDN w:val="0"/>
        <w:ind w:firstLine="709"/>
        <w:rPr>
          <w:rFonts w:ascii="Times New Roman" w:hAnsi="Times New Roman" w:eastAsia="Calibri" w:cs="Times New Roman"/>
          <w:bCs/>
          <w:sz w:val="16"/>
          <w:szCs w:val="16"/>
          <w:u w:color="000000"/>
        </w:rPr>
      </w:pPr>
      <w:r w:rsidRPr="00F31A99">
        <w:rPr>
          <w:rFonts w:ascii="Times New Roman" w:hAnsi="Times New Roman" w:eastAsia="Calibri" w:cs="Times New Roman"/>
          <w:bCs/>
          <w:sz w:val="16"/>
          <w:szCs w:val="16"/>
          <w:u w:color="000000"/>
        </w:rPr>
        <w:t>Fuente: SIGA PJ</w:t>
      </w:r>
    </w:p>
    <w:p w:rsidRPr="00F31A99" w:rsidR="00F31A99" w:rsidP="00F31A99" w:rsidRDefault="00F31A99" w14:paraId="2A3A7DEF" w14:textId="77777777">
      <w:pPr>
        <w:widowControl w:val="0"/>
        <w:autoSpaceDN w:val="0"/>
        <w:jc w:val="center"/>
        <w:rPr>
          <w:rFonts w:ascii="Times New Roman" w:hAnsi="Times New Roman" w:eastAsia="Calibri" w:cs="Times New Roman"/>
          <w:b/>
          <w:sz w:val="24"/>
          <w:u w:color="000000"/>
        </w:rPr>
      </w:pPr>
    </w:p>
    <w:p w:rsidRPr="00F31A99" w:rsidR="00F31A99" w:rsidP="00F31A99" w:rsidRDefault="00F31A99" w14:paraId="20FE0F65" w14:textId="77777777">
      <w:pPr>
        <w:widowControl w:val="0"/>
        <w:autoSpaceDN w:val="0"/>
        <w:ind w:left="851" w:right="851"/>
        <w:jc w:val="center"/>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Figura N° 4. Distribución de recursos por programa para la subpartida 10202 Servicio de Energía Eléctrica.</w:t>
      </w:r>
    </w:p>
    <w:p w:rsidRPr="00F31A99" w:rsidR="00F31A99" w:rsidP="00F31A99" w:rsidRDefault="00F31A99" w14:paraId="4DA159CD" w14:textId="77777777">
      <w:pPr>
        <w:widowControl w:val="0"/>
        <w:autoSpaceDN w:val="0"/>
        <w:jc w:val="center"/>
        <w:rPr>
          <w:rFonts w:ascii="Times New Roman" w:hAnsi="Times New Roman" w:eastAsia="Calibri" w:cs="Times New Roman"/>
          <w:b/>
          <w:sz w:val="28"/>
          <w:szCs w:val="24"/>
          <w:u w:color="000000"/>
        </w:rPr>
      </w:pPr>
      <w:r w:rsidRPr="00F31A99">
        <w:rPr>
          <w:rFonts w:ascii="Times New Roman" w:hAnsi="Times New Roman" w:eastAsia="Calibri" w:cs="Times New Roman"/>
          <w:noProof/>
          <w:u w:color="000000"/>
          <w:lang w:eastAsia="es-MX"/>
        </w:rPr>
        <w:drawing>
          <wp:inline distT="0" distB="0" distL="0" distR="0" wp14:anchorId="133C644D" wp14:editId="0EE08730">
            <wp:extent cx="3714750" cy="2752725"/>
            <wp:effectExtent l="0" t="0" r="0" b="9525"/>
            <wp:docPr id="129" name="Gráfico 129">
              <a:extLst xmlns:a="http://schemas.openxmlformats.org/drawingml/2006/main">
                <a:ext uri="{FF2B5EF4-FFF2-40B4-BE49-F238E27FC236}">
                  <a16:creationId xmlns:a16="http://schemas.microsoft.com/office/drawing/2014/main" id="{A0D86ABC-A43B-4BD9-8C1A-64A73751B9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Pr="00F31A99" w:rsidR="00F31A99" w:rsidP="00F31A99" w:rsidRDefault="00F31A99" w14:paraId="41FEEB95" w14:textId="77777777">
      <w:pPr>
        <w:widowControl w:val="0"/>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6BA0925C"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Tal como se muestra en la figura N° 4, el programa 927 Servicio Jurisdiccional, es el que formula la mayor cantidad de recursos para el periodo 2022, con un total de ¢1.138.571.038, lo que representa un 39% del total de los recursos de la subpartida, seguido del Programa 926 y 928 que representan un 25% y 22% de los recursos formulados en esta subpartida. Los programas 929, 930 y 950 representan un 9%, 4% y 1% respectivamente.</w:t>
      </w:r>
    </w:p>
    <w:p w:rsidRPr="00F31A99" w:rsidR="00F31A99" w:rsidP="00F31A99" w:rsidRDefault="00F31A99" w14:paraId="0A1BCE75" w14:textId="77777777">
      <w:pPr>
        <w:widowControl w:val="0"/>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67CC1BDE" w14:textId="77777777">
      <w:pPr>
        <w:widowControl w:val="0"/>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1.2.4 Distribución por Centro de Responsabilidad</w:t>
      </w:r>
    </w:p>
    <w:p w:rsidRPr="00F31A99" w:rsidR="00F31A99" w:rsidP="00F31A99" w:rsidRDefault="00F31A99" w14:paraId="1C560AC9" w14:textId="77777777">
      <w:pPr>
        <w:widowControl w:val="0"/>
        <w:autoSpaceDN w:val="0"/>
        <w:ind w:left="851" w:right="851" w:firstLine="709"/>
        <w:rPr>
          <w:rFonts w:ascii="Times New Roman" w:hAnsi="Times New Roman" w:eastAsia="Calibri" w:cs="Times New Roman"/>
          <w:b/>
          <w:bCs/>
          <w:sz w:val="26"/>
          <w:szCs w:val="26"/>
          <w:u w:color="000000"/>
        </w:rPr>
      </w:pPr>
    </w:p>
    <w:p w:rsidRPr="00F31A99" w:rsidR="00F31A99" w:rsidP="00F31A99" w:rsidRDefault="00F31A99" w14:paraId="2BE89384" w14:textId="77777777">
      <w:pPr>
        <w:widowControl w:val="0"/>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Tabla 9. Distribución de la subpartida por Centro de Responsabilidad Periodos 2021 – 2022</w:t>
      </w:r>
    </w:p>
    <w:p w:rsidRPr="00F31A99" w:rsidR="00F31A99" w:rsidP="00F31A99" w:rsidRDefault="00F31A99" w14:paraId="14700845" w14:textId="77777777">
      <w:pPr>
        <w:widowControl w:val="0"/>
        <w:autoSpaceDN w:val="0"/>
        <w:ind w:left="851" w:right="851" w:firstLine="709"/>
        <w:rPr>
          <w:rFonts w:ascii="Times New Roman" w:hAnsi="Times New Roman" w:eastAsia="Calibri" w:cs="Times New Roman"/>
          <w:b/>
          <w:bCs/>
          <w:sz w:val="26"/>
          <w:szCs w:val="26"/>
          <w:u w:color="000000"/>
        </w:rPr>
      </w:pPr>
    </w:p>
    <w:tbl>
      <w:tblPr>
        <w:tblW w:w="82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760"/>
        <w:gridCol w:w="1515"/>
        <w:gridCol w:w="1515"/>
        <w:gridCol w:w="1595"/>
      </w:tblGrid>
      <w:tr w:rsidRPr="00F31A99" w:rsidR="00AE1B2B" w:rsidTr="00A306B2" w14:paraId="19B75899" w14:textId="77777777">
        <w:trPr>
          <w:trHeight w:val="372"/>
          <w:jc w:val="center"/>
        </w:trPr>
        <w:tc>
          <w:tcPr>
            <w:tcW w:w="3760" w:type="dxa"/>
            <w:shd w:val="clear" w:color="000000" w:fill="F2F2F2"/>
            <w:noWrap/>
            <w:vAlign w:val="center"/>
            <w:hideMark/>
          </w:tcPr>
          <w:p w:rsidRPr="00F31A99" w:rsidR="00F31A99" w:rsidP="00F31A99" w:rsidRDefault="00F31A99" w14:paraId="28FA0653"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Centro de Responsabilidad</w:t>
            </w:r>
          </w:p>
        </w:tc>
        <w:tc>
          <w:tcPr>
            <w:tcW w:w="1460" w:type="dxa"/>
            <w:shd w:val="clear" w:color="000000" w:fill="F2F2F2"/>
            <w:noWrap/>
            <w:vAlign w:val="center"/>
            <w:hideMark/>
          </w:tcPr>
          <w:p w:rsidRPr="00F31A99" w:rsidR="00F31A99" w:rsidP="00F31A99" w:rsidRDefault="00F31A99" w14:paraId="1AD16E07"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2021</w:t>
            </w:r>
          </w:p>
        </w:tc>
        <w:tc>
          <w:tcPr>
            <w:tcW w:w="1460" w:type="dxa"/>
            <w:shd w:val="clear" w:color="000000" w:fill="F2F2F2"/>
            <w:noWrap/>
            <w:vAlign w:val="center"/>
            <w:hideMark/>
          </w:tcPr>
          <w:p w:rsidRPr="00F31A99" w:rsidR="00F31A99" w:rsidP="00F31A99" w:rsidRDefault="00F31A99" w14:paraId="6F76CE25"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2022</w:t>
            </w:r>
          </w:p>
        </w:tc>
        <w:tc>
          <w:tcPr>
            <w:tcW w:w="1560" w:type="dxa"/>
            <w:shd w:val="clear" w:color="000000" w:fill="F2F2F2"/>
            <w:noWrap/>
            <w:vAlign w:val="center"/>
            <w:hideMark/>
          </w:tcPr>
          <w:p w:rsidRPr="00F31A99" w:rsidR="00F31A99" w:rsidP="00F31A99" w:rsidRDefault="00F31A99" w14:paraId="3BCF45D9"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Representación</w:t>
            </w:r>
          </w:p>
        </w:tc>
      </w:tr>
      <w:tr w:rsidRPr="00F31A99" w:rsidR="00AE1B2B" w:rsidTr="00A306B2" w14:paraId="5A10280E" w14:textId="77777777">
        <w:trPr>
          <w:trHeight w:val="372"/>
          <w:jc w:val="center"/>
        </w:trPr>
        <w:tc>
          <w:tcPr>
            <w:tcW w:w="3760" w:type="dxa"/>
            <w:shd w:val="clear" w:color="000000" w:fill="F2F2F2"/>
            <w:noWrap/>
            <w:vAlign w:val="center"/>
            <w:hideMark/>
          </w:tcPr>
          <w:p w:rsidRPr="00F31A99" w:rsidR="00F31A99" w:rsidP="00F31A99" w:rsidRDefault="00F31A99" w14:paraId="29CE92FE"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Organismo de Investigación Judicial</w:t>
            </w:r>
          </w:p>
        </w:tc>
        <w:tc>
          <w:tcPr>
            <w:tcW w:w="1460" w:type="dxa"/>
            <w:shd w:val="clear" w:color="000000" w:fill="F2F2F2"/>
            <w:noWrap/>
            <w:vAlign w:val="center"/>
            <w:hideMark/>
          </w:tcPr>
          <w:p w:rsidRPr="00F31A99" w:rsidR="00F31A99" w:rsidP="00F31A99" w:rsidRDefault="00F31A99" w14:paraId="74E9D098"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637,358,385.00</w:t>
            </w:r>
          </w:p>
        </w:tc>
        <w:tc>
          <w:tcPr>
            <w:tcW w:w="1460" w:type="dxa"/>
            <w:shd w:val="clear" w:color="000000" w:fill="F2F2F2"/>
            <w:noWrap/>
            <w:vAlign w:val="center"/>
            <w:hideMark/>
          </w:tcPr>
          <w:p w:rsidRPr="00F31A99" w:rsidR="00F31A99" w:rsidP="00F31A99" w:rsidRDefault="00F31A99" w14:paraId="48F44B82"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642,864,319.00</w:t>
            </w:r>
          </w:p>
        </w:tc>
        <w:tc>
          <w:tcPr>
            <w:tcW w:w="1560" w:type="dxa"/>
            <w:shd w:val="clear" w:color="000000" w:fill="F2F2F2"/>
            <w:noWrap/>
            <w:vAlign w:val="center"/>
            <w:hideMark/>
          </w:tcPr>
          <w:p w:rsidRPr="00F31A99" w:rsidR="00F31A99" w:rsidP="00F31A99" w:rsidRDefault="00F31A99" w14:paraId="5F019078"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22.00%</w:t>
            </w:r>
          </w:p>
        </w:tc>
      </w:tr>
      <w:tr w:rsidRPr="00F31A99" w:rsidR="00AE1B2B" w:rsidTr="00A306B2" w14:paraId="2039467E" w14:textId="77777777">
        <w:trPr>
          <w:trHeight w:val="372"/>
          <w:jc w:val="center"/>
        </w:trPr>
        <w:tc>
          <w:tcPr>
            <w:tcW w:w="3760" w:type="dxa"/>
            <w:shd w:val="clear" w:color="000000" w:fill="F2F2F2"/>
            <w:noWrap/>
            <w:vAlign w:val="center"/>
            <w:hideMark/>
          </w:tcPr>
          <w:p w:rsidRPr="00F31A99" w:rsidR="00F31A99" w:rsidP="00F31A99" w:rsidRDefault="00F31A99" w14:paraId="38DD8078"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lastRenderedPageBreak/>
              <w:t>Dirección Ejecutiva</w:t>
            </w:r>
          </w:p>
        </w:tc>
        <w:tc>
          <w:tcPr>
            <w:tcW w:w="1460" w:type="dxa"/>
            <w:shd w:val="clear" w:color="000000" w:fill="F2F2F2"/>
            <w:noWrap/>
            <w:vAlign w:val="center"/>
            <w:hideMark/>
          </w:tcPr>
          <w:p w:rsidRPr="00F31A99" w:rsidR="00F31A99" w:rsidP="00F31A99" w:rsidRDefault="00F31A99" w14:paraId="24965E34"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315,578,808.00</w:t>
            </w:r>
          </w:p>
        </w:tc>
        <w:tc>
          <w:tcPr>
            <w:tcW w:w="1460" w:type="dxa"/>
            <w:shd w:val="clear" w:color="000000" w:fill="F2F2F2"/>
            <w:noWrap/>
            <w:vAlign w:val="center"/>
            <w:hideMark/>
          </w:tcPr>
          <w:p w:rsidRPr="00F31A99" w:rsidR="00F31A99" w:rsidP="00F31A99" w:rsidRDefault="00F31A99" w14:paraId="37A8A5DE"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319,908,666.00</w:t>
            </w:r>
          </w:p>
        </w:tc>
        <w:tc>
          <w:tcPr>
            <w:tcW w:w="1560" w:type="dxa"/>
            <w:shd w:val="clear" w:color="000000" w:fill="F2F2F2"/>
            <w:noWrap/>
            <w:vAlign w:val="center"/>
            <w:hideMark/>
          </w:tcPr>
          <w:p w:rsidRPr="00F31A99" w:rsidR="00F31A99" w:rsidP="00F31A99" w:rsidRDefault="00F31A99" w14:paraId="5BEFF93B"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10.95%</w:t>
            </w:r>
          </w:p>
        </w:tc>
      </w:tr>
      <w:tr w:rsidRPr="00F31A99" w:rsidR="00AE1B2B" w:rsidTr="00A306B2" w14:paraId="0FBDED66" w14:textId="77777777">
        <w:trPr>
          <w:trHeight w:val="372"/>
          <w:jc w:val="center"/>
        </w:trPr>
        <w:tc>
          <w:tcPr>
            <w:tcW w:w="3760" w:type="dxa"/>
            <w:shd w:val="clear" w:color="000000" w:fill="F2F2F2"/>
            <w:noWrap/>
            <w:vAlign w:val="center"/>
            <w:hideMark/>
          </w:tcPr>
          <w:p w:rsidRPr="00F31A99" w:rsidR="00F31A99" w:rsidP="00F31A99" w:rsidRDefault="00F31A99" w14:paraId="5052257E"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Ministerio Público</w:t>
            </w:r>
          </w:p>
        </w:tc>
        <w:tc>
          <w:tcPr>
            <w:tcW w:w="1460" w:type="dxa"/>
            <w:shd w:val="clear" w:color="000000" w:fill="F2F2F2"/>
            <w:noWrap/>
            <w:vAlign w:val="center"/>
            <w:hideMark/>
          </w:tcPr>
          <w:p w:rsidRPr="00F31A99" w:rsidR="00F31A99" w:rsidP="00F31A99" w:rsidRDefault="00F31A99" w14:paraId="7A7524D1"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253,827,775.00</w:t>
            </w:r>
          </w:p>
        </w:tc>
        <w:tc>
          <w:tcPr>
            <w:tcW w:w="1460" w:type="dxa"/>
            <w:shd w:val="clear" w:color="000000" w:fill="F2F2F2"/>
            <w:noWrap/>
            <w:vAlign w:val="center"/>
            <w:hideMark/>
          </w:tcPr>
          <w:p w:rsidRPr="00F31A99" w:rsidR="00F31A99" w:rsidP="00F31A99" w:rsidRDefault="00F31A99" w14:paraId="7B126227"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252,632,833.00</w:t>
            </w:r>
          </w:p>
        </w:tc>
        <w:tc>
          <w:tcPr>
            <w:tcW w:w="1560" w:type="dxa"/>
            <w:shd w:val="clear" w:color="000000" w:fill="F2F2F2"/>
            <w:noWrap/>
            <w:vAlign w:val="center"/>
            <w:hideMark/>
          </w:tcPr>
          <w:p w:rsidRPr="00F31A99" w:rsidR="00F31A99" w:rsidP="00F31A99" w:rsidRDefault="00F31A99" w14:paraId="0B4C78AB"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8.65%</w:t>
            </w:r>
          </w:p>
        </w:tc>
      </w:tr>
      <w:tr w:rsidRPr="00F31A99" w:rsidR="00AE1B2B" w:rsidTr="00A306B2" w14:paraId="2DC7B368" w14:textId="77777777">
        <w:trPr>
          <w:trHeight w:val="372"/>
          <w:jc w:val="center"/>
        </w:trPr>
        <w:tc>
          <w:tcPr>
            <w:tcW w:w="3760" w:type="dxa"/>
            <w:shd w:val="clear" w:color="000000" w:fill="F2F2F2"/>
            <w:noWrap/>
            <w:vAlign w:val="center"/>
            <w:hideMark/>
          </w:tcPr>
          <w:p w:rsidRPr="00F31A99" w:rsidR="00F31A99" w:rsidP="00F31A99" w:rsidRDefault="00F31A99" w14:paraId="04491B27"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Primer Circuito Judicial San José</w:t>
            </w:r>
          </w:p>
        </w:tc>
        <w:tc>
          <w:tcPr>
            <w:tcW w:w="1460" w:type="dxa"/>
            <w:shd w:val="clear" w:color="000000" w:fill="F2F2F2"/>
            <w:noWrap/>
            <w:vAlign w:val="center"/>
            <w:hideMark/>
          </w:tcPr>
          <w:p w:rsidRPr="00F31A99" w:rsidR="00F31A99" w:rsidP="00F31A99" w:rsidRDefault="00F31A99" w14:paraId="03A36A62"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173,070,745.00</w:t>
            </w:r>
          </w:p>
        </w:tc>
        <w:tc>
          <w:tcPr>
            <w:tcW w:w="1460" w:type="dxa"/>
            <w:shd w:val="clear" w:color="000000" w:fill="F2F2F2"/>
            <w:noWrap/>
            <w:vAlign w:val="center"/>
            <w:hideMark/>
          </w:tcPr>
          <w:p w:rsidRPr="00F31A99" w:rsidR="00F31A99" w:rsidP="00F31A99" w:rsidRDefault="00F31A99" w14:paraId="2F34E275"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174,794,295.00</w:t>
            </w:r>
          </w:p>
        </w:tc>
        <w:tc>
          <w:tcPr>
            <w:tcW w:w="1560" w:type="dxa"/>
            <w:shd w:val="clear" w:color="000000" w:fill="F2F2F2"/>
            <w:noWrap/>
            <w:vAlign w:val="center"/>
            <w:hideMark/>
          </w:tcPr>
          <w:p w:rsidRPr="00F31A99" w:rsidR="00F31A99" w:rsidP="00F31A99" w:rsidRDefault="00F31A99" w14:paraId="1AE06677"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5.98%</w:t>
            </w:r>
          </w:p>
        </w:tc>
      </w:tr>
      <w:tr w:rsidRPr="00F31A99" w:rsidR="00AE1B2B" w:rsidTr="00A306B2" w14:paraId="06D37FBE" w14:textId="77777777">
        <w:trPr>
          <w:trHeight w:val="372"/>
          <w:jc w:val="center"/>
        </w:trPr>
        <w:tc>
          <w:tcPr>
            <w:tcW w:w="3760" w:type="dxa"/>
            <w:shd w:val="clear" w:color="000000" w:fill="F2F2F2"/>
            <w:noWrap/>
            <w:vAlign w:val="center"/>
            <w:hideMark/>
          </w:tcPr>
          <w:p w:rsidRPr="00F31A99" w:rsidR="00F31A99" w:rsidP="00F31A99" w:rsidRDefault="00F31A99" w14:paraId="613A5DE4"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Defensa Pública</w:t>
            </w:r>
          </w:p>
        </w:tc>
        <w:tc>
          <w:tcPr>
            <w:tcW w:w="1460" w:type="dxa"/>
            <w:shd w:val="clear" w:color="000000" w:fill="F2F2F2"/>
            <w:noWrap/>
            <w:vAlign w:val="center"/>
            <w:hideMark/>
          </w:tcPr>
          <w:p w:rsidRPr="00F31A99" w:rsidR="00F31A99" w:rsidP="00F31A99" w:rsidRDefault="00F31A99" w14:paraId="1730EE1D"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106,377,530.00</w:t>
            </w:r>
          </w:p>
        </w:tc>
        <w:tc>
          <w:tcPr>
            <w:tcW w:w="1460" w:type="dxa"/>
            <w:shd w:val="clear" w:color="000000" w:fill="F2F2F2"/>
            <w:noWrap/>
            <w:vAlign w:val="center"/>
            <w:hideMark/>
          </w:tcPr>
          <w:p w:rsidRPr="00F31A99" w:rsidR="00F31A99" w:rsidP="00F31A99" w:rsidRDefault="00F31A99" w14:paraId="4B2B92CB"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107,997,477.00</w:t>
            </w:r>
          </w:p>
        </w:tc>
        <w:tc>
          <w:tcPr>
            <w:tcW w:w="1560" w:type="dxa"/>
            <w:shd w:val="clear" w:color="000000" w:fill="F2F2F2"/>
            <w:noWrap/>
            <w:vAlign w:val="center"/>
            <w:hideMark/>
          </w:tcPr>
          <w:p w:rsidRPr="00F31A99" w:rsidR="00F31A99" w:rsidP="00F31A99" w:rsidRDefault="00F31A99" w14:paraId="61AB61CA"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3.70%</w:t>
            </w:r>
          </w:p>
        </w:tc>
      </w:tr>
      <w:tr w:rsidRPr="00F31A99" w:rsidR="00AE1B2B" w:rsidTr="00A306B2" w14:paraId="0A1E7D52" w14:textId="77777777">
        <w:trPr>
          <w:trHeight w:val="372"/>
          <w:jc w:val="center"/>
        </w:trPr>
        <w:tc>
          <w:tcPr>
            <w:tcW w:w="3760" w:type="dxa"/>
            <w:shd w:val="clear" w:color="000000" w:fill="F2F2F2"/>
            <w:noWrap/>
            <w:vAlign w:val="center"/>
            <w:hideMark/>
          </w:tcPr>
          <w:p w:rsidRPr="00F31A99" w:rsidR="00F31A99" w:rsidP="00F31A99" w:rsidRDefault="00F31A99" w14:paraId="7AD84B13"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Segundo Circuito Judicial San José</w:t>
            </w:r>
          </w:p>
        </w:tc>
        <w:tc>
          <w:tcPr>
            <w:tcW w:w="1460" w:type="dxa"/>
            <w:shd w:val="clear" w:color="000000" w:fill="F2F2F2"/>
            <w:noWrap/>
            <w:vAlign w:val="center"/>
            <w:hideMark/>
          </w:tcPr>
          <w:p w:rsidRPr="00F31A99" w:rsidR="00F31A99" w:rsidP="00F31A99" w:rsidRDefault="00F31A99" w14:paraId="56C51ACD"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102,572,045.00</w:t>
            </w:r>
          </w:p>
        </w:tc>
        <w:tc>
          <w:tcPr>
            <w:tcW w:w="1460" w:type="dxa"/>
            <w:shd w:val="clear" w:color="000000" w:fill="F2F2F2"/>
            <w:noWrap/>
            <w:vAlign w:val="center"/>
            <w:hideMark/>
          </w:tcPr>
          <w:p w:rsidRPr="00F31A99" w:rsidR="00F31A99" w:rsidP="00F31A99" w:rsidRDefault="00F31A99" w14:paraId="62A210E6"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97,622,234.00</w:t>
            </w:r>
          </w:p>
        </w:tc>
        <w:tc>
          <w:tcPr>
            <w:tcW w:w="1560" w:type="dxa"/>
            <w:shd w:val="clear" w:color="000000" w:fill="F2F2F2"/>
            <w:noWrap/>
            <w:vAlign w:val="center"/>
            <w:hideMark/>
          </w:tcPr>
          <w:p w:rsidRPr="00F31A99" w:rsidR="00F31A99" w:rsidP="00F31A99" w:rsidRDefault="00F31A99" w14:paraId="7E6F2D01"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3.34%</w:t>
            </w:r>
          </w:p>
        </w:tc>
      </w:tr>
      <w:tr w:rsidRPr="00F31A99" w:rsidR="00AE1B2B" w:rsidTr="00A306B2" w14:paraId="31798A6B" w14:textId="77777777">
        <w:trPr>
          <w:trHeight w:val="372"/>
          <w:jc w:val="center"/>
        </w:trPr>
        <w:tc>
          <w:tcPr>
            <w:tcW w:w="3760" w:type="dxa"/>
            <w:shd w:val="clear" w:color="000000" w:fill="F2F2F2"/>
            <w:noWrap/>
            <w:vAlign w:val="center"/>
            <w:hideMark/>
          </w:tcPr>
          <w:p w:rsidRPr="00F31A99" w:rsidR="00F31A99" w:rsidP="00F31A99" w:rsidRDefault="00F31A99" w14:paraId="4EBA734D"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Primer Circuito Judicial Guanacaste</w:t>
            </w:r>
          </w:p>
        </w:tc>
        <w:tc>
          <w:tcPr>
            <w:tcW w:w="1460" w:type="dxa"/>
            <w:shd w:val="clear" w:color="000000" w:fill="F2F2F2"/>
            <w:noWrap/>
            <w:vAlign w:val="center"/>
            <w:hideMark/>
          </w:tcPr>
          <w:p w:rsidRPr="00F31A99" w:rsidR="00F31A99" w:rsidP="00F31A99" w:rsidRDefault="00F31A99" w14:paraId="61E639DF"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70,690,490.00</w:t>
            </w:r>
          </w:p>
        </w:tc>
        <w:tc>
          <w:tcPr>
            <w:tcW w:w="1460" w:type="dxa"/>
            <w:shd w:val="clear" w:color="000000" w:fill="F2F2F2"/>
            <w:noWrap/>
            <w:vAlign w:val="center"/>
            <w:hideMark/>
          </w:tcPr>
          <w:p w:rsidRPr="00F31A99" w:rsidR="00F31A99" w:rsidP="00F31A99" w:rsidRDefault="00F31A99" w14:paraId="5847053D"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74,344,933.00</w:t>
            </w:r>
          </w:p>
        </w:tc>
        <w:tc>
          <w:tcPr>
            <w:tcW w:w="1560" w:type="dxa"/>
            <w:shd w:val="clear" w:color="000000" w:fill="F2F2F2"/>
            <w:noWrap/>
            <w:vAlign w:val="center"/>
            <w:hideMark/>
          </w:tcPr>
          <w:p w:rsidRPr="00F31A99" w:rsidR="00F31A99" w:rsidP="00F31A99" w:rsidRDefault="00F31A99" w14:paraId="37A0DE36"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2.54%</w:t>
            </w:r>
          </w:p>
        </w:tc>
      </w:tr>
      <w:tr w:rsidRPr="00F31A99" w:rsidR="00AE1B2B" w:rsidTr="00A306B2" w14:paraId="672B9E99" w14:textId="77777777">
        <w:trPr>
          <w:trHeight w:val="372"/>
          <w:jc w:val="center"/>
        </w:trPr>
        <w:tc>
          <w:tcPr>
            <w:tcW w:w="3760" w:type="dxa"/>
            <w:shd w:val="clear" w:color="000000" w:fill="F2F2F2"/>
            <w:noWrap/>
            <w:vAlign w:val="center"/>
            <w:hideMark/>
          </w:tcPr>
          <w:p w:rsidRPr="00F31A99" w:rsidR="00F31A99" w:rsidP="00F31A99" w:rsidRDefault="00F31A99" w14:paraId="1EC00BAE"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Primer Circuito Judicial Zona Atlántica</w:t>
            </w:r>
          </w:p>
        </w:tc>
        <w:tc>
          <w:tcPr>
            <w:tcW w:w="1460" w:type="dxa"/>
            <w:shd w:val="clear" w:color="000000" w:fill="F2F2F2"/>
            <w:noWrap/>
            <w:vAlign w:val="center"/>
            <w:hideMark/>
          </w:tcPr>
          <w:p w:rsidRPr="00F31A99" w:rsidR="00F31A99" w:rsidP="00F31A99" w:rsidRDefault="00F31A99" w14:paraId="488CDFC3"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70,330,951.00</w:t>
            </w:r>
          </w:p>
        </w:tc>
        <w:tc>
          <w:tcPr>
            <w:tcW w:w="1460" w:type="dxa"/>
            <w:shd w:val="clear" w:color="000000" w:fill="F2F2F2"/>
            <w:noWrap/>
            <w:vAlign w:val="center"/>
            <w:hideMark/>
          </w:tcPr>
          <w:p w:rsidRPr="00F31A99" w:rsidR="00F31A99" w:rsidP="00F31A99" w:rsidRDefault="00F31A99" w14:paraId="5F71159A"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71,401,968.00</w:t>
            </w:r>
          </w:p>
        </w:tc>
        <w:tc>
          <w:tcPr>
            <w:tcW w:w="1560" w:type="dxa"/>
            <w:shd w:val="clear" w:color="000000" w:fill="F2F2F2"/>
            <w:noWrap/>
            <w:vAlign w:val="center"/>
            <w:hideMark/>
          </w:tcPr>
          <w:p w:rsidRPr="00F31A99" w:rsidR="00F31A99" w:rsidP="00F31A99" w:rsidRDefault="00F31A99" w14:paraId="1056A604"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2.44%</w:t>
            </w:r>
          </w:p>
        </w:tc>
      </w:tr>
      <w:tr w:rsidRPr="00F31A99" w:rsidR="00AE1B2B" w:rsidTr="00A306B2" w14:paraId="7DD7F9C1" w14:textId="77777777">
        <w:trPr>
          <w:trHeight w:val="372"/>
          <w:jc w:val="center"/>
        </w:trPr>
        <w:tc>
          <w:tcPr>
            <w:tcW w:w="3760" w:type="dxa"/>
            <w:shd w:val="clear" w:color="000000" w:fill="F2F2F2"/>
            <w:noWrap/>
            <w:vAlign w:val="center"/>
            <w:hideMark/>
          </w:tcPr>
          <w:p w:rsidRPr="00F31A99" w:rsidR="00F31A99" w:rsidP="00F31A99" w:rsidRDefault="00F31A99" w14:paraId="0F7047CD"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Circuito Judicial Puntarenas</w:t>
            </w:r>
          </w:p>
        </w:tc>
        <w:tc>
          <w:tcPr>
            <w:tcW w:w="1460" w:type="dxa"/>
            <w:shd w:val="clear" w:color="000000" w:fill="F2F2F2"/>
            <w:noWrap/>
            <w:vAlign w:val="center"/>
            <w:hideMark/>
          </w:tcPr>
          <w:p w:rsidRPr="00F31A99" w:rsidR="00F31A99" w:rsidP="00F31A99" w:rsidRDefault="00F31A99" w14:paraId="617F2C62"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68,534,317.00</w:t>
            </w:r>
          </w:p>
        </w:tc>
        <w:tc>
          <w:tcPr>
            <w:tcW w:w="1460" w:type="dxa"/>
            <w:shd w:val="clear" w:color="000000" w:fill="F2F2F2"/>
            <w:noWrap/>
            <w:vAlign w:val="center"/>
            <w:hideMark/>
          </w:tcPr>
          <w:p w:rsidRPr="00F31A99" w:rsidR="00F31A99" w:rsidP="00F31A99" w:rsidRDefault="00F31A99" w14:paraId="66D68C2F"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69,577,984.00</w:t>
            </w:r>
          </w:p>
        </w:tc>
        <w:tc>
          <w:tcPr>
            <w:tcW w:w="1560" w:type="dxa"/>
            <w:shd w:val="clear" w:color="000000" w:fill="F2F2F2"/>
            <w:noWrap/>
            <w:vAlign w:val="center"/>
            <w:hideMark/>
          </w:tcPr>
          <w:p w:rsidRPr="00F31A99" w:rsidR="00F31A99" w:rsidP="00F31A99" w:rsidRDefault="00F31A99" w14:paraId="4FCCC615"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2.38%</w:t>
            </w:r>
          </w:p>
        </w:tc>
      </w:tr>
      <w:tr w:rsidRPr="00F31A99" w:rsidR="00AE1B2B" w:rsidTr="00A306B2" w14:paraId="38526A3C" w14:textId="77777777">
        <w:trPr>
          <w:trHeight w:val="372"/>
          <w:jc w:val="center"/>
        </w:trPr>
        <w:tc>
          <w:tcPr>
            <w:tcW w:w="3760" w:type="dxa"/>
            <w:shd w:val="clear" w:color="000000" w:fill="F2F2F2"/>
            <w:noWrap/>
            <w:vAlign w:val="center"/>
            <w:hideMark/>
          </w:tcPr>
          <w:p w:rsidRPr="00F31A99" w:rsidR="00F31A99" w:rsidP="00F31A99" w:rsidRDefault="00F31A99" w14:paraId="6195510E"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Segundo Circuito Judicial Zona Atlántica</w:t>
            </w:r>
          </w:p>
        </w:tc>
        <w:tc>
          <w:tcPr>
            <w:tcW w:w="1460" w:type="dxa"/>
            <w:shd w:val="clear" w:color="000000" w:fill="F2F2F2"/>
            <w:noWrap/>
            <w:vAlign w:val="center"/>
            <w:hideMark/>
          </w:tcPr>
          <w:p w:rsidRPr="00F31A99" w:rsidR="00F31A99" w:rsidP="00F31A99" w:rsidRDefault="00F31A99" w14:paraId="38536E50"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68,391,970.00</w:t>
            </w:r>
          </w:p>
        </w:tc>
        <w:tc>
          <w:tcPr>
            <w:tcW w:w="1460" w:type="dxa"/>
            <w:shd w:val="clear" w:color="000000" w:fill="F2F2F2"/>
            <w:noWrap/>
            <w:vAlign w:val="center"/>
            <w:hideMark/>
          </w:tcPr>
          <w:p w:rsidRPr="00F31A99" w:rsidR="00F31A99" w:rsidP="00F31A99" w:rsidRDefault="00F31A99" w14:paraId="73BBBFF0"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69,433,467.00</w:t>
            </w:r>
          </w:p>
        </w:tc>
        <w:tc>
          <w:tcPr>
            <w:tcW w:w="1560" w:type="dxa"/>
            <w:shd w:val="clear" w:color="000000" w:fill="F2F2F2"/>
            <w:noWrap/>
            <w:vAlign w:val="center"/>
            <w:hideMark/>
          </w:tcPr>
          <w:p w:rsidRPr="00F31A99" w:rsidR="00F31A99" w:rsidP="00F31A99" w:rsidRDefault="00F31A99" w14:paraId="04BF41F8"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2.38%</w:t>
            </w:r>
          </w:p>
        </w:tc>
      </w:tr>
      <w:tr w:rsidRPr="00F31A99" w:rsidR="00AE1B2B" w:rsidTr="00A306B2" w14:paraId="4DE1ACA4" w14:textId="77777777">
        <w:trPr>
          <w:trHeight w:val="372"/>
          <w:jc w:val="center"/>
        </w:trPr>
        <w:tc>
          <w:tcPr>
            <w:tcW w:w="3760" w:type="dxa"/>
            <w:shd w:val="clear" w:color="000000" w:fill="F2F2F2"/>
            <w:noWrap/>
            <w:vAlign w:val="center"/>
            <w:hideMark/>
          </w:tcPr>
          <w:p w:rsidRPr="00F31A99" w:rsidR="00F31A99" w:rsidP="00F31A99" w:rsidRDefault="00F31A99" w14:paraId="4CC260E7"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Primer Circuito Judicial Alajuela</w:t>
            </w:r>
          </w:p>
        </w:tc>
        <w:tc>
          <w:tcPr>
            <w:tcW w:w="1460" w:type="dxa"/>
            <w:shd w:val="clear" w:color="000000" w:fill="F2F2F2"/>
            <w:noWrap/>
            <w:vAlign w:val="center"/>
            <w:hideMark/>
          </w:tcPr>
          <w:p w:rsidRPr="00F31A99" w:rsidR="00F31A99" w:rsidP="00F31A99" w:rsidRDefault="00F31A99" w14:paraId="580C6757"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62,886,675.00</w:t>
            </w:r>
          </w:p>
        </w:tc>
        <w:tc>
          <w:tcPr>
            <w:tcW w:w="1460" w:type="dxa"/>
            <w:shd w:val="clear" w:color="000000" w:fill="F2F2F2"/>
            <w:noWrap/>
            <w:vAlign w:val="center"/>
            <w:hideMark/>
          </w:tcPr>
          <w:p w:rsidRPr="00F31A99" w:rsidR="00F31A99" w:rsidP="00F31A99" w:rsidRDefault="00F31A99" w14:paraId="6EE5643F"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63,844,333.00</w:t>
            </w:r>
          </w:p>
        </w:tc>
        <w:tc>
          <w:tcPr>
            <w:tcW w:w="1560" w:type="dxa"/>
            <w:shd w:val="clear" w:color="000000" w:fill="F2F2F2"/>
            <w:noWrap/>
            <w:vAlign w:val="center"/>
            <w:hideMark/>
          </w:tcPr>
          <w:p w:rsidRPr="00F31A99" w:rsidR="00F31A99" w:rsidP="00F31A99" w:rsidRDefault="00F31A99" w14:paraId="7143B773"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2.19%</w:t>
            </w:r>
          </w:p>
        </w:tc>
      </w:tr>
      <w:tr w:rsidRPr="00F31A99" w:rsidR="00AE1B2B" w:rsidTr="00A306B2" w14:paraId="52CD75CE" w14:textId="77777777">
        <w:trPr>
          <w:trHeight w:val="372"/>
          <w:jc w:val="center"/>
        </w:trPr>
        <w:tc>
          <w:tcPr>
            <w:tcW w:w="3760" w:type="dxa"/>
            <w:shd w:val="clear" w:color="000000" w:fill="F2F2F2"/>
            <w:noWrap/>
            <w:vAlign w:val="center"/>
            <w:hideMark/>
          </w:tcPr>
          <w:p w:rsidRPr="00F31A99" w:rsidR="00F31A99" w:rsidP="00F31A99" w:rsidRDefault="00F31A99" w14:paraId="65A8DEC6"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Circuito Judicial Cartago</w:t>
            </w:r>
          </w:p>
        </w:tc>
        <w:tc>
          <w:tcPr>
            <w:tcW w:w="1460" w:type="dxa"/>
            <w:shd w:val="clear" w:color="000000" w:fill="F2F2F2"/>
            <w:noWrap/>
            <w:vAlign w:val="center"/>
            <w:hideMark/>
          </w:tcPr>
          <w:p w:rsidRPr="00F31A99" w:rsidR="00F31A99" w:rsidP="00F31A99" w:rsidRDefault="00F31A99" w14:paraId="1A7751E9"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54,457,925.00</w:t>
            </w:r>
          </w:p>
        </w:tc>
        <w:tc>
          <w:tcPr>
            <w:tcW w:w="1460" w:type="dxa"/>
            <w:shd w:val="clear" w:color="000000" w:fill="F2F2F2"/>
            <w:noWrap/>
            <w:vAlign w:val="center"/>
            <w:hideMark/>
          </w:tcPr>
          <w:p w:rsidRPr="00F31A99" w:rsidR="00F31A99" w:rsidP="00F31A99" w:rsidRDefault="00F31A99" w14:paraId="6E8E1469"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55,287,229.00</w:t>
            </w:r>
          </w:p>
        </w:tc>
        <w:tc>
          <w:tcPr>
            <w:tcW w:w="1560" w:type="dxa"/>
            <w:shd w:val="clear" w:color="000000" w:fill="F2F2F2"/>
            <w:noWrap/>
            <w:vAlign w:val="center"/>
            <w:hideMark/>
          </w:tcPr>
          <w:p w:rsidRPr="00F31A99" w:rsidR="00F31A99" w:rsidP="00F31A99" w:rsidRDefault="00F31A99" w14:paraId="5BB1E5E5"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1.89%</w:t>
            </w:r>
          </w:p>
        </w:tc>
      </w:tr>
      <w:tr w:rsidRPr="00F31A99" w:rsidR="00AE1B2B" w:rsidTr="00A306B2" w14:paraId="33E9F03A" w14:textId="77777777">
        <w:trPr>
          <w:trHeight w:val="372"/>
          <w:jc w:val="center"/>
        </w:trPr>
        <w:tc>
          <w:tcPr>
            <w:tcW w:w="3760" w:type="dxa"/>
            <w:shd w:val="clear" w:color="000000" w:fill="F2F2F2"/>
            <w:noWrap/>
            <w:vAlign w:val="center"/>
            <w:hideMark/>
          </w:tcPr>
          <w:p w:rsidRPr="00F31A99" w:rsidR="00F31A99" w:rsidP="00F31A99" w:rsidRDefault="00F31A99" w14:paraId="2F2D4417"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Otros </w:t>
            </w:r>
          </w:p>
        </w:tc>
        <w:tc>
          <w:tcPr>
            <w:tcW w:w="1460" w:type="dxa"/>
            <w:shd w:val="clear" w:color="000000" w:fill="F2F2F2"/>
            <w:noWrap/>
            <w:vAlign w:val="center"/>
            <w:hideMark/>
          </w:tcPr>
          <w:p w:rsidRPr="00F31A99" w:rsidR="00F31A99" w:rsidP="00F31A99" w:rsidRDefault="00F31A99" w14:paraId="769A018A"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902,904,174.00</w:t>
            </w:r>
          </w:p>
        </w:tc>
        <w:tc>
          <w:tcPr>
            <w:tcW w:w="1460" w:type="dxa"/>
            <w:shd w:val="clear" w:color="000000" w:fill="F2F2F2"/>
            <w:noWrap/>
            <w:vAlign w:val="center"/>
            <w:hideMark/>
          </w:tcPr>
          <w:p w:rsidRPr="00F31A99" w:rsidR="00F31A99" w:rsidP="00F31A99" w:rsidRDefault="00F31A99" w14:paraId="0D3A0D83"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921,975,709.00</w:t>
            </w:r>
          </w:p>
        </w:tc>
        <w:tc>
          <w:tcPr>
            <w:tcW w:w="1560" w:type="dxa"/>
            <w:shd w:val="clear" w:color="000000" w:fill="F2F2F2"/>
            <w:noWrap/>
            <w:vAlign w:val="center"/>
            <w:hideMark/>
          </w:tcPr>
          <w:p w:rsidRPr="00F31A99" w:rsidR="00F31A99" w:rsidP="00F31A99" w:rsidRDefault="00F31A99" w14:paraId="0725102B"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31.56%</w:t>
            </w:r>
          </w:p>
        </w:tc>
      </w:tr>
      <w:tr w:rsidRPr="00F31A99" w:rsidR="00AE1B2B" w:rsidTr="00A306B2" w14:paraId="4AF93C61" w14:textId="77777777">
        <w:trPr>
          <w:trHeight w:val="372"/>
          <w:jc w:val="center"/>
        </w:trPr>
        <w:tc>
          <w:tcPr>
            <w:tcW w:w="3760" w:type="dxa"/>
            <w:shd w:val="clear" w:color="000000" w:fill="F2F2F2"/>
            <w:noWrap/>
            <w:vAlign w:val="center"/>
            <w:hideMark/>
          </w:tcPr>
          <w:p w:rsidRPr="00F31A99" w:rsidR="00F31A99" w:rsidP="00F31A99" w:rsidRDefault="00F31A99" w14:paraId="30B1BA29"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Total</w:t>
            </w:r>
          </w:p>
        </w:tc>
        <w:tc>
          <w:tcPr>
            <w:tcW w:w="1460" w:type="dxa"/>
            <w:shd w:val="clear" w:color="000000" w:fill="F2F2F2"/>
            <w:noWrap/>
            <w:vAlign w:val="center"/>
            <w:hideMark/>
          </w:tcPr>
          <w:p w:rsidRPr="00F31A99" w:rsidR="00F31A99" w:rsidP="00F31A99" w:rsidRDefault="00F31A99" w14:paraId="2D3F8F9C"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2,886,981,790</w:t>
            </w:r>
          </w:p>
        </w:tc>
        <w:tc>
          <w:tcPr>
            <w:tcW w:w="1460" w:type="dxa"/>
            <w:shd w:val="clear" w:color="000000" w:fill="F2F2F2"/>
            <w:noWrap/>
            <w:vAlign w:val="center"/>
            <w:hideMark/>
          </w:tcPr>
          <w:p w:rsidRPr="00F31A99" w:rsidR="00F31A99" w:rsidP="00F31A99" w:rsidRDefault="00F31A99" w14:paraId="7A752FE8"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2,921,685,447</w:t>
            </w:r>
          </w:p>
        </w:tc>
        <w:tc>
          <w:tcPr>
            <w:tcW w:w="1560" w:type="dxa"/>
            <w:shd w:val="clear" w:color="000000" w:fill="F2F2F2"/>
            <w:noWrap/>
            <w:vAlign w:val="center"/>
            <w:hideMark/>
          </w:tcPr>
          <w:p w:rsidRPr="00F31A99" w:rsidR="00F31A99" w:rsidP="00F31A99" w:rsidRDefault="00F31A99" w14:paraId="7CBBC81F"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100.00%</w:t>
            </w:r>
          </w:p>
        </w:tc>
      </w:tr>
    </w:tbl>
    <w:p w:rsidRPr="00F31A99" w:rsidR="00F31A99" w:rsidP="00F31A99" w:rsidRDefault="00F31A99" w14:paraId="568E3D76" w14:textId="77777777">
      <w:pPr>
        <w:widowControl w:val="0"/>
        <w:autoSpaceDN w:val="0"/>
        <w:rPr>
          <w:rFonts w:ascii="Times New Roman" w:hAnsi="Times New Roman" w:eastAsia="Calibri" w:cs="Times New Roman"/>
          <w:bCs/>
          <w:sz w:val="16"/>
          <w:szCs w:val="16"/>
          <w:u w:color="000000"/>
        </w:rPr>
      </w:pPr>
    </w:p>
    <w:p w:rsidRPr="00F31A99" w:rsidR="00F31A99" w:rsidP="00F31A99" w:rsidRDefault="00F31A99" w14:paraId="29D8CB1C" w14:textId="77777777">
      <w:pPr>
        <w:widowControl w:val="0"/>
        <w:autoSpaceDN w:val="0"/>
        <w:ind w:firstLine="709"/>
        <w:rPr>
          <w:rFonts w:ascii="Times New Roman" w:hAnsi="Times New Roman" w:eastAsia="Calibri" w:cs="Times New Roman"/>
          <w:bCs/>
          <w:sz w:val="16"/>
          <w:szCs w:val="16"/>
          <w:u w:color="000000"/>
        </w:rPr>
      </w:pPr>
      <w:r w:rsidRPr="00F31A99">
        <w:rPr>
          <w:rFonts w:ascii="Times New Roman" w:hAnsi="Times New Roman" w:eastAsia="Calibri" w:cs="Times New Roman"/>
          <w:bCs/>
          <w:sz w:val="16"/>
          <w:szCs w:val="16"/>
          <w:u w:color="000000"/>
        </w:rPr>
        <w:t>Fuente: SIGA PJ</w:t>
      </w:r>
    </w:p>
    <w:p w:rsidRPr="00F31A99" w:rsidR="00F31A99" w:rsidP="00F31A99" w:rsidRDefault="00F31A99" w14:paraId="7CF4B295" w14:textId="77777777">
      <w:pPr>
        <w:widowControl w:val="0"/>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5273EDEC"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Según se muestra en el cuadro anterior, la concentración de recursos para el periodo 2022 por Centro de Responsabilidad, recae sobre el Organismo de Investigación Judicial con un 22%, la Dirección Ejecutiva con 10.95%, Ministerio Público con 8.65% y el Primer Circuito Judicial de San José con 5.98%, el resto de los despachos que se indican en la tabla corresponde en total un 24.38% de la representación. </w:t>
      </w:r>
    </w:p>
    <w:p w:rsidRPr="00F31A99" w:rsidR="00F31A99" w:rsidP="00F31A99" w:rsidRDefault="00F31A99" w14:paraId="447B50E0" w14:textId="77777777">
      <w:pPr>
        <w:widowControl w:val="0"/>
        <w:autoSpaceDN w:val="0"/>
        <w:rPr>
          <w:rFonts w:ascii="Times New Roman" w:hAnsi="Times New Roman" w:eastAsia="Calibri" w:cs="Times New Roman"/>
          <w:bCs/>
          <w:sz w:val="24"/>
          <w:u w:color="000000"/>
        </w:rPr>
      </w:pPr>
    </w:p>
    <w:p w:rsidRPr="00F31A99" w:rsidR="00F31A99" w:rsidP="00F31A99" w:rsidRDefault="00F31A99" w14:paraId="49DA688E" w14:textId="77777777">
      <w:pPr>
        <w:widowControl w:val="0"/>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1.3 Subpartida 1.02.04 Servicios de Telecomunicaciones</w:t>
      </w:r>
    </w:p>
    <w:p w:rsidRPr="00F31A99" w:rsidR="00F31A99" w:rsidP="00F31A99" w:rsidRDefault="00F31A99" w14:paraId="5AE9FEDA" w14:textId="77777777">
      <w:pPr>
        <w:widowControl w:val="0"/>
        <w:autoSpaceDN w:val="0"/>
        <w:ind w:left="851" w:right="851" w:firstLine="709"/>
        <w:rPr>
          <w:rFonts w:ascii="Times New Roman" w:hAnsi="Times New Roman" w:eastAsia="Calibri" w:cs="Times New Roman"/>
          <w:b/>
          <w:bCs/>
          <w:sz w:val="26"/>
          <w:szCs w:val="26"/>
          <w:u w:color="000000"/>
        </w:rPr>
      </w:pPr>
    </w:p>
    <w:p w:rsidRPr="00F31A99" w:rsidR="00F31A99" w:rsidP="00F31A99" w:rsidRDefault="00F31A99" w14:paraId="5DE2E748" w14:textId="77777777">
      <w:pPr>
        <w:widowControl w:val="0"/>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1.3.1 Comportamiento histórico de la subpartida</w:t>
      </w:r>
    </w:p>
    <w:p w:rsidRPr="00F31A99" w:rsidR="00F31A99" w:rsidP="00F31A99" w:rsidRDefault="00F31A99" w14:paraId="64CF992F" w14:textId="77777777">
      <w:pPr>
        <w:widowControl w:val="0"/>
        <w:autoSpaceDN w:val="0"/>
        <w:ind w:left="851" w:right="851" w:firstLine="709"/>
        <w:rPr>
          <w:rFonts w:ascii="Times New Roman" w:hAnsi="Times New Roman" w:eastAsia="Calibri" w:cs="Times New Roman"/>
          <w:b/>
          <w:bCs/>
          <w:sz w:val="26"/>
          <w:szCs w:val="26"/>
          <w:u w:color="000000"/>
        </w:rPr>
      </w:pPr>
    </w:p>
    <w:p w:rsidRPr="00F31A99" w:rsidR="00F31A99" w:rsidP="00F31A99" w:rsidRDefault="00F31A99" w14:paraId="0B348CB9" w14:textId="77777777">
      <w:pPr>
        <w:widowControl w:val="0"/>
        <w:autoSpaceDN w:val="0"/>
        <w:ind w:left="851" w:right="851"/>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Tabla 10. Detalle del comportamiento histórico de la subpartida 10204 Servicio de Telecomunicaciones. Periodo 2018 – 2022.</w:t>
      </w:r>
    </w:p>
    <w:p w:rsidRPr="00F31A99" w:rsidR="00F31A99" w:rsidP="00F31A99" w:rsidRDefault="00F31A99" w14:paraId="7A075737" w14:textId="77777777">
      <w:pPr>
        <w:widowControl w:val="0"/>
        <w:autoSpaceDN w:val="0"/>
        <w:ind w:left="851" w:right="851" w:firstLine="709"/>
        <w:rPr>
          <w:rFonts w:ascii="Times New Roman" w:hAnsi="Times New Roman" w:eastAsia="Calibri" w:cs="Times New Roman"/>
          <w:b/>
          <w:bCs/>
          <w:sz w:val="26"/>
          <w:szCs w:val="26"/>
          <w:u w:color="000000"/>
        </w:rPr>
      </w:pPr>
    </w:p>
    <w:tbl>
      <w:tblPr>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560"/>
        <w:gridCol w:w="1417"/>
        <w:gridCol w:w="1405"/>
        <w:gridCol w:w="1405"/>
        <w:gridCol w:w="1405"/>
        <w:gridCol w:w="1543"/>
      </w:tblGrid>
      <w:tr w:rsidRPr="00AE1B2B" w:rsidR="00AE1B2B" w:rsidTr="00F31A99" w14:paraId="5C582FD8" w14:textId="77777777">
        <w:trPr>
          <w:trHeight w:val="405"/>
          <w:jc w:val="center"/>
        </w:trPr>
        <w:tc>
          <w:tcPr>
            <w:tcW w:w="1560" w:type="dxa"/>
            <w:shd w:val="clear" w:color="auto" w:fill="F2F2F2"/>
            <w:noWrap/>
            <w:vAlign w:val="center"/>
          </w:tcPr>
          <w:p w:rsidRPr="00F31A99" w:rsidR="00F31A99" w:rsidP="00F31A99" w:rsidRDefault="00F31A99" w14:paraId="06A9DA29" w14:textId="77777777">
            <w:pPr>
              <w:widowControl w:val="0"/>
              <w:autoSpaceDN w:val="0"/>
              <w:jc w:val="center"/>
              <w:rPr>
                <w:rFonts w:ascii="Times New Roman" w:hAnsi="Times New Roman" w:eastAsia="Times New Roman" w:cs="Times New Roman"/>
                <w:u w:color="000000"/>
                <w:lang w:eastAsia="es-CR"/>
              </w:rPr>
            </w:pPr>
          </w:p>
        </w:tc>
        <w:tc>
          <w:tcPr>
            <w:tcW w:w="1417" w:type="dxa"/>
            <w:shd w:val="clear" w:color="auto" w:fill="auto"/>
            <w:noWrap/>
            <w:vAlign w:val="center"/>
          </w:tcPr>
          <w:p w:rsidRPr="00F31A99" w:rsidR="00F31A99" w:rsidP="00F31A99" w:rsidRDefault="00F31A99" w14:paraId="3D231011"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2018</w:t>
            </w:r>
          </w:p>
        </w:tc>
        <w:tc>
          <w:tcPr>
            <w:tcW w:w="1292" w:type="dxa"/>
            <w:shd w:val="clear" w:color="auto" w:fill="auto"/>
            <w:noWrap/>
            <w:vAlign w:val="center"/>
          </w:tcPr>
          <w:p w:rsidRPr="00F31A99" w:rsidR="00F31A99" w:rsidP="00F31A99" w:rsidRDefault="00F31A99" w14:paraId="052C265C"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2019</w:t>
            </w:r>
          </w:p>
        </w:tc>
        <w:tc>
          <w:tcPr>
            <w:tcW w:w="1401" w:type="dxa"/>
            <w:shd w:val="clear" w:color="auto" w:fill="auto"/>
            <w:noWrap/>
            <w:vAlign w:val="center"/>
          </w:tcPr>
          <w:p w:rsidRPr="00F31A99" w:rsidR="00F31A99" w:rsidP="00F31A99" w:rsidRDefault="00F31A99" w14:paraId="09C84428"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2020</w:t>
            </w:r>
          </w:p>
        </w:tc>
        <w:tc>
          <w:tcPr>
            <w:tcW w:w="1292" w:type="dxa"/>
            <w:shd w:val="clear" w:color="auto" w:fill="auto"/>
            <w:noWrap/>
            <w:vAlign w:val="center"/>
          </w:tcPr>
          <w:p w:rsidRPr="00F31A99" w:rsidR="00F31A99" w:rsidP="00F31A99" w:rsidRDefault="00F31A99" w14:paraId="62EB76DD"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2021</w:t>
            </w:r>
          </w:p>
        </w:tc>
        <w:tc>
          <w:tcPr>
            <w:tcW w:w="1543" w:type="dxa"/>
            <w:shd w:val="clear" w:color="auto" w:fill="auto"/>
            <w:noWrap/>
            <w:vAlign w:val="center"/>
          </w:tcPr>
          <w:p w:rsidRPr="00F31A99" w:rsidR="00F31A99" w:rsidP="00F31A99" w:rsidRDefault="00F31A99" w14:paraId="7E3BEF4C"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2022</w:t>
            </w:r>
          </w:p>
        </w:tc>
      </w:tr>
      <w:tr w:rsidRPr="00AE1B2B" w:rsidR="00AE1B2B" w:rsidTr="00F31A99" w14:paraId="0F8E8B15" w14:textId="77777777">
        <w:trPr>
          <w:trHeight w:val="405"/>
          <w:jc w:val="center"/>
        </w:trPr>
        <w:tc>
          <w:tcPr>
            <w:tcW w:w="1560" w:type="dxa"/>
            <w:shd w:val="clear" w:color="auto" w:fill="F2F2F2"/>
            <w:noWrap/>
            <w:vAlign w:val="center"/>
          </w:tcPr>
          <w:p w:rsidRPr="00F31A99" w:rsidR="00F31A99" w:rsidP="00F31A99" w:rsidRDefault="00F31A99" w14:paraId="3E304769"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Monto formulado</w:t>
            </w:r>
          </w:p>
        </w:tc>
        <w:tc>
          <w:tcPr>
            <w:tcW w:w="1417" w:type="dxa"/>
            <w:shd w:val="clear" w:color="auto" w:fill="auto"/>
            <w:noWrap/>
            <w:vAlign w:val="center"/>
          </w:tcPr>
          <w:p w:rsidRPr="00F31A99" w:rsidR="00F31A99" w:rsidP="00F31A99" w:rsidRDefault="00F31A99" w14:paraId="5D306E18"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5,476,363,390</w:t>
            </w:r>
          </w:p>
        </w:tc>
        <w:tc>
          <w:tcPr>
            <w:tcW w:w="1292" w:type="dxa"/>
            <w:shd w:val="clear" w:color="auto" w:fill="auto"/>
            <w:noWrap/>
            <w:vAlign w:val="center"/>
          </w:tcPr>
          <w:p w:rsidRPr="00F31A99" w:rsidR="00F31A99" w:rsidP="00F31A99" w:rsidRDefault="00F31A99" w14:paraId="25FC7E97"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4,428,670,494</w:t>
            </w:r>
          </w:p>
        </w:tc>
        <w:tc>
          <w:tcPr>
            <w:tcW w:w="1401" w:type="dxa"/>
            <w:shd w:val="clear" w:color="auto" w:fill="auto"/>
            <w:noWrap/>
            <w:vAlign w:val="center"/>
          </w:tcPr>
          <w:p w:rsidRPr="00F31A99" w:rsidR="00F31A99" w:rsidP="00F31A99" w:rsidRDefault="00F31A99" w14:paraId="62912199"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3,716,322,703</w:t>
            </w:r>
          </w:p>
        </w:tc>
        <w:tc>
          <w:tcPr>
            <w:tcW w:w="1292" w:type="dxa"/>
            <w:shd w:val="clear" w:color="auto" w:fill="auto"/>
            <w:noWrap/>
            <w:vAlign w:val="center"/>
          </w:tcPr>
          <w:p w:rsidRPr="00F31A99" w:rsidR="00F31A99" w:rsidP="00F31A99" w:rsidRDefault="00F31A99" w14:paraId="74C2D401" w14:textId="77777777">
            <w:pPr>
              <w:widowControl w:val="0"/>
              <w:autoSpaceDN w:val="0"/>
              <w:jc w:val="center"/>
              <w:rPr>
                <w:rFonts w:ascii="Times New Roman" w:hAnsi="Times New Roman" w:eastAsia="Times New Roman" w:cs="Times New Roman"/>
                <w:highlight w:val="yellow"/>
                <w:u w:color="000000"/>
                <w:lang w:eastAsia="es-CR"/>
              </w:rPr>
            </w:pPr>
            <w:r w:rsidRPr="00F31A99">
              <w:rPr>
                <w:rFonts w:ascii="Times New Roman" w:hAnsi="Times New Roman" w:eastAsia="Times New Roman" w:cs="Times New Roman"/>
                <w:u w:color="000000"/>
                <w:lang w:eastAsia="es-CR"/>
              </w:rPr>
              <w:t>3,562,666,932</w:t>
            </w:r>
          </w:p>
        </w:tc>
        <w:tc>
          <w:tcPr>
            <w:tcW w:w="1543" w:type="dxa"/>
            <w:shd w:val="clear" w:color="auto" w:fill="auto"/>
            <w:noWrap/>
            <w:vAlign w:val="center"/>
          </w:tcPr>
          <w:p w:rsidRPr="00F31A99" w:rsidR="00F31A99" w:rsidP="00F31A99" w:rsidRDefault="00F31A99" w14:paraId="714C1A01"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3,814,407,768</w:t>
            </w:r>
          </w:p>
        </w:tc>
      </w:tr>
      <w:tr w:rsidRPr="00AE1B2B" w:rsidR="00AE1B2B" w:rsidTr="00F31A99" w14:paraId="5A92EA7F" w14:textId="77777777">
        <w:trPr>
          <w:trHeight w:val="405"/>
          <w:jc w:val="center"/>
        </w:trPr>
        <w:tc>
          <w:tcPr>
            <w:tcW w:w="1560" w:type="dxa"/>
            <w:shd w:val="clear" w:color="auto" w:fill="F2F2F2"/>
            <w:noWrap/>
            <w:vAlign w:val="center"/>
          </w:tcPr>
          <w:p w:rsidRPr="00F31A99" w:rsidR="00F31A99" w:rsidP="00F31A99" w:rsidRDefault="00F31A99" w14:paraId="6A7A5BB3"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Variación</w:t>
            </w:r>
          </w:p>
        </w:tc>
        <w:tc>
          <w:tcPr>
            <w:tcW w:w="1417" w:type="dxa"/>
            <w:shd w:val="clear" w:color="auto" w:fill="auto"/>
            <w:noWrap/>
            <w:vAlign w:val="center"/>
          </w:tcPr>
          <w:p w:rsidRPr="00F31A99" w:rsidR="00F31A99" w:rsidP="00F31A99" w:rsidRDefault="00F31A99" w14:paraId="731CCF45" w14:textId="77777777">
            <w:pPr>
              <w:widowControl w:val="0"/>
              <w:autoSpaceDN w:val="0"/>
              <w:jc w:val="center"/>
              <w:rPr>
                <w:rFonts w:ascii="Times New Roman" w:hAnsi="Times New Roman" w:eastAsia="Times New Roman" w:cs="Times New Roman"/>
                <w:u w:color="000000"/>
                <w:lang w:eastAsia="es-CR"/>
              </w:rPr>
            </w:pPr>
          </w:p>
        </w:tc>
        <w:tc>
          <w:tcPr>
            <w:tcW w:w="1292" w:type="dxa"/>
            <w:shd w:val="clear" w:color="auto" w:fill="auto"/>
            <w:noWrap/>
            <w:vAlign w:val="center"/>
          </w:tcPr>
          <w:p w:rsidRPr="00F31A99" w:rsidR="00F31A99" w:rsidP="00F31A99" w:rsidRDefault="00F31A99" w14:paraId="334883D3"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-19%</w:t>
            </w:r>
          </w:p>
        </w:tc>
        <w:tc>
          <w:tcPr>
            <w:tcW w:w="1401" w:type="dxa"/>
            <w:shd w:val="clear" w:color="auto" w:fill="auto"/>
            <w:noWrap/>
            <w:vAlign w:val="center"/>
          </w:tcPr>
          <w:p w:rsidRPr="00F31A99" w:rsidR="00F31A99" w:rsidP="00F31A99" w:rsidRDefault="00F31A99" w14:paraId="7FF615EE"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-16%</w:t>
            </w:r>
          </w:p>
        </w:tc>
        <w:tc>
          <w:tcPr>
            <w:tcW w:w="1292" w:type="dxa"/>
            <w:shd w:val="clear" w:color="auto" w:fill="auto"/>
            <w:noWrap/>
            <w:vAlign w:val="center"/>
          </w:tcPr>
          <w:p w:rsidRPr="00F31A99" w:rsidR="00F31A99" w:rsidP="00F31A99" w:rsidRDefault="00F31A99" w14:paraId="1EB45B53"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-4%</w:t>
            </w:r>
          </w:p>
        </w:tc>
        <w:tc>
          <w:tcPr>
            <w:tcW w:w="1543" w:type="dxa"/>
            <w:shd w:val="clear" w:color="auto" w:fill="auto"/>
            <w:noWrap/>
            <w:vAlign w:val="center"/>
          </w:tcPr>
          <w:p w:rsidRPr="00F31A99" w:rsidR="00F31A99" w:rsidP="00F31A99" w:rsidRDefault="00F31A99" w14:paraId="08204F67"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7%</w:t>
            </w:r>
          </w:p>
        </w:tc>
      </w:tr>
    </w:tbl>
    <w:p w:rsidRPr="00F31A99" w:rsidR="00F31A99" w:rsidP="00F31A99" w:rsidRDefault="00F31A99" w14:paraId="513B004C" w14:textId="77777777">
      <w:pPr>
        <w:widowControl w:val="0"/>
        <w:autoSpaceDN w:val="0"/>
        <w:rPr>
          <w:rFonts w:ascii="Times New Roman" w:hAnsi="Times New Roman" w:eastAsia="Calibri" w:cs="Times New Roman"/>
          <w:bCs/>
          <w:sz w:val="16"/>
          <w:szCs w:val="16"/>
          <w:u w:color="000000"/>
        </w:rPr>
      </w:pPr>
    </w:p>
    <w:p w:rsidRPr="00F31A99" w:rsidR="00F31A99" w:rsidP="00F31A99" w:rsidRDefault="00F31A99" w14:paraId="5F874E9B" w14:textId="77777777">
      <w:pPr>
        <w:widowControl w:val="0"/>
        <w:autoSpaceDN w:val="0"/>
        <w:ind w:firstLine="709"/>
        <w:rPr>
          <w:rFonts w:ascii="Times New Roman" w:hAnsi="Times New Roman" w:eastAsia="Calibri" w:cs="Times New Roman"/>
          <w:bCs/>
          <w:sz w:val="16"/>
          <w:szCs w:val="16"/>
          <w:u w:color="000000"/>
        </w:rPr>
      </w:pPr>
      <w:r w:rsidRPr="00F31A99">
        <w:rPr>
          <w:rFonts w:ascii="Times New Roman" w:hAnsi="Times New Roman" w:eastAsia="Calibri" w:cs="Times New Roman"/>
          <w:bCs/>
          <w:sz w:val="16"/>
          <w:szCs w:val="16"/>
          <w:u w:color="000000"/>
        </w:rPr>
        <w:lastRenderedPageBreak/>
        <w:t>Fuente: SIGA PJ</w:t>
      </w:r>
    </w:p>
    <w:p w:rsidRPr="00F31A99" w:rsidR="00F31A99" w:rsidP="00F31A99" w:rsidRDefault="00F31A99" w14:paraId="64DF78D5" w14:textId="77777777">
      <w:pPr>
        <w:widowControl w:val="0"/>
        <w:autoSpaceDN w:val="0"/>
        <w:rPr>
          <w:rFonts w:ascii="Times New Roman" w:hAnsi="Times New Roman" w:eastAsia="Calibri" w:cs="Times New Roman"/>
          <w:bCs/>
          <w:sz w:val="24"/>
          <w:u w:color="000000"/>
        </w:rPr>
      </w:pPr>
    </w:p>
    <w:p w:rsidRPr="00F31A99" w:rsidR="00F31A99" w:rsidP="00F31A99" w:rsidRDefault="00F31A99" w14:paraId="6C2B6C20"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De la tabla anterior, se puede observar que la formulación en los periodos 2019, 2020 y 2021 presenta una disminución del 19%, 16% y 4% respectivamente. En el caso del periodo 2022 es el único que presenta un incremento del 7% en relación con lo formulado en el 2021. </w:t>
      </w:r>
    </w:p>
    <w:p w:rsidRPr="00F31A99" w:rsidR="00F31A99" w:rsidP="00F31A99" w:rsidRDefault="00F31A99" w14:paraId="58E00547"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25376629" w14:textId="77777777">
      <w:pPr>
        <w:widowControl w:val="0"/>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Figura N° 5. Formulación y Ejecución Periodos 2018 - 2022</w:t>
      </w:r>
    </w:p>
    <w:p w:rsidRPr="00F31A99" w:rsidR="00F31A99" w:rsidP="00F31A99" w:rsidRDefault="00F31A99" w14:paraId="595705EA" w14:textId="77777777">
      <w:pPr>
        <w:widowControl w:val="0"/>
        <w:autoSpaceDN w:val="0"/>
        <w:jc w:val="center"/>
        <w:rPr>
          <w:rFonts w:ascii="Times New Roman" w:hAnsi="Times New Roman" w:eastAsia="Calibri" w:cs="Times New Roman"/>
          <w:bCs/>
          <w:sz w:val="24"/>
          <w:u w:color="000000"/>
        </w:rPr>
      </w:pPr>
      <w:r w:rsidRPr="00F31A99">
        <w:rPr>
          <w:rFonts w:ascii="Times New Roman" w:hAnsi="Times New Roman" w:eastAsia="Calibri" w:cs="Times New Roman"/>
          <w:noProof/>
          <w:u w:color="000000"/>
          <w:lang w:eastAsia="es-MX"/>
        </w:rPr>
        <w:drawing>
          <wp:inline distT="0" distB="0" distL="0" distR="0" wp14:anchorId="56AEEC2A" wp14:editId="0FA6FC26">
            <wp:extent cx="5618175" cy="2748643"/>
            <wp:effectExtent l="0" t="0" r="1905" b="0"/>
            <wp:docPr id="130" name="Imagen 1">
              <a:extLst xmlns:a="http://schemas.openxmlformats.org/drawingml/2006/main">
                <a:ext uri="{FF2B5EF4-FFF2-40B4-BE49-F238E27FC236}">
                  <a16:creationId xmlns:a16="http://schemas.microsoft.com/office/drawing/2014/main" id="{F33ED26E-3C5D-4E84-9435-7C12C916AD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F33ED26E-3C5D-4E84-9435-7C12C916AD10}"/>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82258" cy="2779995"/>
                    </a:xfrm>
                    <a:prstGeom prst="rect">
                      <a:avLst/>
                    </a:prstGeom>
                    <a:noFill/>
                  </pic:spPr>
                </pic:pic>
              </a:graphicData>
            </a:graphic>
          </wp:inline>
        </w:drawing>
      </w:r>
    </w:p>
    <w:p w:rsidRPr="00F31A99" w:rsidR="00F31A99" w:rsidP="00F31A99" w:rsidRDefault="00F31A99" w14:paraId="7A8AC5BC" w14:textId="77777777">
      <w:pPr>
        <w:widowControl w:val="0"/>
        <w:autoSpaceDN w:val="0"/>
        <w:jc w:val="both"/>
        <w:rPr>
          <w:rFonts w:ascii="Times New Roman" w:hAnsi="Times New Roman" w:eastAsia="Calibri" w:cs="Times New Roman"/>
          <w:bCs/>
          <w:sz w:val="16"/>
          <w:szCs w:val="16"/>
          <w:u w:color="000000"/>
        </w:rPr>
      </w:pPr>
    </w:p>
    <w:p w:rsidRPr="00F31A99" w:rsidR="00F31A99" w:rsidP="00F31A99" w:rsidRDefault="00F31A99" w14:paraId="38D0B46F" w14:textId="77777777">
      <w:pPr>
        <w:widowControl w:val="0"/>
        <w:autoSpaceDN w:val="0"/>
        <w:ind w:firstLine="709"/>
        <w:jc w:val="both"/>
        <w:rPr>
          <w:rFonts w:ascii="Times New Roman" w:hAnsi="Times New Roman" w:eastAsia="Calibri" w:cs="Times New Roman"/>
          <w:bCs/>
          <w:sz w:val="16"/>
          <w:szCs w:val="16"/>
          <w:u w:color="000000"/>
        </w:rPr>
      </w:pPr>
      <w:r w:rsidRPr="00F31A99">
        <w:rPr>
          <w:rFonts w:ascii="Times New Roman" w:hAnsi="Times New Roman" w:eastAsia="Calibri" w:cs="Times New Roman"/>
          <w:bCs/>
          <w:sz w:val="16"/>
          <w:szCs w:val="16"/>
          <w:u w:color="000000"/>
        </w:rPr>
        <w:t>Fuente: SIGA PJ</w:t>
      </w:r>
    </w:p>
    <w:p w:rsidRPr="00F31A99" w:rsidR="00F31A99" w:rsidP="00F31A99" w:rsidRDefault="00F31A99" w14:paraId="39A6D8F9" w14:textId="77777777">
      <w:pPr>
        <w:widowControl w:val="0"/>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50DE8958"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En la figura anterior, se puede observar el comportamiento de la subpartida de servicio de telecomunicaciones, tanto en la formulación como en la ejecución. </w:t>
      </w:r>
    </w:p>
    <w:p w:rsidRPr="00F31A99" w:rsidR="00F31A99" w:rsidP="00F31A99" w:rsidRDefault="00F31A99" w14:paraId="0447DA5A"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539058F4"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Es posible observar que la constante predomina de los periodos 2018 al 2020 donde la formulación es mayor que la ejecución. Para los periodos 2021 y 2022 las estimaciones se fundamentan en las proyecciones del Departamento de Financiero Contable. </w:t>
      </w:r>
    </w:p>
    <w:p w:rsidRPr="00F31A99" w:rsidR="00F31A99" w:rsidP="00F31A99" w:rsidRDefault="00F31A99" w14:paraId="63B17390"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29AB3CDF"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El incremento en la subpartida se debe a los requerimientos para Enlaces de Fibra Óptica, recursos incluidos como parte del presupuesto del Área de Informática: En proyecto de Jurisprudencia </w:t>
      </w:r>
      <w:r w:rsidRPr="00F31A99">
        <w:rPr>
          <w:rFonts w:ascii="Times New Roman" w:hAnsi="Times New Roman" w:eastAsia="Calibri" w:cs="Times New Roman"/>
          <w:sz w:val="26"/>
          <w:szCs w:val="26"/>
          <w:u w:color="000000"/>
        </w:rPr>
        <w:lastRenderedPageBreak/>
        <w:t>Oral en el Nexus-PJ, enlace que permita la publicación, consulta y reproducción de audios y videos, jurisprudencia de audio y video sostenibilidad. Enlace principal entre centros de datos para esquema distribuido, activo. Servicios de Internet para redundancias y alta disponibilidad. Aumentos en capacidad de 30 enlaces por demanda de centralización de servicios.</w:t>
      </w:r>
    </w:p>
    <w:p w:rsidRPr="00F31A99" w:rsidR="00F31A99" w:rsidP="00F31A99" w:rsidRDefault="00F31A99" w14:paraId="294AFD85" w14:textId="77777777">
      <w:pPr>
        <w:widowControl w:val="0"/>
        <w:autoSpaceDN w:val="0"/>
        <w:jc w:val="both"/>
        <w:rPr>
          <w:rFonts w:ascii="Times New Roman" w:hAnsi="Times New Roman" w:eastAsia="Calibri" w:cs="Times New Roman"/>
          <w:bCs/>
          <w:sz w:val="24"/>
          <w:u w:color="000000"/>
        </w:rPr>
      </w:pPr>
    </w:p>
    <w:p w:rsidRPr="00F31A99" w:rsidR="00F31A99" w:rsidP="00F31A99" w:rsidRDefault="00F31A99" w14:paraId="3CECAE3C" w14:textId="77777777">
      <w:pPr>
        <w:widowControl w:val="0"/>
        <w:autoSpaceDN w:val="0"/>
        <w:ind w:left="851" w:right="851" w:firstLine="709"/>
        <w:jc w:val="both"/>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1.3.2 Análisis de la ejecución presupuestaria de la subpartida</w:t>
      </w:r>
    </w:p>
    <w:p w:rsidRPr="00F31A99" w:rsidR="00F31A99" w:rsidP="00F31A99" w:rsidRDefault="00F31A99" w14:paraId="5EE5023F" w14:textId="77777777">
      <w:pPr>
        <w:widowControl w:val="0"/>
        <w:autoSpaceDN w:val="0"/>
        <w:ind w:left="851" w:right="851" w:firstLine="709"/>
        <w:jc w:val="both"/>
        <w:rPr>
          <w:rFonts w:ascii="Times New Roman" w:hAnsi="Times New Roman" w:eastAsia="Calibri" w:cs="Times New Roman"/>
          <w:b/>
          <w:bCs/>
          <w:sz w:val="26"/>
          <w:szCs w:val="26"/>
          <w:u w:color="000000"/>
        </w:rPr>
      </w:pPr>
    </w:p>
    <w:p w:rsidRPr="00F31A99" w:rsidR="00F31A99" w:rsidP="00F31A99" w:rsidRDefault="00F31A99" w14:paraId="12940B8C" w14:textId="77777777">
      <w:pPr>
        <w:widowControl w:val="0"/>
        <w:autoSpaceDN w:val="0"/>
        <w:ind w:left="851" w:right="851" w:firstLine="709"/>
        <w:jc w:val="both"/>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Tabla 11. Ejecución presupuestaria periodos 2018 -2020</w:t>
      </w:r>
    </w:p>
    <w:p w:rsidRPr="00F31A99" w:rsidR="00F31A99" w:rsidP="00F31A99" w:rsidRDefault="00F31A99" w14:paraId="548BB979" w14:textId="77777777">
      <w:pPr>
        <w:widowControl w:val="0"/>
        <w:autoSpaceDN w:val="0"/>
        <w:ind w:left="851" w:right="851" w:firstLine="709"/>
        <w:rPr>
          <w:rFonts w:ascii="Times New Roman" w:hAnsi="Times New Roman" w:eastAsia="Calibri" w:cs="Times New Roman"/>
          <w:b/>
          <w:bCs/>
          <w:sz w:val="26"/>
          <w:szCs w:val="26"/>
          <w:u w:color="000000"/>
        </w:rPr>
      </w:pPr>
    </w:p>
    <w:tbl>
      <w:tblPr>
        <w:tblW w:w="54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880"/>
        <w:gridCol w:w="1640"/>
        <w:gridCol w:w="1540"/>
        <w:gridCol w:w="1420"/>
      </w:tblGrid>
      <w:tr w:rsidRPr="00F31A99" w:rsidR="00AE1B2B" w:rsidTr="00A306B2" w14:paraId="2D20EC77" w14:textId="77777777">
        <w:trPr>
          <w:trHeight w:val="300"/>
          <w:jc w:val="center"/>
        </w:trPr>
        <w:tc>
          <w:tcPr>
            <w:tcW w:w="880" w:type="dxa"/>
            <w:shd w:val="clear" w:color="000000" w:fill="D9D9D9"/>
            <w:noWrap/>
            <w:vAlign w:val="center"/>
            <w:hideMark/>
          </w:tcPr>
          <w:p w:rsidRPr="00F31A99" w:rsidR="00F31A99" w:rsidP="00F31A99" w:rsidRDefault="00F31A99" w14:paraId="0F5738F7"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Periodo</w:t>
            </w:r>
          </w:p>
        </w:tc>
        <w:tc>
          <w:tcPr>
            <w:tcW w:w="1640" w:type="dxa"/>
            <w:shd w:val="clear" w:color="000000" w:fill="D9D9D9"/>
            <w:noWrap/>
            <w:vAlign w:val="center"/>
            <w:hideMark/>
          </w:tcPr>
          <w:p w:rsidRPr="00F31A99" w:rsidR="00F31A99" w:rsidP="00F31A99" w:rsidRDefault="00F31A99" w14:paraId="203125B0"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Formulado</w:t>
            </w:r>
          </w:p>
        </w:tc>
        <w:tc>
          <w:tcPr>
            <w:tcW w:w="1540" w:type="dxa"/>
            <w:shd w:val="clear" w:color="000000" w:fill="D9D9D9"/>
            <w:noWrap/>
            <w:vAlign w:val="center"/>
            <w:hideMark/>
          </w:tcPr>
          <w:p w:rsidRPr="00F31A99" w:rsidR="00F31A99" w:rsidP="00F31A99" w:rsidRDefault="00F31A99" w14:paraId="187F8F21"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Ejecutado</w:t>
            </w:r>
          </w:p>
        </w:tc>
        <w:tc>
          <w:tcPr>
            <w:tcW w:w="1420" w:type="dxa"/>
            <w:shd w:val="clear" w:color="000000" w:fill="D9D9D9"/>
            <w:noWrap/>
            <w:vAlign w:val="center"/>
            <w:hideMark/>
          </w:tcPr>
          <w:p w:rsidRPr="00F31A99" w:rsidR="00F31A99" w:rsidP="00F31A99" w:rsidRDefault="00F31A99" w14:paraId="70A2B5AF"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Ejecución</w:t>
            </w:r>
          </w:p>
        </w:tc>
      </w:tr>
      <w:tr w:rsidRPr="00F31A99" w:rsidR="00AE1B2B" w:rsidTr="00A306B2" w14:paraId="5304581B" w14:textId="77777777">
        <w:trPr>
          <w:trHeight w:val="288"/>
          <w:jc w:val="center"/>
        </w:trPr>
        <w:tc>
          <w:tcPr>
            <w:tcW w:w="880" w:type="dxa"/>
            <w:shd w:val="clear" w:color="auto" w:fill="auto"/>
            <w:noWrap/>
            <w:vAlign w:val="center"/>
            <w:hideMark/>
          </w:tcPr>
          <w:p w:rsidRPr="00F31A99" w:rsidR="00F31A99" w:rsidP="00F31A99" w:rsidRDefault="00F31A99" w14:paraId="631C6EAA"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2018</w:t>
            </w:r>
          </w:p>
        </w:tc>
        <w:tc>
          <w:tcPr>
            <w:tcW w:w="1640" w:type="dxa"/>
            <w:shd w:val="clear" w:color="auto" w:fill="auto"/>
            <w:noWrap/>
            <w:vAlign w:val="center"/>
            <w:hideMark/>
          </w:tcPr>
          <w:p w:rsidRPr="00F31A99" w:rsidR="00F31A99" w:rsidP="00F31A99" w:rsidRDefault="00F31A99" w14:paraId="54CE5D01"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5,476,363,390</w:t>
            </w:r>
          </w:p>
        </w:tc>
        <w:tc>
          <w:tcPr>
            <w:tcW w:w="1540" w:type="dxa"/>
            <w:shd w:val="clear" w:color="auto" w:fill="auto"/>
            <w:noWrap/>
            <w:vAlign w:val="center"/>
            <w:hideMark/>
          </w:tcPr>
          <w:p w:rsidRPr="00F31A99" w:rsidR="00F31A99" w:rsidP="00F31A99" w:rsidRDefault="00F31A99" w14:paraId="0BD2C2C3"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2,884,929,883</w:t>
            </w:r>
          </w:p>
        </w:tc>
        <w:tc>
          <w:tcPr>
            <w:tcW w:w="1420" w:type="dxa"/>
            <w:shd w:val="clear" w:color="auto" w:fill="auto"/>
            <w:noWrap/>
            <w:vAlign w:val="bottom"/>
            <w:hideMark/>
          </w:tcPr>
          <w:p w:rsidRPr="00F31A99" w:rsidR="00F31A99" w:rsidP="00F31A99" w:rsidRDefault="00F31A99" w14:paraId="2F866CB0"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52.68%</w:t>
            </w:r>
          </w:p>
        </w:tc>
      </w:tr>
      <w:tr w:rsidRPr="00F31A99" w:rsidR="00AE1B2B" w:rsidTr="00A306B2" w14:paraId="150DA34A" w14:textId="77777777">
        <w:trPr>
          <w:trHeight w:val="288"/>
          <w:jc w:val="center"/>
        </w:trPr>
        <w:tc>
          <w:tcPr>
            <w:tcW w:w="880" w:type="dxa"/>
            <w:shd w:val="clear" w:color="auto" w:fill="auto"/>
            <w:noWrap/>
            <w:vAlign w:val="center"/>
            <w:hideMark/>
          </w:tcPr>
          <w:p w:rsidRPr="00F31A99" w:rsidR="00F31A99" w:rsidP="00F31A99" w:rsidRDefault="00F31A99" w14:paraId="68B4D82D"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2019</w:t>
            </w:r>
          </w:p>
        </w:tc>
        <w:tc>
          <w:tcPr>
            <w:tcW w:w="1640" w:type="dxa"/>
            <w:shd w:val="clear" w:color="auto" w:fill="auto"/>
            <w:noWrap/>
            <w:vAlign w:val="center"/>
            <w:hideMark/>
          </w:tcPr>
          <w:p w:rsidRPr="00F31A99" w:rsidR="00F31A99" w:rsidP="00F31A99" w:rsidRDefault="00F31A99" w14:paraId="7CD6246A"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4,428,670,494</w:t>
            </w:r>
          </w:p>
        </w:tc>
        <w:tc>
          <w:tcPr>
            <w:tcW w:w="1540" w:type="dxa"/>
            <w:shd w:val="clear" w:color="auto" w:fill="auto"/>
            <w:noWrap/>
            <w:vAlign w:val="center"/>
            <w:hideMark/>
          </w:tcPr>
          <w:p w:rsidRPr="00F31A99" w:rsidR="00F31A99" w:rsidP="00F31A99" w:rsidRDefault="00F31A99" w14:paraId="3E3FF031"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3,016,322,513</w:t>
            </w:r>
          </w:p>
        </w:tc>
        <w:tc>
          <w:tcPr>
            <w:tcW w:w="1420" w:type="dxa"/>
            <w:shd w:val="clear" w:color="auto" w:fill="auto"/>
            <w:noWrap/>
            <w:vAlign w:val="bottom"/>
            <w:hideMark/>
          </w:tcPr>
          <w:p w:rsidRPr="00F31A99" w:rsidR="00F31A99" w:rsidP="00F31A99" w:rsidRDefault="00F31A99" w14:paraId="35EE610B"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68.11%</w:t>
            </w:r>
          </w:p>
        </w:tc>
      </w:tr>
      <w:tr w:rsidRPr="00F31A99" w:rsidR="00AE1B2B" w:rsidTr="00A306B2" w14:paraId="30FDD007" w14:textId="77777777">
        <w:trPr>
          <w:trHeight w:val="300"/>
          <w:jc w:val="center"/>
        </w:trPr>
        <w:tc>
          <w:tcPr>
            <w:tcW w:w="880" w:type="dxa"/>
            <w:shd w:val="clear" w:color="auto" w:fill="auto"/>
            <w:noWrap/>
            <w:vAlign w:val="center"/>
            <w:hideMark/>
          </w:tcPr>
          <w:p w:rsidRPr="00F31A99" w:rsidR="00F31A99" w:rsidP="00F31A99" w:rsidRDefault="00F31A99" w14:paraId="473DFB84"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2020</w:t>
            </w:r>
          </w:p>
        </w:tc>
        <w:tc>
          <w:tcPr>
            <w:tcW w:w="1640" w:type="dxa"/>
            <w:shd w:val="clear" w:color="auto" w:fill="auto"/>
            <w:noWrap/>
            <w:vAlign w:val="center"/>
            <w:hideMark/>
          </w:tcPr>
          <w:p w:rsidRPr="00F31A99" w:rsidR="00F31A99" w:rsidP="00F31A99" w:rsidRDefault="00F31A99" w14:paraId="2FE6C22F"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3,716,322,703</w:t>
            </w:r>
          </w:p>
        </w:tc>
        <w:tc>
          <w:tcPr>
            <w:tcW w:w="1540" w:type="dxa"/>
            <w:shd w:val="clear" w:color="auto" w:fill="auto"/>
            <w:noWrap/>
            <w:vAlign w:val="center"/>
            <w:hideMark/>
          </w:tcPr>
          <w:p w:rsidRPr="00F31A99" w:rsidR="00F31A99" w:rsidP="00F31A99" w:rsidRDefault="00F31A99" w14:paraId="42B446A3"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3,463,065,140</w:t>
            </w:r>
          </w:p>
        </w:tc>
        <w:tc>
          <w:tcPr>
            <w:tcW w:w="1420" w:type="dxa"/>
            <w:shd w:val="clear" w:color="auto" w:fill="auto"/>
            <w:noWrap/>
            <w:vAlign w:val="bottom"/>
            <w:hideMark/>
          </w:tcPr>
          <w:p w:rsidRPr="00F31A99" w:rsidR="00F31A99" w:rsidP="00F31A99" w:rsidRDefault="00F31A99" w14:paraId="1906B295"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93.19%</w:t>
            </w:r>
          </w:p>
        </w:tc>
      </w:tr>
      <w:tr w:rsidRPr="00F31A99" w:rsidR="00AE1B2B" w:rsidTr="00A306B2" w14:paraId="6B2F5183" w14:textId="77777777">
        <w:trPr>
          <w:trHeight w:val="349"/>
          <w:jc w:val="center"/>
        </w:trPr>
        <w:tc>
          <w:tcPr>
            <w:tcW w:w="880" w:type="dxa"/>
            <w:shd w:val="clear" w:color="auto" w:fill="auto"/>
            <w:noWrap/>
            <w:vAlign w:val="bottom"/>
            <w:hideMark/>
          </w:tcPr>
          <w:p w:rsidRPr="00F31A99" w:rsidR="00F31A99" w:rsidP="00F31A99" w:rsidRDefault="00F31A99" w14:paraId="1422647A"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Total</w:t>
            </w:r>
          </w:p>
        </w:tc>
        <w:tc>
          <w:tcPr>
            <w:tcW w:w="1640" w:type="dxa"/>
            <w:shd w:val="clear" w:color="auto" w:fill="auto"/>
            <w:noWrap/>
            <w:vAlign w:val="bottom"/>
            <w:hideMark/>
          </w:tcPr>
          <w:p w:rsidRPr="00F31A99" w:rsidR="00F31A99" w:rsidP="00F31A99" w:rsidRDefault="00F31A99" w14:paraId="06755E30"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 13,621,356,587 </w:t>
            </w:r>
          </w:p>
        </w:tc>
        <w:tc>
          <w:tcPr>
            <w:tcW w:w="1540" w:type="dxa"/>
            <w:shd w:val="clear" w:color="auto" w:fill="auto"/>
            <w:noWrap/>
            <w:vAlign w:val="bottom"/>
            <w:hideMark/>
          </w:tcPr>
          <w:p w:rsidRPr="00F31A99" w:rsidR="00F31A99" w:rsidP="00F31A99" w:rsidRDefault="00F31A99" w14:paraId="5FAAFDF3" w14:textId="77777777">
            <w:pPr>
              <w:widowControl w:val="0"/>
              <w:autoSpaceDN w:val="0"/>
              <w:jc w:val="right"/>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9,364,317,536 </w:t>
            </w:r>
          </w:p>
        </w:tc>
        <w:tc>
          <w:tcPr>
            <w:tcW w:w="1420" w:type="dxa"/>
            <w:shd w:val="clear" w:color="auto" w:fill="auto"/>
            <w:noWrap/>
            <w:vAlign w:val="bottom"/>
            <w:hideMark/>
          </w:tcPr>
          <w:p w:rsidRPr="00F31A99" w:rsidR="00F31A99" w:rsidP="00F31A99" w:rsidRDefault="00F31A99" w14:paraId="3DDD3B0E" w14:textId="77777777">
            <w:pPr>
              <w:widowControl w:val="0"/>
              <w:autoSpaceDN w:val="0"/>
              <w:jc w:val="right"/>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68.75%</w:t>
            </w:r>
          </w:p>
        </w:tc>
      </w:tr>
    </w:tbl>
    <w:p w:rsidRPr="00F31A99" w:rsidR="00F31A99" w:rsidP="00F31A99" w:rsidRDefault="00F31A99" w14:paraId="11570F18" w14:textId="77777777">
      <w:pPr>
        <w:widowControl w:val="0"/>
        <w:autoSpaceDN w:val="0"/>
        <w:rPr>
          <w:rFonts w:ascii="Times New Roman" w:hAnsi="Times New Roman" w:eastAsia="Calibri" w:cs="Times New Roman"/>
          <w:bCs/>
          <w:sz w:val="16"/>
          <w:szCs w:val="16"/>
          <w:u w:color="000000"/>
        </w:rPr>
      </w:pPr>
    </w:p>
    <w:p w:rsidRPr="00F31A99" w:rsidR="00F31A99" w:rsidP="00F31A99" w:rsidRDefault="00F31A99" w14:paraId="53EAD2FA" w14:textId="77777777">
      <w:pPr>
        <w:widowControl w:val="0"/>
        <w:autoSpaceDN w:val="0"/>
        <w:ind w:firstLine="709"/>
        <w:rPr>
          <w:rFonts w:ascii="Times New Roman" w:hAnsi="Times New Roman" w:eastAsia="Calibri" w:cs="Times New Roman"/>
          <w:bCs/>
          <w:sz w:val="16"/>
          <w:szCs w:val="16"/>
          <w:u w:color="000000"/>
        </w:rPr>
      </w:pPr>
      <w:r w:rsidRPr="00F31A99">
        <w:rPr>
          <w:rFonts w:ascii="Times New Roman" w:hAnsi="Times New Roman" w:eastAsia="Calibri" w:cs="Times New Roman"/>
          <w:bCs/>
          <w:sz w:val="16"/>
          <w:szCs w:val="16"/>
          <w:u w:color="000000"/>
        </w:rPr>
        <w:t>Fuente: SIGA PJ</w:t>
      </w:r>
    </w:p>
    <w:p w:rsidRPr="00F31A99" w:rsidR="00F31A99" w:rsidP="00F31A99" w:rsidRDefault="00F31A99" w14:paraId="72AC90B1" w14:textId="77777777">
      <w:pPr>
        <w:widowControl w:val="0"/>
        <w:autoSpaceDN w:val="0"/>
        <w:jc w:val="center"/>
        <w:rPr>
          <w:rFonts w:ascii="Times New Roman" w:hAnsi="Times New Roman" w:eastAsia="Calibri" w:cs="Times New Roman"/>
          <w:bCs/>
          <w:sz w:val="24"/>
          <w:u w:color="000000"/>
        </w:rPr>
      </w:pPr>
    </w:p>
    <w:p w:rsidRPr="00F31A99" w:rsidR="00F31A99" w:rsidP="00F31A99" w:rsidRDefault="00F31A99" w14:paraId="6137C844"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Durante los periodos 2018 – 2020 el porcentaje de ejecución estuvo por debajo del 100%, siendo que entre los tres periodos la ejecución fue del 68.75%. Es importante señalar que la ejecución más baja en estos periodos se presentó en el año 2018, con un 52.68%. </w:t>
      </w:r>
    </w:p>
    <w:p w:rsidRPr="00F31A99" w:rsidR="00F31A99" w:rsidP="00F31A99" w:rsidRDefault="00F31A99" w14:paraId="340ABD2F"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1B087DCE"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Cabe indicar que el incremento en los periodos 2018 al 2020 obedece al comportamiento normal de consumo, teniendo en cuenta que la formulación se hace con una proyección. Además, para el 2020 el incremento reflejado obedece a que no se había contemplado dentro de la formulación el Impuesto al Valor Agregado, que según estimó el Departamento de Financiero Contable fue de ¢344,466,554.</w:t>
      </w:r>
    </w:p>
    <w:p w:rsidRPr="00F31A99" w:rsidR="00F31A99" w:rsidP="00F31A99" w:rsidRDefault="00F31A99" w14:paraId="2FCF177C"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36C4CD1C" w14:textId="77777777">
      <w:pPr>
        <w:widowControl w:val="0"/>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1.3.3 Variación por programa 2021-2022</w:t>
      </w:r>
    </w:p>
    <w:p w:rsidRPr="00F31A99" w:rsidR="00F31A99" w:rsidP="00F31A99" w:rsidRDefault="00F31A99" w14:paraId="36FD7594" w14:textId="77777777">
      <w:pPr>
        <w:widowControl w:val="0"/>
        <w:autoSpaceDN w:val="0"/>
        <w:jc w:val="both"/>
        <w:rPr>
          <w:rFonts w:ascii="Times New Roman" w:hAnsi="Times New Roman" w:eastAsia="Calibri" w:cs="Times New Roman"/>
          <w:b/>
          <w:sz w:val="24"/>
          <w:u w:color="000000"/>
        </w:rPr>
      </w:pPr>
    </w:p>
    <w:p w:rsidRPr="00F31A99" w:rsidR="00F31A99" w:rsidP="00F31A99" w:rsidRDefault="00F31A99" w14:paraId="34947067"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Al realizar el análisis comparativo por programa presupuestario, se determina que el Programa 926 Dirección, Administración y Otros Órganos de Apoyo, es el que presenta el mayor incremento en la formulación del Servicio de Telecomunicaciones con relación al periodo anterior, con una diferencia de ¢ 223.598.131 y una variación del 22%, seguido del Programa 927 y 930 con un incremento de ¢19.956.537 y ¢1.830.243 </w:t>
      </w:r>
      <w:r w:rsidRPr="00F31A99">
        <w:rPr>
          <w:rFonts w:ascii="Times New Roman" w:hAnsi="Times New Roman" w:eastAsia="Calibri" w:cs="Times New Roman"/>
          <w:sz w:val="26"/>
          <w:szCs w:val="26"/>
          <w:u w:color="000000"/>
        </w:rPr>
        <w:lastRenderedPageBreak/>
        <w:t>y una variación del 2% para dichos programas.</w:t>
      </w:r>
    </w:p>
    <w:p w:rsidRPr="00F31A99" w:rsidR="00F31A99" w:rsidP="00F31A99" w:rsidRDefault="00F31A99" w14:paraId="3DA8FDC1"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171BA2E4"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En el siguiente cuadro se muestra el detalle de la variación para cada uno de los programas presupuestarios:</w:t>
      </w:r>
    </w:p>
    <w:p w:rsidRPr="00F31A99" w:rsidR="00F31A99" w:rsidP="00F31A99" w:rsidRDefault="00F31A99" w14:paraId="1A44CD23" w14:textId="77777777">
      <w:pPr>
        <w:widowControl w:val="0"/>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5C7E760E" w14:textId="77777777">
      <w:pPr>
        <w:widowControl w:val="0"/>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Tabla 12. Porcentaje de variación por programa periodos 2021 – 2022</w:t>
      </w:r>
    </w:p>
    <w:p w:rsidRPr="00F31A99" w:rsidR="00F31A99" w:rsidP="00F31A99" w:rsidRDefault="00F31A99" w14:paraId="7A83D5B8" w14:textId="77777777">
      <w:pPr>
        <w:widowControl w:val="0"/>
        <w:autoSpaceDN w:val="0"/>
        <w:ind w:left="851" w:right="851" w:firstLine="709"/>
        <w:rPr>
          <w:rFonts w:ascii="Times New Roman" w:hAnsi="Times New Roman" w:eastAsia="Calibri" w:cs="Times New Roman"/>
          <w:b/>
          <w:bCs/>
          <w:sz w:val="26"/>
          <w:szCs w:val="26"/>
          <w:u w:color="000000"/>
        </w:rPr>
      </w:pPr>
    </w:p>
    <w:tbl>
      <w:tblPr>
        <w:tblW w:w="100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2565"/>
        <w:gridCol w:w="1542"/>
        <w:gridCol w:w="1796"/>
        <w:gridCol w:w="1667"/>
        <w:gridCol w:w="1410"/>
        <w:gridCol w:w="1026"/>
      </w:tblGrid>
      <w:tr w:rsidRPr="00F31A99" w:rsidR="00AE1B2B" w:rsidTr="00A306B2" w14:paraId="5B0F94E2" w14:textId="77777777">
        <w:trPr>
          <w:trHeight w:val="274"/>
          <w:jc w:val="center"/>
        </w:trPr>
        <w:tc>
          <w:tcPr>
            <w:tcW w:w="2565" w:type="dxa"/>
            <w:shd w:val="clear" w:color="D9E1F2" w:fill="F2F2F2"/>
            <w:noWrap/>
            <w:vAlign w:val="center"/>
            <w:hideMark/>
          </w:tcPr>
          <w:p w:rsidRPr="00F31A99" w:rsidR="00F31A99" w:rsidP="00F31A99" w:rsidRDefault="00F31A99" w14:paraId="2EAADD7E"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Programa</w:t>
            </w:r>
          </w:p>
        </w:tc>
        <w:tc>
          <w:tcPr>
            <w:tcW w:w="1542" w:type="dxa"/>
            <w:shd w:val="clear" w:color="D9E1F2" w:fill="F2F2F2"/>
            <w:noWrap/>
            <w:vAlign w:val="center"/>
            <w:hideMark/>
          </w:tcPr>
          <w:p w:rsidRPr="00F31A99" w:rsidR="00F31A99" w:rsidP="00F31A99" w:rsidRDefault="00F31A99" w14:paraId="6C00091B"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Ejecución 2020</w:t>
            </w:r>
          </w:p>
        </w:tc>
        <w:tc>
          <w:tcPr>
            <w:tcW w:w="1796" w:type="dxa"/>
            <w:shd w:val="clear" w:color="D9E1F2" w:fill="F2F2F2"/>
            <w:noWrap/>
            <w:vAlign w:val="center"/>
            <w:hideMark/>
          </w:tcPr>
          <w:p w:rsidRPr="00F31A99" w:rsidR="00F31A99" w:rsidP="00F31A99" w:rsidRDefault="00F31A99" w14:paraId="586A44F2"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Formulado 2021</w:t>
            </w:r>
          </w:p>
        </w:tc>
        <w:tc>
          <w:tcPr>
            <w:tcW w:w="1667" w:type="dxa"/>
            <w:shd w:val="clear" w:color="D9E1F2" w:fill="F2F2F2"/>
            <w:noWrap/>
            <w:vAlign w:val="center"/>
            <w:hideMark/>
          </w:tcPr>
          <w:p w:rsidRPr="00F31A99" w:rsidR="00F31A99" w:rsidP="00F31A99" w:rsidRDefault="00F31A99" w14:paraId="7FE3E6BB"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Formulado 2022</w:t>
            </w:r>
          </w:p>
        </w:tc>
        <w:tc>
          <w:tcPr>
            <w:tcW w:w="1410" w:type="dxa"/>
            <w:shd w:val="clear" w:color="D9E1F2" w:fill="F2F2F2"/>
            <w:noWrap/>
            <w:vAlign w:val="center"/>
            <w:hideMark/>
          </w:tcPr>
          <w:p w:rsidRPr="00F31A99" w:rsidR="00F31A99" w:rsidP="00F31A99" w:rsidRDefault="00F31A99" w14:paraId="65178692"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Diferencia 2021-2022</w:t>
            </w:r>
          </w:p>
        </w:tc>
        <w:tc>
          <w:tcPr>
            <w:tcW w:w="1026" w:type="dxa"/>
            <w:shd w:val="clear" w:color="D9E1F2" w:fill="F2F2F2"/>
            <w:noWrap/>
            <w:vAlign w:val="center"/>
            <w:hideMark/>
          </w:tcPr>
          <w:p w:rsidRPr="00F31A99" w:rsidR="00F31A99" w:rsidP="00F31A99" w:rsidRDefault="00F31A99" w14:paraId="52928BF2"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Variación %</w:t>
            </w:r>
          </w:p>
        </w:tc>
      </w:tr>
      <w:tr w:rsidRPr="00F31A99" w:rsidR="00AE1B2B" w:rsidTr="00A306B2" w14:paraId="23A9AB50" w14:textId="77777777">
        <w:trPr>
          <w:trHeight w:val="274"/>
          <w:jc w:val="center"/>
        </w:trPr>
        <w:tc>
          <w:tcPr>
            <w:tcW w:w="2565" w:type="dxa"/>
            <w:shd w:val="clear" w:color="D9E1F2" w:fill="F2F2F2"/>
            <w:noWrap/>
            <w:vAlign w:val="center"/>
            <w:hideMark/>
          </w:tcPr>
          <w:p w:rsidRPr="00F31A99" w:rsidR="00F31A99" w:rsidP="00F31A99" w:rsidRDefault="00F31A99" w14:paraId="7FCF975C"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Dirección, Administración y Otros Órganos de Apoyo</w:t>
            </w:r>
          </w:p>
        </w:tc>
        <w:tc>
          <w:tcPr>
            <w:tcW w:w="1542" w:type="dxa"/>
            <w:shd w:val="clear" w:color="D9E1F2" w:fill="F2F2F2"/>
            <w:noWrap/>
            <w:vAlign w:val="center"/>
            <w:hideMark/>
          </w:tcPr>
          <w:p w:rsidRPr="00F31A99" w:rsidR="00F31A99" w:rsidP="00F31A99" w:rsidRDefault="00F31A99" w14:paraId="59EEAEE3"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1,142,842,014</w:t>
            </w:r>
          </w:p>
        </w:tc>
        <w:tc>
          <w:tcPr>
            <w:tcW w:w="1796" w:type="dxa"/>
            <w:shd w:val="clear" w:color="D9E1F2" w:fill="F2F2F2"/>
            <w:noWrap/>
            <w:vAlign w:val="center"/>
            <w:hideMark/>
          </w:tcPr>
          <w:p w:rsidRPr="00F31A99" w:rsidR="00F31A99" w:rsidP="00F31A99" w:rsidRDefault="00F31A99" w14:paraId="34B82E15"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1,000,652,045</w:t>
            </w:r>
          </w:p>
        </w:tc>
        <w:tc>
          <w:tcPr>
            <w:tcW w:w="1667" w:type="dxa"/>
            <w:shd w:val="clear" w:color="D9E1F2" w:fill="F2F2F2"/>
            <w:noWrap/>
            <w:vAlign w:val="center"/>
            <w:hideMark/>
          </w:tcPr>
          <w:p w:rsidRPr="00F31A99" w:rsidR="00F31A99" w:rsidP="00F31A99" w:rsidRDefault="00F31A99" w14:paraId="18CC9986"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1,224,250,176</w:t>
            </w:r>
          </w:p>
        </w:tc>
        <w:tc>
          <w:tcPr>
            <w:tcW w:w="1410" w:type="dxa"/>
            <w:shd w:val="clear" w:color="D9E1F2" w:fill="F2F2F2"/>
            <w:noWrap/>
            <w:vAlign w:val="center"/>
            <w:hideMark/>
          </w:tcPr>
          <w:p w:rsidRPr="00F31A99" w:rsidR="00F31A99" w:rsidP="00F31A99" w:rsidRDefault="00F31A99" w14:paraId="7C2A5E80"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223,598,131</w:t>
            </w:r>
          </w:p>
        </w:tc>
        <w:tc>
          <w:tcPr>
            <w:tcW w:w="1026" w:type="dxa"/>
            <w:shd w:val="clear" w:color="D9E1F2" w:fill="F2F2F2"/>
            <w:noWrap/>
            <w:vAlign w:val="center"/>
            <w:hideMark/>
          </w:tcPr>
          <w:p w:rsidRPr="00F31A99" w:rsidR="00F31A99" w:rsidP="00F31A99" w:rsidRDefault="00F31A99" w14:paraId="007856E1"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22%</w:t>
            </w:r>
          </w:p>
        </w:tc>
      </w:tr>
      <w:tr w:rsidRPr="00F31A99" w:rsidR="00AE1B2B" w:rsidTr="00A306B2" w14:paraId="1D31E57B" w14:textId="77777777">
        <w:trPr>
          <w:trHeight w:val="274"/>
          <w:jc w:val="center"/>
        </w:trPr>
        <w:tc>
          <w:tcPr>
            <w:tcW w:w="2565" w:type="dxa"/>
            <w:shd w:val="clear" w:color="D9E1F2" w:fill="F2F2F2"/>
            <w:noWrap/>
            <w:vAlign w:val="center"/>
            <w:hideMark/>
          </w:tcPr>
          <w:p w:rsidRPr="00F31A99" w:rsidR="00F31A99" w:rsidP="00F31A99" w:rsidRDefault="00F31A99" w14:paraId="3F1DF108"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Servicio Jurisdiccional</w:t>
            </w:r>
          </w:p>
        </w:tc>
        <w:tc>
          <w:tcPr>
            <w:tcW w:w="1542" w:type="dxa"/>
            <w:shd w:val="clear" w:color="D9E1F2" w:fill="F2F2F2"/>
            <w:noWrap/>
            <w:vAlign w:val="center"/>
            <w:hideMark/>
          </w:tcPr>
          <w:p w:rsidRPr="00F31A99" w:rsidR="00F31A99" w:rsidP="00F31A99" w:rsidRDefault="00F31A99" w14:paraId="7AB4A47F"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1,316,274,308</w:t>
            </w:r>
          </w:p>
        </w:tc>
        <w:tc>
          <w:tcPr>
            <w:tcW w:w="1796" w:type="dxa"/>
            <w:shd w:val="clear" w:color="D9E1F2" w:fill="F2F2F2"/>
            <w:noWrap/>
            <w:vAlign w:val="center"/>
            <w:hideMark/>
          </w:tcPr>
          <w:p w:rsidRPr="00F31A99" w:rsidR="00F31A99" w:rsidP="00F31A99" w:rsidRDefault="00F31A99" w14:paraId="7F178389"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1,313,760,550</w:t>
            </w:r>
          </w:p>
        </w:tc>
        <w:tc>
          <w:tcPr>
            <w:tcW w:w="1667" w:type="dxa"/>
            <w:shd w:val="clear" w:color="D9E1F2" w:fill="F2F2F2"/>
            <w:noWrap/>
            <w:vAlign w:val="center"/>
            <w:hideMark/>
          </w:tcPr>
          <w:p w:rsidRPr="00F31A99" w:rsidR="00F31A99" w:rsidP="00F31A99" w:rsidRDefault="00F31A99" w14:paraId="441E1216"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1,333,717,087</w:t>
            </w:r>
          </w:p>
        </w:tc>
        <w:tc>
          <w:tcPr>
            <w:tcW w:w="1410" w:type="dxa"/>
            <w:shd w:val="clear" w:color="D9E1F2" w:fill="F2F2F2"/>
            <w:noWrap/>
            <w:vAlign w:val="center"/>
            <w:hideMark/>
          </w:tcPr>
          <w:p w:rsidRPr="00F31A99" w:rsidR="00F31A99" w:rsidP="00F31A99" w:rsidRDefault="00F31A99" w14:paraId="50A89E72"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19,956,537</w:t>
            </w:r>
          </w:p>
        </w:tc>
        <w:tc>
          <w:tcPr>
            <w:tcW w:w="1026" w:type="dxa"/>
            <w:shd w:val="clear" w:color="D9E1F2" w:fill="F2F2F2"/>
            <w:noWrap/>
            <w:vAlign w:val="center"/>
            <w:hideMark/>
          </w:tcPr>
          <w:p w:rsidRPr="00F31A99" w:rsidR="00F31A99" w:rsidP="00F31A99" w:rsidRDefault="00F31A99" w14:paraId="6FD36E0D"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w:t>
            </w:r>
          </w:p>
        </w:tc>
      </w:tr>
      <w:tr w:rsidRPr="00F31A99" w:rsidR="00AE1B2B" w:rsidTr="00A306B2" w14:paraId="0FAD198B" w14:textId="77777777">
        <w:trPr>
          <w:trHeight w:val="274"/>
          <w:jc w:val="center"/>
        </w:trPr>
        <w:tc>
          <w:tcPr>
            <w:tcW w:w="2565" w:type="dxa"/>
            <w:shd w:val="clear" w:color="D9E1F2" w:fill="F2F2F2"/>
            <w:noWrap/>
            <w:vAlign w:val="center"/>
            <w:hideMark/>
          </w:tcPr>
          <w:p w:rsidRPr="00F31A99" w:rsidR="00F31A99" w:rsidP="00F31A99" w:rsidRDefault="00F31A99" w14:paraId="1E3D63CC"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Organismo de Investigación Judicial</w:t>
            </w:r>
          </w:p>
        </w:tc>
        <w:tc>
          <w:tcPr>
            <w:tcW w:w="1542" w:type="dxa"/>
            <w:shd w:val="clear" w:color="D9E1F2" w:fill="F2F2F2"/>
            <w:noWrap/>
            <w:vAlign w:val="center"/>
            <w:hideMark/>
          </w:tcPr>
          <w:p w:rsidRPr="00F31A99" w:rsidR="00F31A99" w:rsidP="00F31A99" w:rsidRDefault="00F31A99" w14:paraId="342A40DB"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694,954,855</w:t>
            </w:r>
          </w:p>
        </w:tc>
        <w:tc>
          <w:tcPr>
            <w:tcW w:w="1796" w:type="dxa"/>
            <w:shd w:val="clear" w:color="D9E1F2" w:fill="F2F2F2"/>
            <w:noWrap/>
            <w:vAlign w:val="center"/>
            <w:hideMark/>
          </w:tcPr>
          <w:p w:rsidRPr="00F31A99" w:rsidR="00F31A99" w:rsidP="00F31A99" w:rsidRDefault="00F31A99" w14:paraId="5406F0CB"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860,725,776</w:t>
            </w:r>
          </w:p>
        </w:tc>
        <w:tc>
          <w:tcPr>
            <w:tcW w:w="1667" w:type="dxa"/>
            <w:shd w:val="clear" w:color="D9E1F2" w:fill="F2F2F2"/>
            <w:noWrap/>
            <w:vAlign w:val="center"/>
            <w:hideMark/>
          </w:tcPr>
          <w:p w:rsidRPr="00F31A99" w:rsidR="00F31A99" w:rsidP="00F31A99" w:rsidRDefault="00F31A99" w14:paraId="2950706B"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867,613,729</w:t>
            </w:r>
          </w:p>
        </w:tc>
        <w:tc>
          <w:tcPr>
            <w:tcW w:w="1410" w:type="dxa"/>
            <w:shd w:val="clear" w:color="D9E1F2" w:fill="F2F2F2"/>
            <w:noWrap/>
            <w:vAlign w:val="center"/>
            <w:hideMark/>
          </w:tcPr>
          <w:p w:rsidRPr="00F31A99" w:rsidR="00F31A99" w:rsidP="00F31A99" w:rsidRDefault="00F31A99" w14:paraId="0DF57617"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6,887,953</w:t>
            </w:r>
          </w:p>
        </w:tc>
        <w:tc>
          <w:tcPr>
            <w:tcW w:w="1026" w:type="dxa"/>
            <w:shd w:val="clear" w:color="D9E1F2" w:fill="F2F2F2"/>
            <w:noWrap/>
            <w:vAlign w:val="center"/>
            <w:hideMark/>
          </w:tcPr>
          <w:p w:rsidRPr="00F31A99" w:rsidR="00F31A99" w:rsidP="00F31A99" w:rsidRDefault="00F31A99" w14:paraId="1CC01332"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w:t>
            </w:r>
          </w:p>
        </w:tc>
      </w:tr>
      <w:tr w:rsidRPr="00F31A99" w:rsidR="00AE1B2B" w:rsidTr="00A306B2" w14:paraId="2F1AC14E" w14:textId="77777777">
        <w:trPr>
          <w:trHeight w:val="274"/>
          <w:jc w:val="center"/>
        </w:trPr>
        <w:tc>
          <w:tcPr>
            <w:tcW w:w="2565" w:type="dxa"/>
            <w:shd w:val="clear" w:color="D9E1F2" w:fill="F2F2F2"/>
            <w:noWrap/>
            <w:vAlign w:val="center"/>
            <w:hideMark/>
          </w:tcPr>
          <w:p w:rsidRPr="00F31A99" w:rsidR="00F31A99" w:rsidP="00F31A99" w:rsidRDefault="00F31A99" w14:paraId="7EB99BB2"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Ministerio Público</w:t>
            </w:r>
          </w:p>
        </w:tc>
        <w:tc>
          <w:tcPr>
            <w:tcW w:w="1542" w:type="dxa"/>
            <w:shd w:val="clear" w:color="D9E1F2" w:fill="F2F2F2"/>
            <w:noWrap/>
            <w:vAlign w:val="center"/>
            <w:hideMark/>
          </w:tcPr>
          <w:p w:rsidRPr="00F31A99" w:rsidR="00F31A99" w:rsidP="00F31A99" w:rsidRDefault="00F31A99" w14:paraId="3196F054"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153,186,228</w:t>
            </w:r>
          </w:p>
        </w:tc>
        <w:tc>
          <w:tcPr>
            <w:tcW w:w="1796" w:type="dxa"/>
            <w:shd w:val="clear" w:color="D9E1F2" w:fill="F2F2F2"/>
            <w:noWrap/>
            <w:vAlign w:val="center"/>
            <w:hideMark/>
          </w:tcPr>
          <w:p w:rsidRPr="00F31A99" w:rsidR="00F31A99" w:rsidP="00F31A99" w:rsidRDefault="00F31A99" w14:paraId="068E9951"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229,707,978</w:t>
            </w:r>
          </w:p>
        </w:tc>
        <w:tc>
          <w:tcPr>
            <w:tcW w:w="1667" w:type="dxa"/>
            <w:shd w:val="clear" w:color="D9E1F2" w:fill="F2F2F2"/>
            <w:noWrap/>
            <w:vAlign w:val="center"/>
            <w:hideMark/>
          </w:tcPr>
          <w:p w:rsidRPr="00F31A99" w:rsidR="00F31A99" w:rsidP="00F31A99" w:rsidRDefault="00F31A99" w14:paraId="279C60E4"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228,669,420</w:t>
            </w:r>
          </w:p>
        </w:tc>
        <w:tc>
          <w:tcPr>
            <w:tcW w:w="1410" w:type="dxa"/>
            <w:shd w:val="clear" w:color="D9E1F2" w:fill="F2F2F2"/>
            <w:noWrap/>
            <w:vAlign w:val="center"/>
            <w:hideMark/>
          </w:tcPr>
          <w:p w:rsidRPr="00F31A99" w:rsidR="00F31A99" w:rsidP="00F31A99" w:rsidRDefault="00F31A99" w14:paraId="353DC19A"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-1,038,558</w:t>
            </w:r>
          </w:p>
        </w:tc>
        <w:tc>
          <w:tcPr>
            <w:tcW w:w="1026" w:type="dxa"/>
            <w:shd w:val="clear" w:color="D9E1F2" w:fill="F2F2F2"/>
            <w:noWrap/>
            <w:vAlign w:val="center"/>
            <w:hideMark/>
          </w:tcPr>
          <w:p w:rsidRPr="00F31A99" w:rsidR="00F31A99" w:rsidP="00F31A99" w:rsidRDefault="00F31A99" w14:paraId="1D390252"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0%</w:t>
            </w:r>
          </w:p>
        </w:tc>
      </w:tr>
      <w:tr w:rsidRPr="00F31A99" w:rsidR="00AE1B2B" w:rsidTr="00A306B2" w14:paraId="45E3B5AE" w14:textId="77777777">
        <w:trPr>
          <w:trHeight w:val="274"/>
          <w:jc w:val="center"/>
        </w:trPr>
        <w:tc>
          <w:tcPr>
            <w:tcW w:w="2565" w:type="dxa"/>
            <w:shd w:val="clear" w:color="D9E1F2" w:fill="F2F2F2"/>
            <w:noWrap/>
            <w:vAlign w:val="center"/>
            <w:hideMark/>
          </w:tcPr>
          <w:p w:rsidRPr="00F31A99" w:rsidR="00F31A99" w:rsidP="00F31A99" w:rsidRDefault="00F31A99" w14:paraId="3076AC0C"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Defensa Pública</w:t>
            </w:r>
          </w:p>
        </w:tc>
        <w:tc>
          <w:tcPr>
            <w:tcW w:w="1542" w:type="dxa"/>
            <w:shd w:val="clear" w:color="D9E1F2" w:fill="F2F2F2"/>
            <w:noWrap/>
            <w:vAlign w:val="center"/>
            <w:hideMark/>
          </w:tcPr>
          <w:p w:rsidRPr="00F31A99" w:rsidR="00F31A99" w:rsidP="00F31A99" w:rsidRDefault="00F31A99" w14:paraId="53B3129D"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105,040,368</w:t>
            </w:r>
          </w:p>
        </w:tc>
        <w:tc>
          <w:tcPr>
            <w:tcW w:w="1796" w:type="dxa"/>
            <w:shd w:val="clear" w:color="D9E1F2" w:fill="F2F2F2"/>
            <w:noWrap/>
            <w:vAlign w:val="center"/>
            <w:hideMark/>
          </w:tcPr>
          <w:p w:rsidRPr="00F31A99" w:rsidR="00F31A99" w:rsidP="00F31A99" w:rsidRDefault="00F31A99" w14:paraId="17DDEB1A"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120,187,315</w:t>
            </w:r>
          </w:p>
        </w:tc>
        <w:tc>
          <w:tcPr>
            <w:tcW w:w="1667" w:type="dxa"/>
            <w:shd w:val="clear" w:color="D9E1F2" w:fill="F2F2F2"/>
            <w:noWrap/>
            <w:vAlign w:val="center"/>
            <w:hideMark/>
          </w:tcPr>
          <w:p w:rsidRPr="00F31A99" w:rsidR="00F31A99" w:rsidP="00F31A99" w:rsidRDefault="00F31A99" w14:paraId="379104A9"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122,017,558</w:t>
            </w:r>
          </w:p>
        </w:tc>
        <w:tc>
          <w:tcPr>
            <w:tcW w:w="1410" w:type="dxa"/>
            <w:shd w:val="clear" w:color="D9E1F2" w:fill="F2F2F2"/>
            <w:noWrap/>
            <w:vAlign w:val="center"/>
            <w:hideMark/>
          </w:tcPr>
          <w:p w:rsidRPr="00F31A99" w:rsidR="00F31A99" w:rsidP="00F31A99" w:rsidRDefault="00F31A99" w14:paraId="516C946C"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1,830,243</w:t>
            </w:r>
          </w:p>
        </w:tc>
        <w:tc>
          <w:tcPr>
            <w:tcW w:w="1026" w:type="dxa"/>
            <w:shd w:val="clear" w:color="D9E1F2" w:fill="F2F2F2"/>
            <w:noWrap/>
            <w:vAlign w:val="center"/>
            <w:hideMark/>
          </w:tcPr>
          <w:p w:rsidRPr="00F31A99" w:rsidR="00F31A99" w:rsidP="00F31A99" w:rsidRDefault="00F31A99" w14:paraId="4D86C295"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w:t>
            </w:r>
          </w:p>
        </w:tc>
      </w:tr>
      <w:tr w:rsidRPr="00F31A99" w:rsidR="00AE1B2B" w:rsidTr="00A306B2" w14:paraId="0F33ED76" w14:textId="77777777">
        <w:trPr>
          <w:trHeight w:val="274"/>
          <w:jc w:val="center"/>
        </w:trPr>
        <w:tc>
          <w:tcPr>
            <w:tcW w:w="2565" w:type="dxa"/>
            <w:shd w:val="clear" w:color="D9E1F2" w:fill="F2F2F2"/>
            <w:noWrap/>
            <w:vAlign w:val="center"/>
            <w:hideMark/>
          </w:tcPr>
          <w:p w:rsidRPr="00F31A99" w:rsidR="00F31A99" w:rsidP="00F31A99" w:rsidRDefault="00F31A99" w14:paraId="4BBDAF19"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Serv. Atenc - Protec Víctimas y Testigos</w:t>
            </w:r>
          </w:p>
        </w:tc>
        <w:tc>
          <w:tcPr>
            <w:tcW w:w="1542" w:type="dxa"/>
            <w:shd w:val="clear" w:color="D9E1F2" w:fill="F2F2F2"/>
            <w:noWrap/>
            <w:vAlign w:val="center"/>
            <w:hideMark/>
          </w:tcPr>
          <w:p w:rsidRPr="00F31A99" w:rsidR="00F31A99" w:rsidP="00F31A99" w:rsidRDefault="00F31A99" w14:paraId="46F33895"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50,767,366</w:t>
            </w:r>
          </w:p>
        </w:tc>
        <w:tc>
          <w:tcPr>
            <w:tcW w:w="1796" w:type="dxa"/>
            <w:shd w:val="clear" w:color="D9E1F2" w:fill="F2F2F2"/>
            <w:noWrap/>
            <w:vAlign w:val="center"/>
            <w:hideMark/>
          </w:tcPr>
          <w:p w:rsidRPr="00F31A99" w:rsidR="00F31A99" w:rsidP="00F31A99" w:rsidRDefault="00F31A99" w14:paraId="7BCE988C"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37,633,268</w:t>
            </w:r>
          </w:p>
        </w:tc>
        <w:tc>
          <w:tcPr>
            <w:tcW w:w="1667" w:type="dxa"/>
            <w:shd w:val="clear" w:color="D9E1F2" w:fill="F2F2F2"/>
            <w:noWrap/>
            <w:vAlign w:val="center"/>
            <w:hideMark/>
          </w:tcPr>
          <w:p w:rsidRPr="00F31A99" w:rsidR="00F31A99" w:rsidP="00F31A99" w:rsidRDefault="00F31A99" w14:paraId="3FBF2CB1"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38,139,798</w:t>
            </w:r>
          </w:p>
        </w:tc>
        <w:tc>
          <w:tcPr>
            <w:tcW w:w="1410" w:type="dxa"/>
            <w:shd w:val="clear" w:color="D9E1F2" w:fill="F2F2F2"/>
            <w:noWrap/>
            <w:vAlign w:val="center"/>
            <w:hideMark/>
          </w:tcPr>
          <w:p w:rsidRPr="00F31A99" w:rsidR="00F31A99" w:rsidP="00F31A99" w:rsidRDefault="00F31A99" w14:paraId="242269A1"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506,530</w:t>
            </w:r>
          </w:p>
        </w:tc>
        <w:tc>
          <w:tcPr>
            <w:tcW w:w="1026" w:type="dxa"/>
            <w:shd w:val="clear" w:color="D9E1F2" w:fill="F2F2F2"/>
            <w:noWrap/>
            <w:vAlign w:val="center"/>
            <w:hideMark/>
          </w:tcPr>
          <w:p w:rsidRPr="00F31A99" w:rsidR="00F31A99" w:rsidP="00F31A99" w:rsidRDefault="00F31A99" w14:paraId="573B0B78"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w:t>
            </w:r>
          </w:p>
        </w:tc>
      </w:tr>
      <w:tr w:rsidRPr="00F31A99" w:rsidR="00AE1B2B" w:rsidTr="00A306B2" w14:paraId="04B277D5" w14:textId="77777777">
        <w:trPr>
          <w:trHeight w:val="274"/>
          <w:jc w:val="center"/>
        </w:trPr>
        <w:tc>
          <w:tcPr>
            <w:tcW w:w="2565" w:type="dxa"/>
            <w:shd w:val="clear" w:color="D9E1F2" w:fill="F2F2F2"/>
            <w:noWrap/>
            <w:vAlign w:val="center"/>
            <w:hideMark/>
          </w:tcPr>
          <w:p w:rsidRPr="00F31A99" w:rsidR="00F31A99" w:rsidP="00F31A99" w:rsidRDefault="00F31A99" w14:paraId="56298CCD" w14:textId="77777777">
            <w:pPr>
              <w:widowControl w:val="0"/>
              <w:autoSpaceDN w:val="0"/>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Total general</w:t>
            </w:r>
          </w:p>
        </w:tc>
        <w:tc>
          <w:tcPr>
            <w:tcW w:w="1542" w:type="dxa"/>
            <w:shd w:val="clear" w:color="D9E1F2" w:fill="F2F2F2"/>
            <w:noWrap/>
            <w:vAlign w:val="center"/>
            <w:hideMark/>
          </w:tcPr>
          <w:p w:rsidRPr="00F31A99" w:rsidR="00F31A99" w:rsidP="00F31A99" w:rsidRDefault="00F31A99" w14:paraId="130B7283" w14:textId="77777777">
            <w:pPr>
              <w:widowControl w:val="0"/>
              <w:autoSpaceDN w:val="0"/>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3,463,065,140</w:t>
            </w:r>
          </w:p>
        </w:tc>
        <w:tc>
          <w:tcPr>
            <w:tcW w:w="1796" w:type="dxa"/>
            <w:shd w:val="clear" w:color="D9E1F2" w:fill="F2F2F2"/>
            <w:noWrap/>
            <w:vAlign w:val="center"/>
            <w:hideMark/>
          </w:tcPr>
          <w:p w:rsidRPr="00F31A99" w:rsidR="00F31A99" w:rsidP="00F31A99" w:rsidRDefault="00F31A99" w14:paraId="3934BD7E" w14:textId="77777777">
            <w:pPr>
              <w:widowControl w:val="0"/>
              <w:autoSpaceDN w:val="0"/>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3,562,666,932</w:t>
            </w:r>
          </w:p>
        </w:tc>
        <w:tc>
          <w:tcPr>
            <w:tcW w:w="1667" w:type="dxa"/>
            <w:shd w:val="clear" w:color="D9E1F2" w:fill="F2F2F2"/>
            <w:noWrap/>
            <w:vAlign w:val="center"/>
            <w:hideMark/>
          </w:tcPr>
          <w:p w:rsidRPr="00F31A99" w:rsidR="00F31A99" w:rsidP="00F31A99" w:rsidRDefault="00F31A99" w14:paraId="37566390" w14:textId="77777777">
            <w:pPr>
              <w:widowControl w:val="0"/>
              <w:autoSpaceDN w:val="0"/>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3,814,407,768</w:t>
            </w:r>
          </w:p>
        </w:tc>
        <w:tc>
          <w:tcPr>
            <w:tcW w:w="1410" w:type="dxa"/>
            <w:shd w:val="clear" w:color="D9E1F2" w:fill="F2F2F2"/>
            <w:noWrap/>
            <w:vAlign w:val="center"/>
            <w:hideMark/>
          </w:tcPr>
          <w:p w:rsidRPr="00F31A99" w:rsidR="00F31A99" w:rsidP="00F31A99" w:rsidRDefault="00F31A99" w14:paraId="08366E85" w14:textId="77777777">
            <w:pPr>
              <w:widowControl w:val="0"/>
              <w:autoSpaceDN w:val="0"/>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251,740,836</w:t>
            </w:r>
          </w:p>
        </w:tc>
        <w:tc>
          <w:tcPr>
            <w:tcW w:w="1026" w:type="dxa"/>
            <w:shd w:val="clear" w:color="D9E1F2" w:fill="F2F2F2"/>
            <w:noWrap/>
            <w:vAlign w:val="center"/>
            <w:hideMark/>
          </w:tcPr>
          <w:p w:rsidRPr="00F31A99" w:rsidR="00F31A99" w:rsidP="00F31A99" w:rsidRDefault="00F31A99" w14:paraId="2B3AAAAD" w14:textId="77777777">
            <w:pPr>
              <w:widowControl w:val="0"/>
              <w:autoSpaceDN w:val="0"/>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7%</w:t>
            </w:r>
          </w:p>
        </w:tc>
      </w:tr>
    </w:tbl>
    <w:p w:rsidRPr="00F31A99" w:rsidR="00F31A99" w:rsidP="00F31A99" w:rsidRDefault="00F31A99" w14:paraId="4DABD6B5" w14:textId="77777777">
      <w:pPr>
        <w:widowControl w:val="0"/>
        <w:autoSpaceDN w:val="0"/>
        <w:jc w:val="both"/>
        <w:rPr>
          <w:rFonts w:ascii="Times New Roman" w:hAnsi="Times New Roman" w:eastAsia="Calibri" w:cs="Times New Roman"/>
          <w:b/>
          <w:sz w:val="24"/>
          <w:u w:color="000000"/>
        </w:rPr>
      </w:pPr>
    </w:p>
    <w:p w:rsidRPr="00F31A99" w:rsidR="00F31A99" w:rsidP="00F31A99" w:rsidRDefault="00F31A99" w14:paraId="5458BDA9" w14:textId="77777777">
      <w:pPr>
        <w:widowControl w:val="0"/>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Figura N° 6. Distribución de recursos por programa para la subpartida 10204 Servicio de Telecomunicaciones.</w:t>
      </w:r>
    </w:p>
    <w:p w:rsidRPr="00F31A99" w:rsidR="00F31A99" w:rsidP="00F31A99" w:rsidRDefault="00F31A99" w14:paraId="6B70E96A" w14:textId="77777777">
      <w:pPr>
        <w:widowControl w:val="0"/>
        <w:autoSpaceDN w:val="0"/>
        <w:jc w:val="center"/>
        <w:rPr>
          <w:rFonts w:ascii="Times New Roman" w:hAnsi="Times New Roman" w:eastAsia="Calibri" w:cs="Times New Roman"/>
          <w:u w:color="000000"/>
        </w:rPr>
      </w:pPr>
      <w:r w:rsidRPr="00F31A99">
        <w:rPr>
          <w:rFonts w:ascii="Times New Roman" w:hAnsi="Times New Roman" w:eastAsia="Calibri" w:cs="Times New Roman"/>
          <w:noProof/>
          <w:u w:color="000000"/>
          <w:lang w:eastAsia="es-MX"/>
        </w:rPr>
        <w:lastRenderedPageBreak/>
        <w:drawing>
          <wp:inline distT="0" distB="0" distL="0" distR="0" wp14:anchorId="1423FF12" wp14:editId="43FD1108">
            <wp:extent cx="5073650" cy="3816350"/>
            <wp:effectExtent l="0" t="0" r="0" b="0"/>
            <wp:docPr id="131" name="Gráfico 131">
              <a:extLst xmlns:a="http://schemas.openxmlformats.org/drawingml/2006/main">
                <a:ext uri="{FF2B5EF4-FFF2-40B4-BE49-F238E27FC236}">
                  <a16:creationId xmlns:a16="http://schemas.microsoft.com/office/drawing/2014/main" id="{04016B8E-E4A8-4DAC-98F5-CF90E8521E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Pr="00F31A99" w:rsidR="00F31A99" w:rsidP="00F31A99" w:rsidRDefault="00F31A99" w14:paraId="65B76C5C"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Tal como se muestra en la figura N° 6, el programa 927 Servicio Jurisdiccional, es el que formula la mayor cantidad de recursos para el periodo 2021, con un total de ¢1.332.475.027, lo que representa un 37% del total de los recursos de la subpartida, seguido del programa 926 con un 28% y el programa 928 OIJ con un 24%. En un menor porcentaje, los programas 929 Ministerio Público, 930 Defensa Pública y 950 Servicio de Atención y Protección de Víctimas y Testigos, representan un 11% de los recursos. </w:t>
      </w:r>
    </w:p>
    <w:p w:rsidRPr="00F31A99" w:rsidR="00F31A99" w:rsidP="00F31A99" w:rsidRDefault="00F31A99" w14:paraId="48C4F225" w14:textId="77777777">
      <w:pPr>
        <w:widowControl w:val="0"/>
        <w:autoSpaceDN w:val="0"/>
        <w:rPr>
          <w:rFonts w:ascii="Times New Roman" w:hAnsi="Times New Roman" w:eastAsia="Calibri" w:cs="Times New Roman"/>
          <w:b/>
          <w:bCs/>
          <w:u w:color="000000"/>
        </w:rPr>
      </w:pPr>
    </w:p>
    <w:p w:rsidRPr="00F31A99" w:rsidR="00F31A99" w:rsidP="00F31A99" w:rsidRDefault="00F31A99" w14:paraId="468A3E6C" w14:textId="77777777">
      <w:pPr>
        <w:widowControl w:val="0"/>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1.3.4 Distribución por Centro de Responsabilidad</w:t>
      </w:r>
    </w:p>
    <w:p w:rsidRPr="00F31A99" w:rsidR="00F31A99" w:rsidP="00F31A99" w:rsidRDefault="00F31A99" w14:paraId="40898BED" w14:textId="77777777">
      <w:pPr>
        <w:widowControl w:val="0"/>
        <w:autoSpaceDN w:val="0"/>
        <w:ind w:left="851" w:right="851" w:firstLine="709"/>
        <w:rPr>
          <w:rFonts w:ascii="Times New Roman" w:hAnsi="Times New Roman" w:eastAsia="Calibri" w:cs="Times New Roman"/>
          <w:b/>
          <w:bCs/>
          <w:sz w:val="26"/>
          <w:szCs w:val="26"/>
          <w:u w:color="000000"/>
        </w:rPr>
      </w:pPr>
    </w:p>
    <w:p w:rsidRPr="00F31A99" w:rsidR="00F31A99" w:rsidP="00F31A99" w:rsidRDefault="00F31A99" w14:paraId="77C9E301" w14:textId="77777777">
      <w:pPr>
        <w:widowControl w:val="0"/>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Tabla 13. Distribución de la subpartida por Centro de Responsabilidad Periodos 2021 – 2022</w:t>
      </w:r>
    </w:p>
    <w:p w:rsidRPr="00F31A99" w:rsidR="00F31A99" w:rsidP="00F31A99" w:rsidRDefault="00F31A99" w14:paraId="17168A63" w14:textId="77777777">
      <w:pPr>
        <w:widowControl w:val="0"/>
        <w:autoSpaceDN w:val="0"/>
        <w:ind w:left="851" w:right="851" w:firstLine="709"/>
        <w:rPr>
          <w:rFonts w:ascii="Times New Roman" w:hAnsi="Times New Roman" w:eastAsia="Calibri" w:cs="Times New Roman"/>
          <w:b/>
          <w:bCs/>
          <w:sz w:val="26"/>
          <w:szCs w:val="26"/>
          <w:u w:color="000000"/>
        </w:rPr>
      </w:pPr>
    </w:p>
    <w:tbl>
      <w:tblPr>
        <w:tblW w:w="81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680"/>
        <w:gridCol w:w="1420"/>
        <w:gridCol w:w="1420"/>
        <w:gridCol w:w="1600"/>
      </w:tblGrid>
      <w:tr w:rsidRPr="00F31A99" w:rsidR="00AE1B2B" w:rsidTr="00A306B2" w14:paraId="62EE3F90" w14:textId="77777777">
        <w:trPr>
          <w:trHeight w:val="288"/>
          <w:jc w:val="center"/>
        </w:trPr>
        <w:tc>
          <w:tcPr>
            <w:tcW w:w="3680" w:type="dxa"/>
            <w:shd w:val="clear" w:color="auto" w:fill="auto"/>
            <w:noWrap/>
            <w:vAlign w:val="center"/>
            <w:hideMark/>
          </w:tcPr>
          <w:p w:rsidRPr="00F31A99" w:rsidR="00F31A99" w:rsidP="00F31A99" w:rsidRDefault="00F31A99" w14:paraId="56C7B687"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 xml:space="preserve">Centro de Responsabilidad </w:t>
            </w:r>
          </w:p>
        </w:tc>
        <w:tc>
          <w:tcPr>
            <w:tcW w:w="1420" w:type="dxa"/>
            <w:shd w:val="clear" w:color="auto" w:fill="auto"/>
            <w:noWrap/>
            <w:vAlign w:val="center"/>
            <w:hideMark/>
          </w:tcPr>
          <w:p w:rsidRPr="00F31A99" w:rsidR="00F31A99" w:rsidP="00F31A99" w:rsidRDefault="00F31A99" w14:paraId="46B24C95"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2021</w:t>
            </w:r>
          </w:p>
        </w:tc>
        <w:tc>
          <w:tcPr>
            <w:tcW w:w="1420" w:type="dxa"/>
            <w:shd w:val="clear" w:color="auto" w:fill="auto"/>
            <w:noWrap/>
            <w:vAlign w:val="center"/>
            <w:hideMark/>
          </w:tcPr>
          <w:p w:rsidRPr="00F31A99" w:rsidR="00F31A99" w:rsidP="00F31A99" w:rsidRDefault="00F31A99" w14:paraId="4130CD6A"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2022</w:t>
            </w:r>
          </w:p>
        </w:tc>
        <w:tc>
          <w:tcPr>
            <w:tcW w:w="1600" w:type="dxa"/>
            <w:shd w:val="clear" w:color="auto" w:fill="auto"/>
            <w:noWrap/>
            <w:vAlign w:val="center"/>
            <w:hideMark/>
          </w:tcPr>
          <w:p w:rsidRPr="00F31A99" w:rsidR="00F31A99" w:rsidP="00F31A99" w:rsidRDefault="00F31A99" w14:paraId="08453AD2"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Representación</w:t>
            </w:r>
          </w:p>
        </w:tc>
      </w:tr>
      <w:tr w:rsidRPr="00F31A99" w:rsidR="00AE1B2B" w:rsidTr="00A306B2" w14:paraId="72155936" w14:textId="77777777">
        <w:trPr>
          <w:trHeight w:val="240"/>
          <w:jc w:val="center"/>
        </w:trPr>
        <w:tc>
          <w:tcPr>
            <w:tcW w:w="3680" w:type="dxa"/>
            <w:shd w:val="clear" w:color="auto" w:fill="auto"/>
            <w:vAlign w:val="center"/>
            <w:hideMark/>
          </w:tcPr>
          <w:p w:rsidRPr="00F31A99" w:rsidR="00F31A99" w:rsidP="00F31A99" w:rsidRDefault="00F31A99" w14:paraId="690956C5"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Organismo de Investigación Judicial</w:t>
            </w:r>
          </w:p>
        </w:tc>
        <w:tc>
          <w:tcPr>
            <w:tcW w:w="1420" w:type="dxa"/>
            <w:shd w:val="clear" w:color="auto" w:fill="auto"/>
            <w:vAlign w:val="center"/>
            <w:hideMark/>
          </w:tcPr>
          <w:p w:rsidRPr="00F31A99" w:rsidR="00F31A99" w:rsidP="00F31A99" w:rsidRDefault="00F31A99" w14:paraId="2652AD24"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860,725,776</w:t>
            </w:r>
          </w:p>
        </w:tc>
        <w:tc>
          <w:tcPr>
            <w:tcW w:w="1420" w:type="dxa"/>
            <w:shd w:val="clear" w:color="auto" w:fill="auto"/>
            <w:vAlign w:val="center"/>
            <w:hideMark/>
          </w:tcPr>
          <w:p w:rsidRPr="00F31A99" w:rsidR="00F31A99" w:rsidP="00F31A99" w:rsidRDefault="00F31A99" w14:paraId="4CC9154B"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867,613,729</w:t>
            </w:r>
          </w:p>
        </w:tc>
        <w:tc>
          <w:tcPr>
            <w:tcW w:w="1600" w:type="dxa"/>
            <w:shd w:val="clear" w:color="auto" w:fill="auto"/>
            <w:noWrap/>
            <w:vAlign w:val="center"/>
            <w:hideMark/>
          </w:tcPr>
          <w:p w:rsidRPr="00F31A99" w:rsidR="00F31A99" w:rsidP="00F31A99" w:rsidRDefault="00F31A99" w14:paraId="5942C891"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23%</w:t>
            </w:r>
          </w:p>
        </w:tc>
      </w:tr>
      <w:tr w:rsidRPr="00F31A99" w:rsidR="00AE1B2B" w:rsidTr="00A306B2" w14:paraId="0D785495" w14:textId="77777777">
        <w:trPr>
          <w:trHeight w:val="240"/>
          <w:jc w:val="center"/>
        </w:trPr>
        <w:tc>
          <w:tcPr>
            <w:tcW w:w="3680" w:type="dxa"/>
            <w:shd w:val="clear" w:color="auto" w:fill="auto"/>
            <w:vAlign w:val="center"/>
            <w:hideMark/>
          </w:tcPr>
          <w:p w:rsidRPr="00F31A99" w:rsidR="00F31A99" w:rsidP="00F31A99" w:rsidRDefault="00F31A99" w14:paraId="380C5418"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Primer Circuito Judicial San José</w:t>
            </w:r>
          </w:p>
        </w:tc>
        <w:tc>
          <w:tcPr>
            <w:tcW w:w="1420" w:type="dxa"/>
            <w:shd w:val="clear" w:color="auto" w:fill="auto"/>
            <w:vAlign w:val="center"/>
            <w:hideMark/>
          </w:tcPr>
          <w:p w:rsidRPr="00F31A99" w:rsidR="00F31A99" w:rsidP="00F31A99" w:rsidRDefault="00F31A99" w14:paraId="4C02F0B7"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574,594,799</w:t>
            </w:r>
          </w:p>
        </w:tc>
        <w:tc>
          <w:tcPr>
            <w:tcW w:w="1420" w:type="dxa"/>
            <w:shd w:val="clear" w:color="auto" w:fill="auto"/>
            <w:vAlign w:val="center"/>
            <w:hideMark/>
          </w:tcPr>
          <w:p w:rsidRPr="00F31A99" w:rsidR="00F31A99" w:rsidP="00F31A99" w:rsidRDefault="00F31A99" w14:paraId="27D967B6"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582,731,264</w:t>
            </w:r>
          </w:p>
        </w:tc>
        <w:tc>
          <w:tcPr>
            <w:tcW w:w="1600" w:type="dxa"/>
            <w:shd w:val="clear" w:color="auto" w:fill="auto"/>
            <w:noWrap/>
            <w:vAlign w:val="center"/>
            <w:hideMark/>
          </w:tcPr>
          <w:p w:rsidRPr="00F31A99" w:rsidR="00F31A99" w:rsidP="00F31A99" w:rsidRDefault="00F31A99" w14:paraId="5A6C72AE"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15%</w:t>
            </w:r>
          </w:p>
        </w:tc>
      </w:tr>
      <w:tr w:rsidRPr="00F31A99" w:rsidR="00AE1B2B" w:rsidTr="00A306B2" w14:paraId="58597820" w14:textId="77777777">
        <w:trPr>
          <w:trHeight w:val="240"/>
          <w:jc w:val="center"/>
        </w:trPr>
        <w:tc>
          <w:tcPr>
            <w:tcW w:w="3680" w:type="dxa"/>
            <w:shd w:val="clear" w:color="auto" w:fill="auto"/>
            <w:vAlign w:val="center"/>
            <w:hideMark/>
          </w:tcPr>
          <w:p w:rsidRPr="00F31A99" w:rsidR="00F31A99" w:rsidP="00F31A99" w:rsidRDefault="00F31A99" w14:paraId="5C5183A9"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Dirección Ejecutiva</w:t>
            </w:r>
          </w:p>
        </w:tc>
        <w:tc>
          <w:tcPr>
            <w:tcW w:w="1420" w:type="dxa"/>
            <w:shd w:val="clear" w:color="auto" w:fill="auto"/>
            <w:vAlign w:val="center"/>
            <w:hideMark/>
          </w:tcPr>
          <w:p w:rsidRPr="00F31A99" w:rsidR="00F31A99" w:rsidP="00F31A99" w:rsidRDefault="00F31A99" w14:paraId="3E34D8B0"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327,944,578</w:t>
            </w:r>
          </w:p>
        </w:tc>
        <w:tc>
          <w:tcPr>
            <w:tcW w:w="1420" w:type="dxa"/>
            <w:shd w:val="clear" w:color="auto" w:fill="auto"/>
            <w:vAlign w:val="center"/>
            <w:hideMark/>
          </w:tcPr>
          <w:p w:rsidRPr="00F31A99" w:rsidR="00F31A99" w:rsidP="00F31A99" w:rsidRDefault="00F31A99" w14:paraId="0C69C02B"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334,007,203</w:t>
            </w:r>
          </w:p>
        </w:tc>
        <w:tc>
          <w:tcPr>
            <w:tcW w:w="1600" w:type="dxa"/>
            <w:shd w:val="clear" w:color="auto" w:fill="auto"/>
            <w:noWrap/>
            <w:vAlign w:val="center"/>
            <w:hideMark/>
          </w:tcPr>
          <w:p w:rsidRPr="00F31A99" w:rsidR="00F31A99" w:rsidP="00F31A99" w:rsidRDefault="00F31A99" w14:paraId="4FFDD822"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9%</w:t>
            </w:r>
          </w:p>
        </w:tc>
      </w:tr>
      <w:tr w:rsidRPr="00F31A99" w:rsidR="00AE1B2B" w:rsidTr="00A306B2" w14:paraId="790046DA" w14:textId="77777777">
        <w:trPr>
          <w:trHeight w:val="240"/>
          <w:jc w:val="center"/>
        </w:trPr>
        <w:tc>
          <w:tcPr>
            <w:tcW w:w="3680" w:type="dxa"/>
            <w:shd w:val="clear" w:color="auto" w:fill="auto"/>
            <w:vAlign w:val="center"/>
            <w:hideMark/>
          </w:tcPr>
          <w:p w:rsidRPr="00F31A99" w:rsidR="00F31A99" w:rsidP="00F31A99" w:rsidRDefault="00F31A99" w14:paraId="7B62536A"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Ministerio Público</w:t>
            </w:r>
          </w:p>
        </w:tc>
        <w:tc>
          <w:tcPr>
            <w:tcW w:w="1420" w:type="dxa"/>
            <w:shd w:val="clear" w:color="auto" w:fill="auto"/>
            <w:vAlign w:val="center"/>
            <w:hideMark/>
          </w:tcPr>
          <w:p w:rsidRPr="00F31A99" w:rsidR="00F31A99" w:rsidP="00F31A99" w:rsidRDefault="00F31A99" w14:paraId="06270A04"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229,707,978</w:t>
            </w:r>
          </w:p>
        </w:tc>
        <w:tc>
          <w:tcPr>
            <w:tcW w:w="1420" w:type="dxa"/>
            <w:shd w:val="clear" w:color="auto" w:fill="auto"/>
            <w:vAlign w:val="center"/>
            <w:hideMark/>
          </w:tcPr>
          <w:p w:rsidRPr="00F31A99" w:rsidR="00F31A99" w:rsidP="00F31A99" w:rsidRDefault="00F31A99" w14:paraId="22B7DC59"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228,669,420</w:t>
            </w:r>
          </w:p>
        </w:tc>
        <w:tc>
          <w:tcPr>
            <w:tcW w:w="1600" w:type="dxa"/>
            <w:shd w:val="clear" w:color="auto" w:fill="auto"/>
            <w:noWrap/>
            <w:vAlign w:val="center"/>
            <w:hideMark/>
          </w:tcPr>
          <w:p w:rsidRPr="00F31A99" w:rsidR="00F31A99" w:rsidP="00F31A99" w:rsidRDefault="00F31A99" w14:paraId="028D1236"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6%</w:t>
            </w:r>
          </w:p>
        </w:tc>
      </w:tr>
      <w:tr w:rsidRPr="00F31A99" w:rsidR="00AE1B2B" w:rsidTr="00A306B2" w14:paraId="4B633274" w14:textId="77777777">
        <w:trPr>
          <w:trHeight w:val="240"/>
          <w:jc w:val="center"/>
        </w:trPr>
        <w:tc>
          <w:tcPr>
            <w:tcW w:w="3680" w:type="dxa"/>
            <w:shd w:val="clear" w:color="auto" w:fill="auto"/>
            <w:vAlign w:val="center"/>
            <w:hideMark/>
          </w:tcPr>
          <w:p w:rsidRPr="00F31A99" w:rsidR="00F31A99" w:rsidP="00F31A99" w:rsidRDefault="00F31A99" w14:paraId="1AAB23F8"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Defensa Pública</w:t>
            </w:r>
          </w:p>
        </w:tc>
        <w:tc>
          <w:tcPr>
            <w:tcW w:w="1420" w:type="dxa"/>
            <w:shd w:val="clear" w:color="auto" w:fill="auto"/>
            <w:vAlign w:val="center"/>
            <w:hideMark/>
          </w:tcPr>
          <w:p w:rsidRPr="00F31A99" w:rsidR="00F31A99" w:rsidP="00F31A99" w:rsidRDefault="00F31A99" w14:paraId="328F9492"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120,187,315</w:t>
            </w:r>
          </w:p>
        </w:tc>
        <w:tc>
          <w:tcPr>
            <w:tcW w:w="1420" w:type="dxa"/>
            <w:shd w:val="clear" w:color="auto" w:fill="auto"/>
            <w:vAlign w:val="center"/>
            <w:hideMark/>
          </w:tcPr>
          <w:p w:rsidRPr="00F31A99" w:rsidR="00F31A99" w:rsidP="00F31A99" w:rsidRDefault="00F31A99" w14:paraId="494376B6"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122,017,558</w:t>
            </w:r>
          </w:p>
        </w:tc>
        <w:tc>
          <w:tcPr>
            <w:tcW w:w="1600" w:type="dxa"/>
            <w:shd w:val="clear" w:color="auto" w:fill="auto"/>
            <w:noWrap/>
            <w:vAlign w:val="center"/>
            <w:hideMark/>
          </w:tcPr>
          <w:p w:rsidRPr="00F31A99" w:rsidR="00F31A99" w:rsidP="00F31A99" w:rsidRDefault="00F31A99" w14:paraId="3C2DFD82"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3%</w:t>
            </w:r>
          </w:p>
        </w:tc>
      </w:tr>
      <w:tr w:rsidRPr="00F31A99" w:rsidR="00AE1B2B" w:rsidTr="00A306B2" w14:paraId="3474643F" w14:textId="77777777">
        <w:trPr>
          <w:trHeight w:val="240"/>
          <w:jc w:val="center"/>
        </w:trPr>
        <w:tc>
          <w:tcPr>
            <w:tcW w:w="3680" w:type="dxa"/>
            <w:shd w:val="clear" w:color="auto" w:fill="auto"/>
            <w:vAlign w:val="center"/>
            <w:hideMark/>
          </w:tcPr>
          <w:p w:rsidRPr="00F31A99" w:rsidR="00F31A99" w:rsidP="00F31A99" w:rsidRDefault="00F31A99" w14:paraId="379357E5"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Segundo Circuito Judicial San José</w:t>
            </w:r>
          </w:p>
        </w:tc>
        <w:tc>
          <w:tcPr>
            <w:tcW w:w="1420" w:type="dxa"/>
            <w:shd w:val="clear" w:color="auto" w:fill="auto"/>
            <w:vAlign w:val="center"/>
            <w:hideMark/>
          </w:tcPr>
          <w:p w:rsidRPr="00F31A99" w:rsidR="00F31A99" w:rsidP="00F31A99" w:rsidRDefault="00F31A99" w14:paraId="2A9FB82C"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86,554,652</w:t>
            </w:r>
          </w:p>
        </w:tc>
        <w:tc>
          <w:tcPr>
            <w:tcW w:w="1420" w:type="dxa"/>
            <w:shd w:val="clear" w:color="auto" w:fill="auto"/>
            <w:vAlign w:val="center"/>
            <w:hideMark/>
          </w:tcPr>
          <w:p w:rsidRPr="00F31A99" w:rsidR="00F31A99" w:rsidP="00F31A99" w:rsidRDefault="00F31A99" w14:paraId="4C692A81"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87,872,740</w:t>
            </w:r>
          </w:p>
        </w:tc>
        <w:tc>
          <w:tcPr>
            <w:tcW w:w="1600" w:type="dxa"/>
            <w:shd w:val="clear" w:color="auto" w:fill="auto"/>
            <w:noWrap/>
            <w:vAlign w:val="center"/>
            <w:hideMark/>
          </w:tcPr>
          <w:p w:rsidRPr="00F31A99" w:rsidR="00F31A99" w:rsidP="00F31A99" w:rsidRDefault="00F31A99" w14:paraId="79906B61"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w:t>
            </w:r>
          </w:p>
        </w:tc>
      </w:tr>
      <w:tr w:rsidRPr="00F31A99" w:rsidR="00AE1B2B" w:rsidTr="00A306B2" w14:paraId="247389E1" w14:textId="77777777">
        <w:trPr>
          <w:trHeight w:val="240"/>
          <w:jc w:val="center"/>
        </w:trPr>
        <w:tc>
          <w:tcPr>
            <w:tcW w:w="3680" w:type="dxa"/>
            <w:shd w:val="clear" w:color="auto" w:fill="auto"/>
            <w:vAlign w:val="center"/>
            <w:hideMark/>
          </w:tcPr>
          <w:p w:rsidRPr="00F31A99" w:rsidR="00F31A99" w:rsidP="00F31A99" w:rsidRDefault="00F31A99" w14:paraId="7036900A"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lastRenderedPageBreak/>
              <w:t>Circuito Judicial Puntarenas</w:t>
            </w:r>
          </w:p>
        </w:tc>
        <w:tc>
          <w:tcPr>
            <w:tcW w:w="1420" w:type="dxa"/>
            <w:shd w:val="clear" w:color="auto" w:fill="auto"/>
            <w:vAlign w:val="center"/>
            <w:hideMark/>
          </w:tcPr>
          <w:p w:rsidRPr="00F31A99" w:rsidR="00F31A99" w:rsidP="00F31A99" w:rsidRDefault="00F31A99" w14:paraId="7840B096"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64,251,850</w:t>
            </w:r>
          </w:p>
        </w:tc>
        <w:tc>
          <w:tcPr>
            <w:tcW w:w="1420" w:type="dxa"/>
            <w:shd w:val="clear" w:color="auto" w:fill="auto"/>
            <w:vAlign w:val="center"/>
            <w:hideMark/>
          </w:tcPr>
          <w:p w:rsidRPr="00F31A99" w:rsidR="00F31A99" w:rsidP="00F31A99" w:rsidRDefault="00F31A99" w14:paraId="64C36C7E"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65,230,298</w:t>
            </w:r>
          </w:p>
        </w:tc>
        <w:tc>
          <w:tcPr>
            <w:tcW w:w="1600" w:type="dxa"/>
            <w:shd w:val="clear" w:color="auto" w:fill="auto"/>
            <w:noWrap/>
            <w:vAlign w:val="center"/>
            <w:hideMark/>
          </w:tcPr>
          <w:p w:rsidRPr="00F31A99" w:rsidR="00F31A99" w:rsidP="00F31A99" w:rsidRDefault="00F31A99" w14:paraId="3825FD4F"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w:t>
            </w:r>
          </w:p>
        </w:tc>
      </w:tr>
      <w:tr w:rsidRPr="00F31A99" w:rsidR="00AE1B2B" w:rsidTr="00A306B2" w14:paraId="4B71D251" w14:textId="77777777">
        <w:trPr>
          <w:trHeight w:val="240"/>
          <w:jc w:val="center"/>
        </w:trPr>
        <w:tc>
          <w:tcPr>
            <w:tcW w:w="3680" w:type="dxa"/>
            <w:shd w:val="clear" w:color="auto" w:fill="auto"/>
            <w:vAlign w:val="center"/>
            <w:hideMark/>
          </w:tcPr>
          <w:p w:rsidRPr="00F31A99" w:rsidR="00F31A99" w:rsidP="00F31A99" w:rsidRDefault="00F31A99" w14:paraId="7F7D4FD5"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Tercer Circuito Judicial San José</w:t>
            </w:r>
          </w:p>
        </w:tc>
        <w:tc>
          <w:tcPr>
            <w:tcW w:w="1420" w:type="dxa"/>
            <w:shd w:val="clear" w:color="auto" w:fill="auto"/>
            <w:vAlign w:val="center"/>
            <w:hideMark/>
          </w:tcPr>
          <w:p w:rsidRPr="00F31A99" w:rsidR="00F31A99" w:rsidP="00F31A99" w:rsidRDefault="00F31A99" w14:paraId="056C8915"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63,928,949</w:t>
            </w:r>
          </w:p>
        </w:tc>
        <w:tc>
          <w:tcPr>
            <w:tcW w:w="1420" w:type="dxa"/>
            <w:shd w:val="clear" w:color="auto" w:fill="auto"/>
            <w:vAlign w:val="center"/>
            <w:hideMark/>
          </w:tcPr>
          <w:p w:rsidRPr="00F31A99" w:rsidR="00F31A99" w:rsidP="00F31A99" w:rsidRDefault="00F31A99" w14:paraId="2FD390EB"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64,902,479</w:t>
            </w:r>
          </w:p>
        </w:tc>
        <w:tc>
          <w:tcPr>
            <w:tcW w:w="1600" w:type="dxa"/>
            <w:shd w:val="clear" w:color="auto" w:fill="auto"/>
            <w:noWrap/>
            <w:vAlign w:val="center"/>
            <w:hideMark/>
          </w:tcPr>
          <w:p w:rsidRPr="00F31A99" w:rsidR="00F31A99" w:rsidP="00F31A99" w:rsidRDefault="00F31A99" w14:paraId="626B5A3D"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w:t>
            </w:r>
          </w:p>
        </w:tc>
      </w:tr>
      <w:tr w:rsidRPr="00F31A99" w:rsidR="00AE1B2B" w:rsidTr="00A306B2" w14:paraId="59CF9827" w14:textId="77777777">
        <w:trPr>
          <w:trHeight w:val="240"/>
          <w:jc w:val="center"/>
        </w:trPr>
        <w:tc>
          <w:tcPr>
            <w:tcW w:w="3680" w:type="dxa"/>
            <w:shd w:val="clear" w:color="auto" w:fill="auto"/>
            <w:vAlign w:val="center"/>
            <w:hideMark/>
          </w:tcPr>
          <w:p w:rsidRPr="00F31A99" w:rsidR="00F31A99" w:rsidP="00F31A99" w:rsidRDefault="00F31A99" w14:paraId="689E4670"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Circuito Judicial Heredia</w:t>
            </w:r>
          </w:p>
        </w:tc>
        <w:tc>
          <w:tcPr>
            <w:tcW w:w="1420" w:type="dxa"/>
            <w:shd w:val="clear" w:color="auto" w:fill="auto"/>
            <w:vAlign w:val="center"/>
            <w:hideMark/>
          </w:tcPr>
          <w:p w:rsidRPr="00F31A99" w:rsidR="00F31A99" w:rsidP="00F31A99" w:rsidRDefault="00F31A99" w14:paraId="1B012ECD"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59,021,733</w:t>
            </w:r>
          </w:p>
        </w:tc>
        <w:tc>
          <w:tcPr>
            <w:tcW w:w="1420" w:type="dxa"/>
            <w:shd w:val="clear" w:color="auto" w:fill="auto"/>
            <w:vAlign w:val="center"/>
            <w:hideMark/>
          </w:tcPr>
          <w:p w:rsidRPr="00F31A99" w:rsidR="00F31A99" w:rsidP="00F31A99" w:rsidRDefault="00F31A99" w14:paraId="176D2878"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59,920,535</w:t>
            </w:r>
          </w:p>
        </w:tc>
        <w:tc>
          <w:tcPr>
            <w:tcW w:w="1600" w:type="dxa"/>
            <w:shd w:val="clear" w:color="auto" w:fill="auto"/>
            <w:noWrap/>
            <w:vAlign w:val="center"/>
            <w:hideMark/>
          </w:tcPr>
          <w:p w:rsidRPr="00F31A99" w:rsidR="00F31A99" w:rsidP="00F31A99" w:rsidRDefault="00F31A99" w14:paraId="51B64DB2"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w:t>
            </w:r>
          </w:p>
        </w:tc>
      </w:tr>
      <w:tr w:rsidRPr="00F31A99" w:rsidR="00AE1B2B" w:rsidTr="00A306B2" w14:paraId="5A31B7A6" w14:textId="77777777">
        <w:trPr>
          <w:trHeight w:val="240"/>
          <w:jc w:val="center"/>
        </w:trPr>
        <w:tc>
          <w:tcPr>
            <w:tcW w:w="3680" w:type="dxa"/>
            <w:shd w:val="clear" w:color="auto" w:fill="auto"/>
            <w:vAlign w:val="center"/>
            <w:hideMark/>
          </w:tcPr>
          <w:p w:rsidRPr="00F31A99" w:rsidR="00F31A99" w:rsidP="00F31A99" w:rsidRDefault="00F31A99" w14:paraId="0C0CFEFE"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Primer Circuito Judicial Alajuela</w:t>
            </w:r>
          </w:p>
        </w:tc>
        <w:tc>
          <w:tcPr>
            <w:tcW w:w="1420" w:type="dxa"/>
            <w:shd w:val="clear" w:color="auto" w:fill="auto"/>
            <w:vAlign w:val="center"/>
            <w:hideMark/>
          </w:tcPr>
          <w:p w:rsidRPr="00F31A99" w:rsidR="00F31A99" w:rsidP="00F31A99" w:rsidRDefault="00F31A99" w14:paraId="699EFC2F"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58,051,018</w:t>
            </w:r>
          </w:p>
        </w:tc>
        <w:tc>
          <w:tcPr>
            <w:tcW w:w="1420" w:type="dxa"/>
            <w:shd w:val="clear" w:color="auto" w:fill="auto"/>
            <w:vAlign w:val="center"/>
            <w:hideMark/>
          </w:tcPr>
          <w:p w:rsidRPr="00F31A99" w:rsidR="00F31A99" w:rsidP="00F31A99" w:rsidRDefault="00F31A99" w14:paraId="133D93D5"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58,885,316</w:t>
            </w:r>
          </w:p>
        </w:tc>
        <w:tc>
          <w:tcPr>
            <w:tcW w:w="1600" w:type="dxa"/>
            <w:shd w:val="clear" w:color="auto" w:fill="auto"/>
            <w:noWrap/>
            <w:vAlign w:val="center"/>
            <w:hideMark/>
          </w:tcPr>
          <w:p w:rsidRPr="00F31A99" w:rsidR="00F31A99" w:rsidP="00F31A99" w:rsidRDefault="00F31A99" w14:paraId="3C5D166A"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w:t>
            </w:r>
          </w:p>
        </w:tc>
      </w:tr>
      <w:tr w:rsidRPr="00F31A99" w:rsidR="00AE1B2B" w:rsidTr="00A306B2" w14:paraId="755B6CC4" w14:textId="77777777">
        <w:trPr>
          <w:trHeight w:val="240"/>
          <w:jc w:val="center"/>
        </w:trPr>
        <w:tc>
          <w:tcPr>
            <w:tcW w:w="3680" w:type="dxa"/>
            <w:shd w:val="clear" w:color="auto" w:fill="auto"/>
            <w:vAlign w:val="center"/>
            <w:hideMark/>
          </w:tcPr>
          <w:p w:rsidRPr="00F31A99" w:rsidR="00F31A99" w:rsidP="00F31A99" w:rsidRDefault="00F31A99" w14:paraId="405F3EA9"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Primer Circuito Judicial Zona Atlántica</w:t>
            </w:r>
          </w:p>
        </w:tc>
        <w:tc>
          <w:tcPr>
            <w:tcW w:w="1420" w:type="dxa"/>
            <w:shd w:val="clear" w:color="auto" w:fill="auto"/>
            <w:vAlign w:val="center"/>
            <w:hideMark/>
          </w:tcPr>
          <w:p w:rsidRPr="00F31A99" w:rsidR="00F31A99" w:rsidP="00F31A99" w:rsidRDefault="00F31A99" w14:paraId="20F3ADB1"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46,921,080</w:t>
            </w:r>
          </w:p>
        </w:tc>
        <w:tc>
          <w:tcPr>
            <w:tcW w:w="1420" w:type="dxa"/>
            <w:shd w:val="clear" w:color="auto" w:fill="auto"/>
            <w:vAlign w:val="center"/>
            <w:hideMark/>
          </w:tcPr>
          <w:p w:rsidRPr="00F31A99" w:rsidR="00F31A99" w:rsidP="00F31A99" w:rsidRDefault="00F31A99" w14:paraId="3F5B200A"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47,635,614</w:t>
            </w:r>
          </w:p>
        </w:tc>
        <w:tc>
          <w:tcPr>
            <w:tcW w:w="1600" w:type="dxa"/>
            <w:shd w:val="clear" w:color="auto" w:fill="auto"/>
            <w:noWrap/>
            <w:vAlign w:val="center"/>
            <w:hideMark/>
          </w:tcPr>
          <w:p w:rsidRPr="00F31A99" w:rsidR="00F31A99" w:rsidP="00F31A99" w:rsidRDefault="00F31A99" w14:paraId="25E8F713"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w:t>
            </w:r>
          </w:p>
        </w:tc>
      </w:tr>
      <w:tr w:rsidRPr="00F31A99" w:rsidR="00AE1B2B" w:rsidTr="00A306B2" w14:paraId="52D70052" w14:textId="77777777">
        <w:trPr>
          <w:trHeight w:val="240"/>
          <w:jc w:val="center"/>
        </w:trPr>
        <w:tc>
          <w:tcPr>
            <w:tcW w:w="3680" w:type="dxa"/>
            <w:shd w:val="clear" w:color="auto" w:fill="auto"/>
            <w:vAlign w:val="center"/>
            <w:hideMark/>
          </w:tcPr>
          <w:p w:rsidRPr="00F31A99" w:rsidR="00F31A99" w:rsidP="00F31A99" w:rsidRDefault="00F31A99" w14:paraId="4F688560"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Dirección Gestión Humana</w:t>
            </w:r>
          </w:p>
        </w:tc>
        <w:tc>
          <w:tcPr>
            <w:tcW w:w="1420" w:type="dxa"/>
            <w:shd w:val="clear" w:color="auto" w:fill="auto"/>
            <w:vAlign w:val="center"/>
            <w:hideMark/>
          </w:tcPr>
          <w:p w:rsidRPr="00F31A99" w:rsidR="00F31A99" w:rsidP="00F31A99" w:rsidRDefault="00F31A99" w14:paraId="77D19C8C"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40,179,374</w:t>
            </w:r>
          </w:p>
        </w:tc>
        <w:tc>
          <w:tcPr>
            <w:tcW w:w="1420" w:type="dxa"/>
            <w:shd w:val="clear" w:color="auto" w:fill="auto"/>
            <w:vAlign w:val="center"/>
            <w:hideMark/>
          </w:tcPr>
          <w:p w:rsidRPr="00F31A99" w:rsidR="00F31A99" w:rsidP="00F31A99" w:rsidRDefault="00F31A99" w14:paraId="3F6F9D8C"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40,791,227</w:t>
            </w:r>
          </w:p>
        </w:tc>
        <w:tc>
          <w:tcPr>
            <w:tcW w:w="1600" w:type="dxa"/>
            <w:shd w:val="clear" w:color="auto" w:fill="auto"/>
            <w:noWrap/>
            <w:vAlign w:val="center"/>
            <w:hideMark/>
          </w:tcPr>
          <w:p w:rsidRPr="00F31A99" w:rsidR="00F31A99" w:rsidP="00F31A99" w:rsidRDefault="00F31A99" w14:paraId="37FBD2E9"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w:t>
            </w:r>
          </w:p>
        </w:tc>
      </w:tr>
      <w:tr w:rsidRPr="00F31A99" w:rsidR="00AE1B2B" w:rsidTr="00A306B2" w14:paraId="5DE2E85A" w14:textId="77777777">
        <w:trPr>
          <w:trHeight w:val="240"/>
          <w:jc w:val="center"/>
        </w:trPr>
        <w:tc>
          <w:tcPr>
            <w:tcW w:w="3680" w:type="dxa"/>
            <w:shd w:val="clear" w:color="auto" w:fill="auto"/>
            <w:vAlign w:val="center"/>
            <w:hideMark/>
          </w:tcPr>
          <w:p w:rsidRPr="00F31A99" w:rsidR="00F31A99" w:rsidP="00F31A99" w:rsidRDefault="00F31A99" w14:paraId="1D34352A"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Servicio de Aten. Protec Víctimas y Testigos</w:t>
            </w:r>
          </w:p>
        </w:tc>
        <w:tc>
          <w:tcPr>
            <w:tcW w:w="1420" w:type="dxa"/>
            <w:shd w:val="clear" w:color="auto" w:fill="auto"/>
            <w:vAlign w:val="center"/>
            <w:hideMark/>
          </w:tcPr>
          <w:p w:rsidRPr="00F31A99" w:rsidR="00F31A99" w:rsidP="00F31A99" w:rsidRDefault="00F31A99" w14:paraId="76E84AE5"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37,633,268</w:t>
            </w:r>
          </w:p>
        </w:tc>
        <w:tc>
          <w:tcPr>
            <w:tcW w:w="1420" w:type="dxa"/>
            <w:shd w:val="clear" w:color="auto" w:fill="auto"/>
            <w:vAlign w:val="center"/>
            <w:hideMark/>
          </w:tcPr>
          <w:p w:rsidRPr="00F31A99" w:rsidR="00F31A99" w:rsidP="00F31A99" w:rsidRDefault="00F31A99" w14:paraId="488E2DB3"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38,139,798</w:t>
            </w:r>
          </w:p>
        </w:tc>
        <w:tc>
          <w:tcPr>
            <w:tcW w:w="1600" w:type="dxa"/>
            <w:shd w:val="clear" w:color="auto" w:fill="auto"/>
            <w:noWrap/>
            <w:vAlign w:val="center"/>
            <w:hideMark/>
          </w:tcPr>
          <w:p w:rsidRPr="00F31A99" w:rsidR="00F31A99" w:rsidP="00F31A99" w:rsidRDefault="00F31A99" w14:paraId="117C0545"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w:t>
            </w:r>
          </w:p>
        </w:tc>
      </w:tr>
      <w:tr w:rsidRPr="00F31A99" w:rsidR="00AE1B2B" w:rsidTr="00A306B2" w14:paraId="4163F9B1" w14:textId="77777777">
        <w:trPr>
          <w:trHeight w:val="240"/>
          <w:jc w:val="center"/>
        </w:trPr>
        <w:tc>
          <w:tcPr>
            <w:tcW w:w="3680" w:type="dxa"/>
            <w:shd w:val="clear" w:color="auto" w:fill="auto"/>
            <w:vAlign w:val="center"/>
            <w:hideMark/>
          </w:tcPr>
          <w:p w:rsidRPr="00F31A99" w:rsidR="00F31A99" w:rsidP="00F31A99" w:rsidRDefault="00F31A99" w14:paraId="64F8BF0D"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Primer Circuito Judicial Zona Sur</w:t>
            </w:r>
          </w:p>
        </w:tc>
        <w:tc>
          <w:tcPr>
            <w:tcW w:w="1420" w:type="dxa"/>
            <w:shd w:val="clear" w:color="auto" w:fill="auto"/>
            <w:vAlign w:val="center"/>
            <w:hideMark/>
          </w:tcPr>
          <w:p w:rsidRPr="00F31A99" w:rsidR="00F31A99" w:rsidP="00F31A99" w:rsidRDefault="00F31A99" w14:paraId="35C64751"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35,166,414</w:t>
            </w:r>
          </w:p>
        </w:tc>
        <w:tc>
          <w:tcPr>
            <w:tcW w:w="1420" w:type="dxa"/>
            <w:shd w:val="clear" w:color="auto" w:fill="auto"/>
            <w:vAlign w:val="center"/>
            <w:hideMark/>
          </w:tcPr>
          <w:p w:rsidRPr="00F31A99" w:rsidR="00F31A99" w:rsidP="00F31A99" w:rsidRDefault="00F31A99" w14:paraId="12AAAFFE"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35,954,933</w:t>
            </w:r>
          </w:p>
        </w:tc>
        <w:tc>
          <w:tcPr>
            <w:tcW w:w="1600" w:type="dxa"/>
            <w:shd w:val="clear" w:color="auto" w:fill="auto"/>
            <w:noWrap/>
            <w:vAlign w:val="center"/>
            <w:hideMark/>
          </w:tcPr>
          <w:p w:rsidRPr="00F31A99" w:rsidR="00F31A99" w:rsidP="00F31A99" w:rsidRDefault="00F31A99" w14:paraId="392E5447"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w:t>
            </w:r>
          </w:p>
        </w:tc>
      </w:tr>
      <w:tr w:rsidRPr="00F31A99" w:rsidR="00AE1B2B" w:rsidTr="00A306B2" w14:paraId="1BE8BBE7" w14:textId="77777777">
        <w:trPr>
          <w:trHeight w:val="240"/>
          <w:jc w:val="center"/>
        </w:trPr>
        <w:tc>
          <w:tcPr>
            <w:tcW w:w="3680" w:type="dxa"/>
            <w:shd w:val="clear" w:color="auto" w:fill="auto"/>
            <w:vAlign w:val="center"/>
            <w:hideMark/>
          </w:tcPr>
          <w:p w:rsidRPr="00F31A99" w:rsidR="00F31A99" w:rsidP="00F31A99" w:rsidRDefault="00F31A99" w14:paraId="336EC33C"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Circuito Judicial Cartago</w:t>
            </w:r>
          </w:p>
        </w:tc>
        <w:tc>
          <w:tcPr>
            <w:tcW w:w="1420" w:type="dxa"/>
            <w:shd w:val="clear" w:color="auto" w:fill="auto"/>
            <w:vAlign w:val="center"/>
            <w:hideMark/>
          </w:tcPr>
          <w:p w:rsidRPr="00F31A99" w:rsidR="00F31A99" w:rsidP="00F31A99" w:rsidRDefault="00F31A99" w14:paraId="3B4496A9"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32,325,415</w:t>
            </w:r>
          </w:p>
        </w:tc>
        <w:tc>
          <w:tcPr>
            <w:tcW w:w="1420" w:type="dxa"/>
            <w:shd w:val="clear" w:color="auto" w:fill="auto"/>
            <w:vAlign w:val="center"/>
            <w:hideMark/>
          </w:tcPr>
          <w:p w:rsidRPr="00F31A99" w:rsidR="00F31A99" w:rsidP="00F31A99" w:rsidRDefault="00F31A99" w14:paraId="51549E45"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32,817,672</w:t>
            </w:r>
          </w:p>
        </w:tc>
        <w:tc>
          <w:tcPr>
            <w:tcW w:w="1600" w:type="dxa"/>
            <w:shd w:val="clear" w:color="auto" w:fill="auto"/>
            <w:noWrap/>
            <w:vAlign w:val="center"/>
            <w:hideMark/>
          </w:tcPr>
          <w:p w:rsidRPr="00F31A99" w:rsidR="00F31A99" w:rsidP="00F31A99" w:rsidRDefault="00F31A99" w14:paraId="3648A4D8"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w:t>
            </w:r>
          </w:p>
        </w:tc>
      </w:tr>
      <w:tr w:rsidRPr="00F31A99" w:rsidR="00AE1B2B" w:rsidTr="00A306B2" w14:paraId="2721E1A2" w14:textId="77777777">
        <w:trPr>
          <w:trHeight w:val="240"/>
          <w:jc w:val="center"/>
        </w:trPr>
        <w:tc>
          <w:tcPr>
            <w:tcW w:w="3680" w:type="dxa"/>
            <w:shd w:val="clear" w:color="auto" w:fill="auto"/>
            <w:vAlign w:val="center"/>
            <w:hideMark/>
          </w:tcPr>
          <w:p w:rsidRPr="00F31A99" w:rsidR="00F31A99" w:rsidP="00F31A99" w:rsidRDefault="00F31A99" w14:paraId="4A7D40B1"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Otros*</w:t>
            </w:r>
          </w:p>
        </w:tc>
        <w:tc>
          <w:tcPr>
            <w:tcW w:w="1420" w:type="dxa"/>
            <w:shd w:val="clear" w:color="auto" w:fill="auto"/>
            <w:vAlign w:val="center"/>
            <w:hideMark/>
          </w:tcPr>
          <w:p w:rsidRPr="00F31A99" w:rsidR="00F31A99" w:rsidP="00F31A99" w:rsidRDefault="00F31A99" w14:paraId="4227B3D9"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925,472,733</w:t>
            </w:r>
          </w:p>
        </w:tc>
        <w:tc>
          <w:tcPr>
            <w:tcW w:w="1420" w:type="dxa"/>
            <w:shd w:val="clear" w:color="auto" w:fill="auto"/>
            <w:vAlign w:val="center"/>
            <w:hideMark/>
          </w:tcPr>
          <w:p w:rsidRPr="00F31A99" w:rsidR="00F31A99" w:rsidP="00F31A99" w:rsidRDefault="00F31A99" w14:paraId="082B54BE"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1,147,217,982</w:t>
            </w:r>
          </w:p>
        </w:tc>
        <w:tc>
          <w:tcPr>
            <w:tcW w:w="1600" w:type="dxa"/>
            <w:shd w:val="clear" w:color="auto" w:fill="auto"/>
            <w:noWrap/>
            <w:vAlign w:val="center"/>
            <w:hideMark/>
          </w:tcPr>
          <w:p w:rsidRPr="00F31A99" w:rsidR="00F31A99" w:rsidP="00F31A99" w:rsidRDefault="00F31A99" w14:paraId="015EA663"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30%</w:t>
            </w:r>
          </w:p>
        </w:tc>
      </w:tr>
      <w:tr w:rsidRPr="00F31A99" w:rsidR="00AE1B2B" w:rsidTr="00A306B2" w14:paraId="796E3BF6" w14:textId="77777777">
        <w:trPr>
          <w:trHeight w:val="300"/>
          <w:jc w:val="center"/>
        </w:trPr>
        <w:tc>
          <w:tcPr>
            <w:tcW w:w="3680" w:type="dxa"/>
            <w:shd w:val="clear" w:color="auto" w:fill="auto"/>
            <w:noWrap/>
            <w:vAlign w:val="bottom"/>
            <w:hideMark/>
          </w:tcPr>
          <w:p w:rsidRPr="00F31A99" w:rsidR="00F31A99" w:rsidP="00F31A99" w:rsidRDefault="00F31A99" w14:paraId="59D9CA22"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Total</w:t>
            </w:r>
          </w:p>
        </w:tc>
        <w:tc>
          <w:tcPr>
            <w:tcW w:w="1420" w:type="dxa"/>
            <w:shd w:val="clear" w:color="auto" w:fill="auto"/>
            <w:noWrap/>
            <w:vAlign w:val="bottom"/>
            <w:hideMark/>
          </w:tcPr>
          <w:p w:rsidRPr="00F31A99" w:rsidR="00F31A99" w:rsidP="00F31A99" w:rsidRDefault="00F31A99" w14:paraId="132C6E3B" w14:textId="77777777">
            <w:pPr>
              <w:widowControl w:val="0"/>
              <w:autoSpaceDN w:val="0"/>
              <w:jc w:val="right"/>
              <w:rPr>
                <w:rFonts w:ascii="Times New Roman" w:hAnsi="Times New Roman" w:eastAsia="Times New Roman" w:cs="Times New Roman"/>
                <w:b/>
                <w:bCs/>
                <w:sz w:val="20"/>
                <w:szCs w:val="20"/>
                <w:highlight w:val="yellow"/>
                <w:u w:color="000000"/>
                <w:lang w:eastAsia="es-CR"/>
              </w:rPr>
            </w:pPr>
            <w:r w:rsidRPr="00F31A99">
              <w:rPr>
                <w:rFonts w:ascii="Times New Roman" w:hAnsi="Times New Roman" w:eastAsia="Times New Roman" w:cs="Times New Roman"/>
                <w:b/>
                <w:bCs/>
                <w:sz w:val="20"/>
                <w:szCs w:val="20"/>
                <w:u w:color="000000"/>
                <w:lang w:eastAsia="es-CR"/>
              </w:rPr>
              <w:t xml:space="preserve">3,562,666,932 </w:t>
            </w:r>
          </w:p>
        </w:tc>
        <w:tc>
          <w:tcPr>
            <w:tcW w:w="1420" w:type="dxa"/>
            <w:shd w:val="clear" w:color="auto" w:fill="auto"/>
            <w:noWrap/>
            <w:vAlign w:val="bottom"/>
            <w:hideMark/>
          </w:tcPr>
          <w:p w:rsidRPr="00F31A99" w:rsidR="00F31A99" w:rsidP="00F31A99" w:rsidRDefault="00F31A99" w14:paraId="2A8D9092" w14:textId="77777777">
            <w:pPr>
              <w:widowControl w:val="0"/>
              <w:autoSpaceDN w:val="0"/>
              <w:jc w:val="right"/>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3,814,407,768</w:t>
            </w:r>
          </w:p>
        </w:tc>
        <w:tc>
          <w:tcPr>
            <w:tcW w:w="1600" w:type="dxa"/>
            <w:shd w:val="clear" w:color="auto" w:fill="auto"/>
            <w:noWrap/>
            <w:vAlign w:val="center"/>
            <w:hideMark/>
          </w:tcPr>
          <w:p w:rsidRPr="00F31A99" w:rsidR="00F31A99" w:rsidP="00F31A99" w:rsidRDefault="00F31A99" w14:paraId="13F0014A"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100%</w:t>
            </w:r>
          </w:p>
        </w:tc>
      </w:tr>
    </w:tbl>
    <w:p w:rsidRPr="00F31A99" w:rsidR="00F31A99" w:rsidP="00F31A99" w:rsidRDefault="00F31A99" w14:paraId="14FF4288" w14:textId="77777777">
      <w:pPr>
        <w:widowControl w:val="0"/>
        <w:autoSpaceDN w:val="0"/>
        <w:jc w:val="both"/>
        <w:rPr>
          <w:rFonts w:ascii="Times New Roman" w:hAnsi="Times New Roman" w:eastAsia="Calibri" w:cs="Times New Roman"/>
          <w:bCs/>
          <w:sz w:val="14"/>
          <w:szCs w:val="14"/>
          <w:u w:color="000000"/>
        </w:rPr>
      </w:pPr>
    </w:p>
    <w:p w:rsidRPr="00F31A99" w:rsidR="00F31A99" w:rsidP="00F31A99" w:rsidRDefault="00F31A99" w14:paraId="1FA8201E" w14:textId="77777777">
      <w:pPr>
        <w:widowControl w:val="0"/>
        <w:autoSpaceDN w:val="0"/>
        <w:jc w:val="both"/>
        <w:rPr>
          <w:rFonts w:ascii="Times New Roman" w:hAnsi="Times New Roman" w:eastAsia="Calibri" w:cs="Times New Roman"/>
          <w:bCs/>
          <w:sz w:val="14"/>
          <w:szCs w:val="14"/>
          <w:u w:color="000000"/>
        </w:rPr>
      </w:pPr>
      <w:r w:rsidRPr="00F31A99">
        <w:rPr>
          <w:rFonts w:ascii="Times New Roman" w:hAnsi="Times New Roman" w:eastAsia="Calibri" w:cs="Times New Roman"/>
          <w:bCs/>
          <w:sz w:val="14"/>
          <w:szCs w:val="14"/>
          <w:u w:color="000000"/>
        </w:rPr>
        <w:t xml:space="preserve">* Corresponde a los Centros de Responsabilidad con un porcentaje de representación igual o inferior a 1. </w:t>
      </w:r>
    </w:p>
    <w:p w:rsidRPr="00F31A99" w:rsidR="00F31A99" w:rsidP="00F31A99" w:rsidRDefault="00F31A99" w14:paraId="0FE4E808"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5BA6392C"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Según se muestra en el cuadro anterior, la mayor concentración de recursos para el periodo 2022 por Centro de Responsabilidad, recae sobre en el Organismo de Investigación Judicial con 23%, Primer Circuito Judicial de San José con 15% y la Dirección Ejecutiva con 9% y el Ministerio Público con 6% para el resto de los despachos incluidos en la tabla el porcentaje de representación es de 47%.</w:t>
      </w:r>
    </w:p>
    <w:p w:rsidRPr="00F31A99" w:rsidR="00F31A99" w:rsidP="00F31A99" w:rsidRDefault="00F31A99" w14:paraId="12EC24A7"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0846E214"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Finalmente; en relación con los Servicios Públicos para el año 2020 se generó una diferencia de ¢1.554.118.456, en relación con lo comparado en lo formulado y lo pagado sin IVA, de este monto ¢694.084.544 corresponde según lo indicado por el Departamento Financiero Contable al impuesto al valor agregado, lo cual resta contenido al presupuesto del Poder Judicial al tener que cumplir con estas obligaciones. </w:t>
      </w:r>
    </w:p>
    <w:p w:rsidRPr="00F31A99" w:rsidR="00F31A99" w:rsidP="00F31A99" w:rsidRDefault="00F31A99" w14:paraId="225BD0B7"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3762BFD8"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El Departamento Financiero Contable al estimar los recursos de los servicios públicos, partió de la base del 2019, aduciendo que el 2020 era un año atípico por la pandemia y que probablemente el gasto tendería a normalizarse en el 2022, lo que no les hace posible ajustar las estimaciones presupuestarias.”</w:t>
      </w:r>
    </w:p>
    <w:p w:rsidRPr="00F31A99" w:rsidR="00F31A99" w:rsidP="00F31A99" w:rsidRDefault="00F31A99" w14:paraId="62668042"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11534610" w14:textId="77777777">
      <w:pPr>
        <w:widowControl w:val="0"/>
        <w:autoSpaceDN w:val="0"/>
        <w:spacing w:line="480" w:lineRule="auto"/>
        <w:ind w:left="851" w:right="851"/>
        <w:jc w:val="center"/>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- 0 -</w:t>
      </w:r>
    </w:p>
    <w:p w:rsidRPr="00F31A99" w:rsidR="00F31A99" w:rsidP="00F31A99" w:rsidRDefault="00F31A99" w14:paraId="42B37E5F" w14:textId="77777777">
      <w:pPr>
        <w:widowControl w:val="0"/>
        <w:autoSpaceDN w:val="0"/>
        <w:spacing w:line="480" w:lineRule="auto"/>
        <w:ind w:firstLine="709"/>
        <w:jc w:val="both"/>
        <w:rPr>
          <w:rFonts w:ascii="Times New Roman" w:hAnsi="Times New Roman" w:eastAsia="Calibri" w:cs="Times New Roman"/>
          <w:spacing w:val="-3"/>
          <w:sz w:val="28"/>
          <w:szCs w:val="28"/>
          <w:u w:color="000000"/>
        </w:rPr>
      </w:pPr>
      <w:r w:rsidRPr="00F31A99">
        <w:rPr>
          <w:rFonts w:ascii="Times New Roman" w:hAnsi="Times New Roman" w:eastAsia="Calibri" w:cs="Times New Roman"/>
          <w:b/>
          <w:bCs/>
          <w:sz w:val="28"/>
          <w:szCs w:val="28"/>
          <w:u w:color="000000"/>
        </w:rPr>
        <w:t>Se acordó: 1.)</w:t>
      </w:r>
      <w:r w:rsidRPr="00F31A99">
        <w:rPr>
          <w:rFonts w:ascii="Times New Roman" w:hAnsi="Times New Roman" w:eastAsia="Calibri" w:cs="Times New Roman"/>
          <w:sz w:val="28"/>
          <w:szCs w:val="28"/>
          <w:u w:color="000000"/>
        </w:rPr>
        <w:t xml:space="preserve"> Se dan por conocidos los recursos formulados en las subpartidas 10201 “Servicios de Agua y alcantarillado”, 10202 “Servicios de </w:t>
      </w:r>
      <w:r w:rsidRPr="00F31A99">
        <w:rPr>
          <w:rFonts w:ascii="Times New Roman" w:hAnsi="Times New Roman" w:eastAsia="Calibri" w:cs="Times New Roman"/>
          <w:sz w:val="28"/>
          <w:szCs w:val="28"/>
          <w:u w:color="000000"/>
        </w:rPr>
        <w:lastRenderedPageBreak/>
        <w:t xml:space="preserve">Electricidad” y 10204 “Servicios de Telecomunicaciones”; sin embargo, se estará a la espera del análisis global del presupuesto 2022, para aprobar una propuesta integral que consolide todas las necesidades institucionales. </w:t>
      </w:r>
      <w:r w:rsidRPr="00F31A99">
        <w:rPr>
          <w:rFonts w:ascii="Times New Roman" w:hAnsi="Times New Roman" w:eastAsia="Calibri" w:cs="Times New Roman"/>
          <w:b/>
          <w:bCs/>
          <w:sz w:val="28"/>
          <w:szCs w:val="28"/>
          <w:u w:color="000000"/>
        </w:rPr>
        <w:t>2.)</w:t>
      </w:r>
      <w:r w:rsidRPr="00F31A99">
        <w:rPr>
          <w:rFonts w:ascii="Times New Roman" w:hAnsi="Times New Roman" w:eastAsia="Calibri" w:cs="Times New Roman"/>
          <w:sz w:val="28"/>
          <w:szCs w:val="28"/>
          <w:u w:color="000000"/>
        </w:rPr>
        <w:t xml:space="preserve"> Tomar nota de que para el periodo 2020 se generaron ahorros en las subpartidas 10201 Servicios de Agua y Alcantarillado, 10202 Servicios de Energía Eléctrica y 10204 Telecomunicaciones, que permitieron atender el pago por concepto de IVA, en cuyo caso el Poder Judicial incurrió en un pago de ¢694,084,544.08. </w:t>
      </w:r>
      <w:r w:rsidRPr="00F31A99">
        <w:rPr>
          <w:rFonts w:ascii="Times New Roman" w:hAnsi="Times New Roman" w:eastAsia="Calibri" w:cs="Times New Roman"/>
          <w:b/>
          <w:bCs/>
          <w:sz w:val="28"/>
          <w:szCs w:val="28"/>
          <w:u w:color="000000"/>
        </w:rPr>
        <w:t>3.)</w:t>
      </w:r>
      <w:r w:rsidRPr="00F31A99">
        <w:rPr>
          <w:rFonts w:ascii="Times New Roman" w:hAnsi="Times New Roman" w:eastAsia="Calibri" w:cs="Times New Roman"/>
          <w:sz w:val="28"/>
          <w:szCs w:val="28"/>
          <w:u w:color="000000"/>
        </w:rPr>
        <w:t xml:space="preserve"> Solicitar a la Dirección Ejecutiva que en coordinación con la Dirección de Tecnología de la Información, efectúen una revisión de la subpartida 10204 Servicio de Telecomunicaciones, con el propósito de establecer la posibilidad de mantener para el 2022 el mismo monto aprobado para el 2021. </w:t>
      </w:r>
      <w:r w:rsidRPr="00F31A99">
        <w:rPr>
          <w:rFonts w:ascii="Times New Roman" w:hAnsi="Times New Roman" w:eastAsia="Calibri" w:cs="Times New Roman"/>
          <w:b/>
          <w:bCs/>
          <w:sz w:val="28"/>
          <w:szCs w:val="28"/>
          <w:u w:color="000000"/>
        </w:rPr>
        <w:t>4.)</w:t>
      </w:r>
      <w:r w:rsidRPr="00F31A99">
        <w:rPr>
          <w:rFonts w:ascii="Times New Roman" w:hAnsi="Times New Roman" w:eastAsia="Calibri" w:cs="Times New Roman"/>
          <w:sz w:val="28"/>
          <w:szCs w:val="28"/>
          <w:u w:color="000000"/>
        </w:rPr>
        <w:t xml:space="preserve"> Consignar que como parte de la discusión en torno a estas subpartidas, se concluye que en este momento no es posible generar ahorros derivados de posibles disminuciones en la cantidad de alquileres en virtud de la aplicación del teletrabajo a nivel institucional. Lo anterior conforme el criterio emitido por el Poder Judicial y enviado como respuesta a la Dirección General de Presupuesto Nacional, en donde se indicó, entre otros: </w:t>
      </w:r>
      <w:r w:rsidRPr="00F31A99">
        <w:rPr>
          <w:rFonts w:ascii="Times New Roman" w:hAnsi="Times New Roman" w:eastAsia="Calibri" w:cs="Times New Roman"/>
          <w:i/>
          <w:iCs/>
          <w:sz w:val="28"/>
          <w:szCs w:val="28"/>
          <w:u w:color="000000"/>
        </w:rPr>
        <w:t xml:space="preserve">“1. Con respecto a lo solicitado para el cumplimiento de la Norma 10, se informa que, si bien el Poder Judicial desde vieja data ha emprendido procesos de digitalización de servicios judiciales y la </w:t>
      </w:r>
      <w:r w:rsidRPr="00F31A99">
        <w:rPr>
          <w:rFonts w:ascii="Times New Roman" w:hAnsi="Times New Roman" w:eastAsia="Calibri" w:cs="Times New Roman"/>
          <w:i/>
          <w:iCs/>
          <w:sz w:val="28"/>
          <w:szCs w:val="28"/>
          <w:u w:color="000000"/>
        </w:rPr>
        <w:lastRenderedPageBreak/>
        <w:t>implementación del teletrabajo, ahora de manera más intensa por motivo de la pandemia nacional producto del COVID 19, los ahorros que se han podido generar con estas prácticas, serán destinados de momento para cubrir los faltantes en servicios públicos conforme las proyecciones mensuales, que muestran datos deficitarios, las cuales se adjuntan.</w:t>
      </w:r>
    </w:p>
    <w:bookmarkStart w:name="_MON_1679480282" w:id="8"/>
    <w:bookmarkEnd w:id="8"/>
    <w:p w:rsidRPr="00F31A99" w:rsidR="00F31A99" w:rsidP="00F31A99" w:rsidRDefault="00F31A99" w14:paraId="7B03E2F1" w14:textId="77777777">
      <w:pPr>
        <w:widowControl w:val="0"/>
        <w:autoSpaceDN w:val="0"/>
        <w:spacing w:line="480" w:lineRule="auto"/>
        <w:jc w:val="center"/>
        <w:rPr>
          <w:rFonts w:ascii="Times New Roman" w:hAnsi="Times New Roman" w:eastAsia="Calibri" w:cs="Times New Roman"/>
          <w:u w:color="000000"/>
        </w:rPr>
      </w:pPr>
      <w:r w:rsidRPr="00F31A99">
        <w:rPr>
          <w:rFonts w:ascii="Times New Roman" w:hAnsi="Times New Roman" w:eastAsia="Calibri" w:cs="Times New Roman"/>
          <w:u w:color="000000"/>
        </w:rPr>
        <w:object w:dxaOrig="1508" w:dyaOrig="984" w14:anchorId="49A26705">
          <v:shape id="_x0000_i1597" style="width:76.4pt;height:52.6pt" o:ole="" type="#_x0000_t75">
            <v:imagedata o:title="" r:id="rId52"/>
          </v:shape>
          <o:OLEObject Type="Embed" ProgID="Word.Document.12" ShapeID="_x0000_i1597" DrawAspect="Icon" ObjectID="_1681900453" r:id="rId53">
            <o:FieldCodes>\s</o:FieldCodes>
          </o:OLEObject>
        </w:object>
      </w:r>
    </w:p>
    <w:p w:rsidRPr="00F31A99" w:rsidR="00F31A99" w:rsidP="00F31A99" w:rsidRDefault="00F31A99" w14:paraId="5F262EFC" w14:textId="77777777">
      <w:pPr>
        <w:widowControl w:val="0"/>
        <w:autoSpaceDN w:val="0"/>
        <w:spacing w:line="480" w:lineRule="auto"/>
        <w:jc w:val="center"/>
        <w:rPr>
          <w:rFonts w:ascii="Times New Roman" w:hAnsi="Times New Roman" w:eastAsia="Calibri" w:cs="Times New Roman"/>
          <w:u w:color="000000"/>
          <w:shd w:val="clear" w:color="auto" w:fill="FFFFFF"/>
        </w:rPr>
      </w:pPr>
    </w:p>
    <w:p w:rsidRPr="00F31A99" w:rsidR="00F31A99" w:rsidP="00F31A99" w:rsidRDefault="00F31A99" w14:paraId="56E56811" w14:textId="77777777">
      <w:pPr>
        <w:widowControl w:val="0"/>
        <w:autoSpaceDN w:val="0"/>
        <w:spacing w:line="480" w:lineRule="auto"/>
        <w:ind w:firstLine="709"/>
        <w:jc w:val="both"/>
        <w:rPr>
          <w:rFonts w:ascii="Times New Roman" w:hAnsi="Times New Roman" w:eastAsia="Calibri" w:cs="Times New Roman"/>
          <w:u w:color="000000"/>
        </w:rPr>
      </w:pPr>
      <w:r w:rsidRPr="00F31A99">
        <w:rPr>
          <w:rFonts w:ascii="Times New Roman" w:hAnsi="Times New Roman" w:eastAsia="Calibri" w:cs="Times New Roman"/>
          <w:sz w:val="28"/>
          <w:szCs w:val="28"/>
          <w:u w:color="000000"/>
          <w:shd w:val="clear" w:color="auto" w:fill="FFFFFF"/>
        </w:rPr>
        <w:t xml:space="preserve">La Dirección de Planificación tomará nota para los fines correspondientes. </w:t>
      </w:r>
      <w:r w:rsidRPr="00F31A99">
        <w:rPr>
          <w:rFonts w:ascii="Times New Roman" w:hAnsi="Times New Roman" w:eastAsia="Calibri" w:cs="Times New Roman"/>
          <w:b/>
          <w:sz w:val="28"/>
          <w:szCs w:val="28"/>
          <w:u w:color="000000"/>
          <w:lang w:eastAsia="es-CR"/>
        </w:rPr>
        <w:t>Se declara acuerdo firme.</w:t>
      </w:r>
    </w:p>
    <w:p w:rsidRPr="00F31A99" w:rsidR="00F31A99" w:rsidP="00F31A99" w:rsidRDefault="00F31A99" w14:paraId="39D62AF2" w14:textId="58750DCF">
      <w:pPr>
        <w:widowControl w:val="0"/>
        <w:shd w:val="clear" w:color="auto" w:fill="FFFFFF"/>
        <w:autoSpaceDE w:val="0"/>
        <w:autoSpaceDN w:val="0"/>
        <w:spacing w:line="480" w:lineRule="auto"/>
        <w:jc w:val="center"/>
        <w:outlineLvl w:val="0"/>
        <w:rPr>
          <w:rFonts w:ascii="Times New Roman" w:hAnsi="Times New Roman" w:eastAsia="Times New Roman" w:cs="Times New Roman"/>
          <w:b/>
          <w:bCs/>
          <w:kern w:val="36"/>
          <w:sz w:val="28"/>
          <w:szCs w:val="28"/>
          <w:u w:val="single" w:color="000000"/>
          <w:lang w:eastAsia="es-ES"/>
        </w:rPr>
      </w:pPr>
      <w:r w:rsidRPr="00F31A99">
        <w:rPr>
          <w:rFonts w:ascii="Times New Roman" w:hAnsi="Times New Roman" w:eastAsia="Times New Roman" w:cs="Times New Roman"/>
          <w:b/>
          <w:bCs/>
          <w:kern w:val="36"/>
          <w:sz w:val="36"/>
          <w:szCs w:val="36"/>
          <w:u w:val="single" w:color="000000"/>
          <w:lang w:eastAsia="es-ES"/>
        </w:rPr>
        <w:t>ARTÍCULO X</w:t>
      </w:r>
    </w:p>
    <w:p w:rsidRPr="00F31A99" w:rsidR="00F31A99" w:rsidP="00F31A99" w:rsidRDefault="00F31A99" w14:paraId="38E2004E" w14:textId="77777777">
      <w:pPr>
        <w:widowControl w:val="0"/>
        <w:autoSpaceDN w:val="0"/>
        <w:spacing w:line="480" w:lineRule="auto"/>
        <w:jc w:val="both"/>
        <w:rPr>
          <w:rFonts w:ascii="Times New Roman" w:hAnsi="Times New Roman" w:eastAsia="Times New Roman" w:cs="Times New Roman"/>
          <w:b/>
          <w:bCs/>
          <w:sz w:val="28"/>
          <w:szCs w:val="28"/>
          <w:u w:color="000000"/>
          <w:lang w:eastAsia="es-ES"/>
        </w:rPr>
      </w:pPr>
      <w:r w:rsidRPr="00F31A99">
        <w:rPr>
          <w:rFonts w:ascii="Times New Roman" w:hAnsi="Times New Roman" w:eastAsia="Times New Roman" w:cs="Times New Roman"/>
          <w:b/>
          <w:bCs/>
          <w:sz w:val="28"/>
          <w:szCs w:val="28"/>
          <w:u w:color="000000"/>
          <w:lang w:eastAsia="es-ES"/>
        </w:rPr>
        <w:t>Documento N° 3834-2021</w:t>
      </w:r>
    </w:p>
    <w:p w:rsidRPr="00F31A99" w:rsidR="00F31A99" w:rsidP="00F31A99" w:rsidRDefault="00F31A99" w14:paraId="51327DE3" w14:textId="77777777">
      <w:pPr>
        <w:widowControl w:val="0"/>
        <w:autoSpaceDN w:val="0"/>
        <w:spacing w:line="480" w:lineRule="auto"/>
        <w:ind w:firstLine="709"/>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En reunión de trabajo del pasado 9 de abril, la licenciada Nacira Valverde</w:t>
      </w:r>
      <w:r w:rsidRPr="00F31A99">
        <w:rPr>
          <w:rFonts w:ascii="Times New Roman" w:hAnsi="Times New Roman" w:eastAsia="Calibri" w:cs="Times New Roman"/>
          <w:sz w:val="28"/>
          <w:szCs w:val="28"/>
          <w:u w:color="000000"/>
          <w:shd w:val="clear" w:color="auto" w:fill="FFFFFF"/>
        </w:rPr>
        <w:t xml:space="preserve">, Directora de Planificación </w:t>
      </w:r>
      <w:r w:rsidRPr="00F31A99">
        <w:rPr>
          <w:rFonts w:ascii="Times New Roman" w:hAnsi="Times New Roman" w:eastAsia="Calibri" w:cs="Times New Roman"/>
          <w:sz w:val="28"/>
          <w:szCs w:val="28"/>
          <w:u w:color="000000"/>
        </w:rPr>
        <w:t xml:space="preserve">presentó la estimación de requerimientos para el 2022 en las </w:t>
      </w:r>
      <w:r w:rsidRPr="00F31A99">
        <w:rPr>
          <w:rFonts w:ascii="Times New Roman" w:hAnsi="Times New Roman" w:eastAsia="Calibri" w:cs="Times New Roman"/>
          <w:bCs/>
          <w:sz w:val="28"/>
          <w:szCs w:val="28"/>
          <w:u w:color="000000"/>
        </w:rPr>
        <w:t>subpartidas 10103 Alquiler de Equipo de Cómputo y 50105 Equipo de Cómputo</w:t>
      </w:r>
      <w:r w:rsidRPr="00F31A99">
        <w:rPr>
          <w:rFonts w:ascii="Times New Roman" w:hAnsi="Times New Roman" w:eastAsia="Calibri" w:cs="Times New Roman"/>
          <w:sz w:val="28"/>
          <w:szCs w:val="28"/>
          <w:u w:color="000000"/>
        </w:rPr>
        <w:t>.</w:t>
      </w:r>
    </w:p>
    <w:p w:rsidRPr="00F31A99" w:rsidR="00F31A99" w:rsidP="00F31A99" w:rsidRDefault="00F31A99" w14:paraId="1914473B" w14:textId="77777777">
      <w:pPr>
        <w:widowControl w:val="0"/>
        <w:numPr>
          <w:ilvl w:val="0"/>
          <w:numId w:val="29"/>
        </w:numPr>
        <w:autoSpaceDN w:val="0"/>
        <w:ind w:left="851" w:right="851" w:firstLine="709"/>
        <w:jc w:val="both"/>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Subpartidas Relacionadas con Equipo de Cómputo</w:t>
      </w:r>
    </w:p>
    <w:p w:rsidRPr="00F31A99" w:rsidR="00F31A99" w:rsidP="00F31A99" w:rsidRDefault="00F31A99" w14:paraId="39FD6D23"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4A50B53A"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Con respecto a las subpartidas presupuestarias relacionadas con equipo de cómputo, si se comparan los montos aprobados para el 2021 con los formulados en el anteproyecto de presupuesto del 2022, </w:t>
      </w:r>
      <w:r w:rsidRPr="00F31A99">
        <w:rPr>
          <w:rFonts w:ascii="Times New Roman" w:hAnsi="Times New Roman" w:eastAsia="Calibri" w:cs="Times New Roman"/>
          <w:sz w:val="26"/>
          <w:szCs w:val="26"/>
          <w:u w:color="000000"/>
        </w:rPr>
        <w:lastRenderedPageBreak/>
        <w:t>se presenta un incremento del 1,31% en la 10103 Alquiler de Equipo de Cómputo, mientras que en la 50105 Equipo de Cómputo se presenta una disminución 9,64%. Lo anterior se puede apreciar en el siguiente cuadro.</w:t>
      </w:r>
    </w:p>
    <w:p w:rsidRPr="00F31A99" w:rsidR="00F31A99" w:rsidP="00F31A99" w:rsidRDefault="00F31A99" w14:paraId="15453FEC"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1CB21003"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Cuadro N°1</w:t>
      </w:r>
    </w:p>
    <w:p w:rsidRPr="00F31A99" w:rsidR="00F31A99" w:rsidP="00F31A99" w:rsidRDefault="00F31A99" w14:paraId="761CFD4E"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Subpartidas de Equipo Informático</w:t>
      </w:r>
    </w:p>
    <w:p w:rsidRPr="00F31A99" w:rsidR="00F31A99" w:rsidP="00F31A99" w:rsidRDefault="00F31A99" w14:paraId="512E9EB5"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Comparativo del Presupuesto Períodos 2021-2022</w:t>
      </w:r>
    </w:p>
    <w:p w:rsidRPr="00F31A99" w:rsidR="00F31A99" w:rsidP="00F31A99" w:rsidRDefault="00F31A99" w14:paraId="048B6BE3" w14:textId="77777777">
      <w:pPr>
        <w:widowControl w:val="0"/>
        <w:autoSpaceDN w:val="0"/>
        <w:jc w:val="center"/>
        <w:rPr>
          <w:rFonts w:ascii="Times New Roman" w:hAnsi="Times New Roman" w:eastAsia="Times New Roman" w:cs="Times New Roman"/>
          <w:b/>
          <w:bCs/>
          <w:sz w:val="24"/>
          <w:szCs w:val="24"/>
          <w:u w:color="000000"/>
        </w:rPr>
      </w:pPr>
    </w:p>
    <w:tbl>
      <w:tblPr>
        <w:tblW w:w="88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2759"/>
        <w:gridCol w:w="1755"/>
        <w:gridCol w:w="1582"/>
        <w:gridCol w:w="1701"/>
        <w:gridCol w:w="1041"/>
      </w:tblGrid>
      <w:tr w:rsidRPr="00AE1B2B" w:rsidR="00AE1B2B" w:rsidTr="00F31A99" w14:paraId="01AA47A1" w14:textId="77777777">
        <w:trPr>
          <w:trHeight w:val="399"/>
          <w:jc w:val="center"/>
        </w:trPr>
        <w:tc>
          <w:tcPr>
            <w:tcW w:w="2759" w:type="dxa"/>
            <w:shd w:val="clear" w:color="auto" w:fill="F2F2F2"/>
            <w:noWrap/>
            <w:vAlign w:val="center"/>
            <w:hideMark/>
          </w:tcPr>
          <w:p w:rsidRPr="00F31A99" w:rsidR="00F31A99" w:rsidP="00F31A99" w:rsidRDefault="00F31A99" w14:paraId="73B686AE"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Subpartida</w:t>
            </w:r>
          </w:p>
        </w:tc>
        <w:tc>
          <w:tcPr>
            <w:tcW w:w="1755" w:type="dxa"/>
            <w:shd w:val="clear" w:color="auto" w:fill="F2F2F2"/>
            <w:noWrap/>
            <w:vAlign w:val="center"/>
            <w:hideMark/>
          </w:tcPr>
          <w:p w:rsidRPr="00F31A99" w:rsidR="00F31A99" w:rsidP="00F31A99" w:rsidRDefault="00F31A99" w14:paraId="3C59A949"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Presupuesto 2021</w:t>
            </w:r>
          </w:p>
        </w:tc>
        <w:tc>
          <w:tcPr>
            <w:tcW w:w="1582" w:type="dxa"/>
            <w:shd w:val="clear" w:color="auto" w:fill="F2F2F2"/>
            <w:noWrap/>
            <w:vAlign w:val="center"/>
            <w:hideMark/>
          </w:tcPr>
          <w:p w:rsidRPr="00F31A99" w:rsidR="00F31A99" w:rsidP="00F31A99" w:rsidRDefault="00F31A99" w14:paraId="56C03AE5"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Formulado 2022</w:t>
            </w:r>
          </w:p>
        </w:tc>
        <w:tc>
          <w:tcPr>
            <w:tcW w:w="1701" w:type="dxa"/>
            <w:shd w:val="clear" w:color="auto" w:fill="F2F2F2"/>
          </w:tcPr>
          <w:p w:rsidRPr="00F31A99" w:rsidR="00F31A99" w:rsidP="00F31A99" w:rsidRDefault="00F31A99" w14:paraId="27A05A2E"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Diferencia Absoluta</w:t>
            </w:r>
          </w:p>
        </w:tc>
        <w:tc>
          <w:tcPr>
            <w:tcW w:w="1041" w:type="dxa"/>
            <w:shd w:val="clear" w:color="auto" w:fill="F2F2F2"/>
            <w:noWrap/>
            <w:vAlign w:val="center"/>
            <w:hideMark/>
          </w:tcPr>
          <w:p w:rsidRPr="00F31A99" w:rsidR="00F31A99" w:rsidP="00F31A99" w:rsidRDefault="00F31A99" w14:paraId="4DB05B45"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Variación Relativa</w:t>
            </w:r>
          </w:p>
        </w:tc>
      </w:tr>
      <w:tr w:rsidRPr="00F31A99" w:rsidR="00AE1B2B" w:rsidTr="00A306B2" w14:paraId="3E29550A" w14:textId="77777777">
        <w:trPr>
          <w:trHeight w:val="399"/>
          <w:jc w:val="center"/>
        </w:trPr>
        <w:tc>
          <w:tcPr>
            <w:tcW w:w="2759" w:type="dxa"/>
            <w:shd w:val="clear" w:color="auto" w:fill="auto"/>
            <w:noWrap/>
            <w:vAlign w:val="center"/>
            <w:hideMark/>
          </w:tcPr>
          <w:p w:rsidRPr="00F31A99" w:rsidR="00F31A99" w:rsidP="00F31A99" w:rsidRDefault="00F31A99" w14:paraId="7C8A8BA1"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10103 Alquiler de Equipo de Cómputo</w:t>
            </w:r>
          </w:p>
        </w:tc>
        <w:tc>
          <w:tcPr>
            <w:tcW w:w="1755" w:type="dxa"/>
            <w:shd w:val="clear" w:color="auto" w:fill="auto"/>
            <w:noWrap/>
            <w:vAlign w:val="center"/>
            <w:hideMark/>
          </w:tcPr>
          <w:p w:rsidRPr="00F31A99" w:rsidR="00F31A99" w:rsidP="00F31A99" w:rsidRDefault="00F31A99" w14:paraId="6A1B9CC4"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¢1.634.068.891</w:t>
            </w:r>
          </w:p>
        </w:tc>
        <w:tc>
          <w:tcPr>
            <w:tcW w:w="1582" w:type="dxa"/>
            <w:shd w:val="clear" w:color="auto" w:fill="auto"/>
            <w:noWrap/>
            <w:vAlign w:val="center"/>
            <w:hideMark/>
          </w:tcPr>
          <w:p w:rsidRPr="00F31A99" w:rsidR="00F31A99" w:rsidP="00F31A99" w:rsidRDefault="00F31A99" w14:paraId="405A0B8E"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¢1.655.450.655</w:t>
            </w:r>
          </w:p>
        </w:tc>
        <w:tc>
          <w:tcPr>
            <w:tcW w:w="1701" w:type="dxa"/>
            <w:vAlign w:val="center"/>
          </w:tcPr>
          <w:p w:rsidRPr="00F31A99" w:rsidR="00F31A99" w:rsidP="00F31A99" w:rsidRDefault="00F31A99" w14:paraId="597A2631"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(¢21.381.764)</w:t>
            </w:r>
          </w:p>
        </w:tc>
        <w:tc>
          <w:tcPr>
            <w:tcW w:w="1041" w:type="dxa"/>
            <w:shd w:val="clear" w:color="auto" w:fill="auto"/>
            <w:noWrap/>
            <w:vAlign w:val="center"/>
            <w:hideMark/>
          </w:tcPr>
          <w:p w:rsidRPr="00F31A99" w:rsidR="00F31A99" w:rsidP="00F31A99" w:rsidRDefault="00F31A99" w14:paraId="3E181D50"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1,31%</w:t>
            </w:r>
          </w:p>
        </w:tc>
      </w:tr>
      <w:tr w:rsidRPr="00F31A99" w:rsidR="00AE1B2B" w:rsidTr="00A306B2" w14:paraId="0C0B3F69" w14:textId="77777777">
        <w:trPr>
          <w:trHeight w:val="399"/>
          <w:jc w:val="center"/>
        </w:trPr>
        <w:tc>
          <w:tcPr>
            <w:tcW w:w="2759" w:type="dxa"/>
            <w:shd w:val="clear" w:color="auto" w:fill="auto"/>
            <w:noWrap/>
            <w:vAlign w:val="center"/>
            <w:hideMark/>
          </w:tcPr>
          <w:p w:rsidRPr="00F31A99" w:rsidR="00F31A99" w:rsidP="00F31A99" w:rsidRDefault="00F31A99" w14:paraId="52B02557"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50105 Equipo de Cómputo</w:t>
            </w:r>
          </w:p>
        </w:tc>
        <w:tc>
          <w:tcPr>
            <w:tcW w:w="1755" w:type="dxa"/>
            <w:shd w:val="clear" w:color="auto" w:fill="auto"/>
            <w:noWrap/>
            <w:vAlign w:val="center"/>
            <w:hideMark/>
          </w:tcPr>
          <w:p w:rsidRPr="00F31A99" w:rsidR="00F31A99" w:rsidP="00F31A99" w:rsidRDefault="00F31A99" w14:paraId="4A956A19"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¢2.850.698.471</w:t>
            </w:r>
          </w:p>
        </w:tc>
        <w:tc>
          <w:tcPr>
            <w:tcW w:w="1582" w:type="dxa"/>
            <w:shd w:val="clear" w:color="auto" w:fill="auto"/>
            <w:noWrap/>
            <w:vAlign w:val="center"/>
            <w:hideMark/>
          </w:tcPr>
          <w:p w:rsidRPr="00F31A99" w:rsidR="00F31A99" w:rsidP="00F31A99" w:rsidRDefault="00F31A99" w14:paraId="611425B6" w14:textId="77777777">
            <w:pPr>
              <w:widowControl w:val="0"/>
              <w:autoSpaceDN w:val="0"/>
              <w:jc w:val="right"/>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¢2.575.935.097</w:t>
            </w:r>
          </w:p>
        </w:tc>
        <w:tc>
          <w:tcPr>
            <w:tcW w:w="1701" w:type="dxa"/>
            <w:vAlign w:val="center"/>
          </w:tcPr>
          <w:p w:rsidRPr="00F31A99" w:rsidR="00F31A99" w:rsidP="00F31A99" w:rsidRDefault="00F31A99" w14:paraId="5CF78EC8"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(¢-274.763.374)</w:t>
            </w:r>
          </w:p>
        </w:tc>
        <w:tc>
          <w:tcPr>
            <w:tcW w:w="1041" w:type="dxa"/>
            <w:shd w:val="clear" w:color="auto" w:fill="auto"/>
            <w:noWrap/>
            <w:vAlign w:val="center"/>
            <w:hideMark/>
          </w:tcPr>
          <w:p w:rsidRPr="00F31A99" w:rsidR="00F31A99" w:rsidP="00F31A99" w:rsidRDefault="00F31A99" w14:paraId="202D7C6E" w14:textId="77777777">
            <w:pPr>
              <w:widowControl w:val="0"/>
              <w:autoSpaceDN w:val="0"/>
              <w:jc w:val="center"/>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-9,64%</w:t>
            </w:r>
          </w:p>
        </w:tc>
      </w:tr>
      <w:tr w:rsidRPr="00AE1B2B" w:rsidR="00AE1B2B" w:rsidTr="00F31A99" w14:paraId="03F90844" w14:textId="77777777">
        <w:trPr>
          <w:trHeight w:val="399"/>
          <w:jc w:val="center"/>
        </w:trPr>
        <w:tc>
          <w:tcPr>
            <w:tcW w:w="2759" w:type="dxa"/>
            <w:shd w:val="clear" w:color="auto" w:fill="F2F2F2"/>
            <w:noWrap/>
            <w:vAlign w:val="center"/>
            <w:hideMark/>
          </w:tcPr>
          <w:p w:rsidRPr="00F31A99" w:rsidR="00F31A99" w:rsidP="00F31A99" w:rsidRDefault="00F31A99" w14:paraId="268C6282"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Total</w:t>
            </w:r>
          </w:p>
        </w:tc>
        <w:tc>
          <w:tcPr>
            <w:tcW w:w="1755" w:type="dxa"/>
            <w:shd w:val="clear" w:color="auto" w:fill="F2F2F2"/>
            <w:noWrap/>
            <w:vAlign w:val="center"/>
            <w:hideMark/>
          </w:tcPr>
          <w:p w:rsidRPr="00F31A99" w:rsidR="00F31A99" w:rsidP="00F31A99" w:rsidRDefault="00F31A99" w14:paraId="72ABD404" w14:textId="77777777">
            <w:pPr>
              <w:widowControl w:val="0"/>
              <w:autoSpaceDN w:val="0"/>
              <w:jc w:val="right"/>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¢4.484.767.362</w:t>
            </w:r>
          </w:p>
        </w:tc>
        <w:tc>
          <w:tcPr>
            <w:tcW w:w="1582" w:type="dxa"/>
            <w:shd w:val="clear" w:color="auto" w:fill="F2F2F2"/>
            <w:noWrap/>
            <w:vAlign w:val="center"/>
            <w:hideMark/>
          </w:tcPr>
          <w:p w:rsidRPr="00F31A99" w:rsidR="00F31A99" w:rsidP="00F31A99" w:rsidRDefault="00F31A99" w14:paraId="44F17F89" w14:textId="77777777">
            <w:pPr>
              <w:widowControl w:val="0"/>
              <w:autoSpaceDN w:val="0"/>
              <w:jc w:val="right"/>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¢4.231.385.752</w:t>
            </w:r>
          </w:p>
        </w:tc>
        <w:tc>
          <w:tcPr>
            <w:tcW w:w="1701" w:type="dxa"/>
            <w:shd w:val="clear" w:color="auto" w:fill="F2F2F2"/>
            <w:vAlign w:val="center"/>
          </w:tcPr>
          <w:p w:rsidRPr="00F31A99" w:rsidR="00F31A99" w:rsidP="00F31A99" w:rsidRDefault="00F31A99" w14:paraId="7FB67BC3" w14:textId="77777777">
            <w:pPr>
              <w:widowControl w:val="0"/>
              <w:autoSpaceDN w:val="0"/>
              <w:jc w:val="right"/>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(-¢253.381.610)</w:t>
            </w:r>
          </w:p>
        </w:tc>
        <w:tc>
          <w:tcPr>
            <w:tcW w:w="1041" w:type="dxa"/>
            <w:shd w:val="clear" w:color="auto" w:fill="F2F2F2"/>
            <w:noWrap/>
            <w:vAlign w:val="center"/>
            <w:hideMark/>
          </w:tcPr>
          <w:p w:rsidRPr="00F31A99" w:rsidR="00F31A99" w:rsidP="00F31A99" w:rsidRDefault="00F31A99" w14:paraId="16B6F59B"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-5,65%</w:t>
            </w:r>
          </w:p>
        </w:tc>
      </w:tr>
    </w:tbl>
    <w:p w:rsidRPr="00F31A99" w:rsidR="00F31A99" w:rsidP="00F31A99" w:rsidRDefault="00F31A99" w14:paraId="03BEBAB9" w14:textId="77777777">
      <w:pPr>
        <w:widowControl w:val="0"/>
        <w:autoSpaceDN w:val="0"/>
        <w:rPr>
          <w:rFonts w:ascii="Times New Roman" w:hAnsi="Times New Roman" w:eastAsia="Calibri" w:cs="Times New Roman"/>
          <w:b/>
          <w:szCs w:val="20"/>
          <w:u w:color="000000"/>
        </w:rPr>
      </w:pPr>
    </w:p>
    <w:p w:rsidRPr="00F31A99" w:rsidR="00F31A99" w:rsidP="00F31A99" w:rsidRDefault="00F31A99" w14:paraId="470E1084" w14:textId="77777777">
      <w:pPr>
        <w:widowControl w:val="0"/>
        <w:autoSpaceDN w:val="0"/>
        <w:ind w:firstLine="708"/>
        <w:rPr>
          <w:rFonts w:ascii="Times New Roman" w:hAnsi="Times New Roman" w:eastAsia="Calibri" w:cs="Times New Roman"/>
          <w:bCs/>
          <w:sz w:val="16"/>
          <w:szCs w:val="16"/>
          <w:u w:color="000000"/>
        </w:rPr>
      </w:pPr>
      <w:r w:rsidRPr="00F31A99">
        <w:rPr>
          <w:rFonts w:ascii="Times New Roman" w:hAnsi="Times New Roman" w:eastAsia="Calibri" w:cs="Times New Roman"/>
          <w:b/>
          <w:sz w:val="16"/>
          <w:szCs w:val="16"/>
          <w:u w:color="000000"/>
        </w:rPr>
        <w:t>Fuente:</w:t>
      </w:r>
      <w:r w:rsidRPr="00F31A99">
        <w:rPr>
          <w:rFonts w:ascii="Times New Roman" w:hAnsi="Times New Roman" w:eastAsia="Calibri" w:cs="Times New Roman"/>
          <w:bCs/>
          <w:sz w:val="16"/>
          <w:szCs w:val="16"/>
          <w:u w:color="000000"/>
        </w:rPr>
        <w:t xml:space="preserve"> Sistema SIGA-PJ</w:t>
      </w:r>
    </w:p>
    <w:p w:rsidRPr="00F31A99" w:rsidR="00F31A99" w:rsidP="00F31A99" w:rsidRDefault="00F31A99" w14:paraId="019C7278" w14:textId="77777777">
      <w:pPr>
        <w:widowControl w:val="0"/>
        <w:autoSpaceDN w:val="0"/>
        <w:rPr>
          <w:rFonts w:ascii="Times New Roman" w:hAnsi="Times New Roman" w:eastAsia="Calibri" w:cs="Times New Roman"/>
          <w:bCs/>
          <w:szCs w:val="20"/>
          <w:u w:color="000000"/>
        </w:rPr>
      </w:pPr>
    </w:p>
    <w:p w:rsidRPr="00F31A99" w:rsidR="00F31A99" w:rsidP="00F31A99" w:rsidRDefault="00F31A99" w14:paraId="69E02940"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La subpartida 10103 Alquiler de Equipo de Cómputo tuvo un crecimiento de ¢21.381.764 y la 50105 Equipo de Cómputo un decrecimiento de ¢274.763.374, lo que en términos absolutos presenta una disminución total de ¢253.381.610 y en términos relativos es un -5,65%. En cuanto a la distribución porcentual del total de los recursos formulados en estas subpartidas para el 2022, un 61% corresponde a la compra de equipo de cómputo, mientras que el restante 39% corresponde al alquiler de equipo de cómputo.</w:t>
      </w:r>
    </w:p>
    <w:p w:rsidRPr="00F31A99" w:rsidR="00F31A99" w:rsidP="00F31A99" w:rsidRDefault="00F31A99" w14:paraId="579B7D47"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0321E9DC"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A continuación, se analiza el comportamiento individual de cada una de estas subpartidas presupuestarias.</w:t>
      </w:r>
    </w:p>
    <w:p w:rsidRPr="00F31A99" w:rsidR="00F31A99" w:rsidP="00F31A99" w:rsidRDefault="00F31A99" w14:paraId="471540F6"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156A055F" w14:textId="77777777">
      <w:pPr>
        <w:widowControl w:val="0"/>
        <w:autoSpaceDN w:val="0"/>
        <w:ind w:left="851" w:right="851" w:firstLine="709"/>
        <w:jc w:val="both"/>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1.1 Subpartida 10103 Alquiler de Equipo de Cómputo</w:t>
      </w:r>
    </w:p>
    <w:p w:rsidRPr="00F31A99" w:rsidR="00F31A99" w:rsidP="00F31A99" w:rsidRDefault="00F31A99" w14:paraId="1F5CDC7D" w14:textId="77777777">
      <w:pPr>
        <w:widowControl w:val="0"/>
        <w:autoSpaceDN w:val="0"/>
        <w:ind w:left="851" w:right="851" w:firstLine="709"/>
        <w:jc w:val="both"/>
        <w:rPr>
          <w:rFonts w:ascii="Times New Roman" w:hAnsi="Times New Roman" w:eastAsia="Calibri" w:cs="Times New Roman"/>
          <w:bCs/>
          <w:sz w:val="24"/>
          <w:u w:color="000000"/>
        </w:rPr>
      </w:pPr>
    </w:p>
    <w:p w:rsidRPr="00F31A99" w:rsidR="00F31A99" w:rsidP="00F31A99" w:rsidRDefault="00F31A99" w14:paraId="48836C1F"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Los recursos formulados en esta subpartida se utilizan para el pago de los contratos relacionados con el alquiler de computadoras. En el 2022 solamente se contempla la generación automática de un contrato, el N°054118 por ¢1.369.965.298, con fecha de vencimiento al 18 de octubre del 2022. Adicionalmente, la Dirección de Tecnología de la Información incluyó en el Área de Informática ¢285.485.357 para atender el faltante de los meses por el vencimiento de dicho contrato. Esto se específica en la directriz presupuestaria N°112: </w:t>
      </w:r>
    </w:p>
    <w:p w:rsidRPr="00F31A99" w:rsidR="00F31A99" w:rsidP="00F31A99" w:rsidRDefault="00F31A99" w14:paraId="74D7AA64"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10B0A2F6"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“En cuanto al alquiler de equipo de cómputo los recursos del contrato N°054118 “Arrendamiento de Microcomputadoras”, se generarán automáticamente en las oficinas hasta el 18/10/2022, la Dirección de Tecnología de la Información como administrador del contrato, incluirá en el presupuesto 2022 la estimación del faltante para completar el año. Las oficinas no pueden incluir líneas adicionales a las generadas automáticamente (tiene contrato) debido a que el artículo se inactivará.”</w:t>
      </w:r>
    </w:p>
    <w:p w:rsidRPr="00F31A99" w:rsidR="00F31A99" w:rsidP="00F31A99" w:rsidRDefault="00F31A99" w14:paraId="636868BE"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378735C3"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Se considera un incremento de ¢21.381.764 (1,31%), ya que al ser un contrato nuevo el costo de las computadoras es más alto.</w:t>
      </w:r>
    </w:p>
    <w:p w:rsidRPr="00F31A99" w:rsidR="00F31A99" w:rsidP="00F31A99" w:rsidRDefault="00F31A99" w14:paraId="59265387"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2E5F4C25"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Cabe agregar que los recursos correspondientes al alquiler de equipo de cómputo se formulan en cada una de las oficinas, lo que se incluye en el Área de Informática es la diferencia por el incremento del nuevo contrato, esto por cuanto el costo del alquiler va disminuyendo conforme el contrato avanza, entonces el contrato viejo tiene un costo menor por equipo, que el nuevo contrato. </w:t>
      </w:r>
    </w:p>
    <w:p w:rsidRPr="00F31A99" w:rsidR="00F31A99" w:rsidP="00F31A99" w:rsidRDefault="00F31A99" w14:paraId="18F8E2B6" w14:textId="77777777">
      <w:pPr>
        <w:widowControl w:val="0"/>
        <w:autoSpaceDN w:val="0"/>
        <w:jc w:val="both"/>
        <w:rPr>
          <w:rFonts w:ascii="Times New Roman" w:hAnsi="Times New Roman" w:eastAsia="Calibri" w:cs="Times New Roman"/>
          <w:bCs/>
          <w:sz w:val="24"/>
          <w:u w:color="000000"/>
        </w:rPr>
      </w:pPr>
    </w:p>
    <w:p w:rsidRPr="00F31A99" w:rsidR="00F31A99" w:rsidP="00F31A99" w:rsidRDefault="00F31A99" w14:paraId="1F1E2D98" w14:textId="77777777">
      <w:pPr>
        <w:widowControl w:val="0"/>
        <w:autoSpaceDN w:val="0"/>
        <w:ind w:left="851" w:right="851" w:firstLine="709"/>
        <w:jc w:val="both"/>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1.1.2 Comportamiento Histórico de la Subpartida</w:t>
      </w:r>
    </w:p>
    <w:p w:rsidRPr="00F31A99" w:rsidR="00F31A99" w:rsidP="00F31A99" w:rsidRDefault="00F31A99" w14:paraId="63C7F303" w14:textId="77777777">
      <w:pPr>
        <w:widowControl w:val="0"/>
        <w:autoSpaceDN w:val="0"/>
        <w:ind w:left="851" w:right="851" w:hanging="1418"/>
        <w:jc w:val="center"/>
        <w:rPr>
          <w:rFonts w:ascii="Times New Roman" w:hAnsi="Times New Roman" w:eastAsia="Times New Roman" w:cs="Times New Roman"/>
          <w:b/>
          <w:bCs/>
          <w:sz w:val="26"/>
          <w:szCs w:val="26"/>
          <w:u w:color="000000"/>
        </w:rPr>
      </w:pPr>
    </w:p>
    <w:p w:rsidRPr="00F31A99" w:rsidR="00F31A99" w:rsidP="00F31A99" w:rsidRDefault="00F31A99" w14:paraId="08C2AF48"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Cuadro N°2</w:t>
      </w:r>
    </w:p>
    <w:p w:rsidRPr="00F31A99" w:rsidR="00F31A99" w:rsidP="00F31A99" w:rsidRDefault="00F31A99" w14:paraId="2FCB13EE"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Subpartida 10103 Alquiler de Equipo de Cómputo</w:t>
      </w:r>
    </w:p>
    <w:p w:rsidRPr="00F31A99" w:rsidR="00F31A99" w:rsidP="00F31A99" w:rsidRDefault="00F31A99" w14:paraId="1CC862D6"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Detalle del Comportamiento Histórico Períodos 2018-2022</w:t>
      </w:r>
    </w:p>
    <w:p w:rsidRPr="00F31A99" w:rsidR="00F31A99" w:rsidP="00F31A99" w:rsidRDefault="00F31A99" w14:paraId="4E846942" w14:textId="77777777">
      <w:pPr>
        <w:widowControl w:val="0"/>
        <w:autoSpaceDN w:val="0"/>
        <w:jc w:val="center"/>
        <w:rPr>
          <w:rFonts w:ascii="Times New Roman" w:hAnsi="Times New Roman" w:eastAsia="Times New Roman" w:cs="Times New Roman"/>
          <w:b/>
          <w:bCs/>
          <w:sz w:val="24"/>
          <w:szCs w:val="24"/>
          <w:u w:color="000000"/>
        </w:rPr>
      </w:pPr>
    </w:p>
    <w:tbl>
      <w:tblPr>
        <w:tblpPr w:leftFromText="141" w:rightFromText="141" w:vertAnchor="text" w:horzAnchor="margin" w:tblpXSpec="center" w:tblpY="60"/>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268"/>
        <w:gridCol w:w="1538"/>
        <w:gridCol w:w="1439"/>
        <w:gridCol w:w="1561"/>
        <w:gridCol w:w="1418"/>
        <w:gridCol w:w="1607"/>
      </w:tblGrid>
      <w:tr w:rsidRPr="00F31A99" w:rsidR="00AE1B2B" w:rsidTr="00A306B2" w14:paraId="0262C8B3" w14:textId="77777777">
        <w:trPr>
          <w:trHeight w:val="330"/>
        </w:trPr>
        <w:tc>
          <w:tcPr>
            <w:tcW w:w="1270" w:type="dxa"/>
            <w:shd w:val="clear" w:color="000000" w:fill="FFFFFF"/>
            <w:noWrap/>
            <w:vAlign w:val="center"/>
            <w:hideMark/>
          </w:tcPr>
          <w:p w:rsidRPr="00F31A99" w:rsidR="00F31A99" w:rsidP="00F31A99" w:rsidRDefault="00F31A99" w14:paraId="48C6E7B0"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w:t>
            </w:r>
          </w:p>
        </w:tc>
        <w:tc>
          <w:tcPr>
            <w:tcW w:w="1539" w:type="dxa"/>
            <w:shd w:val="clear" w:color="000000" w:fill="F2F2F2"/>
            <w:noWrap/>
            <w:vAlign w:val="center"/>
            <w:hideMark/>
          </w:tcPr>
          <w:p w:rsidRPr="00F31A99" w:rsidR="00F31A99" w:rsidP="00F31A99" w:rsidRDefault="00F31A99" w14:paraId="11B31532"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2018</w:t>
            </w:r>
          </w:p>
        </w:tc>
        <w:tc>
          <w:tcPr>
            <w:tcW w:w="1440" w:type="dxa"/>
            <w:shd w:val="clear" w:color="000000" w:fill="F2F2F2"/>
            <w:noWrap/>
            <w:vAlign w:val="center"/>
            <w:hideMark/>
          </w:tcPr>
          <w:p w:rsidRPr="00F31A99" w:rsidR="00F31A99" w:rsidP="00F31A99" w:rsidRDefault="00F31A99" w14:paraId="1E40D2DE"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2019</w:t>
            </w:r>
          </w:p>
        </w:tc>
        <w:tc>
          <w:tcPr>
            <w:tcW w:w="1562" w:type="dxa"/>
            <w:shd w:val="clear" w:color="000000" w:fill="F2F2F2"/>
            <w:noWrap/>
            <w:vAlign w:val="center"/>
            <w:hideMark/>
          </w:tcPr>
          <w:p w:rsidRPr="00F31A99" w:rsidR="00F31A99" w:rsidP="00F31A99" w:rsidRDefault="00F31A99" w14:paraId="37E64EDD"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2020</w:t>
            </w:r>
          </w:p>
        </w:tc>
        <w:tc>
          <w:tcPr>
            <w:tcW w:w="1419" w:type="dxa"/>
            <w:shd w:val="clear" w:color="000000" w:fill="F2F2F2"/>
            <w:noWrap/>
            <w:vAlign w:val="center"/>
            <w:hideMark/>
          </w:tcPr>
          <w:p w:rsidRPr="00F31A99" w:rsidR="00F31A99" w:rsidP="00F31A99" w:rsidRDefault="00F31A99" w14:paraId="196C4150"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2021</w:t>
            </w:r>
          </w:p>
        </w:tc>
        <w:tc>
          <w:tcPr>
            <w:tcW w:w="1608" w:type="dxa"/>
            <w:shd w:val="clear" w:color="000000" w:fill="F2F2F2"/>
            <w:noWrap/>
            <w:vAlign w:val="center"/>
            <w:hideMark/>
          </w:tcPr>
          <w:p w:rsidRPr="00F31A99" w:rsidR="00F31A99" w:rsidP="00F31A99" w:rsidRDefault="00F31A99" w14:paraId="69126969"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2022</w:t>
            </w:r>
          </w:p>
        </w:tc>
      </w:tr>
      <w:tr w:rsidRPr="00F31A99" w:rsidR="00AE1B2B" w:rsidTr="00A306B2" w14:paraId="78D42B49" w14:textId="77777777">
        <w:trPr>
          <w:trHeight w:val="330"/>
        </w:trPr>
        <w:tc>
          <w:tcPr>
            <w:tcW w:w="1270" w:type="dxa"/>
            <w:shd w:val="clear" w:color="000000" w:fill="F2F2F2"/>
            <w:noWrap/>
            <w:vAlign w:val="center"/>
            <w:hideMark/>
          </w:tcPr>
          <w:p w:rsidRPr="00F31A99" w:rsidR="00F31A99" w:rsidP="00F31A99" w:rsidRDefault="00F31A99" w14:paraId="22BA2F8E"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Monto formulado</w:t>
            </w:r>
          </w:p>
        </w:tc>
        <w:tc>
          <w:tcPr>
            <w:tcW w:w="1539" w:type="dxa"/>
            <w:shd w:val="clear" w:color="000000" w:fill="FFFFFF"/>
            <w:noWrap/>
            <w:vAlign w:val="center"/>
            <w:hideMark/>
          </w:tcPr>
          <w:p w:rsidRPr="00F31A99" w:rsidR="00F31A99" w:rsidP="00F31A99" w:rsidRDefault="00F31A99" w14:paraId="5BBF1ABA"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2.432.732.682</w:t>
            </w:r>
          </w:p>
        </w:tc>
        <w:tc>
          <w:tcPr>
            <w:tcW w:w="1440" w:type="dxa"/>
            <w:shd w:val="clear" w:color="000000" w:fill="FFFFFF"/>
            <w:noWrap/>
            <w:vAlign w:val="center"/>
            <w:hideMark/>
          </w:tcPr>
          <w:p w:rsidRPr="00F31A99" w:rsidR="00F31A99" w:rsidP="00F31A99" w:rsidRDefault="00F31A99" w14:paraId="4D712EA1"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2.027.094.851</w:t>
            </w:r>
          </w:p>
        </w:tc>
        <w:tc>
          <w:tcPr>
            <w:tcW w:w="1562" w:type="dxa"/>
            <w:shd w:val="clear" w:color="000000" w:fill="FFFFFF"/>
            <w:noWrap/>
            <w:vAlign w:val="center"/>
            <w:hideMark/>
          </w:tcPr>
          <w:p w:rsidRPr="00F31A99" w:rsidR="00F31A99" w:rsidP="00F31A99" w:rsidRDefault="00F31A99" w14:paraId="0A16C742"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1.801.100.453 </w:t>
            </w:r>
          </w:p>
        </w:tc>
        <w:tc>
          <w:tcPr>
            <w:tcW w:w="1419" w:type="dxa"/>
            <w:shd w:val="clear" w:color="000000" w:fill="FFFFFF"/>
            <w:noWrap/>
            <w:vAlign w:val="center"/>
            <w:hideMark/>
          </w:tcPr>
          <w:p w:rsidRPr="00F31A99" w:rsidR="00F31A99" w:rsidP="00F31A99" w:rsidRDefault="00F31A99" w14:paraId="26E6F09E"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1.634.068.891</w:t>
            </w:r>
          </w:p>
        </w:tc>
        <w:tc>
          <w:tcPr>
            <w:tcW w:w="1608" w:type="dxa"/>
            <w:shd w:val="clear" w:color="000000" w:fill="FFFFFF"/>
            <w:noWrap/>
            <w:vAlign w:val="center"/>
            <w:hideMark/>
          </w:tcPr>
          <w:p w:rsidRPr="00F31A99" w:rsidR="00F31A99" w:rsidP="00F31A99" w:rsidRDefault="00F31A99" w14:paraId="04A99560"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1.655.450.655</w:t>
            </w:r>
          </w:p>
        </w:tc>
      </w:tr>
      <w:tr w:rsidRPr="00F31A99" w:rsidR="00AE1B2B" w:rsidTr="00A306B2" w14:paraId="719BB763" w14:textId="77777777">
        <w:trPr>
          <w:trHeight w:val="330"/>
        </w:trPr>
        <w:tc>
          <w:tcPr>
            <w:tcW w:w="1270" w:type="dxa"/>
            <w:shd w:val="clear" w:color="000000" w:fill="F2F2F2"/>
            <w:noWrap/>
            <w:vAlign w:val="center"/>
            <w:hideMark/>
          </w:tcPr>
          <w:p w:rsidRPr="00F31A99" w:rsidR="00F31A99" w:rsidP="00F31A99" w:rsidRDefault="00F31A99" w14:paraId="7E8D7E2F"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Variación</w:t>
            </w:r>
          </w:p>
        </w:tc>
        <w:tc>
          <w:tcPr>
            <w:tcW w:w="1539" w:type="dxa"/>
            <w:shd w:val="clear" w:color="000000" w:fill="FFFFFF"/>
            <w:noWrap/>
            <w:vAlign w:val="center"/>
            <w:hideMark/>
          </w:tcPr>
          <w:p w:rsidRPr="00F31A99" w:rsidR="00F31A99" w:rsidP="00F31A99" w:rsidRDefault="00F31A99" w14:paraId="152EDC38"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w:t>
            </w:r>
          </w:p>
        </w:tc>
        <w:tc>
          <w:tcPr>
            <w:tcW w:w="1440" w:type="dxa"/>
            <w:shd w:val="clear" w:color="000000" w:fill="FFFFFF"/>
            <w:noWrap/>
            <w:vAlign w:val="center"/>
            <w:hideMark/>
          </w:tcPr>
          <w:p w:rsidRPr="00F31A99" w:rsidR="00F31A99" w:rsidP="00F31A99" w:rsidRDefault="00F31A99" w14:paraId="41C30FA9"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16,67%</w:t>
            </w:r>
          </w:p>
        </w:tc>
        <w:tc>
          <w:tcPr>
            <w:tcW w:w="1562" w:type="dxa"/>
            <w:shd w:val="clear" w:color="000000" w:fill="FFFFFF"/>
            <w:noWrap/>
            <w:vAlign w:val="center"/>
            <w:hideMark/>
          </w:tcPr>
          <w:p w:rsidRPr="00F31A99" w:rsidR="00F31A99" w:rsidP="00F31A99" w:rsidRDefault="00F31A99" w14:paraId="733C8C86"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-11,15%</w:t>
            </w:r>
          </w:p>
        </w:tc>
        <w:tc>
          <w:tcPr>
            <w:tcW w:w="1419" w:type="dxa"/>
            <w:shd w:val="clear" w:color="000000" w:fill="FFFFFF"/>
            <w:noWrap/>
            <w:vAlign w:val="center"/>
            <w:hideMark/>
          </w:tcPr>
          <w:p w:rsidRPr="00F31A99" w:rsidR="00F31A99" w:rsidP="00F31A99" w:rsidRDefault="00F31A99" w14:paraId="74E7F17B"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-9,27%</w:t>
            </w:r>
          </w:p>
        </w:tc>
        <w:tc>
          <w:tcPr>
            <w:tcW w:w="1608" w:type="dxa"/>
            <w:shd w:val="clear" w:color="000000" w:fill="FFFFFF"/>
            <w:noWrap/>
            <w:vAlign w:val="center"/>
            <w:hideMark/>
          </w:tcPr>
          <w:p w:rsidRPr="00F31A99" w:rsidR="00F31A99" w:rsidP="00F31A99" w:rsidRDefault="00F31A99" w14:paraId="0127DED1"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1,31%</w:t>
            </w:r>
          </w:p>
        </w:tc>
      </w:tr>
    </w:tbl>
    <w:p w:rsidRPr="00F31A99" w:rsidR="00F31A99" w:rsidP="00F31A99" w:rsidRDefault="00F31A99" w14:paraId="7DD74B65" w14:textId="77777777">
      <w:pPr>
        <w:widowControl w:val="0"/>
        <w:autoSpaceDN w:val="0"/>
        <w:rPr>
          <w:rFonts w:ascii="Times New Roman" w:hAnsi="Times New Roman" w:eastAsia="Calibri" w:cs="Times New Roman"/>
          <w:b/>
          <w:u w:color="000000"/>
        </w:rPr>
      </w:pPr>
    </w:p>
    <w:p w:rsidRPr="00F31A99" w:rsidR="00F31A99" w:rsidP="00F31A99" w:rsidRDefault="00F31A99" w14:paraId="477465CA" w14:textId="77777777">
      <w:pPr>
        <w:widowControl w:val="0"/>
        <w:autoSpaceDN w:val="0"/>
        <w:ind w:firstLine="851"/>
        <w:rPr>
          <w:rFonts w:ascii="Times New Roman" w:hAnsi="Times New Roman" w:eastAsia="Calibri" w:cs="Times New Roman"/>
          <w:bCs/>
          <w:sz w:val="16"/>
          <w:szCs w:val="16"/>
          <w:u w:color="000000"/>
        </w:rPr>
      </w:pPr>
      <w:r w:rsidRPr="00F31A99">
        <w:rPr>
          <w:rFonts w:ascii="Times New Roman" w:hAnsi="Times New Roman" w:eastAsia="Calibri" w:cs="Times New Roman"/>
          <w:b/>
          <w:sz w:val="16"/>
          <w:szCs w:val="16"/>
          <w:u w:color="000000"/>
        </w:rPr>
        <w:t>Fuente:</w:t>
      </w:r>
      <w:r w:rsidRPr="00F31A99">
        <w:rPr>
          <w:rFonts w:ascii="Times New Roman" w:hAnsi="Times New Roman" w:eastAsia="Calibri" w:cs="Times New Roman"/>
          <w:bCs/>
          <w:sz w:val="16"/>
          <w:szCs w:val="16"/>
          <w:u w:color="000000"/>
        </w:rPr>
        <w:t xml:space="preserve"> Sistema SIGA-PJ</w:t>
      </w:r>
    </w:p>
    <w:p w:rsidRPr="00F31A99" w:rsidR="00F31A99" w:rsidP="00F31A99" w:rsidRDefault="00F31A99" w14:paraId="5771D936" w14:textId="77777777">
      <w:pPr>
        <w:widowControl w:val="0"/>
        <w:autoSpaceDN w:val="0"/>
        <w:rPr>
          <w:rFonts w:ascii="Times New Roman" w:hAnsi="Times New Roman" w:eastAsia="Calibri" w:cs="Times New Roman"/>
          <w:u w:color="000000"/>
        </w:rPr>
      </w:pPr>
    </w:p>
    <w:p w:rsidRPr="00F31A99" w:rsidR="00F31A99" w:rsidP="00F31A99" w:rsidRDefault="00F31A99" w14:paraId="45A6DCDC"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Durante los últimos periodos presupuestarios la subpartida ha estado disminuyendo, esto debido a que en 2019 el Consejo Superior en la sesión extraordinaria N°23-19 del 14 de marzo, conoció el oficio N°719-DTI-2019 con un informe que determinaba como alternativa más conveniente la compra de equipo de cómputo en lugar del alquiler, aprobando fortalecer la adquisición de computadoras y su consecuente disminución en cuanto al alquiler.</w:t>
      </w:r>
    </w:p>
    <w:p w:rsidRPr="00F31A99" w:rsidR="00F31A99" w:rsidP="00F31A99" w:rsidRDefault="00F31A99" w14:paraId="2D73C182"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4CD36D0C"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En El anteproyecto de presupuesto del 2022 se mantiene la formulación para el contrato de alquiler de equipo de cómputo con 6.040 equipos en las mismas condiciones, es decir, 1.703 computadoras portátiles y 4.337 computadoras de escritorio.</w:t>
      </w:r>
    </w:p>
    <w:p w:rsidRPr="00F31A99" w:rsidR="00F31A99" w:rsidP="00F31A99" w:rsidRDefault="00F31A99" w14:paraId="660B3083" w14:textId="77777777">
      <w:pPr>
        <w:widowControl w:val="0"/>
        <w:autoSpaceDN w:val="0"/>
        <w:jc w:val="both"/>
        <w:rPr>
          <w:rFonts w:ascii="Times New Roman" w:hAnsi="Times New Roman" w:eastAsia="Calibri" w:cs="Times New Roman"/>
          <w:sz w:val="24"/>
          <w:szCs w:val="24"/>
          <w:u w:color="000000"/>
        </w:rPr>
      </w:pPr>
    </w:p>
    <w:p w:rsidRPr="00F31A99" w:rsidR="00F31A99" w:rsidP="00F31A99" w:rsidRDefault="00F31A99" w14:paraId="5650F28C"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En el siguiente gráfico se muestran los montos formulados y ejecutados en la subpartida 10103 Alquiler de Equipo de Cómputo para los años 2018-2022.</w:t>
      </w:r>
    </w:p>
    <w:p w:rsidRPr="00F31A99" w:rsidR="00F31A99" w:rsidP="00F31A99" w:rsidRDefault="00F31A99" w14:paraId="7A75C058" w14:textId="77777777">
      <w:pPr>
        <w:widowControl w:val="0"/>
        <w:autoSpaceDN w:val="0"/>
        <w:jc w:val="center"/>
        <w:rPr>
          <w:rFonts w:ascii="Times New Roman" w:hAnsi="Times New Roman" w:eastAsia="Times New Roman" w:cs="Times New Roman"/>
          <w:b/>
          <w:bCs/>
          <w:sz w:val="24"/>
          <w:szCs w:val="24"/>
          <w:u w:color="000000"/>
        </w:rPr>
      </w:pPr>
    </w:p>
    <w:p w:rsidRPr="00F31A99" w:rsidR="00F31A99" w:rsidP="00F31A99" w:rsidRDefault="00F31A99" w14:paraId="1260E7DB" w14:textId="77777777">
      <w:pPr>
        <w:widowControl w:val="0"/>
        <w:autoSpaceDN w:val="0"/>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Gráfico N°1</w:t>
      </w:r>
    </w:p>
    <w:p w:rsidRPr="00F31A99" w:rsidR="00F31A99" w:rsidP="00F31A99" w:rsidRDefault="00F31A99" w14:paraId="2AAB8803" w14:textId="77777777">
      <w:pPr>
        <w:widowControl w:val="0"/>
        <w:autoSpaceDN w:val="0"/>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Subpartida 10103 Alquiler de Equipo de Cómputo</w:t>
      </w:r>
    </w:p>
    <w:p w:rsidRPr="00F31A99" w:rsidR="00F31A99" w:rsidP="00F31A99" w:rsidRDefault="00F31A99" w14:paraId="118DB18F" w14:textId="77777777">
      <w:pPr>
        <w:widowControl w:val="0"/>
        <w:autoSpaceDN w:val="0"/>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Formulación y Ejecución Períodos 2018-2022</w:t>
      </w:r>
    </w:p>
    <w:p w:rsidRPr="00F31A99" w:rsidR="00F31A99" w:rsidP="00F31A99" w:rsidRDefault="00F31A99" w14:paraId="03E185F5" w14:textId="77777777">
      <w:pPr>
        <w:widowControl w:val="0"/>
        <w:autoSpaceDN w:val="0"/>
        <w:jc w:val="center"/>
        <w:rPr>
          <w:rFonts w:ascii="Times New Roman" w:hAnsi="Times New Roman" w:eastAsia="Times New Roman" w:cs="Times New Roman"/>
          <w:b/>
          <w:bCs/>
          <w:sz w:val="26"/>
          <w:szCs w:val="26"/>
          <w:u w:color="000000"/>
        </w:rPr>
      </w:pPr>
    </w:p>
    <w:p w:rsidRPr="00F31A99" w:rsidR="00F31A99" w:rsidP="00F31A99" w:rsidRDefault="00F31A99" w14:paraId="7DDCB4A8" w14:textId="77777777">
      <w:pPr>
        <w:widowControl w:val="0"/>
        <w:autoSpaceDN w:val="0"/>
        <w:jc w:val="center"/>
        <w:rPr>
          <w:rFonts w:ascii="Times New Roman" w:hAnsi="Times New Roman" w:eastAsia="Calibri" w:cs="Times New Roman"/>
          <w:u w:color="000000"/>
        </w:rPr>
      </w:pPr>
      <w:r w:rsidRPr="00F31A99">
        <w:rPr>
          <w:rFonts w:ascii="Times New Roman" w:hAnsi="Times New Roman" w:eastAsia="Calibri" w:cs="Times New Roman"/>
          <w:noProof/>
          <w:u w:color="000000"/>
          <w:lang w:eastAsia="es-MX"/>
        </w:rPr>
        <w:drawing>
          <wp:inline distT="0" distB="0" distL="0" distR="0" wp14:anchorId="5E834249" wp14:editId="6C92D750">
            <wp:extent cx="4858170" cy="2813050"/>
            <wp:effectExtent l="0" t="0" r="0" b="635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08580" cy="2842239"/>
                    </a:xfrm>
                    <a:prstGeom prst="rect">
                      <a:avLst/>
                    </a:prstGeom>
                    <a:noFill/>
                    <a:ln>
                      <a:noFill/>
                    </a:ln>
                  </pic:spPr>
                </pic:pic>
              </a:graphicData>
            </a:graphic>
          </wp:inline>
        </w:drawing>
      </w:r>
    </w:p>
    <w:p w:rsidRPr="00F31A99" w:rsidR="00F31A99" w:rsidP="00F31A99" w:rsidRDefault="00F31A99" w14:paraId="170B9B20" w14:textId="77777777">
      <w:pPr>
        <w:widowControl w:val="0"/>
        <w:autoSpaceDN w:val="0"/>
        <w:ind w:firstLine="708"/>
        <w:jc w:val="both"/>
        <w:rPr>
          <w:rFonts w:ascii="Times New Roman" w:hAnsi="Times New Roman" w:eastAsia="Calibri" w:cs="Times New Roman"/>
          <w:bCs/>
          <w:sz w:val="16"/>
          <w:szCs w:val="16"/>
          <w:u w:color="000000"/>
        </w:rPr>
      </w:pPr>
      <w:r w:rsidRPr="00F31A99">
        <w:rPr>
          <w:rFonts w:ascii="Times New Roman" w:hAnsi="Times New Roman" w:eastAsia="Calibri" w:cs="Times New Roman"/>
          <w:b/>
          <w:sz w:val="16"/>
          <w:szCs w:val="16"/>
          <w:u w:color="000000"/>
        </w:rPr>
        <w:t>Fuente:</w:t>
      </w:r>
      <w:r w:rsidRPr="00F31A99">
        <w:rPr>
          <w:rFonts w:ascii="Times New Roman" w:hAnsi="Times New Roman" w:eastAsia="Calibri" w:cs="Times New Roman"/>
          <w:bCs/>
          <w:sz w:val="16"/>
          <w:szCs w:val="16"/>
          <w:u w:color="000000"/>
        </w:rPr>
        <w:t xml:space="preserve"> Sistema SIGA-PJ</w:t>
      </w:r>
    </w:p>
    <w:p w:rsidRPr="00F31A99" w:rsidR="00F31A99" w:rsidP="00F31A99" w:rsidRDefault="00F31A99" w14:paraId="334AEB79" w14:textId="77777777">
      <w:pPr>
        <w:widowControl w:val="0"/>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5C385A6C"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Se observa que durante el 2018 y 2019 la ejecución fue menor a la formulación presupuestaria; sin embargo, en el 2020 más bien la subpartida presupuestaria fue reforzada con ¢232.701.890 siendo su ejecución mayor al monto formulado. </w:t>
      </w:r>
    </w:p>
    <w:p w:rsidRPr="00F31A99" w:rsidR="00F31A99" w:rsidP="00F31A99" w:rsidRDefault="00F31A99" w14:paraId="78F1B66D" w14:textId="77777777">
      <w:pPr>
        <w:widowControl w:val="0"/>
        <w:autoSpaceDN w:val="0"/>
        <w:jc w:val="both"/>
        <w:rPr>
          <w:rFonts w:ascii="Times New Roman" w:hAnsi="Times New Roman" w:eastAsia="Calibri" w:cs="Times New Roman"/>
          <w:sz w:val="24"/>
          <w:szCs w:val="24"/>
          <w:u w:color="000000"/>
        </w:rPr>
      </w:pPr>
    </w:p>
    <w:p w:rsidRPr="00F31A99" w:rsidR="00F31A99" w:rsidP="00F31A99" w:rsidRDefault="00F31A99" w14:paraId="6BF06197" w14:textId="77777777">
      <w:pPr>
        <w:widowControl w:val="0"/>
        <w:autoSpaceDN w:val="0"/>
        <w:ind w:left="851" w:right="851" w:firstLine="709"/>
        <w:jc w:val="both"/>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1.1.3 Análisis de la Ejecución Presupuestaria de la Subpartida</w:t>
      </w:r>
    </w:p>
    <w:p w:rsidRPr="00F31A99" w:rsidR="00F31A99" w:rsidP="00F31A99" w:rsidRDefault="00F31A99" w14:paraId="7FDCD091" w14:textId="77777777">
      <w:pPr>
        <w:widowControl w:val="0"/>
        <w:autoSpaceDN w:val="0"/>
        <w:jc w:val="both"/>
        <w:rPr>
          <w:rFonts w:ascii="Times New Roman" w:hAnsi="Times New Roman" w:eastAsia="Calibri" w:cs="Times New Roman"/>
          <w:u w:color="000000"/>
        </w:rPr>
      </w:pPr>
    </w:p>
    <w:p w:rsidRPr="00F31A99" w:rsidR="00F31A99" w:rsidP="00F31A99" w:rsidRDefault="00F31A99" w14:paraId="553A4E79"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El siguiente cuadro resumen el comportamiento de la </w:t>
      </w:r>
      <w:r w:rsidRPr="00F31A99">
        <w:rPr>
          <w:rFonts w:ascii="Times New Roman" w:hAnsi="Times New Roman" w:eastAsia="Calibri" w:cs="Times New Roman"/>
          <w:sz w:val="26"/>
          <w:szCs w:val="26"/>
          <w:u w:color="000000"/>
        </w:rPr>
        <w:lastRenderedPageBreak/>
        <w:t>ejecución presupuestaria respecto a lo formulado.</w:t>
      </w:r>
    </w:p>
    <w:p w:rsidRPr="00F31A99" w:rsidR="00F31A99" w:rsidP="00F31A99" w:rsidRDefault="00F31A99" w14:paraId="38E16547"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39F72F28"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Cuadro N°3</w:t>
      </w:r>
    </w:p>
    <w:p w:rsidRPr="00F31A99" w:rsidR="00F31A99" w:rsidP="00F31A99" w:rsidRDefault="00F31A99" w14:paraId="5AD8ED9E"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Subpartida 10103 Alquiler de Equipo de Cómputo</w:t>
      </w:r>
    </w:p>
    <w:p w:rsidRPr="00F31A99" w:rsidR="00F31A99" w:rsidP="00F31A99" w:rsidRDefault="00F31A99" w14:paraId="4F20A94E"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Ejecución Presupuestaria Períodos 2018-2020</w:t>
      </w:r>
    </w:p>
    <w:p w:rsidRPr="00F31A99" w:rsidR="00F31A99" w:rsidP="00F31A99" w:rsidRDefault="00F31A99" w14:paraId="330BE62F" w14:textId="77777777">
      <w:pPr>
        <w:widowControl w:val="0"/>
        <w:autoSpaceDN w:val="0"/>
        <w:ind w:left="851" w:right="851"/>
        <w:jc w:val="center"/>
        <w:rPr>
          <w:rFonts w:ascii="Times New Roman" w:hAnsi="Times New Roman" w:eastAsia="Times New Roman" w:cs="Times New Roman"/>
          <w:b/>
          <w:bCs/>
          <w:sz w:val="26"/>
          <w:szCs w:val="26"/>
          <w:u w:color="000000"/>
        </w:rPr>
      </w:pPr>
    </w:p>
    <w:p w:rsidRPr="00F31A99" w:rsidR="00F31A99" w:rsidP="00F31A99" w:rsidRDefault="00F31A99" w14:paraId="6A8A7289" w14:textId="77777777">
      <w:pPr>
        <w:widowControl w:val="0"/>
        <w:autoSpaceDN w:val="0"/>
        <w:jc w:val="center"/>
        <w:rPr>
          <w:rFonts w:ascii="Times New Roman" w:hAnsi="Times New Roman" w:eastAsia="Calibri" w:cs="Times New Roman"/>
          <w:bCs/>
          <w:sz w:val="24"/>
          <w:u w:color="000000"/>
        </w:rPr>
      </w:pPr>
      <w:r w:rsidRPr="00F31A99">
        <w:rPr>
          <w:rFonts w:ascii="Times New Roman" w:hAnsi="Times New Roman" w:eastAsia="Calibri" w:cs="Times New Roman"/>
          <w:noProof/>
          <w:u w:color="000000"/>
          <w:lang w:eastAsia="es-MX"/>
        </w:rPr>
        <w:drawing>
          <wp:inline distT="0" distB="0" distL="0" distR="0" wp14:anchorId="585B0E60" wp14:editId="38434B86">
            <wp:extent cx="3603171" cy="903867"/>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14335" cy="906667"/>
                    </a:xfrm>
                    <a:prstGeom prst="rect">
                      <a:avLst/>
                    </a:prstGeom>
                    <a:noFill/>
                    <a:ln>
                      <a:noFill/>
                    </a:ln>
                  </pic:spPr>
                </pic:pic>
              </a:graphicData>
            </a:graphic>
          </wp:inline>
        </w:drawing>
      </w:r>
    </w:p>
    <w:p w:rsidRPr="00F31A99" w:rsidR="00F31A99" w:rsidP="00F31A99" w:rsidRDefault="00F31A99" w14:paraId="5C58ED53" w14:textId="77777777">
      <w:pPr>
        <w:widowControl w:val="0"/>
        <w:autoSpaceDN w:val="0"/>
        <w:ind w:firstLine="708"/>
        <w:rPr>
          <w:rFonts w:ascii="Times New Roman" w:hAnsi="Times New Roman" w:eastAsia="Calibri" w:cs="Times New Roman"/>
          <w:b/>
          <w:szCs w:val="20"/>
          <w:u w:color="000000"/>
        </w:rPr>
      </w:pPr>
    </w:p>
    <w:p w:rsidRPr="00F31A99" w:rsidR="00F31A99" w:rsidP="00F31A99" w:rsidRDefault="00F31A99" w14:paraId="5A957725" w14:textId="77777777">
      <w:pPr>
        <w:widowControl w:val="0"/>
        <w:autoSpaceDN w:val="0"/>
        <w:ind w:firstLine="708"/>
        <w:rPr>
          <w:rFonts w:ascii="Times New Roman" w:hAnsi="Times New Roman" w:eastAsia="Calibri" w:cs="Times New Roman"/>
          <w:bCs/>
          <w:sz w:val="16"/>
          <w:szCs w:val="16"/>
          <w:u w:color="000000"/>
        </w:rPr>
      </w:pPr>
      <w:r w:rsidRPr="00F31A99">
        <w:rPr>
          <w:rFonts w:ascii="Times New Roman" w:hAnsi="Times New Roman" w:eastAsia="Calibri" w:cs="Times New Roman"/>
          <w:b/>
          <w:sz w:val="16"/>
          <w:szCs w:val="16"/>
          <w:u w:color="000000"/>
        </w:rPr>
        <w:t>Fuente:</w:t>
      </w:r>
      <w:r w:rsidRPr="00F31A99">
        <w:rPr>
          <w:rFonts w:ascii="Times New Roman" w:hAnsi="Times New Roman" w:eastAsia="Calibri" w:cs="Times New Roman"/>
          <w:bCs/>
          <w:sz w:val="16"/>
          <w:szCs w:val="16"/>
          <w:u w:color="000000"/>
        </w:rPr>
        <w:t xml:space="preserve"> Sistema SIGA-PJ</w:t>
      </w:r>
    </w:p>
    <w:p w:rsidRPr="00F31A99" w:rsidR="00F31A99" w:rsidP="00F31A99" w:rsidRDefault="00F31A99" w14:paraId="3308B928" w14:textId="77777777">
      <w:pPr>
        <w:widowControl w:val="0"/>
        <w:autoSpaceDN w:val="0"/>
        <w:jc w:val="both"/>
        <w:rPr>
          <w:rFonts w:ascii="Times New Roman" w:hAnsi="Times New Roman" w:eastAsia="Calibri" w:cs="Times New Roman"/>
          <w:sz w:val="24"/>
          <w:szCs w:val="24"/>
          <w:u w:color="000000"/>
        </w:rPr>
      </w:pPr>
    </w:p>
    <w:p w:rsidRPr="00F31A99" w:rsidR="00F31A99" w:rsidP="00F31A99" w:rsidRDefault="00F31A99" w14:paraId="70B410E4"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Como se indicó anteriormente, durante el 2018 y 2019 se presentan ejecuciones presupuestarias menores a los recursos formulados; sin embargo, para el 2020 la ejecución es de un 112,92%. Al respecto, se consultó a la Dirección de Tecnología de la Información y se indicó que en el 2018 hubo problemas con el cartel de la licitación y se tuvo que ceder más de ¢800 millones a otras necesidades institucionales y en el 2019 el contrato nuevo inició en mayo por lo cual, no se canceló el monto total proyectado originalmente. Para el 2020 ya estaba formalizado el contrato y se ejecutó por todo el año.</w:t>
      </w:r>
    </w:p>
    <w:p w:rsidRPr="00F31A99" w:rsidR="00F31A99" w:rsidP="00F31A99" w:rsidRDefault="00F31A99" w14:paraId="46F8E11B" w14:textId="77777777">
      <w:pPr>
        <w:widowControl w:val="0"/>
        <w:autoSpaceDN w:val="0"/>
        <w:ind w:left="851" w:firstLine="709"/>
        <w:jc w:val="both"/>
        <w:rPr>
          <w:rFonts w:ascii="Times New Roman" w:hAnsi="Times New Roman" w:eastAsia="Calibri" w:cs="Times New Roman"/>
          <w:sz w:val="24"/>
          <w:szCs w:val="24"/>
          <w:u w:color="000000"/>
        </w:rPr>
      </w:pPr>
    </w:p>
    <w:p w:rsidRPr="00F31A99" w:rsidR="00F31A99" w:rsidP="00F31A99" w:rsidRDefault="00F31A99" w14:paraId="54E0A066" w14:textId="77777777">
      <w:pPr>
        <w:widowControl w:val="0"/>
        <w:autoSpaceDN w:val="0"/>
        <w:ind w:left="851" w:right="851" w:firstLine="709"/>
        <w:jc w:val="both"/>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1.1.4 Variación por Programa Presupuestario 2021-2022</w:t>
      </w:r>
    </w:p>
    <w:p w:rsidRPr="00F31A99" w:rsidR="00F31A99" w:rsidP="00F31A99" w:rsidRDefault="00F31A99" w14:paraId="48764FDB" w14:textId="77777777">
      <w:pPr>
        <w:widowControl w:val="0"/>
        <w:autoSpaceDN w:val="0"/>
        <w:ind w:left="851" w:firstLine="709"/>
        <w:jc w:val="both"/>
        <w:rPr>
          <w:rFonts w:ascii="Times New Roman" w:hAnsi="Times New Roman" w:eastAsia="Calibri" w:cs="Times New Roman"/>
          <w:bCs/>
          <w:sz w:val="24"/>
          <w:u w:color="000000"/>
        </w:rPr>
      </w:pPr>
    </w:p>
    <w:p w:rsidRPr="00F31A99" w:rsidR="00F31A99" w:rsidP="00F31A99" w:rsidRDefault="00F31A99" w14:paraId="7DE2667D"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Con respecto a la distribución de los recursos por programa presupuestario, en el siguiente cuadro se muestra la información de la ejecución 2020, presupuesto aprobado para el 2021 y el solicitado para el 2022, con el respectivo porcentaje de variación de los últimos 2 periodos.</w:t>
      </w:r>
    </w:p>
    <w:p w:rsidRPr="00F31A99" w:rsidR="00F31A99" w:rsidP="00F31A99" w:rsidRDefault="00F31A99" w14:paraId="7182B2C2" w14:textId="77777777">
      <w:pPr>
        <w:widowControl w:val="0"/>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3E10A54D"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Cuadro N°4</w:t>
      </w:r>
    </w:p>
    <w:p w:rsidRPr="00F31A99" w:rsidR="00F31A99" w:rsidP="00F31A99" w:rsidRDefault="00F31A99" w14:paraId="1FA2594F"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Subpartida 10103 Alquiler de Equipo de Cómputo</w:t>
      </w:r>
    </w:p>
    <w:p w:rsidRPr="00F31A99" w:rsidR="00F31A99" w:rsidP="00F31A99" w:rsidRDefault="00F31A99" w14:paraId="3248F97A"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Porcentaje de Variación por Programa Presupuestario Períodos 2021-2022</w:t>
      </w:r>
    </w:p>
    <w:p w:rsidRPr="00F31A99" w:rsidR="00F31A99" w:rsidP="00F31A99" w:rsidRDefault="00F31A99" w14:paraId="349785A1" w14:textId="77777777">
      <w:pPr>
        <w:widowControl w:val="0"/>
        <w:autoSpaceDN w:val="0"/>
        <w:ind w:left="851"/>
        <w:jc w:val="center"/>
        <w:rPr>
          <w:rFonts w:ascii="Times New Roman" w:hAnsi="Times New Roman" w:eastAsia="Calibri" w:cs="Times New Roman"/>
          <w:b/>
          <w:sz w:val="24"/>
          <w:u w:color="000000"/>
        </w:rPr>
      </w:pPr>
    </w:p>
    <w:tbl>
      <w:tblPr>
        <w:tblW w:w="108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4225"/>
        <w:gridCol w:w="1405"/>
        <w:gridCol w:w="1405"/>
        <w:gridCol w:w="1518"/>
        <w:gridCol w:w="1340"/>
        <w:gridCol w:w="1220"/>
      </w:tblGrid>
      <w:tr w:rsidRPr="00F31A99" w:rsidR="00AE1B2B" w:rsidTr="00A306B2" w14:paraId="7B312AC2" w14:textId="77777777">
        <w:trPr>
          <w:trHeight w:val="330"/>
          <w:jc w:val="center"/>
        </w:trPr>
        <w:tc>
          <w:tcPr>
            <w:tcW w:w="4225" w:type="dxa"/>
            <w:shd w:val="clear" w:color="000000" w:fill="F2F2F2"/>
            <w:noWrap/>
            <w:vAlign w:val="center"/>
            <w:hideMark/>
          </w:tcPr>
          <w:p w:rsidRPr="00F31A99" w:rsidR="00F31A99" w:rsidP="00F31A99" w:rsidRDefault="00F31A99" w14:paraId="33EE2FD4"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Programa </w:t>
            </w:r>
          </w:p>
        </w:tc>
        <w:tc>
          <w:tcPr>
            <w:tcW w:w="1292" w:type="dxa"/>
            <w:shd w:val="clear" w:color="000000" w:fill="F2F2F2"/>
          </w:tcPr>
          <w:p w:rsidRPr="00F31A99" w:rsidR="00F31A99" w:rsidP="00F31A99" w:rsidRDefault="00F31A99" w14:paraId="53ADB6A6"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Ejecutado 2020</w:t>
            </w:r>
          </w:p>
        </w:tc>
        <w:tc>
          <w:tcPr>
            <w:tcW w:w="1292" w:type="dxa"/>
            <w:shd w:val="clear" w:color="000000" w:fill="F2F2F2"/>
            <w:noWrap/>
            <w:vAlign w:val="center"/>
            <w:hideMark/>
          </w:tcPr>
          <w:p w:rsidRPr="00F31A99" w:rsidR="00F31A99" w:rsidP="00F31A99" w:rsidRDefault="00F31A99" w14:paraId="4A44E7F4"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Aprobado 2021</w:t>
            </w:r>
          </w:p>
        </w:tc>
        <w:tc>
          <w:tcPr>
            <w:tcW w:w="1518" w:type="dxa"/>
            <w:shd w:val="clear" w:color="000000" w:fill="F2F2F2"/>
            <w:noWrap/>
            <w:vAlign w:val="center"/>
            <w:hideMark/>
          </w:tcPr>
          <w:p w:rsidRPr="00F31A99" w:rsidR="00F31A99" w:rsidP="00F31A99" w:rsidRDefault="00F31A99" w14:paraId="508359D3"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Formulado 2022</w:t>
            </w:r>
          </w:p>
        </w:tc>
        <w:tc>
          <w:tcPr>
            <w:tcW w:w="1340" w:type="dxa"/>
            <w:shd w:val="clear" w:color="000000" w:fill="F2F2F2"/>
            <w:noWrap/>
            <w:vAlign w:val="center"/>
            <w:hideMark/>
          </w:tcPr>
          <w:p w:rsidRPr="00F31A99" w:rsidR="00F31A99" w:rsidP="00F31A99" w:rsidRDefault="00F31A99" w14:paraId="5A19D9DA"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Diferencia </w:t>
            </w:r>
          </w:p>
        </w:tc>
        <w:tc>
          <w:tcPr>
            <w:tcW w:w="1220" w:type="dxa"/>
            <w:shd w:val="clear" w:color="000000" w:fill="F2F2F2"/>
            <w:noWrap/>
            <w:vAlign w:val="center"/>
            <w:hideMark/>
          </w:tcPr>
          <w:p w:rsidRPr="00F31A99" w:rsidR="00F31A99" w:rsidP="00F31A99" w:rsidRDefault="00F31A99" w14:paraId="2CC7771C"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Variación %</w:t>
            </w:r>
          </w:p>
        </w:tc>
      </w:tr>
      <w:tr w:rsidRPr="00F31A99" w:rsidR="00AE1B2B" w:rsidTr="00A306B2" w14:paraId="64B5888C" w14:textId="77777777">
        <w:trPr>
          <w:trHeight w:val="330"/>
          <w:jc w:val="center"/>
        </w:trPr>
        <w:tc>
          <w:tcPr>
            <w:tcW w:w="4225" w:type="dxa"/>
            <w:shd w:val="clear" w:color="000000" w:fill="FFFFFF"/>
            <w:noWrap/>
            <w:vAlign w:val="center"/>
            <w:hideMark/>
          </w:tcPr>
          <w:p w:rsidRPr="00F31A99" w:rsidR="00F31A99" w:rsidP="00F31A99" w:rsidRDefault="00F31A99" w14:paraId="28426085"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Dirección, Administración y Otros Órganos</w:t>
            </w:r>
          </w:p>
        </w:tc>
        <w:tc>
          <w:tcPr>
            <w:tcW w:w="1292" w:type="dxa"/>
            <w:shd w:val="clear" w:color="000000" w:fill="FFFFFF"/>
          </w:tcPr>
          <w:p w:rsidRPr="00F31A99" w:rsidR="00F31A99" w:rsidP="00F31A99" w:rsidRDefault="00F31A99" w14:paraId="157D9487"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783.396.970</w:t>
            </w:r>
          </w:p>
        </w:tc>
        <w:tc>
          <w:tcPr>
            <w:tcW w:w="1292" w:type="dxa"/>
            <w:shd w:val="clear" w:color="000000" w:fill="FFFFFF"/>
            <w:noWrap/>
            <w:hideMark/>
          </w:tcPr>
          <w:p w:rsidRPr="00F31A99" w:rsidR="00F31A99" w:rsidP="00F31A99" w:rsidRDefault="00F31A99" w14:paraId="0DB7BA17"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 xml:space="preserve"> 243.821.494</w:t>
            </w:r>
          </w:p>
        </w:tc>
        <w:tc>
          <w:tcPr>
            <w:tcW w:w="1518" w:type="dxa"/>
            <w:shd w:val="clear" w:color="000000" w:fill="FFFFFF"/>
            <w:noWrap/>
            <w:hideMark/>
          </w:tcPr>
          <w:p w:rsidRPr="00F31A99" w:rsidR="00F31A99" w:rsidP="00F31A99" w:rsidRDefault="00F31A99" w14:paraId="5C6ABCED"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 xml:space="preserve"> 484.906.142</w:t>
            </w:r>
          </w:p>
        </w:tc>
        <w:tc>
          <w:tcPr>
            <w:tcW w:w="1340" w:type="dxa"/>
            <w:shd w:val="clear" w:color="000000" w:fill="FFFFFF"/>
            <w:noWrap/>
            <w:hideMark/>
          </w:tcPr>
          <w:p w:rsidRPr="00F31A99" w:rsidR="00F31A99" w:rsidP="00F31A99" w:rsidRDefault="00F31A99" w14:paraId="05DEAF43"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241.084.648</w:t>
            </w:r>
          </w:p>
        </w:tc>
        <w:tc>
          <w:tcPr>
            <w:tcW w:w="1220" w:type="dxa"/>
            <w:shd w:val="clear" w:color="000000" w:fill="FFFFFF"/>
            <w:noWrap/>
            <w:hideMark/>
          </w:tcPr>
          <w:p w:rsidRPr="00F31A99" w:rsidR="00F31A99" w:rsidP="00F31A99" w:rsidRDefault="00F31A99" w14:paraId="4AF644AD"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98,88%</w:t>
            </w:r>
          </w:p>
        </w:tc>
      </w:tr>
      <w:tr w:rsidRPr="00F31A99" w:rsidR="00AE1B2B" w:rsidTr="00A306B2" w14:paraId="6403849E" w14:textId="77777777">
        <w:trPr>
          <w:trHeight w:val="330"/>
          <w:jc w:val="center"/>
        </w:trPr>
        <w:tc>
          <w:tcPr>
            <w:tcW w:w="4225" w:type="dxa"/>
            <w:shd w:val="clear" w:color="000000" w:fill="FFFFFF"/>
            <w:noWrap/>
            <w:vAlign w:val="center"/>
            <w:hideMark/>
          </w:tcPr>
          <w:p w:rsidRPr="00F31A99" w:rsidR="00F31A99" w:rsidP="00F31A99" w:rsidRDefault="00F31A99" w14:paraId="23444BB0"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lastRenderedPageBreak/>
              <w:t>Servicio Jurisdiccional</w:t>
            </w:r>
          </w:p>
        </w:tc>
        <w:tc>
          <w:tcPr>
            <w:tcW w:w="1292" w:type="dxa"/>
            <w:shd w:val="clear" w:color="000000" w:fill="FFFFFF"/>
          </w:tcPr>
          <w:p w:rsidRPr="00F31A99" w:rsidR="00F31A99" w:rsidP="00F31A99" w:rsidRDefault="00F31A99" w14:paraId="0E1856D6"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646.149.232</w:t>
            </w:r>
          </w:p>
        </w:tc>
        <w:tc>
          <w:tcPr>
            <w:tcW w:w="1292" w:type="dxa"/>
            <w:shd w:val="clear" w:color="000000" w:fill="FFFFFF"/>
            <w:noWrap/>
            <w:hideMark/>
          </w:tcPr>
          <w:p w:rsidRPr="00F31A99" w:rsidR="00F31A99" w:rsidP="00F31A99" w:rsidRDefault="00F31A99" w14:paraId="56C8168C"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 xml:space="preserve"> 643.906.515</w:t>
            </w:r>
          </w:p>
        </w:tc>
        <w:tc>
          <w:tcPr>
            <w:tcW w:w="1518" w:type="dxa"/>
            <w:shd w:val="clear" w:color="000000" w:fill="FFFFFF"/>
            <w:noWrap/>
            <w:hideMark/>
          </w:tcPr>
          <w:p w:rsidRPr="00F31A99" w:rsidR="00F31A99" w:rsidP="00F31A99" w:rsidRDefault="00F31A99" w14:paraId="5515EBA6"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 xml:space="preserve"> 545.673.100</w:t>
            </w:r>
          </w:p>
        </w:tc>
        <w:tc>
          <w:tcPr>
            <w:tcW w:w="1340" w:type="dxa"/>
            <w:shd w:val="clear" w:color="000000" w:fill="FFFFFF"/>
            <w:noWrap/>
            <w:hideMark/>
          </w:tcPr>
          <w:p w:rsidRPr="00F31A99" w:rsidR="00F31A99" w:rsidP="00F31A99" w:rsidRDefault="00F31A99" w14:paraId="44FE23A2"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 xml:space="preserve"> -98.233.415</w:t>
            </w:r>
          </w:p>
        </w:tc>
        <w:tc>
          <w:tcPr>
            <w:tcW w:w="1220" w:type="dxa"/>
            <w:shd w:val="clear" w:color="000000" w:fill="FFFFFF"/>
            <w:noWrap/>
            <w:hideMark/>
          </w:tcPr>
          <w:p w:rsidRPr="00F31A99" w:rsidR="00F31A99" w:rsidP="00F31A99" w:rsidRDefault="00F31A99" w14:paraId="64A9E001" w14:textId="77777777">
            <w:pPr>
              <w:widowControl w:val="0"/>
              <w:autoSpaceDN w:val="0"/>
              <w:jc w:val="center"/>
              <w:rPr>
                <w:rFonts w:ascii="Times New Roman" w:hAnsi="Times New Roman" w:eastAsia="Calibri" w:cs="Times New Roman"/>
                <w:u w:color="000000"/>
              </w:rPr>
            </w:pPr>
            <w:r w:rsidRPr="00F31A99">
              <w:rPr>
                <w:rFonts w:ascii="Times New Roman" w:hAnsi="Times New Roman" w:eastAsia="Calibri" w:cs="Times New Roman"/>
                <w:u w:color="000000"/>
              </w:rPr>
              <w:t>-15,26%</w:t>
            </w:r>
          </w:p>
        </w:tc>
      </w:tr>
      <w:tr w:rsidRPr="00F31A99" w:rsidR="00AE1B2B" w:rsidTr="00A306B2" w14:paraId="7EDCF7C2" w14:textId="77777777">
        <w:trPr>
          <w:trHeight w:val="330"/>
          <w:jc w:val="center"/>
        </w:trPr>
        <w:tc>
          <w:tcPr>
            <w:tcW w:w="4225" w:type="dxa"/>
            <w:shd w:val="clear" w:color="000000" w:fill="FFFFFF"/>
            <w:noWrap/>
            <w:vAlign w:val="center"/>
            <w:hideMark/>
          </w:tcPr>
          <w:p w:rsidRPr="00F31A99" w:rsidR="00F31A99" w:rsidP="00F31A99" w:rsidRDefault="00F31A99" w14:paraId="76037DB5"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Organismo de Investigación Judicial</w:t>
            </w:r>
          </w:p>
        </w:tc>
        <w:tc>
          <w:tcPr>
            <w:tcW w:w="1292" w:type="dxa"/>
            <w:shd w:val="clear" w:color="000000" w:fill="FFFFFF"/>
          </w:tcPr>
          <w:p w:rsidRPr="00F31A99" w:rsidR="00F31A99" w:rsidP="00F31A99" w:rsidRDefault="00F31A99" w14:paraId="7EFA8090"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260.767.340</w:t>
            </w:r>
          </w:p>
        </w:tc>
        <w:tc>
          <w:tcPr>
            <w:tcW w:w="1292" w:type="dxa"/>
            <w:shd w:val="clear" w:color="000000" w:fill="FFFFFF"/>
            <w:noWrap/>
            <w:hideMark/>
          </w:tcPr>
          <w:p w:rsidRPr="00F31A99" w:rsidR="00F31A99" w:rsidP="00F31A99" w:rsidRDefault="00F31A99" w14:paraId="6B22FF3C"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283.463.035</w:t>
            </w:r>
          </w:p>
        </w:tc>
        <w:tc>
          <w:tcPr>
            <w:tcW w:w="1518" w:type="dxa"/>
            <w:shd w:val="clear" w:color="000000" w:fill="FFFFFF"/>
            <w:noWrap/>
            <w:hideMark/>
          </w:tcPr>
          <w:p w:rsidRPr="00F31A99" w:rsidR="00F31A99" w:rsidP="00F31A99" w:rsidRDefault="00F31A99" w14:paraId="38A6826E"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233.271.926</w:t>
            </w:r>
          </w:p>
        </w:tc>
        <w:tc>
          <w:tcPr>
            <w:tcW w:w="1340" w:type="dxa"/>
            <w:shd w:val="clear" w:color="000000" w:fill="FFFFFF"/>
            <w:noWrap/>
            <w:hideMark/>
          </w:tcPr>
          <w:p w:rsidRPr="00F31A99" w:rsidR="00F31A99" w:rsidP="00F31A99" w:rsidRDefault="00F31A99" w14:paraId="66E68382"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-50.191.109</w:t>
            </w:r>
          </w:p>
        </w:tc>
        <w:tc>
          <w:tcPr>
            <w:tcW w:w="1220" w:type="dxa"/>
            <w:shd w:val="clear" w:color="000000" w:fill="FFFFFF"/>
            <w:noWrap/>
            <w:hideMark/>
          </w:tcPr>
          <w:p w:rsidRPr="00F31A99" w:rsidR="00F31A99" w:rsidP="00F31A99" w:rsidRDefault="00F31A99" w14:paraId="3450125B" w14:textId="77777777">
            <w:pPr>
              <w:widowControl w:val="0"/>
              <w:autoSpaceDN w:val="0"/>
              <w:jc w:val="center"/>
              <w:rPr>
                <w:rFonts w:ascii="Times New Roman" w:hAnsi="Times New Roman" w:eastAsia="Calibri" w:cs="Times New Roman"/>
                <w:u w:color="000000"/>
              </w:rPr>
            </w:pPr>
            <w:r w:rsidRPr="00F31A99">
              <w:rPr>
                <w:rFonts w:ascii="Times New Roman" w:hAnsi="Times New Roman" w:eastAsia="Calibri" w:cs="Times New Roman"/>
                <w:u w:color="000000"/>
              </w:rPr>
              <w:t>-17,71%</w:t>
            </w:r>
          </w:p>
        </w:tc>
      </w:tr>
      <w:tr w:rsidRPr="00F31A99" w:rsidR="00AE1B2B" w:rsidTr="00A306B2" w14:paraId="0C751D2E" w14:textId="77777777">
        <w:trPr>
          <w:trHeight w:val="330"/>
          <w:jc w:val="center"/>
        </w:trPr>
        <w:tc>
          <w:tcPr>
            <w:tcW w:w="4225" w:type="dxa"/>
            <w:shd w:val="clear" w:color="000000" w:fill="FFFFFF"/>
            <w:noWrap/>
            <w:vAlign w:val="center"/>
            <w:hideMark/>
          </w:tcPr>
          <w:p w:rsidRPr="00F31A99" w:rsidR="00F31A99" w:rsidP="00F31A99" w:rsidRDefault="00F31A99" w14:paraId="7E19D159"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Ministerio Público</w:t>
            </w:r>
          </w:p>
        </w:tc>
        <w:tc>
          <w:tcPr>
            <w:tcW w:w="1292" w:type="dxa"/>
            <w:shd w:val="clear" w:color="000000" w:fill="FFFFFF"/>
          </w:tcPr>
          <w:p w:rsidRPr="00F31A99" w:rsidR="00F31A99" w:rsidP="00F31A99" w:rsidRDefault="00F31A99" w14:paraId="3F81378C"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217.483.489</w:t>
            </w:r>
          </w:p>
        </w:tc>
        <w:tc>
          <w:tcPr>
            <w:tcW w:w="1292" w:type="dxa"/>
            <w:shd w:val="clear" w:color="000000" w:fill="FFFFFF"/>
            <w:noWrap/>
            <w:hideMark/>
          </w:tcPr>
          <w:p w:rsidRPr="00F31A99" w:rsidR="00F31A99" w:rsidP="00F31A99" w:rsidRDefault="00F31A99" w14:paraId="5B3CC535"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286.910.338</w:t>
            </w:r>
          </w:p>
        </w:tc>
        <w:tc>
          <w:tcPr>
            <w:tcW w:w="1518" w:type="dxa"/>
            <w:shd w:val="clear" w:color="000000" w:fill="FFFFFF"/>
            <w:noWrap/>
            <w:hideMark/>
          </w:tcPr>
          <w:p w:rsidRPr="00F31A99" w:rsidR="00F31A99" w:rsidP="00F31A99" w:rsidRDefault="00F31A99" w14:paraId="456669CE"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242.912.720</w:t>
            </w:r>
          </w:p>
        </w:tc>
        <w:tc>
          <w:tcPr>
            <w:tcW w:w="1340" w:type="dxa"/>
            <w:shd w:val="clear" w:color="000000" w:fill="FFFFFF"/>
            <w:noWrap/>
            <w:hideMark/>
          </w:tcPr>
          <w:p w:rsidRPr="00F31A99" w:rsidR="00F31A99" w:rsidP="00F31A99" w:rsidRDefault="00F31A99" w14:paraId="04F5DEBA"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-43.997.618</w:t>
            </w:r>
          </w:p>
        </w:tc>
        <w:tc>
          <w:tcPr>
            <w:tcW w:w="1220" w:type="dxa"/>
            <w:shd w:val="clear" w:color="000000" w:fill="FFFFFF"/>
            <w:noWrap/>
            <w:hideMark/>
          </w:tcPr>
          <w:p w:rsidRPr="00F31A99" w:rsidR="00F31A99" w:rsidP="00F31A99" w:rsidRDefault="00F31A99" w14:paraId="676E45B5" w14:textId="77777777">
            <w:pPr>
              <w:widowControl w:val="0"/>
              <w:autoSpaceDN w:val="0"/>
              <w:jc w:val="center"/>
              <w:rPr>
                <w:rFonts w:ascii="Times New Roman" w:hAnsi="Times New Roman" w:eastAsia="Calibri" w:cs="Times New Roman"/>
                <w:u w:color="000000"/>
              </w:rPr>
            </w:pPr>
            <w:r w:rsidRPr="00F31A99">
              <w:rPr>
                <w:rFonts w:ascii="Times New Roman" w:hAnsi="Times New Roman" w:eastAsia="Calibri" w:cs="Times New Roman"/>
                <w:u w:color="000000"/>
              </w:rPr>
              <w:t>-15,33 %</w:t>
            </w:r>
          </w:p>
        </w:tc>
      </w:tr>
      <w:tr w:rsidRPr="00F31A99" w:rsidR="00AE1B2B" w:rsidTr="00A306B2" w14:paraId="58FE78CE" w14:textId="77777777">
        <w:trPr>
          <w:trHeight w:val="330"/>
          <w:jc w:val="center"/>
        </w:trPr>
        <w:tc>
          <w:tcPr>
            <w:tcW w:w="4225" w:type="dxa"/>
            <w:shd w:val="clear" w:color="000000" w:fill="FFFFFF"/>
            <w:noWrap/>
            <w:vAlign w:val="center"/>
            <w:hideMark/>
          </w:tcPr>
          <w:p w:rsidRPr="00F31A99" w:rsidR="00F31A99" w:rsidP="00F31A99" w:rsidRDefault="00F31A99" w14:paraId="03ED1AD2"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Defensa Pública</w:t>
            </w:r>
          </w:p>
        </w:tc>
        <w:tc>
          <w:tcPr>
            <w:tcW w:w="1292" w:type="dxa"/>
            <w:shd w:val="clear" w:color="000000" w:fill="FFFFFF"/>
          </w:tcPr>
          <w:p w:rsidRPr="00F31A99" w:rsidR="00F31A99" w:rsidP="00F31A99" w:rsidRDefault="00F31A99" w14:paraId="3A2AAB1A"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97.861.227</w:t>
            </w:r>
          </w:p>
        </w:tc>
        <w:tc>
          <w:tcPr>
            <w:tcW w:w="1292" w:type="dxa"/>
            <w:shd w:val="clear" w:color="000000" w:fill="FFFFFF"/>
            <w:noWrap/>
            <w:hideMark/>
          </w:tcPr>
          <w:p w:rsidRPr="00F31A99" w:rsidR="00F31A99" w:rsidP="00F31A99" w:rsidRDefault="00F31A99" w14:paraId="11F2E2DC"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148.790.451</w:t>
            </w:r>
          </w:p>
        </w:tc>
        <w:tc>
          <w:tcPr>
            <w:tcW w:w="1518" w:type="dxa"/>
            <w:shd w:val="clear" w:color="000000" w:fill="FFFFFF"/>
            <w:noWrap/>
            <w:hideMark/>
          </w:tcPr>
          <w:p w:rsidRPr="00F31A99" w:rsidR="00F31A99" w:rsidP="00F31A99" w:rsidRDefault="00F31A99" w14:paraId="2DF5C04E"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125.570.635</w:t>
            </w:r>
          </w:p>
        </w:tc>
        <w:tc>
          <w:tcPr>
            <w:tcW w:w="1340" w:type="dxa"/>
            <w:shd w:val="clear" w:color="000000" w:fill="FFFFFF"/>
            <w:noWrap/>
            <w:hideMark/>
          </w:tcPr>
          <w:p w:rsidRPr="00F31A99" w:rsidR="00F31A99" w:rsidP="00F31A99" w:rsidRDefault="00F31A99" w14:paraId="47DF3485"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-23.219.816</w:t>
            </w:r>
          </w:p>
        </w:tc>
        <w:tc>
          <w:tcPr>
            <w:tcW w:w="1220" w:type="dxa"/>
            <w:shd w:val="clear" w:color="000000" w:fill="FFFFFF"/>
            <w:noWrap/>
            <w:hideMark/>
          </w:tcPr>
          <w:p w:rsidRPr="00F31A99" w:rsidR="00F31A99" w:rsidP="00F31A99" w:rsidRDefault="00F31A99" w14:paraId="58EEB765" w14:textId="77777777">
            <w:pPr>
              <w:widowControl w:val="0"/>
              <w:autoSpaceDN w:val="0"/>
              <w:jc w:val="center"/>
              <w:rPr>
                <w:rFonts w:ascii="Times New Roman" w:hAnsi="Times New Roman" w:eastAsia="Calibri" w:cs="Times New Roman"/>
                <w:u w:color="000000"/>
              </w:rPr>
            </w:pPr>
            <w:r w:rsidRPr="00F31A99">
              <w:rPr>
                <w:rFonts w:ascii="Times New Roman" w:hAnsi="Times New Roman" w:eastAsia="Calibri" w:cs="Times New Roman"/>
                <w:u w:color="000000"/>
              </w:rPr>
              <w:t>-15,61 %</w:t>
            </w:r>
          </w:p>
        </w:tc>
      </w:tr>
      <w:tr w:rsidRPr="00F31A99" w:rsidR="00AE1B2B" w:rsidTr="00A306B2" w14:paraId="35BD6F41" w14:textId="77777777">
        <w:trPr>
          <w:trHeight w:val="330"/>
          <w:jc w:val="center"/>
        </w:trPr>
        <w:tc>
          <w:tcPr>
            <w:tcW w:w="4225" w:type="dxa"/>
            <w:shd w:val="clear" w:color="000000" w:fill="FFFFFF"/>
            <w:noWrap/>
            <w:vAlign w:val="center"/>
            <w:hideMark/>
          </w:tcPr>
          <w:p w:rsidRPr="00F31A99" w:rsidR="00F31A99" w:rsidP="00F31A99" w:rsidRDefault="00F31A99" w14:paraId="356D4BE1"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Servicio de Atención y Protección</w:t>
            </w:r>
          </w:p>
        </w:tc>
        <w:tc>
          <w:tcPr>
            <w:tcW w:w="1292" w:type="dxa"/>
            <w:shd w:val="clear" w:color="000000" w:fill="FFFFFF"/>
          </w:tcPr>
          <w:p w:rsidRPr="00F31A99" w:rsidR="00F31A99" w:rsidP="00F31A99" w:rsidRDefault="00F31A99" w14:paraId="3D04D6CC"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28.144.085</w:t>
            </w:r>
          </w:p>
        </w:tc>
        <w:tc>
          <w:tcPr>
            <w:tcW w:w="1292" w:type="dxa"/>
            <w:shd w:val="clear" w:color="000000" w:fill="FFFFFF"/>
            <w:noWrap/>
            <w:hideMark/>
          </w:tcPr>
          <w:p w:rsidRPr="00F31A99" w:rsidR="00F31A99" w:rsidP="00F31A99" w:rsidRDefault="00F31A99" w14:paraId="7DB124B3"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27.177.058</w:t>
            </w:r>
          </w:p>
        </w:tc>
        <w:tc>
          <w:tcPr>
            <w:tcW w:w="1518" w:type="dxa"/>
            <w:shd w:val="clear" w:color="000000" w:fill="FFFFFF"/>
            <w:noWrap/>
            <w:hideMark/>
          </w:tcPr>
          <w:p w:rsidRPr="00F31A99" w:rsidR="00F31A99" w:rsidP="00F31A99" w:rsidRDefault="00F31A99" w14:paraId="0FD9EA01"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23.116.132</w:t>
            </w:r>
          </w:p>
        </w:tc>
        <w:tc>
          <w:tcPr>
            <w:tcW w:w="1340" w:type="dxa"/>
            <w:shd w:val="clear" w:color="000000" w:fill="FFFFFF"/>
            <w:noWrap/>
            <w:hideMark/>
          </w:tcPr>
          <w:p w:rsidRPr="00F31A99" w:rsidR="00F31A99" w:rsidP="00F31A99" w:rsidRDefault="00F31A99" w14:paraId="35F2EF52"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-4.060.926</w:t>
            </w:r>
          </w:p>
        </w:tc>
        <w:tc>
          <w:tcPr>
            <w:tcW w:w="1220" w:type="dxa"/>
            <w:shd w:val="clear" w:color="000000" w:fill="FFFFFF"/>
            <w:noWrap/>
            <w:hideMark/>
          </w:tcPr>
          <w:p w:rsidRPr="00F31A99" w:rsidR="00F31A99" w:rsidP="00F31A99" w:rsidRDefault="00F31A99" w14:paraId="43D3F727" w14:textId="77777777">
            <w:pPr>
              <w:widowControl w:val="0"/>
              <w:autoSpaceDN w:val="0"/>
              <w:jc w:val="center"/>
              <w:rPr>
                <w:rFonts w:ascii="Times New Roman" w:hAnsi="Times New Roman" w:eastAsia="Calibri" w:cs="Times New Roman"/>
                <w:u w:color="000000"/>
              </w:rPr>
            </w:pPr>
            <w:r w:rsidRPr="00F31A99">
              <w:rPr>
                <w:rFonts w:ascii="Times New Roman" w:hAnsi="Times New Roman" w:eastAsia="Calibri" w:cs="Times New Roman"/>
                <w:u w:color="000000"/>
              </w:rPr>
              <w:t>-14,94 %</w:t>
            </w:r>
          </w:p>
        </w:tc>
      </w:tr>
      <w:tr w:rsidRPr="00F31A99" w:rsidR="00AE1B2B" w:rsidTr="00A306B2" w14:paraId="55F40043" w14:textId="77777777">
        <w:trPr>
          <w:trHeight w:val="330"/>
          <w:jc w:val="center"/>
        </w:trPr>
        <w:tc>
          <w:tcPr>
            <w:tcW w:w="4225" w:type="dxa"/>
            <w:shd w:val="clear" w:color="D9E1F2" w:fill="F2F2F2"/>
            <w:noWrap/>
            <w:vAlign w:val="center"/>
            <w:hideMark/>
          </w:tcPr>
          <w:p w:rsidRPr="00F31A99" w:rsidR="00F31A99" w:rsidP="00F31A99" w:rsidRDefault="00F31A99" w14:paraId="3F61F385"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Total General</w:t>
            </w:r>
          </w:p>
        </w:tc>
        <w:tc>
          <w:tcPr>
            <w:tcW w:w="1292" w:type="dxa"/>
            <w:shd w:val="clear" w:color="D9E1F2" w:fill="F2F2F2"/>
            <w:vAlign w:val="center"/>
          </w:tcPr>
          <w:p w:rsidRPr="00F31A99" w:rsidR="00F31A99" w:rsidP="00F31A99" w:rsidRDefault="00F31A99" w14:paraId="2BC8062A" w14:textId="77777777">
            <w:pPr>
              <w:widowControl w:val="0"/>
              <w:autoSpaceDN w:val="0"/>
              <w:jc w:val="right"/>
              <w:rPr>
                <w:rFonts w:ascii="Times New Roman" w:hAnsi="Times New Roman" w:eastAsia="Calibri" w:cs="Times New Roman"/>
                <w:b/>
                <w:bCs/>
                <w:u w:color="000000"/>
              </w:rPr>
            </w:pPr>
            <w:r w:rsidRPr="00F31A99">
              <w:rPr>
                <w:rFonts w:ascii="Times New Roman" w:hAnsi="Times New Roman" w:eastAsia="Calibri" w:cs="Times New Roman"/>
                <w:b/>
                <w:bCs/>
                <w:u w:color="000000"/>
              </w:rPr>
              <w:t>2.033.802.343</w:t>
            </w:r>
          </w:p>
        </w:tc>
        <w:tc>
          <w:tcPr>
            <w:tcW w:w="1292" w:type="dxa"/>
            <w:shd w:val="clear" w:color="D9E1F2" w:fill="F2F2F2"/>
            <w:noWrap/>
            <w:vAlign w:val="center"/>
            <w:hideMark/>
          </w:tcPr>
          <w:p w:rsidRPr="00F31A99" w:rsidR="00F31A99" w:rsidP="00F31A99" w:rsidRDefault="00F31A99" w14:paraId="33A152B9" w14:textId="77777777">
            <w:pPr>
              <w:widowControl w:val="0"/>
              <w:autoSpaceDN w:val="0"/>
              <w:jc w:val="right"/>
              <w:rPr>
                <w:rFonts w:ascii="Times New Roman" w:hAnsi="Times New Roman" w:eastAsia="Times New Roman" w:cs="Times New Roman"/>
                <w:b/>
                <w:bCs/>
                <w:u w:color="000000"/>
                <w:lang w:eastAsia="es-CR"/>
              </w:rPr>
            </w:pPr>
            <w:r w:rsidRPr="00F31A99">
              <w:rPr>
                <w:rFonts w:ascii="Times New Roman" w:hAnsi="Times New Roman" w:eastAsia="Calibri" w:cs="Times New Roman"/>
                <w:b/>
                <w:bCs/>
                <w:u w:color="000000"/>
              </w:rPr>
              <w:t>1.634.068.891</w:t>
            </w:r>
          </w:p>
        </w:tc>
        <w:tc>
          <w:tcPr>
            <w:tcW w:w="1518" w:type="dxa"/>
            <w:shd w:val="clear" w:color="D9E1F2" w:fill="F2F2F2"/>
            <w:noWrap/>
            <w:vAlign w:val="center"/>
            <w:hideMark/>
          </w:tcPr>
          <w:p w:rsidRPr="00F31A99" w:rsidR="00F31A99" w:rsidP="00F31A99" w:rsidRDefault="00F31A99" w14:paraId="4EEF5866" w14:textId="77777777">
            <w:pPr>
              <w:widowControl w:val="0"/>
              <w:autoSpaceDN w:val="0"/>
              <w:jc w:val="right"/>
              <w:rPr>
                <w:rFonts w:ascii="Times New Roman" w:hAnsi="Times New Roman" w:eastAsia="Times New Roman" w:cs="Times New Roman"/>
                <w:b/>
                <w:bCs/>
                <w:u w:color="000000"/>
                <w:lang w:eastAsia="es-CR"/>
              </w:rPr>
            </w:pPr>
            <w:r w:rsidRPr="00F31A99">
              <w:rPr>
                <w:rFonts w:ascii="Times New Roman" w:hAnsi="Times New Roman" w:eastAsia="Calibri" w:cs="Times New Roman"/>
                <w:b/>
                <w:bCs/>
                <w:u w:color="000000"/>
              </w:rPr>
              <w:t>1.655.450.655</w:t>
            </w:r>
          </w:p>
        </w:tc>
        <w:tc>
          <w:tcPr>
            <w:tcW w:w="1340" w:type="dxa"/>
            <w:shd w:val="clear" w:color="000000" w:fill="F2F2F2"/>
            <w:noWrap/>
            <w:vAlign w:val="center"/>
            <w:hideMark/>
          </w:tcPr>
          <w:p w:rsidRPr="00F31A99" w:rsidR="00F31A99" w:rsidP="00F31A99" w:rsidRDefault="00F31A99" w14:paraId="4F1F2F0C" w14:textId="77777777">
            <w:pPr>
              <w:widowControl w:val="0"/>
              <w:autoSpaceDN w:val="0"/>
              <w:jc w:val="right"/>
              <w:rPr>
                <w:rFonts w:ascii="Times New Roman" w:hAnsi="Times New Roman" w:eastAsia="Times New Roman" w:cs="Times New Roman"/>
                <w:b/>
                <w:bCs/>
                <w:u w:color="000000"/>
                <w:lang w:eastAsia="es-CR"/>
              </w:rPr>
            </w:pPr>
            <w:r w:rsidRPr="00F31A99">
              <w:rPr>
                <w:rFonts w:ascii="Times New Roman" w:hAnsi="Times New Roman" w:eastAsia="Calibri" w:cs="Times New Roman"/>
                <w:b/>
                <w:bCs/>
                <w:u w:color="000000"/>
              </w:rPr>
              <w:t>21.381.764</w:t>
            </w:r>
          </w:p>
        </w:tc>
        <w:tc>
          <w:tcPr>
            <w:tcW w:w="1220" w:type="dxa"/>
            <w:shd w:val="clear" w:color="000000" w:fill="F2F2F2"/>
            <w:noWrap/>
            <w:vAlign w:val="center"/>
            <w:hideMark/>
          </w:tcPr>
          <w:p w:rsidRPr="00F31A99" w:rsidR="00F31A99" w:rsidP="00F31A99" w:rsidRDefault="00F31A99" w14:paraId="7A5CD212"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Calibri" w:cs="Times New Roman"/>
                <w:b/>
                <w:bCs/>
                <w:u w:color="000000"/>
              </w:rPr>
              <w:t>1,31 %</w:t>
            </w:r>
          </w:p>
        </w:tc>
      </w:tr>
    </w:tbl>
    <w:p w:rsidRPr="00F31A99" w:rsidR="00F31A99" w:rsidP="00F31A99" w:rsidRDefault="00F31A99" w14:paraId="0CBAF0C5" w14:textId="77777777">
      <w:pPr>
        <w:widowControl w:val="0"/>
        <w:autoSpaceDN w:val="0"/>
        <w:rPr>
          <w:rFonts w:ascii="Times New Roman" w:hAnsi="Times New Roman" w:eastAsia="Calibri" w:cs="Times New Roman"/>
          <w:b/>
          <w:szCs w:val="20"/>
          <w:u w:color="000000"/>
        </w:rPr>
      </w:pPr>
    </w:p>
    <w:p w:rsidRPr="00F31A99" w:rsidR="00F31A99" w:rsidP="00F31A99" w:rsidRDefault="00F31A99" w14:paraId="7AB374A7" w14:textId="77777777">
      <w:pPr>
        <w:widowControl w:val="0"/>
        <w:autoSpaceDN w:val="0"/>
        <w:ind w:firstLine="709"/>
        <w:rPr>
          <w:rFonts w:ascii="Times New Roman" w:hAnsi="Times New Roman" w:eastAsia="Calibri" w:cs="Times New Roman"/>
          <w:bCs/>
          <w:sz w:val="16"/>
          <w:szCs w:val="16"/>
          <w:u w:color="000000"/>
        </w:rPr>
      </w:pPr>
      <w:r w:rsidRPr="00F31A99">
        <w:rPr>
          <w:rFonts w:ascii="Times New Roman" w:hAnsi="Times New Roman" w:eastAsia="Calibri" w:cs="Times New Roman"/>
          <w:b/>
          <w:sz w:val="16"/>
          <w:szCs w:val="16"/>
          <w:u w:color="000000"/>
        </w:rPr>
        <w:t>Fuente:</w:t>
      </w:r>
      <w:r w:rsidRPr="00F31A99">
        <w:rPr>
          <w:rFonts w:ascii="Times New Roman" w:hAnsi="Times New Roman" w:eastAsia="Calibri" w:cs="Times New Roman"/>
          <w:bCs/>
          <w:sz w:val="16"/>
          <w:szCs w:val="16"/>
          <w:u w:color="000000"/>
        </w:rPr>
        <w:t xml:space="preserve"> Sistema SIGA-PJ</w:t>
      </w:r>
    </w:p>
    <w:p w:rsidRPr="00F31A99" w:rsidR="00F31A99" w:rsidP="00F31A99" w:rsidRDefault="00F31A99" w14:paraId="518F289F" w14:textId="77777777">
      <w:pPr>
        <w:widowControl w:val="0"/>
        <w:spacing w:line="360" w:lineRule="auto"/>
        <w:jc w:val="both"/>
        <w:rPr>
          <w:rFonts w:ascii="Times New Roman" w:hAnsi="Times New Roman" w:eastAsia="Courier New" w:cs="Times New Roman"/>
          <w:kern w:val="1"/>
          <w:sz w:val="24"/>
          <w:szCs w:val="24"/>
          <w:lang w:eastAsia="zh-CN" w:bidi="hi-IN"/>
        </w:rPr>
      </w:pPr>
    </w:p>
    <w:p w:rsidRPr="00F31A99" w:rsidR="00F31A99" w:rsidP="00F31A99" w:rsidRDefault="00F31A99" w14:paraId="7C1642A3"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Como se indicó con anterioridad, como parte del presupuesto de la Dirección de Tecnología de la Información se están incluyendo los recursos adicionales por ¢285.485.357 para el nuevo contrato de alquiler de equipo de cómputo, lo que explica a su vez, el aumento del presupuesto del Programa 926. </w:t>
      </w:r>
    </w:p>
    <w:p w:rsidRPr="00F31A99" w:rsidR="00F31A99" w:rsidP="00F31A99" w:rsidRDefault="00F31A99" w14:paraId="7D07501C" w14:textId="77777777">
      <w:pPr>
        <w:widowControl w:val="0"/>
        <w:autoSpaceDN w:val="0"/>
        <w:rPr>
          <w:rFonts w:ascii="Times New Roman" w:hAnsi="Times New Roman" w:eastAsia="Calibri" w:cs="Times New Roman"/>
          <w:b/>
          <w:sz w:val="24"/>
          <w:u w:color="000000"/>
        </w:rPr>
      </w:pPr>
    </w:p>
    <w:p w:rsidRPr="00F31A99" w:rsidR="00F31A99" w:rsidP="00F31A99" w:rsidRDefault="00F31A99" w14:paraId="1C994DC4"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Gráfico N°2</w:t>
      </w:r>
    </w:p>
    <w:p w:rsidRPr="00F31A99" w:rsidR="00F31A99" w:rsidP="00F31A99" w:rsidRDefault="00F31A99" w14:paraId="40491AF7"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 xml:space="preserve"> Subpartida 10103 Alquiler de Equipo de Cómputo</w:t>
      </w:r>
    </w:p>
    <w:p w:rsidRPr="00F31A99" w:rsidR="00F31A99" w:rsidP="00F31A99" w:rsidRDefault="00F31A99" w14:paraId="4F9C4980"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Distribución Porcentual por Programa Presupuestario Período 2022</w:t>
      </w:r>
    </w:p>
    <w:p w:rsidRPr="00F31A99" w:rsidR="00F31A99" w:rsidP="00F31A99" w:rsidRDefault="00F31A99" w14:paraId="39BC9030" w14:textId="77777777">
      <w:pPr>
        <w:widowControl w:val="0"/>
        <w:autoSpaceDN w:val="0"/>
        <w:ind w:left="851" w:right="851"/>
        <w:jc w:val="center"/>
        <w:rPr>
          <w:rFonts w:ascii="Times New Roman" w:hAnsi="Times New Roman" w:eastAsia="Calibri" w:cs="Times New Roman"/>
          <w:b/>
          <w:sz w:val="24"/>
          <w:u w:color="000000"/>
        </w:rPr>
      </w:pPr>
    </w:p>
    <w:p w:rsidRPr="00F31A99" w:rsidR="00F31A99" w:rsidP="00F31A99" w:rsidRDefault="00F31A99" w14:paraId="11F44F5E" w14:textId="77777777">
      <w:pPr>
        <w:widowControl w:val="0"/>
        <w:autoSpaceDN w:val="0"/>
        <w:jc w:val="center"/>
        <w:rPr>
          <w:rFonts w:ascii="Times New Roman" w:hAnsi="Times New Roman" w:eastAsia="Calibri" w:cs="Times New Roman"/>
          <w:b/>
          <w:sz w:val="24"/>
          <w:u w:color="000000"/>
        </w:rPr>
      </w:pPr>
      <w:r w:rsidRPr="00F31A99">
        <w:rPr>
          <w:rFonts w:ascii="Times New Roman" w:hAnsi="Times New Roman" w:eastAsia="Calibri" w:cs="Times New Roman"/>
          <w:noProof/>
          <w:u w:color="000000"/>
          <w:lang w:eastAsia="es-MX"/>
        </w:rPr>
        <w:drawing>
          <wp:inline distT="0" distB="0" distL="0" distR="0" wp14:anchorId="08B51492" wp14:editId="25E2E40E">
            <wp:extent cx="4578350" cy="2755900"/>
            <wp:effectExtent l="0" t="0" r="0" b="635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a:ln>
                      <a:noFill/>
                    </a:ln>
                  </pic:spPr>
                </pic:pic>
              </a:graphicData>
            </a:graphic>
          </wp:inline>
        </w:drawing>
      </w:r>
    </w:p>
    <w:p w:rsidRPr="00F31A99" w:rsidR="00F31A99" w:rsidP="00F31A99" w:rsidRDefault="00F31A99" w14:paraId="64957907" w14:textId="77777777">
      <w:pPr>
        <w:widowControl w:val="0"/>
        <w:autoSpaceDN w:val="0"/>
        <w:ind w:firstLine="708"/>
        <w:rPr>
          <w:rFonts w:ascii="Times New Roman" w:hAnsi="Times New Roman" w:eastAsia="Calibri" w:cs="Times New Roman"/>
          <w:b/>
          <w:szCs w:val="20"/>
          <w:u w:color="000000"/>
        </w:rPr>
      </w:pPr>
    </w:p>
    <w:p w:rsidRPr="00F31A99" w:rsidR="00F31A99" w:rsidP="00F31A99" w:rsidRDefault="00F31A99" w14:paraId="5550DE01" w14:textId="77777777">
      <w:pPr>
        <w:widowControl w:val="0"/>
        <w:autoSpaceDN w:val="0"/>
        <w:ind w:firstLine="708"/>
        <w:rPr>
          <w:rFonts w:ascii="Times New Roman" w:hAnsi="Times New Roman" w:eastAsia="Calibri" w:cs="Times New Roman"/>
          <w:bCs/>
          <w:sz w:val="16"/>
          <w:szCs w:val="16"/>
          <w:u w:color="000000"/>
        </w:rPr>
      </w:pPr>
      <w:r w:rsidRPr="00F31A99">
        <w:rPr>
          <w:rFonts w:ascii="Times New Roman" w:hAnsi="Times New Roman" w:eastAsia="Calibri" w:cs="Times New Roman"/>
          <w:b/>
          <w:sz w:val="16"/>
          <w:szCs w:val="16"/>
          <w:u w:color="000000"/>
        </w:rPr>
        <w:t>Fuente:</w:t>
      </w:r>
      <w:r w:rsidRPr="00F31A99">
        <w:rPr>
          <w:rFonts w:ascii="Times New Roman" w:hAnsi="Times New Roman" w:eastAsia="Calibri" w:cs="Times New Roman"/>
          <w:bCs/>
          <w:sz w:val="16"/>
          <w:szCs w:val="16"/>
          <w:u w:color="000000"/>
        </w:rPr>
        <w:t xml:space="preserve"> Sistema SIGA-PJ</w:t>
      </w:r>
    </w:p>
    <w:p w:rsidRPr="00F31A99" w:rsidR="00F31A99" w:rsidP="00F31A99" w:rsidRDefault="00F31A99" w14:paraId="1A61ABC0" w14:textId="77777777">
      <w:pPr>
        <w:widowControl w:val="0"/>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3006A0FE"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El programa 927 Servicio Jurisdiccional tiene formulado la mayor cantidad de recursos para el 2022 con un 32,96%, seguido del </w:t>
      </w:r>
      <w:r w:rsidRPr="00F31A99">
        <w:rPr>
          <w:rFonts w:ascii="Times New Roman" w:hAnsi="Times New Roman" w:eastAsia="Calibri" w:cs="Times New Roman"/>
          <w:sz w:val="26"/>
          <w:szCs w:val="26"/>
          <w:u w:color="000000"/>
        </w:rPr>
        <w:lastRenderedPageBreak/>
        <w:t>926 Dirección, Administración y Otros Órganos con el 29,29%, el 929 Ministerio Público con 14,67% y el 928 Organismo de Investigación Judicial con el 14,09%, el 930 Defensa Pública con 7,59% y por último, el 950 Servicio de Atención y Protección a Víctimas y Testigos con el 1,40%.</w:t>
      </w:r>
    </w:p>
    <w:p w:rsidRPr="00F31A99" w:rsidR="00F31A99" w:rsidP="00F31A99" w:rsidRDefault="00F31A99" w14:paraId="095B0B9D" w14:textId="77777777">
      <w:pPr>
        <w:widowControl w:val="0"/>
        <w:autoSpaceDN w:val="0"/>
        <w:ind w:left="851" w:firstLine="709"/>
        <w:jc w:val="both"/>
        <w:rPr>
          <w:rFonts w:ascii="Times New Roman" w:hAnsi="Times New Roman" w:eastAsia="Times New Roman" w:cs="Times New Roman"/>
          <w:b/>
          <w:bCs/>
          <w:sz w:val="24"/>
          <w:szCs w:val="24"/>
          <w:u w:color="000000"/>
        </w:rPr>
      </w:pPr>
    </w:p>
    <w:p w:rsidRPr="00F31A99" w:rsidR="00F31A99" w:rsidP="00F31A99" w:rsidRDefault="00F31A99" w14:paraId="04D949A0" w14:textId="77777777">
      <w:pPr>
        <w:widowControl w:val="0"/>
        <w:autoSpaceDN w:val="0"/>
        <w:ind w:left="851" w:right="851" w:firstLine="709"/>
        <w:jc w:val="both"/>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1.1.5 Distribución por Centro de Responsabilidad</w:t>
      </w:r>
    </w:p>
    <w:p w:rsidRPr="00F31A99" w:rsidR="00F31A99" w:rsidP="00F31A99" w:rsidRDefault="00F31A99" w14:paraId="1EEA2C75" w14:textId="77777777">
      <w:pPr>
        <w:widowControl w:val="0"/>
        <w:autoSpaceDN w:val="0"/>
        <w:ind w:left="851" w:firstLine="709"/>
        <w:jc w:val="both"/>
        <w:rPr>
          <w:rFonts w:ascii="Times New Roman" w:hAnsi="Times New Roman" w:eastAsia="Calibri" w:cs="Times New Roman"/>
          <w:bCs/>
          <w:sz w:val="24"/>
          <w:u w:color="000000"/>
        </w:rPr>
      </w:pPr>
    </w:p>
    <w:p w:rsidRPr="00F31A99" w:rsidR="00F31A99" w:rsidP="00F31A99" w:rsidRDefault="00F31A99" w14:paraId="18B85A39"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Los centros de responsabilidad con los montos más representativos dentro de la subpartida 10103 Alquiler de Equipo de Cómputo se muestran en el siguiente cuadro.</w:t>
      </w:r>
    </w:p>
    <w:p w:rsidRPr="00F31A99" w:rsidR="00F31A99" w:rsidP="00F31A99" w:rsidRDefault="00F31A99" w14:paraId="736A0EC0" w14:textId="77777777">
      <w:pPr>
        <w:widowControl w:val="0"/>
        <w:autoSpaceDN w:val="0"/>
        <w:jc w:val="both"/>
        <w:rPr>
          <w:rFonts w:ascii="Times New Roman" w:hAnsi="Times New Roman" w:eastAsia="Calibri" w:cs="Times New Roman"/>
          <w:bCs/>
          <w:sz w:val="24"/>
          <w:u w:color="000000"/>
        </w:rPr>
      </w:pPr>
    </w:p>
    <w:p w:rsidRPr="00F31A99" w:rsidR="00F31A99" w:rsidP="00F31A99" w:rsidRDefault="00F31A99" w14:paraId="46C4D7FB" w14:textId="77777777">
      <w:pPr>
        <w:widowControl w:val="0"/>
        <w:autoSpaceDN w:val="0"/>
        <w:ind w:left="851" w:right="851" w:firstLine="142"/>
        <w:jc w:val="center"/>
        <w:rPr>
          <w:rFonts w:ascii="Times New Roman" w:hAnsi="Times New Roman" w:eastAsia="Times New Roman" w:cs="Times New Roman"/>
          <w:b/>
          <w:bCs/>
          <w:sz w:val="26"/>
          <w:szCs w:val="26"/>
          <w:u w:color="000000"/>
        </w:rPr>
      </w:pPr>
      <w:bookmarkStart w:name="_Hlk34801773" w:id="9"/>
      <w:r w:rsidRPr="00F31A99">
        <w:rPr>
          <w:rFonts w:ascii="Times New Roman" w:hAnsi="Times New Roman" w:eastAsia="Times New Roman" w:cs="Times New Roman"/>
          <w:b/>
          <w:bCs/>
          <w:sz w:val="26"/>
          <w:szCs w:val="26"/>
          <w:u w:color="000000"/>
        </w:rPr>
        <w:t>Cuadro N°5</w:t>
      </w:r>
    </w:p>
    <w:p w:rsidRPr="00F31A99" w:rsidR="00F31A99" w:rsidP="00F31A99" w:rsidRDefault="00F31A99" w14:paraId="089E9852" w14:textId="77777777">
      <w:pPr>
        <w:widowControl w:val="0"/>
        <w:autoSpaceDN w:val="0"/>
        <w:ind w:left="851" w:right="851" w:firstLine="142"/>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Subpartida 10103 Alquiler de Equipo de Cómputo</w:t>
      </w:r>
    </w:p>
    <w:p w:rsidRPr="00F31A99" w:rsidR="00F31A99" w:rsidP="00F31A99" w:rsidRDefault="00F31A99" w14:paraId="474636FD" w14:textId="77777777">
      <w:pPr>
        <w:widowControl w:val="0"/>
        <w:autoSpaceDN w:val="0"/>
        <w:ind w:left="851" w:right="851" w:firstLine="142"/>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Distribución por Centro de Responsabilidad Períodos 2021-2022</w:t>
      </w:r>
    </w:p>
    <w:p w:rsidRPr="00F31A99" w:rsidR="00F31A99" w:rsidP="00F31A99" w:rsidRDefault="00F31A99" w14:paraId="6BB86066" w14:textId="77777777">
      <w:pPr>
        <w:widowControl w:val="0"/>
        <w:autoSpaceDN w:val="0"/>
        <w:ind w:left="851" w:right="851" w:firstLine="425"/>
        <w:jc w:val="center"/>
        <w:rPr>
          <w:rFonts w:ascii="Times New Roman" w:hAnsi="Times New Roman" w:eastAsia="Times New Roman" w:cs="Times New Roman"/>
          <w:b/>
          <w:bCs/>
          <w:sz w:val="26"/>
          <w:szCs w:val="26"/>
          <w:u w:color="000000"/>
        </w:rPr>
      </w:pPr>
    </w:p>
    <w:tbl>
      <w:tblPr>
        <w:tblW w:w="83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4314"/>
        <w:gridCol w:w="1254"/>
        <w:gridCol w:w="1254"/>
        <w:gridCol w:w="1595"/>
      </w:tblGrid>
      <w:tr w:rsidRPr="00AE1B2B" w:rsidR="00AE1B2B" w:rsidTr="00F31A99" w14:paraId="182C7F2F" w14:textId="77777777">
        <w:trPr>
          <w:trHeight w:val="306"/>
          <w:jc w:val="center"/>
        </w:trPr>
        <w:tc>
          <w:tcPr>
            <w:tcW w:w="4314" w:type="dxa"/>
            <w:shd w:val="clear" w:color="auto" w:fill="F2F2F2"/>
            <w:noWrap/>
            <w:vAlign w:val="bottom"/>
            <w:hideMark/>
          </w:tcPr>
          <w:bookmarkEnd w:id="9"/>
          <w:p w:rsidRPr="00F31A99" w:rsidR="00F31A99" w:rsidP="00F31A99" w:rsidRDefault="00F31A99" w14:paraId="1B5716C1"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Centro de Responsabilidad </w:t>
            </w:r>
          </w:p>
        </w:tc>
        <w:tc>
          <w:tcPr>
            <w:tcW w:w="1254" w:type="dxa"/>
            <w:shd w:val="clear" w:color="auto" w:fill="F2F2F2"/>
            <w:noWrap/>
            <w:vAlign w:val="bottom"/>
            <w:hideMark/>
          </w:tcPr>
          <w:p w:rsidRPr="00F31A99" w:rsidR="00F31A99" w:rsidP="00F31A99" w:rsidRDefault="00F31A99" w14:paraId="77109A97"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2021</w:t>
            </w:r>
          </w:p>
        </w:tc>
        <w:tc>
          <w:tcPr>
            <w:tcW w:w="1254" w:type="dxa"/>
            <w:shd w:val="clear" w:color="auto" w:fill="F2F2F2"/>
            <w:noWrap/>
            <w:vAlign w:val="bottom"/>
            <w:hideMark/>
          </w:tcPr>
          <w:p w:rsidRPr="00F31A99" w:rsidR="00F31A99" w:rsidP="00F31A99" w:rsidRDefault="00F31A99" w14:paraId="530780B3"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2022</w:t>
            </w:r>
          </w:p>
        </w:tc>
        <w:tc>
          <w:tcPr>
            <w:tcW w:w="1491" w:type="dxa"/>
            <w:shd w:val="clear" w:color="auto" w:fill="F2F2F2"/>
            <w:noWrap/>
            <w:vAlign w:val="bottom"/>
            <w:hideMark/>
          </w:tcPr>
          <w:p w:rsidRPr="00F31A99" w:rsidR="00F31A99" w:rsidP="00F31A99" w:rsidRDefault="00F31A99" w14:paraId="61E137F4"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Representación</w:t>
            </w:r>
          </w:p>
        </w:tc>
      </w:tr>
      <w:tr w:rsidRPr="00F31A99" w:rsidR="00AE1B2B" w:rsidTr="00A306B2" w14:paraId="0E9CC0A9" w14:textId="77777777">
        <w:trPr>
          <w:trHeight w:val="306"/>
          <w:jc w:val="center"/>
        </w:trPr>
        <w:tc>
          <w:tcPr>
            <w:tcW w:w="4314" w:type="dxa"/>
            <w:shd w:val="clear" w:color="auto" w:fill="auto"/>
            <w:noWrap/>
          </w:tcPr>
          <w:p w:rsidRPr="00F31A99" w:rsidR="00F31A99" w:rsidP="00F31A99" w:rsidRDefault="00F31A99" w14:paraId="7E17E4FE"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Área de Informática</w:t>
            </w:r>
          </w:p>
        </w:tc>
        <w:tc>
          <w:tcPr>
            <w:tcW w:w="1254" w:type="dxa"/>
            <w:shd w:val="clear" w:color="auto" w:fill="auto"/>
            <w:noWrap/>
          </w:tcPr>
          <w:p w:rsidRPr="00F31A99" w:rsidR="00F31A99" w:rsidP="00F31A99" w:rsidRDefault="00F31A99" w14:paraId="75B8E9F1"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0</w:t>
            </w:r>
          </w:p>
        </w:tc>
        <w:tc>
          <w:tcPr>
            <w:tcW w:w="1254" w:type="dxa"/>
            <w:shd w:val="clear" w:color="auto" w:fill="auto"/>
            <w:noWrap/>
          </w:tcPr>
          <w:p w:rsidRPr="00F31A99" w:rsidR="00F31A99" w:rsidP="00F31A99" w:rsidRDefault="00F31A99" w14:paraId="51F3C48D"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285.485.357</w:t>
            </w:r>
          </w:p>
        </w:tc>
        <w:tc>
          <w:tcPr>
            <w:tcW w:w="1491" w:type="dxa"/>
            <w:shd w:val="clear" w:color="auto" w:fill="auto"/>
            <w:noWrap/>
          </w:tcPr>
          <w:p w:rsidRPr="00F31A99" w:rsidR="00F31A99" w:rsidP="00F31A99" w:rsidRDefault="00F31A99" w14:paraId="0FC834C2" w14:textId="77777777">
            <w:pPr>
              <w:widowControl w:val="0"/>
              <w:autoSpaceDN w:val="0"/>
              <w:jc w:val="center"/>
              <w:rPr>
                <w:rFonts w:ascii="Times New Roman" w:hAnsi="Times New Roman" w:eastAsia="Calibri" w:cs="Times New Roman"/>
                <w:u w:color="000000"/>
              </w:rPr>
            </w:pPr>
            <w:r w:rsidRPr="00F31A99">
              <w:rPr>
                <w:rFonts w:ascii="Times New Roman" w:hAnsi="Times New Roman" w:eastAsia="Calibri" w:cs="Times New Roman"/>
                <w:u w:color="000000"/>
              </w:rPr>
              <w:t>17,25%</w:t>
            </w:r>
          </w:p>
        </w:tc>
      </w:tr>
      <w:tr w:rsidRPr="00F31A99" w:rsidR="00AE1B2B" w:rsidTr="00A306B2" w14:paraId="1A15ACB3" w14:textId="77777777">
        <w:trPr>
          <w:trHeight w:val="306"/>
          <w:jc w:val="center"/>
        </w:trPr>
        <w:tc>
          <w:tcPr>
            <w:tcW w:w="4314" w:type="dxa"/>
            <w:shd w:val="clear" w:color="auto" w:fill="auto"/>
            <w:noWrap/>
            <w:hideMark/>
          </w:tcPr>
          <w:p w:rsidRPr="00F31A99" w:rsidR="00F31A99" w:rsidP="00F31A99" w:rsidRDefault="00F31A99" w14:paraId="2E97C021"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Ministerio Público</w:t>
            </w:r>
          </w:p>
        </w:tc>
        <w:tc>
          <w:tcPr>
            <w:tcW w:w="1254" w:type="dxa"/>
            <w:shd w:val="clear" w:color="auto" w:fill="auto"/>
            <w:noWrap/>
            <w:hideMark/>
          </w:tcPr>
          <w:p w:rsidRPr="00F31A99" w:rsidR="00F31A99" w:rsidP="00F31A99" w:rsidRDefault="00F31A99" w14:paraId="0EB27654"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286.910.338</w:t>
            </w:r>
          </w:p>
        </w:tc>
        <w:tc>
          <w:tcPr>
            <w:tcW w:w="1254" w:type="dxa"/>
            <w:shd w:val="clear" w:color="auto" w:fill="auto"/>
            <w:noWrap/>
            <w:hideMark/>
          </w:tcPr>
          <w:p w:rsidRPr="00F31A99" w:rsidR="00F31A99" w:rsidP="00F31A99" w:rsidRDefault="00F31A99" w14:paraId="6F721ACD"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242.912.720 </w:t>
            </w:r>
          </w:p>
        </w:tc>
        <w:tc>
          <w:tcPr>
            <w:tcW w:w="1491" w:type="dxa"/>
            <w:shd w:val="clear" w:color="auto" w:fill="auto"/>
            <w:noWrap/>
            <w:hideMark/>
          </w:tcPr>
          <w:p w:rsidRPr="00F31A99" w:rsidR="00F31A99" w:rsidP="00F31A99" w:rsidRDefault="00F31A99" w14:paraId="077B23B6"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14,67%</w:t>
            </w:r>
          </w:p>
        </w:tc>
      </w:tr>
      <w:tr w:rsidRPr="00F31A99" w:rsidR="00AE1B2B" w:rsidTr="00A306B2" w14:paraId="5BAA7A96" w14:textId="77777777">
        <w:trPr>
          <w:trHeight w:val="306"/>
          <w:jc w:val="center"/>
        </w:trPr>
        <w:tc>
          <w:tcPr>
            <w:tcW w:w="4314" w:type="dxa"/>
            <w:shd w:val="clear" w:color="auto" w:fill="auto"/>
            <w:noWrap/>
            <w:hideMark/>
          </w:tcPr>
          <w:p w:rsidRPr="00F31A99" w:rsidR="00F31A99" w:rsidP="00F31A99" w:rsidRDefault="00F31A99" w14:paraId="4C8F0F9D"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Organismo de Investigación Judicial</w:t>
            </w:r>
          </w:p>
        </w:tc>
        <w:tc>
          <w:tcPr>
            <w:tcW w:w="1254" w:type="dxa"/>
            <w:shd w:val="clear" w:color="auto" w:fill="auto"/>
            <w:noWrap/>
            <w:hideMark/>
          </w:tcPr>
          <w:p w:rsidRPr="00F31A99" w:rsidR="00F31A99" w:rsidP="00F31A99" w:rsidRDefault="00F31A99" w14:paraId="2756E9E8"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283.463.035 </w:t>
            </w:r>
          </w:p>
        </w:tc>
        <w:tc>
          <w:tcPr>
            <w:tcW w:w="1254" w:type="dxa"/>
            <w:shd w:val="clear" w:color="auto" w:fill="auto"/>
            <w:noWrap/>
            <w:hideMark/>
          </w:tcPr>
          <w:p w:rsidRPr="00F31A99" w:rsidR="00F31A99" w:rsidP="00F31A99" w:rsidRDefault="00F31A99" w14:paraId="4C582406"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233.271.926 </w:t>
            </w:r>
          </w:p>
        </w:tc>
        <w:tc>
          <w:tcPr>
            <w:tcW w:w="1491" w:type="dxa"/>
            <w:shd w:val="clear" w:color="auto" w:fill="auto"/>
            <w:noWrap/>
            <w:hideMark/>
          </w:tcPr>
          <w:p w:rsidRPr="00F31A99" w:rsidR="00F31A99" w:rsidP="00F31A99" w:rsidRDefault="00F31A99" w14:paraId="6C6AE39A"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14,09%</w:t>
            </w:r>
          </w:p>
        </w:tc>
      </w:tr>
      <w:tr w:rsidRPr="00F31A99" w:rsidR="00AE1B2B" w:rsidTr="00A306B2" w14:paraId="3F3C9B99" w14:textId="77777777">
        <w:trPr>
          <w:trHeight w:val="306"/>
          <w:jc w:val="center"/>
        </w:trPr>
        <w:tc>
          <w:tcPr>
            <w:tcW w:w="4314" w:type="dxa"/>
            <w:shd w:val="clear" w:color="auto" w:fill="auto"/>
            <w:noWrap/>
            <w:hideMark/>
          </w:tcPr>
          <w:p w:rsidRPr="00F31A99" w:rsidR="00F31A99" w:rsidP="00F31A99" w:rsidRDefault="00F31A99" w14:paraId="362DBF35"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Segundo Circuito Judicial San José</w:t>
            </w:r>
          </w:p>
        </w:tc>
        <w:tc>
          <w:tcPr>
            <w:tcW w:w="1254" w:type="dxa"/>
            <w:shd w:val="clear" w:color="auto" w:fill="auto"/>
            <w:noWrap/>
            <w:hideMark/>
          </w:tcPr>
          <w:p w:rsidRPr="00F31A99" w:rsidR="00F31A99" w:rsidP="00F31A99" w:rsidRDefault="00F31A99" w14:paraId="140D319E"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203.001.150</w:t>
            </w:r>
          </w:p>
        </w:tc>
        <w:tc>
          <w:tcPr>
            <w:tcW w:w="1254" w:type="dxa"/>
            <w:shd w:val="clear" w:color="auto" w:fill="auto"/>
            <w:noWrap/>
            <w:hideMark/>
          </w:tcPr>
          <w:p w:rsidRPr="00F31A99" w:rsidR="00F31A99" w:rsidP="00F31A99" w:rsidRDefault="00F31A99" w14:paraId="59353A50"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172.996.691 </w:t>
            </w:r>
          </w:p>
        </w:tc>
        <w:tc>
          <w:tcPr>
            <w:tcW w:w="1491" w:type="dxa"/>
            <w:shd w:val="clear" w:color="auto" w:fill="auto"/>
            <w:noWrap/>
            <w:hideMark/>
          </w:tcPr>
          <w:p w:rsidRPr="00F31A99" w:rsidR="00F31A99" w:rsidP="00F31A99" w:rsidRDefault="00F31A99" w14:paraId="6A0AE694"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10,45%</w:t>
            </w:r>
          </w:p>
        </w:tc>
      </w:tr>
      <w:tr w:rsidRPr="00F31A99" w:rsidR="00AE1B2B" w:rsidTr="00A306B2" w14:paraId="109F3206" w14:textId="77777777">
        <w:trPr>
          <w:trHeight w:val="306"/>
          <w:jc w:val="center"/>
        </w:trPr>
        <w:tc>
          <w:tcPr>
            <w:tcW w:w="4314" w:type="dxa"/>
            <w:shd w:val="clear" w:color="auto" w:fill="auto"/>
            <w:noWrap/>
            <w:hideMark/>
          </w:tcPr>
          <w:p w:rsidRPr="00F31A99" w:rsidR="00F31A99" w:rsidP="00F31A99" w:rsidRDefault="00F31A99" w14:paraId="132A22A3"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Defensa Pública</w:t>
            </w:r>
          </w:p>
        </w:tc>
        <w:tc>
          <w:tcPr>
            <w:tcW w:w="1254" w:type="dxa"/>
            <w:shd w:val="clear" w:color="auto" w:fill="auto"/>
            <w:noWrap/>
            <w:hideMark/>
          </w:tcPr>
          <w:p w:rsidRPr="00F31A99" w:rsidR="00F31A99" w:rsidP="00F31A99" w:rsidRDefault="00F31A99" w14:paraId="527F89D3"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148.790.451 </w:t>
            </w:r>
          </w:p>
        </w:tc>
        <w:tc>
          <w:tcPr>
            <w:tcW w:w="1254" w:type="dxa"/>
            <w:shd w:val="clear" w:color="auto" w:fill="auto"/>
            <w:noWrap/>
            <w:hideMark/>
          </w:tcPr>
          <w:p w:rsidRPr="00F31A99" w:rsidR="00F31A99" w:rsidP="00F31A99" w:rsidRDefault="00F31A99" w14:paraId="01D74FDA"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125.570.635 </w:t>
            </w:r>
          </w:p>
        </w:tc>
        <w:tc>
          <w:tcPr>
            <w:tcW w:w="1491" w:type="dxa"/>
            <w:shd w:val="clear" w:color="auto" w:fill="auto"/>
            <w:noWrap/>
            <w:hideMark/>
          </w:tcPr>
          <w:p w:rsidRPr="00F31A99" w:rsidR="00F31A99" w:rsidP="00F31A99" w:rsidRDefault="00F31A99" w14:paraId="3C1F1CC3"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7,59%</w:t>
            </w:r>
          </w:p>
        </w:tc>
      </w:tr>
      <w:tr w:rsidRPr="00F31A99" w:rsidR="00AE1B2B" w:rsidTr="00A306B2" w14:paraId="2274DF43" w14:textId="77777777">
        <w:trPr>
          <w:trHeight w:val="306"/>
          <w:jc w:val="center"/>
        </w:trPr>
        <w:tc>
          <w:tcPr>
            <w:tcW w:w="4314" w:type="dxa"/>
            <w:shd w:val="clear" w:color="auto" w:fill="auto"/>
            <w:noWrap/>
            <w:hideMark/>
          </w:tcPr>
          <w:p w:rsidRPr="00F31A99" w:rsidR="00F31A99" w:rsidP="00F31A99" w:rsidRDefault="00F31A99" w14:paraId="464EB7BE"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Circuito Judicial Cartago</w:t>
            </w:r>
          </w:p>
        </w:tc>
        <w:tc>
          <w:tcPr>
            <w:tcW w:w="1254" w:type="dxa"/>
            <w:shd w:val="clear" w:color="auto" w:fill="auto"/>
            <w:noWrap/>
            <w:hideMark/>
          </w:tcPr>
          <w:p w:rsidRPr="00F31A99" w:rsidR="00F31A99" w:rsidP="00F31A99" w:rsidRDefault="00F31A99" w14:paraId="54EBCA44"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 81.593.811 </w:t>
            </w:r>
          </w:p>
        </w:tc>
        <w:tc>
          <w:tcPr>
            <w:tcW w:w="1254" w:type="dxa"/>
            <w:shd w:val="clear" w:color="auto" w:fill="auto"/>
            <w:noWrap/>
            <w:hideMark/>
          </w:tcPr>
          <w:p w:rsidRPr="00F31A99" w:rsidR="00F31A99" w:rsidP="00F31A99" w:rsidRDefault="00F31A99" w14:paraId="74BB6F29"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 69.401.681 </w:t>
            </w:r>
          </w:p>
        </w:tc>
        <w:tc>
          <w:tcPr>
            <w:tcW w:w="1491" w:type="dxa"/>
            <w:shd w:val="clear" w:color="auto" w:fill="auto"/>
            <w:noWrap/>
            <w:hideMark/>
          </w:tcPr>
          <w:p w:rsidRPr="00F31A99" w:rsidR="00F31A99" w:rsidP="00F31A99" w:rsidRDefault="00F31A99" w14:paraId="55A47DA4"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4,19%</w:t>
            </w:r>
          </w:p>
        </w:tc>
      </w:tr>
      <w:tr w:rsidRPr="00F31A99" w:rsidR="00AE1B2B" w:rsidTr="00A306B2" w14:paraId="46204AEA" w14:textId="77777777">
        <w:trPr>
          <w:trHeight w:val="306"/>
          <w:jc w:val="center"/>
        </w:trPr>
        <w:tc>
          <w:tcPr>
            <w:tcW w:w="4314" w:type="dxa"/>
            <w:shd w:val="clear" w:color="auto" w:fill="auto"/>
            <w:noWrap/>
            <w:hideMark/>
          </w:tcPr>
          <w:p w:rsidRPr="00F31A99" w:rsidR="00F31A99" w:rsidP="00F31A99" w:rsidRDefault="00F31A99" w14:paraId="78A5C948"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Circuito Judicial Heredia</w:t>
            </w:r>
          </w:p>
        </w:tc>
        <w:tc>
          <w:tcPr>
            <w:tcW w:w="1254" w:type="dxa"/>
            <w:shd w:val="clear" w:color="auto" w:fill="auto"/>
            <w:noWrap/>
            <w:hideMark/>
          </w:tcPr>
          <w:p w:rsidRPr="00F31A99" w:rsidR="00F31A99" w:rsidP="00F31A99" w:rsidRDefault="00F31A99" w14:paraId="0B27B4FD"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62.319.193 </w:t>
            </w:r>
          </w:p>
        </w:tc>
        <w:tc>
          <w:tcPr>
            <w:tcW w:w="1254" w:type="dxa"/>
            <w:shd w:val="clear" w:color="auto" w:fill="auto"/>
            <w:noWrap/>
            <w:hideMark/>
          </w:tcPr>
          <w:p w:rsidRPr="00F31A99" w:rsidR="00F31A99" w:rsidP="00F31A99" w:rsidRDefault="00F31A99" w14:paraId="0D56FBB2"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 53.007.164 </w:t>
            </w:r>
          </w:p>
        </w:tc>
        <w:tc>
          <w:tcPr>
            <w:tcW w:w="1491" w:type="dxa"/>
            <w:shd w:val="clear" w:color="auto" w:fill="auto"/>
            <w:noWrap/>
            <w:hideMark/>
          </w:tcPr>
          <w:p w:rsidRPr="00F31A99" w:rsidR="00F31A99" w:rsidP="00F31A99" w:rsidRDefault="00F31A99" w14:paraId="5D028E77"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3,20%</w:t>
            </w:r>
          </w:p>
        </w:tc>
      </w:tr>
      <w:tr w:rsidRPr="00F31A99" w:rsidR="00AE1B2B" w:rsidTr="00A306B2" w14:paraId="0F598160" w14:textId="77777777">
        <w:trPr>
          <w:trHeight w:val="306"/>
          <w:jc w:val="center"/>
        </w:trPr>
        <w:tc>
          <w:tcPr>
            <w:tcW w:w="4314" w:type="dxa"/>
            <w:shd w:val="clear" w:color="auto" w:fill="auto"/>
            <w:noWrap/>
            <w:hideMark/>
          </w:tcPr>
          <w:p w:rsidRPr="00F31A99" w:rsidR="00F31A99" w:rsidP="00F31A99" w:rsidRDefault="00F31A99" w14:paraId="5FE6CB1F"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Circuito Judicial Puntarenas</w:t>
            </w:r>
          </w:p>
        </w:tc>
        <w:tc>
          <w:tcPr>
            <w:tcW w:w="1254" w:type="dxa"/>
            <w:shd w:val="clear" w:color="auto" w:fill="auto"/>
            <w:noWrap/>
            <w:hideMark/>
          </w:tcPr>
          <w:p w:rsidRPr="00F31A99" w:rsidR="00F31A99" w:rsidP="00F31A99" w:rsidRDefault="00F31A99" w14:paraId="340B557B"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 55.765.402 </w:t>
            </w:r>
          </w:p>
        </w:tc>
        <w:tc>
          <w:tcPr>
            <w:tcW w:w="1254" w:type="dxa"/>
            <w:shd w:val="clear" w:color="auto" w:fill="auto"/>
            <w:noWrap/>
            <w:hideMark/>
          </w:tcPr>
          <w:p w:rsidRPr="00F31A99" w:rsidR="00F31A99" w:rsidP="00F31A99" w:rsidRDefault="00F31A99" w14:paraId="31DB14C5"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 47.432.679 </w:t>
            </w:r>
          </w:p>
        </w:tc>
        <w:tc>
          <w:tcPr>
            <w:tcW w:w="1491" w:type="dxa"/>
            <w:shd w:val="clear" w:color="auto" w:fill="auto"/>
            <w:noWrap/>
            <w:hideMark/>
          </w:tcPr>
          <w:p w:rsidRPr="00F31A99" w:rsidR="00F31A99" w:rsidP="00F31A99" w:rsidRDefault="00F31A99" w14:paraId="3CB88F2D"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2,87%</w:t>
            </w:r>
          </w:p>
        </w:tc>
      </w:tr>
      <w:tr w:rsidRPr="00F31A99" w:rsidR="00AE1B2B" w:rsidTr="00A306B2" w14:paraId="7051A77A" w14:textId="77777777">
        <w:trPr>
          <w:trHeight w:val="306"/>
          <w:jc w:val="center"/>
        </w:trPr>
        <w:tc>
          <w:tcPr>
            <w:tcW w:w="4314" w:type="dxa"/>
            <w:shd w:val="clear" w:color="auto" w:fill="auto"/>
            <w:noWrap/>
            <w:hideMark/>
          </w:tcPr>
          <w:p w:rsidRPr="00F31A99" w:rsidR="00F31A99" w:rsidP="00F31A99" w:rsidRDefault="00F31A99" w14:paraId="77C4F30C"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Primer Circuito Judicial Guanacaste</w:t>
            </w:r>
          </w:p>
        </w:tc>
        <w:tc>
          <w:tcPr>
            <w:tcW w:w="1254" w:type="dxa"/>
            <w:shd w:val="clear" w:color="auto" w:fill="auto"/>
            <w:noWrap/>
            <w:hideMark/>
          </w:tcPr>
          <w:p w:rsidRPr="00F31A99" w:rsidR="00F31A99" w:rsidP="00F31A99" w:rsidRDefault="00F31A99" w14:paraId="59AD15E2"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51.218.294 </w:t>
            </w:r>
          </w:p>
        </w:tc>
        <w:tc>
          <w:tcPr>
            <w:tcW w:w="1254" w:type="dxa"/>
            <w:shd w:val="clear" w:color="auto" w:fill="auto"/>
            <w:noWrap/>
            <w:hideMark/>
          </w:tcPr>
          <w:p w:rsidRPr="00F31A99" w:rsidR="00F31A99" w:rsidP="00F31A99" w:rsidRDefault="00F31A99" w14:paraId="602D6920"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 43.609.496 </w:t>
            </w:r>
          </w:p>
        </w:tc>
        <w:tc>
          <w:tcPr>
            <w:tcW w:w="1491" w:type="dxa"/>
            <w:shd w:val="clear" w:color="auto" w:fill="auto"/>
            <w:noWrap/>
            <w:hideMark/>
          </w:tcPr>
          <w:p w:rsidRPr="00F31A99" w:rsidR="00F31A99" w:rsidP="00F31A99" w:rsidRDefault="00F31A99" w14:paraId="4926CB4A"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2,63%</w:t>
            </w:r>
          </w:p>
        </w:tc>
      </w:tr>
      <w:tr w:rsidRPr="00F31A99" w:rsidR="00AE1B2B" w:rsidTr="00A306B2" w14:paraId="22D4BFA5" w14:textId="77777777">
        <w:trPr>
          <w:trHeight w:val="306"/>
          <w:jc w:val="center"/>
        </w:trPr>
        <w:tc>
          <w:tcPr>
            <w:tcW w:w="4314" w:type="dxa"/>
            <w:shd w:val="clear" w:color="auto" w:fill="auto"/>
            <w:noWrap/>
          </w:tcPr>
          <w:p w:rsidRPr="00F31A99" w:rsidR="00F31A99" w:rsidP="00F31A99" w:rsidRDefault="00F31A99" w14:paraId="0792EC1C"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Primer Circuito Judicial Zona Sur</w:t>
            </w:r>
          </w:p>
        </w:tc>
        <w:tc>
          <w:tcPr>
            <w:tcW w:w="1254" w:type="dxa"/>
            <w:shd w:val="clear" w:color="auto" w:fill="auto"/>
            <w:noWrap/>
          </w:tcPr>
          <w:p w:rsidRPr="00F31A99" w:rsidR="00F31A99" w:rsidP="00F31A99" w:rsidRDefault="00F31A99" w14:paraId="2A789A28"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46.869.988</w:t>
            </w:r>
          </w:p>
        </w:tc>
        <w:tc>
          <w:tcPr>
            <w:tcW w:w="1254" w:type="dxa"/>
            <w:shd w:val="clear" w:color="auto" w:fill="auto"/>
            <w:noWrap/>
          </w:tcPr>
          <w:p w:rsidRPr="00F31A99" w:rsidR="00F31A99" w:rsidP="00F31A99" w:rsidRDefault="00F31A99" w14:paraId="6FBEBBE8" w14:textId="77777777">
            <w:pPr>
              <w:widowControl w:val="0"/>
              <w:autoSpaceDN w:val="0"/>
              <w:jc w:val="right"/>
              <w:rPr>
                <w:rFonts w:ascii="Times New Roman" w:hAnsi="Times New Roman" w:eastAsia="Calibri" w:cs="Times New Roman"/>
                <w:u w:color="000000"/>
              </w:rPr>
            </w:pPr>
            <w:r w:rsidRPr="00F31A99">
              <w:rPr>
                <w:rFonts w:ascii="Times New Roman" w:hAnsi="Times New Roman" w:eastAsia="Calibri" w:cs="Times New Roman"/>
                <w:u w:color="000000"/>
              </w:rPr>
              <w:t xml:space="preserve"> 39.866.454 </w:t>
            </w:r>
          </w:p>
        </w:tc>
        <w:tc>
          <w:tcPr>
            <w:tcW w:w="1491" w:type="dxa"/>
            <w:shd w:val="clear" w:color="auto" w:fill="auto"/>
            <w:noWrap/>
          </w:tcPr>
          <w:p w:rsidRPr="00F31A99" w:rsidR="00F31A99" w:rsidP="00F31A99" w:rsidRDefault="00F31A99" w14:paraId="033BA926" w14:textId="77777777">
            <w:pPr>
              <w:widowControl w:val="0"/>
              <w:autoSpaceDN w:val="0"/>
              <w:jc w:val="center"/>
              <w:rPr>
                <w:rFonts w:ascii="Times New Roman" w:hAnsi="Times New Roman" w:eastAsia="Calibri" w:cs="Times New Roman"/>
                <w:u w:color="000000"/>
              </w:rPr>
            </w:pPr>
            <w:r w:rsidRPr="00F31A99">
              <w:rPr>
                <w:rFonts w:ascii="Times New Roman" w:hAnsi="Times New Roman" w:eastAsia="Calibri" w:cs="Times New Roman"/>
                <w:u w:color="000000"/>
              </w:rPr>
              <w:t>2,41%</w:t>
            </w:r>
          </w:p>
        </w:tc>
      </w:tr>
      <w:tr w:rsidRPr="00F31A99" w:rsidR="00AE1B2B" w:rsidTr="00A306B2" w14:paraId="71A60B10" w14:textId="77777777">
        <w:trPr>
          <w:trHeight w:val="306"/>
          <w:jc w:val="center"/>
        </w:trPr>
        <w:tc>
          <w:tcPr>
            <w:tcW w:w="4314" w:type="dxa"/>
            <w:shd w:val="clear" w:color="auto" w:fill="auto"/>
            <w:noWrap/>
            <w:hideMark/>
          </w:tcPr>
          <w:p w:rsidRPr="00F31A99" w:rsidR="00F31A99" w:rsidP="00F31A99" w:rsidRDefault="00F31A99" w14:paraId="56C8D032"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Segundo Circuito Judicial Alajuela</w:t>
            </w:r>
          </w:p>
        </w:tc>
        <w:tc>
          <w:tcPr>
            <w:tcW w:w="1254" w:type="dxa"/>
            <w:shd w:val="clear" w:color="auto" w:fill="auto"/>
            <w:noWrap/>
            <w:hideMark/>
          </w:tcPr>
          <w:p w:rsidRPr="00F31A99" w:rsidR="00F31A99" w:rsidP="00F31A99" w:rsidRDefault="00F31A99" w14:paraId="70E7E1EE"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 49.085.815 </w:t>
            </w:r>
          </w:p>
        </w:tc>
        <w:tc>
          <w:tcPr>
            <w:tcW w:w="1254" w:type="dxa"/>
            <w:shd w:val="clear" w:color="auto" w:fill="auto"/>
            <w:noWrap/>
            <w:hideMark/>
          </w:tcPr>
          <w:p w:rsidRPr="00F31A99" w:rsidR="00F31A99" w:rsidP="00F31A99" w:rsidRDefault="00F31A99" w14:paraId="0AD36A84"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 39.501.838 </w:t>
            </w:r>
          </w:p>
        </w:tc>
        <w:tc>
          <w:tcPr>
            <w:tcW w:w="1491" w:type="dxa"/>
            <w:shd w:val="clear" w:color="auto" w:fill="auto"/>
            <w:noWrap/>
            <w:hideMark/>
          </w:tcPr>
          <w:p w:rsidRPr="00F31A99" w:rsidR="00F31A99" w:rsidP="00F31A99" w:rsidRDefault="00F31A99" w14:paraId="6BA9F196"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2,39%</w:t>
            </w:r>
          </w:p>
        </w:tc>
      </w:tr>
      <w:tr w:rsidRPr="00F31A99" w:rsidR="00AE1B2B" w:rsidTr="00A306B2" w14:paraId="2BF9DFCA" w14:textId="77777777">
        <w:trPr>
          <w:trHeight w:val="306"/>
          <w:jc w:val="center"/>
        </w:trPr>
        <w:tc>
          <w:tcPr>
            <w:tcW w:w="4314" w:type="dxa"/>
            <w:shd w:val="clear" w:color="auto" w:fill="auto"/>
            <w:noWrap/>
          </w:tcPr>
          <w:p w:rsidRPr="00F31A99" w:rsidR="00F31A99" w:rsidP="00F31A99" w:rsidRDefault="00F31A99" w14:paraId="0A036385"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Tercer Circuito Judicial Alajuela</w:t>
            </w:r>
          </w:p>
        </w:tc>
        <w:tc>
          <w:tcPr>
            <w:tcW w:w="1254" w:type="dxa"/>
            <w:shd w:val="clear" w:color="auto" w:fill="auto"/>
            <w:noWrap/>
          </w:tcPr>
          <w:p w:rsidRPr="00F31A99" w:rsidR="00F31A99" w:rsidP="00F31A99" w:rsidRDefault="00F31A99" w14:paraId="3F0D9EC9"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 40.284.624 </w:t>
            </w:r>
          </w:p>
        </w:tc>
        <w:tc>
          <w:tcPr>
            <w:tcW w:w="1254" w:type="dxa"/>
            <w:shd w:val="clear" w:color="auto" w:fill="auto"/>
            <w:noWrap/>
          </w:tcPr>
          <w:p w:rsidRPr="00F31A99" w:rsidR="00F31A99" w:rsidP="00F31A99" w:rsidRDefault="00F31A99" w14:paraId="08916B13" w14:textId="77777777">
            <w:pPr>
              <w:widowControl w:val="0"/>
              <w:autoSpaceDN w:val="0"/>
              <w:jc w:val="right"/>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 33.891.686 </w:t>
            </w:r>
          </w:p>
        </w:tc>
        <w:tc>
          <w:tcPr>
            <w:tcW w:w="1491" w:type="dxa"/>
            <w:shd w:val="clear" w:color="auto" w:fill="auto"/>
            <w:noWrap/>
          </w:tcPr>
          <w:p w:rsidRPr="00F31A99" w:rsidR="00F31A99" w:rsidP="00F31A99" w:rsidRDefault="00F31A99" w14:paraId="4DC57A83"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2,05%</w:t>
            </w:r>
          </w:p>
        </w:tc>
      </w:tr>
    </w:tbl>
    <w:p w:rsidRPr="00F31A99" w:rsidR="00F31A99" w:rsidP="00F31A99" w:rsidRDefault="00F31A99" w14:paraId="2C0B06F3" w14:textId="77777777">
      <w:pPr>
        <w:widowControl w:val="0"/>
        <w:autoSpaceDN w:val="0"/>
        <w:ind w:firstLine="708"/>
        <w:rPr>
          <w:rFonts w:ascii="Times New Roman" w:hAnsi="Times New Roman" w:eastAsia="Calibri" w:cs="Times New Roman"/>
          <w:b/>
          <w:szCs w:val="20"/>
          <w:u w:color="000000"/>
        </w:rPr>
      </w:pPr>
    </w:p>
    <w:p w:rsidRPr="00F31A99" w:rsidR="00F31A99" w:rsidP="00F31A99" w:rsidRDefault="00F31A99" w14:paraId="3E166574" w14:textId="77777777">
      <w:pPr>
        <w:widowControl w:val="0"/>
        <w:autoSpaceDN w:val="0"/>
        <w:ind w:firstLine="708"/>
        <w:rPr>
          <w:rFonts w:ascii="Times New Roman" w:hAnsi="Times New Roman" w:eastAsia="Calibri" w:cs="Times New Roman"/>
          <w:bCs/>
          <w:sz w:val="16"/>
          <w:szCs w:val="16"/>
          <w:u w:color="000000"/>
        </w:rPr>
      </w:pPr>
      <w:r w:rsidRPr="00F31A99">
        <w:rPr>
          <w:rFonts w:ascii="Times New Roman" w:hAnsi="Times New Roman" w:eastAsia="Calibri" w:cs="Times New Roman"/>
          <w:b/>
          <w:sz w:val="16"/>
          <w:szCs w:val="16"/>
          <w:u w:color="000000"/>
        </w:rPr>
        <w:t>Fuente:</w:t>
      </w:r>
      <w:r w:rsidRPr="00F31A99">
        <w:rPr>
          <w:rFonts w:ascii="Times New Roman" w:hAnsi="Times New Roman" w:eastAsia="Calibri" w:cs="Times New Roman"/>
          <w:bCs/>
          <w:sz w:val="16"/>
          <w:szCs w:val="16"/>
          <w:u w:color="000000"/>
        </w:rPr>
        <w:t xml:space="preserve"> Sistema SIGA-PJ</w:t>
      </w:r>
    </w:p>
    <w:p w:rsidRPr="00F31A99" w:rsidR="00F31A99" w:rsidP="00F31A99" w:rsidRDefault="00F31A99" w14:paraId="7C3EF06C" w14:textId="77777777">
      <w:pPr>
        <w:widowControl w:val="0"/>
        <w:autoSpaceDN w:val="0"/>
        <w:jc w:val="both"/>
        <w:rPr>
          <w:rFonts w:ascii="Times New Roman" w:hAnsi="Times New Roman" w:eastAsia="Calibri" w:cs="Times New Roman"/>
          <w:bCs/>
          <w:sz w:val="16"/>
          <w:szCs w:val="16"/>
          <w:u w:color="000000"/>
        </w:rPr>
      </w:pPr>
    </w:p>
    <w:p w:rsidRPr="00F31A99" w:rsidR="00F31A99" w:rsidP="00F31A99" w:rsidRDefault="00F31A99" w14:paraId="159A64E9"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En el presupuesto del 2022 se presenta la particularidad que fue señalada anteriormente, de que se formulan por primera vez recursos en el Área de Informática (¢285.485.357) para cubrir el faltante de los meses por el contrato N°054118 que vence en octubre del 2022, esto representa un 17,25% de lo formulado en esta subpartida. Los siguientes centros de responsabilidad con mayor representatividad en esta subpartida, corresponden al Ministerio </w:t>
      </w:r>
      <w:r w:rsidRPr="00F31A99">
        <w:rPr>
          <w:rFonts w:ascii="Times New Roman" w:hAnsi="Times New Roman" w:eastAsia="Calibri" w:cs="Times New Roman"/>
          <w:sz w:val="26"/>
          <w:szCs w:val="26"/>
          <w:u w:color="000000"/>
        </w:rPr>
        <w:lastRenderedPageBreak/>
        <w:t xml:space="preserve">Público (14,67%), Organismo de Investigación Judicial (14,09%), Segundo Circuito Judicial de San José (10,45%) y la Defensa Pública (7,59%). De manera general se indica que se muestra una disminución en todos los centros de responsabilidad con respecto al 2021, esto por cuanto el contrato vence en octubre del 2022 y entonces no se está cubriendo todos los 12 meses. </w:t>
      </w:r>
    </w:p>
    <w:p w:rsidRPr="00F31A99" w:rsidR="00F31A99" w:rsidP="00F31A99" w:rsidRDefault="00F31A99" w14:paraId="5F1DF3EB" w14:textId="77777777">
      <w:pPr>
        <w:widowControl w:val="0"/>
        <w:autoSpaceDN w:val="0"/>
        <w:spacing w:line="360" w:lineRule="auto"/>
        <w:ind w:left="851" w:right="851" w:firstLine="709"/>
        <w:jc w:val="both"/>
        <w:rPr>
          <w:rFonts w:ascii="Times New Roman" w:hAnsi="Times New Roman" w:eastAsia="Calibri" w:cs="Times New Roman"/>
          <w:sz w:val="24"/>
          <w:szCs w:val="24"/>
          <w:u w:color="000000"/>
        </w:rPr>
      </w:pPr>
    </w:p>
    <w:p w:rsidRPr="00F31A99" w:rsidR="00F31A99" w:rsidP="00F31A99" w:rsidRDefault="00F31A99" w14:paraId="1B235DD5" w14:textId="77777777">
      <w:pPr>
        <w:widowControl w:val="0"/>
        <w:autoSpaceDN w:val="0"/>
        <w:ind w:left="851" w:right="851" w:firstLine="709"/>
        <w:jc w:val="both"/>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1.2 Subpartida 50105 Equipo de Cómputo</w:t>
      </w:r>
    </w:p>
    <w:p w:rsidRPr="00F31A99" w:rsidR="00F31A99" w:rsidP="00F31A99" w:rsidRDefault="00F31A99" w14:paraId="36D37797" w14:textId="77777777">
      <w:pPr>
        <w:widowControl w:val="0"/>
        <w:autoSpaceDN w:val="0"/>
        <w:ind w:left="851" w:right="851" w:firstLine="709"/>
        <w:jc w:val="both"/>
        <w:rPr>
          <w:rFonts w:ascii="Times New Roman" w:hAnsi="Times New Roman" w:eastAsia="Calibri" w:cs="Times New Roman"/>
          <w:u w:color="000000"/>
        </w:rPr>
      </w:pPr>
    </w:p>
    <w:p w:rsidRPr="00F31A99" w:rsidR="00F31A99" w:rsidP="00F31A99" w:rsidRDefault="00F31A99" w14:paraId="699FB312"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En esta subpartida se formulan los recursos para la adquisición de equipo de cómputo, inicialmente las oficinas solicitan a través del Área de Informática todos los equipos clasificados como tecnológicos, sean menores o estratégicos, rubro que es administrado y ejecutado por la Dirección de Tecnología de la Información. Posteriormente, cuando el anteproyecto de presupuesto del Área de Informática es aprobado por el Consejo Superior, los recursos se distribuyen entre las diferentes oficinas que los solicitaron.</w:t>
      </w:r>
    </w:p>
    <w:p w:rsidRPr="00F31A99" w:rsidR="00F31A99" w:rsidP="00F31A99" w:rsidRDefault="00F31A99" w14:paraId="2EA5A3DD" w14:textId="77777777">
      <w:pPr>
        <w:widowControl w:val="0"/>
        <w:autoSpaceDN w:val="0"/>
        <w:rPr>
          <w:rFonts w:ascii="Times New Roman" w:hAnsi="Times New Roman" w:eastAsia="Calibri" w:cs="Times New Roman"/>
          <w:u w:color="000000"/>
        </w:rPr>
      </w:pPr>
    </w:p>
    <w:p w:rsidRPr="00F31A99" w:rsidR="00F31A99" w:rsidP="00F31A99" w:rsidRDefault="00F31A99" w14:paraId="238C2576" w14:textId="77777777">
      <w:pPr>
        <w:widowControl w:val="0"/>
        <w:autoSpaceDN w:val="0"/>
        <w:ind w:left="851" w:right="851" w:firstLine="709"/>
        <w:jc w:val="both"/>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1.2.1 Comportamiento Histórico de la Subpartida</w:t>
      </w:r>
    </w:p>
    <w:p w:rsidRPr="00F31A99" w:rsidR="00F31A99" w:rsidP="00F31A99" w:rsidRDefault="00F31A99" w14:paraId="5285E0FB" w14:textId="77777777">
      <w:pPr>
        <w:widowControl w:val="0"/>
        <w:autoSpaceDN w:val="0"/>
        <w:jc w:val="center"/>
        <w:rPr>
          <w:rFonts w:ascii="Times New Roman" w:hAnsi="Times New Roman" w:eastAsia="Calibri" w:cs="Times New Roman"/>
          <w:bCs/>
          <w:sz w:val="24"/>
          <w:u w:color="000000"/>
        </w:rPr>
      </w:pPr>
    </w:p>
    <w:p w:rsidRPr="00F31A99" w:rsidR="00F31A99" w:rsidP="00F31A99" w:rsidRDefault="00F31A99" w14:paraId="7514D11A" w14:textId="77777777">
      <w:pPr>
        <w:widowControl w:val="0"/>
        <w:autoSpaceDN w:val="0"/>
        <w:ind w:left="851" w:right="851" w:firstLine="142"/>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Cuadro N°6</w:t>
      </w:r>
    </w:p>
    <w:p w:rsidRPr="00F31A99" w:rsidR="00F31A99" w:rsidP="00F31A99" w:rsidRDefault="00F31A99" w14:paraId="3AA6BD12" w14:textId="77777777">
      <w:pPr>
        <w:widowControl w:val="0"/>
        <w:autoSpaceDN w:val="0"/>
        <w:ind w:left="851" w:right="851" w:firstLine="142"/>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Subpartida 50105 Equipo de Cómputo</w:t>
      </w:r>
    </w:p>
    <w:p w:rsidRPr="00F31A99" w:rsidR="00F31A99" w:rsidP="00F31A99" w:rsidRDefault="00F31A99" w14:paraId="29B0214D" w14:textId="77777777">
      <w:pPr>
        <w:widowControl w:val="0"/>
        <w:autoSpaceDN w:val="0"/>
        <w:ind w:left="851" w:right="851" w:firstLine="142"/>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Detalle del Comportamiento Histórico Períodos 2018-2022</w:t>
      </w:r>
    </w:p>
    <w:p w:rsidRPr="00F31A99" w:rsidR="00F31A99" w:rsidP="00F31A99" w:rsidRDefault="00F31A99" w14:paraId="64FA3E91" w14:textId="77777777">
      <w:pPr>
        <w:widowControl w:val="0"/>
        <w:autoSpaceDN w:val="0"/>
        <w:jc w:val="both"/>
        <w:rPr>
          <w:rFonts w:ascii="Times New Roman" w:hAnsi="Times New Roman" w:eastAsia="Calibri" w:cs="Times New Roman"/>
          <w:bCs/>
          <w:sz w:val="24"/>
          <w:u w:color="000000"/>
        </w:rPr>
      </w:pPr>
    </w:p>
    <w:tbl>
      <w:tblPr>
        <w:tblW w:w="90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775"/>
        <w:gridCol w:w="1455"/>
        <w:gridCol w:w="1423"/>
        <w:gridCol w:w="1405"/>
        <w:gridCol w:w="1514"/>
        <w:gridCol w:w="1446"/>
      </w:tblGrid>
      <w:tr w:rsidRPr="00AE1B2B" w:rsidR="00AE1B2B" w:rsidTr="00F31A99" w14:paraId="1F617C7C" w14:textId="77777777">
        <w:trPr>
          <w:trHeight w:val="391"/>
          <w:jc w:val="center"/>
        </w:trPr>
        <w:tc>
          <w:tcPr>
            <w:tcW w:w="1775" w:type="dxa"/>
            <w:shd w:val="clear" w:color="auto" w:fill="auto"/>
            <w:noWrap/>
            <w:vAlign w:val="center"/>
            <w:hideMark/>
          </w:tcPr>
          <w:p w:rsidRPr="00F31A99" w:rsidR="00F31A99" w:rsidP="00F31A99" w:rsidRDefault="00F31A99" w14:paraId="6F3F3855" w14:textId="77777777">
            <w:pPr>
              <w:widowControl w:val="0"/>
              <w:autoSpaceDN w:val="0"/>
              <w:jc w:val="center"/>
              <w:rPr>
                <w:rFonts w:ascii="Times New Roman" w:hAnsi="Times New Roman" w:eastAsia="Times New Roman" w:cs="Times New Roman"/>
                <w:b/>
                <w:bCs/>
                <w:u w:color="000000"/>
                <w:lang w:eastAsia="es-CR"/>
              </w:rPr>
            </w:pPr>
          </w:p>
        </w:tc>
        <w:tc>
          <w:tcPr>
            <w:tcW w:w="1455" w:type="dxa"/>
            <w:shd w:val="clear" w:color="auto" w:fill="F2F2F2"/>
            <w:noWrap/>
            <w:vAlign w:val="center"/>
            <w:hideMark/>
          </w:tcPr>
          <w:p w:rsidRPr="00F31A99" w:rsidR="00F31A99" w:rsidP="00F31A99" w:rsidRDefault="00F31A99" w14:paraId="67611827"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2018</w:t>
            </w:r>
          </w:p>
        </w:tc>
        <w:tc>
          <w:tcPr>
            <w:tcW w:w="1423" w:type="dxa"/>
            <w:shd w:val="clear" w:color="auto" w:fill="F2F2F2"/>
            <w:noWrap/>
            <w:vAlign w:val="center"/>
            <w:hideMark/>
          </w:tcPr>
          <w:p w:rsidRPr="00F31A99" w:rsidR="00F31A99" w:rsidP="00F31A99" w:rsidRDefault="00F31A99" w14:paraId="12E87300"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2019</w:t>
            </w:r>
          </w:p>
        </w:tc>
        <w:tc>
          <w:tcPr>
            <w:tcW w:w="1388" w:type="dxa"/>
            <w:shd w:val="clear" w:color="auto" w:fill="F2F2F2"/>
            <w:noWrap/>
            <w:vAlign w:val="center"/>
            <w:hideMark/>
          </w:tcPr>
          <w:p w:rsidRPr="00F31A99" w:rsidR="00F31A99" w:rsidP="00F31A99" w:rsidRDefault="00F31A99" w14:paraId="7A9090E0"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2020</w:t>
            </w:r>
          </w:p>
        </w:tc>
        <w:tc>
          <w:tcPr>
            <w:tcW w:w="1514" w:type="dxa"/>
            <w:shd w:val="clear" w:color="auto" w:fill="F2F2F2"/>
            <w:noWrap/>
            <w:vAlign w:val="center"/>
            <w:hideMark/>
          </w:tcPr>
          <w:p w:rsidRPr="00F31A99" w:rsidR="00F31A99" w:rsidP="00F31A99" w:rsidRDefault="00F31A99" w14:paraId="1712E554"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2021</w:t>
            </w:r>
          </w:p>
        </w:tc>
        <w:tc>
          <w:tcPr>
            <w:tcW w:w="1446" w:type="dxa"/>
            <w:shd w:val="clear" w:color="auto" w:fill="F2F2F2"/>
            <w:noWrap/>
            <w:vAlign w:val="center"/>
            <w:hideMark/>
          </w:tcPr>
          <w:p w:rsidRPr="00F31A99" w:rsidR="00F31A99" w:rsidP="00F31A99" w:rsidRDefault="00F31A99" w14:paraId="4AF4760C"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2022</w:t>
            </w:r>
          </w:p>
        </w:tc>
      </w:tr>
      <w:tr w:rsidRPr="00AE1B2B" w:rsidR="00AE1B2B" w:rsidTr="00F31A99" w14:paraId="232EDE40" w14:textId="77777777">
        <w:trPr>
          <w:trHeight w:val="182"/>
          <w:jc w:val="center"/>
        </w:trPr>
        <w:tc>
          <w:tcPr>
            <w:tcW w:w="1775" w:type="dxa"/>
            <w:shd w:val="clear" w:color="auto" w:fill="F2F2F2"/>
            <w:noWrap/>
            <w:vAlign w:val="center"/>
            <w:hideMark/>
          </w:tcPr>
          <w:p w:rsidRPr="00F31A99" w:rsidR="00F31A99" w:rsidP="00F31A99" w:rsidRDefault="00F31A99" w14:paraId="79F15784"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b/>
                <w:bCs/>
                <w:u w:color="000000"/>
                <w:lang w:eastAsia="es-CR"/>
              </w:rPr>
              <w:t>Monto formulado</w:t>
            </w:r>
          </w:p>
        </w:tc>
        <w:tc>
          <w:tcPr>
            <w:tcW w:w="1455" w:type="dxa"/>
            <w:shd w:val="clear" w:color="auto" w:fill="auto"/>
            <w:noWrap/>
            <w:vAlign w:val="center"/>
            <w:hideMark/>
          </w:tcPr>
          <w:p w:rsidRPr="00F31A99" w:rsidR="00F31A99" w:rsidP="00F31A99" w:rsidRDefault="00F31A99" w14:paraId="3AB7652E"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3.888.567.523</w:t>
            </w:r>
          </w:p>
        </w:tc>
        <w:tc>
          <w:tcPr>
            <w:tcW w:w="1423" w:type="dxa"/>
            <w:shd w:val="clear" w:color="auto" w:fill="auto"/>
            <w:noWrap/>
            <w:vAlign w:val="center"/>
            <w:hideMark/>
          </w:tcPr>
          <w:p w:rsidRPr="00F31A99" w:rsidR="00F31A99" w:rsidP="00F31A99" w:rsidRDefault="00F31A99" w14:paraId="28B163DD"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3.830.478.908</w:t>
            </w:r>
          </w:p>
        </w:tc>
        <w:tc>
          <w:tcPr>
            <w:tcW w:w="1388" w:type="dxa"/>
            <w:shd w:val="clear" w:color="auto" w:fill="auto"/>
            <w:noWrap/>
            <w:vAlign w:val="center"/>
            <w:hideMark/>
          </w:tcPr>
          <w:p w:rsidRPr="00F31A99" w:rsidR="00F31A99" w:rsidP="00F31A99" w:rsidRDefault="00F31A99" w14:paraId="3850DA12"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4.319.778.407</w:t>
            </w:r>
          </w:p>
        </w:tc>
        <w:tc>
          <w:tcPr>
            <w:tcW w:w="1514" w:type="dxa"/>
            <w:shd w:val="clear" w:color="auto" w:fill="auto"/>
            <w:noWrap/>
            <w:vAlign w:val="center"/>
            <w:hideMark/>
          </w:tcPr>
          <w:p w:rsidRPr="00F31A99" w:rsidR="00F31A99" w:rsidP="00F31A99" w:rsidRDefault="00F31A99" w14:paraId="10CAB4A4"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2.850.698.471</w:t>
            </w:r>
          </w:p>
        </w:tc>
        <w:tc>
          <w:tcPr>
            <w:tcW w:w="1446" w:type="dxa"/>
            <w:shd w:val="clear" w:color="auto" w:fill="auto"/>
            <w:noWrap/>
            <w:vAlign w:val="center"/>
            <w:hideMark/>
          </w:tcPr>
          <w:p w:rsidRPr="00F31A99" w:rsidR="00F31A99" w:rsidP="00F31A99" w:rsidRDefault="00F31A99" w14:paraId="4B80B1B9"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2.575.935.097</w:t>
            </w:r>
          </w:p>
        </w:tc>
      </w:tr>
      <w:tr w:rsidRPr="00AE1B2B" w:rsidR="00AE1B2B" w:rsidTr="00F31A99" w14:paraId="1C740C3D" w14:textId="77777777">
        <w:trPr>
          <w:trHeight w:val="335"/>
          <w:jc w:val="center"/>
        </w:trPr>
        <w:tc>
          <w:tcPr>
            <w:tcW w:w="1775" w:type="dxa"/>
            <w:shd w:val="clear" w:color="auto" w:fill="F2F2F2"/>
            <w:noWrap/>
            <w:vAlign w:val="center"/>
            <w:hideMark/>
          </w:tcPr>
          <w:p w:rsidRPr="00F31A99" w:rsidR="00F31A99" w:rsidP="00F31A99" w:rsidRDefault="00F31A99" w14:paraId="58110122"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Variación</w:t>
            </w:r>
          </w:p>
        </w:tc>
        <w:tc>
          <w:tcPr>
            <w:tcW w:w="1455" w:type="dxa"/>
            <w:shd w:val="clear" w:color="auto" w:fill="auto"/>
            <w:noWrap/>
            <w:vAlign w:val="center"/>
            <w:hideMark/>
          </w:tcPr>
          <w:p w:rsidRPr="00F31A99" w:rsidR="00F31A99" w:rsidP="00F31A99" w:rsidRDefault="00F31A99" w14:paraId="1F6564EC" w14:textId="77777777">
            <w:pPr>
              <w:widowControl w:val="0"/>
              <w:autoSpaceDN w:val="0"/>
              <w:jc w:val="center"/>
              <w:rPr>
                <w:rFonts w:ascii="Times New Roman" w:hAnsi="Times New Roman" w:eastAsia="Times New Roman" w:cs="Times New Roman"/>
                <w:highlight w:val="yellow"/>
                <w:u w:color="000000"/>
                <w:lang w:eastAsia="es-CR"/>
              </w:rPr>
            </w:pPr>
          </w:p>
        </w:tc>
        <w:tc>
          <w:tcPr>
            <w:tcW w:w="1423" w:type="dxa"/>
            <w:shd w:val="clear" w:color="auto" w:fill="auto"/>
            <w:noWrap/>
            <w:vAlign w:val="center"/>
            <w:hideMark/>
          </w:tcPr>
          <w:p w:rsidRPr="00F31A99" w:rsidR="00F31A99" w:rsidP="00F31A99" w:rsidRDefault="00F31A99" w14:paraId="0FDD76F9"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-1,49%</w:t>
            </w:r>
          </w:p>
        </w:tc>
        <w:tc>
          <w:tcPr>
            <w:tcW w:w="1388" w:type="dxa"/>
            <w:shd w:val="clear" w:color="auto" w:fill="auto"/>
            <w:noWrap/>
            <w:vAlign w:val="center"/>
            <w:hideMark/>
          </w:tcPr>
          <w:p w:rsidRPr="00F31A99" w:rsidR="00F31A99" w:rsidP="00F31A99" w:rsidRDefault="00F31A99" w14:paraId="3E29DBA4"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12,77%</w:t>
            </w:r>
          </w:p>
        </w:tc>
        <w:tc>
          <w:tcPr>
            <w:tcW w:w="1514" w:type="dxa"/>
            <w:shd w:val="clear" w:color="auto" w:fill="auto"/>
            <w:noWrap/>
            <w:vAlign w:val="center"/>
            <w:hideMark/>
          </w:tcPr>
          <w:p w:rsidRPr="00F31A99" w:rsidR="00F31A99" w:rsidP="00F31A99" w:rsidRDefault="00F31A99" w14:paraId="66DBEA5B"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-34,01%</w:t>
            </w:r>
          </w:p>
        </w:tc>
        <w:tc>
          <w:tcPr>
            <w:tcW w:w="1446" w:type="dxa"/>
            <w:shd w:val="clear" w:color="auto" w:fill="auto"/>
            <w:noWrap/>
            <w:vAlign w:val="center"/>
            <w:hideMark/>
          </w:tcPr>
          <w:p w:rsidRPr="00F31A99" w:rsidR="00F31A99" w:rsidP="00F31A99" w:rsidRDefault="00F31A99" w14:paraId="1DBAA5B6" w14:textId="77777777">
            <w:pPr>
              <w:widowControl w:val="0"/>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-9,64%</w:t>
            </w:r>
          </w:p>
        </w:tc>
      </w:tr>
    </w:tbl>
    <w:p w:rsidRPr="00F31A99" w:rsidR="00F31A99" w:rsidP="00F31A99" w:rsidRDefault="00F31A99" w14:paraId="2B0640D3" w14:textId="77777777">
      <w:pPr>
        <w:widowControl w:val="0"/>
        <w:autoSpaceDN w:val="0"/>
        <w:rPr>
          <w:rFonts w:ascii="Times New Roman" w:hAnsi="Times New Roman" w:eastAsia="Calibri" w:cs="Times New Roman"/>
          <w:b/>
          <w:szCs w:val="20"/>
          <w:u w:color="000000"/>
        </w:rPr>
      </w:pPr>
    </w:p>
    <w:p w:rsidRPr="00F31A99" w:rsidR="00F31A99" w:rsidP="00F31A99" w:rsidRDefault="00F31A99" w14:paraId="29F1AF21" w14:textId="77777777">
      <w:pPr>
        <w:widowControl w:val="0"/>
        <w:autoSpaceDN w:val="0"/>
        <w:ind w:firstLine="708"/>
        <w:rPr>
          <w:rFonts w:ascii="Times New Roman" w:hAnsi="Times New Roman" w:eastAsia="Calibri" w:cs="Times New Roman"/>
          <w:bCs/>
          <w:sz w:val="16"/>
          <w:szCs w:val="16"/>
          <w:u w:color="000000"/>
        </w:rPr>
      </w:pPr>
      <w:r w:rsidRPr="00F31A99">
        <w:rPr>
          <w:rFonts w:ascii="Times New Roman" w:hAnsi="Times New Roman" w:eastAsia="Calibri" w:cs="Times New Roman"/>
          <w:b/>
          <w:sz w:val="16"/>
          <w:szCs w:val="16"/>
          <w:u w:color="000000"/>
        </w:rPr>
        <w:t>Fuente:</w:t>
      </w:r>
      <w:r w:rsidRPr="00F31A99">
        <w:rPr>
          <w:rFonts w:ascii="Times New Roman" w:hAnsi="Times New Roman" w:eastAsia="Calibri" w:cs="Times New Roman"/>
          <w:bCs/>
          <w:sz w:val="16"/>
          <w:szCs w:val="16"/>
          <w:u w:color="000000"/>
        </w:rPr>
        <w:t xml:space="preserve"> Sistema SIGA-PJ</w:t>
      </w:r>
    </w:p>
    <w:p w:rsidRPr="00F31A99" w:rsidR="00F31A99" w:rsidP="00F31A99" w:rsidRDefault="00F31A99" w14:paraId="37D83B9D" w14:textId="77777777">
      <w:pPr>
        <w:widowControl w:val="0"/>
        <w:autoSpaceDN w:val="0"/>
        <w:rPr>
          <w:rFonts w:ascii="Times New Roman" w:hAnsi="Times New Roman" w:eastAsia="Calibri" w:cs="Times New Roman"/>
          <w:u w:color="000000"/>
        </w:rPr>
      </w:pPr>
    </w:p>
    <w:p w:rsidRPr="00F31A99" w:rsidR="00F31A99" w:rsidP="00F31A99" w:rsidRDefault="00F31A99" w14:paraId="7D73B978"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Se observa que el 2018, 2019 y 2020 se presentan los montos más alto en cuanto a la formulación de recursos en esta subpartida, esto como ya se indicó en la subpartida anterior, producto de que el Consejo Superior en la sesión extraordinaria N°23-19 del 14 de marzo, conoció el oficio N°719-DTI-2019 con un informe que determinaba como alternativa más conveniente la compra de equipo de cómputo en lugar del alquiler. Para el 2021 y 2022 se presentan disminuciones de 34,01% y 9,64% respectivamente. Al considerar la diferencia del primer año con respecto al último en términos </w:t>
      </w:r>
      <w:r w:rsidRPr="00F31A99">
        <w:rPr>
          <w:rFonts w:ascii="Times New Roman" w:hAnsi="Times New Roman" w:eastAsia="Calibri" w:cs="Times New Roman"/>
          <w:sz w:val="26"/>
          <w:szCs w:val="26"/>
          <w:u w:color="000000"/>
        </w:rPr>
        <w:lastRenderedPageBreak/>
        <w:t xml:space="preserve">absolutos, esta subpartida disminuyó en ¢1.312.632.426. </w:t>
      </w:r>
    </w:p>
    <w:p w:rsidRPr="00F31A99" w:rsidR="00F31A99" w:rsidP="00F31A99" w:rsidRDefault="00F31A99" w14:paraId="5B9F1CB7" w14:textId="77777777">
      <w:pPr>
        <w:widowControl w:val="0"/>
        <w:autoSpaceDN w:val="0"/>
        <w:spacing w:line="360" w:lineRule="auto"/>
        <w:jc w:val="center"/>
        <w:rPr>
          <w:rFonts w:ascii="Times New Roman" w:hAnsi="Times New Roman" w:eastAsia="Calibri" w:cs="Times New Roman"/>
          <w:sz w:val="24"/>
          <w:szCs w:val="24"/>
          <w:u w:color="000000"/>
        </w:rPr>
      </w:pPr>
    </w:p>
    <w:p w:rsidRPr="00F31A99" w:rsidR="00F31A99" w:rsidP="00F31A99" w:rsidRDefault="00F31A99" w14:paraId="021D7685" w14:textId="77777777">
      <w:pPr>
        <w:widowControl w:val="0"/>
        <w:autoSpaceDN w:val="0"/>
        <w:ind w:left="851" w:right="851" w:firstLine="142"/>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Gráfico N°3</w:t>
      </w:r>
    </w:p>
    <w:p w:rsidRPr="00F31A99" w:rsidR="00F31A99" w:rsidP="00F31A99" w:rsidRDefault="00F31A99" w14:paraId="3F587E38" w14:textId="77777777">
      <w:pPr>
        <w:widowControl w:val="0"/>
        <w:autoSpaceDN w:val="0"/>
        <w:ind w:left="851" w:right="851" w:firstLine="142"/>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Subpartida 50105 Equipo de Cómputo</w:t>
      </w:r>
    </w:p>
    <w:p w:rsidRPr="00F31A99" w:rsidR="00F31A99" w:rsidP="00F31A99" w:rsidRDefault="00F31A99" w14:paraId="40EF0323" w14:textId="77777777">
      <w:pPr>
        <w:widowControl w:val="0"/>
        <w:autoSpaceDN w:val="0"/>
        <w:ind w:left="851" w:right="851" w:firstLine="142"/>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Formulación y Ejecución Períodos 2018-2021</w:t>
      </w:r>
    </w:p>
    <w:p w:rsidRPr="00F31A99" w:rsidR="00F31A99" w:rsidP="00F31A99" w:rsidRDefault="00F31A99" w14:paraId="2C582990" w14:textId="77777777">
      <w:pPr>
        <w:widowControl w:val="0"/>
        <w:autoSpaceDN w:val="0"/>
        <w:jc w:val="center"/>
        <w:rPr>
          <w:rFonts w:ascii="Times New Roman" w:hAnsi="Times New Roman" w:eastAsia="Calibri" w:cs="Times New Roman"/>
          <w:bCs/>
          <w:noProof/>
          <w:sz w:val="24"/>
          <w:u w:color="000000"/>
        </w:rPr>
      </w:pPr>
    </w:p>
    <w:p w:rsidRPr="00F31A99" w:rsidR="00F31A99" w:rsidP="00F31A99" w:rsidRDefault="00F31A99" w14:paraId="4D3F369A" w14:textId="77777777">
      <w:pPr>
        <w:widowControl w:val="0"/>
        <w:autoSpaceDN w:val="0"/>
        <w:jc w:val="center"/>
        <w:rPr>
          <w:rFonts w:ascii="Times New Roman" w:hAnsi="Times New Roman" w:eastAsia="Calibri" w:cs="Times New Roman"/>
          <w:bCs/>
          <w:sz w:val="24"/>
          <w:u w:color="000000"/>
        </w:rPr>
      </w:pPr>
      <w:r w:rsidRPr="00F31A99">
        <w:rPr>
          <w:rFonts w:ascii="Times New Roman" w:hAnsi="Times New Roman" w:eastAsia="Calibri" w:cs="Times New Roman"/>
          <w:bCs/>
          <w:noProof/>
          <w:sz w:val="24"/>
          <w:u w:color="000000"/>
          <w:lang w:eastAsia="es-MX"/>
        </w:rPr>
        <w:drawing>
          <wp:inline distT="0" distB="0" distL="0" distR="0" wp14:anchorId="0C53BDB6" wp14:editId="03A1B3AE">
            <wp:extent cx="5143500" cy="3029857"/>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39513" cy="3086415"/>
                    </a:xfrm>
                    <a:prstGeom prst="rect">
                      <a:avLst/>
                    </a:prstGeom>
                    <a:noFill/>
                    <a:ln>
                      <a:noFill/>
                    </a:ln>
                  </pic:spPr>
                </pic:pic>
              </a:graphicData>
            </a:graphic>
          </wp:inline>
        </w:drawing>
      </w:r>
    </w:p>
    <w:p w:rsidRPr="00F31A99" w:rsidR="00F31A99" w:rsidP="00F31A99" w:rsidRDefault="00F31A99" w14:paraId="0D1EA21E" w14:textId="77777777">
      <w:pPr>
        <w:widowControl w:val="0"/>
        <w:autoSpaceDN w:val="0"/>
        <w:ind w:firstLine="708"/>
        <w:rPr>
          <w:rFonts w:ascii="Times New Roman" w:hAnsi="Times New Roman" w:eastAsia="Calibri" w:cs="Times New Roman"/>
          <w:bCs/>
          <w:sz w:val="16"/>
          <w:szCs w:val="16"/>
          <w:u w:color="000000"/>
        </w:rPr>
      </w:pPr>
      <w:r w:rsidRPr="00F31A99">
        <w:rPr>
          <w:rFonts w:ascii="Times New Roman" w:hAnsi="Times New Roman" w:eastAsia="Calibri" w:cs="Times New Roman"/>
          <w:b/>
          <w:sz w:val="16"/>
          <w:szCs w:val="16"/>
          <w:u w:color="000000"/>
        </w:rPr>
        <w:t>Fuente:</w:t>
      </w:r>
      <w:r w:rsidRPr="00F31A99">
        <w:rPr>
          <w:rFonts w:ascii="Times New Roman" w:hAnsi="Times New Roman" w:eastAsia="Calibri" w:cs="Times New Roman"/>
          <w:bCs/>
          <w:sz w:val="16"/>
          <w:szCs w:val="16"/>
          <w:u w:color="000000"/>
        </w:rPr>
        <w:t xml:space="preserve"> Sistema SIGA-PJ</w:t>
      </w:r>
    </w:p>
    <w:p w:rsidRPr="00F31A99" w:rsidR="00F31A99" w:rsidP="00F31A99" w:rsidRDefault="00F31A99" w14:paraId="6B3E0926" w14:textId="77777777">
      <w:pPr>
        <w:widowControl w:val="0"/>
        <w:autoSpaceDN w:val="0"/>
        <w:jc w:val="both"/>
        <w:rPr>
          <w:rFonts w:ascii="Times New Roman" w:hAnsi="Times New Roman" w:eastAsia="Calibri" w:cs="Times New Roman"/>
          <w:bCs/>
          <w:sz w:val="24"/>
          <w:u w:color="000000"/>
        </w:rPr>
      </w:pPr>
    </w:p>
    <w:p w:rsidRPr="00F31A99" w:rsidR="00F31A99" w:rsidP="00F31A99" w:rsidRDefault="00F31A99" w14:paraId="45F1F61C"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En el gráfico anterior se muestra una ejecución presupuestaria muy alta, sobre todo en el 2020 en el que se registra un 99,97%, quedando solamente ¢1.327.257 sin ejecutar.</w:t>
      </w:r>
    </w:p>
    <w:p w:rsidRPr="00F31A99" w:rsidR="00F31A99" w:rsidP="00F31A99" w:rsidRDefault="00F31A99" w14:paraId="6E7B5B06" w14:textId="77777777">
      <w:pPr>
        <w:widowControl w:val="0"/>
        <w:autoSpaceDN w:val="0"/>
        <w:spacing w:line="360" w:lineRule="auto"/>
        <w:jc w:val="both"/>
        <w:rPr>
          <w:rFonts w:ascii="Times New Roman" w:hAnsi="Times New Roman" w:eastAsia="Calibri" w:cs="Times New Roman"/>
          <w:bCs/>
          <w:sz w:val="24"/>
          <w:u w:color="000000"/>
        </w:rPr>
      </w:pPr>
      <w:r w:rsidRPr="00F31A99">
        <w:rPr>
          <w:rFonts w:ascii="Times New Roman" w:hAnsi="Times New Roman" w:eastAsia="Calibri" w:cs="Times New Roman"/>
          <w:sz w:val="24"/>
          <w:szCs w:val="24"/>
          <w:u w:color="000000"/>
        </w:rPr>
        <w:t xml:space="preserve"> </w:t>
      </w:r>
    </w:p>
    <w:p w:rsidRPr="00F31A99" w:rsidR="00F31A99" w:rsidP="00F31A99" w:rsidRDefault="00F31A99" w14:paraId="0D5FE0A1" w14:textId="77777777">
      <w:pPr>
        <w:widowControl w:val="0"/>
        <w:autoSpaceDN w:val="0"/>
        <w:ind w:left="851" w:right="851" w:hanging="142"/>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1.2.2 Análisis de la Ejecución Presupuestaria de la Subpartida</w:t>
      </w:r>
    </w:p>
    <w:p w:rsidRPr="00F31A99" w:rsidR="00F31A99" w:rsidP="00F31A99" w:rsidRDefault="00F31A99" w14:paraId="3239463F" w14:textId="77777777">
      <w:pPr>
        <w:widowControl w:val="0"/>
        <w:autoSpaceDN w:val="0"/>
        <w:rPr>
          <w:rFonts w:ascii="Times New Roman" w:hAnsi="Times New Roman" w:eastAsia="Calibri" w:cs="Times New Roman"/>
          <w:u w:color="000000"/>
        </w:rPr>
      </w:pPr>
    </w:p>
    <w:p w:rsidRPr="00F31A99" w:rsidR="00F31A99" w:rsidP="00F31A99" w:rsidRDefault="00F31A99" w14:paraId="5A48BCD8"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Cuadro N°7</w:t>
      </w:r>
    </w:p>
    <w:p w:rsidRPr="00F31A99" w:rsidR="00F31A99" w:rsidP="00F31A99" w:rsidRDefault="00F31A99" w14:paraId="3381A221"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Subpartida 50105 Equipo de Cómputo</w:t>
      </w:r>
    </w:p>
    <w:p w:rsidRPr="00F31A99" w:rsidR="00F31A99" w:rsidP="00F31A99" w:rsidRDefault="00F31A99" w14:paraId="0F35A8E7"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Ejecución Presupuestaria Períodos 2018-2020</w:t>
      </w:r>
    </w:p>
    <w:p w:rsidRPr="00F31A99" w:rsidR="00F31A99" w:rsidP="00F31A99" w:rsidRDefault="00F31A99" w14:paraId="189D6263" w14:textId="77777777">
      <w:pPr>
        <w:widowControl w:val="0"/>
        <w:autoSpaceDN w:val="0"/>
        <w:jc w:val="center"/>
        <w:rPr>
          <w:rFonts w:ascii="Times New Roman" w:hAnsi="Times New Roman" w:eastAsia="Calibri" w:cs="Times New Roman"/>
          <w:bCs/>
          <w:sz w:val="24"/>
          <w:u w:color="000000"/>
        </w:rPr>
      </w:pPr>
    </w:p>
    <w:p w:rsidRPr="00F31A99" w:rsidR="00F31A99" w:rsidP="00F31A99" w:rsidRDefault="00F31A99" w14:paraId="68D439D8" w14:textId="77777777">
      <w:pPr>
        <w:widowControl w:val="0"/>
        <w:autoSpaceDN w:val="0"/>
        <w:jc w:val="center"/>
        <w:rPr>
          <w:rFonts w:ascii="Times New Roman" w:hAnsi="Times New Roman" w:eastAsia="Calibri" w:cs="Times New Roman"/>
          <w:bCs/>
          <w:szCs w:val="20"/>
          <w:u w:color="000000"/>
        </w:rPr>
      </w:pPr>
      <w:r w:rsidRPr="00F31A99">
        <w:rPr>
          <w:rFonts w:ascii="Times New Roman" w:hAnsi="Times New Roman" w:eastAsia="Calibri" w:cs="Times New Roman"/>
          <w:noProof/>
          <w:u w:color="000000"/>
          <w:lang w:eastAsia="es-MX"/>
        </w:rPr>
        <w:drawing>
          <wp:inline distT="0" distB="0" distL="0" distR="0" wp14:anchorId="6D76D567" wp14:editId="02E5BD4B">
            <wp:extent cx="3777343" cy="954004"/>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06450" cy="961355"/>
                    </a:xfrm>
                    <a:prstGeom prst="rect">
                      <a:avLst/>
                    </a:prstGeom>
                    <a:noFill/>
                    <a:ln>
                      <a:noFill/>
                    </a:ln>
                  </pic:spPr>
                </pic:pic>
              </a:graphicData>
            </a:graphic>
          </wp:inline>
        </w:drawing>
      </w:r>
    </w:p>
    <w:p w:rsidRPr="00F31A99" w:rsidR="00F31A99" w:rsidP="00F31A99" w:rsidRDefault="00F31A99" w14:paraId="30BBF10E" w14:textId="77777777">
      <w:pPr>
        <w:widowControl w:val="0"/>
        <w:autoSpaceDN w:val="0"/>
        <w:ind w:firstLine="708"/>
        <w:rPr>
          <w:rFonts w:ascii="Times New Roman" w:hAnsi="Times New Roman" w:eastAsia="Calibri" w:cs="Times New Roman"/>
          <w:b/>
          <w:szCs w:val="20"/>
          <w:u w:color="000000"/>
        </w:rPr>
      </w:pPr>
    </w:p>
    <w:p w:rsidRPr="00F31A99" w:rsidR="00F31A99" w:rsidP="00F31A99" w:rsidRDefault="00F31A99" w14:paraId="351B7AE8" w14:textId="77777777">
      <w:pPr>
        <w:widowControl w:val="0"/>
        <w:autoSpaceDN w:val="0"/>
        <w:ind w:firstLine="708"/>
        <w:rPr>
          <w:rFonts w:ascii="Times New Roman" w:hAnsi="Times New Roman" w:eastAsia="Calibri" w:cs="Times New Roman"/>
          <w:bCs/>
          <w:sz w:val="16"/>
          <w:szCs w:val="16"/>
          <w:u w:color="000000"/>
        </w:rPr>
      </w:pPr>
      <w:r w:rsidRPr="00F31A99">
        <w:rPr>
          <w:rFonts w:ascii="Times New Roman" w:hAnsi="Times New Roman" w:eastAsia="Calibri" w:cs="Times New Roman"/>
          <w:b/>
          <w:sz w:val="16"/>
          <w:szCs w:val="16"/>
          <w:u w:color="000000"/>
        </w:rPr>
        <w:lastRenderedPageBreak/>
        <w:t>Fuente:</w:t>
      </w:r>
      <w:r w:rsidRPr="00F31A99">
        <w:rPr>
          <w:rFonts w:ascii="Times New Roman" w:hAnsi="Times New Roman" w:eastAsia="Calibri" w:cs="Times New Roman"/>
          <w:bCs/>
          <w:sz w:val="16"/>
          <w:szCs w:val="16"/>
          <w:u w:color="000000"/>
        </w:rPr>
        <w:t xml:space="preserve"> Sistema SIGA-PJ</w:t>
      </w:r>
    </w:p>
    <w:p w:rsidRPr="00F31A99" w:rsidR="00F31A99" w:rsidP="00F31A99" w:rsidRDefault="00F31A99" w14:paraId="7A46E16E" w14:textId="77777777">
      <w:pPr>
        <w:widowControl w:val="0"/>
        <w:autoSpaceDN w:val="0"/>
        <w:rPr>
          <w:rFonts w:ascii="Times New Roman" w:hAnsi="Times New Roman" w:eastAsia="Calibri" w:cs="Times New Roman"/>
          <w:bCs/>
          <w:sz w:val="24"/>
          <w:u w:color="000000"/>
        </w:rPr>
      </w:pPr>
    </w:p>
    <w:p w:rsidRPr="00F31A99" w:rsidR="00F31A99" w:rsidP="00F31A99" w:rsidRDefault="00F31A99" w14:paraId="0C434049"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Del cuadro anterior se puede indicar que la ejecución presupuestaria ha mejorado de manera significativa, mostrando niveles óptimos en los últimos dos años. </w:t>
      </w:r>
    </w:p>
    <w:p w:rsidRPr="00F31A99" w:rsidR="00F31A99" w:rsidP="00F31A99" w:rsidRDefault="00F31A99" w14:paraId="0B05E5CC" w14:textId="77777777">
      <w:pPr>
        <w:widowControl w:val="0"/>
        <w:autoSpaceDN w:val="0"/>
        <w:rPr>
          <w:rFonts w:ascii="Times New Roman" w:hAnsi="Times New Roman" w:eastAsia="Times New Roman" w:cs="Times New Roman"/>
          <w:b/>
          <w:bCs/>
          <w:sz w:val="24"/>
          <w:szCs w:val="24"/>
          <w:u w:color="000000"/>
        </w:rPr>
      </w:pPr>
    </w:p>
    <w:p w:rsidRPr="00F31A99" w:rsidR="00F31A99" w:rsidP="00F31A99" w:rsidRDefault="00F31A99" w14:paraId="7C4D7C34" w14:textId="77777777">
      <w:pPr>
        <w:widowControl w:val="0"/>
        <w:autoSpaceDN w:val="0"/>
        <w:ind w:left="851" w:right="851" w:hanging="142"/>
        <w:jc w:val="center"/>
        <w:rPr>
          <w:rFonts w:ascii="Times New Roman" w:hAnsi="Times New Roman" w:eastAsia="Calibri" w:cs="Times New Roman"/>
          <w:b/>
          <w:bCs/>
          <w:u w:color="000000"/>
        </w:rPr>
      </w:pPr>
      <w:r w:rsidRPr="00F31A99">
        <w:rPr>
          <w:rFonts w:ascii="Times New Roman" w:hAnsi="Times New Roman" w:eastAsia="Times New Roman" w:cs="Times New Roman"/>
          <w:b/>
          <w:bCs/>
          <w:sz w:val="26"/>
          <w:szCs w:val="26"/>
          <w:u w:color="000000"/>
        </w:rPr>
        <w:t>1.2.3 Variación por Programa Presupuestario 2021-2022</w:t>
      </w:r>
    </w:p>
    <w:p w:rsidRPr="00F31A99" w:rsidR="00F31A99" w:rsidP="00F31A99" w:rsidRDefault="00F31A99" w14:paraId="43A2C077" w14:textId="77777777">
      <w:pPr>
        <w:widowControl w:val="0"/>
        <w:autoSpaceDN w:val="0"/>
        <w:rPr>
          <w:rFonts w:ascii="Times New Roman" w:hAnsi="Times New Roman" w:eastAsia="Calibri" w:cs="Times New Roman"/>
          <w:u w:color="000000"/>
        </w:rPr>
      </w:pPr>
    </w:p>
    <w:p w:rsidRPr="00F31A99" w:rsidR="00F31A99" w:rsidP="00F31A99" w:rsidRDefault="00F31A99" w14:paraId="55BE6C85"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En el siguiente cuadro se muestra el detalle de la variación para cada uno de los programas presupuestarios.</w:t>
      </w:r>
    </w:p>
    <w:p w:rsidRPr="00F31A99" w:rsidR="00F31A99" w:rsidP="00F31A99" w:rsidRDefault="00F31A99" w14:paraId="05561B9D" w14:textId="77777777">
      <w:pPr>
        <w:widowControl w:val="0"/>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536DFBB9"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Cuadro N° 8</w:t>
      </w:r>
    </w:p>
    <w:p w:rsidRPr="00F31A99" w:rsidR="00F31A99" w:rsidP="00F31A99" w:rsidRDefault="00F31A99" w14:paraId="3D5ED00F"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Subpartida 50105 Equipo de Cómputo</w:t>
      </w:r>
    </w:p>
    <w:p w:rsidRPr="00F31A99" w:rsidR="00F31A99" w:rsidP="00F31A99" w:rsidRDefault="00F31A99" w14:paraId="79609FD8"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Porcentaje de Variación por Programa Presupuestario Períodos 2021-2022</w:t>
      </w:r>
    </w:p>
    <w:p w:rsidRPr="00F31A99" w:rsidR="00F31A99" w:rsidP="00F31A99" w:rsidRDefault="00F31A99" w14:paraId="0AE11DDA" w14:textId="77777777">
      <w:pPr>
        <w:widowControl w:val="0"/>
        <w:autoSpaceDN w:val="0"/>
        <w:jc w:val="center"/>
        <w:rPr>
          <w:rFonts w:ascii="Times New Roman" w:hAnsi="Times New Roman" w:eastAsia="Calibri" w:cs="Times New Roman"/>
          <w:b/>
          <w:sz w:val="24"/>
          <w:u w:color="000000"/>
        </w:rPr>
      </w:pPr>
    </w:p>
    <w:tbl>
      <w:tblPr>
        <w:tblW w:w="110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4225"/>
        <w:gridCol w:w="1292"/>
        <w:gridCol w:w="1386"/>
        <w:gridCol w:w="1542"/>
        <w:gridCol w:w="1392"/>
        <w:gridCol w:w="1220"/>
      </w:tblGrid>
      <w:tr w:rsidRPr="00F31A99" w:rsidR="00AE1B2B" w:rsidTr="00A306B2" w14:paraId="32F1200C" w14:textId="77777777">
        <w:trPr>
          <w:trHeight w:val="330"/>
          <w:jc w:val="center"/>
        </w:trPr>
        <w:tc>
          <w:tcPr>
            <w:tcW w:w="4225" w:type="dxa"/>
            <w:shd w:val="clear" w:color="000000" w:fill="F2F2F2"/>
            <w:noWrap/>
            <w:vAlign w:val="center"/>
            <w:hideMark/>
          </w:tcPr>
          <w:p w:rsidRPr="00F31A99" w:rsidR="00F31A99" w:rsidP="00F31A99" w:rsidRDefault="00F31A99" w14:paraId="7942FBC0"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 xml:space="preserve">Programa </w:t>
            </w:r>
          </w:p>
        </w:tc>
        <w:tc>
          <w:tcPr>
            <w:tcW w:w="1292" w:type="dxa"/>
            <w:shd w:val="clear" w:color="000000" w:fill="F2F2F2"/>
          </w:tcPr>
          <w:p w:rsidRPr="00F31A99" w:rsidR="00F31A99" w:rsidP="00F31A99" w:rsidRDefault="00F31A99" w14:paraId="19C0E080"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Ejecutado 2020</w:t>
            </w:r>
          </w:p>
        </w:tc>
        <w:tc>
          <w:tcPr>
            <w:tcW w:w="1386" w:type="dxa"/>
            <w:shd w:val="clear" w:color="000000" w:fill="F2F2F2"/>
            <w:noWrap/>
            <w:vAlign w:val="center"/>
            <w:hideMark/>
          </w:tcPr>
          <w:p w:rsidRPr="00F31A99" w:rsidR="00F31A99" w:rsidP="00F31A99" w:rsidRDefault="00F31A99" w14:paraId="177149C5"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Aprobado 2021</w:t>
            </w:r>
          </w:p>
        </w:tc>
        <w:tc>
          <w:tcPr>
            <w:tcW w:w="1542" w:type="dxa"/>
            <w:shd w:val="clear" w:color="000000" w:fill="F2F2F2"/>
            <w:noWrap/>
            <w:vAlign w:val="center"/>
            <w:hideMark/>
          </w:tcPr>
          <w:p w:rsidRPr="00F31A99" w:rsidR="00F31A99" w:rsidP="00F31A99" w:rsidRDefault="00F31A99" w14:paraId="7027D80A"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Formulado 2022</w:t>
            </w:r>
          </w:p>
        </w:tc>
        <w:tc>
          <w:tcPr>
            <w:tcW w:w="1392" w:type="dxa"/>
            <w:shd w:val="clear" w:color="000000" w:fill="F2F2F2"/>
            <w:noWrap/>
            <w:vAlign w:val="center"/>
            <w:hideMark/>
          </w:tcPr>
          <w:p w:rsidRPr="00F31A99" w:rsidR="00F31A99" w:rsidP="00F31A99" w:rsidRDefault="00F31A99" w14:paraId="4397F0CB"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 xml:space="preserve">Diferencia </w:t>
            </w:r>
          </w:p>
        </w:tc>
        <w:tc>
          <w:tcPr>
            <w:tcW w:w="1220" w:type="dxa"/>
            <w:shd w:val="clear" w:color="000000" w:fill="F2F2F2"/>
            <w:noWrap/>
            <w:vAlign w:val="center"/>
            <w:hideMark/>
          </w:tcPr>
          <w:p w:rsidRPr="00F31A99" w:rsidR="00F31A99" w:rsidP="00F31A99" w:rsidRDefault="00F31A99" w14:paraId="36FD6AA5" w14:textId="77777777">
            <w:pPr>
              <w:widowControl w:val="0"/>
              <w:autoSpaceDN w:val="0"/>
              <w:jc w:val="center"/>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Variación %</w:t>
            </w:r>
          </w:p>
        </w:tc>
      </w:tr>
      <w:tr w:rsidRPr="00F31A99" w:rsidR="00AE1B2B" w:rsidTr="00A306B2" w14:paraId="081F897C" w14:textId="77777777">
        <w:trPr>
          <w:trHeight w:val="330"/>
          <w:jc w:val="center"/>
        </w:trPr>
        <w:tc>
          <w:tcPr>
            <w:tcW w:w="4225" w:type="dxa"/>
            <w:shd w:val="clear" w:color="000000" w:fill="FFFFFF"/>
            <w:noWrap/>
            <w:vAlign w:val="center"/>
            <w:hideMark/>
          </w:tcPr>
          <w:p w:rsidRPr="00F31A99" w:rsidR="00F31A99" w:rsidP="00F31A99" w:rsidRDefault="00F31A99" w14:paraId="6767399C"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Dirección, Administración y Otros Órganos</w:t>
            </w:r>
          </w:p>
        </w:tc>
        <w:tc>
          <w:tcPr>
            <w:tcW w:w="1292" w:type="dxa"/>
            <w:shd w:val="clear" w:color="000000" w:fill="FFFFFF"/>
            <w:vAlign w:val="center"/>
          </w:tcPr>
          <w:p w:rsidRPr="00F31A99" w:rsidR="00F31A99" w:rsidP="00F31A99" w:rsidRDefault="00F31A99" w14:paraId="7E19F9EC"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2.918.683.946</w:t>
            </w:r>
          </w:p>
        </w:tc>
        <w:tc>
          <w:tcPr>
            <w:tcW w:w="1386" w:type="dxa"/>
            <w:shd w:val="clear" w:color="000000" w:fill="FFFFFF"/>
            <w:noWrap/>
            <w:vAlign w:val="center"/>
            <w:hideMark/>
          </w:tcPr>
          <w:p w:rsidRPr="00F31A99" w:rsidR="00F31A99" w:rsidP="00F31A99" w:rsidRDefault="00F31A99" w14:paraId="4595D449"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1.951.754.577</w:t>
            </w:r>
          </w:p>
        </w:tc>
        <w:tc>
          <w:tcPr>
            <w:tcW w:w="1542" w:type="dxa"/>
            <w:shd w:val="clear" w:color="000000" w:fill="FFFFFF"/>
            <w:noWrap/>
            <w:vAlign w:val="center"/>
            <w:hideMark/>
          </w:tcPr>
          <w:p w:rsidRPr="00F31A99" w:rsidR="00F31A99" w:rsidP="00F31A99" w:rsidRDefault="00F31A99" w14:paraId="1FFDD09C"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2.049.881.746</w:t>
            </w:r>
          </w:p>
        </w:tc>
        <w:tc>
          <w:tcPr>
            <w:tcW w:w="1392" w:type="dxa"/>
            <w:shd w:val="clear" w:color="000000" w:fill="FFFFFF"/>
            <w:noWrap/>
            <w:vAlign w:val="center"/>
            <w:hideMark/>
          </w:tcPr>
          <w:p w:rsidRPr="00F31A99" w:rsidR="00F31A99" w:rsidP="00F31A99" w:rsidRDefault="00F31A99" w14:paraId="6738AD36"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98.127.169</w:t>
            </w:r>
          </w:p>
        </w:tc>
        <w:tc>
          <w:tcPr>
            <w:tcW w:w="1220" w:type="dxa"/>
            <w:shd w:val="clear" w:color="000000" w:fill="FFFFFF"/>
            <w:noWrap/>
            <w:vAlign w:val="center"/>
            <w:hideMark/>
          </w:tcPr>
          <w:p w:rsidRPr="00F31A99" w:rsidR="00F31A99" w:rsidP="00F31A99" w:rsidRDefault="00F31A99" w14:paraId="0459E7D5"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Calibri" w:cs="Times New Roman"/>
                <w:sz w:val="20"/>
                <w:szCs w:val="20"/>
                <w:u w:color="000000"/>
              </w:rPr>
              <w:t>5,03 %</w:t>
            </w:r>
          </w:p>
        </w:tc>
      </w:tr>
      <w:tr w:rsidRPr="00F31A99" w:rsidR="00AE1B2B" w:rsidTr="00A306B2" w14:paraId="3AD581ED" w14:textId="77777777">
        <w:trPr>
          <w:trHeight w:val="330"/>
          <w:jc w:val="center"/>
        </w:trPr>
        <w:tc>
          <w:tcPr>
            <w:tcW w:w="4225" w:type="dxa"/>
            <w:shd w:val="clear" w:color="000000" w:fill="FFFFFF"/>
            <w:noWrap/>
            <w:vAlign w:val="center"/>
            <w:hideMark/>
          </w:tcPr>
          <w:p w:rsidRPr="00F31A99" w:rsidR="00F31A99" w:rsidP="00F31A99" w:rsidRDefault="00F31A99" w14:paraId="3CEA08E1"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Servicio Jurisdiccional</w:t>
            </w:r>
          </w:p>
        </w:tc>
        <w:tc>
          <w:tcPr>
            <w:tcW w:w="1292" w:type="dxa"/>
            <w:shd w:val="clear" w:color="000000" w:fill="FFFFFF"/>
            <w:vAlign w:val="center"/>
          </w:tcPr>
          <w:p w:rsidRPr="00F31A99" w:rsidR="00F31A99" w:rsidP="00F31A99" w:rsidRDefault="00F31A99" w14:paraId="7963675E"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345.459.151</w:t>
            </w:r>
          </w:p>
        </w:tc>
        <w:tc>
          <w:tcPr>
            <w:tcW w:w="1386" w:type="dxa"/>
            <w:shd w:val="clear" w:color="000000" w:fill="FFFFFF"/>
            <w:noWrap/>
            <w:vAlign w:val="center"/>
            <w:hideMark/>
          </w:tcPr>
          <w:p w:rsidRPr="00F31A99" w:rsidR="00F31A99" w:rsidP="00F31A99" w:rsidRDefault="00F31A99" w14:paraId="758173DC"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371.944.064</w:t>
            </w:r>
          </w:p>
        </w:tc>
        <w:tc>
          <w:tcPr>
            <w:tcW w:w="1542" w:type="dxa"/>
            <w:shd w:val="clear" w:color="000000" w:fill="FFFFFF"/>
            <w:noWrap/>
            <w:vAlign w:val="center"/>
            <w:hideMark/>
          </w:tcPr>
          <w:p w:rsidRPr="00F31A99" w:rsidR="00F31A99" w:rsidP="00F31A99" w:rsidRDefault="00F31A99" w14:paraId="0246C2BA"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114.691.620</w:t>
            </w:r>
          </w:p>
        </w:tc>
        <w:tc>
          <w:tcPr>
            <w:tcW w:w="1392" w:type="dxa"/>
            <w:shd w:val="clear" w:color="000000" w:fill="FFFFFF"/>
            <w:noWrap/>
            <w:vAlign w:val="center"/>
            <w:hideMark/>
          </w:tcPr>
          <w:p w:rsidRPr="00F31A99" w:rsidR="00F31A99" w:rsidP="00F31A99" w:rsidRDefault="00F31A99" w14:paraId="6FA8FA29"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-257.252.444</w:t>
            </w:r>
          </w:p>
        </w:tc>
        <w:tc>
          <w:tcPr>
            <w:tcW w:w="1220" w:type="dxa"/>
            <w:shd w:val="clear" w:color="000000" w:fill="FFFFFF"/>
            <w:noWrap/>
            <w:vAlign w:val="center"/>
            <w:hideMark/>
          </w:tcPr>
          <w:p w:rsidRPr="00F31A99" w:rsidR="00F31A99" w:rsidP="00F31A99" w:rsidRDefault="00F31A99" w14:paraId="4091F7A0"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-69,16 %</w:t>
            </w:r>
          </w:p>
        </w:tc>
      </w:tr>
      <w:tr w:rsidRPr="00F31A99" w:rsidR="00AE1B2B" w:rsidTr="00A306B2" w14:paraId="08B201F1" w14:textId="77777777">
        <w:trPr>
          <w:trHeight w:val="330"/>
          <w:jc w:val="center"/>
        </w:trPr>
        <w:tc>
          <w:tcPr>
            <w:tcW w:w="4225" w:type="dxa"/>
            <w:shd w:val="clear" w:color="000000" w:fill="FFFFFF"/>
            <w:noWrap/>
            <w:vAlign w:val="center"/>
            <w:hideMark/>
          </w:tcPr>
          <w:p w:rsidRPr="00F31A99" w:rsidR="00F31A99" w:rsidP="00F31A99" w:rsidRDefault="00F31A99" w14:paraId="2BE641E8"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Organismo de Investigación Judicial</w:t>
            </w:r>
          </w:p>
        </w:tc>
        <w:tc>
          <w:tcPr>
            <w:tcW w:w="1292" w:type="dxa"/>
            <w:shd w:val="clear" w:color="000000" w:fill="FFFFFF"/>
            <w:vAlign w:val="center"/>
          </w:tcPr>
          <w:p w:rsidRPr="00F31A99" w:rsidR="00F31A99" w:rsidP="00F31A99" w:rsidRDefault="00F31A99" w14:paraId="3B7B2ED5"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559.042.702</w:t>
            </w:r>
          </w:p>
        </w:tc>
        <w:tc>
          <w:tcPr>
            <w:tcW w:w="1386" w:type="dxa"/>
            <w:shd w:val="clear" w:color="000000" w:fill="FFFFFF"/>
            <w:noWrap/>
            <w:vAlign w:val="center"/>
            <w:hideMark/>
          </w:tcPr>
          <w:p w:rsidRPr="00F31A99" w:rsidR="00F31A99" w:rsidP="00F31A99" w:rsidRDefault="00F31A99" w14:paraId="7FC07B24"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395.617.392</w:t>
            </w:r>
          </w:p>
        </w:tc>
        <w:tc>
          <w:tcPr>
            <w:tcW w:w="1542" w:type="dxa"/>
            <w:shd w:val="clear" w:color="000000" w:fill="FFFFFF"/>
            <w:noWrap/>
            <w:vAlign w:val="center"/>
            <w:hideMark/>
          </w:tcPr>
          <w:p w:rsidRPr="00F31A99" w:rsidR="00F31A99" w:rsidP="00F31A99" w:rsidRDefault="00F31A99" w14:paraId="16410526"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266.100.962</w:t>
            </w:r>
          </w:p>
        </w:tc>
        <w:tc>
          <w:tcPr>
            <w:tcW w:w="1392" w:type="dxa"/>
            <w:shd w:val="clear" w:color="000000" w:fill="FFFFFF"/>
            <w:noWrap/>
            <w:vAlign w:val="center"/>
            <w:hideMark/>
          </w:tcPr>
          <w:p w:rsidRPr="00F31A99" w:rsidR="00F31A99" w:rsidP="00F31A99" w:rsidRDefault="00F31A99" w14:paraId="576F3A07"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-129.516.430</w:t>
            </w:r>
          </w:p>
        </w:tc>
        <w:tc>
          <w:tcPr>
            <w:tcW w:w="1220" w:type="dxa"/>
            <w:shd w:val="clear" w:color="000000" w:fill="FFFFFF"/>
            <w:noWrap/>
            <w:vAlign w:val="center"/>
            <w:hideMark/>
          </w:tcPr>
          <w:p w:rsidRPr="00F31A99" w:rsidR="00F31A99" w:rsidP="00F31A99" w:rsidRDefault="00F31A99" w14:paraId="6111F35C"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-32,74 %</w:t>
            </w:r>
          </w:p>
        </w:tc>
      </w:tr>
      <w:tr w:rsidRPr="00F31A99" w:rsidR="00AE1B2B" w:rsidTr="00A306B2" w14:paraId="7BAC8599" w14:textId="77777777">
        <w:trPr>
          <w:trHeight w:val="330"/>
          <w:jc w:val="center"/>
        </w:trPr>
        <w:tc>
          <w:tcPr>
            <w:tcW w:w="4225" w:type="dxa"/>
            <w:shd w:val="clear" w:color="000000" w:fill="FFFFFF"/>
            <w:noWrap/>
            <w:vAlign w:val="center"/>
            <w:hideMark/>
          </w:tcPr>
          <w:p w:rsidRPr="00F31A99" w:rsidR="00F31A99" w:rsidP="00F31A99" w:rsidRDefault="00F31A99" w14:paraId="30013525"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Ministerio Público</w:t>
            </w:r>
          </w:p>
        </w:tc>
        <w:tc>
          <w:tcPr>
            <w:tcW w:w="1292" w:type="dxa"/>
            <w:shd w:val="clear" w:color="000000" w:fill="FFFFFF"/>
            <w:vAlign w:val="center"/>
          </w:tcPr>
          <w:p w:rsidRPr="00F31A99" w:rsidR="00F31A99" w:rsidP="00F31A99" w:rsidRDefault="00F31A99" w14:paraId="3960A7EE"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304.495.011</w:t>
            </w:r>
          </w:p>
        </w:tc>
        <w:tc>
          <w:tcPr>
            <w:tcW w:w="1386" w:type="dxa"/>
            <w:shd w:val="clear" w:color="000000" w:fill="FFFFFF"/>
            <w:noWrap/>
            <w:vAlign w:val="center"/>
            <w:hideMark/>
          </w:tcPr>
          <w:p w:rsidRPr="00F31A99" w:rsidR="00F31A99" w:rsidP="00F31A99" w:rsidRDefault="00F31A99" w14:paraId="4C1726FC"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39.366.518</w:t>
            </w:r>
          </w:p>
        </w:tc>
        <w:tc>
          <w:tcPr>
            <w:tcW w:w="1542" w:type="dxa"/>
            <w:shd w:val="clear" w:color="000000" w:fill="FFFFFF"/>
            <w:noWrap/>
            <w:vAlign w:val="center"/>
            <w:hideMark/>
          </w:tcPr>
          <w:p w:rsidRPr="00F31A99" w:rsidR="00F31A99" w:rsidP="00F31A99" w:rsidRDefault="00F31A99" w14:paraId="2F3F5D00"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37.182.313</w:t>
            </w:r>
          </w:p>
        </w:tc>
        <w:tc>
          <w:tcPr>
            <w:tcW w:w="1392" w:type="dxa"/>
            <w:shd w:val="clear" w:color="000000" w:fill="FFFFFF"/>
            <w:noWrap/>
            <w:vAlign w:val="center"/>
            <w:hideMark/>
          </w:tcPr>
          <w:p w:rsidRPr="00F31A99" w:rsidR="00F31A99" w:rsidP="00F31A99" w:rsidRDefault="00F31A99" w14:paraId="2CDF9F78"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-2.184.205</w:t>
            </w:r>
          </w:p>
        </w:tc>
        <w:tc>
          <w:tcPr>
            <w:tcW w:w="1220" w:type="dxa"/>
            <w:shd w:val="clear" w:color="000000" w:fill="FFFFFF"/>
            <w:noWrap/>
            <w:vAlign w:val="center"/>
            <w:hideMark/>
          </w:tcPr>
          <w:p w:rsidRPr="00F31A99" w:rsidR="00F31A99" w:rsidP="00F31A99" w:rsidRDefault="00F31A99" w14:paraId="19F5899A"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-5,55 %</w:t>
            </w:r>
          </w:p>
        </w:tc>
      </w:tr>
      <w:tr w:rsidRPr="00F31A99" w:rsidR="00AE1B2B" w:rsidTr="00A306B2" w14:paraId="797ABF51" w14:textId="77777777">
        <w:trPr>
          <w:trHeight w:val="330"/>
          <w:jc w:val="center"/>
        </w:trPr>
        <w:tc>
          <w:tcPr>
            <w:tcW w:w="4225" w:type="dxa"/>
            <w:shd w:val="clear" w:color="000000" w:fill="FFFFFF"/>
            <w:noWrap/>
            <w:vAlign w:val="center"/>
            <w:hideMark/>
          </w:tcPr>
          <w:p w:rsidRPr="00F31A99" w:rsidR="00F31A99" w:rsidP="00F31A99" w:rsidRDefault="00F31A99" w14:paraId="248E48AD"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Defensa Pública</w:t>
            </w:r>
          </w:p>
        </w:tc>
        <w:tc>
          <w:tcPr>
            <w:tcW w:w="1292" w:type="dxa"/>
            <w:shd w:val="clear" w:color="000000" w:fill="FFFFFF"/>
            <w:vAlign w:val="center"/>
          </w:tcPr>
          <w:p w:rsidRPr="00F31A99" w:rsidR="00F31A99" w:rsidP="00F31A99" w:rsidRDefault="00F31A99" w14:paraId="0186E5B3"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138.660.841</w:t>
            </w:r>
          </w:p>
        </w:tc>
        <w:tc>
          <w:tcPr>
            <w:tcW w:w="1386" w:type="dxa"/>
            <w:shd w:val="clear" w:color="000000" w:fill="FFFFFF"/>
            <w:noWrap/>
            <w:vAlign w:val="center"/>
            <w:hideMark/>
          </w:tcPr>
          <w:p w:rsidRPr="00F31A99" w:rsidR="00F31A99" w:rsidP="00F31A99" w:rsidRDefault="00F31A99" w14:paraId="2F26B721"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67.622.545</w:t>
            </w:r>
          </w:p>
        </w:tc>
        <w:tc>
          <w:tcPr>
            <w:tcW w:w="1542" w:type="dxa"/>
            <w:shd w:val="clear" w:color="000000" w:fill="FFFFFF"/>
            <w:noWrap/>
            <w:vAlign w:val="center"/>
            <w:hideMark/>
          </w:tcPr>
          <w:p w:rsidRPr="00F31A99" w:rsidR="00F31A99" w:rsidP="00F31A99" w:rsidRDefault="00F31A99" w14:paraId="7B4C422E"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86.572.354</w:t>
            </w:r>
          </w:p>
        </w:tc>
        <w:tc>
          <w:tcPr>
            <w:tcW w:w="1392" w:type="dxa"/>
            <w:shd w:val="clear" w:color="000000" w:fill="FFFFFF"/>
            <w:noWrap/>
            <w:vAlign w:val="center"/>
            <w:hideMark/>
          </w:tcPr>
          <w:p w:rsidRPr="00F31A99" w:rsidR="00F31A99" w:rsidP="00F31A99" w:rsidRDefault="00F31A99" w14:paraId="3793D835"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18.949.809</w:t>
            </w:r>
          </w:p>
        </w:tc>
        <w:tc>
          <w:tcPr>
            <w:tcW w:w="1220" w:type="dxa"/>
            <w:shd w:val="clear" w:color="000000" w:fill="FFFFFF"/>
            <w:noWrap/>
            <w:vAlign w:val="center"/>
            <w:hideMark/>
          </w:tcPr>
          <w:p w:rsidRPr="00F31A99" w:rsidR="00F31A99" w:rsidP="00F31A99" w:rsidRDefault="00F31A99" w14:paraId="3DDA444B"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28,02 %</w:t>
            </w:r>
          </w:p>
        </w:tc>
      </w:tr>
      <w:tr w:rsidRPr="00F31A99" w:rsidR="00AE1B2B" w:rsidTr="00A306B2" w14:paraId="0D18AD90" w14:textId="77777777">
        <w:trPr>
          <w:trHeight w:val="330"/>
          <w:jc w:val="center"/>
        </w:trPr>
        <w:tc>
          <w:tcPr>
            <w:tcW w:w="4225" w:type="dxa"/>
            <w:shd w:val="clear" w:color="000000" w:fill="FFFFFF"/>
            <w:noWrap/>
            <w:vAlign w:val="center"/>
            <w:hideMark/>
          </w:tcPr>
          <w:p w:rsidRPr="00F31A99" w:rsidR="00F31A99" w:rsidP="00F31A99" w:rsidRDefault="00F31A99" w14:paraId="750A90F7" w14:textId="77777777">
            <w:pPr>
              <w:widowControl w:val="0"/>
              <w:autoSpaceDN w:val="0"/>
              <w:rPr>
                <w:rFonts w:ascii="Times New Roman" w:hAnsi="Times New Roman" w:eastAsia="Times New Roman" w:cs="Times New Roman"/>
                <w:sz w:val="20"/>
                <w:szCs w:val="20"/>
                <w:u w:color="000000"/>
                <w:lang w:eastAsia="es-CR"/>
              </w:rPr>
            </w:pPr>
            <w:r w:rsidRPr="00F31A99">
              <w:rPr>
                <w:rFonts w:ascii="Times New Roman" w:hAnsi="Times New Roman" w:eastAsia="Times New Roman" w:cs="Times New Roman"/>
                <w:sz w:val="20"/>
                <w:szCs w:val="20"/>
                <w:u w:color="000000"/>
                <w:lang w:eastAsia="es-CR"/>
              </w:rPr>
              <w:t>Servicio de Atención y Protección</w:t>
            </w:r>
          </w:p>
        </w:tc>
        <w:tc>
          <w:tcPr>
            <w:tcW w:w="1292" w:type="dxa"/>
            <w:shd w:val="clear" w:color="000000" w:fill="FFFFFF"/>
            <w:vAlign w:val="center"/>
          </w:tcPr>
          <w:p w:rsidRPr="00F31A99" w:rsidR="00F31A99" w:rsidP="00F31A99" w:rsidRDefault="00F31A99" w14:paraId="31684E64"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52.109.498</w:t>
            </w:r>
          </w:p>
        </w:tc>
        <w:tc>
          <w:tcPr>
            <w:tcW w:w="1386" w:type="dxa"/>
            <w:shd w:val="clear" w:color="000000" w:fill="FFFFFF"/>
            <w:noWrap/>
            <w:vAlign w:val="center"/>
            <w:hideMark/>
          </w:tcPr>
          <w:p w:rsidRPr="00F31A99" w:rsidR="00F31A99" w:rsidP="00F31A99" w:rsidRDefault="00F31A99" w14:paraId="09941325"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24.393.375</w:t>
            </w:r>
          </w:p>
        </w:tc>
        <w:tc>
          <w:tcPr>
            <w:tcW w:w="1542" w:type="dxa"/>
            <w:shd w:val="clear" w:color="000000" w:fill="FFFFFF"/>
            <w:noWrap/>
            <w:vAlign w:val="center"/>
            <w:hideMark/>
          </w:tcPr>
          <w:p w:rsidRPr="00F31A99" w:rsidR="00F31A99" w:rsidP="00F31A99" w:rsidRDefault="00F31A99" w14:paraId="10AF2A7E"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21.506.102</w:t>
            </w:r>
          </w:p>
        </w:tc>
        <w:tc>
          <w:tcPr>
            <w:tcW w:w="1392" w:type="dxa"/>
            <w:shd w:val="clear" w:color="000000" w:fill="FFFFFF"/>
            <w:noWrap/>
            <w:vAlign w:val="center"/>
            <w:hideMark/>
          </w:tcPr>
          <w:p w:rsidRPr="00F31A99" w:rsidR="00F31A99" w:rsidP="00F31A99" w:rsidRDefault="00F31A99" w14:paraId="2AFDD228"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-2.887.273</w:t>
            </w:r>
          </w:p>
        </w:tc>
        <w:tc>
          <w:tcPr>
            <w:tcW w:w="1220" w:type="dxa"/>
            <w:shd w:val="clear" w:color="000000" w:fill="FFFFFF"/>
            <w:noWrap/>
            <w:vAlign w:val="center"/>
            <w:hideMark/>
          </w:tcPr>
          <w:p w:rsidRPr="00F31A99" w:rsidR="00F31A99" w:rsidP="00F31A99" w:rsidRDefault="00F31A99" w14:paraId="66740CB7" w14:textId="77777777">
            <w:pPr>
              <w:widowControl w:val="0"/>
              <w:autoSpaceDN w:val="0"/>
              <w:rPr>
                <w:rFonts w:ascii="Times New Roman" w:hAnsi="Times New Roman" w:eastAsia="Calibri" w:cs="Times New Roman"/>
                <w:sz w:val="20"/>
                <w:szCs w:val="20"/>
                <w:u w:color="000000"/>
              </w:rPr>
            </w:pPr>
            <w:r w:rsidRPr="00F31A99">
              <w:rPr>
                <w:rFonts w:ascii="Times New Roman" w:hAnsi="Times New Roman" w:eastAsia="Calibri" w:cs="Times New Roman"/>
                <w:sz w:val="20"/>
                <w:szCs w:val="20"/>
                <w:u w:color="000000"/>
              </w:rPr>
              <w:t>-11,84 %</w:t>
            </w:r>
          </w:p>
        </w:tc>
      </w:tr>
      <w:tr w:rsidRPr="00F31A99" w:rsidR="00AE1B2B" w:rsidTr="00A306B2" w14:paraId="4D3C1E99" w14:textId="77777777">
        <w:trPr>
          <w:trHeight w:val="330"/>
          <w:jc w:val="center"/>
        </w:trPr>
        <w:tc>
          <w:tcPr>
            <w:tcW w:w="4225" w:type="dxa"/>
            <w:shd w:val="clear" w:color="D9E1F2" w:fill="F2F2F2"/>
            <w:noWrap/>
            <w:vAlign w:val="center"/>
            <w:hideMark/>
          </w:tcPr>
          <w:p w:rsidRPr="00F31A99" w:rsidR="00F31A99" w:rsidP="00F31A99" w:rsidRDefault="00F31A99" w14:paraId="06C72211" w14:textId="77777777">
            <w:pPr>
              <w:widowControl w:val="0"/>
              <w:autoSpaceDN w:val="0"/>
              <w:rPr>
                <w:rFonts w:ascii="Times New Roman" w:hAnsi="Times New Roman" w:eastAsia="Times New Roman" w:cs="Times New Roman"/>
                <w:b/>
                <w:bCs/>
                <w:sz w:val="20"/>
                <w:szCs w:val="20"/>
                <w:u w:color="000000"/>
                <w:lang w:eastAsia="es-CR"/>
              </w:rPr>
            </w:pPr>
            <w:r w:rsidRPr="00F31A99">
              <w:rPr>
                <w:rFonts w:ascii="Times New Roman" w:hAnsi="Times New Roman" w:eastAsia="Times New Roman" w:cs="Times New Roman"/>
                <w:b/>
                <w:bCs/>
                <w:sz w:val="20"/>
                <w:szCs w:val="20"/>
                <w:u w:color="000000"/>
                <w:lang w:eastAsia="es-CR"/>
              </w:rPr>
              <w:t>Total General</w:t>
            </w:r>
          </w:p>
        </w:tc>
        <w:tc>
          <w:tcPr>
            <w:tcW w:w="1292" w:type="dxa"/>
            <w:shd w:val="clear" w:color="D9E1F2" w:fill="F2F2F2"/>
            <w:vAlign w:val="center"/>
          </w:tcPr>
          <w:p w:rsidRPr="00F31A99" w:rsidR="00F31A99" w:rsidP="00F31A99" w:rsidRDefault="00F31A99" w14:paraId="207294DC" w14:textId="77777777">
            <w:pPr>
              <w:widowControl w:val="0"/>
              <w:autoSpaceDN w:val="0"/>
              <w:rPr>
                <w:rFonts w:ascii="Times New Roman" w:hAnsi="Times New Roman" w:eastAsia="Calibri" w:cs="Times New Roman"/>
                <w:b/>
                <w:bCs/>
                <w:sz w:val="20"/>
                <w:szCs w:val="20"/>
                <w:u w:color="000000"/>
              </w:rPr>
            </w:pPr>
            <w:r w:rsidRPr="00F31A99">
              <w:rPr>
                <w:rFonts w:ascii="Times New Roman" w:hAnsi="Times New Roman" w:eastAsia="Calibri" w:cs="Times New Roman"/>
                <w:b/>
                <w:bCs/>
                <w:sz w:val="20"/>
                <w:szCs w:val="20"/>
                <w:u w:color="000000"/>
              </w:rPr>
              <w:t>4.318.451.150</w:t>
            </w:r>
          </w:p>
        </w:tc>
        <w:tc>
          <w:tcPr>
            <w:tcW w:w="1386" w:type="dxa"/>
            <w:shd w:val="clear" w:color="D9E1F2" w:fill="F2F2F2"/>
            <w:noWrap/>
            <w:vAlign w:val="center"/>
            <w:hideMark/>
          </w:tcPr>
          <w:p w:rsidRPr="00F31A99" w:rsidR="00F31A99" w:rsidP="00F31A99" w:rsidRDefault="00F31A99" w14:paraId="66C5759D" w14:textId="77777777">
            <w:pPr>
              <w:widowControl w:val="0"/>
              <w:autoSpaceDN w:val="0"/>
              <w:rPr>
                <w:rFonts w:ascii="Times New Roman" w:hAnsi="Times New Roman" w:eastAsia="Calibri" w:cs="Times New Roman"/>
                <w:b/>
                <w:bCs/>
                <w:sz w:val="20"/>
                <w:szCs w:val="20"/>
                <w:u w:color="000000"/>
              </w:rPr>
            </w:pPr>
            <w:r w:rsidRPr="00F31A99">
              <w:rPr>
                <w:rFonts w:ascii="Times New Roman" w:hAnsi="Times New Roman" w:eastAsia="Calibri" w:cs="Times New Roman"/>
                <w:b/>
                <w:bCs/>
                <w:sz w:val="20"/>
                <w:szCs w:val="20"/>
                <w:u w:color="000000"/>
              </w:rPr>
              <w:t>2.850.698.471</w:t>
            </w:r>
          </w:p>
        </w:tc>
        <w:tc>
          <w:tcPr>
            <w:tcW w:w="1542" w:type="dxa"/>
            <w:shd w:val="clear" w:color="D9E1F2" w:fill="F2F2F2"/>
            <w:noWrap/>
            <w:vAlign w:val="center"/>
            <w:hideMark/>
          </w:tcPr>
          <w:p w:rsidRPr="00F31A99" w:rsidR="00F31A99" w:rsidP="00F31A99" w:rsidRDefault="00F31A99" w14:paraId="403E02FE" w14:textId="77777777">
            <w:pPr>
              <w:widowControl w:val="0"/>
              <w:autoSpaceDN w:val="0"/>
              <w:rPr>
                <w:rFonts w:ascii="Times New Roman" w:hAnsi="Times New Roman" w:eastAsia="Calibri" w:cs="Times New Roman"/>
                <w:b/>
                <w:bCs/>
                <w:sz w:val="20"/>
                <w:szCs w:val="20"/>
                <w:u w:color="000000"/>
              </w:rPr>
            </w:pPr>
            <w:r w:rsidRPr="00F31A99">
              <w:rPr>
                <w:rFonts w:ascii="Times New Roman" w:hAnsi="Times New Roman" w:eastAsia="Calibri" w:cs="Times New Roman"/>
                <w:b/>
                <w:bCs/>
                <w:sz w:val="20"/>
                <w:szCs w:val="20"/>
                <w:u w:color="000000"/>
              </w:rPr>
              <w:t>2.575.935.097</w:t>
            </w:r>
          </w:p>
        </w:tc>
        <w:tc>
          <w:tcPr>
            <w:tcW w:w="1392" w:type="dxa"/>
            <w:shd w:val="clear" w:color="000000" w:fill="F2F2F2"/>
            <w:noWrap/>
            <w:vAlign w:val="center"/>
            <w:hideMark/>
          </w:tcPr>
          <w:p w:rsidRPr="00F31A99" w:rsidR="00F31A99" w:rsidP="00F31A99" w:rsidRDefault="00F31A99" w14:paraId="2605A6E3" w14:textId="77777777">
            <w:pPr>
              <w:widowControl w:val="0"/>
              <w:autoSpaceDN w:val="0"/>
              <w:rPr>
                <w:rFonts w:ascii="Times New Roman" w:hAnsi="Times New Roman" w:eastAsia="Times New Roman" w:cs="Times New Roman"/>
                <w:b/>
                <w:bCs/>
                <w:sz w:val="20"/>
                <w:szCs w:val="20"/>
                <w:u w:color="000000"/>
                <w:lang w:eastAsia="es-CR"/>
              </w:rPr>
            </w:pPr>
            <w:r w:rsidRPr="00F31A99">
              <w:rPr>
                <w:rFonts w:ascii="Times New Roman" w:hAnsi="Times New Roman" w:eastAsia="Calibri" w:cs="Times New Roman"/>
                <w:b/>
                <w:bCs/>
                <w:sz w:val="20"/>
                <w:szCs w:val="20"/>
                <w:u w:color="000000"/>
              </w:rPr>
              <w:t>-274.763.374</w:t>
            </w:r>
          </w:p>
        </w:tc>
        <w:tc>
          <w:tcPr>
            <w:tcW w:w="1220" w:type="dxa"/>
            <w:shd w:val="clear" w:color="000000" w:fill="F2F2F2"/>
            <w:noWrap/>
            <w:vAlign w:val="center"/>
            <w:hideMark/>
          </w:tcPr>
          <w:p w:rsidRPr="00F31A99" w:rsidR="00F31A99" w:rsidP="00F31A99" w:rsidRDefault="00F31A99" w14:paraId="41E0196C" w14:textId="77777777">
            <w:pPr>
              <w:widowControl w:val="0"/>
              <w:autoSpaceDN w:val="0"/>
              <w:rPr>
                <w:rFonts w:ascii="Times New Roman" w:hAnsi="Times New Roman" w:eastAsia="Times New Roman" w:cs="Times New Roman"/>
                <w:b/>
                <w:bCs/>
                <w:sz w:val="20"/>
                <w:szCs w:val="20"/>
                <w:u w:color="000000"/>
                <w:lang w:eastAsia="es-CR"/>
              </w:rPr>
            </w:pPr>
            <w:r w:rsidRPr="00F31A99">
              <w:rPr>
                <w:rFonts w:ascii="Times New Roman" w:hAnsi="Times New Roman" w:eastAsia="Calibri" w:cs="Times New Roman"/>
                <w:b/>
                <w:bCs/>
                <w:sz w:val="20"/>
                <w:szCs w:val="20"/>
                <w:u w:color="000000"/>
              </w:rPr>
              <w:t>-9,64%</w:t>
            </w:r>
          </w:p>
        </w:tc>
      </w:tr>
    </w:tbl>
    <w:p w:rsidRPr="00F31A99" w:rsidR="00F31A99" w:rsidP="00F31A99" w:rsidRDefault="00F31A99" w14:paraId="166EAFAC" w14:textId="77777777">
      <w:pPr>
        <w:widowControl w:val="0"/>
        <w:autoSpaceDN w:val="0"/>
        <w:rPr>
          <w:rFonts w:ascii="Times New Roman" w:hAnsi="Times New Roman" w:eastAsia="Calibri" w:cs="Times New Roman"/>
          <w:b/>
          <w:szCs w:val="20"/>
          <w:u w:color="000000"/>
        </w:rPr>
      </w:pPr>
    </w:p>
    <w:p w:rsidRPr="00F31A99" w:rsidR="00F31A99" w:rsidP="00F31A99" w:rsidRDefault="00F31A99" w14:paraId="2F561607" w14:textId="77777777">
      <w:pPr>
        <w:widowControl w:val="0"/>
        <w:autoSpaceDN w:val="0"/>
        <w:rPr>
          <w:rFonts w:ascii="Times New Roman" w:hAnsi="Times New Roman" w:eastAsia="Calibri" w:cs="Times New Roman"/>
          <w:bCs/>
          <w:sz w:val="16"/>
          <w:szCs w:val="16"/>
          <w:u w:color="000000"/>
        </w:rPr>
      </w:pPr>
      <w:r w:rsidRPr="00F31A99">
        <w:rPr>
          <w:rFonts w:ascii="Times New Roman" w:hAnsi="Times New Roman" w:eastAsia="Calibri" w:cs="Times New Roman"/>
          <w:b/>
          <w:sz w:val="16"/>
          <w:szCs w:val="16"/>
          <w:u w:color="000000"/>
        </w:rPr>
        <w:t>Fuente:</w:t>
      </w:r>
      <w:r w:rsidRPr="00F31A99">
        <w:rPr>
          <w:rFonts w:ascii="Times New Roman" w:hAnsi="Times New Roman" w:eastAsia="Calibri" w:cs="Times New Roman"/>
          <w:bCs/>
          <w:sz w:val="16"/>
          <w:szCs w:val="16"/>
          <w:u w:color="000000"/>
        </w:rPr>
        <w:t xml:space="preserve"> Sistema SIGA-PJ y Sistema de Pre-formulación</w:t>
      </w:r>
    </w:p>
    <w:p w:rsidRPr="00F31A99" w:rsidR="00F31A99" w:rsidP="00F31A99" w:rsidRDefault="00F31A99" w14:paraId="1497DB65" w14:textId="77777777">
      <w:pPr>
        <w:widowControl w:val="0"/>
        <w:autoSpaceDN w:val="0"/>
        <w:jc w:val="both"/>
        <w:rPr>
          <w:rFonts w:ascii="Times New Roman" w:hAnsi="Times New Roman" w:eastAsia="Calibri" w:cs="Times New Roman"/>
          <w:bCs/>
          <w:sz w:val="24"/>
          <w:u w:color="000000"/>
        </w:rPr>
      </w:pPr>
    </w:p>
    <w:p w:rsidRPr="00F31A99" w:rsidR="00F31A99" w:rsidP="00F31A99" w:rsidRDefault="00F31A99" w14:paraId="20C864CB"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En el anteproyecto de presupuesto del 2022 en esta subpartida, el programa presupuestario 926 Dirección, Administración y Otros Órganos de Apoyo tiene un crecimiento de ¢98.127.169, es el monto más importante en cuanto al crecimiento. En este sentido es importante indicar que este programa formula las necesidades institucionales de equipo para sustitución, de ahí que es el que concentra la mayor cantidad de recursos. Por su parte, el programa 930 Defensa Pública también presenta crecimiento con una diferencia de ¢18.949.809 con respecto a lo formulado en el 2021. El resto de programas presupuestarios muestran decrecimientos, lo anterior producto de que en años anteriores se destinó una gran cantidad de recursos para la compra de equipo como parte de la estrategia de </w:t>
      </w:r>
      <w:r w:rsidRPr="00F31A99">
        <w:rPr>
          <w:rFonts w:ascii="Times New Roman" w:hAnsi="Times New Roman" w:eastAsia="Calibri" w:cs="Times New Roman"/>
          <w:sz w:val="26"/>
          <w:szCs w:val="26"/>
          <w:u w:color="000000"/>
        </w:rPr>
        <w:lastRenderedPageBreak/>
        <w:t xml:space="preserve">sustituir el alquiler. </w:t>
      </w:r>
    </w:p>
    <w:p w:rsidRPr="00F31A99" w:rsidR="00F31A99" w:rsidP="00F31A99" w:rsidRDefault="00F31A99" w14:paraId="42CF94F1" w14:textId="77777777">
      <w:pPr>
        <w:widowControl w:val="0"/>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3091A92F"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En el caso del Programa 926 Dirección, Administración es importante señalar que también se incluyen artículos a nivel institucional, como Dispositivos para Almacenamiento de Información ¢579.690.000, Distribuidores ¢257.351.850, Servidor para red ¢128.649.031, Computadoras ¢350.531.463, Impresoras ¢134.877.357, Tabletas ¢87.671.050, UPS ¢13.989.400, Escáner ¢160.957.200, Monitores ¢26.998.652, Lectores ¢26.541.722, Enrutadores ¢53.675.000, entre otros Solamente estos artículos suman en total ¢1.820.932.725.</w:t>
      </w:r>
    </w:p>
    <w:p w:rsidRPr="00F31A99" w:rsidR="00F31A99" w:rsidP="00F31A99" w:rsidRDefault="00F31A99" w14:paraId="5F143C6D" w14:textId="77777777">
      <w:pPr>
        <w:widowControl w:val="0"/>
        <w:autoSpaceDN w:val="0"/>
        <w:jc w:val="both"/>
        <w:rPr>
          <w:rFonts w:ascii="Times New Roman" w:hAnsi="Times New Roman" w:eastAsia="Calibri" w:cs="Times New Roman"/>
          <w:bCs/>
          <w:sz w:val="24"/>
          <w:u w:color="000000"/>
        </w:rPr>
      </w:pPr>
    </w:p>
    <w:p w:rsidRPr="00F31A99" w:rsidR="00F31A99" w:rsidP="00F31A99" w:rsidRDefault="00F31A99" w14:paraId="265EFEF6"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En el siguiente gráfico se muestra la distribución de la subpartida por programa presupuestario para el 2022.</w:t>
      </w:r>
    </w:p>
    <w:p w:rsidRPr="00F31A99" w:rsidR="00F31A99" w:rsidP="00F31A99" w:rsidRDefault="00F31A99" w14:paraId="2567E348"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1D8718AD"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Gráfico N°4</w:t>
      </w:r>
    </w:p>
    <w:p w:rsidRPr="00F31A99" w:rsidR="00F31A99" w:rsidP="00F31A99" w:rsidRDefault="00F31A99" w14:paraId="62CA5E51"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Subpartida 50105 Equipo de Cómputo</w:t>
      </w:r>
    </w:p>
    <w:p w:rsidRPr="00F31A99" w:rsidR="00F31A99" w:rsidP="00F31A99" w:rsidRDefault="00F31A99" w14:paraId="08912F7B"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Distribución Porcentual por Programa Presupuestario Período 2022</w:t>
      </w:r>
    </w:p>
    <w:p w:rsidRPr="00F31A99" w:rsidR="00F31A99" w:rsidP="00F31A99" w:rsidRDefault="00F31A99" w14:paraId="44D7444B" w14:textId="77777777">
      <w:pPr>
        <w:widowControl w:val="0"/>
        <w:autoSpaceDN w:val="0"/>
        <w:jc w:val="center"/>
        <w:rPr>
          <w:rFonts w:ascii="Times New Roman" w:hAnsi="Times New Roman" w:eastAsia="Calibri" w:cs="Times New Roman"/>
          <w:b/>
          <w:sz w:val="28"/>
          <w:szCs w:val="24"/>
          <w:u w:color="000000"/>
        </w:rPr>
      </w:pPr>
    </w:p>
    <w:p w:rsidRPr="00F31A99" w:rsidR="00F31A99" w:rsidP="00F31A99" w:rsidRDefault="00F31A99" w14:paraId="1163DD72" w14:textId="77777777">
      <w:pPr>
        <w:widowControl w:val="0"/>
        <w:autoSpaceDN w:val="0"/>
        <w:jc w:val="center"/>
        <w:rPr>
          <w:rFonts w:ascii="Times New Roman" w:hAnsi="Times New Roman" w:eastAsia="Calibri" w:cs="Times New Roman"/>
          <w:b/>
          <w:sz w:val="28"/>
          <w:szCs w:val="24"/>
          <w:u w:color="000000"/>
        </w:rPr>
      </w:pPr>
      <w:r w:rsidRPr="00F31A99">
        <w:rPr>
          <w:rFonts w:ascii="Times New Roman" w:hAnsi="Times New Roman" w:eastAsia="Calibri" w:cs="Times New Roman"/>
          <w:noProof/>
          <w:u w:color="000000"/>
          <w:lang w:eastAsia="es-MX"/>
        </w:rPr>
        <w:drawing>
          <wp:inline distT="0" distB="0" distL="0" distR="0" wp14:anchorId="429B96E0" wp14:editId="65F7E4CB">
            <wp:extent cx="5789811" cy="3416300"/>
            <wp:effectExtent l="0" t="0" r="190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02843" cy="3423990"/>
                    </a:xfrm>
                    <a:prstGeom prst="rect">
                      <a:avLst/>
                    </a:prstGeom>
                    <a:noFill/>
                    <a:ln>
                      <a:noFill/>
                    </a:ln>
                  </pic:spPr>
                </pic:pic>
              </a:graphicData>
            </a:graphic>
          </wp:inline>
        </w:drawing>
      </w:r>
    </w:p>
    <w:p w:rsidRPr="00F31A99" w:rsidR="00F31A99" w:rsidP="00F31A99" w:rsidRDefault="00F31A99" w14:paraId="3F331CFB" w14:textId="77777777">
      <w:pPr>
        <w:widowControl w:val="0"/>
        <w:autoSpaceDN w:val="0"/>
        <w:ind w:firstLine="708"/>
        <w:rPr>
          <w:rFonts w:ascii="Times New Roman" w:hAnsi="Times New Roman" w:eastAsia="Calibri" w:cs="Times New Roman"/>
          <w:b/>
          <w:szCs w:val="20"/>
          <w:u w:color="000000"/>
        </w:rPr>
      </w:pPr>
    </w:p>
    <w:p w:rsidRPr="00F31A99" w:rsidR="00F31A99" w:rsidP="00F31A99" w:rsidRDefault="00F31A99" w14:paraId="26EB965D" w14:textId="77777777">
      <w:pPr>
        <w:widowControl w:val="0"/>
        <w:autoSpaceDN w:val="0"/>
        <w:ind w:firstLine="708"/>
        <w:rPr>
          <w:rFonts w:ascii="Times New Roman" w:hAnsi="Times New Roman" w:eastAsia="Calibri" w:cs="Times New Roman"/>
          <w:bCs/>
          <w:sz w:val="16"/>
          <w:szCs w:val="16"/>
          <w:u w:color="000000"/>
        </w:rPr>
      </w:pPr>
      <w:r w:rsidRPr="00F31A99">
        <w:rPr>
          <w:rFonts w:ascii="Times New Roman" w:hAnsi="Times New Roman" w:eastAsia="Calibri" w:cs="Times New Roman"/>
          <w:b/>
          <w:sz w:val="16"/>
          <w:szCs w:val="16"/>
          <w:u w:color="000000"/>
        </w:rPr>
        <w:t>Fuente:</w:t>
      </w:r>
      <w:r w:rsidRPr="00F31A99">
        <w:rPr>
          <w:rFonts w:ascii="Times New Roman" w:hAnsi="Times New Roman" w:eastAsia="Calibri" w:cs="Times New Roman"/>
          <w:bCs/>
          <w:sz w:val="16"/>
          <w:szCs w:val="16"/>
          <w:u w:color="000000"/>
        </w:rPr>
        <w:t xml:space="preserve"> Sistema SIGA-PJ y Sistema de Pre-formulación</w:t>
      </w:r>
    </w:p>
    <w:p w:rsidRPr="00F31A99" w:rsidR="00F31A99" w:rsidP="00F31A99" w:rsidRDefault="00F31A99" w14:paraId="36F424B5" w14:textId="77777777">
      <w:pPr>
        <w:widowControl w:val="0"/>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4F311310"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El programa presupuestario 926 Dirección, Administración y Otros Órganos de Apoyo es el principal solicitante de recursos con el 79,58% de los recursos formulados, seguido por el Organismo de Investigación Judicial con un 10,33%. Lo anterior responde a que en estos programas se encuentran oficinas especializadas en el área tecnológica, tales como la Dirección de Tecnología de Información y la Unidad Tecnológica de Informática, la Plataforma de Información Policial y la Sección Especializada contra el Cibercrimen, respectivamente.</w:t>
      </w:r>
    </w:p>
    <w:p w:rsidRPr="00F31A99" w:rsidR="00F31A99" w:rsidP="00F31A99" w:rsidRDefault="00F31A99" w14:paraId="28B52874" w14:textId="77777777">
      <w:pPr>
        <w:widowControl w:val="0"/>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48DDA33C" w14:textId="77777777">
      <w:pPr>
        <w:widowControl w:val="0"/>
        <w:autoSpaceDN w:val="0"/>
        <w:ind w:left="851" w:right="851" w:hanging="142"/>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1.2.4 Distribución por Centro de Responsabilidad</w:t>
      </w:r>
    </w:p>
    <w:p w:rsidRPr="00F31A99" w:rsidR="00F31A99" w:rsidP="00F31A99" w:rsidRDefault="00F31A99" w14:paraId="79CC1E5E" w14:textId="77777777">
      <w:pPr>
        <w:widowControl w:val="0"/>
        <w:autoSpaceDN w:val="0"/>
        <w:rPr>
          <w:rFonts w:ascii="Times New Roman" w:hAnsi="Times New Roman" w:eastAsia="Calibri" w:cs="Times New Roman"/>
          <w:u w:color="000000"/>
        </w:rPr>
      </w:pPr>
    </w:p>
    <w:p w:rsidRPr="00F31A99" w:rsidR="00F31A99" w:rsidP="00F31A99" w:rsidRDefault="00F31A99" w14:paraId="26B5F9BB"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En el siguiente cuadro se muestra el detalle la distribución de los recursos formulados por centro de responsabilidad para el anteproyecto de presupuesto 2022.</w:t>
      </w:r>
    </w:p>
    <w:p w:rsidRPr="00F31A99" w:rsidR="00F31A99" w:rsidP="00F31A99" w:rsidRDefault="00F31A99" w14:paraId="2E3A3EE5" w14:textId="77777777">
      <w:pPr>
        <w:widowControl w:val="0"/>
        <w:autoSpaceDN w:val="0"/>
        <w:rPr>
          <w:rFonts w:ascii="Times New Roman" w:hAnsi="Times New Roman" w:eastAsia="Calibri" w:cs="Times New Roman"/>
          <w:u w:color="000000"/>
        </w:rPr>
      </w:pPr>
    </w:p>
    <w:p w:rsidRPr="00F31A99" w:rsidR="00F31A99" w:rsidP="00F31A99" w:rsidRDefault="00F31A99" w14:paraId="0B8BA75E"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Cuadro N°9</w:t>
      </w:r>
    </w:p>
    <w:p w:rsidRPr="00F31A99" w:rsidR="00F31A99" w:rsidP="00F31A99" w:rsidRDefault="00F31A99" w14:paraId="07A08244"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Subpartida 50105 Equipo de Cómputo</w:t>
      </w:r>
    </w:p>
    <w:p w:rsidRPr="00F31A99" w:rsidR="00F31A99" w:rsidP="00F31A99" w:rsidRDefault="00F31A99" w14:paraId="33B21843"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Distribución por Centro de Responsabilidad Períodos 2021-2022</w:t>
      </w:r>
    </w:p>
    <w:p w:rsidRPr="00F31A99" w:rsidR="00F31A99" w:rsidP="00F31A99" w:rsidRDefault="00F31A99" w14:paraId="52598699" w14:textId="77777777">
      <w:pPr>
        <w:widowControl w:val="0"/>
        <w:autoSpaceDN w:val="0"/>
        <w:jc w:val="center"/>
        <w:rPr>
          <w:rFonts w:ascii="Times New Roman" w:hAnsi="Times New Roman" w:eastAsia="Calibri" w:cs="Times New Roman"/>
          <w:b/>
          <w:sz w:val="24"/>
          <w:u w:color="000000"/>
        </w:rPr>
      </w:pPr>
    </w:p>
    <w:tbl>
      <w:tblPr>
        <w:tblW w:w="81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833"/>
        <w:gridCol w:w="1420"/>
        <w:gridCol w:w="1420"/>
        <w:gridCol w:w="1595"/>
      </w:tblGrid>
      <w:tr w:rsidRPr="00F31A99" w:rsidR="00AE1B2B" w:rsidTr="00A306B2" w14:paraId="4B3C0E89" w14:textId="77777777">
        <w:trPr>
          <w:trHeight w:val="415"/>
          <w:jc w:val="center"/>
        </w:trPr>
        <w:tc>
          <w:tcPr>
            <w:tcW w:w="3833" w:type="dxa"/>
            <w:shd w:val="clear" w:color="D9E1F2" w:fill="F2F2F2"/>
            <w:noWrap/>
            <w:vAlign w:val="center"/>
            <w:hideMark/>
          </w:tcPr>
          <w:p w:rsidRPr="00F31A99" w:rsidR="00F31A99" w:rsidP="00F31A99" w:rsidRDefault="00F31A99" w14:paraId="4F8D87A1" w14:textId="77777777">
            <w:pPr>
              <w:widowControl w:val="0"/>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Centro de Responsabilidad </w:t>
            </w:r>
          </w:p>
        </w:tc>
        <w:tc>
          <w:tcPr>
            <w:tcW w:w="1420" w:type="dxa"/>
            <w:shd w:val="clear" w:color="D9E1F2" w:fill="F2F2F2"/>
            <w:noWrap/>
            <w:vAlign w:val="center"/>
            <w:hideMark/>
          </w:tcPr>
          <w:p w:rsidRPr="00F31A99" w:rsidR="00F31A99" w:rsidP="00F31A99" w:rsidRDefault="00F31A99" w14:paraId="0399027C"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2021</w:t>
            </w:r>
          </w:p>
        </w:tc>
        <w:tc>
          <w:tcPr>
            <w:tcW w:w="1420" w:type="dxa"/>
            <w:shd w:val="clear" w:color="D9E1F2" w:fill="F2F2F2"/>
            <w:noWrap/>
            <w:vAlign w:val="center"/>
            <w:hideMark/>
          </w:tcPr>
          <w:p w:rsidRPr="00F31A99" w:rsidR="00F31A99" w:rsidP="00F31A99" w:rsidRDefault="00F31A99" w14:paraId="2000FE1B"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2022</w:t>
            </w:r>
          </w:p>
        </w:tc>
        <w:tc>
          <w:tcPr>
            <w:tcW w:w="1491" w:type="dxa"/>
            <w:shd w:val="clear" w:color="D9E1F2" w:fill="F2F2F2"/>
            <w:noWrap/>
            <w:vAlign w:val="center"/>
            <w:hideMark/>
          </w:tcPr>
          <w:p w:rsidRPr="00F31A99" w:rsidR="00F31A99" w:rsidP="00F31A99" w:rsidRDefault="00F31A99" w14:paraId="612107FB" w14:textId="77777777">
            <w:pPr>
              <w:widowControl w:val="0"/>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Representación</w:t>
            </w:r>
          </w:p>
        </w:tc>
      </w:tr>
      <w:tr w:rsidRPr="00F31A99" w:rsidR="00AE1B2B" w:rsidTr="00A306B2" w14:paraId="362FE1F0" w14:textId="77777777">
        <w:trPr>
          <w:trHeight w:val="299"/>
          <w:jc w:val="center"/>
        </w:trPr>
        <w:tc>
          <w:tcPr>
            <w:tcW w:w="3833" w:type="dxa"/>
            <w:shd w:val="clear" w:color="auto" w:fill="auto"/>
            <w:noWrap/>
            <w:vAlign w:val="center"/>
            <w:hideMark/>
          </w:tcPr>
          <w:p w:rsidRPr="00F31A99" w:rsidR="00F31A99" w:rsidP="00F31A99" w:rsidRDefault="00F31A99" w14:paraId="5A067C41"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Dirección de Tecnología de Información</w:t>
            </w:r>
          </w:p>
        </w:tc>
        <w:tc>
          <w:tcPr>
            <w:tcW w:w="1420" w:type="dxa"/>
            <w:shd w:val="clear" w:color="auto" w:fill="auto"/>
            <w:noWrap/>
            <w:vAlign w:val="center"/>
          </w:tcPr>
          <w:p w:rsidRPr="00F31A99" w:rsidR="00F31A99" w:rsidP="00F31A99" w:rsidRDefault="00F31A99" w14:paraId="45D9A553"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1 424 608 510</w:t>
            </w:r>
          </w:p>
        </w:tc>
        <w:tc>
          <w:tcPr>
            <w:tcW w:w="1420" w:type="dxa"/>
            <w:shd w:val="clear" w:color="auto" w:fill="auto"/>
            <w:noWrap/>
            <w:vAlign w:val="center"/>
            <w:hideMark/>
          </w:tcPr>
          <w:p w:rsidRPr="00F31A99" w:rsidR="00F31A99" w:rsidP="00F31A99" w:rsidRDefault="00F31A99" w14:paraId="49A84794"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1 445 268 076</w:t>
            </w:r>
          </w:p>
        </w:tc>
        <w:tc>
          <w:tcPr>
            <w:tcW w:w="1491" w:type="dxa"/>
            <w:shd w:val="clear" w:color="auto" w:fill="auto"/>
            <w:noWrap/>
            <w:vAlign w:val="center"/>
            <w:hideMark/>
          </w:tcPr>
          <w:p w:rsidRPr="00F31A99" w:rsidR="00F31A99" w:rsidP="00F31A99" w:rsidRDefault="00F31A99" w14:paraId="57CEDE38"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57,14%</w:t>
            </w:r>
          </w:p>
        </w:tc>
      </w:tr>
      <w:tr w:rsidRPr="00F31A99" w:rsidR="00AE1B2B" w:rsidTr="00A306B2" w14:paraId="3E40A111" w14:textId="77777777">
        <w:trPr>
          <w:trHeight w:val="299"/>
          <w:jc w:val="center"/>
        </w:trPr>
        <w:tc>
          <w:tcPr>
            <w:tcW w:w="3833" w:type="dxa"/>
            <w:shd w:val="clear" w:color="auto" w:fill="auto"/>
            <w:noWrap/>
            <w:vAlign w:val="center"/>
          </w:tcPr>
          <w:p w:rsidRPr="00F31A99" w:rsidR="00F31A99" w:rsidP="00F31A99" w:rsidRDefault="00F31A99" w14:paraId="65FB74A0"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Dirección Ejecutiva</w:t>
            </w:r>
          </w:p>
        </w:tc>
        <w:tc>
          <w:tcPr>
            <w:tcW w:w="1420" w:type="dxa"/>
            <w:shd w:val="clear" w:color="auto" w:fill="auto"/>
            <w:noWrap/>
            <w:vAlign w:val="center"/>
          </w:tcPr>
          <w:p w:rsidRPr="00F31A99" w:rsidR="00F31A99" w:rsidP="00F31A99" w:rsidRDefault="00F31A99" w14:paraId="7AB6000E"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403 291 988</w:t>
            </w:r>
          </w:p>
        </w:tc>
        <w:tc>
          <w:tcPr>
            <w:tcW w:w="1420" w:type="dxa"/>
            <w:shd w:val="clear" w:color="auto" w:fill="auto"/>
            <w:noWrap/>
            <w:vAlign w:val="center"/>
          </w:tcPr>
          <w:p w:rsidRPr="00F31A99" w:rsidR="00F31A99" w:rsidP="00F31A99" w:rsidRDefault="00F31A99" w14:paraId="332D0270"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391 203 405</w:t>
            </w:r>
          </w:p>
        </w:tc>
        <w:tc>
          <w:tcPr>
            <w:tcW w:w="1491" w:type="dxa"/>
            <w:shd w:val="clear" w:color="auto" w:fill="auto"/>
            <w:noWrap/>
            <w:vAlign w:val="center"/>
          </w:tcPr>
          <w:p w:rsidRPr="00F31A99" w:rsidR="00F31A99" w:rsidP="00F31A99" w:rsidRDefault="00F31A99" w14:paraId="60C34526"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15,46%</w:t>
            </w:r>
          </w:p>
        </w:tc>
      </w:tr>
      <w:tr w:rsidRPr="00F31A99" w:rsidR="00AE1B2B" w:rsidTr="00A306B2" w14:paraId="7EF0711B" w14:textId="77777777">
        <w:trPr>
          <w:trHeight w:val="299"/>
          <w:jc w:val="center"/>
        </w:trPr>
        <w:tc>
          <w:tcPr>
            <w:tcW w:w="3833" w:type="dxa"/>
            <w:shd w:val="clear" w:color="auto" w:fill="auto"/>
            <w:noWrap/>
            <w:vAlign w:val="center"/>
            <w:hideMark/>
          </w:tcPr>
          <w:p w:rsidRPr="00F31A99" w:rsidR="00F31A99" w:rsidP="00F31A99" w:rsidRDefault="00F31A99" w14:paraId="506FCFFB"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Organismo de Investigación Judicial</w:t>
            </w:r>
          </w:p>
        </w:tc>
        <w:tc>
          <w:tcPr>
            <w:tcW w:w="1420" w:type="dxa"/>
            <w:shd w:val="clear" w:color="auto" w:fill="auto"/>
            <w:noWrap/>
            <w:vAlign w:val="center"/>
          </w:tcPr>
          <w:p w:rsidRPr="00F31A99" w:rsidR="00F31A99" w:rsidP="00F31A99" w:rsidRDefault="00F31A99" w14:paraId="6C8AC2F9"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386 050 444</w:t>
            </w:r>
          </w:p>
        </w:tc>
        <w:tc>
          <w:tcPr>
            <w:tcW w:w="1420" w:type="dxa"/>
            <w:shd w:val="clear" w:color="auto" w:fill="auto"/>
            <w:noWrap/>
            <w:vAlign w:val="center"/>
            <w:hideMark/>
          </w:tcPr>
          <w:p w:rsidRPr="00F31A99" w:rsidR="00F31A99" w:rsidP="00F31A99" w:rsidRDefault="00F31A99" w14:paraId="2266AECA"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266 100 962</w:t>
            </w:r>
          </w:p>
        </w:tc>
        <w:tc>
          <w:tcPr>
            <w:tcW w:w="1491" w:type="dxa"/>
            <w:shd w:val="clear" w:color="auto" w:fill="auto"/>
            <w:noWrap/>
            <w:vAlign w:val="center"/>
            <w:hideMark/>
          </w:tcPr>
          <w:p w:rsidRPr="00F31A99" w:rsidR="00F31A99" w:rsidP="00F31A99" w:rsidRDefault="00F31A99" w14:paraId="584C3740"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10,52%</w:t>
            </w:r>
          </w:p>
        </w:tc>
      </w:tr>
      <w:tr w:rsidRPr="00F31A99" w:rsidR="00AE1B2B" w:rsidTr="00A306B2" w14:paraId="3602BD3C" w14:textId="77777777">
        <w:trPr>
          <w:trHeight w:val="299"/>
          <w:jc w:val="center"/>
        </w:trPr>
        <w:tc>
          <w:tcPr>
            <w:tcW w:w="3833" w:type="dxa"/>
            <w:shd w:val="clear" w:color="auto" w:fill="auto"/>
            <w:noWrap/>
            <w:vAlign w:val="center"/>
          </w:tcPr>
          <w:p w:rsidRPr="00F31A99" w:rsidR="00F31A99" w:rsidP="00F31A99" w:rsidRDefault="00F31A99" w14:paraId="6930175C"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 xml:space="preserve">Defensa Pública </w:t>
            </w:r>
          </w:p>
        </w:tc>
        <w:tc>
          <w:tcPr>
            <w:tcW w:w="1420" w:type="dxa"/>
            <w:shd w:val="clear" w:color="auto" w:fill="auto"/>
            <w:noWrap/>
            <w:vAlign w:val="center"/>
          </w:tcPr>
          <w:p w:rsidRPr="00F31A99" w:rsidR="00F31A99" w:rsidP="00F31A99" w:rsidRDefault="00F31A99" w14:paraId="74FD1CAE"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 xml:space="preserve">67 622 544 </w:t>
            </w:r>
          </w:p>
        </w:tc>
        <w:tc>
          <w:tcPr>
            <w:tcW w:w="1420" w:type="dxa"/>
            <w:shd w:val="clear" w:color="auto" w:fill="auto"/>
            <w:noWrap/>
            <w:vAlign w:val="center"/>
          </w:tcPr>
          <w:p w:rsidRPr="00F31A99" w:rsidR="00F31A99" w:rsidP="00F31A99" w:rsidRDefault="00F31A99" w14:paraId="2D422D82"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86 572 354</w:t>
            </w:r>
          </w:p>
        </w:tc>
        <w:tc>
          <w:tcPr>
            <w:tcW w:w="1491" w:type="dxa"/>
            <w:shd w:val="clear" w:color="auto" w:fill="auto"/>
            <w:noWrap/>
            <w:vAlign w:val="center"/>
          </w:tcPr>
          <w:p w:rsidRPr="00F31A99" w:rsidR="00F31A99" w:rsidP="00F31A99" w:rsidRDefault="00F31A99" w14:paraId="5ED89616"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3,42%</w:t>
            </w:r>
          </w:p>
        </w:tc>
      </w:tr>
      <w:tr w:rsidRPr="00F31A99" w:rsidR="00AE1B2B" w:rsidTr="00A306B2" w14:paraId="1D4EA67B" w14:textId="77777777">
        <w:trPr>
          <w:trHeight w:val="299"/>
          <w:jc w:val="center"/>
        </w:trPr>
        <w:tc>
          <w:tcPr>
            <w:tcW w:w="3833" w:type="dxa"/>
            <w:shd w:val="clear" w:color="auto" w:fill="auto"/>
            <w:noWrap/>
            <w:vAlign w:val="center"/>
          </w:tcPr>
          <w:p w:rsidRPr="00F31A99" w:rsidR="00F31A99" w:rsidP="00F31A99" w:rsidRDefault="00F31A99" w14:paraId="22226836"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Circuito Judicial Puntarenas</w:t>
            </w:r>
          </w:p>
        </w:tc>
        <w:tc>
          <w:tcPr>
            <w:tcW w:w="1420" w:type="dxa"/>
            <w:shd w:val="clear" w:color="auto" w:fill="auto"/>
            <w:noWrap/>
            <w:vAlign w:val="center"/>
          </w:tcPr>
          <w:p w:rsidRPr="00F31A99" w:rsidR="00F31A99" w:rsidP="00F31A99" w:rsidRDefault="00F31A99" w14:paraId="1D04A90D"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 xml:space="preserve"> 27 984 815 </w:t>
            </w:r>
          </w:p>
        </w:tc>
        <w:tc>
          <w:tcPr>
            <w:tcW w:w="1420" w:type="dxa"/>
            <w:shd w:val="clear" w:color="auto" w:fill="auto"/>
            <w:noWrap/>
            <w:vAlign w:val="center"/>
          </w:tcPr>
          <w:p w:rsidRPr="00F31A99" w:rsidR="00F31A99" w:rsidP="00F31A99" w:rsidRDefault="00F31A99" w14:paraId="56D60B7F"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72 494 923</w:t>
            </w:r>
          </w:p>
        </w:tc>
        <w:tc>
          <w:tcPr>
            <w:tcW w:w="1491" w:type="dxa"/>
            <w:shd w:val="clear" w:color="auto" w:fill="auto"/>
            <w:noWrap/>
            <w:vAlign w:val="center"/>
          </w:tcPr>
          <w:p w:rsidRPr="00F31A99" w:rsidR="00F31A99" w:rsidP="00F31A99" w:rsidRDefault="00F31A99" w14:paraId="6C83F4AE"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2,86%</w:t>
            </w:r>
          </w:p>
        </w:tc>
      </w:tr>
      <w:tr w:rsidRPr="00F31A99" w:rsidR="00AE1B2B" w:rsidTr="00A306B2" w14:paraId="7E5360A6" w14:textId="77777777">
        <w:trPr>
          <w:trHeight w:val="299"/>
          <w:jc w:val="center"/>
        </w:trPr>
        <w:tc>
          <w:tcPr>
            <w:tcW w:w="3833" w:type="dxa"/>
            <w:shd w:val="clear" w:color="auto" w:fill="auto"/>
            <w:noWrap/>
            <w:vAlign w:val="center"/>
          </w:tcPr>
          <w:p w:rsidRPr="00F31A99" w:rsidR="00F31A99" w:rsidP="00F31A99" w:rsidRDefault="00F31A99" w14:paraId="6D558C7B"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Centro Judicial Intervención Comunicaciones</w:t>
            </w:r>
          </w:p>
        </w:tc>
        <w:tc>
          <w:tcPr>
            <w:tcW w:w="1420" w:type="dxa"/>
            <w:shd w:val="clear" w:color="auto" w:fill="auto"/>
            <w:noWrap/>
            <w:vAlign w:val="center"/>
          </w:tcPr>
          <w:p w:rsidRPr="00F31A99" w:rsidR="00F31A99" w:rsidP="00F31A99" w:rsidRDefault="00F31A99" w14:paraId="05FB35AF"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 xml:space="preserve"> 6 635 581 </w:t>
            </w:r>
          </w:p>
        </w:tc>
        <w:tc>
          <w:tcPr>
            <w:tcW w:w="1420" w:type="dxa"/>
            <w:shd w:val="clear" w:color="auto" w:fill="auto"/>
            <w:noWrap/>
            <w:vAlign w:val="center"/>
          </w:tcPr>
          <w:p w:rsidRPr="00F31A99" w:rsidR="00F31A99" w:rsidP="00F31A99" w:rsidRDefault="00F31A99" w14:paraId="11473CBD"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51 677 237</w:t>
            </w:r>
          </w:p>
        </w:tc>
        <w:tc>
          <w:tcPr>
            <w:tcW w:w="1491" w:type="dxa"/>
            <w:shd w:val="clear" w:color="auto" w:fill="auto"/>
            <w:noWrap/>
            <w:vAlign w:val="center"/>
          </w:tcPr>
          <w:p w:rsidRPr="00F31A99" w:rsidR="00F31A99" w:rsidP="00F31A99" w:rsidRDefault="00F31A99" w14:paraId="74F1E10B"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2,04%</w:t>
            </w:r>
          </w:p>
        </w:tc>
      </w:tr>
      <w:tr w:rsidRPr="00F31A99" w:rsidR="00AE1B2B" w:rsidTr="00A306B2" w14:paraId="596A83F9" w14:textId="77777777">
        <w:trPr>
          <w:trHeight w:val="299"/>
          <w:jc w:val="center"/>
        </w:trPr>
        <w:tc>
          <w:tcPr>
            <w:tcW w:w="3833" w:type="dxa"/>
            <w:shd w:val="clear" w:color="auto" w:fill="auto"/>
            <w:noWrap/>
            <w:vAlign w:val="center"/>
            <w:hideMark/>
          </w:tcPr>
          <w:p w:rsidRPr="00F31A99" w:rsidR="00F31A99" w:rsidP="00F31A99" w:rsidRDefault="00F31A99" w14:paraId="5FAFB1AB"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Ministerio Público</w:t>
            </w:r>
          </w:p>
        </w:tc>
        <w:tc>
          <w:tcPr>
            <w:tcW w:w="1420" w:type="dxa"/>
            <w:shd w:val="clear" w:color="auto" w:fill="auto"/>
            <w:noWrap/>
            <w:vAlign w:val="center"/>
          </w:tcPr>
          <w:p w:rsidRPr="00F31A99" w:rsidR="00F31A99" w:rsidP="00F31A99" w:rsidRDefault="00F31A99" w14:paraId="723FE694"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 xml:space="preserve"> 29 000 660 </w:t>
            </w:r>
          </w:p>
        </w:tc>
        <w:tc>
          <w:tcPr>
            <w:tcW w:w="1420" w:type="dxa"/>
            <w:shd w:val="clear" w:color="auto" w:fill="auto"/>
            <w:noWrap/>
            <w:vAlign w:val="center"/>
            <w:hideMark/>
          </w:tcPr>
          <w:p w:rsidRPr="00F31A99" w:rsidR="00F31A99" w:rsidP="00F31A99" w:rsidRDefault="00F31A99" w14:paraId="187DA677"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37 182 313</w:t>
            </w:r>
          </w:p>
        </w:tc>
        <w:tc>
          <w:tcPr>
            <w:tcW w:w="1491" w:type="dxa"/>
            <w:shd w:val="clear" w:color="auto" w:fill="auto"/>
            <w:noWrap/>
            <w:vAlign w:val="center"/>
            <w:hideMark/>
          </w:tcPr>
          <w:p w:rsidRPr="00F31A99" w:rsidR="00F31A99" w:rsidP="00F31A99" w:rsidRDefault="00F31A99" w14:paraId="2767EFE2"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1,47%</w:t>
            </w:r>
          </w:p>
        </w:tc>
      </w:tr>
      <w:tr w:rsidRPr="00F31A99" w:rsidR="00AE1B2B" w:rsidTr="00A306B2" w14:paraId="36AF5AE6" w14:textId="77777777">
        <w:trPr>
          <w:trHeight w:val="299"/>
          <w:jc w:val="center"/>
        </w:trPr>
        <w:tc>
          <w:tcPr>
            <w:tcW w:w="3833" w:type="dxa"/>
            <w:shd w:val="clear" w:color="auto" w:fill="auto"/>
            <w:noWrap/>
            <w:vAlign w:val="center"/>
          </w:tcPr>
          <w:p w:rsidRPr="00F31A99" w:rsidR="00F31A99" w:rsidP="00F31A99" w:rsidRDefault="00F31A99" w14:paraId="6655BD3F"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Dirección de Gestión Humana</w:t>
            </w:r>
          </w:p>
        </w:tc>
        <w:tc>
          <w:tcPr>
            <w:tcW w:w="1420" w:type="dxa"/>
            <w:shd w:val="clear" w:color="auto" w:fill="auto"/>
            <w:noWrap/>
            <w:vAlign w:val="center"/>
          </w:tcPr>
          <w:p w:rsidRPr="00F31A99" w:rsidR="00F31A99" w:rsidP="00F31A99" w:rsidRDefault="00F31A99" w14:paraId="024A1945"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764 812</w:t>
            </w:r>
          </w:p>
        </w:tc>
        <w:tc>
          <w:tcPr>
            <w:tcW w:w="1420" w:type="dxa"/>
            <w:shd w:val="clear" w:color="auto" w:fill="auto"/>
            <w:noWrap/>
            <w:vAlign w:val="center"/>
          </w:tcPr>
          <w:p w:rsidRPr="00F31A99" w:rsidR="00F31A99" w:rsidP="00F31A99" w:rsidRDefault="00F31A99" w14:paraId="6FB81773"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34 155 436</w:t>
            </w:r>
          </w:p>
        </w:tc>
        <w:tc>
          <w:tcPr>
            <w:tcW w:w="1491" w:type="dxa"/>
            <w:shd w:val="clear" w:color="auto" w:fill="auto"/>
            <w:noWrap/>
            <w:vAlign w:val="center"/>
          </w:tcPr>
          <w:p w:rsidRPr="00F31A99" w:rsidR="00F31A99" w:rsidP="00F31A99" w:rsidRDefault="00F31A99" w14:paraId="04687724"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1,35%</w:t>
            </w:r>
          </w:p>
        </w:tc>
      </w:tr>
      <w:tr w:rsidRPr="00F31A99" w:rsidR="00AE1B2B" w:rsidTr="00A306B2" w14:paraId="50D9BF7E" w14:textId="77777777">
        <w:trPr>
          <w:trHeight w:val="299"/>
          <w:jc w:val="center"/>
        </w:trPr>
        <w:tc>
          <w:tcPr>
            <w:tcW w:w="3833" w:type="dxa"/>
            <w:shd w:val="clear" w:color="auto" w:fill="auto"/>
            <w:noWrap/>
            <w:vAlign w:val="center"/>
            <w:hideMark/>
          </w:tcPr>
          <w:p w:rsidRPr="00F31A99" w:rsidR="00F31A99" w:rsidP="00F31A99" w:rsidRDefault="00F31A99" w14:paraId="003EF397"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Servicio Atención y Prot. Víctimas y Testigos</w:t>
            </w:r>
          </w:p>
        </w:tc>
        <w:tc>
          <w:tcPr>
            <w:tcW w:w="1420" w:type="dxa"/>
            <w:shd w:val="clear" w:color="auto" w:fill="auto"/>
            <w:noWrap/>
            <w:vAlign w:val="center"/>
          </w:tcPr>
          <w:p w:rsidRPr="00F31A99" w:rsidR="00F31A99" w:rsidP="00F31A99" w:rsidRDefault="00F31A99" w14:paraId="0A1386A8"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 xml:space="preserve"> 24 393 374 </w:t>
            </w:r>
          </w:p>
        </w:tc>
        <w:tc>
          <w:tcPr>
            <w:tcW w:w="1420" w:type="dxa"/>
            <w:shd w:val="clear" w:color="auto" w:fill="auto"/>
            <w:noWrap/>
            <w:vAlign w:val="center"/>
            <w:hideMark/>
          </w:tcPr>
          <w:p w:rsidRPr="00F31A99" w:rsidR="00F31A99" w:rsidP="00F31A99" w:rsidRDefault="00F31A99" w14:paraId="2A21813F"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21 506 102</w:t>
            </w:r>
          </w:p>
        </w:tc>
        <w:tc>
          <w:tcPr>
            <w:tcW w:w="1491" w:type="dxa"/>
            <w:shd w:val="clear" w:color="auto" w:fill="auto"/>
            <w:noWrap/>
            <w:vAlign w:val="center"/>
            <w:hideMark/>
          </w:tcPr>
          <w:p w:rsidRPr="00F31A99" w:rsidR="00F31A99" w:rsidP="00F31A99" w:rsidRDefault="00F31A99" w14:paraId="6268282A"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0,85%</w:t>
            </w:r>
          </w:p>
        </w:tc>
      </w:tr>
      <w:tr w:rsidRPr="00F31A99" w:rsidR="00AE1B2B" w:rsidTr="00A306B2" w14:paraId="035F2672" w14:textId="77777777">
        <w:trPr>
          <w:trHeight w:val="299"/>
          <w:jc w:val="center"/>
        </w:trPr>
        <w:tc>
          <w:tcPr>
            <w:tcW w:w="3833" w:type="dxa"/>
            <w:shd w:val="clear" w:color="auto" w:fill="auto"/>
            <w:noWrap/>
            <w:vAlign w:val="center"/>
            <w:hideMark/>
          </w:tcPr>
          <w:p w:rsidRPr="00F31A99" w:rsidR="00F31A99" w:rsidP="00F31A99" w:rsidRDefault="00F31A99" w14:paraId="4C941A0B"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Circuito Judicial de Cartago</w:t>
            </w:r>
          </w:p>
        </w:tc>
        <w:tc>
          <w:tcPr>
            <w:tcW w:w="1420" w:type="dxa"/>
            <w:shd w:val="clear" w:color="auto" w:fill="auto"/>
            <w:noWrap/>
            <w:vAlign w:val="center"/>
          </w:tcPr>
          <w:p w:rsidRPr="00F31A99" w:rsidR="00F31A99" w:rsidP="00F31A99" w:rsidRDefault="00F31A99" w14:paraId="68B7E698"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 xml:space="preserve"> 553 700</w:t>
            </w:r>
          </w:p>
        </w:tc>
        <w:tc>
          <w:tcPr>
            <w:tcW w:w="1420" w:type="dxa"/>
            <w:shd w:val="clear" w:color="auto" w:fill="auto"/>
            <w:noWrap/>
            <w:vAlign w:val="center"/>
            <w:hideMark/>
          </w:tcPr>
          <w:p w:rsidRPr="00F31A99" w:rsidR="00F31A99" w:rsidP="00F31A99" w:rsidRDefault="00F31A99" w14:paraId="721643CF" w14:textId="77777777">
            <w:pPr>
              <w:widowControl w:val="0"/>
              <w:autoSpaceDN w:val="0"/>
              <w:rPr>
                <w:rFonts w:ascii="Times New Roman" w:hAnsi="Times New Roman" w:eastAsia="Calibri" w:cs="Times New Roman"/>
                <w:u w:color="000000"/>
              </w:rPr>
            </w:pPr>
            <w:r w:rsidRPr="00F31A99">
              <w:rPr>
                <w:rFonts w:ascii="Times New Roman" w:hAnsi="Times New Roman" w:eastAsia="Calibri" w:cs="Times New Roman"/>
                <w:u w:color="000000"/>
              </w:rPr>
              <w:t>19 185 049</w:t>
            </w:r>
          </w:p>
        </w:tc>
        <w:tc>
          <w:tcPr>
            <w:tcW w:w="1491" w:type="dxa"/>
            <w:shd w:val="clear" w:color="auto" w:fill="auto"/>
            <w:noWrap/>
            <w:vAlign w:val="center"/>
            <w:hideMark/>
          </w:tcPr>
          <w:p w:rsidRPr="00F31A99" w:rsidR="00F31A99" w:rsidP="00F31A99" w:rsidRDefault="00F31A99" w14:paraId="5B34604C" w14:textId="77777777">
            <w:pPr>
              <w:widowControl w:val="0"/>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0,75%</w:t>
            </w:r>
          </w:p>
        </w:tc>
      </w:tr>
    </w:tbl>
    <w:p w:rsidRPr="00F31A99" w:rsidR="00F31A99" w:rsidP="00F31A99" w:rsidRDefault="00F31A99" w14:paraId="745286ED" w14:textId="77777777">
      <w:pPr>
        <w:widowControl w:val="0"/>
        <w:autoSpaceDN w:val="0"/>
        <w:ind w:left="708"/>
        <w:rPr>
          <w:rFonts w:ascii="Times New Roman" w:hAnsi="Times New Roman" w:eastAsia="Calibri" w:cs="Times New Roman"/>
          <w:b/>
          <w:u w:color="000000"/>
        </w:rPr>
      </w:pPr>
    </w:p>
    <w:p w:rsidRPr="00F31A99" w:rsidR="00F31A99" w:rsidP="00F31A99" w:rsidRDefault="00F31A99" w14:paraId="1D0F360D" w14:textId="77777777">
      <w:pPr>
        <w:widowControl w:val="0"/>
        <w:autoSpaceDN w:val="0"/>
        <w:ind w:left="708"/>
        <w:rPr>
          <w:rFonts w:ascii="Times New Roman" w:hAnsi="Times New Roman" w:eastAsia="Calibri" w:cs="Times New Roman"/>
          <w:bCs/>
          <w:sz w:val="16"/>
          <w:szCs w:val="16"/>
          <w:u w:color="000000"/>
        </w:rPr>
      </w:pPr>
      <w:r w:rsidRPr="00F31A99">
        <w:rPr>
          <w:rFonts w:ascii="Times New Roman" w:hAnsi="Times New Roman" w:eastAsia="Calibri" w:cs="Times New Roman"/>
          <w:b/>
          <w:sz w:val="16"/>
          <w:szCs w:val="16"/>
          <w:u w:color="000000"/>
        </w:rPr>
        <w:t>Fuente:</w:t>
      </w:r>
      <w:r w:rsidRPr="00F31A99">
        <w:rPr>
          <w:rFonts w:ascii="Times New Roman" w:hAnsi="Times New Roman" w:eastAsia="Calibri" w:cs="Times New Roman"/>
          <w:bCs/>
          <w:sz w:val="16"/>
          <w:szCs w:val="16"/>
          <w:u w:color="000000"/>
        </w:rPr>
        <w:t xml:space="preserve"> Sistema SIGA-PJ y Sistema de Pre-formulación</w:t>
      </w:r>
    </w:p>
    <w:p w:rsidRPr="00F31A99" w:rsidR="00F31A99" w:rsidP="00F31A99" w:rsidRDefault="00F31A99" w14:paraId="6B993F40" w14:textId="77777777">
      <w:pPr>
        <w:widowControl w:val="0"/>
        <w:autoSpaceDN w:val="0"/>
        <w:rPr>
          <w:rFonts w:ascii="Times New Roman" w:hAnsi="Times New Roman" w:eastAsia="Calibri" w:cs="Times New Roman"/>
          <w:b/>
          <w:sz w:val="28"/>
          <w:szCs w:val="24"/>
          <w:u w:color="000000"/>
        </w:rPr>
      </w:pPr>
    </w:p>
    <w:p w:rsidRPr="00F31A99" w:rsidR="00F31A99" w:rsidP="00F31A99" w:rsidRDefault="00F31A99" w14:paraId="711C72BB"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En el anteproyecto de presupuesto 2022 en esta subpartida presupuestaria, el centro de responsabilidad de la Dirección de Tecnología de Información formula el 57,14% de los recursos, </w:t>
      </w:r>
      <w:r w:rsidRPr="00F31A99">
        <w:rPr>
          <w:rFonts w:ascii="Times New Roman" w:hAnsi="Times New Roman" w:eastAsia="Calibri" w:cs="Times New Roman"/>
          <w:sz w:val="26"/>
          <w:szCs w:val="26"/>
          <w:u w:color="000000"/>
        </w:rPr>
        <w:lastRenderedPageBreak/>
        <w:t>seguido por la Dirección Ejecutiva con un 15,46% y el Organismo de Investigación Judicial con 10,52%. El resto de los centros de responsabilidad tienen montos menores; sin embargo, llama la atención el incremento que se visualiza en los siguientes:</w:t>
      </w:r>
    </w:p>
    <w:p w:rsidRPr="00F31A99" w:rsidR="00F31A99" w:rsidP="00F31A99" w:rsidRDefault="00F31A99" w14:paraId="6B6A7321"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6DCFBB49"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Circuito Judicial de Puntarenas: se justifica el incremento en la formulación de Microcomputadoras para desarrollo de sistemas (para salas de juicio) y Computadoras, en ambos casos como necesidades del nuevo edificio de Puntarenas. El artículo se llama Microcomputadoras para desarrollo de sistemas pero se utilizan en las salas de juicio. Esta consulta se le hizo a la Dirección Ejecutiva durante el análisis, textualmente indicaron: “La formulación de las microcomputadoras que hace mención está correcta, dado que este es el equipo que se utiliza en las salas de juicio donde se atiende materia penal y soporta de forma adecuada el sistema “SIGAO” donde se realiza la grabación de audio y video.”</w:t>
      </w:r>
    </w:p>
    <w:p w:rsidRPr="00F31A99" w:rsidR="00F31A99" w:rsidP="00F31A99" w:rsidRDefault="00F31A99" w14:paraId="5550DAED"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19EB963C"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Centro Judicial de Intervención de las Comunicaciones: se justifica el incremento en la solicitud de 18 Computadoras portátiles para sustituir equipos donados que se encuentran obsoletos.</w:t>
      </w:r>
    </w:p>
    <w:p w:rsidRPr="00F31A99" w:rsidR="00F31A99" w:rsidP="00F31A99" w:rsidRDefault="00F31A99" w14:paraId="7DEF30FE"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5C377F20"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Dirección de Gestión Humana: se justifica el incremento en Dispositivos para el almacenamiento de la información por la necesidad del resguardo de la información que se genera en el Subproceso de Administración de Personal.</w:t>
      </w:r>
    </w:p>
    <w:p w:rsidRPr="00F31A99" w:rsidR="00F31A99" w:rsidP="00F31A99" w:rsidRDefault="00F31A99" w14:paraId="5814DC65"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3357EC81"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Circuito Judicial de Cartago: se justifica el incremento a la formulación de Microcomputadoras para desarrollo de sistemas (para salas de juicio), las cuales son para sustitución. Al igual que en el caso de Puntarenas, las Microcomputadoras para desarrollo de sistemas se utilizan en las salas de juicio. La Dirección Ejecutiva durante el análisis, textualmente indicó: “La formulación de las microcomputadoras que hace mención está correcta, dado que este es el equipo que se utiliza en las salas de juicio donde se atiende materia penal y soporta de forma adecuada el sistema “SIGAO” donde se realiza la grabación de audio y video.”</w:t>
      </w:r>
    </w:p>
    <w:p w:rsidRPr="00F31A99" w:rsidR="00F31A99" w:rsidP="00F31A99" w:rsidRDefault="00F31A99" w14:paraId="4F18D439"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069273DD" w14:textId="77777777">
      <w:pPr>
        <w:widowControl w:val="0"/>
        <w:autoSpaceDN w:val="0"/>
        <w:ind w:left="851" w:right="851" w:firstLine="709"/>
        <w:jc w:val="both"/>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1.2.5 Distribución por Equipos Más Representativos</w:t>
      </w:r>
    </w:p>
    <w:p w:rsidRPr="00F31A99" w:rsidR="00F31A99" w:rsidP="00F31A99" w:rsidRDefault="00F31A99" w14:paraId="3B73A101"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5DF47449"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En el siguiente cuadro se muestra el detalle la distribución de </w:t>
      </w:r>
      <w:r w:rsidRPr="00F31A99">
        <w:rPr>
          <w:rFonts w:ascii="Times New Roman" w:hAnsi="Times New Roman" w:eastAsia="Calibri" w:cs="Times New Roman"/>
          <w:sz w:val="26"/>
          <w:szCs w:val="26"/>
          <w:u w:color="000000"/>
        </w:rPr>
        <w:lastRenderedPageBreak/>
        <w:t>los recursos formulados por equipos más representativos en el anteproyecto de presupuesto 2022.</w:t>
      </w:r>
    </w:p>
    <w:p w:rsidRPr="00F31A99" w:rsidR="00F31A99" w:rsidP="00F31A99" w:rsidRDefault="00F31A99" w14:paraId="061DF4F5" w14:textId="77777777">
      <w:pPr>
        <w:widowControl w:val="0"/>
        <w:autoSpaceDN w:val="0"/>
        <w:rPr>
          <w:rFonts w:ascii="Times New Roman" w:hAnsi="Times New Roman" w:eastAsia="Calibri" w:cs="Times New Roman"/>
          <w:b/>
          <w:sz w:val="28"/>
          <w:szCs w:val="24"/>
          <w:u w:color="000000"/>
        </w:rPr>
      </w:pPr>
    </w:p>
    <w:p w:rsidRPr="00F31A99" w:rsidR="00F31A99" w:rsidP="00F31A99" w:rsidRDefault="00F31A99" w14:paraId="464B05B7"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Cuadro N°10</w:t>
      </w:r>
    </w:p>
    <w:p w:rsidRPr="00F31A99" w:rsidR="00F31A99" w:rsidP="00F31A99" w:rsidRDefault="00F31A99" w14:paraId="4727057D"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Subpartida 50105 Equipo de Cómputo</w:t>
      </w:r>
    </w:p>
    <w:p w:rsidRPr="00F31A99" w:rsidR="00F31A99" w:rsidP="00F31A99" w:rsidRDefault="00F31A99" w14:paraId="3F0A553E" w14:textId="77777777">
      <w:pPr>
        <w:widowControl w:val="0"/>
        <w:autoSpaceDN w:val="0"/>
        <w:ind w:left="851" w:right="851"/>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Distribución por Equipos Más Representativos Período 2022</w:t>
      </w:r>
    </w:p>
    <w:p w:rsidRPr="00F31A99" w:rsidR="00F31A99" w:rsidP="00F31A99" w:rsidRDefault="00F31A99" w14:paraId="0A74F448" w14:textId="77777777">
      <w:pPr>
        <w:widowControl w:val="0"/>
        <w:autoSpaceDN w:val="0"/>
        <w:ind w:left="851" w:right="851"/>
        <w:jc w:val="center"/>
        <w:rPr>
          <w:rFonts w:ascii="Times New Roman" w:hAnsi="Times New Roman" w:eastAsia="Calibri" w:cs="Times New Roman"/>
          <w:b/>
          <w:sz w:val="24"/>
          <w:u w:color="000000"/>
        </w:rPr>
      </w:pPr>
    </w:p>
    <w:p w:rsidRPr="00F31A99" w:rsidR="00F31A99" w:rsidP="00F31A99" w:rsidRDefault="00F31A99" w14:paraId="43CC2FF2" w14:textId="77777777">
      <w:pPr>
        <w:widowControl w:val="0"/>
        <w:autoSpaceDN w:val="0"/>
        <w:jc w:val="center"/>
        <w:rPr>
          <w:rFonts w:ascii="Times New Roman" w:hAnsi="Times New Roman" w:eastAsia="Calibri" w:cs="Times New Roman"/>
          <w:b/>
          <w:sz w:val="28"/>
          <w:szCs w:val="24"/>
          <w:u w:color="000000"/>
        </w:rPr>
      </w:pPr>
      <w:r w:rsidRPr="00F31A99">
        <w:rPr>
          <w:rFonts w:ascii="Times New Roman" w:hAnsi="Times New Roman" w:eastAsia="Calibri" w:cs="Times New Roman"/>
          <w:noProof/>
          <w:u w:color="000000"/>
          <w:lang w:eastAsia="es-MX"/>
        </w:rPr>
        <w:drawing>
          <wp:inline distT="0" distB="0" distL="0" distR="0" wp14:anchorId="72113348" wp14:editId="18E954CF">
            <wp:extent cx="5847419" cy="2667000"/>
            <wp:effectExtent l="0" t="0" r="127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50213" cy="2668274"/>
                    </a:xfrm>
                    <a:prstGeom prst="rect">
                      <a:avLst/>
                    </a:prstGeom>
                    <a:noFill/>
                    <a:ln>
                      <a:noFill/>
                    </a:ln>
                  </pic:spPr>
                </pic:pic>
              </a:graphicData>
            </a:graphic>
          </wp:inline>
        </w:drawing>
      </w:r>
    </w:p>
    <w:p w:rsidRPr="00F31A99" w:rsidR="00F31A99" w:rsidP="00F31A99" w:rsidRDefault="00F31A99" w14:paraId="0B581CD3" w14:textId="77777777">
      <w:pPr>
        <w:widowControl w:val="0"/>
        <w:autoSpaceDN w:val="0"/>
        <w:rPr>
          <w:rFonts w:ascii="Times New Roman" w:hAnsi="Times New Roman" w:eastAsia="Calibri" w:cs="Times New Roman"/>
          <w:b/>
          <w:u w:color="000000"/>
        </w:rPr>
      </w:pPr>
    </w:p>
    <w:p w:rsidRPr="00F31A99" w:rsidR="00F31A99" w:rsidP="00F31A99" w:rsidRDefault="00F31A99" w14:paraId="4E56902F" w14:textId="77777777">
      <w:pPr>
        <w:widowControl w:val="0"/>
        <w:autoSpaceDN w:val="0"/>
        <w:ind w:firstLine="708"/>
        <w:rPr>
          <w:rFonts w:ascii="Times New Roman" w:hAnsi="Times New Roman" w:eastAsia="Calibri" w:cs="Times New Roman"/>
          <w:bCs/>
          <w:sz w:val="16"/>
          <w:szCs w:val="16"/>
          <w:u w:color="000000"/>
        </w:rPr>
      </w:pPr>
      <w:r w:rsidRPr="00F31A99">
        <w:rPr>
          <w:rFonts w:ascii="Times New Roman" w:hAnsi="Times New Roman" w:eastAsia="Calibri" w:cs="Times New Roman"/>
          <w:b/>
          <w:sz w:val="16"/>
          <w:szCs w:val="16"/>
          <w:u w:color="000000"/>
        </w:rPr>
        <w:t>Fuente:</w:t>
      </w:r>
      <w:r w:rsidRPr="00F31A99">
        <w:rPr>
          <w:rFonts w:ascii="Times New Roman" w:hAnsi="Times New Roman" w:eastAsia="Calibri" w:cs="Times New Roman"/>
          <w:bCs/>
          <w:sz w:val="16"/>
          <w:szCs w:val="16"/>
          <w:u w:color="000000"/>
        </w:rPr>
        <w:t xml:space="preserve"> Sistema SIGA-PJ y Sistema de Pre-formulación</w:t>
      </w:r>
    </w:p>
    <w:p w:rsidRPr="00F31A99" w:rsidR="00F31A99" w:rsidP="00F31A99" w:rsidRDefault="00F31A99" w14:paraId="69E64A7E" w14:textId="77777777">
      <w:pPr>
        <w:widowControl w:val="0"/>
        <w:autoSpaceDN w:val="0"/>
        <w:rPr>
          <w:rFonts w:ascii="Times New Roman" w:hAnsi="Times New Roman" w:eastAsia="Calibri" w:cs="Times New Roman"/>
          <w:b/>
          <w:sz w:val="28"/>
          <w:szCs w:val="24"/>
          <w:u w:color="000000"/>
        </w:rPr>
      </w:pPr>
    </w:p>
    <w:p w:rsidRPr="00F31A99" w:rsidR="00F31A99" w:rsidP="00F31A99" w:rsidRDefault="00F31A99" w14:paraId="42C4A16F"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En cuanto al principal rubro, Dispositivos para almacenamiento de información, en el presupuesto del 2021 se formularon ¢682.073.178, es decir para el 2022 se está incrementando en ¢50.166.822. Dentro de las justificaciones para la formulación de este equipo, la Dirección de Tecnología de la Información señala que se debe aumentar la capacidad de almacenamiento debido al incremento de servicios producto de la centralización del Sistema de Gestión, SDJ, Nexus Oralidad, también para nuevos requerimientos para Sistemas Administrativos, Unidad de Inteligencia de Negocios, Sistemas Jurisdiccionales, Centro Alterno, entre otros. </w:t>
      </w:r>
    </w:p>
    <w:p w:rsidRPr="00F31A99" w:rsidR="00F31A99" w:rsidP="00F31A99" w:rsidRDefault="00F31A99" w14:paraId="0C71FB1D"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0BBB4E92"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xml:space="preserve">El Organismo de Investigación Judicial por su parte indica la necesidad de ampliar el almacenamiento y dar sostenibilidad a los sistemas de Plataforma de Información Policial, Informe Policial Homologado, SICOVE, SICA, TIAPO, SDOD, SICOD, Bitácora </w:t>
      </w:r>
      <w:r w:rsidRPr="00F31A99">
        <w:rPr>
          <w:rFonts w:ascii="Times New Roman" w:hAnsi="Times New Roman" w:eastAsia="Calibri" w:cs="Times New Roman"/>
          <w:sz w:val="26"/>
          <w:szCs w:val="26"/>
          <w:u w:color="000000"/>
        </w:rPr>
        <w:lastRenderedPageBreak/>
        <w:t>OIJ, SART, entre otros. Adicionalmente, señalan que se requiere almacenamiento para el proyecto de reseña de audio que se implementará a nivel nacional, donde el ECU requerirá un repositorio seguro para almacenar estas reseñas de audio.</w:t>
      </w:r>
    </w:p>
    <w:p w:rsidRPr="00F31A99" w:rsidR="00F31A99" w:rsidP="00F31A99" w:rsidRDefault="00F31A99" w14:paraId="2BC1F202" w14:textId="77777777">
      <w:pPr>
        <w:widowControl w:val="0"/>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4A6E0EB1" w14:textId="77777777">
      <w:pPr>
        <w:widowControl w:val="0"/>
        <w:autoSpaceDN w:val="0"/>
        <w:ind w:left="851" w:right="851" w:firstLine="709"/>
        <w:jc w:val="both"/>
        <w:rPr>
          <w:rFonts w:ascii="Times New Roman" w:hAnsi="Times New Roman" w:eastAsia="Calibri" w:cs="Times New Roman"/>
          <w:sz w:val="26"/>
          <w:szCs w:val="26"/>
          <w:u w:color="000000"/>
        </w:rPr>
      </w:pPr>
      <w:bookmarkStart w:name="_Hlk66868482" w:id="10"/>
      <w:r w:rsidRPr="00F31A99">
        <w:rPr>
          <w:rFonts w:ascii="Times New Roman" w:hAnsi="Times New Roman" w:eastAsia="Calibri" w:cs="Times New Roman"/>
          <w:sz w:val="26"/>
          <w:szCs w:val="26"/>
          <w:u w:color="000000"/>
        </w:rPr>
        <w:t xml:space="preserve">La Dirección de Gestión Humana solicita ¢30.510.000 para el adecuado almacenamiento de la información que se genera en el Subproceso de Administración de Personal, la cual es altamente sensible y actualmente no se dispone de espacio en los servidores del Poder Judicial para respaldar los datos. </w:t>
      </w:r>
    </w:p>
    <w:p w:rsidRPr="00F31A99" w:rsidR="00F31A99" w:rsidP="00F31A99" w:rsidRDefault="00F31A99" w14:paraId="7B367F94" w14:textId="77777777">
      <w:pPr>
        <w:widowControl w:val="0"/>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Según lo señalado por los compañeros de Servicio y Base Tecnológica, para satisfacer el requerimiento señalado se puede dotar de manera inmediata de un equipo Mininas al Departamento de Gestión Humana para ampliar la capacidad de almacenamiento según se requiera, además se va a analizar la capacidad de los sistemas que mencionan para satisfacer la necesidad. Por motivo de lo anterior, de mantener los recursos se pueden redireccionar para otras necesidades institucionales.”</w:t>
      </w:r>
    </w:p>
    <w:p w:rsidRPr="00F31A99" w:rsidR="00F31A99" w:rsidP="00F31A99" w:rsidRDefault="00F31A99" w14:paraId="74C94474" w14:textId="77777777">
      <w:pPr>
        <w:widowControl w:val="0"/>
        <w:autoSpaceDN w:val="0"/>
        <w:ind w:left="851" w:right="851" w:firstLine="709"/>
        <w:jc w:val="both"/>
        <w:rPr>
          <w:rFonts w:ascii="Times New Roman" w:hAnsi="Times New Roman" w:eastAsia="Calibri" w:cs="Times New Roman"/>
          <w:sz w:val="26"/>
          <w:szCs w:val="26"/>
          <w:u w:color="000000"/>
        </w:rPr>
      </w:pPr>
    </w:p>
    <w:p w:rsidRPr="00F31A99" w:rsidR="00F31A99" w:rsidP="00F31A99" w:rsidRDefault="00F31A99" w14:paraId="6854015C" w14:textId="77777777">
      <w:pPr>
        <w:widowControl w:val="0"/>
        <w:autoSpaceDN w:val="0"/>
        <w:spacing w:line="480" w:lineRule="auto"/>
        <w:ind w:left="851" w:right="851"/>
        <w:jc w:val="center"/>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- 0 -</w:t>
      </w:r>
    </w:p>
    <w:bookmarkEnd w:id="10"/>
    <w:p w:rsidRPr="00F31A99" w:rsidR="00F31A99" w:rsidP="00F31A99" w:rsidRDefault="00F31A99" w14:paraId="79C523EC" w14:textId="77777777">
      <w:pPr>
        <w:widowControl w:val="0"/>
        <w:autoSpaceDN w:val="0"/>
        <w:spacing w:line="480" w:lineRule="auto"/>
        <w:ind w:firstLine="709"/>
        <w:jc w:val="both"/>
        <w:rPr>
          <w:rFonts w:ascii="Times New Roman" w:hAnsi="Times New Roman" w:eastAsia="Calibri" w:cs="Times New Roman"/>
          <w:u w:color="000000"/>
        </w:rPr>
      </w:pPr>
      <w:r w:rsidRPr="00F31A99">
        <w:rPr>
          <w:rFonts w:ascii="Times New Roman" w:hAnsi="Times New Roman" w:eastAsia="Calibri" w:cs="Times New Roman"/>
          <w:b/>
          <w:sz w:val="28"/>
          <w:szCs w:val="28"/>
          <w:u w:color="000000"/>
        </w:rPr>
        <w:t xml:space="preserve">Se acordó: </w:t>
      </w:r>
      <w:r w:rsidRPr="00F31A99">
        <w:rPr>
          <w:rFonts w:ascii="Times New Roman" w:hAnsi="Times New Roman" w:eastAsia="Calibri" w:cs="Times New Roman"/>
          <w:sz w:val="28"/>
          <w:szCs w:val="28"/>
          <w:u w:color="000000"/>
        </w:rPr>
        <w:t xml:space="preserve">Se dan por conocidos los recursos formulados en el anteproyecto de presupuesto 2022 para las subpartidas presupuestarias 10103 Alquiler de Equipo de Cómputo y 50105 Equipo de Cómputo, en este segundo caso, cuyo contenido fue presentado como parte del presupuesto del Área de Informática, sin embargo, se estará a la espera del análisis global del presupuesto 2022, para aprobar una propuesta integral que consolide todas las necesidades institucionales. </w:t>
      </w:r>
      <w:r w:rsidRPr="00F31A99">
        <w:rPr>
          <w:rFonts w:ascii="Times New Roman" w:hAnsi="Times New Roman" w:eastAsia="Calibri" w:cs="Times New Roman"/>
          <w:b/>
          <w:sz w:val="28"/>
          <w:szCs w:val="28"/>
          <w:u w:color="000000"/>
          <w:lang w:eastAsia="es-CR"/>
        </w:rPr>
        <w:t>Se declara acuerdo firme.</w:t>
      </w:r>
    </w:p>
    <w:p w:rsidRPr="00F31A99" w:rsidR="00F31A99" w:rsidP="00F31A99" w:rsidRDefault="00F31A99" w14:paraId="1B001E75" w14:textId="1D9F93D8">
      <w:pPr>
        <w:keepNext/>
        <w:shd w:val="clear" w:color="auto" w:fill="FFFFFF"/>
        <w:autoSpaceDE w:val="0"/>
        <w:autoSpaceDN w:val="0"/>
        <w:spacing w:line="360" w:lineRule="auto"/>
        <w:jc w:val="center"/>
        <w:outlineLvl w:val="0"/>
        <w:rPr>
          <w:rFonts w:ascii="Times New Roman" w:hAnsi="Times New Roman" w:eastAsia="Times New Roman" w:cs="Times New Roman"/>
          <w:b/>
          <w:bCs/>
          <w:kern w:val="36"/>
          <w:sz w:val="36"/>
          <w:szCs w:val="36"/>
          <w:u w:val="single" w:color="000000"/>
          <w:lang w:eastAsia="es-ES"/>
        </w:rPr>
      </w:pPr>
      <w:r w:rsidRPr="00F31A99">
        <w:rPr>
          <w:rFonts w:ascii="Times New Roman" w:hAnsi="Times New Roman" w:eastAsia="Times New Roman" w:cs="Times New Roman"/>
          <w:b/>
          <w:bCs/>
          <w:kern w:val="36"/>
          <w:sz w:val="36"/>
          <w:szCs w:val="36"/>
          <w:u w:val="single" w:color="000000"/>
          <w:lang w:eastAsia="es-ES"/>
        </w:rPr>
        <w:t>ARTÍCULO XI</w:t>
      </w:r>
    </w:p>
    <w:p w:rsidRPr="00F31A99" w:rsidR="00F31A99" w:rsidP="00F31A99" w:rsidRDefault="00F31A99" w14:paraId="6ACB59DA" w14:textId="77777777">
      <w:pPr>
        <w:autoSpaceDN w:val="0"/>
        <w:spacing w:line="480" w:lineRule="auto"/>
        <w:jc w:val="both"/>
        <w:rPr>
          <w:rFonts w:ascii="Times New Roman" w:hAnsi="Times New Roman" w:eastAsia="Times New Roman" w:cs="Times New Roman"/>
          <w:b/>
          <w:bCs/>
          <w:sz w:val="28"/>
          <w:szCs w:val="28"/>
          <w:u w:color="000000"/>
          <w:lang w:eastAsia="es-ES"/>
        </w:rPr>
      </w:pPr>
      <w:r w:rsidRPr="00F31A99">
        <w:rPr>
          <w:rFonts w:ascii="Times New Roman" w:hAnsi="Times New Roman" w:eastAsia="Times New Roman" w:cs="Times New Roman"/>
          <w:b/>
          <w:bCs/>
          <w:sz w:val="28"/>
          <w:szCs w:val="28"/>
          <w:u w:color="000000"/>
          <w:lang w:eastAsia="es-ES"/>
        </w:rPr>
        <w:t>Documento N° 3835-2021</w:t>
      </w:r>
    </w:p>
    <w:p w:rsidRPr="00F31A99" w:rsidR="00F31A99" w:rsidP="00F31A99" w:rsidRDefault="00F31A99" w14:paraId="1642E534" w14:textId="77777777">
      <w:pPr>
        <w:autoSpaceDN w:val="0"/>
        <w:spacing w:line="480" w:lineRule="auto"/>
        <w:ind w:firstLine="709"/>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lastRenderedPageBreak/>
        <w:t>En reunión de trabajo del pasado 9 de abril, la Licda. Nacira Valverde, Directora de Planificación presentó la estimación de requerimientos para el 2022 en la subpartida 20203 Alimentos y Bebidas.</w:t>
      </w:r>
    </w:p>
    <w:p w:rsidRPr="00F31A99" w:rsidR="00F31A99" w:rsidP="00F31A99" w:rsidRDefault="00F31A99" w14:paraId="1F5FA9AD" w14:textId="77777777">
      <w:pPr>
        <w:autoSpaceDN w:val="0"/>
        <w:jc w:val="center"/>
        <w:rPr>
          <w:rFonts w:ascii="Times New Roman" w:hAnsi="Times New Roman" w:eastAsia="Calibri" w:cs="Times New Roman"/>
          <w:b/>
          <w:sz w:val="28"/>
          <w:szCs w:val="24"/>
          <w:u w:color="000000"/>
        </w:rPr>
      </w:pPr>
    </w:p>
    <w:p w:rsidRPr="00F31A99" w:rsidR="00F31A99" w:rsidP="00F31A99" w:rsidRDefault="00F31A99" w14:paraId="33FD04A6" w14:textId="77777777">
      <w:pPr>
        <w:numPr>
          <w:ilvl w:val="0"/>
          <w:numId w:val="4"/>
        </w:numPr>
        <w:autoSpaceDN w:val="0"/>
        <w:ind w:left="851" w:right="851" w:firstLine="709"/>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Subpartida 20203 Alimentos y Bebidas</w:t>
      </w:r>
    </w:p>
    <w:p w:rsidRPr="00F31A99" w:rsidR="00F31A99" w:rsidP="00F31A99" w:rsidRDefault="00F31A99" w14:paraId="0CA833FE"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2BDF4907"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sz w:val="26"/>
          <w:szCs w:val="26"/>
          <w:u w:color="000000"/>
        </w:rPr>
        <w:t>1.1 Comportamiento Histórico de la Subpartida</w:t>
      </w:r>
    </w:p>
    <w:p w:rsidRPr="00F31A99" w:rsidR="00F31A99" w:rsidP="00F31A99" w:rsidRDefault="00F31A99" w14:paraId="30015C66" w14:textId="77777777">
      <w:pPr>
        <w:autoSpaceDN w:val="0"/>
        <w:spacing w:before="240" w:after="24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Como se puede observar en la tabla 1, esta subpartida presenta un decrecimiento para el 2022 del 0,1%, lo que equivale a una disminución de ¢452.958. </w:t>
      </w:r>
    </w:p>
    <w:p w:rsidRPr="00F31A99" w:rsidR="00F31A99" w:rsidP="00F31A99" w:rsidRDefault="00F31A99" w14:paraId="3F427A24" w14:textId="77777777">
      <w:pPr>
        <w:autoSpaceDN w:val="0"/>
        <w:ind w:left="851" w:right="851" w:firstLine="709"/>
        <w:rPr>
          <w:rFonts w:ascii="Times New Roman" w:hAnsi="Times New Roman" w:eastAsia="Times New Roman" w:cs="Times New Roman"/>
          <w:b/>
          <w:bCs/>
          <w:sz w:val="26"/>
          <w:szCs w:val="26"/>
          <w:u w:color="000000"/>
        </w:rPr>
      </w:pPr>
    </w:p>
    <w:p w:rsidRPr="00F31A99" w:rsidR="00F31A99" w:rsidP="00F31A99" w:rsidRDefault="00F31A99" w14:paraId="74547CAF" w14:textId="77777777">
      <w:pPr>
        <w:autoSpaceDN w:val="0"/>
        <w:ind w:left="851" w:right="851" w:firstLine="709"/>
        <w:jc w:val="center"/>
        <w:rPr>
          <w:rFonts w:ascii="Times New Roman" w:hAnsi="Times New Roman" w:eastAsia="Times New Roman" w:cs="Times New Roman"/>
          <w:b/>
          <w:bCs/>
          <w:sz w:val="26"/>
          <w:szCs w:val="26"/>
          <w:u w:color="000000"/>
        </w:rPr>
      </w:pPr>
      <w:r w:rsidRPr="00F31A99">
        <w:rPr>
          <w:rFonts w:ascii="Times New Roman" w:hAnsi="Times New Roman" w:eastAsia="Times New Roman" w:cs="Times New Roman"/>
          <w:b/>
          <w:bCs/>
          <w:sz w:val="26"/>
          <w:szCs w:val="26"/>
          <w:u w:color="000000"/>
        </w:rPr>
        <w:t>Tabla 1. Comparativo 2018 – 2022 de la Subpartida</w:t>
      </w:r>
    </w:p>
    <w:p w:rsidRPr="00F31A99" w:rsidR="00F31A99" w:rsidP="00F31A99" w:rsidRDefault="00F31A99" w14:paraId="68403BF5" w14:textId="77777777">
      <w:pPr>
        <w:autoSpaceDN w:val="0"/>
        <w:ind w:left="851" w:right="851" w:firstLine="709"/>
        <w:jc w:val="center"/>
        <w:rPr>
          <w:rFonts w:ascii="Times New Roman" w:hAnsi="Times New Roman" w:eastAsia="Times New Roman" w:cs="Times New Roman"/>
          <w:b/>
          <w:bCs/>
          <w:sz w:val="26"/>
          <w:szCs w:val="26"/>
          <w:u w:color="000000"/>
        </w:rPr>
      </w:pPr>
    </w:p>
    <w:tbl>
      <w:tblPr>
        <w:tblW w:w="8554" w:type="dxa"/>
        <w:tblCellMar>
          <w:left w:w="70" w:type="dxa"/>
          <w:right w:w="70" w:type="dxa"/>
        </w:tblCellMar>
        <w:tblLook w:val="04A0" w:firstRow="1" w:lastRow="0" w:firstColumn="1" w:lastColumn="0" w:noHBand="0" w:noVBand="1"/>
      </w:tblPr>
      <w:tblGrid>
        <w:gridCol w:w="1509"/>
        <w:gridCol w:w="1409"/>
        <w:gridCol w:w="1409"/>
        <w:gridCol w:w="1409"/>
        <w:gridCol w:w="1409"/>
        <w:gridCol w:w="1409"/>
      </w:tblGrid>
      <w:tr w:rsidRPr="00F31A99" w:rsidR="00AE1B2B" w:rsidTr="00A306B2" w14:paraId="0AC2C0DF" w14:textId="77777777">
        <w:trPr>
          <w:trHeight w:val="295"/>
        </w:trPr>
        <w:tc>
          <w:tcPr>
            <w:tcW w:w="1509" w:type="dxa"/>
            <w:tcBorders>
              <w:top w:val="single" w:color="1F4E78" w:sz="4" w:space="0"/>
              <w:left w:val="nil"/>
              <w:bottom w:val="single" w:color="1F4E78" w:sz="4" w:space="0"/>
              <w:right w:val="nil"/>
            </w:tcBorders>
            <w:shd w:val="clear" w:color="D9E1F2" w:fill="F2F2F2"/>
            <w:vAlign w:val="center"/>
            <w:hideMark/>
          </w:tcPr>
          <w:p w:rsidRPr="00F31A99" w:rsidR="00F31A99" w:rsidP="00F31A99" w:rsidRDefault="00F31A99" w14:paraId="034925E9"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 </w:t>
            </w:r>
          </w:p>
        </w:tc>
        <w:tc>
          <w:tcPr>
            <w:tcW w:w="1409" w:type="dxa"/>
            <w:tcBorders>
              <w:top w:val="single" w:color="1F4E78" w:sz="4" w:space="0"/>
              <w:left w:val="nil"/>
              <w:bottom w:val="single" w:color="1F4E78" w:sz="4" w:space="0"/>
              <w:right w:val="nil"/>
            </w:tcBorders>
            <w:shd w:val="clear" w:color="D9E1F2" w:fill="F2F2F2"/>
            <w:vAlign w:val="center"/>
          </w:tcPr>
          <w:p w:rsidRPr="00F31A99" w:rsidR="00F31A99" w:rsidP="00F31A99" w:rsidRDefault="00F31A99" w14:paraId="28401172"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2018</w:t>
            </w:r>
          </w:p>
        </w:tc>
        <w:tc>
          <w:tcPr>
            <w:tcW w:w="1409" w:type="dxa"/>
            <w:tcBorders>
              <w:top w:val="single" w:color="1F4E78" w:sz="4" w:space="0"/>
              <w:left w:val="nil"/>
              <w:bottom w:val="single" w:color="1F4E78" w:sz="4" w:space="0"/>
              <w:right w:val="nil"/>
            </w:tcBorders>
            <w:shd w:val="clear" w:color="D9E1F2" w:fill="F2F2F2"/>
            <w:vAlign w:val="center"/>
          </w:tcPr>
          <w:p w:rsidRPr="00F31A99" w:rsidR="00F31A99" w:rsidP="00F31A99" w:rsidRDefault="00F31A99" w14:paraId="3CEA05ED"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2019</w:t>
            </w:r>
          </w:p>
        </w:tc>
        <w:tc>
          <w:tcPr>
            <w:tcW w:w="1409" w:type="dxa"/>
            <w:tcBorders>
              <w:top w:val="single" w:color="1F4E78" w:sz="4" w:space="0"/>
              <w:left w:val="nil"/>
              <w:bottom w:val="single" w:color="1F4E78" w:sz="4" w:space="0"/>
              <w:right w:val="nil"/>
            </w:tcBorders>
            <w:shd w:val="clear" w:color="D9E1F2" w:fill="F2F2F2"/>
            <w:vAlign w:val="center"/>
          </w:tcPr>
          <w:p w:rsidRPr="00F31A99" w:rsidR="00F31A99" w:rsidP="00F31A99" w:rsidRDefault="00F31A99" w14:paraId="78F238D3"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2020</w:t>
            </w:r>
          </w:p>
        </w:tc>
        <w:tc>
          <w:tcPr>
            <w:tcW w:w="1409" w:type="dxa"/>
            <w:tcBorders>
              <w:top w:val="single" w:color="1F4E78" w:sz="4" w:space="0"/>
              <w:left w:val="nil"/>
              <w:bottom w:val="single" w:color="1F4E78" w:sz="4" w:space="0"/>
              <w:right w:val="nil"/>
            </w:tcBorders>
            <w:shd w:val="clear" w:color="D9E1F2" w:fill="F2F2F2"/>
            <w:vAlign w:val="center"/>
          </w:tcPr>
          <w:p w:rsidRPr="00F31A99" w:rsidR="00F31A99" w:rsidP="00F31A99" w:rsidRDefault="00F31A99" w14:paraId="7F7AEDC9"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2021</w:t>
            </w:r>
          </w:p>
        </w:tc>
        <w:tc>
          <w:tcPr>
            <w:tcW w:w="1409" w:type="dxa"/>
            <w:tcBorders>
              <w:top w:val="single" w:color="1F4E78" w:sz="4" w:space="0"/>
              <w:left w:val="nil"/>
              <w:bottom w:val="single" w:color="1F4E78" w:sz="4" w:space="0"/>
              <w:right w:val="nil"/>
            </w:tcBorders>
            <w:shd w:val="clear" w:color="D9E1F2" w:fill="F2F2F2"/>
            <w:vAlign w:val="center"/>
          </w:tcPr>
          <w:p w:rsidRPr="00F31A99" w:rsidR="00F31A99" w:rsidP="00F31A99" w:rsidRDefault="00F31A99" w14:paraId="2A013108"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2022</w:t>
            </w:r>
          </w:p>
        </w:tc>
      </w:tr>
      <w:tr w:rsidRPr="00F31A99" w:rsidR="00AE1B2B" w:rsidTr="00A306B2" w14:paraId="01EA9020" w14:textId="77777777">
        <w:trPr>
          <w:trHeight w:val="295"/>
        </w:trPr>
        <w:tc>
          <w:tcPr>
            <w:tcW w:w="1509" w:type="dxa"/>
            <w:tcBorders>
              <w:top w:val="nil"/>
              <w:left w:val="nil"/>
              <w:bottom w:val="nil"/>
              <w:right w:val="nil"/>
            </w:tcBorders>
            <w:shd w:val="clear" w:color="000000" w:fill="FFFFFF"/>
            <w:noWrap/>
            <w:vAlign w:val="bottom"/>
            <w:hideMark/>
          </w:tcPr>
          <w:p w:rsidRPr="00F31A99" w:rsidR="00F31A99" w:rsidP="00F31A99" w:rsidRDefault="00F31A99" w14:paraId="6C6DF0FE" w14:textId="77777777">
            <w:pPr>
              <w:autoSpaceDN w:val="0"/>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Monto Formulado</w:t>
            </w:r>
          </w:p>
        </w:tc>
        <w:tc>
          <w:tcPr>
            <w:tcW w:w="1409" w:type="dxa"/>
            <w:tcBorders>
              <w:top w:val="single" w:color="8EA9DB" w:sz="4" w:space="0"/>
              <w:left w:val="nil"/>
              <w:bottom w:val="nil"/>
              <w:right w:val="nil"/>
            </w:tcBorders>
            <w:shd w:val="clear" w:color="D9E1F2" w:fill="FFFFFF"/>
            <w:vAlign w:val="bottom"/>
          </w:tcPr>
          <w:p w:rsidRPr="00F31A99" w:rsidR="00F31A99" w:rsidP="00F31A99" w:rsidRDefault="00F31A99" w14:paraId="50C33323"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490.432.063</w:t>
            </w:r>
          </w:p>
        </w:tc>
        <w:tc>
          <w:tcPr>
            <w:tcW w:w="1409" w:type="dxa"/>
            <w:tcBorders>
              <w:top w:val="single" w:color="8EA9DB" w:sz="4" w:space="0"/>
              <w:left w:val="nil"/>
              <w:bottom w:val="nil"/>
              <w:right w:val="nil"/>
            </w:tcBorders>
            <w:shd w:val="clear" w:color="D9E1F2" w:fill="FFFFFF"/>
            <w:vAlign w:val="bottom"/>
          </w:tcPr>
          <w:p w:rsidRPr="00F31A99" w:rsidR="00F31A99" w:rsidP="00F31A99" w:rsidRDefault="00F31A99" w14:paraId="6B8DB116"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569.632.194</w:t>
            </w:r>
          </w:p>
        </w:tc>
        <w:tc>
          <w:tcPr>
            <w:tcW w:w="1409" w:type="dxa"/>
            <w:tcBorders>
              <w:top w:val="single" w:color="8EA9DB" w:sz="4" w:space="0"/>
              <w:left w:val="nil"/>
              <w:bottom w:val="nil"/>
              <w:right w:val="nil"/>
            </w:tcBorders>
            <w:shd w:val="clear" w:color="D9E1F2" w:fill="FFFFFF"/>
            <w:vAlign w:val="bottom"/>
          </w:tcPr>
          <w:p w:rsidRPr="00F31A99" w:rsidR="00F31A99" w:rsidP="00F31A99" w:rsidRDefault="00F31A99" w14:paraId="35CF7DFF"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582.373.843</w:t>
            </w:r>
          </w:p>
        </w:tc>
        <w:tc>
          <w:tcPr>
            <w:tcW w:w="1409" w:type="dxa"/>
            <w:tcBorders>
              <w:top w:val="single" w:color="8EA9DB" w:sz="4" w:space="0"/>
              <w:left w:val="nil"/>
              <w:bottom w:val="nil"/>
              <w:right w:val="nil"/>
            </w:tcBorders>
            <w:shd w:val="clear" w:color="D9E1F2" w:fill="FFFFFF"/>
            <w:vAlign w:val="bottom"/>
          </w:tcPr>
          <w:p w:rsidRPr="00F31A99" w:rsidR="00F31A99" w:rsidP="00F31A99" w:rsidRDefault="00F31A99" w14:paraId="742173C7"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614.604.886</w:t>
            </w:r>
          </w:p>
        </w:tc>
        <w:tc>
          <w:tcPr>
            <w:tcW w:w="1409" w:type="dxa"/>
            <w:tcBorders>
              <w:top w:val="single" w:color="8EA9DB" w:sz="4" w:space="0"/>
              <w:left w:val="nil"/>
              <w:bottom w:val="nil"/>
              <w:right w:val="nil"/>
            </w:tcBorders>
            <w:shd w:val="clear" w:color="D9E1F2" w:fill="FFFFFF"/>
            <w:noWrap/>
            <w:vAlign w:val="bottom"/>
          </w:tcPr>
          <w:p w:rsidRPr="00F31A99" w:rsidR="00F31A99" w:rsidP="00F31A99" w:rsidRDefault="00F31A99" w14:paraId="426398D2" w14:textId="77777777">
            <w:pPr>
              <w:autoSpaceDN w:val="0"/>
              <w:jc w:val="right"/>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614.151.928</w:t>
            </w:r>
          </w:p>
        </w:tc>
      </w:tr>
      <w:tr w:rsidRPr="00F31A99" w:rsidR="00AE1B2B" w:rsidTr="00A306B2" w14:paraId="2416013F" w14:textId="77777777">
        <w:trPr>
          <w:trHeight w:val="295"/>
        </w:trPr>
        <w:tc>
          <w:tcPr>
            <w:tcW w:w="1509" w:type="dxa"/>
            <w:tcBorders>
              <w:top w:val="nil"/>
              <w:left w:val="nil"/>
              <w:bottom w:val="single" w:color="1F4E78" w:sz="4" w:space="0"/>
              <w:right w:val="nil"/>
            </w:tcBorders>
            <w:shd w:val="clear" w:color="000000" w:fill="FFFFFF"/>
            <w:noWrap/>
            <w:vAlign w:val="bottom"/>
            <w:hideMark/>
          </w:tcPr>
          <w:p w:rsidRPr="00F31A99" w:rsidR="00F31A99" w:rsidP="00F31A99" w:rsidRDefault="00F31A99" w14:paraId="1EA7DB51" w14:textId="77777777">
            <w:pPr>
              <w:autoSpaceDN w:val="0"/>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Variación</w:t>
            </w:r>
          </w:p>
        </w:tc>
        <w:tc>
          <w:tcPr>
            <w:tcW w:w="1409" w:type="dxa"/>
            <w:tcBorders>
              <w:top w:val="nil"/>
              <w:left w:val="nil"/>
              <w:bottom w:val="single" w:color="1F4E78" w:sz="4" w:space="0"/>
              <w:right w:val="nil"/>
            </w:tcBorders>
            <w:shd w:val="clear" w:color="000000" w:fill="FFFFFF"/>
            <w:vAlign w:val="bottom"/>
          </w:tcPr>
          <w:p w:rsidRPr="00F31A99" w:rsidR="00F31A99" w:rsidP="00F31A99" w:rsidRDefault="00F31A99" w14:paraId="2895750B"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w:t>
            </w:r>
          </w:p>
        </w:tc>
        <w:tc>
          <w:tcPr>
            <w:tcW w:w="1409" w:type="dxa"/>
            <w:tcBorders>
              <w:top w:val="nil"/>
              <w:left w:val="nil"/>
              <w:bottom w:val="single" w:color="1F4E78" w:sz="4" w:space="0"/>
              <w:right w:val="nil"/>
            </w:tcBorders>
            <w:shd w:val="clear" w:color="000000" w:fill="FFFFFF"/>
            <w:vAlign w:val="bottom"/>
          </w:tcPr>
          <w:p w:rsidRPr="00F31A99" w:rsidR="00F31A99" w:rsidP="00F31A99" w:rsidRDefault="00F31A99" w14:paraId="08B7DD79"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16,1%</w:t>
            </w:r>
          </w:p>
        </w:tc>
        <w:tc>
          <w:tcPr>
            <w:tcW w:w="1409" w:type="dxa"/>
            <w:tcBorders>
              <w:top w:val="nil"/>
              <w:left w:val="nil"/>
              <w:bottom w:val="single" w:color="1F4E78" w:sz="4" w:space="0"/>
              <w:right w:val="nil"/>
            </w:tcBorders>
            <w:shd w:val="clear" w:color="000000" w:fill="FFFFFF"/>
            <w:vAlign w:val="bottom"/>
          </w:tcPr>
          <w:p w:rsidRPr="00F31A99" w:rsidR="00F31A99" w:rsidP="00F31A99" w:rsidRDefault="00F31A99" w14:paraId="10B82076"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2,2%</w:t>
            </w:r>
          </w:p>
        </w:tc>
        <w:tc>
          <w:tcPr>
            <w:tcW w:w="1409" w:type="dxa"/>
            <w:tcBorders>
              <w:top w:val="nil"/>
              <w:left w:val="nil"/>
              <w:bottom w:val="single" w:color="1F4E78" w:sz="4" w:space="0"/>
              <w:right w:val="nil"/>
            </w:tcBorders>
            <w:shd w:val="clear" w:color="000000" w:fill="FFFFFF"/>
            <w:vAlign w:val="bottom"/>
          </w:tcPr>
          <w:p w:rsidRPr="00F31A99" w:rsidR="00F31A99" w:rsidP="00F31A99" w:rsidRDefault="00F31A99" w14:paraId="02C1F682"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5,5%</w:t>
            </w:r>
          </w:p>
        </w:tc>
        <w:tc>
          <w:tcPr>
            <w:tcW w:w="1409" w:type="dxa"/>
            <w:tcBorders>
              <w:top w:val="nil"/>
              <w:left w:val="nil"/>
              <w:bottom w:val="single" w:color="1F4E78" w:sz="4" w:space="0"/>
              <w:right w:val="nil"/>
            </w:tcBorders>
            <w:shd w:val="clear" w:color="000000" w:fill="FFFFFF"/>
            <w:noWrap/>
            <w:vAlign w:val="bottom"/>
          </w:tcPr>
          <w:p w:rsidRPr="00F31A99" w:rsidR="00F31A99" w:rsidP="00F31A99" w:rsidRDefault="00F31A99" w14:paraId="661A9012"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-0,1%</w:t>
            </w:r>
          </w:p>
        </w:tc>
      </w:tr>
    </w:tbl>
    <w:p w:rsidRPr="00F31A99" w:rsidR="00F31A99" w:rsidP="00F31A99" w:rsidRDefault="00F31A99" w14:paraId="7B3A9E48" w14:textId="77777777">
      <w:pPr>
        <w:autoSpaceDN w:val="0"/>
        <w:rPr>
          <w:rFonts w:ascii="Times New Roman" w:hAnsi="Times New Roman" w:eastAsia="Calibri" w:cs="Times New Roman"/>
          <w:bCs/>
          <w:sz w:val="20"/>
          <w:szCs w:val="20"/>
          <w:u w:color="000000"/>
        </w:rPr>
      </w:pPr>
      <w:r w:rsidRPr="00F31A99">
        <w:rPr>
          <w:rFonts w:ascii="Times New Roman" w:hAnsi="Times New Roman" w:eastAsia="Calibri" w:cs="Times New Roman"/>
          <w:bCs/>
          <w:sz w:val="20"/>
          <w:szCs w:val="20"/>
          <w:u w:color="000000"/>
        </w:rPr>
        <w:t>Fuente: SIGA PJ</w:t>
      </w:r>
    </w:p>
    <w:p w:rsidRPr="00F31A99" w:rsidR="00F31A99" w:rsidP="00F31A99" w:rsidRDefault="00F31A99" w14:paraId="12D72C8A" w14:textId="77777777">
      <w:pPr>
        <w:autoSpaceDN w:val="0"/>
        <w:rPr>
          <w:rFonts w:ascii="Times New Roman" w:hAnsi="Times New Roman" w:eastAsia="Calibri" w:cs="Times New Roman"/>
          <w:bCs/>
          <w:sz w:val="20"/>
          <w:szCs w:val="20"/>
          <w:u w:color="000000"/>
        </w:rPr>
      </w:pPr>
    </w:p>
    <w:p w:rsidRPr="00F31A99" w:rsidR="00F31A99" w:rsidP="00F31A99" w:rsidRDefault="00F31A99" w14:paraId="63D471B0" w14:textId="77777777">
      <w:pPr>
        <w:autoSpaceDN w:val="0"/>
        <w:jc w:val="center"/>
        <w:rPr>
          <w:rFonts w:ascii="Times New Roman" w:hAnsi="Times New Roman" w:eastAsia="Times New Roman" w:cs="Times New Roman"/>
          <w:b/>
          <w:bCs/>
          <w:sz w:val="24"/>
          <w:szCs w:val="24"/>
          <w:u w:color="000000"/>
        </w:rPr>
      </w:pPr>
    </w:p>
    <w:p w:rsidRPr="00F31A99" w:rsidR="00F31A99" w:rsidP="00F31A99" w:rsidRDefault="00F31A99" w14:paraId="681A58AF" w14:textId="77777777">
      <w:pPr>
        <w:autoSpaceDN w:val="0"/>
        <w:ind w:left="1560"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Figura 1. Comportamiento Histórico de la Subpartida</w:t>
      </w:r>
    </w:p>
    <w:p w:rsidRPr="00F31A99" w:rsidR="00F31A99" w:rsidP="00F31A99" w:rsidRDefault="00F31A99" w14:paraId="55C9130E" w14:textId="77777777">
      <w:pPr>
        <w:autoSpaceDN w:val="0"/>
        <w:rPr>
          <w:rFonts w:ascii="Times New Roman" w:hAnsi="Times New Roman" w:eastAsia="Times New Roman" w:cs="Times New Roman"/>
          <w:sz w:val="24"/>
          <w:szCs w:val="24"/>
          <w:u w:color="000000"/>
          <w:lang w:eastAsia="es-CR"/>
        </w:rPr>
      </w:pPr>
      <w:r w:rsidRPr="00F31A99">
        <w:rPr>
          <w:rFonts w:ascii="Times New Roman" w:hAnsi="Times New Roman" w:eastAsia="Calibri" w:cs="Times New Roman"/>
          <w:noProof/>
          <w:sz w:val="24"/>
          <w:szCs w:val="24"/>
          <w:u w:color="000000"/>
        </w:rPr>
        <w:lastRenderedPageBreak/>
        <w:drawing>
          <wp:inline distT="0" distB="0" distL="0" distR="0" wp14:anchorId="4A674238" wp14:editId="766440F2">
            <wp:extent cx="5612130" cy="2838450"/>
            <wp:effectExtent l="0" t="0" r="762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2130" cy="2838450"/>
                    </a:xfrm>
                    <a:prstGeom prst="rect">
                      <a:avLst/>
                    </a:prstGeom>
                    <a:noFill/>
                    <a:ln>
                      <a:noFill/>
                    </a:ln>
                  </pic:spPr>
                </pic:pic>
              </a:graphicData>
            </a:graphic>
          </wp:inline>
        </w:drawing>
      </w:r>
      <w:r w:rsidRPr="00F31A99">
        <w:rPr>
          <w:rFonts w:ascii="Times New Roman" w:hAnsi="Times New Roman" w:eastAsia="Calibri" w:cs="Times New Roman"/>
          <w:bCs/>
          <w:u w:color="000000"/>
        </w:rPr>
        <w:t>Fuente: SIGA PJ</w:t>
      </w:r>
    </w:p>
    <w:p w:rsidRPr="00F31A99" w:rsidR="00F31A99" w:rsidP="00F31A99" w:rsidRDefault="00F31A99" w14:paraId="1DECE5FE"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En la figura anterior, se puede observar el comportamiento de la subpartida 20203 Alimentos y Bebidas, tanto en la formulación, como en la ejecución. De los años que se presentan, el periodo 2021 es el que representa el punto más alto en la formulación.</w:t>
      </w:r>
    </w:p>
    <w:p w:rsidRPr="00F31A99" w:rsidR="00F31A99" w:rsidP="00F31A99" w:rsidRDefault="00F31A99" w14:paraId="243FF5F3"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44CB395A"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Para los periodos 2019 y 2020 la formulación se mantuvo muy acorde con la ejecución; sin embargo, durante el periodo 2018 la ejecución fue mayor a la formulación. </w:t>
      </w:r>
    </w:p>
    <w:p w:rsidRPr="00F31A99" w:rsidR="00F31A99" w:rsidP="00F31A99" w:rsidRDefault="00F31A99" w14:paraId="436415E0" w14:textId="77777777">
      <w:pPr>
        <w:autoSpaceDN w:val="0"/>
        <w:rPr>
          <w:rFonts w:ascii="Times New Roman" w:hAnsi="Times New Roman" w:eastAsia="Calibri" w:cs="Times New Roman"/>
          <w:u w:color="000000"/>
        </w:rPr>
      </w:pPr>
    </w:p>
    <w:p w:rsidRPr="00F31A99" w:rsidR="00F31A99" w:rsidP="00F31A99" w:rsidRDefault="00F31A99" w14:paraId="71A80697" w14:textId="77777777">
      <w:pPr>
        <w:autoSpaceDN w:val="0"/>
        <w:rPr>
          <w:rFonts w:ascii="Times New Roman" w:hAnsi="Times New Roman" w:eastAsia="Calibri" w:cs="Times New Roman"/>
          <w:u w:color="000000"/>
        </w:rPr>
      </w:pPr>
    </w:p>
    <w:p w:rsidRPr="00F31A99" w:rsidR="00F31A99" w:rsidP="00F31A99" w:rsidRDefault="00F31A99" w14:paraId="5611D55A" w14:textId="77777777">
      <w:pPr>
        <w:autoSpaceDN w:val="0"/>
        <w:ind w:left="1560"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1.2 Ejecución Presupuestaria</w:t>
      </w:r>
    </w:p>
    <w:p w:rsidRPr="00F31A99" w:rsidR="00F31A99" w:rsidP="00F31A99" w:rsidRDefault="00F31A99" w14:paraId="0532B956" w14:textId="77777777">
      <w:pPr>
        <w:autoSpaceDN w:val="0"/>
        <w:ind w:left="1560" w:right="851"/>
        <w:rPr>
          <w:rFonts w:ascii="Times New Roman" w:hAnsi="Times New Roman" w:eastAsia="Times New Roman" w:cs="Times New Roman"/>
          <w:b/>
          <w:bCs/>
          <w:sz w:val="26"/>
          <w:szCs w:val="26"/>
          <w:u w:color="000000"/>
          <w:lang w:eastAsia="es-ES"/>
        </w:rPr>
      </w:pPr>
    </w:p>
    <w:p w:rsidRPr="00F31A99" w:rsidR="00F31A99" w:rsidP="00F31A99" w:rsidRDefault="00F31A99" w14:paraId="05FCD157" w14:textId="77777777">
      <w:pPr>
        <w:autoSpaceDN w:val="0"/>
        <w:ind w:left="1560"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Tabla 2. Ejecución Presupuestaria de la Subpartida 2.02.03</w:t>
      </w:r>
    </w:p>
    <w:p w:rsidRPr="00F31A99" w:rsidR="00F31A99" w:rsidP="00F31A99" w:rsidRDefault="00F31A99" w14:paraId="4EF7B9D1" w14:textId="77777777">
      <w:pPr>
        <w:autoSpaceDN w:val="0"/>
        <w:ind w:left="1560"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Alimentos y Bebidas, Período 2018- 2020</w:t>
      </w:r>
    </w:p>
    <w:p w:rsidRPr="00F31A99" w:rsidR="00F31A99" w:rsidP="00F31A99" w:rsidRDefault="00F31A99" w14:paraId="10A05E25" w14:textId="77777777">
      <w:pPr>
        <w:autoSpaceDN w:val="0"/>
        <w:jc w:val="center"/>
        <w:rPr>
          <w:rFonts w:ascii="Times New Roman" w:hAnsi="Times New Roman" w:eastAsia="Calibri" w:cs="Times New Roman"/>
          <w:b/>
          <w:sz w:val="24"/>
          <w:u w:color="000000"/>
        </w:rPr>
      </w:pPr>
    </w:p>
    <w:p w:rsidRPr="00F31A99" w:rsidR="00F31A99" w:rsidP="00F31A99" w:rsidRDefault="00F31A99" w14:paraId="73487566" w14:textId="77777777">
      <w:pPr>
        <w:autoSpaceDN w:val="0"/>
        <w:jc w:val="center"/>
        <w:rPr>
          <w:rFonts w:ascii="Times New Roman" w:hAnsi="Times New Roman" w:eastAsia="Calibri" w:cs="Times New Roman"/>
          <w:b/>
          <w:sz w:val="24"/>
          <w:u w:color="000000"/>
        </w:rPr>
      </w:pPr>
      <w:r w:rsidRPr="00F31A99">
        <w:rPr>
          <w:rFonts w:ascii="Times New Roman" w:hAnsi="Times New Roman" w:eastAsia="Calibri" w:cs="Times New Roman"/>
          <w:noProof/>
          <w:u w:color="000000"/>
        </w:rPr>
        <w:drawing>
          <wp:inline distT="0" distB="0" distL="0" distR="0" wp14:anchorId="7F1C859D" wp14:editId="043EC210">
            <wp:extent cx="3549650" cy="927100"/>
            <wp:effectExtent l="0" t="0" r="0" b="635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49650" cy="927100"/>
                    </a:xfrm>
                    <a:prstGeom prst="rect">
                      <a:avLst/>
                    </a:prstGeom>
                    <a:noFill/>
                    <a:ln>
                      <a:noFill/>
                    </a:ln>
                  </pic:spPr>
                </pic:pic>
              </a:graphicData>
            </a:graphic>
          </wp:inline>
        </w:drawing>
      </w:r>
    </w:p>
    <w:p w:rsidRPr="00F31A99" w:rsidR="00F31A99" w:rsidP="00F31A99" w:rsidRDefault="00F31A99" w14:paraId="3DCCC097" w14:textId="77777777">
      <w:pPr>
        <w:autoSpaceDN w:val="0"/>
        <w:ind w:left="708"/>
        <w:rPr>
          <w:rFonts w:ascii="Times New Roman" w:hAnsi="Times New Roman" w:eastAsia="Calibri" w:cs="Times New Roman"/>
          <w:bCs/>
          <w:sz w:val="20"/>
          <w:szCs w:val="18"/>
          <w:u w:color="000000"/>
        </w:rPr>
      </w:pPr>
      <w:r w:rsidRPr="00F31A99">
        <w:rPr>
          <w:rFonts w:ascii="Times New Roman" w:hAnsi="Times New Roman" w:eastAsia="Calibri" w:cs="Times New Roman"/>
          <w:bCs/>
          <w:szCs w:val="20"/>
          <w:u w:color="000000"/>
        </w:rPr>
        <w:t xml:space="preserve"> </w:t>
      </w:r>
      <w:r w:rsidRPr="00F31A99">
        <w:rPr>
          <w:rFonts w:ascii="Times New Roman" w:hAnsi="Times New Roman" w:eastAsia="Calibri" w:cs="Times New Roman"/>
          <w:bCs/>
          <w:sz w:val="20"/>
          <w:szCs w:val="18"/>
          <w:u w:color="000000"/>
        </w:rPr>
        <w:t>Fuente: SIGA PJ</w:t>
      </w:r>
    </w:p>
    <w:p w:rsidRPr="00F31A99" w:rsidR="00F31A99" w:rsidP="00F31A99" w:rsidRDefault="00F31A99" w14:paraId="7305487A" w14:textId="77777777">
      <w:pPr>
        <w:autoSpaceDN w:val="0"/>
        <w:spacing w:line="360" w:lineRule="auto"/>
        <w:ind w:firstLine="360"/>
        <w:jc w:val="both"/>
        <w:rPr>
          <w:rFonts w:ascii="Times New Roman" w:hAnsi="Times New Roman" w:eastAsia="Calibri" w:cs="Times New Roman"/>
          <w:bCs/>
          <w:sz w:val="24"/>
          <w:u w:color="000000"/>
        </w:rPr>
      </w:pPr>
    </w:p>
    <w:p w:rsidRPr="00F31A99" w:rsidR="00F31A99" w:rsidP="00F31A99" w:rsidRDefault="00F31A99" w14:paraId="2CBA788B"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lastRenderedPageBreak/>
        <w:t>Durante el 2018 la ejecución fue de un 117,1%, lo que significa que se invirtieron ¢84.004.898 más del presupuesto que se tenía destinado para estos fines, mientras que en los siguientes años a pesar de que la formulación ha sido alta, no ha superado el presupuesto disponible y es más bien en 2020 donde se registra la más baja de estos tres períodos, afectada al igual que otras subpartidas, por los efectos de la Pandemia del Covid 19, considerando que por este motivo se cedieron un total de ¢39.257.226 al Ministerio de Hacienda.</w:t>
      </w:r>
    </w:p>
    <w:p w:rsidRPr="00F31A99" w:rsidR="00F31A99" w:rsidP="00F31A99" w:rsidRDefault="00F31A99" w14:paraId="08AF28AB" w14:textId="77777777">
      <w:pPr>
        <w:autoSpaceDN w:val="0"/>
        <w:spacing w:line="360" w:lineRule="auto"/>
        <w:ind w:firstLine="360"/>
        <w:jc w:val="both"/>
        <w:rPr>
          <w:rFonts w:ascii="Times New Roman" w:hAnsi="Times New Roman" w:eastAsia="Calibri" w:cs="Times New Roman"/>
          <w:bCs/>
          <w:sz w:val="24"/>
          <w:u w:color="000000"/>
        </w:rPr>
      </w:pPr>
    </w:p>
    <w:p w:rsidRPr="00F31A99" w:rsidR="00F31A99" w:rsidP="00F31A99" w:rsidRDefault="00F31A99" w14:paraId="42B7D621" w14:textId="77777777">
      <w:pPr>
        <w:autoSpaceDN w:val="0"/>
        <w:ind w:left="1560"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1.3 Variación por Programa 2020-2021</w:t>
      </w:r>
    </w:p>
    <w:p w:rsidRPr="00F31A99" w:rsidR="00F31A99" w:rsidP="00F31A99" w:rsidRDefault="00F31A99" w14:paraId="219E77B2" w14:textId="77777777">
      <w:pPr>
        <w:autoSpaceDN w:val="0"/>
        <w:jc w:val="both"/>
        <w:rPr>
          <w:rFonts w:ascii="Times New Roman" w:hAnsi="Times New Roman" w:eastAsia="Calibri" w:cs="Times New Roman"/>
          <w:bCs/>
          <w:sz w:val="24"/>
          <w:highlight w:val="yellow"/>
          <w:u w:color="000000"/>
        </w:rPr>
      </w:pPr>
    </w:p>
    <w:p w:rsidRPr="00F31A99" w:rsidR="00F31A99" w:rsidP="00F31A99" w:rsidRDefault="00F31A99" w14:paraId="5762BAFC"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Al realizar el análisis comparativo por programa presupuestario, se determina que el Programa 928 Organismo de Investigación Judicial es el único que presenta incremento del 2021 al 2022, mientras que los restantes cinco Programas registran decrecimientos, siendo el más significativo el mostrado en el Programa Administrativo con una disminución del 29,9% equivalente a ¢20.973.407.</w:t>
      </w:r>
    </w:p>
    <w:p w:rsidRPr="00F31A99" w:rsidR="00F31A99" w:rsidP="00F31A99" w:rsidRDefault="00F31A99" w14:paraId="01AC2ECA"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458BBBAC"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En la siguiente tabla se muestra el detalle de la variación para cada uno de los programas presupuestarios:</w:t>
      </w:r>
    </w:p>
    <w:p w:rsidRPr="00F31A99" w:rsidR="00F31A99" w:rsidP="00F31A99" w:rsidRDefault="00F31A99" w14:paraId="1CAB897C"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7BC615E9" w14:textId="77777777">
      <w:pPr>
        <w:autoSpaceDN w:val="0"/>
        <w:ind w:left="1560"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Tabla 3. Variación Formulación por Programa Periodos 2021 – 2022 y Ejecución 2020.</w:t>
      </w:r>
    </w:p>
    <w:p w:rsidRPr="00F31A99" w:rsidR="00F31A99" w:rsidP="00F31A99" w:rsidRDefault="00F31A99" w14:paraId="794390DD" w14:textId="77777777">
      <w:pPr>
        <w:autoSpaceDN w:val="0"/>
        <w:ind w:left="1560" w:right="851"/>
        <w:rPr>
          <w:rFonts w:ascii="Times New Roman" w:hAnsi="Times New Roman" w:eastAsia="Times New Roman" w:cs="Times New Roman"/>
          <w:b/>
          <w:bCs/>
          <w:sz w:val="26"/>
          <w:szCs w:val="26"/>
          <w:u w:color="000000"/>
          <w:lang w:eastAsia="es-ES"/>
        </w:rPr>
      </w:pPr>
    </w:p>
    <w:p w:rsidRPr="00F31A99" w:rsidR="00F31A99" w:rsidP="00F31A99" w:rsidRDefault="00F31A99" w14:paraId="30196CFD" w14:textId="77777777">
      <w:pPr>
        <w:autoSpaceDN w:val="0"/>
        <w:jc w:val="both"/>
        <w:rPr>
          <w:rFonts w:ascii="Times New Roman" w:hAnsi="Times New Roman" w:eastAsia="Calibri" w:cs="Times New Roman"/>
          <w:b/>
          <w:sz w:val="24"/>
          <w:u w:color="000000"/>
        </w:rPr>
      </w:pPr>
      <w:r w:rsidRPr="00F31A99">
        <w:rPr>
          <w:rFonts w:ascii="Times New Roman" w:hAnsi="Times New Roman" w:eastAsia="Calibri" w:cs="Times New Roman"/>
          <w:noProof/>
          <w:u w:color="000000"/>
        </w:rPr>
        <w:drawing>
          <wp:inline distT="0" distB="0" distL="0" distR="0" wp14:anchorId="76A7942F" wp14:editId="15ECCE01">
            <wp:extent cx="5612130" cy="1473835"/>
            <wp:effectExtent l="0" t="0" r="762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2130" cy="1473835"/>
                    </a:xfrm>
                    <a:prstGeom prst="rect">
                      <a:avLst/>
                    </a:prstGeom>
                    <a:noFill/>
                    <a:ln>
                      <a:noFill/>
                    </a:ln>
                  </pic:spPr>
                </pic:pic>
              </a:graphicData>
            </a:graphic>
          </wp:inline>
        </w:drawing>
      </w:r>
    </w:p>
    <w:p w:rsidRPr="00F31A99" w:rsidR="00F31A99" w:rsidP="00F31A99" w:rsidRDefault="00F31A99" w14:paraId="5A7705BE" w14:textId="77777777">
      <w:pPr>
        <w:autoSpaceDN w:val="0"/>
        <w:rPr>
          <w:rFonts w:ascii="Times New Roman" w:hAnsi="Times New Roman" w:eastAsia="Calibri" w:cs="Times New Roman"/>
          <w:bCs/>
          <w:sz w:val="20"/>
          <w:szCs w:val="18"/>
          <w:u w:color="000000"/>
        </w:rPr>
      </w:pPr>
      <w:r w:rsidRPr="00F31A99">
        <w:rPr>
          <w:rFonts w:ascii="Times New Roman" w:hAnsi="Times New Roman" w:eastAsia="Calibri" w:cs="Times New Roman"/>
          <w:bCs/>
          <w:sz w:val="20"/>
          <w:szCs w:val="18"/>
          <w:u w:color="000000"/>
        </w:rPr>
        <w:t xml:space="preserve"> Fuente: SIGA PJ</w:t>
      </w:r>
    </w:p>
    <w:p w:rsidRPr="00F31A99" w:rsidR="00F31A99" w:rsidP="00F31A99" w:rsidRDefault="00F31A99" w14:paraId="23243014"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3E5531E1" w14:textId="77777777">
      <w:pPr>
        <w:autoSpaceDN w:val="0"/>
        <w:ind w:left="851" w:right="851" w:firstLine="709"/>
        <w:jc w:val="both"/>
        <w:rPr>
          <w:rFonts w:ascii="Times New Roman" w:hAnsi="Times New Roman" w:eastAsia="Calibri" w:cs="Times New Roman"/>
          <w:bCs/>
          <w:sz w:val="24"/>
          <w:u w:color="000000"/>
        </w:rPr>
      </w:pPr>
      <w:r w:rsidRPr="00F31A99">
        <w:rPr>
          <w:rFonts w:ascii="Times New Roman" w:hAnsi="Times New Roman" w:eastAsia="Calibri" w:cs="Times New Roman"/>
          <w:bCs/>
          <w:sz w:val="24"/>
          <w:u w:color="000000"/>
        </w:rPr>
        <w:tab/>
      </w:r>
      <w:r w:rsidRPr="00F31A99">
        <w:rPr>
          <w:rFonts w:ascii="Times New Roman" w:hAnsi="Times New Roman" w:eastAsia="Calibri" w:cs="Times New Roman"/>
          <w:bCs/>
          <w:sz w:val="26"/>
          <w:szCs w:val="26"/>
          <w:u w:color="000000"/>
        </w:rPr>
        <w:t xml:space="preserve">En el caso del Organismo de Investigación Judicial, el incremento se debe exclusivamente al aumento normal de los contratos de servicio de alimentación de detenidos, que se tienen a nivel nacional en las distintas Delegaciones, Subdelegaciones, </w:t>
      </w:r>
      <w:r w:rsidRPr="00F31A99">
        <w:rPr>
          <w:rFonts w:ascii="Times New Roman" w:hAnsi="Times New Roman" w:eastAsia="Calibri" w:cs="Times New Roman"/>
          <w:bCs/>
          <w:sz w:val="26"/>
          <w:szCs w:val="26"/>
          <w:u w:color="000000"/>
        </w:rPr>
        <w:lastRenderedPageBreak/>
        <w:t xml:space="preserve">Oficinas y Unidades Regionales. Por su parte, el decrecimiento del Programa Administrativo, se da principalmente por una disminución en el presupuesto formulado por la Escuela Judicial para el contrato de concesión de soda y servicio de alimentación, que pasa de ¢43.321.344 en 2021 a ¢30.616.560 en 2022; al respecto se realizó la consulta a la Administración de la Escuela, quienes indicaron que la rebaja se debe a dos razones directas, primero que el cálculo se está realizando bajo un escenario de Pandemia, en el cual el año anterior se dio la cancelación de la capacitación presencial durante buena parte del año y no fue sino hasta el mes de agosto que se empezó a gestionar lo estrictamente necesario, se indica además, que la otra variable que intervino, es el hecho de que la Escuela Judicial está migrando mucha de la capacitación a la modalidad de la virtualidad, por lo que se estima suficiente el monto solicitado. Estas nuevas modalidades de trabajo se implementan en la búsqueda de hacer más eficientes los medios de capacitación y el ahorro de los recursos económicos. </w:t>
      </w:r>
    </w:p>
    <w:p w:rsidRPr="00F31A99" w:rsidR="00F31A99" w:rsidP="00F31A99" w:rsidRDefault="00F31A99" w14:paraId="65674A92" w14:textId="77777777">
      <w:pPr>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46A4A7F8" w14:textId="77777777">
      <w:pPr>
        <w:autoSpaceDN w:val="0"/>
        <w:ind w:left="1560"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Figura N° 2. Distribución de Recursos por Programa para el 2022</w:t>
      </w:r>
    </w:p>
    <w:p w:rsidRPr="00F31A99" w:rsidR="00F31A99" w:rsidP="00F31A99" w:rsidRDefault="00F31A99" w14:paraId="35CCA245" w14:textId="77777777">
      <w:pPr>
        <w:autoSpaceDN w:val="0"/>
        <w:jc w:val="center"/>
        <w:rPr>
          <w:rFonts w:ascii="Times New Roman" w:hAnsi="Times New Roman" w:eastAsia="Calibri" w:cs="Times New Roman"/>
          <w:b/>
          <w:sz w:val="24"/>
          <w:u w:color="000000"/>
        </w:rPr>
      </w:pPr>
      <w:r w:rsidRPr="00F31A99">
        <w:rPr>
          <w:rFonts w:ascii="Times New Roman" w:hAnsi="Times New Roman" w:eastAsia="Calibri" w:cs="Times New Roman"/>
          <w:noProof/>
          <w:u w:color="000000"/>
        </w:rPr>
        <w:drawing>
          <wp:inline distT="0" distB="0" distL="0" distR="0" wp14:anchorId="38A7CAD0" wp14:editId="181C6E39">
            <wp:extent cx="3771900" cy="2895600"/>
            <wp:effectExtent l="0" t="0" r="0" b="0"/>
            <wp:docPr id="80" name="Gráfico 80">
              <a:extLst xmlns:a="http://schemas.openxmlformats.org/drawingml/2006/main">
                <a:ext uri="{FF2B5EF4-FFF2-40B4-BE49-F238E27FC236}">
                  <a16:creationId xmlns:a16="http://schemas.microsoft.com/office/drawing/2014/main" id="{2AB3AA31-58A2-4F11-826C-2CAB10D539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Pr="00F31A99" w:rsidR="00F31A99" w:rsidP="00F31A99" w:rsidRDefault="00F31A99" w14:paraId="067A0E5B" w14:textId="77777777">
      <w:pPr>
        <w:autoSpaceDN w:val="0"/>
        <w:rPr>
          <w:rFonts w:ascii="Times New Roman" w:hAnsi="Times New Roman" w:eastAsia="Calibri" w:cs="Times New Roman"/>
          <w:b/>
          <w:szCs w:val="20"/>
          <w:u w:color="000000"/>
        </w:rPr>
      </w:pPr>
      <w:r w:rsidRPr="00F31A99">
        <w:rPr>
          <w:rFonts w:ascii="Times New Roman" w:hAnsi="Times New Roman" w:eastAsia="Calibri" w:cs="Times New Roman"/>
          <w:bCs/>
          <w:sz w:val="20"/>
          <w:szCs w:val="18"/>
          <w:u w:color="000000"/>
        </w:rPr>
        <w:t xml:space="preserve"> Fuente: SIGA PJ </w:t>
      </w:r>
    </w:p>
    <w:p w:rsidRPr="00F31A99" w:rsidR="00F31A99" w:rsidP="00F31A99" w:rsidRDefault="00F31A99" w14:paraId="13857202" w14:textId="77777777">
      <w:pPr>
        <w:autoSpaceDN w:val="0"/>
        <w:jc w:val="center"/>
        <w:rPr>
          <w:rFonts w:ascii="Times New Roman" w:hAnsi="Times New Roman" w:eastAsia="Calibri" w:cs="Times New Roman"/>
          <w:b/>
          <w:sz w:val="24"/>
          <w:u w:color="000000"/>
        </w:rPr>
      </w:pPr>
    </w:p>
    <w:p w:rsidRPr="00F31A99" w:rsidR="00F31A99" w:rsidP="00F31A99" w:rsidRDefault="00F31A99" w14:paraId="01736C01" w14:textId="77777777">
      <w:pPr>
        <w:autoSpaceDN w:val="0"/>
        <w:jc w:val="both"/>
        <w:rPr>
          <w:rFonts w:ascii="Times New Roman" w:hAnsi="Times New Roman" w:eastAsia="Calibri" w:cs="Times New Roman"/>
          <w:bCs/>
          <w:sz w:val="24"/>
          <w:u w:color="000000"/>
        </w:rPr>
      </w:pPr>
    </w:p>
    <w:p w:rsidRPr="00F31A99" w:rsidR="00F31A99" w:rsidP="00F31A99" w:rsidRDefault="00F31A99" w14:paraId="44031B75" w14:textId="77777777">
      <w:pPr>
        <w:autoSpaceDN w:val="0"/>
        <w:ind w:left="1560"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1.4 Distribución por Centro de Responsabilidad</w:t>
      </w:r>
    </w:p>
    <w:p w:rsidRPr="00F31A99" w:rsidR="00F31A99" w:rsidP="00F31A99" w:rsidRDefault="00F31A99" w14:paraId="46414114" w14:textId="77777777">
      <w:pPr>
        <w:autoSpaceDN w:val="0"/>
        <w:jc w:val="both"/>
        <w:rPr>
          <w:rFonts w:ascii="Times New Roman" w:hAnsi="Times New Roman" w:eastAsia="Calibri" w:cs="Times New Roman"/>
          <w:bCs/>
          <w:sz w:val="24"/>
          <w:u w:color="000000"/>
        </w:rPr>
      </w:pPr>
    </w:p>
    <w:p w:rsidRPr="00F31A99" w:rsidR="00F31A99" w:rsidP="00F31A99" w:rsidRDefault="00F31A99" w14:paraId="506A7EF2"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lastRenderedPageBreak/>
        <w:t>En la tabla 4 se presentan los Centros de Responsabilidad que para el 2022 son los más representativos dentro de la subpartida.</w:t>
      </w:r>
    </w:p>
    <w:p w:rsidRPr="00F31A99" w:rsidR="00F31A99" w:rsidP="00F31A99" w:rsidRDefault="00F31A99" w14:paraId="2094EC39" w14:textId="77777777">
      <w:pPr>
        <w:autoSpaceDN w:val="0"/>
        <w:jc w:val="both"/>
        <w:rPr>
          <w:rFonts w:ascii="Times New Roman" w:hAnsi="Times New Roman" w:eastAsia="Calibri" w:cs="Times New Roman"/>
          <w:bCs/>
          <w:sz w:val="24"/>
          <w:u w:color="000000"/>
        </w:rPr>
      </w:pPr>
    </w:p>
    <w:p w:rsidRPr="00F31A99" w:rsidR="00F31A99" w:rsidP="00F31A99" w:rsidRDefault="00F31A99" w14:paraId="0C37062D" w14:textId="77777777">
      <w:pPr>
        <w:autoSpaceDN w:val="0"/>
        <w:ind w:left="1560"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Tabla 4. Distribución de la Subpartida por Centro de Responsabilidad, Periodo 2022</w:t>
      </w:r>
    </w:p>
    <w:p w:rsidRPr="00F31A99" w:rsidR="00F31A99" w:rsidP="00F31A99" w:rsidRDefault="00F31A99" w14:paraId="35F49A0E" w14:textId="77777777">
      <w:pPr>
        <w:autoSpaceDN w:val="0"/>
        <w:rPr>
          <w:rFonts w:ascii="Times New Roman" w:hAnsi="Times New Roman" w:eastAsia="Calibri" w:cs="Times New Roman"/>
          <w:bCs/>
          <w:szCs w:val="20"/>
          <w:u w:color="000000"/>
        </w:rPr>
      </w:pPr>
      <w:r w:rsidRPr="00F31A99">
        <w:rPr>
          <w:rFonts w:ascii="Times New Roman" w:hAnsi="Times New Roman" w:eastAsia="Calibri" w:cs="Times New Roman"/>
          <w:bCs/>
          <w:szCs w:val="20"/>
          <w:u w:color="000000"/>
        </w:rPr>
        <w:t xml:space="preserve"> </w:t>
      </w:r>
    </w:p>
    <w:p w:rsidRPr="00F31A99" w:rsidR="00F31A99" w:rsidP="00F31A99" w:rsidRDefault="00F31A99" w14:paraId="03C6DD49" w14:textId="77777777">
      <w:pPr>
        <w:autoSpaceDN w:val="0"/>
        <w:jc w:val="center"/>
        <w:rPr>
          <w:rFonts w:ascii="Times New Roman" w:hAnsi="Times New Roman" w:eastAsia="Calibri" w:cs="Times New Roman"/>
          <w:bCs/>
          <w:szCs w:val="20"/>
          <w:u w:color="000000"/>
        </w:rPr>
      </w:pPr>
      <w:r w:rsidRPr="00F31A99">
        <w:rPr>
          <w:rFonts w:ascii="Times New Roman" w:hAnsi="Times New Roman" w:eastAsia="Calibri" w:cs="Times New Roman"/>
          <w:noProof/>
          <w:u w:color="000000"/>
        </w:rPr>
        <w:drawing>
          <wp:inline distT="0" distB="0" distL="0" distR="0" wp14:anchorId="15BD4053" wp14:editId="18596BCC">
            <wp:extent cx="4756150" cy="1041400"/>
            <wp:effectExtent l="0" t="0" r="635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56150" cy="1041400"/>
                    </a:xfrm>
                    <a:prstGeom prst="rect">
                      <a:avLst/>
                    </a:prstGeom>
                    <a:noFill/>
                    <a:ln>
                      <a:noFill/>
                    </a:ln>
                  </pic:spPr>
                </pic:pic>
              </a:graphicData>
            </a:graphic>
          </wp:inline>
        </w:drawing>
      </w:r>
    </w:p>
    <w:p w:rsidRPr="00F31A99" w:rsidR="00F31A99" w:rsidP="00F31A99" w:rsidRDefault="00F31A99" w14:paraId="7F23F6F5" w14:textId="77777777">
      <w:pPr>
        <w:autoSpaceDN w:val="0"/>
        <w:rPr>
          <w:rFonts w:ascii="Times New Roman" w:hAnsi="Times New Roman" w:eastAsia="Calibri" w:cs="Times New Roman"/>
          <w:bCs/>
          <w:sz w:val="18"/>
          <w:szCs w:val="16"/>
          <w:u w:color="000000"/>
        </w:rPr>
      </w:pPr>
      <w:r w:rsidRPr="00F31A99">
        <w:rPr>
          <w:rFonts w:ascii="Times New Roman" w:hAnsi="Times New Roman" w:eastAsia="Calibri" w:cs="Times New Roman"/>
          <w:bCs/>
          <w:sz w:val="18"/>
          <w:szCs w:val="16"/>
          <w:u w:color="000000"/>
        </w:rPr>
        <w:t xml:space="preserve"> Fuente: SIGA PJ</w:t>
      </w:r>
    </w:p>
    <w:p w:rsidRPr="00F31A99" w:rsidR="00F31A99" w:rsidP="00F31A99" w:rsidRDefault="00F31A99" w14:paraId="21C6131C" w14:textId="77777777">
      <w:pPr>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46D7E79F"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En el caso del Programa 950, el 96% (¢16.000.000) de los recursos formulados, son para las ayudas económicas para alimentación, que se brindan a las víctimas y testigos.</w:t>
      </w:r>
    </w:p>
    <w:p w:rsidRPr="00F31A99" w:rsidR="00F31A99" w:rsidP="00F31A99" w:rsidRDefault="00F31A99" w14:paraId="63DD9F6B"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4839B1D9"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Por su parte en el Ministerio Público, del total presupuestado, ¢2.506.905 lo solicita la Fiscalía General para la atención de reuniones con personeros de otras instituciones de gobierno y delegaciones internacionales , mientras que la Unidad de Capacitación requiere de ¢711.705 para la atención de las distintas actividades que se realizan y el resto del presupuesto se reparte entre las distintas Fiscalías a nivel nacional para la compra de café, refrescos, galletas, bocadillos, jugos y otros productos que se requieren para las distintas reuniones y realización de la actividad anual de rendición de cuentas a la comunidad por parte de cada Fiscalía.</w:t>
      </w:r>
    </w:p>
    <w:p w:rsidRPr="00F31A99" w:rsidR="00F31A99" w:rsidP="00F31A99" w:rsidRDefault="00F31A99" w14:paraId="6868B3D6"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13C80910"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Entre estos cuatro Centros de Responsabilidad se concentra el 97,2% del total de recursos formulados, mientras que el restante 2,8% se reparte entre 32 Centros de Responsabilidad, con porcentajes de representatividad que oscilan entre el 0,68% y el 0,01%.</w:t>
      </w:r>
    </w:p>
    <w:p w:rsidRPr="00F31A99" w:rsidR="00F31A99" w:rsidP="00F31A99" w:rsidRDefault="00F31A99" w14:paraId="7C106900" w14:textId="77777777">
      <w:pPr>
        <w:autoSpaceDN w:val="0"/>
        <w:ind w:left="851" w:right="851" w:firstLine="709"/>
        <w:jc w:val="both"/>
        <w:rPr>
          <w:rFonts w:ascii="Times New Roman" w:hAnsi="Times New Roman" w:eastAsia="Calibri" w:cs="Times New Roman"/>
          <w:bCs/>
          <w:sz w:val="26"/>
          <w:szCs w:val="26"/>
          <w:u w:val="single" w:color="000000"/>
        </w:rPr>
      </w:pPr>
    </w:p>
    <w:p w:rsidRPr="00F31A99" w:rsidR="00F31A99" w:rsidP="00F31A99" w:rsidRDefault="00F31A99" w14:paraId="1C991C10"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En conclusión, se tiene que a nivel general se cumple con lo estipulado en las directrices de formulación presupuestaria y la subpartida muestra para el 2022 un decrecimiento del 0,07% equivalente a ¢452.958. Solamente el Organismo de Investigación Judicial presenta un incremento, debido exclusivamente al tema de </w:t>
      </w:r>
      <w:r w:rsidRPr="00F31A99">
        <w:rPr>
          <w:rFonts w:ascii="Times New Roman" w:hAnsi="Times New Roman" w:eastAsia="Calibri" w:cs="Times New Roman"/>
          <w:bCs/>
          <w:sz w:val="26"/>
          <w:szCs w:val="26"/>
          <w:u w:color="000000"/>
        </w:rPr>
        <w:lastRenderedPageBreak/>
        <w:t xml:space="preserve">los contratos para el servicio de alimentación de detenidos, que es una de las excepciones que se autoriza en la directriz N°32. </w:t>
      </w:r>
    </w:p>
    <w:p w:rsidRPr="00F31A99" w:rsidR="00F31A99" w:rsidP="00F31A99" w:rsidRDefault="00F31A99" w14:paraId="38D65D6A"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12CA8FEA" w14:textId="77777777">
      <w:pPr>
        <w:autoSpaceDN w:val="0"/>
        <w:ind w:left="851" w:right="851" w:firstLine="709"/>
        <w:jc w:val="center"/>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-0-</w:t>
      </w:r>
    </w:p>
    <w:p w:rsidRPr="00F31A99" w:rsidR="00F31A99" w:rsidP="00F31A99" w:rsidRDefault="00F31A99" w14:paraId="7FFFC6C4" w14:textId="77777777">
      <w:pPr>
        <w:autoSpaceDN w:val="0"/>
        <w:ind w:left="851" w:right="851" w:firstLine="709"/>
        <w:jc w:val="center"/>
        <w:rPr>
          <w:rFonts w:ascii="Times New Roman" w:hAnsi="Times New Roman" w:eastAsia="Calibri" w:cs="Times New Roman"/>
          <w:bCs/>
          <w:sz w:val="26"/>
          <w:szCs w:val="26"/>
          <w:u w:color="000000"/>
        </w:rPr>
      </w:pPr>
    </w:p>
    <w:p w:rsidRPr="00F31A99" w:rsidR="00F31A99" w:rsidP="00F31A99" w:rsidRDefault="00F31A99" w14:paraId="12794757" w14:textId="77777777">
      <w:pPr>
        <w:autoSpaceDN w:val="0"/>
        <w:spacing w:after="160" w:line="480" w:lineRule="auto"/>
        <w:ind w:firstLine="709"/>
        <w:jc w:val="both"/>
        <w:rPr>
          <w:rFonts w:ascii="Times New Roman" w:hAnsi="Times New Roman" w:eastAsia="Calibri" w:cs="Times New Roman"/>
          <w:sz w:val="28"/>
          <w:szCs w:val="28"/>
          <w:u w:color="000000"/>
        </w:rPr>
      </w:pPr>
      <w:r w:rsidRPr="00F31A99">
        <w:rPr>
          <w:rFonts w:ascii="Times New Roman" w:hAnsi="Times New Roman" w:eastAsia="Calibri" w:cs="Times New Roman"/>
          <w:b/>
          <w:sz w:val="28"/>
          <w:szCs w:val="24"/>
          <w:u w:color="000000"/>
        </w:rPr>
        <w:t>Se acordó:</w:t>
      </w:r>
      <w:r w:rsidRPr="00F31A99">
        <w:rPr>
          <w:rFonts w:ascii="Times New Roman" w:hAnsi="Times New Roman" w:eastAsia="Calibri" w:cs="Times New Roman"/>
          <w:bCs/>
          <w:sz w:val="28"/>
          <w:szCs w:val="24"/>
          <w:u w:color="000000"/>
        </w:rPr>
        <w:t xml:space="preserve"> </w:t>
      </w:r>
      <w:r w:rsidRPr="00F31A99">
        <w:rPr>
          <w:rFonts w:ascii="Times New Roman" w:hAnsi="Times New Roman" w:eastAsia="Calibri" w:cs="Times New Roman"/>
          <w:b/>
          <w:bCs/>
          <w:sz w:val="28"/>
          <w:szCs w:val="28"/>
          <w:u w:color="000000"/>
        </w:rPr>
        <w:t>1)</w:t>
      </w:r>
      <w:r w:rsidRPr="00F31A99">
        <w:rPr>
          <w:rFonts w:ascii="Times New Roman" w:hAnsi="Times New Roman" w:eastAsia="Calibri" w:cs="Times New Roman"/>
          <w:sz w:val="28"/>
          <w:szCs w:val="28"/>
          <w:u w:color="000000"/>
        </w:rPr>
        <w:t xml:space="preserve"> Se dan por conocidos los requerimientos solicitados por los distintos Centros de Responsabilidad en la subpartida 20203 Alimentos y Bebidas, sin embargo, se estará a la espera del análisis global del presupuesto 2022, para aprobar una propuesta integral que consolide todas las necesidades institucionales. </w:t>
      </w:r>
      <w:r w:rsidRPr="00F31A99">
        <w:rPr>
          <w:rFonts w:ascii="Times New Roman" w:hAnsi="Times New Roman" w:eastAsia="Calibri" w:cs="Times New Roman"/>
          <w:b/>
          <w:bCs/>
          <w:sz w:val="28"/>
          <w:szCs w:val="28"/>
          <w:u w:color="000000"/>
        </w:rPr>
        <w:t>2)</w:t>
      </w:r>
      <w:r w:rsidRPr="00F31A99">
        <w:rPr>
          <w:rFonts w:ascii="Times New Roman" w:hAnsi="Times New Roman" w:eastAsia="Calibri" w:cs="Times New Roman"/>
          <w:sz w:val="28"/>
          <w:szCs w:val="28"/>
          <w:u w:color="000000"/>
        </w:rPr>
        <w:t xml:space="preserve"> Reiterar que en el caso de los Programas 928 OIJ y 950 Servicio de Atención y Protección, los recursos se destinan principalmente al pago de alimentación de personas detenidas y de personas víctimas que reciben los servicios de protección. </w:t>
      </w:r>
      <w:r w:rsidRPr="00F31A99">
        <w:rPr>
          <w:rFonts w:ascii="Times New Roman" w:hAnsi="Times New Roman" w:eastAsia="Calibri" w:cs="Times New Roman"/>
          <w:b/>
          <w:bCs/>
          <w:sz w:val="28"/>
          <w:szCs w:val="28"/>
          <w:u w:color="000000"/>
          <w:bdr w:val="none" w:color="auto" w:sz="0" w:space="0" w:frame="1"/>
          <w:lang w:eastAsia="es-ES"/>
        </w:rPr>
        <w:t>Se declara acuerdo firme.</w:t>
      </w:r>
    </w:p>
    <w:p w:rsidRPr="00F31A99" w:rsidR="00F31A99" w:rsidP="00F31A99" w:rsidRDefault="00F31A99" w14:paraId="51B28B14" w14:textId="0DF7908D">
      <w:pPr>
        <w:keepNext/>
        <w:shd w:val="clear" w:color="auto" w:fill="FFFFFF"/>
        <w:autoSpaceDE w:val="0"/>
        <w:autoSpaceDN w:val="0"/>
        <w:spacing w:line="360" w:lineRule="auto"/>
        <w:jc w:val="center"/>
        <w:outlineLvl w:val="0"/>
        <w:rPr>
          <w:rFonts w:ascii="Times New Roman" w:hAnsi="Times New Roman" w:eastAsia="Times New Roman" w:cs="Times New Roman"/>
          <w:b/>
          <w:bCs/>
          <w:kern w:val="36"/>
          <w:sz w:val="36"/>
          <w:szCs w:val="36"/>
          <w:u w:val="single" w:color="000000"/>
          <w:lang w:eastAsia="es-ES"/>
        </w:rPr>
      </w:pPr>
      <w:r w:rsidRPr="00F31A99">
        <w:rPr>
          <w:rFonts w:ascii="Times New Roman" w:hAnsi="Times New Roman" w:eastAsia="Times New Roman" w:cs="Times New Roman"/>
          <w:b/>
          <w:bCs/>
          <w:kern w:val="36"/>
          <w:sz w:val="36"/>
          <w:szCs w:val="36"/>
          <w:u w:val="single" w:color="000000"/>
          <w:lang w:eastAsia="es-ES"/>
        </w:rPr>
        <w:t>ARTÍCULO XII</w:t>
      </w:r>
    </w:p>
    <w:p w:rsidRPr="00F31A99" w:rsidR="00F31A99" w:rsidP="00F31A99" w:rsidRDefault="00F31A99" w14:paraId="0C4CC3D1" w14:textId="77777777">
      <w:pPr>
        <w:autoSpaceDN w:val="0"/>
        <w:spacing w:line="480" w:lineRule="auto"/>
        <w:jc w:val="both"/>
        <w:rPr>
          <w:rFonts w:ascii="Times New Roman" w:hAnsi="Times New Roman" w:eastAsia="Times New Roman" w:cs="Times New Roman"/>
          <w:b/>
          <w:bCs/>
          <w:sz w:val="28"/>
          <w:szCs w:val="28"/>
          <w:u w:color="000000"/>
          <w:lang w:eastAsia="es-ES"/>
        </w:rPr>
      </w:pPr>
      <w:r w:rsidRPr="00F31A99">
        <w:rPr>
          <w:rFonts w:ascii="Times New Roman" w:hAnsi="Times New Roman" w:eastAsia="Times New Roman" w:cs="Times New Roman"/>
          <w:b/>
          <w:bCs/>
          <w:sz w:val="28"/>
          <w:szCs w:val="28"/>
          <w:u w:color="000000"/>
          <w:lang w:eastAsia="es-ES"/>
        </w:rPr>
        <w:t>Documento N° 3836-2021</w:t>
      </w:r>
    </w:p>
    <w:p w:rsidRPr="00F31A99" w:rsidR="00F31A99" w:rsidP="00F31A99" w:rsidRDefault="00F31A99" w14:paraId="7800D1FC" w14:textId="77777777">
      <w:pPr>
        <w:autoSpaceDN w:val="0"/>
        <w:spacing w:line="480" w:lineRule="auto"/>
        <w:ind w:firstLine="709"/>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En reunión de trabajo del pasado 9 de abril, la Licda. Nacira Valverde</w:t>
      </w:r>
      <w:r w:rsidRPr="00F31A99">
        <w:rPr>
          <w:rFonts w:ascii="Times New Roman" w:hAnsi="Times New Roman" w:eastAsia="Calibri" w:cs="Times New Roman"/>
          <w:sz w:val="28"/>
          <w:szCs w:val="28"/>
          <w:u w:color="000000"/>
          <w:shd w:val="clear" w:color="auto" w:fill="FFFFFF"/>
        </w:rPr>
        <w:t xml:space="preserve">, Directora de Planificación </w:t>
      </w:r>
      <w:r w:rsidRPr="00F31A99">
        <w:rPr>
          <w:rFonts w:ascii="Times New Roman" w:hAnsi="Times New Roman" w:eastAsia="Calibri" w:cs="Times New Roman"/>
          <w:sz w:val="28"/>
          <w:szCs w:val="28"/>
          <w:u w:color="000000"/>
        </w:rPr>
        <w:t xml:space="preserve">presentó la estimación de requerimientos para el 2022 en la subpartida 10406 Servicios Generales. </w:t>
      </w:r>
    </w:p>
    <w:p w:rsidRPr="00F31A99" w:rsidR="00F31A99" w:rsidP="00F31A99" w:rsidRDefault="00F31A99" w14:paraId="52849F11" w14:textId="77777777">
      <w:pPr>
        <w:autoSpaceDN w:val="0"/>
        <w:jc w:val="center"/>
        <w:rPr>
          <w:rFonts w:ascii="Times New Roman" w:hAnsi="Times New Roman" w:eastAsia="Calibri" w:cs="Times New Roman"/>
          <w:b/>
          <w:sz w:val="28"/>
          <w:szCs w:val="24"/>
          <w:u w:color="000000"/>
        </w:rPr>
      </w:pPr>
    </w:p>
    <w:p w:rsidRPr="00F31A99" w:rsidR="00F31A99" w:rsidP="00F31A99" w:rsidRDefault="00F31A99" w14:paraId="44D72605" w14:textId="77777777">
      <w:pPr>
        <w:numPr>
          <w:ilvl w:val="0"/>
          <w:numId w:val="4"/>
        </w:numPr>
        <w:autoSpaceDN w:val="0"/>
        <w:ind w:left="851" w:right="851" w:firstLine="0"/>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Subpartida 1.04.06 Servicios Generales</w:t>
      </w:r>
    </w:p>
    <w:p w:rsidRPr="00F31A99" w:rsidR="00F31A99" w:rsidP="00F31A99" w:rsidRDefault="00F31A99" w14:paraId="0CDA554D" w14:textId="77777777">
      <w:pPr>
        <w:autoSpaceDN w:val="0"/>
        <w:ind w:left="851" w:right="851" w:firstLine="709"/>
        <w:jc w:val="center"/>
        <w:rPr>
          <w:rFonts w:ascii="Times New Roman" w:hAnsi="Times New Roman" w:eastAsia="Calibri" w:cs="Times New Roman"/>
          <w:b/>
          <w:bCs/>
          <w:sz w:val="26"/>
          <w:szCs w:val="26"/>
          <w:u w:color="000000"/>
        </w:rPr>
      </w:pPr>
    </w:p>
    <w:p w:rsidRPr="00F31A99" w:rsidR="00F31A99" w:rsidP="00F31A99" w:rsidRDefault="00F31A99" w14:paraId="2F072964"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Como se puede observar en la tabla 1 el comportamiento global de esta subpartida presenta un incremento para el 2022 del 12%, lo que equivale a un monto adicional de ¢910.145.316. </w:t>
      </w:r>
    </w:p>
    <w:p w:rsidRPr="00F31A99" w:rsidR="00F31A99" w:rsidP="00F31A99" w:rsidRDefault="00F31A99" w14:paraId="40CBA091"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5EDBC034"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Este crecimiento se ve afectado en parte por el rebajo de ¢160.000.000 aplicado a esta subpartida en el presupuesto 2021, como parte de los ajustes presentados a la Asamblea Legislativa y finalmente aprobados en el Plenario. De no haberse dado esta disminución, el incremento total para el 2022 hubiese sido del 9,70%, equivalente a ¢750.145.316. </w:t>
      </w:r>
    </w:p>
    <w:p w:rsidRPr="00F31A99" w:rsidR="00F31A99" w:rsidP="00F31A99" w:rsidRDefault="00F31A99" w14:paraId="2F696974"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79FF4374"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Tabla 1. Comparativo 2018-2022 de la Subpartida</w:t>
      </w:r>
    </w:p>
    <w:tbl>
      <w:tblPr>
        <w:tblW w:w="8251" w:type="dxa"/>
        <w:jc w:val="center"/>
        <w:tblCellMar>
          <w:left w:w="70" w:type="dxa"/>
          <w:right w:w="70" w:type="dxa"/>
        </w:tblCellMar>
        <w:tblLook w:val="04A0" w:firstRow="1" w:lastRow="0" w:firstColumn="1" w:lastColumn="0" w:noHBand="0" w:noVBand="1"/>
      </w:tblPr>
      <w:tblGrid>
        <w:gridCol w:w="1509"/>
        <w:gridCol w:w="1409"/>
        <w:gridCol w:w="1175"/>
        <w:gridCol w:w="1291"/>
        <w:gridCol w:w="1190"/>
        <w:gridCol w:w="1711"/>
      </w:tblGrid>
      <w:tr w:rsidRPr="00F31A99" w:rsidR="00AE1B2B" w:rsidTr="00A306B2" w14:paraId="5530734B" w14:textId="77777777">
        <w:trPr>
          <w:trHeight w:val="295"/>
          <w:jc w:val="center"/>
        </w:trPr>
        <w:tc>
          <w:tcPr>
            <w:tcW w:w="1509" w:type="dxa"/>
            <w:tcBorders>
              <w:top w:val="single" w:color="1F4E78" w:sz="4" w:space="0"/>
              <w:left w:val="nil"/>
              <w:bottom w:val="single" w:color="1F4E78" w:sz="4" w:space="0"/>
              <w:right w:val="nil"/>
            </w:tcBorders>
            <w:shd w:val="clear" w:color="D9E1F2" w:fill="F2F2F2"/>
            <w:vAlign w:val="center"/>
            <w:hideMark/>
          </w:tcPr>
          <w:p w:rsidRPr="00F31A99" w:rsidR="00F31A99" w:rsidP="00F31A99" w:rsidRDefault="00F31A99" w14:paraId="50CBC1CF"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 </w:t>
            </w:r>
          </w:p>
        </w:tc>
        <w:tc>
          <w:tcPr>
            <w:tcW w:w="1409" w:type="dxa"/>
            <w:tcBorders>
              <w:top w:val="single" w:color="1F4E78" w:sz="4" w:space="0"/>
              <w:left w:val="nil"/>
              <w:bottom w:val="single" w:color="1F4E78" w:sz="4" w:space="0"/>
              <w:right w:val="nil"/>
            </w:tcBorders>
            <w:shd w:val="clear" w:color="D9E1F2" w:fill="F2F2F2"/>
            <w:vAlign w:val="center"/>
          </w:tcPr>
          <w:p w:rsidRPr="00F31A99" w:rsidR="00F31A99" w:rsidP="00F31A99" w:rsidRDefault="00F31A99" w14:paraId="33D70807"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2018</w:t>
            </w:r>
          </w:p>
        </w:tc>
        <w:tc>
          <w:tcPr>
            <w:tcW w:w="1141" w:type="dxa"/>
            <w:tcBorders>
              <w:top w:val="single" w:color="1F4E78" w:sz="4" w:space="0"/>
              <w:left w:val="nil"/>
              <w:bottom w:val="single" w:color="1F4E78" w:sz="4" w:space="0"/>
              <w:right w:val="nil"/>
            </w:tcBorders>
            <w:shd w:val="clear" w:color="D9E1F2" w:fill="F2F2F2"/>
            <w:vAlign w:val="center"/>
          </w:tcPr>
          <w:p w:rsidRPr="00F31A99" w:rsidR="00F31A99" w:rsidP="00F31A99" w:rsidRDefault="00F31A99" w14:paraId="5B5BC89C"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2019</w:t>
            </w:r>
          </w:p>
        </w:tc>
        <w:tc>
          <w:tcPr>
            <w:tcW w:w="1291" w:type="dxa"/>
            <w:tcBorders>
              <w:top w:val="single" w:color="1F4E78" w:sz="4" w:space="0"/>
              <w:left w:val="nil"/>
              <w:bottom w:val="single" w:color="1F4E78" w:sz="4" w:space="0"/>
              <w:right w:val="nil"/>
            </w:tcBorders>
            <w:shd w:val="clear" w:color="D9E1F2" w:fill="F2F2F2"/>
            <w:vAlign w:val="center"/>
          </w:tcPr>
          <w:p w:rsidRPr="00F31A99" w:rsidR="00F31A99" w:rsidP="00F31A99" w:rsidRDefault="00F31A99" w14:paraId="6B2C013B"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2020</w:t>
            </w:r>
          </w:p>
        </w:tc>
        <w:tc>
          <w:tcPr>
            <w:tcW w:w="1190" w:type="dxa"/>
            <w:tcBorders>
              <w:top w:val="single" w:color="1F4E78" w:sz="4" w:space="0"/>
              <w:left w:val="nil"/>
              <w:bottom w:val="single" w:color="1F4E78" w:sz="4" w:space="0"/>
              <w:right w:val="nil"/>
            </w:tcBorders>
            <w:shd w:val="clear" w:color="D9E1F2" w:fill="F2F2F2"/>
            <w:vAlign w:val="center"/>
          </w:tcPr>
          <w:p w:rsidRPr="00F31A99" w:rsidR="00F31A99" w:rsidP="00F31A99" w:rsidRDefault="00F31A99" w14:paraId="1238183E"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2021</w:t>
            </w:r>
          </w:p>
        </w:tc>
        <w:tc>
          <w:tcPr>
            <w:tcW w:w="1711" w:type="dxa"/>
            <w:tcBorders>
              <w:top w:val="single" w:color="1F4E78" w:sz="4" w:space="0"/>
              <w:left w:val="nil"/>
              <w:bottom w:val="single" w:color="1F4E78" w:sz="4" w:space="0"/>
              <w:right w:val="nil"/>
            </w:tcBorders>
            <w:shd w:val="clear" w:color="D9E1F2" w:fill="F2F2F2"/>
            <w:vAlign w:val="center"/>
          </w:tcPr>
          <w:p w:rsidRPr="00F31A99" w:rsidR="00F31A99" w:rsidP="00F31A99" w:rsidRDefault="00F31A99" w14:paraId="0D06B3E8"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2022</w:t>
            </w:r>
          </w:p>
        </w:tc>
      </w:tr>
      <w:tr w:rsidRPr="00F31A99" w:rsidR="00AE1B2B" w:rsidTr="00A306B2" w14:paraId="563CD254" w14:textId="77777777">
        <w:trPr>
          <w:trHeight w:val="295"/>
          <w:jc w:val="center"/>
        </w:trPr>
        <w:tc>
          <w:tcPr>
            <w:tcW w:w="1509" w:type="dxa"/>
            <w:tcBorders>
              <w:top w:val="nil"/>
              <w:left w:val="nil"/>
              <w:bottom w:val="nil"/>
              <w:right w:val="nil"/>
            </w:tcBorders>
            <w:shd w:val="clear" w:color="000000" w:fill="FFFFFF"/>
            <w:noWrap/>
            <w:vAlign w:val="bottom"/>
            <w:hideMark/>
          </w:tcPr>
          <w:p w:rsidRPr="00F31A99" w:rsidR="00F31A99" w:rsidP="00F31A99" w:rsidRDefault="00F31A99" w14:paraId="3EC3DDF0" w14:textId="77777777">
            <w:pPr>
              <w:autoSpaceDN w:val="0"/>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Monto Formulado</w:t>
            </w:r>
          </w:p>
        </w:tc>
        <w:tc>
          <w:tcPr>
            <w:tcW w:w="1409" w:type="dxa"/>
            <w:tcBorders>
              <w:top w:val="single" w:color="8EA9DB" w:sz="4" w:space="0"/>
              <w:left w:val="nil"/>
              <w:bottom w:val="nil"/>
              <w:right w:val="nil"/>
            </w:tcBorders>
            <w:shd w:val="clear" w:color="D9E1F2" w:fill="FFFFFF"/>
            <w:noWrap/>
            <w:vAlign w:val="bottom"/>
          </w:tcPr>
          <w:p w:rsidRPr="00F31A99" w:rsidR="00F31A99" w:rsidP="00F31A99" w:rsidRDefault="00F31A99" w14:paraId="7B2603EB"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6.200.687.286</w:t>
            </w:r>
          </w:p>
        </w:tc>
        <w:tc>
          <w:tcPr>
            <w:tcW w:w="1141" w:type="dxa"/>
            <w:tcBorders>
              <w:top w:val="single" w:color="8EA9DB" w:sz="4" w:space="0"/>
              <w:left w:val="nil"/>
              <w:bottom w:val="nil"/>
              <w:right w:val="nil"/>
            </w:tcBorders>
            <w:shd w:val="clear" w:color="D9E1F2" w:fill="FFFFFF"/>
            <w:noWrap/>
            <w:vAlign w:val="bottom"/>
          </w:tcPr>
          <w:p w:rsidRPr="00F31A99" w:rsidR="00F31A99" w:rsidP="00F31A99" w:rsidRDefault="00F31A99" w14:paraId="7C71565D"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6.315.405.778</w:t>
            </w:r>
          </w:p>
        </w:tc>
        <w:tc>
          <w:tcPr>
            <w:tcW w:w="1291" w:type="dxa"/>
            <w:tcBorders>
              <w:top w:val="single" w:color="8EA9DB" w:sz="4" w:space="0"/>
              <w:left w:val="nil"/>
              <w:bottom w:val="nil"/>
              <w:right w:val="nil"/>
            </w:tcBorders>
            <w:shd w:val="clear" w:color="D9E1F2" w:fill="FFFFFF"/>
            <w:noWrap/>
            <w:vAlign w:val="bottom"/>
          </w:tcPr>
          <w:p w:rsidRPr="00F31A99" w:rsidR="00F31A99" w:rsidP="00F31A99" w:rsidRDefault="00F31A99" w14:paraId="230B21B4"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6.838.886.602</w:t>
            </w:r>
          </w:p>
        </w:tc>
        <w:tc>
          <w:tcPr>
            <w:tcW w:w="1190" w:type="dxa"/>
            <w:tcBorders>
              <w:top w:val="single" w:color="8EA9DB" w:sz="4" w:space="0"/>
              <w:left w:val="nil"/>
              <w:bottom w:val="nil"/>
              <w:right w:val="nil"/>
            </w:tcBorders>
            <w:shd w:val="clear" w:color="D9E1F2" w:fill="FFFFFF"/>
            <w:noWrap/>
            <w:vAlign w:val="bottom"/>
          </w:tcPr>
          <w:p w:rsidRPr="00F31A99" w:rsidR="00F31A99" w:rsidP="00F31A99" w:rsidRDefault="00F31A99" w14:paraId="7D18A9DD"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7.575.781.719</w:t>
            </w:r>
          </w:p>
        </w:tc>
        <w:tc>
          <w:tcPr>
            <w:tcW w:w="1711" w:type="dxa"/>
            <w:tcBorders>
              <w:top w:val="single" w:color="8EA9DB" w:sz="4" w:space="0"/>
              <w:left w:val="nil"/>
              <w:bottom w:val="nil"/>
              <w:right w:val="nil"/>
            </w:tcBorders>
            <w:shd w:val="clear" w:color="D9E1F2" w:fill="FFFFFF"/>
            <w:noWrap/>
            <w:vAlign w:val="bottom"/>
          </w:tcPr>
          <w:p w:rsidRPr="00F31A99" w:rsidR="00F31A99" w:rsidP="00F31A99" w:rsidRDefault="00F31A99" w14:paraId="36397B52"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8.485.927.035</w:t>
            </w:r>
          </w:p>
        </w:tc>
      </w:tr>
      <w:tr w:rsidRPr="00F31A99" w:rsidR="00AE1B2B" w:rsidTr="00A306B2" w14:paraId="25CF474B" w14:textId="77777777">
        <w:trPr>
          <w:trHeight w:val="295"/>
          <w:jc w:val="center"/>
        </w:trPr>
        <w:tc>
          <w:tcPr>
            <w:tcW w:w="1509" w:type="dxa"/>
            <w:tcBorders>
              <w:top w:val="nil"/>
              <w:left w:val="nil"/>
              <w:bottom w:val="single" w:color="1F4E78" w:sz="4" w:space="0"/>
              <w:right w:val="nil"/>
            </w:tcBorders>
            <w:shd w:val="clear" w:color="000000" w:fill="FFFFFF"/>
            <w:noWrap/>
            <w:vAlign w:val="bottom"/>
            <w:hideMark/>
          </w:tcPr>
          <w:p w:rsidRPr="00F31A99" w:rsidR="00F31A99" w:rsidP="00F31A99" w:rsidRDefault="00F31A99" w14:paraId="765DBCAD" w14:textId="77777777">
            <w:pPr>
              <w:autoSpaceDN w:val="0"/>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Variación</w:t>
            </w:r>
          </w:p>
        </w:tc>
        <w:tc>
          <w:tcPr>
            <w:tcW w:w="1409" w:type="dxa"/>
            <w:tcBorders>
              <w:top w:val="nil"/>
              <w:left w:val="nil"/>
              <w:bottom w:val="single" w:color="1F4E78" w:sz="4" w:space="0"/>
              <w:right w:val="nil"/>
            </w:tcBorders>
            <w:shd w:val="clear" w:color="000000" w:fill="FFFFFF"/>
            <w:noWrap/>
            <w:vAlign w:val="bottom"/>
          </w:tcPr>
          <w:p w:rsidRPr="00F31A99" w:rsidR="00F31A99" w:rsidP="00F31A99" w:rsidRDefault="00F31A99" w14:paraId="051C22BA"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w:t>
            </w:r>
          </w:p>
        </w:tc>
        <w:tc>
          <w:tcPr>
            <w:tcW w:w="1141" w:type="dxa"/>
            <w:tcBorders>
              <w:top w:val="nil"/>
              <w:left w:val="nil"/>
              <w:bottom w:val="single" w:color="1F4E78" w:sz="4" w:space="0"/>
              <w:right w:val="nil"/>
            </w:tcBorders>
            <w:shd w:val="clear" w:color="000000" w:fill="FFFFFF"/>
            <w:noWrap/>
            <w:vAlign w:val="bottom"/>
          </w:tcPr>
          <w:p w:rsidRPr="00F31A99" w:rsidR="00F31A99" w:rsidP="00F31A99" w:rsidRDefault="00F31A99" w14:paraId="236CE003"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1,9%</w:t>
            </w:r>
          </w:p>
        </w:tc>
        <w:tc>
          <w:tcPr>
            <w:tcW w:w="1291" w:type="dxa"/>
            <w:tcBorders>
              <w:top w:val="nil"/>
              <w:left w:val="nil"/>
              <w:bottom w:val="single" w:color="1F4E78" w:sz="4" w:space="0"/>
              <w:right w:val="nil"/>
            </w:tcBorders>
            <w:shd w:val="clear" w:color="000000" w:fill="FFFFFF"/>
            <w:noWrap/>
            <w:vAlign w:val="bottom"/>
          </w:tcPr>
          <w:p w:rsidRPr="00F31A99" w:rsidR="00F31A99" w:rsidP="00F31A99" w:rsidRDefault="00F31A99" w14:paraId="22DA8D89"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8,3%</w:t>
            </w:r>
          </w:p>
        </w:tc>
        <w:tc>
          <w:tcPr>
            <w:tcW w:w="1190" w:type="dxa"/>
            <w:tcBorders>
              <w:top w:val="nil"/>
              <w:left w:val="nil"/>
              <w:bottom w:val="single" w:color="1F4E78" w:sz="4" w:space="0"/>
              <w:right w:val="nil"/>
            </w:tcBorders>
            <w:shd w:val="clear" w:color="000000" w:fill="FFFFFF"/>
            <w:noWrap/>
            <w:vAlign w:val="bottom"/>
          </w:tcPr>
          <w:p w:rsidRPr="00F31A99" w:rsidR="00F31A99" w:rsidP="00F31A99" w:rsidRDefault="00F31A99" w14:paraId="35748E52"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10,8%</w:t>
            </w:r>
          </w:p>
        </w:tc>
        <w:tc>
          <w:tcPr>
            <w:tcW w:w="1711" w:type="dxa"/>
            <w:tcBorders>
              <w:top w:val="nil"/>
              <w:left w:val="nil"/>
              <w:bottom w:val="single" w:color="1F4E78" w:sz="4" w:space="0"/>
              <w:right w:val="nil"/>
            </w:tcBorders>
            <w:shd w:val="clear" w:color="000000" w:fill="FFFFFF"/>
            <w:noWrap/>
            <w:vAlign w:val="bottom"/>
          </w:tcPr>
          <w:p w:rsidRPr="00F31A99" w:rsidR="00F31A99" w:rsidP="00F31A99" w:rsidRDefault="00F31A99" w14:paraId="5384B98D"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12,0%</w:t>
            </w:r>
          </w:p>
        </w:tc>
      </w:tr>
    </w:tbl>
    <w:p w:rsidRPr="00F31A99" w:rsidR="00F31A99" w:rsidP="00F31A99" w:rsidRDefault="00F31A99" w14:paraId="1BEEBF65" w14:textId="77777777">
      <w:pPr>
        <w:autoSpaceDN w:val="0"/>
        <w:spacing w:before="120"/>
        <w:jc w:val="both"/>
        <w:rPr>
          <w:rFonts w:ascii="Times New Roman" w:hAnsi="Times New Roman" w:eastAsia="Calibri" w:cs="Times New Roman"/>
          <w:bCs/>
          <w:sz w:val="18"/>
          <w:szCs w:val="16"/>
          <w:u w:color="000000"/>
        </w:rPr>
      </w:pPr>
      <w:r w:rsidRPr="00F31A99">
        <w:rPr>
          <w:rFonts w:ascii="Times New Roman" w:hAnsi="Times New Roman" w:eastAsia="Calibri" w:cs="Times New Roman"/>
          <w:bCs/>
          <w:sz w:val="20"/>
          <w:szCs w:val="18"/>
          <w:u w:color="000000"/>
        </w:rPr>
        <w:t xml:space="preserve"> </w:t>
      </w:r>
      <w:r w:rsidRPr="00F31A99">
        <w:rPr>
          <w:rFonts w:ascii="Times New Roman" w:hAnsi="Times New Roman" w:eastAsia="Calibri" w:cs="Times New Roman"/>
          <w:bCs/>
          <w:sz w:val="18"/>
          <w:szCs w:val="16"/>
          <w:u w:color="000000"/>
        </w:rPr>
        <w:t>Fuente: Consulta realizada al sistema SIGA PJ el 3-3-2021.</w:t>
      </w:r>
    </w:p>
    <w:p w:rsidRPr="00F31A99" w:rsidR="00F31A99" w:rsidP="00F31A99" w:rsidRDefault="00F31A99" w14:paraId="3131538B" w14:textId="77777777">
      <w:pPr>
        <w:autoSpaceDN w:val="0"/>
        <w:jc w:val="both"/>
        <w:rPr>
          <w:rFonts w:ascii="Times New Roman" w:hAnsi="Times New Roman" w:eastAsia="Calibri" w:cs="Times New Roman"/>
          <w:bCs/>
          <w:sz w:val="24"/>
          <w:u w:color="000000"/>
        </w:rPr>
      </w:pPr>
    </w:p>
    <w:p w:rsidRPr="00F31A99" w:rsidR="00F31A99" w:rsidP="00F31A99" w:rsidRDefault="00F31A99" w14:paraId="4C5ECAC5"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Como se explicará más adelante, el incremento se debe principalmente al aumento registrado en los servicios de limpieza, que para el 2022 se están formulando un 25,2% más de recursos respecto de los aprobados para 2021. </w:t>
      </w:r>
    </w:p>
    <w:p w:rsidRPr="00F31A99" w:rsidR="00F31A99" w:rsidP="00F31A99" w:rsidRDefault="00F31A99" w14:paraId="6B95C826"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6C2C38D0"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2.1 Comportamiento Histórico de la Subpartida</w:t>
      </w:r>
    </w:p>
    <w:p w:rsidRPr="00F31A99" w:rsidR="00F31A99" w:rsidP="00F31A99" w:rsidRDefault="00F31A99" w14:paraId="778C69B0"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Durante los últimos cinco años el comportamiento global de lo formulado en la subpartida ha presentado un crecimiento constante; sin embargo, en lo que concierne a los montos ejecutados, estos han estado por debajo de lo formulado, situación que se replicó en los años 2018, 2019 y 2020, según se puede apreciar en la Figura 1; no obstante, es justo resaltar el hecho de que el porcentaje de ejecución ha tenido un repunte significativo, pasando de un 86,8% en 2018 a 95,5% en 2020.</w:t>
      </w:r>
    </w:p>
    <w:p w:rsidRPr="00F31A99" w:rsidR="00F31A99" w:rsidP="00F31A99" w:rsidRDefault="00F31A99" w14:paraId="60BF74F4" w14:textId="77777777">
      <w:pPr>
        <w:autoSpaceDN w:val="0"/>
        <w:spacing w:before="240" w:after="240"/>
        <w:jc w:val="both"/>
        <w:rPr>
          <w:rFonts w:ascii="Times New Roman" w:hAnsi="Times New Roman" w:eastAsia="Calibri" w:cs="Times New Roman"/>
          <w:bCs/>
          <w:sz w:val="24"/>
          <w:u w:color="000000"/>
        </w:rPr>
      </w:pPr>
    </w:p>
    <w:p w:rsidRPr="00F31A99" w:rsidR="00F31A99" w:rsidP="00F31A99" w:rsidRDefault="00F31A99" w14:paraId="2BF6A3C3"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Figura 1. Comportamiento Histórico de la Subpartida</w:t>
      </w:r>
    </w:p>
    <w:p w:rsidRPr="00F31A99" w:rsidR="00F31A99" w:rsidP="00F31A99" w:rsidRDefault="00F31A99" w14:paraId="2FF531A1" w14:textId="77777777">
      <w:pPr>
        <w:autoSpaceDN w:val="0"/>
        <w:rPr>
          <w:rFonts w:ascii="Times New Roman" w:hAnsi="Times New Roman" w:eastAsia="Times New Roman" w:cs="Times New Roman"/>
          <w:sz w:val="24"/>
          <w:szCs w:val="24"/>
          <w:u w:color="000000"/>
          <w:lang w:eastAsia="es-CR"/>
        </w:rPr>
      </w:pPr>
      <w:r w:rsidRPr="00F31A99">
        <w:rPr>
          <w:rFonts w:ascii="Times New Roman" w:hAnsi="Times New Roman" w:eastAsia="Calibri" w:cs="Times New Roman"/>
          <w:bCs/>
          <w:noProof/>
          <w:sz w:val="24"/>
          <w:u w:color="000000"/>
        </w:rPr>
        <w:lastRenderedPageBreak/>
        <w:drawing>
          <wp:inline distT="0" distB="0" distL="0" distR="0" wp14:anchorId="39893B10" wp14:editId="60ABB95D">
            <wp:extent cx="5734830" cy="27305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5753" cy="2745223"/>
                    </a:xfrm>
                    <a:prstGeom prst="rect">
                      <a:avLst/>
                    </a:prstGeom>
                    <a:noFill/>
                    <a:ln>
                      <a:noFill/>
                    </a:ln>
                  </pic:spPr>
                </pic:pic>
              </a:graphicData>
            </a:graphic>
          </wp:inline>
        </w:drawing>
      </w:r>
    </w:p>
    <w:p w:rsidRPr="00F31A99" w:rsidR="00F31A99" w:rsidP="00F31A99" w:rsidRDefault="00F31A99" w14:paraId="6C7DB365" w14:textId="77777777">
      <w:pPr>
        <w:autoSpaceDN w:val="0"/>
        <w:ind w:left="851"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2.2 Ejecución Presupuestaria</w:t>
      </w:r>
    </w:p>
    <w:p w:rsidRPr="00F31A99" w:rsidR="00F31A99" w:rsidP="00F31A99" w:rsidRDefault="00F31A99" w14:paraId="2D581597"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Como se mencionó anteriormente, específicamente la ejecución de la subpartida en los últimos tres años ha sido de 86,8%, en el 2018, 92,8% para el 2019 y 95,5% para el 2020, siendo este último año el que presentó un porcentaje mayor en relación con los anteriores. El detalle se puede observar a continuación: </w:t>
      </w:r>
    </w:p>
    <w:p w:rsidRPr="00F31A99" w:rsidR="00F31A99" w:rsidP="00F31A99" w:rsidRDefault="00F31A99" w14:paraId="27410AEA"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Tabla 2. Ejecución Presupuestaria de la Subpartida 1.04.06</w:t>
      </w:r>
    </w:p>
    <w:p w:rsidRPr="00F31A99" w:rsidR="00F31A99" w:rsidP="00F31A99" w:rsidRDefault="00F31A99" w14:paraId="054C6A4F"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 xml:space="preserve"> </w:t>
      </w:r>
      <w:bookmarkStart w:name="_Hlk35334981" w:id="11"/>
      <w:r w:rsidRPr="00F31A99">
        <w:rPr>
          <w:rFonts w:ascii="Times New Roman" w:hAnsi="Times New Roman" w:eastAsia="Calibri" w:cs="Times New Roman"/>
          <w:b/>
          <w:sz w:val="26"/>
          <w:szCs w:val="26"/>
          <w:u w:color="000000"/>
        </w:rPr>
        <w:t>Servicios Generales</w:t>
      </w:r>
      <w:bookmarkEnd w:id="11"/>
      <w:r w:rsidRPr="00F31A99">
        <w:rPr>
          <w:rFonts w:ascii="Times New Roman" w:hAnsi="Times New Roman" w:eastAsia="Calibri" w:cs="Times New Roman"/>
          <w:b/>
          <w:sz w:val="26"/>
          <w:szCs w:val="26"/>
          <w:u w:color="000000"/>
        </w:rPr>
        <w:t>, Período 2018- 2020</w:t>
      </w:r>
    </w:p>
    <w:p w:rsidRPr="00F31A99" w:rsidR="00F31A99" w:rsidP="00F31A99" w:rsidRDefault="00F31A99" w14:paraId="5F970E1F" w14:textId="77777777">
      <w:pPr>
        <w:autoSpaceDN w:val="0"/>
        <w:jc w:val="center"/>
        <w:rPr>
          <w:rFonts w:ascii="Times New Roman" w:hAnsi="Times New Roman" w:eastAsia="Calibri" w:cs="Times New Roman"/>
          <w:bCs/>
          <w:noProof/>
          <w:sz w:val="24"/>
          <w:u w:color="000000"/>
        </w:rPr>
      </w:pPr>
    </w:p>
    <w:p w:rsidRPr="00F31A99" w:rsidR="00F31A99" w:rsidP="00F31A99" w:rsidRDefault="00F31A99" w14:paraId="4105A8A8" w14:textId="77777777">
      <w:pPr>
        <w:autoSpaceDN w:val="0"/>
        <w:jc w:val="center"/>
        <w:rPr>
          <w:rFonts w:ascii="Times New Roman" w:hAnsi="Times New Roman" w:eastAsia="Calibri" w:cs="Times New Roman"/>
          <w:bCs/>
          <w:sz w:val="24"/>
          <w:u w:color="000000"/>
        </w:rPr>
      </w:pPr>
      <w:r w:rsidRPr="00F31A99">
        <w:rPr>
          <w:rFonts w:ascii="Times New Roman" w:hAnsi="Times New Roman" w:eastAsia="Calibri" w:cs="Times New Roman"/>
          <w:noProof/>
          <w:u w:color="000000"/>
        </w:rPr>
        <w:drawing>
          <wp:inline distT="0" distB="0" distL="0" distR="0" wp14:anchorId="36F31BD9" wp14:editId="27801F5D">
            <wp:extent cx="3549650" cy="927100"/>
            <wp:effectExtent l="0" t="0" r="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49650" cy="927100"/>
                    </a:xfrm>
                    <a:prstGeom prst="rect">
                      <a:avLst/>
                    </a:prstGeom>
                    <a:noFill/>
                    <a:ln>
                      <a:noFill/>
                    </a:ln>
                  </pic:spPr>
                </pic:pic>
              </a:graphicData>
            </a:graphic>
          </wp:inline>
        </w:drawing>
      </w:r>
    </w:p>
    <w:p w:rsidRPr="00F31A99" w:rsidR="00F31A99" w:rsidP="00F31A99" w:rsidRDefault="00F31A99" w14:paraId="1124165E" w14:textId="77777777">
      <w:pPr>
        <w:autoSpaceDN w:val="0"/>
        <w:jc w:val="center"/>
        <w:rPr>
          <w:rFonts w:ascii="Times New Roman" w:hAnsi="Times New Roman" w:eastAsia="Calibri" w:cs="Times New Roman"/>
          <w:bCs/>
          <w:sz w:val="24"/>
          <w:u w:color="000000"/>
        </w:rPr>
      </w:pPr>
    </w:p>
    <w:p w:rsidRPr="00F31A99" w:rsidR="00F31A99" w:rsidP="00F31A99" w:rsidRDefault="00F31A99" w14:paraId="307AC5C1" w14:textId="77777777">
      <w:pPr>
        <w:autoSpaceDN w:val="0"/>
        <w:jc w:val="both"/>
        <w:rPr>
          <w:rFonts w:ascii="Times New Roman" w:hAnsi="Times New Roman" w:eastAsia="Calibri" w:cs="Times New Roman"/>
          <w:bCs/>
          <w:u w:color="000000"/>
        </w:rPr>
      </w:pPr>
      <w:r w:rsidRPr="00F31A99">
        <w:rPr>
          <w:rFonts w:ascii="Times New Roman" w:hAnsi="Times New Roman" w:eastAsia="Calibri" w:cs="Times New Roman"/>
          <w:bCs/>
          <w:u w:color="000000"/>
        </w:rPr>
        <w:t xml:space="preserve"> Fuente: Consulta realizada al sistema SIGA PJ el 3-3-2021</w:t>
      </w:r>
    </w:p>
    <w:p w:rsidRPr="00F31A99" w:rsidR="00F31A99" w:rsidP="00F31A99" w:rsidRDefault="00F31A99" w14:paraId="71013A07" w14:textId="77777777">
      <w:pPr>
        <w:autoSpaceDN w:val="0"/>
        <w:jc w:val="both"/>
        <w:rPr>
          <w:rFonts w:ascii="Times New Roman" w:hAnsi="Times New Roman" w:eastAsia="Calibri" w:cs="Times New Roman"/>
          <w:bCs/>
          <w:sz w:val="20"/>
          <w:szCs w:val="18"/>
          <w:u w:color="000000"/>
        </w:rPr>
      </w:pPr>
    </w:p>
    <w:p w:rsidRPr="00F31A99" w:rsidR="00F31A99" w:rsidP="00F31A99" w:rsidRDefault="00F31A99" w14:paraId="571C123B"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En el caso del período 2020 y según información proporcionada por el Departamento Financiero Contable, del monto total ejecutado, ¢685.031.722 corresponden al pago del impuesto al valor agregado (IVA) por los servicios contratados de vigilancia y limpieza. Monto que constituye una carga adicional a Presupuesto 2022. </w:t>
      </w:r>
    </w:p>
    <w:p w:rsidRPr="00F31A99" w:rsidR="00F31A99" w:rsidP="00F31A99" w:rsidRDefault="00F31A99" w14:paraId="6AF44CA7" w14:textId="77777777">
      <w:pPr>
        <w:autoSpaceDN w:val="0"/>
        <w:jc w:val="both"/>
        <w:rPr>
          <w:rFonts w:ascii="Times New Roman" w:hAnsi="Times New Roman" w:eastAsia="Calibri" w:cs="Times New Roman"/>
          <w:bCs/>
          <w:sz w:val="24"/>
          <w:u w:color="000000"/>
        </w:rPr>
      </w:pPr>
    </w:p>
    <w:p w:rsidRPr="00F31A99" w:rsidR="00F31A99" w:rsidP="00F31A99" w:rsidRDefault="00F31A99" w14:paraId="392DA019" w14:textId="77777777">
      <w:pPr>
        <w:autoSpaceDN w:val="0"/>
        <w:ind w:left="851"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2.3 Artículos Más Representativos de la Subpartida</w:t>
      </w:r>
    </w:p>
    <w:p w:rsidRPr="00F31A99" w:rsidR="00F31A99" w:rsidP="00F31A99" w:rsidRDefault="00F31A99" w14:paraId="2663BB9F" w14:textId="77777777">
      <w:pPr>
        <w:autoSpaceDN w:val="0"/>
        <w:ind w:left="851" w:right="851"/>
        <w:rPr>
          <w:rFonts w:ascii="Times New Roman" w:hAnsi="Times New Roman" w:eastAsia="Times New Roman" w:cs="Times New Roman"/>
          <w:b/>
          <w:bCs/>
          <w:sz w:val="26"/>
          <w:szCs w:val="26"/>
          <w:u w:color="000000"/>
          <w:lang w:eastAsia="es-ES"/>
        </w:rPr>
      </w:pPr>
    </w:p>
    <w:p w:rsidRPr="00F31A99" w:rsidR="00F31A99" w:rsidP="00F31A99" w:rsidRDefault="00F31A99" w14:paraId="5B2182C0"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Para el análisis de esta subpartida es importante considerar los artículos que concentran la mayor cantidad de recursos, como se puede visualizar en la Tabla 2 corresponden a los Servicios de Vigilancia con un 54% del total de la subpartida (¢4.579.947.053) y los Servicios de Limpieza con un monto formulado para el 2022 de ¢3.557.240.866, lo cual equivale a un 42%. </w:t>
      </w:r>
    </w:p>
    <w:p w:rsidRPr="00F31A99" w:rsidR="00F31A99" w:rsidP="00F31A99" w:rsidRDefault="00F31A99" w14:paraId="2FA1DE3C"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6FD77F82"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Tabla 2. Artículos con la Mayor Concentración de Recursos dentro de la Subpartida 1.04.06 Servicios Generales</w:t>
      </w:r>
    </w:p>
    <w:p w:rsidRPr="00F31A99" w:rsidR="00F31A99" w:rsidP="00F31A99" w:rsidRDefault="00F31A99" w14:paraId="394384A7" w14:textId="77777777">
      <w:pPr>
        <w:autoSpaceDN w:val="0"/>
        <w:ind w:left="851" w:right="851" w:firstLine="709"/>
        <w:jc w:val="center"/>
        <w:rPr>
          <w:rFonts w:ascii="Times New Roman" w:hAnsi="Times New Roman" w:eastAsia="Calibri" w:cs="Times New Roman"/>
          <w:b/>
          <w:sz w:val="26"/>
          <w:szCs w:val="26"/>
          <w:u w:color="000000"/>
        </w:rPr>
      </w:pPr>
    </w:p>
    <w:tbl>
      <w:tblPr>
        <w:tblW w:w="4820" w:type="dxa"/>
        <w:jc w:val="center"/>
        <w:tblCellMar>
          <w:left w:w="70" w:type="dxa"/>
          <w:right w:w="70" w:type="dxa"/>
        </w:tblCellMar>
        <w:tblLook w:val="04A0" w:firstRow="1" w:lastRow="0" w:firstColumn="1" w:lastColumn="0" w:noHBand="0" w:noVBand="1"/>
      </w:tblPr>
      <w:tblGrid>
        <w:gridCol w:w="2127"/>
        <w:gridCol w:w="1417"/>
        <w:gridCol w:w="1276"/>
      </w:tblGrid>
      <w:tr w:rsidRPr="00F31A99" w:rsidR="00AE1B2B" w:rsidTr="00A306B2" w14:paraId="05379184" w14:textId="77777777">
        <w:trPr>
          <w:trHeight w:val="536"/>
          <w:jc w:val="center"/>
        </w:trPr>
        <w:tc>
          <w:tcPr>
            <w:tcW w:w="2127" w:type="dxa"/>
            <w:tcBorders>
              <w:top w:val="single" w:color="1F4E78" w:sz="4" w:space="0"/>
              <w:left w:val="nil"/>
              <w:bottom w:val="nil"/>
              <w:right w:val="nil"/>
            </w:tcBorders>
            <w:shd w:val="clear" w:color="D9E1F2" w:fill="F2F2F2"/>
            <w:vAlign w:val="center"/>
            <w:hideMark/>
          </w:tcPr>
          <w:p w:rsidRPr="00F31A99" w:rsidR="00F31A99" w:rsidP="00F31A99" w:rsidRDefault="00F31A99" w14:paraId="6E44E031"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Artículo</w:t>
            </w:r>
          </w:p>
        </w:tc>
        <w:tc>
          <w:tcPr>
            <w:tcW w:w="1417" w:type="dxa"/>
            <w:tcBorders>
              <w:top w:val="single" w:color="1F4E78" w:sz="4" w:space="0"/>
              <w:left w:val="nil"/>
              <w:bottom w:val="nil"/>
              <w:right w:val="nil"/>
            </w:tcBorders>
            <w:shd w:val="clear" w:color="D9E1F2" w:fill="F2F2F2"/>
            <w:vAlign w:val="center"/>
            <w:hideMark/>
          </w:tcPr>
          <w:p w:rsidRPr="00F31A99" w:rsidR="00F31A99" w:rsidP="00F31A99" w:rsidRDefault="00F31A99" w14:paraId="6359BCB9"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Monto formulado 2022</w:t>
            </w:r>
          </w:p>
        </w:tc>
        <w:tc>
          <w:tcPr>
            <w:tcW w:w="1276" w:type="dxa"/>
            <w:tcBorders>
              <w:top w:val="single" w:color="1F4E78" w:sz="4" w:space="0"/>
              <w:left w:val="nil"/>
              <w:bottom w:val="nil"/>
              <w:right w:val="nil"/>
            </w:tcBorders>
            <w:shd w:val="clear" w:color="D9E1F2" w:fill="F2F2F2"/>
            <w:vAlign w:val="center"/>
            <w:hideMark/>
          </w:tcPr>
          <w:p w:rsidRPr="00F31A99" w:rsidR="00F31A99" w:rsidP="00F31A99" w:rsidRDefault="00F31A99" w14:paraId="04A9E80B"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Peso porcentual en la subpartida</w:t>
            </w:r>
          </w:p>
        </w:tc>
      </w:tr>
      <w:tr w:rsidRPr="00F31A99" w:rsidR="00AE1B2B" w:rsidTr="00A306B2" w14:paraId="04839FE4" w14:textId="77777777">
        <w:trPr>
          <w:trHeight w:val="290"/>
          <w:jc w:val="center"/>
        </w:trPr>
        <w:tc>
          <w:tcPr>
            <w:tcW w:w="2127" w:type="dxa"/>
            <w:tcBorders>
              <w:top w:val="single" w:color="1F4E78" w:sz="4" w:space="0"/>
              <w:left w:val="nil"/>
              <w:bottom w:val="nil"/>
              <w:right w:val="nil"/>
            </w:tcBorders>
            <w:shd w:val="clear" w:color="D9E1F2" w:fill="FFFFFF"/>
            <w:noWrap/>
            <w:vAlign w:val="bottom"/>
            <w:hideMark/>
          </w:tcPr>
          <w:p w:rsidRPr="00F31A99" w:rsidR="00F31A99" w:rsidP="00F31A99" w:rsidRDefault="00F31A99" w14:paraId="3FD62C2D" w14:textId="77777777">
            <w:pPr>
              <w:autoSpaceDN w:val="0"/>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Servicios de vigilancia</w:t>
            </w:r>
          </w:p>
        </w:tc>
        <w:tc>
          <w:tcPr>
            <w:tcW w:w="1417" w:type="dxa"/>
            <w:tcBorders>
              <w:top w:val="single" w:color="1F4E78" w:sz="4" w:space="0"/>
              <w:left w:val="nil"/>
              <w:bottom w:val="nil"/>
              <w:right w:val="nil"/>
            </w:tcBorders>
            <w:shd w:val="clear" w:color="000000" w:fill="FFFFFF"/>
            <w:noWrap/>
            <w:vAlign w:val="bottom"/>
            <w:hideMark/>
          </w:tcPr>
          <w:p w:rsidRPr="00F31A99" w:rsidR="00F31A99" w:rsidP="00F31A99" w:rsidRDefault="00F31A99" w14:paraId="16698F2B" w14:textId="77777777">
            <w:pPr>
              <w:autoSpaceDN w:val="0"/>
              <w:jc w:val="right"/>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 xml:space="preserve">4.579.947.053 </w:t>
            </w:r>
          </w:p>
        </w:tc>
        <w:tc>
          <w:tcPr>
            <w:tcW w:w="1276" w:type="dxa"/>
            <w:tcBorders>
              <w:top w:val="single" w:color="1F4E78" w:sz="4" w:space="0"/>
              <w:left w:val="nil"/>
              <w:bottom w:val="nil"/>
              <w:right w:val="nil"/>
            </w:tcBorders>
            <w:shd w:val="clear" w:color="000000" w:fill="FFFFFF"/>
            <w:noWrap/>
            <w:vAlign w:val="bottom"/>
            <w:hideMark/>
          </w:tcPr>
          <w:p w:rsidRPr="00F31A99" w:rsidR="00F31A99" w:rsidP="00F31A99" w:rsidRDefault="00F31A99" w14:paraId="6AA62FC6"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54%</w:t>
            </w:r>
          </w:p>
        </w:tc>
      </w:tr>
      <w:tr w:rsidRPr="00F31A99" w:rsidR="00AE1B2B" w:rsidTr="00A306B2" w14:paraId="2B0B3696" w14:textId="77777777">
        <w:trPr>
          <w:trHeight w:val="290"/>
          <w:jc w:val="center"/>
        </w:trPr>
        <w:tc>
          <w:tcPr>
            <w:tcW w:w="2127" w:type="dxa"/>
            <w:tcBorders>
              <w:top w:val="nil"/>
              <w:left w:val="nil"/>
              <w:right w:val="nil"/>
            </w:tcBorders>
            <w:shd w:val="clear" w:color="D9E1F2" w:fill="FFFFFF"/>
            <w:noWrap/>
            <w:vAlign w:val="bottom"/>
            <w:hideMark/>
          </w:tcPr>
          <w:p w:rsidRPr="00F31A99" w:rsidR="00F31A99" w:rsidP="00F31A99" w:rsidRDefault="00F31A99" w14:paraId="4899A2F4" w14:textId="77777777">
            <w:pPr>
              <w:autoSpaceDN w:val="0"/>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Servicio limpieza</w:t>
            </w:r>
          </w:p>
        </w:tc>
        <w:tc>
          <w:tcPr>
            <w:tcW w:w="1417" w:type="dxa"/>
            <w:tcBorders>
              <w:top w:val="nil"/>
              <w:left w:val="nil"/>
              <w:right w:val="nil"/>
            </w:tcBorders>
            <w:shd w:val="clear" w:color="000000" w:fill="FFFFFF"/>
            <w:noWrap/>
            <w:vAlign w:val="bottom"/>
            <w:hideMark/>
          </w:tcPr>
          <w:p w:rsidRPr="00F31A99" w:rsidR="00F31A99" w:rsidP="00F31A99" w:rsidRDefault="00F31A99" w14:paraId="490D3C2A" w14:textId="77777777">
            <w:pPr>
              <w:autoSpaceDN w:val="0"/>
              <w:jc w:val="right"/>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 xml:space="preserve">3.557.240.866 </w:t>
            </w:r>
          </w:p>
        </w:tc>
        <w:tc>
          <w:tcPr>
            <w:tcW w:w="1276" w:type="dxa"/>
            <w:tcBorders>
              <w:top w:val="nil"/>
              <w:left w:val="nil"/>
              <w:right w:val="nil"/>
            </w:tcBorders>
            <w:shd w:val="clear" w:color="000000" w:fill="FFFFFF"/>
            <w:noWrap/>
            <w:vAlign w:val="bottom"/>
            <w:hideMark/>
          </w:tcPr>
          <w:p w:rsidRPr="00F31A99" w:rsidR="00F31A99" w:rsidP="00F31A99" w:rsidRDefault="00F31A99" w14:paraId="1BC9E2B7"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42%</w:t>
            </w:r>
          </w:p>
        </w:tc>
      </w:tr>
      <w:tr w:rsidRPr="00F31A99" w:rsidR="00AE1B2B" w:rsidTr="00A306B2" w14:paraId="4FAA571D" w14:textId="77777777">
        <w:trPr>
          <w:trHeight w:val="290"/>
          <w:jc w:val="center"/>
        </w:trPr>
        <w:tc>
          <w:tcPr>
            <w:tcW w:w="2127" w:type="dxa"/>
            <w:tcBorders>
              <w:top w:val="nil"/>
              <w:left w:val="nil"/>
              <w:bottom w:val="single" w:color="auto" w:sz="4" w:space="0"/>
              <w:right w:val="nil"/>
            </w:tcBorders>
            <w:shd w:val="clear" w:color="D9E1F2" w:fill="FFFFFF"/>
            <w:noWrap/>
            <w:vAlign w:val="bottom"/>
            <w:hideMark/>
          </w:tcPr>
          <w:p w:rsidRPr="00F31A99" w:rsidR="00F31A99" w:rsidP="00F31A99" w:rsidRDefault="00F31A99" w14:paraId="6839E37E" w14:textId="77777777">
            <w:pPr>
              <w:autoSpaceDN w:val="0"/>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Otros Servicios</w:t>
            </w:r>
          </w:p>
        </w:tc>
        <w:tc>
          <w:tcPr>
            <w:tcW w:w="1417" w:type="dxa"/>
            <w:tcBorders>
              <w:top w:val="nil"/>
              <w:left w:val="nil"/>
              <w:bottom w:val="single" w:color="auto" w:sz="4" w:space="0"/>
              <w:right w:val="nil"/>
            </w:tcBorders>
            <w:shd w:val="clear" w:color="000000" w:fill="FFFFFF"/>
            <w:noWrap/>
            <w:vAlign w:val="bottom"/>
            <w:hideMark/>
          </w:tcPr>
          <w:p w:rsidRPr="00F31A99" w:rsidR="00F31A99" w:rsidP="00F31A99" w:rsidRDefault="00F31A99" w14:paraId="0FD95229" w14:textId="77777777">
            <w:pPr>
              <w:autoSpaceDN w:val="0"/>
              <w:jc w:val="right"/>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 xml:space="preserve">348.739.116 </w:t>
            </w:r>
          </w:p>
        </w:tc>
        <w:tc>
          <w:tcPr>
            <w:tcW w:w="1276" w:type="dxa"/>
            <w:tcBorders>
              <w:top w:val="nil"/>
              <w:left w:val="nil"/>
              <w:bottom w:val="single" w:color="auto" w:sz="4" w:space="0"/>
              <w:right w:val="nil"/>
            </w:tcBorders>
            <w:shd w:val="clear" w:color="000000" w:fill="FFFFFF"/>
            <w:noWrap/>
            <w:vAlign w:val="bottom"/>
            <w:hideMark/>
          </w:tcPr>
          <w:p w:rsidRPr="00F31A99" w:rsidR="00F31A99" w:rsidP="00F31A99" w:rsidRDefault="00F31A99" w14:paraId="1F31AC43"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4%</w:t>
            </w:r>
          </w:p>
        </w:tc>
      </w:tr>
    </w:tbl>
    <w:p w:rsidRPr="00F31A99" w:rsidR="00F31A99" w:rsidP="00F31A99" w:rsidRDefault="00F31A99" w14:paraId="54DCC608" w14:textId="77777777">
      <w:pPr>
        <w:autoSpaceDN w:val="0"/>
        <w:spacing w:before="120"/>
        <w:ind w:left="708" w:firstLine="708"/>
        <w:jc w:val="both"/>
        <w:rPr>
          <w:rFonts w:ascii="Times New Roman" w:hAnsi="Times New Roman" w:eastAsia="Calibri" w:cs="Times New Roman"/>
          <w:bCs/>
          <w:sz w:val="18"/>
          <w:szCs w:val="16"/>
          <w:u w:color="000000"/>
        </w:rPr>
      </w:pPr>
      <w:r w:rsidRPr="00F31A99">
        <w:rPr>
          <w:rFonts w:ascii="Times New Roman" w:hAnsi="Times New Roman" w:eastAsia="Calibri" w:cs="Times New Roman"/>
          <w:bCs/>
          <w:sz w:val="18"/>
          <w:szCs w:val="16"/>
          <w:u w:color="000000"/>
        </w:rPr>
        <w:t xml:space="preserve"> Fuente: Consulta realizada al sistema SIGA PJ el 3-3-2021</w:t>
      </w:r>
    </w:p>
    <w:p w:rsidRPr="00F31A99" w:rsidR="00F31A99" w:rsidP="00F31A99" w:rsidRDefault="00F31A99" w14:paraId="34A5FA39" w14:textId="77777777">
      <w:pPr>
        <w:autoSpaceDN w:val="0"/>
        <w:spacing w:before="240" w:after="240"/>
        <w:jc w:val="both"/>
        <w:rPr>
          <w:rFonts w:ascii="Times New Roman" w:hAnsi="Times New Roman" w:eastAsia="Calibri" w:cs="Times New Roman"/>
          <w:bCs/>
          <w:sz w:val="24"/>
          <w:u w:color="000000"/>
        </w:rPr>
      </w:pPr>
    </w:p>
    <w:p w:rsidRPr="00F31A99" w:rsidR="00F31A99" w:rsidP="00F31A99" w:rsidRDefault="00F31A99" w14:paraId="5E7D23F6"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En la Figura 2 se puede observar gráficamente el peso que tienen estos dos artículos dentro del monto total de esta subpartida, por lo anterior, el análisis se concentrará en analizar el comportamiento de los citados artículos, servicios de vigilancia y servicios de limpieza, respectivamente.</w:t>
      </w:r>
    </w:p>
    <w:p w:rsidRPr="00F31A99" w:rsidR="00F31A99" w:rsidP="00F31A99" w:rsidRDefault="00F31A99" w14:paraId="01D98A9C" w14:textId="77777777">
      <w:pPr>
        <w:autoSpaceDN w:val="0"/>
        <w:spacing w:before="240" w:after="240"/>
        <w:jc w:val="both"/>
        <w:rPr>
          <w:rFonts w:ascii="Times New Roman" w:hAnsi="Times New Roman" w:eastAsia="Calibri" w:cs="Times New Roman"/>
          <w:bCs/>
          <w:sz w:val="24"/>
          <w:u w:color="000000"/>
        </w:rPr>
      </w:pPr>
    </w:p>
    <w:p w:rsidRPr="00F31A99" w:rsidR="00F31A99" w:rsidP="00F31A99" w:rsidRDefault="00F31A99" w14:paraId="11A727EA"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Figura 2. Distribución por Artículos - Subpartida 10406 Servicios Generales</w:t>
      </w:r>
    </w:p>
    <w:p w:rsidRPr="00F31A99" w:rsidR="00F31A99" w:rsidP="00F31A99" w:rsidRDefault="00F31A99" w14:paraId="54B2FA0D" w14:textId="77777777">
      <w:pPr>
        <w:autoSpaceDN w:val="0"/>
        <w:jc w:val="center"/>
        <w:rPr>
          <w:rFonts w:ascii="Times New Roman" w:hAnsi="Times New Roman" w:eastAsia="Calibri" w:cs="Times New Roman"/>
          <w:bCs/>
          <w:sz w:val="24"/>
          <w:u w:color="000000"/>
        </w:rPr>
      </w:pPr>
      <w:r w:rsidRPr="00F31A99">
        <w:rPr>
          <w:rFonts w:ascii="Times New Roman" w:hAnsi="Times New Roman" w:eastAsia="Calibri" w:cs="Times New Roman"/>
          <w:noProof/>
          <w:u w:color="000000"/>
          <w:shd w:val="clear" w:color="auto" w:fill="44546A"/>
        </w:rPr>
        <w:lastRenderedPageBreak/>
        <w:drawing>
          <wp:inline distT="0" distB="0" distL="0" distR="0" wp14:anchorId="793FE9DB" wp14:editId="23FB63CE">
            <wp:extent cx="3930650" cy="2508250"/>
            <wp:effectExtent l="0" t="0" r="12700" b="6350"/>
            <wp:docPr id="16" name="Gráfico 16">
              <a:extLst xmlns:a="http://schemas.openxmlformats.org/drawingml/2006/main">
                <a:ext uri="{FF2B5EF4-FFF2-40B4-BE49-F238E27FC236}">
                  <a16:creationId xmlns:a16="http://schemas.microsoft.com/office/drawing/2014/main" id="{DEED1981-AB32-4A6C-9DA7-F2C4AB1AC0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Pr="00F31A99" w:rsidR="00F31A99" w:rsidP="00F31A99" w:rsidRDefault="00F31A99" w14:paraId="712F9E7C" w14:textId="77777777">
      <w:pPr>
        <w:autoSpaceDN w:val="0"/>
        <w:jc w:val="center"/>
        <w:rPr>
          <w:rFonts w:ascii="Times New Roman" w:hAnsi="Times New Roman" w:eastAsia="Calibri" w:cs="Times New Roman"/>
          <w:bCs/>
          <w:sz w:val="24"/>
          <w:u w:color="000000"/>
        </w:rPr>
      </w:pPr>
    </w:p>
    <w:p w:rsidRPr="00F31A99" w:rsidR="00F31A99" w:rsidP="00F31A99" w:rsidRDefault="00F31A99" w14:paraId="4ADFEC1D" w14:textId="77777777">
      <w:pPr>
        <w:numPr>
          <w:ilvl w:val="0"/>
          <w:numId w:val="4"/>
        </w:numPr>
        <w:autoSpaceDN w:val="0"/>
        <w:ind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Análisis de la Formulación del Artículo “Servicios de Vigilancia”</w:t>
      </w:r>
    </w:p>
    <w:p w:rsidRPr="00F31A99" w:rsidR="00F31A99" w:rsidP="00F31A99" w:rsidRDefault="00F31A99" w14:paraId="0B71F220" w14:textId="77777777">
      <w:pPr>
        <w:autoSpaceDN w:val="0"/>
        <w:jc w:val="both"/>
        <w:rPr>
          <w:rFonts w:ascii="Times New Roman" w:hAnsi="Times New Roman" w:eastAsia="Calibri" w:cs="Times New Roman"/>
          <w:bCs/>
          <w:sz w:val="24"/>
          <w:u w:color="000000"/>
        </w:rPr>
      </w:pPr>
    </w:p>
    <w:p w:rsidRPr="00F31A99" w:rsidR="00F31A99" w:rsidP="00F31A99" w:rsidRDefault="00F31A99" w14:paraId="2D626415" w14:textId="77777777">
      <w:pPr>
        <w:autoSpaceDN w:val="0"/>
        <w:ind w:left="720"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3.1 Comportamiento Histórico</w:t>
      </w:r>
    </w:p>
    <w:p w:rsidRPr="00F31A99" w:rsidR="00F31A99" w:rsidP="00F31A99" w:rsidRDefault="00F31A99" w14:paraId="32A644C8"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La formulación de este artículo ha venido en aumento durante los últimos cinco años y fue durante el 2021 que se presentó el mayor incremento (16%); no obstante, para el 2022 tiende a estabilizarse, prueba de ello es que el incremento registrado es de ¢318.116.486, que representa un 7% respecto al 2021, período que se vio afectado por la aplicación del IVA y la contratación de una nueva empresa con un costo mayor, debido a que la anterior no renovó el contrato a finales del 2019.</w:t>
      </w:r>
    </w:p>
    <w:p w:rsidRPr="00F31A99" w:rsidR="00F31A99" w:rsidP="00F31A99" w:rsidRDefault="00F31A99" w14:paraId="2FA98D9D" w14:textId="77777777">
      <w:pPr>
        <w:autoSpaceDN w:val="0"/>
        <w:jc w:val="center"/>
        <w:rPr>
          <w:rFonts w:ascii="Times New Roman" w:hAnsi="Times New Roman" w:eastAsia="Times New Roman" w:cs="Times New Roman"/>
          <w:b/>
          <w:bCs/>
          <w:sz w:val="24"/>
          <w:szCs w:val="24"/>
          <w:u w:color="000000"/>
        </w:rPr>
      </w:pPr>
    </w:p>
    <w:p w:rsidRPr="00F31A99" w:rsidR="00F31A99" w:rsidP="00F31A99" w:rsidRDefault="00F31A99" w14:paraId="16AA9B87" w14:textId="77777777">
      <w:pPr>
        <w:autoSpaceDN w:val="0"/>
        <w:ind w:left="851" w:right="851"/>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Tabla 2</w:t>
      </w:r>
    </w:p>
    <w:p w:rsidRPr="00F31A99" w:rsidR="00F31A99" w:rsidP="00F31A99" w:rsidRDefault="00F31A99" w14:paraId="2A1D3534" w14:textId="77777777">
      <w:pPr>
        <w:autoSpaceDN w:val="0"/>
        <w:ind w:left="851" w:right="851"/>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Servicios de Vigilancia</w:t>
      </w:r>
    </w:p>
    <w:p w:rsidRPr="00F31A99" w:rsidR="00F31A99" w:rsidP="00F31A99" w:rsidRDefault="00F31A99" w14:paraId="3D8ED758" w14:textId="77777777">
      <w:pPr>
        <w:autoSpaceDN w:val="0"/>
        <w:ind w:left="851" w:right="851"/>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Detalle del Comportamiento Histórico Periodo 2018 – 2022</w:t>
      </w:r>
    </w:p>
    <w:p w:rsidRPr="00F31A99" w:rsidR="00F31A99" w:rsidP="00F31A99" w:rsidRDefault="00F31A99" w14:paraId="2BE82170" w14:textId="77777777">
      <w:pPr>
        <w:autoSpaceDN w:val="0"/>
        <w:jc w:val="center"/>
        <w:rPr>
          <w:rFonts w:ascii="Times New Roman" w:hAnsi="Times New Roman" w:eastAsia="Times New Roman" w:cs="Times New Roman"/>
          <w:b/>
          <w:bCs/>
          <w:sz w:val="24"/>
          <w:szCs w:val="24"/>
          <w:u w:color="000000"/>
        </w:rPr>
      </w:pPr>
    </w:p>
    <w:tbl>
      <w:tblPr>
        <w:tblW w:w="8561" w:type="dxa"/>
        <w:jc w:val="center"/>
        <w:tblCellMar>
          <w:left w:w="70" w:type="dxa"/>
          <w:right w:w="70" w:type="dxa"/>
        </w:tblCellMar>
        <w:tblLook w:val="04A0" w:firstRow="1" w:lastRow="0" w:firstColumn="1" w:lastColumn="0" w:noHBand="0" w:noVBand="1"/>
      </w:tblPr>
      <w:tblGrid>
        <w:gridCol w:w="1226"/>
        <w:gridCol w:w="1467"/>
        <w:gridCol w:w="1467"/>
        <w:gridCol w:w="1467"/>
        <w:gridCol w:w="1467"/>
        <w:gridCol w:w="1467"/>
      </w:tblGrid>
      <w:tr w:rsidRPr="00F31A99" w:rsidR="00AE1B2B" w:rsidTr="00A306B2" w14:paraId="7415ADD8" w14:textId="77777777">
        <w:trPr>
          <w:trHeight w:val="371"/>
          <w:jc w:val="center"/>
        </w:trPr>
        <w:tc>
          <w:tcPr>
            <w:tcW w:w="1226" w:type="dxa"/>
            <w:tcBorders>
              <w:left w:val="nil"/>
              <w:bottom w:val="single" w:color="auto" w:sz="4" w:space="0"/>
              <w:right w:val="nil"/>
            </w:tcBorders>
            <w:shd w:val="clear" w:color="auto" w:fill="auto"/>
            <w:vAlign w:val="center"/>
            <w:hideMark/>
          </w:tcPr>
          <w:p w:rsidRPr="00F31A99" w:rsidR="00F31A99" w:rsidP="00F31A99" w:rsidRDefault="00F31A99" w14:paraId="035790B2" w14:textId="77777777">
            <w:pPr>
              <w:autoSpaceDN w:val="0"/>
              <w:jc w:val="center"/>
              <w:rPr>
                <w:rFonts w:ascii="Times New Roman" w:hAnsi="Times New Roman" w:eastAsia="Times New Roman" w:cs="Times New Roman"/>
                <w:b/>
                <w:bCs/>
                <w:u w:color="000000"/>
                <w:lang w:eastAsia="es-CR"/>
              </w:rPr>
            </w:pPr>
          </w:p>
        </w:tc>
        <w:tc>
          <w:tcPr>
            <w:tcW w:w="1467" w:type="dxa"/>
            <w:tcBorders>
              <w:top w:val="single" w:color="1F4E78" w:sz="4" w:space="0"/>
              <w:left w:val="nil"/>
              <w:bottom w:val="single" w:color="1F4E78" w:sz="4" w:space="0"/>
              <w:right w:val="nil"/>
            </w:tcBorders>
            <w:shd w:val="clear" w:color="D9E1F2" w:fill="F2F2F2"/>
            <w:vAlign w:val="center"/>
            <w:hideMark/>
          </w:tcPr>
          <w:p w:rsidRPr="00F31A99" w:rsidR="00F31A99" w:rsidP="00F31A99" w:rsidRDefault="00F31A99" w14:paraId="5156A952"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2018</w:t>
            </w:r>
          </w:p>
        </w:tc>
        <w:tc>
          <w:tcPr>
            <w:tcW w:w="1467" w:type="dxa"/>
            <w:tcBorders>
              <w:top w:val="single" w:color="1F4E78" w:sz="4" w:space="0"/>
              <w:left w:val="nil"/>
              <w:bottom w:val="single" w:color="1F4E78" w:sz="4" w:space="0"/>
              <w:right w:val="nil"/>
            </w:tcBorders>
            <w:shd w:val="clear" w:color="D9E1F2" w:fill="F2F2F2"/>
            <w:vAlign w:val="center"/>
            <w:hideMark/>
          </w:tcPr>
          <w:p w:rsidRPr="00F31A99" w:rsidR="00F31A99" w:rsidP="00F31A99" w:rsidRDefault="00F31A99" w14:paraId="04AA9286"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2019</w:t>
            </w:r>
          </w:p>
        </w:tc>
        <w:tc>
          <w:tcPr>
            <w:tcW w:w="1467" w:type="dxa"/>
            <w:tcBorders>
              <w:top w:val="single" w:color="1F4E78" w:sz="4" w:space="0"/>
              <w:left w:val="nil"/>
              <w:bottom w:val="single" w:color="1F4E78" w:sz="4" w:space="0"/>
              <w:right w:val="nil"/>
            </w:tcBorders>
            <w:shd w:val="clear" w:color="D9E1F2" w:fill="F2F2F2"/>
            <w:vAlign w:val="center"/>
            <w:hideMark/>
          </w:tcPr>
          <w:p w:rsidRPr="00F31A99" w:rsidR="00F31A99" w:rsidP="00F31A99" w:rsidRDefault="00F31A99" w14:paraId="1EC3C917"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2020</w:t>
            </w:r>
          </w:p>
        </w:tc>
        <w:tc>
          <w:tcPr>
            <w:tcW w:w="1467" w:type="dxa"/>
            <w:tcBorders>
              <w:top w:val="single" w:color="1F4E78" w:sz="4" w:space="0"/>
              <w:left w:val="nil"/>
              <w:bottom w:val="single" w:color="1F4E78" w:sz="4" w:space="0"/>
              <w:right w:val="nil"/>
            </w:tcBorders>
            <w:shd w:val="clear" w:color="D9E1F2" w:fill="F2F2F2"/>
            <w:vAlign w:val="center"/>
            <w:hideMark/>
          </w:tcPr>
          <w:p w:rsidRPr="00F31A99" w:rsidR="00F31A99" w:rsidP="00F31A99" w:rsidRDefault="00F31A99" w14:paraId="580649DA"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2021</w:t>
            </w:r>
          </w:p>
        </w:tc>
        <w:tc>
          <w:tcPr>
            <w:tcW w:w="1467" w:type="dxa"/>
            <w:tcBorders>
              <w:top w:val="single" w:color="1F4E78" w:sz="4" w:space="0"/>
              <w:left w:val="nil"/>
              <w:bottom w:val="single" w:color="1F4E78" w:sz="4" w:space="0"/>
              <w:right w:val="nil"/>
            </w:tcBorders>
            <w:shd w:val="clear" w:color="D9E1F2" w:fill="F2F2F2"/>
            <w:vAlign w:val="center"/>
            <w:hideMark/>
          </w:tcPr>
          <w:p w:rsidRPr="00F31A99" w:rsidR="00F31A99" w:rsidP="00F31A99" w:rsidRDefault="00F31A99" w14:paraId="044C0984"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2022</w:t>
            </w:r>
          </w:p>
        </w:tc>
      </w:tr>
      <w:tr w:rsidRPr="00AE1B2B" w:rsidR="00AE1B2B" w:rsidTr="00F31A99" w14:paraId="4EA510E2" w14:textId="77777777">
        <w:trPr>
          <w:trHeight w:val="371"/>
          <w:jc w:val="center"/>
        </w:trPr>
        <w:tc>
          <w:tcPr>
            <w:tcW w:w="1226" w:type="dxa"/>
            <w:tcBorders>
              <w:top w:val="single" w:color="auto" w:sz="4" w:space="0"/>
              <w:left w:val="nil"/>
              <w:bottom w:val="nil"/>
              <w:right w:val="nil"/>
            </w:tcBorders>
            <w:shd w:val="clear" w:color="auto" w:fill="F2F2F2"/>
            <w:noWrap/>
            <w:vAlign w:val="center"/>
            <w:hideMark/>
          </w:tcPr>
          <w:p w:rsidRPr="00F31A99" w:rsidR="00F31A99" w:rsidP="00F31A99" w:rsidRDefault="00F31A99" w14:paraId="7EBB2DB4" w14:textId="77777777">
            <w:pPr>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Monto</w:t>
            </w:r>
          </w:p>
        </w:tc>
        <w:tc>
          <w:tcPr>
            <w:tcW w:w="1467" w:type="dxa"/>
            <w:tcBorders>
              <w:top w:val="nil"/>
              <w:left w:val="nil"/>
              <w:bottom w:val="nil"/>
              <w:right w:val="nil"/>
            </w:tcBorders>
            <w:shd w:val="clear" w:color="000000" w:fill="FFFFFF"/>
            <w:noWrap/>
            <w:vAlign w:val="center"/>
            <w:hideMark/>
          </w:tcPr>
          <w:p w:rsidRPr="00F31A99" w:rsidR="00F31A99" w:rsidP="00F31A99" w:rsidRDefault="00F31A99" w14:paraId="6DD54481"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3.364.046.220</w:t>
            </w:r>
          </w:p>
        </w:tc>
        <w:tc>
          <w:tcPr>
            <w:tcW w:w="1467" w:type="dxa"/>
            <w:tcBorders>
              <w:top w:val="nil"/>
              <w:left w:val="nil"/>
              <w:bottom w:val="nil"/>
              <w:right w:val="nil"/>
            </w:tcBorders>
            <w:shd w:val="clear" w:color="000000" w:fill="FFFFFF"/>
            <w:noWrap/>
            <w:vAlign w:val="center"/>
          </w:tcPr>
          <w:p w:rsidRPr="00F31A99" w:rsidR="00F31A99" w:rsidP="00F31A99" w:rsidRDefault="00F31A99" w14:paraId="29B1FB48"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3.564.421.735</w:t>
            </w:r>
          </w:p>
        </w:tc>
        <w:tc>
          <w:tcPr>
            <w:tcW w:w="1467" w:type="dxa"/>
            <w:tcBorders>
              <w:top w:val="nil"/>
              <w:left w:val="nil"/>
              <w:bottom w:val="nil"/>
              <w:right w:val="nil"/>
            </w:tcBorders>
            <w:shd w:val="clear" w:color="000000" w:fill="FFFFFF"/>
            <w:noWrap/>
            <w:vAlign w:val="center"/>
          </w:tcPr>
          <w:p w:rsidRPr="00F31A99" w:rsidR="00F31A99" w:rsidP="00F31A99" w:rsidRDefault="00F31A99" w14:paraId="2C01BAB8"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3.682.947.446</w:t>
            </w:r>
          </w:p>
        </w:tc>
        <w:tc>
          <w:tcPr>
            <w:tcW w:w="1467" w:type="dxa"/>
            <w:tcBorders>
              <w:top w:val="nil"/>
              <w:left w:val="nil"/>
              <w:bottom w:val="nil"/>
              <w:right w:val="nil"/>
            </w:tcBorders>
            <w:shd w:val="clear" w:color="000000" w:fill="FFFFFF"/>
            <w:noWrap/>
            <w:vAlign w:val="center"/>
          </w:tcPr>
          <w:p w:rsidRPr="00F31A99" w:rsidR="00F31A99" w:rsidP="00F31A99" w:rsidRDefault="00F31A99" w14:paraId="5964FC35"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4.261.830.567</w:t>
            </w:r>
          </w:p>
        </w:tc>
        <w:tc>
          <w:tcPr>
            <w:tcW w:w="1467" w:type="dxa"/>
            <w:tcBorders>
              <w:top w:val="nil"/>
              <w:left w:val="nil"/>
              <w:bottom w:val="nil"/>
              <w:right w:val="nil"/>
            </w:tcBorders>
            <w:shd w:val="clear" w:color="000000" w:fill="FFFFFF"/>
            <w:noWrap/>
            <w:vAlign w:val="center"/>
          </w:tcPr>
          <w:p w:rsidRPr="00F31A99" w:rsidR="00F31A99" w:rsidP="00F31A99" w:rsidRDefault="00F31A99" w14:paraId="122C7584"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4.579.947.053</w:t>
            </w:r>
          </w:p>
        </w:tc>
      </w:tr>
      <w:tr w:rsidRPr="00AE1B2B" w:rsidR="00AE1B2B" w:rsidTr="00F31A99" w14:paraId="09A8F689" w14:textId="77777777">
        <w:trPr>
          <w:trHeight w:val="371"/>
          <w:jc w:val="center"/>
        </w:trPr>
        <w:tc>
          <w:tcPr>
            <w:tcW w:w="1226" w:type="dxa"/>
            <w:tcBorders>
              <w:top w:val="nil"/>
              <w:left w:val="nil"/>
              <w:bottom w:val="single" w:color="1F4E78" w:sz="4" w:space="0"/>
              <w:right w:val="nil"/>
            </w:tcBorders>
            <w:shd w:val="clear" w:color="auto" w:fill="F2F2F2"/>
            <w:noWrap/>
            <w:vAlign w:val="center"/>
            <w:hideMark/>
          </w:tcPr>
          <w:p w:rsidRPr="00F31A99" w:rsidR="00F31A99" w:rsidP="00F31A99" w:rsidRDefault="00F31A99" w14:paraId="2D859654" w14:textId="77777777">
            <w:pPr>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Variación</w:t>
            </w:r>
          </w:p>
        </w:tc>
        <w:tc>
          <w:tcPr>
            <w:tcW w:w="1467" w:type="dxa"/>
            <w:tcBorders>
              <w:top w:val="nil"/>
              <w:left w:val="nil"/>
              <w:bottom w:val="single" w:color="1F4E78" w:sz="4" w:space="0"/>
              <w:right w:val="nil"/>
            </w:tcBorders>
            <w:shd w:val="clear" w:color="000000" w:fill="FFFFFF"/>
            <w:noWrap/>
            <w:vAlign w:val="center"/>
            <w:hideMark/>
          </w:tcPr>
          <w:p w:rsidRPr="00F31A99" w:rsidR="00F31A99" w:rsidP="00F31A99" w:rsidRDefault="00F31A99" w14:paraId="78E4E164"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w:t>
            </w:r>
          </w:p>
        </w:tc>
        <w:tc>
          <w:tcPr>
            <w:tcW w:w="1467" w:type="dxa"/>
            <w:tcBorders>
              <w:top w:val="nil"/>
              <w:left w:val="nil"/>
              <w:bottom w:val="single" w:color="1F4E78" w:sz="4" w:space="0"/>
              <w:right w:val="nil"/>
            </w:tcBorders>
            <w:shd w:val="clear" w:color="000000" w:fill="FFFFFF"/>
            <w:noWrap/>
            <w:vAlign w:val="center"/>
          </w:tcPr>
          <w:p w:rsidRPr="00F31A99" w:rsidR="00F31A99" w:rsidP="00F31A99" w:rsidRDefault="00F31A99" w14:paraId="7FA7A11A"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6%</w:t>
            </w:r>
          </w:p>
        </w:tc>
        <w:tc>
          <w:tcPr>
            <w:tcW w:w="1467" w:type="dxa"/>
            <w:tcBorders>
              <w:top w:val="nil"/>
              <w:left w:val="nil"/>
              <w:bottom w:val="single" w:color="1F4E78" w:sz="4" w:space="0"/>
              <w:right w:val="nil"/>
            </w:tcBorders>
            <w:shd w:val="clear" w:color="000000" w:fill="FFFFFF"/>
            <w:noWrap/>
            <w:vAlign w:val="center"/>
          </w:tcPr>
          <w:p w:rsidRPr="00F31A99" w:rsidR="00F31A99" w:rsidP="00F31A99" w:rsidRDefault="00F31A99" w14:paraId="5CDC5250"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w:t>
            </w:r>
          </w:p>
        </w:tc>
        <w:tc>
          <w:tcPr>
            <w:tcW w:w="1467" w:type="dxa"/>
            <w:tcBorders>
              <w:top w:val="nil"/>
              <w:left w:val="nil"/>
              <w:bottom w:val="single" w:color="1F4E78" w:sz="4" w:space="0"/>
              <w:right w:val="nil"/>
            </w:tcBorders>
            <w:shd w:val="clear" w:color="000000" w:fill="FFFFFF"/>
            <w:noWrap/>
            <w:vAlign w:val="center"/>
          </w:tcPr>
          <w:p w:rsidRPr="00F31A99" w:rsidR="00F31A99" w:rsidP="00F31A99" w:rsidRDefault="00F31A99" w14:paraId="0B4EA83F"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16%</w:t>
            </w:r>
          </w:p>
        </w:tc>
        <w:tc>
          <w:tcPr>
            <w:tcW w:w="1467" w:type="dxa"/>
            <w:tcBorders>
              <w:top w:val="nil"/>
              <w:left w:val="nil"/>
              <w:bottom w:val="single" w:color="1F4E78" w:sz="4" w:space="0"/>
              <w:right w:val="nil"/>
            </w:tcBorders>
            <w:shd w:val="clear" w:color="000000" w:fill="FFFFFF"/>
            <w:noWrap/>
            <w:vAlign w:val="center"/>
          </w:tcPr>
          <w:p w:rsidRPr="00F31A99" w:rsidR="00F31A99" w:rsidP="00F31A99" w:rsidRDefault="00F31A99" w14:paraId="639942EA"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7%</w:t>
            </w:r>
          </w:p>
        </w:tc>
      </w:tr>
    </w:tbl>
    <w:p w:rsidRPr="00F31A99" w:rsidR="00F31A99" w:rsidP="00F31A99" w:rsidRDefault="00F31A99" w14:paraId="32068BFC" w14:textId="77777777">
      <w:pPr>
        <w:autoSpaceDN w:val="0"/>
        <w:spacing w:before="120"/>
        <w:ind w:firstLine="708"/>
        <w:jc w:val="both"/>
        <w:rPr>
          <w:rFonts w:ascii="Times New Roman" w:hAnsi="Times New Roman" w:eastAsia="Calibri" w:cs="Times New Roman"/>
          <w:bCs/>
          <w:u w:color="000000"/>
        </w:rPr>
      </w:pPr>
      <w:r w:rsidRPr="00F31A99">
        <w:rPr>
          <w:rFonts w:ascii="Times New Roman" w:hAnsi="Times New Roman" w:eastAsia="Calibri" w:cs="Times New Roman"/>
          <w:bCs/>
          <w:u w:color="000000"/>
        </w:rPr>
        <w:t>Fuente: Consulta realizada al sistema SIGA PJ el 3-3-2021</w:t>
      </w:r>
    </w:p>
    <w:p w:rsidRPr="00F31A99" w:rsidR="00F31A99" w:rsidP="00F31A99" w:rsidRDefault="00F31A99" w14:paraId="40350E73"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4E782BB1"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7330FDF0" w14:textId="77777777">
      <w:pPr>
        <w:autoSpaceDN w:val="0"/>
        <w:ind w:left="720"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3.2 Análisis por Programa Presupuestario</w:t>
      </w:r>
    </w:p>
    <w:p w:rsidRPr="00F31A99" w:rsidR="00F31A99" w:rsidP="00F31A99" w:rsidRDefault="00F31A99" w14:paraId="398ADBD2"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En lo que concierne a la variación por programa presupuestario, el principal incremento absoluto se da en el 926 </w:t>
      </w:r>
      <w:r w:rsidRPr="00F31A99">
        <w:rPr>
          <w:rFonts w:ascii="Times New Roman" w:hAnsi="Times New Roman" w:eastAsia="Calibri" w:cs="Times New Roman"/>
          <w:bCs/>
          <w:sz w:val="26"/>
          <w:szCs w:val="26"/>
          <w:u w:color="000000"/>
        </w:rPr>
        <w:lastRenderedPageBreak/>
        <w:t>Dirección, Administración y Otros Órganos de Apoyo, esto debido a que este tipo de servicios es formulado por las Administraciones Regionales, pertenecientes a este Programa. Para el 2022 el incremento es de ¢401.144.133 lo que equivale a un 17%.</w:t>
      </w:r>
    </w:p>
    <w:p w:rsidRPr="00F31A99" w:rsidR="00F31A99" w:rsidP="00F31A99" w:rsidRDefault="00F31A99" w14:paraId="1F1FD60B"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236313CD"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2AFB74F8" w14:textId="77777777">
      <w:pPr>
        <w:autoSpaceDN w:val="0"/>
        <w:ind w:left="851" w:right="851"/>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Tabla 3. Variación por Programa Presupuestario 2021 – 2022</w:t>
      </w:r>
    </w:p>
    <w:p w:rsidRPr="00F31A99" w:rsidR="00F31A99" w:rsidP="00F31A99" w:rsidRDefault="00F31A99" w14:paraId="0BC30B3D" w14:textId="77777777">
      <w:pPr>
        <w:autoSpaceDN w:val="0"/>
        <w:jc w:val="center"/>
        <w:rPr>
          <w:rFonts w:ascii="Times New Roman" w:hAnsi="Times New Roman" w:eastAsia="Times New Roman" w:cs="Times New Roman"/>
          <w:b/>
          <w:bCs/>
          <w:sz w:val="24"/>
          <w:szCs w:val="24"/>
          <w:u w:color="000000"/>
        </w:rPr>
      </w:pPr>
    </w:p>
    <w:p w:rsidRPr="00F31A99" w:rsidR="00F31A99" w:rsidP="00F31A99" w:rsidRDefault="00F31A99" w14:paraId="5492DF07" w14:textId="77777777">
      <w:pPr>
        <w:autoSpaceDN w:val="0"/>
        <w:jc w:val="center"/>
        <w:rPr>
          <w:rFonts w:ascii="Times New Roman" w:hAnsi="Times New Roman" w:eastAsia="Calibri" w:cs="Times New Roman"/>
          <w:sz w:val="24"/>
          <w:szCs w:val="24"/>
          <w:u w:color="000000"/>
        </w:rPr>
      </w:pPr>
      <w:r w:rsidRPr="00F31A99">
        <w:rPr>
          <w:rFonts w:ascii="Times New Roman" w:hAnsi="Times New Roman" w:eastAsia="Calibri" w:cs="Times New Roman"/>
          <w:noProof/>
          <w:u w:color="000000"/>
        </w:rPr>
        <w:drawing>
          <wp:inline distT="0" distB="0" distL="0" distR="0" wp14:anchorId="7E30A961" wp14:editId="2BDEDC62">
            <wp:extent cx="5238750" cy="1308100"/>
            <wp:effectExtent l="0" t="0" r="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38750" cy="1308100"/>
                    </a:xfrm>
                    <a:prstGeom prst="rect">
                      <a:avLst/>
                    </a:prstGeom>
                    <a:noFill/>
                    <a:ln>
                      <a:noFill/>
                    </a:ln>
                  </pic:spPr>
                </pic:pic>
              </a:graphicData>
            </a:graphic>
          </wp:inline>
        </w:drawing>
      </w:r>
    </w:p>
    <w:p w:rsidRPr="00F31A99" w:rsidR="00F31A99" w:rsidP="00F31A99" w:rsidRDefault="00F31A99" w14:paraId="2182EE68"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3700BD9C"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En la misma línea, según se puede apreciar en el gráfico de la Figura 4, el Programa con la mayor concentración de recursos de vigilancia es el 926 Dirección y Administración con un 59%, seguido del Servicio Jurisdiccional con un 17%.</w:t>
      </w:r>
    </w:p>
    <w:p w:rsidRPr="00F31A99" w:rsidR="00F31A99" w:rsidP="00F31A99" w:rsidRDefault="00F31A99" w14:paraId="3276DB7F"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14CF581A" w14:textId="77777777">
      <w:pPr>
        <w:autoSpaceDN w:val="0"/>
        <w:ind w:left="851" w:right="851"/>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Figura 4. Distribución del Servicio de Vigilancia por Programa Presupuestario</w:t>
      </w:r>
    </w:p>
    <w:p w:rsidRPr="00F31A99" w:rsidR="00F31A99" w:rsidP="00F31A99" w:rsidRDefault="00F31A99" w14:paraId="7173A36D" w14:textId="77777777">
      <w:pPr>
        <w:autoSpaceDN w:val="0"/>
        <w:jc w:val="center"/>
        <w:rPr>
          <w:rFonts w:ascii="Times New Roman" w:hAnsi="Times New Roman" w:eastAsia="Calibri" w:cs="Times New Roman"/>
          <w:sz w:val="24"/>
          <w:szCs w:val="24"/>
          <w:u w:color="000000"/>
        </w:rPr>
      </w:pPr>
      <w:r w:rsidRPr="00F31A99">
        <w:rPr>
          <w:rFonts w:ascii="Times New Roman" w:hAnsi="Times New Roman" w:eastAsia="Calibri" w:cs="Times New Roman"/>
          <w:noProof/>
          <w:u w:color="000000"/>
        </w:rPr>
        <w:drawing>
          <wp:inline distT="0" distB="0" distL="0" distR="0" wp14:anchorId="1FB9760B" wp14:editId="28F240B1">
            <wp:extent cx="4267200" cy="2152650"/>
            <wp:effectExtent l="0" t="0" r="0" b="0"/>
            <wp:docPr id="19" name="Gráfico 19">
              <a:extLst xmlns:a="http://schemas.openxmlformats.org/drawingml/2006/main">
                <a:ext uri="{FF2B5EF4-FFF2-40B4-BE49-F238E27FC236}">
                  <a16:creationId xmlns:a16="http://schemas.microsoft.com/office/drawing/2014/main" id="{0F452FB0-8574-41B9-B758-8918BB1691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Pr="00F31A99" w:rsidR="00F31A99" w:rsidP="00F31A99" w:rsidRDefault="00F31A99" w14:paraId="7C517F76"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5D93BD3D"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07CFB23E" w14:textId="77777777">
      <w:pPr>
        <w:autoSpaceDN w:val="0"/>
        <w:ind w:left="720"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3.3 Distribución por Centro de Responsabilidad</w:t>
      </w:r>
    </w:p>
    <w:p w:rsidRPr="00F31A99" w:rsidR="00F31A99" w:rsidP="00F31A99" w:rsidRDefault="00F31A99" w14:paraId="45F5A946"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7C6BB778"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En cuanto a la distribución del Servicio de Vigilancia para el 2022 por Centro de Responsabilidad, en la Tabla 4 se muestran los </w:t>
      </w:r>
      <w:r w:rsidRPr="00F31A99">
        <w:rPr>
          <w:rFonts w:ascii="Times New Roman" w:hAnsi="Times New Roman" w:eastAsia="Calibri" w:cs="Times New Roman"/>
          <w:bCs/>
          <w:sz w:val="26"/>
          <w:szCs w:val="26"/>
          <w:u w:color="000000"/>
        </w:rPr>
        <w:lastRenderedPageBreak/>
        <w:t xml:space="preserve">centros con la mayor cantidad de recursos, donde se puede apreciar que los montos mayores corresponden al Organismo de Investigación Judicial y la Dirección Ejecutiva con un 13% y un 10% respectivamente. En el caso de la Dirección Ejecutiva, el monto mayor es formulado por el Departamento de Seguridad, responsable del tema de vigilancia. </w:t>
      </w:r>
    </w:p>
    <w:p w:rsidRPr="00F31A99" w:rsidR="00F31A99" w:rsidP="00F31A99" w:rsidRDefault="00F31A99" w14:paraId="4B6A7D04"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4F4AD732"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052E83B7" w14:textId="77777777">
      <w:pPr>
        <w:autoSpaceDN w:val="0"/>
        <w:ind w:left="851" w:right="851"/>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Tabla 4. Centros de Responsabilidad con la Mayor Cantidad de Recursos Formulados en el Artículo de Servicio de Vigilancia para el 2022</w:t>
      </w:r>
    </w:p>
    <w:p w:rsidRPr="00F31A99" w:rsidR="00F31A99" w:rsidP="00F31A99" w:rsidRDefault="00F31A99" w14:paraId="647FC232" w14:textId="77777777">
      <w:pPr>
        <w:autoSpaceDN w:val="0"/>
        <w:ind w:left="851" w:right="851"/>
        <w:jc w:val="center"/>
        <w:rPr>
          <w:rFonts w:ascii="Times New Roman" w:hAnsi="Times New Roman" w:eastAsia="Calibri" w:cs="Times New Roman"/>
          <w:b/>
          <w:sz w:val="26"/>
          <w:szCs w:val="26"/>
          <w:u w:color="000000"/>
        </w:rPr>
      </w:pPr>
    </w:p>
    <w:p w:rsidRPr="00F31A99" w:rsidR="00F31A99" w:rsidP="00F31A99" w:rsidRDefault="00F31A99" w14:paraId="1449D348" w14:textId="77777777">
      <w:pPr>
        <w:autoSpaceDN w:val="0"/>
        <w:jc w:val="center"/>
        <w:rPr>
          <w:rFonts w:ascii="Times New Roman" w:hAnsi="Times New Roman" w:eastAsia="Calibri" w:cs="Times New Roman"/>
          <w:sz w:val="24"/>
          <w:szCs w:val="24"/>
          <w:u w:color="000000"/>
        </w:rPr>
      </w:pPr>
      <w:r w:rsidRPr="00F31A99">
        <w:rPr>
          <w:rFonts w:ascii="Times New Roman" w:hAnsi="Times New Roman" w:eastAsia="Calibri" w:cs="Times New Roman"/>
          <w:noProof/>
          <w:u w:color="000000"/>
        </w:rPr>
        <w:drawing>
          <wp:inline distT="0" distB="0" distL="0" distR="0" wp14:anchorId="70A87EB8" wp14:editId="0B12506F">
            <wp:extent cx="5073650" cy="32385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73650" cy="3238500"/>
                    </a:xfrm>
                    <a:prstGeom prst="rect">
                      <a:avLst/>
                    </a:prstGeom>
                    <a:noFill/>
                    <a:ln>
                      <a:noFill/>
                    </a:ln>
                  </pic:spPr>
                </pic:pic>
              </a:graphicData>
            </a:graphic>
          </wp:inline>
        </w:drawing>
      </w:r>
    </w:p>
    <w:p w:rsidRPr="00F31A99" w:rsidR="00F31A99" w:rsidP="00F31A99" w:rsidRDefault="00F31A99" w14:paraId="6F3B1FD6" w14:textId="77777777">
      <w:pPr>
        <w:autoSpaceDN w:val="0"/>
        <w:jc w:val="both"/>
        <w:rPr>
          <w:rFonts w:ascii="Times New Roman" w:hAnsi="Times New Roman" w:eastAsia="Calibri" w:cs="Times New Roman"/>
          <w:b/>
          <w:bCs/>
          <w:sz w:val="26"/>
          <w:szCs w:val="26"/>
          <w:u w:color="000000"/>
        </w:rPr>
      </w:pPr>
    </w:p>
    <w:p w:rsidRPr="00F31A99" w:rsidR="00F31A99" w:rsidP="00F31A99" w:rsidRDefault="00F31A99" w14:paraId="4A4134CD" w14:textId="77777777">
      <w:pPr>
        <w:numPr>
          <w:ilvl w:val="0"/>
          <w:numId w:val="4"/>
        </w:numPr>
        <w:autoSpaceDN w:val="0"/>
        <w:ind w:right="851"/>
        <w:rPr>
          <w:rFonts w:ascii="Times New Roman" w:hAnsi="Times New Roman" w:eastAsia="Times New Roman" w:cs="Times New Roman"/>
          <w:b/>
          <w:bCs/>
          <w:sz w:val="24"/>
          <w:szCs w:val="24"/>
          <w:u w:color="000000"/>
          <w:lang w:eastAsia="es-ES"/>
        </w:rPr>
      </w:pPr>
      <w:r w:rsidRPr="00F31A99">
        <w:rPr>
          <w:rFonts w:ascii="Times New Roman" w:hAnsi="Times New Roman" w:eastAsia="Times New Roman" w:cs="Times New Roman"/>
          <w:b/>
          <w:bCs/>
          <w:sz w:val="26"/>
          <w:szCs w:val="26"/>
          <w:u w:color="000000"/>
          <w:lang w:eastAsia="es-ES"/>
        </w:rPr>
        <w:t>Análisis de la Formulación del Artículo “Servicios de Limpieza”</w:t>
      </w:r>
    </w:p>
    <w:p w:rsidRPr="00F31A99" w:rsidR="00F31A99" w:rsidP="00F31A99" w:rsidRDefault="00F31A99" w14:paraId="42937137" w14:textId="77777777">
      <w:pPr>
        <w:autoSpaceDN w:val="0"/>
        <w:rPr>
          <w:rFonts w:ascii="Times New Roman" w:hAnsi="Times New Roman" w:eastAsia="Calibri" w:cs="Times New Roman"/>
          <w:u w:color="000000"/>
        </w:rPr>
      </w:pPr>
    </w:p>
    <w:p w:rsidRPr="00F31A99" w:rsidR="00F31A99" w:rsidP="00F31A99" w:rsidRDefault="00F31A99" w14:paraId="2D6B3588"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Como se indicó anteriormente, el artículo denominado “Servicios de Limpieza” representa un 42% de los recursos formulados en la subpartida 1.04.06 para el 2022, por tal motivo, a continuación, se analiza el comportamiento histórico en la formulación de este servicio.</w:t>
      </w:r>
    </w:p>
    <w:p w:rsidRPr="00F31A99" w:rsidR="00F31A99" w:rsidP="00F31A99" w:rsidRDefault="00F31A99" w14:paraId="04F16120"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3B27BD60" w14:textId="77777777">
      <w:pPr>
        <w:numPr>
          <w:ilvl w:val="1"/>
          <w:numId w:val="4"/>
        </w:numPr>
        <w:autoSpaceDN w:val="0"/>
        <w:ind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Comportamiento Histórico</w:t>
      </w:r>
    </w:p>
    <w:p w:rsidRPr="00F31A99" w:rsidR="00F31A99" w:rsidP="00F31A99" w:rsidRDefault="00F31A99" w14:paraId="7E98E0EA" w14:textId="77777777">
      <w:pPr>
        <w:autoSpaceDN w:val="0"/>
        <w:ind w:left="360" w:right="851"/>
        <w:rPr>
          <w:rFonts w:ascii="Times New Roman" w:hAnsi="Times New Roman" w:eastAsia="Calibri" w:cs="Times New Roman"/>
          <w:b/>
          <w:bCs/>
          <w:sz w:val="26"/>
          <w:szCs w:val="26"/>
          <w:u w:color="000000"/>
        </w:rPr>
      </w:pPr>
    </w:p>
    <w:p w:rsidRPr="00F31A99" w:rsidR="00F31A99" w:rsidP="00F31A99" w:rsidRDefault="00F31A99" w14:paraId="49F9776E"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lastRenderedPageBreak/>
        <w:t>Al igual que el servicio de vigilancia, los recursos formulados para el pago de los servicios de limpieza han venido creciendo paulatinamente en los últimos 5 años, este incremento del 2018 al 2022 es de un 49%. En la tabla 6 se puede visualizar el detalle anual de los recursos formulados para este servicio.</w:t>
      </w:r>
    </w:p>
    <w:p w:rsidRPr="00F31A99" w:rsidR="00F31A99" w:rsidP="00F31A99" w:rsidRDefault="00F31A99" w14:paraId="02678BB5" w14:textId="77777777">
      <w:pPr>
        <w:autoSpaceDN w:val="0"/>
        <w:jc w:val="both"/>
        <w:rPr>
          <w:rFonts w:ascii="Times New Roman" w:hAnsi="Times New Roman" w:eastAsia="Calibri" w:cs="Times New Roman"/>
          <w:bCs/>
          <w:sz w:val="24"/>
          <w:u w:color="000000"/>
        </w:rPr>
      </w:pPr>
    </w:p>
    <w:p w:rsidRPr="00F31A99" w:rsidR="00F31A99" w:rsidP="00F31A99" w:rsidRDefault="00F31A99" w14:paraId="596762F0" w14:textId="77777777">
      <w:pPr>
        <w:autoSpaceDN w:val="0"/>
        <w:ind w:left="851" w:right="851"/>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Tabla 6. Detalle del Comportamiento Histórico Periodo 2018 – 2022</w:t>
      </w:r>
    </w:p>
    <w:p w:rsidRPr="00F31A99" w:rsidR="00F31A99" w:rsidP="00F31A99" w:rsidRDefault="00F31A99" w14:paraId="6E4B7644" w14:textId="77777777">
      <w:pPr>
        <w:autoSpaceDN w:val="0"/>
        <w:ind w:left="851" w:right="851"/>
        <w:jc w:val="center"/>
        <w:rPr>
          <w:rFonts w:ascii="Times New Roman" w:hAnsi="Times New Roman" w:eastAsia="Calibri" w:cs="Times New Roman"/>
          <w:b/>
          <w:sz w:val="26"/>
          <w:szCs w:val="26"/>
          <w:u w:color="000000"/>
        </w:rPr>
      </w:pPr>
    </w:p>
    <w:tbl>
      <w:tblPr>
        <w:tblW w:w="8330" w:type="dxa"/>
        <w:jc w:val="center"/>
        <w:tblCellMar>
          <w:left w:w="70" w:type="dxa"/>
          <w:right w:w="70" w:type="dxa"/>
        </w:tblCellMar>
        <w:tblLook w:val="04A0" w:firstRow="1" w:lastRow="0" w:firstColumn="1" w:lastColumn="0" w:noHBand="0" w:noVBand="1"/>
      </w:tblPr>
      <w:tblGrid>
        <w:gridCol w:w="1429"/>
        <w:gridCol w:w="1405"/>
        <w:gridCol w:w="1405"/>
        <w:gridCol w:w="1405"/>
        <w:gridCol w:w="1451"/>
        <w:gridCol w:w="1451"/>
      </w:tblGrid>
      <w:tr w:rsidRPr="00AE1B2B" w:rsidR="00AE1B2B" w:rsidTr="00F31A99" w14:paraId="2C1F22C6" w14:textId="77777777">
        <w:trPr>
          <w:trHeight w:val="358"/>
          <w:jc w:val="center"/>
        </w:trPr>
        <w:tc>
          <w:tcPr>
            <w:tcW w:w="1429" w:type="dxa"/>
            <w:tcBorders>
              <w:left w:val="nil"/>
              <w:bottom w:val="single" w:color="auto" w:sz="4" w:space="0"/>
              <w:right w:val="nil"/>
            </w:tcBorders>
            <w:shd w:val="clear" w:color="auto" w:fill="auto"/>
            <w:noWrap/>
            <w:vAlign w:val="bottom"/>
            <w:hideMark/>
          </w:tcPr>
          <w:p w:rsidRPr="00F31A99" w:rsidR="00F31A99" w:rsidP="00F31A99" w:rsidRDefault="00F31A99" w14:paraId="600500D1" w14:textId="77777777">
            <w:pPr>
              <w:autoSpaceDN w:val="0"/>
              <w:rPr>
                <w:rFonts w:ascii="Times New Roman" w:hAnsi="Times New Roman" w:eastAsia="Times New Roman" w:cs="Times New Roman"/>
                <w:b/>
                <w:bCs/>
                <w:u w:color="000000"/>
                <w:lang w:eastAsia="es-CR"/>
              </w:rPr>
            </w:pPr>
          </w:p>
        </w:tc>
        <w:tc>
          <w:tcPr>
            <w:tcW w:w="1333" w:type="dxa"/>
            <w:tcBorders>
              <w:top w:val="single" w:color="auto" w:sz="4" w:space="0"/>
              <w:left w:val="nil"/>
              <w:bottom w:val="single" w:color="auto" w:sz="4" w:space="0"/>
              <w:right w:val="nil"/>
            </w:tcBorders>
            <w:shd w:val="clear" w:color="auto" w:fill="F2F2F2"/>
            <w:noWrap/>
            <w:vAlign w:val="center"/>
            <w:hideMark/>
          </w:tcPr>
          <w:p w:rsidRPr="00F31A99" w:rsidR="00F31A99" w:rsidP="00F31A99" w:rsidRDefault="00F31A99" w14:paraId="3AFD4458"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2018</w:t>
            </w:r>
          </w:p>
        </w:tc>
        <w:tc>
          <w:tcPr>
            <w:tcW w:w="1333" w:type="dxa"/>
            <w:tcBorders>
              <w:top w:val="single" w:color="auto" w:sz="4" w:space="0"/>
              <w:left w:val="nil"/>
              <w:bottom w:val="single" w:color="auto" w:sz="4" w:space="0"/>
              <w:right w:val="nil"/>
            </w:tcBorders>
            <w:shd w:val="clear" w:color="auto" w:fill="F2F2F2"/>
            <w:noWrap/>
            <w:vAlign w:val="center"/>
            <w:hideMark/>
          </w:tcPr>
          <w:p w:rsidRPr="00F31A99" w:rsidR="00F31A99" w:rsidP="00F31A99" w:rsidRDefault="00F31A99" w14:paraId="2133A575"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2019</w:t>
            </w:r>
          </w:p>
        </w:tc>
        <w:tc>
          <w:tcPr>
            <w:tcW w:w="1333" w:type="dxa"/>
            <w:tcBorders>
              <w:top w:val="single" w:color="auto" w:sz="4" w:space="0"/>
              <w:left w:val="nil"/>
              <w:bottom w:val="single" w:color="auto" w:sz="4" w:space="0"/>
              <w:right w:val="nil"/>
            </w:tcBorders>
            <w:shd w:val="clear" w:color="auto" w:fill="F2F2F2"/>
            <w:noWrap/>
            <w:vAlign w:val="center"/>
            <w:hideMark/>
          </w:tcPr>
          <w:p w:rsidRPr="00F31A99" w:rsidR="00F31A99" w:rsidP="00F31A99" w:rsidRDefault="00F31A99" w14:paraId="555F49E7"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2020</w:t>
            </w:r>
          </w:p>
        </w:tc>
        <w:tc>
          <w:tcPr>
            <w:tcW w:w="1451" w:type="dxa"/>
            <w:tcBorders>
              <w:top w:val="single" w:color="auto" w:sz="4" w:space="0"/>
              <w:left w:val="nil"/>
              <w:bottom w:val="single" w:color="auto" w:sz="4" w:space="0"/>
              <w:right w:val="nil"/>
            </w:tcBorders>
            <w:shd w:val="clear" w:color="auto" w:fill="F2F2F2"/>
            <w:noWrap/>
            <w:vAlign w:val="center"/>
            <w:hideMark/>
          </w:tcPr>
          <w:p w:rsidRPr="00F31A99" w:rsidR="00F31A99" w:rsidP="00F31A99" w:rsidRDefault="00F31A99" w14:paraId="43A2F8F0"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2021</w:t>
            </w:r>
          </w:p>
        </w:tc>
        <w:tc>
          <w:tcPr>
            <w:tcW w:w="1451" w:type="dxa"/>
            <w:tcBorders>
              <w:top w:val="single" w:color="auto" w:sz="4" w:space="0"/>
              <w:left w:val="nil"/>
              <w:bottom w:val="single" w:color="auto" w:sz="4" w:space="0"/>
              <w:right w:val="nil"/>
            </w:tcBorders>
            <w:shd w:val="clear" w:color="auto" w:fill="F2F2F2"/>
            <w:noWrap/>
            <w:vAlign w:val="center"/>
            <w:hideMark/>
          </w:tcPr>
          <w:p w:rsidRPr="00F31A99" w:rsidR="00F31A99" w:rsidP="00F31A99" w:rsidRDefault="00F31A99" w14:paraId="5E34D6BE"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2022</w:t>
            </w:r>
          </w:p>
        </w:tc>
      </w:tr>
      <w:tr w:rsidRPr="00F31A99" w:rsidR="00AE1B2B" w:rsidTr="00F31A99" w14:paraId="75D33327" w14:textId="77777777">
        <w:trPr>
          <w:trHeight w:val="358"/>
          <w:jc w:val="center"/>
        </w:trPr>
        <w:tc>
          <w:tcPr>
            <w:tcW w:w="1429" w:type="dxa"/>
            <w:tcBorders>
              <w:top w:val="single" w:color="auto" w:sz="4" w:space="0"/>
              <w:left w:val="nil"/>
              <w:bottom w:val="nil"/>
              <w:right w:val="nil"/>
            </w:tcBorders>
            <w:shd w:val="clear" w:color="auto" w:fill="F2F2F2"/>
            <w:noWrap/>
            <w:vAlign w:val="center"/>
            <w:hideMark/>
          </w:tcPr>
          <w:p w:rsidRPr="00F31A99" w:rsidR="00F31A99" w:rsidP="00F31A99" w:rsidRDefault="00F31A99" w14:paraId="4185C10C" w14:textId="77777777">
            <w:pPr>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Monto</w:t>
            </w:r>
          </w:p>
        </w:tc>
        <w:tc>
          <w:tcPr>
            <w:tcW w:w="1333" w:type="dxa"/>
            <w:tcBorders>
              <w:top w:val="single" w:color="auto" w:sz="4" w:space="0"/>
              <w:left w:val="nil"/>
              <w:bottom w:val="nil"/>
              <w:right w:val="nil"/>
            </w:tcBorders>
            <w:shd w:val="clear" w:color="auto" w:fill="auto"/>
            <w:noWrap/>
            <w:vAlign w:val="bottom"/>
            <w:hideMark/>
          </w:tcPr>
          <w:p w:rsidRPr="00F31A99" w:rsidR="00F31A99" w:rsidP="00F31A99" w:rsidRDefault="00F31A99" w14:paraId="434BCF43" w14:textId="77777777">
            <w:pPr>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2.389.700.567 </w:t>
            </w:r>
          </w:p>
        </w:tc>
        <w:tc>
          <w:tcPr>
            <w:tcW w:w="1333" w:type="dxa"/>
            <w:tcBorders>
              <w:top w:val="single" w:color="auto" w:sz="4" w:space="0"/>
              <w:left w:val="nil"/>
              <w:bottom w:val="nil"/>
              <w:right w:val="nil"/>
            </w:tcBorders>
            <w:shd w:val="clear" w:color="auto" w:fill="auto"/>
            <w:noWrap/>
            <w:vAlign w:val="bottom"/>
          </w:tcPr>
          <w:p w:rsidRPr="00F31A99" w:rsidR="00F31A99" w:rsidP="00F31A99" w:rsidRDefault="00F31A99" w14:paraId="4E5B1861" w14:textId="77777777">
            <w:pPr>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2.421.597.156 </w:t>
            </w:r>
          </w:p>
        </w:tc>
        <w:tc>
          <w:tcPr>
            <w:tcW w:w="1333" w:type="dxa"/>
            <w:tcBorders>
              <w:top w:val="single" w:color="auto" w:sz="4" w:space="0"/>
              <w:left w:val="nil"/>
              <w:bottom w:val="nil"/>
              <w:right w:val="nil"/>
            </w:tcBorders>
            <w:shd w:val="clear" w:color="auto" w:fill="auto"/>
            <w:noWrap/>
            <w:vAlign w:val="bottom"/>
          </w:tcPr>
          <w:p w:rsidRPr="00F31A99" w:rsidR="00F31A99" w:rsidP="00F31A99" w:rsidRDefault="00F31A99" w14:paraId="17C30F51" w14:textId="77777777">
            <w:pPr>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2.801.543.493 </w:t>
            </w:r>
          </w:p>
        </w:tc>
        <w:tc>
          <w:tcPr>
            <w:tcW w:w="1451" w:type="dxa"/>
            <w:tcBorders>
              <w:top w:val="single" w:color="auto" w:sz="4" w:space="0"/>
              <w:left w:val="nil"/>
              <w:bottom w:val="nil"/>
              <w:right w:val="nil"/>
            </w:tcBorders>
            <w:shd w:val="clear" w:color="auto" w:fill="auto"/>
            <w:noWrap/>
            <w:vAlign w:val="bottom"/>
          </w:tcPr>
          <w:p w:rsidRPr="00F31A99" w:rsidR="00F31A99" w:rsidP="00F31A99" w:rsidRDefault="00F31A99" w14:paraId="312F543E" w14:textId="77777777">
            <w:pPr>
              <w:autoSpaceDN w:val="0"/>
              <w:rPr>
                <w:rFonts w:ascii="Times New Roman" w:hAnsi="Times New Roman" w:eastAsia="Times New Roman" w:cs="Times New Roman"/>
                <w:u w:color="000000"/>
                <w:lang w:eastAsia="es-CR"/>
              </w:rPr>
            </w:pPr>
            <w:r w:rsidRPr="00F31A99">
              <w:rPr>
                <w:rFonts w:ascii="Times New Roman" w:hAnsi="Times New Roman" w:eastAsia="Calibri" w:cs="Times New Roman"/>
                <w:u w:color="000000"/>
              </w:rPr>
              <w:t xml:space="preserve">2.849.713.286 </w:t>
            </w:r>
          </w:p>
        </w:tc>
        <w:tc>
          <w:tcPr>
            <w:tcW w:w="1451" w:type="dxa"/>
            <w:tcBorders>
              <w:top w:val="single" w:color="auto" w:sz="4" w:space="0"/>
              <w:left w:val="nil"/>
              <w:bottom w:val="nil"/>
              <w:right w:val="nil"/>
            </w:tcBorders>
            <w:shd w:val="clear" w:color="auto" w:fill="auto"/>
            <w:noWrap/>
            <w:vAlign w:val="bottom"/>
          </w:tcPr>
          <w:p w:rsidRPr="00F31A99" w:rsidR="00F31A99" w:rsidP="00F31A99" w:rsidRDefault="00F31A99" w14:paraId="7FBFA2BD"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3.567.001.502</w:t>
            </w:r>
          </w:p>
        </w:tc>
      </w:tr>
      <w:tr w:rsidRPr="00AE1B2B" w:rsidR="00AE1B2B" w:rsidTr="00F31A99" w14:paraId="55813907" w14:textId="77777777">
        <w:trPr>
          <w:trHeight w:val="358"/>
          <w:jc w:val="center"/>
        </w:trPr>
        <w:tc>
          <w:tcPr>
            <w:tcW w:w="1429" w:type="dxa"/>
            <w:tcBorders>
              <w:top w:val="nil"/>
              <w:left w:val="nil"/>
              <w:bottom w:val="single" w:color="1F4E78" w:sz="4" w:space="0"/>
              <w:right w:val="nil"/>
            </w:tcBorders>
            <w:shd w:val="clear" w:color="auto" w:fill="F2F2F2"/>
            <w:noWrap/>
            <w:vAlign w:val="center"/>
            <w:hideMark/>
          </w:tcPr>
          <w:p w:rsidRPr="00F31A99" w:rsidR="00F31A99" w:rsidP="00F31A99" w:rsidRDefault="00F31A99" w14:paraId="425E612B" w14:textId="77777777">
            <w:pPr>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Variación</w:t>
            </w:r>
          </w:p>
        </w:tc>
        <w:tc>
          <w:tcPr>
            <w:tcW w:w="1333" w:type="dxa"/>
            <w:tcBorders>
              <w:top w:val="nil"/>
              <w:left w:val="nil"/>
              <w:bottom w:val="single" w:color="1F4E78" w:sz="4" w:space="0"/>
              <w:right w:val="nil"/>
            </w:tcBorders>
            <w:shd w:val="clear" w:color="000000" w:fill="FFFFFF"/>
            <w:noWrap/>
            <w:vAlign w:val="center"/>
            <w:hideMark/>
          </w:tcPr>
          <w:p w:rsidRPr="00F31A99" w:rsidR="00F31A99" w:rsidP="00F31A99" w:rsidRDefault="00F31A99" w14:paraId="39C28E28" w14:textId="77777777">
            <w:pPr>
              <w:autoSpaceDN w:val="0"/>
              <w:jc w:val="center"/>
              <w:rPr>
                <w:rFonts w:ascii="Times New Roman" w:hAnsi="Times New Roman" w:eastAsia="Times New Roman" w:cs="Times New Roman"/>
                <w:u w:color="000000"/>
                <w:lang w:eastAsia="es-CR"/>
              </w:rPr>
            </w:pPr>
          </w:p>
        </w:tc>
        <w:tc>
          <w:tcPr>
            <w:tcW w:w="1333" w:type="dxa"/>
            <w:tcBorders>
              <w:top w:val="nil"/>
              <w:left w:val="nil"/>
              <w:bottom w:val="single" w:color="1F4E78" w:sz="4" w:space="0"/>
              <w:right w:val="nil"/>
            </w:tcBorders>
            <w:shd w:val="clear" w:color="000000" w:fill="FFFFFF"/>
            <w:noWrap/>
            <w:vAlign w:val="center"/>
            <w:hideMark/>
          </w:tcPr>
          <w:p w:rsidRPr="00F31A99" w:rsidR="00F31A99" w:rsidP="00F31A99" w:rsidRDefault="00F31A99" w14:paraId="77D45EB5"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1.3%</w:t>
            </w:r>
          </w:p>
        </w:tc>
        <w:tc>
          <w:tcPr>
            <w:tcW w:w="1333" w:type="dxa"/>
            <w:tcBorders>
              <w:top w:val="nil"/>
              <w:left w:val="nil"/>
              <w:bottom w:val="single" w:color="1F4E78" w:sz="4" w:space="0"/>
              <w:right w:val="nil"/>
            </w:tcBorders>
            <w:shd w:val="clear" w:color="000000" w:fill="FFFFFF"/>
            <w:noWrap/>
            <w:vAlign w:val="center"/>
          </w:tcPr>
          <w:p w:rsidRPr="00F31A99" w:rsidR="00F31A99" w:rsidP="00F31A99" w:rsidRDefault="00F31A99" w14:paraId="29423F37"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15.7%</w:t>
            </w:r>
          </w:p>
        </w:tc>
        <w:tc>
          <w:tcPr>
            <w:tcW w:w="1451" w:type="dxa"/>
            <w:tcBorders>
              <w:top w:val="nil"/>
              <w:left w:val="nil"/>
              <w:bottom w:val="single" w:color="1F4E78" w:sz="4" w:space="0"/>
              <w:right w:val="nil"/>
            </w:tcBorders>
            <w:shd w:val="clear" w:color="000000" w:fill="FFFFFF"/>
            <w:noWrap/>
            <w:vAlign w:val="center"/>
          </w:tcPr>
          <w:p w:rsidRPr="00F31A99" w:rsidR="00F31A99" w:rsidP="00F31A99" w:rsidRDefault="00F31A99" w14:paraId="6D7FE563"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1,72%</w:t>
            </w:r>
          </w:p>
        </w:tc>
        <w:tc>
          <w:tcPr>
            <w:tcW w:w="1451" w:type="dxa"/>
            <w:tcBorders>
              <w:top w:val="nil"/>
              <w:left w:val="nil"/>
              <w:bottom w:val="single" w:color="1F4E78" w:sz="4" w:space="0"/>
              <w:right w:val="nil"/>
            </w:tcBorders>
            <w:shd w:val="clear" w:color="000000" w:fill="FFFFFF"/>
            <w:noWrap/>
            <w:vAlign w:val="center"/>
          </w:tcPr>
          <w:p w:rsidRPr="00F31A99" w:rsidR="00F31A99" w:rsidP="00F31A99" w:rsidRDefault="00F31A99" w14:paraId="5E9000F2"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25,2%</w:t>
            </w:r>
          </w:p>
        </w:tc>
      </w:tr>
    </w:tbl>
    <w:p w:rsidRPr="00F31A99" w:rsidR="00F31A99" w:rsidP="00F31A99" w:rsidRDefault="00F31A99" w14:paraId="597597B6" w14:textId="77777777">
      <w:pPr>
        <w:autoSpaceDN w:val="0"/>
        <w:spacing w:before="120"/>
        <w:jc w:val="both"/>
        <w:rPr>
          <w:rFonts w:ascii="Times New Roman" w:hAnsi="Times New Roman" w:eastAsia="Calibri" w:cs="Times New Roman"/>
          <w:bCs/>
          <w:u w:color="000000"/>
        </w:rPr>
      </w:pPr>
      <w:r w:rsidRPr="00F31A99">
        <w:rPr>
          <w:rFonts w:ascii="Times New Roman" w:hAnsi="Times New Roman" w:eastAsia="Calibri" w:cs="Times New Roman"/>
          <w:bCs/>
          <w:u w:color="000000"/>
        </w:rPr>
        <w:t xml:space="preserve"> Fuente: Consulta realizada al sistema SIGA PJ el 3-3-2021</w:t>
      </w:r>
    </w:p>
    <w:p w:rsidRPr="00F31A99" w:rsidR="00F31A99" w:rsidP="00F31A99" w:rsidRDefault="00F31A99" w14:paraId="0F49F69D" w14:textId="77777777">
      <w:pPr>
        <w:autoSpaceDN w:val="0"/>
        <w:spacing w:before="120"/>
        <w:jc w:val="both"/>
        <w:rPr>
          <w:rFonts w:ascii="Times New Roman" w:hAnsi="Times New Roman" w:eastAsia="Calibri" w:cs="Times New Roman"/>
          <w:bCs/>
          <w:sz w:val="18"/>
          <w:szCs w:val="16"/>
          <w:u w:color="000000"/>
        </w:rPr>
      </w:pPr>
    </w:p>
    <w:p w:rsidRPr="00F31A99" w:rsidR="00F31A99" w:rsidP="00F31A99" w:rsidRDefault="00F31A99" w14:paraId="2386A22E"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Respecto al incremento registrado para el 2022, se tiene que la Dirección Ejecutiva mediante oficio N°345-DE-2021, comunicó a la Dirección de Planificación, que para el nuevo contrato de limpieza para el 2022, el Departamento de Servicios Generales estimó que se requiere un adicional de ¢655.212.649, distribuidos por Programa según el detalle que se muestra a continuación, recursos que de inmediato fueron incorporados al SIGAPJ de forma adicional a los que el Sistema ya había cargado de forma automática en los distintos Centros de Responsabilidad.</w:t>
      </w:r>
    </w:p>
    <w:p w:rsidRPr="00F31A99" w:rsidR="00F31A99" w:rsidP="00F31A99" w:rsidRDefault="00F31A99" w14:paraId="7F087A93" w14:textId="77777777">
      <w:pPr>
        <w:autoSpaceDN w:val="0"/>
        <w:jc w:val="center"/>
        <w:rPr>
          <w:rFonts w:ascii="Times New Roman" w:hAnsi="Times New Roman" w:eastAsia="Calibri" w:cs="Times New Roman"/>
          <w:bCs/>
          <w:sz w:val="24"/>
          <w:u w:color="000000"/>
        </w:rPr>
      </w:pPr>
      <w:r w:rsidRPr="00F31A99">
        <w:rPr>
          <w:rFonts w:ascii="Times New Roman" w:hAnsi="Times New Roman" w:eastAsia="Calibri" w:cs="Times New Roman"/>
          <w:bCs/>
          <w:noProof/>
          <w:sz w:val="24"/>
          <w:u w:color="000000"/>
        </w:rPr>
        <w:drawing>
          <wp:inline distT="0" distB="0" distL="0" distR="0" wp14:anchorId="58A461E7" wp14:editId="354CC1DF">
            <wp:extent cx="3384550" cy="2683389"/>
            <wp:effectExtent l="0" t="0" r="635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17242" cy="2709308"/>
                    </a:xfrm>
                    <a:prstGeom prst="rect">
                      <a:avLst/>
                    </a:prstGeom>
                    <a:noFill/>
                    <a:ln>
                      <a:noFill/>
                    </a:ln>
                  </pic:spPr>
                </pic:pic>
              </a:graphicData>
            </a:graphic>
          </wp:inline>
        </w:drawing>
      </w:r>
    </w:p>
    <w:p w:rsidRPr="00F31A99" w:rsidR="00F31A99" w:rsidP="00F31A99" w:rsidRDefault="00F31A99" w14:paraId="03535EA1" w14:textId="77777777">
      <w:pPr>
        <w:autoSpaceDN w:val="0"/>
        <w:rPr>
          <w:rFonts w:ascii="Times New Roman" w:hAnsi="Times New Roman" w:eastAsia="Calibri" w:cs="Times New Roman"/>
          <w:u w:color="000000"/>
        </w:rPr>
      </w:pPr>
    </w:p>
    <w:p w:rsidRPr="00F31A99" w:rsidR="00F31A99" w:rsidP="00F31A99" w:rsidRDefault="00F31A99" w14:paraId="3061F877" w14:textId="77777777">
      <w:pPr>
        <w:numPr>
          <w:ilvl w:val="1"/>
          <w:numId w:val="4"/>
        </w:numPr>
        <w:autoSpaceDN w:val="0"/>
        <w:ind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 xml:space="preserve"> Análisis por Programa Presupuestario</w:t>
      </w:r>
    </w:p>
    <w:p w:rsidRPr="00F31A99" w:rsidR="00F31A99" w:rsidP="00F31A99" w:rsidRDefault="00F31A99" w14:paraId="3985CCFE" w14:textId="77777777">
      <w:pPr>
        <w:autoSpaceDN w:val="0"/>
        <w:ind w:right="851"/>
        <w:rPr>
          <w:rFonts w:ascii="Times New Roman" w:hAnsi="Times New Roman" w:eastAsia="Calibri" w:cs="Times New Roman"/>
          <w:b/>
          <w:bCs/>
          <w:sz w:val="26"/>
          <w:szCs w:val="26"/>
          <w:u w:color="000000"/>
        </w:rPr>
      </w:pPr>
    </w:p>
    <w:p w:rsidRPr="00F31A99" w:rsidR="00F31A99" w:rsidP="00F31A99" w:rsidRDefault="00F31A99" w14:paraId="5D15FBFF"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Según se muestra en la tabla 7, todos los Programas Presupuestarios a excepción del Servicio Jurisdiccional presentan un incremento respecto al monto formulado para el 2021, siendo los crecimientos más significativos, los registrados en los Programas de Atención y Protección a Víctimas y Testigos (44%), Administrativo (35%) y Organismo de Investigación Judicial (34%).</w:t>
      </w:r>
    </w:p>
    <w:p w:rsidRPr="00F31A99" w:rsidR="00F31A99" w:rsidP="00F31A99" w:rsidRDefault="00F31A99" w14:paraId="2F7149AB" w14:textId="77777777">
      <w:pPr>
        <w:autoSpaceDN w:val="0"/>
        <w:jc w:val="both"/>
        <w:rPr>
          <w:rFonts w:ascii="Times New Roman" w:hAnsi="Times New Roman" w:eastAsia="Calibri" w:cs="Times New Roman"/>
          <w:bCs/>
          <w:sz w:val="24"/>
          <w:u w:color="000000"/>
        </w:rPr>
      </w:pPr>
    </w:p>
    <w:p w:rsidRPr="00F31A99" w:rsidR="00F31A99" w:rsidP="00F31A99" w:rsidRDefault="00F31A99" w14:paraId="2823EB68" w14:textId="77777777">
      <w:pPr>
        <w:autoSpaceDN w:val="0"/>
        <w:ind w:left="851" w:right="851"/>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Tabla 7. Variación por Programa Presupuestario 2021 – 2022</w:t>
      </w:r>
    </w:p>
    <w:p w:rsidRPr="00F31A99" w:rsidR="00F31A99" w:rsidP="00F31A99" w:rsidRDefault="00F31A99" w14:paraId="050AB6CC" w14:textId="77777777">
      <w:pPr>
        <w:autoSpaceDN w:val="0"/>
        <w:ind w:left="851" w:right="851"/>
        <w:jc w:val="center"/>
        <w:rPr>
          <w:rFonts w:ascii="Times New Roman" w:hAnsi="Times New Roman" w:eastAsia="Calibri" w:cs="Times New Roman"/>
          <w:b/>
          <w:sz w:val="26"/>
          <w:szCs w:val="26"/>
          <w:u w:color="000000"/>
        </w:rPr>
      </w:pPr>
    </w:p>
    <w:p w:rsidRPr="00F31A99" w:rsidR="00F31A99" w:rsidP="00F31A99" w:rsidRDefault="00F31A99" w14:paraId="07136490" w14:textId="77777777">
      <w:pPr>
        <w:autoSpaceDN w:val="0"/>
        <w:jc w:val="center"/>
        <w:rPr>
          <w:rFonts w:ascii="Times New Roman" w:hAnsi="Times New Roman" w:eastAsia="Calibri" w:cs="Times New Roman"/>
          <w:sz w:val="24"/>
          <w:szCs w:val="24"/>
          <w:u w:color="000000"/>
        </w:rPr>
      </w:pPr>
      <w:r w:rsidRPr="00F31A99">
        <w:rPr>
          <w:rFonts w:ascii="Times New Roman" w:hAnsi="Times New Roman" w:eastAsia="Calibri" w:cs="Times New Roman"/>
          <w:noProof/>
          <w:u w:color="000000"/>
        </w:rPr>
        <w:drawing>
          <wp:inline distT="0" distB="0" distL="0" distR="0" wp14:anchorId="5CB65184" wp14:editId="5962160F">
            <wp:extent cx="5302250" cy="1308100"/>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02250" cy="1308100"/>
                    </a:xfrm>
                    <a:prstGeom prst="rect">
                      <a:avLst/>
                    </a:prstGeom>
                    <a:noFill/>
                    <a:ln>
                      <a:noFill/>
                    </a:ln>
                  </pic:spPr>
                </pic:pic>
              </a:graphicData>
            </a:graphic>
          </wp:inline>
        </w:drawing>
      </w:r>
    </w:p>
    <w:p w:rsidRPr="00F31A99" w:rsidR="00F31A99" w:rsidP="00F31A99" w:rsidRDefault="00F31A99" w14:paraId="0E05A17C"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0910DC3B"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66DD702A"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Al igual que el servicio de vigilancia, el Programa que concentra la mayor cantidad de recursos en servicios de limpieza es el 926, las razones son similares a las indicadas anteriormente, debido a que las administraciones regionales asumen la formulación de estos recursos. </w:t>
      </w:r>
    </w:p>
    <w:p w:rsidRPr="00F31A99" w:rsidR="00F31A99" w:rsidP="00F31A99" w:rsidRDefault="00F31A99" w14:paraId="5824E5F4"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1A96B4A8" w14:textId="77777777">
      <w:pPr>
        <w:autoSpaceDN w:val="0"/>
        <w:ind w:left="851" w:right="851"/>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Figura 6. Distribución del Servicio de Limpieza por Programa Presupuestario</w:t>
      </w:r>
    </w:p>
    <w:p w:rsidRPr="00F31A99" w:rsidR="00F31A99" w:rsidP="00F31A99" w:rsidRDefault="00F31A99" w14:paraId="229D63E7"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0B0E6AB7" w14:textId="77777777">
      <w:pPr>
        <w:autoSpaceDN w:val="0"/>
        <w:jc w:val="center"/>
        <w:rPr>
          <w:rFonts w:ascii="Times New Roman" w:hAnsi="Times New Roman" w:eastAsia="Calibri" w:cs="Times New Roman"/>
          <w:sz w:val="24"/>
          <w:szCs w:val="24"/>
          <w:u w:color="000000"/>
        </w:rPr>
      </w:pPr>
      <w:r w:rsidRPr="00F31A99">
        <w:rPr>
          <w:rFonts w:ascii="Times New Roman" w:hAnsi="Times New Roman" w:eastAsia="Calibri" w:cs="Times New Roman"/>
          <w:noProof/>
          <w:u w:color="000000"/>
        </w:rPr>
        <w:lastRenderedPageBreak/>
        <w:drawing>
          <wp:inline distT="0" distB="0" distL="0" distR="0" wp14:anchorId="22F526E0" wp14:editId="31E128A8">
            <wp:extent cx="4572000" cy="2749550"/>
            <wp:effectExtent l="0" t="0" r="0" b="12700"/>
            <wp:docPr id="24" name="Gráfico 24">
              <a:extLst xmlns:a="http://schemas.openxmlformats.org/drawingml/2006/main">
                <a:ext uri="{FF2B5EF4-FFF2-40B4-BE49-F238E27FC236}">
                  <a16:creationId xmlns:a16="http://schemas.microsoft.com/office/drawing/2014/main" id="{F85CEC63-B77C-43F4-9911-0BBCACABFA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Pr="00F31A99" w:rsidR="00F31A99" w:rsidP="00F31A99" w:rsidRDefault="00F31A99" w14:paraId="4320A122" w14:textId="77777777">
      <w:pPr>
        <w:autoSpaceDN w:val="0"/>
        <w:rPr>
          <w:rFonts w:ascii="Times New Roman" w:hAnsi="Times New Roman" w:eastAsia="Calibri" w:cs="Times New Roman"/>
          <w:b/>
          <w:bCs/>
          <w:sz w:val="24"/>
          <w:szCs w:val="24"/>
          <w:u w:color="000000"/>
        </w:rPr>
      </w:pPr>
    </w:p>
    <w:p w:rsidRPr="00F31A99" w:rsidR="00F31A99" w:rsidP="00F31A99" w:rsidRDefault="00F31A99" w14:paraId="55D26719" w14:textId="77777777">
      <w:pPr>
        <w:numPr>
          <w:ilvl w:val="1"/>
          <w:numId w:val="4"/>
        </w:numPr>
        <w:autoSpaceDN w:val="0"/>
        <w:ind w:right="851"/>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 xml:space="preserve"> Distribución por Centro de Responsabilidad</w:t>
      </w:r>
    </w:p>
    <w:p w:rsidRPr="00F31A99" w:rsidR="00F31A99" w:rsidP="00F31A99" w:rsidRDefault="00F31A99" w14:paraId="03CA0A72"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En cuanto a la distribución del Servicio de Limpieza para el 2022 por Centro de Responsabilidad, en la Tabla 8 se muestran los centros con la mayor cantidad de recursos, donde se puede apreciar que la Dirección Ejecutiva es la que ocupa el primer lugar con un 15% del total del presupuesto y en este caso en específico se trata del Departamento de Servicios Generales, seguido de este se ubican la Administración de San Joaquín de Flores y el Segundo Circuito Judicial de San José con 10% cada uno. </w:t>
      </w:r>
    </w:p>
    <w:p w:rsidRPr="00F31A99" w:rsidR="00F31A99" w:rsidP="00F31A99" w:rsidRDefault="00F31A99" w14:paraId="78FF5B27"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7758D9A8" w14:textId="77777777">
      <w:pPr>
        <w:autoSpaceDN w:val="0"/>
        <w:ind w:left="851" w:right="851"/>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Tabla 8. Centros de Responsabilidad con la Mayor Cantidad de Recursos Formulados en el Artículo de Servicio de Limpieza para el 2022</w:t>
      </w:r>
    </w:p>
    <w:p w:rsidRPr="00F31A99" w:rsidR="00F31A99" w:rsidP="00F31A99" w:rsidRDefault="00F31A99" w14:paraId="26A2F0DA" w14:textId="77777777">
      <w:pPr>
        <w:autoSpaceDN w:val="0"/>
        <w:ind w:left="851" w:right="851"/>
        <w:jc w:val="center"/>
        <w:rPr>
          <w:rFonts w:ascii="Times New Roman" w:hAnsi="Times New Roman" w:eastAsia="Calibri" w:cs="Times New Roman"/>
          <w:b/>
          <w:sz w:val="26"/>
          <w:szCs w:val="26"/>
          <w:u w:color="000000"/>
        </w:rPr>
      </w:pPr>
    </w:p>
    <w:p w:rsidRPr="00F31A99" w:rsidR="00F31A99" w:rsidP="00F31A99" w:rsidRDefault="00F31A99" w14:paraId="53FEA78C" w14:textId="77777777">
      <w:pPr>
        <w:autoSpaceDN w:val="0"/>
        <w:jc w:val="center"/>
        <w:rPr>
          <w:rFonts w:ascii="Times New Roman" w:hAnsi="Times New Roman" w:eastAsia="Calibri" w:cs="Times New Roman"/>
          <w:sz w:val="24"/>
          <w:szCs w:val="24"/>
          <w:u w:color="000000"/>
        </w:rPr>
      </w:pPr>
      <w:r w:rsidRPr="00F31A99">
        <w:rPr>
          <w:rFonts w:ascii="Times New Roman" w:hAnsi="Times New Roman" w:eastAsia="Calibri" w:cs="Times New Roman"/>
          <w:noProof/>
          <w:u w:color="000000"/>
        </w:rPr>
        <w:lastRenderedPageBreak/>
        <w:drawing>
          <wp:inline distT="0" distB="0" distL="0" distR="0" wp14:anchorId="25E1813C" wp14:editId="5727AA38">
            <wp:extent cx="5181600" cy="3136900"/>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81600" cy="3136900"/>
                    </a:xfrm>
                    <a:prstGeom prst="rect">
                      <a:avLst/>
                    </a:prstGeom>
                    <a:noFill/>
                    <a:ln>
                      <a:noFill/>
                    </a:ln>
                  </pic:spPr>
                </pic:pic>
              </a:graphicData>
            </a:graphic>
          </wp:inline>
        </w:drawing>
      </w:r>
    </w:p>
    <w:p w:rsidRPr="00F31A99" w:rsidR="00F31A99" w:rsidP="00F31A99" w:rsidRDefault="00F31A99" w14:paraId="6B6E8338"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09ACE1A0" w14:textId="77777777">
      <w:pPr>
        <w:numPr>
          <w:ilvl w:val="1"/>
          <w:numId w:val="5"/>
        </w:numPr>
        <w:autoSpaceDN w:val="0"/>
        <w:ind w:left="851" w:right="851" w:firstLine="403"/>
        <w:contextualSpacing/>
        <w:jc w:val="both"/>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 xml:space="preserve">Otros Requerimientos Operativos </w:t>
      </w:r>
    </w:p>
    <w:p w:rsidRPr="00F31A99" w:rsidR="00F31A99" w:rsidP="00F31A99" w:rsidRDefault="00F31A99" w14:paraId="4858685A"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Finalmente, se debe señalar que de forma complementaria y según se estableció en las Directrices de Formulación Presupuestaria, los Centros de Responsabilidad debían remitir a la Dirección de Planificación aquellas necesidades nuevas o adicionales que tuvieran, en este caso, en servicios de vigilancia y limpieza, las que fueron conjuntadas y en este momento se encuentran en análisis de la Dirección Ejecutiva. En total se están solicitando ¢154.849.071, de los cuales, ¢112.768.750 son para limpieza y los restantes ¢42.080.321 para vigilancia. </w:t>
      </w:r>
    </w:p>
    <w:p w:rsidRPr="00F31A99" w:rsidR="00F31A99" w:rsidP="00F31A99" w:rsidRDefault="00F31A99" w14:paraId="02A82B80"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08998912"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De obtener estos requerimientos el visto bueno por parte de la Dirección Ejecutiva y ser aprobados por el Consejo Superior, el presupuesto total de la subpartida 10406 Servicios Generales para el 2022 ascendería a ¢8.640.776.106, para un crecimiento porcentual del 14,01%.</w:t>
      </w:r>
    </w:p>
    <w:p w:rsidRPr="00F31A99" w:rsidR="00F31A99" w:rsidP="00F31A99" w:rsidRDefault="00F31A99" w14:paraId="052C3A88"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0CCE265A" w14:textId="77777777">
      <w:pPr>
        <w:autoSpaceDN w:val="0"/>
        <w:jc w:val="center"/>
        <w:rPr>
          <w:rFonts w:ascii="Times New Roman" w:hAnsi="Times New Roman" w:eastAsia="Calibri" w:cs="Times New Roman"/>
          <w:u w:color="000000"/>
        </w:rPr>
      </w:pPr>
      <w:r w:rsidRPr="00F31A99">
        <w:rPr>
          <w:rFonts w:ascii="Times New Roman" w:hAnsi="Times New Roman" w:eastAsia="Calibri" w:cs="Times New Roman"/>
          <w:u w:color="000000"/>
        </w:rPr>
        <w:t>-0-</w:t>
      </w:r>
    </w:p>
    <w:p w:rsidRPr="00F31A99" w:rsidR="00F31A99" w:rsidP="00F31A99" w:rsidRDefault="00F31A99" w14:paraId="5BA202B2" w14:textId="77777777">
      <w:pPr>
        <w:autoSpaceDN w:val="0"/>
        <w:jc w:val="center"/>
        <w:rPr>
          <w:rFonts w:ascii="Times New Roman" w:hAnsi="Times New Roman" w:eastAsia="Calibri" w:cs="Times New Roman"/>
          <w:b/>
          <w:bCs/>
          <w:u w:color="000000"/>
        </w:rPr>
      </w:pPr>
    </w:p>
    <w:p w:rsidRPr="00F31A99" w:rsidR="00F31A99" w:rsidP="00F31A99" w:rsidRDefault="00F31A99" w14:paraId="714E3BD8"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Con respecto a lo anteriormente indicado, la Dirección Ejecutiva mediante correo electrónico de este lunes 22 de marzo, remitió a la Secretaría de la Corte el oficio 957-DE-2021, en el que señala que como resultado de la valoración de los montos adicionales </w:t>
      </w:r>
      <w:r w:rsidRPr="00F31A99">
        <w:rPr>
          <w:rFonts w:ascii="Times New Roman" w:hAnsi="Times New Roman" w:eastAsia="Calibri" w:cs="Times New Roman"/>
          <w:bCs/>
          <w:sz w:val="26"/>
          <w:szCs w:val="26"/>
          <w:u w:color="000000"/>
        </w:rPr>
        <w:lastRenderedPageBreak/>
        <w:t>solicitados por la oficinas de los diferentes centros de responsabilidad, se determinaron necesidades reales de requerimientos adicionales para el 2022 en las subpartidas 1.01.01 (Alquiler de Edificios) y 1.04.06 (Servicios Generales).</w:t>
      </w:r>
    </w:p>
    <w:p w:rsidRPr="00F31A99" w:rsidR="00F31A99" w:rsidP="00F31A99" w:rsidRDefault="00F31A99" w14:paraId="615AD28A"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744BE8BF"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Concretamente, en el caso de la subpartida 1.04.06 Servicios Generales, se indica la necesidad de incorporar ¢79.834.207, de acuerdo con el siguiente detalle: </w:t>
      </w:r>
    </w:p>
    <w:p w:rsidRPr="00F31A99" w:rsidR="00F31A99" w:rsidP="00F31A99" w:rsidRDefault="00F31A99" w14:paraId="1F2CE7D1"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 </w:t>
      </w:r>
    </w:p>
    <w:tbl>
      <w:tblPr>
        <w:tblStyle w:val="TableGrid1"/>
        <w:tblW w:w="8541" w:type="dxa"/>
        <w:tblInd w:w="149" w:type="dxa"/>
        <w:tblCellMar>
          <w:top w:w="31" w:type="dxa"/>
          <w:right w:w="115" w:type="dxa"/>
        </w:tblCellMar>
        <w:tblLook w:val="04A0" w:firstRow="1" w:lastRow="0" w:firstColumn="1" w:lastColumn="0" w:noHBand="0" w:noVBand="1"/>
      </w:tblPr>
      <w:tblGrid>
        <w:gridCol w:w="5212"/>
        <w:gridCol w:w="3329"/>
      </w:tblGrid>
      <w:tr w:rsidRPr="00F31A99" w:rsidR="00AE1B2B" w:rsidTr="00A306B2" w14:paraId="26064891" w14:textId="77777777">
        <w:trPr>
          <w:trHeight w:val="709"/>
        </w:trPr>
        <w:tc>
          <w:tcPr>
            <w:tcW w:w="5212" w:type="dxa"/>
            <w:tcBorders>
              <w:top w:val="single" w:color="000000" w:sz="4" w:space="0"/>
              <w:left w:val="single" w:color="000000" w:sz="4" w:space="0"/>
              <w:bottom w:val="single" w:color="000000" w:sz="4" w:space="0"/>
              <w:right w:val="nil"/>
            </w:tcBorders>
          </w:tcPr>
          <w:p w:rsidRPr="00F31A99" w:rsidR="00F31A99" w:rsidP="00F31A99" w:rsidRDefault="00F31A99" w14:paraId="18C5FD4B" w14:textId="77777777">
            <w:pPr>
              <w:autoSpaceDN w:val="0"/>
              <w:spacing w:after="50" w:line="259" w:lineRule="auto"/>
              <w:ind w:left="70"/>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Otros Requerimientos Operativos 2022 </w:t>
            </w:r>
          </w:p>
          <w:p w:rsidRPr="00F31A99" w:rsidR="00F31A99" w:rsidP="00F31A99" w:rsidRDefault="00F31A99" w14:paraId="7E92DAD8" w14:textId="77777777">
            <w:pPr>
              <w:autoSpaceDN w:val="0"/>
              <w:spacing w:line="259" w:lineRule="auto"/>
              <w:ind w:left="70"/>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Aprobados por la Dirección Ejecutiva </w:t>
            </w:r>
          </w:p>
        </w:tc>
        <w:tc>
          <w:tcPr>
            <w:tcW w:w="3329" w:type="dxa"/>
            <w:tcBorders>
              <w:top w:val="single" w:color="000000" w:sz="4" w:space="0"/>
              <w:left w:val="nil"/>
              <w:bottom w:val="single" w:color="000000" w:sz="4" w:space="0"/>
              <w:right w:val="single" w:color="000000" w:sz="4" w:space="0"/>
            </w:tcBorders>
          </w:tcPr>
          <w:p w:rsidRPr="00F31A99" w:rsidR="00F31A99" w:rsidP="00F31A99" w:rsidRDefault="00F31A99" w14:paraId="62E27DF0" w14:textId="77777777">
            <w:pPr>
              <w:autoSpaceDN w:val="0"/>
              <w:spacing w:after="160" w:line="259" w:lineRule="auto"/>
              <w:rPr>
                <w:rFonts w:ascii="Times New Roman" w:hAnsi="Times New Roman" w:cs="Times New Roman"/>
                <w:highlight w:val="lightGray"/>
                <w:u w:color="000000"/>
              </w:rPr>
            </w:pPr>
          </w:p>
        </w:tc>
      </w:tr>
      <w:tr w:rsidRPr="00F31A99" w:rsidR="00AE1B2B" w:rsidTr="00A306B2" w14:paraId="193B9D14" w14:textId="77777777">
        <w:trPr>
          <w:trHeight w:val="360"/>
        </w:trPr>
        <w:tc>
          <w:tcPr>
            <w:tcW w:w="5212" w:type="dxa"/>
            <w:tcBorders>
              <w:top w:val="single" w:color="000000" w:sz="4" w:space="0"/>
              <w:left w:val="single" w:color="000000" w:sz="4" w:space="0"/>
              <w:bottom w:val="single" w:color="000000" w:sz="4" w:space="0"/>
              <w:right w:val="nil"/>
            </w:tcBorders>
          </w:tcPr>
          <w:p w:rsidRPr="00F31A99" w:rsidR="00F31A99" w:rsidP="00F31A99" w:rsidRDefault="00F31A99" w14:paraId="5A1A9720" w14:textId="77777777">
            <w:pPr>
              <w:autoSpaceDN w:val="0"/>
              <w:spacing w:line="259" w:lineRule="auto"/>
              <w:ind w:left="70"/>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Descripción </w:t>
            </w:r>
          </w:p>
        </w:tc>
        <w:tc>
          <w:tcPr>
            <w:tcW w:w="3329" w:type="dxa"/>
            <w:tcBorders>
              <w:top w:val="single" w:color="000000" w:sz="4" w:space="0"/>
              <w:left w:val="nil"/>
              <w:bottom w:val="single" w:color="000000" w:sz="4" w:space="0"/>
              <w:right w:val="single" w:color="000000" w:sz="4" w:space="0"/>
            </w:tcBorders>
          </w:tcPr>
          <w:p w:rsidRPr="00F31A99" w:rsidR="00F31A99" w:rsidP="00F31A99" w:rsidRDefault="00F31A99" w14:paraId="49248629" w14:textId="77777777">
            <w:pPr>
              <w:autoSpaceDN w:val="0"/>
              <w:spacing w:line="259" w:lineRule="auto"/>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Monto </w:t>
            </w:r>
          </w:p>
        </w:tc>
      </w:tr>
      <w:tr w:rsidRPr="00F31A99" w:rsidR="00AE1B2B" w:rsidTr="00A306B2" w14:paraId="70F100E4" w14:textId="77777777">
        <w:trPr>
          <w:trHeight w:val="360"/>
        </w:trPr>
        <w:tc>
          <w:tcPr>
            <w:tcW w:w="5212" w:type="dxa"/>
            <w:tcBorders>
              <w:top w:val="nil"/>
              <w:left w:val="single" w:color="000000" w:sz="4" w:space="0"/>
              <w:bottom w:val="nil"/>
              <w:right w:val="nil"/>
            </w:tcBorders>
          </w:tcPr>
          <w:p w:rsidRPr="00F31A99" w:rsidR="00F31A99" w:rsidP="00F31A99" w:rsidRDefault="00F31A99" w14:paraId="1F05B500" w14:textId="77777777">
            <w:pPr>
              <w:autoSpaceDN w:val="0"/>
              <w:spacing w:line="259" w:lineRule="auto"/>
              <w:ind w:left="70"/>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Subpartida 10406 Servicio de Limpieza </w:t>
            </w:r>
          </w:p>
        </w:tc>
        <w:tc>
          <w:tcPr>
            <w:tcW w:w="3329" w:type="dxa"/>
            <w:tcBorders>
              <w:top w:val="nil"/>
              <w:left w:val="nil"/>
              <w:bottom w:val="nil"/>
              <w:right w:val="single" w:color="000000" w:sz="4" w:space="0"/>
            </w:tcBorders>
          </w:tcPr>
          <w:p w:rsidRPr="00F31A99" w:rsidR="00F31A99" w:rsidP="00F31A99" w:rsidRDefault="00F31A99" w14:paraId="38FD8556" w14:textId="77777777">
            <w:pPr>
              <w:autoSpaceDN w:val="0"/>
              <w:spacing w:line="259" w:lineRule="auto"/>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 ₡ 58 794 045,64 </w:t>
            </w:r>
          </w:p>
        </w:tc>
      </w:tr>
      <w:tr w:rsidRPr="00F31A99" w:rsidR="00AE1B2B" w:rsidTr="00A306B2" w14:paraId="30C08611" w14:textId="77777777">
        <w:trPr>
          <w:trHeight w:val="362"/>
        </w:trPr>
        <w:tc>
          <w:tcPr>
            <w:tcW w:w="5212" w:type="dxa"/>
            <w:tcBorders>
              <w:top w:val="nil"/>
              <w:left w:val="single" w:color="000000" w:sz="4" w:space="0"/>
              <w:bottom w:val="single" w:color="000000" w:sz="4" w:space="0"/>
              <w:right w:val="nil"/>
            </w:tcBorders>
          </w:tcPr>
          <w:p w:rsidRPr="00F31A99" w:rsidR="00F31A99" w:rsidP="00F31A99" w:rsidRDefault="00F31A99" w14:paraId="68BC240F" w14:textId="77777777">
            <w:pPr>
              <w:autoSpaceDN w:val="0"/>
              <w:spacing w:line="259" w:lineRule="auto"/>
              <w:ind w:left="70"/>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Subpartida 10406 Servicio de Vigilancia </w:t>
            </w:r>
          </w:p>
        </w:tc>
        <w:tc>
          <w:tcPr>
            <w:tcW w:w="3329" w:type="dxa"/>
            <w:tcBorders>
              <w:top w:val="nil"/>
              <w:left w:val="nil"/>
              <w:bottom w:val="single" w:color="000000" w:sz="4" w:space="0"/>
              <w:right w:val="single" w:color="000000" w:sz="4" w:space="0"/>
            </w:tcBorders>
          </w:tcPr>
          <w:p w:rsidRPr="00F31A99" w:rsidR="00F31A99" w:rsidP="00F31A99" w:rsidRDefault="00F31A99" w14:paraId="14C04FC2" w14:textId="77777777">
            <w:pPr>
              <w:autoSpaceDN w:val="0"/>
              <w:spacing w:line="259" w:lineRule="auto"/>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 ₡ 21 040 162,08 </w:t>
            </w:r>
          </w:p>
        </w:tc>
      </w:tr>
      <w:tr w:rsidRPr="00F31A99" w:rsidR="00AE1B2B" w:rsidTr="00A306B2" w14:paraId="0AB50BDA" w14:textId="77777777">
        <w:trPr>
          <w:trHeight w:val="360"/>
        </w:trPr>
        <w:tc>
          <w:tcPr>
            <w:tcW w:w="5212" w:type="dxa"/>
            <w:tcBorders>
              <w:top w:val="single" w:color="000000" w:sz="4" w:space="0"/>
              <w:left w:val="single" w:color="000000" w:sz="4" w:space="0"/>
              <w:bottom w:val="single" w:color="000000" w:sz="4" w:space="0"/>
              <w:right w:val="nil"/>
            </w:tcBorders>
          </w:tcPr>
          <w:p w:rsidRPr="00F31A99" w:rsidR="00F31A99" w:rsidP="00F31A99" w:rsidRDefault="00F31A99" w14:paraId="64E403AE" w14:textId="77777777">
            <w:pPr>
              <w:autoSpaceDN w:val="0"/>
              <w:spacing w:line="259" w:lineRule="auto"/>
              <w:ind w:left="70"/>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TOTAL </w:t>
            </w:r>
          </w:p>
        </w:tc>
        <w:tc>
          <w:tcPr>
            <w:tcW w:w="3329" w:type="dxa"/>
            <w:tcBorders>
              <w:top w:val="single" w:color="000000" w:sz="4" w:space="0"/>
              <w:left w:val="nil"/>
              <w:bottom w:val="single" w:color="000000" w:sz="4" w:space="0"/>
              <w:right w:val="single" w:color="000000" w:sz="4" w:space="0"/>
            </w:tcBorders>
          </w:tcPr>
          <w:p w:rsidRPr="00F31A99" w:rsidR="00F31A99" w:rsidP="00F31A99" w:rsidRDefault="00F31A99" w14:paraId="1A6E0B52" w14:textId="77777777">
            <w:pPr>
              <w:autoSpaceDN w:val="0"/>
              <w:spacing w:line="259" w:lineRule="auto"/>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 ₡ 79 834 207,72 </w:t>
            </w:r>
          </w:p>
        </w:tc>
      </w:tr>
    </w:tbl>
    <w:p w:rsidRPr="00F31A99" w:rsidR="00F31A99" w:rsidP="00F31A99" w:rsidRDefault="00F31A99" w14:paraId="5E947379"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001EDB87"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El detalle por subpartida es el siguiente:</w:t>
      </w:r>
    </w:p>
    <w:p w:rsidRPr="00F31A99" w:rsidR="00F31A99" w:rsidP="00F31A99" w:rsidRDefault="00F31A99" w14:paraId="3AD8731B" w14:textId="77777777">
      <w:pPr>
        <w:autoSpaceDN w:val="0"/>
        <w:spacing w:after="19" w:line="259" w:lineRule="auto"/>
        <w:ind w:left="-5"/>
        <w:rPr>
          <w:rFonts w:ascii="Times New Roman" w:hAnsi="Times New Roman" w:eastAsia="Calibri" w:cs="Times New Roman"/>
          <w:b/>
          <w:sz w:val="24"/>
          <w:highlight w:val="lightGray"/>
          <w:u w:color="000000"/>
        </w:rPr>
      </w:pPr>
    </w:p>
    <w:p w:rsidRPr="00F31A99" w:rsidR="00F31A99" w:rsidP="00F31A99" w:rsidRDefault="00F31A99" w14:paraId="1CC49AF8" w14:textId="77777777">
      <w:pPr>
        <w:autoSpaceDN w:val="0"/>
        <w:spacing w:after="19" w:line="259" w:lineRule="auto"/>
        <w:ind w:left="-5"/>
        <w:rPr>
          <w:rFonts w:ascii="Times New Roman" w:hAnsi="Times New Roman" w:eastAsia="Calibri" w:cs="Times New Roman"/>
          <w:sz w:val="26"/>
          <w:szCs w:val="26"/>
          <w:highlight w:val="lightGray"/>
          <w:u w:color="000000"/>
        </w:rPr>
      </w:pPr>
      <w:r w:rsidRPr="00F31A99">
        <w:rPr>
          <w:rFonts w:ascii="Times New Roman" w:hAnsi="Times New Roman" w:eastAsia="Calibri" w:cs="Times New Roman"/>
          <w:b/>
          <w:sz w:val="26"/>
          <w:szCs w:val="26"/>
          <w:highlight w:val="lightGray"/>
          <w:u w:color="000000"/>
        </w:rPr>
        <w:t xml:space="preserve">1.04.06 Limpieza </w:t>
      </w:r>
    </w:p>
    <w:p w:rsidRPr="00F31A99" w:rsidR="00F31A99" w:rsidP="00F31A99" w:rsidRDefault="00F31A99" w14:paraId="3D79DAE2" w14:textId="77777777">
      <w:pPr>
        <w:autoSpaceDN w:val="0"/>
        <w:spacing w:line="259" w:lineRule="auto"/>
        <w:rPr>
          <w:rFonts w:ascii="Times New Roman" w:hAnsi="Times New Roman" w:eastAsia="Calibri" w:cs="Times New Roman"/>
          <w:highlight w:val="lightGray"/>
          <w:u w:color="000000"/>
        </w:rPr>
      </w:pPr>
      <w:r w:rsidRPr="00F31A99">
        <w:rPr>
          <w:rFonts w:ascii="Times New Roman" w:hAnsi="Times New Roman" w:eastAsia="Calibri" w:cs="Times New Roman"/>
          <w:b/>
          <w:sz w:val="24"/>
          <w:highlight w:val="lightGray"/>
          <w:u w:color="000000"/>
        </w:rPr>
        <w:t xml:space="preserve"> </w:t>
      </w:r>
    </w:p>
    <w:tbl>
      <w:tblPr>
        <w:tblStyle w:val="TableGrid1"/>
        <w:tblW w:w="9373" w:type="dxa"/>
        <w:tblInd w:w="-268" w:type="dxa"/>
        <w:tblCellMar>
          <w:top w:w="12" w:type="dxa"/>
          <w:left w:w="68" w:type="dxa"/>
          <w:right w:w="2" w:type="dxa"/>
        </w:tblCellMar>
        <w:tblLook w:val="04A0" w:firstRow="1" w:lastRow="0" w:firstColumn="1" w:lastColumn="0" w:noHBand="0" w:noVBand="1"/>
      </w:tblPr>
      <w:tblGrid>
        <w:gridCol w:w="1197"/>
        <w:gridCol w:w="2222"/>
        <w:gridCol w:w="1200"/>
        <w:gridCol w:w="1919"/>
        <w:gridCol w:w="2835"/>
      </w:tblGrid>
      <w:tr w:rsidRPr="00F31A99" w:rsidR="00AE1B2B" w:rsidTr="00A306B2" w14:paraId="15570ACB" w14:textId="77777777">
        <w:trPr>
          <w:trHeight w:val="960"/>
        </w:trPr>
        <w:tc>
          <w:tcPr>
            <w:tcW w:w="1198" w:type="dxa"/>
            <w:tcBorders>
              <w:top w:val="single" w:color="000000" w:sz="4" w:space="0"/>
              <w:left w:val="single" w:color="000000" w:sz="4" w:space="0"/>
              <w:bottom w:val="single" w:color="000000" w:sz="4" w:space="0"/>
              <w:right w:val="single" w:color="000000" w:sz="4" w:space="0"/>
            </w:tcBorders>
            <w:shd w:val="clear" w:color="auto" w:fill="B4C6E7"/>
          </w:tcPr>
          <w:p w:rsidRPr="00F31A99" w:rsidR="00F31A99" w:rsidP="00F31A99" w:rsidRDefault="00F31A99" w14:paraId="06CEF230" w14:textId="77777777">
            <w:pPr>
              <w:autoSpaceDN w:val="0"/>
              <w:spacing w:line="259" w:lineRule="auto"/>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Código de Oficina </w:t>
            </w:r>
          </w:p>
        </w:tc>
        <w:tc>
          <w:tcPr>
            <w:tcW w:w="2222" w:type="dxa"/>
            <w:tcBorders>
              <w:top w:val="single" w:color="000000" w:sz="4" w:space="0"/>
              <w:left w:val="single" w:color="000000" w:sz="4" w:space="0"/>
              <w:bottom w:val="single" w:color="000000" w:sz="4" w:space="0"/>
              <w:right w:val="single" w:color="000000" w:sz="4" w:space="0"/>
            </w:tcBorders>
            <w:shd w:val="clear" w:color="auto" w:fill="B4C6E7"/>
            <w:vAlign w:val="center"/>
          </w:tcPr>
          <w:p w:rsidRPr="00F31A99" w:rsidR="00F31A99" w:rsidP="00F31A99" w:rsidRDefault="00F31A99" w14:paraId="4C2DC5FF" w14:textId="77777777">
            <w:pPr>
              <w:tabs>
                <w:tab w:val="right" w:pos="2152"/>
              </w:tabs>
              <w:autoSpaceDN w:val="0"/>
              <w:spacing w:after="27" w:line="259" w:lineRule="auto"/>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Nombre </w:t>
            </w:r>
            <w:r w:rsidRPr="00F31A99">
              <w:rPr>
                <w:rFonts w:ascii="Times New Roman" w:hAnsi="Times New Roman" w:cs="Times New Roman"/>
                <w:b/>
                <w:highlight w:val="lightGray"/>
                <w:u w:color="000000"/>
              </w:rPr>
              <w:tab/>
            </w:r>
            <w:r w:rsidRPr="00F31A99">
              <w:rPr>
                <w:rFonts w:ascii="Times New Roman" w:hAnsi="Times New Roman" w:cs="Times New Roman"/>
                <w:b/>
                <w:highlight w:val="lightGray"/>
                <w:u w:color="000000"/>
              </w:rPr>
              <w:t xml:space="preserve">de </w:t>
            </w:r>
          </w:p>
          <w:p w:rsidRPr="00F31A99" w:rsidR="00F31A99" w:rsidP="00F31A99" w:rsidRDefault="00F31A99" w14:paraId="1311A813" w14:textId="77777777">
            <w:pPr>
              <w:autoSpaceDN w:val="0"/>
              <w:spacing w:line="259" w:lineRule="auto"/>
              <w:ind w:left="2"/>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Oficina </w:t>
            </w:r>
          </w:p>
        </w:tc>
        <w:tc>
          <w:tcPr>
            <w:tcW w:w="1200" w:type="dxa"/>
            <w:tcBorders>
              <w:top w:val="single" w:color="000000" w:sz="4" w:space="0"/>
              <w:left w:val="single" w:color="000000" w:sz="4" w:space="0"/>
              <w:bottom w:val="single" w:color="000000" w:sz="4" w:space="0"/>
              <w:right w:val="single" w:color="000000" w:sz="4" w:space="0"/>
            </w:tcBorders>
            <w:shd w:val="clear" w:color="auto" w:fill="B4C6E7"/>
            <w:vAlign w:val="center"/>
          </w:tcPr>
          <w:p w:rsidRPr="00F31A99" w:rsidR="00F31A99" w:rsidP="00F31A99" w:rsidRDefault="00F31A99" w14:paraId="27698B9D" w14:textId="77777777">
            <w:pPr>
              <w:autoSpaceDN w:val="0"/>
              <w:spacing w:line="259" w:lineRule="auto"/>
              <w:ind w:left="4"/>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Código Artículo </w:t>
            </w:r>
          </w:p>
        </w:tc>
        <w:tc>
          <w:tcPr>
            <w:tcW w:w="1919" w:type="dxa"/>
            <w:tcBorders>
              <w:top w:val="single" w:color="000000" w:sz="4" w:space="0"/>
              <w:left w:val="single" w:color="000000" w:sz="4" w:space="0"/>
              <w:bottom w:val="single" w:color="000000" w:sz="4" w:space="0"/>
              <w:right w:val="single" w:color="000000" w:sz="4" w:space="0"/>
            </w:tcBorders>
            <w:shd w:val="clear" w:color="auto" w:fill="B4C6E7"/>
            <w:vAlign w:val="center"/>
          </w:tcPr>
          <w:p w:rsidRPr="00F31A99" w:rsidR="00F31A99" w:rsidP="00F31A99" w:rsidRDefault="00F31A99" w14:paraId="171DCE0B" w14:textId="77777777">
            <w:pPr>
              <w:autoSpaceDN w:val="0"/>
              <w:spacing w:line="259" w:lineRule="auto"/>
              <w:ind w:left="4"/>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Revisión de la DE </w:t>
            </w:r>
          </w:p>
        </w:tc>
        <w:tc>
          <w:tcPr>
            <w:tcW w:w="2835" w:type="dxa"/>
            <w:tcBorders>
              <w:top w:val="single" w:color="000000" w:sz="4" w:space="0"/>
              <w:left w:val="single" w:color="000000" w:sz="4" w:space="0"/>
              <w:bottom w:val="single" w:color="000000" w:sz="4" w:space="0"/>
              <w:right w:val="single" w:color="000000" w:sz="4" w:space="0"/>
            </w:tcBorders>
            <w:shd w:val="clear" w:color="auto" w:fill="B4C6E7"/>
            <w:vAlign w:val="center"/>
          </w:tcPr>
          <w:p w:rsidRPr="00F31A99" w:rsidR="00F31A99" w:rsidP="00F31A99" w:rsidRDefault="00F31A99" w14:paraId="6D7644D3" w14:textId="77777777">
            <w:pPr>
              <w:autoSpaceDN w:val="0"/>
              <w:spacing w:after="19" w:line="259" w:lineRule="auto"/>
              <w:ind w:left="2"/>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Observaciones </w:t>
            </w:r>
          </w:p>
          <w:p w:rsidRPr="00F31A99" w:rsidR="00F31A99" w:rsidP="00F31A99" w:rsidRDefault="00F31A99" w14:paraId="6D3B41C5" w14:textId="77777777">
            <w:pPr>
              <w:autoSpaceDN w:val="0"/>
              <w:spacing w:line="259" w:lineRule="auto"/>
              <w:ind w:left="2"/>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Dirección Ejecutiva </w:t>
            </w:r>
          </w:p>
        </w:tc>
      </w:tr>
      <w:tr w:rsidRPr="00F31A99" w:rsidR="00AE1B2B" w:rsidTr="00A306B2" w14:paraId="14CD6B55" w14:textId="77777777">
        <w:trPr>
          <w:trHeight w:val="1598"/>
        </w:trPr>
        <w:tc>
          <w:tcPr>
            <w:tcW w:w="1198"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4745DAB3" w14:textId="77777777">
            <w:pPr>
              <w:autoSpaceDN w:val="0"/>
              <w:spacing w:line="259" w:lineRule="auto"/>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527 </w:t>
            </w:r>
          </w:p>
        </w:tc>
        <w:tc>
          <w:tcPr>
            <w:tcW w:w="2222"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5DE3CD68" w14:textId="77777777">
            <w:pPr>
              <w:autoSpaceDN w:val="0"/>
              <w:spacing w:line="259" w:lineRule="auto"/>
              <w:ind w:left="2"/>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Juzgado Penal de Pavas </w:t>
            </w:r>
          </w:p>
        </w:tc>
        <w:tc>
          <w:tcPr>
            <w:tcW w:w="1200"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074BFA75" w14:textId="77777777">
            <w:pPr>
              <w:autoSpaceDN w:val="0"/>
              <w:spacing w:line="259" w:lineRule="auto"/>
              <w:ind w:left="4"/>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5262 </w:t>
            </w:r>
          </w:p>
        </w:tc>
        <w:tc>
          <w:tcPr>
            <w:tcW w:w="1919"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08D40EA8" w14:textId="77777777">
            <w:pPr>
              <w:autoSpaceDN w:val="0"/>
              <w:spacing w:line="259" w:lineRule="auto"/>
              <w:ind w:left="4"/>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1 583 667 </w:t>
            </w:r>
          </w:p>
        </w:tc>
        <w:tc>
          <w:tcPr>
            <w:tcW w:w="2835" w:type="dxa"/>
            <w:tcBorders>
              <w:top w:val="single" w:color="000000" w:sz="4" w:space="0"/>
              <w:left w:val="single" w:color="000000" w:sz="4" w:space="0"/>
              <w:bottom w:val="single" w:color="000000" w:sz="4" w:space="0"/>
              <w:right w:val="single" w:color="000000" w:sz="4" w:space="0"/>
            </w:tcBorders>
          </w:tcPr>
          <w:p w:rsidRPr="00F31A99" w:rsidR="00F31A99" w:rsidP="00F31A99" w:rsidRDefault="00F31A99" w14:paraId="4A4306B1" w14:textId="77777777">
            <w:pPr>
              <w:autoSpaceDN w:val="0"/>
              <w:spacing w:after="3" w:line="276" w:lineRule="auto"/>
              <w:ind w:left="2" w:right="68"/>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Aprobar media audiencia todos los días. Se adiciona solamente martes y jueves de 7:30 a </w:t>
            </w:r>
          </w:p>
          <w:p w:rsidRPr="00F31A99" w:rsidR="00F31A99" w:rsidP="00F31A99" w:rsidRDefault="00F31A99" w14:paraId="08648EF8" w14:textId="77777777">
            <w:pPr>
              <w:autoSpaceDN w:val="0"/>
              <w:spacing w:line="259" w:lineRule="auto"/>
              <w:ind w:left="2"/>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12:00 md </w:t>
            </w:r>
          </w:p>
        </w:tc>
      </w:tr>
      <w:tr w:rsidRPr="00F31A99" w:rsidR="00AE1B2B" w:rsidTr="00A306B2" w14:paraId="0D185525" w14:textId="77777777">
        <w:trPr>
          <w:trHeight w:val="8898"/>
        </w:trPr>
        <w:tc>
          <w:tcPr>
            <w:tcW w:w="1198"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279B47F0" w14:textId="77777777">
            <w:pPr>
              <w:autoSpaceDN w:val="0"/>
              <w:spacing w:line="259" w:lineRule="auto"/>
              <w:rPr>
                <w:rFonts w:ascii="Times New Roman" w:hAnsi="Times New Roman" w:cs="Times New Roman"/>
                <w:highlight w:val="lightGray"/>
                <w:u w:color="000000"/>
              </w:rPr>
            </w:pPr>
            <w:r w:rsidRPr="00F31A99">
              <w:rPr>
                <w:rFonts w:ascii="Times New Roman" w:hAnsi="Times New Roman" w:cs="Times New Roman"/>
                <w:highlight w:val="lightGray"/>
                <w:u w:color="000000"/>
              </w:rPr>
              <w:lastRenderedPageBreak/>
              <w:t xml:space="preserve">520 </w:t>
            </w:r>
          </w:p>
        </w:tc>
        <w:tc>
          <w:tcPr>
            <w:tcW w:w="2222"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0B23948A" w14:textId="77777777">
            <w:pPr>
              <w:autoSpaceDN w:val="0"/>
              <w:spacing w:line="276" w:lineRule="auto"/>
              <w:ind w:left="2"/>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Administración I Circuito Judicial </w:t>
            </w:r>
          </w:p>
          <w:p w:rsidRPr="00F31A99" w:rsidR="00F31A99" w:rsidP="00F31A99" w:rsidRDefault="00F31A99" w14:paraId="6F061725" w14:textId="77777777">
            <w:pPr>
              <w:autoSpaceDN w:val="0"/>
              <w:spacing w:after="21" w:line="259" w:lineRule="auto"/>
              <w:ind w:left="2"/>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San José (Anexo </w:t>
            </w:r>
          </w:p>
          <w:p w:rsidRPr="00F31A99" w:rsidR="00F31A99" w:rsidP="00F31A99" w:rsidRDefault="00F31A99" w14:paraId="57B2DC4D" w14:textId="77777777">
            <w:pPr>
              <w:autoSpaceDN w:val="0"/>
              <w:spacing w:line="259" w:lineRule="auto"/>
              <w:ind w:left="2"/>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E) </w:t>
            </w:r>
          </w:p>
        </w:tc>
        <w:tc>
          <w:tcPr>
            <w:tcW w:w="1200"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03BA6B8A" w14:textId="77777777">
            <w:pPr>
              <w:autoSpaceDN w:val="0"/>
              <w:spacing w:line="259" w:lineRule="auto"/>
              <w:ind w:left="4"/>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5262 </w:t>
            </w:r>
          </w:p>
        </w:tc>
        <w:tc>
          <w:tcPr>
            <w:tcW w:w="1919"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21BC4063" w14:textId="77777777">
            <w:pPr>
              <w:autoSpaceDN w:val="0"/>
              <w:spacing w:line="276" w:lineRule="auto"/>
              <w:ind w:left="4" w:right="66"/>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Ver propuesta de solución en oficio de la </w:t>
            </w:r>
          </w:p>
          <w:p w:rsidRPr="00F31A99" w:rsidR="00F31A99" w:rsidP="00F31A99" w:rsidRDefault="00F31A99" w14:paraId="4DFED2BB" w14:textId="77777777">
            <w:pPr>
              <w:autoSpaceDN w:val="0"/>
              <w:spacing w:line="259" w:lineRule="auto"/>
              <w:ind w:left="4" w:right="66"/>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Administración Regional del I CJ de San José. </w:t>
            </w:r>
          </w:p>
        </w:tc>
        <w:tc>
          <w:tcPr>
            <w:tcW w:w="2835" w:type="dxa"/>
            <w:tcBorders>
              <w:top w:val="single" w:color="000000" w:sz="4" w:space="0"/>
              <w:left w:val="single" w:color="000000" w:sz="4" w:space="0"/>
              <w:bottom w:val="single" w:color="000000" w:sz="4" w:space="0"/>
              <w:right w:val="single" w:color="000000" w:sz="4" w:space="0"/>
            </w:tcBorders>
          </w:tcPr>
          <w:p w:rsidRPr="00F31A99" w:rsidR="00F31A99" w:rsidP="00F31A99" w:rsidRDefault="00F31A99" w14:paraId="43E735B0" w14:textId="77777777">
            <w:pPr>
              <w:autoSpaceDN w:val="0"/>
              <w:spacing w:after="2" w:line="276" w:lineRule="auto"/>
              <w:ind w:left="2"/>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Según oficio 131-OAT2021 del 24 de febrero de </w:t>
            </w:r>
          </w:p>
          <w:p w:rsidRPr="00F31A99" w:rsidR="00F31A99" w:rsidP="00F31A99" w:rsidRDefault="00F31A99" w14:paraId="18036E0B" w14:textId="77777777">
            <w:pPr>
              <w:tabs>
                <w:tab w:val="right" w:pos="2765"/>
              </w:tabs>
              <w:autoSpaceDN w:val="0"/>
              <w:spacing w:after="27" w:line="259" w:lineRule="auto"/>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2021: </w:t>
            </w:r>
            <w:r w:rsidRPr="00F31A99">
              <w:rPr>
                <w:rFonts w:ascii="Times New Roman" w:hAnsi="Times New Roman" w:cs="Times New Roman"/>
                <w:highlight w:val="lightGray"/>
                <w:u w:color="000000"/>
              </w:rPr>
              <w:tab/>
            </w:r>
            <w:r w:rsidRPr="00F31A99">
              <w:rPr>
                <w:rFonts w:ascii="Times New Roman" w:hAnsi="Times New Roman" w:cs="Times New Roman"/>
                <w:highlight w:val="lightGray"/>
                <w:u w:color="000000"/>
              </w:rPr>
              <w:t xml:space="preserve">"esta </w:t>
            </w:r>
          </w:p>
          <w:p w:rsidRPr="00F31A99" w:rsidR="00F31A99" w:rsidP="00F31A99" w:rsidRDefault="00F31A99" w14:paraId="56A14BF3" w14:textId="77777777">
            <w:pPr>
              <w:autoSpaceDN w:val="0"/>
              <w:spacing w:line="276" w:lineRule="auto"/>
              <w:ind w:left="2" w:right="68"/>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Administración estima oportuno que se apruebe el trámite de contratación de los dos puestos de limpieza </w:t>
            </w:r>
          </w:p>
          <w:p w:rsidRPr="00F31A99" w:rsidR="00F31A99" w:rsidP="00F31A99" w:rsidRDefault="00F31A99" w14:paraId="04EB8CB6" w14:textId="77777777">
            <w:pPr>
              <w:autoSpaceDN w:val="0"/>
              <w:spacing w:after="3" w:line="276" w:lineRule="auto"/>
              <w:ind w:left="2"/>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adicionales, considerados </w:t>
            </w:r>
          </w:p>
          <w:p w:rsidRPr="00F31A99" w:rsidR="00F31A99" w:rsidP="00F31A99" w:rsidRDefault="00F31A99" w14:paraId="5B81D704" w14:textId="77777777">
            <w:pPr>
              <w:autoSpaceDN w:val="0"/>
              <w:spacing w:after="1" w:line="276" w:lineRule="auto"/>
              <w:ind w:left="2" w:right="65"/>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imprescindibles para la buena marcha del inmueble y servicio ofrecido, tanto para la persona usuaria externa como interna. Para los efectos de interés, se aclara que los recursos se encuentran debidamente aprobados dentro del presupuesto del periodo vigente; además, </w:t>
            </w:r>
            <w:r w:rsidRPr="00F31A99">
              <w:rPr>
                <w:rFonts w:ascii="Times New Roman" w:hAnsi="Times New Roman" w:cs="Times New Roman"/>
                <w:highlight w:val="lightGray"/>
                <w:u w:color="000000"/>
              </w:rPr>
              <w:tab/>
            </w:r>
            <w:r w:rsidRPr="00F31A99">
              <w:rPr>
                <w:rFonts w:ascii="Times New Roman" w:hAnsi="Times New Roman" w:cs="Times New Roman"/>
                <w:highlight w:val="lightGray"/>
                <w:u w:color="000000"/>
              </w:rPr>
              <w:t xml:space="preserve">se adjunta el criterio técnico vertido por la Sección de Limpieza y Jardinería e informe del Arq. Héctor </w:t>
            </w:r>
          </w:p>
          <w:p w:rsidRPr="00F31A99" w:rsidR="00F31A99" w:rsidP="00F31A99" w:rsidRDefault="00F31A99" w14:paraId="1F229770" w14:textId="77777777">
            <w:pPr>
              <w:autoSpaceDN w:val="0"/>
              <w:spacing w:line="259" w:lineRule="auto"/>
              <w:ind w:left="2"/>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Maroto, </w:t>
            </w:r>
          </w:p>
        </w:tc>
      </w:tr>
    </w:tbl>
    <w:p w:rsidRPr="00F31A99" w:rsidR="00F31A99" w:rsidP="00F31A99" w:rsidRDefault="00F31A99" w14:paraId="79871B6B" w14:textId="77777777">
      <w:pPr>
        <w:autoSpaceDN w:val="0"/>
        <w:rPr>
          <w:rFonts w:ascii="Times New Roman" w:hAnsi="Times New Roman" w:eastAsia="Calibri" w:cs="Times New Roman"/>
          <w:highlight w:val="lightGray"/>
          <w:u w:color="000000"/>
        </w:rPr>
        <w:sectPr w:rsidRPr="00F31A99" w:rsidR="00F31A99">
          <w:headerReference w:type="even" r:id="rId76"/>
          <w:headerReference w:type="default" r:id="rId77"/>
          <w:headerReference w:type="first" r:id="rId78"/>
          <w:pgSz w:w="12240" w:h="15840"/>
          <w:pgMar w:top="2362" w:right="1697" w:bottom="1421" w:left="1702" w:header="708" w:footer="720" w:gutter="0"/>
          <w:cols w:space="720"/>
        </w:sectPr>
      </w:pPr>
    </w:p>
    <w:p w:rsidRPr="00F31A99" w:rsidR="00F31A99" w:rsidP="00F31A99" w:rsidRDefault="00F31A99" w14:paraId="4F33D3CD" w14:textId="77777777">
      <w:pPr>
        <w:autoSpaceDN w:val="0"/>
        <w:spacing w:line="259" w:lineRule="auto"/>
        <w:ind w:left="-1702" w:right="10545"/>
        <w:rPr>
          <w:rFonts w:ascii="Times New Roman" w:hAnsi="Times New Roman" w:eastAsia="Calibri" w:cs="Times New Roman"/>
          <w:highlight w:val="lightGray"/>
          <w:u w:color="000000"/>
        </w:rPr>
      </w:pPr>
    </w:p>
    <w:tbl>
      <w:tblPr>
        <w:tblStyle w:val="TableGrid1"/>
        <w:tblW w:w="9376" w:type="dxa"/>
        <w:tblInd w:w="-269" w:type="dxa"/>
        <w:tblCellMar>
          <w:top w:w="13" w:type="dxa"/>
          <w:bottom w:w="46" w:type="dxa"/>
          <w:right w:w="3" w:type="dxa"/>
        </w:tblCellMar>
        <w:tblLook w:val="04A0" w:firstRow="1" w:lastRow="0" w:firstColumn="1" w:lastColumn="0" w:noHBand="0" w:noVBand="1"/>
      </w:tblPr>
      <w:tblGrid>
        <w:gridCol w:w="1200"/>
        <w:gridCol w:w="2223"/>
        <w:gridCol w:w="1200"/>
        <w:gridCol w:w="1918"/>
        <w:gridCol w:w="2835"/>
      </w:tblGrid>
      <w:tr w:rsidRPr="00F31A99" w:rsidR="00AE1B2B" w:rsidTr="00A306B2" w14:paraId="167F4F1D" w14:textId="77777777">
        <w:trPr>
          <w:trHeight w:val="4370"/>
        </w:trPr>
        <w:tc>
          <w:tcPr>
            <w:tcW w:w="1200" w:type="dxa"/>
            <w:tcBorders>
              <w:top w:val="nil"/>
              <w:left w:val="single" w:color="000000" w:sz="4" w:space="0"/>
              <w:bottom w:val="single" w:color="000000" w:sz="4" w:space="0"/>
              <w:right w:val="single" w:color="000000" w:sz="4" w:space="0"/>
            </w:tcBorders>
          </w:tcPr>
          <w:p w:rsidRPr="00F31A99" w:rsidR="00F31A99" w:rsidP="00F31A99" w:rsidRDefault="00F31A99" w14:paraId="12514A19" w14:textId="77777777">
            <w:pPr>
              <w:autoSpaceDN w:val="0"/>
              <w:spacing w:after="160" w:line="259" w:lineRule="auto"/>
              <w:rPr>
                <w:rFonts w:ascii="Times New Roman" w:hAnsi="Times New Roman" w:cs="Times New Roman"/>
                <w:sz w:val="20"/>
                <w:szCs w:val="18"/>
                <w:highlight w:val="lightGray"/>
                <w:u w:color="000000"/>
              </w:rPr>
            </w:pPr>
          </w:p>
        </w:tc>
        <w:tc>
          <w:tcPr>
            <w:tcW w:w="2223" w:type="dxa"/>
            <w:tcBorders>
              <w:top w:val="single" w:color="000000" w:sz="5" w:space="0"/>
              <w:left w:val="single" w:color="000000" w:sz="4" w:space="0"/>
              <w:bottom w:val="single" w:color="000000" w:sz="4" w:space="0"/>
              <w:right w:val="single" w:color="000000" w:sz="4" w:space="0"/>
            </w:tcBorders>
          </w:tcPr>
          <w:p w:rsidRPr="00F31A99" w:rsidR="00F31A99" w:rsidP="00F31A99" w:rsidRDefault="00F31A99" w14:paraId="539466C4" w14:textId="77777777">
            <w:pPr>
              <w:autoSpaceDN w:val="0"/>
              <w:spacing w:after="160" w:line="259" w:lineRule="auto"/>
              <w:rPr>
                <w:rFonts w:ascii="Times New Roman" w:hAnsi="Times New Roman" w:cs="Times New Roman"/>
                <w:sz w:val="20"/>
                <w:szCs w:val="18"/>
                <w:highlight w:val="lightGray"/>
                <w:u w:color="000000"/>
              </w:rPr>
            </w:pPr>
          </w:p>
        </w:tc>
        <w:tc>
          <w:tcPr>
            <w:tcW w:w="1200" w:type="dxa"/>
            <w:tcBorders>
              <w:top w:val="single" w:color="0000FF" w:sz="5" w:space="0"/>
              <w:left w:val="single" w:color="000000" w:sz="4" w:space="0"/>
              <w:bottom w:val="single" w:color="000000" w:sz="4" w:space="0"/>
              <w:right w:val="single" w:color="000000" w:sz="4" w:space="0"/>
            </w:tcBorders>
          </w:tcPr>
          <w:p w:rsidRPr="00F31A99" w:rsidR="00F31A99" w:rsidP="00F31A99" w:rsidRDefault="00F31A99" w14:paraId="7F374431" w14:textId="77777777">
            <w:pPr>
              <w:autoSpaceDN w:val="0"/>
              <w:spacing w:after="160" w:line="259" w:lineRule="auto"/>
              <w:rPr>
                <w:rFonts w:ascii="Times New Roman" w:hAnsi="Times New Roman" w:cs="Times New Roman"/>
                <w:sz w:val="20"/>
                <w:szCs w:val="18"/>
                <w:highlight w:val="lightGray"/>
                <w:u w:color="000000"/>
              </w:rPr>
            </w:pPr>
          </w:p>
        </w:tc>
        <w:tc>
          <w:tcPr>
            <w:tcW w:w="1918" w:type="dxa"/>
            <w:tcBorders>
              <w:top w:val="single" w:color="000000" w:sz="5" w:space="0"/>
              <w:left w:val="single" w:color="000000" w:sz="4" w:space="0"/>
              <w:bottom w:val="single" w:color="000000" w:sz="4" w:space="0"/>
              <w:right w:val="single" w:color="000000" w:sz="4" w:space="0"/>
            </w:tcBorders>
          </w:tcPr>
          <w:p w:rsidRPr="00F31A99" w:rsidR="00F31A99" w:rsidP="00F31A99" w:rsidRDefault="00F31A99" w14:paraId="06400796" w14:textId="77777777">
            <w:pPr>
              <w:autoSpaceDN w:val="0"/>
              <w:spacing w:after="160" w:line="259" w:lineRule="auto"/>
              <w:rPr>
                <w:rFonts w:ascii="Times New Roman" w:hAnsi="Times New Roman" w:cs="Times New Roman"/>
                <w:sz w:val="20"/>
                <w:szCs w:val="18"/>
                <w:highlight w:val="lightGray"/>
                <w:u w:color="000000"/>
              </w:rPr>
            </w:pPr>
          </w:p>
        </w:tc>
        <w:tc>
          <w:tcPr>
            <w:tcW w:w="2835" w:type="dxa"/>
            <w:tcBorders>
              <w:top w:val="nil"/>
              <w:left w:val="single" w:color="000000" w:sz="4" w:space="0"/>
              <w:bottom w:val="single" w:color="000000" w:sz="4" w:space="0"/>
              <w:right w:val="single" w:color="000000" w:sz="4" w:space="0"/>
            </w:tcBorders>
          </w:tcPr>
          <w:p w:rsidRPr="00F31A99" w:rsidR="00F31A99" w:rsidP="00F31A99" w:rsidRDefault="00F31A99" w14:paraId="616FBBAA" w14:textId="77777777">
            <w:pPr>
              <w:autoSpaceDN w:val="0"/>
              <w:spacing w:line="259" w:lineRule="auto"/>
              <w:ind w:left="70" w:right="67"/>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donde describe la cantidad de servicios sanitarios y la medida que tendrá cada piso que compone el inmueble." </w:t>
            </w:r>
          </w:p>
        </w:tc>
      </w:tr>
      <w:tr w:rsidRPr="00F31A99" w:rsidR="00AE1B2B" w:rsidTr="00A306B2" w14:paraId="69510E43" w14:textId="77777777">
        <w:trPr>
          <w:trHeight w:val="2232"/>
        </w:trPr>
        <w:tc>
          <w:tcPr>
            <w:tcW w:w="1200"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2D0AC3A8" w14:textId="77777777">
            <w:pPr>
              <w:autoSpaceDN w:val="0"/>
              <w:spacing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723 </w:t>
            </w:r>
          </w:p>
        </w:tc>
        <w:tc>
          <w:tcPr>
            <w:tcW w:w="2223" w:type="dxa"/>
            <w:tcBorders>
              <w:top w:val="single" w:color="000000" w:sz="4" w:space="0"/>
              <w:left w:val="single" w:color="000000" w:sz="4" w:space="0"/>
              <w:bottom w:val="single" w:color="000000" w:sz="4" w:space="0"/>
              <w:right w:val="single" w:color="000000" w:sz="4" w:space="0"/>
            </w:tcBorders>
          </w:tcPr>
          <w:p w:rsidRPr="00F31A99" w:rsidR="00F31A99" w:rsidP="00F31A99" w:rsidRDefault="00F31A99" w14:paraId="1100DFBF" w14:textId="77777777">
            <w:pPr>
              <w:tabs>
                <w:tab w:val="center" w:pos="524"/>
                <w:tab w:val="center" w:pos="2018"/>
              </w:tabs>
              <w:autoSpaceDN w:val="0"/>
              <w:spacing w:after="27" w:line="259" w:lineRule="auto"/>
              <w:rPr>
                <w:rFonts w:ascii="Times New Roman" w:hAnsi="Times New Roman" w:cs="Times New Roman"/>
                <w:sz w:val="20"/>
                <w:szCs w:val="18"/>
                <w:highlight w:val="lightGray"/>
                <w:u w:color="000000"/>
              </w:rPr>
            </w:pPr>
            <w:r w:rsidRPr="00F31A99">
              <w:rPr>
                <w:rFonts w:ascii="Times New Roman" w:hAnsi="Times New Roman" w:eastAsia="Calibri" w:cs="Times New Roman"/>
                <w:sz w:val="20"/>
                <w:szCs w:val="18"/>
                <w:highlight w:val="lightGray"/>
                <w:u w:color="000000"/>
              </w:rPr>
              <w:tab/>
            </w:r>
            <w:r w:rsidRPr="00F31A99">
              <w:rPr>
                <w:rFonts w:ascii="Times New Roman" w:hAnsi="Times New Roman" w:cs="Times New Roman"/>
                <w:sz w:val="20"/>
                <w:szCs w:val="18"/>
                <w:highlight w:val="lightGray"/>
                <w:u w:color="000000"/>
              </w:rPr>
              <w:t xml:space="preserve">Juzgado </w:t>
            </w:r>
            <w:r w:rsidRPr="00F31A99">
              <w:rPr>
                <w:rFonts w:ascii="Times New Roman" w:hAnsi="Times New Roman" w:cs="Times New Roman"/>
                <w:sz w:val="20"/>
                <w:szCs w:val="18"/>
                <w:highlight w:val="lightGray"/>
                <w:u w:color="000000"/>
              </w:rPr>
              <w:tab/>
            </w:r>
            <w:r w:rsidRPr="00F31A99">
              <w:rPr>
                <w:rFonts w:ascii="Times New Roman" w:hAnsi="Times New Roman" w:cs="Times New Roman"/>
                <w:sz w:val="20"/>
                <w:szCs w:val="18"/>
                <w:highlight w:val="lightGray"/>
                <w:u w:color="000000"/>
              </w:rPr>
              <w:t xml:space="preserve">de </w:t>
            </w:r>
          </w:p>
          <w:p w:rsidRPr="00F31A99" w:rsidR="00F31A99" w:rsidP="00F31A99" w:rsidRDefault="00F31A99" w14:paraId="69946273" w14:textId="77777777">
            <w:pPr>
              <w:autoSpaceDN w:val="0"/>
              <w:spacing w:after="21"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Violencia </w:t>
            </w:r>
          </w:p>
          <w:p w:rsidRPr="00F31A99" w:rsidR="00F31A99" w:rsidP="00F31A99" w:rsidRDefault="00F31A99" w14:paraId="7C91BB3A" w14:textId="77777777">
            <w:pPr>
              <w:autoSpaceDN w:val="0"/>
              <w:spacing w:line="276" w:lineRule="auto"/>
              <w:ind w:left="70" w:right="68"/>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doméstica del Tercer Circuito Judicial de San </w:t>
            </w:r>
          </w:p>
          <w:p w:rsidRPr="00F31A99" w:rsidR="00F31A99" w:rsidP="00F31A99" w:rsidRDefault="00F31A99" w14:paraId="7DC89E05" w14:textId="77777777">
            <w:pPr>
              <w:autoSpaceDN w:val="0"/>
              <w:spacing w:after="22"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José </w:t>
            </w:r>
          </w:p>
          <w:p w:rsidRPr="00F31A99" w:rsidR="00F31A99" w:rsidP="00F31A99" w:rsidRDefault="00F31A99" w14:paraId="1463330F" w14:textId="77777777">
            <w:pPr>
              <w:autoSpaceDN w:val="0"/>
              <w:spacing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(Desamparados) </w:t>
            </w:r>
          </w:p>
        </w:tc>
        <w:tc>
          <w:tcPr>
            <w:tcW w:w="1200"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3CAA8910" w14:textId="77777777">
            <w:pPr>
              <w:autoSpaceDN w:val="0"/>
              <w:spacing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5262 </w:t>
            </w:r>
          </w:p>
        </w:tc>
        <w:tc>
          <w:tcPr>
            <w:tcW w:w="1918"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7558F0A5" w14:textId="77777777">
            <w:pPr>
              <w:autoSpaceDN w:val="0"/>
              <w:spacing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0 </w:t>
            </w:r>
          </w:p>
        </w:tc>
        <w:tc>
          <w:tcPr>
            <w:tcW w:w="2835"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7014CEDE" w14:textId="77777777">
            <w:pPr>
              <w:autoSpaceDN w:val="0"/>
              <w:spacing w:line="259" w:lineRule="auto"/>
              <w:ind w:left="70" w:right="67"/>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Se excluye, dado que cuenta plaza de Auxiliar de Servicios Generales. </w:t>
            </w:r>
          </w:p>
        </w:tc>
      </w:tr>
      <w:tr w:rsidRPr="00F31A99" w:rsidR="00AE1B2B" w:rsidTr="00A306B2" w14:paraId="27A6970D" w14:textId="77777777">
        <w:trPr>
          <w:trHeight w:val="1279"/>
        </w:trPr>
        <w:tc>
          <w:tcPr>
            <w:tcW w:w="1200"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659D04AB" w14:textId="77777777">
            <w:pPr>
              <w:autoSpaceDN w:val="0"/>
              <w:spacing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251 </w:t>
            </w:r>
          </w:p>
        </w:tc>
        <w:tc>
          <w:tcPr>
            <w:tcW w:w="2223"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53C8F647" w14:textId="77777777">
            <w:pPr>
              <w:autoSpaceDN w:val="0"/>
              <w:spacing w:after="19"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Juzgado </w:t>
            </w:r>
          </w:p>
          <w:p w:rsidRPr="00F31A99" w:rsidR="00F31A99" w:rsidP="00F31A99" w:rsidRDefault="00F31A99" w14:paraId="5F9CD9AF" w14:textId="77777777">
            <w:pPr>
              <w:autoSpaceDN w:val="0"/>
              <w:spacing w:after="21"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Contravencional de </w:t>
            </w:r>
          </w:p>
          <w:p w:rsidRPr="00F31A99" w:rsidR="00F31A99" w:rsidP="00F31A99" w:rsidRDefault="00F31A99" w14:paraId="1F57EAE3" w14:textId="77777777">
            <w:pPr>
              <w:autoSpaceDN w:val="0"/>
              <w:spacing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Alajuelita </w:t>
            </w:r>
          </w:p>
        </w:tc>
        <w:tc>
          <w:tcPr>
            <w:tcW w:w="1200"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0ADAD7EA" w14:textId="77777777">
            <w:pPr>
              <w:autoSpaceDN w:val="0"/>
              <w:spacing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5262 </w:t>
            </w:r>
          </w:p>
        </w:tc>
        <w:tc>
          <w:tcPr>
            <w:tcW w:w="1918"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0899F07F" w14:textId="77777777">
            <w:pPr>
              <w:autoSpaceDN w:val="0"/>
              <w:spacing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2 444 928 </w:t>
            </w:r>
          </w:p>
        </w:tc>
        <w:tc>
          <w:tcPr>
            <w:tcW w:w="2835" w:type="dxa"/>
            <w:tcBorders>
              <w:top w:val="single" w:color="000000" w:sz="4" w:space="0"/>
              <w:left w:val="single" w:color="000000" w:sz="4" w:space="0"/>
              <w:bottom w:val="single" w:color="000000" w:sz="4" w:space="0"/>
              <w:right w:val="single" w:color="000000" w:sz="4" w:space="0"/>
            </w:tcBorders>
          </w:tcPr>
          <w:p w:rsidRPr="00F31A99" w:rsidR="00F31A99" w:rsidP="00F31A99" w:rsidRDefault="00F31A99" w14:paraId="14ABEC5D" w14:textId="77777777">
            <w:pPr>
              <w:autoSpaceDN w:val="0"/>
              <w:spacing w:after="2" w:line="276" w:lineRule="auto"/>
              <w:ind w:left="70" w:right="66"/>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Se autoriza dado que existe estudio técnico de la Dirección de </w:t>
            </w:r>
          </w:p>
          <w:p w:rsidRPr="00F31A99" w:rsidR="00F31A99" w:rsidP="00F31A99" w:rsidRDefault="00F31A99" w14:paraId="2297766A" w14:textId="77777777">
            <w:pPr>
              <w:autoSpaceDN w:val="0"/>
              <w:spacing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Planificación </w:t>
            </w:r>
          </w:p>
        </w:tc>
      </w:tr>
      <w:tr w:rsidRPr="00F31A99" w:rsidR="00AE1B2B" w:rsidTr="00A306B2" w14:paraId="06CC0AC7" w14:textId="77777777">
        <w:trPr>
          <w:trHeight w:val="4136"/>
        </w:trPr>
        <w:tc>
          <w:tcPr>
            <w:tcW w:w="1200"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3CFD9FB2" w14:textId="77777777">
            <w:pPr>
              <w:autoSpaceDN w:val="0"/>
              <w:spacing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1815 </w:t>
            </w:r>
          </w:p>
        </w:tc>
        <w:tc>
          <w:tcPr>
            <w:tcW w:w="2223"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68E43E90" w14:textId="77777777">
            <w:pPr>
              <w:autoSpaceDN w:val="0"/>
              <w:spacing w:after="19"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JUZGADO </w:t>
            </w:r>
          </w:p>
          <w:p w:rsidRPr="00F31A99" w:rsidR="00F31A99" w:rsidP="00F31A99" w:rsidRDefault="00F31A99" w14:paraId="1740FE6B" w14:textId="77777777">
            <w:pPr>
              <w:tabs>
                <w:tab w:val="center" w:pos="676"/>
                <w:tab w:val="center" w:pos="2118"/>
              </w:tabs>
              <w:autoSpaceDN w:val="0"/>
              <w:spacing w:after="29" w:line="259" w:lineRule="auto"/>
              <w:rPr>
                <w:rFonts w:ascii="Times New Roman" w:hAnsi="Times New Roman" w:cs="Times New Roman"/>
                <w:sz w:val="20"/>
                <w:szCs w:val="18"/>
                <w:highlight w:val="lightGray"/>
                <w:u w:color="000000"/>
              </w:rPr>
            </w:pPr>
            <w:r w:rsidRPr="00F31A99">
              <w:rPr>
                <w:rFonts w:ascii="Times New Roman" w:hAnsi="Times New Roman" w:eastAsia="Calibri" w:cs="Times New Roman"/>
                <w:sz w:val="20"/>
                <w:szCs w:val="18"/>
                <w:highlight w:val="lightGray"/>
                <w:u w:color="000000"/>
              </w:rPr>
              <w:tab/>
            </w:r>
            <w:r w:rsidRPr="00F31A99">
              <w:rPr>
                <w:rFonts w:ascii="Times New Roman" w:hAnsi="Times New Roman" w:cs="Times New Roman"/>
                <w:sz w:val="20"/>
                <w:szCs w:val="18"/>
                <w:highlight w:val="lightGray"/>
                <w:u w:color="000000"/>
              </w:rPr>
              <w:t xml:space="preserve">TRANSITO </w:t>
            </w:r>
            <w:r w:rsidRPr="00F31A99">
              <w:rPr>
                <w:rFonts w:ascii="Times New Roman" w:hAnsi="Times New Roman" w:cs="Times New Roman"/>
                <w:sz w:val="20"/>
                <w:szCs w:val="18"/>
                <w:highlight w:val="lightGray"/>
                <w:u w:color="000000"/>
              </w:rPr>
              <w:tab/>
            </w:r>
            <w:r w:rsidRPr="00F31A99">
              <w:rPr>
                <w:rFonts w:ascii="Times New Roman" w:hAnsi="Times New Roman" w:cs="Times New Roman"/>
                <w:sz w:val="20"/>
                <w:szCs w:val="18"/>
                <w:highlight w:val="lightGray"/>
                <w:u w:color="000000"/>
              </w:rPr>
              <w:t xml:space="preserve">I </w:t>
            </w:r>
          </w:p>
          <w:p w:rsidRPr="00F31A99" w:rsidR="00F31A99" w:rsidP="00F31A99" w:rsidRDefault="00F31A99" w14:paraId="336D1C20" w14:textId="77777777">
            <w:pPr>
              <w:autoSpaceDN w:val="0"/>
              <w:spacing w:after="19"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CIRCUITO </w:t>
            </w:r>
          </w:p>
          <w:p w:rsidRPr="00F31A99" w:rsidR="00F31A99" w:rsidP="00F31A99" w:rsidRDefault="00F31A99" w14:paraId="7BDCB583" w14:textId="77777777">
            <w:pPr>
              <w:autoSpaceDN w:val="0"/>
              <w:spacing w:after="19"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JUDICIAL </w:t>
            </w:r>
          </w:p>
          <w:p w:rsidRPr="00F31A99" w:rsidR="00F31A99" w:rsidP="00F31A99" w:rsidRDefault="00F31A99" w14:paraId="5D2C6424" w14:textId="77777777">
            <w:pPr>
              <w:autoSpaceDN w:val="0"/>
              <w:spacing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GUANACASTE </w:t>
            </w:r>
          </w:p>
        </w:tc>
        <w:tc>
          <w:tcPr>
            <w:tcW w:w="1200" w:type="dxa"/>
            <w:tcBorders>
              <w:top w:val="single" w:color="000000" w:sz="4" w:space="0"/>
              <w:left w:val="single" w:color="000000" w:sz="4" w:space="0"/>
              <w:bottom w:val="single" w:color="000000" w:sz="4" w:space="0"/>
              <w:right w:val="single" w:color="000000" w:sz="4" w:space="0"/>
            </w:tcBorders>
            <w:vAlign w:val="bottom"/>
          </w:tcPr>
          <w:p w:rsidRPr="00F31A99" w:rsidR="00F31A99" w:rsidP="00F31A99" w:rsidRDefault="00F31A99" w14:paraId="0B0A952B" w14:textId="77777777">
            <w:pPr>
              <w:autoSpaceDN w:val="0"/>
              <w:spacing w:after="336"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05262 </w:t>
            </w:r>
          </w:p>
          <w:p w:rsidRPr="00F31A99" w:rsidR="00F31A99" w:rsidP="00F31A99" w:rsidRDefault="00F31A99" w14:paraId="30094F2A" w14:textId="77777777">
            <w:pPr>
              <w:autoSpaceDN w:val="0"/>
              <w:spacing w:line="259" w:lineRule="auto"/>
              <w:ind w:left="-33"/>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 </w:t>
            </w:r>
          </w:p>
        </w:tc>
        <w:tc>
          <w:tcPr>
            <w:tcW w:w="1918"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702ECF1A" w14:textId="77777777">
            <w:pPr>
              <w:autoSpaceDN w:val="0"/>
              <w:spacing w:line="259" w:lineRule="auto"/>
              <w:ind w:left="70"/>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2 583 858 </w:t>
            </w:r>
          </w:p>
        </w:tc>
        <w:tc>
          <w:tcPr>
            <w:tcW w:w="2835" w:type="dxa"/>
            <w:tcBorders>
              <w:top w:val="single" w:color="000000" w:sz="4" w:space="0"/>
              <w:left w:val="single" w:color="000000" w:sz="4" w:space="0"/>
              <w:bottom w:val="single" w:color="000000" w:sz="4" w:space="0"/>
              <w:right w:val="single" w:color="000000" w:sz="4" w:space="0"/>
            </w:tcBorders>
          </w:tcPr>
          <w:p w:rsidRPr="00F31A99" w:rsidR="00F31A99" w:rsidP="00F31A99" w:rsidRDefault="00F31A99" w14:paraId="4ECC1846" w14:textId="77777777">
            <w:pPr>
              <w:autoSpaceDN w:val="0"/>
              <w:spacing w:line="259" w:lineRule="auto"/>
              <w:ind w:left="70" w:right="66"/>
              <w:rPr>
                <w:rFonts w:ascii="Times New Roman" w:hAnsi="Times New Roman" w:cs="Times New Roman"/>
                <w:sz w:val="20"/>
                <w:szCs w:val="18"/>
                <w:highlight w:val="lightGray"/>
                <w:u w:color="000000"/>
              </w:rPr>
            </w:pPr>
            <w:r w:rsidRPr="00F31A99">
              <w:rPr>
                <w:rFonts w:ascii="Times New Roman" w:hAnsi="Times New Roman" w:cs="Times New Roman"/>
                <w:sz w:val="20"/>
                <w:szCs w:val="18"/>
                <w:highlight w:val="lightGray"/>
                <w:u w:color="000000"/>
              </w:rPr>
              <w:t xml:space="preserve">Por medio del oficio N° 221-DE-2021 del 20 de enero de 2021, la DE autoriza la contratación de un servicio de limpieza (1 puesto), para atender el nuevo edificio alquilado donde se ubica el Juzgado Civil, Juzgado de Tránsito y Medicina Legal de Liberia, de lunes a viernes de 07:30 a 11:30 y de 13:00 a 16:30 </w:t>
            </w:r>
          </w:p>
        </w:tc>
      </w:tr>
    </w:tbl>
    <w:p w:rsidRPr="00F31A99" w:rsidR="00F31A99" w:rsidP="00F31A99" w:rsidRDefault="00F31A99" w14:paraId="5CC6237F" w14:textId="77777777">
      <w:pPr>
        <w:autoSpaceDN w:val="0"/>
        <w:spacing w:line="259" w:lineRule="auto"/>
        <w:ind w:left="-1702" w:right="10545"/>
        <w:rPr>
          <w:rFonts w:ascii="Times New Roman" w:hAnsi="Times New Roman" w:eastAsia="Calibri" w:cs="Times New Roman"/>
          <w:highlight w:val="lightGray"/>
          <w:u w:color="000000"/>
        </w:rPr>
      </w:pPr>
    </w:p>
    <w:tbl>
      <w:tblPr>
        <w:tblStyle w:val="TableGrid1"/>
        <w:tblW w:w="9376" w:type="dxa"/>
        <w:tblInd w:w="-269" w:type="dxa"/>
        <w:tblCellMar>
          <w:top w:w="13" w:type="dxa"/>
          <w:left w:w="70" w:type="dxa"/>
        </w:tblCellMar>
        <w:tblLook w:val="04A0" w:firstRow="1" w:lastRow="0" w:firstColumn="1" w:lastColumn="0" w:noHBand="0" w:noVBand="1"/>
      </w:tblPr>
      <w:tblGrid>
        <w:gridCol w:w="1200"/>
        <w:gridCol w:w="2223"/>
        <w:gridCol w:w="1200"/>
        <w:gridCol w:w="1918"/>
        <w:gridCol w:w="2835"/>
      </w:tblGrid>
      <w:tr w:rsidRPr="00F31A99" w:rsidR="00AE1B2B" w:rsidTr="00A306B2" w14:paraId="677D9BB8" w14:textId="77777777">
        <w:trPr>
          <w:trHeight w:val="2339"/>
        </w:trPr>
        <w:tc>
          <w:tcPr>
            <w:tcW w:w="1200" w:type="dxa"/>
            <w:tcBorders>
              <w:top w:val="nil"/>
              <w:left w:val="single" w:color="000000" w:sz="4" w:space="0"/>
              <w:bottom w:val="single" w:color="000000" w:sz="4" w:space="0"/>
              <w:right w:val="single" w:color="000000" w:sz="4" w:space="0"/>
            </w:tcBorders>
          </w:tcPr>
          <w:p w:rsidRPr="00F31A99" w:rsidR="00F31A99" w:rsidP="00F31A99" w:rsidRDefault="00F31A99" w14:paraId="384CA99C" w14:textId="77777777">
            <w:pPr>
              <w:autoSpaceDN w:val="0"/>
              <w:spacing w:after="160" w:line="259" w:lineRule="auto"/>
              <w:rPr>
                <w:rFonts w:ascii="Times New Roman" w:hAnsi="Times New Roman" w:cs="Times New Roman"/>
                <w:sz w:val="18"/>
                <w:szCs w:val="16"/>
                <w:highlight w:val="lightGray"/>
                <w:u w:color="000000"/>
              </w:rPr>
            </w:pPr>
          </w:p>
        </w:tc>
        <w:tc>
          <w:tcPr>
            <w:tcW w:w="2223" w:type="dxa"/>
            <w:tcBorders>
              <w:top w:val="single" w:color="000000" w:sz="5" w:space="0"/>
              <w:left w:val="single" w:color="000000" w:sz="4" w:space="0"/>
              <w:bottom w:val="single" w:color="000000" w:sz="4" w:space="0"/>
              <w:right w:val="single" w:color="000000" w:sz="4" w:space="0"/>
            </w:tcBorders>
          </w:tcPr>
          <w:p w:rsidRPr="00F31A99" w:rsidR="00F31A99" w:rsidP="00F31A99" w:rsidRDefault="00F31A99" w14:paraId="7013A3C7" w14:textId="77777777">
            <w:pPr>
              <w:autoSpaceDN w:val="0"/>
              <w:spacing w:after="160" w:line="259" w:lineRule="auto"/>
              <w:rPr>
                <w:rFonts w:ascii="Times New Roman" w:hAnsi="Times New Roman" w:cs="Times New Roman"/>
                <w:sz w:val="18"/>
                <w:szCs w:val="16"/>
                <w:highlight w:val="lightGray"/>
                <w:u w:color="000000"/>
              </w:rPr>
            </w:pPr>
          </w:p>
        </w:tc>
        <w:tc>
          <w:tcPr>
            <w:tcW w:w="1200" w:type="dxa"/>
            <w:tcBorders>
              <w:top w:val="single" w:color="0000FF" w:sz="5" w:space="0"/>
              <w:left w:val="single" w:color="000000" w:sz="4" w:space="0"/>
              <w:bottom w:val="single" w:color="000000" w:sz="4" w:space="0"/>
              <w:right w:val="single" w:color="000000" w:sz="4" w:space="0"/>
            </w:tcBorders>
          </w:tcPr>
          <w:p w:rsidRPr="00F31A99" w:rsidR="00F31A99" w:rsidP="00F31A99" w:rsidRDefault="00F31A99" w14:paraId="3C7F0EE4" w14:textId="77777777">
            <w:pPr>
              <w:autoSpaceDN w:val="0"/>
              <w:spacing w:after="160" w:line="259" w:lineRule="auto"/>
              <w:rPr>
                <w:rFonts w:ascii="Times New Roman" w:hAnsi="Times New Roman" w:cs="Times New Roman"/>
                <w:sz w:val="18"/>
                <w:szCs w:val="16"/>
                <w:highlight w:val="lightGray"/>
                <w:u w:color="000000"/>
              </w:rPr>
            </w:pPr>
          </w:p>
        </w:tc>
        <w:tc>
          <w:tcPr>
            <w:tcW w:w="1918" w:type="dxa"/>
            <w:tcBorders>
              <w:top w:val="single" w:color="000000" w:sz="5" w:space="0"/>
              <w:left w:val="single" w:color="000000" w:sz="4" w:space="0"/>
              <w:bottom w:val="single" w:color="000000" w:sz="4" w:space="0"/>
              <w:right w:val="single" w:color="000000" w:sz="4" w:space="0"/>
            </w:tcBorders>
          </w:tcPr>
          <w:p w:rsidRPr="00F31A99" w:rsidR="00F31A99" w:rsidP="00F31A99" w:rsidRDefault="00F31A99" w14:paraId="716B1592" w14:textId="77777777">
            <w:pPr>
              <w:autoSpaceDN w:val="0"/>
              <w:spacing w:after="160" w:line="259" w:lineRule="auto"/>
              <w:rPr>
                <w:rFonts w:ascii="Times New Roman" w:hAnsi="Times New Roman" w:cs="Times New Roman"/>
                <w:sz w:val="18"/>
                <w:szCs w:val="16"/>
                <w:highlight w:val="lightGray"/>
                <w:u w:color="000000"/>
              </w:rPr>
            </w:pPr>
          </w:p>
        </w:tc>
        <w:tc>
          <w:tcPr>
            <w:tcW w:w="2835" w:type="dxa"/>
            <w:tcBorders>
              <w:top w:val="nil"/>
              <w:left w:val="single" w:color="000000" w:sz="4" w:space="0"/>
              <w:bottom w:val="single" w:color="000000" w:sz="4" w:space="0"/>
              <w:right w:val="single" w:color="000000" w:sz="4" w:space="0"/>
            </w:tcBorders>
          </w:tcPr>
          <w:p w:rsidRPr="00F31A99" w:rsidR="00F31A99" w:rsidP="00F31A99" w:rsidRDefault="00F31A99" w14:paraId="34276C97" w14:textId="77777777">
            <w:pPr>
              <w:autoSpaceDN w:val="0"/>
              <w:spacing w:line="259" w:lineRule="auto"/>
              <w:ind w:right="70"/>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horas, en el entendido que el servicio entrará a regir una vez los despachos sean trasladados al nuevo edificio. </w:t>
            </w:r>
          </w:p>
        </w:tc>
      </w:tr>
      <w:tr w:rsidRPr="00F31A99" w:rsidR="00AE1B2B" w:rsidTr="00A306B2" w14:paraId="18D64807" w14:textId="77777777">
        <w:trPr>
          <w:trHeight w:val="963"/>
        </w:trPr>
        <w:tc>
          <w:tcPr>
            <w:tcW w:w="1200"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58CBCAE4"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913 </w:t>
            </w:r>
          </w:p>
        </w:tc>
        <w:tc>
          <w:tcPr>
            <w:tcW w:w="2223"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1D337FFF"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UNIDAD CANINA </w:t>
            </w:r>
          </w:p>
        </w:tc>
        <w:tc>
          <w:tcPr>
            <w:tcW w:w="1200"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5BC21414"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05262 </w:t>
            </w:r>
          </w:p>
        </w:tc>
        <w:tc>
          <w:tcPr>
            <w:tcW w:w="1918"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3F89372E"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5 000 000 </w:t>
            </w:r>
          </w:p>
        </w:tc>
        <w:tc>
          <w:tcPr>
            <w:tcW w:w="2835" w:type="dxa"/>
            <w:tcBorders>
              <w:top w:val="single" w:color="000000" w:sz="4" w:space="0"/>
              <w:left w:val="single" w:color="000000" w:sz="4" w:space="0"/>
              <w:bottom w:val="single" w:color="000000" w:sz="4" w:space="0"/>
              <w:right w:val="single" w:color="000000" w:sz="4" w:space="0"/>
            </w:tcBorders>
          </w:tcPr>
          <w:p w:rsidRPr="00F31A99" w:rsidR="00F31A99" w:rsidP="00F31A99" w:rsidRDefault="00F31A99" w14:paraId="0E16B97A" w14:textId="77777777">
            <w:pPr>
              <w:autoSpaceDN w:val="0"/>
              <w:spacing w:line="259" w:lineRule="auto"/>
              <w:ind w:right="71"/>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Se ajusta para contratar un puesto 4 horas diarias. </w:t>
            </w:r>
          </w:p>
        </w:tc>
      </w:tr>
      <w:tr w:rsidRPr="00F31A99" w:rsidR="00AE1B2B" w:rsidTr="00A306B2" w14:paraId="4054BD5C" w14:textId="77777777">
        <w:trPr>
          <w:trHeight w:val="6675"/>
        </w:trPr>
        <w:tc>
          <w:tcPr>
            <w:tcW w:w="1200"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6F95EBB0"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458 </w:t>
            </w:r>
          </w:p>
        </w:tc>
        <w:tc>
          <w:tcPr>
            <w:tcW w:w="2223"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657FB326" w14:textId="77777777">
            <w:pPr>
              <w:autoSpaceDN w:val="0"/>
              <w:spacing w:after="21"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ADMINISTRACIÓN </w:t>
            </w:r>
          </w:p>
          <w:p w:rsidRPr="00F31A99" w:rsidR="00F31A99" w:rsidP="00F31A99" w:rsidRDefault="00F31A99" w14:paraId="6F08AE84" w14:textId="77777777">
            <w:pPr>
              <w:tabs>
                <w:tab w:val="center" w:pos="621"/>
                <w:tab w:val="center" w:pos="1916"/>
              </w:tabs>
              <w:autoSpaceDN w:val="0"/>
              <w:spacing w:after="27" w:line="259" w:lineRule="auto"/>
              <w:rPr>
                <w:rFonts w:ascii="Times New Roman" w:hAnsi="Times New Roman" w:cs="Times New Roman"/>
                <w:sz w:val="18"/>
                <w:szCs w:val="16"/>
                <w:highlight w:val="lightGray"/>
                <w:u w:color="000000"/>
              </w:rPr>
            </w:pPr>
            <w:r w:rsidRPr="00F31A99">
              <w:rPr>
                <w:rFonts w:ascii="Times New Roman" w:hAnsi="Times New Roman" w:eastAsia="Calibri" w:cs="Times New Roman"/>
                <w:sz w:val="18"/>
                <w:szCs w:val="16"/>
                <w:highlight w:val="lightGray"/>
                <w:u w:color="000000"/>
              </w:rPr>
              <w:tab/>
            </w:r>
            <w:r w:rsidRPr="00F31A99">
              <w:rPr>
                <w:rFonts w:ascii="Times New Roman" w:hAnsi="Times New Roman" w:cs="Times New Roman"/>
                <w:sz w:val="18"/>
                <w:szCs w:val="16"/>
                <w:highlight w:val="lightGray"/>
                <w:u w:color="000000"/>
              </w:rPr>
              <w:t xml:space="preserve">REGIONAL </w:t>
            </w:r>
            <w:r w:rsidRPr="00F31A99">
              <w:rPr>
                <w:rFonts w:ascii="Times New Roman" w:hAnsi="Times New Roman" w:cs="Times New Roman"/>
                <w:sz w:val="18"/>
                <w:szCs w:val="16"/>
                <w:highlight w:val="lightGray"/>
                <w:u w:color="000000"/>
              </w:rPr>
              <w:tab/>
            </w:r>
            <w:r w:rsidRPr="00F31A99">
              <w:rPr>
                <w:rFonts w:ascii="Times New Roman" w:hAnsi="Times New Roman" w:cs="Times New Roman"/>
                <w:sz w:val="18"/>
                <w:szCs w:val="16"/>
                <w:highlight w:val="lightGray"/>
                <w:u w:color="000000"/>
              </w:rPr>
              <w:t xml:space="preserve">DE </w:t>
            </w:r>
          </w:p>
          <w:p w:rsidRPr="00F31A99" w:rsidR="00F31A99" w:rsidP="00F31A99" w:rsidRDefault="00F31A99" w14:paraId="3B1BE581"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PUNTARENAS </w:t>
            </w:r>
          </w:p>
        </w:tc>
        <w:tc>
          <w:tcPr>
            <w:tcW w:w="1200"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384060E7"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05262 </w:t>
            </w:r>
          </w:p>
        </w:tc>
        <w:tc>
          <w:tcPr>
            <w:tcW w:w="1918"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18D24BFF"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30 542 521 </w:t>
            </w:r>
          </w:p>
        </w:tc>
        <w:tc>
          <w:tcPr>
            <w:tcW w:w="2835" w:type="dxa"/>
            <w:tcBorders>
              <w:top w:val="single" w:color="000000" w:sz="4" w:space="0"/>
              <w:left w:val="single" w:color="000000" w:sz="4" w:space="0"/>
              <w:bottom w:val="single" w:color="000000" w:sz="4" w:space="0"/>
              <w:right w:val="single" w:color="000000" w:sz="4" w:space="0"/>
            </w:tcBorders>
          </w:tcPr>
          <w:p w:rsidRPr="00F31A99" w:rsidR="00F31A99" w:rsidP="00F31A99" w:rsidRDefault="00F31A99" w14:paraId="56BA3374" w14:textId="77777777">
            <w:pPr>
              <w:autoSpaceDN w:val="0"/>
              <w:spacing w:line="259" w:lineRule="auto"/>
              <w:ind w:right="68"/>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Recurso requerido para atender las labores de limpieza para el nuevo edificio (durante 2 meses, ya que la fecha de entrega está estimada para el 01/11/2022), lo anterior considerando la necesidad de abarcar un área útil de 17488 metros cuadrados, se aclara no fueron incluidos los despachos que cuenta con Auxiliar de Servicios Generales. El cálculo se realiza a partir del dato brindado por la Sección de Limpieza y Jardinería, donde se requeriría una persona para cubrir 635 metros cuadrados. </w:t>
            </w:r>
          </w:p>
        </w:tc>
      </w:tr>
      <w:tr w:rsidRPr="00F31A99" w:rsidR="00AE1B2B" w:rsidTr="00A306B2" w14:paraId="3251037D" w14:textId="77777777">
        <w:trPr>
          <w:trHeight w:val="1284"/>
        </w:trPr>
        <w:tc>
          <w:tcPr>
            <w:tcW w:w="1200"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0DF1528F"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561 </w:t>
            </w:r>
          </w:p>
        </w:tc>
        <w:tc>
          <w:tcPr>
            <w:tcW w:w="2223" w:type="dxa"/>
            <w:tcBorders>
              <w:top w:val="single" w:color="000000" w:sz="4" w:space="0"/>
              <w:left w:val="single" w:color="000000" w:sz="4" w:space="0"/>
              <w:bottom w:val="single" w:color="000000" w:sz="4" w:space="0"/>
              <w:right w:val="single" w:color="000000" w:sz="4" w:space="0"/>
            </w:tcBorders>
          </w:tcPr>
          <w:p w:rsidRPr="00F31A99" w:rsidR="00F31A99" w:rsidP="00F31A99" w:rsidRDefault="00F31A99" w14:paraId="7DF8ED25" w14:textId="77777777">
            <w:pPr>
              <w:autoSpaceDN w:val="0"/>
              <w:spacing w:after="19"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Administración </w:t>
            </w:r>
          </w:p>
          <w:p w:rsidRPr="00F31A99" w:rsidR="00F31A99" w:rsidP="00F31A99" w:rsidRDefault="00F31A99" w14:paraId="51AEA34B" w14:textId="77777777">
            <w:pPr>
              <w:autoSpaceDN w:val="0"/>
              <w:spacing w:line="278"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Regional del III Circuito Judicial de </w:t>
            </w:r>
          </w:p>
          <w:p w:rsidRPr="00F31A99" w:rsidR="00F31A99" w:rsidP="00F31A99" w:rsidRDefault="00F31A99" w14:paraId="33BB6204"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Alajuela </w:t>
            </w:r>
          </w:p>
        </w:tc>
        <w:tc>
          <w:tcPr>
            <w:tcW w:w="1200"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36AC1144"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05262 </w:t>
            </w:r>
          </w:p>
        </w:tc>
        <w:tc>
          <w:tcPr>
            <w:tcW w:w="1918"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021F2111" w14:textId="77777777">
            <w:pPr>
              <w:autoSpaceDN w:val="0"/>
              <w:spacing w:after="21" w:line="259" w:lineRule="auto"/>
              <w:ind w:right="-18"/>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 </w:t>
            </w:r>
          </w:p>
          <w:p w:rsidRPr="00F31A99" w:rsidR="00F31A99" w:rsidP="00F31A99" w:rsidRDefault="00F31A99" w14:paraId="7F4447F6"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7 039 115 </w:t>
            </w:r>
          </w:p>
        </w:tc>
        <w:tc>
          <w:tcPr>
            <w:tcW w:w="2835"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7989B0D0"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Se autoriza. </w:t>
            </w:r>
          </w:p>
        </w:tc>
      </w:tr>
      <w:tr w:rsidRPr="00F31A99" w:rsidR="00AE1B2B" w:rsidTr="00A306B2" w14:paraId="46CF5F25" w14:textId="77777777">
        <w:trPr>
          <w:trHeight w:val="1012"/>
        </w:trPr>
        <w:tc>
          <w:tcPr>
            <w:tcW w:w="1200" w:type="dxa"/>
            <w:tcBorders>
              <w:top w:val="nil"/>
              <w:left w:val="single" w:color="000000" w:sz="4" w:space="0"/>
              <w:bottom w:val="single" w:color="000000" w:sz="4" w:space="0"/>
              <w:right w:val="single" w:color="000000" w:sz="4" w:space="0"/>
            </w:tcBorders>
            <w:vAlign w:val="center"/>
          </w:tcPr>
          <w:p w:rsidRPr="00F31A99" w:rsidR="00F31A99" w:rsidP="00F31A99" w:rsidRDefault="00F31A99" w14:paraId="68FFA9D9"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288 </w:t>
            </w:r>
          </w:p>
        </w:tc>
        <w:tc>
          <w:tcPr>
            <w:tcW w:w="2223" w:type="dxa"/>
            <w:tcBorders>
              <w:top w:val="single" w:color="000000" w:sz="5" w:space="0"/>
              <w:left w:val="single" w:color="000000" w:sz="4" w:space="0"/>
              <w:bottom w:val="single" w:color="000000" w:sz="4" w:space="0"/>
              <w:right w:val="single" w:color="000000" w:sz="4" w:space="0"/>
            </w:tcBorders>
          </w:tcPr>
          <w:p w:rsidRPr="00F31A99" w:rsidR="00F31A99" w:rsidP="00F31A99" w:rsidRDefault="00F31A99" w14:paraId="3323E910" w14:textId="77777777">
            <w:pPr>
              <w:tabs>
                <w:tab w:val="center" w:pos="1408"/>
                <w:tab w:val="right" w:pos="2153"/>
              </w:tabs>
              <w:autoSpaceDN w:val="0"/>
              <w:spacing w:after="27"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Tribunal </w:t>
            </w:r>
            <w:r w:rsidRPr="00F31A99">
              <w:rPr>
                <w:rFonts w:ascii="Times New Roman" w:hAnsi="Times New Roman" w:cs="Times New Roman"/>
                <w:sz w:val="18"/>
                <w:szCs w:val="16"/>
                <w:highlight w:val="lightGray"/>
                <w:u w:color="000000"/>
              </w:rPr>
              <w:tab/>
            </w:r>
            <w:r w:rsidRPr="00F31A99">
              <w:rPr>
                <w:rFonts w:ascii="Times New Roman" w:hAnsi="Times New Roman" w:cs="Times New Roman"/>
                <w:sz w:val="18"/>
                <w:szCs w:val="16"/>
                <w:highlight w:val="lightGray"/>
                <w:u w:color="000000"/>
              </w:rPr>
              <w:t xml:space="preserve">del </w:t>
            </w:r>
            <w:r w:rsidRPr="00F31A99">
              <w:rPr>
                <w:rFonts w:ascii="Times New Roman" w:hAnsi="Times New Roman" w:cs="Times New Roman"/>
                <w:sz w:val="18"/>
                <w:szCs w:val="16"/>
                <w:highlight w:val="lightGray"/>
                <w:u w:color="000000"/>
              </w:rPr>
              <w:tab/>
            </w:r>
            <w:r w:rsidRPr="00F31A99">
              <w:rPr>
                <w:rFonts w:ascii="Times New Roman" w:hAnsi="Times New Roman" w:cs="Times New Roman"/>
                <w:sz w:val="18"/>
                <w:szCs w:val="16"/>
                <w:highlight w:val="lightGray"/>
                <w:u w:color="000000"/>
              </w:rPr>
              <w:t xml:space="preserve">II </w:t>
            </w:r>
          </w:p>
          <w:p w:rsidRPr="00F31A99" w:rsidR="00F31A99" w:rsidP="00F31A99" w:rsidRDefault="00F31A99" w14:paraId="03B0CEA0" w14:textId="77777777">
            <w:pPr>
              <w:autoSpaceDN w:val="0"/>
              <w:spacing w:after="19"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Circuito Judicial de </w:t>
            </w:r>
          </w:p>
          <w:p w:rsidRPr="00F31A99" w:rsidR="00F31A99" w:rsidP="00F31A99" w:rsidRDefault="00F31A99" w14:paraId="30F3925D"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Alajuela </w:t>
            </w:r>
          </w:p>
        </w:tc>
        <w:tc>
          <w:tcPr>
            <w:tcW w:w="1200" w:type="dxa"/>
            <w:tcBorders>
              <w:top w:val="single" w:color="0000FF" w:sz="5" w:space="0"/>
              <w:left w:val="single" w:color="000000" w:sz="4" w:space="0"/>
              <w:bottom w:val="single" w:color="000000" w:sz="4" w:space="0"/>
              <w:right w:val="single" w:color="000000" w:sz="4" w:space="0"/>
            </w:tcBorders>
            <w:vAlign w:val="center"/>
          </w:tcPr>
          <w:p w:rsidRPr="00F31A99" w:rsidR="00F31A99" w:rsidP="00F31A99" w:rsidRDefault="00F31A99" w14:paraId="0B42C325"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05262 </w:t>
            </w:r>
          </w:p>
        </w:tc>
        <w:tc>
          <w:tcPr>
            <w:tcW w:w="1918" w:type="dxa"/>
            <w:tcBorders>
              <w:top w:val="single" w:color="000000" w:sz="5" w:space="0"/>
              <w:left w:val="single" w:color="000000" w:sz="4" w:space="0"/>
              <w:bottom w:val="single" w:color="000000" w:sz="4" w:space="0"/>
              <w:right w:val="single" w:color="000000" w:sz="4" w:space="0"/>
            </w:tcBorders>
            <w:vAlign w:val="center"/>
          </w:tcPr>
          <w:p w:rsidRPr="00F31A99" w:rsidR="00F31A99" w:rsidP="00F31A99" w:rsidRDefault="00F31A99" w14:paraId="1B450F40" w14:textId="77777777">
            <w:pPr>
              <w:autoSpaceDN w:val="0"/>
              <w:spacing w:after="19" w:line="259" w:lineRule="auto"/>
              <w:ind w:right="-18"/>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 </w:t>
            </w:r>
          </w:p>
          <w:p w:rsidRPr="00F31A99" w:rsidR="00F31A99" w:rsidP="00F31A99" w:rsidRDefault="00F31A99" w14:paraId="4366D58E"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1 930 630 </w:t>
            </w:r>
          </w:p>
        </w:tc>
        <w:tc>
          <w:tcPr>
            <w:tcW w:w="2835" w:type="dxa"/>
            <w:tcBorders>
              <w:top w:val="nil"/>
              <w:left w:val="single" w:color="000000" w:sz="4" w:space="0"/>
              <w:bottom w:val="single" w:color="000000" w:sz="4" w:space="0"/>
              <w:right w:val="single" w:color="000000" w:sz="4" w:space="0"/>
            </w:tcBorders>
            <w:vAlign w:val="center"/>
          </w:tcPr>
          <w:p w:rsidRPr="00F31A99" w:rsidR="00F31A99" w:rsidP="00F31A99" w:rsidRDefault="00F31A99" w14:paraId="5B1B711D"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Se </w:t>
            </w:r>
            <w:r w:rsidRPr="00F31A99">
              <w:rPr>
                <w:rFonts w:ascii="Times New Roman" w:hAnsi="Times New Roman" w:cs="Times New Roman"/>
                <w:sz w:val="18"/>
                <w:szCs w:val="16"/>
                <w:highlight w:val="lightGray"/>
                <w:u w:color="000000"/>
              </w:rPr>
              <w:tab/>
            </w:r>
            <w:r w:rsidRPr="00F31A99">
              <w:rPr>
                <w:rFonts w:ascii="Times New Roman" w:hAnsi="Times New Roman" w:cs="Times New Roman"/>
                <w:sz w:val="18"/>
                <w:szCs w:val="16"/>
                <w:highlight w:val="lightGray"/>
                <w:u w:color="000000"/>
              </w:rPr>
              <w:t xml:space="preserve">autoriza. </w:t>
            </w:r>
            <w:r w:rsidRPr="00F31A99">
              <w:rPr>
                <w:rFonts w:ascii="Times New Roman" w:hAnsi="Times New Roman" w:cs="Times New Roman"/>
                <w:sz w:val="18"/>
                <w:szCs w:val="16"/>
                <w:highlight w:val="lightGray"/>
                <w:u w:color="000000"/>
              </w:rPr>
              <w:tab/>
            </w:r>
            <w:r w:rsidRPr="00F31A99">
              <w:rPr>
                <w:rFonts w:ascii="Times New Roman" w:hAnsi="Times New Roman" w:cs="Times New Roman"/>
                <w:sz w:val="18"/>
                <w:szCs w:val="16"/>
                <w:highlight w:val="lightGray"/>
                <w:u w:color="000000"/>
              </w:rPr>
              <w:t xml:space="preserve"> </w:t>
            </w:r>
            <w:r w:rsidRPr="00F31A99">
              <w:rPr>
                <w:rFonts w:ascii="Times New Roman" w:hAnsi="Times New Roman" w:cs="Times New Roman"/>
                <w:sz w:val="18"/>
                <w:szCs w:val="16"/>
                <w:highlight w:val="lightGray"/>
                <w:u w:color="000000"/>
              </w:rPr>
              <w:tab/>
            </w:r>
            <w:r w:rsidRPr="00F31A99">
              <w:rPr>
                <w:rFonts w:ascii="Times New Roman" w:hAnsi="Times New Roman" w:cs="Times New Roman"/>
                <w:sz w:val="18"/>
                <w:szCs w:val="16"/>
                <w:highlight w:val="lightGray"/>
                <w:u w:color="000000"/>
              </w:rPr>
              <w:t xml:space="preserve">Local nuevo. </w:t>
            </w:r>
          </w:p>
        </w:tc>
      </w:tr>
      <w:tr w:rsidRPr="00F31A99" w:rsidR="00AE1B2B" w:rsidTr="00A306B2" w14:paraId="4F86A21E" w14:textId="77777777">
        <w:trPr>
          <w:trHeight w:val="2233"/>
        </w:trPr>
        <w:tc>
          <w:tcPr>
            <w:tcW w:w="1200"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1C81E0B7"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lastRenderedPageBreak/>
              <w:t xml:space="preserve">742 </w:t>
            </w:r>
          </w:p>
        </w:tc>
        <w:tc>
          <w:tcPr>
            <w:tcW w:w="2223"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3D9690E4" w14:textId="77777777">
            <w:pPr>
              <w:autoSpaceDN w:val="0"/>
              <w:spacing w:after="19"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Juzgado </w:t>
            </w:r>
          </w:p>
          <w:p w:rsidRPr="00F31A99" w:rsidR="00F31A99" w:rsidP="00F31A99" w:rsidRDefault="00F31A99" w14:paraId="54414E72" w14:textId="77777777">
            <w:pPr>
              <w:autoSpaceDN w:val="0"/>
              <w:spacing w:line="276"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Contravencional y Tránsito del II </w:t>
            </w:r>
          </w:p>
          <w:p w:rsidRPr="00F31A99" w:rsidR="00F31A99" w:rsidP="00F31A99" w:rsidRDefault="00F31A99" w14:paraId="686B6086" w14:textId="77777777">
            <w:pPr>
              <w:autoSpaceDN w:val="0"/>
              <w:spacing w:after="22"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Circuito Judicial de </w:t>
            </w:r>
          </w:p>
          <w:p w:rsidRPr="00F31A99" w:rsidR="00F31A99" w:rsidP="00F31A99" w:rsidRDefault="00F31A99" w14:paraId="7A62F135"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Alajuela </w:t>
            </w:r>
          </w:p>
        </w:tc>
        <w:tc>
          <w:tcPr>
            <w:tcW w:w="1200"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40CC7A1C"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05262 </w:t>
            </w:r>
          </w:p>
        </w:tc>
        <w:tc>
          <w:tcPr>
            <w:tcW w:w="1918" w:type="dxa"/>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7F7567BF" w14:textId="77777777">
            <w:pPr>
              <w:autoSpaceDN w:val="0"/>
              <w:spacing w:after="19" w:line="259" w:lineRule="auto"/>
              <w:ind w:right="-18"/>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 </w:t>
            </w:r>
          </w:p>
          <w:p w:rsidRPr="00F31A99" w:rsidR="00F31A99" w:rsidP="00F31A99" w:rsidRDefault="00F31A99" w14:paraId="561A19F3" w14:textId="77777777">
            <w:pPr>
              <w:autoSpaceDN w:val="0"/>
              <w:spacing w:line="259" w:lineRule="auto"/>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7 669 327 </w:t>
            </w:r>
          </w:p>
        </w:tc>
        <w:tc>
          <w:tcPr>
            <w:tcW w:w="2835" w:type="dxa"/>
            <w:tcBorders>
              <w:top w:val="single" w:color="000000" w:sz="4" w:space="0"/>
              <w:left w:val="single" w:color="000000" w:sz="4" w:space="0"/>
              <w:bottom w:val="single" w:color="000000" w:sz="4" w:space="0"/>
              <w:right w:val="single" w:color="000000" w:sz="4" w:space="0"/>
            </w:tcBorders>
          </w:tcPr>
          <w:p w:rsidRPr="00F31A99" w:rsidR="00F31A99" w:rsidP="00F31A99" w:rsidRDefault="00F31A99" w14:paraId="42625A04" w14:textId="77777777">
            <w:pPr>
              <w:autoSpaceDN w:val="0"/>
              <w:spacing w:line="276" w:lineRule="auto"/>
              <w:ind w:right="69"/>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En atención al acuerdo del Consejo Superior en la sesión 104-2020 del 29 de octubre 2020, </w:t>
            </w:r>
          </w:p>
          <w:p w:rsidRPr="00F31A99" w:rsidR="00F31A99" w:rsidP="00F31A99" w:rsidRDefault="00F31A99" w14:paraId="52242405" w14:textId="77777777">
            <w:pPr>
              <w:autoSpaceDN w:val="0"/>
              <w:spacing w:line="259" w:lineRule="auto"/>
              <w:ind w:right="70"/>
              <w:rPr>
                <w:rFonts w:ascii="Times New Roman" w:hAnsi="Times New Roman" w:cs="Times New Roman"/>
                <w:sz w:val="18"/>
                <w:szCs w:val="16"/>
                <w:highlight w:val="lightGray"/>
                <w:u w:color="000000"/>
              </w:rPr>
            </w:pPr>
            <w:r w:rsidRPr="00F31A99">
              <w:rPr>
                <w:rFonts w:ascii="Times New Roman" w:hAnsi="Times New Roman" w:cs="Times New Roman"/>
                <w:sz w:val="18"/>
                <w:szCs w:val="16"/>
                <w:highlight w:val="lightGray"/>
                <w:u w:color="000000"/>
              </w:rPr>
              <w:t xml:space="preserve">Artículo XVII., se deben mantener estos recursos para el 2022. </w:t>
            </w:r>
          </w:p>
        </w:tc>
      </w:tr>
      <w:tr w:rsidRPr="00F31A99" w:rsidR="00AE1B2B" w:rsidTr="00A306B2" w14:paraId="758443D5" w14:textId="77777777">
        <w:trPr>
          <w:trHeight w:val="646"/>
        </w:trPr>
        <w:tc>
          <w:tcPr>
            <w:tcW w:w="1200" w:type="dxa"/>
            <w:tcBorders>
              <w:top w:val="single" w:color="000000" w:sz="4" w:space="0"/>
              <w:left w:val="nil"/>
              <w:bottom w:val="nil"/>
              <w:right w:val="nil"/>
            </w:tcBorders>
            <w:vAlign w:val="bottom"/>
          </w:tcPr>
          <w:p w:rsidRPr="00F31A99" w:rsidR="00F31A99" w:rsidP="00F31A99" w:rsidRDefault="00F31A99" w14:paraId="7B062B9E" w14:textId="77777777">
            <w:pPr>
              <w:autoSpaceDN w:val="0"/>
              <w:spacing w:line="259" w:lineRule="auto"/>
              <w:rPr>
                <w:rFonts w:ascii="Times New Roman" w:hAnsi="Times New Roman" w:cs="Times New Roman"/>
                <w:highlight w:val="lightGray"/>
                <w:u w:color="000000"/>
              </w:rPr>
            </w:pPr>
            <w:r w:rsidRPr="00F31A99">
              <w:rPr>
                <w:rFonts w:ascii="Times New Roman" w:hAnsi="Times New Roman" w:cs="Times New Roman"/>
                <w:sz w:val="24"/>
                <w:highlight w:val="lightGray"/>
                <w:u w:color="000000"/>
              </w:rPr>
              <w:t xml:space="preserve"> </w:t>
            </w:r>
          </w:p>
        </w:tc>
        <w:tc>
          <w:tcPr>
            <w:tcW w:w="2223" w:type="dxa"/>
            <w:tcBorders>
              <w:top w:val="single" w:color="000000" w:sz="4" w:space="0"/>
              <w:left w:val="nil"/>
              <w:bottom w:val="nil"/>
              <w:right w:val="single" w:color="000000" w:sz="4" w:space="0"/>
            </w:tcBorders>
            <w:vAlign w:val="bottom"/>
          </w:tcPr>
          <w:p w:rsidRPr="00F31A99" w:rsidR="00F31A99" w:rsidP="00F31A99" w:rsidRDefault="00F31A99" w14:paraId="36C43A9E" w14:textId="77777777">
            <w:pPr>
              <w:autoSpaceDN w:val="0"/>
              <w:spacing w:line="259" w:lineRule="auto"/>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 </w:t>
            </w:r>
          </w:p>
        </w:tc>
        <w:tc>
          <w:tcPr>
            <w:tcW w:w="3118" w:type="dxa"/>
            <w:gridSpan w:val="2"/>
            <w:tcBorders>
              <w:top w:val="single" w:color="000000" w:sz="4" w:space="0"/>
              <w:left w:val="single" w:color="000000" w:sz="4" w:space="0"/>
              <w:bottom w:val="single" w:color="000000" w:sz="4" w:space="0"/>
              <w:right w:val="single" w:color="000000" w:sz="4" w:space="0"/>
            </w:tcBorders>
          </w:tcPr>
          <w:p w:rsidRPr="00F31A99" w:rsidR="00F31A99" w:rsidP="00F31A99" w:rsidRDefault="00F31A99" w14:paraId="2109A0BC" w14:textId="77777777">
            <w:pPr>
              <w:autoSpaceDN w:val="0"/>
              <w:spacing w:line="259" w:lineRule="auto"/>
              <w:ind w:right="753"/>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Monto adicional ¢58 794 046 </w:t>
            </w:r>
          </w:p>
        </w:tc>
        <w:tc>
          <w:tcPr>
            <w:tcW w:w="2835" w:type="dxa"/>
            <w:tcBorders>
              <w:top w:val="single" w:color="000000" w:sz="4" w:space="0"/>
              <w:left w:val="single" w:color="000000" w:sz="4" w:space="0"/>
              <w:bottom w:val="nil"/>
              <w:right w:val="nil"/>
            </w:tcBorders>
            <w:vAlign w:val="bottom"/>
          </w:tcPr>
          <w:p w:rsidRPr="00F31A99" w:rsidR="00F31A99" w:rsidP="00F31A99" w:rsidRDefault="00F31A99" w14:paraId="0967FDE7" w14:textId="77777777">
            <w:pPr>
              <w:autoSpaceDN w:val="0"/>
              <w:spacing w:line="259" w:lineRule="auto"/>
              <w:rPr>
                <w:rFonts w:ascii="Times New Roman" w:hAnsi="Times New Roman" w:cs="Times New Roman"/>
                <w:highlight w:val="lightGray"/>
                <w:u w:color="000000"/>
              </w:rPr>
            </w:pPr>
            <w:r w:rsidRPr="00F31A99">
              <w:rPr>
                <w:rFonts w:ascii="Times New Roman" w:hAnsi="Times New Roman" w:cs="Times New Roman"/>
                <w:sz w:val="24"/>
                <w:highlight w:val="lightGray"/>
                <w:u w:color="000000"/>
              </w:rPr>
              <w:t xml:space="preserve"> </w:t>
            </w:r>
          </w:p>
        </w:tc>
      </w:tr>
    </w:tbl>
    <w:p w:rsidRPr="00F31A99" w:rsidR="00F31A99" w:rsidP="00F31A99" w:rsidRDefault="00F31A99" w14:paraId="6E2B3611" w14:textId="77777777">
      <w:pPr>
        <w:autoSpaceDN w:val="0"/>
        <w:spacing w:after="19" w:line="259" w:lineRule="auto"/>
        <w:rPr>
          <w:rFonts w:ascii="Times New Roman" w:hAnsi="Times New Roman" w:eastAsia="Calibri" w:cs="Times New Roman"/>
          <w:highlight w:val="lightGray"/>
          <w:u w:color="000000"/>
        </w:rPr>
      </w:pPr>
      <w:r w:rsidRPr="00F31A99">
        <w:rPr>
          <w:rFonts w:ascii="Times New Roman" w:hAnsi="Times New Roman" w:eastAsia="Calibri" w:cs="Times New Roman"/>
          <w:sz w:val="24"/>
          <w:highlight w:val="lightGray"/>
          <w:u w:color="000000"/>
        </w:rPr>
        <w:t xml:space="preserve"> </w:t>
      </w:r>
    </w:p>
    <w:p w:rsidRPr="00F31A99" w:rsidR="00F31A99" w:rsidP="00F31A99" w:rsidRDefault="00F31A99" w14:paraId="0AC61567" w14:textId="77777777">
      <w:pPr>
        <w:autoSpaceDN w:val="0"/>
        <w:spacing w:after="19" w:line="259" w:lineRule="auto"/>
        <w:ind w:left="-5"/>
        <w:rPr>
          <w:rFonts w:ascii="Times New Roman" w:hAnsi="Times New Roman" w:eastAsia="Calibri" w:cs="Times New Roman"/>
          <w:sz w:val="26"/>
          <w:szCs w:val="26"/>
          <w:highlight w:val="lightGray"/>
          <w:u w:color="000000"/>
        </w:rPr>
      </w:pPr>
      <w:r w:rsidRPr="00F31A99">
        <w:rPr>
          <w:rFonts w:ascii="Times New Roman" w:hAnsi="Times New Roman" w:eastAsia="Calibri" w:cs="Times New Roman"/>
          <w:b/>
          <w:sz w:val="26"/>
          <w:szCs w:val="26"/>
          <w:highlight w:val="lightGray"/>
          <w:u w:color="000000"/>
        </w:rPr>
        <w:t xml:space="preserve">1.04.06 Seguridad </w:t>
      </w:r>
    </w:p>
    <w:p w:rsidRPr="00F31A99" w:rsidR="00F31A99" w:rsidP="00F31A99" w:rsidRDefault="00F31A99" w14:paraId="6C2FC132" w14:textId="77777777">
      <w:pPr>
        <w:autoSpaceDN w:val="0"/>
        <w:spacing w:line="259" w:lineRule="auto"/>
        <w:rPr>
          <w:rFonts w:ascii="Times New Roman" w:hAnsi="Times New Roman" w:eastAsia="Calibri" w:cs="Times New Roman"/>
          <w:highlight w:val="lightGray"/>
          <w:u w:color="000000"/>
        </w:rPr>
      </w:pPr>
      <w:r w:rsidRPr="00F31A99">
        <w:rPr>
          <w:rFonts w:ascii="Times New Roman" w:hAnsi="Times New Roman" w:eastAsia="Calibri" w:cs="Times New Roman"/>
          <w:b/>
          <w:sz w:val="24"/>
          <w:highlight w:val="lightGray"/>
          <w:u w:color="000000"/>
        </w:rPr>
        <w:t xml:space="preserve"> </w:t>
      </w:r>
    </w:p>
    <w:tbl>
      <w:tblPr>
        <w:tblStyle w:val="TableGrid1"/>
        <w:tblW w:w="5000" w:type="pct"/>
        <w:tblInd w:w="0" w:type="dxa"/>
        <w:tblCellMar>
          <w:top w:w="12" w:type="dxa"/>
          <w:left w:w="68" w:type="dxa"/>
          <w:right w:w="1" w:type="dxa"/>
        </w:tblCellMar>
        <w:tblLook w:val="04A0" w:firstRow="1" w:lastRow="0" w:firstColumn="1" w:lastColumn="0" w:noHBand="0" w:noVBand="1"/>
      </w:tblPr>
      <w:tblGrid>
        <w:gridCol w:w="948"/>
        <w:gridCol w:w="2105"/>
        <w:gridCol w:w="1045"/>
        <w:gridCol w:w="1176"/>
        <w:gridCol w:w="1774"/>
        <w:gridCol w:w="1780"/>
      </w:tblGrid>
      <w:tr w:rsidRPr="00F31A99" w:rsidR="00AE1B2B" w:rsidTr="00A306B2" w14:paraId="18BEA3E2" w14:textId="77777777">
        <w:trPr>
          <w:trHeight w:val="1277"/>
        </w:trPr>
        <w:tc>
          <w:tcPr>
            <w:tcW w:w="537" w:type="pct"/>
            <w:tcBorders>
              <w:top w:val="single" w:color="000000" w:sz="4" w:space="0"/>
              <w:left w:val="single" w:color="000000" w:sz="4" w:space="0"/>
              <w:bottom w:val="single" w:color="000000" w:sz="4" w:space="0"/>
              <w:right w:val="single" w:color="000000" w:sz="4" w:space="0"/>
            </w:tcBorders>
            <w:shd w:val="clear" w:color="auto" w:fill="B4C6E7"/>
          </w:tcPr>
          <w:p w:rsidRPr="00F31A99" w:rsidR="00F31A99" w:rsidP="00F31A99" w:rsidRDefault="00F31A99" w14:paraId="7F137E84" w14:textId="77777777">
            <w:pPr>
              <w:autoSpaceDN w:val="0"/>
              <w:spacing w:after="8" w:line="276" w:lineRule="auto"/>
              <w:ind w:right="25"/>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Códig o </w:t>
            </w:r>
            <w:r w:rsidRPr="00F31A99">
              <w:rPr>
                <w:rFonts w:ascii="Times New Roman" w:hAnsi="Times New Roman" w:cs="Times New Roman"/>
                <w:b/>
                <w:highlight w:val="lightGray"/>
                <w:u w:color="000000"/>
              </w:rPr>
              <w:tab/>
            </w:r>
            <w:r w:rsidRPr="00F31A99">
              <w:rPr>
                <w:rFonts w:ascii="Times New Roman" w:hAnsi="Times New Roman" w:cs="Times New Roman"/>
                <w:b/>
                <w:highlight w:val="lightGray"/>
                <w:u w:color="000000"/>
              </w:rPr>
              <w:t xml:space="preserve">de </w:t>
            </w:r>
          </w:p>
          <w:p w:rsidRPr="00F31A99" w:rsidR="00F31A99" w:rsidP="00F31A99" w:rsidRDefault="00F31A99" w14:paraId="29E988C3" w14:textId="77777777">
            <w:pPr>
              <w:autoSpaceDN w:val="0"/>
              <w:spacing w:line="259" w:lineRule="auto"/>
              <w:ind w:right="36"/>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Oficin a </w:t>
            </w:r>
          </w:p>
        </w:tc>
        <w:tc>
          <w:tcPr>
            <w:tcW w:w="1192" w:type="pct"/>
            <w:tcBorders>
              <w:top w:val="single" w:color="000000" w:sz="4" w:space="0"/>
              <w:left w:val="single" w:color="000000" w:sz="4" w:space="0"/>
              <w:bottom w:val="single" w:color="000000" w:sz="4" w:space="0"/>
              <w:right w:val="single" w:color="000000" w:sz="4" w:space="0"/>
            </w:tcBorders>
            <w:shd w:val="clear" w:color="auto" w:fill="B4C6E7"/>
            <w:vAlign w:val="center"/>
          </w:tcPr>
          <w:p w:rsidRPr="00F31A99" w:rsidR="00F31A99" w:rsidP="00F31A99" w:rsidRDefault="00F31A99" w14:paraId="7F306F96" w14:textId="77777777">
            <w:pPr>
              <w:tabs>
                <w:tab w:val="right" w:pos="2041"/>
              </w:tabs>
              <w:autoSpaceDN w:val="0"/>
              <w:spacing w:after="27" w:line="259" w:lineRule="auto"/>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Nombre </w:t>
            </w:r>
            <w:r w:rsidRPr="00F31A99">
              <w:rPr>
                <w:rFonts w:ascii="Times New Roman" w:hAnsi="Times New Roman" w:cs="Times New Roman"/>
                <w:b/>
                <w:highlight w:val="lightGray"/>
                <w:u w:color="000000"/>
              </w:rPr>
              <w:tab/>
            </w:r>
            <w:r w:rsidRPr="00F31A99">
              <w:rPr>
                <w:rFonts w:ascii="Times New Roman" w:hAnsi="Times New Roman" w:cs="Times New Roman"/>
                <w:b/>
                <w:highlight w:val="lightGray"/>
                <w:u w:color="000000"/>
              </w:rPr>
              <w:t xml:space="preserve">de </w:t>
            </w:r>
          </w:p>
          <w:p w:rsidRPr="00F31A99" w:rsidR="00F31A99" w:rsidP="00F31A99" w:rsidRDefault="00F31A99" w14:paraId="0035CA07" w14:textId="77777777">
            <w:pPr>
              <w:autoSpaceDN w:val="0"/>
              <w:spacing w:line="259" w:lineRule="auto"/>
              <w:ind w:left="4"/>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Oficina </w:t>
            </w:r>
          </w:p>
        </w:tc>
        <w:tc>
          <w:tcPr>
            <w:tcW w:w="592" w:type="pct"/>
            <w:tcBorders>
              <w:top w:val="single" w:color="000000" w:sz="4" w:space="0"/>
              <w:left w:val="single" w:color="000000" w:sz="4" w:space="0"/>
              <w:bottom w:val="single" w:color="000000" w:sz="4" w:space="0"/>
              <w:right w:val="single" w:color="000000" w:sz="4" w:space="0"/>
            </w:tcBorders>
            <w:shd w:val="clear" w:color="auto" w:fill="B4C6E7"/>
            <w:vAlign w:val="center"/>
          </w:tcPr>
          <w:p w:rsidRPr="00F31A99" w:rsidR="00F31A99" w:rsidP="00F31A99" w:rsidRDefault="00F31A99" w14:paraId="2A941DD3" w14:textId="77777777">
            <w:pPr>
              <w:autoSpaceDN w:val="0"/>
              <w:spacing w:line="259" w:lineRule="auto"/>
              <w:ind w:left="4"/>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Código Artículo </w:t>
            </w:r>
          </w:p>
        </w:tc>
        <w:tc>
          <w:tcPr>
            <w:tcW w:w="666" w:type="pct"/>
            <w:tcBorders>
              <w:top w:val="single" w:color="000000" w:sz="4" w:space="0"/>
              <w:left w:val="single" w:color="000000" w:sz="4" w:space="0"/>
              <w:bottom w:val="single" w:color="000000" w:sz="4" w:space="0"/>
              <w:right w:val="single" w:color="000000" w:sz="4" w:space="0"/>
            </w:tcBorders>
            <w:shd w:val="clear" w:color="auto" w:fill="B4C6E7"/>
            <w:vAlign w:val="center"/>
          </w:tcPr>
          <w:p w:rsidRPr="00F31A99" w:rsidR="00F31A99" w:rsidP="00F31A99" w:rsidRDefault="00F31A99" w14:paraId="0F48F2BC" w14:textId="77777777">
            <w:pPr>
              <w:autoSpaceDN w:val="0"/>
              <w:spacing w:line="259" w:lineRule="auto"/>
              <w:ind w:left="1"/>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Revisión de la DE </w:t>
            </w:r>
          </w:p>
        </w:tc>
        <w:tc>
          <w:tcPr>
            <w:tcW w:w="1005" w:type="pct"/>
            <w:tcBorders>
              <w:top w:val="single" w:color="000000" w:sz="4" w:space="0"/>
              <w:left w:val="single" w:color="000000" w:sz="4" w:space="0"/>
              <w:bottom w:val="single" w:color="000000" w:sz="4" w:space="0"/>
              <w:right w:val="single" w:color="000000" w:sz="4" w:space="0"/>
            </w:tcBorders>
            <w:shd w:val="clear" w:color="auto" w:fill="B4C6E7"/>
            <w:vAlign w:val="center"/>
          </w:tcPr>
          <w:p w:rsidRPr="00F31A99" w:rsidR="00F31A99" w:rsidP="00F31A99" w:rsidRDefault="00F31A99" w14:paraId="7C94D84E" w14:textId="77777777">
            <w:pPr>
              <w:autoSpaceDN w:val="0"/>
              <w:spacing w:line="259" w:lineRule="auto"/>
              <w:ind w:left="4"/>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Justificacione s </w:t>
            </w:r>
          </w:p>
        </w:tc>
        <w:tc>
          <w:tcPr>
            <w:tcW w:w="1008" w:type="pct"/>
            <w:tcBorders>
              <w:top w:val="single" w:color="000000" w:sz="4" w:space="0"/>
              <w:left w:val="single" w:color="000000" w:sz="4" w:space="0"/>
              <w:bottom w:val="single" w:color="000000" w:sz="4" w:space="0"/>
              <w:right w:val="single" w:color="000000" w:sz="4" w:space="0"/>
            </w:tcBorders>
            <w:shd w:val="clear" w:color="auto" w:fill="B4C6E7"/>
            <w:vAlign w:val="center"/>
          </w:tcPr>
          <w:p w:rsidRPr="00F31A99" w:rsidR="00F31A99" w:rsidP="00F31A99" w:rsidRDefault="00F31A99" w14:paraId="753B2982" w14:textId="77777777">
            <w:pPr>
              <w:autoSpaceDN w:val="0"/>
              <w:spacing w:after="8" w:line="276" w:lineRule="auto"/>
              <w:ind w:left="1"/>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Observacione s </w:t>
            </w:r>
            <w:r w:rsidRPr="00F31A99">
              <w:rPr>
                <w:rFonts w:ascii="Times New Roman" w:hAnsi="Times New Roman" w:cs="Times New Roman"/>
                <w:b/>
                <w:highlight w:val="lightGray"/>
                <w:u w:color="000000"/>
              </w:rPr>
              <w:tab/>
            </w:r>
            <w:r w:rsidRPr="00F31A99">
              <w:rPr>
                <w:rFonts w:ascii="Times New Roman" w:hAnsi="Times New Roman" w:cs="Times New Roman"/>
                <w:b/>
                <w:highlight w:val="lightGray"/>
                <w:u w:color="000000"/>
              </w:rPr>
              <w:t xml:space="preserve">Dirección </w:t>
            </w:r>
          </w:p>
          <w:p w:rsidRPr="00F31A99" w:rsidR="00F31A99" w:rsidP="00F31A99" w:rsidRDefault="00F31A99" w14:paraId="79B4661F" w14:textId="77777777">
            <w:pPr>
              <w:autoSpaceDN w:val="0"/>
              <w:spacing w:line="259" w:lineRule="auto"/>
              <w:ind w:left="1"/>
              <w:rPr>
                <w:rFonts w:ascii="Times New Roman" w:hAnsi="Times New Roman" w:cs="Times New Roman"/>
                <w:highlight w:val="lightGray"/>
                <w:u w:color="000000"/>
              </w:rPr>
            </w:pPr>
            <w:r w:rsidRPr="00F31A99">
              <w:rPr>
                <w:rFonts w:ascii="Times New Roman" w:hAnsi="Times New Roman" w:cs="Times New Roman"/>
                <w:b/>
                <w:highlight w:val="lightGray"/>
                <w:u w:color="000000"/>
              </w:rPr>
              <w:t xml:space="preserve">Ejecutiva </w:t>
            </w:r>
          </w:p>
        </w:tc>
      </w:tr>
      <w:tr w:rsidRPr="00F31A99" w:rsidR="00AE1B2B" w:rsidTr="00A306B2" w14:paraId="3BAFB20A" w14:textId="77777777">
        <w:trPr>
          <w:trHeight w:val="5724"/>
        </w:trPr>
        <w:tc>
          <w:tcPr>
            <w:tcW w:w="537" w:type="pct"/>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64A1C8E0" w14:textId="77777777">
            <w:pPr>
              <w:autoSpaceDN w:val="0"/>
              <w:spacing w:line="259" w:lineRule="auto"/>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458 </w:t>
            </w:r>
          </w:p>
        </w:tc>
        <w:tc>
          <w:tcPr>
            <w:tcW w:w="1192" w:type="pct"/>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2DA426EC" w14:textId="77777777">
            <w:pPr>
              <w:autoSpaceDN w:val="0"/>
              <w:spacing w:after="19" w:line="259" w:lineRule="auto"/>
              <w:ind w:left="4"/>
              <w:rPr>
                <w:rFonts w:ascii="Times New Roman" w:hAnsi="Times New Roman" w:cs="Times New Roman"/>
                <w:highlight w:val="lightGray"/>
                <w:u w:color="000000"/>
              </w:rPr>
            </w:pPr>
            <w:r w:rsidRPr="00F31A99">
              <w:rPr>
                <w:rFonts w:ascii="Times New Roman" w:hAnsi="Times New Roman" w:cs="Times New Roman"/>
                <w:highlight w:val="lightGray"/>
                <w:u w:color="000000"/>
              </w:rPr>
              <w:t>ADMINISTRACIÓ</w:t>
            </w:r>
          </w:p>
          <w:p w:rsidRPr="00F31A99" w:rsidR="00F31A99" w:rsidP="00F31A99" w:rsidRDefault="00F31A99" w14:paraId="0D75F4A5" w14:textId="77777777">
            <w:pPr>
              <w:autoSpaceDN w:val="0"/>
              <w:spacing w:after="19" w:line="259" w:lineRule="auto"/>
              <w:ind w:left="4"/>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N REGIONAL DE </w:t>
            </w:r>
          </w:p>
          <w:p w:rsidRPr="00F31A99" w:rsidR="00F31A99" w:rsidP="00F31A99" w:rsidRDefault="00F31A99" w14:paraId="0137074E" w14:textId="77777777">
            <w:pPr>
              <w:autoSpaceDN w:val="0"/>
              <w:spacing w:line="259" w:lineRule="auto"/>
              <w:ind w:left="4"/>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PUNTARENAS </w:t>
            </w:r>
          </w:p>
        </w:tc>
        <w:tc>
          <w:tcPr>
            <w:tcW w:w="592" w:type="pct"/>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371FF901" w14:textId="77777777">
            <w:pPr>
              <w:autoSpaceDN w:val="0"/>
              <w:spacing w:line="259" w:lineRule="auto"/>
              <w:ind w:left="4"/>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04265 </w:t>
            </w:r>
          </w:p>
        </w:tc>
        <w:tc>
          <w:tcPr>
            <w:tcW w:w="666" w:type="pct"/>
            <w:tcBorders>
              <w:top w:val="single" w:color="000000" w:sz="4" w:space="0"/>
              <w:left w:val="single" w:color="000000" w:sz="4" w:space="0"/>
              <w:bottom w:val="single" w:color="000000" w:sz="4" w:space="0"/>
              <w:right w:val="single" w:color="000000" w:sz="4" w:space="0"/>
            </w:tcBorders>
            <w:vAlign w:val="center"/>
          </w:tcPr>
          <w:p w:rsidRPr="00F31A99" w:rsidR="00F31A99" w:rsidP="00F31A99" w:rsidRDefault="00F31A99" w14:paraId="60A061A5" w14:textId="77777777">
            <w:pPr>
              <w:tabs>
                <w:tab w:val="right" w:pos="1112"/>
              </w:tabs>
              <w:autoSpaceDN w:val="0"/>
              <w:spacing w:after="27" w:line="259" w:lineRule="auto"/>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21 </w:t>
            </w:r>
            <w:r w:rsidRPr="00F31A99">
              <w:rPr>
                <w:rFonts w:ascii="Times New Roman" w:hAnsi="Times New Roman" w:cs="Times New Roman"/>
                <w:highlight w:val="lightGray"/>
                <w:u w:color="000000"/>
              </w:rPr>
              <w:tab/>
            </w:r>
            <w:r w:rsidRPr="00F31A99">
              <w:rPr>
                <w:rFonts w:ascii="Times New Roman" w:hAnsi="Times New Roman" w:cs="Times New Roman"/>
                <w:highlight w:val="lightGray"/>
                <w:u w:color="000000"/>
              </w:rPr>
              <w:t xml:space="preserve">040 </w:t>
            </w:r>
          </w:p>
          <w:p w:rsidRPr="00F31A99" w:rsidR="00F31A99" w:rsidP="00F31A99" w:rsidRDefault="00F31A99" w14:paraId="03CEEAC9" w14:textId="77777777">
            <w:pPr>
              <w:autoSpaceDN w:val="0"/>
              <w:spacing w:line="259" w:lineRule="auto"/>
              <w:ind w:left="1"/>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162 </w:t>
            </w:r>
          </w:p>
        </w:tc>
        <w:tc>
          <w:tcPr>
            <w:tcW w:w="1005" w:type="pct"/>
            <w:tcBorders>
              <w:top w:val="single" w:color="000000" w:sz="4" w:space="0"/>
              <w:left w:val="single" w:color="000000" w:sz="4" w:space="0"/>
              <w:bottom w:val="single" w:color="000000" w:sz="4" w:space="0"/>
              <w:right w:val="single" w:color="000000" w:sz="4" w:space="0"/>
            </w:tcBorders>
          </w:tcPr>
          <w:p w:rsidRPr="00F31A99" w:rsidR="00F31A99" w:rsidP="00F31A99" w:rsidRDefault="00F31A99" w14:paraId="3411CD74" w14:textId="77777777">
            <w:pPr>
              <w:autoSpaceDN w:val="0"/>
              <w:spacing w:line="278" w:lineRule="auto"/>
              <w:ind w:left="4"/>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Recurso requerido para atender </w:t>
            </w:r>
            <w:r w:rsidRPr="00F31A99">
              <w:rPr>
                <w:rFonts w:ascii="Times New Roman" w:hAnsi="Times New Roman" w:cs="Times New Roman"/>
                <w:highlight w:val="lightGray"/>
                <w:u w:color="000000"/>
              </w:rPr>
              <w:tab/>
            </w:r>
            <w:r w:rsidRPr="00F31A99">
              <w:rPr>
                <w:rFonts w:ascii="Times New Roman" w:hAnsi="Times New Roman" w:cs="Times New Roman"/>
                <w:highlight w:val="lightGray"/>
                <w:u w:color="000000"/>
              </w:rPr>
              <w:t xml:space="preserve">la seguridad para el </w:t>
            </w:r>
            <w:r w:rsidRPr="00F31A99">
              <w:rPr>
                <w:rFonts w:ascii="Times New Roman" w:hAnsi="Times New Roman" w:cs="Times New Roman"/>
                <w:highlight w:val="lightGray"/>
                <w:u w:color="000000"/>
              </w:rPr>
              <w:tab/>
            </w:r>
            <w:r w:rsidRPr="00F31A99">
              <w:rPr>
                <w:rFonts w:ascii="Times New Roman" w:hAnsi="Times New Roman" w:cs="Times New Roman"/>
                <w:highlight w:val="lightGray"/>
                <w:u w:color="000000"/>
              </w:rPr>
              <w:t xml:space="preserve">nuevo </w:t>
            </w:r>
          </w:p>
          <w:p w:rsidRPr="00F31A99" w:rsidR="00F31A99" w:rsidP="00F31A99" w:rsidRDefault="00F31A99" w14:paraId="2A03A9F8" w14:textId="77777777">
            <w:pPr>
              <w:autoSpaceDN w:val="0"/>
              <w:spacing w:after="19" w:line="259" w:lineRule="auto"/>
              <w:ind w:left="4"/>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edificio </w:t>
            </w:r>
          </w:p>
          <w:p w:rsidRPr="00F31A99" w:rsidR="00F31A99" w:rsidP="00F31A99" w:rsidRDefault="00F31A99" w14:paraId="699C45DD" w14:textId="77777777">
            <w:pPr>
              <w:autoSpaceDN w:val="0"/>
              <w:spacing w:line="276" w:lineRule="auto"/>
              <w:ind w:left="4" w:right="65"/>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(durante 4 meses, ya que la fecha de entrega está estimada para el 01/09/2022), lo anterior considerando las </w:t>
            </w:r>
          </w:p>
          <w:p w:rsidRPr="00F31A99" w:rsidR="00F31A99" w:rsidP="00F31A99" w:rsidRDefault="00F31A99" w14:paraId="2B312706" w14:textId="77777777">
            <w:pPr>
              <w:autoSpaceDN w:val="0"/>
              <w:spacing w:after="21" w:line="259" w:lineRule="auto"/>
              <w:ind w:left="4"/>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dimensiones </w:t>
            </w:r>
          </w:p>
          <w:p w:rsidRPr="00F31A99" w:rsidR="00F31A99" w:rsidP="00F31A99" w:rsidRDefault="00F31A99" w14:paraId="17B2CEB3" w14:textId="77777777">
            <w:pPr>
              <w:autoSpaceDN w:val="0"/>
              <w:spacing w:line="259" w:lineRule="auto"/>
              <w:ind w:left="4"/>
              <w:rPr>
                <w:rFonts w:ascii="Times New Roman" w:hAnsi="Times New Roman" w:cs="Times New Roman"/>
                <w:highlight w:val="lightGray"/>
                <w:u w:color="000000"/>
              </w:rPr>
            </w:pPr>
            <w:r w:rsidRPr="00F31A99">
              <w:rPr>
                <w:rFonts w:ascii="Times New Roman" w:hAnsi="Times New Roman" w:cs="Times New Roman"/>
                <w:highlight w:val="lightGray"/>
                <w:u w:color="000000"/>
              </w:rPr>
              <w:t>del edificio, su estructura y habilitación de 4 puestos fijos.</w:t>
            </w:r>
          </w:p>
        </w:tc>
        <w:tc>
          <w:tcPr>
            <w:tcW w:w="1008" w:type="pct"/>
            <w:tcBorders>
              <w:top w:val="single" w:color="000000" w:sz="4" w:space="0"/>
              <w:left w:val="single" w:color="000000" w:sz="4" w:space="0"/>
              <w:bottom w:val="single" w:color="000000" w:sz="4" w:space="0"/>
              <w:right w:val="single" w:color="000000" w:sz="4" w:space="0"/>
            </w:tcBorders>
          </w:tcPr>
          <w:p w:rsidRPr="00F31A99" w:rsidR="00F31A99" w:rsidP="00F31A99" w:rsidRDefault="00F31A99" w14:paraId="41B06160" w14:textId="77777777">
            <w:pPr>
              <w:autoSpaceDN w:val="0"/>
              <w:spacing w:line="278" w:lineRule="auto"/>
              <w:ind w:left="1"/>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Recurso requerido para atender </w:t>
            </w:r>
            <w:r w:rsidRPr="00F31A99">
              <w:rPr>
                <w:rFonts w:ascii="Times New Roman" w:hAnsi="Times New Roman" w:cs="Times New Roman"/>
                <w:highlight w:val="lightGray"/>
                <w:u w:color="000000"/>
              </w:rPr>
              <w:tab/>
            </w:r>
            <w:r w:rsidRPr="00F31A99">
              <w:rPr>
                <w:rFonts w:ascii="Times New Roman" w:hAnsi="Times New Roman" w:cs="Times New Roman"/>
                <w:highlight w:val="lightGray"/>
                <w:u w:color="000000"/>
              </w:rPr>
              <w:t xml:space="preserve">la seguridad para el </w:t>
            </w:r>
            <w:r w:rsidRPr="00F31A99">
              <w:rPr>
                <w:rFonts w:ascii="Times New Roman" w:hAnsi="Times New Roman" w:cs="Times New Roman"/>
                <w:highlight w:val="lightGray"/>
                <w:u w:color="000000"/>
              </w:rPr>
              <w:tab/>
            </w:r>
            <w:r w:rsidRPr="00F31A99">
              <w:rPr>
                <w:rFonts w:ascii="Times New Roman" w:hAnsi="Times New Roman" w:cs="Times New Roman"/>
                <w:highlight w:val="lightGray"/>
                <w:u w:color="000000"/>
              </w:rPr>
              <w:t xml:space="preserve">nuevo </w:t>
            </w:r>
          </w:p>
          <w:p w:rsidRPr="00F31A99" w:rsidR="00F31A99" w:rsidP="00F31A99" w:rsidRDefault="00F31A99" w14:paraId="26946A21" w14:textId="77777777">
            <w:pPr>
              <w:autoSpaceDN w:val="0"/>
              <w:spacing w:after="19" w:line="259" w:lineRule="auto"/>
              <w:ind w:left="1"/>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edificio </w:t>
            </w:r>
          </w:p>
          <w:p w:rsidRPr="00F31A99" w:rsidR="00F31A99" w:rsidP="00F31A99" w:rsidRDefault="00F31A99" w14:paraId="26B84E0E" w14:textId="77777777">
            <w:pPr>
              <w:tabs>
                <w:tab w:val="right" w:pos="1713"/>
              </w:tabs>
              <w:autoSpaceDN w:val="0"/>
              <w:spacing w:after="29" w:line="259" w:lineRule="auto"/>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(durante </w:t>
            </w:r>
            <w:r w:rsidRPr="00F31A99">
              <w:rPr>
                <w:rFonts w:ascii="Times New Roman" w:hAnsi="Times New Roman" w:cs="Times New Roman"/>
                <w:highlight w:val="lightGray"/>
                <w:u w:color="000000"/>
              </w:rPr>
              <w:tab/>
            </w:r>
            <w:r w:rsidRPr="00F31A99">
              <w:rPr>
                <w:rFonts w:ascii="Times New Roman" w:hAnsi="Times New Roman" w:cs="Times New Roman"/>
                <w:highlight w:val="lightGray"/>
                <w:u w:color="000000"/>
              </w:rPr>
              <w:t xml:space="preserve">2 </w:t>
            </w:r>
          </w:p>
          <w:p w:rsidRPr="00F31A99" w:rsidR="00F31A99" w:rsidP="00F31A99" w:rsidRDefault="00F31A99" w14:paraId="07972F4E" w14:textId="77777777">
            <w:pPr>
              <w:autoSpaceDN w:val="0"/>
              <w:spacing w:after="19" w:line="259" w:lineRule="auto"/>
              <w:ind w:left="1"/>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meses, </w:t>
            </w:r>
          </w:p>
          <w:p w:rsidRPr="00F31A99" w:rsidR="00F31A99" w:rsidP="00F31A99" w:rsidRDefault="00F31A99" w14:paraId="4DFE6A00" w14:textId="77777777">
            <w:pPr>
              <w:autoSpaceDN w:val="0"/>
              <w:spacing w:after="19" w:line="259" w:lineRule="auto"/>
              <w:ind w:left="1"/>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considerando </w:t>
            </w:r>
          </w:p>
          <w:p w:rsidRPr="00F31A99" w:rsidR="00F31A99" w:rsidP="00F31A99" w:rsidRDefault="00F31A99" w14:paraId="3435515A" w14:textId="77777777">
            <w:pPr>
              <w:autoSpaceDN w:val="0"/>
              <w:spacing w:line="277" w:lineRule="auto"/>
              <w:ind w:left="1" w:right="68"/>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como fecha estimada de entrega el </w:t>
            </w:r>
          </w:p>
          <w:p w:rsidRPr="00F31A99" w:rsidR="00F31A99" w:rsidP="00F31A99" w:rsidRDefault="00F31A99" w14:paraId="7C7EAAE1" w14:textId="77777777">
            <w:pPr>
              <w:autoSpaceDN w:val="0"/>
              <w:spacing w:after="19" w:line="259" w:lineRule="auto"/>
              <w:ind w:left="1"/>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01/11/2022), </w:t>
            </w:r>
          </w:p>
          <w:p w:rsidRPr="00F31A99" w:rsidR="00F31A99" w:rsidP="00F31A99" w:rsidRDefault="00F31A99" w14:paraId="226E7AFE" w14:textId="77777777">
            <w:pPr>
              <w:autoSpaceDN w:val="0"/>
              <w:spacing w:line="276" w:lineRule="auto"/>
              <w:ind w:left="1"/>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de acuerdo con las </w:t>
            </w:r>
          </w:p>
          <w:p w:rsidRPr="00F31A99" w:rsidR="00F31A99" w:rsidP="00F31A99" w:rsidRDefault="00F31A99" w14:paraId="0371227E" w14:textId="77777777">
            <w:pPr>
              <w:autoSpaceDN w:val="0"/>
              <w:spacing w:after="21" w:line="259" w:lineRule="auto"/>
              <w:ind w:left="1"/>
              <w:rPr>
                <w:rFonts w:ascii="Times New Roman" w:hAnsi="Times New Roman" w:cs="Times New Roman"/>
                <w:highlight w:val="lightGray"/>
                <w:u w:color="000000"/>
              </w:rPr>
            </w:pPr>
            <w:r w:rsidRPr="00F31A99">
              <w:rPr>
                <w:rFonts w:ascii="Times New Roman" w:hAnsi="Times New Roman" w:cs="Times New Roman"/>
                <w:highlight w:val="lightGray"/>
                <w:u w:color="000000"/>
              </w:rPr>
              <w:t xml:space="preserve">consideraciones </w:t>
            </w:r>
            <w:r w:rsidRPr="00F31A99">
              <w:rPr>
                <w:rFonts w:ascii="Times New Roman" w:hAnsi="Times New Roman" w:cs="Times New Roman"/>
                <w:highlight w:val="lightGray"/>
                <w:u w:color="000000"/>
              </w:rPr>
              <w:tab/>
            </w:r>
            <w:r w:rsidRPr="00F31A99">
              <w:rPr>
                <w:rFonts w:ascii="Times New Roman" w:hAnsi="Times New Roman" w:cs="Times New Roman"/>
                <w:highlight w:val="lightGray"/>
                <w:u w:color="000000"/>
              </w:rPr>
              <w:t xml:space="preserve">del </w:t>
            </w:r>
          </w:p>
          <w:p w:rsidRPr="00F31A99" w:rsidR="00F31A99" w:rsidP="00F31A99" w:rsidRDefault="00F31A99" w14:paraId="2644E270" w14:textId="77777777">
            <w:pPr>
              <w:autoSpaceDN w:val="0"/>
              <w:spacing w:line="259" w:lineRule="auto"/>
              <w:ind w:left="1"/>
              <w:rPr>
                <w:rFonts w:ascii="Times New Roman" w:hAnsi="Times New Roman" w:cs="Times New Roman"/>
                <w:highlight w:val="lightGray"/>
                <w:u w:color="000000"/>
              </w:rPr>
            </w:pPr>
            <w:r w:rsidRPr="00F31A99">
              <w:rPr>
                <w:rFonts w:ascii="Times New Roman" w:hAnsi="Times New Roman" w:cs="Times New Roman"/>
                <w:highlight w:val="lightGray"/>
                <w:u w:color="000000"/>
              </w:rPr>
              <w:t>Departamento de Seguridad se requiere un mínimo de 3 puestos fijos.</w:t>
            </w:r>
          </w:p>
        </w:tc>
      </w:tr>
    </w:tbl>
    <w:p w:rsidRPr="00F31A99" w:rsidR="00F31A99" w:rsidP="00F31A99" w:rsidRDefault="00F31A99" w14:paraId="5E4DEAD2" w14:textId="77777777">
      <w:pPr>
        <w:autoSpaceDN w:val="0"/>
        <w:spacing w:after="19" w:line="259" w:lineRule="auto"/>
        <w:rPr>
          <w:rFonts w:ascii="Times New Roman" w:hAnsi="Times New Roman" w:eastAsia="Calibri" w:cs="Times New Roman"/>
          <w:highlight w:val="lightGray"/>
          <w:u w:color="000000"/>
        </w:rPr>
      </w:pPr>
    </w:p>
    <w:p w:rsidRPr="00F31A99" w:rsidR="00F31A99" w:rsidP="00F31A99" w:rsidRDefault="00F31A99" w14:paraId="6E36552D" w14:textId="77777777">
      <w:pPr>
        <w:autoSpaceDN w:val="0"/>
        <w:spacing w:after="10" w:line="268" w:lineRule="auto"/>
        <w:ind w:left="-5"/>
        <w:rPr>
          <w:rFonts w:ascii="Times New Roman" w:hAnsi="Times New Roman" w:eastAsia="Calibri" w:cs="Times New Roman"/>
          <w:sz w:val="24"/>
          <w:highlight w:val="lightGray"/>
          <w:u w:color="000000"/>
        </w:rPr>
      </w:pPr>
    </w:p>
    <w:p w:rsidRPr="00F31A99" w:rsidR="00F31A99" w:rsidP="00F31A99" w:rsidRDefault="00F31A99" w14:paraId="356E85DA"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Cabe destacar, que en el caso del monto para el servicio de limpieza del Anexo E, solicitado por la Administración Regional del I Circuito Judicial de San José, se transcribe para conocimiento del Consejo Superior, el oficio N° 140-OAT-2021 del 14 de marzo de </w:t>
      </w:r>
      <w:r w:rsidRPr="00F31A99">
        <w:rPr>
          <w:rFonts w:ascii="Times New Roman" w:hAnsi="Times New Roman" w:eastAsia="Calibri" w:cs="Times New Roman"/>
          <w:bCs/>
          <w:sz w:val="26"/>
          <w:szCs w:val="26"/>
          <w:u w:color="000000"/>
        </w:rPr>
        <w:lastRenderedPageBreak/>
        <w:t xml:space="preserve">2021, suscrito por el Licenciado Esteban Solano Alvarado, por medio del cual expone dos alternativas para solventar este requerimiento, para que ese Consejo determine por cuál de las alternativas se decanta, a efecto de solventar esta necesidad: </w:t>
      </w:r>
    </w:p>
    <w:p w:rsidRPr="00F31A99" w:rsidR="00F31A99" w:rsidP="00F31A99" w:rsidRDefault="00F31A99" w14:paraId="6C11C240" w14:textId="77777777">
      <w:pPr>
        <w:autoSpaceDN w:val="0"/>
        <w:spacing w:line="360" w:lineRule="auto"/>
        <w:jc w:val="both"/>
        <w:rPr>
          <w:rFonts w:ascii="Times New Roman" w:hAnsi="Times New Roman" w:eastAsia="Calibri" w:cs="Times New Roman"/>
          <w:sz w:val="28"/>
          <w:szCs w:val="28"/>
          <w:highlight w:val="lightGray"/>
          <w:u w:color="000000"/>
        </w:rPr>
      </w:pPr>
      <w:r w:rsidRPr="00F31A99">
        <w:rPr>
          <w:rFonts w:ascii="Times New Roman" w:hAnsi="Times New Roman" w:eastAsia="Calibri" w:cs="Times New Roman"/>
          <w:sz w:val="28"/>
          <w:szCs w:val="28"/>
          <w:highlight w:val="lightGray"/>
          <w:u w:color="000000"/>
        </w:rPr>
        <w:t xml:space="preserve"> </w:t>
      </w:r>
    </w:p>
    <w:p w:rsidRPr="00F31A99" w:rsidR="00F31A99" w:rsidP="00F31A99" w:rsidRDefault="00F31A99" w14:paraId="00560B16"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“Durante el año 2019, se realizaron una serie de sesiones de trabajo para analizar los diferentes requerimientos que iba a demandar el nuevo edificio Anexo E, esto como parte del abordaje previo al inicio de operaciones, entre ellos las necesidades de puestos de trabajo que permitan brindar el servicio de limpieza en tiempo y forma.” </w:t>
      </w:r>
    </w:p>
    <w:p w:rsidRPr="00F31A99" w:rsidR="00F31A99" w:rsidP="00F31A99" w:rsidRDefault="00F31A99" w14:paraId="7FF40BF4" w14:textId="77777777">
      <w:pPr>
        <w:autoSpaceDN w:val="0"/>
        <w:spacing w:after="16" w:line="360" w:lineRule="auto"/>
        <w:jc w:val="both"/>
        <w:rPr>
          <w:rFonts w:ascii="Times New Roman" w:hAnsi="Times New Roman" w:eastAsia="Calibri" w:cs="Times New Roman"/>
          <w:sz w:val="28"/>
          <w:szCs w:val="28"/>
          <w:highlight w:val="lightGray"/>
          <w:u w:color="000000"/>
        </w:rPr>
      </w:pPr>
      <w:r w:rsidRPr="00F31A99">
        <w:rPr>
          <w:rFonts w:ascii="Times New Roman" w:hAnsi="Times New Roman" w:eastAsia="Calibri" w:cs="Times New Roman"/>
          <w:sz w:val="28"/>
          <w:szCs w:val="28"/>
          <w:highlight w:val="lightGray"/>
          <w:u w:color="000000"/>
        </w:rPr>
        <w:t xml:space="preserve"> </w:t>
      </w:r>
    </w:p>
    <w:p w:rsidRPr="00F31A99" w:rsidR="00F31A99" w:rsidP="00F31A99" w:rsidRDefault="00F31A99" w14:paraId="507B7BFD"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Finalmente, se indica: </w:t>
      </w:r>
    </w:p>
    <w:p w:rsidRPr="00F31A99" w:rsidR="00F31A99" w:rsidP="00F31A99" w:rsidRDefault="00F31A99" w14:paraId="2C5073CD"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25773F9D"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se solicita al Consejo Superior que se tenga presente y en ese sentido se gire instrucción a la Dirección de Planificación con el fin que considere que, para el caso del nuevo edificio de Tribunales de Puntarenas, se requerirá para el año 2023, en la subpartida de Alquiler de edificios, la suma estimada de ₡ 5.005.584.240,00 para atender los compromisos adquiridos con el Fideicomiso, dado que según proyecciones el edificio será entregado para uso del Poder Judicial en noviembre de 2022. Si bien el monto podría disminuir debido a mejoras en la condición del crédito y sumas adicionales que podría aportar el Poder Judicial, de momento este es el que se proyecta”.</w:t>
      </w:r>
    </w:p>
    <w:p w:rsidRPr="00F31A99" w:rsidR="00F31A99" w:rsidP="00F31A99" w:rsidRDefault="00F31A99" w14:paraId="6AD03017" w14:textId="77777777">
      <w:pPr>
        <w:autoSpaceDN w:val="0"/>
        <w:spacing w:after="160" w:line="259" w:lineRule="auto"/>
        <w:rPr>
          <w:rFonts w:ascii="Times New Roman" w:hAnsi="Times New Roman" w:eastAsia="Calibri" w:cs="Times New Roman"/>
          <w:sz w:val="28"/>
          <w:szCs w:val="28"/>
          <w:highlight w:val="lightGray"/>
          <w:u w:color="000000"/>
        </w:rPr>
      </w:pPr>
    </w:p>
    <w:p w:rsidRPr="00F31A99" w:rsidR="00F31A99" w:rsidP="00F31A99" w:rsidRDefault="00F31A99" w14:paraId="4FD1DC30"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El archivo completo se adjunta a continuación:</w:t>
      </w:r>
    </w:p>
    <w:p w:rsidRPr="00F31A99" w:rsidR="00F31A99" w:rsidP="00F31A99" w:rsidRDefault="00F31A99" w14:paraId="40F904C4"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2C389930" w14:textId="77777777">
      <w:pPr>
        <w:autoSpaceDN w:val="0"/>
        <w:spacing w:after="10" w:line="360" w:lineRule="auto"/>
        <w:ind w:left="-5"/>
        <w:jc w:val="center"/>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highlight w:val="lightGray"/>
          <w:u w:color="000000"/>
        </w:rPr>
        <w:object w:dxaOrig="1508" w:dyaOrig="984" w14:anchorId="76570002">
          <v:shape id="_x0000_i1598" style="width:76.4pt;height:48.85pt" o:ole="" type="#_x0000_t75">
            <v:imagedata o:title="" r:id="rId79"/>
          </v:shape>
          <o:OLEObject Type="Embed" ProgID="AcroExch.Document.DC" ShapeID="_x0000_i1598" DrawAspect="Icon" ObjectID="_1681900454" r:id="rId80"/>
        </w:object>
      </w:r>
    </w:p>
    <w:p w:rsidRPr="00F31A99" w:rsidR="00F31A99" w:rsidP="00F31A99" w:rsidRDefault="00F31A99" w14:paraId="125992F1" w14:textId="77777777">
      <w:pPr>
        <w:autoSpaceDN w:val="0"/>
        <w:spacing w:after="10" w:line="360" w:lineRule="auto"/>
        <w:jc w:val="center"/>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-0-</w:t>
      </w:r>
    </w:p>
    <w:p w:rsidRPr="00F31A99" w:rsidR="00F31A99" w:rsidP="00F31A99" w:rsidRDefault="00F31A99" w14:paraId="1166EC7D"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Adicionalmente, se indica que para el caso del Segundo Circuito Judicial de la Zona Sur, se solicitó a la Dirección Ejecutiva hacer una revisión de una solicitud por ₡42.080.324 para servicio de vigilancia en atención a una orden sanitaria MS-DRRSBRU-ARSC-OS-2005-2020 referente a los vehículos decomisados que se mantienen en los alrededores del edificio de los Tribunales de Corredores. Además de una solicitud de ₡23.730.000 para alquiler de un predio que permita albergar vehículos y motocicletas. </w:t>
      </w:r>
    </w:p>
    <w:p w:rsidRPr="00F31A99" w:rsidR="00F31A99" w:rsidP="00F31A99" w:rsidRDefault="00F31A99" w14:paraId="348B2F15"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5A9A10E5"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Al respecto, se recibió la respuesta de la Dirección Ejecutiva, en la que el Lic. Wilbert Kidd manifestó que en atención a los requerimientos adicionales en arrendamientos y seguridad por parte de la Administración Regional de Corredores, si bien es cierto que se han realizado esfuerzos por procurar un terreno donado o cedido para custodiar los vehículos decomisados, hasta la fecha no existe nada en concreto que nos permita materializar esta opción, por lo que se considera que se debe incluir en el presupuesto el monto de alquiler que se indica. Por su parte, el monto para cubrir un puesto de seguridad por 24 horas es el que actualmente se paga en el contrato vigente, por lo que el dato está correcto.</w:t>
      </w:r>
    </w:p>
    <w:p w:rsidRPr="00F31A99" w:rsidR="00F31A99" w:rsidP="00F31A99" w:rsidRDefault="00F31A99" w14:paraId="6386F9FB"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4C30F563" w14:textId="77777777">
      <w:pPr>
        <w:autoSpaceDN w:val="0"/>
        <w:ind w:left="851" w:right="851" w:firstLine="709"/>
        <w:jc w:val="center"/>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-0-</w:t>
      </w:r>
    </w:p>
    <w:p w:rsidRPr="00F31A99" w:rsidR="00F31A99" w:rsidP="00F31A99" w:rsidRDefault="00F31A99" w14:paraId="0D42C3B0" w14:textId="77777777">
      <w:pPr>
        <w:autoSpaceDN w:val="0"/>
        <w:rPr>
          <w:rFonts w:ascii="Times New Roman" w:hAnsi="Times New Roman" w:eastAsia="Calibri" w:cs="Times New Roman"/>
          <w:u w:color="000000"/>
        </w:rPr>
      </w:pPr>
    </w:p>
    <w:p w:rsidRPr="00F31A99" w:rsidR="00F31A99" w:rsidP="00F31A99" w:rsidRDefault="00F31A99" w14:paraId="5559FFEB" w14:textId="77777777">
      <w:pPr>
        <w:autoSpaceDN w:val="0"/>
        <w:spacing w:line="480" w:lineRule="auto"/>
        <w:ind w:left="2" w:right="68" w:firstLine="709"/>
        <w:jc w:val="both"/>
        <w:rPr>
          <w:rFonts w:ascii="Times New Roman" w:hAnsi="Times New Roman" w:eastAsia="Calibri" w:cs="Times New Roman"/>
          <w:sz w:val="28"/>
          <w:szCs w:val="28"/>
          <w:u w:color="000000"/>
        </w:rPr>
      </w:pPr>
      <w:r w:rsidRPr="00F31A99">
        <w:rPr>
          <w:rFonts w:ascii="Times New Roman" w:hAnsi="Times New Roman" w:eastAsia="Calibri" w:cs="Times New Roman"/>
          <w:b/>
          <w:bCs/>
          <w:sz w:val="28"/>
          <w:szCs w:val="28"/>
          <w:u w:color="000000"/>
        </w:rPr>
        <w:t>Se acuerda</w:t>
      </w:r>
      <w:r w:rsidRPr="00F31A99">
        <w:rPr>
          <w:rFonts w:ascii="Times New Roman" w:hAnsi="Times New Roman" w:eastAsia="Calibri" w:cs="Times New Roman"/>
          <w:b/>
          <w:sz w:val="28"/>
          <w:szCs w:val="28"/>
          <w:u w:color="000000"/>
        </w:rPr>
        <w:t>: 1.)</w:t>
      </w:r>
      <w:r w:rsidRPr="00F31A99">
        <w:rPr>
          <w:rFonts w:ascii="Times New Roman" w:hAnsi="Times New Roman" w:eastAsia="Calibri" w:cs="Times New Roman"/>
          <w:sz w:val="28"/>
          <w:szCs w:val="28"/>
          <w:u w:color="000000"/>
        </w:rPr>
        <w:t xml:space="preserve"> Se dan por conocidos los recursos formulados en la subpartida 10406 “Servicios Generales”, sin embargo, se estará a la espera de su aprobación final a partir del análisis global del presupuesto 2022, para aprobar una propuesta integral que consolide todas las necesidades institucionales. </w:t>
      </w:r>
      <w:r w:rsidRPr="00F31A99">
        <w:rPr>
          <w:rFonts w:ascii="Times New Roman" w:hAnsi="Times New Roman" w:eastAsia="Calibri" w:cs="Times New Roman"/>
          <w:b/>
          <w:sz w:val="28"/>
          <w:szCs w:val="28"/>
          <w:u w:color="000000"/>
        </w:rPr>
        <w:t>2.)</w:t>
      </w:r>
      <w:r w:rsidRPr="00F31A99">
        <w:rPr>
          <w:rFonts w:ascii="Times New Roman" w:hAnsi="Times New Roman" w:eastAsia="Calibri" w:cs="Times New Roman"/>
          <w:sz w:val="28"/>
          <w:szCs w:val="28"/>
          <w:u w:color="000000"/>
        </w:rPr>
        <w:t xml:space="preserve"> En cuanto a “Otros Requerimientos Operativos” se aprueban por un total de </w:t>
      </w:r>
      <w:r w:rsidRPr="00F31A99">
        <w:rPr>
          <w:rFonts w:ascii="Times New Roman" w:hAnsi="Times New Roman" w:eastAsia="Calibri" w:cs="Times New Roman"/>
          <w:i/>
          <w:iCs/>
          <w:sz w:val="28"/>
          <w:szCs w:val="28"/>
          <w:u w:color="000000"/>
        </w:rPr>
        <w:t>₡</w:t>
      </w:r>
      <w:r w:rsidRPr="00F31A99">
        <w:rPr>
          <w:rFonts w:ascii="Times New Roman" w:hAnsi="Times New Roman" w:eastAsia="Calibri" w:cs="Times New Roman"/>
          <w:sz w:val="28"/>
          <w:szCs w:val="28"/>
          <w:u w:color="000000"/>
        </w:rPr>
        <w:t xml:space="preserve">79.834.207,72. </w:t>
      </w:r>
      <w:r w:rsidRPr="00F31A99">
        <w:rPr>
          <w:rFonts w:ascii="Times New Roman" w:hAnsi="Times New Roman" w:eastAsia="Calibri" w:cs="Times New Roman"/>
          <w:b/>
          <w:sz w:val="28"/>
          <w:szCs w:val="28"/>
          <w:u w:color="000000"/>
        </w:rPr>
        <w:t>3.)</w:t>
      </w:r>
      <w:r w:rsidRPr="00F31A99">
        <w:rPr>
          <w:rFonts w:ascii="Times New Roman" w:hAnsi="Times New Roman" w:eastAsia="Calibri" w:cs="Times New Roman"/>
          <w:sz w:val="28"/>
          <w:szCs w:val="28"/>
          <w:u w:color="000000"/>
        </w:rPr>
        <w:t xml:space="preserve"> Aprobar los recursos para incluir en el Segundo Circuito Judicial de la Zona Sur la previsión correspondiente para el servicio de alquiler de predio </w:t>
      </w:r>
      <w:r w:rsidRPr="00F31A99">
        <w:rPr>
          <w:rFonts w:ascii="Times New Roman" w:hAnsi="Times New Roman" w:eastAsia="Calibri" w:cs="Times New Roman"/>
          <w:i/>
          <w:iCs/>
          <w:sz w:val="28"/>
          <w:szCs w:val="28"/>
          <w:u w:color="000000"/>
        </w:rPr>
        <w:t>₡</w:t>
      </w:r>
      <w:r w:rsidRPr="00F31A99">
        <w:rPr>
          <w:rFonts w:ascii="Times New Roman" w:hAnsi="Times New Roman" w:eastAsia="Calibri" w:cs="Times New Roman"/>
          <w:sz w:val="28"/>
          <w:szCs w:val="28"/>
          <w:u w:color="000000"/>
        </w:rPr>
        <w:t xml:space="preserve">23.730.000 para custodiar los vehículos decomisados, así como del monto solicitado para contratar los servicios de seguridad </w:t>
      </w:r>
      <w:r w:rsidRPr="00F31A99">
        <w:rPr>
          <w:rFonts w:ascii="Times New Roman" w:hAnsi="Times New Roman" w:eastAsia="Calibri" w:cs="Times New Roman"/>
          <w:i/>
          <w:iCs/>
          <w:sz w:val="28"/>
          <w:szCs w:val="28"/>
          <w:u w:color="000000"/>
        </w:rPr>
        <w:t>₡</w:t>
      </w:r>
      <w:r w:rsidRPr="00F31A99">
        <w:rPr>
          <w:rFonts w:ascii="Times New Roman" w:hAnsi="Times New Roman" w:eastAsia="Calibri" w:cs="Times New Roman"/>
          <w:sz w:val="28"/>
          <w:szCs w:val="28"/>
          <w:u w:color="000000"/>
        </w:rPr>
        <w:t xml:space="preserve">42.080.324. La Dirección Ejecutiva debe realizar un prorrateo para distribuir por programa los recursos presupuestarios correspondientes. </w:t>
      </w:r>
      <w:r w:rsidRPr="00F31A99">
        <w:rPr>
          <w:rFonts w:ascii="Times New Roman" w:hAnsi="Times New Roman" w:eastAsia="Calibri" w:cs="Times New Roman"/>
          <w:b/>
          <w:sz w:val="28"/>
          <w:szCs w:val="28"/>
          <w:u w:color="000000"/>
        </w:rPr>
        <w:t>4.)</w:t>
      </w:r>
      <w:r w:rsidRPr="00F31A99">
        <w:rPr>
          <w:rFonts w:ascii="Times New Roman" w:hAnsi="Times New Roman" w:eastAsia="Calibri" w:cs="Times New Roman"/>
          <w:sz w:val="28"/>
          <w:szCs w:val="28"/>
          <w:u w:color="000000"/>
        </w:rPr>
        <w:t xml:space="preserve"> Se aprueba la inclusión de recursos para atender el trámite de contratación de los dos puestos de limpieza en la administración del Primer Circuito Judicial de </w:t>
      </w:r>
      <w:r w:rsidRPr="00F31A99">
        <w:rPr>
          <w:rFonts w:ascii="Times New Roman" w:hAnsi="Times New Roman" w:eastAsia="Calibri" w:cs="Times New Roman"/>
          <w:sz w:val="28"/>
          <w:szCs w:val="28"/>
          <w:u w:color="000000"/>
        </w:rPr>
        <w:lastRenderedPageBreak/>
        <w:t xml:space="preserve">San José (Anexo E), conforme el oficio 131-OAT2021, por lo que la Dirección Ejecutiva deberá estimar el costo correspondiente y comunicarlo a la Dirección de Planificación. </w:t>
      </w:r>
      <w:r w:rsidRPr="00F31A99">
        <w:rPr>
          <w:rFonts w:ascii="Times New Roman" w:hAnsi="Times New Roman" w:eastAsia="Calibri" w:cs="Times New Roman"/>
          <w:b/>
          <w:sz w:val="28"/>
          <w:szCs w:val="28"/>
          <w:u w:color="000000"/>
        </w:rPr>
        <w:t>5.)</w:t>
      </w:r>
      <w:r w:rsidRPr="00F31A99">
        <w:rPr>
          <w:rFonts w:ascii="Times New Roman" w:hAnsi="Times New Roman" w:eastAsia="Calibri" w:cs="Times New Roman"/>
          <w:sz w:val="28"/>
          <w:szCs w:val="28"/>
          <w:u w:color="000000"/>
        </w:rPr>
        <w:t xml:space="preserve"> Tomar nota de la solicitud de la Dirección Ejecutiva en el oficio 957-DE-2021 en torno a “(…) </w:t>
      </w:r>
      <w:r w:rsidRPr="00F31A99">
        <w:rPr>
          <w:rFonts w:ascii="Times New Roman" w:hAnsi="Times New Roman" w:eastAsia="Calibri" w:cs="Times New Roman"/>
          <w:i/>
          <w:iCs/>
          <w:sz w:val="28"/>
          <w:szCs w:val="28"/>
          <w:u w:color="000000"/>
        </w:rPr>
        <w:t>se solicita al Consejo Superior que se tenga presente y en ese sentido se gire instrucción a la Dirección de Planificación con el fin que considere que, para el caso del nuevo edificio de Tribunales de Puntarenas, se requerirá para el año 2023, en la subpartida de Alquiler de edificios, la suma estimada de ₡5.005.584.240,00 para atender los compromisos adquiridos con el Fideicomiso, dado que según proyecciones el edificio será entregado para uso del Poder Judicial en noviembre de 2022</w:t>
      </w:r>
      <w:r w:rsidRPr="00F31A99">
        <w:rPr>
          <w:rFonts w:ascii="Times New Roman" w:hAnsi="Times New Roman" w:eastAsia="Calibri" w:cs="Times New Roman"/>
          <w:sz w:val="28"/>
          <w:szCs w:val="28"/>
          <w:u w:color="000000"/>
        </w:rPr>
        <w:t xml:space="preserve">.” </w:t>
      </w:r>
      <w:r w:rsidRPr="00F31A99">
        <w:rPr>
          <w:rFonts w:ascii="Times New Roman" w:hAnsi="Times New Roman" w:eastAsia="Calibri" w:cs="Times New Roman"/>
          <w:b/>
          <w:bCs/>
          <w:sz w:val="28"/>
          <w:szCs w:val="28"/>
          <w:u w:color="000000"/>
          <w:bdr w:val="none" w:color="auto" w:sz="0" w:space="0" w:frame="1"/>
          <w:lang w:eastAsia="es-ES"/>
        </w:rPr>
        <w:t>Se declara acuerdo firme.</w:t>
      </w:r>
    </w:p>
    <w:p w:rsidRPr="00F31A99" w:rsidR="00F31A99" w:rsidP="00F31A99" w:rsidRDefault="00F31A99" w14:paraId="78BBB10F" w14:textId="6D7124D9">
      <w:pPr>
        <w:keepNext/>
        <w:shd w:val="clear" w:color="auto" w:fill="FFFFFF"/>
        <w:autoSpaceDE w:val="0"/>
        <w:autoSpaceDN w:val="0"/>
        <w:spacing w:line="360" w:lineRule="auto"/>
        <w:jc w:val="center"/>
        <w:outlineLvl w:val="0"/>
        <w:rPr>
          <w:rFonts w:ascii="Times New Roman" w:hAnsi="Times New Roman" w:eastAsia="Times New Roman" w:cs="Times New Roman"/>
          <w:b/>
          <w:bCs/>
          <w:kern w:val="36"/>
          <w:sz w:val="36"/>
          <w:szCs w:val="36"/>
          <w:u w:val="single" w:color="000000"/>
          <w:lang w:eastAsia="es-ES"/>
        </w:rPr>
      </w:pPr>
      <w:r w:rsidRPr="00F31A99">
        <w:rPr>
          <w:rFonts w:ascii="Times New Roman" w:hAnsi="Times New Roman" w:eastAsia="Times New Roman" w:cs="Times New Roman"/>
          <w:b/>
          <w:bCs/>
          <w:kern w:val="36"/>
          <w:sz w:val="36"/>
          <w:szCs w:val="36"/>
          <w:u w:val="single" w:color="000000"/>
          <w:lang w:eastAsia="es-ES"/>
        </w:rPr>
        <w:t>ARTÍCULO XIII</w:t>
      </w:r>
    </w:p>
    <w:p w:rsidRPr="00F31A99" w:rsidR="00F31A99" w:rsidP="00F31A99" w:rsidRDefault="00F31A99" w14:paraId="4E8A151E" w14:textId="77777777">
      <w:pPr>
        <w:autoSpaceDN w:val="0"/>
        <w:spacing w:line="480" w:lineRule="auto"/>
        <w:jc w:val="both"/>
        <w:rPr>
          <w:rFonts w:ascii="Times New Roman" w:hAnsi="Times New Roman" w:eastAsia="Times New Roman" w:cs="Times New Roman"/>
          <w:b/>
          <w:bCs/>
          <w:sz w:val="28"/>
          <w:szCs w:val="28"/>
          <w:u w:color="000000"/>
          <w:lang w:eastAsia="es-ES"/>
        </w:rPr>
      </w:pPr>
      <w:r w:rsidRPr="00F31A99">
        <w:rPr>
          <w:rFonts w:ascii="Times New Roman" w:hAnsi="Times New Roman" w:eastAsia="Times New Roman" w:cs="Times New Roman"/>
          <w:b/>
          <w:bCs/>
          <w:sz w:val="28"/>
          <w:szCs w:val="28"/>
          <w:u w:color="000000"/>
          <w:lang w:eastAsia="es-ES"/>
        </w:rPr>
        <w:t>Documento N° 3837-2021</w:t>
      </w:r>
    </w:p>
    <w:p w:rsidRPr="00F31A99" w:rsidR="00F31A99" w:rsidP="00F31A99" w:rsidRDefault="00F31A99" w14:paraId="2258F4CB" w14:textId="77777777">
      <w:pPr>
        <w:autoSpaceDN w:val="0"/>
        <w:spacing w:line="480" w:lineRule="auto"/>
        <w:ind w:firstLine="709"/>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En reunión de trabajo del pasado 9 de abril, la Licda. Nacira Valverde</w:t>
      </w:r>
      <w:r w:rsidRPr="00F31A99">
        <w:rPr>
          <w:rFonts w:ascii="Times New Roman" w:hAnsi="Times New Roman" w:eastAsia="Calibri" w:cs="Times New Roman"/>
          <w:sz w:val="28"/>
          <w:szCs w:val="28"/>
          <w:u w:color="000000"/>
          <w:shd w:val="clear" w:color="auto" w:fill="FFFFFF"/>
        </w:rPr>
        <w:t xml:space="preserve">, Directora de Planificación </w:t>
      </w:r>
      <w:r w:rsidRPr="00F31A99">
        <w:rPr>
          <w:rFonts w:ascii="Times New Roman" w:hAnsi="Times New Roman" w:eastAsia="Calibri" w:cs="Times New Roman"/>
          <w:sz w:val="28"/>
          <w:szCs w:val="28"/>
          <w:u w:color="000000"/>
        </w:rPr>
        <w:t xml:space="preserve">presentó la estimación de requerimientos para el 2022 en la subpartida 10499 Servicios de Gestión y Apoyo. </w:t>
      </w:r>
      <w:bookmarkStart w:name="_Hlk34804993" w:id="12"/>
      <w:bookmarkEnd w:id="12"/>
    </w:p>
    <w:p w:rsidRPr="00F31A99" w:rsidR="00F31A99" w:rsidP="00F31A99" w:rsidRDefault="00F31A99" w14:paraId="49B3E1DE"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Subpartida 10499 Otros Servicios de Gestión y Apoyo</w:t>
      </w:r>
    </w:p>
    <w:p w:rsidRPr="00F31A99" w:rsidR="00F31A99" w:rsidP="00F31A99" w:rsidRDefault="00F31A99" w14:paraId="14ECDE7D"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5E2016E8"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sz w:val="26"/>
          <w:szCs w:val="26"/>
          <w:u w:color="000000"/>
        </w:rPr>
        <w:t>Comportamiento histórico de la subpartida</w:t>
      </w:r>
    </w:p>
    <w:p w:rsidRPr="00F31A99" w:rsidR="00F31A99" w:rsidP="00F31A99" w:rsidRDefault="00F31A99" w14:paraId="101BB6A6" w14:textId="77777777">
      <w:pPr>
        <w:autoSpaceDN w:val="0"/>
        <w:rPr>
          <w:rFonts w:ascii="Times New Roman" w:hAnsi="Times New Roman" w:eastAsia="Calibri" w:cs="Times New Roman"/>
          <w:u w:color="000000"/>
        </w:rPr>
      </w:pPr>
    </w:p>
    <w:p w:rsidRPr="00F31A99" w:rsidR="00F31A99" w:rsidP="00F31A99" w:rsidRDefault="00F31A99" w14:paraId="123AB528"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Previo a analizar el comportamiento histórico de la subpartida, es pertinente manifestar que los recursos que incluidos en esta subpartida corresponden a gastos de servicios profesionales, técnicos y misceláneos por conceptos de consultorías y honorarios que comprenden la contratación transitoria para la prestación de servicios </w:t>
      </w:r>
      <w:r w:rsidRPr="00F31A99">
        <w:rPr>
          <w:rFonts w:ascii="Times New Roman" w:hAnsi="Times New Roman" w:eastAsia="Calibri" w:cs="Times New Roman"/>
          <w:bCs/>
          <w:sz w:val="26"/>
          <w:szCs w:val="26"/>
          <w:u w:color="000000"/>
        </w:rPr>
        <w:lastRenderedPageBreak/>
        <w:t xml:space="preserve">técnicos, profesionales y otros. Además, incluyen todas aquellas otras contrataciones con características similares aun cuando no sean de carácter ocasional, pero que tienen en común la inexistencia de relación laboral, como es, por ejemplo, la contratación de servicios con sociedades anónimas laborales y aquellas que brindan servicios generales. </w:t>
      </w:r>
    </w:p>
    <w:p w:rsidRPr="00F31A99" w:rsidR="00F31A99" w:rsidP="00F31A99" w:rsidRDefault="00F31A99" w14:paraId="71447181" w14:textId="77777777">
      <w:pPr>
        <w:autoSpaceDN w:val="0"/>
        <w:jc w:val="both"/>
        <w:rPr>
          <w:rFonts w:ascii="Times New Roman" w:hAnsi="Times New Roman" w:eastAsia="Calibri" w:cs="Times New Roman"/>
          <w:sz w:val="24"/>
          <w:szCs w:val="24"/>
          <w:u w:color="000000"/>
        </w:rPr>
      </w:pPr>
    </w:p>
    <w:p w:rsidRPr="00F31A99" w:rsidR="00F31A99" w:rsidP="00F31A99" w:rsidRDefault="00F31A99" w14:paraId="69C367FC"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Por otra parte, la directriz N° 48 de las Directrices Técnicas para la Programación Anual y Formulación del Anteproyecto de Presupuesto 2022, establece para esta subpartida lo siguiente:</w:t>
      </w:r>
    </w:p>
    <w:p w:rsidRPr="00F31A99" w:rsidR="00F31A99" w:rsidP="00F31A99" w:rsidRDefault="00F31A99" w14:paraId="08790DC9"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Los requerimientos correspondientes a Peritajes y Traducciones deben ser formulados por los Tribunales y Juzgados que lo requieran, conforme los gastos reales de consumo, utilizando registros históricos. “</w:t>
      </w:r>
    </w:p>
    <w:p w:rsidRPr="00F31A99" w:rsidR="00F31A99" w:rsidP="00F31A99" w:rsidRDefault="00F31A99" w14:paraId="27128654"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0CB801BC" w14:textId="77777777">
      <w:pPr>
        <w:autoSpaceDN w:val="0"/>
        <w:ind w:left="567" w:right="567"/>
        <w:rPr>
          <w:rFonts w:ascii="Times New Roman" w:hAnsi="Times New Roman" w:eastAsia="Calibri" w:cs="Times New Roman"/>
          <w:sz w:val="20"/>
          <w:szCs w:val="20"/>
          <w:u w:color="000000"/>
        </w:rPr>
      </w:pPr>
    </w:p>
    <w:p w:rsidRPr="00F31A99" w:rsidR="00F31A99" w:rsidP="00F31A99" w:rsidRDefault="00F31A99" w14:paraId="0A274C23"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Tabla 1. Detalle del comportamiento histórico de la subpartida 10499 Otros Servicios de Gestión y Apoyo. Periodo 2018 – 2022.</w:t>
      </w:r>
    </w:p>
    <w:p w:rsidRPr="00F31A99" w:rsidR="00F31A99" w:rsidP="00F31A99" w:rsidRDefault="00F31A99" w14:paraId="20A08F18" w14:textId="77777777">
      <w:pPr>
        <w:autoSpaceDN w:val="0"/>
        <w:rPr>
          <w:rFonts w:ascii="Times New Roman" w:hAnsi="Times New Roman" w:eastAsia="Times New Roman" w:cs="Times New Roman"/>
          <w:b/>
          <w:bCs/>
          <w:sz w:val="24"/>
          <w:szCs w:val="24"/>
          <w:u w:color="000000"/>
        </w:rPr>
      </w:pPr>
    </w:p>
    <w:p w:rsidRPr="00F31A99" w:rsidR="00F31A99" w:rsidP="00F31A99" w:rsidRDefault="00F31A99" w14:paraId="4A9E3DEC" w14:textId="77777777">
      <w:pPr>
        <w:autoSpaceDN w:val="0"/>
        <w:rPr>
          <w:rFonts w:ascii="Times New Roman" w:hAnsi="Times New Roman" w:eastAsia="Times New Roman" w:cs="Times New Roman"/>
          <w:b/>
          <w:bCs/>
          <w:sz w:val="24"/>
          <w:szCs w:val="24"/>
          <w:u w:color="000000"/>
        </w:rPr>
      </w:pPr>
      <w:r w:rsidRPr="00F31A99">
        <w:rPr>
          <w:rFonts w:ascii="Times New Roman" w:hAnsi="Times New Roman" w:eastAsia="Calibri" w:cs="Times New Roman"/>
          <w:noProof/>
          <w:u w:color="000000"/>
        </w:rPr>
        <w:drawing>
          <wp:inline distT="0" distB="0" distL="0" distR="0" wp14:anchorId="27BA14DD" wp14:editId="28BF390E">
            <wp:extent cx="5612130" cy="506730"/>
            <wp:effectExtent l="0" t="0" r="7620"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2130" cy="506730"/>
                    </a:xfrm>
                    <a:prstGeom prst="rect">
                      <a:avLst/>
                    </a:prstGeom>
                    <a:noFill/>
                    <a:ln>
                      <a:noFill/>
                    </a:ln>
                  </pic:spPr>
                </pic:pic>
              </a:graphicData>
            </a:graphic>
          </wp:inline>
        </w:drawing>
      </w:r>
    </w:p>
    <w:p w:rsidRPr="00F31A99" w:rsidR="00F31A99" w:rsidP="00F31A99" w:rsidRDefault="00F31A99" w14:paraId="33BA5509" w14:textId="77777777">
      <w:pPr>
        <w:autoSpaceDN w:val="0"/>
        <w:rPr>
          <w:rFonts w:ascii="Times New Roman" w:hAnsi="Times New Roman" w:eastAsia="Calibri" w:cs="Times New Roman"/>
          <w:bCs/>
          <w:u w:color="000000"/>
        </w:rPr>
      </w:pPr>
      <w:r w:rsidRPr="00F31A99">
        <w:rPr>
          <w:rFonts w:ascii="Times New Roman" w:hAnsi="Times New Roman" w:eastAsia="Calibri" w:cs="Times New Roman"/>
          <w:bCs/>
          <w:u w:color="000000"/>
        </w:rPr>
        <w:t xml:space="preserve"> Fuente: SIGA PJ</w:t>
      </w:r>
    </w:p>
    <w:p w:rsidRPr="00F31A99" w:rsidR="00F31A99" w:rsidP="00F31A99" w:rsidRDefault="00F31A99" w14:paraId="0E5D0CFE" w14:textId="77777777">
      <w:pPr>
        <w:autoSpaceDN w:val="0"/>
        <w:rPr>
          <w:rFonts w:ascii="Times New Roman" w:hAnsi="Times New Roman" w:eastAsia="Calibri" w:cs="Times New Roman"/>
          <w:u w:color="000000"/>
        </w:rPr>
      </w:pPr>
    </w:p>
    <w:p w:rsidRPr="00F31A99" w:rsidR="00F31A99" w:rsidP="00F31A99" w:rsidRDefault="00F31A99" w14:paraId="22C83422"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Como se observa en la tabla anterior, en el periodo del 2019 se presentó un decrecimiento del 2% respecto del 2018, mientras los años 2020 y 2021, presentan un crecimiento del 3% y del 6% respectivamente; sin embargo, para el año 2022, se muestra un decrecimiento de un -28% en relación a los recursos aprobados para el 2021, monto que en términos absolutos representa una disminución de ¢248.559.019.</w:t>
      </w:r>
    </w:p>
    <w:p w:rsidRPr="00F31A99" w:rsidR="00F31A99" w:rsidP="00F31A99" w:rsidRDefault="00F31A99" w14:paraId="7584B73E"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7F76BCE1"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A lo anterior se debe sumar que en el proceso de análisis y aprobación del presupuesto 2021, esta subpartida sufrió un rebajo de ¢100.517.775.</w:t>
      </w:r>
    </w:p>
    <w:p w:rsidRPr="00F31A99" w:rsidR="00F31A99" w:rsidP="00F31A99" w:rsidRDefault="00F31A99" w14:paraId="09391195" w14:textId="77777777">
      <w:pPr>
        <w:autoSpaceDN w:val="0"/>
        <w:rPr>
          <w:rFonts w:ascii="Times New Roman" w:hAnsi="Times New Roman" w:eastAsia="Calibri" w:cs="Times New Roman"/>
          <w:u w:color="000000"/>
        </w:rPr>
      </w:pPr>
    </w:p>
    <w:p w:rsidRPr="00F31A99" w:rsidR="00F31A99" w:rsidP="00F31A99" w:rsidRDefault="00F31A99" w14:paraId="6D642EC2"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 xml:space="preserve">Figura N° 1. Comportamiento de la Subpartida 10499 en los periodos 2018 – 2022. </w:t>
      </w:r>
    </w:p>
    <w:p w:rsidRPr="00F31A99" w:rsidR="00F31A99" w:rsidP="00F31A99" w:rsidRDefault="00F31A99" w14:paraId="3762BA12" w14:textId="77777777">
      <w:pPr>
        <w:autoSpaceDN w:val="0"/>
        <w:rPr>
          <w:rFonts w:ascii="Times New Roman" w:hAnsi="Times New Roman" w:eastAsia="Calibri" w:cs="Times New Roman"/>
          <w:u w:color="000000"/>
        </w:rPr>
      </w:pPr>
    </w:p>
    <w:p w:rsidRPr="00F31A99" w:rsidR="00F31A99" w:rsidP="00F31A99" w:rsidRDefault="00F31A99" w14:paraId="61890619"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El decrecimiento que presenta esta Subpartida para el 2022 responde principalmente a que para el 2021 la Dirección de Tecnología de la Información incluyó recursos en esta subpartida por la suma de ¢147.000.000, para atender el servicio de contratación de </w:t>
      </w:r>
      <w:r w:rsidRPr="00F31A99">
        <w:rPr>
          <w:rFonts w:ascii="Times New Roman" w:hAnsi="Times New Roman" w:eastAsia="Calibri" w:cs="Times New Roman"/>
          <w:bCs/>
          <w:sz w:val="26"/>
          <w:szCs w:val="26"/>
          <w:u w:color="000000"/>
        </w:rPr>
        <w:lastRenderedPageBreak/>
        <w:t xml:space="preserve">horas técnicos por demanda, mientras que para el 2022 el Ministerio de Hacienda indicó que, por su naturaleza, estos recursos deben formularse en la Subpartida 10405 “Servicios Informáticos”. </w:t>
      </w:r>
    </w:p>
    <w:p w:rsidRPr="00F31A99" w:rsidR="00F31A99" w:rsidP="00F31A99" w:rsidRDefault="00F31A99" w14:paraId="60BBEACF"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242BFF76"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También es importante indicar que, entre los rubros más significativos que contiene esta subpartida, se destacan los artículos 05284 “Peritajes” por ¢213.867.018, 19540 “Servicios de Gestión y Apoyo” por ¢104.566.221, 05233 “Servicio de Fumigación” por ¢51.219.680 y 23469 Contrato que brinda el “Servicio de Monitoreo de GPS” por ¢36.212.021. </w:t>
      </w:r>
    </w:p>
    <w:p w:rsidRPr="00F31A99" w:rsidR="00F31A99" w:rsidP="00F31A99" w:rsidRDefault="00F31A99" w14:paraId="46F419CC" w14:textId="77777777">
      <w:pPr>
        <w:autoSpaceDN w:val="0"/>
        <w:rPr>
          <w:rFonts w:ascii="Times New Roman" w:hAnsi="Times New Roman" w:eastAsia="Times New Roman" w:cs="Times New Roman"/>
          <w:b/>
          <w:bCs/>
          <w:sz w:val="24"/>
          <w:szCs w:val="24"/>
          <w:u w:color="000000"/>
        </w:rPr>
      </w:pPr>
    </w:p>
    <w:p w:rsidRPr="00F31A99" w:rsidR="00F31A99" w:rsidP="00F31A99" w:rsidRDefault="00F31A99" w14:paraId="1D8E8F56"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Figura N° 2. Formulación y Ejecución Periodos 2018 – 2022</w:t>
      </w:r>
    </w:p>
    <w:p w:rsidRPr="00F31A99" w:rsidR="00F31A99" w:rsidP="00F31A99" w:rsidRDefault="00F31A99" w14:paraId="011DA31F" w14:textId="77777777">
      <w:pPr>
        <w:autoSpaceDN w:val="0"/>
        <w:rPr>
          <w:rFonts w:ascii="Times New Roman" w:hAnsi="Times New Roman" w:eastAsia="Times New Roman" w:cs="Times New Roman"/>
          <w:b/>
          <w:bCs/>
          <w:sz w:val="24"/>
          <w:szCs w:val="24"/>
          <w:u w:color="000000"/>
        </w:rPr>
      </w:pPr>
    </w:p>
    <w:p w:rsidRPr="00F31A99" w:rsidR="00F31A99" w:rsidP="00F31A99" w:rsidRDefault="00F31A99" w14:paraId="69079DAC"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En el siguiente gráfico se puede observar el comportamiento de la subpartida 10499 Otros Servicios de Gestión y Apoyo, tanto en la formulación, como en la ejecución. De los años que se presentan en el gráfico, el periodo 2021, fue el año que más recursos se aprobaron. </w:t>
      </w:r>
    </w:p>
    <w:p w:rsidRPr="00F31A99" w:rsidR="00F31A99" w:rsidP="00F31A99" w:rsidRDefault="00F31A99" w14:paraId="6438BF47"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700EEC65" w14:textId="77777777">
      <w:pPr>
        <w:autoSpaceDN w:val="0"/>
        <w:rPr>
          <w:rFonts w:ascii="Times New Roman" w:hAnsi="Times New Roman" w:eastAsia="Times New Roman" w:cs="Times New Roman"/>
          <w:sz w:val="24"/>
          <w:szCs w:val="24"/>
          <w:u w:color="000000"/>
          <w:lang w:eastAsia="es-CR"/>
        </w:rPr>
      </w:pPr>
      <w:r w:rsidRPr="00F31A99">
        <w:rPr>
          <w:rFonts w:ascii="Times New Roman" w:hAnsi="Times New Roman" w:eastAsia="Calibri" w:cs="Times New Roman"/>
          <w:noProof/>
          <w:sz w:val="24"/>
          <w:szCs w:val="24"/>
          <w:u w:color="000000"/>
        </w:rPr>
        <w:drawing>
          <wp:inline distT="0" distB="0" distL="0" distR="0" wp14:anchorId="4AFC8E99" wp14:editId="55F76C7B">
            <wp:extent cx="5890260" cy="3192780"/>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90260" cy="3192780"/>
                    </a:xfrm>
                    <a:prstGeom prst="rect">
                      <a:avLst/>
                    </a:prstGeom>
                    <a:noFill/>
                    <a:ln>
                      <a:noFill/>
                    </a:ln>
                  </pic:spPr>
                </pic:pic>
              </a:graphicData>
            </a:graphic>
          </wp:inline>
        </w:drawing>
      </w:r>
    </w:p>
    <w:p w:rsidRPr="00F31A99" w:rsidR="00F31A99" w:rsidP="00F31A99" w:rsidRDefault="00F31A99" w14:paraId="078FC439" w14:textId="77777777">
      <w:pPr>
        <w:autoSpaceDN w:val="0"/>
        <w:rPr>
          <w:rFonts w:ascii="Times New Roman" w:hAnsi="Times New Roman" w:eastAsia="Times New Roman" w:cs="Times New Roman"/>
          <w:b/>
          <w:bCs/>
          <w:u w:color="000000"/>
        </w:rPr>
      </w:pPr>
      <w:r w:rsidRPr="00F31A99">
        <w:rPr>
          <w:rFonts w:ascii="Times New Roman" w:hAnsi="Times New Roman" w:eastAsia="Calibri" w:cs="Times New Roman"/>
          <w:bCs/>
          <w:u w:color="000000"/>
        </w:rPr>
        <w:t>Fuente: SIGA PJ</w:t>
      </w:r>
    </w:p>
    <w:p w:rsidRPr="00F31A99" w:rsidR="00F31A99" w:rsidP="00F31A99" w:rsidRDefault="00F31A99" w14:paraId="316776FB" w14:textId="77777777">
      <w:pPr>
        <w:autoSpaceDN w:val="0"/>
        <w:rPr>
          <w:rFonts w:ascii="Times New Roman" w:hAnsi="Times New Roman" w:eastAsia="Calibri" w:cs="Times New Roman"/>
          <w:sz w:val="24"/>
          <w:szCs w:val="24"/>
          <w:u w:color="000000"/>
        </w:rPr>
      </w:pPr>
    </w:p>
    <w:p w:rsidRPr="00F31A99" w:rsidR="00F31A99" w:rsidP="00F31A99" w:rsidRDefault="00F31A99" w14:paraId="694C3E78"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 xml:space="preserve">Análisis de la ejecución presupuestaria de la subpartida </w:t>
      </w:r>
    </w:p>
    <w:p w:rsidRPr="00F31A99" w:rsidR="00F31A99" w:rsidP="00F31A99" w:rsidRDefault="00F31A99" w14:paraId="2D055FC8" w14:textId="77777777">
      <w:pPr>
        <w:autoSpaceDN w:val="0"/>
        <w:rPr>
          <w:rFonts w:ascii="Times New Roman" w:hAnsi="Times New Roman" w:eastAsia="Calibri" w:cs="Times New Roman"/>
          <w:highlight w:val="yellow"/>
          <w:u w:color="000000"/>
        </w:rPr>
      </w:pPr>
    </w:p>
    <w:p w:rsidRPr="00F31A99" w:rsidR="00F31A99" w:rsidP="00F31A99" w:rsidRDefault="00F31A99" w14:paraId="42383B7F" w14:textId="77777777">
      <w:pPr>
        <w:autoSpaceDN w:val="0"/>
        <w:ind w:left="851" w:right="851" w:firstLine="709"/>
        <w:jc w:val="center"/>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Tabla 2. Ejecución presupuestaria Otros Servicios de Gestión y Apoyo- Periodo 2018 – 2020</w:t>
      </w:r>
    </w:p>
    <w:p w:rsidRPr="00F31A99" w:rsidR="00F31A99" w:rsidP="00F31A99" w:rsidRDefault="00F31A99" w14:paraId="024F47B0" w14:textId="77777777">
      <w:pPr>
        <w:autoSpaceDN w:val="0"/>
        <w:jc w:val="center"/>
        <w:rPr>
          <w:rFonts w:ascii="Times New Roman" w:hAnsi="Times New Roman" w:eastAsia="Calibri" w:cs="Times New Roman"/>
          <w:b/>
          <w:sz w:val="24"/>
          <w:u w:color="000000"/>
        </w:rPr>
      </w:pPr>
    </w:p>
    <w:p w:rsidRPr="00F31A99" w:rsidR="00F31A99" w:rsidP="00F31A99" w:rsidRDefault="00F31A99" w14:paraId="367DE888" w14:textId="77777777">
      <w:pPr>
        <w:autoSpaceDN w:val="0"/>
        <w:jc w:val="center"/>
        <w:rPr>
          <w:rFonts w:ascii="Times New Roman" w:hAnsi="Times New Roman" w:eastAsia="Calibri" w:cs="Times New Roman"/>
          <w:b/>
          <w:sz w:val="24"/>
          <w:u w:color="000000"/>
        </w:rPr>
      </w:pPr>
      <w:r w:rsidRPr="00F31A99">
        <w:rPr>
          <w:rFonts w:ascii="Times New Roman" w:hAnsi="Times New Roman" w:eastAsia="Calibri" w:cs="Times New Roman"/>
          <w:noProof/>
          <w:u w:color="000000"/>
        </w:rPr>
        <w:lastRenderedPageBreak/>
        <w:drawing>
          <wp:inline distT="0" distB="0" distL="0" distR="0" wp14:anchorId="10098FEA" wp14:editId="59E2C6B1">
            <wp:extent cx="4640580" cy="1549262"/>
            <wp:effectExtent l="0" t="0" r="762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69551" cy="1558934"/>
                    </a:xfrm>
                    <a:prstGeom prst="rect">
                      <a:avLst/>
                    </a:prstGeom>
                    <a:noFill/>
                    <a:ln>
                      <a:noFill/>
                    </a:ln>
                  </pic:spPr>
                </pic:pic>
              </a:graphicData>
            </a:graphic>
          </wp:inline>
        </w:drawing>
      </w:r>
    </w:p>
    <w:p w:rsidRPr="00F31A99" w:rsidR="00F31A99" w:rsidP="00F31A99" w:rsidRDefault="00F31A99" w14:paraId="174E68BA" w14:textId="77777777">
      <w:pPr>
        <w:autoSpaceDN w:val="0"/>
        <w:jc w:val="center"/>
        <w:rPr>
          <w:rFonts w:ascii="Times New Roman" w:hAnsi="Times New Roman" w:eastAsia="Calibri" w:cs="Times New Roman"/>
          <w:b/>
          <w:sz w:val="24"/>
          <w:u w:color="000000"/>
        </w:rPr>
      </w:pPr>
    </w:p>
    <w:p w:rsidRPr="00F31A99" w:rsidR="00F31A99" w:rsidP="00F31A99" w:rsidRDefault="00F31A99" w14:paraId="36145E58" w14:textId="77777777">
      <w:pPr>
        <w:autoSpaceDN w:val="0"/>
        <w:ind w:firstLine="708"/>
        <w:jc w:val="both"/>
        <w:rPr>
          <w:rFonts w:ascii="Times New Roman" w:hAnsi="Times New Roman" w:eastAsia="Calibri" w:cs="Times New Roman"/>
          <w:bCs/>
          <w:u w:color="000000"/>
        </w:rPr>
      </w:pPr>
      <w:r w:rsidRPr="00F31A99">
        <w:rPr>
          <w:rFonts w:ascii="Times New Roman" w:hAnsi="Times New Roman" w:eastAsia="Calibri" w:cs="Times New Roman"/>
          <w:bCs/>
          <w:u w:color="000000"/>
        </w:rPr>
        <w:t xml:space="preserve"> Fuente: SIGA PJ </w:t>
      </w:r>
    </w:p>
    <w:p w:rsidRPr="00F31A99" w:rsidR="00F31A99" w:rsidP="00F31A99" w:rsidRDefault="00F31A99" w14:paraId="46742757" w14:textId="77777777">
      <w:pPr>
        <w:autoSpaceDN w:val="0"/>
        <w:jc w:val="center"/>
        <w:rPr>
          <w:rFonts w:ascii="Times New Roman" w:hAnsi="Times New Roman" w:eastAsia="Calibri" w:cs="Times New Roman"/>
          <w:bCs/>
          <w:sz w:val="24"/>
          <w:u w:color="000000"/>
        </w:rPr>
      </w:pPr>
      <w:r w:rsidRPr="00F31A99">
        <w:rPr>
          <w:rFonts w:ascii="Times New Roman" w:hAnsi="Times New Roman" w:eastAsia="Calibri" w:cs="Times New Roman"/>
          <w:bCs/>
          <w:sz w:val="24"/>
          <w:u w:color="000000"/>
        </w:rPr>
        <w:t xml:space="preserve"> </w:t>
      </w:r>
    </w:p>
    <w:p w:rsidRPr="00F31A99" w:rsidR="00F31A99" w:rsidP="00F31A99" w:rsidRDefault="00F31A99" w14:paraId="7116187B"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Como se observa, la ejecución ha ido en disminución año tras año, alejándose cada vez más del porcentaje considerado como aceptable (90%). De la tabla anterior, se podría deducir que, conforme a lo ejecutado en años anteriores, los recursos formulados para el 2022, se acercan más a las necesidades reales. </w:t>
      </w:r>
    </w:p>
    <w:p w:rsidRPr="00F31A99" w:rsidR="00F31A99" w:rsidP="00F31A99" w:rsidRDefault="00F31A99" w14:paraId="77B62BC1" w14:textId="77777777">
      <w:pPr>
        <w:autoSpaceDN w:val="0"/>
        <w:spacing w:line="360" w:lineRule="auto"/>
        <w:jc w:val="both"/>
        <w:rPr>
          <w:rFonts w:ascii="Times New Roman" w:hAnsi="Times New Roman" w:eastAsia="Calibri" w:cs="Times New Roman"/>
          <w:bCs/>
          <w:sz w:val="24"/>
          <w:highlight w:val="yellow"/>
          <w:u w:color="000000"/>
        </w:rPr>
      </w:pPr>
    </w:p>
    <w:p w:rsidRPr="00F31A99" w:rsidR="00F31A99" w:rsidP="00F31A99" w:rsidRDefault="00F31A99" w14:paraId="22B97BBC"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Variación por programa 2021-2022</w:t>
      </w:r>
    </w:p>
    <w:p w:rsidRPr="00F31A99" w:rsidR="00F31A99" w:rsidP="00F31A99" w:rsidRDefault="00F31A99" w14:paraId="40CC8F13" w14:textId="77777777">
      <w:pPr>
        <w:autoSpaceDN w:val="0"/>
        <w:jc w:val="both"/>
        <w:rPr>
          <w:rFonts w:ascii="Times New Roman" w:hAnsi="Times New Roman" w:eastAsia="Calibri" w:cs="Times New Roman"/>
          <w:bCs/>
          <w:sz w:val="24"/>
          <w:highlight w:val="yellow"/>
          <w:u w:color="000000"/>
        </w:rPr>
      </w:pPr>
    </w:p>
    <w:p w:rsidRPr="00F31A99" w:rsidR="00F31A99" w:rsidP="00F31A99" w:rsidRDefault="00F31A99" w14:paraId="02999317" w14:textId="77777777">
      <w:pPr>
        <w:autoSpaceDN w:val="0"/>
        <w:ind w:left="851" w:right="851" w:firstLine="709"/>
        <w:jc w:val="both"/>
        <w:rPr>
          <w:rFonts w:ascii="Times New Roman" w:hAnsi="Times New Roman" w:eastAsia="Calibri" w:cs="Times New Roman"/>
          <w:bCs/>
          <w:sz w:val="26"/>
          <w:szCs w:val="26"/>
          <w:u w:color="000000"/>
        </w:rPr>
      </w:pPr>
      <w:bookmarkStart w:name="_Hlk34749231" w:id="13"/>
      <w:r w:rsidRPr="00F31A99">
        <w:rPr>
          <w:rFonts w:ascii="Times New Roman" w:hAnsi="Times New Roman" w:eastAsia="Calibri" w:cs="Times New Roman"/>
          <w:bCs/>
          <w:sz w:val="26"/>
          <w:szCs w:val="26"/>
          <w:u w:color="000000"/>
        </w:rPr>
        <w:t>Al realizar el análisis comparativo, se observa que el Programa 926 Dirección, Administración y Otros Órganos de Apoyo, es el programa presupuestario que presenta la mayor formulación de recursos en la subpartida Otros Servicios de Gestión y Apoyo; sin embargo, para el año 2020, este mismo programa presenta una disminución de ¢271.134.904 en relación con los recursos aprobados para el 2021, con un porcentaje de variación del -58.32%. En el mismo sentido, el Programa 950 “Servicio de Atención y Protección de Víctimas y Testigos” presenta una variación de -51.73% y el Programa 928 “Organismo de Investigación Judicial” una variación de -23.32%.</w:t>
      </w:r>
    </w:p>
    <w:p w:rsidRPr="00F31A99" w:rsidR="00F31A99" w:rsidP="00F31A99" w:rsidRDefault="00F31A99" w14:paraId="58AC7BE5"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6C19F647"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En la siguiente tabla se muestra el detalle de la variación para cada uno de los programas presupuestarios:</w:t>
      </w:r>
    </w:p>
    <w:bookmarkEnd w:id="13"/>
    <w:p w:rsidRPr="00F31A99" w:rsidR="00F31A99" w:rsidP="00F31A99" w:rsidRDefault="00F31A99" w14:paraId="3B09FCD3"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09350E63" w14:textId="77777777">
      <w:pPr>
        <w:autoSpaceDN w:val="0"/>
        <w:ind w:left="851" w:right="851" w:firstLine="709"/>
        <w:rPr>
          <w:rFonts w:ascii="Times New Roman" w:hAnsi="Times New Roman" w:eastAsia="Calibri" w:cs="Times New Roman"/>
          <w:b/>
          <w:sz w:val="24"/>
          <w:u w:color="000000"/>
        </w:rPr>
      </w:pPr>
      <w:r w:rsidRPr="00F31A99">
        <w:rPr>
          <w:rFonts w:ascii="Times New Roman" w:hAnsi="Times New Roman" w:eastAsia="Calibri" w:cs="Times New Roman"/>
          <w:b/>
          <w:bCs/>
          <w:sz w:val="26"/>
          <w:szCs w:val="26"/>
          <w:u w:color="000000"/>
        </w:rPr>
        <w:t>Tabla 3. Porcentaje de variación por programa periodos 2021 – 2022</w:t>
      </w:r>
    </w:p>
    <w:p w:rsidRPr="00F31A99" w:rsidR="00F31A99" w:rsidP="00F31A99" w:rsidRDefault="00F31A99" w14:paraId="53759660" w14:textId="77777777">
      <w:pPr>
        <w:autoSpaceDN w:val="0"/>
        <w:jc w:val="both"/>
        <w:rPr>
          <w:rFonts w:ascii="Times New Roman" w:hAnsi="Times New Roman" w:eastAsia="Calibri" w:cs="Times New Roman"/>
          <w:b/>
          <w:sz w:val="24"/>
          <w:u w:color="000000"/>
        </w:rPr>
      </w:pPr>
    </w:p>
    <w:p w:rsidRPr="00F31A99" w:rsidR="00F31A99" w:rsidP="00F31A99" w:rsidRDefault="00F31A99" w14:paraId="6116B35F" w14:textId="77777777">
      <w:pPr>
        <w:autoSpaceDN w:val="0"/>
        <w:jc w:val="both"/>
        <w:rPr>
          <w:rFonts w:ascii="Times New Roman" w:hAnsi="Times New Roman" w:eastAsia="Calibri" w:cs="Times New Roman"/>
          <w:b/>
          <w:sz w:val="24"/>
          <w:u w:color="000000"/>
        </w:rPr>
      </w:pPr>
      <w:r w:rsidRPr="00F31A99">
        <w:rPr>
          <w:rFonts w:ascii="Times New Roman" w:hAnsi="Times New Roman" w:eastAsia="Calibri" w:cs="Times New Roman"/>
          <w:noProof/>
          <w:u w:color="000000"/>
        </w:rPr>
        <w:lastRenderedPageBreak/>
        <w:drawing>
          <wp:inline distT="0" distB="0" distL="0" distR="0" wp14:anchorId="6BED6777" wp14:editId="0DA7210B">
            <wp:extent cx="5612130" cy="1780540"/>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12130" cy="1780540"/>
                    </a:xfrm>
                    <a:prstGeom prst="rect">
                      <a:avLst/>
                    </a:prstGeom>
                    <a:noFill/>
                    <a:ln>
                      <a:noFill/>
                    </a:ln>
                  </pic:spPr>
                </pic:pic>
              </a:graphicData>
            </a:graphic>
          </wp:inline>
        </w:drawing>
      </w:r>
    </w:p>
    <w:p w:rsidRPr="00F31A99" w:rsidR="00F31A99" w:rsidP="00F31A99" w:rsidRDefault="00F31A99" w14:paraId="3EEC1CD4" w14:textId="77777777">
      <w:pPr>
        <w:autoSpaceDN w:val="0"/>
        <w:jc w:val="both"/>
        <w:rPr>
          <w:rFonts w:ascii="Times New Roman" w:hAnsi="Times New Roman" w:eastAsia="Calibri" w:cs="Times New Roman"/>
          <w:bCs/>
          <w:u w:color="000000"/>
        </w:rPr>
      </w:pPr>
      <w:r w:rsidRPr="00F31A99">
        <w:rPr>
          <w:rFonts w:ascii="Times New Roman" w:hAnsi="Times New Roman" w:eastAsia="Calibri" w:cs="Times New Roman"/>
          <w:bCs/>
          <w:u w:color="000000"/>
        </w:rPr>
        <w:t xml:space="preserve">Fuente: SIGA PJ </w:t>
      </w:r>
    </w:p>
    <w:p w:rsidRPr="00F31A99" w:rsidR="00F31A99" w:rsidP="00F31A99" w:rsidRDefault="00F31A99" w14:paraId="031AB847" w14:textId="77777777">
      <w:pPr>
        <w:autoSpaceDN w:val="0"/>
        <w:rPr>
          <w:rFonts w:ascii="Times New Roman" w:hAnsi="Times New Roman" w:eastAsia="Calibri" w:cs="Times New Roman"/>
          <w:b/>
          <w:sz w:val="24"/>
          <w:u w:color="000000"/>
        </w:rPr>
      </w:pPr>
    </w:p>
    <w:p w:rsidRPr="00F31A99" w:rsidR="00F31A99" w:rsidP="00F31A99" w:rsidRDefault="00F31A99" w14:paraId="331C254E"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En la tabla anterior se muestra que, a excepción del Programa 929 “Ministerio Público” y “Servicio Jurisdiccional”, los restantes programas muestran una disminución en los recursos formulados para el 2022, en relación con el monto aprobado para el 2021, siendo el programa 926 Dirección, Administración y Otros Órganos de Apoyo y el Programa 950 Servicio de Atención y Protección de Víctimas y Testigos, los que muestran la mayor disminución, 52%.</w:t>
      </w:r>
    </w:p>
    <w:p w:rsidRPr="00F31A99" w:rsidR="00F31A99" w:rsidP="00F31A99" w:rsidRDefault="00F31A99" w14:paraId="59CFECF1"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18C1AE99"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El crecimiento que presenta el Ministerio Público obedece a que en los últimos años se ha incrementado la cantidad de peritajes actuarios matemáticos requeridos, para la valoración del daño físico de los actores civiles en el proceso penal, siendo un factor externo, atribuible al derecho de las víctimas de participar dentro del proceso; por ende, se requiere aumentar los recursos al efecto, y de esta forma, poder sufragar todos los gastos que se presenten durante el período presupuestario ordinario. En consulta realizada a Ricardo Vega Solano, Profesional 1 de la Oficina de Defensa Civil de la Víctima del Ministerio Público indicó que hasta que no exista un aval por parte de Corte Plena para modificar el reglamento de ayudas económicas, no es posible atender los gastos procesales de ayudas económicas, si no que deben canalizarse mediante presupuesto ordinario. </w:t>
      </w:r>
    </w:p>
    <w:p w:rsidRPr="00F31A99" w:rsidR="00F31A99" w:rsidP="00F31A99" w:rsidRDefault="00F31A99" w14:paraId="5953DD47" w14:textId="77777777">
      <w:pPr>
        <w:autoSpaceDN w:val="0"/>
        <w:jc w:val="both"/>
        <w:rPr>
          <w:rFonts w:ascii="Times New Roman" w:hAnsi="Times New Roman" w:eastAsia="Calibri" w:cs="Times New Roman"/>
          <w:bCs/>
          <w:sz w:val="24"/>
          <w:u w:color="000000"/>
        </w:rPr>
      </w:pPr>
    </w:p>
    <w:p w:rsidRPr="00F31A99" w:rsidR="00F31A99" w:rsidP="00F31A99" w:rsidRDefault="00F31A99" w14:paraId="015CC164"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Por otra parte, el presupuesto extraordinario correspondiente al artículo 35 de la Ley Orgánica del Ministerio Público cuenta con 2 fines específicos:</w:t>
      </w:r>
    </w:p>
    <w:p w:rsidRPr="00F31A99" w:rsidR="00F31A99" w:rsidP="00F31A99" w:rsidRDefault="00F31A99" w14:paraId="5E73CF93"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1BEF27BA"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El mejoramiento de la Oficina</w:t>
      </w:r>
    </w:p>
    <w:p w:rsidRPr="00F31A99" w:rsidR="00F31A99" w:rsidP="00F31A99" w:rsidRDefault="00F31A99" w14:paraId="40D3CA09"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Fondo de Ayudas económicas. </w:t>
      </w:r>
    </w:p>
    <w:p w:rsidRPr="00F31A99" w:rsidR="00F31A99" w:rsidP="00F31A99" w:rsidRDefault="00F31A99" w14:paraId="17FA8F58"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0259CECE"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Actualmente, solo si se agota el presupuesto ordinario pueden atender con presupuesto extraordinario. </w:t>
      </w:r>
    </w:p>
    <w:p w:rsidRPr="00F31A99" w:rsidR="00F31A99" w:rsidP="00F31A99" w:rsidRDefault="00F31A99" w14:paraId="4A5F7247"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lastRenderedPageBreak/>
        <w:t xml:space="preserve">El decrecimiento que presenta esta subpartida obedece principalmente a que para el 2021 la Dirección de Tecnología de la Información formuló la suma de ¢198.503.900, mientras que para el 2022 únicamente ¢147.000.000, recursos que a solicitud del Ministerio de Hacienda se reclasificaron en la Subpartida 10405. </w:t>
      </w:r>
    </w:p>
    <w:p w:rsidRPr="00F31A99" w:rsidR="00F31A99" w:rsidP="00F31A99" w:rsidRDefault="00F31A99" w14:paraId="4AAFE589"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59059E25" w14:textId="77777777">
      <w:pPr>
        <w:autoSpaceDN w:val="0"/>
        <w:ind w:left="851" w:right="851" w:firstLine="709"/>
        <w:jc w:val="center"/>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Figura N° 3. Distribución de recursos por Programa, para la subpartida 10499 Otros Servicios de Gestión y Apoyo</w:t>
      </w:r>
    </w:p>
    <w:p w:rsidRPr="00F31A99" w:rsidR="00F31A99" w:rsidP="00F31A99" w:rsidRDefault="00F31A99" w14:paraId="4790E86D" w14:textId="77777777">
      <w:pPr>
        <w:autoSpaceDN w:val="0"/>
        <w:rPr>
          <w:rFonts w:ascii="Times New Roman" w:hAnsi="Times New Roman" w:eastAsia="Calibri" w:cs="Times New Roman"/>
          <w:b/>
          <w:bCs/>
          <w:sz w:val="24"/>
          <w:szCs w:val="24"/>
          <w:u w:color="000000"/>
        </w:rPr>
      </w:pPr>
    </w:p>
    <w:p w:rsidRPr="00F31A99" w:rsidR="00F31A99" w:rsidP="00F31A99" w:rsidRDefault="00F31A99" w14:paraId="1D318886" w14:textId="77777777">
      <w:pPr>
        <w:autoSpaceDN w:val="0"/>
        <w:jc w:val="center"/>
        <w:rPr>
          <w:rFonts w:ascii="Times New Roman" w:hAnsi="Times New Roman" w:eastAsia="Calibri" w:cs="Times New Roman"/>
          <w:b/>
          <w:bCs/>
          <w:sz w:val="24"/>
          <w:szCs w:val="24"/>
          <w:u w:color="000000"/>
        </w:rPr>
      </w:pPr>
      <w:r w:rsidRPr="00F31A99">
        <w:rPr>
          <w:rFonts w:ascii="Times New Roman" w:hAnsi="Times New Roman" w:eastAsia="Calibri" w:cs="Times New Roman"/>
          <w:noProof/>
          <w:u w:color="000000"/>
        </w:rPr>
        <w:drawing>
          <wp:inline distT="0" distB="0" distL="0" distR="0" wp14:anchorId="5FAB4A2F" wp14:editId="4949C6D7">
            <wp:extent cx="5391150" cy="4114800"/>
            <wp:effectExtent l="0" t="0" r="0" b="0"/>
            <wp:docPr id="21" name="Gráfico 21">
              <a:extLst xmlns:a="http://schemas.openxmlformats.org/drawingml/2006/main">
                <a:ext uri="{FF2B5EF4-FFF2-40B4-BE49-F238E27FC236}">
                  <a16:creationId xmlns:a16="http://schemas.microsoft.com/office/drawing/2014/main" id="{126FF142-A6E7-40ED-BAE2-504DE38FF7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Pr="00F31A99" w:rsidR="00F31A99" w:rsidP="00F31A99" w:rsidRDefault="00F31A99" w14:paraId="104F37E0" w14:textId="77777777">
      <w:pPr>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4A1F52E2"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Según se muestra en la figura N° 3, el programa 926 Dirección, Administración y Otros Órganos de Apoyo, es el que formula la mayor cantidad de recursos para el periodo 2022, con un total de ¢223.759.527, lo que representa un 35% del total de los recursos de la subpartida; seguido del Programa 927 Servicio Jurisdiccional con ¢177.420.443 para un total del 28% y el Programa 929 Ministerio Público con ¢159.290.703 y un porcentaje del 25%. </w:t>
      </w:r>
    </w:p>
    <w:p w:rsidRPr="00F31A99" w:rsidR="00F31A99" w:rsidP="00F31A99" w:rsidRDefault="00F31A99" w14:paraId="2EBB7F05" w14:textId="77777777">
      <w:pPr>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6A04B144"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En un menor porcentaje los programas 928 OIJ, 930 Defensa Pública y 950 Servicio de Atención y Protección de Víctimas y </w:t>
      </w:r>
      <w:r w:rsidRPr="00F31A99">
        <w:rPr>
          <w:rFonts w:ascii="Times New Roman" w:hAnsi="Times New Roman" w:eastAsia="Calibri" w:cs="Times New Roman"/>
          <w:bCs/>
          <w:sz w:val="26"/>
          <w:szCs w:val="26"/>
          <w:u w:color="000000"/>
        </w:rPr>
        <w:lastRenderedPageBreak/>
        <w:t>Testigos, los cuales representan un 12% del total de recursos formulados.</w:t>
      </w:r>
    </w:p>
    <w:p w:rsidRPr="00F31A99" w:rsidR="00F31A99" w:rsidP="00F31A99" w:rsidRDefault="00F31A99" w14:paraId="51115E5C" w14:textId="77777777">
      <w:pPr>
        <w:autoSpaceDN w:val="0"/>
        <w:jc w:val="both"/>
        <w:rPr>
          <w:rFonts w:ascii="Times New Roman" w:hAnsi="Times New Roman" w:eastAsia="Calibri" w:cs="Times New Roman"/>
          <w:bCs/>
          <w:sz w:val="24"/>
          <w:u w:color="000000"/>
        </w:rPr>
      </w:pPr>
    </w:p>
    <w:p w:rsidRPr="00F31A99" w:rsidR="00F31A99" w:rsidP="00F31A99" w:rsidRDefault="00F31A99" w14:paraId="225DD567"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Distribución por Centro de Responsabilidad</w:t>
      </w:r>
    </w:p>
    <w:p w:rsidRPr="00F31A99" w:rsidR="00F31A99" w:rsidP="00F31A99" w:rsidRDefault="00F31A99" w14:paraId="04D08C11" w14:textId="77777777">
      <w:pPr>
        <w:autoSpaceDN w:val="0"/>
        <w:jc w:val="both"/>
        <w:rPr>
          <w:rFonts w:ascii="Times New Roman" w:hAnsi="Times New Roman" w:eastAsia="Calibri" w:cs="Times New Roman"/>
          <w:bCs/>
          <w:sz w:val="24"/>
          <w:u w:color="000000"/>
        </w:rPr>
      </w:pPr>
    </w:p>
    <w:p w:rsidRPr="00F31A99" w:rsidR="00F31A99" w:rsidP="00F31A99" w:rsidRDefault="00F31A99" w14:paraId="4F9A0BC4" w14:textId="77777777">
      <w:pPr>
        <w:autoSpaceDN w:val="0"/>
        <w:ind w:left="851" w:right="851" w:firstLine="709"/>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Centros de responsabilidad con los montos más representativos dentro de la subpartida.</w:t>
      </w:r>
    </w:p>
    <w:p w:rsidRPr="00F31A99" w:rsidR="00F31A99" w:rsidP="00F31A99" w:rsidRDefault="00F31A99" w14:paraId="63C242C1" w14:textId="77777777">
      <w:pPr>
        <w:autoSpaceDN w:val="0"/>
        <w:ind w:left="851" w:right="851" w:firstLine="709"/>
        <w:jc w:val="both"/>
        <w:rPr>
          <w:rFonts w:ascii="Times New Roman" w:hAnsi="Times New Roman" w:eastAsia="Calibri" w:cs="Times New Roman"/>
          <w:bCs/>
          <w:sz w:val="26"/>
          <w:szCs w:val="26"/>
          <w:u w:color="000000"/>
        </w:rPr>
      </w:pPr>
    </w:p>
    <w:p w:rsidRPr="00F31A99" w:rsidR="00F31A99" w:rsidP="00F31A99" w:rsidRDefault="00F31A99" w14:paraId="2E87DD2D" w14:textId="77777777">
      <w:pPr>
        <w:autoSpaceDN w:val="0"/>
        <w:ind w:left="851" w:right="851" w:firstLine="709"/>
        <w:jc w:val="center"/>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Tabla 4. Distribución de la subpartida por Centro de Responsabilidad Periodo 2022.</w:t>
      </w:r>
    </w:p>
    <w:p w:rsidRPr="00F31A99" w:rsidR="00F31A99" w:rsidP="00F31A99" w:rsidRDefault="00F31A99" w14:paraId="2D3CD2E0" w14:textId="77777777">
      <w:pPr>
        <w:autoSpaceDN w:val="0"/>
        <w:ind w:left="851" w:right="851" w:firstLine="709"/>
        <w:rPr>
          <w:rFonts w:ascii="Times New Roman" w:hAnsi="Times New Roman" w:eastAsia="Calibri" w:cs="Times New Roman"/>
          <w:b/>
          <w:bCs/>
          <w:sz w:val="26"/>
          <w:szCs w:val="26"/>
          <w:u w:color="000000"/>
        </w:rPr>
      </w:pPr>
    </w:p>
    <w:p w:rsidRPr="00F31A99" w:rsidR="00F31A99" w:rsidP="00F31A99" w:rsidRDefault="00F31A99" w14:paraId="1172B8D0" w14:textId="77777777">
      <w:pPr>
        <w:autoSpaceDN w:val="0"/>
        <w:rPr>
          <w:rFonts w:ascii="Times New Roman" w:hAnsi="Times New Roman" w:eastAsia="Calibri" w:cs="Times New Roman"/>
          <w:bCs/>
          <w:szCs w:val="20"/>
          <w:u w:color="000000"/>
        </w:rPr>
      </w:pPr>
      <w:r w:rsidRPr="00F31A99">
        <w:rPr>
          <w:rFonts w:ascii="Times New Roman" w:hAnsi="Times New Roman" w:eastAsia="Calibri" w:cs="Times New Roman"/>
          <w:bCs/>
          <w:szCs w:val="20"/>
          <w:u w:color="000000"/>
        </w:rPr>
        <w:t xml:space="preserve"> </w:t>
      </w:r>
      <w:bookmarkStart w:name="_Hlk34804980" w:id="14"/>
      <w:r w:rsidRPr="00F31A99">
        <w:rPr>
          <w:rFonts w:ascii="Times New Roman" w:hAnsi="Times New Roman" w:eastAsia="Calibri" w:cs="Times New Roman"/>
          <w:noProof/>
          <w:u w:color="000000"/>
        </w:rPr>
        <w:drawing>
          <wp:inline distT="0" distB="0" distL="0" distR="0" wp14:anchorId="2E5DF0CF" wp14:editId="64EC12B5">
            <wp:extent cx="4930140" cy="3261360"/>
            <wp:effectExtent l="0" t="0" r="381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30140" cy="3261360"/>
                    </a:xfrm>
                    <a:prstGeom prst="rect">
                      <a:avLst/>
                    </a:prstGeom>
                    <a:noFill/>
                    <a:ln>
                      <a:noFill/>
                    </a:ln>
                  </pic:spPr>
                </pic:pic>
              </a:graphicData>
            </a:graphic>
          </wp:inline>
        </w:drawing>
      </w:r>
    </w:p>
    <w:p w:rsidRPr="00F31A99" w:rsidR="00F31A99" w:rsidP="00F31A99" w:rsidRDefault="00F31A99" w14:paraId="7928CA71" w14:textId="77777777">
      <w:pPr>
        <w:autoSpaceDN w:val="0"/>
        <w:rPr>
          <w:rFonts w:ascii="Times New Roman" w:hAnsi="Times New Roman" w:eastAsia="Calibri" w:cs="Times New Roman"/>
          <w:bCs/>
          <w:szCs w:val="20"/>
          <w:u w:color="000000"/>
        </w:rPr>
      </w:pPr>
    </w:p>
    <w:p w:rsidRPr="00F31A99" w:rsidR="00F31A99" w:rsidP="00F31A99" w:rsidRDefault="00F31A99" w14:paraId="2CEB4AD0" w14:textId="77777777">
      <w:pPr>
        <w:autoSpaceDN w:val="0"/>
        <w:ind w:left="851" w:right="851" w:firstLine="431"/>
        <w:jc w:val="both"/>
        <w:rPr>
          <w:rFonts w:ascii="Times New Roman" w:hAnsi="Times New Roman" w:eastAsia="Calibri" w:cs="Times New Roman"/>
          <w:bCs/>
          <w:sz w:val="26"/>
          <w:szCs w:val="26"/>
          <w:u w:color="000000"/>
        </w:rPr>
      </w:pPr>
      <w:bookmarkStart w:name="_Hlk34805870" w:id="15"/>
      <w:bookmarkEnd w:id="14"/>
      <w:r w:rsidRPr="00F31A99">
        <w:rPr>
          <w:rFonts w:ascii="Times New Roman" w:hAnsi="Times New Roman" w:eastAsia="Calibri" w:cs="Times New Roman"/>
          <w:bCs/>
          <w:sz w:val="26"/>
          <w:szCs w:val="26"/>
          <w:u w:color="000000"/>
        </w:rPr>
        <w:t>Según se muestra en el cuadro anterior, la concentración de recursos para el periodo 2022 por Centro de Responsabilidad, recae sobre El Ministerio Público con ¢159.290.703, de los cuales ¢109.785.619 corresponden a Peritajes y ¢40.431.040 a Traducciones, Organismo de Investigación Judicial ¢66.544.372, la Dirección Ejecutiva con ¢40.784.886 el Departamento de Prensa y Comunicación Organizacional por ¢40.589.967 y el Departamento de Trabajo Social y Psicología</w:t>
      </w:r>
      <w:r w:rsidRPr="00F31A99">
        <w:rPr>
          <w:rFonts w:ascii="Times New Roman" w:hAnsi="Times New Roman" w:eastAsia="Calibri" w:cs="Times New Roman"/>
          <w:bCs/>
          <w:sz w:val="24"/>
          <w:u w:color="000000"/>
        </w:rPr>
        <w:t xml:space="preserve"> </w:t>
      </w:r>
      <w:r w:rsidRPr="00F31A99">
        <w:rPr>
          <w:rFonts w:ascii="Times New Roman" w:hAnsi="Times New Roman" w:eastAsia="Calibri" w:cs="Times New Roman"/>
          <w:bCs/>
          <w:sz w:val="26"/>
          <w:szCs w:val="26"/>
          <w:u w:color="000000"/>
        </w:rPr>
        <w:t>con ¢30.055.000, representando dichos centros de responsabilidad, un 53% de la totalidad de recursos solicitados en la subpartida</w:t>
      </w:r>
      <w:bookmarkEnd w:id="15"/>
      <w:r w:rsidRPr="00F31A99">
        <w:rPr>
          <w:rFonts w:ascii="Times New Roman" w:hAnsi="Times New Roman" w:eastAsia="Calibri" w:cs="Times New Roman"/>
          <w:bCs/>
          <w:sz w:val="26"/>
          <w:szCs w:val="26"/>
          <w:u w:color="000000"/>
        </w:rPr>
        <w:t xml:space="preserve">. </w:t>
      </w:r>
    </w:p>
    <w:p w:rsidRPr="00F31A99" w:rsidR="00F31A99" w:rsidP="00F31A99" w:rsidRDefault="00F31A99" w14:paraId="59A1C77B" w14:textId="77777777">
      <w:pPr>
        <w:autoSpaceDN w:val="0"/>
        <w:ind w:left="851" w:right="851" w:firstLine="431"/>
        <w:jc w:val="both"/>
        <w:rPr>
          <w:rFonts w:ascii="Times New Roman" w:hAnsi="Times New Roman" w:eastAsia="Calibri" w:cs="Times New Roman"/>
          <w:bCs/>
          <w:sz w:val="26"/>
          <w:szCs w:val="26"/>
          <w:u w:color="000000"/>
        </w:rPr>
      </w:pPr>
    </w:p>
    <w:p w:rsidRPr="00F31A99" w:rsidR="00F31A99" w:rsidP="00F31A99" w:rsidRDefault="00F31A99" w14:paraId="2E6EA32F"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A continuación, se presenta un detalle por programa de los servicios que se formulan en esta subpartida para el 2022.</w:t>
      </w:r>
    </w:p>
    <w:p w:rsidRPr="00F31A99" w:rsidR="00F31A99" w:rsidP="00F31A99" w:rsidRDefault="00F31A99" w14:paraId="65771252" w14:textId="77777777">
      <w:pPr>
        <w:autoSpaceDN w:val="0"/>
        <w:spacing w:line="360" w:lineRule="auto"/>
        <w:ind w:firstLine="429"/>
        <w:jc w:val="both"/>
        <w:rPr>
          <w:rFonts w:ascii="Times New Roman" w:hAnsi="Times New Roman" w:eastAsia="Calibri" w:cs="Times New Roman"/>
          <w:bCs/>
          <w:sz w:val="24"/>
          <w:u w:color="000000"/>
        </w:rPr>
      </w:pPr>
    </w:p>
    <w:p w:rsidRPr="00F31A99" w:rsidR="00F31A99" w:rsidP="00F31A99" w:rsidRDefault="00F31A99" w14:paraId="2406C23C" w14:textId="77777777">
      <w:pPr>
        <w:autoSpaceDN w:val="0"/>
        <w:spacing w:line="360" w:lineRule="auto"/>
        <w:ind w:firstLine="429"/>
        <w:jc w:val="center"/>
        <w:rPr>
          <w:rFonts w:ascii="Times New Roman" w:hAnsi="Times New Roman" w:eastAsia="Calibri" w:cs="Times New Roman"/>
          <w:bCs/>
          <w:sz w:val="24"/>
          <w:u w:color="000000"/>
        </w:rPr>
      </w:pPr>
      <w:r w:rsidRPr="00F31A99">
        <w:rPr>
          <w:rFonts w:ascii="Times New Roman" w:hAnsi="Times New Roman" w:eastAsia="Calibri" w:cs="Times New Roman"/>
          <w:noProof/>
          <w:u w:color="000000"/>
        </w:rPr>
        <w:lastRenderedPageBreak/>
        <w:drawing>
          <wp:inline distT="0" distB="0" distL="0" distR="0" wp14:anchorId="4F969DF8" wp14:editId="6037025E">
            <wp:extent cx="5612130" cy="2846705"/>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12130" cy="2846705"/>
                    </a:xfrm>
                    <a:prstGeom prst="rect">
                      <a:avLst/>
                    </a:prstGeom>
                    <a:noFill/>
                    <a:ln>
                      <a:noFill/>
                    </a:ln>
                  </pic:spPr>
                </pic:pic>
              </a:graphicData>
            </a:graphic>
          </wp:inline>
        </w:drawing>
      </w:r>
    </w:p>
    <w:p w:rsidRPr="00F31A99" w:rsidR="00F31A99" w:rsidP="00F31A99" w:rsidRDefault="00F31A99" w14:paraId="32564799" w14:textId="77777777">
      <w:pPr>
        <w:autoSpaceDN w:val="0"/>
        <w:spacing w:line="360" w:lineRule="auto"/>
        <w:ind w:firstLine="429"/>
        <w:jc w:val="both"/>
        <w:rPr>
          <w:rFonts w:ascii="Times New Roman" w:hAnsi="Times New Roman" w:eastAsia="Calibri" w:cs="Times New Roman"/>
          <w:bCs/>
          <w:sz w:val="24"/>
          <w:u w:color="000000"/>
        </w:rPr>
      </w:pPr>
    </w:p>
    <w:p w:rsidRPr="00F31A99" w:rsidR="00F31A99" w:rsidP="00F31A99" w:rsidRDefault="00F31A99" w14:paraId="33057D38"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Estos recursos se detallan en el siguiente cuadro:</w:t>
      </w:r>
    </w:p>
    <w:p w:rsidRPr="00F31A99" w:rsidR="00F31A99" w:rsidP="00F31A99" w:rsidRDefault="00F31A99" w14:paraId="74A18F81" w14:textId="77777777">
      <w:pPr>
        <w:autoSpaceDN w:val="0"/>
        <w:ind w:left="851" w:right="851" w:firstLine="431"/>
        <w:jc w:val="both"/>
        <w:rPr>
          <w:rFonts w:ascii="Times New Roman" w:hAnsi="Times New Roman" w:eastAsia="Calibri" w:cs="Times New Roman"/>
          <w:bCs/>
          <w:sz w:val="26"/>
          <w:szCs w:val="26"/>
          <w:u w:color="000000"/>
        </w:rPr>
      </w:pPr>
    </w:p>
    <w:p w:rsidRPr="00F31A99" w:rsidR="00F31A99" w:rsidP="00F31A99" w:rsidRDefault="00F31A99" w14:paraId="750B309C"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A continuación, se presenta el detalle de los ¢134.566.221, requerimientos o servicios que pretenden adquirir los Centros de Responsabilidad que formulan recursos en el artículo denominado 19540 “Servicios de Gestión y Apoyo”.</w:t>
      </w:r>
    </w:p>
    <w:p w:rsidRPr="00F31A99" w:rsidR="00F31A99" w:rsidP="00F31A99" w:rsidRDefault="00F31A99" w14:paraId="4954CE7A" w14:textId="77777777">
      <w:pPr>
        <w:autoSpaceDN w:val="0"/>
        <w:spacing w:line="360" w:lineRule="auto"/>
        <w:ind w:firstLine="429"/>
        <w:jc w:val="both"/>
        <w:rPr>
          <w:rFonts w:ascii="Times New Roman" w:hAnsi="Times New Roman" w:eastAsia="Calibri" w:cs="Times New Roman"/>
          <w:bCs/>
          <w:sz w:val="24"/>
          <w:u w:color="000000"/>
        </w:rPr>
      </w:pPr>
    </w:p>
    <w:tbl>
      <w:tblPr>
        <w:tblW w:w="9975" w:type="dxa"/>
        <w:jc w:val="center"/>
        <w:tblLayout w:type="fixed"/>
        <w:tblCellMar>
          <w:left w:w="70" w:type="dxa"/>
          <w:right w:w="70" w:type="dxa"/>
        </w:tblCellMar>
        <w:tblLook w:val="04A0" w:firstRow="1" w:lastRow="0" w:firstColumn="1" w:lastColumn="0" w:noHBand="0" w:noVBand="1"/>
      </w:tblPr>
      <w:tblGrid>
        <w:gridCol w:w="1062"/>
        <w:gridCol w:w="2879"/>
        <w:gridCol w:w="1718"/>
        <w:gridCol w:w="4156"/>
        <w:gridCol w:w="160"/>
      </w:tblGrid>
      <w:tr w:rsidRPr="00F31A99" w:rsidR="00F31A99" w:rsidTr="00A306B2" w14:paraId="5C612E9D" w14:textId="77777777">
        <w:trPr>
          <w:gridAfter w:val="1"/>
          <w:wAfter w:w="153" w:type="dxa"/>
          <w:trHeight w:val="585"/>
          <w:jc w:val="center"/>
        </w:trPr>
        <w:tc>
          <w:tcPr>
            <w:tcW w:w="1064" w:type="dxa"/>
            <w:tcBorders>
              <w:top w:val="single" w:color="auto" w:sz="4" w:space="0"/>
              <w:left w:val="single" w:color="auto" w:sz="4" w:space="0"/>
              <w:bottom w:val="single" w:color="auto" w:sz="4" w:space="0"/>
              <w:right w:val="single" w:color="auto" w:sz="4" w:space="0"/>
            </w:tcBorders>
            <w:shd w:val="clear" w:color="000000" w:fill="D9D9D9"/>
            <w:noWrap/>
            <w:hideMark/>
          </w:tcPr>
          <w:p w:rsidRPr="00F31A99" w:rsidR="00F31A99" w:rsidP="00F31A99" w:rsidRDefault="00F31A99" w14:paraId="5581F742"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Programa </w:t>
            </w:r>
          </w:p>
        </w:tc>
        <w:tc>
          <w:tcPr>
            <w:tcW w:w="2880" w:type="dxa"/>
            <w:tcBorders>
              <w:top w:val="single" w:color="auto" w:sz="4" w:space="0"/>
              <w:left w:val="nil"/>
              <w:bottom w:val="single" w:color="auto" w:sz="4" w:space="0"/>
              <w:right w:val="single" w:color="auto" w:sz="4" w:space="0"/>
            </w:tcBorders>
            <w:shd w:val="clear" w:color="000000" w:fill="D9D9D9"/>
            <w:noWrap/>
            <w:hideMark/>
          </w:tcPr>
          <w:p w:rsidRPr="00F31A99" w:rsidR="00F31A99" w:rsidP="00F31A99" w:rsidRDefault="00F31A99" w14:paraId="75F7901E"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Centro de Responsabilidad </w:t>
            </w:r>
          </w:p>
        </w:tc>
        <w:tc>
          <w:tcPr>
            <w:tcW w:w="1719" w:type="dxa"/>
            <w:tcBorders>
              <w:top w:val="single" w:color="auto" w:sz="4" w:space="0"/>
              <w:left w:val="nil"/>
              <w:bottom w:val="single" w:color="auto" w:sz="4" w:space="0"/>
              <w:right w:val="single" w:color="auto" w:sz="4" w:space="0"/>
            </w:tcBorders>
            <w:shd w:val="clear" w:color="000000" w:fill="D9D9D9"/>
            <w:noWrap/>
            <w:hideMark/>
          </w:tcPr>
          <w:p w:rsidRPr="00F31A99" w:rsidR="00F31A99" w:rsidP="00F31A99" w:rsidRDefault="00F31A99" w14:paraId="3560B361"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Monto</w:t>
            </w:r>
          </w:p>
        </w:tc>
        <w:tc>
          <w:tcPr>
            <w:tcW w:w="4159" w:type="dxa"/>
            <w:tcBorders>
              <w:top w:val="single" w:color="auto" w:sz="4" w:space="0"/>
              <w:left w:val="nil"/>
              <w:bottom w:val="single" w:color="auto" w:sz="4" w:space="0"/>
              <w:right w:val="single" w:color="auto" w:sz="4" w:space="0"/>
            </w:tcBorders>
            <w:shd w:val="clear" w:color="000000" w:fill="D9D9D9"/>
            <w:noWrap/>
            <w:hideMark/>
          </w:tcPr>
          <w:p w:rsidRPr="00F31A99" w:rsidR="00F31A99" w:rsidP="00F31A99" w:rsidRDefault="00F31A99" w14:paraId="59CE5A0B"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Justificación </w:t>
            </w:r>
          </w:p>
        </w:tc>
      </w:tr>
      <w:tr w:rsidRPr="00F31A99" w:rsidR="00F31A99" w:rsidTr="00A306B2" w14:paraId="5039E304" w14:textId="77777777">
        <w:trPr>
          <w:gridAfter w:val="1"/>
          <w:wAfter w:w="153" w:type="dxa"/>
          <w:trHeight w:val="454"/>
          <w:jc w:val="center"/>
        </w:trPr>
        <w:tc>
          <w:tcPr>
            <w:tcW w:w="1064" w:type="dxa"/>
            <w:vMerge w:val="restart"/>
            <w:tcBorders>
              <w:top w:val="nil"/>
              <w:left w:val="single" w:color="auto" w:sz="4" w:space="0"/>
              <w:bottom w:val="single" w:color="000000" w:sz="4" w:space="0"/>
              <w:right w:val="single" w:color="auto" w:sz="4" w:space="0"/>
            </w:tcBorders>
            <w:shd w:val="clear" w:color="auto" w:fill="auto"/>
            <w:hideMark/>
          </w:tcPr>
          <w:p w:rsidRPr="00F31A99" w:rsidR="00F31A99" w:rsidP="00F31A99" w:rsidRDefault="00F31A99" w14:paraId="174615FA"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Programa 926</w:t>
            </w:r>
          </w:p>
        </w:tc>
        <w:tc>
          <w:tcPr>
            <w:tcW w:w="2880" w:type="dxa"/>
            <w:vMerge w:val="restart"/>
            <w:tcBorders>
              <w:top w:val="nil"/>
              <w:left w:val="single" w:color="auto" w:sz="4" w:space="0"/>
              <w:bottom w:val="single" w:color="auto" w:sz="4" w:space="0"/>
              <w:right w:val="single" w:color="auto" w:sz="4" w:space="0"/>
            </w:tcBorders>
            <w:shd w:val="clear" w:color="auto" w:fill="auto"/>
            <w:hideMark/>
          </w:tcPr>
          <w:p w:rsidRPr="00F31A99" w:rsidR="00F31A99" w:rsidP="00F31A99" w:rsidRDefault="00F31A99" w14:paraId="76C5E299"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Departamento de Prensa y Comunicación Organizacional</w:t>
            </w:r>
          </w:p>
        </w:tc>
        <w:tc>
          <w:tcPr>
            <w:tcW w:w="1719" w:type="dxa"/>
            <w:vMerge w:val="restart"/>
            <w:tcBorders>
              <w:top w:val="nil"/>
              <w:left w:val="single" w:color="auto" w:sz="4" w:space="0"/>
              <w:bottom w:val="single" w:color="auto" w:sz="4" w:space="0"/>
              <w:right w:val="single" w:color="auto" w:sz="4" w:space="0"/>
            </w:tcBorders>
            <w:shd w:val="clear" w:color="auto" w:fill="auto"/>
            <w:hideMark/>
          </w:tcPr>
          <w:p w:rsidRPr="00F31A99" w:rsidR="00F31A99" w:rsidP="00F31A99" w:rsidRDefault="00F31A99" w14:paraId="2092EC10"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32 025 959 </w:t>
            </w:r>
          </w:p>
        </w:tc>
        <w:tc>
          <w:tcPr>
            <w:tcW w:w="4159" w:type="dxa"/>
            <w:vMerge w:val="restart"/>
            <w:tcBorders>
              <w:top w:val="nil"/>
              <w:left w:val="single" w:color="auto" w:sz="4" w:space="0"/>
              <w:bottom w:val="single" w:color="auto" w:sz="4" w:space="0"/>
              <w:right w:val="single" w:color="auto" w:sz="4" w:space="0"/>
            </w:tcBorders>
            <w:shd w:val="clear" w:color="auto" w:fill="auto"/>
            <w:hideMark/>
          </w:tcPr>
          <w:p w:rsidRPr="00F31A99" w:rsidR="00F31A99" w:rsidP="00F31A99" w:rsidRDefault="00F31A99" w14:paraId="3F76EB9E" w14:textId="77777777">
            <w:pPr>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Se requieren para atender el Contrato 32119, que brinda el servicio de difusión, monitoreo y análisis de las interacciones en redes sociales sobre temas del Poder Judicial.</w:t>
            </w:r>
          </w:p>
        </w:tc>
      </w:tr>
      <w:tr w:rsidRPr="00F31A99" w:rsidR="00F31A99" w:rsidTr="00A306B2" w14:paraId="19C0CDA3" w14:textId="77777777">
        <w:trPr>
          <w:trHeight w:val="774"/>
          <w:jc w:val="center"/>
        </w:trPr>
        <w:tc>
          <w:tcPr>
            <w:tcW w:w="1064" w:type="dxa"/>
            <w:vMerge/>
            <w:tcBorders>
              <w:top w:val="nil"/>
              <w:left w:val="single" w:color="auto" w:sz="4" w:space="0"/>
              <w:bottom w:val="single" w:color="000000" w:sz="4" w:space="0"/>
              <w:right w:val="single" w:color="auto" w:sz="4" w:space="0"/>
            </w:tcBorders>
            <w:hideMark/>
          </w:tcPr>
          <w:p w:rsidRPr="00F31A99" w:rsidR="00F31A99" w:rsidP="00F31A99" w:rsidRDefault="00F31A99" w14:paraId="57C6E964" w14:textId="77777777">
            <w:pPr>
              <w:autoSpaceDN w:val="0"/>
              <w:rPr>
                <w:rFonts w:ascii="Times New Roman" w:hAnsi="Times New Roman" w:eastAsia="Times New Roman" w:cs="Times New Roman"/>
                <w:b/>
                <w:bCs/>
                <w:u w:color="000000"/>
                <w:lang w:eastAsia="es-CR"/>
              </w:rPr>
            </w:pPr>
          </w:p>
        </w:tc>
        <w:tc>
          <w:tcPr>
            <w:tcW w:w="2880" w:type="dxa"/>
            <w:vMerge/>
            <w:tcBorders>
              <w:top w:val="nil"/>
              <w:left w:val="single" w:color="auto" w:sz="4" w:space="0"/>
              <w:bottom w:val="single" w:color="auto" w:sz="4" w:space="0"/>
              <w:right w:val="single" w:color="auto" w:sz="4" w:space="0"/>
            </w:tcBorders>
            <w:hideMark/>
          </w:tcPr>
          <w:p w:rsidRPr="00F31A99" w:rsidR="00F31A99" w:rsidP="00F31A99" w:rsidRDefault="00F31A99" w14:paraId="04F49279" w14:textId="77777777">
            <w:pPr>
              <w:autoSpaceDN w:val="0"/>
              <w:rPr>
                <w:rFonts w:ascii="Times New Roman" w:hAnsi="Times New Roman" w:eastAsia="Times New Roman" w:cs="Times New Roman"/>
                <w:u w:color="000000"/>
                <w:lang w:eastAsia="es-CR"/>
              </w:rPr>
            </w:pPr>
          </w:p>
        </w:tc>
        <w:tc>
          <w:tcPr>
            <w:tcW w:w="1719" w:type="dxa"/>
            <w:vMerge/>
            <w:tcBorders>
              <w:top w:val="nil"/>
              <w:left w:val="single" w:color="auto" w:sz="4" w:space="0"/>
              <w:bottom w:val="single" w:color="auto" w:sz="4" w:space="0"/>
              <w:right w:val="single" w:color="auto" w:sz="4" w:space="0"/>
            </w:tcBorders>
            <w:hideMark/>
          </w:tcPr>
          <w:p w:rsidRPr="00F31A99" w:rsidR="00F31A99" w:rsidP="00F31A99" w:rsidRDefault="00F31A99" w14:paraId="35A3EA13" w14:textId="77777777">
            <w:pPr>
              <w:autoSpaceDN w:val="0"/>
              <w:rPr>
                <w:rFonts w:ascii="Times New Roman" w:hAnsi="Times New Roman" w:eastAsia="Times New Roman" w:cs="Times New Roman"/>
                <w:u w:color="000000"/>
                <w:lang w:eastAsia="es-CR"/>
              </w:rPr>
            </w:pPr>
          </w:p>
        </w:tc>
        <w:tc>
          <w:tcPr>
            <w:tcW w:w="4159" w:type="dxa"/>
            <w:vMerge/>
            <w:tcBorders>
              <w:top w:val="nil"/>
              <w:left w:val="single" w:color="auto" w:sz="4" w:space="0"/>
              <w:bottom w:val="single" w:color="auto" w:sz="4" w:space="0"/>
              <w:right w:val="single" w:color="auto" w:sz="4" w:space="0"/>
            </w:tcBorders>
            <w:hideMark/>
          </w:tcPr>
          <w:p w:rsidRPr="00F31A99" w:rsidR="00F31A99" w:rsidP="00F31A99" w:rsidRDefault="00F31A99" w14:paraId="6C57A4A1" w14:textId="77777777">
            <w:pPr>
              <w:autoSpaceDN w:val="0"/>
              <w:rPr>
                <w:rFonts w:ascii="Times New Roman" w:hAnsi="Times New Roman" w:eastAsia="Times New Roman" w:cs="Times New Roman"/>
                <w:u w:color="000000"/>
                <w:lang w:eastAsia="es-CR"/>
              </w:rPr>
            </w:pPr>
          </w:p>
        </w:tc>
        <w:tc>
          <w:tcPr>
            <w:tcW w:w="152" w:type="dxa"/>
            <w:tcBorders>
              <w:top w:val="nil"/>
              <w:left w:val="nil"/>
              <w:bottom w:val="nil"/>
              <w:right w:val="nil"/>
            </w:tcBorders>
            <w:shd w:val="clear" w:color="auto" w:fill="auto"/>
            <w:noWrap/>
            <w:hideMark/>
          </w:tcPr>
          <w:p w:rsidRPr="00F31A99" w:rsidR="00F31A99" w:rsidP="00F31A99" w:rsidRDefault="00F31A99" w14:paraId="7953AA7F" w14:textId="77777777">
            <w:pPr>
              <w:autoSpaceDN w:val="0"/>
              <w:jc w:val="both"/>
              <w:rPr>
                <w:rFonts w:ascii="Times New Roman" w:hAnsi="Times New Roman" w:eastAsia="Times New Roman" w:cs="Times New Roman"/>
                <w:u w:color="000000"/>
                <w:lang w:eastAsia="es-CR"/>
              </w:rPr>
            </w:pPr>
          </w:p>
        </w:tc>
      </w:tr>
      <w:tr w:rsidRPr="00F31A99" w:rsidR="00F31A99" w:rsidTr="00A306B2" w14:paraId="38EF90A8" w14:textId="77777777">
        <w:trPr>
          <w:trHeight w:val="1439"/>
          <w:jc w:val="center"/>
        </w:trPr>
        <w:tc>
          <w:tcPr>
            <w:tcW w:w="1064" w:type="dxa"/>
            <w:vMerge/>
            <w:tcBorders>
              <w:top w:val="nil"/>
              <w:left w:val="single" w:color="auto" w:sz="4" w:space="0"/>
              <w:bottom w:val="single" w:color="000000" w:sz="4" w:space="0"/>
              <w:right w:val="single" w:color="auto" w:sz="4" w:space="0"/>
            </w:tcBorders>
            <w:hideMark/>
          </w:tcPr>
          <w:p w:rsidRPr="00F31A99" w:rsidR="00F31A99" w:rsidP="00F31A99" w:rsidRDefault="00F31A99" w14:paraId="149DB7AA" w14:textId="77777777">
            <w:pPr>
              <w:autoSpaceDN w:val="0"/>
              <w:rPr>
                <w:rFonts w:ascii="Times New Roman" w:hAnsi="Times New Roman" w:eastAsia="Times New Roman" w:cs="Times New Roman"/>
                <w:b/>
                <w:bCs/>
                <w:u w:color="000000"/>
                <w:lang w:eastAsia="es-CR"/>
              </w:rPr>
            </w:pPr>
          </w:p>
        </w:tc>
        <w:tc>
          <w:tcPr>
            <w:tcW w:w="2880" w:type="dxa"/>
            <w:tcBorders>
              <w:top w:val="nil"/>
              <w:left w:val="nil"/>
              <w:bottom w:val="single" w:color="auto" w:sz="4" w:space="0"/>
              <w:right w:val="single" w:color="auto" w:sz="4" w:space="0"/>
            </w:tcBorders>
            <w:shd w:val="clear" w:color="auto" w:fill="auto"/>
            <w:hideMark/>
          </w:tcPr>
          <w:p w:rsidRPr="00F31A99" w:rsidR="00F31A99" w:rsidP="00F31A99" w:rsidRDefault="00F31A99" w14:paraId="019BB93F"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Comisión Nacional de Mejoramiento de la Justicia</w:t>
            </w:r>
          </w:p>
        </w:tc>
        <w:tc>
          <w:tcPr>
            <w:tcW w:w="1719" w:type="dxa"/>
            <w:tcBorders>
              <w:top w:val="nil"/>
              <w:left w:val="nil"/>
              <w:bottom w:val="single" w:color="auto" w:sz="4" w:space="0"/>
              <w:right w:val="single" w:color="auto" w:sz="4" w:space="0"/>
            </w:tcBorders>
            <w:shd w:val="clear" w:color="auto" w:fill="auto"/>
            <w:noWrap/>
            <w:hideMark/>
          </w:tcPr>
          <w:p w:rsidRPr="00F31A99" w:rsidR="00F31A99" w:rsidP="00F31A99" w:rsidRDefault="00F31A99" w14:paraId="4E1E5A1C"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25 235 000 </w:t>
            </w:r>
          </w:p>
        </w:tc>
        <w:tc>
          <w:tcPr>
            <w:tcW w:w="4159" w:type="dxa"/>
            <w:tcBorders>
              <w:top w:val="nil"/>
              <w:left w:val="nil"/>
              <w:bottom w:val="single" w:color="auto" w:sz="4" w:space="0"/>
              <w:right w:val="single" w:color="auto" w:sz="4" w:space="0"/>
            </w:tcBorders>
            <w:shd w:val="clear" w:color="auto" w:fill="auto"/>
            <w:hideMark/>
          </w:tcPr>
          <w:p w:rsidRPr="00F31A99" w:rsidR="00F31A99" w:rsidP="00F31A99" w:rsidRDefault="00F31A99" w14:paraId="7D73D529" w14:textId="77777777">
            <w:pPr>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Para atender dentro del marco de la Política de Justicia Abierta y la Política de Participación Ciudadana las consultorías tendientes a la especialización en estos temas para fortalecer todos esfuerzos que el Poder Judicial está realizando para posicionarse como líder internacional en Justicia Abierta.</w:t>
            </w:r>
          </w:p>
        </w:tc>
        <w:tc>
          <w:tcPr>
            <w:tcW w:w="152" w:type="dxa"/>
            <w:hideMark/>
          </w:tcPr>
          <w:p w:rsidRPr="00F31A99" w:rsidR="00F31A99" w:rsidP="00F31A99" w:rsidRDefault="00F31A99" w14:paraId="5FC58E43" w14:textId="77777777">
            <w:pPr>
              <w:autoSpaceDN w:val="0"/>
              <w:rPr>
                <w:rFonts w:ascii="Times New Roman" w:hAnsi="Times New Roman" w:eastAsia="Times New Roman" w:cs="Times New Roman"/>
                <w:u w:color="000000"/>
                <w:lang w:eastAsia="es-CR"/>
              </w:rPr>
            </w:pPr>
          </w:p>
        </w:tc>
      </w:tr>
      <w:tr w:rsidRPr="00F31A99" w:rsidR="00F31A99" w:rsidTr="00A306B2" w14:paraId="2CB28514" w14:textId="77777777">
        <w:trPr>
          <w:trHeight w:val="1103"/>
          <w:jc w:val="center"/>
        </w:trPr>
        <w:tc>
          <w:tcPr>
            <w:tcW w:w="1064" w:type="dxa"/>
            <w:vMerge/>
            <w:tcBorders>
              <w:top w:val="nil"/>
              <w:left w:val="single" w:color="auto" w:sz="4" w:space="0"/>
              <w:bottom w:val="single" w:color="000000" w:sz="4" w:space="0"/>
              <w:right w:val="single" w:color="auto" w:sz="4" w:space="0"/>
            </w:tcBorders>
            <w:hideMark/>
          </w:tcPr>
          <w:p w:rsidRPr="00F31A99" w:rsidR="00F31A99" w:rsidP="00F31A99" w:rsidRDefault="00F31A99" w14:paraId="598D6195" w14:textId="77777777">
            <w:pPr>
              <w:autoSpaceDN w:val="0"/>
              <w:rPr>
                <w:rFonts w:ascii="Times New Roman" w:hAnsi="Times New Roman" w:eastAsia="Times New Roman" w:cs="Times New Roman"/>
                <w:b/>
                <w:bCs/>
                <w:u w:color="000000"/>
                <w:lang w:eastAsia="es-CR"/>
              </w:rPr>
            </w:pPr>
          </w:p>
        </w:tc>
        <w:tc>
          <w:tcPr>
            <w:tcW w:w="2880" w:type="dxa"/>
            <w:tcBorders>
              <w:top w:val="nil"/>
              <w:left w:val="nil"/>
              <w:bottom w:val="single" w:color="auto" w:sz="4" w:space="0"/>
              <w:right w:val="single" w:color="auto" w:sz="4" w:space="0"/>
            </w:tcBorders>
            <w:shd w:val="clear" w:color="auto" w:fill="auto"/>
            <w:hideMark/>
          </w:tcPr>
          <w:p w:rsidRPr="00F31A99" w:rsidR="00F31A99" w:rsidP="00F31A99" w:rsidRDefault="00F31A99" w14:paraId="1FE58831"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Adm. I Circuito Judicial de la Zona Sur </w:t>
            </w:r>
          </w:p>
        </w:tc>
        <w:tc>
          <w:tcPr>
            <w:tcW w:w="1719" w:type="dxa"/>
            <w:tcBorders>
              <w:top w:val="nil"/>
              <w:left w:val="nil"/>
              <w:bottom w:val="single" w:color="auto" w:sz="4" w:space="0"/>
              <w:right w:val="single" w:color="auto" w:sz="4" w:space="0"/>
            </w:tcBorders>
            <w:shd w:val="clear" w:color="auto" w:fill="auto"/>
            <w:noWrap/>
            <w:hideMark/>
          </w:tcPr>
          <w:p w:rsidRPr="00F31A99" w:rsidR="00F31A99" w:rsidP="00F31A99" w:rsidRDefault="00F31A99" w14:paraId="43A68B54"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1 200 000 </w:t>
            </w:r>
          </w:p>
        </w:tc>
        <w:tc>
          <w:tcPr>
            <w:tcW w:w="4159" w:type="dxa"/>
            <w:tcBorders>
              <w:top w:val="nil"/>
              <w:left w:val="nil"/>
              <w:bottom w:val="single" w:color="auto" w:sz="4" w:space="0"/>
              <w:right w:val="single" w:color="auto" w:sz="4" w:space="0"/>
            </w:tcBorders>
            <w:shd w:val="clear" w:color="auto" w:fill="auto"/>
            <w:hideMark/>
          </w:tcPr>
          <w:p w:rsidRPr="00F31A99" w:rsidR="00F31A99" w:rsidP="00F31A99" w:rsidRDefault="00F31A99" w14:paraId="673BF2F3" w14:textId="77777777">
            <w:pPr>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Se requieren para atender cualquier tipo de instalación que demanda de un técnico, como por ejemplo las cámaras de seguridad y aires acondicionados.</w:t>
            </w:r>
          </w:p>
        </w:tc>
        <w:tc>
          <w:tcPr>
            <w:tcW w:w="152" w:type="dxa"/>
            <w:hideMark/>
          </w:tcPr>
          <w:p w:rsidRPr="00F31A99" w:rsidR="00F31A99" w:rsidP="00F31A99" w:rsidRDefault="00F31A99" w14:paraId="01E44187" w14:textId="77777777">
            <w:pPr>
              <w:autoSpaceDN w:val="0"/>
              <w:rPr>
                <w:rFonts w:ascii="Times New Roman" w:hAnsi="Times New Roman" w:eastAsia="Times New Roman" w:cs="Times New Roman"/>
                <w:u w:color="000000"/>
                <w:lang w:eastAsia="es-CR"/>
              </w:rPr>
            </w:pPr>
          </w:p>
        </w:tc>
      </w:tr>
      <w:tr w:rsidRPr="00F31A99" w:rsidR="00F31A99" w:rsidTr="00A306B2" w14:paraId="2CA1713C" w14:textId="77777777">
        <w:trPr>
          <w:trHeight w:val="1151"/>
          <w:jc w:val="center"/>
        </w:trPr>
        <w:tc>
          <w:tcPr>
            <w:tcW w:w="1064" w:type="dxa"/>
            <w:vMerge/>
            <w:tcBorders>
              <w:top w:val="nil"/>
              <w:left w:val="single" w:color="auto" w:sz="4" w:space="0"/>
              <w:bottom w:val="single" w:color="000000" w:sz="4" w:space="0"/>
              <w:right w:val="single" w:color="auto" w:sz="4" w:space="0"/>
            </w:tcBorders>
            <w:hideMark/>
          </w:tcPr>
          <w:p w:rsidRPr="00F31A99" w:rsidR="00F31A99" w:rsidP="00F31A99" w:rsidRDefault="00F31A99" w14:paraId="57A80A1D" w14:textId="77777777">
            <w:pPr>
              <w:autoSpaceDN w:val="0"/>
              <w:rPr>
                <w:rFonts w:ascii="Times New Roman" w:hAnsi="Times New Roman" w:eastAsia="Times New Roman" w:cs="Times New Roman"/>
                <w:b/>
                <w:bCs/>
                <w:u w:color="000000"/>
                <w:lang w:eastAsia="es-CR"/>
              </w:rPr>
            </w:pPr>
          </w:p>
        </w:tc>
        <w:tc>
          <w:tcPr>
            <w:tcW w:w="2880" w:type="dxa"/>
            <w:tcBorders>
              <w:top w:val="nil"/>
              <w:left w:val="nil"/>
              <w:bottom w:val="single" w:color="auto" w:sz="4" w:space="0"/>
              <w:right w:val="single" w:color="auto" w:sz="4" w:space="0"/>
            </w:tcBorders>
            <w:shd w:val="clear" w:color="auto" w:fill="auto"/>
            <w:hideMark/>
          </w:tcPr>
          <w:p w:rsidRPr="00F31A99" w:rsidR="00F31A99" w:rsidP="00F31A99" w:rsidRDefault="00F31A99" w14:paraId="6498CDB4"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Escuela Judicial</w:t>
            </w:r>
          </w:p>
        </w:tc>
        <w:tc>
          <w:tcPr>
            <w:tcW w:w="1719" w:type="dxa"/>
            <w:tcBorders>
              <w:top w:val="nil"/>
              <w:left w:val="nil"/>
              <w:bottom w:val="single" w:color="auto" w:sz="4" w:space="0"/>
              <w:right w:val="single" w:color="auto" w:sz="4" w:space="0"/>
            </w:tcBorders>
            <w:shd w:val="clear" w:color="auto" w:fill="auto"/>
            <w:noWrap/>
            <w:hideMark/>
          </w:tcPr>
          <w:p w:rsidRPr="00F31A99" w:rsidR="00F31A99" w:rsidP="00F31A99" w:rsidRDefault="00F31A99" w14:paraId="5518640E"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6 370 000 </w:t>
            </w:r>
          </w:p>
        </w:tc>
        <w:tc>
          <w:tcPr>
            <w:tcW w:w="4159" w:type="dxa"/>
            <w:tcBorders>
              <w:top w:val="nil"/>
              <w:left w:val="nil"/>
              <w:bottom w:val="single" w:color="auto" w:sz="4" w:space="0"/>
              <w:right w:val="single" w:color="auto" w:sz="4" w:space="0"/>
            </w:tcBorders>
            <w:shd w:val="clear" w:color="auto" w:fill="auto"/>
            <w:hideMark/>
          </w:tcPr>
          <w:p w:rsidRPr="00F31A99" w:rsidR="00F31A99" w:rsidP="00F31A99" w:rsidRDefault="00F31A99" w14:paraId="23C35BFB" w14:textId="77777777">
            <w:pPr>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Los recursos son necesarios para la contratación de servicios profesionales de apoyo a los Programas de Formación Inicial de Aspirantes a la Judicatura (FIAJ), y de especialización y actualización para juezas y jueces.</w:t>
            </w:r>
          </w:p>
        </w:tc>
        <w:tc>
          <w:tcPr>
            <w:tcW w:w="152" w:type="dxa"/>
            <w:hideMark/>
          </w:tcPr>
          <w:p w:rsidRPr="00F31A99" w:rsidR="00F31A99" w:rsidP="00F31A99" w:rsidRDefault="00F31A99" w14:paraId="18AC7F6F" w14:textId="77777777">
            <w:pPr>
              <w:autoSpaceDN w:val="0"/>
              <w:rPr>
                <w:rFonts w:ascii="Times New Roman" w:hAnsi="Times New Roman" w:eastAsia="Times New Roman" w:cs="Times New Roman"/>
                <w:u w:color="000000"/>
                <w:lang w:eastAsia="es-CR"/>
              </w:rPr>
            </w:pPr>
          </w:p>
        </w:tc>
      </w:tr>
      <w:tr w:rsidRPr="00F31A99" w:rsidR="00F31A99" w:rsidTr="00A306B2" w14:paraId="490F94AA" w14:textId="77777777">
        <w:trPr>
          <w:trHeight w:val="1151"/>
          <w:jc w:val="center"/>
        </w:trPr>
        <w:tc>
          <w:tcPr>
            <w:tcW w:w="1064" w:type="dxa"/>
            <w:vMerge/>
            <w:tcBorders>
              <w:top w:val="nil"/>
              <w:left w:val="single" w:color="auto" w:sz="4" w:space="0"/>
              <w:bottom w:val="single" w:color="000000" w:sz="4" w:space="0"/>
              <w:right w:val="single" w:color="auto" w:sz="4" w:space="0"/>
            </w:tcBorders>
          </w:tcPr>
          <w:p w:rsidRPr="00F31A99" w:rsidR="00F31A99" w:rsidP="00F31A99" w:rsidRDefault="00F31A99" w14:paraId="4881CF35" w14:textId="77777777">
            <w:pPr>
              <w:autoSpaceDN w:val="0"/>
              <w:rPr>
                <w:rFonts w:ascii="Times New Roman" w:hAnsi="Times New Roman" w:eastAsia="Times New Roman" w:cs="Times New Roman"/>
                <w:b/>
                <w:bCs/>
                <w:u w:color="000000"/>
                <w:lang w:eastAsia="es-CR"/>
              </w:rPr>
            </w:pPr>
          </w:p>
        </w:tc>
        <w:tc>
          <w:tcPr>
            <w:tcW w:w="2880" w:type="dxa"/>
            <w:tcBorders>
              <w:top w:val="nil"/>
              <w:left w:val="nil"/>
              <w:bottom w:val="single" w:color="auto" w:sz="4" w:space="0"/>
              <w:right w:val="single" w:color="auto" w:sz="4" w:space="0"/>
            </w:tcBorders>
            <w:shd w:val="clear" w:color="auto" w:fill="auto"/>
          </w:tcPr>
          <w:p w:rsidRPr="00F31A99" w:rsidR="00F31A99" w:rsidP="00F31A99" w:rsidRDefault="00F31A99" w14:paraId="36F6F7E0"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Departamento de Trabajo Social y Psicología</w:t>
            </w:r>
          </w:p>
        </w:tc>
        <w:tc>
          <w:tcPr>
            <w:tcW w:w="1719" w:type="dxa"/>
            <w:tcBorders>
              <w:top w:val="nil"/>
              <w:left w:val="nil"/>
              <w:bottom w:val="single" w:color="auto" w:sz="4" w:space="0"/>
              <w:right w:val="single" w:color="auto" w:sz="4" w:space="0"/>
            </w:tcBorders>
            <w:shd w:val="clear" w:color="auto" w:fill="auto"/>
            <w:noWrap/>
          </w:tcPr>
          <w:p w:rsidRPr="00F31A99" w:rsidR="00F31A99" w:rsidP="00F31A99" w:rsidRDefault="00F31A99" w14:paraId="3B901B20" w14:textId="77777777">
            <w:pPr>
              <w:autoSpaceDN w:val="0"/>
              <w:jc w:val="right"/>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30 055 000</w:t>
            </w:r>
          </w:p>
        </w:tc>
        <w:tc>
          <w:tcPr>
            <w:tcW w:w="4159" w:type="dxa"/>
            <w:tcBorders>
              <w:top w:val="nil"/>
              <w:left w:val="nil"/>
              <w:bottom w:val="single" w:color="auto" w:sz="4" w:space="0"/>
              <w:right w:val="single" w:color="auto" w:sz="4" w:space="0"/>
            </w:tcBorders>
            <w:shd w:val="clear" w:color="auto" w:fill="auto"/>
          </w:tcPr>
          <w:p w:rsidRPr="00F31A99" w:rsidR="00F31A99" w:rsidP="00F31A99" w:rsidRDefault="00F31A99" w14:paraId="226D70CB" w14:textId="77777777">
            <w:pPr>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Estos recursos se solicitan para atender el Peritaje de Trabajo Social producto del nuevo Código de Familia. </w:t>
            </w:r>
          </w:p>
        </w:tc>
        <w:tc>
          <w:tcPr>
            <w:tcW w:w="152" w:type="dxa"/>
          </w:tcPr>
          <w:p w:rsidRPr="00F31A99" w:rsidR="00F31A99" w:rsidP="00F31A99" w:rsidRDefault="00F31A99" w14:paraId="5B8CF13D" w14:textId="77777777">
            <w:pPr>
              <w:autoSpaceDN w:val="0"/>
              <w:rPr>
                <w:rFonts w:ascii="Times New Roman" w:hAnsi="Times New Roman" w:eastAsia="Times New Roman" w:cs="Times New Roman"/>
                <w:u w:color="000000"/>
                <w:lang w:eastAsia="es-CR"/>
              </w:rPr>
            </w:pPr>
          </w:p>
        </w:tc>
      </w:tr>
      <w:tr w:rsidRPr="00F31A99" w:rsidR="00F31A99" w:rsidTr="00A306B2" w14:paraId="209B7978" w14:textId="77777777">
        <w:trPr>
          <w:trHeight w:val="515"/>
          <w:jc w:val="center"/>
        </w:trPr>
        <w:tc>
          <w:tcPr>
            <w:tcW w:w="1064" w:type="dxa"/>
            <w:vMerge/>
            <w:tcBorders>
              <w:top w:val="nil"/>
              <w:left w:val="single" w:color="auto" w:sz="4" w:space="0"/>
              <w:bottom w:val="single" w:color="000000" w:sz="4" w:space="0"/>
              <w:right w:val="single" w:color="auto" w:sz="4" w:space="0"/>
            </w:tcBorders>
            <w:hideMark/>
          </w:tcPr>
          <w:p w:rsidRPr="00F31A99" w:rsidR="00F31A99" w:rsidP="00F31A99" w:rsidRDefault="00F31A99" w14:paraId="75C71FFC" w14:textId="77777777">
            <w:pPr>
              <w:autoSpaceDN w:val="0"/>
              <w:rPr>
                <w:rFonts w:ascii="Times New Roman" w:hAnsi="Times New Roman" w:eastAsia="Times New Roman" w:cs="Times New Roman"/>
                <w:b/>
                <w:bCs/>
                <w:u w:color="000000"/>
                <w:lang w:eastAsia="es-CR"/>
              </w:rPr>
            </w:pPr>
          </w:p>
        </w:tc>
        <w:tc>
          <w:tcPr>
            <w:tcW w:w="2880" w:type="dxa"/>
            <w:tcBorders>
              <w:top w:val="nil"/>
              <w:left w:val="nil"/>
              <w:bottom w:val="single" w:color="auto" w:sz="4" w:space="0"/>
              <w:right w:val="single" w:color="auto" w:sz="4" w:space="0"/>
            </w:tcBorders>
            <w:shd w:val="clear" w:color="auto" w:fill="auto"/>
            <w:hideMark/>
          </w:tcPr>
          <w:p w:rsidRPr="00F31A99" w:rsidR="00F31A99" w:rsidP="00F31A99" w:rsidRDefault="00F31A99" w14:paraId="73230BC4"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Dirección Ejecutiva </w:t>
            </w:r>
          </w:p>
        </w:tc>
        <w:tc>
          <w:tcPr>
            <w:tcW w:w="1719" w:type="dxa"/>
            <w:tcBorders>
              <w:top w:val="nil"/>
              <w:left w:val="nil"/>
              <w:bottom w:val="single" w:color="auto" w:sz="4" w:space="0"/>
              <w:right w:val="single" w:color="auto" w:sz="4" w:space="0"/>
            </w:tcBorders>
            <w:shd w:val="clear" w:color="auto" w:fill="auto"/>
            <w:noWrap/>
            <w:hideMark/>
          </w:tcPr>
          <w:p w:rsidRPr="00F31A99" w:rsidR="00F31A99" w:rsidP="00F31A99" w:rsidRDefault="00F31A99" w14:paraId="22875CE9"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4 341 395 </w:t>
            </w:r>
          </w:p>
        </w:tc>
        <w:tc>
          <w:tcPr>
            <w:tcW w:w="4159" w:type="dxa"/>
            <w:tcBorders>
              <w:top w:val="nil"/>
              <w:left w:val="nil"/>
              <w:bottom w:val="single" w:color="auto" w:sz="4" w:space="0"/>
              <w:right w:val="single" w:color="auto" w:sz="4" w:space="0"/>
            </w:tcBorders>
            <w:shd w:val="clear" w:color="auto" w:fill="auto"/>
            <w:hideMark/>
          </w:tcPr>
          <w:p w:rsidRPr="00F31A99" w:rsidR="00F31A99" w:rsidP="00F31A99" w:rsidRDefault="00F31A99" w14:paraId="3E04101D" w14:textId="77777777">
            <w:pPr>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Para atender improvistos en contrataciones de servicios especializados como técnicos de equipos en seguridad y otros. </w:t>
            </w:r>
          </w:p>
        </w:tc>
        <w:tc>
          <w:tcPr>
            <w:tcW w:w="152" w:type="dxa"/>
            <w:hideMark/>
          </w:tcPr>
          <w:p w:rsidRPr="00F31A99" w:rsidR="00F31A99" w:rsidP="00F31A99" w:rsidRDefault="00F31A99" w14:paraId="3CEB0E97" w14:textId="77777777">
            <w:pPr>
              <w:autoSpaceDN w:val="0"/>
              <w:rPr>
                <w:rFonts w:ascii="Times New Roman" w:hAnsi="Times New Roman" w:eastAsia="Times New Roman" w:cs="Times New Roman"/>
                <w:u w:color="000000"/>
                <w:lang w:eastAsia="es-CR"/>
              </w:rPr>
            </w:pPr>
          </w:p>
        </w:tc>
      </w:tr>
      <w:tr w:rsidRPr="00F31A99" w:rsidR="00F31A99" w:rsidTr="00A306B2" w14:paraId="39EE19BF" w14:textId="77777777">
        <w:trPr>
          <w:trHeight w:val="862"/>
          <w:jc w:val="center"/>
        </w:trPr>
        <w:tc>
          <w:tcPr>
            <w:tcW w:w="1064" w:type="dxa"/>
            <w:vMerge/>
            <w:tcBorders>
              <w:top w:val="nil"/>
              <w:left w:val="single" w:color="auto" w:sz="4" w:space="0"/>
              <w:bottom w:val="single" w:color="000000" w:sz="4" w:space="0"/>
              <w:right w:val="single" w:color="auto" w:sz="4" w:space="0"/>
            </w:tcBorders>
            <w:hideMark/>
          </w:tcPr>
          <w:p w:rsidRPr="00F31A99" w:rsidR="00F31A99" w:rsidP="00F31A99" w:rsidRDefault="00F31A99" w14:paraId="078FB66E" w14:textId="77777777">
            <w:pPr>
              <w:autoSpaceDN w:val="0"/>
              <w:rPr>
                <w:rFonts w:ascii="Times New Roman" w:hAnsi="Times New Roman" w:eastAsia="Times New Roman" w:cs="Times New Roman"/>
                <w:b/>
                <w:bCs/>
                <w:u w:color="000000"/>
                <w:lang w:eastAsia="es-CR"/>
              </w:rPr>
            </w:pPr>
          </w:p>
        </w:tc>
        <w:tc>
          <w:tcPr>
            <w:tcW w:w="2880" w:type="dxa"/>
            <w:tcBorders>
              <w:top w:val="nil"/>
              <w:left w:val="nil"/>
              <w:bottom w:val="single" w:color="auto" w:sz="4" w:space="0"/>
              <w:right w:val="single" w:color="auto" w:sz="4" w:space="0"/>
            </w:tcBorders>
            <w:shd w:val="clear" w:color="auto" w:fill="auto"/>
            <w:hideMark/>
          </w:tcPr>
          <w:p w:rsidRPr="00F31A99" w:rsidR="00F31A99" w:rsidP="00F31A99" w:rsidRDefault="00F31A99" w14:paraId="2F565887"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Comisión de Salud Ocupacional </w:t>
            </w:r>
          </w:p>
        </w:tc>
        <w:tc>
          <w:tcPr>
            <w:tcW w:w="1719" w:type="dxa"/>
            <w:tcBorders>
              <w:top w:val="nil"/>
              <w:left w:val="nil"/>
              <w:bottom w:val="single" w:color="auto" w:sz="4" w:space="0"/>
              <w:right w:val="single" w:color="auto" w:sz="4" w:space="0"/>
            </w:tcBorders>
            <w:shd w:val="clear" w:color="auto" w:fill="auto"/>
            <w:noWrap/>
            <w:hideMark/>
          </w:tcPr>
          <w:p w:rsidRPr="00F31A99" w:rsidR="00F31A99" w:rsidP="00F31A99" w:rsidRDefault="00F31A99" w14:paraId="1E8F0039"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1 750 294 </w:t>
            </w:r>
          </w:p>
        </w:tc>
        <w:tc>
          <w:tcPr>
            <w:tcW w:w="4159" w:type="dxa"/>
            <w:tcBorders>
              <w:top w:val="nil"/>
              <w:left w:val="nil"/>
              <w:bottom w:val="single" w:color="auto" w:sz="4" w:space="0"/>
              <w:right w:val="single" w:color="auto" w:sz="4" w:space="0"/>
            </w:tcBorders>
            <w:shd w:val="clear" w:color="auto" w:fill="auto"/>
            <w:hideMark/>
          </w:tcPr>
          <w:p w:rsidRPr="00F31A99" w:rsidR="00F31A99" w:rsidP="00F31A99" w:rsidRDefault="00F31A99" w14:paraId="6F0841A0" w14:textId="77777777">
            <w:pPr>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Estos recursos se solicitan para realizar un estudio de prevalencia de las secuelas producto del COVID en los servidores judiciales. </w:t>
            </w:r>
          </w:p>
        </w:tc>
        <w:tc>
          <w:tcPr>
            <w:tcW w:w="152" w:type="dxa"/>
            <w:hideMark/>
          </w:tcPr>
          <w:p w:rsidRPr="00F31A99" w:rsidR="00F31A99" w:rsidP="00F31A99" w:rsidRDefault="00F31A99" w14:paraId="2ACA9CCC" w14:textId="77777777">
            <w:pPr>
              <w:autoSpaceDN w:val="0"/>
              <w:rPr>
                <w:rFonts w:ascii="Times New Roman" w:hAnsi="Times New Roman" w:eastAsia="Times New Roman" w:cs="Times New Roman"/>
                <w:u w:color="000000"/>
                <w:lang w:eastAsia="es-CR"/>
              </w:rPr>
            </w:pPr>
          </w:p>
        </w:tc>
      </w:tr>
      <w:tr w:rsidRPr="00F31A99" w:rsidR="00F31A99" w:rsidTr="00A306B2" w14:paraId="6A0622E2" w14:textId="77777777">
        <w:trPr>
          <w:trHeight w:val="575"/>
          <w:jc w:val="center"/>
        </w:trPr>
        <w:tc>
          <w:tcPr>
            <w:tcW w:w="1064" w:type="dxa"/>
            <w:vMerge w:val="restart"/>
            <w:tcBorders>
              <w:top w:val="nil"/>
              <w:left w:val="single" w:color="auto" w:sz="4" w:space="0"/>
              <w:bottom w:val="single" w:color="000000" w:sz="4" w:space="0"/>
              <w:right w:val="single" w:color="auto" w:sz="4" w:space="0"/>
            </w:tcBorders>
            <w:shd w:val="clear" w:color="auto" w:fill="auto"/>
            <w:hideMark/>
          </w:tcPr>
          <w:p w:rsidRPr="00F31A99" w:rsidR="00F31A99" w:rsidP="00F31A99" w:rsidRDefault="00F31A99" w14:paraId="7E5E93D8"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Programa 927</w:t>
            </w:r>
          </w:p>
        </w:tc>
        <w:tc>
          <w:tcPr>
            <w:tcW w:w="2880" w:type="dxa"/>
            <w:tcBorders>
              <w:top w:val="nil"/>
              <w:left w:val="nil"/>
              <w:bottom w:val="single" w:color="auto" w:sz="4" w:space="0"/>
              <w:right w:val="single" w:color="auto" w:sz="4" w:space="0"/>
            </w:tcBorders>
            <w:shd w:val="clear" w:color="auto" w:fill="auto"/>
            <w:hideMark/>
          </w:tcPr>
          <w:p w:rsidRPr="00F31A99" w:rsidR="00F31A99" w:rsidP="00F31A99" w:rsidRDefault="00F31A99" w14:paraId="0D5AAF0C"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Juzgado de Pensiones Alimentarias de Puntarenas </w:t>
            </w:r>
          </w:p>
        </w:tc>
        <w:tc>
          <w:tcPr>
            <w:tcW w:w="1719" w:type="dxa"/>
            <w:tcBorders>
              <w:top w:val="nil"/>
              <w:left w:val="nil"/>
              <w:bottom w:val="single" w:color="auto" w:sz="4" w:space="0"/>
              <w:right w:val="single" w:color="auto" w:sz="4" w:space="0"/>
            </w:tcBorders>
            <w:shd w:val="clear" w:color="auto" w:fill="auto"/>
            <w:noWrap/>
            <w:hideMark/>
          </w:tcPr>
          <w:p w:rsidRPr="00F31A99" w:rsidR="00F31A99" w:rsidP="00F31A99" w:rsidRDefault="00F31A99" w14:paraId="6AFA1049"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1 800 000 </w:t>
            </w:r>
          </w:p>
        </w:tc>
        <w:tc>
          <w:tcPr>
            <w:tcW w:w="4159" w:type="dxa"/>
            <w:tcBorders>
              <w:top w:val="nil"/>
              <w:left w:val="nil"/>
              <w:bottom w:val="single" w:color="auto" w:sz="4" w:space="0"/>
              <w:right w:val="single" w:color="auto" w:sz="4" w:space="0"/>
            </w:tcBorders>
            <w:shd w:val="clear" w:color="auto" w:fill="auto"/>
            <w:hideMark/>
          </w:tcPr>
          <w:p w:rsidRPr="00F31A99" w:rsidR="00F31A99" w:rsidP="00F31A99" w:rsidRDefault="00F31A99" w14:paraId="164FB1D0" w14:textId="77777777">
            <w:pPr>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Para atender gastos propios del despacho en diligencias consulares en embajadas</w:t>
            </w:r>
          </w:p>
        </w:tc>
        <w:tc>
          <w:tcPr>
            <w:tcW w:w="152" w:type="dxa"/>
            <w:hideMark/>
          </w:tcPr>
          <w:p w:rsidRPr="00F31A99" w:rsidR="00F31A99" w:rsidP="00F31A99" w:rsidRDefault="00F31A99" w14:paraId="0A65449E" w14:textId="77777777">
            <w:pPr>
              <w:autoSpaceDN w:val="0"/>
              <w:rPr>
                <w:rFonts w:ascii="Times New Roman" w:hAnsi="Times New Roman" w:eastAsia="Times New Roman" w:cs="Times New Roman"/>
                <w:u w:color="000000"/>
                <w:lang w:eastAsia="es-CR"/>
              </w:rPr>
            </w:pPr>
          </w:p>
        </w:tc>
      </w:tr>
      <w:tr w:rsidRPr="00F31A99" w:rsidR="00F31A99" w:rsidTr="00A306B2" w14:paraId="37E96F01" w14:textId="77777777">
        <w:trPr>
          <w:trHeight w:val="287"/>
          <w:jc w:val="center"/>
        </w:trPr>
        <w:tc>
          <w:tcPr>
            <w:tcW w:w="1064" w:type="dxa"/>
            <w:vMerge/>
            <w:tcBorders>
              <w:top w:val="nil"/>
              <w:left w:val="single" w:color="auto" w:sz="4" w:space="0"/>
              <w:bottom w:val="single" w:color="000000" w:sz="4" w:space="0"/>
              <w:right w:val="single" w:color="auto" w:sz="4" w:space="0"/>
            </w:tcBorders>
            <w:hideMark/>
          </w:tcPr>
          <w:p w:rsidRPr="00F31A99" w:rsidR="00F31A99" w:rsidP="00F31A99" w:rsidRDefault="00F31A99" w14:paraId="08752EDE" w14:textId="77777777">
            <w:pPr>
              <w:autoSpaceDN w:val="0"/>
              <w:rPr>
                <w:rFonts w:ascii="Times New Roman" w:hAnsi="Times New Roman" w:eastAsia="Times New Roman" w:cs="Times New Roman"/>
                <w:b/>
                <w:bCs/>
                <w:u w:color="000000"/>
                <w:lang w:eastAsia="es-CR"/>
              </w:rPr>
            </w:pPr>
          </w:p>
        </w:tc>
        <w:tc>
          <w:tcPr>
            <w:tcW w:w="2880" w:type="dxa"/>
            <w:tcBorders>
              <w:top w:val="nil"/>
              <w:left w:val="nil"/>
              <w:bottom w:val="single" w:color="auto" w:sz="4" w:space="0"/>
              <w:right w:val="single" w:color="auto" w:sz="4" w:space="0"/>
            </w:tcBorders>
            <w:shd w:val="clear" w:color="auto" w:fill="auto"/>
            <w:hideMark/>
          </w:tcPr>
          <w:p w:rsidRPr="00F31A99" w:rsidR="00F31A99" w:rsidP="00F31A99" w:rsidRDefault="00F31A99" w14:paraId="1293AA4E"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Despacho de la Presidencia</w:t>
            </w:r>
          </w:p>
        </w:tc>
        <w:tc>
          <w:tcPr>
            <w:tcW w:w="1719" w:type="dxa"/>
            <w:tcBorders>
              <w:top w:val="nil"/>
              <w:left w:val="nil"/>
              <w:bottom w:val="single" w:color="auto" w:sz="4" w:space="0"/>
              <w:right w:val="single" w:color="auto" w:sz="4" w:space="0"/>
            </w:tcBorders>
            <w:shd w:val="clear" w:color="auto" w:fill="auto"/>
            <w:noWrap/>
            <w:hideMark/>
          </w:tcPr>
          <w:p w:rsidRPr="00F31A99" w:rsidR="00F31A99" w:rsidP="00F31A99" w:rsidRDefault="00F31A99" w14:paraId="45F939E4"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458 600 </w:t>
            </w:r>
          </w:p>
        </w:tc>
        <w:tc>
          <w:tcPr>
            <w:tcW w:w="4159" w:type="dxa"/>
            <w:tcBorders>
              <w:top w:val="nil"/>
              <w:left w:val="nil"/>
              <w:bottom w:val="single" w:color="auto" w:sz="4" w:space="0"/>
              <w:right w:val="single" w:color="auto" w:sz="4" w:space="0"/>
            </w:tcBorders>
            <w:shd w:val="clear" w:color="auto" w:fill="auto"/>
            <w:hideMark/>
          </w:tcPr>
          <w:p w:rsidRPr="00F31A99" w:rsidR="00F31A99" w:rsidP="00F31A99" w:rsidRDefault="00F31A99" w14:paraId="052ECB94" w14:textId="77777777">
            <w:pPr>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Para el pago de intérpretes en Lesco para las actividades de la Corte y la Sección de Cooperación Internacional. </w:t>
            </w:r>
          </w:p>
        </w:tc>
        <w:tc>
          <w:tcPr>
            <w:tcW w:w="152" w:type="dxa"/>
            <w:hideMark/>
          </w:tcPr>
          <w:p w:rsidRPr="00F31A99" w:rsidR="00F31A99" w:rsidP="00F31A99" w:rsidRDefault="00F31A99" w14:paraId="6F44A7E2" w14:textId="77777777">
            <w:pPr>
              <w:autoSpaceDN w:val="0"/>
              <w:rPr>
                <w:rFonts w:ascii="Times New Roman" w:hAnsi="Times New Roman" w:eastAsia="Times New Roman" w:cs="Times New Roman"/>
                <w:u w:color="000000"/>
                <w:lang w:eastAsia="es-CR"/>
              </w:rPr>
            </w:pPr>
          </w:p>
        </w:tc>
      </w:tr>
      <w:tr w:rsidRPr="00F31A99" w:rsidR="00F31A99" w:rsidTr="00A306B2" w14:paraId="712692AE" w14:textId="77777777">
        <w:trPr>
          <w:trHeight w:val="287"/>
          <w:jc w:val="center"/>
        </w:trPr>
        <w:tc>
          <w:tcPr>
            <w:tcW w:w="1064" w:type="dxa"/>
            <w:vMerge/>
            <w:tcBorders>
              <w:top w:val="nil"/>
              <w:left w:val="single" w:color="auto" w:sz="4" w:space="0"/>
              <w:bottom w:val="single" w:color="000000" w:sz="4" w:space="0"/>
              <w:right w:val="single" w:color="auto" w:sz="4" w:space="0"/>
            </w:tcBorders>
            <w:hideMark/>
          </w:tcPr>
          <w:p w:rsidRPr="00F31A99" w:rsidR="00F31A99" w:rsidP="00F31A99" w:rsidRDefault="00F31A99" w14:paraId="11545468" w14:textId="77777777">
            <w:pPr>
              <w:autoSpaceDN w:val="0"/>
              <w:rPr>
                <w:rFonts w:ascii="Times New Roman" w:hAnsi="Times New Roman" w:eastAsia="Times New Roman" w:cs="Times New Roman"/>
                <w:b/>
                <w:bCs/>
                <w:u w:color="000000"/>
                <w:lang w:eastAsia="es-CR"/>
              </w:rPr>
            </w:pPr>
          </w:p>
        </w:tc>
        <w:tc>
          <w:tcPr>
            <w:tcW w:w="2880" w:type="dxa"/>
            <w:tcBorders>
              <w:top w:val="nil"/>
              <w:left w:val="nil"/>
              <w:bottom w:val="single" w:color="auto" w:sz="4" w:space="0"/>
              <w:right w:val="single" w:color="auto" w:sz="4" w:space="0"/>
            </w:tcBorders>
            <w:shd w:val="clear" w:color="auto" w:fill="auto"/>
            <w:hideMark/>
          </w:tcPr>
          <w:p w:rsidRPr="00F31A99" w:rsidR="00F31A99" w:rsidP="00F31A99" w:rsidRDefault="00F31A99" w14:paraId="6B36C17E"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Presidencia de la Corte </w:t>
            </w:r>
          </w:p>
        </w:tc>
        <w:tc>
          <w:tcPr>
            <w:tcW w:w="1719" w:type="dxa"/>
            <w:tcBorders>
              <w:top w:val="nil"/>
              <w:left w:val="nil"/>
              <w:bottom w:val="single" w:color="auto" w:sz="4" w:space="0"/>
              <w:right w:val="single" w:color="auto" w:sz="4" w:space="0"/>
            </w:tcBorders>
            <w:shd w:val="clear" w:color="auto" w:fill="auto"/>
            <w:noWrap/>
            <w:hideMark/>
          </w:tcPr>
          <w:p w:rsidRPr="00F31A99" w:rsidR="00F31A99" w:rsidP="00F31A99" w:rsidRDefault="00F31A99" w14:paraId="2EA9E2F4"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593 520 </w:t>
            </w:r>
          </w:p>
        </w:tc>
        <w:tc>
          <w:tcPr>
            <w:tcW w:w="4159" w:type="dxa"/>
            <w:tcBorders>
              <w:top w:val="nil"/>
              <w:left w:val="nil"/>
              <w:bottom w:val="single" w:color="auto" w:sz="4" w:space="0"/>
              <w:right w:val="single" w:color="auto" w:sz="4" w:space="0"/>
            </w:tcBorders>
            <w:shd w:val="clear" w:color="auto" w:fill="auto"/>
            <w:hideMark/>
          </w:tcPr>
          <w:p w:rsidRPr="00F31A99" w:rsidR="00F31A99" w:rsidP="00F31A99" w:rsidRDefault="00F31A99" w14:paraId="46747EEF" w14:textId="77777777">
            <w:pPr>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Para la contratación ocasional de curadores de museo para que evalúen obras de arte propiedad de la institución. </w:t>
            </w:r>
          </w:p>
          <w:p w:rsidRPr="00F31A99" w:rsidR="00F31A99" w:rsidP="00F31A99" w:rsidRDefault="00F31A99" w14:paraId="7E367DEC" w14:textId="77777777">
            <w:pPr>
              <w:autoSpaceDN w:val="0"/>
              <w:jc w:val="both"/>
              <w:rPr>
                <w:rFonts w:ascii="Times New Roman" w:hAnsi="Times New Roman" w:eastAsia="Times New Roman" w:cs="Times New Roman"/>
                <w:u w:color="000000"/>
                <w:lang w:eastAsia="es-CR"/>
              </w:rPr>
            </w:pPr>
          </w:p>
          <w:p w:rsidRPr="00F31A99" w:rsidR="00F31A99" w:rsidP="00F31A99" w:rsidRDefault="00F31A99" w14:paraId="0B89C48B" w14:textId="77777777">
            <w:pPr>
              <w:autoSpaceDN w:val="0"/>
              <w:jc w:val="both"/>
              <w:rPr>
                <w:rFonts w:ascii="Times New Roman" w:hAnsi="Times New Roman" w:eastAsia="Times New Roman" w:cs="Times New Roman"/>
                <w:u w:color="000000"/>
                <w:lang w:eastAsia="es-CR"/>
              </w:rPr>
            </w:pPr>
          </w:p>
        </w:tc>
        <w:tc>
          <w:tcPr>
            <w:tcW w:w="152" w:type="dxa"/>
            <w:hideMark/>
          </w:tcPr>
          <w:p w:rsidRPr="00F31A99" w:rsidR="00F31A99" w:rsidP="00F31A99" w:rsidRDefault="00F31A99" w14:paraId="3F45BB13" w14:textId="77777777">
            <w:pPr>
              <w:autoSpaceDN w:val="0"/>
              <w:rPr>
                <w:rFonts w:ascii="Times New Roman" w:hAnsi="Times New Roman" w:eastAsia="Times New Roman" w:cs="Times New Roman"/>
                <w:u w:color="000000"/>
                <w:lang w:eastAsia="es-CR"/>
              </w:rPr>
            </w:pPr>
          </w:p>
        </w:tc>
      </w:tr>
      <w:tr w:rsidRPr="00F31A99" w:rsidR="00F31A99" w:rsidTr="00A306B2" w14:paraId="7466A4C9" w14:textId="77777777">
        <w:trPr>
          <w:trHeight w:val="1548"/>
          <w:jc w:val="center"/>
        </w:trPr>
        <w:tc>
          <w:tcPr>
            <w:tcW w:w="1064" w:type="dxa"/>
            <w:tcBorders>
              <w:top w:val="nil"/>
              <w:left w:val="single" w:color="auto" w:sz="4" w:space="0"/>
              <w:bottom w:val="single" w:color="auto" w:sz="4" w:space="0"/>
              <w:right w:val="single" w:color="auto" w:sz="4" w:space="0"/>
            </w:tcBorders>
            <w:shd w:val="clear" w:color="auto" w:fill="auto"/>
            <w:noWrap/>
            <w:hideMark/>
          </w:tcPr>
          <w:p w:rsidRPr="00F31A99" w:rsidR="00F31A99" w:rsidP="00F31A99" w:rsidRDefault="00F31A99" w14:paraId="6FD601B0" w14:textId="77777777">
            <w:pPr>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Programa 928</w:t>
            </w:r>
          </w:p>
        </w:tc>
        <w:tc>
          <w:tcPr>
            <w:tcW w:w="2880" w:type="dxa"/>
            <w:tcBorders>
              <w:top w:val="nil"/>
              <w:left w:val="nil"/>
              <w:bottom w:val="single" w:color="auto" w:sz="4" w:space="0"/>
              <w:right w:val="single" w:color="auto" w:sz="4" w:space="0"/>
            </w:tcBorders>
            <w:shd w:val="clear" w:color="auto" w:fill="auto"/>
            <w:hideMark/>
          </w:tcPr>
          <w:p w:rsidRPr="00F31A99" w:rsidR="00F31A99" w:rsidP="00F31A99" w:rsidRDefault="00F31A99" w14:paraId="000BAD1C"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Organismo de Investigación Judicial </w:t>
            </w:r>
          </w:p>
        </w:tc>
        <w:tc>
          <w:tcPr>
            <w:tcW w:w="1719" w:type="dxa"/>
            <w:tcBorders>
              <w:top w:val="nil"/>
              <w:left w:val="nil"/>
              <w:bottom w:val="single" w:color="auto" w:sz="4" w:space="0"/>
              <w:right w:val="single" w:color="auto" w:sz="4" w:space="0"/>
            </w:tcBorders>
            <w:shd w:val="clear" w:color="auto" w:fill="auto"/>
            <w:hideMark/>
          </w:tcPr>
          <w:p w:rsidRPr="00F31A99" w:rsidR="00F31A99" w:rsidP="00F31A99" w:rsidRDefault="00F31A99" w14:paraId="5AFCBB80"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29 510 000 </w:t>
            </w:r>
          </w:p>
        </w:tc>
        <w:tc>
          <w:tcPr>
            <w:tcW w:w="4159" w:type="dxa"/>
            <w:tcBorders>
              <w:top w:val="nil"/>
              <w:left w:val="nil"/>
              <w:bottom w:val="single" w:color="auto" w:sz="4" w:space="0"/>
              <w:right w:val="single" w:color="auto" w:sz="4" w:space="0"/>
            </w:tcBorders>
            <w:shd w:val="clear" w:color="auto" w:fill="auto"/>
            <w:hideMark/>
          </w:tcPr>
          <w:p w:rsidRPr="00F31A99" w:rsidR="00F31A99" w:rsidP="00F31A99" w:rsidRDefault="00F31A99" w14:paraId="2CB1FD69" w14:textId="77777777">
            <w:pPr>
              <w:autoSpaceDN w:val="0"/>
              <w:jc w:val="both"/>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Estos recursos son requeridos para el pago de auditorías y evaluaciones por parte del ente acreditador (ANAB), para efectos de contar con certificación de calidad en el Laboratorio Forense. Para uso en acreditación norma ISO en Medicina Legal. Para contrato EBI en la Oficina de Depósito de Objetos, para el contrato para la destrucción de evidencias que por orden del juez quedan eliminadas del proceso.</w:t>
            </w:r>
          </w:p>
        </w:tc>
        <w:tc>
          <w:tcPr>
            <w:tcW w:w="152" w:type="dxa"/>
            <w:hideMark/>
          </w:tcPr>
          <w:p w:rsidRPr="00F31A99" w:rsidR="00F31A99" w:rsidP="00F31A99" w:rsidRDefault="00F31A99" w14:paraId="43537970" w14:textId="77777777">
            <w:pPr>
              <w:autoSpaceDN w:val="0"/>
              <w:rPr>
                <w:rFonts w:ascii="Times New Roman" w:hAnsi="Times New Roman" w:eastAsia="Times New Roman" w:cs="Times New Roman"/>
                <w:u w:color="000000"/>
                <w:lang w:eastAsia="es-CR"/>
              </w:rPr>
            </w:pPr>
          </w:p>
        </w:tc>
      </w:tr>
      <w:tr w:rsidRPr="00F31A99" w:rsidR="00F31A99" w:rsidTr="00A306B2" w14:paraId="0CA89AB3" w14:textId="77777777">
        <w:trPr>
          <w:trHeight w:val="525"/>
          <w:jc w:val="center"/>
        </w:trPr>
        <w:tc>
          <w:tcPr>
            <w:tcW w:w="1064" w:type="dxa"/>
            <w:tcBorders>
              <w:top w:val="nil"/>
              <w:left w:val="single" w:color="auto" w:sz="4" w:space="0"/>
              <w:bottom w:val="single" w:color="auto" w:sz="4" w:space="0"/>
              <w:right w:val="single" w:color="auto" w:sz="4" w:space="0"/>
            </w:tcBorders>
            <w:shd w:val="clear" w:color="auto" w:fill="auto"/>
            <w:noWrap/>
            <w:hideMark/>
          </w:tcPr>
          <w:p w:rsidRPr="00F31A99" w:rsidR="00F31A99" w:rsidP="00F31A99" w:rsidRDefault="00F31A99" w14:paraId="20CCB0D4" w14:textId="77777777">
            <w:pPr>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Programa 929</w:t>
            </w:r>
          </w:p>
        </w:tc>
        <w:tc>
          <w:tcPr>
            <w:tcW w:w="2880" w:type="dxa"/>
            <w:tcBorders>
              <w:top w:val="nil"/>
              <w:left w:val="nil"/>
              <w:bottom w:val="single" w:color="auto" w:sz="4" w:space="0"/>
              <w:right w:val="single" w:color="auto" w:sz="4" w:space="0"/>
            </w:tcBorders>
            <w:shd w:val="clear" w:color="auto" w:fill="auto"/>
            <w:hideMark/>
          </w:tcPr>
          <w:p w:rsidRPr="00F31A99" w:rsidR="00F31A99" w:rsidP="00F31A99" w:rsidRDefault="00F31A99" w14:paraId="67A86797"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Administración del Ministerio Público </w:t>
            </w:r>
          </w:p>
        </w:tc>
        <w:tc>
          <w:tcPr>
            <w:tcW w:w="1719" w:type="dxa"/>
            <w:tcBorders>
              <w:top w:val="nil"/>
              <w:left w:val="nil"/>
              <w:bottom w:val="single" w:color="auto" w:sz="4" w:space="0"/>
              <w:right w:val="single" w:color="auto" w:sz="4" w:space="0"/>
            </w:tcBorders>
            <w:shd w:val="clear" w:color="auto" w:fill="auto"/>
            <w:noWrap/>
            <w:hideMark/>
          </w:tcPr>
          <w:p w:rsidRPr="00F31A99" w:rsidR="00F31A99" w:rsidP="00F31A99" w:rsidRDefault="00F31A99" w14:paraId="429AFCFF"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1 333 573 </w:t>
            </w:r>
          </w:p>
        </w:tc>
        <w:tc>
          <w:tcPr>
            <w:tcW w:w="4159" w:type="dxa"/>
            <w:tcBorders>
              <w:top w:val="nil"/>
              <w:left w:val="nil"/>
              <w:bottom w:val="single" w:color="auto" w:sz="8" w:space="0"/>
              <w:right w:val="single" w:color="auto" w:sz="8" w:space="0"/>
            </w:tcBorders>
            <w:shd w:val="clear" w:color="auto" w:fill="auto"/>
            <w:hideMark/>
          </w:tcPr>
          <w:p w:rsidRPr="00F31A99" w:rsidR="00F31A99" w:rsidP="00F31A99" w:rsidRDefault="00F31A99" w14:paraId="4EE8A71D" w14:textId="77777777">
            <w:pPr>
              <w:autoSpaceDN w:val="0"/>
              <w:rPr>
                <w:rFonts w:ascii="Times New Roman" w:hAnsi="Times New Roman" w:eastAsia="Times New Roman" w:cs="Times New Roman"/>
                <w:u w:color="000000"/>
                <w:lang w:eastAsia="es-CR"/>
              </w:rPr>
            </w:pPr>
          </w:p>
          <w:p w:rsidRPr="00F31A99" w:rsidR="00F31A99" w:rsidP="00F31A99" w:rsidRDefault="00F31A99" w14:paraId="4E5FF3A1"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Estos recursos se requieren para el pago de traducciones. </w:t>
            </w:r>
          </w:p>
          <w:p w:rsidRPr="00F31A99" w:rsidR="00F31A99" w:rsidP="00F31A99" w:rsidRDefault="00F31A99" w14:paraId="52123723" w14:textId="77777777">
            <w:pPr>
              <w:autoSpaceDN w:val="0"/>
              <w:rPr>
                <w:rFonts w:ascii="Times New Roman" w:hAnsi="Times New Roman" w:eastAsia="Times New Roman" w:cs="Times New Roman"/>
                <w:u w:color="000000"/>
                <w:lang w:eastAsia="es-CR"/>
              </w:rPr>
            </w:pPr>
          </w:p>
        </w:tc>
        <w:tc>
          <w:tcPr>
            <w:tcW w:w="152" w:type="dxa"/>
            <w:hideMark/>
          </w:tcPr>
          <w:p w:rsidRPr="00F31A99" w:rsidR="00F31A99" w:rsidP="00F31A99" w:rsidRDefault="00F31A99" w14:paraId="1FDA16C7" w14:textId="77777777">
            <w:pPr>
              <w:autoSpaceDN w:val="0"/>
              <w:rPr>
                <w:rFonts w:ascii="Times New Roman" w:hAnsi="Times New Roman" w:eastAsia="Times New Roman" w:cs="Times New Roman"/>
                <w:u w:color="000000"/>
                <w:lang w:eastAsia="es-CR"/>
              </w:rPr>
            </w:pPr>
          </w:p>
        </w:tc>
      </w:tr>
      <w:tr w:rsidRPr="00F31A99" w:rsidR="00F31A99" w:rsidTr="00A306B2" w14:paraId="754497C0" w14:textId="77777777">
        <w:trPr>
          <w:trHeight w:val="456"/>
          <w:jc w:val="center"/>
        </w:trPr>
        <w:tc>
          <w:tcPr>
            <w:tcW w:w="3945" w:type="dxa"/>
            <w:gridSpan w:val="2"/>
            <w:tcBorders>
              <w:top w:val="single" w:color="auto" w:sz="4" w:space="0"/>
              <w:left w:val="single" w:color="auto" w:sz="4" w:space="0"/>
              <w:bottom w:val="single" w:color="auto" w:sz="4" w:space="0"/>
              <w:right w:val="nil"/>
            </w:tcBorders>
            <w:shd w:val="clear" w:color="auto" w:fill="auto"/>
            <w:noWrap/>
            <w:hideMark/>
          </w:tcPr>
          <w:p w:rsidRPr="00F31A99" w:rsidR="00F31A99" w:rsidP="00F31A99" w:rsidRDefault="00F31A99" w14:paraId="3B4386AA"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Total:</w:t>
            </w:r>
          </w:p>
        </w:tc>
        <w:tc>
          <w:tcPr>
            <w:tcW w:w="1719" w:type="dxa"/>
            <w:tcBorders>
              <w:top w:val="nil"/>
              <w:left w:val="nil"/>
              <w:bottom w:val="single" w:color="auto" w:sz="4" w:space="0"/>
              <w:right w:val="nil"/>
            </w:tcBorders>
            <w:shd w:val="clear" w:color="auto" w:fill="auto"/>
            <w:noWrap/>
            <w:hideMark/>
          </w:tcPr>
          <w:p w:rsidRPr="00F31A99" w:rsidR="00F31A99" w:rsidP="00F31A99" w:rsidRDefault="00F31A99" w14:paraId="28920618" w14:textId="77777777">
            <w:pPr>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 134 566 221 </w:t>
            </w:r>
          </w:p>
        </w:tc>
        <w:tc>
          <w:tcPr>
            <w:tcW w:w="4159" w:type="dxa"/>
            <w:tcBorders>
              <w:top w:val="single" w:color="auto" w:sz="4" w:space="0"/>
              <w:left w:val="nil"/>
              <w:bottom w:val="single" w:color="auto" w:sz="4" w:space="0"/>
              <w:right w:val="single" w:color="auto" w:sz="4" w:space="0"/>
            </w:tcBorders>
            <w:shd w:val="clear" w:color="auto" w:fill="auto"/>
            <w:noWrap/>
            <w:hideMark/>
          </w:tcPr>
          <w:p w:rsidRPr="00F31A99" w:rsidR="00F31A99" w:rsidP="00F31A99" w:rsidRDefault="00F31A99" w14:paraId="05009480" w14:textId="77777777">
            <w:pPr>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w:t>
            </w:r>
          </w:p>
        </w:tc>
        <w:tc>
          <w:tcPr>
            <w:tcW w:w="152" w:type="dxa"/>
            <w:hideMark/>
          </w:tcPr>
          <w:p w:rsidRPr="00F31A99" w:rsidR="00F31A99" w:rsidP="00F31A99" w:rsidRDefault="00F31A99" w14:paraId="024D9472" w14:textId="77777777">
            <w:pPr>
              <w:autoSpaceDN w:val="0"/>
              <w:rPr>
                <w:rFonts w:ascii="Times New Roman" w:hAnsi="Times New Roman" w:eastAsia="Times New Roman" w:cs="Times New Roman"/>
                <w:u w:color="000000"/>
                <w:lang w:eastAsia="es-CR"/>
              </w:rPr>
            </w:pPr>
          </w:p>
        </w:tc>
      </w:tr>
    </w:tbl>
    <w:p w:rsidRPr="00F31A99" w:rsidR="00F31A99" w:rsidP="00F31A99" w:rsidRDefault="00F31A99" w14:paraId="637EA5C0" w14:textId="77777777">
      <w:pPr>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0CA9910B"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Finalmente, es importante indicar que si bien en esta subpartida no hay ninguna restricción específica que regule la formulación de recursos para el 2022, se verificó el cumplimiento de las directrices </w:t>
      </w:r>
      <w:r w:rsidRPr="00F31A99">
        <w:rPr>
          <w:rFonts w:ascii="Times New Roman" w:hAnsi="Times New Roman" w:eastAsia="Calibri" w:cs="Times New Roman"/>
          <w:bCs/>
          <w:sz w:val="26"/>
          <w:szCs w:val="26"/>
          <w:u w:color="000000"/>
        </w:rPr>
        <w:lastRenderedPageBreak/>
        <w:t>generales como la no creación de nuevos contratos para publicaciones y GPS.</w:t>
      </w:r>
    </w:p>
    <w:p w:rsidRPr="00F31A99" w:rsidR="00F31A99" w:rsidP="00F31A99" w:rsidRDefault="00F31A99" w14:paraId="602E01C0" w14:textId="77777777">
      <w:pPr>
        <w:tabs>
          <w:tab w:val="left" w:pos="1320"/>
        </w:tabs>
        <w:autoSpaceDN w:val="0"/>
        <w:spacing w:before="72" w:after="100" w:afterAutospacing="1"/>
        <w:jc w:val="center"/>
        <w:rPr>
          <w:rFonts w:ascii="Times New Roman" w:hAnsi="Times New Roman" w:eastAsia="Times New Roman" w:cs="Times New Roman"/>
          <w:sz w:val="28"/>
          <w:szCs w:val="28"/>
          <w:u w:color="000000"/>
          <w:lang w:eastAsia="es-CR"/>
        </w:rPr>
      </w:pPr>
      <w:r w:rsidRPr="00F31A99">
        <w:rPr>
          <w:rFonts w:ascii="Times New Roman" w:hAnsi="Times New Roman" w:eastAsia="Times New Roman" w:cs="Times New Roman"/>
          <w:sz w:val="28"/>
          <w:szCs w:val="28"/>
          <w:u w:color="000000"/>
          <w:lang w:eastAsia="es-CR"/>
        </w:rPr>
        <w:t>- 0 -</w:t>
      </w:r>
    </w:p>
    <w:p w:rsidRPr="00F31A99" w:rsidR="00F31A99" w:rsidP="00F31A99" w:rsidRDefault="00F31A99" w14:paraId="600609C6" w14:textId="77777777">
      <w:pPr>
        <w:autoSpaceDN w:val="0"/>
        <w:spacing w:line="480" w:lineRule="auto"/>
        <w:ind w:firstLine="709"/>
        <w:jc w:val="both"/>
        <w:rPr>
          <w:rFonts w:ascii="Times New Roman" w:hAnsi="Times New Roman" w:eastAsia="Calibri" w:cs="Times New Roman"/>
          <w:sz w:val="36"/>
          <w:szCs w:val="36"/>
          <w:u w:color="000000"/>
        </w:rPr>
      </w:pPr>
      <w:r w:rsidRPr="00F31A99">
        <w:rPr>
          <w:rFonts w:ascii="Times New Roman" w:hAnsi="Times New Roman" w:eastAsia="Calibri" w:cs="Times New Roman"/>
          <w:b/>
          <w:bCs/>
          <w:sz w:val="28"/>
          <w:szCs w:val="28"/>
          <w:u w:color="000000"/>
        </w:rPr>
        <w:t>Se acordó</w:t>
      </w:r>
      <w:r w:rsidRPr="00F31A99">
        <w:rPr>
          <w:rFonts w:ascii="Times New Roman" w:hAnsi="Times New Roman" w:eastAsia="Calibri" w:cs="Times New Roman"/>
          <w:sz w:val="28"/>
          <w:szCs w:val="28"/>
          <w:u w:color="000000"/>
        </w:rPr>
        <w:t xml:space="preserve">: </w:t>
      </w:r>
      <w:r w:rsidRPr="00F31A99">
        <w:rPr>
          <w:rFonts w:ascii="Times New Roman" w:hAnsi="Times New Roman" w:eastAsia="Calibri" w:cs="Times New Roman"/>
          <w:b/>
          <w:sz w:val="28"/>
          <w:szCs w:val="28"/>
          <w:u w:color="000000"/>
        </w:rPr>
        <w:t>1)</w:t>
      </w:r>
      <w:r w:rsidRPr="00F31A99">
        <w:rPr>
          <w:rFonts w:ascii="Times New Roman" w:hAnsi="Times New Roman" w:eastAsia="Calibri" w:cs="Times New Roman"/>
          <w:sz w:val="28"/>
          <w:szCs w:val="28"/>
          <w:u w:color="000000"/>
        </w:rPr>
        <w:t xml:space="preserve"> Se dan por conocidos los recursos solicitados en la subpartida 10499 Otros Servicios de Gestión y Apoyo, sin embargo, se estará a la espera del resultado del análisis global del presupuesto 2022, para aprobar una propuesta integral que consolide todas las necesidades institucionales. </w:t>
      </w:r>
      <w:r w:rsidRPr="00F31A99">
        <w:rPr>
          <w:rFonts w:ascii="Times New Roman" w:hAnsi="Times New Roman" w:eastAsia="Calibri" w:cs="Times New Roman"/>
          <w:b/>
          <w:sz w:val="28"/>
          <w:szCs w:val="28"/>
          <w:u w:color="000000"/>
        </w:rPr>
        <w:t>2)</w:t>
      </w:r>
      <w:r w:rsidRPr="00F31A99">
        <w:rPr>
          <w:rFonts w:ascii="Times New Roman" w:hAnsi="Times New Roman" w:eastAsia="Calibri" w:cs="Times New Roman"/>
          <w:sz w:val="28"/>
          <w:szCs w:val="28"/>
          <w:u w:color="000000"/>
        </w:rPr>
        <w:t xml:space="preserve"> Solicitar al Departamento de Prensa y Comunicación la divulgación de los servicios relacionados con el contrato de servicio de difusión, monitoreo y análisis de las interacciones en redes sociales sobre temas del Poder Judicial. </w:t>
      </w:r>
      <w:r w:rsidRPr="00F31A99">
        <w:rPr>
          <w:rFonts w:ascii="Times New Roman" w:hAnsi="Times New Roman" w:eastAsia="Calibri" w:cs="Times New Roman"/>
          <w:b/>
          <w:sz w:val="28"/>
          <w:szCs w:val="28"/>
          <w:u w:color="000000"/>
        </w:rPr>
        <w:t>3)</w:t>
      </w:r>
      <w:r w:rsidRPr="00F31A99">
        <w:rPr>
          <w:rFonts w:ascii="Times New Roman" w:hAnsi="Times New Roman" w:eastAsia="Calibri" w:cs="Times New Roman"/>
          <w:sz w:val="28"/>
          <w:szCs w:val="28"/>
          <w:u w:color="000000"/>
        </w:rPr>
        <w:t xml:space="preserve"> La Dirección Ejecutiva en coordinación con la Dirección de Planificación revisarán la solicitud de ¢1.200.000 de la Administración del Primer Circuito Judicial de la Zona Sur, solicitados para atender cualquier tipo de instalación que demanda de un técnico, como por ejemplo las cámaras de seguridad y aires acondicionados. </w:t>
      </w:r>
      <w:r w:rsidRPr="00F31A99">
        <w:rPr>
          <w:rFonts w:ascii="Times New Roman" w:hAnsi="Times New Roman" w:eastAsia="Calibri" w:cs="Times New Roman"/>
          <w:b/>
          <w:sz w:val="28"/>
          <w:szCs w:val="28"/>
          <w:u w:color="000000"/>
        </w:rPr>
        <w:t>4)</w:t>
      </w:r>
      <w:r w:rsidRPr="00F31A99">
        <w:rPr>
          <w:rFonts w:ascii="Times New Roman" w:hAnsi="Times New Roman" w:eastAsia="Calibri" w:cs="Times New Roman"/>
          <w:sz w:val="28"/>
          <w:szCs w:val="28"/>
          <w:u w:color="000000"/>
        </w:rPr>
        <w:t xml:space="preserve"> En relación con el contrato EBI en la Oficina de Depósito de Objetos, para la destrucción de evidencias que por orden del juez quedan eliminadas del proceso, la Dirección Ejecutiva consultará al Gestor Ambiental del Poder Judicial en relación con el costo de este contrato e informará al Consejo Superior lo que corresponda.</w:t>
      </w:r>
      <w:r w:rsidRPr="00F31A99">
        <w:rPr>
          <w:rFonts w:ascii="Times New Roman" w:hAnsi="Times New Roman" w:eastAsia="Calibri" w:cs="Times New Roman"/>
          <w:sz w:val="36"/>
          <w:szCs w:val="36"/>
          <w:u w:color="000000"/>
        </w:rPr>
        <w:t xml:space="preserve"> </w:t>
      </w:r>
      <w:r w:rsidRPr="00F31A99">
        <w:rPr>
          <w:rFonts w:ascii="Times New Roman" w:hAnsi="Times New Roman" w:eastAsia="Calibri" w:cs="Times New Roman"/>
          <w:b/>
          <w:bCs/>
          <w:sz w:val="28"/>
          <w:szCs w:val="28"/>
          <w:u w:color="000000"/>
          <w:bdr w:val="none" w:color="auto" w:sz="0" w:space="0" w:frame="1"/>
          <w:lang w:eastAsia="es-ES"/>
        </w:rPr>
        <w:t>Se declara acuerdo firme.</w:t>
      </w:r>
    </w:p>
    <w:p w:rsidRPr="00F31A99" w:rsidR="00D0558E" w:rsidP="00D0558E" w:rsidRDefault="00D0558E" w14:paraId="7F8AAAAA" w14:textId="77777777">
      <w:pPr>
        <w:keepNext/>
        <w:shd w:val="clear" w:color="auto" w:fill="FFFFFF"/>
        <w:autoSpaceDE w:val="0"/>
        <w:autoSpaceDN w:val="0"/>
        <w:spacing w:line="360" w:lineRule="auto"/>
        <w:jc w:val="center"/>
        <w:outlineLvl w:val="0"/>
        <w:rPr>
          <w:rFonts w:ascii="Times New Roman" w:hAnsi="Times New Roman" w:eastAsia="Times New Roman" w:cs="Times New Roman"/>
          <w:b/>
          <w:bCs/>
          <w:kern w:val="36"/>
          <w:sz w:val="28"/>
          <w:szCs w:val="28"/>
          <w:u w:val="single" w:color="000000"/>
          <w:lang w:eastAsia="es-ES"/>
        </w:rPr>
      </w:pPr>
      <w:r w:rsidRPr="00F31A99">
        <w:rPr>
          <w:rFonts w:ascii="Times New Roman" w:hAnsi="Times New Roman" w:eastAsia="Times New Roman" w:cs="Times New Roman"/>
          <w:b/>
          <w:bCs/>
          <w:kern w:val="36"/>
          <w:sz w:val="36"/>
          <w:szCs w:val="36"/>
          <w:u w:val="single" w:color="000000"/>
          <w:lang w:eastAsia="es-ES"/>
        </w:rPr>
        <w:t>ARTÍCULO XIV</w:t>
      </w:r>
    </w:p>
    <w:p w:rsidRPr="00F31A99" w:rsidR="00D0558E" w:rsidP="00D0558E" w:rsidRDefault="00D0558E" w14:paraId="05C23598" w14:textId="77777777">
      <w:pPr>
        <w:autoSpaceDN w:val="0"/>
        <w:spacing w:line="480" w:lineRule="auto"/>
        <w:jc w:val="both"/>
        <w:rPr>
          <w:rFonts w:ascii="Times New Roman" w:hAnsi="Times New Roman" w:eastAsia="Times New Roman" w:cs="Times New Roman"/>
          <w:b/>
          <w:bCs/>
          <w:sz w:val="28"/>
          <w:szCs w:val="28"/>
          <w:u w:color="000000"/>
          <w:lang w:eastAsia="es-ES"/>
        </w:rPr>
      </w:pPr>
      <w:r w:rsidRPr="00F31A99">
        <w:rPr>
          <w:rFonts w:ascii="Times New Roman" w:hAnsi="Times New Roman" w:eastAsia="Times New Roman" w:cs="Times New Roman"/>
          <w:b/>
          <w:bCs/>
          <w:sz w:val="28"/>
          <w:szCs w:val="28"/>
          <w:u w:color="000000"/>
          <w:lang w:eastAsia="es-ES"/>
        </w:rPr>
        <w:t>Documento N° 3838-2021</w:t>
      </w:r>
    </w:p>
    <w:p w:rsidRPr="00F31A99" w:rsidR="00D0558E" w:rsidP="00D0558E" w:rsidRDefault="00D0558E" w14:paraId="068EC92F" w14:textId="77777777">
      <w:pPr>
        <w:autoSpaceDN w:val="0"/>
        <w:ind w:firstLine="709"/>
        <w:rPr>
          <w:rFonts w:ascii="Times New Roman" w:hAnsi="Times New Roman" w:eastAsia="Calibri" w:cs="Times New Roman"/>
          <w:sz w:val="28"/>
          <w:szCs w:val="28"/>
          <w:u w:color="000000"/>
        </w:rPr>
      </w:pPr>
    </w:p>
    <w:p w:rsidRPr="00F31A99" w:rsidR="00D0558E" w:rsidP="00D0558E" w:rsidRDefault="00D0558E" w14:paraId="2EC8D60F" w14:textId="77777777">
      <w:pPr>
        <w:autoSpaceDN w:val="0"/>
        <w:spacing w:line="480" w:lineRule="auto"/>
        <w:ind w:firstLine="709"/>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 xml:space="preserve">En reunión de trabajo del pasado 9 de abril, la Licda. Nacira Valverde, Directora de Planificación presentó la estimación de requerimientos para el 2022 en las </w:t>
      </w:r>
      <w:r w:rsidRPr="00F31A99">
        <w:rPr>
          <w:rFonts w:ascii="Times New Roman" w:hAnsi="Times New Roman" w:eastAsia="Calibri" w:cs="Times New Roman"/>
          <w:b/>
          <w:bCs/>
          <w:sz w:val="28"/>
          <w:szCs w:val="28"/>
          <w:u w:color="000000"/>
        </w:rPr>
        <w:t>subpartidas 10301 Información y 10302 Publicidad y Propaganda</w:t>
      </w:r>
      <w:r w:rsidRPr="00F31A99">
        <w:rPr>
          <w:rFonts w:ascii="Times New Roman" w:hAnsi="Times New Roman" w:eastAsia="Calibri" w:cs="Times New Roman"/>
          <w:sz w:val="28"/>
          <w:szCs w:val="28"/>
          <w:u w:color="000000"/>
        </w:rPr>
        <w:t xml:space="preserve">. </w:t>
      </w:r>
    </w:p>
    <w:p w:rsidRPr="00F31A99" w:rsidR="00D0558E" w:rsidP="00D0558E" w:rsidRDefault="00D0558E" w14:paraId="69C8C9F3" w14:textId="77777777">
      <w:pPr>
        <w:autoSpaceDN w:val="0"/>
        <w:rPr>
          <w:rFonts w:ascii="Times New Roman" w:hAnsi="Times New Roman" w:eastAsia="Calibri" w:cs="Times New Roman"/>
          <w:b/>
          <w:sz w:val="24"/>
          <w:szCs w:val="24"/>
          <w:u w:color="000000"/>
        </w:rPr>
      </w:pPr>
    </w:p>
    <w:p w:rsidRPr="00F31A99" w:rsidR="00D0558E" w:rsidP="00D0558E" w:rsidRDefault="00D0558E" w14:paraId="56F85A93" w14:textId="77777777">
      <w:pPr>
        <w:autoSpaceDN w:val="0"/>
        <w:ind w:left="851" w:right="851" w:firstLine="709"/>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ab/>
      </w:r>
      <w:r w:rsidRPr="00F31A99">
        <w:rPr>
          <w:rFonts w:ascii="Times New Roman" w:hAnsi="Times New Roman" w:eastAsia="Calibri" w:cs="Times New Roman"/>
          <w:b/>
          <w:sz w:val="26"/>
          <w:szCs w:val="26"/>
          <w:u w:color="000000"/>
        </w:rPr>
        <w:t>Subpartida 1.03.01 Información</w:t>
      </w:r>
    </w:p>
    <w:p w:rsidRPr="00F31A99" w:rsidR="00D0558E" w:rsidP="00D0558E" w:rsidRDefault="00D0558E" w14:paraId="10B79771" w14:textId="77777777">
      <w:pPr>
        <w:autoSpaceDN w:val="0"/>
        <w:ind w:left="851" w:right="851" w:firstLine="709"/>
        <w:rPr>
          <w:rFonts w:ascii="Times New Roman" w:hAnsi="Times New Roman" w:eastAsia="Calibri" w:cs="Times New Roman"/>
          <w:b/>
          <w:sz w:val="26"/>
          <w:szCs w:val="26"/>
          <w:u w:color="000000"/>
        </w:rPr>
      </w:pPr>
    </w:p>
    <w:p w:rsidRPr="00F31A99" w:rsidR="00D0558E" w:rsidP="00D0558E" w:rsidRDefault="00D0558E" w14:paraId="6E397BF3" w14:textId="77777777">
      <w:pPr>
        <w:numPr>
          <w:ilvl w:val="0"/>
          <w:numId w:val="6"/>
        </w:numPr>
        <w:autoSpaceDN w:val="0"/>
        <w:ind w:left="851" w:right="851" w:firstLine="709"/>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Comportamiento Histórico de la Subpartida</w:t>
      </w:r>
    </w:p>
    <w:p w:rsidRPr="00F31A99" w:rsidR="00D0558E" w:rsidP="00D0558E" w:rsidRDefault="00D0558E" w14:paraId="2E55186F" w14:textId="77777777">
      <w:pPr>
        <w:autoSpaceDN w:val="0"/>
        <w:rPr>
          <w:rFonts w:ascii="Times New Roman" w:hAnsi="Times New Roman" w:eastAsia="Calibri" w:cs="Times New Roman"/>
          <w:b/>
          <w:sz w:val="24"/>
          <w:szCs w:val="24"/>
          <w:u w:color="000000"/>
        </w:rPr>
      </w:pPr>
    </w:p>
    <w:p w:rsidRPr="00F31A99" w:rsidR="00D0558E" w:rsidP="00D0558E" w:rsidRDefault="00D0558E" w14:paraId="1197173E"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Los recursos formulados en la subpartida 10301 Información, se requieren para cubrir los gastos por servicios de publicación y divulgación de información a través de medios de comunicación masiva (escritos, radiales, audiovisuales, entre otros), con el fin de informar a la ciudadanía sobre las medidas/políticas/decisiones institucionales en pro de la Justicia/mejor administración.</w:t>
      </w:r>
    </w:p>
    <w:p w:rsidRPr="00F31A99" w:rsidR="00D0558E" w:rsidP="00D0558E" w:rsidRDefault="00D0558E" w14:paraId="6C6372D9" w14:textId="77777777">
      <w:pPr>
        <w:autoSpaceDN w:val="0"/>
        <w:ind w:left="851" w:right="851" w:firstLine="431"/>
        <w:jc w:val="both"/>
        <w:rPr>
          <w:rFonts w:ascii="Times New Roman" w:hAnsi="Times New Roman" w:eastAsia="Calibri" w:cs="Times New Roman"/>
          <w:bCs/>
          <w:sz w:val="26"/>
          <w:szCs w:val="26"/>
          <w:u w:color="000000"/>
        </w:rPr>
      </w:pPr>
    </w:p>
    <w:p w:rsidRPr="00F31A99" w:rsidR="00D0558E" w:rsidP="00D0558E" w:rsidRDefault="00D0558E" w14:paraId="3E39DA0E"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En las Directrices Técnicas para la Programación Anual y Formulación del Anteproyecto de Presupuesto 2022, establece en el punto N°. 45 para esta subpartida lo siguiente:</w:t>
      </w:r>
    </w:p>
    <w:p w:rsidRPr="00F31A99" w:rsidR="00D0558E" w:rsidP="00D0558E" w:rsidRDefault="00D0558E" w14:paraId="4C6F223A" w14:textId="77777777">
      <w:pPr>
        <w:autoSpaceDN w:val="0"/>
        <w:ind w:right="-567"/>
        <w:jc w:val="both"/>
        <w:rPr>
          <w:rFonts w:ascii="Times New Roman" w:hAnsi="Times New Roman" w:eastAsia="Calibri" w:cs="Times New Roman"/>
          <w:sz w:val="24"/>
          <w:szCs w:val="24"/>
          <w:u w:color="000000"/>
        </w:rPr>
      </w:pPr>
    </w:p>
    <w:p w:rsidRPr="00F31A99" w:rsidR="00D0558E" w:rsidP="00D0558E" w:rsidRDefault="00D0558E" w14:paraId="5E80EE6C"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“Según acuerdo de Consejo Superior en sesión Nº12-13, artículo VII y Corte Plena en sesión Nº13-13, artículo XLIV, las publicaciones en medios nacionales proceden únicamente cuando sean estrictamente necesarias. En la medida que sea posible, la información se divulgará a través del sitio web del Poder Judicial y redes sociales. El monto formulado en la subpartida 10301 Información debe ser igual o menor al aprobado para el 2021”</w:t>
      </w:r>
    </w:p>
    <w:p w:rsidRPr="00F31A99" w:rsidR="00D0558E" w:rsidP="00D0558E" w:rsidRDefault="00D0558E" w14:paraId="13479FE5"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3DCDD4EE"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1C6E85E8" w14:textId="77777777">
      <w:pPr>
        <w:ind w:left="851" w:right="851" w:firstLine="709"/>
        <w:jc w:val="center"/>
        <w:textAlignment w:val="baseline"/>
        <w:rPr>
          <w:rFonts w:ascii="Times New Roman" w:hAnsi="Times New Roman" w:eastAsia="Times New Roman" w:cs="Times New Roman"/>
          <w:b/>
          <w:bCs/>
          <w:sz w:val="26"/>
          <w:szCs w:val="26"/>
          <w:u w:color="000000"/>
          <w:lang w:eastAsia="es-CR"/>
        </w:rPr>
      </w:pPr>
      <w:r w:rsidRPr="00F31A99">
        <w:rPr>
          <w:rFonts w:ascii="Times New Roman" w:hAnsi="Times New Roman" w:eastAsia="Times New Roman" w:cs="Times New Roman"/>
          <w:b/>
          <w:sz w:val="26"/>
          <w:szCs w:val="26"/>
          <w:u w:color="000000"/>
          <w:lang w:eastAsia="es-CR"/>
        </w:rPr>
        <w:t xml:space="preserve">Tabla 1. Detalle del Comportamiento Histórico de la Subpartida 10301 </w:t>
      </w:r>
    </w:p>
    <w:p w:rsidRPr="00F31A99" w:rsidR="00D0558E" w:rsidP="00D0558E" w:rsidRDefault="00D0558E" w14:paraId="5713C7C8" w14:textId="77777777">
      <w:pPr>
        <w:ind w:left="851" w:right="851" w:firstLine="709"/>
        <w:jc w:val="center"/>
        <w:textAlignment w:val="baseline"/>
        <w:rPr>
          <w:rFonts w:ascii="Times New Roman" w:hAnsi="Times New Roman" w:eastAsia="Times New Roman" w:cs="Times New Roman"/>
          <w:b/>
          <w:bCs/>
          <w:sz w:val="26"/>
          <w:szCs w:val="26"/>
          <w:u w:color="000000"/>
          <w:lang w:eastAsia="es-CR"/>
        </w:rPr>
      </w:pPr>
      <w:r w:rsidRPr="00F31A99">
        <w:rPr>
          <w:rFonts w:ascii="Times New Roman" w:hAnsi="Times New Roman" w:eastAsia="Times New Roman" w:cs="Times New Roman"/>
          <w:b/>
          <w:sz w:val="26"/>
          <w:szCs w:val="26"/>
          <w:u w:color="000000"/>
          <w:lang w:eastAsia="es-CR"/>
        </w:rPr>
        <w:t>Información, Periodos 2018-2022</w:t>
      </w:r>
    </w:p>
    <w:p w:rsidRPr="00F31A99" w:rsidR="00D0558E" w:rsidP="00D0558E" w:rsidRDefault="00D0558E" w14:paraId="2CE42DD5" w14:textId="77777777">
      <w:pPr>
        <w:jc w:val="center"/>
        <w:textAlignment w:val="baseline"/>
        <w:rPr>
          <w:rFonts w:ascii="Times New Roman" w:hAnsi="Times New Roman" w:eastAsia="Times New Roman" w:cs="Times New Roman"/>
          <w:sz w:val="18"/>
          <w:szCs w:val="18"/>
          <w:u w:color="000000"/>
          <w:lang w:eastAsia="es-CR"/>
        </w:rPr>
      </w:pPr>
    </w:p>
    <w:p w:rsidRPr="00F31A99" w:rsidR="00D0558E" w:rsidP="00D0558E" w:rsidRDefault="00D0558E" w14:paraId="48BF069E" w14:textId="77777777">
      <w:pPr>
        <w:autoSpaceDN w:val="0"/>
        <w:rPr>
          <w:rFonts w:ascii="Times New Roman" w:hAnsi="Times New Roman" w:eastAsia="Calibri" w:cs="Times New Roman"/>
          <w:b/>
          <w:sz w:val="24"/>
          <w:szCs w:val="24"/>
          <w:u w:color="000000"/>
        </w:rPr>
      </w:pPr>
    </w:p>
    <w:p w:rsidRPr="00F31A99" w:rsidR="00D0558E" w:rsidP="00D0558E" w:rsidRDefault="00D0558E" w14:paraId="636DA4C0" w14:textId="77777777">
      <w:pPr>
        <w:autoSpaceDN w:val="0"/>
        <w:rPr>
          <w:rFonts w:ascii="Times New Roman" w:hAnsi="Times New Roman" w:eastAsia="Calibri" w:cs="Times New Roman"/>
          <w:b/>
          <w:sz w:val="24"/>
          <w:szCs w:val="24"/>
          <w:u w:color="000000"/>
        </w:rPr>
      </w:pPr>
      <w:r w:rsidRPr="00F31A99">
        <w:rPr>
          <w:rFonts w:ascii="Times New Roman" w:hAnsi="Times New Roman" w:eastAsia="Calibri" w:cs="Times New Roman"/>
          <w:noProof/>
          <w:sz w:val="24"/>
          <w:szCs w:val="24"/>
          <w:u w:color="000000"/>
        </w:rPr>
        <w:drawing>
          <wp:inline distT="0" distB="0" distL="0" distR="0" wp14:anchorId="5BF17B65" wp14:editId="5A17AD7A">
            <wp:extent cx="6030595" cy="660400"/>
            <wp:effectExtent l="0" t="0" r="8255" b="635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30595" cy="660400"/>
                    </a:xfrm>
                    <a:prstGeom prst="rect">
                      <a:avLst/>
                    </a:prstGeom>
                    <a:noFill/>
                    <a:ln>
                      <a:noFill/>
                    </a:ln>
                  </pic:spPr>
                </pic:pic>
              </a:graphicData>
            </a:graphic>
          </wp:inline>
        </w:drawing>
      </w:r>
    </w:p>
    <w:p w:rsidRPr="00F31A99" w:rsidR="00D0558E" w:rsidP="00D0558E" w:rsidRDefault="00D0558E" w14:paraId="0056534A" w14:textId="77777777">
      <w:pPr>
        <w:autoSpaceDN w:val="0"/>
        <w:rPr>
          <w:rFonts w:ascii="Times New Roman" w:hAnsi="Times New Roman" w:eastAsia="Calibri" w:cs="Times New Roman"/>
          <w:u w:color="000000"/>
        </w:rPr>
      </w:pPr>
      <w:r w:rsidRPr="00F31A99">
        <w:rPr>
          <w:rFonts w:ascii="Times New Roman" w:hAnsi="Times New Roman" w:eastAsia="Calibri" w:cs="Times New Roman"/>
          <w:b/>
          <w:bCs/>
          <w:u w:color="000000"/>
        </w:rPr>
        <w:t>Fuente:</w:t>
      </w:r>
      <w:r w:rsidRPr="00F31A99">
        <w:rPr>
          <w:rFonts w:ascii="Times New Roman" w:hAnsi="Times New Roman" w:eastAsia="Calibri" w:cs="Times New Roman"/>
          <w:u w:color="000000"/>
        </w:rPr>
        <w:t xml:space="preserve"> Sistema SIGA-PJ.</w:t>
      </w:r>
    </w:p>
    <w:p w:rsidRPr="00F31A99" w:rsidR="00D0558E" w:rsidP="00D0558E" w:rsidRDefault="00D0558E" w14:paraId="0AC5E2D3"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649B812F"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3CB7C9B2"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En la tabla anterior se muestran los montos formulados en la subpartida 10301 Información para los últimos 5 años, presentándose montos muy similares en los diferentes periodos. </w:t>
      </w:r>
    </w:p>
    <w:p w:rsidRPr="00F31A99" w:rsidR="00D0558E" w:rsidP="00D0558E" w:rsidRDefault="00D0558E" w14:paraId="71C19637"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2AACB30B"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Para el 2022 se disminuye el presupuesto de la presente subpartida en un 2%, lo cual significa que se reducen ¢3.176.829 respecto del presupuesto del año anterior. No obstante, como se aprecia seguidamente, el monto aprobado para el 2020 es inferior al monto ejecutado, lo que significa que los recursos aprobados fueron insuficientes para cubrir los gastos en información. </w:t>
      </w:r>
    </w:p>
    <w:p w:rsidRPr="00F31A99" w:rsidR="00D0558E" w:rsidP="00D0558E" w:rsidRDefault="00D0558E" w14:paraId="3E5D7899" w14:textId="77777777">
      <w:pPr>
        <w:autoSpaceDN w:val="0"/>
        <w:ind w:left="851" w:right="851" w:firstLine="431"/>
        <w:jc w:val="both"/>
        <w:rPr>
          <w:rFonts w:ascii="Times New Roman" w:hAnsi="Times New Roman" w:eastAsia="Calibri" w:cs="Times New Roman"/>
          <w:bCs/>
          <w:sz w:val="26"/>
          <w:szCs w:val="26"/>
          <w:u w:color="000000"/>
        </w:rPr>
      </w:pPr>
    </w:p>
    <w:p w:rsidRPr="00F31A99" w:rsidR="00D0558E" w:rsidP="00D0558E" w:rsidRDefault="00D0558E" w14:paraId="22E869FD"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4936D1AC"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En el gráfico siguiente se representa la formulación y ejecución presupuestaria para el periodo del 2018 al 2022.</w:t>
      </w:r>
    </w:p>
    <w:p w:rsidRPr="00F31A99" w:rsidR="00D0558E" w:rsidP="00D0558E" w:rsidRDefault="00D0558E" w14:paraId="57168741"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164FA54D"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088548E7"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7C4A75CB"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4F95EF92"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46149393"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1E6E3895"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057D7F3A"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3A869868"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58919A6F"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64DE6731"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4329BEF5"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338F9605"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267B0F91"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5A10E7AB"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55947B96"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3C561BFC"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4E7C5B01"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13BC01A5"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2E97C6F9"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0FB9027F"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47A172EA" w14:textId="77777777">
      <w:pPr>
        <w:ind w:left="851" w:right="851" w:firstLine="709"/>
        <w:jc w:val="center"/>
        <w:textAlignment w:val="baseline"/>
        <w:rPr>
          <w:rFonts w:ascii="Times New Roman" w:hAnsi="Times New Roman" w:eastAsia="Times New Roman" w:cs="Times New Roman"/>
          <w:b/>
          <w:sz w:val="26"/>
          <w:szCs w:val="26"/>
          <w:u w:color="000000"/>
          <w:lang w:eastAsia="es-CR"/>
        </w:rPr>
      </w:pPr>
      <w:r w:rsidRPr="00F31A99">
        <w:rPr>
          <w:rFonts w:ascii="Times New Roman" w:hAnsi="Times New Roman" w:eastAsia="Times New Roman" w:cs="Times New Roman"/>
          <w:b/>
          <w:sz w:val="26"/>
          <w:szCs w:val="26"/>
          <w:u w:color="000000"/>
          <w:lang w:eastAsia="es-CR"/>
        </w:rPr>
        <w:t>Figura N°1. Formulación y Ejecución Subpartida 10301</w:t>
      </w:r>
    </w:p>
    <w:p w:rsidRPr="00F31A99" w:rsidR="00D0558E" w:rsidP="00D0558E" w:rsidRDefault="00D0558E" w14:paraId="17C25E5E" w14:textId="77777777">
      <w:pPr>
        <w:ind w:left="851" w:right="851" w:firstLine="709"/>
        <w:jc w:val="center"/>
        <w:textAlignment w:val="baseline"/>
        <w:rPr>
          <w:rFonts w:ascii="Times New Roman" w:hAnsi="Times New Roman" w:eastAsia="Times New Roman" w:cs="Times New Roman"/>
          <w:b/>
          <w:sz w:val="26"/>
          <w:szCs w:val="26"/>
          <w:u w:color="000000"/>
          <w:lang w:eastAsia="es-CR"/>
        </w:rPr>
      </w:pPr>
      <w:r w:rsidRPr="00F31A99">
        <w:rPr>
          <w:rFonts w:ascii="Times New Roman" w:hAnsi="Times New Roman" w:eastAsia="Times New Roman" w:cs="Times New Roman"/>
          <w:b/>
          <w:sz w:val="26"/>
          <w:szCs w:val="26"/>
          <w:u w:color="000000"/>
          <w:lang w:eastAsia="es-CR"/>
        </w:rPr>
        <w:t>Periodos 2018 - 2022 </w:t>
      </w:r>
    </w:p>
    <w:p w:rsidRPr="00F31A99" w:rsidR="00D0558E" w:rsidP="00D0558E" w:rsidRDefault="00D0558E" w14:paraId="16AAEA15" w14:textId="77777777">
      <w:pPr>
        <w:autoSpaceDN w:val="0"/>
        <w:rPr>
          <w:rFonts w:ascii="Times New Roman" w:hAnsi="Times New Roman" w:eastAsia="Times New Roman" w:cs="Times New Roman"/>
          <w:sz w:val="24"/>
          <w:szCs w:val="24"/>
          <w:u w:color="000000"/>
          <w:lang w:eastAsia="es-CR"/>
        </w:rPr>
      </w:pPr>
      <w:r w:rsidRPr="00F31A99">
        <w:rPr>
          <w:rFonts w:ascii="Times New Roman" w:hAnsi="Times New Roman" w:eastAsia="Calibri" w:cs="Times New Roman"/>
          <w:b/>
          <w:noProof/>
          <w:sz w:val="24"/>
          <w:szCs w:val="24"/>
          <w:u w:color="000000"/>
        </w:rPr>
        <w:lastRenderedPageBreak/>
        <w:drawing>
          <wp:inline distT="0" distB="0" distL="0" distR="0" wp14:anchorId="59670EB7" wp14:editId="61AC63D0">
            <wp:extent cx="5988050" cy="3327400"/>
            <wp:effectExtent l="0" t="0" r="0" b="635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88050" cy="3327400"/>
                    </a:xfrm>
                    <a:prstGeom prst="rect">
                      <a:avLst/>
                    </a:prstGeom>
                    <a:noFill/>
                    <a:ln>
                      <a:noFill/>
                    </a:ln>
                  </pic:spPr>
                </pic:pic>
              </a:graphicData>
            </a:graphic>
          </wp:inline>
        </w:drawing>
      </w:r>
    </w:p>
    <w:p w:rsidRPr="00F31A99" w:rsidR="00D0558E" w:rsidP="00D0558E" w:rsidRDefault="00D0558E" w14:paraId="35E2E85E" w14:textId="77777777">
      <w:pPr>
        <w:autoSpaceDN w:val="0"/>
        <w:rPr>
          <w:rFonts w:ascii="Times New Roman" w:hAnsi="Times New Roman" w:eastAsia="Calibri" w:cs="Times New Roman"/>
          <w:u w:color="000000"/>
        </w:rPr>
      </w:pPr>
      <w:r w:rsidRPr="00F31A99">
        <w:rPr>
          <w:rFonts w:ascii="Times New Roman" w:hAnsi="Times New Roman" w:eastAsia="Calibri" w:cs="Times New Roman"/>
          <w:b/>
          <w:bCs/>
          <w:u w:color="000000"/>
        </w:rPr>
        <w:t xml:space="preserve"> Fuente:</w:t>
      </w:r>
      <w:r w:rsidRPr="00F31A99">
        <w:rPr>
          <w:rFonts w:ascii="Times New Roman" w:hAnsi="Times New Roman" w:eastAsia="Calibri" w:cs="Times New Roman"/>
          <w:u w:color="000000"/>
        </w:rPr>
        <w:t xml:space="preserve"> Sistema SIGA-PJ.</w:t>
      </w:r>
    </w:p>
    <w:p w:rsidRPr="00F31A99" w:rsidR="00D0558E" w:rsidP="00D0558E" w:rsidRDefault="00D0558E" w14:paraId="5CF93597" w14:textId="77777777">
      <w:pPr>
        <w:autoSpaceDN w:val="0"/>
        <w:spacing w:line="360" w:lineRule="auto"/>
        <w:jc w:val="both"/>
        <w:rPr>
          <w:rFonts w:ascii="Times New Roman" w:hAnsi="Times New Roman" w:eastAsia="Calibri" w:cs="Times New Roman"/>
          <w:sz w:val="24"/>
          <w:szCs w:val="24"/>
          <w:u w:color="000000"/>
        </w:rPr>
      </w:pPr>
      <w:r w:rsidRPr="00F31A99">
        <w:rPr>
          <w:rFonts w:ascii="Times New Roman" w:hAnsi="Times New Roman" w:eastAsia="Calibri" w:cs="Times New Roman"/>
          <w:sz w:val="24"/>
          <w:szCs w:val="24"/>
          <w:u w:color="000000"/>
        </w:rPr>
        <w:t xml:space="preserve"> </w:t>
      </w:r>
    </w:p>
    <w:p w:rsidRPr="00F31A99" w:rsidR="00D0558E" w:rsidP="00D0558E" w:rsidRDefault="00D0558E" w14:paraId="5F89BAB8"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41CD0F04" w14:textId="77777777">
      <w:pPr>
        <w:numPr>
          <w:ilvl w:val="0"/>
          <w:numId w:val="6"/>
        </w:numPr>
        <w:autoSpaceDN w:val="0"/>
        <w:ind w:left="851" w:right="851" w:firstLine="709"/>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Análisis de la Ejecución Presupuestaria de la Subpartida</w:t>
      </w:r>
    </w:p>
    <w:p w:rsidRPr="00F31A99" w:rsidR="00D0558E" w:rsidP="00D0558E" w:rsidRDefault="00D0558E" w14:paraId="72C5F50D" w14:textId="77777777">
      <w:pPr>
        <w:autoSpaceDN w:val="0"/>
        <w:rPr>
          <w:rFonts w:ascii="Times New Roman" w:hAnsi="Times New Roman" w:eastAsia="Calibri" w:cs="Times New Roman"/>
          <w:b/>
          <w:sz w:val="24"/>
          <w:szCs w:val="24"/>
          <w:u w:color="000000"/>
        </w:rPr>
      </w:pPr>
    </w:p>
    <w:p w:rsidRPr="00F31A99" w:rsidR="00D0558E" w:rsidP="00D0558E" w:rsidRDefault="00D0558E" w14:paraId="2F56E371" w14:textId="77777777">
      <w:pPr>
        <w:ind w:left="851" w:right="851" w:firstLine="709"/>
        <w:jc w:val="center"/>
        <w:textAlignment w:val="baseline"/>
        <w:rPr>
          <w:rFonts w:ascii="Times New Roman" w:hAnsi="Times New Roman" w:eastAsia="Times New Roman" w:cs="Times New Roman"/>
          <w:b/>
          <w:sz w:val="26"/>
          <w:szCs w:val="26"/>
          <w:u w:color="000000"/>
          <w:lang w:eastAsia="es-CR"/>
        </w:rPr>
      </w:pPr>
      <w:r w:rsidRPr="00F31A99">
        <w:rPr>
          <w:rFonts w:ascii="Times New Roman" w:hAnsi="Times New Roman" w:eastAsia="Times New Roman" w:cs="Times New Roman"/>
          <w:b/>
          <w:sz w:val="26"/>
          <w:szCs w:val="26"/>
          <w:u w:color="000000"/>
          <w:lang w:eastAsia="es-CR"/>
        </w:rPr>
        <w:t>Tabla 2. Ejecución Presupuestaria Periodos 2018-2020</w:t>
      </w:r>
    </w:p>
    <w:p w:rsidRPr="00F31A99" w:rsidR="00D0558E" w:rsidP="00D0558E" w:rsidRDefault="00D0558E" w14:paraId="3360394C"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0D82EAE2" w14:textId="77777777">
      <w:pPr>
        <w:autoSpaceDN w:val="0"/>
        <w:spacing w:line="360" w:lineRule="auto"/>
        <w:jc w:val="both"/>
        <w:rPr>
          <w:rFonts w:ascii="Times New Roman" w:hAnsi="Times New Roman" w:eastAsia="Calibri" w:cs="Times New Roman"/>
          <w:sz w:val="24"/>
          <w:szCs w:val="24"/>
          <w:u w:color="000000"/>
        </w:rPr>
      </w:pPr>
    </w:p>
    <w:tbl>
      <w:tblPr>
        <w:tblW w:w="8359" w:type="dxa"/>
        <w:jc w:val="center"/>
        <w:tblCellMar>
          <w:left w:w="70" w:type="dxa"/>
          <w:right w:w="70" w:type="dxa"/>
        </w:tblCellMar>
        <w:tblLook w:val="04A0" w:firstRow="1" w:lastRow="0" w:firstColumn="1" w:lastColumn="0" w:noHBand="0" w:noVBand="1"/>
      </w:tblPr>
      <w:tblGrid>
        <w:gridCol w:w="2180"/>
        <w:gridCol w:w="2351"/>
        <w:gridCol w:w="2268"/>
        <w:gridCol w:w="1560"/>
      </w:tblGrid>
      <w:tr w:rsidRPr="00F31A99" w:rsidR="00AE1B2B" w:rsidTr="00983B84" w14:paraId="767477EA" w14:textId="77777777">
        <w:trPr>
          <w:trHeight w:val="310"/>
          <w:jc w:val="center"/>
        </w:trPr>
        <w:tc>
          <w:tcPr>
            <w:tcW w:w="2180" w:type="dxa"/>
            <w:tcBorders>
              <w:top w:val="single" w:color="auto" w:sz="4" w:space="0"/>
              <w:left w:val="single" w:color="auto" w:sz="4" w:space="0"/>
              <w:bottom w:val="single" w:color="auto" w:sz="4" w:space="0"/>
              <w:right w:val="single" w:color="auto" w:sz="4" w:space="0"/>
            </w:tcBorders>
            <w:shd w:val="clear" w:color="000000" w:fill="FFFFFF"/>
            <w:noWrap/>
            <w:vAlign w:val="bottom"/>
            <w:hideMark/>
          </w:tcPr>
          <w:p w:rsidRPr="00F31A99" w:rsidR="00D0558E" w:rsidP="00983B84" w:rsidRDefault="00D0558E" w14:paraId="7279A482"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Periodo</w:t>
            </w:r>
          </w:p>
        </w:tc>
        <w:tc>
          <w:tcPr>
            <w:tcW w:w="2351" w:type="dxa"/>
            <w:tcBorders>
              <w:top w:val="single" w:color="auto" w:sz="4" w:space="0"/>
              <w:left w:val="nil"/>
              <w:bottom w:val="single" w:color="auto" w:sz="4" w:space="0"/>
              <w:right w:val="single" w:color="auto" w:sz="4" w:space="0"/>
            </w:tcBorders>
            <w:shd w:val="clear" w:color="000000" w:fill="FFFFFF"/>
            <w:noWrap/>
            <w:vAlign w:val="bottom"/>
            <w:hideMark/>
          </w:tcPr>
          <w:p w:rsidRPr="00F31A99" w:rsidR="00D0558E" w:rsidP="00983B84" w:rsidRDefault="00D0558E" w14:paraId="3FA90936"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Formulado</w:t>
            </w:r>
          </w:p>
        </w:tc>
        <w:tc>
          <w:tcPr>
            <w:tcW w:w="2268" w:type="dxa"/>
            <w:tcBorders>
              <w:top w:val="single" w:color="auto" w:sz="4" w:space="0"/>
              <w:left w:val="nil"/>
              <w:bottom w:val="single" w:color="auto" w:sz="4" w:space="0"/>
              <w:right w:val="single" w:color="auto" w:sz="4" w:space="0"/>
            </w:tcBorders>
            <w:shd w:val="clear" w:color="000000" w:fill="FFFFFF"/>
            <w:noWrap/>
            <w:vAlign w:val="bottom"/>
            <w:hideMark/>
          </w:tcPr>
          <w:p w:rsidRPr="00F31A99" w:rsidR="00D0558E" w:rsidP="00983B84" w:rsidRDefault="00D0558E" w14:paraId="52D32B5E"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Ejecutado</w:t>
            </w:r>
          </w:p>
        </w:tc>
        <w:tc>
          <w:tcPr>
            <w:tcW w:w="1560" w:type="dxa"/>
            <w:tcBorders>
              <w:top w:val="single" w:color="auto" w:sz="4" w:space="0"/>
              <w:left w:val="nil"/>
              <w:bottom w:val="single" w:color="auto" w:sz="4" w:space="0"/>
              <w:right w:val="single" w:color="auto" w:sz="4" w:space="0"/>
            </w:tcBorders>
            <w:shd w:val="clear" w:color="000000" w:fill="FFFFFF"/>
            <w:noWrap/>
            <w:vAlign w:val="bottom"/>
            <w:hideMark/>
          </w:tcPr>
          <w:p w:rsidRPr="00F31A99" w:rsidR="00D0558E" w:rsidP="00983B84" w:rsidRDefault="00D0558E" w14:paraId="0A338B52"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 Ejecución </w:t>
            </w:r>
          </w:p>
        </w:tc>
      </w:tr>
      <w:tr w:rsidRPr="00F31A99" w:rsidR="00AE1B2B" w:rsidTr="00983B84" w14:paraId="53C83146" w14:textId="77777777">
        <w:trPr>
          <w:trHeight w:val="310"/>
          <w:jc w:val="center"/>
        </w:trPr>
        <w:tc>
          <w:tcPr>
            <w:tcW w:w="2180" w:type="dxa"/>
            <w:tcBorders>
              <w:top w:val="nil"/>
              <w:left w:val="single" w:color="auto" w:sz="4" w:space="0"/>
              <w:bottom w:val="single" w:color="auto" w:sz="4" w:space="0"/>
              <w:right w:val="single" w:color="auto" w:sz="4" w:space="0"/>
            </w:tcBorders>
            <w:shd w:val="clear" w:color="auto" w:fill="auto"/>
            <w:noWrap/>
            <w:vAlign w:val="bottom"/>
            <w:hideMark/>
          </w:tcPr>
          <w:p w:rsidRPr="00F31A99" w:rsidR="00D0558E" w:rsidP="00983B84" w:rsidRDefault="00D0558E" w14:paraId="6D2955E0"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2018</w:t>
            </w:r>
          </w:p>
        </w:tc>
        <w:tc>
          <w:tcPr>
            <w:tcW w:w="2351"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65D0549B"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173 925 199 </w:t>
            </w:r>
          </w:p>
        </w:tc>
        <w:tc>
          <w:tcPr>
            <w:tcW w:w="2268"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044A9D3F"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160 879 867 </w:t>
            </w:r>
          </w:p>
        </w:tc>
        <w:tc>
          <w:tcPr>
            <w:tcW w:w="1560"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3D7F32AF"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92,50%</w:t>
            </w:r>
          </w:p>
        </w:tc>
      </w:tr>
      <w:tr w:rsidRPr="00F31A99" w:rsidR="00AE1B2B" w:rsidTr="00983B84" w14:paraId="522C514B" w14:textId="77777777">
        <w:trPr>
          <w:trHeight w:val="310"/>
          <w:jc w:val="center"/>
        </w:trPr>
        <w:tc>
          <w:tcPr>
            <w:tcW w:w="2180" w:type="dxa"/>
            <w:tcBorders>
              <w:top w:val="nil"/>
              <w:left w:val="single" w:color="auto" w:sz="4" w:space="0"/>
              <w:bottom w:val="single" w:color="auto" w:sz="4" w:space="0"/>
              <w:right w:val="single" w:color="auto" w:sz="4" w:space="0"/>
            </w:tcBorders>
            <w:shd w:val="clear" w:color="auto" w:fill="auto"/>
            <w:noWrap/>
            <w:vAlign w:val="bottom"/>
            <w:hideMark/>
          </w:tcPr>
          <w:p w:rsidRPr="00F31A99" w:rsidR="00D0558E" w:rsidP="00983B84" w:rsidRDefault="00D0558E" w14:paraId="42173221"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2019</w:t>
            </w:r>
          </w:p>
        </w:tc>
        <w:tc>
          <w:tcPr>
            <w:tcW w:w="2351"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0EEB04D1"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167 478 353 </w:t>
            </w:r>
          </w:p>
        </w:tc>
        <w:tc>
          <w:tcPr>
            <w:tcW w:w="2268"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69247DD2"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191 009 028 </w:t>
            </w:r>
          </w:p>
        </w:tc>
        <w:tc>
          <w:tcPr>
            <w:tcW w:w="1560"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37FBCE76"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114,05%</w:t>
            </w:r>
          </w:p>
        </w:tc>
      </w:tr>
      <w:tr w:rsidRPr="00F31A99" w:rsidR="00AE1B2B" w:rsidTr="00983B84" w14:paraId="3A81C652" w14:textId="77777777">
        <w:trPr>
          <w:trHeight w:val="310"/>
          <w:jc w:val="center"/>
        </w:trPr>
        <w:tc>
          <w:tcPr>
            <w:tcW w:w="2180" w:type="dxa"/>
            <w:tcBorders>
              <w:top w:val="nil"/>
              <w:left w:val="single" w:color="auto" w:sz="4" w:space="0"/>
              <w:bottom w:val="single" w:color="auto" w:sz="4" w:space="0"/>
              <w:right w:val="single" w:color="auto" w:sz="4" w:space="0"/>
            </w:tcBorders>
            <w:shd w:val="clear" w:color="auto" w:fill="auto"/>
            <w:noWrap/>
            <w:vAlign w:val="bottom"/>
            <w:hideMark/>
          </w:tcPr>
          <w:p w:rsidRPr="00F31A99" w:rsidR="00D0558E" w:rsidP="00983B84" w:rsidRDefault="00D0558E" w14:paraId="09378E94"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2020</w:t>
            </w:r>
          </w:p>
        </w:tc>
        <w:tc>
          <w:tcPr>
            <w:tcW w:w="2351"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33657F8F"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166 028 354 </w:t>
            </w:r>
          </w:p>
        </w:tc>
        <w:tc>
          <w:tcPr>
            <w:tcW w:w="2268"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57DB68D7"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 xml:space="preserve"> 869 880 191 </w:t>
            </w:r>
          </w:p>
        </w:tc>
        <w:tc>
          <w:tcPr>
            <w:tcW w:w="1560"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1751DC6C"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523,93%</w:t>
            </w:r>
          </w:p>
        </w:tc>
      </w:tr>
      <w:tr w:rsidRPr="00F31A99" w:rsidR="00AE1B2B" w:rsidTr="00983B84" w14:paraId="644CB5F9" w14:textId="77777777">
        <w:trPr>
          <w:trHeight w:val="310"/>
          <w:jc w:val="center"/>
        </w:trPr>
        <w:tc>
          <w:tcPr>
            <w:tcW w:w="2180" w:type="dxa"/>
            <w:tcBorders>
              <w:top w:val="nil"/>
              <w:left w:val="nil"/>
              <w:bottom w:val="nil"/>
              <w:right w:val="nil"/>
            </w:tcBorders>
            <w:shd w:val="clear" w:color="000000" w:fill="305496"/>
            <w:noWrap/>
            <w:vAlign w:val="bottom"/>
            <w:hideMark/>
          </w:tcPr>
          <w:p w:rsidRPr="00F31A99" w:rsidR="00D0558E" w:rsidP="00983B84" w:rsidRDefault="00D0558E" w14:paraId="1FA1FC47"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TOTAL</w:t>
            </w:r>
          </w:p>
        </w:tc>
        <w:tc>
          <w:tcPr>
            <w:tcW w:w="2351" w:type="dxa"/>
            <w:tcBorders>
              <w:top w:val="nil"/>
              <w:left w:val="nil"/>
              <w:bottom w:val="nil"/>
              <w:right w:val="nil"/>
            </w:tcBorders>
            <w:shd w:val="clear" w:color="000000" w:fill="305496"/>
            <w:noWrap/>
            <w:vAlign w:val="bottom"/>
            <w:hideMark/>
          </w:tcPr>
          <w:p w:rsidRPr="00F31A99" w:rsidR="00D0558E" w:rsidP="00983B84" w:rsidRDefault="00D0558E" w14:paraId="2457E405"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 507 431 906 </w:t>
            </w:r>
          </w:p>
        </w:tc>
        <w:tc>
          <w:tcPr>
            <w:tcW w:w="2268" w:type="dxa"/>
            <w:tcBorders>
              <w:top w:val="nil"/>
              <w:left w:val="nil"/>
              <w:bottom w:val="nil"/>
              <w:right w:val="nil"/>
            </w:tcBorders>
            <w:shd w:val="clear" w:color="000000" w:fill="305496"/>
            <w:noWrap/>
            <w:vAlign w:val="bottom"/>
            <w:hideMark/>
          </w:tcPr>
          <w:p w:rsidRPr="00F31A99" w:rsidR="00D0558E" w:rsidP="00983B84" w:rsidRDefault="00D0558E" w14:paraId="5AD35E72" w14:textId="77777777">
            <w:pPr>
              <w:autoSpaceDN w:val="0"/>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 1 221 769 086 </w:t>
            </w:r>
          </w:p>
        </w:tc>
        <w:tc>
          <w:tcPr>
            <w:tcW w:w="1560" w:type="dxa"/>
            <w:tcBorders>
              <w:top w:val="nil"/>
              <w:left w:val="nil"/>
              <w:bottom w:val="nil"/>
              <w:right w:val="nil"/>
            </w:tcBorders>
            <w:shd w:val="clear" w:color="000000" w:fill="305496"/>
            <w:noWrap/>
            <w:vAlign w:val="bottom"/>
            <w:hideMark/>
          </w:tcPr>
          <w:p w:rsidRPr="00F31A99" w:rsidR="00D0558E" w:rsidP="00983B84" w:rsidRDefault="00D0558E" w14:paraId="79DB11F4"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240,77%</w:t>
            </w:r>
          </w:p>
        </w:tc>
      </w:tr>
    </w:tbl>
    <w:p w:rsidRPr="00F31A99" w:rsidR="00D0558E" w:rsidP="00D0558E" w:rsidRDefault="00D0558E" w14:paraId="6DEE06DE" w14:textId="77777777">
      <w:pPr>
        <w:autoSpaceDN w:val="0"/>
        <w:ind w:firstLine="708"/>
        <w:rPr>
          <w:rFonts w:ascii="Times New Roman" w:hAnsi="Times New Roman" w:eastAsia="Calibri" w:cs="Times New Roman"/>
          <w:u w:color="000000"/>
        </w:rPr>
      </w:pPr>
      <w:r w:rsidRPr="00F31A99">
        <w:rPr>
          <w:rFonts w:ascii="Times New Roman" w:hAnsi="Times New Roman" w:eastAsia="Calibri" w:cs="Times New Roman"/>
          <w:b/>
          <w:bCs/>
          <w:u w:color="000000"/>
        </w:rPr>
        <w:t>Fuente:</w:t>
      </w:r>
      <w:r w:rsidRPr="00F31A99">
        <w:rPr>
          <w:rFonts w:ascii="Times New Roman" w:hAnsi="Times New Roman" w:eastAsia="Calibri" w:cs="Times New Roman"/>
          <w:u w:color="000000"/>
        </w:rPr>
        <w:t xml:space="preserve"> Sistema SIGA-PJ.</w:t>
      </w:r>
    </w:p>
    <w:p w:rsidRPr="00F31A99" w:rsidR="00D0558E" w:rsidP="00D0558E" w:rsidRDefault="00D0558E" w14:paraId="5F8A64B0"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5B459F75"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El Consejo Superior en sesión N°087-2020, Artículo XIX, del 08 de setiembre 2020, conoció los recursos que por concepto de publicaciones en el Boletín Judicial solicita la Imprenta Nacional al Poder Judicial, donde acordó: </w:t>
      </w:r>
    </w:p>
    <w:p w:rsidRPr="00F31A99" w:rsidR="00D0558E" w:rsidP="00D0558E" w:rsidRDefault="00D0558E" w14:paraId="19033E72" w14:textId="77777777">
      <w:pPr>
        <w:autoSpaceDN w:val="0"/>
        <w:ind w:left="851" w:right="851" w:firstLine="431"/>
        <w:jc w:val="both"/>
        <w:rPr>
          <w:rFonts w:ascii="Times New Roman" w:hAnsi="Times New Roman" w:eastAsia="Calibri" w:cs="Times New Roman"/>
          <w:bCs/>
          <w:sz w:val="26"/>
          <w:szCs w:val="26"/>
          <w:u w:color="000000"/>
        </w:rPr>
      </w:pPr>
    </w:p>
    <w:p w:rsidRPr="00F31A99" w:rsidR="00D0558E" w:rsidP="00D0558E" w:rsidRDefault="00D0558E" w14:paraId="2C7F6751"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“1.) Tener por rendido el informe N° 3123-DE-2020 del 1 de setiembre del 2020, suscrito por la máster Ana Eugenia Romero Jenkins, Directora Ejecutiva, en que se refiere a los recursos que, por </w:t>
      </w:r>
      <w:r w:rsidRPr="00F31A99">
        <w:rPr>
          <w:rFonts w:ascii="Times New Roman" w:hAnsi="Times New Roman" w:eastAsia="Calibri" w:cs="Times New Roman"/>
          <w:bCs/>
          <w:sz w:val="26"/>
          <w:szCs w:val="26"/>
          <w:u w:color="000000"/>
        </w:rPr>
        <w:lastRenderedPageBreak/>
        <w:t>concepto de publicaciones en el Boletín Judicial, reclama la Imprenta Nacional al Poder Judicial, y acoger las recomendaciones que en él se indican, en consecuencia: a) Autorizar a la Dirección Ejecutiva a realizar los pagos ante la Imprenta Nacional, según las posibilidades presupuestarias que a nivel Institucional prevalezcan y de esa forma extinga la deuda que mantiene a la Institución morosa. b.) Autorizar a la Dirección Ejecución a incorporar recursos en el presupuesto del Poder Judicial, mediante modificaciones presupuestarias, para asumir dichos pagos. c.) Solicitar a la Junta Directiva de la Imprenta Nacional, para que mantenga el crédito a este Poder Judicial, por los servicios de las publicaciones en el Boletín Judicial, en el entendido que esta Institución se compromete a seguir realizando pagos conforme la disponibilidad presupuestaria lo permita.”</w:t>
      </w:r>
    </w:p>
    <w:p w:rsidRPr="00F31A99" w:rsidR="00D0558E" w:rsidP="00D0558E" w:rsidRDefault="00D0558E" w14:paraId="2EAB6857" w14:textId="77777777">
      <w:pPr>
        <w:autoSpaceDN w:val="0"/>
        <w:ind w:left="851" w:right="851" w:firstLine="431"/>
        <w:jc w:val="both"/>
        <w:rPr>
          <w:rFonts w:ascii="Times New Roman" w:hAnsi="Times New Roman" w:eastAsia="Calibri" w:cs="Times New Roman"/>
          <w:bCs/>
          <w:sz w:val="26"/>
          <w:szCs w:val="26"/>
          <w:u w:color="000000"/>
        </w:rPr>
      </w:pPr>
    </w:p>
    <w:p w:rsidRPr="00F31A99" w:rsidR="00D0558E" w:rsidP="00D0558E" w:rsidRDefault="00D0558E" w14:paraId="00CEAA40"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En cumplimiento a lo acordado por el Consejo Superior, fue necesario reforzar para el año 2020 la subpartida en ¢693.059.248 por medio de Modificaciones Externas, para atender las publicaciones y parte de la deuda adquirida con la Imprenta Nacional debido a que dicha Institución eliminó la práctica de aplicar tarifas diferenciadas en los servicios que brinda a las instituciones del sector público. Producto de esa decisión, se dejó sin efecto el convenio sobre la gratuidad de la justicia y tutela judicial efectiva, así como el costo de la publicación en el Boletín Judicial que se anexa en la Gaceta; situación que provocó tal y como se muestra en el cuadro anterior, una ejecución por encima de lo formulado (523.93%). </w:t>
      </w:r>
    </w:p>
    <w:p w:rsidRPr="00F31A99" w:rsidR="00D0558E" w:rsidP="00D0558E" w:rsidRDefault="00D0558E" w14:paraId="13660828"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4C53B522"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A raíz de la situación antes expuesta, la Dirección Ejecutiva está desarrollando en coordinación con el Departamento de Artes Gráficas el proyecto para la publicación del Boletín Judicial electrónico que fungirá como el órgano de comunicación oficial, amparado en lo dispuesto en el artículo transitorio de la Ley de Creación de la Junta Administrativa de la Imprenta Nacional No. 5394 del 16 de noviembre de 1973, donde se busca que en futuro cercano no se tengan que realizar erogaciones por publicaciones en el Boletín Oficial de la Imprenta nacional. </w:t>
      </w:r>
    </w:p>
    <w:p w:rsidRPr="00F31A99" w:rsidR="00D0558E" w:rsidP="00D0558E" w:rsidRDefault="00D0558E" w14:paraId="4258AD16" w14:textId="77777777">
      <w:pPr>
        <w:autoSpaceDN w:val="0"/>
        <w:spacing w:line="360" w:lineRule="auto"/>
        <w:jc w:val="both"/>
        <w:rPr>
          <w:rFonts w:ascii="Times New Roman" w:hAnsi="Times New Roman" w:eastAsia="Calibri" w:cs="Times New Roman"/>
          <w:u w:color="000000"/>
          <w:lang w:eastAsia="es-CR"/>
        </w:rPr>
      </w:pPr>
    </w:p>
    <w:p w:rsidRPr="00F31A99" w:rsidR="00D0558E" w:rsidP="00D0558E" w:rsidRDefault="00D0558E" w14:paraId="5EF4EAF9"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Por otra parte, el Consejo Superior en sesión N° 02-2021 celebrada el 7 de enero de 2021, artículo XXIII, aprobó el Estudio de Prefactibilidad presentado por la Dirección Ejecutiva para que el Poder Judicial a través del Departamento de Artes Gráficas asuma el proceso de publicación electrónica del Boletín Judicial. </w:t>
      </w:r>
    </w:p>
    <w:p w:rsidRPr="00F31A99" w:rsidR="00D0558E" w:rsidP="00D0558E" w:rsidRDefault="00D0558E" w14:paraId="74E74552" w14:textId="77777777">
      <w:pPr>
        <w:autoSpaceDN w:val="0"/>
        <w:ind w:left="851" w:right="851" w:firstLine="431"/>
        <w:jc w:val="both"/>
        <w:rPr>
          <w:rFonts w:ascii="Times New Roman" w:hAnsi="Times New Roman" w:eastAsia="Calibri" w:cs="Times New Roman"/>
          <w:bCs/>
          <w:sz w:val="26"/>
          <w:szCs w:val="26"/>
          <w:u w:color="000000"/>
        </w:rPr>
      </w:pPr>
    </w:p>
    <w:p w:rsidRPr="00F31A99" w:rsidR="00D0558E" w:rsidP="00D0558E" w:rsidRDefault="00D0558E" w14:paraId="675B4616"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lastRenderedPageBreak/>
        <w:t xml:space="preserve">Es importante indicar que, con la creación de este Boletín Judicial el Poder Judicial realizará todas aquellas publicaciones que actualmente la Imprenta Nacional realiza en el Boletín, tales como, comunicados, circulares, edictos de tránsito, entre otros, excepto aquellas publicaciones que por su carácter oficial deben publicarse en el Diario Oficial “La Gaceta”, tales como, los procedimientos de contrataciones Administrativas. </w:t>
      </w:r>
    </w:p>
    <w:p w:rsidRPr="00F31A99" w:rsidR="00D0558E" w:rsidP="00D0558E" w:rsidRDefault="00D0558E" w14:paraId="339C9807"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19811CD0"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Finalmente se debe indicar que, los recursos formulados en esta subpartida para el 2022, se requieren para atender publicaciones de carácter oficial. </w:t>
      </w:r>
    </w:p>
    <w:p w:rsidRPr="00F31A99" w:rsidR="00D0558E" w:rsidP="00D0558E" w:rsidRDefault="00D0558E" w14:paraId="093B09FE" w14:textId="77777777">
      <w:pPr>
        <w:autoSpaceDN w:val="0"/>
        <w:spacing w:line="360" w:lineRule="auto"/>
        <w:jc w:val="both"/>
        <w:rPr>
          <w:rFonts w:ascii="Times New Roman" w:hAnsi="Times New Roman" w:eastAsia="Calibri" w:cs="Times New Roman"/>
          <w:b/>
          <w:sz w:val="24"/>
          <w:szCs w:val="24"/>
          <w:u w:color="000000"/>
        </w:rPr>
      </w:pPr>
      <w:r w:rsidRPr="00F31A99">
        <w:rPr>
          <w:rFonts w:ascii="Times New Roman" w:hAnsi="Times New Roman" w:eastAsia="Calibri" w:cs="Times New Roman"/>
          <w:sz w:val="24"/>
          <w:szCs w:val="24"/>
          <w:u w:color="000000"/>
        </w:rPr>
        <w:t xml:space="preserve"> </w:t>
      </w:r>
    </w:p>
    <w:p w:rsidRPr="00F31A99" w:rsidR="00D0558E" w:rsidP="00D0558E" w:rsidRDefault="00D0558E" w14:paraId="38FB121E" w14:textId="77777777">
      <w:pPr>
        <w:numPr>
          <w:ilvl w:val="0"/>
          <w:numId w:val="6"/>
        </w:numPr>
        <w:autoSpaceDN w:val="0"/>
        <w:ind w:left="851" w:right="851" w:firstLine="709"/>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Porcentaje de Variación por Programa 2021-2022</w:t>
      </w:r>
    </w:p>
    <w:p w:rsidRPr="00F31A99" w:rsidR="00D0558E" w:rsidP="00D0558E" w:rsidRDefault="00D0558E" w14:paraId="12F2CF42" w14:textId="77777777">
      <w:pPr>
        <w:autoSpaceDN w:val="0"/>
        <w:ind w:left="708"/>
        <w:rPr>
          <w:rFonts w:ascii="Times New Roman" w:hAnsi="Times New Roman" w:eastAsia="Times New Roman" w:cs="Times New Roman"/>
          <w:b/>
          <w:sz w:val="24"/>
          <w:szCs w:val="24"/>
          <w:u w:color="000000"/>
          <w:lang w:eastAsia="es-ES"/>
        </w:rPr>
      </w:pPr>
    </w:p>
    <w:p w:rsidRPr="00F31A99" w:rsidR="00D0558E" w:rsidP="00D0558E" w:rsidRDefault="00D0558E" w14:paraId="0805DFF6" w14:textId="77777777">
      <w:pPr>
        <w:ind w:left="851" w:right="851" w:firstLine="709"/>
        <w:jc w:val="center"/>
        <w:textAlignment w:val="baseline"/>
        <w:rPr>
          <w:rFonts w:ascii="Times New Roman" w:hAnsi="Times New Roman" w:eastAsia="Times New Roman" w:cs="Times New Roman"/>
          <w:b/>
          <w:sz w:val="24"/>
          <w:szCs w:val="24"/>
          <w:u w:color="000000"/>
          <w:lang w:eastAsia="es-CR"/>
        </w:rPr>
      </w:pPr>
      <w:r w:rsidRPr="00F31A99">
        <w:rPr>
          <w:rFonts w:ascii="Times New Roman" w:hAnsi="Times New Roman" w:eastAsia="Times New Roman" w:cs="Times New Roman"/>
          <w:b/>
          <w:sz w:val="24"/>
          <w:szCs w:val="24"/>
          <w:u w:color="000000"/>
          <w:lang w:eastAsia="es-CR"/>
        </w:rPr>
        <w:t xml:space="preserve"> </w:t>
      </w:r>
      <w:r w:rsidRPr="00F31A99">
        <w:rPr>
          <w:rFonts w:ascii="Times New Roman" w:hAnsi="Times New Roman" w:eastAsia="Times New Roman" w:cs="Times New Roman"/>
          <w:b/>
          <w:sz w:val="26"/>
          <w:szCs w:val="26"/>
          <w:u w:color="000000"/>
          <w:lang w:eastAsia="es-CR"/>
        </w:rPr>
        <w:t>Tabla 3. Porcentaje de variación de los recursos aprobados 2021 versus solicitados 2022.</w:t>
      </w:r>
    </w:p>
    <w:p w:rsidRPr="00F31A99" w:rsidR="00D0558E" w:rsidP="00D0558E" w:rsidRDefault="00D0558E" w14:paraId="646D90B2" w14:textId="77777777">
      <w:pPr>
        <w:autoSpaceDN w:val="0"/>
        <w:rPr>
          <w:rFonts w:ascii="Times New Roman" w:hAnsi="Times New Roman" w:eastAsia="Calibri" w:cs="Times New Roman"/>
          <w:b/>
          <w:sz w:val="24"/>
          <w:szCs w:val="24"/>
          <w:u w:color="000000"/>
        </w:rPr>
      </w:pPr>
    </w:p>
    <w:p w:rsidRPr="00F31A99" w:rsidR="00D0558E" w:rsidP="00D0558E" w:rsidRDefault="00D0558E" w14:paraId="5A54DC92" w14:textId="77777777">
      <w:pPr>
        <w:autoSpaceDN w:val="0"/>
        <w:rPr>
          <w:rFonts w:ascii="Times New Roman" w:hAnsi="Times New Roman" w:eastAsia="Calibri" w:cs="Times New Roman"/>
          <w:b/>
          <w:sz w:val="24"/>
          <w:szCs w:val="24"/>
          <w:u w:color="000000"/>
        </w:rPr>
      </w:pPr>
      <w:r w:rsidRPr="00F31A99">
        <w:rPr>
          <w:rFonts w:ascii="Times New Roman" w:hAnsi="Times New Roman" w:eastAsia="Calibri" w:cs="Times New Roman"/>
          <w:noProof/>
          <w:u w:color="000000"/>
        </w:rPr>
        <w:drawing>
          <wp:inline distT="0" distB="0" distL="0" distR="0" wp14:anchorId="2D7DFA88" wp14:editId="5500F052">
            <wp:extent cx="6030595" cy="1327785"/>
            <wp:effectExtent l="0" t="0" r="8255" b="571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30595" cy="1327785"/>
                    </a:xfrm>
                    <a:prstGeom prst="rect">
                      <a:avLst/>
                    </a:prstGeom>
                    <a:noFill/>
                    <a:ln>
                      <a:noFill/>
                    </a:ln>
                  </pic:spPr>
                </pic:pic>
              </a:graphicData>
            </a:graphic>
          </wp:inline>
        </w:drawing>
      </w:r>
    </w:p>
    <w:p w:rsidRPr="00F31A99" w:rsidR="00D0558E" w:rsidP="00D0558E" w:rsidRDefault="00D0558E" w14:paraId="049EBA10" w14:textId="77777777">
      <w:pPr>
        <w:autoSpaceDN w:val="0"/>
        <w:rPr>
          <w:rFonts w:ascii="Times New Roman" w:hAnsi="Times New Roman" w:eastAsia="Calibri" w:cs="Times New Roman"/>
          <w:u w:color="000000"/>
        </w:rPr>
      </w:pPr>
      <w:r w:rsidRPr="00F31A99">
        <w:rPr>
          <w:rFonts w:ascii="Times New Roman" w:hAnsi="Times New Roman" w:eastAsia="Calibri" w:cs="Times New Roman"/>
          <w:b/>
          <w:u w:color="000000"/>
          <w:vertAlign w:val="subscript"/>
        </w:rPr>
        <w:t xml:space="preserve">Fuente: SIGA PJ </w:t>
      </w:r>
    </w:p>
    <w:p w:rsidRPr="00F31A99" w:rsidR="00D0558E" w:rsidP="00D0558E" w:rsidRDefault="00D0558E" w14:paraId="5854B64D"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Al realizar el análisis comparativo 2021 y 2022 de los recursos solicitados en esta subpartida, se observa que los Programas Ministerio Público, Defensa Pública y Servicio de Atención y Proyección de Víctimas y Testigos, no requieren recursos en estas subpartidas. </w:t>
      </w:r>
    </w:p>
    <w:p w:rsidRPr="00F31A99" w:rsidR="00D0558E" w:rsidP="00D0558E" w:rsidRDefault="00D0558E" w14:paraId="44E2948B"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436979E7"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407671DA"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1AFA975B"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1A8D4BC3"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39A0392E"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52BE5C2C"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6BE2E23E"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7A0E51B1"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1260E62B" w14:textId="77777777">
      <w:pPr>
        <w:autoSpaceDN w:val="0"/>
        <w:spacing w:line="360" w:lineRule="auto"/>
        <w:jc w:val="both"/>
        <w:rPr>
          <w:rFonts w:ascii="Times New Roman" w:hAnsi="Times New Roman" w:eastAsia="Times New Roman" w:cs="Times New Roman"/>
          <w:b/>
          <w:bCs/>
          <w:sz w:val="24"/>
          <w:szCs w:val="24"/>
          <w:u w:color="000000"/>
          <w:lang w:eastAsia="es-CR"/>
        </w:rPr>
      </w:pPr>
    </w:p>
    <w:p w:rsidRPr="00F31A99" w:rsidR="00D0558E" w:rsidP="00D0558E" w:rsidRDefault="00D0558E" w14:paraId="2A6AC4A2" w14:textId="77777777">
      <w:pPr>
        <w:ind w:left="851" w:right="851" w:firstLine="709"/>
        <w:jc w:val="center"/>
        <w:textAlignment w:val="baseline"/>
        <w:rPr>
          <w:rFonts w:ascii="Times New Roman" w:hAnsi="Times New Roman" w:eastAsia="Times New Roman" w:cs="Times New Roman"/>
          <w:sz w:val="24"/>
          <w:szCs w:val="24"/>
          <w:u w:color="000000"/>
          <w:lang w:eastAsia="es-CR"/>
        </w:rPr>
      </w:pPr>
      <w:r w:rsidRPr="00F31A99">
        <w:rPr>
          <w:rFonts w:ascii="Times New Roman" w:hAnsi="Times New Roman" w:eastAsia="Times New Roman" w:cs="Times New Roman"/>
          <w:b/>
          <w:sz w:val="24"/>
          <w:szCs w:val="24"/>
          <w:u w:color="000000"/>
          <w:lang w:eastAsia="es-CR"/>
        </w:rPr>
        <w:t>Figura N°2. Distribución de la Subpartida por Programa Presupuestario 2021</w:t>
      </w:r>
    </w:p>
    <w:p w:rsidRPr="00F31A99" w:rsidR="00D0558E" w:rsidP="00D0558E" w:rsidRDefault="00D0558E" w14:paraId="5D06397D" w14:textId="77777777">
      <w:pPr>
        <w:jc w:val="center"/>
        <w:textAlignment w:val="baseline"/>
        <w:rPr>
          <w:rFonts w:ascii="Times New Roman" w:hAnsi="Times New Roman" w:eastAsia="Times New Roman" w:cs="Times New Roman"/>
          <w:sz w:val="24"/>
          <w:szCs w:val="24"/>
          <w:u w:color="000000"/>
          <w:lang w:eastAsia="es-CR"/>
        </w:rPr>
      </w:pPr>
      <w:r w:rsidRPr="00F31A99">
        <w:rPr>
          <w:rFonts w:ascii="Times New Roman" w:hAnsi="Times New Roman" w:eastAsia="Times New Roman" w:cs="Times New Roman"/>
          <w:sz w:val="24"/>
          <w:szCs w:val="24"/>
          <w:u w:color="000000"/>
          <w:lang w:eastAsia="es-CR"/>
        </w:rPr>
        <w:t> </w:t>
      </w:r>
    </w:p>
    <w:p w:rsidRPr="00F31A99" w:rsidR="00D0558E" w:rsidP="00D0558E" w:rsidRDefault="00D0558E" w14:paraId="52D86AEB" w14:textId="77777777">
      <w:pPr>
        <w:jc w:val="center"/>
        <w:textAlignment w:val="baseline"/>
        <w:rPr>
          <w:rFonts w:ascii="Times New Roman" w:hAnsi="Times New Roman" w:eastAsia="Times New Roman" w:cs="Times New Roman"/>
          <w:sz w:val="18"/>
          <w:szCs w:val="18"/>
          <w:u w:color="000000"/>
          <w:lang w:eastAsia="es-CR"/>
        </w:rPr>
      </w:pPr>
    </w:p>
    <w:p w:rsidRPr="00F31A99" w:rsidR="00D0558E" w:rsidP="00D0558E" w:rsidRDefault="00D0558E" w14:paraId="538A9289" w14:textId="77777777">
      <w:pPr>
        <w:autoSpaceDN w:val="0"/>
        <w:jc w:val="center"/>
        <w:rPr>
          <w:rFonts w:ascii="Times New Roman" w:hAnsi="Times New Roman" w:eastAsia="Calibri" w:cs="Times New Roman"/>
          <w:b/>
          <w:sz w:val="24"/>
          <w:szCs w:val="24"/>
          <w:u w:color="000000"/>
        </w:rPr>
      </w:pPr>
      <w:r w:rsidRPr="00F31A99">
        <w:rPr>
          <w:rFonts w:ascii="Times New Roman" w:hAnsi="Times New Roman" w:eastAsia="Calibri" w:cs="Times New Roman"/>
          <w:noProof/>
          <w:u w:color="000000"/>
        </w:rPr>
        <w:drawing>
          <wp:inline distT="0" distB="0" distL="0" distR="0" wp14:anchorId="20106D7B" wp14:editId="3144CC8B">
            <wp:extent cx="5080000" cy="4194176"/>
            <wp:effectExtent l="0" t="0" r="6350" b="15875"/>
            <wp:docPr id="91" name="Gráfico 91">
              <a:extLst xmlns:a="http://schemas.openxmlformats.org/drawingml/2006/main">
                <a:ext uri="{FF2B5EF4-FFF2-40B4-BE49-F238E27FC236}">
                  <a16:creationId xmlns:a16="http://schemas.microsoft.com/office/drawing/2014/main" id="{126FF142-A6E7-40ED-BAE2-504DE38FF7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Pr="00F31A99" w:rsidR="00D0558E" w:rsidP="00D0558E" w:rsidRDefault="00D0558E" w14:paraId="06247175" w14:textId="77777777">
      <w:pPr>
        <w:autoSpaceDN w:val="0"/>
        <w:ind w:left="1416"/>
        <w:rPr>
          <w:rFonts w:ascii="Times New Roman" w:hAnsi="Times New Roman" w:eastAsia="Calibri" w:cs="Times New Roman"/>
          <w:u w:color="000000"/>
        </w:rPr>
      </w:pPr>
      <w:r w:rsidRPr="00F31A99">
        <w:rPr>
          <w:rFonts w:ascii="Times New Roman" w:hAnsi="Times New Roman" w:eastAsia="Calibri" w:cs="Times New Roman"/>
          <w:b/>
          <w:bCs/>
          <w:u w:color="000000"/>
        </w:rPr>
        <w:t>Fuente:</w:t>
      </w:r>
      <w:r w:rsidRPr="00F31A99">
        <w:rPr>
          <w:rFonts w:ascii="Times New Roman" w:hAnsi="Times New Roman" w:eastAsia="Calibri" w:cs="Times New Roman"/>
          <w:u w:color="000000"/>
        </w:rPr>
        <w:t xml:space="preserve"> Sistema SIGA-PJ.</w:t>
      </w:r>
    </w:p>
    <w:p w:rsidRPr="00F31A99" w:rsidR="00D0558E" w:rsidP="00D0558E" w:rsidRDefault="00D0558E" w14:paraId="3F214742" w14:textId="77777777">
      <w:pPr>
        <w:autoSpaceDN w:val="0"/>
        <w:rPr>
          <w:rFonts w:ascii="Times New Roman" w:hAnsi="Times New Roman" w:eastAsia="Calibri" w:cs="Times New Roman"/>
          <w:b/>
          <w:sz w:val="24"/>
          <w:szCs w:val="24"/>
          <w:u w:color="000000"/>
        </w:rPr>
      </w:pPr>
    </w:p>
    <w:p w:rsidRPr="00F31A99" w:rsidR="00D0558E" w:rsidP="00D0558E" w:rsidRDefault="00D0558E" w14:paraId="7AB779D4"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Como lo muestra el gráfico anterior, el programa presupuestario con mayor porcentaje de recursos formulados para el 2022 en la subpartida 10301 Información, es el Programa 926 “Dirección y Administración” con un 68% (¢102.211.387) de los recursos solicitados, seguido por el 927 “Servicio Jurisdiccional” con un 31% (¢47.468.378) y finalmente el 928 “Organismo de Investigación Judicial” con un 1% (¢1.500.000). </w:t>
      </w:r>
    </w:p>
    <w:p w:rsidRPr="00F31A99" w:rsidR="00D0558E" w:rsidP="00D0558E" w:rsidRDefault="00D0558E" w14:paraId="6BC9A576" w14:textId="77777777">
      <w:pPr>
        <w:autoSpaceDN w:val="0"/>
        <w:rPr>
          <w:rFonts w:ascii="Times New Roman" w:hAnsi="Times New Roman" w:eastAsia="Calibri" w:cs="Times New Roman"/>
          <w:sz w:val="24"/>
          <w:szCs w:val="24"/>
          <w:u w:color="000000"/>
        </w:rPr>
      </w:pPr>
      <w:r w:rsidRPr="00F31A99">
        <w:rPr>
          <w:rFonts w:ascii="Times New Roman" w:hAnsi="Times New Roman" w:eastAsia="Calibri" w:cs="Times New Roman"/>
          <w:sz w:val="24"/>
          <w:szCs w:val="24"/>
          <w:u w:color="000000"/>
        </w:rPr>
        <w:br w:type="page"/>
      </w:r>
    </w:p>
    <w:p w:rsidRPr="00F31A99" w:rsidR="00D0558E" w:rsidP="00D0558E" w:rsidRDefault="00D0558E" w14:paraId="31DD8BFD" w14:textId="77777777">
      <w:pPr>
        <w:numPr>
          <w:ilvl w:val="0"/>
          <w:numId w:val="6"/>
        </w:numPr>
        <w:autoSpaceDN w:val="0"/>
        <w:ind w:left="851" w:right="851" w:firstLine="709"/>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lastRenderedPageBreak/>
        <w:t>Distribución por Centro de Responsabilidad</w:t>
      </w:r>
    </w:p>
    <w:p w:rsidRPr="00F31A99" w:rsidR="00D0558E" w:rsidP="00D0558E" w:rsidRDefault="00D0558E" w14:paraId="1B5046F3" w14:textId="77777777">
      <w:pPr>
        <w:jc w:val="both"/>
        <w:textAlignment w:val="baseline"/>
        <w:rPr>
          <w:rFonts w:ascii="Times New Roman" w:hAnsi="Times New Roman" w:eastAsia="Times New Roman" w:cs="Times New Roman"/>
          <w:sz w:val="18"/>
          <w:szCs w:val="18"/>
          <w:u w:color="000000"/>
          <w:lang w:eastAsia="es-CR"/>
        </w:rPr>
      </w:pPr>
    </w:p>
    <w:p w:rsidRPr="00F31A99" w:rsidR="00D0558E" w:rsidP="00D0558E" w:rsidRDefault="00D0558E" w14:paraId="71BE8A2D"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En la siguiente tabla se muestra la distribución, por centro de responsabilidad, de los recursos formulados para el 2022 en la subpartida 10301 Información. </w:t>
      </w:r>
    </w:p>
    <w:p w:rsidRPr="00F31A99" w:rsidR="00D0558E" w:rsidP="00D0558E" w:rsidRDefault="00D0558E" w14:paraId="35C7DF80" w14:textId="77777777">
      <w:pPr>
        <w:autoSpaceDN w:val="0"/>
        <w:rPr>
          <w:rFonts w:ascii="Times New Roman" w:hAnsi="Times New Roman" w:eastAsia="Times New Roman" w:cs="Times New Roman"/>
          <w:b/>
          <w:bCs/>
          <w:sz w:val="24"/>
          <w:szCs w:val="24"/>
          <w:u w:color="000000"/>
          <w:lang w:eastAsia="es-CR"/>
        </w:rPr>
      </w:pPr>
    </w:p>
    <w:p w:rsidRPr="00F31A99" w:rsidR="00D0558E" w:rsidP="00D0558E" w:rsidRDefault="00D0558E" w14:paraId="4FD614C8" w14:textId="77777777">
      <w:pPr>
        <w:ind w:left="851" w:right="851" w:firstLine="283"/>
        <w:jc w:val="center"/>
        <w:textAlignment w:val="baseline"/>
        <w:rPr>
          <w:rFonts w:ascii="Times New Roman" w:hAnsi="Times New Roman" w:eastAsia="Times New Roman" w:cs="Times New Roman"/>
          <w:sz w:val="24"/>
          <w:szCs w:val="24"/>
          <w:u w:color="000000"/>
          <w:lang w:eastAsia="es-CR"/>
        </w:rPr>
      </w:pPr>
      <w:r w:rsidRPr="00F31A99">
        <w:rPr>
          <w:rFonts w:ascii="Times New Roman" w:hAnsi="Times New Roman" w:eastAsia="Times New Roman" w:cs="Times New Roman"/>
          <w:b/>
          <w:sz w:val="24"/>
          <w:szCs w:val="24"/>
          <w:u w:color="000000"/>
          <w:lang w:eastAsia="es-CR"/>
        </w:rPr>
        <w:t>Tabla 4. Distribución de la Subpartida por Centro de Responsabilidad</w:t>
      </w:r>
    </w:p>
    <w:p w:rsidRPr="00F31A99" w:rsidR="00D0558E" w:rsidP="00D0558E" w:rsidRDefault="00D0558E" w14:paraId="62E809FB" w14:textId="77777777">
      <w:pPr>
        <w:ind w:left="851" w:right="851" w:firstLine="142"/>
        <w:jc w:val="center"/>
        <w:textAlignment w:val="baseline"/>
        <w:rPr>
          <w:rFonts w:ascii="Times New Roman" w:hAnsi="Times New Roman" w:eastAsia="Times New Roman" w:cs="Times New Roman"/>
          <w:sz w:val="24"/>
          <w:szCs w:val="24"/>
          <w:u w:color="000000"/>
          <w:lang w:eastAsia="es-CR"/>
        </w:rPr>
      </w:pPr>
      <w:r w:rsidRPr="00F31A99">
        <w:rPr>
          <w:rFonts w:ascii="Times New Roman" w:hAnsi="Times New Roman" w:eastAsia="Times New Roman" w:cs="Times New Roman"/>
          <w:b/>
          <w:sz w:val="24"/>
          <w:szCs w:val="24"/>
          <w:u w:color="000000"/>
          <w:lang w:eastAsia="es-CR"/>
        </w:rPr>
        <w:t>Periodo 2022</w:t>
      </w:r>
    </w:p>
    <w:p w:rsidRPr="00F31A99" w:rsidR="00D0558E" w:rsidP="00D0558E" w:rsidRDefault="00D0558E" w14:paraId="7AD3CD67" w14:textId="77777777">
      <w:pPr>
        <w:jc w:val="center"/>
        <w:textAlignment w:val="baseline"/>
        <w:rPr>
          <w:rFonts w:ascii="Times New Roman" w:hAnsi="Times New Roman" w:eastAsia="Times New Roman" w:cs="Times New Roman"/>
          <w:b/>
          <w:bCs/>
          <w:sz w:val="24"/>
          <w:szCs w:val="24"/>
          <w:u w:color="000000"/>
          <w:lang w:eastAsia="es-CR"/>
        </w:rPr>
      </w:pPr>
    </w:p>
    <w:tbl>
      <w:tblPr>
        <w:tblW w:w="8240" w:type="dxa"/>
        <w:tblCellMar>
          <w:left w:w="70" w:type="dxa"/>
          <w:right w:w="70" w:type="dxa"/>
        </w:tblCellMar>
        <w:tblLook w:val="04A0" w:firstRow="1" w:lastRow="0" w:firstColumn="1" w:lastColumn="0" w:noHBand="0" w:noVBand="1"/>
      </w:tblPr>
      <w:tblGrid>
        <w:gridCol w:w="5100"/>
        <w:gridCol w:w="1840"/>
        <w:gridCol w:w="1300"/>
      </w:tblGrid>
      <w:tr w:rsidRPr="00F31A99" w:rsidR="00AE1B2B" w:rsidTr="00983B84" w14:paraId="09E73B23" w14:textId="77777777">
        <w:trPr>
          <w:trHeight w:val="470"/>
        </w:trPr>
        <w:tc>
          <w:tcPr>
            <w:tcW w:w="5100" w:type="dxa"/>
            <w:tcBorders>
              <w:top w:val="single" w:color="auto" w:sz="4" w:space="0"/>
              <w:left w:val="single" w:color="auto" w:sz="4" w:space="0"/>
              <w:bottom w:val="single" w:color="auto" w:sz="4" w:space="0"/>
              <w:right w:val="single" w:color="auto" w:sz="4" w:space="0"/>
            </w:tcBorders>
            <w:shd w:val="clear" w:color="000000" w:fill="BFBFBF"/>
            <w:noWrap/>
            <w:vAlign w:val="center"/>
            <w:hideMark/>
          </w:tcPr>
          <w:p w:rsidRPr="00F31A99" w:rsidR="00D0558E" w:rsidP="00983B84" w:rsidRDefault="00D0558E" w14:paraId="2A7BE5D9"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Centro de Responsabilidad </w:t>
            </w:r>
          </w:p>
        </w:tc>
        <w:tc>
          <w:tcPr>
            <w:tcW w:w="1840" w:type="dxa"/>
            <w:tcBorders>
              <w:top w:val="single" w:color="auto" w:sz="4" w:space="0"/>
              <w:left w:val="nil"/>
              <w:bottom w:val="single" w:color="auto" w:sz="4" w:space="0"/>
              <w:right w:val="single" w:color="auto" w:sz="4" w:space="0"/>
            </w:tcBorders>
            <w:shd w:val="clear" w:color="000000" w:fill="BFBFBF"/>
            <w:noWrap/>
            <w:vAlign w:val="center"/>
            <w:hideMark/>
          </w:tcPr>
          <w:p w:rsidRPr="00F31A99" w:rsidR="00D0558E" w:rsidP="00983B84" w:rsidRDefault="00D0558E" w14:paraId="6E2D925E"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Formulado 2022</w:t>
            </w:r>
          </w:p>
        </w:tc>
        <w:tc>
          <w:tcPr>
            <w:tcW w:w="1300" w:type="dxa"/>
            <w:tcBorders>
              <w:top w:val="single" w:color="auto" w:sz="4" w:space="0"/>
              <w:left w:val="nil"/>
              <w:bottom w:val="single" w:color="auto" w:sz="4" w:space="0"/>
              <w:right w:val="single" w:color="auto" w:sz="4" w:space="0"/>
            </w:tcBorders>
            <w:shd w:val="clear" w:color="000000" w:fill="BFBFBF"/>
            <w:noWrap/>
            <w:vAlign w:val="center"/>
            <w:hideMark/>
          </w:tcPr>
          <w:p w:rsidRPr="00F31A99" w:rsidR="00D0558E" w:rsidP="00983B84" w:rsidRDefault="00D0558E" w14:paraId="65550680"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Porcentaje </w:t>
            </w:r>
          </w:p>
        </w:tc>
      </w:tr>
      <w:tr w:rsidRPr="00F31A99" w:rsidR="00AE1B2B" w:rsidTr="00983B84" w14:paraId="038A8458" w14:textId="77777777">
        <w:trPr>
          <w:trHeight w:val="310"/>
        </w:trPr>
        <w:tc>
          <w:tcPr>
            <w:tcW w:w="5100" w:type="dxa"/>
            <w:tcBorders>
              <w:top w:val="nil"/>
              <w:left w:val="single" w:color="auto" w:sz="4" w:space="0"/>
              <w:bottom w:val="single" w:color="auto" w:sz="4" w:space="0"/>
              <w:right w:val="single" w:color="auto" w:sz="4" w:space="0"/>
            </w:tcBorders>
            <w:shd w:val="clear" w:color="auto" w:fill="auto"/>
            <w:hideMark/>
          </w:tcPr>
          <w:p w:rsidRPr="00F31A99" w:rsidR="00D0558E" w:rsidP="00983B84" w:rsidRDefault="00D0558E" w14:paraId="06D47101" w14:textId="77777777">
            <w:pPr>
              <w:autoSpaceDN w:val="0"/>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Departamento de Prensa y Comunicación Organizacional</w:t>
            </w:r>
          </w:p>
        </w:tc>
        <w:tc>
          <w:tcPr>
            <w:tcW w:w="1840" w:type="dxa"/>
            <w:tcBorders>
              <w:top w:val="nil"/>
              <w:left w:val="nil"/>
              <w:bottom w:val="single" w:color="auto" w:sz="4" w:space="0"/>
              <w:right w:val="single" w:color="auto" w:sz="4" w:space="0"/>
            </w:tcBorders>
            <w:shd w:val="clear" w:color="auto" w:fill="auto"/>
            <w:hideMark/>
          </w:tcPr>
          <w:p w:rsidRPr="00F31A99" w:rsidR="00D0558E" w:rsidP="00983B84" w:rsidRDefault="00D0558E" w14:paraId="1EFFEB30" w14:textId="77777777">
            <w:pPr>
              <w:autoSpaceDN w:val="0"/>
              <w:jc w:val="right"/>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64 285 000,00</w:t>
            </w:r>
          </w:p>
        </w:tc>
        <w:tc>
          <w:tcPr>
            <w:tcW w:w="1300"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5AEE5046"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43%</w:t>
            </w:r>
          </w:p>
        </w:tc>
      </w:tr>
      <w:tr w:rsidRPr="00F31A99" w:rsidR="00AE1B2B" w:rsidTr="00983B84" w14:paraId="42C8AC12" w14:textId="77777777">
        <w:trPr>
          <w:trHeight w:val="290"/>
        </w:trPr>
        <w:tc>
          <w:tcPr>
            <w:tcW w:w="5100" w:type="dxa"/>
            <w:tcBorders>
              <w:top w:val="nil"/>
              <w:left w:val="single" w:color="auto" w:sz="4" w:space="0"/>
              <w:bottom w:val="single" w:color="auto" w:sz="4" w:space="0"/>
              <w:right w:val="single" w:color="auto" w:sz="4" w:space="0"/>
            </w:tcBorders>
            <w:shd w:val="clear" w:color="auto" w:fill="auto"/>
            <w:hideMark/>
          </w:tcPr>
          <w:p w:rsidRPr="00F31A99" w:rsidR="00D0558E" w:rsidP="00983B84" w:rsidRDefault="00D0558E" w14:paraId="7403E18F" w14:textId="77777777">
            <w:pPr>
              <w:autoSpaceDN w:val="0"/>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Primer Circuito Judicial San José</w:t>
            </w:r>
          </w:p>
        </w:tc>
        <w:tc>
          <w:tcPr>
            <w:tcW w:w="1840" w:type="dxa"/>
            <w:tcBorders>
              <w:top w:val="nil"/>
              <w:left w:val="nil"/>
              <w:bottom w:val="single" w:color="auto" w:sz="4" w:space="0"/>
              <w:right w:val="single" w:color="auto" w:sz="4" w:space="0"/>
            </w:tcBorders>
            <w:shd w:val="clear" w:color="auto" w:fill="auto"/>
            <w:hideMark/>
          </w:tcPr>
          <w:p w:rsidRPr="00F31A99" w:rsidR="00D0558E" w:rsidP="00983B84" w:rsidRDefault="00D0558E" w14:paraId="53F110A0" w14:textId="77777777">
            <w:pPr>
              <w:autoSpaceDN w:val="0"/>
              <w:jc w:val="right"/>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46 537 377,00</w:t>
            </w:r>
          </w:p>
        </w:tc>
        <w:tc>
          <w:tcPr>
            <w:tcW w:w="1300"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6217B6B2"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31%</w:t>
            </w:r>
          </w:p>
        </w:tc>
      </w:tr>
      <w:tr w:rsidRPr="00F31A99" w:rsidR="00AE1B2B" w:rsidTr="00983B84" w14:paraId="66677B48" w14:textId="77777777">
        <w:trPr>
          <w:trHeight w:val="290"/>
        </w:trPr>
        <w:tc>
          <w:tcPr>
            <w:tcW w:w="5100" w:type="dxa"/>
            <w:tcBorders>
              <w:top w:val="nil"/>
              <w:left w:val="single" w:color="auto" w:sz="4" w:space="0"/>
              <w:bottom w:val="single" w:color="auto" w:sz="4" w:space="0"/>
              <w:right w:val="single" w:color="auto" w:sz="4" w:space="0"/>
            </w:tcBorders>
            <w:shd w:val="clear" w:color="auto" w:fill="auto"/>
            <w:hideMark/>
          </w:tcPr>
          <w:p w:rsidRPr="00F31A99" w:rsidR="00D0558E" w:rsidP="00983B84" w:rsidRDefault="00D0558E" w14:paraId="277E0D7A" w14:textId="77777777">
            <w:pPr>
              <w:autoSpaceDN w:val="0"/>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Dirección Ejecutiva</w:t>
            </w:r>
          </w:p>
        </w:tc>
        <w:tc>
          <w:tcPr>
            <w:tcW w:w="1840" w:type="dxa"/>
            <w:tcBorders>
              <w:top w:val="nil"/>
              <w:left w:val="nil"/>
              <w:bottom w:val="single" w:color="auto" w:sz="4" w:space="0"/>
              <w:right w:val="single" w:color="auto" w:sz="4" w:space="0"/>
            </w:tcBorders>
            <w:shd w:val="clear" w:color="auto" w:fill="auto"/>
            <w:hideMark/>
          </w:tcPr>
          <w:p w:rsidRPr="00F31A99" w:rsidR="00D0558E" w:rsidP="00983B84" w:rsidRDefault="00D0558E" w14:paraId="29D7BA1E" w14:textId="77777777">
            <w:pPr>
              <w:autoSpaceDN w:val="0"/>
              <w:jc w:val="right"/>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11 624 000,00</w:t>
            </w:r>
          </w:p>
        </w:tc>
        <w:tc>
          <w:tcPr>
            <w:tcW w:w="1300"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540BDE99"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8%</w:t>
            </w:r>
          </w:p>
        </w:tc>
      </w:tr>
      <w:tr w:rsidRPr="00F31A99" w:rsidR="00AE1B2B" w:rsidTr="00983B84" w14:paraId="2586BB23" w14:textId="77777777">
        <w:trPr>
          <w:trHeight w:val="290"/>
        </w:trPr>
        <w:tc>
          <w:tcPr>
            <w:tcW w:w="5100" w:type="dxa"/>
            <w:tcBorders>
              <w:top w:val="nil"/>
              <w:left w:val="single" w:color="auto" w:sz="4" w:space="0"/>
              <w:bottom w:val="single" w:color="auto" w:sz="4" w:space="0"/>
              <w:right w:val="single" w:color="auto" w:sz="4" w:space="0"/>
            </w:tcBorders>
            <w:shd w:val="clear" w:color="auto" w:fill="auto"/>
            <w:hideMark/>
          </w:tcPr>
          <w:p w:rsidRPr="00F31A99" w:rsidR="00D0558E" w:rsidP="00983B84" w:rsidRDefault="00D0558E" w14:paraId="2AF161FC" w14:textId="77777777">
            <w:pPr>
              <w:autoSpaceDN w:val="0"/>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Secretaría de la Corte</w:t>
            </w:r>
          </w:p>
        </w:tc>
        <w:tc>
          <w:tcPr>
            <w:tcW w:w="1840" w:type="dxa"/>
            <w:tcBorders>
              <w:top w:val="nil"/>
              <w:left w:val="nil"/>
              <w:bottom w:val="single" w:color="auto" w:sz="4" w:space="0"/>
              <w:right w:val="single" w:color="auto" w:sz="4" w:space="0"/>
            </w:tcBorders>
            <w:shd w:val="clear" w:color="auto" w:fill="auto"/>
            <w:hideMark/>
          </w:tcPr>
          <w:p w:rsidRPr="00F31A99" w:rsidR="00D0558E" w:rsidP="00983B84" w:rsidRDefault="00D0558E" w14:paraId="0948B872" w14:textId="77777777">
            <w:pPr>
              <w:autoSpaceDN w:val="0"/>
              <w:jc w:val="right"/>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7 837 574,00</w:t>
            </w:r>
          </w:p>
        </w:tc>
        <w:tc>
          <w:tcPr>
            <w:tcW w:w="1300"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45D8B439"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5%</w:t>
            </w:r>
          </w:p>
        </w:tc>
      </w:tr>
      <w:tr w:rsidRPr="00F31A99" w:rsidR="00AE1B2B" w:rsidTr="00983B84" w14:paraId="5317C5F2" w14:textId="77777777">
        <w:trPr>
          <w:trHeight w:val="290"/>
        </w:trPr>
        <w:tc>
          <w:tcPr>
            <w:tcW w:w="5100" w:type="dxa"/>
            <w:tcBorders>
              <w:top w:val="nil"/>
              <w:left w:val="single" w:color="auto" w:sz="4" w:space="0"/>
              <w:bottom w:val="single" w:color="auto" w:sz="4" w:space="0"/>
              <w:right w:val="single" w:color="auto" w:sz="4" w:space="0"/>
            </w:tcBorders>
            <w:shd w:val="clear" w:color="auto" w:fill="auto"/>
            <w:hideMark/>
          </w:tcPr>
          <w:p w:rsidRPr="00F31A99" w:rsidR="00D0558E" w:rsidP="00983B84" w:rsidRDefault="00D0558E" w14:paraId="3CC5EBAE" w14:textId="77777777">
            <w:pPr>
              <w:autoSpaceDN w:val="0"/>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Secretaría Técnica de Género y Acceso a la Justicia</w:t>
            </w:r>
          </w:p>
        </w:tc>
        <w:tc>
          <w:tcPr>
            <w:tcW w:w="1840" w:type="dxa"/>
            <w:tcBorders>
              <w:top w:val="nil"/>
              <w:left w:val="nil"/>
              <w:bottom w:val="single" w:color="auto" w:sz="4" w:space="0"/>
              <w:right w:val="single" w:color="auto" w:sz="4" w:space="0"/>
            </w:tcBorders>
            <w:shd w:val="clear" w:color="auto" w:fill="auto"/>
            <w:hideMark/>
          </w:tcPr>
          <w:p w:rsidRPr="00F31A99" w:rsidR="00D0558E" w:rsidP="00983B84" w:rsidRDefault="00D0558E" w14:paraId="0FEF545F" w14:textId="77777777">
            <w:pPr>
              <w:autoSpaceDN w:val="0"/>
              <w:jc w:val="right"/>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5 711 169,00</w:t>
            </w:r>
          </w:p>
        </w:tc>
        <w:tc>
          <w:tcPr>
            <w:tcW w:w="1300"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6B847209"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4%</w:t>
            </w:r>
          </w:p>
        </w:tc>
      </w:tr>
      <w:tr w:rsidRPr="00F31A99" w:rsidR="00AE1B2B" w:rsidTr="00983B84" w14:paraId="64BC56A8" w14:textId="77777777">
        <w:trPr>
          <w:trHeight w:val="290"/>
        </w:trPr>
        <w:tc>
          <w:tcPr>
            <w:tcW w:w="5100" w:type="dxa"/>
            <w:tcBorders>
              <w:top w:val="nil"/>
              <w:left w:val="single" w:color="auto" w:sz="4" w:space="0"/>
              <w:bottom w:val="single" w:color="auto" w:sz="4" w:space="0"/>
              <w:right w:val="single" w:color="auto" w:sz="4" w:space="0"/>
            </w:tcBorders>
            <w:shd w:val="clear" w:color="auto" w:fill="auto"/>
            <w:hideMark/>
          </w:tcPr>
          <w:p w:rsidRPr="00F31A99" w:rsidR="00D0558E" w:rsidP="00983B84" w:rsidRDefault="00D0558E" w14:paraId="5211A65C" w14:textId="77777777">
            <w:pPr>
              <w:autoSpaceDN w:val="0"/>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Despacho de la Presidencia</w:t>
            </w:r>
          </w:p>
        </w:tc>
        <w:tc>
          <w:tcPr>
            <w:tcW w:w="1840" w:type="dxa"/>
            <w:tcBorders>
              <w:top w:val="nil"/>
              <w:left w:val="nil"/>
              <w:bottom w:val="single" w:color="auto" w:sz="4" w:space="0"/>
              <w:right w:val="single" w:color="auto" w:sz="4" w:space="0"/>
            </w:tcBorders>
            <w:shd w:val="clear" w:color="auto" w:fill="auto"/>
            <w:hideMark/>
          </w:tcPr>
          <w:p w:rsidRPr="00F31A99" w:rsidR="00D0558E" w:rsidP="00983B84" w:rsidRDefault="00D0558E" w14:paraId="0A280246" w14:textId="77777777">
            <w:pPr>
              <w:autoSpaceDN w:val="0"/>
              <w:jc w:val="right"/>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4 523 445,00</w:t>
            </w:r>
          </w:p>
        </w:tc>
        <w:tc>
          <w:tcPr>
            <w:tcW w:w="1300"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3BEBEBA8"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w:t>
            </w:r>
          </w:p>
        </w:tc>
      </w:tr>
      <w:tr w:rsidRPr="00F31A99" w:rsidR="00AE1B2B" w:rsidTr="00983B84" w14:paraId="7CF56AEC" w14:textId="77777777">
        <w:trPr>
          <w:trHeight w:val="290"/>
        </w:trPr>
        <w:tc>
          <w:tcPr>
            <w:tcW w:w="5100" w:type="dxa"/>
            <w:tcBorders>
              <w:top w:val="nil"/>
              <w:left w:val="single" w:color="auto" w:sz="4" w:space="0"/>
              <w:bottom w:val="single" w:color="auto" w:sz="4" w:space="0"/>
              <w:right w:val="single" w:color="auto" w:sz="4" w:space="0"/>
            </w:tcBorders>
            <w:shd w:val="clear" w:color="auto" w:fill="auto"/>
            <w:hideMark/>
          </w:tcPr>
          <w:p w:rsidRPr="00F31A99" w:rsidR="00D0558E" w:rsidP="00983B84" w:rsidRDefault="00D0558E" w14:paraId="285567F0" w14:textId="77777777">
            <w:pPr>
              <w:autoSpaceDN w:val="0"/>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Dirección Gestión Humana</w:t>
            </w:r>
          </w:p>
        </w:tc>
        <w:tc>
          <w:tcPr>
            <w:tcW w:w="1840" w:type="dxa"/>
            <w:tcBorders>
              <w:top w:val="nil"/>
              <w:left w:val="nil"/>
              <w:bottom w:val="single" w:color="auto" w:sz="4" w:space="0"/>
              <w:right w:val="single" w:color="auto" w:sz="4" w:space="0"/>
            </w:tcBorders>
            <w:shd w:val="clear" w:color="auto" w:fill="auto"/>
            <w:hideMark/>
          </w:tcPr>
          <w:p w:rsidRPr="00F31A99" w:rsidR="00D0558E" w:rsidP="00983B84" w:rsidRDefault="00D0558E" w14:paraId="6F813428" w14:textId="77777777">
            <w:pPr>
              <w:autoSpaceDN w:val="0"/>
              <w:jc w:val="right"/>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4 175 987,00</w:t>
            </w:r>
          </w:p>
        </w:tc>
        <w:tc>
          <w:tcPr>
            <w:tcW w:w="1300"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4ABAD7CB"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3%</w:t>
            </w:r>
          </w:p>
        </w:tc>
      </w:tr>
      <w:tr w:rsidRPr="00F31A99" w:rsidR="00AE1B2B" w:rsidTr="00983B84" w14:paraId="5EFB7BF3" w14:textId="77777777">
        <w:trPr>
          <w:trHeight w:val="290"/>
        </w:trPr>
        <w:tc>
          <w:tcPr>
            <w:tcW w:w="5100" w:type="dxa"/>
            <w:tcBorders>
              <w:top w:val="nil"/>
              <w:left w:val="single" w:color="auto" w:sz="4" w:space="0"/>
              <w:bottom w:val="single" w:color="auto" w:sz="4" w:space="0"/>
              <w:right w:val="single" w:color="auto" w:sz="4" w:space="0"/>
            </w:tcBorders>
            <w:shd w:val="clear" w:color="auto" w:fill="auto"/>
            <w:hideMark/>
          </w:tcPr>
          <w:p w:rsidRPr="00F31A99" w:rsidR="00D0558E" w:rsidP="00983B84" w:rsidRDefault="00D0558E" w14:paraId="6E13DA51" w14:textId="77777777">
            <w:pPr>
              <w:autoSpaceDN w:val="0"/>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Contraloría de Servicios</w:t>
            </w:r>
          </w:p>
        </w:tc>
        <w:tc>
          <w:tcPr>
            <w:tcW w:w="1840" w:type="dxa"/>
            <w:tcBorders>
              <w:top w:val="nil"/>
              <w:left w:val="nil"/>
              <w:bottom w:val="single" w:color="auto" w:sz="4" w:space="0"/>
              <w:right w:val="single" w:color="auto" w:sz="4" w:space="0"/>
            </w:tcBorders>
            <w:shd w:val="clear" w:color="auto" w:fill="auto"/>
            <w:hideMark/>
          </w:tcPr>
          <w:p w:rsidRPr="00F31A99" w:rsidR="00D0558E" w:rsidP="00983B84" w:rsidRDefault="00D0558E" w14:paraId="0AAB3590" w14:textId="77777777">
            <w:pPr>
              <w:autoSpaceDN w:val="0"/>
              <w:jc w:val="right"/>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2 460 000,00</w:t>
            </w:r>
          </w:p>
        </w:tc>
        <w:tc>
          <w:tcPr>
            <w:tcW w:w="1300"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65328A96"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2%</w:t>
            </w:r>
          </w:p>
        </w:tc>
      </w:tr>
      <w:tr w:rsidRPr="00F31A99" w:rsidR="00AE1B2B" w:rsidTr="00983B84" w14:paraId="367B35C5" w14:textId="77777777">
        <w:trPr>
          <w:trHeight w:val="290"/>
        </w:trPr>
        <w:tc>
          <w:tcPr>
            <w:tcW w:w="5100" w:type="dxa"/>
            <w:tcBorders>
              <w:top w:val="nil"/>
              <w:left w:val="single" w:color="auto" w:sz="4" w:space="0"/>
              <w:bottom w:val="single" w:color="auto" w:sz="4" w:space="0"/>
              <w:right w:val="single" w:color="auto" w:sz="4" w:space="0"/>
            </w:tcBorders>
            <w:shd w:val="clear" w:color="auto" w:fill="auto"/>
            <w:hideMark/>
          </w:tcPr>
          <w:p w:rsidRPr="00F31A99" w:rsidR="00D0558E" w:rsidP="00983B84" w:rsidRDefault="00D0558E" w14:paraId="70CF02D9" w14:textId="77777777">
            <w:pPr>
              <w:autoSpaceDN w:val="0"/>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Organismo de Investigación Judicial</w:t>
            </w:r>
          </w:p>
        </w:tc>
        <w:tc>
          <w:tcPr>
            <w:tcW w:w="1840" w:type="dxa"/>
            <w:tcBorders>
              <w:top w:val="nil"/>
              <w:left w:val="nil"/>
              <w:bottom w:val="single" w:color="auto" w:sz="4" w:space="0"/>
              <w:right w:val="single" w:color="auto" w:sz="4" w:space="0"/>
            </w:tcBorders>
            <w:shd w:val="clear" w:color="auto" w:fill="auto"/>
            <w:hideMark/>
          </w:tcPr>
          <w:p w:rsidRPr="00F31A99" w:rsidR="00D0558E" w:rsidP="00983B84" w:rsidRDefault="00D0558E" w14:paraId="50AD3C69" w14:textId="77777777">
            <w:pPr>
              <w:autoSpaceDN w:val="0"/>
              <w:jc w:val="right"/>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1 568 000,00</w:t>
            </w:r>
          </w:p>
        </w:tc>
        <w:tc>
          <w:tcPr>
            <w:tcW w:w="1300"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20F37278"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w:t>
            </w:r>
          </w:p>
        </w:tc>
      </w:tr>
      <w:tr w:rsidRPr="00F31A99" w:rsidR="00AE1B2B" w:rsidTr="00983B84" w14:paraId="67CC3AB7" w14:textId="77777777">
        <w:trPr>
          <w:trHeight w:val="290"/>
        </w:trPr>
        <w:tc>
          <w:tcPr>
            <w:tcW w:w="5100" w:type="dxa"/>
            <w:tcBorders>
              <w:top w:val="nil"/>
              <w:left w:val="single" w:color="auto" w:sz="4" w:space="0"/>
              <w:bottom w:val="single" w:color="auto" w:sz="4" w:space="0"/>
              <w:right w:val="single" w:color="auto" w:sz="4" w:space="0"/>
            </w:tcBorders>
            <w:shd w:val="clear" w:color="auto" w:fill="auto"/>
            <w:hideMark/>
          </w:tcPr>
          <w:p w:rsidRPr="00F31A99" w:rsidR="00D0558E" w:rsidP="00983B84" w:rsidRDefault="00D0558E" w14:paraId="2FCA87AE" w14:textId="77777777">
            <w:pPr>
              <w:autoSpaceDN w:val="0"/>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Comisiones Institucionales</w:t>
            </w:r>
          </w:p>
        </w:tc>
        <w:tc>
          <w:tcPr>
            <w:tcW w:w="1840" w:type="dxa"/>
            <w:tcBorders>
              <w:top w:val="nil"/>
              <w:left w:val="nil"/>
              <w:bottom w:val="single" w:color="auto" w:sz="4" w:space="0"/>
              <w:right w:val="single" w:color="auto" w:sz="4" w:space="0"/>
            </w:tcBorders>
            <w:shd w:val="clear" w:color="auto" w:fill="auto"/>
            <w:hideMark/>
          </w:tcPr>
          <w:p w:rsidRPr="00F31A99" w:rsidR="00D0558E" w:rsidP="00983B84" w:rsidRDefault="00D0558E" w14:paraId="07C3F222" w14:textId="77777777">
            <w:pPr>
              <w:autoSpaceDN w:val="0"/>
              <w:jc w:val="right"/>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976 190,00</w:t>
            </w:r>
          </w:p>
        </w:tc>
        <w:tc>
          <w:tcPr>
            <w:tcW w:w="1300"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032CC69E"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w:t>
            </w:r>
          </w:p>
        </w:tc>
      </w:tr>
      <w:tr w:rsidRPr="00F31A99" w:rsidR="00AE1B2B" w:rsidTr="00983B84" w14:paraId="254B81C0" w14:textId="77777777">
        <w:trPr>
          <w:trHeight w:val="290"/>
        </w:trPr>
        <w:tc>
          <w:tcPr>
            <w:tcW w:w="5100" w:type="dxa"/>
            <w:tcBorders>
              <w:top w:val="nil"/>
              <w:left w:val="single" w:color="auto" w:sz="4" w:space="0"/>
              <w:bottom w:val="single" w:color="auto" w:sz="4" w:space="0"/>
              <w:right w:val="single" w:color="auto" w:sz="4" w:space="0"/>
            </w:tcBorders>
            <w:shd w:val="clear" w:color="auto" w:fill="auto"/>
            <w:hideMark/>
          </w:tcPr>
          <w:p w:rsidRPr="00F31A99" w:rsidR="00D0558E" w:rsidP="00983B84" w:rsidRDefault="00D0558E" w14:paraId="20F57BD7" w14:textId="77777777">
            <w:pPr>
              <w:autoSpaceDN w:val="0"/>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Salas</w:t>
            </w:r>
          </w:p>
        </w:tc>
        <w:tc>
          <w:tcPr>
            <w:tcW w:w="1840" w:type="dxa"/>
            <w:tcBorders>
              <w:top w:val="nil"/>
              <w:left w:val="nil"/>
              <w:bottom w:val="single" w:color="auto" w:sz="4" w:space="0"/>
              <w:right w:val="single" w:color="auto" w:sz="4" w:space="0"/>
            </w:tcBorders>
            <w:shd w:val="clear" w:color="auto" w:fill="auto"/>
            <w:hideMark/>
          </w:tcPr>
          <w:p w:rsidRPr="00F31A99" w:rsidR="00D0558E" w:rsidP="00983B84" w:rsidRDefault="00D0558E" w14:paraId="049CAD2B" w14:textId="77777777">
            <w:pPr>
              <w:autoSpaceDN w:val="0"/>
              <w:jc w:val="right"/>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931 000,00</w:t>
            </w:r>
          </w:p>
        </w:tc>
        <w:tc>
          <w:tcPr>
            <w:tcW w:w="1300"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09ABF7BB"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1%</w:t>
            </w:r>
          </w:p>
        </w:tc>
      </w:tr>
      <w:tr w:rsidRPr="00F31A99" w:rsidR="00AE1B2B" w:rsidTr="00983B84" w14:paraId="243A571B" w14:textId="77777777">
        <w:trPr>
          <w:trHeight w:val="290"/>
        </w:trPr>
        <w:tc>
          <w:tcPr>
            <w:tcW w:w="5100" w:type="dxa"/>
            <w:tcBorders>
              <w:top w:val="nil"/>
              <w:left w:val="single" w:color="auto" w:sz="4" w:space="0"/>
              <w:bottom w:val="single" w:color="auto" w:sz="4" w:space="0"/>
              <w:right w:val="single" w:color="auto" w:sz="4" w:space="0"/>
            </w:tcBorders>
            <w:shd w:val="clear" w:color="auto" w:fill="auto"/>
            <w:hideMark/>
          </w:tcPr>
          <w:p w:rsidRPr="00F31A99" w:rsidR="00D0558E" w:rsidP="00983B84" w:rsidRDefault="00D0558E" w14:paraId="5CBD5ACC" w14:textId="77777777">
            <w:pPr>
              <w:autoSpaceDN w:val="0"/>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Escuela Judicial</w:t>
            </w:r>
          </w:p>
        </w:tc>
        <w:tc>
          <w:tcPr>
            <w:tcW w:w="1840" w:type="dxa"/>
            <w:tcBorders>
              <w:top w:val="nil"/>
              <w:left w:val="nil"/>
              <w:bottom w:val="single" w:color="auto" w:sz="4" w:space="0"/>
              <w:right w:val="single" w:color="auto" w:sz="4" w:space="0"/>
            </w:tcBorders>
            <w:shd w:val="clear" w:color="auto" w:fill="auto"/>
            <w:hideMark/>
          </w:tcPr>
          <w:p w:rsidRPr="00F31A99" w:rsidR="00D0558E" w:rsidP="00983B84" w:rsidRDefault="00D0558E" w14:paraId="675118DA" w14:textId="77777777">
            <w:pPr>
              <w:autoSpaceDN w:val="0"/>
              <w:jc w:val="right"/>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520 022,00</w:t>
            </w:r>
          </w:p>
        </w:tc>
        <w:tc>
          <w:tcPr>
            <w:tcW w:w="1300"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2D334DBF"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0,34%</w:t>
            </w:r>
          </w:p>
        </w:tc>
      </w:tr>
      <w:tr w:rsidRPr="00F31A99" w:rsidR="00AE1B2B" w:rsidTr="00983B84" w14:paraId="2CD33A58" w14:textId="77777777">
        <w:trPr>
          <w:trHeight w:val="290"/>
        </w:trPr>
        <w:tc>
          <w:tcPr>
            <w:tcW w:w="5100" w:type="dxa"/>
            <w:tcBorders>
              <w:top w:val="nil"/>
              <w:left w:val="single" w:color="auto" w:sz="4" w:space="0"/>
              <w:bottom w:val="single" w:color="auto" w:sz="4" w:space="0"/>
              <w:right w:val="single" w:color="auto" w:sz="4" w:space="0"/>
            </w:tcBorders>
            <w:shd w:val="clear" w:color="auto" w:fill="auto"/>
            <w:hideMark/>
          </w:tcPr>
          <w:p w:rsidRPr="00F31A99" w:rsidR="00D0558E" w:rsidP="00983B84" w:rsidRDefault="00D0558E" w14:paraId="6D2C5B8E" w14:textId="77777777">
            <w:pPr>
              <w:autoSpaceDN w:val="0"/>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Dirección Jurídica</w:t>
            </w:r>
          </w:p>
        </w:tc>
        <w:tc>
          <w:tcPr>
            <w:tcW w:w="1840" w:type="dxa"/>
            <w:tcBorders>
              <w:top w:val="nil"/>
              <w:left w:val="nil"/>
              <w:bottom w:val="single" w:color="auto" w:sz="4" w:space="0"/>
              <w:right w:val="single" w:color="auto" w:sz="4" w:space="0"/>
            </w:tcBorders>
            <w:shd w:val="clear" w:color="auto" w:fill="auto"/>
            <w:hideMark/>
          </w:tcPr>
          <w:p w:rsidRPr="00F31A99" w:rsidR="00D0558E" w:rsidP="00983B84" w:rsidRDefault="00D0558E" w14:paraId="59C151FE" w14:textId="77777777">
            <w:pPr>
              <w:autoSpaceDN w:val="0"/>
              <w:jc w:val="right"/>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98 000,00</w:t>
            </w:r>
          </w:p>
        </w:tc>
        <w:tc>
          <w:tcPr>
            <w:tcW w:w="1300" w:type="dxa"/>
            <w:tcBorders>
              <w:top w:val="nil"/>
              <w:left w:val="nil"/>
              <w:bottom w:val="single" w:color="auto" w:sz="4" w:space="0"/>
              <w:right w:val="single" w:color="auto" w:sz="4" w:space="0"/>
            </w:tcBorders>
            <w:shd w:val="clear" w:color="auto" w:fill="auto"/>
            <w:noWrap/>
            <w:vAlign w:val="bottom"/>
            <w:hideMark/>
          </w:tcPr>
          <w:p w:rsidRPr="00F31A99" w:rsidR="00D0558E" w:rsidP="00983B84" w:rsidRDefault="00D0558E" w14:paraId="68735D67"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0,06%</w:t>
            </w:r>
          </w:p>
        </w:tc>
      </w:tr>
      <w:tr w:rsidRPr="00F31A99" w:rsidR="00AE1B2B" w:rsidTr="00983B84" w14:paraId="1860DAFF" w14:textId="77777777">
        <w:trPr>
          <w:trHeight w:val="480"/>
        </w:trPr>
        <w:tc>
          <w:tcPr>
            <w:tcW w:w="5100" w:type="dxa"/>
            <w:tcBorders>
              <w:top w:val="nil"/>
              <w:left w:val="single" w:color="auto" w:sz="4" w:space="0"/>
              <w:bottom w:val="single" w:color="auto" w:sz="4" w:space="0"/>
              <w:right w:val="single" w:color="auto" w:sz="4" w:space="0"/>
            </w:tcBorders>
            <w:shd w:val="clear" w:color="000000" w:fill="244062"/>
            <w:noWrap/>
            <w:vAlign w:val="center"/>
            <w:hideMark/>
          </w:tcPr>
          <w:p w:rsidRPr="00F31A99" w:rsidR="00D0558E" w:rsidP="00983B84" w:rsidRDefault="00D0558E" w14:paraId="3E721A76"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Total</w:t>
            </w:r>
          </w:p>
        </w:tc>
        <w:tc>
          <w:tcPr>
            <w:tcW w:w="1840" w:type="dxa"/>
            <w:tcBorders>
              <w:top w:val="nil"/>
              <w:left w:val="nil"/>
              <w:bottom w:val="single" w:color="auto" w:sz="4" w:space="0"/>
              <w:right w:val="single" w:color="auto" w:sz="4" w:space="0"/>
            </w:tcBorders>
            <w:shd w:val="clear" w:color="000000" w:fill="244062"/>
            <w:noWrap/>
            <w:vAlign w:val="center"/>
            <w:hideMark/>
          </w:tcPr>
          <w:p w:rsidRPr="00F31A99" w:rsidR="00D0558E" w:rsidP="00983B84" w:rsidRDefault="00D0558E" w14:paraId="3A6DE833"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 xml:space="preserve"> 151 247 764 </w:t>
            </w:r>
          </w:p>
        </w:tc>
        <w:tc>
          <w:tcPr>
            <w:tcW w:w="1300" w:type="dxa"/>
            <w:tcBorders>
              <w:top w:val="nil"/>
              <w:left w:val="nil"/>
              <w:bottom w:val="single" w:color="auto" w:sz="4" w:space="0"/>
              <w:right w:val="single" w:color="auto" w:sz="4" w:space="0"/>
            </w:tcBorders>
            <w:shd w:val="clear" w:color="000000" w:fill="244062"/>
            <w:noWrap/>
            <w:vAlign w:val="center"/>
            <w:hideMark/>
          </w:tcPr>
          <w:p w:rsidRPr="00F31A99" w:rsidR="00D0558E" w:rsidP="00983B84" w:rsidRDefault="00D0558E" w14:paraId="2571C35F" w14:textId="77777777">
            <w:pPr>
              <w:autoSpaceDN w:val="0"/>
              <w:jc w:val="center"/>
              <w:rPr>
                <w:rFonts w:ascii="Times New Roman" w:hAnsi="Times New Roman" w:eastAsia="Times New Roman" w:cs="Times New Roman"/>
                <w:b/>
                <w:bCs/>
                <w:u w:color="000000"/>
                <w:lang w:eastAsia="es-CR"/>
              </w:rPr>
            </w:pPr>
            <w:r w:rsidRPr="00F31A99">
              <w:rPr>
                <w:rFonts w:ascii="Times New Roman" w:hAnsi="Times New Roman" w:eastAsia="Times New Roman" w:cs="Times New Roman"/>
                <w:b/>
                <w:bCs/>
                <w:u w:color="000000"/>
                <w:lang w:eastAsia="es-CR"/>
              </w:rPr>
              <w:t>100%</w:t>
            </w:r>
          </w:p>
        </w:tc>
      </w:tr>
    </w:tbl>
    <w:p w:rsidRPr="00F31A99" w:rsidR="00D0558E" w:rsidP="00D0558E" w:rsidRDefault="00D0558E" w14:paraId="56BE270D"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57ED0353" w14:textId="77777777">
      <w:pPr>
        <w:autoSpaceDN w:val="0"/>
        <w:rPr>
          <w:rFonts w:ascii="Times New Roman" w:hAnsi="Times New Roman" w:eastAsia="Calibri" w:cs="Times New Roman"/>
          <w:u w:color="000000"/>
        </w:rPr>
      </w:pPr>
      <w:r w:rsidRPr="00F31A99">
        <w:rPr>
          <w:rFonts w:ascii="Times New Roman" w:hAnsi="Times New Roman" w:eastAsia="Calibri" w:cs="Times New Roman"/>
          <w:b/>
          <w:bCs/>
          <w:u w:color="000000"/>
        </w:rPr>
        <w:t>Fuente:</w:t>
      </w:r>
      <w:r w:rsidRPr="00F31A99">
        <w:rPr>
          <w:rFonts w:ascii="Times New Roman" w:hAnsi="Times New Roman" w:eastAsia="Calibri" w:cs="Times New Roman"/>
          <w:u w:color="000000"/>
        </w:rPr>
        <w:t xml:space="preserve"> Sistema SIGA-PJ.</w:t>
      </w:r>
    </w:p>
    <w:p w:rsidRPr="00F31A99" w:rsidR="00D0558E" w:rsidP="00D0558E" w:rsidRDefault="00D0558E" w14:paraId="3AA56CAE"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77472DC4"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00B3C140"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En la tabla anterior se observa que la mayor parte de los recursos solicitados en esta subpartida se concentran en el Departamento de Prensa y Comunicación Organizacional para atender divulgaciones diversas y en el Primer Circuito Judicial, específicamente en el Juzgado Transito, para atender las publicaciones de los edictos de Tránsito. Estos 2 centros de responsabilidad asumen el 73% de los recursos solicitados para el 2022. </w:t>
      </w:r>
    </w:p>
    <w:p w:rsidRPr="00F31A99" w:rsidR="00D0558E" w:rsidP="00D0558E" w:rsidRDefault="00D0558E" w14:paraId="0B097045" w14:textId="77777777">
      <w:pPr>
        <w:autoSpaceDN w:val="0"/>
        <w:rPr>
          <w:rFonts w:ascii="Times New Roman" w:hAnsi="Times New Roman" w:eastAsia="Calibri" w:cs="Times New Roman"/>
          <w:sz w:val="24"/>
          <w:szCs w:val="24"/>
          <w:u w:color="000000"/>
        </w:rPr>
      </w:pPr>
      <w:r w:rsidRPr="00F31A99">
        <w:rPr>
          <w:rFonts w:ascii="Times New Roman" w:hAnsi="Times New Roman" w:eastAsia="Calibri" w:cs="Times New Roman"/>
          <w:sz w:val="24"/>
          <w:szCs w:val="24"/>
          <w:u w:color="000000"/>
        </w:rPr>
        <w:br w:type="page"/>
      </w:r>
    </w:p>
    <w:p w:rsidRPr="00F31A99" w:rsidR="00D0558E" w:rsidP="00D0558E" w:rsidRDefault="00D0558E" w14:paraId="0424CD81"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lastRenderedPageBreak/>
        <w:t>En el caso de la Contraloría de Servicios se solicita la suma de ¢2.460.000, para contratar una empresa que brinde servicios de información en la oficina de Heredia, a través de un pantalla digital con características de uso intuitivo, que permite y facilita la manipulación por parte de las personas usuarias y mejora el acceso a los servicios institucionales que se brindan en el Circuito, como por ejemplo denuncias, ubicación de edificios de la periferia, teléfonos, entre otros.). Lo anterior, según indicó la Licda. Katherine Madrigal Olivares, Contralora de Servicios de Heredia, se justifica en el hecho de la gran cantidad de quejas de las personas usuarias, quienes manifiestan tener dificultades para identificar la ubicación de las oficinas y servicios, en vista de la dispersión de las oficinas y despachos en la zona.</w:t>
      </w:r>
    </w:p>
    <w:p w:rsidRPr="00F31A99" w:rsidR="00D0558E" w:rsidP="00D0558E" w:rsidRDefault="00D0558E" w14:paraId="12EC82F4" w14:textId="77777777">
      <w:pPr>
        <w:autoSpaceDN w:val="0"/>
        <w:ind w:left="851" w:right="851" w:firstLine="431"/>
        <w:jc w:val="both"/>
        <w:rPr>
          <w:rFonts w:ascii="Times New Roman" w:hAnsi="Times New Roman" w:eastAsia="Calibri" w:cs="Times New Roman"/>
          <w:bCs/>
          <w:sz w:val="26"/>
          <w:szCs w:val="26"/>
          <w:u w:color="000000"/>
        </w:rPr>
      </w:pPr>
    </w:p>
    <w:p w:rsidRPr="00F31A99" w:rsidR="00D0558E" w:rsidP="00D0558E" w:rsidRDefault="00D0558E" w14:paraId="16688580"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La Sala Primera solicita recursos para atender la publicación de reseñas en las acciones de inconstitucionalidad ordenadas por la Sala Constitucional.</w:t>
      </w:r>
    </w:p>
    <w:p w:rsidRPr="00F31A99" w:rsidR="00D0558E" w:rsidP="00D0558E" w:rsidRDefault="00D0558E" w14:paraId="42D639D5" w14:textId="77777777">
      <w:pPr>
        <w:autoSpaceDN w:val="0"/>
        <w:ind w:left="851" w:right="851" w:firstLine="431"/>
        <w:jc w:val="both"/>
        <w:rPr>
          <w:rFonts w:ascii="Times New Roman" w:hAnsi="Times New Roman" w:eastAsia="Calibri" w:cs="Times New Roman"/>
          <w:bCs/>
          <w:sz w:val="26"/>
          <w:szCs w:val="26"/>
          <w:u w:color="000000"/>
        </w:rPr>
      </w:pPr>
    </w:p>
    <w:p w:rsidRPr="00F31A99" w:rsidR="00D0558E" w:rsidP="00D0558E" w:rsidRDefault="00D0558E" w14:paraId="2F7576A9"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Por su parte la Comisión de Género solicita recursos para atender las divulgaciones en los medios de comunicación sobre los productos con información del Poder Judicial en temas de género que la población y personas usuarias necesitan conocer. </w:t>
      </w:r>
    </w:p>
    <w:p w:rsidRPr="00F31A99" w:rsidR="00D0558E" w:rsidP="00D0558E" w:rsidRDefault="00D0558E" w14:paraId="4855FE1F" w14:textId="77777777">
      <w:pPr>
        <w:autoSpaceDN w:val="0"/>
        <w:ind w:left="851" w:right="851" w:firstLine="431"/>
        <w:jc w:val="both"/>
        <w:rPr>
          <w:rFonts w:ascii="Times New Roman" w:hAnsi="Times New Roman" w:eastAsia="Calibri" w:cs="Times New Roman"/>
          <w:bCs/>
          <w:sz w:val="26"/>
          <w:szCs w:val="26"/>
          <w:u w:color="000000"/>
        </w:rPr>
      </w:pPr>
    </w:p>
    <w:p w:rsidRPr="00F31A99" w:rsidR="00D0558E" w:rsidP="00D0558E" w:rsidRDefault="00D0558E" w14:paraId="2602C51A" w14:textId="77777777">
      <w:pPr>
        <w:autoSpaceDN w:val="0"/>
        <w:spacing w:line="360" w:lineRule="auto"/>
        <w:ind w:right="-851"/>
        <w:jc w:val="both"/>
        <w:rPr>
          <w:rFonts w:ascii="Times New Roman" w:hAnsi="Times New Roman" w:eastAsia="Calibri" w:cs="Times New Roman"/>
          <w:sz w:val="24"/>
          <w:szCs w:val="24"/>
          <w:u w:color="000000"/>
        </w:rPr>
      </w:pPr>
    </w:p>
    <w:p w:rsidRPr="00F31A99" w:rsidR="00D0558E" w:rsidP="00D0558E" w:rsidRDefault="00D0558E" w14:paraId="5350481E" w14:textId="77777777">
      <w:pPr>
        <w:autoSpaceDN w:val="0"/>
        <w:rPr>
          <w:rFonts w:ascii="Times New Roman" w:hAnsi="Times New Roman" w:eastAsia="Calibri" w:cs="Times New Roman"/>
          <w:sz w:val="24"/>
          <w:szCs w:val="24"/>
          <w:u w:color="000000"/>
        </w:rPr>
      </w:pPr>
      <w:r w:rsidRPr="00F31A99">
        <w:rPr>
          <w:rFonts w:ascii="Times New Roman" w:hAnsi="Times New Roman" w:eastAsia="Calibri" w:cs="Times New Roman"/>
          <w:sz w:val="24"/>
          <w:szCs w:val="24"/>
          <w:u w:color="000000"/>
        </w:rPr>
        <w:br w:type="page"/>
      </w:r>
    </w:p>
    <w:p w:rsidRPr="00F31A99" w:rsidR="00D0558E" w:rsidP="00D0558E" w:rsidRDefault="00D0558E" w14:paraId="49EB804A" w14:textId="77777777">
      <w:pPr>
        <w:autoSpaceDN w:val="0"/>
        <w:spacing w:line="360" w:lineRule="auto"/>
        <w:jc w:val="both"/>
        <w:rPr>
          <w:rFonts w:ascii="Times New Roman" w:hAnsi="Times New Roman" w:eastAsia="Calibri" w:cs="Times New Roman"/>
          <w:b/>
          <w:bCs/>
          <w:i/>
          <w:iCs/>
          <w:sz w:val="24"/>
          <w:szCs w:val="24"/>
          <w:u w:color="000000"/>
        </w:rPr>
      </w:pPr>
    </w:p>
    <w:p w:rsidRPr="00F31A99" w:rsidR="00D0558E" w:rsidP="00D0558E" w:rsidRDefault="00D0558E" w14:paraId="6AA5651B"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u w:color="000000"/>
        </w:rPr>
        <w:t xml:space="preserve"> </w:t>
      </w:r>
      <w:r w:rsidRPr="00F31A99">
        <w:rPr>
          <w:rFonts w:ascii="Times New Roman" w:hAnsi="Times New Roman" w:eastAsia="Calibri" w:cs="Times New Roman"/>
          <w:bCs/>
          <w:sz w:val="26"/>
          <w:szCs w:val="26"/>
          <w:u w:color="000000"/>
        </w:rPr>
        <w:t xml:space="preserve">Requerimientos Adicionales: </w:t>
      </w:r>
    </w:p>
    <w:p w:rsidRPr="00F31A99" w:rsidR="00D0558E" w:rsidP="00D0558E" w:rsidRDefault="00D0558E" w14:paraId="6624AEEC" w14:textId="77777777">
      <w:pPr>
        <w:autoSpaceDN w:val="0"/>
        <w:ind w:left="851" w:right="851" w:firstLine="431"/>
        <w:jc w:val="both"/>
        <w:rPr>
          <w:rFonts w:ascii="Times New Roman" w:hAnsi="Times New Roman" w:eastAsia="Calibri" w:cs="Times New Roman"/>
          <w:bCs/>
          <w:sz w:val="26"/>
          <w:szCs w:val="26"/>
          <w:u w:color="000000"/>
        </w:rPr>
      </w:pPr>
    </w:p>
    <w:p w:rsidRPr="00F31A99" w:rsidR="00D0558E" w:rsidP="00D0558E" w:rsidRDefault="00D0558E" w14:paraId="28578614"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La Dirección Jurídica solicita incluir como requerimientos adicionales la suma de ¢202.000, para atender tres publicaciones en el diario oficial La Gaceta, publicación mínima para los procedimientos administrativos cobratorios, en donde no es posible la notificación personal por no poder ubicar a la persona. La Ley General de la Administración Pública, artículo N° 241, inciso 4, establece dichas publicaciones y no posibilita la publicación por otros medios, de lo contrario estaría sujeto a nulidad. </w:t>
      </w:r>
    </w:p>
    <w:p w:rsidRPr="00F31A99" w:rsidR="00D0558E" w:rsidP="00D0558E" w:rsidRDefault="00D0558E" w14:paraId="40BF67C9"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Para el 2021 la Dirección Jurídica formuló en esta subpartida la suma de ¢98.000 y requiere para 2022 la suma de ¢300.000. Señala que para el 2020 y 2021 se presupuestaron montos menores a los que están solicitando para el 2022 y que esto generó y va a generar, problemas en caso de darse la necesidad de una notificación personal. </w:t>
      </w:r>
    </w:p>
    <w:p w:rsidRPr="00F31A99" w:rsidR="00D0558E" w:rsidP="00D0558E" w:rsidRDefault="00D0558E" w14:paraId="09FD5E8B"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 Es importante indicar que estos recursos no se incluyen dentro de la formulación presupuestaria, debido a que están regulados por medio de las Directrices Técnicas de Formulación Presupuestaria 2022 en el Ítem 45 donde se indica que, el monto formulado en esta subpartida debe ser igual o menor al monto aprobado para el 2021; sin embargo, considerando la inclusión de estos recursos, la Dirección Jurídica cumple con lo acordado por Corte Plena, en la sesión del pasado 11 de enero del año en curso, donde se aprobó que para el Anteproyecto de Presupuesto del 2022 se formulará un -4% del monto aprobado para el 2021, respetando los montos asignados de gasto corriente (partidas 0, 1, 2, 6 y 9) y gasto de capital (partidas 5 y 7). </w:t>
      </w:r>
    </w:p>
    <w:p w:rsidRPr="00F31A99" w:rsidR="00D0558E" w:rsidP="00D0558E" w:rsidRDefault="00D0558E" w14:paraId="5820A9C6"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A nivel de Centro de Responsabilidad cumple con lo acordado por Corte Plena ya que decrece en 5.84%, de incluir los ¢202.000, decrecería en 4.14%. </w:t>
      </w:r>
    </w:p>
    <w:p w:rsidRPr="00F31A99" w:rsidR="00D0558E" w:rsidP="00D0558E" w:rsidRDefault="00D0558E" w14:paraId="781E025E" w14:textId="77777777">
      <w:pPr>
        <w:autoSpaceDN w:val="0"/>
        <w:ind w:left="851" w:right="851" w:firstLine="431"/>
        <w:jc w:val="both"/>
        <w:rPr>
          <w:rFonts w:ascii="Times New Roman" w:hAnsi="Times New Roman" w:eastAsia="Calibri" w:cs="Times New Roman"/>
          <w:bCs/>
          <w:sz w:val="26"/>
          <w:szCs w:val="26"/>
          <w:u w:color="000000"/>
        </w:rPr>
      </w:pPr>
    </w:p>
    <w:p w:rsidRPr="00F31A99" w:rsidR="00D0558E" w:rsidP="00D0558E" w:rsidRDefault="00D0558E" w14:paraId="324DD080" w14:textId="77777777">
      <w:pPr>
        <w:autoSpaceDN w:val="0"/>
        <w:rPr>
          <w:rFonts w:ascii="Times New Roman" w:hAnsi="Times New Roman" w:eastAsia="Calibri" w:cs="Times New Roman"/>
          <w:b/>
          <w:sz w:val="24"/>
          <w:szCs w:val="24"/>
          <w:u w:color="000000"/>
        </w:rPr>
      </w:pPr>
    </w:p>
    <w:p w:rsidRPr="00F31A99" w:rsidR="00D0558E" w:rsidP="00D0558E" w:rsidRDefault="00D0558E" w14:paraId="6E449E2E" w14:textId="77777777">
      <w:pPr>
        <w:autoSpaceDN w:val="0"/>
        <w:rPr>
          <w:rFonts w:ascii="Times New Roman" w:hAnsi="Times New Roman" w:eastAsia="Calibri" w:cs="Times New Roman"/>
          <w:b/>
          <w:sz w:val="24"/>
          <w:szCs w:val="24"/>
          <w:u w:color="000000"/>
        </w:rPr>
      </w:pPr>
    </w:p>
    <w:p w:rsidRPr="00F31A99" w:rsidR="00D0558E" w:rsidP="00D0558E" w:rsidRDefault="00D0558E" w14:paraId="59754930" w14:textId="77777777">
      <w:pPr>
        <w:autoSpaceDN w:val="0"/>
        <w:rPr>
          <w:rFonts w:ascii="Times New Roman" w:hAnsi="Times New Roman" w:eastAsia="Calibri" w:cs="Times New Roman"/>
          <w:b/>
          <w:sz w:val="24"/>
          <w:szCs w:val="24"/>
          <w:u w:color="000000"/>
        </w:rPr>
      </w:pPr>
    </w:p>
    <w:p w:rsidRPr="00F31A99" w:rsidR="00D0558E" w:rsidP="00D0558E" w:rsidRDefault="00D0558E" w14:paraId="0385A7A8" w14:textId="77777777">
      <w:pPr>
        <w:autoSpaceDN w:val="0"/>
        <w:rPr>
          <w:rFonts w:ascii="Times New Roman" w:hAnsi="Times New Roman" w:eastAsia="Calibri" w:cs="Times New Roman"/>
          <w:b/>
          <w:sz w:val="24"/>
          <w:szCs w:val="24"/>
          <w:u w:color="000000"/>
        </w:rPr>
      </w:pPr>
    </w:p>
    <w:p w:rsidRPr="00F31A99" w:rsidR="00D0558E" w:rsidP="00D0558E" w:rsidRDefault="00D0558E" w14:paraId="397D9D1E" w14:textId="77777777">
      <w:pPr>
        <w:autoSpaceDN w:val="0"/>
        <w:rPr>
          <w:rFonts w:ascii="Times New Roman" w:hAnsi="Times New Roman" w:eastAsia="Calibri" w:cs="Times New Roman"/>
          <w:b/>
          <w:sz w:val="24"/>
          <w:szCs w:val="24"/>
          <w:u w:color="000000"/>
        </w:rPr>
      </w:pPr>
    </w:p>
    <w:p w:rsidRPr="00F31A99" w:rsidR="00D0558E" w:rsidP="00D0558E" w:rsidRDefault="00D0558E" w14:paraId="23014D82" w14:textId="77777777">
      <w:pPr>
        <w:shd w:val="clear" w:color="auto" w:fill="2F5496"/>
        <w:autoSpaceDN w:val="0"/>
        <w:ind w:left="426"/>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Subpartida 1.03.02 Publicidad y Propaganda</w:t>
      </w:r>
    </w:p>
    <w:p w:rsidRPr="00F31A99" w:rsidR="00D0558E" w:rsidP="00D0558E" w:rsidRDefault="00D0558E" w14:paraId="04074441" w14:textId="77777777">
      <w:pPr>
        <w:autoSpaceDN w:val="0"/>
        <w:rPr>
          <w:rFonts w:ascii="Times New Roman" w:hAnsi="Times New Roman" w:eastAsia="Calibri" w:cs="Times New Roman"/>
          <w:b/>
          <w:sz w:val="24"/>
          <w:szCs w:val="24"/>
          <w:u w:color="000000"/>
        </w:rPr>
      </w:pPr>
    </w:p>
    <w:p w:rsidRPr="00F31A99" w:rsidR="00D0558E" w:rsidP="00D0558E" w:rsidRDefault="00D0558E" w14:paraId="25D224CB"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Comportamiento Histórico de la Subpartida</w:t>
      </w:r>
    </w:p>
    <w:p w:rsidRPr="00F31A99" w:rsidR="00D0558E" w:rsidP="00D0558E" w:rsidRDefault="00D0558E" w14:paraId="09DA358C" w14:textId="77777777">
      <w:pPr>
        <w:autoSpaceDN w:val="0"/>
        <w:ind w:left="851" w:right="851" w:firstLine="431"/>
        <w:jc w:val="both"/>
        <w:rPr>
          <w:rFonts w:ascii="Times New Roman" w:hAnsi="Times New Roman" w:eastAsia="Calibri" w:cs="Times New Roman"/>
          <w:bCs/>
          <w:sz w:val="26"/>
          <w:szCs w:val="26"/>
          <w:u w:color="000000"/>
        </w:rPr>
      </w:pPr>
    </w:p>
    <w:p w:rsidRPr="00F31A99" w:rsidR="00D0558E" w:rsidP="00D0558E" w:rsidRDefault="00D0558E" w14:paraId="1344FF5F"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Los recursos formulados en la subpartida 10302 Publicidad y Propaganda son requeridos para servicios de publicidad para la </w:t>
      </w:r>
      <w:r w:rsidRPr="00F31A99">
        <w:rPr>
          <w:rFonts w:ascii="Times New Roman" w:hAnsi="Times New Roman" w:eastAsia="Calibri" w:cs="Times New Roman"/>
          <w:bCs/>
          <w:sz w:val="26"/>
          <w:szCs w:val="26"/>
          <w:u w:color="000000"/>
        </w:rPr>
        <w:lastRenderedPageBreak/>
        <w:t>producción y publicación de anuncios, cuñas, avisos, producciones audiovisuales, entre otros. Se incluyen recursos para la divulgación de los servicios del Observatorio de Violencia de Género Contra las Mujeres y Acceso a la Justicia, para el Centro de Gestión de la Calidad y para el Departamento de Prensa y Comunicación Organizacional por servicios de publicación e información a través de medios de comunicación masiva, escritos, radiales, audiovisuales, entre otros.</w:t>
      </w:r>
    </w:p>
    <w:p w:rsidRPr="00F31A99" w:rsidR="00D0558E" w:rsidP="00D0558E" w:rsidRDefault="00D0558E" w14:paraId="5905AC3D" w14:textId="77777777">
      <w:pPr>
        <w:autoSpaceDN w:val="0"/>
        <w:ind w:left="851" w:right="851" w:firstLine="431"/>
        <w:jc w:val="both"/>
        <w:rPr>
          <w:rFonts w:ascii="Times New Roman" w:hAnsi="Times New Roman" w:eastAsia="Calibri" w:cs="Times New Roman"/>
          <w:bCs/>
          <w:sz w:val="26"/>
          <w:szCs w:val="26"/>
          <w:u w:color="000000"/>
        </w:rPr>
      </w:pPr>
    </w:p>
    <w:p w:rsidRPr="00F31A99" w:rsidR="00D0558E" w:rsidP="00D0558E" w:rsidRDefault="00D0558E" w14:paraId="49AD7A00"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Es importante recalcar que, aunque esta subpartida se le denomina “Publicidad y Propaganda” los recursos que el Poder Judicial formula, son estrictamente para atender publicaciones de carácter oficial y que tienen como fin informar a la ciudadanía en general, sobre los servicios y otras acciones que implementa la Institución. </w:t>
      </w:r>
    </w:p>
    <w:p w:rsidRPr="00F31A99" w:rsidR="00D0558E" w:rsidP="00D0558E" w:rsidRDefault="00D0558E" w14:paraId="1F2E23AD" w14:textId="77777777">
      <w:pPr>
        <w:autoSpaceDN w:val="0"/>
        <w:spacing w:line="360" w:lineRule="auto"/>
        <w:ind w:right="-567"/>
        <w:jc w:val="both"/>
        <w:rPr>
          <w:rFonts w:ascii="Times New Roman" w:hAnsi="Times New Roman" w:eastAsia="Calibri" w:cs="Times New Roman"/>
          <w:sz w:val="24"/>
          <w:szCs w:val="24"/>
          <w:u w:color="000000"/>
        </w:rPr>
      </w:pPr>
    </w:p>
    <w:p w:rsidRPr="00F31A99" w:rsidR="00D0558E" w:rsidP="00D0558E" w:rsidRDefault="00D0558E" w14:paraId="481B56E0" w14:textId="77777777">
      <w:pPr>
        <w:autoSpaceDN w:val="0"/>
        <w:ind w:right="-567"/>
        <w:jc w:val="both"/>
        <w:rPr>
          <w:rFonts w:ascii="Times New Roman" w:hAnsi="Times New Roman" w:eastAsia="Calibri" w:cs="Times New Roman"/>
          <w:sz w:val="24"/>
          <w:szCs w:val="24"/>
          <w:u w:color="000000"/>
        </w:rPr>
      </w:pPr>
    </w:p>
    <w:p w:rsidRPr="00F31A99" w:rsidR="00D0558E" w:rsidP="00D0558E" w:rsidRDefault="00D0558E" w14:paraId="5BE09D99" w14:textId="77777777">
      <w:pPr>
        <w:ind w:left="851" w:right="851" w:firstLine="283"/>
        <w:jc w:val="center"/>
        <w:textAlignment w:val="baseline"/>
        <w:rPr>
          <w:rFonts w:ascii="Times New Roman" w:hAnsi="Times New Roman" w:eastAsia="Times New Roman" w:cs="Times New Roman"/>
          <w:b/>
          <w:sz w:val="24"/>
          <w:szCs w:val="24"/>
          <w:u w:color="000000"/>
          <w:lang w:eastAsia="es-CR"/>
        </w:rPr>
      </w:pPr>
    </w:p>
    <w:p w:rsidRPr="00F31A99" w:rsidR="00D0558E" w:rsidP="00D0558E" w:rsidRDefault="00D0558E" w14:paraId="530AE8B2" w14:textId="77777777">
      <w:pPr>
        <w:ind w:left="851" w:right="851" w:firstLine="283"/>
        <w:jc w:val="center"/>
        <w:textAlignment w:val="baseline"/>
        <w:rPr>
          <w:rFonts w:ascii="Times New Roman" w:hAnsi="Times New Roman" w:eastAsia="Times New Roman" w:cs="Times New Roman"/>
          <w:sz w:val="24"/>
          <w:szCs w:val="24"/>
          <w:u w:color="000000"/>
          <w:lang w:eastAsia="es-CR"/>
        </w:rPr>
      </w:pPr>
      <w:r w:rsidRPr="00F31A99">
        <w:rPr>
          <w:rFonts w:ascii="Times New Roman" w:hAnsi="Times New Roman" w:eastAsia="Times New Roman" w:cs="Times New Roman"/>
          <w:b/>
          <w:sz w:val="24"/>
          <w:szCs w:val="24"/>
          <w:u w:color="000000"/>
          <w:lang w:eastAsia="es-CR"/>
        </w:rPr>
        <w:t xml:space="preserve">Tabla 5. Detalle del Comportamiento Histórico de la Subpartida 10302 </w:t>
      </w:r>
    </w:p>
    <w:p w:rsidRPr="00F31A99" w:rsidR="00D0558E" w:rsidP="00D0558E" w:rsidRDefault="00D0558E" w14:paraId="648DE701" w14:textId="77777777">
      <w:pPr>
        <w:ind w:left="851" w:right="851" w:firstLine="283"/>
        <w:jc w:val="center"/>
        <w:textAlignment w:val="baseline"/>
        <w:rPr>
          <w:rFonts w:ascii="Times New Roman" w:hAnsi="Times New Roman" w:eastAsia="Times New Roman" w:cs="Times New Roman"/>
          <w:b/>
          <w:sz w:val="24"/>
          <w:szCs w:val="24"/>
          <w:u w:color="000000"/>
          <w:lang w:eastAsia="es-CR"/>
        </w:rPr>
      </w:pPr>
      <w:r w:rsidRPr="00F31A99">
        <w:rPr>
          <w:rFonts w:ascii="Times New Roman" w:hAnsi="Times New Roman" w:eastAsia="Times New Roman" w:cs="Times New Roman"/>
          <w:b/>
          <w:sz w:val="24"/>
          <w:szCs w:val="24"/>
          <w:u w:color="000000"/>
          <w:lang w:eastAsia="es-CR"/>
        </w:rPr>
        <w:t>Publicidad y Propaganda, Periodos 2018-2022</w:t>
      </w:r>
    </w:p>
    <w:p w:rsidRPr="00F31A99" w:rsidR="00D0558E" w:rsidP="00D0558E" w:rsidRDefault="00D0558E" w14:paraId="32E3F23F" w14:textId="77777777">
      <w:pPr>
        <w:autoSpaceDN w:val="0"/>
        <w:jc w:val="center"/>
        <w:rPr>
          <w:rFonts w:ascii="Times New Roman" w:hAnsi="Times New Roman" w:eastAsia="Calibri" w:cs="Times New Roman"/>
          <w:b/>
          <w:sz w:val="24"/>
          <w:szCs w:val="24"/>
          <w:u w:color="000000"/>
        </w:rPr>
      </w:pPr>
    </w:p>
    <w:p w:rsidRPr="00F31A99" w:rsidR="00D0558E" w:rsidP="00D0558E" w:rsidRDefault="00D0558E" w14:paraId="6DD12F67" w14:textId="77777777">
      <w:pPr>
        <w:autoSpaceDN w:val="0"/>
        <w:jc w:val="center"/>
        <w:rPr>
          <w:rFonts w:ascii="Times New Roman" w:hAnsi="Times New Roman" w:eastAsia="Calibri" w:cs="Times New Roman"/>
          <w:b/>
          <w:sz w:val="24"/>
          <w:szCs w:val="24"/>
          <w:u w:color="000000"/>
        </w:rPr>
      </w:pPr>
      <w:r w:rsidRPr="00F31A99">
        <w:rPr>
          <w:rFonts w:ascii="Times New Roman" w:hAnsi="Times New Roman" w:eastAsia="Calibri" w:cs="Times New Roman"/>
          <w:noProof/>
          <w:u w:color="000000"/>
        </w:rPr>
        <w:drawing>
          <wp:inline distT="0" distB="0" distL="0" distR="0" wp14:anchorId="3767C790" wp14:editId="235FBBB3">
            <wp:extent cx="6026150" cy="65405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26150" cy="654050"/>
                    </a:xfrm>
                    <a:prstGeom prst="rect">
                      <a:avLst/>
                    </a:prstGeom>
                    <a:noFill/>
                    <a:ln>
                      <a:noFill/>
                    </a:ln>
                  </pic:spPr>
                </pic:pic>
              </a:graphicData>
            </a:graphic>
          </wp:inline>
        </w:drawing>
      </w:r>
    </w:p>
    <w:p w:rsidRPr="00F31A99" w:rsidR="00D0558E" w:rsidP="00D0558E" w:rsidRDefault="00D0558E" w14:paraId="0D147E6D" w14:textId="77777777">
      <w:pPr>
        <w:autoSpaceDN w:val="0"/>
        <w:rPr>
          <w:rFonts w:ascii="Times New Roman" w:hAnsi="Times New Roman" w:eastAsia="Calibri" w:cs="Times New Roman"/>
          <w:u w:color="000000"/>
        </w:rPr>
      </w:pPr>
      <w:r w:rsidRPr="00F31A99">
        <w:rPr>
          <w:rFonts w:ascii="Times New Roman" w:hAnsi="Times New Roman" w:eastAsia="Calibri" w:cs="Times New Roman"/>
          <w:b/>
          <w:bCs/>
          <w:u w:color="000000"/>
        </w:rPr>
        <w:t xml:space="preserve"> Fuente:</w:t>
      </w:r>
      <w:r w:rsidRPr="00F31A99">
        <w:rPr>
          <w:rFonts w:ascii="Times New Roman" w:hAnsi="Times New Roman" w:eastAsia="Calibri" w:cs="Times New Roman"/>
          <w:u w:color="000000"/>
        </w:rPr>
        <w:t xml:space="preserve"> Sistema SIGA-PJ.</w:t>
      </w:r>
    </w:p>
    <w:p w:rsidRPr="00F31A99" w:rsidR="00D0558E" w:rsidP="00D0558E" w:rsidRDefault="00D0558E" w14:paraId="6642E6C0"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2F9B34B5"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En la tabla anterior se muestran los montos formulados en la subpartida 10302 Publicidad y Propaganda para los últimos 5 años, la cual muestra un decrecimiento a partir del año 2019.</w:t>
      </w:r>
    </w:p>
    <w:p w:rsidRPr="00F31A99" w:rsidR="00D0558E" w:rsidP="00D0558E" w:rsidRDefault="00D0558E" w14:paraId="7041DF3D"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2A1E1F0C" w14:textId="77777777">
      <w:pPr>
        <w:autoSpaceDN w:val="0"/>
        <w:rPr>
          <w:rFonts w:ascii="Times New Roman" w:hAnsi="Times New Roman" w:eastAsia="Times New Roman" w:cs="Times New Roman"/>
          <w:b/>
          <w:bCs/>
          <w:sz w:val="24"/>
          <w:szCs w:val="24"/>
          <w:u w:color="000000"/>
          <w:lang w:eastAsia="es-CR"/>
        </w:rPr>
      </w:pPr>
      <w:r w:rsidRPr="00F31A99">
        <w:rPr>
          <w:rFonts w:ascii="Times New Roman" w:hAnsi="Times New Roman" w:eastAsia="Calibri" w:cs="Times New Roman"/>
          <w:u w:color="000000"/>
        </w:rPr>
        <w:br w:type="page"/>
      </w:r>
    </w:p>
    <w:p w:rsidRPr="00F31A99" w:rsidR="00D0558E" w:rsidP="00D0558E" w:rsidRDefault="00D0558E" w14:paraId="6099DACF" w14:textId="77777777">
      <w:pPr>
        <w:ind w:left="851" w:right="851" w:firstLine="283"/>
        <w:jc w:val="center"/>
        <w:textAlignment w:val="baseline"/>
        <w:rPr>
          <w:rFonts w:ascii="Times New Roman" w:hAnsi="Times New Roman" w:eastAsia="Times New Roman" w:cs="Times New Roman"/>
          <w:sz w:val="24"/>
          <w:szCs w:val="24"/>
          <w:u w:color="000000"/>
          <w:lang w:eastAsia="es-CR"/>
        </w:rPr>
      </w:pPr>
      <w:r w:rsidRPr="00F31A99">
        <w:rPr>
          <w:rFonts w:ascii="Times New Roman" w:hAnsi="Times New Roman" w:eastAsia="Times New Roman" w:cs="Times New Roman"/>
          <w:b/>
          <w:sz w:val="24"/>
          <w:szCs w:val="24"/>
          <w:u w:color="000000"/>
          <w:lang w:eastAsia="es-CR"/>
        </w:rPr>
        <w:lastRenderedPageBreak/>
        <w:t>Figura N°. Formulación y Ejecución Subpartida 10302</w:t>
      </w:r>
    </w:p>
    <w:p w:rsidRPr="00F31A99" w:rsidR="00D0558E" w:rsidP="00D0558E" w:rsidRDefault="00D0558E" w14:paraId="096C3409" w14:textId="77777777">
      <w:pPr>
        <w:ind w:left="851" w:right="851" w:firstLine="283"/>
        <w:jc w:val="center"/>
        <w:textAlignment w:val="baseline"/>
        <w:rPr>
          <w:rFonts w:ascii="Times New Roman" w:hAnsi="Times New Roman" w:eastAsia="Times New Roman" w:cs="Times New Roman"/>
          <w:b/>
          <w:sz w:val="24"/>
          <w:szCs w:val="24"/>
          <w:u w:color="000000"/>
          <w:lang w:eastAsia="es-CR"/>
        </w:rPr>
      </w:pPr>
      <w:r w:rsidRPr="00F31A99">
        <w:rPr>
          <w:rFonts w:ascii="Times New Roman" w:hAnsi="Times New Roman" w:eastAsia="Times New Roman" w:cs="Times New Roman"/>
          <w:b/>
          <w:sz w:val="24"/>
          <w:szCs w:val="24"/>
          <w:u w:color="000000"/>
          <w:lang w:eastAsia="es-CR"/>
        </w:rPr>
        <w:t>Periodos 2018 - 2022 </w:t>
      </w:r>
    </w:p>
    <w:p w:rsidRPr="00F31A99" w:rsidR="00D0558E" w:rsidP="00D0558E" w:rsidRDefault="00D0558E" w14:paraId="1714E1EA" w14:textId="77777777">
      <w:pPr>
        <w:autoSpaceDN w:val="0"/>
        <w:jc w:val="center"/>
        <w:rPr>
          <w:rFonts w:ascii="Times New Roman" w:hAnsi="Times New Roman" w:eastAsia="Calibri" w:cs="Times New Roman"/>
          <w:b/>
          <w:sz w:val="24"/>
          <w:szCs w:val="24"/>
          <w:u w:color="000000"/>
        </w:rPr>
      </w:pPr>
    </w:p>
    <w:p w:rsidRPr="00F31A99" w:rsidR="00D0558E" w:rsidP="00D0558E" w:rsidRDefault="00D0558E" w14:paraId="172B7AAB" w14:textId="77777777">
      <w:pPr>
        <w:autoSpaceDN w:val="0"/>
        <w:jc w:val="center"/>
        <w:rPr>
          <w:rFonts w:ascii="Times New Roman" w:hAnsi="Times New Roman" w:eastAsia="Calibri" w:cs="Times New Roman"/>
          <w:b/>
          <w:sz w:val="24"/>
          <w:szCs w:val="24"/>
          <w:u w:color="000000"/>
        </w:rPr>
      </w:pPr>
    </w:p>
    <w:p w:rsidRPr="00F31A99" w:rsidR="00D0558E" w:rsidP="00D0558E" w:rsidRDefault="00D0558E" w14:paraId="7A0DAF7C" w14:textId="77777777">
      <w:pPr>
        <w:autoSpaceDN w:val="0"/>
        <w:rPr>
          <w:rFonts w:ascii="Times New Roman" w:hAnsi="Times New Roman" w:eastAsia="Times New Roman" w:cs="Times New Roman"/>
          <w:sz w:val="24"/>
          <w:szCs w:val="24"/>
          <w:u w:color="000000"/>
          <w:lang w:eastAsia="es-CR"/>
        </w:rPr>
      </w:pPr>
      <w:r w:rsidRPr="00F31A99">
        <w:rPr>
          <w:rFonts w:ascii="Times New Roman" w:hAnsi="Times New Roman" w:eastAsia="Calibri" w:cs="Times New Roman"/>
          <w:b/>
          <w:noProof/>
          <w:sz w:val="24"/>
          <w:szCs w:val="24"/>
          <w:u w:color="000000"/>
        </w:rPr>
        <w:drawing>
          <wp:inline distT="0" distB="0" distL="0" distR="0" wp14:anchorId="2AB09A72" wp14:editId="5421C7C7">
            <wp:extent cx="5854700" cy="3384550"/>
            <wp:effectExtent l="0" t="0" r="0" b="635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54700" cy="3384550"/>
                    </a:xfrm>
                    <a:prstGeom prst="rect">
                      <a:avLst/>
                    </a:prstGeom>
                    <a:noFill/>
                    <a:ln>
                      <a:noFill/>
                    </a:ln>
                  </pic:spPr>
                </pic:pic>
              </a:graphicData>
            </a:graphic>
          </wp:inline>
        </w:drawing>
      </w:r>
    </w:p>
    <w:p w:rsidRPr="00F31A99" w:rsidR="00D0558E" w:rsidP="00D0558E" w:rsidRDefault="00D0558E" w14:paraId="7A121F2E" w14:textId="77777777">
      <w:pPr>
        <w:autoSpaceDN w:val="0"/>
        <w:ind w:left="708" w:firstLine="708"/>
        <w:rPr>
          <w:rFonts w:ascii="Times New Roman" w:hAnsi="Times New Roman" w:eastAsia="Calibri" w:cs="Times New Roman"/>
          <w:u w:color="000000"/>
        </w:rPr>
      </w:pPr>
      <w:r w:rsidRPr="00F31A99">
        <w:rPr>
          <w:rFonts w:ascii="Times New Roman" w:hAnsi="Times New Roman" w:eastAsia="Calibri" w:cs="Times New Roman"/>
          <w:b/>
          <w:bCs/>
          <w:u w:color="000000"/>
        </w:rPr>
        <w:t>Fuente:</w:t>
      </w:r>
      <w:r w:rsidRPr="00F31A99">
        <w:rPr>
          <w:rFonts w:ascii="Times New Roman" w:hAnsi="Times New Roman" w:eastAsia="Calibri" w:cs="Times New Roman"/>
          <w:u w:color="000000"/>
        </w:rPr>
        <w:t xml:space="preserve"> Sistema SIGA-PJ.</w:t>
      </w:r>
    </w:p>
    <w:p w:rsidRPr="00F31A99" w:rsidR="00D0558E" w:rsidP="00D0558E" w:rsidRDefault="00D0558E" w14:paraId="244320B9" w14:textId="77777777">
      <w:pPr>
        <w:autoSpaceDN w:val="0"/>
        <w:spacing w:line="360" w:lineRule="auto"/>
        <w:jc w:val="both"/>
        <w:rPr>
          <w:rFonts w:ascii="Times New Roman" w:hAnsi="Times New Roman" w:eastAsia="Calibri" w:cs="Times New Roman"/>
          <w:sz w:val="24"/>
          <w:szCs w:val="24"/>
          <w:u w:color="000000"/>
        </w:rPr>
      </w:pPr>
      <w:r w:rsidRPr="00F31A99">
        <w:rPr>
          <w:rFonts w:ascii="Times New Roman" w:hAnsi="Times New Roman" w:eastAsia="Calibri" w:cs="Times New Roman"/>
          <w:sz w:val="24"/>
          <w:szCs w:val="24"/>
          <w:u w:color="000000"/>
        </w:rPr>
        <w:t xml:space="preserve"> </w:t>
      </w:r>
    </w:p>
    <w:p w:rsidRPr="00F31A99" w:rsidR="00D0558E" w:rsidP="00D0558E" w:rsidRDefault="00D0558E" w14:paraId="3E4B1A2C"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6237CFF7"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En el gráfico expuesto, se representa la formulación y ejecución presupuestaria de la subpartida 10302 Publicidad y Propaganda para el periodo del 2018 al 2022. Se observa que los recursos formulados han ido disminuyendo, especialmente en el 2019, donde se presenta una disminución debido a recortes aplicados por restricciones del Ministerio de Hacienda. </w:t>
      </w:r>
    </w:p>
    <w:p w:rsidRPr="00F31A99" w:rsidR="00D0558E" w:rsidP="00D0558E" w:rsidRDefault="00D0558E" w14:paraId="12322999" w14:textId="77777777">
      <w:pPr>
        <w:autoSpaceDN w:val="0"/>
        <w:spacing w:line="276" w:lineRule="auto"/>
        <w:ind w:firstLine="709"/>
        <w:jc w:val="both"/>
        <w:rPr>
          <w:rFonts w:ascii="Times New Roman" w:hAnsi="Times New Roman" w:eastAsia="Calibri" w:cs="Times New Roman"/>
          <w:sz w:val="24"/>
          <w:szCs w:val="24"/>
          <w:u w:color="000000"/>
        </w:rPr>
      </w:pPr>
    </w:p>
    <w:p w:rsidRPr="00F31A99" w:rsidR="00D0558E" w:rsidP="00D0558E" w:rsidRDefault="00D0558E" w14:paraId="29729785" w14:textId="77777777">
      <w:pPr>
        <w:autoSpaceDN w:val="0"/>
        <w:ind w:left="851" w:right="851" w:firstLine="709"/>
        <w:rPr>
          <w:rFonts w:ascii="Times New Roman" w:hAnsi="Times New Roman" w:eastAsia="Times New Roman" w:cs="Times New Roman"/>
          <w:b/>
          <w:sz w:val="24"/>
          <w:szCs w:val="24"/>
          <w:u w:color="000000"/>
          <w:lang w:eastAsia="es-ES"/>
        </w:rPr>
      </w:pPr>
    </w:p>
    <w:p w:rsidRPr="00F31A99" w:rsidR="00D0558E" w:rsidP="00D0558E" w:rsidRDefault="00D0558E" w14:paraId="2C2B80FD" w14:textId="77777777">
      <w:pPr>
        <w:autoSpaceDN w:val="0"/>
        <w:ind w:left="851" w:right="851" w:firstLine="709"/>
        <w:contextualSpacing/>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Análisis de la Ejecución Presupuestaria de la Subpartida</w:t>
      </w:r>
    </w:p>
    <w:p w:rsidRPr="00F31A99" w:rsidR="00D0558E" w:rsidP="00D0558E" w:rsidRDefault="00D0558E" w14:paraId="1C00422E" w14:textId="77777777">
      <w:pPr>
        <w:autoSpaceDN w:val="0"/>
        <w:ind w:left="851" w:right="851" w:firstLine="709"/>
        <w:contextualSpacing/>
        <w:rPr>
          <w:rFonts w:ascii="Times New Roman" w:hAnsi="Times New Roman" w:eastAsia="Calibri" w:cs="Times New Roman"/>
          <w:b/>
          <w:sz w:val="26"/>
          <w:szCs w:val="26"/>
          <w:u w:color="000000"/>
        </w:rPr>
      </w:pPr>
    </w:p>
    <w:p w:rsidRPr="00F31A99" w:rsidR="00D0558E" w:rsidP="00D0558E" w:rsidRDefault="00D0558E" w14:paraId="50F79123" w14:textId="77777777">
      <w:pPr>
        <w:autoSpaceDN w:val="0"/>
        <w:ind w:left="851" w:right="851" w:firstLine="709"/>
        <w:contextualSpacing/>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Tabla 6. Ejecución Presupuestaria Periodos 2018-2020</w:t>
      </w:r>
    </w:p>
    <w:p w:rsidRPr="00F31A99" w:rsidR="00D0558E" w:rsidP="00D0558E" w:rsidRDefault="00D0558E" w14:paraId="4487CEEC" w14:textId="77777777">
      <w:pPr>
        <w:jc w:val="center"/>
        <w:textAlignment w:val="baseline"/>
        <w:rPr>
          <w:rFonts w:ascii="Times New Roman" w:hAnsi="Times New Roman" w:eastAsia="Times New Roman" w:cs="Times New Roman"/>
          <w:bCs/>
          <w:sz w:val="24"/>
          <w:szCs w:val="24"/>
          <w:u w:color="000000"/>
          <w:lang w:eastAsia="es-CR"/>
        </w:rPr>
      </w:pPr>
    </w:p>
    <w:p w:rsidRPr="00F31A99" w:rsidR="00D0558E" w:rsidP="00D0558E" w:rsidRDefault="00D0558E" w14:paraId="2919FA18" w14:textId="77777777">
      <w:pPr>
        <w:jc w:val="center"/>
        <w:textAlignment w:val="baseline"/>
        <w:rPr>
          <w:rFonts w:ascii="Times New Roman" w:hAnsi="Times New Roman" w:eastAsia="Times New Roman" w:cs="Times New Roman"/>
          <w:bCs/>
          <w:sz w:val="24"/>
          <w:szCs w:val="24"/>
          <w:u w:color="000000"/>
          <w:lang w:eastAsia="es-CR"/>
        </w:rPr>
      </w:pPr>
      <w:r w:rsidRPr="00F31A99">
        <w:rPr>
          <w:rFonts w:ascii="Times New Roman" w:hAnsi="Times New Roman" w:eastAsia="Times New Roman" w:cs="Times New Roman"/>
          <w:noProof/>
          <w:sz w:val="24"/>
          <w:szCs w:val="24"/>
          <w:u w:color="000000"/>
        </w:rPr>
        <w:drawing>
          <wp:inline distT="0" distB="0" distL="0" distR="0" wp14:anchorId="2EF9F842" wp14:editId="46B5C315">
            <wp:extent cx="4914900" cy="1041400"/>
            <wp:effectExtent l="0" t="0" r="0" b="635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14900" cy="1041400"/>
                    </a:xfrm>
                    <a:prstGeom prst="rect">
                      <a:avLst/>
                    </a:prstGeom>
                    <a:noFill/>
                    <a:ln>
                      <a:noFill/>
                    </a:ln>
                  </pic:spPr>
                </pic:pic>
              </a:graphicData>
            </a:graphic>
          </wp:inline>
        </w:drawing>
      </w:r>
    </w:p>
    <w:p w:rsidRPr="00F31A99" w:rsidR="00D0558E" w:rsidP="00D0558E" w:rsidRDefault="00D0558E" w14:paraId="649C33B2" w14:textId="77777777">
      <w:pPr>
        <w:jc w:val="center"/>
        <w:textAlignment w:val="baseline"/>
        <w:rPr>
          <w:rFonts w:ascii="Times New Roman" w:hAnsi="Times New Roman" w:eastAsia="Times New Roman" w:cs="Times New Roman"/>
          <w:bCs/>
          <w:sz w:val="24"/>
          <w:szCs w:val="24"/>
          <w:u w:color="000000"/>
          <w:lang w:eastAsia="es-CR"/>
        </w:rPr>
      </w:pPr>
    </w:p>
    <w:p w:rsidRPr="00F31A99" w:rsidR="00D0558E" w:rsidP="00D0558E" w:rsidRDefault="00D0558E" w14:paraId="577830B8" w14:textId="77777777">
      <w:pPr>
        <w:autoSpaceDN w:val="0"/>
        <w:ind w:left="708"/>
        <w:rPr>
          <w:rFonts w:ascii="Times New Roman" w:hAnsi="Times New Roman" w:eastAsia="Calibri" w:cs="Times New Roman"/>
          <w:u w:color="000000"/>
        </w:rPr>
      </w:pPr>
      <w:r w:rsidRPr="00F31A99">
        <w:rPr>
          <w:rFonts w:ascii="Times New Roman" w:hAnsi="Times New Roman" w:eastAsia="Calibri" w:cs="Times New Roman"/>
          <w:b/>
          <w:bCs/>
          <w:u w:color="000000"/>
        </w:rPr>
        <w:t xml:space="preserve"> Fuente:</w:t>
      </w:r>
      <w:r w:rsidRPr="00F31A99">
        <w:rPr>
          <w:rFonts w:ascii="Times New Roman" w:hAnsi="Times New Roman" w:eastAsia="Calibri" w:cs="Times New Roman"/>
          <w:u w:color="000000"/>
        </w:rPr>
        <w:t xml:space="preserve"> Sistema SIGA-PJ.</w:t>
      </w:r>
    </w:p>
    <w:p w:rsidRPr="00F31A99" w:rsidR="00D0558E" w:rsidP="00D0558E" w:rsidRDefault="00D0558E" w14:paraId="38F1E2C1"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En esta subpartida para el 2018, la ejecución presupuestaria estuvo por debajo del monto formulado; sin embargo, para el 2019 y 2020 la ejecución sobrepaso el 90%, del monto formulado, por lo que se considera que los recursos formulados estuvieron acorde a las necesidades de la institución. </w:t>
      </w:r>
    </w:p>
    <w:p w:rsidRPr="00F31A99" w:rsidR="00D0558E" w:rsidP="00D0558E" w:rsidRDefault="00D0558E" w14:paraId="3294CCC6" w14:textId="77777777">
      <w:pPr>
        <w:autoSpaceDN w:val="0"/>
        <w:jc w:val="both"/>
        <w:rPr>
          <w:rFonts w:ascii="Times New Roman" w:hAnsi="Times New Roman" w:eastAsia="Calibri" w:cs="Times New Roman"/>
          <w:b/>
          <w:sz w:val="24"/>
          <w:szCs w:val="24"/>
          <w:u w:color="000000"/>
        </w:rPr>
      </w:pPr>
    </w:p>
    <w:p w:rsidRPr="00F31A99" w:rsidR="00D0558E" w:rsidP="00D0558E" w:rsidRDefault="00D0558E" w14:paraId="1180866C"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Variación por Programa 2020-2021</w:t>
      </w:r>
    </w:p>
    <w:p w:rsidRPr="00F31A99" w:rsidR="00D0558E" w:rsidP="00D0558E" w:rsidRDefault="00D0558E" w14:paraId="0AB1A372" w14:textId="77777777">
      <w:pPr>
        <w:autoSpaceDN w:val="0"/>
        <w:ind w:left="851" w:right="851" w:firstLine="431"/>
        <w:jc w:val="both"/>
        <w:rPr>
          <w:rFonts w:ascii="Times New Roman" w:hAnsi="Times New Roman" w:eastAsia="Calibri" w:cs="Times New Roman"/>
          <w:bCs/>
          <w:sz w:val="26"/>
          <w:szCs w:val="26"/>
          <w:u w:color="000000"/>
        </w:rPr>
      </w:pPr>
    </w:p>
    <w:p w:rsidRPr="00F31A99" w:rsidR="00D0558E" w:rsidP="00D0558E" w:rsidRDefault="00D0558E" w14:paraId="5BD80775"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 xml:space="preserve">Los recursos formulados en la subpartida 10302 Publicidad y Propaganda solamente se formulan para el programa 926 Dirección y Administración y Otros Órganos de Apoyo. </w:t>
      </w:r>
    </w:p>
    <w:p w:rsidRPr="00F31A99" w:rsidR="00D0558E" w:rsidP="00D0558E" w:rsidRDefault="00D0558E" w14:paraId="09A2F271"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4B3B91D9" w14:textId="77777777">
      <w:pPr>
        <w:autoSpaceDN w:val="0"/>
        <w:ind w:left="851" w:right="851" w:firstLine="709"/>
        <w:contextualSpacing/>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Tabla 7. Porcentaje de Variación por Programa 2021–2022</w:t>
      </w:r>
    </w:p>
    <w:p w:rsidRPr="00F31A99" w:rsidR="00D0558E" w:rsidP="00D0558E" w:rsidRDefault="00D0558E" w14:paraId="4756FF88"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6F95EC1B" w14:textId="77777777">
      <w:pPr>
        <w:jc w:val="center"/>
        <w:textAlignment w:val="baseline"/>
        <w:rPr>
          <w:rFonts w:ascii="Times New Roman" w:hAnsi="Times New Roman" w:eastAsia="Times New Roman" w:cs="Times New Roman"/>
          <w:b/>
          <w:bCs/>
          <w:sz w:val="24"/>
          <w:szCs w:val="24"/>
          <w:u w:color="000000"/>
          <w:lang w:eastAsia="es-CR"/>
        </w:rPr>
      </w:pPr>
      <w:r w:rsidRPr="00F31A99">
        <w:rPr>
          <w:rFonts w:ascii="Times New Roman" w:hAnsi="Times New Roman" w:eastAsia="Times New Roman" w:cs="Times New Roman"/>
          <w:noProof/>
          <w:sz w:val="24"/>
          <w:szCs w:val="24"/>
          <w:u w:color="000000"/>
        </w:rPr>
        <w:drawing>
          <wp:inline distT="0" distB="0" distL="0" distR="0" wp14:anchorId="4609E4EE" wp14:editId="04A0524F">
            <wp:extent cx="6030595" cy="730250"/>
            <wp:effectExtent l="0" t="0" r="825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30595" cy="730250"/>
                    </a:xfrm>
                    <a:prstGeom prst="rect">
                      <a:avLst/>
                    </a:prstGeom>
                    <a:noFill/>
                    <a:ln>
                      <a:noFill/>
                    </a:ln>
                  </pic:spPr>
                </pic:pic>
              </a:graphicData>
            </a:graphic>
          </wp:inline>
        </w:drawing>
      </w:r>
    </w:p>
    <w:p w:rsidRPr="00F31A99" w:rsidR="00D0558E" w:rsidP="00D0558E" w:rsidRDefault="00D0558E" w14:paraId="658FB0A2" w14:textId="77777777">
      <w:pPr>
        <w:autoSpaceDN w:val="0"/>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D0558E" w:rsidP="00D0558E" w:rsidRDefault="00D0558E" w14:paraId="5478152F"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1DD1A037"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Distribución por Centro de Responsabilidad</w:t>
      </w:r>
    </w:p>
    <w:p w:rsidRPr="00F31A99" w:rsidR="00D0558E" w:rsidP="00D0558E" w:rsidRDefault="00D0558E" w14:paraId="0DFC264A" w14:textId="77777777">
      <w:pPr>
        <w:autoSpaceDN w:val="0"/>
        <w:ind w:left="851" w:right="851" w:firstLine="431"/>
        <w:jc w:val="both"/>
        <w:rPr>
          <w:rFonts w:ascii="Times New Roman" w:hAnsi="Times New Roman" w:eastAsia="Calibri" w:cs="Times New Roman"/>
          <w:bCs/>
          <w:sz w:val="26"/>
          <w:szCs w:val="26"/>
          <w:u w:color="000000"/>
        </w:rPr>
      </w:pPr>
    </w:p>
    <w:p w:rsidRPr="00F31A99" w:rsidR="00D0558E" w:rsidP="00D0558E" w:rsidRDefault="00D0558E" w14:paraId="1D55A33A"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En la siguiente tabla se muestra la distribución por centro de responsabilidad de los recursos formulados para el 2021 en la subpartida 10302 Publicidad y Propaganda. </w:t>
      </w:r>
    </w:p>
    <w:p w:rsidRPr="00F31A99" w:rsidR="00D0558E" w:rsidP="00D0558E" w:rsidRDefault="00D0558E" w14:paraId="7963A057" w14:textId="77777777">
      <w:pPr>
        <w:autoSpaceDN w:val="0"/>
        <w:spacing w:line="360" w:lineRule="auto"/>
        <w:ind w:right="-851"/>
        <w:jc w:val="both"/>
        <w:rPr>
          <w:rFonts w:ascii="Times New Roman" w:hAnsi="Times New Roman" w:eastAsia="Calibri" w:cs="Times New Roman"/>
          <w:sz w:val="24"/>
          <w:szCs w:val="24"/>
          <w:u w:color="000000"/>
        </w:rPr>
      </w:pPr>
    </w:p>
    <w:p w:rsidRPr="00F31A99" w:rsidR="00D0558E" w:rsidP="00D0558E" w:rsidRDefault="00D0558E" w14:paraId="7E0B1340" w14:textId="77777777">
      <w:pPr>
        <w:autoSpaceDN w:val="0"/>
        <w:ind w:left="851" w:right="851" w:firstLine="709"/>
        <w:contextualSpacing/>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Tabla 8. Distribución de la Subpartida por Centro de Responsabilidad</w:t>
      </w:r>
    </w:p>
    <w:p w:rsidRPr="00F31A99" w:rsidR="00D0558E" w:rsidP="00D0558E" w:rsidRDefault="00D0558E" w14:paraId="09EE82F4" w14:textId="77777777">
      <w:pPr>
        <w:autoSpaceDN w:val="0"/>
        <w:ind w:left="851" w:right="851" w:firstLine="283"/>
        <w:contextualSpacing/>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Periodo 2022</w:t>
      </w:r>
    </w:p>
    <w:p w:rsidRPr="00F31A99" w:rsidR="00D0558E" w:rsidP="00D0558E" w:rsidRDefault="00D0558E" w14:paraId="1E227221"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2A812B44" w14:textId="77777777">
      <w:pPr>
        <w:jc w:val="center"/>
        <w:textAlignment w:val="baseline"/>
        <w:rPr>
          <w:rFonts w:ascii="Times New Roman" w:hAnsi="Times New Roman" w:eastAsia="Times New Roman" w:cs="Times New Roman"/>
          <w:sz w:val="18"/>
          <w:szCs w:val="18"/>
          <w:u w:color="000000"/>
          <w:lang w:eastAsia="es-CR"/>
        </w:rPr>
      </w:pPr>
    </w:p>
    <w:p w:rsidRPr="00F31A99" w:rsidR="00D0558E" w:rsidP="00D0558E" w:rsidRDefault="00D0558E" w14:paraId="386589EC" w14:textId="77777777">
      <w:pPr>
        <w:autoSpaceDN w:val="0"/>
        <w:jc w:val="center"/>
        <w:rPr>
          <w:rFonts w:ascii="Times New Roman" w:hAnsi="Times New Roman" w:eastAsia="Calibri" w:cs="Times New Roman"/>
          <w:b/>
          <w:sz w:val="24"/>
          <w:szCs w:val="24"/>
          <w:u w:color="000000"/>
        </w:rPr>
      </w:pPr>
      <w:r w:rsidRPr="00F31A99">
        <w:rPr>
          <w:rFonts w:ascii="Times New Roman" w:hAnsi="Times New Roman" w:eastAsia="Calibri" w:cs="Times New Roman"/>
          <w:noProof/>
          <w:u w:color="000000"/>
        </w:rPr>
        <w:drawing>
          <wp:inline distT="0" distB="0" distL="0" distR="0" wp14:anchorId="15825DFE" wp14:editId="455CA314">
            <wp:extent cx="5708650" cy="1117600"/>
            <wp:effectExtent l="0" t="0" r="6350" b="63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08650" cy="1117600"/>
                    </a:xfrm>
                    <a:prstGeom prst="rect">
                      <a:avLst/>
                    </a:prstGeom>
                    <a:noFill/>
                    <a:ln>
                      <a:noFill/>
                    </a:ln>
                  </pic:spPr>
                </pic:pic>
              </a:graphicData>
            </a:graphic>
          </wp:inline>
        </w:drawing>
      </w:r>
    </w:p>
    <w:p w:rsidRPr="00F31A99" w:rsidR="00D0558E" w:rsidP="00D0558E" w:rsidRDefault="00D0558E" w14:paraId="2A6901BF" w14:textId="77777777">
      <w:pPr>
        <w:autoSpaceDN w:val="0"/>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 xml:space="preserve"> Fuente:</w:t>
      </w:r>
      <w:r w:rsidRPr="00F31A99">
        <w:rPr>
          <w:rFonts w:ascii="Times New Roman" w:hAnsi="Times New Roman" w:eastAsia="Calibri" w:cs="Times New Roman"/>
          <w:sz w:val="16"/>
          <w:szCs w:val="24"/>
          <w:u w:color="000000"/>
        </w:rPr>
        <w:t xml:space="preserve"> Sistema SIGA-PJ.</w:t>
      </w:r>
    </w:p>
    <w:p w:rsidRPr="00F31A99" w:rsidR="00D0558E" w:rsidP="00D0558E" w:rsidRDefault="00D0558E" w14:paraId="1974BC27"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2E62EDC0" w14:textId="77777777">
      <w:pPr>
        <w:jc w:val="center"/>
        <w:textAlignment w:val="baseline"/>
        <w:rPr>
          <w:rFonts w:ascii="Times New Roman" w:hAnsi="Times New Roman" w:eastAsia="Times New Roman" w:cs="Times New Roman"/>
          <w:b/>
          <w:bCs/>
          <w:sz w:val="24"/>
          <w:szCs w:val="24"/>
          <w:u w:color="000000"/>
          <w:lang w:eastAsia="es-CR"/>
        </w:rPr>
      </w:pPr>
    </w:p>
    <w:p w:rsidRPr="00F31A99" w:rsidR="00D0558E" w:rsidP="00D0558E" w:rsidRDefault="00D0558E" w14:paraId="2447A077"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lastRenderedPageBreak/>
        <w:t xml:space="preserve">Según se muestra en la tabla anterior, el Departamento de Prensa y Comunicación Organizacional solicita ¢8.994.8900, absorbiendo el 72% de los recursos solicitados en esta subpartida. </w:t>
      </w:r>
    </w:p>
    <w:p w:rsidRPr="00F31A99" w:rsidR="00D0558E" w:rsidP="00D0558E" w:rsidRDefault="00D0558E" w14:paraId="6AE3B42B"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3C83C5A4" w14:textId="77777777">
      <w:pPr>
        <w:autoSpaceDN w:val="0"/>
        <w:spacing w:line="360" w:lineRule="auto"/>
        <w:jc w:val="center"/>
        <w:rPr>
          <w:rFonts w:ascii="Times New Roman" w:hAnsi="Times New Roman" w:eastAsia="Calibri" w:cs="Times New Roman"/>
          <w:u w:color="000000"/>
        </w:rPr>
      </w:pPr>
      <w:r w:rsidRPr="00F31A99">
        <w:rPr>
          <w:rFonts w:ascii="Times New Roman" w:hAnsi="Times New Roman" w:eastAsia="Calibri" w:cs="Times New Roman"/>
          <w:sz w:val="24"/>
          <w:szCs w:val="24"/>
          <w:u w:color="000000"/>
        </w:rPr>
        <w:t>-0-</w:t>
      </w:r>
    </w:p>
    <w:p w:rsidRPr="00F31A99" w:rsidR="00D0558E" w:rsidP="00D0558E" w:rsidRDefault="00D0558E" w14:paraId="2641ED56" w14:textId="77777777">
      <w:pPr>
        <w:autoSpaceDN w:val="0"/>
        <w:ind w:left="851" w:right="851" w:firstLine="431"/>
        <w:jc w:val="both"/>
        <w:rPr>
          <w:rFonts w:ascii="Times New Roman" w:hAnsi="Times New Roman" w:eastAsia="Calibri" w:cs="Times New Roman"/>
          <w:bCs/>
          <w:sz w:val="26"/>
          <w:szCs w:val="26"/>
          <w:u w:color="000000"/>
        </w:rPr>
      </w:pPr>
      <w:r w:rsidRPr="00F31A99">
        <w:rPr>
          <w:rFonts w:ascii="Times New Roman" w:hAnsi="Times New Roman" w:eastAsia="Calibri" w:cs="Times New Roman"/>
          <w:bCs/>
          <w:sz w:val="26"/>
          <w:szCs w:val="26"/>
          <w:u w:color="000000"/>
        </w:rPr>
        <w:t>La Licenciada Nacira Valverde Bermúdez reitera que los recursos formulados en la subpartida 10301 Información, se requieren para cubrir los gastos por servicios de publicación y divulgación de información a través de medios de comunicación masiva (escritos, radiales, audiovisuales, entre otros), con el fin de informar a la ciudadanía sobre las medidas/políticas/decisiones institucionales en pro de la Justicia/mejor administración. Los recursos formulados en la subpartida 10302 Publicidad y Propaganda son requeridos para servicios de publicidad para la producción y publicación de anuncios, cuñas, avisos, producciones audiovisuales, entre otros. Se incluyen recursos para la divulgación de los servicios del Observatorio de Violencia de Género Contra las Mujeres y Acceso a la Justicia, para el Centro de Gestión de la Calidad y para el Departamento de Prensa y Comunicación Organizacional por servicios de publicación e información a través de medios de comunicación masiva, escritos, radiales, audiovisuales, entre otros. Es importante recalcar que, aunque esta subpartida se le denomina “Publicidad y Propaganda” los recursos que el Poder Judicial formula, son estrictamente para atender publicaciones de carácter oficial y que tienen como fin informar a la ciudadanía en general, sobre los servicios y otras acciones que implementa la Institución.”</w:t>
      </w:r>
    </w:p>
    <w:p w:rsidRPr="00F31A99" w:rsidR="00D0558E" w:rsidP="00D0558E" w:rsidRDefault="00D0558E" w14:paraId="4A3ABE07"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4A98FED0" w14:textId="77777777">
      <w:pPr>
        <w:autoSpaceDN w:val="0"/>
        <w:jc w:val="center"/>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- 0 -</w:t>
      </w:r>
    </w:p>
    <w:p w:rsidRPr="00F31A99" w:rsidR="00D0558E" w:rsidP="00D0558E" w:rsidRDefault="00D0558E" w14:paraId="6A745D75" w14:textId="77777777">
      <w:pPr>
        <w:autoSpaceDN w:val="0"/>
        <w:spacing w:line="360" w:lineRule="auto"/>
        <w:jc w:val="both"/>
        <w:rPr>
          <w:rFonts w:ascii="Times New Roman" w:hAnsi="Times New Roman" w:eastAsia="Calibri" w:cs="Times New Roman"/>
          <w:sz w:val="24"/>
          <w:szCs w:val="24"/>
          <w:u w:color="000000"/>
        </w:rPr>
      </w:pPr>
    </w:p>
    <w:p w:rsidRPr="00F31A99" w:rsidR="00D0558E" w:rsidP="00D0558E" w:rsidRDefault="00D0558E" w14:paraId="0D3240ED" w14:textId="77777777">
      <w:pPr>
        <w:autoSpaceDN w:val="0"/>
        <w:spacing w:line="480" w:lineRule="auto"/>
        <w:ind w:firstLine="709"/>
        <w:jc w:val="both"/>
        <w:rPr>
          <w:rFonts w:ascii="Times New Roman" w:hAnsi="Times New Roman" w:eastAsia="Calibri" w:cs="Times New Roman"/>
          <w:sz w:val="28"/>
          <w:szCs w:val="28"/>
          <w:u w:color="000000"/>
        </w:rPr>
      </w:pPr>
      <w:r w:rsidRPr="00F31A99">
        <w:rPr>
          <w:rFonts w:ascii="Times New Roman" w:hAnsi="Times New Roman" w:eastAsia="Calibri" w:cs="Times New Roman"/>
          <w:b/>
          <w:bCs/>
          <w:sz w:val="28"/>
          <w:szCs w:val="28"/>
          <w:u w:color="000000"/>
        </w:rPr>
        <w:t>Se acordó</w:t>
      </w:r>
      <w:r w:rsidRPr="00F31A99">
        <w:rPr>
          <w:rFonts w:ascii="Times New Roman" w:hAnsi="Times New Roman" w:eastAsia="Calibri" w:cs="Times New Roman"/>
          <w:sz w:val="28"/>
          <w:szCs w:val="28"/>
          <w:u w:color="000000"/>
        </w:rPr>
        <w:t xml:space="preserve">: </w:t>
      </w:r>
      <w:r w:rsidRPr="00F31A99">
        <w:rPr>
          <w:rFonts w:ascii="Times New Roman" w:hAnsi="Times New Roman" w:eastAsia="Calibri" w:cs="Times New Roman"/>
          <w:b/>
          <w:sz w:val="28"/>
          <w:szCs w:val="28"/>
          <w:u w:color="000000"/>
        </w:rPr>
        <w:t>1)</w:t>
      </w:r>
      <w:r w:rsidRPr="00F31A99">
        <w:rPr>
          <w:rFonts w:ascii="Times New Roman" w:hAnsi="Times New Roman" w:eastAsia="Calibri" w:cs="Times New Roman"/>
          <w:sz w:val="28"/>
          <w:szCs w:val="28"/>
          <w:u w:color="000000"/>
        </w:rPr>
        <w:t xml:space="preserve"> Se dan por conocidos los recursos solicitados en las Subpartidas 10301 Información y 10302 Publicidad y Propaganda, sin embargo, se estará a la espera del análisis global del presupuesto 2022, para aprobar una propuesta integral que consolide todas las necesidades institucionales. </w:t>
      </w:r>
      <w:r w:rsidRPr="00F31A99">
        <w:rPr>
          <w:rFonts w:ascii="Times New Roman" w:hAnsi="Times New Roman" w:eastAsia="Calibri" w:cs="Times New Roman"/>
          <w:b/>
          <w:sz w:val="28"/>
          <w:szCs w:val="28"/>
          <w:u w:color="000000"/>
        </w:rPr>
        <w:t>2)</w:t>
      </w:r>
      <w:r w:rsidRPr="00F31A99">
        <w:rPr>
          <w:rFonts w:ascii="Times New Roman" w:hAnsi="Times New Roman" w:eastAsia="Calibri" w:cs="Times New Roman"/>
          <w:sz w:val="28"/>
          <w:szCs w:val="28"/>
          <w:u w:color="000000"/>
        </w:rPr>
        <w:t xml:space="preserve"> Aprobar los ¢202.000 solicitados por la Dirección Jurídica en la Subpartida 10301 “Información” como Requerimientos Adicionales, para atender tres </w:t>
      </w:r>
      <w:r w:rsidRPr="00F31A99">
        <w:rPr>
          <w:rFonts w:ascii="Times New Roman" w:hAnsi="Times New Roman" w:eastAsia="Calibri" w:cs="Times New Roman"/>
          <w:sz w:val="28"/>
          <w:szCs w:val="28"/>
          <w:u w:color="000000"/>
        </w:rPr>
        <w:lastRenderedPageBreak/>
        <w:t>publicaciones en el diario oficial La Gaceta, publicación mínima para los procedimientos administrativos cobratorios para atender tres publicaciones en el diario oficial La Gaceta, publicación mínima para los procedimientos administrativos cobratorios, lo anterior sujeto al análisis de la propuesta integral de presupuesto 2022 que consolide todas las necesidades institucionales.</w:t>
      </w:r>
      <w:r w:rsidRPr="00F31A99">
        <w:rPr>
          <w:rFonts w:ascii="Times New Roman" w:hAnsi="Times New Roman" w:eastAsia="Calibri" w:cs="Times New Roman"/>
          <w:b/>
          <w:bCs/>
          <w:sz w:val="28"/>
          <w:szCs w:val="28"/>
          <w:u w:color="000000"/>
        </w:rPr>
        <w:t xml:space="preserve"> Se declara acuerdo firme</w:t>
      </w:r>
      <w:r w:rsidRPr="00F31A99">
        <w:rPr>
          <w:rFonts w:ascii="Times New Roman" w:hAnsi="Times New Roman" w:eastAsia="Calibri" w:cs="Times New Roman"/>
          <w:sz w:val="28"/>
          <w:szCs w:val="28"/>
          <w:u w:color="000000"/>
        </w:rPr>
        <w:t>.</w:t>
      </w:r>
    </w:p>
    <w:p w:rsidRPr="00F31A99" w:rsidR="00F31A99" w:rsidP="00F31A99" w:rsidRDefault="00F31A99" w14:paraId="57F30CF8" w14:textId="19FD141A">
      <w:pPr>
        <w:keepNext/>
        <w:autoSpaceDE w:val="0"/>
        <w:autoSpaceDN w:val="0"/>
        <w:spacing w:line="360" w:lineRule="auto"/>
        <w:jc w:val="center"/>
        <w:outlineLvl w:val="0"/>
        <w:rPr>
          <w:rFonts w:ascii="Times New Roman" w:hAnsi="Times New Roman" w:eastAsia="Times New Roman" w:cs="Times New Roman"/>
          <w:b/>
          <w:bCs/>
          <w:kern w:val="36"/>
          <w:sz w:val="36"/>
          <w:szCs w:val="36"/>
          <w:u w:val="single" w:color="000000"/>
          <w:lang w:eastAsia="es-ES"/>
        </w:rPr>
      </w:pPr>
      <w:r w:rsidRPr="00F31A99">
        <w:rPr>
          <w:rFonts w:ascii="Times New Roman" w:hAnsi="Times New Roman" w:eastAsia="Times New Roman" w:cs="Times New Roman"/>
          <w:b/>
          <w:bCs/>
          <w:kern w:val="36"/>
          <w:sz w:val="36"/>
          <w:szCs w:val="36"/>
          <w:u w:val="single" w:color="000000"/>
          <w:lang w:eastAsia="es-ES"/>
        </w:rPr>
        <w:t>ARTÍCULO XV</w:t>
      </w:r>
    </w:p>
    <w:p w:rsidRPr="00F31A99" w:rsidR="00F31A99" w:rsidP="00F31A99" w:rsidRDefault="00F31A99" w14:paraId="4DAA48EA" w14:textId="77777777">
      <w:pPr>
        <w:autoSpaceDN w:val="0"/>
        <w:spacing w:line="480" w:lineRule="auto"/>
        <w:jc w:val="both"/>
        <w:rPr>
          <w:rFonts w:ascii="Times New Roman" w:hAnsi="Times New Roman" w:eastAsia="Times New Roman" w:cs="Times New Roman"/>
          <w:b/>
          <w:bCs/>
          <w:sz w:val="28"/>
          <w:szCs w:val="28"/>
          <w:u w:color="000000"/>
          <w:lang w:eastAsia="es-ES"/>
        </w:rPr>
      </w:pPr>
      <w:r w:rsidRPr="00F31A99">
        <w:rPr>
          <w:rFonts w:ascii="Times New Roman" w:hAnsi="Times New Roman" w:eastAsia="Times New Roman" w:cs="Times New Roman"/>
          <w:b/>
          <w:bCs/>
          <w:sz w:val="28"/>
          <w:szCs w:val="28"/>
          <w:u w:color="000000"/>
          <w:lang w:eastAsia="es-ES"/>
        </w:rPr>
        <w:t>Documento N° 3840-2021</w:t>
      </w:r>
    </w:p>
    <w:p w:rsidRPr="00F31A99" w:rsidR="00F31A99" w:rsidP="00F31A99" w:rsidRDefault="00F31A99" w14:paraId="18BC086F" w14:textId="77777777">
      <w:pPr>
        <w:autoSpaceDN w:val="0"/>
        <w:spacing w:line="480" w:lineRule="auto"/>
        <w:ind w:firstLine="708"/>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En reunión de trabajo del pasado 9 de abril, la Licda. Nacira Valverde, Directora de Planificación presentó la estimación de requerimientos para el 2022 en las subpartidas 10501 Transporte dentro del País, 10502 Viáticos dentro del País, 10503 Transporte en el Exterior y 10504 Viáticos en el Exterior.</w:t>
      </w:r>
    </w:p>
    <w:p w:rsidRPr="00F31A99" w:rsidR="00F31A99" w:rsidP="00F31A99" w:rsidRDefault="00F31A99" w14:paraId="009C527C" w14:textId="77777777">
      <w:pPr>
        <w:autoSpaceDN w:val="0"/>
        <w:ind w:left="851" w:right="851"/>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Cuadro N°1</w:t>
      </w:r>
    </w:p>
    <w:p w:rsidRPr="00F31A99" w:rsidR="00F31A99" w:rsidP="00F31A99" w:rsidRDefault="00F31A99" w14:paraId="08150F74" w14:textId="77777777">
      <w:pPr>
        <w:autoSpaceDN w:val="0"/>
        <w:ind w:left="851" w:right="851"/>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Subpartidas de Transporte y Viáticos</w:t>
      </w:r>
    </w:p>
    <w:p w:rsidRPr="00F31A99" w:rsidR="00F31A99" w:rsidP="00F31A99" w:rsidRDefault="00F31A99" w14:paraId="2AFE95A8" w14:textId="77777777">
      <w:pPr>
        <w:autoSpaceDN w:val="0"/>
        <w:ind w:left="851" w:right="851"/>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Comparativo Presupuesto 2021-2022</w:t>
      </w:r>
    </w:p>
    <w:p w:rsidRPr="00F31A99" w:rsidR="00F31A99" w:rsidP="00F31A99" w:rsidRDefault="00F31A99" w14:paraId="03C01C13" w14:textId="77777777">
      <w:pPr>
        <w:autoSpaceDN w:val="0"/>
        <w:rPr>
          <w:rFonts w:ascii="Times New Roman" w:hAnsi="Times New Roman" w:eastAsia="Calibri" w:cs="Times New Roman"/>
          <w:noProof/>
          <w:u w:color="000000"/>
        </w:rPr>
      </w:pPr>
    </w:p>
    <w:p w:rsidRPr="00F31A99" w:rsidR="00F31A99" w:rsidP="00F31A99" w:rsidRDefault="00F31A99" w14:paraId="7C01AC0D" w14:textId="77777777">
      <w:pPr>
        <w:autoSpaceDN w:val="0"/>
        <w:jc w:val="center"/>
        <w:rPr>
          <w:rFonts w:ascii="Times New Roman" w:hAnsi="Times New Roman" w:eastAsia="Calibri" w:cs="Times New Roman"/>
          <w:b/>
          <w:sz w:val="28"/>
          <w:szCs w:val="24"/>
          <w:u w:color="000000"/>
        </w:rPr>
      </w:pPr>
      <w:r w:rsidRPr="00F31A99">
        <w:rPr>
          <w:rFonts w:ascii="Times New Roman" w:hAnsi="Times New Roman" w:eastAsia="Calibri" w:cs="Times New Roman"/>
          <w:noProof/>
          <w:u w:color="000000"/>
        </w:rPr>
        <w:drawing>
          <wp:inline distT="0" distB="0" distL="0" distR="0" wp14:anchorId="2EE11C71" wp14:editId="0D0CD772">
            <wp:extent cx="5321300" cy="111125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21300" cy="1111250"/>
                    </a:xfrm>
                    <a:prstGeom prst="rect">
                      <a:avLst/>
                    </a:prstGeom>
                    <a:noFill/>
                    <a:ln>
                      <a:noFill/>
                    </a:ln>
                  </pic:spPr>
                </pic:pic>
              </a:graphicData>
            </a:graphic>
          </wp:inline>
        </w:drawing>
      </w:r>
    </w:p>
    <w:p w:rsidRPr="00F31A99" w:rsidR="00F31A99" w:rsidP="00F31A99" w:rsidRDefault="00F31A99" w14:paraId="6732582F" w14:textId="77777777">
      <w:pPr>
        <w:autoSpaceDN w:val="0"/>
        <w:rPr>
          <w:rFonts w:ascii="Times New Roman" w:hAnsi="Times New Roman" w:eastAsia="Calibri" w:cs="Times New Roman"/>
          <w:u w:color="000000"/>
        </w:rPr>
      </w:pPr>
      <w:r w:rsidRPr="00F31A99">
        <w:rPr>
          <w:rFonts w:ascii="Times New Roman" w:hAnsi="Times New Roman" w:eastAsia="Calibri" w:cs="Times New Roman"/>
          <w:b/>
          <w:bCs/>
          <w:sz w:val="16"/>
          <w:szCs w:val="24"/>
          <w:u w:color="000000"/>
        </w:rPr>
        <w:t xml:space="preserve"> </w:t>
      </w:r>
      <w:r w:rsidRPr="00F31A99">
        <w:rPr>
          <w:rFonts w:ascii="Times New Roman" w:hAnsi="Times New Roman" w:eastAsia="Calibri" w:cs="Times New Roman"/>
          <w:b/>
          <w:bCs/>
          <w:sz w:val="16"/>
          <w:szCs w:val="24"/>
          <w:u w:color="000000"/>
        </w:rPr>
        <w:tab/>
      </w:r>
      <w:r w:rsidRPr="00F31A99">
        <w:rPr>
          <w:rFonts w:ascii="Times New Roman" w:hAnsi="Times New Roman" w:eastAsia="Calibri" w:cs="Times New Roman"/>
          <w:b/>
          <w:bCs/>
          <w:u w:color="000000"/>
        </w:rPr>
        <w:t>Fuente:</w:t>
      </w:r>
      <w:r w:rsidRPr="00F31A99">
        <w:rPr>
          <w:rFonts w:ascii="Times New Roman" w:hAnsi="Times New Roman" w:eastAsia="Calibri" w:cs="Times New Roman"/>
          <w:u w:color="000000"/>
        </w:rPr>
        <w:t xml:space="preserve"> Sistema SIGA-PJ.</w:t>
      </w:r>
    </w:p>
    <w:p w:rsidRPr="00F31A99" w:rsidR="00F31A99" w:rsidP="00F31A99" w:rsidRDefault="00F31A99" w14:paraId="116DE30F" w14:textId="77777777">
      <w:pPr>
        <w:autoSpaceDN w:val="0"/>
        <w:jc w:val="center"/>
        <w:rPr>
          <w:rFonts w:ascii="Times New Roman" w:hAnsi="Times New Roman" w:eastAsia="Calibri" w:cs="Times New Roman"/>
          <w:b/>
          <w:sz w:val="28"/>
          <w:szCs w:val="24"/>
          <w:u w:color="000000"/>
        </w:rPr>
      </w:pPr>
    </w:p>
    <w:p w:rsidRPr="00F31A99" w:rsidR="00F31A99" w:rsidP="00F31A99" w:rsidRDefault="00F31A99" w14:paraId="3FAC8413" w14:textId="77777777">
      <w:pPr>
        <w:autoSpaceDN w:val="0"/>
        <w:ind w:left="851" w:right="851" w:firstLine="709"/>
        <w:jc w:val="both"/>
        <w:rPr>
          <w:rFonts w:ascii="Times New Roman" w:hAnsi="Times New Roman" w:eastAsia="Calibri" w:cs="Times New Roman"/>
          <w:sz w:val="26"/>
          <w:szCs w:val="26"/>
          <w:u w:color="000000"/>
        </w:rPr>
      </w:pPr>
      <w:r w:rsidRPr="00F31A99">
        <w:rPr>
          <w:rFonts w:ascii="Times New Roman" w:hAnsi="Times New Roman" w:eastAsia="Calibri" w:cs="Times New Roman"/>
          <w:sz w:val="26"/>
          <w:szCs w:val="26"/>
          <w:u w:color="000000"/>
        </w:rPr>
        <w:t>Las Directrices Técnicas para la Programación Anual y Formulación del Anteproyecto de Presupuesto 2022, establecen para estas subpartidas lo siguiente:</w:t>
      </w:r>
    </w:p>
    <w:p w:rsidRPr="00F31A99" w:rsidR="00F31A99" w:rsidP="00F31A99" w:rsidRDefault="00F31A99" w14:paraId="5853ADA2" w14:textId="77777777">
      <w:pPr>
        <w:tabs>
          <w:tab w:val="left" w:pos="360"/>
        </w:tabs>
        <w:suppressAutoHyphens/>
        <w:autoSpaceDN w:val="0"/>
        <w:spacing w:line="360" w:lineRule="auto"/>
        <w:ind w:left="360"/>
        <w:jc w:val="both"/>
        <w:rPr>
          <w:rFonts w:ascii="Times New Roman" w:hAnsi="Times New Roman" w:eastAsia="Times New Roman" w:cs="Times New Roman"/>
          <w:sz w:val="24"/>
          <w:szCs w:val="24"/>
          <w:u w:color="000000"/>
          <w:lang w:eastAsia="es-ES"/>
        </w:rPr>
      </w:pPr>
    </w:p>
    <w:p w:rsidRPr="00F31A99" w:rsidR="00F31A99" w:rsidP="00F31A99" w:rsidRDefault="00F31A99" w14:paraId="1D390CCD" w14:textId="77777777">
      <w:pPr>
        <w:numPr>
          <w:ilvl w:val="0"/>
          <w:numId w:val="3"/>
        </w:numPr>
        <w:autoSpaceDN w:val="0"/>
        <w:ind w:right="851"/>
        <w:jc w:val="both"/>
        <w:rPr>
          <w:rFonts w:ascii="Times New Roman" w:hAnsi="Times New Roman" w:eastAsia="Times New Roman" w:cs="Times New Roman"/>
          <w:bCs/>
          <w:sz w:val="26"/>
          <w:szCs w:val="26"/>
          <w:u w:color="000000"/>
          <w:lang w:eastAsia="es-ES"/>
        </w:rPr>
      </w:pPr>
      <w:r w:rsidRPr="00F31A99">
        <w:rPr>
          <w:rFonts w:ascii="Times New Roman" w:hAnsi="Times New Roman" w:eastAsia="Times New Roman" w:cs="Times New Roman"/>
          <w:bCs/>
          <w:sz w:val="26"/>
          <w:szCs w:val="26"/>
          <w:u w:color="000000"/>
          <w:lang w:eastAsia="es-ES"/>
        </w:rPr>
        <w:lastRenderedPageBreak/>
        <w:t>Directriz presupuestaria N°42. Con relación a los Gastos de Viaje y Transporte en el Interior del País, de acuerdo con los lineamientos para formulación presupuestaria 2014, aprobados por Consejo Superior en la sesión N°12-13, artículo VII y acogidos por Corte Plena en sesiones Nº13-13, artículo XLIV y Nº28-2017, artículo XV, se aprobó que se deben limitar las giras y en su lugar, hacer uso de medios tecnológicos para realizar reuniones, conversatorios, actividades de capacitación y diligencias judiciales. De manera que en el anteproyecto del 2022 los montos formulados se comparan con los aprobados para el año anterior, manteniendo un monto menor o igual al 2021.</w:t>
      </w:r>
    </w:p>
    <w:p w:rsidRPr="00F31A99" w:rsidR="00F31A99" w:rsidP="00F31A99" w:rsidRDefault="00F31A99" w14:paraId="30ACCBFF" w14:textId="77777777">
      <w:pPr>
        <w:autoSpaceDN w:val="0"/>
        <w:ind w:left="851" w:right="851" w:firstLine="431"/>
        <w:jc w:val="both"/>
        <w:rPr>
          <w:rFonts w:ascii="Times New Roman" w:hAnsi="Times New Roman" w:eastAsia="Calibri" w:cs="Times New Roman"/>
          <w:bCs/>
          <w:sz w:val="26"/>
          <w:szCs w:val="26"/>
          <w:u w:color="000000"/>
        </w:rPr>
      </w:pPr>
    </w:p>
    <w:p w:rsidRPr="00F31A99" w:rsidR="00F31A99" w:rsidP="00F31A99" w:rsidRDefault="00F31A99" w14:paraId="701ABFF7" w14:textId="77777777">
      <w:pPr>
        <w:numPr>
          <w:ilvl w:val="0"/>
          <w:numId w:val="3"/>
        </w:numPr>
        <w:autoSpaceDN w:val="0"/>
        <w:ind w:right="851"/>
        <w:jc w:val="both"/>
        <w:rPr>
          <w:rFonts w:ascii="Times New Roman" w:hAnsi="Times New Roman" w:eastAsia="Times New Roman" w:cs="Times New Roman"/>
          <w:bCs/>
          <w:sz w:val="26"/>
          <w:szCs w:val="26"/>
          <w:u w:color="000000"/>
          <w:lang w:eastAsia="es-ES"/>
        </w:rPr>
      </w:pPr>
      <w:r w:rsidRPr="00F31A99">
        <w:rPr>
          <w:rFonts w:ascii="Times New Roman" w:hAnsi="Times New Roman" w:eastAsia="Times New Roman" w:cs="Times New Roman"/>
          <w:bCs/>
          <w:sz w:val="26"/>
          <w:szCs w:val="26"/>
          <w:u w:color="000000"/>
          <w:lang w:eastAsia="es-ES"/>
        </w:rPr>
        <w:t>Directriz presupuestaria N°41. Con relación a los Gastos de Viaje y Transporte al Exterior del país, como medida de contención del gasto, la Corte Plena en sesión N°28-2017, artículo XV, aprobó restringir las autorizaciones para viajes al exterior, realizando únicamente aquellos viajes oficiales de interés institucional que sean estricta y absolutamente necesarios, en los cuales todos los gastos sean cubiertos por la entidad organizadora, se exceptúa de lo anterior, los viajes para atender compromisos previamente adquiridos relacionados con las Cumbres Judiciales y la Interpol. Al igual que restringir el pago de diferencias o viáticos complementarios cuando sea procedente.</w:t>
      </w:r>
      <w:r w:rsidRPr="00F31A99">
        <w:rPr>
          <w:rFonts w:ascii="Times New Roman" w:hAnsi="Times New Roman" w:eastAsia="Times New Roman" w:cs="Times New Roman"/>
          <w:sz w:val="24"/>
          <w:szCs w:val="24"/>
          <w:u w:color="000000"/>
          <w:lang w:eastAsia="es-ES"/>
        </w:rPr>
        <w:footnoteReference w:id="1"/>
      </w:r>
      <w:r w:rsidRPr="00F31A99">
        <w:rPr>
          <w:rFonts w:ascii="Times New Roman" w:hAnsi="Times New Roman" w:eastAsia="Times New Roman" w:cs="Times New Roman"/>
          <w:bCs/>
          <w:sz w:val="26"/>
          <w:szCs w:val="26"/>
          <w:u w:color="000000"/>
          <w:lang w:eastAsia="es-ES"/>
        </w:rPr>
        <w:t xml:space="preserve"> Posteriormente, el Consejo Superior en la sesión N°12-13, artículo VII y Corte Plena en la sesión N°13-13, artículo XLIV, aprueban los lineamientos para formulación presupuestaria 2014, en donde se acuerda que, en Gastos de Viaje y Transporte en el Exterior del País, se debe mantener el mismo monto del presupuesto aprobado para el año anterior. </w:t>
      </w:r>
    </w:p>
    <w:p w:rsidRPr="00F31A99" w:rsidR="00F31A99" w:rsidP="00F31A99" w:rsidRDefault="00F31A99" w14:paraId="4D4347C3" w14:textId="77777777">
      <w:pPr>
        <w:tabs>
          <w:tab w:val="left" w:pos="360"/>
        </w:tabs>
        <w:suppressAutoHyphens/>
        <w:autoSpaceDN w:val="0"/>
        <w:spacing w:line="360" w:lineRule="auto"/>
        <w:ind w:left="360"/>
        <w:jc w:val="both"/>
        <w:rPr>
          <w:rFonts w:ascii="Times New Roman" w:hAnsi="Times New Roman" w:eastAsia="Times New Roman" w:cs="Times New Roman"/>
          <w:sz w:val="24"/>
          <w:szCs w:val="24"/>
          <w:u w:color="000000"/>
          <w:lang w:eastAsia="es-ES"/>
        </w:rPr>
      </w:pPr>
    </w:p>
    <w:p w:rsidRPr="00F31A99" w:rsidR="00F31A99" w:rsidP="00F31A99" w:rsidRDefault="00F31A99" w14:paraId="2924E65F"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Adicionalmente, se debe considerar que los gastos que se autoricen por estas subpartidas deben corresponder a aquellos compromisos a nivel internacional previamente adquiridos por el Poder Judicial y se debe justificar explicando claramente la necesidad y el beneficio que recibirá la Institución.</w:t>
      </w:r>
    </w:p>
    <w:p w:rsidRPr="00F31A99" w:rsidR="00F31A99" w:rsidP="00F31A99" w:rsidRDefault="00F31A99" w14:paraId="07A69EE2" w14:textId="77777777">
      <w:pPr>
        <w:tabs>
          <w:tab w:val="left" w:pos="360"/>
        </w:tabs>
        <w:suppressAutoHyphens/>
        <w:autoSpaceDN w:val="0"/>
        <w:spacing w:line="360" w:lineRule="auto"/>
        <w:ind w:left="360"/>
        <w:jc w:val="both"/>
        <w:rPr>
          <w:rFonts w:ascii="Times New Roman" w:hAnsi="Times New Roman" w:eastAsia="Times New Roman" w:cs="Times New Roman"/>
          <w:sz w:val="24"/>
          <w:szCs w:val="24"/>
          <w:u w:color="000000"/>
          <w:lang w:eastAsia="es-ES"/>
        </w:rPr>
      </w:pPr>
    </w:p>
    <w:p w:rsidRPr="00F31A99" w:rsidR="00F31A99" w:rsidP="00F31A99" w:rsidRDefault="00F31A99" w14:paraId="1E2A0BCF"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las subpartidas 10503 Transporte en el Exterior y 10504 Viáticos en el Exterior para el 2021 se formularon en la Presidencia de la Corte ¢8.321.047 y ¢7.911.211 respectivamente, los cuales se recortaron en el Ministerio de Hacienda ¢12.732.258 y la Asamblea Legislativa ¢3.500.000, quedando en cero.</w:t>
      </w:r>
    </w:p>
    <w:p w:rsidRPr="00F31A99" w:rsidR="00F31A99" w:rsidP="00F31A99" w:rsidRDefault="00F31A99" w14:paraId="4E13D785" w14:textId="77777777">
      <w:pPr>
        <w:tabs>
          <w:tab w:val="left" w:pos="360"/>
        </w:tabs>
        <w:suppressAutoHyphens/>
        <w:autoSpaceDN w:val="0"/>
        <w:spacing w:line="360" w:lineRule="auto"/>
        <w:ind w:left="360"/>
        <w:jc w:val="both"/>
        <w:rPr>
          <w:rFonts w:ascii="Times New Roman" w:hAnsi="Times New Roman" w:eastAsia="Times New Roman" w:cs="Times New Roman"/>
          <w:sz w:val="24"/>
          <w:szCs w:val="24"/>
          <w:u w:color="000000"/>
          <w:lang w:eastAsia="es-ES"/>
        </w:rPr>
      </w:pPr>
    </w:p>
    <w:p w:rsidRPr="00F31A99" w:rsidR="00F31A99" w:rsidP="00F31A99" w:rsidRDefault="00F31A99" w14:paraId="6A3FE28E" w14:textId="77777777">
      <w:pPr>
        <w:tabs>
          <w:tab w:val="left" w:pos="360"/>
        </w:tabs>
        <w:suppressAutoHyphens/>
        <w:autoSpaceDN w:val="0"/>
        <w:ind w:left="851" w:right="851" w:firstLine="357"/>
        <w:jc w:val="both"/>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lastRenderedPageBreak/>
        <w:t>Subpartida 10501 transporte dentro del país</w:t>
      </w:r>
    </w:p>
    <w:p w:rsidRPr="00F31A99" w:rsidR="00F31A99" w:rsidP="00F31A99" w:rsidRDefault="00F31A99" w14:paraId="2FE3483D" w14:textId="77777777">
      <w:pPr>
        <w:autoSpaceDN w:val="0"/>
        <w:rPr>
          <w:rFonts w:ascii="Times New Roman" w:hAnsi="Times New Roman" w:eastAsia="Calibri" w:cs="Times New Roman"/>
          <w:sz w:val="24"/>
          <w:szCs w:val="24"/>
          <w:u w:color="000000"/>
        </w:rPr>
      </w:pPr>
    </w:p>
    <w:p w:rsidRPr="00F31A99" w:rsidR="00F31A99" w:rsidP="00F31A99" w:rsidRDefault="00F31A99" w14:paraId="3D572028" w14:textId="77777777">
      <w:pPr>
        <w:numPr>
          <w:ilvl w:val="0"/>
          <w:numId w:val="6"/>
        </w:numPr>
        <w:autoSpaceDN w:val="0"/>
        <w:ind w:left="851" w:right="851" w:firstLine="709"/>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Comportamiento Histórico de la Subpartida</w:t>
      </w:r>
    </w:p>
    <w:p w:rsidRPr="00F31A99" w:rsidR="00F31A99" w:rsidP="00F31A99" w:rsidRDefault="00F31A99" w14:paraId="527969C2" w14:textId="77777777">
      <w:pPr>
        <w:autoSpaceDN w:val="0"/>
        <w:rPr>
          <w:rFonts w:ascii="Times New Roman" w:hAnsi="Times New Roman" w:eastAsia="Calibri" w:cs="Times New Roman"/>
          <w:b/>
          <w:sz w:val="24"/>
          <w:szCs w:val="24"/>
          <w:u w:color="000000"/>
        </w:rPr>
      </w:pPr>
    </w:p>
    <w:p w:rsidRPr="00F31A99" w:rsidR="00F31A99" w:rsidP="00F31A99" w:rsidRDefault="00F31A99" w14:paraId="16DB1F68"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Los recursos formulados en la subpartida 10501 Transporte dentro del País, responden a las necesidades de traslado dentro del territorio nacional cuando los servidores judiciales se desplazan de su lugar de trabajo para realizar sus actividades laborales. También se incluyen recursos para personas externas a la Institución, a través de ayudas económicas para facilitadores judiciales, víctimas y testigos</w:t>
      </w:r>
    </w:p>
    <w:p w:rsidRPr="00F31A99" w:rsidR="00F31A99" w:rsidP="00F31A99" w:rsidRDefault="00F31A99" w14:paraId="6F5089C8"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7FC2B5EA"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Cuadro N°2</w:t>
      </w:r>
    </w:p>
    <w:p w:rsidRPr="00F31A99" w:rsidR="00F31A99" w:rsidP="00F31A99" w:rsidRDefault="00F31A99" w14:paraId="6BC9C060"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 xml:space="preserve">Detalle del Comportamiento Histórico Subpartida 10501 </w:t>
      </w:r>
    </w:p>
    <w:p w:rsidRPr="00F31A99" w:rsidR="00F31A99" w:rsidP="00F31A99" w:rsidRDefault="00F31A99" w14:paraId="35E61225"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Transporte dentro del País, Período 2018-2022</w:t>
      </w:r>
    </w:p>
    <w:p w:rsidRPr="00F31A99" w:rsidR="00F31A99" w:rsidP="00F31A99" w:rsidRDefault="00F31A99" w14:paraId="5652E53D" w14:textId="77777777">
      <w:pPr>
        <w:autoSpaceDN w:val="0"/>
        <w:rPr>
          <w:rFonts w:ascii="Times New Roman" w:hAnsi="Times New Roman" w:eastAsia="Calibri" w:cs="Times New Roman"/>
          <w:b/>
          <w:sz w:val="24"/>
          <w:szCs w:val="24"/>
          <w:u w:color="000000"/>
        </w:rPr>
      </w:pPr>
    </w:p>
    <w:p w:rsidRPr="00F31A99" w:rsidR="00F31A99" w:rsidP="00F31A99" w:rsidRDefault="00F31A99" w14:paraId="45314028" w14:textId="77777777">
      <w:pPr>
        <w:autoSpaceDN w:val="0"/>
        <w:jc w:val="center"/>
        <w:rPr>
          <w:rFonts w:ascii="Times New Roman" w:hAnsi="Times New Roman" w:eastAsia="Calibri" w:cs="Times New Roman"/>
          <w:b/>
          <w:sz w:val="24"/>
          <w:szCs w:val="24"/>
          <w:u w:color="000000"/>
        </w:rPr>
      </w:pPr>
      <w:r w:rsidRPr="00F31A99">
        <w:rPr>
          <w:rFonts w:ascii="Times New Roman" w:hAnsi="Times New Roman" w:eastAsia="Calibri" w:cs="Times New Roman"/>
          <w:noProof/>
          <w:u w:color="000000"/>
        </w:rPr>
        <w:drawing>
          <wp:inline distT="0" distB="0" distL="0" distR="0" wp14:anchorId="40B1F353" wp14:editId="05D098DD">
            <wp:extent cx="6030595" cy="552450"/>
            <wp:effectExtent l="0" t="0" r="825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30595" cy="552450"/>
                    </a:xfrm>
                    <a:prstGeom prst="rect">
                      <a:avLst/>
                    </a:prstGeom>
                    <a:noFill/>
                    <a:ln>
                      <a:noFill/>
                    </a:ln>
                  </pic:spPr>
                </pic:pic>
              </a:graphicData>
            </a:graphic>
          </wp:inline>
        </w:drawing>
      </w:r>
    </w:p>
    <w:p w:rsidRPr="00F31A99" w:rsidR="00F31A99" w:rsidP="00F31A99" w:rsidRDefault="00F31A99" w14:paraId="0D77270F" w14:textId="77777777">
      <w:pPr>
        <w:autoSpaceDN w:val="0"/>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 xml:space="preserve"> 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2F222CD6"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4D1EE508"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el cuadro anterior se muestran los montos formulados en la subpartida 10501 Transporte dentro del País para los últimos 5 años, presentando un decrecimiento en el 2019 y 2020, para el 2021 se incrementa en un 12,45%, pero para el 2022 vuelve a decrecer el porcentaje más alto 21,95% lo cual significa una disminución de ¢27.482.408 menos que el año anterior.</w:t>
      </w:r>
    </w:p>
    <w:p w:rsidRPr="00F31A99" w:rsidR="00F31A99" w:rsidP="00F31A99" w:rsidRDefault="00F31A99" w14:paraId="35455533" w14:textId="77777777">
      <w:pPr>
        <w:autoSpaceDN w:val="0"/>
        <w:rPr>
          <w:rFonts w:ascii="Times New Roman" w:hAnsi="Times New Roman" w:eastAsia="Times New Roman" w:cs="Times New Roman"/>
          <w:b/>
          <w:bCs/>
          <w:sz w:val="24"/>
          <w:szCs w:val="24"/>
          <w:u w:color="000000"/>
          <w:lang w:eastAsia="es-CR"/>
        </w:rPr>
      </w:pPr>
    </w:p>
    <w:p w:rsidRPr="00F31A99" w:rsidR="00F31A99" w:rsidP="00F31A99" w:rsidRDefault="00F31A99" w14:paraId="3FE25194"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Gráfico N°1</w:t>
      </w:r>
    </w:p>
    <w:p w:rsidRPr="00F31A99" w:rsidR="00F31A99" w:rsidP="00F31A99" w:rsidRDefault="00F31A99" w14:paraId="6860829D"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Formulación y Ejecución</w:t>
      </w:r>
      <w:r w:rsidRPr="00F31A99">
        <w:rPr>
          <w:rFonts w:ascii="Times New Roman" w:hAnsi="Times New Roman" w:eastAsia="Calibri" w:cs="Times New Roman"/>
          <w:u w:color="000000"/>
        </w:rPr>
        <w:t xml:space="preserve"> </w:t>
      </w:r>
      <w:r w:rsidRPr="00F31A99">
        <w:rPr>
          <w:rFonts w:ascii="Times New Roman" w:hAnsi="Times New Roman" w:eastAsia="Calibri" w:cs="Times New Roman"/>
          <w:b/>
          <w:sz w:val="26"/>
          <w:szCs w:val="26"/>
          <w:u w:color="000000"/>
        </w:rPr>
        <w:t>Subpartida 10501 Transporte dentro del País,</w:t>
      </w:r>
    </w:p>
    <w:p w:rsidRPr="00F31A99" w:rsidR="00F31A99" w:rsidP="00F31A99" w:rsidRDefault="00F31A99" w14:paraId="597FB7CC"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Período 2018-202 </w:t>
      </w:r>
    </w:p>
    <w:p w:rsidRPr="00F31A99" w:rsidR="00F31A99" w:rsidP="00F31A99" w:rsidRDefault="00F31A99" w14:paraId="13BAE321" w14:textId="77777777">
      <w:pPr>
        <w:autoSpaceDN w:val="0"/>
        <w:jc w:val="center"/>
        <w:rPr>
          <w:rFonts w:ascii="Times New Roman" w:hAnsi="Times New Roman" w:eastAsia="Calibri" w:cs="Times New Roman"/>
          <w:b/>
          <w:sz w:val="24"/>
          <w:szCs w:val="24"/>
          <w:u w:color="000000"/>
        </w:rPr>
      </w:pPr>
    </w:p>
    <w:p w:rsidRPr="00F31A99" w:rsidR="00F31A99" w:rsidP="00F31A99" w:rsidRDefault="00F31A99" w14:paraId="03A8308C" w14:textId="77777777">
      <w:pPr>
        <w:autoSpaceDN w:val="0"/>
        <w:jc w:val="center"/>
        <w:rPr>
          <w:rFonts w:ascii="Times New Roman" w:hAnsi="Times New Roman" w:eastAsia="Times New Roman" w:cs="Times New Roman"/>
          <w:sz w:val="24"/>
          <w:szCs w:val="24"/>
          <w:u w:color="000000"/>
          <w:lang w:eastAsia="es-CR"/>
        </w:rPr>
      </w:pPr>
      <w:r w:rsidRPr="00F31A99">
        <w:rPr>
          <w:rFonts w:ascii="Times New Roman" w:hAnsi="Times New Roman" w:eastAsia="Calibri" w:cs="Times New Roman"/>
          <w:b/>
          <w:noProof/>
          <w:sz w:val="24"/>
          <w:szCs w:val="24"/>
          <w:u w:color="000000"/>
        </w:rPr>
        <w:lastRenderedPageBreak/>
        <w:drawing>
          <wp:inline distT="0" distB="0" distL="0" distR="0" wp14:anchorId="2E85045E" wp14:editId="400558D3">
            <wp:extent cx="5539560" cy="2571750"/>
            <wp:effectExtent l="0" t="0" r="4445"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71556" cy="2586604"/>
                    </a:xfrm>
                    <a:prstGeom prst="rect">
                      <a:avLst/>
                    </a:prstGeom>
                    <a:noFill/>
                    <a:ln>
                      <a:noFill/>
                    </a:ln>
                  </pic:spPr>
                </pic:pic>
              </a:graphicData>
            </a:graphic>
          </wp:inline>
        </w:drawing>
      </w:r>
    </w:p>
    <w:p w:rsidRPr="00F31A99" w:rsidR="00F31A99" w:rsidP="00F31A99" w:rsidRDefault="00F31A99" w14:paraId="665B303E" w14:textId="77777777">
      <w:pPr>
        <w:autoSpaceDN w:val="0"/>
        <w:ind w:firstLine="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53569C01"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En el gráfico anterior se representa la formulación y ejecución presupuestaria de la subpartida 10501 Transporte dentro del País para el periodo comprendido entre el 2018 y 2022. A nivel institucional esta subpartida ha mostrado que la ejecución presupuestaria ha sido mayor a los montos que se han formulado; sin embargo, para el 2020 y producto de la pandemia del Covid-19, la ejecución fue menor. </w:t>
      </w:r>
    </w:p>
    <w:p w:rsidRPr="00F31A99" w:rsidR="00F31A99" w:rsidP="00F31A99" w:rsidRDefault="00F31A99" w14:paraId="3CABB844" w14:textId="77777777">
      <w:pPr>
        <w:autoSpaceDN w:val="0"/>
        <w:spacing w:line="276" w:lineRule="auto"/>
        <w:jc w:val="both"/>
        <w:rPr>
          <w:rFonts w:ascii="Times New Roman" w:hAnsi="Times New Roman" w:eastAsia="Calibri" w:cs="Times New Roman"/>
          <w:sz w:val="24"/>
          <w:szCs w:val="24"/>
          <w:u w:color="000000"/>
        </w:rPr>
      </w:pPr>
    </w:p>
    <w:p w:rsidRPr="00F31A99" w:rsidR="00F31A99" w:rsidP="00F31A99" w:rsidRDefault="00F31A99" w14:paraId="22C8E3BE" w14:textId="77777777">
      <w:pPr>
        <w:numPr>
          <w:ilvl w:val="0"/>
          <w:numId w:val="6"/>
        </w:numPr>
        <w:autoSpaceDN w:val="0"/>
        <w:ind w:left="851" w:right="851" w:firstLine="709"/>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Análisis de la Ejecución Presupuestaria de la Subpartida</w:t>
      </w:r>
    </w:p>
    <w:p w:rsidRPr="00F31A99" w:rsidR="00F31A99" w:rsidP="00F31A99" w:rsidRDefault="00F31A99" w14:paraId="0FD5BE1A" w14:textId="77777777">
      <w:pPr>
        <w:autoSpaceDN w:val="0"/>
        <w:rPr>
          <w:rFonts w:ascii="Times New Roman" w:hAnsi="Times New Roman" w:eastAsia="Calibri" w:cs="Times New Roman"/>
          <w:b/>
          <w:sz w:val="24"/>
          <w:szCs w:val="24"/>
          <w:u w:color="000000"/>
        </w:rPr>
      </w:pPr>
    </w:p>
    <w:p w:rsidRPr="00F31A99" w:rsidR="00F31A99" w:rsidP="00F31A99" w:rsidRDefault="00F31A99" w14:paraId="15EAA944"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Cuadro N°3</w:t>
      </w:r>
    </w:p>
    <w:p w:rsidRPr="00F31A99" w:rsidR="00F31A99" w:rsidP="00F31A99" w:rsidRDefault="00F31A99" w14:paraId="666C438F"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 xml:space="preserve">Ejecución Presupuestaria Subpartida 10501 Transporte dentro del País, </w:t>
      </w:r>
    </w:p>
    <w:p w:rsidRPr="00F31A99" w:rsidR="00F31A99" w:rsidP="00F31A99" w:rsidRDefault="00F31A99" w14:paraId="6268A515"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Período 2018-2020</w:t>
      </w:r>
    </w:p>
    <w:p w:rsidRPr="00F31A99" w:rsidR="00F31A99" w:rsidP="00F31A99" w:rsidRDefault="00F31A99" w14:paraId="6391F230" w14:textId="77777777">
      <w:pPr>
        <w:jc w:val="center"/>
        <w:textAlignment w:val="baseline"/>
        <w:rPr>
          <w:rFonts w:ascii="Times New Roman" w:hAnsi="Times New Roman" w:eastAsia="Times New Roman" w:cs="Times New Roman"/>
          <w:bCs/>
          <w:sz w:val="24"/>
          <w:szCs w:val="24"/>
          <w:u w:color="000000"/>
          <w:lang w:eastAsia="es-CR"/>
        </w:rPr>
      </w:pPr>
    </w:p>
    <w:p w:rsidRPr="00F31A99" w:rsidR="00F31A99" w:rsidP="00F31A99" w:rsidRDefault="00F31A99" w14:paraId="71051A4A" w14:textId="77777777">
      <w:pPr>
        <w:autoSpaceDN w:val="0"/>
        <w:jc w:val="center"/>
        <w:rPr>
          <w:rFonts w:ascii="Times New Roman" w:hAnsi="Times New Roman" w:eastAsia="Calibri" w:cs="Times New Roman"/>
          <w:b/>
          <w:sz w:val="24"/>
          <w:szCs w:val="24"/>
          <w:u w:color="000000"/>
        </w:rPr>
      </w:pPr>
      <w:r w:rsidRPr="00F31A99">
        <w:rPr>
          <w:rFonts w:ascii="Times New Roman" w:hAnsi="Times New Roman" w:eastAsia="Calibri" w:cs="Times New Roman"/>
          <w:noProof/>
          <w:u w:color="000000"/>
        </w:rPr>
        <w:drawing>
          <wp:inline distT="0" distB="0" distL="0" distR="0" wp14:anchorId="282D65DA" wp14:editId="70A935CF">
            <wp:extent cx="3536587" cy="1225550"/>
            <wp:effectExtent l="0" t="0" r="698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40230" cy="1226813"/>
                    </a:xfrm>
                    <a:prstGeom prst="rect">
                      <a:avLst/>
                    </a:prstGeom>
                    <a:noFill/>
                    <a:ln>
                      <a:noFill/>
                    </a:ln>
                  </pic:spPr>
                </pic:pic>
              </a:graphicData>
            </a:graphic>
          </wp:inline>
        </w:drawing>
      </w:r>
    </w:p>
    <w:p w:rsidRPr="00F31A99" w:rsidR="00F31A99" w:rsidP="00F31A99" w:rsidRDefault="00F31A99" w14:paraId="6BCE7693" w14:textId="77777777">
      <w:pPr>
        <w:autoSpaceDN w:val="0"/>
        <w:ind w:left="1416" w:firstLine="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6AA7E29B" w14:textId="77777777">
      <w:pPr>
        <w:autoSpaceDN w:val="0"/>
        <w:ind w:left="1416" w:firstLine="708"/>
        <w:rPr>
          <w:rFonts w:ascii="Times New Roman" w:hAnsi="Times New Roman" w:eastAsia="Calibri" w:cs="Times New Roman"/>
          <w:sz w:val="16"/>
          <w:szCs w:val="24"/>
          <w:u w:color="000000"/>
        </w:rPr>
      </w:pPr>
    </w:p>
    <w:p w:rsidRPr="00F31A99" w:rsidR="00F31A99" w:rsidP="00F31A99" w:rsidRDefault="00F31A99" w14:paraId="45AD423A"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En el 2018 y 2019 se observa una ejecución presupuestaria por encima del 100%, que aunque no son diferencias muy elevadas, reflejan que lo que se está formulando se ha tenido que reforzar para cumplir con las necesidades ordinarias de la Institución. Específicamente en el 2020 en esta subpartida se cedieron ¢4.488.365, aunado además a la situación particular producto de la </w:t>
      </w:r>
      <w:r w:rsidRPr="00F31A99">
        <w:rPr>
          <w:rFonts w:ascii="Times New Roman" w:hAnsi="Times New Roman" w:eastAsia="Times New Roman" w:cs="Times New Roman"/>
          <w:sz w:val="26"/>
          <w:szCs w:val="26"/>
          <w:u w:color="000000"/>
          <w:lang w:eastAsia="es-ES"/>
        </w:rPr>
        <w:lastRenderedPageBreak/>
        <w:t>pandemia, por lo que las giras tuvieron que ser suspendidas y dejando únicamente lo estrictamente necesario, mostrando una ejecución de tan solo el 56,99%.</w:t>
      </w:r>
    </w:p>
    <w:p w:rsidRPr="00F31A99" w:rsidR="00F31A99" w:rsidP="00F31A99" w:rsidRDefault="00F31A99" w14:paraId="22D296D2" w14:textId="77777777">
      <w:pPr>
        <w:autoSpaceDN w:val="0"/>
        <w:jc w:val="both"/>
        <w:rPr>
          <w:rFonts w:ascii="Times New Roman" w:hAnsi="Times New Roman" w:eastAsia="Calibri" w:cs="Times New Roman"/>
          <w:b/>
          <w:sz w:val="24"/>
          <w:szCs w:val="24"/>
          <w:u w:color="000000"/>
        </w:rPr>
      </w:pPr>
    </w:p>
    <w:p w:rsidRPr="00F31A99" w:rsidR="00F31A99" w:rsidP="00F31A99" w:rsidRDefault="00F31A99" w14:paraId="03F0B169" w14:textId="77777777">
      <w:pPr>
        <w:numPr>
          <w:ilvl w:val="0"/>
          <w:numId w:val="6"/>
        </w:numPr>
        <w:autoSpaceDN w:val="0"/>
        <w:ind w:left="851" w:right="851" w:firstLine="709"/>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Variación por Programa Presupuestario 2021-2022</w:t>
      </w:r>
    </w:p>
    <w:p w:rsidRPr="00F31A99" w:rsidR="00F31A99" w:rsidP="00F31A99" w:rsidRDefault="00F31A99" w14:paraId="43D2C8AF" w14:textId="77777777">
      <w:pPr>
        <w:autoSpaceDN w:val="0"/>
        <w:rPr>
          <w:rFonts w:ascii="Times New Roman" w:hAnsi="Times New Roman" w:eastAsia="Calibri" w:cs="Times New Roman"/>
          <w:b/>
          <w:sz w:val="24"/>
          <w:szCs w:val="24"/>
          <w:u w:color="000000"/>
        </w:rPr>
      </w:pPr>
    </w:p>
    <w:p w:rsidRPr="00F31A99" w:rsidR="00F31A99" w:rsidP="00F31A99" w:rsidRDefault="00F31A99" w14:paraId="0869BC9E"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Al realizar el análisis comparativo por programa presupuestario de lo formulado en el 2021 y 2022 en esta subpartida, se observa que todos los programas presupuestarios decrecen, siendo los que presentan el porcentaje más alto: el 929 Ministerio Público (-37,78%), 927 Servicio Jurisdiccional (-26,80%) y 926 Dirección y Administración (-23,54%).</w:t>
      </w:r>
    </w:p>
    <w:p w:rsidRPr="00F31A99" w:rsidR="00F31A99" w:rsidP="00F31A99" w:rsidRDefault="00F31A99" w14:paraId="5B75A11C" w14:textId="77777777">
      <w:pPr>
        <w:autoSpaceDN w:val="0"/>
        <w:rPr>
          <w:rFonts w:ascii="Times New Roman" w:hAnsi="Times New Roman" w:eastAsia="Times New Roman" w:cs="Times New Roman"/>
          <w:b/>
          <w:bCs/>
          <w:sz w:val="24"/>
          <w:szCs w:val="24"/>
          <w:u w:color="000000"/>
          <w:lang w:eastAsia="es-CR"/>
        </w:rPr>
      </w:pPr>
    </w:p>
    <w:p w:rsidRPr="00F31A99" w:rsidR="00F31A99" w:rsidP="00F31A99" w:rsidRDefault="00F31A99" w14:paraId="4AB2935A"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Cuadro N°4</w:t>
      </w:r>
    </w:p>
    <w:p w:rsidRPr="00F31A99" w:rsidR="00F31A99" w:rsidP="00F31A99" w:rsidRDefault="00F31A99" w14:paraId="3FCBB7EA"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Formulación Presupuestaria por Programa Presupuestario Subpartida 10501 Transporte dentro del País, Período 2021–2022</w:t>
      </w:r>
    </w:p>
    <w:p w:rsidRPr="00F31A99" w:rsidR="00F31A99" w:rsidP="00F31A99" w:rsidRDefault="00F31A99" w14:paraId="055B6C25" w14:textId="77777777">
      <w:pPr>
        <w:autoSpaceDN w:val="0"/>
        <w:rPr>
          <w:rFonts w:ascii="Times New Roman" w:hAnsi="Times New Roman" w:eastAsia="Calibri" w:cs="Times New Roman"/>
          <w:b/>
          <w:sz w:val="24"/>
          <w:szCs w:val="24"/>
          <w:u w:color="000000"/>
        </w:rPr>
      </w:pPr>
    </w:p>
    <w:p w:rsidRPr="00F31A99" w:rsidR="00F31A99" w:rsidP="00F31A99" w:rsidRDefault="00F31A99" w14:paraId="1F507CA5" w14:textId="77777777">
      <w:pPr>
        <w:autoSpaceDN w:val="0"/>
        <w:jc w:val="center"/>
        <w:rPr>
          <w:rFonts w:ascii="Times New Roman" w:hAnsi="Times New Roman" w:eastAsia="Calibri" w:cs="Times New Roman"/>
          <w:b/>
          <w:sz w:val="24"/>
          <w:szCs w:val="24"/>
          <w:u w:color="000000"/>
        </w:rPr>
      </w:pPr>
      <w:r w:rsidRPr="00F31A99">
        <w:rPr>
          <w:rFonts w:ascii="Times New Roman" w:hAnsi="Times New Roman" w:eastAsia="Calibri" w:cs="Times New Roman"/>
          <w:noProof/>
          <w:u w:color="000000"/>
        </w:rPr>
        <w:drawing>
          <wp:inline distT="0" distB="0" distL="0" distR="0" wp14:anchorId="26822955" wp14:editId="6A786157">
            <wp:extent cx="6030595" cy="1315085"/>
            <wp:effectExtent l="0" t="0" r="825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30595" cy="1315085"/>
                    </a:xfrm>
                    <a:prstGeom prst="rect">
                      <a:avLst/>
                    </a:prstGeom>
                    <a:noFill/>
                    <a:ln>
                      <a:noFill/>
                    </a:ln>
                  </pic:spPr>
                </pic:pic>
              </a:graphicData>
            </a:graphic>
          </wp:inline>
        </w:drawing>
      </w:r>
    </w:p>
    <w:p w:rsidRPr="00F31A99" w:rsidR="00F31A99" w:rsidP="00F31A99" w:rsidRDefault="00F31A99" w14:paraId="6DCA7811" w14:textId="77777777">
      <w:pPr>
        <w:autoSpaceDN w:val="0"/>
        <w:jc w:val="center"/>
        <w:rPr>
          <w:rFonts w:ascii="Times New Roman" w:hAnsi="Times New Roman" w:eastAsia="Calibri" w:cs="Times New Roman"/>
          <w:b/>
          <w:sz w:val="24"/>
          <w:szCs w:val="24"/>
          <w:u w:color="000000"/>
        </w:rPr>
      </w:pPr>
    </w:p>
    <w:p w:rsidRPr="00F31A99" w:rsidR="00F31A99" w:rsidP="00F31A99" w:rsidRDefault="00F31A99" w14:paraId="0B6D11E0" w14:textId="77777777">
      <w:pPr>
        <w:autoSpaceDN w:val="0"/>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72536EDA" w14:textId="77777777">
      <w:pPr>
        <w:textAlignment w:val="baseline"/>
        <w:rPr>
          <w:rFonts w:ascii="Times New Roman" w:hAnsi="Times New Roman" w:eastAsia="Times New Roman" w:cs="Times New Roman"/>
          <w:b/>
          <w:bCs/>
          <w:sz w:val="24"/>
          <w:szCs w:val="24"/>
          <w:u w:color="000000"/>
          <w:lang w:eastAsia="es-CR"/>
        </w:rPr>
      </w:pPr>
    </w:p>
    <w:p w:rsidRPr="00F31A99" w:rsidR="00F31A99" w:rsidP="00F31A99" w:rsidRDefault="00F31A99" w14:paraId="05D08F0B" w14:textId="77777777">
      <w:pPr>
        <w:autoSpaceDN w:val="0"/>
        <w:spacing w:line="360" w:lineRule="auto"/>
        <w:jc w:val="both"/>
        <w:rPr>
          <w:rFonts w:ascii="Times New Roman" w:hAnsi="Times New Roman" w:eastAsia="Calibri" w:cs="Times New Roman"/>
          <w:sz w:val="24"/>
          <w:szCs w:val="24"/>
          <w:u w:color="000000"/>
        </w:rPr>
      </w:pPr>
      <w:r w:rsidRPr="00F31A99">
        <w:rPr>
          <w:rFonts w:ascii="Times New Roman" w:hAnsi="Times New Roman" w:eastAsia="Times New Roman" w:cs="Times New Roman"/>
          <w:sz w:val="26"/>
          <w:szCs w:val="26"/>
          <w:u w:color="000000"/>
          <w:lang w:eastAsia="es-ES"/>
        </w:rPr>
        <w:t>Posiblemente el decrecimiento que se muestra en todos los programas presupuestarios está marcado por la incertidumbre de si en el 2022, aún se continuará con las restricciones a nivel de giras y traslados producto de la pandemia, pero también podría ser un cambio en la forma de realizar las labores a nivel institucional como consecuencia de un año en el que se tuvo que visualizar otra forma de trabajar y seguir adelante</w:t>
      </w:r>
      <w:r w:rsidRPr="00F31A99">
        <w:rPr>
          <w:rFonts w:ascii="Times New Roman" w:hAnsi="Times New Roman" w:eastAsia="Calibri" w:cs="Times New Roman"/>
          <w:sz w:val="24"/>
          <w:szCs w:val="24"/>
          <w:u w:color="000000"/>
        </w:rPr>
        <w:t xml:space="preserve">. </w:t>
      </w:r>
    </w:p>
    <w:p w:rsidRPr="00F31A99" w:rsidR="00F31A99" w:rsidP="00F31A99" w:rsidRDefault="00F31A99" w14:paraId="2D0C5790" w14:textId="77777777">
      <w:pPr>
        <w:autoSpaceDN w:val="0"/>
        <w:rPr>
          <w:rFonts w:ascii="Times New Roman" w:hAnsi="Times New Roman" w:eastAsia="Times New Roman" w:cs="Times New Roman"/>
          <w:b/>
          <w:bCs/>
          <w:sz w:val="24"/>
          <w:szCs w:val="24"/>
          <w:u w:color="000000"/>
          <w:lang w:eastAsia="es-CR"/>
        </w:rPr>
      </w:pPr>
    </w:p>
    <w:p w:rsidRPr="00F31A99" w:rsidR="00F31A99" w:rsidP="00F31A99" w:rsidRDefault="00F31A99" w14:paraId="4D87FC7D"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Gráfico N°2</w:t>
      </w:r>
    </w:p>
    <w:p w:rsidRPr="00F31A99" w:rsidR="00F31A99" w:rsidP="00F31A99" w:rsidRDefault="00F31A99" w14:paraId="74EE24B1"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Distribución de la Subpartida 10501 Transporte dentro del País por Programa Presupuestario, Período 2022</w:t>
      </w:r>
    </w:p>
    <w:p w:rsidRPr="00F31A99" w:rsidR="00F31A99" w:rsidP="00F31A99" w:rsidRDefault="00F31A99" w14:paraId="6F029FF8" w14:textId="77777777">
      <w:pPr>
        <w:jc w:val="center"/>
        <w:textAlignment w:val="baseline"/>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24"/>
          <w:szCs w:val="24"/>
          <w:u w:color="000000"/>
          <w:lang w:eastAsia="es-CR"/>
        </w:rPr>
        <w:t> </w:t>
      </w:r>
    </w:p>
    <w:p w:rsidRPr="00F31A99" w:rsidR="00F31A99" w:rsidP="00F31A99" w:rsidRDefault="00F31A99" w14:paraId="52BFEF18" w14:textId="77777777">
      <w:pPr>
        <w:autoSpaceDN w:val="0"/>
        <w:jc w:val="center"/>
        <w:rPr>
          <w:rFonts w:ascii="Times New Roman" w:hAnsi="Times New Roman" w:eastAsia="Calibri" w:cs="Times New Roman"/>
          <w:b/>
          <w:sz w:val="24"/>
          <w:szCs w:val="24"/>
          <w:u w:color="000000"/>
        </w:rPr>
      </w:pPr>
      <w:r w:rsidRPr="00F31A99">
        <w:rPr>
          <w:rFonts w:ascii="Times New Roman" w:hAnsi="Times New Roman" w:eastAsia="Calibri" w:cs="Times New Roman"/>
          <w:noProof/>
          <w:u w:color="000000"/>
        </w:rPr>
        <w:lastRenderedPageBreak/>
        <w:drawing>
          <wp:inline distT="0" distB="0" distL="0" distR="0" wp14:anchorId="273B410A" wp14:editId="273AEED5">
            <wp:extent cx="5111823" cy="30162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129943" cy="3026942"/>
                    </a:xfrm>
                    <a:prstGeom prst="rect">
                      <a:avLst/>
                    </a:prstGeom>
                    <a:noFill/>
                    <a:ln>
                      <a:noFill/>
                    </a:ln>
                  </pic:spPr>
                </pic:pic>
              </a:graphicData>
            </a:graphic>
          </wp:inline>
        </w:drawing>
      </w:r>
    </w:p>
    <w:p w:rsidRPr="00F31A99" w:rsidR="00F31A99" w:rsidP="00F31A99" w:rsidRDefault="00F31A99" w14:paraId="28444B41" w14:textId="77777777">
      <w:pPr>
        <w:autoSpaceDN w:val="0"/>
        <w:ind w:firstLine="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5F07C6CA" w14:textId="77777777">
      <w:pPr>
        <w:autoSpaceDN w:val="0"/>
        <w:rPr>
          <w:rFonts w:ascii="Times New Roman" w:hAnsi="Times New Roman" w:eastAsia="Calibri" w:cs="Times New Roman"/>
          <w:b/>
          <w:sz w:val="24"/>
          <w:szCs w:val="24"/>
          <w:u w:color="000000"/>
        </w:rPr>
      </w:pPr>
    </w:p>
    <w:p w:rsidRPr="00F31A99" w:rsidR="00F31A99" w:rsidP="00F31A99" w:rsidRDefault="00F31A99" w14:paraId="48622CD7"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Como lo muestra el gráfico anterior, el programa presupuestario con más recursos formulados para el 2022 en la subpartida 10501 Transporte dentro del País, es el 926 Dirección y Administración, con un 42,66%, seguido el 927 Servicio Jurisdiccional con un 23,26%, 930 Defensa Pública con el 14,55%, programa 928 Organismo de Investigación Judicial un 11,64%, el 929 Ministerio Público un 7,10% y el 950 Programa de Atención y Protección de Víctimas y Testigos un 0,79%. </w:t>
      </w:r>
    </w:p>
    <w:p w:rsidRPr="00F31A99" w:rsidR="00F31A99" w:rsidP="00F31A99" w:rsidRDefault="00F31A99" w14:paraId="795F1ECD" w14:textId="77777777">
      <w:pPr>
        <w:autoSpaceDN w:val="0"/>
        <w:spacing w:line="360" w:lineRule="auto"/>
        <w:ind w:right="-851"/>
        <w:jc w:val="both"/>
        <w:rPr>
          <w:rFonts w:ascii="Times New Roman" w:hAnsi="Times New Roman" w:eastAsia="Calibri" w:cs="Times New Roman"/>
          <w:sz w:val="24"/>
          <w:szCs w:val="24"/>
          <w:u w:color="000000"/>
        </w:rPr>
      </w:pPr>
    </w:p>
    <w:p w:rsidRPr="00F31A99" w:rsidR="00F31A99" w:rsidP="00F31A99" w:rsidRDefault="00F31A99" w14:paraId="512D917D" w14:textId="77777777">
      <w:pPr>
        <w:numPr>
          <w:ilvl w:val="0"/>
          <w:numId w:val="6"/>
        </w:numPr>
        <w:autoSpaceDN w:val="0"/>
        <w:ind w:left="851" w:right="851" w:firstLine="709"/>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Distribución por Centro de Responsabilidad</w:t>
      </w:r>
    </w:p>
    <w:p w:rsidRPr="00F31A99" w:rsidR="00F31A99" w:rsidP="00F31A99" w:rsidRDefault="00F31A99" w14:paraId="5C333B5B" w14:textId="77777777">
      <w:pPr>
        <w:jc w:val="both"/>
        <w:textAlignment w:val="baseline"/>
        <w:rPr>
          <w:rFonts w:ascii="Times New Roman" w:hAnsi="Times New Roman" w:eastAsia="Times New Roman" w:cs="Times New Roman"/>
          <w:sz w:val="18"/>
          <w:szCs w:val="18"/>
          <w:u w:color="000000"/>
          <w:lang w:eastAsia="es-CR"/>
        </w:rPr>
      </w:pPr>
    </w:p>
    <w:p w:rsidRPr="00F31A99" w:rsidR="00F31A99" w:rsidP="00F31A99" w:rsidRDefault="00F31A99" w14:paraId="3478EED2"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la siguiente tabla se muestran los 10 centros de responsabilidad con más recursos formulados en el anteproyecto de presupuesto 2022, en la subpartida 10501 Transporte dentro del País. El comportamiento a nivel de centros de responsabilidad también presenta un decrecimiento generalizado en los recursos solicitados para el 2022.</w:t>
      </w:r>
    </w:p>
    <w:p w:rsidRPr="00F31A99" w:rsidR="00F31A99" w:rsidP="00F31A99" w:rsidRDefault="00F31A99" w14:paraId="1E6EC32F" w14:textId="77777777">
      <w:pPr>
        <w:autoSpaceDN w:val="0"/>
        <w:rPr>
          <w:rFonts w:ascii="Times New Roman" w:hAnsi="Times New Roman" w:eastAsia="Times New Roman" w:cs="Times New Roman"/>
          <w:b/>
          <w:bCs/>
          <w:sz w:val="24"/>
          <w:szCs w:val="24"/>
          <w:u w:color="000000"/>
          <w:lang w:eastAsia="es-CR"/>
        </w:rPr>
      </w:pPr>
    </w:p>
    <w:p w:rsidRPr="00F31A99" w:rsidR="00F31A99" w:rsidP="00F31A99" w:rsidRDefault="00F31A99" w14:paraId="1A42B433"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Cuadro N°5 </w:t>
      </w:r>
    </w:p>
    <w:p w:rsidRPr="00F31A99" w:rsidR="00F31A99" w:rsidP="00F31A99" w:rsidRDefault="00F31A99" w14:paraId="0C07BF01"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Distribución Subpartida 10501 Transporte dentro del País de los Centros de Responsabilidad con más recursos, Período 2021-2022</w:t>
      </w:r>
    </w:p>
    <w:p w:rsidRPr="00F31A99" w:rsidR="00F31A99" w:rsidP="00F31A99" w:rsidRDefault="00F31A99" w14:paraId="20373EDD" w14:textId="77777777">
      <w:pPr>
        <w:autoSpaceDN w:val="0"/>
        <w:rPr>
          <w:rFonts w:ascii="Times New Roman" w:hAnsi="Times New Roman" w:eastAsia="Calibri" w:cs="Times New Roman"/>
          <w:b/>
          <w:sz w:val="24"/>
          <w:szCs w:val="24"/>
          <w:u w:color="000000"/>
        </w:rPr>
      </w:pPr>
    </w:p>
    <w:p w:rsidRPr="00F31A99" w:rsidR="00F31A99" w:rsidP="00F31A99" w:rsidRDefault="00F31A99" w14:paraId="0273724A" w14:textId="77777777">
      <w:pPr>
        <w:autoSpaceDN w:val="0"/>
        <w:jc w:val="center"/>
        <w:rPr>
          <w:rFonts w:ascii="Times New Roman" w:hAnsi="Times New Roman" w:eastAsia="Calibri" w:cs="Times New Roman"/>
          <w:b/>
          <w:sz w:val="24"/>
          <w:szCs w:val="24"/>
          <w:u w:color="000000"/>
        </w:rPr>
      </w:pPr>
      <w:r w:rsidRPr="00F31A99">
        <w:rPr>
          <w:rFonts w:ascii="Times New Roman" w:hAnsi="Times New Roman" w:eastAsia="Calibri" w:cs="Times New Roman"/>
          <w:b/>
          <w:noProof/>
          <w:sz w:val="24"/>
          <w:szCs w:val="24"/>
          <w:u w:color="000000"/>
        </w:rPr>
        <w:lastRenderedPageBreak/>
        <w:drawing>
          <wp:inline distT="0" distB="0" distL="0" distR="0" wp14:anchorId="1AE91ED3" wp14:editId="7C503607">
            <wp:extent cx="6179547" cy="20828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01519" cy="2090206"/>
                    </a:xfrm>
                    <a:prstGeom prst="rect">
                      <a:avLst/>
                    </a:prstGeom>
                    <a:noFill/>
                    <a:ln>
                      <a:noFill/>
                    </a:ln>
                  </pic:spPr>
                </pic:pic>
              </a:graphicData>
            </a:graphic>
          </wp:inline>
        </w:drawing>
      </w:r>
    </w:p>
    <w:p w:rsidRPr="00F31A99" w:rsidR="00F31A99" w:rsidP="00F31A99" w:rsidRDefault="00F31A99" w14:paraId="21F437BC" w14:textId="77777777">
      <w:pPr>
        <w:autoSpaceDN w:val="0"/>
        <w:ind w:firstLine="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310AD947" w14:textId="77777777">
      <w:pPr>
        <w:jc w:val="center"/>
        <w:textAlignment w:val="baseline"/>
        <w:rPr>
          <w:rFonts w:ascii="Times New Roman" w:hAnsi="Times New Roman" w:eastAsia="Times New Roman" w:cs="Times New Roman"/>
          <w:b/>
          <w:bCs/>
          <w:sz w:val="24"/>
          <w:szCs w:val="24"/>
          <w:u w:color="000000"/>
          <w:lang w:eastAsia="es-CR"/>
        </w:rPr>
      </w:pPr>
    </w:p>
    <w:p w:rsidRPr="00F31A99" w:rsidR="00F31A99" w:rsidP="00F31A99" w:rsidRDefault="00F31A99" w14:paraId="083E4932" w14:textId="77777777">
      <w:pPr>
        <w:jc w:val="both"/>
        <w:textAlignment w:val="baseline"/>
        <w:rPr>
          <w:rFonts w:ascii="Times New Roman" w:hAnsi="Times New Roman" w:eastAsia="Times New Roman" w:cs="Times New Roman"/>
          <w:sz w:val="24"/>
          <w:szCs w:val="24"/>
          <w:u w:color="000000"/>
          <w:lang w:eastAsia="es-CR"/>
        </w:rPr>
      </w:pPr>
    </w:p>
    <w:p w:rsidRPr="00F31A99" w:rsidR="00F31A99" w:rsidP="00F31A99" w:rsidRDefault="00F31A99" w14:paraId="588AB2D1"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Gráfico N°3</w:t>
      </w:r>
    </w:p>
    <w:p w:rsidRPr="00F31A99" w:rsidR="00F31A99" w:rsidP="00F31A99" w:rsidRDefault="00F31A99" w14:paraId="5BFAE9D8"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Distribución Subpartida 10501 Transporte dentro del País por Centro de Responsabilidad, Período 2022</w:t>
      </w:r>
    </w:p>
    <w:p w:rsidRPr="00F31A99" w:rsidR="00F31A99" w:rsidP="00F31A99" w:rsidRDefault="00F31A99" w14:paraId="43E9EF37" w14:textId="77777777">
      <w:pPr>
        <w:autoSpaceDN w:val="0"/>
        <w:rPr>
          <w:rFonts w:ascii="Times New Roman" w:hAnsi="Times New Roman" w:eastAsia="Calibri" w:cs="Times New Roman"/>
          <w:b/>
          <w:sz w:val="24"/>
          <w:szCs w:val="24"/>
          <w:u w:color="000000"/>
        </w:rPr>
      </w:pPr>
    </w:p>
    <w:p w:rsidRPr="00F31A99" w:rsidR="00F31A99" w:rsidP="00F31A99" w:rsidRDefault="00F31A99" w14:paraId="008AF277" w14:textId="77777777">
      <w:pPr>
        <w:autoSpaceDN w:val="0"/>
        <w:ind w:left="-284"/>
        <w:jc w:val="center"/>
        <w:rPr>
          <w:rFonts w:ascii="Times New Roman" w:hAnsi="Times New Roman" w:eastAsia="Calibri" w:cs="Times New Roman"/>
          <w:sz w:val="24"/>
          <w:szCs w:val="24"/>
          <w:u w:color="000000"/>
        </w:rPr>
      </w:pPr>
      <w:r w:rsidRPr="00F31A99">
        <w:rPr>
          <w:rFonts w:ascii="Times New Roman" w:hAnsi="Times New Roman" w:eastAsia="Calibri" w:cs="Times New Roman"/>
          <w:noProof/>
          <w:u w:color="000000"/>
        </w:rPr>
        <w:drawing>
          <wp:inline distT="0" distB="0" distL="0" distR="0" wp14:anchorId="2C359F48" wp14:editId="202C66FF">
            <wp:extent cx="5815330" cy="307026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837455" cy="3081946"/>
                    </a:xfrm>
                    <a:prstGeom prst="rect">
                      <a:avLst/>
                    </a:prstGeom>
                  </pic:spPr>
                </pic:pic>
              </a:graphicData>
            </a:graphic>
          </wp:inline>
        </w:drawing>
      </w:r>
    </w:p>
    <w:p w:rsidRPr="00F31A99" w:rsidR="00F31A99" w:rsidP="00F31A99" w:rsidRDefault="00F31A99" w14:paraId="6D847EC4" w14:textId="77777777">
      <w:pPr>
        <w:autoSpaceDN w:val="0"/>
        <w:ind w:firstLine="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0F00269C" w14:textId="77777777">
      <w:pPr>
        <w:autoSpaceDN w:val="0"/>
        <w:spacing w:line="360" w:lineRule="auto"/>
        <w:ind w:right="-851"/>
        <w:jc w:val="both"/>
        <w:rPr>
          <w:rFonts w:ascii="Times New Roman" w:hAnsi="Times New Roman" w:eastAsia="Calibri" w:cs="Times New Roman"/>
          <w:sz w:val="24"/>
          <w:szCs w:val="24"/>
          <w:u w:color="000000"/>
        </w:rPr>
      </w:pPr>
    </w:p>
    <w:p w:rsidRPr="00F31A99" w:rsidR="00F31A99" w:rsidP="00F31A99" w:rsidRDefault="00F31A99" w14:paraId="13D5E200"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Según se muestra en el gráfico anterior, los centros de responsabilidad con más recursos formulados en esta subpartida para el 2022 son: la Defensa Pública con ¢14.217.600, el Organismo de Investigación Judicial con ¢11.372.126, la Comisión Nacional para el Mejoramiento de la Administración de Justicia con ¢9.447.030, el Ministerio Público ¢6.940.698 y Dirección Ejecutiva ¢5.438.701.</w:t>
      </w:r>
    </w:p>
    <w:p w:rsidRPr="00F31A99" w:rsidR="00F31A99" w:rsidP="00F31A99" w:rsidRDefault="00F31A99" w14:paraId="0F4BDDBD" w14:textId="77777777">
      <w:pPr>
        <w:autoSpaceDN w:val="0"/>
        <w:spacing w:line="360" w:lineRule="auto"/>
        <w:ind w:right="-851"/>
        <w:jc w:val="both"/>
        <w:rPr>
          <w:rFonts w:ascii="Times New Roman" w:hAnsi="Times New Roman" w:eastAsia="Calibri" w:cs="Times New Roman"/>
          <w:sz w:val="24"/>
          <w:szCs w:val="24"/>
          <w:u w:color="000000"/>
        </w:rPr>
      </w:pPr>
    </w:p>
    <w:p w:rsidRPr="00F31A99" w:rsidR="00F31A99" w:rsidP="00F31A99" w:rsidRDefault="00F31A99" w14:paraId="6C8656ED" w14:textId="77777777">
      <w:pPr>
        <w:numPr>
          <w:ilvl w:val="0"/>
          <w:numId w:val="6"/>
        </w:numPr>
        <w:autoSpaceDN w:val="0"/>
        <w:ind w:left="851" w:right="851" w:firstLine="709"/>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lastRenderedPageBreak/>
        <w:t>Variación Distribución por Artículo</w:t>
      </w:r>
    </w:p>
    <w:p w:rsidRPr="00F31A99" w:rsidR="00F31A99" w:rsidP="00F31A99" w:rsidRDefault="00F31A99" w14:paraId="78C1B5EF" w14:textId="77777777">
      <w:pPr>
        <w:autoSpaceDN w:val="0"/>
        <w:ind w:left="708"/>
        <w:rPr>
          <w:rFonts w:ascii="Times New Roman" w:hAnsi="Times New Roman" w:eastAsia="Times New Roman" w:cs="Times New Roman"/>
          <w:b/>
          <w:sz w:val="24"/>
          <w:szCs w:val="24"/>
          <w:u w:color="000000"/>
          <w:lang w:eastAsia="es-ES"/>
        </w:rPr>
      </w:pPr>
    </w:p>
    <w:p w:rsidRPr="00F31A99" w:rsidR="00F31A99" w:rsidP="00F31A99" w:rsidRDefault="00F31A99" w14:paraId="3A6D8B22"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bookmarkStart w:name="_Hlk509579723" w:id="16"/>
      <w:r w:rsidRPr="00F31A99">
        <w:rPr>
          <w:rFonts w:ascii="Times New Roman" w:hAnsi="Times New Roman" w:eastAsia="Times New Roman" w:cs="Times New Roman"/>
          <w:sz w:val="26"/>
          <w:szCs w:val="26"/>
          <w:u w:color="000000"/>
          <w:lang w:eastAsia="es-ES"/>
        </w:rPr>
        <w:t>En la siguiente tabla se representa la variación en la formulación detallada por artículo entre el año 2021 y 2022.</w:t>
      </w:r>
    </w:p>
    <w:p w:rsidRPr="00F31A99" w:rsidR="00F31A99" w:rsidP="00F31A99" w:rsidRDefault="00F31A99" w14:paraId="177F7431" w14:textId="77777777">
      <w:pPr>
        <w:autoSpaceDN w:val="0"/>
        <w:spacing w:line="276" w:lineRule="auto"/>
        <w:ind w:firstLine="709"/>
        <w:jc w:val="both"/>
        <w:rPr>
          <w:rFonts w:ascii="Times New Roman" w:hAnsi="Times New Roman" w:eastAsia="Calibri" w:cs="Times New Roman"/>
          <w:sz w:val="24"/>
          <w:szCs w:val="24"/>
          <w:u w:color="000000"/>
        </w:rPr>
      </w:pPr>
    </w:p>
    <w:p w:rsidRPr="00F31A99" w:rsidR="00F31A99" w:rsidP="00F31A99" w:rsidRDefault="00F31A99" w14:paraId="0F99314E"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Cuadro N°6</w:t>
      </w:r>
    </w:p>
    <w:p w:rsidRPr="00F31A99" w:rsidR="00F31A99" w:rsidP="00F31A99" w:rsidRDefault="00F31A99" w14:paraId="030524FA"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Variación de Recursos Presupuestados por Artículo</w:t>
      </w:r>
    </w:p>
    <w:bookmarkEnd w:id="16"/>
    <w:p w:rsidRPr="00F31A99" w:rsidR="00F31A99" w:rsidP="00F31A99" w:rsidRDefault="00F31A99" w14:paraId="776841AA" w14:textId="77777777">
      <w:pPr>
        <w:autoSpaceDN w:val="0"/>
        <w:ind w:left="284"/>
        <w:jc w:val="center"/>
        <w:rPr>
          <w:rFonts w:ascii="Times New Roman" w:hAnsi="Times New Roman" w:eastAsia="Times New Roman" w:cs="Times New Roman"/>
          <w:b/>
          <w:noProof/>
          <w:sz w:val="24"/>
          <w:szCs w:val="24"/>
          <w:u w:color="000000"/>
          <w:lang w:eastAsia="es-ES"/>
        </w:rPr>
      </w:pPr>
    </w:p>
    <w:p w:rsidRPr="00F31A99" w:rsidR="00F31A99" w:rsidP="00F31A99" w:rsidRDefault="00F31A99" w14:paraId="75AC1576" w14:textId="77777777">
      <w:pPr>
        <w:autoSpaceDN w:val="0"/>
        <w:ind w:left="284"/>
        <w:jc w:val="center"/>
        <w:rPr>
          <w:rFonts w:ascii="Times New Roman" w:hAnsi="Times New Roman" w:eastAsia="Times New Roman" w:cs="Times New Roman"/>
          <w:b/>
          <w:sz w:val="24"/>
          <w:szCs w:val="24"/>
          <w:u w:color="000000"/>
          <w:lang w:eastAsia="es-ES"/>
        </w:rPr>
      </w:pPr>
      <w:r w:rsidRPr="00F31A99">
        <w:rPr>
          <w:rFonts w:ascii="Times New Roman" w:hAnsi="Times New Roman" w:eastAsia="Times New Roman" w:cs="Times New Roman"/>
          <w:noProof/>
          <w:sz w:val="24"/>
          <w:szCs w:val="24"/>
          <w:u w:color="000000"/>
        </w:rPr>
        <w:drawing>
          <wp:inline distT="0" distB="0" distL="0" distR="0" wp14:anchorId="6278164F" wp14:editId="33FCAE17">
            <wp:extent cx="6030595" cy="760095"/>
            <wp:effectExtent l="0" t="0" r="8255" b="190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30595" cy="760095"/>
                    </a:xfrm>
                    <a:prstGeom prst="rect">
                      <a:avLst/>
                    </a:prstGeom>
                    <a:noFill/>
                    <a:ln>
                      <a:noFill/>
                    </a:ln>
                  </pic:spPr>
                </pic:pic>
              </a:graphicData>
            </a:graphic>
          </wp:inline>
        </w:drawing>
      </w:r>
    </w:p>
    <w:p w:rsidRPr="00F31A99" w:rsidR="00F31A99" w:rsidP="00F31A99" w:rsidRDefault="00F31A99" w14:paraId="65C046A0" w14:textId="77777777">
      <w:pPr>
        <w:autoSpaceDN w:val="0"/>
        <w:ind w:firstLine="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1C626495" w14:textId="77777777">
      <w:pPr>
        <w:jc w:val="both"/>
        <w:textAlignment w:val="baseline"/>
        <w:rPr>
          <w:rFonts w:ascii="Times New Roman" w:hAnsi="Times New Roman" w:eastAsia="Times New Roman" w:cs="Times New Roman"/>
          <w:sz w:val="24"/>
          <w:szCs w:val="24"/>
          <w:u w:color="000000"/>
          <w:lang w:eastAsia="es-CR"/>
        </w:rPr>
      </w:pPr>
    </w:p>
    <w:p w:rsidRPr="00F31A99" w:rsidR="00F31A99" w:rsidP="00F31A99" w:rsidRDefault="00F31A99" w14:paraId="05B976A8" w14:textId="77777777">
      <w:pPr>
        <w:numPr>
          <w:ilvl w:val="0"/>
          <w:numId w:val="6"/>
        </w:numPr>
        <w:autoSpaceDN w:val="0"/>
        <w:ind w:left="851" w:right="851" w:firstLine="709"/>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 xml:space="preserve">Síntesis </w:t>
      </w:r>
    </w:p>
    <w:p w:rsidRPr="00F31A99" w:rsidR="00F31A99" w:rsidP="00F31A99" w:rsidRDefault="00F31A99" w14:paraId="3709CC4B" w14:textId="77777777">
      <w:pPr>
        <w:jc w:val="both"/>
        <w:textAlignment w:val="baseline"/>
        <w:rPr>
          <w:rFonts w:ascii="Times New Roman" w:hAnsi="Times New Roman" w:eastAsia="Times New Roman" w:cs="Times New Roman"/>
          <w:sz w:val="24"/>
          <w:szCs w:val="24"/>
          <w:u w:color="000000"/>
          <w:lang w:eastAsia="es-CR"/>
        </w:rPr>
      </w:pPr>
    </w:p>
    <w:p w:rsidRPr="00F31A99" w:rsidR="00F31A99" w:rsidP="00F31A99" w:rsidRDefault="00F31A99" w14:paraId="0DEF3B1B"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síntesis, en la Subpartida 10501 Transporte dentro del País el monto formulado para el 2022 por ¢97.739.527 presenta un decrecimiento de 28,12% con respecto al aprobado para el 2021 que es de ¢125.221.935, cumpliendo con la directriz institucional N°42 que señala que el monto formulado debe ser menor o igual al año anterior.</w:t>
      </w:r>
    </w:p>
    <w:p w:rsidRPr="00F31A99" w:rsidR="00F31A99" w:rsidP="00F31A99" w:rsidRDefault="00F31A99" w14:paraId="2DBB36D4"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02332974" w14:textId="77777777">
      <w:pPr>
        <w:autoSpaceDN w:val="0"/>
        <w:ind w:left="851" w:right="851" w:firstLine="709"/>
        <w:contextualSpacing/>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Subpartida 10502 viáticos dentro del país</w:t>
      </w:r>
    </w:p>
    <w:p w:rsidRPr="00F31A99" w:rsidR="00F31A99" w:rsidP="00F31A99" w:rsidRDefault="00F31A99" w14:paraId="7FC9F0B9" w14:textId="77777777">
      <w:pPr>
        <w:autoSpaceDN w:val="0"/>
        <w:rPr>
          <w:rFonts w:ascii="Times New Roman" w:hAnsi="Times New Roman" w:eastAsia="Calibri" w:cs="Times New Roman"/>
          <w:b/>
          <w:sz w:val="24"/>
          <w:szCs w:val="24"/>
          <w:u w:color="000000"/>
        </w:rPr>
      </w:pPr>
    </w:p>
    <w:p w:rsidRPr="00F31A99" w:rsidR="00F31A99" w:rsidP="00F31A99" w:rsidRDefault="00F31A99" w14:paraId="0124E226" w14:textId="77777777">
      <w:pPr>
        <w:numPr>
          <w:ilvl w:val="0"/>
          <w:numId w:val="30"/>
        </w:numPr>
        <w:autoSpaceDN w:val="0"/>
        <w:ind w:left="851" w:right="851" w:firstLine="357"/>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Comportamiento Histórico de la Subpartida</w:t>
      </w:r>
    </w:p>
    <w:p w:rsidRPr="00F31A99" w:rsidR="00F31A99" w:rsidP="00F31A99" w:rsidRDefault="00F31A99" w14:paraId="7F04766F" w14:textId="77777777">
      <w:pPr>
        <w:autoSpaceDN w:val="0"/>
        <w:rPr>
          <w:rFonts w:ascii="Times New Roman" w:hAnsi="Times New Roman" w:eastAsia="Calibri" w:cs="Times New Roman"/>
          <w:b/>
          <w:sz w:val="28"/>
          <w:szCs w:val="24"/>
          <w:u w:color="000000"/>
        </w:rPr>
      </w:pPr>
    </w:p>
    <w:p w:rsidRPr="00F31A99" w:rsidR="00F31A99" w:rsidP="00F31A99" w:rsidRDefault="00F31A99" w14:paraId="69408E16"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Los recursos formulados en la subpartida 10502 Viáticos dentro del País, responden a las necesidades de hospedaje y alimentación para los servidores judiciales cuando estos se desplazan de su lugar de trabajo para realizar actividades laborales. Además, se incluyen recursos para personas externas a la Institución a través de ayudas económicas para facilitadores judiciales, víctimas y testigos.</w:t>
      </w:r>
    </w:p>
    <w:p w:rsidRPr="00F31A99" w:rsidR="00F31A99" w:rsidP="00F31A99" w:rsidRDefault="00F31A99" w14:paraId="6C97E0D8" w14:textId="77777777">
      <w:pPr>
        <w:autoSpaceDN w:val="0"/>
        <w:ind w:left="851" w:right="851" w:firstLine="709"/>
        <w:jc w:val="center"/>
        <w:rPr>
          <w:rFonts w:ascii="Times New Roman" w:hAnsi="Times New Roman" w:eastAsia="Calibri" w:cs="Times New Roman"/>
          <w:b/>
          <w:sz w:val="26"/>
          <w:szCs w:val="26"/>
          <w:u w:color="000000"/>
        </w:rPr>
      </w:pPr>
    </w:p>
    <w:p w:rsidRPr="00F31A99" w:rsidR="00F31A99" w:rsidP="00F31A99" w:rsidRDefault="00F31A99" w14:paraId="1999AC2B"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Cuadro N°7</w:t>
      </w:r>
    </w:p>
    <w:p w:rsidRPr="00F31A99" w:rsidR="00F31A99" w:rsidP="00F31A99" w:rsidRDefault="00F31A99" w14:paraId="376E9E1A"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 xml:space="preserve">Detalle del Comportamiento Histórico Subpartida 10502 </w:t>
      </w:r>
    </w:p>
    <w:p w:rsidRPr="00F31A99" w:rsidR="00F31A99" w:rsidP="00F31A99" w:rsidRDefault="00F31A99" w14:paraId="29B412EE"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Viáticos dentro del País, Período 2018-2022</w:t>
      </w:r>
    </w:p>
    <w:p w:rsidRPr="00F31A99" w:rsidR="00F31A99" w:rsidP="00F31A99" w:rsidRDefault="00F31A99" w14:paraId="7C46F2DF" w14:textId="77777777">
      <w:pPr>
        <w:jc w:val="center"/>
        <w:textAlignment w:val="baseline"/>
        <w:rPr>
          <w:rFonts w:ascii="Times New Roman" w:hAnsi="Times New Roman" w:eastAsia="Times New Roman" w:cs="Times New Roman"/>
          <w:b/>
          <w:bCs/>
          <w:sz w:val="24"/>
          <w:szCs w:val="24"/>
          <w:u w:color="000000"/>
          <w:lang w:eastAsia="es-CR"/>
        </w:rPr>
      </w:pPr>
    </w:p>
    <w:p w:rsidRPr="00F31A99" w:rsidR="00F31A99" w:rsidP="00F31A99" w:rsidRDefault="00F31A99" w14:paraId="48E060FA" w14:textId="77777777">
      <w:pPr>
        <w:jc w:val="center"/>
        <w:textAlignment w:val="baseline"/>
        <w:rPr>
          <w:rFonts w:ascii="Times New Roman" w:hAnsi="Times New Roman" w:eastAsia="Times New Roman" w:cs="Times New Roman"/>
          <w:sz w:val="18"/>
          <w:szCs w:val="18"/>
          <w:u w:color="000000"/>
          <w:lang w:eastAsia="es-CR"/>
        </w:rPr>
      </w:pPr>
    </w:p>
    <w:p w:rsidRPr="00F31A99" w:rsidR="00F31A99" w:rsidP="00F31A99" w:rsidRDefault="00F31A99" w14:paraId="62F53C59" w14:textId="77777777">
      <w:pPr>
        <w:autoSpaceDN w:val="0"/>
        <w:spacing w:line="360" w:lineRule="auto"/>
        <w:jc w:val="center"/>
        <w:rPr>
          <w:rFonts w:ascii="Times New Roman" w:hAnsi="Times New Roman" w:eastAsia="Calibri" w:cs="Times New Roman"/>
          <w:sz w:val="24"/>
          <w:szCs w:val="24"/>
          <w:u w:color="000000"/>
        </w:rPr>
      </w:pPr>
      <w:r w:rsidRPr="00F31A99">
        <w:rPr>
          <w:rFonts w:ascii="Times New Roman" w:hAnsi="Times New Roman" w:eastAsia="Calibri" w:cs="Times New Roman"/>
          <w:noProof/>
          <w:u w:color="000000"/>
        </w:rPr>
        <w:drawing>
          <wp:inline distT="0" distB="0" distL="0" distR="0" wp14:anchorId="7FAF7694" wp14:editId="0964FDE3">
            <wp:extent cx="6030595" cy="533400"/>
            <wp:effectExtent l="0" t="0" r="825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30595" cy="533400"/>
                    </a:xfrm>
                    <a:prstGeom prst="rect">
                      <a:avLst/>
                    </a:prstGeom>
                    <a:noFill/>
                    <a:ln>
                      <a:noFill/>
                    </a:ln>
                  </pic:spPr>
                </pic:pic>
              </a:graphicData>
            </a:graphic>
          </wp:inline>
        </w:drawing>
      </w:r>
    </w:p>
    <w:p w:rsidRPr="00F31A99" w:rsidR="00F31A99" w:rsidP="00F31A99" w:rsidRDefault="00F31A99" w14:paraId="751900E3" w14:textId="77777777">
      <w:pPr>
        <w:autoSpaceDN w:val="0"/>
        <w:spacing w:line="360" w:lineRule="auto"/>
        <w:jc w:val="both"/>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5B440D82"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lastRenderedPageBreak/>
        <w:t>En el cuadro anterior se muestran los montos formulados en la subpartida 10502 Viáticos dentro del País para los últimos 5 años, se presenta un decrecimiento para el 2020 de 14,06%, para el 2021 crece en un 1,80% pero vuelve a decrecer para el 2022 en un 6,46%, lo cual significa que hay formulados ¢88.714.149 menos que el año anterior.</w:t>
      </w:r>
    </w:p>
    <w:p w:rsidRPr="00F31A99" w:rsidR="00F31A99" w:rsidP="00F31A99" w:rsidRDefault="00F31A99" w14:paraId="5CC7169B"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5CBB251A"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Gráfico N°4</w:t>
      </w:r>
    </w:p>
    <w:p w:rsidRPr="00F31A99" w:rsidR="00F31A99" w:rsidP="00F31A99" w:rsidRDefault="00F31A99" w14:paraId="128B4CC3"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Formulación y Ejecución Subpartida 10502 Viáticos dentro del País</w:t>
      </w:r>
      <w:r w:rsidRPr="00F31A99" w:rsidDel="00B77F7D">
        <w:rPr>
          <w:rFonts w:ascii="Times New Roman" w:hAnsi="Times New Roman" w:eastAsia="Calibri" w:cs="Times New Roman"/>
          <w:b/>
          <w:sz w:val="26"/>
          <w:szCs w:val="26"/>
          <w:u w:color="000000"/>
        </w:rPr>
        <w:t xml:space="preserve"> </w:t>
      </w:r>
    </w:p>
    <w:p w:rsidRPr="00F31A99" w:rsidR="00F31A99" w:rsidP="00F31A99" w:rsidRDefault="00F31A99" w14:paraId="050C810D"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Período 2018-2022 </w:t>
      </w:r>
    </w:p>
    <w:p w:rsidRPr="00F31A99" w:rsidR="00F31A99" w:rsidP="00F31A99" w:rsidRDefault="00F31A99" w14:paraId="4BBF89A4" w14:textId="77777777">
      <w:pPr>
        <w:jc w:val="center"/>
        <w:textAlignment w:val="baseline"/>
        <w:rPr>
          <w:rFonts w:ascii="Times New Roman" w:hAnsi="Times New Roman" w:eastAsia="Times New Roman" w:cs="Times New Roman"/>
          <w:sz w:val="24"/>
          <w:szCs w:val="24"/>
          <w:u w:color="000000"/>
          <w:lang w:eastAsia="es-CR"/>
        </w:rPr>
      </w:pPr>
    </w:p>
    <w:p w:rsidRPr="00F31A99" w:rsidR="00F31A99" w:rsidP="00F31A99" w:rsidRDefault="00F31A99" w14:paraId="0E104215" w14:textId="77777777">
      <w:pPr>
        <w:autoSpaceDN w:val="0"/>
        <w:jc w:val="center"/>
        <w:rPr>
          <w:rFonts w:ascii="Times New Roman" w:hAnsi="Times New Roman" w:eastAsia="Times New Roman" w:cs="Times New Roman"/>
          <w:sz w:val="24"/>
          <w:szCs w:val="24"/>
          <w:u w:color="000000"/>
          <w:lang w:eastAsia="es-CR"/>
        </w:rPr>
      </w:pPr>
      <w:r w:rsidRPr="00F31A99">
        <w:rPr>
          <w:rFonts w:ascii="Times New Roman" w:hAnsi="Times New Roman" w:eastAsia="Times New Roman" w:cs="Times New Roman"/>
          <w:noProof/>
          <w:sz w:val="24"/>
          <w:szCs w:val="24"/>
          <w:u w:color="000000"/>
        </w:rPr>
        <w:drawing>
          <wp:inline distT="0" distB="0" distL="0" distR="0" wp14:anchorId="026C9328" wp14:editId="1A562705">
            <wp:extent cx="5302250" cy="2731242"/>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34751" cy="2747984"/>
                    </a:xfrm>
                    <a:prstGeom prst="rect">
                      <a:avLst/>
                    </a:prstGeom>
                    <a:noFill/>
                    <a:ln>
                      <a:noFill/>
                    </a:ln>
                  </pic:spPr>
                </pic:pic>
              </a:graphicData>
            </a:graphic>
          </wp:inline>
        </w:drawing>
      </w:r>
    </w:p>
    <w:p w:rsidRPr="00F31A99" w:rsidR="00F31A99" w:rsidP="00F31A99" w:rsidRDefault="00F31A99" w14:paraId="20C3C984" w14:textId="77777777">
      <w:pPr>
        <w:autoSpaceDN w:val="0"/>
        <w:jc w:val="center"/>
        <w:rPr>
          <w:rFonts w:ascii="Times New Roman" w:hAnsi="Times New Roman" w:eastAsia="Times New Roman" w:cs="Times New Roman"/>
          <w:sz w:val="24"/>
          <w:szCs w:val="24"/>
          <w:u w:color="000000"/>
          <w:lang w:eastAsia="es-CR"/>
        </w:rPr>
      </w:pPr>
    </w:p>
    <w:p w:rsidRPr="00F31A99" w:rsidR="00F31A99" w:rsidP="00F31A99" w:rsidRDefault="00F31A99" w14:paraId="1216950A" w14:textId="77777777">
      <w:pPr>
        <w:autoSpaceDN w:val="0"/>
        <w:spacing w:line="360" w:lineRule="auto"/>
        <w:ind w:firstLine="708"/>
        <w:jc w:val="both"/>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07604A12"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1406592D"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En el gráfico anterior se representa la formulación y ejecución presupuestaria de la subpartida 10502 Viáticos dentro del País para el periodo del 2018 al 2022. A nivel institucional esta subpartida para el 2018 muestra que la ejecución presupuestaria estuvo por encima de lo formulado, pero para el 2019 y el 2020 el monto ejecutado fue menor a los recursos formulados, sobre todo en este último año que fue afectado por la pandemia. </w:t>
      </w:r>
    </w:p>
    <w:p w:rsidRPr="00F31A99" w:rsidR="00F31A99" w:rsidP="00F31A99" w:rsidRDefault="00F31A99" w14:paraId="5297D582" w14:textId="77777777">
      <w:pPr>
        <w:autoSpaceDN w:val="0"/>
        <w:rPr>
          <w:rFonts w:ascii="Times New Roman" w:hAnsi="Times New Roman" w:eastAsia="Calibri" w:cs="Times New Roman"/>
          <w:b/>
          <w:sz w:val="24"/>
          <w:szCs w:val="24"/>
          <w:u w:color="000000"/>
        </w:rPr>
      </w:pPr>
    </w:p>
    <w:p w:rsidRPr="00F31A99" w:rsidR="00F31A99" w:rsidP="00F31A99" w:rsidRDefault="00F31A99" w14:paraId="25E6C4FA" w14:textId="77777777">
      <w:pPr>
        <w:numPr>
          <w:ilvl w:val="0"/>
          <w:numId w:val="7"/>
        </w:numPr>
        <w:autoSpaceDN w:val="0"/>
        <w:ind w:left="851" w:right="851" w:firstLine="357"/>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Análisis de la Ejecución Presupuestaria de la Subpartida</w:t>
      </w:r>
    </w:p>
    <w:p w:rsidRPr="00F31A99" w:rsidR="00F31A99" w:rsidP="00F31A99" w:rsidRDefault="00F31A99" w14:paraId="211F821D" w14:textId="77777777">
      <w:pPr>
        <w:autoSpaceDN w:val="0"/>
        <w:spacing w:line="276" w:lineRule="auto"/>
        <w:jc w:val="both"/>
        <w:rPr>
          <w:rFonts w:ascii="Times New Roman" w:hAnsi="Times New Roman" w:eastAsia="Calibri" w:cs="Times New Roman"/>
          <w:sz w:val="24"/>
          <w:szCs w:val="24"/>
          <w:u w:color="000000"/>
        </w:rPr>
      </w:pPr>
    </w:p>
    <w:p w:rsidRPr="00F31A99" w:rsidR="00F31A99" w:rsidP="00F31A99" w:rsidRDefault="00F31A99" w14:paraId="50CF5D76"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Cuadro N°8</w:t>
      </w:r>
    </w:p>
    <w:p w:rsidRPr="00F31A99" w:rsidR="00F31A99" w:rsidP="00F31A99" w:rsidRDefault="00F31A99" w14:paraId="3E416A48"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Ejecución Presupuestaria Subpartida 10502 Viáticos dentro del País</w:t>
      </w:r>
    </w:p>
    <w:p w:rsidRPr="00F31A99" w:rsidR="00F31A99" w:rsidP="00F31A99" w:rsidRDefault="00F31A99" w14:paraId="6E973401"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Período 2018-2020</w:t>
      </w:r>
    </w:p>
    <w:p w:rsidRPr="00F31A99" w:rsidR="00F31A99" w:rsidP="00F31A99" w:rsidRDefault="00F31A99" w14:paraId="39B30120" w14:textId="77777777">
      <w:pPr>
        <w:autoSpaceDN w:val="0"/>
        <w:spacing w:line="276" w:lineRule="auto"/>
        <w:jc w:val="both"/>
        <w:rPr>
          <w:rFonts w:ascii="Times New Roman" w:hAnsi="Times New Roman" w:eastAsia="Calibri" w:cs="Times New Roman"/>
          <w:sz w:val="24"/>
          <w:szCs w:val="24"/>
          <w:u w:color="000000"/>
        </w:rPr>
      </w:pPr>
    </w:p>
    <w:p w:rsidRPr="00F31A99" w:rsidR="00F31A99" w:rsidP="00F31A99" w:rsidRDefault="00F31A99" w14:paraId="233EFEB8" w14:textId="77777777">
      <w:pPr>
        <w:autoSpaceDN w:val="0"/>
        <w:spacing w:line="276" w:lineRule="auto"/>
        <w:jc w:val="center"/>
        <w:rPr>
          <w:rFonts w:ascii="Times New Roman" w:hAnsi="Times New Roman" w:eastAsia="Calibri" w:cs="Times New Roman"/>
          <w:sz w:val="24"/>
          <w:szCs w:val="24"/>
          <w:u w:color="000000"/>
        </w:rPr>
      </w:pPr>
      <w:r w:rsidRPr="00F31A99">
        <w:rPr>
          <w:rFonts w:ascii="Times New Roman" w:hAnsi="Times New Roman" w:eastAsia="Calibri" w:cs="Times New Roman"/>
          <w:noProof/>
          <w:u w:color="000000"/>
        </w:rPr>
        <w:lastRenderedPageBreak/>
        <w:drawing>
          <wp:inline distT="0" distB="0" distL="0" distR="0" wp14:anchorId="7623BB37" wp14:editId="53D21A00">
            <wp:extent cx="3479800" cy="1205871"/>
            <wp:effectExtent l="0" t="0" r="635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15214" cy="1218143"/>
                    </a:xfrm>
                    <a:prstGeom prst="rect">
                      <a:avLst/>
                    </a:prstGeom>
                    <a:noFill/>
                    <a:ln>
                      <a:noFill/>
                    </a:ln>
                  </pic:spPr>
                </pic:pic>
              </a:graphicData>
            </a:graphic>
          </wp:inline>
        </w:drawing>
      </w:r>
    </w:p>
    <w:p w:rsidRPr="00F31A99" w:rsidR="00F31A99" w:rsidP="00F31A99" w:rsidRDefault="00F31A99" w14:paraId="42BEA75E" w14:textId="77777777">
      <w:pPr>
        <w:autoSpaceDN w:val="0"/>
        <w:spacing w:line="360" w:lineRule="auto"/>
        <w:ind w:left="1416" w:firstLine="708"/>
        <w:jc w:val="both"/>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2727A8C7"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378295C9"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Como se indicó anteriormente, los últimos dos años presentan una ejecución presupuestaria por debajo de los montos formulados, en el 2020 la ejecución alcanzó tan solo el 67,31% producto como ya se indicó en la subpartida anterior, de la pandemia del Covid-19, esto implica que se quedaron sin ejecutar ¢457.019.562. </w:t>
      </w:r>
    </w:p>
    <w:p w:rsidRPr="00F31A99" w:rsidR="00F31A99" w:rsidP="00F31A99" w:rsidRDefault="00F31A99" w14:paraId="27B92267" w14:textId="77777777">
      <w:pPr>
        <w:autoSpaceDN w:val="0"/>
        <w:spacing w:line="276" w:lineRule="auto"/>
        <w:jc w:val="both"/>
        <w:rPr>
          <w:rFonts w:ascii="Times New Roman" w:hAnsi="Times New Roman" w:eastAsia="Calibri" w:cs="Times New Roman"/>
          <w:sz w:val="24"/>
          <w:szCs w:val="24"/>
          <w:u w:color="000000"/>
        </w:rPr>
      </w:pPr>
    </w:p>
    <w:p w:rsidRPr="00F31A99" w:rsidR="00F31A99" w:rsidP="00F31A99" w:rsidRDefault="00F31A99" w14:paraId="04698FDB" w14:textId="77777777">
      <w:pPr>
        <w:numPr>
          <w:ilvl w:val="0"/>
          <w:numId w:val="7"/>
        </w:numPr>
        <w:autoSpaceDN w:val="0"/>
        <w:ind w:left="851" w:right="851" w:firstLine="357"/>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Variación por Programa Presupuestario 2021-2022</w:t>
      </w:r>
    </w:p>
    <w:p w:rsidRPr="00F31A99" w:rsidR="00F31A99" w:rsidP="00F31A99" w:rsidRDefault="00F31A99" w14:paraId="60C06E24" w14:textId="77777777">
      <w:pPr>
        <w:autoSpaceDN w:val="0"/>
        <w:ind w:left="708"/>
        <w:rPr>
          <w:rFonts w:ascii="Times New Roman" w:hAnsi="Times New Roman" w:eastAsia="Times New Roman" w:cs="Times New Roman"/>
          <w:b/>
          <w:sz w:val="24"/>
          <w:szCs w:val="24"/>
          <w:u w:color="000000"/>
          <w:lang w:eastAsia="es-ES"/>
        </w:rPr>
      </w:pPr>
    </w:p>
    <w:p w:rsidRPr="00F31A99" w:rsidR="00F31A99" w:rsidP="00F31A99" w:rsidRDefault="00F31A99" w14:paraId="514E5403"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Al realizar el análisis comparativo de los recursos formulados en esta subpartida por programa presupuestario, se determina que para el 2022 ninguno está creciendo con respecto a lo formulado para el 2021. El programa 927 Servicio Jurisdiccional decrece un 19,20%, el 926 Dirección y Administración un 12,15%, los programas 929 Ministerio Público y 930 Defensa Pública un decrecimiento del 4,48% y 4,38% respectivamente y por último, los programas 928 Organismo de Investigación Judicial y 950 Programa de Atención y Protección a Víctimas y Testigos se mantienen prácticamente igual que el año anterior. </w:t>
      </w:r>
    </w:p>
    <w:p w:rsidRPr="00F31A99" w:rsidR="00F31A99" w:rsidP="00F31A99" w:rsidRDefault="00F31A99" w14:paraId="44F9D75F" w14:textId="77777777">
      <w:pPr>
        <w:autoSpaceDN w:val="0"/>
        <w:rPr>
          <w:rFonts w:ascii="Times New Roman" w:hAnsi="Times New Roman" w:eastAsia="Times New Roman" w:cs="Times New Roman"/>
          <w:b/>
          <w:bCs/>
          <w:sz w:val="24"/>
          <w:szCs w:val="24"/>
          <w:u w:color="000000"/>
          <w:lang w:eastAsia="es-CR"/>
        </w:rPr>
      </w:pPr>
    </w:p>
    <w:p w:rsidRPr="00F31A99" w:rsidR="00F31A99" w:rsidP="00F31A99" w:rsidRDefault="00F31A99" w14:paraId="3FC84103"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Cuadro N°9</w:t>
      </w:r>
    </w:p>
    <w:p w:rsidRPr="00F31A99" w:rsidR="00F31A99" w:rsidP="00F31A99" w:rsidRDefault="00F31A99" w14:paraId="0072E058"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Formulación Presupuestaria por Programa Presupuestario Subpartida 10502 Viáticos dentro del País, Período 2021–2022</w:t>
      </w:r>
    </w:p>
    <w:p w:rsidRPr="00F31A99" w:rsidR="00F31A99" w:rsidP="00F31A99" w:rsidRDefault="00F31A99" w14:paraId="521531B0" w14:textId="77777777">
      <w:pPr>
        <w:autoSpaceDN w:val="0"/>
        <w:rPr>
          <w:rFonts w:ascii="Times New Roman" w:hAnsi="Times New Roman" w:eastAsia="Calibri" w:cs="Times New Roman"/>
          <w:b/>
          <w:bCs/>
          <w:sz w:val="16"/>
          <w:szCs w:val="24"/>
          <w:u w:color="000000"/>
        </w:rPr>
      </w:pPr>
    </w:p>
    <w:p w:rsidRPr="00F31A99" w:rsidR="00F31A99" w:rsidP="00F31A99" w:rsidRDefault="00F31A99" w14:paraId="121FFCBE" w14:textId="77777777">
      <w:pPr>
        <w:autoSpaceDN w:val="0"/>
        <w:rPr>
          <w:rFonts w:ascii="Times New Roman" w:hAnsi="Times New Roman" w:eastAsia="Calibri" w:cs="Times New Roman"/>
          <w:b/>
          <w:bCs/>
          <w:sz w:val="16"/>
          <w:szCs w:val="24"/>
          <w:u w:color="000000"/>
        </w:rPr>
      </w:pPr>
      <w:r w:rsidRPr="00F31A99">
        <w:rPr>
          <w:rFonts w:ascii="Times New Roman" w:hAnsi="Times New Roman" w:eastAsia="Calibri" w:cs="Times New Roman"/>
          <w:noProof/>
          <w:u w:color="000000"/>
        </w:rPr>
        <w:drawing>
          <wp:inline distT="0" distB="0" distL="0" distR="0" wp14:anchorId="3E3C56EE" wp14:editId="2BDFB5A3">
            <wp:extent cx="6324600" cy="1317930"/>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54394" cy="1324138"/>
                    </a:xfrm>
                    <a:prstGeom prst="rect">
                      <a:avLst/>
                    </a:prstGeom>
                    <a:noFill/>
                    <a:ln>
                      <a:noFill/>
                    </a:ln>
                  </pic:spPr>
                </pic:pic>
              </a:graphicData>
            </a:graphic>
          </wp:inline>
        </w:drawing>
      </w:r>
    </w:p>
    <w:p w:rsidRPr="00F31A99" w:rsidR="00F31A99" w:rsidP="00F31A99" w:rsidRDefault="00F31A99" w14:paraId="702FAEC2" w14:textId="77777777">
      <w:pPr>
        <w:autoSpaceDN w:val="0"/>
        <w:jc w:val="center"/>
        <w:rPr>
          <w:rFonts w:ascii="Times New Roman" w:hAnsi="Times New Roman" w:eastAsia="Calibri" w:cs="Times New Roman"/>
          <w:b/>
          <w:bCs/>
          <w:sz w:val="16"/>
          <w:szCs w:val="24"/>
          <w:u w:color="000000"/>
        </w:rPr>
      </w:pPr>
    </w:p>
    <w:p w:rsidRPr="00F31A99" w:rsidR="00F31A99" w:rsidP="00F31A99" w:rsidRDefault="00F31A99" w14:paraId="705028FB" w14:textId="77777777">
      <w:pPr>
        <w:autoSpaceDN w:val="0"/>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4E412396"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33FF1BD1"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lastRenderedPageBreak/>
        <w:t>Específicamente en el 2020 en esta subpartida se cedieron ¢ 92.482.821, la ejecución presupuestaria fue baja como consecuencia de la pandemia del Covid-19, ya que las giras se suspendieron, además durante el año se fueron desarrollando las condiciones tecnológicas que permitieron el uso de herramientas para realizar las actividades de manera virtual. Para el 2022 se tiene la expectativa de retomar las actividades de manera presencial.</w:t>
      </w:r>
    </w:p>
    <w:p w:rsidRPr="00F31A99" w:rsidR="00F31A99" w:rsidP="00F31A99" w:rsidRDefault="00F31A99" w14:paraId="5CDAF119"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5660338F"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En cuanto a lo formulado para el 2022 se observa en todos los programas presupuestarios un decrecimiento con respecto a lo aprobado para el 2021, a nivel del total de la subpartida en un -6,46% lo que corresponde a ¢88.714.149 menos que el año anterior. Este decrecimiento como se indicó en la subpartida anterior puede ser parte de la incertidumbre de si en el 2022 aún se continuará con las restricciones a nivel de giras y traslados producto de la pandemia, pero también podría ser un cambio en la forma de realizar las labores a nivel institucional como consecuencia de un año en el que se tuvo que visualizar otra forma de trabajar y seguir adelante. </w:t>
      </w:r>
    </w:p>
    <w:p w:rsidRPr="00F31A99" w:rsidR="00F31A99" w:rsidP="00F31A99" w:rsidRDefault="00F31A99" w14:paraId="43A6C8DE" w14:textId="77777777">
      <w:pPr>
        <w:autoSpaceDN w:val="0"/>
        <w:rPr>
          <w:rFonts w:ascii="Times New Roman" w:hAnsi="Times New Roman" w:eastAsia="Times New Roman" w:cs="Times New Roman"/>
          <w:b/>
          <w:bCs/>
          <w:sz w:val="24"/>
          <w:szCs w:val="24"/>
          <w:u w:color="000000"/>
          <w:lang w:eastAsia="es-CR"/>
        </w:rPr>
      </w:pPr>
    </w:p>
    <w:p w:rsidRPr="00F31A99" w:rsidR="00F31A99" w:rsidP="00F31A99" w:rsidRDefault="00F31A99" w14:paraId="7074D745"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Gráfico N°5</w:t>
      </w:r>
    </w:p>
    <w:p w:rsidRPr="00F31A99" w:rsidR="00F31A99" w:rsidP="00F31A99" w:rsidRDefault="00F31A99" w14:paraId="4D735E1D"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 xml:space="preserve">Distribución por Programa Presupuestario </w:t>
      </w:r>
    </w:p>
    <w:p w:rsidRPr="00F31A99" w:rsidR="00F31A99" w:rsidP="00F31A99" w:rsidRDefault="00F31A99" w14:paraId="5DEE55AD"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Subpartida 10502 Viáticos dentro del País, Período 2022 </w:t>
      </w:r>
    </w:p>
    <w:p w:rsidRPr="00F31A99" w:rsidR="00F31A99" w:rsidP="00F31A99" w:rsidRDefault="00F31A99" w14:paraId="1B59B135" w14:textId="77777777">
      <w:pPr>
        <w:jc w:val="center"/>
        <w:textAlignment w:val="baseline"/>
        <w:rPr>
          <w:rFonts w:ascii="Times New Roman" w:hAnsi="Times New Roman" w:eastAsia="Times New Roman" w:cs="Times New Roman"/>
          <w:sz w:val="18"/>
          <w:szCs w:val="18"/>
          <w:u w:color="000000"/>
          <w:lang w:eastAsia="es-CR"/>
        </w:rPr>
      </w:pPr>
    </w:p>
    <w:p w:rsidRPr="00F31A99" w:rsidR="00F31A99" w:rsidP="00F31A99" w:rsidRDefault="00F31A99" w14:paraId="5AEFEC2F" w14:textId="77777777">
      <w:pPr>
        <w:autoSpaceDN w:val="0"/>
        <w:jc w:val="center"/>
        <w:rPr>
          <w:rFonts w:ascii="Times New Roman" w:hAnsi="Times New Roman" w:eastAsia="Calibri" w:cs="Times New Roman"/>
          <w:sz w:val="24"/>
          <w:szCs w:val="24"/>
          <w:u w:color="000000"/>
        </w:rPr>
      </w:pPr>
      <w:r w:rsidRPr="00F31A99">
        <w:rPr>
          <w:rFonts w:ascii="Times New Roman" w:hAnsi="Times New Roman" w:eastAsia="Calibri" w:cs="Times New Roman"/>
          <w:noProof/>
          <w:u w:color="000000"/>
        </w:rPr>
        <w:drawing>
          <wp:inline distT="0" distB="0" distL="0" distR="0" wp14:anchorId="40480B80" wp14:editId="26EE0CD0">
            <wp:extent cx="4714286" cy="2780952"/>
            <wp:effectExtent l="0" t="0" r="0" b="63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714286" cy="2780952"/>
                    </a:xfrm>
                    <a:prstGeom prst="rect">
                      <a:avLst/>
                    </a:prstGeom>
                  </pic:spPr>
                </pic:pic>
              </a:graphicData>
            </a:graphic>
          </wp:inline>
        </w:drawing>
      </w:r>
    </w:p>
    <w:p w:rsidRPr="00F31A99" w:rsidR="00F31A99" w:rsidP="00F31A99" w:rsidRDefault="00F31A99" w14:paraId="4144AE2D" w14:textId="77777777">
      <w:pPr>
        <w:autoSpaceDN w:val="0"/>
        <w:ind w:left="708" w:firstLine="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02DACBCB"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1EC8DD40"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En el gráfico anterior se muestra que el programa 928 Organismo de Investigación Judicial, solicita la mayor cantidad de recursos (¢530.435.170) con un 41,31%, seguido por el 926 Dirección y Administración (¢390.331.807) con el 30,40%, luego el 950 </w:t>
      </w:r>
      <w:r w:rsidRPr="00F31A99">
        <w:rPr>
          <w:rFonts w:ascii="Times New Roman" w:hAnsi="Times New Roman" w:eastAsia="Times New Roman" w:cs="Times New Roman"/>
          <w:sz w:val="26"/>
          <w:szCs w:val="26"/>
          <w:u w:color="000000"/>
          <w:lang w:eastAsia="es-ES"/>
        </w:rPr>
        <w:lastRenderedPageBreak/>
        <w:t>Programa de Atención y Protección de Víctimas y Testigos (¢137.650.000) con el 10,72%, el 927 Servicio Jurisdiccional (¢125.354.928) un 9,76% y los programas Ministerio Público (¢56.079.075) con el 4,37% y 930 Defensa Pública (¢44.330.496) con un 3,45%.</w:t>
      </w:r>
    </w:p>
    <w:p w:rsidRPr="00F31A99" w:rsidR="00F31A99" w:rsidP="00F31A99" w:rsidRDefault="00F31A99" w14:paraId="1ADCA411" w14:textId="77777777">
      <w:pPr>
        <w:autoSpaceDN w:val="0"/>
        <w:rPr>
          <w:rFonts w:ascii="Times New Roman" w:hAnsi="Times New Roman" w:eastAsia="Calibri" w:cs="Times New Roman"/>
          <w:b/>
          <w:sz w:val="24"/>
          <w:szCs w:val="24"/>
          <w:u w:color="000000"/>
        </w:rPr>
      </w:pPr>
    </w:p>
    <w:p w:rsidRPr="00F31A99" w:rsidR="00F31A99" w:rsidP="00F31A99" w:rsidRDefault="00F31A99" w14:paraId="1D8ED30E" w14:textId="77777777">
      <w:pPr>
        <w:numPr>
          <w:ilvl w:val="0"/>
          <w:numId w:val="7"/>
        </w:numPr>
        <w:autoSpaceDN w:val="0"/>
        <w:ind w:left="851" w:right="851" w:firstLine="357"/>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Distribución por Centro de Responsabilidad</w:t>
      </w:r>
    </w:p>
    <w:p w:rsidRPr="00F31A99" w:rsidR="00F31A99" w:rsidP="00F31A99" w:rsidRDefault="00F31A99" w14:paraId="0B438061" w14:textId="77777777">
      <w:pPr>
        <w:jc w:val="both"/>
        <w:textAlignment w:val="baseline"/>
        <w:rPr>
          <w:rFonts w:ascii="Times New Roman" w:hAnsi="Times New Roman" w:eastAsia="Times New Roman" w:cs="Times New Roman"/>
          <w:sz w:val="18"/>
          <w:szCs w:val="18"/>
          <w:u w:color="000000"/>
          <w:lang w:eastAsia="es-CR"/>
        </w:rPr>
      </w:pPr>
    </w:p>
    <w:p w:rsidRPr="00F31A99" w:rsidR="00F31A99" w:rsidP="00F31A99" w:rsidRDefault="00F31A99" w14:paraId="37A0B6DF"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el siguiente cuadro se muestran los 10 centros de responsabilidad con más recursos formulados para el 2022 en la subpartida 10502 Viáticos dentro del País. </w:t>
      </w:r>
    </w:p>
    <w:p w:rsidRPr="00F31A99" w:rsidR="00F31A99" w:rsidP="00F31A99" w:rsidRDefault="00F31A99" w14:paraId="2B94543E"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74709015" w14:textId="77777777">
      <w:pPr>
        <w:jc w:val="center"/>
        <w:textAlignment w:val="baseline"/>
        <w:rPr>
          <w:rFonts w:ascii="Times New Roman" w:hAnsi="Times New Roman" w:eastAsia="Times New Roman" w:cs="Times New Roman"/>
          <w:b/>
          <w:bCs/>
          <w:sz w:val="24"/>
          <w:szCs w:val="24"/>
          <w:u w:color="000000"/>
          <w:lang w:eastAsia="es-CR"/>
        </w:rPr>
      </w:pPr>
    </w:p>
    <w:p w:rsidRPr="00F31A99" w:rsidR="00F31A99" w:rsidP="00F31A99" w:rsidRDefault="00F31A99" w14:paraId="1D54735C"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Cuadro N°10</w:t>
      </w:r>
    </w:p>
    <w:p w:rsidRPr="00F31A99" w:rsidR="00F31A99" w:rsidP="00F31A99" w:rsidRDefault="00F31A99" w14:paraId="4BDA6278"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Distribución por Centro de Responsabilidad Subpartida 10502 Viáticos dentro del País, Período 2020–2021</w:t>
      </w:r>
    </w:p>
    <w:p w:rsidRPr="00F31A99" w:rsidR="00F31A99" w:rsidP="00F31A99" w:rsidRDefault="00F31A99" w14:paraId="14006B77" w14:textId="77777777">
      <w:pPr>
        <w:autoSpaceDN w:val="0"/>
        <w:rPr>
          <w:rFonts w:ascii="Times New Roman" w:hAnsi="Times New Roman" w:eastAsia="Calibri" w:cs="Times New Roman"/>
          <w:b/>
          <w:sz w:val="24"/>
          <w:szCs w:val="24"/>
          <w:u w:color="000000"/>
        </w:rPr>
      </w:pPr>
    </w:p>
    <w:p w:rsidRPr="00F31A99" w:rsidR="00F31A99" w:rsidP="00F31A99" w:rsidRDefault="00F31A99" w14:paraId="6F276DD9" w14:textId="77777777">
      <w:pPr>
        <w:autoSpaceDN w:val="0"/>
        <w:jc w:val="center"/>
        <w:rPr>
          <w:rFonts w:ascii="Times New Roman" w:hAnsi="Times New Roman" w:eastAsia="Calibri" w:cs="Times New Roman"/>
          <w:b/>
          <w:sz w:val="24"/>
          <w:szCs w:val="24"/>
          <w:u w:color="000000"/>
        </w:rPr>
      </w:pPr>
      <w:r w:rsidRPr="00F31A99">
        <w:rPr>
          <w:rFonts w:ascii="Times New Roman" w:hAnsi="Times New Roman" w:eastAsia="Calibri" w:cs="Times New Roman"/>
          <w:b/>
          <w:noProof/>
          <w:sz w:val="24"/>
          <w:szCs w:val="24"/>
          <w:u w:color="000000"/>
        </w:rPr>
        <w:drawing>
          <wp:inline distT="0" distB="0" distL="0" distR="0" wp14:anchorId="156E3CD7" wp14:editId="4120BD33">
            <wp:extent cx="6210570" cy="2146300"/>
            <wp:effectExtent l="0" t="0" r="0" b="635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45145" cy="2158249"/>
                    </a:xfrm>
                    <a:prstGeom prst="rect">
                      <a:avLst/>
                    </a:prstGeom>
                    <a:noFill/>
                    <a:ln>
                      <a:noFill/>
                    </a:ln>
                  </pic:spPr>
                </pic:pic>
              </a:graphicData>
            </a:graphic>
          </wp:inline>
        </w:drawing>
      </w:r>
    </w:p>
    <w:p w:rsidRPr="00F31A99" w:rsidR="00F31A99" w:rsidP="00F31A99" w:rsidRDefault="00F31A99" w14:paraId="56AE11D2" w14:textId="77777777">
      <w:pPr>
        <w:autoSpaceDN w:val="0"/>
        <w:ind w:firstLine="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6EEE8605" w14:textId="77777777">
      <w:pPr>
        <w:autoSpaceDN w:val="0"/>
        <w:rPr>
          <w:rFonts w:ascii="Times New Roman" w:hAnsi="Times New Roman" w:eastAsia="Calibri" w:cs="Times New Roman"/>
          <w:b/>
          <w:sz w:val="24"/>
          <w:szCs w:val="24"/>
          <w:u w:color="000000"/>
        </w:rPr>
      </w:pPr>
    </w:p>
    <w:p w:rsidRPr="00F31A99" w:rsidR="00F31A99" w:rsidP="00F31A99" w:rsidRDefault="00F31A99" w14:paraId="4F985AC3" w14:textId="77777777">
      <w:pPr>
        <w:autoSpaceDN w:val="0"/>
        <w:jc w:val="center"/>
        <w:rPr>
          <w:rFonts w:ascii="Times New Roman" w:hAnsi="Times New Roman" w:eastAsia="Times New Roman" w:cs="Times New Roman"/>
          <w:b/>
          <w:bCs/>
          <w:sz w:val="24"/>
          <w:szCs w:val="24"/>
          <w:u w:color="000000"/>
          <w:lang w:eastAsia="es-CR"/>
        </w:rPr>
      </w:pPr>
      <w:r w:rsidRPr="00F31A99">
        <w:rPr>
          <w:rFonts w:ascii="Times New Roman" w:hAnsi="Times New Roman" w:eastAsia="Calibri" w:cs="Times New Roman"/>
          <w:b/>
          <w:sz w:val="26"/>
          <w:szCs w:val="26"/>
          <w:u w:color="000000"/>
        </w:rPr>
        <w:t>Gráfico N°6</w:t>
      </w:r>
    </w:p>
    <w:p w:rsidRPr="00F31A99" w:rsidR="00F31A99" w:rsidP="00F31A99" w:rsidRDefault="00F31A99" w14:paraId="22DEC8E1"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Distribución por Centro de Responsabilidad Subpartida 10502 Viáticos dentro del País, Período 2022</w:t>
      </w:r>
    </w:p>
    <w:p w:rsidRPr="00F31A99" w:rsidR="00F31A99" w:rsidP="00F31A99" w:rsidRDefault="00F31A99" w14:paraId="57CD11A4" w14:textId="77777777">
      <w:pPr>
        <w:autoSpaceDN w:val="0"/>
        <w:jc w:val="center"/>
        <w:rPr>
          <w:rFonts w:ascii="Times New Roman" w:hAnsi="Times New Roman" w:eastAsia="Calibri" w:cs="Times New Roman"/>
          <w:b/>
          <w:sz w:val="24"/>
          <w:szCs w:val="24"/>
          <w:u w:color="000000"/>
        </w:rPr>
      </w:pPr>
      <w:r w:rsidRPr="00F31A99">
        <w:rPr>
          <w:rFonts w:ascii="Times New Roman" w:hAnsi="Times New Roman" w:eastAsia="Calibri" w:cs="Times New Roman"/>
          <w:noProof/>
          <w:u w:color="000000"/>
        </w:rPr>
        <w:lastRenderedPageBreak/>
        <w:drawing>
          <wp:inline distT="0" distB="0" distL="0" distR="0" wp14:anchorId="2007371B" wp14:editId="4FD9B7A9">
            <wp:extent cx="5514286" cy="2933333"/>
            <wp:effectExtent l="0" t="0" r="0" b="63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514286" cy="2933333"/>
                    </a:xfrm>
                    <a:prstGeom prst="rect">
                      <a:avLst/>
                    </a:prstGeom>
                  </pic:spPr>
                </pic:pic>
              </a:graphicData>
            </a:graphic>
          </wp:inline>
        </w:drawing>
      </w:r>
    </w:p>
    <w:p w:rsidRPr="00F31A99" w:rsidR="00F31A99" w:rsidP="00F31A99" w:rsidRDefault="00F31A99" w14:paraId="712A995E" w14:textId="77777777">
      <w:pPr>
        <w:autoSpaceDN w:val="0"/>
        <w:ind w:left="708" w:firstLine="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0A4A8E5B" w14:textId="77777777">
      <w:pPr>
        <w:autoSpaceDN w:val="0"/>
        <w:rPr>
          <w:rFonts w:ascii="Times New Roman" w:hAnsi="Times New Roman" w:eastAsia="Calibri" w:cs="Times New Roman"/>
          <w:b/>
          <w:sz w:val="24"/>
          <w:szCs w:val="24"/>
          <w:u w:color="000000"/>
        </w:rPr>
      </w:pPr>
    </w:p>
    <w:p w:rsidRPr="00F31A99" w:rsidR="00F31A99" w:rsidP="00F31A99" w:rsidRDefault="00F31A99" w14:paraId="6943FF6A"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Según se muestra en el gráfico anterior, los centros de responsabilidad con más recursos formulados en esta subpartida para el 2022 son: el Organismo de Investigación Judicial con ¢530.435.170, Servicio de Atención y Protección de Víctimas y Testigos ¢137.650.000, Unidad de Adiestramiento ¢111.600.542, el Ministerio Público ¢56.079.075, la Dirección Ejecutiva con ¢53.859.000, Dirección de Tecnología de la Información ¢48.726.712 y la Defensa Pública ¢44.330.496.</w:t>
      </w:r>
    </w:p>
    <w:p w:rsidRPr="00F31A99" w:rsidR="00F31A99" w:rsidP="00F31A99" w:rsidRDefault="00F31A99" w14:paraId="70AA74D9" w14:textId="77777777">
      <w:pPr>
        <w:autoSpaceDN w:val="0"/>
        <w:rPr>
          <w:rFonts w:ascii="Times New Roman" w:hAnsi="Times New Roman" w:eastAsia="Calibri" w:cs="Times New Roman"/>
          <w:b/>
          <w:sz w:val="24"/>
          <w:szCs w:val="24"/>
          <w:u w:color="000000"/>
        </w:rPr>
      </w:pPr>
    </w:p>
    <w:p w:rsidRPr="00F31A99" w:rsidR="00F31A99" w:rsidP="00F31A99" w:rsidRDefault="00F31A99" w14:paraId="5651A5E3" w14:textId="77777777">
      <w:pPr>
        <w:autoSpaceDN w:val="0"/>
        <w:ind w:left="708"/>
        <w:rPr>
          <w:rFonts w:ascii="Times New Roman" w:hAnsi="Times New Roman" w:eastAsia="Times New Roman" w:cs="Times New Roman"/>
          <w:b/>
          <w:sz w:val="24"/>
          <w:szCs w:val="24"/>
          <w:u w:color="000000"/>
          <w:lang w:eastAsia="es-ES"/>
        </w:rPr>
      </w:pPr>
    </w:p>
    <w:p w:rsidRPr="00F31A99" w:rsidR="00F31A99" w:rsidP="00F31A99" w:rsidRDefault="00F31A99" w14:paraId="1555D573" w14:textId="77777777">
      <w:pPr>
        <w:numPr>
          <w:ilvl w:val="0"/>
          <w:numId w:val="7"/>
        </w:numPr>
        <w:autoSpaceDN w:val="0"/>
        <w:ind w:left="851" w:right="851" w:firstLine="357"/>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Variación Distribución por Artículo</w:t>
      </w:r>
    </w:p>
    <w:p w:rsidRPr="00F31A99" w:rsidR="00F31A99" w:rsidP="00F31A99" w:rsidRDefault="00F31A99" w14:paraId="18EA6A68" w14:textId="77777777">
      <w:pPr>
        <w:autoSpaceDN w:val="0"/>
        <w:ind w:left="708"/>
        <w:rPr>
          <w:rFonts w:ascii="Times New Roman" w:hAnsi="Times New Roman" w:eastAsia="Times New Roman" w:cs="Times New Roman"/>
          <w:b/>
          <w:sz w:val="24"/>
          <w:szCs w:val="24"/>
          <w:u w:color="000000"/>
          <w:lang w:eastAsia="es-ES"/>
        </w:rPr>
      </w:pPr>
    </w:p>
    <w:p w:rsidRPr="00F31A99" w:rsidR="00F31A99" w:rsidP="00F31A99" w:rsidRDefault="00F31A99" w14:paraId="7400D226"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el siguiente cuadro se muestran las variaciones en la formulación detallada por artículo entre el año 2021 y 2022.</w:t>
      </w:r>
    </w:p>
    <w:p w:rsidRPr="00F31A99" w:rsidR="00F31A99" w:rsidP="00F31A99" w:rsidRDefault="00F31A99" w14:paraId="5E8AE8C0" w14:textId="77777777">
      <w:pPr>
        <w:autoSpaceDN w:val="0"/>
        <w:rPr>
          <w:rFonts w:ascii="Times New Roman" w:hAnsi="Times New Roman" w:eastAsia="Calibri" w:cs="Times New Roman"/>
          <w:b/>
          <w:bCs/>
          <w:sz w:val="24"/>
          <w:szCs w:val="24"/>
          <w:u w:color="000000"/>
        </w:rPr>
      </w:pPr>
    </w:p>
    <w:p w:rsidRPr="00F31A99" w:rsidR="00F31A99" w:rsidP="00F31A99" w:rsidRDefault="00F31A99" w14:paraId="120FEBCA"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Cuadro N°11</w:t>
      </w:r>
    </w:p>
    <w:p w:rsidRPr="00F31A99" w:rsidR="00F31A99" w:rsidP="00F31A99" w:rsidRDefault="00F31A99" w14:paraId="07D5564A"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Variación de Recursos Presupuestados por Artículo</w:t>
      </w:r>
    </w:p>
    <w:p w:rsidRPr="00F31A99" w:rsidR="00F31A99" w:rsidP="00F31A99" w:rsidRDefault="00F31A99" w14:paraId="1E5C0750"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Subpartida 10502 Viáticos dentro del País</w:t>
      </w:r>
    </w:p>
    <w:p w:rsidRPr="00F31A99" w:rsidR="00F31A99" w:rsidP="00F31A99" w:rsidRDefault="00F31A99" w14:paraId="4B9144E7" w14:textId="77777777">
      <w:pPr>
        <w:autoSpaceDN w:val="0"/>
        <w:ind w:left="426"/>
        <w:rPr>
          <w:rFonts w:ascii="Times New Roman" w:hAnsi="Times New Roman" w:eastAsia="Times New Roman" w:cs="Times New Roman"/>
          <w:b/>
          <w:sz w:val="24"/>
          <w:szCs w:val="24"/>
          <w:u w:color="000000"/>
          <w:lang w:eastAsia="es-ES"/>
        </w:rPr>
      </w:pPr>
    </w:p>
    <w:p w:rsidRPr="00F31A99" w:rsidR="00F31A99" w:rsidP="00F31A99" w:rsidRDefault="00F31A99" w14:paraId="1F0D3EA4" w14:textId="77777777">
      <w:pPr>
        <w:autoSpaceDN w:val="0"/>
        <w:ind w:left="426"/>
        <w:jc w:val="center"/>
        <w:rPr>
          <w:rFonts w:ascii="Times New Roman" w:hAnsi="Times New Roman" w:eastAsia="Times New Roman" w:cs="Times New Roman"/>
          <w:b/>
          <w:sz w:val="24"/>
          <w:szCs w:val="24"/>
          <w:u w:color="000000"/>
          <w:lang w:eastAsia="es-ES"/>
        </w:rPr>
      </w:pPr>
      <w:r w:rsidRPr="00F31A99">
        <w:rPr>
          <w:rFonts w:ascii="Times New Roman" w:hAnsi="Times New Roman" w:eastAsia="Times New Roman" w:cs="Times New Roman"/>
          <w:noProof/>
          <w:sz w:val="24"/>
          <w:szCs w:val="24"/>
          <w:u w:color="000000"/>
        </w:rPr>
        <w:drawing>
          <wp:inline distT="0" distB="0" distL="0" distR="0" wp14:anchorId="6E67B8B7" wp14:editId="1C263B05">
            <wp:extent cx="5993765" cy="1130300"/>
            <wp:effectExtent l="0" t="0" r="698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99259" cy="1131336"/>
                    </a:xfrm>
                    <a:prstGeom prst="rect">
                      <a:avLst/>
                    </a:prstGeom>
                    <a:noFill/>
                    <a:ln>
                      <a:noFill/>
                    </a:ln>
                  </pic:spPr>
                </pic:pic>
              </a:graphicData>
            </a:graphic>
          </wp:inline>
        </w:drawing>
      </w:r>
    </w:p>
    <w:p w:rsidRPr="00F31A99" w:rsidR="00F31A99" w:rsidP="00F31A99" w:rsidRDefault="00F31A99" w14:paraId="5A28E28F" w14:textId="77777777">
      <w:pPr>
        <w:autoSpaceDN w:val="0"/>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 xml:space="preserve"> </w:t>
      </w:r>
      <w:r w:rsidRPr="00F31A99">
        <w:rPr>
          <w:rFonts w:ascii="Times New Roman" w:hAnsi="Times New Roman" w:eastAsia="Calibri" w:cs="Times New Roman"/>
          <w:b/>
          <w:bCs/>
          <w:sz w:val="16"/>
          <w:szCs w:val="24"/>
          <w:u w:color="000000"/>
        </w:rPr>
        <w:tab/>
      </w: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6D885EA4" w14:textId="77777777">
      <w:pPr>
        <w:autoSpaceDN w:val="0"/>
        <w:rPr>
          <w:rFonts w:ascii="Times New Roman" w:hAnsi="Times New Roman" w:eastAsia="Calibri" w:cs="Times New Roman"/>
          <w:sz w:val="16"/>
          <w:szCs w:val="24"/>
          <w:u w:color="000000"/>
        </w:rPr>
      </w:pPr>
    </w:p>
    <w:p w:rsidRPr="00F31A99" w:rsidR="00F31A99" w:rsidP="00F31A99" w:rsidRDefault="00F31A99" w14:paraId="23A3997D" w14:textId="77777777">
      <w:pPr>
        <w:autoSpaceDN w:val="0"/>
        <w:ind w:left="851" w:right="851" w:firstLine="709"/>
        <w:jc w:val="both"/>
        <w:rPr>
          <w:rFonts w:ascii="Times New Roman" w:hAnsi="Times New Roman" w:eastAsia="Times New Roman" w:cs="Times New Roman"/>
          <w:sz w:val="26"/>
          <w:szCs w:val="26"/>
          <w:u w:color="000000"/>
          <w:lang w:eastAsia="es-ES"/>
        </w:rPr>
      </w:pPr>
      <w:r w:rsidRPr="00F31A99">
        <w:rPr>
          <w:rFonts w:ascii="Times New Roman" w:hAnsi="Times New Roman" w:eastAsia="Calibri" w:cs="Times New Roman"/>
          <w:b/>
          <w:sz w:val="24"/>
          <w:szCs w:val="24"/>
          <w:u w:color="000000"/>
        </w:rPr>
        <w:lastRenderedPageBreak/>
        <w:t xml:space="preserve"> </w:t>
      </w:r>
      <w:r w:rsidRPr="00F31A99">
        <w:rPr>
          <w:rFonts w:ascii="Times New Roman" w:hAnsi="Times New Roman" w:eastAsia="Times New Roman" w:cs="Times New Roman"/>
          <w:sz w:val="26"/>
          <w:szCs w:val="26"/>
          <w:u w:color="000000"/>
          <w:lang w:eastAsia="es-ES"/>
        </w:rPr>
        <w:t xml:space="preserve">El servicio de parqueo lo formulan las Administraciones Regionales para el pago de parqueo del vehículo oficial cuando se realizan giras y la Unidad de Patrimonio del Departamento de Proveeduría para el vehículo oficial utilizado por el Perito cuando se encuentra realizando valoraciones. </w:t>
      </w:r>
    </w:p>
    <w:p w:rsidRPr="00F31A99" w:rsidR="00F31A99" w:rsidP="00F31A99" w:rsidRDefault="00F31A99" w14:paraId="56441711" w14:textId="77777777">
      <w:pPr>
        <w:jc w:val="both"/>
        <w:textAlignment w:val="baseline"/>
        <w:rPr>
          <w:rFonts w:ascii="Times New Roman" w:hAnsi="Times New Roman" w:eastAsia="Times New Roman" w:cs="Times New Roman"/>
          <w:sz w:val="24"/>
          <w:szCs w:val="24"/>
          <w:u w:color="000000"/>
          <w:lang w:eastAsia="es-CR"/>
        </w:rPr>
      </w:pPr>
    </w:p>
    <w:p w:rsidRPr="00F31A99" w:rsidR="00F31A99" w:rsidP="00F31A99" w:rsidRDefault="00F31A99" w14:paraId="0D35CC08" w14:textId="77777777">
      <w:pPr>
        <w:numPr>
          <w:ilvl w:val="0"/>
          <w:numId w:val="7"/>
        </w:numPr>
        <w:autoSpaceDN w:val="0"/>
        <w:ind w:left="851" w:right="851" w:firstLine="357"/>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Síntesis</w:t>
      </w:r>
    </w:p>
    <w:p w:rsidRPr="00F31A99" w:rsidR="00F31A99" w:rsidP="00F31A99" w:rsidRDefault="00F31A99" w14:paraId="63E1151D" w14:textId="77777777">
      <w:pPr>
        <w:autoSpaceDN w:val="0"/>
        <w:rPr>
          <w:rFonts w:ascii="Times New Roman" w:hAnsi="Times New Roman" w:eastAsia="Calibri" w:cs="Times New Roman"/>
          <w:b/>
          <w:sz w:val="24"/>
          <w:szCs w:val="24"/>
          <w:u w:color="000000"/>
        </w:rPr>
      </w:pPr>
    </w:p>
    <w:p w:rsidRPr="00F31A99" w:rsidR="00F31A99" w:rsidP="00F31A99" w:rsidRDefault="00F31A99" w14:paraId="4CF3DAF1"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síntesis, en la Subpartida 10502 Viáticos dentro del País tiene un total formulado para el 2022 de ¢1.284.181.476 el cual presenta un decrecimiento del 6,46% con respecto al aprobado para el 2021 que es de ¢1.372.895.625, cumpliendo con la directriz institucional N°42 que señala que el monto formulado debe ser menor o igual al año anterior.</w:t>
      </w:r>
    </w:p>
    <w:p w:rsidRPr="00F31A99" w:rsidR="00F31A99" w:rsidP="00F31A99" w:rsidRDefault="00F31A99" w14:paraId="42232E7C" w14:textId="77777777">
      <w:pPr>
        <w:autoSpaceDN w:val="0"/>
        <w:spacing w:line="360" w:lineRule="auto"/>
        <w:ind w:right="-851" w:firstLine="360"/>
        <w:jc w:val="both"/>
        <w:rPr>
          <w:rFonts w:ascii="Times New Roman" w:hAnsi="Times New Roman" w:eastAsia="Calibri" w:cs="Times New Roman"/>
          <w:sz w:val="24"/>
          <w:szCs w:val="24"/>
          <w:u w:color="000000"/>
        </w:rPr>
      </w:pPr>
    </w:p>
    <w:p w:rsidRPr="00F31A99" w:rsidR="00F31A99" w:rsidP="00F31A99" w:rsidRDefault="00F31A99" w14:paraId="5ABB2A34" w14:textId="77777777">
      <w:pPr>
        <w:numPr>
          <w:ilvl w:val="0"/>
          <w:numId w:val="30"/>
        </w:numPr>
        <w:autoSpaceDN w:val="0"/>
        <w:ind w:left="851" w:right="851" w:firstLine="357"/>
        <w:jc w:val="both"/>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Subpartida 10503 Transporte en el Exterior</w:t>
      </w:r>
    </w:p>
    <w:p w:rsidRPr="00F31A99" w:rsidR="00F31A99" w:rsidP="00F31A99" w:rsidRDefault="00F31A99" w14:paraId="594F00F4" w14:textId="77777777">
      <w:pPr>
        <w:autoSpaceDN w:val="0"/>
        <w:rPr>
          <w:rFonts w:ascii="Times New Roman" w:hAnsi="Times New Roman" w:eastAsia="Calibri" w:cs="Times New Roman"/>
          <w:b/>
          <w:sz w:val="24"/>
          <w:szCs w:val="24"/>
          <w:u w:color="000000"/>
        </w:rPr>
      </w:pPr>
    </w:p>
    <w:p w:rsidRPr="00F31A99" w:rsidR="00F31A99" w:rsidP="00F31A99" w:rsidRDefault="00F31A99" w14:paraId="46E47857" w14:textId="77777777">
      <w:pPr>
        <w:numPr>
          <w:ilvl w:val="0"/>
          <w:numId w:val="8"/>
        </w:numPr>
        <w:autoSpaceDN w:val="0"/>
        <w:ind w:left="851" w:right="851" w:firstLine="709"/>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Comportamiento Histórico de la Subpartida</w:t>
      </w:r>
    </w:p>
    <w:p w:rsidRPr="00F31A99" w:rsidR="00F31A99" w:rsidP="00F31A99" w:rsidRDefault="00F31A99" w14:paraId="45E98A6E" w14:textId="77777777">
      <w:pPr>
        <w:autoSpaceDN w:val="0"/>
        <w:jc w:val="both"/>
        <w:rPr>
          <w:rFonts w:ascii="Times New Roman" w:hAnsi="Times New Roman" w:eastAsia="Calibri" w:cs="Times New Roman"/>
          <w:b/>
          <w:sz w:val="24"/>
          <w:szCs w:val="24"/>
          <w:u w:color="000000"/>
        </w:rPr>
      </w:pPr>
    </w:p>
    <w:p w:rsidRPr="00F31A99" w:rsidR="00F31A99" w:rsidP="00F31A99" w:rsidRDefault="00F31A99" w14:paraId="2B707C39"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Los recursos formulados en la subpartida 10503 Transporte en el Exterior, responden a las necesidades de traslado al exterior del país cuando los servidores judiciales se encuentran desarrollando sus actividades laborales.</w:t>
      </w:r>
    </w:p>
    <w:p w:rsidRPr="00F31A99" w:rsidR="00F31A99" w:rsidP="00F31A99" w:rsidRDefault="00F31A99" w14:paraId="155A5D84" w14:textId="77777777">
      <w:pPr>
        <w:autoSpaceDN w:val="0"/>
        <w:ind w:left="851" w:right="851" w:firstLine="709"/>
        <w:jc w:val="center"/>
        <w:rPr>
          <w:rFonts w:ascii="Times New Roman" w:hAnsi="Times New Roman" w:eastAsia="Calibri" w:cs="Times New Roman"/>
          <w:b/>
          <w:sz w:val="26"/>
          <w:szCs w:val="26"/>
          <w:u w:color="000000"/>
        </w:rPr>
      </w:pPr>
    </w:p>
    <w:p w:rsidRPr="00F31A99" w:rsidR="00F31A99" w:rsidP="00F31A99" w:rsidRDefault="00F31A99" w14:paraId="46C25D61"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Cuadro N°12</w:t>
      </w:r>
    </w:p>
    <w:p w:rsidRPr="00F31A99" w:rsidR="00F31A99" w:rsidP="00F31A99" w:rsidRDefault="00F31A99" w14:paraId="29853692"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 xml:space="preserve">Detalle del Comportamiento Histórico de la Subpartida 10503 </w:t>
      </w:r>
    </w:p>
    <w:p w:rsidRPr="00F31A99" w:rsidR="00F31A99" w:rsidP="00F31A99" w:rsidRDefault="00F31A99" w14:paraId="768B3AD4"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Transporte en el Exterior, Período 2018-2022</w:t>
      </w:r>
    </w:p>
    <w:p w:rsidRPr="00F31A99" w:rsidR="00F31A99" w:rsidP="00F31A99" w:rsidRDefault="00F31A99" w14:paraId="565CD545" w14:textId="77777777">
      <w:pPr>
        <w:autoSpaceDN w:val="0"/>
        <w:jc w:val="both"/>
        <w:rPr>
          <w:rFonts w:ascii="Times New Roman" w:hAnsi="Times New Roman" w:eastAsia="Calibri" w:cs="Times New Roman"/>
          <w:b/>
          <w:sz w:val="24"/>
          <w:szCs w:val="24"/>
          <w:u w:color="000000"/>
        </w:rPr>
      </w:pPr>
    </w:p>
    <w:p w:rsidRPr="00F31A99" w:rsidR="00F31A99" w:rsidP="00F31A99" w:rsidRDefault="00F31A99" w14:paraId="426E9474" w14:textId="77777777">
      <w:pPr>
        <w:autoSpaceDN w:val="0"/>
        <w:jc w:val="center"/>
        <w:rPr>
          <w:rFonts w:ascii="Times New Roman" w:hAnsi="Times New Roman" w:eastAsia="Calibri" w:cs="Times New Roman"/>
          <w:b/>
          <w:sz w:val="24"/>
          <w:szCs w:val="24"/>
          <w:u w:color="000000"/>
        </w:rPr>
      </w:pPr>
      <w:r w:rsidRPr="00F31A99">
        <w:rPr>
          <w:rFonts w:ascii="Times New Roman" w:hAnsi="Times New Roman" w:eastAsia="Calibri" w:cs="Times New Roman"/>
          <w:noProof/>
          <w:u w:color="000000"/>
        </w:rPr>
        <w:drawing>
          <wp:inline distT="0" distB="0" distL="0" distR="0" wp14:anchorId="01B2F015" wp14:editId="48B1111F">
            <wp:extent cx="6030595" cy="522605"/>
            <wp:effectExtent l="0" t="0" r="8255"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30595" cy="522605"/>
                    </a:xfrm>
                    <a:prstGeom prst="rect">
                      <a:avLst/>
                    </a:prstGeom>
                    <a:noFill/>
                    <a:ln>
                      <a:noFill/>
                    </a:ln>
                  </pic:spPr>
                </pic:pic>
              </a:graphicData>
            </a:graphic>
          </wp:inline>
        </w:drawing>
      </w:r>
    </w:p>
    <w:p w:rsidRPr="00F31A99" w:rsidR="00F31A99" w:rsidP="00F31A99" w:rsidRDefault="00F31A99" w14:paraId="2741FE8F" w14:textId="77777777">
      <w:pPr>
        <w:autoSpaceDN w:val="0"/>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 xml:space="preserve"> 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29CF7450" w14:textId="77777777">
      <w:pPr>
        <w:autoSpaceDN w:val="0"/>
        <w:rPr>
          <w:rFonts w:ascii="Times New Roman" w:hAnsi="Times New Roman" w:eastAsia="Calibri" w:cs="Times New Roman"/>
          <w:b/>
          <w:sz w:val="24"/>
          <w:szCs w:val="24"/>
          <w:u w:color="000000"/>
        </w:rPr>
      </w:pPr>
    </w:p>
    <w:p w:rsidRPr="00F31A99" w:rsidR="00F31A99" w:rsidP="00F31A99" w:rsidRDefault="00F31A99" w14:paraId="16ADFC07"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En el cuadro anterior se muestran los montos formulados en la subpartida 10503 Transporte en el Exterior para los últimos 5 años, en el 2019 se presentó una situación particular que hizo que esta subpartida se incrementara en un 132,11%, ya que se incluyeron ¢15.928.182 para el Proyecto Fortalecimiento de la Justicia Restaurativa Corte-Europa AID. En el 2020 y 2021 se muestra un decrecimiento en los montos formulados como parte de las limitaciones presupuestarias que se han venido aplicando. En el 2022 los recursos se incrementan en un 22,52% pero se debe considerar que los ajustes que se aplicaron en el 2021 afectaron sensiblemente </w:t>
      </w:r>
      <w:r w:rsidRPr="00F31A99">
        <w:rPr>
          <w:rFonts w:ascii="Times New Roman" w:hAnsi="Times New Roman" w:eastAsia="Times New Roman" w:cs="Times New Roman"/>
          <w:sz w:val="26"/>
          <w:szCs w:val="26"/>
          <w:u w:color="000000"/>
          <w:lang w:eastAsia="es-ES"/>
        </w:rPr>
        <w:lastRenderedPageBreak/>
        <w:t xml:space="preserve">esta subpartida, lo aprobado por Corte Plena fue ¢22.206.612 y fue rebajado a ¢13.885.565. Además, también afectó la expectativa de no realizar viajes al exterior producto de la pandemia. </w:t>
      </w:r>
    </w:p>
    <w:p w:rsidRPr="00F31A99" w:rsidR="00F31A99" w:rsidP="00F31A99" w:rsidRDefault="00F31A99" w14:paraId="2BAA5FA7" w14:textId="77777777">
      <w:pPr>
        <w:autoSpaceDN w:val="0"/>
        <w:rPr>
          <w:rFonts w:ascii="Times New Roman" w:hAnsi="Times New Roman" w:eastAsia="Times New Roman" w:cs="Times New Roman"/>
          <w:b/>
          <w:bCs/>
          <w:sz w:val="24"/>
          <w:szCs w:val="24"/>
          <w:u w:color="000000"/>
          <w:lang w:eastAsia="es-CR"/>
        </w:rPr>
      </w:pPr>
    </w:p>
    <w:p w:rsidRPr="00F31A99" w:rsidR="00F31A99" w:rsidP="00F31A99" w:rsidRDefault="00F31A99" w14:paraId="42244B9B"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Gráfico N°7</w:t>
      </w:r>
    </w:p>
    <w:p w:rsidRPr="00F31A99" w:rsidR="00F31A99" w:rsidP="00F31A99" w:rsidRDefault="00F31A99" w14:paraId="05754D28"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Formulación y Ejecución Subpartida 10503 Transporte en el Exterior,</w:t>
      </w:r>
    </w:p>
    <w:p w:rsidRPr="00F31A99" w:rsidR="00F31A99" w:rsidP="00F31A99" w:rsidRDefault="00F31A99" w14:paraId="001DB4D4" w14:textId="77777777">
      <w:pPr>
        <w:autoSpaceDN w:val="0"/>
        <w:ind w:left="851" w:right="851" w:firstLine="567"/>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Período 2018-2022</w:t>
      </w:r>
    </w:p>
    <w:p w:rsidRPr="00F31A99" w:rsidR="00F31A99" w:rsidP="00F31A99" w:rsidRDefault="00F31A99" w14:paraId="0EAECC76" w14:textId="77777777">
      <w:pPr>
        <w:autoSpaceDN w:val="0"/>
        <w:jc w:val="center"/>
        <w:rPr>
          <w:rFonts w:ascii="Times New Roman" w:hAnsi="Times New Roman" w:eastAsia="Calibri" w:cs="Times New Roman"/>
          <w:b/>
          <w:bCs/>
          <w:u w:color="000000"/>
        </w:rPr>
      </w:pPr>
    </w:p>
    <w:p w:rsidRPr="00F31A99" w:rsidR="00F31A99" w:rsidP="00F31A99" w:rsidRDefault="00F31A99" w14:paraId="62E67B1F" w14:textId="77777777">
      <w:pPr>
        <w:autoSpaceDN w:val="0"/>
        <w:jc w:val="center"/>
        <w:rPr>
          <w:rFonts w:ascii="Times New Roman" w:hAnsi="Times New Roman" w:eastAsia="Times New Roman" w:cs="Times New Roman"/>
          <w:sz w:val="24"/>
          <w:szCs w:val="24"/>
          <w:u w:color="000000"/>
          <w:lang w:eastAsia="es-CR"/>
        </w:rPr>
      </w:pPr>
      <w:r w:rsidRPr="00F31A99">
        <w:rPr>
          <w:rFonts w:ascii="Times New Roman" w:hAnsi="Times New Roman" w:eastAsia="Calibri" w:cs="Times New Roman"/>
          <w:b/>
          <w:bCs/>
          <w:noProof/>
          <w:u w:color="000000"/>
        </w:rPr>
        <w:drawing>
          <wp:inline distT="0" distB="0" distL="0" distR="0" wp14:anchorId="4BEAB4A5" wp14:editId="0620FB61">
            <wp:extent cx="5283200" cy="2961752"/>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03996" cy="2973410"/>
                    </a:xfrm>
                    <a:prstGeom prst="rect">
                      <a:avLst/>
                    </a:prstGeom>
                    <a:noFill/>
                    <a:ln>
                      <a:noFill/>
                    </a:ln>
                  </pic:spPr>
                </pic:pic>
              </a:graphicData>
            </a:graphic>
          </wp:inline>
        </w:drawing>
      </w:r>
    </w:p>
    <w:p w:rsidRPr="00F31A99" w:rsidR="00F31A99" w:rsidP="00F31A99" w:rsidRDefault="00F31A99" w14:paraId="3F0E3B92" w14:textId="77777777">
      <w:pPr>
        <w:autoSpaceDN w:val="0"/>
        <w:ind w:firstLine="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20101DE4" w14:textId="77777777">
      <w:pPr>
        <w:autoSpaceDN w:val="0"/>
        <w:rPr>
          <w:rFonts w:ascii="Times New Roman" w:hAnsi="Times New Roman" w:eastAsia="Calibri" w:cs="Times New Roman"/>
          <w:sz w:val="24"/>
          <w:szCs w:val="24"/>
          <w:u w:color="000000"/>
        </w:rPr>
      </w:pPr>
    </w:p>
    <w:p w:rsidRPr="00F31A99" w:rsidR="00F31A99" w:rsidP="00F31A99" w:rsidRDefault="00F31A99" w14:paraId="2557831B"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En el gráfico anterior se representa la formulación y ejecución presupuestaria de la subpartida 10503 Transporte en el Exterior para el periodo del 2018 al 2022, presentando ejecuciones presupuestarias variadas, durante el 2018 los recursos ejecutados fueron mayores a los formulados, en el 2019 fueron relativamente menores y en el 2020 se presenta una situación particular ya que por la pandemia prácticamente no se realizaron viajes al exterior. </w:t>
      </w:r>
    </w:p>
    <w:p w:rsidRPr="00F31A99" w:rsidR="00F31A99" w:rsidP="00F31A99" w:rsidRDefault="00F31A99" w14:paraId="294D5D08" w14:textId="77777777">
      <w:pPr>
        <w:autoSpaceDN w:val="0"/>
        <w:rPr>
          <w:rFonts w:ascii="Times New Roman" w:hAnsi="Times New Roman" w:eastAsia="Calibri" w:cs="Times New Roman"/>
          <w:b/>
          <w:sz w:val="24"/>
          <w:szCs w:val="24"/>
          <w:u w:color="000000"/>
        </w:rPr>
      </w:pPr>
    </w:p>
    <w:p w:rsidRPr="00F31A99" w:rsidR="00F31A99" w:rsidP="00F31A99" w:rsidRDefault="00F31A99" w14:paraId="17F6B48E" w14:textId="77777777">
      <w:pPr>
        <w:numPr>
          <w:ilvl w:val="0"/>
          <w:numId w:val="8"/>
        </w:numPr>
        <w:autoSpaceDN w:val="0"/>
        <w:ind w:left="851" w:right="851" w:firstLine="709"/>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 xml:space="preserve">Análisis de la Ejecución Presupuestaria </w:t>
      </w:r>
    </w:p>
    <w:p w:rsidRPr="00F31A99" w:rsidR="00F31A99" w:rsidP="00F31A99" w:rsidRDefault="00F31A99" w14:paraId="6E796B59" w14:textId="77777777">
      <w:pPr>
        <w:autoSpaceDN w:val="0"/>
        <w:rPr>
          <w:rFonts w:ascii="Times New Roman" w:hAnsi="Times New Roman" w:eastAsia="Calibri" w:cs="Times New Roman"/>
          <w:b/>
          <w:u w:color="000000"/>
        </w:rPr>
      </w:pPr>
    </w:p>
    <w:p w:rsidRPr="00F31A99" w:rsidR="00F31A99" w:rsidP="00F31A99" w:rsidRDefault="00F31A99" w14:paraId="43182546"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Cuadro N°13</w:t>
      </w:r>
    </w:p>
    <w:p w:rsidRPr="00F31A99" w:rsidR="00F31A99" w:rsidP="00F31A99" w:rsidRDefault="00F31A99" w14:paraId="105AD6A8"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Ejecución Presupuestaria Subpartida 10503 Transporte en el Exterior,</w:t>
      </w:r>
    </w:p>
    <w:p w:rsidRPr="00F31A99" w:rsidR="00F31A99" w:rsidP="00F31A99" w:rsidRDefault="00F31A99" w14:paraId="07E9B7E9"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Período 2018-2020</w:t>
      </w:r>
    </w:p>
    <w:p w:rsidRPr="00F31A99" w:rsidR="00F31A99" w:rsidP="00F31A99" w:rsidRDefault="00F31A99" w14:paraId="2C41270F" w14:textId="77777777">
      <w:pPr>
        <w:autoSpaceDN w:val="0"/>
        <w:spacing w:line="276" w:lineRule="auto"/>
        <w:jc w:val="both"/>
        <w:rPr>
          <w:rFonts w:ascii="Times New Roman" w:hAnsi="Times New Roman" w:eastAsia="Calibri" w:cs="Times New Roman"/>
          <w:sz w:val="24"/>
          <w:szCs w:val="24"/>
          <w:u w:color="000000"/>
        </w:rPr>
      </w:pPr>
    </w:p>
    <w:p w:rsidRPr="00F31A99" w:rsidR="00F31A99" w:rsidP="00F31A99" w:rsidRDefault="00F31A99" w14:paraId="5A8433E1" w14:textId="77777777">
      <w:pPr>
        <w:autoSpaceDN w:val="0"/>
        <w:spacing w:line="276" w:lineRule="auto"/>
        <w:jc w:val="center"/>
        <w:rPr>
          <w:rFonts w:ascii="Times New Roman" w:hAnsi="Times New Roman" w:eastAsia="Calibri" w:cs="Times New Roman"/>
          <w:sz w:val="24"/>
          <w:szCs w:val="24"/>
          <w:u w:color="000000"/>
        </w:rPr>
      </w:pPr>
      <w:r w:rsidRPr="00F31A99">
        <w:rPr>
          <w:rFonts w:ascii="Times New Roman" w:hAnsi="Times New Roman" w:eastAsia="Calibri" w:cs="Times New Roman"/>
          <w:noProof/>
          <w:u w:color="000000"/>
        </w:rPr>
        <w:lastRenderedPageBreak/>
        <w:drawing>
          <wp:inline distT="0" distB="0" distL="0" distR="0" wp14:anchorId="3A587F1F" wp14:editId="70119BA8">
            <wp:extent cx="3552933" cy="1238250"/>
            <wp:effectExtent l="0" t="0" r="952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565702" cy="1242700"/>
                    </a:xfrm>
                    <a:prstGeom prst="rect">
                      <a:avLst/>
                    </a:prstGeom>
                    <a:noFill/>
                    <a:ln>
                      <a:noFill/>
                    </a:ln>
                  </pic:spPr>
                </pic:pic>
              </a:graphicData>
            </a:graphic>
          </wp:inline>
        </w:drawing>
      </w:r>
    </w:p>
    <w:p w:rsidRPr="00F31A99" w:rsidR="00F31A99" w:rsidP="00F31A99" w:rsidRDefault="00F31A99" w14:paraId="1CC718E1" w14:textId="77777777">
      <w:pPr>
        <w:autoSpaceDN w:val="0"/>
        <w:spacing w:line="360" w:lineRule="auto"/>
        <w:ind w:left="1416" w:firstLine="708"/>
        <w:jc w:val="both"/>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1D1236EC"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5ED1C4A3"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Según se muestra en el cuadro anterior en el 2018 se presenta una ejecución presupuestaria muy por encima de los recursos formulados 191,99%, para el 2019 prácticamente se ejecutan todos los recursos y para el 2020 solamente se logra ejecutar un 8,61%, producto de la cancelación de los viajes al exterior.</w:t>
      </w:r>
    </w:p>
    <w:p w:rsidRPr="00F31A99" w:rsidR="00F31A99" w:rsidP="00F31A99" w:rsidRDefault="00F31A99" w14:paraId="3071974E" w14:textId="77777777">
      <w:pPr>
        <w:autoSpaceDN w:val="0"/>
        <w:ind w:left="708"/>
        <w:rPr>
          <w:rFonts w:ascii="Times New Roman" w:hAnsi="Times New Roman" w:eastAsia="Times New Roman" w:cs="Times New Roman"/>
          <w:b/>
          <w:sz w:val="24"/>
          <w:szCs w:val="24"/>
          <w:u w:color="000000"/>
          <w:lang w:eastAsia="es-ES"/>
        </w:rPr>
      </w:pPr>
    </w:p>
    <w:p w:rsidRPr="00F31A99" w:rsidR="00F31A99" w:rsidP="00F31A99" w:rsidRDefault="00F31A99" w14:paraId="10C64901" w14:textId="77777777">
      <w:pPr>
        <w:numPr>
          <w:ilvl w:val="0"/>
          <w:numId w:val="8"/>
        </w:numPr>
        <w:autoSpaceDN w:val="0"/>
        <w:ind w:left="851" w:right="851" w:firstLine="709"/>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Variación por Programa 2021-2022</w:t>
      </w:r>
    </w:p>
    <w:p w:rsidRPr="00F31A99" w:rsidR="00F31A99" w:rsidP="00F31A99" w:rsidRDefault="00F31A99" w14:paraId="21EB71A6" w14:textId="77777777">
      <w:pPr>
        <w:autoSpaceDN w:val="0"/>
        <w:rPr>
          <w:rFonts w:ascii="Times New Roman" w:hAnsi="Times New Roman" w:eastAsia="Calibri" w:cs="Times New Roman"/>
          <w:b/>
          <w:sz w:val="24"/>
          <w:szCs w:val="24"/>
          <w:u w:color="000000"/>
        </w:rPr>
      </w:pPr>
    </w:p>
    <w:p w:rsidRPr="00F31A99" w:rsidR="00F31A99" w:rsidP="00F31A99" w:rsidRDefault="00F31A99" w14:paraId="6073AF51"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Al realizar el análisis comparativo de los recursos formulados en esta subpartida por programa presupuestario, se determina que de manera generalizada los montos se mantienen prácticamente igual a los formulados para el 2020. </w:t>
      </w:r>
    </w:p>
    <w:p w:rsidRPr="00F31A99" w:rsidR="00F31A99" w:rsidP="00F31A99" w:rsidRDefault="00F31A99" w14:paraId="5119913D"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5CE5B0B1"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Cuadro N°14</w:t>
      </w:r>
    </w:p>
    <w:p w:rsidRPr="00F31A99" w:rsidR="00F31A99" w:rsidP="00F31A99" w:rsidRDefault="00F31A99" w14:paraId="72B866D7"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Formulación Presupuestaria por Programa Subpartida 10503 Transporte en el Exterior, Período 2021–2022</w:t>
      </w:r>
    </w:p>
    <w:p w:rsidRPr="00F31A99" w:rsidR="00F31A99" w:rsidP="00F31A99" w:rsidRDefault="00F31A99" w14:paraId="274E3F91" w14:textId="77777777">
      <w:pPr>
        <w:jc w:val="center"/>
        <w:textAlignment w:val="baseline"/>
        <w:rPr>
          <w:rFonts w:ascii="Times New Roman" w:hAnsi="Times New Roman" w:eastAsia="Times New Roman" w:cs="Times New Roman"/>
          <w:b/>
          <w:bCs/>
          <w:sz w:val="24"/>
          <w:szCs w:val="24"/>
          <w:u w:color="000000"/>
          <w:lang w:eastAsia="es-CR"/>
        </w:rPr>
      </w:pPr>
    </w:p>
    <w:p w:rsidRPr="00F31A99" w:rsidR="00F31A99" w:rsidP="00F31A99" w:rsidRDefault="00F31A99" w14:paraId="7FE96215" w14:textId="77777777">
      <w:pPr>
        <w:jc w:val="center"/>
        <w:textAlignment w:val="baseline"/>
        <w:rPr>
          <w:rFonts w:ascii="Times New Roman" w:hAnsi="Times New Roman" w:eastAsia="Times New Roman" w:cs="Times New Roman"/>
          <w:b/>
          <w:bCs/>
          <w:sz w:val="24"/>
          <w:szCs w:val="24"/>
          <w:u w:color="000000"/>
          <w:lang w:eastAsia="es-CR"/>
        </w:rPr>
      </w:pPr>
      <w:r w:rsidRPr="00F31A99">
        <w:rPr>
          <w:rFonts w:ascii="Times New Roman" w:hAnsi="Times New Roman" w:eastAsia="Times New Roman" w:cs="Times New Roman"/>
          <w:noProof/>
          <w:sz w:val="24"/>
          <w:szCs w:val="24"/>
          <w:u w:color="000000"/>
        </w:rPr>
        <w:drawing>
          <wp:inline distT="0" distB="0" distL="0" distR="0" wp14:anchorId="6E8D5C3D" wp14:editId="401872B1">
            <wp:extent cx="6030595" cy="1556385"/>
            <wp:effectExtent l="0" t="0" r="8255" b="571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30595" cy="1556385"/>
                    </a:xfrm>
                    <a:prstGeom prst="rect">
                      <a:avLst/>
                    </a:prstGeom>
                    <a:noFill/>
                    <a:ln>
                      <a:noFill/>
                    </a:ln>
                  </pic:spPr>
                </pic:pic>
              </a:graphicData>
            </a:graphic>
          </wp:inline>
        </w:drawing>
      </w:r>
    </w:p>
    <w:p w:rsidRPr="00F31A99" w:rsidR="00F31A99" w:rsidP="00F31A99" w:rsidRDefault="00F31A99" w14:paraId="3764B99D" w14:textId="77777777">
      <w:pPr>
        <w:autoSpaceDN w:val="0"/>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2E318AC9" w14:textId="77777777">
      <w:pPr>
        <w:textAlignment w:val="baseline"/>
        <w:rPr>
          <w:rFonts w:ascii="Times New Roman" w:hAnsi="Times New Roman" w:eastAsia="Times New Roman" w:cs="Times New Roman"/>
          <w:b/>
          <w:bCs/>
          <w:sz w:val="24"/>
          <w:szCs w:val="24"/>
          <w:u w:color="000000"/>
          <w:lang w:eastAsia="es-CR"/>
        </w:rPr>
      </w:pPr>
    </w:p>
    <w:p w:rsidRPr="00F31A99" w:rsidR="00F31A99" w:rsidP="00F31A99" w:rsidRDefault="00F31A99" w14:paraId="3DA61730"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El incremento de la subpartida se debe a que para el 2021 se formularon en la Presidencia de la Corte ¢8.321.047 (programas 926 y 927); sin embargo, como parte de las restricciones presupuestarias y por la emergencia sanitaria del Covid-19, todas las actividades presenciales fueron canceladas o bien realizadas de manera virtual, aplicándose recortes en el Ministerio de Hacienda por ¢6.321.047 y en la Asamblea Legislativa los restantes ¢2.000.000, para finalmente </w:t>
      </w:r>
      <w:r w:rsidRPr="00F31A99">
        <w:rPr>
          <w:rFonts w:ascii="Times New Roman" w:hAnsi="Times New Roman" w:eastAsia="Times New Roman" w:cs="Times New Roman"/>
          <w:sz w:val="26"/>
          <w:szCs w:val="26"/>
          <w:u w:color="000000"/>
          <w:lang w:eastAsia="es-ES"/>
        </w:rPr>
        <w:lastRenderedPageBreak/>
        <w:t xml:space="preserve">quedar en cero. Para el 2022 señalan que se visualizan que las actividades sean presenciales y se deba viajar al exterior para cumplir con compromisos internacionales de gran importancia para el Poder Judicial. Según la justificación del Despacho de la Presidencia. </w:t>
      </w:r>
    </w:p>
    <w:p w:rsidRPr="00F31A99" w:rsidR="00F31A99" w:rsidP="00F31A99" w:rsidRDefault="00F31A99" w14:paraId="27D461EF" w14:textId="77777777">
      <w:pPr>
        <w:textAlignment w:val="baseline"/>
        <w:rPr>
          <w:rFonts w:ascii="Times New Roman" w:hAnsi="Times New Roman" w:eastAsia="Times New Roman" w:cs="Times New Roman"/>
          <w:b/>
          <w:bCs/>
          <w:sz w:val="24"/>
          <w:szCs w:val="24"/>
          <w:u w:color="000000"/>
          <w:lang w:eastAsia="es-CR"/>
        </w:rPr>
      </w:pPr>
    </w:p>
    <w:p w:rsidRPr="00F31A99" w:rsidR="00F31A99" w:rsidP="00F31A99" w:rsidRDefault="00F31A99" w14:paraId="19BDCAF8" w14:textId="77777777">
      <w:pPr>
        <w:numPr>
          <w:ilvl w:val="0"/>
          <w:numId w:val="8"/>
        </w:numPr>
        <w:autoSpaceDN w:val="0"/>
        <w:ind w:left="851" w:right="851" w:firstLine="709"/>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Análisis de la Distribución por Programa Presupuestario para el 2022</w:t>
      </w:r>
    </w:p>
    <w:p w:rsidRPr="00F31A99" w:rsidR="00F31A99" w:rsidP="00F31A99" w:rsidRDefault="00F31A99" w14:paraId="212047F7" w14:textId="77777777">
      <w:pPr>
        <w:tabs>
          <w:tab w:val="left" w:pos="2403"/>
        </w:tabs>
        <w:spacing w:after="120" w:line="360" w:lineRule="auto"/>
        <w:jc w:val="both"/>
        <w:rPr>
          <w:rFonts w:ascii="Times New Roman" w:hAnsi="Times New Roman" w:eastAsia="Calibri" w:cs="Times New Roman"/>
          <w:sz w:val="24"/>
          <w:szCs w:val="24"/>
          <w:u w:color="000000"/>
        </w:rPr>
      </w:pPr>
    </w:p>
    <w:p w:rsidRPr="00F31A99" w:rsidR="00F31A99" w:rsidP="00F31A99" w:rsidRDefault="00F31A99" w14:paraId="6E758739"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Gráfico N°8</w:t>
      </w:r>
    </w:p>
    <w:p w:rsidRPr="00F31A99" w:rsidR="00F31A99" w:rsidP="00F31A99" w:rsidRDefault="00F31A99" w14:paraId="2DD19443"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Distribución de la Subpartida por Programa Presupuestario 2022</w:t>
      </w:r>
    </w:p>
    <w:p w:rsidRPr="00F31A99" w:rsidR="00F31A99" w:rsidP="00F31A99" w:rsidRDefault="00F31A99" w14:paraId="5C31A03C" w14:textId="77777777">
      <w:pPr>
        <w:tabs>
          <w:tab w:val="left" w:pos="2403"/>
        </w:tabs>
        <w:spacing w:after="120" w:line="360" w:lineRule="auto"/>
        <w:jc w:val="both"/>
        <w:rPr>
          <w:rFonts w:ascii="Times New Roman" w:hAnsi="Times New Roman" w:eastAsia="Calibri" w:cs="Times New Roman"/>
          <w:sz w:val="24"/>
          <w:szCs w:val="24"/>
          <w:u w:color="000000"/>
        </w:rPr>
      </w:pPr>
    </w:p>
    <w:p w:rsidRPr="00F31A99" w:rsidR="00F31A99" w:rsidP="00F31A99" w:rsidRDefault="00F31A99" w14:paraId="76DD0C17" w14:textId="77777777">
      <w:pPr>
        <w:spacing w:after="120" w:line="360" w:lineRule="auto"/>
        <w:jc w:val="center"/>
        <w:rPr>
          <w:rFonts w:ascii="Times New Roman" w:hAnsi="Times New Roman" w:eastAsia="Calibri" w:cs="Times New Roman"/>
          <w:sz w:val="24"/>
          <w:szCs w:val="24"/>
          <w:u w:color="000000"/>
        </w:rPr>
      </w:pPr>
      <w:r w:rsidRPr="00F31A99">
        <w:rPr>
          <w:rFonts w:ascii="Times New Roman" w:hAnsi="Times New Roman" w:eastAsia="Times New Roman" w:cs="Times New Roman"/>
          <w:noProof/>
          <w:sz w:val="20"/>
          <w:szCs w:val="20"/>
          <w:u w:color="000000"/>
        </w:rPr>
        <w:drawing>
          <wp:inline distT="0" distB="0" distL="0" distR="0" wp14:anchorId="04F4C4C0" wp14:editId="3D2CA210">
            <wp:extent cx="4851400" cy="2749550"/>
            <wp:effectExtent l="0" t="0" r="6350" b="12700"/>
            <wp:docPr id="106" name="Gráfico 106">
              <a:extLst xmlns:a="http://schemas.openxmlformats.org/drawingml/2006/main">
                <a:ext uri="{FF2B5EF4-FFF2-40B4-BE49-F238E27FC236}">
                  <a16:creationId xmlns:a16="http://schemas.microsoft.com/office/drawing/2014/main" id="{C410A5B2-6BC1-4706-9028-D86D18FD6E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Pr="00F31A99" w:rsidR="00F31A99" w:rsidP="00F31A99" w:rsidRDefault="00F31A99" w14:paraId="1925B695" w14:textId="77777777">
      <w:pPr>
        <w:autoSpaceDN w:val="0"/>
        <w:ind w:left="708" w:firstLine="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56DA3F14"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0DB2D103"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El programa 928 Organismo de Investigación Judicial presupuesta para el 2022 ¢5.950.000, cifra que representa el 34,97% del total de esta subpartida. En el segundo lugar se encuentra el programa 929 Ministerio Público con ¢5.150.000 es decir un 30,27%, seguido por el 926 Dirección y Administración y 927 Servicio Jurisdiccional con ¢2.000.000 (11,76%), el 930 Defensa Pública ¢1.862.942 (10,95%) y por último, el 950 Programa de Atención y Protección de Víctimas y Testigos con ¢50.000 (0,29%).</w:t>
      </w:r>
    </w:p>
    <w:p w:rsidRPr="00F31A99" w:rsidR="00F31A99" w:rsidP="00F31A99" w:rsidRDefault="00F31A99" w14:paraId="20092567" w14:textId="77777777">
      <w:pPr>
        <w:tabs>
          <w:tab w:val="left" w:pos="360"/>
        </w:tabs>
        <w:suppressAutoHyphens/>
        <w:autoSpaceDN w:val="0"/>
        <w:ind w:right="851"/>
        <w:jc w:val="both"/>
        <w:rPr>
          <w:rFonts w:ascii="Times New Roman" w:hAnsi="Times New Roman" w:eastAsia="Calibri" w:cs="Times New Roman"/>
          <w:sz w:val="26"/>
          <w:szCs w:val="26"/>
          <w:u w:color="000000"/>
        </w:rPr>
      </w:pPr>
    </w:p>
    <w:p w:rsidRPr="00F31A99" w:rsidR="00F31A99" w:rsidP="00F31A99" w:rsidRDefault="00F31A99" w14:paraId="19EC9492" w14:textId="77777777">
      <w:pPr>
        <w:numPr>
          <w:ilvl w:val="0"/>
          <w:numId w:val="8"/>
        </w:numPr>
        <w:autoSpaceDN w:val="0"/>
        <w:ind w:left="851" w:right="851" w:firstLine="709"/>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Distribución por Centro de Responsabilidad</w:t>
      </w:r>
    </w:p>
    <w:p w:rsidRPr="00F31A99" w:rsidR="00F31A99" w:rsidP="00F31A99" w:rsidRDefault="00F31A99" w14:paraId="240C68B4" w14:textId="77777777">
      <w:pPr>
        <w:tabs>
          <w:tab w:val="left" w:pos="284"/>
        </w:tabs>
        <w:autoSpaceDN w:val="0"/>
        <w:ind w:left="142"/>
        <w:jc w:val="both"/>
        <w:rPr>
          <w:rFonts w:ascii="Times New Roman" w:hAnsi="Times New Roman" w:eastAsia="Times New Roman" w:cs="Times New Roman"/>
          <w:b/>
          <w:sz w:val="24"/>
          <w:szCs w:val="24"/>
          <w:u w:color="000000"/>
          <w:lang w:eastAsia="es-ES"/>
        </w:rPr>
      </w:pPr>
    </w:p>
    <w:p w:rsidRPr="00F31A99" w:rsidR="00F31A99" w:rsidP="00F31A99" w:rsidRDefault="00F31A99" w14:paraId="0B1975B2"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Gráfico N°9</w:t>
      </w:r>
    </w:p>
    <w:p w:rsidRPr="00F31A99" w:rsidR="00F31A99" w:rsidP="00F31A99" w:rsidRDefault="00F31A99" w14:paraId="6AC4D8E5" w14:textId="77777777">
      <w:pPr>
        <w:autoSpaceDN w:val="0"/>
        <w:ind w:left="851" w:right="851" w:firstLine="709"/>
        <w:jc w:val="center"/>
        <w:rPr>
          <w:rFonts w:ascii="Times New Roman" w:hAnsi="Times New Roman" w:eastAsia="Calibri" w:cs="Times New Roman"/>
          <w:b/>
          <w:u w:color="000000"/>
        </w:rPr>
      </w:pPr>
      <w:r w:rsidRPr="00F31A99">
        <w:rPr>
          <w:rFonts w:ascii="Times New Roman" w:hAnsi="Times New Roman" w:eastAsia="Calibri" w:cs="Times New Roman"/>
          <w:b/>
          <w:sz w:val="26"/>
          <w:szCs w:val="26"/>
          <w:u w:color="000000"/>
        </w:rPr>
        <w:lastRenderedPageBreak/>
        <w:t>Distribución de la Subpartida por Centro de Responsabilidad,</w:t>
      </w:r>
      <w:r w:rsidRPr="00F31A99">
        <w:rPr>
          <w:rFonts w:ascii="Times New Roman" w:hAnsi="Times New Roman" w:eastAsia="Calibri" w:cs="Times New Roman"/>
          <w:u w:color="000000"/>
        </w:rPr>
        <w:t xml:space="preserve"> </w:t>
      </w:r>
      <w:r w:rsidRPr="00F31A99">
        <w:rPr>
          <w:rFonts w:ascii="Times New Roman" w:hAnsi="Times New Roman" w:eastAsia="Calibri" w:cs="Times New Roman"/>
          <w:b/>
          <w:sz w:val="26"/>
          <w:szCs w:val="26"/>
          <w:u w:color="000000"/>
        </w:rPr>
        <w:t>Período 2022</w:t>
      </w:r>
    </w:p>
    <w:p w:rsidRPr="00F31A99" w:rsidR="00F31A99" w:rsidP="00F31A99" w:rsidRDefault="00F31A99" w14:paraId="1CC1C1FA" w14:textId="77777777">
      <w:pPr>
        <w:tabs>
          <w:tab w:val="left" w:pos="284"/>
        </w:tabs>
        <w:autoSpaceDN w:val="0"/>
        <w:ind w:left="142"/>
        <w:jc w:val="center"/>
        <w:rPr>
          <w:rFonts w:ascii="Times New Roman" w:hAnsi="Times New Roman" w:eastAsia="Times New Roman" w:cs="Times New Roman"/>
          <w:b/>
          <w:sz w:val="24"/>
          <w:szCs w:val="24"/>
          <w:u w:color="000000"/>
          <w:lang w:eastAsia="es-ES"/>
        </w:rPr>
      </w:pPr>
      <w:r w:rsidRPr="00F31A99">
        <w:rPr>
          <w:rFonts w:ascii="Times New Roman" w:hAnsi="Times New Roman" w:eastAsia="Times New Roman" w:cs="Times New Roman"/>
          <w:noProof/>
          <w:sz w:val="24"/>
          <w:szCs w:val="24"/>
          <w:u w:color="000000"/>
        </w:rPr>
        <w:drawing>
          <wp:inline distT="0" distB="0" distL="0" distR="0" wp14:anchorId="74520F02" wp14:editId="0B16BFB5">
            <wp:extent cx="5175250" cy="2667000"/>
            <wp:effectExtent l="0" t="0" r="6350" b="0"/>
            <wp:docPr id="107" name="Gráfico 107">
              <a:extLst xmlns:a="http://schemas.openxmlformats.org/drawingml/2006/main">
                <a:ext uri="{FF2B5EF4-FFF2-40B4-BE49-F238E27FC236}">
                  <a16:creationId xmlns:a16="http://schemas.microsoft.com/office/drawing/2014/main" id="{67D191C1-B591-4B81-B1B4-DCE0EA2B76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Pr="00F31A99" w:rsidR="00F31A99" w:rsidP="00F31A99" w:rsidRDefault="00F31A99" w14:paraId="503B662A" w14:textId="77777777">
      <w:pPr>
        <w:autoSpaceDN w:val="0"/>
        <w:ind w:left="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11CB4B01" w14:textId="77777777">
      <w:pPr>
        <w:autoSpaceDN w:val="0"/>
        <w:ind w:left="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Nota:</w:t>
      </w:r>
      <w:r w:rsidRPr="00F31A99">
        <w:rPr>
          <w:rFonts w:ascii="Times New Roman" w:hAnsi="Times New Roman" w:eastAsia="Calibri" w:cs="Times New Roman"/>
          <w:sz w:val="16"/>
          <w:szCs w:val="24"/>
          <w:u w:color="000000"/>
        </w:rPr>
        <w:t xml:space="preserve"> Presidencia de la Corte incluye recursos de los programas 926 Dirección y Administración y 927 Servicio Jurisdiccional.</w:t>
      </w:r>
    </w:p>
    <w:p w:rsidRPr="00F31A99" w:rsidR="00F31A99" w:rsidP="00F31A99" w:rsidRDefault="00F31A99" w14:paraId="3F090E80" w14:textId="77777777">
      <w:pPr>
        <w:autoSpaceDN w:val="0"/>
        <w:rPr>
          <w:rFonts w:ascii="Times New Roman" w:hAnsi="Times New Roman" w:eastAsia="Calibri" w:cs="Times New Roman"/>
          <w:sz w:val="24"/>
          <w:szCs w:val="24"/>
          <w:u w:color="000000"/>
        </w:rPr>
      </w:pPr>
    </w:p>
    <w:p w:rsidRPr="00F31A99" w:rsidR="00F31A99" w:rsidP="00F31A99" w:rsidRDefault="00F31A99" w14:paraId="597E13A0"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Según se muestra en el gráfico anterior, los centros de responsabilidad con recursos formulados en esta subpartida para el 2022 son el Organismo de Investigación Judicial con ¢5.950.000, el Ministerio Público con ¢5.150.000, la Presidencia de la Corte con ¢4.000.000, la Defensa Pública con ¢1.940.565 y el Programa de Atención y Protección a Víctimas y Testigos que formuló ¢50.000.</w:t>
      </w:r>
    </w:p>
    <w:p w:rsidRPr="00F31A99" w:rsidR="00F31A99" w:rsidP="00F31A99" w:rsidRDefault="00F31A99" w14:paraId="54C3B3C5" w14:textId="77777777">
      <w:pPr>
        <w:autoSpaceDN w:val="0"/>
        <w:rPr>
          <w:rFonts w:ascii="Times New Roman" w:hAnsi="Times New Roman" w:eastAsia="Calibri" w:cs="Times New Roman"/>
          <w:b/>
          <w:sz w:val="24"/>
          <w:szCs w:val="24"/>
          <w:u w:color="000000"/>
        </w:rPr>
      </w:pPr>
    </w:p>
    <w:p w:rsidRPr="00F31A99" w:rsidR="00F31A99" w:rsidP="00F31A99" w:rsidRDefault="00F31A99" w14:paraId="72D473D1" w14:textId="77777777">
      <w:pPr>
        <w:numPr>
          <w:ilvl w:val="0"/>
          <w:numId w:val="8"/>
        </w:numPr>
        <w:autoSpaceDN w:val="0"/>
        <w:ind w:left="851" w:right="851" w:firstLine="709"/>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Variación Distribución por Artículo</w:t>
      </w:r>
    </w:p>
    <w:p w:rsidRPr="00F31A99" w:rsidR="00F31A99" w:rsidP="00F31A99" w:rsidRDefault="00F31A99" w14:paraId="5B6BFE4D" w14:textId="77777777">
      <w:pPr>
        <w:autoSpaceDN w:val="0"/>
        <w:ind w:left="708"/>
        <w:rPr>
          <w:rFonts w:ascii="Times New Roman" w:hAnsi="Times New Roman" w:eastAsia="Times New Roman" w:cs="Times New Roman"/>
          <w:b/>
          <w:sz w:val="24"/>
          <w:szCs w:val="24"/>
          <w:u w:color="000000"/>
          <w:lang w:eastAsia="es-ES"/>
        </w:rPr>
      </w:pPr>
    </w:p>
    <w:p w:rsidRPr="00F31A99" w:rsidR="00F31A99" w:rsidP="00F31A99" w:rsidRDefault="00F31A99" w14:paraId="5907C708"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la subpartida 10503 Transporte en el Exterior solamente se formula un artículo. A continuación, se representa la variación en la formulación del artículo Transporte en el Exterior entre el 2021 y 2022.</w:t>
      </w:r>
    </w:p>
    <w:p w:rsidRPr="00F31A99" w:rsidR="00F31A99" w:rsidP="00F31A99" w:rsidRDefault="00F31A99" w14:paraId="1A6B6FCD" w14:textId="77777777">
      <w:pPr>
        <w:autoSpaceDN w:val="0"/>
        <w:spacing w:line="276" w:lineRule="auto"/>
        <w:ind w:left="708"/>
        <w:jc w:val="both"/>
        <w:rPr>
          <w:rFonts w:ascii="Times New Roman" w:hAnsi="Times New Roman" w:eastAsia="Times New Roman" w:cs="Times New Roman"/>
          <w:sz w:val="24"/>
          <w:szCs w:val="24"/>
          <w:u w:color="000000"/>
          <w:lang w:eastAsia="es-ES"/>
        </w:rPr>
      </w:pPr>
    </w:p>
    <w:p w:rsidRPr="00F31A99" w:rsidR="00F31A99" w:rsidP="00F31A99" w:rsidRDefault="00F31A99" w14:paraId="26ACC28C" w14:textId="77777777">
      <w:pPr>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Gráfico N°15</w:t>
      </w:r>
    </w:p>
    <w:p w:rsidRPr="00F31A99" w:rsidR="00F31A99" w:rsidP="00F31A99" w:rsidRDefault="00F31A99" w14:paraId="4CB03BBE" w14:textId="77777777">
      <w:pPr>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Variación de Recursos Presupuestados por Artículo</w:t>
      </w:r>
    </w:p>
    <w:p w:rsidRPr="00F31A99" w:rsidR="00F31A99" w:rsidP="00F31A99" w:rsidRDefault="00F31A99" w14:paraId="1FF0BB6C" w14:textId="77777777">
      <w:pPr>
        <w:autoSpaceDN w:val="0"/>
        <w:jc w:val="center"/>
        <w:rPr>
          <w:rFonts w:ascii="Times New Roman" w:hAnsi="Times New Roman" w:eastAsia="Calibri" w:cs="Times New Roman"/>
          <w:sz w:val="24"/>
          <w:szCs w:val="24"/>
          <w:u w:color="000000"/>
        </w:rPr>
      </w:pPr>
    </w:p>
    <w:p w:rsidRPr="00F31A99" w:rsidR="00F31A99" w:rsidP="00F31A99" w:rsidRDefault="00F31A99" w14:paraId="7152D814" w14:textId="77777777">
      <w:pPr>
        <w:autoSpaceDN w:val="0"/>
        <w:jc w:val="center"/>
        <w:rPr>
          <w:rFonts w:ascii="Times New Roman" w:hAnsi="Times New Roman" w:eastAsia="Calibri" w:cs="Times New Roman"/>
          <w:sz w:val="24"/>
          <w:szCs w:val="24"/>
          <w:u w:color="000000"/>
        </w:rPr>
      </w:pPr>
      <w:r w:rsidRPr="00F31A99">
        <w:rPr>
          <w:rFonts w:ascii="Times New Roman" w:hAnsi="Times New Roman" w:eastAsia="Calibri" w:cs="Times New Roman"/>
          <w:noProof/>
          <w:u w:color="000000"/>
        </w:rPr>
        <w:drawing>
          <wp:inline distT="0" distB="0" distL="0" distR="0" wp14:anchorId="02C53F86" wp14:editId="6422B711">
            <wp:extent cx="5518150" cy="558800"/>
            <wp:effectExtent l="0" t="0" r="635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18150" cy="558800"/>
                    </a:xfrm>
                    <a:prstGeom prst="rect">
                      <a:avLst/>
                    </a:prstGeom>
                    <a:noFill/>
                    <a:ln>
                      <a:noFill/>
                    </a:ln>
                  </pic:spPr>
                </pic:pic>
              </a:graphicData>
            </a:graphic>
          </wp:inline>
        </w:drawing>
      </w:r>
    </w:p>
    <w:p w:rsidRPr="00F31A99" w:rsidR="00F31A99" w:rsidP="00F31A99" w:rsidRDefault="00F31A99" w14:paraId="123859CD" w14:textId="77777777">
      <w:pPr>
        <w:autoSpaceDN w:val="0"/>
        <w:ind w:left="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16D9BB8E" w14:textId="77777777">
      <w:pPr>
        <w:autoSpaceDN w:val="0"/>
        <w:rPr>
          <w:rFonts w:ascii="Times New Roman" w:hAnsi="Times New Roman" w:eastAsia="Calibri" w:cs="Times New Roman"/>
          <w:b/>
          <w:sz w:val="24"/>
          <w:szCs w:val="24"/>
          <w:u w:color="000000"/>
        </w:rPr>
      </w:pPr>
    </w:p>
    <w:p w:rsidRPr="00F31A99" w:rsidR="00F31A99" w:rsidP="00F31A99" w:rsidRDefault="00F31A99" w14:paraId="39FD0543" w14:textId="77777777">
      <w:pPr>
        <w:autoSpaceDN w:val="0"/>
        <w:ind w:left="851" w:right="851" w:firstLine="709"/>
        <w:rPr>
          <w:rFonts w:ascii="Times New Roman" w:hAnsi="Times New Roman" w:eastAsia="Calibri" w:cs="Times New Roman"/>
          <w:b/>
          <w:sz w:val="24"/>
          <w:szCs w:val="24"/>
          <w:u w:color="000000"/>
        </w:rPr>
      </w:pPr>
      <w:r w:rsidRPr="00F31A99">
        <w:rPr>
          <w:rFonts w:ascii="Times New Roman" w:hAnsi="Times New Roman" w:eastAsia="Calibri" w:cs="Times New Roman"/>
          <w:b/>
          <w:sz w:val="24"/>
          <w:szCs w:val="24"/>
          <w:u w:color="000000"/>
        </w:rPr>
        <w:t>Subpartida 10504 viáticos en el exterior</w:t>
      </w:r>
    </w:p>
    <w:p w:rsidRPr="00F31A99" w:rsidR="00F31A99" w:rsidP="00F31A99" w:rsidRDefault="00F31A99" w14:paraId="3ABFAA8A" w14:textId="77777777">
      <w:pPr>
        <w:autoSpaceDN w:val="0"/>
        <w:rPr>
          <w:rFonts w:ascii="Times New Roman" w:hAnsi="Times New Roman" w:eastAsia="Calibri" w:cs="Times New Roman"/>
          <w:b/>
          <w:u w:color="000000"/>
        </w:rPr>
      </w:pPr>
    </w:p>
    <w:p w:rsidRPr="00F31A99" w:rsidR="00F31A99" w:rsidP="00F31A99" w:rsidRDefault="00F31A99" w14:paraId="65FE49BF" w14:textId="77777777">
      <w:pPr>
        <w:autoSpaceDN w:val="0"/>
        <w:ind w:left="1080"/>
        <w:rPr>
          <w:rFonts w:ascii="Times New Roman" w:hAnsi="Times New Roman" w:eastAsia="Times New Roman" w:cs="Times New Roman"/>
          <w:b/>
          <w:sz w:val="24"/>
          <w:szCs w:val="24"/>
          <w:u w:color="000000"/>
          <w:lang w:eastAsia="es-ES"/>
        </w:rPr>
      </w:pPr>
    </w:p>
    <w:p w:rsidRPr="00F31A99" w:rsidR="00F31A99" w:rsidP="00F31A99" w:rsidRDefault="00F31A99" w14:paraId="67600784" w14:textId="77777777">
      <w:pPr>
        <w:numPr>
          <w:ilvl w:val="0"/>
          <w:numId w:val="31"/>
        </w:numPr>
        <w:autoSpaceDN w:val="0"/>
        <w:ind w:left="851" w:right="851" w:firstLine="357"/>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lastRenderedPageBreak/>
        <w:t>Análisis Comparativo del Crecimiento de la Subpartida</w:t>
      </w:r>
    </w:p>
    <w:p w:rsidRPr="00F31A99" w:rsidR="00F31A99" w:rsidP="00F31A99" w:rsidRDefault="00F31A99" w14:paraId="6A0D38B4" w14:textId="77777777">
      <w:pPr>
        <w:autoSpaceDN w:val="0"/>
        <w:rPr>
          <w:rFonts w:ascii="Times New Roman" w:hAnsi="Times New Roman" w:eastAsia="Calibri" w:cs="Times New Roman"/>
          <w:b/>
          <w:sz w:val="24"/>
          <w:szCs w:val="24"/>
          <w:u w:color="000000"/>
        </w:rPr>
      </w:pPr>
    </w:p>
    <w:p w:rsidRPr="00F31A99" w:rsidR="00F31A99" w:rsidP="00F31A99" w:rsidRDefault="00F31A99" w14:paraId="184544DC"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Los recursos formulados en la subpartida 10504 Viáticos en el Exterior, responden a las necesidades de alimentación y hospedaje en el exterior del país cuando los servidores judiciales se encuentran desarrollando sus actividades laborales.</w:t>
      </w:r>
    </w:p>
    <w:p w:rsidRPr="00F31A99" w:rsidR="00F31A99" w:rsidP="00F31A99" w:rsidRDefault="00F31A99" w14:paraId="346F5BE1"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2F2483CE"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Cuadro N°16</w:t>
      </w:r>
    </w:p>
    <w:p w:rsidRPr="00F31A99" w:rsidR="00F31A99" w:rsidP="00F31A99" w:rsidRDefault="00F31A99" w14:paraId="26E1511A"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Detalle del Comportamiento Histórico de la Subpartida 10504</w:t>
      </w:r>
    </w:p>
    <w:p w:rsidRPr="00F31A99" w:rsidR="00F31A99" w:rsidP="00F31A99" w:rsidRDefault="00F31A99" w14:paraId="2CF10F10"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Viáticos en el Exterior, Período 2018-2022</w:t>
      </w:r>
    </w:p>
    <w:p w:rsidRPr="00F31A99" w:rsidR="00F31A99" w:rsidP="00F31A99" w:rsidRDefault="00F31A99" w14:paraId="36DBB0A1" w14:textId="77777777">
      <w:pPr>
        <w:autoSpaceDN w:val="0"/>
        <w:jc w:val="both"/>
        <w:rPr>
          <w:rFonts w:ascii="Times New Roman" w:hAnsi="Times New Roman" w:eastAsia="Calibri" w:cs="Times New Roman"/>
          <w:b/>
          <w:sz w:val="24"/>
          <w:szCs w:val="24"/>
          <w:u w:color="000000"/>
        </w:rPr>
      </w:pPr>
    </w:p>
    <w:p w:rsidRPr="00F31A99" w:rsidR="00F31A99" w:rsidP="00F31A99" w:rsidRDefault="00F31A99" w14:paraId="2513E5D5" w14:textId="77777777">
      <w:pPr>
        <w:autoSpaceDN w:val="0"/>
        <w:jc w:val="center"/>
        <w:rPr>
          <w:rFonts w:ascii="Times New Roman" w:hAnsi="Times New Roman" w:eastAsia="Calibri" w:cs="Times New Roman"/>
          <w:b/>
          <w:sz w:val="24"/>
          <w:szCs w:val="24"/>
          <w:u w:color="000000"/>
        </w:rPr>
      </w:pPr>
      <w:r w:rsidRPr="00F31A99">
        <w:rPr>
          <w:rFonts w:ascii="Times New Roman" w:hAnsi="Times New Roman" w:eastAsia="Calibri" w:cs="Times New Roman"/>
          <w:noProof/>
          <w:u w:color="000000"/>
        </w:rPr>
        <w:drawing>
          <wp:inline distT="0" distB="0" distL="0" distR="0" wp14:anchorId="22D5FAA5" wp14:editId="05FD52E7">
            <wp:extent cx="6030595" cy="551815"/>
            <wp:effectExtent l="0" t="0" r="8255" b="63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30595" cy="551815"/>
                    </a:xfrm>
                    <a:prstGeom prst="rect">
                      <a:avLst/>
                    </a:prstGeom>
                    <a:noFill/>
                    <a:ln>
                      <a:noFill/>
                    </a:ln>
                  </pic:spPr>
                </pic:pic>
              </a:graphicData>
            </a:graphic>
          </wp:inline>
        </w:drawing>
      </w:r>
    </w:p>
    <w:p w:rsidRPr="00F31A99" w:rsidR="00F31A99" w:rsidP="00F31A99" w:rsidRDefault="00F31A99" w14:paraId="0764F1F3" w14:textId="77777777">
      <w:pPr>
        <w:autoSpaceDN w:val="0"/>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 xml:space="preserve"> 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46A2BB63" w14:textId="77777777">
      <w:pPr>
        <w:autoSpaceDN w:val="0"/>
        <w:rPr>
          <w:rFonts w:ascii="Times New Roman" w:hAnsi="Times New Roman" w:eastAsia="Calibri" w:cs="Times New Roman"/>
          <w:b/>
          <w:sz w:val="24"/>
          <w:szCs w:val="24"/>
          <w:u w:color="000000"/>
        </w:rPr>
      </w:pPr>
    </w:p>
    <w:p w:rsidRPr="00F31A99" w:rsidR="00F31A99" w:rsidP="00F31A99" w:rsidRDefault="00F31A99" w14:paraId="6BFBA313"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el cuadro anterior se muestran los montos formulados en la subpartida 10504 Viáticos en el Exterior para los últimos 5 años, el 2019 presenta un crecimiento muy elevado de un 143,81% pero se debe a una situación particular de que se incluyeron ¢16.261.138 para el Proyecto Fortalecimiento de la Justicia Restaurativa Corte-Europa AID. Para el 2020 se muestra una disminución del 43,28% pero es producto de estos recursos adicionales que se incluyeron en el período anterior. El 2021 muestra un decrecimiento de -41,57% como parte de las limitaciones presupuestarias que se han venido aplicando y en el 2022 los recursos se incrementan en un 31,30%, pero se debe considerar que los ajustes que se aplicaron en el 2021 afectaron sensiblemente esta subpartida, el total aprobado por Corte Plena fue ¢20.482.246 y terminó en ¢12.571.035. También se tenía la expectativa de no realizar viajes al exterior producto de la pandemia.</w:t>
      </w:r>
    </w:p>
    <w:p w:rsidRPr="00F31A99" w:rsidR="00F31A99" w:rsidP="00F31A99" w:rsidRDefault="00F31A99" w14:paraId="2FABEF23" w14:textId="77777777">
      <w:pPr>
        <w:textAlignment w:val="baseline"/>
        <w:rPr>
          <w:rFonts w:ascii="Times New Roman" w:hAnsi="Times New Roman" w:eastAsia="Times New Roman" w:cs="Times New Roman"/>
          <w:b/>
          <w:bCs/>
          <w:sz w:val="24"/>
          <w:szCs w:val="24"/>
          <w:u w:color="000000"/>
          <w:lang w:eastAsia="es-CR"/>
        </w:rPr>
      </w:pPr>
    </w:p>
    <w:p w:rsidRPr="00F31A99" w:rsidR="00F31A99" w:rsidP="00F31A99" w:rsidRDefault="00F31A99" w14:paraId="7201E675"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Gráfico N°10</w:t>
      </w:r>
    </w:p>
    <w:p w:rsidRPr="00F31A99" w:rsidR="00F31A99" w:rsidP="00F31A99" w:rsidRDefault="00F31A99" w14:paraId="4DF3010D"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Formulación y Ejecución Subpartida 10504 Viáticos en el Exterior</w:t>
      </w:r>
    </w:p>
    <w:p w:rsidRPr="00F31A99" w:rsidR="00F31A99" w:rsidP="00F31A99" w:rsidRDefault="00F31A99" w14:paraId="7E7C34F3"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Período 2018-2022</w:t>
      </w:r>
    </w:p>
    <w:p w:rsidRPr="00F31A99" w:rsidR="00F31A99" w:rsidP="00F31A99" w:rsidRDefault="00F31A99" w14:paraId="7E083753" w14:textId="77777777">
      <w:pPr>
        <w:autoSpaceDN w:val="0"/>
        <w:rPr>
          <w:rFonts w:ascii="Times New Roman" w:hAnsi="Times New Roman" w:eastAsia="Calibri" w:cs="Times New Roman"/>
          <w:b/>
          <w:sz w:val="24"/>
          <w:szCs w:val="24"/>
          <w:u w:color="000000"/>
        </w:rPr>
      </w:pPr>
    </w:p>
    <w:p w:rsidRPr="00F31A99" w:rsidR="00F31A99" w:rsidP="00F31A99" w:rsidRDefault="00F31A99" w14:paraId="1C3F5E78" w14:textId="77777777">
      <w:pPr>
        <w:autoSpaceDN w:val="0"/>
        <w:jc w:val="center"/>
        <w:rPr>
          <w:rFonts w:ascii="Times New Roman" w:hAnsi="Times New Roman" w:eastAsia="Times New Roman" w:cs="Times New Roman"/>
          <w:sz w:val="24"/>
          <w:szCs w:val="24"/>
          <w:u w:color="000000"/>
          <w:lang w:eastAsia="es-CR"/>
        </w:rPr>
      </w:pPr>
      <w:r w:rsidRPr="00F31A99">
        <w:rPr>
          <w:rFonts w:ascii="Times New Roman" w:hAnsi="Times New Roman" w:eastAsia="Calibri" w:cs="Times New Roman"/>
          <w:b/>
          <w:noProof/>
          <w:sz w:val="24"/>
          <w:szCs w:val="24"/>
          <w:u w:color="000000"/>
        </w:rPr>
        <w:lastRenderedPageBreak/>
        <w:drawing>
          <wp:inline distT="0" distB="0" distL="0" distR="0" wp14:anchorId="62621BEB" wp14:editId="68D5E275">
            <wp:extent cx="5118100" cy="2869736"/>
            <wp:effectExtent l="0" t="0" r="6350" b="698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39471" cy="2881719"/>
                    </a:xfrm>
                    <a:prstGeom prst="rect">
                      <a:avLst/>
                    </a:prstGeom>
                    <a:noFill/>
                    <a:ln>
                      <a:noFill/>
                    </a:ln>
                  </pic:spPr>
                </pic:pic>
              </a:graphicData>
            </a:graphic>
          </wp:inline>
        </w:drawing>
      </w:r>
    </w:p>
    <w:p w:rsidRPr="00F31A99" w:rsidR="00F31A99" w:rsidP="00F31A99" w:rsidRDefault="00F31A99" w14:paraId="4617EA0D" w14:textId="77777777">
      <w:pPr>
        <w:autoSpaceDN w:val="0"/>
        <w:ind w:left="708" w:firstLine="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1E7AC101"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664AF364"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el gráfico anterior se representa la formulación y ejecución presupuestaria de la subpartida 10504 Viáticos en el Exterior para el periodo del 2018 al 2022, presentando ejecuciones presupuestarias variadas, durante el 2018 los recursos ejecutados fueron mayores a los formulados, en el 2019 menores y en el 2020 se presenta una situación particular ya que por la pandemia prácticamente no se realizaron viajes al exterior.</w:t>
      </w:r>
    </w:p>
    <w:p w:rsidRPr="00F31A99" w:rsidR="00F31A99" w:rsidP="00F31A99" w:rsidRDefault="00F31A99" w14:paraId="64682DB9"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0BAF0FB7" w14:textId="77777777">
      <w:pPr>
        <w:numPr>
          <w:ilvl w:val="0"/>
          <w:numId w:val="32"/>
        </w:numPr>
        <w:autoSpaceDN w:val="0"/>
        <w:ind w:left="851" w:right="851" w:firstLine="357"/>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 xml:space="preserve">Análisis de la Ejecución Presupuestaria </w:t>
      </w:r>
    </w:p>
    <w:p w:rsidRPr="00F31A99" w:rsidR="00F31A99" w:rsidP="00F31A99" w:rsidRDefault="00F31A99" w14:paraId="55FA9C79" w14:textId="77777777">
      <w:pPr>
        <w:autoSpaceDN w:val="0"/>
        <w:ind w:left="708"/>
        <w:rPr>
          <w:rFonts w:ascii="Times New Roman" w:hAnsi="Times New Roman" w:eastAsia="Times New Roman" w:cs="Times New Roman"/>
          <w:b/>
          <w:sz w:val="24"/>
          <w:szCs w:val="24"/>
          <w:u w:color="000000"/>
          <w:lang w:eastAsia="es-ES"/>
        </w:rPr>
      </w:pPr>
    </w:p>
    <w:p w:rsidRPr="00F31A99" w:rsidR="00F31A99" w:rsidP="00F31A99" w:rsidRDefault="00F31A99" w14:paraId="0A51A241"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Cuadro N°17</w:t>
      </w:r>
    </w:p>
    <w:p w:rsidRPr="00F31A99" w:rsidR="00F31A99" w:rsidP="00F31A99" w:rsidRDefault="00F31A99" w14:paraId="78CA5859"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Ejecución Presupuestaria Subpartida 10504 Viáticos en el Exterior</w:t>
      </w:r>
    </w:p>
    <w:p w:rsidRPr="00F31A99" w:rsidR="00F31A99" w:rsidP="00F31A99" w:rsidRDefault="00F31A99" w14:paraId="05AC4C24"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Período 2018-2020</w:t>
      </w:r>
    </w:p>
    <w:p w:rsidRPr="00F31A99" w:rsidR="00F31A99" w:rsidP="00F31A99" w:rsidRDefault="00F31A99" w14:paraId="3DF1B3A8" w14:textId="77777777">
      <w:pPr>
        <w:autoSpaceDN w:val="0"/>
        <w:spacing w:line="276" w:lineRule="auto"/>
        <w:jc w:val="both"/>
        <w:rPr>
          <w:rFonts w:ascii="Times New Roman" w:hAnsi="Times New Roman" w:eastAsia="Calibri" w:cs="Times New Roman"/>
          <w:sz w:val="24"/>
          <w:szCs w:val="24"/>
          <w:u w:color="000000"/>
        </w:rPr>
      </w:pPr>
    </w:p>
    <w:p w:rsidRPr="00F31A99" w:rsidR="00F31A99" w:rsidP="00F31A99" w:rsidRDefault="00F31A99" w14:paraId="7C85FECE" w14:textId="77777777">
      <w:pPr>
        <w:autoSpaceDN w:val="0"/>
        <w:spacing w:line="276" w:lineRule="auto"/>
        <w:jc w:val="center"/>
        <w:rPr>
          <w:rFonts w:ascii="Times New Roman" w:hAnsi="Times New Roman" w:eastAsia="Calibri" w:cs="Times New Roman"/>
          <w:sz w:val="24"/>
          <w:szCs w:val="24"/>
          <w:u w:color="000000"/>
        </w:rPr>
      </w:pPr>
      <w:r w:rsidRPr="00F31A99">
        <w:rPr>
          <w:rFonts w:ascii="Times New Roman" w:hAnsi="Times New Roman" w:eastAsia="Calibri" w:cs="Times New Roman"/>
          <w:noProof/>
          <w:u w:color="000000"/>
        </w:rPr>
        <w:drawing>
          <wp:inline distT="0" distB="0" distL="0" distR="0" wp14:anchorId="705D8568" wp14:editId="4ED3DDFE">
            <wp:extent cx="3822700" cy="1332268"/>
            <wp:effectExtent l="0" t="0" r="6350" b="127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76714" cy="1351093"/>
                    </a:xfrm>
                    <a:prstGeom prst="rect">
                      <a:avLst/>
                    </a:prstGeom>
                    <a:noFill/>
                    <a:ln>
                      <a:noFill/>
                    </a:ln>
                  </pic:spPr>
                </pic:pic>
              </a:graphicData>
            </a:graphic>
          </wp:inline>
        </w:drawing>
      </w:r>
    </w:p>
    <w:p w:rsidRPr="00F31A99" w:rsidR="00F31A99" w:rsidP="00F31A99" w:rsidRDefault="00F31A99" w14:paraId="3B8D2FAE" w14:textId="77777777">
      <w:pPr>
        <w:autoSpaceDN w:val="0"/>
        <w:spacing w:line="360" w:lineRule="auto"/>
        <w:ind w:left="1416" w:firstLine="708"/>
        <w:jc w:val="both"/>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326AF004"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Según se muestra en la tabla anterior en el 2018 se presenta una ejecución presupuestaria muy por encima de los recursos formulados, para el 2019 el porcentaje de ejecución está por debajo alcanzando </w:t>
      </w:r>
      <w:r w:rsidRPr="00F31A99">
        <w:rPr>
          <w:rFonts w:ascii="Times New Roman" w:hAnsi="Times New Roman" w:eastAsia="Times New Roman" w:cs="Times New Roman"/>
          <w:sz w:val="26"/>
          <w:szCs w:val="26"/>
          <w:u w:color="000000"/>
          <w:lang w:eastAsia="es-ES"/>
        </w:rPr>
        <w:lastRenderedPageBreak/>
        <w:t>un 69,07% y para el 2020 solamente se logra ejecutar un 15,47%, producto de la cancelación de los viajes al exterior.</w:t>
      </w:r>
    </w:p>
    <w:p w:rsidRPr="00F31A99" w:rsidR="00F31A99" w:rsidP="00F31A99" w:rsidRDefault="00F31A99" w14:paraId="4B86A012"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06B7AB7C" w14:textId="77777777">
      <w:pPr>
        <w:autoSpaceDN w:val="0"/>
        <w:spacing w:line="360" w:lineRule="auto"/>
        <w:jc w:val="both"/>
        <w:rPr>
          <w:rFonts w:ascii="Times New Roman" w:hAnsi="Times New Roman" w:eastAsia="Times New Roman" w:cs="Times New Roman"/>
          <w:sz w:val="24"/>
          <w:szCs w:val="24"/>
          <w:u w:color="000000"/>
          <w:lang w:eastAsia="es-ES"/>
        </w:rPr>
      </w:pPr>
    </w:p>
    <w:p w:rsidRPr="00F31A99" w:rsidR="00F31A99" w:rsidP="00F31A99" w:rsidRDefault="00F31A99" w14:paraId="4F3A5876" w14:textId="77777777">
      <w:pPr>
        <w:numPr>
          <w:ilvl w:val="0"/>
          <w:numId w:val="32"/>
        </w:numPr>
        <w:autoSpaceDN w:val="0"/>
        <w:ind w:left="851" w:right="851" w:firstLine="357"/>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Variación por Programa 2021-2022</w:t>
      </w:r>
    </w:p>
    <w:p w:rsidRPr="00F31A99" w:rsidR="00F31A99" w:rsidP="00F31A99" w:rsidRDefault="00F31A99" w14:paraId="0C608B59" w14:textId="77777777">
      <w:pPr>
        <w:autoSpaceDN w:val="0"/>
        <w:ind w:left="708"/>
        <w:rPr>
          <w:rFonts w:ascii="Times New Roman" w:hAnsi="Times New Roman" w:eastAsia="Times New Roman" w:cs="Times New Roman"/>
          <w:b/>
          <w:sz w:val="24"/>
          <w:szCs w:val="24"/>
          <w:u w:color="000000"/>
          <w:lang w:eastAsia="es-ES"/>
        </w:rPr>
      </w:pPr>
    </w:p>
    <w:p w:rsidRPr="00F31A99" w:rsidR="00F31A99" w:rsidP="00F31A99" w:rsidRDefault="00F31A99" w14:paraId="6ECE9F0F"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Al realizar el análisis comparativo de los recursos formulados en esta subpartida por programa presupuestario, se determina que los montos prácticamente son los mismos entre un año y otro, excepto en los programa 926 Dirección y Administración y 927 Servicio Jurisdiccional que durante el 2021 los recursos fueron eliminados de la Presidencia de la Corte; sin embargo, para el 2022 señalan que se visualizan que las actividades se van a retomar y se tenga que viajar al exterior para cumplir con los compromisos internacionales del Poder Judicial.</w:t>
      </w:r>
    </w:p>
    <w:p w:rsidRPr="00F31A99" w:rsidR="00F31A99" w:rsidP="00F31A99" w:rsidRDefault="00F31A99" w14:paraId="07B8F877" w14:textId="77777777">
      <w:pPr>
        <w:autoSpaceDN w:val="0"/>
        <w:rPr>
          <w:rFonts w:ascii="Times New Roman" w:hAnsi="Times New Roman" w:eastAsia="Times New Roman" w:cs="Times New Roman"/>
          <w:b/>
          <w:bCs/>
          <w:sz w:val="24"/>
          <w:szCs w:val="24"/>
          <w:u w:color="000000"/>
          <w:lang w:eastAsia="es-CR"/>
        </w:rPr>
      </w:pPr>
    </w:p>
    <w:p w:rsidRPr="00F31A99" w:rsidR="00F31A99" w:rsidP="00F31A99" w:rsidRDefault="00F31A99" w14:paraId="5E20A400"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Cuadro N°18</w:t>
      </w:r>
    </w:p>
    <w:p w:rsidRPr="00F31A99" w:rsidR="00F31A99" w:rsidP="00F31A99" w:rsidRDefault="00F31A99" w14:paraId="25408BBD"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Formulación Presupuestaria por Programa Presupuestario Subpartida 10504 Viáticos en el Exterior, Período 2021–2022</w:t>
      </w:r>
    </w:p>
    <w:p w:rsidRPr="00F31A99" w:rsidR="00F31A99" w:rsidP="00F31A99" w:rsidRDefault="00F31A99" w14:paraId="383D8F2D" w14:textId="77777777">
      <w:pPr>
        <w:jc w:val="center"/>
        <w:textAlignment w:val="baseline"/>
        <w:rPr>
          <w:rFonts w:ascii="Times New Roman" w:hAnsi="Times New Roman" w:eastAsia="Times New Roman" w:cs="Times New Roman"/>
          <w:sz w:val="24"/>
          <w:szCs w:val="24"/>
          <w:u w:color="000000"/>
          <w:lang w:eastAsia="es-CR"/>
        </w:rPr>
      </w:pPr>
    </w:p>
    <w:p w:rsidRPr="00F31A99" w:rsidR="00F31A99" w:rsidP="00F31A99" w:rsidRDefault="00F31A99" w14:paraId="2CAA900F" w14:textId="77777777">
      <w:pPr>
        <w:jc w:val="center"/>
        <w:textAlignment w:val="baseline"/>
        <w:rPr>
          <w:rFonts w:ascii="Times New Roman" w:hAnsi="Times New Roman" w:eastAsia="Times New Roman" w:cs="Times New Roman"/>
          <w:b/>
          <w:bCs/>
          <w:noProof/>
          <w:sz w:val="24"/>
          <w:szCs w:val="24"/>
          <w:u w:color="000000"/>
          <w:lang w:eastAsia="es-CR"/>
        </w:rPr>
      </w:pPr>
      <w:r w:rsidRPr="00F31A99">
        <w:rPr>
          <w:rFonts w:ascii="Times New Roman" w:hAnsi="Times New Roman" w:eastAsia="Times New Roman" w:cs="Times New Roman"/>
          <w:noProof/>
          <w:sz w:val="24"/>
          <w:szCs w:val="24"/>
          <w:u w:color="000000"/>
        </w:rPr>
        <w:drawing>
          <wp:inline distT="0" distB="0" distL="0" distR="0" wp14:anchorId="30F832D0" wp14:editId="3CC231BA">
            <wp:extent cx="6030595" cy="1583055"/>
            <wp:effectExtent l="0" t="0" r="825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30595" cy="1583055"/>
                    </a:xfrm>
                    <a:prstGeom prst="rect">
                      <a:avLst/>
                    </a:prstGeom>
                    <a:noFill/>
                    <a:ln>
                      <a:noFill/>
                    </a:ln>
                  </pic:spPr>
                </pic:pic>
              </a:graphicData>
            </a:graphic>
          </wp:inline>
        </w:drawing>
      </w:r>
    </w:p>
    <w:p w:rsidRPr="00F31A99" w:rsidR="00F31A99" w:rsidP="00F31A99" w:rsidRDefault="00F31A99" w14:paraId="266559B4" w14:textId="77777777">
      <w:pPr>
        <w:autoSpaceDN w:val="0"/>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192F2875" w14:textId="77777777">
      <w:pPr>
        <w:autoSpaceDN w:val="0"/>
        <w:jc w:val="both"/>
        <w:rPr>
          <w:rFonts w:ascii="Times New Roman" w:hAnsi="Times New Roman" w:eastAsia="Times New Roman" w:cs="Times New Roman"/>
          <w:b/>
          <w:sz w:val="24"/>
          <w:szCs w:val="24"/>
          <w:u w:color="000000"/>
          <w:lang w:eastAsia="es-ES"/>
        </w:rPr>
      </w:pPr>
    </w:p>
    <w:p w:rsidRPr="00F31A99" w:rsidR="00F31A99" w:rsidP="00F31A99" w:rsidRDefault="00F31A99" w14:paraId="412FD0B8"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El incremento de la subpartida se debe a que para el 2021 se formularon en la Presidencia de la Corte ¢7.911.211 (programas 926 y 927); sin embargo, como parte de las restricciones presupuestarias y por la emergencia sanitaria del Covid-19, todas las actividades presenciales fueron canceladas o bien realizadas de manera virtual, aplicándose recortes en el Ministerio de Hacienda por ¢6.411.211 y en la Asamblea Legislativa el restante ¢1.500.000, para finalmente quedar en cero. Para el 2022 señalan que se visualizan que las actividades sean presenciales y se deba viajar al exterior para cumplir con compromisos internacionales de gran importancia para el Poder Judicial. Según lo indicado por el Despacho de la Presidencia.</w:t>
      </w:r>
    </w:p>
    <w:p w:rsidRPr="00F31A99" w:rsidR="00F31A99" w:rsidP="00F31A99" w:rsidRDefault="00F31A99" w14:paraId="6266EFDE" w14:textId="77777777">
      <w:pPr>
        <w:autoSpaceDN w:val="0"/>
        <w:rPr>
          <w:rFonts w:ascii="Times New Roman" w:hAnsi="Times New Roman" w:eastAsia="Calibri" w:cs="Times New Roman"/>
          <w:b/>
          <w:sz w:val="24"/>
          <w:szCs w:val="24"/>
          <w:u w:color="000000"/>
        </w:rPr>
      </w:pPr>
    </w:p>
    <w:p w:rsidRPr="00F31A99" w:rsidR="00F31A99" w:rsidP="00F31A99" w:rsidRDefault="00F31A99" w14:paraId="220D0D5D" w14:textId="77777777">
      <w:pPr>
        <w:numPr>
          <w:ilvl w:val="0"/>
          <w:numId w:val="32"/>
        </w:numPr>
        <w:autoSpaceDN w:val="0"/>
        <w:ind w:left="851" w:right="851" w:firstLine="357"/>
        <w:contextualSpacing/>
        <w:rPr>
          <w:rFonts w:ascii="Times New Roman" w:hAnsi="Times New Roman" w:eastAsia="Times New Roman" w:cs="Times New Roman"/>
          <w:b/>
          <w:sz w:val="24"/>
          <w:szCs w:val="24"/>
          <w:u w:color="000000"/>
          <w:lang w:eastAsia="es-ES"/>
        </w:rPr>
      </w:pPr>
      <w:r w:rsidRPr="00F31A99">
        <w:rPr>
          <w:rFonts w:ascii="Times New Roman" w:hAnsi="Times New Roman" w:eastAsia="Times New Roman" w:cs="Times New Roman"/>
          <w:b/>
          <w:sz w:val="26"/>
          <w:szCs w:val="26"/>
          <w:u w:color="000000"/>
          <w:lang w:eastAsia="es-ES"/>
        </w:rPr>
        <w:lastRenderedPageBreak/>
        <w:t>Análisis de la Distribución por Programa para el 2022</w:t>
      </w:r>
    </w:p>
    <w:p w:rsidRPr="00F31A99" w:rsidR="00F31A99" w:rsidP="00F31A99" w:rsidRDefault="00F31A99" w14:paraId="69C669F8" w14:textId="77777777">
      <w:pPr>
        <w:autoSpaceDN w:val="0"/>
        <w:ind w:left="708"/>
        <w:rPr>
          <w:rFonts w:ascii="Times New Roman" w:hAnsi="Times New Roman" w:eastAsia="Times New Roman" w:cs="Times New Roman"/>
          <w:b/>
          <w:sz w:val="24"/>
          <w:szCs w:val="24"/>
          <w:u w:color="000000"/>
          <w:lang w:eastAsia="es-ES"/>
        </w:rPr>
      </w:pPr>
    </w:p>
    <w:p w:rsidRPr="00F31A99" w:rsidR="00F31A99" w:rsidP="00F31A99" w:rsidRDefault="00F31A99" w14:paraId="7BDC5057"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Gráfico N°11</w:t>
      </w:r>
    </w:p>
    <w:p w:rsidRPr="00F31A99" w:rsidR="00F31A99" w:rsidP="00F31A99" w:rsidRDefault="00F31A99" w14:paraId="4E032678"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Distribución por Programa Presupuestario Subpartida 10504 Viáticos en el Exterior, Período 2022</w:t>
      </w:r>
    </w:p>
    <w:p w:rsidRPr="00F31A99" w:rsidR="00F31A99" w:rsidP="00F31A99" w:rsidRDefault="00F31A99" w14:paraId="69E7B603" w14:textId="77777777">
      <w:pPr>
        <w:tabs>
          <w:tab w:val="left" w:pos="2403"/>
        </w:tabs>
        <w:spacing w:after="120" w:line="360" w:lineRule="auto"/>
        <w:jc w:val="both"/>
        <w:rPr>
          <w:rFonts w:ascii="Times New Roman" w:hAnsi="Times New Roman" w:eastAsia="Calibri" w:cs="Times New Roman"/>
          <w:sz w:val="24"/>
          <w:szCs w:val="24"/>
          <w:u w:color="000000"/>
        </w:rPr>
      </w:pPr>
    </w:p>
    <w:p w:rsidRPr="00F31A99" w:rsidR="00F31A99" w:rsidP="00F31A99" w:rsidRDefault="00F31A99" w14:paraId="793E8AEC" w14:textId="77777777">
      <w:pPr>
        <w:spacing w:after="120" w:line="360" w:lineRule="auto"/>
        <w:jc w:val="center"/>
        <w:rPr>
          <w:rFonts w:ascii="Times New Roman" w:hAnsi="Times New Roman" w:eastAsia="Calibri" w:cs="Times New Roman"/>
          <w:sz w:val="24"/>
          <w:szCs w:val="24"/>
          <w:u w:color="000000"/>
        </w:rPr>
      </w:pPr>
      <w:r w:rsidRPr="00F31A99">
        <w:rPr>
          <w:rFonts w:ascii="Times New Roman" w:hAnsi="Times New Roman" w:eastAsia="Calibri" w:cs="Times New Roman"/>
          <w:noProof/>
          <w:sz w:val="20"/>
          <w:szCs w:val="20"/>
          <w:u w:color="000000"/>
        </w:rPr>
        <w:drawing>
          <wp:inline distT="0" distB="0" distL="0" distR="0" wp14:anchorId="00FA7016" wp14:editId="22AAA25C">
            <wp:extent cx="3114675" cy="1837826"/>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151146" cy="1859346"/>
                    </a:xfrm>
                    <a:prstGeom prst="rect">
                      <a:avLst/>
                    </a:prstGeom>
                    <a:noFill/>
                    <a:ln>
                      <a:noFill/>
                    </a:ln>
                  </pic:spPr>
                </pic:pic>
              </a:graphicData>
            </a:graphic>
          </wp:inline>
        </w:drawing>
      </w:r>
    </w:p>
    <w:p w:rsidRPr="00F31A99" w:rsidR="00F31A99" w:rsidP="00F31A99" w:rsidRDefault="00F31A99" w14:paraId="6F6466E8" w14:textId="77777777">
      <w:pPr>
        <w:autoSpaceDN w:val="0"/>
        <w:ind w:left="708" w:firstLine="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79CCD720"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4265E8C7"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El programa 927 Organismo de Investigación Judicial para el 2022 tiene formulado en esta subpartida ¢5.665.000 es decir un 34,35% del total, el 929 Ministerio Público ¢5.150.000 que representa el 31,23%, el 926 Dirección y Administración y 927 Servicio Jurisdiccional con ¢2.000.000 cada uno que representa un 12,13% en cada programa, el 930 Defensa Pública ¢1.628.193 que corresponde a un 9,87%) y por último, el 950 Programa de Atención y Protección de Víctimas y Testigos con ¢50.000 que es un 0,30%.</w:t>
      </w:r>
    </w:p>
    <w:p w:rsidRPr="00F31A99" w:rsidR="00F31A99" w:rsidP="00F31A99" w:rsidRDefault="00F31A99" w14:paraId="5A9FE166"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4296EE5B" w14:textId="77777777">
      <w:pPr>
        <w:numPr>
          <w:ilvl w:val="0"/>
          <w:numId w:val="32"/>
        </w:numPr>
        <w:autoSpaceDN w:val="0"/>
        <w:ind w:left="851" w:right="851" w:firstLine="357"/>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Distribución por Centro de Responsabilidad</w:t>
      </w:r>
    </w:p>
    <w:p w:rsidRPr="00F31A99" w:rsidR="00F31A99" w:rsidP="00F31A99" w:rsidRDefault="00F31A99" w14:paraId="3342ECE8" w14:textId="77777777">
      <w:pPr>
        <w:autoSpaceDN w:val="0"/>
        <w:rPr>
          <w:rFonts w:ascii="Times New Roman" w:hAnsi="Times New Roman" w:eastAsia="Calibri" w:cs="Times New Roman"/>
          <w:b/>
          <w:sz w:val="24"/>
          <w:szCs w:val="24"/>
          <w:u w:color="000000"/>
        </w:rPr>
      </w:pPr>
    </w:p>
    <w:p w:rsidRPr="00F31A99" w:rsidR="00F31A99" w:rsidP="00F31A99" w:rsidRDefault="00F31A99" w14:paraId="29873D93" w14:textId="77777777">
      <w:pPr>
        <w:autoSpaceDN w:val="0"/>
        <w:ind w:left="851" w:right="851" w:firstLine="709"/>
        <w:jc w:val="center"/>
        <w:rPr>
          <w:rFonts w:ascii="Times New Roman" w:hAnsi="Times New Roman" w:eastAsia="Calibri" w:cs="Times New Roman"/>
          <w:sz w:val="26"/>
          <w:szCs w:val="26"/>
          <w:u w:color="000000"/>
        </w:rPr>
      </w:pPr>
      <w:r w:rsidRPr="00F31A99">
        <w:rPr>
          <w:rFonts w:ascii="Times New Roman" w:hAnsi="Times New Roman" w:eastAsia="Calibri" w:cs="Times New Roman"/>
          <w:b/>
          <w:sz w:val="26"/>
          <w:szCs w:val="26"/>
          <w:u w:color="000000"/>
        </w:rPr>
        <w:t>Gráfico N°12</w:t>
      </w:r>
    </w:p>
    <w:p w:rsidRPr="00F31A99" w:rsidR="00F31A99" w:rsidP="00F31A99" w:rsidRDefault="00F31A99" w14:paraId="4451FA35"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Distribución por Centro de Responsabilidad Subpartida 10504 Viáticos en el Exterior, Período 2022</w:t>
      </w:r>
    </w:p>
    <w:p w:rsidRPr="00F31A99" w:rsidR="00F31A99" w:rsidP="00F31A99" w:rsidRDefault="00F31A99" w14:paraId="17F899E0" w14:textId="77777777">
      <w:pPr>
        <w:tabs>
          <w:tab w:val="left" w:pos="284"/>
        </w:tabs>
        <w:autoSpaceDN w:val="0"/>
        <w:ind w:left="142"/>
        <w:jc w:val="both"/>
        <w:rPr>
          <w:rFonts w:ascii="Times New Roman" w:hAnsi="Times New Roman" w:eastAsia="Times New Roman" w:cs="Times New Roman"/>
          <w:b/>
          <w:sz w:val="24"/>
          <w:szCs w:val="24"/>
          <w:u w:color="000000"/>
          <w:lang w:eastAsia="es-ES"/>
        </w:rPr>
      </w:pPr>
    </w:p>
    <w:p w:rsidRPr="00F31A99" w:rsidR="00F31A99" w:rsidP="00F31A99" w:rsidRDefault="00F31A99" w14:paraId="3733D8F4" w14:textId="77777777">
      <w:pPr>
        <w:tabs>
          <w:tab w:val="left" w:pos="284"/>
        </w:tabs>
        <w:autoSpaceDN w:val="0"/>
        <w:ind w:left="142"/>
        <w:jc w:val="center"/>
        <w:rPr>
          <w:rFonts w:ascii="Times New Roman" w:hAnsi="Times New Roman" w:eastAsia="Times New Roman" w:cs="Times New Roman"/>
          <w:b/>
          <w:sz w:val="24"/>
          <w:szCs w:val="24"/>
          <w:u w:color="000000"/>
          <w:lang w:eastAsia="es-ES"/>
        </w:rPr>
      </w:pPr>
      <w:r w:rsidRPr="00F31A99">
        <w:rPr>
          <w:rFonts w:ascii="Times New Roman" w:hAnsi="Times New Roman" w:eastAsia="Times New Roman" w:cs="Times New Roman"/>
          <w:noProof/>
          <w:sz w:val="24"/>
          <w:szCs w:val="24"/>
          <w:u w:color="000000"/>
        </w:rPr>
        <w:lastRenderedPageBreak/>
        <w:drawing>
          <wp:inline distT="0" distB="0" distL="0" distR="0" wp14:anchorId="072356E7" wp14:editId="71C992BA">
            <wp:extent cx="4619625" cy="1971675"/>
            <wp:effectExtent l="0" t="0" r="9525" b="9525"/>
            <wp:docPr id="113" name="Gráfico 113">
              <a:extLst xmlns:a="http://schemas.openxmlformats.org/drawingml/2006/main">
                <a:ext uri="{FF2B5EF4-FFF2-40B4-BE49-F238E27FC236}">
                  <a16:creationId xmlns:a16="http://schemas.microsoft.com/office/drawing/2014/main" id="{BC4BD33D-FB5A-4A34-A957-8213B65BE1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Pr="00F31A99" w:rsidR="00F31A99" w:rsidP="00F31A99" w:rsidRDefault="00F31A99" w14:paraId="5B16D36B" w14:textId="77777777">
      <w:pPr>
        <w:autoSpaceDN w:val="0"/>
        <w:ind w:left="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15B9945A" w14:textId="77777777">
      <w:pPr>
        <w:autoSpaceDN w:val="0"/>
        <w:ind w:left="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Nota:</w:t>
      </w:r>
      <w:r w:rsidRPr="00F31A99">
        <w:rPr>
          <w:rFonts w:ascii="Times New Roman" w:hAnsi="Times New Roman" w:eastAsia="Calibri" w:cs="Times New Roman"/>
          <w:sz w:val="16"/>
          <w:szCs w:val="24"/>
          <w:u w:color="000000"/>
        </w:rPr>
        <w:t xml:space="preserve"> Presidencia de la Corte incluye recursos de los programas 926 Dirección y Administración y 927 Servicio Jurisdiccional.</w:t>
      </w:r>
    </w:p>
    <w:p w:rsidRPr="00F31A99" w:rsidR="00F31A99" w:rsidP="00F31A99" w:rsidRDefault="00F31A99" w14:paraId="0B7D0A6E" w14:textId="77777777">
      <w:pPr>
        <w:autoSpaceDN w:val="0"/>
        <w:rPr>
          <w:rFonts w:ascii="Times New Roman" w:hAnsi="Times New Roman" w:eastAsia="Calibri" w:cs="Times New Roman"/>
          <w:sz w:val="24"/>
          <w:szCs w:val="24"/>
          <w:u w:color="000000"/>
        </w:rPr>
      </w:pPr>
    </w:p>
    <w:p w:rsidRPr="00F31A99" w:rsidR="00F31A99" w:rsidP="00F31A99" w:rsidRDefault="00F31A99" w14:paraId="5705C73F"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Los centros de responsabilidad que formulan recursos en esta subpartida para el 2022 son el Organismo de Investigación Judicial con ¢5.665.000, el Ministerio Público con ¢5.150.000, la Presidencia de la Corte con ¢4.000.000, la Defensa Pública con ¢1.628.193 y el Programa de Atención y Protección a Víctimas y Testigos con ¢50.000.</w:t>
      </w:r>
    </w:p>
    <w:p w:rsidRPr="00F31A99" w:rsidR="00F31A99" w:rsidP="00F31A99" w:rsidRDefault="00F31A99" w14:paraId="13B998F3" w14:textId="77777777">
      <w:pPr>
        <w:autoSpaceDN w:val="0"/>
        <w:rPr>
          <w:rFonts w:ascii="Times New Roman" w:hAnsi="Times New Roman" w:eastAsia="Calibri" w:cs="Times New Roman"/>
          <w:b/>
          <w:sz w:val="24"/>
          <w:szCs w:val="24"/>
          <w:u w:color="000000"/>
        </w:rPr>
      </w:pPr>
    </w:p>
    <w:p w:rsidRPr="00F31A99" w:rsidR="00F31A99" w:rsidP="00F31A99" w:rsidRDefault="00F31A99" w14:paraId="522D6CAE" w14:textId="77777777">
      <w:pPr>
        <w:numPr>
          <w:ilvl w:val="0"/>
          <w:numId w:val="32"/>
        </w:numPr>
        <w:autoSpaceDN w:val="0"/>
        <w:ind w:left="851" w:right="851" w:firstLine="357"/>
        <w:contextualSpacing/>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Variación Distribución por Artículo</w:t>
      </w:r>
    </w:p>
    <w:p w:rsidRPr="00F31A99" w:rsidR="00F31A99" w:rsidP="00F31A99" w:rsidRDefault="00F31A99" w14:paraId="33AF3736" w14:textId="77777777">
      <w:pPr>
        <w:autoSpaceDN w:val="0"/>
        <w:ind w:left="708"/>
        <w:rPr>
          <w:rFonts w:ascii="Times New Roman" w:hAnsi="Times New Roman" w:eastAsia="Times New Roman" w:cs="Times New Roman"/>
          <w:b/>
          <w:sz w:val="24"/>
          <w:szCs w:val="24"/>
          <w:u w:color="000000"/>
          <w:lang w:eastAsia="es-ES"/>
        </w:rPr>
      </w:pPr>
    </w:p>
    <w:p w:rsidRPr="00F31A99" w:rsidR="00F31A99" w:rsidP="00F31A99" w:rsidRDefault="00F31A99" w14:paraId="63E5F0F3"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la subpartida 10504 Viáticos en el Exterior solamente se formula un artículo, a continuación, se representa la variación en la formulación entre el 2021 y 2022.</w:t>
      </w:r>
    </w:p>
    <w:p w:rsidRPr="00F31A99" w:rsidR="00F31A99" w:rsidP="00F31A99" w:rsidRDefault="00F31A99" w14:paraId="07598E6C" w14:textId="77777777">
      <w:pPr>
        <w:autoSpaceDN w:val="0"/>
        <w:spacing w:line="276" w:lineRule="auto"/>
        <w:ind w:left="708"/>
        <w:jc w:val="both"/>
        <w:rPr>
          <w:rFonts w:ascii="Times New Roman" w:hAnsi="Times New Roman" w:eastAsia="Times New Roman" w:cs="Times New Roman"/>
          <w:sz w:val="24"/>
          <w:szCs w:val="24"/>
          <w:u w:color="000000"/>
          <w:lang w:eastAsia="es-ES"/>
        </w:rPr>
      </w:pPr>
    </w:p>
    <w:p w:rsidRPr="00F31A99" w:rsidR="00F31A99" w:rsidP="00F31A99" w:rsidRDefault="00F31A99" w14:paraId="11B9672E"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Cuadro N°19</w:t>
      </w:r>
    </w:p>
    <w:p w:rsidRPr="00F31A99" w:rsidR="00F31A99" w:rsidP="00F31A99" w:rsidRDefault="00F31A99" w14:paraId="10B80E0E"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Variación de Recursos Presupuestados por Artículo</w:t>
      </w:r>
    </w:p>
    <w:p w:rsidRPr="00F31A99" w:rsidR="00F31A99" w:rsidP="00F31A99" w:rsidRDefault="00F31A99" w14:paraId="7FFFE75A" w14:textId="77777777">
      <w:pPr>
        <w:autoSpaceDN w:val="0"/>
        <w:rPr>
          <w:rFonts w:ascii="Times New Roman" w:hAnsi="Times New Roman" w:eastAsia="Calibri" w:cs="Times New Roman"/>
          <w:sz w:val="24"/>
          <w:szCs w:val="24"/>
          <w:u w:color="000000"/>
        </w:rPr>
      </w:pPr>
    </w:p>
    <w:p w:rsidRPr="00F31A99" w:rsidR="00F31A99" w:rsidP="00F31A99" w:rsidRDefault="00F31A99" w14:paraId="175B77B6" w14:textId="77777777">
      <w:pPr>
        <w:autoSpaceDN w:val="0"/>
        <w:jc w:val="center"/>
        <w:rPr>
          <w:rFonts w:ascii="Times New Roman" w:hAnsi="Times New Roman" w:eastAsia="Calibri" w:cs="Times New Roman"/>
          <w:b/>
          <w:sz w:val="24"/>
          <w:szCs w:val="24"/>
          <w:u w:color="000000"/>
        </w:rPr>
      </w:pPr>
      <w:r w:rsidRPr="00F31A99">
        <w:rPr>
          <w:rFonts w:ascii="Times New Roman" w:hAnsi="Times New Roman" w:eastAsia="Calibri" w:cs="Times New Roman"/>
          <w:noProof/>
          <w:u w:color="000000"/>
        </w:rPr>
        <w:drawing>
          <wp:inline distT="0" distB="0" distL="0" distR="0" wp14:anchorId="5D0ED19B" wp14:editId="1C8C1C6D">
            <wp:extent cx="5346700" cy="55880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46700" cy="558800"/>
                    </a:xfrm>
                    <a:prstGeom prst="rect">
                      <a:avLst/>
                    </a:prstGeom>
                    <a:noFill/>
                    <a:ln>
                      <a:noFill/>
                    </a:ln>
                  </pic:spPr>
                </pic:pic>
              </a:graphicData>
            </a:graphic>
          </wp:inline>
        </w:drawing>
      </w:r>
    </w:p>
    <w:p w:rsidRPr="00F31A99" w:rsidR="00F31A99" w:rsidP="00F31A99" w:rsidRDefault="00F31A99" w14:paraId="2B0C3917" w14:textId="77777777">
      <w:pPr>
        <w:autoSpaceDN w:val="0"/>
        <w:ind w:firstLine="708"/>
        <w:rPr>
          <w:rFonts w:ascii="Times New Roman" w:hAnsi="Times New Roman" w:eastAsia="Calibri" w:cs="Times New Roman"/>
          <w:sz w:val="16"/>
          <w:szCs w:val="24"/>
          <w:u w:color="000000"/>
        </w:rPr>
      </w:pPr>
      <w:r w:rsidRPr="00F31A99">
        <w:rPr>
          <w:rFonts w:ascii="Times New Roman" w:hAnsi="Times New Roman" w:eastAsia="Calibri" w:cs="Times New Roman"/>
          <w:b/>
          <w:bCs/>
          <w:sz w:val="16"/>
          <w:szCs w:val="24"/>
          <w:u w:color="000000"/>
        </w:rPr>
        <w:t>Fuente:</w:t>
      </w:r>
      <w:r w:rsidRPr="00F31A99">
        <w:rPr>
          <w:rFonts w:ascii="Times New Roman" w:hAnsi="Times New Roman" w:eastAsia="Calibri" w:cs="Times New Roman"/>
          <w:sz w:val="16"/>
          <w:szCs w:val="24"/>
          <w:u w:color="000000"/>
        </w:rPr>
        <w:t xml:space="preserve"> Sistema SIGA-PJ.</w:t>
      </w:r>
    </w:p>
    <w:p w:rsidRPr="00F31A99" w:rsidR="00F31A99" w:rsidP="00F31A99" w:rsidRDefault="00F31A99" w14:paraId="0EF6F522" w14:textId="77777777">
      <w:pPr>
        <w:autoSpaceDN w:val="0"/>
        <w:spacing w:line="360" w:lineRule="auto"/>
        <w:ind w:right="-567"/>
        <w:jc w:val="both"/>
        <w:rPr>
          <w:rFonts w:ascii="Times New Roman" w:hAnsi="Times New Roman" w:eastAsia="Calibri" w:cs="Times New Roman"/>
          <w:b/>
          <w:bCs/>
          <w:i/>
          <w:iCs/>
          <w:sz w:val="24"/>
          <w:szCs w:val="24"/>
          <w:u w:color="000000"/>
        </w:rPr>
      </w:pPr>
    </w:p>
    <w:p w:rsidRPr="00F31A99" w:rsidR="00F31A99" w:rsidP="00F31A99" w:rsidRDefault="00F31A99" w14:paraId="3326E1A9"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El Despacho de la Presidencia, indica la justificación textual: “…en el caso de las subpartidas 10503 y 10504 de transporte y viáticos al exterior, efectivamente en el año 2021 no se presupuestaron recursos por la emergencia sanitaria que vive el país y el mundo por el Covid 19 todas las actividades presenciales fueron canceladas o bien realizadas de manera virtual, para el 2022 se visualizan que las actividades sean presenciales y se deba viajar al exterior para cumplir con compromisos internacionales de gran importancia adquiridos por el Poder Judicial.”.</w:t>
      </w:r>
    </w:p>
    <w:p w:rsidRPr="00F31A99" w:rsidR="00F31A99" w:rsidP="00F31A99" w:rsidRDefault="00F31A99" w14:paraId="75ABCEBB"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5B26E0EE" w14:textId="77777777">
      <w:pPr>
        <w:tabs>
          <w:tab w:val="left" w:pos="360"/>
        </w:tabs>
        <w:suppressAutoHyphens/>
        <w:autoSpaceDN w:val="0"/>
        <w:ind w:left="851" w:right="851" w:firstLine="357"/>
        <w:jc w:val="center"/>
        <w:rPr>
          <w:rFonts w:ascii="Times New Roman" w:hAnsi="Times New Roman" w:eastAsia="Times New Roman" w:cs="Times New Roman"/>
          <w:sz w:val="28"/>
          <w:szCs w:val="28"/>
          <w:u w:color="000000"/>
          <w:lang w:eastAsia="es-ES"/>
        </w:rPr>
      </w:pPr>
      <w:r w:rsidRPr="00F31A99">
        <w:rPr>
          <w:rFonts w:ascii="Times New Roman" w:hAnsi="Times New Roman" w:eastAsia="Times New Roman" w:cs="Times New Roman"/>
          <w:sz w:val="28"/>
          <w:szCs w:val="28"/>
          <w:u w:color="000000"/>
          <w:lang w:eastAsia="es-ES"/>
        </w:rPr>
        <w:t>-0-</w:t>
      </w:r>
    </w:p>
    <w:p w:rsidRPr="00F31A99" w:rsidR="00F31A99" w:rsidP="00F31A99" w:rsidRDefault="00F31A99" w14:paraId="7D8FF42E"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1697943B" w14:textId="77777777">
      <w:pPr>
        <w:autoSpaceDN w:val="0"/>
        <w:spacing w:line="480" w:lineRule="auto"/>
        <w:ind w:firstLine="708"/>
        <w:jc w:val="both"/>
        <w:rPr>
          <w:rFonts w:ascii="Times New Roman" w:hAnsi="Times New Roman" w:eastAsia="Calibri" w:cs="Times New Roman"/>
          <w:sz w:val="28"/>
          <w:szCs w:val="28"/>
          <w:u w:color="000000"/>
        </w:rPr>
      </w:pPr>
      <w:r w:rsidRPr="00F31A99">
        <w:rPr>
          <w:rFonts w:ascii="Times New Roman" w:hAnsi="Times New Roman" w:eastAsia="Calibri" w:cs="Times New Roman"/>
          <w:b/>
          <w:bCs/>
          <w:sz w:val="28"/>
          <w:szCs w:val="28"/>
          <w:u w:color="000000"/>
        </w:rPr>
        <w:t>Se acordó</w:t>
      </w:r>
      <w:r w:rsidRPr="00F31A99">
        <w:rPr>
          <w:rFonts w:ascii="Times New Roman" w:hAnsi="Times New Roman" w:eastAsia="Calibri" w:cs="Times New Roman"/>
          <w:sz w:val="28"/>
          <w:szCs w:val="28"/>
          <w:u w:color="000000"/>
        </w:rPr>
        <w:t xml:space="preserve">: </w:t>
      </w:r>
      <w:r w:rsidRPr="00F31A99">
        <w:rPr>
          <w:rFonts w:ascii="Times New Roman" w:hAnsi="Times New Roman" w:eastAsia="Calibri" w:cs="Times New Roman"/>
          <w:b/>
          <w:sz w:val="28"/>
          <w:szCs w:val="28"/>
          <w:u w:color="000000"/>
        </w:rPr>
        <w:t xml:space="preserve">1) </w:t>
      </w:r>
      <w:r w:rsidRPr="00F31A99">
        <w:rPr>
          <w:rFonts w:ascii="Times New Roman" w:hAnsi="Times New Roman" w:eastAsia="Calibri" w:cs="Times New Roman"/>
          <w:sz w:val="28"/>
          <w:szCs w:val="28"/>
          <w:u w:color="000000"/>
        </w:rPr>
        <w:t xml:space="preserve">Se dan por conocidos los recursos solicitados en las subpartidas 10501 Transporte dentro del País y 10502 Viáticos dentro del País, sin embargo, se estará a la espera del análisis global del presupuesto 2022, para aprobar una propuesta integral con todas las necesidades institucionales. </w:t>
      </w:r>
      <w:r w:rsidRPr="00F31A99">
        <w:rPr>
          <w:rFonts w:ascii="Times New Roman" w:hAnsi="Times New Roman" w:eastAsia="Calibri" w:cs="Times New Roman"/>
          <w:b/>
          <w:sz w:val="28"/>
          <w:szCs w:val="28"/>
          <w:u w:color="000000"/>
        </w:rPr>
        <w:t xml:space="preserve">2) </w:t>
      </w:r>
      <w:r w:rsidRPr="00F31A99">
        <w:rPr>
          <w:rFonts w:ascii="Times New Roman" w:hAnsi="Times New Roman" w:eastAsia="Calibri" w:cs="Times New Roman"/>
          <w:sz w:val="28"/>
          <w:szCs w:val="28"/>
          <w:u w:color="000000"/>
        </w:rPr>
        <w:t xml:space="preserve">Se dan por conocidos los recursos solicitados en las subpartidas 10503 Transporte en el Exterior y 10504 Viáticos en el Exterior, a pesar de no ajustarse a las directrices de formulación presupuestaria; lo anterior, por cuanto del análisis realizado se desprende que ambas subpartidas sufrieron fuertes recortes durante el proceso de aprobación del presupuesto del 2021, siendo que los montos que se están solicitando en estas subpartidas para el 2022 son inferiores a los montos que había aprobado inicialmente Corte Plena para el 2021; sin embargo, se estará a la espera para su aprobación final del análisis global del presupuesto 2022, para aprobar una propuesta integral con todas las necesidades institucionales. </w:t>
      </w:r>
      <w:r w:rsidRPr="00F31A99">
        <w:rPr>
          <w:rFonts w:ascii="Times New Roman" w:hAnsi="Times New Roman" w:eastAsia="Calibri" w:cs="Times New Roman"/>
          <w:b/>
          <w:bCs/>
          <w:sz w:val="28"/>
          <w:szCs w:val="28"/>
          <w:u w:color="000000"/>
          <w:bdr w:val="none" w:color="auto" w:sz="0" w:space="0" w:frame="1"/>
          <w:lang w:eastAsia="es-ES"/>
        </w:rPr>
        <w:t>Se declara acuerdo firme.</w:t>
      </w:r>
    </w:p>
    <w:p w:rsidRPr="00F31A99" w:rsidR="00F31A99" w:rsidP="00F31A99" w:rsidRDefault="00F31A99" w14:paraId="501E574D" w14:textId="1CF8E16B">
      <w:pPr>
        <w:keepNext/>
        <w:shd w:val="clear" w:color="auto" w:fill="FFFFFF"/>
        <w:autoSpaceDE w:val="0"/>
        <w:autoSpaceDN w:val="0"/>
        <w:spacing w:line="360" w:lineRule="auto"/>
        <w:jc w:val="center"/>
        <w:outlineLvl w:val="0"/>
        <w:rPr>
          <w:rFonts w:ascii="Times New Roman" w:hAnsi="Times New Roman" w:eastAsia="Times New Roman" w:cs="Times New Roman"/>
          <w:b/>
          <w:bCs/>
          <w:kern w:val="36"/>
          <w:sz w:val="32"/>
          <w:szCs w:val="32"/>
          <w:u w:val="single" w:color="000000"/>
          <w:lang w:eastAsia="es-ES"/>
        </w:rPr>
      </w:pPr>
      <w:r w:rsidRPr="00F31A99">
        <w:rPr>
          <w:rFonts w:ascii="Times New Roman" w:hAnsi="Times New Roman" w:eastAsia="Times New Roman" w:cs="Times New Roman"/>
          <w:b/>
          <w:bCs/>
          <w:kern w:val="36"/>
          <w:sz w:val="32"/>
          <w:szCs w:val="32"/>
          <w:u w:val="single" w:color="000000"/>
          <w:lang w:eastAsia="es-ES"/>
        </w:rPr>
        <w:t>ARTÍCULO XVI</w:t>
      </w:r>
    </w:p>
    <w:p w:rsidRPr="00F31A99" w:rsidR="00F31A99" w:rsidP="00F31A99" w:rsidRDefault="00F31A99" w14:paraId="78AB8461" w14:textId="77777777">
      <w:pPr>
        <w:autoSpaceDN w:val="0"/>
        <w:spacing w:line="480" w:lineRule="auto"/>
        <w:jc w:val="both"/>
        <w:rPr>
          <w:rFonts w:ascii="Times New Roman" w:hAnsi="Times New Roman" w:eastAsia="Times New Roman" w:cs="Times New Roman"/>
          <w:b/>
          <w:bCs/>
          <w:sz w:val="28"/>
          <w:szCs w:val="28"/>
          <w:u w:color="000000"/>
          <w:lang w:eastAsia="es-ES"/>
        </w:rPr>
      </w:pPr>
      <w:r w:rsidRPr="00F31A99">
        <w:rPr>
          <w:rFonts w:ascii="Times New Roman" w:hAnsi="Times New Roman" w:eastAsia="Times New Roman" w:cs="Times New Roman"/>
          <w:b/>
          <w:bCs/>
          <w:sz w:val="28"/>
          <w:szCs w:val="28"/>
          <w:u w:color="000000"/>
          <w:lang w:eastAsia="es-ES"/>
        </w:rPr>
        <w:t>Documento N° 3841-2021</w:t>
      </w:r>
    </w:p>
    <w:p w:rsidRPr="00F31A99" w:rsidR="00F31A99" w:rsidP="00F31A99" w:rsidRDefault="00F31A99" w14:paraId="67026D2E" w14:textId="77777777">
      <w:pPr>
        <w:autoSpaceDN w:val="0"/>
        <w:spacing w:line="480" w:lineRule="auto"/>
        <w:ind w:firstLine="709"/>
        <w:jc w:val="both"/>
        <w:rPr>
          <w:rFonts w:ascii="Times New Roman" w:hAnsi="Times New Roman" w:eastAsia="Calibri" w:cs="Times New Roman"/>
          <w:sz w:val="28"/>
          <w:szCs w:val="28"/>
          <w:u w:color="000000"/>
        </w:rPr>
      </w:pPr>
      <w:r w:rsidRPr="00F31A99">
        <w:rPr>
          <w:rFonts w:ascii="Times New Roman" w:hAnsi="Times New Roman" w:eastAsia="Calibri" w:cs="Times New Roman"/>
          <w:sz w:val="28"/>
          <w:szCs w:val="28"/>
          <w:u w:color="000000"/>
        </w:rPr>
        <w:t xml:space="preserve">En reunión de trabajo del pasado 9 de abril, la Licda. Nacira Valverde, Directora de Planificación presentó la estimación de requerimientos para el </w:t>
      </w:r>
      <w:r w:rsidRPr="00F31A99">
        <w:rPr>
          <w:rFonts w:ascii="Times New Roman" w:hAnsi="Times New Roman" w:eastAsia="Calibri" w:cs="Times New Roman"/>
          <w:sz w:val="28"/>
          <w:szCs w:val="28"/>
          <w:u w:color="000000"/>
        </w:rPr>
        <w:lastRenderedPageBreak/>
        <w:t>2022 en las subpartidas 10701 Actividades de Capacitación y 10702 Actividades Protocolarias y Sociales.</w:t>
      </w:r>
    </w:p>
    <w:p w:rsidRPr="00F31A99" w:rsidR="00F31A99" w:rsidP="00F31A99" w:rsidRDefault="00F31A99" w14:paraId="632365EF"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 xml:space="preserve">Subpartida 10701 Actividades de Capacitación </w:t>
      </w:r>
    </w:p>
    <w:p w:rsidRPr="00F31A99" w:rsidR="00F31A99" w:rsidP="00F31A99" w:rsidRDefault="00F31A99" w14:paraId="600A7510" w14:textId="77777777">
      <w:pPr>
        <w:autoSpaceDN w:val="0"/>
        <w:jc w:val="both"/>
        <w:rPr>
          <w:rFonts w:ascii="Times New Roman" w:hAnsi="Times New Roman" w:eastAsia="Calibri" w:cs="Times New Roman"/>
          <w:bCs/>
          <w:sz w:val="24"/>
          <w:u w:color="000000"/>
        </w:rPr>
      </w:pPr>
    </w:p>
    <w:p w:rsidRPr="00F31A99" w:rsidR="00F31A99" w:rsidP="00F31A99" w:rsidRDefault="00F31A99" w14:paraId="0C39CE97"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Es importante indicar que los recursos que se incluyen en esta subpartida corresponden a los gastos por la prestación de servicios destinados a la inauguración y clausura, formación, actualización y desarrollo del conocimiento, que se contratan con personas físicas y jurídicas. Además, contempla conceptos relacionados con servicios y bienes inherentes a la realización de eventos de capacitación y aprendizaje tales como seminarios, charlas, congresos, simposios, cursos, talleres y similares.</w:t>
      </w:r>
    </w:p>
    <w:p w:rsidRPr="00F31A99" w:rsidR="00F31A99" w:rsidP="00F31A99" w:rsidRDefault="00F31A99" w14:paraId="20B7404A"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312A0AA9"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Propiamente a nivel del Poder Judicial, la capacitación va orientada en varias direcciones, tratando de abarcar en el ámbito jurisdiccional principalmente a los jueces y juezas, además de la parte científica en el OIJ que incluye al personal de los Departamentos de Ciencias Forenses y Medicina Legal, así como la parte policial que requiere constante capacitación en aspectos tácticos principalmente. De igual forma fiscales y fiscalas, defensores y defensoras, requieren estar en constante actualización y capacitación para un mejor ejercicio de las funciones propias de cada ámbito. Finalmente, también se capacita al personal administrativo en las diferentes temáticas que se trabajan en este Programa.</w:t>
      </w:r>
    </w:p>
    <w:p w:rsidRPr="00F31A99" w:rsidR="00F31A99" w:rsidP="00F31A99" w:rsidRDefault="00F31A99" w14:paraId="34E7BC94" w14:textId="77777777">
      <w:pPr>
        <w:autoSpaceDN w:val="0"/>
        <w:rPr>
          <w:rFonts w:ascii="Times New Roman" w:hAnsi="Times New Roman" w:eastAsia="Times New Roman" w:cs="Times New Roman"/>
          <w:b/>
          <w:bCs/>
          <w:sz w:val="24"/>
          <w:szCs w:val="24"/>
          <w:u w:color="000000"/>
        </w:rPr>
      </w:pPr>
    </w:p>
    <w:p w:rsidRPr="00F31A99" w:rsidR="00F31A99" w:rsidP="00F31A99" w:rsidRDefault="00F31A99" w14:paraId="393A42AC" w14:textId="77777777">
      <w:pPr>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Tabla 1. Comparativo 2018 – 2022 del Monto Formulado</w:t>
      </w:r>
    </w:p>
    <w:p w:rsidRPr="00F31A99" w:rsidR="00F31A99" w:rsidP="00F31A99" w:rsidRDefault="00F31A99" w14:paraId="0B1C9036" w14:textId="77777777">
      <w:pPr>
        <w:autoSpaceDN w:val="0"/>
        <w:ind w:left="851" w:right="851" w:firstLine="709"/>
        <w:jc w:val="both"/>
        <w:rPr>
          <w:rFonts w:ascii="Times New Roman" w:hAnsi="Times New Roman" w:eastAsia="Calibri" w:cs="Times New Roman"/>
          <w:b/>
          <w:sz w:val="26"/>
          <w:szCs w:val="26"/>
          <w:u w:color="000000"/>
        </w:rPr>
      </w:pPr>
    </w:p>
    <w:tbl>
      <w:tblPr>
        <w:tblW w:w="8580" w:type="dxa"/>
        <w:jc w:val="center"/>
        <w:tblCellMar>
          <w:left w:w="70" w:type="dxa"/>
          <w:right w:w="70" w:type="dxa"/>
        </w:tblCellMar>
        <w:tblLook w:val="04A0" w:firstRow="1" w:lastRow="0" w:firstColumn="1" w:lastColumn="0" w:noHBand="0" w:noVBand="1"/>
      </w:tblPr>
      <w:tblGrid>
        <w:gridCol w:w="2080"/>
        <w:gridCol w:w="1300"/>
        <w:gridCol w:w="1300"/>
        <w:gridCol w:w="1300"/>
        <w:gridCol w:w="1300"/>
        <w:gridCol w:w="1300"/>
      </w:tblGrid>
      <w:tr w:rsidRPr="00F31A99" w:rsidR="00AE1B2B" w:rsidTr="00A306B2" w14:paraId="7627228A" w14:textId="77777777">
        <w:trPr>
          <w:trHeight w:val="300"/>
          <w:jc w:val="center"/>
        </w:trPr>
        <w:tc>
          <w:tcPr>
            <w:tcW w:w="2080" w:type="dxa"/>
            <w:tcBorders>
              <w:top w:val="single" w:color="1F4E78" w:sz="4" w:space="0"/>
              <w:left w:val="nil"/>
              <w:bottom w:val="single" w:color="1F4E78" w:sz="4" w:space="0"/>
              <w:right w:val="nil"/>
            </w:tcBorders>
            <w:shd w:val="clear" w:color="D9E1F2" w:fill="F2F2F2"/>
            <w:vAlign w:val="center"/>
            <w:hideMark/>
          </w:tcPr>
          <w:p w:rsidRPr="00F31A99" w:rsidR="00F31A99" w:rsidP="00F31A99" w:rsidRDefault="00F31A99" w14:paraId="61D52548"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 </w:t>
            </w:r>
          </w:p>
        </w:tc>
        <w:tc>
          <w:tcPr>
            <w:tcW w:w="1300" w:type="dxa"/>
            <w:tcBorders>
              <w:top w:val="single" w:color="1F4E78" w:sz="4" w:space="0"/>
              <w:left w:val="nil"/>
              <w:bottom w:val="single" w:color="1F4E78" w:sz="4" w:space="0"/>
              <w:right w:val="nil"/>
            </w:tcBorders>
            <w:shd w:val="clear" w:color="D9E1F2" w:fill="F2F2F2"/>
            <w:vAlign w:val="center"/>
          </w:tcPr>
          <w:p w:rsidRPr="00F31A99" w:rsidR="00F31A99" w:rsidP="00F31A99" w:rsidRDefault="00F31A99" w14:paraId="490427CD"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2018</w:t>
            </w:r>
          </w:p>
        </w:tc>
        <w:tc>
          <w:tcPr>
            <w:tcW w:w="1300" w:type="dxa"/>
            <w:tcBorders>
              <w:top w:val="single" w:color="1F4E78" w:sz="4" w:space="0"/>
              <w:left w:val="nil"/>
              <w:bottom w:val="single" w:color="1F4E78" w:sz="4" w:space="0"/>
              <w:right w:val="nil"/>
            </w:tcBorders>
            <w:shd w:val="clear" w:color="D9E1F2" w:fill="F2F2F2"/>
            <w:vAlign w:val="center"/>
          </w:tcPr>
          <w:p w:rsidRPr="00F31A99" w:rsidR="00F31A99" w:rsidP="00F31A99" w:rsidRDefault="00F31A99" w14:paraId="3F77CBD9"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2019</w:t>
            </w:r>
          </w:p>
        </w:tc>
        <w:tc>
          <w:tcPr>
            <w:tcW w:w="1300" w:type="dxa"/>
            <w:tcBorders>
              <w:top w:val="single" w:color="1F4E78" w:sz="4" w:space="0"/>
              <w:left w:val="nil"/>
              <w:bottom w:val="single" w:color="1F4E78" w:sz="4" w:space="0"/>
              <w:right w:val="nil"/>
            </w:tcBorders>
            <w:shd w:val="clear" w:color="D9E1F2" w:fill="F2F2F2"/>
            <w:vAlign w:val="center"/>
          </w:tcPr>
          <w:p w:rsidRPr="00F31A99" w:rsidR="00F31A99" w:rsidP="00F31A99" w:rsidRDefault="00F31A99" w14:paraId="71D41EA4"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2020</w:t>
            </w:r>
          </w:p>
        </w:tc>
        <w:tc>
          <w:tcPr>
            <w:tcW w:w="1300" w:type="dxa"/>
            <w:tcBorders>
              <w:top w:val="single" w:color="1F4E78" w:sz="4" w:space="0"/>
              <w:left w:val="nil"/>
              <w:bottom w:val="single" w:color="1F4E78" w:sz="4" w:space="0"/>
              <w:right w:val="nil"/>
            </w:tcBorders>
            <w:shd w:val="clear" w:color="D9E1F2" w:fill="F2F2F2"/>
            <w:vAlign w:val="center"/>
          </w:tcPr>
          <w:p w:rsidRPr="00F31A99" w:rsidR="00F31A99" w:rsidP="00F31A99" w:rsidRDefault="00F31A99" w14:paraId="71A87F79"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2021</w:t>
            </w:r>
          </w:p>
        </w:tc>
        <w:tc>
          <w:tcPr>
            <w:tcW w:w="1300" w:type="dxa"/>
            <w:tcBorders>
              <w:top w:val="single" w:color="1F4E78" w:sz="4" w:space="0"/>
              <w:left w:val="nil"/>
              <w:bottom w:val="single" w:color="1F4E78" w:sz="4" w:space="0"/>
              <w:right w:val="nil"/>
            </w:tcBorders>
            <w:shd w:val="clear" w:color="D9E1F2" w:fill="F2F2F2"/>
            <w:vAlign w:val="center"/>
          </w:tcPr>
          <w:p w:rsidRPr="00F31A99" w:rsidR="00F31A99" w:rsidP="00F31A99" w:rsidRDefault="00F31A99" w14:paraId="682F3592"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2022</w:t>
            </w:r>
          </w:p>
        </w:tc>
      </w:tr>
      <w:tr w:rsidRPr="00F31A99" w:rsidR="00AE1B2B" w:rsidTr="00A306B2" w14:paraId="6F5B0F67" w14:textId="77777777">
        <w:trPr>
          <w:trHeight w:val="300"/>
          <w:jc w:val="center"/>
        </w:trPr>
        <w:tc>
          <w:tcPr>
            <w:tcW w:w="2080" w:type="dxa"/>
            <w:tcBorders>
              <w:top w:val="nil"/>
              <w:left w:val="nil"/>
              <w:bottom w:val="nil"/>
              <w:right w:val="nil"/>
            </w:tcBorders>
            <w:shd w:val="clear" w:color="000000" w:fill="FFFFFF"/>
            <w:noWrap/>
            <w:vAlign w:val="bottom"/>
            <w:hideMark/>
          </w:tcPr>
          <w:p w:rsidRPr="00F31A99" w:rsidR="00F31A99" w:rsidP="00F31A99" w:rsidRDefault="00F31A99" w14:paraId="5664F5AD" w14:textId="77777777">
            <w:pPr>
              <w:autoSpaceDN w:val="0"/>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Monto</w:t>
            </w:r>
          </w:p>
        </w:tc>
        <w:tc>
          <w:tcPr>
            <w:tcW w:w="1300" w:type="dxa"/>
            <w:tcBorders>
              <w:top w:val="nil"/>
              <w:left w:val="nil"/>
              <w:bottom w:val="nil"/>
              <w:right w:val="nil"/>
            </w:tcBorders>
            <w:shd w:val="clear" w:color="000000" w:fill="FFFFFF"/>
            <w:vAlign w:val="bottom"/>
          </w:tcPr>
          <w:p w:rsidRPr="00F31A99" w:rsidR="00F31A99" w:rsidP="00F31A99" w:rsidRDefault="00F31A99" w14:paraId="7A31DD43" w14:textId="77777777">
            <w:pPr>
              <w:autoSpaceDN w:val="0"/>
              <w:jc w:val="right"/>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 xml:space="preserve">582.458.231 </w:t>
            </w:r>
          </w:p>
        </w:tc>
        <w:tc>
          <w:tcPr>
            <w:tcW w:w="1300" w:type="dxa"/>
            <w:tcBorders>
              <w:top w:val="nil"/>
              <w:left w:val="nil"/>
              <w:bottom w:val="nil"/>
              <w:right w:val="nil"/>
            </w:tcBorders>
            <w:shd w:val="clear" w:color="000000" w:fill="FFFFFF"/>
            <w:vAlign w:val="bottom"/>
          </w:tcPr>
          <w:p w:rsidRPr="00F31A99" w:rsidR="00F31A99" w:rsidP="00F31A99" w:rsidRDefault="00F31A99" w14:paraId="6602575D" w14:textId="77777777">
            <w:pPr>
              <w:autoSpaceDN w:val="0"/>
              <w:jc w:val="right"/>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 xml:space="preserve">519.741.879 </w:t>
            </w:r>
          </w:p>
        </w:tc>
        <w:tc>
          <w:tcPr>
            <w:tcW w:w="1300" w:type="dxa"/>
            <w:tcBorders>
              <w:top w:val="nil"/>
              <w:left w:val="nil"/>
              <w:bottom w:val="nil"/>
              <w:right w:val="nil"/>
            </w:tcBorders>
            <w:shd w:val="clear" w:color="000000" w:fill="FFFFFF"/>
            <w:vAlign w:val="bottom"/>
          </w:tcPr>
          <w:p w:rsidRPr="00F31A99" w:rsidR="00F31A99" w:rsidP="00F31A99" w:rsidRDefault="00F31A99" w14:paraId="02DE66BA" w14:textId="77777777">
            <w:pPr>
              <w:autoSpaceDN w:val="0"/>
              <w:jc w:val="right"/>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 xml:space="preserve">527.555.048 </w:t>
            </w:r>
          </w:p>
        </w:tc>
        <w:tc>
          <w:tcPr>
            <w:tcW w:w="1300" w:type="dxa"/>
            <w:tcBorders>
              <w:top w:val="nil"/>
              <w:left w:val="nil"/>
              <w:bottom w:val="nil"/>
              <w:right w:val="nil"/>
            </w:tcBorders>
            <w:shd w:val="clear" w:color="000000" w:fill="FFFFFF"/>
            <w:vAlign w:val="bottom"/>
          </w:tcPr>
          <w:p w:rsidRPr="00F31A99" w:rsidR="00F31A99" w:rsidP="00F31A99" w:rsidRDefault="00F31A99" w14:paraId="29179C2D" w14:textId="77777777">
            <w:pPr>
              <w:autoSpaceDN w:val="0"/>
              <w:jc w:val="right"/>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 xml:space="preserve">98.650.106 </w:t>
            </w:r>
          </w:p>
        </w:tc>
        <w:tc>
          <w:tcPr>
            <w:tcW w:w="1300" w:type="dxa"/>
            <w:tcBorders>
              <w:top w:val="nil"/>
              <w:left w:val="nil"/>
              <w:bottom w:val="nil"/>
              <w:right w:val="nil"/>
            </w:tcBorders>
            <w:shd w:val="clear" w:color="000000" w:fill="FFFFFF"/>
            <w:noWrap/>
            <w:vAlign w:val="bottom"/>
          </w:tcPr>
          <w:p w:rsidRPr="00F31A99" w:rsidR="00F31A99" w:rsidP="00F31A99" w:rsidRDefault="00F31A99" w14:paraId="09CF4372" w14:textId="77777777">
            <w:pPr>
              <w:autoSpaceDN w:val="0"/>
              <w:jc w:val="right"/>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93.719.303</w:t>
            </w:r>
          </w:p>
        </w:tc>
      </w:tr>
      <w:tr w:rsidRPr="00F31A99" w:rsidR="00AE1B2B" w:rsidTr="00A306B2" w14:paraId="209511D7" w14:textId="77777777">
        <w:trPr>
          <w:trHeight w:val="300"/>
          <w:jc w:val="center"/>
        </w:trPr>
        <w:tc>
          <w:tcPr>
            <w:tcW w:w="2080" w:type="dxa"/>
            <w:tcBorders>
              <w:top w:val="nil"/>
              <w:left w:val="nil"/>
              <w:bottom w:val="single" w:color="1F4E78" w:sz="4" w:space="0"/>
              <w:right w:val="nil"/>
            </w:tcBorders>
            <w:shd w:val="clear" w:color="000000" w:fill="FFFFFF"/>
            <w:noWrap/>
            <w:vAlign w:val="bottom"/>
            <w:hideMark/>
          </w:tcPr>
          <w:p w:rsidRPr="00F31A99" w:rsidR="00F31A99" w:rsidP="00F31A99" w:rsidRDefault="00F31A99" w14:paraId="136ADBF4" w14:textId="77777777">
            <w:pPr>
              <w:autoSpaceDN w:val="0"/>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Variación</w:t>
            </w:r>
          </w:p>
        </w:tc>
        <w:tc>
          <w:tcPr>
            <w:tcW w:w="1300" w:type="dxa"/>
            <w:tcBorders>
              <w:top w:val="nil"/>
              <w:left w:val="nil"/>
              <w:bottom w:val="single" w:color="1F4E78" w:sz="4" w:space="0"/>
              <w:right w:val="nil"/>
            </w:tcBorders>
            <w:shd w:val="clear" w:color="000000" w:fill="FFFFFF"/>
            <w:vAlign w:val="bottom"/>
          </w:tcPr>
          <w:p w:rsidRPr="00F31A99" w:rsidR="00F31A99" w:rsidP="00F31A99" w:rsidRDefault="00F31A99" w14:paraId="0584EB19"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w:t>
            </w:r>
          </w:p>
        </w:tc>
        <w:tc>
          <w:tcPr>
            <w:tcW w:w="1300" w:type="dxa"/>
            <w:tcBorders>
              <w:top w:val="nil"/>
              <w:left w:val="nil"/>
              <w:bottom w:val="single" w:color="1F4E78" w:sz="4" w:space="0"/>
              <w:right w:val="nil"/>
            </w:tcBorders>
            <w:shd w:val="clear" w:color="000000" w:fill="FFFFFF"/>
            <w:vAlign w:val="bottom"/>
          </w:tcPr>
          <w:p w:rsidRPr="00F31A99" w:rsidR="00F31A99" w:rsidP="00F31A99" w:rsidRDefault="00F31A99" w14:paraId="573BCE2F"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-11%</w:t>
            </w:r>
          </w:p>
        </w:tc>
        <w:tc>
          <w:tcPr>
            <w:tcW w:w="1300" w:type="dxa"/>
            <w:tcBorders>
              <w:top w:val="nil"/>
              <w:left w:val="nil"/>
              <w:bottom w:val="single" w:color="1F4E78" w:sz="4" w:space="0"/>
              <w:right w:val="nil"/>
            </w:tcBorders>
            <w:shd w:val="clear" w:color="000000" w:fill="FFFFFF"/>
            <w:vAlign w:val="bottom"/>
          </w:tcPr>
          <w:p w:rsidRPr="00F31A99" w:rsidR="00F31A99" w:rsidP="00F31A99" w:rsidRDefault="00F31A99" w14:paraId="2C61D271"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2%</w:t>
            </w:r>
          </w:p>
        </w:tc>
        <w:tc>
          <w:tcPr>
            <w:tcW w:w="1300" w:type="dxa"/>
            <w:tcBorders>
              <w:top w:val="nil"/>
              <w:left w:val="nil"/>
              <w:bottom w:val="single" w:color="1F4E78" w:sz="4" w:space="0"/>
              <w:right w:val="nil"/>
            </w:tcBorders>
            <w:shd w:val="clear" w:color="000000" w:fill="FFFFFF"/>
            <w:vAlign w:val="bottom"/>
          </w:tcPr>
          <w:p w:rsidRPr="00F31A99" w:rsidR="00F31A99" w:rsidP="00F31A99" w:rsidRDefault="00F31A99" w14:paraId="3FD30C12"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-81%</w:t>
            </w:r>
          </w:p>
        </w:tc>
        <w:tc>
          <w:tcPr>
            <w:tcW w:w="1300" w:type="dxa"/>
            <w:tcBorders>
              <w:top w:val="nil"/>
              <w:left w:val="nil"/>
              <w:bottom w:val="single" w:color="1F4E78" w:sz="4" w:space="0"/>
              <w:right w:val="nil"/>
            </w:tcBorders>
            <w:shd w:val="clear" w:color="000000" w:fill="FFFFFF"/>
            <w:noWrap/>
            <w:vAlign w:val="bottom"/>
          </w:tcPr>
          <w:p w:rsidRPr="00F31A99" w:rsidR="00F31A99" w:rsidP="00F31A99" w:rsidRDefault="00F31A99" w14:paraId="1E82F245" w14:textId="77777777">
            <w:pPr>
              <w:autoSpaceDN w:val="0"/>
              <w:jc w:val="center"/>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-5%</w:t>
            </w:r>
          </w:p>
        </w:tc>
      </w:tr>
    </w:tbl>
    <w:p w:rsidRPr="00F31A99" w:rsidR="00F31A99" w:rsidP="00F31A99" w:rsidRDefault="00F31A99" w14:paraId="11DA379B" w14:textId="77777777">
      <w:pPr>
        <w:autoSpaceDN w:val="0"/>
        <w:spacing w:before="120"/>
        <w:jc w:val="both"/>
        <w:rPr>
          <w:rFonts w:ascii="Times New Roman" w:hAnsi="Times New Roman" w:eastAsia="Calibri" w:cs="Times New Roman"/>
          <w:bCs/>
          <w:sz w:val="18"/>
          <w:szCs w:val="16"/>
          <w:u w:color="000000"/>
        </w:rPr>
      </w:pPr>
      <w:r w:rsidRPr="00F31A99">
        <w:rPr>
          <w:rFonts w:ascii="Times New Roman" w:hAnsi="Times New Roman" w:eastAsia="Calibri" w:cs="Times New Roman"/>
          <w:bCs/>
          <w:sz w:val="20"/>
          <w:szCs w:val="18"/>
          <w:u w:color="000000"/>
        </w:rPr>
        <w:t xml:space="preserve"> </w:t>
      </w:r>
      <w:r w:rsidRPr="00F31A99">
        <w:rPr>
          <w:rFonts w:ascii="Times New Roman" w:hAnsi="Times New Roman" w:eastAsia="Calibri" w:cs="Times New Roman"/>
          <w:bCs/>
          <w:sz w:val="18"/>
          <w:szCs w:val="16"/>
          <w:u w:color="000000"/>
        </w:rPr>
        <w:t>Fuente: Consulta realizada al sistema SIGA PJ el 3-3-2021.</w:t>
      </w:r>
    </w:p>
    <w:p w:rsidRPr="00F31A99" w:rsidR="00F31A99" w:rsidP="00F31A99" w:rsidRDefault="00F31A99" w14:paraId="7B93E842" w14:textId="77777777">
      <w:pPr>
        <w:autoSpaceDN w:val="0"/>
        <w:rPr>
          <w:rFonts w:ascii="Times New Roman" w:hAnsi="Times New Roman" w:eastAsia="Calibri" w:cs="Times New Roman"/>
          <w:bCs/>
          <w:sz w:val="20"/>
          <w:szCs w:val="20"/>
          <w:u w:color="000000"/>
        </w:rPr>
      </w:pPr>
    </w:p>
    <w:p w:rsidRPr="00F31A99" w:rsidR="00F31A99" w:rsidP="00F31A99" w:rsidRDefault="00F31A99" w14:paraId="74421998" w14:textId="77777777">
      <w:pPr>
        <w:autoSpaceDN w:val="0"/>
        <w:rPr>
          <w:rFonts w:ascii="Times New Roman" w:hAnsi="Times New Roman" w:eastAsia="Calibri" w:cs="Times New Roman"/>
          <w:bCs/>
          <w:sz w:val="20"/>
          <w:szCs w:val="20"/>
          <w:u w:color="000000"/>
        </w:rPr>
      </w:pPr>
    </w:p>
    <w:p w:rsidRPr="00F31A99" w:rsidR="00F31A99" w:rsidP="00F31A99" w:rsidRDefault="00F31A99" w14:paraId="26DCD288"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De la tabla anterior, se puede observar que en el periodo 2021 se presentó un decrecimiento en la subpartida, con una variación total de un 81%, esto se debe principalmente al rebajo de un 60% que se aplicó de manera general a la subpartida cuando el Ministerio de Hacienda solicitó ajustar el presupuesto y para el 2022 dado que se mantienen las condiciones restrictivas a nivel general del presupuesto y de forma individual en el caso de esta subpartida, es que el monto </w:t>
      </w:r>
      <w:r w:rsidRPr="00F31A99">
        <w:rPr>
          <w:rFonts w:ascii="Times New Roman" w:hAnsi="Times New Roman" w:eastAsia="Times New Roman" w:cs="Times New Roman"/>
          <w:sz w:val="26"/>
          <w:szCs w:val="26"/>
          <w:u w:color="000000"/>
          <w:lang w:eastAsia="es-ES"/>
        </w:rPr>
        <w:lastRenderedPageBreak/>
        <w:t xml:space="preserve">total solicitado por las distintas oficinas es muy similar al del 2021, incluso inferior en un 5%. </w:t>
      </w:r>
    </w:p>
    <w:p w:rsidRPr="00F31A99" w:rsidR="00F31A99" w:rsidP="00F31A99" w:rsidRDefault="00F31A99" w14:paraId="00857E0E"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1C419FFA"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Comportamiento Histórico de la Subpartida</w:t>
      </w:r>
    </w:p>
    <w:p w:rsidRPr="00F31A99" w:rsidR="00F31A99" w:rsidP="00F31A99" w:rsidRDefault="00F31A99" w14:paraId="1CA2F8D7"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333105DE"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Durante los últimos cinco años el comportamiento global de lo formulado en la subpartida ha presentado un crecimiento variable, afectado principalmente por las fuertes restricciones explicadas anteriormente; sin embargo, en lo que concierne a la ejecución, sobresale el 2019 en donde se ejecutó un monto total mayor al asignado por Ley y el 2020 en donde la ejecución alcanzó tan sólo el 38%, situación provocada notoriamente por los efectos de la Pandemia del Covid-19, motivo de lo cual y por temas de protocolo, se debieron suspender una gran cantidad de actividades de capacitación presencial que estaban programadas.</w:t>
      </w:r>
    </w:p>
    <w:p w:rsidRPr="00F31A99" w:rsidR="00F31A99" w:rsidP="00F31A99" w:rsidRDefault="00F31A99" w14:paraId="7ABAE8DA"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6F83FB86" w14:textId="77777777">
      <w:pPr>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Figura 1. Comportamiento Histórico de la Subpartida</w:t>
      </w:r>
    </w:p>
    <w:p w:rsidRPr="00F31A99" w:rsidR="00F31A99" w:rsidP="00F31A99" w:rsidRDefault="00F31A99" w14:paraId="355543BC" w14:textId="77777777">
      <w:pPr>
        <w:autoSpaceDN w:val="0"/>
        <w:jc w:val="center"/>
        <w:rPr>
          <w:rFonts w:ascii="Times New Roman" w:hAnsi="Times New Roman" w:eastAsia="Times New Roman" w:cs="Times New Roman"/>
          <w:sz w:val="24"/>
          <w:szCs w:val="24"/>
          <w:u w:color="000000"/>
          <w:lang w:eastAsia="es-CR"/>
        </w:rPr>
      </w:pPr>
      <w:r w:rsidRPr="00F31A99">
        <w:rPr>
          <w:rFonts w:ascii="Times New Roman" w:hAnsi="Times New Roman" w:eastAsia="Calibri" w:cs="Times New Roman"/>
          <w:noProof/>
          <w:u w:color="000000"/>
        </w:rPr>
        <w:drawing>
          <wp:inline distT="0" distB="0" distL="0" distR="0" wp14:anchorId="462B3167" wp14:editId="021311EA">
            <wp:extent cx="5542383" cy="2723515"/>
            <wp:effectExtent l="0" t="0" r="1270" b="63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70596" cy="2737379"/>
                    </a:xfrm>
                    <a:prstGeom prst="rect">
                      <a:avLst/>
                    </a:prstGeom>
                    <a:noFill/>
                    <a:ln>
                      <a:noFill/>
                    </a:ln>
                  </pic:spPr>
                </pic:pic>
              </a:graphicData>
            </a:graphic>
          </wp:inline>
        </w:drawing>
      </w:r>
    </w:p>
    <w:p w:rsidRPr="00F31A99" w:rsidR="00F31A99" w:rsidP="00F31A99" w:rsidRDefault="00F31A99" w14:paraId="2314471C" w14:textId="77777777">
      <w:pPr>
        <w:autoSpaceDN w:val="0"/>
        <w:rPr>
          <w:rFonts w:ascii="Times New Roman" w:hAnsi="Times New Roman" w:eastAsia="Calibri" w:cs="Times New Roman"/>
          <w:bCs/>
          <w:sz w:val="20"/>
          <w:szCs w:val="18"/>
          <w:u w:color="000000"/>
        </w:rPr>
      </w:pPr>
      <w:r w:rsidRPr="00F31A99">
        <w:rPr>
          <w:rFonts w:ascii="Times New Roman" w:hAnsi="Times New Roman" w:eastAsia="Calibri" w:cs="Times New Roman"/>
          <w:u w:color="000000"/>
        </w:rPr>
        <w:t xml:space="preserve"> F</w:t>
      </w:r>
      <w:r w:rsidRPr="00F31A99">
        <w:rPr>
          <w:rFonts w:ascii="Times New Roman" w:hAnsi="Times New Roman" w:eastAsia="Calibri" w:cs="Times New Roman"/>
          <w:bCs/>
          <w:sz w:val="20"/>
          <w:szCs w:val="18"/>
          <w:u w:color="000000"/>
        </w:rPr>
        <w:t>uente: SIGA PJ</w:t>
      </w:r>
    </w:p>
    <w:p w:rsidRPr="00F31A99" w:rsidR="00F31A99" w:rsidP="00F31A99" w:rsidRDefault="00F31A99" w14:paraId="5BF8BF68" w14:textId="77777777">
      <w:pPr>
        <w:autoSpaceDN w:val="0"/>
        <w:rPr>
          <w:rFonts w:ascii="Times New Roman" w:hAnsi="Times New Roman" w:eastAsia="Calibri" w:cs="Times New Roman"/>
          <w:u w:color="000000"/>
        </w:rPr>
      </w:pPr>
    </w:p>
    <w:p w:rsidRPr="00F31A99" w:rsidR="00F31A99" w:rsidP="00F31A99" w:rsidRDefault="00F31A99" w14:paraId="70D3E87F"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Ejecución Presupuestaria</w:t>
      </w:r>
    </w:p>
    <w:p w:rsidRPr="00F31A99" w:rsidR="00F31A99" w:rsidP="00F31A99" w:rsidRDefault="00F31A99" w14:paraId="0C8B49AD" w14:textId="77777777">
      <w:pPr>
        <w:autoSpaceDN w:val="0"/>
        <w:rPr>
          <w:rFonts w:ascii="Times New Roman" w:hAnsi="Times New Roman" w:eastAsia="Calibri" w:cs="Times New Roman"/>
          <w:u w:color="000000"/>
        </w:rPr>
      </w:pPr>
    </w:p>
    <w:p w:rsidRPr="00F31A99" w:rsidR="00F31A99" w:rsidP="00F31A99" w:rsidRDefault="00F31A99" w14:paraId="569616F0"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Como se mencionó anteriormente, específicamente la ejecución de la subpartida en los últimos tres años ha sido de 80,9%, en el 2018, 120,2% para el 2019 y 38,4% para el 2020, siendo este último un año excepcional por las razones ya expuestas. El detalle se puede observar a continuación: </w:t>
      </w:r>
    </w:p>
    <w:p w:rsidRPr="00F31A99" w:rsidR="00F31A99" w:rsidP="00F31A99" w:rsidRDefault="00F31A99" w14:paraId="56FACBA7"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6E63B708"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lastRenderedPageBreak/>
        <w:t>Tabla 2. Ejecución Presupuestaria de la Subpartida 1.07.01</w:t>
      </w:r>
    </w:p>
    <w:p w:rsidRPr="00F31A99" w:rsidR="00F31A99" w:rsidP="00F31A99" w:rsidRDefault="00F31A99" w14:paraId="0271A74B" w14:textId="77777777">
      <w:pPr>
        <w:autoSpaceDN w:val="0"/>
        <w:ind w:left="851" w:right="851" w:firstLine="709"/>
        <w:jc w:val="center"/>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Actividades de Capacitación, Período 2018- 2020</w:t>
      </w:r>
    </w:p>
    <w:p w:rsidRPr="00F31A99" w:rsidR="00F31A99" w:rsidP="00F31A99" w:rsidRDefault="00F31A99" w14:paraId="5D2BA59C" w14:textId="77777777">
      <w:pPr>
        <w:autoSpaceDN w:val="0"/>
        <w:jc w:val="center"/>
        <w:rPr>
          <w:rFonts w:ascii="Times New Roman" w:hAnsi="Times New Roman" w:eastAsia="Calibri" w:cs="Times New Roman"/>
          <w:bCs/>
          <w:sz w:val="24"/>
          <w:u w:color="000000"/>
        </w:rPr>
      </w:pPr>
    </w:p>
    <w:p w:rsidRPr="00F31A99" w:rsidR="00F31A99" w:rsidP="00F31A99" w:rsidRDefault="00F31A99" w14:paraId="6E7D48CF" w14:textId="77777777">
      <w:pPr>
        <w:autoSpaceDN w:val="0"/>
        <w:jc w:val="center"/>
        <w:rPr>
          <w:rFonts w:ascii="Times New Roman" w:hAnsi="Times New Roman" w:eastAsia="Calibri" w:cs="Times New Roman"/>
          <w:bCs/>
          <w:sz w:val="24"/>
          <w:u w:color="000000"/>
        </w:rPr>
      </w:pPr>
      <w:r w:rsidRPr="00F31A99">
        <w:rPr>
          <w:rFonts w:ascii="Times New Roman" w:hAnsi="Times New Roman" w:eastAsia="Calibri" w:cs="Times New Roman"/>
          <w:noProof/>
          <w:u w:color="000000"/>
        </w:rPr>
        <w:drawing>
          <wp:inline distT="0" distB="0" distL="0" distR="0" wp14:anchorId="30A2FB27" wp14:editId="7789C309">
            <wp:extent cx="3549650" cy="927100"/>
            <wp:effectExtent l="0" t="0" r="0" b="635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549650" cy="927100"/>
                    </a:xfrm>
                    <a:prstGeom prst="rect">
                      <a:avLst/>
                    </a:prstGeom>
                    <a:noFill/>
                    <a:ln>
                      <a:noFill/>
                    </a:ln>
                  </pic:spPr>
                </pic:pic>
              </a:graphicData>
            </a:graphic>
          </wp:inline>
        </w:drawing>
      </w:r>
    </w:p>
    <w:p w:rsidRPr="00F31A99" w:rsidR="00F31A99" w:rsidP="00F31A99" w:rsidRDefault="00F31A99" w14:paraId="575F16B2" w14:textId="77777777">
      <w:pPr>
        <w:autoSpaceDN w:val="0"/>
        <w:jc w:val="both"/>
        <w:rPr>
          <w:rFonts w:ascii="Times New Roman" w:hAnsi="Times New Roman" w:eastAsia="Calibri" w:cs="Times New Roman"/>
          <w:bCs/>
          <w:sz w:val="20"/>
          <w:szCs w:val="18"/>
          <w:u w:color="000000"/>
        </w:rPr>
      </w:pPr>
      <w:r w:rsidRPr="00F31A99">
        <w:rPr>
          <w:rFonts w:ascii="Times New Roman" w:hAnsi="Times New Roman" w:eastAsia="Calibri" w:cs="Times New Roman"/>
          <w:bCs/>
          <w:sz w:val="20"/>
          <w:szCs w:val="18"/>
          <w:u w:color="000000"/>
        </w:rPr>
        <w:t xml:space="preserve"> Fuente: Consulta realizada al sistema SIGA PJ el 3-3-2021</w:t>
      </w:r>
    </w:p>
    <w:p w:rsidRPr="00F31A99" w:rsidR="00F31A99" w:rsidP="00F31A99" w:rsidRDefault="00F31A99" w14:paraId="75F6A146" w14:textId="77777777">
      <w:pPr>
        <w:autoSpaceDN w:val="0"/>
        <w:ind w:right="851"/>
        <w:rPr>
          <w:rFonts w:ascii="Times New Roman" w:hAnsi="Times New Roman" w:eastAsia="Calibri" w:cs="Times New Roman"/>
          <w:b/>
          <w:bCs/>
          <w:sz w:val="26"/>
          <w:szCs w:val="26"/>
          <w:u w:color="000000"/>
        </w:rPr>
      </w:pPr>
    </w:p>
    <w:p w:rsidRPr="00F31A99" w:rsidR="00F31A99" w:rsidP="00F31A99" w:rsidRDefault="00F31A99" w14:paraId="1195E8E1"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Variación por Programa 2020-2021</w:t>
      </w:r>
    </w:p>
    <w:p w:rsidRPr="00F31A99" w:rsidR="00F31A99" w:rsidP="00F31A99" w:rsidRDefault="00F31A99" w14:paraId="3F13A953" w14:textId="77777777">
      <w:pPr>
        <w:autoSpaceDN w:val="0"/>
        <w:jc w:val="both"/>
        <w:rPr>
          <w:rFonts w:ascii="Times New Roman" w:hAnsi="Times New Roman" w:eastAsia="Calibri" w:cs="Times New Roman"/>
          <w:bCs/>
          <w:sz w:val="24"/>
          <w:highlight w:val="yellow"/>
          <w:u w:color="000000"/>
        </w:rPr>
      </w:pPr>
    </w:p>
    <w:p w:rsidRPr="00F31A99" w:rsidR="00F31A99" w:rsidP="00F31A99" w:rsidRDefault="00F31A99" w14:paraId="7053A7B8"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Al realizar el análisis comparativo por programa presupuestario, se determina que el Programa 926 Dirección, Administración y Otros Órganos de Apoyo, es el que presenta la mayor formulación de recursos en la subpartida de Actividades de Capacitación, con un monto menor al periodo 2020 y un porcentaje de variación del -9%; seguido del Programa 927 Servicio Jurisdiccional y el Programa 928 Organismo de Investigación Judicial.</w:t>
      </w:r>
    </w:p>
    <w:p w:rsidRPr="00F31A99" w:rsidR="00F31A99" w:rsidP="00F31A99" w:rsidRDefault="00F31A99" w14:paraId="5456447D"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0C8E58FD"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la siguiente tabla se muestra el detalle de la variación para cada uno de los programas presupuestarios:</w:t>
      </w:r>
    </w:p>
    <w:p w:rsidRPr="00F31A99" w:rsidR="00F31A99" w:rsidP="00F31A99" w:rsidRDefault="00F31A99" w14:paraId="4BF892C3"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1A232D2A" w14:textId="77777777">
      <w:pPr>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Tabla 3. Variación Formulación por Programa Periodos 2021 – 2022 y Ejecución 2020.</w:t>
      </w:r>
    </w:p>
    <w:p w:rsidRPr="00F31A99" w:rsidR="00F31A99" w:rsidP="00F31A99" w:rsidRDefault="00F31A99" w14:paraId="5288746E" w14:textId="77777777">
      <w:pPr>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fldChar w:fldCharType="begin"/>
      </w:r>
      <w:r w:rsidRPr="00F31A99">
        <w:rPr>
          <w:rFonts w:ascii="Times New Roman" w:hAnsi="Times New Roman" w:eastAsia="Calibri" w:cs="Times New Roman"/>
          <w:b/>
          <w:sz w:val="26"/>
          <w:szCs w:val="26"/>
          <w:u w:color="000000"/>
        </w:rPr>
        <w:instrText xml:space="preserve"> LINK Excel.Sheet.12 "C:\\Users\\Esteban Ramirez\\Desktop\\SUBPARTIDAS\\ANÁLISIS DE SUBPARTIDAS\\Actividades de Capacitación\\Capacitación.xlsx" VARIACIÓN!R4C2:R11C6 \a \f 4 \h  \* MERGEFORMAT </w:instrText>
      </w:r>
      <w:r w:rsidRPr="00F31A99">
        <w:rPr>
          <w:rFonts w:ascii="Times New Roman" w:hAnsi="Times New Roman" w:eastAsia="Calibri" w:cs="Times New Roman"/>
          <w:b/>
          <w:sz w:val="26"/>
          <w:szCs w:val="26"/>
          <w:u w:color="000000"/>
        </w:rPr>
        <w:fldChar w:fldCharType="separate"/>
      </w:r>
    </w:p>
    <w:p w:rsidRPr="00F31A99" w:rsidR="00F31A99" w:rsidP="00F31A99" w:rsidRDefault="00F31A99" w14:paraId="57E78770" w14:textId="77777777">
      <w:pPr>
        <w:autoSpaceDN w:val="0"/>
        <w:rPr>
          <w:rFonts w:ascii="Times New Roman" w:hAnsi="Times New Roman" w:eastAsia="Calibri" w:cs="Times New Roman"/>
          <w:bCs/>
          <w:szCs w:val="20"/>
          <w:u w:color="000000"/>
        </w:rPr>
      </w:pPr>
      <w:r w:rsidRPr="00F31A99">
        <w:rPr>
          <w:rFonts w:ascii="Times New Roman" w:hAnsi="Times New Roman" w:eastAsia="Calibri" w:cs="Times New Roman"/>
          <w:bCs/>
          <w:szCs w:val="20"/>
          <w:u w:color="000000"/>
        </w:rPr>
        <w:fldChar w:fldCharType="end"/>
      </w:r>
      <w:r w:rsidRPr="00F31A99">
        <w:rPr>
          <w:rFonts w:ascii="Times New Roman" w:hAnsi="Times New Roman" w:eastAsia="Calibri" w:cs="Times New Roman"/>
          <w:noProof/>
          <w:u w:color="000000"/>
        </w:rPr>
        <w:drawing>
          <wp:inline distT="0" distB="0" distL="0" distR="0" wp14:anchorId="7B0C2621" wp14:editId="1C1FB58E">
            <wp:extent cx="5612130" cy="1503680"/>
            <wp:effectExtent l="0" t="0" r="7620" b="127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12130" cy="1503680"/>
                    </a:xfrm>
                    <a:prstGeom prst="rect">
                      <a:avLst/>
                    </a:prstGeom>
                    <a:noFill/>
                    <a:ln>
                      <a:noFill/>
                    </a:ln>
                  </pic:spPr>
                </pic:pic>
              </a:graphicData>
            </a:graphic>
          </wp:inline>
        </w:drawing>
      </w:r>
    </w:p>
    <w:p w:rsidRPr="00F31A99" w:rsidR="00F31A99" w:rsidP="00F31A99" w:rsidRDefault="00F31A99" w14:paraId="6843A79B" w14:textId="77777777">
      <w:pPr>
        <w:autoSpaceDN w:val="0"/>
        <w:jc w:val="both"/>
        <w:rPr>
          <w:rFonts w:ascii="Times New Roman" w:hAnsi="Times New Roman" w:eastAsia="Calibri" w:cs="Times New Roman"/>
          <w:bCs/>
          <w:sz w:val="20"/>
          <w:szCs w:val="18"/>
          <w:u w:color="000000"/>
        </w:rPr>
      </w:pPr>
      <w:r w:rsidRPr="00F31A99">
        <w:rPr>
          <w:rFonts w:ascii="Times New Roman" w:hAnsi="Times New Roman" w:eastAsia="Calibri" w:cs="Times New Roman"/>
          <w:bCs/>
          <w:sz w:val="20"/>
          <w:szCs w:val="18"/>
          <w:u w:color="000000"/>
        </w:rPr>
        <w:t>Fuente: Consulta realizada al sistema SIGA PJ el 3-3-2021</w:t>
      </w:r>
    </w:p>
    <w:p w:rsidRPr="00F31A99" w:rsidR="00F31A99" w:rsidP="00F31A99" w:rsidRDefault="00F31A99" w14:paraId="0681CFEF" w14:textId="77777777">
      <w:pPr>
        <w:autoSpaceDN w:val="0"/>
        <w:jc w:val="both"/>
        <w:rPr>
          <w:rFonts w:ascii="Times New Roman" w:hAnsi="Times New Roman" w:eastAsia="Calibri" w:cs="Times New Roman"/>
          <w:bCs/>
          <w:sz w:val="20"/>
          <w:szCs w:val="18"/>
          <w:u w:color="000000"/>
        </w:rPr>
      </w:pPr>
    </w:p>
    <w:p w:rsidRPr="00F31A99" w:rsidR="00F31A99" w:rsidP="00F31A99" w:rsidRDefault="00F31A99" w14:paraId="3D12C982"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Seguidamente se justifican los principales rubros en cada uno de los Programas Presupuestarios.</w:t>
      </w:r>
    </w:p>
    <w:p w:rsidRPr="00F31A99" w:rsidR="00F31A99" w:rsidP="00F31A99" w:rsidRDefault="00F31A99" w14:paraId="14C95739"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0B23D4C4" w14:textId="77777777">
      <w:pPr>
        <w:numPr>
          <w:ilvl w:val="0"/>
          <w:numId w:val="10"/>
        </w:numPr>
        <w:autoSpaceDN w:val="0"/>
        <w:ind w:left="851" w:right="851" w:firstLine="357"/>
        <w:contextualSpacing/>
        <w:jc w:val="both"/>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Programa 926 Dirección, Administración y Otros Órganos de Apoyo</w:t>
      </w:r>
    </w:p>
    <w:p w:rsidRPr="00F31A99" w:rsidR="00F31A99" w:rsidP="00F31A99" w:rsidRDefault="00F31A99" w14:paraId="78A61960"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Dirección de Gestión Humana: se formulan ¢41.880.990, dentro de los cuales, ¢12.712.639 son para el contrato N°4120 “servicio de </w:t>
      </w:r>
      <w:r w:rsidRPr="00F31A99">
        <w:rPr>
          <w:rFonts w:ascii="Times New Roman" w:hAnsi="Times New Roman" w:eastAsia="Times New Roman" w:cs="Times New Roman"/>
          <w:sz w:val="26"/>
          <w:szCs w:val="26"/>
          <w:u w:color="000000"/>
          <w:lang w:eastAsia="es-ES"/>
        </w:rPr>
        <w:lastRenderedPageBreak/>
        <w:t xml:space="preserve">clases de acondicionamiento físico del Programa Recreación Laboral” que corresponde a las clases grupales de diferentes tipos de entrenamientos para la población judicial, actividades que se llevan a cabo en el gimnasio o bien mediante la modalidad virtual en razón de las limitaciones actuales por la Pandemia, para lo cual se cuenta con personas profesionales en educación física, que son precisamente las personas instructoras en cada una de las clases que se brindan. Los restantes ¢29.168.351 son tanto para capacitaciones de la Dirección de Gestión Humana, como para las capacitaciones de las oficinas del ámbito Administrativo, incluyendo a la Dirección de Tecnología de la Información. </w:t>
      </w:r>
    </w:p>
    <w:p w:rsidRPr="00F31A99" w:rsidR="00F31A99" w:rsidP="00F31A99" w:rsidRDefault="00F31A99" w14:paraId="17285E3B"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02B3B5B5"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Escuela Judicial: ¢10.000.000 para el convenio FUNDEVI entre Poder Judicial y la Universidad de Costa Rica. </w:t>
      </w:r>
    </w:p>
    <w:p w:rsidRPr="00F31A99" w:rsidR="00F31A99" w:rsidP="00F31A99" w:rsidRDefault="00F31A99" w14:paraId="434EA40A"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3AF7F1D2" w14:textId="77777777">
      <w:pPr>
        <w:numPr>
          <w:ilvl w:val="0"/>
          <w:numId w:val="10"/>
        </w:numPr>
        <w:autoSpaceDN w:val="0"/>
        <w:ind w:left="851" w:right="851" w:firstLine="357"/>
        <w:contextualSpacing/>
        <w:jc w:val="both"/>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Programa 927 Servicio Jurisdiccional</w:t>
      </w:r>
    </w:p>
    <w:p w:rsidRPr="00F31A99" w:rsidR="00F31A99" w:rsidP="00F31A99" w:rsidRDefault="00F31A99" w14:paraId="5504DC21"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Se solicitan recursos para la atención de las actividades de capacitación realizadas a través de las distintas Comisiones (¢4.013.022). Además se incluyen recursos en la Presidencia de la Corte (¢5.000.000) y en las cuatro Salas (¢4.456.104) para la realización de diferentes actividades formativas.</w:t>
      </w:r>
    </w:p>
    <w:p w:rsidRPr="00F31A99" w:rsidR="00F31A99" w:rsidP="00F31A99" w:rsidRDefault="00F31A99" w14:paraId="367DCBD6" w14:textId="77777777">
      <w:pPr>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13018F29" w14:textId="77777777">
      <w:pPr>
        <w:numPr>
          <w:ilvl w:val="0"/>
          <w:numId w:val="10"/>
        </w:numPr>
        <w:autoSpaceDN w:val="0"/>
        <w:ind w:left="851" w:right="851" w:firstLine="357"/>
        <w:contextualSpacing/>
        <w:jc w:val="both"/>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Programa 928 Organismo de Investigación Judicial</w:t>
      </w:r>
    </w:p>
    <w:p w:rsidRPr="00F31A99" w:rsidR="00F31A99" w:rsidP="00F31A99" w:rsidRDefault="00F31A99" w14:paraId="3DDDD722"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De los recursos formulados, ¢4.334.190 son para la capacitación del personal del Laboratorio de Ciencias Forenses en materia forense, materia de calidad, buenas prácticas administrativas entre otros; además, de otras capacitaciones que se requieran para el resto de oficinas policiales a nivel nacional. Adicionalmente, se solicitan recursos (¢3.940.170) para capacitación en acreditación de la norma ISO 17020, trámite de jornadas médico legales y cursos de Rayos X.</w:t>
      </w:r>
    </w:p>
    <w:p w:rsidRPr="00F31A99" w:rsidR="00F31A99" w:rsidP="00F31A99" w:rsidRDefault="00F31A99" w14:paraId="029318E2" w14:textId="77777777">
      <w:pPr>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602E4E4C" w14:textId="77777777">
      <w:pPr>
        <w:numPr>
          <w:ilvl w:val="0"/>
          <w:numId w:val="10"/>
        </w:numPr>
        <w:autoSpaceDN w:val="0"/>
        <w:ind w:left="851" w:right="851" w:firstLine="357"/>
        <w:contextualSpacing/>
        <w:jc w:val="both"/>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Programa 929 Ministerio Público</w:t>
      </w:r>
    </w:p>
    <w:p w:rsidRPr="00F31A99" w:rsidR="00F31A99" w:rsidP="00F31A99" w:rsidRDefault="00F31A99" w14:paraId="6B7E9C4A"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Los recursos formulados (¢3.589.994) por el Ministerio Público en esta subpartida se destinan a la contratación de cursos relacionados con la evaluación del desempeño y gestión de competencias. Adicionalmente, se requiere capacitar al personal de la Unidad de Capacitación que tiene a cargo la realización de los procesos de reclutamiento y selección de los fiscales y fiscalas. </w:t>
      </w:r>
    </w:p>
    <w:p w:rsidRPr="00F31A99" w:rsidR="00F31A99" w:rsidP="00F31A99" w:rsidRDefault="00F31A99" w14:paraId="733EBC30" w14:textId="77777777">
      <w:pPr>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48C680A3" w14:textId="77777777">
      <w:pPr>
        <w:numPr>
          <w:ilvl w:val="0"/>
          <w:numId w:val="10"/>
        </w:numPr>
        <w:autoSpaceDN w:val="0"/>
        <w:ind w:left="851" w:right="851" w:firstLine="357"/>
        <w:contextualSpacing/>
        <w:jc w:val="both"/>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Programa 930 Defensa Pública</w:t>
      </w:r>
    </w:p>
    <w:p w:rsidRPr="00F31A99" w:rsidR="00F31A99" w:rsidP="00F31A99" w:rsidRDefault="00F31A99" w14:paraId="0241C928"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Los recursos formulados (¢2.520.000) son para cubrir las necesidades del programa en el cumplimiento del Plan de </w:t>
      </w:r>
      <w:r w:rsidRPr="00F31A99">
        <w:rPr>
          <w:rFonts w:ascii="Times New Roman" w:hAnsi="Times New Roman" w:eastAsia="Times New Roman" w:cs="Times New Roman"/>
          <w:sz w:val="26"/>
          <w:szCs w:val="26"/>
          <w:u w:color="000000"/>
          <w:lang w:eastAsia="es-ES"/>
        </w:rPr>
        <w:lastRenderedPageBreak/>
        <w:t xml:space="preserve">Capacitación anual del Proceso de Gestión del Conocimiento, plan que elabora todos los años la Unidad de Capacitación de la Defensa Pública y que abarca distintas capacitaciones de formación para el personal de primer ingreso así como de actualización para el resto del personal. Se incluyen gastos de actualización de plataformas virtuales, contratación de cursos y demás gastos generados en las distintas actividades. </w:t>
      </w:r>
    </w:p>
    <w:p w:rsidRPr="00F31A99" w:rsidR="00F31A99" w:rsidP="00F31A99" w:rsidRDefault="00F31A99" w14:paraId="30CEB223" w14:textId="77777777">
      <w:pPr>
        <w:autoSpaceDN w:val="0"/>
        <w:spacing w:line="360" w:lineRule="auto"/>
        <w:ind w:left="708"/>
        <w:jc w:val="both"/>
        <w:rPr>
          <w:rFonts w:ascii="Times New Roman" w:hAnsi="Times New Roman" w:eastAsia="Times New Roman" w:cs="Times New Roman"/>
          <w:b/>
          <w:sz w:val="24"/>
          <w:szCs w:val="24"/>
          <w:u w:color="000000"/>
          <w:lang w:eastAsia="es-ES"/>
        </w:rPr>
      </w:pPr>
    </w:p>
    <w:p w:rsidRPr="00F31A99" w:rsidR="00F31A99" w:rsidP="00F31A99" w:rsidRDefault="00F31A99" w14:paraId="0494C1D0" w14:textId="77777777">
      <w:pPr>
        <w:numPr>
          <w:ilvl w:val="0"/>
          <w:numId w:val="10"/>
        </w:numPr>
        <w:autoSpaceDN w:val="0"/>
        <w:ind w:left="851" w:right="851" w:firstLine="357"/>
        <w:contextualSpacing/>
        <w:jc w:val="both"/>
        <w:rPr>
          <w:rFonts w:ascii="Times New Roman" w:hAnsi="Times New Roman" w:eastAsia="Times New Roman" w:cs="Times New Roman"/>
          <w:b/>
          <w:sz w:val="26"/>
          <w:szCs w:val="26"/>
          <w:u w:color="000000"/>
          <w:lang w:eastAsia="es-ES"/>
        </w:rPr>
      </w:pPr>
      <w:r w:rsidRPr="00F31A99">
        <w:rPr>
          <w:rFonts w:ascii="Times New Roman" w:hAnsi="Times New Roman" w:eastAsia="Times New Roman" w:cs="Times New Roman"/>
          <w:b/>
          <w:sz w:val="26"/>
          <w:szCs w:val="26"/>
          <w:u w:color="000000"/>
          <w:lang w:eastAsia="es-ES"/>
        </w:rPr>
        <w:t>Programa 950 Servicio de Atención y Protección de Víctimas y Testigos</w:t>
      </w:r>
    </w:p>
    <w:p w:rsidRPr="00F31A99" w:rsidR="00F31A99" w:rsidP="00F31A99" w:rsidRDefault="00F31A99" w14:paraId="59DBEB8E"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Los recursos formulados (¢2.000.000) son para gestionar la contratación de actividades de capacitación requeridas por el personal del Programa, tales como actividades de auto cuidado, las cuales cumplen un rol clave en la cultura de la prevención y la seguridad en el trabajo, siendo que resultan la base para que cada persona adopte conductas seguras en los ambientes laborales, asimismo contribuye con su propio cuidado y el de sus compañeras y compañeros. Por otra parte, se requiere también de la actualización profesional, considerando que se cuenta con profesionales en Trabajo Social, Psicología, Criminología, Derecho, Sociología, Personal Administrativo y técnico; se da la necesidad de asistencia a distintas capacitaciones contratadas que contribuyen a la atención a víctimas, como por ejemplo capacitación en vulnerabilidad social, diseño de perfil victimológico y criminológico, entre otros. </w:t>
      </w:r>
    </w:p>
    <w:p w:rsidRPr="00F31A99" w:rsidR="00F31A99" w:rsidP="00F31A99" w:rsidRDefault="00F31A99" w14:paraId="64E879C1" w14:textId="77777777">
      <w:pPr>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4593D2C8" w14:textId="77777777">
      <w:pPr>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Figura N° 2. Distribución de Recursos por Programa para el 2022</w:t>
      </w:r>
    </w:p>
    <w:p w:rsidRPr="00F31A99" w:rsidR="00F31A99" w:rsidP="00F31A99" w:rsidRDefault="00F31A99" w14:paraId="530A0B30" w14:textId="77777777">
      <w:pPr>
        <w:autoSpaceDN w:val="0"/>
        <w:rPr>
          <w:rFonts w:ascii="Times New Roman" w:hAnsi="Times New Roman" w:eastAsia="Calibri" w:cs="Times New Roman"/>
          <w:b/>
          <w:sz w:val="24"/>
          <w:u w:color="000000"/>
        </w:rPr>
      </w:pPr>
    </w:p>
    <w:p w:rsidRPr="00F31A99" w:rsidR="00F31A99" w:rsidP="00F31A99" w:rsidRDefault="00F31A99" w14:paraId="435C03AF" w14:textId="77777777">
      <w:pPr>
        <w:autoSpaceDN w:val="0"/>
        <w:jc w:val="center"/>
        <w:rPr>
          <w:rFonts w:ascii="Times New Roman" w:hAnsi="Times New Roman" w:eastAsia="Calibri" w:cs="Times New Roman"/>
          <w:b/>
          <w:sz w:val="24"/>
          <w:u w:color="000000"/>
        </w:rPr>
      </w:pPr>
      <w:r w:rsidRPr="00F31A99">
        <w:rPr>
          <w:rFonts w:ascii="Times New Roman" w:hAnsi="Times New Roman" w:eastAsia="Calibri" w:cs="Times New Roman"/>
          <w:noProof/>
          <w:u w:color="000000"/>
        </w:rPr>
        <w:lastRenderedPageBreak/>
        <w:drawing>
          <wp:inline distT="0" distB="0" distL="0" distR="0" wp14:anchorId="0784BBEA" wp14:editId="0A29C3BF">
            <wp:extent cx="4768850" cy="3067050"/>
            <wp:effectExtent l="0" t="0" r="0" b="0"/>
            <wp:docPr id="118" name="Gráfico 118">
              <a:extLst xmlns:a="http://schemas.openxmlformats.org/drawingml/2006/main">
                <a:ext uri="{FF2B5EF4-FFF2-40B4-BE49-F238E27FC236}">
                  <a16:creationId xmlns:a16="http://schemas.microsoft.com/office/drawing/2014/main" id="{F0363675-297E-4E34-8382-5953697BA7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Pr="00F31A99" w:rsidR="00F31A99" w:rsidP="00F31A99" w:rsidRDefault="00F31A99" w14:paraId="3C0622D9"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Según se muestra en la figura N° 3, el Programa 926 Dirección, Administración y Otros Órganos de Apoyo, es el que formula la mayor cantidad de recursos para el periodo 2022, con un total de ¢63.247.423, lo que representa un 67% del total de recursos de la subpartida; seguido del Programa 927 Servicio Jurisdiccional con un total de ¢14.087.526 para un 15% y el Programa 928 Organismo de Investigación Judicial con ¢8.274.360 y un porcentaje del 9%. En un menor porcentaje los Programas Ministerio Público, Defensa Pública y Atención y Protección de Víctimas y Testigos, representan un 9% del total de recursos formulados.</w:t>
      </w:r>
    </w:p>
    <w:p w:rsidRPr="00F31A99" w:rsidR="00F31A99" w:rsidP="00F31A99" w:rsidRDefault="00F31A99" w14:paraId="5273A33E" w14:textId="77777777">
      <w:pPr>
        <w:autoSpaceDN w:val="0"/>
        <w:jc w:val="both"/>
        <w:rPr>
          <w:rFonts w:ascii="Times New Roman" w:hAnsi="Times New Roman" w:eastAsia="Calibri" w:cs="Times New Roman"/>
          <w:bCs/>
          <w:sz w:val="24"/>
          <w:u w:color="000000"/>
        </w:rPr>
      </w:pPr>
    </w:p>
    <w:p w:rsidRPr="00F31A99" w:rsidR="00F31A99" w:rsidP="00F31A99" w:rsidRDefault="00F31A99" w14:paraId="394A5525"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Distribución por Centro de Responsabilidad</w:t>
      </w:r>
    </w:p>
    <w:p w:rsidRPr="00F31A99" w:rsidR="00F31A99" w:rsidP="00F31A99" w:rsidRDefault="00F31A99" w14:paraId="73B13B30" w14:textId="77777777">
      <w:pPr>
        <w:autoSpaceDN w:val="0"/>
        <w:spacing w:line="360" w:lineRule="auto"/>
        <w:jc w:val="both"/>
        <w:rPr>
          <w:rFonts w:ascii="Times New Roman" w:hAnsi="Times New Roman" w:eastAsia="Calibri" w:cs="Times New Roman"/>
          <w:bCs/>
          <w:sz w:val="24"/>
          <w:u w:color="000000"/>
        </w:rPr>
      </w:pPr>
      <w:r w:rsidRPr="00F31A99">
        <w:rPr>
          <w:rFonts w:ascii="Times New Roman" w:hAnsi="Times New Roman" w:eastAsia="Calibri" w:cs="Times New Roman"/>
          <w:bCs/>
          <w:sz w:val="24"/>
          <w:u w:color="000000"/>
        </w:rPr>
        <w:t xml:space="preserve"> </w:t>
      </w:r>
    </w:p>
    <w:p w:rsidRPr="00F31A99" w:rsidR="00F31A99" w:rsidP="00F31A99" w:rsidRDefault="00F31A99" w14:paraId="71389CF7"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la tabla 6 se presentan los Centros de Responsabilidad que para el 2022 son los más representativos dentro de la subpartida.</w:t>
      </w:r>
    </w:p>
    <w:p w:rsidRPr="00F31A99" w:rsidR="00F31A99" w:rsidP="00F31A99" w:rsidRDefault="00F31A99" w14:paraId="23EAABBD" w14:textId="77777777">
      <w:pPr>
        <w:autoSpaceDN w:val="0"/>
        <w:ind w:left="851" w:right="851" w:firstLine="709"/>
        <w:jc w:val="both"/>
        <w:rPr>
          <w:rFonts w:ascii="Times New Roman" w:hAnsi="Times New Roman" w:eastAsia="Calibri" w:cs="Times New Roman"/>
          <w:b/>
          <w:sz w:val="26"/>
          <w:szCs w:val="26"/>
          <w:u w:color="000000"/>
        </w:rPr>
      </w:pPr>
    </w:p>
    <w:p w:rsidRPr="00F31A99" w:rsidR="00F31A99" w:rsidP="00F31A99" w:rsidRDefault="00F31A99" w14:paraId="7CCB3CCF" w14:textId="77777777">
      <w:pPr>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Tabla 4. Distribución de la Subpartida por Centro de Responsabilidad, Periodo 2022.</w:t>
      </w:r>
    </w:p>
    <w:p w:rsidRPr="00F31A99" w:rsidR="00F31A99" w:rsidP="00F31A99" w:rsidRDefault="00F31A99" w14:paraId="1BE8D886" w14:textId="77777777">
      <w:pPr>
        <w:autoSpaceDN w:val="0"/>
        <w:ind w:left="851" w:right="851" w:firstLine="709"/>
        <w:jc w:val="both"/>
        <w:rPr>
          <w:rFonts w:ascii="Times New Roman" w:hAnsi="Times New Roman" w:eastAsia="Calibri" w:cs="Times New Roman"/>
          <w:b/>
          <w:sz w:val="26"/>
          <w:szCs w:val="26"/>
          <w:u w:color="000000"/>
        </w:rPr>
      </w:pPr>
    </w:p>
    <w:p w:rsidRPr="00F31A99" w:rsidR="00F31A99" w:rsidP="00F31A99" w:rsidRDefault="00F31A99" w14:paraId="4EC741F4" w14:textId="77777777">
      <w:pPr>
        <w:autoSpaceDN w:val="0"/>
        <w:jc w:val="center"/>
        <w:rPr>
          <w:rFonts w:ascii="Times New Roman" w:hAnsi="Times New Roman" w:eastAsia="Calibri" w:cs="Times New Roman"/>
          <w:bCs/>
          <w:szCs w:val="20"/>
          <w:u w:color="000000"/>
        </w:rPr>
      </w:pPr>
      <w:r w:rsidRPr="00F31A99">
        <w:rPr>
          <w:rFonts w:ascii="Times New Roman" w:hAnsi="Times New Roman" w:eastAsia="Calibri" w:cs="Times New Roman"/>
          <w:noProof/>
          <w:u w:color="000000"/>
        </w:rPr>
        <w:lastRenderedPageBreak/>
        <w:drawing>
          <wp:inline distT="0" distB="0" distL="0" distR="0" wp14:anchorId="7F4731A7" wp14:editId="6948C781">
            <wp:extent cx="4356100" cy="3587750"/>
            <wp:effectExtent l="0" t="0" r="635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356100" cy="3587750"/>
                    </a:xfrm>
                    <a:prstGeom prst="rect">
                      <a:avLst/>
                    </a:prstGeom>
                    <a:noFill/>
                    <a:ln>
                      <a:noFill/>
                    </a:ln>
                  </pic:spPr>
                </pic:pic>
              </a:graphicData>
            </a:graphic>
          </wp:inline>
        </w:drawing>
      </w:r>
    </w:p>
    <w:p w:rsidRPr="00F31A99" w:rsidR="00F31A99" w:rsidP="00F31A99" w:rsidRDefault="00F31A99" w14:paraId="4D3A0D19" w14:textId="77777777">
      <w:pPr>
        <w:autoSpaceDN w:val="0"/>
        <w:jc w:val="both"/>
        <w:rPr>
          <w:rFonts w:ascii="Times New Roman" w:hAnsi="Times New Roman" w:eastAsia="Calibri" w:cs="Times New Roman"/>
          <w:bCs/>
          <w:sz w:val="20"/>
          <w:szCs w:val="18"/>
          <w:u w:color="000000"/>
        </w:rPr>
      </w:pPr>
      <w:r w:rsidRPr="00F31A99">
        <w:rPr>
          <w:rFonts w:ascii="Times New Roman" w:hAnsi="Times New Roman" w:eastAsia="Calibri" w:cs="Times New Roman"/>
          <w:bCs/>
          <w:sz w:val="20"/>
          <w:szCs w:val="18"/>
          <w:u w:color="000000"/>
        </w:rPr>
        <w:t xml:space="preserve"> Fuente: Consulta realizada al sistema SIGA PJ el 3-3-2021</w:t>
      </w:r>
    </w:p>
    <w:p w:rsidRPr="00F31A99" w:rsidR="00F31A99" w:rsidP="00F31A99" w:rsidRDefault="00F31A99" w14:paraId="471561A8" w14:textId="77777777">
      <w:pPr>
        <w:autoSpaceDN w:val="0"/>
        <w:spacing w:line="360" w:lineRule="auto"/>
        <w:ind w:firstLine="708"/>
        <w:jc w:val="both"/>
        <w:rPr>
          <w:rFonts w:ascii="Times New Roman" w:hAnsi="Times New Roman" w:eastAsia="Calibri" w:cs="Times New Roman"/>
          <w:bCs/>
          <w:sz w:val="24"/>
          <w:u w:color="000000"/>
        </w:rPr>
      </w:pPr>
    </w:p>
    <w:p w:rsidRPr="00F31A99" w:rsidR="00F31A99" w:rsidP="00F31A99" w:rsidRDefault="00F31A99" w14:paraId="1A504140"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Según se muestra en el cuadro anterior, la mayor cantidad de recursos para el periodo 2022 por Centro de Responsabilidad se ubican en la Dirección de Gestión Humana, con ¢41.880.990, lo que representa un 44,7% de la totalidad de recursos, seguido de la Escuela Judicial con ¢12.712.942 (13,6%) y el Organismo de Investigación Judicial con ¢8.274.360 (8,8%).</w:t>
      </w:r>
    </w:p>
    <w:p w:rsidRPr="00F31A99" w:rsidR="00F31A99" w:rsidP="00F31A99" w:rsidRDefault="00F31A99" w14:paraId="13E3F837"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Es importante recordar que, en el caso de la Dirección de Gestión Humana, los recursos presupuestados son para coordinar la capacitación de los diferentes centros de responsabilidad que conforman el programa Administrativo. </w:t>
      </w:r>
    </w:p>
    <w:p w:rsidRPr="00F31A99" w:rsidR="00F31A99" w:rsidP="00F31A99" w:rsidRDefault="00F31A99" w14:paraId="2BB5FFCB" w14:textId="77777777">
      <w:pPr>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0022CFDD"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Según se indica por parte de la Dirección de Gestión Humana, por los recortes aplicados al presupuesto 2021 y las restricciones existentes para el 2022, no es posible atender necesidades específicas, como por ejemplo las de la Dirección de Tecnología de la Información, al igual que las de muchos otros Centros de Responsabilidad, lo que obliga al Subproceso de Gestión de la Capacitación a restablecer prioridades en cumplimiento de los objetivos estipulados para el período.</w:t>
      </w:r>
    </w:p>
    <w:p w:rsidRPr="00F31A99" w:rsidR="00F31A99" w:rsidP="00F31A99" w:rsidRDefault="00F31A99" w14:paraId="528CFED7"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061968BC"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Requerimientos Adicionales</w:t>
      </w:r>
    </w:p>
    <w:p w:rsidRPr="00F31A99" w:rsidR="00F31A99" w:rsidP="00F31A99" w:rsidRDefault="00F31A99" w14:paraId="17D3A202" w14:textId="77777777">
      <w:pPr>
        <w:autoSpaceDN w:val="0"/>
        <w:rPr>
          <w:rFonts w:ascii="Times New Roman" w:hAnsi="Times New Roman" w:eastAsia="Calibri" w:cs="Times New Roman"/>
          <w:sz w:val="24"/>
          <w:szCs w:val="24"/>
          <w:u w:color="000000"/>
        </w:rPr>
      </w:pPr>
    </w:p>
    <w:tbl>
      <w:tblPr>
        <w:tblW w:w="99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619"/>
        <w:gridCol w:w="1297"/>
        <w:gridCol w:w="1130"/>
        <w:gridCol w:w="3700"/>
        <w:gridCol w:w="2172"/>
      </w:tblGrid>
      <w:tr w:rsidRPr="00F31A99" w:rsidR="00AE1B2B" w:rsidTr="00A306B2" w14:paraId="646F7EB0" w14:textId="77777777">
        <w:trPr>
          <w:trHeight w:val="275"/>
          <w:jc w:val="center"/>
        </w:trPr>
        <w:tc>
          <w:tcPr>
            <w:tcW w:w="1619" w:type="dxa"/>
            <w:shd w:val="clear" w:color="000000" w:fill="1F497D"/>
            <w:noWrap/>
            <w:vAlign w:val="center"/>
            <w:hideMark/>
          </w:tcPr>
          <w:p w:rsidRPr="00F31A99" w:rsidR="00F31A99" w:rsidP="00F31A99" w:rsidRDefault="00F31A99" w14:paraId="2CFAD290" w14:textId="77777777">
            <w:pPr>
              <w:autoSpaceDN w:val="0"/>
              <w:jc w:val="center"/>
              <w:rPr>
                <w:rFonts w:ascii="Times New Roman" w:hAnsi="Times New Roman" w:eastAsia="Calibri" w:cs="Times New Roman"/>
                <w:bCs/>
                <w:u w:color="000000"/>
                <w:lang w:eastAsia="es-CR"/>
              </w:rPr>
            </w:pPr>
            <w:r w:rsidRPr="00F31A99">
              <w:rPr>
                <w:rFonts w:ascii="Times New Roman" w:hAnsi="Times New Roman" w:eastAsia="Calibri" w:cs="Times New Roman"/>
                <w:bCs/>
                <w:u w:color="000000"/>
                <w:lang w:eastAsia="es-CR"/>
              </w:rPr>
              <w:lastRenderedPageBreak/>
              <w:t xml:space="preserve">Centro de Responsabilidad </w:t>
            </w:r>
          </w:p>
        </w:tc>
        <w:tc>
          <w:tcPr>
            <w:tcW w:w="1297" w:type="dxa"/>
            <w:shd w:val="clear" w:color="000000" w:fill="1F497D"/>
            <w:noWrap/>
            <w:vAlign w:val="center"/>
            <w:hideMark/>
          </w:tcPr>
          <w:p w:rsidRPr="00F31A99" w:rsidR="00F31A99" w:rsidP="00F31A99" w:rsidRDefault="00F31A99" w14:paraId="2D6C9BC1" w14:textId="77777777">
            <w:pPr>
              <w:autoSpaceDN w:val="0"/>
              <w:jc w:val="center"/>
              <w:rPr>
                <w:rFonts w:ascii="Times New Roman" w:hAnsi="Times New Roman" w:eastAsia="Calibri" w:cs="Times New Roman"/>
                <w:bCs/>
                <w:u w:color="000000"/>
                <w:lang w:eastAsia="es-CR"/>
              </w:rPr>
            </w:pPr>
            <w:r w:rsidRPr="00F31A99">
              <w:rPr>
                <w:rFonts w:ascii="Times New Roman" w:hAnsi="Times New Roman" w:eastAsia="Calibri" w:cs="Times New Roman"/>
                <w:bCs/>
                <w:u w:color="000000"/>
                <w:lang w:eastAsia="es-CR"/>
              </w:rPr>
              <w:t>Subpartida</w:t>
            </w:r>
          </w:p>
        </w:tc>
        <w:tc>
          <w:tcPr>
            <w:tcW w:w="907" w:type="dxa"/>
            <w:shd w:val="clear" w:color="000000" w:fill="1F497D"/>
            <w:noWrap/>
            <w:vAlign w:val="center"/>
            <w:hideMark/>
          </w:tcPr>
          <w:p w:rsidRPr="00F31A99" w:rsidR="00F31A99" w:rsidP="00F31A99" w:rsidRDefault="00F31A99" w14:paraId="3AA012DB" w14:textId="77777777">
            <w:pPr>
              <w:autoSpaceDN w:val="0"/>
              <w:jc w:val="center"/>
              <w:rPr>
                <w:rFonts w:ascii="Times New Roman" w:hAnsi="Times New Roman" w:eastAsia="Calibri" w:cs="Times New Roman"/>
                <w:bCs/>
                <w:u w:color="000000"/>
                <w:lang w:eastAsia="es-CR"/>
              </w:rPr>
            </w:pPr>
            <w:r w:rsidRPr="00F31A99">
              <w:rPr>
                <w:rFonts w:ascii="Times New Roman" w:hAnsi="Times New Roman" w:eastAsia="Calibri" w:cs="Times New Roman"/>
                <w:bCs/>
                <w:u w:color="000000"/>
                <w:lang w:eastAsia="es-CR"/>
              </w:rPr>
              <w:t xml:space="preserve">Monto </w:t>
            </w:r>
            <w:r w:rsidRPr="00F31A99">
              <w:rPr>
                <w:rFonts w:ascii="Times New Roman" w:hAnsi="Times New Roman" w:eastAsia="Calibri" w:cs="Times New Roman"/>
                <w:u w:color="000000"/>
                <w:lang w:eastAsia="es-CR"/>
              </w:rPr>
              <w:t>Adicional</w:t>
            </w:r>
          </w:p>
        </w:tc>
        <w:tc>
          <w:tcPr>
            <w:tcW w:w="3700" w:type="dxa"/>
            <w:shd w:val="clear" w:color="000000" w:fill="1F497D"/>
            <w:noWrap/>
            <w:vAlign w:val="center"/>
            <w:hideMark/>
          </w:tcPr>
          <w:p w:rsidRPr="00F31A99" w:rsidR="00F31A99" w:rsidP="00F31A99" w:rsidRDefault="00F31A99" w14:paraId="2A0029EF" w14:textId="77777777">
            <w:pPr>
              <w:autoSpaceDN w:val="0"/>
              <w:jc w:val="center"/>
              <w:rPr>
                <w:rFonts w:ascii="Times New Roman" w:hAnsi="Times New Roman" w:eastAsia="Calibri" w:cs="Times New Roman"/>
                <w:bCs/>
                <w:u w:color="000000"/>
                <w:lang w:eastAsia="es-CR"/>
              </w:rPr>
            </w:pPr>
            <w:r w:rsidRPr="00F31A99">
              <w:rPr>
                <w:rFonts w:ascii="Times New Roman" w:hAnsi="Times New Roman" w:eastAsia="Calibri" w:cs="Times New Roman"/>
                <w:bCs/>
                <w:u w:color="000000"/>
                <w:lang w:eastAsia="es-CR"/>
              </w:rPr>
              <w:t>Justificación</w:t>
            </w:r>
          </w:p>
        </w:tc>
        <w:tc>
          <w:tcPr>
            <w:tcW w:w="2395" w:type="dxa"/>
            <w:shd w:val="clear" w:color="000000" w:fill="1F497D"/>
          </w:tcPr>
          <w:p w:rsidRPr="00F31A99" w:rsidR="00F31A99" w:rsidP="00F31A99" w:rsidRDefault="00F31A99" w14:paraId="63558F83" w14:textId="77777777">
            <w:pPr>
              <w:autoSpaceDN w:val="0"/>
              <w:jc w:val="center"/>
              <w:rPr>
                <w:rFonts w:ascii="Times New Roman" w:hAnsi="Times New Roman" w:eastAsia="Calibri" w:cs="Times New Roman"/>
                <w:bCs/>
                <w:u w:color="000000"/>
                <w:lang w:eastAsia="es-CR"/>
              </w:rPr>
            </w:pPr>
            <w:r w:rsidRPr="00F31A99">
              <w:rPr>
                <w:rFonts w:ascii="Times New Roman" w:hAnsi="Times New Roman" w:eastAsia="Calibri" w:cs="Times New Roman"/>
                <w:bCs/>
                <w:u w:color="000000"/>
                <w:lang w:eastAsia="es-CR"/>
              </w:rPr>
              <w:t>Observaciones</w:t>
            </w:r>
          </w:p>
        </w:tc>
      </w:tr>
      <w:tr w:rsidRPr="00F31A99" w:rsidR="00AE1B2B" w:rsidTr="00A306B2" w14:paraId="4E717C65" w14:textId="77777777">
        <w:trPr>
          <w:trHeight w:val="1971"/>
          <w:jc w:val="center"/>
        </w:trPr>
        <w:tc>
          <w:tcPr>
            <w:tcW w:w="1619" w:type="dxa"/>
            <w:shd w:val="clear" w:color="000000" w:fill="FFFFFF"/>
            <w:noWrap/>
            <w:vAlign w:val="center"/>
          </w:tcPr>
          <w:p w:rsidRPr="00F31A99" w:rsidR="00F31A99" w:rsidP="00F31A99" w:rsidRDefault="00F31A99" w14:paraId="245C0792" w14:textId="77777777">
            <w:pPr>
              <w:autoSpaceDN w:val="0"/>
              <w:jc w:val="both"/>
              <w:rPr>
                <w:rFonts w:ascii="Times New Roman" w:hAnsi="Times New Roman" w:eastAsia="Calibri" w:cs="Times New Roman"/>
                <w:u w:color="000000"/>
                <w:lang w:eastAsia="es-CR"/>
              </w:rPr>
            </w:pPr>
            <w:r w:rsidRPr="00F31A99">
              <w:rPr>
                <w:rFonts w:ascii="Times New Roman" w:hAnsi="Times New Roman" w:eastAsia="Calibri" w:cs="Times New Roman"/>
                <w:u w:color="000000"/>
              </w:rPr>
              <w:t>Programa de Justicia Restaurativa</w:t>
            </w:r>
          </w:p>
        </w:tc>
        <w:tc>
          <w:tcPr>
            <w:tcW w:w="1297" w:type="dxa"/>
            <w:shd w:val="clear" w:color="000000" w:fill="FFFFFF"/>
            <w:noWrap/>
            <w:vAlign w:val="center"/>
          </w:tcPr>
          <w:p w:rsidRPr="00F31A99" w:rsidR="00F31A99" w:rsidP="00F31A99" w:rsidRDefault="00F31A99" w14:paraId="799B3983" w14:textId="77777777">
            <w:pPr>
              <w:autoSpaceDN w:val="0"/>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rPr>
              <w:t>10701 Actividades de Capacitación</w:t>
            </w:r>
          </w:p>
        </w:tc>
        <w:tc>
          <w:tcPr>
            <w:tcW w:w="907" w:type="dxa"/>
            <w:shd w:val="clear" w:color="000000" w:fill="FFFFFF"/>
            <w:noWrap/>
            <w:vAlign w:val="center"/>
          </w:tcPr>
          <w:p w:rsidRPr="00F31A99" w:rsidR="00F31A99" w:rsidP="00F31A99" w:rsidRDefault="00F31A99" w14:paraId="52FA4FC0" w14:textId="77777777">
            <w:pPr>
              <w:autoSpaceDN w:val="0"/>
              <w:jc w:val="center"/>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¢1.581.600</w:t>
            </w:r>
          </w:p>
        </w:tc>
        <w:tc>
          <w:tcPr>
            <w:tcW w:w="3700" w:type="dxa"/>
            <w:shd w:val="clear" w:color="000000" w:fill="FFFFFF"/>
            <w:noWrap/>
            <w:vAlign w:val="center"/>
          </w:tcPr>
          <w:p w:rsidRPr="00F31A99" w:rsidR="00F31A99" w:rsidP="00F31A99" w:rsidRDefault="00F31A99" w14:paraId="67D247A6" w14:textId="77777777">
            <w:pPr>
              <w:autoSpaceDN w:val="0"/>
              <w:jc w:val="both"/>
              <w:rPr>
                <w:rFonts w:ascii="Times New Roman" w:hAnsi="Times New Roman" w:eastAsia="Calibri" w:cs="Times New Roman"/>
                <w:u w:color="000000"/>
                <w:lang w:eastAsia="es-CR"/>
              </w:rPr>
            </w:pPr>
            <w:r w:rsidRPr="00F31A99">
              <w:rPr>
                <w:rFonts w:ascii="Times New Roman" w:hAnsi="Times New Roman" w:eastAsia="Calibri" w:cs="Times New Roman"/>
                <w:u w:color="000000"/>
                <w:lang w:eastAsia="es-CR"/>
              </w:rPr>
              <w:t>Para capacitaciones en nuevos ámbitos de aplicación del proceso restaurativo, por ejemplo: contravenciones, ejecución de la pena, población indígena. Esto en cumplimiento a la Ley de Justicia Restaurativa sobre ampliación de cobertura a nivel nacional, así como los compromisos institucionales, como el cumplimiento de los ODS y acuerdos de acompañamiento de poblaciones vulnerables. Para el 2022 no se cuenta con proyectos de cooperación internacional, los cuales en su mayoría han contribuido en las capacitaciones sobre Justicia Restaurativa. Adicionalmente, el Plan Anual Operativo contempla la realización del Tercer Congreso Internacional de Justicia Restaurativa y la actividad formativa en conmemoración del décimo aniversario de la implementación de Justicia Restaurativa en el Poder Judicial de Costa Rica. Por último, se tiene la necesidad del desarrollo de la actividad formativa para los Mentores Judiciales, los cuales darán acompañamiento a las personas menores de edad que tienen medidas alternas. </w:t>
            </w:r>
          </w:p>
        </w:tc>
        <w:tc>
          <w:tcPr>
            <w:tcW w:w="2395" w:type="dxa"/>
            <w:shd w:val="clear" w:color="000000" w:fill="FFFFFF"/>
          </w:tcPr>
          <w:p w:rsidRPr="00F31A99" w:rsidR="00F31A99" w:rsidP="00F31A99" w:rsidRDefault="00F31A99" w14:paraId="09138F6A" w14:textId="77777777">
            <w:pPr>
              <w:autoSpaceDN w:val="0"/>
              <w:jc w:val="both"/>
              <w:rPr>
                <w:rFonts w:ascii="Times New Roman" w:hAnsi="Times New Roman" w:eastAsia="Calibri" w:cs="Times New Roman"/>
                <w:highlight w:val="yellow"/>
                <w:u w:color="000000"/>
                <w:lang w:eastAsia="es-CR"/>
              </w:rPr>
            </w:pPr>
            <w:r w:rsidRPr="00F31A99">
              <w:rPr>
                <w:rFonts w:ascii="Times New Roman" w:hAnsi="Times New Roman" w:eastAsia="Calibri" w:cs="Times New Roman"/>
                <w:u w:color="000000"/>
                <w:lang w:eastAsia="es-CR"/>
              </w:rPr>
              <w:t>Con respecto a la ejecución presupuestaria del 2020 se muestra en ¢0. Para el 2021 se aprobaron en esta subpartida ¢218.400 y para el 2022 solicitan un total de ¢1.800.000, de los cuales ¢218.400 se encuentran incluidos en el SIGA y el monto restante es el que se solicita como requerimiento adicional.</w:t>
            </w:r>
          </w:p>
        </w:tc>
      </w:tr>
    </w:tbl>
    <w:p w:rsidRPr="00F31A99" w:rsidR="00F31A99" w:rsidP="00F31A99" w:rsidRDefault="00F31A99" w14:paraId="72BE12F1" w14:textId="77777777">
      <w:pPr>
        <w:autoSpaceDN w:val="0"/>
        <w:spacing w:line="360" w:lineRule="auto"/>
        <w:jc w:val="both"/>
        <w:rPr>
          <w:rFonts w:ascii="Times New Roman" w:hAnsi="Times New Roman" w:eastAsia="Calibri" w:cs="Times New Roman"/>
          <w:b/>
          <w:sz w:val="24"/>
          <w:u w:color="000000"/>
        </w:rPr>
      </w:pPr>
    </w:p>
    <w:p w:rsidRPr="00F31A99" w:rsidR="00F31A99" w:rsidP="00F31A99" w:rsidRDefault="00F31A99" w14:paraId="00E9A91B"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De aprobarse este requerimiento adicional, la subpartida a nivel institucional siempre presentaría un decrecimiento para el 2022, que en este caso sería de un 3% respecto al total aprobado para el 2021 con lo que ya no se estaría cumpliendo el límite máximo del menos 4% respecto al presupuesto del 2021, según lo acordado por Corte Plena. </w:t>
      </w:r>
    </w:p>
    <w:p w:rsidRPr="00F31A99" w:rsidR="00F31A99" w:rsidP="00F31A99" w:rsidRDefault="00F31A99" w14:paraId="1F092689"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3D181250" w14:textId="77777777">
      <w:pPr>
        <w:numPr>
          <w:ilvl w:val="0"/>
          <w:numId w:val="9"/>
        </w:numPr>
        <w:autoSpaceDN w:val="0"/>
        <w:ind w:left="851" w:right="851" w:firstLine="720"/>
        <w:rPr>
          <w:rFonts w:ascii="Times New Roman" w:hAnsi="Times New Roman" w:eastAsia="Times New Roman" w:cs="Times New Roman"/>
          <w:b/>
          <w:bCs/>
          <w:sz w:val="26"/>
          <w:szCs w:val="26"/>
          <w:u w:color="000000"/>
          <w:lang w:eastAsia="es-ES"/>
        </w:rPr>
      </w:pPr>
      <w:r w:rsidRPr="00F31A99">
        <w:rPr>
          <w:rFonts w:ascii="Times New Roman" w:hAnsi="Times New Roman" w:eastAsia="Times New Roman" w:cs="Times New Roman"/>
          <w:b/>
          <w:bCs/>
          <w:sz w:val="26"/>
          <w:szCs w:val="26"/>
          <w:u w:color="000000"/>
          <w:lang w:eastAsia="es-ES"/>
        </w:rPr>
        <w:t xml:space="preserve">Subpartida 10702 Actividades Protocolarias y Sociales </w:t>
      </w:r>
    </w:p>
    <w:p w:rsidRPr="00F31A99" w:rsidR="00F31A99" w:rsidP="00F31A99" w:rsidRDefault="00F31A99" w14:paraId="5F836369" w14:textId="77777777">
      <w:pPr>
        <w:autoSpaceDN w:val="0"/>
        <w:spacing w:line="360" w:lineRule="auto"/>
        <w:jc w:val="both"/>
        <w:rPr>
          <w:rFonts w:ascii="Times New Roman" w:hAnsi="Times New Roman" w:eastAsia="Calibri" w:cs="Times New Roman"/>
          <w:bCs/>
          <w:sz w:val="24"/>
          <w:u w:color="000000"/>
        </w:rPr>
      </w:pPr>
    </w:p>
    <w:p w:rsidRPr="00F31A99" w:rsidR="00F31A99" w:rsidP="00F31A99" w:rsidRDefault="00F31A99" w14:paraId="4E899B4B" w14:textId="77777777">
      <w:pPr>
        <w:autoSpaceDN w:val="0"/>
        <w:rPr>
          <w:rFonts w:ascii="Times New Roman" w:hAnsi="Times New Roman" w:eastAsia="Calibri" w:cs="Times New Roman"/>
          <w:b/>
          <w:bCs/>
          <w:u w:color="000000"/>
        </w:rPr>
      </w:pPr>
      <w:r w:rsidRPr="00F31A99">
        <w:rPr>
          <w:rFonts w:ascii="Times New Roman" w:hAnsi="Times New Roman" w:eastAsia="Calibri" w:cs="Times New Roman"/>
          <w:u w:color="000000"/>
        </w:rPr>
        <w:t>Comportamiento Histórico de la Subpartida</w:t>
      </w:r>
    </w:p>
    <w:p w:rsidRPr="00F31A99" w:rsidR="00F31A99" w:rsidP="00F31A99" w:rsidRDefault="00F31A99" w14:paraId="10177885" w14:textId="77777777">
      <w:pPr>
        <w:autoSpaceDN w:val="0"/>
        <w:rPr>
          <w:rFonts w:ascii="Times New Roman" w:hAnsi="Times New Roman" w:eastAsia="Calibri" w:cs="Times New Roman"/>
          <w:u w:color="000000"/>
        </w:rPr>
      </w:pPr>
    </w:p>
    <w:p w:rsidRPr="00F31A99" w:rsidR="00F31A99" w:rsidP="00F31A99" w:rsidRDefault="00F31A99" w14:paraId="6F774BD9" w14:textId="77777777">
      <w:pPr>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Tabla 5. Comparativo 2018 – 2022 del Monto Formulado</w:t>
      </w:r>
    </w:p>
    <w:p w:rsidRPr="00F31A99" w:rsidR="00F31A99" w:rsidP="00F31A99" w:rsidRDefault="00F31A99" w14:paraId="4EA5B340" w14:textId="77777777">
      <w:pPr>
        <w:autoSpaceDN w:val="0"/>
        <w:rPr>
          <w:rFonts w:ascii="Times New Roman" w:hAnsi="Times New Roman" w:eastAsia="Calibri" w:cs="Times New Roman"/>
          <w:bCs/>
          <w:szCs w:val="20"/>
          <w:u w:color="000000"/>
        </w:rPr>
      </w:pPr>
      <w:r w:rsidRPr="00F31A99">
        <w:rPr>
          <w:rFonts w:ascii="Times New Roman" w:hAnsi="Times New Roman" w:eastAsia="Calibri" w:cs="Times New Roman"/>
          <w:bCs/>
          <w:szCs w:val="20"/>
          <w:u w:color="000000"/>
        </w:rPr>
        <w:t xml:space="preserve"> </w:t>
      </w:r>
    </w:p>
    <w:tbl>
      <w:tblPr>
        <w:tblW w:w="7827" w:type="dxa"/>
        <w:jc w:val="center"/>
        <w:tblCellMar>
          <w:left w:w="70" w:type="dxa"/>
          <w:right w:w="70" w:type="dxa"/>
        </w:tblCellMar>
        <w:tblLook w:val="04A0" w:firstRow="1" w:lastRow="0" w:firstColumn="1" w:lastColumn="0" w:noHBand="0" w:noVBand="1"/>
      </w:tblPr>
      <w:tblGrid>
        <w:gridCol w:w="1897"/>
        <w:gridCol w:w="1186"/>
        <w:gridCol w:w="1186"/>
        <w:gridCol w:w="1186"/>
        <w:gridCol w:w="1186"/>
        <w:gridCol w:w="1186"/>
      </w:tblGrid>
      <w:tr w:rsidRPr="00F31A99" w:rsidR="00AE1B2B" w:rsidTr="00A306B2" w14:paraId="37E57A86" w14:textId="77777777">
        <w:trPr>
          <w:trHeight w:val="269"/>
          <w:jc w:val="center"/>
        </w:trPr>
        <w:tc>
          <w:tcPr>
            <w:tcW w:w="1897" w:type="dxa"/>
            <w:tcBorders>
              <w:top w:val="nil"/>
              <w:left w:val="nil"/>
              <w:bottom w:val="single" w:color="8EA9DB" w:sz="4" w:space="0"/>
              <w:right w:val="nil"/>
            </w:tcBorders>
            <w:shd w:val="clear" w:color="auto" w:fill="auto"/>
            <w:noWrap/>
            <w:vAlign w:val="bottom"/>
            <w:hideMark/>
          </w:tcPr>
          <w:p w:rsidRPr="00F31A99" w:rsidR="00F31A99" w:rsidP="00F31A99" w:rsidRDefault="00F31A99" w14:paraId="45DA7BFC"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Etiquetas de fila</w:t>
            </w:r>
          </w:p>
        </w:tc>
        <w:tc>
          <w:tcPr>
            <w:tcW w:w="1186" w:type="dxa"/>
            <w:tcBorders>
              <w:top w:val="nil"/>
              <w:left w:val="nil"/>
              <w:bottom w:val="single" w:color="8EA9DB" w:sz="4" w:space="0"/>
              <w:right w:val="nil"/>
            </w:tcBorders>
            <w:vAlign w:val="bottom"/>
          </w:tcPr>
          <w:p w:rsidRPr="00F31A99" w:rsidR="00F31A99" w:rsidP="00F31A99" w:rsidRDefault="00F31A99" w14:paraId="69D3554D"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2018</w:t>
            </w:r>
          </w:p>
        </w:tc>
        <w:tc>
          <w:tcPr>
            <w:tcW w:w="1186" w:type="dxa"/>
            <w:tcBorders>
              <w:top w:val="nil"/>
              <w:left w:val="nil"/>
              <w:bottom w:val="single" w:color="8EA9DB" w:sz="4" w:space="0"/>
              <w:right w:val="nil"/>
            </w:tcBorders>
            <w:vAlign w:val="bottom"/>
          </w:tcPr>
          <w:p w:rsidRPr="00F31A99" w:rsidR="00F31A99" w:rsidP="00F31A99" w:rsidRDefault="00F31A99" w14:paraId="6B7C543F"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2019</w:t>
            </w:r>
          </w:p>
        </w:tc>
        <w:tc>
          <w:tcPr>
            <w:tcW w:w="1186" w:type="dxa"/>
            <w:tcBorders>
              <w:top w:val="nil"/>
              <w:left w:val="nil"/>
              <w:bottom w:val="single" w:color="8EA9DB" w:sz="4" w:space="0"/>
              <w:right w:val="nil"/>
            </w:tcBorders>
            <w:vAlign w:val="bottom"/>
          </w:tcPr>
          <w:p w:rsidRPr="00F31A99" w:rsidR="00F31A99" w:rsidP="00F31A99" w:rsidRDefault="00F31A99" w14:paraId="1BB8D699"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2020</w:t>
            </w:r>
          </w:p>
        </w:tc>
        <w:tc>
          <w:tcPr>
            <w:tcW w:w="1186" w:type="dxa"/>
            <w:tcBorders>
              <w:top w:val="nil"/>
              <w:left w:val="nil"/>
              <w:bottom w:val="single" w:color="8EA9DB" w:sz="4" w:space="0"/>
              <w:right w:val="nil"/>
            </w:tcBorders>
            <w:vAlign w:val="bottom"/>
          </w:tcPr>
          <w:p w:rsidRPr="00F31A99" w:rsidR="00F31A99" w:rsidP="00F31A99" w:rsidRDefault="00F31A99" w14:paraId="1D0D59AA"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2021</w:t>
            </w:r>
          </w:p>
        </w:tc>
        <w:tc>
          <w:tcPr>
            <w:tcW w:w="1186" w:type="dxa"/>
            <w:tcBorders>
              <w:top w:val="nil"/>
              <w:left w:val="nil"/>
              <w:bottom w:val="single" w:color="8EA9DB" w:sz="4" w:space="0"/>
              <w:right w:val="nil"/>
            </w:tcBorders>
            <w:shd w:val="clear" w:color="auto" w:fill="auto"/>
            <w:noWrap/>
            <w:vAlign w:val="bottom"/>
          </w:tcPr>
          <w:p w:rsidRPr="00F31A99" w:rsidR="00F31A99" w:rsidP="00F31A99" w:rsidRDefault="00F31A99" w14:paraId="24359D6F" w14:textId="77777777">
            <w:pPr>
              <w:autoSpaceDN w:val="0"/>
              <w:jc w:val="center"/>
              <w:rPr>
                <w:rFonts w:ascii="Times New Roman" w:hAnsi="Times New Roman" w:eastAsia="Times New Roman" w:cs="Times New Roman"/>
                <w:b/>
                <w:bCs/>
                <w:sz w:val="18"/>
                <w:szCs w:val="18"/>
                <w:u w:color="000000"/>
                <w:lang w:eastAsia="es-CR"/>
              </w:rPr>
            </w:pPr>
            <w:r w:rsidRPr="00F31A99">
              <w:rPr>
                <w:rFonts w:ascii="Times New Roman" w:hAnsi="Times New Roman" w:eastAsia="Times New Roman" w:cs="Times New Roman"/>
                <w:b/>
                <w:bCs/>
                <w:sz w:val="18"/>
                <w:szCs w:val="18"/>
                <w:u w:color="000000"/>
                <w:lang w:eastAsia="es-CR"/>
              </w:rPr>
              <w:t>2022</w:t>
            </w:r>
          </w:p>
        </w:tc>
      </w:tr>
      <w:tr w:rsidRPr="00F31A99" w:rsidR="00AE1B2B" w:rsidTr="00A306B2" w14:paraId="76CAFC23" w14:textId="77777777">
        <w:trPr>
          <w:trHeight w:val="269"/>
          <w:jc w:val="center"/>
        </w:trPr>
        <w:tc>
          <w:tcPr>
            <w:tcW w:w="1897" w:type="dxa"/>
            <w:tcBorders>
              <w:top w:val="nil"/>
              <w:left w:val="nil"/>
              <w:bottom w:val="nil"/>
              <w:right w:val="nil"/>
            </w:tcBorders>
            <w:shd w:val="clear" w:color="000000" w:fill="FFFFFF"/>
            <w:noWrap/>
            <w:vAlign w:val="bottom"/>
            <w:hideMark/>
          </w:tcPr>
          <w:p w:rsidRPr="00F31A99" w:rsidR="00F31A99" w:rsidP="00F31A99" w:rsidRDefault="00F31A99" w14:paraId="799A404A" w14:textId="77777777">
            <w:pPr>
              <w:autoSpaceDN w:val="0"/>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Monto</w:t>
            </w:r>
          </w:p>
        </w:tc>
        <w:tc>
          <w:tcPr>
            <w:tcW w:w="1186" w:type="dxa"/>
            <w:tcBorders>
              <w:top w:val="nil"/>
              <w:left w:val="nil"/>
              <w:bottom w:val="nil"/>
              <w:right w:val="nil"/>
            </w:tcBorders>
            <w:vAlign w:val="bottom"/>
          </w:tcPr>
          <w:p w:rsidRPr="00F31A99" w:rsidR="00F31A99" w:rsidP="00F31A99" w:rsidRDefault="00F31A99" w14:paraId="2DA16061" w14:textId="77777777">
            <w:pPr>
              <w:autoSpaceDN w:val="0"/>
              <w:jc w:val="right"/>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 xml:space="preserve">35.008.600 </w:t>
            </w:r>
          </w:p>
        </w:tc>
        <w:tc>
          <w:tcPr>
            <w:tcW w:w="1186" w:type="dxa"/>
            <w:tcBorders>
              <w:top w:val="nil"/>
              <w:left w:val="nil"/>
              <w:bottom w:val="nil"/>
              <w:right w:val="nil"/>
            </w:tcBorders>
            <w:vAlign w:val="bottom"/>
          </w:tcPr>
          <w:p w:rsidRPr="00F31A99" w:rsidR="00F31A99" w:rsidP="00F31A99" w:rsidRDefault="00F31A99" w14:paraId="22FB28B4" w14:textId="77777777">
            <w:pPr>
              <w:autoSpaceDN w:val="0"/>
              <w:jc w:val="right"/>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 xml:space="preserve">17.504.408 </w:t>
            </w:r>
          </w:p>
        </w:tc>
        <w:tc>
          <w:tcPr>
            <w:tcW w:w="1186" w:type="dxa"/>
            <w:tcBorders>
              <w:top w:val="nil"/>
              <w:left w:val="nil"/>
              <w:bottom w:val="nil"/>
              <w:right w:val="nil"/>
            </w:tcBorders>
            <w:vAlign w:val="bottom"/>
          </w:tcPr>
          <w:p w:rsidRPr="00F31A99" w:rsidR="00F31A99" w:rsidP="00F31A99" w:rsidRDefault="00F31A99" w14:paraId="18555577" w14:textId="77777777">
            <w:pPr>
              <w:autoSpaceDN w:val="0"/>
              <w:jc w:val="right"/>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 xml:space="preserve">19.483.675 </w:t>
            </w:r>
          </w:p>
        </w:tc>
        <w:tc>
          <w:tcPr>
            <w:tcW w:w="1186" w:type="dxa"/>
            <w:tcBorders>
              <w:top w:val="nil"/>
              <w:left w:val="nil"/>
              <w:bottom w:val="nil"/>
              <w:right w:val="nil"/>
            </w:tcBorders>
            <w:vAlign w:val="bottom"/>
          </w:tcPr>
          <w:p w:rsidRPr="00F31A99" w:rsidR="00F31A99" w:rsidP="00F31A99" w:rsidRDefault="00F31A99" w14:paraId="1CBC6211" w14:textId="77777777">
            <w:pPr>
              <w:autoSpaceDN w:val="0"/>
              <w:jc w:val="right"/>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 xml:space="preserve">11.414.113 </w:t>
            </w:r>
          </w:p>
        </w:tc>
        <w:tc>
          <w:tcPr>
            <w:tcW w:w="1186" w:type="dxa"/>
            <w:tcBorders>
              <w:top w:val="nil"/>
              <w:left w:val="nil"/>
              <w:bottom w:val="nil"/>
              <w:right w:val="nil"/>
            </w:tcBorders>
            <w:shd w:val="clear" w:color="auto" w:fill="auto"/>
            <w:noWrap/>
            <w:vAlign w:val="bottom"/>
          </w:tcPr>
          <w:p w:rsidRPr="00F31A99" w:rsidR="00F31A99" w:rsidP="00F31A99" w:rsidRDefault="00F31A99" w14:paraId="020AE39F" w14:textId="77777777">
            <w:pPr>
              <w:autoSpaceDN w:val="0"/>
              <w:jc w:val="right"/>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t>10.687.215</w:t>
            </w:r>
          </w:p>
        </w:tc>
      </w:tr>
      <w:tr w:rsidRPr="00F31A99" w:rsidR="00AE1B2B" w:rsidTr="00A306B2" w14:paraId="05DD70C0" w14:textId="77777777">
        <w:trPr>
          <w:trHeight w:val="269"/>
          <w:jc w:val="center"/>
        </w:trPr>
        <w:tc>
          <w:tcPr>
            <w:tcW w:w="1897" w:type="dxa"/>
            <w:tcBorders>
              <w:top w:val="nil"/>
              <w:left w:val="nil"/>
              <w:bottom w:val="single" w:color="1F4E78" w:sz="4" w:space="0"/>
              <w:right w:val="nil"/>
            </w:tcBorders>
            <w:shd w:val="clear" w:color="000000" w:fill="FFFFFF"/>
            <w:noWrap/>
            <w:vAlign w:val="bottom"/>
            <w:hideMark/>
          </w:tcPr>
          <w:p w:rsidRPr="00F31A99" w:rsidR="00F31A99" w:rsidP="00F31A99" w:rsidRDefault="00F31A99" w14:paraId="6437BF74" w14:textId="77777777">
            <w:pPr>
              <w:autoSpaceDN w:val="0"/>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sz w:val="18"/>
                <w:szCs w:val="18"/>
                <w:u w:color="000000"/>
                <w:lang w:eastAsia="es-CR"/>
              </w:rPr>
              <w:lastRenderedPageBreak/>
              <w:t>Variación</w:t>
            </w:r>
          </w:p>
        </w:tc>
        <w:tc>
          <w:tcPr>
            <w:tcW w:w="1186" w:type="dxa"/>
            <w:tcBorders>
              <w:top w:val="nil"/>
              <w:left w:val="nil"/>
              <w:bottom w:val="single" w:color="1F4E78" w:sz="4" w:space="0"/>
              <w:right w:val="nil"/>
            </w:tcBorders>
            <w:shd w:val="clear" w:color="000000" w:fill="FFFFFF"/>
            <w:vAlign w:val="bottom"/>
          </w:tcPr>
          <w:p w:rsidRPr="00F31A99" w:rsidR="00F31A99" w:rsidP="00F31A99" w:rsidRDefault="00F31A99" w14:paraId="49B8B5E8" w14:textId="77777777">
            <w:pPr>
              <w:autoSpaceDN w:val="0"/>
              <w:jc w:val="center"/>
              <w:rPr>
                <w:rFonts w:ascii="Times New Roman" w:hAnsi="Times New Roman" w:eastAsia="Times New Roman" w:cs="Times New Roman"/>
                <w:u w:color="000000"/>
                <w:lang w:eastAsia="es-CR"/>
              </w:rPr>
            </w:pPr>
            <w:r w:rsidRPr="00F31A99">
              <w:rPr>
                <w:rFonts w:ascii="Times New Roman" w:hAnsi="Times New Roman" w:eastAsia="Times New Roman" w:cs="Times New Roman"/>
                <w:u w:color="000000"/>
                <w:lang w:eastAsia="es-CR"/>
              </w:rPr>
              <w:t>-</w:t>
            </w:r>
          </w:p>
        </w:tc>
        <w:tc>
          <w:tcPr>
            <w:tcW w:w="1186" w:type="dxa"/>
            <w:tcBorders>
              <w:top w:val="nil"/>
              <w:left w:val="nil"/>
              <w:bottom w:val="single" w:color="1F4E78" w:sz="4" w:space="0"/>
              <w:right w:val="nil"/>
            </w:tcBorders>
            <w:shd w:val="clear" w:color="000000" w:fill="FFFFFF"/>
            <w:vAlign w:val="bottom"/>
          </w:tcPr>
          <w:p w:rsidRPr="00F31A99" w:rsidR="00F31A99" w:rsidP="00F31A99" w:rsidRDefault="00F31A99" w14:paraId="4E276D48"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sz w:val="18"/>
                <w:szCs w:val="18"/>
                <w:u w:color="000000"/>
                <w:lang w:eastAsia="es-CR"/>
              </w:rPr>
              <w:t xml:space="preserve"> -50,0%</w:t>
            </w:r>
          </w:p>
        </w:tc>
        <w:tc>
          <w:tcPr>
            <w:tcW w:w="1186" w:type="dxa"/>
            <w:tcBorders>
              <w:top w:val="nil"/>
              <w:left w:val="nil"/>
              <w:bottom w:val="single" w:color="1F4E78" w:sz="4" w:space="0"/>
              <w:right w:val="nil"/>
            </w:tcBorders>
            <w:shd w:val="clear" w:color="000000" w:fill="FFFFFF"/>
            <w:vAlign w:val="bottom"/>
          </w:tcPr>
          <w:p w:rsidRPr="00F31A99" w:rsidR="00F31A99" w:rsidP="00F31A99" w:rsidRDefault="00F31A99" w14:paraId="5998417D"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sz w:val="18"/>
                <w:szCs w:val="18"/>
                <w:u w:color="000000"/>
                <w:lang w:eastAsia="es-CR"/>
              </w:rPr>
              <w:t xml:space="preserve"> 11,3%</w:t>
            </w:r>
          </w:p>
        </w:tc>
        <w:tc>
          <w:tcPr>
            <w:tcW w:w="1186" w:type="dxa"/>
            <w:tcBorders>
              <w:top w:val="nil"/>
              <w:left w:val="nil"/>
              <w:bottom w:val="single" w:color="1F4E78" w:sz="4" w:space="0"/>
              <w:right w:val="nil"/>
            </w:tcBorders>
            <w:shd w:val="clear" w:color="000000" w:fill="FFFFFF"/>
            <w:vAlign w:val="bottom"/>
          </w:tcPr>
          <w:p w:rsidRPr="00F31A99" w:rsidR="00F31A99" w:rsidP="00F31A99" w:rsidRDefault="00F31A99" w14:paraId="41154C8D" w14:textId="77777777">
            <w:pPr>
              <w:autoSpaceDN w:val="0"/>
              <w:rPr>
                <w:rFonts w:ascii="Times New Roman" w:hAnsi="Times New Roman" w:eastAsia="Times New Roman" w:cs="Times New Roman"/>
                <w:u w:color="000000"/>
                <w:lang w:eastAsia="es-CR"/>
              </w:rPr>
            </w:pPr>
            <w:r w:rsidRPr="00F31A99">
              <w:rPr>
                <w:rFonts w:ascii="Times New Roman" w:hAnsi="Times New Roman" w:eastAsia="Times New Roman" w:cs="Times New Roman"/>
                <w:sz w:val="18"/>
                <w:szCs w:val="18"/>
                <w:u w:color="000000"/>
                <w:lang w:eastAsia="es-CR"/>
              </w:rPr>
              <w:t xml:space="preserve"> -41,4%</w:t>
            </w:r>
          </w:p>
        </w:tc>
        <w:tc>
          <w:tcPr>
            <w:tcW w:w="1186" w:type="dxa"/>
            <w:tcBorders>
              <w:top w:val="nil"/>
              <w:left w:val="nil"/>
              <w:bottom w:val="single" w:color="1F4E78" w:sz="4" w:space="0"/>
              <w:right w:val="nil"/>
            </w:tcBorders>
            <w:shd w:val="clear" w:color="000000" w:fill="FFFFFF"/>
            <w:noWrap/>
            <w:vAlign w:val="bottom"/>
          </w:tcPr>
          <w:p w:rsidRPr="00F31A99" w:rsidR="00F31A99" w:rsidP="00F31A99" w:rsidRDefault="00F31A99" w14:paraId="69268587" w14:textId="77777777">
            <w:pPr>
              <w:autoSpaceDN w:val="0"/>
              <w:rPr>
                <w:rFonts w:ascii="Times New Roman" w:hAnsi="Times New Roman" w:eastAsia="Times New Roman" w:cs="Times New Roman"/>
                <w:sz w:val="18"/>
                <w:szCs w:val="18"/>
                <w:u w:color="000000"/>
                <w:lang w:eastAsia="es-CR"/>
              </w:rPr>
            </w:pPr>
            <w:r w:rsidRPr="00F31A99">
              <w:rPr>
                <w:rFonts w:ascii="Times New Roman" w:hAnsi="Times New Roman" w:eastAsia="Times New Roman" w:cs="Times New Roman"/>
                <w:u w:color="000000"/>
                <w:lang w:eastAsia="es-CR"/>
              </w:rPr>
              <w:t xml:space="preserve"> </w:t>
            </w:r>
            <w:r w:rsidRPr="00F31A99">
              <w:rPr>
                <w:rFonts w:ascii="Times New Roman" w:hAnsi="Times New Roman" w:eastAsia="Times New Roman" w:cs="Times New Roman"/>
                <w:sz w:val="18"/>
                <w:szCs w:val="18"/>
                <w:u w:color="000000"/>
                <w:lang w:eastAsia="es-CR"/>
              </w:rPr>
              <w:t>-6,4%</w:t>
            </w:r>
          </w:p>
        </w:tc>
      </w:tr>
    </w:tbl>
    <w:p w:rsidRPr="00F31A99" w:rsidR="00F31A99" w:rsidP="00F31A99" w:rsidRDefault="00F31A99" w14:paraId="1B3B2E06" w14:textId="77777777">
      <w:pPr>
        <w:autoSpaceDN w:val="0"/>
        <w:rPr>
          <w:rFonts w:ascii="Times New Roman" w:hAnsi="Times New Roman" w:eastAsia="Calibri" w:cs="Times New Roman"/>
          <w:bCs/>
          <w:sz w:val="20"/>
          <w:szCs w:val="20"/>
          <w:u w:color="000000"/>
        </w:rPr>
      </w:pPr>
      <w:r w:rsidRPr="00F31A99">
        <w:rPr>
          <w:rFonts w:ascii="Times New Roman" w:hAnsi="Times New Roman" w:eastAsia="Calibri" w:cs="Times New Roman"/>
          <w:bCs/>
          <w:szCs w:val="20"/>
          <w:u w:color="000000"/>
        </w:rPr>
        <w:t xml:space="preserve"> </w:t>
      </w:r>
      <w:r w:rsidRPr="00F31A99">
        <w:rPr>
          <w:rFonts w:ascii="Times New Roman" w:hAnsi="Times New Roman" w:eastAsia="Calibri" w:cs="Times New Roman"/>
          <w:bCs/>
          <w:sz w:val="20"/>
          <w:szCs w:val="20"/>
          <w:u w:color="000000"/>
        </w:rPr>
        <w:t>Fuente: SIGA PJ</w:t>
      </w:r>
    </w:p>
    <w:p w:rsidRPr="00F31A99" w:rsidR="00F31A99" w:rsidP="00F31A99" w:rsidRDefault="00F31A99" w14:paraId="48615F77" w14:textId="77777777">
      <w:pPr>
        <w:autoSpaceDN w:val="0"/>
        <w:rPr>
          <w:rFonts w:ascii="Times New Roman" w:hAnsi="Times New Roman" w:eastAsia="Calibri" w:cs="Times New Roman"/>
          <w:u w:color="000000"/>
        </w:rPr>
      </w:pPr>
    </w:p>
    <w:p w:rsidRPr="00F31A99" w:rsidR="00F31A99" w:rsidP="00F31A99" w:rsidRDefault="00F31A99" w14:paraId="5A98366A"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Como puede observarse en la tabla anterior, a partir del 2019 la subpartida se ha mantenido totalmente controlada, a pesar del leve crecimiento que se presentó en el 2020, sin embargo, a partir de 2021 retoma nuevamente la tendencia a la baja, esto dado que a nivel de directrices esta es una de las subpartidas que se encuentra restringida.</w:t>
      </w:r>
    </w:p>
    <w:p w:rsidRPr="00F31A99" w:rsidR="00F31A99" w:rsidP="00F31A99" w:rsidRDefault="00F31A99" w14:paraId="1C6C66B6" w14:textId="77777777">
      <w:pPr>
        <w:autoSpaceDN w:val="0"/>
        <w:rPr>
          <w:rFonts w:ascii="Times New Roman" w:hAnsi="Times New Roman" w:eastAsia="Calibri" w:cs="Times New Roman"/>
          <w:u w:color="000000"/>
        </w:rPr>
      </w:pPr>
    </w:p>
    <w:p w:rsidRPr="00F31A99" w:rsidR="00F31A99" w:rsidP="00F31A99" w:rsidRDefault="00F31A99" w14:paraId="05AD24AB" w14:textId="77777777">
      <w:pPr>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Figura N° 3. Formulación y Ejecución Periodos 2017 – 2021</w:t>
      </w:r>
    </w:p>
    <w:p w:rsidRPr="00F31A99" w:rsidR="00F31A99" w:rsidP="00F31A99" w:rsidRDefault="00F31A99" w14:paraId="5E6471B6" w14:textId="77777777">
      <w:pPr>
        <w:autoSpaceDN w:val="0"/>
        <w:rPr>
          <w:rFonts w:ascii="Times New Roman" w:hAnsi="Times New Roman" w:eastAsia="Times New Roman" w:cs="Times New Roman"/>
          <w:sz w:val="24"/>
          <w:szCs w:val="24"/>
          <w:u w:color="000000"/>
          <w:lang w:eastAsia="es-CR"/>
        </w:rPr>
      </w:pPr>
      <w:r w:rsidRPr="00F31A99">
        <w:rPr>
          <w:rFonts w:ascii="Times New Roman" w:hAnsi="Times New Roman" w:eastAsia="Calibri" w:cs="Times New Roman"/>
          <w:noProof/>
          <w:u w:color="000000"/>
        </w:rPr>
        <w:drawing>
          <wp:inline distT="0" distB="0" distL="0" distR="0" wp14:anchorId="281A992D" wp14:editId="1F7309BF">
            <wp:extent cx="4686300" cy="2725986"/>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22297" cy="2746925"/>
                    </a:xfrm>
                    <a:prstGeom prst="rect">
                      <a:avLst/>
                    </a:prstGeom>
                    <a:noFill/>
                    <a:ln>
                      <a:noFill/>
                    </a:ln>
                  </pic:spPr>
                </pic:pic>
              </a:graphicData>
            </a:graphic>
          </wp:inline>
        </w:drawing>
      </w:r>
    </w:p>
    <w:p w:rsidRPr="00F31A99" w:rsidR="00F31A99" w:rsidP="00F31A99" w:rsidRDefault="00F31A99" w14:paraId="4E6B38CB" w14:textId="77777777">
      <w:pPr>
        <w:autoSpaceDN w:val="0"/>
        <w:rPr>
          <w:rFonts w:ascii="Times New Roman" w:hAnsi="Times New Roman" w:eastAsia="Calibri" w:cs="Times New Roman"/>
          <w:bCs/>
          <w:u w:color="000000"/>
        </w:rPr>
      </w:pPr>
      <w:r w:rsidRPr="00F31A99">
        <w:rPr>
          <w:rFonts w:ascii="Times New Roman" w:hAnsi="Times New Roman" w:eastAsia="Calibri" w:cs="Times New Roman"/>
          <w:u w:color="000000"/>
        </w:rPr>
        <w:t xml:space="preserve"> </w:t>
      </w:r>
      <w:r w:rsidRPr="00F31A99">
        <w:rPr>
          <w:rFonts w:ascii="Times New Roman" w:hAnsi="Times New Roman" w:eastAsia="Calibri" w:cs="Times New Roman"/>
          <w:bCs/>
          <w:u w:color="000000"/>
        </w:rPr>
        <w:t>Fuente: SIGA PJ</w:t>
      </w:r>
    </w:p>
    <w:p w:rsidRPr="00F31A99" w:rsidR="00F31A99" w:rsidP="00F31A99" w:rsidRDefault="00F31A99" w14:paraId="026EB03F"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6B6C14F6"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la figura anterior, se puede observar el comportamiento de la subpartida de Actividades Protocolarias y Sociales, tanto en la formulación, como en la ejecución. De los años que se presentan en el gráfico, el periodo 2018 es el que muestra el punto más alto en la formulación; sin embargo, la ejecución estuvo muy por debajo. A partir del periodo 2019 la subpartida mantiene una formulación más estable en apego de las directrices institucionales. Además, para ese mismo año la ejecución fue muy cercana al monto formulado. Para 2020 la ejecución alcanzó tan sólo el 27,4%, situación provocada notoriamente por los efectos de la Pandemia del Covid-19, motivo de lo cual y por temas de protocolo, se debieron suspender una gran cantidad de actividades que estaban programadas.</w:t>
      </w:r>
    </w:p>
    <w:p w:rsidRPr="00F31A99" w:rsidR="00F31A99" w:rsidP="00F31A99" w:rsidRDefault="00F31A99" w14:paraId="2C6D046D" w14:textId="77777777">
      <w:pPr>
        <w:autoSpaceDN w:val="0"/>
        <w:rPr>
          <w:rFonts w:ascii="Times New Roman" w:hAnsi="Times New Roman" w:eastAsia="Calibri" w:cs="Times New Roman"/>
          <w:u w:color="000000"/>
        </w:rPr>
      </w:pPr>
    </w:p>
    <w:p w:rsidRPr="00F31A99" w:rsidR="00F31A99" w:rsidP="00F31A99" w:rsidRDefault="00F31A99" w14:paraId="6D4F9918" w14:textId="77777777">
      <w:pPr>
        <w:autoSpaceDN w:val="0"/>
        <w:rPr>
          <w:rFonts w:ascii="Times New Roman" w:hAnsi="Times New Roman" w:eastAsia="Calibri" w:cs="Times New Roman"/>
          <w:u w:color="000000"/>
        </w:rPr>
      </w:pPr>
    </w:p>
    <w:p w:rsidRPr="00F31A99" w:rsidR="00F31A99" w:rsidP="00F31A99" w:rsidRDefault="00F31A99" w14:paraId="21B12335"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Ejecución Presupuestaria</w:t>
      </w:r>
    </w:p>
    <w:p w:rsidRPr="00F31A99" w:rsidR="00F31A99" w:rsidP="00F31A99" w:rsidRDefault="00F31A99" w14:paraId="23A07AE7" w14:textId="77777777">
      <w:pPr>
        <w:autoSpaceDN w:val="0"/>
        <w:rPr>
          <w:rFonts w:ascii="Times New Roman" w:hAnsi="Times New Roman" w:eastAsia="Calibri" w:cs="Times New Roman"/>
          <w:u w:color="000000"/>
        </w:rPr>
      </w:pPr>
    </w:p>
    <w:p w:rsidRPr="00F31A99" w:rsidR="00F31A99" w:rsidP="00F31A99" w:rsidRDefault="00F31A99" w14:paraId="5E97B0CE"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lastRenderedPageBreak/>
        <w:t xml:space="preserve">Como se mencionó anteriormente, específicamente la ejecución de la subpartida en los últimos tres años ha sido de 63,8%, en el 2018, 97,4% para el 2019 y 27,4% para el 2020, siendo este último un año excepcional por las razones ya expuestas. El detalle se puede observar a continuación: </w:t>
      </w:r>
    </w:p>
    <w:p w:rsidRPr="00F31A99" w:rsidR="00F31A99" w:rsidP="00F31A99" w:rsidRDefault="00F31A99" w14:paraId="7C66B436" w14:textId="77777777">
      <w:pPr>
        <w:autoSpaceDN w:val="0"/>
        <w:rPr>
          <w:rFonts w:ascii="Times New Roman" w:hAnsi="Times New Roman" w:eastAsia="Calibri" w:cs="Times New Roman"/>
          <w:u w:color="000000"/>
        </w:rPr>
      </w:pPr>
    </w:p>
    <w:p w:rsidRPr="00F31A99" w:rsidR="00F31A99" w:rsidP="00F31A99" w:rsidRDefault="00F31A99" w14:paraId="0B1C729B" w14:textId="77777777">
      <w:pPr>
        <w:autoSpaceDN w:val="0"/>
        <w:ind w:left="851" w:right="851" w:firstLine="709"/>
        <w:jc w:val="both"/>
        <w:rPr>
          <w:rFonts w:ascii="Times New Roman" w:hAnsi="Times New Roman" w:eastAsia="Calibri" w:cs="Times New Roman"/>
          <w:b/>
          <w:sz w:val="24"/>
          <w:u w:color="000000"/>
        </w:rPr>
      </w:pPr>
      <w:r w:rsidRPr="00F31A99">
        <w:rPr>
          <w:rFonts w:ascii="Times New Roman" w:hAnsi="Times New Roman" w:eastAsia="Calibri" w:cs="Times New Roman"/>
          <w:b/>
          <w:sz w:val="24"/>
          <w:u w:color="000000"/>
        </w:rPr>
        <w:t xml:space="preserve"> </w:t>
      </w:r>
      <w:r w:rsidRPr="00F31A99">
        <w:rPr>
          <w:rFonts w:ascii="Times New Roman" w:hAnsi="Times New Roman" w:eastAsia="Calibri" w:cs="Times New Roman"/>
          <w:b/>
          <w:sz w:val="26"/>
          <w:szCs w:val="26"/>
          <w:u w:color="000000"/>
        </w:rPr>
        <w:t>Tabla 6. Ejecución Presupuestaria de la Subpartida 1.07.02 Actividades Protocolarias y Sociales, Periodo 2018 – 2020</w:t>
      </w:r>
    </w:p>
    <w:p w:rsidRPr="00F31A99" w:rsidR="00F31A99" w:rsidP="00F31A99" w:rsidRDefault="00F31A99" w14:paraId="5D6568DE" w14:textId="77777777">
      <w:pPr>
        <w:autoSpaceDN w:val="0"/>
        <w:jc w:val="center"/>
        <w:rPr>
          <w:rFonts w:ascii="Times New Roman" w:hAnsi="Times New Roman" w:eastAsia="Calibri" w:cs="Times New Roman"/>
          <w:bCs/>
          <w:sz w:val="24"/>
          <w:u w:color="000000"/>
        </w:rPr>
      </w:pPr>
    </w:p>
    <w:p w:rsidRPr="00F31A99" w:rsidR="00F31A99" w:rsidP="00F31A99" w:rsidRDefault="00F31A99" w14:paraId="1674EE35" w14:textId="77777777">
      <w:pPr>
        <w:autoSpaceDN w:val="0"/>
        <w:jc w:val="center"/>
        <w:rPr>
          <w:rFonts w:ascii="Times New Roman" w:hAnsi="Times New Roman" w:eastAsia="Calibri" w:cs="Times New Roman"/>
          <w:bCs/>
          <w:sz w:val="24"/>
          <w:u w:color="000000"/>
        </w:rPr>
      </w:pPr>
      <w:r w:rsidRPr="00F31A99">
        <w:rPr>
          <w:rFonts w:ascii="Times New Roman" w:hAnsi="Times New Roman" w:eastAsia="Calibri" w:cs="Times New Roman"/>
          <w:noProof/>
          <w:u w:color="000000"/>
        </w:rPr>
        <w:drawing>
          <wp:inline distT="0" distB="0" distL="0" distR="0" wp14:anchorId="1B49B948" wp14:editId="7655D146">
            <wp:extent cx="3549650" cy="927100"/>
            <wp:effectExtent l="0" t="0" r="0" b="635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549650" cy="927100"/>
                    </a:xfrm>
                    <a:prstGeom prst="rect">
                      <a:avLst/>
                    </a:prstGeom>
                    <a:noFill/>
                    <a:ln>
                      <a:noFill/>
                    </a:ln>
                  </pic:spPr>
                </pic:pic>
              </a:graphicData>
            </a:graphic>
          </wp:inline>
        </w:drawing>
      </w:r>
    </w:p>
    <w:p w:rsidRPr="00F31A99" w:rsidR="00F31A99" w:rsidP="00F31A99" w:rsidRDefault="00F31A99" w14:paraId="1EE32DC4" w14:textId="77777777">
      <w:pPr>
        <w:autoSpaceDN w:val="0"/>
        <w:jc w:val="both"/>
        <w:rPr>
          <w:rFonts w:ascii="Times New Roman" w:hAnsi="Times New Roman" w:eastAsia="Calibri" w:cs="Times New Roman"/>
          <w:bCs/>
          <w:sz w:val="20"/>
          <w:szCs w:val="18"/>
          <w:u w:color="000000"/>
        </w:rPr>
      </w:pPr>
      <w:r w:rsidRPr="00F31A99">
        <w:rPr>
          <w:rFonts w:ascii="Times New Roman" w:hAnsi="Times New Roman" w:eastAsia="Calibri" w:cs="Times New Roman"/>
          <w:bCs/>
          <w:sz w:val="20"/>
          <w:szCs w:val="18"/>
          <w:u w:color="000000"/>
        </w:rPr>
        <w:t xml:space="preserve"> Fuente: Consulta realizada al sistema SIGA PJ el 3-3-2021</w:t>
      </w:r>
    </w:p>
    <w:p w:rsidRPr="00F31A99" w:rsidR="00F31A99" w:rsidP="00F31A99" w:rsidRDefault="00F31A99" w14:paraId="0C5F68C3" w14:textId="77777777">
      <w:pPr>
        <w:autoSpaceDN w:val="0"/>
        <w:jc w:val="center"/>
        <w:rPr>
          <w:rFonts w:ascii="Times New Roman" w:hAnsi="Times New Roman" w:eastAsia="Calibri" w:cs="Times New Roman"/>
          <w:bCs/>
          <w:sz w:val="24"/>
          <w:u w:color="000000"/>
        </w:rPr>
      </w:pPr>
    </w:p>
    <w:p w:rsidRPr="00F31A99" w:rsidR="00F31A99" w:rsidP="00F31A99" w:rsidRDefault="00F31A99" w14:paraId="4342A8ED" w14:textId="77777777">
      <w:pPr>
        <w:autoSpaceDN w:val="0"/>
        <w:jc w:val="center"/>
        <w:rPr>
          <w:rFonts w:ascii="Times New Roman" w:hAnsi="Times New Roman" w:eastAsia="Calibri" w:cs="Times New Roman"/>
          <w:bCs/>
          <w:sz w:val="24"/>
          <w:u w:color="000000"/>
        </w:rPr>
      </w:pPr>
    </w:p>
    <w:p w:rsidRPr="00F31A99" w:rsidR="00F31A99" w:rsidP="00F31A99" w:rsidRDefault="00F31A99" w14:paraId="6F576CC1"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Variación por Programa 2020-2021</w:t>
      </w:r>
    </w:p>
    <w:p w:rsidRPr="00F31A99" w:rsidR="00F31A99" w:rsidP="00F31A99" w:rsidRDefault="00F31A99" w14:paraId="07F40E18" w14:textId="77777777">
      <w:pPr>
        <w:autoSpaceDN w:val="0"/>
        <w:jc w:val="both"/>
        <w:rPr>
          <w:rFonts w:ascii="Times New Roman" w:hAnsi="Times New Roman" w:eastAsia="Calibri" w:cs="Times New Roman"/>
          <w:bCs/>
          <w:sz w:val="24"/>
          <w:highlight w:val="yellow"/>
          <w:u w:color="000000"/>
        </w:rPr>
      </w:pPr>
    </w:p>
    <w:p w:rsidRPr="00F31A99" w:rsidR="00F31A99" w:rsidP="00F31A99" w:rsidRDefault="00F31A99" w14:paraId="38CD6A70"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Al realizar el análisis comparativo por programa presupuestario, se determina que el Programa 926 Dirección, Administración y Otros Órganos de Apoyo, es el que presenta la mayor formulación de recursos en la subpartida de Actividades Protocolarias y Sociales, pero el monto es inferior en 8,4% al aprobado para el 2021, seguido del Programa 929 Ministerio Público y 927 Servicio Jurisdiccional.</w:t>
      </w:r>
    </w:p>
    <w:p w:rsidRPr="00F31A99" w:rsidR="00F31A99" w:rsidP="00F31A99" w:rsidRDefault="00F31A99" w14:paraId="3B791B9C"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p>
    <w:p w:rsidRPr="00F31A99" w:rsidR="00F31A99" w:rsidP="00F31A99" w:rsidRDefault="00F31A99" w14:paraId="3025101B"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la siguiente tabla se muestra el detalle de la variación para cada uno de los programas presupuestarios:</w:t>
      </w:r>
    </w:p>
    <w:p w:rsidRPr="00F31A99" w:rsidR="00F31A99" w:rsidP="00F31A99" w:rsidRDefault="00F31A99" w14:paraId="18E7ACE2" w14:textId="77777777">
      <w:pPr>
        <w:autoSpaceDN w:val="0"/>
        <w:spacing w:line="360" w:lineRule="auto"/>
        <w:jc w:val="both"/>
        <w:rPr>
          <w:rFonts w:ascii="Times New Roman" w:hAnsi="Times New Roman" w:eastAsia="Calibri" w:cs="Times New Roman"/>
          <w:sz w:val="24"/>
          <w:szCs w:val="24"/>
          <w:u w:color="000000"/>
        </w:rPr>
      </w:pPr>
    </w:p>
    <w:p w:rsidRPr="00F31A99" w:rsidR="00F31A99" w:rsidP="00F31A99" w:rsidRDefault="00F31A99" w14:paraId="0AE0221C" w14:textId="77777777">
      <w:pPr>
        <w:autoSpaceDN w:val="0"/>
        <w:jc w:val="both"/>
        <w:rPr>
          <w:rFonts w:ascii="Times New Roman" w:hAnsi="Times New Roman" w:eastAsia="Calibri" w:cs="Times New Roman"/>
          <w:b/>
          <w:sz w:val="24"/>
          <w:u w:color="000000"/>
        </w:rPr>
      </w:pPr>
      <w:r w:rsidRPr="00F31A99">
        <w:rPr>
          <w:rFonts w:ascii="Times New Roman" w:hAnsi="Times New Roman" w:eastAsia="Calibri" w:cs="Times New Roman"/>
          <w:b/>
          <w:sz w:val="26"/>
          <w:szCs w:val="26"/>
          <w:u w:color="000000"/>
        </w:rPr>
        <w:t>Tabla 7. Variación Formulación por Programa Periodos 2021 – 2022 y Ejecución 2020</w:t>
      </w:r>
      <w:r w:rsidRPr="00F31A99">
        <w:rPr>
          <w:rFonts w:ascii="Times New Roman" w:hAnsi="Times New Roman" w:eastAsia="Calibri" w:cs="Times New Roman"/>
          <w:b/>
          <w:sz w:val="24"/>
          <w:u w:color="000000"/>
        </w:rPr>
        <w:t>.</w:t>
      </w:r>
      <w:r w:rsidRPr="00F31A99">
        <w:rPr>
          <w:rFonts w:ascii="Times New Roman" w:hAnsi="Times New Roman" w:eastAsia="Calibri" w:cs="Times New Roman"/>
          <w:u w:color="000000"/>
        </w:rPr>
        <w:fldChar w:fldCharType="begin"/>
      </w:r>
      <w:r w:rsidRPr="00F31A99">
        <w:rPr>
          <w:rFonts w:ascii="Times New Roman" w:hAnsi="Times New Roman" w:eastAsia="Calibri" w:cs="Times New Roman"/>
          <w:u w:color="000000"/>
        </w:rPr>
        <w:instrText xml:space="preserve"> LINK Excel.Sheet.12 "C:\\Users\\Esteban Ramirez\\Desktop\\SUBPARTIDAS\\ANÁLISIS DE SUBPARTIDAS\\Actividades de Capacitación\\Capacitación.xlsx" VARIACIÓN!R4C2:R11C6 \a \f 4 \h  \* MERGEFORMAT </w:instrText>
      </w:r>
      <w:r w:rsidRPr="00F31A99">
        <w:rPr>
          <w:rFonts w:ascii="Times New Roman" w:hAnsi="Times New Roman" w:eastAsia="Calibri" w:cs="Times New Roman"/>
          <w:u w:color="000000"/>
        </w:rPr>
        <w:fldChar w:fldCharType="separate"/>
      </w:r>
    </w:p>
    <w:p w:rsidRPr="00F31A99" w:rsidR="00F31A99" w:rsidP="00F31A99" w:rsidRDefault="00F31A99" w14:paraId="53895500" w14:textId="77777777">
      <w:pPr>
        <w:autoSpaceDN w:val="0"/>
        <w:rPr>
          <w:rFonts w:ascii="Times New Roman" w:hAnsi="Times New Roman" w:eastAsia="Calibri" w:cs="Times New Roman"/>
          <w:bCs/>
          <w:szCs w:val="20"/>
          <w:u w:color="000000"/>
        </w:rPr>
      </w:pPr>
      <w:r w:rsidRPr="00F31A99">
        <w:rPr>
          <w:rFonts w:ascii="Times New Roman" w:hAnsi="Times New Roman" w:eastAsia="Calibri" w:cs="Times New Roman"/>
          <w:bCs/>
          <w:szCs w:val="20"/>
          <w:u w:color="000000"/>
        </w:rPr>
        <w:fldChar w:fldCharType="end"/>
      </w:r>
      <w:r w:rsidRPr="00F31A99">
        <w:rPr>
          <w:rFonts w:ascii="Times New Roman" w:hAnsi="Times New Roman" w:eastAsia="Calibri" w:cs="Times New Roman"/>
          <w:bCs/>
          <w:szCs w:val="20"/>
          <w:u w:color="000000"/>
        </w:rPr>
        <w:t xml:space="preserve"> </w:t>
      </w:r>
      <w:r w:rsidRPr="00F31A99">
        <w:rPr>
          <w:rFonts w:ascii="Times New Roman" w:hAnsi="Times New Roman" w:eastAsia="Calibri" w:cs="Times New Roman"/>
          <w:noProof/>
          <w:u w:color="000000"/>
        </w:rPr>
        <w:drawing>
          <wp:inline distT="0" distB="0" distL="0" distR="0" wp14:anchorId="554A6DA1" wp14:editId="235C956D">
            <wp:extent cx="5612130" cy="1503680"/>
            <wp:effectExtent l="0" t="0" r="7620" b="127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12130" cy="1503680"/>
                    </a:xfrm>
                    <a:prstGeom prst="rect">
                      <a:avLst/>
                    </a:prstGeom>
                    <a:noFill/>
                    <a:ln>
                      <a:noFill/>
                    </a:ln>
                  </pic:spPr>
                </pic:pic>
              </a:graphicData>
            </a:graphic>
          </wp:inline>
        </w:drawing>
      </w:r>
    </w:p>
    <w:p w:rsidRPr="00F31A99" w:rsidR="00F31A99" w:rsidP="00F31A99" w:rsidRDefault="00F31A99" w14:paraId="568ED01E" w14:textId="77777777">
      <w:pPr>
        <w:autoSpaceDN w:val="0"/>
        <w:rPr>
          <w:rFonts w:ascii="Times New Roman" w:hAnsi="Times New Roman" w:eastAsia="Calibri" w:cs="Times New Roman"/>
          <w:bCs/>
          <w:sz w:val="20"/>
          <w:szCs w:val="18"/>
          <w:u w:color="000000"/>
        </w:rPr>
      </w:pPr>
      <w:r w:rsidRPr="00F31A99">
        <w:rPr>
          <w:rFonts w:ascii="Times New Roman" w:hAnsi="Times New Roman" w:eastAsia="Calibri" w:cs="Times New Roman"/>
          <w:bCs/>
          <w:sz w:val="20"/>
          <w:szCs w:val="18"/>
          <w:u w:color="000000"/>
        </w:rPr>
        <w:t>Fuente: SIGA PJ</w:t>
      </w:r>
    </w:p>
    <w:p w:rsidRPr="00F31A99" w:rsidR="00F31A99" w:rsidP="00F31A99" w:rsidRDefault="00F31A99" w14:paraId="3FD2F70D" w14:textId="77777777">
      <w:pPr>
        <w:autoSpaceDN w:val="0"/>
        <w:jc w:val="center"/>
        <w:rPr>
          <w:rFonts w:ascii="Times New Roman" w:hAnsi="Times New Roman" w:eastAsia="Calibri" w:cs="Times New Roman"/>
          <w:b/>
          <w:sz w:val="24"/>
          <w:u w:color="000000"/>
        </w:rPr>
      </w:pPr>
    </w:p>
    <w:p w:rsidRPr="00F31A99" w:rsidR="00F31A99" w:rsidP="00F31A99" w:rsidRDefault="00F31A99" w14:paraId="1B5C73A2"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 xml:space="preserve">Según se muestra en la figura N° 4, el programa 926 Dirección, Administración y Otros Órganos de Apoyo, es el que formula la </w:t>
      </w:r>
      <w:r w:rsidRPr="00F31A99">
        <w:rPr>
          <w:rFonts w:ascii="Times New Roman" w:hAnsi="Times New Roman" w:eastAsia="Times New Roman" w:cs="Times New Roman"/>
          <w:sz w:val="26"/>
          <w:szCs w:val="26"/>
          <w:u w:color="000000"/>
          <w:lang w:eastAsia="es-ES"/>
        </w:rPr>
        <w:lastRenderedPageBreak/>
        <w:t>mayor cantidad de recursos para el periodo 2022, con un total de ¢5.946.467, lo que representa un 56% del total de los recursos de la subpartida; lo anterior, por cuanto este programa incluye al Despacho de la Presidencia y la Presidencia de la Corte, oficinas que por su particularidad necesitan recursos para la realización de actividades. Seguido del Programa 929 Ministerio Público con un total de ¢3.102.384 lo que representa un 29% de los recursos. En un menor porcentaje los programas 927 Servicio Jurisdiccional, 928 Organismo de Investigación Judicial, y 930 Defensa Pública, en conjunto representan un 15% del total de recursos formulados. El Programa 950 Servicio de Atención y Protección de Víctimas y Testigos, no solicitó presupuesto en esta subpartida.</w:t>
      </w:r>
    </w:p>
    <w:p w:rsidRPr="00F31A99" w:rsidR="00F31A99" w:rsidP="00F31A99" w:rsidRDefault="00F31A99" w14:paraId="44CCD363" w14:textId="77777777">
      <w:pPr>
        <w:autoSpaceDN w:val="0"/>
        <w:spacing w:line="360" w:lineRule="auto"/>
        <w:ind w:firstLine="708"/>
        <w:jc w:val="both"/>
        <w:rPr>
          <w:rFonts w:ascii="Times New Roman" w:hAnsi="Times New Roman" w:eastAsia="Calibri" w:cs="Times New Roman"/>
          <w:bCs/>
          <w:sz w:val="24"/>
          <w:u w:color="000000"/>
        </w:rPr>
      </w:pPr>
    </w:p>
    <w:p w:rsidRPr="00F31A99" w:rsidR="00F31A99" w:rsidP="00F31A99" w:rsidRDefault="00F31A99" w14:paraId="00D64606" w14:textId="77777777">
      <w:pPr>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Figura N° 4. Distribución de Recursos por Programa, para el 2022</w:t>
      </w:r>
    </w:p>
    <w:p w:rsidRPr="00F31A99" w:rsidR="00F31A99" w:rsidP="00F31A99" w:rsidRDefault="00F31A99" w14:paraId="37490B7A" w14:textId="77777777">
      <w:pPr>
        <w:autoSpaceDN w:val="0"/>
        <w:jc w:val="center"/>
        <w:rPr>
          <w:rFonts w:ascii="Times New Roman" w:hAnsi="Times New Roman" w:eastAsia="Calibri" w:cs="Times New Roman"/>
          <w:b/>
          <w:sz w:val="24"/>
          <w:u w:color="000000"/>
        </w:rPr>
      </w:pPr>
      <w:r w:rsidRPr="00F31A99">
        <w:rPr>
          <w:rFonts w:ascii="Times New Roman" w:hAnsi="Times New Roman" w:eastAsia="Calibri" w:cs="Times New Roman"/>
          <w:noProof/>
          <w:u w:color="000000"/>
        </w:rPr>
        <w:drawing>
          <wp:inline distT="0" distB="0" distL="0" distR="0" wp14:anchorId="31DD4B91" wp14:editId="11A8D2C5">
            <wp:extent cx="4457700" cy="2781300"/>
            <wp:effectExtent l="0" t="0" r="0" b="0"/>
            <wp:docPr id="123" name="Gráfico 123">
              <a:extLst xmlns:a="http://schemas.openxmlformats.org/drawingml/2006/main">
                <a:ext uri="{FF2B5EF4-FFF2-40B4-BE49-F238E27FC236}">
                  <a16:creationId xmlns:a16="http://schemas.microsoft.com/office/drawing/2014/main" id="{F85CEC63-B77C-43F4-9911-0BBCACABFA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Pr="00F31A99" w:rsidR="00F31A99" w:rsidP="00F31A99" w:rsidRDefault="00F31A99" w14:paraId="084A231D" w14:textId="77777777">
      <w:pPr>
        <w:autoSpaceDN w:val="0"/>
        <w:ind w:left="851" w:right="851" w:firstLine="709"/>
        <w:rPr>
          <w:rFonts w:ascii="Times New Roman" w:hAnsi="Times New Roman" w:eastAsia="Calibri" w:cs="Times New Roman"/>
          <w:b/>
          <w:bCs/>
          <w:sz w:val="26"/>
          <w:szCs w:val="26"/>
          <w:u w:color="000000"/>
        </w:rPr>
      </w:pPr>
      <w:r w:rsidRPr="00F31A99">
        <w:rPr>
          <w:rFonts w:ascii="Times New Roman" w:hAnsi="Times New Roman" w:eastAsia="Calibri" w:cs="Times New Roman"/>
          <w:b/>
          <w:bCs/>
          <w:sz w:val="26"/>
          <w:szCs w:val="26"/>
          <w:u w:color="000000"/>
        </w:rPr>
        <w:t>Distribución por Centro de Responsabilidad</w:t>
      </w:r>
    </w:p>
    <w:p w:rsidRPr="00F31A99" w:rsidR="00F31A99" w:rsidP="00F31A99" w:rsidRDefault="00F31A99" w14:paraId="1F31BBAC" w14:textId="77777777">
      <w:pPr>
        <w:autoSpaceDN w:val="0"/>
        <w:jc w:val="both"/>
        <w:rPr>
          <w:rFonts w:ascii="Times New Roman" w:hAnsi="Times New Roman" w:eastAsia="Calibri" w:cs="Times New Roman"/>
          <w:bCs/>
          <w:sz w:val="24"/>
          <w:u w:color="000000"/>
        </w:rPr>
      </w:pPr>
    </w:p>
    <w:p w:rsidRPr="00F31A99" w:rsidR="00F31A99" w:rsidP="00F31A99" w:rsidRDefault="00F31A99" w14:paraId="51F9686F"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En la tabla 8 se presentan los Centros de Responsabilidad que para el 2022 son los más representativos dentro de la subpartida.</w:t>
      </w:r>
    </w:p>
    <w:p w:rsidRPr="00F31A99" w:rsidR="00F31A99" w:rsidP="00F31A99" w:rsidRDefault="00F31A99" w14:paraId="682857F1" w14:textId="77777777">
      <w:pPr>
        <w:autoSpaceDN w:val="0"/>
        <w:jc w:val="both"/>
        <w:rPr>
          <w:rFonts w:ascii="Times New Roman" w:hAnsi="Times New Roman" w:eastAsia="Calibri" w:cs="Times New Roman"/>
          <w:bCs/>
          <w:sz w:val="24"/>
          <w:u w:color="000000"/>
        </w:rPr>
      </w:pPr>
    </w:p>
    <w:p w:rsidRPr="00F31A99" w:rsidR="00F31A99" w:rsidP="00F31A99" w:rsidRDefault="00F31A99" w14:paraId="6EC2AEC9" w14:textId="77777777">
      <w:pPr>
        <w:autoSpaceDN w:val="0"/>
        <w:ind w:left="851" w:right="851" w:firstLine="709"/>
        <w:jc w:val="both"/>
        <w:rPr>
          <w:rFonts w:ascii="Times New Roman" w:hAnsi="Times New Roman" w:eastAsia="Calibri" w:cs="Times New Roman"/>
          <w:b/>
          <w:sz w:val="26"/>
          <w:szCs w:val="26"/>
          <w:u w:color="000000"/>
        </w:rPr>
      </w:pPr>
      <w:r w:rsidRPr="00F31A99">
        <w:rPr>
          <w:rFonts w:ascii="Times New Roman" w:hAnsi="Times New Roman" w:eastAsia="Calibri" w:cs="Times New Roman"/>
          <w:b/>
          <w:sz w:val="26"/>
          <w:szCs w:val="26"/>
          <w:u w:color="000000"/>
        </w:rPr>
        <w:t>Tabla 8. Distribución de la Subpartida por Centro de Responsabilidad, Periodo 2022.</w:t>
      </w:r>
    </w:p>
    <w:p w:rsidRPr="00F31A99" w:rsidR="00F31A99" w:rsidP="00F31A99" w:rsidRDefault="00F31A99" w14:paraId="3DB846FC" w14:textId="77777777">
      <w:pPr>
        <w:autoSpaceDN w:val="0"/>
        <w:ind w:left="851" w:right="851" w:firstLine="709"/>
        <w:jc w:val="both"/>
        <w:rPr>
          <w:rFonts w:ascii="Times New Roman" w:hAnsi="Times New Roman" w:eastAsia="Calibri" w:cs="Times New Roman"/>
          <w:b/>
          <w:sz w:val="26"/>
          <w:szCs w:val="26"/>
          <w:u w:color="000000"/>
        </w:rPr>
      </w:pPr>
    </w:p>
    <w:p w:rsidRPr="00F31A99" w:rsidR="00F31A99" w:rsidP="00F31A99" w:rsidRDefault="00F31A99" w14:paraId="61881606" w14:textId="77777777">
      <w:pPr>
        <w:autoSpaceDN w:val="0"/>
        <w:jc w:val="center"/>
        <w:rPr>
          <w:rFonts w:ascii="Times New Roman" w:hAnsi="Times New Roman" w:eastAsia="Calibri" w:cs="Times New Roman"/>
          <w:b/>
          <w:sz w:val="24"/>
          <w:u w:color="000000"/>
        </w:rPr>
      </w:pPr>
      <w:r w:rsidRPr="00F31A99">
        <w:rPr>
          <w:rFonts w:ascii="Times New Roman" w:hAnsi="Times New Roman" w:eastAsia="Calibri" w:cs="Times New Roman"/>
          <w:noProof/>
          <w:u w:color="000000"/>
        </w:rPr>
        <w:lastRenderedPageBreak/>
        <w:drawing>
          <wp:inline distT="0" distB="0" distL="0" distR="0" wp14:anchorId="14AA81EC" wp14:editId="6C46F09B">
            <wp:extent cx="3987800" cy="303530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987800" cy="3035300"/>
                    </a:xfrm>
                    <a:prstGeom prst="rect">
                      <a:avLst/>
                    </a:prstGeom>
                    <a:noFill/>
                    <a:ln>
                      <a:noFill/>
                    </a:ln>
                  </pic:spPr>
                </pic:pic>
              </a:graphicData>
            </a:graphic>
          </wp:inline>
        </w:drawing>
      </w:r>
    </w:p>
    <w:p w:rsidRPr="00F31A99" w:rsidR="00F31A99" w:rsidP="00F31A99" w:rsidRDefault="00F31A99" w14:paraId="3CC1D446" w14:textId="77777777">
      <w:pPr>
        <w:autoSpaceDN w:val="0"/>
        <w:rPr>
          <w:rFonts w:ascii="Times New Roman" w:hAnsi="Times New Roman" w:eastAsia="Calibri" w:cs="Times New Roman"/>
          <w:bCs/>
          <w:sz w:val="20"/>
          <w:szCs w:val="18"/>
          <w:u w:color="000000"/>
        </w:rPr>
      </w:pPr>
      <w:r w:rsidRPr="00F31A99">
        <w:rPr>
          <w:rFonts w:ascii="Times New Roman" w:hAnsi="Times New Roman" w:eastAsia="Calibri" w:cs="Times New Roman"/>
          <w:bCs/>
          <w:sz w:val="20"/>
          <w:szCs w:val="18"/>
          <w:u w:color="000000"/>
        </w:rPr>
        <w:t xml:space="preserve"> Fuente: SIGA PJ</w:t>
      </w:r>
    </w:p>
    <w:p w:rsidRPr="00F31A99" w:rsidR="00F31A99" w:rsidP="00F31A99" w:rsidRDefault="00F31A99" w14:paraId="72F95113" w14:textId="77777777">
      <w:pPr>
        <w:autoSpaceDN w:val="0"/>
        <w:jc w:val="both"/>
        <w:rPr>
          <w:rFonts w:ascii="Times New Roman" w:hAnsi="Times New Roman" w:eastAsia="Calibri" w:cs="Times New Roman"/>
          <w:bCs/>
          <w:sz w:val="24"/>
          <w:u w:color="000000"/>
        </w:rPr>
      </w:pPr>
    </w:p>
    <w:p w:rsidRPr="00F31A99" w:rsidR="00F31A99" w:rsidP="00F31A99" w:rsidRDefault="00F31A99" w14:paraId="61A84953" w14:textId="77777777">
      <w:pPr>
        <w:autoSpaceDN w:val="0"/>
        <w:jc w:val="both"/>
        <w:rPr>
          <w:rFonts w:ascii="Times New Roman" w:hAnsi="Times New Roman" w:eastAsia="Calibri" w:cs="Times New Roman"/>
          <w:bCs/>
          <w:sz w:val="24"/>
          <w:u w:color="000000"/>
        </w:rPr>
      </w:pPr>
    </w:p>
    <w:p w:rsidRPr="00F31A99" w:rsidR="00F31A99" w:rsidP="00F31A99" w:rsidRDefault="00F31A99" w14:paraId="1011E613" w14:textId="77777777">
      <w:pPr>
        <w:tabs>
          <w:tab w:val="left" w:pos="360"/>
        </w:tabs>
        <w:suppressAutoHyphens/>
        <w:autoSpaceDN w:val="0"/>
        <w:ind w:left="851" w:right="851" w:firstLine="357"/>
        <w:jc w:val="both"/>
        <w:rPr>
          <w:rFonts w:ascii="Times New Roman" w:hAnsi="Times New Roman" w:eastAsia="Times New Roman" w:cs="Times New Roman"/>
          <w:sz w:val="26"/>
          <w:szCs w:val="26"/>
          <w:u w:color="000000"/>
          <w:lang w:eastAsia="es-ES"/>
        </w:rPr>
      </w:pPr>
      <w:r w:rsidRPr="00F31A99">
        <w:rPr>
          <w:rFonts w:ascii="Times New Roman" w:hAnsi="Times New Roman" w:eastAsia="Times New Roman" w:cs="Times New Roman"/>
          <w:sz w:val="26"/>
          <w:szCs w:val="26"/>
          <w:u w:color="000000"/>
          <w:lang w:eastAsia="es-ES"/>
        </w:rPr>
        <w:t>Según se muestra en el cuadro anterior, para el periodo 2022 los Centros de Responsabilidad más representativos son el Ministerio Público con ¢3.102.384, Comisiones Institucionales con ¢1.447.903, Presidencia de la Corte con ¢1.327.027, Despacho de la Presidencia con ¢1.212.748 y Escuela Judicial con ¢1.161.452, Centros que en conjunto agrupan un 77% de la totalidad de recursos de la subpartida. Con los recursos solicitados se atienden actividades tales como atención de delegaciones internacionales por parte del Ministerio Público, apertura del año judicial, actos protocolarios con los Presidentes de los Supremos Poderes, graduación de los diferentes Programas de capacitación que imparte la Escuela Judicial y reuniones de las distintas Comisiones a nivel institucional, entre otras.</w:t>
      </w:r>
    </w:p>
    <w:p w:rsidRPr="00F31A99" w:rsidR="00F31A99" w:rsidP="00F31A99" w:rsidRDefault="00F31A99" w14:paraId="19B4101E" w14:textId="77777777">
      <w:pPr>
        <w:autoSpaceDN w:val="0"/>
        <w:spacing w:line="360" w:lineRule="auto"/>
        <w:jc w:val="both"/>
        <w:rPr>
          <w:rFonts w:ascii="Times New Roman" w:hAnsi="Times New Roman" w:eastAsia="Calibri" w:cs="Times New Roman"/>
          <w:b/>
          <w:sz w:val="24"/>
          <w:u w:color="000000"/>
        </w:rPr>
      </w:pPr>
    </w:p>
    <w:p w:rsidRPr="00F31A99" w:rsidR="00F31A99" w:rsidP="00F31A99" w:rsidRDefault="00F31A99" w14:paraId="2BDAFEA1" w14:textId="77777777">
      <w:pPr>
        <w:autoSpaceDN w:val="0"/>
        <w:spacing w:line="360" w:lineRule="auto"/>
        <w:jc w:val="center"/>
        <w:rPr>
          <w:rFonts w:ascii="Times New Roman" w:hAnsi="Times New Roman" w:eastAsia="Calibri" w:cs="Times New Roman"/>
          <w:b/>
          <w:sz w:val="28"/>
          <w:szCs w:val="28"/>
          <w:u w:color="000000"/>
        </w:rPr>
      </w:pPr>
      <w:r w:rsidRPr="00F31A99">
        <w:rPr>
          <w:rFonts w:ascii="Times New Roman" w:hAnsi="Times New Roman" w:eastAsia="Calibri" w:cs="Times New Roman"/>
          <w:b/>
          <w:sz w:val="28"/>
          <w:szCs w:val="28"/>
          <w:u w:color="000000"/>
        </w:rPr>
        <w:t>-0-</w:t>
      </w:r>
    </w:p>
    <w:p w:rsidRPr="00F31A99" w:rsidR="00F31A99" w:rsidP="00F31A99" w:rsidRDefault="00F31A99" w14:paraId="0B673504" w14:textId="77777777">
      <w:pPr>
        <w:autoSpaceDN w:val="0"/>
        <w:spacing w:line="480" w:lineRule="auto"/>
        <w:ind w:firstLine="709"/>
        <w:jc w:val="both"/>
        <w:rPr>
          <w:rFonts w:ascii="Times New Roman" w:hAnsi="Times New Roman" w:eastAsia="Calibri" w:cs="Times New Roman"/>
          <w:sz w:val="28"/>
          <w:szCs w:val="28"/>
          <w:u w:color="000000"/>
        </w:rPr>
      </w:pPr>
      <w:r w:rsidRPr="00F31A99">
        <w:rPr>
          <w:rFonts w:ascii="Times New Roman" w:hAnsi="Times New Roman" w:eastAsia="Calibri" w:cs="Times New Roman"/>
          <w:b/>
          <w:sz w:val="28"/>
          <w:szCs w:val="28"/>
          <w:u w:color="000000"/>
        </w:rPr>
        <w:t>Se acordó:</w:t>
      </w:r>
      <w:r w:rsidRPr="00F31A99">
        <w:rPr>
          <w:rFonts w:ascii="Times New Roman" w:hAnsi="Times New Roman" w:eastAsia="Calibri" w:cs="Times New Roman"/>
          <w:b/>
          <w:i/>
          <w:iCs/>
          <w:sz w:val="28"/>
          <w:szCs w:val="28"/>
          <w:u w:color="000000"/>
        </w:rPr>
        <w:t xml:space="preserve"> </w:t>
      </w:r>
      <w:r w:rsidRPr="00F31A99">
        <w:rPr>
          <w:rFonts w:ascii="Times New Roman" w:hAnsi="Times New Roman" w:eastAsia="Calibri" w:cs="Times New Roman"/>
          <w:b/>
          <w:sz w:val="28"/>
          <w:szCs w:val="28"/>
          <w:u w:color="000000"/>
        </w:rPr>
        <w:t>1)</w:t>
      </w:r>
      <w:r w:rsidRPr="00F31A99">
        <w:rPr>
          <w:rFonts w:ascii="Times New Roman" w:hAnsi="Times New Roman" w:eastAsia="Calibri" w:cs="Times New Roman"/>
          <w:sz w:val="28"/>
          <w:szCs w:val="28"/>
          <w:u w:color="000000"/>
        </w:rPr>
        <w:t xml:space="preserve"> Se dan por conocidos los recursos formulados en las subpartidas 10701 Actividades de Capacitación y 10702 Actividades Protocolarias y Sociales, sin embargo, se estará a la espera del análisis global del presupuesto 2022, para aprobar una propuesta integral que consolide todas </w:t>
      </w:r>
      <w:r w:rsidRPr="00F31A99">
        <w:rPr>
          <w:rFonts w:ascii="Times New Roman" w:hAnsi="Times New Roman" w:eastAsia="Calibri" w:cs="Times New Roman"/>
          <w:sz w:val="28"/>
          <w:szCs w:val="28"/>
          <w:u w:color="000000"/>
        </w:rPr>
        <w:lastRenderedPageBreak/>
        <w:t xml:space="preserve">las necesidades institucionales. </w:t>
      </w:r>
      <w:r w:rsidRPr="00F31A99">
        <w:rPr>
          <w:rFonts w:ascii="Times New Roman" w:hAnsi="Times New Roman" w:eastAsia="Calibri" w:cs="Times New Roman"/>
          <w:b/>
          <w:bCs/>
          <w:sz w:val="28"/>
          <w:szCs w:val="28"/>
          <w:u w:color="000000"/>
        </w:rPr>
        <w:t xml:space="preserve">2) </w:t>
      </w:r>
      <w:r w:rsidRPr="00F31A99">
        <w:rPr>
          <w:rFonts w:ascii="Times New Roman" w:hAnsi="Times New Roman" w:eastAsia="Calibri" w:cs="Times New Roman"/>
          <w:sz w:val="28"/>
          <w:szCs w:val="28"/>
          <w:u w:color="000000"/>
        </w:rPr>
        <w:t xml:space="preserve">Aprobar los requerimientos adicionales solicitados por el Programa de Justicia Restaurativa, en la subpartida 10701 “Actividades de Capacitación” por un total de ¢1.581.600 con lo que la disminución total de la subpartida para el 2022 ya no sería de un 5% sino de un 3%. </w:t>
      </w:r>
      <w:r w:rsidRPr="00F31A99">
        <w:rPr>
          <w:rFonts w:ascii="Times New Roman" w:hAnsi="Times New Roman" w:eastAsia="Calibri" w:cs="Times New Roman"/>
          <w:b/>
          <w:bCs/>
          <w:sz w:val="28"/>
          <w:szCs w:val="28"/>
          <w:u w:color="000000"/>
          <w:bdr w:val="none" w:color="auto" w:sz="0" w:space="0" w:frame="1"/>
          <w:lang w:eastAsia="es-ES"/>
        </w:rPr>
        <w:t>Se declara acuerdo firme</w:t>
      </w:r>
      <w:r w:rsidRPr="00F31A99">
        <w:rPr>
          <w:rFonts w:ascii="Times New Roman" w:hAnsi="Times New Roman" w:eastAsia="Calibri" w:cs="Times New Roman"/>
          <w:sz w:val="28"/>
          <w:szCs w:val="28"/>
          <w:u w:color="000000"/>
          <w:bdr w:val="none" w:color="auto" w:sz="0" w:space="0" w:frame="1"/>
          <w:lang w:eastAsia="es-ES"/>
        </w:rPr>
        <w:t>.</w:t>
      </w:r>
    </w:p>
    <w:p w:rsidRPr="00AE1B2B" w:rsidR="00EC5B94" w:rsidP="00163B94" w:rsidRDefault="009D3FB5" w14:paraId="6D4465D3" w14:textId="12EC93A6">
      <w:pPr>
        <w:pStyle w:val="Ttulo1"/>
        <w:shd w:val="clear" w:color="auto" w:fill="auto"/>
        <w:spacing w:before="120" w:after="120" w:line="360" w:lineRule="auto"/>
        <w:jc w:val="center"/>
        <w:rPr>
          <w:rFonts w:ascii="Times New Roman" w:hAnsi="Times New Roman" w:eastAsia="Times New Roman" w:cs="Times New Roman"/>
          <w:b/>
          <w:bCs/>
          <w:kern w:val="36"/>
          <w:u w:val="single"/>
        </w:rPr>
      </w:pPr>
      <w:r w:rsidRPr="00AE1B2B">
        <w:rPr>
          <w:rFonts w:ascii="Times New Roman" w:hAnsi="Times New Roman" w:eastAsia="Times New Roman" w:cs="Times New Roman"/>
          <w:b/>
          <w:bCs/>
          <w:kern w:val="36"/>
          <w:sz w:val="32"/>
          <w:szCs w:val="32"/>
          <w:u w:val="single"/>
        </w:rPr>
        <w:t>ARTÍCULO XVII</w:t>
      </w:r>
    </w:p>
    <w:p w:rsidRPr="00AE1B2B" w:rsidR="00580F94" w:rsidP="00163B94" w:rsidRDefault="00580F94" w14:paraId="209E18A3" w14:textId="66595952">
      <w:pPr>
        <w:spacing w:before="120" w:after="120"/>
        <w:rPr>
          <w:rFonts w:ascii="Times New Roman" w:hAnsi="Times New Roman" w:cs="Times New Roman"/>
          <w:b/>
          <w:bCs/>
          <w:sz w:val="28"/>
          <w:szCs w:val="28"/>
        </w:rPr>
      </w:pPr>
      <w:r w:rsidRPr="00AE1B2B">
        <w:rPr>
          <w:rFonts w:ascii="Times New Roman" w:hAnsi="Times New Roman" w:cs="Times New Roman"/>
          <w:b/>
          <w:bCs/>
          <w:sz w:val="28"/>
          <w:szCs w:val="28"/>
        </w:rPr>
        <w:t>Documento</w:t>
      </w:r>
      <w:r w:rsidRPr="00AE1B2B" w:rsidR="000458B6">
        <w:rPr>
          <w:rFonts w:ascii="Times New Roman" w:hAnsi="Times New Roman" w:cs="Times New Roman"/>
          <w:b/>
          <w:bCs/>
          <w:sz w:val="28"/>
          <w:szCs w:val="28"/>
        </w:rPr>
        <w:t xml:space="preserve"> N°</w:t>
      </w:r>
      <w:r w:rsidRPr="00AE1B2B">
        <w:rPr>
          <w:rFonts w:ascii="Times New Roman" w:hAnsi="Times New Roman" w:cs="Times New Roman"/>
          <w:b/>
          <w:bCs/>
          <w:sz w:val="28"/>
          <w:szCs w:val="28"/>
        </w:rPr>
        <w:t xml:space="preserve"> </w:t>
      </w:r>
      <w:r w:rsidRPr="00AE1B2B" w:rsidR="0073072F">
        <w:rPr>
          <w:rFonts w:ascii="Times New Roman" w:hAnsi="Times New Roman" w:cs="Times New Roman"/>
          <w:b/>
          <w:bCs/>
          <w:sz w:val="28"/>
          <w:szCs w:val="28"/>
        </w:rPr>
        <w:t>3965-2021</w:t>
      </w:r>
    </w:p>
    <w:p w:rsidRPr="00AE1B2B" w:rsidR="00580F94" w:rsidP="00163B94" w:rsidRDefault="00580F94" w14:paraId="732FA162" w14:textId="77777777">
      <w:pPr>
        <w:spacing w:before="120" w:after="120"/>
        <w:ind w:firstLine="708"/>
        <w:rPr>
          <w:rFonts w:ascii="Times New Roman" w:hAnsi="Times New Roman" w:eastAsia="Times New Roman" w:cs="Times New Roman"/>
          <w:b/>
          <w:bCs/>
          <w:kern w:val="36"/>
          <w:sz w:val="28"/>
          <w:szCs w:val="28"/>
        </w:rPr>
      </w:pPr>
    </w:p>
    <w:p w:rsidRPr="00AE1B2B" w:rsidR="009D3FB5" w:rsidP="00163B94" w:rsidRDefault="009D3FB5" w14:paraId="7D869BB9" w14:textId="6A77C9A5">
      <w:pPr>
        <w:spacing w:before="120" w:after="120" w:line="480" w:lineRule="auto"/>
        <w:ind w:firstLine="709"/>
        <w:jc w:val="both"/>
        <w:rPr>
          <w:rFonts w:ascii="Times New Roman" w:hAnsi="Times New Roman" w:cs="Times New Roman"/>
          <w:sz w:val="28"/>
          <w:szCs w:val="28"/>
        </w:rPr>
      </w:pPr>
      <w:r w:rsidRPr="00AE1B2B">
        <w:rPr>
          <w:rFonts w:ascii="Times New Roman" w:hAnsi="Times New Roman" w:cs="Times New Roman"/>
          <w:sz w:val="28"/>
          <w:szCs w:val="28"/>
        </w:rPr>
        <w:t>En reunión de trabajo de este 16 de abril, la licenciada Nacira Valverde Bermúdez,</w:t>
      </w:r>
      <w:r w:rsidRPr="00AE1B2B">
        <w:rPr>
          <w:rFonts w:ascii="Times New Roman" w:hAnsi="Times New Roman" w:cs="Times New Roman"/>
          <w:sz w:val="28"/>
          <w:szCs w:val="28"/>
          <w:shd w:val="clear" w:color="auto" w:fill="FFFFFF"/>
        </w:rPr>
        <w:t xml:space="preserve"> </w:t>
      </w:r>
      <w:r w:rsidRPr="00AE1B2B">
        <w:rPr>
          <w:rFonts w:ascii="Times New Roman" w:hAnsi="Times New Roman" w:cs="Times New Roman"/>
          <w:sz w:val="28"/>
          <w:szCs w:val="28"/>
        </w:rPr>
        <w:t xml:space="preserve">Directora de Planificación presentó el </w:t>
      </w:r>
      <w:r w:rsidRPr="00AE1B2B">
        <w:rPr>
          <w:rFonts w:ascii="Times New Roman" w:hAnsi="Times New Roman" w:cs="Times New Roman"/>
          <w:b/>
          <w:bCs/>
          <w:sz w:val="28"/>
          <w:szCs w:val="28"/>
        </w:rPr>
        <w:t>Informe 265-PLA-RH-OI-2021</w:t>
      </w:r>
      <w:r w:rsidRPr="00AE1B2B">
        <w:rPr>
          <w:rFonts w:ascii="Times New Roman" w:hAnsi="Times New Roman" w:cs="Times New Roman"/>
          <w:sz w:val="28"/>
          <w:szCs w:val="28"/>
        </w:rPr>
        <w:t xml:space="preserve">, </w:t>
      </w:r>
      <w:bookmarkStart w:name="_Hlk65769650" w:id="17"/>
      <w:r w:rsidRPr="00AE1B2B">
        <w:rPr>
          <w:rFonts w:ascii="Times New Roman" w:hAnsi="Times New Roman" w:cs="Times New Roman"/>
          <w:sz w:val="28"/>
          <w:szCs w:val="28"/>
        </w:rPr>
        <w:t>estudio de Requerimiento Humano sobre la continuidad de las plazas otorgadas como resultado de la promulgación de la Reforma Procesal Laboral</w:t>
      </w:r>
      <w:bookmarkStart w:name="_Hlk65769138" w:id="18"/>
      <w:bookmarkEnd w:id="17"/>
      <w:r w:rsidRPr="00AE1B2B" w:rsidR="000458B6">
        <w:rPr>
          <w:rFonts w:ascii="Times New Roman" w:hAnsi="Times New Roman" w:cs="Times New Roman"/>
          <w:sz w:val="28"/>
          <w:szCs w:val="28"/>
        </w:rPr>
        <w:t>:</w:t>
      </w:r>
    </w:p>
    <w:bookmarkEnd w:id="18"/>
    <w:p w:rsidRPr="00AE1B2B" w:rsidR="009D3FB5" w:rsidP="00163B94" w:rsidRDefault="009D3FB5" w14:paraId="2F0F6B9F" w14:textId="5BCB8209">
      <w:pPr>
        <w:spacing w:before="120" w:after="120"/>
        <w:rPr>
          <w:rFonts w:ascii="Times New Roman" w:hAnsi="Times New Roman" w:cs="Times New Roman"/>
          <w:b/>
          <w:sz w:val="36"/>
          <w:szCs w:val="36"/>
        </w:rPr>
      </w:pPr>
    </w:p>
    <w:tbl>
      <w:tblPr>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1E0" w:firstRow="1" w:lastRow="1" w:firstColumn="1" w:lastColumn="1" w:noHBand="0" w:noVBand="0"/>
      </w:tblPr>
      <w:tblGrid>
        <w:gridCol w:w="2159"/>
        <w:gridCol w:w="3335"/>
        <w:gridCol w:w="1358"/>
        <w:gridCol w:w="1976"/>
      </w:tblGrid>
      <w:tr w:rsidRPr="00AE1B2B" w:rsidR="00AE1B2B" w:rsidTr="000458B6" w14:paraId="55C262E7" w14:textId="77777777">
        <w:trPr>
          <w:trHeight w:val="569"/>
          <w:jc w:val="center"/>
        </w:trPr>
        <w:tc>
          <w:tcPr>
            <w:tcW w:w="3112" w:type="pct"/>
            <w:gridSpan w:val="2"/>
            <w:tcBorders>
              <w:top w:val="single" w:color="000000" w:sz="4" w:space="0"/>
              <w:left w:val="single" w:color="000000" w:sz="4" w:space="0"/>
              <w:bottom w:val="single" w:color="000000" w:sz="4" w:space="0"/>
              <w:right w:val="single" w:color="000000" w:sz="4" w:space="0"/>
            </w:tcBorders>
            <w:shd w:val="clear" w:color="auto" w:fill="000000"/>
            <w:vAlign w:val="center"/>
          </w:tcPr>
          <w:p w:rsidRPr="00AE1B2B" w:rsidR="009D3FB5" w:rsidP="00163B94" w:rsidRDefault="009D3FB5" w14:paraId="7DA089C0" w14:textId="77777777">
            <w:pPr>
              <w:spacing w:before="120" w:after="120"/>
              <w:jc w:val="center"/>
              <w:rPr>
                <w:rFonts w:ascii="Times New Roman" w:hAnsi="Times New Roman" w:cs="Times New Roman"/>
                <w:b/>
              </w:rPr>
            </w:pPr>
            <w:r w:rsidRPr="00AE1B2B">
              <w:rPr>
                <w:rFonts w:ascii="Times New Roman" w:hAnsi="Times New Roman" w:cs="Times New Roman"/>
              </w:rPr>
              <w:br w:type="page"/>
            </w:r>
            <w:r w:rsidRPr="00AE1B2B">
              <w:rPr>
                <w:rFonts w:ascii="Times New Roman" w:hAnsi="Times New Roman" w:cs="Times New Roman"/>
                <w:b/>
              </w:rPr>
              <w:t>Dirección de Planificación</w:t>
            </w:r>
          </w:p>
        </w:tc>
        <w:tc>
          <w:tcPr>
            <w:tcW w:w="769" w:type="pct"/>
            <w:tcBorders>
              <w:top w:val="single" w:color="000000" w:sz="4" w:space="0"/>
              <w:left w:val="single" w:color="000000" w:sz="4" w:space="0"/>
              <w:bottom w:val="single" w:color="000000" w:sz="4" w:space="0"/>
              <w:right w:val="single" w:color="000000" w:sz="4" w:space="0"/>
            </w:tcBorders>
            <w:shd w:val="clear" w:color="auto" w:fill="B3B3B3"/>
            <w:vAlign w:val="center"/>
          </w:tcPr>
          <w:p w:rsidRPr="00AE1B2B" w:rsidR="009D3FB5" w:rsidP="00163B94" w:rsidRDefault="009D3FB5" w14:paraId="12D18689" w14:textId="77777777">
            <w:pPr>
              <w:spacing w:before="120" w:after="120"/>
              <w:jc w:val="right"/>
              <w:rPr>
                <w:rFonts w:ascii="Times New Roman" w:hAnsi="Times New Roman" w:cs="Times New Roman"/>
                <w:b/>
              </w:rPr>
            </w:pPr>
            <w:r w:rsidRPr="00AE1B2B">
              <w:rPr>
                <w:rFonts w:ascii="Times New Roman" w:hAnsi="Times New Roman" w:cs="Times New Roman"/>
                <w:b/>
              </w:rPr>
              <w:t>Fecha:</w:t>
            </w:r>
          </w:p>
        </w:tc>
        <w:tc>
          <w:tcPr>
            <w:tcW w:w="1119" w:type="pct"/>
            <w:tcBorders>
              <w:top w:val="single" w:color="000000" w:sz="4" w:space="0"/>
              <w:left w:val="single" w:color="000000" w:sz="4" w:space="0"/>
              <w:bottom w:val="single" w:color="000000" w:sz="4" w:space="0"/>
              <w:right w:val="single" w:color="000000" w:sz="4" w:space="0"/>
            </w:tcBorders>
            <w:shd w:val="clear" w:color="auto" w:fill="auto"/>
            <w:vAlign w:val="center"/>
          </w:tcPr>
          <w:p w:rsidRPr="00AE1B2B" w:rsidR="009D3FB5" w:rsidP="00163B94" w:rsidRDefault="009D3FB5" w14:paraId="0B22EBF2" w14:textId="77777777">
            <w:pPr>
              <w:spacing w:before="120" w:after="120"/>
              <w:rPr>
                <w:rFonts w:ascii="Times New Roman" w:hAnsi="Times New Roman" w:cs="Times New Roman"/>
              </w:rPr>
            </w:pPr>
            <w:r w:rsidRPr="00AE1B2B">
              <w:rPr>
                <w:rFonts w:ascii="Times New Roman" w:hAnsi="Times New Roman" w:cs="Times New Roman"/>
                <w:i/>
              </w:rPr>
              <w:t>04/03/2021</w:t>
            </w:r>
          </w:p>
        </w:tc>
      </w:tr>
      <w:tr w:rsidRPr="00AE1B2B" w:rsidR="00AE1B2B" w:rsidTr="000458B6" w14:paraId="062B910A" w14:textId="77777777">
        <w:trPr>
          <w:trHeight w:val="520"/>
          <w:jc w:val="center"/>
        </w:trPr>
        <w:tc>
          <w:tcPr>
            <w:tcW w:w="3112" w:type="pct"/>
            <w:gridSpan w:val="2"/>
            <w:tcBorders>
              <w:top w:val="single" w:color="000000" w:sz="4" w:space="0"/>
              <w:left w:val="single" w:color="000000" w:sz="4" w:space="0"/>
              <w:bottom w:val="single" w:color="000000" w:sz="4" w:space="0"/>
              <w:right w:val="single" w:color="000000" w:sz="4" w:space="0"/>
            </w:tcBorders>
            <w:shd w:val="clear" w:color="auto" w:fill="262626"/>
            <w:vAlign w:val="center"/>
          </w:tcPr>
          <w:p w:rsidRPr="00AE1B2B" w:rsidR="009D3FB5" w:rsidP="00163B94" w:rsidRDefault="009D3FB5" w14:paraId="1D591668" w14:textId="77777777">
            <w:pPr>
              <w:spacing w:before="120" w:after="120"/>
              <w:jc w:val="center"/>
              <w:rPr>
                <w:rFonts w:ascii="Times New Roman" w:hAnsi="Times New Roman" w:cs="Times New Roman"/>
                <w:i/>
              </w:rPr>
            </w:pPr>
            <w:r w:rsidRPr="00AE1B2B">
              <w:rPr>
                <w:rFonts w:ascii="Times New Roman" w:hAnsi="Times New Roman" w:cs="Times New Roman"/>
                <w:b/>
              </w:rPr>
              <w:t>Estudio de Requerimiento Humano</w:t>
            </w:r>
          </w:p>
        </w:tc>
        <w:tc>
          <w:tcPr>
            <w:tcW w:w="769" w:type="pct"/>
            <w:tcBorders>
              <w:top w:val="single" w:color="000000" w:sz="4" w:space="0"/>
              <w:left w:val="single" w:color="000000" w:sz="4" w:space="0"/>
              <w:bottom w:val="single" w:color="000000" w:sz="4" w:space="0"/>
              <w:right w:val="single" w:color="000000" w:sz="4" w:space="0"/>
            </w:tcBorders>
            <w:shd w:val="clear" w:color="auto" w:fill="B3B3B3"/>
            <w:vAlign w:val="center"/>
          </w:tcPr>
          <w:p w:rsidRPr="00AE1B2B" w:rsidR="009D3FB5" w:rsidP="00163B94" w:rsidRDefault="009D3FB5" w14:paraId="7DBD4920" w14:textId="77777777">
            <w:pPr>
              <w:spacing w:before="120" w:after="120"/>
              <w:jc w:val="right"/>
              <w:rPr>
                <w:rFonts w:ascii="Times New Roman" w:hAnsi="Times New Roman" w:cs="Times New Roman"/>
                <w:b/>
              </w:rPr>
            </w:pPr>
            <w:r w:rsidRPr="00AE1B2B">
              <w:rPr>
                <w:rFonts w:ascii="Times New Roman" w:hAnsi="Times New Roman" w:cs="Times New Roman"/>
                <w:b/>
              </w:rPr>
              <w:t># Informe:</w:t>
            </w:r>
          </w:p>
        </w:tc>
        <w:tc>
          <w:tcPr>
            <w:tcW w:w="1119" w:type="pct"/>
            <w:tcBorders>
              <w:top w:val="single" w:color="000000" w:sz="4" w:space="0"/>
              <w:left w:val="single" w:color="000000" w:sz="4" w:space="0"/>
              <w:bottom w:val="single" w:color="000000" w:sz="4" w:space="0"/>
              <w:right w:val="single" w:color="000000" w:sz="4" w:space="0"/>
            </w:tcBorders>
            <w:shd w:val="clear" w:color="auto" w:fill="auto"/>
            <w:vAlign w:val="center"/>
          </w:tcPr>
          <w:p w:rsidRPr="00AE1B2B" w:rsidR="009D3FB5" w:rsidP="00163B94" w:rsidRDefault="009D3FB5" w14:paraId="61AB5D6A" w14:textId="77777777">
            <w:pPr>
              <w:spacing w:before="120" w:after="120"/>
              <w:rPr>
                <w:rFonts w:ascii="Times New Roman" w:hAnsi="Times New Roman" w:cs="Times New Roman"/>
                <w:i/>
              </w:rPr>
            </w:pPr>
            <w:r w:rsidRPr="00AE1B2B">
              <w:rPr>
                <w:rFonts w:ascii="Times New Roman" w:hAnsi="Times New Roman" w:cs="Times New Roman"/>
                <w:i/>
              </w:rPr>
              <w:t>265-PLA-RH-OI-2021</w:t>
            </w:r>
          </w:p>
        </w:tc>
      </w:tr>
      <w:tr w:rsidRPr="00AE1B2B" w:rsidR="00AE1B2B" w:rsidTr="000458B6" w14:paraId="0C103DF9" w14:textId="77777777">
        <w:trPr>
          <w:trHeight w:val="520"/>
          <w:jc w:val="center"/>
        </w:trPr>
        <w:tc>
          <w:tcPr>
            <w:tcW w:w="1223" w:type="pct"/>
            <w:tcBorders>
              <w:top w:val="single" w:color="000000" w:sz="4" w:space="0"/>
              <w:left w:val="single" w:color="000000" w:sz="4" w:space="0"/>
              <w:bottom w:val="single" w:color="000000" w:sz="4" w:space="0"/>
              <w:right w:val="single" w:color="000000" w:sz="4" w:space="0"/>
            </w:tcBorders>
            <w:shd w:val="clear" w:color="auto" w:fill="B3B3B3"/>
          </w:tcPr>
          <w:p w:rsidRPr="00AE1B2B" w:rsidR="009D3FB5" w:rsidP="00163B94" w:rsidRDefault="009D3FB5" w14:paraId="5067E4D4" w14:textId="77777777">
            <w:pPr>
              <w:spacing w:before="120" w:after="120"/>
              <w:jc w:val="right"/>
              <w:rPr>
                <w:rFonts w:ascii="Times New Roman" w:hAnsi="Times New Roman" w:cs="Times New Roman"/>
                <w:b/>
              </w:rPr>
            </w:pPr>
            <w:r w:rsidRPr="00AE1B2B">
              <w:rPr>
                <w:rFonts w:ascii="Times New Roman" w:hAnsi="Times New Roman" w:cs="Times New Roman"/>
                <w:b/>
              </w:rPr>
              <w:t>Proyecto u oficinas analizadas:</w:t>
            </w:r>
          </w:p>
        </w:tc>
        <w:tc>
          <w:tcPr>
            <w:tcW w:w="377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rsidRPr="00AE1B2B" w:rsidR="009D3FB5" w:rsidP="00163B94" w:rsidRDefault="009D3FB5" w14:paraId="3CC27BB2" w14:textId="77777777">
            <w:pPr>
              <w:spacing w:before="120" w:after="120"/>
              <w:jc w:val="both"/>
              <w:rPr>
                <w:rFonts w:ascii="Times New Roman" w:hAnsi="Times New Roman" w:cs="Times New Roman"/>
              </w:rPr>
            </w:pPr>
            <w:r w:rsidRPr="00AE1B2B">
              <w:rPr>
                <w:rFonts w:ascii="Times New Roman" w:hAnsi="Times New Roman" w:cs="Times New Roman"/>
                <w:i/>
              </w:rPr>
              <w:t>Continuidad de las plazas otorgadas como resultado de la promulgación de la Reforma Procesal Laboral. Ref:326-21</w:t>
            </w:r>
          </w:p>
        </w:tc>
      </w:tr>
    </w:tbl>
    <w:p w:rsidRPr="00AE1B2B" w:rsidR="009D3FB5" w:rsidP="00163B94" w:rsidRDefault="009D3FB5" w14:paraId="662638EB" w14:textId="77777777">
      <w:pPr>
        <w:spacing w:before="120" w:after="120"/>
        <w:jc w:val="center"/>
        <w:rPr>
          <w:rFonts w:ascii="Times New Roman" w:hAnsi="Times New Roman" w:cs="Times New Roman"/>
        </w:rPr>
      </w:pPr>
    </w:p>
    <w:tbl>
      <w:tblPr>
        <w:tblW w:w="977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1E0" w:firstRow="1" w:lastRow="1" w:firstColumn="1" w:lastColumn="1" w:noHBand="0" w:noVBand="0"/>
      </w:tblPr>
      <w:tblGrid>
        <w:gridCol w:w="2043"/>
        <w:gridCol w:w="79"/>
        <w:gridCol w:w="7654"/>
      </w:tblGrid>
      <w:tr w:rsidRPr="00AE1B2B" w:rsidR="009D3FB5" w:rsidTr="000458B6" w14:paraId="6321D091" w14:textId="77777777">
        <w:trPr>
          <w:trHeight w:val="4071"/>
          <w:jc w:val="center"/>
        </w:trPr>
        <w:tc>
          <w:tcPr>
            <w:tcW w:w="2043" w:type="dxa"/>
            <w:tcBorders>
              <w:top w:val="single" w:color="000000" w:sz="4" w:space="0"/>
              <w:left w:val="single" w:color="000000" w:sz="4" w:space="0"/>
              <w:bottom w:val="single" w:color="000000" w:sz="4" w:space="0"/>
              <w:right w:val="single" w:color="000000" w:sz="4" w:space="0"/>
            </w:tcBorders>
            <w:shd w:val="clear" w:color="auto" w:fill="C0C0C0"/>
            <w:vAlign w:val="center"/>
          </w:tcPr>
          <w:p w:rsidRPr="00AE1B2B" w:rsidR="009D3FB5" w:rsidP="00163B94" w:rsidRDefault="009D3FB5" w14:paraId="636289CD" w14:textId="77777777">
            <w:pPr>
              <w:spacing w:before="120" w:after="120"/>
              <w:rPr>
                <w:rFonts w:ascii="Times New Roman" w:hAnsi="Times New Roman" w:cs="Times New Roman"/>
              </w:rPr>
            </w:pPr>
            <w:r w:rsidRPr="00AE1B2B">
              <w:rPr>
                <w:rFonts w:ascii="Times New Roman" w:hAnsi="Times New Roman" w:cs="Times New Roman"/>
                <w:b/>
              </w:rPr>
              <w:lastRenderedPageBreak/>
              <w:t>I. Plazas por Analizar</w:t>
            </w:r>
          </w:p>
        </w:tc>
        <w:tc>
          <w:tcPr>
            <w:tcW w:w="7733" w:type="dxa"/>
            <w:gridSpan w:val="2"/>
            <w:tcBorders>
              <w:top w:val="single" w:color="000000" w:sz="4" w:space="0"/>
              <w:left w:val="single" w:color="000000" w:sz="4" w:space="0"/>
              <w:bottom w:val="single" w:color="000000" w:sz="4" w:space="0"/>
              <w:right w:val="single" w:color="000000" w:sz="4" w:space="0"/>
            </w:tcBorders>
            <w:shd w:val="clear" w:color="auto" w:fill="auto"/>
          </w:tcPr>
          <w:p w:rsidRPr="00AE1B2B" w:rsidR="009D3FB5" w:rsidP="00163B94" w:rsidRDefault="009D3FB5" w14:paraId="564D7608" w14:textId="77777777">
            <w:pPr>
              <w:spacing w:before="120" w:after="120"/>
              <w:ind w:right="478"/>
              <w:jc w:val="center"/>
              <w:rPr>
                <w:rFonts w:ascii="Times New Roman" w:hAnsi="Times New Roman" w:cs="Times New Roman"/>
              </w:rPr>
            </w:pPr>
          </w:p>
          <w:p w:rsidRPr="00AE1B2B" w:rsidR="009D3FB5" w:rsidP="00163B94" w:rsidRDefault="009D3FB5" w14:paraId="74B5F4B5" w14:textId="77777777">
            <w:pPr>
              <w:spacing w:before="120" w:after="120"/>
              <w:ind w:right="478"/>
              <w:jc w:val="center"/>
              <w:rPr>
                <w:rFonts w:ascii="Times New Roman" w:hAnsi="Times New Roman" w:cs="Times New Roman"/>
              </w:rPr>
            </w:pPr>
            <w:r w:rsidRPr="00AE1B2B">
              <w:rPr>
                <w:rFonts w:ascii="Times New Roman" w:hAnsi="Times New Roman" w:cs="Times New Roman"/>
                <w:b/>
                <w:bCs/>
              </w:rPr>
              <w:t>ÁMBITO JURISDICCIONAL</w:t>
            </w:r>
          </w:p>
          <w:p w:rsidRPr="00AE1B2B" w:rsidR="009D3FB5" w:rsidP="00163B94" w:rsidRDefault="009D3FB5" w14:paraId="0379C1DD" w14:textId="77777777">
            <w:pPr>
              <w:spacing w:before="120" w:after="120"/>
              <w:ind w:right="478"/>
              <w:jc w:val="both"/>
              <w:rPr>
                <w:rFonts w:ascii="Times New Roman" w:hAnsi="Times New Roman" w:cs="Times New Roman"/>
                <w:i/>
              </w:rPr>
            </w:pPr>
          </w:p>
          <w:tbl>
            <w:tblPr>
              <w:tblW w:w="4831" w:type="dxa"/>
              <w:jc w:val="center"/>
              <w:tblBorders>
                <w:top w:val="single" w:color="000000" w:sz="8" w:space="0"/>
                <w:left w:val="single" w:color="000000" w:sz="8" w:space="0"/>
                <w:bottom w:val="single" w:color="000000" w:sz="4" w:space="0"/>
                <w:right w:val="single" w:color="000000" w:sz="8" w:space="0"/>
                <w:insideH w:val="single" w:color="000000" w:sz="4" w:space="0"/>
                <w:insideV w:val="single" w:color="000000" w:sz="8" w:space="0"/>
              </w:tblBorders>
              <w:tblLayout w:type="fixed"/>
              <w:tblCellMar>
                <w:left w:w="68" w:type="dxa"/>
              </w:tblCellMar>
              <w:tblLook w:val="0000" w:firstRow="0" w:lastRow="0" w:firstColumn="0" w:lastColumn="0" w:noHBand="0" w:noVBand="0"/>
            </w:tblPr>
            <w:tblGrid>
              <w:gridCol w:w="1441"/>
              <w:gridCol w:w="1016"/>
              <w:gridCol w:w="1412"/>
              <w:gridCol w:w="962"/>
            </w:tblGrid>
            <w:tr w:rsidRPr="00AE1B2B" w:rsidR="009D3FB5" w:rsidTr="009D3FB5" w14:paraId="4085608D" w14:textId="77777777">
              <w:trPr>
                <w:trHeight w:val="50"/>
                <w:tblHeader/>
                <w:jc w:val="center"/>
              </w:trPr>
              <w:tc>
                <w:tcPr>
                  <w:tcW w:w="1441" w:type="dxa"/>
                  <w:tcBorders>
                    <w:top w:val="single" w:color="000000" w:sz="8" w:space="0"/>
                    <w:left w:val="single" w:color="000000" w:sz="8" w:space="0"/>
                    <w:bottom w:val="single" w:color="000000" w:sz="4" w:space="0"/>
                    <w:right w:val="single" w:color="000000" w:sz="8" w:space="0"/>
                  </w:tcBorders>
                  <w:shd w:val="clear" w:color="auto" w:fill="E6E6E6"/>
                  <w:vAlign w:val="center"/>
                </w:tcPr>
                <w:p w:rsidRPr="00AE1B2B" w:rsidR="009D3FB5" w:rsidP="00163B94" w:rsidRDefault="009D3FB5" w14:paraId="710EE35E" w14:textId="77777777">
                  <w:pPr>
                    <w:spacing w:before="120" w:after="120"/>
                    <w:jc w:val="center"/>
                    <w:rPr>
                      <w:rFonts w:ascii="Times New Roman" w:hAnsi="Times New Roman" w:cs="Times New Roman"/>
                      <w:sz w:val="20"/>
                      <w:szCs w:val="20"/>
                    </w:rPr>
                  </w:pPr>
                  <w:r w:rsidRPr="00AE1B2B">
                    <w:rPr>
                      <w:rFonts w:ascii="Times New Roman" w:hAnsi="Times New Roman" w:cs="Times New Roman"/>
                      <w:bCs/>
                      <w:iCs/>
                      <w:sz w:val="20"/>
                      <w:szCs w:val="20"/>
                    </w:rPr>
                    <w:t>Despacho</w:t>
                  </w:r>
                </w:p>
              </w:tc>
              <w:tc>
                <w:tcPr>
                  <w:tcW w:w="1016" w:type="dxa"/>
                  <w:tcBorders>
                    <w:top w:val="single" w:color="000000" w:sz="8" w:space="0"/>
                    <w:left w:val="single" w:color="000000" w:sz="8" w:space="0"/>
                    <w:bottom w:val="single" w:color="000000" w:sz="4" w:space="0"/>
                    <w:right w:val="single" w:color="000000" w:sz="8" w:space="0"/>
                  </w:tcBorders>
                  <w:shd w:val="clear" w:color="auto" w:fill="E6E6E6"/>
                  <w:vAlign w:val="center"/>
                </w:tcPr>
                <w:p w:rsidRPr="00AE1B2B" w:rsidR="009D3FB5" w:rsidP="00163B94" w:rsidRDefault="009D3FB5" w14:paraId="6335942B" w14:textId="77777777">
                  <w:pPr>
                    <w:spacing w:before="120" w:after="120"/>
                    <w:jc w:val="center"/>
                    <w:rPr>
                      <w:rFonts w:ascii="Times New Roman" w:hAnsi="Times New Roman" w:cs="Times New Roman"/>
                      <w:sz w:val="20"/>
                      <w:szCs w:val="20"/>
                    </w:rPr>
                  </w:pPr>
                  <w:r w:rsidRPr="00AE1B2B">
                    <w:rPr>
                      <w:rFonts w:ascii="Times New Roman" w:hAnsi="Times New Roman" w:cs="Times New Roman"/>
                      <w:bCs/>
                      <w:iCs/>
                      <w:sz w:val="20"/>
                      <w:szCs w:val="20"/>
                    </w:rPr>
                    <w:t>Cantidad</w:t>
                  </w:r>
                </w:p>
              </w:tc>
              <w:tc>
                <w:tcPr>
                  <w:tcW w:w="1412" w:type="dxa"/>
                  <w:tcBorders>
                    <w:top w:val="single" w:color="000000" w:sz="8" w:space="0"/>
                    <w:left w:val="single" w:color="000000" w:sz="8" w:space="0"/>
                    <w:bottom w:val="single" w:color="000000" w:sz="4" w:space="0"/>
                    <w:right w:val="single" w:color="000000" w:sz="8" w:space="0"/>
                  </w:tcBorders>
                  <w:shd w:val="clear" w:color="auto" w:fill="E6E6E6"/>
                  <w:vAlign w:val="center"/>
                </w:tcPr>
                <w:p w:rsidRPr="00AE1B2B" w:rsidR="009D3FB5" w:rsidP="00163B94" w:rsidRDefault="009D3FB5" w14:paraId="19821BC0" w14:textId="77777777">
                  <w:pPr>
                    <w:spacing w:before="120" w:after="120"/>
                    <w:jc w:val="center"/>
                    <w:rPr>
                      <w:rFonts w:ascii="Times New Roman" w:hAnsi="Times New Roman" w:cs="Times New Roman"/>
                      <w:sz w:val="20"/>
                      <w:szCs w:val="20"/>
                    </w:rPr>
                  </w:pPr>
                  <w:r w:rsidRPr="00AE1B2B">
                    <w:rPr>
                      <w:rFonts w:ascii="Times New Roman" w:hAnsi="Times New Roman" w:cs="Times New Roman"/>
                      <w:bCs/>
                      <w:iCs/>
                      <w:sz w:val="20"/>
                      <w:szCs w:val="20"/>
                    </w:rPr>
                    <w:t>Tipo de</w:t>
                  </w:r>
                </w:p>
                <w:p w:rsidRPr="00AE1B2B" w:rsidR="009D3FB5" w:rsidP="00163B94" w:rsidRDefault="009D3FB5" w14:paraId="2F6F5E55" w14:textId="77777777">
                  <w:pPr>
                    <w:spacing w:before="120" w:after="120"/>
                    <w:jc w:val="center"/>
                    <w:rPr>
                      <w:rFonts w:ascii="Times New Roman" w:hAnsi="Times New Roman" w:cs="Times New Roman"/>
                      <w:sz w:val="20"/>
                      <w:szCs w:val="20"/>
                    </w:rPr>
                  </w:pPr>
                  <w:r w:rsidRPr="00AE1B2B">
                    <w:rPr>
                      <w:rFonts w:ascii="Times New Roman" w:hAnsi="Times New Roman" w:cs="Times New Roman"/>
                      <w:bCs/>
                      <w:iCs/>
                      <w:sz w:val="20"/>
                      <w:szCs w:val="20"/>
                    </w:rPr>
                    <w:t>plaza</w:t>
                  </w:r>
                </w:p>
              </w:tc>
              <w:tc>
                <w:tcPr>
                  <w:tcW w:w="962" w:type="dxa"/>
                  <w:tcBorders>
                    <w:top w:val="single" w:color="000000" w:sz="8" w:space="0"/>
                    <w:left w:val="single" w:color="000000" w:sz="8" w:space="0"/>
                    <w:bottom w:val="single" w:color="000000" w:sz="4" w:space="0"/>
                    <w:right w:val="single" w:color="000000" w:sz="8" w:space="0"/>
                  </w:tcBorders>
                  <w:shd w:val="clear" w:color="auto" w:fill="E6E6E6"/>
                  <w:vAlign w:val="center"/>
                </w:tcPr>
                <w:p w:rsidRPr="00AE1B2B" w:rsidR="009D3FB5" w:rsidP="00163B94" w:rsidRDefault="009D3FB5" w14:paraId="5E82A497" w14:textId="77777777">
                  <w:pPr>
                    <w:spacing w:before="120" w:after="120"/>
                    <w:ind w:left="-52"/>
                    <w:jc w:val="center"/>
                    <w:rPr>
                      <w:rFonts w:ascii="Times New Roman" w:hAnsi="Times New Roman" w:cs="Times New Roman"/>
                      <w:sz w:val="20"/>
                      <w:szCs w:val="20"/>
                    </w:rPr>
                  </w:pPr>
                  <w:r w:rsidRPr="00AE1B2B">
                    <w:rPr>
                      <w:rFonts w:ascii="Times New Roman" w:hAnsi="Times New Roman" w:cs="Times New Roman"/>
                      <w:bCs/>
                      <w:iCs/>
                      <w:sz w:val="20"/>
                      <w:szCs w:val="20"/>
                    </w:rPr>
                    <w:t>Condición</w:t>
                  </w:r>
                </w:p>
                <w:p w:rsidRPr="00AE1B2B" w:rsidR="009D3FB5" w:rsidP="00163B94" w:rsidRDefault="009D3FB5" w14:paraId="54F11A28" w14:textId="77777777">
                  <w:pPr>
                    <w:spacing w:before="120" w:after="120"/>
                    <w:ind w:left="-52"/>
                    <w:jc w:val="center"/>
                    <w:rPr>
                      <w:rFonts w:ascii="Times New Roman" w:hAnsi="Times New Roman" w:cs="Times New Roman"/>
                      <w:sz w:val="20"/>
                      <w:szCs w:val="20"/>
                    </w:rPr>
                  </w:pPr>
                  <w:r w:rsidRPr="00AE1B2B">
                    <w:rPr>
                      <w:rFonts w:ascii="Times New Roman" w:hAnsi="Times New Roman" w:cs="Times New Roman"/>
                      <w:bCs/>
                      <w:iCs/>
                      <w:sz w:val="20"/>
                      <w:szCs w:val="20"/>
                    </w:rPr>
                    <w:t>actual</w:t>
                  </w:r>
                </w:p>
              </w:tc>
            </w:tr>
            <w:tr w:rsidRPr="00AE1B2B" w:rsidR="009D3FB5" w:rsidTr="009D3FB5" w14:paraId="5D2EEF42" w14:textId="77777777">
              <w:trPr>
                <w:trHeight w:val="437"/>
                <w:jc w:val="center"/>
              </w:trPr>
              <w:tc>
                <w:tcPr>
                  <w:tcW w:w="1441" w:type="dxa"/>
                  <w:vMerge w:val="restart"/>
                  <w:tcBorders>
                    <w:top w:val="single" w:color="000000" w:sz="4" w:space="0"/>
                    <w:left w:val="single" w:color="000000" w:sz="4" w:space="0"/>
                    <w:right w:val="single" w:color="000000" w:sz="4" w:space="0"/>
                  </w:tcBorders>
                  <w:shd w:val="clear" w:color="auto" w:fill="FFFFFF"/>
                  <w:vAlign w:val="center"/>
                </w:tcPr>
                <w:p w:rsidRPr="00AE1B2B" w:rsidR="009D3FB5" w:rsidP="00163B94" w:rsidRDefault="009D3FB5" w14:paraId="57D5C9E7" w14:textId="77777777">
                  <w:pPr>
                    <w:spacing w:before="120" w:after="120"/>
                    <w:jc w:val="both"/>
                    <w:rPr>
                      <w:rFonts w:ascii="Times New Roman" w:hAnsi="Times New Roman" w:cs="Times New Roman"/>
                      <w:sz w:val="20"/>
                      <w:szCs w:val="20"/>
                    </w:rPr>
                  </w:pPr>
                  <w:r w:rsidRPr="00AE1B2B">
                    <w:rPr>
                      <w:rFonts w:ascii="Times New Roman" w:hAnsi="Times New Roman" w:cs="Times New Roman"/>
                      <w:bCs/>
                      <w:iCs/>
                      <w:sz w:val="20"/>
                      <w:szCs w:val="20"/>
                    </w:rPr>
                    <w:t>Centro de Apoyo, Coordinación y Mejoramiento de la Función Jurisdiccional</w:t>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rsidRPr="00AE1B2B" w:rsidR="009D3FB5" w:rsidP="00163B94" w:rsidRDefault="009D3FB5" w14:paraId="3FAF841A" w14:textId="77777777">
                  <w:pPr>
                    <w:spacing w:before="120" w:after="120"/>
                    <w:jc w:val="center"/>
                    <w:rPr>
                      <w:rFonts w:ascii="Times New Roman" w:hAnsi="Times New Roman" w:cs="Times New Roman"/>
                      <w:sz w:val="20"/>
                      <w:szCs w:val="20"/>
                    </w:rPr>
                  </w:pPr>
                  <w:r w:rsidRPr="00AE1B2B">
                    <w:rPr>
                      <w:rFonts w:ascii="Times New Roman" w:hAnsi="Times New Roman" w:cs="Times New Roman"/>
                      <w:bCs/>
                      <w:iCs/>
                      <w:sz w:val="20"/>
                      <w:szCs w:val="20"/>
                    </w:rPr>
                    <w:t>1</w:t>
                  </w:r>
                </w:p>
              </w:tc>
              <w:tc>
                <w:tcPr>
                  <w:tcW w:w="1412" w:type="dxa"/>
                  <w:tcBorders>
                    <w:top w:val="single" w:color="000000" w:sz="4" w:space="0"/>
                    <w:left w:val="single" w:color="000000" w:sz="4" w:space="0"/>
                    <w:bottom w:val="single" w:color="000000" w:sz="4" w:space="0"/>
                    <w:right w:val="single" w:color="000000" w:sz="4" w:space="0"/>
                  </w:tcBorders>
                  <w:shd w:val="clear" w:color="auto" w:fill="auto"/>
                  <w:vAlign w:val="center"/>
                </w:tcPr>
                <w:p w:rsidRPr="00AE1B2B" w:rsidR="009D3FB5" w:rsidP="00163B94" w:rsidRDefault="009D3FB5" w14:paraId="4B6BA379" w14:textId="77777777">
                  <w:pPr>
                    <w:spacing w:before="120" w:after="120"/>
                    <w:jc w:val="both"/>
                    <w:rPr>
                      <w:rFonts w:ascii="Times New Roman" w:hAnsi="Times New Roman" w:cs="Times New Roman"/>
                      <w:sz w:val="20"/>
                      <w:szCs w:val="20"/>
                    </w:rPr>
                  </w:pPr>
                  <w:r w:rsidRPr="00AE1B2B">
                    <w:rPr>
                      <w:rFonts w:ascii="Times New Roman" w:hAnsi="Times New Roman" w:cs="Times New Roman"/>
                      <w:bCs/>
                      <w:iCs/>
                      <w:sz w:val="20"/>
                      <w:szCs w:val="20"/>
                    </w:rPr>
                    <w:t>Jueza o Jueza 3</w:t>
                  </w:r>
                </w:p>
              </w:tc>
              <w:tc>
                <w:tcPr>
                  <w:tcW w:w="962" w:type="dxa"/>
                  <w:tcBorders>
                    <w:top w:val="single" w:color="000000" w:sz="4" w:space="0"/>
                    <w:left w:val="single" w:color="000000" w:sz="4" w:space="0"/>
                    <w:bottom w:val="single" w:color="000000" w:sz="4" w:space="0"/>
                    <w:right w:val="single" w:color="000000" w:sz="4" w:space="0"/>
                  </w:tcBorders>
                  <w:shd w:val="clear" w:color="auto" w:fill="auto"/>
                  <w:vAlign w:val="center"/>
                </w:tcPr>
                <w:p w:rsidRPr="00AE1B2B" w:rsidR="009D3FB5" w:rsidP="00163B94" w:rsidRDefault="009D3FB5" w14:paraId="7B6B447A" w14:textId="77777777">
                  <w:pPr>
                    <w:spacing w:before="120" w:after="120"/>
                    <w:ind w:left="-52"/>
                    <w:jc w:val="both"/>
                    <w:rPr>
                      <w:rFonts w:ascii="Times New Roman" w:hAnsi="Times New Roman" w:cs="Times New Roman"/>
                      <w:sz w:val="20"/>
                      <w:szCs w:val="20"/>
                    </w:rPr>
                  </w:pPr>
                  <w:r w:rsidRPr="00AE1B2B">
                    <w:rPr>
                      <w:rFonts w:ascii="Times New Roman" w:hAnsi="Times New Roman" w:cs="Times New Roman"/>
                      <w:bCs/>
                      <w:iCs/>
                      <w:sz w:val="20"/>
                      <w:szCs w:val="20"/>
                    </w:rPr>
                    <w:t>Extraordinaria</w:t>
                  </w:r>
                </w:p>
              </w:tc>
            </w:tr>
            <w:tr w:rsidRPr="00AE1B2B" w:rsidR="009D3FB5" w:rsidTr="009D3FB5" w14:paraId="277F4503" w14:textId="77777777">
              <w:trPr>
                <w:trHeight w:val="437"/>
                <w:jc w:val="center"/>
              </w:trPr>
              <w:tc>
                <w:tcPr>
                  <w:tcW w:w="1441" w:type="dxa"/>
                  <w:vMerge/>
                  <w:tcBorders>
                    <w:left w:val="single" w:color="000000" w:sz="4" w:space="0"/>
                    <w:right w:val="single" w:color="000000" w:sz="4" w:space="0"/>
                  </w:tcBorders>
                  <w:shd w:val="clear" w:color="auto" w:fill="FFFFFF"/>
                  <w:vAlign w:val="center"/>
                </w:tcPr>
                <w:p w:rsidRPr="00AE1B2B" w:rsidR="009D3FB5" w:rsidP="00163B94" w:rsidRDefault="009D3FB5" w14:paraId="6C9DA964" w14:textId="77777777">
                  <w:pPr>
                    <w:spacing w:before="120" w:after="120"/>
                    <w:jc w:val="both"/>
                    <w:rPr>
                      <w:rFonts w:ascii="Times New Roman" w:hAnsi="Times New Roman" w:cs="Times New Roman"/>
                      <w:sz w:val="20"/>
                      <w:szCs w:val="20"/>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rsidRPr="00AE1B2B" w:rsidR="009D3FB5" w:rsidP="00163B94" w:rsidRDefault="009D3FB5" w14:paraId="7778492D" w14:textId="77777777">
                  <w:pPr>
                    <w:spacing w:before="120" w:after="120"/>
                    <w:jc w:val="center"/>
                    <w:rPr>
                      <w:rFonts w:ascii="Times New Roman" w:hAnsi="Times New Roman" w:cs="Times New Roman"/>
                      <w:sz w:val="20"/>
                      <w:szCs w:val="20"/>
                    </w:rPr>
                  </w:pPr>
                  <w:r w:rsidRPr="00AE1B2B">
                    <w:rPr>
                      <w:rFonts w:ascii="Times New Roman" w:hAnsi="Times New Roman" w:cs="Times New Roman"/>
                      <w:sz w:val="20"/>
                      <w:szCs w:val="20"/>
                    </w:rPr>
                    <w:t>1</w:t>
                  </w:r>
                </w:p>
              </w:tc>
              <w:tc>
                <w:tcPr>
                  <w:tcW w:w="1412" w:type="dxa"/>
                  <w:tcBorders>
                    <w:top w:val="single" w:color="000000" w:sz="4" w:space="0"/>
                    <w:left w:val="single" w:color="000000" w:sz="4" w:space="0"/>
                    <w:bottom w:val="single" w:color="000000" w:sz="4" w:space="0"/>
                    <w:right w:val="single" w:color="000000" w:sz="4" w:space="0"/>
                  </w:tcBorders>
                  <w:shd w:val="clear" w:color="auto" w:fill="auto"/>
                  <w:vAlign w:val="center"/>
                </w:tcPr>
                <w:p w:rsidRPr="00AE1B2B" w:rsidR="009D3FB5" w:rsidP="00163B94" w:rsidRDefault="009D3FB5" w14:paraId="5C9C3A42" w14:textId="77777777">
                  <w:pPr>
                    <w:spacing w:before="120" w:after="120"/>
                    <w:jc w:val="both"/>
                    <w:rPr>
                      <w:rFonts w:ascii="Times New Roman" w:hAnsi="Times New Roman" w:cs="Times New Roman"/>
                      <w:sz w:val="20"/>
                      <w:szCs w:val="20"/>
                    </w:rPr>
                  </w:pPr>
                  <w:r w:rsidRPr="00AE1B2B">
                    <w:rPr>
                      <w:rFonts w:ascii="Times New Roman" w:hAnsi="Times New Roman" w:cs="Times New Roman"/>
                      <w:sz w:val="20"/>
                      <w:szCs w:val="20"/>
                    </w:rPr>
                    <w:t>Técnica o Técnico Judicial 2</w:t>
                  </w:r>
                </w:p>
              </w:tc>
              <w:tc>
                <w:tcPr>
                  <w:tcW w:w="962" w:type="dxa"/>
                  <w:tcBorders>
                    <w:top w:val="single" w:color="000000" w:sz="4" w:space="0"/>
                    <w:left w:val="single" w:color="000000" w:sz="4" w:space="0"/>
                    <w:bottom w:val="single" w:color="000000" w:sz="4" w:space="0"/>
                    <w:right w:val="single" w:color="000000" w:sz="4" w:space="0"/>
                  </w:tcBorders>
                  <w:shd w:val="clear" w:color="auto" w:fill="auto"/>
                  <w:vAlign w:val="center"/>
                </w:tcPr>
                <w:p w:rsidRPr="00AE1B2B" w:rsidR="009D3FB5" w:rsidP="00163B94" w:rsidRDefault="009D3FB5" w14:paraId="7073DA01" w14:textId="77777777">
                  <w:pPr>
                    <w:spacing w:before="120" w:after="120"/>
                    <w:ind w:left="-52"/>
                    <w:jc w:val="both"/>
                    <w:rPr>
                      <w:rFonts w:ascii="Times New Roman" w:hAnsi="Times New Roman" w:cs="Times New Roman"/>
                      <w:sz w:val="20"/>
                      <w:szCs w:val="20"/>
                    </w:rPr>
                  </w:pPr>
                  <w:r w:rsidRPr="00AE1B2B">
                    <w:rPr>
                      <w:rFonts w:ascii="Times New Roman" w:hAnsi="Times New Roman" w:cs="Times New Roman"/>
                      <w:bCs/>
                      <w:iCs/>
                      <w:sz w:val="20"/>
                      <w:szCs w:val="20"/>
                    </w:rPr>
                    <w:t>Extraordinaria</w:t>
                  </w:r>
                </w:p>
              </w:tc>
            </w:tr>
            <w:tr w:rsidRPr="00AE1B2B" w:rsidR="009D3FB5" w:rsidTr="009D3FB5" w14:paraId="33D8E767" w14:textId="77777777">
              <w:trPr>
                <w:trHeight w:val="437"/>
                <w:jc w:val="center"/>
              </w:trPr>
              <w:tc>
                <w:tcPr>
                  <w:tcW w:w="1441" w:type="dxa"/>
                  <w:vMerge/>
                  <w:tcBorders>
                    <w:left w:val="single" w:color="000000" w:sz="4" w:space="0"/>
                    <w:bottom w:val="single" w:color="000000" w:sz="4" w:space="0"/>
                    <w:right w:val="single" w:color="000000" w:sz="4" w:space="0"/>
                  </w:tcBorders>
                  <w:shd w:val="clear" w:color="auto" w:fill="FFFFFF"/>
                  <w:vAlign w:val="center"/>
                </w:tcPr>
                <w:p w:rsidRPr="00AE1B2B" w:rsidR="009D3FB5" w:rsidP="00163B94" w:rsidRDefault="009D3FB5" w14:paraId="58874640" w14:textId="77777777">
                  <w:pPr>
                    <w:spacing w:before="120" w:after="120"/>
                    <w:jc w:val="both"/>
                    <w:rPr>
                      <w:rFonts w:ascii="Times New Roman" w:hAnsi="Times New Roman" w:cs="Times New Roman"/>
                      <w:sz w:val="20"/>
                      <w:szCs w:val="20"/>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rsidRPr="00AE1B2B" w:rsidR="009D3FB5" w:rsidP="00163B94" w:rsidRDefault="009D3FB5" w14:paraId="589EEE00" w14:textId="77777777">
                  <w:pPr>
                    <w:spacing w:before="120" w:after="120"/>
                    <w:jc w:val="center"/>
                    <w:rPr>
                      <w:rFonts w:ascii="Times New Roman" w:hAnsi="Times New Roman" w:cs="Times New Roman"/>
                      <w:sz w:val="20"/>
                      <w:szCs w:val="20"/>
                    </w:rPr>
                  </w:pPr>
                  <w:r w:rsidRPr="00AE1B2B">
                    <w:rPr>
                      <w:rFonts w:ascii="Times New Roman" w:hAnsi="Times New Roman" w:cs="Times New Roman"/>
                      <w:sz w:val="20"/>
                      <w:szCs w:val="20"/>
                    </w:rPr>
                    <w:t>1</w:t>
                  </w:r>
                </w:p>
              </w:tc>
              <w:tc>
                <w:tcPr>
                  <w:tcW w:w="1412" w:type="dxa"/>
                  <w:tcBorders>
                    <w:top w:val="single" w:color="000000" w:sz="4" w:space="0"/>
                    <w:left w:val="single" w:color="000000" w:sz="4" w:space="0"/>
                    <w:bottom w:val="single" w:color="000000" w:sz="4" w:space="0"/>
                    <w:right w:val="single" w:color="000000" w:sz="4" w:space="0"/>
                  </w:tcBorders>
                  <w:shd w:val="clear" w:color="auto" w:fill="auto"/>
                  <w:vAlign w:val="center"/>
                </w:tcPr>
                <w:p w:rsidRPr="00AE1B2B" w:rsidR="009D3FB5" w:rsidP="00163B94" w:rsidRDefault="009D3FB5" w14:paraId="641D4D4A" w14:textId="77777777">
                  <w:pPr>
                    <w:spacing w:before="120" w:after="120"/>
                    <w:jc w:val="both"/>
                    <w:rPr>
                      <w:rFonts w:ascii="Times New Roman" w:hAnsi="Times New Roman" w:cs="Times New Roman"/>
                      <w:sz w:val="20"/>
                      <w:szCs w:val="20"/>
                    </w:rPr>
                  </w:pPr>
                  <w:r w:rsidRPr="00AE1B2B">
                    <w:rPr>
                      <w:rFonts w:ascii="Times New Roman" w:hAnsi="Times New Roman" w:cs="Times New Roman"/>
                      <w:sz w:val="20"/>
                      <w:szCs w:val="20"/>
                    </w:rPr>
                    <w:t>Jueza o Juez 3</w:t>
                  </w:r>
                </w:p>
              </w:tc>
              <w:tc>
                <w:tcPr>
                  <w:tcW w:w="962" w:type="dxa"/>
                  <w:tcBorders>
                    <w:top w:val="single" w:color="000000" w:sz="4" w:space="0"/>
                    <w:left w:val="single" w:color="000000" w:sz="4" w:space="0"/>
                    <w:bottom w:val="single" w:color="000000" w:sz="4" w:space="0"/>
                    <w:right w:val="single" w:color="000000" w:sz="4" w:space="0"/>
                  </w:tcBorders>
                  <w:shd w:val="clear" w:color="auto" w:fill="auto"/>
                  <w:vAlign w:val="center"/>
                </w:tcPr>
                <w:p w:rsidRPr="00AE1B2B" w:rsidR="009D3FB5" w:rsidP="00163B94" w:rsidRDefault="009D3FB5" w14:paraId="532B012C" w14:textId="77777777">
                  <w:pPr>
                    <w:spacing w:before="120" w:after="120"/>
                    <w:ind w:left="-52"/>
                    <w:jc w:val="both"/>
                    <w:rPr>
                      <w:rFonts w:ascii="Times New Roman" w:hAnsi="Times New Roman" w:cs="Times New Roman"/>
                      <w:sz w:val="20"/>
                      <w:szCs w:val="20"/>
                    </w:rPr>
                  </w:pPr>
                  <w:r w:rsidRPr="00AE1B2B">
                    <w:rPr>
                      <w:rFonts w:ascii="Times New Roman" w:hAnsi="Times New Roman" w:cs="Times New Roman"/>
                      <w:bCs/>
                      <w:iCs/>
                      <w:sz w:val="20"/>
                      <w:szCs w:val="20"/>
                    </w:rPr>
                    <w:t>Extraordinaria</w:t>
                  </w:r>
                </w:p>
              </w:tc>
            </w:tr>
            <w:tr w:rsidRPr="00AE1B2B" w:rsidR="009D3FB5" w:rsidTr="009D3FB5" w14:paraId="7E661BA7" w14:textId="77777777">
              <w:trPr>
                <w:trHeight w:val="437"/>
                <w:jc w:val="center"/>
              </w:trPr>
              <w:tc>
                <w:tcPr>
                  <w:tcW w:w="1441" w:type="dxa"/>
                  <w:tcBorders>
                    <w:top w:val="single" w:color="000000" w:sz="4" w:space="0"/>
                    <w:left w:val="single" w:color="000000" w:sz="4" w:space="0"/>
                    <w:bottom w:val="single" w:color="000000" w:sz="4" w:space="0"/>
                    <w:right w:val="single" w:color="000000" w:sz="4" w:space="0"/>
                  </w:tcBorders>
                  <w:shd w:val="clear" w:color="auto" w:fill="FFFFFF"/>
                  <w:vAlign w:val="center"/>
                </w:tcPr>
                <w:p w:rsidRPr="00AE1B2B" w:rsidR="009D3FB5" w:rsidP="00163B94" w:rsidRDefault="009D3FB5" w14:paraId="23321BE8" w14:textId="77777777">
                  <w:pPr>
                    <w:spacing w:before="120" w:after="120"/>
                    <w:jc w:val="both"/>
                    <w:rPr>
                      <w:rFonts w:ascii="Times New Roman" w:hAnsi="Times New Roman" w:cs="Times New Roman"/>
                      <w:sz w:val="20"/>
                      <w:szCs w:val="20"/>
                    </w:rPr>
                  </w:pPr>
                  <w:r w:rsidRPr="00AE1B2B">
                    <w:rPr>
                      <w:rFonts w:ascii="Times New Roman" w:hAnsi="Times New Roman" w:cs="Times New Roman"/>
                      <w:sz w:val="20"/>
                      <w:szCs w:val="20"/>
                    </w:rPr>
                    <w:t>Sala Segunda</w:t>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rsidRPr="00AE1B2B" w:rsidR="009D3FB5" w:rsidP="00163B94" w:rsidRDefault="009D3FB5" w14:paraId="546563AE" w14:textId="77777777">
                  <w:pPr>
                    <w:spacing w:before="120" w:after="120"/>
                    <w:jc w:val="center"/>
                    <w:rPr>
                      <w:rFonts w:ascii="Times New Roman" w:hAnsi="Times New Roman" w:cs="Times New Roman"/>
                      <w:sz w:val="20"/>
                      <w:szCs w:val="20"/>
                    </w:rPr>
                  </w:pPr>
                  <w:r w:rsidRPr="00AE1B2B">
                    <w:rPr>
                      <w:rFonts w:ascii="Times New Roman" w:hAnsi="Times New Roman" w:cs="Times New Roman"/>
                      <w:sz w:val="20"/>
                      <w:szCs w:val="20"/>
                    </w:rPr>
                    <w:t>1</w:t>
                  </w:r>
                </w:p>
              </w:tc>
              <w:tc>
                <w:tcPr>
                  <w:tcW w:w="1412" w:type="dxa"/>
                  <w:tcBorders>
                    <w:top w:val="single" w:color="000000" w:sz="4" w:space="0"/>
                    <w:left w:val="single" w:color="000000" w:sz="4" w:space="0"/>
                    <w:bottom w:val="single" w:color="000000" w:sz="4" w:space="0"/>
                    <w:right w:val="single" w:color="000000" w:sz="4" w:space="0"/>
                  </w:tcBorders>
                  <w:shd w:val="clear" w:color="auto" w:fill="auto"/>
                  <w:vAlign w:val="center"/>
                </w:tcPr>
                <w:p w:rsidRPr="00AE1B2B" w:rsidR="009D3FB5" w:rsidP="00163B94" w:rsidRDefault="009D3FB5" w14:paraId="50ADE03A" w14:textId="77777777">
                  <w:pPr>
                    <w:spacing w:before="120" w:after="120"/>
                    <w:jc w:val="both"/>
                    <w:rPr>
                      <w:rFonts w:ascii="Times New Roman" w:hAnsi="Times New Roman" w:cs="Times New Roman"/>
                      <w:sz w:val="20"/>
                      <w:szCs w:val="20"/>
                    </w:rPr>
                  </w:pPr>
                  <w:r w:rsidRPr="00AE1B2B">
                    <w:rPr>
                      <w:rFonts w:ascii="Times New Roman" w:hAnsi="Times New Roman" w:cs="Times New Roman"/>
                      <w:sz w:val="20"/>
                      <w:szCs w:val="20"/>
                    </w:rPr>
                    <w:t>Profesional en Derecho 3 B</w:t>
                  </w:r>
                </w:p>
              </w:tc>
              <w:tc>
                <w:tcPr>
                  <w:tcW w:w="962" w:type="dxa"/>
                  <w:tcBorders>
                    <w:top w:val="single" w:color="000000" w:sz="4" w:space="0"/>
                    <w:left w:val="single" w:color="000000" w:sz="4" w:space="0"/>
                    <w:bottom w:val="single" w:color="000000" w:sz="4" w:space="0"/>
                    <w:right w:val="single" w:color="000000" w:sz="4" w:space="0"/>
                  </w:tcBorders>
                  <w:shd w:val="clear" w:color="auto" w:fill="auto"/>
                  <w:vAlign w:val="center"/>
                </w:tcPr>
                <w:p w:rsidRPr="00AE1B2B" w:rsidR="009D3FB5" w:rsidP="00163B94" w:rsidRDefault="009D3FB5" w14:paraId="397FFEFE" w14:textId="77777777">
                  <w:pPr>
                    <w:spacing w:before="120" w:after="120"/>
                    <w:ind w:left="-52"/>
                    <w:jc w:val="both"/>
                    <w:rPr>
                      <w:rFonts w:ascii="Times New Roman" w:hAnsi="Times New Roman" w:cs="Times New Roman"/>
                      <w:sz w:val="20"/>
                      <w:szCs w:val="20"/>
                    </w:rPr>
                  </w:pPr>
                  <w:r w:rsidRPr="00AE1B2B">
                    <w:rPr>
                      <w:rFonts w:ascii="Times New Roman" w:hAnsi="Times New Roman" w:cs="Times New Roman"/>
                      <w:bCs/>
                      <w:iCs/>
                      <w:sz w:val="20"/>
                      <w:szCs w:val="20"/>
                    </w:rPr>
                    <w:t>Extraordinaria</w:t>
                  </w:r>
                </w:p>
              </w:tc>
            </w:tr>
          </w:tbl>
          <w:p w:rsidRPr="00AE1B2B" w:rsidR="009D3FB5" w:rsidP="00163B94" w:rsidRDefault="00BB7720" w14:paraId="2E3FDD84" w14:textId="26D15CA2">
            <w:pPr>
              <w:spacing w:before="120" w:after="120"/>
              <w:ind w:right="478"/>
              <w:jc w:val="both"/>
              <w:rPr>
                <w:rFonts w:ascii="Times New Roman" w:hAnsi="Times New Roman" w:cs="Times New Roman"/>
                <w:iCs/>
              </w:rPr>
            </w:pPr>
            <w:r w:rsidRPr="00AE1B2B">
              <w:rPr>
                <w:rFonts w:ascii="Times New Roman" w:hAnsi="Times New Roman" w:cs="Times New Roman"/>
                <w:i/>
              </w:rPr>
              <w:t xml:space="preserve"> </w:t>
            </w:r>
          </w:p>
        </w:tc>
      </w:tr>
      <w:tr w:rsidRPr="00AE1B2B" w:rsidR="009D3FB5" w:rsidTr="000458B6" w14:paraId="24BF98F3" w14:textId="77777777">
        <w:trPr>
          <w:trHeight w:val="400"/>
          <w:jc w:val="center"/>
        </w:trPr>
        <w:tc>
          <w:tcPr>
            <w:tcW w:w="2043" w:type="dxa"/>
            <w:tcBorders>
              <w:top w:val="single" w:color="000000" w:sz="4" w:space="0"/>
              <w:left w:val="single" w:color="000000" w:sz="4" w:space="0"/>
              <w:bottom w:val="single" w:color="000000" w:sz="4" w:space="0"/>
              <w:right w:val="single" w:color="000000" w:sz="4" w:space="0"/>
            </w:tcBorders>
            <w:shd w:val="clear" w:color="auto" w:fill="C0C0C0"/>
            <w:vAlign w:val="center"/>
          </w:tcPr>
          <w:p w:rsidRPr="00AE1B2B" w:rsidR="009D3FB5" w:rsidP="00163B94" w:rsidRDefault="009D3FB5" w14:paraId="234B2CAF" w14:textId="77777777">
            <w:pPr>
              <w:spacing w:before="120" w:after="120"/>
              <w:jc w:val="both"/>
              <w:rPr>
                <w:rFonts w:ascii="Times New Roman" w:hAnsi="Times New Roman" w:cs="Times New Roman"/>
                <w:b/>
              </w:rPr>
            </w:pPr>
            <w:r w:rsidRPr="00AE1B2B">
              <w:rPr>
                <w:rFonts w:ascii="Times New Roman" w:hAnsi="Times New Roman" w:cs="Times New Roman"/>
                <w:b/>
              </w:rPr>
              <w:t>II. Justificación de la Situación o Necesidad Planteada</w:t>
            </w:r>
          </w:p>
        </w:tc>
        <w:tc>
          <w:tcPr>
            <w:tcW w:w="7733" w:type="dxa"/>
            <w:gridSpan w:val="2"/>
            <w:tcBorders>
              <w:top w:val="single" w:color="000000" w:sz="4" w:space="0"/>
              <w:left w:val="single" w:color="000000" w:sz="4" w:space="0"/>
              <w:bottom w:val="single" w:color="000000" w:sz="4" w:space="0"/>
              <w:right w:val="single" w:color="000000" w:sz="4" w:space="0"/>
            </w:tcBorders>
            <w:shd w:val="clear" w:color="auto" w:fill="auto"/>
          </w:tcPr>
          <w:p w:rsidRPr="00AE1B2B" w:rsidR="009D3FB5" w:rsidP="00163B94" w:rsidRDefault="009D3FB5" w14:paraId="15FDFF88" w14:textId="77777777">
            <w:pPr>
              <w:spacing w:before="120" w:after="120"/>
              <w:ind w:right="35"/>
              <w:jc w:val="both"/>
              <w:rPr>
                <w:rFonts w:ascii="Times New Roman" w:hAnsi="Times New Roman" w:cs="Times New Roman"/>
              </w:rPr>
            </w:pPr>
            <w:r w:rsidRPr="00AE1B2B">
              <w:rPr>
                <w:rFonts w:ascii="Times New Roman" w:hAnsi="Times New Roman" w:cs="Times New Roman"/>
              </w:rPr>
              <w:t>La Reforma al Código de Trabajo, Ley 9343 del 14 de diciembre del 2015, se publicó en el Alcance número 6, de La Gaceta número 16, del 25 de enero del 2016. Esta normativa trae consigo una serie de variantes que están orientadas a generar un proceso más ágil para el trámite de asuntos, que conlleva a un impulso de la oralidad, así como modificaciones en la distribución de la competencia de la Jurisdicción Laboral. En virtud de la importancia de esta ley y las implicaciones sobre el Poder Judicial, se elaboró inicialmente el informe 30-PLA-PI-2016, validado con la Comisión de la Jurisdicción Laboral y Presidencia de la Corte, donde se identificaron los cambios organizacionales en el Poder Judicial que se requerían implementar para la aplicación efectiva de la Ley 9343. Posteriormente, este informe actualizado mediante oficio 26-PLA-MI-2017 y 31-PLA-MI-2018 de la Dirección de Planificación, cuya estructura debe mantenerse para el 2020 en los casos que se citen en este informe.</w:t>
            </w:r>
          </w:p>
          <w:p w:rsidRPr="00AE1B2B" w:rsidR="009D3FB5" w:rsidP="00163B94" w:rsidRDefault="009D3FB5" w14:paraId="4C40C299" w14:textId="77777777">
            <w:pPr>
              <w:spacing w:before="120" w:after="120"/>
              <w:ind w:right="35"/>
              <w:jc w:val="both"/>
              <w:rPr>
                <w:rFonts w:ascii="Times New Roman" w:hAnsi="Times New Roman" w:cs="Times New Roman"/>
              </w:rPr>
            </w:pPr>
          </w:p>
          <w:p w:rsidRPr="00AE1B2B" w:rsidR="009D3FB5" w:rsidP="00163B94" w:rsidRDefault="009D3FB5" w14:paraId="6B763847" w14:textId="77777777">
            <w:pPr>
              <w:spacing w:before="120" w:after="120"/>
              <w:ind w:right="35"/>
              <w:jc w:val="both"/>
              <w:rPr>
                <w:rFonts w:ascii="Times New Roman" w:hAnsi="Times New Roman" w:cs="Times New Roman"/>
              </w:rPr>
            </w:pPr>
            <w:r w:rsidRPr="00AE1B2B">
              <w:rPr>
                <w:rFonts w:ascii="Times New Roman" w:hAnsi="Times New Roman" w:cs="Times New Roman"/>
              </w:rPr>
              <w:t>Como antecedente metodológico durante el 2016 y primer trimestre del 2017, se realizaron diagnósticos de las oficinas con competencia en materia de Trabajo, labor en la que por un período de cuatro semanas se asignó un profesional de la Dirección de Planificación en cada una de estas oficinas, donde se identificó la necesidad de personal adicional profesional y de apoyo, en oficinas y despachos específicos, para dedicarlos principalmente a labores de trámite y fallo de expedientes, tareas en donde se pudo identificar que existen los mayores “cuellos de botella”, que genera afectación en la calidad del servicio brindado a la persona usuaria.</w:t>
            </w:r>
          </w:p>
          <w:p w:rsidRPr="00AE1B2B" w:rsidR="009D3FB5" w:rsidP="00163B94" w:rsidRDefault="009D3FB5" w14:paraId="3159EDAF" w14:textId="77777777">
            <w:pPr>
              <w:spacing w:before="120" w:after="120"/>
              <w:ind w:right="35"/>
              <w:jc w:val="both"/>
              <w:rPr>
                <w:rFonts w:ascii="Times New Roman" w:hAnsi="Times New Roman" w:cs="Times New Roman"/>
              </w:rPr>
            </w:pPr>
          </w:p>
          <w:p w:rsidRPr="00AE1B2B" w:rsidR="009D3FB5" w:rsidP="00163B94" w:rsidRDefault="009D3FB5" w14:paraId="62003002" w14:textId="77777777">
            <w:pPr>
              <w:spacing w:before="120" w:after="120"/>
              <w:ind w:right="35"/>
              <w:jc w:val="both"/>
              <w:rPr>
                <w:rFonts w:ascii="Times New Roman" w:hAnsi="Times New Roman" w:cs="Times New Roman"/>
                <w:bCs/>
              </w:rPr>
            </w:pPr>
            <w:r w:rsidRPr="00AE1B2B">
              <w:rPr>
                <w:rFonts w:ascii="Times New Roman" w:hAnsi="Times New Roman" w:cs="Times New Roman"/>
                <w:bCs/>
              </w:rPr>
              <w:t xml:space="preserve">A partir de los diagnósticos mencionados anteriormente, se implementaron indicadores de gestión en cada una de las oficinas involucradas, a las que se efectúa mensualmente el respectivo seguimiento. En ese proceso de análisis de las variables </w:t>
            </w:r>
            <w:r w:rsidRPr="00AE1B2B">
              <w:rPr>
                <w:rFonts w:ascii="Times New Roman" w:hAnsi="Times New Roman" w:cs="Times New Roman"/>
                <w:bCs/>
              </w:rPr>
              <w:lastRenderedPageBreak/>
              <w:t>contempladas en la plantilla de indicadores, se pueden identificar aquellas que estén generando un volumen de trabajo en el despacho y se giran coordinaciones a nivel del Circuito Judicial, con el fin de valorar la ejecución de algún plan de trabajo a lo interno de la oficina afectada</w:t>
            </w:r>
            <w:r w:rsidRPr="00AE1B2B">
              <w:rPr>
                <w:rStyle w:val="Ancladenotaalpie"/>
                <w:rFonts w:ascii="Times New Roman" w:hAnsi="Times New Roman" w:cs="Times New Roman"/>
              </w:rPr>
              <w:footnoteReference w:id="2"/>
            </w:r>
            <w:r w:rsidRPr="00AE1B2B">
              <w:rPr>
                <w:rFonts w:ascii="Times New Roman" w:hAnsi="Times New Roman" w:cs="Times New Roman"/>
                <w:bCs/>
              </w:rPr>
              <w:t>.</w:t>
            </w:r>
          </w:p>
          <w:p w:rsidRPr="00AE1B2B" w:rsidR="009D3FB5" w:rsidP="00163B94" w:rsidRDefault="009D3FB5" w14:paraId="3C3EA9F9" w14:textId="77777777">
            <w:pPr>
              <w:spacing w:before="120" w:after="120"/>
              <w:ind w:right="35"/>
              <w:jc w:val="both"/>
              <w:rPr>
                <w:rFonts w:ascii="Times New Roman" w:hAnsi="Times New Roman" w:cs="Times New Roman"/>
                <w:bCs/>
              </w:rPr>
            </w:pPr>
          </w:p>
          <w:p w:rsidRPr="00AE1B2B" w:rsidR="009D3FB5" w:rsidP="00163B94" w:rsidRDefault="009D3FB5" w14:paraId="4B0B88DA" w14:textId="77777777">
            <w:pPr>
              <w:spacing w:before="120" w:after="120"/>
              <w:ind w:right="35"/>
              <w:jc w:val="both"/>
              <w:rPr>
                <w:rFonts w:ascii="Times New Roman" w:hAnsi="Times New Roman" w:cs="Times New Roman"/>
                <w:bCs/>
              </w:rPr>
            </w:pPr>
            <w:r w:rsidRPr="00AE1B2B">
              <w:rPr>
                <w:rFonts w:ascii="Times New Roman" w:hAnsi="Times New Roman" w:cs="Times New Roman"/>
                <w:bCs/>
              </w:rPr>
              <w:t>Como complemento a las labores efectuadas anteriormente, se efectúa el presente informe de formulación presupuestaria, que permite visualizar el comportamiento de la materia de Trabajo durante el último período (2020 en este caso).</w:t>
            </w:r>
          </w:p>
          <w:p w:rsidRPr="00AE1B2B" w:rsidR="009D3FB5" w:rsidP="00163B94" w:rsidRDefault="009D3FB5" w14:paraId="148DF368" w14:textId="77777777">
            <w:pPr>
              <w:spacing w:before="120" w:after="120"/>
              <w:ind w:right="35"/>
              <w:jc w:val="both"/>
              <w:rPr>
                <w:rFonts w:ascii="Times New Roman" w:hAnsi="Times New Roman" w:cs="Times New Roman"/>
              </w:rPr>
            </w:pPr>
          </w:p>
        </w:tc>
      </w:tr>
      <w:tr w:rsidRPr="00AE1B2B" w:rsidR="009D3FB5" w:rsidTr="000458B6" w14:paraId="2EEF7F1C" w14:textId="77777777">
        <w:trPr>
          <w:trHeight w:val="542"/>
          <w:jc w:val="center"/>
        </w:trPr>
        <w:tc>
          <w:tcPr>
            <w:tcW w:w="2043" w:type="dxa"/>
            <w:tcBorders>
              <w:top w:val="single" w:color="000000" w:sz="4" w:space="0"/>
              <w:left w:val="single" w:color="000000" w:sz="4" w:space="0"/>
              <w:bottom w:val="single" w:color="000000" w:sz="4" w:space="0"/>
              <w:right w:val="single" w:color="000000" w:sz="4" w:space="0"/>
            </w:tcBorders>
            <w:shd w:val="clear" w:color="auto" w:fill="C0C0C0"/>
            <w:vAlign w:val="center"/>
          </w:tcPr>
          <w:p w:rsidRPr="00AE1B2B" w:rsidR="009D3FB5" w:rsidP="00163B94" w:rsidRDefault="009D3FB5" w14:paraId="655B76A5" w14:textId="77777777">
            <w:pPr>
              <w:spacing w:before="120" w:after="120"/>
              <w:jc w:val="both"/>
              <w:rPr>
                <w:rFonts w:ascii="Times New Roman" w:hAnsi="Times New Roman" w:cs="Times New Roman"/>
                <w:b/>
              </w:rPr>
            </w:pPr>
            <w:r w:rsidRPr="00AE1B2B">
              <w:rPr>
                <w:rFonts w:ascii="Times New Roman" w:hAnsi="Times New Roman" w:cs="Times New Roman"/>
                <w:b/>
              </w:rPr>
              <w:lastRenderedPageBreak/>
              <w:t>III. Información Relevante</w:t>
            </w:r>
          </w:p>
        </w:tc>
        <w:tc>
          <w:tcPr>
            <w:tcW w:w="7733" w:type="dxa"/>
            <w:gridSpan w:val="2"/>
            <w:tcBorders>
              <w:top w:val="single" w:color="000000" w:sz="4" w:space="0"/>
              <w:left w:val="single" w:color="000000" w:sz="4" w:space="0"/>
              <w:bottom w:val="single" w:color="000000" w:sz="4" w:space="0"/>
              <w:right w:val="single" w:color="000000" w:sz="4" w:space="0"/>
            </w:tcBorders>
            <w:shd w:val="clear" w:color="auto" w:fill="auto"/>
          </w:tcPr>
          <w:p w:rsidRPr="00AE1B2B" w:rsidR="009D3FB5" w:rsidP="00163B94" w:rsidRDefault="009D3FB5" w14:paraId="00E38604" w14:textId="77777777">
            <w:pPr>
              <w:spacing w:before="120" w:after="120"/>
              <w:jc w:val="both"/>
              <w:rPr>
                <w:rFonts w:ascii="Times New Roman" w:hAnsi="Times New Roman" w:cs="Times New Roman"/>
                <w:b/>
              </w:rPr>
            </w:pPr>
            <w:r w:rsidRPr="00AE1B2B">
              <w:rPr>
                <w:rFonts w:ascii="Times New Roman" w:hAnsi="Times New Roman" w:cs="Times New Roman"/>
                <w:b/>
              </w:rPr>
              <w:t>3.1 Antecedentes</w:t>
            </w:r>
          </w:p>
          <w:p w:rsidRPr="00AE1B2B" w:rsidR="009D3FB5" w:rsidP="00163B94" w:rsidRDefault="009D3FB5" w14:paraId="3398F469" w14:textId="77777777">
            <w:pPr>
              <w:spacing w:before="120" w:after="120"/>
              <w:ind w:right="1891"/>
              <w:jc w:val="both"/>
              <w:rPr>
                <w:rFonts w:ascii="Times New Roman" w:hAnsi="Times New Roman" w:cs="Times New Roman"/>
              </w:rPr>
            </w:pPr>
          </w:p>
          <w:p w:rsidRPr="00AE1B2B" w:rsidR="009D3FB5" w:rsidP="00163B94" w:rsidRDefault="009D3FB5" w14:paraId="0DE53964" w14:textId="77777777">
            <w:pPr>
              <w:pStyle w:val="Default"/>
              <w:numPr>
                <w:ilvl w:val="0"/>
                <w:numId w:val="33"/>
              </w:numPr>
              <w:autoSpaceDE/>
              <w:autoSpaceDN/>
              <w:adjustRightInd/>
              <w:spacing w:before="120" w:after="120"/>
              <w:ind w:right="35"/>
              <w:jc w:val="both"/>
              <w:rPr>
                <w:rFonts w:ascii="Times New Roman" w:hAnsi="Times New Roman" w:cs="Times New Roman"/>
                <w:color w:val="auto"/>
                <w:sz w:val="22"/>
                <w:szCs w:val="22"/>
              </w:rPr>
            </w:pPr>
            <w:r w:rsidRPr="00AE1B2B">
              <w:rPr>
                <w:rFonts w:ascii="Times New Roman" w:hAnsi="Times New Roman" w:cs="Times New Roman"/>
                <w:color w:val="auto"/>
                <w:sz w:val="22"/>
                <w:szCs w:val="22"/>
              </w:rPr>
              <w:t xml:space="preserve">1.1. El Consejo Superior en sesión extraordinaria de Presupuesto 38-16, celebrada el 20 de abril del 2016, artículo IV y Corte Plena en sesión 19 celebrada el 8 de junio del 2016, aprueban el informe 30-PLA-PI-2016 </w:t>
            </w:r>
            <w:r w:rsidRPr="00AE1B2B">
              <w:rPr>
                <w:rFonts w:ascii="Times New Roman" w:hAnsi="Times New Roman" w:cs="Times New Roman"/>
                <w:i/>
                <w:color w:val="auto"/>
                <w:sz w:val="22"/>
                <w:szCs w:val="22"/>
              </w:rPr>
              <w:t>“Impacto organizacional y presupuestario en el Poder Judicial ante la implementación de la Reforma al Código de Trabajo para 2017”.</w:t>
            </w:r>
          </w:p>
          <w:p w:rsidRPr="00AE1B2B" w:rsidR="009D3FB5" w:rsidP="00163B94" w:rsidRDefault="009D3FB5" w14:paraId="2DD756C2" w14:textId="77777777">
            <w:pPr>
              <w:pStyle w:val="Default"/>
              <w:spacing w:before="120" w:after="120"/>
              <w:ind w:left="720" w:right="35"/>
              <w:jc w:val="both"/>
              <w:rPr>
                <w:rFonts w:ascii="Times New Roman" w:hAnsi="Times New Roman" w:cs="Times New Roman"/>
                <w:color w:val="auto"/>
                <w:sz w:val="22"/>
                <w:szCs w:val="22"/>
              </w:rPr>
            </w:pPr>
          </w:p>
          <w:p w:rsidRPr="00AE1B2B" w:rsidR="009D3FB5" w:rsidP="00163B94" w:rsidRDefault="009D3FB5" w14:paraId="39280CC2" w14:textId="77777777">
            <w:pPr>
              <w:keepNext/>
              <w:numPr>
                <w:ilvl w:val="0"/>
                <w:numId w:val="33"/>
              </w:numPr>
              <w:tabs>
                <w:tab w:val="left" w:pos="4248"/>
              </w:tabs>
              <w:suppressAutoHyphens/>
              <w:spacing w:before="120" w:after="120"/>
              <w:ind w:right="35"/>
              <w:jc w:val="both"/>
              <w:outlineLvl w:val="6"/>
              <w:rPr>
                <w:rFonts w:ascii="Times New Roman" w:hAnsi="Times New Roman" w:cs="Times New Roman"/>
              </w:rPr>
            </w:pPr>
            <w:r w:rsidRPr="00AE1B2B">
              <w:rPr>
                <w:rFonts w:ascii="Times New Roman" w:hAnsi="Times New Roman" w:cs="Times New Roman"/>
              </w:rPr>
              <w:t xml:space="preserve">1.2. El Consejo Superior en sesión extraordinaria de Presupuesto 39-17 (Presupuesto 2018), del 26 de abril de 2017, artículo III y Corte Plena en sesión 15-17 celebrada el 31 de mayo del 2017, artículo IV, aprueban el informe 26-PLA-MI-2017 </w:t>
            </w:r>
            <w:r w:rsidRPr="00AE1B2B">
              <w:rPr>
                <w:rFonts w:ascii="Times New Roman" w:hAnsi="Times New Roman" w:cs="Times New Roman"/>
                <w:i/>
              </w:rPr>
              <w:t>“Jurisdicción Laboral - impacto a partir de la implementación de la Reforma al Código de Trabajo 2018”.</w:t>
            </w:r>
          </w:p>
          <w:p w:rsidRPr="00AE1B2B" w:rsidR="009D3FB5" w:rsidP="00163B94" w:rsidRDefault="009D3FB5" w14:paraId="507E3A1E" w14:textId="77777777">
            <w:pPr>
              <w:keepNext/>
              <w:tabs>
                <w:tab w:val="left" w:pos="4248"/>
              </w:tabs>
              <w:suppressAutoHyphens/>
              <w:spacing w:before="120" w:after="120"/>
              <w:ind w:left="720" w:right="35"/>
              <w:jc w:val="both"/>
              <w:outlineLvl w:val="6"/>
              <w:rPr>
                <w:rFonts w:ascii="Times New Roman" w:hAnsi="Times New Roman" w:cs="Times New Roman"/>
                <w:i/>
              </w:rPr>
            </w:pPr>
          </w:p>
          <w:p w:rsidRPr="00AE1B2B" w:rsidR="009D3FB5" w:rsidP="00163B94" w:rsidRDefault="009D3FB5" w14:paraId="15886592" w14:textId="77777777">
            <w:pPr>
              <w:keepNext/>
              <w:numPr>
                <w:ilvl w:val="0"/>
                <w:numId w:val="33"/>
              </w:numPr>
              <w:tabs>
                <w:tab w:val="left" w:pos="4248"/>
              </w:tabs>
              <w:suppressAutoHyphens/>
              <w:spacing w:before="120" w:after="120"/>
              <w:ind w:right="35"/>
              <w:jc w:val="both"/>
              <w:outlineLvl w:val="6"/>
              <w:rPr>
                <w:rFonts w:ascii="Times New Roman" w:hAnsi="Times New Roman" w:cs="Times New Roman"/>
              </w:rPr>
            </w:pPr>
            <w:r w:rsidRPr="00AE1B2B">
              <w:rPr>
                <w:rFonts w:ascii="Times New Roman" w:hAnsi="Times New Roman" w:cs="Times New Roman"/>
              </w:rPr>
              <w:t xml:space="preserve">1.3. El Consejo Superior en sesión extraordinaria 34-18 (Presupuesto 2019), celebrada el 25 de abril del 2018, artículo II, aprueba el informe 31-PLA-MI-2018; </w:t>
            </w:r>
            <w:r w:rsidRPr="00AE1B2B">
              <w:rPr>
                <w:rFonts w:ascii="Times New Roman" w:hAnsi="Times New Roman" w:cs="Times New Roman"/>
                <w:i/>
              </w:rPr>
              <w:t>“Jurisdicción Laboral - impacto a partir de la implementación de la Reforma al Código de Trabajo 2019”</w:t>
            </w:r>
          </w:p>
          <w:p w:rsidRPr="00AE1B2B" w:rsidR="009D3FB5" w:rsidP="00163B94" w:rsidRDefault="009D3FB5" w14:paraId="2CAD4F42" w14:textId="77777777">
            <w:pPr>
              <w:keepNext/>
              <w:tabs>
                <w:tab w:val="left" w:pos="4248"/>
              </w:tabs>
              <w:suppressAutoHyphens/>
              <w:spacing w:before="120" w:after="120"/>
              <w:ind w:left="720" w:right="1891"/>
              <w:jc w:val="both"/>
              <w:outlineLvl w:val="6"/>
              <w:rPr>
                <w:rFonts w:ascii="Times New Roman" w:hAnsi="Times New Roman" w:cs="Times New Roman"/>
                <w:i/>
              </w:rPr>
            </w:pPr>
          </w:p>
          <w:p w:rsidRPr="00AE1B2B" w:rsidR="009D3FB5" w:rsidP="00163B94" w:rsidRDefault="009D3FB5" w14:paraId="0FC659D1" w14:textId="77777777">
            <w:pPr>
              <w:keepNext/>
              <w:numPr>
                <w:ilvl w:val="0"/>
                <w:numId w:val="33"/>
              </w:numPr>
              <w:tabs>
                <w:tab w:val="left" w:pos="4248"/>
              </w:tabs>
              <w:suppressAutoHyphens/>
              <w:spacing w:before="120" w:after="120"/>
              <w:ind w:right="35"/>
              <w:jc w:val="both"/>
              <w:outlineLvl w:val="6"/>
              <w:rPr>
                <w:rFonts w:ascii="Times New Roman" w:hAnsi="Times New Roman" w:cs="Times New Roman"/>
                <w:iCs/>
              </w:rPr>
            </w:pPr>
            <w:r w:rsidRPr="00AE1B2B">
              <w:rPr>
                <w:rFonts w:ascii="Times New Roman" w:hAnsi="Times New Roman" w:cs="Times New Roman"/>
              </w:rPr>
              <w:t xml:space="preserve">1.4. El Consejo Superior en sesión 100-18 del 15 de noviembre de 2018, artículo XXXIII, dispuso que la Dirección de Planificación valore la asignación de un Profesional en Derecho 3B (Letrada o Letrado) y una Técnica o Técnico Judicial 3, para la tramitación de los asuntos de exequátur y cartas rogatorias, así como para la atención de los asuntos que la nueva normativa le atribuye a la Sala y el crecimiento en el ingreso de asuntos para el proceso de formulación presupuestaria en el 2020. </w:t>
            </w:r>
          </w:p>
          <w:p w:rsidRPr="00AE1B2B" w:rsidR="009D3FB5" w:rsidP="00163B94" w:rsidRDefault="009D3FB5" w14:paraId="47705B4D" w14:textId="77777777">
            <w:pPr>
              <w:pStyle w:val="Prrafodelista"/>
              <w:spacing w:before="120" w:after="120"/>
              <w:rPr>
                <w:rFonts w:ascii="Times New Roman" w:hAnsi="Times New Roman" w:cs="Times New Roman"/>
                <w:iCs/>
                <w:sz w:val="22"/>
                <w:szCs w:val="22"/>
              </w:rPr>
            </w:pPr>
          </w:p>
          <w:p w:rsidRPr="00AE1B2B" w:rsidR="009D3FB5" w:rsidP="00163B94" w:rsidRDefault="009D3FB5" w14:paraId="3C6B718A" w14:textId="77777777">
            <w:pPr>
              <w:keepNext/>
              <w:numPr>
                <w:ilvl w:val="0"/>
                <w:numId w:val="33"/>
              </w:numPr>
              <w:tabs>
                <w:tab w:val="left" w:pos="4248"/>
              </w:tabs>
              <w:suppressAutoHyphens/>
              <w:spacing w:before="120" w:after="120"/>
              <w:ind w:right="35"/>
              <w:jc w:val="both"/>
              <w:outlineLvl w:val="6"/>
              <w:rPr>
                <w:rFonts w:ascii="Times New Roman" w:hAnsi="Times New Roman" w:cs="Times New Roman"/>
                <w:iCs/>
              </w:rPr>
            </w:pPr>
            <w:r w:rsidRPr="00AE1B2B">
              <w:rPr>
                <w:rFonts w:ascii="Times New Roman" w:hAnsi="Times New Roman" w:cs="Times New Roman"/>
                <w:iCs/>
              </w:rPr>
              <w:t xml:space="preserve">1.5. Finalmente, el presente informe, constituye un análisis de la continuidad para 2022 del recurso humano recomendado en la Ley de Presupuesto 2021 </w:t>
            </w:r>
            <w:r w:rsidRPr="00AE1B2B">
              <w:rPr>
                <w:rFonts w:ascii="Times New Roman" w:hAnsi="Times New Roman" w:cs="Times New Roman"/>
                <w:iCs/>
              </w:rPr>
              <w:lastRenderedPageBreak/>
              <w:t>(actualización del informe de la Dirección de Planificación 393-PLA-RH-OI-2019).</w:t>
            </w:r>
          </w:p>
          <w:p w:rsidRPr="00AE1B2B" w:rsidR="009D3FB5" w:rsidP="00163B94" w:rsidRDefault="009D3FB5" w14:paraId="00EF8970" w14:textId="77777777">
            <w:pPr>
              <w:pStyle w:val="Prrafodelista"/>
              <w:spacing w:before="120" w:after="120"/>
              <w:rPr>
                <w:rFonts w:ascii="Times New Roman" w:hAnsi="Times New Roman" w:cs="Times New Roman"/>
                <w:iCs/>
                <w:sz w:val="22"/>
                <w:szCs w:val="22"/>
              </w:rPr>
            </w:pPr>
          </w:p>
          <w:p w:rsidRPr="00AE1B2B" w:rsidR="009D3FB5" w:rsidP="00163B94" w:rsidRDefault="009D3FB5" w14:paraId="00783A0D" w14:textId="77777777">
            <w:pPr>
              <w:keepNext/>
              <w:numPr>
                <w:ilvl w:val="0"/>
                <w:numId w:val="33"/>
              </w:numPr>
              <w:tabs>
                <w:tab w:val="left" w:pos="4248"/>
              </w:tabs>
              <w:suppressAutoHyphens/>
              <w:spacing w:before="120" w:after="120"/>
              <w:ind w:right="35"/>
              <w:jc w:val="both"/>
              <w:outlineLvl w:val="6"/>
              <w:rPr>
                <w:rFonts w:ascii="Times New Roman" w:hAnsi="Times New Roman" w:cs="Times New Roman"/>
                <w:iCs/>
              </w:rPr>
            </w:pPr>
            <w:r w:rsidRPr="00AE1B2B">
              <w:rPr>
                <w:rFonts w:ascii="Times New Roman" w:hAnsi="Times New Roman" w:cs="Times New Roman"/>
                <w:iCs/>
              </w:rPr>
              <w:t>La Corte Plena aprobó en sesión N°54-2019 del 18 de diciembre de 2019, artículo único, no crear plazas nuevas y valorar únicamente la condición y continuidad de las plazas extraordinarias existentes.</w:t>
            </w:r>
          </w:p>
          <w:p w:rsidRPr="00AE1B2B" w:rsidR="009D3FB5" w:rsidP="00163B94" w:rsidRDefault="009D3FB5" w14:paraId="1F57A638" w14:textId="77777777">
            <w:pPr>
              <w:keepNext/>
              <w:tabs>
                <w:tab w:val="left" w:pos="4248"/>
              </w:tabs>
              <w:suppressAutoHyphens/>
              <w:spacing w:before="120" w:after="120"/>
              <w:ind w:right="35"/>
              <w:jc w:val="both"/>
              <w:outlineLvl w:val="6"/>
              <w:rPr>
                <w:rFonts w:ascii="Times New Roman" w:hAnsi="Times New Roman" w:cs="Times New Roman"/>
                <w:iCs/>
              </w:rPr>
            </w:pPr>
          </w:p>
          <w:p w:rsidRPr="00AE1B2B" w:rsidR="009D3FB5" w:rsidP="00163B94" w:rsidRDefault="009D3FB5" w14:paraId="009078BE" w14:textId="77777777">
            <w:pPr>
              <w:keepNext/>
              <w:numPr>
                <w:ilvl w:val="0"/>
                <w:numId w:val="33"/>
              </w:numPr>
              <w:tabs>
                <w:tab w:val="left" w:pos="4248"/>
              </w:tabs>
              <w:suppressAutoHyphens/>
              <w:spacing w:before="120" w:after="120"/>
              <w:ind w:right="35"/>
              <w:jc w:val="both"/>
              <w:outlineLvl w:val="6"/>
              <w:rPr>
                <w:rFonts w:ascii="Times New Roman" w:hAnsi="Times New Roman" w:cs="Times New Roman"/>
                <w:iCs/>
              </w:rPr>
            </w:pPr>
            <w:r w:rsidRPr="00AE1B2B">
              <w:rPr>
                <w:rFonts w:ascii="Times New Roman" w:hAnsi="Times New Roman" w:cs="Times New Roman"/>
                <w:iCs/>
              </w:rPr>
              <w:t>De manera adicional, en las sesiones N° 27-2017 de 21 de agosto de 2017, artículo XVI, N° 28- 2017 de 28 de agosto de 2017, artículo XV y N° 29-2017 de 4 setiembre de 2017, artículo XVI, aprobó una serie de medidas de contención del gasto en el Poder Judicial, producto de la grave situación fiscal que enfrenta el país, y con relación a la creación de plazas dispuso que:</w:t>
            </w:r>
          </w:p>
          <w:p w:rsidRPr="00AE1B2B" w:rsidR="009D3FB5" w:rsidP="00163B94" w:rsidRDefault="009D3FB5" w14:paraId="4174B34E" w14:textId="77777777">
            <w:pPr>
              <w:pStyle w:val="Prrafodelista"/>
              <w:spacing w:before="120" w:after="120"/>
              <w:rPr>
                <w:rFonts w:ascii="Times New Roman" w:hAnsi="Times New Roman" w:cs="Times New Roman"/>
                <w:iCs/>
                <w:sz w:val="22"/>
                <w:szCs w:val="22"/>
              </w:rPr>
            </w:pPr>
          </w:p>
          <w:p w:rsidRPr="00AE1B2B" w:rsidR="009D3FB5" w:rsidP="00163B94" w:rsidRDefault="009D3FB5" w14:paraId="350F81DB" w14:textId="77777777">
            <w:pPr>
              <w:keepNext/>
              <w:tabs>
                <w:tab w:val="left" w:pos="4248"/>
              </w:tabs>
              <w:suppressAutoHyphens/>
              <w:spacing w:before="120" w:after="120"/>
              <w:ind w:left="1134" w:right="567"/>
              <w:jc w:val="both"/>
              <w:outlineLvl w:val="6"/>
              <w:rPr>
                <w:rFonts w:ascii="Times New Roman" w:hAnsi="Times New Roman" w:cs="Times New Roman"/>
                <w:i/>
              </w:rPr>
            </w:pPr>
            <w:r w:rsidRPr="00AE1B2B">
              <w:rPr>
                <w:rFonts w:ascii="Times New Roman" w:hAnsi="Times New Roman" w:cs="Times New Roman"/>
                <w:i/>
              </w:rPr>
              <w:t>“…No se crearán plazas nuevas, salvo las correspondientes a la implementación de nuevas leyes, debidamente aprobadas por la Asamblea Legislativa, o bien cuenten con un estudio técnico de la Dirección de Planificación, sujeto a la disponibilidad de contenido presupuestario. Poder Judicial.”.</w:t>
            </w:r>
          </w:p>
          <w:p w:rsidRPr="00AE1B2B" w:rsidR="009D3FB5" w:rsidP="00163B94" w:rsidRDefault="009D3FB5" w14:paraId="2EF572F8" w14:textId="77777777">
            <w:pPr>
              <w:keepNext/>
              <w:tabs>
                <w:tab w:val="left" w:pos="4248"/>
              </w:tabs>
              <w:suppressAutoHyphens/>
              <w:spacing w:before="120" w:after="120"/>
              <w:ind w:left="720" w:right="35"/>
              <w:jc w:val="both"/>
              <w:outlineLvl w:val="6"/>
              <w:rPr>
                <w:rFonts w:ascii="Times New Roman" w:hAnsi="Times New Roman" w:cs="Times New Roman"/>
                <w:b/>
                <w:bCs/>
                <w:i/>
              </w:rPr>
            </w:pPr>
          </w:p>
          <w:p w:rsidRPr="00AE1B2B" w:rsidR="009D3FB5" w:rsidP="00163B94" w:rsidRDefault="009D3FB5" w14:paraId="194867B7" w14:textId="77777777">
            <w:pPr>
              <w:keepNext/>
              <w:tabs>
                <w:tab w:val="left" w:pos="4248"/>
              </w:tabs>
              <w:suppressAutoHyphens/>
              <w:spacing w:before="120" w:after="120"/>
              <w:ind w:left="392" w:right="35"/>
              <w:jc w:val="both"/>
              <w:outlineLvl w:val="6"/>
              <w:rPr>
                <w:rFonts w:ascii="Times New Roman" w:hAnsi="Times New Roman" w:cs="Times New Roman"/>
                <w:b/>
                <w:bCs/>
                <w:i/>
              </w:rPr>
            </w:pPr>
            <w:r w:rsidRPr="00AE1B2B">
              <w:rPr>
                <w:rFonts w:ascii="Times New Roman" w:hAnsi="Times New Roman" w:cs="Times New Roman"/>
                <w:b/>
                <w:bCs/>
                <w:i/>
              </w:rPr>
              <w:t xml:space="preserve">Finalmente, para el análisis de plazas del presente estudio, se tomará como referencia el 2018 y 2019, ya que el 2020 será más que todo con carácter ilustrativo, por constituirse en un año completamente atípico por las razones conocidas de la propagación del virus Covid-19 a nivel mundial, lo que podría no reflejar en un 100% la realidad del movimiento de trabajo. </w:t>
            </w:r>
          </w:p>
          <w:p w:rsidRPr="00AE1B2B" w:rsidR="009D3FB5" w:rsidP="00163B94" w:rsidRDefault="009D3FB5" w14:paraId="09BFA63C" w14:textId="77777777">
            <w:pPr>
              <w:spacing w:before="120" w:after="120"/>
              <w:ind w:right="1891"/>
              <w:jc w:val="both"/>
              <w:rPr>
                <w:rFonts w:ascii="Times New Roman" w:hAnsi="Times New Roman" w:cs="Times New Roman"/>
              </w:rPr>
            </w:pPr>
          </w:p>
          <w:p w:rsidRPr="00AE1B2B" w:rsidR="009D3FB5" w:rsidP="00163B94" w:rsidRDefault="009D3FB5" w14:paraId="1858FB9B" w14:textId="77777777">
            <w:pPr>
              <w:spacing w:before="120" w:after="120"/>
              <w:ind w:right="1891"/>
              <w:jc w:val="both"/>
              <w:rPr>
                <w:rFonts w:ascii="Times New Roman" w:hAnsi="Times New Roman" w:cs="Times New Roman"/>
                <w:b/>
                <w:bCs/>
              </w:rPr>
            </w:pPr>
            <w:r w:rsidRPr="00AE1B2B">
              <w:rPr>
                <w:rFonts w:ascii="Times New Roman" w:hAnsi="Times New Roman" w:cs="Times New Roman"/>
                <w:b/>
                <w:bCs/>
              </w:rPr>
              <w:t>3.2. Análisis de las plazas</w:t>
            </w:r>
          </w:p>
          <w:p w:rsidRPr="00AE1B2B" w:rsidR="009D3FB5" w:rsidP="00163B94" w:rsidRDefault="009D3FB5" w14:paraId="28B91871" w14:textId="77777777">
            <w:pPr>
              <w:spacing w:before="120" w:after="120"/>
              <w:ind w:right="1891"/>
              <w:jc w:val="both"/>
              <w:rPr>
                <w:rFonts w:ascii="Times New Roman" w:hAnsi="Times New Roman" w:cs="Times New Roman"/>
                <w:b/>
                <w:bCs/>
              </w:rPr>
            </w:pPr>
          </w:p>
          <w:p w:rsidRPr="00AE1B2B" w:rsidR="009D3FB5" w:rsidP="00163B94" w:rsidRDefault="009D3FB5" w14:paraId="5FEB6431" w14:textId="77777777">
            <w:pPr>
              <w:spacing w:before="120" w:after="120"/>
              <w:jc w:val="both"/>
              <w:rPr>
                <w:rFonts w:ascii="Times New Roman" w:hAnsi="Times New Roman" w:cs="Times New Roman"/>
              </w:rPr>
            </w:pPr>
            <w:r w:rsidRPr="00AE1B2B">
              <w:rPr>
                <w:rFonts w:ascii="Times New Roman" w:hAnsi="Times New Roman" w:cs="Times New Roman"/>
              </w:rPr>
              <w:t xml:space="preserve">En el primer ejercicio de formulación presupuestaria (informe 30-PLA-PI-2016), se recomendaron un total de 193 plazas extraordinarias. Para el 2018 (oficio 26-PLA-MI-2017), se recomendó la continuidad de 189 plazas (13 de forma ordinaria y 176 de manera extraordinaria). </w:t>
            </w:r>
          </w:p>
          <w:p w:rsidRPr="00AE1B2B" w:rsidR="009D3FB5" w:rsidP="00163B94" w:rsidRDefault="009D3FB5" w14:paraId="646F8E08" w14:textId="77777777">
            <w:pPr>
              <w:spacing w:before="120" w:after="120"/>
              <w:jc w:val="both"/>
              <w:rPr>
                <w:rFonts w:ascii="Times New Roman" w:hAnsi="Times New Roman" w:cs="Times New Roman"/>
              </w:rPr>
            </w:pPr>
          </w:p>
          <w:p w:rsidRPr="00AE1B2B" w:rsidR="009D3FB5" w:rsidP="00163B94" w:rsidRDefault="009D3FB5" w14:paraId="26A8A7C4" w14:textId="77777777">
            <w:pPr>
              <w:spacing w:before="120" w:after="120"/>
              <w:jc w:val="both"/>
              <w:rPr>
                <w:rFonts w:ascii="Times New Roman" w:hAnsi="Times New Roman" w:cs="Times New Roman"/>
              </w:rPr>
            </w:pPr>
            <w:r w:rsidRPr="00AE1B2B">
              <w:rPr>
                <w:rFonts w:ascii="Times New Roman" w:hAnsi="Times New Roman" w:cs="Times New Roman"/>
              </w:rPr>
              <w:t>En lo que concierne al ejercicio de formulación presupuestaria para el 2019 (informe 31-PLA-MI-2018), la totalidad de plazas recomendadas fue de 170, de las cuales 52 fueron bajo la modalidad ordinaria, mientras que las restantes 118 de manera extraordinaria.</w:t>
            </w:r>
          </w:p>
          <w:p w:rsidRPr="00AE1B2B" w:rsidR="009D3FB5" w:rsidP="00163B94" w:rsidRDefault="009D3FB5" w14:paraId="2F38E265" w14:textId="77777777">
            <w:pPr>
              <w:spacing w:before="120" w:after="120"/>
              <w:jc w:val="both"/>
              <w:rPr>
                <w:rFonts w:ascii="Times New Roman" w:hAnsi="Times New Roman" w:cs="Times New Roman"/>
              </w:rPr>
            </w:pPr>
          </w:p>
          <w:p w:rsidRPr="00AE1B2B" w:rsidR="009D3FB5" w:rsidP="00163B94" w:rsidRDefault="009D3FB5" w14:paraId="34520E84" w14:textId="77777777">
            <w:pPr>
              <w:spacing w:before="120" w:after="120"/>
              <w:jc w:val="both"/>
              <w:rPr>
                <w:rFonts w:ascii="Times New Roman" w:hAnsi="Times New Roman" w:cs="Times New Roman"/>
              </w:rPr>
            </w:pPr>
            <w:r w:rsidRPr="00AE1B2B">
              <w:rPr>
                <w:rFonts w:ascii="Times New Roman" w:hAnsi="Times New Roman" w:cs="Times New Roman"/>
              </w:rPr>
              <w:t>En 2019, mediante informe 550-PLA-EV-2019, se analizó la continuidad de esas 118 plazas, y de las recomendaciones emanadas, se establece que de manera ordinaria para el 2020 se asignaron 109 recursos y los restantes nueve de manera extraordinaria.</w:t>
            </w:r>
          </w:p>
          <w:p w:rsidRPr="00AE1B2B" w:rsidR="009D3FB5" w:rsidP="00163B94" w:rsidRDefault="009D3FB5" w14:paraId="4B039EEA" w14:textId="77777777">
            <w:pPr>
              <w:spacing w:before="120" w:after="120"/>
              <w:jc w:val="both"/>
              <w:rPr>
                <w:rFonts w:ascii="Times New Roman" w:hAnsi="Times New Roman" w:cs="Times New Roman"/>
              </w:rPr>
            </w:pPr>
          </w:p>
          <w:p w:rsidRPr="00AE1B2B" w:rsidR="009D3FB5" w:rsidP="00163B94" w:rsidRDefault="009D3FB5" w14:paraId="64F4635A" w14:textId="77777777">
            <w:pPr>
              <w:spacing w:before="120" w:after="120"/>
              <w:jc w:val="both"/>
              <w:rPr>
                <w:rFonts w:ascii="Times New Roman" w:hAnsi="Times New Roman" w:cs="Times New Roman"/>
              </w:rPr>
            </w:pPr>
            <w:r w:rsidRPr="00AE1B2B">
              <w:rPr>
                <w:rFonts w:ascii="Times New Roman" w:hAnsi="Times New Roman" w:cs="Times New Roman"/>
              </w:rPr>
              <w:lastRenderedPageBreak/>
              <w:t>El año anterior (2020) a través del informe 393-PLA-OI-RH-2020, se analizó la continuidad de los 9 recursos restantes, de los cuales, cinco se asignaron de manera ordinaria, y corresponde en este ejercicio presupuestario, determinar la condición bajo las que se desempeñarán las cuatro plazas (dos de Jueza o Juez 3, una de Técnica o Técnico Judicial 2 y una de Profesional en Derecho 3 B).</w:t>
            </w:r>
          </w:p>
          <w:p w:rsidRPr="00AE1B2B" w:rsidR="009D3FB5" w:rsidP="00163B94" w:rsidRDefault="009D3FB5" w14:paraId="0E946690" w14:textId="77777777">
            <w:pPr>
              <w:spacing w:before="120" w:after="120"/>
              <w:jc w:val="both"/>
              <w:rPr>
                <w:rFonts w:ascii="Times New Roman" w:hAnsi="Times New Roman" w:cs="Times New Roman"/>
                <w:i/>
                <w:iCs/>
              </w:rPr>
            </w:pPr>
          </w:p>
          <w:p w:rsidRPr="00AE1B2B" w:rsidR="009D3FB5" w:rsidP="00163B94" w:rsidRDefault="009D3FB5" w14:paraId="6E2F673E" w14:textId="77777777">
            <w:pPr>
              <w:spacing w:before="120" w:after="120"/>
              <w:jc w:val="both"/>
              <w:rPr>
                <w:rFonts w:ascii="Times New Roman" w:hAnsi="Times New Roman" w:cs="Times New Roman"/>
                <w:i/>
                <w:iCs/>
              </w:rPr>
            </w:pPr>
          </w:p>
          <w:p w:rsidRPr="00AE1B2B" w:rsidR="009D3FB5" w:rsidP="00163B94" w:rsidRDefault="009D3FB5" w14:paraId="2B98B9EC" w14:textId="77777777">
            <w:pPr>
              <w:spacing w:before="120" w:after="120"/>
              <w:jc w:val="both"/>
              <w:rPr>
                <w:rFonts w:ascii="Times New Roman" w:hAnsi="Times New Roman" w:cs="Times New Roman"/>
                <w:i/>
                <w:iCs/>
              </w:rPr>
            </w:pPr>
          </w:p>
          <w:p w:rsidRPr="00AE1B2B" w:rsidR="009D3FB5" w:rsidP="00163B94" w:rsidRDefault="009D3FB5" w14:paraId="1D216B14" w14:textId="77777777">
            <w:pPr>
              <w:spacing w:before="120" w:after="120"/>
              <w:ind w:right="35"/>
              <w:jc w:val="both"/>
              <w:rPr>
                <w:rFonts w:ascii="Times New Roman" w:hAnsi="Times New Roman" w:cs="Times New Roman"/>
                <w:b/>
                <w:bCs/>
              </w:rPr>
            </w:pPr>
            <w:r w:rsidRPr="00AE1B2B">
              <w:rPr>
                <w:rFonts w:ascii="Times New Roman" w:hAnsi="Times New Roman" w:cs="Times New Roman"/>
                <w:b/>
                <w:bCs/>
              </w:rPr>
              <w:t>3.2.1 Plaza de Jueza o Juez 3 y de Técnica o Técnico Judicial 2</w:t>
            </w:r>
            <w:r w:rsidRPr="00AE1B2B">
              <w:rPr>
                <w:rStyle w:val="Refdenotaalpie"/>
                <w:rFonts w:ascii="Times New Roman" w:hAnsi="Times New Roman"/>
                <w:b/>
                <w:bCs/>
              </w:rPr>
              <w:footnoteReference w:id="3"/>
            </w:r>
            <w:r w:rsidRPr="00AE1B2B">
              <w:rPr>
                <w:rFonts w:ascii="Times New Roman" w:hAnsi="Times New Roman" w:cs="Times New Roman"/>
                <w:b/>
                <w:bCs/>
              </w:rPr>
              <w:t>, asignadas en el ejercicio de formulación presupuestaria del año anterior (2020), para que se desempeñaran en el Juzgado de Trabajo del Tercer Circuito Judicial de San José. Asimismo, se analiza la plaza de Jueza o Juez 3 recomendada al Juzgado de Trabajo de Segundo Circuito Judicial de Alajuela.</w:t>
            </w:r>
          </w:p>
          <w:p w:rsidRPr="00AE1B2B" w:rsidR="009D3FB5" w:rsidP="00163B94" w:rsidRDefault="009D3FB5" w14:paraId="261597AA" w14:textId="77777777">
            <w:pPr>
              <w:spacing w:before="120" w:after="120"/>
              <w:ind w:right="35"/>
              <w:jc w:val="both"/>
              <w:rPr>
                <w:rFonts w:ascii="Times New Roman" w:hAnsi="Times New Roman" w:cs="Times New Roman"/>
                <w:b/>
                <w:bCs/>
              </w:rPr>
            </w:pPr>
          </w:p>
          <w:p w:rsidRPr="00AE1B2B" w:rsidR="009D3FB5" w:rsidP="00163B94" w:rsidRDefault="009D3FB5" w14:paraId="25680D7B" w14:textId="77777777">
            <w:pPr>
              <w:spacing w:before="120" w:after="120"/>
              <w:ind w:right="35"/>
              <w:jc w:val="both"/>
              <w:rPr>
                <w:rFonts w:ascii="Times New Roman" w:hAnsi="Times New Roman" w:cs="Times New Roman"/>
              </w:rPr>
            </w:pPr>
          </w:p>
          <w:p w:rsidRPr="00AE1B2B" w:rsidR="009D3FB5" w:rsidP="00163B94" w:rsidRDefault="009D3FB5" w14:paraId="23D9EE6B" w14:textId="77777777">
            <w:pPr>
              <w:spacing w:before="120" w:after="120"/>
              <w:ind w:right="35"/>
              <w:jc w:val="both"/>
              <w:rPr>
                <w:rFonts w:ascii="Times New Roman" w:hAnsi="Times New Roman" w:cs="Times New Roman"/>
              </w:rPr>
            </w:pPr>
            <w:r w:rsidRPr="00AE1B2B">
              <w:rPr>
                <w:rFonts w:ascii="Times New Roman" w:hAnsi="Times New Roman" w:cs="Times New Roman"/>
                <w:b/>
                <w:bCs/>
              </w:rPr>
              <w:t>3.2.1.1. Labores realizadas en el 2020</w:t>
            </w:r>
          </w:p>
          <w:p w:rsidRPr="00AE1B2B" w:rsidR="009D3FB5" w:rsidP="00163B94" w:rsidRDefault="009D3FB5" w14:paraId="7A9C4454" w14:textId="77777777">
            <w:pPr>
              <w:spacing w:before="120" w:after="120"/>
              <w:ind w:right="35"/>
              <w:jc w:val="both"/>
              <w:rPr>
                <w:rFonts w:ascii="Times New Roman" w:hAnsi="Times New Roman" w:cs="Times New Roman"/>
              </w:rPr>
            </w:pPr>
          </w:p>
          <w:p w:rsidRPr="00AE1B2B" w:rsidR="009D3FB5" w:rsidP="00163B94" w:rsidRDefault="009D3FB5" w14:paraId="57F632F7" w14:textId="77777777">
            <w:pPr>
              <w:spacing w:before="120" w:after="120"/>
              <w:ind w:right="35"/>
              <w:jc w:val="both"/>
              <w:rPr>
                <w:rFonts w:ascii="Times New Roman" w:hAnsi="Times New Roman" w:cs="Times New Roman"/>
              </w:rPr>
            </w:pPr>
            <w:r w:rsidRPr="00AE1B2B">
              <w:rPr>
                <w:rFonts w:ascii="Times New Roman" w:hAnsi="Times New Roman" w:cs="Times New Roman"/>
              </w:rPr>
              <w:t>Mediante informe 550-PLA-EV-2019, se estableció la propuesta de que los planes de trabajo se formularan bajo un escenario mediante el cual seis plazas de Jueza o Juez 3</w:t>
            </w:r>
            <w:r w:rsidRPr="00AE1B2B">
              <w:rPr>
                <w:rStyle w:val="Ancladenotaalpie"/>
                <w:rFonts w:ascii="Times New Roman" w:hAnsi="Times New Roman" w:cs="Times New Roman"/>
              </w:rPr>
              <w:footnoteReference w:id="4"/>
            </w:r>
            <w:r w:rsidRPr="00AE1B2B">
              <w:rPr>
                <w:rFonts w:ascii="Times New Roman" w:hAnsi="Times New Roman" w:cs="Times New Roman"/>
              </w:rPr>
              <w:t>, estarían enfocados en la atención de asuntos pendientes de fallo en primera instancia, una de ellas es la que se incluye en el presente análisis y la plaza de Técnica o Técnico Judicial 2, seguiría en la colaboración en el Juzgado de Trabajo del Primer Circuito Judicial de la Zona Atlántica, preparando expedientes para la Jueza o Juez 3 que resuelve asuntos de Matina o Bribrí de manera itinerante.</w:t>
            </w:r>
          </w:p>
          <w:p w:rsidRPr="00AE1B2B" w:rsidR="009D3FB5" w:rsidP="00163B94" w:rsidRDefault="009D3FB5" w14:paraId="1B0E0FAA" w14:textId="77777777">
            <w:pPr>
              <w:spacing w:before="120" w:after="120"/>
              <w:ind w:right="1891"/>
              <w:jc w:val="both"/>
              <w:rPr>
                <w:rFonts w:ascii="Times New Roman" w:hAnsi="Times New Roman" w:cs="Times New Roman"/>
              </w:rPr>
            </w:pPr>
          </w:p>
          <w:p w:rsidRPr="00AE1B2B" w:rsidR="009D3FB5" w:rsidP="00163B94" w:rsidRDefault="009D3FB5" w14:paraId="057BAFBF" w14:textId="77777777">
            <w:pPr>
              <w:spacing w:before="120" w:after="120"/>
              <w:ind w:right="35"/>
              <w:jc w:val="both"/>
              <w:rPr>
                <w:rFonts w:ascii="Times New Roman" w:hAnsi="Times New Roman" w:cs="Times New Roman"/>
              </w:rPr>
            </w:pPr>
          </w:p>
          <w:p w:rsidRPr="00AE1B2B" w:rsidR="009D3FB5" w:rsidP="00163B94" w:rsidRDefault="009D3FB5" w14:paraId="7511F4B2" w14:textId="77777777">
            <w:pPr>
              <w:spacing w:before="120" w:after="120"/>
              <w:ind w:right="35"/>
              <w:jc w:val="both"/>
              <w:rPr>
                <w:rFonts w:ascii="Times New Roman" w:hAnsi="Times New Roman" w:cs="Times New Roman"/>
              </w:rPr>
            </w:pPr>
            <w:r w:rsidRPr="00AE1B2B">
              <w:rPr>
                <w:rFonts w:ascii="Times New Roman" w:hAnsi="Times New Roman" w:cs="Times New Roman"/>
                <w:b/>
                <w:bCs/>
                <w:i/>
                <w:iCs/>
              </w:rPr>
              <w:t>3.2.1.2. Labores por realizar en el 2021</w:t>
            </w:r>
          </w:p>
          <w:p w:rsidRPr="00AE1B2B" w:rsidR="009D3FB5" w:rsidP="00163B94" w:rsidRDefault="009D3FB5" w14:paraId="4CE5475A" w14:textId="77777777">
            <w:pPr>
              <w:spacing w:before="120" w:after="120"/>
              <w:ind w:right="35"/>
              <w:jc w:val="both"/>
              <w:rPr>
                <w:rFonts w:ascii="Times New Roman" w:hAnsi="Times New Roman" w:cs="Times New Roman"/>
                <w:b/>
                <w:bCs/>
                <w:i/>
                <w:iCs/>
              </w:rPr>
            </w:pPr>
          </w:p>
          <w:p w:rsidRPr="00AE1B2B" w:rsidR="009D3FB5" w:rsidP="00163B94" w:rsidRDefault="009D3FB5" w14:paraId="12EF16BF" w14:textId="77777777">
            <w:pPr>
              <w:spacing w:before="120" w:after="120"/>
              <w:ind w:right="35"/>
              <w:jc w:val="both"/>
              <w:rPr>
                <w:rFonts w:ascii="Times New Roman" w:hAnsi="Times New Roman" w:cs="Times New Roman"/>
              </w:rPr>
            </w:pPr>
            <w:r w:rsidRPr="00AE1B2B">
              <w:rPr>
                <w:rFonts w:ascii="Times New Roman" w:hAnsi="Times New Roman" w:cs="Times New Roman"/>
              </w:rPr>
              <w:t>Mediante informe 395-PLA-OI-RH-2020, se determinó que los Juzgados de Trabajo del Tercer Circuito Judicial de San José y del Juzgado de Trabajo del Segundo Circuito Judicial de Alajuela, fueron las oficinas del país que presentaron mayor carga de trabajo para las plazas de Jueza o Juez, situación que en el caso del juzgado capitalino trascendía también a las plazas técnicas, razón por las que con el fin de equilibrar el volumen de trabajo respecto a los juzgados homólogos a nivel nacional se asignaron los recursos con la intención de hacer sostenible la situación respectiva de cada despacho.</w:t>
            </w:r>
          </w:p>
          <w:p w:rsidRPr="00AE1B2B" w:rsidR="009D3FB5" w:rsidP="00163B94" w:rsidRDefault="009D3FB5" w14:paraId="79486910" w14:textId="77777777">
            <w:pPr>
              <w:spacing w:before="120" w:after="120"/>
              <w:ind w:right="35"/>
              <w:jc w:val="both"/>
              <w:rPr>
                <w:rFonts w:ascii="Times New Roman" w:hAnsi="Times New Roman" w:cs="Times New Roman"/>
              </w:rPr>
            </w:pPr>
          </w:p>
          <w:p w:rsidRPr="00AE1B2B" w:rsidR="009D3FB5" w:rsidP="00163B94" w:rsidRDefault="009D3FB5" w14:paraId="69F3762F" w14:textId="77777777">
            <w:pPr>
              <w:spacing w:before="120" w:after="120"/>
              <w:ind w:right="35"/>
              <w:jc w:val="both"/>
              <w:rPr>
                <w:rFonts w:ascii="Times New Roman" w:hAnsi="Times New Roman" w:cs="Times New Roman"/>
              </w:rPr>
            </w:pPr>
            <w:r w:rsidRPr="00AE1B2B">
              <w:rPr>
                <w:rFonts w:ascii="Times New Roman" w:hAnsi="Times New Roman" w:cs="Times New Roman"/>
              </w:rPr>
              <w:lastRenderedPageBreak/>
              <w:t>Ahora bien, teniendo clara la exclusión de la información estadística del 2020, así como la no creación de más plazas por temas de restricción presupuestaria, es importante mencionar los últimos hallazgos detectados en los Juzgados de Trabajo para las labores que efectuarán las plazas para el presente 2021 basados en la estadística que en ese momento se analizó (años 2018 y 2019):</w:t>
            </w:r>
          </w:p>
          <w:p w:rsidRPr="00AE1B2B" w:rsidR="009D3FB5" w:rsidP="00163B94" w:rsidRDefault="009D3FB5" w14:paraId="3C09CE27" w14:textId="77777777">
            <w:pPr>
              <w:spacing w:before="120" w:after="120"/>
              <w:ind w:right="35"/>
              <w:jc w:val="both"/>
              <w:rPr>
                <w:rFonts w:ascii="Times New Roman" w:hAnsi="Times New Roman" w:cs="Times New Roman"/>
              </w:rPr>
            </w:pPr>
          </w:p>
          <w:p w:rsidRPr="00AE1B2B" w:rsidR="009D3FB5" w:rsidP="00163B94" w:rsidRDefault="009D3FB5" w14:paraId="5F368947" w14:textId="77777777">
            <w:pPr>
              <w:spacing w:before="120" w:after="120"/>
              <w:ind w:left="397" w:right="397"/>
              <w:jc w:val="both"/>
              <w:rPr>
                <w:rFonts w:ascii="Times New Roman" w:hAnsi="Times New Roman" w:cs="Times New Roman"/>
              </w:rPr>
            </w:pPr>
            <w:r w:rsidRPr="00AE1B2B">
              <w:rPr>
                <w:rFonts w:ascii="Times New Roman" w:hAnsi="Times New Roman" w:cs="Times New Roman"/>
              </w:rPr>
              <w:t xml:space="preserve"> “…</w:t>
            </w:r>
            <w:r w:rsidRPr="00AE1B2B">
              <w:rPr>
                <w:rFonts w:ascii="Times New Roman" w:hAnsi="Times New Roman" w:cs="Times New Roman"/>
                <w:i/>
                <w:iCs/>
                <w:lang w:eastAsia="es-CR"/>
              </w:rPr>
              <w:t>Según se puede extraer del cuadro 2, la mayoría de los juzgados de trabajo especializados del país, experimentó un descenso en la carga de trabajo tanto por plaza de Jueza o Juez como Técnica o Técnico Judicial, salvo cuatro oficinas representadas por el Tercer Circuito Judicial de San José, Segundo Circuito Judicial de Alajuela así como el Primer y Segundo Circuito Judicial de la Zona Atlántica. Los dos primeros, obtienen las cargas de trabajo mensual más elevadas en cuanto a recurso juzgador se refiere (48 y 44 respectivamente) y de manera adicional, en el apartado de recurso técnico, Desamparados se ubica en la primera posición con 32 asuntos mensuales (13 más que la media nacional).</w:t>
            </w:r>
          </w:p>
          <w:p w:rsidRPr="00AE1B2B" w:rsidR="009D3FB5" w:rsidP="00163B94" w:rsidRDefault="009D3FB5" w14:paraId="4A3D6433" w14:textId="77777777">
            <w:pPr>
              <w:tabs>
                <w:tab w:val="left" w:pos="7176"/>
              </w:tabs>
              <w:spacing w:before="120" w:after="120"/>
              <w:ind w:right="34"/>
              <w:jc w:val="both"/>
              <w:rPr>
                <w:rFonts w:ascii="Times New Roman" w:hAnsi="Times New Roman" w:cs="Times New Roman"/>
                <w:lang w:eastAsia="es-CR"/>
              </w:rPr>
            </w:pPr>
          </w:p>
          <w:p w:rsidRPr="00AE1B2B" w:rsidR="009D3FB5" w:rsidP="00163B94" w:rsidRDefault="009D3FB5" w14:paraId="3039D896" w14:textId="77777777">
            <w:pPr>
              <w:tabs>
                <w:tab w:val="left" w:pos="7176"/>
              </w:tabs>
              <w:spacing w:before="120" w:after="120"/>
              <w:ind w:left="340" w:right="340"/>
              <w:jc w:val="both"/>
              <w:rPr>
                <w:rFonts w:ascii="Times New Roman" w:hAnsi="Times New Roman" w:cs="Times New Roman"/>
                <w:i/>
                <w:iCs/>
              </w:rPr>
            </w:pPr>
            <w:r w:rsidRPr="00AE1B2B">
              <w:rPr>
                <w:rFonts w:ascii="Times New Roman" w:hAnsi="Times New Roman" w:cs="Times New Roman"/>
                <w:i/>
                <w:iCs/>
                <w:lang w:eastAsia="es-CR"/>
              </w:rPr>
              <w:t xml:space="preserve">La otra parte del análisis recae sobre la plaza de Técnica o Técnico Judicial 2 que </w:t>
            </w:r>
            <w:r w:rsidRPr="00AE1B2B">
              <w:rPr>
                <w:rFonts w:ascii="Times New Roman" w:hAnsi="Times New Roman" w:cs="Times New Roman"/>
                <w:i/>
                <w:iCs/>
              </w:rPr>
              <w:t>colabora en el Primer Circuito Judicial de la Zona Atlántica a una Jueza o Juez ordinaria para la atención de las zonas de Matina y Bribri bajo la modalidad de “Jueza o Juez itinerante”. En ese sentido, tal y como se puede apreciar en el cuadro 2 mencionado anteriormente, la carga de trabajo por plaza de Técnica o Técnico Judicial en el Primer Circuito Judicial de la Zona Atlántica muestra la cifra más baja a nivel nacional (12), siete asuntos por debajo del promedio del país, en contraposición con la más elevada del Tercer Circuito Judicial de San José con 32 asuntos por mes.”.</w:t>
            </w:r>
          </w:p>
          <w:p w:rsidRPr="00AE1B2B" w:rsidR="009D3FB5" w:rsidP="00163B94" w:rsidRDefault="009D3FB5" w14:paraId="3636C716" w14:textId="77777777">
            <w:pPr>
              <w:tabs>
                <w:tab w:val="left" w:pos="7176"/>
              </w:tabs>
              <w:spacing w:before="120" w:after="120"/>
              <w:ind w:right="34"/>
              <w:jc w:val="both"/>
              <w:rPr>
                <w:rFonts w:ascii="Times New Roman" w:hAnsi="Times New Roman" w:cs="Times New Roman"/>
                <w:iCs/>
              </w:rPr>
            </w:pPr>
          </w:p>
          <w:p w:rsidRPr="00AE1B2B" w:rsidR="009D3FB5" w:rsidP="00163B94" w:rsidRDefault="009D3FB5" w14:paraId="6E80739A" w14:textId="77777777">
            <w:pPr>
              <w:tabs>
                <w:tab w:val="left" w:pos="7176"/>
              </w:tabs>
              <w:spacing w:before="120" w:after="120"/>
              <w:ind w:right="34"/>
              <w:jc w:val="both"/>
              <w:rPr>
                <w:rFonts w:ascii="Times New Roman" w:hAnsi="Times New Roman" w:cs="Times New Roman"/>
                <w:iCs/>
              </w:rPr>
            </w:pPr>
            <w:r w:rsidRPr="00AE1B2B">
              <w:rPr>
                <w:rFonts w:ascii="Times New Roman" w:hAnsi="Times New Roman" w:cs="Times New Roman"/>
                <w:iCs/>
              </w:rPr>
              <w:t>Producto de los anteriores hallazgos fue que se recomendó una plaza de Técnica o Técnico Judicial 2 así como una de Jueza o Juez 3 para el Juzgado de Trabajo del Tercer Circuito Judicial de San José, así como una de Jueza o Juez 3 para su homólogo del Segundo Circuito Judicial de Alajuela</w:t>
            </w:r>
            <w:r w:rsidRPr="00AE1B2B">
              <w:rPr>
                <w:rStyle w:val="Refdenotaalpie"/>
                <w:rFonts w:ascii="Times New Roman" w:hAnsi="Times New Roman"/>
                <w:iCs/>
              </w:rPr>
              <w:footnoteReference w:id="5"/>
            </w:r>
            <w:r w:rsidRPr="00AE1B2B">
              <w:rPr>
                <w:rFonts w:ascii="Times New Roman" w:hAnsi="Times New Roman" w:cs="Times New Roman"/>
                <w:iCs/>
              </w:rPr>
              <w:t>, análisis que nos ocupa en el presente informe.</w:t>
            </w:r>
          </w:p>
          <w:p w:rsidRPr="00AE1B2B" w:rsidR="009D3FB5" w:rsidP="00163B94" w:rsidRDefault="009D3FB5" w14:paraId="50DFC844" w14:textId="77777777">
            <w:pPr>
              <w:tabs>
                <w:tab w:val="left" w:pos="7176"/>
              </w:tabs>
              <w:spacing w:before="120" w:after="120"/>
              <w:ind w:right="34"/>
              <w:jc w:val="both"/>
              <w:rPr>
                <w:rFonts w:ascii="Times New Roman" w:hAnsi="Times New Roman" w:cs="Times New Roman"/>
                <w:iCs/>
              </w:rPr>
            </w:pPr>
          </w:p>
          <w:p w:rsidRPr="00AE1B2B" w:rsidR="009D3FB5" w:rsidP="00163B94" w:rsidRDefault="009D3FB5" w14:paraId="3412B325" w14:textId="77777777">
            <w:pPr>
              <w:tabs>
                <w:tab w:val="left" w:pos="7176"/>
              </w:tabs>
              <w:spacing w:before="120" w:after="120"/>
              <w:ind w:right="34"/>
              <w:jc w:val="both"/>
              <w:rPr>
                <w:rFonts w:ascii="Times New Roman" w:hAnsi="Times New Roman" w:cs="Times New Roman"/>
                <w:iCs/>
              </w:rPr>
            </w:pPr>
            <w:r w:rsidRPr="00AE1B2B">
              <w:rPr>
                <w:rFonts w:ascii="Times New Roman" w:hAnsi="Times New Roman" w:cs="Times New Roman"/>
                <w:iCs/>
              </w:rPr>
              <w:t>Solamente con efectos ilustrativos</w:t>
            </w:r>
            <w:r w:rsidRPr="00AE1B2B">
              <w:rPr>
                <w:rStyle w:val="Refdenotaalpie"/>
                <w:rFonts w:ascii="Times New Roman" w:hAnsi="Times New Roman"/>
                <w:iCs/>
              </w:rPr>
              <w:footnoteReference w:id="6"/>
            </w:r>
            <w:r w:rsidRPr="00AE1B2B">
              <w:rPr>
                <w:rFonts w:ascii="Times New Roman" w:hAnsi="Times New Roman" w:cs="Times New Roman"/>
                <w:iCs/>
              </w:rPr>
              <w:t xml:space="preserve"> y con la finalidad de mostrar alguna posible alerta, se presentará el análisis estadístico que resume el movimiento de trabajo registrado por los juzgados competentes en materia de Trabajo durante el último bienio 2018-2019:</w:t>
            </w:r>
          </w:p>
          <w:p w:rsidRPr="00AE1B2B" w:rsidR="009D3FB5" w:rsidP="00163B94" w:rsidRDefault="009D3FB5" w14:paraId="4C6F4F22" w14:textId="77777777">
            <w:pPr>
              <w:tabs>
                <w:tab w:val="left" w:pos="7176"/>
              </w:tabs>
              <w:spacing w:before="120" w:after="120"/>
              <w:ind w:right="34"/>
              <w:jc w:val="both"/>
              <w:rPr>
                <w:rFonts w:ascii="Times New Roman" w:hAnsi="Times New Roman" w:cs="Times New Roman"/>
                <w:iCs/>
                <w:highlight w:val="green"/>
              </w:rPr>
            </w:pPr>
          </w:p>
          <w:p w:rsidRPr="00AE1B2B" w:rsidR="009D3FB5" w:rsidP="00163B94" w:rsidRDefault="009D3FB5" w14:paraId="653BAA22" w14:textId="77777777">
            <w:pPr>
              <w:spacing w:before="120" w:after="120"/>
              <w:ind w:right="34"/>
              <w:jc w:val="both"/>
              <w:rPr>
                <w:rFonts w:ascii="Times New Roman" w:hAnsi="Times New Roman" w:cs="Times New Roman"/>
                <w:b/>
                <w:bCs/>
                <w:i/>
                <w:iCs/>
              </w:rPr>
            </w:pPr>
            <w:r w:rsidRPr="00AE1B2B">
              <w:rPr>
                <w:rFonts w:ascii="Times New Roman" w:hAnsi="Times New Roman" w:cs="Times New Roman"/>
                <w:b/>
                <w:bCs/>
                <w:i/>
                <w:iCs/>
                <w:noProof/>
                <w:lang w:val="en-US"/>
              </w:rPr>
              <w:lastRenderedPageBreak/>
              <w:drawing>
                <wp:inline distT="0" distB="0" distL="0" distR="0" wp14:anchorId="0EC339E6" wp14:editId="7290D9BC">
                  <wp:extent cx="5313680" cy="1818640"/>
                  <wp:effectExtent l="0" t="0" r="127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313680" cy="1818640"/>
                          </a:xfrm>
                          <a:prstGeom prst="rect">
                            <a:avLst/>
                          </a:prstGeom>
                        </pic:spPr>
                      </pic:pic>
                    </a:graphicData>
                  </a:graphic>
                </wp:inline>
              </w:drawing>
            </w:r>
          </w:p>
          <w:p w:rsidRPr="00AE1B2B" w:rsidR="009D3FB5" w:rsidP="00163B94" w:rsidRDefault="009D3FB5" w14:paraId="3CFAD1F0" w14:textId="77777777">
            <w:pPr>
              <w:spacing w:before="120" w:after="120"/>
              <w:ind w:right="34"/>
              <w:jc w:val="both"/>
              <w:rPr>
                <w:rFonts w:ascii="Times New Roman" w:hAnsi="Times New Roman" w:cs="Times New Roman"/>
                <w:b/>
                <w:bCs/>
                <w:i/>
                <w:iCs/>
              </w:rPr>
            </w:pPr>
          </w:p>
          <w:p w:rsidRPr="00AE1B2B" w:rsidR="009D3FB5" w:rsidP="00163B94" w:rsidRDefault="009D3FB5" w14:paraId="7D54BA20" w14:textId="77777777">
            <w:pPr>
              <w:spacing w:before="120" w:after="120"/>
              <w:ind w:right="34"/>
              <w:jc w:val="both"/>
              <w:rPr>
                <w:rFonts w:ascii="Times New Roman" w:hAnsi="Times New Roman" w:cs="Times New Roman"/>
              </w:rPr>
            </w:pPr>
            <w:r w:rsidRPr="00AE1B2B">
              <w:rPr>
                <w:rFonts w:ascii="Times New Roman" w:hAnsi="Times New Roman" w:cs="Times New Roman"/>
              </w:rPr>
              <w:t>Es importante indicar que conforme al volumen de trabajo mostrado por los Juzgados Laborales de Desamparados y San Carlos al cierre de 2019, fueron los despachos con mayor necesidad del recurso, previo a que se declarara el estado de pandemia en el país en 2020, que fue justamente atípico en movimiento de trabajo.</w:t>
            </w:r>
          </w:p>
          <w:p w:rsidRPr="00AE1B2B" w:rsidR="009D3FB5" w:rsidP="00163B94" w:rsidRDefault="009D3FB5" w14:paraId="36756AF1" w14:textId="77777777">
            <w:pPr>
              <w:spacing w:before="120" w:after="120"/>
              <w:ind w:right="34"/>
              <w:jc w:val="both"/>
              <w:rPr>
                <w:rFonts w:ascii="Times New Roman" w:hAnsi="Times New Roman" w:cs="Times New Roman"/>
              </w:rPr>
            </w:pPr>
          </w:p>
          <w:p w:rsidRPr="00AE1B2B" w:rsidR="009D3FB5" w:rsidP="00163B94" w:rsidRDefault="009D3FB5" w14:paraId="51946934" w14:textId="77777777">
            <w:pPr>
              <w:spacing w:before="120" w:after="120"/>
              <w:ind w:right="177"/>
              <w:jc w:val="both"/>
              <w:rPr>
                <w:rFonts w:ascii="Times New Roman" w:hAnsi="Times New Roman" w:cs="Times New Roman"/>
                <w:b/>
                <w:bCs/>
              </w:rPr>
            </w:pPr>
            <w:r w:rsidRPr="00AE1B2B">
              <w:rPr>
                <w:rFonts w:ascii="Times New Roman" w:hAnsi="Times New Roman" w:cs="Times New Roman"/>
                <w:b/>
                <w:bCs/>
              </w:rPr>
              <w:t>3.2.1.2. Criterio de la licenciada Cinthia Pérez Pereira, Jueza Coordinadora del Juzgado de Trabajo de Desamparados</w:t>
            </w:r>
          </w:p>
          <w:p w:rsidRPr="00AE1B2B" w:rsidR="009D3FB5" w:rsidP="00163B94" w:rsidRDefault="009D3FB5" w14:paraId="4594DEEF" w14:textId="77777777">
            <w:pPr>
              <w:spacing w:before="120" w:after="120"/>
              <w:ind w:right="177"/>
              <w:jc w:val="both"/>
              <w:rPr>
                <w:rFonts w:ascii="Times New Roman" w:hAnsi="Times New Roman" w:cs="Times New Roman"/>
              </w:rPr>
            </w:pPr>
          </w:p>
          <w:p w:rsidRPr="00AE1B2B" w:rsidR="009D3FB5" w:rsidP="00163B94" w:rsidRDefault="009D3FB5" w14:paraId="7B395801" w14:textId="77777777">
            <w:pPr>
              <w:spacing w:before="120" w:after="120"/>
              <w:ind w:right="177"/>
              <w:jc w:val="both"/>
              <w:rPr>
                <w:rFonts w:ascii="Times New Roman" w:hAnsi="Times New Roman" w:cs="Times New Roman"/>
              </w:rPr>
            </w:pPr>
            <w:r w:rsidRPr="00AE1B2B">
              <w:rPr>
                <w:rFonts w:ascii="Times New Roman" w:hAnsi="Times New Roman" w:cs="Times New Roman"/>
              </w:rPr>
              <w:t>Mediante conversación vía Teams con la licenciada Pérez Pereira y su concepto respecto de la labor que realizan las plazas en su oficina, manifiesta que en cuanto a cantidad de recurso humano ordinario son un despacho pequeño frente a sus homólogos, no obstante, los números no necesariamente reflejan las necesidades de esa oficina, pues basta con ver los números de entrada y circulante que les genera el movimiento de trabajo en esa oficina</w:t>
            </w:r>
            <w:r w:rsidRPr="00AE1B2B">
              <w:rPr>
                <w:rStyle w:val="Refdenotaalpie"/>
                <w:rFonts w:ascii="Times New Roman" w:hAnsi="Times New Roman"/>
              </w:rPr>
              <w:footnoteReference w:id="7"/>
            </w:r>
            <w:r w:rsidRPr="00AE1B2B">
              <w:rPr>
                <w:rFonts w:ascii="Times New Roman" w:hAnsi="Times New Roman" w:cs="Times New Roman"/>
              </w:rPr>
              <w:t>.</w:t>
            </w:r>
          </w:p>
          <w:p w:rsidRPr="00AE1B2B" w:rsidR="009D3FB5" w:rsidP="00163B94" w:rsidRDefault="009D3FB5" w14:paraId="61F20EC1" w14:textId="77777777">
            <w:pPr>
              <w:spacing w:before="120" w:after="120"/>
              <w:ind w:right="177"/>
              <w:jc w:val="both"/>
              <w:rPr>
                <w:rFonts w:ascii="Times New Roman" w:hAnsi="Times New Roman" w:cs="Times New Roman"/>
              </w:rPr>
            </w:pPr>
          </w:p>
          <w:p w:rsidRPr="00AE1B2B" w:rsidR="009D3FB5" w:rsidP="00163B94" w:rsidRDefault="009D3FB5" w14:paraId="1E2CEDA3" w14:textId="77777777">
            <w:pPr>
              <w:spacing w:before="120" w:after="120"/>
              <w:ind w:right="177"/>
              <w:jc w:val="both"/>
              <w:rPr>
                <w:rFonts w:ascii="Times New Roman" w:hAnsi="Times New Roman" w:cs="Times New Roman"/>
              </w:rPr>
            </w:pPr>
            <w:r w:rsidRPr="00AE1B2B">
              <w:rPr>
                <w:rFonts w:ascii="Times New Roman" w:hAnsi="Times New Roman" w:cs="Times New Roman"/>
              </w:rPr>
              <w:t xml:space="preserve">Considera que, al sumar las plazas extraordinarias de Jueza o Juez y Técnica o Técnico Judicial a la estructura del despacho, el aporte lo resume en poder hacer frente a la demanda de asuntos y cargas de trabajo según el tipo de plaza. Prueba de lo que indica la licenciada Pérez Pereira, radica en que, aun contando con la asignación extraordinaria de la plaza técnica, la carga de trabajo sería de 21 asuntos (cinco por encima de la media nacional), por lo que resulta viable analizar la situación al cierre de 2021 por parte del CACMFJ, para visualizar si el volumen de trabajo se mantiene y definir el destino de ese recurso. </w:t>
            </w:r>
          </w:p>
          <w:p w:rsidRPr="00AE1B2B" w:rsidR="009D3FB5" w:rsidP="00163B94" w:rsidRDefault="009D3FB5" w14:paraId="3CA552CB" w14:textId="77777777">
            <w:pPr>
              <w:spacing w:before="120" w:after="120"/>
              <w:ind w:right="177"/>
              <w:jc w:val="both"/>
              <w:rPr>
                <w:rFonts w:ascii="Times New Roman" w:hAnsi="Times New Roman" w:cs="Times New Roman"/>
              </w:rPr>
            </w:pPr>
          </w:p>
          <w:p w:rsidRPr="00AE1B2B" w:rsidR="009D3FB5" w:rsidP="00163B94" w:rsidRDefault="009D3FB5" w14:paraId="2D6601A6" w14:textId="77777777">
            <w:pPr>
              <w:spacing w:before="120" w:after="120"/>
              <w:ind w:right="177"/>
              <w:jc w:val="both"/>
              <w:rPr>
                <w:rFonts w:ascii="Times New Roman" w:hAnsi="Times New Roman" w:cs="Times New Roman"/>
              </w:rPr>
            </w:pPr>
            <w:r w:rsidRPr="00AE1B2B">
              <w:rPr>
                <w:rFonts w:ascii="Times New Roman" w:hAnsi="Times New Roman" w:cs="Times New Roman"/>
              </w:rPr>
              <w:t xml:space="preserve">Manifiesta que en vista de la objetividad con la que trabaja la oficina, le permite garantizar que con la cantidad total de técnicos se esté atendiendo correctamente el trámite de la oficina, se resuelve de manera muy célere. A manera de ejemplo, menciona que se está resolviendo el trámite a dos días plazo, al circulante se le efectúa una revisión cada cuatro semanas, y ello ha colaborado para reducir la cantidad de consultas presenciales en el despacho (ajeno al tema pandémico) y hace </w:t>
            </w:r>
            <w:r w:rsidRPr="00AE1B2B">
              <w:rPr>
                <w:rFonts w:ascii="Times New Roman" w:hAnsi="Times New Roman" w:cs="Times New Roman"/>
              </w:rPr>
              <w:lastRenderedPageBreak/>
              <w:t>respetar las medidas administrativas cuando corresponde en caso de incumplimiento en el plazo de resolución de asuntos.</w:t>
            </w:r>
          </w:p>
          <w:p w:rsidRPr="00AE1B2B" w:rsidR="009D3FB5" w:rsidP="00163B94" w:rsidRDefault="009D3FB5" w14:paraId="3D5A1738" w14:textId="77777777">
            <w:pPr>
              <w:spacing w:before="120" w:after="120"/>
              <w:ind w:right="177"/>
              <w:jc w:val="both"/>
              <w:rPr>
                <w:rFonts w:ascii="Times New Roman" w:hAnsi="Times New Roman" w:cs="Times New Roman"/>
              </w:rPr>
            </w:pPr>
          </w:p>
          <w:p w:rsidRPr="00AE1B2B" w:rsidR="009D3FB5" w:rsidP="00163B94" w:rsidRDefault="009D3FB5" w14:paraId="443997FC" w14:textId="77777777">
            <w:pPr>
              <w:spacing w:before="120" w:after="120"/>
              <w:ind w:right="177"/>
              <w:jc w:val="both"/>
              <w:rPr>
                <w:rFonts w:ascii="Times New Roman" w:hAnsi="Times New Roman" w:cs="Times New Roman"/>
              </w:rPr>
            </w:pPr>
            <w:r w:rsidRPr="00AE1B2B">
              <w:rPr>
                <w:rFonts w:ascii="Times New Roman" w:hAnsi="Times New Roman" w:cs="Times New Roman"/>
              </w:rPr>
              <w:t>En el caso de las plazas juzgadoras indudablemente ha mejorado en temas de celeridad, no solo porque la reforma en sí impulsaba la oralidad, sino que se ha mejorado el plazo histórico en el dictado de sentencia por parte de los juzgadores.</w:t>
            </w:r>
          </w:p>
          <w:p w:rsidRPr="00AE1B2B" w:rsidR="009D3FB5" w:rsidP="00163B94" w:rsidRDefault="009D3FB5" w14:paraId="708873D0" w14:textId="77777777">
            <w:pPr>
              <w:spacing w:before="120" w:after="120"/>
              <w:ind w:right="177"/>
              <w:jc w:val="both"/>
              <w:rPr>
                <w:rFonts w:ascii="Times New Roman" w:hAnsi="Times New Roman" w:cs="Times New Roman"/>
              </w:rPr>
            </w:pPr>
          </w:p>
          <w:p w:rsidRPr="00AE1B2B" w:rsidR="009D3FB5" w:rsidP="00163B94" w:rsidRDefault="009D3FB5" w14:paraId="3DCFE787" w14:textId="77777777">
            <w:pPr>
              <w:spacing w:before="120" w:after="120"/>
              <w:ind w:right="177"/>
              <w:jc w:val="both"/>
              <w:rPr>
                <w:rFonts w:ascii="Times New Roman" w:hAnsi="Times New Roman" w:cs="Times New Roman"/>
              </w:rPr>
            </w:pPr>
            <w:r w:rsidRPr="00AE1B2B">
              <w:rPr>
                <w:rFonts w:ascii="Times New Roman" w:hAnsi="Times New Roman" w:cs="Times New Roman"/>
              </w:rPr>
              <w:t>Indica, que mantener las plazas extraordinarias incluso les ha permitido, poder realizar juicios virtuales, lo cual es algo innovador por cuanto en los restantes homólogos (salvo Guápiles), solamente las conciliaciones se efectúan de manera virtual.</w:t>
            </w:r>
          </w:p>
          <w:p w:rsidRPr="00AE1B2B" w:rsidR="009D3FB5" w:rsidP="00163B94" w:rsidRDefault="009D3FB5" w14:paraId="6BF1EE59" w14:textId="77777777">
            <w:pPr>
              <w:spacing w:before="120" w:after="120"/>
              <w:ind w:right="177"/>
              <w:jc w:val="both"/>
              <w:rPr>
                <w:rFonts w:ascii="Times New Roman" w:hAnsi="Times New Roman" w:cs="Times New Roman"/>
              </w:rPr>
            </w:pPr>
          </w:p>
          <w:p w:rsidRPr="00AE1B2B" w:rsidR="009D3FB5" w:rsidP="00163B94" w:rsidRDefault="009D3FB5" w14:paraId="3B51B109" w14:textId="77777777">
            <w:pPr>
              <w:spacing w:before="120" w:after="120"/>
              <w:ind w:right="177"/>
              <w:jc w:val="both"/>
              <w:rPr>
                <w:rFonts w:ascii="Times New Roman" w:hAnsi="Times New Roman" w:cs="Times New Roman"/>
              </w:rPr>
            </w:pPr>
            <w:r w:rsidRPr="00AE1B2B">
              <w:rPr>
                <w:rFonts w:ascii="Times New Roman" w:hAnsi="Times New Roman" w:cs="Times New Roman"/>
              </w:rPr>
              <w:t xml:space="preserve">Al efectuar la respectiva revisión de los indicadores, los resultados se ajustan a lo manifestado por la licenciada Pérez Pereira, en el sentido de que por ejemplo no existen escritos pendientes de resolver a la fecha por parte del personal técnico, </w:t>
            </w:r>
            <w:r w:rsidRPr="00AE1B2B">
              <w:rPr>
                <w:rFonts w:ascii="Times New Roman" w:hAnsi="Times New Roman" w:cs="Times New Roman"/>
                <w:b/>
                <w:bCs/>
              </w:rPr>
              <w:t>es decir, manejan un plazo de resolución prácticamente inmediato</w:t>
            </w:r>
            <w:r w:rsidRPr="00AE1B2B">
              <w:rPr>
                <w:rFonts w:ascii="Times New Roman" w:hAnsi="Times New Roman" w:cs="Times New Roman"/>
              </w:rPr>
              <w:t>.</w:t>
            </w:r>
          </w:p>
          <w:p w:rsidRPr="00AE1B2B" w:rsidR="009D3FB5" w:rsidP="00163B94" w:rsidRDefault="009D3FB5" w14:paraId="480184E7" w14:textId="77777777">
            <w:pPr>
              <w:spacing w:before="120" w:after="120"/>
              <w:ind w:right="177"/>
              <w:jc w:val="both"/>
              <w:rPr>
                <w:rFonts w:ascii="Times New Roman" w:hAnsi="Times New Roman" w:cs="Times New Roman"/>
              </w:rPr>
            </w:pPr>
          </w:p>
          <w:p w:rsidRPr="00AE1B2B" w:rsidR="009D3FB5" w:rsidP="00163B94" w:rsidRDefault="009D3FB5" w14:paraId="7D547B90" w14:textId="77777777">
            <w:pPr>
              <w:spacing w:before="120" w:after="120"/>
              <w:ind w:right="177"/>
              <w:jc w:val="both"/>
              <w:rPr>
                <w:rFonts w:ascii="Times New Roman" w:hAnsi="Times New Roman" w:cs="Times New Roman"/>
              </w:rPr>
            </w:pPr>
            <w:r w:rsidRPr="00AE1B2B">
              <w:rPr>
                <w:rFonts w:ascii="Times New Roman" w:hAnsi="Times New Roman" w:cs="Times New Roman"/>
              </w:rPr>
              <w:t xml:space="preserve">Respecto de las audiencias, </w:t>
            </w:r>
            <w:r w:rsidRPr="00AE1B2B">
              <w:rPr>
                <w:rFonts w:ascii="Times New Roman" w:hAnsi="Times New Roman" w:cs="Times New Roman"/>
                <w:b/>
                <w:bCs/>
              </w:rPr>
              <w:t>en efecto se está implementando la modalidad virtual en causas principales y no solo en las conciliaciones</w:t>
            </w:r>
            <w:r w:rsidRPr="00AE1B2B">
              <w:rPr>
                <w:rFonts w:ascii="Times New Roman" w:hAnsi="Times New Roman" w:cs="Times New Roman"/>
              </w:rPr>
              <w:t>. De acuerdo con los datos generados por el Subproceso de Evaluación de la Dirección de Planificación, mensualmente en promedio se programan 52 diligencias de ese tipo, y de ellas, un total de 27 son virtuales, es decir un 52% del total.</w:t>
            </w:r>
          </w:p>
          <w:p w:rsidRPr="00AE1B2B" w:rsidR="009D3FB5" w:rsidP="00163B94" w:rsidRDefault="009D3FB5" w14:paraId="2D1547DD" w14:textId="77777777">
            <w:pPr>
              <w:spacing w:before="120" w:after="120"/>
              <w:ind w:right="177"/>
              <w:jc w:val="both"/>
              <w:rPr>
                <w:rFonts w:ascii="Times New Roman" w:hAnsi="Times New Roman" w:cs="Times New Roman"/>
              </w:rPr>
            </w:pPr>
          </w:p>
          <w:p w:rsidRPr="00AE1B2B" w:rsidR="009D3FB5" w:rsidP="00163B94" w:rsidRDefault="009D3FB5" w14:paraId="2472A933" w14:textId="77777777">
            <w:pPr>
              <w:spacing w:before="120" w:after="120"/>
              <w:ind w:right="177"/>
              <w:jc w:val="both"/>
              <w:rPr>
                <w:rFonts w:ascii="Times New Roman" w:hAnsi="Times New Roman" w:cs="Times New Roman"/>
              </w:rPr>
            </w:pPr>
            <w:r w:rsidRPr="00AE1B2B">
              <w:rPr>
                <w:rFonts w:ascii="Times New Roman" w:hAnsi="Times New Roman" w:cs="Times New Roman"/>
              </w:rPr>
              <w:t xml:space="preserve">En cuanto al tema de las sentencias, se visualiza que, a nivel de indicadores, el plazo global de esta variable es de 30 días. Es importante indicar, que ese plazo incluye asuntos de rebeldía, que ciertamente constituye una variable exógena al despacho y altera el promedio general. </w:t>
            </w:r>
            <w:r w:rsidRPr="00AE1B2B">
              <w:rPr>
                <w:rFonts w:ascii="Times New Roman" w:hAnsi="Times New Roman" w:cs="Times New Roman"/>
                <w:b/>
                <w:bCs/>
              </w:rPr>
              <w:t>No obstante, sí se pudo verificar que fuera de ellos, las sentencias se dictan dentro del plazo de ley establecido, incluso con casos resueltos en dos o tres días</w:t>
            </w:r>
            <w:r w:rsidRPr="00AE1B2B">
              <w:rPr>
                <w:rFonts w:ascii="Times New Roman" w:hAnsi="Times New Roman" w:cs="Times New Roman"/>
              </w:rPr>
              <w:t>, máxime que no todos los asuntos son resueltos de manera oral, ya que la sentencia puede ser solicitada de manera escrita por las partes, para efectos recursivos por asesoría de la Defensa Pública.</w:t>
            </w:r>
          </w:p>
          <w:p w:rsidRPr="00AE1B2B" w:rsidR="009D3FB5" w:rsidP="00163B94" w:rsidRDefault="009D3FB5" w14:paraId="5DD1E10B" w14:textId="77777777">
            <w:pPr>
              <w:spacing w:before="120" w:after="120"/>
              <w:ind w:right="177"/>
              <w:jc w:val="both"/>
              <w:rPr>
                <w:rFonts w:ascii="Times New Roman" w:hAnsi="Times New Roman" w:cs="Times New Roman"/>
              </w:rPr>
            </w:pPr>
          </w:p>
          <w:p w:rsidRPr="00AE1B2B" w:rsidR="009D3FB5" w:rsidP="00163B94" w:rsidRDefault="009D3FB5" w14:paraId="57B342D4" w14:textId="77777777">
            <w:pPr>
              <w:spacing w:before="120" w:after="120"/>
              <w:ind w:right="177"/>
              <w:jc w:val="both"/>
              <w:rPr>
                <w:rFonts w:ascii="Times New Roman" w:hAnsi="Times New Roman" w:cs="Times New Roman"/>
              </w:rPr>
            </w:pPr>
            <w:r w:rsidRPr="00AE1B2B">
              <w:rPr>
                <w:rFonts w:ascii="Times New Roman" w:hAnsi="Times New Roman" w:cs="Times New Roman"/>
              </w:rPr>
              <w:t>Por lo expuesto, se evidencia que lo indicado por la licenciada Pérez Pereira, es consecuente con los indicadores automatizados que para los efectos tiene a cargo la Dirección de Planificación a través del Subproceso de Evaluación.</w:t>
            </w:r>
          </w:p>
          <w:p w:rsidRPr="00AE1B2B" w:rsidR="009D3FB5" w:rsidP="00163B94" w:rsidRDefault="009D3FB5" w14:paraId="1317A512" w14:textId="77777777">
            <w:pPr>
              <w:spacing w:before="120" w:after="120"/>
              <w:ind w:right="177"/>
              <w:jc w:val="both"/>
              <w:rPr>
                <w:rFonts w:ascii="Times New Roman" w:hAnsi="Times New Roman" w:cs="Times New Roman"/>
              </w:rPr>
            </w:pPr>
          </w:p>
          <w:p w:rsidRPr="00AE1B2B" w:rsidR="009D3FB5" w:rsidP="00163B94" w:rsidRDefault="009D3FB5" w14:paraId="0D246627" w14:textId="77777777">
            <w:pPr>
              <w:spacing w:before="120" w:after="120"/>
              <w:ind w:right="34"/>
              <w:jc w:val="both"/>
              <w:rPr>
                <w:rFonts w:ascii="Times New Roman" w:hAnsi="Times New Roman" w:cs="Times New Roman"/>
                <w:b/>
                <w:bCs/>
              </w:rPr>
            </w:pPr>
            <w:r w:rsidRPr="00AE1B2B">
              <w:rPr>
                <w:rFonts w:ascii="Times New Roman" w:hAnsi="Times New Roman" w:cs="Times New Roman"/>
                <w:b/>
                <w:bCs/>
              </w:rPr>
              <w:t>3.2.1.3. Criterio de la licenciada Marta Chaves Chaves, Jueza Coordinadora del Juzgado de Trabajo de San Carlos</w:t>
            </w:r>
          </w:p>
          <w:p w:rsidRPr="00AE1B2B" w:rsidR="009D3FB5" w:rsidP="00163B94" w:rsidRDefault="009D3FB5" w14:paraId="486FAC00" w14:textId="77777777">
            <w:pPr>
              <w:spacing w:before="120" w:after="120"/>
              <w:ind w:right="34"/>
              <w:jc w:val="both"/>
              <w:rPr>
                <w:rFonts w:ascii="Times New Roman" w:hAnsi="Times New Roman" w:cs="Times New Roman"/>
              </w:rPr>
            </w:pPr>
          </w:p>
          <w:p w:rsidRPr="00AE1B2B" w:rsidR="009D3FB5" w:rsidP="00163B94" w:rsidRDefault="009D3FB5" w14:paraId="7F2660ED" w14:textId="77777777">
            <w:pPr>
              <w:spacing w:before="120" w:after="120"/>
              <w:ind w:right="34"/>
              <w:jc w:val="both"/>
              <w:rPr>
                <w:rFonts w:ascii="Times New Roman" w:hAnsi="Times New Roman" w:cs="Times New Roman"/>
              </w:rPr>
            </w:pPr>
            <w:r w:rsidRPr="00AE1B2B">
              <w:rPr>
                <w:rFonts w:ascii="Times New Roman" w:hAnsi="Times New Roman" w:cs="Times New Roman"/>
              </w:rPr>
              <w:t xml:space="preserve">Manifiesta que el personal que se ha venido nombrando por parte del CACMFJ, ha provocado que quien ocupe la plaza juzgadora de manera extraordinaria no sea la persona idónea, por lo que no se ha cumplido con los parámetros esperados y trazados por la oficina, inquietud que plasmó ante esa dependencia, para que se tome en </w:t>
            </w:r>
            <w:r w:rsidRPr="00AE1B2B">
              <w:rPr>
                <w:rFonts w:ascii="Times New Roman" w:hAnsi="Times New Roman" w:cs="Times New Roman"/>
              </w:rPr>
              <w:lastRenderedPageBreak/>
              <w:t>consideración al momento de nombrar el recurso particularmente en ese despacho. Al respecto, se está incorporando una recomendación sobre el tema en el apartado respectivo.</w:t>
            </w:r>
          </w:p>
          <w:p w:rsidRPr="00AE1B2B" w:rsidR="009D3FB5" w:rsidP="00163B94" w:rsidRDefault="009D3FB5" w14:paraId="7E6157A2" w14:textId="77777777">
            <w:pPr>
              <w:spacing w:before="120" w:after="120"/>
              <w:ind w:right="34"/>
              <w:jc w:val="both"/>
              <w:rPr>
                <w:rFonts w:ascii="Times New Roman" w:hAnsi="Times New Roman" w:cs="Times New Roman"/>
              </w:rPr>
            </w:pPr>
          </w:p>
          <w:p w:rsidRPr="00AE1B2B" w:rsidR="009D3FB5" w:rsidP="00163B94" w:rsidRDefault="009D3FB5" w14:paraId="776BE5A6" w14:textId="77777777">
            <w:pPr>
              <w:spacing w:before="120" w:after="120"/>
              <w:ind w:right="34"/>
              <w:jc w:val="both"/>
              <w:rPr>
                <w:rFonts w:ascii="Times New Roman" w:hAnsi="Times New Roman" w:cs="Times New Roman"/>
              </w:rPr>
            </w:pPr>
            <w:r w:rsidRPr="00AE1B2B">
              <w:rPr>
                <w:rFonts w:ascii="Times New Roman" w:hAnsi="Times New Roman" w:cs="Times New Roman"/>
              </w:rPr>
              <w:t xml:space="preserve">Se diseña para el 2021, un plan de trabajo con esta plaza para que efectúe audiencias rezagadas por causa del Covid-19, asimismo se efectúan tres señalamientos semanales, y se dispone de los dos días restantes para la atención de fueros de protección. Acá es importante indicar que, de manera adicional, dos viernes al mes se dedicarán a efectuar audiencias masivas de conciliación que incluso alcanza en ocasiones hasta 18 diligencias diarias. </w:t>
            </w:r>
          </w:p>
          <w:p w:rsidRPr="00AE1B2B" w:rsidR="009D3FB5" w:rsidP="00163B94" w:rsidRDefault="009D3FB5" w14:paraId="0155FEA1" w14:textId="77777777">
            <w:pPr>
              <w:spacing w:before="120" w:after="120"/>
              <w:ind w:right="34"/>
              <w:jc w:val="both"/>
              <w:rPr>
                <w:rFonts w:ascii="Times New Roman" w:hAnsi="Times New Roman" w:cs="Times New Roman"/>
              </w:rPr>
            </w:pPr>
          </w:p>
          <w:p w:rsidRPr="00AE1B2B" w:rsidR="009D3FB5" w:rsidP="00163B94" w:rsidRDefault="009D3FB5" w14:paraId="5B161A90" w14:textId="77777777">
            <w:pPr>
              <w:spacing w:before="120" w:after="120"/>
              <w:ind w:right="34"/>
              <w:jc w:val="both"/>
              <w:rPr>
                <w:rFonts w:ascii="Times New Roman" w:hAnsi="Times New Roman" w:cs="Times New Roman"/>
              </w:rPr>
            </w:pPr>
            <w:r w:rsidRPr="00AE1B2B">
              <w:rPr>
                <w:rFonts w:ascii="Times New Roman" w:hAnsi="Times New Roman" w:cs="Times New Roman"/>
              </w:rPr>
              <w:t>En cuanto a la agenda, es importante indicar que ya se están señalando asuntos para octubre de 2022, el hecho de poder contar con esa plaza permitirá retraer el plazo de la agenda y con ello mejorar los tiempos de resolución y dictados de sentencia de los expedientes y es un hecho que, de no contar con esa plaza, no hace sostenible la carga de trabajo de la oficina.</w:t>
            </w:r>
          </w:p>
          <w:p w:rsidRPr="00AE1B2B" w:rsidR="009D3FB5" w:rsidP="00163B94" w:rsidRDefault="009D3FB5" w14:paraId="7A05E95E" w14:textId="77777777">
            <w:pPr>
              <w:spacing w:before="120" w:after="120"/>
              <w:ind w:right="34"/>
              <w:jc w:val="both"/>
              <w:rPr>
                <w:rFonts w:ascii="Times New Roman" w:hAnsi="Times New Roman" w:cs="Times New Roman"/>
              </w:rPr>
            </w:pPr>
          </w:p>
          <w:p w:rsidRPr="00AE1B2B" w:rsidR="009D3FB5" w:rsidP="00163B94" w:rsidRDefault="009D3FB5" w14:paraId="4FD6A565" w14:textId="77777777">
            <w:pPr>
              <w:spacing w:before="120" w:after="120"/>
              <w:ind w:right="34"/>
              <w:jc w:val="both"/>
              <w:rPr>
                <w:rFonts w:ascii="Times New Roman" w:hAnsi="Times New Roman" w:cs="Times New Roman"/>
              </w:rPr>
            </w:pPr>
            <w:r w:rsidRPr="00AE1B2B">
              <w:rPr>
                <w:rFonts w:ascii="Times New Roman" w:hAnsi="Times New Roman" w:cs="Times New Roman"/>
                <w:b/>
                <w:bCs/>
                <w:i/>
                <w:iCs/>
              </w:rPr>
              <w:t>3.2.1.4. Criterio sobre la continuidad de las plazas</w:t>
            </w:r>
          </w:p>
          <w:p w:rsidRPr="00AE1B2B" w:rsidR="009D3FB5" w:rsidP="00163B94" w:rsidRDefault="009D3FB5" w14:paraId="78940368" w14:textId="77777777">
            <w:pPr>
              <w:spacing w:before="120" w:after="120"/>
              <w:ind w:right="34"/>
              <w:jc w:val="both"/>
              <w:rPr>
                <w:rFonts w:ascii="Times New Roman" w:hAnsi="Times New Roman" w:cs="Times New Roman"/>
                <w:i/>
                <w:iCs/>
              </w:rPr>
            </w:pPr>
          </w:p>
          <w:p w:rsidRPr="00AE1B2B" w:rsidR="009D3FB5" w:rsidP="00163B94" w:rsidRDefault="009D3FB5" w14:paraId="6153A650" w14:textId="77777777">
            <w:pPr>
              <w:tabs>
                <w:tab w:val="left" w:pos="7176"/>
              </w:tabs>
              <w:spacing w:before="120" w:after="120"/>
              <w:ind w:right="34"/>
              <w:jc w:val="both"/>
              <w:rPr>
                <w:rFonts w:ascii="Times New Roman" w:hAnsi="Times New Roman" w:cs="Times New Roman"/>
                <w:iCs/>
              </w:rPr>
            </w:pPr>
            <w:r w:rsidRPr="00AE1B2B">
              <w:rPr>
                <w:rFonts w:ascii="Times New Roman" w:hAnsi="Times New Roman" w:cs="Times New Roman"/>
                <w:iCs/>
              </w:rPr>
              <w:t>Amparado en el testimonio de las licenciadas Pérez Pereira y Chaves Chaves, Juezas Coordinadoras del Juzgado de Trabajo de Desamparados y San Carlos respectivamente, así como de lo visualizado en los números actualizados (aunque de carácter preliminar), en que las condiciones de cargas de trabajo a nivel nacional más que aumentar descendieron en general, es de suponer que no generará grandes cambios en nuestro enfoque administrativo, menos tomar decisiones extremas en momentos en que el comportamiento de la sociedad nacional resulta impredecible, por lo que se estima prudente otorgar la continuidad extraordinaria a los recursos tal cual se asignaron en 2021</w:t>
            </w:r>
            <w:r w:rsidRPr="00AE1B2B">
              <w:rPr>
                <w:rStyle w:val="Refdenotaalpie"/>
                <w:rFonts w:ascii="Times New Roman" w:hAnsi="Times New Roman"/>
                <w:iCs/>
              </w:rPr>
              <w:footnoteReference w:id="8"/>
            </w:r>
            <w:r w:rsidRPr="00AE1B2B">
              <w:rPr>
                <w:rFonts w:ascii="Times New Roman" w:hAnsi="Times New Roman" w:cs="Times New Roman"/>
                <w:iCs/>
              </w:rPr>
              <w:t>, y determinar su condición en el próximo ejercicio de formulación presupuestaria.</w:t>
            </w:r>
          </w:p>
          <w:p w:rsidRPr="00AE1B2B" w:rsidR="009D3FB5" w:rsidP="00163B94" w:rsidRDefault="009D3FB5" w14:paraId="61203CE0" w14:textId="77777777">
            <w:pPr>
              <w:tabs>
                <w:tab w:val="left" w:pos="7176"/>
              </w:tabs>
              <w:spacing w:before="120" w:after="120"/>
              <w:ind w:right="34"/>
              <w:jc w:val="both"/>
              <w:rPr>
                <w:rFonts w:ascii="Times New Roman" w:hAnsi="Times New Roman" w:cs="Times New Roman"/>
                <w:iCs/>
              </w:rPr>
            </w:pPr>
          </w:p>
          <w:p w:rsidRPr="00AE1B2B" w:rsidR="009D3FB5" w:rsidP="00163B94" w:rsidRDefault="009D3FB5" w14:paraId="2CCC5A35" w14:textId="77777777">
            <w:pPr>
              <w:tabs>
                <w:tab w:val="left" w:pos="7176"/>
              </w:tabs>
              <w:spacing w:before="120" w:after="120"/>
              <w:ind w:right="34"/>
              <w:jc w:val="both"/>
              <w:rPr>
                <w:rFonts w:ascii="Times New Roman" w:hAnsi="Times New Roman" w:cs="Times New Roman"/>
                <w:iCs/>
              </w:rPr>
            </w:pPr>
            <w:r w:rsidRPr="00AE1B2B">
              <w:rPr>
                <w:rFonts w:ascii="Times New Roman" w:hAnsi="Times New Roman" w:cs="Times New Roman"/>
                <w:iCs/>
              </w:rPr>
              <w:t>Resulta responsabilidad de esta Dirección, dejar plasmada la situación particular que presenta el Juzgado de Trabajo de Pococí, que, aunque presenta una baja respecto del 2019, tal y como sucede con el resto de las oficinas laborales, presenta para este período la segunda carga de trabajo más elevada a nivel nacional (38).</w:t>
            </w:r>
          </w:p>
          <w:p w:rsidRPr="00AE1B2B" w:rsidR="009D3FB5" w:rsidP="00163B94" w:rsidRDefault="009D3FB5" w14:paraId="36AD6E42" w14:textId="77777777">
            <w:pPr>
              <w:tabs>
                <w:tab w:val="left" w:pos="7176"/>
              </w:tabs>
              <w:spacing w:before="120" w:after="120"/>
              <w:ind w:right="34"/>
              <w:jc w:val="both"/>
              <w:rPr>
                <w:rFonts w:ascii="Times New Roman" w:hAnsi="Times New Roman" w:cs="Times New Roman"/>
                <w:iCs/>
              </w:rPr>
            </w:pPr>
          </w:p>
          <w:p w:rsidRPr="00AE1B2B" w:rsidR="009D3FB5" w:rsidP="00163B94" w:rsidRDefault="009D3FB5" w14:paraId="366BACFF" w14:textId="77777777">
            <w:pPr>
              <w:tabs>
                <w:tab w:val="left" w:pos="7176"/>
              </w:tabs>
              <w:spacing w:before="120" w:after="120"/>
              <w:ind w:right="34"/>
              <w:jc w:val="both"/>
              <w:rPr>
                <w:rFonts w:ascii="Times New Roman" w:hAnsi="Times New Roman" w:cs="Times New Roman"/>
                <w:iCs/>
              </w:rPr>
            </w:pPr>
            <w:r w:rsidRPr="00AE1B2B">
              <w:rPr>
                <w:rFonts w:ascii="Times New Roman" w:hAnsi="Times New Roman" w:cs="Times New Roman"/>
                <w:iCs/>
              </w:rPr>
              <w:t>Ante esa circunstancia, vale la pena retomar el criterio de la Dirección de Planificación plasmado a través del informe 393-PLA-RH-OI-2020, en cuanto a las cinco plazas que quedaron destacadas en el plan de descongestionamiento adscritas al Centro de Apoyo, Coordinación y Mejoramiento de la Función Jurisdiccional, que dice:</w:t>
            </w:r>
          </w:p>
          <w:p w:rsidRPr="00AE1B2B" w:rsidR="009D3FB5" w:rsidP="00163B94" w:rsidRDefault="009D3FB5" w14:paraId="5BD8965D" w14:textId="77777777">
            <w:pPr>
              <w:tabs>
                <w:tab w:val="left" w:pos="7176"/>
              </w:tabs>
              <w:spacing w:before="120" w:after="120"/>
              <w:ind w:right="34"/>
              <w:jc w:val="both"/>
              <w:rPr>
                <w:rFonts w:ascii="Times New Roman" w:hAnsi="Times New Roman" w:cs="Times New Roman"/>
                <w:iCs/>
              </w:rPr>
            </w:pPr>
          </w:p>
          <w:p w:rsidRPr="00AE1B2B" w:rsidR="009D3FB5" w:rsidP="00163B94" w:rsidRDefault="009D3FB5" w14:paraId="1F0D64EC" w14:textId="77777777">
            <w:pPr>
              <w:spacing w:before="120" w:after="120"/>
              <w:ind w:left="397" w:right="397"/>
              <w:jc w:val="both"/>
              <w:rPr>
                <w:rFonts w:ascii="Times New Roman" w:hAnsi="Times New Roman" w:cs="Times New Roman"/>
                <w:i/>
              </w:rPr>
            </w:pPr>
            <w:r w:rsidRPr="00AE1B2B">
              <w:rPr>
                <w:rFonts w:ascii="Times New Roman" w:hAnsi="Times New Roman" w:cs="Times New Roman"/>
                <w:i/>
              </w:rPr>
              <w:t xml:space="preserve">“…Para ello, deberá el Centro de Apoyo, Coordinación y Mejoramiento de la Función Jurisdiccional, monitorear el comportamiento de esa materia, </w:t>
            </w:r>
            <w:r w:rsidRPr="00AE1B2B">
              <w:rPr>
                <w:rFonts w:ascii="Times New Roman" w:hAnsi="Times New Roman" w:cs="Times New Roman"/>
                <w:i/>
              </w:rPr>
              <w:lastRenderedPageBreak/>
              <w:t>con el fin de proponer diferentes escenarios de aprovechamiento de las plazas destacadas para esos fines…”.</w:t>
            </w:r>
          </w:p>
          <w:p w:rsidRPr="00AE1B2B" w:rsidR="009D3FB5" w:rsidP="00163B94" w:rsidRDefault="009D3FB5" w14:paraId="5FE5843B" w14:textId="77777777">
            <w:pPr>
              <w:tabs>
                <w:tab w:val="left" w:pos="7176"/>
              </w:tabs>
              <w:spacing w:before="120" w:after="120"/>
              <w:ind w:right="34"/>
              <w:jc w:val="both"/>
              <w:rPr>
                <w:rFonts w:ascii="Times New Roman" w:hAnsi="Times New Roman" w:cs="Times New Roman"/>
                <w:iCs/>
              </w:rPr>
            </w:pPr>
          </w:p>
          <w:p w:rsidRPr="00AE1B2B" w:rsidR="009D3FB5" w:rsidP="00163B94" w:rsidRDefault="009D3FB5" w14:paraId="030EA4C1" w14:textId="77777777">
            <w:pPr>
              <w:spacing w:before="120" w:after="120"/>
              <w:ind w:right="177"/>
              <w:jc w:val="both"/>
              <w:rPr>
                <w:rFonts w:ascii="Times New Roman" w:hAnsi="Times New Roman" w:cs="Times New Roman"/>
              </w:rPr>
            </w:pPr>
            <w:r w:rsidRPr="00AE1B2B">
              <w:rPr>
                <w:rFonts w:ascii="Times New Roman" w:hAnsi="Times New Roman" w:cs="Times New Roman"/>
              </w:rPr>
              <w:t>Por ende, y ante el volumen de trabajo del Juzgado de Trabajo de Pococí, se sugiere que el Centro de Apoyo, Coordinación y Mejoramiento de la Función Jurisdiccional, otorgue un seguimiento minucioso sobre ese despacho en particular, y de considerarlo necesario, brinde colaboración de manera prioritaria en esa oficina, para liberar al personal juzgador de planta, al menos de parte del total de expedientes que requieren el respectivo dictado de sentencia, para que la capacidad operativa responda efectivamente ante la entrada de asuntos. Al 18 de enero de 2021, la cantidad de asuntos pendientes de fallo asciende a 130 expedientes</w:t>
            </w:r>
            <w:r w:rsidRPr="00AE1B2B">
              <w:rPr>
                <w:rStyle w:val="Refdenotaalpie"/>
                <w:rFonts w:ascii="Times New Roman" w:hAnsi="Times New Roman"/>
              </w:rPr>
              <w:footnoteReference w:id="9"/>
            </w:r>
            <w:r w:rsidRPr="00AE1B2B">
              <w:rPr>
                <w:rFonts w:ascii="Times New Roman" w:hAnsi="Times New Roman" w:cs="Times New Roman"/>
              </w:rPr>
              <w:t>, ello significa que con los parámetros establecidos para el dictado de sentencias en asuntos laborales (25 mensuales de todo tipo de proceso), se atendería ese rubro en un plazo 5 meses aproximadamente.</w:t>
            </w:r>
          </w:p>
          <w:p w:rsidRPr="00AE1B2B" w:rsidR="009D3FB5" w:rsidP="00163B94" w:rsidRDefault="009D3FB5" w14:paraId="63D32101" w14:textId="77777777">
            <w:pPr>
              <w:spacing w:before="120" w:after="120"/>
              <w:ind w:right="177"/>
              <w:jc w:val="both"/>
              <w:rPr>
                <w:rFonts w:ascii="Times New Roman" w:hAnsi="Times New Roman" w:cs="Times New Roman"/>
              </w:rPr>
            </w:pPr>
          </w:p>
          <w:p w:rsidRPr="00AE1B2B" w:rsidR="009D3FB5" w:rsidP="00163B94" w:rsidRDefault="009D3FB5" w14:paraId="35A6199A" w14:textId="77777777">
            <w:pPr>
              <w:pStyle w:val="Prrafodelista"/>
              <w:spacing w:before="120" w:after="120"/>
              <w:ind w:left="209" w:right="177"/>
              <w:jc w:val="both"/>
              <w:rPr>
                <w:rFonts w:ascii="Times New Roman" w:hAnsi="Times New Roman" w:cs="Times New Roman"/>
                <w:sz w:val="22"/>
                <w:szCs w:val="22"/>
              </w:rPr>
            </w:pPr>
            <w:r w:rsidRPr="00AE1B2B">
              <w:rPr>
                <w:rFonts w:ascii="Times New Roman" w:hAnsi="Times New Roman" w:cs="Times New Roman"/>
                <w:b/>
                <w:sz w:val="22"/>
                <w:szCs w:val="22"/>
              </w:rPr>
              <w:t>3.2.3. Situación de la plaza de Profesional en Derecho 3 B, asignado a la Sala Segunda para 2021</w:t>
            </w:r>
          </w:p>
          <w:p w:rsidRPr="00AE1B2B" w:rsidR="009D3FB5" w:rsidP="00163B94" w:rsidRDefault="009D3FB5" w14:paraId="40310B8D" w14:textId="77777777">
            <w:pPr>
              <w:spacing w:before="120" w:after="120"/>
              <w:ind w:right="177"/>
              <w:jc w:val="both"/>
              <w:rPr>
                <w:rFonts w:ascii="Times New Roman" w:hAnsi="Times New Roman" w:cs="Times New Roman"/>
              </w:rPr>
            </w:pPr>
          </w:p>
          <w:p w:rsidRPr="00AE1B2B" w:rsidR="009D3FB5" w:rsidP="00163B94" w:rsidRDefault="009D3FB5" w14:paraId="3494FB90" w14:textId="77777777">
            <w:pPr>
              <w:spacing w:before="120" w:after="120"/>
              <w:ind w:right="177"/>
              <w:jc w:val="both"/>
              <w:rPr>
                <w:rFonts w:ascii="Times New Roman" w:hAnsi="Times New Roman" w:cs="Times New Roman"/>
                <w:b/>
                <w:bCs/>
                <w:i/>
                <w:iCs/>
              </w:rPr>
            </w:pPr>
          </w:p>
          <w:p w:rsidRPr="00AE1B2B" w:rsidR="009D3FB5" w:rsidP="00163B94" w:rsidRDefault="009D3FB5" w14:paraId="528386E6" w14:textId="77777777">
            <w:pPr>
              <w:spacing w:before="120" w:after="120"/>
              <w:ind w:right="177"/>
              <w:jc w:val="both"/>
              <w:rPr>
                <w:rFonts w:ascii="Times New Roman" w:hAnsi="Times New Roman" w:cs="Times New Roman"/>
              </w:rPr>
            </w:pPr>
            <w:r w:rsidRPr="00AE1B2B">
              <w:rPr>
                <w:rFonts w:ascii="Times New Roman" w:hAnsi="Times New Roman" w:cs="Times New Roman"/>
                <w:b/>
                <w:bCs/>
                <w:i/>
                <w:iCs/>
              </w:rPr>
              <w:t>3.2.3.1. Labores realizadas en el 2020</w:t>
            </w:r>
          </w:p>
          <w:p w:rsidRPr="00AE1B2B" w:rsidR="009D3FB5" w:rsidP="00163B94" w:rsidRDefault="009D3FB5" w14:paraId="1ADAF941" w14:textId="77777777">
            <w:pPr>
              <w:spacing w:before="120" w:after="120"/>
              <w:ind w:right="177"/>
              <w:jc w:val="both"/>
              <w:rPr>
                <w:rFonts w:ascii="Times New Roman" w:hAnsi="Times New Roman" w:cs="Times New Roman"/>
                <w:b/>
                <w:bCs/>
                <w:i/>
                <w:iCs/>
              </w:rPr>
            </w:pPr>
          </w:p>
          <w:p w:rsidRPr="00AE1B2B" w:rsidR="009D3FB5" w:rsidP="00163B94" w:rsidRDefault="009D3FB5" w14:paraId="5D98E1F7" w14:textId="77777777">
            <w:pPr>
              <w:spacing w:before="120" w:after="120"/>
              <w:ind w:right="177"/>
              <w:jc w:val="both"/>
              <w:rPr>
                <w:rFonts w:ascii="Times New Roman" w:hAnsi="Times New Roman" w:cs="Times New Roman"/>
              </w:rPr>
            </w:pPr>
            <w:r w:rsidRPr="00AE1B2B">
              <w:rPr>
                <w:rFonts w:ascii="Times New Roman" w:hAnsi="Times New Roman" w:cs="Times New Roman"/>
              </w:rPr>
              <w:t>En relación con la asignación de recurso para la Sala Segunda, es importante mencionar una serie de antecedentes, que justamente previeron el posible ascenso en la entrada de expedientes en esa dependencia, que implicó la asignación de recurso humano desde el ejercicio de formulación presupuestaria para el 2018.</w:t>
            </w:r>
          </w:p>
          <w:p w:rsidRPr="00AE1B2B" w:rsidR="009D3FB5" w:rsidP="00163B94" w:rsidRDefault="009D3FB5" w14:paraId="4D21B924" w14:textId="77777777">
            <w:pPr>
              <w:spacing w:before="120" w:after="120"/>
              <w:ind w:right="177"/>
              <w:jc w:val="both"/>
              <w:rPr>
                <w:rFonts w:ascii="Times New Roman" w:hAnsi="Times New Roman" w:cs="Times New Roman"/>
              </w:rPr>
            </w:pPr>
          </w:p>
          <w:p w:rsidRPr="00AE1B2B" w:rsidR="009D3FB5" w:rsidP="00163B94" w:rsidRDefault="009D3FB5" w14:paraId="21C86FF3" w14:textId="77777777">
            <w:pPr>
              <w:numPr>
                <w:ilvl w:val="0"/>
                <w:numId w:val="34"/>
              </w:numPr>
              <w:spacing w:before="120" w:after="120"/>
              <w:ind w:right="177"/>
              <w:jc w:val="both"/>
              <w:rPr>
                <w:rFonts w:ascii="Times New Roman" w:hAnsi="Times New Roman" w:cs="Times New Roman"/>
              </w:rPr>
            </w:pPr>
            <w:r w:rsidRPr="00AE1B2B">
              <w:rPr>
                <w:rFonts w:ascii="Times New Roman" w:hAnsi="Times New Roman" w:cs="Times New Roman"/>
              </w:rPr>
              <w:t>Informe 26-PLA-MI-2017 con la asignación de 5 plazas de Profesional en Derecho 3 B, 1 Técnica o Técnico Judicial 3 y 1 Técnico de Sala de la Corte bajo la modalidad extraordinaria previendo el comportamiento descrito (solo habrían transcurrido cinco meses de haber entrado en vigencia la Reforma).</w:t>
            </w:r>
          </w:p>
          <w:p w:rsidRPr="00AE1B2B" w:rsidR="009D3FB5" w:rsidP="00163B94" w:rsidRDefault="009D3FB5" w14:paraId="217B76E6" w14:textId="77777777">
            <w:pPr>
              <w:spacing w:before="120" w:after="120"/>
              <w:ind w:left="720" w:right="1180"/>
              <w:jc w:val="both"/>
              <w:rPr>
                <w:rFonts w:ascii="Times New Roman" w:hAnsi="Times New Roman" w:cs="Times New Roman"/>
              </w:rPr>
            </w:pPr>
          </w:p>
          <w:p w:rsidRPr="00AE1B2B" w:rsidR="009D3FB5" w:rsidP="00163B94" w:rsidRDefault="009D3FB5" w14:paraId="188D232F" w14:textId="77777777">
            <w:pPr>
              <w:numPr>
                <w:ilvl w:val="0"/>
                <w:numId w:val="34"/>
              </w:numPr>
              <w:spacing w:before="120" w:after="120"/>
              <w:ind w:right="177"/>
              <w:jc w:val="both"/>
              <w:rPr>
                <w:rFonts w:ascii="Times New Roman" w:hAnsi="Times New Roman" w:cs="Times New Roman"/>
              </w:rPr>
            </w:pPr>
            <w:r w:rsidRPr="00AE1B2B">
              <w:rPr>
                <w:rFonts w:ascii="Times New Roman" w:hAnsi="Times New Roman" w:cs="Times New Roman"/>
              </w:rPr>
              <w:t>Estudio 31-PLA-MI-2018 se mantuvo el mismo recurso extraordinariamente, merced a que la entrada mostró una tendencia creciente, pero debería analizarse en el siguiente período de formulación presupuestaria al menos con un año completo de haber entrado en vigencia la nueva normativa.</w:t>
            </w:r>
          </w:p>
          <w:p w:rsidRPr="00AE1B2B" w:rsidR="009D3FB5" w:rsidP="00163B94" w:rsidRDefault="009D3FB5" w14:paraId="798B7C71" w14:textId="77777777">
            <w:pPr>
              <w:spacing w:before="120" w:after="120"/>
              <w:ind w:left="720" w:right="177"/>
              <w:jc w:val="both"/>
              <w:rPr>
                <w:rFonts w:ascii="Times New Roman" w:hAnsi="Times New Roman" w:cs="Times New Roman"/>
              </w:rPr>
            </w:pPr>
          </w:p>
          <w:p w:rsidRPr="00AE1B2B" w:rsidR="009D3FB5" w:rsidP="00163B94" w:rsidRDefault="009D3FB5" w14:paraId="7731E7FE" w14:textId="77777777">
            <w:pPr>
              <w:numPr>
                <w:ilvl w:val="0"/>
                <w:numId w:val="34"/>
              </w:numPr>
              <w:spacing w:before="120" w:after="120"/>
              <w:ind w:right="177"/>
              <w:jc w:val="both"/>
              <w:rPr>
                <w:rFonts w:ascii="Times New Roman" w:hAnsi="Times New Roman" w:cs="Times New Roman"/>
              </w:rPr>
            </w:pPr>
            <w:r w:rsidRPr="00AE1B2B">
              <w:rPr>
                <w:rFonts w:ascii="Times New Roman" w:hAnsi="Times New Roman" w:cs="Times New Roman"/>
              </w:rPr>
              <w:t xml:space="preserve"> Análisis presupuestario 550-PLA-EV-2019, en donde se determina que el recurso se debe asignar de manera permanente a la Sala (plazas ordinarias) en vista de la palpable tendencia creciente de los asuntos entrados, obteniendo mensualmente por plaza de Profesional en Derecho 3 B una </w:t>
            </w:r>
            <w:r w:rsidRPr="00AE1B2B">
              <w:rPr>
                <w:rFonts w:ascii="Times New Roman" w:hAnsi="Times New Roman" w:cs="Times New Roman"/>
              </w:rPr>
              <w:lastRenderedPageBreak/>
              <w:t>carga de 17 expedientes. Incluso, se debe tener en cuenta, que adicional a ello, se otorgó extraordinariamente otra plaza de Profesional en Derecho 3 B para mantener por plaza de ese tipo, una capacidad instalada acorde a las nuevas necesidades.</w:t>
            </w:r>
          </w:p>
          <w:p w:rsidRPr="00AE1B2B" w:rsidR="009D3FB5" w:rsidP="00163B94" w:rsidRDefault="009D3FB5" w14:paraId="509DFFAC" w14:textId="77777777">
            <w:pPr>
              <w:pStyle w:val="Prrafodelista"/>
              <w:spacing w:before="120" w:after="120"/>
              <w:rPr>
                <w:rFonts w:ascii="Times New Roman" w:hAnsi="Times New Roman" w:cs="Times New Roman"/>
                <w:sz w:val="22"/>
                <w:szCs w:val="22"/>
              </w:rPr>
            </w:pPr>
          </w:p>
          <w:p w:rsidRPr="00AE1B2B" w:rsidR="009D3FB5" w:rsidP="00163B94" w:rsidRDefault="009D3FB5" w14:paraId="586641D3" w14:textId="77777777">
            <w:pPr>
              <w:numPr>
                <w:ilvl w:val="0"/>
                <w:numId w:val="34"/>
              </w:numPr>
              <w:spacing w:before="120" w:after="120"/>
              <w:ind w:right="177"/>
              <w:jc w:val="both"/>
              <w:rPr>
                <w:rFonts w:ascii="Times New Roman" w:hAnsi="Times New Roman" w:cs="Times New Roman"/>
              </w:rPr>
            </w:pPr>
            <w:r w:rsidRPr="00AE1B2B">
              <w:rPr>
                <w:rFonts w:ascii="Times New Roman" w:hAnsi="Times New Roman" w:cs="Times New Roman"/>
              </w:rPr>
              <w:t>Estudio 395-PLA-OI-RH-2020, mediante el cual se otorgó la continuidad extraordinaria de la plaza de Profesional en Derecho 3 B, donde a pesar de la diminución en la entrada de asuntos para 2019, sí es un hecho que el circulante tuvo un significativo aumento al término de ese mismo año, donde incluso la proporción por plaza de letrado en relación con 2018 aumenta de 160 a 233 expedientes (73 asuntos totales), aspecto que justificó extender la asignación de esa plaza para el 2021.</w:t>
            </w:r>
          </w:p>
          <w:p w:rsidRPr="00AE1B2B" w:rsidR="009D3FB5" w:rsidP="00163B94" w:rsidRDefault="009D3FB5" w14:paraId="65F81B69" w14:textId="77777777">
            <w:pPr>
              <w:spacing w:before="120" w:after="120"/>
              <w:ind w:left="720"/>
              <w:jc w:val="both"/>
              <w:rPr>
                <w:rFonts w:ascii="Times New Roman" w:hAnsi="Times New Roman" w:cs="Times New Roman"/>
              </w:rPr>
            </w:pPr>
            <w:r w:rsidRPr="00AE1B2B">
              <w:rPr>
                <w:rFonts w:ascii="Times New Roman" w:hAnsi="Times New Roman" w:cs="Times New Roman"/>
              </w:rPr>
              <w:t xml:space="preserve"> </w:t>
            </w:r>
          </w:p>
          <w:p w:rsidRPr="00AE1B2B" w:rsidR="009D3FB5" w:rsidP="00163B94" w:rsidRDefault="009D3FB5" w14:paraId="7A406A3A" w14:textId="77777777">
            <w:pPr>
              <w:spacing w:before="120" w:after="120"/>
              <w:ind w:left="720" w:right="177"/>
              <w:jc w:val="both"/>
              <w:rPr>
                <w:rFonts w:ascii="Times New Roman" w:hAnsi="Times New Roman" w:cs="Times New Roman"/>
              </w:rPr>
            </w:pPr>
          </w:p>
          <w:p w:rsidRPr="00AE1B2B" w:rsidR="009D3FB5" w:rsidP="00163B94" w:rsidRDefault="009D3FB5" w14:paraId="1438202B" w14:textId="77777777">
            <w:pPr>
              <w:numPr>
                <w:ilvl w:val="0"/>
                <w:numId w:val="34"/>
              </w:numPr>
              <w:spacing w:before="120" w:after="120"/>
              <w:ind w:right="177"/>
              <w:jc w:val="both"/>
              <w:rPr>
                <w:rFonts w:ascii="Times New Roman" w:hAnsi="Times New Roman" w:cs="Times New Roman"/>
              </w:rPr>
            </w:pPr>
            <w:r w:rsidRPr="00AE1B2B">
              <w:rPr>
                <w:rFonts w:ascii="Times New Roman" w:hAnsi="Times New Roman" w:cs="Times New Roman"/>
              </w:rPr>
              <w:t>La Corte Plena, al conocer el oficio 1996-PLA-EV-2020, en sesión 73-2020, del 14 de diciembre de 2020, artículo XIII, dispuso prorrogar por seis meses, la utilización por parte de la Sala Segunda de dos Profesionales en Derecho 3 B, considerando el movimiento de trabajo y circulantes actuales tanto de los Tribunales de Apelación como de las Salas de Casación.</w:t>
            </w:r>
          </w:p>
          <w:p w:rsidRPr="00AE1B2B" w:rsidR="009D3FB5" w:rsidP="00163B94" w:rsidRDefault="009D3FB5" w14:paraId="4836D714" w14:textId="77777777">
            <w:pPr>
              <w:spacing w:before="120" w:after="120"/>
              <w:jc w:val="both"/>
              <w:rPr>
                <w:rFonts w:ascii="Times New Roman" w:hAnsi="Times New Roman" w:cs="Times New Roman"/>
              </w:rPr>
            </w:pPr>
          </w:p>
          <w:p w:rsidRPr="00AE1B2B" w:rsidR="009D3FB5" w:rsidP="00163B94" w:rsidRDefault="009D3FB5" w14:paraId="7AE602B6" w14:textId="77777777">
            <w:pPr>
              <w:spacing w:before="120" w:after="120"/>
              <w:jc w:val="both"/>
              <w:rPr>
                <w:rFonts w:ascii="Times New Roman" w:hAnsi="Times New Roman" w:cs="Times New Roman"/>
              </w:rPr>
            </w:pPr>
          </w:p>
          <w:p w:rsidRPr="00AE1B2B" w:rsidR="009D3FB5" w:rsidP="00163B94" w:rsidRDefault="009D3FB5" w14:paraId="65030843" w14:textId="77777777">
            <w:pPr>
              <w:spacing w:before="120" w:after="120"/>
              <w:jc w:val="both"/>
              <w:rPr>
                <w:rFonts w:ascii="Times New Roman" w:hAnsi="Times New Roman" w:cs="Times New Roman"/>
                <w:b/>
                <w:bCs/>
              </w:rPr>
            </w:pPr>
            <w:r w:rsidRPr="00AE1B2B">
              <w:rPr>
                <w:rFonts w:ascii="Times New Roman" w:hAnsi="Times New Roman" w:cs="Times New Roman"/>
                <w:b/>
                <w:bCs/>
              </w:rPr>
              <w:t>3.2.3.2. Criterio del Sr. Kenneth Muñoz Rojas, Secretario de la Sala Segunda</w:t>
            </w:r>
          </w:p>
          <w:p w:rsidRPr="00AE1B2B" w:rsidR="009D3FB5" w:rsidP="00163B94" w:rsidRDefault="009D3FB5" w14:paraId="4060CDD4" w14:textId="77777777">
            <w:pPr>
              <w:spacing w:before="120" w:after="120"/>
              <w:jc w:val="both"/>
              <w:rPr>
                <w:rFonts w:ascii="Times New Roman" w:hAnsi="Times New Roman" w:cs="Times New Roman"/>
                <w:b/>
                <w:bCs/>
              </w:rPr>
            </w:pPr>
          </w:p>
          <w:p w:rsidRPr="00AE1B2B" w:rsidR="009D3FB5" w:rsidP="00163B94" w:rsidRDefault="009D3FB5" w14:paraId="5CC50F89" w14:textId="77777777">
            <w:pPr>
              <w:spacing w:before="120" w:after="120"/>
              <w:jc w:val="both"/>
              <w:rPr>
                <w:rFonts w:ascii="Times New Roman" w:hAnsi="Times New Roman" w:cs="Times New Roman"/>
              </w:rPr>
            </w:pPr>
            <w:r w:rsidRPr="00AE1B2B">
              <w:rPr>
                <w:rFonts w:ascii="Times New Roman" w:hAnsi="Times New Roman" w:cs="Times New Roman"/>
              </w:rPr>
              <w:t>Según entrevista efectuada al señor Kenneth Muñoz Rojas, Secretario de la Sala Segunda, el día 18 de febrero de 2021, la plaza de Profesional en Derecho 3 B que se ha venido otorgando de manera extraordinaria, ha permitido brindar soporte a la estructura de trabajo en ese despacho, toda vez que contribuye a redactar proyectos de sentencia en recursos de casación, así como la resolución de los mismos procesos de exequatur y cartas rogatorias a lo largo de 2020.</w:t>
            </w:r>
          </w:p>
          <w:p w:rsidRPr="00AE1B2B" w:rsidR="009D3FB5" w:rsidP="00163B94" w:rsidRDefault="009D3FB5" w14:paraId="0EF1EC97" w14:textId="77777777">
            <w:pPr>
              <w:spacing w:before="120" w:after="120"/>
              <w:jc w:val="both"/>
              <w:rPr>
                <w:rFonts w:ascii="Times New Roman" w:hAnsi="Times New Roman" w:cs="Times New Roman"/>
              </w:rPr>
            </w:pPr>
          </w:p>
          <w:p w:rsidRPr="00AE1B2B" w:rsidR="009D3FB5" w:rsidP="00163B94" w:rsidRDefault="009D3FB5" w14:paraId="720E0CF5" w14:textId="77777777">
            <w:pPr>
              <w:spacing w:before="120" w:after="120"/>
              <w:jc w:val="both"/>
              <w:rPr>
                <w:rFonts w:ascii="Times New Roman" w:hAnsi="Times New Roman" w:cs="Times New Roman"/>
              </w:rPr>
            </w:pPr>
            <w:r w:rsidRPr="00AE1B2B">
              <w:rPr>
                <w:rFonts w:ascii="Times New Roman" w:hAnsi="Times New Roman" w:cs="Times New Roman"/>
              </w:rPr>
              <w:t xml:space="preserve">Por otra parte, indica que, a lo interno de la Sala Segunda, se procedió a distribuir el trabajo de manera que cada letrado asignado a un Magistrado asumirá la resolución de exequátur de manera adicional, ya que los recursos de casación son propios de sus labores, y no de manera exclusiva como lo hacía esa plaza anteriormente. Agrega que con esa nueva distribución percibe una mayor equidad en los asuntos que atiende cada plaza de Profesional en Derecho 3B, razón por la que considera que al contar con la plaza de Profesional en Derecho 3 B de manera permanente, coadyuvará a mejorar el proceso de redacción a nivel de la Sala Segunda en general. </w:t>
            </w:r>
          </w:p>
          <w:p w:rsidRPr="00AE1B2B" w:rsidR="009D3FB5" w:rsidP="00163B94" w:rsidRDefault="009D3FB5" w14:paraId="2014045F" w14:textId="77777777">
            <w:pPr>
              <w:spacing w:before="120" w:after="120"/>
              <w:jc w:val="both"/>
              <w:rPr>
                <w:rFonts w:ascii="Times New Roman" w:hAnsi="Times New Roman" w:cs="Times New Roman"/>
              </w:rPr>
            </w:pPr>
          </w:p>
          <w:p w:rsidRPr="00AE1B2B" w:rsidR="009D3FB5" w:rsidP="00163B94" w:rsidRDefault="009D3FB5" w14:paraId="3AF8839C" w14:textId="77777777">
            <w:pPr>
              <w:spacing w:before="120" w:after="120"/>
              <w:jc w:val="both"/>
              <w:rPr>
                <w:rFonts w:ascii="Times New Roman" w:hAnsi="Times New Roman" w:cs="Times New Roman"/>
              </w:rPr>
            </w:pPr>
            <w:r w:rsidRPr="00AE1B2B">
              <w:rPr>
                <w:rFonts w:ascii="Times New Roman" w:hAnsi="Times New Roman" w:cs="Times New Roman"/>
              </w:rPr>
              <w:t xml:space="preserve">Algunos aspectos que en corto plazo podrían tener un impacto significativo en la entrada de la Sala Segunda y por ende en su circulante, manifiesta el Sr. Muñoz Rojas, podrían atribuirse al fallo de sentencias de los planes de descongestionamiento, el impacto en la entrada de la Reforma de Familia así como una acción de inconstitucionalidad que presentó la Sala Primera para que los asuntos de exequatur </w:t>
            </w:r>
            <w:r w:rsidRPr="00AE1B2B">
              <w:rPr>
                <w:rFonts w:ascii="Times New Roman" w:hAnsi="Times New Roman" w:cs="Times New Roman"/>
              </w:rPr>
              <w:lastRenderedPageBreak/>
              <w:t>que forman parte de su circulante, sean conocidos por la Sala Segunda y descarta que el tema de la disminución de la cuantía esté impactando en la actualidad.</w:t>
            </w:r>
          </w:p>
          <w:p w:rsidRPr="00AE1B2B" w:rsidR="009D3FB5" w:rsidP="00163B94" w:rsidRDefault="009D3FB5" w14:paraId="6ADDBC01" w14:textId="77777777">
            <w:pPr>
              <w:spacing w:before="120" w:after="120"/>
              <w:jc w:val="both"/>
              <w:rPr>
                <w:rFonts w:ascii="Times New Roman" w:hAnsi="Times New Roman" w:cs="Times New Roman"/>
              </w:rPr>
            </w:pPr>
          </w:p>
          <w:p w:rsidRPr="00AE1B2B" w:rsidR="009D3FB5" w:rsidP="00163B94" w:rsidRDefault="009D3FB5" w14:paraId="57826561" w14:textId="77777777">
            <w:pPr>
              <w:spacing w:before="120" w:after="120"/>
              <w:jc w:val="both"/>
              <w:rPr>
                <w:rFonts w:ascii="Times New Roman" w:hAnsi="Times New Roman" w:cs="Times New Roman"/>
              </w:rPr>
            </w:pPr>
            <w:r w:rsidRPr="00AE1B2B">
              <w:rPr>
                <w:rFonts w:ascii="Times New Roman" w:hAnsi="Times New Roman" w:cs="Times New Roman"/>
              </w:rPr>
              <w:t>Sobre esos supuestos, es importante fundamentar:</w:t>
            </w:r>
          </w:p>
          <w:p w:rsidRPr="00AE1B2B" w:rsidR="009D3FB5" w:rsidP="00163B94" w:rsidRDefault="009D3FB5" w14:paraId="40780D2F" w14:textId="77777777">
            <w:pPr>
              <w:spacing w:before="120" w:after="120"/>
              <w:jc w:val="both"/>
              <w:rPr>
                <w:rFonts w:ascii="Times New Roman" w:hAnsi="Times New Roman" w:cs="Times New Roman"/>
              </w:rPr>
            </w:pPr>
            <w:r w:rsidRPr="00AE1B2B">
              <w:rPr>
                <w:rFonts w:ascii="Times New Roman" w:hAnsi="Times New Roman" w:cs="Times New Roman"/>
              </w:rPr>
              <w:t xml:space="preserve"> </w:t>
            </w:r>
          </w:p>
          <w:p w:rsidRPr="00AE1B2B" w:rsidR="009D3FB5" w:rsidP="00163B94" w:rsidRDefault="009D3FB5" w14:paraId="589EA0D6" w14:textId="77777777">
            <w:pPr>
              <w:pStyle w:val="Prrafodelista"/>
              <w:numPr>
                <w:ilvl w:val="0"/>
                <w:numId w:val="35"/>
              </w:numPr>
              <w:spacing w:before="120" w:after="120"/>
              <w:contextualSpacing/>
              <w:jc w:val="both"/>
              <w:rPr>
                <w:rFonts w:ascii="Times New Roman" w:hAnsi="Times New Roman" w:cs="Times New Roman"/>
                <w:sz w:val="22"/>
                <w:szCs w:val="22"/>
              </w:rPr>
            </w:pPr>
            <w:r w:rsidRPr="00AE1B2B">
              <w:rPr>
                <w:rFonts w:ascii="Times New Roman" w:hAnsi="Times New Roman" w:cs="Times New Roman"/>
                <w:sz w:val="22"/>
                <w:szCs w:val="22"/>
              </w:rPr>
              <w:t>En vista de que el 2020 fue un año marcado por el tema pandémico, por parte de la Jurisdicción Laboral, se diseñó la estrategia para que las plazas juzgadoras se enfocaran exclusivamente en el fallo de sentencias de aquellos asuntos previos a que entrara en vigencia la Reforma Procesal Laboral, por ende, la casación de esos asuntos estaría llegando a conocimiento de la Sala Segunda.</w:t>
            </w:r>
          </w:p>
          <w:p w:rsidRPr="00AE1B2B" w:rsidR="009D3FB5" w:rsidP="00163B94" w:rsidRDefault="009D3FB5" w14:paraId="588D06A3" w14:textId="77777777">
            <w:pPr>
              <w:pStyle w:val="Prrafodelista"/>
              <w:numPr>
                <w:ilvl w:val="0"/>
                <w:numId w:val="35"/>
              </w:numPr>
              <w:spacing w:before="120" w:after="120"/>
              <w:contextualSpacing/>
              <w:jc w:val="both"/>
              <w:rPr>
                <w:rFonts w:ascii="Times New Roman" w:hAnsi="Times New Roman" w:cs="Times New Roman"/>
                <w:sz w:val="22"/>
                <w:szCs w:val="22"/>
              </w:rPr>
            </w:pPr>
            <w:r w:rsidRPr="00AE1B2B">
              <w:rPr>
                <w:rFonts w:ascii="Times New Roman" w:hAnsi="Times New Roman" w:cs="Times New Roman"/>
                <w:sz w:val="22"/>
                <w:szCs w:val="22"/>
              </w:rPr>
              <w:t>Partiendo de ese elemento, se tiene que, al cierre de mayo de 2020, se encontraban pendientes de fallo un total de 892 expedientes, y el dato al finalizar julio de ese mismo año, fue de 97, es decir se dictaron 795 sentencias en ese período, que en caso de ser apeladas pasarían por el proceso de conocimiento de los respectivos Tribunales de Apelación, y de requerir casación terminarían en conocimiento de la citada Sala.</w:t>
            </w:r>
          </w:p>
          <w:p w:rsidRPr="00AE1B2B" w:rsidR="009D3FB5" w:rsidP="00163B94" w:rsidRDefault="009D3FB5" w14:paraId="35446D56" w14:textId="77777777">
            <w:pPr>
              <w:pStyle w:val="Prrafodelista"/>
              <w:numPr>
                <w:ilvl w:val="0"/>
                <w:numId w:val="35"/>
              </w:numPr>
              <w:spacing w:before="120" w:after="120"/>
              <w:contextualSpacing/>
              <w:jc w:val="both"/>
              <w:rPr>
                <w:rFonts w:ascii="Times New Roman" w:hAnsi="Times New Roman" w:cs="Times New Roman"/>
                <w:sz w:val="22"/>
                <w:szCs w:val="22"/>
              </w:rPr>
            </w:pPr>
            <w:r w:rsidRPr="00AE1B2B">
              <w:rPr>
                <w:rFonts w:ascii="Times New Roman" w:hAnsi="Times New Roman" w:cs="Times New Roman"/>
                <w:sz w:val="22"/>
                <w:szCs w:val="22"/>
              </w:rPr>
              <w:t>Asimismo, se dictaron un total de 1828 sentencias correspondientes a la nueva Ley, aspecto que en cuanto a fueros de protección se refiere, impactarán en la entrada de la Sala Segunda, bajo el escenario de ser apeladas.</w:t>
            </w:r>
          </w:p>
          <w:p w:rsidRPr="00AE1B2B" w:rsidR="009D3FB5" w:rsidP="00163B94" w:rsidRDefault="009D3FB5" w14:paraId="1D235915" w14:textId="77777777">
            <w:pPr>
              <w:pStyle w:val="Prrafodelista"/>
              <w:numPr>
                <w:ilvl w:val="0"/>
                <w:numId w:val="35"/>
              </w:numPr>
              <w:spacing w:before="120" w:after="120"/>
              <w:contextualSpacing/>
              <w:jc w:val="both"/>
              <w:rPr>
                <w:rFonts w:ascii="Times New Roman" w:hAnsi="Times New Roman" w:cs="Times New Roman"/>
                <w:sz w:val="22"/>
                <w:szCs w:val="22"/>
              </w:rPr>
            </w:pPr>
            <w:r w:rsidRPr="00AE1B2B">
              <w:rPr>
                <w:rFonts w:ascii="Times New Roman" w:hAnsi="Times New Roman" w:cs="Times New Roman"/>
                <w:sz w:val="22"/>
                <w:szCs w:val="22"/>
              </w:rPr>
              <w:t>Ahora bien, partiendo del hecho que los Tribunales de Apelación al cierre de 2019 estaban resolviendo a un plazo de seis meses, es de esperarse que el verdadero impacto en la entrada de asuntos en la Sala Segunda apenas esté iniciando en noviembre de 2020 e inicios del presente 2021, por lo que es al cierre de este año que realmente se podría determinar su verdadero impacto en esa dependencia.</w:t>
            </w:r>
          </w:p>
          <w:p w:rsidRPr="00AE1B2B" w:rsidR="009D3FB5" w:rsidP="00163B94" w:rsidRDefault="009D3FB5" w14:paraId="701D3020" w14:textId="77777777">
            <w:pPr>
              <w:pStyle w:val="Prrafodelista"/>
              <w:numPr>
                <w:ilvl w:val="0"/>
                <w:numId w:val="35"/>
              </w:numPr>
              <w:spacing w:before="120" w:after="120"/>
              <w:contextualSpacing/>
              <w:jc w:val="both"/>
              <w:rPr>
                <w:rFonts w:ascii="Times New Roman" w:hAnsi="Times New Roman" w:cs="Times New Roman"/>
                <w:sz w:val="22"/>
                <w:szCs w:val="22"/>
              </w:rPr>
            </w:pPr>
            <w:r w:rsidRPr="00AE1B2B">
              <w:rPr>
                <w:rFonts w:ascii="Times New Roman" w:hAnsi="Times New Roman" w:cs="Times New Roman"/>
                <w:sz w:val="22"/>
                <w:szCs w:val="22"/>
              </w:rPr>
              <w:t>Respecto de acción de inconstitucionalidad que en la actualidad está presentada ante la Sala Constitucional, dependiendo de ese fallo, podría significar un incremento de 117 expedientes en la entrada de la Sala Segunda</w:t>
            </w:r>
            <w:r w:rsidRPr="00AE1B2B">
              <w:rPr>
                <w:rStyle w:val="Refdenotaalpie"/>
                <w:rFonts w:ascii="Times New Roman" w:hAnsi="Times New Roman"/>
                <w:sz w:val="22"/>
                <w:szCs w:val="22"/>
              </w:rPr>
              <w:footnoteReference w:id="10"/>
            </w:r>
            <w:r w:rsidRPr="00AE1B2B">
              <w:rPr>
                <w:rFonts w:ascii="Times New Roman" w:hAnsi="Times New Roman" w:cs="Times New Roman"/>
                <w:sz w:val="22"/>
                <w:szCs w:val="22"/>
              </w:rPr>
              <w:t>, particularmente de procesos de exequatur.</w:t>
            </w:r>
          </w:p>
          <w:p w:rsidRPr="00AE1B2B" w:rsidR="009D3FB5" w:rsidP="00163B94" w:rsidRDefault="009D3FB5" w14:paraId="2ACC2FFE" w14:textId="77777777">
            <w:pPr>
              <w:pStyle w:val="Prrafodelista"/>
              <w:numPr>
                <w:ilvl w:val="0"/>
                <w:numId w:val="35"/>
              </w:numPr>
              <w:spacing w:before="120" w:after="120"/>
              <w:contextualSpacing/>
              <w:jc w:val="both"/>
              <w:rPr>
                <w:rFonts w:ascii="Times New Roman" w:hAnsi="Times New Roman" w:cs="Times New Roman"/>
                <w:sz w:val="22"/>
                <w:szCs w:val="22"/>
              </w:rPr>
            </w:pPr>
            <w:r w:rsidRPr="00AE1B2B">
              <w:rPr>
                <w:rFonts w:ascii="Times New Roman" w:hAnsi="Times New Roman" w:cs="Times New Roman"/>
                <w:sz w:val="22"/>
                <w:szCs w:val="22"/>
              </w:rPr>
              <w:t>En lo que respecta a la entrada en vigencia de la Reforma de Familia, existen los procesos denominados de restitución internacional cuyos conflictos de competencia serían resueltos por la Sala Segunda. Para tener una cifra, en 2017 y 2018, ingresaron 4 expedientes de ese tipo al Tribunal de Familia, lo que ciertamente no implicaría una eventual entrada masiva de asuntos de ese tipo en la citada Sala.</w:t>
            </w:r>
          </w:p>
          <w:p w:rsidRPr="00AE1B2B" w:rsidR="009D3FB5" w:rsidP="00163B94" w:rsidRDefault="009D3FB5" w14:paraId="7659DA31" w14:textId="77777777">
            <w:pPr>
              <w:pStyle w:val="Prrafodelista"/>
              <w:numPr>
                <w:ilvl w:val="0"/>
                <w:numId w:val="35"/>
              </w:numPr>
              <w:spacing w:before="120" w:after="120"/>
              <w:contextualSpacing/>
              <w:jc w:val="both"/>
              <w:rPr>
                <w:rFonts w:ascii="Times New Roman" w:hAnsi="Times New Roman" w:cs="Times New Roman"/>
                <w:sz w:val="22"/>
                <w:szCs w:val="22"/>
              </w:rPr>
            </w:pPr>
            <w:r w:rsidRPr="00AE1B2B">
              <w:rPr>
                <w:rFonts w:ascii="Times New Roman" w:hAnsi="Times New Roman" w:cs="Times New Roman"/>
                <w:sz w:val="22"/>
                <w:szCs w:val="22"/>
              </w:rPr>
              <w:t xml:space="preserve">En cuanto al tema de la cuantía, si bien se espera o se podría proyectar una disminución, se puede afirmar que aún no se visualiza un impacto de disminución en la entrada de esa dependencia, por cuanto el promedio de esa variable en 2018 y 2019 fue de 298 y 316 asuntos mensuales respectivamente, y según el sistema SIGMA en enero de 2021 en esa oficina ingresaron justamente 316 expedientes, que coincide con el criterio expresado párrafos atrás por el Secretario de la Sala Segunda. Por ello, se sugiere otorgar un compás de espera a fin de analizar al cierre del presente año, el impacto real en el comportamiento de la cuantía. </w:t>
            </w:r>
          </w:p>
          <w:p w:rsidRPr="00AE1B2B" w:rsidR="009D3FB5" w:rsidP="00163B94" w:rsidRDefault="009D3FB5" w14:paraId="70148F78" w14:textId="77777777">
            <w:pPr>
              <w:spacing w:before="120" w:after="120"/>
              <w:jc w:val="both"/>
              <w:rPr>
                <w:rFonts w:ascii="Times New Roman" w:hAnsi="Times New Roman" w:cs="Times New Roman"/>
              </w:rPr>
            </w:pPr>
          </w:p>
          <w:p w:rsidRPr="00AE1B2B" w:rsidR="009D3FB5" w:rsidP="00163B94" w:rsidRDefault="009D3FB5" w14:paraId="5FD0F098" w14:textId="77777777">
            <w:pPr>
              <w:spacing w:before="120" w:after="120"/>
              <w:jc w:val="both"/>
              <w:rPr>
                <w:rFonts w:ascii="Times New Roman" w:hAnsi="Times New Roman" w:cs="Times New Roman"/>
              </w:rPr>
            </w:pPr>
            <w:r w:rsidRPr="00AE1B2B">
              <w:rPr>
                <w:rFonts w:ascii="Times New Roman" w:hAnsi="Times New Roman" w:cs="Times New Roman"/>
                <w:b/>
                <w:bCs/>
                <w:i/>
                <w:iCs/>
              </w:rPr>
              <w:lastRenderedPageBreak/>
              <w:t>3.2.3.3. Labores por efectuar en 2021</w:t>
            </w:r>
          </w:p>
          <w:p w:rsidRPr="00AE1B2B" w:rsidR="009D3FB5" w:rsidP="00163B94" w:rsidRDefault="009D3FB5" w14:paraId="6DAAD6C0" w14:textId="77777777">
            <w:pPr>
              <w:spacing w:before="120" w:after="120"/>
              <w:jc w:val="both"/>
              <w:rPr>
                <w:rFonts w:ascii="Times New Roman" w:hAnsi="Times New Roman" w:cs="Times New Roman"/>
              </w:rPr>
            </w:pPr>
          </w:p>
          <w:p w:rsidRPr="00AE1B2B" w:rsidR="009D3FB5" w:rsidP="00163B94" w:rsidRDefault="009D3FB5" w14:paraId="4DFD744B" w14:textId="77777777">
            <w:pPr>
              <w:spacing w:before="120" w:after="120"/>
              <w:ind w:right="177"/>
              <w:jc w:val="both"/>
              <w:rPr>
                <w:rFonts w:ascii="Times New Roman" w:hAnsi="Times New Roman" w:cs="Times New Roman"/>
              </w:rPr>
            </w:pPr>
            <w:r w:rsidRPr="00AE1B2B">
              <w:rPr>
                <w:rFonts w:ascii="Times New Roman" w:hAnsi="Times New Roman" w:cs="Times New Roman"/>
              </w:rPr>
              <w:t>Para 2021, la plaza se mantendrá atendiendo asuntos en alzada generadas por el fallo de sentencias de los juzgados de trabajo del país (incluye el grupo de Juezas Jueces destacados en el plan de descongestionamiento y adscritos al Centro de Apoyo, Coordinación y Mejoramiento de la Función Jurisdiccional), así como aquellos asuntos relacionados con exequatur y cartas rogatorias a partir del conocimiento en esta oficina, merced a la modificación del Código Civil desde octubre de 2018.</w:t>
            </w:r>
          </w:p>
          <w:p w:rsidRPr="00AE1B2B" w:rsidR="009D3FB5" w:rsidP="00163B94" w:rsidRDefault="009D3FB5" w14:paraId="0F63347F" w14:textId="77777777">
            <w:pPr>
              <w:spacing w:before="120" w:after="120"/>
              <w:ind w:right="177"/>
              <w:jc w:val="both"/>
              <w:rPr>
                <w:rFonts w:ascii="Times New Roman" w:hAnsi="Times New Roman" w:cs="Times New Roman"/>
              </w:rPr>
            </w:pPr>
          </w:p>
          <w:p w:rsidRPr="00AE1B2B" w:rsidR="009D3FB5" w:rsidP="00163B94" w:rsidRDefault="009D3FB5" w14:paraId="6BE1980B" w14:textId="77777777">
            <w:pPr>
              <w:spacing w:before="120" w:after="120"/>
              <w:ind w:right="177"/>
              <w:jc w:val="both"/>
              <w:rPr>
                <w:rFonts w:ascii="Times New Roman" w:hAnsi="Times New Roman" w:cs="Times New Roman"/>
              </w:rPr>
            </w:pPr>
            <w:r w:rsidRPr="00AE1B2B">
              <w:rPr>
                <w:rFonts w:ascii="Times New Roman" w:hAnsi="Times New Roman" w:cs="Times New Roman"/>
              </w:rPr>
              <w:t>Corresponde en ese sentido, analizar el movimiento de trabajo experimentado por la Sala Segunda durante el trienio 2018-2020, lo que se refleja en el cuadro 2:</w:t>
            </w:r>
          </w:p>
          <w:p w:rsidRPr="00AE1B2B" w:rsidR="009D3FB5" w:rsidP="00163B94" w:rsidRDefault="009D3FB5" w14:paraId="4892C8C5" w14:textId="77777777">
            <w:pPr>
              <w:spacing w:before="120" w:after="120"/>
              <w:jc w:val="both"/>
              <w:rPr>
                <w:rFonts w:ascii="Times New Roman" w:hAnsi="Times New Roman" w:cs="Times New Roman"/>
              </w:rPr>
            </w:pPr>
          </w:p>
          <w:p w:rsidRPr="00AE1B2B" w:rsidR="009D3FB5" w:rsidP="00163B94" w:rsidRDefault="009D3FB5" w14:paraId="422D0143" w14:textId="77777777">
            <w:pPr>
              <w:spacing w:before="120" w:after="120"/>
              <w:jc w:val="center"/>
              <w:rPr>
                <w:rFonts w:ascii="Times New Roman" w:hAnsi="Times New Roman" w:cs="Times New Roman"/>
                <w:b/>
                <w:bCs/>
              </w:rPr>
            </w:pPr>
            <w:r w:rsidRPr="00AE1B2B">
              <w:rPr>
                <w:rFonts w:ascii="Times New Roman" w:hAnsi="Times New Roman" w:cs="Times New Roman"/>
                <w:b/>
                <w:bCs/>
              </w:rPr>
              <w:t>Cuadro 2</w:t>
            </w:r>
          </w:p>
          <w:tbl>
            <w:tblPr>
              <w:tblW w:w="6906" w:type="dxa"/>
              <w:jc w:val="center"/>
              <w:tblLayout w:type="fixed"/>
              <w:tblCellMar>
                <w:left w:w="70" w:type="dxa"/>
                <w:right w:w="70" w:type="dxa"/>
              </w:tblCellMar>
              <w:tblLook w:val="04A0" w:firstRow="1" w:lastRow="0" w:firstColumn="1" w:lastColumn="0" w:noHBand="0" w:noVBand="1"/>
            </w:tblPr>
            <w:tblGrid>
              <w:gridCol w:w="2976"/>
              <w:gridCol w:w="1418"/>
              <w:gridCol w:w="1194"/>
              <w:gridCol w:w="1318"/>
            </w:tblGrid>
            <w:tr w:rsidRPr="00AE1B2B" w:rsidR="009D3FB5" w:rsidTr="009D3FB5" w14:paraId="45B13A7F" w14:textId="77777777">
              <w:trPr>
                <w:trHeight w:val="560"/>
                <w:jc w:val="center"/>
              </w:trPr>
              <w:tc>
                <w:tcPr>
                  <w:tcW w:w="6906" w:type="dxa"/>
                  <w:gridSpan w:val="4"/>
                  <w:tcBorders>
                    <w:top w:val="nil"/>
                    <w:left w:val="nil"/>
                    <w:bottom w:val="nil"/>
                    <w:right w:val="nil"/>
                  </w:tcBorders>
                  <w:shd w:val="clear" w:color="auto" w:fill="auto"/>
                  <w:noWrap/>
                  <w:vAlign w:val="bottom"/>
                  <w:hideMark/>
                </w:tcPr>
                <w:p w:rsidRPr="00AE1B2B" w:rsidR="009D3FB5" w:rsidP="00163B94" w:rsidRDefault="009D3FB5" w14:paraId="53963D0F" w14:textId="77777777">
                  <w:pPr>
                    <w:spacing w:before="120" w:after="120"/>
                    <w:jc w:val="center"/>
                    <w:rPr>
                      <w:rFonts w:ascii="Times New Roman" w:hAnsi="Times New Roman" w:cs="Times New Roman"/>
                      <w:b/>
                      <w:bCs/>
                      <w:lang w:val="es-419" w:eastAsia="es-419"/>
                    </w:rPr>
                  </w:pPr>
                  <w:r w:rsidRPr="00AE1B2B">
                    <w:rPr>
                      <w:rFonts w:ascii="Times New Roman" w:hAnsi="Times New Roman" w:cs="Times New Roman"/>
                      <w:b/>
                      <w:bCs/>
                      <w:lang w:val="es-419" w:eastAsia="es-419"/>
                    </w:rPr>
                    <w:t>Movimiento de trabajo en la Sala Segunda durante el trienio 2018-2020 y respectiva carga de trabajo por letrada o letrado</w:t>
                  </w:r>
                </w:p>
              </w:tc>
            </w:tr>
            <w:tr w:rsidRPr="00AE1B2B" w:rsidR="009D3FB5" w:rsidTr="009D3FB5" w14:paraId="7DE57D50" w14:textId="77777777">
              <w:trPr>
                <w:trHeight w:val="271"/>
                <w:jc w:val="center"/>
              </w:trPr>
              <w:tc>
                <w:tcPr>
                  <w:tcW w:w="2976" w:type="dxa"/>
                  <w:tcBorders>
                    <w:top w:val="nil"/>
                    <w:left w:val="nil"/>
                    <w:bottom w:val="nil"/>
                    <w:right w:val="nil"/>
                  </w:tcBorders>
                  <w:shd w:val="clear" w:color="auto" w:fill="auto"/>
                  <w:noWrap/>
                  <w:vAlign w:val="bottom"/>
                  <w:hideMark/>
                </w:tcPr>
                <w:p w:rsidRPr="00AE1B2B" w:rsidR="009D3FB5" w:rsidP="00163B94" w:rsidRDefault="009D3FB5" w14:paraId="3B1DF001" w14:textId="77777777">
                  <w:pPr>
                    <w:spacing w:before="120" w:after="120"/>
                    <w:jc w:val="center"/>
                    <w:rPr>
                      <w:rFonts w:ascii="Times New Roman" w:hAnsi="Times New Roman" w:cs="Times New Roman"/>
                      <w:b/>
                      <w:bCs/>
                      <w:lang w:val="es-419" w:eastAsia="es-419"/>
                    </w:rPr>
                  </w:pPr>
                </w:p>
              </w:tc>
              <w:tc>
                <w:tcPr>
                  <w:tcW w:w="1418" w:type="dxa"/>
                  <w:tcBorders>
                    <w:top w:val="nil"/>
                    <w:left w:val="nil"/>
                    <w:bottom w:val="nil"/>
                    <w:right w:val="nil"/>
                  </w:tcBorders>
                  <w:shd w:val="clear" w:color="auto" w:fill="auto"/>
                  <w:noWrap/>
                  <w:vAlign w:val="bottom"/>
                  <w:hideMark/>
                </w:tcPr>
                <w:p w:rsidRPr="00AE1B2B" w:rsidR="009D3FB5" w:rsidP="00163B94" w:rsidRDefault="009D3FB5" w14:paraId="068D365A" w14:textId="77777777">
                  <w:pPr>
                    <w:spacing w:before="120" w:after="120"/>
                    <w:rPr>
                      <w:rFonts w:ascii="Times New Roman" w:hAnsi="Times New Roman" w:cs="Times New Roman"/>
                      <w:lang w:val="es-419" w:eastAsia="es-419"/>
                    </w:rPr>
                  </w:pPr>
                </w:p>
              </w:tc>
              <w:tc>
                <w:tcPr>
                  <w:tcW w:w="1194" w:type="dxa"/>
                  <w:tcBorders>
                    <w:top w:val="nil"/>
                    <w:left w:val="nil"/>
                    <w:bottom w:val="nil"/>
                    <w:right w:val="nil"/>
                  </w:tcBorders>
                  <w:shd w:val="clear" w:color="auto" w:fill="auto"/>
                  <w:noWrap/>
                  <w:vAlign w:val="bottom"/>
                  <w:hideMark/>
                </w:tcPr>
                <w:p w:rsidRPr="00AE1B2B" w:rsidR="009D3FB5" w:rsidP="00163B94" w:rsidRDefault="009D3FB5" w14:paraId="726AC1F4" w14:textId="77777777">
                  <w:pPr>
                    <w:spacing w:before="120" w:after="120"/>
                    <w:rPr>
                      <w:rFonts w:ascii="Times New Roman" w:hAnsi="Times New Roman" w:cs="Times New Roman"/>
                      <w:lang w:val="es-419" w:eastAsia="es-419"/>
                    </w:rPr>
                  </w:pPr>
                </w:p>
              </w:tc>
              <w:tc>
                <w:tcPr>
                  <w:tcW w:w="1318" w:type="dxa"/>
                  <w:tcBorders>
                    <w:top w:val="nil"/>
                    <w:left w:val="nil"/>
                    <w:bottom w:val="nil"/>
                    <w:right w:val="nil"/>
                  </w:tcBorders>
                  <w:shd w:val="clear" w:color="auto" w:fill="auto"/>
                  <w:noWrap/>
                  <w:vAlign w:val="bottom"/>
                  <w:hideMark/>
                </w:tcPr>
                <w:p w:rsidRPr="00AE1B2B" w:rsidR="009D3FB5" w:rsidP="00163B94" w:rsidRDefault="009D3FB5" w14:paraId="049FB4BE" w14:textId="77777777">
                  <w:pPr>
                    <w:spacing w:before="120" w:after="120"/>
                    <w:rPr>
                      <w:rFonts w:ascii="Times New Roman" w:hAnsi="Times New Roman" w:cs="Times New Roman"/>
                      <w:lang w:val="es-419" w:eastAsia="es-419"/>
                    </w:rPr>
                  </w:pPr>
                </w:p>
              </w:tc>
            </w:tr>
            <w:tr w:rsidRPr="00AE1B2B" w:rsidR="009D3FB5" w:rsidTr="009D3FB5" w14:paraId="585673EF" w14:textId="77777777">
              <w:trPr>
                <w:trHeight w:val="271"/>
                <w:jc w:val="center"/>
              </w:trPr>
              <w:tc>
                <w:tcPr>
                  <w:tcW w:w="2976" w:type="dxa"/>
                  <w:tcBorders>
                    <w:top w:val="single" w:color="auto" w:sz="4" w:space="0"/>
                    <w:left w:val="single" w:color="auto" w:sz="4" w:space="0"/>
                    <w:bottom w:val="single" w:color="auto" w:sz="4" w:space="0"/>
                    <w:right w:val="single" w:color="auto" w:sz="4" w:space="0"/>
                  </w:tcBorders>
                  <w:shd w:val="clear" w:color="000000" w:fill="8EA9DB"/>
                  <w:noWrap/>
                  <w:vAlign w:val="center"/>
                  <w:hideMark/>
                </w:tcPr>
                <w:p w:rsidRPr="00AE1B2B" w:rsidR="009D3FB5" w:rsidP="00163B94" w:rsidRDefault="009D3FB5" w14:paraId="68057147" w14:textId="77777777">
                  <w:pPr>
                    <w:spacing w:before="120" w:after="120"/>
                    <w:jc w:val="center"/>
                    <w:rPr>
                      <w:rFonts w:ascii="Times New Roman" w:hAnsi="Times New Roman" w:cs="Times New Roman"/>
                      <w:b/>
                      <w:bCs/>
                      <w:lang w:val="es-419" w:eastAsia="es-419"/>
                    </w:rPr>
                  </w:pPr>
                  <w:r w:rsidRPr="00AE1B2B">
                    <w:rPr>
                      <w:rFonts w:ascii="Times New Roman" w:hAnsi="Times New Roman" w:cs="Times New Roman"/>
                      <w:b/>
                      <w:bCs/>
                      <w:lang w:val="es-419" w:eastAsia="es-419"/>
                    </w:rPr>
                    <w:t>Año</w:t>
                  </w:r>
                </w:p>
              </w:tc>
              <w:tc>
                <w:tcPr>
                  <w:tcW w:w="1418" w:type="dxa"/>
                  <w:tcBorders>
                    <w:top w:val="single" w:color="auto" w:sz="4" w:space="0"/>
                    <w:left w:val="nil"/>
                    <w:bottom w:val="single" w:color="auto" w:sz="4" w:space="0"/>
                    <w:right w:val="single" w:color="auto" w:sz="4" w:space="0"/>
                  </w:tcBorders>
                  <w:shd w:val="clear" w:color="000000" w:fill="8EA9DB"/>
                  <w:noWrap/>
                  <w:vAlign w:val="center"/>
                  <w:hideMark/>
                </w:tcPr>
                <w:p w:rsidRPr="00AE1B2B" w:rsidR="009D3FB5" w:rsidP="00163B94" w:rsidRDefault="009D3FB5" w14:paraId="33D79D84" w14:textId="77777777">
                  <w:pPr>
                    <w:spacing w:before="120" w:after="120"/>
                    <w:jc w:val="center"/>
                    <w:rPr>
                      <w:rFonts w:ascii="Times New Roman" w:hAnsi="Times New Roman" w:cs="Times New Roman"/>
                      <w:b/>
                      <w:bCs/>
                      <w:lang w:val="es-419" w:eastAsia="es-419"/>
                    </w:rPr>
                  </w:pPr>
                  <w:r w:rsidRPr="00AE1B2B">
                    <w:rPr>
                      <w:rFonts w:ascii="Times New Roman" w:hAnsi="Times New Roman" w:cs="Times New Roman"/>
                      <w:b/>
                      <w:bCs/>
                      <w:lang w:val="es-419" w:eastAsia="es-419"/>
                    </w:rPr>
                    <w:t>2018</w:t>
                  </w:r>
                </w:p>
              </w:tc>
              <w:tc>
                <w:tcPr>
                  <w:tcW w:w="1194" w:type="dxa"/>
                  <w:tcBorders>
                    <w:top w:val="single" w:color="auto" w:sz="4" w:space="0"/>
                    <w:left w:val="nil"/>
                    <w:bottom w:val="single" w:color="auto" w:sz="4" w:space="0"/>
                    <w:right w:val="single" w:color="auto" w:sz="4" w:space="0"/>
                  </w:tcBorders>
                  <w:shd w:val="clear" w:color="000000" w:fill="8EA9DB"/>
                  <w:noWrap/>
                  <w:vAlign w:val="bottom"/>
                  <w:hideMark/>
                </w:tcPr>
                <w:p w:rsidRPr="00AE1B2B" w:rsidR="009D3FB5" w:rsidP="00163B94" w:rsidRDefault="009D3FB5" w14:paraId="71C299EE" w14:textId="77777777">
                  <w:pPr>
                    <w:spacing w:before="120" w:after="120"/>
                    <w:jc w:val="center"/>
                    <w:rPr>
                      <w:rFonts w:ascii="Times New Roman" w:hAnsi="Times New Roman" w:cs="Times New Roman"/>
                      <w:b/>
                      <w:bCs/>
                      <w:lang w:val="es-419" w:eastAsia="es-419"/>
                    </w:rPr>
                  </w:pPr>
                  <w:r w:rsidRPr="00AE1B2B">
                    <w:rPr>
                      <w:rFonts w:ascii="Times New Roman" w:hAnsi="Times New Roman" w:cs="Times New Roman"/>
                      <w:b/>
                      <w:bCs/>
                      <w:lang w:val="es-419" w:eastAsia="es-419"/>
                    </w:rPr>
                    <w:t>2019</w:t>
                  </w:r>
                </w:p>
              </w:tc>
              <w:tc>
                <w:tcPr>
                  <w:tcW w:w="1318" w:type="dxa"/>
                  <w:tcBorders>
                    <w:top w:val="single" w:color="auto" w:sz="4" w:space="0"/>
                    <w:left w:val="nil"/>
                    <w:bottom w:val="single" w:color="auto" w:sz="4" w:space="0"/>
                    <w:right w:val="single" w:color="auto" w:sz="4" w:space="0"/>
                  </w:tcBorders>
                  <w:shd w:val="clear" w:color="000000" w:fill="8EA9DB"/>
                  <w:noWrap/>
                  <w:vAlign w:val="bottom"/>
                  <w:hideMark/>
                </w:tcPr>
                <w:p w:rsidRPr="00AE1B2B" w:rsidR="009D3FB5" w:rsidP="00163B94" w:rsidRDefault="009D3FB5" w14:paraId="51983C84" w14:textId="77777777">
                  <w:pPr>
                    <w:spacing w:before="120" w:after="120"/>
                    <w:jc w:val="center"/>
                    <w:rPr>
                      <w:rFonts w:ascii="Times New Roman" w:hAnsi="Times New Roman" w:cs="Times New Roman"/>
                      <w:b/>
                      <w:bCs/>
                      <w:lang w:val="es-419" w:eastAsia="es-419"/>
                    </w:rPr>
                  </w:pPr>
                  <w:r w:rsidRPr="00AE1B2B">
                    <w:rPr>
                      <w:rFonts w:ascii="Times New Roman" w:hAnsi="Times New Roman" w:cs="Times New Roman"/>
                      <w:b/>
                      <w:bCs/>
                      <w:lang w:val="es-419" w:eastAsia="es-419"/>
                    </w:rPr>
                    <w:t>2020*</w:t>
                  </w:r>
                </w:p>
              </w:tc>
            </w:tr>
            <w:tr w:rsidRPr="00AE1B2B" w:rsidR="009D3FB5" w:rsidTr="009D3FB5" w14:paraId="79BC1C43" w14:textId="77777777">
              <w:trPr>
                <w:trHeight w:val="271"/>
                <w:jc w:val="center"/>
              </w:trPr>
              <w:tc>
                <w:tcPr>
                  <w:tcW w:w="2976"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7AA8BD1" w14:textId="77777777">
                  <w:pPr>
                    <w:spacing w:before="120" w:after="120"/>
                    <w:rPr>
                      <w:rFonts w:ascii="Times New Roman" w:hAnsi="Times New Roman" w:cs="Times New Roman"/>
                      <w:lang w:val="es-419" w:eastAsia="es-419"/>
                    </w:rPr>
                  </w:pPr>
                  <w:r w:rsidRPr="00AE1B2B">
                    <w:rPr>
                      <w:rFonts w:ascii="Times New Roman" w:hAnsi="Times New Roman" w:cs="Times New Roman"/>
                      <w:lang w:val="es-419" w:eastAsia="es-419"/>
                    </w:rPr>
                    <w:t>Entrada</w:t>
                  </w:r>
                </w:p>
              </w:tc>
              <w:tc>
                <w:tcPr>
                  <w:tcW w:w="1418"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4C28B4C" w14:textId="77777777">
                  <w:pPr>
                    <w:spacing w:before="120" w:after="120"/>
                    <w:jc w:val="center"/>
                    <w:rPr>
                      <w:rFonts w:ascii="Times New Roman" w:hAnsi="Times New Roman" w:cs="Times New Roman"/>
                      <w:lang w:val="es-419" w:eastAsia="es-419"/>
                    </w:rPr>
                  </w:pPr>
                  <w:r w:rsidRPr="00AE1B2B">
                    <w:rPr>
                      <w:rFonts w:ascii="Times New Roman" w:hAnsi="Times New Roman" w:cs="Times New Roman"/>
                      <w:lang w:val="es-419" w:eastAsia="es-419"/>
                    </w:rPr>
                    <w:t>3357</w:t>
                  </w:r>
                </w:p>
              </w:tc>
              <w:tc>
                <w:tcPr>
                  <w:tcW w:w="1194"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666A932" w14:textId="77777777">
                  <w:pPr>
                    <w:spacing w:before="120" w:after="120"/>
                    <w:jc w:val="center"/>
                    <w:rPr>
                      <w:rFonts w:ascii="Times New Roman" w:hAnsi="Times New Roman" w:cs="Times New Roman"/>
                      <w:lang w:val="es-419" w:eastAsia="es-419"/>
                    </w:rPr>
                  </w:pPr>
                  <w:r w:rsidRPr="00AE1B2B">
                    <w:rPr>
                      <w:rFonts w:ascii="Times New Roman" w:hAnsi="Times New Roman" w:cs="Times New Roman"/>
                      <w:lang w:val="es-419" w:eastAsia="es-419"/>
                    </w:rPr>
                    <w:t>3563</w:t>
                  </w:r>
                </w:p>
              </w:tc>
              <w:tc>
                <w:tcPr>
                  <w:tcW w:w="1318"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B759AB0" w14:textId="77777777">
                  <w:pPr>
                    <w:spacing w:before="120" w:after="120"/>
                    <w:jc w:val="center"/>
                    <w:rPr>
                      <w:rFonts w:ascii="Times New Roman" w:hAnsi="Times New Roman" w:cs="Times New Roman"/>
                      <w:lang w:val="es-419" w:eastAsia="es-419"/>
                    </w:rPr>
                  </w:pPr>
                  <w:r w:rsidRPr="00AE1B2B">
                    <w:rPr>
                      <w:rFonts w:ascii="Times New Roman" w:hAnsi="Times New Roman" w:cs="Times New Roman"/>
                      <w:lang w:val="es-419" w:eastAsia="es-419"/>
                    </w:rPr>
                    <w:t>2969</w:t>
                  </w:r>
                </w:p>
              </w:tc>
            </w:tr>
            <w:tr w:rsidRPr="00AE1B2B" w:rsidR="009D3FB5" w:rsidTr="009D3FB5" w14:paraId="0194D6E2" w14:textId="77777777">
              <w:trPr>
                <w:trHeight w:val="271"/>
                <w:jc w:val="center"/>
              </w:trPr>
              <w:tc>
                <w:tcPr>
                  <w:tcW w:w="2976"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0953DBC" w14:textId="77777777">
                  <w:pPr>
                    <w:spacing w:before="120" w:after="120"/>
                    <w:rPr>
                      <w:rFonts w:ascii="Times New Roman" w:hAnsi="Times New Roman" w:cs="Times New Roman"/>
                      <w:lang w:val="es-419" w:eastAsia="es-419"/>
                    </w:rPr>
                  </w:pPr>
                  <w:r w:rsidRPr="00AE1B2B">
                    <w:rPr>
                      <w:rFonts w:ascii="Times New Roman" w:hAnsi="Times New Roman" w:cs="Times New Roman"/>
                      <w:lang w:val="es-419" w:eastAsia="es-419"/>
                    </w:rPr>
                    <w:t>Circulante final</w:t>
                  </w:r>
                </w:p>
              </w:tc>
              <w:tc>
                <w:tcPr>
                  <w:tcW w:w="1418"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86E37D4" w14:textId="77777777">
                  <w:pPr>
                    <w:spacing w:before="120" w:after="120"/>
                    <w:jc w:val="center"/>
                    <w:rPr>
                      <w:rFonts w:ascii="Times New Roman" w:hAnsi="Times New Roman" w:cs="Times New Roman"/>
                      <w:lang w:val="es-419" w:eastAsia="es-419"/>
                    </w:rPr>
                  </w:pPr>
                  <w:r w:rsidRPr="00AE1B2B">
                    <w:rPr>
                      <w:rFonts w:ascii="Times New Roman" w:hAnsi="Times New Roman" w:cs="Times New Roman"/>
                      <w:lang w:val="es-419" w:eastAsia="es-419"/>
                    </w:rPr>
                    <w:t>2872</w:t>
                  </w:r>
                </w:p>
              </w:tc>
              <w:tc>
                <w:tcPr>
                  <w:tcW w:w="1194"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7609462" w14:textId="77777777">
                  <w:pPr>
                    <w:spacing w:before="120" w:after="120"/>
                    <w:jc w:val="center"/>
                    <w:rPr>
                      <w:rFonts w:ascii="Times New Roman" w:hAnsi="Times New Roman" w:cs="Times New Roman"/>
                      <w:lang w:val="es-419" w:eastAsia="es-419"/>
                    </w:rPr>
                  </w:pPr>
                  <w:r w:rsidRPr="00AE1B2B">
                    <w:rPr>
                      <w:rFonts w:ascii="Times New Roman" w:hAnsi="Times New Roman" w:cs="Times New Roman"/>
                      <w:lang w:val="es-419" w:eastAsia="es-419"/>
                    </w:rPr>
                    <w:t>4189</w:t>
                  </w:r>
                </w:p>
              </w:tc>
              <w:tc>
                <w:tcPr>
                  <w:tcW w:w="1318"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F2961AC" w14:textId="77777777">
                  <w:pPr>
                    <w:spacing w:before="120" w:after="120"/>
                    <w:jc w:val="center"/>
                    <w:rPr>
                      <w:rFonts w:ascii="Times New Roman" w:hAnsi="Times New Roman" w:cs="Times New Roman"/>
                      <w:lang w:val="es-419" w:eastAsia="es-419"/>
                    </w:rPr>
                  </w:pPr>
                  <w:r w:rsidRPr="00AE1B2B">
                    <w:rPr>
                      <w:rFonts w:ascii="Times New Roman" w:hAnsi="Times New Roman" w:cs="Times New Roman"/>
                      <w:lang w:val="es-419" w:eastAsia="es-419"/>
                    </w:rPr>
                    <w:t>4970</w:t>
                  </w:r>
                </w:p>
              </w:tc>
            </w:tr>
            <w:tr w:rsidRPr="00AE1B2B" w:rsidR="009D3FB5" w:rsidTr="009D3FB5" w14:paraId="3DDA9E2A" w14:textId="77777777">
              <w:trPr>
                <w:trHeight w:val="271"/>
                <w:jc w:val="center"/>
              </w:trPr>
              <w:tc>
                <w:tcPr>
                  <w:tcW w:w="2976" w:type="dxa"/>
                  <w:tcBorders>
                    <w:top w:val="nil"/>
                    <w:left w:val="single" w:color="auto" w:sz="4" w:space="0"/>
                    <w:bottom w:val="single" w:color="auto" w:sz="4" w:space="0"/>
                    <w:right w:val="single" w:color="auto" w:sz="4" w:space="0"/>
                  </w:tcBorders>
                  <w:shd w:val="clear" w:color="auto" w:fill="auto"/>
                  <w:noWrap/>
                  <w:vAlign w:val="bottom"/>
                </w:tcPr>
                <w:p w:rsidRPr="00AE1B2B" w:rsidR="009D3FB5" w:rsidP="00163B94" w:rsidRDefault="009D3FB5" w14:paraId="460455F2" w14:textId="77777777">
                  <w:pPr>
                    <w:spacing w:before="120" w:after="120"/>
                    <w:rPr>
                      <w:rFonts w:ascii="Times New Roman" w:hAnsi="Times New Roman" w:cs="Times New Roman"/>
                      <w:lang w:val="es-419" w:eastAsia="es-419"/>
                    </w:rPr>
                  </w:pPr>
                  <w:r w:rsidRPr="00AE1B2B">
                    <w:rPr>
                      <w:rFonts w:ascii="Times New Roman" w:hAnsi="Times New Roman" w:cs="Times New Roman"/>
                      <w:lang w:val="es-419" w:eastAsia="es-419"/>
                    </w:rPr>
                    <w:t>Terminados</w:t>
                  </w:r>
                </w:p>
              </w:tc>
              <w:tc>
                <w:tcPr>
                  <w:tcW w:w="1418" w:type="dxa"/>
                  <w:tcBorders>
                    <w:top w:val="nil"/>
                    <w:left w:val="nil"/>
                    <w:bottom w:val="single" w:color="auto" w:sz="4" w:space="0"/>
                    <w:right w:val="single" w:color="auto" w:sz="4" w:space="0"/>
                  </w:tcBorders>
                  <w:shd w:val="clear" w:color="auto" w:fill="auto"/>
                  <w:noWrap/>
                  <w:vAlign w:val="bottom"/>
                </w:tcPr>
                <w:p w:rsidRPr="00AE1B2B" w:rsidR="009D3FB5" w:rsidP="00163B94" w:rsidRDefault="009D3FB5" w14:paraId="2F620773" w14:textId="77777777">
                  <w:pPr>
                    <w:spacing w:before="120" w:after="120"/>
                    <w:jc w:val="center"/>
                    <w:rPr>
                      <w:rFonts w:ascii="Times New Roman" w:hAnsi="Times New Roman" w:cs="Times New Roman"/>
                      <w:lang w:val="es-419" w:eastAsia="es-419"/>
                    </w:rPr>
                  </w:pPr>
                  <w:r w:rsidRPr="00AE1B2B">
                    <w:rPr>
                      <w:rFonts w:ascii="Times New Roman" w:hAnsi="Times New Roman" w:cs="Times New Roman"/>
                      <w:lang w:val="es-419" w:eastAsia="es-419"/>
                    </w:rPr>
                    <w:t>1976</w:t>
                  </w:r>
                </w:p>
              </w:tc>
              <w:tc>
                <w:tcPr>
                  <w:tcW w:w="1194" w:type="dxa"/>
                  <w:tcBorders>
                    <w:top w:val="nil"/>
                    <w:left w:val="nil"/>
                    <w:bottom w:val="single" w:color="auto" w:sz="4" w:space="0"/>
                    <w:right w:val="single" w:color="auto" w:sz="4" w:space="0"/>
                  </w:tcBorders>
                  <w:shd w:val="clear" w:color="auto" w:fill="auto"/>
                  <w:noWrap/>
                  <w:vAlign w:val="bottom"/>
                </w:tcPr>
                <w:p w:rsidRPr="00AE1B2B" w:rsidR="009D3FB5" w:rsidP="00163B94" w:rsidRDefault="009D3FB5" w14:paraId="5EC4803F" w14:textId="77777777">
                  <w:pPr>
                    <w:spacing w:before="120" w:after="120"/>
                    <w:jc w:val="center"/>
                    <w:rPr>
                      <w:rFonts w:ascii="Times New Roman" w:hAnsi="Times New Roman" w:cs="Times New Roman"/>
                      <w:lang w:val="es-419" w:eastAsia="es-419"/>
                    </w:rPr>
                  </w:pPr>
                  <w:r w:rsidRPr="00AE1B2B">
                    <w:rPr>
                      <w:rFonts w:ascii="Times New Roman" w:hAnsi="Times New Roman" w:cs="Times New Roman"/>
                      <w:lang w:val="es-419" w:eastAsia="es-419"/>
                    </w:rPr>
                    <w:t>2249</w:t>
                  </w:r>
                </w:p>
              </w:tc>
              <w:tc>
                <w:tcPr>
                  <w:tcW w:w="1318" w:type="dxa"/>
                  <w:tcBorders>
                    <w:top w:val="nil"/>
                    <w:left w:val="nil"/>
                    <w:bottom w:val="single" w:color="auto" w:sz="4" w:space="0"/>
                    <w:right w:val="single" w:color="auto" w:sz="4" w:space="0"/>
                  </w:tcBorders>
                  <w:shd w:val="clear" w:color="auto" w:fill="auto"/>
                  <w:noWrap/>
                  <w:vAlign w:val="bottom"/>
                </w:tcPr>
                <w:p w:rsidRPr="00AE1B2B" w:rsidR="009D3FB5" w:rsidP="00163B94" w:rsidRDefault="009D3FB5" w14:paraId="3378D6F1" w14:textId="77777777">
                  <w:pPr>
                    <w:spacing w:before="120" w:after="120"/>
                    <w:jc w:val="center"/>
                    <w:rPr>
                      <w:rFonts w:ascii="Times New Roman" w:hAnsi="Times New Roman" w:cs="Times New Roman"/>
                      <w:lang w:val="es-419" w:eastAsia="es-419"/>
                    </w:rPr>
                  </w:pPr>
                  <w:r w:rsidRPr="00AE1B2B">
                    <w:rPr>
                      <w:rFonts w:ascii="Times New Roman" w:hAnsi="Times New Roman" w:cs="Times New Roman"/>
                      <w:lang w:val="es-419" w:eastAsia="es-419"/>
                    </w:rPr>
                    <w:t>2194</w:t>
                  </w:r>
                </w:p>
              </w:tc>
            </w:tr>
            <w:tr w:rsidRPr="00AE1B2B" w:rsidR="009D3FB5" w:rsidTr="009D3FB5" w14:paraId="402E4D96" w14:textId="77777777">
              <w:trPr>
                <w:trHeight w:val="271"/>
                <w:jc w:val="center"/>
              </w:trPr>
              <w:tc>
                <w:tcPr>
                  <w:tcW w:w="2976"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6F27718" w14:textId="77777777">
                  <w:pPr>
                    <w:spacing w:before="120" w:after="120"/>
                    <w:rPr>
                      <w:rFonts w:ascii="Times New Roman" w:hAnsi="Times New Roman" w:cs="Times New Roman"/>
                      <w:lang w:val="es-419" w:eastAsia="es-419"/>
                    </w:rPr>
                  </w:pPr>
                  <w:r w:rsidRPr="00AE1B2B">
                    <w:rPr>
                      <w:rFonts w:ascii="Times New Roman" w:hAnsi="Times New Roman" w:cs="Times New Roman"/>
                      <w:lang w:val="es-419" w:eastAsia="es-419"/>
                    </w:rPr>
                    <w:t>Cantidad de Letradas/os*</w:t>
                  </w:r>
                </w:p>
              </w:tc>
              <w:tc>
                <w:tcPr>
                  <w:tcW w:w="1418"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ECF9249" w14:textId="77777777">
                  <w:pPr>
                    <w:spacing w:before="120" w:after="120"/>
                    <w:jc w:val="center"/>
                    <w:rPr>
                      <w:rFonts w:ascii="Times New Roman" w:hAnsi="Times New Roman" w:cs="Times New Roman"/>
                      <w:lang w:val="es-419" w:eastAsia="es-419"/>
                    </w:rPr>
                  </w:pPr>
                  <w:r w:rsidRPr="00AE1B2B">
                    <w:rPr>
                      <w:rFonts w:ascii="Times New Roman" w:hAnsi="Times New Roman" w:cs="Times New Roman"/>
                      <w:lang w:val="es-419" w:eastAsia="es-419"/>
                    </w:rPr>
                    <w:t>18</w:t>
                  </w:r>
                </w:p>
              </w:tc>
              <w:tc>
                <w:tcPr>
                  <w:tcW w:w="1194"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C2BC7B3" w14:textId="77777777">
                  <w:pPr>
                    <w:spacing w:before="120" w:after="120"/>
                    <w:jc w:val="center"/>
                    <w:rPr>
                      <w:rFonts w:ascii="Times New Roman" w:hAnsi="Times New Roman" w:cs="Times New Roman"/>
                      <w:lang w:val="es-419" w:eastAsia="es-419"/>
                    </w:rPr>
                  </w:pPr>
                  <w:r w:rsidRPr="00AE1B2B">
                    <w:rPr>
                      <w:rFonts w:ascii="Times New Roman" w:hAnsi="Times New Roman" w:cs="Times New Roman"/>
                      <w:lang w:val="es-419" w:eastAsia="es-419"/>
                    </w:rPr>
                    <w:t>18</w:t>
                  </w:r>
                </w:p>
              </w:tc>
              <w:tc>
                <w:tcPr>
                  <w:tcW w:w="1318"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698D4F3" w14:textId="77777777">
                  <w:pPr>
                    <w:spacing w:before="120" w:after="120"/>
                    <w:jc w:val="center"/>
                    <w:rPr>
                      <w:rFonts w:ascii="Times New Roman" w:hAnsi="Times New Roman" w:cs="Times New Roman"/>
                      <w:lang w:val="es-419" w:eastAsia="es-419"/>
                    </w:rPr>
                  </w:pPr>
                  <w:r w:rsidRPr="00AE1B2B">
                    <w:rPr>
                      <w:rFonts w:ascii="Times New Roman" w:hAnsi="Times New Roman" w:cs="Times New Roman"/>
                      <w:lang w:val="es-419" w:eastAsia="es-419"/>
                    </w:rPr>
                    <w:t>18</w:t>
                  </w:r>
                </w:p>
              </w:tc>
            </w:tr>
            <w:tr w:rsidRPr="00AE1B2B" w:rsidR="009D3FB5" w:rsidTr="009D3FB5" w14:paraId="0CB7D4F4" w14:textId="77777777">
              <w:trPr>
                <w:trHeight w:val="271"/>
                <w:jc w:val="center"/>
              </w:trPr>
              <w:tc>
                <w:tcPr>
                  <w:tcW w:w="2976"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B634F21" w14:textId="77777777">
                  <w:pPr>
                    <w:spacing w:before="120" w:after="120"/>
                    <w:rPr>
                      <w:rFonts w:ascii="Times New Roman" w:hAnsi="Times New Roman" w:cs="Times New Roman"/>
                      <w:b/>
                      <w:bCs/>
                      <w:lang w:val="es-419" w:eastAsia="es-419"/>
                    </w:rPr>
                  </w:pPr>
                  <w:r w:rsidRPr="00AE1B2B">
                    <w:rPr>
                      <w:rFonts w:ascii="Times New Roman" w:hAnsi="Times New Roman" w:cs="Times New Roman"/>
                      <w:b/>
                      <w:bCs/>
                      <w:lang w:val="es-419" w:eastAsia="es-419"/>
                    </w:rPr>
                    <w:t>Entrada mensual por letrado</w:t>
                  </w:r>
                </w:p>
              </w:tc>
              <w:tc>
                <w:tcPr>
                  <w:tcW w:w="1418"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BDF8473" w14:textId="77777777">
                  <w:pPr>
                    <w:spacing w:before="120" w:after="120"/>
                    <w:jc w:val="center"/>
                    <w:rPr>
                      <w:rFonts w:ascii="Times New Roman" w:hAnsi="Times New Roman" w:cs="Times New Roman"/>
                      <w:b/>
                      <w:bCs/>
                      <w:lang w:val="es-419" w:eastAsia="es-419"/>
                    </w:rPr>
                  </w:pPr>
                  <w:r w:rsidRPr="00AE1B2B">
                    <w:rPr>
                      <w:rFonts w:ascii="Times New Roman" w:hAnsi="Times New Roman" w:cs="Times New Roman"/>
                      <w:b/>
                      <w:bCs/>
                      <w:lang w:val="es-419" w:eastAsia="es-419"/>
                    </w:rPr>
                    <w:t>17</w:t>
                  </w:r>
                </w:p>
              </w:tc>
              <w:tc>
                <w:tcPr>
                  <w:tcW w:w="1194"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8E8F2FE" w14:textId="77777777">
                  <w:pPr>
                    <w:spacing w:before="120" w:after="120"/>
                    <w:jc w:val="center"/>
                    <w:rPr>
                      <w:rFonts w:ascii="Times New Roman" w:hAnsi="Times New Roman" w:cs="Times New Roman"/>
                      <w:b/>
                      <w:bCs/>
                      <w:lang w:val="es-419" w:eastAsia="es-419"/>
                    </w:rPr>
                  </w:pPr>
                  <w:r w:rsidRPr="00AE1B2B">
                    <w:rPr>
                      <w:rFonts w:ascii="Times New Roman" w:hAnsi="Times New Roman" w:cs="Times New Roman"/>
                      <w:b/>
                      <w:bCs/>
                      <w:lang w:val="es-419" w:eastAsia="es-419"/>
                    </w:rPr>
                    <w:t>18</w:t>
                  </w:r>
                </w:p>
              </w:tc>
              <w:tc>
                <w:tcPr>
                  <w:tcW w:w="1318"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BBEAB20" w14:textId="77777777">
                  <w:pPr>
                    <w:spacing w:before="120" w:after="120"/>
                    <w:jc w:val="center"/>
                    <w:rPr>
                      <w:rFonts w:ascii="Times New Roman" w:hAnsi="Times New Roman" w:cs="Times New Roman"/>
                      <w:b/>
                      <w:bCs/>
                      <w:lang w:val="es-419" w:eastAsia="es-419"/>
                    </w:rPr>
                  </w:pPr>
                  <w:r w:rsidRPr="00AE1B2B">
                    <w:rPr>
                      <w:rFonts w:ascii="Times New Roman" w:hAnsi="Times New Roman" w:cs="Times New Roman"/>
                      <w:b/>
                      <w:bCs/>
                      <w:lang w:val="es-419" w:eastAsia="es-419"/>
                    </w:rPr>
                    <w:t>15</w:t>
                  </w:r>
                </w:p>
              </w:tc>
            </w:tr>
            <w:tr w:rsidRPr="00AE1B2B" w:rsidR="009D3FB5" w:rsidTr="009D3FB5" w14:paraId="162891F6" w14:textId="77777777">
              <w:trPr>
                <w:trHeight w:val="271"/>
                <w:jc w:val="center"/>
              </w:trPr>
              <w:tc>
                <w:tcPr>
                  <w:tcW w:w="2976" w:type="dxa"/>
                  <w:tcBorders>
                    <w:top w:val="nil"/>
                    <w:left w:val="nil"/>
                    <w:bottom w:val="nil"/>
                    <w:right w:val="nil"/>
                  </w:tcBorders>
                  <w:shd w:val="clear" w:color="auto" w:fill="auto"/>
                  <w:noWrap/>
                  <w:vAlign w:val="bottom"/>
                  <w:hideMark/>
                </w:tcPr>
                <w:p w:rsidRPr="00AE1B2B" w:rsidR="009D3FB5" w:rsidP="00163B94" w:rsidRDefault="009D3FB5" w14:paraId="03713E88" w14:textId="77777777">
                  <w:pPr>
                    <w:spacing w:before="120" w:after="120"/>
                    <w:rPr>
                      <w:rFonts w:ascii="Times New Roman" w:hAnsi="Times New Roman" w:cs="Times New Roman"/>
                      <w:lang w:val="es-419" w:eastAsia="es-419"/>
                    </w:rPr>
                  </w:pPr>
                  <w:r w:rsidRPr="00AE1B2B">
                    <w:rPr>
                      <w:rFonts w:ascii="Times New Roman" w:hAnsi="Times New Roman" w:cs="Times New Roman"/>
                      <w:lang w:val="es-419" w:eastAsia="es-419"/>
                    </w:rPr>
                    <w:t>Fuente: Elaboración propia</w:t>
                  </w:r>
                </w:p>
              </w:tc>
              <w:tc>
                <w:tcPr>
                  <w:tcW w:w="1418" w:type="dxa"/>
                  <w:tcBorders>
                    <w:top w:val="nil"/>
                    <w:left w:val="nil"/>
                    <w:bottom w:val="nil"/>
                    <w:right w:val="nil"/>
                  </w:tcBorders>
                  <w:shd w:val="clear" w:color="auto" w:fill="auto"/>
                  <w:noWrap/>
                  <w:vAlign w:val="bottom"/>
                  <w:hideMark/>
                </w:tcPr>
                <w:p w:rsidRPr="00AE1B2B" w:rsidR="009D3FB5" w:rsidP="00163B94" w:rsidRDefault="009D3FB5" w14:paraId="2A788920" w14:textId="77777777">
                  <w:pPr>
                    <w:spacing w:before="120" w:after="120"/>
                    <w:rPr>
                      <w:rFonts w:ascii="Times New Roman" w:hAnsi="Times New Roman" w:cs="Times New Roman"/>
                      <w:lang w:val="es-419" w:eastAsia="es-419"/>
                    </w:rPr>
                  </w:pPr>
                </w:p>
              </w:tc>
              <w:tc>
                <w:tcPr>
                  <w:tcW w:w="1194" w:type="dxa"/>
                  <w:tcBorders>
                    <w:top w:val="nil"/>
                    <w:left w:val="nil"/>
                    <w:bottom w:val="nil"/>
                    <w:right w:val="nil"/>
                  </w:tcBorders>
                  <w:shd w:val="clear" w:color="auto" w:fill="auto"/>
                  <w:noWrap/>
                  <w:vAlign w:val="bottom"/>
                  <w:hideMark/>
                </w:tcPr>
                <w:p w:rsidRPr="00AE1B2B" w:rsidR="009D3FB5" w:rsidP="00163B94" w:rsidRDefault="009D3FB5" w14:paraId="6D31606C" w14:textId="77777777">
                  <w:pPr>
                    <w:spacing w:before="120" w:after="120"/>
                    <w:rPr>
                      <w:rFonts w:ascii="Times New Roman" w:hAnsi="Times New Roman" w:cs="Times New Roman"/>
                      <w:lang w:val="es-419" w:eastAsia="es-419"/>
                    </w:rPr>
                  </w:pPr>
                </w:p>
              </w:tc>
              <w:tc>
                <w:tcPr>
                  <w:tcW w:w="1318" w:type="dxa"/>
                  <w:tcBorders>
                    <w:top w:val="nil"/>
                    <w:left w:val="nil"/>
                    <w:bottom w:val="nil"/>
                    <w:right w:val="nil"/>
                  </w:tcBorders>
                  <w:shd w:val="clear" w:color="auto" w:fill="auto"/>
                  <w:noWrap/>
                  <w:vAlign w:val="bottom"/>
                  <w:hideMark/>
                </w:tcPr>
                <w:p w:rsidRPr="00AE1B2B" w:rsidR="009D3FB5" w:rsidP="00163B94" w:rsidRDefault="009D3FB5" w14:paraId="1A4CFA3C" w14:textId="77777777">
                  <w:pPr>
                    <w:spacing w:before="120" w:after="120"/>
                    <w:rPr>
                      <w:rFonts w:ascii="Times New Roman" w:hAnsi="Times New Roman" w:cs="Times New Roman"/>
                      <w:lang w:val="es-419" w:eastAsia="es-419"/>
                    </w:rPr>
                  </w:pPr>
                </w:p>
              </w:tc>
            </w:tr>
            <w:tr w:rsidRPr="00AE1B2B" w:rsidR="009D3FB5" w:rsidTr="009D3FB5" w14:paraId="61B15F67" w14:textId="77777777">
              <w:trPr>
                <w:trHeight w:val="438"/>
                <w:jc w:val="center"/>
              </w:trPr>
              <w:tc>
                <w:tcPr>
                  <w:tcW w:w="6906" w:type="dxa"/>
                  <w:gridSpan w:val="4"/>
                  <w:tcBorders>
                    <w:top w:val="nil"/>
                    <w:left w:val="nil"/>
                    <w:bottom w:val="nil"/>
                    <w:right w:val="nil"/>
                  </w:tcBorders>
                  <w:shd w:val="clear" w:color="auto" w:fill="auto"/>
                  <w:noWrap/>
                  <w:vAlign w:val="center"/>
                  <w:hideMark/>
                </w:tcPr>
                <w:p w:rsidRPr="00AE1B2B" w:rsidR="009D3FB5" w:rsidP="00163B94" w:rsidRDefault="009D3FB5" w14:paraId="2D744CC1" w14:textId="77777777">
                  <w:pPr>
                    <w:spacing w:before="120" w:after="120"/>
                    <w:jc w:val="both"/>
                    <w:rPr>
                      <w:rFonts w:ascii="Times New Roman" w:hAnsi="Times New Roman" w:cs="Times New Roman"/>
                      <w:lang w:val="es-419" w:eastAsia="es-419"/>
                    </w:rPr>
                  </w:pPr>
                  <w:r w:rsidRPr="00AE1B2B">
                    <w:rPr>
                      <w:rFonts w:ascii="Times New Roman" w:hAnsi="Times New Roman" w:cs="Times New Roman"/>
                      <w:lang w:val="es-419" w:eastAsia="es-419"/>
                    </w:rPr>
                    <w:t>Nota*: Información preliminar a partir de la información suministrada por el Subproceso de Estadística para el I, II y III trimestre 2020 y del sistema SIGMA para el IV trimestre de ese año.</w:t>
                  </w:r>
                </w:p>
              </w:tc>
            </w:tr>
          </w:tbl>
          <w:p w:rsidRPr="00AE1B2B" w:rsidR="009D3FB5" w:rsidP="00163B94" w:rsidRDefault="009D3FB5" w14:paraId="6CA5E3B5" w14:textId="77777777">
            <w:pPr>
              <w:spacing w:before="120" w:after="120"/>
              <w:jc w:val="both"/>
              <w:rPr>
                <w:rFonts w:ascii="Times New Roman" w:hAnsi="Times New Roman" w:cs="Times New Roman"/>
              </w:rPr>
            </w:pPr>
          </w:p>
          <w:p w:rsidRPr="00AE1B2B" w:rsidR="009D3FB5" w:rsidP="00163B94" w:rsidRDefault="009D3FB5" w14:paraId="331D892C" w14:textId="77777777">
            <w:pPr>
              <w:spacing w:before="120" w:after="120"/>
              <w:ind w:right="177"/>
              <w:jc w:val="both"/>
              <w:rPr>
                <w:rFonts w:ascii="Times New Roman" w:hAnsi="Times New Roman" w:cs="Times New Roman"/>
              </w:rPr>
            </w:pPr>
            <w:r w:rsidRPr="00AE1B2B">
              <w:rPr>
                <w:rFonts w:ascii="Times New Roman" w:hAnsi="Times New Roman" w:cs="Times New Roman"/>
              </w:rPr>
              <w:t>La atipicidad del 2020 también tiene su eco en la Sala Segunda, tal y como se puede extraer del cuadro 2, todos los juzgados de trabajo del país mostraron un descenso en su entrada y ello replica en esta oficina, es así como la carga de trabajo por plaza de Letrada o Letrado pasó de 18 a 15 asuntos mensuales entre 2019 y 2020.</w:t>
            </w:r>
          </w:p>
          <w:p w:rsidRPr="00AE1B2B" w:rsidR="009D3FB5" w:rsidP="00163B94" w:rsidRDefault="009D3FB5" w14:paraId="0F241E8D" w14:textId="77777777">
            <w:pPr>
              <w:spacing w:before="120" w:after="120"/>
              <w:ind w:right="177"/>
              <w:jc w:val="both"/>
              <w:rPr>
                <w:rFonts w:ascii="Times New Roman" w:hAnsi="Times New Roman" w:cs="Times New Roman"/>
              </w:rPr>
            </w:pPr>
          </w:p>
          <w:p w:rsidRPr="00AE1B2B" w:rsidR="009D3FB5" w:rsidP="00163B94" w:rsidRDefault="009D3FB5" w14:paraId="77B4B839" w14:textId="77777777">
            <w:pPr>
              <w:spacing w:before="120" w:after="120"/>
              <w:ind w:right="177"/>
              <w:jc w:val="both"/>
              <w:rPr>
                <w:rFonts w:ascii="Times New Roman" w:hAnsi="Times New Roman" w:cs="Times New Roman"/>
              </w:rPr>
            </w:pPr>
            <w:r w:rsidRPr="00AE1B2B">
              <w:rPr>
                <w:rFonts w:ascii="Times New Roman" w:hAnsi="Times New Roman" w:cs="Times New Roman"/>
              </w:rPr>
              <w:t xml:space="preserve">Por otra parte, se esperaría que, al ingresar una menor cantidad de asuntos a la Sala Segunda, la capacidad de resolución aumente y ello se vea reflejado en los asuntos terminados, no obstante, esa variable más bien desciende en 55 expedientes y, por si fuera poco, el circulante muestra la cifra histórica más elevada con un aumento </w:t>
            </w:r>
            <w:r w:rsidRPr="00AE1B2B">
              <w:rPr>
                <w:rFonts w:ascii="Times New Roman" w:hAnsi="Times New Roman" w:cs="Times New Roman"/>
              </w:rPr>
              <w:lastRenderedPageBreak/>
              <w:t>incluso de 781 asuntos (4970 al cierre de 2020), razón por la que se consultó al Secretario de la Sala Segunda, la posible causa de esta anomalía. Al respecto, indica que la disminución en el dictado de asuntos se refleja en el mes de diciembre en el que solo se votaron 96 asuntos cuando normalmente se venían votando más de 150 mensuales.</w:t>
            </w:r>
          </w:p>
          <w:p w:rsidRPr="00AE1B2B" w:rsidR="009D3FB5" w:rsidP="00163B94" w:rsidRDefault="009D3FB5" w14:paraId="6B0C5AF7" w14:textId="77777777">
            <w:pPr>
              <w:spacing w:before="120" w:after="120"/>
              <w:ind w:right="177"/>
              <w:jc w:val="both"/>
              <w:rPr>
                <w:rFonts w:ascii="Times New Roman" w:hAnsi="Times New Roman" w:cs="Times New Roman"/>
              </w:rPr>
            </w:pPr>
          </w:p>
          <w:p w:rsidRPr="00AE1B2B" w:rsidR="009D3FB5" w:rsidP="00163B94" w:rsidRDefault="009D3FB5" w14:paraId="540AA419" w14:textId="77777777">
            <w:pPr>
              <w:spacing w:before="120" w:after="120"/>
              <w:jc w:val="both"/>
              <w:rPr>
                <w:rFonts w:ascii="Times New Roman" w:hAnsi="Times New Roman" w:cs="Times New Roman"/>
              </w:rPr>
            </w:pPr>
          </w:p>
          <w:p w:rsidRPr="00AE1B2B" w:rsidR="009D3FB5" w:rsidP="00163B94" w:rsidRDefault="009D3FB5" w14:paraId="3746425A" w14:textId="77777777">
            <w:pPr>
              <w:spacing w:before="120" w:after="120"/>
              <w:jc w:val="both"/>
              <w:rPr>
                <w:rFonts w:ascii="Times New Roman" w:hAnsi="Times New Roman" w:cs="Times New Roman"/>
              </w:rPr>
            </w:pPr>
            <w:r w:rsidRPr="00AE1B2B">
              <w:rPr>
                <w:rFonts w:ascii="Times New Roman" w:hAnsi="Times New Roman" w:cs="Times New Roman"/>
              </w:rPr>
              <w:t>Respecto del tema del circulante, primeramente, indica el Sr. Muñoz Rojas que el dato en el sistema SIGMA se encuentra debidamente actualizado, no obstante, algunos aspectos que podrían estar incidiendo en el aumento de esa variable, los atribuye a:</w:t>
            </w:r>
          </w:p>
          <w:p w:rsidRPr="00AE1B2B" w:rsidR="009D3FB5" w:rsidP="00163B94" w:rsidRDefault="009D3FB5" w14:paraId="1D6C466C" w14:textId="77777777">
            <w:pPr>
              <w:spacing w:before="120" w:after="120"/>
              <w:jc w:val="both"/>
              <w:rPr>
                <w:rFonts w:ascii="Times New Roman" w:hAnsi="Times New Roman" w:cs="Times New Roman"/>
              </w:rPr>
            </w:pPr>
          </w:p>
          <w:p w:rsidRPr="00AE1B2B" w:rsidR="009D3FB5" w:rsidP="00163B94" w:rsidRDefault="009D3FB5" w14:paraId="5DD65AE6" w14:textId="77777777">
            <w:pPr>
              <w:spacing w:before="120" w:after="120"/>
              <w:jc w:val="both"/>
              <w:rPr>
                <w:rFonts w:ascii="Times New Roman" w:hAnsi="Times New Roman" w:cs="Times New Roman"/>
                <w:i/>
                <w:iCs/>
              </w:rPr>
            </w:pPr>
            <w:r w:rsidRPr="00AE1B2B">
              <w:rPr>
                <w:rFonts w:ascii="Times New Roman" w:hAnsi="Times New Roman" w:cs="Times New Roman"/>
                <w:i/>
                <w:iCs/>
              </w:rPr>
              <w:t>“…Dentro del circulante de la Sala se encuentran asuntos que si bien fueron resueltos mediante voto, no se pueden cerrar estadísticamente, como por ejemplo: cuando ambas partes formulan recurso de casación, y uno de esos recursos no es admisible pero el otro si, de ahí que en el proceso primeramente debe resolverse el rechazo de plano del recurso inadmisible, haciéndose la indicación que se debe continuar con el conocimiento por el fondo del otro recurso, por lo que no se puede cerrar el asunto en el momento en que se resolvió uno de los recursos, a pesar de haberse emitido un voto que rechaza uno de los recursos.</w:t>
            </w:r>
          </w:p>
          <w:p w:rsidRPr="00AE1B2B" w:rsidR="009D3FB5" w:rsidP="00163B94" w:rsidRDefault="009D3FB5" w14:paraId="036A1634" w14:textId="77777777">
            <w:pPr>
              <w:spacing w:before="120" w:after="120"/>
              <w:jc w:val="both"/>
              <w:rPr>
                <w:rFonts w:ascii="Times New Roman" w:hAnsi="Times New Roman" w:cs="Times New Roman"/>
                <w:i/>
                <w:iCs/>
              </w:rPr>
            </w:pPr>
          </w:p>
          <w:p w:rsidRPr="00AE1B2B" w:rsidR="009D3FB5" w:rsidP="00163B94" w:rsidRDefault="009D3FB5" w14:paraId="17E28AE8" w14:textId="77777777">
            <w:pPr>
              <w:spacing w:before="120" w:after="120"/>
              <w:jc w:val="both"/>
              <w:rPr>
                <w:rFonts w:ascii="Times New Roman" w:hAnsi="Times New Roman" w:cs="Times New Roman"/>
                <w:i/>
                <w:iCs/>
              </w:rPr>
            </w:pPr>
            <w:r w:rsidRPr="00AE1B2B">
              <w:rPr>
                <w:rFonts w:ascii="Times New Roman" w:hAnsi="Times New Roman" w:cs="Times New Roman"/>
                <w:i/>
                <w:iCs/>
              </w:rPr>
              <w:t>Igualmente, la nueva normativa procesal civil introdujo la posibilidad de formular "Recurso de casación por inadmisión" el cual se formula contra los autos que denegaron ilegalmente un recurso de casación que debió admitirse para ante la Sala. En estos procesos, si la parte formula casación contra una sentencia dictada por el juzgado y el juzgado rechaza ese recurso, la parte está facultada para presentar el "recurso de casación por inadmisión" contra ese auto denegatorio.</w:t>
            </w:r>
          </w:p>
          <w:p w:rsidRPr="00AE1B2B" w:rsidR="009D3FB5" w:rsidP="00163B94" w:rsidRDefault="009D3FB5" w14:paraId="68F79ABB" w14:textId="77777777">
            <w:pPr>
              <w:spacing w:before="120" w:after="120"/>
              <w:jc w:val="both"/>
              <w:rPr>
                <w:rFonts w:ascii="Times New Roman" w:hAnsi="Times New Roman" w:cs="Times New Roman"/>
                <w:i/>
                <w:iCs/>
              </w:rPr>
            </w:pPr>
            <w:r w:rsidRPr="00AE1B2B">
              <w:rPr>
                <w:rFonts w:ascii="Times New Roman" w:hAnsi="Times New Roman" w:cs="Times New Roman"/>
                <w:i/>
                <w:iCs/>
              </w:rPr>
              <w:t>​</w:t>
            </w:r>
          </w:p>
          <w:p w:rsidRPr="00AE1B2B" w:rsidR="009D3FB5" w:rsidP="00163B94" w:rsidRDefault="009D3FB5" w14:paraId="7DF7D777" w14:textId="77777777">
            <w:pPr>
              <w:spacing w:before="120" w:after="120"/>
              <w:jc w:val="both"/>
              <w:rPr>
                <w:rFonts w:ascii="Times New Roman" w:hAnsi="Times New Roman" w:cs="Times New Roman"/>
                <w:i/>
                <w:iCs/>
              </w:rPr>
            </w:pPr>
            <w:r w:rsidRPr="00AE1B2B">
              <w:rPr>
                <w:rFonts w:ascii="Times New Roman" w:hAnsi="Times New Roman" w:cs="Times New Roman"/>
                <w:i/>
                <w:iCs/>
              </w:rPr>
              <w:t>Sin embargo, el nuevo código procesal civil en su artículo 68, establece que de admitirse por parte de la Sala la casación por inadmisión, es decir se declara que se denegó ilegalmente el acceso a la impugnación de casación, la sala admitirá la casación y resolverá la casación, por la anterior, tampoco se puede cerrar la carpeta, a pesar de haberse resuelto la casación por inadmisión, pues se debe resolver la casación propiamente.”.</w:t>
            </w:r>
          </w:p>
          <w:p w:rsidRPr="00AE1B2B" w:rsidR="009D3FB5" w:rsidP="00163B94" w:rsidRDefault="009D3FB5" w14:paraId="2811E0C6" w14:textId="77777777">
            <w:pPr>
              <w:spacing w:before="120" w:after="120"/>
              <w:ind w:right="177"/>
              <w:jc w:val="both"/>
              <w:rPr>
                <w:rFonts w:ascii="Times New Roman" w:hAnsi="Times New Roman" w:cs="Times New Roman"/>
              </w:rPr>
            </w:pPr>
          </w:p>
          <w:p w:rsidRPr="00AE1B2B" w:rsidR="009D3FB5" w:rsidP="00163B94" w:rsidRDefault="009D3FB5" w14:paraId="50E8DF2D" w14:textId="77777777">
            <w:pPr>
              <w:spacing w:before="120" w:after="120"/>
              <w:ind w:right="35"/>
              <w:jc w:val="both"/>
              <w:rPr>
                <w:rFonts w:ascii="Times New Roman" w:hAnsi="Times New Roman" w:cs="Times New Roman"/>
              </w:rPr>
            </w:pPr>
            <w:r w:rsidRPr="00AE1B2B">
              <w:rPr>
                <w:rFonts w:ascii="Times New Roman" w:hAnsi="Times New Roman" w:cs="Times New Roman"/>
                <w:b/>
                <w:bCs/>
                <w:i/>
                <w:iCs/>
              </w:rPr>
              <w:t>3.2.2.4. Criterio sobre la continuidad de la plaza</w:t>
            </w:r>
          </w:p>
          <w:p w:rsidRPr="00AE1B2B" w:rsidR="009D3FB5" w:rsidP="00163B94" w:rsidRDefault="009D3FB5" w14:paraId="10C6939F" w14:textId="77777777">
            <w:pPr>
              <w:spacing w:before="120" w:after="120"/>
              <w:ind w:right="35"/>
              <w:jc w:val="both"/>
              <w:rPr>
                <w:rFonts w:ascii="Times New Roman" w:hAnsi="Times New Roman" w:cs="Times New Roman"/>
                <w:b/>
                <w:bCs/>
                <w:i/>
                <w:iCs/>
              </w:rPr>
            </w:pPr>
          </w:p>
          <w:p w:rsidRPr="00AE1B2B" w:rsidR="009D3FB5" w:rsidP="00163B94" w:rsidRDefault="009D3FB5" w14:paraId="2D19FF2C" w14:textId="77777777">
            <w:pPr>
              <w:spacing w:before="120" w:after="120"/>
              <w:ind w:right="35"/>
              <w:jc w:val="both"/>
              <w:rPr>
                <w:rFonts w:ascii="Times New Roman" w:hAnsi="Times New Roman" w:cs="Times New Roman"/>
              </w:rPr>
            </w:pPr>
            <w:r w:rsidRPr="00AE1B2B">
              <w:rPr>
                <w:rFonts w:ascii="Times New Roman" w:hAnsi="Times New Roman" w:cs="Times New Roman"/>
              </w:rPr>
              <w:t>Dados los hallazgos mostrados en el cuadro número 2, lo indicado por el Secretario de la Sala Segunda y la cantidad de sentencias dictadas en 2020, el criterio de la Dirección de Planificación es:</w:t>
            </w:r>
          </w:p>
          <w:p w:rsidRPr="00AE1B2B" w:rsidR="009D3FB5" w:rsidP="00163B94" w:rsidRDefault="009D3FB5" w14:paraId="595F0E9A" w14:textId="77777777">
            <w:pPr>
              <w:spacing w:before="120" w:after="120"/>
              <w:ind w:right="35"/>
              <w:jc w:val="both"/>
              <w:rPr>
                <w:rFonts w:ascii="Times New Roman" w:hAnsi="Times New Roman" w:cs="Times New Roman"/>
              </w:rPr>
            </w:pPr>
          </w:p>
          <w:p w:rsidRPr="00AE1B2B" w:rsidR="009D3FB5" w:rsidP="00163B94" w:rsidRDefault="009D3FB5" w14:paraId="2EC01F0F" w14:textId="77777777">
            <w:pPr>
              <w:pStyle w:val="Prrafodelista"/>
              <w:numPr>
                <w:ilvl w:val="0"/>
                <w:numId w:val="36"/>
              </w:numPr>
              <w:spacing w:before="120" w:after="120"/>
              <w:contextualSpacing/>
              <w:jc w:val="both"/>
              <w:rPr>
                <w:rFonts w:ascii="Times New Roman" w:hAnsi="Times New Roman" w:cs="Times New Roman"/>
                <w:sz w:val="22"/>
                <w:szCs w:val="22"/>
              </w:rPr>
            </w:pPr>
            <w:r w:rsidRPr="00AE1B2B">
              <w:rPr>
                <w:rFonts w:ascii="Times New Roman" w:hAnsi="Times New Roman" w:cs="Times New Roman"/>
                <w:sz w:val="22"/>
                <w:szCs w:val="22"/>
              </w:rPr>
              <w:t xml:space="preserve">La plaza se asignará de manera ordinaria, toda vez que aunque existen aspectos que podrían impactar en un corto plazo la entrada y por ende el circulante de esa oficina (máxime la cantidad de sentencias dictadas en 2020 por los juzgados de trabajo), el comportamiento de las </w:t>
            </w:r>
            <w:r w:rsidRPr="00AE1B2B">
              <w:rPr>
                <w:rFonts w:ascii="Times New Roman" w:hAnsi="Times New Roman" w:cs="Times New Roman"/>
                <w:sz w:val="22"/>
                <w:szCs w:val="22"/>
              </w:rPr>
              <w:lastRenderedPageBreak/>
              <w:t>variables de entrada, terminados y circulante no muestran una relación lógica, no obstante, se toma nota de la indicación del Secretario de la Sala Segunda en el aspecto de que no todos los asuntos pueden ser terminados estadísticamente, cuando ambas partes formulan recurso de casación, y uno de esos recursos no es admisible, y su certeza en que el sistema SIGMA se encuentra depurado correctamente.</w:t>
            </w:r>
          </w:p>
          <w:p w:rsidRPr="00AE1B2B" w:rsidR="009D3FB5" w:rsidP="00163B94" w:rsidRDefault="009D3FB5" w14:paraId="1B74589F" w14:textId="77777777">
            <w:pPr>
              <w:pStyle w:val="Prrafodelista"/>
              <w:numPr>
                <w:ilvl w:val="0"/>
                <w:numId w:val="36"/>
              </w:numPr>
              <w:spacing w:before="120" w:after="120"/>
              <w:contextualSpacing/>
              <w:jc w:val="both"/>
              <w:rPr>
                <w:rFonts w:ascii="Times New Roman" w:hAnsi="Times New Roman" w:cs="Times New Roman"/>
                <w:sz w:val="22"/>
                <w:szCs w:val="22"/>
              </w:rPr>
            </w:pPr>
            <w:r w:rsidRPr="00AE1B2B">
              <w:rPr>
                <w:rFonts w:ascii="Times New Roman" w:hAnsi="Times New Roman" w:cs="Times New Roman"/>
                <w:sz w:val="22"/>
                <w:szCs w:val="22"/>
              </w:rPr>
              <w:t>Por otra parte, mantener ese recurso bajo la modalidad ordinaria podría significar prescindir a futuro de la utilización de al menos uno de los permisos con goce de salario para un Profesional en Derecho 3 B aprobados por Corte Plena en sesión 73-2020, del 14 de diciembre de 2020, artículo XIII, que sin duda se convierte en una medida para contener el gasto institucional.</w:t>
            </w:r>
          </w:p>
          <w:p w:rsidRPr="00AE1B2B" w:rsidR="009D3FB5" w:rsidP="00163B94" w:rsidRDefault="009D3FB5" w14:paraId="59787AE4" w14:textId="77777777">
            <w:pPr>
              <w:pStyle w:val="Prrafodelista"/>
              <w:spacing w:before="120" w:after="120"/>
              <w:ind w:left="1440"/>
              <w:jc w:val="both"/>
              <w:rPr>
                <w:rFonts w:ascii="Times New Roman" w:hAnsi="Times New Roman" w:cs="Times New Roman"/>
                <w:sz w:val="22"/>
                <w:szCs w:val="22"/>
              </w:rPr>
            </w:pPr>
          </w:p>
          <w:p w:rsidRPr="00AE1B2B" w:rsidR="009D3FB5" w:rsidP="00163B94" w:rsidRDefault="009D3FB5" w14:paraId="7E0F6054" w14:textId="77777777">
            <w:pPr>
              <w:pStyle w:val="Prrafodelista"/>
              <w:spacing w:before="120" w:after="120"/>
              <w:rPr>
                <w:rFonts w:ascii="Times New Roman" w:hAnsi="Times New Roman" w:cs="Times New Roman"/>
                <w:sz w:val="22"/>
                <w:szCs w:val="22"/>
                <w:highlight w:val="green"/>
              </w:rPr>
            </w:pPr>
          </w:p>
        </w:tc>
      </w:tr>
      <w:tr w:rsidRPr="00AE1B2B" w:rsidR="009D3FB5" w:rsidTr="000458B6" w14:paraId="7FDA39D1" w14:textId="77777777">
        <w:trPr>
          <w:trHeight w:val="794"/>
          <w:jc w:val="center"/>
        </w:trPr>
        <w:tc>
          <w:tcPr>
            <w:tcW w:w="2043" w:type="dxa"/>
            <w:tcBorders>
              <w:top w:val="single" w:color="000000" w:sz="4" w:space="0"/>
              <w:left w:val="single" w:color="000000" w:sz="4" w:space="0"/>
              <w:bottom w:val="single" w:color="000000" w:sz="4" w:space="0"/>
              <w:right w:val="single" w:color="000000" w:sz="4" w:space="0"/>
            </w:tcBorders>
            <w:shd w:val="clear" w:color="auto" w:fill="C0C0C0"/>
            <w:vAlign w:val="center"/>
          </w:tcPr>
          <w:p w:rsidRPr="00AE1B2B" w:rsidR="009D3FB5" w:rsidP="00163B94" w:rsidRDefault="009D3FB5" w14:paraId="34EC341B" w14:textId="77777777">
            <w:pPr>
              <w:spacing w:before="120" w:after="120"/>
              <w:jc w:val="both"/>
              <w:rPr>
                <w:rFonts w:ascii="Times New Roman" w:hAnsi="Times New Roman" w:cs="Times New Roman"/>
                <w:b/>
              </w:rPr>
            </w:pPr>
            <w:r w:rsidRPr="00AE1B2B">
              <w:rPr>
                <w:rFonts w:ascii="Times New Roman" w:hAnsi="Times New Roman" w:cs="Times New Roman"/>
                <w:b/>
              </w:rPr>
              <w:lastRenderedPageBreak/>
              <w:t>IV. Elementos Resolutivos</w:t>
            </w:r>
          </w:p>
        </w:tc>
        <w:tc>
          <w:tcPr>
            <w:tcW w:w="7733" w:type="dxa"/>
            <w:gridSpan w:val="2"/>
            <w:tcBorders>
              <w:top w:val="single" w:color="000000" w:sz="4" w:space="0"/>
              <w:left w:val="single" w:color="000000" w:sz="4" w:space="0"/>
              <w:bottom w:val="single" w:color="000000" w:sz="4" w:space="0"/>
              <w:right w:val="single" w:color="000000" w:sz="4" w:space="0"/>
            </w:tcBorders>
            <w:shd w:val="clear" w:color="auto" w:fill="auto"/>
          </w:tcPr>
          <w:p w:rsidRPr="00AE1B2B" w:rsidR="009D3FB5" w:rsidP="00163B94" w:rsidRDefault="009D3FB5" w14:paraId="6497CEF7" w14:textId="29947544">
            <w:pPr>
              <w:spacing w:before="120" w:after="120"/>
              <w:ind w:right="463"/>
              <w:jc w:val="both"/>
              <w:rPr>
                <w:rFonts w:ascii="Times New Roman" w:hAnsi="Times New Roman" w:cs="Times New Roman"/>
              </w:rPr>
            </w:pPr>
            <w:r w:rsidRPr="00AE1B2B">
              <w:rPr>
                <w:rFonts w:ascii="Times New Roman" w:hAnsi="Times New Roman" w:cs="Times New Roman"/>
              </w:rPr>
              <w:t>4.1. Para el cierre de 2020, absolutamente todos los juzgados de trabajo del país</w:t>
            </w:r>
            <w:r w:rsidRPr="00AE1B2B" w:rsidR="00BB7720">
              <w:rPr>
                <w:rFonts w:ascii="Times New Roman" w:hAnsi="Times New Roman" w:cs="Times New Roman"/>
              </w:rPr>
              <w:t xml:space="preserve"> </w:t>
            </w:r>
            <w:r w:rsidRPr="00AE1B2B">
              <w:rPr>
                <w:rFonts w:ascii="Times New Roman" w:hAnsi="Times New Roman" w:cs="Times New Roman"/>
              </w:rPr>
              <w:t>mostraron un descenso en la entrada de expedientes y por ende en la carga de trabajo por plaza de Jueza o Juez y de Técnica o Técnico Judicial.</w:t>
            </w:r>
          </w:p>
          <w:p w:rsidRPr="00AE1B2B" w:rsidR="009D3FB5" w:rsidP="00163B94" w:rsidRDefault="009D3FB5" w14:paraId="2EEBCDCC" w14:textId="77777777">
            <w:pPr>
              <w:spacing w:before="120" w:after="120"/>
              <w:ind w:right="463"/>
              <w:jc w:val="both"/>
              <w:rPr>
                <w:rFonts w:ascii="Times New Roman" w:hAnsi="Times New Roman" w:cs="Times New Roman"/>
              </w:rPr>
            </w:pPr>
          </w:p>
          <w:p w:rsidRPr="00AE1B2B" w:rsidR="009D3FB5" w:rsidP="00163B94" w:rsidRDefault="009D3FB5" w14:paraId="2742CC73" w14:textId="77777777">
            <w:pPr>
              <w:spacing w:before="120" w:after="120"/>
              <w:ind w:right="34"/>
              <w:jc w:val="both"/>
              <w:rPr>
                <w:rFonts w:ascii="Times New Roman" w:hAnsi="Times New Roman" w:cs="Times New Roman"/>
              </w:rPr>
            </w:pPr>
            <w:r w:rsidRPr="00AE1B2B">
              <w:rPr>
                <w:rFonts w:ascii="Times New Roman" w:hAnsi="Times New Roman" w:cs="Times New Roman"/>
              </w:rPr>
              <w:t>4.2. El aporte que dan las plazas extraordinarias al Juzgado de Trabajo de Desamparados permite hacer frente a la demanda de asuntos y cargas de trabajo sostenibles frente a la de otras oficinas homólogas, así como mantener el plazo de resolución a dos días, revisión del circulante cada cuatro semanas, lo que conlleva a una disminución en la cantidad de consultas presenciales en el despacho. De manera adicional, permite mejorar el tiempo de dictado de sentencias de las plazas de Jueza o Juez e incluso implementar una serie de buenas prácticas como lo son la realización de juicios virtuales y no solamente audiencias de conciliación como ocurre en la mayoría de los Juzgados de Trabajo, aspectos que se pudieron corroborar con los indicadores de Gestión a cargo del Subproceso de Evaluación.</w:t>
            </w:r>
          </w:p>
          <w:p w:rsidRPr="00AE1B2B" w:rsidR="009D3FB5" w:rsidP="00163B94" w:rsidRDefault="009D3FB5" w14:paraId="48AA1A3D" w14:textId="77777777">
            <w:pPr>
              <w:spacing w:before="120" w:after="120"/>
              <w:ind w:right="34"/>
              <w:jc w:val="both"/>
              <w:rPr>
                <w:rFonts w:ascii="Times New Roman" w:hAnsi="Times New Roman" w:cs="Times New Roman"/>
              </w:rPr>
            </w:pPr>
          </w:p>
          <w:p w:rsidRPr="00AE1B2B" w:rsidR="009D3FB5" w:rsidP="00163B94" w:rsidRDefault="009D3FB5" w14:paraId="40BD746C" w14:textId="77777777">
            <w:pPr>
              <w:spacing w:before="120" w:after="120"/>
              <w:ind w:right="34"/>
              <w:jc w:val="both"/>
              <w:rPr>
                <w:rFonts w:ascii="Times New Roman" w:hAnsi="Times New Roman" w:cs="Times New Roman"/>
              </w:rPr>
            </w:pPr>
            <w:r w:rsidRPr="00AE1B2B">
              <w:rPr>
                <w:rFonts w:ascii="Times New Roman" w:hAnsi="Times New Roman" w:cs="Times New Roman"/>
              </w:rPr>
              <w:t>4.3. Es importante indicar que a criterio de la licenciada Marta Chaves, Jueza Coordinadora del Juzgado de Trabajo de San Carlos, ya se están señalando asuntos para octubre de 2022, en ese despacho, por lo que, al contar con la plaza de Jueza o Juez de manera extraordinaria, permitirá retraer el plazo de la agenda y con ello mejorar los tiempos de resolución y dictados de sentencia de los expedientes, ante su ausencia no sería sostenible la carga de trabajo de la oficina.</w:t>
            </w:r>
          </w:p>
          <w:p w:rsidRPr="00AE1B2B" w:rsidR="009D3FB5" w:rsidP="00163B94" w:rsidRDefault="009D3FB5" w14:paraId="3F281A0B" w14:textId="77777777">
            <w:pPr>
              <w:spacing w:before="120" w:after="120"/>
              <w:ind w:right="34"/>
              <w:jc w:val="both"/>
              <w:rPr>
                <w:rFonts w:ascii="Times New Roman" w:hAnsi="Times New Roman" w:cs="Times New Roman"/>
              </w:rPr>
            </w:pPr>
          </w:p>
          <w:p w:rsidRPr="00AE1B2B" w:rsidR="009D3FB5" w:rsidP="00163B94" w:rsidRDefault="009D3FB5" w14:paraId="007BE46D" w14:textId="77777777">
            <w:pPr>
              <w:spacing w:before="120" w:after="120"/>
              <w:ind w:right="34"/>
              <w:jc w:val="both"/>
              <w:rPr>
                <w:rFonts w:ascii="Times New Roman" w:hAnsi="Times New Roman" w:cs="Times New Roman"/>
              </w:rPr>
            </w:pPr>
            <w:r w:rsidRPr="00AE1B2B">
              <w:rPr>
                <w:rFonts w:ascii="Times New Roman" w:hAnsi="Times New Roman" w:cs="Times New Roman"/>
              </w:rPr>
              <w:t>4.4. De igual forma, expresa la licenciada Chaves, que el personal juzgador que se ha nombrado de manera extraordinaria en el Juzgado de Trabajo de San Carlos por parte del CACMFJ, no ha cumplido con los parámetros de rendimiento trazados por la oficina.</w:t>
            </w:r>
          </w:p>
          <w:p w:rsidRPr="00AE1B2B" w:rsidR="009D3FB5" w:rsidP="00163B94" w:rsidRDefault="009D3FB5" w14:paraId="2BF6E791" w14:textId="77777777">
            <w:pPr>
              <w:spacing w:before="120" w:after="120"/>
              <w:ind w:right="34"/>
              <w:jc w:val="both"/>
              <w:rPr>
                <w:rFonts w:ascii="Times New Roman" w:hAnsi="Times New Roman" w:cs="Times New Roman"/>
              </w:rPr>
            </w:pPr>
          </w:p>
          <w:p w:rsidRPr="00AE1B2B" w:rsidR="009D3FB5" w:rsidP="00163B94" w:rsidRDefault="009D3FB5" w14:paraId="3A1E6178" w14:textId="77777777">
            <w:pPr>
              <w:spacing w:before="120" w:after="120"/>
              <w:ind w:right="34"/>
              <w:jc w:val="both"/>
              <w:rPr>
                <w:rFonts w:ascii="Times New Roman" w:hAnsi="Times New Roman" w:cs="Times New Roman"/>
              </w:rPr>
            </w:pPr>
            <w:r w:rsidRPr="00AE1B2B">
              <w:rPr>
                <w:rFonts w:ascii="Times New Roman" w:hAnsi="Times New Roman" w:cs="Times New Roman"/>
              </w:rPr>
              <w:t xml:space="preserve">4.5. El Juzgado de Trabajo de Pococí, mostró al cierre de 2019, la tercera carga de trabajo más elevada por Jueza o Juez (39), detrás de los Juzgados de Trabajo de </w:t>
            </w:r>
            <w:r w:rsidRPr="00AE1B2B">
              <w:rPr>
                <w:rFonts w:ascii="Times New Roman" w:hAnsi="Times New Roman" w:cs="Times New Roman"/>
              </w:rPr>
              <w:lastRenderedPageBreak/>
              <w:t>Desamparados (48) y San Carlos (44), pero ante la directriz institucional de no crear nuevos recursos, se incluirá una recomendación para su respectiva atención.</w:t>
            </w:r>
          </w:p>
          <w:p w:rsidRPr="00AE1B2B" w:rsidR="009D3FB5" w:rsidP="00163B94" w:rsidRDefault="009D3FB5" w14:paraId="3A8E1BFD" w14:textId="77777777">
            <w:pPr>
              <w:spacing w:before="120" w:after="120"/>
              <w:ind w:right="34"/>
              <w:jc w:val="both"/>
              <w:rPr>
                <w:rFonts w:ascii="Times New Roman" w:hAnsi="Times New Roman" w:cs="Times New Roman"/>
              </w:rPr>
            </w:pPr>
          </w:p>
          <w:p w:rsidRPr="00AE1B2B" w:rsidR="009D3FB5" w:rsidP="00163B94" w:rsidRDefault="009D3FB5" w14:paraId="78D47D8B" w14:textId="77777777">
            <w:pPr>
              <w:spacing w:before="120" w:after="120"/>
              <w:ind w:right="34"/>
              <w:jc w:val="both"/>
              <w:rPr>
                <w:rFonts w:ascii="Times New Roman" w:hAnsi="Times New Roman" w:cs="Times New Roman"/>
              </w:rPr>
            </w:pPr>
            <w:r w:rsidRPr="00AE1B2B">
              <w:rPr>
                <w:rFonts w:ascii="Times New Roman" w:hAnsi="Times New Roman" w:cs="Times New Roman"/>
              </w:rPr>
              <w:t xml:space="preserve"> 4.6. La entrada en la Sala Segunda disminuyó en 2020, lo que refleja el comportamiento nacional de los juzgados de trabajo mencionado en el primer punto de este apartado, lo que provoca que la carga de trabajo mensual por plaza de Profesional en Derecho 3 B, descienda de 18 a 15 asuntos.</w:t>
            </w:r>
          </w:p>
          <w:p w:rsidRPr="00AE1B2B" w:rsidR="009D3FB5" w:rsidP="00163B94" w:rsidRDefault="009D3FB5" w14:paraId="0AE12606" w14:textId="77777777">
            <w:pPr>
              <w:spacing w:before="120" w:after="120"/>
              <w:ind w:right="177"/>
              <w:jc w:val="both"/>
              <w:rPr>
                <w:rFonts w:ascii="Times New Roman" w:hAnsi="Times New Roman" w:cs="Times New Roman"/>
              </w:rPr>
            </w:pPr>
            <w:r w:rsidRPr="00AE1B2B">
              <w:rPr>
                <w:rFonts w:ascii="Times New Roman" w:hAnsi="Times New Roman" w:cs="Times New Roman"/>
              </w:rPr>
              <w:t xml:space="preserve">4.7. Se esperaría que, al ingresar una menor cantidad de asuntos a la Sala Segunda, la capacidad de resolución aumente y ello se vea reflejado en los asuntos terminados, no obstante, esa variable más bien desciende en 55 expedientes y el circulante muestra la cifra histórica más elevada con un aumento incluso de 781 asuntos (4970 al cierre de 2020). </w:t>
            </w:r>
          </w:p>
          <w:p w:rsidRPr="00AE1B2B" w:rsidR="009D3FB5" w:rsidP="00163B94" w:rsidRDefault="009D3FB5" w14:paraId="7A7C76A3" w14:textId="77777777">
            <w:pPr>
              <w:spacing w:before="120" w:after="120"/>
              <w:ind w:right="177"/>
              <w:jc w:val="both"/>
              <w:rPr>
                <w:rFonts w:ascii="Times New Roman" w:hAnsi="Times New Roman" w:cs="Times New Roman"/>
              </w:rPr>
            </w:pPr>
          </w:p>
          <w:p w:rsidRPr="00AE1B2B" w:rsidR="009D3FB5" w:rsidP="00163B94" w:rsidRDefault="009D3FB5" w14:paraId="13E04FD7" w14:textId="77777777">
            <w:pPr>
              <w:spacing w:before="120" w:after="120"/>
              <w:ind w:right="177"/>
              <w:jc w:val="both"/>
              <w:rPr>
                <w:rFonts w:ascii="Times New Roman" w:hAnsi="Times New Roman" w:cs="Times New Roman"/>
              </w:rPr>
            </w:pPr>
            <w:r w:rsidRPr="00AE1B2B">
              <w:rPr>
                <w:rFonts w:ascii="Times New Roman" w:hAnsi="Times New Roman" w:cs="Times New Roman"/>
              </w:rPr>
              <w:t xml:space="preserve">4.8. Respecto del circulante, es importante tomar en cuenta que según indicación del Secretario de la Sala Segunda, el aspecto que puede estar influyendo en el crecimiento de esa variable, radica en que se encuentran asuntos que si bien fueron resueltos mediante voto, no se pueden cerrar estadísticamente, como por ejemplo: cuando ambas partes formulan recurso de casación, y uno de esos recursos no es admisible pero el otro si, de ahí que en el proceso primeramente debe resolverse el rechazo de plano del recurso inadmisible, haciéndose la indicación que se debe continuar con el conocimiento por el fondo del otro recurso, por lo que no se puede cerrar el asunto en el momento en que se resolvió uno de los recursos, a pesar de haberse emitido un voto que rechaza uno de los recursos </w:t>
            </w:r>
          </w:p>
          <w:p w:rsidRPr="00AE1B2B" w:rsidR="009D3FB5" w:rsidP="00163B94" w:rsidRDefault="009D3FB5" w14:paraId="1F63B211" w14:textId="77777777">
            <w:pPr>
              <w:spacing w:before="120" w:after="120"/>
              <w:ind w:right="177"/>
              <w:jc w:val="both"/>
              <w:rPr>
                <w:rFonts w:ascii="Times New Roman" w:hAnsi="Times New Roman" w:cs="Times New Roman"/>
              </w:rPr>
            </w:pPr>
          </w:p>
          <w:p w:rsidRPr="00AE1B2B" w:rsidR="009D3FB5" w:rsidP="00163B94" w:rsidRDefault="009D3FB5" w14:paraId="4EB2EA2D" w14:textId="77777777">
            <w:pPr>
              <w:spacing w:before="120" w:after="120"/>
              <w:ind w:right="177"/>
              <w:jc w:val="both"/>
              <w:rPr>
                <w:rFonts w:ascii="Times New Roman" w:hAnsi="Times New Roman" w:cs="Times New Roman"/>
              </w:rPr>
            </w:pPr>
            <w:r w:rsidRPr="00AE1B2B">
              <w:rPr>
                <w:rFonts w:ascii="Times New Roman" w:hAnsi="Times New Roman" w:cs="Times New Roman"/>
              </w:rPr>
              <w:t>4.9. Existen algunos elementos que podrían incidir en un corto o mediano plazo, en la entrada y circulante de la Sala Segunda:</w:t>
            </w:r>
          </w:p>
          <w:p w:rsidRPr="00AE1B2B" w:rsidR="009D3FB5" w:rsidP="00163B94" w:rsidRDefault="009D3FB5" w14:paraId="40CE9C6F" w14:textId="77777777">
            <w:pPr>
              <w:spacing w:before="120" w:after="120"/>
              <w:ind w:right="177"/>
              <w:jc w:val="both"/>
              <w:rPr>
                <w:rFonts w:ascii="Times New Roman" w:hAnsi="Times New Roman" w:cs="Times New Roman"/>
              </w:rPr>
            </w:pPr>
          </w:p>
          <w:p w:rsidRPr="00AE1B2B" w:rsidR="009D3FB5" w:rsidP="00163B94" w:rsidRDefault="009D3FB5" w14:paraId="5154313B" w14:textId="77777777">
            <w:pPr>
              <w:pStyle w:val="Prrafodelista"/>
              <w:numPr>
                <w:ilvl w:val="0"/>
                <w:numId w:val="35"/>
              </w:numPr>
              <w:spacing w:before="120" w:after="120"/>
              <w:contextualSpacing/>
              <w:jc w:val="both"/>
              <w:rPr>
                <w:rFonts w:ascii="Times New Roman" w:hAnsi="Times New Roman" w:cs="Times New Roman"/>
                <w:sz w:val="22"/>
                <w:szCs w:val="22"/>
              </w:rPr>
            </w:pPr>
            <w:r w:rsidRPr="00AE1B2B">
              <w:rPr>
                <w:rFonts w:ascii="Times New Roman" w:hAnsi="Times New Roman" w:cs="Times New Roman"/>
                <w:sz w:val="22"/>
                <w:szCs w:val="22"/>
              </w:rPr>
              <w:t>En 2020 se distaron un total de 795 sentencias asociadas a la “Ley Vieja”, mientras que un total de 1828 sentencias correspondientes a expedientes a partir de la entrada en vigencia de la Reforma Procesal Laboral, aspecto que podría tener un efecto en la entrada a partir principalmente de 2021 en la Sala Segunda, dado el plazo de resolución de los Tribunales de Apelación (seis meses).</w:t>
            </w:r>
          </w:p>
          <w:p w:rsidRPr="00AE1B2B" w:rsidR="009D3FB5" w:rsidP="00163B94" w:rsidRDefault="009D3FB5" w14:paraId="25F17548" w14:textId="77777777">
            <w:pPr>
              <w:pStyle w:val="Prrafodelista"/>
              <w:numPr>
                <w:ilvl w:val="0"/>
                <w:numId w:val="35"/>
              </w:numPr>
              <w:spacing w:before="120" w:after="120"/>
              <w:contextualSpacing/>
              <w:jc w:val="both"/>
              <w:rPr>
                <w:rFonts w:ascii="Times New Roman" w:hAnsi="Times New Roman" w:cs="Times New Roman"/>
                <w:sz w:val="22"/>
                <w:szCs w:val="22"/>
              </w:rPr>
            </w:pPr>
            <w:r w:rsidRPr="00AE1B2B">
              <w:rPr>
                <w:rFonts w:ascii="Times New Roman" w:hAnsi="Times New Roman" w:cs="Times New Roman"/>
                <w:sz w:val="22"/>
                <w:szCs w:val="22"/>
              </w:rPr>
              <w:t>Existe una acción de inconstitucionalidad que en la actualidad está presentada ante la Sala Constitucional por parte de la Sala Primera, dependiendo de ese fallo, podría significar un incremento de 117 expedientes en la entrada de la Sala Segunda</w:t>
            </w:r>
            <w:r w:rsidRPr="00AE1B2B">
              <w:rPr>
                <w:rStyle w:val="Refdenotaalpie"/>
                <w:rFonts w:ascii="Times New Roman" w:hAnsi="Times New Roman"/>
                <w:sz w:val="22"/>
                <w:szCs w:val="22"/>
              </w:rPr>
              <w:footnoteReference w:id="11"/>
            </w:r>
            <w:r w:rsidRPr="00AE1B2B">
              <w:rPr>
                <w:rFonts w:ascii="Times New Roman" w:hAnsi="Times New Roman" w:cs="Times New Roman"/>
                <w:sz w:val="22"/>
                <w:szCs w:val="22"/>
              </w:rPr>
              <w:t>, particularmente de procesos de exequatur.</w:t>
            </w:r>
          </w:p>
          <w:p w:rsidRPr="00AE1B2B" w:rsidR="009D3FB5" w:rsidP="00163B94" w:rsidRDefault="009D3FB5" w14:paraId="3B2D249F" w14:textId="77777777">
            <w:pPr>
              <w:pStyle w:val="Prrafodelista"/>
              <w:numPr>
                <w:ilvl w:val="0"/>
                <w:numId w:val="35"/>
              </w:numPr>
              <w:spacing w:before="120" w:after="120"/>
              <w:contextualSpacing/>
              <w:jc w:val="both"/>
              <w:rPr>
                <w:rFonts w:ascii="Times New Roman" w:hAnsi="Times New Roman" w:cs="Times New Roman"/>
                <w:sz w:val="22"/>
                <w:szCs w:val="22"/>
              </w:rPr>
            </w:pPr>
            <w:r w:rsidRPr="00AE1B2B">
              <w:rPr>
                <w:rFonts w:ascii="Times New Roman" w:hAnsi="Times New Roman" w:cs="Times New Roman"/>
                <w:sz w:val="22"/>
                <w:szCs w:val="22"/>
              </w:rPr>
              <w:t>Los procesos denominados de restitución internacional cuyos conflictos de competencia serían resueltos por la Sala Segunda, podrían significar un incremento de 4 asuntos anuales en esa dependencia, lo que no constituye una cifra masiva.</w:t>
            </w:r>
          </w:p>
          <w:p w:rsidRPr="00AE1B2B" w:rsidR="009D3FB5" w:rsidP="00163B94" w:rsidRDefault="009D3FB5" w14:paraId="4DE2BCF4" w14:textId="77777777">
            <w:pPr>
              <w:pStyle w:val="Prrafodelista"/>
              <w:numPr>
                <w:ilvl w:val="0"/>
                <w:numId w:val="35"/>
              </w:numPr>
              <w:spacing w:before="120" w:after="120"/>
              <w:contextualSpacing/>
              <w:jc w:val="both"/>
              <w:rPr>
                <w:rFonts w:ascii="Times New Roman" w:hAnsi="Times New Roman" w:cs="Times New Roman"/>
                <w:sz w:val="22"/>
                <w:szCs w:val="22"/>
              </w:rPr>
            </w:pPr>
            <w:r w:rsidRPr="00AE1B2B">
              <w:rPr>
                <w:rFonts w:ascii="Times New Roman" w:hAnsi="Times New Roman" w:cs="Times New Roman"/>
                <w:sz w:val="22"/>
                <w:szCs w:val="22"/>
              </w:rPr>
              <w:t xml:space="preserve">Aún no se percibe un impacto que demuestre una disminución en la entrada de la Sala Segunda a causa de la disminución de la cuantía, toda vez que el promedio mensual de ingreso en 2018 y 2019 fue de 298 y 316 </w:t>
            </w:r>
            <w:r w:rsidRPr="00AE1B2B">
              <w:rPr>
                <w:rFonts w:ascii="Times New Roman" w:hAnsi="Times New Roman" w:cs="Times New Roman"/>
                <w:sz w:val="22"/>
                <w:szCs w:val="22"/>
              </w:rPr>
              <w:lastRenderedPageBreak/>
              <w:t>respectivamente, y para enero de 2021 el registro es de justamente 316 expedientes</w:t>
            </w:r>
            <w:r w:rsidRPr="00AE1B2B">
              <w:rPr>
                <w:rStyle w:val="Refdenotaalpie"/>
                <w:rFonts w:ascii="Times New Roman" w:hAnsi="Times New Roman"/>
                <w:sz w:val="22"/>
                <w:szCs w:val="22"/>
              </w:rPr>
              <w:footnoteReference w:id="12"/>
            </w:r>
            <w:r w:rsidRPr="00AE1B2B">
              <w:rPr>
                <w:rFonts w:ascii="Times New Roman" w:hAnsi="Times New Roman" w:cs="Times New Roman"/>
                <w:sz w:val="22"/>
                <w:szCs w:val="22"/>
              </w:rPr>
              <w:t>.</w:t>
            </w:r>
          </w:p>
          <w:p w:rsidRPr="00AE1B2B" w:rsidR="009D3FB5" w:rsidP="00163B94" w:rsidRDefault="009D3FB5" w14:paraId="0E77CAA4" w14:textId="77777777">
            <w:pPr>
              <w:spacing w:before="120" w:after="120"/>
              <w:ind w:right="177"/>
              <w:jc w:val="both"/>
              <w:rPr>
                <w:rFonts w:ascii="Times New Roman" w:hAnsi="Times New Roman" w:cs="Times New Roman"/>
              </w:rPr>
            </w:pPr>
          </w:p>
          <w:p w:rsidRPr="00AE1B2B" w:rsidR="009D3FB5" w:rsidP="00163B94" w:rsidRDefault="009D3FB5" w14:paraId="24A59B92" w14:textId="77777777">
            <w:pPr>
              <w:spacing w:before="120" w:after="120"/>
              <w:ind w:right="177"/>
              <w:jc w:val="both"/>
              <w:rPr>
                <w:rFonts w:ascii="Times New Roman" w:hAnsi="Times New Roman" w:cs="Times New Roman"/>
              </w:rPr>
            </w:pPr>
          </w:p>
          <w:p w:rsidRPr="00AE1B2B" w:rsidR="009D3FB5" w:rsidP="00163B94" w:rsidRDefault="009D3FB5" w14:paraId="004DE70A" w14:textId="77777777">
            <w:pPr>
              <w:spacing w:before="120" w:after="120"/>
              <w:ind w:right="177"/>
              <w:jc w:val="both"/>
              <w:rPr>
                <w:rFonts w:ascii="Times New Roman" w:hAnsi="Times New Roman" w:cs="Times New Roman"/>
              </w:rPr>
            </w:pPr>
          </w:p>
          <w:p w:rsidRPr="00AE1B2B" w:rsidR="009D3FB5" w:rsidP="00163B94" w:rsidRDefault="009D3FB5" w14:paraId="47A52A8C" w14:textId="77777777">
            <w:pPr>
              <w:spacing w:before="120" w:after="120"/>
              <w:ind w:right="177"/>
              <w:jc w:val="both"/>
              <w:rPr>
                <w:rFonts w:ascii="Times New Roman" w:hAnsi="Times New Roman" w:cs="Times New Roman"/>
              </w:rPr>
            </w:pPr>
          </w:p>
          <w:p w:rsidRPr="00AE1B2B" w:rsidR="009D3FB5" w:rsidP="00163B94" w:rsidRDefault="009D3FB5" w14:paraId="265E1461" w14:textId="601A1F6C">
            <w:pPr>
              <w:spacing w:before="120" w:after="120"/>
              <w:ind w:right="177"/>
              <w:jc w:val="both"/>
              <w:rPr>
                <w:rFonts w:ascii="Times New Roman" w:hAnsi="Times New Roman" w:cs="Times New Roman"/>
              </w:rPr>
            </w:pPr>
            <w:r w:rsidRPr="00AE1B2B">
              <w:rPr>
                <w:rFonts w:ascii="Times New Roman" w:hAnsi="Times New Roman" w:cs="Times New Roman"/>
              </w:rPr>
              <w:t>4.10.</w:t>
            </w:r>
            <w:r w:rsidRPr="00AE1B2B" w:rsidR="00BB7720">
              <w:rPr>
                <w:rFonts w:ascii="Times New Roman" w:hAnsi="Times New Roman" w:cs="Times New Roman"/>
              </w:rPr>
              <w:t xml:space="preserve"> </w:t>
            </w:r>
            <w:r w:rsidRPr="00AE1B2B">
              <w:rPr>
                <w:rFonts w:ascii="Times New Roman" w:hAnsi="Times New Roman" w:cs="Times New Roman"/>
              </w:rPr>
              <w:t xml:space="preserve">Contar con la plaza de Profesional en Derecho 3 B de manera permanente, justamente coadyuvará a mejorar el proceso de redacción a nivel de la Sala Segunda y no se debe dejar de lado que se vislumbra aún más crecimiento en el circulante de esa oficina el próximo año, cuando entre a regir la Reforma Procesal de Familia. </w:t>
            </w:r>
          </w:p>
          <w:p w:rsidRPr="00AE1B2B" w:rsidR="009D3FB5" w:rsidP="00163B94" w:rsidRDefault="009D3FB5" w14:paraId="02409519" w14:textId="77777777">
            <w:pPr>
              <w:spacing w:before="120" w:after="120"/>
              <w:ind w:right="34"/>
              <w:jc w:val="both"/>
              <w:rPr>
                <w:rFonts w:ascii="Times New Roman" w:hAnsi="Times New Roman" w:cs="Times New Roman"/>
              </w:rPr>
            </w:pPr>
          </w:p>
          <w:p w:rsidRPr="00AE1B2B" w:rsidR="009D3FB5" w:rsidP="00163B94" w:rsidRDefault="009D3FB5" w14:paraId="02A49AFB" w14:textId="77777777">
            <w:pPr>
              <w:tabs>
                <w:tab w:val="left" w:pos="253"/>
                <w:tab w:val="left" w:pos="395"/>
                <w:tab w:val="left" w:pos="537"/>
              </w:tabs>
              <w:spacing w:before="120" w:after="120"/>
              <w:jc w:val="both"/>
              <w:rPr>
                <w:rFonts w:ascii="Times New Roman" w:hAnsi="Times New Roman" w:cs="Times New Roman"/>
                <w:i/>
                <w:iCs/>
              </w:rPr>
            </w:pPr>
          </w:p>
        </w:tc>
      </w:tr>
      <w:tr w:rsidRPr="00AE1B2B" w:rsidR="009D3FB5" w:rsidTr="000458B6" w14:paraId="17859330" w14:textId="77777777">
        <w:trPr>
          <w:trHeight w:val="400"/>
          <w:jc w:val="center"/>
        </w:trPr>
        <w:tc>
          <w:tcPr>
            <w:tcW w:w="2043" w:type="dxa"/>
            <w:tcBorders>
              <w:top w:val="single" w:color="000000" w:sz="4" w:space="0"/>
              <w:left w:val="single" w:color="000000" w:sz="4" w:space="0"/>
              <w:bottom w:val="single" w:color="000000" w:sz="4" w:space="0"/>
              <w:right w:val="single" w:color="000000" w:sz="4" w:space="0"/>
            </w:tcBorders>
            <w:shd w:val="clear" w:color="auto" w:fill="C0C0C0"/>
            <w:vAlign w:val="center"/>
          </w:tcPr>
          <w:p w:rsidRPr="00AE1B2B" w:rsidR="009D3FB5" w:rsidP="00163B94" w:rsidRDefault="009D3FB5" w14:paraId="71E90553" w14:textId="77777777">
            <w:pPr>
              <w:spacing w:before="120" w:after="120"/>
              <w:jc w:val="both"/>
              <w:rPr>
                <w:rFonts w:ascii="Times New Roman" w:hAnsi="Times New Roman" w:cs="Times New Roman"/>
                <w:b/>
              </w:rPr>
            </w:pPr>
            <w:r w:rsidRPr="00AE1B2B">
              <w:rPr>
                <w:rFonts w:ascii="Times New Roman" w:hAnsi="Times New Roman" w:cs="Times New Roman"/>
                <w:b/>
              </w:rPr>
              <w:lastRenderedPageBreak/>
              <w:t>V. Recomendaciones</w:t>
            </w:r>
          </w:p>
        </w:tc>
        <w:tc>
          <w:tcPr>
            <w:tcW w:w="7733" w:type="dxa"/>
            <w:gridSpan w:val="2"/>
            <w:tcBorders>
              <w:top w:val="single" w:color="000000" w:sz="4" w:space="0"/>
              <w:left w:val="single" w:color="000000" w:sz="4" w:space="0"/>
              <w:bottom w:val="single" w:color="000000" w:sz="4" w:space="0"/>
              <w:right w:val="single" w:color="000000" w:sz="4" w:space="0"/>
            </w:tcBorders>
            <w:shd w:val="clear" w:color="auto" w:fill="auto"/>
          </w:tcPr>
          <w:p w:rsidRPr="00AE1B2B" w:rsidR="009D3FB5" w:rsidP="00163B94" w:rsidRDefault="009D3FB5" w14:paraId="137E23D6" w14:textId="77777777">
            <w:pPr>
              <w:spacing w:before="120" w:after="120"/>
              <w:ind w:left="-33" w:right="319"/>
              <w:rPr>
                <w:rFonts w:ascii="Times New Roman" w:hAnsi="Times New Roman" w:cs="Times New Roman"/>
                <w:iCs/>
              </w:rPr>
            </w:pPr>
          </w:p>
          <w:p w:rsidRPr="00AE1B2B" w:rsidR="009D3FB5" w:rsidP="00163B94" w:rsidRDefault="009D3FB5" w14:paraId="693184C2" w14:textId="77777777">
            <w:pPr>
              <w:spacing w:before="120" w:after="120"/>
              <w:ind w:left="-33" w:right="319"/>
              <w:rPr>
                <w:rFonts w:ascii="Times New Roman" w:hAnsi="Times New Roman" w:cs="Times New Roman"/>
                <w:b/>
                <w:bCs/>
              </w:rPr>
            </w:pPr>
            <w:r w:rsidRPr="00AE1B2B">
              <w:rPr>
                <w:rFonts w:ascii="Times New Roman" w:hAnsi="Times New Roman" w:cs="Times New Roman"/>
                <w:b/>
                <w:bCs/>
                <w:iCs/>
              </w:rPr>
              <w:t xml:space="preserve">5.1. </w:t>
            </w:r>
            <w:r w:rsidRPr="00AE1B2B">
              <w:rPr>
                <w:rFonts w:ascii="Times New Roman" w:hAnsi="Times New Roman" w:cs="Times New Roman"/>
                <w:b/>
                <w:bCs/>
              </w:rPr>
              <w:t>Cantidad de Recurso Humano recomendado para el 2022</w:t>
            </w:r>
          </w:p>
          <w:p w:rsidRPr="00AE1B2B" w:rsidR="009D3FB5" w:rsidP="00163B94" w:rsidRDefault="009D3FB5" w14:paraId="2BBEF346" w14:textId="77777777">
            <w:pPr>
              <w:spacing w:before="120" w:after="120"/>
              <w:ind w:left="-33" w:right="319"/>
              <w:rPr>
                <w:rFonts w:ascii="Times New Roman" w:hAnsi="Times New Roman" w:cs="Times New Roman"/>
                <w:b/>
                <w:bCs/>
              </w:rPr>
            </w:pPr>
          </w:p>
          <w:p w:rsidRPr="00AE1B2B" w:rsidR="009D3FB5" w:rsidP="00163B94" w:rsidRDefault="009D3FB5" w14:paraId="57879461" w14:textId="77777777">
            <w:pPr>
              <w:spacing w:before="120" w:after="120"/>
              <w:ind w:left="-33" w:right="319"/>
              <w:rPr>
                <w:rFonts w:ascii="Times New Roman" w:hAnsi="Times New Roman" w:cs="Times New Roman"/>
              </w:rPr>
            </w:pPr>
            <w:r w:rsidRPr="00AE1B2B">
              <w:rPr>
                <w:rFonts w:ascii="Times New Roman" w:hAnsi="Times New Roman" w:cs="Times New Roman"/>
              </w:rPr>
              <w:t>Se recomienda mantener las siguientes plazas:</w:t>
            </w:r>
          </w:p>
          <w:p w:rsidRPr="00AE1B2B" w:rsidR="009D3FB5" w:rsidP="00163B94" w:rsidRDefault="009D3FB5" w14:paraId="07541FD0" w14:textId="77777777">
            <w:pPr>
              <w:spacing w:before="120" w:after="120"/>
              <w:ind w:left="-33" w:right="319"/>
              <w:rPr>
                <w:rFonts w:ascii="Times New Roman" w:hAnsi="Times New Roman" w:cs="Times New Roman"/>
                <w:iCs/>
              </w:rPr>
            </w:pPr>
          </w:p>
          <w:p w:rsidRPr="00AE1B2B" w:rsidR="009D3FB5" w:rsidP="00163B94" w:rsidRDefault="009D3FB5" w14:paraId="4155287B" w14:textId="77777777">
            <w:pPr>
              <w:spacing w:before="120" w:after="120"/>
              <w:ind w:left="-33" w:right="319"/>
              <w:rPr>
                <w:rFonts w:ascii="Times New Roman" w:hAnsi="Times New Roman" w:cs="Times New Roman"/>
                <w:iCs/>
              </w:rPr>
            </w:pPr>
            <w:r w:rsidRPr="00AE1B2B">
              <w:rPr>
                <w:rFonts w:ascii="Times New Roman" w:hAnsi="Times New Roman" w:cs="Times New Roman"/>
                <w:iCs/>
                <w:noProof/>
                <w:lang w:val="en-US"/>
              </w:rPr>
              <w:drawing>
                <wp:inline distT="0" distB="0" distL="0" distR="0" wp14:anchorId="39FDEF71" wp14:editId="5DD79C7D">
                  <wp:extent cx="4845299" cy="2787793"/>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845299" cy="2787793"/>
                          </a:xfrm>
                          <a:prstGeom prst="rect">
                            <a:avLst/>
                          </a:prstGeom>
                        </pic:spPr>
                      </pic:pic>
                    </a:graphicData>
                  </a:graphic>
                </wp:inline>
              </w:drawing>
            </w:r>
          </w:p>
          <w:p w:rsidRPr="00AE1B2B" w:rsidR="009D3FB5" w:rsidP="00163B94" w:rsidRDefault="009D3FB5" w14:paraId="7AFEE02E" w14:textId="77777777">
            <w:pPr>
              <w:spacing w:before="120" w:after="120"/>
              <w:ind w:left="-33" w:right="319"/>
              <w:jc w:val="both"/>
              <w:rPr>
                <w:rFonts w:ascii="Times New Roman" w:hAnsi="Times New Roman" w:cs="Times New Roman"/>
                <w:sz w:val="20"/>
                <w:szCs w:val="20"/>
              </w:rPr>
            </w:pPr>
          </w:p>
          <w:p w:rsidRPr="00AE1B2B" w:rsidR="009D3FB5" w:rsidP="00163B94" w:rsidRDefault="009D3FB5" w14:paraId="1EEB3B53" w14:textId="77777777">
            <w:pPr>
              <w:spacing w:before="120" w:after="120"/>
              <w:ind w:left="-33" w:right="319"/>
              <w:jc w:val="both"/>
              <w:rPr>
                <w:rFonts w:ascii="Times New Roman" w:hAnsi="Times New Roman" w:cs="Times New Roman"/>
              </w:rPr>
            </w:pPr>
          </w:p>
          <w:p w:rsidRPr="00AE1B2B" w:rsidR="009D3FB5" w:rsidP="00163B94" w:rsidRDefault="009D3FB5" w14:paraId="414FA74F" w14:textId="77777777">
            <w:pPr>
              <w:spacing w:before="120" w:after="120"/>
              <w:ind w:left="-33" w:right="319"/>
              <w:jc w:val="both"/>
              <w:rPr>
                <w:rFonts w:ascii="Times New Roman" w:hAnsi="Times New Roman" w:cs="Times New Roman"/>
                <w:b/>
                <w:bCs/>
              </w:rPr>
            </w:pPr>
            <w:r w:rsidRPr="00AE1B2B">
              <w:rPr>
                <w:rFonts w:ascii="Times New Roman" w:hAnsi="Times New Roman" w:cs="Times New Roman"/>
                <w:b/>
                <w:bCs/>
              </w:rPr>
              <w:t>Al Centro de Apoyo Coordinación y Mejoramiento de la Función Jurisdiccional:</w:t>
            </w:r>
          </w:p>
          <w:p w:rsidRPr="00AE1B2B" w:rsidR="009D3FB5" w:rsidP="00163B94" w:rsidRDefault="009D3FB5" w14:paraId="27D25878" w14:textId="77777777">
            <w:pPr>
              <w:spacing w:before="120" w:after="120"/>
              <w:ind w:left="-33" w:right="319"/>
              <w:jc w:val="both"/>
              <w:rPr>
                <w:rFonts w:ascii="Times New Roman" w:hAnsi="Times New Roman" w:cs="Times New Roman"/>
                <w:b/>
                <w:bCs/>
              </w:rPr>
            </w:pPr>
          </w:p>
          <w:p w:rsidRPr="00AE1B2B" w:rsidR="009D3FB5" w:rsidP="00163B94" w:rsidRDefault="009D3FB5" w14:paraId="4B98B41B" w14:textId="77777777">
            <w:pPr>
              <w:spacing w:before="120" w:after="120"/>
              <w:ind w:left="-33" w:right="319"/>
              <w:jc w:val="both"/>
              <w:rPr>
                <w:rFonts w:ascii="Times New Roman" w:hAnsi="Times New Roman" w:cs="Times New Roman"/>
                <w:iCs/>
              </w:rPr>
            </w:pPr>
            <w:r w:rsidRPr="00AE1B2B">
              <w:rPr>
                <w:rFonts w:ascii="Times New Roman" w:hAnsi="Times New Roman" w:cs="Times New Roman"/>
                <w:iCs/>
              </w:rPr>
              <w:lastRenderedPageBreak/>
              <w:t>5.2. Se recomiendan las plazas bajo la modalidad ordinaria y adscritas al CACMFJ, pero asignadas a los Juzgados de Trabajo de Desamparados y San Carlos, a fin de equilibrar la carga de trabajo de la oficina. Al finalizar el 2022, realizará una evaluación de esos recursos para determinar su permanencia o asignación en oficinas de la Jurisdicción Laboral que presenten alguna problemática en su volumen de trabajo.</w:t>
            </w:r>
          </w:p>
          <w:p w:rsidRPr="00AE1B2B" w:rsidR="009D3FB5" w:rsidP="00163B94" w:rsidRDefault="009D3FB5" w14:paraId="3C4258B5" w14:textId="77777777">
            <w:pPr>
              <w:spacing w:before="120" w:after="120"/>
              <w:ind w:left="-33" w:right="319"/>
              <w:jc w:val="both"/>
              <w:rPr>
                <w:rFonts w:ascii="Times New Roman" w:hAnsi="Times New Roman" w:cs="Times New Roman"/>
                <w:iCs/>
              </w:rPr>
            </w:pPr>
          </w:p>
          <w:p w:rsidRPr="00AE1B2B" w:rsidR="009D3FB5" w:rsidP="00163B94" w:rsidRDefault="009D3FB5" w14:paraId="5851FCFB" w14:textId="77777777">
            <w:pPr>
              <w:spacing w:before="120" w:after="120"/>
              <w:ind w:left="-33" w:right="319"/>
              <w:jc w:val="both"/>
              <w:rPr>
                <w:rFonts w:ascii="Times New Roman" w:hAnsi="Times New Roman" w:cs="Times New Roman"/>
                <w:iCs/>
              </w:rPr>
            </w:pPr>
            <w:r w:rsidRPr="00AE1B2B">
              <w:rPr>
                <w:rFonts w:ascii="Times New Roman" w:hAnsi="Times New Roman" w:cs="Times New Roman"/>
                <w:iCs/>
              </w:rPr>
              <w:t>5.3. Velar porque las plazas de Jueza o Juez 3 y Técnica o Técnico Judicial 2, asignadas a los Juzgados de Trabajo del Tercer Circuito Judicial de San José y Segundo Circuito Judicial de Alajuela respectivamente y adscritas al CACMFJ, se incorporen de manera activa a la estructura de recurso humano de ambos despachos para mitigar la problemática vertida en la carga de trabajo. Asimismo, velar por que cumplan con los parámetros de rendimiento planteados según las necesidades del despacho, y con ello mejorar los tiempos de resolución y dictados de sentencia de los expedientes.</w:t>
            </w:r>
          </w:p>
          <w:p w:rsidRPr="00AE1B2B" w:rsidR="009D3FB5" w:rsidP="00163B94" w:rsidRDefault="009D3FB5" w14:paraId="5C63123B" w14:textId="77777777">
            <w:pPr>
              <w:spacing w:before="120" w:after="120"/>
              <w:ind w:left="-33" w:right="319"/>
              <w:jc w:val="both"/>
              <w:rPr>
                <w:rFonts w:ascii="Times New Roman" w:hAnsi="Times New Roman" w:cs="Times New Roman"/>
                <w:iCs/>
              </w:rPr>
            </w:pPr>
          </w:p>
          <w:p w:rsidRPr="00AE1B2B" w:rsidR="009D3FB5" w:rsidP="00163B94" w:rsidRDefault="009D3FB5" w14:paraId="5FBF5499" w14:textId="77777777">
            <w:pPr>
              <w:spacing w:before="120" w:after="120"/>
              <w:ind w:left="-33" w:right="319"/>
              <w:jc w:val="both"/>
              <w:rPr>
                <w:rFonts w:ascii="Times New Roman" w:hAnsi="Times New Roman" w:cs="Times New Roman"/>
                <w:iCs/>
              </w:rPr>
            </w:pPr>
            <w:r w:rsidRPr="00AE1B2B">
              <w:rPr>
                <w:rFonts w:ascii="Times New Roman" w:hAnsi="Times New Roman" w:cs="Times New Roman"/>
                <w:iCs/>
              </w:rPr>
              <w:t>5.4. Velar en la escogencia del personal juzgador que se nombre de manera extraordinaria en el Juzgado de Trabajo de San Carlos, a fin de que cumpla con los parámetros de rendimiento trazados por la oficina y se tome en consideración los argumentos expuestos por la licenciada Marta Chaves, Jueza Coordinadora de ese despacho.</w:t>
            </w:r>
          </w:p>
          <w:p w:rsidRPr="00AE1B2B" w:rsidR="009D3FB5" w:rsidP="00163B94" w:rsidRDefault="009D3FB5" w14:paraId="4A1D5264" w14:textId="77777777">
            <w:pPr>
              <w:spacing w:before="120" w:after="120"/>
              <w:ind w:left="-33" w:right="319"/>
              <w:jc w:val="both"/>
              <w:rPr>
                <w:rFonts w:ascii="Times New Roman" w:hAnsi="Times New Roman" w:cs="Times New Roman"/>
                <w:iCs/>
              </w:rPr>
            </w:pPr>
          </w:p>
          <w:p w:rsidRPr="00AE1B2B" w:rsidR="009D3FB5" w:rsidP="00163B94" w:rsidRDefault="009D3FB5" w14:paraId="61EE93E1" w14:textId="1276C4C4">
            <w:pPr>
              <w:spacing w:before="120" w:after="120"/>
              <w:ind w:left="-33" w:right="319"/>
              <w:jc w:val="both"/>
              <w:rPr>
                <w:rFonts w:ascii="Times New Roman" w:hAnsi="Times New Roman" w:cs="Times New Roman"/>
              </w:rPr>
            </w:pPr>
            <w:r w:rsidRPr="00AE1B2B">
              <w:rPr>
                <w:rFonts w:ascii="Times New Roman" w:hAnsi="Times New Roman" w:cs="Times New Roman"/>
                <w:iCs/>
              </w:rPr>
              <w:t>5.5. El Centro de Apoyo, Co</w:t>
            </w:r>
            <w:r w:rsidRPr="00AE1B2B">
              <w:rPr>
                <w:rFonts w:ascii="Times New Roman" w:hAnsi="Times New Roman" w:cs="Times New Roman"/>
              </w:rPr>
              <w:t>ordin</w:t>
            </w:r>
            <w:r w:rsidRPr="00AE1B2B">
              <w:rPr>
                <w:rFonts w:ascii="Times New Roman" w:hAnsi="Times New Roman" w:cs="Times New Roman"/>
                <w:iCs/>
              </w:rPr>
              <w:t>ación y Mejoramiento de la Función Jurisdiccional, deberá</w:t>
            </w:r>
            <w:r w:rsidRPr="00AE1B2B" w:rsidR="00BB7720">
              <w:rPr>
                <w:rFonts w:ascii="Times New Roman" w:hAnsi="Times New Roman" w:cs="Times New Roman"/>
                <w:iCs/>
              </w:rPr>
              <w:t xml:space="preserve"> </w:t>
            </w:r>
            <w:r w:rsidRPr="00AE1B2B">
              <w:rPr>
                <w:rFonts w:ascii="Times New Roman" w:hAnsi="Times New Roman" w:cs="Times New Roman"/>
                <w:iCs/>
              </w:rPr>
              <w:t>otorgar un seguimiento minucioso al Juzgado de Trabajo de Pococí merced a la carga de trabajo actual por plaza de Jueza o Juez, y de considerarlo necesario, deberá brindar colaboración de manera prioritaria en cuanto al tema de fallo de sentencias se refiere (a la fecha es de 130 asuntos</w:t>
            </w:r>
            <w:r w:rsidRPr="00AE1B2B" w:rsidR="00BB7720">
              <w:rPr>
                <w:rFonts w:ascii="Times New Roman" w:hAnsi="Times New Roman" w:cs="Times New Roman"/>
                <w:iCs/>
              </w:rPr>
              <w:t xml:space="preserve"> </w:t>
            </w:r>
            <w:r w:rsidRPr="00AE1B2B">
              <w:rPr>
                <w:rFonts w:ascii="Times New Roman" w:hAnsi="Times New Roman" w:cs="Times New Roman"/>
                <w:iCs/>
              </w:rPr>
              <w:t>pendientes de dictar sentencia), para liberar al menos en parte de esa labor, al personal juzgador de planta, ello</w:t>
            </w:r>
            <w:r w:rsidRPr="00AE1B2B" w:rsidR="00BB7720">
              <w:rPr>
                <w:rFonts w:ascii="Times New Roman" w:hAnsi="Times New Roman" w:cs="Times New Roman"/>
                <w:iCs/>
              </w:rPr>
              <w:t xml:space="preserve"> </w:t>
            </w:r>
            <w:r w:rsidRPr="00AE1B2B">
              <w:rPr>
                <w:rFonts w:ascii="Times New Roman" w:hAnsi="Times New Roman" w:cs="Times New Roman"/>
              </w:rPr>
              <w:t>significa que con los parámetros establecidos para el dictado de sentencias en asuntos laborales (25 mensuales de todo tipo de proceso), se atendería ese rubro en un plazo 5 meses aproximadamente.</w:t>
            </w:r>
          </w:p>
          <w:p w:rsidRPr="00AE1B2B" w:rsidR="009D3FB5" w:rsidP="00163B94" w:rsidRDefault="009D3FB5" w14:paraId="18ABF881" w14:textId="77777777">
            <w:pPr>
              <w:spacing w:before="120" w:after="120"/>
              <w:ind w:left="-33" w:right="319"/>
              <w:jc w:val="both"/>
              <w:rPr>
                <w:rFonts w:ascii="Times New Roman" w:hAnsi="Times New Roman" w:cs="Times New Roman"/>
              </w:rPr>
            </w:pPr>
          </w:p>
          <w:p w:rsidRPr="00AE1B2B" w:rsidR="009D3FB5" w:rsidP="00163B94" w:rsidRDefault="009D3FB5" w14:paraId="18693792" w14:textId="77777777">
            <w:pPr>
              <w:spacing w:before="120" w:after="120"/>
              <w:ind w:left="-33" w:right="319"/>
              <w:jc w:val="both"/>
              <w:rPr>
                <w:rFonts w:ascii="Times New Roman" w:hAnsi="Times New Roman" w:cs="Times New Roman"/>
              </w:rPr>
            </w:pPr>
          </w:p>
        </w:tc>
      </w:tr>
      <w:tr w:rsidRPr="00AE1B2B" w:rsidR="009D3FB5" w:rsidTr="000458B6" w14:paraId="3F4F8344" w14:textId="77777777">
        <w:trPr>
          <w:jc w:val="center"/>
        </w:trPr>
        <w:tc>
          <w:tcPr>
            <w:tcW w:w="2122" w:type="dxa"/>
            <w:gridSpan w:val="2"/>
            <w:tcBorders>
              <w:top w:val="single" w:color="000000" w:sz="4" w:space="0"/>
              <w:left w:val="single" w:color="000000" w:sz="4" w:space="0"/>
              <w:bottom w:val="single" w:color="000000" w:sz="4" w:space="0"/>
              <w:right w:val="single" w:color="000000" w:sz="4" w:space="0"/>
            </w:tcBorders>
            <w:shd w:val="clear" w:color="auto" w:fill="B3B3B3"/>
          </w:tcPr>
          <w:p w:rsidRPr="00AE1B2B" w:rsidR="009D3FB5" w:rsidP="00163B94" w:rsidRDefault="009D3FB5" w14:paraId="7A6C6649" w14:textId="77777777">
            <w:pPr>
              <w:spacing w:before="120" w:after="120"/>
              <w:jc w:val="right"/>
              <w:rPr>
                <w:rFonts w:ascii="Times New Roman" w:hAnsi="Times New Roman" w:cs="Times New Roman"/>
                <w:b/>
              </w:rPr>
            </w:pPr>
            <w:r w:rsidRPr="00AE1B2B">
              <w:rPr>
                <w:rFonts w:ascii="Times New Roman" w:hAnsi="Times New Roman" w:cs="Times New Roman"/>
                <w:b/>
              </w:rPr>
              <w:lastRenderedPageBreak/>
              <w:t>Realizado por:</w:t>
            </w:r>
          </w:p>
        </w:tc>
        <w:tc>
          <w:tcPr>
            <w:tcW w:w="7654" w:type="dxa"/>
            <w:tcBorders>
              <w:top w:val="single" w:color="000000" w:sz="4" w:space="0"/>
              <w:left w:val="single" w:color="000000" w:sz="4" w:space="0"/>
              <w:bottom w:val="single" w:color="000000" w:sz="4" w:space="0"/>
              <w:right w:val="single" w:color="000000" w:sz="4" w:space="0"/>
            </w:tcBorders>
            <w:shd w:val="clear" w:color="auto" w:fill="auto"/>
          </w:tcPr>
          <w:p w:rsidRPr="00AE1B2B" w:rsidR="009D3FB5" w:rsidP="00163B94" w:rsidRDefault="009D3FB5" w14:paraId="2B9CF429" w14:textId="77777777">
            <w:pPr>
              <w:spacing w:before="120" w:after="120"/>
              <w:jc w:val="both"/>
              <w:rPr>
                <w:rFonts w:ascii="Times New Roman" w:hAnsi="Times New Roman" w:cs="Times New Roman"/>
                <w:bCs/>
                <w:i/>
              </w:rPr>
            </w:pPr>
            <w:r w:rsidRPr="00AE1B2B">
              <w:rPr>
                <w:rFonts w:ascii="Times New Roman" w:hAnsi="Times New Roman" w:cs="Times New Roman"/>
                <w:bCs/>
                <w:i/>
              </w:rPr>
              <w:t>Lic. Raúl Camacho Mora, Profesional 2</w:t>
            </w:r>
          </w:p>
        </w:tc>
      </w:tr>
      <w:tr w:rsidRPr="00AE1B2B" w:rsidR="009D3FB5" w:rsidTr="000458B6" w14:paraId="519EB41C" w14:textId="77777777">
        <w:trPr>
          <w:jc w:val="center"/>
        </w:trPr>
        <w:tc>
          <w:tcPr>
            <w:tcW w:w="2122" w:type="dxa"/>
            <w:gridSpan w:val="2"/>
            <w:tcBorders>
              <w:top w:val="single" w:color="000000" w:sz="4" w:space="0"/>
              <w:left w:val="single" w:color="000000" w:sz="4" w:space="0"/>
              <w:bottom w:val="single" w:color="000000" w:sz="4" w:space="0"/>
              <w:right w:val="single" w:color="000000" w:sz="4" w:space="0"/>
            </w:tcBorders>
            <w:shd w:val="clear" w:color="auto" w:fill="B3B3B3"/>
          </w:tcPr>
          <w:p w:rsidRPr="00AE1B2B" w:rsidR="009D3FB5" w:rsidP="00163B94" w:rsidRDefault="009D3FB5" w14:paraId="686B8E49" w14:textId="77777777">
            <w:pPr>
              <w:spacing w:before="120" w:after="120"/>
              <w:jc w:val="right"/>
              <w:rPr>
                <w:rFonts w:ascii="Times New Roman" w:hAnsi="Times New Roman" w:cs="Times New Roman"/>
              </w:rPr>
            </w:pPr>
            <w:r w:rsidRPr="00AE1B2B">
              <w:rPr>
                <w:rFonts w:ascii="Times New Roman" w:hAnsi="Times New Roman" w:cs="Times New Roman"/>
                <w:b/>
              </w:rPr>
              <w:t>probado por:</w:t>
            </w:r>
          </w:p>
        </w:tc>
        <w:tc>
          <w:tcPr>
            <w:tcW w:w="7654" w:type="dxa"/>
            <w:tcBorders>
              <w:top w:val="single" w:color="000000" w:sz="4" w:space="0"/>
              <w:left w:val="single" w:color="000000" w:sz="4" w:space="0"/>
              <w:bottom w:val="single" w:color="000000" w:sz="4" w:space="0"/>
              <w:right w:val="single" w:color="000000" w:sz="4" w:space="0"/>
            </w:tcBorders>
            <w:shd w:val="clear" w:color="auto" w:fill="auto"/>
          </w:tcPr>
          <w:p w:rsidRPr="00AE1B2B" w:rsidR="009D3FB5" w:rsidP="00163B94" w:rsidRDefault="009D3FB5" w14:paraId="013E6469" w14:textId="77777777">
            <w:pPr>
              <w:spacing w:before="120" w:after="120"/>
              <w:ind w:right="1322"/>
              <w:jc w:val="both"/>
              <w:rPr>
                <w:rFonts w:ascii="Times New Roman" w:hAnsi="Times New Roman" w:cs="Times New Roman"/>
                <w:bCs/>
                <w:i/>
              </w:rPr>
            </w:pPr>
            <w:r w:rsidRPr="00AE1B2B">
              <w:rPr>
                <w:rFonts w:ascii="Times New Roman" w:hAnsi="Times New Roman" w:cs="Times New Roman"/>
                <w:bCs/>
                <w:i/>
              </w:rPr>
              <w:t>Lic. Ginethe Retana Ureña, Jefa del Subproceso de Organización Institucional.</w:t>
            </w:r>
          </w:p>
        </w:tc>
      </w:tr>
      <w:tr w:rsidRPr="00AE1B2B" w:rsidR="009D3FB5" w:rsidTr="000458B6" w14:paraId="7E2B37F1" w14:textId="77777777">
        <w:trPr>
          <w:jc w:val="center"/>
        </w:trPr>
        <w:tc>
          <w:tcPr>
            <w:tcW w:w="2122" w:type="dxa"/>
            <w:gridSpan w:val="2"/>
            <w:tcBorders>
              <w:top w:val="single" w:color="000000" w:sz="4" w:space="0"/>
              <w:left w:val="single" w:color="000000" w:sz="4" w:space="0"/>
              <w:bottom w:val="single" w:color="000000" w:sz="4" w:space="0"/>
              <w:right w:val="single" w:color="000000" w:sz="4" w:space="0"/>
            </w:tcBorders>
            <w:shd w:val="clear" w:color="auto" w:fill="B3B3B3"/>
          </w:tcPr>
          <w:p w:rsidRPr="00AE1B2B" w:rsidR="009D3FB5" w:rsidP="00163B94" w:rsidRDefault="009D3FB5" w14:paraId="50707734" w14:textId="77777777">
            <w:pPr>
              <w:spacing w:before="120" w:after="120"/>
              <w:jc w:val="right"/>
              <w:rPr>
                <w:rFonts w:ascii="Times New Roman" w:hAnsi="Times New Roman" w:cs="Times New Roman"/>
                <w:b/>
              </w:rPr>
            </w:pPr>
            <w:r w:rsidRPr="00AE1B2B">
              <w:rPr>
                <w:rFonts w:ascii="Times New Roman" w:hAnsi="Times New Roman" w:cs="Times New Roman"/>
                <w:b/>
              </w:rPr>
              <w:t>Visto bueno:</w:t>
            </w:r>
          </w:p>
        </w:tc>
        <w:tc>
          <w:tcPr>
            <w:tcW w:w="7654" w:type="dxa"/>
            <w:tcBorders>
              <w:top w:val="single" w:color="000000" w:sz="4" w:space="0"/>
              <w:left w:val="single" w:color="000000" w:sz="4" w:space="0"/>
              <w:bottom w:val="single" w:color="000000" w:sz="4" w:space="0"/>
              <w:right w:val="single" w:color="000000" w:sz="4" w:space="0"/>
            </w:tcBorders>
            <w:shd w:val="clear" w:color="auto" w:fill="auto"/>
          </w:tcPr>
          <w:p w:rsidRPr="00AE1B2B" w:rsidR="009D3FB5" w:rsidP="00163B94" w:rsidRDefault="009D3FB5" w14:paraId="0599F3D0" w14:textId="77777777">
            <w:pPr>
              <w:spacing w:before="120" w:after="120"/>
              <w:jc w:val="both"/>
              <w:rPr>
                <w:rFonts w:ascii="Times New Roman" w:hAnsi="Times New Roman" w:cs="Times New Roman"/>
                <w:bCs/>
                <w:i/>
              </w:rPr>
            </w:pPr>
            <w:r w:rsidRPr="00AE1B2B">
              <w:rPr>
                <w:rFonts w:ascii="Times New Roman" w:hAnsi="Times New Roman" w:cs="Times New Roman"/>
                <w:bCs/>
                <w:i/>
              </w:rPr>
              <w:t>Licda. Nacira Valverde Bermúdez, Directora a.i. de Planificación</w:t>
            </w:r>
          </w:p>
        </w:tc>
      </w:tr>
    </w:tbl>
    <w:p w:rsidRPr="00AE1B2B" w:rsidR="009D3FB5" w:rsidP="00163B94" w:rsidRDefault="009D3FB5" w14:paraId="5B0E2065" w14:textId="77777777">
      <w:pPr>
        <w:spacing w:before="120" w:after="120"/>
        <w:rPr>
          <w:rFonts w:ascii="Times New Roman" w:hAnsi="Times New Roman" w:cs="Times New Roman"/>
        </w:rPr>
      </w:pPr>
      <w:r w:rsidRPr="00AE1B2B">
        <w:rPr>
          <w:rFonts w:ascii="Times New Roman" w:hAnsi="Times New Roman" w:cs="Times New Roman"/>
        </w:rPr>
        <w:t>rqp</w:t>
      </w:r>
    </w:p>
    <w:p w:rsidRPr="00AE1B2B" w:rsidR="009D3FB5" w:rsidP="00163B94" w:rsidRDefault="009D3FB5" w14:paraId="47FDA8AB" w14:textId="77777777">
      <w:pPr>
        <w:spacing w:before="120" w:after="120"/>
        <w:rPr>
          <w:rFonts w:ascii="Times New Roman" w:hAnsi="Times New Roman" w:cs="Times New Roman"/>
        </w:rPr>
      </w:pPr>
      <w:r w:rsidRPr="00AE1B2B">
        <w:rPr>
          <w:rFonts w:ascii="Times New Roman" w:hAnsi="Times New Roman" w:cs="Times New Roman"/>
        </w:rPr>
        <w:t>Ref. 326-2021</w:t>
      </w:r>
    </w:p>
    <w:p w:rsidRPr="00AE1B2B" w:rsidR="009D3FB5" w:rsidP="00163B94" w:rsidRDefault="009D3FB5" w14:paraId="693C8A20" w14:textId="6317F36A">
      <w:pPr>
        <w:spacing w:before="120" w:after="120"/>
        <w:rPr>
          <w:rFonts w:ascii="Times New Roman" w:hAnsi="Times New Roman" w:cs="Times New Roman"/>
        </w:rPr>
      </w:pPr>
    </w:p>
    <w:p w:rsidRPr="00AE1B2B" w:rsidR="000458B6" w:rsidP="00163B94" w:rsidRDefault="000458B6" w14:paraId="04EA5948" w14:textId="77777777">
      <w:pPr>
        <w:spacing w:before="120" w:after="120" w:line="480" w:lineRule="auto"/>
        <w:jc w:val="center"/>
        <w:rPr>
          <w:rFonts w:ascii="Times New Roman" w:hAnsi="Times New Roman"/>
          <w:bCs/>
          <w:sz w:val="28"/>
          <w:szCs w:val="28"/>
          <w:lang w:val="es-ES"/>
        </w:rPr>
      </w:pPr>
      <w:r w:rsidRPr="00AE1B2B">
        <w:rPr>
          <w:rFonts w:ascii="Times New Roman" w:hAnsi="Times New Roman"/>
          <w:bCs/>
          <w:spacing w:val="2"/>
          <w:sz w:val="28"/>
          <w:szCs w:val="28"/>
          <w:lang w:val="es-ES"/>
        </w:rPr>
        <w:t>- 0 -</w:t>
      </w:r>
    </w:p>
    <w:p w:rsidRPr="00AE1B2B" w:rsidR="009D3FB5" w:rsidP="00163B94" w:rsidRDefault="009D3FB5" w14:paraId="528BDDF1" w14:textId="77777777">
      <w:pPr>
        <w:spacing w:before="120" w:after="120"/>
        <w:rPr>
          <w:rFonts w:ascii="Times New Roman" w:hAnsi="Times New Roman" w:cs="Times New Roman"/>
        </w:rPr>
      </w:pPr>
    </w:p>
    <w:p w:rsidRPr="00AE1B2B" w:rsidR="009D3FB5" w:rsidP="00163B94" w:rsidRDefault="009D3FB5" w14:paraId="5ACE4B1A" w14:textId="25E386C9">
      <w:pPr>
        <w:spacing w:before="120" w:after="120" w:line="480" w:lineRule="auto"/>
        <w:ind w:firstLine="720"/>
        <w:jc w:val="both"/>
        <w:rPr>
          <w:rFonts w:ascii="Times New Roman" w:hAnsi="Times New Roman" w:cs="Times New Roman"/>
        </w:rPr>
      </w:pPr>
      <w:r w:rsidRPr="00AE1B2B">
        <w:rPr>
          <w:rFonts w:ascii="Times New Roman" w:hAnsi="Times New Roman" w:cs="Times New Roman"/>
          <w:b/>
          <w:bCs/>
          <w:sz w:val="28"/>
          <w:szCs w:val="28"/>
        </w:rPr>
        <w:t>Se acordó</w:t>
      </w:r>
      <w:r w:rsidRPr="00AE1B2B">
        <w:rPr>
          <w:rFonts w:ascii="Times New Roman" w:hAnsi="Times New Roman" w:cs="Times New Roman"/>
          <w:sz w:val="28"/>
          <w:szCs w:val="28"/>
        </w:rPr>
        <w:t>: Aprobar el informe 265-PLA-RH-OI-2021 y sus recomendaciones, relacionado con el estudio de Requerimiento Humano, sobre la continuidad de las plazas otorgadas como resultado de la promulgación de la Reforma Procesal Laboral. Estas plazas no son nuevas,</w:t>
      </w:r>
      <w:r w:rsidRPr="00AE1B2B" w:rsidR="00BB7720">
        <w:rPr>
          <w:rFonts w:ascii="Times New Roman" w:hAnsi="Times New Roman" w:cs="Times New Roman"/>
          <w:sz w:val="28"/>
          <w:szCs w:val="28"/>
        </w:rPr>
        <w:t xml:space="preserve"> </w:t>
      </w:r>
      <w:r w:rsidRPr="00AE1B2B">
        <w:rPr>
          <w:rFonts w:ascii="Times New Roman" w:hAnsi="Times New Roman" w:cs="Times New Roman"/>
          <w:sz w:val="28"/>
          <w:szCs w:val="28"/>
        </w:rPr>
        <w:t>sino que se analizan a partir de su creación en años anteriores y ante la necesidad de dar continuida</w:t>
      </w:r>
      <w:r w:rsidRPr="00AE1B2B" w:rsidR="00EC5B94">
        <w:rPr>
          <w:rFonts w:ascii="Times New Roman" w:hAnsi="Times New Roman" w:cs="Times New Roman"/>
          <w:sz w:val="28"/>
          <w:szCs w:val="28"/>
        </w:rPr>
        <w:t>d a las mismas para el año 2022</w:t>
      </w:r>
      <w:r w:rsidRPr="00AE1B2B">
        <w:rPr>
          <w:rFonts w:ascii="Times New Roman" w:hAnsi="Times New Roman" w:cs="Times New Roman"/>
          <w:sz w:val="28"/>
          <w:szCs w:val="28"/>
        </w:rPr>
        <w:t xml:space="preserve">. </w:t>
      </w:r>
      <w:r w:rsidRPr="00AE1B2B" w:rsidR="000458B6">
        <w:rPr>
          <w:rFonts w:ascii="Times New Roman" w:hAnsi="Times New Roman" w:cs="Times New Roman"/>
          <w:b/>
          <w:bCs/>
          <w:sz w:val="28"/>
          <w:szCs w:val="28"/>
        </w:rPr>
        <w:t>Se declara cuerdo firme</w:t>
      </w:r>
      <w:r w:rsidRPr="00AE1B2B" w:rsidR="000458B6">
        <w:rPr>
          <w:rFonts w:ascii="Times New Roman" w:hAnsi="Times New Roman" w:cs="Times New Roman"/>
          <w:sz w:val="28"/>
          <w:szCs w:val="28"/>
        </w:rPr>
        <w:t>.</w:t>
      </w:r>
    </w:p>
    <w:p w:rsidRPr="00AE1B2B" w:rsidR="009D3FB5" w:rsidP="00163B94" w:rsidRDefault="009D3FB5" w14:paraId="711A51FD" w14:textId="57067323">
      <w:pPr>
        <w:pStyle w:val="Ttulo1"/>
        <w:shd w:val="clear" w:color="auto" w:fill="auto"/>
        <w:spacing w:before="120" w:after="120" w:line="360" w:lineRule="auto"/>
        <w:jc w:val="center"/>
        <w:rPr>
          <w:rFonts w:ascii="Times New Roman" w:hAnsi="Times New Roman" w:eastAsia="Times New Roman" w:cs="Times New Roman"/>
          <w:b/>
          <w:bCs/>
          <w:kern w:val="36"/>
          <w:sz w:val="32"/>
          <w:szCs w:val="32"/>
          <w:u w:val="single"/>
        </w:rPr>
      </w:pPr>
      <w:r w:rsidRPr="00AE1B2B">
        <w:rPr>
          <w:rFonts w:ascii="Times New Roman" w:hAnsi="Times New Roman" w:eastAsia="Times New Roman" w:cs="Times New Roman"/>
          <w:b/>
          <w:bCs/>
          <w:kern w:val="36"/>
          <w:sz w:val="32"/>
          <w:szCs w:val="32"/>
          <w:u w:val="single"/>
        </w:rPr>
        <w:t>ARTÍCULO XVIII</w:t>
      </w:r>
    </w:p>
    <w:p w:rsidRPr="00AE1B2B" w:rsidR="00580F94" w:rsidP="00163B94" w:rsidRDefault="00580F94" w14:paraId="4A0C25DC" w14:textId="7C8561AE">
      <w:pPr>
        <w:spacing w:before="120" w:after="120"/>
        <w:rPr>
          <w:rFonts w:ascii="Times New Roman" w:hAnsi="Times New Roman" w:eastAsia="Times New Roman" w:cs="Times New Roman"/>
          <w:b/>
          <w:bCs/>
          <w:kern w:val="36"/>
          <w:sz w:val="28"/>
          <w:szCs w:val="28"/>
        </w:rPr>
      </w:pPr>
      <w:r w:rsidRPr="00AE1B2B">
        <w:rPr>
          <w:rFonts w:ascii="Times New Roman" w:hAnsi="Times New Roman" w:cs="Times New Roman"/>
          <w:b/>
          <w:bCs/>
          <w:sz w:val="28"/>
          <w:szCs w:val="28"/>
        </w:rPr>
        <w:t>Documento</w:t>
      </w:r>
      <w:r w:rsidRPr="00AE1B2B" w:rsidR="000458B6">
        <w:rPr>
          <w:rFonts w:ascii="Times New Roman" w:hAnsi="Times New Roman" w:cs="Times New Roman"/>
          <w:b/>
          <w:bCs/>
          <w:sz w:val="28"/>
          <w:szCs w:val="28"/>
        </w:rPr>
        <w:t xml:space="preserve"> N°</w:t>
      </w:r>
      <w:r w:rsidRPr="00AE1B2B" w:rsidR="0073072F">
        <w:rPr>
          <w:rFonts w:ascii="Times New Roman" w:hAnsi="Times New Roman" w:cs="Times New Roman"/>
          <w:b/>
          <w:bCs/>
          <w:sz w:val="28"/>
          <w:szCs w:val="28"/>
        </w:rPr>
        <w:t xml:space="preserve"> 3966-2021</w:t>
      </w:r>
    </w:p>
    <w:p w:rsidRPr="00AE1B2B" w:rsidR="00580F94" w:rsidP="00163B94" w:rsidRDefault="00580F94" w14:paraId="60DE77A9" w14:textId="77777777">
      <w:pPr>
        <w:spacing w:before="120" w:after="120"/>
        <w:ind w:firstLine="708"/>
        <w:jc w:val="both"/>
        <w:rPr>
          <w:rFonts w:ascii="Times New Roman" w:hAnsi="Times New Roman" w:eastAsia="Times New Roman" w:cs="Times New Roman"/>
          <w:b/>
          <w:bCs/>
          <w:kern w:val="36"/>
          <w:sz w:val="28"/>
          <w:szCs w:val="28"/>
        </w:rPr>
      </w:pPr>
    </w:p>
    <w:p w:rsidRPr="00AE1B2B" w:rsidR="009D3FB5" w:rsidP="00163B94" w:rsidRDefault="009D3FB5" w14:paraId="30BF9A08" w14:textId="316A48DE">
      <w:pPr>
        <w:spacing w:before="120" w:after="120" w:line="480" w:lineRule="auto"/>
        <w:ind w:firstLine="708"/>
        <w:jc w:val="both"/>
        <w:rPr>
          <w:rFonts w:ascii="Times New Roman" w:hAnsi="Times New Roman" w:cs="Times New Roman"/>
          <w:sz w:val="28"/>
          <w:szCs w:val="28"/>
        </w:rPr>
      </w:pPr>
      <w:r w:rsidRPr="00AE1B2B">
        <w:rPr>
          <w:rFonts w:ascii="Times New Roman" w:hAnsi="Times New Roman" w:cs="Times New Roman"/>
          <w:sz w:val="28"/>
          <w:szCs w:val="28"/>
        </w:rPr>
        <w:t>En reunión de trabajo de este 16 de abril, la licenciada Nacira Valverde Bermúdez,</w:t>
      </w:r>
      <w:r w:rsidRPr="00AE1B2B">
        <w:rPr>
          <w:rFonts w:ascii="Times New Roman" w:hAnsi="Times New Roman" w:cs="Times New Roman"/>
          <w:sz w:val="28"/>
          <w:szCs w:val="28"/>
          <w:shd w:val="clear" w:color="auto" w:fill="FFFFFF"/>
        </w:rPr>
        <w:t xml:space="preserve"> </w:t>
      </w:r>
      <w:r w:rsidRPr="00AE1B2B">
        <w:rPr>
          <w:rFonts w:ascii="Times New Roman" w:hAnsi="Times New Roman" w:cs="Times New Roman"/>
          <w:sz w:val="28"/>
          <w:szCs w:val="28"/>
        </w:rPr>
        <w:t xml:space="preserve">Directora de Planificación presentó </w:t>
      </w:r>
      <w:bookmarkStart w:name="_Hlk65484199" w:id="19"/>
      <w:r w:rsidRPr="00AE1B2B">
        <w:rPr>
          <w:rFonts w:ascii="Times New Roman" w:hAnsi="Times New Roman" w:cs="Times New Roman"/>
          <w:sz w:val="28"/>
          <w:szCs w:val="28"/>
        </w:rPr>
        <w:t xml:space="preserve">el </w:t>
      </w:r>
      <w:r w:rsidRPr="00AE1B2B">
        <w:rPr>
          <w:rFonts w:ascii="Times New Roman" w:hAnsi="Times New Roman" w:cs="Times New Roman"/>
          <w:b/>
          <w:bCs/>
          <w:sz w:val="28"/>
          <w:szCs w:val="28"/>
        </w:rPr>
        <w:t>Informe 268-PLA-RH-MI-2021</w:t>
      </w:r>
      <w:r w:rsidRPr="00AE1B2B">
        <w:rPr>
          <w:rFonts w:ascii="Times New Roman" w:hAnsi="Times New Roman" w:cs="Times New Roman"/>
          <w:sz w:val="28"/>
          <w:szCs w:val="28"/>
        </w:rPr>
        <w:t>, estudio de Requerimiento Humano sobre</w:t>
      </w:r>
      <w:bookmarkEnd w:id="19"/>
      <w:r w:rsidRPr="00AE1B2B">
        <w:rPr>
          <w:rFonts w:ascii="Times New Roman" w:hAnsi="Times New Roman" w:cs="Times New Roman"/>
          <w:sz w:val="28"/>
          <w:szCs w:val="28"/>
        </w:rPr>
        <w:t xml:space="preserve"> la continuidad a los avances del Sistema de Seguimiento de casos Implantación y Seguimiento al Proyecto de Mejora Integral del </w:t>
      </w:r>
      <w:r w:rsidRPr="00AE1B2B" w:rsidR="00825416">
        <w:rPr>
          <w:rFonts w:ascii="Times New Roman" w:hAnsi="Times New Roman" w:cs="Times New Roman"/>
          <w:sz w:val="28"/>
          <w:szCs w:val="28"/>
        </w:rPr>
        <w:t>Proceso Penal, Defensa Pública</w:t>
      </w:r>
      <w:r w:rsidRPr="00AE1B2B" w:rsidR="000458B6">
        <w:rPr>
          <w:rFonts w:ascii="Times New Roman" w:hAnsi="Times New Roman" w:cs="Times New Roman"/>
          <w:sz w:val="28"/>
          <w:szCs w:val="28"/>
        </w:rPr>
        <w:t>:</w:t>
      </w:r>
    </w:p>
    <w:p w:rsidRPr="00AE1B2B" w:rsidR="009D3FB5" w:rsidP="00163B94" w:rsidRDefault="009D3FB5" w14:paraId="41850364" w14:textId="77777777">
      <w:pPr>
        <w:spacing w:before="120" w:after="120"/>
        <w:jc w:val="center"/>
        <w:rPr>
          <w:rFonts w:ascii="Times New Roman" w:hAnsi="Times New Roman" w:cs="Times New Roman"/>
          <w:sz w:val="36"/>
          <w:szCs w:val="36"/>
        </w:r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889"/>
        <w:gridCol w:w="2901"/>
        <w:gridCol w:w="1640"/>
        <w:gridCol w:w="2398"/>
      </w:tblGrid>
      <w:tr w:rsidRPr="00AE1B2B" w:rsidR="00AE1B2B" w:rsidTr="00825416" w14:paraId="5ABB4AA8" w14:textId="77777777">
        <w:trPr>
          <w:trHeight w:val="569"/>
        </w:trPr>
        <w:tc>
          <w:tcPr>
            <w:tcW w:w="2713" w:type="pct"/>
            <w:gridSpan w:val="2"/>
            <w:tcBorders>
              <w:bottom w:val="single" w:color="auto" w:sz="4" w:space="0"/>
            </w:tcBorders>
            <w:shd w:val="clear" w:color="auto" w:fill="000000"/>
            <w:vAlign w:val="center"/>
          </w:tcPr>
          <w:p w:rsidRPr="00AE1B2B" w:rsidR="009D3FB5" w:rsidP="00163B94" w:rsidRDefault="009D3FB5" w14:paraId="26DFEF0B" w14:textId="77777777">
            <w:pPr>
              <w:spacing w:before="120" w:after="120"/>
              <w:jc w:val="center"/>
              <w:rPr>
                <w:rFonts w:ascii="Times New Roman" w:hAnsi="Times New Roman" w:cs="Times New Roman"/>
                <w:b/>
              </w:rPr>
            </w:pPr>
            <w:r w:rsidRPr="00AE1B2B">
              <w:rPr>
                <w:rFonts w:ascii="Times New Roman" w:hAnsi="Times New Roman" w:cs="Times New Roman"/>
                <w:b/>
              </w:rPr>
              <w:t>Dirección de Planificación</w:t>
            </w:r>
          </w:p>
        </w:tc>
        <w:tc>
          <w:tcPr>
            <w:tcW w:w="929" w:type="pct"/>
            <w:shd w:val="clear" w:color="auto" w:fill="B3B3B3"/>
            <w:vAlign w:val="center"/>
          </w:tcPr>
          <w:p w:rsidRPr="00AE1B2B" w:rsidR="009D3FB5" w:rsidP="00163B94" w:rsidRDefault="009D3FB5" w14:paraId="77E2390F" w14:textId="77777777">
            <w:pPr>
              <w:spacing w:before="120" w:after="120"/>
              <w:jc w:val="right"/>
              <w:rPr>
                <w:rFonts w:ascii="Times New Roman" w:hAnsi="Times New Roman" w:cs="Times New Roman"/>
                <w:b/>
              </w:rPr>
            </w:pPr>
            <w:r w:rsidRPr="00AE1B2B">
              <w:rPr>
                <w:rFonts w:ascii="Times New Roman" w:hAnsi="Times New Roman" w:cs="Times New Roman"/>
                <w:b/>
              </w:rPr>
              <w:t>Fecha:</w:t>
            </w:r>
          </w:p>
        </w:tc>
        <w:tc>
          <w:tcPr>
            <w:tcW w:w="1358" w:type="pct"/>
            <w:vAlign w:val="center"/>
          </w:tcPr>
          <w:p w:rsidRPr="00AE1B2B" w:rsidR="009D3FB5" w:rsidP="00163B94" w:rsidRDefault="009D3FB5" w14:paraId="3CB3D9E7" w14:textId="77777777">
            <w:pPr>
              <w:spacing w:before="120" w:after="120"/>
              <w:jc w:val="center"/>
              <w:rPr>
                <w:rFonts w:ascii="Times New Roman" w:hAnsi="Times New Roman" w:cs="Times New Roman"/>
                <w:i/>
              </w:rPr>
            </w:pPr>
            <w:r w:rsidRPr="00AE1B2B">
              <w:rPr>
                <w:rFonts w:ascii="Times New Roman" w:hAnsi="Times New Roman" w:cs="Times New Roman"/>
                <w:i/>
              </w:rPr>
              <w:t>04/03/2021</w:t>
            </w:r>
          </w:p>
        </w:tc>
      </w:tr>
      <w:tr w:rsidRPr="00AE1B2B" w:rsidR="00AE1B2B" w:rsidTr="00825416" w14:paraId="6BCD2B4C" w14:textId="77777777">
        <w:trPr>
          <w:trHeight w:val="520"/>
        </w:trPr>
        <w:tc>
          <w:tcPr>
            <w:tcW w:w="2713" w:type="pct"/>
            <w:gridSpan w:val="2"/>
            <w:shd w:val="clear" w:color="auto" w:fill="262626"/>
            <w:vAlign w:val="center"/>
          </w:tcPr>
          <w:p w:rsidRPr="00AE1B2B" w:rsidR="009D3FB5" w:rsidP="00163B94" w:rsidRDefault="009D3FB5" w14:paraId="5E2C03C5" w14:textId="77777777">
            <w:pPr>
              <w:spacing w:before="120" w:after="120"/>
              <w:jc w:val="center"/>
              <w:rPr>
                <w:rFonts w:ascii="Times New Roman" w:hAnsi="Times New Roman" w:cs="Times New Roman"/>
                <w:i/>
              </w:rPr>
            </w:pPr>
            <w:r w:rsidRPr="00AE1B2B">
              <w:rPr>
                <w:rFonts w:ascii="Times New Roman" w:hAnsi="Times New Roman" w:cs="Times New Roman"/>
                <w:b/>
              </w:rPr>
              <w:t>Estudio de Requerimiento Humano</w:t>
            </w:r>
          </w:p>
        </w:tc>
        <w:tc>
          <w:tcPr>
            <w:tcW w:w="929" w:type="pct"/>
            <w:shd w:val="clear" w:color="auto" w:fill="B3B3B3"/>
            <w:vAlign w:val="center"/>
          </w:tcPr>
          <w:p w:rsidRPr="00AE1B2B" w:rsidR="009D3FB5" w:rsidP="00163B94" w:rsidRDefault="009D3FB5" w14:paraId="59997641" w14:textId="77777777">
            <w:pPr>
              <w:spacing w:before="120" w:after="120"/>
              <w:jc w:val="right"/>
              <w:rPr>
                <w:rFonts w:ascii="Times New Roman" w:hAnsi="Times New Roman" w:cs="Times New Roman"/>
                <w:b/>
              </w:rPr>
            </w:pPr>
            <w:r w:rsidRPr="00AE1B2B">
              <w:rPr>
                <w:rFonts w:ascii="Times New Roman" w:hAnsi="Times New Roman" w:cs="Times New Roman"/>
                <w:b/>
              </w:rPr>
              <w:t># Informe:</w:t>
            </w:r>
          </w:p>
        </w:tc>
        <w:tc>
          <w:tcPr>
            <w:tcW w:w="1358" w:type="pct"/>
            <w:vAlign w:val="center"/>
          </w:tcPr>
          <w:p w:rsidRPr="00AE1B2B" w:rsidR="009D3FB5" w:rsidP="00163B94" w:rsidRDefault="009D3FB5" w14:paraId="6F5A85B6"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268-PLA-RH-MI-2021</w:t>
            </w:r>
          </w:p>
          <w:p w:rsidRPr="00AE1B2B" w:rsidR="009D3FB5" w:rsidP="00163B94" w:rsidRDefault="009D3FB5" w14:paraId="7EC878BF" w14:textId="77777777">
            <w:pPr>
              <w:spacing w:before="120" w:after="120"/>
              <w:rPr>
                <w:rFonts w:ascii="Times New Roman" w:hAnsi="Times New Roman" w:cs="Times New Roman"/>
                <w:i/>
              </w:rPr>
            </w:pPr>
          </w:p>
        </w:tc>
      </w:tr>
      <w:tr w:rsidRPr="00AE1B2B" w:rsidR="00AE1B2B" w:rsidTr="00825416" w14:paraId="7B78320E" w14:textId="77777777">
        <w:trPr>
          <w:trHeight w:val="520"/>
        </w:trPr>
        <w:tc>
          <w:tcPr>
            <w:tcW w:w="1070" w:type="pct"/>
            <w:shd w:val="clear" w:color="auto" w:fill="B3B3B3"/>
            <w:vAlign w:val="center"/>
          </w:tcPr>
          <w:p w:rsidRPr="00AE1B2B" w:rsidR="009D3FB5" w:rsidP="00163B94" w:rsidRDefault="009D3FB5" w14:paraId="390302D0" w14:textId="77777777">
            <w:pPr>
              <w:spacing w:before="120" w:after="120"/>
              <w:ind w:right="551"/>
              <w:jc w:val="both"/>
              <w:rPr>
                <w:rFonts w:ascii="Times New Roman" w:hAnsi="Times New Roman" w:cs="Times New Roman"/>
                <w:b/>
              </w:rPr>
            </w:pPr>
            <w:r w:rsidRPr="00AE1B2B">
              <w:rPr>
                <w:rFonts w:ascii="Times New Roman" w:hAnsi="Times New Roman" w:cs="Times New Roman"/>
                <w:b/>
              </w:rPr>
              <w:t>Proyecto u oficinas analizadas:</w:t>
            </w:r>
          </w:p>
        </w:tc>
        <w:tc>
          <w:tcPr>
            <w:tcW w:w="3930" w:type="pct"/>
            <w:gridSpan w:val="3"/>
            <w:vAlign w:val="center"/>
          </w:tcPr>
          <w:p w:rsidRPr="00AE1B2B" w:rsidR="009D3FB5" w:rsidP="00163B94" w:rsidRDefault="009D3FB5" w14:paraId="438FB74F" w14:textId="77777777">
            <w:pPr>
              <w:spacing w:before="120" w:after="120"/>
              <w:jc w:val="both"/>
              <w:rPr>
                <w:rFonts w:ascii="Times New Roman" w:hAnsi="Times New Roman" w:cs="Times New Roman"/>
                <w:i/>
              </w:rPr>
            </w:pPr>
            <w:r w:rsidRPr="00AE1B2B">
              <w:rPr>
                <w:rFonts w:ascii="Times New Roman" w:hAnsi="Times New Roman" w:cs="Times New Roman"/>
                <w:i/>
              </w:rPr>
              <w:t xml:space="preserve">Análisis Continuidad a los avances del Sistema de Seguimiento de Casos </w:t>
            </w:r>
          </w:p>
        </w:tc>
      </w:tr>
    </w:tbl>
    <w:p w:rsidRPr="00AE1B2B" w:rsidR="009D3FB5" w:rsidP="00163B94" w:rsidRDefault="009D3FB5" w14:paraId="4D25338E" w14:textId="77777777">
      <w:pPr>
        <w:spacing w:before="120" w:after="120"/>
        <w:jc w:val="center"/>
        <w:rPr>
          <w:rFonts w:ascii="Times New Roman" w:hAnsi="Times New Roman" w:cs="Times New Roman"/>
        </w:rPr>
      </w:pPr>
    </w:p>
    <w:p w:rsidRPr="00AE1B2B" w:rsidR="009D3FB5" w:rsidP="00163B94" w:rsidRDefault="009D3FB5" w14:paraId="27379ACA" w14:textId="77777777">
      <w:pPr>
        <w:spacing w:before="120" w:after="120"/>
        <w:rPr>
          <w:rFonts w:ascii="Times New Roman" w:hAnsi="Times New Roman" w:cs="Times New Roman"/>
          <w:sz w:val="26"/>
          <w:szCs w:val="26"/>
        </w:rPr>
      </w:pPr>
      <w:r w:rsidRPr="00AE1B2B">
        <w:rPr>
          <w:rFonts w:ascii="Times New Roman" w:hAnsi="Times New Roman" w:cs="Times New Roman"/>
          <w:b/>
          <w:sz w:val="26"/>
          <w:szCs w:val="26"/>
        </w:rPr>
        <w:lastRenderedPageBreak/>
        <w:t>I. Plazas por Analizar</w:t>
      </w:r>
    </w:p>
    <w:p w:rsidRPr="00AE1B2B" w:rsidR="009D3FB5" w:rsidP="00163B94" w:rsidRDefault="009D3FB5" w14:paraId="1B3A06CF" w14:textId="77777777">
      <w:pPr>
        <w:spacing w:before="120" w:after="120"/>
        <w:ind w:right="659"/>
        <w:jc w:val="center"/>
        <w:rPr>
          <w:rFonts w:ascii="Times New Roman" w:hAnsi="Times New Roman" w:cs="Times New Roman"/>
          <w:b/>
          <w:bCs/>
          <w:sz w:val="26"/>
          <w:szCs w:val="26"/>
        </w:rPr>
      </w:pPr>
    </w:p>
    <w:p w:rsidRPr="00AE1B2B" w:rsidR="009D3FB5" w:rsidP="00163B94" w:rsidRDefault="009D3FB5" w14:paraId="1C23FB5C" w14:textId="77777777">
      <w:pPr>
        <w:spacing w:before="120" w:after="120"/>
        <w:ind w:right="659"/>
        <w:jc w:val="center"/>
        <w:rPr>
          <w:rFonts w:ascii="Times New Roman" w:hAnsi="Times New Roman" w:cs="Times New Roman"/>
          <w:b/>
          <w:bCs/>
          <w:sz w:val="26"/>
          <w:szCs w:val="26"/>
        </w:rPr>
      </w:pPr>
      <w:r w:rsidRPr="00AE1B2B">
        <w:rPr>
          <w:rFonts w:ascii="Times New Roman" w:hAnsi="Times New Roman" w:cs="Times New Roman"/>
          <w:b/>
          <w:bCs/>
          <w:sz w:val="26"/>
          <w:szCs w:val="26"/>
        </w:rPr>
        <w:t>ÁMBITO DEFENSA PUBLICA</w:t>
      </w:r>
    </w:p>
    <w:p w:rsidRPr="00AE1B2B" w:rsidR="009D3FB5" w:rsidP="00163B94" w:rsidRDefault="009D3FB5" w14:paraId="2B6EA8D4" w14:textId="77777777">
      <w:pPr>
        <w:spacing w:before="120" w:after="120"/>
        <w:ind w:right="659"/>
        <w:jc w:val="center"/>
        <w:rPr>
          <w:rFonts w:ascii="Times New Roman" w:hAnsi="Times New Roman" w:cs="Times New Roman"/>
          <w:b/>
          <w:bCs/>
        </w:rPr>
      </w:pPr>
    </w:p>
    <w:tbl>
      <w:tblPr>
        <w:tblW w:w="5000" w:type="pct"/>
        <w:jc w:val="center"/>
        <w:tblCellMar>
          <w:left w:w="0" w:type="dxa"/>
          <w:right w:w="0" w:type="dxa"/>
        </w:tblCellMar>
        <w:tblLook w:val="0000" w:firstRow="0" w:lastRow="0" w:firstColumn="0" w:lastColumn="0" w:noHBand="0" w:noVBand="0"/>
      </w:tblPr>
      <w:tblGrid>
        <w:gridCol w:w="2577"/>
        <w:gridCol w:w="1248"/>
        <w:gridCol w:w="1170"/>
        <w:gridCol w:w="1435"/>
        <w:gridCol w:w="1487"/>
        <w:gridCol w:w="901"/>
      </w:tblGrid>
      <w:tr w:rsidRPr="00AE1B2B" w:rsidR="00AE1B2B" w:rsidTr="00825416" w14:paraId="6D89DCEB" w14:textId="77777777">
        <w:trPr>
          <w:trHeight w:val="33"/>
          <w:tblHeader/>
          <w:jc w:val="center"/>
        </w:trPr>
        <w:tc>
          <w:tcPr>
            <w:tcW w:w="1557" w:type="pct"/>
            <w:tcBorders>
              <w:top w:val="single" w:color="auto" w:sz="8" w:space="0"/>
              <w:left w:val="single" w:color="auto" w:sz="8" w:space="0"/>
              <w:bottom w:val="single" w:color="auto" w:sz="4" w:space="0"/>
              <w:right w:val="single" w:color="auto" w:sz="8" w:space="0"/>
            </w:tcBorders>
            <w:shd w:val="clear" w:color="auto" w:fill="E6E6E6"/>
            <w:tcMar>
              <w:top w:w="0" w:type="dxa"/>
              <w:left w:w="108" w:type="dxa"/>
              <w:bottom w:w="0" w:type="dxa"/>
              <w:right w:w="108" w:type="dxa"/>
            </w:tcMar>
            <w:vAlign w:val="center"/>
          </w:tcPr>
          <w:p w:rsidRPr="00AE1B2B" w:rsidR="009D3FB5" w:rsidP="00163B94" w:rsidRDefault="009D3FB5" w14:paraId="4F4F8D87" w14:textId="77777777">
            <w:pPr>
              <w:spacing w:before="120" w:after="120"/>
              <w:jc w:val="center"/>
              <w:rPr>
                <w:rFonts w:ascii="Times New Roman" w:hAnsi="Times New Roman" w:cs="Times New Roman"/>
                <w:bCs/>
                <w:iCs/>
              </w:rPr>
            </w:pPr>
            <w:r w:rsidRPr="00AE1B2B">
              <w:rPr>
                <w:rFonts w:ascii="Times New Roman" w:hAnsi="Times New Roman" w:cs="Times New Roman"/>
                <w:bCs/>
                <w:iCs/>
              </w:rPr>
              <w:t>Despacho</w:t>
            </w:r>
          </w:p>
        </w:tc>
        <w:tc>
          <w:tcPr>
            <w:tcW w:w="803" w:type="pct"/>
            <w:tcBorders>
              <w:top w:val="single" w:color="auto" w:sz="8" w:space="0"/>
              <w:left w:val="nil"/>
              <w:bottom w:val="single" w:color="auto" w:sz="4" w:space="0"/>
              <w:right w:val="single" w:color="auto" w:sz="8" w:space="0"/>
            </w:tcBorders>
            <w:shd w:val="clear" w:color="auto" w:fill="E6E6E6"/>
            <w:tcMar>
              <w:top w:w="0" w:type="dxa"/>
              <w:left w:w="108" w:type="dxa"/>
              <w:bottom w:w="0" w:type="dxa"/>
              <w:right w:w="108" w:type="dxa"/>
            </w:tcMar>
            <w:vAlign w:val="center"/>
          </w:tcPr>
          <w:p w:rsidRPr="00AE1B2B" w:rsidR="009D3FB5" w:rsidP="00163B94" w:rsidRDefault="009D3FB5" w14:paraId="39F55CF1" w14:textId="77777777">
            <w:pPr>
              <w:spacing w:before="120" w:after="120"/>
              <w:jc w:val="center"/>
              <w:rPr>
                <w:rFonts w:ascii="Times New Roman" w:hAnsi="Times New Roman" w:cs="Times New Roman"/>
                <w:bCs/>
                <w:iCs/>
              </w:rPr>
            </w:pPr>
            <w:r w:rsidRPr="00AE1B2B">
              <w:rPr>
                <w:rFonts w:ascii="Times New Roman" w:hAnsi="Times New Roman" w:cs="Times New Roman"/>
                <w:bCs/>
                <w:iCs/>
              </w:rPr>
              <w:t>Cantidad</w:t>
            </w:r>
          </w:p>
        </w:tc>
        <w:tc>
          <w:tcPr>
            <w:tcW w:w="574" w:type="pct"/>
            <w:tcBorders>
              <w:top w:val="single" w:color="auto" w:sz="8" w:space="0"/>
              <w:left w:val="nil"/>
              <w:bottom w:val="single" w:color="auto" w:sz="4" w:space="0"/>
              <w:right w:val="single" w:color="auto" w:sz="8" w:space="0"/>
            </w:tcBorders>
            <w:shd w:val="clear" w:color="auto" w:fill="E6E6E6"/>
            <w:tcMar>
              <w:top w:w="0" w:type="dxa"/>
              <w:left w:w="108" w:type="dxa"/>
              <w:bottom w:w="0" w:type="dxa"/>
              <w:right w:w="108" w:type="dxa"/>
            </w:tcMar>
            <w:vAlign w:val="center"/>
          </w:tcPr>
          <w:p w:rsidRPr="00AE1B2B" w:rsidR="009D3FB5" w:rsidP="00163B94" w:rsidRDefault="009D3FB5" w14:paraId="14FB6EC8" w14:textId="77777777">
            <w:pPr>
              <w:spacing w:before="120" w:after="120"/>
              <w:jc w:val="center"/>
              <w:rPr>
                <w:rFonts w:ascii="Times New Roman" w:hAnsi="Times New Roman" w:cs="Times New Roman"/>
                <w:bCs/>
                <w:iCs/>
              </w:rPr>
            </w:pPr>
            <w:r w:rsidRPr="00AE1B2B">
              <w:rPr>
                <w:rFonts w:ascii="Times New Roman" w:hAnsi="Times New Roman" w:cs="Times New Roman"/>
                <w:bCs/>
                <w:iCs/>
              </w:rPr>
              <w:t>Tipo de</w:t>
            </w:r>
          </w:p>
          <w:p w:rsidRPr="00AE1B2B" w:rsidR="009D3FB5" w:rsidP="00163B94" w:rsidRDefault="009D3FB5" w14:paraId="0CD5B159" w14:textId="77777777">
            <w:pPr>
              <w:spacing w:before="120" w:after="120"/>
              <w:jc w:val="center"/>
              <w:rPr>
                <w:rFonts w:ascii="Times New Roman" w:hAnsi="Times New Roman" w:cs="Times New Roman"/>
                <w:bCs/>
                <w:iCs/>
              </w:rPr>
            </w:pPr>
            <w:r w:rsidRPr="00AE1B2B">
              <w:rPr>
                <w:rFonts w:ascii="Times New Roman" w:hAnsi="Times New Roman" w:cs="Times New Roman"/>
                <w:bCs/>
                <w:iCs/>
              </w:rPr>
              <w:t>plaza</w:t>
            </w:r>
          </w:p>
        </w:tc>
        <w:tc>
          <w:tcPr>
            <w:tcW w:w="812" w:type="pct"/>
            <w:tcBorders>
              <w:top w:val="single" w:color="auto" w:sz="8" w:space="0"/>
              <w:left w:val="nil"/>
              <w:bottom w:val="single" w:color="auto" w:sz="4" w:space="0"/>
              <w:right w:val="single" w:color="auto" w:sz="8" w:space="0"/>
            </w:tcBorders>
            <w:shd w:val="clear" w:color="auto" w:fill="E6E6E6"/>
            <w:tcMar>
              <w:top w:w="0" w:type="dxa"/>
              <w:left w:w="108" w:type="dxa"/>
              <w:bottom w:w="0" w:type="dxa"/>
              <w:right w:w="108" w:type="dxa"/>
            </w:tcMar>
            <w:vAlign w:val="center"/>
          </w:tcPr>
          <w:p w:rsidRPr="00AE1B2B" w:rsidR="009D3FB5" w:rsidP="00163B94" w:rsidRDefault="009D3FB5" w14:paraId="7D0149C4" w14:textId="77777777">
            <w:pPr>
              <w:spacing w:before="120" w:after="120"/>
              <w:ind w:left="-52"/>
              <w:jc w:val="center"/>
              <w:rPr>
                <w:rFonts w:ascii="Times New Roman" w:hAnsi="Times New Roman" w:cs="Times New Roman"/>
                <w:bCs/>
                <w:iCs/>
              </w:rPr>
            </w:pPr>
            <w:r w:rsidRPr="00AE1B2B">
              <w:rPr>
                <w:rFonts w:ascii="Times New Roman" w:hAnsi="Times New Roman" w:cs="Times New Roman"/>
                <w:bCs/>
                <w:iCs/>
              </w:rPr>
              <w:t>Condición</w:t>
            </w:r>
          </w:p>
          <w:p w:rsidRPr="00AE1B2B" w:rsidR="009D3FB5" w:rsidP="00163B94" w:rsidRDefault="009D3FB5" w14:paraId="3577EB60" w14:textId="77777777">
            <w:pPr>
              <w:spacing w:before="120" w:after="120"/>
              <w:ind w:left="-52"/>
              <w:jc w:val="center"/>
              <w:rPr>
                <w:rFonts w:ascii="Times New Roman" w:hAnsi="Times New Roman" w:cs="Times New Roman"/>
                <w:bCs/>
                <w:iCs/>
              </w:rPr>
            </w:pPr>
            <w:r w:rsidRPr="00AE1B2B">
              <w:rPr>
                <w:rFonts w:ascii="Times New Roman" w:hAnsi="Times New Roman" w:cs="Times New Roman"/>
                <w:bCs/>
                <w:iCs/>
              </w:rPr>
              <w:t>actual</w:t>
            </w:r>
          </w:p>
        </w:tc>
        <w:tc>
          <w:tcPr>
            <w:tcW w:w="781" w:type="pct"/>
            <w:tcBorders>
              <w:top w:val="single" w:color="auto" w:sz="8" w:space="0"/>
              <w:left w:val="nil"/>
              <w:bottom w:val="single" w:color="auto" w:sz="4" w:space="0"/>
              <w:right w:val="single" w:color="auto" w:sz="8" w:space="0"/>
            </w:tcBorders>
            <w:shd w:val="clear" w:color="auto" w:fill="E6E6E6"/>
            <w:tcMar>
              <w:top w:w="0" w:type="dxa"/>
              <w:left w:w="108" w:type="dxa"/>
              <w:bottom w:w="0" w:type="dxa"/>
              <w:right w:w="108" w:type="dxa"/>
            </w:tcMar>
            <w:vAlign w:val="center"/>
          </w:tcPr>
          <w:p w:rsidRPr="00AE1B2B" w:rsidR="009D3FB5" w:rsidP="00163B94" w:rsidRDefault="009D3FB5" w14:paraId="548D8F6D" w14:textId="77777777">
            <w:pPr>
              <w:spacing w:before="120" w:after="120"/>
              <w:jc w:val="center"/>
              <w:rPr>
                <w:rFonts w:ascii="Times New Roman" w:hAnsi="Times New Roman" w:cs="Times New Roman"/>
                <w:bCs/>
                <w:iCs/>
              </w:rPr>
            </w:pPr>
            <w:r w:rsidRPr="00AE1B2B">
              <w:rPr>
                <w:rFonts w:ascii="Times New Roman" w:hAnsi="Times New Roman" w:cs="Times New Roman"/>
                <w:bCs/>
                <w:iCs/>
              </w:rPr>
              <w:t>Recomen-</w:t>
            </w:r>
          </w:p>
          <w:p w:rsidRPr="00AE1B2B" w:rsidR="009D3FB5" w:rsidP="00163B94" w:rsidRDefault="009D3FB5" w14:paraId="55C4225C" w14:textId="77777777">
            <w:pPr>
              <w:spacing w:before="120" w:after="120"/>
              <w:jc w:val="center"/>
              <w:rPr>
                <w:rFonts w:ascii="Times New Roman" w:hAnsi="Times New Roman" w:cs="Times New Roman"/>
                <w:bCs/>
                <w:iCs/>
              </w:rPr>
            </w:pPr>
            <w:r w:rsidRPr="00AE1B2B">
              <w:rPr>
                <w:rFonts w:ascii="Times New Roman" w:hAnsi="Times New Roman" w:cs="Times New Roman"/>
                <w:bCs/>
                <w:iCs/>
              </w:rPr>
              <w:t>dación</w:t>
            </w:r>
          </w:p>
        </w:tc>
        <w:tc>
          <w:tcPr>
            <w:tcW w:w="473" w:type="pct"/>
            <w:tcBorders>
              <w:top w:val="single" w:color="auto" w:sz="8" w:space="0"/>
              <w:left w:val="nil"/>
              <w:bottom w:val="single" w:color="auto" w:sz="4" w:space="0"/>
              <w:right w:val="single" w:color="auto" w:sz="8" w:space="0"/>
            </w:tcBorders>
            <w:shd w:val="clear" w:color="auto" w:fill="E6E6E6"/>
            <w:tcMar>
              <w:top w:w="0" w:type="dxa"/>
              <w:left w:w="108" w:type="dxa"/>
              <w:bottom w:w="0" w:type="dxa"/>
              <w:right w:w="108" w:type="dxa"/>
            </w:tcMar>
            <w:vAlign w:val="center"/>
          </w:tcPr>
          <w:p w:rsidRPr="00AE1B2B" w:rsidR="009D3FB5" w:rsidP="00163B94" w:rsidRDefault="009D3FB5" w14:paraId="6067147D" w14:textId="77777777">
            <w:pPr>
              <w:spacing w:before="120" w:after="120"/>
              <w:jc w:val="center"/>
              <w:rPr>
                <w:rFonts w:ascii="Times New Roman" w:hAnsi="Times New Roman" w:cs="Times New Roman"/>
                <w:bCs/>
                <w:iCs/>
              </w:rPr>
            </w:pPr>
            <w:r w:rsidRPr="00AE1B2B">
              <w:rPr>
                <w:rFonts w:ascii="Times New Roman" w:hAnsi="Times New Roman" w:cs="Times New Roman"/>
                <w:bCs/>
                <w:iCs/>
              </w:rPr>
              <w:t>Período</w:t>
            </w:r>
          </w:p>
        </w:tc>
      </w:tr>
      <w:tr w:rsidRPr="00AE1B2B" w:rsidR="00AE1B2B" w:rsidTr="00825416" w14:paraId="66B01BCB" w14:textId="77777777">
        <w:trPr>
          <w:trHeight w:val="299"/>
          <w:jc w:val="center"/>
        </w:trPr>
        <w:tc>
          <w:tcPr>
            <w:tcW w:w="1557" w:type="pct"/>
            <w:tcBorders>
              <w:top w:val="single" w:color="auto" w:sz="4" w:space="0"/>
              <w:left w:val="single" w:color="auto" w:sz="4" w:space="0"/>
              <w:bottom w:val="single" w:color="auto" w:sz="4" w:space="0"/>
              <w:right w:val="single" w:color="auto" w:sz="4" w:space="0"/>
            </w:tcBorders>
            <w:shd w:val="clear" w:color="auto" w:fill="FFFFFF"/>
            <w:tcMar>
              <w:top w:w="0" w:type="dxa"/>
              <w:left w:w="108" w:type="dxa"/>
              <w:bottom w:w="0" w:type="dxa"/>
              <w:right w:w="108" w:type="dxa"/>
            </w:tcMar>
            <w:vAlign w:val="center"/>
          </w:tcPr>
          <w:p w:rsidRPr="00AE1B2B" w:rsidR="009D3FB5" w:rsidP="00163B94" w:rsidRDefault="009D3FB5" w14:paraId="5CED1795" w14:textId="77777777">
            <w:pPr>
              <w:spacing w:before="120" w:after="120"/>
              <w:jc w:val="both"/>
              <w:rPr>
                <w:rFonts w:ascii="Times New Roman" w:hAnsi="Times New Roman" w:cs="Times New Roman"/>
                <w:bCs/>
                <w:iCs/>
              </w:rPr>
            </w:pPr>
            <w:r w:rsidRPr="00AE1B2B">
              <w:rPr>
                <w:rFonts w:ascii="Times New Roman" w:hAnsi="Times New Roman" w:cs="Times New Roman"/>
                <w:bCs/>
                <w:iCs/>
              </w:rPr>
              <w:t>Defensa Pública Unidad de Modernización Institucional</w:t>
            </w:r>
          </w:p>
        </w:tc>
        <w:tc>
          <w:tcPr>
            <w:tcW w:w="803"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rsidRPr="00AE1B2B" w:rsidR="009D3FB5" w:rsidP="00163B94" w:rsidRDefault="009D3FB5" w14:paraId="0EAEA4D8" w14:textId="77777777">
            <w:pPr>
              <w:spacing w:before="120" w:after="120"/>
              <w:jc w:val="center"/>
              <w:rPr>
                <w:rFonts w:ascii="Times New Roman" w:hAnsi="Times New Roman" w:cs="Times New Roman"/>
                <w:bCs/>
                <w:iCs/>
              </w:rPr>
            </w:pPr>
            <w:r w:rsidRPr="00AE1B2B">
              <w:rPr>
                <w:rFonts w:ascii="Times New Roman" w:hAnsi="Times New Roman" w:cs="Times New Roman"/>
                <w:bCs/>
                <w:iCs/>
              </w:rPr>
              <w:t>1</w:t>
            </w:r>
          </w:p>
        </w:tc>
        <w:tc>
          <w:tcPr>
            <w:tcW w:w="574"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rsidRPr="00AE1B2B" w:rsidR="009D3FB5" w:rsidP="00163B94" w:rsidRDefault="009D3FB5" w14:paraId="5CF6B3A8" w14:textId="77777777">
            <w:pPr>
              <w:spacing w:before="120" w:after="120"/>
              <w:jc w:val="both"/>
              <w:rPr>
                <w:rFonts w:ascii="Times New Roman" w:hAnsi="Times New Roman" w:cs="Times New Roman"/>
                <w:bCs/>
                <w:iCs/>
              </w:rPr>
            </w:pPr>
            <w:r w:rsidRPr="00AE1B2B">
              <w:rPr>
                <w:rFonts w:ascii="Times New Roman" w:hAnsi="Times New Roman" w:cs="Times New Roman"/>
                <w:bCs/>
                <w:iCs/>
              </w:rPr>
              <w:t>Defensor Supervisor</w:t>
            </w:r>
          </w:p>
        </w:tc>
        <w:tc>
          <w:tcPr>
            <w:tcW w:w="812"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rsidRPr="00AE1B2B" w:rsidR="009D3FB5" w:rsidP="00163B94" w:rsidRDefault="009D3FB5" w14:paraId="7F570EEA" w14:textId="77777777">
            <w:pPr>
              <w:spacing w:before="120" w:after="120"/>
              <w:ind w:left="-52"/>
              <w:jc w:val="both"/>
              <w:rPr>
                <w:rFonts w:ascii="Times New Roman" w:hAnsi="Times New Roman" w:cs="Times New Roman"/>
                <w:bCs/>
                <w:iCs/>
              </w:rPr>
            </w:pPr>
            <w:r w:rsidRPr="00AE1B2B">
              <w:rPr>
                <w:rFonts w:ascii="Times New Roman" w:hAnsi="Times New Roman" w:cs="Times New Roman"/>
                <w:bCs/>
                <w:iCs/>
              </w:rPr>
              <w:t>Extraordinaria</w:t>
            </w:r>
          </w:p>
        </w:tc>
        <w:tc>
          <w:tcPr>
            <w:tcW w:w="781"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rsidRPr="00AE1B2B" w:rsidR="009D3FB5" w:rsidP="00163B94" w:rsidRDefault="009D3FB5" w14:paraId="49E433DF" w14:textId="77777777">
            <w:pPr>
              <w:spacing w:before="120" w:after="120"/>
              <w:jc w:val="both"/>
              <w:rPr>
                <w:rFonts w:ascii="Times New Roman" w:hAnsi="Times New Roman" w:cs="Times New Roman"/>
                <w:bCs/>
                <w:iCs/>
              </w:rPr>
            </w:pPr>
            <w:r w:rsidRPr="00AE1B2B">
              <w:rPr>
                <w:rFonts w:ascii="Times New Roman" w:hAnsi="Times New Roman" w:cs="Times New Roman"/>
                <w:bCs/>
                <w:iCs/>
              </w:rPr>
              <w:t>Extraordinaria</w:t>
            </w:r>
          </w:p>
        </w:tc>
        <w:tc>
          <w:tcPr>
            <w:tcW w:w="473"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rsidRPr="00AE1B2B" w:rsidR="009D3FB5" w:rsidP="00163B94" w:rsidRDefault="009D3FB5" w14:paraId="52A6DE6F" w14:textId="77777777">
            <w:pPr>
              <w:spacing w:before="120" w:after="120"/>
              <w:jc w:val="center"/>
              <w:rPr>
                <w:rFonts w:ascii="Times New Roman" w:hAnsi="Times New Roman" w:cs="Times New Roman"/>
                <w:bCs/>
                <w:iCs/>
              </w:rPr>
            </w:pPr>
            <w:r w:rsidRPr="00AE1B2B">
              <w:rPr>
                <w:rFonts w:ascii="Times New Roman" w:hAnsi="Times New Roman" w:cs="Times New Roman"/>
                <w:bCs/>
                <w:iCs/>
              </w:rPr>
              <w:t>2021</w:t>
            </w:r>
          </w:p>
        </w:tc>
      </w:tr>
    </w:tbl>
    <w:p w:rsidRPr="00AE1B2B" w:rsidR="009D3FB5" w:rsidP="00163B94" w:rsidRDefault="009D3FB5" w14:paraId="0D2721ED" w14:textId="77777777">
      <w:pPr>
        <w:spacing w:before="120" w:after="120"/>
        <w:ind w:right="659"/>
        <w:jc w:val="center"/>
        <w:rPr>
          <w:rFonts w:ascii="Times New Roman" w:hAnsi="Times New Roman" w:cs="Times New Roman"/>
          <w:b/>
          <w:bCs/>
        </w:rPr>
      </w:pPr>
    </w:p>
    <w:p w:rsidRPr="00AE1B2B" w:rsidR="009D3FB5" w:rsidP="00163B94" w:rsidRDefault="009D3FB5" w14:paraId="314D3925" w14:textId="77777777">
      <w:pPr>
        <w:spacing w:before="120" w:after="120"/>
        <w:ind w:left="851" w:right="851" w:firstLine="709"/>
        <w:rPr>
          <w:rFonts w:ascii="Times New Roman" w:hAnsi="Times New Roman" w:cs="Times New Roman"/>
          <w:b/>
          <w:bCs/>
          <w:sz w:val="26"/>
          <w:szCs w:val="26"/>
        </w:rPr>
      </w:pPr>
      <w:r w:rsidRPr="00AE1B2B">
        <w:rPr>
          <w:rFonts w:ascii="Times New Roman" w:hAnsi="Times New Roman" w:cs="Times New Roman"/>
          <w:b/>
          <w:sz w:val="26"/>
          <w:szCs w:val="26"/>
        </w:rPr>
        <w:t>II. Justificación de la Situación o Necesidad Planteada</w:t>
      </w:r>
    </w:p>
    <w:p w:rsidRPr="00AE1B2B" w:rsidR="009D3FB5" w:rsidP="00163B94" w:rsidRDefault="009D3FB5" w14:paraId="7A96152F" w14:textId="77777777">
      <w:pPr>
        <w:autoSpaceDE w:val="0"/>
        <w:autoSpaceDN w:val="0"/>
        <w:adjustRightInd w:val="0"/>
        <w:spacing w:before="120" w:after="120"/>
        <w:ind w:left="851" w:right="851" w:firstLine="709"/>
        <w:jc w:val="both"/>
        <w:rPr>
          <w:rFonts w:ascii="Times New Roman" w:hAnsi="Times New Roman" w:cs="Times New Roman"/>
          <w:sz w:val="26"/>
          <w:szCs w:val="26"/>
        </w:rPr>
      </w:pPr>
    </w:p>
    <w:p w:rsidRPr="00AE1B2B" w:rsidR="009D3FB5" w:rsidP="00163B94" w:rsidRDefault="009D3FB5" w14:paraId="6AB7969F"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Este informe considera el análisis de una plaza de Defensora Pública Supervisora o Defensor Público Supervisor otorgada en condición extraordinaria para el periodo 2021 según el informe de presupuesto 497-PLA-RH-OI-2020.</w:t>
      </w:r>
    </w:p>
    <w:p w:rsidRPr="00AE1B2B" w:rsidR="009D3FB5" w:rsidP="00163B94" w:rsidRDefault="009D3FB5" w14:paraId="201A36FE"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28BC70F6"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El informe 497-PLA-RH-OI-2020 relacionado con la continuidad a los avances del Sistema de Seguimiento de Casos, Implantación y Seguimiento al Proyecto de Mejora Integral del Proceso Penal aprobado en la sesión de Presupuesto del Consejo Superior 38-20 del 17 de marzo del 2020, artículo XX, dotó a la Defensa Pública de una plaza de Defensora Pública Supervisora o Defensor Público Supervisor durante el 2021 en forma extraordinaria. </w:t>
      </w:r>
    </w:p>
    <w:p w:rsidRPr="00AE1B2B" w:rsidR="009D3FB5" w:rsidP="00163B94" w:rsidRDefault="009D3FB5" w14:paraId="60465A2B"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05FE046F"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El requerimiento nació para coadyuvar con la labor de implantación de las herramientas tecnológicas como el Sistema de Seguimiento de Casos y cumplir los objetivos del Proyecto de Mejora Integral del Proceso Penal cuya finalidad es el rediseño de procesos en materia penal para oficinas del Ministerio Público, Defensa Pública, Organismo de Investigación Judicial y los despachos que conocen de materia penal del Ámbito Jurisdiccional.</w:t>
      </w:r>
    </w:p>
    <w:p w:rsidRPr="00AE1B2B" w:rsidR="009D3FB5" w:rsidP="00163B94" w:rsidRDefault="009D3FB5" w14:paraId="7CFCBD82"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06FF245C"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Según el informe citado, la plaza de Defensora Supervisora o Supervisor Defensor Público se destacó de manera exclusiva en </w:t>
      </w:r>
      <w:r w:rsidRPr="00AE1B2B">
        <w:rPr>
          <w:rFonts w:ascii="Times New Roman" w:hAnsi="Times New Roman" w:cs="Times New Roman"/>
          <w:sz w:val="26"/>
          <w:szCs w:val="26"/>
          <w:lang w:val="es-ES" w:eastAsia="zh-CN"/>
        </w:rPr>
        <w:lastRenderedPageBreak/>
        <w:t>labores de implantación de los sistemas informáticos como el de Seguimiento de Casos, así como su correcto uso en las diferentes oficinas que conforman la Defensa; no obstante, se le solicito tener participación en las actividades asociadas al Proyecto de Mejora Integral del Proceso Penal, de acuerdo con lo establecido en el oficio 1507-PLA-MI-2018 Modelo de Tramitación de la Defensa Pública, elaborado por la Dirección de Planificación y aprobado por el Consejo Superior en sesión 5-19 del 23 de enero de 2019, artículo XXIII. La solicitud se realizó para proporcionar un contrapeso técnico y de asesoramiento a las plazas de profesional 2 que realizan el abordaje en las diferentes oficinas de la Defensa Pública, tal y como se trabaja con los recursos extraordinarios destinados para la atención del Ministerio Público, de esta forma se puede tener un contrapeso de los diferentes análisis administrativos e ingenieriles que se efectúan desde la Dirección de Planificación para tener la posición técnica de la Defensa Pública.</w:t>
      </w:r>
    </w:p>
    <w:p w:rsidRPr="00AE1B2B" w:rsidR="009D3FB5" w:rsidP="00163B94" w:rsidRDefault="009D3FB5" w14:paraId="052281EA"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17DEB318" w14:textId="77777777">
      <w:pPr>
        <w:pStyle w:val="NormalWeb"/>
        <w:spacing w:before="120" w:after="120"/>
        <w:ind w:left="851" w:right="851" w:firstLine="709"/>
        <w:jc w:val="both"/>
        <w:rPr>
          <w:rFonts w:ascii="Times New Roman" w:hAnsi="Times New Roman" w:cs="Times New Roman"/>
          <w:color w:val="auto"/>
          <w:sz w:val="26"/>
          <w:szCs w:val="26"/>
        </w:rPr>
      </w:pPr>
      <w:r w:rsidRPr="00AE1B2B">
        <w:rPr>
          <w:rFonts w:ascii="Times New Roman" w:hAnsi="Times New Roman" w:cs="Times New Roman"/>
          <w:color w:val="auto"/>
          <w:sz w:val="26"/>
          <w:szCs w:val="26"/>
          <w:lang w:eastAsia="zh-CN"/>
        </w:rPr>
        <w:t>La citada plaza se ubicó en la Unidad de Modernización de la Defensa Pública, y a partir de la experiencia de la aplicación del modelo penal en las diferentes oficinas de la Defensa Pública surge la necesidad de hacer un análisis de las funciones que la plaza realizó y tiene proyectado realizar, y de esta manera determinar, si es necesario o no prorrogar la continuidad de la plaza para el periodo 2022 o incluso valorar su permanencia en forma ordinaria</w:t>
      </w:r>
      <w:r w:rsidRPr="00AE1B2B">
        <w:rPr>
          <w:rFonts w:ascii="Times New Roman" w:hAnsi="Times New Roman" w:cs="Times New Roman"/>
          <w:color w:val="auto"/>
          <w:sz w:val="26"/>
          <w:szCs w:val="26"/>
        </w:rPr>
        <w:t xml:space="preserve">. </w:t>
      </w:r>
    </w:p>
    <w:p w:rsidRPr="00AE1B2B" w:rsidR="009D3FB5" w:rsidP="00163B94" w:rsidRDefault="009D3FB5" w14:paraId="55896553"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1301178B" w14:textId="77777777">
      <w:pPr>
        <w:spacing w:before="120" w:after="120"/>
        <w:ind w:left="851" w:right="851" w:firstLine="709"/>
        <w:rPr>
          <w:rFonts w:ascii="Times New Roman" w:hAnsi="Times New Roman" w:cs="Times New Roman"/>
          <w:b/>
          <w:sz w:val="26"/>
          <w:szCs w:val="26"/>
        </w:rPr>
      </w:pPr>
      <w:r w:rsidRPr="00AE1B2B">
        <w:rPr>
          <w:rFonts w:ascii="Times New Roman" w:hAnsi="Times New Roman" w:cs="Times New Roman"/>
          <w:b/>
          <w:sz w:val="26"/>
          <w:szCs w:val="26"/>
        </w:rPr>
        <w:t>III. Información Relevante</w:t>
      </w:r>
    </w:p>
    <w:p w:rsidRPr="00AE1B2B" w:rsidR="009D3FB5" w:rsidP="00163B94" w:rsidRDefault="009D3FB5" w14:paraId="2BF0E2AC" w14:textId="77777777">
      <w:pPr>
        <w:spacing w:before="120" w:after="120"/>
        <w:ind w:left="851" w:right="851" w:firstLine="709"/>
        <w:rPr>
          <w:rFonts w:ascii="Times New Roman" w:hAnsi="Times New Roman" w:cs="Times New Roman"/>
          <w:b/>
          <w:sz w:val="26"/>
          <w:szCs w:val="26"/>
        </w:rPr>
      </w:pPr>
    </w:p>
    <w:p w:rsidRPr="00AE1B2B" w:rsidR="009D3FB5" w:rsidP="00163B94" w:rsidRDefault="009D3FB5" w14:paraId="5334BCA5"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3.1 Antecedentes</w:t>
      </w:r>
    </w:p>
    <w:p w:rsidRPr="00AE1B2B" w:rsidR="009D3FB5" w:rsidP="00163B94" w:rsidRDefault="009D3FB5" w14:paraId="2935EFD1" w14:textId="77777777">
      <w:pPr>
        <w:spacing w:before="120" w:after="120"/>
        <w:ind w:left="851" w:right="851" w:firstLine="709"/>
        <w:jc w:val="both"/>
        <w:rPr>
          <w:rFonts w:ascii="Times New Roman" w:hAnsi="Times New Roman" w:cs="Times New Roman"/>
          <w:b/>
          <w:sz w:val="26"/>
          <w:szCs w:val="26"/>
        </w:rPr>
      </w:pPr>
    </w:p>
    <w:p w:rsidRPr="00AE1B2B" w:rsidR="009D3FB5" w:rsidP="00163B94" w:rsidRDefault="009D3FB5" w14:paraId="153DF1A8"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3.1.1 Plaza Extraordinaria en la Defensa Pública</w:t>
      </w:r>
    </w:p>
    <w:p w:rsidRPr="00AE1B2B" w:rsidR="009D3FB5" w:rsidP="00163B94" w:rsidRDefault="009D3FB5" w14:paraId="046C6D83" w14:textId="77777777">
      <w:pPr>
        <w:pStyle w:val="Prrafodelista"/>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9D3FB5" w14:paraId="4EB1E5E6" w14:textId="77777777">
      <w:pPr>
        <w:pStyle w:val="NormalWeb"/>
        <w:spacing w:before="120" w:after="120"/>
        <w:ind w:left="851" w:right="851" w:firstLine="709"/>
        <w:jc w:val="both"/>
        <w:rPr>
          <w:rFonts w:ascii="Times New Roman" w:hAnsi="Times New Roman" w:cs="Times New Roman"/>
          <w:color w:val="auto"/>
          <w:sz w:val="26"/>
          <w:szCs w:val="26"/>
          <w:lang w:eastAsia="zh-CN"/>
        </w:rPr>
      </w:pPr>
      <w:r w:rsidRPr="00AE1B2B">
        <w:rPr>
          <w:rFonts w:ascii="Times New Roman" w:hAnsi="Times New Roman" w:cs="Times New Roman"/>
          <w:color w:val="auto"/>
          <w:sz w:val="26"/>
          <w:szCs w:val="26"/>
          <w:lang w:eastAsia="zh-CN"/>
        </w:rPr>
        <w:t xml:space="preserve">En el informe </w:t>
      </w:r>
      <w:bookmarkStart w:name="_Hlk62724238" w:id="20"/>
      <w:r w:rsidRPr="00AE1B2B">
        <w:rPr>
          <w:rFonts w:ascii="Times New Roman" w:hAnsi="Times New Roman" w:cs="Times New Roman"/>
          <w:color w:val="auto"/>
          <w:sz w:val="26"/>
          <w:szCs w:val="26"/>
          <w:lang w:eastAsia="zh-CN"/>
        </w:rPr>
        <w:t xml:space="preserve">497-PLA-RH-OI-2020 </w:t>
      </w:r>
      <w:bookmarkEnd w:id="20"/>
      <w:r w:rsidRPr="00AE1B2B">
        <w:rPr>
          <w:rFonts w:ascii="Times New Roman" w:hAnsi="Times New Roman" w:cs="Times New Roman"/>
          <w:color w:val="auto"/>
          <w:sz w:val="26"/>
          <w:szCs w:val="26"/>
          <w:lang w:eastAsia="zh-CN"/>
        </w:rPr>
        <w:t xml:space="preserve">de la Dirección de Planificación se recomendó dar continuidad a un recurso de Defensora Pública Supervisora o Defensor Público Supervisor en forma extraordinaria para el periodo 2021, con la finalidad de implementar y darle seguimiento al Sistema de Seguimiento de Casos, el nuevo Sistema Integrado de Apoyo a la Gestión del Poder Judicial (SIAGPJ) y al </w:t>
      </w:r>
      <w:bookmarkStart w:name="_Hlk63345125" w:id="21"/>
      <w:r w:rsidRPr="00AE1B2B">
        <w:rPr>
          <w:rFonts w:ascii="Times New Roman" w:hAnsi="Times New Roman" w:cs="Times New Roman"/>
          <w:color w:val="auto"/>
          <w:sz w:val="26"/>
          <w:szCs w:val="26"/>
          <w:lang w:eastAsia="zh-CN"/>
        </w:rPr>
        <w:t>Proyecto de Mejora Integral del Proceso Penal</w:t>
      </w:r>
      <w:bookmarkEnd w:id="21"/>
      <w:r w:rsidRPr="00AE1B2B">
        <w:rPr>
          <w:rFonts w:ascii="Times New Roman" w:hAnsi="Times New Roman" w:cs="Times New Roman"/>
          <w:color w:val="auto"/>
          <w:sz w:val="26"/>
          <w:szCs w:val="26"/>
          <w:lang w:eastAsia="zh-CN"/>
        </w:rPr>
        <w:t xml:space="preserve"> en la Defensa Pública. Dicho informe fue aprobado por el Consejo </w:t>
      </w:r>
      <w:r w:rsidRPr="00AE1B2B">
        <w:rPr>
          <w:rFonts w:ascii="Times New Roman" w:hAnsi="Times New Roman" w:cs="Times New Roman"/>
          <w:color w:val="auto"/>
          <w:sz w:val="26"/>
          <w:szCs w:val="26"/>
          <w:lang w:eastAsia="zh-CN"/>
        </w:rPr>
        <w:lastRenderedPageBreak/>
        <w:t xml:space="preserve">Superior en sesión de Presupuesto 38-20 del 17 de marzo del 2020, artículo XX. </w:t>
      </w:r>
    </w:p>
    <w:p w:rsidRPr="00AE1B2B" w:rsidR="009D3FB5" w:rsidP="00163B94" w:rsidRDefault="009D3FB5" w14:paraId="19CD81F2" w14:textId="77777777">
      <w:pPr>
        <w:pStyle w:val="NormalWeb"/>
        <w:spacing w:before="120" w:after="120"/>
        <w:ind w:left="851" w:right="851" w:firstLine="709"/>
        <w:jc w:val="both"/>
        <w:rPr>
          <w:rFonts w:ascii="Times New Roman" w:hAnsi="Times New Roman" w:cs="Times New Roman"/>
          <w:color w:val="auto"/>
          <w:sz w:val="26"/>
          <w:szCs w:val="26"/>
          <w:lang w:eastAsia="zh-CN"/>
        </w:rPr>
      </w:pPr>
    </w:p>
    <w:p w:rsidRPr="00AE1B2B" w:rsidR="009D3FB5" w:rsidP="00163B94" w:rsidRDefault="009D3FB5" w14:paraId="7BFEEF23" w14:textId="77777777">
      <w:pPr>
        <w:spacing w:before="120" w:after="120"/>
        <w:ind w:left="851" w:right="851" w:firstLine="709"/>
        <w:jc w:val="both"/>
        <w:rPr>
          <w:rFonts w:ascii="Times New Roman" w:hAnsi="Times New Roman" w:cs="Times New Roman"/>
          <w:sz w:val="26"/>
          <w:szCs w:val="26"/>
          <w:lang w:val="es-ES" w:eastAsia="zh-CN"/>
        </w:rPr>
      </w:pPr>
      <w:bookmarkStart w:name="_Hlk62564378" w:id="22"/>
      <w:r w:rsidRPr="00AE1B2B">
        <w:rPr>
          <w:rFonts w:ascii="Times New Roman" w:hAnsi="Times New Roman" w:cs="Times New Roman"/>
          <w:sz w:val="26"/>
          <w:szCs w:val="26"/>
          <w:lang w:val="es-ES" w:eastAsia="zh-CN"/>
        </w:rPr>
        <w:t xml:space="preserve">Con anterioridad al informe mencionado, mediante el 676-PLA-RH-EV-2019 se recomendó darle continuidad al mismo recurso por el período 2020, el cual fue aprobado por el Consejo Superior en sesión de presupuesto 44-19 del 16 de mayo de 2019, artículo XIII, con la misma finalidad. </w:t>
      </w:r>
      <w:bookmarkEnd w:id="22"/>
    </w:p>
    <w:p w:rsidRPr="00AE1B2B" w:rsidR="009D3FB5" w:rsidP="00163B94" w:rsidRDefault="009D3FB5" w14:paraId="7E2903D4"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0684CE6F"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3.1.2 Permisos con goce de salario y sustitución (plazas bajo el artículo 44) destacadas en otros proyectos relacionados</w:t>
      </w:r>
    </w:p>
    <w:p w:rsidRPr="00AE1B2B" w:rsidR="009D3FB5" w:rsidP="00163B94" w:rsidRDefault="009D3FB5" w14:paraId="2FF039E3"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2DE990D5" w14:textId="77777777">
      <w:pPr>
        <w:spacing w:before="120" w:after="120"/>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Proyecto Sistema de Seguimiento de Casos </w:t>
      </w:r>
    </w:p>
    <w:p w:rsidRPr="00AE1B2B" w:rsidR="009D3FB5" w:rsidP="00163B94" w:rsidRDefault="009D3FB5" w14:paraId="74660D46" w14:textId="77777777">
      <w:pPr>
        <w:spacing w:before="120" w:after="120"/>
        <w:ind w:left="851" w:right="851" w:firstLine="709"/>
        <w:rPr>
          <w:rFonts w:ascii="Times New Roman" w:hAnsi="Times New Roman" w:cs="Times New Roman"/>
          <w:sz w:val="26"/>
          <w:szCs w:val="26"/>
        </w:rPr>
      </w:pPr>
    </w:p>
    <w:p w:rsidRPr="00AE1B2B" w:rsidR="009D3FB5" w:rsidP="00163B94" w:rsidRDefault="009D3FB5" w14:paraId="0A1824BA" w14:textId="0A7D4204">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El Consejo Superior, en la sesión 110-18, artículo I, celebrada el 19 de diciembre de 2018, aprobó un recurso de Asistente Administrativo 1 bajo un permiso con goce de salario y sustitución para destacarse en la </w:t>
      </w:r>
      <w:r w:rsidRPr="00AE1B2B">
        <w:rPr>
          <w:rFonts w:ascii="Times New Roman" w:hAnsi="Times New Roman" w:cs="Times New Roman"/>
          <w:i/>
          <w:iCs/>
          <w:sz w:val="26"/>
          <w:szCs w:val="26"/>
          <w:lang w:val="es-ES" w:eastAsia="zh-CN"/>
        </w:rPr>
        <w:t>“Implantación del Sistema de Seguimiento de Casos y Desarrollo del Nuevo Sistema Integral de Gestión".</w:t>
      </w:r>
      <w:r w:rsidRPr="00AE1B2B">
        <w:rPr>
          <w:rFonts w:ascii="Times New Roman" w:hAnsi="Times New Roman" w:cs="Times New Roman"/>
          <w:sz w:val="26"/>
          <w:szCs w:val="26"/>
          <w:lang w:val="es-ES" w:eastAsia="zh-CN"/>
        </w:rPr>
        <w:t xml:space="preserve"> Este permiso fue aprobado inicialmente del 7 de enero de 2019 al 31 de marzo de 2019. A partir de allí se extendieron sus prorrogas durante los periodos 2019 y 2020 conforme los avances presentados bajo la Metodología Institucional de Administración de Proyectos y el contenido presupuestario.</w:t>
      </w:r>
      <w:r w:rsidRPr="00AE1B2B" w:rsidR="00BB7720">
        <w:rPr>
          <w:rFonts w:ascii="Times New Roman" w:hAnsi="Times New Roman" w:cs="Times New Roman"/>
          <w:sz w:val="26"/>
          <w:szCs w:val="26"/>
          <w:lang w:val="es-ES" w:eastAsia="zh-CN"/>
        </w:rPr>
        <w:t xml:space="preserve"> </w:t>
      </w:r>
      <w:r w:rsidRPr="00AE1B2B">
        <w:rPr>
          <w:rFonts w:ascii="Times New Roman" w:hAnsi="Times New Roman" w:cs="Times New Roman"/>
          <w:sz w:val="26"/>
          <w:szCs w:val="26"/>
          <w:lang w:val="es-ES" w:eastAsia="zh-CN"/>
        </w:rPr>
        <w:t>Posteriormente, mediante el informe 2013-PLA-PP-PE-2020 se presentó la solicitud de su prórroga para el primer trimestre del 2021. Así, el Consejo Superior en la sesión 120-2020 celebrada el 17 de diciembre del 2020, artículo XCI concedió el permiso con goce de salario y sustitución para la plaza de Asistente Administrativo 1, a partir del 04 de enero y hasta el 31 de marzo de 2021, para la continuidad del proyecto.</w:t>
      </w:r>
    </w:p>
    <w:p w:rsidRPr="00AE1B2B" w:rsidR="009D3FB5" w:rsidP="00163B94" w:rsidRDefault="009D3FB5" w14:paraId="5B45B56E" w14:textId="77777777">
      <w:pPr>
        <w:spacing w:before="120" w:after="120"/>
        <w:ind w:left="851" w:right="851" w:firstLine="709"/>
        <w:rPr>
          <w:rFonts w:ascii="Times New Roman" w:hAnsi="Times New Roman" w:cs="Times New Roman"/>
          <w:sz w:val="26"/>
          <w:szCs w:val="26"/>
          <w:lang w:val="es-ES" w:eastAsia="zh-CN"/>
        </w:rPr>
      </w:pPr>
    </w:p>
    <w:p w:rsidRPr="00AE1B2B" w:rsidR="009D3FB5" w:rsidP="00163B94" w:rsidRDefault="009D3FB5" w14:paraId="1C4E303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continuación, se detallan las distintas prórrogas para la citada plaza durante los periodos 2019 y 2020.</w:t>
      </w:r>
    </w:p>
    <w:p w:rsidRPr="00AE1B2B" w:rsidR="009D3FB5" w:rsidP="00163B94" w:rsidRDefault="009D3FB5" w14:paraId="7E9BFC4D" w14:textId="77777777">
      <w:pPr>
        <w:spacing w:before="120" w:after="120"/>
        <w:ind w:left="851" w:right="851" w:firstLine="709"/>
        <w:rPr>
          <w:rFonts w:ascii="Times New Roman" w:hAnsi="Times New Roman" w:cs="Times New Roman"/>
          <w:sz w:val="26"/>
          <w:szCs w:val="26"/>
        </w:rPr>
      </w:pPr>
    </w:p>
    <w:p w:rsidRPr="00AE1B2B" w:rsidR="009D3FB5" w:rsidP="00163B94" w:rsidRDefault="009D3FB5" w14:paraId="412B05C4" w14:textId="5DA79B63">
      <w:pPr>
        <w:pStyle w:val="Prrafodelista"/>
        <w:numPr>
          <w:ilvl w:val="0"/>
          <w:numId w:val="37"/>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b/>
          <w:bCs/>
          <w:sz w:val="26"/>
          <w:szCs w:val="26"/>
        </w:rPr>
        <w:t>Periodo:</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1 de abril de 2019 al 30 de junio 2019. Aprobación en la sesión 28-19 del 28 de marzo del 2019, artículo VI. Oficio de la Dirección de Planificación 416-PLA-PP-2019.</w:t>
      </w:r>
    </w:p>
    <w:p w:rsidRPr="00AE1B2B" w:rsidR="009D3FB5" w:rsidP="00163B94" w:rsidRDefault="009D3FB5" w14:paraId="2A890A58"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665E9926" w14:textId="7F805C5D">
      <w:pPr>
        <w:pStyle w:val="Prrafodelista"/>
        <w:numPr>
          <w:ilvl w:val="0"/>
          <w:numId w:val="37"/>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b/>
          <w:bCs/>
          <w:sz w:val="26"/>
          <w:szCs w:val="26"/>
        </w:rPr>
        <w:lastRenderedPageBreak/>
        <w:t>Periodo:</w:t>
      </w:r>
      <w:r w:rsidRPr="00AE1B2B" w:rsidR="00BB7720">
        <w:rPr>
          <w:rFonts w:ascii="Times New Roman" w:hAnsi="Times New Roman" w:cs="Times New Roman"/>
          <w:sz w:val="26"/>
          <w:szCs w:val="26"/>
        </w:rPr>
        <w:t xml:space="preserve"> </w:t>
      </w:r>
      <w:r w:rsidRPr="00AE1B2B">
        <w:rPr>
          <w:rFonts w:ascii="Times New Roman" w:hAnsi="Times New Roman" w:eastAsia="Book Antiqua" w:cs="Times New Roman"/>
          <w:sz w:val="26"/>
          <w:szCs w:val="26"/>
        </w:rPr>
        <w:t>01 de julio y hasta el 30 de setiembre de 2019.</w:t>
      </w:r>
      <w:r w:rsidRPr="00AE1B2B">
        <w:rPr>
          <w:rFonts w:ascii="Times New Roman" w:hAnsi="Times New Roman" w:cs="Times New Roman"/>
          <w:sz w:val="26"/>
          <w:szCs w:val="26"/>
        </w:rPr>
        <w:t xml:space="preserve"> Aprobación en la sesión 58-19 del 27 de junio de 2019, artículo LXXV. Oficio de la Dirección de Planificación 949-PLA-PE-2019.</w:t>
      </w:r>
    </w:p>
    <w:p w:rsidRPr="00AE1B2B" w:rsidR="009D3FB5" w:rsidP="00163B94" w:rsidRDefault="009D3FB5" w14:paraId="56263612" w14:textId="77777777">
      <w:pPr>
        <w:pStyle w:val="Prrafodelista"/>
        <w:spacing w:before="120" w:after="120"/>
        <w:ind w:left="851" w:right="851" w:firstLine="709"/>
        <w:rPr>
          <w:rFonts w:ascii="Times New Roman" w:hAnsi="Times New Roman" w:cs="Times New Roman"/>
          <w:sz w:val="26"/>
          <w:szCs w:val="26"/>
        </w:rPr>
      </w:pPr>
    </w:p>
    <w:p w:rsidRPr="00AE1B2B" w:rsidR="009D3FB5" w:rsidP="00163B94" w:rsidRDefault="009D3FB5" w14:paraId="12F546A1" w14:textId="76C5462F">
      <w:pPr>
        <w:pStyle w:val="Prrafodelista"/>
        <w:numPr>
          <w:ilvl w:val="0"/>
          <w:numId w:val="37"/>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b/>
          <w:bCs/>
          <w:sz w:val="26"/>
          <w:szCs w:val="26"/>
        </w:rPr>
        <w:t>Periodo:</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1 de octubre y hasta el último día laboral de 2019. Aprobación en la sesión 84-19 celebrada el 26 de setiembre de 2019, Artículo </w:t>
      </w:r>
      <w:bookmarkStart w:name="_Toc794258" w:id="23"/>
      <w:r w:rsidRPr="00AE1B2B">
        <w:rPr>
          <w:rFonts w:ascii="Times New Roman" w:hAnsi="Times New Roman" w:cs="Times New Roman"/>
          <w:sz w:val="26"/>
          <w:szCs w:val="26"/>
        </w:rPr>
        <w:t>XLI</w:t>
      </w:r>
      <w:bookmarkEnd w:id="23"/>
      <w:r w:rsidRPr="00AE1B2B">
        <w:rPr>
          <w:rFonts w:ascii="Times New Roman" w:hAnsi="Times New Roman" w:cs="Times New Roman"/>
          <w:sz w:val="26"/>
          <w:szCs w:val="26"/>
        </w:rPr>
        <w:t>. Oficio de la Dirección de Planificación 1539-PLA-PE-2019.</w:t>
      </w:r>
    </w:p>
    <w:p w:rsidRPr="00AE1B2B" w:rsidR="009D3FB5" w:rsidP="00163B94" w:rsidRDefault="009D3FB5" w14:paraId="66A34C27"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21AD60D1" w14:textId="08D2FEB8">
      <w:pPr>
        <w:pStyle w:val="Prrafodelista"/>
        <w:numPr>
          <w:ilvl w:val="0"/>
          <w:numId w:val="37"/>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b/>
          <w:bCs/>
          <w:sz w:val="26"/>
          <w:szCs w:val="26"/>
        </w:rPr>
        <w:t>Periodo:</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6 de enero al 31 de marzo del 2020. Aprobación en la sesión 108-2019 del 12 de diciembre del 2019, artículo LXXI. Oficio de la Dirección de Planificación 2130-PLA-PP-PE-2019.</w:t>
      </w:r>
    </w:p>
    <w:p w:rsidRPr="00AE1B2B" w:rsidR="009D3FB5" w:rsidP="00163B94" w:rsidRDefault="009D3FB5" w14:paraId="1367F3F1" w14:textId="77777777">
      <w:pPr>
        <w:pStyle w:val="Prrafodelista"/>
        <w:spacing w:before="120" w:after="120"/>
        <w:ind w:left="851" w:right="851" w:firstLine="709"/>
        <w:rPr>
          <w:rFonts w:ascii="Times New Roman" w:hAnsi="Times New Roman" w:cs="Times New Roman"/>
          <w:sz w:val="26"/>
          <w:szCs w:val="26"/>
        </w:rPr>
      </w:pPr>
    </w:p>
    <w:p w:rsidRPr="00AE1B2B" w:rsidR="009D3FB5" w:rsidP="00163B94" w:rsidRDefault="009D3FB5" w14:paraId="16061901" w14:textId="27E39C3F">
      <w:pPr>
        <w:pStyle w:val="Prrafodelista"/>
        <w:numPr>
          <w:ilvl w:val="0"/>
          <w:numId w:val="37"/>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b/>
          <w:bCs/>
          <w:sz w:val="26"/>
          <w:szCs w:val="26"/>
        </w:rPr>
        <w:t>Periodo:</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1 de abril hasta el 30 de junio de 2020. Aprobación en la sesión 30-2020 del 31 de marzo, artículo XLIII. Oficio de la Dirección de Planificación 474-PLA-PE-2020.</w:t>
      </w:r>
    </w:p>
    <w:p w:rsidRPr="00AE1B2B" w:rsidR="009D3FB5" w:rsidP="00163B94" w:rsidRDefault="009D3FB5" w14:paraId="02F9F48A" w14:textId="77777777">
      <w:pPr>
        <w:pStyle w:val="Prrafodelista"/>
        <w:spacing w:before="120" w:after="120"/>
        <w:ind w:left="851" w:right="851" w:firstLine="709"/>
        <w:rPr>
          <w:rFonts w:ascii="Times New Roman" w:hAnsi="Times New Roman" w:cs="Times New Roman"/>
          <w:sz w:val="26"/>
          <w:szCs w:val="26"/>
        </w:rPr>
      </w:pPr>
    </w:p>
    <w:p w:rsidRPr="00AE1B2B" w:rsidR="009D3FB5" w:rsidP="00163B94" w:rsidRDefault="009D3FB5" w14:paraId="4A26F5F3" w14:textId="00E871B4">
      <w:pPr>
        <w:pStyle w:val="Prrafodelista"/>
        <w:numPr>
          <w:ilvl w:val="0"/>
          <w:numId w:val="37"/>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b/>
          <w:bCs/>
          <w:sz w:val="26"/>
          <w:szCs w:val="26"/>
        </w:rPr>
        <w:t>Periodo:</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1 al 3 de julio de 2020. Aprobación en la sesión 66-2020 artículo LXVIII.</w:t>
      </w:r>
    </w:p>
    <w:p w:rsidRPr="00AE1B2B" w:rsidR="009D3FB5" w:rsidP="00163B94" w:rsidRDefault="009D3FB5" w14:paraId="53B63E60" w14:textId="77777777">
      <w:pPr>
        <w:pStyle w:val="Prrafodelista"/>
        <w:spacing w:before="120" w:after="120"/>
        <w:ind w:left="851" w:right="851" w:firstLine="709"/>
        <w:rPr>
          <w:rFonts w:ascii="Times New Roman" w:hAnsi="Times New Roman" w:cs="Times New Roman"/>
          <w:sz w:val="26"/>
          <w:szCs w:val="26"/>
        </w:rPr>
      </w:pPr>
    </w:p>
    <w:p w:rsidRPr="00AE1B2B" w:rsidR="009D3FB5" w:rsidP="00163B94" w:rsidRDefault="009D3FB5" w14:paraId="1183C437" w14:textId="7D386961">
      <w:pPr>
        <w:pStyle w:val="Prrafodelista"/>
        <w:numPr>
          <w:ilvl w:val="0"/>
          <w:numId w:val="37"/>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b/>
          <w:bCs/>
          <w:sz w:val="26"/>
          <w:szCs w:val="26"/>
        </w:rPr>
        <w:t>Periodo:</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del 04 de julio y hasta el 31 de julio de 2020. Aprobación en la sesión 68-2020 articulo único. Oficio de la Dirección de Planificación 955-PLA-PE-2020.</w:t>
      </w:r>
    </w:p>
    <w:p w:rsidRPr="00AE1B2B" w:rsidR="009D3FB5" w:rsidP="00163B94" w:rsidRDefault="009D3FB5" w14:paraId="070B3592" w14:textId="77777777">
      <w:pPr>
        <w:pStyle w:val="Prrafodelista"/>
        <w:spacing w:before="120" w:after="120"/>
        <w:ind w:left="851" w:right="851" w:firstLine="709"/>
        <w:rPr>
          <w:rFonts w:ascii="Times New Roman" w:hAnsi="Times New Roman" w:cs="Times New Roman"/>
          <w:sz w:val="26"/>
          <w:szCs w:val="26"/>
        </w:rPr>
      </w:pPr>
    </w:p>
    <w:p w:rsidRPr="00AE1B2B" w:rsidR="009D3FB5" w:rsidP="00163B94" w:rsidRDefault="009D3FB5" w14:paraId="5412CF5F" w14:textId="566C8C02">
      <w:pPr>
        <w:pStyle w:val="Prrafodelista"/>
        <w:numPr>
          <w:ilvl w:val="0"/>
          <w:numId w:val="37"/>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b/>
          <w:bCs/>
          <w:sz w:val="26"/>
          <w:szCs w:val="26"/>
        </w:rPr>
        <w:t>Periodo:</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01 de agosto y hasta el 30 de septiembre de 2020. Aprobación en la sesión 76-2020 celebrada el 30 de julio del 2020, artículo XXVI. Oficio de la Dirección de Planificación 1107-PLA-PE-2020.</w:t>
      </w:r>
    </w:p>
    <w:p w:rsidRPr="00AE1B2B" w:rsidR="009D3FB5" w:rsidP="00163B94" w:rsidRDefault="009D3FB5" w14:paraId="70AA453A" w14:textId="77777777">
      <w:pPr>
        <w:pStyle w:val="Prrafodelista"/>
        <w:spacing w:before="120" w:after="120"/>
        <w:ind w:left="851" w:right="851" w:firstLine="709"/>
        <w:rPr>
          <w:rFonts w:ascii="Times New Roman" w:hAnsi="Times New Roman" w:cs="Times New Roman"/>
          <w:sz w:val="26"/>
          <w:szCs w:val="26"/>
        </w:rPr>
      </w:pPr>
    </w:p>
    <w:p w:rsidRPr="00AE1B2B" w:rsidR="009D3FB5" w:rsidP="00163B94" w:rsidRDefault="009D3FB5" w14:paraId="4F2EBA7B" w14:textId="53ECD450">
      <w:pPr>
        <w:pStyle w:val="Prrafodelista"/>
        <w:numPr>
          <w:ilvl w:val="0"/>
          <w:numId w:val="37"/>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b/>
          <w:bCs/>
          <w:sz w:val="26"/>
          <w:szCs w:val="26"/>
        </w:rPr>
        <w:t>Periodo:</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01 de octubre y hasta el 18 de diciembre de 2020. Aprobación en la sesión </w:t>
      </w:r>
    </w:p>
    <w:p w:rsidRPr="00AE1B2B" w:rsidR="009D3FB5" w:rsidP="00163B94" w:rsidRDefault="009D3FB5" w14:paraId="4EB4D6A0"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094 – 2020 del 30 septiembre, artículo LXXXVI. Oficio de la Dirección de Planificación 1510-PLA-PE-2020 del 25 de setiembre de 2020.</w:t>
      </w:r>
    </w:p>
    <w:p w:rsidRPr="00AE1B2B" w:rsidR="009D3FB5" w:rsidP="00163B94" w:rsidRDefault="009D3FB5" w14:paraId="0A9A9F14" w14:textId="67B6083B">
      <w:pPr>
        <w:pStyle w:val="Prrafodelista"/>
        <w:spacing w:before="120" w:after="120"/>
        <w:ind w:left="851" w:right="851" w:firstLine="709"/>
        <w:jc w:val="both"/>
        <w:rPr>
          <w:rFonts w:ascii="Times New Roman" w:hAnsi="Times New Roman" w:cs="Times New Roman"/>
          <w:sz w:val="26"/>
          <w:szCs w:val="26"/>
        </w:rPr>
      </w:pPr>
    </w:p>
    <w:p w:rsidRPr="00AE1B2B" w:rsidR="00BE5897" w:rsidP="00163B94" w:rsidRDefault="00BE5897" w14:paraId="4D669C58"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BE5897" w14:paraId="68D58BC5" w14:textId="376CE5BB">
      <w:pPr>
        <w:spacing w:before="120" w:after="120"/>
        <w:ind w:left="851" w:right="851" w:firstLine="709"/>
        <w:rPr>
          <w:rFonts w:ascii="Times New Roman" w:hAnsi="Times New Roman" w:cs="Times New Roman"/>
          <w:b/>
          <w:sz w:val="26"/>
          <w:szCs w:val="26"/>
        </w:rPr>
      </w:pPr>
      <w:r w:rsidRPr="00AE1B2B">
        <w:rPr>
          <w:rFonts w:ascii="Times New Roman" w:hAnsi="Times New Roman" w:cs="Times New Roman"/>
          <w:b/>
          <w:sz w:val="26"/>
          <w:szCs w:val="26"/>
        </w:rPr>
        <w:t xml:space="preserve">3.1.2.1 </w:t>
      </w:r>
      <w:r w:rsidRPr="00AE1B2B" w:rsidR="009D3FB5">
        <w:rPr>
          <w:rFonts w:ascii="Times New Roman" w:hAnsi="Times New Roman" w:cs="Times New Roman"/>
          <w:b/>
          <w:sz w:val="26"/>
          <w:szCs w:val="26"/>
        </w:rPr>
        <w:t xml:space="preserve">Proyecto de Inventarios en las oficinas de la Defensa </w:t>
      </w:r>
    </w:p>
    <w:p w:rsidRPr="00AE1B2B" w:rsidR="009D3FB5" w:rsidP="00163B94" w:rsidRDefault="009D3FB5" w14:paraId="635FE5AC" w14:textId="77777777">
      <w:pPr>
        <w:spacing w:before="120" w:after="120"/>
        <w:ind w:left="851" w:right="851" w:firstLine="709"/>
        <w:rPr>
          <w:rFonts w:ascii="Times New Roman" w:hAnsi="Times New Roman" w:cs="Times New Roman"/>
          <w:sz w:val="26"/>
          <w:szCs w:val="26"/>
        </w:rPr>
      </w:pPr>
      <w:r w:rsidRPr="00AE1B2B">
        <w:rPr>
          <w:rFonts w:ascii="Times New Roman" w:hAnsi="Times New Roman" w:cs="Times New Roman"/>
          <w:sz w:val="26"/>
          <w:szCs w:val="26"/>
        </w:rPr>
        <w:lastRenderedPageBreak/>
        <w:t>Pública Actualización de los estados procesales por expediente y por plaza de Defensor (arqueos) en las oficinas de la Defensa Pública como parte del Proyecto de Mejora Integral del Proceso Penal</w:t>
      </w:r>
    </w:p>
    <w:p w:rsidRPr="00AE1B2B" w:rsidR="009D3FB5" w:rsidP="00163B94" w:rsidRDefault="009D3FB5" w14:paraId="70FAE0E8" w14:textId="77777777">
      <w:pPr>
        <w:spacing w:before="120" w:after="120"/>
        <w:ind w:left="851" w:right="851" w:firstLine="709"/>
        <w:rPr>
          <w:rFonts w:ascii="Times New Roman" w:hAnsi="Times New Roman" w:cs="Times New Roman"/>
          <w:sz w:val="26"/>
          <w:szCs w:val="26"/>
          <w:lang w:val="es-ES" w:eastAsia="zh-CN"/>
        </w:rPr>
      </w:pPr>
    </w:p>
    <w:p w:rsidRPr="00AE1B2B" w:rsidR="009D3FB5" w:rsidP="00163B94" w:rsidRDefault="009D3FB5" w14:paraId="639313EC"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En atención a la solicitud de la Defensa Pública del 30 de agosto del 2018 (documentada en el oficio 1014-ADP-2018), la Dirección de Planificación mediante el oficio 1108-PLA-2018 indicó la necesidad de recurso humano relacionado con el Proyecto de Inventarios en las oficinas de la Defensa Pública para que fuera tomada en cuenta como parte del Proyecto de Mejora Integral del Proceso Penal.</w:t>
      </w:r>
    </w:p>
    <w:p w:rsidRPr="00AE1B2B" w:rsidR="009D3FB5" w:rsidP="00163B94" w:rsidRDefault="009D3FB5" w14:paraId="1C703774"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cs="Times New Roman"/>
          <w:sz w:val="26"/>
          <w:szCs w:val="26"/>
          <w:lang w:val="es-ES" w:eastAsia="zh-CN"/>
        </w:rPr>
        <w:t>La necesidad planteó la incorporación de cuatro permisos con goce de salario (jornada completa) de personas técnicas jurídicas con la finalidad de destacarse en el proyecto denominado: “</w:t>
      </w:r>
      <w:r w:rsidRPr="00AE1B2B">
        <w:rPr>
          <w:rFonts w:ascii="Times New Roman" w:hAnsi="Times New Roman" w:cs="Times New Roman"/>
          <w:i/>
          <w:iCs/>
          <w:sz w:val="26"/>
          <w:szCs w:val="26"/>
          <w:lang w:val="es-ES" w:eastAsia="zh-CN"/>
        </w:rPr>
        <w:t>Proyecto de Inventarios en las oficinas de la Defensa Pública: Actualización de los estados procesales por expediente y por plaza de Defensor (arqueos) en las oficinas de la Defensa Pública como parte del Proyecto de Mejora Integral del Proceso Penal</w:t>
      </w:r>
      <w:r w:rsidRPr="00AE1B2B">
        <w:rPr>
          <w:rFonts w:ascii="Times New Roman" w:hAnsi="Times New Roman" w:cs="Times New Roman"/>
          <w:sz w:val="26"/>
          <w:szCs w:val="26"/>
          <w:lang w:val="es-ES" w:eastAsia="zh-CN"/>
        </w:rPr>
        <w:t>”.</w:t>
      </w:r>
    </w:p>
    <w:p w:rsidRPr="00AE1B2B" w:rsidR="009D3FB5" w:rsidP="00163B94" w:rsidRDefault="009D3FB5" w14:paraId="180C1424"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226D68FE"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La importancia de este proyecto radica según el mismo oficio en: </w:t>
      </w:r>
    </w:p>
    <w:p w:rsidRPr="00AE1B2B" w:rsidR="009D3FB5" w:rsidP="00163B94" w:rsidRDefault="009D3FB5" w14:paraId="5A61AFCA" w14:textId="77777777">
      <w:pPr>
        <w:spacing w:before="120" w:after="120"/>
        <w:ind w:left="851" w:right="851" w:firstLine="709"/>
        <w:jc w:val="both"/>
        <w:rPr>
          <w:rFonts w:ascii="Times New Roman" w:hAnsi="Times New Roman" w:cs="Times New Roman"/>
          <w:sz w:val="26"/>
          <w:szCs w:val="26"/>
          <w:highlight w:val="yellow"/>
        </w:rPr>
      </w:pPr>
    </w:p>
    <w:p w:rsidRPr="00AE1B2B" w:rsidR="009D3FB5" w:rsidP="00163B94" w:rsidRDefault="00BB7720" w14:paraId="70A1B837" w14:textId="0D3D2E88">
      <w:pPr>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sz w:val="26"/>
          <w:szCs w:val="26"/>
          <w:lang w:val="es-ES" w:eastAsia="zh-CN"/>
        </w:rPr>
        <w:t xml:space="preserve"> </w:t>
      </w:r>
      <w:r w:rsidRPr="00AE1B2B" w:rsidR="009D3FB5">
        <w:rPr>
          <w:rFonts w:ascii="Times New Roman" w:hAnsi="Times New Roman" w:cs="Times New Roman"/>
          <w:i/>
          <w:iCs/>
          <w:sz w:val="26"/>
          <w:szCs w:val="26"/>
          <w:lang w:val="es-ES" w:eastAsia="zh-CN"/>
        </w:rPr>
        <w:t>“… es que la Dirección y Subdirección de la Defensa Pública pueda contar con la información actualizada, veraz, confiable, certera del circulante de cada código de plaza de la defensa, lo que les permitirá tomar decisiones informadas y una mejor administración del recurso humano, así como una economía de recurso para la institución.”.</w:t>
      </w:r>
    </w:p>
    <w:p w:rsidRPr="00AE1B2B" w:rsidR="009D3FB5" w:rsidP="00163B94" w:rsidRDefault="009D3FB5" w14:paraId="0724FC09" w14:textId="77777777">
      <w:pPr>
        <w:spacing w:before="120" w:after="120"/>
        <w:ind w:left="851" w:right="851" w:firstLine="709"/>
        <w:jc w:val="both"/>
        <w:rPr>
          <w:rFonts w:ascii="Times New Roman" w:hAnsi="Times New Roman" w:cs="Times New Roman"/>
          <w:sz w:val="26"/>
          <w:szCs w:val="26"/>
          <w:highlight w:val="yellow"/>
        </w:rPr>
      </w:pPr>
    </w:p>
    <w:p w:rsidRPr="00AE1B2B" w:rsidR="009D3FB5" w:rsidP="00163B94" w:rsidRDefault="009D3FB5" w14:paraId="30E5A808"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Debido a los buenos resultados obtenidos en un ejercicio de arqueo de plazas de persona defensora, realizado en una oficina en particular de la Defensa Pública, con recurso humano propio, es que la Dirección de la Defensa Pública y la de Planificación consideraron necesario replicarlo en todas las oficinas de la Defensa Pública que se encuentran incorporadas en el proyecto P01-PLA-2018, denominado Mejora Integral del Proceso Penal, ello partiendo de que se necesita conocer el circulante real de las oficinas para brindar las recomendaciones que correspondan, este proyecto busca dos </w:t>
      </w:r>
      <w:r w:rsidRPr="00AE1B2B">
        <w:rPr>
          <w:rFonts w:ascii="Times New Roman" w:hAnsi="Times New Roman" w:cs="Times New Roman"/>
          <w:sz w:val="26"/>
          <w:szCs w:val="26"/>
          <w:lang w:val="es-ES" w:eastAsia="zh-CN"/>
        </w:rPr>
        <w:lastRenderedPageBreak/>
        <w:t>objetivos: disminuir los tiempos de respuesta e incrementar la satisfacción de la persona usuaria, por lo tanto es crítica la maximización de los recursos institucionales.</w:t>
      </w:r>
    </w:p>
    <w:p w:rsidRPr="00AE1B2B" w:rsidR="009D3FB5" w:rsidP="00163B94" w:rsidRDefault="009D3FB5" w14:paraId="756C0EAC"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4D7BDF89"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Así, el Consejo Superior en el acta 86-2018 del 02 de octubre, artículo XL, aprobó el conceder permiso con goce de salario y sustitución a cuatro personas técnicas jurídicas, a partir del 8 de octubre de 2018 y hasta el 15 de diciembre de 2018.</w:t>
      </w:r>
    </w:p>
    <w:p w:rsidRPr="00AE1B2B" w:rsidR="009D3FB5" w:rsidP="00163B94" w:rsidRDefault="009D3FB5" w14:paraId="243B58C6"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13C95AC8"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A partir de allí se han extendido sus prorrogas durante los periodos 2019 y 2020 conforme los avances presentados bajo la Metodología Institucional de Administración de Proyectos y contenido presupuestario. Posteriormente, mediante el informe 2013-PLA-PP-PE-2020 se presentó la solicitud de su prórroga para el primer trimestre del 2021. Así, el Consejo Superior en la sesión 120-2020 celebrada el 17 de diciembre del 2020, artículo XCI concedió los cuatro permisos con goce de salario y sustitución, a partir del 04 de enero y hasta el 31 de marzo de 2021, para la continuidad del proyecto.</w:t>
      </w:r>
    </w:p>
    <w:p w:rsidRPr="00AE1B2B" w:rsidR="009D3FB5" w:rsidP="00163B94" w:rsidRDefault="009D3FB5" w14:paraId="2EAC5CA3"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256A929D" w14:textId="77777777">
      <w:pPr>
        <w:spacing w:before="120" w:after="120"/>
        <w:ind w:left="851" w:right="851" w:firstLine="709"/>
        <w:jc w:val="both"/>
        <w:rPr>
          <w:rFonts w:ascii="Times New Roman" w:hAnsi="Times New Roman" w:cs="Times New Roman"/>
          <w:b/>
          <w:bCs/>
          <w:sz w:val="26"/>
          <w:szCs w:val="26"/>
          <w:lang w:val="es-ES" w:eastAsia="zh-CN"/>
        </w:rPr>
      </w:pPr>
      <w:r w:rsidRPr="00AE1B2B">
        <w:rPr>
          <w:rFonts w:ascii="Times New Roman" w:hAnsi="Times New Roman" w:cs="Times New Roman"/>
          <w:sz w:val="26"/>
          <w:szCs w:val="26"/>
        </w:rPr>
        <w:t>Las distintas prórrogas para las citadas plazas de persona técnica jurídica (</w:t>
      </w:r>
      <w:r w:rsidRPr="00AE1B2B">
        <w:rPr>
          <w:rFonts w:ascii="Times New Roman" w:hAnsi="Times New Roman" w:cs="Times New Roman"/>
          <w:i/>
          <w:iCs/>
          <w:sz w:val="26"/>
          <w:szCs w:val="26"/>
        </w:rPr>
        <w:t>cuatro personas a tiempo completo</w:t>
      </w:r>
      <w:r w:rsidRPr="00AE1B2B">
        <w:rPr>
          <w:rFonts w:ascii="Times New Roman" w:hAnsi="Times New Roman" w:cs="Times New Roman"/>
          <w:sz w:val="26"/>
          <w:szCs w:val="26"/>
        </w:rPr>
        <w:t xml:space="preserve">) durante los periodos 2019 y 2020 son las mismas detalladas en el antecedente anterior para el Proyecto Sistema de Seguimiento de </w:t>
      </w:r>
      <w:r w:rsidRPr="00AE1B2B">
        <w:rPr>
          <w:rFonts w:ascii="Times New Roman" w:hAnsi="Times New Roman" w:cs="Times New Roman"/>
          <w:i/>
          <w:iCs/>
          <w:sz w:val="26"/>
          <w:szCs w:val="26"/>
        </w:rPr>
        <w:t>Casos (subapartado 2.2.1)</w:t>
      </w:r>
      <w:r w:rsidRPr="00AE1B2B">
        <w:rPr>
          <w:rFonts w:ascii="Times New Roman" w:hAnsi="Times New Roman" w:cs="Times New Roman"/>
          <w:sz w:val="26"/>
          <w:szCs w:val="26"/>
        </w:rPr>
        <w:t>.</w:t>
      </w:r>
    </w:p>
    <w:p w:rsidRPr="00AE1B2B" w:rsidR="009D3FB5" w:rsidP="00163B94" w:rsidRDefault="009D3FB5" w14:paraId="048749C3" w14:textId="77777777">
      <w:pPr>
        <w:spacing w:before="120" w:after="120"/>
        <w:ind w:left="851" w:right="851" w:firstLine="709"/>
        <w:rPr>
          <w:rFonts w:ascii="Times New Roman" w:hAnsi="Times New Roman" w:cs="Times New Roman"/>
          <w:b/>
          <w:bCs/>
          <w:sz w:val="26"/>
          <w:szCs w:val="26"/>
        </w:rPr>
      </w:pPr>
    </w:p>
    <w:p w:rsidRPr="00AE1B2B" w:rsidR="009D3FB5" w:rsidP="00163B94" w:rsidRDefault="009D3FB5" w14:paraId="55255E35" w14:textId="77777777">
      <w:pPr>
        <w:spacing w:before="120" w:after="120"/>
        <w:ind w:left="851" w:right="851" w:firstLine="709"/>
        <w:rPr>
          <w:rFonts w:ascii="Times New Roman" w:hAnsi="Times New Roman" w:cs="Times New Roman"/>
          <w:b/>
          <w:bCs/>
          <w:sz w:val="26"/>
          <w:szCs w:val="26"/>
        </w:rPr>
      </w:pPr>
    </w:p>
    <w:p w:rsidRPr="00AE1B2B" w:rsidR="009D3FB5" w:rsidP="00163B94" w:rsidRDefault="009D3FB5" w14:paraId="159C0314" w14:textId="77777777">
      <w:pPr>
        <w:spacing w:before="120" w:after="120"/>
        <w:ind w:left="851" w:right="851" w:firstLine="709"/>
        <w:rPr>
          <w:rFonts w:ascii="Times New Roman" w:hAnsi="Times New Roman" w:cs="Times New Roman"/>
          <w:b/>
          <w:bCs/>
          <w:sz w:val="26"/>
          <w:szCs w:val="26"/>
        </w:rPr>
      </w:pPr>
      <w:r w:rsidRPr="00AE1B2B">
        <w:rPr>
          <w:rFonts w:ascii="Times New Roman" w:hAnsi="Times New Roman" w:cs="Times New Roman"/>
          <w:b/>
          <w:bCs/>
          <w:sz w:val="26"/>
          <w:szCs w:val="26"/>
        </w:rPr>
        <w:t>3.2. Análisis de plaza de Persona Supervisora Pública Adscrita a la Defensa Pública</w:t>
      </w:r>
    </w:p>
    <w:p w:rsidRPr="00AE1B2B" w:rsidR="009D3FB5" w:rsidP="00163B94" w:rsidRDefault="009D3FB5" w14:paraId="1D2ED85B" w14:textId="77777777">
      <w:pPr>
        <w:pStyle w:val="Prrafodelista"/>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9D3FB5" w14:paraId="292ED67A"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De las recomendaciones emitidas en el informe </w:t>
      </w:r>
      <w:bookmarkStart w:name="_Hlk63157390" w:id="24"/>
      <w:r w:rsidRPr="00AE1B2B">
        <w:rPr>
          <w:rFonts w:ascii="Times New Roman" w:hAnsi="Times New Roman" w:cs="Times New Roman"/>
          <w:sz w:val="26"/>
          <w:szCs w:val="26"/>
          <w:lang w:val="es-ES" w:eastAsia="zh-CN"/>
        </w:rPr>
        <w:t>497-PLA-RH-OI-2020</w:t>
      </w:r>
      <w:bookmarkEnd w:id="24"/>
      <w:r w:rsidRPr="00AE1B2B">
        <w:rPr>
          <w:rFonts w:ascii="Times New Roman" w:hAnsi="Times New Roman" w:cs="Times New Roman"/>
          <w:sz w:val="26"/>
          <w:szCs w:val="26"/>
          <w:lang w:val="es-ES" w:eastAsia="zh-CN"/>
        </w:rPr>
        <w:t xml:space="preserve"> Estudio de Requerimiento Humano Anteproyecto de Presupuesto 2021, específicamente sobre la plaza de Persona Supervisora Pública se extrae:</w:t>
      </w:r>
    </w:p>
    <w:p w:rsidRPr="00AE1B2B" w:rsidR="009D3FB5" w:rsidP="00163B94" w:rsidRDefault="009D3FB5" w14:paraId="04E6E1BD" w14:textId="77777777">
      <w:pPr>
        <w:pStyle w:val="Prrafodelista"/>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BB7720" w14:paraId="286EB3DA" w14:textId="32242093">
      <w:pPr>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 xml:space="preserve"> </w:t>
      </w:r>
      <w:r w:rsidRPr="00AE1B2B" w:rsidR="009D3FB5">
        <w:rPr>
          <w:rFonts w:ascii="Times New Roman" w:hAnsi="Times New Roman" w:cs="Times New Roman"/>
          <w:i/>
          <w:iCs/>
          <w:sz w:val="26"/>
          <w:szCs w:val="26"/>
          <w:lang w:val="es-ES" w:eastAsia="zh-CN"/>
        </w:rPr>
        <w:t xml:space="preserve">”El recurso de Defensora o Defensor Público que se recomienda extraordinaria para el período 2021, le dará continuidad a las labores de implantación del Sistema Seguimiento </w:t>
      </w:r>
      <w:r w:rsidRPr="00AE1B2B" w:rsidR="009D3FB5">
        <w:rPr>
          <w:rFonts w:ascii="Times New Roman" w:hAnsi="Times New Roman" w:cs="Times New Roman"/>
          <w:i/>
          <w:iCs/>
          <w:sz w:val="26"/>
          <w:szCs w:val="26"/>
          <w:lang w:val="es-ES" w:eastAsia="zh-CN"/>
        </w:rPr>
        <w:lastRenderedPageBreak/>
        <w:t>de Casos y sus aplicativos, así como deberá tener participación en las actividades asociadas al Proyecto Modelo Penal, de acuerdo con lo establecido en oficio 1507-PLA-MI-2018 Modelo de Tramitación de la Defensa Pública elaborado por la Dirección de Planificación y aprobado por el Consejo Superior en sesión 5-19 del 23 de enero de 2019, artículo XXIII, para proporcionar ese contrapeso técnico y de asesoramiento a las plazas de profesional 2 que realizan el abordaje en las diferentes oficinas de la Defensa Pública, tal y como se trabaja con los recursos extraordinarios destinados para la atención del Ministerio Público.”.</w:t>
      </w:r>
    </w:p>
    <w:p w:rsidRPr="00AE1B2B" w:rsidR="009D3FB5" w:rsidP="00163B94" w:rsidRDefault="009D3FB5" w14:paraId="39F681C5" w14:textId="77777777">
      <w:pPr>
        <w:spacing w:before="120" w:after="120"/>
        <w:ind w:left="851" w:right="851" w:firstLine="709"/>
        <w:jc w:val="both"/>
        <w:rPr>
          <w:rFonts w:ascii="Times New Roman" w:hAnsi="Times New Roman" w:cs="Times New Roman"/>
          <w:i/>
          <w:iCs/>
          <w:sz w:val="26"/>
          <w:szCs w:val="26"/>
          <w:lang w:val="es-ES" w:eastAsia="zh-CN"/>
        </w:rPr>
      </w:pPr>
    </w:p>
    <w:p w:rsidRPr="00AE1B2B" w:rsidR="009D3FB5" w:rsidP="00163B94" w:rsidRDefault="009D3FB5" w14:paraId="40DD38A9"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Al considerar las condiciones en las que la plaza fue aprobada, se analizara a continuación las funciones realizadas durante el periodo 2020, así como las proyectadas para el 2021 y 2022; además de criterios de entes técnicos relacionados con el desempeño de esta, como insumo para la recomendación final sobre la continuidad o no de la plaza y su condición ordinaria o extraordinaria para el 2022.</w:t>
      </w:r>
    </w:p>
    <w:p w:rsidRPr="00AE1B2B" w:rsidR="009D3FB5" w:rsidP="00163B94" w:rsidRDefault="009D3FB5" w14:paraId="01D379EC" w14:textId="77777777">
      <w:pPr>
        <w:pStyle w:val="Prrafodelista"/>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9D3FB5" w14:paraId="28F91400"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Como parte del análisis, en fecha 28 de enero del 2021 se recibe por medio de correo electrónico, el informe de labores del Lic. Orlando Vargas Chacón, profesional destacado en la mencionada plaza. El informe fue avalado por la Dirección de la Defensa Pública y recopila las labores realizadas durante el 2020, así como la proyección para periodos posteriores. </w:t>
      </w:r>
      <w:r w:rsidRPr="00AE1B2B">
        <w:rPr>
          <w:rFonts w:ascii="Times New Roman" w:hAnsi="Times New Roman" w:cs="Times New Roman"/>
          <w:i/>
          <w:iCs/>
          <w:sz w:val="26"/>
          <w:szCs w:val="26"/>
          <w:lang w:val="es-ES" w:eastAsia="zh-CN"/>
        </w:rPr>
        <w:t>(El informe puede consultarse en el apéndice 1), esta plaza tuvo una relación estrecha en los rediseños de procesos del Segundo Circuito Judicial de la Zona Atlántica y Segundo Circuito Judicial de Guanacaste, según abordajes de la Dirección de Planificación durante ese periodo.</w:t>
      </w:r>
    </w:p>
    <w:p w:rsidRPr="00AE1B2B" w:rsidR="009D3FB5" w:rsidP="00163B94" w:rsidRDefault="009D3FB5" w14:paraId="7680FF7E" w14:textId="77777777">
      <w:pPr>
        <w:pStyle w:val="Prrafodelista"/>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9D3FB5" w14:paraId="4DD67E28" w14:textId="77777777">
      <w:pPr>
        <w:spacing w:before="120" w:after="120"/>
        <w:ind w:left="851" w:right="851" w:firstLine="709"/>
        <w:rPr>
          <w:rFonts w:ascii="Times New Roman" w:hAnsi="Times New Roman" w:cs="Times New Roman"/>
          <w:sz w:val="26"/>
          <w:szCs w:val="26"/>
        </w:rPr>
      </w:pPr>
      <w:r w:rsidRPr="00AE1B2B">
        <w:rPr>
          <w:rFonts w:ascii="Times New Roman" w:hAnsi="Times New Roman" w:cs="Times New Roman"/>
          <w:sz w:val="26"/>
          <w:szCs w:val="26"/>
        </w:rPr>
        <w:t>Labores realizadas durante el 2020</w:t>
      </w:r>
    </w:p>
    <w:p w:rsidRPr="00AE1B2B" w:rsidR="009D3FB5" w:rsidP="00163B94" w:rsidRDefault="009D3FB5" w14:paraId="38B2A843" w14:textId="77777777">
      <w:pPr>
        <w:pStyle w:val="Prrafodelista"/>
        <w:spacing w:before="120" w:after="120"/>
        <w:ind w:left="851" w:right="851" w:firstLine="709"/>
        <w:jc w:val="both"/>
        <w:rPr>
          <w:rFonts w:ascii="Times New Roman" w:hAnsi="Times New Roman" w:cs="Times New Roman"/>
          <w:b/>
          <w:bCs/>
          <w:sz w:val="26"/>
          <w:szCs w:val="26"/>
          <w:lang w:eastAsia="zh-CN"/>
        </w:rPr>
      </w:pPr>
    </w:p>
    <w:p w:rsidRPr="00AE1B2B" w:rsidR="009D3FB5" w:rsidP="00163B94" w:rsidRDefault="009D3FB5" w14:paraId="38EDE31D"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El Lic. Vargas Chacón inicio labores en la plaza extraordinaria el 01 de marzo del 2020, destacándose en la Unidad de Modernización Institucional de la Defensa Pública. Cabe aclarar que, de enero 2020 hasta el 28 de febrero 2020, se encontraba nombrado el Lic. Arturo Cruz Volio, quien durante ese período estuvo incapacitado por enfermedad.</w:t>
      </w:r>
    </w:p>
    <w:p w:rsidRPr="00AE1B2B" w:rsidR="009D3FB5" w:rsidP="00163B94" w:rsidRDefault="009D3FB5" w14:paraId="192EA209"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2D0AE639"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lastRenderedPageBreak/>
        <w:t>A partir de su nombramiento, el Lic. Vargas Chacón se destacó en dos grandes áreas, una relacionada con el Sistema de Seguimiento de Casos y otra con el Proyecto de Mejora Integral del Proceso Penal.</w:t>
      </w:r>
    </w:p>
    <w:p w:rsidRPr="00AE1B2B" w:rsidR="009D3FB5" w:rsidP="00163B94" w:rsidRDefault="009D3FB5" w14:paraId="162EDFF7"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1F52D69B" w14:textId="77777777">
      <w:pPr>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sz w:val="26"/>
          <w:szCs w:val="26"/>
          <w:lang w:val="es-ES" w:eastAsia="zh-CN"/>
        </w:rPr>
        <w:t>En el caso de la primera, se desglosan, a continuación, las distintas actividades realizadas:</w:t>
      </w:r>
    </w:p>
    <w:p w:rsidRPr="00AE1B2B" w:rsidR="009D3FB5" w:rsidP="00163B94" w:rsidRDefault="009D3FB5" w14:paraId="47FFC3E9" w14:textId="77777777">
      <w:pPr>
        <w:pStyle w:val="Prrafodelista"/>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9D3FB5" w14:paraId="3A0BA60D" w14:textId="77777777">
      <w:pPr>
        <w:pStyle w:val="Prrafodelista"/>
        <w:numPr>
          <w:ilvl w:val="0"/>
          <w:numId w:val="42"/>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Sistema de Seguimiento de Casos (SSC) y desarrollo del Sistema Integrado de Apoyo a la Gestión del Poder Judicial (SIAGPJ)</w:t>
      </w:r>
    </w:p>
    <w:p w:rsidRPr="00AE1B2B" w:rsidR="009D3FB5" w:rsidP="00163B94" w:rsidRDefault="009D3FB5" w14:paraId="6BEE037B" w14:textId="77777777">
      <w:pPr>
        <w:pStyle w:val="Prrafodelista"/>
        <w:spacing w:before="120" w:after="120"/>
        <w:ind w:left="851" w:right="851" w:firstLine="709"/>
        <w:jc w:val="both"/>
        <w:rPr>
          <w:rStyle w:val="normaltextrun1"/>
          <w:rFonts w:ascii="Times New Roman" w:hAnsi="Times New Roman" w:cs="Times New Roman"/>
          <w:i/>
          <w:iCs/>
          <w:sz w:val="26"/>
          <w:szCs w:val="26"/>
          <w:lang w:eastAsia="zh-CN"/>
        </w:rPr>
      </w:pPr>
    </w:p>
    <w:p w:rsidRPr="00AE1B2B" w:rsidR="009D3FB5" w:rsidP="00163B94" w:rsidRDefault="009D3FB5" w14:paraId="25087FD2"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La implementación del Sistema de Seguimiento de Casos (SSC) es una necesidad para la Defensa Pública ya que permite, entre otras ventajas, obtener datos estadísticos que orientan la toma de decisiones, así como suministrar información de cada plaza de persona defensora, cargas de trabajo por oficina, además de recopilar los datos relevantes de los expedientes; y por medio de ellos, obtener la información necesaria para análisis. </w:t>
      </w:r>
    </w:p>
    <w:p w:rsidRPr="00AE1B2B" w:rsidR="009D3FB5" w:rsidP="00163B94" w:rsidRDefault="009D3FB5" w14:paraId="521C51C3"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237981B4"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Como parte de las acciones realizadas en este tema, durante el 2020 se continua con la implantación del sistema en las materias de Ejecución de la Pena y se inicia en Agrario.</w:t>
      </w:r>
    </w:p>
    <w:p w:rsidRPr="00AE1B2B" w:rsidR="009D3FB5" w:rsidP="00163B94" w:rsidRDefault="009D3FB5" w14:paraId="0771A465"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 </w:t>
      </w:r>
    </w:p>
    <w:p w:rsidRPr="00AE1B2B" w:rsidR="009D3FB5" w:rsidP="00163B94" w:rsidRDefault="009D3FB5" w14:paraId="2DBC6D8A"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En el caso de Ejecución de la Pena se implantó en el Primer Circuito Judicial de San José y Alajuela; las cuales son las oficinas más complejas y con mayor cantidad de personas defensoras. Se destaca que, en esta materia en San José, se implementó el expediente electrónico, por lo cual era fundamental su articulación con los sistemas de la Defensa Pública.</w:t>
      </w:r>
    </w:p>
    <w:p w:rsidRPr="00AE1B2B" w:rsidR="009D3FB5" w:rsidP="00163B94" w:rsidRDefault="009D3FB5" w14:paraId="30C31F79"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En el caso de la materia Agraria, la implantación alcanzo un 60%.</w:t>
      </w:r>
    </w:p>
    <w:p w:rsidRPr="00AE1B2B" w:rsidR="009D3FB5" w:rsidP="00163B94" w:rsidRDefault="009D3FB5" w14:paraId="489B44B7"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07A7FF91"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Como funciones específicas, se proporcionó supervisión para el control del uso del sistema y la verificación de su aplicación. Estas funciones incluyen en forma general labores como entrevistas a los especialistas de materias, estudio de factibilidad de acople del sistema a las necesidades detectadas; revisión de catálogos existentes en los sistemas, inclusión o modificación de variables, generación de </w:t>
      </w:r>
      <w:r w:rsidRPr="00AE1B2B">
        <w:rPr>
          <w:rFonts w:ascii="Times New Roman" w:hAnsi="Times New Roman" w:cs="Times New Roman"/>
          <w:sz w:val="26"/>
          <w:szCs w:val="26"/>
          <w:lang w:val="es-ES" w:eastAsia="zh-CN"/>
        </w:rPr>
        <w:lastRenderedPageBreak/>
        <w:t>módulos de pruebas, capacitación, atención de consultas varias, entre otras.</w:t>
      </w:r>
    </w:p>
    <w:p w:rsidRPr="00AE1B2B" w:rsidR="009D3FB5" w:rsidP="00163B94" w:rsidRDefault="009D3FB5" w14:paraId="53042468"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 </w:t>
      </w:r>
    </w:p>
    <w:p w:rsidRPr="00AE1B2B" w:rsidR="009D3FB5" w:rsidP="00163B94" w:rsidRDefault="009D3FB5" w14:paraId="60F5959A"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En el caso de la materia de Pensiones Alimentarias, si bien, se proyectó en el informe 497-PLA-RH-OI-2020 como parte del alcance en el 2021 realizar las acciones necesarias para implantar el Sistema de Seguimiento de Casos en esta materia, se realizó un cambio en el alcance del proyecto; ya que fue necesario primero, elaborar un diagnóstico sobre la posibilidad de implantación del Sistema de Seguimiento de Casos, producto de las particularidades en que se desarrollan las labores por parte de las personas defensoras en esta materia. El cambio en el proyecto se documentó mediante el formulario respectivo del Portafolio de Proyectos de la Dirección de Planificación en marzo 2020.</w:t>
      </w:r>
    </w:p>
    <w:p w:rsidRPr="00AE1B2B" w:rsidR="009D3FB5" w:rsidP="00163B94" w:rsidRDefault="009D3FB5" w14:paraId="48791D65"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69698D78"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Por otro lado, según el acuerdo del Consejo Superior del Poder Judicial, en la sesión 25-2018, artículo XI, del 4 de abril de 2018, se dispuso: </w:t>
      </w:r>
    </w:p>
    <w:p w:rsidRPr="00AE1B2B" w:rsidR="009D3FB5" w:rsidP="00163B94" w:rsidRDefault="009D3FB5" w14:paraId="1165365F"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72E3A510" w14:textId="77777777">
      <w:pPr>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“Las plazas que se recomiendan se otorgan con el condicionamiento de que se dediquen a labores de mantenimiento y soporte a la versión vigente del SSC, así como a desarrollar las mejoras para la nueva versión (bajo la nueva plataforma del Sistema Costarricense de Gestión de Despachos Judiciales), aprovechando para ello el conocimiento adquirido por el personal profesional durante todo el proceso.”.</w:t>
      </w:r>
    </w:p>
    <w:p w:rsidRPr="00AE1B2B" w:rsidR="009D3FB5" w:rsidP="00163B94" w:rsidRDefault="009D3FB5" w14:paraId="22404CC0"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17CD37FF"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Entre las plazas que el acuerdo menciona se ubica la plaza extraordinaria en análisis en este informe.</w:t>
      </w:r>
    </w:p>
    <w:p w:rsidRPr="00AE1B2B" w:rsidR="009D3FB5" w:rsidP="00163B94" w:rsidRDefault="009D3FB5" w14:paraId="36E9E7BC"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466BF6AE"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En este tema, la persona Defensora Supervisora participó en doce reuniones con la Dirección de Tecnología en las cuales se formularon observaciones y requerimientos en aras de mejorar las funcionalidades, diseño y accesibilidad del nuevo Sistema Integrado de Apoyo a la Gestión del Poder Judicial (SIAGPJ).</w:t>
      </w:r>
    </w:p>
    <w:p w:rsidRPr="00AE1B2B" w:rsidR="009D3FB5" w:rsidP="00163B94" w:rsidRDefault="009D3FB5" w14:paraId="36E353D1"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4A135443" w14:textId="77777777">
      <w:pPr>
        <w:pStyle w:val="Prrafodelista"/>
        <w:numPr>
          <w:ilvl w:val="0"/>
          <w:numId w:val="42"/>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Capacitación en el uso del Sistema SSC</w:t>
      </w:r>
    </w:p>
    <w:p w:rsidRPr="00AE1B2B" w:rsidR="009D3FB5" w:rsidP="00163B94" w:rsidRDefault="009D3FB5" w14:paraId="62947849" w14:textId="77777777">
      <w:pPr>
        <w:pStyle w:val="Prrafodelista"/>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9D3FB5" w14:paraId="74D78293"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lastRenderedPageBreak/>
        <w:t>En esta área se diseñaron manuales de capacitación según el público meta, ya que era necesario especializar la capacitación. En línea con lo anterior, se crearon cuatro manuales para las personas defensoras públicas (materia penal y ejecución de la pena), persona administrativa y persona técnica jurídica</w:t>
      </w:r>
      <w:r w:rsidRPr="00AE1B2B">
        <w:rPr>
          <w:rStyle w:val="normaltextrun1"/>
          <w:rFonts w:ascii="Times New Roman" w:hAnsi="Times New Roman" w:cs="Times New Roman"/>
          <w:sz w:val="26"/>
          <w:szCs w:val="26"/>
        </w:rPr>
        <w:t>.</w:t>
      </w:r>
      <w:bookmarkStart w:name="_Hlk63151892" w:id="25"/>
      <w:r w:rsidRPr="00AE1B2B">
        <w:rPr>
          <w:rStyle w:val="normaltextrun1"/>
          <w:rFonts w:ascii="Times New Roman" w:hAnsi="Times New Roman" w:cs="Times New Roman"/>
          <w:sz w:val="26"/>
          <w:szCs w:val="26"/>
        </w:rPr>
        <w:t xml:space="preserve"> </w:t>
      </w:r>
      <w:r w:rsidRPr="00AE1B2B">
        <w:rPr>
          <w:rFonts w:ascii="Times New Roman" w:hAnsi="Times New Roman" w:cs="Times New Roman"/>
          <w:sz w:val="26"/>
          <w:szCs w:val="26"/>
          <w:lang w:val="es-ES" w:eastAsia="zh-CN"/>
        </w:rPr>
        <w:t>Además, se capacito en forma virtual en los meses de agosto, finales de octubre y principios de noviembre a 55 personas defensoras públicas (mayormente de la materia Penal), 31 personas administrativas y 34 personas técnicas jurídicas</w:t>
      </w:r>
      <w:bookmarkEnd w:id="25"/>
      <w:r w:rsidRPr="00AE1B2B">
        <w:rPr>
          <w:rFonts w:ascii="Times New Roman" w:hAnsi="Times New Roman" w:cs="Times New Roman"/>
          <w:sz w:val="26"/>
          <w:szCs w:val="26"/>
          <w:lang w:val="es-ES" w:eastAsia="zh-CN"/>
        </w:rPr>
        <w:t>.</w:t>
      </w:r>
    </w:p>
    <w:p w:rsidRPr="00AE1B2B" w:rsidR="009D3FB5" w:rsidP="00163B94" w:rsidRDefault="009D3FB5" w14:paraId="0AB93D7D"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7F789017" w14:textId="77777777">
      <w:pPr>
        <w:pStyle w:val="Prrafodelista"/>
        <w:numPr>
          <w:ilvl w:val="0"/>
          <w:numId w:val="42"/>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 xml:space="preserve">Coordinaciones con la Unidad de Tecnología </w:t>
      </w:r>
    </w:p>
    <w:p w:rsidRPr="00AE1B2B" w:rsidR="009D3FB5" w:rsidP="00163B94" w:rsidRDefault="009D3FB5" w14:paraId="4F3CBE96" w14:textId="77777777">
      <w:pPr>
        <w:pStyle w:val="Prrafodelista"/>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9D3FB5" w14:paraId="6868609F"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Producto de las diversas labores realizadas en la implantación y seguimiento al Sistema Seguimiento de Casos (SSC), se dio de forma periódica comunicaciones con los profesionales de la Dirección de Tecnología, en aras de determinar la viabilidad de mejoras propuestas, cambios requeridos frente a los sistemas construidos, atención de cronogramas o bien solventar errores que se encontraron en los propios sistemas.</w:t>
      </w:r>
    </w:p>
    <w:p w:rsidRPr="00AE1B2B" w:rsidR="009D3FB5" w:rsidP="00163B94" w:rsidRDefault="009D3FB5" w14:paraId="074FB5B1"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17F9F96E"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6BE2B84A"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73C4EC16" w14:textId="77777777">
      <w:pPr>
        <w:pStyle w:val="Prrafodelista"/>
        <w:numPr>
          <w:ilvl w:val="0"/>
          <w:numId w:val="42"/>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Proyecto de Mejora Integral del Proceso Penal</w:t>
      </w:r>
    </w:p>
    <w:p w:rsidRPr="00AE1B2B" w:rsidR="009D3FB5" w:rsidP="00163B94" w:rsidRDefault="009D3FB5" w14:paraId="64A1F5E9" w14:textId="77777777">
      <w:pPr>
        <w:pStyle w:val="Prrafodelista"/>
        <w:spacing w:before="120" w:after="120"/>
        <w:ind w:left="851" w:right="851" w:firstLine="709"/>
        <w:jc w:val="both"/>
        <w:rPr>
          <w:rFonts w:ascii="Times New Roman" w:hAnsi="Times New Roman" w:cs="Times New Roman"/>
          <w:i/>
          <w:iCs/>
          <w:sz w:val="26"/>
          <w:szCs w:val="26"/>
          <w:lang w:eastAsia="zh-CN"/>
        </w:rPr>
      </w:pPr>
    </w:p>
    <w:p w:rsidRPr="00AE1B2B" w:rsidR="009D3FB5" w:rsidP="00163B94" w:rsidRDefault="009D3FB5" w14:paraId="3463D778" w14:textId="14D0A9C1">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En el caso de las actividades realizadas en el Proyecto de Mejora Integral del Proceso Penal en el ámbito auxiliar de Justicia, específicamente en la Defensa Pública, la plaza en análisis trabajó de forma conjunta con la Unidad de Modernización del Ámbito Auxiliar de Justicia de la Dirección de Planificación, utilizando como base el Modelo de Tramitación para la Defensa Pública.</w:t>
      </w:r>
      <w:r w:rsidRPr="00AE1B2B" w:rsidR="00BB7720">
        <w:rPr>
          <w:rFonts w:ascii="Times New Roman" w:hAnsi="Times New Roman" w:cs="Times New Roman"/>
          <w:sz w:val="26"/>
          <w:szCs w:val="26"/>
          <w:lang w:val="es-ES" w:eastAsia="zh-CN"/>
        </w:rPr>
        <w:t xml:space="preserve"> </w:t>
      </w:r>
      <w:r w:rsidRPr="00AE1B2B">
        <w:rPr>
          <w:rFonts w:ascii="Times New Roman" w:hAnsi="Times New Roman" w:cs="Times New Roman"/>
          <w:sz w:val="26"/>
          <w:szCs w:val="26"/>
          <w:lang w:val="es-ES" w:eastAsia="zh-CN"/>
        </w:rPr>
        <w:t>Se brindó asesoría técnica-legal a las distintas oficinas de la Defensa Pública en las que los profesionales de la Dirección de Planificación realizaron abordajes o seguimientos.</w:t>
      </w:r>
    </w:p>
    <w:p w:rsidRPr="00AE1B2B" w:rsidR="009D3FB5" w:rsidP="00163B94" w:rsidRDefault="009D3FB5" w14:paraId="754DD8AD" w14:textId="77777777">
      <w:pPr>
        <w:pStyle w:val="paragraph"/>
        <w:spacing w:before="120" w:beforeAutospacing="0" w:after="120" w:afterAutospacing="0"/>
        <w:ind w:left="851" w:right="851" w:firstLine="709"/>
        <w:contextualSpacing/>
        <w:textAlignment w:val="baseline"/>
        <w:rPr>
          <w:sz w:val="26"/>
          <w:szCs w:val="26"/>
          <w:lang w:eastAsia="zh-CN"/>
        </w:rPr>
      </w:pPr>
    </w:p>
    <w:p w:rsidRPr="00AE1B2B" w:rsidR="009D3FB5" w:rsidP="00163B94" w:rsidRDefault="009D3FB5" w14:paraId="467E6CFE" w14:textId="77777777">
      <w:pPr>
        <w:pStyle w:val="paragraph"/>
        <w:spacing w:before="120" w:beforeAutospacing="0" w:after="120" w:afterAutospacing="0"/>
        <w:ind w:left="851" w:right="851" w:firstLine="709"/>
        <w:contextualSpacing/>
        <w:jc w:val="both"/>
        <w:textAlignment w:val="baseline"/>
        <w:rPr>
          <w:sz w:val="26"/>
          <w:szCs w:val="26"/>
          <w:lang w:eastAsia="zh-CN"/>
        </w:rPr>
      </w:pPr>
      <w:r w:rsidRPr="00AE1B2B">
        <w:rPr>
          <w:sz w:val="26"/>
          <w:szCs w:val="26"/>
          <w:lang w:eastAsia="zh-CN"/>
        </w:rPr>
        <w:t xml:space="preserve">En línea con lo anterior, se participó en 20 reuniones de forma virtual con la Unidad de Modernización del Ámbito Auxiliar de Justicia de la Dirección de Planificación junto con el recurso profesional Coordinador de las oficinas involucradas de la Defensa Pública y las Jefaturas de esta, en las cuales se expusieron los </w:t>
      </w:r>
      <w:r w:rsidRPr="00AE1B2B">
        <w:rPr>
          <w:sz w:val="26"/>
          <w:szCs w:val="26"/>
          <w:lang w:eastAsia="zh-CN"/>
        </w:rPr>
        <w:lastRenderedPageBreak/>
        <w:t xml:space="preserve">resultados de las evaluaciones realizadas por los profesionales de dicha unidad. Al considerar dicho insumo, se realizó un seguimiento sobre las propuestas de mejora formuladas hacia la oficina en particular, de las cuales derivan, entre otras, labores de corrección a raíz en disfuncionalidades del SSC, detección de prácticas incorrectas de otros despachos, errores en las fórmulas utilizadas por el SIGMA, o bien, acercamientos con la persona fiscal encargada de Modernización Institucional del Ministerio Público para solventar una situación en particular. </w:t>
      </w:r>
    </w:p>
    <w:p w:rsidRPr="00AE1B2B" w:rsidR="009D3FB5" w:rsidP="00163B94" w:rsidRDefault="009D3FB5" w14:paraId="7B2827C2" w14:textId="77777777">
      <w:pPr>
        <w:pStyle w:val="paragraph"/>
        <w:spacing w:before="120" w:beforeAutospacing="0" w:after="120" w:afterAutospacing="0"/>
        <w:ind w:left="851" w:right="851" w:firstLine="709"/>
        <w:contextualSpacing/>
        <w:jc w:val="both"/>
        <w:textAlignment w:val="baseline"/>
        <w:rPr>
          <w:sz w:val="26"/>
          <w:szCs w:val="26"/>
          <w:lang w:eastAsia="zh-CN"/>
        </w:rPr>
      </w:pPr>
    </w:p>
    <w:p w:rsidRPr="00AE1B2B" w:rsidR="009D3FB5" w:rsidP="00163B94" w:rsidRDefault="009D3FB5" w14:paraId="4E8A355C"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En este tema en particular, en fecha 10 de julio de 2020 se realizó una reunión entre representantes de la Dirección de Planificación y la Defensa Pública. Entre los asistentes de la Dirección de Planificación se contó con la presencia de M.Sc. Erick Mora Leiva, Jefe de Proceso Planeación y Evaluación, Inga. Elena Gabriela Picado González entonces Jefa del Subproceso de Modernización Institucional y el Ing. Nelson Arce Hidalgo Coordinador de la Unidad Mejora Integral del Proceso Penal. Por parte de la Defensa Pública se contó con la M.Sc. Diana Montero Montero y Dr. Erick Núñez Rodríguez en ese orden, entonces Jefa y Sub Jefe de la Defensa Pública, así como el Lic. Orlando Vargas Chacón Defensor Supervisor destacado en la plaza extraordinaria en análisis. </w:t>
      </w:r>
    </w:p>
    <w:p w:rsidRPr="00AE1B2B" w:rsidR="009D3FB5" w:rsidP="00163B94" w:rsidRDefault="009D3FB5" w14:paraId="272DFC3D"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2A3286A1"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El objetivo de la reunión fue tratar las responsabilidades de la persona Defensora Supervisora de Modernización de la Defensa Pública en el Proyecto de Mejora Integral del Proceso Penal según lo establecido en el informe 497-PLA-RH-OI-2020 Estudio de Requerimiento Humano Anteproyecto de Presupuesto 2021. La reunión se documentó en la minuta 209-PLA-MI-MNTA-2020, la cual puede consultarse en el apartado de minutas.</w:t>
      </w:r>
    </w:p>
    <w:p w:rsidRPr="00AE1B2B" w:rsidR="009D3FB5" w:rsidP="00163B94" w:rsidRDefault="00BB7720" w14:paraId="6F63997D" w14:textId="256424C6">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 </w:t>
      </w:r>
    </w:p>
    <w:p w:rsidRPr="00AE1B2B" w:rsidR="009D3FB5" w:rsidP="00163B94" w:rsidRDefault="009D3FB5" w14:paraId="5B0449CB"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En la reunión, los profesionales de la Dirección de Planificación indicaron la necesidad de que la plaza de persona Defensora Supervisora apoye e impulse técnicamente el Proyecto de Mejora Integral del Proceso Penal que se está ejecutando en distintas oficinas por parte de la Defensa Pública, por lo que, alineado a la recomendación del citado informe, la plaza en análisis se destacó en ésta área, no solo al brindar el soporte técnico-legal en los abordajes y planes de mejora sino también en la sostenibilidad de los mismos, lo cual implica atención de consultas en penal adultos, flagrancia y </w:t>
      </w:r>
      <w:r w:rsidRPr="00AE1B2B">
        <w:rPr>
          <w:rFonts w:ascii="Times New Roman" w:hAnsi="Times New Roman" w:cs="Times New Roman"/>
          <w:sz w:val="26"/>
          <w:szCs w:val="26"/>
          <w:lang w:val="es-ES" w:eastAsia="zh-CN"/>
        </w:rPr>
        <w:lastRenderedPageBreak/>
        <w:t>ejecución de la pena, las cuales son las materias en las cuales la Dirección de Planificación cuenta con Profesionales a cargo de reestructuraciones de oficinas.</w:t>
      </w:r>
    </w:p>
    <w:p w:rsidRPr="00AE1B2B" w:rsidR="009D3FB5" w:rsidP="00163B94" w:rsidRDefault="009D3FB5" w14:paraId="4E8FD47A"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7ED71D17"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Por otro lado, esta plaza brindo también soporte al Proyecto de Inventarios en las oficinas de la Defensa Pública, el cual en forma general consta de realizar arqueos en las distintas plazas de persona defensora de la oficina y con ello, verificar las cargas de trabajo y certificar que la información contenida en los sistemas informáticos sea la correcta; por lo cual es vital que, una vez certificada la oficina se fiscalice el uso correcto del sistema, esta información permite un abordaje más completo y real de la carga de trabajo de cada despacho.</w:t>
      </w:r>
    </w:p>
    <w:p w:rsidRPr="00AE1B2B" w:rsidR="009D3FB5" w:rsidP="00163B94" w:rsidRDefault="009D3FB5" w14:paraId="1D83F438"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6A3CBB5E" w14:textId="77777777">
      <w:pPr>
        <w:pStyle w:val="Prrafodelista"/>
        <w:numPr>
          <w:ilvl w:val="0"/>
          <w:numId w:val="42"/>
        </w:numPr>
        <w:spacing w:before="120" w:after="120"/>
        <w:ind w:left="851" w:right="851" w:firstLine="709"/>
        <w:contextualSpacing/>
        <w:jc w:val="both"/>
        <w:rPr>
          <w:rStyle w:val="normaltextrun1"/>
          <w:rFonts w:ascii="Times New Roman" w:hAnsi="Times New Roman" w:cs="Times New Roman"/>
          <w:sz w:val="26"/>
          <w:szCs w:val="26"/>
        </w:rPr>
      </w:pPr>
      <w:r w:rsidRPr="00AE1B2B">
        <w:rPr>
          <w:rStyle w:val="normaltextrun1"/>
          <w:rFonts w:ascii="Times New Roman" w:hAnsi="Times New Roman" w:cs="Times New Roman"/>
          <w:sz w:val="26"/>
          <w:szCs w:val="26"/>
        </w:rPr>
        <w:t>Plan de Descongestionamiento de la Jurisdicción Penal</w:t>
      </w:r>
    </w:p>
    <w:p w:rsidRPr="00AE1B2B" w:rsidR="009D3FB5" w:rsidP="00163B94" w:rsidRDefault="009D3FB5" w14:paraId="36ECF9BD" w14:textId="77777777">
      <w:pPr>
        <w:pStyle w:val="Prrafodelista"/>
        <w:spacing w:before="120" w:after="120"/>
        <w:ind w:left="851" w:right="851" w:firstLine="709"/>
        <w:jc w:val="both"/>
        <w:rPr>
          <w:rStyle w:val="normaltextrun1"/>
          <w:rFonts w:ascii="Times New Roman" w:hAnsi="Times New Roman" w:cs="Times New Roman"/>
          <w:sz w:val="26"/>
          <w:szCs w:val="26"/>
        </w:rPr>
      </w:pPr>
    </w:p>
    <w:p w:rsidRPr="00AE1B2B" w:rsidR="009D3FB5" w:rsidP="00163B94" w:rsidRDefault="009D3FB5" w14:paraId="3C35936A"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Por otro lado, la plaza de persona Defensora Supervisora se hizo cargo de gerenciar las plazas asignadas a la Defensa Pública, mediante los permisos con goce de salario concedidos por el Consejo Superior (artículo 44 de la Ley Orgánica del Poder Judicial), por lo que, se rindieron los informes mensuales de las plazas asignadas durante el periodo 2020 ante la Dirección de Planificación, labor alineada a la indicación documentada en la minuta 209-PLA-MI-MNTA-2020, donde quedó establecido que la persona Defensora Supervisora debe darle seguimiento a las plazas de personas defensoras que participan en los planes de descongestionamiento de la materia Penal, esto debido a que de manera trimestral esos recursos se deben evaluar para ver su correcto aprovechamiento.</w:t>
      </w:r>
    </w:p>
    <w:p w:rsidRPr="00AE1B2B" w:rsidR="009D3FB5" w:rsidP="00163B94" w:rsidRDefault="009D3FB5" w14:paraId="6E65157C" w14:textId="77777777">
      <w:pPr>
        <w:pStyle w:val="paragraph"/>
        <w:spacing w:before="120" w:beforeAutospacing="0" w:after="120" w:afterAutospacing="0"/>
        <w:ind w:left="851" w:right="851" w:firstLine="709"/>
        <w:contextualSpacing/>
        <w:jc w:val="both"/>
        <w:textAlignment w:val="baseline"/>
        <w:rPr>
          <w:sz w:val="26"/>
          <w:szCs w:val="26"/>
        </w:rPr>
      </w:pPr>
    </w:p>
    <w:p w:rsidRPr="00AE1B2B" w:rsidR="009D3FB5" w:rsidP="00163B94" w:rsidRDefault="009D3FB5" w14:paraId="36F616EE" w14:textId="77777777">
      <w:pPr>
        <w:pStyle w:val="Prrafodelista"/>
        <w:numPr>
          <w:ilvl w:val="0"/>
          <w:numId w:val="143"/>
        </w:numPr>
        <w:spacing w:before="120" w:after="120"/>
        <w:ind w:left="851" w:right="851" w:firstLine="709"/>
        <w:rPr>
          <w:rStyle w:val="Refdecomentario"/>
          <w:rFonts w:ascii="Times New Roman" w:hAnsi="Times New Roman" w:cs="Times New Roman"/>
          <w:b/>
          <w:bCs/>
          <w:i/>
          <w:sz w:val="26"/>
          <w:szCs w:val="26"/>
        </w:rPr>
      </w:pPr>
      <w:r w:rsidRPr="00AE1B2B">
        <w:rPr>
          <w:rStyle w:val="Refdecomentario"/>
          <w:rFonts w:ascii="Times New Roman" w:hAnsi="Times New Roman" w:cs="Times New Roman"/>
          <w:sz w:val="26"/>
          <w:szCs w:val="26"/>
        </w:rPr>
        <w:t>Creación de la nueva página web de la Defensa Pública y nuevas funcionalidades</w:t>
      </w:r>
    </w:p>
    <w:p w:rsidRPr="00AE1B2B" w:rsidR="009D3FB5" w:rsidP="00163B94" w:rsidRDefault="009D3FB5" w14:paraId="19DA7D0F" w14:textId="77777777">
      <w:pPr>
        <w:pStyle w:val="Prrafodelista"/>
        <w:spacing w:before="120" w:after="120"/>
        <w:ind w:left="851" w:right="851" w:firstLine="709"/>
        <w:jc w:val="both"/>
        <w:rPr>
          <w:rStyle w:val="normaltextrun1"/>
          <w:rFonts w:ascii="Times New Roman" w:hAnsi="Times New Roman" w:cs="Times New Roman"/>
          <w:sz w:val="26"/>
          <w:szCs w:val="26"/>
        </w:rPr>
      </w:pPr>
      <w:r w:rsidRPr="00AE1B2B">
        <w:rPr>
          <w:rStyle w:val="normaltextrun1"/>
          <w:rFonts w:ascii="Times New Roman" w:hAnsi="Times New Roman" w:cs="Times New Roman"/>
          <w:sz w:val="26"/>
          <w:szCs w:val="26"/>
        </w:rPr>
        <w:t xml:space="preserve"> </w:t>
      </w:r>
    </w:p>
    <w:p w:rsidRPr="00AE1B2B" w:rsidR="009D3FB5" w:rsidP="00163B94" w:rsidRDefault="009D3FB5" w14:paraId="6DFC5EB2"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Adicional a las labores ya expuestas, esta plaza en coordinación con el Proyecto de Estrategias de Comunicación y Proyección de la Defensa se destacó en el rediseño de una nueva página web de la Defensa Pública. Este proyecto inicio en el mes de junio y se presentó en diciembre del 2020, lo anterior a solicitud de la entonces Jefatura de la Defensa Pública, M.Sc. Diana Montero Montero; ya que esta función no fue contemplada en las responsabilidades principales del quehacer de la plaza. </w:t>
      </w:r>
    </w:p>
    <w:p w:rsidRPr="00AE1B2B" w:rsidR="009D3FB5" w:rsidP="00163B94" w:rsidRDefault="009D3FB5" w14:paraId="05C9BFFD"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27D700FD"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Adicionalmente del informe </w:t>
      </w:r>
      <w:r w:rsidRPr="00AE1B2B">
        <w:rPr>
          <w:rFonts w:ascii="Times New Roman" w:hAnsi="Times New Roman" w:cs="Times New Roman"/>
          <w:sz w:val="26"/>
          <w:szCs w:val="26"/>
        </w:rPr>
        <w:t>497-PLA-RH-OI-2020</w:t>
      </w:r>
      <w:r w:rsidRPr="00AE1B2B">
        <w:rPr>
          <w:rFonts w:ascii="Times New Roman" w:hAnsi="Times New Roman" w:cs="Times New Roman"/>
          <w:sz w:val="26"/>
          <w:szCs w:val="26"/>
          <w:lang w:val="es-ES" w:eastAsia="zh-CN"/>
        </w:rPr>
        <w:t xml:space="preserve">, apartado </w:t>
      </w:r>
      <w:r w:rsidRPr="00AE1B2B">
        <w:rPr>
          <w:rFonts w:ascii="Times New Roman" w:hAnsi="Times New Roman" w:cs="Times New Roman"/>
          <w:i/>
          <w:iCs/>
          <w:sz w:val="26"/>
          <w:szCs w:val="26"/>
          <w:lang w:val="es-ES" w:eastAsia="zh-CN"/>
        </w:rPr>
        <w:t xml:space="preserve">3.2.2.2.- Labores a realizar en el 2020 </w:t>
      </w:r>
      <w:r w:rsidRPr="00AE1B2B">
        <w:rPr>
          <w:rFonts w:ascii="Times New Roman" w:hAnsi="Times New Roman" w:cs="Times New Roman"/>
          <w:sz w:val="26"/>
          <w:szCs w:val="26"/>
          <w:lang w:val="es-ES" w:eastAsia="zh-CN"/>
        </w:rPr>
        <w:t>se desprende:</w:t>
      </w:r>
    </w:p>
    <w:p w:rsidRPr="00AE1B2B" w:rsidR="009D3FB5" w:rsidP="00163B94" w:rsidRDefault="009D3FB5" w14:paraId="7E4DA699" w14:textId="77777777">
      <w:pPr>
        <w:pStyle w:val="Prrafodelista"/>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BB7720" w14:paraId="03FD40BC" w14:textId="0E785573">
      <w:pPr>
        <w:widowControl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 xml:space="preserve"> </w:t>
      </w:r>
      <w:r w:rsidRPr="00AE1B2B" w:rsidR="009D3FB5">
        <w:rPr>
          <w:rFonts w:ascii="Times New Roman" w:hAnsi="Times New Roman" w:cs="Times New Roman"/>
          <w:i/>
          <w:iCs/>
          <w:sz w:val="26"/>
          <w:szCs w:val="26"/>
          <w:lang w:val="es-ES" w:eastAsia="zh-CN"/>
        </w:rPr>
        <w:t>“En lo que respecta al 2020 se tiene previsto terminar la implantación del sistema en las oficinas que conocen Ejecución de la Pena en la Defensa Pública y el inicio de la implantación en materia agraria, lo que amerita labores necesarias de capacitación al personal profesional y administrativo de cada oficina en el uso de la herramienta tecnológica. Se muestra la proyección de atención que se tiene para el presente año por el equipo que se compone por el recurso extraordinario otorgado y un asistente administrativo.</w:t>
      </w:r>
    </w:p>
    <w:p w:rsidRPr="00AE1B2B" w:rsidR="009D3FB5" w:rsidP="00163B94" w:rsidRDefault="009D3FB5" w14:paraId="25A9173C" w14:textId="77777777">
      <w:pPr>
        <w:widowControl w:val="0"/>
        <w:spacing w:before="120" w:after="120" w:line="276" w:lineRule="auto"/>
        <w:ind w:right="283"/>
        <w:jc w:val="both"/>
        <w:rPr>
          <w:rFonts w:ascii="Times New Roman" w:hAnsi="Times New Roman" w:cs="Times New Roman"/>
          <w:iCs/>
        </w:rPr>
      </w:pPr>
    </w:p>
    <w:tbl>
      <w:tblPr>
        <w:tblStyle w:val="Tablaconcuadrcula"/>
        <w:tblW w:w="5000" w:type="pct"/>
        <w:jc w:val="center"/>
        <w:tblLook w:val="04A0" w:firstRow="1" w:lastRow="0" w:firstColumn="1" w:lastColumn="0" w:noHBand="0" w:noVBand="1"/>
      </w:tblPr>
      <w:tblGrid>
        <w:gridCol w:w="3047"/>
        <w:gridCol w:w="2855"/>
        <w:gridCol w:w="2926"/>
      </w:tblGrid>
      <w:tr w:rsidRPr="00AE1B2B" w:rsidR="00AE1B2B" w:rsidTr="00825416" w14:paraId="63500147" w14:textId="77777777">
        <w:trPr>
          <w:trHeight w:val="280"/>
          <w:jc w:val="center"/>
        </w:trPr>
        <w:tc>
          <w:tcPr>
            <w:tcW w:w="1726" w:type="pct"/>
            <w:shd w:val="clear" w:color="auto" w:fill="9CC2E5" w:themeFill="accent1" w:themeFillTint="99"/>
          </w:tcPr>
          <w:p w:rsidRPr="00AE1B2B" w:rsidR="009D3FB5" w:rsidP="00163B94" w:rsidRDefault="009D3FB5" w14:paraId="62ED0F58" w14:textId="77777777">
            <w:pPr>
              <w:spacing w:before="120" w:after="120" w:line="276" w:lineRule="auto"/>
              <w:jc w:val="center"/>
              <w:rPr>
                <w:rFonts w:ascii="Times New Roman" w:hAnsi="Times New Roman" w:cs="Times New Roman"/>
                <w:sz w:val="22"/>
                <w:szCs w:val="22"/>
              </w:rPr>
            </w:pPr>
            <w:r w:rsidRPr="00AE1B2B">
              <w:rPr>
                <w:rFonts w:ascii="Times New Roman" w:hAnsi="Times New Roman" w:cs="Times New Roman"/>
                <w:sz w:val="22"/>
                <w:szCs w:val="22"/>
              </w:rPr>
              <w:t>Materia</w:t>
            </w:r>
          </w:p>
        </w:tc>
        <w:tc>
          <w:tcPr>
            <w:tcW w:w="1617" w:type="pct"/>
            <w:shd w:val="clear" w:color="auto" w:fill="9CC2E5" w:themeFill="accent1" w:themeFillTint="99"/>
          </w:tcPr>
          <w:p w:rsidRPr="00AE1B2B" w:rsidR="009D3FB5" w:rsidP="00163B94" w:rsidRDefault="009D3FB5" w14:paraId="3B7285CD" w14:textId="77777777">
            <w:pPr>
              <w:spacing w:before="120" w:after="120" w:line="276" w:lineRule="auto"/>
              <w:jc w:val="center"/>
              <w:rPr>
                <w:rFonts w:ascii="Times New Roman" w:hAnsi="Times New Roman" w:cs="Times New Roman"/>
                <w:sz w:val="22"/>
                <w:szCs w:val="22"/>
              </w:rPr>
            </w:pPr>
            <w:r w:rsidRPr="00AE1B2B">
              <w:rPr>
                <w:rFonts w:ascii="Times New Roman" w:hAnsi="Times New Roman" w:cs="Times New Roman"/>
                <w:sz w:val="22"/>
                <w:szCs w:val="22"/>
              </w:rPr>
              <w:t>Oficinas</w:t>
            </w:r>
          </w:p>
        </w:tc>
        <w:tc>
          <w:tcPr>
            <w:tcW w:w="1658" w:type="pct"/>
            <w:shd w:val="clear" w:color="auto" w:fill="9CC2E5" w:themeFill="accent1" w:themeFillTint="99"/>
          </w:tcPr>
          <w:p w:rsidRPr="00AE1B2B" w:rsidR="009D3FB5" w:rsidP="00163B94" w:rsidRDefault="009D3FB5" w14:paraId="3383D35A" w14:textId="77777777">
            <w:pPr>
              <w:spacing w:before="120" w:after="120" w:line="276" w:lineRule="auto"/>
              <w:jc w:val="center"/>
              <w:rPr>
                <w:rFonts w:ascii="Times New Roman" w:hAnsi="Times New Roman" w:cs="Times New Roman"/>
                <w:sz w:val="22"/>
                <w:szCs w:val="22"/>
              </w:rPr>
            </w:pPr>
            <w:r w:rsidRPr="00AE1B2B">
              <w:rPr>
                <w:rFonts w:ascii="Times New Roman" w:hAnsi="Times New Roman" w:cs="Times New Roman"/>
                <w:sz w:val="22"/>
                <w:szCs w:val="22"/>
              </w:rPr>
              <w:t>Cantidad de personal a capacitar</w:t>
            </w:r>
          </w:p>
        </w:tc>
      </w:tr>
      <w:tr w:rsidRPr="00AE1B2B" w:rsidR="00AE1B2B" w:rsidTr="00825416" w14:paraId="7CAE7AFE" w14:textId="77777777">
        <w:trPr>
          <w:trHeight w:val="197"/>
          <w:jc w:val="center"/>
        </w:trPr>
        <w:tc>
          <w:tcPr>
            <w:tcW w:w="1726" w:type="pct"/>
          </w:tcPr>
          <w:p w:rsidRPr="00AE1B2B" w:rsidR="009D3FB5" w:rsidP="00163B94" w:rsidRDefault="009D3FB5" w14:paraId="0F4DFBFA" w14:textId="77777777">
            <w:pPr>
              <w:spacing w:before="120" w:after="120" w:line="276" w:lineRule="auto"/>
              <w:jc w:val="center"/>
              <w:rPr>
                <w:rFonts w:ascii="Times New Roman" w:hAnsi="Times New Roman" w:cs="Times New Roman"/>
                <w:sz w:val="22"/>
                <w:szCs w:val="22"/>
              </w:rPr>
            </w:pPr>
            <w:r w:rsidRPr="00AE1B2B">
              <w:rPr>
                <w:rFonts w:ascii="Times New Roman" w:hAnsi="Times New Roman" w:cs="Times New Roman"/>
                <w:sz w:val="22"/>
                <w:szCs w:val="22"/>
              </w:rPr>
              <w:t>Ejecución de la Pena</w:t>
            </w:r>
          </w:p>
        </w:tc>
        <w:tc>
          <w:tcPr>
            <w:tcW w:w="1617" w:type="pct"/>
          </w:tcPr>
          <w:p w:rsidRPr="00AE1B2B" w:rsidR="009D3FB5" w:rsidP="00163B94" w:rsidRDefault="009D3FB5" w14:paraId="3DC870F9" w14:textId="77777777">
            <w:pPr>
              <w:spacing w:before="120" w:after="120" w:line="276" w:lineRule="auto"/>
              <w:jc w:val="center"/>
              <w:rPr>
                <w:rFonts w:ascii="Times New Roman" w:hAnsi="Times New Roman" w:cs="Times New Roman"/>
                <w:sz w:val="22"/>
                <w:szCs w:val="22"/>
              </w:rPr>
            </w:pPr>
            <w:r w:rsidRPr="00AE1B2B">
              <w:rPr>
                <w:rFonts w:ascii="Times New Roman" w:hAnsi="Times New Roman" w:cs="Times New Roman"/>
                <w:sz w:val="22"/>
                <w:szCs w:val="22"/>
              </w:rPr>
              <w:t>8</w:t>
            </w:r>
          </w:p>
        </w:tc>
        <w:tc>
          <w:tcPr>
            <w:tcW w:w="1658" w:type="pct"/>
          </w:tcPr>
          <w:p w:rsidRPr="00AE1B2B" w:rsidR="009D3FB5" w:rsidP="00163B94" w:rsidRDefault="009D3FB5" w14:paraId="4DA2E16A" w14:textId="77777777">
            <w:pPr>
              <w:spacing w:before="120" w:after="120" w:line="276" w:lineRule="auto"/>
              <w:jc w:val="center"/>
              <w:rPr>
                <w:rFonts w:ascii="Times New Roman" w:hAnsi="Times New Roman" w:cs="Times New Roman"/>
                <w:sz w:val="22"/>
                <w:szCs w:val="22"/>
              </w:rPr>
            </w:pPr>
            <w:r w:rsidRPr="00AE1B2B">
              <w:rPr>
                <w:rFonts w:ascii="Times New Roman" w:hAnsi="Times New Roman" w:cs="Times New Roman"/>
                <w:sz w:val="22"/>
                <w:szCs w:val="22"/>
              </w:rPr>
              <w:t>23</w:t>
            </w:r>
          </w:p>
        </w:tc>
      </w:tr>
      <w:tr w:rsidRPr="00AE1B2B" w:rsidR="00AE1B2B" w:rsidTr="00825416" w14:paraId="5F0AB179" w14:textId="77777777">
        <w:trPr>
          <w:trHeight w:val="165"/>
          <w:jc w:val="center"/>
        </w:trPr>
        <w:tc>
          <w:tcPr>
            <w:tcW w:w="1726" w:type="pct"/>
          </w:tcPr>
          <w:p w:rsidRPr="00AE1B2B" w:rsidR="009D3FB5" w:rsidP="00163B94" w:rsidRDefault="009D3FB5" w14:paraId="4CB15A29" w14:textId="77777777">
            <w:pPr>
              <w:spacing w:before="120" w:after="120" w:line="276" w:lineRule="auto"/>
              <w:jc w:val="center"/>
              <w:rPr>
                <w:rFonts w:ascii="Times New Roman" w:hAnsi="Times New Roman" w:cs="Times New Roman"/>
                <w:sz w:val="22"/>
                <w:szCs w:val="22"/>
              </w:rPr>
            </w:pPr>
            <w:r w:rsidRPr="00AE1B2B">
              <w:rPr>
                <w:rFonts w:ascii="Times New Roman" w:hAnsi="Times New Roman" w:cs="Times New Roman"/>
                <w:sz w:val="22"/>
                <w:szCs w:val="22"/>
              </w:rPr>
              <w:t>Agrario</w:t>
            </w:r>
          </w:p>
        </w:tc>
        <w:tc>
          <w:tcPr>
            <w:tcW w:w="1617" w:type="pct"/>
          </w:tcPr>
          <w:p w:rsidRPr="00AE1B2B" w:rsidR="009D3FB5" w:rsidP="00163B94" w:rsidRDefault="009D3FB5" w14:paraId="4ADCA259" w14:textId="77777777">
            <w:pPr>
              <w:spacing w:before="120" w:after="120" w:line="276" w:lineRule="auto"/>
              <w:jc w:val="center"/>
              <w:rPr>
                <w:rFonts w:ascii="Times New Roman" w:hAnsi="Times New Roman" w:cs="Times New Roman"/>
                <w:sz w:val="22"/>
                <w:szCs w:val="22"/>
              </w:rPr>
            </w:pPr>
            <w:r w:rsidRPr="00AE1B2B">
              <w:rPr>
                <w:rFonts w:ascii="Times New Roman" w:hAnsi="Times New Roman" w:cs="Times New Roman"/>
                <w:sz w:val="22"/>
                <w:szCs w:val="22"/>
              </w:rPr>
              <w:t>7</w:t>
            </w:r>
          </w:p>
        </w:tc>
        <w:tc>
          <w:tcPr>
            <w:tcW w:w="1658" w:type="pct"/>
          </w:tcPr>
          <w:p w:rsidRPr="00AE1B2B" w:rsidR="009D3FB5" w:rsidP="00163B94" w:rsidRDefault="009D3FB5" w14:paraId="0D4D06CD" w14:textId="77777777">
            <w:pPr>
              <w:spacing w:before="120" w:after="120" w:line="276" w:lineRule="auto"/>
              <w:jc w:val="center"/>
              <w:rPr>
                <w:rFonts w:ascii="Times New Roman" w:hAnsi="Times New Roman" w:cs="Times New Roman"/>
                <w:sz w:val="22"/>
                <w:szCs w:val="22"/>
              </w:rPr>
            </w:pPr>
            <w:r w:rsidRPr="00AE1B2B">
              <w:rPr>
                <w:rFonts w:ascii="Times New Roman" w:hAnsi="Times New Roman" w:cs="Times New Roman"/>
                <w:sz w:val="22"/>
                <w:szCs w:val="22"/>
              </w:rPr>
              <w:t>14</w:t>
            </w:r>
          </w:p>
        </w:tc>
      </w:tr>
      <w:tr w:rsidRPr="00AE1B2B" w:rsidR="00AE1B2B" w:rsidTr="00825416" w14:paraId="1D14ECF4" w14:textId="77777777">
        <w:trPr>
          <w:trHeight w:val="322"/>
          <w:jc w:val="center"/>
        </w:trPr>
        <w:tc>
          <w:tcPr>
            <w:tcW w:w="1726" w:type="pct"/>
          </w:tcPr>
          <w:p w:rsidRPr="00AE1B2B" w:rsidR="009D3FB5" w:rsidP="00163B94" w:rsidRDefault="009D3FB5" w14:paraId="38476857" w14:textId="77777777">
            <w:pPr>
              <w:spacing w:before="120" w:after="120" w:line="276" w:lineRule="auto"/>
              <w:jc w:val="center"/>
              <w:rPr>
                <w:rFonts w:ascii="Times New Roman" w:hAnsi="Times New Roman" w:cs="Times New Roman"/>
                <w:sz w:val="22"/>
                <w:szCs w:val="22"/>
              </w:rPr>
            </w:pPr>
            <w:r w:rsidRPr="00AE1B2B">
              <w:rPr>
                <w:rFonts w:ascii="Times New Roman" w:hAnsi="Times New Roman" w:cs="Times New Roman"/>
                <w:sz w:val="22"/>
                <w:szCs w:val="22"/>
              </w:rPr>
              <w:t>Pensiones Alimentarias</w:t>
            </w:r>
          </w:p>
        </w:tc>
        <w:tc>
          <w:tcPr>
            <w:tcW w:w="1617" w:type="pct"/>
          </w:tcPr>
          <w:p w:rsidRPr="00AE1B2B" w:rsidR="009D3FB5" w:rsidP="00163B94" w:rsidRDefault="009D3FB5" w14:paraId="267AB556" w14:textId="77777777">
            <w:pPr>
              <w:spacing w:before="120" w:after="120" w:line="276" w:lineRule="auto"/>
              <w:jc w:val="center"/>
              <w:rPr>
                <w:rFonts w:ascii="Times New Roman" w:hAnsi="Times New Roman" w:cs="Times New Roman"/>
                <w:sz w:val="22"/>
                <w:szCs w:val="22"/>
              </w:rPr>
            </w:pPr>
            <w:r w:rsidRPr="00AE1B2B">
              <w:rPr>
                <w:rFonts w:ascii="Times New Roman" w:hAnsi="Times New Roman" w:cs="Times New Roman"/>
                <w:sz w:val="22"/>
                <w:szCs w:val="22"/>
              </w:rPr>
              <w:t>34</w:t>
            </w:r>
          </w:p>
        </w:tc>
        <w:tc>
          <w:tcPr>
            <w:tcW w:w="1658" w:type="pct"/>
          </w:tcPr>
          <w:p w:rsidRPr="00AE1B2B" w:rsidR="009D3FB5" w:rsidP="00163B94" w:rsidRDefault="009D3FB5" w14:paraId="4C8B7504" w14:textId="77777777">
            <w:pPr>
              <w:spacing w:before="120" w:after="120" w:line="276" w:lineRule="auto"/>
              <w:jc w:val="center"/>
              <w:rPr>
                <w:rFonts w:ascii="Times New Roman" w:hAnsi="Times New Roman" w:cs="Times New Roman"/>
                <w:sz w:val="22"/>
                <w:szCs w:val="22"/>
              </w:rPr>
            </w:pPr>
            <w:r w:rsidRPr="00AE1B2B">
              <w:rPr>
                <w:rFonts w:ascii="Times New Roman" w:hAnsi="Times New Roman" w:cs="Times New Roman"/>
                <w:sz w:val="22"/>
                <w:szCs w:val="22"/>
              </w:rPr>
              <w:t>82</w:t>
            </w:r>
          </w:p>
        </w:tc>
      </w:tr>
    </w:tbl>
    <w:p w:rsidRPr="00AE1B2B" w:rsidR="009D3FB5" w:rsidP="00163B94" w:rsidRDefault="00BB7720" w14:paraId="46D2FF97" w14:textId="73BE8734">
      <w:pPr>
        <w:widowControl w:val="0"/>
        <w:spacing w:before="120" w:after="120" w:line="276" w:lineRule="auto"/>
        <w:ind w:left="804" w:right="283"/>
        <w:jc w:val="both"/>
        <w:rPr>
          <w:rFonts w:ascii="Times New Roman" w:hAnsi="Times New Roman" w:cs="Times New Roman"/>
          <w:i/>
          <w:sz w:val="16"/>
          <w:szCs w:val="16"/>
        </w:rPr>
      </w:pPr>
      <w:r w:rsidRPr="00AE1B2B">
        <w:rPr>
          <w:rFonts w:ascii="Times New Roman" w:hAnsi="Times New Roman" w:cs="Times New Roman"/>
          <w:b/>
          <w:bCs/>
          <w:i/>
          <w:sz w:val="16"/>
          <w:szCs w:val="16"/>
        </w:rPr>
        <w:t xml:space="preserve"> </w:t>
      </w:r>
      <w:r w:rsidRPr="00AE1B2B" w:rsidR="009D3FB5">
        <w:rPr>
          <w:rFonts w:ascii="Times New Roman" w:hAnsi="Times New Roman" w:cs="Times New Roman"/>
          <w:b/>
          <w:bCs/>
          <w:i/>
          <w:sz w:val="16"/>
          <w:szCs w:val="16"/>
        </w:rPr>
        <w:t>Fuente:</w:t>
      </w:r>
      <w:r w:rsidRPr="00AE1B2B" w:rsidR="009D3FB5">
        <w:rPr>
          <w:rFonts w:ascii="Times New Roman" w:hAnsi="Times New Roman" w:cs="Times New Roman"/>
          <w:i/>
          <w:sz w:val="16"/>
          <w:szCs w:val="16"/>
        </w:rPr>
        <w:t xml:space="preserve"> </w:t>
      </w:r>
      <w:r w:rsidRPr="00AE1B2B" w:rsidR="009D3FB5">
        <w:rPr>
          <w:rFonts w:ascii="Times New Roman" w:hAnsi="Times New Roman" w:cs="Times New Roman"/>
          <w:iCs/>
          <w:sz w:val="16"/>
          <w:szCs w:val="16"/>
        </w:rPr>
        <w:t xml:space="preserve">Unidad de Modernización de la Defensa Pública. </w:t>
      </w:r>
    </w:p>
    <w:p w:rsidRPr="00AE1B2B" w:rsidR="009D3FB5" w:rsidP="00163B94" w:rsidRDefault="009D3FB5" w14:paraId="27A4317A" w14:textId="77777777">
      <w:pPr>
        <w:widowControl w:val="0"/>
        <w:spacing w:before="120" w:after="120" w:line="276" w:lineRule="auto"/>
        <w:ind w:right="283"/>
        <w:jc w:val="both"/>
        <w:rPr>
          <w:rFonts w:ascii="Times New Roman" w:hAnsi="Times New Roman" w:cs="Times New Roman"/>
          <w:i/>
        </w:rPr>
      </w:pPr>
    </w:p>
    <w:p w:rsidRPr="00AE1B2B" w:rsidR="009D3FB5" w:rsidP="00163B94" w:rsidRDefault="00BB7720" w14:paraId="610AE531" w14:textId="08CD8045">
      <w:pPr>
        <w:widowControl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 xml:space="preserve"> </w:t>
      </w:r>
      <w:r w:rsidRPr="00AE1B2B" w:rsidR="009D3FB5">
        <w:rPr>
          <w:rFonts w:ascii="Times New Roman" w:hAnsi="Times New Roman" w:cs="Times New Roman"/>
          <w:i/>
          <w:iCs/>
          <w:sz w:val="26"/>
          <w:szCs w:val="26"/>
          <w:lang w:val="es-ES" w:eastAsia="zh-CN"/>
        </w:rPr>
        <w:t>En vista de la anterior proyección se considera adecuado establecer un indicador de gestión en los siguientes términos para futuras evaluaciones del recurso concedido:</w:t>
      </w:r>
    </w:p>
    <w:p w:rsidRPr="00AE1B2B" w:rsidR="009D3FB5" w:rsidP="00163B94" w:rsidRDefault="009D3FB5" w14:paraId="7A077AC3" w14:textId="77777777">
      <w:pPr>
        <w:widowControl w:val="0"/>
        <w:spacing w:before="120" w:after="120"/>
        <w:ind w:left="851" w:right="851" w:firstLine="709"/>
        <w:jc w:val="both"/>
        <w:rPr>
          <w:rFonts w:ascii="Times New Roman" w:hAnsi="Times New Roman" w:cs="Times New Roman"/>
          <w:i/>
          <w:sz w:val="26"/>
          <w:szCs w:val="26"/>
        </w:rPr>
      </w:pPr>
    </w:p>
    <w:p w:rsidRPr="00AE1B2B" w:rsidR="009D3FB5" w:rsidP="00163B94" w:rsidRDefault="009D3FB5" w14:paraId="0BFD959C" w14:textId="77777777">
      <w:pPr>
        <w:widowControl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“Oficinas de la Defensa Pública a las que se implantó el Sistema de Seguimiento de Casos (SSC) entre las oficinas que se tenía proyectado implantar.”.</w:t>
      </w:r>
    </w:p>
    <w:p w:rsidRPr="00AE1B2B" w:rsidR="009D3FB5" w:rsidP="00163B94" w:rsidRDefault="009D3FB5" w14:paraId="1A614470" w14:textId="77777777">
      <w:pPr>
        <w:pStyle w:val="Prrafodelista"/>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9D3FB5" w14:paraId="208B2A19" w14:textId="77777777">
      <w:pPr>
        <w:pStyle w:val="Prrafodelista"/>
        <w:spacing w:before="120" w:after="120"/>
        <w:ind w:left="851" w:right="851" w:firstLine="709"/>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 xml:space="preserve">Al consultar específicamente al Lic. Vargas Chacón las razones de las diferencias entre las labores proyectadas en el informe citado versus las ejecutadas en el periodo 2020 y el alcance en específico de la implantación del Sistema de Seguimiento de Casos en las distintas oficinas, por medio de correo electrónico indicó: </w:t>
      </w:r>
    </w:p>
    <w:p w:rsidRPr="00AE1B2B" w:rsidR="009D3FB5" w:rsidP="00163B94" w:rsidRDefault="009D3FB5" w14:paraId="15DAB768" w14:textId="77777777">
      <w:pPr>
        <w:pStyle w:val="Prrafodelista"/>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BB7720" w14:paraId="02BADEB6" w14:textId="7C96E208">
      <w:pPr>
        <w:widowControl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lastRenderedPageBreak/>
        <w:t xml:space="preserve"> </w:t>
      </w:r>
      <w:r w:rsidRPr="00AE1B2B" w:rsidR="009D3FB5">
        <w:rPr>
          <w:rFonts w:ascii="Times New Roman" w:hAnsi="Times New Roman" w:cs="Times New Roman"/>
          <w:i/>
          <w:iCs/>
          <w:sz w:val="26"/>
          <w:szCs w:val="26"/>
          <w:lang w:val="es-ES" w:eastAsia="zh-CN"/>
        </w:rPr>
        <w:t>“Al momento en que yo asumo el proyecto, en marzo de 2020, percibo que existen diversas dificultades no detectadas, las cuales me obligan a solicitar la variación de los objetivos del proyecto como originalmente se había concebido.</w:t>
      </w:r>
      <w:r w:rsidRPr="00AE1B2B">
        <w:rPr>
          <w:rFonts w:ascii="Times New Roman" w:hAnsi="Times New Roman" w:cs="Times New Roman"/>
          <w:i/>
          <w:iCs/>
          <w:sz w:val="26"/>
          <w:szCs w:val="26"/>
          <w:lang w:val="es-ES" w:eastAsia="zh-CN"/>
        </w:rPr>
        <w:t xml:space="preserve"> </w:t>
      </w:r>
      <w:r w:rsidRPr="00AE1B2B" w:rsidR="009D3FB5">
        <w:rPr>
          <w:rFonts w:ascii="Times New Roman" w:hAnsi="Times New Roman" w:cs="Times New Roman"/>
          <w:i/>
          <w:iCs/>
          <w:sz w:val="26"/>
          <w:szCs w:val="26"/>
          <w:lang w:val="es-ES" w:eastAsia="zh-CN"/>
        </w:rPr>
        <w:t>Por ello, realizo la primera solicitud de cambio (misma que está en el expediente Project). </w:t>
      </w:r>
    </w:p>
    <w:p w:rsidRPr="00AE1B2B" w:rsidR="009D3FB5" w:rsidP="00163B94" w:rsidRDefault="009D3FB5" w14:paraId="55FE9BFF" w14:textId="77777777">
      <w:pPr>
        <w:widowControl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 </w:t>
      </w:r>
    </w:p>
    <w:p w:rsidRPr="00AE1B2B" w:rsidR="009D3FB5" w:rsidP="00163B94" w:rsidRDefault="009D3FB5" w14:paraId="23B3621A" w14:textId="77777777">
      <w:pPr>
        <w:widowControl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Luego de ello, ante la emergencia por el COVID, nuevamente debo presentar otra solicitud de variación (adjunta y que también se encuentra en el expediente Project).</w:t>
      </w:r>
    </w:p>
    <w:p w:rsidRPr="00AE1B2B" w:rsidR="009D3FB5" w:rsidP="00163B94" w:rsidRDefault="009D3FB5" w14:paraId="33C74F78" w14:textId="77777777">
      <w:pPr>
        <w:widowControl w:val="0"/>
        <w:spacing w:before="120" w:after="120"/>
        <w:ind w:left="851" w:right="851" w:firstLine="709"/>
        <w:jc w:val="both"/>
        <w:rPr>
          <w:rFonts w:ascii="Times New Roman" w:hAnsi="Times New Roman" w:cs="Times New Roman"/>
          <w:i/>
          <w:iCs/>
          <w:sz w:val="26"/>
          <w:szCs w:val="26"/>
          <w:lang w:val="es-ES" w:eastAsia="zh-CN"/>
        </w:rPr>
      </w:pPr>
    </w:p>
    <w:p w:rsidRPr="00AE1B2B" w:rsidR="009D3FB5" w:rsidP="00163B94" w:rsidRDefault="009D3FB5" w14:paraId="00408823" w14:textId="77777777">
      <w:pPr>
        <w:widowControl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Por lo anterior, no fue posible implantar en Ejecución de la Pena como se tenía planeado, sino únicamente I Circuito Judicial de Alajuela y I Circuito Judicial de San José.</w:t>
      </w:r>
    </w:p>
    <w:p w:rsidRPr="00AE1B2B" w:rsidR="009D3FB5" w:rsidP="00163B94" w:rsidRDefault="009D3FB5" w14:paraId="46B35C83" w14:textId="77777777">
      <w:pPr>
        <w:widowControl w:val="0"/>
        <w:spacing w:before="120" w:after="120"/>
        <w:ind w:left="851" w:right="851" w:firstLine="709"/>
        <w:jc w:val="both"/>
        <w:rPr>
          <w:rFonts w:ascii="Times New Roman" w:hAnsi="Times New Roman" w:cs="Times New Roman"/>
          <w:i/>
          <w:iCs/>
          <w:sz w:val="26"/>
          <w:szCs w:val="26"/>
          <w:lang w:val="es-ES" w:eastAsia="zh-CN"/>
        </w:rPr>
      </w:pPr>
    </w:p>
    <w:p w:rsidRPr="00AE1B2B" w:rsidR="009D3FB5" w:rsidP="00163B94" w:rsidRDefault="009D3FB5" w14:paraId="69F0F776" w14:textId="77777777">
      <w:pPr>
        <w:widowControl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En Agrario no se ha podido implantar conforme lo indiqué en el correo anterior y en Pensiones, se cambió el objetivo por un estudio de factibilidad para su implantación, que según el cronograma que existe en los informes, debo concluir en abril de este año.</w:t>
      </w:r>
    </w:p>
    <w:p w:rsidRPr="00AE1B2B" w:rsidR="009D3FB5" w:rsidP="00163B94" w:rsidRDefault="009D3FB5" w14:paraId="5C526B58" w14:textId="77777777">
      <w:pPr>
        <w:widowControl w:val="0"/>
        <w:spacing w:before="120" w:after="120"/>
        <w:ind w:left="851" w:right="851" w:firstLine="709"/>
        <w:jc w:val="both"/>
        <w:rPr>
          <w:rFonts w:ascii="Times New Roman" w:hAnsi="Times New Roman" w:cs="Times New Roman"/>
          <w:i/>
          <w:iCs/>
          <w:sz w:val="26"/>
          <w:szCs w:val="26"/>
          <w:lang w:val="es-ES" w:eastAsia="zh-CN"/>
        </w:rPr>
      </w:pPr>
    </w:p>
    <w:p w:rsidRPr="00AE1B2B" w:rsidR="009D3FB5" w:rsidP="00163B94" w:rsidRDefault="009D3FB5" w14:paraId="60ECE403" w14:textId="77777777">
      <w:pPr>
        <w:widowControl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Claro está que, con las diferentes variaciones aprobadas, nos fijamos otros objetivos que nos permitieron avocarnos a estabilizar el SSC en penal y en laboral, a capacitar generando los manuales especializados, así como el sinnúmero de otras labores fijadas en los nuevos cronogramas que constan en los informes.”.</w:t>
      </w:r>
    </w:p>
    <w:p w:rsidRPr="00AE1B2B" w:rsidR="009D3FB5" w:rsidP="00163B94" w:rsidRDefault="009D3FB5" w14:paraId="7AF42725" w14:textId="77777777">
      <w:pPr>
        <w:widowControl w:val="0"/>
        <w:spacing w:before="120" w:after="120"/>
        <w:ind w:left="851" w:right="851" w:firstLine="709"/>
        <w:jc w:val="both"/>
        <w:rPr>
          <w:rFonts w:ascii="Times New Roman" w:hAnsi="Times New Roman" w:cs="Times New Roman"/>
          <w:i/>
          <w:iCs/>
          <w:sz w:val="26"/>
          <w:szCs w:val="26"/>
          <w:lang w:val="es-ES" w:eastAsia="zh-CN"/>
        </w:rPr>
      </w:pPr>
    </w:p>
    <w:p w:rsidRPr="00AE1B2B" w:rsidR="009D3FB5" w:rsidP="00163B94" w:rsidRDefault="009D3FB5" w14:paraId="038EB167" w14:textId="77777777">
      <w:pPr>
        <w:spacing w:before="120" w:after="120"/>
        <w:ind w:left="851" w:right="851" w:firstLine="709"/>
        <w:rPr>
          <w:rFonts w:ascii="Times New Roman" w:hAnsi="Times New Roman" w:cs="Times New Roman"/>
          <w:b/>
          <w:sz w:val="26"/>
          <w:szCs w:val="26"/>
        </w:rPr>
      </w:pPr>
      <w:r w:rsidRPr="00AE1B2B">
        <w:rPr>
          <w:rFonts w:ascii="Times New Roman" w:hAnsi="Times New Roman" w:cs="Times New Roman"/>
          <w:b/>
          <w:sz w:val="26"/>
          <w:szCs w:val="26"/>
        </w:rPr>
        <w:t>Labores para realizar durante el 2021</w:t>
      </w:r>
    </w:p>
    <w:p w:rsidRPr="00AE1B2B" w:rsidR="009D3FB5" w:rsidP="00163B94" w:rsidRDefault="009D3FB5" w14:paraId="143872BE" w14:textId="77777777">
      <w:pPr>
        <w:pStyle w:val="Prrafodelista"/>
        <w:spacing w:before="120" w:after="120"/>
        <w:ind w:left="851" w:right="851" w:firstLine="709"/>
        <w:jc w:val="both"/>
        <w:rPr>
          <w:rFonts w:ascii="Times New Roman" w:hAnsi="Times New Roman" w:cs="Times New Roman"/>
          <w:b/>
          <w:bCs/>
          <w:sz w:val="26"/>
          <w:szCs w:val="26"/>
          <w:lang w:eastAsia="zh-CN"/>
        </w:rPr>
      </w:pPr>
    </w:p>
    <w:p w:rsidRPr="00AE1B2B" w:rsidR="009D3FB5" w:rsidP="00163B94" w:rsidRDefault="009D3FB5" w14:paraId="5496B0F3" w14:textId="207E655F">
      <w:pPr>
        <w:pStyle w:val="Prrafodelista"/>
        <w:spacing w:before="120" w:after="120"/>
        <w:ind w:left="851" w:right="851" w:firstLine="709"/>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Dentro de las actividades a realizar en el periodo 2021 se proyectan las siguientes específicamente en la atención del Sistema Seguimiento de Casos (SSC) y el Sistema Integrado de Apoyo a la Gestión del Poder Judicial (SIAGPJ).</w:t>
      </w:r>
    </w:p>
    <w:p w:rsidRPr="00AE1B2B" w:rsidR="00825416" w:rsidP="00163B94" w:rsidRDefault="00825416" w14:paraId="2C03AEA0" w14:textId="77777777">
      <w:pPr>
        <w:pStyle w:val="Prrafodelista"/>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9D3FB5" w14:paraId="340F3085" w14:textId="77777777">
      <w:pPr>
        <w:pStyle w:val="Prrafodelista"/>
        <w:spacing w:before="120" w:after="120" w:line="276" w:lineRule="auto"/>
        <w:ind w:left="142"/>
        <w:jc w:val="both"/>
        <w:rPr>
          <w:rFonts w:ascii="Times New Roman" w:hAnsi="Times New Roman" w:cs="Times New Roman"/>
          <w:b/>
          <w:bCs/>
          <w:sz w:val="26"/>
          <w:szCs w:val="26"/>
          <w:lang w:eastAsia="zh-CN"/>
        </w:rPr>
      </w:pPr>
    </w:p>
    <w:p w:rsidRPr="00AE1B2B" w:rsidR="009D3FB5" w:rsidP="00163B94" w:rsidRDefault="009D3FB5" w14:paraId="45C53AC7" w14:textId="77777777">
      <w:pPr>
        <w:pStyle w:val="Descripcin"/>
        <w:spacing w:before="120" w:after="120"/>
        <w:jc w:val="center"/>
        <w:rPr>
          <w:rFonts w:ascii="Times New Roman" w:hAnsi="Times New Roman" w:cs="Times New Roman"/>
          <w:b w:val="0"/>
          <w:bCs w:val="0"/>
          <w:i/>
          <w:iCs/>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b w:val="0"/>
          <w:bCs w:val="0"/>
          <w:i/>
          <w:iCs/>
          <w:sz w:val="26"/>
          <w:szCs w:val="26"/>
        </w:rPr>
        <w:fldChar w:fldCharType="begin"/>
      </w:r>
      <w:r w:rsidRPr="00AE1B2B">
        <w:rPr>
          <w:rFonts w:ascii="Times New Roman" w:hAnsi="Times New Roman" w:cs="Times New Roman"/>
          <w:sz w:val="26"/>
          <w:szCs w:val="26"/>
        </w:rPr>
        <w:instrText xml:space="preserve"> SEQ Cuadro_ \* ARABIC </w:instrText>
      </w:r>
      <w:r w:rsidRPr="00AE1B2B">
        <w:rPr>
          <w:rFonts w:ascii="Times New Roman" w:hAnsi="Times New Roman" w:cs="Times New Roman"/>
          <w:b w:val="0"/>
          <w:bCs w:val="0"/>
          <w:i/>
          <w:iCs/>
          <w:sz w:val="26"/>
          <w:szCs w:val="26"/>
        </w:rPr>
        <w:fldChar w:fldCharType="separate"/>
      </w:r>
      <w:r w:rsidRPr="00AE1B2B">
        <w:rPr>
          <w:rFonts w:ascii="Times New Roman" w:hAnsi="Times New Roman" w:cs="Times New Roman"/>
          <w:noProof/>
          <w:sz w:val="26"/>
          <w:szCs w:val="26"/>
        </w:rPr>
        <w:t>1</w:t>
      </w:r>
      <w:r w:rsidRPr="00AE1B2B">
        <w:rPr>
          <w:rFonts w:ascii="Times New Roman" w:hAnsi="Times New Roman" w:cs="Times New Roman"/>
          <w:b w:val="0"/>
          <w:bCs w:val="0"/>
          <w:i/>
          <w:iCs/>
          <w:noProof/>
          <w:sz w:val="26"/>
          <w:szCs w:val="26"/>
        </w:rPr>
        <w:fldChar w:fldCharType="end"/>
      </w:r>
    </w:p>
    <w:p w:rsidRPr="00AE1B2B" w:rsidR="009D3FB5" w:rsidP="00163B94" w:rsidRDefault="00BB7720" w14:paraId="3A6CC3AD" w14:textId="1128CF8C">
      <w:pPr>
        <w:pStyle w:val="Prrafodelista"/>
        <w:spacing w:before="120" w:after="120"/>
        <w:rPr>
          <w:rFonts w:ascii="Times New Roman" w:hAnsi="Times New Roman" w:cs="Times New Roman"/>
          <w:b/>
          <w:bCs/>
          <w:sz w:val="26"/>
          <w:szCs w:val="26"/>
          <w:lang w:eastAsia="zh-CN"/>
        </w:rPr>
      </w:pPr>
      <w:r w:rsidRPr="00AE1B2B">
        <w:rPr>
          <w:rFonts w:ascii="Times New Roman" w:hAnsi="Times New Roman" w:cs="Times New Roman"/>
          <w:b/>
          <w:bCs/>
          <w:sz w:val="26"/>
          <w:szCs w:val="26"/>
          <w:lang w:eastAsia="zh-CN"/>
        </w:rPr>
        <w:t xml:space="preserve"> </w:t>
      </w:r>
      <w:r w:rsidRPr="00AE1B2B" w:rsidR="009D3FB5">
        <w:rPr>
          <w:rFonts w:ascii="Times New Roman" w:hAnsi="Times New Roman" w:cs="Times New Roman"/>
          <w:b/>
          <w:bCs/>
          <w:sz w:val="26"/>
          <w:szCs w:val="26"/>
          <w:lang w:eastAsia="zh-CN"/>
        </w:rPr>
        <w:t>Actividades proyectadas 2021</w:t>
      </w:r>
    </w:p>
    <w:p w:rsidRPr="00AE1B2B" w:rsidR="00825416" w:rsidP="00163B94" w:rsidRDefault="00825416" w14:paraId="1A71F2DA" w14:textId="77777777">
      <w:pPr>
        <w:pStyle w:val="Prrafodelista"/>
        <w:spacing w:before="120" w:after="120"/>
        <w:rPr>
          <w:rFonts w:ascii="Times New Roman" w:hAnsi="Times New Roman" w:cs="Times New Roman"/>
          <w:b/>
          <w:bCs/>
          <w:sz w:val="26"/>
          <w:szCs w:val="26"/>
          <w:lang w:eastAsia="zh-CN"/>
        </w:rPr>
      </w:pPr>
    </w:p>
    <w:p w:rsidRPr="00AE1B2B" w:rsidR="009D3FB5" w:rsidP="00163B94" w:rsidRDefault="009D3FB5" w14:paraId="799BA673" w14:textId="77777777">
      <w:pPr>
        <w:pStyle w:val="Prrafodelista"/>
        <w:spacing w:before="120" w:after="120" w:line="276" w:lineRule="auto"/>
        <w:jc w:val="center"/>
        <w:rPr>
          <w:rFonts w:ascii="Times New Roman" w:hAnsi="Times New Roman" w:cs="Times New Roman"/>
          <w:noProof/>
        </w:rPr>
      </w:pPr>
      <w:r w:rsidRPr="00AE1B2B">
        <w:rPr>
          <w:rFonts w:ascii="Times New Roman" w:hAnsi="Times New Roman" w:cs="Times New Roman"/>
          <w:noProof/>
          <w:lang w:val="en-US" w:eastAsia="en-US"/>
        </w:rPr>
        <w:drawing>
          <wp:inline distT="0" distB="0" distL="0" distR="0" wp14:anchorId="6438C5FE" wp14:editId="71109958">
            <wp:extent cx="5448300" cy="2455941"/>
            <wp:effectExtent l="0" t="0" r="0" b="190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64189" cy="2463103"/>
                    </a:xfrm>
                    <a:prstGeom prst="rect">
                      <a:avLst/>
                    </a:prstGeom>
                    <a:noFill/>
                    <a:ln>
                      <a:noFill/>
                    </a:ln>
                  </pic:spPr>
                </pic:pic>
              </a:graphicData>
            </a:graphic>
          </wp:inline>
        </w:drawing>
      </w:r>
    </w:p>
    <w:p w:rsidRPr="00AE1B2B" w:rsidR="009D3FB5" w:rsidP="00163B94" w:rsidRDefault="009D3FB5" w14:paraId="634D8B7A" w14:textId="77777777">
      <w:pPr>
        <w:spacing w:before="120" w:after="120"/>
        <w:ind w:left="709" w:right="476"/>
        <w:jc w:val="both"/>
        <w:rPr>
          <w:rFonts w:ascii="Times New Roman" w:hAnsi="Times New Roman" w:cs="Times New Roman"/>
          <w:sz w:val="18"/>
          <w:szCs w:val="16"/>
          <w:lang w:val="es-ES" w:eastAsia="zh-CN"/>
        </w:rPr>
      </w:pPr>
      <w:r w:rsidRPr="00AE1B2B">
        <w:rPr>
          <w:rFonts w:ascii="Times New Roman" w:hAnsi="Times New Roman" w:cs="Times New Roman"/>
          <w:b/>
          <w:bCs/>
          <w:i/>
          <w:iCs/>
          <w:sz w:val="18"/>
          <w:szCs w:val="16"/>
          <w:lang w:val="es-ES" w:eastAsia="zh-CN"/>
        </w:rPr>
        <w:t xml:space="preserve"> Fuente:</w:t>
      </w:r>
      <w:r w:rsidRPr="00AE1B2B">
        <w:rPr>
          <w:rFonts w:ascii="Times New Roman" w:hAnsi="Times New Roman" w:cs="Times New Roman"/>
          <w:sz w:val="18"/>
          <w:szCs w:val="16"/>
          <w:lang w:val="es-ES" w:eastAsia="zh-CN"/>
        </w:rPr>
        <w:t xml:space="preserve"> Informe de labores suministrado por el Lic. Orlando Vargas Chacón. Defensor Supervisor de la </w:t>
      </w:r>
    </w:p>
    <w:p w:rsidRPr="00AE1B2B" w:rsidR="009D3FB5" w:rsidP="00163B94" w:rsidRDefault="009D3FB5" w14:paraId="30ECB158" w14:textId="77777777">
      <w:pPr>
        <w:spacing w:before="120" w:after="120"/>
        <w:ind w:left="709" w:right="476"/>
        <w:jc w:val="both"/>
        <w:rPr>
          <w:rFonts w:ascii="Times New Roman" w:hAnsi="Times New Roman" w:cs="Times New Roman"/>
          <w:sz w:val="18"/>
          <w:szCs w:val="16"/>
          <w:lang w:val="es-ES" w:eastAsia="zh-CN"/>
        </w:rPr>
      </w:pPr>
      <w:r w:rsidRPr="00AE1B2B">
        <w:rPr>
          <w:rFonts w:ascii="Times New Roman" w:hAnsi="Times New Roman" w:cs="Times New Roman"/>
          <w:sz w:val="18"/>
          <w:szCs w:val="16"/>
          <w:lang w:val="es-ES" w:eastAsia="zh-CN"/>
        </w:rPr>
        <w:t xml:space="preserve"> Defensa Pública.</w:t>
      </w:r>
    </w:p>
    <w:p w:rsidRPr="00AE1B2B" w:rsidR="009D3FB5" w:rsidP="00163B94" w:rsidRDefault="009D3FB5" w14:paraId="035C57A3" w14:textId="77777777">
      <w:pPr>
        <w:widowControl w:val="0"/>
        <w:spacing w:before="120" w:after="120"/>
        <w:ind w:left="709" w:right="476"/>
        <w:jc w:val="both"/>
        <w:rPr>
          <w:rFonts w:ascii="Times New Roman" w:hAnsi="Times New Roman" w:cs="Times New Roman"/>
          <w:sz w:val="18"/>
          <w:szCs w:val="16"/>
          <w:lang w:val="es-ES" w:eastAsia="zh-CN"/>
        </w:rPr>
      </w:pPr>
      <w:r w:rsidRPr="00AE1B2B">
        <w:rPr>
          <w:rFonts w:ascii="Times New Roman" w:hAnsi="Times New Roman" w:cs="Times New Roman"/>
          <w:b/>
          <w:bCs/>
          <w:i/>
          <w:iCs/>
          <w:sz w:val="18"/>
          <w:szCs w:val="16"/>
          <w:lang w:val="es-ES" w:eastAsia="zh-CN"/>
        </w:rPr>
        <w:t xml:space="preserve"> Nota 1: </w:t>
      </w:r>
      <w:r w:rsidRPr="00AE1B2B">
        <w:rPr>
          <w:rFonts w:ascii="Times New Roman" w:hAnsi="Times New Roman" w:cs="Times New Roman"/>
          <w:sz w:val="18"/>
          <w:szCs w:val="16"/>
          <w:lang w:val="es-ES" w:eastAsia="zh-CN"/>
        </w:rPr>
        <w:t xml:space="preserve">Mediante el formulario respectivo se documenta en el portafolio de Proyectos con fecha 16 de febrero </w:t>
      </w:r>
    </w:p>
    <w:p w:rsidRPr="00AE1B2B" w:rsidR="009D3FB5" w:rsidP="00163B94" w:rsidRDefault="009D3FB5" w14:paraId="089AB374" w14:textId="77777777">
      <w:pPr>
        <w:widowControl w:val="0"/>
        <w:spacing w:before="120" w:after="120"/>
        <w:ind w:left="709" w:right="476"/>
        <w:jc w:val="both"/>
        <w:rPr>
          <w:rFonts w:ascii="Times New Roman" w:hAnsi="Times New Roman" w:cs="Times New Roman"/>
          <w:sz w:val="18"/>
          <w:szCs w:val="16"/>
          <w:lang w:val="es-ES" w:eastAsia="zh-CN"/>
        </w:rPr>
      </w:pPr>
      <w:r w:rsidRPr="00AE1B2B">
        <w:rPr>
          <w:rFonts w:ascii="Times New Roman" w:hAnsi="Times New Roman" w:cs="Times New Roman"/>
          <w:sz w:val="18"/>
          <w:szCs w:val="16"/>
          <w:lang w:val="es-ES" w:eastAsia="zh-CN"/>
        </w:rPr>
        <w:t>del 2021 el cambio en la implantación del Sistema Seguimiento de Casos por el sistema SIAGPJ en materia Agraria en el Primer y Tercer Circuito Judicial de Alajuela.</w:t>
      </w:r>
      <w:r w:rsidRPr="00AE1B2B">
        <w:rPr>
          <w:rStyle w:val="Refdenotaalpie"/>
          <w:rFonts w:ascii="Times New Roman" w:hAnsi="Times New Roman"/>
          <w:sz w:val="18"/>
          <w:szCs w:val="16"/>
          <w:lang w:eastAsia="zh-CN"/>
        </w:rPr>
        <w:footnoteReference w:id="13"/>
      </w:r>
      <w:r w:rsidRPr="00AE1B2B">
        <w:rPr>
          <w:rFonts w:ascii="Times New Roman" w:hAnsi="Times New Roman" w:cs="Times New Roman"/>
          <w:sz w:val="18"/>
          <w:szCs w:val="16"/>
          <w:lang w:val="es-ES" w:eastAsia="zh-CN"/>
        </w:rPr>
        <w:t xml:space="preserve"> (apéndice 2)</w:t>
      </w:r>
    </w:p>
    <w:p w:rsidRPr="00AE1B2B" w:rsidR="009D3FB5" w:rsidP="00163B94" w:rsidRDefault="009D3FB5" w14:paraId="31E31533" w14:textId="77777777">
      <w:pPr>
        <w:spacing w:before="120" w:after="120"/>
        <w:jc w:val="both"/>
        <w:rPr>
          <w:rFonts w:ascii="Times New Roman" w:hAnsi="Times New Roman" w:cs="Times New Roman"/>
          <w:b/>
          <w:bCs/>
          <w:sz w:val="18"/>
          <w:szCs w:val="16"/>
          <w:lang w:val="es-ES" w:eastAsia="zh-CN"/>
        </w:rPr>
      </w:pPr>
    </w:p>
    <w:p w:rsidRPr="00AE1B2B" w:rsidR="009D3FB5" w:rsidP="00163B94" w:rsidRDefault="009D3FB5" w14:paraId="75AF36C2" w14:textId="24868005">
      <w:pPr>
        <w:spacing w:before="120" w:after="120" w:line="276" w:lineRule="auto"/>
        <w:jc w:val="both"/>
        <w:rPr>
          <w:rFonts w:ascii="Times New Roman" w:hAnsi="Times New Roman" w:cs="Times New Roman"/>
          <w:lang w:val="es-ES" w:eastAsia="zh-CN"/>
        </w:rPr>
      </w:pPr>
    </w:p>
    <w:p w:rsidRPr="00AE1B2B" w:rsidR="009D3FB5" w:rsidP="00163B94" w:rsidRDefault="009D3FB5" w14:paraId="5DD4B3F9"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En cuanto al Proyecto de Mejora Integral del Proceso Penal se proyecta:</w:t>
      </w:r>
    </w:p>
    <w:p w:rsidRPr="00AE1B2B" w:rsidR="009D3FB5" w:rsidP="00163B94" w:rsidRDefault="009D3FB5" w14:paraId="44094F44"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3432CE8D" w14:textId="77777777">
      <w:pPr>
        <w:pStyle w:val="Prrafodelista"/>
        <w:numPr>
          <w:ilvl w:val="0"/>
          <w:numId w:val="38"/>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Brindar el apoyo técnico en la evaluación de las oficinas a los profesionales encargados.</w:t>
      </w:r>
    </w:p>
    <w:p w:rsidRPr="00AE1B2B" w:rsidR="009D3FB5" w:rsidP="00163B94" w:rsidRDefault="009D3FB5" w14:paraId="1C2AD1D0" w14:textId="77777777">
      <w:pPr>
        <w:pStyle w:val="Prrafodelista"/>
        <w:numPr>
          <w:ilvl w:val="0"/>
          <w:numId w:val="38"/>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Participación en las reuniones de entrega de resultados.</w:t>
      </w:r>
    </w:p>
    <w:p w:rsidRPr="00AE1B2B" w:rsidR="009D3FB5" w:rsidP="00163B94" w:rsidRDefault="009D3FB5" w14:paraId="31BFE331" w14:textId="77777777">
      <w:pPr>
        <w:pStyle w:val="Prrafodelista"/>
        <w:numPr>
          <w:ilvl w:val="0"/>
          <w:numId w:val="38"/>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Seguimiento a los planes de mejora.</w:t>
      </w:r>
    </w:p>
    <w:p w:rsidRPr="00AE1B2B" w:rsidR="009D3FB5" w:rsidP="00163B94" w:rsidRDefault="009D3FB5" w14:paraId="297BA558" w14:textId="77777777">
      <w:pPr>
        <w:pStyle w:val="Prrafodelista"/>
        <w:numPr>
          <w:ilvl w:val="0"/>
          <w:numId w:val="38"/>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Seguimiento al Plan de Descongestionamiento en materia Penal (sujeto a disponibilidad presupuestaria).</w:t>
      </w:r>
    </w:p>
    <w:p w:rsidRPr="00AE1B2B" w:rsidR="009D3FB5" w:rsidP="00163B94" w:rsidRDefault="009D3FB5" w14:paraId="0782F2F2" w14:textId="77777777">
      <w:pPr>
        <w:pStyle w:val="Prrafodelista"/>
        <w:numPr>
          <w:ilvl w:val="0"/>
          <w:numId w:val="38"/>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 xml:space="preserve">Evaluación del Modelo de Tramitación de la Defensa Pública en materia Penal. </w:t>
      </w:r>
    </w:p>
    <w:p w:rsidRPr="00AE1B2B" w:rsidR="009D3FB5" w:rsidP="00163B94" w:rsidRDefault="009D3FB5" w14:paraId="45AED673" w14:textId="77777777">
      <w:pPr>
        <w:pStyle w:val="Prrafodelista"/>
        <w:numPr>
          <w:ilvl w:val="0"/>
          <w:numId w:val="38"/>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Evaluación para la creación de modelos de tramitación en materias de Penal Juvenil, Pensiones Alimentarias, Laboral, Contencioso Administrativo, Agrario, Disciplinario, Contravenciones y Tránsito (</w:t>
      </w:r>
      <w:r w:rsidRPr="00AE1B2B">
        <w:rPr>
          <w:rFonts w:ascii="Times New Roman" w:hAnsi="Times New Roman" w:cs="Times New Roman"/>
          <w:i/>
          <w:iCs/>
          <w:sz w:val="26"/>
          <w:szCs w:val="26"/>
          <w:lang w:eastAsia="zh-CN"/>
        </w:rPr>
        <w:t xml:space="preserve">a la luz que se considera que el Modelo </w:t>
      </w:r>
      <w:r w:rsidRPr="00AE1B2B">
        <w:rPr>
          <w:rFonts w:ascii="Times New Roman" w:hAnsi="Times New Roman" w:cs="Times New Roman"/>
          <w:i/>
          <w:iCs/>
          <w:sz w:val="26"/>
          <w:szCs w:val="26"/>
          <w:lang w:eastAsia="zh-CN"/>
        </w:rPr>
        <w:lastRenderedPageBreak/>
        <w:t>de Tramitación aprobado abarca únicamente la materia penal)</w:t>
      </w:r>
      <w:r w:rsidRPr="00AE1B2B">
        <w:rPr>
          <w:rStyle w:val="Refdenotaalpie"/>
          <w:rFonts w:ascii="Times New Roman" w:hAnsi="Times New Roman"/>
          <w:i/>
          <w:iCs/>
          <w:sz w:val="26"/>
          <w:szCs w:val="26"/>
          <w:lang w:eastAsia="zh-CN"/>
        </w:rPr>
        <w:footnoteReference w:id="14"/>
      </w:r>
      <w:r w:rsidRPr="00AE1B2B">
        <w:rPr>
          <w:rFonts w:ascii="Times New Roman" w:hAnsi="Times New Roman" w:cs="Times New Roman"/>
          <w:i/>
          <w:iCs/>
          <w:sz w:val="26"/>
          <w:szCs w:val="26"/>
          <w:lang w:eastAsia="zh-CN"/>
        </w:rPr>
        <w:t>, en el caso de Ejecución de la Pena puede valorarse la propuesta diseñada por la Dirección de Planificación para esa materia.</w:t>
      </w:r>
    </w:p>
    <w:p w:rsidRPr="00AE1B2B" w:rsidR="009D3FB5" w:rsidP="00163B94" w:rsidRDefault="009D3FB5" w14:paraId="5F65DDE1" w14:textId="77777777">
      <w:pPr>
        <w:pStyle w:val="Prrafodelista"/>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9D3FB5" w14:paraId="61FDF45A" w14:textId="77777777">
      <w:pPr>
        <w:spacing w:before="120" w:after="120"/>
        <w:ind w:left="851" w:right="851" w:firstLine="709"/>
        <w:rPr>
          <w:rFonts w:ascii="Times New Roman" w:hAnsi="Times New Roman" w:cs="Times New Roman"/>
          <w:b/>
          <w:sz w:val="26"/>
          <w:szCs w:val="26"/>
        </w:rPr>
      </w:pPr>
      <w:r w:rsidRPr="00AE1B2B">
        <w:rPr>
          <w:rFonts w:ascii="Times New Roman" w:hAnsi="Times New Roman" w:cs="Times New Roman"/>
          <w:b/>
          <w:sz w:val="26"/>
          <w:szCs w:val="26"/>
        </w:rPr>
        <w:t>Labores proyectadas para el periodo 2022</w:t>
      </w:r>
    </w:p>
    <w:p w:rsidRPr="00AE1B2B" w:rsidR="009D3FB5" w:rsidP="00163B94" w:rsidRDefault="009D3FB5" w14:paraId="669404F3" w14:textId="77777777">
      <w:pPr>
        <w:pStyle w:val="Prrafodelista"/>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9D3FB5" w14:paraId="578EB977" w14:textId="1C239F01">
      <w:pPr>
        <w:pStyle w:val="paragraph"/>
        <w:spacing w:before="120" w:beforeAutospacing="0" w:after="120" w:afterAutospacing="0"/>
        <w:ind w:left="851" w:right="851" w:firstLine="709"/>
        <w:contextualSpacing/>
        <w:jc w:val="both"/>
        <w:textAlignment w:val="baseline"/>
        <w:rPr>
          <w:sz w:val="26"/>
          <w:szCs w:val="26"/>
          <w:lang w:eastAsia="zh-CN"/>
        </w:rPr>
      </w:pPr>
      <w:r w:rsidRPr="00AE1B2B">
        <w:rPr>
          <w:sz w:val="26"/>
          <w:szCs w:val="26"/>
          <w:lang w:eastAsia="zh-CN"/>
        </w:rPr>
        <w:t>Para el año 2022, se pretende dar continuidad al plan de capacitación en el Sistema de Seguimiento de Casos (SSC) y el Sistema Integrado de Apoyo a la Gestión del Poder Judicial (SIAGPJ), además de participar en la migración de la información de un sistema a otro. Las oficinas de la Defensa Pública en las cuales se instale el nuevo sistema requerirán el apoyo técnico, así como también, se deberán realizar giras de supervisión en cada una de ellas.</w:t>
      </w:r>
      <w:r w:rsidRPr="00AE1B2B" w:rsidR="00BB7720">
        <w:rPr>
          <w:sz w:val="26"/>
          <w:szCs w:val="26"/>
          <w:lang w:eastAsia="zh-CN"/>
        </w:rPr>
        <w:t xml:space="preserve"> </w:t>
      </w:r>
    </w:p>
    <w:p w:rsidRPr="00AE1B2B" w:rsidR="009D3FB5" w:rsidP="00163B94" w:rsidRDefault="009D3FB5" w14:paraId="196DE63F" w14:textId="77777777">
      <w:pPr>
        <w:pStyle w:val="paragraph"/>
        <w:spacing w:before="120" w:beforeAutospacing="0" w:after="120" w:afterAutospacing="0"/>
        <w:ind w:left="851" w:right="851" w:firstLine="709"/>
        <w:contextualSpacing/>
        <w:jc w:val="both"/>
        <w:textAlignment w:val="baseline"/>
        <w:rPr>
          <w:sz w:val="26"/>
          <w:szCs w:val="26"/>
          <w:lang w:eastAsia="zh-CN"/>
        </w:rPr>
      </w:pPr>
    </w:p>
    <w:p w:rsidRPr="00AE1B2B" w:rsidR="009D3FB5" w:rsidP="00163B94" w:rsidRDefault="009D3FB5" w14:paraId="2826B476" w14:textId="5FAA5045">
      <w:pPr>
        <w:pStyle w:val="paragraph"/>
        <w:spacing w:before="120" w:beforeAutospacing="0" w:after="120" w:afterAutospacing="0"/>
        <w:ind w:left="851" w:right="851" w:firstLine="709"/>
        <w:contextualSpacing/>
        <w:jc w:val="both"/>
        <w:textAlignment w:val="baseline"/>
        <w:rPr>
          <w:sz w:val="26"/>
          <w:szCs w:val="26"/>
          <w:lang w:eastAsia="zh-CN"/>
        </w:rPr>
      </w:pPr>
      <w:r w:rsidRPr="00AE1B2B">
        <w:rPr>
          <w:sz w:val="26"/>
          <w:szCs w:val="26"/>
          <w:lang w:eastAsia="zh-CN"/>
        </w:rPr>
        <w:t>Por otra parte, en cuanto al Proyecto de Mejora Integral, se proyecta poder crear nuevos modelos de trámite para las materias distintas a Penal de adultos, con la finalidad de lograr una visión integral de las labores que desempeñan las oficinas de la Defensa Pública.</w:t>
      </w:r>
      <w:r w:rsidRPr="00AE1B2B" w:rsidR="00BB7720">
        <w:rPr>
          <w:sz w:val="26"/>
          <w:szCs w:val="26"/>
          <w:lang w:eastAsia="zh-CN"/>
        </w:rPr>
        <w:t xml:space="preserve"> </w:t>
      </w:r>
      <w:r w:rsidRPr="00AE1B2B">
        <w:rPr>
          <w:sz w:val="26"/>
          <w:szCs w:val="26"/>
          <w:lang w:eastAsia="zh-CN"/>
        </w:rPr>
        <w:t>Incluso, el Lic. Vargas Chacón considera que deben realizarse ajustes al modelo Penal de adultos y necesariamente todos los modelos deben contemplar las modalidades virtuales desarrolladas a raíz de la pandemia que atraviesa el país, como nuevas formas de trabajo, según circular 102-2020.</w:t>
      </w:r>
    </w:p>
    <w:p w:rsidRPr="00AE1B2B" w:rsidR="009D3FB5" w:rsidP="00163B94" w:rsidRDefault="009D3FB5" w14:paraId="6FE5E7D5" w14:textId="77777777">
      <w:pPr>
        <w:pStyle w:val="paragraph"/>
        <w:spacing w:before="120" w:beforeAutospacing="0" w:after="120" w:afterAutospacing="0"/>
        <w:ind w:left="851" w:right="851" w:firstLine="709"/>
        <w:contextualSpacing/>
        <w:jc w:val="both"/>
        <w:textAlignment w:val="baseline"/>
        <w:rPr>
          <w:sz w:val="26"/>
          <w:szCs w:val="26"/>
          <w:lang w:eastAsia="zh-CN"/>
        </w:rPr>
      </w:pPr>
    </w:p>
    <w:p w:rsidRPr="00AE1B2B" w:rsidR="009D3FB5" w:rsidP="00163B94" w:rsidRDefault="009D3FB5" w14:paraId="61FBD5D5" w14:textId="77777777">
      <w:pPr>
        <w:pStyle w:val="paragraph"/>
        <w:spacing w:before="120" w:beforeAutospacing="0" w:after="120" w:afterAutospacing="0"/>
        <w:ind w:left="851" w:right="851" w:firstLine="709"/>
        <w:contextualSpacing/>
        <w:jc w:val="both"/>
        <w:textAlignment w:val="baseline"/>
        <w:rPr>
          <w:sz w:val="26"/>
          <w:szCs w:val="26"/>
          <w:lang w:eastAsia="zh-CN"/>
        </w:rPr>
      </w:pPr>
    </w:p>
    <w:p w:rsidRPr="00AE1B2B" w:rsidR="009D3FB5" w:rsidP="00163B94" w:rsidRDefault="009D3FB5" w14:paraId="1547252C" w14:textId="77777777">
      <w:pPr>
        <w:pStyle w:val="paragraph"/>
        <w:spacing w:before="120" w:beforeAutospacing="0" w:after="120" w:afterAutospacing="0"/>
        <w:ind w:left="851" w:right="851" w:firstLine="709"/>
        <w:contextualSpacing/>
        <w:jc w:val="both"/>
        <w:textAlignment w:val="baseline"/>
        <w:rPr>
          <w:sz w:val="26"/>
          <w:szCs w:val="26"/>
          <w:lang w:eastAsia="zh-CN"/>
        </w:rPr>
      </w:pPr>
    </w:p>
    <w:p w:rsidRPr="00AE1B2B" w:rsidR="009D3FB5" w:rsidP="00163B94" w:rsidRDefault="009D3FB5" w14:paraId="6569C5D3" w14:textId="77777777">
      <w:pPr>
        <w:pStyle w:val="paragraph"/>
        <w:spacing w:before="120" w:beforeAutospacing="0" w:after="120" w:afterAutospacing="0"/>
        <w:ind w:left="851" w:right="851" w:firstLine="709"/>
        <w:contextualSpacing/>
        <w:jc w:val="both"/>
        <w:textAlignment w:val="baseline"/>
        <w:rPr>
          <w:sz w:val="26"/>
          <w:szCs w:val="26"/>
          <w:lang w:eastAsia="zh-CN"/>
        </w:rPr>
      </w:pPr>
    </w:p>
    <w:p w:rsidRPr="00AE1B2B" w:rsidR="009D3FB5" w:rsidP="00163B94" w:rsidRDefault="009D3FB5" w14:paraId="25D71C60" w14:textId="77777777">
      <w:pPr>
        <w:pStyle w:val="paragraph"/>
        <w:spacing w:before="120" w:beforeAutospacing="0" w:after="120" w:afterAutospacing="0"/>
        <w:ind w:left="851" w:right="851" w:firstLine="709"/>
        <w:contextualSpacing/>
        <w:jc w:val="both"/>
        <w:textAlignment w:val="baseline"/>
        <w:rPr>
          <w:sz w:val="26"/>
          <w:szCs w:val="26"/>
          <w:lang w:eastAsia="zh-CN"/>
        </w:rPr>
      </w:pPr>
    </w:p>
    <w:p w:rsidRPr="00AE1B2B" w:rsidR="009D3FB5" w:rsidP="00163B94" w:rsidRDefault="009D3FB5" w14:paraId="486857DB" w14:textId="77777777">
      <w:pPr>
        <w:numPr>
          <w:ilvl w:val="1"/>
          <w:numId w:val="41"/>
        </w:numPr>
        <w:spacing w:before="120" w:after="120"/>
        <w:ind w:left="851" w:right="851" w:firstLine="709"/>
        <w:contextualSpacing/>
        <w:jc w:val="both"/>
        <w:textAlignment w:val="baseline"/>
        <w:rPr>
          <w:rFonts w:ascii="Times New Roman" w:hAnsi="Times New Roman" w:cs="Times New Roman"/>
          <w:b/>
          <w:bCs/>
          <w:sz w:val="26"/>
          <w:szCs w:val="26"/>
          <w:lang w:eastAsia="zh-CN"/>
        </w:rPr>
      </w:pPr>
      <w:r w:rsidRPr="00AE1B2B">
        <w:rPr>
          <w:rFonts w:ascii="Times New Roman" w:hAnsi="Times New Roman" w:cs="Times New Roman"/>
          <w:b/>
          <w:bCs/>
          <w:sz w:val="26"/>
          <w:szCs w:val="26"/>
          <w:lang w:eastAsia="zh-CN"/>
        </w:rPr>
        <w:t>Relación con el plan estratégico institucional 2019-2024</w:t>
      </w:r>
    </w:p>
    <w:p w:rsidRPr="00AE1B2B" w:rsidR="009D3FB5" w:rsidP="00163B94" w:rsidRDefault="009D3FB5" w14:paraId="65FF4340" w14:textId="77777777">
      <w:pPr>
        <w:pStyle w:val="paragraph"/>
        <w:spacing w:before="120" w:beforeAutospacing="0" w:after="120" w:afterAutospacing="0"/>
        <w:ind w:left="851" w:right="851" w:firstLine="709"/>
        <w:contextualSpacing/>
        <w:jc w:val="both"/>
        <w:textAlignment w:val="baseline"/>
        <w:rPr>
          <w:sz w:val="26"/>
          <w:szCs w:val="26"/>
          <w:lang w:eastAsia="zh-CN"/>
        </w:rPr>
      </w:pPr>
    </w:p>
    <w:p w:rsidRPr="00AE1B2B" w:rsidR="009D3FB5" w:rsidP="00163B94" w:rsidRDefault="009D3FB5" w14:paraId="0CC3CE29" w14:textId="77777777">
      <w:pPr>
        <w:pStyle w:val="Prrafodelista"/>
        <w:widowControl w:val="0"/>
        <w:spacing w:before="120" w:after="120"/>
        <w:ind w:left="851" w:right="851" w:firstLine="709"/>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Mediante oficio 1463-PLA-2018, conocido por el Consejo Superior en sesión 56-18 del 10 de diciembre de 2018, artículo XXIII, se aprobó el Plan Estratégico Institucional 2019-2024 y sus recomendaciones.</w:t>
      </w:r>
    </w:p>
    <w:p w:rsidRPr="00AE1B2B" w:rsidR="009D3FB5" w:rsidP="00163B94" w:rsidRDefault="009D3FB5" w14:paraId="4EC8C18D" w14:textId="77777777">
      <w:pPr>
        <w:pStyle w:val="Prrafodelista"/>
        <w:widowControl w:val="0"/>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9D3FB5" w14:paraId="06B62314" w14:textId="77777777">
      <w:pPr>
        <w:pStyle w:val="Prrafodelista"/>
        <w:widowControl w:val="0"/>
        <w:spacing w:before="120" w:after="120"/>
        <w:ind w:left="851" w:right="851" w:firstLine="709"/>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 xml:space="preserve">En el mismo se estableció la acción estratégica </w:t>
      </w:r>
      <w:r w:rsidRPr="00AE1B2B">
        <w:rPr>
          <w:rFonts w:ascii="Times New Roman" w:hAnsi="Times New Roman" w:cs="Times New Roman"/>
          <w:i/>
          <w:iCs/>
          <w:sz w:val="26"/>
          <w:szCs w:val="26"/>
          <w:lang w:eastAsia="zh-CN"/>
        </w:rPr>
        <w:t xml:space="preserve">“Desarrollo y </w:t>
      </w:r>
      <w:r w:rsidRPr="00AE1B2B">
        <w:rPr>
          <w:rFonts w:ascii="Times New Roman" w:hAnsi="Times New Roman" w:cs="Times New Roman"/>
          <w:i/>
          <w:iCs/>
          <w:sz w:val="26"/>
          <w:szCs w:val="26"/>
          <w:lang w:eastAsia="zh-CN"/>
        </w:rPr>
        <w:lastRenderedPageBreak/>
        <w:t>optimización de servicios y procesos judiciales”</w:t>
      </w:r>
      <w:r w:rsidRPr="00AE1B2B">
        <w:rPr>
          <w:rFonts w:ascii="Times New Roman" w:hAnsi="Times New Roman" w:cs="Times New Roman"/>
          <w:sz w:val="26"/>
          <w:szCs w:val="26"/>
          <w:lang w:eastAsia="zh-CN"/>
        </w:rPr>
        <w:t xml:space="preserve"> de las cuales se plantearon las siguientes metas estratégicas, en las cuales el recurso extraordinario concedido tiene incidencia directa y es necesario para su consecución, así como está estrechamente relacionado con el Modelo de Mejora Integral del Proceso Penal y la implementación del Modelo de Sostenibilidad:</w:t>
      </w:r>
    </w:p>
    <w:p w:rsidRPr="00AE1B2B" w:rsidR="009D3FB5" w:rsidP="00163B94" w:rsidRDefault="009D3FB5" w14:paraId="146C7C7A" w14:textId="77777777">
      <w:pPr>
        <w:widowControl w:val="0"/>
        <w:spacing w:before="120" w:after="120" w:line="276" w:lineRule="auto"/>
        <w:ind w:right="283"/>
        <w:rPr>
          <w:rFonts w:ascii="Times New Roman" w:hAnsi="Times New Roman" w:cs="Times New Roman"/>
          <w:lang w:val="es-ES" w:eastAsia="zh-CN"/>
        </w:rPr>
      </w:pPr>
    </w:p>
    <w:p w:rsidRPr="00AE1B2B" w:rsidR="009D3FB5" w:rsidP="00163B94" w:rsidRDefault="009D3FB5" w14:paraId="20F00F5E" w14:textId="77777777">
      <w:pPr>
        <w:pStyle w:val="Descripcin"/>
        <w:spacing w:before="120" w:after="120"/>
        <w:jc w:val="center"/>
        <w:rPr>
          <w:rFonts w:ascii="Times New Roman" w:hAnsi="Times New Roman" w:cs="Times New Roman"/>
          <w:b w:val="0"/>
          <w:bCs w:val="0"/>
          <w:i/>
          <w:iCs/>
          <w:sz w:val="24"/>
          <w:szCs w:val="24"/>
        </w:rPr>
      </w:pPr>
      <w:r w:rsidRPr="00AE1B2B">
        <w:rPr>
          <w:rFonts w:ascii="Times New Roman" w:hAnsi="Times New Roman" w:cs="Times New Roman"/>
          <w:sz w:val="24"/>
          <w:szCs w:val="24"/>
        </w:rPr>
        <w:t xml:space="preserve">Cuadro </w:t>
      </w:r>
      <w:r w:rsidRPr="00AE1B2B">
        <w:rPr>
          <w:rFonts w:ascii="Times New Roman" w:hAnsi="Times New Roman" w:cs="Times New Roman"/>
          <w:b w:val="0"/>
          <w:bCs w:val="0"/>
          <w:i/>
          <w:iCs/>
          <w:sz w:val="24"/>
          <w:szCs w:val="24"/>
        </w:rPr>
        <w:fldChar w:fldCharType="begin"/>
      </w:r>
      <w:r w:rsidRPr="00AE1B2B">
        <w:rPr>
          <w:rFonts w:ascii="Times New Roman" w:hAnsi="Times New Roman" w:cs="Times New Roman"/>
          <w:sz w:val="24"/>
          <w:szCs w:val="24"/>
        </w:rPr>
        <w:instrText xml:space="preserve"> SEQ Cuadro_ \* ARABIC </w:instrText>
      </w:r>
      <w:r w:rsidRPr="00AE1B2B">
        <w:rPr>
          <w:rFonts w:ascii="Times New Roman" w:hAnsi="Times New Roman" w:cs="Times New Roman"/>
          <w:b w:val="0"/>
          <w:bCs w:val="0"/>
          <w:i/>
          <w:iCs/>
          <w:sz w:val="24"/>
          <w:szCs w:val="24"/>
        </w:rPr>
        <w:fldChar w:fldCharType="separate"/>
      </w:r>
      <w:r w:rsidRPr="00AE1B2B">
        <w:rPr>
          <w:rFonts w:ascii="Times New Roman" w:hAnsi="Times New Roman" w:cs="Times New Roman"/>
          <w:noProof/>
          <w:sz w:val="24"/>
          <w:szCs w:val="24"/>
        </w:rPr>
        <w:t>2</w:t>
      </w:r>
      <w:r w:rsidRPr="00AE1B2B">
        <w:rPr>
          <w:rFonts w:ascii="Times New Roman" w:hAnsi="Times New Roman" w:cs="Times New Roman"/>
          <w:b w:val="0"/>
          <w:bCs w:val="0"/>
          <w:i/>
          <w:iCs/>
          <w:noProof/>
          <w:sz w:val="24"/>
          <w:szCs w:val="24"/>
        </w:rPr>
        <w:fldChar w:fldCharType="end"/>
      </w:r>
    </w:p>
    <w:p w:rsidRPr="00AE1B2B" w:rsidR="009D3FB5" w:rsidP="00163B94" w:rsidRDefault="00BB7720" w14:paraId="348A41B8" w14:textId="4873C5F4">
      <w:pPr>
        <w:pStyle w:val="Prrafodelista"/>
        <w:spacing w:before="120" w:after="120"/>
        <w:rPr>
          <w:rFonts w:ascii="Times New Roman" w:hAnsi="Times New Roman" w:cs="Times New Roman"/>
          <w:b/>
          <w:bCs/>
          <w:lang w:eastAsia="zh-CN"/>
        </w:rPr>
      </w:pPr>
      <w:r w:rsidRPr="00AE1B2B">
        <w:rPr>
          <w:rFonts w:ascii="Times New Roman" w:hAnsi="Times New Roman" w:cs="Times New Roman"/>
          <w:b/>
          <w:bCs/>
          <w:lang w:eastAsia="zh-CN"/>
        </w:rPr>
        <w:t xml:space="preserve"> </w:t>
      </w:r>
      <w:r w:rsidRPr="00AE1B2B" w:rsidR="009D3FB5">
        <w:rPr>
          <w:rFonts w:ascii="Times New Roman" w:hAnsi="Times New Roman" w:cs="Times New Roman"/>
          <w:b/>
          <w:bCs/>
          <w:lang w:eastAsia="zh-CN"/>
        </w:rPr>
        <w:t>Tema-Acción y Meta Estratégica</w:t>
      </w:r>
    </w:p>
    <w:p w:rsidRPr="00AE1B2B" w:rsidR="009D3FB5" w:rsidP="00163B94" w:rsidRDefault="00BB7720" w14:paraId="37080F01" w14:textId="2637059A">
      <w:pPr>
        <w:pStyle w:val="Prrafodelista"/>
        <w:spacing w:before="120" w:after="120"/>
        <w:rPr>
          <w:rFonts w:ascii="Times New Roman" w:hAnsi="Times New Roman" w:cs="Times New Roman"/>
          <w:b/>
          <w:bCs/>
          <w:lang w:eastAsia="zh-CN"/>
        </w:rPr>
      </w:pPr>
      <w:r w:rsidRPr="00AE1B2B">
        <w:rPr>
          <w:rFonts w:ascii="Times New Roman" w:hAnsi="Times New Roman" w:cs="Times New Roman"/>
          <w:b/>
          <w:bCs/>
          <w:lang w:eastAsia="zh-CN"/>
        </w:rPr>
        <w:t xml:space="preserve"> </w:t>
      </w:r>
      <w:r w:rsidRPr="00AE1B2B" w:rsidR="009D3FB5">
        <w:rPr>
          <w:rFonts w:ascii="Times New Roman" w:hAnsi="Times New Roman" w:cs="Times New Roman"/>
          <w:b/>
          <w:bCs/>
          <w:lang w:eastAsia="zh-CN"/>
        </w:rPr>
        <w:t>Plan Estratégico 2019-2024</w:t>
      </w:r>
    </w:p>
    <w:p w:rsidRPr="00AE1B2B" w:rsidR="009D3FB5" w:rsidP="00163B94" w:rsidRDefault="009D3FB5" w14:paraId="4B346710" w14:textId="77777777">
      <w:pPr>
        <w:pStyle w:val="Prrafodelista"/>
        <w:spacing w:before="120" w:after="120"/>
        <w:rPr>
          <w:rFonts w:ascii="Times New Roman" w:hAnsi="Times New Roman" w:cs="Times New Roman"/>
          <w:b/>
          <w:bCs/>
          <w:lang w:eastAsia="zh-CN"/>
        </w:rPr>
      </w:pPr>
    </w:p>
    <w:tbl>
      <w:tblPr>
        <w:tblStyle w:val="Tablaconcuadrcula"/>
        <w:tblW w:w="0" w:type="auto"/>
        <w:jc w:val="center"/>
        <w:tblLook w:val="04A0" w:firstRow="1" w:lastRow="0" w:firstColumn="1" w:lastColumn="0" w:noHBand="0" w:noVBand="1"/>
      </w:tblPr>
      <w:tblGrid>
        <w:gridCol w:w="1697"/>
        <w:gridCol w:w="1562"/>
        <w:gridCol w:w="2865"/>
        <w:gridCol w:w="1722"/>
      </w:tblGrid>
      <w:tr w:rsidRPr="00AE1B2B" w:rsidR="00AE1B2B" w:rsidTr="009D3FB5" w14:paraId="086EEF4E" w14:textId="77777777">
        <w:trPr>
          <w:jc w:val="center"/>
        </w:trPr>
        <w:tc>
          <w:tcPr>
            <w:tcW w:w="1637" w:type="dxa"/>
            <w:shd w:val="clear" w:color="auto" w:fill="BDD6EE" w:themeFill="accent1" w:themeFillTint="66"/>
          </w:tcPr>
          <w:p w:rsidRPr="00AE1B2B" w:rsidR="009D3FB5" w:rsidP="00163B94" w:rsidRDefault="009D3FB5" w14:paraId="3462B884" w14:textId="77777777">
            <w:pPr>
              <w:widowControl w:val="0"/>
              <w:spacing w:before="120" w:after="120" w:line="276" w:lineRule="auto"/>
              <w:ind w:right="283"/>
              <w:jc w:val="center"/>
              <w:rPr>
                <w:rFonts w:ascii="Times New Roman" w:hAnsi="Times New Roman" w:cs="Times New Roman"/>
                <w:b/>
                <w:sz w:val="22"/>
                <w:szCs w:val="22"/>
              </w:rPr>
            </w:pPr>
            <w:r w:rsidRPr="00AE1B2B">
              <w:rPr>
                <w:rFonts w:ascii="Times New Roman" w:hAnsi="Times New Roman" w:cs="Times New Roman"/>
                <w:b/>
                <w:sz w:val="22"/>
                <w:szCs w:val="22"/>
              </w:rPr>
              <w:t>Tema Estratégico</w:t>
            </w:r>
          </w:p>
        </w:tc>
        <w:tc>
          <w:tcPr>
            <w:tcW w:w="1439" w:type="dxa"/>
            <w:shd w:val="clear" w:color="auto" w:fill="BDD6EE" w:themeFill="accent1" w:themeFillTint="66"/>
          </w:tcPr>
          <w:p w:rsidRPr="00AE1B2B" w:rsidR="009D3FB5" w:rsidP="00163B94" w:rsidRDefault="009D3FB5" w14:paraId="4A4D626A" w14:textId="77777777">
            <w:pPr>
              <w:widowControl w:val="0"/>
              <w:spacing w:before="120" w:after="120" w:line="276" w:lineRule="auto"/>
              <w:ind w:right="283"/>
              <w:jc w:val="center"/>
              <w:rPr>
                <w:rFonts w:ascii="Times New Roman" w:hAnsi="Times New Roman" w:cs="Times New Roman"/>
                <w:b/>
                <w:sz w:val="22"/>
                <w:szCs w:val="22"/>
              </w:rPr>
            </w:pPr>
            <w:r w:rsidRPr="00AE1B2B">
              <w:rPr>
                <w:rFonts w:ascii="Times New Roman" w:hAnsi="Times New Roman" w:cs="Times New Roman"/>
                <w:b/>
                <w:sz w:val="22"/>
                <w:szCs w:val="22"/>
              </w:rPr>
              <w:t>Acción Estratégica</w:t>
            </w:r>
          </w:p>
        </w:tc>
        <w:tc>
          <w:tcPr>
            <w:tcW w:w="2865" w:type="dxa"/>
            <w:shd w:val="clear" w:color="auto" w:fill="BDD6EE" w:themeFill="accent1" w:themeFillTint="66"/>
          </w:tcPr>
          <w:p w:rsidRPr="00AE1B2B" w:rsidR="009D3FB5" w:rsidP="00163B94" w:rsidRDefault="009D3FB5" w14:paraId="15C55AC5" w14:textId="77777777">
            <w:pPr>
              <w:widowControl w:val="0"/>
              <w:spacing w:before="120" w:after="120" w:line="276" w:lineRule="auto"/>
              <w:ind w:right="283"/>
              <w:jc w:val="center"/>
              <w:rPr>
                <w:rFonts w:ascii="Times New Roman" w:hAnsi="Times New Roman" w:cs="Times New Roman"/>
                <w:b/>
                <w:sz w:val="22"/>
                <w:szCs w:val="22"/>
              </w:rPr>
            </w:pPr>
          </w:p>
          <w:p w:rsidRPr="00AE1B2B" w:rsidR="009D3FB5" w:rsidP="00163B94" w:rsidRDefault="009D3FB5" w14:paraId="4F37FE5F" w14:textId="77777777">
            <w:pPr>
              <w:widowControl w:val="0"/>
              <w:spacing w:before="120" w:after="120" w:line="276" w:lineRule="auto"/>
              <w:ind w:right="283"/>
              <w:jc w:val="center"/>
              <w:rPr>
                <w:rFonts w:ascii="Times New Roman" w:hAnsi="Times New Roman" w:cs="Times New Roman"/>
                <w:b/>
                <w:sz w:val="22"/>
                <w:szCs w:val="22"/>
              </w:rPr>
            </w:pPr>
            <w:r w:rsidRPr="00AE1B2B">
              <w:rPr>
                <w:rFonts w:ascii="Times New Roman" w:hAnsi="Times New Roman" w:cs="Times New Roman"/>
                <w:b/>
                <w:sz w:val="22"/>
                <w:szCs w:val="22"/>
              </w:rPr>
              <w:t>Meta Estratégica</w:t>
            </w:r>
          </w:p>
        </w:tc>
        <w:tc>
          <w:tcPr>
            <w:tcW w:w="1579" w:type="dxa"/>
            <w:shd w:val="clear" w:color="auto" w:fill="BDD6EE" w:themeFill="accent1" w:themeFillTint="66"/>
          </w:tcPr>
          <w:p w:rsidRPr="00AE1B2B" w:rsidR="009D3FB5" w:rsidP="00163B94" w:rsidRDefault="009D3FB5" w14:paraId="3226754E" w14:textId="77777777">
            <w:pPr>
              <w:widowControl w:val="0"/>
              <w:spacing w:before="120" w:after="120" w:line="276" w:lineRule="auto"/>
              <w:ind w:right="283"/>
              <w:jc w:val="center"/>
              <w:rPr>
                <w:rFonts w:ascii="Times New Roman" w:hAnsi="Times New Roman" w:cs="Times New Roman"/>
                <w:b/>
                <w:sz w:val="22"/>
                <w:szCs w:val="22"/>
              </w:rPr>
            </w:pPr>
            <w:r w:rsidRPr="00AE1B2B">
              <w:rPr>
                <w:rFonts w:ascii="Times New Roman" w:hAnsi="Times New Roman" w:cs="Times New Roman"/>
                <w:b/>
                <w:sz w:val="22"/>
                <w:szCs w:val="22"/>
              </w:rPr>
              <w:t>Responsable</w:t>
            </w:r>
          </w:p>
        </w:tc>
      </w:tr>
      <w:tr w:rsidRPr="00AE1B2B" w:rsidR="00AE1B2B" w:rsidTr="009D3FB5" w14:paraId="7A947C35" w14:textId="77777777">
        <w:trPr>
          <w:jc w:val="center"/>
        </w:trPr>
        <w:tc>
          <w:tcPr>
            <w:tcW w:w="1637" w:type="dxa"/>
            <w:vMerge w:val="restart"/>
          </w:tcPr>
          <w:p w:rsidRPr="00AE1B2B" w:rsidR="009D3FB5" w:rsidP="00163B94" w:rsidRDefault="009D3FB5" w14:paraId="22DF3F21" w14:textId="77777777">
            <w:pPr>
              <w:widowControl w:val="0"/>
              <w:spacing w:before="120" w:after="120" w:line="276" w:lineRule="auto"/>
              <w:ind w:right="283"/>
              <w:jc w:val="both"/>
              <w:rPr>
                <w:rFonts w:ascii="Times New Roman" w:hAnsi="Times New Roman" w:cs="Times New Roman"/>
                <w:bCs/>
                <w:sz w:val="22"/>
                <w:szCs w:val="22"/>
              </w:rPr>
            </w:pPr>
          </w:p>
          <w:p w:rsidRPr="00AE1B2B" w:rsidR="009D3FB5" w:rsidP="00163B94" w:rsidRDefault="009D3FB5" w14:paraId="6985ACE1" w14:textId="77777777">
            <w:pPr>
              <w:widowControl w:val="0"/>
              <w:spacing w:before="120" w:after="120" w:line="276" w:lineRule="auto"/>
              <w:ind w:right="283"/>
              <w:jc w:val="both"/>
              <w:rPr>
                <w:rFonts w:ascii="Times New Roman" w:hAnsi="Times New Roman" w:cs="Times New Roman"/>
                <w:bCs/>
                <w:sz w:val="22"/>
                <w:szCs w:val="22"/>
              </w:rPr>
            </w:pPr>
          </w:p>
          <w:p w:rsidRPr="00AE1B2B" w:rsidR="009D3FB5" w:rsidP="00163B94" w:rsidRDefault="009D3FB5" w14:paraId="4846100D" w14:textId="77777777">
            <w:pPr>
              <w:widowControl w:val="0"/>
              <w:spacing w:before="120" w:after="120" w:line="276" w:lineRule="auto"/>
              <w:ind w:right="283"/>
              <w:jc w:val="both"/>
              <w:rPr>
                <w:rFonts w:ascii="Times New Roman" w:hAnsi="Times New Roman" w:cs="Times New Roman"/>
                <w:bCs/>
                <w:sz w:val="22"/>
                <w:szCs w:val="22"/>
              </w:rPr>
            </w:pPr>
          </w:p>
          <w:p w:rsidRPr="00AE1B2B" w:rsidR="009D3FB5" w:rsidP="00163B94" w:rsidRDefault="009D3FB5" w14:paraId="42E2942B" w14:textId="77777777">
            <w:pPr>
              <w:widowControl w:val="0"/>
              <w:spacing w:before="120" w:after="120" w:line="276" w:lineRule="auto"/>
              <w:ind w:right="283"/>
              <w:jc w:val="both"/>
              <w:rPr>
                <w:rFonts w:ascii="Times New Roman" w:hAnsi="Times New Roman" w:cs="Times New Roman"/>
                <w:bCs/>
                <w:sz w:val="22"/>
                <w:szCs w:val="22"/>
              </w:rPr>
            </w:pPr>
          </w:p>
          <w:p w:rsidRPr="00AE1B2B" w:rsidR="009D3FB5" w:rsidP="00163B94" w:rsidRDefault="009D3FB5" w14:paraId="095B2079" w14:textId="77777777">
            <w:pPr>
              <w:widowControl w:val="0"/>
              <w:spacing w:before="120" w:after="120" w:line="276" w:lineRule="auto"/>
              <w:ind w:right="283"/>
              <w:jc w:val="both"/>
              <w:rPr>
                <w:rFonts w:ascii="Times New Roman" w:hAnsi="Times New Roman" w:cs="Times New Roman"/>
                <w:bCs/>
                <w:sz w:val="22"/>
                <w:szCs w:val="22"/>
              </w:rPr>
            </w:pPr>
          </w:p>
          <w:p w:rsidRPr="00AE1B2B" w:rsidR="009D3FB5" w:rsidP="00163B94" w:rsidRDefault="009D3FB5" w14:paraId="07F97630" w14:textId="77777777">
            <w:pPr>
              <w:widowControl w:val="0"/>
              <w:spacing w:before="120" w:after="120" w:line="276" w:lineRule="auto"/>
              <w:ind w:right="283"/>
              <w:jc w:val="both"/>
              <w:rPr>
                <w:rFonts w:ascii="Times New Roman" w:hAnsi="Times New Roman" w:cs="Times New Roman"/>
                <w:bCs/>
                <w:sz w:val="22"/>
                <w:szCs w:val="22"/>
              </w:rPr>
            </w:pPr>
          </w:p>
          <w:p w:rsidRPr="00AE1B2B" w:rsidR="009D3FB5" w:rsidP="00163B94" w:rsidRDefault="009D3FB5" w14:paraId="0837B3B5" w14:textId="77777777">
            <w:pPr>
              <w:widowControl w:val="0"/>
              <w:spacing w:before="120" w:after="120" w:line="276" w:lineRule="auto"/>
              <w:ind w:right="283"/>
              <w:jc w:val="both"/>
              <w:rPr>
                <w:rFonts w:ascii="Times New Roman" w:hAnsi="Times New Roman" w:cs="Times New Roman"/>
                <w:bCs/>
                <w:sz w:val="22"/>
                <w:szCs w:val="22"/>
              </w:rPr>
            </w:pPr>
            <w:r w:rsidRPr="00AE1B2B">
              <w:rPr>
                <w:rFonts w:ascii="Times New Roman" w:hAnsi="Times New Roman" w:cs="Times New Roman"/>
                <w:bCs/>
                <w:sz w:val="22"/>
                <w:szCs w:val="22"/>
              </w:rPr>
              <w:t>Optimización e innovación de los servicios judiciales</w:t>
            </w:r>
          </w:p>
        </w:tc>
        <w:tc>
          <w:tcPr>
            <w:tcW w:w="1439" w:type="dxa"/>
            <w:vMerge w:val="restart"/>
          </w:tcPr>
          <w:p w:rsidRPr="00AE1B2B" w:rsidR="009D3FB5" w:rsidP="00163B94" w:rsidRDefault="009D3FB5" w14:paraId="5BF5D6EE" w14:textId="77777777">
            <w:pPr>
              <w:widowControl w:val="0"/>
              <w:spacing w:before="120" w:after="120"/>
              <w:ind w:right="48"/>
              <w:jc w:val="both"/>
              <w:rPr>
                <w:rFonts w:ascii="Times New Roman" w:hAnsi="Times New Roman" w:cs="Times New Roman"/>
                <w:bCs/>
                <w:sz w:val="22"/>
                <w:szCs w:val="22"/>
              </w:rPr>
            </w:pPr>
          </w:p>
          <w:p w:rsidRPr="00AE1B2B" w:rsidR="009D3FB5" w:rsidP="00163B94" w:rsidRDefault="009D3FB5" w14:paraId="014360CD" w14:textId="77777777">
            <w:pPr>
              <w:widowControl w:val="0"/>
              <w:spacing w:before="120" w:after="120"/>
              <w:ind w:right="48"/>
              <w:jc w:val="both"/>
              <w:rPr>
                <w:rFonts w:ascii="Times New Roman" w:hAnsi="Times New Roman" w:cs="Times New Roman"/>
                <w:bCs/>
                <w:sz w:val="22"/>
                <w:szCs w:val="22"/>
              </w:rPr>
            </w:pPr>
          </w:p>
          <w:p w:rsidRPr="00AE1B2B" w:rsidR="009D3FB5" w:rsidP="00163B94" w:rsidRDefault="009D3FB5" w14:paraId="10E54103" w14:textId="77777777">
            <w:pPr>
              <w:widowControl w:val="0"/>
              <w:spacing w:before="120" w:after="120"/>
              <w:ind w:right="48"/>
              <w:jc w:val="both"/>
              <w:rPr>
                <w:rFonts w:ascii="Times New Roman" w:hAnsi="Times New Roman" w:cs="Times New Roman"/>
                <w:bCs/>
                <w:sz w:val="22"/>
                <w:szCs w:val="22"/>
              </w:rPr>
            </w:pPr>
          </w:p>
          <w:p w:rsidRPr="00AE1B2B" w:rsidR="009D3FB5" w:rsidP="00163B94" w:rsidRDefault="009D3FB5" w14:paraId="45FBCDD5" w14:textId="77777777">
            <w:pPr>
              <w:widowControl w:val="0"/>
              <w:spacing w:before="120" w:after="120"/>
              <w:ind w:right="48"/>
              <w:jc w:val="both"/>
              <w:rPr>
                <w:rFonts w:ascii="Times New Roman" w:hAnsi="Times New Roman" w:cs="Times New Roman"/>
                <w:bCs/>
                <w:sz w:val="22"/>
                <w:szCs w:val="22"/>
              </w:rPr>
            </w:pPr>
          </w:p>
          <w:p w:rsidRPr="00AE1B2B" w:rsidR="009D3FB5" w:rsidP="00163B94" w:rsidRDefault="009D3FB5" w14:paraId="68143D21" w14:textId="77777777">
            <w:pPr>
              <w:widowControl w:val="0"/>
              <w:spacing w:before="120" w:after="120"/>
              <w:ind w:right="48"/>
              <w:jc w:val="both"/>
              <w:rPr>
                <w:rFonts w:ascii="Times New Roman" w:hAnsi="Times New Roman" w:cs="Times New Roman"/>
                <w:bCs/>
                <w:sz w:val="22"/>
                <w:szCs w:val="22"/>
              </w:rPr>
            </w:pPr>
          </w:p>
          <w:p w:rsidRPr="00AE1B2B" w:rsidR="009D3FB5" w:rsidP="00163B94" w:rsidRDefault="009D3FB5" w14:paraId="6B7A0DED" w14:textId="77777777">
            <w:pPr>
              <w:widowControl w:val="0"/>
              <w:spacing w:before="120" w:after="120"/>
              <w:ind w:right="48"/>
              <w:jc w:val="both"/>
              <w:rPr>
                <w:rFonts w:ascii="Times New Roman" w:hAnsi="Times New Roman" w:cs="Times New Roman"/>
                <w:bCs/>
                <w:sz w:val="22"/>
                <w:szCs w:val="22"/>
              </w:rPr>
            </w:pPr>
          </w:p>
          <w:p w:rsidRPr="00AE1B2B" w:rsidR="009D3FB5" w:rsidP="00163B94" w:rsidRDefault="009D3FB5" w14:paraId="44752F5D" w14:textId="77777777">
            <w:pPr>
              <w:widowControl w:val="0"/>
              <w:spacing w:before="120" w:after="120"/>
              <w:ind w:right="48"/>
              <w:jc w:val="both"/>
              <w:rPr>
                <w:rFonts w:ascii="Times New Roman" w:hAnsi="Times New Roman" w:cs="Times New Roman"/>
                <w:bCs/>
                <w:sz w:val="22"/>
                <w:szCs w:val="22"/>
              </w:rPr>
            </w:pPr>
          </w:p>
          <w:p w:rsidRPr="00AE1B2B" w:rsidR="009D3FB5" w:rsidP="00163B94" w:rsidRDefault="009D3FB5" w14:paraId="5EA6DCC6" w14:textId="77777777">
            <w:pPr>
              <w:widowControl w:val="0"/>
              <w:spacing w:before="120" w:after="120"/>
              <w:ind w:right="48"/>
              <w:jc w:val="both"/>
              <w:rPr>
                <w:rFonts w:ascii="Times New Roman" w:hAnsi="Times New Roman" w:cs="Times New Roman"/>
                <w:bCs/>
                <w:sz w:val="22"/>
                <w:szCs w:val="22"/>
              </w:rPr>
            </w:pPr>
            <w:r w:rsidRPr="00AE1B2B">
              <w:rPr>
                <w:rFonts w:ascii="Times New Roman" w:hAnsi="Times New Roman" w:cs="Times New Roman"/>
                <w:bCs/>
                <w:sz w:val="22"/>
                <w:szCs w:val="22"/>
              </w:rPr>
              <w:t>Desarrollo y optimización de servicios y procesos judiciales</w:t>
            </w:r>
          </w:p>
          <w:p w:rsidRPr="00AE1B2B" w:rsidR="009D3FB5" w:rsidP="00163B94" w:rsidRDefault="009D3FB5" w14:paraId="4270778A" w14:textId="77777777">
            <w:pPr>
              <w:widowControl w:val="0"/>
              <w:spacing w:before="120" w:after="120" w:line="276" w:lineRule="auto"/>
              <w:ind w:right="283"/>
              <w:jc w:val="both"/>
              <w:rPr>
                <w:rFonts w:ascii="Times New Roman" w:hAnsi="Times New Roman" w:cs="Times New Roman"/>
                <w:bCs/>
                <w:sz w:val="22"/>
                <w:szCs w:val="22"/>
              </w:rPr>
            </w:pPr>
          </w:p>
        </w:tc>
        <w:tc>
          <w:tcPr>
            <w:tcW w:w="2865" w:type="dxa"/>
          </w:tcPr>
          <w:p w:rsidRPr="00AE1B2B" w:rsidR="009D3FB5" w:rsidP="00163B94" w:rsidRDefault="009D3FB5" w14:paraId="6FA6BA47" w14:textId="77777777">
            <w:pPr>
              <w:widowControl w:val="0"/>
              <w:spacing w:before="120" w:after="120" w:line="276" w:lineRule="auto"/>
              <w:ind w:right="283"/>
              <w:jc w:val="both"/>
              <w:rPr>
                <w:rFonts w:ascii="Times New Roman" w:hAnsi="Times New Roman" w:cs="Times New Roman"/>
                <w:bCs/>
                <w:sz w:val="22"/>
                <w:szCs w:val="22"/>
              </w:rPr>
            </w:pPr>
            <w:r w:rsidRPr="00AE1B2B">
              <w:rPr>
                <w:rFonts w:ascii="Times New Roman" w:hAnsi="Times New Roman" w:cs="Times New Roman"/>
                <w:sz w:val="22"/>
                <w:szCs w:val="22"/>
              </w:rPr>
              <w:t>Que al finalizar el 2024, se hayan implementado procesos estandarizados en las oficinas de la Defensa Pública, considerando las particularidades de sus oficinas.</w:t>
            </w:r>
          </w:p>
        </w:tc>
        <w:tc>
          <w:tcPr>
            <w:tcW w:w="1579" w:type="dxa"/>
            <w:vAlign w:val="center"/>
          </w:tcPr>
          <w:p w:rsidRPr="00AE1B2B" w:rsidR="009D3FB5" w:rsidP="00163B94" w:rsidRDefault="009D3FB5" w14:paraId="6A452B21" w14:textId="77777777">
            <w:pPr>
              <w:widowControl w:val="0"/>
              <w:spacing w:before="120" w:after="120" w:line="276" w:lineRule="auto"/>
              <w:ind w:right="283"/>
              <w:jc w:val="center"/>
              <w:rPr>
                <w:rFonts w:ascii="Times New Roman" w:hAnsi="Times New Roman" w:cs="Times New Roman"/>
                <w:b/>
                <w:sz w:val="22"/>
                <w:szCs w:val="22"/>
              </w:rPr>
            </w:pPr>
            <w:r w:rsidRPr="00AE1B2B">
              <w:rPr>
                <w:rFonts w:ascii="Times New Roman" w:hAnsi="Times New Roman" w:cs="Times New Roman"/>
                <w:b/>
                <w:sz w:val="22"/>
                <w:szCs w:val="22"/>
              </w:rPr>
              <w:t>Defensa Pública</w:t>
            </w:r>
          </w:p>
        </w:tc>
      </w:tr>
      <w:tr w:rsidRPr="00AE1B2B" w:rsidR="00AE1B2B" w:rsidTr="009D3FB5" w14:paraId="1FDE5D74" w14:textId="77777777">
        <w:trPr>
          <w:jc w:val="center"/>
        </w:trPr>
        <w:tc>
          <w:tcPr>
            <w:tcW w:w="1637" w:type="dxa"/>
            <w:vMerge/>
          </w:tcPr>
          <w:p w:rsidRPr="00AE1B2B" w:rsidR="009D3FB5" w:rsidP="00163B94" w:rsidRDefault="009D3FB5" w14:paraId="2D6DFAAF" w14:textId="77777777">
            <w:pPr>
              <w:widowControl w:val="0"/>
              <w:spacing w:before="120" w:after="120" w:line="276" w:lineRule="auto"/>
              <w:ind w:right="283"/>
              <w:jc w:val="both"/>
              <w:rPr>
                <w:rFonts w:ascii="Times New Roman" w:hAnsi="Times New Roman" w:cs="Times New Roman"/>
                <w:bCs/>
                <w:sz w:val="22"/>
                <w:szCs w:val="22"/>
              </w:rPr>
            </w:pPr>
          </w:p>
        </w:tc>
        <w:tc>
          <w:tcPr>
            <w:tcW w:w="1439" w:type="dxa"/>
            <w:vMerge/>
          </w:tcPr>
          <w:p w:rsidRPr="00AE1B2B" w:rsidR="009D3FB5" w:rsidP="00163B94" w:rsidRDefault="009D3FB5" w14:paraId="6F36E81C" w14:textId="77777777">
            <w:pPr>
              <w:widowControl w:val="0"/>
              <w:spacing w:before="120" w:after="120" w:line="276" w:lineRule="auto"/>
              <w:ind w:right="283"/>
              <w:jc w:val="both"/>
              <w:rPr>
                <w:rFonts w:ascii="Times New Roman" w:hAnsi="Times New Roman" w:cs="Times New Roman"/>
                <w:bCs/>
                <w:sz w:val="22"/>
                <w:szCs w:val="22"/>
              </w:rPr>
            </w:pPr>
          </w:p>
        </w:tc>
        <w:tc>
          <w:tcPr>
            <w:tcW w:w="2865" w:type="dxa"/>
          </w:tcPr>
          <w:p w:rsidRPr="00AE1B2B" w:rsidR="009D3FB5" w:rsidP="00163B94" w:rsidRDefault="009D3FB5" w14:paraId="28736087" w14:textId="77777777">
            <w:pPr>
              <w:spacing w:before="120" w:after="120" w:line="276" w:lineRule="auto"/>
              <w:jc w:val="both"/>
              <w:rPr>
                <w:rFonts w:ascii="Times New Roman" w:hAnsi="Times New Roman" w:cs="Times New Roman"/>
                <w:sz w:val="22"/>
                <w:szCs w:val="22"/>
              </w:rPr>
            </w:pPr>
            <w:r w:rsidRPr="00AE1B2B">
              <w:rPr>
                <w:rFonts w:ascii="Times New Roman" w:hAnsi="Times New Roman" w:cs="Times New Roman"/>
                <w:sz w:val="22"/>
                <w:szCs w:val="22"/>
              </w:rPr>
              <w:t>Que al finalizar el 2024, se haya implementado el proyecto sobre el modelo de mejora integral del proceso penal.</w:t>
            </w:r>
          </w:p>
          <w:p w:rsidRPr="00AE1B2B" w:rsidR="009D3FB5" w:rsidP="00163B94" w:rsidRDefault="009D3FB5" w14:paraId="6D4AD350" w14:textId="77777777">
            <w:pPr>
              <w:widowControl w:val="0"/>
              <w:spacing w:before="120" w:after="120" w:line="276" w:lineRule="auto"/>
              <w:ind w:right="283"/>
              <w:jc w:val="both"/>
              <w:rPr>
                <w:rFonts w:ascii="Times New Roman" w:hAnsi="Times New Roman" w:cs="Times New Roman"/>
                <w:bCs/>
                <w:sz w:val="22"/>
                <w:szCs w:val="22"/>
              </w:rPr>
            </w:pPr>
          </w:p>
        </w:tc>
        <w:tc>
          <w:tcPr>
            <w:tcW w:w="1579" w:type="dxa"/>
            <w:vMerge w:val="restart"/>
            <w:vAlign w:val="center"/>
          </w:tcPr>
          <w:p w:rsidRPr="00AE1B2B" w:rsidR="009D3FB5" w:rsidP="00163B94" w:rsidRDefault="009D3FB5" w14:paraId="6A998DB6" w14:textId="77777777">
            <w:pPr>
              <w:widowControl w:val="0"/>
              <w:spacing w:before="120" w:after="120" w:line="276" w:lineRule="auto"/>
              <w:ind w:right="283"/>
              <w:jc w:val="center"/>
              <w:rPr>
                <w:rFonts w:ascii="Times New Roman" w:hAnsi="Times New Roman" w:cs="Times New Roman"/>
                <w:b/>
                <w:sz w:val="22"/>
                <w:szCs w:val="22"/>
              </w:rPr>
            </w:pPr>
            <w:r w:rsidRPr="00AE1B2B">
              <w:rPr>
                <w:rFonts w:ascii="Times New Roman" w:hAnsi="Times New Roman" w:cs="Times New Roman"/>
                <w:b/>
                <w:sz w:val="22"/>
                <w:szCs w:val="22"/>
              </w:rPr>
              <w:t>Dirección de Planificación</w:t>
            </w:r>
          </w:p>
        </w:tc>
      </w:tr>
      <w:tr w:rsidRPr="00AE1B2B" w:rsidR="00AE1B2B" w:rsidTr="009D3FB5" w14:paraId="4B05EA35" w14:textId="77777777">
        <w:trPr>
          <w:jc w:val="center"/>
        </w:trPr>
        <w:tc>
          <w:tcPr>
            <w:tcW w:w="1637" w:type="dxa"/>
            <w:vMerge/>
          </w:tcPr>
          <w:p w:rsidRPr="00AE1B2B" w:rsidR="009D3FB5" w:rsidP="00163B94" w:rsidRDefault="009D3FB5" w14:paraId="30B3F8EB" w14:textId="77777777">
            <w:pPr>
              <w:widowControl w:val="0"/>
              <w:spacing w:before="120" w:after="120" w:line="276" w:lineRule="auto"/>
              <w:ind w:right="283"/>
              <w:jc w:val="both"/>
              <w:rPr>
                <w:rFonts w:ascii="Times New Roman" w:hAnsi="Times New Roman" w:cs="Times New Roman"/>
                <w:bCs/>
                <w:sz w:val="22"/>
                <w:szCs w:val="22"/>
              </w:rPr>
            </w:pPr>
          </w:p>
        </w:tc>
        <w:tc>
          <w:tcPr>
            <w:tcW w:w="1439" w:type="dxa"/>
            <w:vMerge/>
          </w:tcPr>
          <w:p w:rsidRPr="00AE1B2B" w:rsidR="009D3FB5" w:rsidP="00163B94" w:rsidRDefault="009D3FB5" w14:paraId="036117AE" w14:textId="77777777">
            <w:pPr>
              <w:widowControl w:val="0"/>
              <w:spacing w:before="120" w:after="120" w:line="276" w:lineRule="auto"/>
              <w:ind w:right="283"/>
              <w:jc w:val="both"/>
              <w:rPr>
                <w:rFonts w:ascii="Times New Roman" w:hAnsi="Times New Roman" w:cs="Times New Roman"/>
                <w:bCs/>
                <w:sz w:val="22"/>
                <w:szCs w:val="22"/>
              </w:rPr>
            </w:pPr>
          </w:p>
        </w:tc>
        <w:tc>
          <w:tcPr>
            <w:tcW w:w="2865" w:type="dxa"/>
          </w:tcPr>
          <w:p w:rsidRPr="00AE1B2B" w:rsidR="009D3FB5" w:rsidP="00163B94" w:rsidRDefault="009D3FB5" w14:paraId="3ED62C8D" w14:textId="77777777">
            <w:pPr>
              <w:spacing w:before="120" w:after="120" w:line="276" w:lineRule="auto"/>
              <w:jc w:val="both"/>
              <w:rPr>
                <w:rFonts w:ascii="Times New Roman" w:hAnsi="Times New Roman" w:cs="Times New Roman"/>
                <w:sz w:val="22"/>
                <w:szCs w:val="22"/>
              </w:rPr>
            </w:pPr>
            <w:r w:rsidRPr="00AE1B2B">
              <w:rPr>
                <w:rFonts w:ascii="Times New Roman" w:hAnsi="Times New Roman" w:cs="Times New Roman"/>
                <w:sz w:val="22"/>
                <w:szCs w:val="22"/>
              </w:rPr>
              <w:t>Que al finalizar el 2024, se haya implementado el proyecto de rediseño en al menos 7 circuitos judiciales, que involucre el ámbito jurisdiccional, auxiliar de justica y administrativo. </w:t>
            </w:r>
          </w:p>
        </w:tc>
        <w:tc>
          <w:tcPr>
            <w:tcW w:w="1579" w:type="dxa"/>
            <w:vMerge/>
            <w:vAlign w:val="center"/>
          </w:tcPr>
          <w:p w:rsidRPr="00AE1B2B" w:rsidR="009D3FB5" w:rsidP="00163B94" w:rsidRDefault="009D3FB5" w14:paraId="3977FBDC" w14:textId="77777777">
            <w:pPr>
              <w:widowControl w:val="0"/>
              <w:spacing w:before="120" w:after="120" w:line="276" w:lineRule="auto"/>
              <w:ind w:right="283"/>
              <w:jc w:val="both"/>
              <w:rPr>
                <w:rFonts w:ascii="Times New Roman" w:hAnsi="Times New Roman" w:cs="Times New Roman"/>
                <w:bCs/>
                <w:sz w:val="22"/>
                <w:szCs w:val="22"/>
              </w:rPr>
            </w:pPr>
          </w:p>
        </w:tc>
      </w:tr>
      <w:tr w:rsidRPr="00AE1B2B" w:rsidR="00AE1B2B" w:rsidTr="009D3FB5" w14:paraId="21C732B2" w14:textId="77777777">
        <w:trPr>
          <w:jc w:val="center"/>
        </w:trPr>
        <w:tc>
          <w:tcPr>
            <w:tcW w:w="1637" w:type="dxa"/>
            <w:vMerge/>
          </w:tcPr>
          <w:p w:rsidRPr="00AE1B2B" w:rsidR="009D3FB5" w:rsidP="00163B94" w:rsidRDefault="009D3FB5" w14:paraId="3CF6D170" w14:textId="77777777">
            <w:pPr>
              <w:widowControl w:val="0"/>
              <w:spacing w:before="120" w:after="120" w:line="276" w:lineRule="auto"/>
              <w:ind w:right="283"/>
              <w:jc w:val="both"/>
              <w:rPr>
                <w:rFonts w:ascii="Times New Roman" w:hAnsi="Times New Roman" w:cs="Times New Roman"/>
                <w:bCs/>
                <w:sz w:val="22"/>
                <w:szCs w:val="22"/>
              </w:rPr>
            </w:pPr>
          </w:p>
        </w:tc>
        <w:tc>
          <w:tcPr>
            <w:tcW w:w="1439" w:type="dxa"/>
            <w:vMerge/>
          </w:tcPr>
          <w:p w:rsidRPr="00AE1B2B" w:rsidR="009D3FB5" w:rsidP="00163B94" w:rsidRDefault="009D3FB5" w14:paraId="63CD9BE3" w14:textId="77777777">
            <w:pPr>
              <w:widowControl w:val="0"/>
              <w:spacing w:before="120" w:after="120" w:line="276" w:lineRule="auto"/>
              <w:ind w:right="283"/>
              <w:jc w:val="both"/>
              <w:rPr>
                <w:rFonts w:ascii="Times New Roman" w:hAnsi="Times New Roman" w:cs="Times New Roman"/>
                <w:bCs/>
                <w:sz w:val="22"/>
                <w:szCs w:val="22"/>
              </w:rPr>
            </w:pPr>
          </w:p>
        </w:tc>
        <w:tc>
          <w:tcPr>
            <w:tcW w:w="2865" w:type="dxa"/>
          </w:tcPr>
          <w:p w:rsidRPr="00AE1B2B" w:rsidR="009D3FB5" w:rsidP="00163B94" w:rsidRDefault="009D3FB5" w14:paraId="61E24A60" w14:textId="77777777">
            <w:pPr>
              <w:spacing w:before="120" w:after="120" w:line="276" w:lineRule="auto"/>
              <w:jc w:val="both"/>
              <w:rPr>
                <w:rFonts w:ascii="Times New Roman" w:hAnsi="Times New Roman" w:cs="Times New Roman"/>
                <w:sz w:val="22"/>
                <w:szCs w:val="22"/>
              </w:rPr>
            </w:pPr>
            <w:r w:rsidRPr="00AE1B2B">
              <w:rPr>
                <w:rFonts w:ascii="Times New Roman" w:hAnsi="Times New Roman" w:cs="Times New Roman"/>
                <w:sz w:val="22"/>
                <w:szCs w:val="22"/>
              </w:rPr>
              <w:t xml:space="preserve">Que al finalizar el 2024, se haya ampliado el modelo de sostenibilidad a 7 Circuitos Judiciales; a partir del Modelo </w:t>
            </w:r>
            <w:r w:rsidRPr="00AE1B2B">
              <w:rPr>
                <w:rFonts w:ascii="Times New Roman" w:hAnsi="Times New Roman" w:cs="Times New Roman"/>
                <w:sz w:val="22"/>
                <w:szCs w:val="22"/>
              </w:rPr>
              <w:lastRenderedPageBreak/>
              <w:t>establecido por la Dirección de Planificación en los Circuitos Judiciales de Cartago y San Carlos.</w:t>
            </w:r>
          </w:p>
        </w:tc>
        <w:tc>
          <w:tcPr>
            <w:tcW w:w="1579" w:type="dxa"/>
            <w:vMerge/>
            <w:vAlign w:val="center"/>
          </w:tcPr>
          <w:p w:rsidRPr="00AE1B2B" w:rsidR="009D3FB5" w:rsidP="00163B94" w:rsidRDefault="009D3FB5" w14:paraId="414C28D4" w14:textId="77777777">
            <w:pPr>
              <w:widowControl w:val="0"/>
              <w:spacing w:before="120" w:after="120" w:line="276" w:lineRule="auto"/>
              <w:ind w:right="283"/>
              <w:jc w:val="both"/>
              <w:rPr>
                <w:rFonts w:ascii="Times New Roman" w:hAnsi="Times New Roman" w:cs="Times New Roman"/>
                <w:bCs/>
                <w:sz w:val="22"/>
                <w:szCs w:val="22"/>
              </w:rPr>
            </w:pPr>
          </w:p>
        </w:tc>
      </w:tr>
    </w:tbl>
    <w:p w:rsidRPr="00AE1B2B" w:rsidR="009D3FB5" w:rsidP="00163B94" w:rsidRDefault="00BB7720" w14:paraId="71F09CCB" w14:textId="2FF68042">
      <w:pPr>
        <w:pStyle w:val="Prrafodelista"/>
        <w:widowControl w:val="0"/>
        <w:spacing w:before="120" w:after="120" w:line="276" w:lineRule="auto"/>
        <w:ind w:right="283"/>
        <w:jc w:val="both"/>
        <w:rPr>
          <w:rFonts w:ascii="Times New Roman" w:hAnsi="Times New Roman" w:cs="Times New Roman"/>
          <w:bCs/>
          <w:sz w:val="20"/>
          <w:szCs w:val="20"/>
        </w:rPr>
      </w:pPr>
      <w:r w:rsidRPr="00AE1B2B">
        <w:rPr>
          <w:rFonts w:ascii="Times New Roman" w:hAnsi="Times New Roman" w:cs="Times New Roman"/>
          <w:b/>
          <w:sz w:val="18"/>
          <w:szCs w:val="18"/>
        </w:rPr>
        <w:t xml:space="preserve"> </w:t>
      </w:r>
      <w:r w:rsidRPr="00AE1B2B" w:rsidR="009D3FB5">
        <w:rPr>
          <w:rFonts w:ascii="Times New Roman" w:hAnsi="Times New Roman" w:cs="Times New Roman"/>
          <w:b/>
          <w:sz w:val="18"/>
          <w:szCs w:val="18"/>
        </w:rPr>
        <w:t>Fuente:</w:t>
      </w:r>
      <w:r w:rsidRPr="00AE1B2B" w:rsidR="009D3FB5">
        <w:rPr>
          <w:rFonts w:ascii="Times New Roman" w:hAnsi="Times New Roman" w:cs="Times New Roman"/>
          <w:bCs/>
          <w:sz w:val="18"/>
          <w:szCs w:val="18"/>
        </w:rPr>
        <w:t xml:space="preserve"> Plan Estratégico Institucional 2019-2024.</w:t>
      </w:r>
    </w:p>
    <w:p w:rsidRPr="00AE1B2B" w:rsidR="009D3FB5" w:rsidP="00163B94" w:rsidRDefault="009D3FB5" w14:paraId="36BC188C" w14:textId="77777777">
      <w:pPr>
        <w:pStyle w:val="Prrafodelista"/>
        <w:widowControl w:val="0"/>
        <w:spacing w:before="120" w:after="120" w:line="276" w:lineRule="auto"/>
        <w:ind w:left="360" w:right="283"/>
        <w:jc w:val="both"/>
        <w:rPr>
          <w:rFonts w:ascii="Times New Roman" w:hAnsi="Times New Roman" w:cs="Times New Roman"/>
          <w:bCs/>
        </w:rPr>
      </w:pPr>
    </w:p>
    <w:p w:rsidRPr="00AE1B2B" w:rsidR="009D3FB5" w:rsidP="00163B94" w:rsidRDefault="009D3FB5" w14:paraId="690695FD" w14:textId="77777777">
      <w:pPr>
        <w:pStyle w:val="Prrafodelista"/>
        <w:widowControl w:val="0"/>
        <w:spacing w:before="120" w:after="120"/>
        <w:ind w:left="851" w:right="851" w:firstLine="709"/>
        <w:jc w:val="both"/>
        <w:rPr>
          <w:rFonts w:ascii="Times New Roman" w:hAnsi="Times New Roman" w:cs="Times New Roman"/>
          <w:bCs/>
          <w:sz w:val="26"/>
          <w:szCs w:val="26"/>
        </w:rPr>
      </w:pPr>
      <w:r w:rsidRPr="00AE1B2B">
        <w:rPr>
          <w:rFonts w:ascii="Times New Roman" w:hAnsi="Times New Roman" w:cs="Times New Roman"/>
          <w:bCs/>
          <w:sz w:val="26"/>
          <w:szCs w:val="26"/>
        </w:rPr>
        <w:t>De lo anterior, se evidencia que la responsabilidad del cumplimiento de las metas estratégicas depende de las labores que ha realizado el recurso concedido y analizado en el presente informe.</w:t>
      </w:r>
    </w:p>
    <w:p w:rsidRPr="00AE1B2B" w:rsidR="009D3FB5" w:rsidP="00163B94" w:rsidRDefault="009D3FB5" w14:paraId="3CB4F0AA" w14:textId="77777777">
      <w:pPr>
        <w:pStyle w:val="Prrafodelista"/>
        <w:widowControl w:val="0"/>
        <w:spacing w:before="120" w:after="120"/>
        <w:ind w:left="851" w:right="851" w:firstLine="709"/>
        <w:jc w:val="both"/>
        <w:rPr>
          <w:rFonts w:ascii="Times New Roman" w:hAnsi="Times New Roman" w:cs="Times New Roman"/>
          <w:bCs/>
          <w:sz w:val="26"/>
          <w:szCs w:val="26"/>
        </w:rPr>
      </w:pPr>
    </w:p>
    <w:p w:rsidRPr="00AE1B2B" w:rsidR="009D3FB5" w:rsidP="00163B94" w:rsidRDefault="009D3FB5" w14:paraId="048176DD" w14:textId="77777777">
      <w:pPr>
        <w:pStyle w:val="Prrafodelista"/>
        <w:widowControl w:val="0"/>
        <w:spacing w:before="120" w:after="120"/>
        <w:ind w:left="851" w:right="851" w:firstLine="709"/>
        <w:jc w:val="both"/>
        <w:rPr>
          <w:rFonts w:ascii="Times New Roman" w:hAnsi="Times New Roman" w:cs="Times New Roman"/>
          <w:bCs/>
          <w:sz w:val="26"/>
          <w:szCs w:val="26"/>
        </w:rPr>
      </w:pPr>
    </w:p>
    <w:p w:rsidRPr="00AE1B2B" w:rsidR="009D3FB5" w:rsidP="00163B94" w:rsidRDefault="009D3FB5" w14:paraId="75B9AC3C" w14:textId="77777777">
      <w:pPr>
        <w:pStyle w:val="Prrafodelista"/>
        <w:widowControl w:val="0"/>
        <w:spacing w:before="120" w:after="120"/>
        <w:ind w:left="851" w:right="851" w:firstLine="709"/>
        <w:jc w:val="both"/>
        <w:rPr>
          <w:rFonts w:ascii="Times New Roman" w:hAnsi="Times New Roman" w:cs="Times New Roman"/>
          <w:bCs/>
          <w:sz w:val="26"/>
          <w:szCs w:val="26"/>
        </w:rPr>
      </w:pPr>
    </w:p>
    <w:p w:rsidRPr="00AE1B2B" w:rsidR="009D3FB5" w:rsidP="00163B94" w:rsidRDefault="009D3FB5" w14:paraId="6F118396" w14:textId="77777777">
      <w:pPr>
        <w:pStyle w:val="Prrafodelista"/>
        <w:widowControl w:val="0"/>
        <w:spacing w:before="120" w:after="120"/>
        <w:ind w:left="851" w:right="851" w:firstLine="709"/>
        <w:jc w:val="both"/>
        <w:rPr>
          <w:rFonts w:ascii="Times New Roman" w:hAnsi="Times New Roman" w:cs="Times New Roman"/>
          <w:bCs/>
          <w:sz w:val="26"/>
          <w:szCs w:val="26"/>
        </w:rPr>
      </w:pPr>
    </w:p>
    <w:p w:rsidRPr="00AE1B2B" w:rsidR="009D3FB5" w:rsidP="00163B94" w:rsidRDefault="009D3FB5" w14:paraId="0DF21332" w14:textId="77777777">
      <w:pPr>
        <w:pStyle w:val="Prrafodelista"/>
        <w:widowControl w:val="0"/>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3.4 Otras consideraciones</w:t>
      </w:r>
    </w:p>
    <w:p w:rsidRPr="00AE1B2B" w:rsidR="009D3FB5" w:rsidP="00163B94" w:rsidRDefault="009D3FB5" w14:paraId="1AD728D4"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4B46015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lang w:val="es-ES" w:eastAsia="zh-CN"/>
        </w:rPr>
        <w:t xml:space="preserve">En la reunión efectuada en fecha </w:t>
      </w:r>
      <w:r w:rsidRPr="00AE1B2B">
        <w:rPr>
          <w:rFonts w:ascii="Times New Roman" w:hAnsi="Times New Roman" w:cs="Times New Roman"/>
          <w:sz w:val="26"/>
          <w:szCs w:val="26"/>
        </w:rPr>
        <w:t>21 de enero de 2021 documentada en la minuta 37-PLA-MI-MNTA-2021 (apartado minutas) el Máster Juan Calos Pérez Murillo, Director de la Defensa Pública fue contundente en indicar que es indispensable y esencial contar con la plaza de persona Defensora Supervisora ya que, a través de ella, se ha trabajado en la implantación del Sistema de Seguimiento de Casos en las oficinas, lo cual ha modernizado el control de los datos y estadística.</w:t>
      </w:r>
    </w:p>
    <w:p w:rsidRPr="00AE1B2B" w:rsidR="009D3FB5" w:rsidP="00163B94" w:rsidRDefault="009D3FB5" w14:paraId="57AD520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F30829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Máster Pérez Murillo indicó que la ausencia de la plaza en el 2022 provocaría una afectación muy grave y significativa para la Defensa Pública, ya que la plaza es necesaria para seguir avanzando en temas de Modernización, a la luz también de que las plazas de persona Defensora Supervisora destacadas en la Defensa Pública, deben “</w:t>
      </w:r>
      <w:r w:rsidRPr="00AE1B2B">
        <w:rPr>
          <w:rFonts w:ascii="Times New Roman" w:hAnsi="Times New Roman" w:cs="Times New Roman"/>
          <w:i/>
          <w:iCs/>
          <w:sz w:val="26"/>
          <w:szCs w:val="26"/>
        </w:rPr>
        <w:t>regionalizarse</w:t>
      </w:r>
      <w:r w:rsidRPr="00AE1B2B">
        <w:rPr>
          <w:rFonts w:ascii="Times New Roman" w:hAnsi="Times New Roman" w:cs="Times New Roman"/>
          <w:sz w:val="26"/>
          <w:szCs w:val="26"/>
        </w:rPr>
        <w:t>” por lo que las mismas asumirán una carga de trabajo adicional, lo anterior en cumplimiento del acuerdo del Consejo Superior en el acta 96-2018 del 06 de noviembre del 2018, artículo XIII.</w:t>
      </w:r>
    </w:p>
    <w:p w:rsidRPr="00AE1B2B" w:rsidR="009D3FB5" w:rsidP="00163B94" w:rsidRDefault="009D3FB5" w14:paraId="730F204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656A8A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Al asumir mayor carga laboral, se deben maximizar los recursos profesionales y con ello la plaza en análisis. </w:t>
      </w:r>
    </w:p>
    <w:p w:rsidRPr="00AE1B2B" w:rsidR="009D3FB5" w:rsidP="00163B94" w:rsidRDefault="009D3FB5" w14:paraId="658FD1C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96F75F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En cuanto al Proyecto de Mejora Integral del Proceso Penal en la Defensa Pública considera vital su existencia, ya que la misma vela por la implementación y adecuada ejecución de los planes de trabajo planteados en los abordajes, mediante una participación activa dentro del abordaje de cada oficina aclarando consultas tanto del personal de la oficina, como del personal de la Dirección de Planificación, pues brinda criterio técnico-legal de las propuestas de solución, además de dar soporte a consultas que inclusive pueden surgir del ámbito jurisdiccional.</w:t>
      </w:r>
    </w:p>
    <w:p w:rsidRPr="00AE1B2B" w:rsidR="009D3FB5" w:rsidP="00163B94" w:rsidRDefault="009D3FB5" w14:paraId="240E5BA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9D3FB5" w14:paraId="55DFE3D9" w14:textId="77777777">
      <w:pPr>
        <w:widowControl w:val="0"/>
        <w:tabs>
          <w:tab w:val="left" w:pos="7776"/>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línea con lo anterior, en el informe 497-PLA-RH-OI-2020 de la Dirección de Planificación se recomendó dar continuidad en forma ordinaria a partir del periodo 2021 a dos plazas de profesionales para destacarse en forma exclusiva a necesidades de la Defensa Pública, bajo la dirección funcional de la Dirección de Planificación, alineado al Rediseño de esa Dirección aprobado por el Consejo Superior en sesión 95-16 del 13 de octubre de 2016, artículo LXII, en donde se estableció una Unidad de Modernización del Ámbito Auxiliar de Justicia.</w:t>
      </w:r>
    </w:p>
    <w:p w:rsidRPr="00AE1B2B" w:rsidR="009D3FB5" w:rsidP="00163B94" w:rsidRDefault="009D3FB5" w14:paraId="0934DA2C" w14:textId="77777777">
      <w:pPr>
        <w:widowControl w:val="0"/>
        <w:tabs>
          <w:tab w:val="left" w:pos="7776"/>
        </w:tabs>
        <w:spacing w:before="120" w:after="120"/>
        <w:ind w:left="851" w:right="851" w:firstLine="709"/>
        <w:jc w:val="both"/>
        <w:rPr>
          <w:rFonts w:ascii="Times New Roman" w:hAnsi="Times New Roman" w:cs="Times New Roman"/>
          <w:sz w:val="26"/>
          <w:szCs w:val="26"/>
        </w:rPr>
      </w:pPr>
    </w:p>
    <w:p w:rsidRPr="00AE1B2B" w:rsidR="009D3FB5" w:rsidP="00163B94" w:rsidRDefault="009D3FB5" w14:paraId="4BA2716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Dirección de Planificación destaca actualmente a tres recursos profesionales en el Proyecto de Mejora Integral del Proceso Penal, de los cuales uno corresponde a recurso propio y dos a las plazas mencionadas en el párrafo anterior. Dicho proyecto tiene su cronograma con fecha de finalización en el 2022, según su escenario ideal. Como parte de ese proyecto, es fundamental contar con la contraparte técnica de la Defensa Pública que brinde soporte y asesoramiento a los planes de trabajo de los distintos abordajes en las oficinas, tema que es de vital importancia ya que posterior, inicia una etapa de seguimiento alineado al Modelo de Sostenibilidad con lo cual se pretende que perduren en el tiempo los objetivos planteados en el Proyecto; por lo cual; la plaza de persona Defensora Supervisora será necesaria para apoyar este proceso, maximizar los resultados y dar sostenibilidad. Para citar un ejemplo, el análisis de indicadores de gestión como parte del Modelo de Sostenibilidad que la Dirección de Planificación se ha promovido en el ambiente jurisdiccional, auxiliar de justicia y administrativo desde el 2015, según el oficio 1317-PLA-2015, el cual fue aprobado por el Consejo Superior en sesión 82-15 del 16 de septiembre de 2015, artículo XXI.</w:t>
      </w:r>
      <w:r w:rsidRPr="00AE1B2B">
        <w:rPr>
          <w:rStyle w:val="Refdenotaalpie"/>
          <w:rFonts w:ascii="Times New Roman" w:hAnsi="Times New Roman"/>
          <w:sz w:val="26"/>
          <w:szCs w:val="26"/>
        </w:rPr>
        <w:footnoteReference w:id="15"/>
      </w:r>
    </w:p>
    <w:p w:rsidRPr="00AE1B2B" w:rsidR="009D3FB5" w:rsidP="00163B94" w:rsidRDefault="009D3FB5" w14:paraId="31E51E5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DCA942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Según los párrafos anteriores se determina que la plaza extraordinaria de persona Defensora Supervisora se destacó durante el 2020 en dos grandes áreas: la primera en las labores producto de la implantación del Sistema de Seguimiento de Casos en materias de Ejecución de la Pena y Agrario; además de la materia Penal, las cuales, entre otras incluyen actividades seguimiento a las oficinas, capacitación en el uso del sistema, consultas técnicas, elaboración de manuales, detección de errores, factibilidad de sistema y utilizar ambientes de prueba según cada materia, además del diagnóstico para la implantación del sistema en Pensiones Alimentarias.</w:t>
      </w:r>
    </w:p>
    <w:p w:rsidRPr="00AE1B2B" w:rsidR="009D3FB5" w:rsidP="00163B94" w:rsidRDefault="009D3FB5" w14:paraId="1FA16E4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F0FC3A1" w14:textId="77777777">
      <w:pPr>
        <w:widowControl w:val="0"/>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otra área es el Proyecto de Mejora Integral del Proceso Penal en el ámbito auxiliar de Justicia, donde se brindó el seguimiento a los planes de trabajo producto de los distintos abordajes y se dio el soporte técnico legal, a las oficinas propias de la Defensa Pública donde se realizaron abordajes, así como al recurso humano responsable de la Dirección de Planificación.</w:t>
      </w:r>
    </w:p>
    <w:p w:rsidRPr="00AE1B2B" w:rsidR="009D3FB5" w:rsidP="00163B94" w:rsidRDefault="00BB7720" w14:paraId="6AD0AF4F" w14:textId="7A0A2931">
      <w:pPr>
        <w:widowControl w:val="0"/>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9D3FB5" w14:paraId="62E24FE6" w14:textId="77777777">
      <w:pPr>
        <w:widowControl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Incluso esta plaza colaboró en labores adicionales, tal como la creación de la nueva página web de la Defensa Pública.</w:t>
      </w:r>
    </w:p>
    <w:p w:rsidRPr="00AE1B2B" w:rsidR="009D3FB5" w:rsidP="00163B94" w:rsidRDefault="009D3FB5" w14:paraId="1F202178"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2EB0B630" w14:textId="61722DA8">
      <w:pPr>
        <w:widowControl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Así las cosas, se considera necesario la </w:t>
      </w:r>
      <w:r w:rsidRPr="00AE1B2B">
        <w:rPr>
          <w:rFonts w:ascii="Times New Roman" w:hAnsi="Times New Roman" w:cs="Times New Roman"/>
          <w:sz w:val="26"/>
          <w:szCs w:val="26"/>
          <w:u w:val="single"/>
          <w:lang w:val="es-ES" w:eastAsia="zh-CN"/>
        </w:rPr>
        <w:t>continuación del recurso profesional en forma ordinaria</w:t>
      </w:r>
      <w:r w:rsidRPr="00AE1B2B">
        <w:rPr>
          <w:rFonts w:ascii="Times New Roman" w:hAnsi="Times New Roman" w:cs="Times New Roman"/>
          <w:sz w:val="26"/>
          <w:szCs w:val="26"/>
          <w:lang w:val="es-ES" w:eastAsia="zh-CN"/>
        </w:rPr>
        <w:t xml:space="preserve"> para atender las oficinas restantes de implantación del Sistema Seguimiento de Casos en las distintas materias pendientes y todas las labores producto de ello, además del apoyo necesario en el Proyecto de Mejora Integral del Proceso Penal, tanto en el acompañamiento y participación activa en planes de trabajo en las distintas oficinas, así como la etapa de seguimiento posterior a través del Modelo de Sostenibilidad, pues se</w:t>
      </w:r>
      <w:r w:rsidRPr="00AE1B2B" w:rsidR="00BB7720">
        <w:rPr>
          <w:rFonts w:ascii="Times New Roman" w:hAnsi="Times New Roman" w:cs="Times New Roman"/>
          <w:sz w:val="26"/>
          <w:szCs w:val="26"/>
          <w:lang w:val="es-ES" w:eastAsia="zh-CN"/>
        </w:rPr>
        <w:t xml:space="preserve"> </w:t>
      </w:r>
      <w:r w:rsidRPr="00AE1B2B">
        <w:rPr>
          <w:rFonts w:ascii="Times New Roman" w:hAnsi="Times New Roman" w:cs="Times New Roman"/>
          <w:sz w:val="26"/>
          <w:szCs w:val="26"/>
          <w:lang w:val="es-ES" w:eastAsia="zh-CN"/>
        </w:rPr>
        <w:t xml:space="preserve">asegura mantener los valiosos beneficios en el ámbito auxiliar de justicia, a través del tiempo. </w:t>
      </w:r>
    </w:p>
    <w:p w:rsidRPr="00AE1B2B" w:rsidR="009D3FB5" w:rsidP="00163B94" w:rsidRDefault="009D3FB5" w14:paraId="4C4A0EC0"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5024C83F" w14:textId="77777777">
      <w:pPr>
        <w:pStyle w:val="Prrafodelista"/>
        <w:widowControl w:val="0"/>
        <w:numPr>
          <w:ilvl w:val="1"/>
          <w:numId w:val="41"/>
        </w:numPr>
        <w:spacing w:before="120" w:after="120"/>
        <w:ind w:left="851" w:right="851" w:firstLine="709"/>
        <w:contextualSpacing/>
        <w:jc w:val="both"/>
        <w:rPr>
          <w:rFonts w:ascii="Times New Roman" w:hAnsi="Times New Roman" w:cs="Times New Roman"/>
          <w:b/>
          <w:bCs/>
          <w:sz w:val="26"/>
          <w:szCs w:val="26"/>
          <w:lang w:eastAsia="zh-CN"/>
        </w:rPr>
      </w:pPr>
      <w:r w:rsidRPr="00AE1B2B">
        <w:rPr>
          <w:rFonts w:ascii="Times New Roman" w:hAnsi="Times New Roman" w:cs="Times New Roman"/>
          <w:b/>
          <w:bCs/>
          <w:sz w:val="26"/>
          <w:szCs w:val="26"/>
          <w:lang w:eastAsia="zh-CN"/>
        </w:rPr>
        <w:t>Análisis de las plazas con permiso con goce de salario</w:t>
      </w:r>
    </w:p>
    <w:p w:rsidRPr="00AE1B2B" w:rsidR="009D3FB5" w:rsidP="00163B94" w:rsidRDefault="009D3FB5" w14:paraId="2E22F354"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0DDD9A36" w14:textId="77777777">
      <w:pPr>
        <w:widowControl w:val="0"/>
        <w:spacing w:before="120" w:after="120"/>
        <w:ind w:left="851" w:right="851" w:firstLine="709"/>
        <w:jc w:val="both"/>
        <w:rPr>
          <w:rFonts w:ascii="Times New Roman" w:hAnsi="Times New Roman" w:cs="Times New Roman"/>
          <w:b/>
          <w:bCs/>
          <w:sz w:val="26"/>
          <w:szCs w:val="26"/>
          <w:lang w:val="es-ES" w:eastAsia="zh-CN"/>
        </w:rPr>
      </w:pPr>
      <w:r w:rsidRPr="00AE1B2B">
        <w:rPr>
          <w:rFonts w:ascii="Times New Roman" w:hAnsi="Times New Roman" w:cs="Times New Roman"/>
          <w:b/>
          <w:bCs/>
          <w:sz w:val="26"/>
          <w:szCs w:val="26"/>
          <w:lang w:val="es-ES" w:eastAsia="zh-CN"/>
        </w:rPr>
        <w:t>3.4.1 Proyecto de Seguimiento de Casos</w:t>
      </w:r>
    </w:p>
    <w:p w:rsidRPr="00AE1B2B" w:rsidR="009D3FB5" w:rsidP="00163B94" w:rsidRDefault="009D3FB5" w14:paraId="0971C20B"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6C2DCADA" w14:textId="77777777">
      <w:pPr>
        <w:widowControl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Como parte de los antecedentes detallados en el apartado </w:t>
      </w:r>
      <w:r w:rsidRPr="00AE1B2B">
        <w:rPr>
          <w:rFonts w:ascii="Times New Roman" w:hAnsi="Times New Roman" w:cs="Times New Roman"/>
          <w:sz w:val="26"/>
          <w:szCs w:val="26"/>
          <w:lang w:val="es-ES" w:eastAsia="zh-CN"/>
        </w:rPr>
        <w:lastRenderedPageBreak/>
        <w:t>correspondiente, la Defensa Pública cuenta con un permiso con goce de salario y sustitución (plaza bajo el artículo 44) de una persona Asistente Administrativo 1, el cual fue otorgado para destacarse en la implantación del Sistema de Seguimiento de Casos y el desarrollo del nuevo sistema Integral de Gestión. Esta plaza es parte de la Unidad de Modernización de la Defensa Publica y trabaja de la mano de la plaza extraordinaria de persona Defensora Supervisora en dicha unidad.</w:t>
      </w:r>
    </w:p>
    <w:p w:rsidRPr="00AE1B2B" w:rsidR="009D3FB5" w:rsidP="00163B94" w:rsidRDefault="009D3FB5" w14:paraId="33CC0981"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35955A87" w14:textId="77777777">
      <w:pPr>
        <w:widowControl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Este permiso con goce de salario cuya prorroga existe hasta el 31 de marzo del 2021, ha asistido y asiste a la plaza de persona Defensora Supervisora en múltiples tareas; sin embargo, la Dirección de Planificación considera las disposiciones establecidas por Corte Plena en sesiones 27-2017 de 21 de agosto de 2017, artículo XVI, 28-2017 de 28 de agosto de 2017, artículo XV y 29-2017 de 4 setiembre de 2017, artículo XVI, donde se aprobaron una serie de medidas de contención del gasto en el Poder Judicial, producto de la grave situación fiscal que enfrenta el país, entre las cuales se indica que no se crearán plazas nuevas, salvo las correspondientes a la implementación de nuevas leyes, debidamente aprobadas por la Asamblea Legislativa, o bien cuenten con un estudio técnico de la Dirección de Planificación, sujeto a la disponibilidad de contenido presupuestario; por consiguiente los informes son orientados a no generar un aumento adicional en el presupuesto institucional por concepto de recurso humano y en reforzar la utilización de metodologías o prácticas que permitan la maximización de los recursos. </w:t>
      </w:r>
    </w:p>
    <w:p w:rsidRPr="00AE1B2B" w:rsidR="009D3FB5" w:rsidP="00163B94" w:rsidRDefault="009D3FB5" w14:paraId="3DBEBD84"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59794DF0" w14:textId="77777777">
      <w:pPr>
        <w:widowControl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Al considerar lo anterior, la plaza de Asistente Administrativo 1 debe continuar bajo las mismas condiciones actuales, permiso con goce de salario conforme al Proyecto de Implantación del Sistema SSC bajo la Metodología Institucional de Administración de Proyectos, sujeta su prórroga a los informes de avance de cronograma que se presenten y al contenido presupuestario de la institución.</w:t>
      </w:r>
    </w:p>
    <w:p w:rsidRPr="00AE1B2B" w:rsidR="009D3FB5" w:rsidP="00163B94" w:rsidRDefault="009D3FB5" w14:paraId="1DAFD9FD"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7E4A84AA" w14:textId="77777777">
      <w:pPr>
        <w:widowControl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Adicionalmente se considera que las labores de implantación tendrán una fecha de finalización, una vez que se cuente con el Sistema de Seguimiento de Casos en todas las oficinas que conforman la Defensa Pública y que el recurso humano de cada oficina conozca como utilizarlo.</w:t>
      </w:r>
    </w:p>
    <w:p w:rsidRPr="00AE1B2B" w:rsidR="009D3FB5" w:rsidP="00163B94" w:rsidRDefault="009D3FB5" w14:paraId="0BD07216"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56B56113" w14:textId="77777777">
      <w:pPr>
        <w:widowControl w:val="0"/>
        <w:spacing w:before="120" w:after="120"/>
        <w:ind w:left="851" w:right="851" w:firstLine="709"/>
        <w:jc w:val="both"/>
        <w:rPr>
          <w:rFonts w:ascii="Times New Roman" w:hAnsi="Times New Roman" w:cs="Times New Roman"/>
          <w:b/>
          <w:bCs/>
          <w:sz w:val="26"/>
          <w:szCs w:val="26"/>
          <w:lang w:val="es-ES" w:eastAsia="zh-CN"/>
        </w:rPr>
      </w:pPr>
      <w:r w:rsidRPr="00AE1B2B">
        <w:rPr>
          <w:rFonts w:ascii="Times New Roman" w:hAnsi="Times New Roman" w:cs="Times New Roman"/>
          <w:b/>
          <w:bCs/>
          <w:sz w:val="26"/>
          <w:szCs w:val="26"/>
          <w:lang w:val="es-ES" w:eastAsia="zh-CN"/>
        </w:rPr>
        <w:t>3.4.2 Proyecto de inventarios en las oficinas de la Defensa Pública</w:t>
      </w:r>
    </w:p>
    <w:p w:rsidRPr="00AE1B2B" w:rsidR="009D3FB5" w:rsidP="00163B94" w:rsidRDefault="009D3FB5" w14:paraId="075A00C1" w14:textId="77777777">
      <w:pPr>
        <w:spacing w:before="120" w:after="120"/>
        <w:ind w:left="851" w:right="851" w:firstLine="709"/>
        <w:rPr>
          <w:rFonts w:ascii="Times New Roman" w:hAnsi="Times New Roman" w:cs="Times New Roman"/>
          <w:sz w:val="26"/>
          <w:szCs w:val="26"/>
          <w:lang w:val="es-ES_tradnl"/>
        </w:rPr>
      </w:pPr>
    </w:p>
    <w:p w:rsidRPr="00AE1B2B" w:rsidR="009D3FB5" w:rsidP="00163B94" w:rsidRDefault="009D3FB5" w14:paraId="22DBA057" w14:textId="77777777">
      <w:pPr>
        <w:widowControl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En atención al proyecto denominado </w:t>
      </w:r>
      <w:r w:rsidRPr="00AE1B2B">
        <w:rPr>
          <w:rFonts w:ascii="Times New Roman" w:hAnsi="Times New Roman" w:cs="Times New Roman"/>
          <w:i/>
          <w:iCs/>
          <w:sz w:val="26"/>
          <w:szCs w:val="26"/>
          <w:lang w:val="es-ES" w:eastAsia="zh-CN"/>
        </w:rPr>
        <w:t>“Actualización de los estados procesales por expediente y por plaza de Defensor (arqueos) en las oficinas de la Defensa Pública como parte del Proyecto de Mejora Integral del Proceso Penal”</w:t>
      </w:r>
      <w:r w:rsidRPr="00AE1B2B">
        <w:rPr>
          <w:rFonts w:ascii="Times New Roman" w:hAnsi="Times New Roman" w:cs="Times New Roman"/>
          <w:sz w:val="26"/>
          <w:szCs w:val="26"/>
          <w:lang w:val="es-ES" w:eastAsia="zh-CN"/>
        </w:rPr>
        <w:t xml:space="preserve">, la Defensa Publica cuenta con cuatro permisos con goce de salario tipo de puesto Persona Técnica Jurídica (jornada completa), cuya aprobación fue dada hasta el 31 de marzo del 2021, y cuya prorroga quedó sujeta al contenido presupuestario. </w:t>
      </w:r>
    </w:p>
    <w:p w:rsidRPr="00AE1B2B" w:rsidR="009D3FB5" w:rsidP="00163B94" w:rsidRDefault="009D3FB5" w14:paraId="5EA2F43C"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2C807857" w14:textId="77777777">
      <w:pPr>
        <w:widowControl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Este proyecto tiene como objetivo realizar un inventario de los expedientes de cada oficina por persona defensora de tal manera que se cuente con información actualizada y confiable que permita entre otras bondades, análisis técnicos de cargas de trabajo y administración adecuada del recurso humano. Si bien, su origen nació en la atención de la materia Penal, dado el éxito del proyecto, se solicitó extender a otras materias durante el 2021 y 2022, lo anterior documentado en las solicitudes de prórroga del proyecto presentados oportunamente en el Portafolio de Proyectos correspondiente.</w:t>
      </w:r>
    </w:p>
    <w:p w:rsidRPr="00AE1B2B" w:rsidR="009D3FB5" w:rsidP="00163B94" w:rsidRDefault="009D3FB5" w14:paraId="57957393"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1B7FC3AB" w14:textId="77777777">
      <w:pPr>
        <w:widowControl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Actualmente una vez que el Equipo de Arqueos aborda una oficina, realiza una revisión total de todos los expedientes en materia penal, indicando los expedientes en trámite de acuerdo con el circulante reportado por cada plaza, inconsistencias, expedientes para terminar, expedientes para cambio de estado, entre otros. Terminado este proceso, se extiende una certificación que la oficina fue “arqueada” y que la misma cuenta con datos certeros en el Sistema de Seguimiento de Casos. En este proceso, se resalta que los cambios o modificaciones en los expedientes son responsabilidad de la persona defensora asignada en el expediente con base en el insumo que el Equipo de Arqueos suministra.</w:t>
      </w:r>
    </w:p>
    <w:p w:rsidRPr="00AE1B2B" w:rsidR="009D3FB5" w:rsidP="00163B94" w:rsidRDefault="009D3FB5" w14:paraId="0F8234DE"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1132CF8A" w14:textId="77777777">
      <w:pPr>
        <w:widowControl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Ya que, a medida que avanza el proyecto, diversas oficinas han sido certificadas por el equipo de trabajo correspondiente, es necesario que esta dinámica sea interiorizada por cada oficina y que, </w:t>
      </w:r>
      <w:r w:rsidRPr="00AE1B2B">
        <w:rPr>
          <w:rFonts w:ascii="Times New Roman" w:hAnsi="Times New Roman" w:cs="Times New Roman"/>
          <w:sz w:val="26"/>
          <w:szCs w:val="26"/>
        </w:rPr>
        <w:t xml:space="preserve">como parte del Modelo de Seguimiento y Sostenibilidad de los </w:t>
      </w:r>
      <w:r w:rsidRPr="00AE1B2B">
        <w:rPr>
          <w:rFonts w:ascii="Times New Roman" w:hAnsi="Times New Roman" w:cs="Times New Roman"/>
          <w:sz w:val="26"/>
          <w:szCs w:val="26"/>
        </w:rPr>
        <w:lastRenderedPageBreak/>
        <w:t>Proyectos de Rediseño, donde interactúan los equipos de mejora de las oficinas, la Unidad de Estadística de la Defensa Pública y la Unidad de Modernización Institucional de la Defensa Pública</w:t>
      </w:r>
      <w:r w:rsidRPr="00AE1B2B">
        <w:rPr>
          <w:rFonts w:ascii="Times New Roman" w:hAnsi="Times New Roman" w:cs="Times New Roman"/>
          <w:sz w:val="26"/>
          <w:szCs w:val="26"/>
          <w:lang w:val="es-ES" w:eastAsia="zh-CN"/>
        </w:rPr>
        <w:t>, las personas defensoras, como parte de sus planes de acción realicen periódicamente el inventario de sus expedientes con el propósito de que los datos en el Sistema de Seguimiento de Casos reflejen la realidad de la oficina tanto en el estado en “tramite” como los demás estados del circulante, así como indiquen inconsistencias, para su corrección por las personas competentes.</w:t>
      </w:r>
    </w:p>
    <w:p w:rsidRPr="00AE1B2B" w:rsidR="009D3FB5" w:rsidP="00163B94" w:rsidRDefault="009D3FB5" w14:paraId="65509F06"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60F1845E" w14:textId="77777777">
      <w:pPr>
        <w:widowControl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Si esta dinámica se realiza por cada oficina con el debido seguimiento por parte del Equipo de Mejora correspondiente, el objetivo que se persigue con el proyecto de arqueos se le da sostenibilidad en el tiempo y perduran los buenos resultados obtenidos.</w:t>
      </w:r>
    </w:p>
    <w:p w:rsidRPr="00AE1B2B" w:rsidR="009D3FB5" w:rsidP="00163B94" w:rsidRDefault="009D3FB5" w14:paraId="2C6FE629" w14:textId="77777777">
      <w:pPr>
        <w:widowControl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Por otro lado, el proyecto de actualización de los estados procesales por expediente y por plaza de Defensor (arqueos) es finito, por lo que es necesario que las distintas oficinas continúen con el ejercicio de realizar sus propios inventarios con recurso propio, tal como lo consideran las circulares de la Defensa Pública 28-2018 y 28-2020. (</w:t>
      </w:r>
      <w:r w:rsidRPr="00AE1B2B">
        <w:rPr>
          <w:rFonts w:ascii="Times New Roman" w:hAnsi="Times New Roman" w:cs="Times New Roman"/>
          <w:i/>
          <w:iCs/>
          <w:sz w:val="26"/>
          <w:szCs w:val="26"/>
          <w:lang w:val="es-ES" w:eastAsia="zh-CN"/>
        </w:rPr>
        <w:t>Apéndice 3</w:t>
      </w:r>
      <w:r w:rsidRPr="00AE1B2B">
        <w:rPr>
          <w:rFonts w:ascii="Times New Roman" w:hAnsi="Times New Roman" w:cs="Times New Roman"/>
          <w:sz w:val="26"/>
          <w:szCs w:val="26"/>
          <w:lang w:val="es-ES" w:eastAsia="zh-CN"/>
        </w:rPr>
        <w:t>) y tal como sucede en el ámbito jurisdiccional, donde cada despacho se encarga de realizar sus propias depuraciones.</w:t>
      </w:r>
    </w:p>
    <w:p w:rsidRPr="00AE1B2B" w:rsidR="009D3FB5" w:rsidP="00163B94" w:rsidRDefault="009D3FB5" w14:paraId="5BDD8ED5"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5DBD5659" w14:textId="77777777">
      <w:pPr>
        <w:widowControl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En línea con lo anterior, </w:t>
      </w:r>
      <w:r w:rsidRPr="00AE1B2B">
        <w:rPr>
          <w:rFonts w:ascii="Times New Roman" w:hAnsi="Times New Roman" w:eastAsia="Calibri" w:cs="Times New Roman"/>
          <w:sz w:val="26"/>
          <w:szCs w:val="26"/>
        </w:rPr>
        <w:t xml:space="preserve">deben considerarse también las circulares 191-2015 y la 137-2016 </w:t>
      </w:r>
      <w:r w:rsidRPr="00AE1B2B">
        <w:rPr>
          <w:rFonts w:ascii="Times New Roman" w:hAnsi="Times New Roman" w:cs="Times New Roman"/>
          <w:i/>
          <w:iCs/>
          <w:sz w:val="26"/>
          <w:szCs w:val="26"/>
          <w:lang w:val="es-ES" w:eastAsia="zh-CN"/>
        </w:rPr>
        <w:t>(Apéndice 4)</w:t>
      </w:r>
      <w:r w:rsidRPr="00AE1B2B">
        <w:rPr>
          <w:rFonts w:ascii="Times New Roman" w:hAnsi="Times New Roman" w:cs="Times New Roman"/>
          <w:sz w:val="26"/>
          <w:szCs w:val="26"/>
          <w:lang w:val="es-ES" w:eastAsia="zh-CN"/>
        </w:rPr>
        <w:t xml:space="preserve"> de la institución, las cuales evidencian la obligatoriedad de mantener los sistemas informáticos actualizados. </w:t>
      </w:r>
    </w:p>
    <w:p w:rsidRPr="00AE1B2B" w:rsidR="009D3FB5" w:rsidP="00163B94" w:rsidRDefault="009D3FB5" w14:paraId="43A66D6C"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62C0A0F3" w14:textId="77777777">
      <w:pPr>
        <w:spacing w:before="120" w:after="120"/>
        <w:ind w:left="851" w:right="851" w:firstLine="709"/>
        <w:rPr>
          <w:rFonts w:ascii="Times New Roman" w:hAnsi="Times New Roman" w:cs="Times New Roman"/>
          <w:sz w:val="26"/>
          <w:szCs w:val="26"/>
        </w:rPr>
      </w:pPr>
      <w:r w:rsidRPr="00AE1B2B">
        <w:rPr>
          <w:rFonts w:ascii="Times New Roman" w:hAnsi="Times New Roman" w:cs="Times New Roman"/>
          <w:b/>
          <w:sz w:val="26"/>
          <w:szCs w:val="26"/>
        </w:rPr>
        <w:t>IV. Elementos Resolutivos</w:t>
      </w:r>
    </w:p>
    <w:p w:rsidRPr="00AE1B2B" w:rsidR="009D3FB5" w:rsidP="00163B94" w:rsidRDefault="009D3FB5" w14:paraId="12EB6684" w14:textId="77777777">
      <w:pPr>
        <w:spacing w:before="120" w:after="120"/>
        <w:ind w:left="851" w:right="851" w:firstLine="709"/>
        <w:rPr>
          <w:rFonts w:ascii="Times New Roman" w:hAnsi="Times New Roman" w:cs="Times New Roman"/>
          <w:sz w:val="26"/>
          <w:szCs w:val="26"/>
        </w:rPr>
      </w:pPr>
    </w:p>
    <w:p w:rsidRPr="00AE1B2B" w:rsidR="009D3FB5" w:rsidP="00163B94" w:rsidRDefault="009D3FB5" w14:paraId="6BC8A06E" w14:textId="77777777">
      <w:pPr>
        <w:pStyle w:val="Prrafodelista"/>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Según el informe 497-PLA-RH-OI-2020 Estudio de Requerimiento Humano Anteproyecto de Presupuesto 2021 se aprobó la continuación de la plaza bajo análisis en condición extraordinaria.</w:t>
      </w:r>
    </w:p>
    <w:p w:rsidRPr="00AE1B2B" w:rsidR="009D3FB5" w:rsidP="00163B94" w:rsidRDefault="009D3FB5" w14:paraId="0ABF8AEF" w14:textId="77777777">
      <w:pPr>
        <w:pStyle w:val="Prrafodelista"/>
        <w:widowControl w:val="0"/>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La plaza extraordinaria de persona Defensora Supervisora fue aprobada para dar continuidad a las labores de implantación del Sistema Seguimiento de Casos y sus aplicativos, así como mantener una participación activa en las actividades asociadas al Proyecto de Mejora Integral del Proceso Penal.</w:t>
      </w:r>
    </w:p>
    <w:p w:rsidRPr="00AE1B2B" w:rsidR="009D3FB5" w:rsidP="00163B94" w:rsidRDefault="009D3FB5" w14:paraId="7141A6BF" w14:textId="77777777">
      <w:pPr>
        <w:widowControl w:val="0"/>
        <w:spacing w:before="120" w:after="120"/>
        <w:ind w:left="851" w:right="851" w:firstLine="709"/>
        <w:contextualSpacing/>
        <w:jc w:val="both"/>
        <w:rPr>
          <w:rFonts w:ascii="Times New Roman" w:hAnsi="Times New Roman" w:cs="Times New Roman"/>
          <w:sz w:val="26"/>
          <w:szCs w:val="26"/>
          <w:lang w:eastAsia="zh-CN"/>
        </w:rPr>
      </w:pPr>
    </w:p>
    <w:p w:rsidRPr="00AE1B2B" w:rsidR="009D3FB5" w:rsidP="00163B94" w:rsidRDefault="009D3FB5" w14:paraId="7EA6E8DD" w14:textId="77777777">
      <w:pPr>
        <w:widowControl w:val="0"/>
        <w:spacing w:before="120" w:after="120"/>
        <w:ind w:left="851" w:right="851" w:firstLine="709"/>
        <w:contextualSpacing/>
        <w:jc w:val="both"/>
        <w:rPr>
          <w:rFonts w:ascii="Times New Roman" w:hAnsi="Times New Roman" w:cs="Times New Roman"/>
          <w:sz w:val="26"/>
          <w:szCs w:val="26"/>
          <w:lang w:eastAsia="zh-CN"/>
        </w:rPr>
      </w:pPr>
    </w:p>
    <w:p w:rsidRPr="00AE1B2B" w:rsidR="009D3FB5" w:rsidP="00163B94" w:rsidRDefault="009D3FB5" w14:paraId="644073AC" w14:textId="77777777">
      <w:pPr>
        <w:widowControl w:val="0"/>
        <w:spacing w:before="120" w:after="120"/>
        <w:ind w:left="851" w:right="851" w:firstLine="709"/>
        <w:contextualSpacing/>
        <w:jc w:val="both"/>
        <w:rPr>
          <w:rFonts w:ascii="Times New Roman" w:hAnsi="Times New Roman" w:cs="Times New Roman"/>
          <w:sz w:val="26"/>
          <w:szCs w:val="26"/>
          <w:lang w:eastAsia="zh-CN"/>
        </w:rPr>
      </w:pPr>
    </w:p>
    <w:p w:rsidRPr="00AE1B2B" w:rsidR="009D3FB5" w:rsidP="00163B94" w:rsidRDefault="009D3FB5" w14:paraId="17A28466" w14:textId="77777777">
      <w:pPr>
        <w:widowControl w:val="0"/>
        <w:spacing w:before="120" w:after="120"/>
        <w:ind w:left="851" w:right="851" w:firstLine="709"/>
        <w:contextualSpacing/>
        <w:jc w:val="both"/>
        <w:rPr>
          <w:rFonts w:ascii="Times New Roman" w:hAnsi="Times New Roman" w:cs="Times New Roman"/>
          <w:sz w:val="26"/>
          <w:szCs w:val="26"/>
          <w:lang w:eastAsia="zh-CN"/>
        </w:rPr>
      </w:pPr>
    </w:p>
    <w:p w:rsidRPr="00AE1B2B" w:rsidR="009D3FB5" w:rsidP="00163B94" w:rsidRDefault="009D3FB5" w14:paraId="50BDFAA5" w14:textId="77777777">
      <w:pPr>
        <w:pStyle w:val="Prrafodelista"/>
        <w:widowControl w:val="0"/>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La plaza en análisis es ocupada por el Lic. Orlando Vargas Chacón el cual inicio labores el 01 de marzo del 2020. En el periodo de enero hasta el 28 de febrero 2020, se encontraba nombrado el Lic. Arturo Cruz Volio, quien durante ese período estuvo incapacitado por enfermedad.</w:t>
      </w:r>
    </w:p>
    <w:p w:rsidRPr="00AE1B2B" w:rsidR="009D3FB5" w:rsidP="00163B94" w:rsidRDefault="009D3FB5" w14:paraId="2345719F" w14:textId="77777777">
      <w:pPr>
        <w:pStyle w:val="Prrafodelista"/>
        <w:widowControl w:val="0"/>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El Lic. Vargas Chacón destacó sus labores en dos grandes áreas: la primera relacionada con el Sistema de Seguimiento de Casos y otra con el Proyecto de Mejora Integral del Proceso Penal.</w:t>
      </w:r>
    </w:p>
    <w:p w:rsidRPr="00AE1B2B" w:rsidR="009D3FB5" w:rsidP="00163B94" w:rsidRDefault="009D3FB5" w14:paraId="3A24A6E5" w14:textId="77777777">
      <w:pPr>
        <w:pStyle w:val="Prrafodelista"/>
        <w:widowControl w:val="0"/>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 xml:space="preserve">En el caso de las actividades con el Sistema de Seguimiento de Casos el sistema se implanto en el Primer Circuito Judicial de San José y Alajuela; las cuales son las oficinas más complejas y con mayor cantidad de personas defensoras. En la materia Agraria la implantación alcanzó un 60%. </w:t>
      </w:r>
    </w:p>
    <w:p w:rsidRPr="00AE1B2B" w:rsidR="009D3FB5" w:rsidP="00163B94" w:rsidRDefault="009D3FB5" w14:paraId="2B2379A2" w14:textId="77777777">
      <w:pPr>
        <w:pStyle w:val="Prrafodelista"/>
        <w:widowControl w:val="0"/>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Las funciones que se realizan dentro de la implantación en el Sistema de Seguimiento de Casos incluyen labores como realizar entrevistas a los especialistas de materias, estudio de factibilidad de acople del sistema a las necesidades detectadas; revisión de catálogos existentes en los sistemas, inclusión o modificación de variables, viabilidad del acople de los sistemas, generación de módulos de pruebas, capacitación, atención de consultas varias, entre otras.</w:t>
      </w:r>
    </w:p>
    <w:p w:rsidRPr="00AE1B2B" w:rsidR="009D3FB5" w:rsidP="00163B94" w:rsidRDefault="009D3FB5" w14:paraId="0AFDF88C" w14:textId="77777777">
      <w:pPr>
        <w:pStyle w:val="Prrafodelista"/>
        <w:widowControl w:val="0"/>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En el caso de la materia de Pensiones Alimentarias, si bien, se proyectó en el informe 497-PLA-RH-OI-2020 realizar las acciones necesarias para implantar el Sistema de Seguimiento de Casos en esta materia en el 2021, se realizó un cambio en el alcance del proyecto; ya que se detectó, primero la necesidad de elaborar un diagnóstico sobre la posibilidad de implantación del SSC.</w:t>
      </w:r>
    </w:p>
    <w:p w:rsidRPr="00AE1B2B" w:rsidR="009D3FB5" w:rsidP="00163B94" w:rsidRDefault="009D3FB5" w14:paraId="4C34CB48" w14:textId="77777777">
      <w:pPr>
        <w:pStyle w:val="Prrafodelista"/>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El Defensor Supervisor participó en forma activa en doce reuniones con la Dirección de Tecnología en las cuales se formularon observaciones y requerimientos en aras de mejorar las funcionalidades, diseño y accesibilidad del nuevo Sistema Integrado de Apoyo a la Gestión del Poder Judicial (SIAGPJ).</w:t>
      </w:r>
    </w:p>
    <w:p w:rsidRPr="00AE1B2B" w:rsidR="009D3FB5" w:rsidP="00163B94" w:rsidRDefault="009D3FB5" w14:paraId="20675A61" w14:textId="77777777">
      <w:pPr>
        <w:pStyle w:val="Prrafodelista"/>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En el caso de las actividades realizadas en el Proyecto de Mejora Integral del Proceso Penal en el ámbito auxiliar de Justicia, específicamente en la Defensa Pública, la plaza en análisis trabajó de forma conjunta con la Unidad de Modernización del Ámbito Auxiliar de Justicia de la Dirección de Planificación, utilizando como base el Modelo de Tramitación para la Defensa Pública.</w:t>
      </w:r>
    </w:p>
    <w:p w:rsidRPr="00AE1B2B" w:rsidR="009D3FB5" w:rsidP="00163B94" w:rsidRDefault="009D3FB5" w14:paraId="3803112F" w14:textId="77777777">
      <w:pPr>
        <w:pStyle w:val="Prrafodelista"/>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lastRenderedPageBreak/>
        <w:t>El Defensor Supervisor participó en 20 reuniones de forma virtual con la Unidad de Modernización del Ámbito Auxiliar de Justicia de la Dirección de Planificación junto con el recurso profesional Coordinador de las oficinas involucradas de la Defensa Pública y las Jefaturas correspondientes, en las cuales se expusieron los resultados de las evaluaciones realizadas por los profesionales de dicha unidad.</w:t>
      </w:r>
    </w:p>
    <w:p w:rsidRPr="00AE1B2B" w:rsidR="009D3FB5" w:rsidP="00163B94" w:rsidRDefault="009D3FB5" w14:paraId="68B6F8A9" w14:textId="77777777">
      <w:pPr>
        <w:pStyle w:val="Prrafodelista"/>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La plaza de persona Defensora Supervisora, como parte de sus funciones, se hizo cargo de gerenciar las plazas asignadas a la Defensa Pública, mediante los permisos con goce de salario concedidos por el Consejo Superior (artículo 44 de la Ley Orgánica del Poder Judicial), por lo que, se rindieron los informes mensuales de las plazas asignadas durante el periodo 2020 ante la Dirección de Planificación.</w:t>
      </w:r>
    </w:p>
    <w:p w:rsidRPr="00AE1B2B" w:rsidR="009D3FB5" w:rsidP="00163B94" w:rsidRDefault="009D3FB5" w14:paraId="4E6E5B43" w14:textId="77777777">
      <w:pPr>
        <w:pStyle w:val="Prrafodelista"/>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La plaza en análisis en coordinación con el Proyecto de Estrategias de Comunicación y Proyección de la Defensa Pública se destacó en el rediseño de una nueva página web de la Defensa Pública, la cual se presentó en diciembre 2020.</w:t>
      </w:r>
    </w:p>
    <w:p w:rsidRPr="00AE1B2B" w:rsidR="009D3FB5" w:rsidP="00163B94" w:rsidRDefault="009D3FB5" w14:paraId="7AAFFA72" w14:textId="77777777">
      <w:pPr>
        <w:pStyle w:val="Prrafodelista"/>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Dentro de algunas de las labores proyectadas para el periodo 2021, se programa realizar la implantación del Sistema de Seguimiento de Casos en las oficinas faltantes de la materia Ejecución de la Pena y Agrario, adicionalmente en la materia de Penal Juvenil, así como brindar el apoyo técnico en la evaluación de las oficinas que realizan los profesionales de la Dirección de Planificación.</w:t>
      </w:r>
    </w:p>
    <w:p w:rsidRPr="00AE1B2B" w:rsidR="009D3FB5" w:rsidP="00163B94" w:rsidRDefault="009D3FB5" w14:paraId="4C27D0D6" w14:textId="77777777">
      <w:pPr>
        <w:pStyle w:val="Prrafodelista"/>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Para el año 2022, se proyecta dar continuidad al plan de capacitación en el Sistema de Seguimiento de Casos (SSC) y al Sistema Integrado de Apoyo a la Gestión del Poder Judicial (SIAGPJ), además de participar en la migración de datos de un sistema a otro. En cuanto al Proyecto de Mejora Integral de los Procesos, se proyecta poder crear nuevos modelos de trámite para las materias diferentes a la de penal de adultos, con la finalidad de lograr una visión integral de las labores que desempeñan las oficinas de la Defensa Pública y evaluar los modelos actuales de tramitación que cuentan con aprobación del Consejo Superior.</w:t>
      </w:r>
    </w:p>
    <w:p w:rsidRPr="00AE1B2B" w:rsidR="009D3FB5" w:rsidP="00163B94" w:rsidRDefault="009D3FB5" w14:paraId="2E839176" w14:textId="77777777">
      <w:pPr>
        <w:pStyle w:val="Prrafodelista"/>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en-US"/>
        </w:rPr>
        <w:t xml:space="preserve">El máster </w:t>
      </w:r>
      <w:r w:rsidRPr="00AE1B2B">
        <w:rPr>
          <w:rFonts w:ascii="Times New Roman" w:hAnsi="Times New Roman" w:cs="Times New Roman"/>
          <w:sz w:val="26"/>
          <w:szCs w:val="26"/>
        </w:rPr>
        <w:t>Juan Calos Pérez Murillo, Director de la Defensa Pública indicó que es indispensable y esencial contar con la plaza de persona Defensora Supervisora ya que, a través de ella, se trabaja en la implantación del Sistema de Seguimiento de Casos en las oficinas, lo cual ha modernizado el control de los datos y estadística.</w:t>
      </w:r>
    </w:p>
    <w:p w:rsidRPr="00AE1B2B" w:rsidR="009D3FB5" w:rsidP="00163B94" w:rsidRDefault="009D3FB5" w14:paraId="08702F0B" w14:textId="7E8436E3">
      <w:pPr>
        <w:pStyle w:val="Prrafodelista"/>
        <w:numPr>
          <w:ilvl w:val="0"/>
          <w:numId w:val="3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El Ing. Nelson Arce Hidalgo, Coordinador de Unidad, Proyecto de Mejora Integral del Proceso Penal de la Dirección de </w:t>
      </w:r>
      <w:r w:rsidRPr="00AE1B2B">
        <w:rPr>
          <w:rFonts w:ascii="Times New Roman" w:hAnsi="Times New Roman" w:cs="Times New Roman"/>
          <w:sz w:val="26"/>
          <w:szCs w:val="26"/>
        </w:rPr>
        <w:lastRenderedPageBreak/>
        <w:t>Planificación indico la necesidad de que la plaza extraordinaria continúe con las labores asociadas a la implementación del Sistema de Seguimiento de Casos, además del soporte técnico-legal que brinda en el Proyecto de Mejora Integral del Proceso Penal en la Defensa Pública, lo cual es vital en los distintos abordajes y en el seguimiento de los proyectos.</w:t>
      </w:r>
      <w:r w:rsidRPr="00AE1B2B" w:rsidR="00BB7720">
        <w:rPr>
          <w:rFonts w:ascii="Times New Roman" w:hAnsi="Times New Roman" w:cs="Times New Roman"/>
          <w:sz w:val="26"/>
          <w:szCs w:val="26"/>
        </w:rPr>
        <w:t xml:space="preserve"> </w:t>
      </w:r>
    </w:p>
    <w:p w:rsidRPr="00AE1B2B" w:rsidR="009D3FB5" w:rsidP="00163B94" w:rsidRDefault="009D3FB5" w14:paraId="52C95DEF" w14:textId="77777777">
      <w:pPr>
        <w:pStyle w:val="Prrafodelista"/>
        <w:widowControl w:val="0"/>
        <w:numPr>
          <w:ilvl w:val="0"/>
          <w:numId w:val="39"/>
        </w:numPr>
        <w:tabs>
          <w:tab w:val="left" w:pos="7776"/>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El informe 497-PLA-RH-OI-2020 de la Dirección de Planificación recomendó dar continuidad en forma ordinaria a partir del periodo 2021 a dos plazas de profesionales para destacarse en forma exclusiva a necesidades de la Defensa Pública, bajo la dirección funcional de la Dirección de Planificación, alineado al Rediseño de esa Dirección aprobado por el Consejo Superior en sesión 95-16 del 13 de octubre de 2016, artículo LXII. </w:t>
      </w:r>
    </w:p>
    <w:p w:rsidRPr="00AE1B2B" w:rsidR="009D3FB5" w:rsidP="00163B94" w:rsidRDefault="009D3FB5" w14:paraId="122588B9" w14:textId="77777777">
      <w:pPr>
        <w:pStyle w:val="Prrafodelista"/>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Se considera necesario la continuación del recurso profesional en forma ordinaria para el 2022 para atender las oficinas restantes de implantación del Sistema Seguimiento de Casos en las distintas materias pendientes y todas las labores producto de ello, además del apoyo necesario al Proyecto de Mejora Integral del Proceso Penal y su sostenibilidad a través del tiempo.</w:t>
      </w:r>
    </w:p>
    <w:p w:rsidRPr="00AE1B2B" w:rsidR="009D3FB5" w:rsidP="00163B94" w:rsidRDefault="009D3FB5" w14:paraId="44FACE17" w14:textId="77777777">
      <w:pPr>
        <w:pStyle w:val="Prrafodelista"/>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La Defensa Pública cuenta con un permiso con goce de salario y sustitución (plazas bajo el artículo 44) de una persona Asistente Administrativo 1, el cual fue otorgado para destacarse en la implantación del Sistema de Seguimiento de Casos y el desarrollo del nuevo sistema Integral de Gestión.</w:t>
      </w:r>
    </w:p>
    <w:p w:rsidRPr="00AE1B2B" w:rsidR="009D3FB5" w:rsidP="00163B94" w:rsidRDefault="009D3FB5" w14:paraId="64C11AA0" w14:textId="77777777">
      <w:pPr>
        <w:pStyle w:val="Prrafodelista"/>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La plaza de Asistente Administrativo 1 debe continuar bajo las mismas condiciones actuales, permiso con goce de salario conforme al Proyecto de Implantación del Sistema de Seguimiento de Casos bajo la Metodología Institucional de Administración de Proyectos, su prórroga sujeta a los informes de avance de cronograma que se presenten y al contenido presupuestario de la institución ya que no es posible variar su condición pues la Dirección de Planificación considera las disposiciones establecidas por Corte Plena en sesiones 27-2017 de 21 de agosto de 2017, artículo XVI, 28-2017 de 28 de agosto de 2017, artículo XV y 29-2017 de 4 setiembre de 2017, artículo XVI, donde se aprobaron una serie de medidas de contención del gasto en el Poder Judicial, producto de la grave situación fiscal que enfrenta el país.</w:t>
      </w:r>
    </w:p>
    <w:p w:rsidRPr="00AE1B2B" w:rsidR="009D3FB5" w:rsidP="00163B94" w:rsidRDefault="009D3FB5" w14:paraId="5F2756E5" w14:textId="77777777">
      <w:pPr>
        <w:pStyle w:val="Prrafodelista"/>
        <w:widowControl w:val="0"/>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 xml:space="preserve">En atención al proyecto denominado </w:t>
      </w:r>
      <w:r w:rsidRPr="00AE1B2B">
        <w:rPr>
          <w:rFonts w:ascii="Times New Roman" w:hAnsi="Times New Roman" w:cs="Times New Roman"/>
          <w:i/>
          <w:iCs/>
          <w:sz w:val="26"/>
          <w:szCs w:val="26"/>
          <w:lang w:eastAsia="zh-CN"/>
        </w:rPr>
        <w:t>“Actualización de los estados procesales por expediente y por plaza de Defensor (arqueos) en las oficinas de la Defensa Pública como parte del Proyecto de Mejora Integral del Proceso Penal”</w:t>
      </w:r>
      <w:r w:rsidRPr="00AE1B2B">
        <w:rPr>
          <w:rFonts w:ascii="Times New Roman" w:hAnsi="Times New Roman" w:cs="Times New Roman"/>
          <w:sz w:val="26"/>
          <w:szCs w:val="26"/>
          <w:lang w:eastAsia="zh-CN"/>
        </w:rPr>
        <w:t xml:space="preserve">, la Defensa Publica cuenta con cuatro permisos con goce de salario tipo de puesto Persona </w:t>
      </w:r>
      <w:r w:rsidRPr="00AE1B2B">
        <w:rPr>
          <w:rFonts w:ascii="Times New Roman" w:hAnsi="Times New Roman" w:cs="Times New Roman"/>
          <w:sz w:val="26"/>
          <w:szCs w:val="26"/>
          <w:lang w:eastAsia="zh-CN"/>
        </w:rPr>
        <w:lastRenderedPageBreak/>
        <w:t xml:space="preserve">Técnica Jurídica (jornada completa), cuya aprobación fue dada hasta el 31 de marzo del 2021, y cuya prorroga quedó sujeta al contenido presupuestario. </w:t>
      </w:r>
    </w:p>
    <w:p w:rsidRPr="00AE1B2B" w:rsidR="009D3FB5" w:rsidP="00163B94" w:rsidRDefault="009D3FB5" w14:paraId="033D892E" w14:textId="2FB36090">
      <w:pPr>
        <w:pStyle w:val="Prrafodelista"/>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A medida que avanza el proyecto de “</w:t>
      </w:r>
      <w:r w:rsidRPr="00AE1B2B">
        <w:rPr>
          <w:rFonts w:ascii="Times New Roman" w:hAnsi="Times New Roman" w:cs="Times New Roman"/>
          <w:i/>
          <w:iCs/>
          <w:sz w:val="26"/>
          <w:szCs w:val="26"/>
          <w:lang w:eastAsia="zh-CN"/>
        </w:rPr>
        <w:t>Actualización de los estados procesales</w:t>
      </w:r>
      <w:r w:rsidRPr="00AE1B2B">
        <w:rPr>
          <w:rFonts w:ascii="Times New Roman" w:hAnsi="Times New Roman" w:cs="Times New Roman"/>
          <w:sz w:val="26"/>
          <w:szCs w:val="26"/>
          <w:lang w:eastAsia="zh-CN"/>
        </w:rPr>
        <w:t xml:space="preserve">”, diversas oficinas fueron certificadas por el equipo de trabajo correspondiente, por lo que es necesario que esta dinámica sea interiorizada por cada oficina y que, </w:t>
      </w:r>
      <w:r w:rsidRPr="00AE1B2B">
        <w:rPr>
          <w:rFonts w:ascii="Times New Roman" w:hAnsi="Times New Roman" w:cs="Times New Roman"/>
          <w:sz w:val="26"/>
          <w:szCs w:val="26"/>
        </w:rPr>
        <w:t>como parte del Modelo de Seguimiento y Sostenibilidad de los Proyectos de Rediseño, donde interactúan los equipos de mejora de las oficinas, la Unidad de Estadística de la Defensa Pública y la Unidad de Modernización Institucional de la Defensa Pública</w:t>
      </w:r>
      <w:r w:rsidRPr="00AE1B2B">
        <w:rPr>
          <w:rFonts w:ascii="Times New Roman" w:hAnsi="Times New Roman" w:cs="Times New Roman"/>
          <w:sz w:val="26"/>
          <w:szCs w:val="26"/>
          <w:lang w:eastAsia="zh-CN"/>
        </w:rPr>
        <w:t>, las personas defensoras, como parte de sus planes de acción</w:t>
      </w:r>
      <w:r w:rsidRPr="00AE1B2B" w:rsidR="00BB7720">
        <w:rPr>
          <w:rFonts w:ascii="Times New Roman" w:hAnsi="Times New Roman" w:cs="Times New Roman"/>
          <w:sz w:val="26"/>
          <w:szCs w:val="26"/>
          <w:lang w:eastAsia="zh-CN"/>
        </w:rPr>
        <w:t xml:space="preserve"> </w:t>
      </w:r>
      <w:r w:rsidRPr="00AE1B2B">
        <w:rPr>
          <w:rFonts w:ascii="Times New Roman" w:hAnsi="Times New Roman" w:cs="Times New Roman"/>
          <w:sz w:val="26"/>
          <w:szCs w:val="26"/>
          <w:lang w:eastAsia="zh-CN"/>
        </w:rPr>
        <w:t>realicen periódicamente el inventario de sus expedientes, lo cual es una tarea ordinaria de sus oficinas.</w:t>
      </w:r>
    </w:p>
    <w:p w:rsidRPr="00AE1B2B" w:rsidR="009D3FB5" w:rsidP="00163B94" w:rsidRDefault="009D3FB5" w14:paraId="6AC45218" w14:textId="77777777">
      <w:pPr>
        <w:pStyle w:val="Prrafodelista"/>
        <w:numPr>
          <w:ilvl w:val="0"/>
          <w:numId w:val="39"/>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 xml:space="preserve">El proyecto de </w:t>
      </w:r>
      <w:r w:rsidRPr="00AE1B2B">
        <w:rPr>
          <w:rFonts w:ascii="Times New Roman" w:hAnsi="Times New Roman" w:cs="Times New Roman"/>
          <w:i/>
          <w:iCs/>
          <w:sz w:val="26"/>
          <w:szCs w:val="26"/>
          <w:lang w:eastAsia="zh-CN"/>
        </w:rPr>
        <w:t>Actualización de los estados procesales por expediente y por plaza de Defensor (arqueos)</w:t>
      </w:r>
      <w:r w:rsidRPr="00AE1B2B">
        <w:rPr>
          <w:rFonts w:ascii="Times New Roman" w:hAnsi="Times New Roman" w:cs="Times New Roman"/>
          <w:sz w:val="26"/>
          <w:szCs w:val="26"/>
          <w:lang w:eastAsia="zh-CN"/>
        </w:rPr>
        <w:t xml:space="preserve"> es finito, por lo que es necesario que las distintas oficinas continúen con el ejercicio de realizar sus propios inventarios con recurso propio, tal como lo consideran las circulares de la Defensa Pública 28-2018 y 28-2020.</w:t>
      </w:r>
    </w:p>
    <w:p w:rsidRPr="00AE1B2B" w:rsidR="009D3FB5" w:rsidP="00163B94" w:rsidRDefault="009D3FB5" w14:paraId="088E5F41" w14:textId="77777777">
      <w:pPr>
        <w:spacing w:before="120" w:after="120"/>
        <w:ind w:left="851" w:right="851" w:firstLine="709"/>
        <w:rPr>
          <w:rFonts w:ascii="Times New Roman" w:hAnsi="Times New Roman" w:cs="Times New Roman"/>
          <w:sz w:val="26"/>
          <w:szCs w:val="26"/>
        </w:rPr>
      </w:pPr>
    </w:p>
    <w:p w:rsidRPr="00AE1B2B" w:rsidR="009D3FB5" w:rsidP="00163B94" w:rsidRDefault="009D3FB5" w14:paraId="58E906D2" w14:textId="77777777">
      <w:pPr>
        <w:pStyle w:val="Prrafodelista"/>
        <w:spacing w:before="120" w:after="120"/>
        <w:ind w:left="851" w:right="851" w:firstLine="709"/>
        <w:rPr>
          <w:rFonts w:ascii="Times New Roman" w:hAnsi="Times New Roman" w:cs="Times New Roman"/>
          <w:b/>
          <w:bCs/>
          <w:sz w:val="26"/>
          <w:szCs w:val="26"/>
        </w:rPr>
      </w:pPr>
    </w:p>
    <w:p w:rsidRPr="00AE1B2B" w:rsidR="009D3FB5" w:rsidP="00163B94" w:rsidRDefault="009D3FB5" w14:paraId="7EB787B1" w14:textId="77777777">
      <w:pPr>
        <w:pStyle w:val="Prrafodelista"/>
        <w:tabs>
          <w:tab w:val="left" w:pos="253"/>
          <w:tab w:val="left" w:pos="395"/>
          <w:tab w:val="left" w:pos="537"/>
          <w:tab w:val="left" w:pos="9923"/>
        </w:tabs>
        <w:autoSpaceDE w:val="0"/>
        <w:autoSpaceDN w:val="0"/>
        <w:adjustRightInd w:val="0"/>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V. Recomendaciones</w:t>
      </w:r>
    </w:p>
    <w:p w:rsidRPr="00AE1B2B" w:rsidR="009D3FB5" w:rsidP="00163B94" w:rsidRDefault="009D3FB5" w14:paraId="61DD9699" w14:textId="77777777">
      <w:pPr>
        <w:pStyle w:val="Prrafodelista"/>
        <w:tabs>
          <w:tab w:val="left" w:pos="253"/>
          <w:tab w:val="left" w:pos="395"/>
          <w:tab w:val="left" w:pos="537"/>
          <w:tab w:val="left" w:pos="9923"/>
        </w:tabs>
        <w:autoSpaceDE w:val="0"/>
        <w:autoSpaceDN w:val="0"/>
        <w:adjustRightInd w:val="0"/>
        <w:spacing w:before="120" w:after="120"/>
        <w:ind w:left="851" w:right="851" w:firstLine="709"/>
        <w:jc w:val="both"/>
        <w:rPr>
          <w:rFonts w:ascii="Times New Roman" w:hAnsi="Times New Roman" w:cs="Times New Roman"/>
          <w:b/>
          <w:bCs/>
          <w:sz w:val="26"/>
          <w:szCs w:val="26"/>
        </w:rPr>
      </w:pPr>
    </w:p>
    <w:p w:rsidRPr="00AE1B2B" w:rsidR="009D3FB5" w:rsidP="00163B94" w:rsidRDefault="009D3FB5" w14:paraId="0CE74AD2" w14:textId="77777777">
      <w:pPr>
        <w:spacing w:before="120" w:after="120"/>
        <w:ind w:left="851" w:right="851" w:firstLine="709"/>
        <w:jc w:val="both"/>
        <w:rPr>
          <w:rFonts w:ascii="Times New Roman" w:hAnsi="Times New Roman" w:cs="Times New Roman"/>
          <w:bCs/>
          <w:i/>
          <w:iCs/>
          <w:sz w:val="26"/>
          <w:szCs w:val="26"/>
        </w:rPr>
      </w:pPr>
      <w:r w:rsidRPr="00AE1B2B">
        <w:rPr>
          <w:rFonts w:ascii="Times New Roman" w:hAnsi="Times New Roman" w:cs="Times New Roman"/>
          <w:bCs/>
          <w:i/>
          <w:iCs/>
          <w:sz w:val="26"/>
          <w:szCs w:val="26"/>
        </w:rPr>
        <w:t>Consejo Superior</w:t>
      </w:r>
    </w:p>
    <w:p w:rsidRPr="00AE1B2B" w:rsidR="009D3FB5" w:rsidP="00163B94" w:rsidRDefault="009D3FB5" w14:paraId="202E0899" w14:textId="77777777">
      <w:pPr>
        <w:spacing w:before="120" w:after="120"/>
        <w:ind w:left="851" w:right="851" w:firstLine="709"/>
        <w:jc w:val="both"/>
        <w:rPr>
          <w:rFonts w:ascii="Times New Roman" w:hAnsi="Times New Roman" w:cs="Times New Roman"/>
          <w:bCs/>
          <w:i/>
          <w:iCs/>
          <w:sz w:val="26"/>
          <w:szCs w:val="26"/>
        </w:rPr>
      </w:pPr>
    </w:p>
    <w:p w:rsidRPr="00AE1B2B" w:rsidR="009D3FB5" w:rsidP="00163B94" w:rsidRDefault="009D3FB5" w14:paraId="210C92CD" w14:textId="77777777">
      <w:pPr>
        <w:pStyle w:val="Prrafodelista"/>
        <w:widowControl w:val="0"/>
        <w:numPr>
          <w:ilvl w:val="0"/>
          <w:numId w:val="40"/>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Aprobar la continuidad de la plaza de persona Defensora Supervisora para el 2022, bajo el detalle siguiente:</w:t>
      </w:r>
    </w:p>
    <w:p w:rsidRPr="00AE1B2B" w:rsidR="009D3FB5" w:rsidP="00163B94" w:rsidRDefault="009D3FB5" w14:paraId="15C57AC9" w14:textId="038B2966">
      <w:pPr>
        <w:widowControl w:val="0"/>
        <w:spacing w:before="120" w:after="120" w:line="276" w:lineRule="auto"/>
        <w:ind w:right="283"/>
        <w:contextualSpacing/>
        <w:jc w:val="both"/>
        <w:rPr>
          <w:rFonts w:ascii="Times New Roman" w:hAnsi="Times New Roman" w:cs="Times New Roman"/>
          <w:lang w:eastAsia="zh-CN"/>
        </w:rPr>
      </w:pPr>
    </w:p>
    <w:tbl>
      <w:tblPr>
        <w:tblpPr w:leftFromText="141" w:rightFromText="141" w:vertAnchor="text" w:horzAnchor="margin" w:tblpXSpec="center" w:tblpY="263"/>
        <w:tblW w:w="1043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255"/>
        <w:gridCol w:w="1325"/>
        <w:gridCol w:w="1464"/>
        <w:gridCol w:w="1791"/>
        <w:gridCol w:w="1910"/>
        <w:gridCol w:w="1194"/>
        <w:gridCol w:w="1500"/>
      </w:tblGrid>
      <w:tr w:rsidRPr="00AE1B2B" w:rsidR="00AE1B2B" w:rsidTr="009D3FB5" w14:paraId="284D0C22" w14:textId="77777777">
        <w:trPr>
          <w:trHeight w:val="242"/>
        </w:trPr>
        <w:tc>
          <w:tcPr>
            <w:tcW w:w="1255" w:type="dxa"/>
            <w:vAlign w:val="center"/>
          </w:tcPr>
          <w:p w:rsidRPr="00AE1B2B" w:rsidR="009D3FB5" w:rsidP="00163B94" w:rsidRDefault="009D3FB5" w14:paraId="54043F9E" w14:textId="77777777">
            <w:pPr>
              <w:widowControl w:val="0"/>
              <w:spacing w:before="120" w:after="120" w:line="276" w:lineRule="auto"/>
              <w:ind w:right="283"/>
              <w:jc w:val="center"/>
              <w:rPr>
                <w:rFonts w:ascii="Times New Roman" w:hAnsi="Times New Roman" w:cs="Times New Roman"/>
                <w:sz w:val="20"/>
                <w:szCs w:val="20"/>
                <w:lang w:val="es-ES" w:eastAsia="zh-CN"/>
              </w:rPr>
            </w:pPr>
            <w:r w:rsidRPr="00AE1B2B">
              <w:rPr>
                <w:rFonts w:ascii="Times New Roman" w:hAnsi="Times New Roman" w:cs="Times New Roman"/>
                <w:sz w:val="20"/>
                <w:szCs w:val="20"/>
                <w:lang w:val="es-ES" w:eastAsia="zh-CN"/>
              </w:rPr>
              <w:t>Oficina</w:t>
            </w:r>
          </w:p>
        </w:tc>
        <w:tc>
          <w:tcPr>
            <w:tcW w:w="1325" w:type="dxa"/>
            <w:vAlign w:val="center"/>
          </w:tcPr>
          <w:p w:rsidRPr="00AE1B2B" w:rsidR="009D3FB5" w:rsidP="00163B94" w:rsidRDefault="009D3FB5" w14:paraId="42097EFE" w14:textId="77777777">
            <w:pPr>
              <w:widowControl w:val="0"/>
              <w:spacing w:before="120" w:after="120" w:line="276" w:lineRule="auto"/>
              <w:ind w:right="283"/>
              <w:jc w:val="center"/>
              <w:rPr>
                <w:rFonts w:ascii="Times New Roman" w:hAnsi="Times New Roman" w:cs="Times New Roman"/>
                <w:sz w:val="20"/>
                <w:szCs w:val="20"/>
                <w:lang w:val="es-ES" w:eastAsia="zh-CN"/>
              </w:rPr>
            </w:pPr>
            <w:r w:rsidRPr="00AE1B2B">
              <w:rPr>
                <w:rFonts w:ascii="Times New Roman" w:hAnsi="Times New Roman" w:cs="Times New Roman"/>
                <w:sz w:val="20"/>
                <w:szCs w:val="20"/>
                <w:lang w:val="es-ES" w:eastAsia="zh-CN"/>
              </w:rPr>
              <w:t>Cantidad</w:t>
            </w:r>
          </w:p>
        </w:tc>
        <w:tc>
          <w:tcPr>
            <w:tcW w:w="1464" w:type="dxa"/>
            <w:vAlign w:val="center"/>
          </w:tcPr>
          <w:p w:rsidRPr="00AE1B2B" w:rsidR="009D3FB5" w:rsidP="00163B94" w:rsidRDefault="009D3FB5" w14:paraId="0159B403" w14:textId="77777777">
            <w:pPr>
              <w:widowControl w:val="0"/>
              <w:spacing w:before="120" w:after="120" w:line="276" w:lineRule="auto"/>
              <w:ind w:right="283"/>
              <w:jc w:val="center"/>
              <w:rPr>
                <w:rFonts w:ascii="Times New Roman" w:hAnsi="Times New Roman" w:cs="Times New Roman"/>
                <w:sz w:val="20"/>
                <w:szCs w:val="20"/>
                <w:lang w:val="es-ES" w:eastAsia="zh-CN"/>
              </w:rPr>
            </w:pPr>
            <w:r w:rsidRPr="00AE1B2B">
              <w:rPr>
                <w:rFonts w:ascii="Times New Roman" w:hAnsi="Times New Roman" w:cs="Times New Roman"/>
                <w:sz w:val="20"/>
                <w:szCs w:val="20"/>
                <w:lang w:val="es-ES" w:eastAsia="zh-CN"/>
              </w:rPr>
              <w:t>Tipo de Plaza</w:t>
            </w:r>
          </w:p>
        </w:tc>
        <w:tc>
          <w:tcPr>
            <w:tcW w:w="1791" w:type="dxa"/>
            <w:vAlign w:val="center"/>
          </w:tcPr>
          <w:p w:rsidRPr="00AE1B2B" w:rsidR="009D3FB5" w:rsidP="00163B94" w:rsidRDefault="009D3FB5" w14:paraId="695B937B" w14:textId="77777777">
            <w:pPr>
              <w:widowControl w:val="0"/>
              <w:spacing w:before="120" w:after="120" w:line="276" w:lineRule="auto"/>
              <w:ind w:right="283"/>
              <w:jc w:val="center"/>
              <w:rPr>
                <w:rFonts w:ascii="Times New Roman" w:hAnsi="Times New Roman" w:cs="Times New Roman"/>
                <w:sz w:val="20"/>
                <w:szCs w:val="20"/>
                <w:lang w:val="es-ES" w:eastAsia="zh-CN"/>
              </w:rPr>
            </w:pPr>
            <w:r w:rsidRPr="00AE1B2B">
              <w:rPr>
                <w:rFonts w:ascii="Times New Roman" w:hAnsi="Times New Roman" w:cs="Times New Roman"/>
                <w:sz w:val="20"/>
                <w:szCs w:val="20"/>
                <w:lang w:val="es-ES" w:eastAsia="zh-CN"/>
              </w:rPr>
              <w:t>Condición actual</w:t>
            </w:r>
          </w:p>
        </w:tc>
        <w:tc>
          <w:tcPr>
            <w:tcW w:w="1910" w:type="dxa"/>
            <w:vAlign w:val="center"/>
          </w:tcPr>
          <w:p w:rsidRPr="00AE1B2B" w:rsidR="009D3FB5" w:rsidP="00163B94" w:rsidRDefault="009D3FB5" w14:paraId="7935BEF5" w14:textId="77777777">
            <w:pPr>
              <w:widowControl w:val="0"/>
              <w:spacing w:before="120" w:after="120" w:line="276" w:lineRule="auto"/>
              <w:ind w:right="283"/>
              <w:jc w:val="center"/>
              <w:rPr>
                <w:rFonts w:ascii="Times New Roman" w:hAnsi="Times New Roman" w:cs="Times New Roman"/>
                <w:sz w:val="20"/>
                <w:szCs w:val="20"/>
                <w:lang w:val="es-ES" w:eastAsia="zh-CN"/>
              </w:rPr>
            </w:pPr>
            <w:r w:rsidRPr="00AE1B2B">
              <w:rPr>
                <w:rFonts w:ascii="Times New Roman" w:hAnsi="Times New Roman" w:cs="Times New Roman"/>
                <w:sz w:val="20"/>
                <w:szCs w:val="20"/>
                <w:lang w:val="es-ES" w:eastAsia="zh-CN"/>
              </w:rPr>
              <w:t>Recomendación</w:t>
            </w:r>
          </w:p>
        </w:tc>
        <w:tc>
          <w:tcPr>
            <w:tcW w:w="1194" w:type="dxa"/>
            <w:vAlign w:val="center"/>
          </w:tcPr>
          <w:p w:rsidRPr="00AE1B2B" w:rsidR="009D3FB5" w:rsidP="00163B94" w:rsidRDefault="009D3FB5" w14:paraId="1DEBAA2D" w14:textId="77777777">
            <w:pPr>
              <w:widowControl w:val="0"/>
              <w:spacing w:before="120" w:after="120" w:line="276" w:lineRule="auto"/>
              <w:ind w:right="283"/>
              <w:jc w:val="center"/>
              <w:rPr>
                <w:rFonts w:ascii="Times New Roman" w:hAnsi="Times New Roman" w:cs="Times New Roman"/>
                <w:sz w:val="20"/>
                <w:szCs w:val="20"/>
                <w:lang w:val="es-ES" w:eastAsia="zh-CN"/>
              </w:rPr>
            </w:pPr>
            <w:r w:rsidRPr="00AE1B2B">
              <w:rPr>
                <w:rFonts w:ascii="Times New Roman" w:hAnsi="Times New Roman" w:cs="Times New Roman"/>
                <w:sz w:val="20"/>
                <w:szCs w:val="20"/>
                <w:lang w:val="es-ES" w:eastAsia="zh-CN"/>
              </w:rPr>
              <w:t>Periodo</w:t>
            </w:r>
          </w:p>
        </w:tc>
        <w:tc>
          <w:tcPr>
            <w:tcW w:w="1500" w:type="dxa"/>
            <w:vAlign w:val="center"/>
          </w:tcPr>
          <w:p w:rsidRPr="00AE1B2B" w:rsidR="009D3FB5" w:rsidP="00163B94" w:rsidRDefault="009D3FB5" w14:paraId="74EC4CD9" w14:textId="77777777">
            <w:pPr>
              <w:widowControl w:val="0"/>
              <w:spacing w:before="120" w:after="120" w:line="276" w:lineRule="auto"/>
              <w:ind w:right="283"/>
              <w:jc w:val="center"/>
              <w:rPr>
                <w:rFonts w:ascii="Times New Roman" w:hAnsi="Times New Roman" w:cs="Times New Roman"/>
                <w:sz w:val="20"/>
                <w:szCs w:val="20"/>
                <w:lang w:val="es-ES" w:eastAsia="zh-CN"/>
              </w:rPr>
            </w:pPr>
            <w:r w:rsidRPr="00AE1B2B">
              <w:rPr>
                <w:rFonts w:ascii="Times New Roman" w:hAnsi="Times New Roman" w:cs="Times New Roman"/>
                <w:sz w:val="20"/>
                <w:szCs w:val="20"/>
                <w:lang w:val="es-ES" w:eastAsia="zh-CN"/>
              </w:rPr>
              <w:t>Costo estimado</w:t>
            </w:r>
          </w:p>
        </w:tc>
      </w:tr>
      <w:tr w:rsidRPr="00AE1B2B" w:rsidR="00AE1B2B" w:rsidTr="009D3FB5" w14:paraId="45FED54D" w14:textId="77777777">
        <w:trPr>
          <w:trHeight w:val="158"/>
        </w:trPr>
        <w:tc>
          <w:tcPr>
            <w:tcW w:w="1255" w:type="dxa"/>
            <w:vAlign w:val="center"/>
          </w:tcPr>
          <w:p w:rsidRPr="00AE1B2B" w:rsidR="009D3FB5" w:rsidP="00163B94" w:rsidRDefault="009D3FB5" w14:paraId="2ED72C06" w14:textId="77777777">
            <w:pPr>
              <w:widowControl w:val="0"/>
              <w:spacing w:before="120" w:after="120" w:line="276" w:lineRule="auto"/>
              <w:ind w:right="283"/>
              <w:rPr>
                <w:rFonts w:ascii="Times New Roman" w:hAnsi="Times New Roman" w:cs="Times New Roman"/>
                <w:b/>
                <w:bCs/>
                <w:sz w:val="20"/>
                <w:szCs w:val="20"/>
                <w:lang w:val="es-ES" w:eastAsia="zh-CN"/>
              </w:rPr>
            </w:pPr>
            <w:r w:rsidRPr="00AE1B2B">
              <w:rPr>
                <w:rFonts w:ascii="Times New Roman" w:hAnsi="Times New Roman" w:cs="Times New Roman"/>
                <w:b/>
                <w:bCs/>
                <w:sz w:val="20"/>
                <w:szCs w:val="20"/>
                <w:lang w:val="es-ES" w:eastAsia="zh-CN"/>
              </w:rPr>
              <w:t>Defensa Pública</w:t>
            </w:r>
          </w:p>
        </w:tc>
        <w:tc>
          <w:tcPr>
            <w:tcW w:w="1325" w:type="dxa"/>
            <w:vAlign w:val="center"/>
          </w:tcPr>
          <w:p w:rsidRPr="00AE1B2B" w:rsidR="009D3FB5" w:rsidP="00163B94" w:rsidRDefault="00BB7720" w14:paraId="0FC0BA73" w14:textId="73A4B957">
            <w:pPr>
              <w:widowControl w:val="0"/>
              <w:spacing w:before="120" w:after="120" w:line="276" w:lineRule="auto"/>
              <w:ind w:right="283"/>
              <w:rPr>
                <w:rFonts w:ascii="Times New Roman" w:hAnsi="Times New Roman" w:cs="Times New Roman"/>
                <w:sz w:val="20"/>
                <w:szCs w:val="20"/>
                <w:lang w:val="es-ES" w:eastAsia="zh-CN"/>
              </w:rPr>
            </w:pPr>
            <w:r w:rsidRPr="00AE1B2B">
              <w:rPr>
                <w:rFonts w:ascii="Times New Roman" w:hAnsi="Times New Roman" w:cs="Times New Roman"/>
                <w:sz w:val="20"/>
                <w:szCs w:val="20"/>
                <w:lang w:val="es-ES" w:eastAsia="zh-CN"/>
              </w:rPr>
              <w:t xml:space="preserve"> </w:t>
            </w:r>
            <w:r w:rsidRPr="00AE1B2B" w:rsidR="009D3FB5">
              <w:rPr>
                <w:rFonts w:ascii="Times New Roman" w:hAnsi="Times New Roman" w:cs="Times New Roman"/>
                <w:sz w:val="20"/>
                <w:szCs w:val="20"/>
                <w:lang w:val="es-ES" w:eastAsia="zh-CN"/>
              </w:rPr>
              <w:t>1</w:t>
            </w:r>
          </w:p>
        </w:tc>
        <w:tc>
          <w:tcPr>
            <w:tcW w:w="1464" w:type="dxa"/>
            <w:vAlign w:val="center"/>
          </w:tcPr>
          <w:p w:rsidRPr="00AE1B2B" w:rsidR="009D3FB5" w:rsidP="00163B94" w:rsidRDefault="009D3FB5" w14:paraId="6FBD8034" w14:textId="77777777">
            <w:pPr>
              <w:widowControl w:val="0"/>
              <w:spacing w:before="120" w:after="120" w:line="276" w:lineRule="auto"/>
              <w:ind w:right="283"/>
              <w:rPr>
                <w:rFonts w:ascii="Times New Roman" w:hAnsi="Times New Roman" w:cs="Times New Roman"/>
                <w:sz w:val="20"/>
                <w:szCs w:val="20"/>
                <w:lang w:val="es-ES" w:eastAsia="zh-CN"/>
              </w:rPr>
            </w:pPr>
            <w:r w:rsidRPr="00AE1B2B">
              <w:rPr>
                <w:rFonts w:ascii="Times New Roman" w:hAnsi="Times New Roman" w:cs="Times New Roman"/>
                <w:sz w:val="20"/>
                <w:szCs w:val="20"/>
                <w:lang w:val="es-ES" w:eastAsia="zh-CN"/>
              </w:rPr>
              <w:t>Defensor Supervisor</w:t>
            </w:r>
          </w:p>
        </w:tc>
        <w:tc>
          <w:tcPr>
            <w:tcW w:w="1791" w:type="dxa"/>
            <w:vAlign w:val="center"/>
          </w:tcPr>
          <w:p w:rsidRPr="00AE1B2B" w:rsidR="009D3FB5" w:rsidP="00163B94" w:rsidRDefault="009D3FB5" w14:paraId="53EC2E18" w14:textId="77777777">
            <w:pPr>
              <w:widowControl w:val="0"/>
              <w:spacing w:before="120" w:after="120" w:line="276" w:lineRule="auto"/>
              <w:ind w:right="283"/>
              <w:rPr>
                <w:rFonts w:ascii="Times New Roman" w:hAnsi="Times New Roman" w:cs="Times New Roman"/>
                <w:sz w:val="20"/>
                <w:szCs w:val="20"/>
                <w:lang w:val="es-ES" w:eastAsia="zh-CN"/>
              </w:rPr>
            </w:pPr>
            <w:r w:rsidRPr="00AE1B2B">
              <w:rPr>
                <w:rFonts w:ascii="Times New Roman" w:hAnsi="Times New Roman" w:cs="Times New Roman"/>
                <w:sz w:val="20"/>
                <w:szCs w:val="20"/>
                <w:lang w:val="es-ES" w:eastAsia="zh-CN"/>
              </w:rPr>
              <w:t>Extraordinaria</w:t>
            </w:r>
          </w:p>
        </w:tc>
        <w:tc>
          <w:tcPr>
            <w:tcW w:w="1910" w:type="dxa"/>
            <w:vAlign w:val="center"/>
          </w:tcPr>
          <w:p w:rsidRPr="00AE1B2B" w:rsidR="009D3FB5" w:rsidP="00163B94" w:rsidRDefault="009D3FB5" w14:paraId="26B13B71" w14:textId="77777777">
            <w:pPr>
              <w:widowControl w:val="0"/>
              <w:spacing w:before="120" w:after="120" w:line="276" w:lineRule="auto"/>
              <w:ind w:right="283"/>
              <w:rPr>
                <w:rFonts w:ascii="Times New Roman" w:hAnsi="Times New Roman" w:cs="Times New Roman"/>
                <w:sz w:val="20"/>
                <w:szCs w:val="20"/>
                <w:lang w:val="es-ES" w:eastAsia="zh-CN"/>
              </w:rPr>
            </w:pPr>
            <w:r w:rsidRPr="00AE1B2B">
              <w:rPr>
                <w:rFonts w:ascii="Times New Roman" w:hAnsi="Times New Roman" w:cs="Times New Roman"/>
                <w:sz w:val="20"/>
                <w:szCs w:val="20"/>
                <w:lang w:val="es-ES" w:eastAsia="zh-CN"/>
              </w:rPr>
              <w:t>Ordinaria</w:t>
            </w:r>
          </w:p>
        </w:tc>
        <w:tc>
          <w:tcPr>
            <w:tcW w:w="1194" w:type="dxa"/>
            <w:vAlign w:val="center"/>
          </w:tcPr>
          <w:p w:rsidRPr="00AE1B2B" w:rsidR="009D3FB5" w:rsidP="00163B94" w:rsidRDefault="009D3FB5" w14:paraId="78422707" w14:textId="77777777">
            <w:pPr>
              <w:widowControl w:val="0"/>
              <w:spacing w:before="120" w:after="120" w:line="276" w:lineRule="auto"/>
              <w:ind w:right="283"/>
              <w:rPr>
                <w:rFonts w:ascii="Times New Roman" w:hAnsi="Times New Roman" w:cs="Times New Roman"/>
                <w:sz w:val="20"/>
                <w:szCs w:val="20"/>
                <w:lang w:val="es-ES" w:eastAsia="zh-CN"/>
              </w:rPr>
            </w:pPr>
            <w:r w:rsidRPr="00AE1B2B">
              <w:rPr>
                <w:rFonts w:ascii="Times New Roman" w:hAnsi="Times New Roman" w:cs="Times New Roman"/>
                <w:sz w:val="20"/>
                <w:szCs w:val="20"/>
                <w:lang w:val="es-ES" w:eastAsia="zh-CN"/>
              </w:rPr>
              <w:t>2022</w:t>
            </w:r>
          </w:p>
        </w:tc>
        <w:tc>
          <w:tcPr>
            <w:tcW w:w="1500" w:type="dxa"/>
            <w:vAlign w:val="center"/>
          </w:tcPr>
          <w:p w:rsidRPr="00AE1B2B" w:rsidR="009D3FB5" w:rsidP="00163B94" w:rsidRDefault="009D3FB5" w14:paraId="1CE0349A" w14:textId="77777777">
            <w:pPr>
              <w:spacing w:before="120" w:after="120" w:line="276" w:lineRule="auto"/>
              <w:rPr>
                <w:rFonts w:ascii="Times New Roman" w:hAnsi="Times New Roman" w:cs="Times New Roman"/>
                <w:sz w:val="20"/>
                <w:szCs w:val="20"/>
                <w:lang w:eastAsia="es-CR"/>
              </w:rPr>
            </w:pPr>
            <w:r w:rsidRPr="00AE1B2B">
              <w:rPr>
                <w:rFonts w:ascii="Times New Roman" w:hAnsi="Times New Roman" w:cs="Times New Roman"/>
                <w:sz w:val="20"/>
                <w:szCs w:val="20"/>
              </w:rPr>
              <w:br/>
            </w:r>
            <w:r w:rsidRPr="00AE1B2B">
              <w:rPr>
                <w:rFonts w:ascii="Times New Roman" w:hAnsi="Times New Roman" w:cs="Times New Roman"/>
                <w:sz w:val="20"/>
                <w:szCs w:val="20"/>
              </w:rPr>
              <w:t>₡54.663.000,00</w:t>
            </w:r>
          </w:p>
          <w:p w:rsidRPr="00AE1B2B" w:rsidR="009D3FB5" w:rsidP="00163B94" w:rsidRDefault="009D3FB5" w14:paraId="604EB190" w14:textId="77777777">
            <w:pPr>
              <w:widowControl w:val="0"/>
              <w:spacing w:before="120" w:after="120" w:line="276" w:lineRule="auto"/>
              <w:ind w:right="283"/>
              <w:rPr>
                <w:rFonts w:ascii="Times New Roman" w:hAnsi="Times New Roman" w:cs="Times New Roman"/>
                <w:sz w:val="20"/>
                <w:szCs w:val="20"/>
                <w:lang w:val="es-ES" w:eastAsia="zh-CN"/>
              </w:rPr>
            </w:pPr>
          </w:p>
        </w:tc>
      </w:tr>
    </w:tbl>
    <w:p w:rsidRPr="00AE1B2B" w:rsidR="009D3FB5" w:rsidP="00163B94" w:rsidRDefault="009D3FB5" w14:paraId="5C49CBB4" w14:textId="77777777">
      <w:pPr>
        <w:spacing w:before="120" w:after="120"/>
        <w:ind w:right="227"/>
        <w:jc w:val="both"/>
        <w:rPr>
          <w:rFonts w:ascii="Times New Roman" w:hAnsi="Times New Roman" w:cs="Times New Roman"/>
          <w:b/>
          <w:bCs/>
          <w:sz w:val="18"/>
          <w:szCs w:val="16"/>
          <w:lang w:val="es-ES" w:eastAsia="zh-CN"/>
        </w:rPr>
      </w:pPr>
    </w:p>
    <w:p w:rsidRPr="00AE1B2B" w:rsidR="009D3FB5" w:rsidP="00163B94" w:rsidRDefault="009D3FB5" w14:paraId="1618A557"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b/>
          <w:bCs/>
          <w:sz w:val="26"/>
          <w:szCs w:val="26"/>
          <w:lang w:val="es-ES" w:eastAsia="zh-CN"/>
        </w:rPr>
        <w:t>Fuente:</w:t>
      </w:r>
      <w:r w:rsidRPr="00AE1B2B">
        <w:rPr>
          <w:rFonts w:ascii="Times New Roman" w:hAnsi="Times New Roman" w:cs="Times New Roman"/>
          <w:sz w:val="26"/>
          <w:szCs w:val="26"/>
          <w:lang w:val="es-ES" w:eastAsia="zh-CN"/>
        </w:rPr>
        <w:t xml:space="preserve"> Subproceso de Modernización Institucional con datos suministrados por el Subproceso de Formulación del Presupuesto y Portafolio de Proyectos Institucional, para el 2022.</w:t>
      </w:r>
    </w:p>
    <w:p w:rsidRPr="00AE1B2B" w:rsidR="009D3FB5" w:rsidP="00163B94" w:rsidRDefault="009D3FB5" w14:paraId="4A8BB221" w14:textId="77777777">
      <w:pPr>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6C3D6651"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0A8B1276"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144FF50A" w14:textId="77777777">
      <w:pPr>
        <w:widowControl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Este recurso profesional que se recomienda en forma ordinaria para el período 2022, le dará continuidad a las labores de implantación del Sistema Seguimiento de Casos y sus aplicativos, así como a las actividades asociadas al Proyecto de Mejora Integral del Proceso Penal, de acuerdo con lo establecido en oficio 1507-PLA-MI-2018 Modelo de Tramitación de la Defensa Pública elaborado por la Dirección de Planificación y aprobado por el Consejo Superior en sesión 5-19 del 23 de enero de 2019, artículo XXIII. Debe destacarse que se pasa de una condición extraordinaria a ordinaria debido a que la mejora en la gestión de las oficinas de la Defensa Pública es algo perenne de la institución y su acción debe darse en la normalidad del funcionamiento de las operaciones institucionales y no depender de un proyecto, por lo cual siempre existirá esa necesidad; además de que es indispensable contar con un catalizador de la sostenibilidad de los resultados alcanzados en el proyecto de Mejora Integral del Proceso Penal, así como en otras materias. Para el año 2021, se plantea de forma extraordinaria para lograr valorar el alineamiento con la metodología de trabajo, así como los resultados de la gestión, lo cual se logra detectar de forma positiva en este periodo de revisión.</w:t>
      </w:r>
    </w:p>
    <w:p w:rsidRPr="00AE1B2B" w:rsidR="009D3FB5" w:rsidP="00163B94" w:rsidRDefault="009D3FB5" w14:paraId="5A782EA3"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4FA21149" w14:textId="77777777">
      <w:pPr>
        <w:tabs>
          <w:tab w:val="left" w:pos="9923"/>
        </w:tabs>
        <w:spacing w:before="120" w:after="120"/>
        <w:ind w:left="851" w:right="851" w:firstLine="709"/>
        <w:jc w:val="both"/>
        <w:rPr>
          <w:rFonts w:ascii="Times New Roman" w:hAnsi="Times New Roman" w:cs="Times New Roman"/>
          <w:b/>
          <w:bCs/>
          <w:sz w:val="26"/>
          <w:szCs w:val="26"/>
        </w:rPr>
      </w:pPr>
    </w:p>
    <w:p w:rsidRPr="00AE1B2B" w:rsidR="009D3FB5" w:rsidP="00163B94" w:rsidRDefault="009D3FB5" w14:paraId="177DF0D8" w14:textId="77777777">
      <w:pPr>
        <w:tabs>
          <w:tab w:val="left" w:pos="9923"/>
        </w:tabs>
        <w:spacing w:before="120" w:after="120"/>
        <w:ind w:left="851" w:right="851" w:firstLine="709"/>
        <w:jc w:val="both"/>
        <w:rPr>
          <w:rFonts w:ascii="Times New Roman" w:hAnsi="Times New Roman" w:cs="Times New Roman"/>
          <w:b/>
          <w:bCs/>
          <w:sz w:val="26"/>
          <w:szCs w:val="26"/>
        </w:rPr>
      </w:pPr>
      <w:r w:rsidRPr="00AE1B2B">
        <w:rPr>
          <w:rFonts w:ascii="Times New Roman" w:hAnsi="Times New Roman" w:cs="Times New Roman"/>
          <w:b/>
          <w:bCs/>
          <w:sz w:val="26"/>
          <w:szCs w:val="26"/>
        </w:rPr>
        <w:t>Otros requerimientos (equipo, alquiler, espacio, vehículos, etc.)</w:t>
      </w:r>
    </w:p>
    <w:p w:rsidRPr="00AE1B2B" w:rsidR="009D3FB5" w:rsidP="00163B94" w:rsidRDefault="009D3FB5" w14:paraId="558D4158" w14:textId="77777777">
      <w:pPr>
        <w:tabs>
          <w:tab w:val="left" w:pos="9923"/>
        </w:tabs>
        <w:spacing w:before="120" w:after="120"/>
        <w:ind w:left="851" w:right="851" w:firstLine="709"/>
        <w:jc w:val="both"/>
        <w:rPr>
          <w:rFonts w:ascii="Times New Roman" w:hAnsi="Times New Roman" w:cs="Times New Roman"/>
          <w:b/>
          <w:bCs/>
          <w:sz w:val="26"/>
          <w:szCs w:val="26"/>
        </w:rPr>
      </w:pPr>
    </w:p>
    <w:p w:rsidRPr="00AE1B2B" w:rsidR="009D3FB5" w:rsidP="00163B94" w:rsidRDefault="009D3FB5" w14:paraId="2710B39F" w14:textId="77777777">
      <w:pPr>
        <w:widowControl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La plaza de persona Defensora Supervisora cuenta con los requerimientos necesarios para su funcionamiento, tal como el equipo de cómputo y el espacio físico donde se ubica dentro de la Defensa Pública, ya que la misma existe desde periodos anteriores. </w:t>
      </w:r>
    </w:p>
    <w:p w:rsidRPr="00AE1B2B" w:rsidR="009D3FB5" w:rsidP="00163B94" w:rsidRDefault="009D3FB5" w14:paraId="46C7AEC2"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758813B4" w14:textId="77777777">
      <w:pPr>
        <w:spacing w:before="120" w:after="120"/>
        <w:ind w:left="851" w:right="851" w:firstLine="709"/>
        <w:rPr>
          <w:rFonts w:ascii="Times New Roman" w:hAnsi="Times New Roman" w:cs="Times New Roman"/>
          <w:b/>
          <w:sz w:val="26"/>
          <w:szCs w:val="26"/>
        </w:rPr>
      </w:pPr>
      <w:r w:rsidRPr="00AE1B2B">
        <w:rPr>
          <w:rFonts w:ascii="Times New Roman" w:hAnsi="Times New Roman" w:cs="Times New Roman"/>
          <w:b/>
          <w:sz w:val="26"/>
          <w:szCs w:val="26"/>
        </w:rPr>
        <w:t>A la Defensa Pública</w:t>
      </w:r>
    </w:p>
    <w:p w:rsidRPr="00AE1B2B" w:rsidR="009D3FB5" w:rsidP="00163B94" w:rsidRDefault="009D3FB5" w14:paraId="0068C852" w14:textId="77777777">
      <w:pPr>
        <w:widowControl w:val="0"/>
        <w:spacing w:before="120" w:after="120"/>
        <w:ind w:left="851" w:right="851" w:firstLine="709"/>
        <w:jc w:val="both"/>
        <w:rPr>
          <w:rFonts w:ascii="Times New Roman" w:hAnsi="Times New Roman" w:cs="Times New Roman"/>
          <w:sz w:val="26"/>
          <w:szCs w:val="26"/>
          <w:u w:val="single"/>
          <w:lang w:val="es-ES" w:eastAsia="zh-CN"/>
        </w:rPr>
      </w:pPr>
    </w:p>
    <w:p w:rsidRPr="00AE1B2B" w:rsidR="009D3FB5" w:rsidP="00163B94" w:rsidRDefault="009D3FB5" w14:paraId="4ED9A2DE" w14:textId="77777777">
      <w:pPr>
        <w:pStyle w:val="Prrafodelista"/>
        <w:widowControl w:val="0"/>
        <w:numPr>
          <w:ilvl w:val="0"/>
          <w:numId w:val="40"/>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 xml:space="preserve">Dar seguimiento a las labores aprobadas para la plaza de persona Defensora Supervisora tanto en el proyecto del Sistema Seguimiento de Casos como en el soporte al Proyecto de Mejora Integral del Proceso Penal. Se aclara que las anteriores son las </w:t>
      </w:r>
      <w:r w:rsidRPr="00AE1B2B">
        <w:rPr>
          <w:rFonts w:ascii="Times New Roman" w:hAnsi="Times New Roman" w:cs="Times New Roman"/>
          <w:sz w:val="26"/>
          <w:szCs w:val="26"/>
          <w:lang w:eastAsia="zh-CN"/>
        </w:rPr>
        <w:lastRenderedPageBreak/>
        <w:t>funciones principales en las que debe destacarse la plaza, si bien, puede coadyuvar en otros proyectos designados por la Dirección de la Defensa Pública, no puede descuidar las funciones primarias que dieron origen a la plaza.</w:t>
      </w:r>
    </w:p>
    <w:p w:rsidRPr="00AE1B2B" w:rsidR="009D3FB5" w:rsidP="00163B94" w:rsidRDefault="009D3FB5" w14:paraId="0E49F785" w14:textId="77777777">
      <w:pPr>
        <w:widowControl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46A95526" w14:textId="371A7F9B">
      <w:pPr>
        <w:pStyle w:val="Prrafodelista"/>
        <w:widowControl w:val="0"/>
        <w:numPr>
          <w:ilvl w:val="0"/>
          <w:numId w:val="40"/>
        </w:numPr>
        <w:spacing w:before="120" w:after="120"/>
        <w:ind w:left="851" w:right="851" w:firstLine="709"/>
        <w:contextualSpacing/>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Brindar el seguimiento necesario para que cada oficina de la Defensa Pública realice el inventario de sus expedientes con recurso propio de forma periódica y correcta en pro de mantener los sistemas actualizados, contar con estadísticas confiables y mantener los resultados obtenidos del Proyecto de Arqueos a través del tiempo.</w:t>
      </w:r>
      <w:r w:rsidRPr="00AE1B2B" w:rsidR="00BB7720">
        <w:rPr>
          <w:rFonts w:ascii="Times New Roman" w:hAnsi="Times New Roman" w:cs="Times New Roman"/>
          <w:sz w:val="26"/>
          <w:szCs w:val="26"/>
          <w:lang w:eastAsia="zh-CN"/>
        </w:rPr>
        <w:t xml:space="preserve"> </w:t>
      </w:r>
    </w:p>
    <w:p w:rsidRPr="00AE1B2B" w:rsidR="009D3FB5" w:rsidP="00163B94" w:rsidRDefault="009D3FB5" w14:paraId="6934769B" w14:textId="77777777">
      <w:pPr>
        <w:spacing w:before="120" w:after="120"/>
        <w:ind w:left="851" w:right="851" w:firstLine="709"/>
        <w:jc w:val="both"/>
        <w:rPr>
          <w:rFonts w:ascii="Times New Roman" w:hAnsi="Times New Roman" w:cs="Times New Roman"/>
          <w:bCs/>
          <w:i/>
          <w:iCs/>
          <w:sz w:val="26"/>
          <w:szCs w:val="26"/>
        </w:rPr>
      </w:pPr>
    </w:p>
    <w:p w:rsidRPr="00AE1B2B" w:rsidR="009D3FB5" w:rsidP="00163B94" w:rsidRDefault="009D3FB5" w14:paraId="1CB7166A" w14:textId="77777777">
      <w:pPr>
        <w:spacing w:before="120" w:after="120"/>
        <w:ind w:left="851" w:right="851" w:firstLine="709"/>
        <w:rPr>
          <w:rFonts w:ascii="Times New Roman" w:hAnsi="Times New Roman" w:cs="Times New Roman"/>
          <w:bCs/>
          <w:i/>
          <w:iCs/>
          <w:sz w:val="26"/>
          <w:szCs w:val="26"/>
        </w:rPr>
      </w:pPr>
    </w:p>
    <w:p w:rsidRPr="00AE1B2B" w:rsidR="009D3FB5" w:rsidP="00163B94" w:rsidRDefault="009D3FB5" w14:paraId="36E3AEE2" w14:textId="77777777">
      <w:pPr>
        <w:spacing w:before="120" w:after="120"/>
        <w:ind w:left="851" w:right="851" w:firstLine="709"/>
        <w:rPr>
          <w:rFonts w:ascii="Times New Roman" w:hAnsi="Times New Roman" w:cs="Times New Roman"/>
          <w:bCs/>
          <w:i/>
          <w:iCs/>
          <w:sz w:val="26"/>
          <w:szCs w:val="26"/>
        </w:rPr>
      </w:pPr>
    </w:p>
    <w:p w:rsidRPr="00AE1B2B" w:rsidR="009D3FB5" w:rsidP="00163B94" w:rsidRDefault="009D3FB5" w14:paraId="57B8EDCA" w14:textId="77777777">
      <w:pPr>
        <w:spacing w:before="120" w:after="120"/>
        <w:ind w:left="851" w:right="851" w:firstLine="709"/>
        <w:rPr>
          <w:rFonts w:ascii="Times New Roman" w:hAnsi="Times New Roman" w:cs="Times New Roman"/>
          <w:bCs/>
          <w:i/>
          <w:iCs/>
          <w:sz w:val="26"/>
          <w:szCs w:val="26"/>
        </w:rPr>
      </w:pPr>
    </w:p>
    <w:p w:rsidRPr="00AE1B2B" w:rsidR="009D3FB5" w:rsidP="00163B94" w:rsidRDefault="009D3FB5" w14:paraId="6C87487B" w14:textId="77777777">
      <w:pPr>
        <w:spacing w:before="120" w:after="120"/>
        <w:ind w:left="851" w:right="851" w:firstLine="709"/>
        <w:rPr>
          <w:rFonts w:ascii="Times New Roman" w:hAnsi="Times New Roman" w:cs="Times New Roman"/>
          <w:bCs/>
          <w:i/>
          <w:iCs/>
          <w:sz w:val="26"/>
          <w:szCs w:val="26"/>
        </w:rPr>
      </w:pPr>
    </w:p>
    <w:p w:rsidRPr="00AE1B2B" w:rsidR="009D3FB5" w:rsidP="00163B94" w:rsidRDefault="009D3FB5" w14:paraId="1CF47851"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VI. Minutas</w:t>
      </w:r>
    </w:p>
    <w:p w:rsidRPr="00AE1B2B" w:rsidR="009D3FB5" w:rsidP="00163B94" w:rsidRDefault="009D3FB5" w14:paraId="69B888F9" w14:textId="77777777">
      <w:pPr>
        <w:spacing w:before="120" w:after="120" w:line="276" w:lineRule="auto"/>
        <w:jc w:val="both"/>
        <w:rPr>
          <w:rFonts w:ascii="Times New Roman" w:hAnsi="Times New Roman" w:cs="Times New Roman"/>
          <w:lang w:val="es-ES_tradnl"/>
        </w:rPr>
      </w:pPr>
    </w:p>
    <w:tbl>
      <w:tblPr>
        <w:tblStyle w:val="Tablaconcuadrcula1clara-nfasis1"/>
        <w:tblW w:w="5000" w:type="pct"/>
        <w:jc w:val="center"/>
        <w:tblLook w:val="04A0" w:firstRow="1" w:lastRow="0" w:firstColumn="1" w:lastColumn="0" w:noHBand="0" w:noVBand="1"/>
      </w:tblPr>
      <w:tblGrid>
        <w:gridCol w:w="1325"/>
        <w:gridCol w:w="5171"/>
        <w:gridCol w:w="2332"/>
      </w:tblGrid>
      <w:tr w:rsidRPr="00AE1B2B" w:rsidR="00AE1B2B" w:rsidTr="00825416" w14:paraId="1F8A8EB3" w14:textId="77777777">
        <w:trPr>
          <w:cnfStyle w:val="100000000000" w:firstRow="1" w:lastRow="0" w:firstColumn="0" w:lastColumn="0" w:oddVBand="0" w:evenVBand="0" w:oddHBand="0" w:evenHBand="0" w:firstRowFirstColumn="0" w:firstRowLastColumn="0" w:lastRowFirstColumn="0" w:lastRowLastColumn="0"/>
          <w:trHeight w:val="187"/>
          <w:jc w:val="center"/>
        </w:trPr>
        <w:tc>
          <w:tcPr>
            <w:cnfStyle w:val="001000000000" w:firstRow="0" w:lastRow="0" w:firstColumn="1" w:lastColumn="0" w:oddVBand="0" w:evenVBand="0" w:oddHBand="0" w:evenHBand="0" w:firstRowFirstColumn="0" w:firstRowLastColumn="0" w:lastRowFirstColumn="0" w:lastRowLastColumn="0"/>
            <w:tcW w:w="750" w:type="pct"/>
          </w:tcPr>
          <w:p w:rsidRPr="00AE1B2B" w:rsidR="009D3FB5" w:rsidP="00163B94" w:rsidRDefault="009D3FB5" w14:paraId="676BB895" w14:textId="77777777">
            <w:pPr>
              <w:spacing w:before="120" w:after="120" w:line="276" w:lineRule="auto"/>
              <w:jc w:val="center"/>
              <w:rPr>
                <w:rFonts w:ascii="Times New Roman" w:hAnsi="Times New Roman" w:cs="Times New Roman"/>
                <w:b w:val="0"/>
              </w:rPr>
            </w:pPr>
            <w:r w:rsidRPr="00AE1B2B">
              <w:rPr>
                <w:rFonts w:ascii="Times New Roman" w:hAnsi="Times New Roman" w:cs="Times New Roman"/>
              </w:rPr>
              <w:t>Minutas</w:t>
            </w:r>
          </w:p>
        </w:tc>
        <w:tc>
          <w:tcPr>
            <w:tcW w:w="2929" w:type="pct"/>
          </w:tcPr>
          <w:p w:rsidRPr="00AE1B2B" w:rsidR="009D3FB5" w:rsidP="00163B94" w:rsidRDefault="009D3FB5" w14:paraId="2A951D33" w14:textId="77777777">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AE1B2B">
              <w:rPr>
                <w:rFonts w:ascii="Times New Roman" w:hAnsi="Times New Roman" w:cs="Times New Roman"/>
              </w:rPr>
              <w:t>Nombre</w:t>
            </w:r>
          </w:p>
        </w:tc>
        <w:tc>
          <w:tcPr>
            <w:tcW w:w="1321" w:type="pct"/>
          </w:tcPr>
          <w:p w:rsidRPr="00AE1B2B" w:rsidR="009D3FB5" w:rsidP="00163B94" w:rsidRDefault="009D3FB5" w14:paraId="358DE4AD" w14:textId="77777777">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AE1B2B">
              <w:rPr>
                <w:rFonts w:ascii="Times New Roman" w:hAnsi="Times New Roman" w:cs="Times New Roman"/>
              </w:rPr>
              <w:t>Documento</w:t>
            </w:r>
          </w:p>
        </w:tc>
      </w:tr>
      <w:tr w:rsidRPr="00AE1B2B" w:rsidR="00AE1B2B" w:rsidTr="00825416" w14:paraId="6DFC98FC" w14:textId="77777777">
        <w:trPr>
          <w:trHeight w:val="194"/>
          <w:jc w:val="center"/>
        </w:trPr>
        <w:tc>
          <w:tcPr>
            <w:cnfStyle w:val="001000000000" w:firstRow="0" w:lastRow="0" w:firstColumn="1" w:lastColumn="0" w:oddVBand="0" w:evenVBand="0" w:oddHBand="0" w:evenHBand="0" w:firstRowFirstColumn="0" w:firstRowLastColumn="0" w:lastRowFirstColumn="0" w:lastRowLastColumn="0"/>
            <w:tcW w:w="750" w:type="pct"/>
          </w:tcPr>
          <w:p w:rsidRPr="00AE1B2B" w:rsidR="009D3FB5" w:rsidP="00163B94" w:rsidRDefault="009D3FB5" w14:paraId="2191384E" w14:textId="77777777">
            <w:pPr>
              <w:spacing w:before="120" w:after="120" w:line="276" w:lineRule="auto"/>
              <w:jc w:val="center"/>
              <w:rPr>
                <w:rFonts w:ascii="Times New Roman" w:hAnsi="Times New Roman" w:cs="Times New Roman"/>
              </w:rPr>
            </w:pPr>
          </w:p>
          <w:p w:rsidRPr="00AE1B2B" w:rsidR="009D3FB5" w:rsidP="00163B94" w:rsidRDefault="009D3FB5" w14:paraId="5B29C28E" w14:textId="77777777">
            <w:pPr>
              <w:spacing w:before="120" w:after="120" w:line="276" w:lineRule="auto"/>
              <w:jc w:val="center"/>
              <w:rPr>
                <w:rFonts w:ascii="Times New Roman" w:hAnsi="Times New Roman" w:cs="Times New Roman"/>
                <w:b w:val="0"/>
                <w:bCs w:val="0"/>
              </w:rPr>
            </w:pPr>
            <w:r w:rsidRPr="00AE1B2B">
              <w:rPr>
                <w:rFonts w:ascii="Times New Roman" w:hAnsi="Times New Roman" w:cs="Times New Roman"/>
                <w:b w:val="0"/>
                <w:bCs w:val="0"/>
              </w:rPr>
              <w:t>1</w:t>
            </w:r>
          </w:p>
        </w:tc>
        <w:tc>
          <w:tcPr>
            <w:tcW w:w="2929" w:type="pct"/>
          </w:tcPr>
          <w:p w:rsidRPr="00AE1B2B" w:rsidR="009D3FB5" w:rsidP="00163B94" w:rsidRDefault="009D3FB5" w14:paraId="6C19A098" w14:textId="77777777">
            <w:pPr>
              <w:autoSpaceDE w:val="0"/>
              <w:autoSpaceDN w:val="0"/>
              <w:adjustRightInd w:val="0"/>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E1B2B">
              <w:rPr>
                <w:rFonts w:ascii="Times New Roman" w:hAnsi="Times New Roman" w:cs="Times New Roman"/>
              </w:rPr>
              <w:t>Minuta 37-PLA-MI-MNTA-2021. Reunión entre la Dirección de Planificación y la Defensa Pública.</w:t>
            </w:r>
          </w:p>
        </w:tc>
        <w:tc>
          <w:tcPr>
            <w:tcW w:w="1321" w:type="pct"/>
          </w:tcPr>
          <w:p w:rsidRPr="00AE1B2B" w:rsidR="009D3FB5" w:rsidP="00163B94" w:rsidRDefault="009D3FB5" w14:paraId="2E32CD59" w14:textId="77777777">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E1B2B">
              <w:rPr>
                <w:rFonts w:ascii="Times New Roman" w:hAnsi="Times New Roman" w:cs="Times New Roman"/>
              </w:rPr>
              <w:object w:dxaOrig="1520" w:dyaOrig="987" w14:anchorId="04F38960">
                <v:shape id="_x0000_i1025" style="width:77.65pt;height:51.95pt" o:ole="" type="#_x0000_t75">
                  <v:imagedata o:title="" r:id="rId141"/>
                </v:shape>
                <o:OLEObject Type="Embed" ProgID="Package" ShapeID="_x0000_i1025" DrawAspect="Icon" ObjectID="_1681900455" r:id="rId142"/>
              </w:object>
            </w:r>
          </w:p>
        </w:tc>
      </w:tr>
      <w:tr w:rsidRPr="00AE1B2B" w:rsidR="00AE1B2B" w:rsidTr="00825416" w14:paraId="54B90F5A" w14:textId="77777777">
        <w:trPr>
          <w:trHeight w:val="512"/>
          <w:jc w:val="center"/>
        </w:trPr>
        <w:tc>
          <w:tcPr>
            <w:cnfStyle w:val="001000000000" w:firstRow="0" w:lastRow="0" w:firstColumn="1" w:lastColumn="0" w:oddVBand="0" w:evenVBand="0" w:oddHBand="0" w:evenHBand="0" w:firstRowFirstColumn="0" w:firstRowLastColumn="0" w:lastRowFirstColumn="0" w:lastRowLastColumn="0"/>
            <w:tcW w:w="750" w:type="pct"/>
          </w:tcPr>
          <w:p w:rsidRPr="00AE1B2B" w:rsidR="009D3FB5" w:rsidP="00163B94" w:rsidRDefault="009D3FB5" w14:paraId="0E85EA98" w14:textId="77777777">
            <w:pPr>
              <w:spacing w:before="120" w:after="120" w:line="276" w:lineRule="auto"/>
              <w:jc w:val="center"/>
              <w:rPr>
                <w:rFonts w:ascii="Times New Roman" w:hAnsi="Times New Roman" w:cs="Times New Roman"/>
              </w:rPr>
            </w:pPr>
          </w:p>
          <w:p w:rsidRPr="00AE1B2B" w:rsidR="009D3FB5" w:rsidP="00163B94" w:rsidRDefault="009D3FB5" w14:paraId="42858430" w14:textId="77777777">
            <w:pPr>
              <w:spacing w:before="120" w:after="120" w:line="276" w:lineRule="auto"/>
              <w:jc w:val="center"/>
              <w:rPr>
                <w:rFonts w:ascii="Times New Roman" w:hAnsi="Times New Roman" w:cs="Times New Roman"/>
                <w:b w:val="0"/>
                <w:bCs w:val="0"/>
              </w:rPr>
            </w:pPr>
            <w:r w:rsidRPr="00AE1B2B">
              <w:rPr>
                <w:rFonts w:ascii="Times New Roman" w:hAnsi="Times New Roman" w:cs="Times New Roman"/>
                <w:b w:val="0"/>
                <w:bCs w:val="0"/>
              </w:rPr>
              <w:t>2</w:t>
            </w:r>
          </w:p>
        </w:tc>
        <w:tc>
          <w:tcPr>
            <w:tcW w:w="2929" w:type="pct"/>
          </w:tcPr>
          <w:p w:rsidRPr="00AE1B2B" w:rsidR="009D3FB5" w:rsidP="00163B94" w:rsidRDefault="009D3FB5" w14:paraId="172CFD68" w14:textId="77777777">
            <w:pPr>
              <w:autoSpaceDE w:val="0"/>
              <w:autoSpaceDN w:val="0"/>
              <w:adjustRightInd w:val="0"/>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E1B2B">
              <w:rPr>
                <w:rFonts w:ascii="Times New Roman" w:hAnsi="Times New Roman" w:cs="Times New Roman"/>
              </w:rPr>
              <w:t>Minuta 209-PLA-MI-MNTA-2020 Reunión entre la Dirección de Planificación y la Defensa Pública</w:t>
            </w:r>
          </w:p>
        </w:tc>
        <w:tc>
          <w:tcPr>
            <w:tcW w:w="1321" w:type="pct"/>
          </w:tcPr>
          <w:p w:rsidRPr="00AE1B2B" w:rsidR="009D3FB5" w:rsidP="00163B94" w:rsidRDefault="009D3FB5" w14:paraId="34023BB3" w14:textId="77777777">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E1B2B">
              <w:rPr>
                <w:rFonts w:ascii="Times New Roman" w:hAnsi="Times New Roman" w:cs="Times New Roman"/>
              </w:rPr>
              <w:object w:dxaOrig="1520" w:dyaOrig="987" w14:anchorId="0DE9C7F3">
                <v:shape id="_x0000_i1026" style="width:77.65pt;height:51.95pt" o:ole="" type="#_x0000_t75">
                  <v:imagedata o:title="" r:id="rId143"/>
                </v:shape>
                <o:OLEObject Type="Embed" ProgID="Package" ShapeID="_x0000_i1026" DrawAspect="Icon" ObjectID="_1681900456" r:id="rId144"/>
              </w:object>
            </w:r>
          </w:p>
        </w:tc>
      </w:tr>
    </w:tbl>
    <w:p w:rsidRPr="00AE1B2B" w:rsidR="009D3FB5" w:rsidP="00163B94" w:rsidRDefault="009D3FB5" w14:paraId="5A8EDAEB" w14:textId="77777777">
      <w:pPr>
        <w:spacing w:before="120" w:after="120" w:line="276" w:lineRule="auto"/>
        <w:jc w:val="both"/>
        <w:rPr>
          <w:rFonts w:ascii="Times New Roman" w:hAnsi="Times New Roman" w:cs="Times New Roman"/>
          <w:lang w:val="es-ES_tradnl"/>
        </w:rPr>
      </w:pPr>
    </w:p>
    <w:p w:rsidRPr="00AE1B2B" w:rsidR="009D3FB5" w:rsidP="00163B94" w:rsidRDefault="009D3FB5" w14:paraId="35714070"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VII. Apéndices</w:t>
      </w:r>
    </w:p>
    <w:p w:rsidRPr="00AE1B2B" w:rsidR="009D3FB5" w:rsidP="00163B94" w:rsidRDefault="009D3FB5" w14:paraId="54C1E513" w14:textId="77777777">
      <w:pPr>
        <w:spacing w:before="120" w:after="120" w:line="276" w:lineRule="auto"/>
        <w:jc w:val="both"/>
        <w:rPr>
          <w:rFonts w:ascii="Times New Roman" w:hAnsi="Times New Roman" w:cs="Times New Roman"/>
          <w:lang w:val="es-ES_tradnl"/>
        </w:rPr>
      </w:pPr>
    </w:p>
    <w:tbl>
      <w:tblPr>
        <w:tblStyle w:val="Tablaconcuadrcula1clara-nfasis1"/>
        <w:tblW w:w="5000" w:type="pct"/>
        <w:jc w:val="center"/>
        <w:tblLook w:val="04A0" w:firstRow="1" w:lastRow="0" w:firstColumn="1" w:lastColumn="0" w:noHBand="0" w:noVBand="1"/>
      </w:tblPr>
      <w:tblGrid>
        <w:gridCol w:w="2126"/>
        <w:gridCol w:w="3900"/>
        <w:gridCol w:w="2802"/>
      </w:tblGrid>
      <w:tr w:rsidRPr="00AE1B2B" w:rsidR="00AE1B2B" w:rsidTr="00825416" w14:paraId="727F2A75" w14:textId="77777777">
        <w:trPr>
          <w:cnfStyle w:val="100000000000" w:firstRow="1" w:lastRow="0" w:firstColumn="0" w:lastColumn="0" w:oddVBand="0" w:evenVBand="0" w:oddHBand="0" w:evenHBand="0" w:firstRowFirstColumn="0" w:firstRowLastColumn="0" w:lastRowFirstColumn="0" w:lastRowLastColumn="0"/>
          <w:trHeight w:val="187"/>
          <w:jc w:val="center"/>
        </w:trPr>
        <w:tc>
          <w:tcPr>
            <w:cnfStyle w:val="001000000000" w:firstRow="0" w:lastRow="0" w:firstColumn="1" w:lastColumn="0" w:oddVBand="0" w:evenVBand="0" w:oddHBand="0" w:evenHBand="0" w:firstRowFirstColumn="0" w:firstRowLastColumn="0" w:lastRowFirstColumn="0" w:lastRowLastColumn="0"/>
            <w:tcW w:w="1204" w:type="pct"/>
          </w:tcPr>
          <w:p w:rsidRPr="00AE1B2B" w:rsidR="009D3FB5" w:rsidP="00163B94" w:rsidRDefault="009D3FB5" w14:paraId="2D7DE252" w14:textId="77777777">
            <w:pPr>
              <w:spacing w:before="120" w:after="120" w:line="276" w:lineRule="auto"/>
              <w:jc w:val="center"/>
              <w:rPr>
                <w:rFonts w:ascii="Times New Roman" w:hAnsi="Times New Roman" w:cs="Times New Roman"/>
                <w:b w:val="0"/>
              </w:rPr>
            </w:pPr>
            <w:r w:rsidRPr="00AE1B2B">
              <w:rPr>
                <w:rFonts w:ascii="Times New Roman" w:hAnsi="Times New Roman" w:cs="Times New Roman"/>
              </w:rPr>
              <w:t>Apéndices</w:t>
            </w:r>
          </w:p>
        </w:tc>
        <w:tc>
          <w:tcPr>
            <w:tcW w:w="2209" w:type="pct"/>
          </w:tcPr>
          <w:p w:rsidRPr="00AE1B2B" w:rsidR="009D3FB5" w:rsidP="00163B94" w:rsidRDefault="009D3FB5" w14:paraId="51602427" w14:textId="77777777">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AE1B2B">
              <w:rPr>
                <w:rFonts w:ascii="Times New Roman" w:hAnsi="Times New Roman" w:cs="Times New Roman"/>
              </w:rPr>
              <w:t>Nombre</w:t>
            </w:r>
          </w:p>
        </w:tc>
        <w:tc>
          <w:tcPr>
            <w:tcW w:w="1587" w:type="pct"/>
          </w:tcPr>
          <w:p w:rsidRPr="00AE1B2B" w:rsidR="009D3FB5" w:rsidP="00163B94" w:rsidRDefault="009D3FB5" w14:paraId="7057C721" w14:textId="77777777">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AE1B2B">
              <w:rPr>
                <w:rFonts w:ascii="Times New Roman" w:hAnsi="Times New Roman" w:cs="Times New Roman"/>
              </w:rPr>
              <w:t>Documento</w:t>
            </w:r>
          </w:p>
        </w:tc>
      </w:tr>
      <w:tr w:rsidRPr="00AE1B2B" w:rsidR="00AE1B2B" w:rsidTr="00825416" w14:paraId="2C756868" w14:textId="77777777">
        <w:trPr>
          <w:trHeight w:val="194"/>
          <w:jc w:val="center"/>
        </w:trPr>
        <w:tc>
          <w:tcPr>
            <w:cnfStyle w:val="001000000000" w:firstRow="0" w:lastRow="0" w:firstColumn="1" w:lastColumn="0" w:oddVBand="0" w:evenVBand="0" w:oddHBand="0" w:evenHBand="0" w:firstRowFirstColumn="0" w:firstRowLastColumn="0" w:lastRowFirstColumn="0" w:lastRowLastColumn="0"/>
            <w:tcW w:w="1204" w:type="pct"/>
          </w:tcPr>
          <w:p w:rsidRPr="00AE1B2B" w:rsidR="009D3FB5" w:rsidP="00163B94" w:rsidRDefault="009D3FB5" w14:paraId="138CB2E2" w14:textId="77777777">
            <w:pPr>
              <w:spacing w:before="120" w:after="120" w:line="276" w:lineRule="auto"/>
              <w:jc w:val="center"/>
              <w:rPr>
                <w:rFonts w:ascii="Times New Roman" w:hAnsi="Times New Roman" w:cs="Times New Roman"/>
              </w:rPr>
            </w:pPr>
          </w:p>
          <w:p w:rsidRPr="00AE1B2B" w:rsidR="009D3FB5" w:rsidP="00163B94" w:rsidRDefault="009D3FB5" w14:paraId="17B73CA1" w14:textId="77777777">
            <w:pPr>
              <w:spacing w:before="120" w:after="120" w:line="276" w:lineRule="auto"/>
              <w:jc w:val="center"/>
              <w:rPr>
                <w:rFonts w:ascii="Times New Roman" w:hAnsi="Times New Roman" w:cs="Times New Roman"/>
                <w:b w:val="0"/>
                <w:bCs w:val="0"/>
              </w:rPr>
            </w:pPr>
            <w:r w:rsidRPr="00AE1B2B">
              <w:rPr>
                <w:rFonts w:ascii="Times New Roman" w:hAnsi="Times New Roman" w:cs="Times New Roman"/>
                <w:b w:val="0"/>
                <w:bCs w:val="0"/>
              </w:rPr>
              <w:t>1</w:t>
            </w:r>
          </w:p>
        </w:tc>
        <w:tc>
          <w:tcPr>
            <w:tcW w:w="2209" w:type="pct"/>
          </w:tcPr>
          <w:p w:rsidRPr="00AE1B2B" w:rsidR="009D3FB5" w:rsidP="00163B94" w:rsidRDefault="009D3FB5" w14:paraId="6B9DACA0" w14:textId="77777777">
            <w:pPr>
              <w:autoSpaceDE w:val="0"/>
              <w:autoSpaceDN w:val="0"/>
              <w:adjustRightInd w:val="0"/>
              <w:spacing w:before="12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E1B2B">
              <w:rPr>
                <w:rFonts w:ascii="Times New Roman" w:hAnsi="Times New Roman" w:cs="Times New Roman"/>
              </w:rPr>
              <w:t>Informe de labores del Lic. Orlando Vargas Chacón. Plaza Defensor Supervisor</w:t>
            </w:r>
          </w:p>
        </w:tc>
        <w:tc>
          <w:tcPr>
            <w:tcW w:w="1587" w:type="pct"/>
          </w:tcPr>
          <w:p w:rsidRPr="00AE1B2B" w:rsidR="009D3FB5" w:rsidP="00163B94" w:rsidRDefault="009D3FB5" w14:paraId="1AF4628D" w14:textId="7777777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E1B2B">
              <w:rPr>
                <w:rFonts w:ascii="Times New Roman" w:hAnsi="Times New Roman" w:cs="Times New Roman"/>
              </w:rPr>
              <w:object w:dxaOrig="1520" w:dyaOrig="987" w14:anchorId="5CA85EDC">
                <v:shape id="_x0000_i1027" style="width:77.65pt;height:51.95pt" o:ole="" type="#_x0000_t75">
                  <v:imagedata o:title="" r:id="rId145"/>
                </v:shape>
                <o:OLEObject Type="Embed" ProgID="Package" ShapeID="_x0000_i1027" DrawAspect="Icon" ObjectID="_1681900457" r:id="rId146"/>
              </w:object>
            </w:r>
          </w:p>
        </w:tc>
      </w:tr>
      <w:tr w:rsidRPr="00AE1B2B" w:rsidR="00AE1B2B" w:rsidTr="00825416" w14:paraId="316F1AB3" w14:textId="77777777">
        <w:trPr>
          <w:trHeight w:val="194"/>
          <w:jc w:val="center"/>
        </w:trPr>
        <w:tc>
          <w:tcPr>
            <w:cnfStyle w:val="001000000000" w:firstRow="0" w:lastRow="0" w:firstColumn="1" w:lastColumn="0" w:oddVBand="0" w:evenVBand="0" w:oddHBand="0" w:evenHBand="0" w:firstRowFirstColumn="0" w:firstRowLastColumn="0" w:lastRowFirstColumn="0" w:lastRowLastColumn="0"/>
            <w:tcW w:w="1204" w:type="pct"/>
          </w:tcPr>
          <w:p w:rsidRPr="00AE1B2B" w:rsidR="009D3FB5" w:rsidP="00163B94" w:rsidRDefault="009D3FB5" w14:paraId="2F332590" w14:textId="77777777">
            <w:pPr>
              <w:spacing w:before="120" w:after="120" w:line="276" w:lineRule="auto"/>
              <w:jc w:val="center"/>
              <w:rPr>
                <w:rFonts w:ascii="Times New Roman" w:hAnsi="Times New Roman" w:cs="Times New Roman"/>
              </w:rPr>
            </w:pPr>
          </w:p>
          <w:p w:rsidRPr="00AE1B2B" w:rsidR="009D3FB5" w:rsidP="00163B94" w:rsidRDefault="009D3FB5" w14:paraId="5834DF9A" w14:textId="77777777">
            <w:pPr>
              <w:spacing w:before="120" w:after="120" w:line="276" w:lineRule="auto"/>
              <w:jc w:val="center"/>
              <w:rPr>
                <w:rFonts w:ascii="Times New Roman" w:hAnsi="Times New Roman" w:cs="Times New Roman"/>
                <w:b w:val="0"/>
                <w:bCs w:val="0"/>
              </w:rPr>
            </w:pPr>
            <w:r w:rsidRPr="00AE1B2B">
              <w:rPr>
                <w:rFonts w:ascii="Times New Roman" w:hAnsi="Times New Roman" w:cs="Times New Roman"/>
              </w:rPr>
              <w:t>2</w:t>
            </w:r>
          </w:p>
        </w:tc>
        <w:tc>
          <w:tcPr>
            <w:tcW w:w="2209" w:type="pct"/>
          </w:tcPr>
          <w:p w:rsidRPr="00AE1B2B" w:rsidR="009D3FB5" w:rsidP="00163B94" w:rsidRDefault="009D3FB5" w14:paraId="7F72EC0F" w14:textId="77777777">
            <w:pPr>
              <w:autoSpaceDE w:val="0"/>
              <w:autoSpaceDN w:val="0"/>
              <w:adjustRightInd w:val="0"/>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Pr="00AE1B2B" w:rsidR="009D3FB5" w:rsidP="00163B94" w:rsidRDefault="009D3FB5" w14:paraId="76D708D6" w14:textId="77777777">
            <w:pPr>
              <w:autoSpaceDE w:val="0"/>
              <w:autoSpaceDN w:val="0"/>
              <w:adjustRightInd w:val="0"/>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E1B2B">
              <w:rPr>
                <w:rFonts w:ascii="Times New Roman" w:hAnsi="Times New Roman" w:cs="Times New Roman"/>
              </w:rPr>
              <w:t>Solicitud de cambio. Proyecto Implantación SSC</w:t>
            </w:r>
          </w:p>
        </w:tc>
        <w:bookmarkStart w:name="_MON_1675767960" w:id="26"/>
        <w:bookmarkEnd w:id="26"/>
        <w:tc>
          <w:tcPr>
            <w:tcW w:w="1587" w:type="pct"/>
          </w:tcPr>
          <w:p w:rsidRPr="00AE1B2B" w:rsidR="009D3FB5" w:rsidP="00163B94" w:rsidRDefault="009D3FB5" w14:paraId="327AF0A8" w14:textId="7777777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E1B2B">
              <w:rPr>
                <w:rFonts w:ascii="Times New Roman" w:hAnsi="Times New Roman" w:cs="Times New Roman"/>
              </w:rPr>
              <w:object w:dxaOrig="1520" w:dyaOrig="987" w14:anchorId="424C16DB">
                <v:shape id="_x0000_i1028" style="width:77.65pt;height:51.95pt" o:ole="" type="#_x0000_t75">
                  <v:imagedata o:title="" r:id="rId147"/>
                </v:shape>
                <o:OLEObject Type="Embed" ProgID="Word.Document.12" ShapeID="_x0000_i1028" DrawAspect="Icon" ObjectID="_1681900458" r:id="rId148">
                  <o:FieldCodes>\s</o:FieldCodes>
                </o:OLEObject>
              </w:object>
            </w:r>
          </w:p>
        </w:tc>
      </w:tr>
      <w:tr w:rsidRPr="00AE1B2B" w:rsidR="00AE1B2B" w:rsidTr="00825416" w14:paraId="275DEAB0" w14:textId="77777777">
        <w:trPr>
          <w:trHeight w:val="512"/>
          <w:jc w:val="center"/>
        </w:trPr>
        <w:tc>
          <w:tcPr>
            <w:cnfStyle w:val="001000000000" w:firstRow="0" w:lastRow="0" w:firstColumn="1" w:lastColumn="0" w:oddVBand="0" w:evenVBand="0" w:oddHBand="0" w:evenHBand="0" w:firstRowFirstColumn="0" w:firstRowLastColumn="0" w:lastRowFirstColumn="0" w:lastRowLastColumn="0"/>
            <w:tcW w:w="1204" w:type="pct"/>
          </w:tcPr>
          <w:p w:rsidRPr="00AE1B2B" w:rsidR="009D3FB5" w:rsidP="00163B94" w:rsidRDefault="009D3FB5" w14:paraId="0E600B50" w14:textId="77777777">
            <w:pPr>
              <w:spacing w:before="120" w:after="120" w:line="276" w:lineRule="auto"/>
              <w:jc w:val="center"/>
              <w:rPr>
                <w:rFonts w:ascii="Times New Roman" w:hAnsi="Times New Roman" w:cs="Times New Roman"/>
              </w:rPr>
            </w:pPr>
          </w:p>
          <w:p w:rsidRPr="00AE1B2B" w:rsidR="009D3FB5" w:rsidP="00163B94" w:rsidRDefault="009D3FB5" w14:paraId="159EBE14" w14:textId="77777777">
            <w:pPr>
              <w:spacing w:before="120" w:after="120" w:line="276" w:lineRule="auto"/>
              <w:jc w:val="center"/>
              <w:rPr>
                <w:rFonts w:ascii="Times New Roman" w:hAnsi="Times New Roman" w:cs="Times New Roman"/>
              </w:rPr>
            </w:pPr>
          </w:p>
          <w:p w:rsidRPr="00AE1B2B" w:rsidR="009D3FB5" w:rsidP="00163B94" w:rsidRDefault="009D3FB5" w14:paraId="05EEB9B8" w14:textId="77777777">
            <w:pPr>
              <w:spacing w:before="120" w:after="120" w:line="276" w:lineRule="auto"/>
              <w:jc w:val="center"/>
              <w:rPr>
                <w:rFonts w:ascii="Times New Roman" w:hAnsi="Times New Roman" w:cs="Times New Roman"/>
                <w:b w:val="0"/>
                <w:bCs w:val="0"/>
              </w:rPr>
            </w:pPr>
            <w:r w:rsidRPr="00AE1B2B">
              <w:rPr>
                <w:rFonts w:ascii="Times New Roman" w:hAnsi="Times New Roman" w:cs="Times New Roman"/>
                <w:b w:val="0"/>
                <w:bCs w:val="0"/>
              </w:rPr>
              <w:t>3</w:t>
            </w:r>
          </w:p>
        </w:tc>
        <w:tc>
          <w:tcPr>
            <w:tcW w:w="2209" w:type="pct"/>
          </w:tcPr>
          <w:p w:rsidRPr="00AE1B2B" w:rsidR="009D3FB5" w:rsidP="00163B94" w:rsidRDefault="009D3FB5" w14:paraId="32578104" w14:textId="77777777">
            <w:pPr>
              <w:autoSpaceDE w:val="0"/>
              <w:autoSpaceDN w:val="0"/>
              <w:adjustRightInd w:val="0"/>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eastAsia="zh-CN"/>
              </w:rPr>
            </w:pPr>
          </w:p>
          <w:p w:rsidRPr="00AE1B2B" w:rsidR="009D3FB5" w:rsidP="00163B94" w:rsidRDefault="009D3FB5" w14:paraId="61FD40A1" w14:textId="77777777">
            <w:pPr>
              <w:autoSpaceDE w:val="0"/>
              <w:autoSpaceDN w:val="0"/>
              <w:adjustRightInd w:val="0"/>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eastAsia="zh-CN"/>
              </w:rPr>
            </w:pPr>
          </w:p>
          <w:p w:rsidRPr="00AE1B2B" w:rsidR="009D3FB5" w:rsidP="00163B94" w:rsidRDefault="009D3FB5" w14:paraId="4BA559F2" w14:textId="77777777">
            <w:pPr>
              <w:autoSpaceDE w:val="0"/>
              <w:autoSpaceDN w:val="0"/>
              <w:adjustRightInd w:val="0"/>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E1B2B">
              <w:rPr>
                <w:rFonts w:ascii="Times New Roman" w:hAnsi="Times New Roman" w:cs="Times New Roman"/>
                <w:lang w:val="es-ES" w:eastAsia="zh-CN"/>
              </w:rPr>
              <w:t>Circulares de la Defensa Pública 28-2018 y 28-2020</w:t>
            </w:r>
          </w:p>
        </w:tc>
        <w:tc>
          <w:tcPr>
            <w:tcW w:w="1587" w:type="pct"/>
          </w:tcPr>
          <w:p w:rsidRPr="00AE1B2B" w:rsidR="009D3FB5" w:rsidP="00163B94" w:rsidRDefault="009D3FB5" w14:paraId="2178839D" w14:textId="7777777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E1B2B">
              <w:rPr>
                <w:rFonts w:ascii="Times New Roman" w:hAnsi="Times New Roman" w:cs="Times New Roman"/>
              </w:rPr>
              <w:object w:dxaOrig="1520" w:dyaOrig="987" w14:anchorId="7C15AFD7">
                <v:shape id="_x0000_i1029" style="width:77.65pt;height:51.95pt" o:ole="" type="#_x0000_t75">
                  <v:imagedata o:title="" r:id="rId149"/>
                </v:shape>
                <o:OLEObject Type="Embed" ProgID="Package" ShapeID="_x0000_i1029" DrawAspect="Icon" ObjectID="_1681900459" r:id="rId150"/>
              </w:object>
            </w:r>
            <w:r w:rsidRPr="00AE1B2B">
              <w:rPr>
                <w:rFonts w:ascii="Times New Roman" w:hAnsi="Times New Roman" w:cs="Times New Roman"/>
              </w:rPr>
              <w:object w:dxaOrig="1520" w:dyaOrig="987" w14:anchorId="6707B49A">
                <v:shape id="_x0000_i1030" style="width:77.65pt;height:51.95pt" o:ole="" type="#_x0000_t75">
                  <v:imagedata o:title="" r:id="rId151"/>
                </v:shape>
                <o:OLEObject Type="Embed" ProgID="Package" ShapeID="_x0000_i1030" DrawAspect="Icon" ObjectID="_1681900460" r:id="rId152"/>
              </w:object>
            </w:r>
          </w:p>
        </w:tc>
      </w:tr>
      <w:tr w:rsidRPr="00AE1B2B" w:rsidR="00AE1B2B" w:rsidTr="00825416" w14:paraId="62D77FA9" w14:textId="77777777">
        <w:trPr>
          <w:trHeight w:val="226"/>
          <w:jc w:val="center"/>
        </w:trPr>
        <w:tc>
          <w:tcPr>
            <w:cnfStyle w:val="001000000000" w:firstRow="0" w:lastRow="0" w:firstColumn="1" w:lastColumn="0" w:oddVBand="0" w:evenVBand="0" w:oddHBand="0" w:evenHBand="0" w:firstRowFirstColumn="0" w:firstRowLastColumn="0" w:lastRowFirstColumn="0" w:lastRowLastColumn="0"/>
            <w:tcW w:w="1204" w:type="pct"/>
          </w:tcPr>
          <w:p w:rsidRPr="00AE1B2B" w:rsidR="009D3FB5" w:rsidP="00163B94" w:rsidRDefault="009D3FB5" w14:paraId="590134CF" w14:textId="77777777">
            <w:pPr>
              <w:spacing w:before="120" w:after="120" w:line="276" w:lineRule="auto"/>
              <w:jc w:val="center"/>
              <w:rPr>
                <w:rFonts w:ascii="Times New Roman" w:hAnsi="Times New Roman" w:cs="Times New Roman"/>
              </w:rPr>
            </w:pPr>
          </w:p>
          <w:p w:rsidRPr="00AE1B2B" w:rsidR="009D3FB5" w:rsidP="00163B94" w:rsidRDefault="009D3FB5" w14:paraId="1E53BEFF" w14:textId="77777777">
            <w:pPr>
              <w:spacing w:before="120" w:after="120" w:line="276" w:lineRule="auto"/>
              <w:jc w:val="center"/>
              <w:rPr>
                <w:rFonts w:ascii="Times New Roman" w:hAnsi="Times New Roman" w:cs="Times New Roman"/>
              </w:rPr>
            </w:pPr>
          </w:p>
          <w:p w:rsidRPr="00AE1B2B" w:rsidR="009D3FB5" w:rsidP="00163B94" w:rsidRDefault="009D3FB5" w14:paraId="0DD2EF4B" w14:textId="77777777">
            <w:pPr>
              <w:spacing w:before="120" w:after="120" w:line="276" w:lineRule="auto"/>
              <w:jc w:val="center"/>
              <w:rPr>
                <w:rFonts w:ascii="Times New Roman" w:hAnsi="Times New Roman" w:cs="Times New Roman"/>
                <w:b w:val="0"/>
                <w:bCs w:val="0"/>
              </w:rPr>
            </w:pPr>
            <w:r w:rsidRPr="00AE1B2B">
              <w:rPr>
                <w:rFonts w:ascii="Times New Roman" w:hAnsi="Times New Roman" w:cs="Times New Roman"/>
                <w:b w:val="0"/>
                <w:bCs w:val="0"/>
              </w:rPr>
              <w:t>4</w:t>
            </w:r>
          </w:p>
        </w:tc>
        <w:tc>
          <w:tcPr>
            <w:tcW w:w="2209" w:type="pct"/>
          </w:tcPr>
          <w:p w:rsidRPr="00AE1B2B" w:rsidR="009D3FB5" w:rsidP="00163B94" w:rsidRDefault="009D3FB5" w14:paraId="7032BBA1" w14:textId="77777777">
            <w:pPr>
              <w:autoSpaceDE w:val="0"/>
              <w:autoSpaceDN w:val="0"/>
              <w:adjustRightInd w:val="0"/>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eastAsia="zh-CN"/>
              </w:rPr>
            </w:pPr>
          </w:p>
          <w:p w:rsidRPr="00AE1B2B" w:rsidR="009D3FB5" w:rsidP="00163B94" w:rsidRDefault="009D3FB5" w14:paraId="6554EFD8" w14:textId="77777777">
            <w:pPr>
              <w:autoSpaceDE w:val="0"/>
              <w:autoSpaceDN w:val="0"/>
              <w:adjustRightInd w:val="0"/>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eastAsia="zh-CN"/>
              </w:rPr>
            </w:pPr>
          </w:p>
          <w:p w:rsidRPr="00AE1B2B" w:rsidR="009D3FB5" w:rsidP="00163B94" w:rsidRDefault="009D3FB5" w14:paraId="06822217" w14:textId="77777777">
            <w:pPr>
              <w:autoSpaceDE w:val="0"/>
              <w:autoSpaceDN w:val="0"/>
              <w:adjustRightInd w:val="0"/>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E1B2B">
              <w:rPr>
                <w:rFonts w:ascii="Times New Roman" w:hAnsi="Times New Roman" w:cs="Times New Roman"/>
                <w:lang w:val="es-ES" w:eastAsia="zh-CN"/>
              </w:rPr>
              <w:t>Circulares de la Defensa Pública 191-2015 y 137-2016</w:t>
            </w:r>
          </w:p>
        </w:tc>
        <w:tc>
          <w:tcPr>
            <w:tcW w:w="1587" w:type="pct"/>
          </w:tcPr>
          <w:p w:rsidRPr="00AE1B2B" w:rsidR="009D3FB5" w:rsidP="00163B94" w:rsidRDefault="009D3FB5" w14:paraId="4962800E" w14:textId="7777777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E1B2B">
              <w:rPr>
                <w:rFonts w:ascii="Times New Roman" w:hAnsi="Times New Roman" w:cs="Times New Roman"/>
              </w:rPr>
              <w:object w:dxaOrig="1520" w:dyaOrig="987" w14:anchorId="2DA86E8F">
                <v:shape id="_x0000_i1031" style="width:77.65pt;height:51.95pt" o:ole="" type="#_x0000_t75">
                  <v:imagedata o:title="" r:id="rId153"/>
                </v:shape>
                <o:OLEObject Type="Embed" ProgID="Package" ShapeID="_x0000_i1031" DrawAspect="Icon" ObjectID="_1681900461" r:id="rId154"/>
              </w:object>
            </w:r>
            <w:r w:rsidRPr="00AE1B2B">
              <w:rPr>
                <w:rFonts w:ascii="Times New Roman" w:hAnsi="Times New Roman" w:cs="Times New Roman"/>
              </w:rPr>
              <w:object w:dxaOrig="1520" w:dyaOrig="987" w14:anchorId="31A62C08">
                <v:shape id="_x0000_i1032" style="width:77.65pt;height:51.95pt" o:ole="" type="#_x0000_t75">
                  <v:imagedata o:title="" r:id="rId155"/>
                </v:shape>
                <o:OLEObject Type="Embed" ProgID="Package" ShapeID="_x0000_i1032" DrawAspect="Icon" ObjectID="_1681900462" r:id="rId156"/>
              </w:object>
            </w:r>
          </w:p>
        </w:tc>
      </w:tr>
    </w:tbl>
    <w:p w:rsidRPr="00AE1B2B" w:rsidR="009D3FB5" w:rsidP="00163B94" w:rsidRDefault="009D3FB5" w14:paraId="004969CA" w14:textId="77777777">
      <w:pPr>
        <w:pStyle w:val="Prrafodelista"/>
        <w:spacing w:before="120" w:after="120" w:line="276" w:lineRule="auto"/>
        <w:ind w:left="1080"/>
        <w:jc w:val="both"/>
        <w:rPr>
          <w:rFonts w:ascii="Times New Roman" w:hAnsi="Times New Roman" w:cs="Times New Roman"/>
          <w:lang w:eastAsia="zh-CN"/>
        </w:rPr>
      </w:pPr>
    </w:p>
    <w:tbl>
      <w:tblPr>
        <w:tblStyle w:val="Tablaconcuadrcula"/>
        <w:tblW w:w="5000" w:type="pct"/>
        <w:tblLook w:val="04A0" w:firstRow="1" w:lastRow="0" w:firstColumn="1" w:lastColumn="0" w:noHBand="0" w:noVBand="1"/>
      </w:tblPr>
      <w:tblGrid>
        <w:gridCol w:w="1838"/>
        <w:gridCol w:w="6990"/>
      </w:tblGrid>
      <w:tr w:rsidRPr="00AE1B2B" w:rsidR="00AE1B2B" w:rsidTr="00825416" w14:paraId="7465904C" w14:textId="77777777">
        <w:tc>
          <w:tcPr>
            <w:tcW w:w="1041" w:type="pct"/>
            <w:vAlign w:val="center"/>
          </w:tcPr>
          <w:p w:rsidRPr="00AE1B2B" w:rsidR="009D3FB5" w:rsidP="00163B94" w:rsidRDefault="009D3FB5" w14:paraId="1B6C135F" w14:textId="77777777">
            <w:pPr>
              <w:spacing w:before="120" w:after="120"/>
              <w:jc w:val="both"/>
              <w:rPr>
                <w:rFonts w:ascii="Times New Roman" w:hAnsi="Times New Roman" w:cs="Times New Roman"/>
                <w:sz w:val="22"/>
                <w:szCs w:val="22"/>
              </w:rPr>
            </w:pPr>
            <w:r w:rsidRPr="00AE1B2B">
              <w:rPr>
                <w:rFonts w:ascii="Times New Roman" w:hAnsi="Times New Roman" w:cs="Times New Roman"/>
                <w:sz w:val="22"/>
                <w:szCs w:val="22"/>
              </w:rPr>
              <w:t xml:space="preserve">Elaborado: </w:t>
            </w:r>
          </w:p>
        </w:tc>
        <w:tc>
          <w:tcPr>
            <w:tcW w:w="3959" w:type="pct"/>
            <w:vAlign w:val="center"/>
          </w:tcPr>
          <w:p w:rsidRPr="00AE1B2B" w:rsidR="009D3FB5" w:rsidP="00163B94" w:rsidRDefault="009D3FB5" w14:paraId="1C2FE4B4" w14:textId="77777777">
            <w:pPr>
              <w:spacing w:before="120" w:after="120"/>
              <w:jc w:val="both"/>
              <w:rPr>
                <w:rFonts w:ascii="Times New Roman" w:hAnsi="Times New Roman" w:cs="Times New Roman"/>
                <w:sz w:val="22"/>
                <w:szCs w:val="22"/>
              </w:rPr>
            </w:pPr>
            <w:r w:rsidRPr="00AE1B2B">
              <w:rPr>
                <w:rFonts w:ascii="Times New Roman" w:hAnsi="Times New Roman" w:cs="Times New Roman"/>
                <w:sz w:val="22"/>
                <w:szCs w:val="22"/>
              </w:rPr>
              <w:t xml:space="preserve">Inga. Florita Leiva, Profesional 2 </w:t>
            </w:r>
          </w:p>
        </w:tc>
      </w:tr>
      <w:tr w:rsidRPr="00AE1B2B" w:rsidR="00AE1B2B" w:rsidTr="00825416" w14:paraId="2F38B9C8" w14:textId="77777777">
        <w:tc>
          <w:tcPr>
            <w:tcW w:w="1041" w:type="pct"/>
            <w:vAlign w:val="center"/>
          </w:tcPr>
          <w:p w:rsidRPr="00AE1B2B" w:rsidR="009D3FB5" w:rsidP="00163B94" w:rsidRDefault="009D3FB5" w14:paraId="775DBBAD" w14:textId="77777777">
            <w:pPr>
              <w:spacing w:before="120" w:after="120"/>
              <w:jc w:val="both"/>
              <w:rPr>
                <w:rFonts w:ascii="Times New Roman" w:hAnsi="Times New Roman" w:cs="Times New Roman"/>
                <w:sz w:val="22"/>
                <w:szCs w:val="22"/>
              </w:rPr>
            </w:pPr>
            <w:r w:rsidRPr="00AE1B2B">
              <w:rPr>
                <w:rFonts w:ascii="Times New Roman" w:hAnsi="Times New Roman" w:cs="Times New Roman"/>
                <w:sz w:val="22"/>
                <w:szCs w:val="22"/>
              </w:rPr>
              <w:t>Revisado:</w:t>
            </w:r>
          </w:p>
        </w:tc>
        <w:tc>
          <w:tcPr>
            <w:tcW w:w="3959" w:type="pct"/>
            <w:vAlign w:val="center"/>
          </w:tcPr>
          <w:p w:rsidRPr="00AE1B2B" w:rsidR="009D3FB5" w:rsidP="00163B94" w:rsidRDefault="009D3FB5" w14:paraId="61F5D6A7" w14:textId="77777777">
            <w:pPr>
              <w:spacing w:before="120" w:after="120"/>
              <w:jc w:val="both"/>
              <w:rPr>
                <w:rFonts w:ascii="Times New Roman" w:hAnsi="Times New Roman" w:cs="Times New Roman"/>
                <w:sz w:val="22"/>
                <w:szCs w:val="22"/>
              </w:rPr>
            </w:pPr>
            <w:r w:rsidRPr="00AE1B2B">
              <w:rPr>
                <w:rFonts w:ascii="Times New Roman" w:hAnsi="Times New Roman" w:cs="Times New Roman"/>
                <w:sz w:val="22"/>
                <w:szCs w:val="22"/>
              </w:rPr>
              <w:t xml:space="preserve">Ing. Jorge Fernando Rodríguez Salazar, Jefe a.i. del Subproceso de Modernización Institucional </w:t>
            </w:r>
          </w:p>
        </w:tc>
      </w:tr>
      <w:tr w:rsidRPr="00AE1B2B" w:rsidR="00AE1B2B" w:rsidTr="00825416" w14:paraId="6BC5EDF2" w14:textId="77777777">
        <w:tc>
          <w:tcPr>
            <w:tcW w:w="1041" w:type="pct"/>
            <w:vAlign w:val="center"/>
          </w:tcPr>
          <w:p w:rsidRPr="00AE1B2B" w:rsidR="009D3FB5" w:rsidP="00163B94" w:rsidRDefault="009D3FB5" w14:paraId="2E3C03D3" w14:textId="77777777">
            <w:pPr>
              <w:spacing w:before="120" w:after="120"/>
              <w:jc w:val="both"/>
              <w:rPr>
                <w:rFonts w:ascii="Times New Roman" w:hAnsi="Times New Roman" w:cs="Times New Roman"/>
                <w:sz w:val="22"/>
                <w:szCs w:val="22"/>
              </w:rPr>
            </w:pPr>
            <w:r w:rsidRPr="00AE1B2B">
              <w:rPr>
                <w:rFonts w:ascii="Times New Roman" w:hAnsi="Times New Roman" w:cs="Times New Roman"/>
                <w:sz w:val="22"/>
                <w:szCs w:val="22"/>
              </w:rPr>
              <w:t>Aprobado:</w:t>
            </w:r>
          </w:p>
        </w:tc>
        <w:tc>
          <w:tcPr>
            <w:tcW w:w="3959" w:type="pct"/>
            <w:vAlign w:val="center"/>
          </w:tcPr>
          <w:p w:rsidRPr="00AE1B2B" w:rsidR="009D3FB5" w:rsidP="00163B94" w:rsidRDefault="009D3FB5" w14:paraId="4F6B8B25" w14:textId="77777777">
            <w:pPr>
              <w:spacing w:before="120" w:after="120"/>
              <w:jc w:val="both"/>
              <w:rPr>
                <w:rFonts w:ascii="Times New Roman" w:hAnsi="Times New Roman" w:cs="Times New Roman"/>
                <w:sz w:val="22"/>
                <w:szCs w:val="22"/>
              </w:rPr>
            </w:pPr>
            <w:r w:rsidRPr="00AE1B2B">
              <w:rPr>
                <w:rFonts w:ascii="Times New Roman" w:hAnsi="Times New Roman" w:cs="Times New Roman"/>
                <w:sz w:val="22"/>
                <w:szCs w:val="22"/>
              </w:rPr>
              <w:t>Ing. Dixon Li Morales, Jefe del Proceso de Ejecución de las Operaciones</w:t>
            </w:r>
          </w:p>
        </w:tc>
      </w:tr>
      <w:tr w:rsidRPr="00AE1B2B" w:rsidR="00AE1B2B" w:rsidTr="00825416" w14:paraId="3C323B09" w14:textId="77777777">
        <w:tc>
          <w:tcPr>
            <w:tcW w:w="1041" w:type="pct"/>
            <w:vAlign w:val="center"/>
          </w:tcPr>
          <w:p w:rsidRPr="00AE1B2B" w:rsidR="009D3FB5" w:rsidP="00163B94" w:rsidRDefault="009D3FB5" w14:paraId="23463F26" w14:textId="77777777">
            <w:pPr>
              <w:spacing w:before="120" w:after="120"/>
              <w:jc w:val="both"/>
              <w:rPr>
                <w:rFonts w:ascii="Times New Roman" w:hAnsi="Times New Roman" w:cs="Times New Roman"/>
                <w:sz w:val="22"/>
                <w:szCs w:val="22"/>
              </w:rPr>
            </w:pPr>
            <w:r w:rsidRPr="00AE1B2B">
              <w:rPr>
                <w:rFonts w:ascii="Times New Roman" w:hAnsi="Times New Roman" w:cs="Times New Roman"/>
                <w:sz w:val="22"/>
                <w:szCs w:val="22"/>
              </w:rPr>
              <w:t>Autorizado:</w:t>
            </w:r>
          </w:p>
        </w:tc>
        <w:tc>
          <w:tcPr>
            <w:tcW w:w="3959" w:type="pct"/>
            <w:vAlign w:val="center"/>
          </w:tcPr>
          <w:p w:rsidRPr="00AE1B2B" w:rsidR="009D3FB5" w:rsidP="00163B94" w:rsidRDefault="009D3FB5" w14:paraId="58F14D60" w14:textId="77777777">
            <w:pPr>
              <w:spacing w:before="120" w:after="120"/>
              <w:jc w:val="both"/>
              <w:rPr>
                <w:rFonts w:ascii="Times New Roman" w:hAnsi="Times New Roman" w:cs="Times New Roman"/>
                <w:sz w:val="22"/>
                <w:szCs w:val="22"/>
              </w:rPr>
            </w:pPr>
            <w:r w:rsidRPr="00AE1B2B">
              <w:rPr>
                <w:rFonts w:ascii="Times New Roman" w:hAnsi="Times New Roman" w:cs="Times New Roman"/>
                <w:sz w:val="22"/>
                <w:szCs w:val="22"/>
              </w:rPr>
              <w:t>Licda. Nacira Valverde Bermúdez, Directora de Planificación a.i.</w:t>
            </w:r>
          </w:p>
        </w:tc>
      </w:tr>
    </w:tbl>
    <w:p w:rsidRPr="00AE1B2B" w:rsidR="009D3FB5" w:rsidP="00163B94" w:rsidRDefault="009D3FB5" w14:paraId="6E0F95F8" w14:textId="77777777">
      <w:pPr>
        <w:autoSpaceDE w:val="0"/>
        <w:autoSpaceDN w:val="0"/>
        <w:adjustRightInd w:val="0"/>
        <w:spacing w:before="120" w:after="120"/>
        <w:rPr>
          <w:rFonts w:ascii="Times New Roman" w:hAnsi="Times New Roman" w:cs="Times New Roman"/>
          <w:lang w:val="es-ES_tradnl"/>
        </w:rPr>
      </w:pPr>
      <w:r w:rsidRPr="00AE1B2B">
        <w:rPr>
          <w:rFonts w:ascii="Times New Roman" w:hAnsi="Times New Roman" w:cs="Times New Roman"/>
          <w:lang w:val="es-ES_tradnl"/>
        </w:rPr>
        <w:t>rqp</w:t>
      </w:r>
    </w:p>
    <w:p w:rsidRPr="00AE1B2B" w:rsidR="009D3FB5" w:rsidP="00163B94" w:rsidRDefault="009D3FB5" w14:paraId="66F932CB" w14:textId="77777777">
      <w:pPr>
        <w:autoSpaceDE w:val="0"/>
        <w:autoSpaceDN w:val="0"/>
        <w:adjustRightInd w:val="0"/>
        <w:spacing w:before="120" w:after="120"/>
        <w:rPr>
          <w:rFonts w:ascii="Times New Roman" w:hAnsi="Times New Roman" w:cs="Times New Roman"/>
          <w:lang w:val="es-ES_tradnl"/>
        </w:rPr>
      </w:pPr>
      <w:r w:rsidRPr="00AE1B2B">
        <w:rPr>
          <w:rFonts w:ascii="Times New Roman" w:hAnsi="Times New Roman" w:cs="Times New Roman"/>
          <w:lang w:val="es-ES_tradnl"/>
        </w:rPr>
        <w:t>Ref. 296-2021</w:t>
      </w:r>
    </w:p>
    <w:p w:rsidRPr="00AE1B2B" w:rsidR="009D3FB5" w:rsidP="00163B94" w:rsidRDefault="009D3FB5" w14:paraId="011E7E93" w14:textId="77777777">
      <w:pPr>
        <w:autoSpaceDE w:val="0"/>
        <w:autoSpaceDN w:val="0"/>
        <w:adjustRightInd w:val="0"/>
        <w:spacing w:before="120" w:after="120"/>
        <w:rPr>
          <w:rFonts w:ascii="Times New Roman" w:hAnsi="Times New Roman" w:cs="Times New Roman"/>
          <w:lang w:val="es-ES_tradnl"/>
        </w:rPr>
      </w:pPr>
    </w:p>
    <w:p w:rsidRPr="00AE1B2B" w:rsidR="000458B6" w:rsidP="00163B94" w:rsidRDefault="000458B6" w14:paraId="002FBBFE" w14:textId="77777777">
      <w:pPr>
        <w:spacing w:before="120" w:after="120" w:line="480" w:lineRule="auto"/>
        <w:jc w:val="center"/>
        <w:rPr>
          <w:rFonts w:ascii="Times New Roman" w:hAnsi="Times New Roman"/>
          <w:bCs/>
          <w:sz w:val="28"/>
          <w:szCs w:val="28"/>
          <w:lang w:val="es-ES"/>
        </w:rPr>
      </w:pPr>
      <w:r w:rsidRPr="00AE1B2B">
        <w:rPr>
          <w:rFonts w:ascii="Times New Roman" w:hAnsi="Times New Roman"/>
          <w:bCs/>
          <w:spacing w:val="2"/>
          <w:sz w:val="28"/>
          <w:szCs w:val="28"/>
          <w:lang w:val="es-ES"/>
        </w:rPr>
        <w:t>- 0 -</w:t>
      </w:r>
    </w:p>
    <w:p w:rsidRPr="00AE1B2B" w:rsidR="009D3FB5" w:rsidP="00163B94" w:rsidRDefault="009D3FB5" w14:paraId="37334D96" w14:textId="64BF751B">
      <w:pPr>
        <w:spacing w:before="120" w:after="120" w:line="480" w:lineRule="auto"/>
        <w:ind w:firstLine="709"/>
        <w:jc w:val="both"/>
        <w:rPr>
          <w:rFonts w:ascii="Times New Roman" w:hAnsi="Times New Roman" w:cs="Times New Roman"/>
          <w:sz w:val="28"/>
          <w:szCs w:val="28"/>
        </w:rPr>
      </w:pPr>
      <w:r w:rsidRPr="00AE1B2B">
        <w:rPr>
          <w:rFonts w:ascii="Times New Roman" w:hAnsi="Times New Roman" w:cs="Times New Roman"/>
          <w:b/>
          <w:bCs/>
          <w:sz w:val="28"/>
          <w:szCs w:val="28"/>
        </w:rPr>
        <w:t>Se acordó</w:t>
      </w:r>
      <w:r w:rsidRPr="00AE1B2B">
        <w:rPr>
          <w:rFonts w:ascii="Times New Roman" w:hAnsi="Times New Roman" w:cs="Times New Roman"/>
          <w:sz w:val="28"/>
          <w:szCs w:val="28"/>
        </w:rPr>
        <w:t>:</w:t>
      </w:r>
      <w:r w:rsidRPr="00AE1B2B" w:rsidR="000458B6">
        <w:rPr>
          <w:rFonts w:ascii="Times New Roman" w:hAnsi="Times New Roman" w:cs="Times New Roman"/>
          <w:sz w:val="28"/>
          <w:szCs w:val="28"/>
        </w:rPr>
        <w:t xml:space="preserve"> </w:t>
      </w:r>
      <w:r w:rsidRPr="00AE1B2B">
        <w:rPr>
          <w:rFonts w:ascii="Times New Roman" w:hAnsi="Times New Roman" w:cs="Times New Roman"/>
          <w:sz w:val="28"/>
          <w:szCs w:val="28"/>
        </w:rPr>
        <w:t xml:space="preserve">Aprobar el Informe 268-PLA-RH-MI-2021 y sus recomendaciones, sobre el estudio de Requerimiento Humano para dar continuidad al Sistema de Seguimiento de casos, Implantación y Seguimiento </w:t>
      </w:r>
      <w:r w:rsidRPr="00AE1B2B">
        <w:rPr>
          <w:rFonts w:ascii="Times New Roman" w:hAnsi="Times New Roman" w:cs="Times New Roman"/>
          <w:sz w:val="28"/>
          <w:szCs w:val="28"/>
        </w:rPr>
        <w:lastRenderedPageBreak/>
        <w:t>al Proyecto de Mejora Integral del Proceso Penal, así como la mejora continua en la Defensa Pública.</w:t>
      </w:r>
      <w:r w:rsidRPr="00AE1B2B" w:rsidR="00BB7720">
        <w:rPr>
          <w:rFonts w:ascii="Times New Roman" w:hAnsi="Times New Roman" w:cs="Times New Roman"/>
          <w:sz w:val="28"/>
          <w:szCs w:val="28"/>
        </w:rPr>
        <w:t xml:space="preserve"> </w:t>
      </w:r>
      <w:r w:rsidRPr="00AE1B2B">
        <w:rPr>
          <w:rFonts w:ascii="Times New Roman" w:hAnsi="Times New Roman" w:cs="Times New Roman"/>
          <w:sz w:val="28"/>
          <w:szCs w:val="28"/>
        </w:rPr>
        <w:t>Esta plaza no es nueva, sino que se analiza a partir de su creación en años anteriores y ante la necesidad de dar continuidad a la misma para el año 2022.</w:t>
      </w:r>
      <w:bookmarkStart w:name="_Hlk65504903" w:id="27"/>
      <w:bookmarkStart w:name="_MON_1676115360" w:id="28"/>
      <w:bookmarkStart w:name="_MON_1675142206" w:id="29"/>
      <w:bookmarkStart w:name="_MON_1676115376" w:id="30"/>
      <w:bookmarkStart w:name="_MON_1675062982" w:id="31"/>
      <w:bookmarkStart w:name="_MON_1676115392" w:id="32"/>
      <w:bookmarkStart w:name="_MON_1675679808" w:id="33"/>
      <w:bookmarkStart w:name="_MON_1676115409" w:id="34"/>
      <w:bookmarkStart w:name="_MON_1676115421" w:id="35"/>
      <w:bookmarkStart w:name="x__Toc58314829" w:id="36"/>
      <w:bookmarkEnd w:id="27"/>
      <w:bookmarkEnd w:id="28"/>
      <w:bookmarkEnd w:id="29"/>
      <w:bookmarkEnd w:id="30"/>
      <w:bookmarkEnd w:id="31"/>
      <w:bookmarkEnd w:id="32"/>
      <w:bookmarkEnd w:id="33"/>
      <w:bookmarkEnd w:id="34"/>
      <w:bookmarkEnd w:id="35"/>
      <w:bookmarkEnd w:id="36"/>
      <w:r w:rsidRPr="00AE1B2B" w:rsidR="000458B6">
        <w:rPr>
          <w:rFonts w:ascii="Times New Roman" w:hAnsi="Times New Roman" w:cs="Times New Roman"/>
          <w:sz w:val="28"/>
          <w:szCs w:val="28"/>
        </w:rPr>
        <w:t xml:space="preserve"> </w:t>
      </w:r>
      <w:r w:rsidRPr="00AE1B2B" w:rsidR="000458B6">
        <w:rPr>
          <w:rFonts w:ascii="Times New Roman" w:hAnsi="Times New Roman" w:cs="Times New Roman"/>
          <w:b/>
          <w:bCs/>
          <w:sz w:val="28"/>
          <w:szCs w:val="28"/>
        </w:rPr>
        <w:t>Se declara acuerdo firme</w:t>
      </w:r>
      <w:r w:rsidRPr="00AE1B2B" w:rsidR="000458B6">
        <w:rPr>
          <w:rFonts w:ascii="Times New Roman" w:hAnsi="Times New Roman" w:cs="Times New Roman"/>
          <w:sz w:val="28"/>
          <w:szCs w:val="28"/>
        </w:rPr>
        <w:t>.</w:t>
      </w:r>
    </w:p>
    <w:p w:rsidRPr="00AE1B2B" w:rsidR="00825416" w:rsidP="00163B94" w:rsidRDefault="00825416" w14:paraId="072BE29B" w14:textId="77777777">
      <w:pPr>
        <w:spacing w:before="120" w:after="120" w:line="480" w:lineRule="auto"/>
        <w:ind w:firstLine="709"/>
        <w:jc w:val="both"/>
        <w:rPr>
          <w:rFonts w:ascii="Times New Roman" w:hAnsi="Times New Roman" w:cs="Times New Roman"/>
          <w:sz w:val="28"/>
          <w:szCs w:val="28"/>
        </w:rPr>
      </w:pPr>
    </w:p>
    <w:p w:rsidRPr="00AE1B2B" w:rsidR="009D3FB5" w:rsidP="00163B94" w:rsidRDefault="009D3FB5" w14:paraId="7BB20F6A" w14:textId="1AA49053">
      <w:pPr>
        <w:pStyle w:val="Ttulo1"/>
        <w:spacing w:before="120" w:after="120"/>
        <w:jc w:val="center"/>
        <w:rPr>
          <w:rFonts w:ascii="Times New Roman" w:hAnsi="Times New Roman" w:cs="Times New Roman"/>
          <w:b/>
          <w:bCs/>
        </w:rPr>
      </w:pPr>
      <w:r w:rsidRPr="00AE1B2B">
        <w:rPr>
          <w:rFonts w:ascii="Times New Roman" w:hAnsi="Times New Roman" w:eastAsia="Times New Roman" w:cs="Times New Roman"/>
          <w:b/>
          <w:bCs/>
          <w:kern w:val="36"/>
          <w:sz w:val="32"/>
          <w:szCs w:val="32"/>
          <w:u w:val="single"/>
        </w:rPr>
        <w:t>ARTÍCULO XIX</w:t>
      </w:r>
      <w:bookmarkStart w:name="_Hlk64888237" w:id="37"/>
      <w:bookmarkEnd w:id="37"/>
    </w:p>
    <w:p w:rsidRPr="00AE1B2B" w:rsidR="00580F94" w:rsidP="00163B94" w:rsidRDefault="00580F94" w14:paraId="3CC04293" w14:textId="6EF560C5">
      <w:pPr>
        <w:spacing w:before="120" w:after="120"/>
        <w:rPr>
          <w:rFonts w:ascii="Times New Roman" w:hAnsi="Times New Roman" w:cs="Times New Roman"/>
          <w:b/>
          <w:bCs/>
          <w:sz w:val="28"/>
          <w:szCs w:val="28"/>
        </w:rPr>
      </w:pPr>
      <w:r w:rsidRPr="00AE1B2B">
        <w:rPr>
          <w:rFonts w:ascii="Times New Roman" w:hAnsi="Times New Roman" w:cs="Times New Roman"/>
          <w:b/>
          <w:bCs/>
          <w:sz w:val="28"/>
          <w:szCs w:val="28"/>
        </w:rPr>
        <w:t xml:space="preserve">Documento </w:t>
      </w:r>
      <w:r w:rsidRPr="00AE1B2B" w:rsidR="000458B6">
        <w:rPr>
          <w:rFonts w:ascii="Times New Roman" w:hAnsi="Times New Roman" w:cs="Times New Roman"/>
          <w:b/>
          <w:bCs/>
          <w:sz w:val="28"/>
          <w:szCs w:val="28"/>
        </w:rPr>
        <w:t xml:space="preserve">N° </w:t>
      </w:r>
      <w:r w:rsidRPr="00AE1B2B" w:rsidR="00513005">
        <w:rPr>
          <w:rFonts w:ascii="Times New Roman" w:hAnsi="Times New Roman" w:cs="Times New Roman"/>
          <w:b/>
          <w:bCs/>
          <w:sz w:val="28"/>
          <w:szCs w:val="28"/>
        </w:rPr>
        <w:t>3968-2021</w:t>
      </w:r>
    </w:p>
    <w:p w:rsidRPr="00AE1B2B" w:rsidR="00580F94" w:rsidP="00163B94" w:rsidRDefault="00580F94" w14:paraId="27E63FB8" w14:textId="77777777">
      <w:pPr>
        <w:spacing w:before="120" w:after="120" w:line="276" w:lineRule="auto"/>
        <w:ind w:firstLine="708"/>
        <w:jc w:val="both"/>
        <w:rPr>
          <w:rFonts w:ascii="Times New Roman" w:hAnsi="Times New Roman" w:cs="Times New Roman"/>
          <w:b/>
          <w:sz w:val="28"/>
          <w:szCs w:val="28"/>
        </w:rPr>
      </w:pPr>
    </w:p>
    <w:p w:rsidRPr="00AE1B2B" w:rsidR="009D3FB5" w:rsidP="00163B94" w:rsidRDefault="009D3FB5" w14:paraId="79064F90" w14:textId="73024546">
      <w:pPr>
        <w:spacing w:before="120" w:after="120" w:line="480" w:lineRule="auto"/>
        <w:ind w:firstLine="709"/>
        <w:jc w:val="both"/>
        <w:rPr>
          <w:rFonts w:ascii="Times New Roman" w:hAnsi="Times New Roman" w:cs="Times New Roman"/>
          <w:sz w:val="28"/>
          <w:szCs w:val="28"/>
        </w:rPr>
      </w:pPr>
      <w:r w:rsidRPr="00AE1B2B">
        <w:rPr>
          <w:rFonts w:ascii="Times New Roman" w:hAnsi="Times New Roman" w:cs="Times New Roman"/>
          <w:sz w:val="28"/>
          <w:szCs w:val="28"/>
        </w:rPr>
        <w:t>En reunión de trabajo de este 16 de abril, la licenciada Nacira Valverde Bermúdez,</w:t>
      </w:r>
      <w:r w:rsidRPr="00AE1B2B">
        <w:rPr>
          <w:rFonts w:ascii="Times New Roman" w:hAnsi="Times New Roman" w:cs="Times New Roman"/>
          <w:sz w:val="28"/>
          <w:szCs w:val="28"/>
          <w:shd w:val="clear" w:color="auto" w:fill="FFFFFF"/>
        </w:rPr>
        <w:t xml:space="preserve"> </w:t>
      </w:r>
      <w:r w:rsidRPr="00AE1B2B">
        <w:rPr>
          <w:rFonts w:ascii="Times New Roman" w:hAnsi="Times New Roman" w:cs="Times New Roman"/>
          <w:sz w:val="28"/>
          <w:szCs w:val="28"/>
        </w:rPr>
        <w:t xml:space="preserve">Directora de Planificación presentó el Informe 383-PLA-RH-MI-2021, estudio de Requerimiento Humano sobre el </w:t>
      </w:r>
      <w:r w:rsidRPr="00AE1B2B">
        <w:rPr>
          <w:rFonts w:ascii="Times New Roman" w:hAnsi="Times New Roman" w:eastAsia="Arial" w:cs="Times New Roman"/>
          <w:sz w:val="28"/>
          <w:szCs w:val="28"/>
        </w:rPr>
        <w:t>Impacto organizacional y presupuestario en el Poder Judicial, (Defensa Pública) a partir de la promulgación de la Ley 9593 de Acceso a la Justicia de los Pueblos Indígenas</w:t>
      </w:r>
      <w:r w:rsidRPr="00AE1B2B">
        <w:rPr>
          <w:rFonts w:ascii="Times New Roman" w:hAnsi="Times New Roman" w:cs="Times New Roman"/>
          <w:sz w:val="28"/>
          <w:szCs w:val="28"/>
        </w:rPr>
        <w:t>.</w:t>
      </w:r>
    </w:p>
    <w:p w:rsidRPr="00AE1B2B" w:rsidR="009D3FB5" w:rsidP="00163B94" w:rsidRDefault="009D3FB5" w14:paraId="2C60F999" w14:textId="272935D0">
      <w:pPr>
        <w:spacing w:before="120" w:after="120"/>
        <w:rPr>
          <w:rFonts w:ascii="Times New Roman" w:hAnsi="Times New Roman" w:cs="Times New Roman"/>
        </w:rPr>
      </w:pPr>
    </w:p>
    <w:tbl>
      <w:tblPr>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1349"/>
        <w:gridCol w:w="3904"/>
        <w:gridCol w:w="3575"/>
      </w:tblGrid>
      <w:tr w:rsidRPr="00AE1B2B" w:rsidR="00AE1B2B" w:rsidTr="00825416" w14:paraId="1D555ACD" w14:textId="77777777">
        <w:trPr>
          <w:trHeight w:val="332"/>
          <w:jc w:val="center"/>
        </w:trPr>
        <w:tc>
          <w:tcPr>
            <w:tcW w:w="764" w:type="pct"/>
            <w:tcBorders>
              <w:top w:val="single" w:color="FFFFFF" w:sz="4" w:space="0"/>
              <w:left w:val="single" w:color="FFFFFF" w:sz="4" w:space="0"/>
            </w:tcBorders>
            <w:vAlign w:val="center"/>
          </w:tcPr>
          <w:p w:rsidRPr="00AE1B2B" w:rsidR="009D3FB5" w:rsidP="00163B94" w:rsidRDefault="009D3FB5" w14:paraId="1F54251F" w14:textId="77777777">
            <w:pPr>
              <w:spacing w:before="120" w:after="120"/>
              <w:jc w:val="center"/>
              <w:rPr>
                <w:rFonts w:ascii="Times New Roman" w:hAnsi="Times New Roman" w:eastAsia="Arial" w:cs="Times New Roman"/>
                <w:b/>
                <w:bCs/>
              </w:rPr>
            </w:pPr>
          </w:p>
        </w:tc>
        <w:tc>
          <w:tcPr>
            <w:tcW w:w="2211" w:type="pct"/>
            <w:shd w:val="clear" w:color="auto" w:fill="1F497D"/>
            <w:vAlign w:val="center"/>
          </w:tcPr>
          <w:p w:rsidRPr="00AE1B2B" w:rsidR="009D3FB5" w:rsidP="00163B94" w:rsidRDefault="009D3FB5" w14:paraId="7A20D520" w14:textId="77777777">
            <w:pPr>
              <w:spacing w:before="120" w:after="120"/>
              <w:jc w:val="center"/>
              <w:rPr>
                <w:rFonts w:ascii="Times New Roman" w:hAnsi="Times New Roman" w:eastAsia="Arial" w:cs="Times New Roman"/>
                <w:b/>
                <w:bCs/>
              </w:rPr>
            </w:pPr>
            <w:r w:rsidRPr="00AE1B2B">
              <w:rPr>
                <w:rFonts w:ascii="Times New Roman" w:hAnsi="Times New Roman" w:eastAsia="Arial" w:cs="Times New Roman"/>
                <w:b/>
                <w:bCs/>
              </w:rPr>
              <w:t>NOMBRE</w:t>
            </w:r>
          </w:p>
        </w:tc>
        <w:tc>
          <w:tcPr>
            <w:tcW w:w="2025" w:type="pct"/>
            <w:shd w:val="clear" w:color="auto" w:fill="1F497D"/>
            <w:vAlign w:val="center"/>
          </w:tcPr>
          <w:p w:rsidRPr="00AE1B2B" w:rsidR="009D3FB5" w:rsidP="00163B94" w:rsidRDefault="009D3FB5" w14:paraId="589D15AC" w14:textId="77777777">
            <w:pPr>
              <w:spacing w:before="120" w:after="120"/>
              <w:jc w:val="center"/>
              <w:rPr>
                <w:rFonts w:ascii="Times New Roman" w:hAnsi="Times New Roman" w:eastAsia="Arial" w:cs="Times New Roman"/>
                <w:b/>
                <w:bCs/>
              </w:rPr>
            </w:pPr>
            <w:r w:rsidRPr="00AE1B2B">
              <w:rPr>
                <w:rFonts w:ascii="Times New Roman" w:hAnsi="Times New Roman" w:eastAsia="Arial" w:cs="Times New Roman"/>
                <w:b/>
                <w:bCs/>
              </w:rPr>
              <w:t>Puesto</w:t>
            </w:r>
          </w:p>
        </w:tc>
      </w:tr>
      <w:tr w:rsidRPr="00AE1B2B" w:rsidR="00AE1B2B" w:rsidTr="00825416" w14:paraId="49B7F1CA" w14:textId="77777777">
        <w:trPr>
          <w:trHeight w:val="632"/>
          <w:jc w:val="center"/>
        </w:trPr>
        <w:tc>
          <w:tcPr>
            <w:tcW w:w="764" w:type="pct"/>
            <w:shd w:val="clear" w:color="auto" w:fill="F2F2F2"/>
            <w:vAlign w:val="center"/>
          </w:tcPr>
          <w:p w:rsidRPr="00AE1B2B" w:rsidR="009D3FB5" w:rsidP="00163B94" w:rsidRDefault="009D3FB5" w14:paraId="6E8932DA" w14:textId="77777777">
            <w:pPr>
              <w:spacing w:before="120" w:after="120"/>
              <w:jc w:val="center"/>
              <w:rPr>
                <w:rFonts w:ascii="Times New Roman" w:hAnsi="Times New Roman" w:eastAsia="Arial" w:cs="Times New Roman"/>
                <w:b/>
                <w:bCs/>
                <w:lang w:eastAsia="es-CR"/>
              </w:rPr>
            </w:pPr>
            <w:r w:rsidRPr="00AE1B2B">
              <w:rPr>
                <w:rFonts w:ascii="Times New Roman" w:hAnsi="Times New Roman" w:eastAsia="Arial" w:cs="Times New Roman"/>
                <w:b/>
                <w:bCs/>
                <w:lang w:eastAsia="es-CR"/>
              </w:rPr>
              <w:t>Revisado por:</w:t>
            </w:r>
          </w:p>
        </w:tc>
        <w:tc>
          <w:tcPr>
            <w:tcW w:w="2211" w:type="pct"/>
            <w:vAlign w:val="center"/>
          </w:tcPr>
          <w:p w:rsidRPr="00AE1B2B" w:rsidR="009D3FB5" w:rsidP="00163B94" w:rsidRDefault="009D3FB5" w14:paraId="2070C0DF" w14:textId="77777777">
            <w:pPr>
              <w:spacing w:before="120" w:after="120"/>
              <w:jc w:val="center"/>
              <w:rPr>
                <w:rFonts w:ascii="Times New Roman" w:hAnsi="Times New Roman" w:eastAsia="Arial" w:cs="Times New Roman"/>
                <w:lang w:eastAsia="es-CR"/>
              </w:rPr>
            </w:pPr>
            <w:r w:rsidRPr="00AE1B2B">
              <w:rPr>
                <w:rFonts w:ascii="Times New Roman" w:hAnsi="Times New Roman" w:eastAsia="Arial" w:cs="Times New Roman"/>
                <w:lang w:eastAsia="es-CR"/>
              </w:rPr>
              <w:t>Ing. Jorge Fernando Rodríguez Salazar</w:t>
            </w:r>
          </w:p>
        </w:tc>
        <w:tc>
          <w:tcPr>
            <w:tcW w:w="2025" w:type="pct"/>
            <w:vAlign w:val="center"/>
          </w:tcPr>
          <w:p w:rsidRPr="00AE1B2B" w:rsidR="009D3FB5" w:rsidP="00163B94" w:rsidRDefault="009D3FB5" w14:paraId="20A3DF3D" w14:textId="77777777">
            <w:pPr>
              <w:spacing w:before="120" w:after="120"/>
              <w:jc w:val="center"/>
              <w:rPr>
                <w:rFonts w:ascii="Times New Roman" w:hAnsi="Times New Roman" w:eastAsia="Arial" w:cs="Times New Roman"/>
                <w:highlight w:val="lightGray"/>
                <w:lang w:eastAsia="es-CR"/>
              </w:rPr>
            </w:pPr>
            <w:r w:rsidRPr="00AE1B2B">
              <w:rPr>
                <w:rFonts w:ascii="Times New Roman" w:hAnsi="Times New Roman" w:eastAsia="Arial" w:cs="Times New Roman"/>
                <w:lang w:eastAsia="es-CR"/>
              </w:rPr>
              <w:t>Jefe a.i. del Subproceso Modernización Institucional</w:t>
            </w:r>
          </w:p>
        </w:tc>
      </w:tr>
      <w:tr w:rsidRPr="00AE1B2B" w:rsidR="00AE1B2B" w:rsidTr="00825416" w14:paraId="366957CB" w14:textId="77777777">
        <w:trPr>
          <w:trHeight w:val="488"/>
          <w:jc w:val="center"/>
        </w:trPr>
        <w:tc>
          <w:tcPr>
            <w:tcW w:w="764" w:type="pct"/>
            <w:shd w:val="clear" w:color="auto" w:fill="F2F2F2"/>
            <w:vAlign w:val="center"/>
          </w:tcPr>
          <w:p w:rsidRPr="00AE1B2B" w:rsidR="009D3FB5" w:rsidP="00163B94" w:rsidRDefault="009D3FB5" w14:paraId="30C3A8ED" w14:textId="77777777">
            <w:pPr>
              <w:spacing w:before="120" w:after="120"/>
              <w:jc w:val="center"/>
              <w:rPr>
                <w:rFonts w:ascii="Times New Roman" w:hAnsi="Times New Roman" w:eastAsia="Arial" w:cs="Times New Roman"/>
                <w:b/>
                <w:bCs/>
                <w:lang w:eastAsia="es-CR"/>
              </w:rPr>
            </w:pPr>
            <w:r w:rsidRPr="00AE1B2B">
              <w:rPr>
                <w:rFonts w:ascii="Times New Roman" w:hAnsi="Times New Roman" w:eastAsia="Arial" w:cs="Times New Roman"/>
                <w:b/>
                <w:bCs/>
                <w:lang w:eastAsia="es-CR"/>
              </w:rPr>
              <w:t>Aprobado por:</w:t>
            </w:r>
          </w:p>
        </w:tc>
        <w:tc>
          <w:tcPr>
            <w:tcW w:w="2211" w:type="pct"/>
            <w:vAlign w:val="center"/>
          </w:tcPr>
          <w:p w:rsidRPr="00AE1B2B" w:rsidR="009D3FB5" w:rsidP="00163B94" w:rsidRDefault="009D3FB5" w14:paraId="5D345E11" w14:textId="77777777">
            <w:pPr>
              <w:spacing w:before="120" w:after="120"/>
              <w:jc w:val="center"/>
              <w:rPr>
                <w:rFonts w:ascii="Times New Roman" w:hAnsi="Times New Roman" w:eastAsia="Arial" w:cs="Times New Roman"/>
                <w:lang w:eastAsia="es-CR"/>
              </w:rPr>
            </w:pPr>
            <w:r w:rsidRPr="00AE1B2B">
              <w:rPr>
                <w:rFonts w:ascii="Times New Roman" w:hAnsi="Times New Roman" w:eastAsia="Arial" w:cs="Times New Roman"/>
                <w:lang w:eastAsia="es-CR"/>
              </w:rPr>
              <w:t>Ing. Dixon Li Morales</w:t>
            </w:r>
          </w:p>
        </w:tc>
        <w:tc>
          <w:tcPr>
            <w:tcW w:w="2025" w:type="pct"/>
            <w:vAlign w:val="center"/>
          </w:tcPr>
          <w:p w:rsidRPr="00AE1B2B" w:rsidR="009D3FB5" w:rsidP="00163B94" w:rsidRDefault="009D3FB5" w14:paraId="3D09A770" w14:textId="77777777">
            <w:pPr>
              <w:spacing w:before="120" w:after="120"/>
              <w:jc w:val="center"/>
              <w:rPr>
                <w:rFonts w:ascii="Times New Roman" w:hAnsi="Times New Roman" w:eastAsia="Arial" w:cs="Times New Roman"/>
                <w:lang w:eastAsia="es-CR"/>
              </w:rPr>
            </w:pPr>
            <w:r w:rsidRPr="00AE1B2B">
              <w:rPr>
                <w:rFonts w:ascii="Times New Roman" w:hAnsi="Times New Roman" w:eastAsia="Arial" w:cs="Times New Roman"/>
                <w:lang w:eastAsia="es-CR"/>
              </w:rPr>
              <w:t>Jefe a.i. del Proceso de Ejecución de las Operaciones</w:t>
            </w:r>
          </w:p>
        </w:tc>
      </w:tr>
      <w:tr w:rsidRPr="00AE1B2B" w:rsidR="00AE1B2B" w:rsidTr="00825416" w14:paraId="12F14379" w14:textId="77777777">
        <w:trPr>
          <w:trHeight w:val="488"/>
          <w:jc w:val="center"/>
        </w:trPr>
        <w:tc>
          <w:tcPr>
            <w:tcW w:w="764" w:type="pct"/>
            <w:shd w:val="clear" w:color="auto" w:fill="F2F2F2"/>
            <w:vAlign w:val="center"/>
          </w:tcPr>
          <w:p w:rsidRPr="00AE1B2B" w:rsidR="009D3FB5" w:rsidP="00163B94" w:rsidRDefault="009D3FB5" w14:paraId="0259D400" w14:textId="77777777">
            <w:pPr>
              <w:spacing w:before="120" w:after="120"/>
              <w:jc w:val="center"/>
              <w:rPr>
                <w:rFonts w:ascii="Times New Roman" w:hAnsi="Times New Roman" w:eastAsia="Arial" w:cs="Times New Roman"/>
                <w:b/>
                <w:bCs/>
                <w:lang w:eastAsia="es-CR"/>
              </w:rPr>
            </w:pPr>
            <w:r w:rsidRPr="00AE1B2B">
              <w:rPr>
                <w:rFonts w:ascii="Times New Roman" w:hAnsi="Times New Roman" w:eastAsia="Arial" w:cs="Times New Roman"/>
                <w:b/>
                <w:bCs/>
                <w:lang w:eastAsia="es-CR"/>
              </w:rPr>
              <w:t>Autorizado por:</w:t>
            </w:r>
          </w:p>
        </w:tc>
        <w:tc>
          <w:tcPr>
            <w:tcW w:w="2211" w:type="pct"/>
            <w:vAlign w:val="center"/>
          </w:tcPr>
          <w:p w:rsidRPr="00AE1B2B" w:rsidR="009D3FB5" w:rsidP="00163B94" w:rsidRDefault="009D3FB5" w14:paraId="4B26C1E4" w14:textId="77777777">
            <w:pPr>
              <w:spacing w:before="120" w:after="120"/>
              <w:jc w:val="center"/>
              <w:rPr>
                <w:rFonts w:ascii="Times New Roman" w:hAnsi="Times New Roman" w:eastAsia="Arial" w:cs="Times New Roman"/>
                <w:lang w:eastAsia="es-CR"/>
              </w:rPr>
            </w:pPr>
            <w:r w:rsidRPr="00AE1B2B">
              <w:rPr>
                <w:rFonts w:ascii="Times New Roman" w:hAnsi="Times New Roman" w:eastAsia="Arial" w:cs="Times New Roman"/>
                <w:lang w:eastAsia="es-CR"/>
              </w:rPr>
              <w:t>Lic. Nacira Valverde Bermúdez</w:t>
            </w:r>
          </w:p>
        </w:tc>
        <w:tc>
          <w:tcPr>
            <w:tcW w:w="2025" w:type="pct"/>
            <w:vAlign w:val="center"/>
          </w:tcPr>
          <w:p w:rsidRPr="00AE1B2B" w:rsidR="009D3FB5" w:rsidP="00163B94" w:rsidRDefault="009D3FB5" w14:paraId="28E92305" w14:textId="77777777">
            <w:pPr>
              <w:spacing w:before="120" w:after="120"/>
              <w:jc w:val="center"/>
              <w:rPr>
                <w:rFonts w:ascii="Times New Roman" w:hAnsi="Times New Roman" w:eastAsia="Arial" w:cs="Times New Roman"/>
                <w:highlight w:val="lightGray"/>
                <w:lang w:eastAsia="es-CR"/>
              </w:rPr>
            </w:pPr>
            <w:r w:rsidRPr="00AE1B2B">
              <w:rPr>
                <w:rFonts w:ascii="Times New Roman" w:hAnsi="Times New Roman" w:eastAsia="Arial" w:cs="Times New Roman"/>
                <w:lang w:eastAsia="es-CR"/>
              </w:rPr>
              <w:t>Directora de Planificación</w:t>
            </w:r>
          </w:p>
        </w:tc>
      </w:tr>
    </w:tbl>
    <w:p w:rsidRPr="00AE1B2B" w:rsidR="00825416" w:rsidP="00163B94" w:rsidRDefault="00825416" w14:paraId="2E523C64" w14:textId="77777777">
      <w:pPr>
        <w:spacing w:before="120" w:after="120"/>
        <w:rPr>
          <w:rFonts w:ascii="Times New Roman" w:hAnsi="Times New Roman" w:eastAsia="Arial" w:cs="Times New Roman"/>
          <w:sz w:val="32"/>
          <w:szCs w:val="32"/>
        </w:rPr>
      </w:pPr>
    </w:p>
    <w:p w:rsidRPr="00AE1B2B" w:rsidR="009D3FB5" w:rsidP="00163B94" w:rsidRDefault="009D3FB5" w14:paraId="02C81C07" w14:textId="11D4DDEB">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cs="Times New Roman"/>
          <w:b/>
          <w:bCs/>
          <w:sz w:val="26"/>
          <w:szCs w:val="26"/>
        </w:rPr>
        <w:t>Oficios y referencias</w:t>
      </w:r>
    </w:p>
    <w:p w:rsidRPr="00AE1B2B" w:rsidR="009D3FB5" w:rsidP="00163B94" w:rsidRDefault="009D3FB5" w14:paraId="51E7EB32" w14:textId="0381CDD5">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En el siguiente cuadro se detalla los números de oficios de la Secretaría General de la Corte y, las referencias internas de la Dirección de Planificación que corresponden:</w:t>
      </w:r>
    </w:p>
    <w:p w:rsidRPr="00AE1B2B" w:rsidR="00825416" w:rsidP="00163B94" w:rsidRDefault="00825416" w14:paraId="25C206D9" w14:textId="77777777">
      <w:pPr>
        <w:spacing w:before="120" w:after="120"/>
        <w:ind w:left="851" w:right="851" w:firstLine="709"/>
        <w:jc w:val="both"/>
        <w:rPr>
          <w:rFonts w:ascii="Times New Roman" w:hAnsi="Times New Roman" w:cs="Times New Roman"/>
          <w:sz w:val="26"/>
          <w:szCs w:val="26"/>
        </w:rPr>
      </w:pP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799"/>
        <w:gridCol w:w="1699"/>
        <w:gridCol w:w="5330"/>
      </w:tblGrid>
      <w:tr w:rsidRPr="00AE1B2B" w:rsidR="00AE1B2B" w:rsidTr="00825416" w14:paraId="3F49BD28" w14:textId="77777777">
        <w:trPr>
          <w:trHeight w:val="637"/>
          <w:jc w:val="center"/>
        </w:trPr>
        <w:tc>
          <w:tcPr>
            <w:tcW w:w="1019" w:type="pct"/>
            <w:shd w:val="clear" w:color="auto" w:fill="1F4E79" w:themeFill="accent1" w:themeFillShade="80"/>
            <w:vAlign w:val="center"/>
          </w:tcPr>
          <w:p w:rsidRPr="00AE1B2B" w:rsidR="009D3FB5" w:rsidP="00163B94" w:rsidRDefault="009D3FB5" w14:paraId="4936AEEA" w14:textId="77777777">
            <w:pPr>
              <w:spacing w:before="120" w:after="120"/>
              <w:jc w:val="center"/>
              <w:rPr>
                <w:rFonts w:ascii="Times New Roman" w:hAnsi="Times New Roman" w:eastAsia="Times New Roman" w:cs="Times New Roman"/>
                <w:b/>
                <w:szCs w:val="20"/>
                <w:lang w:eastAsia="es-CR"/>
              </w:rPr>
            </w:pPr>
            <w:r w:rsidRPr="00AE1B2B">
              <w:rPr>
                <w:rFonts w:ascii="Times New Roman" w:hAnsi="Times New Roman" w:eastAsia="Times New Roman" w:cs="Times New Roman"/>
                <w:b/>
                <w:szCs w:val="20"/>
                <w:lang w:eastAsia="es-CR"/>
              </w:rPr>
              <w:t>No. Referencia Interna</w:t>
            </w:r>
          </w:p>
        </w:tc>
        <w:tc>
          <w:tcPr>
            <w:tcW w:w="962" w:type="pct"/>
            <w:shd w:val="clear" w:color="auto" w:fill="1F4E79" w:themeFill="accent1" w:themeFillShade="80"/>
            <w:vAlign w:val="center"/>
          </w:tcPr>
          <w:p w:rsidRPr="00AE1B2B" w:rsidR="009D3FB5" w:rsidP="00163B94" w:rsidRDefault="009D3FB5" w14:paraId="51E11801" w14:textId="77777777">
            <w:pPr>
              <w:spacing w:before="120" w:after="120"/>
              <w:jc w:val="center"/>
              <w:rPr>
                <w:rFonts w:ascii="Times New Roman" w:hAnsi="Times New Roman" w:eastAsia="Times New Roman" w:cs="Times New Roman"/>
                <w:b/>
                <w:szCs w:val="20"/>
                <w:lang w:eastAsia="es-CR"/>
              </w:rPr>
            </w:pPr>
            <w:r w:rsidRPr="00AE1B2B">
              <w:rPr>
                <w:rFonts w:ascii="Times New Roman" w:hAnsi="Times New Roman" w:eastAsia="Times New Roman" w:cs="Times New Roman"/>
                <w:b/>
                <w:szCs w:val="20"/>
                <w:lang w:eastAsia="es-CR"/>
              </w:rPr>
              <w:t>No. Oficio de la Secretaría</w:t>
            </w:r>
          </w:p>
        </w:tc>
        <w:tc>
          <w:tcPr>
            <w:tcW w:w="3019" w:type="pct"/>
            <w:shd w:val="clear" w:color="auto" w:fill="1F4E79" w:themeFill="accent1" w:themeFillShade="80"/>
            <w:vAlign w:val="center"/>
          </w:tcPr>
          <w:p w:rsidRPr="00AE1B2B" w:rsidR="009D3FB5" w:rsidP="00163B94" w:rsidRDefault="009D3FB5" w14:paraId="4362C5C4" w14:textId="77777777">
            <w:pPr>
              <w:spacing w:before="120" w:after="120"/>
              <w:jc w:val="center"/>
              <w:rPr>
                <w:rFonts w:ascii="Times New Roman" w:hAnsi="Times New Roman" w:eastAsia="Times New Roman" w:cs="Times New Roman"/>
                <w:b/>
                <w:szCs w:val="20"/>
                <w:lang w:eastAsia="es-CR"/>
              </w:rPr>
            </w:pPr>
            <w:r w:rsidRPr="00AE1B2B">
              <w:rPr>
                <w:rFonts w:ascii="Times New Roman" w:hAnsi="Times New Roman" w:eastAsia="Times New Roman" w:cs="Times New Roman"/>
                <w:b/>
                <w:szCs w:val="20"/>
                <w:lang w:eastAsia="es-CR"/>
              </w:rPr>
              <w:t>Oficios Relacionados</w:t>
            </w:r>
          </w:p>
        </w:tc>
      </w:tr>
      <w:tr w:rsidRPr="00AE1B2B" w:rsidR="00AE1B2B" w:rsidTr="00825416" w14:paraId="56ABFB36" w14:textId="77777777">
        <w:trPr>
          <w:trHeight w:val="420"/>
          <w:jc w:val="center"/>
        </w:trPr>
        <w:tc>
          <w:tcPr>
            <w:tcW w:w="1019" w:type="pct"/>
            <w:shd w:val="clear" w:color="auto" w:fill="auto"/>
            <w:vAlign w:val="center"/>
          </w:tcPr>
          <w:p w:rsidRPr="00AE1B2B" w:rsidR="009D3FB5" w:rsidP="00163B94" w:rsidRDefault="009D3FB5" w14:paraId="0AEA6FEA" w14:textId="77777777">
            <w:pPr>
              <w:spacing w:before="120" w:after="120"/>
              <w:jc w:val="center"/>
              <w:rPr>
                <w:rFonts w:ascii="Times New Roman" w:hAnsi="Times New Roman" w:eastAsia="Times New Roman" w:cs="Times New Roman"/>
                <w:szCs w:val="20"/>
                <w:lang w:eastAsia="es-CR"/>
              </w:rPr>
            </w:pPr>
            <w:bookmarkStart w:name="_Hlk68613544" w:id="38"/>
            <w:r w:rsidRPr="00AE1B2B">
              <w:rPr>
                <w:rFonts w:ascii="Times New Roman" w:hAnsi="Times New Roman" w:eastAsia="Times New Roman" w:cs="Times New Roman"/>
                <w:szCs w:val="20"/>
                <w:lang w:eastAsia="es-CR"/>
              </w:rPr>
              <w:t>1610-18</w:t>
            </w:r>
          </w:p>
        </w:tc>
        <w:tc>
          <w:tcPr>
            <w:tcW w:w="962" w:type="pct"/>
            <w:shd w:val="clear" w:color="auto" w:fill="auto"/>
            <w:vAlign w:val="center"/>
          </w:tcPr>
          <w:p w:rsidRPr="00AE1B2B" w:rsidR="009D3FB5" w:rsidP="00163B94" w:rsidRDefault="009D3FB5" w14:paraId="5ED42951"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10473-18</w:t>
            </w:r>
          </w:p>
        </w:tc>
        <w:tc>
          <w:tcPr>
            <w:tcW w:w="3019" w:type="pct"/>
            <w:vAlign w:val="center"/>
          </w:tcPr>
          <w:p w:rsidRPr="00AE1B2B" w:rsidR="009D3FB5" w:rsidP="00163B94" w:rsidRDefault="009D3FB5" w14:paraId="0C41E2F1"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w:t>
            </w:r>
          </w:p>
        </w:tc>
      </w:tr>
      <w:tr w:rsidRPr="00AE1B2B" w:rsidR="00AE1B2B" w:rsidTr="00825416" w14:paraId="3254B81E" w14:textId="77777777">
        <w:trPr>
          <w:trHeight w:val="420"/>
          <w:jc w:val="center"/>
        </w:trPr>
        <w:tc>
          <w:tcPr>
            <w:tcW w:w="1019" w:type="pct"/>
            <w:shd w:val="clear" w:color="auto" w:fill="auto"/>
            <w:vAlign w:val="center"/>
          </w:tcPr>
          <w:p w:rsidRPr="00AE1B2B" w:rsidR="009D3FB5" w:rsidP="00163B94" w:rsidRDefault="009D3FB5" w14:paraId="1ED12148"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1692-18</w:t>
            </w:r>
          </w:p>
        </w:tc>
        <w:tc>
          <w:tcPr>
            <w:tcW w:w="962" w:type="pct"/>
            <w:shd w:val="clear" w:color="auto" w:fill="auto"/>
            <w:vAlign w:val="center"/>
          </w:tcPr>
          <w:p w:rsidRPr="00AE1B2B" w:rsidR="009D3FB5" w:rsidP="00163B94" w:rsidRDefault="009D3FB5" w14:paraId="57F698C1"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10880-18</w:t>
            </w:r>
          </w:p>
        </w:tc>
        <w:tc>
          <w:tcPr>
            <w:tcW w:w="3019" w:type="pct"/>
            <w:vAlign w:val="center"/>
          </w:tcPr>
          <w:p w:rsidRPr="00AE1B2B" w:rsidR="009D3FB5" w:rsidP="00163B94" w:rsidRDefault="009D3FB5" w14:paraId="2A4EF689"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w:t>
            </w:r>
          </w:p>
        </w:tc>
      </w:tr>
      <w:tr w:rsidRPr="00AE1B2B" w:rsidR="00AE1B2B" w:rsidTr="00825416" w14:paraId="1B4B4008" w14:textId="77777777">
        <w:trPr>
          <w:trHeight w:val="442"/>
          <w:jc w:val="center"/>
        </w:trPr>
        <w:tc>
          <w:tcPr>
            <w:tcW w:w="1019" w:type="pct"/>
            <w:shd w:val="clear" w:color="auto" w:fill="auto"/>
            <w:vAlign w:val="center"/>
          </w:tcPr>
          <w:p w:rsidRPr="00AE1B2B" w:rsidR="009D3FB5" w:rsidP="00163B94" w:rsidRDefault="009D3FB5" w14:paraId="77282246"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1859-18</w:t>
            </w:r>
          </w:p>
        </w:tc>
        <w:tc>
          <w:tcPr>
            <w:tcW w:w="962" w:type="pct"/>
            <w:shd w:val="clear" w:color="auto" w:fill="auto"/>
            <w:vAlign w:val="center"/>
          </w:tcPr>
          <w:p w:rsidRPr="00AE1B2B" w:rsidR="009D3FB5" w:rsidP="00163B94" w:rsidRDefault="009D3FB5" w14:paraId="59B7CD4A"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w:t>
            </w:r>
          </w:p>
        </w:tc>
        <w:tc>
          <w:tcPr>
            <w:tcW w:w="3019" w:type="pct"/>
            <w:vAlign w:val="center"/>
          </w:tcPr>
          <w:p w:rsidRPr="00AE1B2B" w:rsidR="009D3FB5" w:rsidP="00163B94" w:rsidRDefault="009D3FB5" w14:paraId="7B4B8571"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Correo del 13-nov-18 de la Dirección de la Defensa Pública, sobre cantidad de usuarios indígenas.</w:t>
            </w:r>
          </w:p>
        </w:tc>
      </w:tr>
      <w:tr w:rsidRPr="00AE1B2B" w:rsidR="00AE1B2B" w:rsidTr="00825416" w14:paraId="5C5B64A8" w14:textId="77777777">
        <w:trPr>
          <w:trHeight w:val="420"/>
          <w:jc w:val="center"/>
        </w:trPr>
        <w:tc>
          <w:tcPr>
            <w:tcW w:w="1019" w:type="pct"/>
            <w:shd w:val="clear" w:color="auto" w:fill="auto"/>
            <w:vAlign w:val="center"/>
          </w:tcPr>
          <w:p w:rsidRPr="00AE1B2B" w:rsidR="009D3FB5" w:rsidP="00163B94" w:rsidRDefault="009D3FB5" w14:paraId="30E42FAD"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150-19</w:t>
            </w:r>
          </w:p>
        </w:tc>
        <w:tc>
          <w:tcPr>
            <w:tcW w:w="962" w:type="pct"/>
            <w:shd w:val="clear" w:color="auto" w:fill="auto"/>
            <w:vAlign w:val="center"/>
          </w:tcPr>
          <w:p w:rsidRPr="00AE1B2B" w:rsidR="009D3FB5" w:rsidP="00163B94" w:rsidRDefault="009D3FB5" w14:paraId="3D05BF3D"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951-19</w:t>
            </w:r>
          </w:p>
        </w:tc>
        <w:tc>
          <w:tcPr>
            <w:tcW w:w="3019" w:type="pct"/>
            <w:vAlign w:val="center"/>
          </w:tcPr>
          <w:p w:rsidRPr="00AE1B2B" w:rsidR="009D3FB5" w:rsidP="00163B94" w:rsidRDefault="009D3FB5" w14:paraId="20865443"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w:t>
            </w:r>
          </w:p>
        </w:tc>
      </w:tr>
      <w:tr w:rsidRPr="00AE1B2B" w:rsidR="00AE1B2B" w:rsidTr="00825416" w14:paraId="031753EA" w14:textId="77777777">
        <w:trPr>
          <w:trHeight w:val="420"/>
          <w:jc w:val="center"/>
        </w:trPr>
        <w:tc>
          <w:tcPr>
            <w:tcW w:w="1019" w:type="pct"/>
            <w:shd w:val="clear" w:color="auto" w:fill="auto"/>
            <w:vAlign w:val="center"/>
          </w:tcPr>
          <w:p w:rsidRPr="00AE1B2B" w:rsidR="009D3FB5" w:rsidP="00163B94" w:rsidRDefault="009D3FB5" w14:paraId="39316476"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384-19</w:t>
            </w:r>
          </w:p>
        </w:tc>
        <w:tc>
          <w:tcPr>
            <w:tcW w:w="962" w:type="pct"/>
            <w:shd w:val="clear" w:color="auto" w:fill="auto"/>
            <w:vAlign w:val="center"/>
          </w:tcPr>
          <w:p w:rsidRPr="00AE1B2B" w:rsidR="009D3FB5" w:rsidP="00163B94" w:rsidRDefault="009D3FB5" w14:paraId="36E7DE21"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2339-19</w:t>
            </w:r>
          </w:p>
        </w:tc>
        <w:tc>
          <w:tcPr>
            <w:tcW w:w="3019" w:type="pct"/>
            <w:vAlign w:val="center"/>
          </w:tcPr>
          <w:p w:rsidRPr="00AE1B2B" w:rsidR="009D3FB5" w:rsidP="00163B94" w:rsidRDefault="009D3FB5" w14:paraId="78417AF7"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w:t>
            </w:r>
          </w:p>
        </w:tc>
      </w:tr>
      <w:tr w:rsidRPr="00AE1B2B" w:rsidR="00AE1B2B" w:rsidTr="00825416" w14:paraId="77D06126" w14:textId="77777777">
        <w:trPr>
          <w:trHeight w:val="420"/>
          <w:jc w:val="center"/>
        </w:trPr>
        <w:tc>
          <w:tcPr>
            <w:tcW w:w="1019" w:type="pct"/>
            <w:shd w:val="clear" w:color="auto" w:fill="FBE4D5" w:themeFill="accent2" w:themeFillTint="33"/>
            <w:vAlign w:val="center"/>
          </w:tcPr>
          <w:p w:rsidRPr="00AE1B2B" w:rsidR="009D3FB5" w:rsidP="00163B94" w:rsidRDefault="009D3FB5" w14:paraId="30FAE6FD"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760-19</w:t>
            </w:r>
          </w:p>
        </w:tc>
        <w:tc>
          <w:tcPr>
            <w:tcW w:w="962" w:type="pct"/>
            <w:shd w:val="clear" w:color="auto" w:fill="FBE4D5" w:themeFill="accent2" w:themeFillTint="33"/>
            <w:vAlign w:val="center"/>
          </w:tcPr>
          <w:p w:rsidRPr="00AE1B2B" w:rsidR="009D3FB5" w:rsidP="00163B94" w:rsidRDefault="009D3FB5" w14:paraId="247C4D7C"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4238-19</w:t>
            </w:r>
          </w:p>
        </w:tc>
        <w:tc>
          <w:tcPr>
            <w:tcW w:w="3019" w:type="pct"/>
            <w:shd w:val="clear" w:color="auto" w:fill="FBE4D5" w:themeFill="accent2" w:themeFillTint="33"/>
            <w:vAlign w:val="center"/>
          </w:tcPr>
          <w:p w:rsidRPr="00AE1B2B" w:rsidR="009D3FB5" w:rsidP="00163B94" w:rsidRDefault="009D3FB5" w14:paraId="4FB542CC" w14:textId="77777777">
            <w:pPr>
              <w:spacing w:before="120" w:after="120"/>
              <w:jc w:val="center"/>
              <w:rPr>
                <w:rFonts w:ascii="Times New Roman" w:hAnsi="Times New Roman" w:eastAsia="Times New Roman" w:cs="Times New Roman"/>
                <w:szCs w:val="20"/>
                <w:lang w:eastAsia="es-CR"/>
              </w:rPr>
            </w:pPr>
          </w:p>
        </w:tc>
      </w:tr>
      <w:tr w:rsidRPr="00AE1B2B" w:rsidR="00AE1B2B" w:rsidTr="00825416" w14:paraId="7EB34B3F" w14:textId="77777777">
        <w:trPr>
          <w:trHeight w:val="420"/>
          <w:jc w:val="center"/>
        </w:trPr>
        <w:tc>
          <w:tcPr>
            <w:tcW w:w="1019" w:type="pct"/>
            <w:shd w:val="clear" w:color="auto" w:fill="FBE4D5" w:themeFill="accent2" w:themeFillTint="33"/>
            <w:vAlign w:val="center"/>
          </w:tcPr>
          <w:p w:rsidRPr="00AE1B2B" w:rsidR="009D3FB5" w:rsidP="00163B94" w:rsidRDefault="009D3FB5" w14:paraId="102BF53B"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225-20</w:t>
            </w:r>
          </w:p>
        </w:tc>
        <w:tc>
          <w:tcPr>
            <w:tcW w:w="962" w:type="pct"/>
            <w:shd w:val="clear" w:color="auto" w:fill="FBE4D5" w:themeFill="accent2" w:themeFillTint="33"/>
            <w:vAlign w:val="center"/>
          </w:tcPr>
          <w:p w:rsidRPr="00AE1B2B" w:rsidR="009D3FB5" w:rsidP="00163B94" w:rsidRDefault="009D3FB5" w14:paraId="016B86D1" w14:textId="77777777">
            <w:pPr>
              <w:spacing w:before="120" w:after="120"/>
              <w:jc w:val="center"/>
              <w:rPr>
                <w:rFonts w:ascii="Times New Roman" w:hAnsi="Times New Roman" w:eastAsia="Times New Roman" w:cs="Times New Roman"/>
                <w:szCs w:val="20"/>
                <w:lang w:eastAsia="es-CR"/>
              </w:rPr>
            </w:pPr>
          </w:p>
        </w:tc>
        <w:tc>
          <w:tcPr>
            <w:tcW w:w="3019" w:type="pct"/>
            <w:shd w:val="clear" w:color="auto" w:fill="FBE4D5" w:themeFill="accent2" w:themeFillTint="33"/>
            <w:vAlign w:val="center"/>
          </w:tcPr>
          <w:p w:rsidRPr="00AE1B2B" w:rsidR="009D3FB5" w:rsidP="00163B94" w:rsidRDefault="009D3FB5" w14:paraId="151FC41D"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Seguimiento a las recomendaciones emitidas para la Defensa Pública, en informe 634-PLA-RH-MI-19.</w:t>
            </w:r>
          </w:p>
        </w:tc>
      </w:tr>
      <w:tr w:rsidRPr="00AE1B2B" w:rsidR="00AE1B2B" w:rsidTr="00825416" w14:paraId="4CF04391" w14:textId="77777777">
        <w:trPr>
          <w:trHeight w:val="420"/>
          <w:jc w:val="center"/>
        </w:trPr>
        <w:tc>
          <w:tcPr>
            <w:tcW w:w="1019" w:type="pct"/>
            <w:shd w:val="clear" w:color="auto" w:fill="FBE4D5" w:themeFill="accent2" w:themeFillTint="33"/>
            <w:vAlign w:val="center"/>
          </w:tcPr>
          <w:p w:rsidRPr="00AE1B2B" w:rsidR="009D3FB5" w:rsidP="00163B94" w:rsidRDefault="009D3FB5" w14:paraId="3F5ABCDD"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1552-20</w:t>
            </w:r>
          </w:p>
        </w:tc>
        <w:tc>
          <w:tcPr>
            <w:tcW w:w="962" w:type="pct"/>
            <w:shd w:val="clear" w:color="auto" w:fill="FBE4D5" w:themeFill="accent2" w:themeFillTint="33"/>
            <w:vAlign w:val="center"/>
          </w:tcPr>
          <w:p w:rsidRPr="00AE1B2B" w:rsidR="009D3FB5" w:rsidP="00163B94" w:rsidRDefault="009D3FB5" w14:paraId="170C4E04"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8345-20</w:t>
            </w:r>
          </w:p>
        </w:tc>
        <w:tc>
          <w:tcPr>
            <w:tcW w:w="3019" w:type="pct"/>
            <w:shd w:val="clear" w:color="auto" w:fill="FBE4D5" w:themeFill="accent2" w:themeFillTint="33"/>
            <w:vAlign w:val="center"/>
          </w:tcPr>
          <w:p w:rsidRPr="00AE1B2B" w:rsidR="009D3FB5" w:rsidP="00163B94" w:rsidRDefault="009D3FB5" w14:paraId="4E19C03A"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EJ-DIR-146-2020, del 10 de agosto de 2020, suscrito por la licenciada Rebeca Guardia Morales, Directora interina de la Escuela Judicial.</w:t>
            </w:r>
          </w:p>
        </w:tc>
      </w:tr>
      <w:tr w:rsidRPr="00AE1B2B" w:rsidR="00AE1B2B" w:rsidTr="00825416" w14:paraId="3EB2C3C2" w14:textId="77777777">
        <w:trPr>
          <w:trHeight w:val="420"/>
          <w:jc w:val="center"/>
        </w:trPr>
        <w:tc>
          <w:tcPr>
            <w:tcW w:w="1019" w:type="pct"/>
            <w:shd w:val="clear" w:color="auto" w:fill="FBE4D5" w:themeFill="accent2" w:themeFillTint="33"/>
            <w:vAlign w:val="center"/>
          </w:tcPr>
          <w:p w:rsidRPr="00AE1B2B" w:rsidR="009D3FB5" w:rsidP="00163B94" w:rsidRDefault="009D3FB5" w14:paraId="385CEAFE"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292-21</w:t>
            </w:r>
          </w:p>
        </w:tc>
        <w:tc>
          <w:tcPr>
            <w:tcW w:w="962" w:type="pct"/>
            <w:shd w:val="clear" w:color="auto" w:fill="FBE4D5" w:themeFill="accent2" w:themeFillTint="33"/>
            <w:vAlign w:val="center"/>
          </w:tcPr>
          <w:p w:rsidRPr="00AE1B2B" w:rsidR="009D3FB5" w:rsidP="00163B94" w:rsidRDefault="009D3FB5" w14:paraId="5FAFD987" w14:textId="77777777">
            <w:pPr>
              <w:spacing w:before="120" w:after="120"/>
              <w:jc w:val="center"/>
              <w:rPr>
                <w:rFonts w:ascii="Times New Roman" w:hAnsi="Times New Roman" w:eastAsia="Times New Roman" w:cs="Times New Roman"/>
                <w:szCs w:val="20"/>
                <w:lang w:eastAsia="es-CR"/>
              </w:rPr>
            </w:pPr>
          </w:p>
        </w:tc>
        <w:tc>
          <w:tcPr>
            <w:tcW w:w="3019" w:type="pct"/>
            <w:shd w:val="clear" w:color="auto" w:fill="FBE4D5" w:themeFill="accent2" w:themeFillTint="33"/>
            <w:vAlign w:val="center"/>
          </w:tcPr>
          <w:p w:rsidRPr="00AE1B2B" w:rsidR="009D3FB5" w:rsidP="00163B94" w:rsidRDefault="009D3FB5" w14:paraId="78390647"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Impacto organizacional y presupuestario en el Poder Judicial (Defensa Pública) a partir de la promulgación de la Ley 9593</w:t>
            </w:r>
          </w:p>
        </w:tc>
      </w:tr>
      <w:tr w:rsidRPr="00AE1B2B" w:rsidR="00AE1B2B" w:rsidTr="00825416" w14:paraId="021BD0FB" w14:textId="77777777">
        <w:trPr>
          <w:trHeight w:val="420"/>
          <w:jc w:val="center"/>
        </w:trPr>
        <w:tc>
          <w:tcPr>
            <w:tcW w:w="1019" w:type="pct"/>
            <w:shd w:val="clear" w:color="auto" w:fill="FBE4D5" w:themeFill="accent2" w:themeFillTint="33"/>
            <w:vAlign w:val="center"/>
          </w:tcPr>
          <w:p w:rsidRPr="00AE1B2B" w:rsidR="009D3FB5" w:rsidP="00163B94" w:rsidRDefault="009D3FB5" w14:paraId="6B0CCDF4"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341-21</w:t>
            </w:r>
          </w:p>
        </w:tc>
        <w:tc>
          <w:tcPr>
            <w:tcW w:w="962" w:type="pct"/>
            <w:shd w:val="clear" w:color="auto" w:fill="FBE4D5" w:themeFill="accent2" w:themeFillTint="33"/>
            <w:vAlign w:val="center"/>
          </w:tcPr>
          <w:p w:rsidRPr="00AE1B2B" w:rsidR="009D3FB5" w:rsidP="00163B94" w:rsidRDefault="009D3FB5" w14:paraId="6545F9BB" w14:textId="77777777">
            <w:pPr>
              <w:spacing w:before="120" w:after="120"/>
              <w:jc w:val="center"/>
              <w:rPr>
                <w:rFonts w:ascii="Times New Roman" w:hAnsi="Times New Roman" w:eastAsia="Times New Roman" w:cs="Times New Roman"/>
                <w:szCs w:val="20"/>
                <w:lang w:eastAsia="es-CR"/>
              </w:rPr>
            </w:pPr>
          </w:p>
        </w:tc>
        <w:tc>
          <w:tcPr>
            <w:tcW w:w="3019" w:type="pct"/>
            <w:shd w:val="clear" w:color="auto" w:fill="FBE4D5" w:themeFill="accent2" w:themeFillTint="33"/>
            <w:vAlign w:val="center"/>
          </w:tcPr>
          <w:p w:rsidRPr="00AE1B2B" w:rsidR="009D3FB5" w:rsidP="00163B94" w:rsidRDefault="009D3FB5" w14:paraId="488A70F2" w14:textId="77777777">
            <w:pPr>
              <w:spacing w:before="120" w:after="120"/>
              <w:jc w:val="center"/>
              <w:rPr>
                <w:rFonts w:ascii="Times New Roman" w:hAnsi="Times New Roman" w:eastAsia="Times New Roman" w:cs="Times New Roman"/>
                <w:szCs w:val="20"/>
                <w:lang w:eastAsia="es-CR"/>
              </w:rPr>
            </w:pPr>
            <w:r w:rsidRPr="00AE1B2B">
              <w:rPr>
                <w:rFonts w:ascii="Times New Roman" w:hAnsi="Times New Roman" w:eastAsia="Times New Roman" w:cs="Times New Roman"/>
                <w:szCs w:val="20"/>
                <w:lang w:eastAsia="es-CR"/>
              </w:rPr>
              <w:t>Revisión de controles mínimos que deben cumplir las oficinas judiciales asociadas al acceso a la justicia de la población indígena. En respuesta al oficio 507-PLA-RH-MI-2020.</w:t>
            </w:r>
          </w:p>
        </w:tc>
      </w:tr>
    </w:tbl>
    <w:bookmarkEnd w:id="38"/>
    <w:p w:rsidRPr="00AE1B2B" w:rsidR="009D3FB5" w:rsidP="00163B94" w:rsidRDefault="009D3FB5" w14:paraId="002CD13A"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Proyecto u oficinas analizadas</w:t>
      </w:r>
    </w:p>
    <w:p w:rsidRPr="00AE1B2B" w:rsidR="009D3FB5" w:rsidP="00163B94" w:rsidRDefault="009D3FB5" w14:paraId="52635FB6" w14:textId="77777777">
      <w:pPr>
        <w:spacing w:before="120" w:after="120"/>
        <w:ind w:left="851" w:right="851" w:firstLine="709"/>
        <w:jc w:val="both"/>
        <w:rPr>
          <w:rFonts w:ascii="Times New Roman" w:hAnsi="Times New Roman" w:cs="Times New Roman"/>
          <w:sz w:val="26"/>
          <w:szCs w:val="26"/>
          <w:highlight w:val="red"/>
        </w:rPr>
      </w:pPr>
      <w:r w:rsidRPr="00AE1B2B">
        <w:rPr>
          <w:rFonts w:ascii="Times New Roman" w:hAnsi="Times New Roman" w:cs="Times New Roman"/>
          <w:sz w:val="26"/>
          <w:szCs w:val="26"/>
        </w:rPr>
        <w:t xml:space="preserve">Impacto organizacional y presupuestario en el Poder Judicial a partir de la promulgación de la </w:t>
      </w:r>
      <w:r w:rsidRPr="00AE1B2B">
        <w:rPr>
          <w:rFonts w:ascii="Times New Roman" w:hAnsi="Times New Roman" w:cs="Times New Roman"/>
          <w:b/>
          <w:bCs/>
          <w:sz w:val="26"/>
          <w:szCs w:val="26"/>
        </w:rPr>
        <w:t>Ley 9593 de Acceso a la Justicia a los Pueblos Indígenas</w:t>
      </w:r>
      <w:r w:rsidRPr="00AE1B2B">
        <w:rPr>
          <w:rFonts w:ascii="Times New Roman" w:hAnsi="Times New Roman" w:cs="Times New Roman"/>
          <w:sz w:val="26"/>
          <w:szCs w:val="26"/>
        </w:rPr>
        <w:t>. Se analiza el impacto en la Defensa Pública a raíz de la promulgación de la citada ley, con datos suministrados por dicha administración y, proyección de la demanda de la Defensa Pública a partir de los datos históricos del área jurisdiccional.</w:t>
      </w:r>
    </w:p>
    <w:p w:rsidRPr="00AE1B2B" w:rsidR="009D3FB5" w:rsidP="00163B94" w:rsidRDefault="009D3FB5" w14:paraId="495B9816"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Antecedentes</w:t>
      </w:r>
    </w:p>
    <w:p w:rsidRPr="00AE1B2B" w:rsidR="009D3FB5" w:rsidP="00163B94" w:rsidRDefault="009D3FB5" w14:paraId="59E65ECE"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 xml:space="preserve">Respecto a la plaza de Supervisión de Asuntos Indígenas, se consulta al Señor David Madrigal Robles, Coordinador a.i de la </w:t>
      </w:r>
      <w:r w:rsidRPr="00AE1B2B">
        <w:rPr>
          <w:rFonts w:ascii="Times New Roman" w:hAnsi="Times New Roman" w:eastAsia="Book Antiqua" w:cs="Times New Roman"/>
          <w:sz w:val="26"/>
          <w:szCs w:val="26"/>
        </w:rPr>
        <w:lastRenderedPageBreak/>
        <w:t>Unidad de Presupuesto y Estudios Especiales de la Dirección de Gestión Humana y, mediante correo electrónico del 11 de febrero de 2021, el Señor Reyni Campos Acuña, Profesional de la Unidad de Presupuesto y Estudios Especiales de la Dirección de Gestión Humana, adjunta el acuerdo del Consejo Superior 015-2013 (</w:t>
      </w:r>
      <w:r w:rsidRPr="00AE1B2B">
        <w:rPr>
          <w:rFonts w:ascii="Times New Roman" w:hAnsi="Times New Roman" w:eastAsia="Book Antiqua" w:cs="Times New Roman"/>
          <w:i/>
          <w:iCs/>
          <w:sz w:val="26"/>
          <w:szCs w:val="26"/>
        </w:rPr>
        <w:t>Presupuesto 2014</w:t>
      </w:r>
      <w:r w:rsidRPr="00AE1B2B">
        <w:rPr>
          <w:rFonts w:ascii="Times New Roman" w:hAnsi="Times New Roman" w:eastAsia="Book Antiqua" w:cs="Times New Roman"/>
          <w:sz w:val="26"/>
          <w:szCs w:val="26"/>
        </w:rPr>
        <w:t xml:space="preserve">) del 22 de febrero de 2013. En dicha sesión se presentó el proyecto de creación de una de Defensora o Defensor Público Supervisor que se dedicará a la atención de asuntos indígenas a partir del año 2014. Así mismo, en el citado acuerdo del Consejo Superior se indica textualmente: </w:t>
      </w:r>
    </w:p>
    <w:p w:rsidRPr="00AE1B2B" w:rsidR="009D3FB5" w:rsidP="00163B94" w:rsidRDefault="009D3FB5" w14:paraId="75CFE45E"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 xml:space="preserve">(…) “4.12. De contar con la plaza analizada, su carga de trabajo promedio mensual sería de </w:t>
      </w:r>
      <w:r w:rsidRPr="00AE1B2B">
        <w:rPr>
          <w:rFonts w:ascii="Times New Roman" w:hAnsi="Times New Roman" w:eastAsia="Book Antiqua" w:cs="Times New Roman"/>
          <w:b/>
          <w:bCs/>
          <w:i/>
          <w:iCs/>
          <w:sz w:val="26"/>
          <w:szCs w:val="26"/>
        </w:rPr>
        <w:t>48 personas</w:t>
      </w:r>
      <w:r w:rsidRPr="00AE1B2B">
        <w:rPr>
          <w:rFonts w:ascii="Times New Roman" w:hAnsi="Times New Roman" w:eastAsia="Book Antiqua" w:cs="Times New Roman"/>
          <w:i/>
          <w:iCs/>
          <w:sz w:val="26"/>
          <w:szCs w:val="26"/>
        </w:rPr>
        <w:t xml:space="preserve">, siendo una carga importante, tomando en cuenta que se debe desplazar a las diferentes zonas indígenas y que pueden presentarse choques de </w:t>
      </w:r>
      <w:r w:rsidRPr="00AE1B2B">
        <w:rPr>
          <w:rFonts w:ascii="Times New Roman" w:hAnsi="Times New Roman" w:eastAsia="Book Antiqua" w:cs="Times New Roman"/>
          <w:b/>
          <w:bCs/>
          <w:i/>
          <w:iCs/>
          <w:sz w:val="26"/>
          <w:szCs w:val="26"/>
        </w:rPr>
        <w:t>audiencias y otros</w:t>
      </w:r>
      <w:r w:rsidRPr="00AE1B2B">
        <w:rPr>
          <w:rFonts w:ascii="Times New Roman" w:hAnsi="Times New Roman" w:eastAsia="Book Antiqua" w:cs="Times New Roman"/>
          <w:i/>
          <w:iCs/>
          <w:sz w:val="26"/>
          <w:szCs w:val="26"/>
        </w:rPr>
        <w:t>.” (…)</w:t>
      </w:r>
    </w:p>
    <w:p w:rsidRPr="00AE1B2B" w:rsidR="009D3FB5" w:rsidP="00163B94" w:rsidRDefault="009D3FB5" w14:paraId="4378DAB1"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 “La plaza de Defensor/a Público/a que atenderá los asuntos indígenas, deberá quedar adscrita a la Jefatura de la Defensa Pública.” (…)</w:t>
      </w:r>
    </w:p>
    <w:p w:rsidRPr="00AE1B2B" w:rsidR="009D3FB5" w:rsidP="00163B94" w:rsidRDefault="009D3FB5" w14:paraId="0E6A8B8D"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Esta plaza de Supervisión de Asuntos Indígenas fue prorrogada a raíz de la solicitud de la Jefatura de la Defensa Pública, al ser de intereses institucional y, es partir del 16 de marzo de 2015 que adquiere su carácter de ordinario como plaza número 370070.</w:t>
      </w:r>
    </w:p>
    <w:p w:rsidRPr="00AE1B2B" w:rsidR="009D3FB5" w:rsidP="00163B94" w:rsidRDefault="009D3FB5" w14:paraId="28784C22"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Posteriormente, el 03 de agosto de 2018 se presentó el oficio JEFDP-0908-2018 del 23 de julio de 2018 donde se conoce la propuesta de Modernización de la Estructura de la Defensa Pública y, es en sesión 97-18 del 06 de noviembre de 2018 que se aprueba la propuesta. En ese oficio se indica que la implementación de la estructura por procesos en la Defensa Pública no requiere de la creación de ninguna plaza nueva, sino que se realiza una redistribución de recursos a fin de maximizarlos; para las Jefaturas de los Procesos: Supervisión por Región, Supervisión Disciplinaria, Modernización Institucional, Área Penal y Área Social, se utilizarán plazas de Defensor o Defensora Pública Supervisora (</w:t>
      </w:r>
      <w:r w:rsidRPr="00AE1B2B">
        <w:rPr>
          <w:rFonts w:ascii="Times New Roman" w:hAnsi="Times New Roman" w:eastAsia="Book Antiqua" w:cs="Times New Roman"/>
          <w:i/>
          <w:iCs/>
          <w:sz w:val="26"/>
          <w:szCs w:val="26"/>
        </w:rPr>
        <w:t>incluyendo Supervisión de Asuntos Indígenas</w:t>
      </w:r>
      <w:r w:rsidRPr="00AE1B2B">
        <w:rPr>
          <w:rFonts w:ascii="Times New Roman" w:hAnsi="Times New Roman" w:eastAsia="Book Antiqua" w:cs="Times New Roman"/>
          <w:sz w:val="26"/>
          <w:szCs w:val="26"/>
        </w:rPr>
        <w:t>).</w:t>
      </w:r>
    </w:p>
    <w:p w:rsidRPr="00AE1B2B" w:rsidR="009D3FB5" w:rsidP="00163B94" w:rsidRDefault="009D3FB5" w14:paraId="2A0D78C3"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61DEA475"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La Dirección de Planificación remite el oficio 3-PLA-DO-2015 del 27 de febrero de 2015, el cual es conocido por el Consejo Superior del Poder Judicial en sesión 19-15 del 04 de marzo de 2015; el cual recomienda la creación de una plaza de Defensora o Defensor Público en condición extraordinaria con plazo de 12 meses (</w:t>
      </w:r>
      <w:r w:rsidRPr="00AE1B2B">
        <w:rPr>
          <w:rFonts w:ascii="Times New Roman" w:hAnsi="Times New Roman" w:eastAsia="Book Antiqua" w:cs="Times New Roman"/>
          <w:i/>
          <w:iCs/>
          <w:sz w:val="26"/>
          <w:szCs w:val="26"/>
        </w:rPr>
        <w:t>durante el año 2016</w:t>
      </w:r>
      <w:r w:rsidRPr="00AE1B2B">
        <w:rPr>
          <w:rFonts w:ascii="Times New Roman" w:hAnsi="Times New Roman" w:eastAsia="Book Antiqua" w:cs="Times New Roman"/>
          <w:sz w:val="26"/>
          <w:szCs w:val="26"/>
        </w:rPr>
        <w:t xml:space="preserve">), para la atención de la materia agraria. No obstante, a </w:t>
      </w:r>
      <w:r w:rsidRPr="00AE1B2B">
        <w:rPr>
          <w:rFonts w:ascii="Times New Roman" w:hAnsi="Times New Roman" w:eastAsia="Book Antiqua" w:cs="Times New Roman"/>
          <w:sz w:val="26"/>
          <w:szCs w:val="26"/>
        </w:rPr>
        <w:lastRenderedPageBreak/>
        <w:t>continuación, se cita textualmente el acuerdo tomado por el Consejo Superior del Poder Judicial:</w:t>
      </w:r>
    </w:p>
    <w:p w:rsidRPr="00AE1B2B" w:rsidR="009D3FB5" w:rsidP="00163B94" w:rsidRDefault="009D3FB5" w14:paraId="3558119E"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“Aprobar el informe presentado por el Departamento de Planificación, con la observación de que las plazas se crean en forma ordinaria con el fin de garantizar el acceso a la justicia de las comunidades indígenas…”.</w:t>
      </w:r>
    </w:p>
    <w:p w:rsidRPr="00AE1B2B" w:rsidR="009D3FB5" w:rsidP="00163B94" w:rsidRDefault="009D3FB5" w14:paraId="0EA8B09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Mediante oficio 37-CSP-18 del 9 de abril, de la Secretaría General de la Corte, se remite el acuerdo del Consejo Superior, sesión extraordinaria 25-18 del 4 de abril, donde se aprobó el informe 20-PLA-OI-2018, presentado por la Dirección de Planificación y sus recomendaciones, entre las que se destaca asignar </w:t>
      </w:r>
      <w:r w:rsidRPr="00AE1B2B">
        <w:rPr>
          <w:rFonts w:ascii="Times New Roman" w:hAnsi="Times New Roman" w:cs="Times New Roman"/>
          <w:b/>
          <w:bCs/>
          <w:sz w:val="26"/>
          <w:szCs w:val="26"/>
        </w:rPr>
        <w:t>siete plazas extraordinarias de Defensor Público para la atención de materia Agraria</w:t>
      </w:r>
      <w:r w:rsidRPr="00AE1B2B">
        <w:rPr>
          <w:rFonts w:ascii="Times New Roman" w:hAnsi="Times New Roman" w:cs="Times New Roman"/>
          <w:sz w:val="26"/>
          <w:szCs w:val="26"/>
        </w:rPr>
        <w:t>, por todo el período 2018 en apoyo del plan de descongestionamiento del Tribunal Agrario, y se estima la continuidad de las plazas de defensores para el período 2019.</w:t>
      </w:r>
    </w:p>
    <w:p w:rsidRPr="00AE1B2B" w:rsidR="009D3FB5" w:rsidP="00163B94" w:rsidRDefault="009D3FB5" w14:paraId="788A802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Por otra parte, en relación con el Proyecto de Ley denominado</w:t>
      </w:r>
      <w:r w:rsidRPr="00AE1B2B">
        <w:rPr>
          <w:rFonts w:ascii="Times New Roman" w:hAnsi="Times New Roman" w:cs="Times New Roman"/>
          <w:i/>
          <w:iCs/>
          <w:sz w:val="26"/>
          <w:szCs w:val="26"/>
        </w:rPr>
        <w:t>: “Carta de derechos sobre acceso a la justicia de los pueblos indígenas”</w:t>
      </w:r>
      <w:r w:rsidRPr="00AE1B2B">
        <w:rPr>
          <w:rFonts w:ascii="Times New Roman" w:hAnsi="Times New Roman" w:cs="Times New Roman"/>
          <w:sz w:val="26"/>
          <w:szCs w:val="26"/>
        </w:rPr>
        <w:t>, expediente 17805; mediante oficio 10880-18 del 22 de agosto de 2018, de la Secretaría General de la Corte, se remite el acuerdo del Consejo Superior, en sesión 86-18, del 2 de octubre, artículo LXVI donde se acoge la solicitud presentada por la Jefatura de la Defensa Pública mediante oficio JEFDP-1123-2018 del 17 de setiembre de 2018 y se hace de conocimiento del acuerdo a la Dirección de Planificación con la finalidad que realice el análisis de todos los aspectos que implique el cambio por la entrada en vigencia de lo que ese entonces era el proyecto de Ley. En este particular, se resalta que la Ley 9593 de Acceso a la justicia de los pueblos indígenas de Costa Rica, entró en vigencia a partir de su publicación, la cual fue realizada en la Gaceta 179 (</w:t>
      </w:r>
      <w:r w:rsidRPr="00AE1B2B">
        <w:rPr>
          <w:rFonts w:ascii="Times New Roman" w:hAnsi="Times New Roman" w:cs="Times New Roman"/>
          <w:i/>
          <w:iCs/>
          <w:sz w:val="26"/>
          <w:szCs w:val="26"/>
        </w:rPr>
        <w:t>Alcance 174</w:t>
      </w:r>
      <w:r w:rsidRPr="00AE1B2B">
        <w:rPr>
          <w:rFonts w:ascii="Times New Roman" w:hAnsi="Times New Roman" w:cs="Times New Roman"/>
          <w:sz w:val="26"/>
          <w:szCs w:val="26"/>
        </w:rPr>
        <w:t>) del 28 de setiembre de 2018.</w:t>
      </w:r>
    </w:p>
    <w:p w:rsidRPr="00AE1B2B" w:rsidR="009D3FB5" w:rsidP="00163B94" w:rsidRDefault="009D3FB5" w14:paraId="7463D51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Además, mediante oficio JEFDP-1244-2018 del 1 de octubre de 2018, de la Dirección de la Defensa Pública señala que:</w:t>
      </w:r>
    </w:p>
    <w:p w:rsidRPr="00AE1B2B" w:rsidR="009D3FB5" w:rsidP="00163B94" w:rsidRDefault="009D3FB5" w14:paraId="34F40EDB"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“Dentro del estudio que realiza la Dirección de Planificación sobre las cargas de trabajo de plazas asignadas a la jurisdicción de Flagrancia, se valore la posibilidad de que algunas de estas plazas sean reasignadas a la atención de la población indígena para garantizar su acceso a la justicia …”.</w:t>
      </w:r>
    </w:p>
    <w:p w:rsidRPr="00AE1B2B" w:rsidR="009D3FB5" w:rsidP="00163B94" w:rsidRDefault="009D3FB5" w14:paraId="11EAC67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Debido a lo anterior, mediante oficio 10473-18, del 9 de octubre de 2018, de la Secretaría General de la Corte, se remite el acuerdo del Consejo Superior, en sesión 87-18 del 4 de octubre de 2018, artículo LXXXIV, donde se considera trasladar la gestión </w:t>
      </w:r>
      <w:r w:rsidRPr="00AE1B2B">
        <w:rPr>
          <w:rFonts w:ascii="Times New Roman" w:hAnsi="Times New Roman" w:cs="Times New Roman"/>
          <w:sz w:val="26"/>
          <w:szCs w:val="26"/>
        </w:rPr>
        <w:lastRenderedPageBreak/>
        <w:t>presentada por la máster Diana Montero Montero, Jefa a.i. de la Defensa Pública, mediante oficio JEFDP-1244-2018 del 1 de octubre de 2018, a estudio de la Dirección de Planificación, e informe a este Consejo lo que corresponde.</w:t>
      </w:r>
    </w:p>
    <w:p w:rsidRPr="00AE1B2B" w:rsidR="009D3FB5" w:rsidP="00163B94" w:rsidRDefault="009D3FB5" w14:paraId="76CDAEE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otro orden de ideas, es relevante hacer mención que mediante el informe 34-PLA-EV-2017 de la Dirección de Planificación, sobre el Impacto organizacional y presupuestario para el Poder Judicial en caso de aprobarse el proyecto de Ley denominado “</w:t>
      </w:r>
      <w:r w:rsidRPr="00AE1B2B">
        <w:rPr>
          <w:rFonts w:ascii="Times New Roman" w:hAnsi="Times New Roman" w:cs="Times New Roman"/>
          <w:b/>
          <w:bCs/>
          <w:sz w:val="26"/>
          <w:szCs w:val="26"/>
        </w:rPr>
        <w:t>Código Procesal de Familia</w:t>
      </w:r>
      <w:r w:rsidRPr="00AE1B2B">
        <w:rPr>
          <w:rFonts w:ascii="Times New Roman" w:hAnsi="Times New Roman" w:cs="Times New Roman"/>
          <w:sz w:val="26"/>
          <w:szCs w:val="26"/>
        </w:rPr>
        <w:t xml:space="preserve">”; se analizó lo referente a la Defensa Pública en la atención de asuntos en materia de Familia, Violencia Doméstica y Pensión Alimentaria; donde, se consideró entre otros asuntos crear un total de </w:t>
      </w:r>
      <w:r w:rsidRPr="00AE1B2B">
        <w:rPr>
          <w:rFonts w:ascii="Times New Roman" w:hAnsi="Times New Roman" w:cs="Times New Roman"/>
          <w:b/>
          <w:bCs/>
          <w:sz w:val="26"/>
          <w:szCs w:val="26"/>
        </w:rPr>
        <w:t>33 plazas de Defensor Público para la defensa de la parte actora en asuntos de Pensión Alimentaria</w:t>
      </w:r>
      <w:r w:rsidRPr="00AE1B2B">
        <w:rPr>
          <w:rFonts w:ascii="Times New Roman" w:hAnsi="Times New Roman" w:cs="Times New Roman"/>
          <w:sz w:val="26"/>
          <w:szCs w:val="26"/>
        </w:rPr>
        <w:t xml:space="preserve">. El citado informe fue conocido por el Consejo Superior en sesión extraordinaria de presupuesto 43-17, del 5 de mayo del 2017, artículo XXIV y por Corte Plena en sesión 16-2017, del 1 de junio del 2017, artículo II, durante las sesiones de trabajo para analizar el proyecto del Presupuesto de Poder Judicial para el 2018, y se acordó: </w:t>
      </w:r>
    </w:p>
    <w:p w:rsidRPr="00AE1B2B" w:rsidR="009D3FB5" w:rsidP="00163B94" w:rsidRDefault="009D3FB5" w14:paraId="4BBCD48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“Sometido el asunto a votación, por unanimidad, se dispuso: Acoger la propuesta planteada por la magistrada Arias y el magistrado Salazar Alvarado, en consecuencia, los presupuestos actualizados de impacto de Justicia Restaurativa y de las Reformas Procesal de Familia y Agrario se conocerán en el momento en que sean Leyes de la República.”.</w:t>
      </w:r>
    </w:p>
    <w:p w:rsidRPr="00AE1B2B" w:rsidR="009D3FB5" w:rsidP="00163B94" w:rsidRDefault="009D3FB5" w14:paraId="2632007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Seguido, la Dirección de Planificación da a conocer, por medio del oficio 1285-PLA-2019 del 16 de agosto de 2019 que, mediante correo electrónico del 13 de agosto del 2019, la Magistrada de la Sala Segunda Sra. Julia Varela Araya solicitó a la Dirección de Planificación modificar las estimaciones del impacto presupuestario que tendría la implementación del proyecto de Ley del “</w:t>
      </w:r>
      <w:r w:rsidRPr="00AE1B2B">
        <w:rPr>
          <w:rFonts w:ascii="Times New Roman" w:hAnsi="Times New Roman" w:cs="Times New Roman"/>
          <w:b/>
          <w:bCs/>
          <w:sz w:val="26"/>
          <w:szCs w:val="26"/>
        </w:rPr>
        <w:t>Código Procesal de Familia</w:t>
      </w:r>
      <w:r w:rsidRPr="00AE1B2B">
        <w:rPr>
          <w:rFonts w:ascii="Times New Roman" w:hAnsi="Times New Roman" w:cs="Times New Roman"/>
          <w:sz w:val="26"/>
          <w:szCs w:val="26"/>
        </w:rPr>
        <w:t>” que se tramita en el expediente 19455 de la Asamblea Legislativa. Donde, textualmente se expone:</w:t>
      </w:r>
    </w:p>
    <w:p w:rsidRPr="00AE1B2B" w:rsidR="009D3FB5" w:rsidP="00163B94" w:rsidRDefault="009D3FB5" w14:paraId="674851EE" w14:textId="77777777">
      <w:pPr>
        <w:tabs>
          <w:tab w:val="left" w:pos="8505"/>
        </w:tabs>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“…con la finalidad de disminuir el impacto económico de la implementación del referido código, se eliminaron tres temas importantes que contenían el mayor peso desde el punto de vista económico, para esta importantísima y necesaria reforma. Lo eliminado se refiere a: Los equipos interdisciplinarios, para los despachos de Familia que lo requerían</w:t>
      </w:r>
    </w:p>
    <w:p w:rsidRPr="00AE1B2B" w:rsidR="009D3FB5" w:rsidP="00163B94" w:rsidRDefault="009D3FB5" w14:paraId="5C7C17F6" w14:textId="77777777">
      <w:pPr>
        <w:pStyle w:val="Prrafodelista"/>
        <w:numPr>
          <w:ilvl w:val="0"/>
          <w:numId w:val="44"/>
        </w:numPr>
        <w:spacing w:before="120" w:after="120"/>
        <w:ind w:left="851" w:right="851" w:firstLine="709"/>
        <w:jc w:val="both"/>
        <w:rPr>
          <w:rFonts w:ascii="Times New Roman" w:hAnsi="Times New Roman" w:eastAsia="Calibri" w:cs="Times New Roman"/>
          <w:i/>
          <w:iCs/>
          <w:sz w:val="26"/>
          <w:szCs w:val="26"/>
          <w:lang w:val="es-CR" w:eastAsia="en-US"/>
        </w:rPr>
      </w:pPr>
      <w:r w:rsidRPr="00AE1B2B">
        <w:rPr>
          <w:rFonts w:ascii="Times New Roman" w:hAnsi="Times New Roman" w:eastAsia="Calibri" w:cs="Times New Roman"/>
          <w:i/>
          <w:iCs/>
          <w:sz w:val="26"/>
          <w:szCs w:val="26"/>
          <w:lang w:val="es-CR" w:eastAsia="en-US"/>
        </w:rPr>
        <w:t>Los juzgados sumarios que se creaban</w:t>
      </w:r>
    </w:p>
    <w:p w:rsidRPr="00AE1B2B" w:rsidR="009D3FB5" w:rsidP="00163B94" w:rsidRDefault="009D3FB5" w14:paraId="1FB025EA" w14:textId="77777777">
      <w:pPr>
        <w:pStyle w:val="Prrafodelista"/>
        <w:numPr>
          <w:ilvl w:val="0"/>
          <w:numId w:val="44"/>
        </w:numPr>
        <w:spacing w:before="120" w:after="120"/>
        <w:ind w:left="851" w:right="851" w:firstLine="709"/>
        <w:jc w:val="both"/>
        <w:rPr>
          <w:rFonts w:ascii="Times New Roman" w:hAnsi="Times New Roman" w:eastAsia="Calibri" w:cs="Times New Roman"/>
          <w:i/>
          <w:iCs/>
          <w:sz w:val="26"/>
          <w:szCs w:val="26"/>
          <w:lang w:val="es-CR" w:eastAsia="en-US"/>
        </w:rPr>
      </w:pPr>
      <w:r w:rsidRPr="00AE1B2B">
        <w:rPr>
          <w:rFonts w:ascii="Times New Roman" w:hAnsi="Times New Roman" w:eastAsia="Calibri" w:cs="Times New Roman"/>
          <w:i/>
          <w:iCs/>
          <w:sz w:val="26"/>
          <w:szCs w:val="26"/>
          <w:lang w:val="es-CR" w:eastAsia="en-US"/>
        </w:rPr>
        <w:t>La Defensa Pública para atender en todos los casos de familia, donde se dieran intereses contrapuestos</w:t>
      </w:r>
    </w:p>
    <w:p w:rsidRPr="00AE1B2B" w:rsidR="009D3FB5" w:rsidP="00163B94" w:rsidRDefault="009D3FB5" w14:paraId="43AB4AEA" w14:textId="77777777">
      <w:pPr>
        <w:tabs>
          <w:tab w:val="left" w:pos="8505"/>
        </w:tabs>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 xml:space="preserve">Como consecuencia de lo anterior, en el tema de la Defensa Pública, el contenido del artículo 56, del proyecto de Ley consultado a Corte, cuyo informe se rindió el pasado lunes 12 de agosto, </w:t>
      </w:r>
      <w:bookmarkStart w:name="_Hlk16599132" w:id="39"/>
      <w:r w:rsidRPr="00AE1B2B">
        <w:rPr>
          <w:rFonts w:ascii="Times New Roman" w:hAnsi="Times New Roman" w:cs="Times New Roman"/>
          <w:i/>
          <w:iCs/>
          <w:sz w:val="26"/>
          <w:szCs w:val="26"/>
        </w:rPr>
        <w:t>solo refleja lo que actualmente está dentro la Ley de Pensiones Alimentarias vigente; por lo que no debe de interpretarse que se están creando obligaciones nuevas de plazas para Defensa Pública, para atender casos de pensiones alimentarias.</w:t>
      </w:r>
      <w:bookmarkEnd w:id="39"/>
    </w:p>
    <w:p w:rsidRPr="00AE1B2B" w:rsidR="009D3FB5" w:rsidP="00163B94" w:rsidRDefault="009D3FB5" w14:paraId="1D65C2BC" w14:textId="77777777">
      <w:pPr>
        <w:tabs>
          <w:tab w:val="left" w:pos="8505"/>
        </w:tabs>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En consecuencia, dentro de los costos del proyecto del Código Procesal de Familia, </w:t>
      </w:r>
      <w:r w:rsidRPr="00AE1B2B">
        <w:rPr>
          <w:rFonts w:ascii="Times New Roman" w:hAnsi="Times New Roman" w:cs="Times New Roman"/>
          <w:b/>
          <w:bCs/>
          <w:i/>
          <w:iCs/>
          <w:sz w:val="26"/>
          <w:szCs w:val="26"/>
        </w:rPr>
        <w:t>no debe existir ninguna suma para la creación de plazas de asistencia letrada de la Defensa Pública</w:t>
      </w:r>
      <w:r w:rsidRPr="00AE1B2B">
        <w:rPr>
          <w:rFonts w:ascii="Times New Roman" w:hAnsi="Times New Roman" w:cs="Times New Roman"/>
          <w:i/>
          <w:iCs/>
          <w:sz w:val="26"/>
          <w:szCs w:val="26"/>
        </w:rPr>
        <w:t>, tal y como lo expliqué ayer en Corte Plena, en el informe rendido…”.</w:t>
      </w:r>
    </w:p>
    <w:p w:rsidRPr="00AE1B2B" w:rsidR="009D3FB5" w:rsidP="00163B94" w:rsidRDefault="009D3FB5" w14:paraId="63EC63F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Por lo mencionado anteriormente, es importante indicar que, este nuevo planteamiento solicitado por la Magistrada Varela Araya, difiere del presentado ante la Comisión de Asuntos Jurídicos en el 2017, propiamente en cuanto a la exclusión de 33 plazas de Defensora o Defensor Público, que se requerirían para dar cobertura nacional a la atención en pensión alimentaria a la parte beneficiaria que no cuente recursos económicos para contratar patrocinio letrado conforme al artículo 56 del proyecto de este proyecto de Ley, donde no se debe interpretar que se están creando nuevas obligaciones de plazas para la Defensa Pública para atender casos de pensiones alimentarias.</w:t>
      </w:r>
    </w:p>
    <w:p w:rsidRPr="00AE1B2B" w:rsidR="009D3FB5" w:rsidP="00163B94" w:rsidRDefault="009D3FB5" w14:paraId="7EC3C10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proyecto de Ley del “</w:t>
      </w:r>
      <w:r w:rsidRPr="00AE1B2B">
        <w:rPr>
          <w:rFonts w:ascii="Times New Roman" w:hAnsi="Times New Roman" w:cs="Times New Roman"/>
          <w:b/>
          <w:bCs/>
          <w:sz w:val="26"/>
          <w:szCs w:val="26"/>
        </w:rPr>
        <w:t>Código Procesal de Familia</w:t>
      </w:r>
      <w:r w:rsidRPr="00AE1B2B">
        <w:rPr>
          <w:rFonts w:ascii="Times New Roman" w:hAnsi="Times New Roman" w:cs="Times New Roman"/>
          <w:sz w:val="26"/>
          <w:szCs w:val="26"/>
        </w:rPr>
        <w:t>” fue aprobado en primer debate por la Asamblea Legislativa el 6 de febrero 2018.</w:t>
      </w:r>
    </w:p>
    <w:p w:rsidRPr="00AE1B2B" w:rsidR="009D3FB5" w:rsidP="00163B94" w:rsidRDefault="009D3FB5" w14:paraId="36D0787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sesión 34-18 del 25 de abril de 2018 del Consejo Superior, se dispuso: </w:t>
      </w:r>
    </w:p>
    <w:p w:rsidRPr="00AE1B2B" w:rsidR="009D3FB5" w:rsidP="00163B94" w:rsidRDefault="009D3FB5" w14:paraId="76AA481E"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 Aprobar el informe 33-PLA-MI-2018 presentado por la Dirección de Planificación y sus recomendaciones, de acuerdo al escenario planteado en la recomendación 5.1.2.</w:t>
      </w:r>
    </w:p>
    <w:p w:rsidRPr="00AE1B2B" w:rsidR="009D3FB5" w:rsidP="00163B94" w:rsidRDefault="009D3FB5" w14:paraId="7D9D8D6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2) </w:t>
      </w:r>
      <w:r w:rsidRPr="00AE1B2B">
        <w:rPr>
          <w:rFonts w:ascii="Times New Roman" w:hAnsi="Times New Roman" w:cs="Times New Roman"/>
          <w:b/>
          <w:bCs/>
          <w:i/>
          <w:iCs/>
          <w:sz w:val="26"/>
          <w:szCs w:val="26"/>
        </w:rPr>
        <w:t>Siguiendo los lineamientos de la Corte Plena no se deberán incluir los recursos en el anteproyecto 2019 hasta que se apruebe la Reforma Legal como Ley de la República</w:t>
      </w:r>
      <w:r w:rsidRPr="00AE1B2B">
        <w:rPr>
          <w:rFonts w:ascii="Times New Roman" w:hAnsi="Times New Roman" w:cs="Times New Roman"/>
          <w:i/>
          <w:iCs/>
          <w:sz w:val="26"/>
          <w:szCs w:val="26"/>
        </w:rPr>
        <w:t>”. (La negrita no es original del texto).</w:t>
      </w:r>
    </w:p>
    <w:p w:rsidRPr="00AE1B2B" w:rsidR="009D3FB5" w:rsidP="00163B94" w:rsidRDefault="009D3FB5" w14:paraId="20466E7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Posterior, respecto a la Defensa Pública en materia de Pensiones Alimentarias (</w:t>
      </w:r>
      <w:r w:rsidRPr="00AE1B2B">
        <w:rPr>
          <w:rFonts w:ascii="Times New Roman" w:hAnsi="Times New Roman" w:cs="Times New Roman"/>
          <w:i/>
          <w:iCs/>
          <w:sz w:val="26"/>
          <w:szCs w:val="26"/>
        </w:rPr>
        <w:t>incluida la población Indígena</w:t>
      </w:r>
      <w:r w:rsidRPr="00AE1B2B">
        <w:rPr>
          <w:rFonts w:ascii="Times New Roman" w:hAnsi="Times New Roman" w:cs="Times New Roman"/>
          <w:sz w:val="26"/>
          <w:szCs w:val="26"/>
        </w:rPr>
        <w:t>) la Corte Plena en sesión 31-2020 celebrada el 2 de junio del 2020, artículo II aprobó la inclusión en el presupuesto extraordinario 2021 de la Institución 33 plazas de Defensora o Defensor Público:</w:t>
      </w:r>
    </w:p>
    <w:p w:rsidRPr="00AE1B2B" w:rsidR="009D3FB5" w:rsidP="00163B94" w:rsidRDefault="009D3FB5" w14:paraId="490911DD"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“Sin objeción de las señoras magistradas y los señores magistrados presentes, se dispuso: 1.) Aprobar la propuesta planteada por el magistrado Salazar Alvarado, en el sentido de autorizar al Presidente de la Corte y a la señora Vicepresidenta de la Corte para que tomen las decisiones que estime pertinentes, respecto a señalar a la Subcomisión de Asuntos Hacendarios de la Asamblea Legislativa, lo concerniente en cuanto lograr la aprobación del presupuesto del Poder Judicial 2021, así como las posibles negociaciones que se formulen, las que se harán de conocimiento del Consejo Consultivo de emergencia conformado con los Presidentes de las Salas, como respaldo a las decisiones que se tomen, a cuyos efectos cuando lo estime pertinente se hará acompañar de las diferentes direcciones, así como de la señora Fiscala General de la República, del señor Director del Organismo de Investigación Judicial y de la señora Directora de la Defensa Pública. Lo anterior, en el entendido de que posteriormente se hará de conocimiento de esta Corte. 2.) Agradecer y reconocer el trabajo realizado por los integrantes del Consejo Superior, las Direcciones de Planificación, Ejecutiva, Gestión Humana y Tecnología de la Información, que colaboraron en la elaboración del Proyecto de Presupuesto del Poder Judicial para el 2021. 3.) Se declaran acuerdos firmes todos los acuerdos adoptados en esta sesión.</w:t>
      </w:r>
    </w:p>
    <w:p w:rsidRPr="00AE1B2B" w:rsidR="009D3FB5" w:rsidP="00163B94" w:rsidRDefault="009D3FB5" w14:paraId="7BFF396D"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La Dirección de Planificación tomará nota para los fines consiguientes. Se declara acuerdo firme.”.</w:t>
      </w:r>
    </w:p>
    <w:p w:rsidRPr="00AE1B2B" w:rsidR="009D3FB5" w:rsidP="00163B94" w:rsidRDefault="009D3FB5" w14:paraId="094B0B4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Consejo Superior del Poder Judicial en la sesión extraordinaria 44-19 (</w:t>
      </w:r>
      <w:r w:rsidRPr="00AE1B2B">
        <w:rPr>
          <w:rFonts w:ascii="Times New Roman" w:hAnsi="Times New Roman" w:cs="Times New Roman"/>
          <w:i/>
          <w:iCs/>
          <w:sz w:val="26"/>
          <w:szCs w:val="26"/>
        </w:rPr>
        <w:t>Presupuesto 2020</w:t>
      </w:r>
      <w:r w:rsidRPr="00AE1B2B">
        <w:rPr>
          <w:rFonts w:ascii="Times New Roman" w:hAnsi="Times New Roman" w:cs="Times New Roman"/>
          <w:sz w:val="26"/>
          <w:szCs w:val="26"/>
        </w:rPr>
        <w:t xml:space="preserve">) artículo II, del 16 de mayo de 2019 acordó aprobar el informe 634-PLA-RH-MI-2019 de la Dirección de Planificación, sobre el </w:t>
      </w:r>
      <w:r w:rsidRPr="00AE1B2B">
        <w:rPr>
          <w:rFonts w:ascii="Times New Roman" w:hAnsi="Times New Roman" w:cs="Times New Roman"/>
          <w:b/>
          <w:bCs/>
          <w:sz w:val="26"/>
          <w:szCs w:val="26"/>
        </w:rPr>
        <w:t>Impacto organizacional y presupuestario en el Poder Judicial (</w:t>
      </w:r>
      <w:r w:rsidRPr="00AE1B2B">
        <w:rPr>
          <w:rFonts w:ascii="Times New Roman" w:hAnsi="Times New Roman" w:cs="Times New Roman"/>
          <w:b/>
          <w:bCs/>
          <w:i/>
          <w:iCs/>
          <w:sz w:val="26"/>
          <w:szCs w:val="26"/>
        </w:rPr>
        <w:t>Defensa Pública</w:t>
      </w:r>
      <w:r w:rsidRPr="00AE1B2B">
        <w:rPr>
          <w:rFonts w:ascii="Times New Roman" w:hAnsi="Times New Roman" w:cs="Times New Roman"/>
          <w:b/>
          <w:bCs/>
          <w:sz w:val="26"/>
          <w:szCs w:val="26"/>
        </w:rPr>
        <w:t>) a partir de la promulgación de la Ley 9593 de Acceso a la Justicia de los Pueblos Indígenas (</w:t>
      </w:r>
      <w:r w:rsidRPr="00AE1B2B">
        <w:rPr>
          <w:rFonts w:ascii="Times New Roman" w:hAnsi="Times New Roman" w:cs="Times New Roman"/>
          <w:b/>
          <w:bCs/>
          <w:i/>
          <w:iCs/>
          <w:sz w:val="26"/>
          <w:szCs w:val="26"/>
        </w:rPr>
        <w:t>incluye materia disciplinaria, agraria y pensión alimentaria</w:t>
      </w:r>
      <w:r w:rsidRPr="00AE1B2B">
        <w:rPr>
          <w:rFonts w:ascii="Times New Roman" w:hAnsi="Times New Roman" w:cs="Times New Roman"/>
          <w:b/>
          <w:bCs/>
          <w:sz w:val="26"/>
          <w:szCs w:val="26"/>
        </w:rPr>
        <w:t>);</w:t>
      </w:r>
      <w:r w:rsidRPr="00AE1B2B">
        <w:rPr>
          <w:rFonts w:ascii="Times New Roman" w:hAnsi="Times New Roman" w:cs="Times New Roman"/>
          <w:sz w:val="26"/>
          <w:szCs w:val="26"/>
        </w:rPr>
        <w:t xml:space="preserve"> donde se mantiene una plaza de persona Defensora por Oficina que cubre el tema de interés contrapuestos en materia agraria; y además, deben asumir la defensa técnica de aquellos asuntos Contenciosos Administrativos donde figure como parte actora o demandada una o más personas indígenas.</w:t>
      </w:r>
    </w:p>
    <w:p w:rsidRPr="00AE1B2B" w:rsidR="009D3FB5" w:rsidP="00163B94" w:rsidRDefault="009D3FB5" w14:paraId="1EFB6B7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Posterior, el Consejo Superior del Poder Judicial, en sesión extraordinaria 47-19 (</w:t>
      </w:r>
      <w:r w:rsidRPr="00AE1B2B">
        <w:rPr>
          <w:rFonts w:ascii="Times New Roman" w:hAnsi="Times New Roman" w:cs="Times New Roman"/>
          <w:i/>
          <w:iCs/>
          <w:sz w:val="26"/>
          <w:szCs w:val="26"/>
        </w:rPr>
        <w:t>Presupuesto 2020</w:t>
      </w:r>
      <w:r w:rsidRPr="00AE1B2B">
        <w:rPr>
          <w:rFonts w:ascii="Times New Roman" w:hAnsi="Times New Roman" w:cs="Times New Roman"/>
          <w:sz w:val="26"/>
          <w:szCs w:val="26"/>
        </w:rPr>
        <w:t xml:space="preserve">) artículo XV, del 23 de mayo de 2019, dispuso de manera textual: </w:t>
      </w:r>
    </w:p>
    <w:p w:rsidRPr="00AE1B2B" w:rsidR="009D3FB5" w:rsidP="00163B94" w:rsidRDefault="009D3FB5" w14:paraId="2E55BC0C"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“Aprobar las recomendaciones de la Dirección de Planificación, por tanto, mantener lo dispuesto por el Consejo </w:t>
      </w:r>
      <w:r w:rsidRPr="00AE1B2B">
        <w:rPr>
          <w:rFonts w:ascii="Times New Roman" w:hAnsi="Times New Roman" w:cs="Times New Roman"/>
          <w:i/>
          <w:iCs/>
          <w:sz w:val="26"/>
          <w:szCs w:val="26"/>
        </w:rPr>
        <w:lastRenderedPageBreak/>
        <w:t>Superior, se aclara a la Defensa Pública que precisamente por las razones expuestas en esta reconsideración, en el informe inicial se asignó un recurso humano para la zona de Buenos Aires por el impacto que representa en la prestación del servicio público”</w:t>
      </w:r>
    </w:p>
    <w:p w:rsidRPr="00AE1B2B" w:rsidR="009D3FB5" w:rsidP="00163B94" w:rsidRDefault="009D3FB5" w14:paraId="2A1BE4B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Este informe fue conocido y aprobado en la Sesión 22-19 de Corte Plena (</w:t>
      </w:r>
      <w:r w:rsidRPr="00AE1B2B">
        <w:rPr>
          <w:rFonts w:ascii="Times New Roman" w:hAnsi="Times New Roman" w:cs="Times New Roman"/>
          <w:i/>
          <w:iCs/>
          <w:sz w:val="26"/>
          <w:szCs w:val="26"/>
        </w:rPr>
        <w:t>Presupuesto 2020</w:t>
      </w:r>
      <w:r w:rsidRPr="00AE1B2B">
        <w:rPr>
          <w:rFonts w:ascii="Times New Roman" w:hAnsi="Times New Roman" w:cs="Times New Roman"/>
          <w:sz w:val="26"/>
          <w:szCs w:val="26"/>
        </w:rPr>
        <w:t>) celebrada el 6 de junio de 2019, Artículo IV; en el cual, se dispuso de manera textual:</w:t>
      </w:r>
    </w:p>
    <w:p w:rsidRPr="00AE1B2B" w:rsidR="009D3FB5" w:rsidP="00163B94" w:rsidRDefault="009D3FB5" w14:paraId="0B21F77B"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“Aprobar por separado del Presupuesto Ordinario del Poder Judicial, los requerimientos correspondientes a la “Ley 9593. Acceso a la Justicia de los Pueblos Indígenas de Costa Rica” en la forma indicada. Así votaron las magistradas y los magistrados Cruz, Solís, Molinari, Aguirre, Sánchez, Olaso, Chacón, Ramírez, Solano, Hernández, Salazar Alvarado, Araya, las Suplentes y los Suplentes León Díaz, Aragón Cambronero, Blanco González, Zúñiga Morales, Segura Bonilla, Alfaro Vargas y Chacón Jiménez.”.</w:t>
      </w:r>
    </w:p>
    <w:p w:rsidRPr="00AE1B2B" w:rsidR="009D3FB5" w:rsidP="00163B94" w:rsidRDefault="009D3FB5" w14:paraId="311FE99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w:t>
      </w:r>
    </w:p>
    <w:p w:rsidRPr="00AE1B2B" w:rsidR="009D3FB5" w:rsidP="00163B94" w:rsidRDefault="009D3FB5" w14:paraId="30516A19"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p>
    <w:p w:rsidRPr="00AE1B2B" w:rsidR="009D3FB5" w:rsidP="00163B94" w:rsidRDefault="009D3FB5" w14:paraId="3E6020E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Posteriormente mediante oficio DM-0945-2019, de fecha 11 de junio del 2019, la señora Ministra de Hacienda y en alusión a lo indicado en el oficio 101-P-2019, comunica al presidente de la Corte Suprema de Justicia: </w:t>
      </w:r>
    </w:p>
    <w:p w:rsidRPr="00AE1B2B" w:rsidR="009D3FB5" w:rsidP="00163B94" w:rsidRDefault="009D3FB5" w14:paraId="08DB9710"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Finalmente, en relación con las solicitudes complementarias al Anteproyecto de presupuesto de la institución a que se hace alusión en su oficio, le informo que el cumplimiento de la regla fiscal no da espacio para el financiamiento de nuevos gastos.”.</w:t>
      </w:r>
    </w:p>
    <w:p w:rsidRPr="00AE1B2B" w:rsidR="009D3FB5" w:rsidP="00163B94" w:rsidRDefault="009D3FB5" w14:paraId="6B3F036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rsidRPr="00AE1B2B" w:rsidR="009D3FB5" w:rsidP="00163B94" w:rsidRDefault="009D3FB5" w14:paraId="6B73326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 </w:t>
      </w:r>
    </w:p>
    <w:p w:rsidRPr="00AE1B2B" w:rsidR="009D3FB5" w:rsidP="00163B94" w:rsidRDefault="009D3FB5" w14:paraId="3D628AE4"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No fueron incorporados por el Ministerio de Hacienda al presupuesto ordinario, ni tampoco se remitieron como requerimiento adicional a la Asamblea Legislativa.”.</w:t>
      </w:r>
    </w:p>
    <w:p w:rsidRPr="00AE1B2B" w:rsidR="009D3FB5" w:rsidP="00163B94" w:rsidRDefault="009D3FB5" w14:paraId="08771A1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Este oficio mencionado anteriormente fue conocido por Corte Plena en sesión 41-2019, de fecha 30 de setiembre de 2019, artículo XV.</w:t>
      </w:r>
    </w:p>
    <w:p w:rsidRPr="00AE1B2B" w:rsidR="009D3FB5" w:rsidP="00163B94" w:rsidRDefault="009D3FB5" w14:paraId="5C305585" w14:textId="77777777">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Finalmente, de acuerdo con la Ley No. 9791 Presupuesto Ordinario y Extraordinario de la República para el ejercicio económico del 2020, aprobada por la Asamblea Legislativa, se comprobó que los recursos para la Ley 9593 de Acceso a la Justicia a Pueblos Indígenas </w:t>
      </w:r>
      <w:r w:rsidRPr="00AE1B2B">
        <w:rPr>
          <w:rFonts w:ascii="Times New Roman" w:hAnsi="Times New Roman" w:eastAsia="Arial" w:cs="Times New Roman"/>
          <w:b/>
          <w:bCs/>
          <w:sz w:val="26"/>
          <w:szCs w:val="26"/>
          <w:u w:val="single"/>
        </w:rPr>
        <w:t>no fueron incorporados</w:t>
      </w:r>
      <w:r w:rsidRPr="00AE1B2B">
        <w:rPr>
          <w:rFonts w:ascii="Times New Roman" w:hAnsi="Times New Roman" w:eastAsia="Arial" w:cs="Times New Roman"/>
          <w:sz w:val="26"/>
          <w:szCs w:val="26"/>
        </w:rPr>
        <w:t xml:space="preserve"> durante la etapa de análisis y discusión por parte de la Asamblea Legislativa, esto según informe 1932-PLA-PP-2019 relacionado con el seguimiento realizado al Expediente 21.568 “</w:t>
      </w:r>
      <w:r w:rsidRPr="00AE1B2B">
        <w:rPr>
          <w:rFonts w:ascii="Times New Roman" w:hAnsi="Times New Roman" w:eastAsia="Arial" w:cs="Times New Roman"/>
          <w:b/>
          <w:bCs/>
          <w:i/>
          <w:iCs/>
          <w:sz w:val="26"/>
          <w:szCs w:val="26"/>
        </w:rPr>
        <w:t>Ley de Presupuesto Ordinario y Extraordinario de la República para el Ejercicio Económica del 2020</w:t>
      </w:r>
      <w:r w:rsidRPr="00AE1B2B">
        <w:rPr>
          <w:rFonts w:ascii="Times New Roman" w:hAnsi="Times New Roman" w:eastAsia="Arial" w:cs="Times New Roman"/>
          <w:sz w:val="26"/>
          <w:szCs w:val="26"/>
        </w:rPr>
        <w:t>” en la Comisión de Asuntos Hacendarios.</w:t>
      </w:r>
    </w:p>
    <w:p w:rsidRPr="00AE1B2B" w:rsidR="009D3FB5" w:rsidP="00163B94" w:rsidRDefault="009D3FB5" w14:paraId="454DAA81" w14:textId="77777777">
      <w:pPr>
        <w:spacing w:before="120" w:after="120"/>
        <w:ind w:left="851" w:right="851" w:firstLine="709"/>
        <w:jc w:val="both"/>
        <w:rPr>
          <w:rFonts w:ascii="Times New Roman" w:hAnsi="Times New Roman" w:eastAsia="Arial" w:cs="Times New Roman"/>
          <w:noProof/>
          <w:sz w:val="26"/>
          <w:szCs w:val="26"/>
        </w:rPr>
      </w:pPr>
      <w:r w:rsidRPr="00AE1B2B">
        <w:rPr>
          <w:rFonts w:ascii="Times New Roman" w:hAnsi="Times New Roman" w:eastAsia="Arial" w:cs="Times New Roman"/>
          <w:noProof/>
          <w:sz w:val="26"/>
          <w:szCs w:val="26"/>
        </w:rPr>
        <w:t xml:space="preserve">Por otro lado, mediante oficio 2339-19 del 6 de marzo de 2019, de la Secretaría de la Corte, se transcribe el acuerdo del Consejo Superior del Poder Judicial en sesión 13-19 del 15 de febrero de 2019, que literalmente dice: </w:t>
      </w:r>
    </w:p>
    <w:p w:rsidRPr="00AE1B2B" w:rsidR="009D3FB5" w:rsidP="00163B94" w:rsidRDefault="009D3FB5" w14:paraId="4F92F2E0" w14:textId="77777777">
      <w:pPr>
        <w:spacing w:before="120" w:after="120"/>
        <w:ind w:left="851" w:right="851" w:firstLine="709"/>
        <w:jc w:val="both"/>
        <w:rPr>
          <w:rFonts w:ascii="Times New Roman" w:hAnsi="Times New Roman" w:eastAsia="Arial" w:cs="Times New Roman"/>
          <w:i/>
          <w:iCs/>
          <w:noProof/>
          <w:sz w:val="26"/>
          <w:szCs w:val="26"/>
        </w:rPr>
      </w:pPr>
      <w:r w:rsidRPr="00AE1B2B">
        <w:rPr>
          <w:rFonts w:ascii="Times New Roman" w:hAnsi="Times New Roman" w:eastAsia="Arial" w:cs="Times New Roman"/>
          <w:i/>
          <w:iCs/>
          <w:noProof/>
          <w:sz w:val="26"/>
          <w:szCs w:val="26"/>
        </w:rPr>
        <w:t>“Acoger la gestión anterior, en consecuencia: Autorizar al doctor Roberto Montero García, Defensor Público Supervisor, para que como recargo asuma en codefensa con las y los defensores públicos agrarios la representación de las personas usuarias que requieran de servicios contenciosos administrativos; además, la defensa de los dos funcionarios de Gestión Humana que deben ser representados y que a su vez funja como capacitador de la Defensa Pública en litigio Contencioso Administrativo en aras de poder asumir con responsabilidad la competencia creada en la Ley N°9530.”.</w:t>
      </w:r>
    </w:p>
    <w:p w:rsidRPr="00AE1B2B" w:rsidR="009D3FB5" w:rsidP="00163B94" w:rsidRDefault="009D3FB5" w14:paraId="537C5750" w14:textId="77777777">
      <w:pPr>
        <w:spacing w:before="120" w:after="120"/>
        <w:ind w:left="851" w:right="851" w:firstLine="709"/>
        <w:jc w:val="both"/>
        <w:rPr>
          <w:rFonts w:ascii="Times New Roman" w:hAnsi="Times New Roman" w:eastAsia="Arial" w:cs="Times New Roman"/>
          <w:noProof/>
          <w:sz w:val="26"/>
          <w:szCs w:val="26"/>
        </w:rPr>
      </w:pPr>
      <w:r w:rsidRPr="00AE1B2B">
        <w:rPr>
          <w:rFonts w:ascii="Times New Roman" w:hAnsi="Times New Roman" w:eastAsia="Arial" w:cs="Times New Roman"/>
          <w:noProof/>
          <w:sz w:val="26"/>
          <w:szCs w:val="26"/>
        </w:rPr>
        <w:t xml:space="preserve">La Dirección de Planificicación mediante el informe 490-PLA-EV-2019 del 03 de abril de 2019 recomienda que las dos plazas de Defensora o Defensor Público de la Secretaría Técnica de Género continuen en dicha oficina, pero colaborando en la atención de las necesidades planteadas en la Ley 9593 de Pueblos Indígenas, </w:t>
      </w:r>
      <w:r w:rsidRPr="00AE1B2B">
        <w:rPr>
          <w:rFonts w:ascii="Times New Roman" w:hAnsi="Times New Roman" w:eastAsia="Arial" w:cs="Times New Roman"/>
          <w:noProof/>
          <w:sz w:val="26"/>
          <w:szCs w:val="26"/>
        </w:rPr>
        <w:lastRenderedPageBreak/>
        <w:t>particularmente en materia contenciosa, de tal forma que puedan estar accesibles para las personas denunciantes de hostigamiento, violencia y discriminación y atiendan el programa de giras y talleres establecido desde el año anterior. No obstante, el Consejo Superior del Poder Judicial en sesion Superior 43-19 del 14 de mayo del 2019, artículo XL, acordó:</w:t>
      </w:r>
    </w:p>
    <w:p w:rsidRPr="00AE1B2B" w:rsidR="009D3FB5" w:rsidP="00163B94" w:rsidRDefault="009D3FB5" w14:paraId="642E6D08" w14:textId="77777777">
      <w:pPr>
        <w:spacing w:before="120" w:after="120"/>
        <w:ind w:left="851" w:right="851" w:firstLine="709"/>
        <w:jc w:val="both"/>
        <w:rPr>
          <w:rFonts w:ascii="Times New Roman" w:hAnsi="Times New Roman" w:eastAsia="Arial" w:cs="Times New Roman"/>
          <w:i/>
          <w:iCs/>
          <w:noProof/>
          <w:sz w:val="26"/>
          <w:szCs w:val="26"/>
        </w:rPr>
      </w:pPr>
      <w:r w:rsidRPr="00AE1B2B">
        <w:rPr>
          <w:rFonts w:ascii="Times New Roman" w:hAnsi="Times New Roman" w:eastAsia="Arial" w:cs="Times New Roman"/>
          <w:i/>
          <w:iCs/>
          <w:noProof/>
          <w:sz w:val="26"/>
          <w:szCs w:val="26"/>
        </w:rPr>
        <w:t>(…) “3) No se aprueba lo recomendado respecto a las plazas de Defensor Público, sino que se deberá mantener solo una de estas plazas ordinarias en la oficina en cuestión, siendo que a partir de labores conexas que viene desarrollando la Dirección de Planificación en la Defensa Pública, se reasignará esta plaza para la atención de la nueva legislación que entró en vigencia a partir del 2018, atendiendo personas indígenas en los procesos Agrarios, Civiles, Contenciosos prioritariamente, así como defensa a servidores judiciales que son denunciados atendiendo las funciones inherentes a los cargos que desarrollan en el Poder Judicial, ya que se detectó la necesidad de reforzar estas funciones, pero no ha sido posible su asignación por la escases de recursos institucionales. Si se presentara un caso donde exista conflicto de intereses, la Secretaría de Género solicitará la colaboración a la Jefatura de la Defensa Pública, para lo que corresponda. La plaza que se trasladará de la Oficina de Género a la Defensa Pública, será la que indique la Jefatura de la oficina estudiada, quien deberá informar a la brevedad para realizar la variante.”.</w:t>
      </w:r>
    </w:p>
    <w:p w:rsidRPr="00AE1B2B" w:rsidR="009D3FB5" w:rsidP="00163B94" w:rsidRDefault="009D3FB5" w14:paraId="6419A4FE" w14:textId="77777777">
      <w:pPr>
        <w:spacing w:before="120" w:after="120"/>
        <w:ind w:left="851" w:right="851" w:firstLine="709"/>
        <w:jc w:val="both"/>
        <w:rPr>
          <w:rFonts w:ascii="Times New Roman" w:hAnsi="Times New Roman" w:eastAsia="Arial" w:cs="Times New Roman"/>
          <w:noProof/>
          <w:sz w:val="26"/>
          <w:szCs w:val="26"/>
        </w:rPr>
      </w:pPr>
      <w:r w:rsidRPr="00AE1B2B">
        <w:rPr>
          <w:rFonts w:ascii="Times New Roman" w:hAnsi="Times New Roman" w:eastAsia="Arial" w:cs="Times New Roman"/>
          <w:noProof/>
          <w:sz w:val="26"/>
          <w:szCs w:val="26"/>
        </w:rPr>
        <w:t>Posterior, el Consejo Superior del Poder Judicial en sesion Superior 72-19 del 16 de agosto del 2019, artículo VII, acordó:</w:t>
      </w:r>
    </w:p>
    <w:p w:rsidRPr="00AE1B2B" w:rsidR="009D3FB5" w:rsidP="00163B94" w:rsidRDefault="009D3FB5" w14:paraId="46DBA35A" w14:textId="77777777">
      <w:pPr>
        <w:spacing w:before="120" w:after="120"/>
        <w:ind w:left="851" w:right="851" w:firstLine="709"/>
        <w:jc w:val="both"/>
        <w:rPr>
          <w:rFonts w:ascii="Times New Roman" w:hAnsi="Times New Roman" w:eastAsia="Arial" w:cs="Times New Roman"/>
          <w:i/>
          <w:iCs/>
          <w:noProof/>
          <w:sz w:val="26"/>
          <w:szCs w:val="26"/>
        </w:rPr>
      </w:pPr>
      <w:r w:rsidRPr="00AE1B2B">
        <w:rPr>
          <w:rFonts w:ascii="Times New Roman" w:hAnsi="Times New Roman" w:eastAsia="Arial" w:cs="Times New Roman"/>
          <w:i/>
          <w:iCs/>
          <w:noProof/>
          <w:sz w:val="26"/>
          <w:szCs w:val="26"/>
        </w:rPr>
        <w:t>(…) “3) Acoger el recurso que plantea la licenciada Karen Rojas Paniagua, Representante Legal y Coadyuvante de las Víctimas de Hostigamiento Sexual, Discriminación y Violencia Doméstica de la Secretaría Técnica de Género y Acceso a la Justicia y, considerando que las víctimas son mayoritariamente femeninas y que se sienten más cómodas con el acompañamiento de otra mujer y por tener doña Karen más tiempo laborando en la Secretaría Técnica de Género, trasladar de manera definitiva la plaza No. 369766 ocupada en propiedad por el licenciado Jorge Miguel Sánchez Solano, Defensor Público de la Secretaría Técnica de Género, a la Defensa Pública para que se dedique a las labores que da cuenta. Lo anterior a partir de 01 de julio de 2019” (informe de la autoridad recurrida y prueba documental aportada).”.</w:t>
      </w:r>
    </w:p>
    <w:p w:rsidRPr="00AE1B2B" w:rsidR="009D3FB5" w:rsidP="00163B94" w:rsidRDefault="009D3FB5" w14:paraId="73168FEE" w14:textId="77777777">
      <w:pPr>
        <w:spacing w:before="120" w:after="120"/>
        <w:ind w:left="851" w:right="851" w:firstLine="709"/>
        <w:jc w:val="both"/>
        <w:rPr>
          <w:rFonts w:ascii="Times New Roman" w:hAnsi="Times New Roman" w:eastAsia="Arial" w:cs="Times New Roman"/>
          <w:noProof/>
          <w:sz w:val="26"/>
          <w:szCs w:val="26"/>
        </w:rPr>
      </w:pPr>
      <w:r w:rsidRPr="00AE1B2B">
        <w:rPr>
          <w:rFonts w:ascii="Times New Roman" w:hAnsi="Times New Roman" w:eastAsia="Arial" w:cs="Times New Roman"/>
          <w:noProof/>
          <w:sz w:val="26"/>
          <w:szCs w:val="26"/>
        </w:rPr>
        <w:t xml:space="preserve">Es importante indicar que, el Consejo Superior del Poder Judicial en sesión No. 60-19, celebrada el 4 de julio de 2019, artículo </w:t>
      </w:r>
      <w:r w:rsidRPr="00AE1B2B">
        <w:rPr>
          <w:rFonts w:ascii="Times New Roman" w:hAnsi="Times New Roman" w:eastAsia="Arial" w:cs="Times New Roman"/>
          <w:noProof/>
          <w:sz w:val="26"/>
          <w:szCs w:val="26"/>
        </w:rPr>
        <w:lastRenderedPageBreak/>
        <w:t xml:space="preserve">VIII, acogió parcialmente el recurso de reconsideración interpuesto por </w:t>
      </w:r>
      <w:r w:rsidRPr="00AE1B2B">
        <w:rPr>
          <w:rFonts w:ascii="Times New Roman" w:hAnsi="Times New Roman" w:eastAsia="Arial" w:cs="Times New Roman"/>
          <w:i/>
          <w:iCs/>
          <w:noProof/>
          <w:sz w:val="26"/>
          <w:szCs w:val="26"/>
        </w:rPr>
        <w:t>el</w:t>
      </w:r>
      <w:r w:rsidRPr="00AE1B2B">
        <w:rPr>
          <w:rFonts w:ascii="Times New Roman" w:hAnsi="Times New Roman" w:eastAsia="Arial" w:cs="Times New Roman"/>
          <w:noProof/>
          <w:sz w:val="26"/>
          <w:szCs w:val="26"/>
        </w:rPr>
        <w:t xml:space="preserve"> recurrente contra el acuerdo tomado en la sesión No. 52-19, del 7 de junio de 2019, artículo IX y acordó: </w:t>
      </w:r>
    </w:p>
    <w:p w:rsidRPr="00AE1B2B" w:rsidR="009D3FB5" w:rsidP="00163B94" w:rsidRDefault="009D3FB5" w14:paraId="439C8E4E" w14:textId="77777777">
      <w:pPr>
        <w:spacing w:before="120" w:after="120"/>
        <w:ind w:left="851" w:right="851" w:firstLine="709"/>
        <w:jc w:val="both"/>
        <w:rPr>
          <w:rFonts w:ascii="Times New Roman" w:hAnsi="Times New Roman" w:eastAsia="Arial" w:cs="Times New Roman"/>
          <w:i/>
          <w:iCs/>
          <w:noProof/>
          <w:sz w:val="26"/>
          <w:szCs w:val="26"/>
        </w:rPr>
      </w:pPr>
      <w:r w:rsidRPr="00AE1B2B">
        <w:rPr>
          <w:rFonts w:ascii="Times New Roman" w:hAnsi="Times New Roman" w:eastAsia="Arial" w:cs="Times New Roman"/>
          <w:i/>
          <w:iCs/>
          <w:noProof/>
          <w:sz w:val="26"/>
          <w:szCs w:val="26"/>
        </w:rPr>
        <w:t>"Acoger parcialmente el recurso de reconsideración presentado por el licenciado Jorge Sánchez Solano, Defensor Público, y modificar el acuerdo adoptado por este Consejo en sesión No 52-19 del 7 de junio de 2019, artículo IX, en el sentido que la Jefatura de la Defensa Pública deberá de mantener al licenciado Sánchez Solano destacado en una de las Oficinas del Primer Circuito Judicial de San José, reforzando aquellas áreas que estime conveniente, y de acuerdo a los conocimientos que tenga don Jorge. Por lo anterior, solicitar a la jefatura de la Defensa Pública, ubique y asigne funciones a citado servidor, que le permita mantener control sobre su salud, consideración para ello, el despacho que se adapte de mejor manera para ello. 2.) Deberá la Unidad de Capacitación de la Defensa Pública, apoyar y capacitar, al licenciado Sánchez Solano, en su formación como defensor público, para que pueda desarrollarse en ese campo, y afronte de manera exitosa las tareas que le sean asignadas, para el buen desempeño en sus labores. 3.) Por lo anterior, y con el fin de cumplir con los requerimientos establecidos por la Corte Plena para la atención en defensa de la persona indígena, en atención a la Ley 9593, la Defensa Pública, realizará los movimientos de personal que permitan ubicar a un profesional con el perfil idóneo, para atender esta labor.”.</w:t>
      </w:r>
    </w:p>
    <w:p w:rsidRPr="00AE1B2B" w:rsidR="009D3FB5" w:rsidP="00163B94" w:rsidRDefault="009D3FB5" w14:paraId="680C0F17" w14:textId="77777777">
      <w:pPr>
        <w:spacing w:before="120" w:after="120"/>
        <w:ind w:left="851" w:right="851" w:firstLine="709"/>
        <w:jc w:val="both"/>
        <w:rPr>
          <w:rFonts w:ascii="Times New Roman" w:hAnsi="Times New Roman" w:eastAsia="Arial" w:cs="Times New Roman"/>
          <w:noProof/>
          <w:sz w:val="26"/>
          <w:szCs w:val="26"/>
        </w:rPr>
      </w:pPr>
      <w:r w:rsidRPr="00AE1B2B">
        <w:rPr>
          <w:rFonts w:ascii="Times New Roman" w:hAnsi="Times New Roman" w:eastAsia="Arial" w:cs="Times New Roman"/>
          <w:noProof/>
          <w:sz w:val="26"/>
          <w:szCs w:val="26"/>
        </w:rPr>
        <w:t>Por lo anterior, la Jefatura de la Defensa Pública solventó la necesidad movilizando al Dr. Roberto Montero García para la atención de esta materia.</w:t>
      </w:r>
    </w:p>
    <w:p w:rsidRPr="00AE1B2B" w:rsidR="009D3FB5" w:rsidP="00163B94" w:rsidRDefault="009D3FB5" w14:paraId="31ABCD82" w14:textId="77777777">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Mediante el oficio 507-PLA-RH-MI-2020 del 30 de marzo el preliminar de este informe denominado Impacto organizacional y presupuestario en el Poder Judicial, (Defensa Pública) a partir de la promulgación de la Ley 9593 de Acceso la Justicia de los Pueblos Indígenas, fue puesto en conocimiento de la Comisión de Acceso a la Justicia, la Defensa Pública, Dirección de Tecnología de Información y Dirección de Gestión Humana, con el fin de que emitieran sus observaciones para ser consideradas en el informe.</w:t>
      </w:r>
    </w:p>
    <w:p w:rsidRPr="00AE1B2B" w:rsidR="009D3FB5" w:rsidP="00163B94" w:rsidRDefault="009D3FB5" w14:paraId="26F7BA23" w14:textId="77777777">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Como respuesta se recibió el oficio 662-DTI-2020 del 3 de abril y el 712-DTI-2020 del 15 de abril de 2020 de la Dirección de Tecnología de Información; y el oficio JEFDP- 365-2020 del 14 de abril de 2020 de la Jefatura de la Defensa Pública, donde emiten sus observaciones al respecto.</w:t>
      </w:r>
    </w:p>
    <w:p w:rsidRPr="00AE1B2B" w:rsidR="009D3FB5" w:rsidP="00163B94" w:rsidRDefault="009D3FB5" w14:paraId="08AC9641" w14:textId="77777777">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Book Antiqua" w:cs="Times New Roman"/>
          <w:sz w:val="26"/>
          <w:szCs w:val="26"/>
        </w:rPr>
        <w:lastRenderedPageBreak/>
        <w:t>El Consejo Superior en sesión extraordinaria 38-2020 (</w:t>
      </w:r>
      <w:r w:rsidRPr="00AE1B2B">
        <w:rPr>
          <w:rFonts w:ascii="Times New Roman" w:hAnsi="Times New Roman" w:eastAsia="Book Antiqua" w:cs="Times New Roman"/>
          <w:i/>
          <w:iCs/>
          <w:sz w:val="26"/>
          <w:szCs w:val="26"/>
        </w:rPr>
        <w:t>Presupuesto 2021</w:t>
      </w:r>
      <w:r w:rsidRPr="00AE1B2B">
        <w:rPr>
          <w:rFonts w:ascii="Times New Roman" w:hAnsi="Times New Roman" w:eastAsia="Book Antiqua" w:cs="Times New Roman"/>
          <w:sz w:val="26"/>
          <w:szCs w:val="26"/>
        </w:rPr>
        <w:t>), celebrada el 17 de abril del año en mención, artículo XXI, referente al estudio de Requerimiento de Recurso Humano 507-PLA-RH-MI-2020, dispuso lo siguiente:</w:t>
      </w:r>
    </w:p>
    <w:p w:rsidRPr="00AE1B2B" w:rsidR="009D3FB5" w:rsidP="00163B94" w:rsidRDefault="009D3FB5" w14:paraId="600CDE4E"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b/>
          <w:bCs/>
          <w:sz w:val="26"/>
          <w:szCs w:val="26"/>
        </w:rPr>
        <w:t>“</w:t>
      </w:r>
      <w:r w:rsidRPr="00AE1B2B">
        <w:rPr>
          <w:rFonts w:ascii="Times New Roman" w:hAnsi="Times New Roman" w:eastAsia="Book Antiqua" w:cs="Times New Roman"/>
          <w:b/>
          <w:bCs/>
          <w:i/>
          <w:iCs/>
          <w:sz w:val="26"/>
          <w:szCs w:val="26"/>
        </w:rPr>
        <w:t>Se acordó: 1.)</w:t>
      </w:r>
      <w:r w:rsidRPr="00AE1B2B">
        <w:rPr>
          <w:rFonts w:ascii="Times New Roman" w:hAnsi="Times New Roman" w:eastAsia="Book Antiqua" w:cs="Times New Roman"/>
          <w:i/>
          <w:iCs/>
          <w:sz w:val="26"/>
          <w:szCs w:val="26"/>
        </w:rPr>
        <w:t xml:space="preserve"> </w:t>
      </w:r>
      <w:r w:rsidRPr="00AE1B2B">
        <w:rPr>
          <w:rFonts w:ascii="Times New Roman" w:hAnsi="Times New Roman" w:eastAsia="Book Antiqua" w:cs="Times New Roman"/>
          <w:b/>
          <w:bCs/>
          <w:i/>
          <w:iCs/>
          <w:sz w:val="26"/>
          <w:szCs w:val="26"/>
        </w:rPr>
        <w:t>Aprobar el informe 507-PLA-RH-OI-2020 de la Dirección de Planificación y sus recomendaciones</w:t>
      </w:r>
      <w:r w:rsidRPr="00AE1B2B">
        <w:rPr>
          <w:rFonts w:ascii="Times New Roman" w:hAnsi="Times New Roman" w:eastAsia="Book Antiqua" w:cs="Times New Roman"/>
          <w:i/>
          <w:iCs/>
          <w:sz w:val="26"/>
          <w:szCs w:val="26"/>
        </w:rPr>
        <w:t xml:space="preserve"> (…) </w:t>
      </w:r>
      <w:r w:rsidRPr="00AE1B2B">
        <w:rPr>
          <w:rFonts w:ascii="Times New Roman" w:hAnsi="Times New Roman" w:eastAsia="Book Antiqua" w:cs="Times New Roman"/>
          <w:b/>
          <w:bCs/>
          <w:i/>
          <w:iCs/>
          <w:sz w:val="26"/>
          <w:szCs w:val="26"/>
        </w:rPr>
        <w:t xml:space="preserve">2) </w:t>
      </w:r>
      <w:r w:rsidRPr="00AE1B2B">
        <w:rPr>
          <w:rFonts w:ascii="Times New Roman" w:hAnsi="Times New Roman" w:eastAsia="Book Antiqua" w:cs="Times New Roman"/>
          <w:i/>
          <w:iCs/>
          <w:sz w:val="26"/>
          <w:szCs w:val="26"/>
        </w:rPr>
        <w:t xml:space="preserve">En relación con la solicitud de los recursos necesarios para la implementación de esta nueva legislación deberá solicitarse la incorporación de los recursos al Ministerio de Hacienda, de forma separada al Presupuesto ordinario, ya que constituyen necesidades adicionales para el Poder Judicial. </w:t>
      </w:r>
      <w:r w:rsidRPr="00AE1B2B">
        <w:rPr>
          <w:rFonts w:ascii="Times New Roman" w:hAnsi="Times New Roman" w:eastAsia="Book Antiqua" w:cs="Times New Roman"/>
          <w:b/>
          <w:bCs/>
          <w:i/>
          <w:iCs/>
          <w:sz w:val="26"/>
          <w:szCs w:val="26"/>
        </w:rPr>
        <w:t>3.)</w:t>
      </w:r>
      <w:r w:rsidRPr="00AE1B2B">
        <w:rPr>
          <w:rFonts w:ascii="Times New Roman" w:hAnsi="Times New Roman" w:eastAsia="Book Antiqua" w:cs="Times New Roman"/>
          <w:i/>
          <w:iCs/>
          <w:sz w:val="26"/>
          <w:szCs w:val="26"/>
        </w:rPr>
        <w:t xml:space="preserve"> </w:t>
      </w:r>
      <w:r w:rsidRPr="00AE1B2B">
        <w:rPr>
          <w:rFonts w:ascii="Times New Roman" w:hAnsi="Times New Roman" w:eastAsia="Book Antiqua" w:cs="Times New Roman"/>
          <w:b/>
          <w:bCs/>
          <w:i/>
          <w:iCs/>
          <w:sz w:val="26"/>
          <w:szCs w:val="26"/>
        </w:rPr>
        <w:t>Rechazar las observaciones presentadas por la máster Diana Montero Montero, Jefa interina de la Defensa Pública y mantener el informe Nº 507-PLA-RH-OI-2020. 4.) Tomar nota de las observaciones presentadas por la máster Kattia Morales Navarro, Directora de Tecnología de la Información y tener por corregidas las observaciones señaladas, dentro del citado informe.</w:t>
      </w:r>
      <w:r w:rsidRPr="00AE1B2B">
        <w:rPr>
          <w:rFonts w:ascii="Times New Roman" w:hAnsi="Times New Roman" w:eastAsia="Book Antiqua" w:cs="Times New Roman"/>
          <w:i/>
          <w:iCs/>
          <w:sz w:val="26"/>
          <w:szCs w:val="26"/>
        </w:rPr>
        <w:t xml:space="preserve"> </w:t>
      </w:r>
      <w:r w:rsidRPr="00AE1B2B">
        <w:rPr>
          <w:rFonts w:ascii="Times New Roman" w:hAnsi="Times New Roman" w:eastAsia="Book Antiqua" w:cs="Times New Roman"/>
          <w:b/>
          <w:bCs/>
          <w:i/>
          <w:iCs/>
          <w:sz w:val="26"/>
          <w:szCs w:val="26"/>
        </w:rPr>
        <w:t>Se declara acuerdo firme.</w:t>
      </w:r>
      <w:r w:rsidRPr="00AE1B2B">
        <w:rPr>
          <w:rFonts w:ascii="Times New Roman" w:hAnsi="Times New Roman" w:eastAsia="Book Antiqua" w:cs="Times New Roman"/>
          <w:i/>
          <w:iCs/>
          <w:sz w:val="26"/>
          <w:szCs w:val="26"/>
        </w:rPr>
        <w:t>”</w:t>
      </w:r>
      <w:r w:rsidRPr="00AE1B2B">
        <w:rPr>
          <w:rFonts w:ascii="Times New Roman" w:hAnsi="Times New Roman" w:eastAsia="Book Antiqua" w:cs="Times New Roman"/>
          <w:sz w:val="26"/>
          <w:szCs w:val="26"/>
        </w:rPr>
        <w:t>” (La negrita no es del original)</w:t>
      </w:r>
    </w:p>
    <w:p w:rsidRPr="00AE1B2B" w:rsidR="009D3FB5" w:rsidP="00163B94" w:rsidRDefault="009D3FB5" w14:paraId="68B933FF"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El 17 de abril de 2020, ingresó como respuesta extemporánea el oficio CACC-116-2020 suscrito por el Magistrado por el Magistrado Jorge Olaso Álvarez, Coordinador de la Comisión de Acceso a la Justicia, donde emite sus observaciones al respecto.</w:t>
      </w:r>
    </w:p>
    <w:p w:rsidRPr="00AE1B2B" w:rsidR="009D3FB5" w:rsidP="00163B94" w:rsidRDefault="009D3FB5" w14:paraId="240C996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27 de abril de 2020, se recibió de forma extemporánea el oficio PJ-DGH-SAP-135-2020 de la Licda. María Gabriela Mora Zamora, Jefa de Sección de Análisis de Puestos de la Dirección de Gestión Humana, donde realiza observaciones referentes al informe 507-PLA-RH-MI-2020.</w:t>
      </w:r>
    </w:p>
    <w:p w:rsidRPr="00AE1B2B" w:rsidR="009D3FB5" w:rsidP="00163B94" w:rsidRDefault="009D3FB5" w14:paraId="1266B1A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sesión extraordinaria del Consejo Superior 45-2020 del 8 de mayo de 2020, artículo XXII fueron conocidos los oficios 659-PLA-RH-MI-2020 y 660-PLA-RH-MI-2020 donde se atendieron las observaciones planteadas por la Comisión de Acceso a la Justicia y por la Sección de Análisis de Puestos de la Dirección de Gestión Humana; en el mismo se dispuso por el Consejo Superior aprobar ambos oficios de la Dirección de Planificación y sus recomendaciones.</w:t>
      </w:r>
    </w:p>
    <w:p w:rsidRPr="00AE1B2B" w:rsidR="009D3FB5" w:rsidP="00163B94" w:rsidRDefault="009D3FB5" w14:paraId="08B94ED3"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Posteriormente, como reconsideraciones al acuerdo tomado por el Consejo Superior en sesión extraordinaria 38-2020 (</w:t>
      </w:r>
      <w:r w:rsidRPr="00AE1B2B">
        <w:rPr>
          <w:rFonts w:ascii="Times New Roman" w:hAnsi="Times New Roman" w:eastAsia="Book Antiqua" w:cs="Times New Roman"/>
          <w:i/>
          <w:iCs/>
          <w:sz w:val="26"/>
          <w:szCs w:val="26"/>
        </w:rPr>
        <w:t>Presupuesto 2021</w:t>
      </w:r>
      <w:r w:rsidRPr="00AE1B2B">
        <w:rPr>
          <w:rFonts w:ascii="Times New Roman" w:hAnsi="Times New Roman" w:eastAsia="Book Antiqua" w:cs="Times New Roman"/>
          <w:sz w:val="26"/>
          <w:szCs w:val="26"/>
        </w:rPr>
        <w:t xml:space="preserve">), celebrada el 17 de abril de 2020, artículo XXI, referente al estudio de Requerimiento de Recurso Humano 507-PLA-RH-MI-2020; se conoce el oficio 779-DTI-2020 del 29 de abril de 2020 y el 782-DTI-2020 ambos de la Dirección de Tecnología de </w:t>
      </w:r>
      <w:r w:rsidRPr="00AE1B2B">
        <w:rPr>
          <w:rFonts w:ascii="Times New Roman" w:hAnsi="Times New Roman" w:eastAsia="Book Antiqua" w:cs="Times New Roman"/>
          <w:sz w:val="26"/>
          <w:szCs w:val="26"/>
        </w:rPr>
        <w:lastRenderedPageBreak/>
        <w:t>Información; y el oficio JEFDP-450-2020 del 04 de mayo de 2020, suscrito por la M.Sc. Diana Montero Montero, Jefatura de la Defensa Pública.</w:t>
      </w:r>
    </w:p>
    <w:p w:rsidRPr="00AE1B2B" w:rsidR="009D3FB5" w:rsidP="00163B94" w:rsidRDefault="009D3FB5" w14:paraId="4811A641"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En sesión extraordinaria del Consejo Superior 48-2020 del 14 de mayo en los artículos VII y X se conocieron los oficios 661-PLA-RH-MI-2020 de la Dirección de Planificación referente a las reconsideraciones planteadas por la Dirección de Tecnología de Información y el oficio 692-PLA-RH-MI-2020 en respuesta las reconsideraciones presentadas por la Jefatura de la Defensa Pública; en ambos artículos se dispuso aprobar los informes de la Dirección de Planificación y mantener lo dispuesto por el Consejo Superior en la sesión extraordinaria 38-2020 (</w:t>
      </w:r>
      <w:r w:rsidRPr="00AE1B2B">
        <w:rPr>
          <w:rFonts w:ascii="Times New Roman" w:hAnsi="Times New Roman" w:eastAsia="Book Antiqua" w:cs="Times New Roman"/>
          <w:i/>
          <w:iCs/>
          <w:sz w:val="26"/>
          <w:szCs w:val="26"/>
        </w:rPr>
        <w:t>Presupuesto 2021</w:t>
      </w:r>
      <w:r w:rsidRPr="00AE1B2B">
        <w:rPr>
          <w:rFonts w:ascii="Times New Roman" w:hAnsi="Times New Roman" w:eastAsia="Book Antiqua" w:cs="Times New Roman"/>
          <w:sz w:val="26"/>
          <w:szCs w:val="26"/>
        </w:rPr>
        <w:t>), celebrada el 17 de abril de 2020, artículo XXI.</w:t>
      </w:r>
    </w:p>
    <w:p w:rsidRPr="00AE1B2B" w:rsidR="009D3FB5" w:rsidP="00163B94" w:rsidRDefault="009D3FB5" w14:paraId="6823EEE4"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En sesión extraordinaria de Corte Plena 31-2020 celebrada el 2 de junio de 2020, artículos I y II se acordó aprobar el Presupuesto ordinario del Poder Judicial para el 2021 correspondiente a la Ley de Acceso a la Justicia de los Pueblos Indígenas de Costa Rica.</w:t>
      </w:r>
    </w:p>
    <w:p w:rsidRPr="00AE1B2B" w:rsidR="009D3FB5" w:rsidP="00163B94" w:rsidRDefault="009D3FB5" w14:paraId="45909484"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Mediante el oficio 139-P-2020 del 12 de junio de 2020, el Señor Fernando Cruz Castro, Presidente de la Corte Suprema de Justicia; comunica al Señor Elián Villegas Valverde, Ministro de Hacienda; que en la reunión sostenida el 01 de junio y en sesión N°31-20, articulo I del 02 de junio de 2020 se discutió y se aprobó el Proyecto de Presupuesto del Poder Judicial para el 2021, el cual se ajustó al límite presupuestario establecido por el Ministerio de Hacienda. Y, debido a las limitaciones presupuestarias, la Corte Plena acordó hacer una instancia, tanto al Ministerio de Hacienda como a la Asamblea Legislativa, para que se valore la posibilidad de contar con financiamiento adicional al gasto ordinario para atender las nuevas obligaciones encomendadas por el Asamblea Legislativa para la atención específica de la Ley 9593 de Acceso a Pueblos Indígenas (</w:t>
      </w:r>
      <w:r w:rsidRPr="00AE1B2B">
        <w:rPr>
          <w:rFonts w:ascii="Times New Roman" w:hAnsi="Times New Roman" w:eastAsia="Book Antiqua" w:cs="Times New Roman"/>
          <w:i/>
          <w:iCs/>
          <w:sz w:val="26"/>
          <w:szCs w:val="26"/>
        </w:rPr>
        <w:t>entre otras leyes</w:t>
      </w:r>
      <w:r w:rsidRPr="00AE1B2B">
        <w:rPr>
          <w:rFonts w:ascii="Times New Roman" w:hAnsi="Times New Roman" w:eastAsia="Book Antiqua" w:cs="Times New Roman"/>
          <w:sz w:val="26"/>
          <w:szCs w:val="26"/>
        </w:rPr>
        <w:t>).</w:t>
      </w:r>
    </w:p>
    <w:p w:rsidRPr="00AE1B2B" w:rsidR="009D3FB5" w:rsidP="00163B94" w:rsidRDefault="009D3FB5" w14:paraId="569E772D"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 xml:space="preserve">Finalmente, Corte Plena en sesión 55-2020 del 28 de setiembre de 2020, tiene por rendido el informe de la Dirección de Planificación N°1430-PLA-PP-2020 del 22 de setiembre de 2020, así como la exposición de la Licenciada Nacira Valverde Bermúdez, Directora a.i de Planificación; sobre la revisión del Presupuesto ordinario del Poder Judicial del año 2021. Específicamente, sobre el presupuesto solicitado para el financiamiento de la </w:t>
      </w:r>
      <w:r w:rsidRPr="00AE1B2B">
        <w:rPr>
          <w:rFonts w:ascii="Times New Roman" w:hAnsi="Times New Roman" w:eastAsia="Book Antiqua" w:cs="Times New Roman"/>
          <w:b/>
          <w:bCs/>
          <w:sz w:val="26"/>
          <w:szCs w:val="26"/>
        </w:rPr>
        <w:t>Ley 9593 Acceso a la Justicia de los Pueblos Indígenas</w:t>
      </w:r>
      <w:r w:rsidRPr="00AE1B2B">
        <w:rPr>
          <w:rFonts w:ascii="Times New Roman" w:hAnsi="Times New Roman" w:eastAsia="Book Antiqua" w:cs="Times New Roman"/>
          <w:sz w:val="26"/>
          <w:szCs w:val="26"/>
        </w:rPr>
        <w:t xml:space="preserve"> se indica que no fueron incorporados por el Ministerio de Hacienda al presupuesto ordinario, ni tampoco se remitieron como requerimiento adicional a la Asamblea Legislativa.</w:t>
      </w:r>
    </w:p>
    <w:p w:rsidRPr="00AE1B2B" w:rsidR="009D3FB5" w:rsidP="00163B94" w:rsidRDefault="009D3FB5" w14:paraId="184ED06B"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lastRenderedPageBreak/>
        <w:t xml:space="preserve">El 11 de mayo de 2020 se interpone un recurso de amparo en contra del Poder Judicial y, mediante la resolución N°2020010431 de la Sala Constitucional de la Corte Suprema de Justicia se le ordena a la persona coordinadora de la Defensa Pública de San Vito de Coto Brus realice las gestiones pertinentes para que, de forma inmediata, se verifique si la persona que interpuso el recurso de amparo cuenta con los medios económicos para sufragar patrocinio letrado y, si carece de los mismos, nombrarle una persona defensora que le represente en el proceso alimenticio. Lo anterior debido a que el </w:t>
      </w:r>
      <w:r w:rsidRPr="00AE1B2B">
        <w:rPr>
          <w:rFonts w:ascii="Times New Roman" w:hAnsi="Times New Roman" w:eastAsia="Book Antiqua" w:cs="Times New Roman"/>
          <w:b/>
          <w:bCs/>
          <w:sz w:val="26"/>
          <w:szCs w:val="26"/>
        </w:rPr>
        <w:t>artículo 13 de la Ley de Pensiones Alimentarias</w:t>
      </w:r>
      <w:r w:rsidRPr="00AE1B2B">
        <w:rPr>
          <w:rFonts w:ascii="Times New Roman" w:hAnsi="Times New Roman" w:eastAsia="Book Antiqua" w:cs="Times New Roman"/>
          <w:sz w:val="26"/>
          <w:szCs w:val="26"/>
        </w:rPr>
        <w:t xml:space="preserve"> no realiza distinción alguna en cuanto a la parte actora a quien se le debe brindar la asistencia legal y, solo establece, a especie de requisito o condición para proveerlo que la parte interesada o solicitante carezca de recursos para sufragarlo, en cuyo caso debe ser demostrado previamente.</w:t>
      </w:r>
    </w:p>
    <w:p w:rsidRPr="00AE1B2B" w:rsidR="009D3FB5" w:rsidP="00163B94" w:rsidRDefault="009D3FB5" w14:paraId="229E4EE6"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 xml:space="preserve">Respecto a la posible implicación de la representación de menores de edad y su rol de participación en los procesos judiciales, debe considerarse lo dispuesto en la Ley 9747 en la Sección III Capacidad y Representación, en la subsección II Representación procesal de personas menores de edad y de personas con discapacidad, específicamente en los artículos 41 y 42 y el rol que podrá asumir la Defensa Pública. </w:t>
      </w:r>
      <w:r w:rsidRPr="00AE1B2B">
        <w:rPr>
          <w:rFonts w:ascii="Times New Roman" w:hAnsi="Times New Roman" w:eastAsia="Book Antiqua" w:cs="Times New Roman"/>
          <w:b/>
          <w:bCs/>
          <w:sz w:val="26"/>
          <w:szCs w:val="26"/>
        </w:rPr>
        <w:t>Ver apéndice 9</w:t>
      </w:r>
      <w:r w:rsidRPr="00AE1B2B">
        <w:rPr>
          <w:rFonts w:ascii="Times New Roman" w:hAnsi="Times New Roman" w:eastAsia="Book Antiqua" w:cs="Times New Roman"/>
          <w:sz w:val="26"/>
          <w:szCs w:val="26"/>
        </w:rPr>
        <w:t>.</w:t>
      </w:r>
    </w:p>
    <w:p w:rsidRPr="00AE1B2B" w:rsidR="009D3FB5" w:rsidP="00163B94" w:rsidRDefault="009D3FB5" w14:paraId="2E457F9C" w14:textId="77777777">
      <w:pPr>
        <w:spacing w:before="120" w:after="120"/>
        <w:ind w:left="851" w:right="851" w:firstLine="709"/>
        <w:jc w:val="both"/>
        <w:rPr>
          <w:rFonts w:ascii="Times New Roman" w:hAnsi="Times New Roman" w:eastAsia="Book Antiqua" w:cs="Times New Roman"/>
          <w:b/>
          <w:bCs/>
          <w:i/>
          <w:iCs/>
          <w:sz w:val="26"/>
          <w:szCs w:val="26"/>
        </w:rPr>
      </w:pPr>
    </w:p>
    <w:p w:rsidRPr="00AE1B2B" w:rsidR="009D3FB5" w:rsidP="00163B94" w:rsidRDefault="009D3FB5" w14:paraId="3B3D4409" w14:textId="77777777">
      <w:pPr>
        <w:spacing w:before="120" w:after="120"/>
        <w:ind w:left="851" w:right="851" w:firstLine="709"/>
        <w:jc w:val="both"/>
        <w:rPr>
          <w:rFonts w:ascii="Times New Roman" w:hAnsi="Times New Roman" w:eastAsia="Book Antiqua" w:cs="Times New Roman"/>
          <w:b/>
          <w:bCs/>
          <w:i/>
          <w:iCs/>
          <w:sz w:val="26"/>
          <w:szCs w:val="26"/>
        </w:rPr>
      </w:pPr>
      <w:r w:rsidRPr="00AE1B2B">
        <w:rPr>
          <w:rFonts w:ascii="Times New Roman" w:hAnsi="Times New Roman" w:eastAsia="Book Antiqua" w:cs="Times New Roman"/>
          <w:b/>
          <w:bCs/>
          <w:i/>
          <w:iCs/>
          <w:sz w:val="26"/>
          <w:szCs w:val="26"/>
        </w:rPr>
        <w:t>“Artículo 41- Representación de personas menores de edad</w:t>
      </w:r>
    </w:p>
    <w:p w:rsidRPr="00AE1B2B" w:rsidR="009D3FB5" w:rsidP="00163B94" w:rsidRDefault="009D3FB5" w14:paraId="3867E83C"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Se reconoce a todas las personas mayores de doce años el ejercicio personal y pleno de la capacidad procesal para el trámite de los procesos establecidos en este Código, sin perjuicio de que prefieran que sus padres u otras personas representantes actúen en su nombre.</w:t>
      </w:r>
    </w:p>
    <w:p w:rsidRPr="00AE1B2B" w:rsidR="009D3FB5" w:rsidP="00163B94" w:rsidRDefault="009D3FB5" w14:paraId="05450CE8"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 xml:space="preserve">Tratándose de personas menores de doce años, la autoridad judicial llamará a quien ejerza la responsabilidad parental o bien, en su caso, a quien asigne el Patronato Nacional de la Infancia (PANI) y, si esta persona no se encontrara disponible en ese momento, podrá nombrársele representación provisional hasta tanto el ente mencionado apersone a la persona elegida. No obstante, estas personas podrán ejercer el derecho a ser oídas y participar activamente de manera progresiva y conforme a su capacidad volitiva, según la ley y bajo la apreciación del tribunal, teniendo derecho de acudir personalmente ante este y a que se les atienda de forma personalizada y conforme a sus características etarias, </w:t>
      </w:r>
      <w:r w:rsidRPr="00AE1B2B">
        <w:rPr>
          <w:rFonts w:ascii="Times New Roman" w:hAnsi="Times New Roman" w:eastAsia="Book Antiqua" w:cs="Times New Roman"/>
          <w:i/>
          <w:iCs/>
          <w:sz w:val="26"/>
          <w:szCs w:val="26"/>
        </w:rPr>
        <w:lastRenderedPageBreak/>
        <w:t>debiendo velar, las personas funcionarias judiciales, por la efectivización de los derechos de las personas menores de edad.</w:t>
      </w:r>
    </w:p>
    <w:p w:rsidRPr="00AE1B2B" w:rsidR="009D3FB5" w:rsidP="00163B94" w:rsidRDefault="009D3FB5" w14:paraId="450CE238"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Excepcionalmente, las personas menores de doce años podrán accionar de forma personal. En este caso, para el inicio del proceso el tribunal deberá contar con un informe psicológico del Departamento de Trabajo Social y Psicología del Poder Judicial, que acredite que la persona menor de edad tiene la capacidad para ejercer dicha acción.”</w:t>
      </w:r>
    </w:p>
    <w:p w:rsidRPr="00AE1B2B" w:rsidR="009D3FB5" w:rsidP="00163B94" w:rsidRDefault="009D3FB5" w14:paraId="1A4F5231" w14:textId="77777777">
      <w:pPr>
        <w:spacing w:before="120" w:after="120"/>
        <w:ind w:left="851" w:right="851" w:firstLine="709"/>
        <w:jc w:val="both"/>
        <w:rPr>
          <w:rFonts w:ascii="Times New Roman" w:hAnsi="Times New Roman" w:eastAsia="Book Antiqua" w:cs="Times New Roman"/>
          <w:b/>
          <w:bCs/>
          <w:i/>
          <w:iCs/>
          <w:sz w:val="26"/>
          <w:szCs w:val="26"/>
        </w:rPr>
      </w:pPr>
      <w:r w:rsidRPr="00AE1B2B">
        <w:rPr>
          <w:rFonts w:ascii="Times New Roman" w:hAnsi="Times New Roman" w:eastAsia="Book Antiqua" w:cs="Times New Roman"/>
          <w:b/>
          <w:bCs/>
          <w:i/>
          <w:iCs/>
          <w:sz w:val="26"/>
          <w:szCs w:val="26"/>
        </w:rPr>
        <w:t>“Artículo 42- Asistencia y patrocinio letrado gratuito</w:t>
      </w:r>
    </w:p>
    <w:p w:rsidRPr="00AE1B2B" w:rsidR="009D3FB5" w:rsidP="00163B94" w:rsidRDefault="009D3FB5" w14:paraId="7010DF17"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El Estado garantizará la asistencia y el patrocinio letrado gratuito a las personas menores de edad que carezcan de medios económicos suficientes.”.</w:t>
      </w:r>
    </w:p>
    <w:p w:rsidRPr="00AE1B2B" w:rsidR="009D3FB5" w:rsidP="00163B94" w:rsidRDefault="009D3FB5" w14:paraId="524B6586"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31829C5F"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7AB5C86B"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2AD69DE5"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067418C3"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2EE697A7"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Justificación</w:t>
      </w:r>
    </w:p>
    <w:p w:rsidRPr="00AE1B2B" w:rsidR="009D3FB5" w:rsidP="00163B94" w:rsidRDefault="009D3FB5" w14:paraId="5F54BEF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siguiente informe responde a la actualización del análisis presentado para el presupuesto 2021 que contempla los cambios de entrada en vigencia de la </w:t>
      </w:r>
      <w:r w:rsidRPr="00AE1B2B">
        <w:rPr>
          <w:rFonts w:ascii="Times New Roman" w:hAnsi="Times New Roman" w:cs="Times New Roman"/>
          <w:b/>
          <w:bCs/>
          <w:sz w:val="26"/>
          <w:szCs w:val="26"/>
        </w:rPr>
        <w:t>Ley 9593 de Acceso a la Justicia de los Pueblos Indígenas</w:t>
      </w:r>
      <w:r w:rsidRPr="00AE1B2B">
        <w:rPr>
          <w:rFonts w:ascii="Times New Roman" w:hAnsi="Times New Roman" w:cs="Times New Roman"/>
          <w:sz w:val="26"/>
          <w:szCs w:val="26"/>
        </w:rPr>
        <w:t>, ya que en el presupuesto 2021 no se brindaron recursos para cubrir esta nueva legislación, por lo que nuevamente se revisa y actualiza el informe para conocimiento del Consejo Superior y Corte Plena.</w:t>
      </w:r>
    </w:p>
    <w:p w:rsidRPr="00AE1B2B" w:rsidR="009D3FB5" w:rsidP="00163B94" w:rsidRDefault="009D3FB5" w14:paraId="512E75F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Aunado a lo anterior, el presente informe técnico es insumo por lo ordenado por la Comisión Interamericana de Derechos Humanos (</w:t>
      </w:r>
      <w:r w:rsidRPr="00AE1B2B">
        <w:rPr>
          <w:rFonts w:ascii="Times New Roman" w:hAnsi="Times New Roman" w:cs="Times New Roman"/>
          <w:i/>
          <w:iCs/>
          <w:sz w:val="26"/>
          <w:szCs w:val="26"/>
        </w:rPr>
        <w:t>medidas cautelares 321-12</w:t>
      </w:r>
      <w:r w:rsidRPr="00AE1B2B">
        <w:rPr>
          <w:rFonts w:ascii="Times New Roman" w:hAnsi="Times New Roman" w:cs="Times New Roman"/>
          <w:sz w:val="26"/>
          <w:szCs w:val="26"/>
        </w:rPr>
        <w:t>), con la finalidad de establecer al Estado Costarricense el deber de adoptar las acciones necesarias para proteger la vida de las poblaciones indígenas.</w:t>
      </w:r>
    </w:p>
    <w:p w:rsidRPr="00AE1B2B" w:rsidR="009D3FB5" w:rsidP="00163B94" w:rsidRDefault="009D3FB5" w14:paraId="7E6FC6E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Además de lo anterior, a continuación, se numeran aspectos técnico jurídicos que justifican el presente estudio:</w:t>
      </w:r>
    </w:p>
    <w:p w:rsidRPr="00AE1B2B" w:rsidR="009D3FB5" w:rsidP="00163B94" w:rsidRDefault="009D3FB5" w14:paraId="212EDE78"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t>Constitución Política</w:t>
      </w:r>
    </w:p>
    <w:p w:rsidRPr="00AE1B2B" w:rsidR="009D3FB5" w:rsidP="00163B94" w:rsidRDefault="009D3FB5" w14:paraId="1E1964F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Constitución Política de Costa Rica, el pasado 24 de agosto de 2015, estableció dentro del Artículo 1°: “</w:t>
      </w:r>
      <w:r w:rsidRPr="00AE1B2B">
        <w:rPr>
          <w:rFonts w:ascii="Times New Roman" w:hAnsi="Times New Roman" w:cs="Times New Roman"/>
          <w:i/>
          <w:iCs/>
          <w:sz w:val="26"/>
          <w:szCs w:val="26"/>
        </w:rPr>
        <w:t xml:space="preserve">Costa Rica es una República democrática, libre, independiente, </w:t>
      </w:r>
      <w:r w:rsidRPr="00AE1B2B">
        <w:rPr>
          <w:rFonts w:ascii="Times New Roman" w:hAnsi="Times New Roman" w:cs="Times New Roman"/>
          <w:b/>
          <w:bCs/>
          <w:i/>
          <w:iCs/>
          <w:sz w:val="26"/>
          <w:szCs w:val="26"/>
        </w:rPr>
        <w:t>multiétnica</w:t>
      </w:r>
      <w:r w:rsidRPr="00AE1B2B">
        <w:rPr>
          <w:rFonts w:ascii="Times New Roman" w:hAnsi="Times New Roman" w:cs="Times New Roman"/>
          <w:i/>
          <w:iCs/>
          <w:sz w:val="26"/>
          <w:szCs w:val="26"/>
        </w:rPr>
        <w:t xml:space="preserve"> y </w:t>
      </w:r>
      <w:r w:rsidRPr="00AE1B2B">
        <w:rPr>
          <w:rFonts w:ascii="Times New Roman" w:hAnsi="Times New Roman" w:cs="Times New Roman"/>
          <w:b/>
          <w:bCs/>
          <w:i/>
          <w:iCs/>
          <w:sz w:val="26"/>
          <w:szCs w:val="26"/>
        </w:rPr>
        <w:t>pluricultural</w:t>
      </w:r>
      <w:r w:rsidRPr="00AE1B2B">
        <w:rPr>
          <w:rFonts w:ascii="Times New Roman" w:hAnsi="Times New Roman" w:cs="Times New Roman"/>
          <w:sz w:val="26"/>
          <w:szCs w:val="26"/>
        </w:rPr>
        <w:t xml:space="preserve">” (el resaltado no pertenece al original); lo cual nos </w:t>
      </w:r>
      <w:r w:rsidRPr="00AE1B2B">
        <w:rPr>
          <w:rFonts w:ascii="Times New Roman" w:hAnsi="Times New Roman" w:cs="Times New Roman"/>
          <w:sz w:val="26"/>
          <w:szCs w:val="26"/>
        </w:rPr>
        <w:lastRenderedPageBreak/>
        <w:t>permite desarrollar otro concepto como lo es el Pluralismo Jurídico, el cual consiste en lo siguiente: “</w:t>
      </w:r>
      <w:r w:rsidRPr="00AE1B2B">
        <w:rPr>
          <w:rFonts w:ascii="Times New Roman" w:hAnsi="Times New Roman" w:cs="Times New Roman"/>
          <w:i/>
          <w:iCs/>
          <w:sz w:val="26"/>
          <w:szCs w:val="26"/>
        </w:rPr>
        <w:t xml:space="preserve">Es una perspectiva teórica que </w:t>
      </w:r>
      <w:r w:rsidRPr="00AE1B2B">
        <w:rPr>
          <w:rFonts w:ascii="Times New Roman" w:hAnsi="Times New Roman" w:cs="Times New Roman"/>
          <w:b/>
          <w:bCs/>
          <w:i/>
          <w:iCs/>
          <w:sz w:val="26"/>
          <w:szCs w:val="26"/>
        </w:rPr>
        <w:t>permite reconocer la coexistencia de diversos sistemas jurídicos en un mismo espacio geopolítico</w:t>
      </w:r>
      <w:r w:rsidRPr="00AE1B2B">
        <w:rPr>
          <w:rFonts w:ascii="Times New Roman" w:hAnsi="Times New Roman" w:cs="Times New Roman"/>
          <w:i/>
          <w:iCs/>
          <w:sz w:val="26"/>
          <w:szCs w:val="26"/>
        </w:rPr>
        <w:t xml:space="preserve"> en el que se dan múltiples conflictos de interlegalidad</w:t>
      </w:r>
      <w:r w:rsidRPr="00AE1B2B">
        <w:rPr>
          <w:rFonts w:ascii="Times New Roman" w:hAnsi="Times New Roman" w:cs="Times New Roman"/>
          <w:sz w:val="26"/>
          <w:szCs w:val="26"/>
        </w:rPr>
        <w:t>” (el resaltado no pertenece al original); es decir que como estado, se permite la aplicación de más de una jurisdicción dependiendo de la cultura o etnia a la que se le brinde un servicio público.</w:t>
      </w:r>
    </w:p>
    <w:p w:rsidRPr="00AE1B2B" w:rsidR="009D3FB5" w:rsidP="00163B94" w:rsidRDefault="009D3FB5" w14:paraId="4F42C9CB"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t>Comisión Interamericana de Derechos Humanos, resolución 16/15</w:t>
      </w:r>
    </w:p>
    <w:p w:rsidRPr="00AE1B2B" w:rsidR="009D3FB5" w:rsidP="00163B94" w:rsidRDefault="009D3FB5" w14:paraId="504452D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pueblos indígenas de Teribe y Bribri de Salitre, interpusieron una solicitud de medida cautelar ante la Comisión Interamericana de Derechos Humanos, quienes en fecha 30 de abril de 2015, mediante resolución número 16/15, dictaron una medida cautelar contra el Estado Costarricense, en donde se le solicita al Gobierno de Costa Rica: “</w:t>
      </w:r>
      <w:r w:rsidRPr="00AE1B2B">
        <w:rPr>
          <w:rFonts w:ascii="Times New Roman" w:hAnsi="Times New Roman" w:cs="Times New Roman"/>
          <w:i/>
          <w:iCs/>
          <w:sz w:val="26"/>
          <w:szCs w:val="26"/>
        </w:rPr>
        <w:t>a) Adopte las medidas necesarias para garantizar la vida y le integridad personal de los miembros del pueblo indígena Teribe y del pueblo indígena Bribri de Salitre, quienes se encontrarían en la región sureste del departamento de Puntarenas, específicamente en la zona denominada Salitre. b) Concierte las medidas a implementarse con los beneficiarios y sus representantes. c) Informe sobre las acciones adoptadas a fin de investigar los presuntos hechos que dieron lugar a la adopción de la presente medida cautelar y así evitar su repetición.</w:t>
      </w:r>
      <w:r w:rsidRPr="00AE1B2B">
        <w:rPr>
          <w:rFonts w:ascii="Times New Roman" w:hAnsi="Times New Roman" w:cs="Times New Roman"/>
          <w:sz w:val="26"/>
          <w:szCs w:val="26"/>
        </w:rPr>
        <w:t>”.</w:t>
      </w:r>
    </w:p>
    <w:p w:rsidRPr="00AE1B2B" w:rsidR="009D3FB5" w:rsidP="00163B94" w:rsidRDefault="009D3FB5" w14:paraId="682A5FF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También y sumado a lo anterior, se indica que existe la siguiente normativa indígena de rango supraconstitucional:</w:t>
      </w:r>
    </w:p>
    <w:p w:rsidRPr="00AE1B2B" w:rsidR="009D3FB5" w:rsidP="00163B94" w:rsidRDefault="009D3FB5" w14:paraId="3CAF5A9F" w14:textId="77777777">
      <w:pPr>
        <w:pStyle w:val="Prrafodelista"/>
        <w:numPr>
          <w:ilvl w:val="0"/>
          <w:numId w:val="49"/>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eastAsiaTheme="minorEastAsia"/>
          <w:sz w:val="26"/>
          <w:szCs w:val="26"/>
        </w:rPr>
        <w:t>Convenio relativo a la protección e integración de las poblaciones indígenas y de otras poblaciones tribales y semitribales en los países 1957 (</w:t>
      </w:r>
      <w:r w:rsidRPr="00AE1B2B">
        <w:rPr>
          <w:rFonts w:ascii="Times New Roman" w:hAnsi="Times New Roman" w:cs="Times New Roman" w:eastAsiaTheme="minorEastAsia"/>
          <w:i/>
          <w:iCs/>
          <w:sz w:val="26"/>
          <w:szCs w:val="26"/>
        </w:rPr>
        <w:t>Convenio 107 OIT</w:t>
      </w:r>
      <w:r w:rsidRPr="00AE1B2B">
        <w:rPr>
          <w:rFonts w:ascii="Times New Roman" w:hAnsi="Times New Roman" w:cs="Times New Roman" w:eastAsiaTheme="minorEastAsia"/>
          <w:sz w:val="26"/>
          <w:szCs w:val="26"/>
        </w:rPr>
        <w:t>).</w:t>
      </w:r>
    </w:p>
    <w:p w:rsidRPr="00AE1B2B" w:rsidR="009D3FB5" w:rsidP="00163B94" w:rsidRDefault="009D3FB5" w14:paraId="2E3456D6" w14:textId="77777777">
      <w:pPr>
        <w:pStyle w:val="Prrafodelista"/>
        <w:numPr>
          <w:ilvl w:val="0"/>
          <w:numId w:val="49"/>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lang w:val="es-MX"/>
        </w:rPr>
        <w:t>Convenio sobre Pueblos Indígenas y Tribales 1989 (</w:t>
      </w:r>
      <w:r w:rsidRPr="00AE1B2B">
        <w:rPr>
          <w:rFonts w:ascii="Times New Roman" w:hAnsi="Times New Roman" w:cs="Times New Roman"/>
          <w:i/>
          <w:iCs/>
          <w:sz w:val="26"/>
          <w:szCs w:val="26"/>
          <w:lang w:val="es-MX"/>
        </w:rPr>
        <w:t>Convenio 169 OIT</w:t>
      </w:r>
      <w:r w:rsidRPr="00AE1B2B">
        <w:rPr>
          <w:rFonts w:ascii="Times New Roman" w:hAnsi="Times New Roman" w:cs="Times New Roman"/>
          <w:sz w:val="26"/>
          <w:szCs w:val="26"/>
          <w:lang w:val="es-MX"/>
        </w:rPr>
        <w:t>).</w:t>
      </w:r>
    </w:p>
    <w:p w:rsidRPr="00AE1B2B" w:rsidR="009D3FB5" w:rsidP="00163B94" w:rsidRDefault="009D3FB5" w14:paraId="28F417C0" w14:textId="77777777">
      <w:pPr>
        <w:pStyle w:val="Prrafodelista"/>
        <w:numPr>
          <w:ilvl w:val="0"/>
          <w:numId w:val="49"/>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lang w:val="es-MX"/>
        </w:rPr>
        <w:t>Declaración de las Naciones Unidas sobre los derechos de los Pueblos Indígenas 2007.</w:t>
      </w:r>
    </w:p>
    <w:p w:rsidRPr="00AE1B2B" w:rsidR="009D3FB5" w:rsidP="00163B94" w:rsidRDefault="009D3FB5" w14:paraId="373FE995" w14:textId="77777777">
      <w:pPr>
        <w:pStyle w:val="Prrafodelista"/>
        <w:numPr>
          <w:ilvl w:val="0"/>
          <w:numId w:val="49"/>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lang w:val="es-MX"/>
        </w:rPr>
        <w:t>Declaración Americana sobre Derechos de los Pueblos Indígenas OEA 2016.</w:t>
      </w:r>
    </w:p>
    <w:p w:rsidRPr="00AE1B2B" w:rsidR="009D3FB5" w:rsidP="00163B94" w:rsidRDefault="009D3FB5" w14:paraId="29F0C1E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su vez, también se cita la normativa regional y nacional:</w:t>
      </w:r>
    </w:p>
    <w:p w:rsidRPr="00AE1B2B" w:rsidR="009D3FB5" w:rsidP="00163B94" w:rsidRDefault="009D3FB5" w14:paraId="144AE341"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Constitución Política 1949.</w:t>
      </w:r>
    </w:p>
    <w:p w:rsidRPr="00AE1B2B" w:rsidR="009D3FB5" w:rsidP="00163B94" w:rsidRDefault="009D3FB5" w14:paraId="17FCFA86"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Ley de derechos transfronterizos.</w:t>
      </w:r>
    </w:p>
    <w:p w:rsidRPr="00AE1B2B" w:rsidR="009D3FB5" w:rsidP="00163B94" w:rsidRDefault="009D3FB5" w14:paraId="5F23AC36"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lastRenderedPageBreak/>
        <w:t>Ley de Acceso a la Justicia de Pueblos Indígenas (</w:t>
      </w:r>
      <w:r w:rsidRPr="00AE1B2B">
        <w:rPr>
          <w:rFonts w:ascii="Times New Roman" w:hAnsi="Times New Roman" w:cs="Times New Roman" w:eastAsiaTheme="minorEastAsia"/>
          <w:i/>
          <w:iCs/>
          <w:sz w:val="26"/>
          <w:szCs w:val="26"/>
        </w:rPr>
        <w:t>2018</w:t>
      </w:r>
      <w:r w:rsidRPr="00AE1B2B">
        <w:rPr>
          <w:rFonts w:ascii="Times New Roman" w:hAnsi="Times New Roman" w:cs="Times New Roman" w:eastAsiaTheme="minorEastAsia"/>
          <w:sz w:val="26"/>
          <w:szCs w:val="26"/>
        </w:rPr>
        <w:t>).</w:t>
      </w:r>
    </w:p>
    <w:p w:rsidRPr="00AE1B2B" w:rsidR="009D3FB5" w:rsidP="00163B94" w:rsidRDefault="009D3FB5" w14:paraId="76928308"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Ley Indígena 6172 (</w:t>
      </w:r>
      <w:r w:rsidRPr="00AE1B2B">
        <w:rPr>
          <w:rFonts w:ascii="Times New Roman" w:hAnsi="Times New Roman" w:cs="Times New Roman" w:eastAsiaTheme="minorEastAsia"/>
          <w:i/>
          <w:iCs/>
          <w:sz w:val="26"/>
          <w:szCs w:val="26"/>
        </w:rPr>
        <w:t>1967</w:t>
      </w:r>
      <w:r w:rsidRPr="00AE1B2B">
        <w:rPr>
          <w:rFonts w:ascii="Times New Roman" w:hAnsi="Times New Roman" w:cs="Times New Roman" w:eastAsiaTheme="minorEastAsia"/>
          <w:sz w:val="26"/>
          <w:szCs w:val="26"/>
        </w:rPr>
        <w:t>).</w:t>
      </w:r>
    </w:p>
    <w:p w:rsidRPr="00AE1B2B" w:rsidR="009D3FB5" w:rsidP="00163B94" w:rsidRDefault="009D3FB5" w14:paraId="6DB9CDED"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Ley de Tierras y Colonización 2825 (</w:t>
      </w:r>
      <w:r w:rsidRPr="00AE1B2B">
        <w:rPr>
          <w:rFonts w:ascii="Times New Roman" w:hAnsi="Times New Roman" w:cs="Times New Roman" w:eastAsiaTheme="minorEastAsia"/>
          <w:i/>
          <w:iCs/>
          <w:sz w:val="26"/>
          <w:szCs w:val="26"/>
        </w:rPr>
        <w:t>1961</w:t>
      </w:r>
      <w:r w:rsidRPr="00AE1B2B">
        <w:rPr>
          <w:rFonts w:ascii="Times New Roman" w:hAnsi="Times New Roman" w:cs="Times New Roman" w:eastAsiaTheme="minorEastAsia"/>
          <w:sz w:val="26"/>
          <w:szCs w:val="26"/>
        </w:rPr>
        <w:t>).</w:t>
      </w:r>
    </w:p>
    <w:p w:rsidRPr="00AE1B2B" w:rsidR="009D3FB5" w:rsidP="00163B94" w:rsidRDefault="009D3FB5" w14:paraId="0C1DFF67"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Ley de Biodiversidad 7788 (</w:t>
      </w:r>
      <w:r w:rsidRPr="00AE1B2B">
        <w:rPr>
          <w:rFonts w:ascii="Times New Roman" w:hAnsi="Times New Roman" w:cs="Times New Roman" w:eastAsiaTheme="minorEastAsia"/>
          <w:i/>
          <w:iCs/>
          <w:sz w:val="26"/>
          <w:szCs w:val="26"/>
        </w:rPr>
        <w:t>1998</w:t>
      </w:r>
      <w:r w:rsidRPr="00AE1B2B">
        <w:rPr>
          <w:rFonts w:ascii="Times New Roman" w:hAnsi="Times New Roman" w:cs="Times New Roman" w:eastAsiaTheme="minorEastAsia"/>
          <w:sz w:val="26"/>
          <w:szCs w:val="26"/>
        </w:rPr>
        <w:t>).</w:t>
      </w:r>
    </w:p>
    <w:p w:rsidRPr="00AE1B2B" w:rsidR="009D3FB5" w:rsidP="00163B94" w:rsidRDefault="009D3FB5" w14:paraId="75DBC118"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Ley del Instituto de Desarrollo Rural (</w:t>
      </w:r>
      <w:r w:rsidRPr="00AE1B2B">
        <w:rPr>
          <w:rFonts w:ascii="Times New Roman" w:hAnsi="Times New Roman" w:cs="Times New Roman" w:eastAsiaTheme="minorEastAsia"/>
          <w:i/>
          <w:iCs/>
          <w:sz w:val="26"/>
          <w:szCs w:val="26"/>
        </w:rPr>
        <w:t>2011</w:t>
      </w:r>
      <w:r w:rsidRPr="00AE1B2B">
        <w:rPr>
          <w:rFonts w:ascii="Times New Roman" w:hAnsi="Times New Roman" w:cs="Times New Roman" w:eastAsiaTheme="minorEastAsia"/>
          <w:sz w:val="26"/>
          <w:szCs w:val="26"/>
        </w:rPr>
        <w:t>).</w:t>
      </w:r>
    </w:p>
    <w:p w:rsidRPr="00AE1B2B" w:rsidR="009D3FB5" w:rsidP="00163B94" w:rsidRDefault="009D3FB5" w14:paraId="0A8BBC25"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t>Convenio 107</w:t>
      </w:r>
    </w:p>
    <w:p w:rsidRPr="00AE1B2B" w:rsidR="009D3FB5" w:rsidP="00163B94" w:rsidRDefault="009D3FB5" w14:paraId="2DBD85D3" w14:textId="77777777">
      <w:p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En cuanto al Derecho Indígena se refiere, existe el Convenio 107 “</w:t>
      </w:r>
      <w:r w:rsidRPr="00AE1B2B">
        <w:rPr>
          <w:rFonts w:ascii="Times New Roman" w:hAnsi="Times New Roman" w:cs="Times New Roman" w:eastAsiaTheme="minorEastAsia"/>
          <w:i/>
          <w:iCs/>
          <w:sz w:val="26"/>
          <w:szCs w:val="26"/>
        </w:rPr>
        <w:t>Convenio relativo a la protección e integración de las poblaciones indígenas y de otras poblaciones tribales y semitribales en los países</w:t>
      </w:r>
      <w:r w:rsidRPr="00AE1B2B">
        <w:rPr>
          <w:rFonts w:ascii="Times New Roman" w:hAnsi="Times New Roman" w:cs="Times New Roman" w:eastAsiaTheme="minorEastAsia"/>
          <w:sz w:val="26"/>
          <w:szCs w:val="26"/>
        </w:rPr>
        <w:t xml:space="preserve">”, ley que data de 1957. Esta ley a su vez prohíbe trasladar a la población de sus territorios sin su libre consentimiento, salvo las siguientes excepciones: </w:t>
      </w:r>
    </w:p>
    <w:p w:rsidRPr="00AE1B2B" w:rsidR="009D3FB5" w:rsidP="00163B94" w:rsidRDefault="009D3FB5" w14:paraId="5AC3B3D6"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Suministrarles tierras en igualdad de condiciones.</w:t>
      </w:r>
    </w:p>
    <w:p w:rsidRPr="00AE1B2B" w:rsidR="009D3FB5" w:rsidP="00163B94" w:rsidRDefault="009D3FB5" w14:paraId="20D6FDD3"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Indemnizarles totalmente por el desplazamiento.</w:t>
      </w:r>
    </w:p>
    <w:p w:rsidRPr="00AE1B2B" w:rsidR="009D3FB5" w:rsidP="00163B94" w:rsidRDefault="009D3FB5" w14:paraId="72D43C66"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Darles la posibilidad de regresar si desaparece la causal.</w:t>
      </w:r>
    </w:p>
    <w:p w:rsidRPr="00AE1B2B" w:rsidR="009D3FB5" w:rsidP="00163B94" w:rsidRDefault="009D3FB5" w14:paraId="531E1076" w14:textId="77777777">
      <w:pPr>
        <w:spacing w:before="120" w:after="120"/>
        <w:ind w:left="851" w:right="851" w:firstLine="709"/>
        <w:jc w:val="both"/>
        <w:rPr>
          <w:rFonts w:ascii="Times New Roman" w:hAnsi="Times New Roman" w:cs="Times New Roman" w:eastAsiaTheme="minorEastAsia"/>
          <w:sz w:val="26"/>
          <w:szCs w:val="26"/>
        </w:rPr>
      </w:pPr>
    </w:p>
    <w:p w:rsidRPr="00AE1B2B" w:rsidR="009D3FB5" w:rsidP="00163B94" w:rsidRDefault="009D3FB5" w14:paraId="436A5F00" w14:textId="77777777">
      <w:pPr>
        <w:spacing w:before="120" w:after="120"/>
        <w:ind w:left="851" w:right="851" w:firstLine="709"/>
        <w:jc w:val="both"/>
        <w:rPr>
          <w:rFonts w:ascii="Times New Roman" w:hAnsi="Times New Roman" w:cs="Times New Roman" w:eastAsiaTheme="minorEastAsia"/>
          <w:sz w:val="26"/>
          <w:szCs w:val="26"/>
        </w:rPr>
      </w:pPr>
    </w:p>
    <w:p w:rsidRPr="00AE1B2B" w:rsidR="009D3FB5" w:rsidP="00163B94" w:rsidRDefault="009D3FB5" w14:paraId="62CB5E90" w14:textId="77777777">
      <w:pPr>
        <w:spacing w:before="120" w:after="120"/>
        <w:ind w:left="851" w:right="851" w:firstLine="709"/>
        <w:jc w:val="both"/>
        <w:rPr>
          <w:rFonts w:ascii="Times New Roman" w:hAnsi="Times New Roman" w:cs="Times New Roman" w:eastAsiaTheme="minorEastAsia"/>
          <w:sz w:val="26"/>
          <w:szCs w:val="26"/>
        </w:rPr>
      </w:pPr>
    </w:p>
    <w:p w:rsidRPr="00AE1B2B" w:rsidR="009D3FB5" w:rsidP="00163B94" w:rsidRDefault="009D3FB5" w14:paraId="2EF792CE" w14:textId="77777777">
      <w:pPr>
        <w:spacing w:before="120" w:after="120"/>
        <w:ind w:left="851" w:right="851" w:firstLine="709"/>
        <w:jc w:val="both"/>
        <w:rPr>
          <w:rFonts w:ascii="Times New Roman" w:hAnsi="Times New Roman" w:cs="Times New Roman" w:eastAsiaTheme="minorEastAsia"/>
          <w:sz w:val="26"/>
          <w:szCs w:val="26"/>
        </w:rPr>
      </w:pPr>
    </w:p>
    <w:p w:rsidRPr="00AE1B2B" w:rsidR="009D3FB5" w:rsidP="00163B94" w:rsidRDefault="009D3FB5" w14:paraId="6AC7B02A" w14:textId="77777777">
      <w:p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Además de lo anterior, el Convenio 107 de 1957 también establece a las poblaciones indígenas se les debe respetar sus modos de transmisión del derecho de propiedad y goce de la tierra; esos modos de transmisión son establecidos por costumbres de las personas indígenas; y deben también establecerse medidas para impedir que personas extrañas a dichas poblaciones puedan aprovecharse de:</w:t>
      </w:r>
    </w:p>
    <w:p w:rsidRPr="00AE1B2B" w:rsidR="009D3FB5" w:rsidP="00163B94" w:rsidRDefault="009D3FB5" w14:paraId="09BE3877"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Sus costumbres.</w:t>
      </w:r>
    </w:p>
    <w:p w:rsidRPr="00AE1B2B" w:rsidR="009D3FB5" w:rsidP="00163B94" w:rsidRDefault="009D3FB5" w14:paraId="6188F4C9"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La ignorancia de las leyes para obtener la propiedad o el uso de las tierras que les pertenezcan.</w:t>
      </w:r>
    </w:p>
    <w:p w:rsidRPr="00AE1B2B" w:rsidR="009D3FB5" w:rsidP="00163B94" w:rsidRDefault="009D3FB5" w14:paraId="5E23AEC4" w14:textId="77777777">
      <w:p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El convenio 107 de 1957, sufrió una actualización en 1989, mediante el convenio 169 de la OIT: “</w:t>
      </w:r>
      <w:r w:rsidRPr="00AE1B2B">
        <w:rPr>
          <w:rFonts w:ascii="Times New Roman" w:hAnsi="Times New Roman" w:cs="Times New Roman" w:eastAsiaTheme="minorEastAsia"/>
          <w:i/>
          <w:iCs/>
          <w:sz w:val="26"/>
          <w:szCs w:val="26"/>
        </w:rPr>
        <w:t>Sobre pueblos indígenas y tribales en países independientes de 1989</w:t>
      </w:r>
      <w:r w:rsidRPr="00AE1B2B">
        <w:rPr>
          <w:rFonts w:ascii="Times New Roman" w:hAnsi="Times New Roman" w:cs="Times New Roman" w:eastAsiaTheme="minorEastAsia"/>
          <w:sz w:val="26"/>
          <w:szCs w:val="26"/>
        </w:rPr>
        <w:t>”, en donde se indica lo siguiente: Los Estados deben:</w:t>
      </w:r>
    </w:p>
    <w:p w:rsidRPr="00AE1B2B" w:rsidR="009D3FB5" w:rsidP="00163B94" w:rsidRDefault="009D3FB5" w14:paraId="19F476B0"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 xml:space="preserve">Asumir la responsabilidad de desarrollar, </w:t>
      </w:r>
      <w:r w:rsidRPr="00AE1B2B">
        <w:rPr>
          <w:rFonts w:ascii="Times New Roman" w:hAnsi="Times New Roman" w:cs="Times New Roman" w:eastAsiaTheme="minorEastAsia"/>
          <w:b/>
          <w:bCs/>
          <w:sz w:val="26"/>
          <w:szCs w:val="26"/>
        </w:rPr>
        <w:t>con la participación de los pueblos interesados</w:t>
      </w:r>
      <w:r w:rsidRPr="00AE1B2B">
        <w:rPr>
          <w:rFonts w:ascii="Times New Roman" w:hAnsi="Times New Roman" w:cs="Times New Roman" w:eastAsiaTheme="minorEastAsia"/>
          <w:sz w:val="26"/>
          <w:szCs w:val="26"/>
        </w:rPr>
        <w:t xml:space="preserve">, una acción coordinada y </w:t>
      </w:r>
      <w:r w:rsidRPr="00AE1B2B">
        <w:rPr>
          <w:rFonts w:ascii="Times New Roman" w:hAnsi="Times New Roman" w:cs="Times New Roman" w:eastAsiaTheme="minorEastAsia"/>
          <w:sz w:val="26"/>
          <w:szCs w:val="26"/>
        </w:rPr>
        <w:lastRenderedPageBreak/>
        <w:t>sistemática con miras a proteger los derechos de esos pueblos” (el resaltado no pertenece al original).</w:t>
      </w:r>
    </w:p>
    <w:p w:rsidRPr="00AE1B2B" w:rsidR="009D3FB5" w:rsidP="00163B94" w:rsidRDefault="009D3FB5" w14:paraId="5279FD7A"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Garantizar el respeto a la integridad de las personas indígenas.</w:t>
      </w:r>
    </w:p>
    <w:p w:rsidRPr="00AE1B2B" w:rsidR="009D3FB5" w:rsidP="00163B94" w:rsidRDefault="009D3FB5" w14:paraId="2CFE0C5C"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Asegurar a dichos pueblos gozar con la igualdad de los derechos y oportunidades que la legislación nacional otorga a los demás miembros de la población.</w:t>
      </w:r>
    </w:p>
    <w:p w:rsidRPr="00AE1B2B" w:rsidR="009D3FB5" w:rsidP="00163B94" w:rsidRDefault="009D3FB5" w14:paraId="292CF380"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Promover la plena efectividad de los derechos sociales, económicos y culturales de esos pueblos.</w:t>
      </w:r>
    </w:p>
    <w:p w:rsidRPr="00AE1B2B" w:rsidR="009D3FB5" w:rsidP="00163B94" w:rsidRDefault="009D3FB5" w14:paraId="3C863351"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Respetar su identidad social y cultural, sus costumbres y tradiciones (pesca del gaspar, únicamente permitida para la población indígena).</w:t>
      </w:r>
    </w:p>
    <w:p w:rsidRPr="00AE1B2B" w:rsidR="009D3FB5" w:rsidP="00163B94" w:rsidRDefault="009D3FB5" w14:paraId="036B7EA6"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Respetar sus instituciones (Consejo de Mayores).</w:t>
      </w:r>
    </w:p>
    <w:p w:rsidRPr="00AE1B2B" w:rsidR="009D3FB5" w:rsidP="00163B94" w:rsidRDefault="009D3FB5" w14:paraId="4DE66013"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Eliminar las diferencias socioeconómicas (por medio de acciones afirmativas: prueba documental/prioridad atención/prioridad de resolución entre otros).</w:t>
      </w:r>
    </w:p>
    <w:p w:rsidRPr="00AE1B2B" w:rsidR="009D3FB5" w:rsidP="00163B94" w:rsidRDefault="009D3FB5" w14:paraId="1A009478"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t>Convenio 169</w:t>
      </w:r>
    </w:p>
    <w:p w:rsidRPr="00AE1B2B" w:rsidR="009D3FB5" w:rsidP="00163B94" w:rsidRDefault="009D3FB5" w14:paraId="234C71B9" w14:textId="77777777">
      <w:p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También, respecto al convenio 169 (1989) indica que en la medida de que ello sea compatible con el sistema jurídico nacional y los derechos humanos internacionales reconocidos, deberán:</w:t>
      </w:r>
    </w:p>
    <w:p w:rsidRPr="00AE1B2B" w:rsidR="009D3FB5" w:rsidP="00163B94" w:rsidRDefault="009D3FB5" w14:paraId="46B38D8A"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Respetarse los métodos a los que los pueblos interesados ocurren tradicionalmente para la represión de los DELITOS cometidos por sus miembros.</w:t>
      </w:r>
    </w:p>
    <w:p w:rsidRPr="00AE1B2B" w:rsidR="009D3FB5" w:rsidP="00163B94" w:rsidRDefault="009D3FB5" w14:paraId="7149BDF9"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 xml:space="preserve">Las autoridades y los tribunales llamados a pronunciarse sobre </w:t>
      </w:r>
      <w:r w:rsidRPr="00AE1B2B">
        <w:rPr>
          <w:rFonts w:ascii="Times New Roman" w:hAnsi="Times New Roman" w:cs="Times New Roman" w:eastAsiaTheme="minorEastAsia"/>
          <w:b/>
          <w:bCs/>
          <w:sz w:val="26"/>
          <w:szCs w:val="26"/>
        </w:rPr>
        <w:t>cuestiones penales deberán tener en cuenta las costumbres de dichos pueblos</w:t>
      </w:r>
      <w:r w:rsidRPr="00AE1B2B">
        <w:rPr>
          <w:rFonts w:ascii="Times New Roman" w:hAnsi="Times New Roman" w:cs="Times New Roman" w:eastAsiaTheme="minorEastAsia"/>
          <w:sz w:val="26"/>
          <w:szCs w:val="26"/>
        </w:rPr>
        <w:t xml:space="preserve"> en la materia. (El resaltado no pertenece al original).</w:t>
      </w:r>
    </w:p>
    <w:p w:rsidRPr="00AE1B2B" w:rsidR="009D3FB5" w:rsidP="00163B94" w:rsidRDefault="009D3FB5" w14:paraId="3509E74E"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 xml:space="preserve">Cuando se impongan </w:t>
      </w:r>
      <w:r w:rsidRPr="00AE1B2B">
        <w:rPr>
          <w:rFonts w:ascii="Times New Roman" w:hAnsi="Times New Roman" w:cs="Times New Roman" w:eastAsiaTheme="minorEastAsia"/>
          <w:b/>
          <w:bCs/>
          <w:sz w:val="26"/>
          <w:szCs w:val="26"/>
        </w:rPr>
        <w:t>sanciones penales</w:t>
      </w:r>
      <w:r w:rsidRPr="00AE1B2B">
        <w:rPr>
          <w:rFonts w:ascii="Times New Roman" w:hAnsi="Times New Roman" w:cs="Times New Roman" w:eastAsiaTheme="minorEastAsia"/>
          <w:sz w:val="26"/>
          <w:szCs w:val="26"/>
        </w:rPr>
        <w:t xml:space="preserve"> previstas por la legislación general deben tenerse en cuenta sus características económicas, sociales y culturales. (El resaltado no pertenece al original).</w:t>
      </w:r>
    </w:p>
    <w:p w:rsidRPr="00AE1B2B" w:rsidR="009D3FB5" w:rsidP="00163B94" w:rsidRDefault="009D3FB5" w14:paraId="57FB59E6"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 xml:space="preserve">Procurar se trate de </w:t>
      </w:r>
      <w:r w:rsidRPr="00AE1B2B">
        <w:rPr>
          <w:rFonts w:ascii="Times New Roman" w:hAnsi="Times New Roman" w:cs="Times New Roman" w:eastAsiaTheme="minorEastAsia"/>
          <w:b/>
          <w:bCs/>
          <w:sz w:val="26"/>
          <w:szCs w:val="26"/>
        </w:rPr>
        <w:t>sanciones distintas al encarcelamiento</w:t>
      </w:r>
      <w:r w:rsidRPr="00AE1B2B">
        <w:rPr>
          <w:rFonts w:ascii="Times New Roman" w:hAnsi="Times New Roman" w:cs="Times New Roman" w:eastAsiaTheme="minorEastAsia"/>
          <w:sz w:val="26"/>
          <w:szCs w:val="26"/>
        </w:rPr>
        <w:t>. (El resaltado no pertenece al original).</w:t>
      </w:r>
    </w:p>
    <w:p w:rsidRPr="00AE1B2B" w:rsidR="009D3FB5" w:rsidP="00163B94" w:rsidRDefault="009D3FB5" w14:paraId="60B4C018"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t>Declaración de Naciones Unidas (2007)</w:t>
      </w:r>
    </w:p>
    <w:p w:rsidRPr="00AE1B2B" w:rsidR="009D3FB5" w:rsidP="00163B94" w:rsidRDefault="009D3FB5" w14:paraId="113A3602" w14:textId="77777777">
      <w:p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Con la declaración emitida por las Naciones Unidas en el año 2007, se pretende lo siguiente:</w:t>
      </w:r>
    </w:p>
    <w:p w:rsidRPr="00AE1B2B" w:rsidR="009D3FB5" w:rsidP="00163B94" w:rsidRDefault="009D3FB5" w14:paraId="0136A3AD"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lastRenderedPageBreak/>
        <w:t>Mantener y fortalecer sus propias instituciones, culturas y tradiciones.</w:t>
      </w:r>
    </w:p>
    <w:p w:rsidRPr="00AE1B2B" w:rsidR="009D3FB5" w:rsidP="00163B94" w:rsidRDefault="009D3FB5" w14:paraId="2831D920"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Perseguir libremente su desarrollo de acuerdo con sus propias necesidades y aspiraciones.</w:t>
      </w:r>
    </w:p>
    <w:p w:rsidRPr="00AE1B2B" w:rsidR="009D3FB5" w:rsidP="00163B94" w:rsidRDefault="009D3FB5" w14:paraId="1B6359B9"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Prohíbe la discriminación contra las y los indígenas.</w:t>
      </w:r>
    </w:p>
    <w:p w:rsidRPr="00AE1B2B" w:rsidR="009D3FB5" w:rsidP="00163B94" w:rsidRDefault="009D3FB5" w14:paraId="4D75DCEB"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Promueve su plena y efectiva participación en todos los asuntos que les conciernen y su derecho a mantener su diversidad.</w:t>
      </w:r>
    </w:p>
    <w:p w:rsidRPr="00AE1B2B" w:rsidR="009D3FB5" w:rsidP="00163B94" w:rsidRDefault="009D3FB5" w14:paraId="3DA9093D"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t>Declaración Americana sobre derechos de los Pueblos Indígenas OEA (2016)</w:t>
      </w:r>
    </w:p>
    <w:p w:rsidRPr="00AE1B2B" w:rsidR="009D3FB5" w:rsidP="00163B94" w:rsidRDefault="009D3FB5" w14:paraId="18D42D7F" w14:textId="77777777">
      <w:p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Con esta Declaración se establece lo que a continuación se indica:</w:t>
      </w:r>
    </w:p>
    <w:p w:rsidRPr="00AE1B2B" w:rsidR="009D3FB5" w:rsidP="00163B94" w:rsidRDefault="009D3FB5" w14:paraId="1EE22DCA"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La autoidentificación como pueblos indígenas será un criterio fundamental para determinar a quienes se aplica la presente Declaración.</w:t>
      </w:r>
    </w:p>
    <w:p w:rsidRPr="00AE1B2B" w:rsidR="009D3FB5" w:rsidP="00163B94" w:rsidRDefault="009D3FB5" w14:paraId="66037140"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Los Estados respetarán el derecho a dicha autoidentificación como indígena en forma individual o colectiva, conforme a las prácticas e instituciones propias de cada pueblo indígena.</w:t>
      </w:r>
    </w:p>
    <w:p w:rsidRPr="00AE1B2B" w:rsidR="009D3FB5" w:rsidP="00163B94" w:rsidRDefault="009D3FB5" w14:paraId="2D1CA068"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Las mujeres indígenas tienen derecho a gozar de sus derechos libres de toda discriminación.</w:t>
      </w:r>
    </w:p>
    <w:p w:rsidRPr="00AE1B2B" w:rsidR="009D3FB5" w:rsidP="00163B94" w:rsidRDefault="009D3FB5" w14:paraId="3E428ECC"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La violencia contra las personas y los pueblos indígenas, particularmente las mujeres, impide o anula el goce de todos los derechos humanos y libertades fundamentales.</w:t>
      </w:r>
    </w:p>
    <w:p w:rsidRPr="00AE1B2B" w:rsidR="009D3FB5" w:rsidP="00163B94" w:rsidRDefault="009D3FB5" w14:paraId="1A6CF9DC"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El Estado debe adoptar las medidas necesarias, en conjunto con los pueblos indígenas, para prevenir y erradicar todas las formas de violencia y discriminación, en particular contra las mujeres, las niñas y los niños indígenas.</w:t>
      </w:r>
    </w:p>
    <w:p w:rsidRPr="00AE1B2B" w:rsidR="009D3FB5" w:rsidP="00163B94" w:rsidRDefault="009D3FB5" w14:paraId="61BA26EA"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Los Estados deben reconocer la personalidad jurídica de los pueblos indígenas, respetando las formas de organización indígenas.</w:t>
      </w:r>
    </w:p>
    <w:p w:rsidRPr="00AE1B2B" w:rsidR="009D3FB5" w:rsidP="00163B94" w:rsidRDefault="009D3FB5" w14:paraId="3D73CF7A"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Los Estados, en conjunto con los pueblos indígenas, realizarán esfuerzos para que dichos pueblos puedan comprender y hacerse comprender en sus propias lenguas en procesos administrativos, políticos y judiciales, facilitándoles, si fuere necesario, intérpretes u otros medios eficaces.</w:t>
      </w:r>
    </w:p>
    <w:p w:rsidRPr="00AE1B2B" w:rsidR="009D3FB5" w:rsidP="00163B94" w:rsidRDefault="009D3FB5" w14:paraId="1EEB4773"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 xml:space="preserve">Ningún pueblo o persona indígena deberá ser sujeto a presiones o imposiciones, o a cualquier otro tipo de medidas </w:t>
      </w:r>
      <w:r w:rsidRPr="00AE1B2B">
        <w:rPr>
          <w:rFonts w:ascii="Times New Roman" w:hAnsi="Times New Roman" w:cs="Times New Roman" w:eastAsiaTheme="minorEastAsia"/>
          <w:sz w:val="26"/>
          <w:szCs w:val="26"/>
        </w:rPr>
        <w:lastRenderedPageBreak/>
        <w:t>coercitivas que afecten o limiten su derecho a ejercer libremente su espiritualidad y creencias indígenas.</w:t>
      </w:r>
    </w:p>
    <w:p w:rsidRPr="00AE1B2B" w:rsidR="009D3FB5" w:rsidP="00163B94" w:rsidRDefault="009D3FB5" w14:paraId="4320CF3C"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Los pueblos indígenas tienen derecho a preservar, proteger y acceder a sus sitios sagrados, incluidos sus lugares de sepultura, a usar y controlar sus reliquias y objetos sagrados y a recuperar sus restos humanos.</w:t>
      </w:r>
    </w:p>
    <w:p w:rsidRPr="00AE1B2B" w:rsidR="009D3FB5" w:rsidP="00163B94" w:rsidRDefault="009D3FB5" w14:paraId="5CBAFD13"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La familia es el elemento natural y fundamental de la sociedad.</w:t>
      </w:r>
    </w:p>
    <w:p w:rsidRPr="00AE1B2B" w:rsidR="009D3FB5" w:rsidP="00163B94" w:rsidRDefault="009D3FB5" w14:paraId="0C8B984C"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Los pueblos indígenas tienen derecho a preservar, mantener y promover sus propios sistemas de familia.</w:t>
      </w:r>
    </w:p>
    <w:p w:rsidRPr="00AE1B2B" w:rsidR="009D3FB5" w:rsidP="00163B94" w:rsidRDefault="009D3FB5" w14:paraId="625E5FA4"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Se reconocerán, respetarán y protegerán las distintas formas indígenas de familia, en particular la familia extensa, así como sus formas de unión matrimonial, de filiación, descendencia y de nombre familiar.</w:t>
      </w:r>
    </w:p>
    <w:p w:rsidRPr="00AE1B2B" w:rsidR="009D3FB5" w:rsidP="00163B94" w:rsidRDefault="009D3FB5" w14:paraId="59881415"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En asuntos relativos a la custodia, adopción, ruptura del vínculo familia, y en asuntos similares, el interés superior del niño deberá ser de consideración primaria.</w:t>
      </w:r>
    </w:p>
    <w:p w:rsidRPr="00AE1B2B" w:rsidR="009D3FB5" w:rsidP="00163B94" w:rsidRDefault="009D3FB5" w14:paraId="54774CFC"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En la determinación del interés superior del niño, las cortes y otras instituciones relevantes deberán tener presente el derecho de todo niño indígena, en común con miembros de su pueblo, a disfrutar de su propia cultura, a profesar y a practicar su propia religión o a hablar su propia lengua, y en ese sentido, deberá considerarse el derecho indígena del pueblo correspondiente, y su punto de vista, derechos e intereses, incluyendo las posiciones de los individuos, la familia, y la comunidad.</w:t>
      </w:r>
    </w:p>
    <w:p w:rsidRPr="00AE1B2B" w:rsidR="009D3FB5" w:rsidP="00163B94" w:rsidRDefault="009D3FB5" w14:paraId="7FD133D6"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Los pueblos indígenas, en ejercicio de su derecho a la libre determinación, tienen derecho a la autonomía o al autogobierno en las cuestiones relacionadas con sus asuntos internos y locales, así como a disponer de medios para financiar sus funciones autónomas.</w:t>
      </w:r>
    </w:p>
    <w:p w:rsidRPr="00AE1B2B" w:rsidR="009D3FB5" w:rsidP="00163B94" w:rsidRDefault="009D3FB5" w14:paraId="17BEA636"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Los pueblos indígenas tienen derecho a mantener y desarrollar sus propias instituciones indígenas de decisión. También tienen el derecho de participar en la adopción de decisiones en las cuestiones que afecten sus derechos. Pueden hacerlo directamente o a través de sus representantes, de acuerdo a sus propias normas, procedimientos y tradiciones.</w:t>
      </w:r>
    </w:p>
    <w:p w:rsidRPr="00AE1B2B" w:rsidR="009D3FB5" w:rsidP="00163B94" w:rsidRDefault="009D3FB5" w14:paraId="07FB16B3"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Asimismo, tienen el derecho a la igualdad de oportunidades para acceder y participar plena y efectivamente como pueblos en todas las instituciones y foros nacionales, incluyendo los cuerpos deliberantes.</w:t>
      </w:r>
    </w:p>
    <w:p w:rsidRPr="00AE1B2B" w:rsidR="009D3FB5" w:rsidP="00163B94" w:rsidRDefault="009D3FB5" w14:paraId="46A28387"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lastRenderedPageBreak/>
        <w:t>Reglas de Brasilia (2008) Reglas de Brasilia sobre Acceso a la Justicia de la Personas en Condición de Vulnerabilidad (XIV Cumbre Judicial Iberoamericana/Corte Plena Sesión 17-2008) Actualizada en 2019 (Quito, Ecuador)</w:t>
      </w:r>
    </w:p>
    <w:p w:rsidRPr="00AE1B2B" w:rsidR="009D3FB5" w:rsidP="00163B94" w:rsidRDefault="009D3FB5" w14:paraId="639CBC37" w14:textId="77777777">
      <w:pPr>
        <w:spacing w:before="120" w:after="120"/>
        <w:ind w:left="851" w:right="851" w:firstLine="709"/>
        <w:jc w:val="both"/>
        <w:rPr>
          <w:rFonts w:ascii="Times New Roman" w:hAnsi="Times New Roman" w:cs="Times New Roman" w:eastAsiaTheme="minorEastAsia"/>
          <w:i/>
          <w:iCs/>
          <w:sz w:val="26"/>
          <w:szCs w:val="26"/>
          <w:lang w:val="es-MX"/>
        </w:rPr>
      </w:pPr>
      <w:r w:rsidRPr="00AE1B2B">
        <w:rPr>
          <w:rFonts w:ascii="Times New Roman" w:hAnsi="Times New Roman" w:cs="Times New Roman" w:eastAsiaTheme="minorEastAsia"/>
          <w:sz w:val="26"/>
          <w:szCs w:val="26"/>
          <w:lang w:val="es-MX"/>
        </w:rPr>
        <w:t xml:space="preserve">Desarrolla los principios recogidos en la </w:t>
      </w:r>
      <w:r w:rsidRPr="00AE1B2B">
        <w:rPr>
          <w:rFonts w:ascii="Times New Roman" w:hAnsi="Times New Roman" w:cs="Times New Roman" w:eastAsiaTheme="minorEastAsia"/>
          <w:i/>
          <w:iCs/>
          <w:sz w:val="26"/>
          <w:szCs w:val="26"/>
          <w:lang w:val="es-MX"/>
        </w:rPr>
        <w:t>“Carta de Derechos de las Personas ante la Justicia en el Espacio Judicial Iberoamericano”</w:t>
      </w:r>
      <w:r w:rsidRPr="00AE1B2B">
        <w:rPr>
          <w:rFonts w:ascii="Times New Roman" w:hAnsi="Times New Roman" w:cs="Times New Roman" w:eastAsiaTheme="minorEastAsia"/>
          <w:sz w:val="26"/>
          <w:szCs w:val="26"/>
          <w:lang w:val="es-MX"/>
        </w:rPr>
        <w:t xml:space="preserve"> (Cancún 2002) en el título: </w:t>
      </w:r>
      <w:r w:rsidRPr="00AE1B2B">
        <w:rPr>
          <w:rFonts w:ascii="Times New Roman" w:hAnsi="Times New Roman" w:cs="Times New Roman" w:eastAsiaTheme="minorEastAsia"/>
          <w:i/>
          <w:iCs/>
          <w:sz w:val="26"/>
          <w:szCs w:val="26"/>
          <w:lang w:val="es-MX"/>
        </w:rPr>
        <w:t>“Una Justicia que protege a los más débiles”.</w:t>
      </w:r>
    </w:p>
    <w:p w:rsidRPr="00AE1B2B" w:rsidR="009D3FB5" w:rsidP="00163B94" w:rsidRDefault="009D3FB5" w14:paraId="0EED7295" w14:textId="77777777">
      <w:pPr>
        <w:spacing w:before="120" w:after="120"/>
        <w:ind w:left="851" w:right="851" w:firstLine="709"/>
        <w:jc w:val="both"/>
        <w:rPr>
          <w:rFonts w:ascii="Times New Roman" w:hAnsi="Times New Roman" w:cs="Times New Roman" w:eastAsiaTheme="minorEastAsia"/>
          <w:sz w:val="26"/>
          <w:szCs w:val="26"/>
          <w:lang w:val="es-MX"/>
        </w:rPr>
      </w:pPr>
      <w:r w:rsidRPr="00AE1B2B">
        <w:rPr>
          <w:rFonts w:ascii="Times New Roman" w:hAnsi="Times New Roman" w:cs="Times New Roman" w:eastAsiaTheme="minorEastAsia"/>
          <w:sz w:val="26"/>
          <w:szCs w:val="26"/>
          <w:lang w:val="es-MX"/>
        </w:rPr>
        <w:t>Tienen como objetivo Garantizar las condiciones de acceso efectivo a la justicia de las personas en condición de vulnerabilidad, sin discriminación alguna, englobando el conjunto de políticas, medidas, facilidades y apoyos que permitan a dichas personas el pleno goce de los servicios del sistema judicial.</w:t>
      </w:r>
    </w:p>
    <w:p w:rsidRPr="00AE1B2B" w:rsidR="009D3FB5" w:rsidP="00163B94" w:rsidRDefault="009D3FB5" w14:paraId="4651877C" w14:textId="77777777">
      <w:pPr>
        <w:spacing w:before="120" w:after="120"/>
        <w:ind w:left="851" w:right="851" w:firstLine="709"/>
        <w:jc w:val="both"/>
        <w:rPr>
          <w:rFonts w:ascii="Times New Roman" w:hAnsi="Times New Roman" w:cs="Times New Roman" w:eastAsiaTheme="minorEastAsia"/>
          <w:sz w:val="26"/>
          <w:szCs w:val="26"/>
          <w:lang w:val="es-MX"/>
        </w:rPr>
      </w:pPr>
      <w:r w:rsidRPr="00AE1B2B">
        <w:rPr>
          <w:rFonts w:ascii="Times New Roman" w:hAnsi="Times New Roman" w:cs="Times New Roman" w:eastAsiaTheme="minorEastAsia"/>
          <w:sz w:val="26"/>
          <w:szCs w:val="26"/>
          <w:lang w:val="es-MX"/>
        </w:rPr>
        <w:t>Se priorizará el desarrollo de actuaciones destinadas a “</w:t>
      </w:r>
      <w:r w:rsidRPr="00AE1B2B">
        <w:rPr>
          <w:rFonts w:ascii="Times New Roman" w:hAnsi="Times New Roman" w:cs="Times New Roman" w:eastAsiaTheme="minorEastAsia"/>
          <w:i/>
          <w:iCs/>
          <w:sz w:val="26"/>
          <w:szCs w:val="26"/>
          <w:lang w:val="es-MX"/>
        </w:rPr>
        <w:t xml:space="preserve">facilitar el acceso a la justicia de aquellas personas que se encuentren en situación de mayor vulnerabilidad, ya sea por </w:t>
      </w:r>
      <w:r w:rsidRPr="00AE1B2B">
        <w:rPr>
          <w:rFonts w:ascii="Times New Roman" w:hAnsi="Times New Roman" w:cs="Times New Roman" w:eastAsiaTheme="minorEastAsia"/>
          <w:i/>
          <w:iCs/>
          <w:sz w:val="26"/>
          <w:szCs w:val="26"/>
          <w:u w:val="single"/>
          <w:lang w:val="es-MX"/>
        </w:rPr>
        <w:t>la concurrencia de varias causas</w:t>
      </w:r>
      <w:r w:rsidRPr="00AE1B2B">
        <w:rPr>
          <w:rFonts w:ascii="Times New Roman" w:hAnsi="Times New Roman" w:cs="Times New Roman" w:eastAsiaTheme="minorEastAsia"/>
          <w:i/>
          <w:iCs/>
          <w:sz w:val="26"/>
          <w:szCs w:val="26"/>
          <w:lang w:val="es-MX"/>
        </w:rPr>
        <w:t xml:space="preserve"> o por la gran incidencia de una de ellas.”</w:t>
      </w:r>
      <w:r w:rsidRPr="00AE1B2B">
        <w:rPr>
          <w:rFonts w:ascii="Times New Roman" w:hAnsi="Times New Roman" w:cs="Times New Roman" w:eastAsiaTheme="minorEastAsia"/>
          <w:sz w:val="26"/>
          <w:szCs w:val="26"/>
          <w:lang w:val="es-MX"/>
        </w:rPr>
        <w:t xml:space="preserve"> (</w:t>
      </w:r>
      <w:r w:rsidRPr="00AE1B2B">
        <w:rPr>
          <w:rFonts w:ascii="Times New Roman" w:hAnsi="Times New Roman" w:cs="Times New Roman" w:eastAsiaTheme="minorEastAsia"/>
          <w:i/>
          <w:iCs/>
          <w:sz w:val="26"/>
          <w:szCs w:val="26"/>
          <w:lang w:val="es-MX"/>
        </w:rPr>
        <w:t>Artículo 2, Sección 1</w:t>
      </w:r>
      <w:r w:rsidRPr="00AE1B2B">
        <w:rPr>
          <w:rFonts w:ascii="Times New Roman" w:hAnsi="Times New Roman" w:cs="Times New Roman" w:eastAsiaTheme="minorEastAsia"/>
          <w:sz w:val="26"/>
          <w:szCs w:val="26"/>
          <w:lang w:val="es-MX"/>
        </w:rPr>
        <w:t>).</w:t>
      </w:r>
    </w:p>
    <w:p w:rsidRPr="00AE1B2B" w:rsidR="009D3FB5" w:rsidP="00163B94" w:rsidRDefault="009D3FB5" w14:paraId="40C77338" w14:textId="77777777">
      <w:pPr>
        <w:spacing w:before="120" w:after="120"/>
        <w:ind w:left="851" w:right="851" w:firstLine="709"/>
        <w:jc w:val="both"/>
        <w:rPr>
          <w:rFonts w:ascii="Times New Roman" w:hAnsi="Times New Roman" w:cs="Times New Roman" w:eastAsiaTheme="minorEastAsia"/>
          <w:i/>
          <w:iCs/>
          <w:sz w:val="26"/>
          <w:szCs w:val="26"/>
          <w:lang w:val="es-MX"/>
        </w:rPr>
      </w:pPr>
      <w:r w:rsidRPr="00AE1B2B">
        <w:rPr>
          <w:rFonts w:ascii="Times New Roman" w:hAnsi="Times New Roman" w:cs="Times New Roman" w:eastAsiaTheme="minorEastAsia"/>
          <w:sz w:val="26"/>
          <w:szCs w:val="26"/>
          <w:lang w:val="es-MX"/>
        </w:rPr>
        <w:t xml:space="preserve">Pertenencia a comunidades indígenas: </w:t>
      </w:r>
      <w:r w:rsidRPr="00AE1B2B">
        <w:rPr>
          <w:rFonts w:ascii="Times New Roman" w:hAnsi="Times New Roman" w:cs="Times New Roman"/>
          <w:sz w:val="26"/>
          <w:szCs w:val="26"/>
          <w:lang w:val="es-MX"/>
        </w:rPr>
        <w:t xml:space="preserve">Esta población está en condición de vulnerabilidad cuando ejercitan sus derechos ante el sistema judicial estatal. </w:t>
      </w:r>
      <w:r w:rsidRPr="00AE1B2B">
        <w:rPr>
          <w:rFonts w:ascii="Times New Roman" w:hAnsi="Times New Roman" w:cs="Times New Roman" w:eastAsiaTheme="minorEastAsia"/>
          <w:sz w:val="26"/>
          <w:szCs w:val="26"/>
          <w:lang w:val="es-MX"/>
        </w:rPr>
        <w:t xml:space="preserve">Deben promoverse </w:t>
      </w:r>
      <w:r w:rsidRPr="00AE1B2B">
        <w:rPr>
          <w:rFonts w:ascii="Times New Roman" w:hAnsi="Times New Roman" w:cs="Times New Roman" w:eastAsiaTheme="minorEastAsia"/>
          <w:i/>
          <w:iCs/>
          <w:sz w:val="26"/>
          <w:szCs w:val="26"/>
          <w:lang w:val="es-MX"/>
        </w:rPr>
        <w:t>“las condiciones destinadas a posibilitar que las personas y los pueblos indígenas puedan ejercitar con plenitud tales derechos ante dicho sistema de justicia, sin discriminación alguna que pueda fundarse en su origen o identidad indígenas.”.</w:t>
      </w:r>
    </w:p>
    <w:p w:rsidRPr="00AE1B2B" w:rsidR="009D3FB5" w:rsidP="00163B94" w:rsidRDefault="009D3FB5" w14:paraId="3E9BF6A6" w14:textId="35812BDC">
      <w:pPr>
        <w:spacing w:before="120" w:after="120"/>
        <w:ind w:left="851" w:right="851" w:firstLine="709"/>
        <w:jc w:val="both"/>
        <w:rPr>
          <w:rFonts w:ascii="Times New Roman" w:hAnsi="Times New Roman" w:cs="Times New Roman" w:eastAsiaTheme="minorEastAsia"/>
          <w:sz w:val="26"/>
          <w:szCs w:val="26"/>
          <w:lang w:val="es-MX"/>
        </w:rPr>
      </w:pPr>
      <w:r w:rsidRPr="00AE1B2B">
        <w:rPr>
          <w:rFonts w:ascii="Times New Roman" w:hAnsi="Times New Roman" w:cs="Times New Roman" w:eastAsiaTheme="minorEastAsia"/>
          <w:sz w:val="26"/>
          <w:szCs w:val="26"/>
          <w:lang w:val="es-MX"/>
        </w:rPr>
        <w:t>Sobre las Reglas de Brasilia, la Corte Plena en la sesión N° 36-2019 celebrada el 26 de agosto de 2019, Artículo XXIV, se indica lo siguiente: “</w:t>
      </w:r>
      <w:r w:rsidRPr="00AE1B2B">
        <w:rPr>
          <w:rFonts w:ascii="Times New Roman" w:hAnsi="Times New Roman" w:cs="Times New Roman"/>
          <w:b/>
          <w:bCs/>
          <w:i/>
          <w:iCs/>
          <w:sz w:val="26"/>
          <w:szCs w:val="26"/>
          <w:u w:val="single"/>
          <w:lang w:val="es-ES_tradnl"/>
        </w:rPr>
        <w:t>4.- Pueblos y Comunidades Indígenas, Personas Afro- descendientes;</w:t>
      </w:r>
      <w:r w:rsidRPr="00AE1B2B" w:rsidR="00BB7720">
        <w:rPr>
          <w:rFonts w:ascii="Times New Roman" w:hAnsi="Times New Roman" w:cs="Times New Roman"/>
          <w:b/>
          <w:bCs/>
          <w:i/>
          <w:iCs/>
          <w:sz w:val="26"/>
          <w:szCs w:val="26"/>
          <w:u w:val="single"/>
          <w:lang w:val="es-ES_tradnl"/>
        </w:rPr>
        <w:t xml:space="preserve"> </w:t>
      </w:r>
      <w:r w:rsidRPr="00AE1B2B">
        <w:rPr>
          <w:rFonts w:ascii="Times New Roman" w:hAnsi="Times New Roman" w:cs="Times New Roman"/>
          <w:b/>
          <w:bCs/>
          <w:i/>
          <w:iCs/>
          <w:sz w:val="26"/>
          <w:szCs w:val="26"/>
          <w:u w:val="single"/>
          <w:lang w:val="es-ES_tradnl"/>
        </w:rPr>
        <w:t xml:space="preserve">Pertenencia a otras diversidades étnicas y culturales. </w:t>
      </w:r>
      <w:r w:rsidRPr="00AE1B2B">
        <w:rPr>
          <w:rFonts w:ascii="Times New Roman" w:hAnsi="Times New Roman" w:cs="Times New Roman" w:eastAsiaTheme="minorEastAsia"/>
          <w:i/>
          <w:iCs/>
          <w:sz w:val="26"/>
          <w:szCs w:val="26"/>
          <w:lang w:val="es-ES_tradnl"/>
        </w:rPr>
        <w:t xml:space="preserve">(9) Las personas integrantes de las comunidades indígenas pueden encontrarse en condición de vulnerabilidad cuando ejercitan sus derechos ante el sistema de justicia estatal. Se promoverán las condiciones destinadas a posibilitar que las personas y los pueblos indígenas puedan ejercitar con plenitud tales derechos ante el sistema de justicia, sin discriminación alguna que pueda fundarse en su origen, identidad indígena o su condición económica. Los poderes judiciales asegurarán que el trato que reciban por parte de los sistemas de justicia estatal sea respetuoso con su dignidad, idioma y tradiciones culturales. Todo ello sin perjuicio de lo dispuesto en la Regla 48 sobre las formas alternativas y restaurativas de resolución de conflictos propios de los pueblos </w:t>
      </w:r>
      <w:r w:rsidRPr="00AE1B2B">
        <w:rPr>
          <w:rFonts w:ascii="Times New Roman" w:hAnsi="Times New Roman" w:cs="Times New Roman" w:eastAsiaTheme="minorEastAsia"/>
          <w:i/>
          <w:iCs/>
          <w:sz w:val="26"/>
          <w:szCs w:val="26"/>
          <w:lang w:val="es-ES_tradnl"/>
        </w:rPr>
        <w:lastRenderedPageBreak/>
        <w:t xml:space="preserve">indígenas, </w:t>
      </w:r>
      <w:r w:rsidRPr="00AE1B2B">
        <w:rPr>
          <w:rFonts w:ascii="Times New Roman" w:hAnsi="Times New Roman" w:cs="Times New Roman" w:eastAsiaTheme="minorEastAsia"/>
          <w:b/>
          <w:bCs/>
          <w:i/>
          <w:iCs/>
          <w:sz w:val="26"/>
          <w:szCs w:val="26"/>
          <w:lang w:val="es-ES_tradnl"/>
        </w:rPr>
        <w:t>propiciando su armonización</w:t>
      </w:r>
      <w:r w:rsidRPr="00AE1B2B">
        <w:rPr>
          <w:rFonts w:ascii="Times New Roman" w:hAnsi="Times New Roman" w:cs="Times New Roman" w:eastAsiaTheme="minorEastAsia"/>
          <w:i/>
          <w:iCs/>
          <w:sz w:val="26"/>
          <w:szCs w:val="26"/>
          <w:lang w:val="es-ES_tradnl"/>
        </w:rPr>
        <w:t xml:space="preserve"> con los sistemas de administración de justicia estatal.</w:t>
      </w:r>
      <w:r w:rsidRPr="00AE1B2B">
        <w:rPr>
          <w:rFonts w:ascii="Times New Roman" w:hAnsi="Times New Roman" w:cs="Times New Roman" w:eastAsiaTheme="minorEastAsia"/>
          <w:sz w:val="26"/>
          <w:szCs w:val="26"/>
          <w:lang w:val="es-MX"/>
        </w:rPr>
        <w:t>”.</w:t>
      </w:r>
    </w:p>
    <w:p w:rsidRPr="00AE1B2B" w:rsidR="009D3FB5" w:rsidP="00163B94" w:rsidRDefault="009D3FB5" w14:paraId="005206D7" w14:textId="77777777">
      <w:pPr>
        <w:spacing w:before="120" w:after="120"/>
        <w:ind w:left="851" w:right="851" w:firstLine="709"/>
        <w:jc w:val="both"/>
        <w:rPr>
          <w:rFonts w:ascii="Times New Roman" w:hAnsi="Times New Roman" w:cs="Times New Roman" w:eastAsiaTheme="minorEastAsia"/>
          <w:sz w:val="26"/>
          <w:szCs w:val="26"/>
          <w:lang w:val="es-MX"/>
        </w:rPr>
      </w:pPr>
      <w:r w:rsidRPr="00AE1B2B">
        <w:rPr>
          <w:rFonts w:ascii="Times New Roman" w:hAnsi="Times New Roman" w:cs="Times New Roman" w:eastAsiaTheme="minorEastAsia"/>
          <w:sz w:val="26"/>
          <w:szCs w:val="26"/>
          <w:lang w:val="es-MX"/>
        </w:rPr>
        <w:t>Respecto a las Reglas de Brasilia, establece los siguientes puntos relevantes para la asistencia legal:</w:t>
      </w:r>
    </w:p>
    <w:p w:rsidRPr="00AE1B2B" w:rsidR="009D3FB5" w:rsidP="00163B94" w:rsidRDefault="009D3FB5" w14:paraId="65DD12FC"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Asistencia legal, es decir, la consulta jurídica sobre toda cuestión susceptible de afectar a los derechos o intereses legítimos de la persona en condición de vulnerabilidad, sin retrasos innecesarios e incluso cuando aún no se ha iniciado un proceso judicial.</w:t>
      </w:r>
    </w:p>
    <w:p w:rsidRPr="00AE1B2B" w:rsidR="009D3FB5" w:rsidP="00163B94" w:rsidRDefault="009D3FB5" w14:paraId="6D2E462E"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En el ámbito de la defensa, para defender derechos en el proceso ante todas las jurisdicciones y en todas las instancias judiciales y, en su caso, condiciones en las que pueda obtenerse gratuitamente.</w:t>
      </w:r>
    </w:p>
    <w:p w:rsidRPr="00AE1B2B" w:rsidR="009D3FB5" w:rsidP="00163B94" w:rsidRDefault="009D3FB5" w14:paraId="23474BDF" w14:textId="77777777">
      <w:pPr>
        <w:spacing w:before="120" w:after="120"/>
        <w:ind w:left="851" w:right="851" w:firstLine="709"/>
        <w:jc w:val="both"/>
        <w:rPr>
          <w:rFonts w:ascii="Times New Roman" w:hAnsi="Times New Roman" w:cs="Times New Roman" w:eastAsiaTheme="minorEastAsia"/>
          <w:sz w:val="26"/>
          <w:szCs w:val="26"/>
          <w:lang w:val="es-MX"/>
        </w:rPr>
      </w:pPr>
      <w:r w:rsidRPr="00AE1B2B">
        <w:rPr>
          <w:rFonts w:ascii="Times New Roman" w:hAnsi="Times New Roman" w:cs="Times New Roman" w:eastAsiaTheme="minorEastAsia"/>
          <w:sz w:val="26"/>
          <w:szCs w:val="26"/>
          <w:lang w:val="es-MX"/>
        </w:rPr>
        <w:t>También, las Reglas de Brasilia, indica las siguientes políticas para garantizar la asistencia legal:</w:t>
      </w:r>
    </w:p>
    <w:p w:rsidRPr="00AE1B2B" w:rsidR="009D3FB5" w:rsidP="00163B94" w:rsidRDefault="009D3FB5" w14:paraId="013678EA"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Ampliación de funciones de la Defensoría Pública, no solamente en el orden penal sino también en otros órdenes jurisdiccionales; ya sea a través de la creación de mecanismos de asistencia técnica jurídica.</w:t>
      </w:r>
    </w:p>
    <w:p w:rsidRPr="00AE1B2B" w:rsidR="009D3FB5" w:rsidP="00163B94" w:rsidRDefault="009D3FB5" w14:paraId="21C966C0"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Consultorías jurídicas con la participación de las universidades, casas de justicia, intervención de colegios o barras de abogados y abogadas todo ello sin perjuicio de la revisión de los procedimientos y los requisitos procesales como forma de facilitar al acceso a la justicia.</w:t>
      </w:r>
    </w:p>
    <w:p w:rsidRPr="00AE1B2B" w:rsidR="009D3FB5" w:rsidP="00163B94" w:rsidRDefault="009D3FB5" w14:paraId="4677A101"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Derecho a personas intérpretes o traductoras: “… no conozca, no hable o no entienda el idioma utilizado en la actuación judicial respectiva… Este derecho será también aplicable a las personas con limitaciones auditivas o de expresión oral. Las interpretaciones orales o en lengua de signos, deberán ser registradas mediante la grabación audiovisual de la manifestación original y de la interpretación, o en su caso documentadas por escrito.”.</w:t>
      </w:r>
    </w:p>
    <w:p w:rsidRPr="00AE1B2B" w:rsidR="009D3FB5" w:rsidP="00163B94" w:rsidRDefault="009D3FB5" w14:paraId="76686CC1" w14:textId="77777777">
      <w:pPr>
        <w:spacing w:before="120" w:after="120"/>
        <w:ind w:left="851" w:right="851" w:firstLine="709"/>
        <w:jc w:val="both"/>
        <w:rPr>
          <w:rFonts w:ascii="Times New Roman" w:hAnsi="Times New Roman" w:cs="Times New Roman" w:eastAsiaTheme="minorEastAsia"/>
          <w:sz w:val="26"/>
          <w:szCs w:val="26"/>
          <w:lang w:val="es-ES"/>
        </w:rPr>
      </w:pPr>
      <w:r w:rsidRPr="00AE1B2B">
        <w:rPr>
          <w:rFonts w:ascii="Times New Roman" w:hAnsi="Times New Roman" w:cs="Times New Roman" w:eastAsiaTheme="minorEastAsia"/>
          <w:sz w:val="26"/>
          <w:szCs w:val="26"/>
          <w:lang w:val="es-ES"/>
        </w:rPr>
        <w:t>Como medidas procesales de las Reglas de Brasilia, se tienen las siguientes:</w:t>
      </w:r>
    </w:p>
    <w:p w:rsidRPr="00AE1B2B" w:rsidR="009D3FB5" w:rsidP="00163B94" w:rsidRDefault="009D3FB5" w14:paraId="1F2111EA"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Simplificación y divulgación de requisitos.</w:t>
      </w:r>
    </w:p>
    <w:p w:rsidRPr="00AE1B2B" w:rsidR="009D3FB5" w:rsidP="00163B94" w:rsidRDefault="009D3FB5" w14:paraId="52B903C4"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Oralidad para favorecer la agilidad.</w:t>
      </w:r>
    </w:p>
    <w:p w:rsidRPr="00AE1B2B" w:rsidR="009D3FB5" w:rsidP="00163B94" w:rsidRDefault="009D3FB5" w14:paraId="1ED2542A"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Formularios para el manejo fácil.</w:t>
      </w:r>
    </w:p>
    <w:p w:rsidRPr="00AE1B2B" w:rsidR="009D3FB5" w:rsidP="00163B94" w:rsidRDefault="009D3FB5" w14:paraId="05F3A08F"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Medidas de organización y gestión judicial.</w:t>
      </w:r>
    </w:p>
    <w:p w:rsidRPr="00AE1B2B" w:rsidR="009D3FB5" w:rsidP="00163B94" w:rsidRDefault="009D3FB5" w14:paraId="6E63447F"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Agilidad y prioridad.</w:t>
      </w:r>
    </w:p>
    <w:p w:rsidRPr="00AE1B2B" w:rsidR="009D3FB5" w:rsidP="00163B94" w:rsidRDefault="009D3FB5" w14:paraId="71479EF7"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lastRenderedPageBreak/>
        <w:t>Coordinación interinstitucional.</w:t>
      </w:r>
    </w:p>
    <w:p w:rsidRPr="00AE1B2B" w:rsidR="009D3FB5" w:rsidP="00163B94" w:rsidRDefault="009D3FB5" w14:paraId="63AA5A0C"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Medidas de proximidad o acercamiento.</w:t>
      </w:r>
    </w:p>
    <w:p w:rsidRPr="00AE1B2B" w:rsidR="009D3FB5" w:rsidP="00163B94" w:rsidRDefault="009D3FB5" w14:paraId="194D62FE" w14:textId="77777777">
      <w:pPr>
        <w:pStyle w:val="Prrafodelista"/>
        <w:numPr>
          <w:ilvl w:val="0"/>
          <w:numId w:val="49"/>
        </w:numPr>
        <w:spacing w:before="120" w:after="120"/>
        <w:ind w:left="851" w:right="851" w:firstLine="709"/>
        <w:jc w:val="both"/>
        <w:rPr>
          <w:rFonts w:ascii="Times New Roman" w:hAnsi="Times New Roman" w:cs="Times New Roman" w:eastAsiaTheme="minorEastAsia"/>
          <w:sz w:val="26"/>
          <w:szCs w:val="26"/>
        </w:rPr>
      </w:pPr>
      <w:r w:rsidRPr="00AE1B2B">
        <w:rPr>
          <w:rFonts w:ascii="Times New Roman" w:hAnsi="Times New Roman" w:cs="Times New Roman" w:eastAsiaTheme="minorEastAsia"/>
          <w:sz w:val="26"/>
          <w:szCs w:val="26"/>
        </w:rPr>
        <w:t>Resolución de conflictos.</w:t>
      </w:r>
    </w:p>
    <w:p w:rsidRPr="00AE1B2B" w:rsidR="009D3FB5" w:rsidP="00163B94" w:rsidRDefault="009D3FB5" w14:paraId="48DB5B93"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t>Ley de Biodiversidad</w:t>
      </w:r>
    </w:p>
    <w:p w:rsidRPr="00AE1B2B" w:rsidR="009D3FB5" w:rsidP="00163B94" w:rsidRDefault="009D3FB5" w14:paraId="2255042D" w14:textId="77777777">
      <w:pPr>
        <w:spacing w:before="120" w:after="120"/>
        <w:ind w:left="851" w:right="851" w:firstLine="709"/>
        <w:jc w:val="both"/>
        <w:rPr>
          <w:rFonts w:ascii="Times New Roman" w:hAnsi="Times New Roman" w:cs="Times New Roman" w:eastAsiaTheme="minorEastAsia"/>
          <w:sz w:val="26"/>
          <w:szCs w:val="26"/>
          <w:lang w:val="es-ES"/>
        </w:rPr>
      </w:pPr>
      <w:r w:rsidRPr="00AE1B2B">
        <w:rPr>
          <w:rFonts w:ascii="Times New Roman" w:hAnsi="Times New Roman" w:cs="Times New Roman" w:eastAsiaTheme="minorEastAsia"/>
          <w:sz w:val="26"/>
          <w:szCs w:val="26"/>
        </w:rPr>
        <w:t>A continuación, se muestran los artículos de la Ley de Biodiversidad relacionados con la atención especializada que se le debe brindar a las personas usuarias indígenas:</w:t>
      </w:r>
    </w:p>
    <w:p w:rsidRPr="00AE1B2B" w:rsidR="009D3FB5" w:rsidP="00163B94" w:rsidRDefault="009D3FB5" w14:paraId="328DE9CC" w14:textId="77777777">
      <w:pPr>
        <w:pStyle w:val="Prrafodelista"/>
        <w:numPr>
          <w:ilvl w:val="0"/>
          <w:numId w:val="47"/>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sz w:val="26"/>
          <w:szCs w:val="26"/>
          <w:lang w:val="es-CR"/>
        </w:rPr>
        <w:t>Artículo 58</w:t>
      </w:r>
      <w:r w:rsidRPr="00AE1B2B">
        <w:rPr>
          <w:rFonts w:ascii="Times New Roman" w:hAnsi="Times New Roman" w:cs="Times New Roman"/>
          <w:sz w:val="26"/>
          <w:szCs w:val="26"/>
          <w:lang w:val="es-CR"/>
        </w:rPr>
        <w:t>:</w:t>
      </w:r>
      <w:r w:rsidRPr="00AE1B2B">
        <w:rPr>
          <w:rFonts w:ascii="Times New Roman" w:hAnsi="Times New Roman" w:cs="Times New Roman"/>
          <w:sz w:val="26"/>
          <w:szCs w:val="26"/>
          <w:lang w:val="es-CR"/>
        </w:rPr>
        <w:tab/>
      </w:r>
      <w:r w:rsidRPr="00AE1B2B">
        <w:rPr>
          <w:rFonts w:ascii="Times New Roman" w:hAnsi="Times New Roman" w:cs="Times New Roman"/>
          <w:sz w:val="26"/>
          <w:szCs w:val="26"/>
          <w:lang w:val="es-CR"/>
        </w:rPr>
        <w:t>Respeta la diversidad cultural y dispone la protección de sus costumbres y prácticas.</w:t>
      </w:r>
    </w:p>
    <w:p w:rsidRPr="00AE1B2B" w:rsidR="009D3FB5" w:rsidP="00163B94" w:rsidRDefault="009D3FB5" w14:paraId="094EFA79" w14:textId="77777777">
      <w:pPr>
        <w:pStyle w:val="Prrafodelista"/>
        <w:numPr>
          <w:ilvl w:val="0"/>
          <w:numId w:val="47"/>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sz w:val="26"/>
          <w:szCs w:val="26"/>
        </w:rPr>
        <w:t>Artículo 66</w:t>
      </w:r>
      <w:r w:rsidRPr="00AE1B2B">
        <w:rPr>
          <w:rFonts w:ascii="Times New Roman" w:hAnsi="Times New Roman" w:cs="Times New Roman"/>
          <w:sz w:val="26"/>
          <w:szCs w:val="26"/>
        </w:rPr>
        <w:t>: Objeción cultural.</w:t>
      </w:r>
    </w:p>
    <w:p w:rsidRPr="00AE1B2B" w:rsidR="009D3FB5" w:rsidP="00163B94" w:rsidRDefault="009D3FB5" w14:paraId="35EBB2BF" w14:textId="77777777">
      <w:pPr>
        <w:pStyle w:val="Prrafodelista"/>
        <w:numPr>
          <w:ilvl w:val="0"/>
          <w:numId w:val="47"/>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sz w:val="26"/>
          <w:szCs w:val="26"/>
        </w:rPr>
        <w:t>Artículo 88</w:t>
      </w:r>
      <w:r w:rsidRPr="00AE1B2B">
        <w:rPr>
          <w:rFonts w:ascii="Times New Roman" w:hAnsi="Times New Roman" w:cs="Times New Roman"/>
          <w:sz w:val="26"/>
          <w:szCs w:val="26"/>
        </w:rPr>
        <w:t>:</w:t>
      </w:r>
      <w:r w:rsidRPr="00AE1B2B">
        <w:rPr>
          <w:rFonts w:ascii="Times New Roman" w:hAnsi="Times New Roman" w:cs="Times New Roman"/>
          <w:sz w:val="26"/>
          <w:szCs w:val="26"/>
        </w:rPr>
        <w:tab/>
      </w:r>
      <w:r w:rsidRPr="00AE1B2B">
        <w:rPr>
          <w:rFonts w:ascii="Times New Roman" w:hAnsi="Times New Roman" w:cs="Times New Roman"/>
          <w:sz w:val="26"/>
          <w:szCs w:val="26"/>
        </w:rPr>
        <w:t>Derechos Intelectuales.</w:t>
      </w:r>
    </w:p>
    <w:p w:rsidRPr="00AE1B2B" w:rsidR="009D3FB5" w:rsidP="00163B94" w:rsidRDefault="009D3FB5" w14:paraId="2E352B78" w14:textId="77777777">
      <w:pPr>
        <w:pStyle w:val="Prrafodelista"/>
        <w:numPr>
          <w:ilvl w:val="0"/>
          <w:numId w:val="47"/>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sz w:val="26"/>
          <w:szCs w:val="26"/>
        </w:rPr>
        <w:t xml:space="preserve">Artículo 104: </w:t>
      </w:r>
      <w:r w:rsidRPr="00AE1B2B">
        <w:rPr>
          <w:rFonts w:ascii="Times New Roman" w:hAnsi="Times New Roman" w:cs="Times New Roman"/>
          <w:sz w:val="26"/>
          <w:szCs w:val="26"/>
        </w:rPr>
        <w:t>Asistencia técnica y financiera.</w:t>
      </w:r>
    </w:p>
    <w:p w:rsidRPr="00AE1B2B" w:rsidR="009D3FB5" w:rsidP="00163B94" w:rsidRDefault="009D3FB5" w14:paraId="48D16B84"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t>Políticas de Corte Plena y Consejo Superior: Reglas Prácticas 2018</w:t>
      </w:r>
    </w:p>
    <w:p w:rsidRPr="00AE1B2B" w:rsidR="009D3FB5" w:rsidP="00163B94" w:rsidRDefault="009D3FB5" w14:paraId="25168763"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Consejo Superior (</w:t>
      </w:r>
      <w:r w:rsidRPr="00AE1B2B">
        <w:rPr>
          <w:rFonts w:ascii="Times New Roman" w:hAnsi="Times New Roman" w:cs="Times New Roman"/>
          <w:i/>
          <w:iCs/>
          <w:sz w:val="26"/>
          <w:szCs w:val="26"/>
          <w:lang w:val="es-MX"/>
        </w:rPr>
        <w:t>Sesiones 77-08, 104-09, 61-11, Circulares 123-2013 y 10-09</w:t>
      </w:r>
      <w:r w:rsidRPr="00AE1B2B">
        <w:rPr>
          <w:rFonts w:ascii="Times New Roman" w:hAnsi="Times New Roman" w:cs="Times New Roman"/>
          <w:sz w:val="26"/>
          <w:szCs w:val="26"/>
          <w:lang w:val="es-MX"/>
        </w:rPr>
        <w:t>):</w:t>
      </w:r>
    </w:p>
    <w:p w:rsidRPr="00AE1B2B" w:rsidR="009D3FB5" w:rsidP="00163B94" w:rsidRDefault="009D3FB5" w14:paraId="6C54B209"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Audiencias de prueba u otras en el territorio indígena.</w:t>
      </w:r>
    </w:p>
    <w:p w:rsidRPr="00AE1B2B" w:rsidR="009D3FB5" w:rsidP="00163B94" w:rsidRDefault="009D3FB5" w14:paraId="083EF1A5"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Reserva presupuestaria para cubrir gastos de traslado y viáticos de indígenas por traslado a Despachos Judiciales.</w:t>
      </w:r>
    </w:p>
    <w:p w:rsidRPr="00AE1B2B" w:rsidR="009D3FB5" w:rsidP="00163B94" w:rsidRDefault="009D3FB5" w14:paraId="71C8E97B"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Atención prioritaria a procesos de personas indígenas.</w:t>
      </w:r>
    </w:p>
    <w:p w:rsidRPr="00AE1B2B" w:rsidR="009D3FB5" w:rsidP="00163B94" w:rsidRDefault="009D3FB5" w14:paraId="43B209C5"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Prioridad de trato a personas indígenas que se apersonen a los Despachos.</w:t>
      </w:r>
    </w:p>
    <w:p w:rsidRPr="00AE1B2B" w:rsidR="009D3FB5" w:rsidP="00163B94" w:rsidRDefault="009D3FB5" w14:paraId="202DAE99"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Programar audiencias de prueba dentro de un horario accesible a las personas indígenas.</w:t>
      </w:r>
    </w:p>
    <w:p w:rsidRPr="00AE1B2B" w:rsidR="009D3FB5" w:rsidP="00163B94" w:rsidRDefault="009D3FB5" w14:paraId="138FE9DE"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Establecer canales de comunicación y coordinación para traer al proceso documentos de otras entidades a la mayor brevedad.</w:t>
      </w:r>
    </w:p>
    <w:p w:rsidRPr="00AE1B2B" w:rsidR="009D3FB5" w:rsidP="00163B94" w:rsidRDefault="009D3FB5" w14:paraId="130BABAA"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No revictimización de personas indígenas, en especial, mujeres, niños, niñas y adolescentes.</w:t>
      </w:r>
    </w:p>
    <w:p w:rsidRPr="00AE1B2B" w:rsidR="009D3FB5" w:rsidP="00163B94" w:rsidRDefault="009D3FB5" w14:paraId="41C54D35"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Colocar distintivos en expedientes.</w:t>
      </w:r>
    </w:p>
    <w:p w:rsidRPr="00AE1B2B" w:rsidR="009D3FB5" w:rsidP="00163B94" w:rsidRDefault="009D3FB5" w14:paraId="492FC9CA"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Propiciar y colaborar con otras instituciones públicas para que las personas indígenas se incorporen en procesos de enseñanza secundaria y universitaria respetando su propia perspectiva.</w:t>
      </w:r>
    </w:p>
    <w:p w:rsidRPr="00AE1B2B" w:rsidR="009D3FB5" w:rsidP="00163B94" w:rsidRDefault="009D3FB5" w14:paraId="495D1490"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lastRenderedPageBreak/>
        <w:t>Asignación a personas indígenas de personas intérpretes y traductoras con cargo al presupuesto del Poder Judicial.</w:t>
      </w:r>
    </w:p>
    <w:p w:rsidRPr="00AE1B2B" w:rsidR="009D3FB5" w:rsidP="00163B94" w:rsidRDefault="009D3FB5" w14:paraId="12EAAB69"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Ordenar a petición de parte o de oficio, costeado por el Estado, peritajes culturales o antropológicos para conocer normas culturales particulares.</w:t>
      </w:r>
    </w:p>
    <w:p w:rsidRPr="00AE1B2B" w:rsidR="009D3FB5" w:rsidP="00163B94" w:rsidRDefault="009D3FB5" w14:paraId="4FBE9F7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EF8FE5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141FC1E"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bookmarkStart w:name="_Hlk63930474" w:id="40"/>
      <w:r w:rsidRPr="00AE1B2B">
        <w:rPr>
          <w:rFonts w:ascii="Times New Roman" w:hAnsi="Times New Roman" w:cs="Times New Roman"/>
          <w:b/>
          <w:bCs/>
          <w:sz w:val="26"/>
          <w:szCs w:val="26"/>
          <w:u w:val="single"/>
        </w:rPr>
        <w:t xml:space="preserve">Circular 188-19 de Corte Plena: 21 ejes de acción </w:t>
      </w:r>
    </w:p>
    <w:bookmarkEnd w:id="40"/>
    <w:p w:rsidRPr="00AE1B2B" w:rsidR="009D3FB5" w:rsidP="00163B94" w:rsidRDefault="009D3FB5" w14:paraId="2B71BA54"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cs="Times New Roman"/>
          <w:sz w:val="26"/>
          <w:szCs w:val="26"/>
        </w:rPr>
        <w:t xml:space="preserve">La circular 188-19 de la Corte Plena, sesión N° 20-19, celebrada el 27 de mayo de 2019, Artículo XIX, dispuso </w:t>
      </w:r>
      <w:r w:rsidRPr="00AE1B2B">
        <w:rPr>
          <w:rFonts w:ascii="Times New Roman" w:hAnsi="Times New Roman" w:cs="Times New Roman"/>
          <w:sz w:val="26"/>
          <w:szCs w:val="26"/>
          <w:lang w:val="es-ES_tradnl"/>
        </w:rPr>
        <w:t>aprobar los 21 ejes de acción, recomendados por la Comisión de Acceso a la Justicia, que deberán ser desarrollados por las Direcciones del Ministerio Público, Defensa Pública, Organismo de Investigación Judicial, Gestión Humana, Planificación, Dirección Ejecutiva, Tecnología de la Información, Escuela Judicial y el Sector Jurisdiccional, con ocasión del encuentro realizado entre representantes del Estado y Personas Indígenas Bribri de Salitre y Térraba, en cumplimiento de las Medidas Cautelares N° 321-12 del 30 de abril de 2015, establecidas por la Comisión Interamericana de Derechos Humanos (</w:t>
      </w:r>
      <w:r w:rsidRPr="00AE1B2B">
        <w:rPr>
          <w:rFonts w:ascii="Times New Roman" w:hAnsi="Times New Roman" w:cs="Times New Roman"/>
          <w:i/>
          <w:iCs/>
          <w:sz w:val="26"/>
          <w:szCs w:val="26"/>
          <w:lang w:val="es-ES_tradnl"/>
        </w:rPr>
        <w:t>CIDH</w:t>
      </w:r>
      <w:r w:rsidRPr="00AE1B2B">
        <w:rPr>
          <w:rFonts w:ascii="Times New Roman" w:hAnsi="Times New Roman" w:cs="Times New Roman"/>
          <w:sz w:val="26"/>
          <w:szCs w:val="26"/>
          <w:lang w:val="es-ES_tradnl"/>
        </w:rPr>
        <w:t>) contra Costa Rica. A continuación, se detallan los mencionados ejes:</w:t>
      </w:r>
    </w:p>
    <w:p w:rsidRPr="00AE1B2B" w:rsidR="009D3FB5" w:rsidP="00163B94" w:rsidRDefault="009D3FB5" w14:paraId="45060188"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lang w:val="es-CR"/>
        </w:rPr>
        <w:t>Concertar con las personas indígenas beneficiarias de las Medidas Cautelares N° 321-12 emitidas por la CIDH contra Costa Rica, las acciones a seguir para garantizar la vida y seguridad personal de los miembros del pueblo indígena Teribe y Bribrí de Salitre; e informarles las que ya se han adoptado para investigar los presuntos hechos que dieron lugar a tales medidas para evitar su repetición. Lo anterior, con el objetivo de dar cumplimiento a los mandatos de la CIDH y construir confianza y diálogo intercultural. En la medida de lo posible, realizar las sesiones de trabajo en los territorios indígenas involucrados, con la colaboración de personas traductoras que faciliten la comunicación efectiva y transparente. Se sugiere valorar sean las principales jefaturas institucionales quienes ejecuten esta labor.</w:t>
      </w:r>
    </w:p>
    <w:p w:rsidRPr="00AE1B2B" w:rsidR="009D3FB5" w:rsidP="00163B94" w:rsidRDefault="009D3FB5" w14:paraId="12759028"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lang w:val="es-CR"/>
        </w:rPr>
        <w:t>Identificar y analizar los riesgos relevantes asociados al logro de los objetivos y las metas institucionales vinculadas con la población indígena, establecidas en el Plan Estratégico Institucional 2019/2024 (</w:t>
      </w:r>
      <w:r w:rsidRPr="00AE1B2B">
        <w:rPr>
          <w:rFonts w:ascii="Times New Roman" w:hAnsi="Times New Roman" w:eastAsia="Book Antiqua" w:cs="Times New Roman"/>
          <w:i/>
          <w:iCs/>
          <w:sz w:val="26"/>
          <w:szCs w:val="26"/>
          <w:lang w:val="es-CR"/>
        </w:rPr>
        <w:t>ejes transversales acceso a la justicia y justicia abierta, entre otros</w:t>
      </w:r>
      <w:r w:rsidRPr="00AE1B2B">
        <w:rPr>
          <w:rFonts w:ascii="Times New Roman" w:hAnsi="Times New Roman" w:eastAsia="Book Antiqua" w:cs="Times New Roman"/>
          <w:sz w:val="26"/>
          <w:szCs w:val="26"/>
          <w:lang w:val="es-CR"/>
        </w:rPr>
        <w:t xml:space="preserve">); el efecto posible de tales riesgos, su importancia y la probabilidad de que ocurran, y decidir las acciones que se tomarán </w:t>
      </w:r>
      <w:r w:rsidRPr="00AE1B2B">
        <w:rPr>
          <w:rFonts w:ascii="Times New Roman" w:hAnsi="Times New Roman" w:eastAsia="Book Antiqua" w:cs="Times New Roman"/>
          <w:sz w:val="26"/>
          <w:szCs w:val="26"/>
          <w:lang w:val="es-CR"/>
        </w:rPr>
        <w:lastRenderedPageBreak/>
        <w:t>para administrarlos a fin de continuar con la adopción de las medidas necesarias para ubicarse por lo menos en un nivel de riesgo organizacional aceptable. Además, establecer los mecanismos operativos que minimicen el riesgo en las acciones por ejecutar en relación con la tramitación y resolución de los procesos judiciales en los que sean parte pueblos indígenas, priorizando aquellos en los que sean parte miembros del pueblo indígena Teribe y Bribrí de Salitre.</w:t>
      </w:r>
    </w:p>
    <w:p w:rsidRPr="00AE1B2B" w:rsidR="009D3FB5" w:rsidP="00163B94" w:rsidRDefault="009D3FB5" w14:paraId="43280887"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lang w:val="es-CR"/>
        </w:rPr>
        <w:t>Documentar, mantener actualizados y divulgar internamente, las políticas, normas y procedimientos de control que garanticen el cumplimiento del sistema de control interno institucional y la prevención de todo aspecto que conlleve a desviar los objetivos y las metas trazados por la institución en el desempeño de sus funciones vinculadas con los procesos judiciales en los que intervengan personas indígenas, priorizando aquellos en los que sean parte miembros del pueblo indígena Teribe y Bribrí de Salitre.</w:t>
      </w:r>
    </w:p>
    <w:p w:rsidRPr="00AE1B2B" w:rsidR="009D3FB5" w:rsidP="00163B94" w:rsidRDefault="009D3FB5" w14:paraId="71DBED25"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lang w:val="es-CR"/>
        </w:rPr>
        <w:t>Establecer un sistema de información que permita tener una gestión documental institucional en el desarrollo de las actividades, con el fin de prevenir cualquier desvío en los objetivos trazados en relación con la tramitación y resolución de los procesos judiciales vinculados en los que sean parte miembros del pueblo indígena Teribe y Bribrí de Salitre.</w:t>
      </w:r>
    </w:p>
    <w:p w:rsidRPr="00AE1B2B" w:rsidR="009D3FB5" w:rsidP="00163B94" w:rsidRDefault="009D3FB5" w14:paraId="1D2596EF"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lang w:val="es-CR"/>
        </w:rPr>
        <w:t>Incluir en las estadísticas institucionales indicadores que visibilicen los procesos judiciales que estén vinculados con personas indígenas, incorporando además información relativa a los pueblos relacionados, los territorios, entre otros datos de interés para la toma de decisiones.</w:t>
      </w:r>
    </w:p>
    <w:p w:rsidRPr="00AE1B2B" w:rsidR="009D3FB5" w:rsidP="00163B94" w:rsidRDefault="009D3FB5" w14:paraId="461C1748"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lang w:val="es-CR"/>
        </w:rPr>
      </w:pPr>
      <w:r w:rsidRPr="00AE1B2B">
        <w:rPr>
          <w:rFonts w:ascii="Times New Roman" w:hAnsi="Times New Roman" w:eastAsia="Book Antiqua" w:cs="Times New Roman"/>
          <w:sz w:val="26"/>
          <w:szCs w:val="26"/>
        </w:rPr>
        <w:t xml:space="preserve">Con absoluto respeto al principio de independencia judicial, emitir circulares dirigidas a todas las personas servidoras judiciales en las que se les reitere su deber de ser garantes del acceso efectivo a la justicia de los pueblos indígenas, la no discriminación y eliminación de barreras, a saber: </w:t>
      </w:r>
      <w:r w:rsidRPr="00AE1B2B">
        <w:rPr>
          <w:rFonts w:ascii="Times New Roman" w:hAnsi="Times New Roman" w:eastAsia="Book Antiqua" w:cs="Times New Roman"/>
          <w:b/>
          <w:bCs/>
          <w:sz w:val="26"/>
          <w:szCs w:val="26"/>
          <w:lang w:val="es-CR"/>
        </w:rPr>
        <w:t>i)</w:t>
      </w:r>
      <w:r w:rsidRPr="00AE1B2B">
        <w:rPr>
          <w:rFonts w:ascii="Times New Roman" w:hAnsi="Times New Roman" w:eastAsia="Book Antiqua" w:cs="Times New Roman"/>
          <w:sz w:val="26"/>
          <w:szCs w:val="26"/>
          <w:lang w:val="es-CR"/>
        </w:rPr>
        <w:t xml:space="preserve"> asegurar que los miembros de la comunidad puedan comprender y hacerse comprender en los procedimientos legales iniciados, facilitándoles intérpretes u otros medios eficaces para tal fin; </w:t>
      </w:r>
      <w:r w:rsidRPr="00AE1B2B">
        <w:rPr>
          <w:rFonts w:ascii="Times New Roman" w:hAnsi="Times New Roman" w:eastAsia="Book Antiqua" w:cs="Times New Roman"/>
          <w:b/>
          <w:bCs/>
          <w:sz w:val="26"/>
          <w:szCs w:val="26"/>
          <w:lang w:val="es-CR"/>
        </w:rPr>
        <w:t>ii)</w:t>
      </w:r>
      <w:r w:rsidRPr="00AE1B2B">
        <w:rPr>
          <w:rFonts w:ascii="Times New Roman" w:hAnsi="Times New Roman" w:eastAsia="Book Antiqua" w:cs="Times New Roman"/>
          <w:sz w:val="26"/>
          <w:szCs w:val="26"/>
          <w:lang w:val="es-CR"/>
        </w:rPr>
        <w:t xml:space="preserve"> proporcionar el acceso a los pueblos indígenas y tribales a asistencia técnica y legal en relación con su derecho a la propiedad colectiva, en el supuesto de que estos se encontrasen en una situación de vulnerabilidad que les impediría conseguirla, y </w:t>
      </w:r>
      <w:r w:rsidRPr="00AE1B2B">
        <w:rPr>
          <w:rFonts w:ascii="Times New Roman" w:hAnsi="Times New Roman" w:eastAsia="Book Antiqua" w:cs="Times New Roman"/>
          <w:b/>
          <w:bCs/>
          <w:sz w:val="26"/>
          <w:szCs w:val="26"/>
          <w:lang w:val="es-CR"/>
        </w:rPr>
        <w:t>iii)</w:t>
      </w:r>
      <w:r w:rsidRPr="00AE1B2B">
        <w:rPr>
          <w:rFonts w:ascii="Times New Roman" w:hAnsi="Times New Roman" w:eastAsia="Book Antiqua" w:cs="Times New Roman"/>
          <w:sz w:val="26"/>
          <w:szCs w:val="26"/>
          <w:lang w:val="es-CR"/>
        </w:rPr>
        <w:t xml:space="preserve"> facilitar el acceso físico a las instituciones administrativas y judiciales, o a los organismos encargados de garantizar el derecho a la propiedad colectiva de los pueblos indígenas y tribales, así como facilitar la participación de los pueblos </w:t>
      </w:r>
      <w:r w:rsidRPr="00AE1B2B">
        <w:rPr>
          <w:rFonts w:ascii="Times New Roman" w:hAnsi="Times New Roman" w:eastAsia="Book Antiqua" w:cs="Times New Roman"/>
          <w:sz w:val="26"/>
          <w:szCs w:val="26"/>
          <w:lang w:val="es-CR"/>
        </w:rPr>
        <w:lastRenderedPageBreak/>
        <w:t>en el desarrollo de los procesos judiciales, administrativos o de cualquier otra índole, sin que ello les implique hacer esfuerzos desmedidos o exagerados, ya sea debido a las distancias o a las vías de acceso a dichas instituciones, o a los altos costos en virtud de los procedimientos. Además, el otorgamiento de una protección efectiva que tome en cuenta las particularidades propias que los diferencian de la población en general y que conforman su identidad cultural, sus características económicas y sociales, su posible situación de vulnerabilidad, su derecho consuetudinario, valores, usos y costumbres, así como su especial relación con la tierra, y respeto de los mecanismos internos de decisión de controversias en materia indígena, los cuales se encuentren en armonía con los derechos humanos, según los estándares internacionales establecidos por la Corte Interamericana de Derechos Humanos en el caso Pueblos Kaliña y Lokono versus Surinam, sentencia de 25 de noviembre de 2015 y las disposiciones de la Ley de Acceso a la Justicia de los Pueblos Indígenas de Costa Rica.</w:t>
      </w:r>
    </w:p>
    <w:p w:rsidRPr="00AE1B2B" w:rsidR="009D3FB5" w:rsidP="00163B94" w:rsidRDefault="009D3FB5" w14:paraId="3EB5F16F" w14:textId="3A412E8F">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lang w:val="es-CR"/>
        </w:rPr>
        <w:t>Con absoluto respeto al principio de independencia judicial y los principios de Bangalore sobre la conducta judicial, entre otros, establecer políticas y prácticas de gestión de recursos humanos apropiadas, principalmente en cuanto a contratación, vinculación, entrenamiento, evaluación, promoción</w:t>
      </w:r>
      <w:r w:rsidRPr="00AE1B2B" w:rsidR="00BB7720">
        <w:rPr>
          <w:rFonts w:ascii="Times New Roman" w:hAnsi="Times New Roman" w:eastAsia="Book Antiqua" w:cs="Times New Roman"/>
          <w:sz w:val="26"/>
          <w:szCs w:val="26"/>
          <w:lang w:val="es-CR"/>
        </w:rPr>
        <w:t xml:space="preserve"> </w:t>
      </w:r>
      <w:r w:rsidRPr="00AE1B2B">
        <w:rPr>
          <w:rFonts w:ascii="Times New Roman" w:hAnsi="Times New Roman" w:eastAsia="Book Antiqua" w:cs="Times New Roman"/>
          <w:sz w:val="26"/>
          <w:szCs w:val="26"/>
          <w:lang w:val="es-CR"/>
        </w:rPr>
        <w:t>y acciones disciplinarias; todo de conformidad con el ordenamiento jurídico y técnico aplicable, en lo relacionado con la aplicación del Derecho Indígena, con el objetivo de ofrecer a las personas usuarias indígenas una justicia pronta, cumplida, sin denegación y accesible; priorizando lo vinculado con los procesos judiciales en los que sean parte miembros del pueblo indígena Teribe y Bribrí de Salitre.</w:t>
      </w:r>
    </w:p>
    <w:p w:rsidRPr="00AE1B2B" w:rsidR="009D3FB5" w:rsidP="00163B94" w:rsidRDefault="009D3FB5" w14:paraId="64FC05B7"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lang w:val="es-CR"/>
        </w:rPr>
        <w:t>Realizar encuentros entre el pueblo indígena Teribe y Bribrí de Salitre con personas funcionarias judiciales de la Contraloría de Servicios, Comisión de Acceso a la Justicia y la Subcomisión de Acceso a la Justicia de los Pueblos Indígenas, a efecto de que estas últimas les expongan el funcionamiento del Poder Judicial en sus diferentes ámbitos. En forma previa a su ejecución se concertará con las personas indígenas la identificación de los contenidos mínimos de los aspectos sobre los cuales desean ser informados y los mecanismos que ofrece el Poder Judicial para el acceso a la justicia.</w:t>
      </w:r>
    </w:p>
    <w:p w:rsidRPr="00AE1B2B" w:rsidR="009D3FB5" w:rsidP="00163B94" w:rsidRDefault="009D3FB5" w14:paraId="337427E1"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lang w:val="es-CR"/>
        </w:rPr>
        <w:t xml:space="preserve">Realizar encuentros entre representantes del pueblo indígena Teribe y Bribrí de Salitre y personas funcionarias judiciales con competencia para conocer procesos judiciales vinculados con esa población, a efecto de que las personas indígenas capaciten a las y los </w:t>
      </w:r>
      <w:r w:rsidRPr="00AE1B2B">
        <w:rPr>
          <w:rFonts w:ascii="Times New Roman" w:hAnsi="Times New Roman" w:eastAsia="Book Antiqua" w:cs="Times New Roman"/>
          <w:sz w:val="26"/>
          <w:szCs w:val="26"/>
          <w:lang w:val="es-CR"/>
        </w:rPr>
        <w:lastRenderedPageBreak/>
        <w:t>servidores judiciales sobre la historia, cosmovisión, costumbres, formas de tenencia y de transmisión de la tierra, entre otros datos de interés, que incidan en la solución de los conflictos indígenas; priorizándose a quienes laboren en las oficinas judiciales con competencia material y territorial para conocer de procesos vinculados con personas indígenas de Buenos Aires de Puntarenas, incluyendo a personas juzgadoras, técnicas y coordinadoras judiciales, defensoras públicas, fiscalas, personal administrativo, del Organismo de Investigación Judicial, entre otros. Iniciar el proceso de capacitación con personas servidoras judiciales de las Jurisdicciones Penal, Agrario y Contencioso Administrativo, de todas las instancias; y luego se continuará con las demás.</w:t>
      </w:r>
    </w:p>
    <w:p w:rsidRPr="00AE1B2B" w:rsidR="009D3FB5" w:rsidP="00163B94" w:rsidRDefault="009D3FB5" w14:paraId="0A2AB9E2"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Verificar que, en los contenidos de los diseños de las capacitaciones en Derecho Indígena, se incluya al menos:</w:t>
      </w:r>
    </w:p>
    <w:p w:rsidRPr="00AE1B2B" w:rsidR="009D3FB5" w:rsidP="00163B94" w:rsidRDefault="009D3FB5" w14:paraId="2429D018" w14:textId="77777777">
      <w:pPr>
        <w:pStyle w:val="Prrafodelista"/>
        <w:numPr>
          <w:ilvl w:val="0"/>
          <w:numId w:val="51"/>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Normativa internacional referida a los derechos de las personas indígenas, entre ellos, el Convenio relativo a la protección e integración de las poblaciones indígenas y de otras poblaciones tribales y semitribales en los países 1957 (</w:t>
      </w:r>
      <w:r w:rsidRPr="00AE1B2B">
        <w:rPr>
          <w:rFonts w:ascii="Times New Roman" w:hAnsi="Times New Roman" w:eastAsia="Book Antiqua" w:cs="Times New Roman"/>
          <w:i/>
          <w:iCs/>
          <w:sz w:val="26"/>
          <w:szCs w:val="26"/>
        </w:rPr>
        <w:t>Convenio 107 OIT</w:t>
      </w:r>
      <w:r w:rsidRPr="00AE1B2B">
        <w:rPr>
          <w:rFonts w:ascii="Times New Roman" w:hAnsi="Times New Roman" w:eastAsia="Book Antiqua" w:cs="Times New Roman"/>
          <w:sz w:val="26"/>
          <w:szCs w:val="26"/>
        </w:rPr>
        <w:t>), Convenio sobre Pueblos Indígenas y Tribales 1989 (</w:t>
      </w:r>
      <w:r w:rsidRPr="00AE1B2B">
        <w:rPr>
          <w:rFonts w:ascii="Times New Roman" w:hAnsi="Times New Roman" w:eastAsia="Book Antiqua" w:cs="Times New Roman"/>
          <w:i/>
          <w:iCs/>
          <w:sz w:val="26"/>
          <w:szCs w:val="26"/>
        </w:rPr>
        <w:t>Convenio 169 OIT</w:t>
      </w:r>
      <w:r w:rsidRPr="00AE1B2B">
        <w:rPr>
          <w:rFonts w:ascii="Times New Roman" w:hAnsi="Times New Roman" w:eastAsia="Book Antiqua" w:cs="Times New Roman"/>
          <w:sz w:val="26"/>
          <w:szCs w:val="26"/>
        </w:rPr>
        <w:t>), Declaración de las Naciones Unidas sobre los derechos de los Pueblos Indígenas 2007, Declaración Americana sobre Derechos de los Pueblos Indígenas OEA 2016;</w:t>
      </w:r>
    </w:p>
    <w:p w:rsidRPr="00AE1B2B" w:rsidR="009D3FB5" w:rsidP="00163B94" w:rsidRDefault="009D3FB5" w14:paraId="7320FD03" w14:textId="77777777">
      <w:pPr>
        <w:pStyle w:val="Prrafodelista"/>
        <w:numPr>
          <w:ilvl w:val="0"/>
          <w:numId w:val="51"/>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Jurisprudencia de la Corte Interamericana de Derechos Humanos vinculada con pueblos Indígenas incluyendo la Opinión Consultiva 23-2017,</w:t>
      </w:r>
    </w:p>
    <w:p w:rsidRPr="00AE1B2B" w:rsidR="009D3FB5" w:rsidP="00163B94" w:rsidRDefault="009D3FB5" w14:paraId="53974331" w14:textId="77777777">
      <w:pPr>
        <w:pStyle w:val="Prrafodelista"/>
        <w:numPr>
          <w:ilvl w:val="0"/>
          <w:numId w:val="51"/>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Constitución Política, Ley Indígena, Ley de Acceso a la Justicia de los Pueblos Indígenas, entre otras</w:t>
      </w:r>
    </w:p>
    <w:p w:rsidRPr="00AE1B2B" w:rsidR="009D3FB5" w:rsidP="00163B94" w:rsidRDefault="009D3FB5" w14:paraId="6CF9863D" w14:textId="77777777">
      <w:pPr>
        <w:pStyle w:val="Prrafodelista"/>
        <w:numPr>
          <w:ilvl w:val="0"/>
          <w:numId w:val="51"/>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Jurisprudencia de las Salas de Casación y de la Sala Constitucional de la Corte Suprema de Justicia.</w:t>
      </w:r>
    </w:p>
    <w:p w:rsidRPr="00AE1B2B" w:rsidR="009D3FB5" w:rsidP="00163B94" w:rsidRDefault="009D3FB5" w14:paraId="3B9FD164" w14:textId="77777777">
      <w:pPr>
        <w:pStyle w:val="Prrafodelista"/>
        <w:numPr>
          <w:ilvl w:val="0"/>
          <w:numId w:val="51"/>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Lineamientos y circulares de Corte Plena y del Consejo Superior vinculados con las reglas para los procesos en los que estén involucradas personas indígenas; además, los alcances y distinción entre el sistema monista y el pluralismo jurídico.</w:t>
      </w:r>
    </w:p>
    <w:p w:rsidRPr="00AE1B2B" w:rsidR="009D3FB5" w:rsidP="00163B94" w:rsidRDefault="009D3FB5" w14:paraId="7D30AD49"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lang w:val="es-CR"/>
        </w:rPr>
        <w:t xml:space="preserve">Establecer un modelo de control y seguimiento a fin de medir el impacto de esas capacitaciones en el fortalecimiento de las competencias de las personas servidoras judiciales que asistan y su concreción en las resoluciones –incluyendo las sentencias- que emitan en los procesos propios de su competencia, con absoluto respeto al principio de independencia judicial y los principios de Bangalore sobre la conducta judicial, entre otros. Al respecto, la </w:t>
      </w:r>
      <w:r w:rsidRPr="00AE1B2B">
        <w:rPr>
          <w:rFonts w:ascii="Times New Roman" w:hAnsi="Times New Roman" w:eastAsia="Book Antiqua" w:cs="Times New Roman"/>
          <w:sz w:val="26"/>
          <w:szCs w:val="26"/>
          <w:lang w:val="es-CR"/>
        </w:rPr>
        <w:lastRenderedPageBreak/>
        <w:t>Institución tiene experiencia pues para tal seguimiento del impacto de la capacitación se diseñó el Manual para realizar las evaluaciones de resultados de la capacitación judicial en el desempeño laboral por parte de la Escuela Judicial.</w:t>
      </w:r>
    </w:p>
    <w:p w:rsidRPr="00AE1B2B" w:rsidR="009D3FB5" w:rsidP="00163B94" w:rsidRDefault="009D3FB5" w14:paraId="4F74C00E"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Gestionar ante el Consejo Directivo de la Escuela Judicial y el Consejo Superior para declarar obligatoria la participación de las personas servidoras judiciales en las capacitaciones sobre Derecho Indígena, en cumplimiento de la Ley de Acceso a la Justicia de Pueblos Indígenas, especialmente quienes tengan competencia material y territorial para conocer de procesos judiciales vinculados con el pueblo indígena Teribe y Bribrí de Salitre.</w:t>
      </w:r>
    </w:p>
    <w:p w:rsidRPr="00AE1B2B" w:rsidR="009D3FB5" w:rsidP="00163B94" w:rsidRDefault="009D3FB5" w14:paraId="4CF8C0B6"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lang w:val="es-CR"/>
        </w:rPr>
        <w:t>Llevar un control de las personas que hayan sido capacitadas y un seguimiento para medir el impacto en su gestión, y valorar su inclusión en los indicadores de evaluación de desempeño y los procesos de reclutamiento, ya sea para nombramientos o ascensos en puestos vinculados con el conocimiento de procesos asociados a personas indígenas.</w:t>
      </w:r>
    </w:p>
    <w:p w:rsidRPr="00AE1B2B" w:rsidR="009D3FB5" w:rsidP="00163B94" w:rsidRDefault="009D3FB5" w14:paraId="7E05E7F8"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lang w:val="es-CR"/>
        </w:rPr>
        <w:t>Valorar la posibilidad de establecer acuerdos interinstitucionales entre el Poder Judicial, el Poder Ejecutivo (</w:t>
      </w:r>
      <w:r w:rsidRPr="00AE1B2B">
        <w:rPr>
          <w:rFonts w:ascii="Times New Roman" w:hAnsi="Times New Roman" w:eastAsia="Book Antiqua" w:cs="Times New Roman"/>
          <w:i/>
          <w:iCs/>
          <w:sz w:val="26"/>
          <w:szCs w:val="26"/>
          <w:lang w:val="es-CR"/>
        </w:rPr>
        <w:t>y sus instituciones</w:t>
      </w:r>
      <w:r w:rsidRPr="00AE1B2B">
        <w:rPr>
          <w:rFonts w:ascii="Times New Roman" w:hAnsi="Times New Roman" w:eastAsia="Book Antiqua" w:cs="Times New Roman"/>
          <w:sz w:val="26"/>
          <w:szCs w:val="26"/>
          <w:lang w:val="es-CR"/>
        </w:rPr>
        <w:t>) y el Poder Legislativo, así como las Universidades estatales, a fin de que las acciones que se ejecuten vinculadas con personas indígenas, especialmente las relacionadas con las medidas cautelares de la CIDH, estén previamente coordinadas y sean consultadas a las personas indígenas.</w:t>
      </w:r>
    </w:p>
    <w:p w:rsidRPr="00AE1B2B" w:rsidR="009D3FB5" w:rsidP="00163B94" w:rsidRDefault="009D3FB5" w14:paraId="43A11DD7"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lang w:val="es-CR"/>
        </w:rPr>
        <w:t>Instar al Instituto de Desarrollo Rural y al Ministerio de Justicia y Paz para que valoren la posibilidad de capacitar a las personas juzgadoras, defensoras públicas y fiscalas con competencia para conocer procesos en los que intervengan personas indígenas del pueblo indígena Teribe y Bribrí de Salitre, sobre las acciones emprendidas en el Plan de Recuperación de Tierras Indígenas y sistemas catastrales y registrales vinculados.</w:t>
      </w:r>
    </w:p>
    <w:p w:rsidRPr="00AE1B2B" w:rsidR="009D3FB5" w:rsidP="00163B94" w:rsidRDefault="009D3FB5" w14:paraId="1702879E"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Analizar opciones para brindar protección y seguridad a las personas indígenas beneficiarias de las medidas cautelares, dentro de sus territorios y acordes a sus costumbres (</w:t>
      </w:r>
      <w:r w:rsidRPr="00AE1B2B">
        <w:rPr>
          <w:rFonts w:ascii="Times New Roman" w:hAnsi="Times New Roman" w:eastAsia="Book Antiqua" w:cs="Times New Roman"/>
          <w:i/>
          <w:iCs/>
          <w:sz w:val="26"/>
          <w:szCs w:val="26"/>
        </w:rPr>
        <w:t>con pertinencia cultural</w:t>
      </w:r>
      <w:r w:rsidRPr="00AE1B2B">
        <w:rPr>
          <w:rFonts w:ascii="Times New Roman" w:hAnsi="Times New Roman" w:eastAsia="Book Antiqua" w:cs="Times New Roman"/>
          <w:sz w:val="26"/>
          <w:szCs w:val="26"/>
        </w:rPr>
        <w:t>).</w:t>
      </w:r>
    </w:p>
    <w:p w:rsidRPr="00AE1B2B" w:rsidR="009D3FB5" w:rsidP="00163B94" w:rsidRDefault="009D3FB5" w14:paraId="571968F3"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lang w:val="es-CR"/>
        </w:rPr>
        <w:t>Realizar sesiones periódicas en las que se informe a miembros del pueblo indígena Teribe y Bribrí de Salitre beneficiarias de las medidas cautelares de la CIDH sobre los avances alcanzados.</w:t>
      </w:r>
    </w:p>
    <w:p w:rsidRPr="00AE1B2B" w:rsidR="009D3FB5" w:rsidP="00163B94" w:rsidRDefault="009D3FB5" w14:paraId="04DC2718"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lang w:val="es-CR"/>
        </w:rPr>
        <w:lastRenderedPageBreak/>
        <w:t>Actualizar el convenio interinstitucional entre el Poder Judicial y la Universidad de Costa Rica con el objetivo de que incluya la Facultad de Derecho y la Escuela de Antropología para fortalecer el programa de peritajes culturales y de capacitaciones a las personas servidoras judiciales, con posibilidades de establecer acciones conjuntas con otras Escuelas de la UCR que podrían ofrecer insumos importantes en los peritajes culturales.</w:t>
      </w:r>
    </w:p>
    <w:p w:rsidRPr="00AE1B2B" w:rsidR="009D3FB5" w:rsidP="00163B94" w:rsidRDefault="009D3FB5" w14:paraId="0CD47E04"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lang w:val="es-CR"/>
        </w:rPr>
        <w:t>Diseñar una Política de Acceso a la Justicia de Pueblos Indígenas del Poder Judicial conforme a los lineamientos de MIDEPLAN que sea construida y consultada con las personas indígenas, así como un Plan de Acción de acuerdo a la metodología de la Dirección de Planificación, que contribuya con su ejecución, en seguimiento de la Ley de Acceso a la Justicia de Pueblos Indígenas de Costa Rica.</w:t>
      </w:r>
    </w:p>
    <w:p w:rsidRPr="00AE1B2B" w:rsidR="009D3FB5" w:rsidP="00163B94" w:rsidRDefault="009D3FB5" w14:paraId="4EF31F11" w14:textId="77777777">
      <w:pPr>
        <w:pStyle w:val="Prrafodelista"/>
        <w:numPr>
          <w:ilvl w:val="0"/>
          <w:numId w:val="5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lang w:val="es-CR"/>
        </w:rPr>
        <w:t>Participar como parte del Estado en los encuentros que se realicen entre las personas indígenas beneficiarias de las medidas y otras instituciones del Estado.</w:t>
      </w:r>
    </w:p>
    <w:p w:rsidRPr="00AE1B2B" w:rsidR="009D3FB5" w:rsidP="00163B94" w:rsidRDefault="009D3FB5" w14:paraId="5FFBB12E"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t xml:space="preserve">Circular 174-17 del Consejo Superior: Personas en vulnerabilidad </w:t>
      </w:r>
    </w:p>
    <w:p w:rsidRPr="00AE1B2B" w:rsidR="009D3FB5" w:rsidP="00163B94" w:rsidRDefault="009D3FB5" w14:paraId="55C9220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circular 174-2017 del Consejo Superior aprobada en la sesión N° 84-17 celebrada el 19 de setiembre de 2017, Artículo LXIX, en donde se indica: “</w:t>
      </w:r>
      <w:r w:rsidRPr="00AE1B2B">
        <w:rPr>
          <w:rFonts w:ascii="Times New Roman" w:hAnsi="Times New Roman" w:cs="Times New Roman"/>
          <w:i/>
          <w:iCs/>
          <w:sz w:val="26"/>
          <w:szCs w:val="26"/>
        </w:rPr>
        <w:t>El Consejo Superior les recuerda las circulares emitidas por Corte Plena sobre el acceso a la justicia de las personas en vulnerabilidad social con el fin de que en las salas donde se realizan audiencias orales, se tomen las medidas de infraestructura y operativas que faciliten el acceso efectivo y real a la justicia a esta población.</w:t>
      </w:r>
      <w:r w:rsidRPr="00AE1B2B">
        <w:rPr>
          <w:rFonts w:ascii="Times New Roman" w:hAnsi="Times New Roman" w:cs="Times New Roman"/>
          <w:sz w:val="26"/>
          <w:szCs w:val="26"/>
        </w:rPr>
        <w:t>”.</w:t>
      </w:r>
    </w:p>
    <w:p w:rsidRPr="00AE1B2B" w:rsidR="009D3FB5" w:rsidP="00163B94" w:rsidRDefault="009D3FB5" w14:paraId="202B4B19"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t>Subcomisión de Acceso a la Justicia de Pueblos Indígenas</w:t>
      </w:r>
    </w:p>
    <w:p w:rsidRPr="00AE1B2B" w:rsidR="009D3FB5" w:rsidP="00163B94" w:rsidRDefault="009D3FB5" w14:paraId="37ECCEC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Tienen como objetivo ser un enlace entre Corte Plena y el Consejo Superior para mejorar el servicio de la administración de justicia y acceso a la justicia de las personas indígenas.</w:t>
      </w:r>
    </w:p>
    <w:p w:rsidRPr="00AE1B2B" w:rsidR="009D3FB5" w:rsidP="00163B94" w:rsidRDefault="009D3FB5" w14:paraId="12C59A30"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rPr>
        <w:t>Se encuentra integrada por una persona representante</w:t>
      </w:r>
      <w:r w:rsidRPr="00AE1B2B">
        <w:rPr>
          <w:rFonts w:ascii="Times New Roman" w:hAnsi="Times New Roman" w:cs="Times New Roman"/>
          <w:sz w:val="26"/>
          <w:szCs w:val="26"/>
          <w:lang w:val="es-MX"/>
        </w:rPr>
        <w:t xml:space="preserve"> de Corte Plena y de Consejo Superior, OCRI, Judicatura, Defensa Pública, Fiscalía Indígena, Escuela Judicial, Contraloría de Servicios, Dirección de Planificación, TI, Auditoría Judicial, Dirección Ejecutiva, CACMFJ, Unidad de Control Interno, IIDH, UNA, UCR, PANI, CCSS, TSE, Poder Ejecutivo, ciudadanía, personas indígenas invitadas, entre otros.</w:t>
      </w:r>
    </w:p>
    <w:p w:rsidRPr="00AE1B2B" w:rsidR="009D3FB5" w:rsidP="00163B94" w:rsidRDefault="009D3FB5" w14:paraId="41B8DA83"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eastAsia="Book Antiqua" w:cs="Times New Roman"/>
          <w:sz w:val="26"/>
          <w:szCs w:val="26"/>
        </w:rPr>
        <w:lastRenderedPageBreak/>
        <w:t xml:space="preserve">La página oficial a la que se puede acceder mediante el siguiente link: </w:t>
      </w:r>
      <w:hyperlink w:history="1" r:id="rId157">
        <w:r w:rsidRPr="00AE1B2B">
          <w:rPr>
            <w:rFonts w:ascii="Times New Roman" w:hAnsi="Times New Roman" w:eastAsia="Book Antiqua" w:cs="Times New Roman"/>
            <w:i/>
            <w:iCs/>
            <w:sz w:val="26"/>
            <w:szCs w:val="26"/>
          </w:rPr>
          <w:t>https://accesoalajusticia.poder-judicial.go.cr/index.php/documentos-indigenas</w:t>
        </w:r>
      </w:hyperlink>
      <w:r w:rsidRPr="00AE1B2B">
        <w:rPr>
          <w:rFonts w:ascii="Times New Roman" w:hAnsi="Times New Roman" w:eastAsia="Book Antiqua" w:cs="Times New Roman"/>
          <w:sz w:val="26"/>
          <w:szCs w:val="26"/>
        </w:rPr>
        <w:t>, la cual cuenta con una serie de circulares y otro tipo de documentos de sumo interés relacionados con temas atinentes al acceso de la justicia para la población indígena; sin embargo, seguidamente se detallan algunas de las circulares más importantes.</w:t>
      </w:r>
    </w:p>
    <w:p w:rsidRPr="00AE1B2B" w:rsidR="009D3FB5" w:rsidP="00163B94" w:rsidRDefault="009D3FB5" w14:paraId="6BA39A78"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Además se cuenta con la circular 192-2019 del Consejo Superior aprobada en la sesión N° 89-19 celebrada el 15 de octubre de 2019, Artículo LXXXIV, en donde se dispuso acoger la recomendación remitida por la Unidad de Acceso a la Justicia, en oficio CACC-301-2019, del 4 de octubre de 2019, respecto a instar a las personas servidoras judiciales que atiendan procesos vinculados con personas indígenas para que en las resoluciones que emitan en forma escrita u oral y en las audiencias, utilicen un lenguaje claro y sencillo; comprensible para esa población y para las personas traductoras e intérpretes a fin de facilitar el proceso de transmisión de la información</w:t>
      </w:r>
    </w:p>
    <w:p w:rsidRPr="00AE1B2B" w:rsidR="009D3FB5" w:rsidP="00163B94" w:rsidRDefault="009D3FB5" w14:paraId="7E69E759"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t>Reglas para el reconocimiento de los honorarios de los intérpretes y traductores del lenguaje de señas costarricense (</w:t>
      </w:r>
      <w:r w:rsidRPr="00AE1B2B">
        <w:rPr>
          <w:rFonts w:ascii="Times New Roman" w:hAnsi="Times New Roman" w:cs="Times New Roman"/>
          <w:b/>
          <w:bCs/>
          <w:i/>
          <w:iCs/>
          <w:sz w:val="26"/>
          <w:szCs w:val="26"/>
          <w:u w:val="single"/>
        </w:rPr>
        <w:t>LESCO</w:t>
      </w:r>
      <w:r w:rsidRPr="00AE1B2B">
        <w:rPr>
          <w:rFonts w:ascii="Times New Roman" w:hAnsi="Times New Roman" w:cs="Times New Roman"/>
          <w:b/>
          <w:bCs/>
          <w:sz w:val="26"/>
          <w:szCs w:val="26"/>
          <w:u w:val="single"/>
        </w:rPr>
        <w:t>) y lenguas indígenas</w:t>
      </w:r>
    </w:p>
    <w:p w:rsidRPr="00AE1B2B" w:rsidR="009D3FB5" w:rsidP="00163B94" w:rsidRDefault="009D3FB5" w14:paraId="3FDD47FA"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Circular N° 107-2014 (</w:t>
      </w:r>
      <w:r w:rsidRPr="00AE1B2B">
        <w:rPr>
          <w:rFonts w:ascii="Times New Roman" w:hAnsi="Times New Roman" w:cs="Times New Roman"/>
          <w:i/>
          <w:iCs/>
          <w:sz w:val="26"/>
          <w:szCs w:val="26"/>
          <w:lang w:val="es-MX"/>
        </w:rPr>
        <w:t>modificación de la Circular N° 05-2009</w:t>
      </w:r>
      <w:r w:rsidRPr="00AE1B2B">
        <w:rPr>
          <w:rFonts w:ascii="Times New Roman" w:hAnsi="Times New Roman" w:cs="Times New Roman"/>
          <w:sz w:val="26"/>
          <w:szCs w:val="26"/>
          <w:lang w:val="es-MX"/>
        </w:rPr>
        <w:t>) actualizada en la Circular N° 01-2020 de Consejo Superior.</w:t>
      </w:r>
    </w:p>
    <w:p w:rsidRPr="00AE1B2B" w:rsidR="009D3FB5" w:rsidP="00163B94" w:rsidRDefault="009D3FB5" w14:paraId="271F2B65"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Se mantienen las reglas para el nombramiento de peritos e intérpretes por inopia. Se reconoce la tarifa actual de 15.800 colones por hora de traducción o el reajuste anual respectivo.</w:t>
      </w:r>
    </w:p>
    <w:p w:rsidRPr="00AE1B2B" w:rsidR="009D3FB5" w:rsidP="00163B94" w:rsidRDefault="009D3FB5" w14:paraId="71D098E8"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El tribunal debe informar a la persona intérprete el tiempo estimado que durará la audiencia y lo dejará constando en el expediente. Si el Despacho, con al menos un día de antelación determina que la diligencia no se realizará y lo comunica a la o el intérprete, no se le pagarán honorarios, lo cual se dejará constando.</w:t>
      </w:r>
    </w:p>
    <w:p w:rsidRPr="00AE1B2B" w:rsidR="009D3FB5" w:rsidP="00163B94" w:rsidRDefault="009D3FB5" w14:paraId="6A86E69A"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Si se convoca a juicio o diligencia señalada para el día completo, y esta audiencia se suspende, se reconocerán las 8 horas, independientemente del tiempo de interpretación que se haya ejecutado. Si se suspende antes de mediodía, no procede el reconocimiento de gastos de almuerzo.</w:t>
      </w:r>
    </w:p>
    <w:p w:rsidRPr="00AE1B2B" w:rsidR="009D3FB5" w:rsidP="00163B94" w:rsidRDefault="009D3FB5" w14:paraId="5449988E"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Cuando se convoque a una diligencia con una duración inferior a una audiencia dentro de la GAM (</w:t>
      </w:r>
      <w:r w:rsidRPr="00AE1B2B">
        <w:rPr>
          <w:rFonts w:ascii="Times New Roman" w:hAnsi="Times New Roman" w:cs="Times New Roman"/>
          <w:i/>
          <w:iCs/>
          <w:sz w:val="26"/>
          <w:szCs w:val="26"/>
          <w:lang w:val="es-CR"/>
        </w:rPr>
        <w:t xml:space="preserve">desde Alajuela centro a Cartago centro y desde Acosta hasta San Rafael de Heredia, con excepción de los Despachos ubicados en Desamparados, Alajuelita, </w:t>
      </w:r>
      <w:r w:rsidRPr="00AE1B2B">
        <w:rPr>
          <w:rFonts w:ascii="Times New Roman" w:hAnsi="Times New Roman" w:cs="Times New Roman"/>
          <w:i/>
          <w:iCs/>
          <w:sz w:val="26"/>
          <w:szCs w:val="26"/>
          <w:lang w:val="es-CR"/>
        </w:rPr>
        <w:lastRenderedPageBreak/>
        <w:t>San Sebastián, Hatillo, Pavas, Escazú, Goicoechea y su edificio Anexo A y el I Circuito Judicial de San José y sus Anexos A, B, C y D</w:t>
      </w:r>
      <w:r w:rsidRPr="00AE1B2B">
        <w:rPr>
          <w:rFonts w:ascii="Times New Roman" w:hAnsi="Times New Roman" w:cs="Times New Roman"/>
          <w:sz w:val="26"/>
          <w:szCs w:val="26"/>
          <w:lang w:val="es-CR"/>
        </w:rPr>
        <w:t>), adicionalmente al monto de los honorarios por el tiempo de interpretación efectivo, se le reconocerá por concepto de desplazamiento una suma adicional equivalente a una hora de traducción.</w:t>
      </w:r>
    </w:p>
    <w:p w:rsidRPr="00AE1B2B" w:rsidR="009D3FB5" w:rsidP="00163B94" w:rsidRDefault="009D3FB5" w14:paraId="266E6E08"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Si se debe asistir a un Despacho ubicado fuera de la GAM, se le reconocerá el tiempo de desplazamiento a razón de 10.000 colones la hora, de ida y regreso, el costo del pasaje de ida y regreso en autobús al sitio del desplazamiento, con base en las tarifas aprobadas por la ARESEP.</w:t>
      </w:r>
    </w:p>
    <w:p w:rsidRPr="00AE1B2B" w:rsidR="009D3FB5" w:rsidP="00163B94" w:rsidRDefault="009D3FB5" w14:paraId="757FF8B4"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Si la o el intérprete debe pernoctar en el lugar sede del Despacho, con ocasión de la convocatoria, adicionalmente se le reconocerán los gastos de hospedaje, cena y desayuno, durante los días que dure la convocatoria con base en el Reglamento de Gastos de Viaje y de Transporte para Funcionarios Públicos.</w:t>
      </w:r>
    </w:p>
    <w:p w:rsidRPr="00AE1B2B" w:rsidR="009D3FB5" w:rsidP="00163B94" w:rsidRDefault="009D3FB5" w14:paraId="4974FC63"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La o el perito intérprete incorporado en el Sistema Automatizado de Administración de Peritos, podrá consignar en la factura por los servicios prestados, que los honorarios le sean depositados en determinada cuenta corriente o de ahorro de los bancos estatales, en el supuesto de que no se le giren luego de concluida la diligencia.</w:t>
      </w:r>
    </w:p>
    <w:p w:rsidRPr="00AE1B2B" w:rsidR="009D3FB5" w:rsidP="00163B94" w:rsidRDefault="009D3FB5" w14:paraId="28034A7E" w14:textId="77777777">
      <w:pPr>
        <w:pStyle w:val="Prrafodelista"/>
        <w:numPr>
          <w:ilvl w:val="0"/>
          <w:numId w:val="47"/>
        </w:numPr>
        <w:spacing w:before="120" w:after="120"/>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Para agilizar el trámite de los asuntos, la o el intérprete podrá dejar en la Dirección Ejecutiva en sobre cerrado, dirigido a la Oficina Judicial o a la Administración Regional, la documentación que requiere enviar, la que se trasladará mediante las y los choferes de las administraciones al lugar de destino. La Dirección entregará el sobre cerrado y no tendrá responsabilidad por su contenido, debiendo ser vigilante de que este servicio sea utilizado para los efectos dichos únicamente.</w:t>
      </w:r>
    </w:p>
    <w:p w:rsidRPr="00AE1B2B" w:rsidR="009D3FB5" w:rsidP="00163B94" w:rsidRDefault="009D3FB5" w14:paraId="214D8629" w14:textId="77777777">
      <w:pPr>
        <w:pStyle w:val="Prrafodelista"/>
        <w:numPr>
          <w:ilvl w:val="0"/>
          <w:numId w:val="47"/>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lang w:val="es-CR"/>
        </w:rPr>
        <w:t>La factura o recibido por los honorarios a cobrar deberá contar con las formalidades del caso y describir la labor realizada, el monto a cobrar y contar con el visto bueno del despacho.</w:t>
      </w:r>
    </w:p>
    <w:p w:rsidRPr="00AE1B2B" w:rsidR="009D3FB5" w:rsidP="00163B94" w:rsidRDefault="009D3FB5" w14:paraId="3620AA30"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t>Acuerdo de Consejo Superior sobre Flagrancia</w:t>
      </w:r>
    </w:p>
    <w:p w:rsidRPr="00AE1B2B" w:rsidR="009D3FB5" w:rsidP="00163B94" w:rsidRDefault="009D3FB5" w14:paraId="1E2DBE5E"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rPr>
        <w:t>Consejo Superior sesión 01-2018 de 9 de enero de 2018, Artículo LVII sobre la obligatoriedad de realizar las audiencias en el sitio en procesos de flagrancia en los que participen personas indígenas.</w:t>
      </w:r>
    </w:p>
    <w:p w:rsidRPr="00AE1B2B" w:rsidR="009D3FB5" w:rsidP="00163B94" w:rsidRDefault="009D3FB5" w14:paraId="5BECE833"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lastRenderedPageBreak/>
        <w:t>Jurisprudencia de la Corte Interamericana de Derechos Humanos</w:t>
      </w:r>
    </w:p>
    <w:p w:rsidRPr="00AE1B2B" w:rsidR="009D3FB5" w:rsidP="00163B94" w:rsidRDefault="009D3FB5" w14:paraId="2A94D461"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 el </w:t>
      </w:r>
      <w:r w:rsidRPr="00AE1B2B">
        <w:rPr>
          <w:rFonts w:ascii="Times New Roman" w:hAnsi="Times New Roman" w:cs="Times New Roman"/>
          <w:b/>
          <w:bCs/>
          <w:i/>
          <w:iCs/>
          <w:sz w:val="26"/>
          <w:szCs w:val="26"/>
        </w:rPr>
        <w:t>derecho a la identidad cultural</w:t>
      </w:r>
      <w:r w:rsidRPr="00AE1B2B">
        <w:rPr>
          <w:rFonts w:ascii="Times New Roman" w:hAnsi="Times New Roman" w:cs="Times New Roman"/>
          <w:i/>
          <w:iCs/>
          <w:sz w:val="26"/>
          <w:szCs w:val="26"/>
        </w:rPr>
        <w:t xml:space="preserve"> es un derecho fundamental y de naturaleza colectiva de las comunidades indígenas, que debe ser respetado en una sociedad multicultural, pluralista y democrática. Esto implica la obligación de los Estados de </w:t>
      </w:r>
      <w:r w:rsidRPr="00AE1B2B">
        <w:rPr>
          <w:rFonts w:ascii="Times New Roman" w:hAnsi="Times New Roman" w:cs="Times New Roman"/>
          <w:b/>
          <w:bCs/>
          <w:i/>
          <w:iCs/>
          <w:sz w:val="26"/>
          <w:szCs w:val="26"/>
        </w:rPr>
        <w:t>garantizar a los pueblos indígenas que sean debidamente consultados</w:t>
      </w:r>
      <w:r w:rsidRPr="00AE1B2B">
        <w:rPr>
          <w:rFonts w:ascii="Times New Roman" w:hAnsi="Times New Roman" w:cs="Times New Roman"/>
          <w:i/>
          <w:iCs/>
          <w:sz w:val="26"/>
          <w:szCs w:val="26"/>
        </w:rPr>
        <w:t xml:space="preserve"> sobre asuntos que inciden o pueden incidir en su vida cultural y social, de acuerdo con sus valores, usos, costumbres </w:t>
      </w:r>
      <w:r w:rsidRPr="00AE1B2B">
        <w:rPr>
          <w:rFonts w:ascii="Times New Roman" w:hAnsi="Times New Roman" w:cs="Times New Roman"/>
          <w:b/>
          <w:bCs/>
          <w:i/>
          <w:iCs/>
          <w:sz w:val="26"/>
          <w:szCs w:val="26"/>
        </w:rPr>
        <w:t>y formas de organización</w:t>
      </w:r>
      <w:r w:rsidRPr="00AE1B2B">
        <w:rPr>
          <w:rFonts w:ascii="Times New Roman" w:hAnsi="Times New Roman" w:cs="Times New Roman"/>
          <w:i/>
          <w:iCs/>
          <w:sz w:val="26"/>
          <w:szCs w:val="26"/>
        </w:rPr>
        <w:t xml:space="preserve">.” </w:t>
      </w:r>
    </w:p>
    <w:p w:rsidRPr="00AE1B2B" w:rsidR="009D3FB5" w:rsidP="00163B94" w:rsidRDefault="009D3FB5" w14:paraId="2AA45DA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w:t>
      </w:r>
      <w:r w:rsidRPr="00AE1B2B">
        <w:rPr>
          <w:rFonts w:ascii="Times New Roman" w:hAnsi="Times New Roman" w:cs="Times New Roman"/>
          <w:i/>
          <w:iCs/>
          <w:sz w:val="26"/>
          <w:szCs w:val="26"/>
        </w:rPr>
        <w:t>ver: Comunidad Indígena Xákmok Kásek vs. Paraguay, sentencia del 24 de agosto de 2010, Comunidad Indígena Sawhoyamaxa Vs. Paraguay, sentencia de 29 de marzo de 2006, Caso Yatama Vs. Nicaragua, sentencia del 23 de junio de 2005</w:t>
      </w:r>
      <w:r w:rsidRPr="00AE1B2B">
        <w:rPr>
          <w:rFonts w:ascii="Times New Roman" w:hAnsi="Times New Roman" w:cs="Times New Roman"/>
          <w:sz w:val="26"/>
          <w:szCs w:val="26"/>
        </w:rPr>
        <w:t>).”.</w:t>
      </w:r>
    </w:p>
    <w:p w:rsidRPr="00AE1B2B" w:rsidR="009D3FB5" w:rsidP="00163B94" w:rsidRDefault="009D3FB5" w14:paraId="7EA90C3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647215B"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t>Jurisprudencia Sala Constitucional</w:t>
      </w:r>
    </w:p>
    <w:p w:rsidRPr="00AE1B2B" w:rsidR="009D3FB5" w:rsidP="00163B94" w:rsidRDefault="009D3FB5" w14:paraId="61D76584"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rPr>
        <w:t>“…para la inscripción de un </w:t>
      </w:r>
      <w:r w:rsidRPr="00AE1B2B">
        <w:rPr>
          <w:rFonts w:ascii="Times New Roman" w:hAnsi="Times New Roman" w:cs="Times New Roman"/>
          <w:b/>
          <w:bCs/>
          <w:i/>
          <w:iCs/>
          <w:sz w:val="26"/>
          <w:szCs w:val="26"/>
        </w:rPr>
        <w:t>indígena</w:t>
      </w:r>
      <w:r w:rsidRPr="00AE1B2B">
        <w:rPr>
          <w:rFonts w:ascii="Times New Roman" w:hAnsi="Times New Roman" w:cs="Times New Roman"/>
          <w:i/>
          <w:iCs/>
          <w:sz w:val="26"/>
          <w:szCs w:val="26"/>
        </w:rPr>
        <w:t xml:space="preserve"> como ciudadano costarricense… </w:t>
      </w:r>
      <w:r w:rsidRPr="00AE1B2B">
        <w:rPr>
          <w:rFonts w:ascii="Times New Roman" w:hAnsi="Times New Roman" w:cs="Times New Roman"/>
          <w:b/>
          <w:bCs/>
          <w:i/>
          <w:iCs/>
          <w:sz w:val="26"/>
          <w:szCs w:val="26"/>
        </w:rPr>
        <w:t>la determinación que hagan los dirigentes de la misma sobre la pertenencia o no de una persona al grupo, permitirá su inscripción… aportar el testimonio de dos personas de buenas costumbres.</w:t>
      </w:r>
      <w:r w:rsidRPr="00AE1B2B">
        <w:rPr>
          <w:rFonts w:ascii="Times New Roman" w:hAnsi="Times New Roman" w:cs="Times New Roman"/>
          <w:i/>
          <w:iCs/>
          <w:sz w:val="26"/>
          <w:szCs w:val="26"/>
        </w:rPr>
        <w:t xml:space="preserve"> Ello con el fin de que sean las mismas comunidades autóctonas las que definan quienes son sus integrantes, aplicando sus propios criterios y no los que sigue la legislación para el resto de los ciudadanos. De allí que daban respetarse esos criterios y procedimientos para estimar a una persona como miembro de una comunidad </w:t>
      </w:r>
      <w:r w:rsidRPr="00AE1B2B">
        <w:rPr>
          <w:rFonts w:ascii="Times New Roman" w:hAnsi="Times New Roman" w:cs="Times New Roman"/>
          <w:b/>
          <w:bCs/>
          <w:i/>
          <w:iCs/>
          <w:sz w:val="26"/>
          <w:szCs w:val="26"/>
        </w:rPr>
        <w:t>indígena</w:t>
      </w:r>
      <w:r w:rsidRPr="00AE1B2B">
        <w:rPr>
          <w:rFonts w:ascii="Times New Roman" w:hAnsi="Times New Roman" w:cs="Times New Roman"/>
          <w:i/>
          <w:iCs/>
          <w:sz w:val="26"/>
          <w:szCs w:val="26"/>
        </w:rPr>
        <w:t xml:space="preserve">.” </w:t>
      </w:r>
      <w:r w:rsidRPr="00AE1B2B">
        <w:rPr>
          <w:rFonts w:ascii="Times New Roman" w:hAnsi="Times New Roman" w:cs="Times New Roman"/>
          <w:i/>
          <w:iCs/>
          <w:sz w:val="26"/>
          <w:szCs w:val="26"/>
          <w:lang w:val="es-MX"/>
        </w:rPr>
        <w:t>Sala Constitucional, voto 1786-1993.</w:t>
      </w:r>
    </w:p>
    <w:p w:rsidRPr="00AE1B2B" w:rsidR="009D3FB5" w:rsidP="00163B94" w:rsidRDefault="009D3FB5" w14:paraId="1F5E616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 es un punto clave cultural de los indígenas que son las personas mayores, es decir de más edad, los que han tenido un papel primordial en la determinación de quien es indígena o no. Así las cosas, </w:t>
      </w:r>
      <w:r w:rsidRPr="00AE1B2B">
        <w:rPr>
          <w:rFonts w:ascii="Times New Roman" w:hAnsi="Times New Roman" w:cs="Times New Roman"/>
          <w:b/>
          <w:bCs/>
          <w:i/>
          <w:iCs/>
          <w:sz w:val="26"/>
          <w:szCs w:val="26"/>
          <w:u w:val="single"/>
        </w:rPr>
        <w:t>no puede de manera arbitraria la Asociación determinar que un solicitante no es indígena, ya que ello según sus costumbres lo determinan los ancianos de la comunidad</w:t>
      </w:r>
      <w:r w:rsidRPr="00AE1B2B">
        <w:rPr>
          <w:rFonts w:ascii="Times New Roman" w:hAnsi="Times New Roman" w:cs="Times New Roman"/>
          <w:i/>
          <w:iCs/>
          <w:sz w:val="26"/>
          <w:szCs w:val="26"/>
        </w:rPr>
        <w:t xml:space="preserve">.” </w:t>
      </w:r>
      <w:r w:rsidRPr="00AE1B2B">
        <w:rPr>
          <w:rFonts w:ascii="Times New Roman" w:hAnsi="Times New Roman" w:cs="Times New Roman"/>
          <w:sz w:val="26"/>
          <w:szCs w:val="26"/>
        </w:rPr>
        <w:t>Voto 10224-F-2010.</w:t>
      </w:r>
    </w:p>
    <w:p w:rsidRPr="00AE1B2B" w:rsidR="009D3FB5" w:rsidP="00163B94" w:rsidRDefault="009D3FB5" w14:paraId="02CB8E34"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i/>
          <w:iCs/>
          <w:sz w:val="26"/>
          <w:szCs w:val="26"/>
        </w:rPr>
        <w:t xml:space="preserve">“Una reserva indígena, es una propiedad agraria originaria y de carácter colectivo, no pudiendo reclamarse sobre ella ningún derecho de propiedad o de posesión individual en perjuicio de la comunidad de pertenencia, siendo su propietario la totalidad de la comunidad, no pudiendo ser desmembrada en propiedad privada precisamente por su naturaleza jurídica destinada a la colectividad. […]” </w:t>
      </w:r>
      <w:r w:rsidRPr="00AE1B2B">
        <w:rPr>
          <w:rFonts w:ascii="Times New Roman" w:hAnsi="Times New Roman" w:cs="Times New Roman"/>
          <w:sz w:val="26"/>
          <w:szCs w:val="26"/>
        </w:rPr>
        <w:t>Sala Constitucional voto 281-2011.</w:t>
      </w:r>
    </w:p>
    <w:p w:rsidRPr="00AE1B2B" w:rsidR="009D3FB5" w:rsidP="00163B94" w:rsidRDefault="009D3FB5" w14:paraId="561B15F0"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lastRenderedPageBreak/>
        <w:t xml:space="preserve">No estimó necesaria la consulta de una ley: </w:t>
      </w:r>
      <w:r w:rsidRPr="00AE1B2B">
        <w:rPr>
          <w:rFonts w:ascii="Times New Roman" w:hAnsi="Times New Roman" w:cs="Times New Roman"/>
          <w:i/>
          <w:iCs/>
          <w:sz w:val="26"/>
          <w:szCs w:val="26"/>
          <w:lang w:val="es-ES"/>
        </w:rPr>
        <w:t xml:space="preserve">“…tampoco era imprescindible la mención específica de los pueblos indígenas en el texto de la Ley No. 9036, pues, como se ha insistido a lo largo de estas líneas, las reglas que pautan este régimen particular no fueron derogadas con la promulgación de este cuerpo normativo. Así las cosas, </w:t>
      </w:r>
      <w:r w:rsidRPr="00AE1B2B">
        <w:rPr>
          <w:rFonts w:ascii="Times New Roman" w:hAnsi="Times New Roman" w:cs="Times New Roman"/>
          <w:b/>
          <w:bCs/>
          <w:i/>
          <w:iCs/>
          <w:sz w:val="26"/>
          <w:szCs w:val="26"/>
          <w:lang w:val="es-ES"/>
        </w:rPr>
        <w:t>al no mediar una afectación directa del régimen de adjudicación, tenencia y, en general, protección de las tierras de los pueblos indígenas, no es posible afirmar que la consulta reclamada se tratara de un trámite esencial dentro del iter legislativo de la Ley No. 9036 de 11 de Mayo de 2012, Ley de Transformación del Instituto de Desarrollo Agrario</w:t>
      </w:r>
      <w:r w:rsidRPr="00AE1B2B">
        <w:rPr>
          <w:rFonts w:ascii="Times New Roman" w:hAnsi="Times New Roman" w:cs="Times New Roman"/>
          <w:i/>
          <w:iCs/>
          <w:sz w:val="26"/>
          <w:szCs w:val="26"/>
          <w:lang w:val="es-ES"/>
        </w:rPr>
        <w:t xml:space="preserve"> en el Instituto de Desarrollo Rural (INDER), con lo cual la acción de inconstitucionalidad deviene improcedente.” </w:t>
      </w:r>
      <w:r w:rsidRPr="00AE1B2B">
        <w:rPr>
          <w:rFonts w:ascii="Times New Roman" w:hAnsi="Times New Roman" w:cs="Times New Roman"/>
          <w:sz w:val="26"/>
          <w:szCs w:val="26"/>
          <w:lang w:val="es-ES"/>
        </w:rPr>
        <w:t>Sala IV, voto 7579-2013.</w:t>
      </w:r>
    </w:p>
    <w:p w:rsidRPr="00AE1B2B" w:rsidR="009D3FB5" w:rsidP="00163B94" w:rsidRDefault="009D3FB5" w14:paraId="6825891B"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i/>
          <w:iCs/>
          <w:sz w:val="26"/>
          <w:szCs w:val="26"/>
        </w:rPr>
        <w:t>“</w:t>
      </w:r>
      <w:r w:rsidRPr="00AE1B2B">
        <w:rPr>
          <w:rFonts w:ascii="Times New Roman" w:hAnsi="Times New Roman" w:cs="Times New Roman"/>
          <w:b/>
          <w:bCs/>
          <w:i/>
          <w:iCs/>
          <w:sz w:val="26"/>
          <w:szCs w:val="26"/>
          <w:u w:val="single"/>
        </w:rPr>
        <w:t>Las asociaciones de Desarrollo, como “estructura comunitaria”, son las competentes para disponer de la posesión de la tierra</w:t>
      </w:r>
      <w:r w:rsidRPr="00AE1B2B">
        <w:rPr>
          <w:rFonts w:ascii="Times New Roman" w:hAnsi="Times New Roman" w:cs="Times New Roman"/>
          <w:i/>
          <w:iCs/>
          <w:sz w:val="26"/>
          <w:szCs w:val="26"/>
        </w:rPr>
        <w:t xml:space="preserve"> a fin de garantizar el acceso a ella a todos los pobladores indígenas, y en lo que atañe a la propiedad indígena por ser de carácter colectiva, resultan </w:t>
      </w:r>
      <w:r w:rsidRPr="00AE1B2B">
        <w:rPr>
          <w:rFonts w:ascii="Times New Roman" w:hAnsi="Times New Roman" w:cs="Times New Roman"/>
          <w:b/>
          <w:bCs/>
          <w:i/>
          <w:iCs/>
          <w:sz w:val="26"/>
          <w:szCs w:val="26"/>
          <w:u w:val="single"/>
        </w:rPr>
        <w:t>inaplicables las normas sobre derechos individuales</w:t>
      </w:r>
      <w:r w:rsidRPr="00AE1B2B">
        <w:rPr>
          <w:rFonts w:ascii="Times New Roman" w:hAnsi="Times New Roman" w:cs="Times New Roman"/>
          <w:i/>
          <w:iCs/>
          <w:sz w:val="26"/>
          <w:szCs w:val="26"/>
        </w:rPr>
        <w:t xml:space="preserve"> para la tutela de la propiedad y la posesión individuales dispuestas en el ordenamiento jurídico al efecto. […]” </w:t>
      </w:r>
      <w:r w:rsidRPr="00AE1B2B">
        <w:rPr>
          <w:rFonts w:ascii="Times New Roman" w:hAnsi="Times New Roman" w:cs="Times New Roman"/>
          <w:sz w:val="26"/>
          <w:szCs w:val="26"/>
          <w:lang w:val="es-MX"/>
        </w:rPr>
        <w:t>Sala I, Voto 297-F-2014.</w:t>
      </w:r>
    </w:p>
    <w:p w:rsidRPr="00AE1B2B" w:rsidR="009D3FB5" w:rsidP="00163B94" w:rsidRDefault="009D3FB5" w14:paraId="0309B764"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i/>
          <w:iCs/>
          <w:sz w:val="26"/>
          <w:szCs w:val="26"/>
        </w:rPr>
        <w:t xml:space="preserve">“… </w:t>
      </w:r>
      <w:r w:rsidRPr="00AE1B2B">
        <w:rPr>
          <w:rFonts w:ascii="Times New Roman" w:hAnsi="Times New Roman" w:cs="Times New Roman"/>
          <w:b/>
          <w:bCs/>
          <w:i/>
          <w:iCs/>
          <w:sz w:val="26"/>
          <w:szCs w:val="26"/>
          <w:u w:val="single"/>
        </w:rPr>
        <w:t>es la comunidad indígena quien debe establecer cuáles personas son indígenas y quienes no lo son</w:t>
      </w:r>
      <w:r w:rsidRPr="00AE1B2B">
        <w:rPr>
          <w:rFonts w:ascii="Times New Roman" w:hAnsi="Times New Roman" w:cs="Times New Roman"/>
          <w:i/>
          <w:iCs/>
          <w:sz w:val="26"/>
          <w:szCs w:val="26"/>
        </w:rPr>
        <w:t xml:space="preserve">… Para la determinación de si una persona es indígena o no, </w:t>
      </w:r>
      <w:r w:rsidRPr="00AE1B2B">
        <w:rPr>
          <w:rFonts w:ascii="Times New Roman" w:hAnsi="Times New Roman" w:cs="Times New Roman"/>
          <w:b/>
          <w:bCs/>
          <w:i/>
          <w:iCs/>
          <w:sz w:val="26"/>
          <w:szCs w:val="26"/>
          <w:u w:val="single"/>
        </w:rPr>
        <w:t>es preciso disponer de peritajes culturales antropológicos</w:t>
      </w:r>
      <w:r w:rsidRPr="00AE1B2B">
        <w:rPr>
          <w:rFonts w:ascii="Times New Roman" w:hAnsi="Times New Roman" w:cs="Times New Roman"/>
          <w:i/>
          <w:iCs/>
          <w:sz w:val="26"/>
          <w:szCs w:val="26"/>
        </w:rPr>
        <w:t xml:space="preserve"> que con base en la determinación de las costumbres y la cosmovisión de las personas indígenas de un determinado territorio, determinen cuáles personas pueden ser calificadas o no como indígenas.” </w:t>
      </w:r>
      <w:r w:rsidRPr="00AE1B2B">
        <w:rPr>
          <w:rFonts w:ascii="Times New Roman" w:hAnsi="Times New Roman" w:cs="Times New Roman"/>
          <w:sz w:val="26"/>
          <w:szCs w:val="26"/>
          <w:lang w:val="es-MX"/>
        </w:rPr>
        <w:t>Sala Primera, voto 297-F-2014.</w:t>
      </w:r>
    </w:p>
    <w:p w:rsidRPr="00AE1B2B" w:rsidR="009D3FB5" w:rsidP="00163B94" w:rsidRDefault="009D3FB5" w14:paraId="26CD1DF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i/>
          <w:iCs/>
          <w:sz w:val="26"/>
          <w:szCs w:val="26"/>
        </w:rPr>
        <w:t>“En esa misma línea, en relación con la protección de la propiedad colectiva indígena y la consecuente tutela de las tradiciones indígenas ancestrales, así como la identidad cultural de estos pueblos, la Comisión Interamericana de Derechos Humanos, … la relación especial entre los pueblos indígenas y tribales y sus territorios significa que el uso y goce de la tierra y de sus recursos son componentes integrales de la supervivencia física y cultural de las comunidades indígenas y de la efectiva realización de sus derechos humanos en términos más generales… la pertenencia de ésta no se centra en un individuo sino en el grupo y su comunidad (...) “</w:t>
      </w:r>
      <w:r w:rsidRPr="00AE1B2B">
        <w:rPr>
          <w:rFonts w:ascii="Times New Roman" w:hAnsi="Times New Roman" w:cs="Times New Roman"/>
          <w:sz w:val="26"/>
          <w:szCs w:val="26"/>
        </w:rPr>
        <w:t>Voto 7536-2016.</w:t>
      </w:r>
    </w:p>
    <w:p w:rsidRPr="00AE1B2B" w:rsidR="009D3FB5" w:rsidP="00163B94" w:rsidRDefault="009D3FB5" w14:paraId="260468A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i/>
          <w:iCs/>
          <w:sz w:val="26"/>
          <w:szCs w:val="26"/>
        </w:rPr>
        <w:t xml:space="preserve">“Por la razón anterior, de conformidad con el artículo 2 de la Convención Americana sobre Derechos Humanos, esta Corte </w:t>
      </w:r>
      <w:r w:rsidRPr="00AE1B2B">
        <w:rPr>
          <w:rFonts w:ascii="Times New Roman" w:hAnsi="Times New Roman" w:cs="Times New Roman"/>
          <w:i/>
          <w:iCs/>
          <w:sz w:val="26"/>
          <w:szCs w:val="26"/>
        </w:rPr>
        <w:lastRenderedPageBreak/>
        <w:t xml:space="preserve">considera que el Estado debe adoptar las medidas legislativas, administrativas y de cualquier otro carácter que sean necesarias para crear un mecanismo efectivo de delimitación, demarcación y titulación de las propiedades de las comunidades indígenas, acorde con el derecho consuetudinario, los valores, usos y costumbres de éstas (...)". </w:t>
      </w:r>
      <w:r w:rsidRPr="00AE1B2B">
        <w:rPr>
          <w:rFonts w:ascii="Times New Roman" w:hAnsi="Times New Roman" w:cs="Times New Roman"/>
          <w:sz w:val="26"/>
          <w:szCs w:val="26"/>
        </w:rPr>
        <w:t>Voto 7536-2016.</w:t>
      </w:r>
    </w:p>
    <w:p w:rsidRPr="00AE1B2B" w:rsidR="009D3FB5" w:rsidP="00163B94" w:rsidRDefault="009D3FB5" w14:paraId="122E9A5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i/>
          <w:iCs/>
          <w:sz w:val="26"/>
          <w:szCs w:val="26"/>
        </w:rPr>
        <w:t>“En efecto, el peritaje cultural aportado a este asunto demuestra que conforme a la costumbre indígena, si bien en la Reserva Indígena Cabécar de Chirripó de Turrialba no está prohibida la unión de personas indígenas y no indígenas, no menos cierto es que no se encuentra permitido que tales parejas vivan y posean tierras dentro del territorio indígena. Tal restricción no es infundada, puesto que contribuye a la preservación de la cultura cabécar, la protección de sus costumbres y su territorio, como bien se explica en el mencionado peritaje cultural.“.</w:t>
      </w:r>
      <w:r w:rsidRPr="00AE1B2B">
        <w:rPr>
          <w:rFonts w:ascii="Times New Roman" w:hAnsi="Times New Roman" w:cs="Times New Roman"/>
          <w:sz w:val="26"/>
          <w:szCs w:val="26"/>
        </w:rPr>
        <w:t xml:space="preserve"> Voto 7536-2016.</w:t>
      </w:r>
    </w:p>
    <w:p w:rsidRPr="00AE1B2B" w:rsidR="009D3FB5" w:rsidP="00163B94" w:rsidRDefault="009D3FB5" w14:paraId="20E2E740" w14:textId="77777777">
      <w:pPr>
        <w:pStyle w:val="Prrafodelista"/>
        <w:numPr>
          <w:ilvl w:val="0"/>
          <w:numId w:val="48"/>
        </w:num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t>Jurisprudencia Sala Primera</w:t>
      </w:r>
    </w:p>
    <w:p w:rsidRPr="00AE1B2B" w:rsidR="009D3FB5" w:rsidP="00163B94" w:rsidRDefault="009D3FB5" w14:paraId="3BCE4337"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i/>
          <w:iCs/>
          <w:sz w:val="26"/>
          <w:szCs w:val="26"/>
        </w:rPr>
        <w:t xml:space="preserve">“…los grupos de personas pertenecientes a las comunidades autóctonas tienen el </w:t>
      </w:r>
      <w:r w:rsidRPr="00AE1B2B">
        <w:rPr>
          <w:rFonts w:ascii="Times New Roman" w:hAnsi="Times New Roman" w:cs="Times New Roman"/>
          <w:b/>
          <w:bCs/>
          <w:i/>
          <w:iCs/>
          <w:sz w:val="26"/>
          <w:szCs w:val="26"/>
        </w:rPr>
        <w:t>derecho de vivir en las tierras donde históricamente han estado asentados</w:t>
      </w:r>
      <w:r w:rsidRPr="00AE1B2B">
        <w:rPr>
          <w:rFonts w:ascii="Times New Roman" w:hAnsi="Times New Roman" w:cs="Times New Roman"/>
          <w:i/>
          <w:iCs/>
          <w:sz w:val="26"/>
          <w:szCs w:val="26"/>
        </w:rPr>
        <w:t xml:space="preserve">, y el Estado debe garantizar plenamente el disfrute de este derecho fundamental…” </w:t>
      </w:r>
      <w:r w:rsidRPr="00AE1B2B">
        <w:rPr>
          <w:rFonts w:ascii="Times New Roman" w:hAnsi="Times New Roman" w:cs="Times New Roman"/>
          <w:sz w:val="26"/>
          <w:szCs w:val="26"/>
          <w:lang w:val="es-MX"/>
        </w:rPr>
        <w:t>Sala I, Voto 297-F-2014.</w:t>
      </w:r>
    </w:p>
    <w:p w:rsidRPr="00AE1B2B" w:rsidR="009D3FB5" w:rsidP="00163B94" w:rsidRDefault="009D3FB5" w14:paraId="72F55AF6"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i/>
          <w:iCs/>
          <w:sz w:val="26"/>
          <w:szCs w:val="26"/>
        </w:rPr>
        <w:t xml:space="preserve">“…Reconoce de esa forma, nuestra jurisprudencia constitucional, </w:t>
      </w:r>
      <w:r w:rsidRPr="00AE1B2B">
        <w:rPr>
          <w:rFonts w:ascii="Times New Roman" w:hAnsi="Times New Roman" w:cs="Times New Roman"/>
          <w:b/>
          <w:bCs/>
          <w:i/>
          <w:iCs/>
          <w:sz w:val="26"/>
          <w:szCs w:val="26"/>
        </w:rPr>
        <w:t>una jerarquía superior a los Convenios Internacionales, tales como el de la OIT, N° 169</w:t>
      </w:r>
      <w:r w:rsidRPr="00AE1B2B">
        <w:rPr>
          <w:rFonts w:ascii="Times New Roman" w:hAnsi="Times New Roman" w:cs="Times New Roman"/>
          <w:i/>
          <w:iCs/>
          <w:sz w:val="26"/>
          <w:szCs w:val="26"/>
        </w:rPr>
        <w:t xml:space="preserve"> (Ley 7316 del 3 de noviembre de 1992), un grado de tutela superior a las personas y comunidades indígenas, es decir, un </w:t>
      </w:r>
      <w:r w:rsidRPr="00AE1B2B">
        <w:rPr>
          <w:rFonts w:ascii="Times New Roman" w:hAnsi="Times New Roman" w:cs="Times New Roman"/>
          <w:b/>
          <w:bCs/>
          <w:i/>
          <w:iCs/>
          <w:sz w:val="26"/>
          <w:szCs w:val="26"/>
        </w:rPr>
        <w:t>“nivel elevado de protección”</w:t>
      </w:r>
      <w:r w:rsidRPr="00AE1B2B">
        <w:rPr>
          <w:rFonts w:ascii="Times New Roman" w:hAnsi="Times New Roman" w:cs="Times New Roman"/>
          <w:i/>
          <w:iCs/>
          <w:sz w:val="26"/>
          <w:szCs w:val="26"/>
        </w:rPr>
        <w:t xml:space="preserve"> respecto de aquellos derechos humanos contemplados en la propia Constitución Política…” </w:t>
      </w:r>
      <w:r w:rsidRPr="00AE1B2B">
        <w:rPr>
          <w:rFonts w:ascii="Times New Roman" w:hAnsi="Times New Roman" w:cs="Times New Roman"/>
          <w:sz w:val="26"/>
          <w:szCs w:val="26"/>
          <w:lang w:val="es-MX"/>
        </w:rPr>
        <w:t>Sala I, Voto 297-F-2014.</w:t>
      </w:r>
    </w:p>
    <w:p w:rsidRPr="00AE1B2B" w:rsidR="009D3FB5" w:rsidP="00163B94" w:rsidRDefault="009D3FB5" w14:paraId="49AF823B"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i/>
          <w:iCs/>
          <w:sz w:val="26"/>
          <w:szCs w:val="26"/>
        </w:rPr>
        <w:t xml:space="preserve">“...y que por ende exigen </w:t>
      </w:r>
      <w:r w:rsidRPr="00AE1B2B">
        <w:rPr>
          <w:rFonts w:ascii="Times New Roman" w:hAnsi="Times New Roman" w:cs="Times New Roman"/>
          <w:b/>
          <w:bCs/>
          <w:i/>
          <w:iCs/>
          <w:sz w:val="26"/>
          <w:szCs w:val="26"/>
        </w:rPr>
        <w:t>el respeto, en los Tribunales ordinarios, de las decisiones que por la vía de la costumbre y la autodeterminación de dichos pueblos indígenas se deriven de las propias comunidades y sus representantes</w:t>
      </w:r>
      <w:r w:rsidRPr="00AE1B2B">
        <w:rPr>
          <w:rFonts w:ascii="Times New Roman" w:hAnsi="Times New Roman" w:cs="Times New Roman"/>
          <w:i/>
          <w:iCs/>
          <w:sz w:val="26"/>
          <w:szCs w:val="26"/>
        </w:rPr>
        <w:t xml:space="preserve">. […]” </w:t>
      </w:r>
      <w:r w:rsidRPr="00AE1B2B">
        <w:rPr>
          <w:rFonts w:ascii="Times New Roman" w:hAnsi="Times New Roman" w:cs="Times New Roman"/>
          <w:sz w:val="26"/>
          <w:szCs w:val="26"/>
          <w:lang w:val="es-MX"/>
        </w:rPr>
        <w:t>Sala I, Voto 297-F-2014.</w:t>
      </w:r>
    </w:p>
    <w:p w:rsidRPr="00AE1B2B" w:rsidR="009D3FB5" w:rsidP="00163B94" w:rsidRDefault="009D3FB5" w14:paraId="6D23FCCE"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i/>
          <w:iCs/>
          <w:sz w:val="26"/>
          <w:szCs w:val="26"/>
        </w:rPr>
        <w:t xml:space="preserve">“Sobre la propiedad de las comunidades indígenas. Importante es indicar sobre el </w:t>
      </w:r>
      <w:r w:rsidRPr="00AE1B2B">
        <w:rPr>
          <w:rFonts w:ascii="Times New Roman" w:hAnsi="Times New Roman" w:cs="Times New Roman"/>
          <w:b/>
          <w:bCs/>
          <w:i/>
          <w:iCs/>
          <w:sz w:val="26"/>
          <w:szCs w:val="26"/>
        </w:rPr>
        <w:t>carácter colectivo o comunitario de la propiedad indígena</w:t>
      </w:r>
      <w:r w:rsidRPr="00AE1B2B">
        <w:rPr>
          <w:rFonts w:ascii="Times New Roman" w:hAnsi="Times New Roman" w:cs="Times New Roman"/>
          <w:i/>
          <w:iCs/>
          <w:sz w:val="26"/>
          <w:szCs w:val="26"/>
        </w:rPr>
        <w:t xml:space="preserve">, ya que </w:t>
      </w:r>
      <w:r w:rsidRPr="00AE1B2B">
        <w:rPr>
          <w:rFonts w:ascii="Times New Roman" w:hAnsi="Times New Roman" w:cs="Times New Roman"/>
          <w:b/>
          <w:bCs/>
          <w:i/>
          <w:iCs/>
          <w:sz w:val="26"/>
          <w:szCs w:val="26"/>
        </w:rPr>
        <w:t xml:space="preserve">la pertenencia de ésta no es personal, sino del colectivo </w:t>
      </w:r>
      <w:r w:rsidRPr="00AE1B2B">
        <w:rPr>
          <w:rFonts w:ascii="Times New Roman" w:hAnsi="Times New Roman" w:cs="Times New Roman"/>
          <w:i/>
          <w:iCs/>
          <w:sz w:val="26"/>
          <w:szCs w:val="26"/>
        </w:rPr>
        <w:t xml:space="preserve">como tal. Entre los indígenas existe una tradición comunitaria sobre una forma comunal de la propiedad colectiva de la tierra, en el sentido de que la pertenencia a ésta no se centra en un individuo sino en el grupo y su comunidad.” </w:t>
      </w:r>
      <w:r w:rsidRPr="00AE1B2B">
        <w:rPr>
          <w:rFonts w:ascii="Times New Roman" w:hAnsi="Times New Roman" w:cs="Times New Roman"/>
          <w:sz w:val="26"/>
          <w:szCs w:val="26"/>
          <w:lang w:val="es-MX"/>
        </w:rPr>
        <w:t>Sala I, Voto 297-F-2014.</w:t>
      </w:r>
    </w:p>
    <w:p w:rsidRPr="00AE1B2B" w:rsidR="009D3FB5" w:rsidP="00163B94" w:rsidRDefault="009D3FB5" w14:paraId="18A64FD8"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i/>
          <w:iCs/>
          <w:sz w:val="26"/>
          <w:szCs w:val="26"/>
        </w:rPr>
        <w:lastRenderedPageBreak/>
        <w:t xml:space="preserve">“… los juzgadores, quienes resuelvan el fondo de este asunto, no podrán ser ajenos a los lineamientos antes expuestos, por lo cual se sugiere </w:t>
      </w:r>
      <w:r w:rsidRPr="00AE1B2B">
        <w:rPr>
          <w:rFonts w:ascii="Times New Roman" w:hAnsi="Times New Roman" w:cs="Times New Roman"/>
          <w:b/>
          <w:bCs/>
          <w:i/>
          <w:iCs/>
          <w:sz w:val="26"/>
          <w:szCs w:val="26"/>
          <w:u w:val="single"/>
        </w:rPr>
        <w:t>solicitar un peritazgo cultural antropológico necesario para que, entre otros puntos, se logre determinar con certeza quiénes son las personas indígenas que habitan ese territorio y por ende quiénes no lo son</w:t>
      </w:r>
      <w:r w:rsidRPr="00AE1B2B">
        <w:rPr>
          <w:rFonts w:ascii="Times New Roman" w:hAnsi="Times New Roman" w:cs="Times New Roman"/>
          <w:i/>
          <w:iCs/>
          <w:sz w:val="26"/>
          <w:szCs w:val="26"/>
        </w:rPr>
        <w:t xml:space="preserve">. De igual manera deberá valorarse la cosmovisión y situación de otras poblaciones vulnerables o vulnerabilizadas involucradas.”. </w:t>
      </w:r>
      <w:r w:rsidRPr="00AE1B2B">
        <w:rPr>
          <w:rFonts w:ascii="Times New Roman" w:hAnsi="Times New Roman" w:cs="Times New Roman"/>
          <w:sz w:val="26"/>
          <w:szCs w:val="26"/>
          <w:lang w:val="es-MX"/>
        </w:rPr>
        <w:t>Sala I, Voto 297-F-2014.</w:t>
      </w:r>
    </w:p>
    <w:p w:rsidRPr="00AE1B2B" w:rsidR="009D3FB5" w:rsidP="00163B94" w:rsidRDefault="009D3FB5" w14:paraId="3F51BF4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Todo lo anterior resulta en la necesidad de realizar un análisis histórico estadístico que permita identificar ante un eventual escenario de creación de una jurisdicción especializada en materia indígena, las posibilidades de esta jurisdicción, como lo son su lugar de creación, cantidad de personal, entre otros.</w:t>
      </w:r>
    </w:p>
    <w:p w:rsidRPr="00AE1B2B" w:rsidR="009D3FB5" w:rsidP="00163B94" w:rsidRDefault="009D3FB5" w14:paraId="3E22D36A" w14:textId="77777777">
      <w:pPr>
        <w:pStyle w:val="Prrafodelista"/>
        <w:numPr>
          <w:ilvl w:val="0"/>
          <w:numId w:val="48"/>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sz w:val="26"/>
          <w:szCs w:val="26"/>
          <w:u w:val="single"/>
        </w:rPr>
        <w:t>Circular 32-2021 del 17 de febrero de 2021</w:t>
      </w:r>
    </w:p>
    <w:p w:rsidRPr="00AE1B2B" w:rsidR="009D3FB5" w:rsidP="00163B94" w:rsidRDefault="009D3FB5" w14:paraId="5915693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Corte Plena en sesión N° 2-2021, celebrada el 11 de enero de 2021, artículo XXXVIII, aprobó la propuesta de circular para hacer de conocimiento de las personas servidoras judiciales, el contenido íntegro de las Medidas Cautelares 321-12 de la Comisión Interamericana de Derechos Humanos contra el Estado y la aplicación de la normativa internacional de derechos humanos referida a personas indígenas.</w:t>
      </w:r>
    </w:p>
    <w:p w:rsidRPr="00AE1B2B" w:rsidR="009D3FB5" w:rsidP="00163B94" w:rsidRDefault="009D3FB5" w14:paraId="257154E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7D3863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8D12427"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Metodología de trabajo</w:t>
      </w:r>
    </w:p>
    <w:p w:rsidRPr="00AE1B2B" w:rsidR="009D3FB5" w:rsidP="00163B94" w:rsidRDefault="009D3FB5" w14:paraId="6A64D82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continuación, se detallan las principales actividades realizadas:</w:t>
      </w:r>
    </w:p>
    <w:p w:rsidRPr="00AE1B2B" w:rsidR="009D3FB5" w:rsidP="00163B94" w:rsidRDefault="009D3FB5" w14:paraId="39C4AD1A" w14:textId="393837FB">
      <w:pPr>
        <w:pStyle w:val="Prrafodelista"/>
        <w:numPr>
          <w:ilvl w:val="0"/>
          <w:numId w:val="4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Mediante correo electrónico, el 15 de enero de 2021, se le solicita al Licenciado Esteban Arguedas Madrigal, Coordinador de la Unidad Estadística de la Defensa Pública, y a la Licenciada Ligia Jiménez Zamora, destacada en la Supervisión de Personas Indígenas en la Defensa Pública; la información estadística correspondiente a</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los expedientes y personas usuarias indígenas representadas por la Defensa Pública a nivel nacional (</w:t>
      </w:r>
      <w:r w:rsidRPr="00AE1B2B">
        <w:rPr>
          <w:rFonts w:ascii="Times New Roman" w:hAnsi="Times New Roman" w:cs="Times New Roman"/>
          <w:i/>
          <w:iCs/>
          <w:sz w:val="26"/>
          <w:szCs w:val="26"/>
        </w:rPr>
        <w:t>entrados, salidos y circulante</w:t>
      </w:r>
      <w:r w:rsidRPr="00AE1B2B">
        <w:rPr>
          <w:rFonts w:ascii="Times New Roman" w:hAnsi="Times New Roman" w:cs="Times New Roman"/>
          <w:sz w:val="26"/>
          <w:szCs w:val="26"/>
        </w:rPr>
        <w:t>) de octubre 2019 a la fecha; esto con el propósito de contar con el insumo requerido para el estudio del Impacto de Ley a partir de la promulgación de la Ley 9593 de Pueblos Indígenas. Adicionalmente, a ambos profesionales de la Defensa Pública se les solicita una sesión de trabajo para poder conversar acerca de temas relacionados al estudio.</w:t>
      </w:r>
    </w:p>
    <w:p w:rsidRPr="00AE1B2B" w:rsidR="009D3FB5" w:rsidP="00163B94" w:rsidRDefault="009D3FB5" w14:paraId="493197FC"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Mediante la minuta </w:t>
      </w:r>
      <w:r w:rsidRPr="00AE1B2B">
        <w:rPr>
          <w:rFonts w:ascii="Times New Roman" w:hAnsi="Times New Roman" w:cs="Times New Roman"/>
          <w:b/>
          <w:bCs/>
          <w:sz w:val="26"/>
          <w:szCs w:val="26"/>
        </w:rPr>
        <w:t>43-PLA-MI-MNTA-2021</w:t>
      </w:r>
      <w:r w:rsidRPr="00AE1B2B">
        <w:rPr>
          <w:rFonts w:ascii="Times New Roman" w:hAnsi="Times New Roman" w:cs="Times New Roman"/>
          <w:sz w:val="26"/>
          <w:szCs w:val="26"/>
        </w:rPr>
        <w:t xml:space="preserve"> (</w:t>
      </w:r>
      <w:r w:rsidRPr="00AE1B2B">
        <w:rPr>
          <w:rFonts w:ascii="Times New Roman" w:hAnsi="Times New Roman" w:cs="Times New Roman"/>
          <w:i/>
          <w:iCs/>
          <w:sz w:val="26"/>
          <w:szCs w:val="26"/>
        </w:rPr>
        <w:t>Ver anexo 1</w:t>
      </w:r>
      <w:r w:rsidRPr="00AE1B2B">
        <w:rPr>
          <w:rFonts w:ascii="Times New Roman" w:hAnsi="Times New Roman" w:cs="Times New Roman"/>
          <w:sz w:val="26"/>
          <w:szCs w:val="26"/>
        </w:rPr>
        <w:t xml:space="preserve">) de la reunión virtual sostenida el 25 de enero de 2021, se conocen los cambios que surgieron en la Defensa Pública en el año 2020, con respecto al informe 507-PLA-RH-MI-2020 </w:t>
      </w:r>
      <w:r w:rsidRPr="00AE1B2B">
        <w:rPr>
          <w:rFonts w:ascii="Times New Roman" w:hAnsi="Times New Roman" w:cs="Times New Roman"/>
          <w:i/>
          <w:iCs/>
          <w:sz w:val="26"/>
          <w:szCs w:val="26"/>
        </w:rPr>
        <w:t>“Impacto organizacional y presupuestario en el Poder Judicial, (Defensa Pública) a partir de la promulgación de la Ley 9593 de Acceso a la Justicia de los Pueblos Indígenas”</w:t>
      </w:r>
      <w:r w:rsidRPr="00AE1B2B">
        <w:rPr>
          <w:rFonts w:ascii="Times New Roman" w:hAnsi="Times New Roman" w:cs="Times New Roman"/>
          <w:sz w:val="26"/>
          <w:szCs w:val="26"/>
        </w:rPr>
        <w:t>. También, se acordó que la información estadística solicita será enviada por el 27 de enero de 2021; ya que dicha data funge como insumo esencial en el estudio técnico de la Dirección de Planificación. Adicionalmente, el 12 de febrero de 2021 el Licenciado Esteban Arguedas y la Licenciada Ligia Jiménez enviaron la información correspondiente a personas usuarias indígenas con corte a enero de 2021, ya que esta información contiene las mejoras implementadas para la recolección de las mismas.</w:t>
      </w:r>
    </w:p>
    <w:p w:rsidRPr="00AE1B2B" w:rsidR="009D3FB5" w:rsidP="00163B94" w:rsidRDefault="009D3FB5" w14:paraId="0EA07AB6" w14:textId="77777777">
      <w:pPr>
        <w:pStyle w:val="Prrafodelista"/>
        <w:numPr>
          <w:ilvl w:val="0"/>
          <w:numId w:val="4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efectuó una sesión de trabajo, el 01 de febrero de 2021, con personal del Subproceso de Estadística de la Dirección de Planificación; con el propósito de solicitar la información correspondiente a asuntos entrados y activos con personas usuarias indígenas en calidad de intervinientes (</w:t>
      </w:r>
      <w:r w:rsidRPr="00AE1B2B">
        <w:rPr>
          <w:rFonts w:ascii="Times New Roman" w:hAnsi="Times New Roman" w:cs="Times New Roman"/>
          <w:i/>
          <w:iCs/>
          <w:sz w:val="26"/>
          <w:szCs w:val="26"/>
        </w:rPr>
        <w:t>personas actoras y demandadas</w:t>
      </w:r>
      <w:r w:rsidRPr="00AE1B2B">
        <w:rPr>
          <w:rFonts w:ascii="Times New Roman" w:hAnsi="Times New Roman" w:cs="Times New Roman"/>
          <w:sz w:val="26"/>
          <w:szCs w:val="26"/>
        </w:rPr>
        <w:t>) en todas las materias; esto para poder determinar la demanda del servicio en la Defensa Pública, en concordancia a la solicitud de la Licenciada Ligia Jiménez Zamora, Supervisora de la Defensa Pública; en cuanto a incluir en el estudio las representaciones podrían eventualmente no brindarse, en razón de la falta de personal defensor.</w:t>
      </w:r>
    </w:p>
    <w:p w:rsidRPr="00AE1B2B" w:rsidR="009D3FB5" w:rsidP="00163B94" w:rsidRDefault="009D3FB5" w14:paraId="3D905BA1" w14:textId="77777777">
      <w:pPr>
        <w:pStyle w:val="Prrafodelista"/>
        <w:numPr>
          <w:ilvl w:val="0"/>
          <w:numId w:val="4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 conformidad al informe </w:t>
      </w:r>
      <w:r w:rsidRPr="00AE1B2B">
        <w:rPr>
          <w:rFonts w:ascii="Times New Roman" w:hAnsi="Times New Roman" w:cs="Times New Roman"/>
          <w:b/>
          <w:bCs/>
          <w:sz w:val="26"/>
          <w:szCs w:val="26"/>
        </w:rPr>
        <w:t>507-PLA-RH-MI-2019</w:t>
      </w:r>
      <w:r w:rsidRPr="00AE1B2B">
        <w:rPr>
          <w:rFonts w:ascii="Times New Roman" w:hAnsi="Times New Roman" w:cs="Times New Roman"/>
          <w:sz w:val="26"/>
          <w:szCs w:val="26"/>
        </w:rPr>
        <w:t xml:space="preserve"> de la Dirección de Planificación sobre el </w:t>
      </w:r>
      <w:r w:rsidRPr="00AE1B2B">
        <w:rPr>
          <w:rFonts w:ascii="Times New Roman" w:hAnsi="Times New Roman" w:cs="Times New Roman"/>
          <w:i/>
          <w:iCs/>
          <w:sz w:val="26"/>
          <w:szCs w:val="26"/>
        </w:rPr>
        <w:t>“Impacto organizacional y presupuestario en el Poder Judicial (Defensa Pública) a partir de la promulgación de la Ley 9593 de Acceso a la Justicia de los Pueblos Indígenas”</w:t>
      </w:r>
      <w:r w:rsidRPr="00AE1B2B">
        <w:rPr>
          <w:rFonts w:ascii="Times New Roman" w:hAnsi="Times New Roman" w:cs="Times New Roman"/>
          <w:sz w:val="26"/>
          <w:szCs w:val="26"/>
        </w:rPr>
        <w:t xml:space="preserve"> en todas las materias, aprobado por el </w:t>
      </w:r>
      <w:r w:rsidRPr="00AE1B2B">
        <w:rPr>
          <w:rFonts w:ascii="Times New Roman" w:hAnsi="Times New Roman" w:eastAsia="Book Antiqua" w:cs="Times New Roman"/>
          <w:sz w:val="26"/>
          <w:szCs w:val="26"/>
        </w:rPr>
        <w:t xml:space="preserve">Consejo Superior </w:t>
      </w:r>
      <w:r w:rsidRPr="00AE1B2B">
        <w:rPr>
          <w:rFonts w:ascii="Times New Roman" w:hAnsi="Times New Roman" w:cs="Times New Roman"/>
          <w:sz w:val="26"/>
          <w:szCs w:val="26"/>
        </w:rPr>
        <w:t xml:space="preserve">del Poder Judicial </w:t>
      </w:r>
      <w:r w:rsidRPr="00AE1B2B">
        <w:rPr>
          <w:rFonts w:ascii="Times New Roman" w:hAnsi="Times New Roman" w:eastAsia="Book Antiqua" w:cs="Times New Roman"/>
          <w:sz w:val="26"/>
          <w:szCs w:val="26"/>
        </w:rPr>
        <w:t>en sesión extraordinaria 38-2020 (</w:t>
      </w:r>
      <w:r w:rsidRPr="00AE1B2B">
        <w:rPr>
          <w:rFonts w:ascii="Times New Roman" w:hAnsi="Times New Roman" w:eastAsia="Book Antiqua" w:cs="Times New Roman"/>
          <w:i/>
          <w:iCs/>
          <w:sz w:val="26"/>
          <w:szCs w:val="26"/>
        </w:rPr>
        <w:t>Presupuesto 2021</w:t>
      </w:r>
      <w:r w:rsidRPr="00AE1B2B">
        <w:rPr>
          <w:rFonts w:ascii="Times New Roman" w:hAnsi="Times New Roman" w:eastAsia="Book Antiqua" w:cs="Times New Roman"/>
          <w:sz w:val="26"/>
          <w:szCs w:val="26"/>
        </w:rPr>
        <w:t>), celebrada el 17 de abril del año en mención, artículo XXI</w:t>
      </w:r>
      <w:r w:rsidRPr="00AE1B2B">
        <w:rPr>
          <w:rFonts w:ascii="Times New Roman" w:hAnsi="Times New Roman" w:cs="Times New Roman"/>
          <w:sz w:val="26"/>
          <w:szCs w:val="26"/>
        </w:rPr>
        <w:t xml:space="preserve"> y, y aprobado por Corte Plena mediante acuerdo del acta</w:t>
      </w:r>
      <w:r w:rsidRPr="00AE1B2B">
        <w:rPr>
          <w:rFonts w:ascii="Times New Roman" w:hAnsi="Times New Roman" w:eastAsia="Book Antiqua" w:cs="Times New Roman"/>
          <w:sz w:val="26"/>
          <w:szCs w:val="26"/>
        </w:rPr>
        <w:t>31-2020 (</w:t>
      </w:r>
      <w:r w:rsidRPr="00AE1B2B">
        <w:rPr>
          <w:rFonts w:ascii="Times New Roman" w:hAnsi="Times New Roman" w:eastAsia="Book Antiqua" w:cs="Times New Roman"/>
          <w:i/>
          <w:iCs/>
          <w:sz w:val="26"/>
          <w:szCs w:val="26"/>
        </w:rPr>
        <w:t>Presupuesto 2021</w:t>
      </w:r>
      <w:r w:rsidRPr="00AE1B2B">
        <w:rPr>
          <w:rFonts w:ascii="Times New Roman" w:hAnsi="Times New Roman" w:eastAsia="Book Antiqua" w:cs="Times New Roman"/>
          <w:sz w:val="26"/>
          <w:szCs w:val="26"/>
        </w:rPr>
        <w:t xml:space="preserve">), artículos I y II; </w:t>
      </w:r>
      <w:r w:rsidRPr="00AE1B2B">
        <w:rPr>
          <w:rFonts w:ascii="Times New Roman" w:hAnsi="Times New Roman" w:cs="Times New Roman"/>
          <w:sz w:val="26"/>
          <w:szCs w:val="26"/>
        </w:rPr>
        <w:t>se da seguimiento a las recomendaciones expresas en dicho informe, con el propósito de determinar su cumplimiento.</w:t>
      </w:r>
    </w:p>
    <w:p w:rsidRPr="00AE1B2B" w:rsidR="009D3FB5" w:rsidP="00163B94" w:rsidRDefault="009D3FB5" w14:paraId="6617FC36" w14:textId="77777777">
      <w:pPr>
        <w:pStyle w:val="Prrafodelista"/>
        <w:numPr>
          <w:ilvl w:val="0"/>
          <w:numId w:val="4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efectuó una sesión de trabajo con el Doctor Roberto Montero García, la cual se encuentra respaldada mediante la minuta </w:t>
      </w:r>
      <w:r w:rsidRPr="00AE1B2B">
        <w:rPr>
          <w:rFonts w:ascii="Times New Roman" w:hAnsi="Times New Roman" w:cs="Times New Roman"/>
          <w:b/>
          <w:bCs/>
          <w:sz w:val="26"/>
          <w:szCs w:val="26"/>
        </w:rPr>
        <w:t xml:space="preserve">71-PLA-MI-MNTA-2021 </w:t>
      </w:r>
      <w:r w:rsidRPr="00AE1B2B">
        <w:rPr>
          <w:rFonts w:ascii="Times New Roman" w:hAnsi="Times New Roman" w:cs="Times New Roman"/>
          <w:sz w:val="26"/>
          <w:szCs w:val="26"/>
        </w:rPr>
        <w:t>(</w:t>
      </w:r>
      <w:r w:rsidRPr="00AE1B2B">
        <w:rPr>
          <w:rFonts w:ascii="Times New Roman" w:hAnsi="Times New Roman" w:cs="Times New Roman"/>
          <w:i/>
          <w:iCs/>
          <w:sz w:val="26"/>
          <w:szCs w:val="26"/>
        </w:rPr>
        <w:t>Ver anexo 2</w:t>
      </w:r>
      <w:r w:rsidRPr="00AE1B2B">
        <w:rPr>
          <w:rFonts w:ascii="Times New Roman" w:hAnsi="Times New Roman" w:cs="Times New Roman"/>
          <w:sz w:val="26"/>
          <w:szCs w:val="26"/>
        </w:rPr>
        <w:t xml:space="preserve">); con e l propósito de determinar el impacto que ha tenido la Ley 9593 de Pueblos Indígenas en materia contenciosa administrativa. Así mismo, el </w:t>
      </w:r>
      <w:r w:rsidRPr="00AE1B2B">
        <w:rPr>
          <w:rFonts w:ascii="Times New Roman" w:hAnsi="Times New Roman" w:cs="Times New Roman"/>
          <w:sz w:val="26"/>
          <w:szCs w:val="26"/>
        </w:rPr>
        <w:lastRenderedPageBreak/>
        <w:t>Doctor Montero García envía a la Inga. Hazel Calderón el control que mantiene de los asuntos activos, con corte a enero de 2021.</w:t>
      </w:r>
    </w:p>
    <w:p w:rsidRPr="00AE1B2B" w:rsidR="009D3FB5" w:rsidP="00163B94" w:rsidRDefault="009D3FB5" w14:paraId="4133A3D2" w14:textId="77777777">
      <w:pPr>
        <w:pStyle w:val="Prrafodelista"/>
        <w:numPr>
          <w:ilvl w:val="0"/>
          <w:numId w:val="4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efectuó una sesión de trabajo con el Licenciado Mario Rosales, la cual se encuentra respaldada mediante la minuta </w:t>
      </w:r>
      <w:r w:rsidRPr="00AE1B2B">
        <w:rPr>
          <w:rFonts w:ascii="Times New Roman" w:hAnsi="Times New Roman" w:cs="Times New Roman"/>
          <w:b/>
          <w:bCs/>
          <w:sz w:val="26"/>
          <w:szCs w:val="26"/>
        </w:rPr>
        <w:t>73-PLA-MI-MNTA-2021</w:t>
      </w:r>
      <w:r w:rsidRPr="00AE1B2B">
        <w:rPr>
          <w:rFonts w:ascii="Times New Roman" w:hAnsi="Times New Roman" w:cs="Times New Roman"/>
          <w:i/>
          <w:iCs/>
          <w:sz w:val="26"/>
          <w:szCs w:val="26"/>
        </w:rPr>
        <w:t xml:space="preserve"> (Ver anexo 3</w:t>
      </w:r>
      <w:r w:rsidRPr="00AE1B2B">
        <w:rPr>
          <w:rFonts w:ascii="Times New Roman" w:hAnsi="Times New Roman" w:cs="Times New Roman"/>
          <w:sz w:val="26"/>
          <w:szCs w:val="26"/>
        </w:rPr>
        <w:t>); donde se determinó el impacto que ha tenido la Ley 9593 de Pueblos Indígenas en materia agraria. Así como, aspectos importantes a considerar dentro del presente estudio técnico.</w:t>
      </w:r>
    </w:p>
    <w:p w:rsidRPr="00AE1B2B" w:rsidR="009D3FB5" w:rsidP="00163B94" w:rsidRDefault="009D3FB5" w14:paraId="752080F5" w14:textId="77777777">
      <w:pPr>
        <w:pStyle w:val="Prrafodelista"/>
        <w:numPr>
          <w:ilvl w:val="0"/>
          <w:numId w:val="4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efectuó una sesión de trabajo con las Licenciadas Sandra Mora Venegas y Ana Briceño York, Supervisoras en Materia de Pensiones Alimentarias y Laboral respectivamente; respaldada por la </w:t>
      </w:r>
      <w:r w:rsidRPr="00AE1B2B">
        <w:rPr>
          <w:rFonts w:ascii="Times New Roman" w:hAnsi="Times New Roman" w:cs="Times New Roman"/>
          <w:b/>
          <w:bCs/>
          <w:sz w:val="26"/>
          <w:szCs w:val="26"/>
        </w:rPr>
        <w:t>78-PLA-MI-MNTA-2021</w:t>
      </w:r>
      <w:r w:rsidRPr="00AE1B2B">
        <w:rPr>
          <w:rFonts w:ascii="Times New Roman" w:hAnsi="Times New Roman" w:cs="Times New Roman"/>
          <w:i/>
          <w:iCs/>
          <w:sz w:val="26"/>
          <w:szCs w:val="26"/>
        </w:rPr>
        <w:t xml:space="preserve"> (Ver anexo 4)</w:t>
      </w:r>
      <w:r w:rsidRPr="00AE1B2B">
        <w:rPr>
          <w:rFonts w:ascii="Times New Roman" w:hAnsi="Times New Roman" w:cs="Times New Roman"/>
          <w:sz w:val="26"/>
          <w:szCs w:val="26"/>
        </w:rPr>
        <w:t>. En la reunión se determinaron aspectos importantes a considerar en el presente estudio técnico y, se exponen las principales necesidades de la Defensa Pública en las materia alimenticia y laboral.</w:t>
      </w:r>
    </w:p>
    <w:p w:rsidRPr="00AE1B2B" w:rsidR="009D3FB5" w:rsidP="00163B94" w:rsidRDefault="009D3FB5" w14:paraId="7B0036C1" w14:textId="77777777">
      <w:pPr>
        <w:pStyle w:val="Prrafodelista"/>
        <w:numPr>
          <w:ilvl w:val="0"/>
          <w:numId w:val="4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efectuó una sesión de trabajo con la Magistrada Damaris Vargas Vásquez, Coordinadora de la Subcomisión de Acceso a la Justicia a Pueblos Indígenas, amparada en la minuta </w:t>
      </w:r>
      <w:r w:rsidRPr="00AE1B2B">
        <w:rPr>
          <w:rFonts w:ascii="Times New Roman" w:hAnsi="Times New Roman" w:cs="Times New Roman"/>
          <w:b/>
          <w:bCs/>
          <w:sz w:val="26"/>
          <w:szCs w:val="26"/>
        </w:rPr>
        <w:t>87-PLA-MI-MNTA-2021</w:t>
      </w:r>
      <w:r w:rsidRPr="00AE1B2B">
        <w:rPr>
          <w:rFonts w:ascii="Times New Roman" w:hAnsi="Times New Roman" w:cs="Times New Roman"/>
          <w:i/>
          <w:iCs/>
          <w:sz w:val="26"/>
          <w:szCs w:val="26"/>
        </w:rPr>
        <w:t xml:space="preserve"> (Ver anexo 5)</w:t>
      </w:r>
      <w:r w:rsidRPr="00AE1B2B">
        <w:rPr>
          <w:rFonts w:ascii="Times New Roman" w:hAnsi="Times New Roman" w:cs="Times New Roman"/>
          <w:sz w:val="26"/>
          <w:szCs w:val="26"/>
        </w:rPr>
        <w:t>. Como resultado se obtuvo importante insumo relacionado con aspectos cualitativos que la señora magistrada recomienda que la Dirección de Planificación debería considerar en el presente estudio técnico (</w:t>
      </w:r>
      <w:r w:rsidRPr="00AE1B2B">
        <w:rPr>
          <w:rFonts w:ascii="Times New Roman" w:hAnsi="Times New Roman" w:cs="Times New Roman"/>
          <w:i/>
          <w:iCs/>
          <w:sz w:val="26"/>
          <w:szCs w:val="26"/>
        </w:rPr>
        <w:t>impacto de la Ley 9593 en la Defensa Pública</w:t>
      </w:r>
      <w:r w:rsidRPr="00AE1B2B">
        <w:rPr>
          <w:rFonts w:ascii="Times New Roman" w:hAnsi="Times New Roman" w:cs="Times New Roman"/>
          <w:sz w:val="26"/>
          <w:szCs w:val="26"/>
        </w:rPr>
        <w:t>) y, en el informe de presupuesto que se ejecuta de forma paralela, en cuanto a la posible creación de una Jurisdicción Especializada en Materia Indígena. Además, la Magistrada Vargas Vásquez expone los avances que ha tenido la coordinación de la Subcomisión de Acceso a la Justicia en razón de la atención de personas usuarias indígenas.</w:t>
      </w:r>
    </w:p>
    <w:p w:rsidRPr="00AE1B2B" w:rsidR="009D3FB5" w:rsidP="00163B94" w:rsidRDefault="009D3FB5" w14:paraId="52417EC7" w14:textId="77777777">
      <w:pPr>
        <w:pStyle w:val="Prrafodelista"/>
        <w:numPr>
          <w:ilvl w:val="0"/>
          <w:numId w:val="4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participó en la devolución de resultados de la asistencia técnica de la Oficina del Alto Comisionado de las Naciones Unidas para los Derechos Humanos (</w:t>
      </w:r>
      <w:r w:rsidRPr="00AE1B2B">
        <w:rPr>
          <w:rFonts w:ascii="Times New Roman" w:hAnsi="Times New Roman" w:cs="Times New Roman"/>
          <w:i/>
          <w:iCs/>
          <w:sz w:val="26"/>
          <w:szCs w:val="26"/>
        </w:rPr>
        <w:t>ACNUDH</w:t>
      </w:r>
      <w:r w:rsidRPr="00AE1B2B">
        <w:rPr>
          <w:rFonts w:ascii="Times New Roman" w:hAnsi="Times New Roman" w:cs="Times New Roman"/>
          <w:sz w:val="26"/>
          <w:szCs w:val="26"/>
        </w:rPr>
        <w:t>), la cual se llevó a cabo el 05 de febrero de 2021 mediante la herramienta Microsoft TEAMS y, la Señora Samantha Colli Sulú expone el estudio efectuado en materia indígena en Costa Rica y, emite recomendaciones a considerar en las acciones para el acceso a la justicia a las personas usuarias indígenas.</w:t>
      </w:r>
    </w:p>
    <w:p w:rsidRPr="00AE1B2B" w:rsidR="009D3FB5" w:rsidP="00163B94" w:rsidRDefault="009D3FB5" w14:paraId="35A96B17" w14:textId="77777777">
      <w:pPr>
        <w:pStyle w:val="Prrafodelista"/>
        <w:numPr>
          <w:ilvl w:val="0"/>
          <w:numId w:val="4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participó en la sesión ordinaria del 05 de febrero de 2021 de la Subcomisión de Acceso a la Justicia de Pueblos Indígenas, Acta 02-2021; donde se conocieron diversos aspectos relacionados con las labores sustanciales de la subcomisión. Importante indicar que, durante la sesión de trabajo, la Contraloria de Servicios del Poder </w:t>
      </w:r>
      <w:r w:rsidRPr="00AE1B2B">
        <w:rPr>
          <w:rFonts w:ascii="Times New Roman" w:hAnsi="Times New Roman" w:cs="Times New Roman"/>
          <w:sz w:val="26"/>
          <w:szCs w:val="26"/>
        </w:rPr>
        <w:lastRenderedPageBreak/>
        <w:t xml:space="preserve">Judicial expuso el informe </w:t>
      </w:r>
      <w:r w:rsidRPr="00AE1B2B">
        <w:rPr>
          <w:rFonts w:ascii="Times New Roman" w:hAnsi="Times New Roman" w:cs="Times New Roman"/>
          <w:i/>
          <w:iCs/>
          <w:sz w:val="26"/>
          <w:szCs w:val="26"/>
        </w:rPr>
        <w:t>“Análisis para la simplificación del trámite de ayudas económicas a personas indígenas”</w:t>
      </w:r>
      <w:r w:rsidRPr="00AE1B2B">
        <w:rPr>
          <w:rFonts w:ascii="Times New Roman" w:hAnsi="Times New Roman" w:cs="Times New Roman"/>
          <w:sz w:val="26"/>
          <w:szCs w:val="26"/>
        </w:rPr>
        <w:t>, del cual se tomó nota y se recibe retroalimentación de los participantes en la reunión.</w:t>
      </w:r>
    </w:p>
    <w:p w:rsidRPr="00AE1B2B" w:rsidR="009D3FB5" w:rsidP="00163B94" w:rsidRDefault="009D3FB5" w14:paraId="3F7E202E" w14:textId="77777777">
      <w:pPr>
        <w:pStyle w:val="Prrafodelista"/>
        <w:numPr>
          <w:ilvl w:val="0"/>
          <w:numId w:val="4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efectuó una sesión de trabajo el 09 de febrero de 2021 mediante la herramienta Microsoft Teams, con los Señores Erick Alfaro y Carlos Romero, de la Contraloría de Servicios de San José y Pérez Zeledón, respectivamente; donde los profesionales señalan aspectos experiencias vividas con la atención de personas usuarias indígenas, así como posibles variables cualitativas a considerar, en razón de las gestiones que han tramitado en sus oficinas.</w:t>
      </w:r>
    </w:p>
    <w:p w:rsidRPr="00AE1B2B" w:rsidR="009D3FB5" w:rsidP="00163B94" w:rsidRDefault="009D3FB5" w14:paraId="64A561D8" w14:textId="77777777">
      <w:pPr>
        <w:pStyle w:val="Prrafodelista"/>
        <w:numPr>
          <w:ilvl w:val="0"/>
          <w:numId w:val="4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consulta a la Dirección de Gestión Humana el acuerdo del Consejo Superior que aprueba la creación de la plaza de Supervisión de Asuntos Indígenas de la Defensa Pública, con el propósito de conocer las condiciones bajo las cuales se creó la citada plaza.</w:t>
      </w:r>
    </w:p>
    <w:p w:rsidRPr="00AE1B2B" w:rsidR="009D3FB5" w:rsidP="00163B94" w:rsidRDefault="009D3FB5" w14:paraId="37A7933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2C715C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A9B0547"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Información relevante</w:t>
      </w:r>
    </w:p>
    <w:p w:rsidRPr="00AE1B2B" w:rsidR="009D3FB5" w:rsidP="00163B94" w:rsidRDefault="009D3FB5" w14:paraId="48263F0C"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Análisis de datos estadísticos de la Defensa Pública</w:t>
      </w:r>
    </w:p>
    <w:p w:rsidRPr="00AE1B2B" w:rsidR="009D3FB5" w:rsidP="00163B94" w:rsidRDefault="009D3FB5" w14:paraId="7E4D896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Tal como se mencionó en el apartado </w:t>
      </w:r>
      <w:r w:rsidRPr="00AE1B2B">
        <w:rPr>
          <w:rFonts w:ascii="Times New Roman" w:hAnsi="Times New Roman" w:cs="Times New Roman"/>
          <w:b/>
          <w:bCs/>
          <w:sz w:val="26"/>
          <w:szCs w:val="26"/>
        </w:rPr>
        <w:t>V. Metodología</w:t>
      </w:r>
      <w:r w:rsidRPr="00AE1B2B">
        <w:rPr>
          <w:rFonts w:ascii="Times New Roman" w:hAnsi="Times New Roman" w:cs="Times New Roman"/>
          <w:sz w:val="26"/>
          <w:szCs w:val="26"/>
        </w:rPr>
        <w:t xml:space="preserve"> del presente informe, en el proceso de recopilación de datos estadísticos, se solicita al Lic. Esteban Arguedas Madrigal, Coordinador de la Unidad Estadística de la Defensa Pública, y a la Licda. Ligia Jiménez Zamora, Supervisora de Asuntos de Pueblos Indígenas; la información estadística de la cantidad de personas usuarias indígenas representadas por la Defensa Pública en asuntos nuevos, de octubre de 2019 a setiembre de 2020; así como también, la cantidad de procesos activos (</w:t>
      </w:r>
      <w:r w:rsidRPr="00AE1B2B">
        <w:rPr>
          <w:rFonts w:ascii="Times New Roman" w:hAnsi="Times New Roman" w:cs="Times New Roman"/>
          <w:i/>
          <w:iCs/>
          <w:sz w:val="26"/>
          <w:szCs w:val="26"/>
        </w:rPr>
        <w:t>circulante</w:t>
      </w:r>
      <w:r w:rsidRPr="00AE1B2B">
        <w:rPr>
          <w:rFonts w:ascii="Times New Roman" w:hAnsi="Times New Roman" w:cs="Times New Roman"/>
          <w:sz w:val="26"/>
          <w:szCs w:val="26"/>
        </w:rPr>
        <w:t xml:space="preserve">) y asuntos terminados al cierre de setiembre de 2020 por cada una de las oficinas a nivel nacional. Es importante aclarar que, se solicita la información estadística con dichos cortes en razón de que la Ley 9593 de Acceso a la Justicia a Pueblos Indígenas entró en vigencia en setiembre de 2018; en ese sentido, </w:t>
      </w:r>
      <w:r w:rsidRPr="00AE1B2B">
        <w:rPr>
          <w:rFonts w:ascii="Times New Roman" w:hAnsi="Times New Roman" w:cs="Times New Roman"/>
          <w:sz w:val="26"/>
          <w:szCs w:val="26"/>
          <w:u w:val="single"/>
        </w:rPr>
        <w:t>se analizan años naturales completos</w:t>
      </w:r>
      <w:r w:rsidRPr="00AE1B2B">
        <w:rPr>
          <w:rFonts w:ascii="Times New Roman" w:hAnsi="Times New Roman" w:cs="Times New Roman"/>
          <w:sz w:val="26"/>
          <w:szCs w:val="26"/>
        </w:rPr>
        <w:t>.</w:t>
      </w:r>
    </w:p>
    <w:p w:rsidRPr="00AE1B2B" w:rsidR="009D3FB5" w:rsidP="00163B94" w:rsidRDefault="009D3FB5" w14:paraId="7F9DDACF" w14:textId="77777777">
      <w:pPr>
        <w:spacing w:before="120" w:after="120"/>
        <w:ind w:left="851" w:right="851" w:firstLine="709"/>
        <w:jc w:val="both"/>
        <w:rPr>
          <w:rFonts w:ascii="Times New Roman" w:hAnsi="Times New Roman" w:cs="Times New Roman"/>
          <w:b/>
          <w:bCs/>
          <w:sz w:val="26"/>
          <w:szCs w:val="26"/>
        </w:rPr>
      </w:pPr>
      <w:r w:rsidRPr="00AE1B2B">
        <w:rPr>
          <w:rFonts w:ascii="Times New Roman" w:hAnsi="Times New Roman" w:cs="Times New Roman"/>
          <w:sz w:val="26"/>
          <w:szCs w:val="26"/>
        </w:rPr>
        <w:t>En cuanto a los datos suministrados por la Defensa Pública, se encuentra la cantidad de procesos (</w:t>
      </w:r>
      <w:r w:rsidRPr="00AE1B2B">
        <w:rPr>
          <w:rFonts w:ascii="Times New Roman" w:hAnsi="Times New Roman" w:cs="Times New Roman"/>
          <w:i/>
          <w:iCs/>
          <w:sz w:val="26"/>
          <w:szCs w:val="26"/>
        </w:rPr>
        <w:t>expedientes</w:t>
      </w:r>
      <w:r w:rsidRPr="00AE1B2B">
        <w:rPr>
          <w:rFonts w:ascii="Times New Roman" w:hAnsi="Times New Roman" w:cs="Times New Roman"/>
          <w:sz w:val="26"/>
          <w:szCs w:val="26"/>
        </w:rPr>
        <w:t xml:space="preserve">) activos al cierre de setiembre de 2020, así como la cantidad de expedientes que ingresaron de octubre 2019 a setiembre 2020 y la cantidad de personas usuarias indígenas representadas en dichos asuntos. </w:t>
      </w:r>
      <w:r w:rsidRPr="00AE1B2B">
        <w:rPr>
          <w:rFonts w:ascii="Times New Roman" w:hAnsi="Times New Roman" w:cs="Times New Roman"/>
          <w:b/>
          <w:bCs/>
          <w:sz w:val="26"/>
          <w:szCs w:val="26"/>
        </w:rPr>
        <w:t>Ver apéndice 1.</w:t>
      </w:r>
    </w:p>
    <w:p w:rsidRPr="00AE1B2B" w:rsidR="009D3FB5" w:rsidP="00163B94" w:rsidRDefault="009D3FB5" w14:paraId="65E02AA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Al efectuar el análisis de datos estadísticos suministrados por la Defensa Pública, la Ingeniera Hazel Calderón Mata, Profesional de la Dirección de Planificación, detecta inconsistencias que fueron abordadas con la Licenciada Ligia Jiménez Zamora, Supervisora en materia indígena de la Defensa Pública. Al no encontrar explicación, se confirma con el Licenciado Esteban Arguedas Madrigal, Coordinador de la Unidad Estadística de la Defensa Pública; que corresponde a errores de tabulación en cuanto a los asuntos activos (</w:t>
      </w:r>
      <w:r w:rsidRPr="00AE1B2B">
        <w:rPr>
          <w:rFonts w:ascii="Times New Roman" w:hAnsi="Times New Roman" w:cs="Times New Roman"/>
          <w:i/>
          <w:iCs/>
          <w:sz w:val="26"/>
          <w:szCs w:val="26"/>
        </w:rPr>
        <w:t>circulante</w:t>
      </w:r>
      <w:r w:rsidRPr="00AE1B2B">
        <w:rPr>
          <w:rFonts w:ascii="Times New Roman" w:hAnsi="Times New Roman" w:cs="Times New Roman"/>
          <w:sz w:val="26"/>
          <w:szCs w:val="26"/>
        </w:rPr>
        <w:t xml:space="preserve">), el reporte de asuntos entrados si corresponde a la realidad. Es por esto que, en 10 de febrero de 2021, se envía nuevamente el reporte de asuntos activos a nivel nacional, donde interviene una persona usuaria indígena. </w:t>
      </w:r>
      <w:r w:rsidRPr="00AE1B2B">
        <w:rPr>
          <w:rFonts w:ascii="Times New Roman" w:hAnsi="Times New Roman" w:cs="Times New Roman"/>
          <w:b/>
          <w:bCs/>
          <w:sz w:val="26"/>
          <w:szCs w:val="26"/>
        </w:rPr>
        <w:t>Ver apéndice 2.</w:t>
      </w:r>
    </w:p>
    <w:p w:rsidRPr="00AE1B2B" w:rsidR="009D3FB5" w:rsidP="00163B94" w:rsidRDefault="009D3FB5" w14:paraId="63D19226"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Personas indígenas representadas por proceso judicial (</w:t>
      </w:r>
      <w:r w:rsidRPr="00AE1B2B">
        <w:rPr>
          <w:rFonts w:ascii="Times New Roman" w:hAnsi="Times New Roman" w:cs="Times New Roman"/>
          <w:b/>
          <w:i/>
          <w:iCs/>
          <w:sz w:val="26"/>
          <w:szCs w:val="26"/>
        </w:rPr>
        <w:t>expediente</w:t>
      </w:r>
      <w:r w:rsidRPr="00AE1B2B">
        <w:rPr>
          <w:rFonts w:ascii="Times New Roman" w:hAnsi="Times New Roman" w:cs="Times New Roman"/>
          <w:b/>
          <w:sz w:val="26"/>
          <w:szCs w:val="26"/>
        </w:rPr>
        <w:t xml:space="preserve">) </w:t>
      </w:r>
    </w:p>
    <w:p w:rsidRPr="00AE1B2B" w:rsidR="009D3FB5" w:rsidP="00163B94" w:rsidRDefault="009D3FB5" w14:paraId="79E0A63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la siguiente tabla se muestra la cantidad de personas usuarias indígenas en calidad de intervinientes (</w:t>
      </w:r>
      <w:r w:rsidRPr="00AE1B2B">
        <w:rPr>
          <w:rFonts w:ascii="Times New Roman" w:hAnsi="Times New Roman" w:cs="Times New Roman"/>
          <w:i/>
          <w:iCs/>
          <w:sz w:val="26"/>
          <w:szCs w:val="26"/>
        </w:rPr>
        <w:t>actores o demandados</w:t>
      </w:r>
      <w:r w:rsidRPr="00AE1B2B">
        <w:rPr>
          <w:rFonts w:ascii="Times New Roman" w:hAnsi="Times New Roman" w:cs="Times New Roman"/>
          <w:sz w:val="26"/>
          <w:szCs w:val="26"/>
        </w:rPr>
        <w:t>) en promedio por cada proceso judicial, con base en la entrada que se obtuvo en la Defensa Pública (</w:t>
      </w:r>
      <w:r w:rsidRPr="00AE1B2B">
        <w:rPr>
          <w:rFonts w:ascii="Times New Roman" w:hAnsi="Times New Roman" w:cs="Times New Roman"/>
          <w:i/>
          <w:iCs/>
          <w:sz w:val="26"/>
          <w:szCs w:val="26"/>
        </w:rPr>
        <w:t>a nivel nacional</w:t>
      </w:r>
      <w:r w:rsidRPr="00AE1B2B">
        <w:rPr>
          <w:rFonts w:ascii="Times New Roman" w:hAnsi="Times New Roman" w:cs="Times New Roman"/>
          <w:sz w:val="26"/>
          <w:szCs w:val="26"/>
        </w:rPr>
        <w:t>) de octubre de 2019 a setiembre de 2020:</w:t>
      </w:r>
    </w:p>
    <w:p w:rsidRPr="00AE1B2B" w:rsidR="009D3FB5" w:rsidP="00163B94" w:rsidRDefault="009D3FB5" w14:paraId="3A54F008" w14:textId="77777777">
      <w:pPr>
        <w:pStyle w:val="Descripcin"/>
        <w:keepNext/>
        <w:spacing w:before="120" w:after="120"/>
        <w:jc w:val="center"/>
        <w:rPr>
          <w:rFonts w:ascii="Times New Roman" w:hAnsi="Times New Roman" w:cs="Times New Roman"/>
          <w:sz w:val="22"/>
          <w:szCs w:val="22"/>
        </w:rPr>
      </w:pPr>
      <w:r w:rsidRPr="00AE1B2B">
        <w:rPr>
          <w:rFonts w:ascii="Times New Roman" w:hAnsi="Times New Roman" w:cs="Times New Roman"/>
          <w:sz w:val="22"/>
          <w:szCs w:val="22"/>
        </w:rPr>
        <w:t xml:space="preserve">Tabla </w:t>
      </w:r>
      <w:r w:rsidRPr="00AE1B2B">
        <w:rPr>
          <w:rFonts w:ascii="Times New Roman" w:hAnsi="Times New Roman" w:cs="Times New Roman"/>
          <w:sz w:val="22"/>
          <w:szCs w:val="22"/>
        </w:rPr>
        <w:fldChar w:fldCharType="begin"/>
      </w:r>
      <w:r w:rsidRPr="00AE1B2B">
        <w:rPr>
          <w:rFonts w:ascii="Times New Roman" w:hAnsi="Times New Roman" w:cs="Times New Roman"/>
          <w:sz w:val="22"/>
          <w:szCs w:val="22"/>
        </w:rPr>
        <w:instrText xml:space="preserve"> SEQ Tabla \* ARABIC </w:instrText>
      </w:r>
      <w:r w:rsidRPr="00AE1B2B">
        <w:rPr>
          <w:rFonts w:ascii="Times New Roman" w:hAnsi="Times New Roman" w:cs="Times New Roman"/>
          <w:sz w:val="22"/>
          <w:szCs w:val="22"/>
        </w:rPr>
        <w:fldChar w:fldCharType="separate"/>
      </w:r>
      <w:r w:rsidRPr="00AE1B2B">
        <w:rPr>
          <w:rFonts w:ascii="Times New Roman" w:hAnsi="Times New Roman" w:cs="Times New Roman"/>
          <w:noProof/>
          <w:sz w:val="22"/>
          <w:szCs w:val="22"/>
        </w:rPr>
        <w:t>1</w:t>
      </w:r>
      <w:r w:rsidRPr="00AE1B2B">
        <w:rPr>
          <w:rFonts w:ascii="Times New Roman" w:hAnsi="Times New Roman" w:cs="Times New Roman"/>
          <w:sz w:val="22"/>
          <w:szCs w:val="22"/>
        </w:rPr>
        <w:fldChar w:fldCharType="end"/>
      </w:r>
      <w:r w:rsidRPr="00AE1B2B">
        <w:rPr>
          <w:rFonts w:ascii="Times New Roman" w:hAnsi="Times New Roman" w:cs="Times New Roman"/>
          <w:sz w:val="22"/>
          <w:szCs w:val="22"/>
        </w:rPr>
        <w:t xml:space="preserve"> </w:t>
      </w:r>
    </w:p>
    <w:p w:rsidRPr="00AE1B2B" w:rsidR="009D3FB5" w:rsidP="00163B94" w:rsidRDefault="009D3FB5" w14:paraId="67894656" w14:textId="7ABD8AFC">
      <w:pPr>
        <w:pStyle w:val="Descripcin"/>
        <w:keepNext/>
        <w:spacing w:before="120" w:after="120"/>
        <w:jc w:val="center"/>
        <w:rPr>
          <w:rFonts w:ascii="Times New Roman" w:hAnsi="Times New Roman" w:cs="Times New Roman"/>
          <w:sz w:val="22"/>
          <w:szCs w:val="22"/>
        </w:rPr>
      </w:pPr>
      <w:r w:rsidRPr="00AE1B2B">
        <w:rPr>
          <w:rFonts w:ascii="Times New Roman" w:hAnsi="Times New Roman" w:cs="Times New Roman"/>
          <w:sz w:val="22"/>
          <w:szCs w:val="22"/>
        </w:rPr>
        <w:t>Promedio de personas usuarias indígenas en calidad de intervinientes, en los procesos entrados en la Defensa Pública de octubre 2019 a setiembre de 2020, según materia</w:t>
      </w:r>
    </w:p>
    <w:p w:rsidRPr="00AE1B2B" w:rsidR="00825416" w:rsidP="00163B94" w:rsidRDefault="00825416" w14:paraId="5489E992" w14:textId="77777777">
      <w:pPr>
        <w:spacing w:before="120" w:after="120"/>
        <w:rPr>
          <w:lang w:val="es-ES" w:eastAsia="es-ES"/>
        </w:rPr>
      </w:pPr>
    </w:p>
    <w:tbl>
      <w:tblPr>
        <w:tblW w:w="5000" w:type="pct"/>
        <w:tblCellMar>
          <w:left w:w="70" w:type="dxa"/>
          <w:right w:w="70" w:type="dxa"/>
        </w:tblCellMar>
        <w:tblLook w:val="04A0" w:firstRow="1" w:lastRow="0" w:firstColumn="1" w:lastColumn="0" w:noHBand="0" w:noVBand="1"/>
      </w:tblPr>
      <w:tblGrid>
        <w:gridCol w:w="2602"/>
        <w:gridCol w:w="1467"/>
        <w:gridCol w:w="1600"/>
        <w:gridCol w:w="1955"/>
        <w:gridCol w:w="1204"/>
      </w:tblGrid>
      <w:tr w:rsidRPr="00AE1B2B" w:rsidR="00AE1B2B" w:rsidTr="00825416" w14:paraId="17303AAC" w14:textId="77777777">
        <w:trPr>
          <w:trHeight w:val="540"/>
        </w:trPr>
        <w:tc>
          <w:tcPr>
            <w:tcW w:w="1474" w:type="pct"/>
            <w:tcBorders>
              <w:top w:val="single" w:color="auto" w:sz="4" w:space="0"/>
              <w:left w:val="single" w:color="auto" w:sz="4" w:space="0"/>
              <w:bottom w:val="single" w:color="auto" w:sz="4" w:space="0"/>
              <w:right w:val="single" w:color="auto" w:sz="4" w:space="0"/>
            </w:tcBorders>
            <w:shd w:val="clear" w:color="000000" w:fill="95B3D7"/>
            <w:vAlign w:val="center"/>
            <w:hideMark/>
          </w:tcPr>
          <w:p w:rsidRPr="00AE1B2B" w:rsidR="009D3FB5" w:rsidP="00163B94" w:rsidRDefault="009D3FB5" w14:paraId="185C2C82"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cs="Times New Roman"/>
                <w:b/>
                <w:bCs/>
              </w:rPr>
              <w:t>Materia</w:t>
            </w:r>
          </w:p>
        </w:tc>
        <w:tc>
          <w:tcPr>
            <w:tcW w:w="831"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232433D8"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cs="Times New Roman"/>
                <w:b/>
                <w:bCs/>
              </w:rPr>
              <w:t>Cantidad de expedientes entrados</w:t>
            </w:r>
          </w:p>
        </w:tc>
        <w:tc>
          <w:tcPr>
            <w:tcW w:w="906"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3EE5BD49"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cs="Times New Roman"/>
                <w:b/>
                <w:bCs/>
              </w:rPr>
              <w:t>Cantidad de personas usuarias indígenas</w:t>
            </w:r>
          </w:p>
        </w:tc>
        <w:tc>
          <w:tcPr>
            <w:tcW w:w="1107"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0E9B6EDE"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cs="Times New Roman"/>
                <w:b/>
                <w:bCs/>
              </w:rPr>
              <w:t>Promedio de personas usuarias indígenas por expediente</w:t>
            </w:r>
          </w:p>
        </w:tc>
        <w:tc>
          <w:tcPr>
            <w:tcW w:w="682"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7BF8E9DA"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cs="Times New Roman"/>
                <w:b/>
                <w:bCs/>
              </w:rPr>
              <w:t>Diferencia</w:t>
            </w:r>
          </w:p>
        </w:tc>
      </w:tr>
      <w:tr w:rsidRPr="00AE1B2B" w:rsidR="00AE1B2B" w:rsidTr="00825416" w14:paraId="18C05853" w14:textId="77777777">
        <w:trPr>
          <w:trHeight w:val="290"/>
        </w:trPr>
        <w:tc>
          <w:tcPr>
            <w:tcW w:w="1474" w:type="pct"/>
            <w:tcBorders>
              <w:top w:val="nil"/>
              <w:left w:val="single" w:color="auto" w:sz="4" w:space="0"/>
              <w:bottom w:val="single" w:color="auto" w:sz="4" w:space="0"/>
              <w:right w:val="single" w:color="auto" w:sz="4" w:space="0"/>
            </w:tcBorders>
            <w:shd w:val="clear" w:color="auto" w:fill="auto"/>
            <w:noWrap/>
            <w:hideMark/>
          </w:tcPr>
          <w:p w:rsidRPr="00AE1B2B" w:rsidR="009D3FB5" w:rsidP="00163B94" w:rsidRDefault="009D3FB5" w14:paraId="3047904F" w14:textId="77777777">
            <w:pPr>
              <w:spacing w:before="120" w:after="120"/>
              <w:rPr>
                <w:rFonts w:ascii="Times New Roman" w:hAnsi="Times New Roman" w:eastAsia="Times New Roman" w:cs="Times New Roman"/>
                <w:lang w:eastAsia="es-CR"/>
              </w:rPr>
            </w:pPr>
            <w:r w:rsidRPr="00AE1B2B">
              <w:rPr>
                <w:rFonts w:ascii="Times New Roman" w:hAnsi="Times New Roman" w:cs="Times New Roman"/>
              </w:rPr>
              <w:t>Penal</w:t>
            </w:r>
          </w:p>
        </w:tc>
        <w:tc>
          <w:tcPr>
            <w:tcW w:w="831"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4477E68A"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210</w:t>
            </w:r>
          </w:p>
        </w:tc>
        <w:tc>
          <w:tcPr>
            <w:tcW w:w="906"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46D40CAE"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264</w:t>
            </w:r>
          </w:p>
        </w:tc>
        <w:tc>
          <w:tcPr>
            <w:tcW w:w="1107"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4FF7532A"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1,3</w:t>
            </w:r>
          </w:p>
        </w:tc>
        <w:tc>
          <w:tcPr>
            <w:tcW w:w="682"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5E3E57EF"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54</w:t>
            </w:r>
          </w:p>
        </w:tc>
      </w:tr>
      <w:tr w:rsidRPr="00AE1B2B" w:rsidR="00AE1B2B" w:rsidTr="00825416" w14:paraId="2FB4DC4F" w14:textId="77777777">
        <w:trPr>
          <w:trHeight w:val="290"/>
        </w:trPr>
        <w:tc>
          <w:tcPr>
            <w:tcW w:w="1474" w:type="pct"/>
            <w:tcBorders>
              <w:top w:val="nil"/>
              <w:left w:val="single" w:color="auto" w:sz="4" w:space="0"/>
              <w:bottom w:val="single" w:color="auto" w:sz="4" w:space="0"/>
              <w:right w:val="single" w:color="auto" w:sz="4" w:space="0"/>
            </w:tcBorders>
            <w:shd w:val="clear" w:color="auto" w:fill="auto"/>
            <w:noWrap/>
            <w:hideMark/>
          </w:tcPr>
          <w:p w:rsidRPr="00AE1B2B" w:rsidR="009D3FB5" w:rsidP="00163B94" w:rsidRDefault="009D3FB5" w14:paraId="26091C3B" w14:textId="77777777">
            <w:pPr>
              <w:spacing w:before="120" w:after="120"/>
              <w:rPr>
                <w:rFonts w:ascii="Times New Roman" w:hAnsi="Times New Roman" w:eastAsia="Times New Roman" w:cs="Times New Roman"/>
                <w:lang w:eastAsia="es-CR"/>
              </w:rPr>
            </w:pPr>
            <w:r w:rsidRPr="00AE1B2B">
              <w:rPr>
                <w:rFonts w:ascii="Times New Roman" w:hAnsi="Times New Roman" w:cs="Times New Roman"/>
              </w:rPr>
              <w:t>Agraria</w:t>
            </w:r>
          </w:p>
        </w:tc>
        <w:tc>
          <w:tcPr>
            <w:tcW w:w="831"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468CC020"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73</w:t>
            </w:r>
          </w:p>
        </w:tc>
        <w:tc>
          <w:tcPr>
            <w:tcW w:w="906"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20B36A69"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85</w:t>
            </w:r>
          </w:p>
        </w:tc>
        <w:tc>
          <w:tcPr>
            <w:tcW w:w="1107"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1E060F5F"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1,3</w:t>
            </w:r>
          </w:p>
        </w:tc>
        <w:tc>
          <w:tcPr>
            <w:tcW w:w="682"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69885F17"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12</w:t>
            </w:r>
          </w:p>
        </w:tc>
      </w:tr>
      <w:tr w:rsidRPr="00AE1B2B" w:rsidR="00AE1B2B" w:rsidTr="00825416" w14:paraId="5CFD3F28" w14:textId="77777777">
        <w:trPr>
          <w:trHeight w:val="290"/>
        </w:trPr>
        <w:tc>
          <w:tcPr>
            <w:tcW w:w="1474" w:type="pct"/>
            <w:tcBorders>
              <w:top w:val="nil"/>
              <w:left w:val="single" w:color="auto" w:sz="4" w:space="0"/>
              <w:bottom w:val="single" w:color="auto" w:sz="4" w:space="0"/>
              <w:right w:val="single" w:color="auto" w:sz="4" w:space="0"/>
            </w:tcBorders>
            <w:shd w:val="clear" w:color="auto" w:fill="auto"/>
            <w:noWrap/>
            <w:hideMark/>
          </w:tcPr>
          <w:p w:rsidRPr="00AE1B2B" w:rsidR="009D3FB5" w:rsidP="00163B94" w:rsidRDefault="009D3FB5" w14:paraId="48748C34" w14:textId="77777777">
            <w:pPr>
              <w:spacing w:before="120" w:after="120"/>
              <w:rPr>
                <w:rFonts w:ascii="Times New Roman" w:hAnsi="Times New Roman" w:eastAsia="Times New Roman" w:cs="Times New Roman"/>
                <w:lang w:eastAsia="es-CR"/>
              </w:rPr>
            </w:pPr>
            <w:r w:rsidRPr="00AE1B2B">
              <w:rPr>
                <w:rFonts w:ascii="Times New Roman" w:hAnsi="Times New Roman" w:cs="Times New Roman"/>
              </w:rPr>
              <w:t>Contravencional</w:t>
            </w:r>
          </w:p>
        </w:tc>
        <w:tc>
          <w:tcPr>
            <w:tcW w:w="831"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3A338800"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20</w:t>
            </w:r>
          </w:p>
        </w:tc>
        <w:tc>
          <w:tcPr>
            <w:tcW w:w="906"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65F52B0F"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23</w:t>
            </w:r>
          </w:p>
        </w:tc>
        <w:tc>
          <w:tcPr>
            <w:tcW w:w="1107"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0981CE19"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1,2</w:t>
            </w:r>
          </w:p>
        </w:tc>
        <w:tc>
          <w:tcPr>
            <w:tcW w:w="682"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53CC3AEC"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3</w:t>
            </w:r>
          </w:p>
        </w:tc>
      </w:tr>
      <w:tr w:rsidRPr="00AE1B2B" w:rsidR="00AE1B2B" w:rsidTr="00825416" w14:paraId="1C09F28A" w14:textId="77777777">
        <w:trPr>
          <w:trHeight w:val="290"/>
        </w:trPr>
        <w:tc>
          <w:tcPr>
            <w:tcW w:w="1474" w:type="pct"/>
            <w:tcBorders>
              <w:top w:val="nil"/>
              <w:left w:val="single" w:color="auto" w:sz="4" w:space="0"/>
              <w:bottom w:val="single" w:color="auto" w:sz="4" w:space="0"/>
              <w:right w:val="single" w:color="auto" w:sz="4" w:space="0"/>
            </w:tcBorders>
            <w:shd w:val="clear" w:color="auto" w:fill="auto"/>
            <w:noWrap/>
            <w:hideMark/>
          </w:tcPr>
          <w:p w:rsidRPr="00AE1B2B" w:rsidR="009D3FB5" w:rsidP="00163B94" w:rsidRDefault="009D3FB5" w14:paraId="7A6CD00C" w14:textId="77777777">
            <w:pPr>
              <w:spacing w:before="120" w:after="120"/>
              <w:rPr>
                <w:rFonts w:ascii="Times New Roman" w:hAnsi="Times New Roman" w:eastAsia="Times New Roman" w:cs="Times New Roman"/>
                <w:lang w:eastAsia="es-CR"/>
              </w:rPr>
            </w:pPr>
            <w:r w:rsidRPr="00AE1B2B">
              <w:rPr>
                <w:rFonts w:ascii="Times New Roman" w:hAnsi="Times New Roman" w:cs="Times New Roman"/>
              </w:rPr>
              <w:t>Penal Juvenil</w:t>
            </w:r>
          </w:p>
        </w:tc>
        <w:tc>
          <w:tcPr>
            <w:tcW w:w="831"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3B76597E"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23</w:t>
            </w:r>
          </w:p>
        </w:tc>
        <w:tc>
          <w:tcPr>
            <w:tcW w:w="906"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4653F770"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24</w:t>
            </w:r>
          </w:p>
        </w:tc>
        <w:tc>
          <w:tcPr>
            <w:tcW w:w="1107"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1E48542A"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1,0</w:t>
            </w:r>
          </w:p>
        </w:tc>
        <w:tc>
          <w:tcPr>
            <w:tcW w:w="682"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57D185E1"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1</w:t>
            </w:r>
          </w:p>
        </w:tc>
      </w:tr>
      <w:tr w:rsidRPr="00AE1B2B" w:rsidR="00AE1B2B" w:rsidTr="00825416" w14:paraId="25B9300A" w14:textId="77777777">
        <w:trPr>
          <w:trHeight w:val="290"/>
        </w:trPr>
        <w:tc>
          <w:tcPr>
            <w:tcW w:w="1474" w:type="pct"/>
            <w:tcBorders>
              <w:top w:val="nil"/>
              <w:left w:val="single" w:color="auto" w:sz="4" w:space="0"/>
              <w:bottom w:val="single" w:color="auto" w:sz="4" w:space="0"/>
              <w:right w:val="single" w:color="auto" w:sz="4" w:space="0"/>
            </w:tcBorders>
            <w:shd w:val="clear" w:color="auto" w:fill="auto"/>
            <w:noWrap/>
            <w:hideMark/>
          </w:tcPr>
          <w:p w:rsidRPr="00AE1B2B" w:rsidR="009D3FB5" w:rsidP="00163B94" w:rsidRDefault="009D3FB5" w14:paraId="44AA5DE4" w14:textId="77777777">
            <w:pPr>
              <w:spacing w:before="120" w:after="120"/>
              <w:rPr>
                <w:rFonts w:ascii="Times New Roman" w:hAnsi="Times New Roman" w:cs="Times New Roman"/>
              </w:rPr>
            </w:pPr>
            <w:r w:rsidRPr="00AE1B2B">
              <w:rPr>
                <w:rFonts w:ascii="Times New Roman" w:hAnsi="Times New Roman" w:cs="Times New Roman"/>
              </w:rPr>
              <w:t xml:space="preserve">Penalización de violencia </w:t>
            </w:r>
          </w:p>
          <w:p w:rsidRPr="00AE1B2B" w:rsidR="009D3FB5" w:rsidP="00163B94" w:rsidRDefault="009D3FB5" w14:paraId="56E0D1CA" w14:textId="77777777">
            <w:pPr>
              <w:spacing w:before="120" w:after="120"/>
              <w:rPr>
                <w:rFonts w:ascii="Times New Roman" w:hAnsi="Times New Roman" w:eastAsia="Times New Roman" w:cs="Times New Roman"/>
                <w:lang w:eastAsia="es-CR"/>
              </w:rPr>
            </w:pPr>
            <w:r w:rsidRPr="00AE1B2B">
              <w:rPr>
                <w:rFonts w:ascii="Times New Roman" w:hAnsi="Times New Roman" w:cs="Times New Roman"/>
              </w:rPr>
              <w:t>contra la mujer</w:t>
            </w:r>
          </w:p>
        </w:tc>
        <w:tc>
          <w:tcPr>
            <w:tcW w:w="83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9DD03AF"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56</w:t>
            </w:r>
          </w:p>
        </w:tc>
        <w:tc>
          <w:tcPr>
            <w:tcW w:w="90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EE3071E"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57</w:t>
            </w:r>
          </w:p>
        </w:tc>
        <w:tc>
          <w:tcPr>
            <w:tcW w:w="110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6951317"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1,0</w:t>
            </w:r>
          </w:p>
        </w:tc>
        <w:tc>
          <w:tcPr>
            <w:tcW w:w="68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00A49AD"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1</w:t>
            </w:r>
          </w:p>
        </w:tc>
      </w:tr>
      <w:tr w:rsidRPr="00AE1B2B" w:rsidR="00AE1B2B" w:rsidTr="00825416" w14:paraId="484A9098" w14:textId="77777777">
        <w:trPr>
          <w:trHeight w:val="290"/>
        </w:trPr>
        <w:tc>
          <w:tcPr>
            <w:tcW w:w="1474" w:type="pct"/>
            <w:tcBorders>
              <w:top w:val="nil"/>
              <w:left w:val="single" w:color="auto" w:sz="4" w:space="0"/>
              <w:bottom w:val="single" w:color="auto" w:sz="4" w:space="0"/>
              <w:right w:val="single" w:color="auto" w:sz="4" w:space="0"/>
            </w:tcBorders>
            <w:shd w:val="clear" w:color="auto" w:fill="auto"/>
            <w:noWrap/>
            <w:hideMark/>
          </w:tcPr>
          <w:p w:rsidRPr="00AE1B2B" w:rsidR="009D3FB5" w:rsidP="00163B94" w:rsidRDefault="009D3FB5" w14:paraId="4C74C055" w14:textId="77777777">
            <w:pPr>
              <w:spacing w:before="120" w:after="120"/>
              <w:rPr>
                <w:rFonts w:ascii="Times New Roman" w:hAnsi="Times New Roman" w:eastAsia="Times New Roman" w:cs="Times New Roman"/>
                <w:lang w:eastAsia="es-CR"/>
              </w:rPr>
            </w:pPr>
            <w:r w:rsidRPr="00AE1B2B">
              <w:rPr>
                <w:rFonts w:ascii="Times New Roman" w:hAnsi="Times New Roman" w:cs="Times New Roman"/>
              </w:rPr>
              <w:t>Pensiones Alimentarias</w:t>
            </w:r>
          </w:p>
        </w:tc>
        <w:tc>
          <w:tcPr>
            <w:tcW w:w="831"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3603560B"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345</w:t>
            </w:r>
          </w:p>
        </w:tc>
        <w:tc>
          <w:tcPr>
            <w:tcW w:w="906"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3908C3AE"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345</w:t>
            </w:r>
          </w:p>
        </w:tc>
        <w:tc>
          <w:tcPr>
            <w:tcW w:w="1107"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2047C254"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1,0</w:t>
            </w:r>
          </w:p>
        </w:tc>
        <w:tc>
          <w:tcPr>
            <w:tcW w:w="682"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7BF6DB5E"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0</w:t>
            </w:r>
          </w:p>
        </w:tc>
      </w:tr>
      <w:tr w:rsidRPr="00AE1B2B" w:rsidR="00AE1B2B" w:rsidTr="00825416" w14:paraId="6E9C01C3" w14:textId="77777777">
        <w:trPr>
          <w:trHeight w:val="290"/>
        </w:trPr>
        <w:tc>
          <w:tcPr>
            <w:tcW w:w="1474" w:type="pct"/>
            <w:tcBorders>
              <w:top w:val="nil"/>
              <w:left w:val="single" w:color="auto" w:sz="4" w:space="0"/>
              <w:bottom w:val="single" w:color="auto" w:sz="4" w:space="0"/>
              <w:right w:val="single" w:color="auto" w:sz="4" w:space="0"/>
            </w:tcBorders>
            <w:shd w:val="clear" w:color="auto" w:fill="auto"/>
            <w:noWrap/>
            <w:hideMark/>
          </w:tcPr>
          <w:p w:rsidRPr="00AE1B2B" w:rsidR="009D3FB5" w:rsidP="00163B94" w:rsidRDefault="009D3FB5" w14:paraId="6F9A0356" w14:textId="77777777">
            <w:pPr>
              <w:spacing w:before="120" w:after="120"/>
              <w:rPr>
                <w:rFonts w:ascii="Times New Roman" w:hAnsi="Times New Roman" w:eastAsia="Times New Roman" w:cs="Times New Roman"/>
                <w:lang w:eastAsia="es-CR"/>
              </w:rPr>
            </w:pPr>
            <w:r w:rsidRPr="00AE1B2B">
              <w:rPr>
                <w:rFonts w:ascii="Times New Roman" w:hAnsi="Times New Roman" w:cs="Times New Roman"/>
              </w:rPr>
              <w:t>Laboral</w:t>
            </w:r>
          </w:p>
        </w:tc>
        <w:tc>
          <w:tcPr>
            <w:tcW w:w="831"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027EFE92"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53</w:t>
            </w:r>
          </w:p>
        </w:tc>
        <w:tc>
          <w:tcPr>
            <w:tcW w:w="906"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5CF8D21F"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53</w:t>
            </w:r>
          </w:p>
        </w:tc>
        <w:tc>
          <w:tcPr>
            <w:tcW w:w="1107"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50A1DA1C"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1,0</w:t>
            </w:r>
          </w:p>
        </w:tc>
        <w:tc>
          <w:tcPr>
            <w:tcW w:w="682"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6C3955C3"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0</w:t>
            </w:r>
          </w:p>
        </w:tc>
      </w:tr>
      <w:tr w:rsidRPr="00AE1B2B" w:rsidR="00AE1B2B" w:rsidTr="00825416" w14:paraId="2974340D" w14:textId="77777777">
        <w:trPr>
          <w:trHeight w:val="290"/>
        </w:trPr>
        <w:tc>
          <w:tcPr>
            <w:tcW w:w="1474" w:type="pct"/>
            <w:tcBorders>
              <w:top w:val="nil"/>
              <w:left w:val="single" w:color="auto" w:sz="4" w:space="0"/>
              <w:bottom w:val="single" w:color="auto" w:sz="4" w:space="0"/>
              <w:right w:val="single" w:color="auto" w:sz="4" w:space="0"/>
            </w:tcBorders>
            <w:shd w:val="clear" w:color="auto" w:fill="auto"/>
            <w:noWrap/>
            <w:hideMark/>
          </w:tcPr>
          <w:p w:rsidRPr="00AE1B2B" w:rsidR="009D3FB5" w:rsidP="00163B94" w:rsidRDefault="009D3FB5" w14:paraId="71FC93A4" w14:textId="77777777">
            <w:pPr>
              <w:spacing w:before="120" w:after="120"/>
              <w:rPr>
                <w:rFonts w:ascii="Times New Roman" w:hAnsi="Times New Roman" w:eastAsia="Times New Roman" w:cs="Times New Roman"/>
                <w:lang w:eastAsia="es-CR"/>
              </w:rPr>
            </w:pPr>
            <w:r w:rsidRPr="00AE1B2B">
              <w:rPr>
                <w:rFonts w:ascii="Times New Roman" w:hAnsi="Times New Roman" w:cs="Times New Roman"/>
              </w:rPr>
              <w:lastRenderedPageBreak/>
              <w:t>Ejecución de la Pena</w:t>
            </w:r>
          </w:p>
        </w:tc>
        <w:tc>
          <w:tcPr>
            <w:tcW w:w="831"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01B8F9E3"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4</w:t>
            </w:r>
          </w:p>
        </w:tc>
        <w:tc>
          <w:tcPr>
            <w:tcW w:w="906"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30571DF5"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4</w:t>
            </w:r>
          </w:p>
        </w:tc>
        <w:tc>
          <w:tcPr>
            <w:tcW w:w="1107"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19250518"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1,0</w:t>
            </w:r>
          </w:p>
        </w:tc>
        <w:tc>
          <w:tcPr>
            <w:tcW w:w="682"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3C411FF8"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0</w:t>
            </w:r>
          </w:p>
        </w:tc>
      </w:tr>
      <w:tr w:rsidRPr="00AE1B2B" w:rsidR="00AE1B2B" w:rsidTr="00825416" w14:paraId="578DFED0" w14:textId="77777777">
        <w:trPr>
          <w:trHeight w:val="290"/>
        </w:trPr>
        <w:tc>
          <w:tcPr>
            <w:tcW w:w="1474" w:type="pct"/>
            <w:tcBorders>
              <w:top w:val="nil"/>
              <w:left w:val="single" w:color="auto" w:sz="4" w:space="0"/>
              <w:bottom w:val="single" w:color="auto" w:sz="4" w:space="0"/>
              <w:right w:val="single" w:color="auto" w:sz="4" w:space="0"/>
            </w:tcBorders>
            <w:shd w:val="clear" w:color="auto" w:fill="auto"/>
            <w:noWrap/>
            <w:hideMark/>
          </w:tcPr>
          <w:p w:rsidRPr="00AE1B2B" w:rsidR="009D3FB5" w:rsidP="00163B94" w:rsidRDefault="009D3FB5" w14:paraId="69FDB115" w14:textId="77777777">
            <w:pPr>
              <w:spacing w:before="120" w:after="120"/>
              <w:rPr>
                <w:rFonts w:ascii="Times New Roman" w:hAnsi="Times New Roman" w:eastAsia="Times New Roman" w:cs="Times New Roman"/>
                <w:lang w:eastAsia="es-CR"/>
              </w:rPr>
            </w:pPr>
            <w:r w:rsidRPr="00AE1B2B">
              <w:rPr>
                <w:rFonts w:ascii="Times New Roman" w:hAnsi="Times New Roman" w:cs="Times New Roman"/>
              </w:rPr>
              <w:t>Ejecución Penal Juvenil</w:t>
            </w:r>
          </w:p>
        </w:tc>
        <w:tc>
          <w:tcPr>
            <w:tcW w:w="831"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447F7514"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906"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68BB632B"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1107"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77D85FD4"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1,0</w:t>
            </w:r>
          </w:p>
        </w:tc>
        <w:tc>
          <w:tcPr>
            <w:tcW w:w="682"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42E147D8"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0</w:t>
            </w:r>
          </w:p>
        </w:tc>
      </w:tr>
      <w:tr w:rsidRPr="00AE1B2B" w:rsidR="00AE1B2B" w:rsidTr="00825416" w14:paraId="71DBD1E5" w14:textId="77777777">
        <w:trPr>
          <w:trHeight w:val="290"/>
        </w:trPr>
        <w:tc>
          <w:tcPr>
            <w:tcW w:w="1474" w:type="pct"/>
            <w:tcBorders>
              <w:top w:val="nil"/>
              <w:left w:val="single" w:color="auto" w:sz="4" w:space="0"/>
              <w:bottom w:val="single" w:color="auto" w:sz="4" w:space="0"/>
              <w:right w:val="single" w:color="auto" w:sz="4" w:space="0"/>
            </w:tcBorders>
            <w:shd w:val="clear" w:color="auto" w:fill="auto"/>
            <w:noWrap/>
            <w:hideMark/>
          </w:tcPr>
          <w:p w:rsidRPr="00AE1B2B" w:rsidR="009D3FB5" w:rsidP="00163B94" w:rsidRDefault="009D3FB5" w14:paraId="7D754721" w14:textId="77777777">
            <w:pPr>
              <w:spacing w:before="120" w:after="120"/>
              <w:jc w:val="right"/>
              <w:rPr>
                <w:rFonts w:ascii="Times New Roman" w:hAnsi="Times New Roman" w:eastAsia="Times New Roman" w:cs="Times New Roman"/>
                <w:b/>
                <w:bCs/>
                <w:lang w:eastAsia="es-CR"/>
              </w:rPr>
            </w:pPr>
            <w:r w:rsidRPr="00AE1B2B">
              <w:rPr>
                <w:rFonts w:ascii="Times New Roman" w:hAnsi="Times New Roman" w:cs="Times New Roman"/>
                <w:b/>
                <w:bCs/>
              </w:rPr>
              <w:t>Total</w:t>
            </w:r>
          </w:p>
        </w:tc>
        <w:tc>
          <w:tcPr>
            <w:tcW w:w="831"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1736A777"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cs="Times New Roman"/>
                <w:b/>
                <w:bCs/>
              </w:rPr>
              <w:t>786</w:t>
            </w:r>
          </w:p>
        </w:tc>
        <w:tc>
          <w:tcPr>
            <w:tcW w:w="906"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26C3380E"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cs="Times New Roman"/>
                <w:b/>
                <w:bCs/>
              </w:rPr>
              <w:t>857</w:t>
            </w:r>
          </w:p>
        </w:tc>
        <w:tc>
          <w:tcPr>
            <w:tcW w:w="1107"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2A4A30ED"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cs="Times New Roman"/>
                <w:b/>
                <w:bCs/>
              </w:rPr>
              <w:t>1,1</w:t>
            </w:r>
          </w:p>
        </w:tc>
        <w:tc>
          <w:tcPr>
            <w:tcW w:w="682" w:type="pct"/>
            <w:tcBorders>
              <w:top w:val="nil"/>
              <w:left w:val="nil"/>
              <w:bottom w:val="single" w:color="auto" w:sz="4" w:space="0"/>
              <w:right w:val="single" w:color="auto" w:sz="4" w:space="0"/>
            </w:tcBorders>
            <w:shd w:val="clear" w:color="auto" w:fill="auto"/>
            <w:noWrap/>
            <w:hideMark/>
          </w:tcPr>
          <w:p w:rsidRPr="00AE1B2B" w:rsidR="009D3FB5" w:rsidP="00163B94" w:rsidRDefault="009D3FB5" w14:paraId="7B43C4A4"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cs="Times New Roman"/>
                <w:b/>
                <w:bCs/>
              </w:rPr>
              <w:t>71</w:t>
            </w:r>
          </w:p>
        </w:tc>
      </w:tr>
    </w:tbl>
    <w:p w:rsidRPr="00AE1B2B" w:rsidR="009D3FB5" w:rsidP="00163B94" w:rsidRDefault="009D3FB5" w14:paraId="19102406" w14:textId="77138AAA">
      <w:pPr>
        <w:spacing w:before="120" w:after="120"/>
        <w:ind w:left="851" w:right="851" w:firstLine="709"/>
        <w:jc w:val="both"/>
        <w:rPr>
          <w:rFonts w:ascii="Times New Roman" w:hAnsi="Times New Roman" w:eastAsia="Arial" w:cs="Times New Roman"/>
          <w:sz w:val="20"/>
          <w:szCs w:val="20"/>
        </w:rPr>
      </w:pPr>
      <w:r w:rsidRPr="00AE1B2B">
        <w:rPr>
          <w:rFonts w:ascii="Times New Roman" w:hAnsi="Times New Roman" w:eastAsia="Arial" w:cs="Times New Roman"/>
          <w:b/>
          <w:bCs/>
          <w:sz w:val="20"/>
          <w:szCs w:val="20"/>
        </w:rPr>
        <w:t>Fuente:</w:t>
      </w:r>
      <w:r w:rsidRPr="00AE1B2B">
        <w:rPr>
          <w:rFonts w:ascii="Times New Roman" w:hAnsi="Times New Roman" w:eastAsia="Arial" w:cs="Times New Roman"/>
          <w:sz w:val="20"/>
          <w:szCs w:val="20"/>
        </w:rPr>
        <w:t xml:space="preserve"> Subproceso de Modernización Institucional de la Dirección de Planificación, con datos facilitados por la Administración de la Defensa Pública.</w:t>
      </w:r>
    </w:p>
    <w:p w:rsidRPr="00AE1B2B" w:rsidR="00825416" w:rsidP="00163B94" w:rsidRDefault="00825416" w14:paraId="43BB845C" w14:textId="77777777">
      <w:pPr>
        <w:spacing w:before="120" w:after="120"/>
        <w:ind w:left="851" w:right="851" w:firstLine="709"/>
        <w:jc w:val="both"/>
        <w:rPr>
          <w:rFonts w:ascii="Times New Roman" w:hAnsi="Times New Roman" w:eastAsia="Arial" w:cs="Times New Roman"/>
          <w:sz w:val="20"/>
          <w:szCs w:val="20"/>
        </w:rPr>
      </w:pPr>
    </w:p>
    <w:p w:rsidRPr="00AE1B2B" w:rsidR="009D3FB5" w:rsidP="00163B94" w:rsidRDefault="009D3FB5" w14:paraId="1B42A7F7" w14:textId="77777777">
      <w:pPr>
        <w:spacing w:before="120" w:after="120"/>
        <w:ind w:left="851" w:right="851" w:firstLine="709"/>
        <w:jc w:val="both"/>
        <w:rPr>
          <w:rFonts w:ascii="Times New Roman" w:hAnsi="Times New Roman" w:cs="Times New Roman"/>
        </w:rPr>
      </w:pPr>
      <w:r w:rsidRPr="00AE1B2B">
        <w:rPr>
          <w:rFonts w:ascii="Times New Roman" w:hAnsi="Times New Roman" w:cs="Times New Roman"/>
        </w:rPr>
        <w:t>Con base en la tabla anterior, se puede observar que, un proceso (</w:t>
      </w:r>
      <w:r w:rsidRPr="00AE1B2B">
        <w:rPr>
          <w:rFonts w:ascii="Times New Roman" w:hAnsi="Times New Roman" w:cs="Times New Roman"/>
          <w:i/>
          <w:iCs/>
        </w:rPr>
        <w:t>expediente</w:t>
      </w:r>
      <w:r w:rsidRPr="00AE1B2B">
        <w:rPr>
          <w:rFonts w:ascii="Times New Roman" w:hAnsi="Times New Roman" w:cs="Times New Roman"/>
        </w:rPr>
        <w:t xml:space="preserve">) mantiene en promedio 1,1 personas usuarias indígenas como intervinientes, en los cuales hay 71 personas usuarias indígenas en calidad de interviniente en procesos donde hay dos o más personas indígenas intervinientes. </w:t>
      </w:r>
    </w:p>
    <w:p w:rsidRPr="00AE1B2B" w:rsidR="009D3FB5" w:rsidP="00163B94" w:rsidRDefault="009D3FB5" w14:paraId="67326188" w14:textId="77777777">
      <w:pPr>
        <w:spacing w:before="120" w:after="120"/>
        <w:ind w:left="851" w:right="851" w:firstLine="709"/>
        <w:jc w:val="both"/>
        <w:rPr>
          <w:rFonts w:ascii="Times New Roman" w:hAnsi="Times New Roman" w:eastAsia="Arial" w:cs="Times New Roman"/>
        </w:rPr>
      </w:pPr>
      <w:r w:rsidRPr="00AE1B2B">
        <w:rPr>
          <w:rFonts w:ascii="Times New Roman" w:hAnsi="Times New Roman" w:eastAsia="Arial" w:cs="Times New Roman"/>
        </w:rPr>
        <w:t>Haciendo la segregación por materia, se evidencia que, de los asuntos que ingresaron de octubre de 2018 a setiembre 2019, la materia penal mantiene la mayor proporción de cantidad de personas usuarias indígenas por expediente (</w:t>
      </w:r>
      <w:r w:rsidRPr="00AE1B2B">
        <w:rPr>
          <w:rFonts w:ascii="Times New Roman" w:hAnsi="Times New Roman" w:eastAsia="Arial" w:cs="Times New Roman"/>
          <w:b/>
          <w:bCs/>
        </w:rPr>
        <w:t>1,3</w:t>
      </w:r>
      <w:r w:rsidRPr="00AE1B2B">
        <w:rPr>
          <w:rFonts w:ascii="Times New Roman" w:hAnsi="Times New Roman" w:eastAsia="Arial" w:cs="Times New Roman"/>
        </w:rPr>
        <w:t>); es decir, hay 54 personas usuarias indígenas que se mantienen en procesos con dos o más intervinientes. Aunado a lo anterior, materia agraria y contravencional mantiene un promedio de 1,2 personas usuarias indígenas por proceso, pero 12 y 3 personas, respectivamente, se mantienen en asuntos con dos o más intervinientes. Las demás materias mantienen una persona indígena interviniente por cada expediente, lo anterior implica que sólo en casos atípicos (</w:t>
      </w:r>
      <w:r w:rsidRPr="00AE1B2B">
        <w:rPr>
          <w:rFonts w:ascii="Times New Roman" w:hAnsi="Times New Roman" w:eastAsia="Arial" w:cs="Times New Roman"/>
          <w:i/>
          <w:iCs/>
        </w:rPr>
        <w:t>poco recuentes</w:t>
      </w:r>
      <w:r w:rsidRPr="00AE1B2B">
        <w:rPr>
          <w:rFonts w:ascii="Times New Roman" w:hAnsi="Times New Roman" w:eastAsia="Arial" w:cs="Times New Roman"/>
        </w:rPr>
        <w:t xml:space="preserve">) es que una persona usuaria indígena interviene en un expediente con dos o más intervinientes. </w:t>
      </w:r>
    </w:p>
    <w:p w:rsidRPr="00AE1B2B" w:rsidR="009D3FB5" w:rsidP="00163B94" w:rsidRDefault="009D3FB5" w14:paraId="12D47E18" w14:textId="77777777">
      <w:pPr>
        <w:spacing w:before="120" w:after="120"/>
        <w:ind w:left="851" w:right="851" w:firstLine="709"/>
        <w:jc w:val="both"/>
        <w:rPr>
          <w:rFonts w:ascii="Times New Roman" w:hAnsi="Times New Roman" w:eastAsia="Arial" w:cs="Times New Roman"/>
        </w:rPr>
      </w:pPr>
      <w:r w:rsidRPr="00AE1B2B">
        <w:rPr>
          <w:rFonts w:ascii="Times New Roman" w:hAnsi="Times New Roman" w:eastAsia="Arial" w:cs="Times New Roman"/>
        </w:rPr>
        <w:t xml:space="preserve">Es importante resaltar que, este comportamiento </w:t>
      </w:r>
      <w:r w:rsidRPr="00AE1B2B">
        <w:rPr>
          <w:rFonts w:ascii="Times New Roman" w:hAnsi="Times New Roman" w:eastAsia="Arial" w:cs="Times New Roman"/>
          <w:b/>
          <w:bCs/>
          <w:u w:val="single"/>
        </w:rPr>
        <w:t>se mantiene constante en el tiempo</w:t>
      </w:r>
      <w:r w:rsidRPr="00AE1B2B">
        <w:rPr>
          <w:rFonts w:ascii="Times New Roman" w:hAnsi="Times New Roman" w:eastAsia="Arial" w:cs="Times New Roman"/>
        </w:rPr>
        <w:t>, ya que la Dirección de Planificación ha realizado dos informes técnicos (</w:t>
      </w:r>
      <w:r w:rsidRPr="00AE1B2B">
        <w:rPr>
          <w:rFonts w:ascii="Times New Roman" w:hAnsi="Times New Roman" w:eastAsia="Arial" w:cs="Times New Roman"/>
          <w:i/>
          <w:iCs/>
        </w:rPr>
        <w:t>el 634-PLA-RH-MI-2019 y el 507-PLA-RH-MI-2020</w:t>
      </w:r>
      <w:r w:rsidRPr="00AE1B2B">
        <w:rPr>
          <w:rFonts w:ascii="Times New Roman" w:hAnsi="Times New Roman" w:eastAsia="Arial" w:cs="Times New Roman"/>
        </w:rPr>
        <w:t>) donde se infiere científicamente el promedio de personas usuarias indígenas que interviene por cada proceso, desde que se promulgó la Ley 9593.</w:t>
      </w:r>
    </w:p>
    <w:p w:rsidRPr="00AE1B2B" w:rsidR="009D3FB5" w:rsidP="00163B94" w:rsidRDefault="009D3FB5" w14:paraId="7CF61078" w14:textId="182DA7C7">
      <w:pPr>
        <w:spacing w:before="120" w:after="120"/>
        <w:ind w:left="851" w:right="851" w:firstLine="709"/>
        <w:jc w:val="both"/>
        <w:rPr>
          <w:rFonts w:ascii="Times New Roman" w:hAnsi="Times New Roman" w:eastAsia="Arial" w:cs="Times New Roman"/>
        </w:rPr>
      </w:pPr>
      <w:r w:rsidRPr="00AE1B2B">
        <w:rPr>
          <w:rFonts w:ascii="Times New Roman" w:hAnsi="Times New Roman" w:eastAsia="Arial" w:cs="Times New Roman"/>
        </w:rPr>
        <w:t>Ahora bien, se tiene como excepción algunos asuntos conocidos dentro de la Defensa Pública, donde la Supervisora de Asuntos Indígenas indica que intervienen gran cantidad de personas usuarias indígenas y por ello, se toma en consideración dentro del análisis actual. Sin embargo, con base en el informe 634-PLA-RH-MI-2019, el informe 507-PLA-RH-MI-2020 y el presente análisis estadístico, se infiere técnicamente que dichos expedientes responden a casos aislados y se encuentran fuera de los límites de control, debido a que en el amplio periodo de tiempo de estudio no se refleja el comportamiento descrito (</w:t>
      </w:r>
      <w:r w:rsidRPr="00AE1B2B">
        <w:rPr>
          <w:rFonts w:ascii="Times New Roman" w:hAnsi="Times New Roman" w:eastAsia="Arial" w:cs="Times New Roman"/>
          <w:i/>
          <w:iCs/>
        </w:rPr>
        <w:t>desde que entró en vigencia la Ley 9593</w:t>
      </w:r>
      <w:r w:rsidRPr="00AE1B2B">
        <w:rPr>
          <w:rFonts w:ascii="Times New Roman" w:hAnsi="Times New Roman" w:eastAsia="Arial" w:cs="Times New Roman"/>
        </w:rPr>
        <w:t>).</w:t>
      </w:r>
    </w:p>
    <w:p w:rsidRPr="00AE1B2B" w:rsidR="009D3FB5" w:rsidP="00163B94" w:rsidRDefault="009D3FB5" w14:paraId="2A8A393D" w14:textId="77777777">
      <w:pPr>
        <w:spacing w:before="120" w:after="120"/>
        <w:ind w:left="851" w:right="851" w:firstLine="709"/>
        <w:jc w:val="both"/>
        <w:rPr>
          <w:rFonts w:ascii="Times New Roman" w:hAnsi="Times New Roman" w:eastAsia="Arial" w:cs="Times New Roman"/>
        </w:rPr>
      </w:pPr>
    </w:p>
    <w:p w:rsidRPr="00AE1B2B" w:rsidR="009D3FB5" w:rsidP="00163B94" w:rsidRDefault="009D3FB5" w14:paraId="06E2BCD0" w14:textId="77777777">
      <w:pPr>
        <w:spacing w:before="120" w:after="120"/>
        <w:ind w:left="851" w:right="851" w:firstLine="709"/>
        <w:jc w:val="both"/>
        <w:rPr>
          <w:rFonts w:ascii="Times New Roman" w:hAnsi="Times New Roman" w:cs="Times New Roman"/>
          <w:b/>
        </w:rPr>
      </w:pPr>
      <w:r w:rsidRPr="00AE1B2B">
        <w:rPr>
          <w:rFonts w:ascii="Times New Roman" w:hAnsi="Times New Roman" w:cs="Times New Roman"/>
          <w:b/>
        </w:rPr>
        <w:t>Análisis de la entrada de asuntos (</w:t>
      </w:r>
      <w:r w:rsidRPr="00AE1B2B">
        <w:rPr>
          <w:rFonts w:ascii="Times New Roman" w:hAnsi="Times New Roman" w:cs="Times New Roman"/>
          <w:b/>
          <w:i/>
          <w:iCs/>
        </w:rPr>
        <w:t>expedientes</w:t>
      </w:r>
      <w:r w:rsidRPr="00AE1B2B">
        <w:rPr>
          <w:rFonts w:ascii="Times New Roman" w:hAnsi="Times New Roman" w:cs="Times New Roman"/>
          <w:b/>
        </w:rPr>
        <w:t>)</w:t>
      </w:r>
    </w:p>
    <w:p w:rsidRPr="00AE1B2B" w:rsidR="009D3FB5" w:rsidP="00163B94" w:rsidRDefault="009D3FB5" w14:paraId="43723CB9" w14:textId="39F3BA9B">
      <w:pPr>
        <w:spacing w:before="120" w:after="120"/>
        <w:ind w:left="851" w:right="851" w:firstLine="709"/>
        <w:jc w:val="both"/>
        <w:rPr>
          <w:rFonts w:ascii="Times New Roman" w:hAnsi="Times New Roman" w:eastAsia="Arial" w:cs="Times New Roman"/>
        </w:rPr>
      </w:pPr>
      <w:r w:rsidRPr="00AE1B2B">
        <w:rPr>
          <w:rFonts w:ascii="Times New Roman" w:hAnsi="Times New Roman" w:eastAsia="Arial" w:cs="Times New Roman"/>
        </w:rPr>
        <w:t>Con base en la data estadística facilitada por la Administración de la Defensa Pública el año anterior (</w:t>
      </w:r>
      <w:r w:rsidRPr="00AE1B2B">
        <w:rPr>
          <w:rFonts w:ascii="Times New Roman" w:hAnsi="Times New Roman" w:eastAsia="Arial" w:cs="Times New Roman"/>
          <w:i/>
          <w:iCs/>
        </w:rPr>
        <w:t>informe de presupuesto del año anterior: 507-PLA-RH-MI-2020</w:t>
      </w:r>
      <w:r w:rsidRPr="00AE1B2B">
        <w:rPr>
          <w:rFonts w:ascii="Times New Roman" w:hAnsi="Times New Roman" w:eastAsia="Arial" w:cs="Times New Roman"/>
        </w:rPr>
        <w:t>) y la información suministrada el presente año, se analiza el comportamiento de la entrada de asuntos por materia, para el primero año de entrada en vigencia de la Ley 9593 (</w:t>
      </w:r>
      <w:r w:rsidRPr="00AE1B2B">
        <w:rPr>
          <w:rFonts w:ascii="Times New Roman" w:hAnsi="Times New Roman" w:eastAsia="Arial" w:cs="Times New Roman"/>
          <w:i/>
          <w:iCs/>
        </w:rPr>
        <w:t>de octubre 2018 a setiembre 2019</w:t>
      </w:r>
      <w:r w:rsidRPr="00AE1B2B">
        <w:rPr>
          <w:rFonts w:ascii="Times New Roman" w:hAnsi="Times New Roman" w:eastAsia="Arial" w:cs="Times New Roman"/>
        </w:rPr>
        <w:t>) y, para el segundo año (</w:t>
      </w:r>
      <w:r w:rsidRPr="00AE1B2B">
        <w:rPr>
          <w:rFonts w:ascii="Times New Roman" w:hAnsi="Times New Roman" w:eastAsia="Arial" w:cs="Times New Roman"/>
          <w:i/>
          <w:iCs/>
        </w:rPr>
        <w:t>de octubre 2018 a setiembre 2019</w:t>
      </w:r>
      <w:r w:rsidRPr="00AE1B2B">
        <w:rPr>
          <w:rFonts w:ascii="Times New Roman" w:hAnsi="Times New Roman" w:eastAsia="Arial" w:cs="Times New Roman"/>
        </w:rPr>
        <w:t>).</w:t>
      </w:r>
    </w:p>
    <w:p w:rsidRPr="00AE1B2B" w:rsidR="00825416" w:rsidP="00163B94" w:rsidRDefault="00825416" w14:paraId="564A99C9" w14:textId="77777777">
      <w:pPr>
        <w:spacing w:before="120" w:after="120"/>
        <w:ind w:left="851" w:right="851" w:firstLine="709"/>
        <w:jc w:val="both"/>
        <w:rPr>
          <w:rFonts w:ascii="Times New Roman" w:hAnsi="Times New Roman" w:eastAsia="Arial" w:cs="Times New Roman"/>
        </w:rPr>
      </w:pPr>
    </w:p>
    <w:p w:rsidRPr="00AE1B2B" w:rsidR="009D3FB5" w:rsidP="00163B94" w:rsidRDefault="009D3FB5" w14:paraId="109051C9" w14:textId="709278E2">
      <w:pPr>
        <w:spacing w:before="120" w:after="120"/>
        <w:ind w:left="851" w:right="851" w:firstLine="709"/>
        <w:jc w:val="both"/>
        <w:rPr>
          <w:rFonts w:ascii="Times New Roman" w:hAnsi="Times New Roman" w:cs="Times New Roman"/>
        </w:rPr>
      </w:pPr>
      <w:r w:rsidRPr="00AE1B2B">
        <w:rPr>
          <w:rFonts w:ascii="Times New Roman" w:hAnsi="Times New Roman" w:eastAsia="Arial" w:cs="Times New Roman"/>
        </w:rPr>
        <w:t xml:space="preserve">Es importante aclarar que, en consulta al Licenciado </w:t>
      </w:r>
      <w:r w:rsidRPr="00AE1B2B">
        <w:rPr>
          <w:rFonts w:ascii="Times New Roman" w:hAnsi="Times New Roman" w:cs="Times New Roman"/>
        </w:rPr>
        <w:t>Esteban Arguedas Madrigal, Coordinador de la Unidad Estadística de la Defensa Pública; la información refiere a la entrada de asuntos que siempre ha sido competencia del servicio de la Defensa Pública, no contemplan los asuntos propios del impacto de la Ley 9593 de Acceso a la Justicia a Pueblos Indígenas. Lo anterior debido a que la Administración de la Defensa Pública cuenta con la imposibilidad de calcular dicha información, únicamente cuenta con las fórmulas estadísticas para determinar asuntos activos (</w:t>
      </w:r>
      <w:r w:rsidRPr="00AE1B2B">
        <w:rPr>
          <w:rFonts w:ascii="Times New Roman" w:hAnsi="Times New Roman" w:cs="Times New Roman"/>
          <w:i/>
          <w:iCs/>
        </w:rPr>
        <w:t>circulante</w:t>
      </w:r>
      <w:r w:rsidRPr="00AE1B2B">
        <w:rPr>
          <w:rFonts w:ascii="Times New Roman" w:hAnsi="Times New Roman" w:cs="Times New Roman"/>
        </w:rPr>
        <w:t>) al cierre de un mes especifico.</w:t>
      </w:r>
    </w:p>
    <w:p w:rsidRPr="00AE1B2B" w:rsidR="00825416" w:rsidP="00163B94" w:rsidRDefault="00825416" w14:paraId="3E346DD6" w14:textId="77777777">
      <w:pPr>
        <w:spacing w:before="120" w:after="120"/>
        <w:ind w:left="851" w:right="851" w:firstLine="709"/>
        <w:jc w:val="both"/>
        <w:rPr>
          <w:rFonts w:ascii="Times New Roman" w:hAnsi="Times New Roman" w:cs="Times New Roman"/>
        </w:rPr>
      </w:pPr>
    </w:p>
    <w:p w:rsidRPr="00AE1B2B" w:rsidR="009D3FB5" w:rsidP="00163B94" w:rsidRDefault="009D3FB5" w14:paraId="0B9E57ED" w14:textId="7C668EC5">
      <w:pPr>
        <w:spacing w:before="120" w:after="120"/>
        <w:ind w:left="851" w:right="851" w:firstLine="709"/>
        <w:jc w:val="both"/>
        <w:rPr>
          <w:rFonts w:ascii="Times New Roman" w:hAnsi="Times New Roman" w:cs="Times New Roman"/>
        </w:rPr>
      </w:pPr>
      <w:r w:rsidRPr="00AE1B2B">
        <w:rPr>
          <w:rFonts w:ascii="Times New Roman" w:hAnsi="Times New Roman" w:cs="Times New Roman"/>
        </w:rPr>
        <w:t>Adicionalmente, es importante señalar que, dado a que los datos entrados corresponden a las materias que atendía la Defensa Pública antes de la promulgación de la Ley 9395 de Acceso a la Justicia de Pueblos Indígenas, se extrae del análisis los expedientes reportados de “</w:t>
      </w:r>
      <w:r w:rsidRPr="00AE1B2B">
        <w:rPr>
          <w:rFonts w:ascii="Times New Roman" w:hAnsi="Times New Roman" w:cs="Times New Roman"/>
          <w:i/>
          <w:iCs/>
        </w:rPr>
        <w:t>Familia</w:t>
      </w:r>
      <w:r w:rsidRPr="00AE1B2B">
        <w:rPr>
          <w:rFonts w:ascii="Times New Roman" w:hAnsi="Times New Roman" w:cs="Times New Roman"/>
        </w:rPr>
        <w:t xml:space="preserve">”, ya que dicha materia corresponde a las nuevas responsabilidades impuestas por la ley en mención y, esta es una de las inconsistencias detectadas por la Dirección de Planificación durante el análisis de la información. </w:t>
      </w:r>
      <w:r w:rsidRPr="00AE1B2B">
        <w:rPr>
          <w:rFonts w:ascii="Times New Roman" w:hAnsi="Times New Roman" w:cs="Times New Roman"/>
          <w:b/>
          <w:bCs/>
        </w:rPr>
        <w:t>Ver apéndice 2</w:t>
      </w:r>
      <w:r w:rsidRPr="00AE1B2B">
        <w:rPr>
          <w:rFonts w:ascii="Times New Roman" w:hAnsi="Times New Roman" w:cs="Times New Roman"/>
        </w:rPr>
        <w:t>.</w:t>
      </w:r>
    </w:p>
    <w:p w:rsidRPr="00AE1B2B" w:rsidR="00825416" w:rsidP="00163B94" w:rsidRDefault="00825416" w14:paraId="05800837" w14:textId="77777777">
      <w:pPr>
        <w:spacing w:before="120" w:after="120"/>
        <w:ind w:left="851" w:right="851" w:firstLine="709"/>
        <w:jc w:val="both"/>
        <w:rPr>
          <w:rFonts w:ascii="Times New Roman" w:hAnsi="Times New Roman" w:cs="Times New Roman"/>
        </w:rPr>
      </w:pPr>
    </w:p>
    <w:p w:rsidRPr="00AE1B2B" w:rsidR="009D3FB5" w:rsidP="00163B94" w:rsidRDefault="009D3FB5" w14:paraId="549FD2A6" w14:textId="1BC7E825">
      <w:pPr>
        <w:spacing w:before="120" w:after="120"/>
        <w:ind w:left="851" w:right="851" w:firstLine="709"/>
        <w:jc w:val="both"/>
        <w:rPr>
          <w:rFonts w:ascii="Times New Roman" w:hAnsi="Times New Roman" w:cs="Times New Roman"/>
        </w:rPr>
      </w:pPr>
      <w:r w:rsidRPr="00AE1B2B">
        <w:rPr>
          <w:rFonts w:ascii="Times New Roman" w:hAnsi="Times New Roman" w:cs="Times New Roman"/>
        </w:rPr>
        <w:t>Con la intención de conocer dónde se concentra la mayor proporción de asuntos entrados en la Defensa Pública por materia, en la siguiente figura se ilustra la cantidad de procesos (</w:t>
      </w:r>
      <w:r w:rsidRPr="00AE1B2B">
        <w:rPr>
          <w:rFonts w:ascii="Times New Roman" w:hAnsi="Times New Roman" w:cs="Times New Roman"/>
          <w:i/>
          <w:iCs/>
        </w:rPr>
        <w:t>expedientes</w:t>
      </w:r>
      <w:r w:rsidRPr="00AE1B2B">
        <w:rPr>
          <w:rFonts w:ascii="Times New Roman" w:hAnsi="Times New Roman" w:cs="Times New Roman"/>
        </w:rPr>
        <w:t>) entrados en el segundo año posterior a la entrada en vigencia de la Ley 9593 de Acceso a la Justicia a Pueblos Indígenas (</w:t>
      </w:r>
      <w:r w:rsidRPr="00AE1B2B">
        <w:rPr>
          <w:rFonts w:ascii="Times New Roman" w:hAnsi="Times New Roman" w:cs="Times New Roman"/>
          <w:i/>
          <w:iCs/>
        </w:rPr>
        <w:t>de octubre 2019 a setiembre 2020</w:t>
      </w:r>
      <w:r w:rsidRPr="00AE1B2B">
        <w:rPr>
          <w:rFonts w:ascii="Times New Roman" w:hAnsi="Times New Roman" w:cs="Times New Roman"/>
        </w:rPr>
        <w:t>):</w:t>
      </w:r>
    </w:p>
    <w:p w:rsidRPr="00AE1B2B" w:rsidR="00825416" w:rsidP="00163B94" w:rsidRDefault="00825416" w14:paraId="45ECA230" w14:textId="3095FA21">
      <w:pPr>
        <w:spacing w:before="120" w:after="120"/>
        <w:ind w:left="851" w:right="851" w:firstLine="709"/>
        <w:jc w:val="both"/>
        <w:rPr>
          <w:rFonts w:ascii="Times New Roman" w:hAnsi="Times New Roman" w:cs="Times New Roman"/>
        </w:rPr>
      </w:pPr>
    </w:p>
    <w:p w:rsidRPr="00AE1B2B" w:rsidR="009D3FB5" w:rsidP="00163B94" w:rsidRDefault="009D3FB5" w14:paraId="126102F3" w14:textId="77777777">
      <w:pPr>
        <w:pStyle w:val="Descripcin"/>
        <w:keepNext/>
        <w:spacing w:before="120" w:after="120"/>
        <w:ind w:left="851" w:right="851" w:firstLine="709"/>
        <w:jc w:val="center"/>
        <w:rPr>
          <w:rFonts w:ascii="Times New Roman" w:hAnsi="Times New Roman" w:cs="Times New Roman"/>
          <w:sz w:val="22"/>
          <w:szCs w:val="22"/>
        </w:rPr>
      </w:pPr>
      <w:bookmarkStart w:name="_Ref63944307" w:id="41"/>
      <w:r w:rsidRPr="00AE1B2B">
        <w:rPr>
          <w:rFonts w:ascii="Times New Roman" w:hAnsi="Times New Roman" w:cs="Times New Roman"/>
          <w:sz w:val="22"/>
          <w:szCs w:val="22"/>
        </w:rPr>
        <w:t xml:space="preserve">Figura </w:t>
      </w:r>
      <w:r w:rsidRPr="00AE1B2B">
        <w:rPr>
          <w:rFonts w:ascii="Times New Roman" w:hAnsi="Times New Roman" w:cs="Times New Roman"/>
          <w:sz w:val="22"/>
          <w:szCs w:val="22"/>
        </w:rPr>
        <w:fldChar w:fldCharType="begin"/>
      </w:r>
      <w:r w:rsidRPr="00AE1B2B">
        <w:rPr>
          <w:rFonts w:ascii="Times New Roman" w:hAnsi="Times New Roman" w:cs="Times New Roman"/>
          <w:sz w:val="22"/>
          <w:szCs w:val="22"/>
        </w:rPr>
        <w:instrText xml:space="preserve"> SEQ Figura \* ARABIC </w:instrText>
      </w:r>
      <w:r w:rsidRPr="00AE1B2B">
        <w:rPr>
          <w:rFonts w:ascii="Times New Roman" w:hAnsi="Times New Roman" w:cs="Times New Roman"/>
          <w:sz w:val="22"/>
          <w:szCs w:val="22"/>
        </w:rPr>
        <w:fldChar w:fldCharType="separate"/>
      </w:r>
      <w:r w:rsidRPr="00AE1B2B">
        <w:rPr>
          <w:rFonts w:ascii="Times New Roman" w:hAnsi="Times New Roman" w:cs="Times New Roman"/>
          <w:noProof/>
          <w:sz w:val="22"/>
          <w:szCs w:val="22"/>
        </w:rPr>
        <w:t>1</w:t>
      </w:r>
      <w:r w:rsidRPr="00AE1B2B">
        <w:rPr>
          <w:rFonts w:ascii="Times New Roman" w:hAnsi="Times New Roman" w:cs="Times New Roman"/>
          <w:sz w:val="22"/>
          <w:szCs w:val="22"/>
        </w:rPr>
        <w:fldChar w:fldCharType="end"/>
      </w:r>
      <w:bookmarkEnd w:id="41"/>
    </w:p>
    <w:p w:rsidRPr="00AE1B2B" w:rsidR="009D3FB5" w:rsidP="00163B94" w:rsidRDefault="009D3FB5" w14:paraId="2EBAD32F" w14:textId="77777777">
      <w:pPr>
        <w:pStyle w:val="Descripcin"/>
        <w:keepNext/>
        <w:spacing w:before="120" w:after="120"/>
        <w:ind w:left="851" w:right="851" w:firstLine="709"/>
        <w:jc w:val="center"/>
        <w:rPr>
          <w:rFonts w:ascii="Times New Roman" w:hAnsi="Times New Roman" w:cs="Times New Roman"/>
          <w:sz w:val="22"/>
          <w:szCs w:val="22"/>
        </w:rPr>
      </w:pPr>
      <w:r w:rsidRPr="00AE1B2B">
        <w:rPr>
          <w:rFonts w:ascii="Times New Roman" w:hAnsi="Times New Roman" w:cs="Times New Roman"/>
          <w:sz w:val="22"/>
          <w:szCs w:val="22"/>
        </w:rPr>
        <w:t xml:space="preserve">Proporción de los asuntos entrados en la Defensa Pública, en el segundo de la entrada en vigencia de la Ley 9593 de Acceso a la Justicia a Pueblos Indígenas año </w:t>
      </w:r>
    </w:p>
    <w:p w:rsidRPr="00AE1B2B" w:rsidR="009D3FB5" w:rsidP="00163B94" w:rsidRDefault="009D3FB5" w14:paraId="504480AC" w14:textId="77777777">
      <w:pPr>
        <w:pStyle w:val="Descripcin"/>
        <w:keepNext/>
        <w:spacing w:before="120" w:after="120"/>
        <w:jc w:val="center"/>
        <w:rPr>
          <w:rFonts w:ascii="Times New Roman" w:hAnsi="Times New Roman" w:cs="Times New Roman"/>
          <w:sz w:val="22"/>
          <w:szCs w:val="22"/>
        </w:rPr>
      </w:pPr>
      <w:r w:rsidRPr="00AE1B2B">
        <w:rPr>
          <w:rFonts w:ascii="Times New Roman" w:hAnsi="Times New Roman" w:cs="Times New Roman"/>
          <w:sz w:val="22"/>
          <w:szCs w:val="22"/>
        </w:rPr>
        <w:t>(</w:t>
      </w:r>
      <w:r w:rsidRPr="00AE1B2B">
        <w:rPr>
          <w:rFonts w:ascii="Times New Roman" w:hAnsi="Times New Roman" w:cs="Times New Roman"/>
          <w:i/>
          <w:iCs/>
          <w:sz w:val="22"/>
          <w:szCs w:val="22"/>
        </w:rPr>
        <w:t>de octubre 2019 a setiembre 2020</w:t>
      </w:r>
      <w:r w:rsidRPr="00AE1B2B">
        <w:rPr>
          <w:rFonts w:ascii="Times New Roman" w:hAnsi="Times New Roman" w:cs="Times New Roman"/>
          <w:sz w:val="22"/>
          <w:szCs w:val="22"/>
        </w:rPr>
        <w:t xml:space="preserve">), segregado por materia </w:t>
      </w:r>
    </w:p>
    <w:p w:rsidRPr="00AE1B2B" w:rsidR="009D3FB5" w:rsidP="00163B94" w:rsidRDefault="009D3FB5" w14:paraId="6F093513" w14:textId="77777777">
      <w:pPr>
        <w:spacing w:before="120" w:after="120"/>
        <w:jc w:val="center"/>
        <w:rPr>
          <w:rFonts w:ascii="Times New Roman" w:hAnsi="Times New Roman" w:cs="Times New Roman"/>
        </w:rPr>
      </w:pPr>
      <w:r w:rsidRPr="00AE1B2B">
        <w:rPr>
          <w:rFonts w:ascii="Times New Roman" w:hAnsi="Times New Roman" w:cs="Times New Roman"/>
          <w:noProof/>
          <w:lang w:val="en-US"/>
        </w:rPr>
        <w:drawing>
          <wp:inline distT="0" distB="0" distL="0" distR="0" wp14:anchorId="4F3C324A" wp14:editId="5362163A">
            <wp:extent cx="5637819" cy="2461846"/>
            <wp:effectExtent l="0" t="0" r="1270" b="0"/>
            <wp:docPr id="1212768258" name="Imagen 1212768258"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258" name="Imagen 1212768258" descr="Gráfico, Gráfico circular&#10;&#10;Descripción generada automáticamente"/>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59692" cy="2471397"/>
                    </a:xfrm>
                    <a:prstGeom prst="rect">
                      <a:avLst/>
                    </a:prstGeom>
                    <a:noFill/>
                  </pic:spPr>
                </pic:pic>
              </a:graphicData>
            </a:graphic>
          </wp:inline>
        </w:drawing>
      </w:r>
    </w:p>
    <w:p w:rsidRPr="00AE1B2B" w:rsidR="009D3FB5" w:rsidP="00163B94" w:rsidRDefault="009D3FB5" w14:paraId="4F461E00" w14:textId="61FCDA11">
      <w:pPr>
        <w:spacing w:before="120" w:after="120"/>
        <w:rPr>
          <w:rFonts w:ascii="Times New Roman" w:hAnsi="Times New Roman" w:eastAsia="Arial" w:cs="Times New Roman"/>
          <w:sz w:val="20"/>
          <w:szCs w:val="20"/>
        </w:rPr>
      </w:pPr>
      <w:r w:rsidRPr="00AE1B2B">
        <w:rPr>
          <w:rFonts w:ascii="Times New Roman" w:hAnsi="Times New Roman" w:eastAsia="Arial" w:cs="Times New Roman"/>
          <w:b/>
          <w:bCs/>
          <w:sz w:val="20"/>
          <w:szCs w:val="20"/>
        </w:rPr>
        <w:t>Fuente:</w:t>
      </w:r>
      <w:r w:rsidRPr="00AE1B2B">
        <w:rPr>
          <w:rFonts w:ascii="Times New Roman" w:hAnsi="Times New Roman" w:eastAsia="Arial" w:cs="Times New Roman"/>
          <w:sz w:val="20"/>
          <w:szCs w:val="20"/>
        </w:rPr>
        <w:t xml:space="preserve"> Subproceso de Modernización Institucional de la Dirección de Planificación, con datos facilitados por la Administración de la Defensa Pública.</w:t>
      </w:r>
    </w:p>
    <w:p w:rsidRPr="00AE1B2B" w:rsidR="00753ECC" w:rsidP="00163B94" w:rsidRDefault="00753ECC" w14:paraId="3C46A308" w14:textId="77777777">
      <w:pPr>
        <w:spacing w:before="120" w:after="120"/>
        <w:rPr>
          <w:rFonts w:ascii="Times New Roman" w:hAnsi="Times New Roman" w:eastAsia="Arial" w:cs="Times New Roman"/>
          <w:sz w:val="20"/>
          <w:szCs w:val="20"/>
        </w:rPr>
      </w:pPr>
    </w:p>
    <w:p w:rsidRPr="00AE1B2B" w:rsidR="009D3FB5" w:rsidP="00163B94" w:rsidRDefault="009D3FB5" w14:paraId="4FF9C8D4" w14:textId="6BCA0BF4">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figura anterior instruye la concentración de asuntos entrados por materia, en el segundo año de la entrada en vigencia de la Ley 9593 de Acceso a la Justicia a Pueblos Indígenas (</w:t>
      </w:r>
      <w:r w:rsidRPr="00AE1B2B">
        <w:rPr>
          <w:rFonts w:ascii="Times New Roman" w:hAnsi="Times New Roman" w:cs="Times New Roman"/>
          <w:i/>
          <w:iCs/>
          <w:sz w:val="26"/>
          <w:szCs w:val="26"/>
        </w:rPr>
        <w:t>de octubre 2019 a setiembre 2020</w:t>
      </w:r>
      <w:r w:rsidRPr="00AE1B2B">
        <w:rPr>
          <w:rFonts w:ascii="Times New Roman" w:hAnsi="Times New Roman" w:cs="Times New Roman"/>
          <w:sz w:val="26"/>
          <w:szCs w:val="26"/>
        </w:rPr>
        <w:t>); donde se observa que el 80% de la entrada de asuntos se concentra en tres materias: Pensiones Alimentarias (</w:t>
      </w:r>
      <w:r w:rsidRPr="00AE1B2B">
        <w:rPr>
          <w:rFonts w:ascii="Times New Roman" w:hAnsi="Times New Roman" w:cs="Times New Roman"/>
          <w:b/>
          <w:bCs/>
          <w:i/>
          <w:iCs/>
          <w:sz w:val="26"/>
          <w:szCs w:val="26"/>
        </w:rPr>
        <w:t>44%</w:t>
      </w:r>
      <w:r w:rsidRPr="00AE1B2B">
        <w:rPr>
          <w:rFonts w:ascii="Times New Roman" w:hAnsi="Times New Roman" w:cs="Times New Roman"/>
          <w:sz w:val="26"/>
          <w:szCs w:val="26"/>
        </w:rPr>
        <w:t>), Penal Ordinario (</w:t>
      </w:r>
      <w:r w:rsidRPr="00AE1B2B">
        <w:rPr>
          <w:rFonts w:ascii="Times New Roman" w:hAnsi="Times New Roman" w:cs="Times New Roman"/>
          <w:b/>
          <w:bCs/>
          <w:i/>
          <w:iCs/>
          <w:sz w:val="26"/>
          <w:szCs w:val="26"/>
        </w:rPr>
        <w:t>27%</w:t>
      </w:r>
      <w:r w:rsidRPr="00AE1B2B">
        <w:rPr>
          <w:rFonts w:ascii="Times New Roman" w:hAnsi="Times New Roman" w:cs="Times New Roman"/>
          <w:sz w:val="26"/>
          <w:szCs w:val="26"/>
        </w:rPr>
        <w:t>) y Agrario (</w:t>
      </w:r>
      <w:r w:rsidRPr="00AE1B2B">
        <w:rPr>
          <w:rFonts w:ascii="Times New Roman" w:hAnsi="Times New Roman" w:cs="Times New Roman"/>
          <w:b/>
          <w:bCs/>
          <w:i/>
          <w:iCs/>
          <w:sz w:val="26"/>
          <w:szCs w:val="26"/>
        </w:rPr>
        <w:t>9%</w:t>
      </w:r>
      <w:r w:rsidRPr="00AE1B2B">
        <w:rPr>
          <w:rFonts w:ascii="Times New Roman" w:hAnsi="Times New Roman" w:cs="Times New Roman"/>
          <w:sz w:val="26"/>
          <w:szCs w:val="26"/>
        </w:rPr>
        <w:t>). El restante 20% que corresponde a la entrada del segundo año considera las materias encasilladas como “Otros” en la figura anterior, las cuales son: Penalización, Laboral, Penal Juvenil, Contravencional, Ejecución Penal Juvenil y Ejecución de la Pena (</w:t>
      </w:r>
      <w:r w:rsidRPr="00AE1B2B">
        <w:rPr>
          <w:rFonts w:ascii="Times New Roman" w:hAnsi="Times New Roman" w:cs="Times New Roman"/>
          <w:i/>
          <w:iCs/>
          <w:sz w:val="26"/>
          <w:szCs w:val="26"/>
        </w:rPr>
        <w:t>adultos</w:t>
      </w:r>
      <w:r w:rsidRPr="00AE1B2B">
        <w:rPr>
          <w:rFonts w:ascii="Times New Roman" w:hAnsi="Times New Roman" w:cs="Times New Roman"/>
          <w:sz w:val="26"/>
          <w:szCs w:val="26"/>
        </w:rPr>
        <w:t>).</w:t>
      </w:r>
    </w:p>
    <w:p w:rsidRPr="00AE1B2B" w:rsidR="00753ECC" w:rsidP="00163B94" w:rsidRDefault="00753ECC" w14:paraId="4139776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C9A5D42" w14:textId="7ECE129B">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 importante hacer mención que, en el informe de presupuesto del año anterior (</w:t>
      </w:r>
      <w:r w:rsidRPr="00AE1B2B">
        <w:rPr>
          <w:rFonts w:ascii="Times New Roman" w:hAnsi="Times New Roman" w:cs="Times New Roman"/>
          <w:i/>
          <w:iCs/>
          <w:sz w:val="26"/>
          <w:szCs w:val="26"/>
        </w:rPr>
        <w:t>507-PLA-RH-MI-2020</w:t>
      </w:r>
      <w:r w:rsidRPr="00AE1B2B">
        <w:rPr>
          <w:rFonts w:ascii="Times New Roman" w:hAnsi="Times New Roman" w:cs="Times New Roman"/>
          <w:sz w:val="26"/>
          <w:szCs w:val="26"/>
        </w:rPr>
        <w:t xml:space="preserve">) se obtuvo el mismo comportamiento en cuanto a la concentración del 80% de la totalidad de los asuntos entrados por materia. En ese sentido, se comprueba estadísticamente que la demanda de la Defensa Pública en la atención de las personas usuarias indígenas en calidad de interviniente se mantiene especialmente en materia </w:t>
      </w:r>
      <w:r w:rsidRPr="00AE1B2B">
        <w:rPr>
          <w:rFonts w:ascii="Times New Roman" w:hAnsi="Times New Roman" w:cs="Times New Roman"/>
          <w:sz w:val="26"/>
          <w:szCs w:val="26"/>
          <w:u w:val="single"/>
        </w:rPr>
        <w:t>alimenticia, penal y agraria</w:t>
      </w:r>
      <w:r w:rsidRPr="00AE1B2B">
        <w:rPr>
          <w:rFonts w:ascii="Times New Roman" w:hAnsi="Times New Roman" w:cs="Times New Roman"/>
          <w:sz w:val="26"/>
          <w:szCs w:val="26"/>
        </w:rPr>
        <w:t xml:space="preserve">. </w:t>
      </w:r>
    </w:p>
    <w:p w:rsidRPr="00AE1B2B" w:rsidR="00753ECC" w:rsidP="00163B94" w:rsidRDefault="00753ECC" w14:paraId="42ACB3F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8F88A91" w14:textId="768063FD">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Por otra parte, a nivel general, de la información suministrada por la Defensa Pública se puede extraer que, para el primero año posterior a la entrada en vigencia de la Ley 9593 de Acceso a la Justicia a Pueblos Indígenas (</w:t>
      </w:r>
      <w:r w:rsidRPr="00AE1B2B">
        <w:rPr>
          <w:rFonts w:ascii="Times New Roman" w:hAnsi="Times New Roman" w:cs="Times New Roman"/>
          <w:i/>
          <w:iCs/>
          <w:sz w:val="26"/>
          <w:szCs w:val="26"/>
        </w:rPr>
        <w:t>de octubre 2018 a setiembre de 2019</w:t>
      </w:r>
      <w:r w:rsidRPr="00AE1B2B">
        <w:rPr>
          <w:rFonts w:ascii="Times New Roman" w:hAnsi="Times New Roman" w:cs="Times New Roman"/>
          <w:sz w:val="26"/>
          <w:szCs w:val="26"/>
        </w:rPr>
        <w:t>) ingresaron 1117 expedientes donde figura una persona usuaria indígena en calidad de interviniente y, para el segundo año posterior (</w:t>
      </w:r>
      <w:r w:rsidRPr="00AE1B2B">
        <w:rPr>
          <w:rFonts w:ascii="Times New Roman" w:hAnsi="Times New Roman" w:cs="Times New Roman"/>
          <w:i/>
          <w:iCs/>
          <w:sz w:val="26"/>
          <w:szCs w:val="26"/>
        </w:rPr>
        <w:t>de octubre 2019 a setiembre de 2020</w:t>
      </w:r>
      <w:r w:rsidRPr="00AE1B2B">
        <w:rPr>
          <w:rFonts w:ascii="Times New Roman" w:hAnsi="Times New Roman" w:cs="Times New Roman"/>
          <w:sz w:val="26"/>
          <w:szCs w:val="26"/>
        </w:rPr>
        <w:t>) ingresaron 786 expedientes; siendo el comportamiento decreciente con una diferencia de 331 expedientes. Esta baja en la entrada de asuntos en la Defensa Pública podría estar asociada con las propias medias sanitarias adoptadas por los líderes indígenas en los diversos pueblos, esto a raíz de la emergencia nacional que enfrentamos producto de la enfermedad provocada por el COVID-19.</w:t>
      </w:r>
    </w:p>
    <w:p w:rsidRPr="00AE1B2B" w:rsidR="00753ECC" w:rsidP="00163B94" w:rsidRDefault="00753ECC" w14:paraId="3688E4A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1E88B22" w14:textId="3CB8014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siguiente figura se muestra el comportamiento de la cantidad de asuntos entrados por materia, para el primer y segundo año posterior a la entrada en vigencia de la Ley 9593 de Acceso a la Justicia a Pueblos Indígenas.</w:t>
      </w:r>
    </w:p>
    <w:p w:rsidRPr="00AE1B2B" w:rsidR="00753ECC" w:rsidP="00163B94" w:rsidRDefault="00753ECC" w14:paraId="7A15E63E"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112E6282" w14:textId="77777777">
      <w:pPr>
        <w:pStyle w:val="Descripcin"/>
        <w:keepNext/>
        <w:spacing w:before="120" w:after="120"/>
        <w:ind w:left="851" w:right="851" w:firstLine="709"/>
        <w:jc w:val="center"/>
        <w:rPr>
          <w:rFonts w:ascii="Times New Roman" w:hAnsi="Times New Roman" w:cs="Times New Roman"/>
          <w:sz w:val="22"/>
          <w:szCs w:val="22"/>
        </w:rPr>
      </w:pPr>
      <w:bookmarkStart w:name="_Ref64967530" w:id="42"/>
      <w:r w:rsidRPr="00AE1B2B">
        <w:rPr>
          <w:rFonts w:ascii="Times New Roman" w:hAnsi="Times New Roman" w:cs="Times New Roman"/>
          <w:sz w:val="22"/>
          <w:szCs w:val="22"/>
        </w:rPr>
        <w:lastRenderedPageBreak/>
        <w:t xml:space="preserve">Figura </w:t>
      </w:r>
      <w:r w:rsidRPr="00AE1B2B">
        <w:rPr>
          <w:rFonts w:ascii="Times New Roman" w:hAnsi="Times New Roman" w:cs="Times New Roman"/>
          <w:sz w:val="22"/>
          <w:szCs w:val="22"/>
        </w:rPr>
        <w:fldChar w:fldCharType="begin"/>
      </w:r>
      <w:r w:rsidRPr="00AE1B2B">
        <w:rPr>
          <w:rFonts w:ascii="Times New Roman" w:hAnsi="Times New Roman" w:cs="Times New Roman"/>
          <w:sz w:val="22"/>
          <w:szCs w:val="22"/>
        </w:rPr>
        <w:instrText xml:space="preserve"> SEQ Figura \* ARABIC </w:instrText>
      </w:r>
      <w:r w:rsidRPr="00AE1B2B">
        <w:rPr>
          <w:rFonts w:ascii="Times New Roman" w:hAnsi="Times New Roman" w:cs="Times New Roman"/>
          <w:sz w:val="22"/>
          <w:szCs w:val="22"/>
        </w:rPr>
        <w:fldChar w:fldCharType="separate"/>
      </w:r>
      <w:r w:rsidRPr="00AE1B2B">
        <w:rPr>
          <w:rFonts w:ascii="Times New Roman" w:hAnsi="Times New Roman" w:cs="Times New Roman"/>
          <w:noProof/>
          <w:sz w:val="22"/>
          <w:szCs w:val="22"/>
        </w:rPr>
        <w:t>2</w:t>
      </w:r>
      <w:r w:rsidRPr="00AE1B2B">
        <w:rPr>
          <w:rFonts w:ascii="Times New Roman" w:hAnsi="Times New Roman" w:cs="Times New Roman"/>
          <w:sz w:val="22"/>
          <w:szCs w:val="22"/>
        </w:rPr>
        <w:fldChar w:fldCharType="end"/>
      </w:r>
      <w:bookmarkEnd w:id="42"/>
    </w:p>
    <w:p w:rsidRPr="00AE1B2B" w:rsidR="009D3FB5" w:rsidP="00163B94" w:rsidRDefault="009D3FB5" w14:paraId="3B85CFD2" w14:textId="77777777">
      <w:pPr>
        <w:pStyle w:val="Descripcin"/>
        <w:keepNext/>
        <w:spacing w:before="120" w:after="120"/>
        <w:ind w:left="851" w:right="851" w:firstLine="709"/>
        <w:jc w:val="center"/>
        <w:rPr>
          <w:rFonts w:ascii="Times New Roman" w:hAnsi="Times New Roman" w:cs="Times New Roman"/>
          <w:sz w:val="22"/>
          <w:szCs w:val="22"/>
        </w:rPr>
      </w:pPr>
      <w:r w:rsidRPr="00AE1B2B">
        <w:rPr>
          <w:rFonts w:ascii="Times New Roman" w:hAnsi="Times New Roman" w:cs="Times New Roman"/>
          <w:sz w:val="22"/>
          <w:szCs w:val="22"/>
        </w:rPr>
        <w:t xml:space="preserve">Comportamiento de la entrada de asuntos con persona usuaria indígena, </w:t>
      </w:r>
    </w:p>
    <w:p w:rsidRPr="00AE1B2B" w:rsidR="009D3FB5" w:rsidP="00163B94" w:rsidRDefault="009D3FB5" w14:paraId="178286C8" w14:textId="77777777">
      <w:pPr>
        <w:pStyle w:val="Descripcin"/>
        <w:keepNext/>
        <w:spacing w:before="120" w:after="120"/>
        <w:ind w:left="851" w:right="851" w:firstLine="709"/>
        <w:jc w:val="center"/>
        <w:rPr>
          <w:rFonts w:ascii="Times New Roman" w:hAnsi="Times New Roman" w:cs="Times New Roman"/>
          <w:sz w:val="22"/>
          <w:szCs w:val="22"/>
        </w:rPr>
      </w:pPr>
      <w:r w:rsidRPr="00AE1B2B">
        <w:rPr>
          <w:rFonts w:ascii="Times New Roman" w:hAnsi="Times New Roman" w:cs="Times New Roman"/>
          <w:sz w:val="22"/>
          <w:szCs w:val="22"/>
        </w:rPr>
        <w:t xml:space="preserve">en el primer y segundo año posterior a la entrada en vigencia de la </w:t>
      </w:r>
    </w:p>
    <w:p w:rsidRPr="00AE1B2B" w:rsidR="009D3FB5" w:rsidP="00163B94" w:rsidRDefault="009D3FB5" w14:paraId="057951D2" w14:textId="77777777">
      <w:pPr>
        <w:pStyle w:val="Descripcin"/>
        <w:keepNext/>
        <w:spacing w:before="120" w:after="120"/>
        <w:ind w:left="851" w:right="851" w:firstLine="709"/>
        <w:jc w:val="center"/>
        <w:rPr>
          <w:rFonts w:ascii="Times New Roman" w:hAnsi="Times New Roman" w:cs="Times New Roman"/>
          <w:sz w:val="22"/>
          <w:szCs w:val="22"/>
        </w:rPr>
      </w:pPr>
      <w:r w:rsidRPr="00AE1B2B">
        <w:rPr>
          <w:rFonts w:ascii="Times New Roman" w:hAnsi="Times New Roman" w:cs="Times New Roman"/>
          <w:sz w:val="22"/>
          <w:szCs w:val="22"/>
        </w:rPr>
        <w:t>Ley 9593 de Acceso a la Justicia a Pueblos Indígenas</w:t>
      </w:r>
    </w:p>
    <w:p w:rsidRPr="00AE1B2B" w:rsidR="009D3FB5" w:rsidP="00163B94" w:rsidRDefault="009D3FB5" w14:paraId="1A448A62" w14:textId="77777777">
      <w:pPr>
        <w:spacing w:before="120" w:after="120"/>
        <w:rPr>
          <w:rFonts w:ascii="Times New Roman" w:hAnsi="Times New Roman" w:eastAsia="Arial" w:cs="Times New Roman"/>
        </w:rPr>
      </w:pPr>
      <w:r w:rsidRPr="00AE1B2B">
        <w:rPr>
          <w:rFonts w:ascii="Times New Roman" w:hAnsi="Times New Roman" w:eastAsia="Arial" w:cs="Times New Roman"/>
          <w:noProof/>
          <w:lang w:val="en-US"/>
        </w:rPr>
        <w:drawing>
          <wp:inline distT="0" distB="0" distL="0" distR="0" wp14:anchorId="74FB84A3" wp14:editId="701C4BAF">
            <wp:extent cx="5867225" cy="2912012"/>
            <wp:effectExtent l="0" t="0" r="635" b="3175"/>
            <wp:docPr id="1212768259" name="Imagen 1212768259"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259" name="Imagen 1212768259" descr="Gráfico, Gráfico de barras&#10;&#10;Descripción generada automáticamente"/>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02570" cy="2929554"/>
                    </a:xfrm>
                    <a:prstGeom prst="rect">
                      <a:avLst/>
                    </a:prstGeom>
                    <a:noFill/>
                  </pic:spPr>
                </pic:pic>
              </a:graphicData>
            </a:graphic>
          </wp:inline>
        </w:drawing>
      </w:r>
    </w:p>
    <w:p w:rsidRPr="00AE1B2B" w:rsidR="009D3FB5" w:rsidP="00163B94" w:rsidRDefault="009D3FB5" w14:paraId="527D81B4" w14:textId="057927B0">
      <w:pPr>
        <w:spacing w:before="120" w:after="120"/>
        <w:ind w:left="851" w:right="851" w:firstLine="709"/>
        <w:rPr>
          <w:rFonts w:ascii="Times New Roman" w:hAnsi="Times New Roman" w:eastAsia="Arial" w:cs="Times New Roman"/>
          <w:sz w:val="20"/>
          <w:szCs w:val="20"/>
        </w:rPr>
      </w:pPr>
      <w:r w:rsidRPr="00AE1B2B">
        <w:rPr>
          <w:rFonts w:ascii="Times New Roman" w:hAnsi="Times New Roman" w:eastAsia="Arial" w:cs="Times New Roman"/>
          <w:b/>
          <w:bCs/>
          <w:sz w:val="20"/>
          <w:szCs w:val="20"/>
        </w:rPr>
        <w:t>Fuente:</w:t>
      </w:r>
      <w:r w:rsidRPr="00AE1B2B">
        <w:rPr>
          <w:rFonts w:ascii="Times New Roman" w:hAnsi="Times New Roman" w:eastAsia="Arial" w:cs="Times New Roman"/>
          <w:sz w:val="20"/>
          <w:szCs w:val="20"/>
        </w:rPr>
        <w:t xml:space="preserve"> Subproceso de Modernización Institucional de la Dirección de Planificación, con datos facilitados por la Administración de la Defensa Pública.</w:t>
      </w:r>
    </w:p>
    <w:p w:rsidRPr="00AE1B2B" w:rsidR="00753ECC" w:rsidP="00163B94" w:rsidRDefault="00753ECC" w14:paraId="13F43161" w14:textId="77777777">
      <w:pPr>
        <w:spacing w:before="120" w:after="120"/>
        <w:ind w:left="851" w:right="851" w:firstLine="709"/>
        <w:rPr>
          <w:rFonts w:ascii="Times New Roman" w:hAnsi="Times New Roman" w:eastAsia="Arial" w:cs="Times New Roman"/>
          <w:sz w:val="20"/>
          <w:szCs w:val="20"/>
        </w:rPr>
      </w:pPr>
    </w:p>
    <w:p w:rsidRPr="00AE1B2B" w:rsidR="009D3FB5" w:rsidP="00163B94" w:rsidRDefault="009D3FB5" w14:paraId="33E5C7C2" w14:textId="450575EA">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Dado que en el segundo año natural posterior a la entrada en vigencia de la Ley 9593 el comportamiento genérico de los asuntos entrados fue al decrecimiento, se segrega por materia la cantidad de asuntos entrados, con el propósito de determinar si corresponde a un comportamiento genérico o bien, si hubo un comportamiento distinto en alguna de las materias estudiadas.</w:t>
      </w:r>
    </w:p>
    <w:p w:rsidRPr="00AE1B2B" w:rsidR="00753ECC" w:rsidP="00163B94" w:rsidRDefault="00753ECC" w14:paraId="7D897283"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112D3080" w14:textId="5B83A0C1">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En la figura anterior se observa que el comportamiento al decrecimiento es un factor común entre todas las materias en estudio, donde la única materia que reporta más cantidad de asuntos entrados en el segundo año es “</w:t>
      </w:r>
      <w:r w:rsidRPr="00AE1B2B">
        <w:rPr>
          <w:rFonts w:ascii="Times New Roman" w:hAnsi="Times New Roman" w:eastAsia="Arial" w:cs="Times New Roman"/>
          <w:i/>
          <w:iCs/>
          <w:sz w:val="26"/>
          <w:szCs w:val="26"/>
        </w:rPr>
        <w:t>Ejecución Penal Juvenil</w:t>
      </w:r>
      <w:r w:rsidRPr="00AE1B2B">
        <w:rPr>
          <w:rFonts w:ascii="Times New Roman" w:hAnsi="Times New Roman" w:eastAsia="Arial" w:cs="Times New Roman"/>
          <w:sz w:val="26"/>
          <w:szCs w:val="26"/>
        </w:rPr>
        <w:t>”, sin embargo, la entrada corresponde a 1 asunto para el primer año y 2 para el segundo año.</w:t>
      </w:r>
    </w:p>
    <w:p w:rsidRPr="00AE1B2B" w:rsidR="00753ECC" w:rsidP="00163B94" w:rsidRDefault="00753ECC" w14:paraId="63BAF396"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0DAA5BDF" w14:textId="54DA326B">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Ahora, en la siguiente tabla se muestra la cantidad de asuntos entrados por oficina de la Defensa Pública y por materia, en el </w:t>
      </w:r>
      <w:r w:rsidRPr="00AE1B2B">
        <w:rPr>
          <w:rFonts w:ascii="Times New Roman" w:hAnsi="Times New Roman" w:eastAsia="Arial" w:cs="Times New Roman"/>
          <w:sz w:val="26"/>
          <w:szCs w:val="26"/>
        </w:rPr>
        <w:lastRenderedPageBreak/>
        <w:t>segundo año posterior a la entrada en vigencia de la Ley 9593 de Acceso a la Justicia a Pueblos Indígenas.</w:t>
      </w:r>
    </w:p>
    <w:p w:rsidRPr="00AE1B2B" w:rsidR="00753ECC" w:rsidP="00163B94" w:rsidRDefault="00753ECC" w14:paraId="51CD1E05"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5B93246B" w14:textId="77777777">
      <w:pPr>
        <w:pStyle w:val="Descripcin"/>
        <w:keepNext/>
        <w:spacing w:before="120" w:after="120"/>
        <w:ind w:left="851" w:right="851" w:firstLine="709"/>
        <w:jc w:val="center"/>
        <w:rPr>
          <w:rFonts w:ascii="Times New Roman" w:hAnsi="Times New Roman" w:cs="Times New Roman"/>
          <w:sz w:val="26"/>
          <w:szCs w:val="26"/>
        </w:rPr>
      </w:pPr>
      <w:bookmarkStart w:name="_Ref64022106" w:id="43"/>
      <w:r w:rsidRPr="00AE1B2B">
        <w:rPr>
          <w:rFonts w:ascii="Times New Roman" w:hAnsi="Times New Roman" w:cs="Times New Roman"/>
          <w:sz w:val="26"/>
          <w:szCs w:val="26"/>
        </w:rPr>
        <w:t xml:space="preserve">Tabla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Tabla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2</w:t>
      </w:r>
      <w:r w:rsidRPr="00AE1B2B">
        <w:rPr>
          <w:rFonts w:ascii="Times New Roman" w:hAnsi="Times New Roman" w:cs="Times New Roman"/>
          <w:sz w:val="26"/>
          <w:szCs w:val="26"/>
        </w:rPr>
        <w:fldChar w:fldCharType="end"/>
      </w:r>
      <w:bookmarkEnd w:id="43"/>
    </w:p>
    <w:p w:rsidRPr="00AE1B2B" w:rsidR="009D3FB5" w:rsidP="00163B94" w:rsidRDefault="009D3FB5" w14:paraId="36E915BB"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Cantidad de asuntos entrados por oficina de la Defensa Pública, en el segundo año posterior a la entrada en vigencia de la Ley 9593 de Acceso a la Justicia a Pueblos Indígenas (</w:t>
      </w:r>
      <w:r w:rsidRPr="00AE1B2B">
        <w:rPr>
          <w:rFonts w:ascii="Times New Roman" w:hAnsi="Times New Roman" w:cs="Times New Roman"/>
          <w:i/>
          <w:iCs/>
          <w:sz w:val="26"/>
          <w:szCs w:val="26"/>
        </w:rPr>
        <w:t>de octubre 2019 a setiembre 2020</w:t>
      </w:r>
      <w:r w:rsidRPr="00AE1B2B">
        <w:rPr>
          <w:rFonts w:ascii="Times New Roman" w:hAnsi="Times New Roman" w:cs="Times New Roman"/>
          <w:sz w:val="26"/>
          <w:szCs w:val="26"/>
        </w:rPr>
        <w:t>)</w:t>
      </w:r>
    </w:p>
    <w:tbl>
      <w:tblPr>
        <w:tblW w:w="5000" w:type="pct"/>
        <w:tblCellMar>
          <w:left w:w="70" w:type="dxa"/>
          <w:right w:w="70" w:type="dxa"/>
        </w:tblCellMar>
        <w:tblLook w:val="04A0" w:firstRow="1" w:lastRow="0" w:firstColumn="1" w:lastColumn="0" w:noHBand="0" w:noVBand="1"/>
      </w:tblPr>
      <w:tblGrid>
        <w:gridCol w:w="1784"/>
        <w:gridCol w:w="1455"/>
        <w:gridCol w:w="1316"/>
        <w:gridCol w:w="1312"/>
        <w:gridCol w:w="1649"/>
        <w:gridCol w:w="1312"/>
      </w:tblGrid>
      <w:tr w:rsidRPr="00AE1B2B" w:rsidR="00AE1B2B" w:rsidTr="00753ECC" w14:paraId="3C391D30" w14:textId="77777777">
        <w:trPr>
          <w:trHeight w:val="290"/>
        </w:trPr>
        <w:tc>
          <w:tcPr>
            <w:tcW w:w="1042" w:type="pct"/>
            <w:tcBorders>
              <w:top w:val="single" w:color="auto" w:sz="4" w:space="0"/>
              <w:left w:val="single" w:color="auto" w:sz="4" w:space="0"/>
              <w:bottom w:val="single" w:color="auto" w:sz="4" w:space="0"/>
              <w:right w:val="single" w:color="auto" w:sz="4" w:space="0"/>
            </w:tcBorders>
            <w:shd w:val="clear" w:color="000000" w:fill="95B3D7"/>
            <w:noWrap/>
            <w:vAlign w:val="center"/>
            <w:hideMark/>
          </w:tcPr>
          <w:p w:rsidRPr="00AE1B2B" w:rsidR="009D3FB5" w:rsidP="00163B94" w:rsidRDefault="009D3FB5" w14:paraId="26F38040"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Oficina</w:t>
            </w:r>
          </w:p>
        </w:tc>
        <w:tc>
          <w:tcPr>
            <w:tcW w:w="856" w:type="pct"/>
            <w:tcBorders>
              <w:top w:val="single" w:color="auto" w:sz="4" w:space="0"/>
              <w:left w:val="nil"/>
              <w:bottom w:val="single" w:color="auto" w:sz="4" w:space="0"/>
              <w:right w:val="single" w:color="auto" w:sz="4" w:space="0"/>
            </w:tcBorders>
            <w:shd w:val="clear" w:color="000000" w:fill="95B3D7"/>
            <w:noWrap/>
            <w:vAlign w:val="center"/>
            <w:hideMark/>
          </w:tcPr>
          <w:p w:rsidRPr="00AE1B2B" w:rsidR="009D3FB5" w:rsidP="00163B94" w:rsidRDefault="009D3FB5" w14:paraId="668BDE81"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Pensiones</w:t>
            </w:r>
          </w:p>
          <w:p w:rsidRPr="00AE1B2B" w:rsidR="009D3FB5" w:rsidP="00163B94" w:rsidRDefault="009D3FB5" w14:paraId="1EE3F11A"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Alimentarias</w:t>
            </w:r>
          </w:p>
        </w:tc>
        <w:tc>
          <w:tcPr>
            <w:tcW w:w="777" w:type="pct"/>
            <w:tcBorders>
              <w:top w:val="single" w:color="auto" w:sz="4" w:space="0"/>
              <w:left w:val="nil"/>
              <w:bottom w:val="single" w:color="auto" w:sz="4" w:space="0"/>
              <w:right w:val="single" w:color="auto" w:sz="4" w:space="0"/>
            </w:tcBorders>
            <w:shd w:val="clear" w:color="000000" w:fill="95B3D7"/>
            <w:noWrap/>
            <w:vAlign w:val="center"/>
            <w:hideMark/>
          </w:tcPr>
          <w:p w:rsidRPr="00AE1B2B" w:rsidR="009D3FB5" w:rsidP="00163B94" w:rsidRDefault="009D3FB5" w14:paraId="29A53E0D"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Penal</w:t>
            </w:r>
          </w:p>
        </w:tc>
        <w:tc>
          <w:tcPr>
            <w:tcW w:w="775" w:type="pct"/>
            <w:tcBorders>
              <w:top w:val="single" w:color="auto" w:sz="4" w:space="0"/>
              <w:left w:val="nil"/>
              <w:bottom w:val="single" w:color="auto" w:sz="4" w:space="0"/>
              <w:right w:val="single" w:color="auto" w:sz="4" w:space="0"/>
            </w:tcBorders>
            <w:shd w:val="clear" w:color="000000" w:fill="95B3D7"/>
            <w:noWrap/>
            <w:vAlign w:val="center"/>
            <w:hideMark/>
          </w:tcPr>
          <w:p w:rsidRPr="00AE1B2B" w:rsidR="009D3FB5" w:rsidP="00163B94" w:rsidRDefault="009D3FB5" w14:paraId="434A36C3"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Agraria</w:t>
            </w:r>
          </w:p>
        </w:tc>
        <w:tc>
          <w:tcPr>
            <w:tcW w:w="776" w:type="pct"/>
            <w:tcBorders>
              <w:top w:val="single" w:color="auto" w:sz="4" w:space="0"/>
              <w:left w:val="nil"/>
              <w:bottom w:val="single" w:color="auto" w:sz="4" w:space="0"/>
              <w:right w:val="single" w:color="auto" w:sz="4" w:space="0"/>
            </w:tcBorders>
            <w:shd w:val="clear" w:color="000000" w:fill="95B3D7"/>
            <w:noWrap/>
            <w:vAlign w:val="center"/>
            <w:hideMark/>
          </w:tcPr>
          <w:p w:rsidRPr="00AE1B2B" w:rsidR="009D3FB5" w:rsidP="00163B94" w:rsidRDefault="009D3FB5" w14:paraId="1123BFF8"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Demás materias</w:t>
            </w:r>
          </w:p>
        </w:tc>
        <w:tc>
          <w:tcPr>
            <w:tcW w:w="774" w:type="pct"/>
            <w:tcBorders>
              <w:top w:val="single" w:color="auto" w:sz="4" w:space="0"/>
              <w:left w:val="nil"/>
              <w:bottom w:val="single" w:color="auto" w:sz="4" w:space="0"/>
              <w:right w:val="single" w:color="auto" w:sz="4" w:space="0"/>
            </w:tcBorders>
            <w:shd w:val="clear" w:color="000000" w:fill="95B3D7"/>
            <w:noWrap/>
            <w:vAlign w:val="center"/>
            <w:hideMark/>
          </w:tcPr>
          <w:p w:rsidRPr="00AE1B2B" w:rsidR="009D3FB5" w:rsidP="00163B94" w:rsidRDefault="009D3FB5" w14:paraId="23883A81"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Total</w:t>
            </w:r>
          </w:p>
        </w:tc>
      </w:tr>
      <w:tr w:rsidRPr="00AE1B2B" w:rsidR="00AE1B2B" w:rsidTr="00753ECC" w14:paraId="32810232" w14:textId="77777777">
        <w:trPr>
          <w:trHeight w:val="290"/>
        </w:trPr>
        <w:tc>
          <w:tcPr>
            <w:tcW w:w="1042"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7621885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Buenos Aires</w:t>
            </w:r>
          </w:p>
        </w:tc>
        <w:tc>
          <w:tcPr>
            <w:tcW w:w="85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F792E0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46</w:t>
            </w:r>
          </w:p>
        </w:tc>
        <w:tc>
          <w:tcPr>
            <w:tcW w:w="77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6E79F1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114</w:t>
            </w:r>
          </w:p>
        </w:tc>
        <w:tc>
          <w:tcPr>
            <w:tcW w:w="77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ECEA8B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w:t>
            </w:r>
          </w:p>
        </w:tc>
        <w:tc>
          <w:tcPr>
            <w:tcW w:w="7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92A73C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67</w:t>
            </w:r>
          </w:p>
        </w:tc>
        <w:tc>
          <w:tcPr>
            <w:tcW w:w="7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CA78AB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252</w:t>
            </w:r>
          </w:p>
        </w:tc>
      </w:tr>
      <w:tr w:rsidRPr="00AE1B2B" w:rsidR="00AE1B2B" w:rsidTr="00753ECC" w14:paraId="14495BF2" w14:textId="77777777">
        <w:trPr>
          <w:trHeight w:val="290"/>
        </w:trPr>
        <w:tc>
          <w:tcPr>
            <w:tcW w:w="1042"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1A3DF3B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Bribrí</w:t>
            </w:r>
          </w:p>
        </w:tc>
        <w:tc>
          <w:tcPr>
            <w:tcW w:w="85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5BC364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125</w:t>
            </w:r>
          </w:p>
        </w:tc>
        <w:tc>
          <w:tcPr>
            <w:tcW w:w="77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07B50D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w:t>
            </w:r>
          </w:p>
        </w:tc>
        <w:tc>
          <w:tcPr>
            <w:tcW w:w="77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5D8CBB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24</w:t>
            </w:r>
          </w:p>
        </w:tc>
        <w:tc>
          <w:tcPr>
            <w:tcW w:w="7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90B877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26</w:t>
            </w:r>
          </w:p>
        </w:tc>
        <w:tc>
          <w:tcPr>
            <w:tcW w:w="7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A57C5B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195</w:t>
            </w:r>
          </w:p>
        </w:tc>
      </w:tr>
      <w:tr w:rsidRPr="00AE1B2B" w:rsidR="00AE1B2B" w:rsidTr="00753ECC" w14:paraId="3ED27F2E" w14:textId="77777777">
        <w:trPr>
          <w:trHeight w:val="290"/>
        </w:trPr>
        <w:tc>
          <w:tcPr>
            <w:tcW w:w="1042"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5D5911A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Pérez Zeledón</w:t>
            </w:r>
          </w:p>
        </w:tc>
        <w:tc>
          <w:tcPr>
            <w:tcW w:w="85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D06289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30</w:t>
            </w:r>
          </w:p>
        </w:tc>
        <w:tc>
          <w:tcPr>
            <w:tcW w:w="77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05070F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w:t>
            </w:r>
          </w:p>
        </w:tc>
        <w:tc>
          <w:tcPr>
            <w:tcW w:w="77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90B79F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7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852F3B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7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15B838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54</w:t>
            </w:r>
          </w:p>
        </w:tc>
      </w:tr>
      <w:tr w:rsidRPr="00AE1B2B" w:rsidR="00AE1B2B" w:rsidTr="00753ECC" w14:paraId="1F2149FD" w14:textId="77777777">
        <w:trPr>
          <w:trHeight w:val="290"/>
        </w:trPr>
        <w:tc>
          <w:tcPr>
            <w:tcW w:w="1042"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C65E21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Corredores</w:t>
            </w:r>
          </w:p>
        </w:tc>
        <w:tc>
          <w:tcPr>
            <w:tcW w:w="85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B9ECEF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27</w:t>
            </w:r>
          </w:p>
        </w:tc>
        <w:tc>
          <w:tcPr>
            <w:tcW w:w="77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677A2D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w:t>
            </w:r>
          </w:p>
        </w:tc>
        <w:tc>
          <w:tcPr>
            <w:tcW w:w="77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6ADFCC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7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BC7117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7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EF604C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52</w:t>
            </w:r>
          </w:p>
        </w:tc>
      </w:tr>
      <w:tr w:rsidRPr="00AE1B2B" w:rsidR="00AE1B2B" w:rsidTr="00753ECC" w14:paraId="7C3F6871" w14:textId="77777777">
        <w:trPr>
          <w:trHeight w:val="290"/>
        </w:trPr>
        <w:tc>
          <w:tcPr>
            <w:tcW w:w="1042"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5B203BA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Coto Brus</w:t>
            </w:r>
          </w:p>
        </w:tc>
        <w:tc>
          <w:tcPr>
            <w:tcW w:w="85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E9CB60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w:t>
            </w:r>
          </w:p>
        </w:tc>
        <w:tc>
          <w:tcPr>
            <w:tcW w:w="77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D0108C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21</w:t>
            </w:r>
          </w:p>
        </w:tc>
        <w:tc>
          <w:tcPr>
            <w:tcW w:w="77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BB9D405" w14:textId="77777777">
            <w:pPr>
              <w:spacing w:before="120" w:after="120"/>
              <w:jc w:val="center"/>
              <w:rPr>
                <w:rFonts w:ascii="Times New Roman" w:hAnsi="Times New Roman" w:eastAsia="Times New Roman" w:cs="Times New Roman"/>
                <w:lang w:eastAsia="es-CR"/>
              </w:rPr>
            </w:pPr>
          </w:p>
        </w:tc>
        <w:tc>
          <w:tcPr>
            <w:tcW w:w="7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307799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7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0D165E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44</w:t>
            </w:r>
          </w:p>
        </w:tc>
      </w:tr>
      <w:tr w:rsidRPr="00AE1B2B" w:rsidR="00AE1B2B" w:rsidTr="00753ECC" w14:paraId="43488B4B" w14:textId="77777777">
        <w:trPr>
          <w:trHeight w:val="290"/>
        </w:trPr>
        <w:tc>
          <w:tcPr>
            <w:tcW w:w="1042"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796BE3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Turrialba</w:t>
            </w:r>
          </w:p>
        </w:tc>
        <w:tc>
          <w:tcPr>
            <w:tcW w:w="85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D0C69C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w:t>
            </w:r>
          </w:p>
        </w:tc>
        <w:tc>
          <w:tcPr>
            <w:tcW w:w="77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0438FD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w:t>
            </w:r>
          </w:p>
        </w:tc>
        <w:tc>
          <w:tcPr>
            <w:tcW w:w="77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AF16DE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7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B118E4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7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B8D357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37</w:t>
            </w:r>
          </w:p>
        </w:tc>
      </w:tr>
      <w:tr w:rsidRPr="00AE1B2B" w:rsidR="00AE1B2B" w:rsidTr="00753ECC" w14:paraId="6EA5E74E" w14:textId="77777777">
        <w:trPr>
          <w:trHeight w:val="290"/>
        </w:trPr>
        <w:tc>
          <w:tcPr>
            <w:tcW w:w="1042"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5114822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Cartago</w:t>
            </w:r>
          </w:p>
        </w:tc>
        <w:tc>
          <w:tcPr>
            <w:tcW w:w="85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AD1FE1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w:t>
            </w:r>
          </w:p>
        </w:tc>
        <w:tc>
          <w:tcPr>
            <w:tcW w:w="77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50C9B3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77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FAC041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7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525E88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7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A558A4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w:t>
            </w:r>
          </w:p>
        </w:tc>
      </w:tr>
      <w:tr w:rsidRPr="00AE1B2B" w:rsidR="00AE1B2B" w:rsidTr="00753ECC" w14:paraId="68A9F20A" w14:textId="77777777">
        <w:trPr>
          <w:trHeight w:val="290"/>
        </w:trPr>
        <w:tc>
          <w:tcPr>
            <w:tcW w:w="1042"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6DA799A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Golfito</w:t>
            </w:r>
          </w:p>
        </w:tc>
        <w:tc>
          <w:tcPr>
            <w:tcW w:w="85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1BEF23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w:t>
            </w:r>
          </w:p>
        </w:tc>
        <w:tc>
          <w:tcPr>
            <w:tcW w:w="77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55DF6C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77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0D0F3E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7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B28D27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7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81DC20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w:t>
            </w:r>
          </w:p>
        </w:tc>
      </w:tr>
      <w:tr w:rsidRPr="00AE1B2B" w:rsidR="00AE1B2B" w:rsidTr="00753ECC" w14:paraId="16A235B4" w14:textId="77777777">
        <w:trPr>
          <w:trHeight w:val="290"/>
        </w:trPr>
        <w:tc>
          <w:tcPr>
            <w:tcW w:w="1042"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5AB765D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Limón</w:t>
            </w:r>
          </w:p>
        </w:tc>
        <w:tc>
          <w:tcPr>
            <w:tcW w:w="85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8CBAF4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w:t>
            </w:r>
          </w:p>
        </w:tc>
        <w:tc>
          <w:tcPr>
            <w:tcW w:w="77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90FB7B1" w14:textId="77777777">
            <w:pPr>
              <w:spacing w:before="120" w:after="120"/>
              <w:jc w:val="center"/>
              <w:rPr>
                <w:rFonts w:ascii="Times New Roman" w:hAnsi="Times New Roman" w:eastAsia="Times New Roman" w:cs="Times New Roman"/>
                <w:lang w:eastAsia="es-CR"/>
              </w:rPr>
            </w:pPr>
          </w:p>
        </w:tc>
        <w:tc>
          <w:tcPr>
            <w:tcW w:w="77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B06E208" w14:textId="77777777">
            <w:pPr>
              <w:spacing w:before="120" w:after="120"/>
              <w:jc w:val="center"/>
              <w:rPr>
                <w:rFonts w:ascii="Times New Roman" w:hAnsi="Times New Roman" w:eastAsia="Times New Roman" w:cs="Times New Roman"/>
                <w:lang w:eastAsia="es-CR"/>
              </w:rPr>
            </w:pPr>
          </w:p>
        </w:tc>
        <w:tc>
          <w:tcPr>
            <w:tcW w:w="7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21A39D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w:t>
            </w:r>
          </w:p>
        </w:tc>
        <w:tc>
          <w:tcPr>
            <w:tcW w:w="7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32A3E3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24</w:t>
            </w:r>
          </w:p>
        </w:tc>
      </w:tr>
      <w:tr w:rsidRPr="00AE1B2B" w:rsidR="00AE1B2B" w:rsidTr="00753ECC" w14:paraId="785630B4" w14:textId="77777777">
        <w:trPr>
          <w:trHeight w:val="290"/>
        </w:trPr>
        <w:tc>
          <w:tcPr>
            <w:tcW w:w="1042"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67F2ECD1"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Demás oficinas</w:t>
            </w:r>
          </w:p>
        </w:tc>
        <w:tc>
          <w:tcPr>
            <w:tcW w:w="85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D73F121"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30</w:t>
            </w:r>
          </w:p>
        </w:tc>
        <w:tc>
          <w:tcPr>
            <w:tcW w:w="77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3F66BB6"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11</w:t>
            </w:r>
          </w:p>
        </w:tc>
        <w:tc>
          <w:tcPr>
            <w:tcW w:w="77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F8EEE2B"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4</w:t>
            </w:r>
          </w:p>
        </w:tc>
        <w:tc>
          <w:tcPr>
            <w:tcW w:w="7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953EBA5"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31</w:t>
            </w:r>
          </w:p>
        </w:tc>
        <w:tc>
          <w:tcPr>
            <w:tcW w:w="7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383F4E2"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76</w:t>
            </w:r>
          </w:p>
        </w:tc>
      </w:tr>
    </w:tbl>
    <w:p w:rsidRPr="00AE1B2B" w:rsidR="009D3FB5" w:rsidP="00163B94" w:rsidRDefault="009D3FB5" w14:paraId="1D9768D9" w14:textId="05C39BF6">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b/>
          <w:bCs/>
          <w:sz w:val="26"/>
          <w:szCs w:val="26"/>
        </w:rPr>
        <w:t>Fuente:</w:t>
      </w:r>
      <w:r w:rsidRPr="00AE1B2B">
        <w:rPr>
          <w:rFonts w:ascii="Times New Roman" w:hAnsi="Times New Roman" w:eastAsia="Arial" w:cs="Times New Roman"/>
          <w:sz w:val="26"/>
          <w:szCs w:val="26"/>
        </w:rPr>
        <w:t xml:space="preserve"> Subproceso de Modernización Institucional de la Dirección de Planificación, con datos facilitados por la Administración de la Defensa Pública.</w:t>
      </w:r>
    </w:p>
    <w:p w:rsidRPr="00AE1B2B" w:rsidR="00753ECC" w:rsidP="00163B94" w:rsidRDefault="00753ECC" w14:paraId="3C42D49B"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549DFF42" w14:textId="6AE3068A">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Las oficinas que se muestran en la tabla anterior corresponden al 90% de la totalidad de asuntos entrados a nivel nacional y, las materias que se muestran son las que equivalen el 80% de la entrada (</w:t>
      </w:r>
      <w:r w:rsidRPr="00AE1B2B">
        <w:rPr>
          <w:rFonts w:ascii="Times New Roman" w:hAnsi="Times New Roman" w:eastAsia="Arial" w:cs="Times New Roman"/>
          <w:i/>
          <w:iCs/>
          <w:sz w:val="26"/>
          <w:szCs w:val="26"/>
        </w:rPr>
        <w:t>como se evidenció anteriormente</w:t>
      </w:r>
      <w:r w:rsidRPr="00AE1B2B">
        <w:rPr>
          <w:rFonts w:ascii="Times New Roman" w:hAnsi="Times New Roman" w:eastAsia="Arial" w:cs="Times New Roman"/>
          <w:sz w:val="26"/>
          <w:szCs w:val="26"/>
        </w:rPr>
        <w:t>).</w:t>
      </w:r>
    </w:p>
    <w:p w:rsidRPr="00AE1B2B" w:rsidR="00753ECC" w:rsidP="00163B94" w:rsidRDefault="00753ECC" w14:paraId="227EB9DF"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C566A2E" w14:textId="77777777">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De la figura anterior se puede observar que la mayoría de asuntos entrados se concentra en la oficina de la Defensa Pública de Buenos Aires y en Bribri, seguido de las oficinas de Pérez Zeledón y </w:t>
      </w:r>
      <w:r w:rsidRPr="00AE1B2B">
        <w:rPr>
          <w:rFonts w:ascii="Times New Roman" w:hAnsi="Times New Roman" w:eastAsia="Arial" w:cs="Times New Roman"/>
          <w:sz w:val="26"/>
          <w:szCs w:val="26"/>
        </w:rPr>
        <w:lastRenderedPageBreak/>
        <w:t>Corredores (</w:t>
      </w:r>
      <w:r w:rsidRPr="00AE1B2B">
        <w:rPr>
          <w:rFonts w:ascii="Times New Roman" w:hAnsi="Times New Roman" w:eastAsia="Arial" w:cs="Times New Roman"/>
          <w:i/>
          <w:iCs/>
          <w:sz w:val="26"/>
          <w:szCs w:val="26"/>
        </w:rPr>
        <w:t>ambas en la zona sur</w:t>
      </w:r>
      <w:r w:rsidRPr="00AE1B2B">
        <w:rPr>
          <w:rFonts w:ascii="Times New Roman" w:hAnsi="Times New Roman" w:eastAsia="Arial" w:cs="Times New Roman"/>
          <w:sz w:val="26"/>
          <w:szCs w:val="26"/>
        </w:rPr>
        <w:t xml:space="preserve">). Además de que es interesante que la mayoría de asuntos entrados se concentren en la zona sur, es importante reflejar que en Buenos Aires prevalecen los asuntos penales, mientras que en Bribri los asuntos alimentarios. </w:t>
      </w:r>
    </w:p>
    <w:p w:rsidRPr="00AE1B2B" w:rsidR="009D3FB5" w:rsidP="00163B94" w:rsidRDefault="009D3FB5" w14:paraId="2A34536F" w14:textId="5D67E9A2">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Los asuntos agrarios se distribuyen principalmente en Buenos Aires y Bribri, en las demás oficinas la entrada anual es inferior a los 10 expedientes. </w:t>
      </w:r>
    </w:p>
    <w:p w:rsidRPr="00AE1B2B" w:rsidR="00753ECC" w:rsidP="00163B94" w:rsidRDefault="00753ECC" w14:paraId="767AC58A"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3471924E" w14:textId="5EF9403C">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En cuanto a los 87 expedientes clasificados en “</w:t>
      </w:r>
      <w:r w:rsidRPr="00AE1B2B">
        <w:rPr>
          <w:rFonts w:ascii="Times New Roman" w:hAnsi="Times New Roman" w:eastAsia="Arial" w:cs="Times New Roman"/>
          <w:i/>
          <w:iCs/>
          <w:sz w:val="26"/>
          <w:szCs w:val="26"/>
        </w:rPr>
        <w:t>Otras materias</w:t>
      </w:r>
      <w:r w:rsidRPr="00AE1B2B">
        <w:rPr>
          <w:rFonts w:ascii="Times New Roman" w:hAnsi="Times New Roman" w:eastAsia="Arial" w:cs="Times New Roman"/>
          <w:sz w:val="26"/>
          <w:szCs w:val="26"/>
        </w:rPr>
        <w:t>” en la oficina de Buenas Aires, 26 corresponden a asuntos de Penalización, 10 de materia laboral, 16 de Penal Juvenil y 19 de contravencional. A excepción de los asuntos laborales, estos son atendidos por recargo por el personal defensor penal.</w:t>
      </w:r>
    </w:p>
    <w:p w:rsidRPr="00AE1B2B" w:rsidR="00753ECC" w:rsidP="00163B94" w:rsidRDefault="00753ECC" w14:paraId="1B221671"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04069108" w14:textId="3B5D3B5C">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Finalmente, observamos que en circuito de Cartago (</w:t>
      </w:r>
      <w:r w:rsidRPr="00AE1B2B">
        <w:rPr>
          <w:rFonts w:ascii="Times New Roman" w:hAnsi="Times New Roman" w:eastAsia="Arial" w:cs="Times New Roman"/>
          <w:i/>
          <w:iCs/>
          <w:sz w:val="26"/>
          <w:szCs w:val="26"/>
        </w:rPr>
        <w:t>Turrialba y Cartago</w:t>
      </w:r>
      <w:r w:rsidRPr="00AE1B2B">
        <w:rPr>
          <w:rFonts w:ascii="Times New Roman" w:hAnsi="Times New Roman" w:eastAsia="Arial" w:cs="Times New Roman"/>
          <w:sz w:val="26"/>
          <w:szCs w:val="26"/>
        </w:rPr>
        <w:t>) ingresaron 60 asuntos en el periodo en estudio; donde predominó la entrada de asuntos alimentarios (</w:t>
      </w:r>
      <w:r w:rsidRPr="00AE1B2B">
        <w:rPr>
          <w:rFonts w:ascii="Times New Roman" w:hAnsi="Times New Roman" w:eastAsia="Arial" w:cs="Times New Roman"/>
          <w:i/>
          <w:iCs/>
          <w:sz w:val="26"/>
          <w:szCs w:val="26"/>
        </w:rPr>
        <w:t>65% de los asuntos entrados con persona usuaria indígena</w:t>
      </w:r>
      <w:r w:rsidRPr="00AE1B2B">
        <w:rPr>
          <w:rFonts w:ascii="Times New Roman" w:hAnsi="Times New Roman" w:eastAsia="Arial" w:cs="Times New Roman"/>
          <w:sz w:val="26"/>
          <w:szCs w:val="26"/>
        </w:rPr>
        <w:t>).</w:t>
      </w:r>
    </w:p>
    <w:p w:rsidRPr="00AE1B2B" w:rsidR="00753ECC" w:rsidP="00163B94" w:rsidRDefault="00753ECC" w14:paraId="02BB102B"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0AF69974" w14:textId="03A8DB58">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Análisis de asuntos activos (</w:t>
      </w:r>
      <w:r w:rsidRPr="00AE1B2B">
        <w:rPr>
          <w:rFonts w:ascii="Times New Roman" w:hAnsi="Times New Roman" w:cs="Times New Roman"/>
          <w:b/>
          <w:i/>
          <w:iCs/>
          <w:sz w:val="26"/>
          <w:szCs w:val="26"/>
        </w:rPr>
        <w:t>expedientes</w:t>
      </w:r>
      <w:r w:rsidRPr="00AE1B2B">
        <w:rPr>
          <w:rFonts w:ascii="Times New Roman" w:hAnsi="Times New Roman" w:cs="Times New Roman"/>
          <w:b/>
          <w:sz w:val="26"/>
          <w:szCs w:val="26"/>
        </w:rPr>
        <w:t>)</w:t>
      </w:r>
    </w:p>
    <w:p w:rsidRPr="00AE1B2B" w:rsidR="00753ECC" w:rsidP="00163B94" w:rsidRDefault="00753ECC" w14:paraId="7FF37F07" w14:textId="77777777">
      <w:pPr>
        <w:spacing w:before="120" w:after="120"/>
        <w:ind w:left="851" w:right="851" w:firstLine="709"/>
        <w:jc w:val="both"/>
        <w:rPr>
          <w:rFonts w:ascii="Times New Roman" w:hAnsi="Times New Roman" w:cs="Times New Roman"/>
          <w:b/>
          <w:sz w:val="26"/>
          <w:szCs w:val="26"/>
        </w:rPr>
      </w:pPr>
    </w:p>
    <w:p w:rsidRPr="00AE1B2B" w:rsidR="009D3FB5" w:rsidP="00163B94" w:rsidRDefault="009D3FB5" w14:paraId="3169BDCD" w14:textId="2060466E">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Como se explicó anteriormente, ante la imposibilidad de que la Administración de la Defensa Pública suministre la data de </w:t>
      </w:r>
      <w:r w:rsidRPr="00AE1B2B">
        <w:rPr>
          <w:rFonts w:ascii="Times New Roman" w:hAnsi="Times New Roman" w:eastAsia="Arial" w:cs="Times New Roman"/>
          <w:sz w:val="26"/>
          <w:szCs w:val="26"/>
          <w:u w:val="single"/>
        </w:rPr>
        <w:t>asuntos entrados en razón de la entrada en vigencia de la Ley 9593 de Acceso a la Justicia a Pueblos Indígenas</w:t>
      </w:r>
      <w:r w:rsidRPr="00AE1B2B">
        <w:rPr>
          <w:rFonts w:ascii="Times New Roman" w:hAnsi="Times New Roman" w:eastAsia="Arial" w:cs="Times New Roman"/>
          <w:sz w:val="26"/>
          <w:szCs w:val="26"/>
        </w:rPr>
        <w:t>, en el análisis de asuntos entrados no se evidencia el impacto real en la entrada producto a la ampliación de responsabilidades en razón de la citada ley. Sin embargo, la Defensa Pública si suministró la cantidad de asuntos activos con persona usuaria indígena en las materias que siempre han sido parte del servicio de la institución y, los asuntos activos que corresponden al impacto de ley.</w:t>
      </w:r>
    </w:p>
    <w:p w:rsidRPr="00AE1B2B" w:rsidR="00753ECC" w:rsidP="00163B94" w:rsidRDefault="00753ECC" w14:paraId="287AA216"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0A31FF7" w14:textId="2ACD98DE">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Es importante aclarar que, en el estudio técnico de plazas, la Dirección de Planificación considera como insumo esencial el movimiento de los asuntos en los despachos (</w:t>
      </w:r>
      <w:r w:rsidRPr="00AE1B2B">
        <w:rPr>
          <w:rFonts w:ascii="Times New Roman" w:hAnsi="Times New Roman" w:eastAsia="Arial" w:cs="Times New Roman"/>
          <w:i/>
          <w:iCs/>
          <w:sz w:val="26"/>
          <w:szCs w:val="26"/>
        </w:rPr>
        <w:t>asuntos</w:t>
      </w:r>
      <w:r w:rsidRPr="00AE1B2B">
        <w:rPr>
          <w:rFonts w:ascii="Times New Roman" w:hAnsi="Times New Roman" w:eastAsia="Arial" w:cs="Times New Roman"/>
          <w:sz w:val="26"/>
          <w:szCs w:val="26"/>
        </w:rPr>
        <w:t xml:space="preserve"> </w:t>
      </w:r>
      <w:r w:rsidRPr="00AE1B2B">
        <w:rPr>
          <w:rFonts w:ascii="Times New Roman" w:hAnsi="Times New Roman" w:eastAsia="Arial" w:cs="Times New Roman"/>
          <w:i/>
          <w:iCs/>
          <w:sz w:val="26"/>
          <w:szCs w:val="26"/>
        </w:rPr>
        <w:t>entrados y salidos</w:t>
      </w:r>
      <w:r w:rsidRPr="00AE1B2B">
        <w:rPr>
          <w:rFonts w:ascii="Times New Roman" w:hAnsi="Times New Roman" w:eastAsia="Arial" w:cs="Times New Roman"/>
          <w:sz w:val="26"/>
          <w:szCs w:val="26"/>
        </w:rPr>
        <w:t xml:space="preserve">), ya que permite este indicador permite calcular las cargas de trabajo reales de las personas servidoras judiciales. La cantidad de asuntos activos es un indicador importante para la medición de mora judicial y otros aspectos; sin embargo, no permite medir la cantidad </w:t>
      </w:r>
      <w:r w:rsidRPr="00AE1B2B">
        <w:rPr>
          <w:rFonts w:ascii="Times New Roman" w:hAnsi="Times New Roman" w:eastAsia="Arial" w:cs="Times New Roman"/>
          <w:sz w:val="26"/>
          <w:szCs w:val="26"/>
        </w:rPr>
        <w:lastRenderedPageBreak/>
        <w:t>real de expedientes tramitados, ya que depende de la duración de los procesos judiciales y, el objetivo es progresivamente disminuir la duración de los mismos, en concordancia a la misión de nuestra institución: “</w:t>
      </w:r>
      <w:r w:rsidRPr="00AE1B2B">
        <w:rPr>
          <w:rFonts w:ascii="Times New Roman" w:hAnsi="Times New Roman" w:eastAsia="Arial" w:cs="Times New Roman"/>
          <w:i/>
          <w:iCs/>
          <w:sz w:val="26"/>
          <w:szCs w:val="26"/>
        </w:rPr>
        <w:t>Administrar justicia pronta, cumplida y accesible, de conformidad con el ordenamiento jurídico para contribuir con la democracia, la paz social y el desarrollo sostenible del país</w:t>
      </w:r>
      <w:r w:rsidRPr="00AE1B2B">
        <w:rPr>
          <w:rFonts w:ascii="Times New Roman" w:hAnsi="Times New Roman" w:eastAsia="Arial" w:cs="Times New Roman"/>
          <w:sz w:val="26"/>
          <w:szCs w:val="26"/>
        </w:rPr>
        <w:t>”. Dada la explicación anterior, posteriormente se analizarán los asuntos entrados en el área jurisdiccional y se estimará la demanda de la Defensa Pública, en razón de los datos estadísticos de los despachos jurisdiccionales.</w:t>
      </w:r>
    </w:p>
    <w:p w:rsidRPr="00AE1B2B" w:rsidR="00753ECC" w:rsidP="00163B94" w:rsidRDefault="00753ECC" w14:paraId="2C6E5930"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D0E0CF0" w14:textId="72AD5C7A">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En la siguiente figura se muestra el comportamiento de los asuntos activos (</w:t>
      </w:r>
      <w:r w:rsidRPr="00AE1B2B">
        <w:rPr>
          <w:rFonts w:ascii="Times New Roman" w:hAnsi="Times New Roman" w:eastAsia="Arial" w:cs="Times New Roman"/>
          <w:i/>
          <w:iCs/>
          <w:sz w:val="26"/>
          <w:szCs w:val="26"/>
        </w:rPr>
        <w:t>circulante</w:t>
      </w:r>
      <w:r w:rsidRPr="00AE1B2B">
        <w:rPr>
          <w:rFonts w:ascii="Times New Roman" w:hAnsi="Times New Roman" w:eastAsia="Arial" w:cs="Times New Roman"/>
          <w:sz w:val="26"/>
          <w:szCs w:val="26"/>
        </w:rPr>
        <w:t>), reportado en la Defensa Pública en razón del impacto real producto de la promulgación de la Ley 9593 de Acceso a la Justicia a Pueblos Indígenas.</w:t>
      </w:r>
    </w:p>
    <w:p w:rsidRPr="00AE1B2B" w:rsidR="00753ECC" w:rsidP="00163B94" w:rsidRDefault="00753ECC" w14:paraId="7FC1A48F"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2F133498"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Figura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Figura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3</w:t>
      </w:r>
      <w:r w:rsidRPr="00AE1B2B">
        <w:rPr>
          <w:rFonts w:ascii="Times New Roman" w:hAnsi="Times New Roman" w:cs="Times New Roman"/>
          <w:sz w:val="26"/>
          <w:szCs w:val="26"/>
        </w:rPr>
        <w:fldChar w:fldCharType="end"/>
      </w:r>
    </w:p>
    <w:p w:rsidRPr="00AE1B2B" w:rsidR="009D3FB5" w:rsidP="00163B94" w:rsidRDefault="009D3FB5" w14:paraId="0ED58A28"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Comportamiento del circulante reportado por la Defensa Pública (</w:t>
      </w:r>
      <w:r w:rsidRPr="00AE1B2B">
        <w:rPr>
          <w:rFonts w:ascii="Times New Roman" w:hAnsi="Times New Roman" w:cs="Times New Roman"/>
          <w:i/>
          <w:iCs/>
          <w:sz w:val="26"/>
          <w:szCs w:val="26"/>
        </w:rPr>
        <w:t>a nivel nacional</w:t>
      </w:r>
      <w:r w:rsidRPr="00AE1B2B">
        <w:rPr>
          <w:rFonts w:ascii="Times New Roman" w:hAnsi="Times New Roman" w:cs="Times New Roman"/>
          <w:sz w:val="26"/>
          <w:szCs w:val="26"/>
        </w:rPr>
        <w:t>), en razón de la promulgación de la Ley 9593 de Acceso a la Justicia a Pueblos Indígenas</w:t>
      </w:r>
    </w:p>
    <w:p w:rsidRPr="00AE1B2B" w:rsidR="009D3FB5" w:rsidP="00163B94" w:rsidRDefault="009D3FB5" w14:paraId="3121D954" w14:textId="77777777">
      <w:pPr>
        <w:spacing w:before="120" w:after="120"/>
        <w:rPr>
          <w:rFonts w:ascii="Times New Roman" w:hAnsi="Times New Roman" w:eastAsia="Arial" w:cs="Times New Roman"/>
        </w:rPr>
      </w:pPr>
      <w:r w:rsidRPr="00AE1B2B">
        <w:rPr>
          <w:rFonts w:ascii="Times New Roman" w:hAnsi="Times New Roman" w:eastAsia="Arial" w:cs="Times New Roman"/>
          <w:noProof/>
          <w:lang w:val="en-US"/>
        </w:rPr>
        <w:drawing>
          <wp:inline distT="0" distB="0" distL="0" distR="0" wp14:anchorId="08907D20" wp14:editId="2A1CF48A">
            <wp:extent cx="5549705" cy="2767003"/>
            <wp:effectExtent l="0" t="0" r="0" b="0"/>
            <wp:docPr id="1212768260" name="Imagen 1212768260"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260" name="Imagen 1212768260" descr="Gráfico, Gráfico de líneas&#10;&#10;Descripción generada automáticamente"/>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71637" cy="2777938"/>
                    </a:xfrm>
                    <a:prstGeom prst="rect">
                      <a:avLst/>
                    </a:prstGeom>
                    <a:noFill/>
                  </pic:spPr>
                </pic:pic>
              </a:graphicData>
            </a:graphic>
          </wp:inline>
        </w:drawing>
      </w:r>
    </w:p>
    <w:p w:rsidRPr="00AE1B2B" w:rsidR="009D3FB5" w:rsidP="00163B94" w:rsidRDefault="009D3FB5" w14:paraId="7A9B3937" w14:textId="70CED0ED">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b/>
          <w:bCs/>
          <w:sz w:val="26"/>
          <w:szCs w:val="26"/>
        </w:rPr>
        <w:t>Fuente:</w:t>
      </w:r>
      <w:r w:rsidRPr="00AE1B2B">
        <w:rPr>
          <w:rFonts w:ascii="Times New Roman" w:hAnsi="Times New Roman" w:eastAsia="Arial" w:cs="Times New Roman"/>
          <w:sz w:val="26"/>
          <w:szCs w:val="26"/>
        </w:rPr>
        <w:t xml:space="preserve"> Subproceso de Modernización Institucional de la Dirección de Planificación, con datos facilitados por la Administración de la Defensa Pública.</w:t>
      </w:r>
    </w:p>
    <w:p w:rsidRPr="00AE1B2B" w:rsidR="00753ECC" w:rsidP="00163B94" w:rsidRDefault="00753ECC" w14:paraId="4932059D"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2FEEDAAF" w14:textId="1F0E3912">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lastRenderedPageBreak/>
        <w:t>En total, para el cierre de diciembre de 2019 se reporta un total de 192 expedientes en razón de las nuevas obligaciones de la Defensa Pública, producto de la promulgación de la Ley 9593, mientras que para el cierre de diciembre se reportan 362 asuntos; siendo que el comportamiento a nivel general ha sido al crecimiento (</w:t>
      </w:r>
      <w:r w:rsidRPr="00AE1B2B">
        <w:rPr>
          <w:rFonts w:ascii="Times New Roman" w:hAnsi="Times New Roman" w:eastAsia="Arial" w:cs="Times New Roman"/>
          <w:i/>
          <w:iCs/>
          <w:sz w:val="26"/>
          <w:szCs w:val="26"/>
        </w:rPr>
        <w:t>170 expedientes más que el año anterior</w:t>
      </w:r>
      <w:r w:rsidRPr="00AE1B2B">
        <w:rPr>
          <w:rFonts w:ascii="Times New Roman" w:hAnsi="Times New Roman" w:eastAsia="Arial" w:cs="Times New Roman"/>
          <w:sz w:val="26"/>
          <w:szCs w:val="26"/>
        </w:rPr>
        <w:t>).</w:t>
      </w:r>
    </w:p>
    <w:p w:rsidRPr="00AE1B2B" w:rsidR="00753ECC" w:rsidP="00163B94" w:rsidRDefault="00753ECC" w14:paraId="7FB023A1"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79482E08" w14:textId="2353CB41">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Haciendo el análisis por materias, donde se observa mayor incremento es en materia alimenticia (</w:t>
      </w:r>
      <w:r w:rsidRPr="00AE1B2B">
        <w:rPr>
          <w:rFonts w:ascii="Times New Roman" w:hAnsi="Times New Roman" w:eastAsia="Arial" w:cs="Times New Roman"/>
          <w:i/>
          <w:iCs/>
          <w:sz w:val="26"/>
          <w:szCs w:val="26"/>
        </w:rPr>
        <w:t>representación de personas usuarias demandadas</w:t>
      </w:r>
      <w:r w:rsidRPr="00AE1B2B">
        <w:rPr>
          <w:rFonts w:ascii="Times New Roman" w:hAnsi="Times New Roman" w:eastAsia="Arial" w:cs="Times New Roman"/>
          <w:sz w:val="26"/>
          <w:szCs w:val="26"/>
        </w:rPr>
        <w:t>), seguido de Familia, que por recargo es atendido por el personal de Pensiones Alimentarias. En ese sentido, como se explicó anteriormente, se estimará la demanda del servicio de la Defensa Pública más adelante, con base en los datos del área jurisdiccional.</w:t>
      </w:r>
    </w:p>
    <w:p w:rsidRPr="00AE1B2B" w:rsidR="00753ECC" w:rsidP="00163B94" w:rsidRDefault="00753ECC" w14:paraId="60A94884"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611AED87" w14:textId="594FC9DE">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En cuanto a materia contenciosa, se observa un crecimiento de 6 expedientes activos. De hecho, ese comportamiento casi constante fue descrito por el Doctor Roberto Montero García mediante la minuta 71-PLA-MI-MNTA-2021 del 01 de febrero de 2021; ya que el Doctor Montero García explicó que debido a la emergencia nacional provocada por la enfermedad COVID-29 percibe que la entrada de asuntos contenciosos disminuyó y, que hubo poco movimiento en su circulante, en razón de la suspensión de audiencias y diligencias y, cierres de zonas indígenas.</w:t>
      </w:r>
    </w:p>
    <w:p w:rsidRPr="00AE1B2B" w:rsidR="00753ECC" w:rsidP="00163B94" w:rsidRDefault="00753ECC" w14:paraId="65002249"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6117415D" w14:textId="51304627">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Los asuntos de Violencia Doméstica, por la dinámica actual de trabajo del personal defensor, son asumidos por las Defensoras y Defensores Públicos de Materia Penal (</w:t>
      </w:r>
      <w:r w:rsidRPr="00AE1B2B">
        <w:rPr>
          <w:rFonts w:ascii="Times New Roman" w:hAnsi="Times New Roman" w:eastAsia="Arial" w:cs="Times New Roman"/>
          <w:i/>
          <w:iCs/>
          <w:sz w:val="26"/>
          <w:szCs w:val="26"/>
        </w:rPr>
        <w:t>especialmente en los responsables de la tramitación de asuntos de Penalización</w:t>
      </w:r>
      <w:r w:rsidRPr="00AE1B2B">
        <w:rPr>
          <w:rFonts w:ascii="Times New Roman" w:hAnsi="Times New Roman" w:eastAsia="Arial" w:cs="Times New Roman"/>
          <w:sz w:val="26"/>
          <w:szCs w:val="26"/>
        </w:rPr>
        <w:t>); es por esto que los 22 expedientes se encuentran distribuidos en los defensores penales a nivel nacional.</w:t>
      </w:r>
    </w:p>
    <w:p w:rsidRPr="00AE1B2B" w:rsidR="00753ECC" w:rsidP="00163B94" w:rsidRDefault="00753ECC" w14:paraId="440014C5"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54336726" w14:textId="522991CC">
      <w:pPr>
        <w:spacing w:before="120" w:after="120"/>
        <w:ind w:left="851" w:right="851" w:firstLine="709"/>
        <w:jc w:val="both"/>
        <w:rPr>
          <w:rFonts w:ascii="Times New Roman" w:hAnsi="Times New Roman" w:cs="Times New Roman"/>
          <w:sz w:val="26"/>
          <w:szCs w:val="26"/>
        </w:rPr>
      </w:pPr>
      <w:r w:rsidRPr="00AE1B2B">
        <w:rPr>
          <w:rFonts w:ascii="Times New Roman" w:hAnsi="Times New Roman" w:eastAsia="Arial" w:cs="Times New Roman"/>
          <w:sz w:val="26"/>
          <w:szCs w:val="26"/>
        </w:rPr>
        <w:t>Finalmente, como se explicó en el informe 507-PLA-RH-MI-2020 (</w:t>
      </w:r>
      <w:r w:rsidRPr="00AE1B2B">
        <w:rPr>
          <w:rFonts w:ascii="Times New Roman" w:hAnsi="Times New Roman" w:eastAsia="Arial" w:cs="Times New Roman"/>
          <w:i/>
          <w:iCs/>
          <w:sz w:val="26"/>
          <w:szCs w:val="26"/>
        </w:rPr>
        <w:t>impacto de Ley 9593 para el presupuesto del año 2020</w:t>
      </w:r>
      <w:r w:rsidRPr="00AE1B2B">
        <w:rPr>
          <w:rFonts w:ascii="Times New Roman" w:hAnsi="Times New Roman" w:eastAsia="Arial" w:cs="Times New Roman"/>
          <w:sz w:val="26"/>
          <w:szCs w:val="26"/>
        </w:rPr>
        <w:t>) los 3 asuntos clasificados como “</w:t>
      </w:r>
      <w:r w:rsidRPr="00AE1B2B">
        <w:rPr>
          <w:rFonts w:ascii="Times New Roman" w:hAnsi="Times New Roman" w:eastAsia="Arial" w:cs="Times New Roman"/>
          <w:b/>
          <w:bCs/>
          <w:i/>
          <w:iCs/>
          <w:sz w:val="26"/>
          <w:szCs w:val="26"/>
        </w:rPr>
        <w:t>Otros</w:t>
      </w:r>
      <w:r w:rsidRPr="00AE1B2B">
        <w:rPr>
          <w:rFonts w:ascii="Times New Roman" w:hAnsi="Times New Roman" w:eastAsia="Arial" w:cs="Times New Roman"/>
          <w:sz w:val="26"/>
          <w:szCs w:val="26"/>
        </w:rPr>
        <w:t xml:space="preserve">” </w:t>
      </w:r>
      <w:r w:rsidRPr="00AE1B2B">
        <w:rPr>
          <w:rFonts w:ascii="Times New Roman" w:hAnsi="Times New Roman" w:cs="Times New Roman"/>
          <w:sz w:val="26"/>
          <w:szCs w:val="26"/>
        </w:rPr>
        <w:t>responden a una Querella y representaciones en materia de Tránsito; mismos que se asumen concluyeron, debido que el circulante al cierre de diciembre de 2020 no se reportan.</w:t>
      </w:r>
    </w:p>
    <w:p w:rsidRPr="00AE1B2B" w:rsidR="00753ECC" w:rsidP="00163B94" w:rsidRDefault="00753ECC" w14:paraId="1FCB1CD9"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791F97A2" w14:textId="3EEE53AB">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lastRenderedPageBreak/>
        <w:t xml:space="preserve">Ahora, en la siguiente figura se muestran los asuntos activos al cierre del 31 de enero de 2021, donde interviene al menos una persona usuaria indígena en las materias donde la Defensa Pública brindaba el servicio antes de la promulgación de la Ley 9593 de Acceso a la Justicia a Pueblos Indígenas. </w:t>
      </w:r>
    </w:p>
    <w:p w:rsidRPr="00AE1B2B" w:rsidR="009D3FB5" w:rsidP="00163B94" w:rsidRDefault="009D3FB5" w14:paraId="4C090821" w14:textId="77777777">
      <w:pPr>
        <w:pStyle w:val="Descripcin"/>
        <w:keepNext/>
        <w:spacing w:before="120" w:after="120"/>
        <w:ind w:left="851" w:right="851" w:firstLine="709"/>
        <w:jc w:val="both"/>
        <w:rPr>
          <w:rFonts w:ascii="Times New Roman" w:hAnsi="Times New Roman" w:cs="Times New Roman"/>
          <w:sz w:val="26"/>
          <w:szCs w:val="26"/>
        </w:rPr>
      </w:pPr>
    </w:p>
    <w:p w:rsidRPr="00AE1B2B" w:rsidR="009D3FB5" w:rsidP="00163B94" w:rsidRDefault="009D3FB5" w14:paraId="1189B19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A6E6191"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Tabla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Tabla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3</w:t>
      </w:r>
      <w:r w:rsidRPr="00AE1B2B">
        <w:rPr>
          <w:rFonts w:ascii="Times New Roman" w:hAnsi="Times New Roman" w:cs="Times New Roman"/>
          <w:sz w:val="26"/>
          <w:szCs w:val="26"/>
        </w:rPr>
        <w:fldChar w:fldCharType="end"/>
      </w:r>
    </w:p>
    <w:p w:rsidRPr="00AE1B2B" w:rsidR="009D3FB5" w:rsidP="00163B94" w:rsidRDefault="009D3FB5" w14:paraId="27A1D99C"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Asuntos activos donde interviene una persona indígena, en las materias donde la Defensa Pública brindaba el servicio profesional antes de la promulgación de la Ley 9593 de Acceso a la Justicia a Pueblos Indígenas</w:t>
      </w:r>
    </w:p>
    <w:tbl>
      <w:tblPr>
        <w:tblW w:w="5000" w:type="pct"/>
        <w:tblCellMar>
          <w:left w:w="70" w:type="dxa"/>
          <w:right w:w="70" w:type="dxa"/>
        </w:tblCellMar>
        <w:tblLook w:val="04A0" w:firstRow="1" w:lastRow="0" w:firstColumn="1" w:lastColumn="0" w:noHBand="0" w:noVBand="1"/>
      </w:tblPr>
      <w:tblGrid>
        <w:gridCol w:w="1494"/>
        <w:gridCol w:w="663"/>
        <w:gridCol w:w="1052"/>
        <w:gridCol w:w="882"/>
        <w:gridCol w:w="1319"/>
        <w:gridCol w:w="894"/>
        <w:gridCol w:w="821"/>
        <w:gridCol w:w="1064"/>
        <w:gridCol w:w="639"/>
      </w:tblGrid>
      <w:tr w:rsidRPr="00AE1B2B" w:rsidR="00AE1B2B" w:rsidTr="00753ECC" w14:paraId="03EC12CB" w14:textId="77777777">
        <w:trPr>
          <w:trHeight w:val="543"/>
        </w:trPr>
        <w:tc>
          <w:tcPr>
            <w:tcW w:w="846" w:type="pct"/>
            <w:tcBorders>
              <w:top w:val="single" w:color="auto" w:sz="4" w:space="0"/>
              <w:left w:val="single" w:color="auto" w:sz="4" w:space="0"/>
              <w:bottom w:val="single" w:color="auto" w:sz="4" w:space="0"/>
              <w:right w:val="single" w:color="auto" w:sz="4" w:space="0"/>
            </w:tcBorders>
            <w:shd w:val="clear" w:color="000000" w:fill="95B3D7"/>
            <w:vAlign w:val="center"/>
            <w:hideMark/>
          </w:tcPr>
          <w:p w:rsidRPr="00AE1B2B" w:rsidR="009D3FB5" w:rsidP="00163B94" w:rsidRDefault="009D3FB5" w14:paraId="0725F8A9"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Oficina</w:t>
            </w:r>
          </w:p>
        </w:tc>
        <w:tc>
          <w:tcPr>
            <w:tcW w:w="376"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56C12DB4"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Penal</w:t>
            </w:r>
          </w:p>
        </w:tc>
        <w:tc>
          <w:tcPr>
            <w:tcW w:w="596"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4C034914"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Pensiones Alimen-tarias</w:t>
            </w:r>
          </w:p>
        </w:tc>
        <w:tc>
          <w:tcPr>
            <w:tcW w:w="500"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35175351"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Agrario</w:t>
            </w:r>
          </w:p>
        </w:tc>
        <w:tc>
          <w:tcPr>
            <w:tcW w:w="747"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5AE4161A"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Penalización</w:t>
            </w:r>
          </w:p>
        </w:tc>
        <w:tc>
          <w:tcPr>
            <w:tcW w:w="506"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7B30CED0"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Laboral</w:t>
            </w:r>
          </w:p>
        </w:tc>
        <w:tc>
          <w:tcPr>
            <w:tcW w:w="465"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1A7B0CEF"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Penal Juvenil</w:t>
            </w:r>
          </w:p>
        </w:tc>
        <w:tc>
          <w:tcPr>
            <w:tcW w:w="603"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7DABDA9A"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Ejecución de la Pena</w:t>
            </w:r>
          </w:p>
        </w:tc>
        <w:tc>
          <w:tcPr>
            <w:tcW w:w="362"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44EE4579"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Total</w:t>
            </w:r>
          </w:p>
        </w:tc>
      </w:tr>
      <w:tr w:rsidRPr="00AE1B2B" w:rsidR="00AE1B2B" w:rsidTr="00753ECC" w14:paraId="081F2939" w14:textId="77777777">
        <w:trPr>
          <w:trHeight w:val="290"/>
        </w:trPr>
        <w:tc>
          <w:tcPr>
            <w:tcW w:w="8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1299B57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Buenos Aires</w:t>
            </w:r>
          </w:p>
        </w:tc>
        <w:tc>
          <w:tcPr>
            <w:tcW w:w="37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DD24C4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350</w:t>
            </w:r>
          </w:p>
        </w:tc>
        <w:tc>
          <w:tcPr>
            <w:tcW w:w="59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7C5EBC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84</w:t>
            </w:r>
          </w:p>
        </w:tc>
        <w:tc>
          <w:tcPr>
            <w:tcW w:w="50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EF422C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74</w:t>
            </w:r>
          </w:p>
        </w:tc>
        <w:tc>
          <w:tcPr>
            <w:tcW w:w="747"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6E6867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w:t>
            </w:r>
          </w:p>
        </w:tc>
        <w:tc>
          <w:tcPr>
            <w:tcW w:w="50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4C0F47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w:t>
            </w:r>
          </w:p>
        </w:tc>
        <w:tc>
          <w:tcPr>
            <w:tcW w:w="465"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96F81D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39</w:t>
            </w:r>
          </w:p>
        </w:tc>
        <w:tc>
          <w:tcPr>
            <w:tcW w:w="60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5D45A83" w14:textId="77777777">
            <w:pPr>
              <w:spacing w:before="120" w:after="120"/>
              <w:jc w:val="center"/>
              <w:rPr>
                <w:rFonts w:ascii="Times New Roman" w:hAnsi="Times New Roman" w:eastAsia="Times New Roman" w:cs="Times New Roman"/>
                <w:lang w:eastAsia="es-CR"/>
              </w:rPr>
            </w:pPr>
          </w:p>
        </w:tc>
        <w:tc>
          <w:tcPr>
            <w:tcW w:w="362"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EA12BED"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591</w:t>
            </w:r>
          </w:p>
        </w:tc>
      </w:tr>
      <w:tr w:rsidRPr="00AE1B2B" w:rsidR="00AE1B2B" w:rsidTr="00753ECC" w14:paraId="24A56528" w14:textId="77777777">
        <w:trPr>
          <w:trHeight w:val="290"/>
        </w:trPr>
        <w:tc>
          <w:tcPr>
            <w:tcW w:w="8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E7D289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Bribrí</w:t>
            </w:r>
          </w:p>
        </w:tc>
        <w:tc>
          <w:tcPr>
            <w:tcW w:w="37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28A8A7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363</w:t>
            </w:r>
          </w:p>
        </w:tc>
        <w:tc>
          <w:tcPr>
            <w:tcW w:w="59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7EDA7E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102</w:t>
            </w:r>
          </w:p>
        </w:tc>
        <w:tc>
          <w:tcPr>
            <w:tcW w:w="50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34F321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w:t>
            </w:r>
          </w:p>
        </w:tc>
        <w:tc>
          <w:tcPr>
            <w:tcW w:w="747"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04283A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35</w:t>
            </w:r>
          </w:p>
        </w:tc>
        <w:tc>
          <w:tcPr>
            <w:tcW w:w="50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2C0DCC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33</w:t>
            </w:r>
          </w:p>
        </w:tc>
        <w:tc>
          <w:tcPr>
            <w:tcW w:w="465"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BE2B2F5" w14:textId="77777777">
            <w:pPr>
              <w:spacing w:before="120" w:after="120"/>
              <w:jc w:val="center"/>
              <w:rPr>
                <w:rFonts w:ascii="Times New Roman" w:hAnsi="Times New Roman" w:eastAsia="Times New Roman" w:cs="Times New Roman"/>
                <w:lang w:eastAsia="es-CR"/>
              </w:rPr>
            </w:pPr>
          </w:p>
        </w:tc>
        <w:tc>
          <w:tcPr>
            <w:tcW w:w="60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2F833BB" w14:textId="77777777">
            <w:pPr>
              <w:spacing w:before="120" w:after="120"/>
              <w:jc w:val="center"/>
              <w:rPr>
                <w:rFonts w:ascii="Times New Roman" w:hAnsi="Times New Roman" w:eastAsia="Times New Roman" w:cs="Times New Roman"/>
                <w:lang w:eastAsia="es-CR"/>
              </w:rPr>
            </w:pPr>
          </w:p>
        </w:tc>
        <w:tc>
          <w:tcPr>
            <w:tcW w:w="362"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6E5456F"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546</w:t>
            </w:r>
          </w:p>
        </w:tc>
      </w:tr>
      <w:tr w:rsidRPr="00AE1B2B" w:rsidR="00AE1B2B" w:rsidTr="00753ECC" w14:paraId="797C52A3" w14:textId="77777777">
        <w:trPr>
          <w:trHeight w:val="290"/>
        </w:trPr>
        <w:tc>
          <w:tcPr>
            <w:tcW w:w="8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782671F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Turrialba</w:t>
            </w:r>
          </w:p>
        </w:tc>
        <w:tc>
          <w:tcPr>
            <w:tcW w:w="37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5EF9F8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75</w:t>
            </w:r>
          </w:p>
        </w:tc>
        <w:tc>
          <w:tcPr>
            <w:tcW w:w="59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4C90C7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w:t>
            </w:r>
          </w:p>
        </w:tc>
        <w:tc>
          <w:tcPr>
            <w:tcW w:w="50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FEEF64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w:t>
            </w:r>
          </w:p>
        </w:tc>
        <w:tc>
          <w:tcPr>
            <w:tcW w:w="747"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D6B20F0" w14:textId="77777777">
            <w:pPr>
              <w:spacing w:before="120" w:after="120"/>
              <w:jc w:val="center"/>
              <w:rPr>
                <w:rFonts w:ascii="Times New Roman" w:hAnsi="Times New Roman" w:eastAsia="Times New Roman" w:cs="Times New Roman"/>
                <w:lang w:eastAsia="es-CR"/>
              </w:rPr>
            </w:pPr>
          </w:p>
        </w:tc>
        <w:tc>
          <w:tcPr>
            <w:tcW w:w="50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1DB8FE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465"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F2C360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w:t>
            </w:r>
          </w:p>
        </w:tc>
        <w:tc>
          <w:tcPr>
            <w:tcW w:w="60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E20C131" w14:textId="77777777">
            <w:pPr>
              <w:spacing w:before="120" w:after="120"/>
              <w:jc w:val="center"/>
              <w:rPr>
                <w:rFonts w:ascii="Times New Roman" w:hAnsi="Times New Roman" w:eastAsia="Times New Roman" w:cs="Times New Roman"/>
                <w:lang w:eastAsia="es-CR"/>
              </w:rPr>
            </w:pPr>
          </w:p>
        </w:tc>
        <w:tc>
          <w:tcPr>
            <w:tcW w:w="362"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9A0662B"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114</w:t>
            </w:r>
          </w:p>
        </w:tc>
      </w:tr>
      <w:tr w:rsidRPr="00AE1B2B" w:rsidR="00AE1B2B" w:rsidTr="00753ECC" w14:paraId="23218375" w14:textId="77777777">
        <w:trPr>
          <w:trHeight w:val="290"/>
        </w:trPr>
        <w:tc>
          <w:tcPr>
            <w:tcW w:w="8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17B414F"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Limón</w:t>
            </w:r>
          </w:p>
        </w:tc>
        <w:tc>
          <w:tcPr>
            <w:tcW w:w="37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085448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w:t>
            </w:r>
          </w:p>
        </w:tc>
        <w:tc>
          <w:tcPr>
            <w:tcW w:w="59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3A3885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50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3B1AD5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21</w:t>
            </w:r>
          </w:p>
        </w:tc>
        <w:tc>
          <w:tcPr>
            <w:tcW w:w="747"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253F70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w:t>
            </w:r>
          </w:p>
        </w:tc>
        <w:tc>
          <w:tcPr>
            <w:tcW w:w="50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A390DF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465"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9D922E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60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A1BF86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362"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E14E853"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89</w:t>
            </w:r>
          </w:p>
        </w:tc>
      </w:tr>
      <w:tr w:rsidRPr="00AE1B2B" w:rsidR="00AE1B2B" w:rsidTr="00753ECC" w14:paraId="774915BA" w14:textId="77777777">
        <w:trPr>
          <w:trHeight w:val="290"/>
        </w:trPr>
        <w:tc>
          <w:tcPr>
            <w:tcW w:w="8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57BCE80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Coto Brus</w:t>
            </w:r>
          </w:p>
        </w:tc>
        <w:tc>
          <w:tcPr>
            <w:tcW w:w="37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51E748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56</w:t>
            </w:r>
          </w:p>
        </w:tc>
        <w:tc>
          <w:tcPr>
            <w:tcW w:w="59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C68BE3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w:t>
            </w:r>
          </w:p>
        </w:tc>
        <w:tc>
          <w:tcPr>
            <w:tcW w:w="50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9567B7B" w14:textId="77777777">
            <w:pPr>
              <w:spacing w:before="120" w:after="120"/>
              <w:jc w:val="center"/>
              <w:rPr>
                <w:rFonts w:ascii="Times New Roman" w:hAnsi="Times New Roman" w:eastAsia="Times New Roman" w:cs="Times New Roman"/>
                <w:lang w:eastAsia="es-CR"/>
              </w:rPr>
            </w:pPr>
          </w:p>
        </w:tc>
        <w:tc>
          <w:tcPr>
            <w:tcW w:w="747"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5CBF16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w:t>
            </w:r>
          </w:p>
        </w:tc>
        <w:tc>
          <w:tcPr>
            <w:tcW w:w="50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BF7EBF4" w14:textId="77777777">
            <w:pPr>
              <w:spacing w:before="120" w:after="120"/>
              <w:jc w:val="center"/>
              <w:rPr>
                <w:rFonts w:ascii="Times New Roman" w:hAnsi="Times New Roman" w:eastAsia="Times New Roman" w:cs="Times New Roman"/>
                <w:lang w:eastAsia="es-CR"/>
              </w:rPr>
            </w:pPr>
          </w:p>
        </w:tc>
        <w:tc>
          <w:tcPr>
            <w:tcW w:w="465"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123E80D" w14:textId="77777777">
            <w:pPr>
              <w:spacing w:before="120" w:after="120"/>
              <w:jc w:val="center"/>
              <w:rPr>
                <w:rFonts w:ascii="Times New Roman" w:hAnsi="Times New Roman" w:eastAsia="Times New Roman" w:cs="Times New Roman"/>
                <w:lang w:eastAsia="es-CR"/>
              </w:rPr>
            </w:pPr>
          </w:p>
        </w:tc>
        <w:tc>
          <w:tcPr>
            <w:tcW w:w="60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98A1097" w14:textId="77777777">
            <w:pPr>
              <w:spacing w:before="120" w:after="120"/>
              <w:jc w:val="center"/>
              <w:rPr>
                <w:rFonts w:ascii="Times New Roman" w:hAnsi="Times New Roman" w:eastAsia="Times New Roman" w:cs="Times New Roman"/>
                <w:lang w:eastAsia="es-CR"/>
              </w:rPr>
            </w:pPr>
          </w:p>
        </w:tc>
        <w:tc>
          <w:tcPr>
            <w:tcW w:w="362"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0AB50D6"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85</w:t>
            </w:r>
          </w:p>
        </w:tc>
      </w:tr>
      <w:tr w:rsidRPr="00AE1B2B" w:rsidR="00AE1B2B" w:rsidTr="00753ECC" w14:paraId="008836D7" w14:textId="77777777">
        <w:trPr>
          <w:trHeight w:val="290"/>
        </w:trPr>
        <w:tc>
          <w:tcPr>
            <w:tcW w:w="8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9D387A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Corredores</w:t>
            </w:r>
          </w:p>
        </w:tc>
        <w:tc>
          <w:tcPr>
            <w:tcW w:w="37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30871C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w:t>
            </w:r>
          </w:p>
        </w:tc>
        <w:tc>
          <w:tcPr>
            <w:tcW w:w="59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601C426" w14:textId="77777777">
            <w:pPr>
              <w:spacing w:before="120" w:after="120"/>
              <w:jc w:val="center"/>
              <w:rPr>
                <w:rFonts w:ascii="Times New Roman" w:hAnsi="Times New Roman" w:eastAsia="Times New Roman" w:cs="Times New Roman"/>
                <w:lang w:eastAsia="es-CR"/>
              </w:rPr>
            </w:pPr>
          </w:p>
        </w:tc>
        <w:tc>
          <w:tcPr>
            <w:tcW w:w="50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CCEAC0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w:t>
            </w:r>
          </w:p>
        </w:tc>
        <w:tc>
          <w:tcPr>
            <w:tcW w:w="747"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FA9D07E" w14:textId="77777777">
            <w:pPr>
              <w:spacing w:before="120" w:after="120"/>
              <w:jc w:val="center"/>
              <w:rPr>
                <w:rFonts w:ascii="Times New Roman" w:hAnsi="Times New Roman" w:eastAsia="Times New Roman" w:cs="Times New Roman"/>
                <w:lang w:eastAsia="es-CR"/>
              </w:rPr>
            </w:pPr>
          </w:p>
        </w:tc>
        <w:tc>
          <w:tcPr>
            <w:tcW w:w="50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0B07712" w14:textId="77777777">
            <w:pPr>
              <w:spacing w:before="120" w:after="120"/>
              <w:jc w:val="center"/>
              <w:rPr>
                <w:rFonts w:ascii="Times New Roman" w:hAnsi="Times New Roman" w:eastAsia="Times New Roman" w:cs="Times New Roman"/>
                <w:lang w:eastAsia="es-CR"/>
              </w:rPr>
            </w:pPr>
          </w:p>
        </w:tc>
        <w:tc>
          <w:tcPr>
            <w:tcW w:w="465"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CD4CCC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w:t>
            </w:r>
          </w:p>
        </w:tc>
        <w:tc>
          <w:tcPr>
            <w:tcW w:w="60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AC09C99" w14:textId="77777777">
            <w:pPr>
              <w:spacing w:before="120" w:after="120"/>
              <w:jc w:val="center"/>
              <w:rPr>
                <w:rFonts w:ascii="Times New Roman" w:hAnsi="Times New Roman" w:eastAsia="Times New Roman" w:cs="Times New Roman"/>
                <w:lang w:eastAsia="es-CR"/>
              </w:rPr>
            </w:pPr>
          </w:p>
        </w:tc>
        <w:tc>
          <w:tcPr>
            <w:tcW w:w="362"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A447D51"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48</w:t>
            </w:r>
          </w:p>
        </w:tc>
      </w:tr>
      <w:tr w:rsidRPr="00AE1B2B" w:rsidR="00AE1B2B" w:rsidTr="00753ECC" w14:paraId="2E02CEAB" w14:textId="77777777">
        <w:trPr>
          <w:trHeight w:val="290"/>
        </w:trPr>
        <w:tc>
          <w:tcPr>
            <w:tcW w:w="8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4AC823E"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Guatuso</w:t>
            </w:r>
          </w:p>
        </w:tc>
        <w:tc>
          <w:tcPr>
            <w:tcW w:w="37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90D377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w:t>
            </w:r>
          </w:p>
        </w:tc>
        <w:tc>
          <w:tcPr>
            <w:tcW w:w="59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B16161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50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959ADD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w:t>
            </w:r>
          </w:p>
        </w:tc>
        <w:tc>
          <w:tcPr>
            <w:tcW w:w="747"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06E1FBD" w14:textId="77777777">
            <w:pPr>
              <w:spacing w:before="120" w:after="120"/>
              <w:jc w:val="center"/>
              <w:rPr>
                <w:rFonts w:ascii="Times New Roman" w:hAnsi="Times New Roman" w:eastAsia="Times New Roman" w:cs="Times New Roman"/>
                <w:lang w:eastAsia="es-CR"/>
              </w:rPr>
            </w:pPr>
          </w:p>
        </w:tc>
        <w:tc>
          <w:tcPr>
            <w:tcW w:w="50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BC4765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465"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AFBE767" w14:textId="77777777">
            <w:pPr>
              <w:spacing w:before="120" w:after="120"/>
              <w:jc w:val="center"/>
              <w:rPr>
                <w:rFonts w:ascii="Times New Roman" w:hAnsi="Times New Roman" w:eastAsia="Times New Roman" w:cs="Times New Roman"/>
                <w:lang w:eastAsia="es-CR"/>
              </w:rPr>
            </w:pPr>
          </w:p>
        </w:tc>
        <w:tc>
          <w:tcPr>
            <w:tcW w:w="60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CE93C7F" w14:textId="77777777">
            <w:pPr>
              <w:spacing w:before="120" w:after="120"/>
              <w:jc w:val="center"/>
              <w:rPr>
                <w:rFonts w:ascii="Times New Roman" w:hAnsi="Times New Roman" w:eastAsia="Times New Roman" w:cs="Times New Roman"/>
                <w:lang w:eastAsia="es-CR"/>
              </w:rPr>
            </w:pPr>
          </w:p>
        </w:tc>
        <w:tc>
          <w:tcPr>
            <w:tcW w:w="362"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AC2CB6C"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43</w:t>
            </w:r>
          </w:p>
        </w:tc>
      </w:tr>
      <w:tr w:rsidRPr="00AE1B2B" w:rsidR="00AE1B2B" w:rsidTr="00753ECC" w14:paraId="399FFC52" w14:textId="77777777">
        <w:trPr>
          <w:trHeight w:val="290"/>
        </w:trPr>
        <w:tc>
          <w:tcPr>
            <w:tcW w:w="8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CBF473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Cartago</w:t>
            </w:r>
          </w:p>
        </w:tc>
        <w:tc>
          <w:tcPr>
            <w:tcW w:w="37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11B112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59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66E8DD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50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A4353A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37</w:t>
            </w:r>
          </w:p>
        </w:tc>
        <w:tc>
          <w:tcPr>
            <w:tcW w:w="747"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3EE225D" w14:textId="77777777">
            <w:pPr>
              <w:spacing w:before="120" w:after="120"/>
              <w:jc w:val="center"/>
              <w:rPr>
                <w:rFonts w:ascii="Times New Roman" w:hAnsi="Times New Roman" w:eastAsia="Times New Roman" w:cs="Times New Roman"/>
                <w:lang w:eastAsia="es-CR"/>
              </w:rPr>
            </w:pPr>
          </w:p>
        </w:tc>
        <w:tc>
          <w:tcPr>
            <w:tcW w:w="50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1A90FB1" w14:textId="77777777">
            <w:pPr>
              <w:spacing w:before="120" w:after="120"/>
              <w:jc w:val="center"/>
              <w:rPr>
                <w:rFonts w:ascii="Times New Roman" w:hAnsi="Times New Roman" w:eastAsia="Times New Roman" w:cs="Times New Roman"/>
                <w:lang w:eastAsia="es-CR"/>
              </w:rPr>
            </w:pPr>
          </w:p>
        </w:tc>
        <w:tc>
          <w:tcPr>
            <w:tcW w:w="465"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DCBE532" w14:textId="77777777">
            <w:pPr>
              <w:spacing w:before="120" w:after="120"/>
              <w:jc w:val="center"/>
              <w:rPr>
                <w:rFonts w:ascii="Times New Roman" w:hAnsi="Times New Roman" w:eastAsia="Times New Roman" w:cs="Times New Roman"/>
                <w:lang w:eastAsia="es-CR"/>
              </w:rPr>
            </w:pPr>
          </w:p>
        </w:tc>
        <w:tc>
          <w:tcPr>
            <w:tcW w:w="60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2249E94" w14:textId="77777777">
            <w:pPr>
              <w:spacing w:before="120" w:after="120"/>
              <w:jc w:val="center"/>
              <w:rPr>
                <w:rFonts w:ascii="Times New Roman" w:hAnsi="Times New Roman" w:eastAsia="Times New Roman" w:cs="Times New Roman"/>
                <w:lang w:eastAsia="es-CR"/>
              </w:rPr>
            </w:pPr>
          </w:p>
        </w:tc>
        <w:tc>
          <w:tcPr>
            <w:tcW w:w="362"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1E497CB"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41</w:t>
            </w:r>
          </w:p>
        </w:tc>
      </w:tr>
      <w:tr w:rsidRPr="00AE1B2B" w:rsidR="00AE1B2B" w:rsidTr="00753ECC" w14:paraId="2BA25753" w14:textId="77777777">
        <w:trPr>
          <w:trHeight w:val="290"/>
        </w:trPr>
        <w:tc>
          <w:tcPr>
            <w:tcW w:w="8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99FAAC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Demás oficinas</w:t>
            </w:r>
          </w:p>
        </w:tc>
        <w:tc>
          <w:tcPr>
            <w:tcW w:w="37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D66C49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58</w:t>
            </w:r>
          </w:p>
        </w:tc>
        <w:tc>
          <w:tcPr>
            <w:tcW w:w="59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A8FE4B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w:t>
            </w:r>
          </w:p>
        </w:tc>
        <w:tc>
          <w:tcPr>
            <w:tcW w:w="50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D45110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w:t>
            </w:r>
          </w:p>
        </w:tc>
        <w:tc>
          <w:tcPr>
            <w:tcW w:w="747"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DA9F76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w:t>
            </w:r>
          </w:p>
        </w:tc>
        <w:tc>
          <w:tcPr>
            <w:tcW w:w="506"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C85126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w:t>
            </w:r>
          </w:p>
        </w:tc>
        <w:tc>
          <w:tcPr>
            <w:tcW w:w="465"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820713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w:t>
            </w:r>
          </w:p>
        </w:tc>
        <w:tc>
          <w:tcPr>
            <w:tcW w:w="60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FA3CC0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w:t>
            </w:r>
          </w:p>
        </w:tc>
        <w:tc>
          <w:tcPr>
            <w:tcW w:w="362"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9D71736"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148</w:t>
            </w:r>
          </w:p>
        </w:tc>
      </w:tr>
      <w:tr w:rsidRPr="00AE1B2B" w:rsidR="00AE1B2B" w:rsidTr="00753ECC" w14:paraId="7B9E6979" w14:textId="77777777">
        <w:trPr>
          <w:trHeight w:val="290"/>
        </w:trPr>
        <w:tc>
          <w:tcPr>
            <w:tcW w:w="846" w:type="pct"/>
            <w:tcBorders>
              <w:top w:val="nil"/>
              <w:left w:val="single" w:color="auto" w:sz="4" w:space="0"/>
              <w:bottom w:val="single" w:color="auto" w:sz="4" w:space="0"/>
              <w:right w:val="single" w:color="auto" w:sz="4" w:space="0"/>
            </w:tcBorders>
            <w:shd w:val="clear" w:color="000000" w:fill="D9D9D9"/>
            <w:noWrap/>
            <w:vAlign w:val="bottom"/>
            <w:hideMark/>
          </w:tcPr>
          <w:p w:rsidRPr="00AE1B2B" w:rsidR="009D3FB5" w:rsidP="00163B94" w:rsidRDefault="009D3FB5" w14:paraId="0DFCC36D"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Total</w:t>
            </w:r>
          </w:p>
        </w:tc>
        <w:tc>
          <w:tcPr>
            <w:tcW w:w="376" w:type="pct"/>
            <w:tcBorders>
              <w:top w:val="nil"/>
              <w:left w:val="nil"/>
              <w:bottom w:val="single" w:color="auto" w:sz="4" w:space="0"/>
              <w:right w:val="single" w:color="auto" w:sz="4" w:space="0"/>
            </w:tcBorders>
            <w:shd w:val="clear" w:color="000000" w:fill="D9D9D9"/>
            <w:noWrap/>
            <w:vAlign w:val="bottom"/>
            <w:hideMark/>
          </w:tcPr>
          <w:p w:rsidRPr="00AE1B2B" w:rsidR="009D3FB5" w:rsidP="00163B94" w:rsidRDefault="009D3FB5" w14:paraId="34E1EFE2"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962</w:t>
            </w:r>
          </w:p>
        </w:tc>
        <w:tc>
          <w:tcPr>
            <w:tcW w:w="596" w:type="pct"/>
            <w:tcBorders>
              <w:top w:val="nil"/>
              <w:left w:val="nil"/>
              <w:bottom w:val="single" w:color="auto" w:sz="4" w:space="0"/>
              <w:right w:val="single" w:color="auto" w:sz="4" w:space="0"/>
            </w:tcBorders>
            <w:shd w:val="clear" w:color="000000" w:fill="D9D9D9"/>
            <w:noWrap/>
            <w:vAlign w:val="bottom"/>
            <w:hideMark/>
          </w:tcPr>
          <w:p w:rsidRPr="00AE1B2B" w:rsidR="009D3FB5" w:rsidP="00163B94" w:rsidRDefault="009D3FB5" w14:paraId="5ABC8F49"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234</w:t>
            </w:r>
          </w:p>
        </w:tc>
        <w:tc>
          <w:tcPr>
            <w:tcW w:w="500" w:type="pct"/>
            <w:tcBorders>
              <w:top w:val="nil"/>
              <w:left w:val="nil"/>
              <w:bottom w:val="single" w:color="auto" w:sz="4" w:space="0"/>
              <w:right w:val="single" w:color="auto" w:sz="4" w:space="0"/>
            </w:tcBorders>
            <w:shd w:val="clear" w:color="000000" w:fill="D9D9D9"/>
            <w:noWrap/>
            <w:vAlign w:val="bottom"/>
            <w:hideMark/>
          </w:tcPr>
          <w:p w:rsidRPr="00AE1B2B" w:rsidR="009D3FB5" w:rsidP="00163B94" w:rsidRDefault="009D3FB5" w14:paraId="0ED1C9BA"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218</w:t>
            </w:r>
          </w:p>
        </w:tc>
        <w:tc>
          <w:tcPr>
            <w:tcW w:w="747" w:type="pct"/>
            <w:tcBorders>
              <w:top w:val="nil"/>
              <w:left w:val="nil"/>
              <w:bottom w:val="single" w:color="auto" w:sz="4" w:space="0"/>
              <w:right w:val="single" w:color="auto" w:sz="4" w:space="0"/>
            </w:tcBorders>
            <w:shd w:val="clear" w:color="000000" w:fill="D9D9D9"/>
            <w:noWrap/>
            <w:vAlign w:val="bottom"/>
            <w:hideMark/>
          </w:tcPr>
          <w:p w:rsidRPr="00AE1B2B" w:rsidR="009D3FB5" w:rsidP="00163B94" w:rsidRDefault="009D3FB5" w14:paraId="21348EC2"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108</w:t>
            </w:r>
          </w:p>
        </w:tc>
        <w:tc>
          <w:tcPr>
            <w:tcW w:w="506" w:type="pct"/>
            <w:tcBorders>
              <w:top w:val="nil"/>
              <w:left w:val="nil"/>
              <w:bottom w:val="single" w:color="auto" w:sz="4" w:space="0"/>
              <w:right w:val="single" w:color="auto" w:sz="4" w:space="0"/>
            </w:tcBorders>
            <w:shd w:val="clear" w:color="000000" w:fill="D9D9D9"/>
            <w:noWrap/>
            <w:vAlign w:val="bottom"/>
            <w:hideMark/>
          </w:tcPr>
          <w:p w:rsidRPr="00AE1B2B" w:rsidR="009D3FB5" w:rsidP="00163B94" w:rsidRDefault="009D3FB5" w14:paraId="78556611"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90</w:t>
            </w:r>
          </w:p>
        </w:tc>
        <w:tc>
          <w:tcPr>
            <w:tcW w:w="465" w:type="pct"/>
            <w:tcBorders>
              <w:top w:val="nil"/>
              <w:left w:val="nil"/>
              <w:bottom w:val="single" w:color="auto" w:sz="4" w:space="0"/>
              <w:right w:val="single" w:color="auto" w:sz="4" w:space="0"/>
            </w:tcBorders>
            <w:shd w:val="clear" w:color="000000" w:fill="D9D9D9"/>
            <w:noWrap/>
            <w:vAlign w:val="bottom"/>
            <w:hideMark/>
          </w:tcPr>
          <w:p w:rsidRPr="00AE1B2B" w:rsidR="009D3FB5" w:rsidP="00163B94" w:rsidRDefault="009D3FB5" w14:paraId="7F397FDA"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79</w:t>
            </w:r>
          </w:p>
        </w:tc>
        <w:tc>
          <w:tcPr>
            <w:tcW w:w="603" w:type="pct"/>
            <w:tcBorders>
              <w:top w:val="nil"/>
              <w:left w:val="nil"/>
              <w:bottom w:val="single" w:color="auto" w:sz="4" w:space="0"/>
              <w:right w:val="single" w:color="auto" w:sz="4" w:space="0"/>
            </w:tcBorders>
            <w:shd w:val="clear" w:color="000000" w:fill="D9D9D9"/>
            <w:noWrap/>
            <w:vAlign w:val="bottom"/>
            <w:hideMark/>
          </w:tcPr>
          <w:p w:rsidRPr="00AE1B2B" w:rsidR="009D3FB5" w:rsidP="00163B94" w:rsidRDefault="009D3FB5" w14:paraId="5BEABAC4"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14</w:t>
            </w:r>
          </w:p>
        </w:tc>
        <w:tc>
          <w:tcPr>
            <w:tcW w:w="362" w:type="pct"/>
            <w:tcBorders>
              <w:top w:val="nil"/>
              <w:left w:val="nil"/>
              <w:bottom w:val="single" w:color="auto" w:sz="4" w:space="0"/>
              <w:right w:val="single" w:color="auto" w:sz="4" w:space="0"/>
            </w:tcBorders>
            <w:shd w:val="clear" w:color="000000" w:fill="D9D9D9"/>
            <w:noWrap/>
            <w:vAlign w:val="bottom"/>
            <w:hideMark/>
          </w:tcPr>
          <w:p w:rsidRPr="00AE1B2B" w:rsidR="009D3FB5" w:rsidP="00163B94" w:rsidRDefault="009D3FB5" w14:paraId="570BD2AF"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1705</w:t>
            </w:r>
          </w:p>
        </w:tc>
      </w:tr>
    </w:tbl>
    <w:p w:rsidRPr="00AE1B2B" w:rsidR="00753ECC" w:rsidP="00163B94" w:rsidRDefault="009D3FB5" w14:paraId="37FA60F4" w14:textId="134FCB2D">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b/>
          <w:bCs/>
          <w:sz w:val="26"/>
          <w:szCs w:val="26"/>
        </w:rPr>
        <w:t>Fuente:</w:t>
      </w:r>
      <w:r w:rsidRPr="00AE1B2B">
        <w:rPr>
          <w:rFonts w:ascii="Times New Roman" w:hAnsi="Times New Roman" w:eastAsia="Arial" w:cs="Times New Roman"/>
          <w:sz w:val="26"/>
          <w:szCs w:val="26"/>
        </w:rPr>
        <w:t xml:space="preserve"> Subproceso de Modernización Institucional de la Dirección de Planificación, con datos facilitados por la Admin</w:t>
      </w:r>
      <w:r w:rsidRPr="00AE1B2B" w:rsidR="00753ECC">
        <w:rPr>
          <w:rFonts w:ascii="Times New Roman" w:hAnsi="Times New Roman" w:eastAsia="Arial" w:cs="Times New Roman"/>
          <w:sz w:val="26"/>
          <w:szCs w:val="26"/>
        </w:rPr>
        <w:t>istración de la Defensa Pública.</w:t>
      </w:r>
    </w:p>
    <w:p w:rsidRPr="00AE1B2B" w:rsidR="00753ECC" w:rsidP="00163B94" w:rsidRDefault="00753ECC" w14:paraId="7732376A"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6E81BF92" w14:textId="5C84D4F1">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Las oficinas que se segregan en la tabla anterior representan el 90% de la totalidad de asuntos activos con persona usuaria indígena reportados a nivel nacional. Y, las materias mostradas, a diferencia </w:t>
      </w:r>
      <w:r w:rsidRPr="00AE1B2B">
        <w:rPr>
          <w:rFonts w:ascii="Times New Roman" w:hAnsi="Times New Roman" w:eastAsia="Arial" w:cs="Times New Roman"/>
          <w:sz w:val="26"/>
          <w:szCs w:val="26"/>
        </w:rPr>
        <w:lastRenderedPageBreak/>
        <w:t xml:space="preserve">de la </w:t>
      </w:r>
      <w:r w:rsidRPr="00AE1B2B">
        <w:rPr>
          <w:rFonts w:ascii="Times New Roman" w:hAnsi="Times New Roman" w:eastAsia="Arial" w:cs="Times New Roman"/>
          <w:b/>
          <w:bCs/>
          <w:i/>
          <w:iCs/>
          <w:sz w:val="26"/>
          <w:szCs w:val="26"/>
        </w:rPr>
        <w:fldChar w:fldCharType="begin"/>
      </w:r>
      <w:r w:rsidRPr="00AE1B2B">
        <w:rPr>
          <w:rFonts w:ascii="Times New Roman" w:hAnsi="Times New Roman" w:eastAsia="Arial" w:cs="Times New Roman"/>
          <w:b/>
          <w:bCs/>
          <w:i/>
          <w:iCs/>
          <w:sz w:val="26"/>
          <w:szCs w:val="26"/>
        </w:rPr>
        <w:instrText xml:space="preserve"> REF _Ref64022106 \h  \* MERGEFORMAT </w:instrText>
      </w:r>
      <w:r w:rsidRPr="00AE1B2B">
        <w:rPr>
          <w:rFonts w:ascii="Times New Roman" w:hAnsi="Times New Roman" w:eastAsia="Arial" w:cs="Times New Roman"/>
          <w:b/>
          <w:bCs/>
          <w:i/>
          <w:iCs/>
          <w:sz w:val="26"/>
          <w:szCs w:val="26"/>
        </w:rPr>
      </w:r>
      <w:r w:rsidRPr="00AE1B2B">
        <w:rPr>
          <w:rFonts w:ascii="Times New Roman" w:hAnsi="Times New Roman" w:eastAsia="Arial" w:cs="Times New Roman"/>
          <w:b/>
          <w:bCs/>
          <w:i/>
          <w:iCs/>
          <w:sz w:val="26"/>
          <w:szCs w:val="26"/>
        </w:rPr>
        <w:fldChar w:fldCharType="separate"/>
      </w:r>
      <w:r w:rsidRPr="00AE1B2B">
        <w:rPr>
          <w:rFonts w:ascii="Times New Roman" w:hAnsi="Times New Roman" w:cs="Times New Roman"/>
          <w:b/>
          <w:bCs/>
          <w:i/>
          <w:iCs/>
          <w:sz w:val="26"/>
          <w:szCs w:val="26"/>
        </w:rPr>
        <w:t xml:space="preserve">Tabla </w:t>
      </w:r>
      <w:r w:rsidRPr="00AE1B2B">
        <w:rPr>
          <w:rFonts w:ascii="Times New Roman" w:hAnsi="Times New Roman" w:cs="Times New Roman"/>
          <w:b/>
          <w:bCs/>
          <w:i/>
          <w:iCs/>
          <w:noProof/>
          <w:sz w:val="26"/>
          <w:szCs w:val="26"/>
        </w:rPr>
        <w:t>2</w:t>
      </w:r>
      <w:r w:rsidRPr="00AE1B2B">
        <w:rPr>
          <w:rFonts w:ascii="Times New Roman" w:hAnsi="Times New Roman" w:eastAsia="Arial" w:cs="Times New Roman"/>
          <w:b/>
          <w:bCs/>
          <w:i/>
          <w:iCs/>
          <w:sz w:val="26"/>
          <w:szCs w:val="26"/>
        </w:rPr>
        <w:fldChar w:fldCharType="end"/>
      </w:r>
      <w:r w:rsidRPr="00AE1B2B">
        <w:rPr>
          <w:rFonts w:ascii="Times New Roman" w:hAnsi="Times New Roman" w:eastAsia="Arial" w:cs="Times New Roman"/>
          <w:sz w:val="26"/>
          <w:szCs w:val="26"/>
        </w:rPr>
        <w:t>, corresponde al servicio que la Defensa Pública siempre ha brindado a los ciudadanos, no manifiesta las nuevas obligaciones impuestas por la Ley 9593.</w:t>
      </w:r>
    </w:p>
    <w:p w:rsidRPr="00AE1B2B" w:rsidR="00753ECC" w:rsidP="00163B94" w:rsidRDefault="00753ECC" w14:paraId="6EEA1011"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029F2F31" w14:textId="2477594F">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Como era de esperarse, debido al análisis realizado en cuando a la entrada de asuntos por materia, más del 80% de los asuntos activos (</w:t>
      </w:r>
      <w:r w:rsidRPr="00AE1B2B">
        <w:rPr>
          <w:rFonts w:ascii="Times New Roman" w:hAnsi="Times New Roman" w:eastAsia="Arial" w:cs="Times New Roman"/>
          <w:i/>
          <w:iCs/>
          <w:sz w:val="26"/>
          <w:szCs w:val="26"/>
        </w:rPr>
        <w:t>circulante</w:t>
      </w:r>
      <w:r w:rsidRPr="00AE1B2B">
        <w:rPr>
          <w:rFonts w:ascii="Times New Roman" w:hAnsi="Times New Roman" w:eastAsia="Arial" w:cs="Times New Roman"/>
          <w:sz w:val="26"/>
          <w:szCs w:val="26"/>
        </w:rPr>
        <w:t xml:space="preserve">) se concentra en materia penal, alimenticia y agraria. Y, como era de esperarse, las oficinas donde se concentran lo asuntos activos con persona usuaria indígena son Buenos Aires y Bribri. </w:t>
      </w:r>
    </w:p>
    <w:p w:rsidRPr="00AE1B2B" w:rsidR="00753ECC" w:rsidP="00163B94" w:rsidRDefault="00753ECC" w14:paraId="11A9EC5E"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2FE214B0" w14:textId="3EDD7C42">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Es importante observar que, aunque en Bribri la entrada de asuntos alimentarios es más alto que en materia Penal; los asuntos activos son más en penal, lo que podría estar asociado directamente a la duración en la resolución de los procesos judiciales o bien, a la actualización del circulante reportado por el personal defensor. Esta situación no se refleja en Buenos Aires, ya que la entrada de asuntos de la oficina es mayor en materia penal que en materia alimentaria y, la cantidad de asuntos activos es congruente a la entrada, siendo superiores los asuntos penales a los alimentarios.</w:t>
      </w:r>
    </w:p>
    <w:p w:rsidRPr="00AE1B2B" w:rsidR="00753ECC" w:rsidP="00163B94" w:rsidRDefault="00753ECC" w14:paraId="51F4CCF6"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0F406C06" w14:textId="3767E32B">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En cuanto a los asuntos activos reportados en materia agraria, la mayoría de asuntos activos se reportan en Buenos Aires (</w:t>
      </w:r>
      <w:r w:rsidRPr="00AE1B2B">
        <w:rPr>
          <w:rFonts w:ascii="Times New Roman" w:hAnsi="Times New Roman" w:eastAsia="Arial" w:cs="Times New Roman"/>
          <w:b/>
          <w:bCs/>
          <w:i/>
          <w:iCs/>
          <w:sz w:val="26"/>
          <w:szCs w:val="26"/>
        </w:rPr>
        <w:t>34%</w:t>
      </w:r>
      <w:r w:rsidRPr="00AE1B2B">
        <w:rPr>
          <w:rFonts w:ascii="Times New Roman" w:hAnsi="Times New Roman" w:eastAsia="Arial" w:cs="Times New Roman"/>
          <w:sz w:val="26"/>
          <w:szCs w:val="26"/>
        </w:rPr>
        <w:t>), donde existe una plaza creada para tal fin (</w:t>
      </w:r>
      <w:r w:rsidRPr="00AE1B2B">
        <w:rPr>
          <w:rFonts w:ascii="Times New Roman" w:hAnsi="Times New Roman" w:eastAsia="Arial" w:cs="Times New Roman"/>
          <w:i/>
          <w:iCs/>
          <w:sz w:val="26"/>
          <w:szCs w:val="26"/>
        </w:rPr>
        <w:t>Ver antecedentes</w:t>
      </w:r>
      <w:r w:rsidRPr="00AE1B2B">
        <w:rPr>
          <w:rFonts w:ascii="Times New Roman" w:hAnsi="Times New Roman" w:eastAsia="Arial" w:cs="Times New Roman"/>
          <w:sz w:val="26"/>
          <w:szCs w:val="26"/>
        </w:rPr>
        <w:t>). En Penal Juvenil, se observa que la mayoría también se concentran en Buenos Aires (</w:t>
      </w:r>
      <w:r w:rsidRPr="00AE1B2B">
        <w:rPr>
          <w:rFonts w:ascii="Times New Roman" w:hAnsi="Times New Roman" w:eastAsia="Arial" w:cs="Times New Roman"/>
          <w:b/>
          <w:bCs/>
          <w:i/>
          <w:iCs/>
          <w:sz w:val="26"/>
          <w:szCs w:val="26"/>
        </w:rPr>
        <w:t>49%</w:t>
      </w:r>
      <w:r w:rsidRPr="00AE1B2B">
        <w:rPr>
          <w:rFonts w:ascii="Times New Roman" w:hAnsi="Times New Roman" w:eastAsia="Arial" w:cs="Times New Roman"/>
          <w:sz w:val="26"/>
          <w:szCs w:val="26"/>
        </w:rPr>
        <w:t>), seguido por Turrialba y Corredores. En materia laboral, la concentración de asuntos activos está en Bribri (</w:t>
      </w:r>
      <w:r w:rsidRPr="00AE1B2B">
        <w:rPr>
          <w:rFonts w:ascii="Times New Roman" w:hAnsi="Times New Roman" w:eastAsia="Arial" w:cs="Times New Roman"/>
          <w:b/>
          <w:bCs/>
          <w:i/>
          <w:iCs/>
          <w:sz w:val="26"/>
          <w:szCs w:val="26"/>
        </w:rPr>
        <w:t>37%</w:t>
      </w:r>
      <w:r w:rsidRPr="00AE1B2B">
        <w:rPr>
          <w:rFonts w:ascii="Times New Roman" w:hAnsi="Times New Roman" w:eastAsia="Arial" w:cs="Times New Roman"/>
          <w:sz w:val="26"/>
          <w:szCs w:val="26"/>
        </w:rPr>
        <w:t>), seguido de la oficina de Buenos Aires.</w:t>
      </w:r>
    </w:p>
    <w:p w:rsidRPr="00AE1B2B" w:rsidR="00753ECC" w:rsidP="00163B94" w:rsidRDefault="00753ECC" w14:paraId="2782AE62"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357CE29E" w14:textId="20D205CD">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Por otra parte, la siguiente figura muestra la cantidad concentración de personas usuarias indígenas que mantienen un proceso activo en la Defensa Pública al cierre de enero de 2021, por pueblo indígena al que pertenecen. Es importante mencionar que la información que se muestra a continuación fue recolectada por la Supervisión de Pueblos Indígenas de la Defensa Pública, en coordinación de Estadística de la Defensa Pública; donde inclusive se tuvo que solicitar colaboración el personal técnico judicial para poder inventariar todos los expedientes activos de cada oficina, para obtener el dato de las personas usuarias indígenas en el circulante a nivel nacional. </w:t>
      </w:r>
      <w:r w:rsidRPr="00AE1B2B">
        <w:rPr>
          <w:rFonts w:ascii="Times New Roman" w:hAnsi="Times New Roman" w:eastAsia="Arial" w:cs="Times New Roman"/>
          <w:b/>
          <w:bCs/>
          <w:sz w:val="26"/>
          <w:szCs w:val="26"/>
        </w:rPr>
        <w:t>Ver apéndice 3</w:t>
      </w:r>
      <w:r w:rsidRPr="00AE1B2B">
        <w:rPr>
          <w:rFonts w:ascii="Times New Roman" w:hAnsi="Times New Roman" w:eastAsia="Arial" w:cs="Times New Roman"/>
          <w:sz w:val="26"/>
          <w:szCs w:val="26"/>
        </w:rPr>
        <w:t>.</w:t>
      </w:r>
    </w:p>
    <w:p w:rsidRPr="00AE1B2B" w:rsidR="00753ECC" w:rsidP="00163B94" w:rsidRDefault="00753ECC" w14:paraId="3435433E"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130EA955"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Figura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Figura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4</w:t>
      </w:r>
      <w:r w:rsidRPr="00AE1B2B">
        <w:rPr>
          <w:rFonts w:ascii="Times New Roman" w:hAnsi="Times New Roman" w:cs="Times New Roman"/>
          <w:sz w:val="26"/>
          <w:szCs w:val="26"/>
        </w:rPr>
        <w:fldChar w:fldCharType="end"/>
      </w:r>
    </w:p>
    <w:p w:rsidRPr="00AE1B2B" w:rsidR="009D3FB5" w:rsidP="00163B94" w:rsidRDefault="009D3FB5" w14:paraId="3482E4DE"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Proporción de personas usuarias indígenas que mantienen un proceso (</w:t>
      </w:r>
      <w:r w:rsidRPr="00AE1B2B">
        <w:rPr>
          <w:rFonts w:ascii="Times New Roman" w:hAnsi="Times New Roman" w:cs="Times New Roman"/>
          <w:i/>
          <w:iCs/>
          <w:sz w:val="26"/>
          <w:szCs w:val="26"/>
        </w:rPr>
        <w:t>expediente</w:t>
      </w:r>
      <w:r w:rsidRPr="00AE1B2B">
        <w:rPr>
          <w:rFonts w:ascii="Times New Roman" w:hAnsi="Times New Roman" w:cs="Times New Roman"/>
          <w:sz w:val="26"/>
          <w:szCs w:val="26"/>
        </w:rPr>
        <w:t>) activo al cierre de enero 2021, según pueblo de procedencia</w:t>
      </w:r>
    </w:p>
    <w:p w:rsidRPr="00AE1B2B" w:rsidR="009D3FB5" w:rsidP="00163B94" w:rsidRDefault="009D3FB5" w14:paraId="1C92DAF6" w14:textId="77777777">
      <w:pPr>
        <w:spacing w:before="120" w:after="120"/>
        <w:jc w:val="center"/>
        <w:rPr>
          <w:rFonts w:ascii="Times New Roman" w:hAnsi="Times New Roman" w:eastAsia="Arial" w:cs="Times New Roman"/>
        </w:rPr>
      </w:pPr>
      <w:r w:rsidRPr="00AE1B2B">
        <w:rPr>
          <w:rFonts w:ascii="Times New Roman" w:hAnsi="Times New Roman" w:eastAsia="Arial" w:cs="Times New Roman"/>
          <w:noProof/>
          <w:lang w:val="en-US"/>
        </w:rPr>
        <w:drawing>
          <wp:inline distT="0" distB="0" distL="0" distR="0" wp14:anchorId="33DE29A6" wp14:editId="6CF0A523">
            <wp:extent cx="4124325" cy="3245683"/>
            <wp:effectExtent l="0" t="0" r="0" b="0"/>
            <wp:docPr id="1212768261" name="Imagen 1212768261" descr="Gráfico, Gráfico de embu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261" name="Imagen 1212768261" descr="Gráfico, Gráfico de embudo&#10;&#10;Descripción generada automáticament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151029" cy="3266698"/>
                    </a:xfrm>
                    <a:prstGeom prst="rect">
                      <a:avLst/>
                    </a:prstGeom>
                    <a:noFill/>
                  </pic:spPr>
                </pic:pic>
              </a:graphicData>
            </a:graphic>
          </wp:inline>
        </w:drawing>
      </w:r>
    </w:p>
    <w:p w:rsidRPr="00AE1B2B" w:rsidR="009D3FB5" w:rsidP="00163B94" w:rsidRDefault="009D3FB5" w14:paraId="48E6DFB1" w14:textId="4F5E9952">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b/>
          <w:bCs/>
          <w:sz w:val="26"/>
          <w:szCs w:val="26"/>
        </w:rPr>
        <w:t>Fuente:</w:t>
      </w:r>
      <w:r w:rsidRPr="00AE1B2B">
        <w:rPr>
          <w:rFonts w:ascii="Times New Roman" w:hAnsi="Times New Roman" w:eastAsia="Arial" w:cs="Times New Roman"/>
          <w:sz w:val="26"/>
          <w:szCs w:val="26"/>
        </w:rPr>
        <w:t xml:space="preserve"> Subproceso de Modernización Institucional de la Dirección de Planificación, con datos facilitados por la Administración de la Defensa Pública.</w:t>
      </w:r>
    </w:p>
    <w:p w:rsidRPr="00AE1B2B" w:rsidR="00753ECC" w:rsidP="00163B94" w:rsidRDefault="00753ECC" w14:paraId="7B2CBC5F"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5C205859" w14:textId="7E4383B1">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En total, la Defensa Pública reporta 2067 asuntos activos al cierre de enero de 2021 con una persona usuaria indígena en calidad de interviniente a nivel nacional; los cuales se clasificaron en la figura anterior según el pueblo de procedencia.</w:t>
      </w:r>
    </w:p>
    <w:p w:rsidRPr="00AE1B2B" w:rsidR="00753ECC" w:rsidP="00163B94" w:rsidRDefault="00753ECC" w14:paraId="7F200ED0"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5FEA405F" w14:textId="0BE548F6">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Como se observa en la figura anterior, el 47% (</w:t>
      </w:r>
      <w:r w:rsidRPr="00AE1B2B">
        <w:rPr>
          <w:rFonts w:ascii="Times New Roman" w:hAnsi="Times New Roman" w:eastAsia="Arial" w:cs="Times New Roman"/>
          <w:i/>
          <w:iCs/>
          <w:sz w:val="26"/>
          <w:szCs w:val="26"/>
        </w:rPr>
        <w:t>967 personas</w:t>
      </w:r>
      <w:r w:rsidRPr="00AE1B2B">
        <w:rPr>
          <w:rFonts w:ascii="Times New Roman" w:hAnsi="Times New Roman" w:eastAsia="Arial" w:cs="Times New Roman"/>
          <w:sz w:val="26"/>
          <w:szCs w:val="26"/>
        </w:rPr>
        <w:t>) de las personas indígenas que representa la Defensa Pública provienen del pueblo Bribri, seguido del pueblo Cabécar que representa un 18% (</w:t>
      </w:r>
      <w:r w:rsidRPr="00AE1B2B">
        <w:rPr>
          <w:rFonts w:ascii="Times New Roman" w:hAnsi="Times New Roman" w:eastAsia="Arial" w:cs="Times New Roman"/>
          <w:i/>
          <w:iCs/>
          <w:sz w:val="26"/>
          <w:szCs w:val="26"/>
        </w:rPr>
        <w:t>374 personas</w:t>
      </w:r>
      <w:r w:rsidRPr="00AE1B2B">
        <w:rPr>
          <w:rFonts w:ascii="Times New Roman" w:hAnsi="Times New Roman" w:eastAsia="Arial" w:cs="Times New Roman"/>
          <w:sz w:val="26"/>
          <w:szCs w:val="26"/>
        </w:rPr>
        <w:t>) y Ngöbes que representa un 12% (</w:t>
      </w:r>
      <w:r w:rsidRPr="00AE1B2B">
        <w:rPr>
          <w:rFonts w:ascii="Times New Roman" w:hAnsi="Times New Roman" w:eastAsia="Arial" w:cs="Times New Roman"/>
          <w:i/>
          <w:iCs/>
          <w:sz w:val="26"/>
          <w:szCs w:val="26"/>
        </w:rPr>
        <w:t>254 personas</w:t>
      </w:r>
      <w:r w:rsidRPr="00AE1B2B">
        <w:rPr>
          <w:rFonts w:ascii="Times New Roman" w:hAnsi="Times New Roman" w:eastAsia="Arial" w:cs="Times New Roman"/>
          <w:sz w:val="26"/>
          <w:szCs w:val="26"/>
        </w:rPr>
        <w:t xml:space="preserve">); que en total esos tres pueblos de procedencia equivalen al 77% de las personas usuarias indígenas representadas por la Defensa Pública, al cierre de enero 2021. Esta información funge como insumo importante para el banco de personas intérpretes, </w:t>
      </w:r>
      <w:r w:rsidRPr="00AE1B2B">
        <w:rPr>
          <w:rFonts w:ascii="Times New Roman" w:hAnsi="Times New Roman" w:eastAsia="Arial" w:cs="Times New Roman"/>
          <w:sz w:val="26"/>
          <w:szCs w:val="26"/>
        </w:rPr>
        <w:lastRenderedPageBreak/>
        <w:t>los cuales son requeridos para la participación de personas indígenas en procesos judiciales.</w:t>
      </w:r>
    </w:p>
    <w:p w:rsidRPr="00AE1B2B" w:rsidR="00753ECC" w:rsidP="00163B94" w:rsidRDefault="00753ECC" w14:paraId="762CC188"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38B467E2" w14:textId="2E097924">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Finalmente se aclara que, las personas indígenas que se categorizan en “</w:t>
      </w:r>
      <w:r w:rsidRPr="00AE1B2B">
        <w:rPr>
          <w:rFonts w:ascii="Times New Roman" w:hAnsi="Times New Roman" w:eastAsia="Arial" w:cs="Times New Roman"/>
          <w:b/>
          <w:bCs/>
          <w:i/>
          <w:iCs/>
          <w:sz w:val="26"/>
          <w:szCs w:val="26"/>
        </w:rPr>
        <w:t>Otro</w:t>
      </w:r>
      <w:r w:rsidRPr="00AE1B2B">
        <w:rPr>
          <w:rFonts w:ascii="Times New Roman" w:hAnsi="Times New Roman" w:eastAsia="Arial" w:cs="Times New Roman"/>
          <w:sz w:val="26"/>
          <w:szCs w:val="26"/>
        </w:rPr>
        <w:t xml:space="preserve">”, según la Licenciada Ligia Jiménez Zamora, </w:t>
      </w:r>
      <w:r w:rsidRPr="00AE1B2B">
        <w:rPr>
          <w:rFonts w:ascii="Times New Roman" w:hAnsi="Times New Roman" w:cs="Times New Roman"/>
          <w:sz w:val="26"/>
          <w:szCs w:val="26"/>
        </w:rPr>
        <w:t>Supervisora de Asuntos de Pueblos Indígenas;</w:t>
      </w:r>
      <w:r w:rsidRPr="00AE1B2B">
        <w:rPr>
          <w:rFonts w:ascii="Times New Roman" w:hAnsi="Times New Roman" w:eastAsia="Arial" w:cs="Times New Roman"/>
          <w:sz w:val="26"/>
          <w:szCs w:val="26"/>
        </w:rPr>
        <w:t xml:space="preserve"> son personas que se autodenominan indígena, pero por estrategia no indican el pueblo de su procedencia. Estas personas que no indican su pueblo de procedencia representan el 5% de las personas indígenas representadas al cierre de enero 2021 (</w:t>
      </w:r>
      <w:r w:rsidRPr="00AE1B2B">
        <w:rPr>
          <w:rFonts w:ascii="Times New Roman" w:hAnsi="Times New Roman" w:eastAsia="Arial" w:cs="Times New Roman"/>
          <w:i/>
          <w:iCs/>
          <w:sz w:val="26"/>
          <w:szCs w:val="26"/>
        </w:rPr>
        <w:t>110 personas usuarias</w:t>
      </w:r>
      <w:r w:rsidRPr="00AE1B2B">
        <w:rPr>
          <w:rFonts w:ascii="Times New Roman" w:hAnsi="Times New Roman" w:eastAsia="Arial" w:cs="Times New Roman"/>
          <w:sz w:val="26"/>
          <w:szCs w:val="26"/>
        </w:rPr>
        <w:t>).</w:t>
      </w:r>
    </w:p>
    <w:p w:rsidRPr="00AE1B2B" w:rsidR="00753ECC" w:rsidP="00163B94" w:rsidRDefault="00753ECC" w14:paraId="3C7921EF"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7C022E1A" w14:textId="0E17AF16">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Ahora, en la siguiente tabla se muestra la distribución de las personas usuarias indígenas que fungen como intervinientes en procesos activos al cierre de enero de 2021, segregado por el pueblo procedencia y oficina de la Defensa Pública.</w:t>
      </w:r>
    </w:p>
    <w:p w:rsidRPr="00AE1B2B" w:rsidR="00753ECC" w:rsidP="00163B94" w:rsidRDefault="00753ECC" w14:paraId="3DA489A0"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7AAF95F3"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Tabla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Tabla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4</w:t>
      </w:r>
      <w:r w:rsidRPr="00AE1B2B">
        <w:rPr>
          <w:rFonts w:ascii="Times New Roman" w:hAnsi="Times New Roman" w:cs="Times New Roman"/>
          <w:sz w:val="26"/>
          <w:szCs w:val="26"/>
        </w:rPr>
        <w:fldChar w:fldCharType="end"/>
      </w:r>
    </w:p>
    <w:p w:rsidRPr="00AE1B2B" w:rsidR="009D3FB5" w:rsidP="00163B94" w:rsidRDefault="009D3FB5" w14:paraId="3D188AE1" w14:textId="6C40A686">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Distribución de la cantidad de personas indígenas en procesos activos,</w:t>
      </w:r>
    </w:p>
    <w:p w:rsidRPr="00AE1B2B" w:rsidR="009D3FB5" w:rsidP="00163B94" w:rsidRDefault="009D3FB5" w14:paraId="7194C076"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según pueblo de procedencia, al 31 de enero 2021</w:t>
      </w:r>
    </w:p>
    <w:tbl>
      <w:tblPr>
        <w:tblW w:w="5000" w:type="pct"/>
        <w:tblCellMar>
          <w:left w:w="70" w:type="dxa"/>
          <w:right w:w="70" w:type="dxa"/>
        </w:tblCellMar>
        <w:tblLook w:val="04A0" w:firstRow="1" w:lastRow="0" w:firstColumn="1" w:lastColumn="0" w:noHBand="0" w:noVBand="1"/>
      </w:tblPr>
      <w:tblGrid>
        <w:gridCol w:w="1633"/>
        <w:gridCol w:w="1058"/>
        <w:gridCol w:w="1086"/>
        <w:gridCol w:w="835"/>
        <w:gridCol w:w="835"/>
        <w:gridCol w:w="849"/>
        <w:gridCol w:w="835"/>
        <w:gridCol w:w="862"/>
        <w:gridCol w:w="835"/>
      </w:tblGrid>
      <w:tr w:rsidRPr="00AE1B2B" w:rsidR="00AE1B2B" w:rsidTr="00753ECC" w14:paraId="573FB41D" w14:textId="77777777">
        <w:trPr>
          <w:trHeight w:val="580"/>
        </w:trPr>
        <w:tc>
          <w:tcPr>
            <w:tcW w:w="925" w:type="pct"/>
            <w:tcBorders>
              <w:top w:val="single" w:color="auto" w:sz="4" w:space="0"/>
              <w:left w:val="single" w:color="auto" w:sz="4" w:space="0"/>
              <w:bottom w:val="single" w:color="auto" w:sz="4" w:space="0"/>
              <w:right w:val="single" w:color="auto" w:sz="4" w:space="0"/>
            </w:tcBorders>
            <w:shd w:val="clear" w:color="000000" w:fill="95B3D7"/>
            <w:vAlign w:val="center"/>
            <w:hideMark/>
          </w:tcPr>
          <w:p w:rsidRPr="00AE1B2B" w:rsidR="009D3FB5" w:rsidP="00163B94" w:rsidRDefault="009D3FB5" w14:paraId="72A87031"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Oficina</w:t>
            </w:r>
          </w:p>
        </w:tc>
        <w:tc>
          <w:tcPr>
            <w:tcW w:w="599"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42E4F56C"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Bribri</w:t>
            </w:r>
          </w:p>
        </w:tc>
        <w:tc>
          <w:tcPr>
            <w:tcW w:w="615"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64A8002E"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Cabecar</w:t>
            </w:r>
          </w:p>
        </w:tc>
        <w:tc>
          <w:tcPr>
            <w:tcW w:w="473"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1C1BDDA6"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Ngöbes</w:t>
            </w:r>
          </w:p>
        </w:tc>
        <w:tc>
          <w:tcPr>
            <w:tcW w:w="473"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7412E339"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Otro</w:t>
            </w:r>
          </w:p>
        </w:tc>
        <w:tc>
          <w:tcPr>
            <w:tcW w:w="481"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13A3EB36"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Teribes</w:t>
            </w:r>
          </w:p>
        </w:tc>
        <w:tc>
          <w:tcPr>
            <w:tcW w:w="473"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12832081"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Boruca</w:t>
            </w:r>
          </w:p>
        </w:tc>
        <w:tc>
          <w:tcPr>
            <w:tcW w:w="488"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4B82BCF2"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Demás pueblos</w:t>
            </w:r>
          </w:p>
        </w:tc>
        <w:tc>
          <w:tcPr>
            <w:tcW w:w="473"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71975FB6"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Total</w:t>
            </w:r>
          </w:p>
        </w:tc>
      </w:tr>
      <w:tr w:rsidRPr="00AE1B2B" w:rsidR="00AE1B2B" w:rsidTr="00753ECC" w14:paraId="3366A6D2" w14:textId="77777777">
        <w:trPr>
          <w:trHeight w:val="290"/>
        </w:trPr>
        <w:tc>
          <w:tcPr>
            <w:tcW w:w="925"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1EDA50F"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Buenos Aires</w:t>
            </w:r>
          </w:p>
        </w:tc>
        <w:tc>
          <w:tcPr>
            <w:tcW w:w="599"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4E2193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318</w:t>
            </w:r>
          </w:p>
        </w:tc>
        <w:tc>
          <w:tcPr>
            <w:tcW w:w="615"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0ED90D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86</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4D9933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9F1976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97</w:t>
            </w:r>
          </w:p>
        </w:tc>
        <w:tc>
          <w:tcPr>
            <w:tcW w:w="481"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449F10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99</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3B1120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81</w:t>
            </w:r>
          </w:p>
        </w:tc>
        <w:tc>
          <w:tcPr>
            <w:tcW w:w="488"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B0E067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38</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41ACE3C"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719</w:t>
            </w:r>
          </w:p>
        </w:tc>
      </w:tr>
      <w:tr w:rsidRPr="00AE1B2B" w:rsidR="00AE1B2B" w:rsidTr="00753ECC" w14:paraId="0562E1E6" w14:textId="77777777">
        <w:trPr>
          <w:trHeight w:val="290"/>
        </w:trPr>
        <w:tc>
          <w:tcPr>
            <w:tcW w:w="925"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41A83A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Bribri</w:t>
            </w:r>
          </w:p>
        </w:tc>
        <w:tc>
          <w:tcPr>
            <w:tcW w:w="599"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83994C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504</w:t>
            </w:r>
          </w:p>
        </w:tc>
        <w:tc>
          <w:tcPr>
            <w:tcW w:w="615"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40E755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62</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9B8173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54</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65EA06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481"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73D1F1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EDF40C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88"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5C4D06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A7C15F2"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635</w:t>
            </w:r>
          </w:p>
        </w:tc>
      </w:tr>
      <w:tr w:rsidRPr="00AE1B2B" w:rsidR="00AE1B2B" w:rsidTr="00753ECC" w14:paraId="57DECAF3" w14:textId="77777777">
        <w:trPr>
          <w:trHeight w:val="290"/>
        </w:trPr>
        <w:tc>
          <w:tcPr>
            <w:tcW w:w="925"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D80E72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Turrialba</w:t>
            </w:r>
          </w:p>
        </w:tc>
        <w:tc>
          <w:tcPr>
            <w:tcW w:w="599"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52FCE2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615"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603AC7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132</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5FC415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962DCC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81"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0BD818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11F2F2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88"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46192F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E50ABE1"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132</w:t>
            </w:r>
          </w:p>
        </w:tc>
      </w:tr>
      <w:tr w:rsidRPr="00AE1B2B" w:rsidR="00AE1B2B" w:rsidTr="00753ECC" w14:paraId="53137592" w14:textId="77777777">
        <w:trPr>
          <w:trHeight w:val="290"/>
        </w:trPr>
        <w:tc>
          <w:tcPr>
            <w:tcW w:w="925"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191CC1E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Coto Brus</w:t>
            </w:r>
          </w:p>
        </w:tc>
        <w:tc>
          <w:tcPr>
            <w:tcW w:w="599"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F480E9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615"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A6495D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FD6256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97</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5661D1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81"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976BD1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B401A7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88"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544AA5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647945D"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99</w:t>
            </w:r>
          </w:p>
        </w:tc>
      </w:tr>
      <w:tr w:rsidRPr="00AE1B2B" w:rsidR="00AE1B2B" w:rsidTr="00753ECC" w14:paraId="3CFB1062" w14:textId="77777777">
        <w:trPr>
          <w:trHeight w:val="290"/>
        </w:trPr>
        <w:tc>
          <w:tcPr>
            <w:tcW w:w="925"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C924E5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Corredores</w:t>
            </w:r>
          </w:p>
        </w:tc>
        <w:tc>
          <w:tcPr>
            <w:tcW w:w="599"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3D3189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w:t>
            </w:r>
          </w:p>
        </w:tc>
        <w:tc>
          <w:tcPr>
            <w:tcW w:w="615"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4636EA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59840E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69</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CFDAD2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81"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AE8EB4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497573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88"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CF9B10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208F710"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96</w:t>
            </w:r>
          </w:p>
        </w:tc>
      </w:tr>
      <w:tr w:rsidRPr="00AE1B2B" w:rsidR="00AE1B2B" w:rsidTr="00753ECC" w14:paraId="37D3721E" w14:textId="77777777">
        <w:trPr>
          <w:trHeight w:val="290"/>
        </w:trPr>
        <w:tc>
          <w:tcPr>
            <w:tcW w:w="925"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6B044D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Demás oficinas</w:t>
            </w:r>
          </w:p>
        </w:tc>
        <w:tc>
          <w:tcPr>
            <w:tcW w:w="599"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34D994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134</w:t>
            </w:r>
          </w:p>
        </w:tc>
        <w:tc>
          <w:tcPr>
            <w:tcW w:w="615"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2FE73A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93</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6A81B0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34</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A22707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w:t>
            </w:r>
          </w:p>
        </w:tc>
        <w:tc>
          <w:tcPr>
            <w:tcW w:w="481"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641DF5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82229C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w:t>
            </w:r>
          </w:p>
        </w:tc>
        <w:tc>
          <w:tcPr>
            <w:tcW w:w="488"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1AAA0D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101</w:t>
            </w:r>
          </w:p>
        </w:tc>
        <w:tc>
          <w:tcPr>
            <w:tcW w:w="473"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9E88217"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386</w:t>
            </w:r>
          </w:p>
        </w:tc>
      </w:tr>
      <w:tr w:rsidRPr="00AE1B2B" w:rsidR="00AE1B2B" w:rsidTr="00753ECC" w14:paraId="6193DD9B" w14:textId="77777777">
        <w:trPr>
          <w:trHeight w:val="290"/>
        </w:trPr>
        <w:tc>
          <w:tcPr>
            <w:tcW w:w="925" w:type="pct"/>
            <w:tcBorders>
              <w:top w:val="nil"/>
              <w:left w:val="single" w:color="auto" w:sz="4" w:space="0"/>
              <w:bottom w:val="single" w:color="auto" w:sz="4" w:space="0"/>
              <w:right w:val="single" w:color="auto" w:sz="4" w:space="0"/>
            </w:tcBorders>
            <w:shd w:val="clear" w:color="000000" w:fill="D9D9D9"/>
            <w:noWrap/>
            <w:vAlign w:val="bottom"/>
            <w:hideMark/>
          </w:tcPr>
          <w:p w:rsidRPr="00AE1B2B" w:rsidR="009D3FB5" w:rsidP="00163B94" w:rsidRDefault="009D3FB5" w14:paraId="45CDB77D"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Total</w:t>
            </w:r>
          </w:p>
        </w:tc>
        <w:tc>
          <w:tcPr>
            <w:tcW w:w="599" w:type="pct"/>
            <w:tcBorders>
              <w:top w:val="nil"/>
              <w:left w:val="nil"/>
              <w:bottom w:val="single" w:color="auto" w:sz="4" w:space="0"/>
              <w:right w:val="single" w:color="auto" w:sz="4" w:space="0"/>
            </w:tcBorders>
            <w:shd w:val="clear" w:color="000000" w:fill="D9D9D9"/>
            <w:noWrap/>
            <w:vAlign w:val="bottom"/>
            <w:hideMark/>
          </w:tcPr>
          <w:p w:rsidRPr="00AE1B2B" w:rsidR="009D3FB5" w:rsidP="00163B94" w:rsidRDefault="009D3FB5" w14:paraId="000515B9"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967</w:t>
            </w:r>
          </w:p>
        </w:tc>
        <w:tc>
          <w:tcPr>
            <w:tcW w:w="615" w:type="pct"/>
            <w:tcBorders>
              <w:top w:val="nil"/>
              <w:left w:val="nil"/>
              <w:bottom w:val="single" w:color="auto" w:sz="4" w:space="0"/>
              <w:right w:val="single" w:color="auto" w:sz="4" w:space="0"/>
            </w:tcBorders>
            <w:shd w:val="clear" w:color="000000" w:fill="D9D9D9"/>
            <w:noWrap/>
            <w:vAlign w:val="bottom"/>
            <w:hideMark/>
          </w:tcPr>
          <w:p w:rsidRPr="00AE1B2B" w:rsidR="009D3FB5" w:rsidP="00163B94" w:rsidRDefault="009D3FB5" w14:paraId="5E1F0F7B"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374</w:t>
            </w:r>
          </w:p>
        </w:tc>
        <w:tc>
          <w:tcPr>
            <w:tcW w:w="473" w:type="pct"/>
            <w:tcBorders>
              <w:top w:val="nil"/>
              <w:left w:val="nil"/>
              <w:bottom w:val="single" w:color="auto" w:sz="4" w:space="0"/>
              <w:right w:val="single" w:color="auto" w:sz="4" w:space="0"/>
            </w:tcBorders>
            <w:shd w:val="clear" w:color="000000" w:fill="D9D9D9"/>
            <w:noWrap/>
            <w:vAlign w:val="bottom"/>
            <w:hideMark/>
          </w:tcPr>
          <w:p w:rsidRPr="00AE1B2B" w:rsidR="009D3FB5" w:rsidP="00163B94" w:rsidRDefault="009D3FB5" w14:paraId="68A1C124"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254</w:t>
            </w:r>
          </w:p>
        </w:tc>
        <w:tc>
          <w:tcPr>
            <w:tcW w:w="473" w:type="pct"/>
            <w:tcBorders>
              <w:top w:val="nil"/>
              <w:left w:val="nil"/>
              <w:bottom w:val="single" w:color="auto" w:sz="4" w:space="0"/>
              <w:right w:val="single" w:color="auto" w:sz="4" w:space="0"/>
            </w:tcBorders>
            <w:shd w:val="clear" w:color="000000" w:fill="D9D9D9"/>
            <w:noWrap/>
            <w:vAlign w:val="bottom"/>
            <w:hideMark/>
          </w:tcPr>
          <w:p w:rsidRPr="00AE1B2B" w:rsidR="009D3FB5" w:rsidP="00163B94" w:rsidRDefault="009D3FB5" w14:paraId="207B7984"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110</w:t>
            </w:r>
          </w:p>
        </w:tc>
        <w:tc>
          <w:tcPr>
            <w:tcW w:w="481" w:type="pct"/>
            <w:tcBorders>
              <w:top w:val="nil"/>
              <w:left w:val="nil"/>
              <w:bottom w:val="single" w:color="auto" w:sz="4" w:space="0"/>
              <w:right w:val="single" w:color="auto" w:sz="4" w:space="0"/>
            </w:tcBorders>
            <w:shd w:val="clear" w:color="000000" w:fill="D9D9D9"/>
            <w:noWrap/>
            <w:vAlign w:val="bottom"/>
            <w:hideMark/>
          </w:tcPr>
          <w:p w:rsidRPr="00AE1B2B" w:rsidR="009D3FB5" w:rsidP="00163B94" w:rsidRDefault="009D3FB5" w14:paraId="3BF184F6"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106</w:t>
            </w:r>
          </w:p>
        </w:tc>
        <w:tc>
          <w:tcPr>
            <w:tcW w:w="473" w:type="pct"/>
            <w:tcBorders>
              <w:top w:val="nil"/>
              <w:left w:val="nil"/>
              <w:bottom w:val="single" w:color="auto" w:sz="4" w:space="0"/>
              <w:right w:val="single" w:color="auto" w:sz="4" w:space="0"/>
            </w:tcBorders>
            <w:shd w:val="clear" w:color="000000" w:fill="D9D9D9"/>
            <w:noWrap/>
            <w:vAlign w:val="bottom"/>
            <w:hideMark/>
          </w:tcPr>
          <w:p w:rsidRPr="00AE1B2B" w:rsidR="009D3FB5" w:rsidP="00163B94" w:rsidRDefault="009D3FB5" w14:paraId="3B869A33"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92</w:t>
            </w:r>
          </w:p>
        </w:tc>
        <w:tc>
          <w:tcPr>
            <w:tcW w:w="488" w:type="pct"/>
            <w:tcBorders>
              <w:top w:val="nil"/>
              <w:left w:val="nil"/>
              <w:bottom w:val="single" w:color="auto" w:sz="4" w:space="0"/>
              <w:right w:val="single" w:color="auto" w:sz="4" w:space="0"/>
            </w:tcBorders>
            <w:shd w:val="clear" w:color="000000" w:fill="D9D9D9"/>
            <w:noWrap/>
            <w:vAlign w:val="bottom"/>
            <w:hideMark/>
          </w:tcPr>
          <w:p w:rsidRPr="00AE1B2B" w:rsidR="009D3FB5" w:rsidP="00163B94" w:rsidRDefault="009D3FB5" w14:paraId="35D65F49"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164</w:t>
            </w:r>
          </w:p>
        </w:tc>
        <w:tc>
          <w:tcPr>
            <w:tcW w:w="473" w:type="pct"/>
            <w:tcBorders>
              <w:top w:val="nil"/>
              <w:left w:val="nil"/>
              <w:bottom w:val="single" w:color="auto" w:sz="4" w:space="0"/>
              <w:right w:val="single" w:color="auto" w:sz="4" w:space="0"/>
            </w:tcBorders>
            <w:shd w:val="clear" w:color="000000" w:fill="D9D9D9"/>
            <w:noWrap/>
            <w:vAlign w:val="bottom"/>
            <w:hideMark/>
          </w:tcPr>
          <w:p w:rsidRPr="00AE1B2B" w:rsidR="009D3FB5" w:rsidP="00163B94" w:rsidRDefault="009D3FB5" w14:paraId="7C12354E"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2067</w:t>
            </w:r>
          </w:p>
        </w:tc>
      </w:tr>
    </w:tbl>
    <w:p w:rsidRPr="00AE1B2B" w:rsidR="009D3FB5" w:rsidP="00163B94" w:rsidRDefault="009D3FB5" w14:paraId="00A96F49" w14:textId="680053AE">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b/>
          <w:bCs/>
          <w:sz w:val="26"/>
          <w:szCs w:val="26"/>
        </w:rPr>
        <w:t>Fuente:</w:t>
      </w:r>
      <w:r w:rsidRPr="00AE1B2B">
        <w:rPr>
          <w:rFonts w:ascii="Times New Roman" w:hAnsi="Times New Roman" w:eastAsia="Arial" w:cs="Times New Roman"/>
          <w:sz w:val="26"/>
          <w:szCs w:val="26"/>
        </w:rPr>
        <w:t xml:space="preserve"> Subproceso de Modernización Institucional de la Dirección de Planificación, con datos facilitados por la Administración de la Defensa Pública.</w:t>
      </w:r>
    </w:p>
    <w:p w:rsidRPr="00AE1B2B" w:rsidR="00753ECC" w:rsidP="00163B94" w:rsidRDefault="00753ECC" w14:paraId="6F972F79"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7F1EED2D" w14:textId="16051910">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lastRenderedPageBreak/>
        <w:t>La tabla anterior segrega las oficinas que representan el 81% de las personas usuarias indígenas, de los asuntos activos al cierre de enero 2021.</w:t>
      </w:r>
    </w:p>
    <w:p w:rsidRPr="00AE1B2B" w:rsidR="00753ECC" w:rsidP="00163B94" w:rsidRDefault="00753ECC" w14:paraId="5C9F4810"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607DD740" w14:textId="659C7211">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Como se infirió anteriormente, el 77% de las personas usuarias indígenas representadas por la Defensa Pública se concentra en tres pueblos de procedencia: Bribri, Cabécar y Ngöbes y, de la tabla anterior se infiere que dichas representaciones se ubican principalmente en Buenos Aires, Bribri y Turrialba.</w:t>
      </w:r>
    </w:p>
    <w:p w:rsidRPr="00AE1B2B" w:rsidR="00753ECC" w:rsidP="00163B94" w:rsidRDefault="00753ECC" w14:paraId="3DD0D15D"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56B79A06" w14:textId="0EFCB8CD">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En cuanto a las personas indígenas provenientes del pueblo Bribri, se observa que 134 de ellas están catalogadas en “</w:t>
      </w:r>
      <w:r w:rsidRPr="00AE1B2B">
        <w:rPr>
          <w:rFonts w:ascii="Times New Roman" w:hAnsi="Times New Roman" w:eastAsia="Arial" w:cs="Times New Roman"/>
          <w:i/>
          <w:iCs/>
          <w:sz w:val="26"/>
          <w:szCs w:val="26"/>
        </w:rPr>
        <w:t>Demás oficinas</w:t>
      </w:r>
      <w:r w:rsidRPr="00AE1B2B">
        <w:rPr>
          <w:rFonts w:ascii="Times New Roman" w:hAnsi="Times New Roman" w:eastAsia="Arial" w:cs="Times New Roman"/>
          <w:sz w:val="26"/>
          <w:szCs w:val="26"/>
        </w:rPr>
        <w:t>”, de las cuales 31 están reportadas en la Defensa Pública de Limón, 43 en San José, 33 en Cartago, 7 en Pérez Zeledón, 1 en Osa, 3 en Batán, 8 en Pococí, 6 en Goicoechea y 2 en Alajuela.</w:t>
      </w:r>
    </w:p>
    <w:p w:rsidRPr="00AE1B2B" w:rsidR="00753ECC" w:rsidP="00163B94" w:rsidRDefault="00753ECC" w14:paraId="104A460D"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5C9CC7F9" w14:textId="01CFFF2D">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Respecto a las personas indígenas provenientes del pueblo Cabécar, se reportan su mayoría en la Defensa Pública de Turrialba (</w:t>
      </w:r>
      <w:r w:rsidRPr="00AE1B2B">
        <w:rPr>
          <w:rFonts w:ascii="Times New Roman" w:hAnsi="Times New Roman" w:eastAsia="Arial" w:cs="Times New Roman"/>
          <w:i/>
          <w:iCs/>
          <w:sz w:val="26"/>
          <w:szCs w:val="26"/>
        </w:rPr>
        <w:t>35%</w:t>
      </w:r>
      <w:r w:rsidRPr="00AE1B2B">
        <w:rPr>
          <w:rFonts w:ascii="Times New Roman" w:hAnsi="Times New Roman" w:eastAsia="Arial" w:cs="Times New Roman"/>
          <w:sz w:val="26"/>
          <w:szCs w:val="26"/>
        </w:rPr>
        <w:t>), seguido de Buenos Aires (2</w:t>
      </w:r>
      <w:r w:rsidRPr="00AE1B2B">
        <w:rPr>
          <w:rFonts w:ascii="Times New Roman" w:hAnsi="Times New Roman" w:eastAsia="Arial" w:cs="Times New Roman"/>
          <w:i/>
          <w:iCs/>
          <w:sz w:val="26"/>
          <w:szCs w:val="26"/>
        </w:rPr>
        <w:t>3%</w:t>
      </w:r>
      <w:r w:rsidRPr="00AE1B2B">
        <w:rPr>
          <w:rFonts w:ascii="Times New Roman" w:hAnsi="Times New Roman" w:eastAsia="Arial" w:cs="Times New Roman"/>
          <w:sz w:val="26"/>
          <w:szCs w:val="26"/>
        </w:rPr>
        <w:t>) y Bribri (17</w:t>
      </w:r>
      <w:r w:rsidRPr="00AE1B2B">
        <w:rPr>
          <w:rFonts w:ascii="Times New Roman" w:hAnsi="Times New Roman" w:eastAsia="Arial" w:cs="Times New Roman"/>
          <w:i/>
          <w:iCs/>
          <w:sz w:val="26"/>
          <w:szCs w:val="26"/>
        </w:rPr>
        <w:t>%</w:t>
      </w:r>
      <w:r w:rsidRPr="00AE1B2B">
        <w:rPr>
          <w:rFonts w:ascii="Times New Roman" w:hAnsi="Times New Roman" w:eastAsia="Arial" w:cs="Times New Roman"/>
          <w:sz w:val="26"/>
          <w:szCs w:val="26"/>
        </w:rPr>
        <w:t>). No obstante, hay 94 personas (</w:t>
      </w:r>
      <w:r w:rsidRPr="00AE1B2B">
        <w:rPr>
          <w:rFonts w:ascii="Times New Roman" w:hAnsi="Times New Roman" w:eastAsia="Arial" w:cs="Times New Roman"/>
          <w:i/>
          <w:iCs/>
          <w:sz w:val="26"/>
          <w:szCs w:val="26"/>
        </w:rPr>
        <w:t>25%</w:t>
      </w:r>
      <w:r w:rsidRPr="00AE1B2B">
        <w:rPr>
          <w:rFonts w:ascii="Times New Roman" w:hAnsi="Times New Roman" w:eastAsia="Arial" w:cs="Times New Roman"/>
          <w:sz w:val="26"/>
          <w:szCs w:val="26"/>
        </w:rPr>
        <w:t>) que mantienen asuntos en otras oficinas: 60 personas en Limón, 5 en Cartago, 6 en Pérez Zeledón, 12 en Batán, 12 en Pococí y en Goicoechea, 3 en Siquirres y 1 en Alajuela, Heredia y Liberia.</w:t>
      </w:r>
    </w:p>
    <w:p w:rsidRPr="00AE1B2B" w:rsidR="00753ECC" w:rsidP="00163B94" w:rsidRDefault="00753ECC" w14:paraId="237D1114"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05B0759A" w14:textId="1004FACC">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Es de interés resaltar que, de las 110 personas que no indicaron su pueblo de procedencia por estrategia, 97 de ellas se ubican en la Defensa Pública de Buenos Aires, 3 en Pérez Zeledón, 4 en Osa y 1 en Alajuela. Además, se resalta que las personas provenientes de Teribes, Boruca y de los demás pueblos, se ubican en su mayoría en </w:t>
      </w:r>
      <w:r w:rsidRPr="00AE1B2B">
        <w:rPr>
          <w:rFonts w:ascii="Times New Roman" w:hAnsi="Times New Roman" w:eastAsia="Arial" w:cs="Times New Roman"/>
          <w:sz w:val="26"/>
          <w:szCs w:val="26"/>
          <w:u w:val="single"/>
        </w:rPr>
        <w:t>Buenos Aires</w:t>
      </w:r>
      <w:r w:rsidRPr="00AE1B2B">
        <w:rPr>
          <w:rFonts w:ascii="Times New Roman" w:hAnsi="Times New Roman" w:eastAsia="Arial" w:cs="Times New Roman"/>
          <w:sz w:val="26"/>
          <w:szCs w:val="26"/>
        </w:rPr>
        <w:t>.</w:t>
      </w:r>
    </w:p>
    <w:p w:rsidRPr="00AE1B2B" w:rsidR="00753ECC" w:rsidP="00163B94" w:rsidRDefault="00753ECC" w14:paraId="2A161603" w14:textId="77777777">
      <w:pPr>
        <w:spacing w:before="120" w:after="120"/>
        <w:ind w:left="851" w:right="851" w:firstLine="709"/>
        <w:jc w:val="both"/>
        <w:rPr>
          <w:rFonts w:ascii="Times New Roman" w:hAnsi="Times New Roman" w:eastAsia="Arial" w:cs="Times New Roman"/>
          <w:sz w:val="26"/>
          <w:szCs w:val="26"/>
          <w:u w:val="single"/>
        </w:rPr>
      </w:pPr>
    </w:p>
    <w:p w:rsidRPr="00AE1B2B" w:rsidR="009D3FB5" w:rsidP="00163B94" w:rsidRDefault="009D3FB5" w14:paraId="5D9C35C3"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CC7691C"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191826E6"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E990338"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5F1D67FD"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062B3D4A"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3DAF455"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1DC406A"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399FECB0" w14:textId="2C5749E2">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Finalmente, la siguiente tabla muestra la cantidad de personas indígenas por pueblo de procedencia, según el censo realizado por el Instituto Nacional de Estadísticas y Censo (</w:t>
      </w:r>
      <w:r w:rsidRPr="00AE1B2B">
        <w:rPr>
          <w:rFonts w:ascii="Times New Roman" w:hAnsi="Times New Roman" w:eastAsia="Arial" w:cs="Times New Roman"/>
          <w:i/>
          <w:iCs/>
          <w:sz w:val="26"/>
          <w:szCs w:val="26"/>
        </w:rPr>
        <w:t>INEC</w:t>
      </w:r>
      <w:r w:rsidRPr="00AE1B2B">
        <w:rPr>
          <w:rFonts w:ascii="Times New Roman" w:hAnsi="Times New Roman" w:eastAsia="Arial" w:cs="Times New Roman"/>
          <w:sz w:val="26"/>
          <w:szCs w:val="26"/>
        </w:rPr>
        <w:t>) del año 2011 (</w:t>
      </w:r>
      <w:r w:rsidRPr="00AE1B2B">
        <w:rPr>
          <w:rFonts w:ascii="Times New Roman" w:hAnsi="Times New Roman" w:eastAsia="Arial" w:cs="Times New Roman"/>
          <w:i/>
          <w:iCs/>
          <w:sz w:val="26"/>
          <w:szCs w:val="26"/>
        </w:rPr>
        <w:t>versión más reciente</w:t>
      </w:r>
      <w:r w:rsidRPr="00AE1B2B">
        <w:rPr>
          <w:rFonts w:ascii="Times New Roman" w:hAnsi="Times New Roman" w:eastAsia="Arial" w:cs="Times New Roman"/>
          <w:sz w:val="26"/>
          <w:szCs w:val="26"/>
        </w:rPr>
        <w:t>).</w:t>
      </w:r>
    </w:p>
    <w:p w:rsidRPr="00AE1B2B" w:rsidR="00753ECC" w:rsidP="00163B94" w:rsidRDefault="00753ECC" w14:paraId="2BBA1FF2"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747EF08"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Tabla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Tabla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5</w:t>
      </w:r>
      <w:r w:rsidRPr="00AE1B2B">
        <w:rPr>
          <w:rFonts w:ascii="Times New Roman" w:hAnsi="Times New Roman" w:cs="Times New Roman"/>
          <w:sz w:val="26"/>
          <w:szCs w:val="26"/>
        </w:rPr>
        <w:fldChar w:fldCharType="end"/>
      </w:r>
    </w:p>
    <w:p w:rsidRPr="00AE1B2B" w:rsidR="009D3FB5" w:rsidP="00163B94" w:rsidRDefault="009D3FB5" w14:paraId="2DA9F09B"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Proporción de personas indígenas según el censo del INEC del 2011,</w:t>
      </w:r>
    </w:p>
    <w:p w:rsidRPr="00AE1B2B" w:rsidR="009D3FB5" w:rsidP="00163B94" w:rsidRDefault="009D3FB5" w14:paraId="6B8036F5" w14:textId="22693F69">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según pueblo de procedencia</w:t>
      </w:r>
    </w:p>
    <w:p w:rsidRPr="00AE1B2B" w:rsidR="00753ECC" w:rsidP="00163B94" w:rsidRDefault="00753ECC" w14:paraId="3AB275D6" w14:textId="77777777">
      <w:pPr>
        <w:spacing w:before="120" w:after="120"/>
        <w:rPr>
          <w:lang w:val="es-ES" w:eastAsia="es-ES"/>
        </w:rPr>
      </w:pPr>
    </w:p>
    <w:tbl>
      <w:tblPr>
        <w:tblW w:w="5000" w:type="pct"/>
        <w:jc w:val="center"/>
        <w:tblCellMar>
          <w:left w:w="70" w:type="dxa"/>
          <w:right w:w="70" w:type="dxa"/>
        </w:tblCellMar>
        <w:tblLook w:val="04A0" w:firstRow="1" w:lastRow="0" w:firstColumn="1" w:lastColumn="0" w:noHBand="0" w:noVBand="1"/>
      </w:tblPr>
      <w:tblGrid>
        <w:gridCol w:w="4866"/>
        <w:gridCol w:w="3962"/>
      </w:tblGrid>
      <w:tr w:rsidRPr="00AE1B2B" w:rsidR="00AE1B2B" w:rsidTr="00753ECC" w14:paraId="53CCDC65" w14:textId="77777777">
        <w:trPr>
          <w:trHeight w:val="252"/>
          <w:jc w:val="center"/>
        </w:trPr>
        <w:tc>
          <w:tcPr>
            <w:tcW w:w="2756" w:type="pct"/>
            <w:tcBorders>
              <w:top w:val="single" w:color="auto" w:sz="4" w:space="0"/>
              <w:left w:val="single" w:color="auto" w:sz="4" w:space="0"/>
              <w:bottom w:val="single" w:color="auto" w:sz="4" w:space="0"/>
              <w:right w:val="single" w:color="auto" w:sz="4" w:space="0"/>
            </w:tcBorders>
            <w:shd w:val="clear" w:color="000000" w:fill="95B3D7"/>
            <w:vAlign w:val="center"/>
            <w:hideMark/>
          </w:tcPr>
          <w:p w:rsidRPr="00AE1B2B" w:rsidR="009D3FB5" w:rsidP="00163B94" w:rsidRDefault="009D3FB5" w14:paraId="30C94E3D"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Pueblo</w:t>
            </w:r>
          </w:p>
        </w:tc>
        <w:tc>
          <w:tcPr>
            <w:tcW w:w="2244" w:type="pct"/>
            <w:tcBorders>
              <w:top w:val="single" w:color="auto" w:sz="4" w:space="0"/>
              <w:left w:val="nil"/>
              <w:bottom w:val="single" w:color="auto" w:sz="4" w:space="0"/>
              <w:right w:val="single" w:color="auto" w:sz="4" w:space="0"/>
            </w:tcBorders>
            <w:shd w:val="clear" w:color="000000" w:fill="95B3D7"/>
            <w:vAlign w:val="center"/>
            <w:hideMark/>
          </w:tcPr>
          <w:p w:rsidRPr="00AE1B2B" w:rsidR="009D3FB5" w:rsidP="00163B94" w:rsidRDefault="009D3FB5" w14:paraId="35CB501B"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Proporción de personas indígenas</w:t>
            </w:r>
          </w:p>
        </w:tc>
      </w:tr>
      <w:tr w:rsidRPr="00AE1B2B" w:rsidR="00AE1B2B" w:rsidTr="00753ECC" w14:paraId="01742384" w14:textId="77777777">
        <w:trPr>
          <w:trHeight w:val="250"/>
          <w:jc w:val="center"/>
        </w:trPr>
        <w:tc>
          <w:tcPr>
            <w:tcW w:w="275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752FFE8E"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Bribri</w:t>
            </w:r>
          </w:p>
        </w:tc>
        <w:tc>
          <w:tcPr>
            <w:tcW w:w="224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D45950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36%</w:t>
            </w:r>
          </w:p>
        </w:tc>
      </w:tr>
      <w:tr w:rsidRPr="00AE1B2B" w:rsidR="00AE1B2B" w:rsidTr="00753ECC" w14:paraId="435AFCDE" w14:textId="77777777">
        <w:trPr>
          <w:trHeight w:val="250"/>
          <w:jc w:val="center"/>
        </w:trPr>
        <w:tc>
          <w:tcPr>
            <w:tcW w:w="275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5F8321DE"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Cabécar</w:t>
            </w:r>
          </w:p>
        </w:tc>
        <w:tc>
          <w:tcPr>
            <w:tcW w:w="224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4B7343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35%</w:t>
            </w:r>
          </w:p>
        </w:tc>
      </w:tr>
      <w:tr w:rsidRPr="00AE1B2B" w:rsidR="00AE1B2B" w:rsidTr="00753ECC" w14:paraId="4FF2998A" w14:textId="77777777">
        <w:trPr>
          <w:trHeight w:val="250"/>
          <w:jc w:val="center"/>
        </w:trPr>
        <w:tc>
          <w:tcPr>
            <w:tcW w:w="275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14A3B72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Ngöbe o Guaymí</w:t>
            </w:r>
          </w:p>
        </w:tc>
        <w:tc>
          <w:tcPr>
            <w:tcW w:w="224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7B6193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w:t>
            </w:r>
          </w:p>
        </w:tc>
      </w:tr>
      <w:tr w:rsidRPr="00AE1B2B" w:rsidR="00AE1B2B" w:rsidTr="00753ECC" w14:paraId="138CC1EB" w14:textId="77777777">
        <w:trPr>
          <w:trHeight w:val="250"/>
          <w:jc w:val="center"/>
        </w:trPr>
        <w:tc>
          <w:tcPr>
            <w:tcW w:w="275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8F92A5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Brunca o Boruca</w:t>
            </w:r>
          </w:p>
        </w:tc>
        <w:tc>
          <w:tcPr>
            <w:tcW w:w="224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9D8F71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r>
      <w:tr w:rsidRPr="00AE1B2B" w:rsidR="00AE1B2B" w:rsidTr="00753ECC" w14:paraId="6CE192C2" w14:textId="77777777">
        <w:trPr>
          <w:trHeight w:val="250"/>
          <w:jc w:val="center"/>
        </w:trPr>
        <w:tc>
          <w:tcPr>
            <w:tcW w:w="275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19F818A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Huetar</w:t>
            </w:r>
          </w:p>
        </w:tc>
        <w:tc>
          <w:tcPr>
            <w:tcW w:w="224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DD5C48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r>
      <w:tr w:rsidRPr="00AE1B2B" w:rsidR="00AE1B2B" w:rsidTr="00753ECC" w14:paraId="55B71FF1" w14:textId="77777777">
        <w:trPr>
          <w:trHeight w:val="250"/>
          <w:jc w:val="center"/>
        </w:trPr>
        <w:tc>
          <w:tcPr>
            <w:tcW w:w="275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4C8184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Teribe o Térraba</w:t>
            </w:r>
          </w:p>
        </w:tc>
        <w:tc>
          <w:tcPr>
            <w:tcW w:w="224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B57788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r>
      <w:tr w:rsidRPr="00AE1B2B" w:rsidR="00AE1B2B" w:rsidTr="00753ECC" w14:paraId="5C60DE9C" w14:textId="77777777">
        <w:trPr>
          <w:trHeight w:val="250"/>
          <w:jc w:val="center"/>
        </w:trPr>
        <w:tc>
          <w:tcPr>
            <w:tcW w:w="275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6D513F0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Chorotega</w:t>
            </w:r>
          </w:p>
        </w:tc>
        <w:tc>
          <w:tcPr>
            <w:tcW w:w="224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0EC17F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r>
      <w:tr w:rsidRPr="00AE1B2B" w:rsidR="00AE1B2B" w:rsidTr="00753ECC" w14:paraId="552CA7C8" w14:textId="77777777">
        <w:trPr>
          <w:trHeight w:val="250"/>
          <w:jc w:val="center"/>
        </w:trPr>
        <w:tc>
          <w:tcPr>
            <w:tcW w:w="275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B48EC2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Maleku o Guatuso</w:t>
            </w:r>
          </w:p>
        </w:tc>
        <w:tc>
          <w:tcPr>
            <w:tcW w:w="224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7975F3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r>
    </w:tbl>
    <w:p w:rsidRPr="00AE1B2B" w:rsidR="009D3FB5" w:rsidP="00163B94" w:rsidRDefault="009D3FB5" w14:paraId="2D2D8597" w14:textId="0A367620">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b/>
          <w:bCs/>
          <w:sz w:val="26"/>
          <w:szCs w:val="26"/>
        </w:rPr>
        <w:t>Fuente:</w:t>
      </w:r>
      <w:r w:rsidRPr="00AE1B2B">
        <w:rPr>
          <w:rFonts w:ascii="Times New Roman" w:hAnsi="Times New Roman" w:eastAsia="Arial" w:cs="Times New Roman"/>
          <w:sz w:val="26"/>
          <w:szCs w:val="26"/>
        </w:rPr>
        <w:t xml:space="preserve"> Subproceso de Modernización Institucional de la Dirección de Planificación, con datos obtenidos de la página oficial del INEC.</w:t>
      </w:r>
    </w:p>
    <w:p w:rsidRPr="00AE1B2B" w:rsidR="00753ECC" w:rsidP="00163B94" w:rsidRDefault="00753ECC" w14:paraId="665E6292"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66AB4D7" w14:textId="77777777">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Tal y como se observa en la tabla anterior, la mayor cantidad de personas que se autodenominan indígenas habitan en los pueblos de Bribri, Cabécar y Ngöbe, según el censo realizado por el Instituto Nacional de Estadística y Censo (INEC) en el año 2011 (</w:t>
      </w:r>
      <w:r w:rsidRPr="00AE1B2B">
        <w:rPr>
          <w:rFonts w:ascii="Times New Roman" w:hAnsi="Times New Roman" w:eastAsia="Arial" w:cs="Times New Roman"/>
          <w:i/>
          <w:iCs/>
          <w:sz w:val="26"/>
          <w:szCs w:val="26"/>
        </w:rPr>
        <w:t>más reciente</w:t>
      </w:r>
      <w:r w:rsidRPr="00AE1B2B">
        <w:rPr>
          <w:rFonts w:ascii="Times New Roman" w:hAnsi="Times New Roman" w:eastAsia="Arial" w:cs="Times New Roman"/>
          <w:sz w:val="26"/>
          <w:szCs w:val="26"/>
        </w:rPr>
        <w:t>); lo cual es congruente a la concentración de la cantidad de personas representadas por la Defensa Pública en procesos judiciales.</w:t>
      </w:r>
    </w:p>
    <w:p w:rsidRPr="00AE1B2B" w:rsidR="009D3FB5" w:rsidP="00163B94" w:rsidRDefault="009D3FB5" w14:paraId="06A884C9" w14:textId="77777777">
      <w:pPr>
        <w:spacing w:before="120" w:after="120"/>
        <w:ind w:left="851" w:right="851" w:firstLine="709"/>
        <w:jc w:val="both"/>
        <w:rPr>
          <w:rFonts w:ascii="Times New Roman" w:hAnsi="Times New Roman" w:eastAsia="Arial" w:cs="Times New Roman"/>
          <w:sz w:val="26"/>
          <w:szCs w:val="26"/>
          <w:u w:val="single"/>
        </w:rPr>
      </w:pPr>
    </w:p>
    <w:p w:rsidRPr="00AE1B2B" w:rsidR="009D3FB5" w:rsidP="00163B94" w:rsidRDefault="009D3FB5" w14:paraId="09FABCFC" w14:textId="13C298A1">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lastRenderedPageBreak/>
        <w:t>Análisis de datos estadísticos del área jurisdiccional y representación de la Defensa Pública</w:t>
      </w:r>
    </w:p>
    <w:p w:rsidRPr="00AE1B2B" w:rsidR="009D3FB5" w:rsidP="00163B94" w:rsidRDefault="009D3FB5" w14:paraId="2B660632" w14:textId="77777777">
      <w:pPr>
        <w:spacing w:before="120" w:after="120"/>
        <w:ind w:left="851" w:right="851" w:firstLine="709"/>
        <w:jc w:val="both"/>
        <w:rPr>
          <w:rFonts w:ascii="Times New Roman" w:hAnsi="Times New Roman" w:cs="Times New Roman"/>
          <w:b/>
          <w:sz w:val="26"/>
          <w:szCs w:val="26"/>
        </w:rPr>
      </w:pPr>
    </w:p>
    <w:p w:rsidRPr="00AE1B2B" w:rsidR="009D3FB5" w:rsidP="00163B94" w:rsidRDefault="009D3FB5" w14:paraId="7330B83B" w14:textId="4DF86DAB">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Ley 9593 de Acceso a la justicia de Pueblos Indígenas (</w:t>
      </w:r>
      <w:r w:rsidRPr="00AE1B2B">
        <w:rPr>
          <w:rFonts w:ascii="Times New Roman" w:hAnsi="Times New Roman" w:cs="Times New Roman"/>
          <w:i/>
          <w:iCs/>
          <w:sz w:val="26"/>
          <w:szCs w:val="26"/>
        </w:rPr>
        <w:t>Alcance N°174</w:t>
      </w:r>
      <w:r w:rsidRPr="00AE1B2B">
        <w:rPr>
          <w:rFonts w:ascii="Times New Roman" w:hAnsi="Times New Roman" w:cs="Times New Roman"/>
          <w:sz w:val="26"/>
          <w:szCs w:val="26"/>
        </w:rPr>
        <w:t xml:space="preserve">) en el </w:t>
      </w:r>
      <w:r w:rsidRPr="00AE1B2B">
        <w:rPr>
          <w:rFonts w:ascii="Times New Roman" w:hAnsi="Times New Roman" w:cs="Times New Roman"/>
          <w:b/>
          <w:bCs/>
          <w:sz w:val="26"/>
          <w:szCs w:val="26"/>
        </w:rPr>
        <w:t>Artículo 7- Asistencia letrada y gratuidad de la justicia</w:t>
      </w:r>
      <w:r w:rsidRPr="00AE1B2B">
        <w:rPr>
          <w:rFonts w:ascii="Times New Roman" w:hAnsi="Times New Roman" w:cs="Times New Roman"/>
          <w:sz w:val="26"/>
          <w:szCs w:val="26"/>
        </w:rPr>
        <w:t xml:space="preserve">, menciona literalmente: </w:t>
      </w:r>
    </w:p>
    <w:p w:rsidRPr="00AE1B2B" w:rsidR="00753ECC" w:rsidP="00163B94" w:rsidRDefault="00753ECC" w14:paraId="4E94269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F18A17A" w14:textId="24995728">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“En aquellos procesos judiciales en que una persona indígena requiera asistencia letrada y no pueda cubrir los costos, la administración de justicia proveerá la asistencia de una persona defensora publica especializada en derecho indígena y en la materia de competencia de forma gratuita.”.</w:t>
      </w:r>
    </w:p>
    <w:p w:rsidRPr="00AE1B2B" w:rsidR="00753ECC" w:rsidP="00163B94" w:rsidRDefault="00753ECC" w14:paraId="29B16D61"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5EF78A7A" w14:textId="16BDDF88">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cs="Times New Roman"/>
          <w:sz w:val="26"/>
          <w:szCs w:val="26"/>
        </w:rPr>
        <w:t xml:space="preserve">Aunado a la indicación de la citada ley, se considera la </w:t>
      </w:r>
      <w:r w:rsidRPr="00AE1B2B">
        <w:rPr>
          <w:rFonts w:ascii="Times New Roman" w:hAnsi="Times New Roman" w:eastAsia="Book Antiqua" w:cs="Times New Roman"/>
          <w:sz w:val="26"/>
          <w:szCs w:val="26"/>
        </w:rPr>
        <w:t xml:space="preserve">resolución N°2020010431 de la Sala Constitucional de la Corte Suprema de Justicia, donde se le ordena a la persona coordinadora de la Defensa Pública de San Vito de Coto Brus realice las gestiones pertinentes para que, de forma inmediata, se verifique si la persona que interpuso el recurso de amparo cuenta con los medios económicos para sufragar patrocinio letrado y, si carece de los mismos, nombrarle una persona defensora que le represente en el proceso alimenticio. Lo anterior debido a que </w:t>
      </w:r>
      <w:r w:rsidRPr="00AE1B2B">
        <w:rPr>
          <w:rFonts w:ascii="Times New Roman" w:hAnsi="Times New Roman" w:eastAsia="Book Antiqua" w:cs="Times New Roman"/>
          <w:b/>
          <w:bCs/>
          <w:sz w:val="26"/>
          <w:szCs w:val="26"/>
        </w:rPr>
        <w:t>el artículo 13 de la Ley de Pensiones Alimentarias</w:t>
      </w:r>
      <w:r w:rsidRPr="00AE1B2B">
        <w:rPr>
          <w:rFonts w:ascii="Times New Roman" w:hAnsi="Times New Roman" w:eastAsia="Book Antiqua" w:cs="Times New Roman"/>
          <w:sz w:val="26"/>
          <w:szCs w:val="26"/>
        </w:rPr>
        <w:t xml:space="preserve"> no realiza distinción alguna en cuanto a la parte actora a quien se le debe brindar la asistencia legal y, solo establece, a especie de requisito o condición para proveerlo que la parte interesada o solicitante carezca de recursos para sufragarlo, en cuyo caso debe ser demostrado previamente.</w:t>
      </w:r>
    </w:p>
    <w:p w:rsidRPr="00AE1B2B" w:rsidR="00753ECC" w:rsidP="00163B94" w:rsidRDefault="00753ECC" w14:paraId="0D352E3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9885D42" w14:textId="4C3AA43C">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 por las dos razones anteriores que, en el presente apartado se analizará a nivel nacional los asuntos con persona usuaria indígena y, la representación de la Defensa Pública cuenta; con el propósito de determinar si se cuenta con el personal defensor requerido para la atención de personas indígenas, según las cuotas que se han definido por la Dirección de Planificación en los diversos estudios técnicos y, las particularidades cualitativas de la atención de esta población que en su mayoría se encuentra en condición de vulnerabilidad.</w:t>
      </w:r>
    </w:p>
    <w:p w:rsidRPr="00AE1B2B" w:rsidR="00753ECC" w:rsidP="00163B94" w:rsidRDefault="00753ECC" w14:paraId="00BB6AB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F6E9F3E" w14:textId="30FA9F71">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la siguiente figura se muestra el ingreso promedio mensual, con base en la información del área jurisdiccional (</w:t>
      </w:r>
      <w:r w:rsidRPr="00AE1B2B">
        <w:rPr>
          <w:rFonts w:ascii="Times New Roman" w:hAnsi="Times New Roman" w:cs="Times New Roman"/>
          <w:i/>
          <w:iCs/>
          <w:sz w:val="26"/>
          <w:szCs w:val="26"/>
        </w:rPr>
        <w:t xml:space="preserve">incluyendo </w:t>
      </w:r>
      <w:r w:rsidRPr="00AE1B2B">
        <w:rPr>
          <w:rFonts w:ascii="Times New Roman" w:hAnsi="Times New Roman" w:cs="Times New Roman"/>
          <w:i/>
          <w:iCs/>
          <w:sz w:val="26"/>
          <w:szCs w:val="26"/>
        </w:rPr>
        <w:lastRenderedPageBreak/>
        <w:t>juzgados, tribunales, salas y Centro de Conciliación</w:t>
      </w:r>
      <w:r w:rsidRPr="00AE1B2B">
        <w:rPr>
          <w:rFonts w:ascii="Times New Roman" w:hAnsi="Times New Roman" w:cs="Times New Roman"/>
          <w:sz w:val="26"/>
          <w:szCs w:val="26"/>
        </w:rPr>
        <w:t>) para el año 2019 y 2020, obtenida de la herramienta SIGMA, en coordinación del Subproceso de Estadística de la Dirección de Planificación; segregada por materia la demanda en los procesos judiciales de las personas usuarias indígenas. Es importante aclarar que, los datos que se muestran a continuación son preliminares, por lo que podrían eventualmente sufrir variaciones seguido del control de calidad que la Dirección de Planificación efectúa, ya que aún no se ha concluido el proceso para el año 2020; sin embargo, por experiencias de años anteriores, los profesionales del subproceso indican que las diferencias suelen no ser significativas.</w:t>
      </w:r>
    </w:p>
    <w:p w:rsidRPr="00AE1B2B" w:rsidR="00753ECC" w:rsidP="00163B94" w:rsidRDefault="00753ECC" w14:paraId="19C3702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1DFE770" w14:textId="79B2F6D9">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Además, es importante aclarar que la información que se obtuvo de SIGMA corresponde es un reflejo fidedigno de lo alimentado en los sistemas judiciales, según cada despacho y sin ningún tipo de alteración, es por esto que, si se detectara que en alguno de los despachos judiciales la cantidad de expedientes con persona indígena no corresponde a la realidad, la responsabilidad de la actualización constante y correcta la data de los sistemas informáticos (</w:t>
      </w:r>
      <w:r w:rsidRPr="00AE1B2B">
        <w:rPr>
          <w:rFonts w:ascii="Times New Roman" w:hAnsi="Times New Roman" w:cs="Times New Roman"/>
          <w:i/>
          <w:iCs/>
          <w:sz w:val="26"/>
          <w:szCs w:val="26"/>
        </w:rPr>
        <w:t>en el momento en que se generen las gestiones</w:t>
      </w:r>
      <w:r w:rsidRPr="00AE1B2B">
        <w:rPr>
          <w:rFonts w:ascii="Times New Roman" w:hAnsi="Times New Roman" w:cs="Times New Roman"/>
          <w:sz w:val="26"/>
          <w:szCs w:val="26"/>
        </w:rPr>
        <w:t xml:space="preserve">) corresponde al despacho judicial, así como la revisión regular de los sistemas para detectar los datos que pudieran faltar y procurar su inclusión; en concordancia con las circulantes emitidas por el Consejo Superior 160-2016, 133-2018, 15-2019 y 94-2019. </w:t>
      </w:r>
      <w:r w:rsidRPr="00AE1B2B">
        <w:rPr>
          <w:rFonts w:ascii="Times New Roman" w:hAnsi="Times New Roman" w:cs="Times New Roman"/>
          <w:b/>
          <w:bCs/>
          <w:sz w:val="26"/>
          <w:szCs w:val="26"/>
        </w:rPr>
        <w:t>Ver anexo 8</w:t>
      </w:r>
      <w:r w:rsidRPr="00AE1B2B">
        <w:rPr>
          <w:rFonts w:ascii="Times New Roman" w:hAnsi="Times New Roman" w:cs="Times New Roman"/>
          <w:sz w:val="26"/>
          <w:szCs w:val="26"/>
        </w:rPr>
        <w:t>.</w:t>
      </w:r>
    </w:p>
    <w:p w:rsidRPr="00AE1B2B" w:rsidR="00753ECC" w:rsidP="00163B94" w:rsidRDefault="00753ECC" w14:paraId="61B4E77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5BE8C53"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Figura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Figura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5</w:t>
      </w:r>
      <w:r w:rsidRPr="00AE1B2B">
        <w:rPr>
          <w:rFonts w:ascii="Times New Roman" w:hAnsi="Times New Roman" w:cs="Times New Roman"/>
          <w:sz w:val="26"/>
          <w:szCs w:val="26"/>
        </w:rPr>
        <w:fldChar w:fldCharType="end"/>
      </w:r>
    </w:p>
    <w:p w:rsidRPr="00AE1B2B" w:rsidR="009D3FB5" w:rsidP="00163B94" w:rsidRDefault="009D3FB5" w14:paraId="2A1A47C9" w14:textId="7421AA5B">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Ingreso promedio mensual por materia segregados por materia,</w:t>
      </w:r>
    </w:p>
    <w:p w:rsidRPr="00AE1B2B" w:rsidR="009D3FB5" w:rsidP="00163B94" w:rsidRDefault="009D3FB5" w14:paraId="4D40B8C5" w14:textId="4A91603E">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de los expedientes con persona usuaria indígena </w:t>
      </w:r>
      <w:r w:rsidRPr="00AE1B2B">
        <w:rPr>
          <w:rFonts w:ascii="Times New Roman" w:hAnsi="Times New Roman" w:cs="Times New Roman"/>
          <w:sz w:val="26"/>
          <w:szCs w:val="26"/>
        </w:rPr>
        <w:lastRenderedPageBreak/>
        <w:t>reportados</w:t>
      </w:r>
    </w:p>
    <w:p w:rsidRPr="00AE1B2B" w:rsidR="009D3FB5" w:rsidP="00163B94" w:rsidRDefault="009D3FB5" w14:paraId="46FD33BC" w14:textId="4625F5AD">
      <w:pPr>
        <w:pStyle w:val="Descripcin"/>
        <w:keepNext/>
        <w:spacing w:before="120" w:after="120"/>
        <w:ind w:left="851" w:right="851" w:firstLine="709"/>
        <w:jc w:val="center"/>
        <w:rPr>
          <w:rFonts w:ascii="Times New Roman" w:hAnsi="Times New Roman" w:cs="Times New Roman"/>
          <w:sz w:val="22"/>
          <w:szCs w:val="22"/>
        </w:rPr>
      </w:pPr>
      <w:r w:rsidRPr="00AE1B2B">
        <w:rPr>
          <w:rFonts w:ascii="Times New Roman" w:hAnsi="Times New Roman" w:cs="Times New Roman"/>
          <w:sz w:val="26"/>
          <w:szCs w:val="26"/>
        </w:rPr>
        <w:t>por el área jurisdiccional a nivel nacional</w:t>
      </w:r>
    </w:p>
    <w:p w:rsidRPr="00AE1B2B" w:rsidR="009D3FB5" w:rsidP="00163B94" w:rsidRDefault="009D3FB5" w14:paraId="7AB688C9" w14:textId="77777777">
      <w:pPr>
        <w:spacing w:before="120" w:after="120"/>
        <w:rPr>
          <w:rFonts w:ascii="Times New Roman" w:hAnsi="Times New Roman" w:cs="Times New Roman"/>
        </w:rPr>
      </w:pPr>
      <w:r w:rsidRPr="00AE1B2B">
        <w:rPr>
          <w:rFonts w:ascii="Times New Roman" w:hAnsi="Times New Roman" w:cs="Times New Roman"/>
          <w:noProof/>
          <w:lang w:val="en-US"/>
        </w:rPr>
        <w:drawing>
          <wp:inline distT="0" distB="0" distL="0" distR="0" wp14:anchorId="66FC15C4" wp14:editId="6FDBE953">
            <wp:extent cx="5708650" cy="3124200"/>
            <wp:effectExtent l="0" t="0" r="6350" b="0"/>
            <wp:docPr id="1212768262" name="Gráfico 1212768262">
              <a:extLst xmlns:a="http://schemas.openxmlformats.org/drawingml/2006/main">
                <a:ext uri="{FF2B5EF4-FFF2-40B4-BE49-F238E27FC236}">
                  <a16:creationId xmlns:a16="http://schemas.microsoft.com/office/drawing/2014/main" id="{1F27D86F-7CA0-4213-B947-1FAA3C8AFF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Pr="00AE1B2B" w:rsidR="009D3FB5" w:rsidP="00163B94" w:rsidRDefault="009D3FB5" w14:paraId="47AA90E3" w14:textId="37BC20FB">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b/>
          <w:bCs/>
          <w:sz w:val="26"/>
          <w:szCs w:val="26"/>
        </w:rPr>
        <w:t>Fuente:</w:t>
      </w:r>
      <w:r w:rsidRPr="00AE1B2B">
        <w:rPr>
          <w:rFonts w:ascii="Times New Roman" w:hAnsi="Times New Roman" w:eastAsia="Arial" w:cs="Times New Roman"/>
          <w:sz w:val="26"/>
          <w:szCs w:val="26"/>
        </w:rPr>
        <w:t xml:space="preserve"> Subproceso de Modernización Institucional de la Dirección de Planificación, con obtenidos mediante SIGMA, en coordinación con el Subproceso de Estadística de la Dirección de Planificación.</w:t>
      </w:r>
    </w:p>
    <w:p w:rsidRPr="00AE1B2B" w:rsidR="00753ECC" w:rsidP="00163B94" w:rsidRDefault="00753ECC" w14:paraId="474A16A6"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758536B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grafico de Pareto mostrado en la figura anterior permite inferir que el 86% de la totalidad de los asuntos entrados con persona usuaria indígena a nivel nacional se concentran en cuatro materias: Penal (</w:t>
      </w:r>
      <w:r w:rsidRPr="00AE1B2B">
        <w:rPr>
          <w:rFonts w:ascii="Times New Roman" w:hAnsi="Times New Roman" w:cs="Times New Roman"/>
          <w:i/>
          <w:iCs/>
          <w:sz w:val="26"/>
          <w:szCs w:val="26"/>
        </w:rPr>
        <w:t>106 expedientes mensuales</w:t>
      </w:r>
      <w:r w:rsidRPr="00AE1B2B">
        <w:rPr>
          <w:rFonts w:ascii="Times New Roman" w:hAnsi="Times New Roman" w:cs="Times New Roman"/>
          <w:sz w:val="26"/>
          <w:szCs w:val="26"/>
        </w:rPr>
        <w:t>), Violencia Doméstica (</w:t>
      </w:r>
      <w:r w:rsidRPr="00AE1B2B">
        <w:rPr>
          <w:rFonts w:ascii="Times New Roman" w:hAnsi="Times New Roman" w:cs="Times New Roman"/>
          <w:i/>
          <w:iCs/>
          <w:sz w:val="26"/>
          <w:szCs w:val="26"/>
        </w:rPr>
        <w:t>36 expedientes mensuales</w:t>
      </w:r>
      <w:r w:rsidRPr="00AE1B2B">
        <w:rPr>
          <w:rFonts w:ascii="Times New Roman" w:hAnsi="Times New Roman" w:cs="Times New Roman"/>
          <w:sz w:val="26"/>
          <w:szCs w:val="26"/>
        </w:rPr>
        <w:t>), Faltas y Contravenciones (</w:t>
      </w:r>
      <w:r w:rsidRPr="00AE1B2B">
        <w:rPr>
          <w:rFonts w:ascii="Times New Roman" w:hAnsi="Times New Roman" w:cs="Times New Roman"/>
          <w:i/>
          <w:iCs/>
          <w:sz w:val="26"/>
          <w:szCs w:val="26"/>
        </w:rPr>
        <w:t>26 expedientes mensuales</w:t>
      </w:r>
      <w:r w:rsidRPr="00AE1B2B">
        <w:rPr>
          <w:rFonts w:ascii="Times New Roman" w:hAnsi="Times New Roman" w:cs="Times New Roman"/>
          <w:sz w:val="26"/>
          <w:szCs w:val="26"/>
        </w:rPr>
        <w:t>) y Pensiones Alimentarias (</w:t>
      </w:r>
      <w:r w:rsidRPr="00AE1B2B">
        <w:rPr>
          <w:rFonts w:ascii="Times New Roman" w:hAnsi="Times New Roman" w:cs="Times New Roman"/>
          <w:i/>
          <w:iCs/>
          <w:sz w:val="26"/>
          <w:szCs w:val="26"/>
        </w:rPr>
        <w:t>26 expedientes mensuales</w:t>
      </w:r>
      <w:r w:rsidRPr="00AE1B2B">
        <w:rPr>
          <w:rFonts w:ascii="Times New Roman" w:hAnsi="Times New Roman" w:cs="Times New Roman"/>
          <w:sz w:val="26"/>
          <w:szCs w:val="26"/>
        </w:rPr>
        <w:t>). El restante 14% de la totalidad de asuntos entrados se estima sean en promedio 34 expedientes mensuales a nivel nacional, distribuidos en los diversos despachos de las siguientes materias: Penal Juvenil, Familia, Laboral, Tránsito, Agrario, Civil, Cobro Judicial, Constitucional, Conciliación, Contencioso Administrativo, Notariado, Niñez y Adolescencia y Disciplinario.</w:t>
      </w:r>
    </w:p>
    <w:p w:rsidRPr="00AE1B2B" w:rsidR="009D3FB5" w:rsidP="00163B94" w:rsidRDefault="009D3FB5" w14:paraId="1290298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F95D205" w14:textId="0A184633">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Como se evidenció en la </w:t>
      </w:r>
      <w:r w:rsidRPr="00AE1B2B">
        <w:rPr>
          <w:rFonts w:ascii="Times New Roman" w:hAnsi="Times New Roman" w:cs="Times New Roman"/>
          <w:b/>
          <w:bCs/>
          <w:i/>
          <w:iCs/>
          <w:sz w:val="26"/>
          <w:szCs w:val="26"/>
        </w:rPr>
        <w:fldChar w:fldCharType="begin"/>
      </w:r>
      <w:r w:rsidRPr="00AE1B2B">
        <w:rPr>
          <w:rFonts w:ascii="Times New Roman" w:hAnsi="Times New Roman" w:cs="Times New Roman"/>
          <w:b/>
          <w:bCs/>
          <w:i/>
          <w:iCs/>
          <w:sz w:val="26"/>
          <w:szCs w:val="26"/>
        </w:rPr>
        <w:instrText xml:space="preserve"> REF _Ref63944307 \h  \* MERGEFORMAT </w:instrText>
      </w:r>
      <w:r w:rsidRPr="00AE1B2B">
        <w:rPr>
          <w:rFonts w:ascii="Times New Roman" w:hAnsi="Times New Roman" w:cs="Times New Roman"/>
          <w:b/>
          <w:bCs/>
          <w:i/>
          <w:iCs/>
          <w:sz w:val="26"/>
          <w:szCs w:val="26"/>
        </w:rPr>
      </w:r>
      <w:r w:rsidRPr="00AE1B2B">
        <w:rPr>
          <w:rFonts w:ascii="Times New Roman" w:hAnsi="Times New Roman" w:cs="Times New Roman"/>
          <w:b/>
          <w:bCs/>
          <w:i/>
          <w:iCs/>
          <w:sz w:val="26"/>
          <w:szCs w:val="26"/>
        </w:rPr>
        <w:fldChar w:fldCharType="separate"/>
      </w:r>
      <w:r w:rsidRPr="00AE1B2B">
        <w:rPr>
          <w:rFonts w:ascii="Times New Roman" w:hAnsi="Times New Roman" w:cs="Times New Roman"/>
          <w:b/>
          <w:bCs/>
          <w:i/>
          <w:iCs/>
          <w:sz w:val="26"/>
          <w:szCs w:val="26"/>
        </w:rPr>
        <w:t xml:space="preserve">Figura </w:t>
      </w:r>
      <w:r w:rsidRPr="00AE1B2B">
        <w:rPr>
          <w:rFonts w:ascii="Times New Roman" w:hAnsi="Times New Roman" w:cs="Times New Roman"/>
          <w:b/>
          <w:bCs/>
          <w:i/>
          <w:iCs/>
          <w:noProof/>
          <w:sz w:val="26"/>
          <w:szCs w:val="26"/>
        </w:rPr>
        <w:t>1</w:t>
      </w:r>
      <w:r w:rsidRPr="00AE1B2B">
        <w:rPr>
          <w:rFonts w:ascii="Times New Roman" w:hAnsi="Times New Roman" w:cs="Times New Roman"/>
          <w:b/>
          <w:bCs/>
          <w:i/>
          <w:iCs/>
          <w:sz w:val="26"/>
          <w:szCs w:val="26"/>
        </w:rPr>
        <w:fldChar w:fldCharType="end"/>
      </w:r>
      <w:r w:rsidRPr="00AE1B2B">
        <w:rPr>
          <w:rFonts w:ascii="Times New Roman" w:hAnsi="Times New Roman" w:cs="Times New Roman"/>
          <w:sz w:val="26"/>
          <w:szCs w:val="26"/>
        </w:rPr>
        <w:t xml:space="preserve">, el 80% de los asuntos entrados en la Defensa Pública se concentran en tres materias: Pensiones Alimentarias, Penal y Agrario. Sin embargo, dicha proporción varía en el área jurisdiccional, donde predominan los </w:t>
      </w:r>
      <w:r w:rsidRPr="00AE1B2B">
        <w:rPr>
          <w:rFonts w:ascii="Times New Roman" w:hAnsi="Times New Roman" w:cs="Times New Roman"/>
          <w:sz w:val="26"/>
          <w:szCs w:val="26"/>
        </w:rPr>
        <w:lastRenderedPageBreak/>
        <w:t xml:space="preserve">asuntos penales, violencia doméstica, contravencionales y alimentarios. Es importante mencionar que los asuntos contravencionales y de Violencia Doméstica son asumidos por recargo por el personal defensor penal. </w:t>
      </w:r>
    </w:p>
    <w:p w:rsidRPr="00AE1B2B" w:rsidR="00753ECC" w:rsidP="00163B94" w:rsidRDefault="00753ECC" w14:paraId="6049D22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1A6E99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Dada la explicación anterior, el esfuerzo técnico del presente informe se enfocará en las materias de mayor representación, tanto en área jurisdiccional como en Defensa Pública; siendo estas materias: </w:t>
      </w:r>
      <w:r w:rsidRPr="00AE1B2B">
        <w:rPr>
          <w:rFonts w:ascii="Times New Roman" w:hAnsi="Times New Roman" w:cs="Times New Roman"/>
          <w:b/>
          <w:bCs/>
          <w:sz w:val="26"/>
          <w:szCs w:val="26"/>
          <w:u w:val="single"/>
        </w:rPr>
        <w:t>Penal, Violencia Doméstica, Contravencional, Agrario y Pensiones Alimentarias</w:t>
      </w:r>
      <w:r w:rsidRPr="00AE1B2B">
        <w:rPr>
          <w:rFonts w:ascii="Times New Roman" w:hAnsi="Times New Roman" w:cs="Times New Roman"/>
          <w:sz w:val="26"/>
          <w:szCs w:val="26"/>
        </w:rPr>
        <w:t>, así como la dinámica de trabajo para el personal defensor, dada a las colaboraciones que se brindan a otras materias y entre oficinas. Adicionalmente, se analizarán las cargas de trabajo de la plaza responsable de la tramitación de asuntos contenciosos administrativos con persona usuaria indígena y servidora judicial (</w:t>
      </w:r>
      <w:r w:rsidRPr="00AE1B2B">
        <w:rPr>
          <w:rFonts w:ascii="Times New Roman" w:hAnsi="Times New Roman" w:cs="Times New Roman"/>
          <w:i/>
          <w:iCs/>
          <w:sz w:val="26"/>
          <w:szCs w:val="26"/>
        </w:rPr>
        <w:t>con hechos relacionados en sus funciones públicas</w:t>
      </w:r>
      <w:r w:rsidRPr="00AE1B2B">
        <w:rPr>
          <w:rFonts w:ascii="Times New Roman" w:hAnsi="Times New Roman" w:cs="Times New Roman"/>
          <w:sz w:val="26"/>
          <w:szCs w:val="26"/>
        </w:rPr>
        <w:t xml:space="preserve">), dado a que como se explicó en el apartado </w:t>
      </w:r>
      <w:r w:rsidRPr="00AE1B2B">
        <w:rPr>
          <w:rFonts w:ascii="Times New Roman" w:hAnsi="Times New Roman" w:cs="Times New Roman"/>
          <w:b/>
          <w:bCs/>
          <w:sz w:val="26"/>
          <w:szCs w:val="26"/>
        </w:rPr>
        <w:t>I. Antecedentes</w:t>
      </w:r>
      <w:r w:rsidRPr="00AE1B2B">
        <w:rPr>
          <w:rFonts w:ascii="Times New Roman" w:hAnsi="Times New Roman" w:cs="Times New Roman"/>
          <w:sz w:val="26"/>
          <w:szCs w:val="26"/>
        </w:rPr>
        <w:t>, dicha plaza se trasladó de la Secretaría de Género a la Defensa Pública, precisamente para la atención de los asuntos anteriormente mencionados.</w:t>
      </w:r>
    </w:p>
    <w:p w:rsidRPr="00AE1B2B" w:rsidR="009D3FB5" w:rsidP="00163B94" w:rsidRDefault="009D3FB5" w14:paraId="2B5B8B7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203013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8528DC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215A2E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3170D6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66AC71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964BBE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889AB7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483DB8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18AC2E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365175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83CB673" w14:textId="0053B381">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Ahora, los asuntos entrados en el área jurisdiccional con persona usuaria indígena en calidad de interviniente se clasificaron según el circuito judicial al que pertenecen y se muestran en la siguiente figura: </w:t>
      </w:r>
    </w:p>
    <w:p w:rsidRPr="00AE1B2B" w:rsidR="00753ECC" w:rsidP="00163B94" w:rsidRDefault="00753ECC" w14:paraId="2619FD2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C3037D1"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lastRenderedPageBreak/>
        <w:t xml:space="preserve">Figura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Figura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6</w:t>
      </w:r>
      <w:r w:rsidRPr="00AE1B2B">
        <w:rPr>
          <w:rFonts w:ascii="Times New Roman" w:hAnsi="Times New Roman" w:cs="Times New Roman"/>
          <w:sz w:val="26"/>
          <w:szCs w:val="26"/>
        </w:rPr>
        <w:fldChar w:fldCharType="end"/>
      </w:r>
    </w:p>
    <w:p w:rsidRPr="00AE1B2B" w:rsidR="009D3FB5" w:rsidP="00163B94" w:rsidRDefault="009D3FB5" w14:paraId="30D9FED4" w14:textId="4E10CDB4">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Representación de la entrada de asuntos con persona usuaria indígena</w:t>
      </w:r>
    </w:p>
    <w:p w:rsidRPr="00AE1B2B" w:rsidR="009D3FB5" w:rsidP="00163B94" w:rsidRDefault="009D3FB5" w14:paraId="3611E3CE" w14:textId="75B05E22">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reportados por el área jurisdiccional a nivel nacional</w:t>
      </w:r>
    </w:p>
    <w:p w:rsidRPr="00AE1B2B" w:rsidR="009D3FB5" w:rsidP="00163B94" w:rsidRDefault="009D3FB5" w14:paraId="675D390A" w14:textId="0B0F9116">
      <w:pPr>
        <w:pStyle w:val="Descripcin"/>
        <w:keepNext/>
        <w:spacing w:before="120" w:after="120"/>
        <w:jc w:val="center"/>
        <w:rPr>
          <w:rFonts w:ascii="Times New Roman" w:hAnsi="Times New Roman" w:cs="Times New Roman"/>
        </w:rPr>
      </w:pPr>
      <w:r w:rsidRPr="00AE1B2B">
        <w:rPr>
          <w:rFonts w:ascii="Times New Roman" w:hAnsi="Times New Roman" w:cs="Times New Roman"/>
          <w:noProof/>
          <w:lang w:val="en-US" w:eastAsia="en-US"/>
        </w:rPr>
        <w:drawing>
          <wp:inline distT="0" distB="0" distL="0" distR="0" wp14:anchorId="62930F49" wp14:editId="3EBE405B">
            <wp:extent cx="5502416" cy="2912012"/>
            <wp:effectExtent l="0" t="0" r="3175" b="3175"/>
            <wp:docPr id="1212768263" name="Imagen 1212768263"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263" name="Imagen 1212768263" descr="Gráfico, Gráfico circular&#10;&#10;Descripción generada automáticamente"/>
                    <pic:cNvPicPr>
                      <a:picLocks noChangeAspect="1" noChangeArrowheads="1"/>
                    </pic:cNvPicPr>
                  </pic:nvPicPr>
                  <pic:blipFill rotWithShape="1">
                    <a:blip r:embed="rId163">
                      <a:extLst>
                        <a:ext uri="{28A0092B-C50C-407E-A947-70E740481C1C}">
                          <a14:useLocalDpi xmlns:a14="http://schemas.microsoft.com/office/drawing/2010/main" val="0"/>
                        </a:ext>
                      </a:extLst>
                    </a:blip>
                    <a:srcRect l="13357" t="2226" r="616" b="1672"/>
                    <a:stretch/>
                  </pic:blipFill>
                  <pic:spPr bwMode="auto">
                    <a:xfrm>
                      <a:off x="0" y="0"/>
                      <a:ext cx="5565029" cy="2945148"/>
                    </a:xfrm>
                    <a:prstGeom prst="rect">
                      <a:avLst/>
                    </a:prstGeom>
                    <a:noFill/>
                    <a:ln>
                      <a:noFill/>
                    </a:ln>
                    <a:extLst>
                      <a:ext uri="{53640926-AAD7-44D8-BBD7-CCE9431645EC}">
                        <a14:shadowObscured xmlns:a14="http://schemas.microsoft.com/office/drawing/2010/main"/>
                      </a:ext>
                    </a:extLst>
                  </pic:spPr>
                </pic:pic>
              </a:graphicData>
            </a:graphic>
          </wp:inline>
        </w:drawing>
      </w:r>
    </w:p>
    <w:p w:rsidRPr="00AE1B2B" w:rsidR="00753ECC" w:rsidP="00163B94" w:rsidRDefault="00753ECC" w14:paraId="6F3DC2F2" w14:textId="77777777">
      <w:pPr>
        <w:spacing w:before="120" w:after="120"/>
        <w:rPr>
          <w:lang w:val="es-ES" w:eastAsia="es-ES"/>
        </w:rPr>
      </w:pPr>
    </w:p>
    <w:p w:rsidRPr="00AE1B2B" w:rsidR="009D3FB5" w:rsidP="00163B94" w:rsidRDefault="009D3FB5" w14:paraId="7E62215A" w14:textId="3421882E">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b/>
          <w:bCs/>
          <w:sz w:val="26"/>
          <w:szCs w:val="26"/>
        </w:rPr>
        <w:t>Fuente:</w:t>
      </w:r>
      <w:r w:rsidRPr="00AE1B2B">
        <w:rPr>
          <w:rFonts w:ascii="Times New Roman" w:hAnsi="Times New Roman" w:eastAsia="Arial" w:cs="Times New Roman"/>
          <w:sz w:val="26"/>
          <w:szCs w:val="26"/>
        </w:rPr>
        <w:t xml:space="preserve"> Subproceso de Modernización Institucional de la Dirección de Planificación, obtenidos mediante SIGMA, en coordinación con el Subproceso de Estadística de la Dirección de Planificación.</w:t>
      </w:r>
    </w:p>
    <w:p w:rsidRPr="00AE1B2B" w:rsidR="00753ECC" w:rsidP="00163B94" w:rsidRDefault="00753ECC" w14:paraId="057210F9"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15A6690B" w14:textId="0401E625">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Tal y como se muestra en la figura anterior, el 82% de la totalidad de asuntos entrados a nivel nacional, según el reporte del área jurisdiccional; se concentra en cuatro circuitos judiciales: Primer Circuito Judicial de la Zona Sur (</w:t>
      </w:r>
      <w:r w:rsidRPr="00AE1B2B">
        <w:rPr>
          <w:rFonts w:ascii="Times New Roman" w:hAnsi="Times New Roman" w:cs="Times New Roman"/>
          <w:i/>
          <w:iCs/>
          <w:sz w:val="26"/>
          <w:szCs w:val="26"/>
        </w:rPr>
        <w:t>34%</w:t>
      </w:r>
      <w:r w:rsidRPr="00AE1B2B">
        <w:rPr>
          <w:rFonts w:ascii="Times New Roman" w:hAnsi="Times New Roman" w:cs="Times New Roman"/>
          <w:sz w:val="26"/>
          <w:szCs w:val="26"/>
        </w:rPr>
        <w:t>), Primer Circuito Judicial de la Zona Atlántica (</w:t>
      </w:r>
      <w:r w:rsidRPr="00AE1B2B">
        <w:rPr>
          <w:rFonts w:ascii="Times New Roman" w:hAnsi="Times New Roman" w:cs="Times New Roman"/>
          <w:i/>
          <w:iCs/>
          <w:sz w:val="26"/>
          <w:szCs w:val="26"/>
        </w:rPr>
        <w:t>26%</w:t>
      </w:r>
      <w:r w:rsidRPr="00AE1B2B">
        <w:rPr>
          <w:rFonts w:ascii="Times New Roman" w:hAnsi="Times New Roman" w:cs="Times New Roman"/>
          <w:sz w:val="26"/>
          <w:szCs w:val="26"/>
        </w:rPr>
        <w:t>), Segundo Circuito Judicial de la Zona Sur (</w:t>
      </w:r>
      <w:r w:rsidRPr="00AE1B2B">
        <w:rPr>
          <w:rFonts w:ascii="Times New Roman" w:hAnsi="Times New Roman" w:cs="Times New Roman"/>
          <w:i/>
          <w:iCs/>
          <w:sz w:val="26"/>
          <w:szCs w:val="26"/>
        </w:rPr>
        <w:t>11%</w:t>
      </w:r>
      <w:r w:rsidRPr="00AE1B2B">
        <w:rPr>
          <w:rFonts w:ascii="Times New Roman" w:hAnsi="Times New Roman" w:cs="Times New Roman"/>
          <w:sz w:val="26"/>
          <w:szCs w:val="26"/>
        </w:rPr>
        <w:t>) y Circuito Judicial de Cartago (</w:t>
      </w:r>
      <w:r w:rsidRPr="00AE1B2B">
        <w:rPr>
          <w:rFonts w:ascii="Times New Roman" w:hAnsi="Times New Roman" w:cs="Times New Roman"/>
          <w:i/>
          <w:iCs/>
          <w:sz w:val="26"/>
          <w:szCs w:val="26"/>
        </w:rPr>
        <w:t>11%</w:t>
      </w:r>
      <w:r w:rsidRPr="00AE1B2B">
        <w:rPr>
          <w:rFonts w:ascii="Times New Roman" w:hAnsi="Times New Roman" w:cs="Times New Roman"/>
          <w:sz w:val="26"/>
          <w:szCs w:val="26"/>
        </w:rPr>
        <w:t>). El restante 18% de asuntos entrados se distribuyen en los demás circuitos judiciales del país.</w:t>
      </w:r>
    </w:p>
    <w:p w:rsidRPr="00AE1B2B" w:rsidR="00753ECC" w:rsidP="00163B94" w:rsidRDefault="00753ECC" w14:paraId="57E6CA12" w14:textId="77777777">
      <w:pPr>
        <w:spacing w:before="120" w:after="120"/>
        <w:ind w:left="851" w:right="851" w:firstLine="709"/>
        <w:jc w:val="both"/>
        <w:rPr>
          <w:rFonts w:ascii="Times New Roman" w:hAnsi="Times New Roman" w:cs="Times New Roman"/>
          <w:sz w:val="26"/>
          <w:szCs w:val="26"/>
        </w:rPr>
      </w:pPr>
    </w:p>
    <w:p w:rsidRPr="00AE1B2B" w:rsidR="00753ECC" w:rsidP="00163B94" w:rsidRDefault="009D3FB5" w14:paraId="5B36388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Esta información del área jurisdiccional es congruente al reporte estadístico de la Defensa Pública, ya que como se indicó anteriormente, los asuntos con persona usuaria indígena se concentran en la zona sur, caribe sur y Turrialba. Y, la proyección de la demanda de la Defensa Pública, con respecto a la data del área </w:t>
      </w:r>
      <w:r w:rsidRPr="00AE1B2B">
        <w:rPr>
          <w:rFonts w:ascii="Times New Roman" w:hAnsi="Times New Roman" w:cs="Times New Roman"/>
          <w:sz w:val="26"/>
          <w:szCs w:val="26"/>
        </w:rPr>
        <w:lastRenderedPageBreak/>
        <w:t>jurisdiccional se enfocará en las materias antes mencionadas (</w:t>
      </w:r>
      <w:r w:rsidRPr="00AE1B2B">
        <w:rPr>
          <w:rFonts w:ascii="Times New Roman" w:hAnsi="Times New Roman" w:cs="Times New Roman"/>
          <w:i/>
          <w:iCs/>
          <w:sz w:val="26"/>
          <w:szCs w:val="26"/>
        </w:rPr>
        <w:t>de mayor representación en la Defensa Pública y en el área jurisdiccional</w:t>
      </w:r>
      <w:r w:rsidRPr="00AE1B2B">
        <w:rPr>
          <w:rFonts w:ascii="Times New Roman" w:hAnsi="Times New Roman" w:cs="Times New Roman"/>
          <w:sz w:val="26"/>
          <w:szCs w:val="26"/>
        </w:rPr>
        <w:t>) y, en los circuitos de mayor atención de personas indígenas a nivel nacional.</w:t>
      </w:r>
    </w:p>
    <w:p w:rsidRPr="00AE1B2B" w:rsidR="009D3FB5" w:rsidP="00163B94" w:rsidRDefault="009D3FB5" w14:paraId="2C187B7A" w14:textId="4BE2E9F5">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9D3FB5" w14:paraId="4245BECD" w14:textId="04087E5D">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Atención de asuntos penales, violencia doméstica y contravencionales</w:t>
      </w:r>
    </w:p>
    <w:p w:rsidRPr="00AE1B2B" w:rsidR="009D3FB5" w:rsidP="00163B94" w:rsidRDefault="009D3FB5" w14:paraId="54E4733A" w14:textId="77777777">
      <w:pPr>
        <w:spacing w:before="120" w:after="120"/>
        <w:ind w:left="851" w:right="851" w:firstLine="709"/>
        <w:jc w:val="both"/>
        <w:rPr>
          <w:rFonts w:ascii="Times New Roman" w:hAnsi="Times New Roman" w:cs="Times New Roman"/>
          <w:b/>
          <w:sz w:val="26"/>
          <w:szCs w:val="26"/>
        </w:rPr>
      </w:pPr>
    </w:p>
    <w:p w:rsidRPr="00AE1B2B" w:rsidR="009D3FB5" w:rsidP="00163B94" w:rsidRDefault="009D3FB5" w14:paraId="08B5A341" w14:textId="4A23EC7C">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atención de asuntos penales, violencia doméstica y contravencionales se analizan en conjunto ya que son asumidos por recargo por el personal penal de cada una de las oficinas de la Defensa Pública. </w:t>
      </w:r>
      <w:r w:rsidRPr="00AE1B2B">
        <w:rPr>
          <w:rFonts w:ascii="Times New Roman" w:hAnsi="Times New Roman" w:cs="Times New Roman"/>
          <w:b/>
          <w:bCs/>
          <w:sz w:val="26"/>
          <w:szCs w:val="26"/>
        </w:rPr>
        <w:t>Ver anexo 9</w:t>
      </w:r>
      <w:r w:rsidRPr="00AE1B2B">
        <w:rPr>
          <w:rFonts w:ascii="Times New Roman" w:hAnsi="Times New Roman" w:cs="Times New Roman"/>
          <w:sz w:val="26"/>
          <w:szCs w:val="26"/>
        </w:rPr>
        <w:t>.</w:t>
      </w:r>
    </w:p>
    <w:p w:rsidRPr="00AE1B2B" w:rsidR="00753ECC" w:rsidP="00163B94" w:rsidRDefault="00753ECC" w14:paraId="5F342F8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B44B3DA" w14:textId="7010501E">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asuntos contravencionales han sido asumidos por el personal defensor penal desde antes de la promulgación de la Ley 9593 para la parte acusada, el impacto de ley radica en que se le tiene que brindar representación a la parte contraventora. Y, los asuntos de violencia doméstica forman parte de las nuevas obligaciones de la Defensa Pública en razón de la Ley 9593, por tal sólo se les brinda el servicio a personas usuarias indígenas.</w:t>
      </w:r>
    </w:p>
    <w:p w:rsidRPr="00AE1B2B" w:rsidR="00753ECC" w:rsidP="00163B94" w:rsidRDefault="00753ECC" w14:paraId="3CDE755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5B497B9" w14:textId="3D47D6AE">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Dado a que el presente informe tiene como objetivo medir el impacto que se obtuvo con la promulgación de la Ley 9593 de Acceso a la Justicia a Pueblos Indígenas, se analizarán los cuatro circuitos judiciales que representan el 82% de la totalidad de asuntos a nivel nacional y, las cargas de trabajo del personal defensor responsable de la tramitación de los asuntos considerando la carga de trabajo actual y, la adquirida por recargo.</w:t>
      </w:r>
    </w:p>
    <w:p w:rsidRPr="00AE1B2B" w:rsidR="00753ECC" w:rsidP="00163B94" w:rsidRDefault="00753ECC" w14:paraId="0803AFC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C2D72C5"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Tabla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Tabla \* ARABIC </w:instrText>
      </w:r>
      <w:r w:rsidRPr="00AE1B2B">
        <w:rPr>
          <w:rFonts w:ascii="Times New Roman" w:hAnsi="Times New Roman" w:cs="Times New Roman"/>
          <w:sz w:val="26"/>
          <w:szCs w:val="26"/>
        </w:rPr>
        <w:fldChar w:fldCharType="separate"/>
      </w:r>
      <w:r w:rsidRPr="00AE1B2B">
        <w:rPr>
          <w:rFonts w:ascii="Times New Roman" w:hAnsi="Times New Roman" w:cs="Times New Roman"/>
          <w:sz w:val="26"/>
          <w:szCs w:val="26"/>
        </w:rPr>
        <w:t>6</w:t>
      </w:r>
      <w:r w:rsidRPr="00AE1B2B">
        <w:rPr>
          <w:rFonts w:ascii="Times New Roman" w:hAnsi="Times New Roman" w:cs="Times New Roman"/>
          <w:sz w:val="26"/>
          <w:szCs w:val="26"/>
        </w:rPr>
        <w:fldChar w:fldCharType="end"/>
      </w:r>
    </w:p>
    <w:p w:rsidRPr="00AE1B2B" w:rsidR="009D3FB5" w:rsidP="00163B94" w:rsidRDefault="009D3FB5" w14:paraId="4698ABE2" w14:textId="107AFB40">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Entrada promedio mensual de asuntos penales, violencia domestica</w:t>
      </w:r>
    </w:p>
    <w:p w:rsidRPr="00AE1B2B" w:rsidR="009D3FB5" w:rsidP="00163B94" w:rsidRDefault="009D3FB5" w14:paraId="6A06DF68" w14:textId="59058231">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y contravenciones, de las oficinas que representan el 82% de la entrada</w:t>
      </w:r>
    </w:p>
    <w:p w:rsidRPr="00AE1B2B" w:rsidR="009D3FB5" w:rsidP="00163B94" w:rsidRDefault="009D3FB5" w14:paraId="24B57E9C" w14:textId="66DA2F8E">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total, de asuntos con personas usuarias indígenas</w:t>
      </w:r>
    </w:p>
    <w:p w:rsidRPr="00AE1B2B" w:rsidR="00753ECC" w:rsidP="00163B94" w:rsidRDefault="00753ECC" w14:paraId="5B5F5325" w14:textId="77777777">
      <w:pPr>
        <w:spacing w:before="120" w:after="120"/>
        <w:rPr>
          <w:lang w:val="es-ES" w:eastAsia="es-ES"/>
        </w:rPr>
      </w:pPr>
    </w:p>
    <w:p w:rsidRPr="00AE1B2B" w:rsidR="009D3FB5" w:rsidP="00163B94" w:rsidRDefault="009D3FB5" w14:paraId="61C6FABD" w14:textId="77777777">
      <w:pPr>
        <w:spacing w:before="120" w:after="120"/>
        <w:jc w:val="center"/>
        <w:rPr>
          <w:rFonts w:ascii="Times New Roman" w:hAnsi="Times New Roman" w:cs="Times New Roman"/>
        </w:rPr>
      </w:pPr>
      <w:r w:rsidRPr="00AE1B2B">
        <w:rPr>
          <w:rFonts w:ascii="Times New Roman" w:hAnsi="Times New Roman" w:cs="Times New Roman"/>
          <w:noProof/>
          <w:lang w:val="en-US"/>
        </w:rPr>
        <w:lastRenderedPageBreak/>
        <w:drawing>
          <wp:inline distT="0" distB="0" distL="0" distR="0" wp14:anchorId="23B7BEEC" wp14:editId="5B2431BC">
            <wp:extent cx="5612130" cy="1995805"/>
            <wp:effectExtent l="19050" t="19050" r="26670" b="23495"/>
            <wp:docPr id="1212768264" name="Imagen 1212768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612130" cy="1995805"/>
                    </a:xfrm>
                    <a:prstGeom prst="rect">
                      <a:avLst/>
                    </a:prstGeom>
                    <a:noFill/>
                    <a:ln w="6350">
                      <a:solidFill>
                        <a:schemeClr val="tx1"/>
                      </a:solidFill>
                    </a:ln>
                  </pic:spPr>
                </pic:pic>
              </a:graphicData>
            </a:graphic>
          </wp:inline>
        </w:drawing>
      </w:r>
    </w:p>
    <w:p w:rsidRPr="00AE1B2B" w:rsidR="009D3FB5" w:rsidP="00163B94" w:rsidRDefault="009D3FB5" w14:paraId="298E1D39" w14:textId="10231B73">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b/>
          <w:bCs/>
          <w:sz w:val="26"/>
          <w:szCs w:val="26"/>
        </w:rPr>
        <w:t>Fuente:</w:t>
      </w:r>
      <w:r w:rsidRPr="00AE1B2B">
        <w:rPr>
          <w:rFonts w:ascii="Times New Roman" w:hAnsi="Times New Roman" w:eastAsia="Arial" w:cs="Times New Roman"/>
          <w:sz w:val="26"/>
          <w:szCs w:val="26"/>
        </w:rPr>
        <w:t xml:space="preserve"> Subproceso de Modernización Institucional de la Dirección de Planificación, con datos de los Anuarios Judiciales y, los del área jurisdiccional obtenidos mediante SIGMA, en coordinación con el Subproceso de Estadística de la Dirección de Planificación.</w:t>
      </w:r>
    </w:p>
    <w:p w:rsidRPr="00AE1B2B" w:rsidR="00753ECC" w:rsidP="00163B94" w:rsidRDefault="00753ECC" w14:paraId="2DE0C66C" w14:textId="77777777">
      <w:pPr>
        <w:spacing w:before="120" w:after="120"/>
        <w:ind w:left="851" w:right="851" w:firstLine="709"/>
        <w:jc w:val="both"/>
        <w:rPr>
          <w:rFonts w:ascii="Times New Roman" w:hAnsi="Times New Roman" w:eastAsia="Arial" w:cs="Times New Roman"/>
          <w:sz w:val="26"/>
          <w:szCs w:val="26"/>
        </w:rPr>
      </w:pPr>
    </w:p>
    <w:p w:rsidRPr="00AE1B2B" w:rsidR="00753ECC" w:rsidP="00163B94" w:rsidRDefault="009D3FB5" w14:paraId="733A00FD" w14:textId="77777777">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Las columnas “</w:t>
      </w:r>
      <w:r w:rsidRPr="00AE1B2B">
        <w:rPr>
          <w:rFonts w:ascii="Times New Roman" w:hAnsi="Times New Roman" w:eastAsia="Arial" w:cs="Times New Roman"/>
          <w:i/>
          <w:iCs/>
          <w:sz w:val="26"/>
          <w:szCs w:val="26"/>
        </w:rPr>
        <w:t>Ingreso promedio mensual (penal y penalización, todos los usuarios)</w:t>
      </w:r>
      <w:r w:rsidRPr="00AE1B2B">
        <w:rPr>
          <w:rFonts w:ascii="Times New Roman" w:hAnsi="Times New Roman" w:eastAsia="Arial" w:cs="Times New Roman"/>
          <w:sz w:val="26"/>
          <w:szCs w:val="26"/>
        </w:rPr>
        <w:t>” y “</w:t>
      </w:r>
      <w:r w:rsidRPr="00AE1B2B">
        <w:rPr>
          <w:rFonts w:ascii="Times New Roman" w:hAnsi="Times New Roman" w:eastAsia="Arial" w:cs="Times New Roman"/>
          <w:i/>
          <w:iCs/>
          <w:sz w:val="26"/>
          <w:szCs w:val="26"/>
        </w:rPr>
        <w:t>Entrada promedio mensual contravencional (todos los usuarios)</w:t>
      </w:r>
      <w:r w:rsidRPr="00AE1B2B">
        <w:rPr>
          <w:rFonts w:ascii="Times New Roman" w:hAnsi="Times New Roman" w:eastAsia="Arial" w:cs="Times New Roman"/>
          <w:sz w:val="26"/>
          <w:szCs w:val="26"/>
        </w:rPr>
        <w:t>” se calcularon con base en los datos oficiales de los Anuarios Judiciales de la Defensa Pública, esta data considera todos los asuntos entrados (</w:t>
      </w:r>
      <w:r w:rsidRPr="00AE1B2B">
        <w:rPr>
          <w:rFonts w:ascii="Times New Roman" w:hAnsi="Times New Roman" w:eastAsia="Arial" w:cs="Times New Roman"/>
          <w:i/>
          <w:iCs/>
          <w:sz w:val="26"/>
          <w:szCs w:val="26"/>
        </w:rPr>
        <w:t>con personas usuarias indígenas y no indígenas</w:t>
      </w:r>
      <w:r w:rsidRPr="00AE1B2B">
        <w:rPr>
          <w:rFonts w:ascii="Times New Roman" w:hAnsi="Times New Roman" w:eastAsia="Arial" w:cs="Times New Roman"/>
          <w:sz w:val="26"/>
          <w:szCs w:val="26"/>
        </w:rPr>
        <w:t>), ya que siempre han sido usuarias y usuarios de la Defensa Pública; con el propósito de determinar la entrada promedio mensual del personal defensor en materia penal.</w:t>
      </w:r>
    </w:p>
    <w:p w:rsidRPr="00AE1B2B" w:rsidR="009D3FB5" w:rsidP="00163B94" w:rsidRDefault="009D3FB5" w14:paraId="4C03D126" w14:textId="2328E731">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 </w:t>
      </w:r>
    </w:p>
    <w:p w:rsidRPr="00AE1B2B" w:rsidR="009D3FB5" w:rsidP="00163B94" w:rsidRDefault="009D3FB5" w14:paraId="497B768C" w14:textId="1344E0F9">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Las columnas “</w:t>
      </w:r>
      <w:r w:rsidRPr="00AE1B2B">
        <w:rPr>
          <w:rFonts w:ascii="Times New Roman" w:hAnsi="Times New Roman" w:eastAsia="Arial" w:cs="Times New Roman"/>
          <w:i/>
          <w:iCs/>
          <w:sz w:val="26"/>
          <w:szCs w:val="26"/>
        </w:rPr>
        <w:t>Entrada promedio mensual contravencional con persona indígena (área jurisdiccional)</w:t>
      </w:r>
      <w:r w:rsidRPr="00AE1B2B">
        <w:rPr>
          <w:rFonts w:ascii="Times New Roman" w:hAnsi="Times New Roman" w:eastAsia="Arial" w:cs="Times New Roman"/>
          <w:sz w:val="26"/>
          <w:szCs w:val="26"/>
        </w:rPr>
        <w:t>” y “</w:t>
      </w:r>
      <w:r w:rsidRPr="00AE1B2B">
        <w:rPr>
          <w:rFonts w:ascii="Times New Roman" w:hAnsi="Times New Roman" w:eastAsia="Arial" w:cs="Times New Roman"/>
          <w:i/>
          <w:iCs/>
          <w:sz w:val="26"/>
          <w:szCs w:val="26"/>
        </w:rPr>
        <w:t>Entrada promedio mensual de Violencia Doméstica con persona indígena (área jurisdiccional)</w:t>
      </w:r>
      <w:r w:rsidRPr="00AE1B2B">
        <w:rPr>
          <w:rFonts w:ascii="Times New Roman" w:hAnsi="Times New Roman" w:eastAsia="Arial" w:cs="Times New Roman"/>
          <w:sz w:val="26"/>
          <w:szCs w:val="26"/>
        </w:rPr>
        <w:t>” se infirió estadísticamente con base en la información histórica extraída con SIGMA, en coordinación con le Subproceso de Estadística de la Dirección de Planificación.</w:t>
      </w:r>
    </w:p>
    <w:p w:rsidRPr="00AE1B2B" w:rsidR="00753ECC" w:rsidP="00163B94" w:rsidRDefault="00753ECC" w14:paraId="54777C0F"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207FA73D" w14:textId="06DF2FDB">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Es importante aclarar que, podría haber expedientes que se estén cuantificando duplicados, debido a que en materia contravencional la Defensa Pública brinda el servicio independientemente si es una persona usuaria indígena o no y, en los Anuarios Judiciales no es posible visibilizar de esa entrada cuántos procesos judiciales corresponden a personas indígenas. Sin embargo, para el cálculo de la entrada promedio mensual se considera el peor </w:t>
      </w:r>
      <w:r w:rsidRPr="00AE1B2B">
        <w:rPr>
          <w:rFonts w:ascii="Times New Roman" w:hAnsi="Times New Roman" w:eastAsia="Arial" w:cs="Times New Roman"/>
          <w:sz w:val="26"/>
          <w:szCs w:val="26"/>
        </w:rPr>
        <w:lastRenderedPageBreak/>
        <w:t>escenario, por lo tanto, se adiciona la entrada de la Defensa Pública y del área jurisdiccional, como si el personal defensor hoy no atendiera personas indígenas en asuntos contravencionales, lo cual sabemos es falso.</w:t>
      </w:r>
    </w:p>
    <w:p w:rsidRPr="00AE1B2B" w:rsidR="00753ECC" w:rsidP="00163B94" w:rsidRDefault="00753ECC" w14:paraId="3B3BA752"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5C3F827C" w14:textId="7A8EC88E">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Además, es importante mencionar que cada una de las oficinas de la Defensa Pública puede presentar variaciones conforme a la dinámica interna que se adopte por parte de la coordinación, sin embargo, a nivel general la información anterior nos permite tener noción de la entrada de cada una de las personas defensoras y de la posible necesidad de recurso humano en razón de la promulgación de la Ley 9593 de Acceso a la Justicia a Pueblos Indígenas. </w:t>
      </w:r>
    </w:p>
    <w:p w:rsidRPr="00AE1B2B" w:rsidR="00753ECC" w:rsidP="00163B94" w:rsidRDefault="00753ECC" w14:paraId="52B0F2A2"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0B7DB926" w14:textId="69592537">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En sesión del Consejo Superior 5-2019, artículo XXII, del 23 de enero de 2019, se tuvo por rendido el informe 1507-PLA-MI-2018, relacionado con el “</w:t>
      </w:r>
      <w:r w:rsidRPr="00AE1B2B">
        <w:rPr>
          <w:rFonts w:ascii="Times New Roman" w:hAnsi="Times New Roman" w:eastAsia="Arial" w:cs="Times New Roman"/>
          <w:i/>
          <w:iCs/>
          <w:sz w:val="26"/>
          <w:szCs w:val="26"/>
        </w:rPr>
        <w:t>Modelo de Tramitación de la Defensa Pública”</w:t>
      </w:r>
      <w:r w:rsidRPr="00AE1B2B">
        <w:rPr>
          <w:rFonts w:ascii="Times New Roman" w:hAnsi="Times New Roman" w:eastAsia="Arial" w:cs="Times New Roman"/>
          <w:sz w:val="26"/>
          <w:szCs w:val="26"/>
        </w:rPr>
        <w:t>; donde se recomienda una serie parámetros de referencia en cuanto a la estructura organizacional de las oficinas de la Defensa Pública, asuntos entrados por persona defensora, entre otros aspectos en materia penal. Es por esto que, a pesar de que el modelo de tramitación no considere recargos de otras materias, nos permite aproximar las cargas de trabajo con base en los datos estadísticos y en los abordajes que ha efectuado la Dirección de Planificación en las oficinas de la Defensa Pública, en razón del Proyecto Mejora Integral del Proceso Penal. En ese sentido no se detectan variables cuantitativas que afecten la operativa de las oficinas en estudio, sin embargo, la Defensa Pública de Cartago se mostró en el cuadro anterior debido a que el análisis se realizó por circuitos, pero como se detectó en el abordaje corto que se realizó en la oficina, se debe realizar un análisis a profundidad de las cargas de trabajo de la oficina como parte del Proyecto Mejora Integral del Proceso Penal, debido a que se encuentra fuera del alcance del presente informe técnico, ya que la oficina de Cartago reporta un único expediente entrado de setiembre de 2019 a octubre 2020, con persona usuaria indígena en calidad de interviniente; en efecto la concentración de procesos judiciales con persona usuaria indígena se concentran en la zona de Turrialba.</w:t>
      </w:r>
    </w:p>
    <w:p w:rsidRPr="00AE1B2B" w:rsidR="00753ECC" w:rsidP="00163B94" w:rsidRDefault="00753ECC" w14:paraId="1BF58C32"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7134A212"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Atención de asuntos agrarios</w:t>
      </w:r>
    </w:p>
    <w:p w:rsidRPr="00AE1B2B" w:rsidR="009D3FB5" w:rsidP="00163B94" w:rsidRDefault="009D3FB5" w14:paraId="0B3A8062" w14:textId="36100C24">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lastRenderedPageBreak/>
        <w:t>En la reunión con el Licenciado Mario Rosales Vargas, Defensor Público Coordinador de Materia Agraria, sostenida el 01 de febrero de 2021 mediante la minuta 73-PLA-MI-MNTA-2021 (</w:t>
      </w:r>
      <w:r w:rsidRPr="00AE1B2B">
        <w:rPr>
          <w:rFonts w:ascii="Times New Roman" w:hAnsi="Times New Roman" w:eastAsia="Arial" w:cs="Times New Roman"/>
          <w:i/>
          <w:iCs/>
          <w:sz w:val="26"/>
          <w:szCs w:val="26"/>
        </w:rPr>
        <w:t>ver anexo 3</w:t>
      </w:r>
      <w:r w:rsidRPr="00AE1B2B">
        <w:rPr>
          <w:rFonts w:ascii="Times New Roman" w:hAnsi="Times New Roman" w:eastAsia="Arial" w:cs="Times New Roman"/>
          <w:sz w:val="26"/>
          <w:szCs w:val="26"/>
        </w:rPr>
        <w:t>); el Señor Rosales Vargas menciona que las personas usuarias indígenas siempre han sido atendidas por el personal defensor agrario y, con la promulgación de la Ley 9593 de Acceso a la Justicia a Pueblos Indígenas el verdadero impacto no fue en materia agraria, sino en las materias que por recargo han sido asumidas por el personal defensor agrario (</w:t>
      </w:r>
      <w:r w:rsidRPr="00AE1B2B">
        <w:rPr>
          <w:rFonts w:ascii="Times New Roman" w:hAnsi="Times New Roman" w:eastAsia="Arial" w:cs="Times New Roman"/>
          <w:i/>
          <w:iCs/>
          <w:sz w:val="26"/>
          <w:szCs w:val="26"/>
        </w:rPr>
        <w:t>civil, cobro y problemas arrendaticios</w:t>
      </w:r>
      <w:r w:rsidRPr="00AE1B2B">
        <w:rPr>
          <w:rFonts w:ascii="Times New Roman" w:hAnsi="Times New Roman" w:eastAsia="Arial" w:cs="Times New Roman"/>
          <w:sz w:val="26"/>
          <w:szCs w:val="26"/>
        </w:rPr>
        <w:t xml:space="preserve">). Como se mencionó anteriormente en el apartado </w:t>
      </w:r>
      <w:r w:rsidRPr="00AE1B2B">
        <w:rPr>
          <w:rFonts w:ascii="Times New Roman" w:hAnsi="Times New Roman" w:eastAsia="Arial" w:cs="Times New Roman"/>
          <w:b/>
          <w:bCs/>
          <w:sz w:val="26"/>
          <w:szCs w:val="26"/>
        </w:rPr>
        <w:t>III. Antecedentes</w:t>
      </w:r>
      <w:r w:rsidRPr="00AE1B2B">
        <w:rPr>
          <w:rFonts w:ascii="Times New Roman" w:hAnsi="Times New Roman" w:eastAsia="Arial" w:cs="Times New Roman"/>
          <w:sz w:val="26"/>
          <w:szCs w:val="26"/>
        </w:rPr>
        <w:t>, el personal defensor agrario funge como co-defensa en asuntos contenciosos administrativos; sin embargo, la carga de trabajo sustancial recae sobre la plaza en la que actualmente se destaca el Doctor Roberto Montero García.</w:t>
      </w:r>
    </w:p>
    <w:p w:rsidRPr="00AE1B2B" w:rsidR="00753ECC" w:rsidP="00163B94" w:rsidRDefault="00753ECC" w14:paraId="20AEA0D7"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051AD3D7" w14:textId="1234CE24">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A pesar de que el Licenciado Mario Rosales Vargas, Defensor Público Coordinador de Materia Agraria, menciona que la carga de trabajo no ha sido exorbitante para las personas defensoras agrarias; en este apartado se analizará si ha habido aumento en el 2020 la demanda del personal defensor, con respecto a los años anteriores. </w:t>
      </w:r>
      <w:r w:rsidRPr="00AE1B2B">
        <w:rPr>
          <w:rFonts w:ascii="Times New Roman" w:hAnsi="Times New Roman" w:eastAsia="Arial" w:cs="Times New Roman"/>
          <w:b/>
          <w:bCs/>
          <w:sz w:val="26"/>
          <w:szCs w:val="26"/>
        </w:rPr>
        <w:t>Ver anexo 10</w:t>
      </w:r>
      <w:r w:rsidRPr="00AE1B2B" w:rsidR="00753ECC">
        <w:rPr>
          <w:rFonts w:ascii="Times New Roman" w:hAnsi="Times New Roman" w:eastAsia="Arial" w:cs="Times New Roman"/>
          <w:sz w:val="26"/>
          <w:szCs w:val="26"/>
        </w:rPr>
        <w:t>.</w:t>
      </w:r>
    </w:p>
    <w:p w:rsidRPr="00AE1B2B" w:rsidR="009D3FB5" w:rsidP="00163B94" w:rsidRDefault="009D3FB5" w14:paraId="1A07D321" w14:textId="1ADB9A36">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393B66FD" w14:textId="0ED4EB2F">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Con base en los datos de los Anuarios Judiciales para los años 2017, 2018 y 2019 y, la información suministrada por la Coordinación Agraria para el año 2020; en la siguiente figura se ilustra el comportamiento de los asuntos entrados, terminados y el circulante en m</w:t>
      </w:r>
      <w:r w:rsidRPr="00AE1B2B" w:rsidR="00753ECC">
        <w:rPr>
          <w:rFonts w:ascii="Times New Roman" w:hAnsi="Times New Roman" w:eastAsia="Arial" w:cs="Times New Roman"/>
          <w:sz w:val="26"/>
          <w:szCs w:val="26"/>
        </w:rPr>
        <w:t>ateria agraria a nivel nacional.</w:t>
      </w:r>
    </w:p>
    <w:p w:rsidRPr="00AE1B2B" w:rsidR="00753ECC" w:rsidP="00163B94" w:rsidRDefault="00753ECC" w14:paraId="194F3515"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36EAD51F"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Figura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Figura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7</w:t>
      </w:r>
      <w:r w:rsidRPr="00AE1B2B">
        <w:rPr>
          <w:rFonts w:ascii="Times New Roman" w:hAnsi="Times New Roman" w:cs="Times New Roman"/>
          <w:sz w:val="26"/>
          <w:szCs w:val="26"/>
        </w:rPr>
        <w:fldChar w:fldCharType="end"/>
      </w:r>
    </w:p>
    <w:p w:rsidRPr="00AE1B2B" w:rsidR="009D3FB5" w:rsidP="00163B94" w:rsidRDefault="009D3FB5" w14:paraId="69FEDE9A" w14:textId="0EB4134A">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Comportamiento de los asuntos entrados, terminados y</w:t>
      </w:r>
    </w:p>
    <w:p w:rsidRPr="00AE1B2B" w:rsidR="009D3FB5" w:rsidP="00163B94" w:rsidRDefault="009D3FB5" w14:paraId="71AE99B3"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activos de la materia a nivel nacional, del año 2017 al </w:t>
      </w:r>
      <w:r w:rsidRPr="00AE1B2B">
        <w:rPr>
          <w:rFonts w:ascii="Times New Roman" w:hAnsi="Times New Roman" w:cs="Times New Roman"/>
          <w:sz w:val="26"/>
          <w:szCs w:val="26"/>
        </w:rPr>
        <w:lastRenderedPageBreak/>
        <w:t>2020</w:t>
      </w:r>
    </w:p>
    <w:p w:rsidRPr="00AE1B2B" w:rsidR="009D3FB5" w:rsidP="00163B94" w:rsidRDefault="009D3FB5" w14:paraId="524B6D79" w14:textId="77777777">
      <w:pPr>
        <w:spacing w:before="120" w:after="120"/>
        <w:jc w:val="center"/>
        <w:rPr>
          <w:rFonts w:ascii="Times New Roman" w:hAnsi="Times New Roman" w:eastAsia="Arial" w:cs="Times New Roman"/>
        </w:rPr>
      </w:pPr>
      <w:r w:rsidRPr="00AE1B2B">
        <w:rPr>
          <w:rFonts w:ascii="Times New Roman" w:hAnsi="Times New Roman" w:cs="Times New Roman"/>
          <w:noProof/>
          <w:lang w:val="en-US"/>
        </w:rPr>
        <w:drawing>
          <wp:inline distT="0" distB="0" distL="0" distR="0" wp14:anchorId="1694D683" wp14:editId="66F61191">
            <wp:extent cx="5669280" cy="2834640"/>
            <wp:effectExtent l="0" t="0" r="7620" b="3810"/>
            <wp:docPr id="1212768288" name="Gráfico 1212768288">
              <a:extLst xmlns:a="http://schemas.openxmlformats.org/drawingml/2006/main">
                <a:ext uri="{FF2B5EF4-FFF2-40B4-BE49-F238E27FC236}">
                  <a16:creationId xmlns:a16="http://schemas.microsoft.com/office/drawing/2014/main" id="{ED8E3A03-678C-4DA2-82CE-3DE540EBB3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Pr="00AE1B2B" w:rsidR="009D3FB5" w:rsidP="00163B94" w:rsidRDefault="009D3FB5" w14:paraId="32B3A821" w14:textId="1A442B84">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b/>
          <w:bCs/>
          <w:sz w:val="26"/>
          <w:szCs w:val="26"/>
        </w:rPr>
        <w:t>Fuente:</w:t>
      </w:r>
      <w:r w:rsidRPr="00AE1B2B">
        <w:rPr>
          <w:rFonts w:ascii="Times New Roman" w:hAnsi="Times New Roman" w:eastAsia="Arial" w:cs="Times New Roman"/>
          <w:sz w:val="26"/>
          <w:szCs w:val="26"/>
        </w:rPr>
        <w:t xml:space="preserve"> Subproceso de Modernización Institucional de la Dirección de Planificación, con datos de los Anuarios Judiciales y, facilitados por la Administración de la Defensa Pública.</w:t>
      </w:r>
    </w:p>
    <w:p w:rsidRPr="00AE1B2B" w:rsidR="00753ECC" w:rsidP="00163B94" w:rsidRDefault="00753ECC" w14:paraId="444636D4"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3145C66B" w14:textId="54B22E9E">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En cuanto a los asuntos entrados se observa que, en los primeros tres años la tendencia fue al crecimiento, siendo esto congruente con el recurso humano otorgado, ya que como se mencionó en el apartado </w:t>
      </w:r>
      <w:r w:rsidRPr="00AE1B2B">
        <w:rPr>
          <w:rFonts w:ascii="Times New Roman" w:hAnsi="Times New Roman" w:eastAsia="Arial" w:cs="Times New Roman"/>
          <w:b/>
          <w:bCs/>
          <w:sz w:val="26"/>
          <w:szCs w:val="26"/>
        </w:rPr>
        <w:t>III. Antecedentes</w:t>
      </w:r>
      <w:r w:rsidRPr="00AE1B2B">
        <w:rPr>
          <w:rFonts w:ascii="Times New Roman" w:hAnsi="Times New Roman" w:eastAsia="Arial" w:cs="Times New Roman"/>
          <w:sz w:val="26"/>
          <w:szCs w:val="26"/>
        </w:rPr>
        <w:t xml:space="preserve"> del presente informe técnico, en el año 2018 se otorgaron siete plazas de persona defensora agraria (</w:t>
      </w:r>
      <w:r w:rsidRPr="00AE1B2B">
        <w:rPr>
          <w:rFonts w:ascii="Times New Roman" w:hAnsi="Times New Roman" w:eastAsia="Arial" w:cs="Times New Roman"/>
          <w:i/>
          <w:iCs/>
          <w:sz w:val="26"/>
          <w:szCs w:val="26"/>
        </w:rPr>
        <w:t>la Defensa Pública ahora cuenta con 17 personas defensoras en total a nivel nacional</w:t>
      </w:r>
      <w:r w:rsidRPr="00AE1B2B">
        <w:rPr>
          <w:rFonts w:ascii="Times New Roman" w:hAnsi="Times New Roman" w:eastAsia="Arial" w:cs="Times New Roman"/>
          <w:sz w:val="26"/>
          <w:szCs w:val="26"/>
        </w:rPr>
        <w:t>) para la colaboración en la descongestión de Tribunales Agrarios y, en el 2019 se determinó que dichas plazas son requeridas para la demanda ordinaria de la Defensa Pública y por tal, para el 2020 cambiaron su condición de “extraordinaria” a “ordinaria”. No obstante, para el año 2020 se observa un decrecimiento en la entrada de asuntos, siendo la diferencia de 120 expedientes a nivel nacional. Es por esto que, no se detectan variables cuantitativas que afecten significantemente la demanda del personal defensor agrario a nivel genérico.</w:t>
      </w:r>
    </w:p>
    <w:p w:rsidRPr="00AE1B2B" w:rsidR="00753ECC" w:rsidP="00163B94" w:rsidRDefault="00753ECC" w14:paraId="52B347CD"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5CD9B4D6" w14:textId="21D44262">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Respecto al reporte del área jurisdiccional se tiene el reporte de 57 expedientes entrados con persona usuaria indígena para el 2019 y, 40 para el 2020 a nivel nacional; siendo el promedio de ingreso mensual de 49 asuntos. Esta data es informativa, debido a que como se explicó anteriormente, las personas indígenas ya contaban gozan </w:t>
      </w:r>
      <w:r w:rsidRPr="00AE1B2B">
        <w:rPr>
          <w:rFonts w:ascii="Times New Roman" w:hAnsi="Times New Roman" w:eastAsia="Arial" w:cs="Times New Roman"/>
          <w:sz w:val="26"/>
          <w:szCs w:val="26"/>
        </w:rPr>
        <w:lastRenderedPageBreak/>
        <w:t>de representación letrada y gratuita antes de la promulgación de la Ley 9593 de Acceso a la Justicia a Pueblos Indígenas.</w:t>
      </w:r>
    </w:p>
    <w:p w:rsidRPr="00AE1B2B" w:rsidR="00753ECC" w:rsidP="00163B94" w:rsidRDefault="00753ECC" w14:paraId="67037786"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26FB57E6" w14:textId="42D66C99">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Aunado a lo anterior, el mismo comportamiento al decrecimiento de los asuntos entrados se observa en los asuntos terminados; ya que para el 2020 se reportan 177 expedientes terminados menos que en el año anterior.</w:t>
      </w:r>
    </w:p>
    <w:p w:rsidRPr="00AE1B2B" w:rsidR="00753ECC" w:rsidP="00163B94" w:rsidRDefault="00753ECC" w14:paraId="3710FD5A"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1367EA73" w14:textId="0B0D4C4A">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Respecto a la relación de asuntos salidos y entrados, el indicador supera el 100% en los dos primeros en estudio (</w:t>
      </w:r>
      <w:r w:rsidRPr="00AE1B2B">
        <w:rPr>
          <w:rFonts w:ascii="Times New Roman" w:hAnsi="Times New Roman" w:eastAsia="Arial" w:cs="Times New Roman"/>
          <w:i/>
          <w:iCs/>
          <w:sz w:val="26"/>
          <w:szCs w:val="26"/>
        </w:rPr>
        <w:t>108% para el 2017 y 101% para el 2018</w:t>
      </w:r>
      <w:r w:rsidRPr="00AE1B2B">
        <w:rPr>
          <w:rFonts w:ascii="Times New Roman" w:hAnsi="Times New Roman" w:eastAsia="Arial" w:cs="Times New Roman"/>
          <w:sz w:val="26"/>
          <w:szCs w:val="26"/>
        </w:rPr>
        <w:t>), pero para los dos siguientes años este indicador es de 78% y 73%, respectivamente. Al estar este indicador por debajo del 100% para los dos últimos años, se espera y se justifica el comportamiento al crecimiento del circulante (</w:t>
      </w:r>
      <w:r w:rsidRPr="00AE1B2B">
        <w:rPr>
          <w:rFonts w:ascii="Times New Roman" w:hAnsi="Times New Roman" w:eastAsia="Arial" w:cs="Times New Roman"/>
          <w:i/>
          <w:iCs/>
          <w:sz w:val="26"/>
          <w:szCs w:val="26"/>
        </w:rPr>
        <w:t>aumentó en 741 asuntos activos, del 2019 al 2020</w:t>
      </w:r>
      <w:r w:rsidRPr="00AE1B2B">
        <w:rPr>
          <w:rFonts w:ascii="Times New Roman" w:hAnsi="Times New Roman" w:eastAsia="Arial" w:cs="Times New Roman"/>
          <w:sz w:val="26"/>
          <w:szCs w:val="26"/>
        </w:rPr>
        <w:t>); debido a que ingresaron más cantidad de asuntos de los que se terminaron.</w:t>
      </w:r>
    </w:p>
    <w:p w:rsidRPr="00AE1B2B" w:rsidR="00753ECC" w:rsidP="00163B94" w:rsidRDefault="00753ECC" w14:paraId="183468FC"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1499F3BB" w14:textId="2DAC4492">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La afectación en el comportamiento del trabajo en el 2020 podría estar directamente relacionada a la emergencia nacional provocada por la enfermedad COVID-19, ya que, en procura de respetar las medidas sanitarias recomendadas por el Ministerio de Salud, la administración de justicia limitó el desarrollo de audiencias y diligencias.</w:t>
      </w:r>
    </w:p>
    <w:p w:rsidRPr="00AE1B2B" w:rsidR="00753ECC" w:rsidP="00163B94" w:rsidRDefault="00753ECC" w14:paraId="44CF5148"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7127F804" w14:textId="606E127E">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En cuanto a los asuntos activos, la Coordinación de Materia Agraria facilita el reporte del circulante al cierre de diciembre de 2020, los cuales se muestran a continuación:</w:t>
      </w:r>
    </w:p>
    <w:p w:rsidRPr="00AE1B2B" w:rsidR="00753ECC" w:rsidP="00163B94" w:rsidRDefault="00753ECC" w14:paraId="79C855B8"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25629C4E"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Figura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Figura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8</w:t>
      </w:r>
      <w:r w:rsidRPr="00AE1B2B">
        <w:rPr>
          <w:rFonts w:ascii="Times New Roman" w:hAnsi="Times New Roman" w:cs="Times New Roman"/>
          <w:sz w:val="26"/>
          <w:szCs w:val="26"/>
        </w:rPr>
        <w:fldChar w:fldCharType="end"/>
      </w:r>
    </w:p>
    <w:p w:rsidRPr="00AE1B2B" w:rsidR="009D3FB5" w:rsidP="00163B94" w:rsidRDefault="009D3FB5" w14:paraId="531310B6" w14:textId="158D6DE8">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Asuntos activos por persona defensora de materia </w:t>
      </w:r>
      <w:r w:rsidRPr="00AE1B2B">
        <w:rPr>
          <w:rFonts w:ascii="Times New Roman" w:hAnsi="Times New Roman" w:cs="Times New Roman"/>
          <w:sz w:val="26"/>
          <w:szCs w:val="26"/>
        </w:rPr>
        <w:lastRenderedPageBreak/>
        <w:t>agraria,</w:t>
      </w:r>
    </w:p>
    <w:p w:rsidRPr="00AE1B2B" w:rsidR="009D3FB5" w:rsidP="00163B94" w:rsidRDefault="009D3FB5" w14:paraId="1D74EEAF"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al cierre de diciembre de 2020</w:t>
      </w:r>
    </w:p>
    <w:p w:rsidRPr="00AE1B2B" w:rsidR="009D3FB5" w:rsidP="00163B94" w:rsidRDefault="009D3FB5" w14:paraId="29F57DE0" w14:textId="77777777">
      <w:pPr>
        <w:spacing w:before="120" w:after="120"/>
        <w:rPr>
          <w:rFonts w:ascii="Times New Roman" w:hAnsi="Times New Roman" w:eastAsia="Arial" w:cs="Times New Roman"/>
        </w:rPr>
      </w:pPr>
      <w:r w:rsidRPr="00AE1B2B">
        <w:rPr>
          <w:rFonts w:ascii="Times New Roman" w:hAnsi="Times New Roman" w:cs="Times New Roman"/>
          <w:noProof/>
          <w:lang w:val="en-US"/>
        </w:rPr>
        <w:drawing>
          <wp:inline distT="0" distB="0" distL="0" distR="0" wp14:anchorId="090CC770" wp14:editId="4A4BCC68">
            <wp:extent cx="5612130" cy="3236595"/>
            <wp:effectExtent l="0" t="0" r="7620" b="1905"/>
            <wp:docPr id="1212768265" name="Gráfico 1212768265">
              <a:extLst xmlns:a="http://schemas.openxmlformats.org/drawingml/2006/main">
                <a:ext uri="{FF2B5EF4-FFF2-40B4-BE49-F238E27FC236}">
                  <a16:creationId xmlns:a16="http://schemas.microsoft.com/office/drawing/2014/main" id="{FBD932E1-4076-47F8-B03B-C07E958D34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Pr="00AE1B2B" w:rsidR="009D3FB5" w:rsidP="00163B94" w:rsidRDefault="009D3FB5" w14:paraId="49EACD18" w14:textId="74909D27">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b/>
          <w:bCs/>
          <w:sz w:val="26"/>
          <w:szCs w:val="26"/>
        </w:rPr>
        <w:t>Fuente:</w:t>
      </w:r>
      <w:r w:rsidRPr="00AE1B2B">
        <w:rPr>
          <w:rFonts w:ascii="Times New Roman" w:hAnsi="Times New Roman" w:eastAsia="Arial" w:cs="Times New Roman"/>
          <w:sz w:val="26"/>
          <w:szCs w:val="26"/>
        </w:rPr>
        <w:t xml:space="preserve"> Subproceso de Modernización Institucional de la Dirección de Planificación, con datos facilitados por la Administración de la Defensa Pública.</w:t>
      </w:r>
    </w:p>
    <w:p w:rsidRPr="00AE1B2B" w:rsidR="00753ECC" w:rsidP="00163B94" w:rsidRDefault="00753ECC" w14:paraId="6AE9D3A8"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FCAFFF0" w14:textId="2769C2DA">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La figura anterior segrega los 3210 expedientes que se reportan activos al cierre de diciembre de 2020, en materia agraria a nivel nacional. Además, la figura anterior muestra el circulante de 16 recursos de persona defensora en materia agraria, ya que, en consulta al Licenciado Mario Rosales Vargas, Coordinador de Materia Agraria de la Defensa Pública, su persona no tramita asuntos directamente, sino que brinda colaboración a los profesionales que lo requieran. </w:t>
      </w:r>
      <w:r w:rsidRPr="00AE1B2B">
        <w:rPr>
          <w:rFonts w:ascii="Times New Roman" w:hAnsi="Times New Roman" w:eastAsia="Arial" w:cs="Times New Roman"/>
          <w:b/>
          <w:bCs/>
          <w:sz w:val="26"/>
          <w:szCs w:val="26"/>
        </w:rPr>
        <w:t>Ver apéndice 10</w:t>
      </w:r>
      <w:r w:rsidRPr="00AE1B2B">
        <w:rPr>
          <w:rFonts w:ascii="Times New Roman" w:hAnsi="Times New Roman" w:eastAsia="Arial" w:cs="Times New Roman"/>
          <w:sz w:val="26"/>
          <w:szCs w:val="26"/>
        </w:rPr>
        <w:t>.</w:t>
      </w:r>
    </w:p>
    <w:p w:rsidRPr="00AE1B2B" w:rsidR="00753ECC" w:rsidP="00163B94" w:rsidRDefault="00753ECC" w14:paraId="1F64F18D"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39C97B72" w14:textId="7E936537">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En el informe 634-PLA-RH-MI-2019 del impacto de la Ley 9593 de Acceso a la Justicia a Pueblos Indígenas se indica se le consultó a la Coordinación de Materia Agraria de la Defensa Pública un circulante aceptado para el personal defensor, el cual se definió como parámetro de referencia en 180 expedientes. En ese sentido, la figura anterior muestra que Cartago, Puntarenas, Limón, Guápiles, San Carlos, Upala y Nicoya se encuentran por encima de la recomendación de la coordinación. Sin embargo, como se evidenció </w:t>
      </w:r>
      <w:r w:rsidRPr="00AE1B2B">
        <w:rPr>
          <w:rFonts w:ascii="Times New Roman" w:hAnsi="Times New Roman" w:eastAsia="Arial" w:cs="Times New Roman"/>
          <w:sz w:val="26"/>
          <w:szCs w:val="26"/>
        </w:rPr>
        <w:lastRenderedPageBreak/>
        <w:t>anteriormente, no hubo un incremento en la entrada de asuntos para el año 2020, con respecto a años anteriores; entonces el incremento mostrado en el circulante se debe propiamente a las disposiciones de la Administración de Justicia en cuanto a la suspensión de audiencias y diligencias, por la emergencia nacional provocada por la enfermedad COVID-19.</w:t>
      </w:r>
    </w:p>
    <w:p w:rsidRPr="00AE1B2B" w:rsidR="00753ECC" w:rsidP="00163B94" w:rsidRDefault="00753ECC" w14:paraId="779EFB9E"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0191956A"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 xml:space="preserve">Atención de asuntos contenciosos administrativos </w:t>
      </w:r>
    </w:p>
    <w:p w:rsidRPr="00AE1B2B" w:rsidR="009D3FB5" w:rsidP="00163B94" w:rsidRDefault="009D3FB5" w14:paraId="491DC48C" w14:textId="2927DA5B">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En la reunión con el Doctor Roberto Montero García sostenida el 01 de febrero de 2021 (</w:t>
      </w:r>
      <w:r w:rsidRPr="00AE1B2B">
        <w:rPr>
          <w:rFonts w:ascii="Times New Roman" w:hAnsi="Times New Roman" w:eastAsia="Arial" w:cs="Times New Roman"/>
          <w:i/>
          <w:iCs/>
          <w:sz w:val="26"/>
          <w:szCs w:val="26"/>
        </w:rPr>
        <w:t>minuta 71-PLA-MNTA-2021, ver anexo 2</w:t>
      </w:r>
      <w:r w:rsidRPr="00AE1B2B">
        <w:rPr>
          <w:rFonts w:ascii="Times New Roman" w:hAnsi="Times New Roman" w:eastAsia="Arial" w:cs="Times New Roman"/>
          <w:sz w:val="26"/>
          <w:szCs w:val="26"/>
        </w:rPr>
        <w:t>), se acuerda que el Señor Montero García enviará a la Dirección de Planificación el Libro de Registro de su plaza; esto con el propósito de realizar el análisis del impacto de la promulgación de la Ley 9593 de Acceso a la Justicia a Pueblos Indígenas.</w:t>
      </w:r>
    </w:p>
    <w:p w:rsidRPr="00AE1B2B" w:rsidR="00753ECC" w:rsidP="00163B94" w:rsidRDefault="00753ECC" w14:paraId="78F09592"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1609FBD1" w14:textId="40A6EAF0">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Es importante recordar que, como se mencionó en el apartado </w:t>
      </w:r>
      <w:r w:rsidRPr="00AE1B2B">
        <w:rPr>
          <w:rFonts w:ascii="Times New Roman" w:hAnsi="Times New Roman" w:eastAsia="Arial" w:cs="Times New Roman"/>
          <w:b/>
          <w:bCs/>
          <w:sz w:val="26"/>
          <w:szCs w:val="26"/>
        </w:rPr>
        <w:t>III. Antecedentes</w:t>
      </w:r>
      <w:r w:rsidRPr="00AE1B2B">
        <w:rPr>
          <w:rFonts w:ascii="Times New Roman" w:hAnsi="Times New Roman" w:eastAsia="Arial" w:cs="Times New Roman"/>
          <w:sz w:val="26"/>
          <w:szCs w:val="26"/>
        </w:rPr>
        <w:t xml:space="preserve"> del presente informe, por disposición de la Jefatura de la Defensa Pública es el Doctor Montero García quién asume la representación de personas usuarias indígenas y servidoras judiciales en asuntos contenciosos administrativos; funciones que en principio eran encomendadas a la plaza que se trasladó de la Secretaría Técnica de Género.</w:t>
      </w:r>
    </w:p>
    <w:p w:rsidRPr="00AE1B2B" w:rsidR="00753ECC" w:rsidP="00163B94" w:rsidRDefault="00753ECC" w14:paraId="5E8FDE6A"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180E2E69" w14:textId="5054718E">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Con base en el Libro de Registro enviado por el Doctor Roberto Montero se reporta el ingreso de 35 expedientes para el 2020, los cuales equivalen a 52 personas usuarias representadas, ya sea servidoras judiciales o indígenas. Analizando los datos, hay cuatro expedientes que reportan más de una persona usuaria representada (</w:t>
      </w:r>
      <w:r w:rsidRPr="00AE1B2B">
        <w:rPr>
          <w:rFonts w:ascii="Times New Roman" w:hAnsi="Times New Roman" w:eastAsia="Arial" w:cs="Times New Roman"/>
          <w:i/>
          <w:iCs/>
          <w:sz w:val="26"/>
          <w:szCs w:val="26"/>
        </w:rPr>
        <w:t>uno alcanza 10 personas usuarias, otro expediente 6, otro 3 y otro 2</w:t>
      </w:r>
      <w:r w:rsidRPr="00AE1B2B">
        <w:rPr>
          <w:rFonts w:ascii="Times New Roman" w:hAnsi="Times New Roman" w:eastAsia="Arial" w:cs="Times New Roman"/>
          <w:sz w:val="26"/>
          <w:szCs w:val="26"/>
        </w:rPr>
        <w:t xml:space="preserve">); los restantes 31 expedientes entrados reportan una única persona usuaria representada. </w:t>
      </w:r>
      <w:r w:rsidRPr="00AE1B2B">
        <w:rPr>
          <w:rFonts w:ascii="Times New Roman" w:hAnsi="Times New Roman" w:eastAsia="Arial" w:cs="Times New Roman"/>
          <w:b/>
          <w:bCs/>
          <w:sz w:val="26"/>
          <w:szCs w:val="26"/>
        </w:rPr>
        <w:t>Ver anexo 11</w:t>
      </w:r>
      <w:r w:rsidRPr="00AE1B2B">
        <w:rPr>
          <w:rFonts w:ascii="Times New Roman" w:hAnsi="Times New Roman" w:eastAsia="Arial" w:cs="Times New Roman"/>
          <w:sz w:val="26"/>
          <w:szCs w:val="26"/>
        </w:rPr>
        <w:t>.</w:t>
      </w:r>
    </w:p>
    <w:p w:rsidRPr="00AE1B2B" w:rsidR="00753ECC" w:rsidP="00163B94" w:rsidRDefault="00753ECC" w14:paraId="529547C0"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73172F6F" w14:textId="43EE718F">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Otra observación importante es que, en los datos entrados del 2020, 31 de los 35 expedientes del Libro de Registro tienen fecha de ingreso </w:t>
      </w:r>
      <w:r w:rsidRPr="00AE1B2B">
        <w:rPr>
          <w:rFonts w:ascii="Times New Roman" w:hAnsi="Times New Roman" w:eastAsia="Arial" w:cs="Times New Roman"/>
          <w:i/>
          <w:iCs/>
          <w:sz w:val="26"/>
          <w:szCs w:val="26"/>
        </w:rPr>
        <w:t>01/01/2020</w:t>
      </w:r>
      <w:r w:rsidRPr="00AE1B2B">
        <w:rPr>
          <w:rFonts w:ascii="Times New Roman" w:hAnsi="Times New Roman" w:eastAsia="Arial" w:cs="Times New Roman"/>
          <w:sz w:val="26"/>
          <w:szCs w:val="26"/>
        </w:rPr>
        <w:t xml:space="preserve"> y por tal, se deduce que corresponde a los asuntos con los que inicia sus funciones el Doctor Roberto Montero, ya que precisamente es en ese año donde asume la representación por disposición de la Jefatura de la Defensa Pública. Excluyendo dichos asuntos, según el Libro de Registro, se puede decir que en el año 2020 </w:t>
      </w:r>
      <w:r w:rsidRPr="00AE1B2B">
        <w:rPr>
          <w:rFonts w:ascii="Times New Roman" w:hAnsi="Times New Roman" w:eastAsia="Arial" w:cs="Times New Roman"/>
          <w:sz w:val="26"/>
          <w:szCs w:val="26"/>
        </w:rPr>
        <w:lastRenderedPageBreak/>
        <w:t>ingresaron cuatro expedientes, los cuales representan a seis personas usuarias.</w:t>
      </w:r>
    </w:p>
    <w:p w:rsidRPr="00AE1B2B" w:rsidR="00753ECC" w:rsidP="00163B94" w:rsidRDefault="00753ECC" w14:paraId="2D874880"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5B83A57E" w14:textId="77777777">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Para el mes de enero de 2021, se reportan dos expedientes entrados que equivalen a dos personas usuarias representas; una de ellas es persona indígena y, la otra es servidora judicial.</w:t>
      </w:r>
    </w:p>
    <w:p w:rsidRPr="00AE1B2B" w:rsidR="009D3FB5" w:rsidP="00163B94" w:rsidRDefault="009D3FB5" w14:paraId="6470A977"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51221A23" w14:textId="39F53044">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Respecto a los asuntos activos, la siguiente figura ilustra la cantidad de expedientes activos al cierre de enero 2021, segregados por el tipo de persona usuaria representada.</w:t>
      </w:r>
    </w:p>
    <w:p w:rsidRPr="00AE1B2B" w:rsidR="00753ECC" w:rsidP="00163B94" w:rsidRDefault="00753ECC" w14:paraId="0E496B69"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24519DBD" w14:textId="77777777">
      <w:pPr>
        <w:pStyle w:val="Descripcin"/>
        <w:keepNext/>
        <w:spacing w:before="120" w:after="120"/>
        <w:ind w:left="851" w:right="851" w:firstLine="709"/>
        <w:jc w:val="center"/>
        <w:rPr>
          <w:rFonts w:ascii="Times New Roman" w:hAnsi="Times New Roman" w:cs="Times New Roman"/>
          <w:sz w:val="26"/>
          <w:szCs w:val="26"/>
        </w:rPr>
      </w:pPr>
      <w:bookmarkStart w:name="_Ref64280845" w:id="44"/>
      <w:r w:rsidRPr="00AE1B2B">
        <w:rPr>
          <w:rFonts w:ascii="Times New Roman" w:hAnsi="Times New Roman" w:cs="Times New Roman"/>
          <w:sz w:val="26"/>
          <w:szCs w:val="26"/>
        </w:rPr>
        <w:t xml:space="preserve">Figura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Figura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9</w:t>
      </w:r>
      <w:r w:rsidRPr="00AE1B2B">
        <w:rPr>
          <w:rFonts w:ascii="Times New Roman" w:hAnsi="Times New Roman" w:cs="Times New Roman"/>
          <w:sz w:val="26"/>
          <w:szCs w:val="26"/>
        </w:rPr>
        <w:fldChar w:fldCharType="end"/>
      </w:r>
      <w:bookmarkEnd w:id="44"/>
    </w:p>
    <w:p w:rsidRPr="00AE1B2B" w:rsidR="009D3FB5" w:rsidP="00163B94" w:rsidRDefault="009D3FB5" w14:paraId="6A1D1A26" w14:textId="31AA524B">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Asuntos contenciosos administrativos activos al cierre de enero 2021,</w:t>
      </w:r>
    </w:p>
    <w:p w:rsidRPr="00AE1B2B" w:rsidR="009D3FB5" w:rsidP="00163B94" w:rsidRDefault="009D3FB5" w14:paraId="7981105F" w14:textId="6E23D518">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segregados por tipo de persona usuaria representada</w:t>
      </w:r>
    </w:p>
    <w:p w:rsidRPr="00AE1B2B" w:rsidR="00753ECC" w:rsidP="00163B94" w:rsidRDefault="00753ECC" w14:paraId="6FB2EF5B" w14:textId="77777777">
      <w:pPr>
        <w:spacing w:before="120" w:after="120"/>
        <w:rPr>
          <w:lang w:val="es-ES" w:eastAsia="es-ES"/>
        </w:rPr>
      </w:pPr>
    </w:p>
    <w:p w:rsidRPr="00AE1B2B" w:rsidR="009D3FB5" w:rsidP="00163B94" w:rsidRDefault="009D3FB5" w14:paraId="675E1448" w14:textId="77777777">
      <w:pPr>
        <w:spacing w:before="120" w:after="120"/>
        <w:jc w:val="center"/>
        <w:rPr>
          <w:rFonts w:ascii="Times New Roman" w:hAnsi="Times New Roman" w:eastAsia="Arial" w:cs="Times New Roman"/>
        </w:rPr>
      </w:pPr>
      <w:r w:rsidRPr="00AE1B2B">
        <w:rPr>
          <w:rFonts w:ascii="Times New Roman" w:hAnsi="Times New Roman" w:eastAsia="Arial" w:cs="Times New Roman"/>
          <w:noProof/>
          <w:lang w:val="en-US"/>
        </w:rPr>
        <w:drawing>
          <wp:inline distT="0" distB="0" distL="0" distR="0" wp14:anchorId="58ED9EE0" wp14:editId="2EF4E333">
            <wp:extent cx="2841443" cy="2876110"/>
            <wp:effectExtent l="0" t="0" r="0" b="635"/>
            <wp:docPr id="1212768266" name="Imagen 1212768266"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266" name="Imagen 1212768266" descr="Gráfico, Gráfico circular&#10;&#10;Descripción generada automáticamente"/>
                    <pic:cNvPicPr>
                      <a:picLocks noChangeAspect="1" noChangeArrowheads="1"/>
                    </pic:cNvPicPr>
                  </pic:nvPicPr>
                  <pic:blipFill rotWithShape="1">
                    <a:blip r:embed="rId167">
                      <a:extLst>
                        <a:ext uri="{28A0092B-C50C-407E-A947-70E740481C1C}">
                          <a14:useLocalDpi xmlns:a14="http://schemas.microsoft.com/office/drawing/2010/main" val="0"/>
                        </a:ext>
                      </a:extLst>
                    </a:blip>
                    <a:srcRect l="23553" t="1941" r="19797" b="9850"/>
                    <a:stretch/>
                  </pic:blipFill>
                  <pic:spPr bwMode="auto">
                    <a:xfrm>
                      <a:off x="0" y="0"/>
                      <a:ext cx="2842152" cy="2876827"/>
                    </a:xfrm>
                    <a:prstGeom prst="rect">
                      <a:avLst/>
                    </a:prstGeom>
                    <a:noFill/>
                    <a:ln>
                      <a:noFill/>
                    </a:ln>
                    <a:extLst>
                      <a:ext uri="{53640926-AAD7-44D8-BBD7-CCE9431645EC}">
                        <a14:shadowObscured xmlns:a14="http://schemas.microsoft.com/office/drawing/2010/main"/>
                      </a:ext>
                    </a:extLst>
                  </pic:spPr>
                </pic:pic>
              </a:graphicData>
            </a:graphic>
          </wp:inline>
        </w:drawing>
      </w:r>
    </w:p>
    <w:p w:rsidRPr="00AE1B2B" w:rsidR="009D3FB5" w:rsidP="00163B94" w:rsidRDefault="009D3FB5" w14:paraId="1F3CED18" w14:textId="3039E0A0">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b/>
          <w:bCs/>
          <w:sz w:val="26"/>
          <w:szCs w:val="26"/>
        </w:rPr>
        <w:t>Fuente:</w:t>
      </w:r>
      <w:r w:rsidRPr="00AE1B2B">
        <w:rPr>
          <w:rFonts w:ascii="Times New Roman" w:hAnsi="Times New Roman" w:eastAsia="Arial" w:cs="Times New Roman"/>
          <w:sz w:val="26"/>
          <w:szCs w:val="26"/>
        </w:rPr>
        <w:t xml:space="preserve"> Subproceso de Modernización Institucional de la Dirección de Planificación, con datos facilitados por el profesional que tramita asuntos contenciosos administrativos, en la Defensa Pública.</w:t>
      </w:r>
    </w:p>
    <w:p w:rsidRPr="00AE1B2B" w:rsidR="00753ECC" w:rsidP="00163B94" w:rsidRDefault="00753ECC" w14:paraId="376B3012"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7F606A83" w14:textId="261FE321">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En total, al cierre de enero 2021 se reportan 37 expedientes contenciosos administrativos activos; de los cuales el 89% (</w:t>
      </w:r>
      <w:r w:rsidRPr="00AE1B2B">
        <w:rPr>
          <w:rFonts w:ascii="Times New Roman" w:hAnsi="Times New Roman" w:eastAsia="Arial" w:cs="Times New Roman"/>
          <w:i/>
          <w:iCs/>
          <w:sz w:val="26"/>
          <w:szCs w:val="26"/>
        </w:rPr>
        <w:t xml:space="preserve">33 </w:t>
      </w:r>
      <w:r w:rsidRPr="00AE1B2B">
        <w:rPr>
          <w:rFonts w:ascii="Times New Roman" w:hAnsi="Times New Roman" w:eastAsia="Arial" w:cs="Times New Roman"/>
          <w:i/>
          <w:iCs/>
          <w:sz w:val="26"/>
          <w:szCs w:val="26"/>
        </w:rPr>
        <w:lastRenderedPageBreak/>
        <w:t>expedientes</w:t>
      </w:r>
      <w:r w:rsidRPr="00AE1B2B">
        <w:rPr>
          <w:rFonts w:ascii="Times New Roman" w:hAnsi="Times New Roman" w:eastAsia="Arial" w:cs="Times New Roman"/>
          <w:sz w:val="26"/>
          <w:szCs w:val="26"/>
        </w:rPr>
        <w:t>) tienen al menos una persona indígena en calidad de interviniente, el 8% (</w:t>
      </w:r>
      <w:r w:rsidRPr="00AE1B2B">
        <w:rPr>
          <w:rFonts w:ascii="Times New Roman" w:hAnsi="Times New Roman" w:eastAsia="Arial" w:cs="Times New Roman"/>
          <w:i/>
          <w:iCs/>
          <w:sz w:val="26"/>
          <w:szCs w:val="26"/>
        </w:rPr>
        <w:t>3 expedientes</w:t>
      </w:r>
      <w:r w:rsidRPr="00AE1B2B">
        <w:rPr>
          <w:rFonts w:ascii="Times New Roman" w:hAnsi="Times New Roman" w:eastAsia="Arial" w:cs="Times New Roman"/>
          <w:sz w:val="26"/>
          <w:szCs w:val="26"/>
        </w:rPr>
        <w:t>) corresponde a asuntos de personas servidoras judiciales y, hay un expediente que se reporta con persona usuaria privada de libertad, pero no se indica si es persona indígena o servidora judicial.</w:t>
      </w:r>
    </w:p>
    <w:p w:rsidRPr="00AE1B2B" w:rsidR="00753ECC" w:rsidP="00163B94" w:rsidRDefault="00753ECC" w14:paraId="3059327F"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30E317A8" w14:textId="68F2ECE1">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Como se mostró en la </w:t>
      </w:r>
      <w:r w:rsidRPr="00AE1B2B">
        <w:rPr>
          <w:rFonts w:ascii="Times New Roman" w:hAnsi="Times New Roman" w:eastAsia="Arial" w:cs="Times New Roman"/>
          <w:b/>
          <w:bCs/>
          <w:i/>
          <w:iCs/>
          <w:sz w:val="26"/>
          <w:szCs w:val="26"/>
        </w:rPr>
        <w:fldChar w:fldCharType="begin"/>
      </w:r>
      <w:r w:rsidRPr="00AE1B2B">
        <w:rPr>
          <w:rFonts w:ascii="Times New Roman" w:hAnsi="Times New Roman" w:eastAsia="Arial" w:cs="Times New Roman"/>
          <w:b/>
          <w:bCs/>
          <w:i/>
          <w:iCs/>
          <w:sz w:val="26"/>
          <w:szCs w:val="26"/>
        </w:rPr>
        <w:instrText xml:space="preserve"> REF _Ref64280845 \h  \* MERGEFORMAT </w:instrText>
      </w:r>
      <w:r w:rsidRPr="00AE1B2B">
        <w:rPr>
          <w:rFonts w:ascii="Times New Roman" w:hAnsi="Times New Roman" w:eastAsia="Arial" w:cs="Times New Roman"/>
          <w:b/>
          <w:bCs/>
          <w:i/>
          <w:iCs/>
          <w:sz w:val="26"/>
          <w:szCs w:val="26"/>
        </w:rPr>
      </w:r>
      <w:r w:rsidRPr="00AE1B2B">
        <w:rPr>
          <w:rFonts w:ascii="Times New Roman" w:hAnsi="Times New Roman" w:eastAsia="Arial" w:cs="Times New Roman"/>
          <w:b/>
          <w:bCs/>
          <w:i/>
          <w:iCs/>
          <w:sz w:val="26"/>
          <w:szCs w:val="26"/>
        </w:rPr>
        <w:fldChar w:fldCharType="separate"/>
      </w:r>
      <w:r w:rsidRPr="00AE1B2B">
        <w:rPr>
          <w:rFonts w:ascii="Times New Roman" w:hAnsi="Times New Roman" w:cs="Times New Roman"/>
          <w:b/>
          <w:bCs/>
          <w:i/>
          <w:iCs/>
          <w:sz w:val="26"/>
          <w:szCs w:val="26"/>
        </w:rPr>
        <w:t>Figura 5</w:t>
      </w:r>
      <w:r w:rsidRPr="00AE1B2B">
        <w:rPr>
          <w:rFonts w:ascii="Times New Roman" w:hAnsi="Times New Roman" w:eastAsia="Arial" w:cs="Times New Roman"/>
          <w:b/>
          <w:bCs/>
          <w:i/>
          <w:iCs/>
          <w:sz w:val="26"/>
          <w:szCs w:val="26"/>
        </w:rPr>
        <w:fldChar w:fldCharType="end"/>
      </w:r>
      <w:r w:rsidRPr="00AE1B2B">
        <w:rPr>
          <w:rFonts w:ascii="Times New Roman" w:hAnsi="Times New Roman" w:eastAsia="Arial" w:cs="Times New Roman"/>
          <w:sz w:val="26"/>
          <w:szCs w:val="26"/>
        </w:rPr>
        <w:t>, al cierre de diciembre 2020 se reportaban 45 asuntos contenciosos administrativos activos; en ese sentido, se puede inferir que en enero 2021 se terminaron 10 expedientes (</w:t>
      </w:r>
      <w:r w:rsidRPr="00AE1B2B">
        <w:rPr>
          <w:rFonts w:ascii="Times New Roman" w:hAnsi="Times New Roman" w:eastAsia="Arial" w:cs="Times New Roman"/>
          <w:i/>
          <w:iCs/>
          <w:sz w:val="26"/>
          <w:szCs w:val="26"/>
        </w:rPr>
        <w:t>recordar que se reporta el ingreso de dos asuntos</w:t>
      </w:r>
      <w:r w:rsidRPr="00AE1B2B">
        <w:rPr>
          <w:rFonts w:ascii="Times New Roman" w:hAnsi="Times New Roman" w:eastAsia="Arial" w:cs="Times New Roman"/>
          <w:sz w:val="26"/>
          <w:szCs w:val="26"/>
        </w:rPr>
        <w:t>).</w:t>
      </w:r>
    </w:p>
    <w:p w:rsidRPr="00AE1B2B" w:rsidR="00753ECC" w:rsidP="00163B94" w:rsidRDefault="00753ECC" w14:paraId="4A765D29"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130F4972" w14:textId="39E0DD8A">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Además, es importante hacer resaltar que 89% de expedientes asumidos por el Doctor Roberto Montero mantienen personas indígenas en calidad de intervinientes y, como mencionó el Señor Montero García en la reunión del 01 de febrero de 2021; debido que la mayoría de las personas indígenas se encuentran en condición de vulnerabilidad, la complejidad de los asuntos es alta; máxime que él se traslada a los pueblos indígenas para la atención de dichas personas usuarias. Estos procesos judiciales, en cumplimiento de su legislación, son asuntos que requieren co-defensa y, en el caso de los procedimientos con persona usuaria indígena la co-defensa recae por recargo sobre el personal agrario, por disposición de la Jefatura de la Defensa Pública. Sin embargo, el Doctor Roberto Montero indica que no representa carga de trabajo para el personal agrario, debido a que la totalidad de la tramitología es asumida por su persona. Este criterio técnico coincide con lo indicado por el Licenciado Mario Rosales, Coordinador de Materia Agraria de la Defensa Pública; mediante la minuta 73-PLA-MN-MNTA-2021. Aunado a esto, el Doctor Montero García exterioriza que la co-defensa de asuntos contenciosos administrativos debería ser asumida por el personal defensor de la Unidad Administrativa de la Defensa Pública y no por el personal agrario, debido a naturaleza profesional, criterio que está siendo estudiado por la Dirección de Gestión Humana; sin embargo, en consulta con la Señora Silvia Cascante Rueda, profesional de Gestión Humana, al 12 de febrero de 2021 no se ha emitido un criterio al respecto, ya que el estudio de los perfiles competenciales se detuvo en razón del cambio reciente de la Jefatura de la Defensa Pública.</w:t>
      </w:r>
    </w:p>
    <w:p w:rsidRPr="00AE1B2B" w:rsidR="00753ECC" w:rsidP="00163B94" w:rsidRDefault="00753ECC" w14:paraId="029FC357"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C8163D8" w14:textId="461589AB">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Es importante indicar que </w:t>
      </w:r>
      <w:bookmarkStart w:name="_Hlk64973316" w:id="45"/>
      <w:r w:rsidRPr="00AE1B2B">
        <w:rPr>
          <w:rFonts w:ascii="Times New Roman" w:hAnsi="Times New Roman" w:eastAsia="Arial" w:cs="Times New Roman"/>
          <w:sz w:val="26"/>
          <w:szCs w:val="26"/>
        </w:rPr>
        <w:t xml:space="preserve">por la emergencia nacional provocada por la enfermedad COVID-19, el Doctor Montero García indicó en la sesión de trabajo del 01 de febrero de 2021 que, la </w:t>
      </w:r>
      <w:r w:rsidRPr="00AE1B2B">
        <w:rPr>
          <w:rFonts w:ascii="Times New Roman" w:hAnsi="Times New Roman" w:eastAsia="Arial" w:cs="Times New Roman"/>
          <w:sz w:val="26"/>
          <w:szCs w:val="26"/>
        </w:rPr>
        <w:lastRenderedPageBreak/>
        <w:t>tramitación de asuntos se vio afectada por las disposiciones propias de la administración de justicia en cuanto a la suspensión de audiencias y diligencias</w:t>
      </w:r>
      <w:bookmarkEnd w:id="45"/>
      <w:r w:rsidRPr="00AE1B2B">
        <w:rPr>
          <w:rFonts w:ascii="Times New Roman" w:hAnsi="Times New Roman" w:eastAsia="Arial" w:cs="Times New Roman"/>
          <w:sz w:val="26"/>
          <w:szCs w:val="26"/>
        </w:rPr>
        <w:t>.</w:t>
      </w:r>
    </w:p>
    <w:p w:rsidRPr="00AE1B2B" w:rsidR="00753ECC" w:rsidP="00163B94" w:rsidRDefault="00753ECC" w14:paraId="434F2D48"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1AE02F9C" w14:textId="4F88EA90">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Finalmente, con base en los datos estadísticos del área jurisdiccional, obtenidos mediante la herramienta SIGMA en coordinación con el Subproceso de Estadística de la Dirección de Planificación; para el año 2019 se reporta el ingreso de tres asuntos contenciosos con persona usuaria indígena y, para el año 2020 se reporta el ingreso de un asunto; para un promedio de ingreso anual de dos asuntos. </w:t>
      </w:r>
      <w:r w:rsidRPr="00AE1B2B">
        <w:rPr>
          <w:rFonts w:ascii="Times New Roman" w:hAnsi="Times New Roman" w:eastAsia="Arial" w:cs="Times New Roman"/>
          <w:b/>
          <w:bCs/>
          <w:sz w:val="26"/>
          <w:szCs w:val="26"/>
        </w:rPr>
        <w:t>Ver anexo 8</w:t>
      </w:r>
      <w:r w:rsidRPr="00AE1B2B">
        <w:rPr>
          <w:rFonts w:ascii="Times New Roman" w:hAnsi="Times New Roman" w:eastAsia="Arial" w:cs="Times New Roman"/>
          <w:sz w:val="26"/>
          <w:szCs w:val="26"/>
        </w:rPr>
        <w:t>.</w:t>
      </w:r>
    </w:p>
    <w:p w:rsidRPr="00AE1B2B" w:rsidR="00753ECC" w:rsidP="00163B94" w:rsidRDefault="00753ECC" w14:paraId="529B741F"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258F3ADB" w14:textId="30C2B2FD">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Atención de asuntos alimentarios</w:t>
      </w:r>
    </w:p>
    <w:p w:rsidRPr="00AE1B2B" w:rsidR="00753ECC" w:rsidP="00163B94" w:rsidRDefault="00753ECC" w14:paraId="385952B3" w14:textId="77777777">
      <w:pPr>
        <w:spacing w:before="120" w:after="120"/>
        <w:ind w:left="851" w:right="851" w:firstLine="709"/>
        <w:jc w:val="both"/>
        <w:rPr>
          <w:rFonts w:ascii="Times New Roman" w:hAnsi="Times New Roman" w:cs="Times New Roman"/>
          <w:b/>
          <w:sz w:val="26"/>
          <w:szCs w:val="26"/>
        </w:rPr>
      </w:pPr>
    </w:p>
    <w:p w:rsidRPr="00AE1B2B" w:rsidR="009D3FB5" w:rsidP="00163B94" w:rsidRDefault="009D3FB5" w14:paraId="02D1AC78" w14:textId="55C67F1C">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Con base en la reunión con la Licenciada Sandra Mora Venegas, Supervisora de Pensiones Alimentarias de la Defensa Pública, sostenida el 02 de febrero de 2021 (</w:t>
      </w:r>
      <w:r w:rsidRPr="00AE1B2B">
        <w:rPr>
          <w:rFonts w:ascii="Times New Roman" w:hAnsi="Times New Roman" w:eastAsia="Arial" w:cs="Times New Roman"/>
          <w:i/>
          <w:iCs/>
          <w:sz w:val="26"/>
          <w:szCs w:val="26"/>
        </w:rPr>
        <w:t>minuta 78-PLA-MNTA-MI-2021, ver anexo 4</w:t>
      </w:r>
      <w:r w:rsidRPr="00AE1B2B">
        <w:rPr>
          <w:rFonts w:ascii="Times New Roman" w:hAnsi="Times New Roman" w:eastAsia="Arial" w:cs="Times New Roman"/>
          <w:sz w:val="26"/>
          <w:szCs w:val="26"/>
        </w:rPr>
        <w:t xml:space="preserve">); con la promulgación de la Ley 9593 de Acceso a la Justicia a Pueblos Indígenas el impacto en materia alimentaria radica en la representación de las personas indígenas demandadas, donde anteriormente no se brindaba el servicio. Además de que, el personal defensor de Pensiones Alimentarias asume el recargo de la representación de asuntos de Familia donde intervenga una persona usuaria indígena. </w:t>
      </w:r>
    </w:p>
    <w:p w:rsidRPr="00AE1B2B" w:rsidR="00753ECC" w:rsidP="00163B94" w:rsidRDefault="00753ECC" w14:paraId="3B072618"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0D220F4" w14:textId="1C4D4727">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Aunado a esto, la Licenciada Sandra Mora Venegas expone de zonas puntuales donde hay carencia de personal defensor en la materia; tal como es el caso de Puerto Jiménez, donde una persona usuaria (</w:t>
      </w:r>
      <w:r w:rsidRPr="00AE1B2B">
        <w:rPr>
          <w:rFonts w:ascii="Times New Roman" w:hAnsi="Times New Roman" w:eastAsia="Arial" w:cs="Times New Roman"/>
          <w:i/>
          <w:iCs/>
          <w:sz w:val="26"/>
          <w:szCs w:val="26"/>
        </w:rPr>
        <w:t>no indígena</w:t>
      </w:r>
      <w:r w:rsidRPr="00AE1B2B">
        <w:rPr>
          <w:rFonts w:ascii="Times New Roman" w:hAnsi="Times New Roman" w:eastAsia="Arial" w:cs="Times New Roman"/>
          <w:sz w:val="26"/>
          <w:szCs w:val="26"/>
        </w:rPr>
        <w:t>) solicitó defensa pública y tuvo que ser atendida por el profesional de Golfito. Este caso de Puerto Jiménez, según consulta a la Licenciada Mora Venegas, ingresó el 20 de junio de 2020 y al 18 de febrero de 2021 se encuentra en estado “</w:t>
      </w:r>
      <w:r w:rsidRPr="00AE1B2B">
        <w:rPr>
          <w:rFonts w:ascii="Times New Roman" w:hAnsi="Times New Roman" w:eastAsia="Arial" w:cs="Times New Roman"/>
          <w:i/>
          <w:iCs/>
          <w:sz w:val="26"/>
          <w:szCs w:val="26"/>
        </w:rPr>
        <w:t>En trámite</w:t>
      </w:r>
      <w:r w:rsidRPr="00AE1B2B">
        <w:rPr>
          <w:rFonts w:ascii="Times New Roman" w:hAnsi="Times New Roman" w:eastAsia="Arial" w:cs="Times New Roman"/>
          <w:sz w:val="26"/>
          <w:szCs w:val="26"/>
        </w:rPr>
        <w:t>”, pero probablemente se registré en la oficina de Golfito, debido a que la oficina de Puerto Jiménez no reporta asuntos entrados de Pensiones Alimentarias en el año 2020, según los datos suministrados por el Licenciado Esteban Arguedas, Estadístico de la Defensa Pública.</w:t>
      </w:r>
    </w:p>
    <w:p w:rsidRPr="00AE1B2B" w:rsidR="00753ECC" w:rsidP="00163B94" w:rsidRDefault="00753ECC" w14:paraId="5BAF743D"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584714AC" w14:textId="750B3687">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Además, la Licenciada Mora Venegas mencionó el caso de Coto Brus indicado en el apartado </w:t>
      </w:r>
      <w:r w:rsidRPr="00AE1B2B">
        <w:rPr>
          <w:rFonts w:ascii="Times New Roman" w:hAnsi="Times New Roman" w:eastAsia="Arial" w:cs="Times New Roman"/>
          <w:b/>
          <w:bCs/>
          <w:sz w:val="26"/>
          <w:szCs w:val="26"/>
        </w:rPr>
        <w:t>III. Antecedentes</w:t>
      </w:r>
      <w:r w:rsidRPr="00AE1B2B">
        <w:rPr>
          <w:rFonts w:ascii="Times New Roman" w:hAnsi="Times New Roman" w:eastAsia="Arial" w:cs="Times New Roman"/>
          <w:sz w:val="26"/>
          <w:szCs w:val="26"/>
        </w:rPr>
        <w:t xml:space="preserve">, donde una </w:t>
      </w:r>
      <w:r w:rsidRPr="00AE1B2B">
        <w:rPr>
          <w:rFonts w:ascii="Times New Roman" w:hAnsi="Times New Roman" w:eastAsia="Arial" w:cs="Times New Roman"/>
          <w:sz w:val="26"/>
          <w:szCs w:val="26"/>
        </w:rPr>
        <w:lastRenderedPageBreak/>
        <w:t>persona usuaria (</w:t>
      </w:r>
      <w:r w:rsidRPr="00AE1B2B">
        <w:rPr>
          <w:rFonts w:ascii="Times New Roman" w:hAnsi="Times New Roman" w:eastAsia="Arial" w:cs="Times New Roman"/>
          <w:i/>
          <w:iCs/>
          <w:sz w:val="26"/>
          <w:szCs w:val="26"/>
        </w:rPr>
        <w:t>no indígena</w:t>
      </w:r>
      <w:r w:rsidRPr="00AE1B2B">
        <w:rPr>
          <w:rFonts w:ascii="Times New Roman" w:hAnsi="Times New Roman" w:eastAsia="Arial" w:cs="Times New Roman"/>
          <w:sz w:val="26"/>
          <w:szCs w:val="26"/>
        </w:rPr>
        <w:t>) interpuso un recurso de amparo contra la Defensa Pública al negarle la posibilidad de ser representada de forma gratuita, esto precisamente por la carencia de personal defensor especialista en la materia alimenticia. De hecho, en Coto Brus los asuntos de Pensiones Alimentarias son atendidos por el personal penal por recargo, no obstante, su prioridad es materia penal y por tal, siempre que les es posible, atienden asuntos alimenticios.</w:t>
      </w:r>
    </w:p>
    <w:p w:rsidRPr="00AE1B2B" w:rsidR="00753ECC" w:rsidP="00163B94" w:rsidRDefault="00753ECC" w14:paraId="4A37C83C"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39F0E7C5" w14:textId="590994EA">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También la supervisión de Pensiones Alimentarias de la Defensa Pública indica que como oficina critica la Defensa Pública de Turrialba, debido a que el profesional se traslada a Juan Viñas (</w:t>
      </w:r>
      <w:r w:rsidRPr="00AE1B2B">
        <w:rPr>
          <w:rFonts w:ascii="Times New Roman" w:hAnsi="Times New Roman" w:eastAsia="Arial" w:cs="Times New Roman"/>
          <w:i/>
          <w:iCs/>
          <w:sz w:val="26"/>
          <w:szCs w:val="26"/>
        </w:rPr>
        <w:t>días que no se brinda el servicio alimenticio en Turrialba, por falta de personal</w:t>
      </w:r>
      <w:r w:rsidRPr="00AE1B2B">
        <w:rPr>
          <w:rFonts w:ascii="Times New Roman" w:hAnsi="Times New Roman" w:eastAsia="Arial" w:cs="Times New Roman"/>
          <w:sz w:val="26"/>
          <w:szCs w:val="26"/>
        </w:rPr>
        <w:t>) y debe recibir colaboración de Cartago para la representación de personas indígenas demandadas; misma situación de Guatuso, que recibe colaboración de Upala.</w:t>
      </w:r>
    </w:p>
    <w:p w:rsidRPr="00AE1B2B" w:rsidR="00753ECC" w:rsidP="00163B94" w:rsidRDefault="00753ECC" w14:paraId="5FA2BD28"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69F84FDF" w14:textId="013F93CF">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Es importante resaltar que, en reiteradas ocasiones durante la sesión del 02 de febrero de 2021, la Licenciada Mora Venegas indica su preocupación debido a las personas indígenas que no han podido iniciar un proceso judicial por desconocimiento de los servicios de la Defensa Pública, mismos que podrían ser divulgados en las visitas a las zonas indígenas, labor sumamente importante que se ha dejado de realizar debido a la emergencia nacional provocada por la enfermedad COVID-19 y, por la carga de trabajo del personal defensor.</w:t>
      </w:r>
    </w:p>
    <w:p w:rsidRPr="00AE1B2B" w:rsidR="00753ECC" w:rsidP="00163B94" w:rsidRDefault="00753ECC" w14:paraId="7F160B5E"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761D2002" w14:textId="0BBF0492">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Por lo anterior es que, en este apartado se analizarán las cargas de trabajo del personal defensor de Pensiones Alimentarias, segregando a las personas usuarias indígenas en calidad de intervinientes y, se analizará la posible carga de trabajo si se aumenta el servicio a todas las personas usuarias indígenas, según lo reportado por el área jurisdiccional a nivel nacional.</w:t>
      </w:r>
    </w:p>
    <w:p w:rsidRPr="00AE1B2B" w:rsidR="00753ECC" w:rsidP="00163B94" w:rsidRDefault="00753ECC" w14:paraId="3A1F17F3"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5661F28C" w14:textId="55E6A6FC">
      <w:pPr>
        <w:spacing w:before="120" w:after="120"/>
        <w:ind w:left="851" w:right="851" w:firstLine="709"/>
        <w:jc w:val="both"/>
        <w:rPr>
          <w:rFonts w:ascii="Times New Roman" w:hAnsi="Times New Roman" w:eastAsia="Arial" w:cs="Times New Roman"/>
          <w:b/>
          <w:bCs/>
          <w:sz w:val="26"/>
          <w:szCs w:val="26"/>
        </w:rPr>
      </w:pPr>
      <w:r w:rsidRPr="00AE1B2B">
        <w:rPr>
          <w:rFonts w:ascii="Times New Roman" w:hAnsi="Times New Roman" w:eastAsia="Arial" w:cs="Times New Roman"/>
          <w:sz w:val="26"/>
          <w:szCs w:val="26"/>
        </w:rPr>
        <w:t xml:space="preserve">En la siguiente tabla se muestran las oficinas de la Defensa Pública que representan el 80% del total de la entrada de asuntos alimentarios, según se explicó en la </w:t>
      </w:r>
      <w:r w:rsidRPr="00AE1B2B">
        <w:rPr>
          <w:rFonts w:ascii="Times New Roman" w:hAnsi="Times New Roman" w:eastAsia="Arial" w:cs="Times New Roman"/>
          <w:b/>
          <w:bCs/>
          <w:i/>
          <w:iCs/>
          <w:sz w:val="26"/>
          <w:szCs w:val="26"/>
        </w:rPr>
        <w:fldChar w:fldCharType="begin"/>
      </w:r>
      <w:r w:rsidRPr="00AE1B2B">
        <w:rPr>
          <w:rFonts w:ascii="Times New Roman" w:hAnsi="Times New Roman" w:eastAsia="Arial" w:cs="Times New Roman"/>
          <w:b/>
          <w:bCs/>
          <w:i/>
          <w:iCs/>
          <w:sz w:val="26"/>
          <w:szCs w:val="26"/>
        </w:rPr>
        <w:instrText xml:space="preserve"> REF _Ref64022106 \h  \* MERGEFORMAT </w:instrText>
      </w:r>
      <w:r w:rsidRPr="00AE1B2B">
        <w:rPr>
          <w:rFonts w:ascii="Times New Roman" w:hAnsi="Times New Roman" w:eastAsia="Arial" w:cs="Times New Roman"/>
          <w:b/>
          <w:bCs/>
          <w:i/>
          <w:iCs/>
          <w:sz w:val="26"/>
          <w:szCs w:val="26"/>
        </w:rPr>
      </w:r>
      <w:r w:rsidRPr="00AE1B2B">
        <w:rPr>
          <w:rFonts w:ascii="Times New Roman" w:hAnsi="Times New Roman" w:eastAsia="Arial" w:cs="Times New Roman"/>
          <w:b/>
          <w:bCs/>
          <w:i/>
          <w:iCs/>
          <w:sz w:val="26"/>
          <w:szCs w:val="26"/>
        </w:rPr>
        <w:fldChar w:fldCharType="separate"/>
      </w:r>
      <w:r w:rsidRPr="00AE1B2B">
        <w:rPr>
          <w:rFonts w:ascii="Times New Roman" w:hAnsi="Times New Roman" w:cs="Times New Roman"/>
          <w:b/>
          <w:bCs/>
          <w:i/>
          <w:iCs/>
          <w:sz w:val="26"/>
          <w:szCs w:val="26"/>
        </w:rPr>
        <w:t xml:space="preserve">Tabla </w:t>
      </w:r>
      <w:r w:rsidRPr="00AE1B2B">
        <w:rPr>
          <w:rFonts w:ascii="Times New Roman" w:hAnsi="Times New Roman" w:cs="Times New Roman"/>
          <w:b/>
          <w:bCs/>
          <w:i/>
          <w:iCs/>
          <w:noProof/>
          <w:sz w:val="26"/>
          <w:szCs w:val="26"/>
        </w:rPr>
        <w:t>2</w:t>
      </w:r>
      <w:r w:rsidRPr="00AE1B2B">
        <w:rPr>
          <w:rFonts w:ascii="Times New Roman" w:hAnsi="Times New Roman" w:eastAsia="Arial" w:cs="Times New Roman"/>
          <w:b/>
          <w:bCs/>
          <w:i/>
          <w:iCs/>
          <w:sz w:val="26"/>
          <w:szCs w:val="26"/>
        </w:rPr>
        <w:fldChar w:fldCharType="end"/>
      </w:r>
      <w:r w:rsidRPr="00AE1B2B">
        <w:rPr>
          <w:rFonts w:ascii="Times New Roman" w:hAnsi="Times New Roman" w:eastAsia="Arial" w:cs="Times New Roman"/>
          <w:sz w:val="26"/>
          <w:szCs w:val="26"/>
        </w:rPr>
        <w:t>, así como las oficinas con las que interactúa (</w:t>
      </w:r>
      <w:r w:rsidRPr="00AE1B2B">
        <w:rPr>
          <w:rFonts w:ascii="Times New Roman" w:hAnsi="Times New Roman" w:eastAsia="Arial" w:cs="Times New Roman"/>
          <w:i/>
          <w:iCs/>
          <w:sz w:val="26"/>
          <w:szCs w:val="26"/>
        </w:rPr>
        <w:t>se brinda o recibe colaboración</w:t>
      </w:r>
      <w:r w:rsidRPr="00AE1B2B">
        <w:rPr>
          <w:rFonts w:ascii="Times New Roman" w:hAnsi="Times New Roman" w:eastAsia="Arial" w:cs="Times New Roman"/>
          <w:sz w:val="26"/>
          <w:szCs w:val="26"/>
        </w:rPr>
        <w:t xml:space="preserve">) y las oficinas que mencionó la Licenciada Mora Venegas presentan situación crítica. </w:t>
      </w:r>
      <w:r w:rsidRPr="00AE1B2B">
        <w:rPr>
          <w:rFonts w:ascii="Times New Roman" w:hAnsi="Times New Roman" w:eastAsia="Arial" w:cs="Times New Roman"/>
          <w:b/>
          <w:bCs/>
          <w:sz w:val="26"/>
          <w:szCs w:val="26"/>
        </w:rPr>
        <w:t>Ver anexo 12.</w:t>
      </w:r>
    </w:p>
    <w:p w:rsidRPr="00AE1B2B" w:rsidR="00753ECC" w:rsidP="00163B94" w:rsidRDefault="00753ECC" w14:paraId="0CA0E5FF"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06A2CE96" w14:textId="77777777">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Es importante aclarar que, el Licenciado Esteban Arguedas Madrigal, Estadístico de la Defensa Pública, suministró la información preliminar de los Anuarios Judiciales correspondiente a los primeros tres trimestres del 2020, por lo que para el cálculo de la entrada promedio anual se proyectó el cuatro trimestre del 2020 y, para los años anteriores se tomó la data oficial de los Anuarios Judiciales del Poder Judicial.</w:t>
      </w:r>
    </w:p>
    <w:p w:rsidRPr="00AE1B2B" w:rsidR="009D3FB5" w:rsidP="00163B94" w:rsidRDefault="009D3FB5" w14:paraId="2EDC0F49"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Tabla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Tabla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7</w:t>
      </w:r>
      <w:r w:rsidRPr="00AE1B2B">
        <w:rPr>
          <w:rFonts w:ascii="Times New Roman" w:hAnsi="Times New Roman" w:cs="Times New Roman"/>
          <w:sz w:val="26"/>
          <w:szCs w:val="26"/>
        </w:rPr>
        <w:fldChar w:fldCharType="end"/>
      </w:r>
    </w:p>
    <w:p w:rsidRPr="00AE1B2B" w:rsidR="009D3FB5" w:rsidP="00163B94" w:rsidRDefault="009D3FB5" w14:paraId="4B431F3D" w14:textId="4A33067F">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Entrada promedio anual por persona defensora de Pensiones Alimentarias, según oficina de la Defensa Pública</w:t>
      </w:r>
    </w:p>
    <w:p w:rsidRPr="00AE1B2B" w:rsidR="008F4340" w:rsidP="00163B94" w:rsidRDefault="008F4340" w14:paraId="228D08DC" w14:textId="77777777">
      <w:pPr>
        <w:spacing w:before="120" w:after="120"/>
        <w:rPr>
          <w:lang w:val="es-ES" w:eastAsia="es-ES"/>
        </w:r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556"/>
        <w:gridCol w:w="1745"/>
        <w:gridCol w:w="1129"/>
        <w:gridCol w:w="1453"/>
        <w:gridCol w:w="1395"/>
        <w:gridCol w:w="1550"/>
      </w:tblGrid>
      <w:tr w:rsidRPr="00AE1B2B" w:rsidR="00AE1B2B" w:rsidTr="009D3FB5" w14:paraId="585EAF45" w14:textId="77777777">
        <w:trPr>
          <w:trHeight w:val="1160"/>
        </w:trPr>
        <w:tc>
          <w:tcPr>
            <w:tcW w:w="881" w:type="pct"/>
            <w:shd w:val="clear" w:color="000000" w:fill="B4C6E7"/>
            <w:vAlign w:val="center"/>
            <w:hideMark/>
          </w:tcPr>
          <w:p w:rsidRPr="00AE1B2B" w:rsidR="009D3FB5" w:rsidP="00163B94" w:rsidRDefault="009D3FB5" w14:paraId="69123815" w14:textId="77777777">
            <w:pPr>
              <w:spacing w:before="120" w:after="120"/>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Oficina</w:t>
            </w:r>
          </w:p>
        </w:tc>
        <w:tc>
          <w:tcPr>
            <w:tcW w:w="988" w:type="pct"/>
            <w:shd w:val="clear" w:color="000000" w:fill="B4C6E7"/>
            <w:vAlign w:val="center"/>
            <w:hideMark/>
          </w:tcPr>
          <w:p w:rsidRPr="00AE1B2B" w:rsidR="009D3FB5" w:rsidP="00163B94" w:rsidRDefault="009D3FB5" w14:paraId="7AFE5E0F" w14:textId="77777777">
            <w:pPr>
              <w:spacing w:before="120" w:after="120"/>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Entrada DP prom anual (</w:t>
            </w:r>
            <w:r w:rsidRPr="00AE1B2B">
              <w:rPr>
                <w:rFonts w:ascii="Times New Roman" w:hAnsi="Times New Roman" w:eastAsia="Times New Roman" w:cs="Times New Roman"/>
                <w:b/>
                <w:bCs/>
                <w:i/>
                <w:iCs/>
                <w:sz w:val="18"/>
                <w:szCs w:val="18"/>
                <w:lang w:eastAsia="es-CR"/>
              </w:rPr>
              <w:t>todos los usuarios</w:t>
            </w:r>
            <w:r w:rsidRPr="00AE1B2B">
              <w:rPr>
                <w:rFonts w:ascii="Times New Roman" w:hAnsi="Times New Roman" w:eastAsia="Times New Roman" w:cs="Times New Roman"/>
                <w:b/>
                <w:bCs/>
                <w:sz w:val="20"/>
                <w:szCs w:val="20"/>
                <w:lang w:eastAsia="es-CR"/>
              </w:rPr>
              <w:t>)</w:t>
            </w:r>
          </w:p>
        </w:tc>
        <w:tc>
          <w:tcPr>
            <w:tcW w:w="639" w:type="pct"/>
            <w:shd w:val="clear" w:color="000000" w:fill="B4C6E7"/>
            <w:vAlign w:val="center"/>
            <w:hideMark/>
          </w:tcPr>
          <w:p w:rsidRPr="00AE1B2B" w:rsidR="009D3FB5" w:rsidP="00163B94" w:rsidRDefault="009D3FB5" w14:paraId="0B6B5CE3" w14:textId="77777777">
            <w:pPr>
              <w:spacing w:before="120" w:after="120"/>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Cantidad de personas defensoras</w:t>
            </w:r>
          </w:p>
        </w:tc>
        <w:tc>
          <w:tcPr>
            <w:tcW w:w="823" w:type="pct"/>
            <w:shd w:val="clear" w:color="auto" w:fill="BDD6EE" w:themeFill="accent1" w:themeFillTint="66"/>
            <w:vAlign w:val="center"/>
            <w:hideMark/>
          </w:tcPr>
          <w:p w:rsidRPr="00AE1B2B" w:rsidR="009D3FB5" w:rsidP="00163B94" w:rsidRDefault="009D3FB5" w14:paraId="30D7389F" w14:textId="77777777">
            <w:pPr>
              <w:spacing w:before="120" w:after="120"/>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Entrada promedio por persona defensora</w:t>
            </w:r>
          </w:p>
        </w:tc>
        <w:tc>
          <w:tcPr>
            <w:tcW w:w="790" w:type="pct"/>
            <w:shd w:val="clear" w:color="auto" w:fill="BDD6EE" w:themeFill="accent1" w:themeFillTint="66"/>
            <w:vAlign w:val="center"/>
            <w:hideMark/>
          </w:tcPr>
          <w:p w:rsidRPr="00AE1B2B" w:rsidR="009D3FB5" w:rsidP="00163B94" w:rsidRDefault="009D3FB5" w14:paraId="4BA40287" w14:textId="77777777">
            <w:pPr>
              <w:spacing w:before="120" w:after="120"/>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Entrada promedio anual jurisdiccional (</w:t>
            </w:r>
            <w:r w:rsidRPr="00AE1B2B">
              <w:rPr>
                <w:rFonts w:ascii="Times New Roman" w:hAnsi="Times New Roman" w:eastAsia="Times New Roman" w:cs="Times New Roman"/>
                <w:b/>
                <w:bCs/>
                <w:i/>
                <w:iCs/>
                <w:sz w:val="18"/>
                <w:szCs w:val="18"/>
                <w:lang w:eastAsia="es-CR"/>
              </w:rPr>
              <w:t>todos los usuarios</w:t>
            </w:r>
            <w:r w:rsidRPr="00AE1B2B">
              <w:rPr>
                <w:rFonts w:ascii="Times New Roman" w:hAnsi="Times New Roman" w:eastAsia="Times New Roman" w:cs="Times New Roman"/>
                <w:b/>
                <w:bCs/>
                <w:sz w:val="20"/>
                <w:szCs w:val="20"/>
                <w:lang w:eastAsia="es-CR"/>
              </w:rPr>
              <w:t>)</w:t>
            </w:r>
          </w:p>
        </w:tc>
        <w:tc>
          <w:tcPr>
            <w:tcW w:w="878" w:type="pct"/>
            <w:shd w:val="clear" w:color="auto" w:fill="BDD6EE" w:themeFill="accent1" w:themeFillTint="66"/>
            <w:vAlign w:val="center"/>
            <w:hideMark/>
          </w:tcPr>
          <w:p w:rsidRPr="00AE1B2B" w:rsidR="009D3FB5" w:rsidP="00163B94" w:rsidRDefault="009D3FB5" w14:paraId="6E01DBEB" w14:textId="77777777">
            <w:pPr>
              <w:spacing w:before="120" w:after="120"/>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Representación DP, respecto al reporte del área jurisdiccional (Entrada Defensa /Entrada Jurisdiccional)</w:t>
            </w:r>
          </w:p>
        </w:tc>
      </w:tr>
      <w:tr w:rsidRPr="00AE1B2B" w:rsidR="00AE1B2B" w:rsidTr="009D3FB5" w14:paraId="7D72C160" w14:textId="77777777">
        <w:trPr>
          <w:trHeight w:val="290"/>
        </w:trPr>
        <w:tc>
          <w:tcPr>
            <w:tcW w:w="881" w:type="pct"/>
            <w:shd w:val="clear" w:color="auto" w:fill="auto"/>
            <w:vAlign w:val="center"/>
            <w:hideMark/>
          </w:tcPr>
          <w:p w:rsidRPr="00AE1B2B" w:rsidR="009D3FB5" w:rsidP="00163B94" w:rsidRDefault="009D3FB5" w14:paraId="4376CF4B" w14:textId="115CBD53">
            <w:pPr>
              <w:spacing w:before="120" w:after="120"/>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Pérez Zeledón</w:t>
            </w:r>
            <w:r w:rsidRPr="00AE1B2B" w:rsidR="00BB7720">
              <w:rPr>
                <w:rFonts w:ascii="Times New Roman" w:hAnsi="Times New Roman" w:eastAsia="Times New Roman" w:cs="Times New Roman"/>
                <w:sz w:val="20"/>
                <w:szCs w:val="20"/>
                <w:lang w:eastAsia="es-CR"/>
              </w:rPr>
              <w:t xml:space="preserve"> </w:t>
            </w:r>
          </w:p>
        </w:tc>
        <w:tc>
          <w:tcPr>
            <w:tcW w:w="988" w:type="pct"/>
            <w:shd w:val="clear" w:color="auto" w:fill="auto"/>
            <w:noWrap/>
            <w:vAlign w:val="center"/>
            <w:hideMark/>
          </w:tcPr>
          <w:p w:rsidRPr="00AE1B2B" w:rsidR="009D3FB5" w:rsidP="00163B94" w:rsidRDefault="009D3FB5" w14:paraId="3FFB594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821</w:t>
            </w:r>
          </w:p>
        </w:tc>
        <w:tc>
          <w:tcPr>
            <w:tcW w:w="639" w:type="pct"/>
            <w:shd w:val="clear" w:color="auto" w:fill="auto"/>
            <w:noWrap/>
            <w:vAlign w:val="center"/>
            <w:hideMark/>
          </w:tcPr>
          <w:p w:rsidRPr="00AE1B2B" w:rsidR="009D3FB5" w:rsidP="00163B94" w:rsidRDefault="009D3FB5" w14:paraId="289D856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w:t>
            </w:r>
          </w:p>
        </w:tc>
        <w:tc>
          <w:tcPr>
            <w:tcW w:w="823" w:type="pct"/>
            <w:shd w:val="clear" w:color="auto" w:fill="auto"/>
            <w:noWrap/>
            <w:vAlign w:val="center"/>
            <w:hideMark/>
          </w:tcPr>
          <w:p w:rsidRPr="00AE1B2B" w:rsidR="009D3FB5" w:rsidP="00163B94" w:rsidRDefault="009D3FB5" w14:paraId="3E13EDF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205</w:t>
            </w:r>
          </w:p>
        </w:tc>
        <w:tc>
          <w:tcPr>
            <w:tcW w:w="790" w:type="pct"/>
            <w:shd w:val="clear" w:color="auto" w:fill="auto"/>
            <w:noWrap/>
            <w:vAlign w:val="center"/>
            <w:hideMark/>
          </w:tcPr>
          <w:p w:rsidRPr="00AE1B2B" w:rsidR="009D3FB5" w:rsidP="00163B94" w:rsidRDefault="009D3FB5" w14:paraId="1D9C773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863 (6)</w:t>
            </w:r>
          </w:p>
        </w:tc>
        <w:tc>
          <w:tcPr>
            <w:tcW w:w="878" w:type="pct"/>
            <w:shd w:val="clear" w:color="auto" w:fill="auto"/>
            <w:noWrap/>
            <w:vAlign w:val="center"/>
            <w:hideMark/>
          </w:tcPr>
          <w:p w:rsidRPr="00AE1B2B" w:rsidR="009D3FB5" w:rsidP="00163B94" w:rsidRDefault="009D3FB5" w14:paraId="16956C9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95%</w:t>
            </w:r>
          </w:p>
        </w:tc>
      </w:tr>
      <w:tr w:rsidRPr="00AE1B2B" w:rsidR="00AE1B2B" w:rsidTr="009D3FB5" w14:paraId="2C9BFBA9" w14:textId="77777777">
        <w:trPr>
          <w:trHeight w:val="290"/>
        </w:trPr>
        <w:tc>
          <w:tcPr>
            <w:tcW w:w="881" w:type="pct"/>
            <w:shd w:val="clear" w:color="auto" w:fill="auto"/>
            <w:vAlign w:val="center"/>
            <w:hideMark/>
          </w:tcPr>
          <w:p w:rsidRPr="00AE1B2B" w:rsidR="009D3FB5" w:rsidP="00163B94" w:rsidRDefault="009D3FB5" w14:paraId="367183C0" w14:textId="77777777">
            <w:pPr>
              <w:spacing w:before="120" w:after="120"/>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Osa</w:t>
            </w:r>
          </w:p>
        </w:tc>
        <w:tc>
          <w:tcPr>
            <w:tcW w:w="988" w:type="pct"/>
            <w:shd w:val="clear" w:color="auto" w:fill="auto"/>
            <w:noWrap/>
            <w:vAlign w:val="center"/>
            <w:hideMark/>
          </w:tcPr>
          <w:p w:rsidRPr="00AE1B2B" w:rsidR="009D3FB5" w:rsidP="00163B94" w:rsidRDefault="009D3FB5" w14:paraId="3BD82A9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w:t>
            </w:r>
          </w:p>
        </w:tc>
        <w:tc>
          <w:tcPr>
            <w:tcW w:w="639" w:type="pct"/>
            <w:shd w:val="clear" w:color="auto" w:fill="auto"/>
            <w:noWrap/>
            <w:vAlign w:val="center"/>
            <w:hideMark/>
          </w:tcPr>
          <w:p w:rsidRPr="00AE1B2B" w:rsidR="009D3FB5" w:rsidP="00163B94" w:rsidRDefault="009D3FB5" w14:paraId="6EE7253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c>
          <w:tcPr>
            <w:tcW w:w="823" w:type="pct"/>
            <w:shd w:val="clear" w:color="auto" w:fill="auto"/>
            <w:noWrap/>
            <w:vAlign w:val="center"/>
            <w:hideMark/>
          </w:tcPr>
          <w:p w:rsidRPr="00AE1B2B" w:rsidR="009D3FB5" w:rsidP="00163B94" w:rsidRDefault="009D3FB5" w14:paraId="348BB5ED" w14:textId="77777777">
            <w:pPr>
              <w:spacing w:before="120" w:after="120"/>
              <w:jc w:val="center"/>
              <w:rPr>
                <w:rFonts w:ascii="Times New Roman" w:hAnsi="Times New Roman" w:eastAsia="Times New Roman" w:cs="Times New Roman"/>
                <w:sz w:val="20"/>
                <w:szCs w:val="20"/>
                <w:lang w:eastAsia="es-CR"/>
              </w:rPr>
            </w:pPr>
          </w:p>
        </w:tc>
        <w:tc>
          <w:tcPr>
            <w:tcW w:w="790" w:type="pct"/>
            <w:shd w:val="clear" w:color="auto" w:fill="auto"/>
            <w:noWrap/>
            <w:vAlign w:val="center"/>
            <w:hideMark/>
          </w:tcPr>
          <w:p w:rsidRPr="00AE1B2B" w:rsidR="009D3FB5" w:rsidP="00163B94" w:rsidRDefault="009D3FB5" w14:paraId="6ECF242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275 (1)</w:t>
            </w:r>
          </w:p>
        </w:tc>
        <w:tc>
          <w:tcPr>
            <w:tcW w:w="878" w:type="pct"/>
            <w:shd w:val="clear" w:color="auto" w:fill="auto"/>
            <w:noWrap/>
            <w:vAlign w:val="center"/>
            <w:hideMark/>
          </w:tcPr>
          <w:p w:rsidRPr="00AE1B2B" w:rsidR="009D3FB5" w:rsidP="00163B94" w:rsidRDefault="009D3FB5" w14:paraId="1BABE5C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r>
      <w:tr w:rsidRPr="00AE1B2B" w:rsidR="00AE1B2B" w:rsidTr="009D3FB5" w14:paraId="10A9B084" w14:textId="77777777">
        <w:trPr>
          <w:trHeight w:val="290"/>
        </w:trPr>
        <w:tc>
          <w:tcPr>
            <w:tcW w:w="881" w:type="pct"/>
            <w:shd w:val="clear" w:color="auto" w:fill="auto"/>
            <w:vAlign w:val="center"/>
            <w:hideMark/>
          </w:tcPr>
          <w:p w:rsidRPr="00AE1B2B" w:rsidR="009D3FB5" w:rsidP="00163B94" w:rsidRDefault="009D3FB5" w14:paraId="7712447A" w14:textId="77777777">
            <w:pPr>
              <w:spacing w:before="120" w:after="120"/>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Golfito</w:t>
            </w:r>
          </w:p>
        </w:tc>
        <w:tc>
          <w:tcPr>
            <w:tcW w:w="988" w:type="pct"/>
            <w:shd w:val="clear" w:color="auto" w:fill="auto"/>
            <w:noWrap/>
            <w:vAlign w:val="center"/>
            <w:hideMark/>
          </w:tcPr>
          <w:p w:rsidRPr="00AE1B2B" w:rsidR="009D3FB5" w:rsidP="00163B94" w:rsidRDefault="009D3FB5" w14:paraId="12DA047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205</w:t>
            </w:r>
          </w:p>
        </w:tc>
        <w:tc>
          <w:tcPr>
            <w:tcW w:w="639" w:type="pct"/>
            <w:shd w:val="clear" w:color="auto" w:fill="auto"/>
            <w:noWrap/>
            <w:vAlign w:val="center"/>
            <w:hideMark/>
          </w:tcPr>
          <w:p w:rsidRPr="00AE1B2B" w:rsidR="009D3FB5" w:rsidP="00163B94" w:rsidRDefault="009D3FB5" w14:paraId="50EA24B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w:t>
            </w:r>
          </w:p>
        </w:tc>
        <w:tc>
          <w:tcPr>
            <w:tcW w:w="823" w:type="pct"/>
            <w:shd w:val="clear" w:color="auto" w:fill="auto"/>
            <w:noWrap/>
            <w:vAlign w:val="center"/>
            <w:hideMark/>
          </w:tcPr>
          <w:p w:rsidRPr="00AE1B2B" w:rsidR="009D3FB5" w:rsidP="00163B94" w:rsidRDefault="009D3FB5" w14:paraId="418F785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205</w:t>
            </w:r>
          </w:p>
        </w:tc>
        <w:tc>
          <w:tcPr>
            <w:tcW w:w="790" w:type="pct"/>
            <w:shd w:val="clear" w:color="auto" w:fill="auto"/>
            <w:noWrap/>
            <w:vAlign w:val="center"/>
            <w:hideMark/>
          </w:tcPr>
          <w:p w:rsidRPr="00AE1B2B" w:rsidR="009D3FB5" w:rsidP="00163B94" w:rsidRDefault="009D3FB5" w14:paraId="3809799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249 (4)</w:t>
            </w:r>
          </w:p>
        </w:tc>
        <w:tc>
          <w:tcPr>
            <w:tcW w:w="878" w:type="pct"/>
            <w:shd w:val="clear" w:color="auto" w:fill="auto"/>
            <w:noWrap/>
            <w:vAlign w:val="center"/>
            <w:hideMark/>
          </w:tcPr>
          <w:p w:rsidRPr="00AE1B2B" w:rsidR="009D3FB5" w:rsidP="00163B94" w:rsidRDefault="009D3FB5" w14:paraId="5E8ADF6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81%</w:t>
            </w:r>
          </w:p>
        </w:tc>
      </w:tr>
      <w:tr w:rsidRPr="00AE1B2B" w:rsidR="00AE1B2B" w:rsidTr="009D3FB5" w14:paraId="7FE23856" w14:textId="77777777">
        <w:trPr>
          <w:trHeight w:val="346"/>
        </w:trPr>
        <w:tc>
          <w:tcPr>
            <w:tcW w:w="881" w:type="pct"/>
            <w:shd w:val="clear" w:color="auto" w:fill="auto"/>
            <w:vAlign w:val="center"/>
            <w:hideMark/>
          </w:tcPr>
          <w:p w:rsidRPr="00AE1B2B" w:rsidR="009D3FB5" w:rsidP="00163B94" w:rsidRDefault="009D3FB5" w14:paraId="58E5649C" w14:textId="77777777">
            <w:pPr>
              <w:spacing w:before="120" w:after="120"/>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Corredores</w:t>
            </w:r>
          </w:p>
        </w:tc>
        <w:tc>
          <w:tcPr>
            <w:tcW w:w="988" w:type="pct"/>
            <w:shd w:val="clear" w:color="auto" w:fill="auto"/>
            <w:noWrap/>
            <w:vAlign w:val="center"/>
            <w:hideMark/>
          </w:tcPr>
          <w:p w:rsidRPr="00AE1B2B" w:rsidR="009D3FB5" w:rsidP="00163B94" w:rsidRDefault="009D3FB5" w14:paraId="7351986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445</w:t>
            </w:r>
          </w:p>
        </w:tc>
        <w:tc>
          <w:tcPr>
            <w:tcW w:w="639" w:type="pct"/>
            <w:shd w:val="clear" w:color="auto" w:fill="auto"/>
            <w:noWrap/>
            <w:vAlign w:val="center"/>
            <w:hideMark/>
          </w:tcPr>
          <w:p w:rsidRPr="00AE1B2B" w:rsidR="009D3FB5" w:rsidP="00163B94" w:rsidRDefault="009D3FB5" w14:paraId="1C50783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w:t>
            </w:r>
          </w:p>
        </w:tc>
        <w:tc>
          <w:tcPr>
            <w:tcW w:w="823" w:type="pct"/>
            <w:shd w:val="clear" w:color="auto" w:fill="auto"/>
            <w:noWrap/>
            <w:vAlign w:val="center"/>
            <w:hideMark/>
          </w:tcPr>
          <w:p w:rsidRPr="00AE1B2B" w:rsidR="009D3FB5" w:rsidP="00163B94" w:rsidRDefault="009D3FB5" w14:paraId="561FC27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445</w:t>
            </w:r>
          </w:p>
        </w:tc>
        <w:tc>
          <w:tcPr>
            <w:tcW w:w="790" w:type="pct"/>
            <w:shd w:val="clear" w:color="auto" w:fill="auto"/>
            <w:noWrap/>
            <w:vAlign w:val="center"/>
            <w:hideMark/>
          </w:tcPr>
          <w:p w:rsidRPr="00AE1B2B" w:rsidR="009D3FB5" w:rsidP="00163B94" w:rsidRDefault="009D3FB5" w14:paraId="1B7376A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453 (8)</w:t>
            </w:r>
          </w:p>
        </w:tc>
        <w:tc>
          <w:tcPr>
            <w:tcW w:w="878" w:type="pct"/>
            <w:shd w:val="clear" w:color="auto" w:fill="auto"/>
            <w:noWrap/>
            <w:vAlign w:val="center"/>
            <w:hideMark/>
          </w:tcPr>
          <w:p w:rsidRPr="00AE1B2B" w:rsidR="009D3FB5" w:rsidP="00163B94" w:rsidRDefault="009D3FB5" w14:paraId="379C3D2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97%</w:t>
            </w:r>
          </w:p>
        </w:tc>
      </w:tr>
      <w:tr w:rsidRPr="00AE1B2B" w:rsidR="00AE1B2B" w:rsidTr="009D3FB5" w14:paraId="6D312DD2" w14:textId="77777777">
        <w:trPr>
          <w:trHeight w:val="290"/>
        </w:trPr>
        <w:tc>
          <w:tcPr>
            <w:tcW w:w="881" w:type="pct"/>
            <w:shd w:val="clear" w:color="auto" w:fill="auto"/>
            <w:vAlign w:val="center"/>
            <w:hideMark/>
          </w:tcPr>
          <w:p w:rsidRPr="00AE1B2B" w:rsidR="009D3FB5" w:rsidP="00163B94" w:rsidRDefault="009D3FB5" w14:paraId="2498262B" w14:textId="77777777">
            <w:pPr>
              <w:spacing w:before="120" w:after="120"/>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Coto Brus</w:t>
            </w:r>
          </w:p>
        </w:tc>
        <w:tc>
          <w:tcPr>
            <w:tcW w:w="988" w:type="pct"/>
            <w:shd w:val="clear" w:color="auto" w:fill="auto"/>
            <w:noWrap/>
            <w:vAlign w:val="center"/>
            <w:hideMark/>
          </w:tcPr>
          <w:p w:rsidRPr="00AE1B2B" w:rsidR="009D3FB5" w:rsidP="00163B94" w:rsidRDefault="009D3FB5" w14:paraId="7BFCFAE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19</w:t>
            </w:r>
          </w:p>
        </w:tc>
        <w:tc>
          <w:tcPr>
            <w:tcW w:w="639" w:type="pct"/>
            <w:shd w:val="clear" w:color="auto" w:fill="auto"/>
            <w:noWrap/>
            <w:vAlign w:val="center"/>
            <w:hideMark/>
          </w:tcPr>
          <w:p w:rsidRPr="00AE1B2B" w:rsidR="009D3FB5" w:rsidP="00163B94" w:rsidRDefault="009D3FB5" w14:paraId="3331CA4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c>
          <w:tcPr>
            <w:tcW w:w="823" w:type="pct"/>
            <w:shd w:val="clear" w:color="auto" w:fill="auto"/>
            <w:noWrap/>
            <w:vAlign w:val="center"/>
          </w:tcPr>
          <w:p w:rsidRPr="00AE1B2B" w:rsidR="009D3FB5" w:rsidP="00163B94" w:rsidRDefault="009D3FB5" w14:paraId="182AE549" w14:textId="77777777">
            <w:pPr>
              <w:spacing w:before="120" w:after="120"/>
              <w:jc w:val="center"/>
              <w:rPr>
                <w:rFonts w:ascii="Times New Roman" w:hAnsi="Times New Roman" w:eastAsia="Times New Roman" w:cs="Times New Roman"/>
                <w:sz w:val="20"/>
                <w:szCs w:val="20"/>
                <w:lang w:eastAsia="es-CR"/>
              </w:rPr>
            </w:pPr>
          </w:p>
        </w:tc>
        <w:tc>
          <w:tcPr>
            <w:tcW w:w="790" w:type="pct"/>
            <w:shd w:val="clear" w:color="auto" w:fill="auto"/>
            <w:noWrap/>
            <w:vAlign w:val="center"/>
            <w:hideMark/>
          </w:tcPr>
          <w:p w:rsidRPr="00AE1B2B" w:rsidR="009D3FB5" w:rsidP="00163B94" w:rsidRDefault="009D3FB5" w14:paraId="40AAD7E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311 (18)</w:t>
            </w:r>
          </w:p>
        </w:tc>
        <w:tc>
          <w:tcPr>
            <w:tcW w:w="878" w:type="pct"/>
            <w:shd w:val="clear" w:color="auto" w:fill="auto"/>
            <w:noWrap/>
            <w:vAlign w:val="center"/>
            <w:hideMark/>
          </w:tcPr>
          <w:p w:rsidRPr="00AE1B2B" w:rsidR="009D3FB5" w:rsidP="00163B94" w:rsidRDefault="009D3FB5" w14:paraId="752A274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w:t>
            </w:r>
          </w:p>
        </w:tc>
      </w:tr>
      <w:tr w:rsidRPr="00AE1B2B" w:rsidR="00AE1B2B" w:rsidTr="009D3FB5" w14:paraId="1C1726A3" w14:textId="77777777">
        <w:trPr>
          <w:trHeight w:val="290"/>
        </w:trPr>
        <w:tc>
          <w:tcPr>
            <w:tcW w:w="881" w:type="pct"/>
            <w:shd w:val="clear" w:color="auto" w:fill="auto"/>
            <w:vAlign w:val="center"/>
            <w:hideMark/>
          </w:tcPr>
          <w:p w:rsidRPr="00AE1B2B" w:rsidR="009D3FB5" w:rsidP="00163B94" w:rsidRDefault="009D3FB5" w14:paraId="12B7D47E" w14:textId="77777777">
            <w:pPr>
              <w:spacing w:before="120" w:after="120"/>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Buenos Aires</w:t>
            </w:r>
          </w:p>
        </w:tc>
        <w:tc>
          <w:tcPr>
            <w:tcW w:w="988" w:type="pct"/>
            <w:shd w:val="clear" w:color="auto" w:fill="auto"/>
            <w:noWrap/>
            <w:vAlign w:val="center"/>
            <w:hideMark/>
          </w:tcPr>
          <w:p w:rsidRPr="00AE1B2B" w:rsidR="009D3FB5" w:rsidP="00163B94" w:rsidRDefault="009D3FB5" w14:paraId="315F9B5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186</w:t>
            </w:r>
          </w:p>
        </w:tc>
        <w:tc>
          <w:tcPr>
            <w:tcW w:w="639" w:type="pct"/>
            <w:shd w:val="clear" w:color="auto" w:fill="auto"/>
            <w:noWrap/>
            <w:vAlign w:val="center"/>
            <w:hideMark/>
          </w:tcPr>
          <w:p w:rsidRPr="00AE1B2B" w:rsidR="009D3FB5" w:rsidP="00163B94" w:rsidRDefault="009D3FB5" w14:paraId="3BD77A4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c>
          <w:tcPr>
            <w:tcW w:w="823" w:type="pct"/>
            <w:shd w:val="clear" w:color="auto" w:fill="auto"/>
            <w:noWrap/>
            <w:vAlign w:val="center"/>
          </w:tcPr>
          <w:p w:rsidRPr="00AE1B2B" w:rsidR="009D3FB5" w:rsidP="00163B94" w:rsidRDefault="009D3FB5" w14:paraId="547BB510" w14:textId="77777777">
            <w:pPr>
              <w:spacing w:before="120" w:after="120"/>
              <w:jc w:val="center"/>
              <w:rPr>
                <w:rFonts w:ascii="Times New Roman" w:hAnsi="Times New Roman" w:eastAsia="Times New Roman" w:cs="Times New Roman"/>
                <w:sz w:val="20"/>
                <w:szCs w:val="20"/>
                <w:lang w:eastAsia="es-CR"/>
              </w:rPr>
            </w:pPr>
          </w:p>
        </w:tc>
        <w:tc>
          <w:tcPr>
            <w:tcW w:w="790" w:type="pct"/>
            <w:shd w:val="clear" w:color="auto" w:fill="auto"/>
            <w:noWrap/>
            <w:vAlign w:val="center"/>
            <w:hideMark/>
          </w:tcPr>
          <w:p w:rsidRPr="00AE1B2B" w:rsidR="009D3FB5" w:rsidP="00163B94" w:rsidRDefault="009D3FB5" w14:paraId="28DDFF8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339 (100)</w:t>
            </w:r>
          </w:p>
        </w:tc>
        <w:tc>
          <w:tcPr>
            <w:tcW w:w="878" w:type="pct"/>
            <w:shd w:val="clear" w:color="auto" w:fill="auto"/>
            <w:noWrap/>
            <w:vAlign w:val="center"/>
            <w:hideMark/>
          </w:tcPr>
          <w:p w:rsidRPr="00AE1B2B" w:rsidR="009D3FB5" w:rsidP="00163B94" w:rsidRDefault="009D3FB5" w14:paraId="67A0BA4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42%</w:t>
            </w:r>
          </w:p>
        </w:tc>
      </w:tr>
      <w:tr w:rsidRPr="00AE1B2B" w:rsidR="00AE1B2B" w:rsidTr="009D3FB5" w14:paraId="0FC0234B" w14:textId="77777777">
        <w:trPr>
          <w:trHeight w:val="290"/>
        </w:trPr>
        <w:tc>
          <w:tcPr>
            <w:tcW w:w="881" w:type="pct"/>
            <w:shd w:val="clear" w:color="auto" w:fill="auto"/>
            <w:vAlign w:val="center"/>
            <w:hideMark/>
          </w:tcPr>
          <w:p w:rsidRPr="00AE1B2B" w:rsidR="009D3FB5" w:rsidP="00163B94" w:rsidRDefault="009D3FB5" w14:paraId="3F3203D2" w14:textId="77777777">
            <w:pPr>
              <w:spacing w:before="120" w:after="120"/>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Puerto Jiménez</w:t>
            </w:r>
          </w:p>
        </w:tc>
        <w:tc>
          <w:tcPr>
            <w:tcW w:w="988" w:type="pct"/>
            <w:shd w:val="clear" w:color="auto" w:fill="auto"/>
            <w:noWrap/>
            <w:vAlign w:val="center"/>
            <w:hideMark/>
          </w:tcPr>
          <w:p w:rsidRPr="00AE1B2B" w:rsidR="009D3FB5" w:rsidP="00163B94" w:rsidRDefault="009D3FB5" w14:paraId="7CC9698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639" w:type="pct"/>
            <w:shd w:val="clear" w:color="auto" w:fill="auto"/>
            <w:noWrap/>
            <w:vAlign w:val="center"/>
            <w:hideMark/>
          </w:tcPr>
          <w:p w:rsidRPr="00AE1B2B" w:rsidR="009D3FB5" w:rsidP="00163B94" w:rsidRDefault="009D3FB5" w14:paraId="55E1480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c>
          <w:tcPr>
            <w:tcW w:w="823" w:type="pct"/>
            <w:shd w:val="clear" w:color="auto" w:fill="auto"/>
            <w:noWrap/>
            <w:vAlign w:val="center"/>
          </w:tcPr>
          <w:p w:rsidRPr="00AE1B2B" w:rsidR="009D3FB5" w:rsidP="00163B94" w:rsidRDefault="009D3FB5" w14:paraId="3E948650" w14:textId="77777777">
            <w:pPr>
              <w:spacing w:before="120" w:after="120"/>
              <w:jc w:val="center"/>
              <w:rPr>
                <w:rFonts w:ascii="Times New Roman" w:hAnsi="Times New Roman" w:eastAsia="Times New Roman" w:cs="Times New Roman"/>
                <w:sz w:val="20"/>
                <w:szCs w:val="20"/>
                <w:lang w:eastAsia="es-CR"/>
              </w:rPr>
            </w:pPr>
          </w:p>
        </w:tc>
        <w:tc>
          <w:tcPr>
            <w:tcW w:w="790" w:type="pct"/>
            <w:shd w:val="clear" w:color="auto" w:fill="auto"/>
            <w:noWrap/>
            <w:vAlign w:val="center"/>
            <w:hideMark/>
          </w:tcPr>
          <w:p w:rsidRPr="00AE1B2B" w:rsidR="009D3FB5" w:rsidP="00163B94" w:rsidRDefault="009D3FB5" w14:paraId="62F1822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111 (1)</w:t>
            </w:r>
          </w:p>
        </w:tc>
        <w:tc>
          <w:tcPr>
            <w:tcW w:w="878" w:type="pct"/>
            <w:shd w:val="clear" w:color="auto" w:fill="auto"/>
            <w:noWrap/>
            <w:vAlign w:val="center"/>
            <w:hideMark/>
          </w:tcPr>
          <w:p w:rsidRPr="00AE1B2B" w:rsidR="009D3FB5" w:rsidP="00163B94" w:rsidRDefault="009D3FB5" w14:paraId="661A085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r>
      <w:tr w:rsidRPr="00AE1B2B" w:rsidR="00AE1B2B" w:rsidTr="009D3FB5" w14:paraId="085DD3E2" w14:textId="77777777">
        <w:trPr>
          <w:trHeight w:val="290"/>
        </w:trPr>
        <w:tc>
          <w:tcPr>
            <w:tcW w:w="881" w:type="pct"/>
            <w:shd w:val="clear" w:color="auto" w:fill="auto"/>
            <w:vAlign w:val="center"/>
            <w:hideMark/>
          </w:tcPr>
          <w:p w:rsidRPr="00AE1B2B" w:rsidR="009D3FB5" w:rsidP="00163B94" w:rsidRDefault="009D3FB5" w14:paraId="5916B49C" w14:textId="4D8C8EBC">
            <w:pPr>
              <w:spacing w:before="120" w:after="120"/>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Upala</w:t>
            </w:r>
            <w:r w:rsidRPr="00AE1B2B" w:rsidR="00BB7720">
              <w:rPr>
                <w:rFonts w:ascii="Times New Roman" w:hAnsi="Times New Roman" w:eastAsia="Times New Roman" w:cs="Times New Roman"/>
                <w:sz w:val="20"/>
                <w:szCs w:val="20"/>
                <w:lang w:eastAsia="es-CR"/>
              </w:rPr>
              <w:t xml:space="preserve"> </w:t>
            </w:r>
          </w:p>
        </w:tc>
        <w:tc>
          <w:tcPr>
            <w:tcW w:w="988" w:type="pct"/>
            <w:shd w:val="clear" w:color="auto" w:fill="auto"/>
            <w:noWrap/>
            <w:vAlign w:val="center"/>
            <w:hideMark/>
          </w:tcPr>
          <w:p w:rsidRPr="00AE1B2B" w:rsidR="009D3FB5" w:rsidP="00163B94" w:rsidRDefault="009D3FB5" w14:paraId="571B9FA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310</w:t>
            </w:r>
          </w:p>
        </w:tc>
        <w:tc>
          <w:tcPr>
            <w:tcW w:w="639" w:type="pct"/>
            <w:vMerge w:val="restart"/>
            <w:shd w:val="clear" w:color="auto" w:fill="auto"/>
            <w:noWrap/>
            <w:vAlign w:val="center"/>
            <w:hideMark/>
          </w:tcPr>
          <w:p w:rsidRPr="00AE1B2B" w:rsidR="009D3FB5" w:rsidP="00163B94" w:rsidRDefault="009D3FB5" w14:paraId="59C7F75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w:t>
            </w:r>
          </w:p>
        </w:tc>
        <w:tc>
          <w:tcPr>
            <w:tcW w:w="823" w:type="pct"/>
            <w:vMerge w:val="restart"/>
            <w:shd w:val="clear" w:color="auto" w:fill="auto"/>
            <w:noWrap/>
            <w:vAlign w:val="center"/>
            <w:hideMark/>
          </w:tcPr>
          <w:p w:rsidRPr="00AE1B2B" w:rsidR="009D3FB5" w:rsidP="00163B94" w:rsidRDefault="009D3FB5" w14:paraId="6767ED1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457</w:t>
            </w:r>
          </w:p>
        </w:tc>
        <w:tc>
          <w:tcPr>
            <w:tcW w:w="790" w:type="pct"/>
            <w:shd w:val="clear" w:color="auto" w:fill="auto"/>
            <w:noWrap/>
            <w:vAlign w:val="center"/>
            <w:hideMark/>
          </w:tcPr>
          <w:p w:rsidRPr="00AE1B2B" w:rsidR="009D3FB5" w:rsidP="00163B94" w:rsidRDefault="009D3FB5" w14:paraId="18FF5F3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420 (1)</w:t>
            </w:r>
          </w:p>
        </w:tc>
        <w:tc>
          <w:tcPr>
            <w:tcW w:w="878" w:type="pct"/>
            <w:vMerge w:val="restart"/>
            <w:shd w:val="clear" w:color="auto" w:fill="auto"/>
            <w:noWrap/>
            <w:vAlign w:val="center"/>
            <w:hideMark/>
          </w:tcPr>
          <w:p w:rsidRPr="00AE1B2B" w:rsidR="009D3FB5" w:rsidP="00163B94" w:rsidRDefault="009D3FB5" w14:paraId="17F40B2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52%</w:t>
            </w:r>
          </w:p>
        </w:tc>
      </w:tr>
      <w:tr w:rsidRPr="00AE1B2B" w:rsidR="00AE1B2B" w:rsidTr="009D3FB5" w14:paraId="32DE880F" w14:textId="77777777">
        <w:trPr>
          <w:trHeight w:val="290"/>
        </w:trPr>
        <w:tc>
          <w:tcPr>
            <w:tcW w:w="881" w:type="pct"/>
            <w:shd w:val="clear" w:color="auto" w:fill="auto"/>
            <w:vAlign w:val="center"/>
            <w:hideMark/>
          </w:tcPr>
          <w:p w:rsidRPr="00AE1B2B" w:rsidR="009D3FB5" w:rsidP="00163B94" w:rsidRDefault="009D3FB5" w14:paraId="1296355C" w14:textId="77777777">
            <w:pPr>
              <w:spacing w:before="120" w:after="120"/>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Guatuso</w:t>
            </w:r>
          </w:p>
        </w:tc>
        <w:tc>
          <w:tcPr>
            <w:tcW w:w="988" w:type="pct"/>
            <w:shd w:val="clear" w:color="auto" w:fill="auto"/>
            <w:noWrap/>
            <w:vAlign w:val="center"/>
            <w:hideMark/>
          </w:tcPr>
          <w:p w:rsidRPr="00AE1B2B" w:rsidR="009D3FB5" w:rsidP="00163B94" w:rsidRDefault="009D3FB5" w14:paraId="2789BD0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147</w:t>
            </w:r>
          </w:p>
        </w:tc>
        <w:tc>
          <w:tcPr>
            <w:tcW w:w="639" w:type="pct"/>
            <w:vMerge/>
            <w:shd w:val="clear" w:color="auto" w:fill="auto"/>
            <w:vAlign w:val="center"/>
            <w:hideMark/>
          </w:tcPr>
          <w:p w:rsidRPr="00AE1B2B" w:rsidR="009D3FB5" w:rsidP="00163B94" w:rsidRDefault="009D3FB5" w14:paraId="6A2473C7" w14:textId="77777777">
            <w:pPr>
              <w:spacing w:before="120" w:after="120"/>
              <w:rPr>
                <w:rFonts w:ascii="Times New Roman" w:hAnsi="Times New Roman" w:eastAsia="Times New Roman" w:cs="Times New Roman"/>
                <w:sz w:val="20"/>
                <w:szCs w:val="20"/>
                <w:lang w:eastAsia="es-CR"/>
              </w:rPr>
            </w:pPr>
          </w:p>
        </w:tc>
        <w:tc>
          <w:tcPr>
            <w:tcW w:w="823" w:type="pct"/>
            <w:vMerge/>
            <w:shd w:val="clear" w:color="auto" w:fill="auto"/>
            <w:vAlign w:val="center"/>
            <w:hideMark/>
          </w:tcPr>
          <w:p w:rsidRPr="00AE1B2B" w:rsidR="009D3FB5" w:rsidP="00163B94" w:rsidRDefault="009D3FB5" w14:paraId="137A7DC6" w14:textId="77777777">
            <w:pPr>
              <w:spacing w:before="120" w:after="120"/>
              <w:rPr>
                <w:rFonts w:ascii="Times New Roman" w:hAnsi="Times New Roman" w:eastAsia="Times New Roman" w:cs="Times New Roman"/>
                <w:sz w:val="20"/>
                <w:szCs w:val="20"/>
                <w:lang w:eastAsia="es-CR"/>
              </w:rPr>
            </w:pPr>
          </w:p>
        </w:tc>
        <w:tc>
          <w:tcPr>
            <w:tcW w:w="790" w:type="pct"/>
            <w:shd w:val="clear" w:color="auto" w:fill="auto"/>
            <w:noWrap/>
            <w:vAlign w:val="center"/>
            <w:hideMark/>
          </w:tcPr>
          <w:p w:rsidRPr="00AE1B2B" w:rsidR="009D3FB5" w:rsidP="00163B94" w:rsidRDefault="009D3FB5" w14:paraId="5D37DEA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171 (4)</w:t>
            </w:r>
          </w:p>
        </w:tc>
        <w:tc>
          <w:tcPr>
            <w:tcW w:w="878" w:type="pct"/>
            <w:vMerge/>
            <w:shd w:val="clear" w:color="auto" w:fill="auto"/>
            <w:vAlign w:val="center"/>
            <w:hideMark/>
          </w:tcPr>
          <w:p w:rsidRPr="00AE1B2B" w:rsidR="009D3FB5" w:rsidP="00163B94" w:rsidRDefault="009D3FB5" w14:paraId="4365C90B" w14:textId="77777777">
            <w:pPr>
              <w:spacing w:before="120" w:after="120"/>
              <w:rPr>
                <w:rFonts w:ascii="Times New Roman" w:hAnsi="Times New Roman" w:eastAsia="Times New Roman" w:cs="Times New Roman"/>
                <w:sz w:val="20"/>
                <w:szCs w:val="20"/>
                <w:lang w:eastAsia="es-CR"/>
              </w:rPr>
            </w:pPr>
          </w:p>
        </w:tc>
      </w:tr>
      <w:tr w:rsidRPr="00AE1B2B" w:rsidR="00AE1B2B" w:rsidTr="009D3FB5" w14:paraId="7DD128A7" w14:textId="77777777">
        <w:trPr>
          <w:trHeight w:val="290"/>
        </w:trPr>
        <w:tc>
          <w:tcPr>
            <w:tcW w:w="881" w:type="pct"/>
            <w:vMerge w:val="restart"/>
            <w:shd w:val="clear" w:color="auto" w:fill="auto"/>
            <w:vAlign w:val="center"/>
            <w:hideMark/>
          </w:tcPr>
          <w:p w:rsidRPr="00AE1B2B" w:rsidR="009D3FB5" w:rsidP="00163B94" w:rsidRDefault="009D3FB5" w14:paraId="1E1671DB" w14:textId="77777777">
            <w:pPr>
              <w:spacing w:before="120" w:after="120"/>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Cartago</w:t>
            </w:r>
          </w:p>
        </w:tc>
        <w:tc>
          <w:tcPr>
            <w:tcW w:w="988" w:type="pct"/>
            <w:vMerge w:val="restart"/>
            <w:shd w:val="clear" w:color="auto" w:fill="auto"/>
            <w:noWrap/>
            <w:vAlign w:val="center"/>
            <w:hideMark/>
          </w:tcPr>
          <w:p w:rsidRPr="00AE1B2B" w:rsidR="009D3FB5" w:rsidP="00163B94" w:rsidRDefault="009D3FB5" w14:paraId="5E1AA03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1595</w:t>
            </w:r>
          </w:p>
        </w:tc>
        <w:tc>
          <w:tcPr>
            <w:tcW w:w="639" w:type="pct"/>
            <w:vMerge w:val="restart"/>
            <w:shd w:val="clear" w:color="auto" w:fill="auto"/>
            <w:noWrap/>
            <w:vAlign w:val="center"/>
            <w:hideMark/>
          </w:tcPr>
          <w:p w:rsidRPr="00AE1B2B" w:rsidR="009D3FB5" w:rsidP="00163B94" w:rsidRDefault="009D3FB5" w14:paraId="3E807C8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w:t>
            </w:r>
          </w:p>
        </w:tc>
        <w:tc>
          <w:tcPr>
            <w:tcW w:w="823" w:type="pct"/>
            <w:vMerge w:val="restart"/>
            <w:shd w:val="clear" w:color="auto" w:fill="auto"/>
            <w:noWrap/>
            <w:vAlign w:val="center"/>
            <w:hideMark/>
          </w:tcPr>
          <w:p w:rsidRPr="00AE1B2B" w:rsidR="009D3FB5" w:rsidP="00163B94" w:rsidRDefault="009D3FB5" w14:paraId="6235084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319</w:t>
            </w:r>
          </w:p>
        </w:tc>
        <w:tc>
          <w:tcPr>
            <w:tcW w:w="790" w:type="pct"/>
            <w:shd w:val="clear" w:color="auto" w:fill="auto"/>
            <w:noWrap/>
            <w:vAlign w:val="center"/>
            <w:hideMark/>
          </w:tcPr>
          <w:p w:rsidRPr="00AE1B2B" w:rsidR="009D3FB5" w:rsidP="00163B94" w:rsidRDefault="009D3FB5" w14:paraId="278B541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1883 (2)</w:t>
            </w:r>
          </w:p>
        </w:tc>
        <w:tc>
          <w:tcPr>
            <w:tcW w:w="878" w:type="pct"/>
            <w:vMerge w:val="restart"/>
            <w:shd w:val="clear" w:color="auto" w:fill="auto"/>
            <w:noWrap/>
            <w:vAlign w:val="center"/>
            <w:hideMark/>
          </w:tcPr>
          <w:p w:rsidRPr="00AE1B2B" w:rsidR="009D3FB5" w:rsidP="00163B94" w:rsidRDefault="009D3FB5" w14:paraId="272627C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69%</w:t>
            </w:r>
          </w:p>
        </w:tc>
      </w:tr>
      <w:tr w:rsidRPr="00AE1B2B" w:rsidR="00AE1B2B" w:rsidTr="009D3FB5" w14:paraId="34E0C358" w14:textId="77777777">
        <w:trPr>
          <w:trHeight w:val="290"/>
        </w:trPr>
        <w:tc>
          <w:tcPr>
            <w:tcW w:w="881" w:type="pct"/>
            <w:vMerge/>
            <w:shd w:val="clear" w:color="auto" w:fill="auto"/>
            <w:vAlign w:val="center"/>
            <w:hideMark/>
          </w:tcPr>
          <w:p w:rsidRPr="00AE1B2B" w:rsidR="009D3FB5" w:rsidP="00163B94" w:rsidRDefault="009D3FB5" w14:paraId="5C117851" w14:textId="77777777">
            <w:pPr>
              <w:spacing w:before="120" w:after="120"/>
              <w:rPr>
                <w:rFonts w:ascii="Times New Roman" w:hAnsi="Times New Roman" w:eastAsia="Times New Roman" w:cs="Times New Roman"/>
                <w:sz w:val="20"/>
                <w:szCs w:val="20"/>
                <w:lang w:eastAsia="es-CR"/>
              </w:rPr>
            </w:pPr>
          </w:p>
        </w:tc>
        <w:tc>
          <w:tcPr>
            <w:tcW w:w="988" w:type="pct"/>
            <w:vMerge/>
            <w:shd w:val="clear" w:color="auto" w:fill="auto"/>
            <w:vAlign w:val="center"/>
            <w:hideMark/>
          </w:tcPr>
          <w:p w:rsidRPr="00AE1B2B" w:rsidR="009D3FB5" w:rsidP="00163B94" w:rsidRDefault="009D3FB5" w14:paraId="254199C3" w14:textId="77777777">
            <w:pPr>
              <w:spacing w:before="120" w:after="120"/>
              <w:rPr>
                <w:rFonts w:ascii="Times New Roman" w:hAnsi="Times New Roman" w:eastAsia="Times New Roman" w:cs="Times New Roman"/>
                <w:sz w:val="20"/>
                <w:szCs w:val="20"/>
                <w:lang w:eastAsia="es-CR"/>
              </w:rPr>
            </w:pPr>
          </w:p>
        </w:tc>
        <w:tc>
          <w:tcPr>
            <w:tcW w:w="639" w:type="pct"/>
            <w:vMerge/>
            <w:shd w:val="clear" w:color="auto" w:fill="auto"/>
            <w:vAlign w:val="center"/>
            <w:hideMark/>
          </w:tcPr>
          <w:p w:rsidRPr="00AE1B2B" w:rsidR="009D3FB5" w:rsidP="00163B94" w:rsidRDefault="009D3FB5" w14:paraId="60B49B9D" w14:textId="77777777">
            <w:pPr>
              <w:spacing w:before="120" w:after="120"/>
              <w:rPr>
                <w:rFonts w:ascii="Times New Roman" w:hAnsi="Times New Roman" w:eastAsia="Times New Roman" w:cs="Times New Roman"/>
                <w:sz w:val="20"/>
                <w:szCs w:val="20"/>
                <w:lang w:eastAsia="es-CR"/>
              </w:rPr>
            </w:pPr>
          </w:p>
        </w:tc>
        <w:tc>
          <w:tcPr>
            <w:tcW w:w="823" w:type="pct"/>
            <w:vMerge/>
            <w:shd w:val="clear" w:color="auto" w:fill="auto"/>
            <w:vAlign w:val="center"/>
            <w:hideMark/>
          </w:tcPr>
          <w:p w:rsidRPr="00AE1B2B" w:rsidR="009D3FB5" w:rsidP="00163B94" w:rsidRDefault="009D3FB5" w14:paraId="0BC2C4B5" w14:textId="77777777">
            <w:pPr>
              <w:spacing w:before="120" w:after="120"/>
              <w:rPr>
                <w:rFonts w:ascii="Times New Roman" w:hAnsi="Times New Roman" w:eastAsia="Times New Roman" w:cs="Times New Roman"/>
                <w:sz w:val="20"/>
                <w:szCs w:val="20"/>
                <w:lang w:eastAsia="es-CR"/>
              </w:rPr>
            </w:pPr>
          </w:p>
        </w:tc>
        <w:tc>
          <w:tcPr>
            <w:tcW w:w="790" w:type="pct"/>
            <w:shd w:val="clear" w:color="auto" w:fill="auto"/>
            <w:noWrap/>
            <w:vAlign w:val="center"/>
            <w:hideMark/>
          </w:tcPr>
          <w:p w:rsidRPr="00AE1B2B" w:rsidR="009D3FB5" w:rsidP="00163B94" w:rsidRDefault="009D3FB5" w14:paraId="4A01121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c>
          <w:tcPr>
            <w:tcW w:w="878" w:type="pct"/>
            <w:vMerge/>
            <w:shd w:val="clear" w:color="auto" w:fill="auto"/>
            <w:vAlign w:val="center"/>
            <w:hideMark/>
          </w:tcPr>
          <w:p w:rsidRPr="00AE1B2B" w:rsidR="009D3FB5" w:rsidP="00163B94" w:rsidRDefault="009D3FB5" w14:paraId="2620015B" w14:textId="77777777">
            <w:pPr>
              <w:spacing w:before="120" w:after="120"/>
              <w:rPr>
                <w:rFonts w:ascii="Times New Roman" w:hAnsi="Times New Roman" w:eastAsia="Times New Roman" w:cs="Times New Roman"/>
                <w:sz w:val="20"/>
                <w:szCs w:val="20"/>
                <w:lang w:eastAsia="es-CR"/>
              </w:rPr>
            </w:pPr>
          </w:p>
        </w:tc>
      </w:tr>
      <w:tr w:rsidRPr="00AE1B2B" w:rsidR="00AE1B2B" w:rsidTr="009D3FB5" w14:paraId="1B31B56C" w14:textId="77777777">
        <w:trPr>
          <w:trHeight w:val="290"/>
        </w:trPr>
        <w:tc>
          <w:tcPr>
            <w:tcW w:w="881" w:type="pct"/>
            <w:vMerge/>
            <w:shd w:val="clear" w:color="auto" w:fill="auto"/>
            <w:vAlign w:val="center"/>
            <w:hideMark/>
          </w:tcPr>
          <w:p w:rsidRPr="00AE1B2B" w:rsidR="009D3FB5" w:rsidP="00163B94" w:rsidRDefault="009D3FB5" w14:paraId="2DB2E528" w14:textId="77777777">
            <w:pPr>
              <w:spacing w:before="120" w:after="120"/>
              <w:rPr>
                <w:rFonts w:ascii="Times New Roman" w:hAnsi="Times New Roman" w:eastAsia="Times New Roman" w:cs="Times New Roman"/>
                <w:sz w:val="20"/>
                <w:szCs w:val="20"/>
                <w:lang w:eastAsia="es-CR"/>
              </w:rPr>
            </w:pPr>
          </w:p>
        </w:tc>
        <w:tc>
          <w:tcPr>
            <w:tcW w:w="988" w:type="pct"/>
            <w:vMerge/>
            <w:shd w:val="clear" w:color="auto" w:fill="auto"/>
            <w:vAlign w:val="center"/>
            <w:hideMark/>
          </w:tcPr>
          <w:p w:rsidRPr="00AE1B2B" w:rsidR="009D3FB5" w:rsidP="00163B94" w:rsidRDefault="009D3FB5" w14:paraId="430DEF5F" w14:textId="77777777">
            <w:pPr>
              <w:spacing w:before="120" w:after="120"/>
              <w:rPr>
                <w:rFonts w:ascii="Times New Roman" w:hAnsi="Times New Roman" w:eastAsia="Times New Roman" w:cs="Times New Roman"/>
                <w:sz w:val="20"/>
                <w:szCs w:val="20"/>
                <w:lang w:eastAsia="es-CR"/>
              </w:rPr>
            </w:pPr>
          </w:p>
        </w:tc>
        <w:tc>
          <w:tcPr>
            <w:tcW w:w="639" w:type="pct"/>
            <w:vMerge/>
            <w:shd w:val="clear" w:color="auto" w:fill="auto"/>
            <w:vAlign w:val="center"/>
            <w:hideMark/>
          </w:tcPr>
          <w:p w:rsidRPr="00AE1B2B" w:rsidR="009D3FB5" w:rsidP="00163B94" w:rsidRDefault="009D3FB5" w14:paraId="08A4E010" w14:textId="77777777">
            <w:pPr>
              <w:spacing w:before="120" w:after="120"/>
              <w:rPr>
                <w:rFonts w:ascii="Times New Roman" w:hAnsi="Times New Roman" w:eastAsia="Times New Roman" w:cs="Times New Roman"/>
                <w:sz w:val="20"/>
                <w:szCs w:val="20"/>
                <w:lang w:eastAsia="es-CR"/>
              </w:rPr>
            </w:pPr>
          </w:p>
        </w:tc>
        <w:tc>
          <w:tcPr>
            <w:tcW w:w="823" w:type="pct"/>
            <w:vMerge/>
            <w:shd w:val="clear" w:color="auto" w:fill="auto"/>
            <w:vAlign w:val="center"/>
            <w:hideMark/>
          </w:tcPr>
          <w:p w:rsidRPr="00AE1B2B" w:rsidR="009D3FB5" w:rsidP="00163B94" w:rsidRDefault="009D3FB5" w14:paraId="38348368" w14:textId="77777777">
            <w:pPr>
              <w:spacing w:before="120" w:after="120"/>
              <w:rPr>
                <w:rFonts w:ascii="Times New Roman" w:hAnsi="Times New Roman" w:eastAsia="Times New Roman" w:cs="Times New Roman"/>
                <w:sz w:val="20"/>
                <w:szCs w:val="20"/>
                <w:lang w:eastAsia="es-CR"/>
              </w:rPr>
            </w:pPr>
          </w:p>
        </w:tc>
        <w:tc>
          <w:tcPr>
            <w:tcW w:w="790" w:type="pct"/>
            <w:shd w:val="clear" w:color="auto" w:fill="auto"/>
            <w:noWrap/>
            <w:vAlign w:val="center"/>
            <w:hideMark/>
          </w:tcPr>
          <w:p w:rsidRPr="00AE1B2B" w:rsidR="009D3FB5" w:rsidP="00163B94" w:rsidRDefault="009D3FB5" w14:paraId="51A1EC1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431 (1)</w:t>
            </w:r>
          </w:p>
        </w:tc>
        <w:tc>
          <w:tcPr>
            <w:tcW w:w="878" w:type="pct"/>
            <w:vMerge/>
            <w:shd w:val="clear" w:color="auto" w:fill="auto"/>
            <w:vAlign w:val="center"/>
            <w:hideMark/>
          </w:tcPr>
          <w:p w:rsidRPr="00AE1B2B" w:rsidR="009D3FB5" w:rsidP="00163B94" w:rsidRDefault="009D3FB5" w14:paraId="4BEB4137" w14:textId="77777777">
            <w:pPr>
              <w:spacing w:before="120" w:after="120"/>
              <w:rPr>
                <w:rFonts w:ascii="Times New Roman" w:hAnsi="Times New Roman" w:eastAsia="Times New Roman" w:cs="Times New Roman"/>
                <w:sz w:val="20"/>
                <w:szCs w:val="20"/>
                <w:lang w:eastAsia="es-CR"/>
              </w:rPr>
            </w:pPr>
          </w:p>
        </w:tc>
      </w:tr>
      <w:tr w:rsidRPr="00AE1B2B" w:rsidR="00AE1B2B" w:rsidTr="009D3FB5" w14:paraId="4F4E3804" w14:textId="77777777">
        <w:trPr>
          <w:trHeight w:val="290"/>
        </w:trPr>
        <w:tc>
          <w:tcPr>
            <w:tcW w:w="881" w:type="pct"/>
            <w:vMerge w:val="restart"/>
            <w:shd w:val="clear" w:color="auto" w:fill="auto"/>
            <w:vAlign w:val="center"/>
            <w:hideMark/>
          </w:tcPr>
          <w:p w:rsidRPr="00AE1B2B" w:rsidR="009D3FB5" w:rsidP="00163B94" w:rsidRDefault="009D3FB5" w14:paraId="5D09ACED" w14:textId="77777777">
            <w:pPr>
              <w:spacing w:before="120" w:after="120"/>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Turrialba</w:t>
            </w:r>
          </w:p>
        </w:tc>
        <w:tc>
          <w:tcPr>
            <w:tcW w:w="988" w:type="pct"/>
            <w:vMerge w:val="restart"/>
            <w:shd w:val="clear" w:color="auto" w:fill="auto"/>
            <w:noWrap/>
            <w:vAlign w:val="center"/>
            <w:hideMark/>
          </w:tcPr>
          <w:p w:rsidRPr="00AE1B2B" w:rsidR="009D3FB5" w:rsidP="00163B94" w:rsidRDefault="009D3FB5" w14:paraId="573BDEE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478</w:t>
            </w:r>
          </w:p>
        </w:tc>
        <w:tc>
          <w:tcPr>
            <w:tcW w:w="639" w:type="pct"/>
            <w:vMerge w:val="restart"/>
            <w:shd w:val="clear" w:color="auto" w:fill="auto"/>
            <w:noWrap/>
            <w:vAlign w:val="center"/>
            <w:hideMark/>
          </w:tcPr>
          <w:p w:rsidRPr="00AE1B2B" w:rsidR="009D3FB5" w:rsidP="00163B94" w:rsidRDefault="009D3FB5" w14:paraId="2EE2555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w:t>
            </w:r>
          </w:p>
        </w:tc>
        <w:tc>
          <w:tcPr>
            <w:tcW w:w="823" w:type="pct"/>
            <w:vMerge w:val="restart"/>
            <w:shd w:val="clear" w:color="auto" w:fill="auto"/>
            <w:noWrap/>
            <w:vAlign w:val="center"/>
            <w:hideMark/>
          </w:tcPr>
          <w:p w:rsidRPr="00AE1B2B" w:rsidR="009D3FB5" w:rsidP="00163B94" w:rsidRDefault="009D3FB5" w14:paraId="3BF0271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478</w:t>
            </w:r>
          </w:p>
        </w:tc>
        <w:tc>
          <w:tcPr>
            <w:tcW w:w="790" w:type="pct"/>
            <w:shd w:val="clear" w:color="auto" w:fill="auto"/>
            <w:noWrap/>
            <w:vAlign w:val="center"/>
            <w:hideMark/>
          </w:tcPr>
          <w:p w:rsidRPr="00AE1B2B" w:rsidR="009D3FB5" w:rsidP="00163B94" w:rsidRDefault="009D3FB5" w14:paraId="0718AAA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521 (21)</w:t>
            </w:r>
          </w:p>
        </w:tc>
        <w:tc>
          <w:tcPr>
            <w:tcW w:w="878" w:type="pct"/>
            <w:vMerge w:val="restart"/>
            <w:shd w:val="clear" w:color="auto" w:fill="auto"/>
            <w:noWrap/>
            <w:vAlign w:val="center"/>
            <w:hideMark/>
          </w:tcPr>
          <w:p w:rsidRPr="00AE1B2B" w:rsidR="009D3FB5" w:rsidP="00163B94" w:rsidRDefault="009D3FB5" w14:paraId="585851F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70%</w:t>
            </w:r>
          </w:p>
        </w:tc>
      </w:tr>
      <w:tr w:rsidRPr="00AE1B2B" w:rsidR="00AE1B2B" w:rsidTr="009D3FB5" w14:paraId="0D55F2B3" w14:textId="77777777">
        <w:trPr>
          <w:trHeight w:val="290"/>
        </w:trPr>
        <w:tc>
          <w:tcPr>
            <w:tcW w:w="881" w:type="pct"/>
            <w:vMerge/>
            <w:shd w:val="clear" w:color="auto" w:fill="auto"/>
            <w:vAlign w:val="center"/>
            <w:hideMark/>
          </w:tcPr>
          <w:p w:rsidRPr="00AE1B2B" w:rsidR="009D3FB5" w:rsidP="00163B94" w:rsidRDefault="009D3FB5" w14:paraId="06C7DAE2" w14:textId="77777777">
            <w:pPr>
              <w:spacing w:before="120" w:after="120"/>
              <w:rPr>
                <w:rFonts w:ascii="Times New Roman" w:hAnsi="Times New Roman" w:eastAsia="Times New Roman" w:cs="Times New Roman"/>
                <w:sz w:val="20"/>
                <w:szCs w:val="20"/>
                <w:lang w:eastAsia="es-CR"/>
              </w:rPr>
            </w:pPr>
          </w:p>
        </w:tc>
        <w:tc>
          <w:tcPr>
            <w:tcW w:w="988" w:type="pct"/>
            <w:vMerge/>
            <w:shd w:val="clear" w:color="auto" w:fill="auto"/>
            <w:vAlign w:val="center"/>
            <w:hideMark/>
          </w:tcPr>
          <w:p w:rsidRPr="00AE1B2B" w:rsidR="009D3FB5" w:rsidP="00163B94" w:rsidRDefault="009D3FB5" w14:paraId="3C24B305" w14:textId="77777777">
            <w:pPr>
              <w:spacing w:before="120" w:after="120"/>
              <w:rPr>
                <w:rFonts w:ascii="Times New Roman" w:hAnsi="Times New Roman" w:eastAsia="Times New Roman" w:cs="Times New Roman"/>
                <w:sz w:val="20"/>
                <w:szCs w:val="20"/>
                <w:lang w:eastAsia="es-CR"/>
              </w:rPr>
            </w:pPr>
          </w:p>
        </w:tc>
        <w:tc>
          <w:tcPr>
            <w:tcW w:w="639" w:type="pct"/>
            <w:vMerge/>
            <w:shd w:val="clear" w:color="auto" w:fill="auto"/>
            <w:vAlign w:val="center"/>
            <w:hideMark/>
          </w:tcPr>
          <w:p w:rsidRPr="00AE1B2B" w:rsidR="009D3FB5" w:rsidP="00163B94" w:rsidRDefault="009D3FB5" w14:paraId="66F49304" w14:textId="77777777">
            <w:pPr>
              <w:spacing w:before="120" w:after="120"/>
              <w:rPr>
                <w:rFonts w:ascii="Times New Roman" w:hAnsi="Times New Roman" w:eastAsia="Times New Roman" w:cs="Times New Roman"/>
                <w:sz w:val="20"/>
                <w:szCs w:val="20"/>
                <w:lang w:eastAsia="es-CR"/>
              </w:rPr>
            </w:pPr>
          </w:p>
        </w:tc>
        <w:tc>
          <w:tcPr>
            <w:tcW w:w="823" w:type="pct"/>
            <w:vMerge/>
            <w:shd w:val="clear" w:color="auto" w:fill="auto"/>
            <w:vAlign w:val="center"/>
            <w:hideMark/>
          </w:tcPr>
          <w:p w:rsidRPr="00AE1B2B" w:rsidR="009D3FB5" w:rsidP="00163B94" w:rsidRDefault="009D3FB5" w14:paraId="4FB8F63D" w14:textId="77777777">
            <w:pPr>
              <w:spacing w:before="120" w:after="120"/>
              <w:rPr>
                <w:rFonts w:ascii="Times New Roman" w:hAnsi="Times New Roman" w:eastAsia="Times New Roman" w:cs="Times New Roman"/>
                <w:sz w:val="20"/>
                <w:szCs w:val="20"/>
                <w:lang w:eastAsia="es-CR"/>
              </w:rPr>
            </w:pPr>
          </w:p>
        </w:tc>
        <w:tc>
          <w:tcPr>
            <w:tcW w:w="790" w:type="pct"/>
            <w:shd w:val="clear" w:color="auto" w:fill="auto"/>
            <w:noWrap/>
            <w:vAlign w:val="center"/>
            <w:hideMark/>
          </w:tcPr>
          <w:p w:rsidRPr="00AE1B2B" w:rsidR="009D3FB5" w:rsidP="00163B94" w:rsidRDefault="009D3FB5" w14:paraId="05CB70A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135 (2)</w:t>
            </w:r>
          </w:p>
        </w:tc>
        <w:tc>
          <w:tcPr>
            <w:tcW w:w="878" w:type="pct"/>
            <w:vMerge/>
            <w:shd w:val="clear" w:color="auto" w:fill="auto"/>
            <w:vAlign w:val="center"/>
            <w:hideMark/>
          </w:tcPr>
          <w:p w:rsidRPr="00AE1B2B" w:rsidR="009D3FB5" w:rsidP="00163B94" w:rsidRDefault="009D3FB5" w14:paraId="68AE99FA" w14:textId="77777777">
            <w:pPr>
              <w:spacing w:before="120" w:after="120"/>
              <w:rPr>
                <w:rFonts w:ascii="Times New Roman" w:hAnsi="Times New Roman" w:eastAsia="Times New Roman" w:cs="Times New Roman"/>
                <w:sz w:val="20"/>
                <w:szCs w:val="20"/>
                <w:lang w:eastAsia="es-CR"/>
              </w:rPr>
            </w:pPr>
          </w:p>
        </w:tc>
      </w:tr>
      <w:tr w:rsidRPr="00AE1B2B" w:rsidR="00AE1B2B" w:rsidTr="009D3FB5" w14:paraId="5E02B3E4" w14:textId="77777777">
        <w:trPr>
          <w:trHeight w:val="290"/>
        </w:trPr>
        <w:tc>
          <w:tcPr>
            <w:tcW w:w="881" w:type="pct"/>
            <w:shd w:val="clear" w:color="auto" w:fill="auto"/>
            <w:vAlign w:val="center"/>
            <w:hideMark/>
          </w:tcPr>
          <w:p w:rsidRPr="00AE1B2B" w:rsidR="009D3FB5" w:rsidP="00163B94" w:rsidRDefault="009D3FB5" w14:paraId="354C7F91" w14:textId="77777777">
            <w:pPr>
              <w:spacing w:before="120" w:after="120"/>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lastRenderedPageBreak/>
              <w:t>Tarrazú</w:t>
            </w:r>
          </w:p>
        </w:tc>
        <w:tc>
          <w:tcPr>
            <w:tcW w:w="988" w:type="pct"/>
            <w:shd w:val="clear" w:color="auto" w:fill="auto"/>
            <w:noWrap/>
            <w:vAlign w:val="center"/>
            <w:hideMark/>
          </w:tcPr>
          <w:p w:rsidRPr="00AE1B2B" w:rsidR="009D3FB5" w:rsidP="00163B94" w:rsidRDefault="009D3FB5" w14:paraId="52C69C8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639" w:type="pct"/>
            <w:shd w:val="clear" w:color="auto" w:fill="auto"/>
            <w:noWrap/>
            <w:vAlign w:val="center"/>
            <w:hideMark/>
          </w:tcPr>
          <w:p w:rsidRPr="00AE1B2B" w:rsidR="009D3FB5" w:rsidP="00163B94" w:rsidRDefault="009D3FB5" w14:paraId="2870432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c>
          <w:tcPr>
            <w:tcW w:w="823" w:type="pct"/>
            <w:shd w:val="clear" w:color="auto" w:fill="auto"/>
            <w:noWrap/>
            <w:vAlign w:val="center"/>
            <w:hideMark/>
          </w:tcPr>
          <w:p w:rsidRPr="00AE1B2B" w:rsidR="009D3FB5" w:rsidP="00163B94" w:rsidRDefault="009D3FB5" w14:paraId="75CE2EDF" w14:textId="77777777">
            <w:pPr>
              <w:spacing w:before="120" w:after="120"/>
              <w:jc w:val="center"/>
              <w:rPr>
                <w:rFonts w:ascii="Times New Roman" w:hAnsi="Times New Roman" w:eastAsia="Times New Roman" w:cs="Times New Roman"/>
                <w:sz w:val="20"/>
                <w:szCs w:val="20"/>
                <w:lang w:eastAsia="es-CR"/>
              </w:rPr>
            </w:pPr>
          </w:p>
        </w:tc>
        <w:tc>
          <w:tcPr>
            <w:tcW w:w="790" w:type="pct"/>
            <w:shd w:val="clear" w:color="auto" w:fill="auto"/>
            <w:noWrap/>
            <w:vAlign w:val="center"/>
            <w:hideMark/>
          </w:tcPr>
          <w:p w:rsidRPr="00AE1B2B" w:rsidR="009D3FB5" w:rsidP="00163B94" w:rsidRDefault="009D3FB5" w14:paraId="01E9283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164 (1)</w:t>
            </w:r>
          </w:p>
        </w:tc>
        <w:tc>
          <w:tcPr>
            <w:tcW w:w="878" w:type="pct"/>
            <w:shd w:val="clear" w:color="auto" w:fill="auto"/>
            <w:noWrap/>
            <w:vAlign w:val="center"/>
            <w:hideMark/>
          </w:tcPr>
          <w:p w:rsidRPr="00AE1B2B" w:rsidR="009D3FB5" w:rsidP="00163B94" w:rsidRDefault="009D3FB5" w14:paraId="68B7609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r>
      <w:tr w:rsidRPr="00AE1B2B" w:rsidR="00AE1B2B" w:rsidTr="009D3FB5" w14:paraId="2D4B560E" w14:textId="77777777">
        <w:trPr>
          <w:trHeight w:val="352"/>
        </w:trPr>
        <w:tc>
          <w:tcPr>
            <w:tcW w:w="881" w:type="pct"/>
            <w:shd w:val="clear" w:color="auto" w:fill="auto"/>
            <w:vAlign w:val="center"/>
            <w:hideMark/>
          </w:tcPr>
          <w:p w:rsidRPr="00AE1B2B" w:rsidR="009D3FB5" w:rsidP="00163B94" w:rsidRDefault="009D3FB5" w14:paraId="28BC1389" w14:textId="77777777">
            <w:pPr>
              <w:spacing w:before="120" w:after="120"/>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Limón</w:t>
            </w:r>
          </w:p>
        </w:tc>
        <w:tc>
          <w:tcPr>
            <w:tcW w:w="988" w:type="pct"/>
            <w:shd w:val="clear" w:color="auto" w:fill="auto"/>
            <w:noWrap/>
            <w:vAlign w:val="center"/>
            <w:hideMark/>
          </w:tcPr>
          <w:p w:rsidRPr="00AE1B2B" w:rsidR="009D3FB5" w:rsidP="00163B94" w:rsidRDefault="009D3FB5" w14:paraId="5246433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961</w:t>
            </w:r>
          </w:p>
        </w:tc>
        <w:tc>
          <w:tcPr>
            <w:tcW w:w="639" w:type="pct"/>
            <w:vMerge w:val="restart"/>
            <w:shd w:val="clear" w:color="auto" w:fill="auto"/>
            <w:noWrap/>
            <w:vAlign w:val="center"/>
            <w:hideMark/>
          </w:tcPr>
          <w:p w:rsidRPr="00AE1B2B" w:rsidR="009D3FB5" w:rsidP="00163B94" w:rsidRDefault="009D3FB5" w14:paraId="6C8D63A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w:t>
            </w:r>
          </w:p>
        </w:tc>
        <w:tc>
          <w:tcPr>
            <w:tcW w:w="823" w:type="pct"/>
            <w:vMerge w:val="restart"/>
            <w:shd w:val="clear" w:color="auto" w:fill="auto"/>
            <w:noWrap/>
            <w:vAlign w:val="center"/>
            <w:hideMark/>
          </w:tcPr>
          <w:p w:rsidRPr="00AE1B2B" w:rsidR="009D3FB5" w:rsidP="00163B94" w:rsidRDefault="009D3FB5" w14:paraId="0734F33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474</w:t>
            </w:r>
          </w:p>
        </w:tc>
        <w:tc>
          <w:tcPr>
            <w:tcW w:w="790" w:type="pct"/>
            <w:shd w:val="clear" w:color="auto" w:fill="auto"/>
            <w:noWrap/>
            <w:vAlign w:val="center"/>
            <w:hideMark/>
          </w:tcPr>
          <w:p w:rsidRPr="00AE1B2B" w:rsidR="009D3FB5" w:rsidP="00163B94" w:rsidRDefault="009D3FB5" w14:paraId="1563F82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1014 (10)</w:t>
            </w:r>
          </w:p>
        </w:tc>
        <w:tc>
          <w:tcPr>
            <w:tcW w:w="878" w:type="pct"/>
            <w:vMerge w:val="restart"/>
            <w:shd w:val="clear" w:color="auto" w:fill="auto"/>
            <w:noWrap/>
            <w:vAlign w:val="center"/>
            <w:hideMark/>
          </w:tcPr>
          <w:p w:rsidRPr="00AE1B2B" w:rsidR="009D3FB5" w:rsidP="00163B94" w:rsidRDefault="009D3FB5" w14:paraId="3732A75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95%</w:t>
            </w:r>
          </w:p>
        </w:tc>
      </w:tr>
      <w:tr w:rsidRPr="00AE1B2B" w:rsidR="00AE1B2B" w:rsidTr="009D3FB5" w14:paraId="292285E8" w14:textId="77777777">
        <w:trPr>
          <w:trHeight w:val="290"/>
        </w:trPr>
        <w:tc>
          <w:tcPr>
            <w:tcW w:w="881" w:type="pct"/>
            <w:shd w:val="clear" w:color="auto" w:fill="auto"/>
            <w:vAlign w:val="center"/>
            <w:hideMark/>
          </w:tcPr>
          <w:p w:rsidRPr="00AE1B2B" w:rsidR="009D3FB5" w:rsidP="00163B94" w:rsidRDefault="009D3FB5" w14:paraId="3E312490" w14:textId="77777777">
            <w:pPr>
              <w:spacing w:before="120" w:after="120"/>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Bataán</w:t>
            </w:r>
          </w:p>
        </w:tc>
        <w:tc>
          <w:tcPr>
            <w:tcW w:w="988" w:type="pct"/>
            <w:shd w:val="clear" w:color="auto" w:fill="auto"/>
            <w:noWrap/>
            <w:vAlign w:val="center"/>
            <w:hideMark/>
          </w:tcPr>
          <w:p w:rsidRPr="00AE1B2B" w:rsidR="009D3FB5" w:rsidP="00163B94" w:rsidRDefault="009D3FB5" w14:paraId="7E547B1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461</w:t>
            </w:r>
          </w:p>
        </w:tc>
        <w:tc>
          <w:tcPr>
            <w:tcW w:w="639" w:type="pct"/>
            <w:vMerge/>
            <w:shd w:val="clear" w:color="auto" w:fill="auto"/>
            <w:vAlign w:val="center"/>
            <w:hideMark/>
          </w:tcPr>
          <w:p w:rsidRPr="00AE1B2B" w:rsidR="009D3FB5" w:rsidP="00163B94" w:rsidRDefault="009D3FB5" w14:paraId="0A03B000" w14:textId="77777777">
            <w:pPr>
              <w:spacing w:before="120" w:after="120"/>
              <w:rPr>
                <w:rFonts w:ascii="Times New Roman" w:hAnsi="Times New Roman" w:eastAsia="Times New Roman" w:cs="Times New Roman"/>
                <w:sz w:val="20"/>
                <w:szCs w:val="20"/>
                <w:lang w:eastAsia="es-CR"/>
              </w:rPr>
            </w:pPr>
          </w:p>
        </w:tc>
        <w:tc>
          <w:tcPr>
            <w:tcW w:w="823" w:type="pct"/>
            <w:vMerge/>
            <w:shd w:val="clear" w:color="auto" w:fill="auto"/>
            <w:vAlign w:val="center"/>
            <w:hideMark/>
          </w:tcPr>
          <w:p w:rsidRPr="00AE1B2B" w:rsidR="009D3FB5" w:rsidP="00163B94" w:rsidRDefault="009D3FB5" w14:paraId="4A83A6C6" w14:textId="77777777">
            <w:pPr>
              <w:spacing w:before="120" w:after="120"/>
              <w:rPr>
                <w:rFonts w:ascii="Times New Roman" w:hAnsi="Times New Roman" w:eastAsia="Times New Roman" w:cs="Times New Roman"/>
                <w:sz w:val="20"/>
                <w:szCs w:val="20"/>
                <w:lang w:eastAsia="es-CR"/>
              </w:rPr>
            </w:pPr>
          </w:p>
        </w:tc>
        <w:tc>
          <w:tcPr>
            <w:tcW w:w="790" w:type="pct"/>
            <w:shd w:val="clear" w:color="auto" w:fill="auto"/>
            <w:noWrap/>
            <w:vAlign w:val="center"/>
            <w:hideMark/>
          </w:tcPr>
          <w:p w:rsidRPr="00AE1B2B" w:rsidR="009D3FB5" w:rsidP="00163B94" w:rsidRDefault="009D3FB5" w14:paraId="37A1CB4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463 (3)</w:t>
            </w:r>
          </w:p>
        </w:tc>
        <w:tc>
          <w:tcPr>
            <w:tcW w:w="878" w:type="pct"/>
            <w:vMerge/>
            <w:shd w:val="clear" w:color="auto" w:fill="auto"/>
            <w:vAlign w:val="center"/>
            <w:hideMark/>
          </w:tcPr>
          <w:p w:rsidRPr="00AE1B2B" w:rsidR="009D3FB5" w:rsidP="00163B94" w:rsidRDefault="009D3FB5" w14:paraId="55012CDA" w14:textId="77777777">
            <w:pPr>
              <w:spacing w:before="120" w:after="120"/>
              <w:rPr>
                <w:rFonts w:ascii="Times New Roman" w:hAnsi="Times New Roman" w:eastAsia="Times New Roman" w:cs="Times New Roman"/>
                <w:sz w:val="20"/>
                <w:szCs w:val="20"/>
                <w:lang w:eastAsia="es-CR"/>
              </w:rPr>
            </w:pPr>
          </w:p>
        </w:tc>
      </w:tr>
      <w:tr w:rsidRPr="00AE1B2B" w:rsidR="00AE1B2B" w:rsidTr="009D3FB5" w14:paraId="64117225" w14:textId="77777777">
        <w:trPr>
          <w:trHeight w:val="290"/>
        </w:trPr>
        <w:tc>
          <w:tcPr>
            <w:tcW w:w="881" w:type="pct"/>
            <w:shd w:val="clear" w:color="auto" w:fill="auto"/>
            <w:vAlign w:val="center"/>
            <w:hideMark/>
          </w:tcPr>
          <w:p w:rsidRPr="00AE1B2B" w:rsidR="009D3FB5" w:rsidP="00163B94" w:rsidRDefault="009D3FB5" w14:paraId="2C77DF89" w14:textId="77777777">
            <w:pPr>
              <w:spacing w:before="120" w:after="120"/>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Bribrí</w:t>
            </w:r>
          </w:p>
        </w:tc>
        <w:tc>
          <w:tcPr>
            <w:tcW w:w="988" w:type="pct"/>
            <w:shd w:val="clear" w:color="auto" w:fill="auto"/>
            <w:noWrap/>
            <w:vAlign w:val="center"/>
            <w:hideMark/>
          </w:tcPr>
          <w:p w:rsidRPr="00AE1B2B" w:rsidR="009D3FB5" w:rsidP="00163B94" w:rsidRDefault="009D3FB5" w14:paraId="0DC764D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377</w:t>
            </w:r>
          </w:p>
        </w:tc>
        <w:tc>
          <w:tcPr>
            <w:tcW w:w="639" w:type="pct"/>
            <w:shd w:val="clear" w:color="auto" w:fill="auto"/>
            <w:noWrap/>
            <w:vAlign w:val="center"/>
            <w:hideMark/>
          </w:tcPr>
          <w:p w:rsidRPr="00AE1B2B" w:rsidR="009D3FB5" w:rsidP="00163B94" w:rsidRDefault="009D3FB5" w14:paraId="357425F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w:t>
            </w:r>
          </w:p>
        </w:tc>
        <w:tc>
          <w:tcPr>
            <w:tcW w:w="823" w:type="pct"/>
            <w:shd w:val="clear" w:color="auto" w:fill="auto"/>
            <w:noWrap/>
            <w:vAlign w:val="center"/>
            <w:hideMark/>
          </w:tcPr>
          <w:p w:rsidRPr="00AE1B2B" w:rsidR="009D3FB5" w:rsidP="00163B94" w:rsidRDefault="009D3FB5" w14:paraId="43E0F50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377</w:t>
            </w:r>
          </w:p>
        </w:tc>
        <w:tc>
          <w:tcPr>
            <w:tcW w:w="790" w:type="pct"/>
            <w:shd w:val="clear" w:color="auto" w:fill="auto"/>
            <w:noWrap/>
            <w:vAlign w:val="center"/>
            <w:hideMark/>
          </w:tcPr>
          <w:p w:rsidRPr="00AE1B2B" w:rsidR="009D3FB5" w:rsidP="00163B94" w:rsidRDefault="009D3FB5" w14:paraId="2825034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304 (88)</w:t>
            </w:r>
          </w:p>
        </w:tc>
        <w:tc>
          <w:tcPr>
            <w:tcW w:w="878" w:type="pct"/>
            <w:shd w:val="clear" w:color="auto" w:fill="auto"/>
            <w:noWrap/>
            <w:vAlign w:val="center"/>
            <w:hideMark/>
          </w:tcPr>
          <w:p w:rsidRPr="00AE1B2B" w:rsidR="009D3FB5" w:rsidP="00163B94" w:rsidRDefault="009D3FB5" w14:paraId="2EFABC2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96%</w:t>
            </w:r>
          </w:p>
        </w:tc>
      </w:tr>
    </w:tbl>
    <w:p w:rsidRPr="00AE1B2B" w:rsidR="009D3FB5" w:rsidP="00163B94" w:rsidRDefault="009D3FB5" w14:paraId="0C54DBF2" w14:textId="69AB6335">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b/>
          <w:bCs/>
          <w:sz w:val="26"/>
          <w:szCs w:val="26"/>
        </w:rPr>
        <w:t>Fuente:</w:t>
      </w:r>
      <w:r w:rsidRPr="00AE1B2B">
        <w:rPr>
          <w:rFonts w:ascii="Times New Roman" w:hAnsi="Times New Roman" w:eastAsia="Arial" w:cs="Times New Roman"/>
          <w:sz w:val="26"/>
          <w:szCs w:val="26"/>
        </w:rPr>
        <w:t xml:space="preserve"> Subproceso de Modernización Institucional de la Dirección de Planificación, con datos facilitados por la Administración de la Defensa Pública.</w:t>
      </w:r>
    </w:p>
    <w:p w:rsidRPr="00AE1B2B" w:rsidR="008F4340" w:rsidP="00163B94" w:rsidRDefault="008F4340" w14:paraId="6F09D2E0"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2E8698F9" w14:textId="66EBC76B">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La cifra que se encuentra dentro de paréntesis en la columna “</w:t>
      </w:r>
      <w:r w:rsidRPr="00AE1B2B">
        <w:rPr>
          <w:rFonts w:ascii="Times New Roman" w:hAnsi="Times New Roman" w:eastAsia="Arial" w:cs="Times New Roman"/>
          <w:i/>
          <w:iCs/>
          <w:sz w:val="26"/>
          <w:szCs w:val="26"/>
        </w:rPr>
        <w:t>Entrada promedio anual jurisdiccional (todos los usuarios)</w:t>
      </w:r>
      <w:r w:rsidRPr="00AE1B2B">
        <w:rPr>
          <w:rFonts w:ascii="Times New Roman" w:hAnsi="Times New Roman" w:eastAsia="Arial" w:cs="Times New Roman"/>
          <w:sz w:val="26"/>
          <w:szCs w:val="26"/>
        </w:rPr>
        <w:t>” indica la cantidad de procesos judiciales con personas indígenas respecto a la entrada total. Por ejemplo, para la oficina de Pérez Zeledón se reporta un ingreso promedio anual de 863 asuntos alimenticios, de los cuales 4 son con persona indígena en calidad de interviniente.</w:t>
      </w:r>
    </w:p>
    <w:p w:rsidRPr="00AE1B2B" w:rsidR="008F4340" w:rsidP="00163B94" w:rsidRDefault="008F4340" w14:paraId="7E4E515F"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7CA75BEC" w14:textId="1D94B33B">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En los datos del área jurisdiccional se consideró los asuntos entrados principales, debido a que el presente análisis es enfocado en determinar la representación de la Defensa Pública con respecto a los diferentes despachos y, bajo el supuesto de que todas las personas indígenas requieren del servicio gratuito. En la memoria de calculo adjunto en el apartado </w:t>
      </w:r>
      <w:r w:rsidRPr="00AE1B2B">
        <w:rPr>
          <w:rFonts w:ascii="Times New Roman" w:hAnsi="Times New Roman" w:eastAsia="Arial" w:cs="Times New Roman"/>
          <w:b/>
          <w:bCs/>
          <w:sz w:val="26"/>
          <w:szCs w:val="26"/>
        </w:rPr>
        <w:t xml:space="preserve">X. Anexos </w:t>
      </w:r>
      <w:r w:rsidRPr="00AE1B2B">
        <w:rPr>
          <w:rFonts w:ascii="Times New Roman" w:hAnsi="Times New Roman" w:eastAsia="Arial" w:cs="Times New Roman"/>
          <w:sz w:val="26"/>
          <w:szCs w:val="26"/>
        </w:rPr>
        <w:t>se aprecia el detalle de la interacción de las oficinas de la Defensa Pública con el área jurisdiccional, ya que personas defensoras que atienen la demanda de varios juzgados por la dinámica de colaboración que se ha adoptado.</w:t>
      </w:r>
    </w:p>
    <w:p w:rsidRPr="00AE1B2B" w:rsidR="008F4340" w:rsidP="00163B94" w:rsidRDefault="008F4340" w14:paraId="6CACB2E0"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3B7E7A46" w14:textId="3857306A">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Primero, para analizar las cargas y la dinámica de trabajo de la zona sur (</w:t>
      </w:r>
      <w:r w:rsidRPr="00AE1B2B">
        <w:rPr>
          <w:rFonts w:ascii="Times New Roman" w:hAnsi="Times New Roman" w:eastAsia="Arial" w:cs="Times New Roman"/>
          <w:i/>
          <w:iCs/>
          <w:sz w:val="26"/>
          <w:szCs w:val="26"/>
        </w:rPr>
        <w:t>primer y segundo circuito judicial</w:t>
      </w:r>
      <w:r w:rsidRPr="00AE1B2B">
        <w:rPr>
          <w:rFonts w:ascii="Times New Roman" w:hAnsi="Times New Roman" w:eastAsia="Arial" w:cs="Times New Roman"/>
          <w:sz w:val="26"/>
          <w:szCs w:val="26"/>
        </w:rPr>
        <w:t>) se tiene que, la oficina de Pérez Zeledón (</w:t>
      </w:r>
      <w:r w:rsidRPr="00AE1B2B">
        <w:rPr>
          <w:rFonts w:ascii="Times New Roman" w:hAnsi="Times New Roman" w:eastAsia="Arial" w:cs="Times New Roman"/>
          <w:i/>
          <w:iCs/>
          <w:sz w:val="26"/>
          <w:szCs w:val="26"/>
        </w:rPr>
        <w:t>Defensa Pública I Circuito Judicial Zona Sur</w:t>
      </w:r>
      <w:r w:rsidRPr="00AE1B2B">
        <w:rPr>
          <w:rFonts w:ascii="Times New Roman" w:hAnsi="Times New Roman" w:eastAsia="Arial" w:cs="Times New Roman"/>
          <w:sz w:val="26"/>
          <w:szCs w:val="26"/>
        </w:rPr>
        <w:t xml:space="preserve">) atiende por recargo los asuntos entrados de Buenos Aires, ya que una persona defensora se traslada dos días por semana y otra persona defensora se traslada un día para atender los intereses contrapuestos; dicha carga de trabajo se traduce en un promedio de ingreso anual promedio por persona defensora de 252 expedientes anuales, sin embargo, hay que recalcar que al no contar un recurso de persona defensora la oficina de Buenos Aires brinda el servicio de Pensiones Alimentarias únicamente dos días por semana. La oficina de Golfito y de Corredores mantiene una persona defensora, que tiene un ingreso mensual de 205 y 445, respectivamente; estando el </w:t>
      </w:r>
      <w:r w:rsidRPr="00AE1B2B">
        <w:rPr>
          <w:rFonts w:ascii="Times New Roman" w:hAnsi="Times New Roman" w:eastAsia="Arial" w:cs="Times New Roman"/>
          <w:sz w:val="26"/>
          <w:szCs w:val="26"/>
        </w:rPr>
        <w:lastRenderedPageBreak/>
        <w:t>profesional de Corredores por encima de la entrada promedio anual recomendada. Las oficinas de Osa y Coto Brus no cuentan con personal defensor alimentario.</w:t>
      </w:r>
    </w:p>
    <w:p w:rsidRPr="00AE1B2B" w:rsidR="008F4340" w:rsidP="00163B94" w:rsidRDefault="008F4340" w14:paraId="03E921DC"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7E25ADE9" w14:textId="21C4B61D">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Aunado a esto, se extrajo la información correspondiente al área jurisdiccional y se infiere estadísticamente que, de la entrada los juzgados que tramitan asuntos de Pensiones Alimentarias con los que interactúan las oficinas de la Defensa Pública del Primer y Segundo Circuito de la Zona Sur, el 5% de los expedientes tienen al menos una persona usuaria indígena en calidad de interviniente y, es a esta población a la que se debería brindar representación gratuita cuando son demandados. Este porcentaje se traduce en aproximadamente 136 expedientes anuales, donde 100 de ellos son reportados por el Juzgado Contravencional de Buenos Aires (materia Pensiones Alimentarias). Y, por recargo las plazas de Pensiones Alimentarias han asumido la representación de personas usuarias indígenas en asuntos de Familia, donde el Juzgado Civil, Trabajo Y Familia de Buenos Aires (</w:t>
      </w:r>
      <w:r w:rsidRPr="00AE1B2B">
        <w:rPr>
          <w:rFonts w:ascii="Times New Roman" w:hAnsi="Times New Roman" w:eastAsia="Arial" w:cs="Times New Roman"/>
          <w:i/>
          <w:iCs/>
          <w:sz w:val="26"/>
          <w:szCs w:val="26"/>
        </w:rPr>
        <w:t>materia Familia</w:t>
      </w:r>
      <w:r w:rsidRPr="00AE1B2B">
        <w:rPr>
          <w:rFonts w:ascii="Times New Roman" w:hAnsi="Times New Roman" w:eastAsia="Arial" w:cs="Times New Roman"/>
          <w:sz w:val="26"/>
          <w:szCs w:val="26"/>
        </w:rPr>
        <w:t>), el Juzgado De Familia Y Violencia Doméstica del II Circuito Judicial De La Zona Sur (</w:t>
      </w:r>
      <w:r w:rsidRPr="00AE1B2B">
        <w:rPr>
          <w:rFonts w:ascii="Times New Roman" w:hAnsi="Times New Roman" w:eastAsia="Arial" w:cs="Times New Roman"/>
          <w:i/>
          <w:iCs/>
          <w:sz w:val="26"/>
          <w:szCs w:val="26"/>
        </w:rPr>
        <w:t>Corredores</w:t>
      </w:r>
      <w:r w:rsidRPr="00AE1B2B">
        <w:rPr>
          <w:rFonts w:ascii="Times New Roman" w:hAnsi="Times New Roman" w:eastAsia="Arial" w:cs="Times New Roman"/>
          <w:sz w:val="26"/>
          <w:szCs w:val="26"/>
        </w:rPr>
        <w:t>) (</w:t>
      </w:r>
      <w:r w:rsidRPr="00AE1B2B">
        <w:rPr>
          <w:rFonts w:ascii="Times New Roman" w:hAnsi="Times New Roman" w:eastAsia="Arial" w:cs="Times New Roman"/>
          <w:i/>
          <w:iCs/>
          <w:sz w:val="26"/>
          <w:szCs w:val="26"/>
        </w:rPr>
        <w:t>materia Familia</w:t>
      </w:r>
      <w:r w:rsidRPr="00AE1B2B">
        <w:rPr>
          <w:rFonts w:ascii="Times New Roman" w:hAnsi="Times New Roman" w:eastAsia="Arial" w:cs="Times New Roman"/>
          <w:sz w:val="26"/>
          <w:szCs w:val="26"/>
        </w:rPr>
        <w:t>) y, el Juzgado Civil, Trabajo Y Familia De Osa (materia Familia) reportan 28, 7 y 2 asuntos entrados en promedio al año, respectivamente.</w:t>
      </w:r>
    </w:p>
    <w:p w:rsidRPr="00AE1B2B" w:rsidR="008F4340" w:rsidP="00163B94" w:rsidRDefault="008F4340" w14:paraId="128B2B10"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068DC5B9" w14:textId="7FFFC4F3">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Segundo, para analizar la dinámica de trabajo de las oficinas de Guatuso y Upala, se tiene que la persona defensora de Upala se traslada a Guatuso para la atención de la demanda de la zona, siendo la entrada promedio anual de 310 asuntos para la Defensa Pública de Upala y de, 147 asuntos para Defensa Pública de Guatuso; para un promedio anual de 457 expedientes, estando por encima de la entrada recomendada para una Defensora o Defensor Público de Pensiones Alimentarias. Asimismo, el Juzgado Contravencional de Upala (</w:t>
      </w:r>
      <w:r w:rsidRPr="00AE1B2B">
        <w:rPr>
          <w:rFonts w:ascii="Times New Roman" w:hAnsi="Times New Roman" w:eastAsia="Arial" w:cs="Times New Roman"/>
          <w:i/>
          <w:iCs/>
          <w:sz w:val="26"/>
          <w:szCs w:val="26"/>
        </w:rPr>
        <w:t>materia Pensiones Alimentarias</w:t>
      </w:r>
      <w:r w:rsidRPr="00AE1B2B">
        <w:rPr>
          <w:rFonts w:ascii="Times New Roman" w:hAnsi="Times New Roman" w:eastAsia="Arial" w:cs="Times New Roman"/>
          <w:sz w:val="26"/>
          <w:szCs w:val="26"/>
        </w:rPr>
        <w:t>) y, el Juzgado Contravencional de Guatuso (</w:t>
      </w:r>
      <w:r w:rsidRPr="00AE1B2B">
        <w:rPr>
          <w:rFonts w:ascii="Times New Roman" w:hAnsi="Times New Roman" w:eastAsia="Arial" w:cs="Times New Roman"/>
          <w:i/>
          <w:iCs/>
          <w:sz w:val="26"/>
          <w:szCs w:val="26"/>
        </w:rPr>
        <w:t>materia Pensiones Alimentarias</w:t>
      </w:r>
      <w:r w:rsidRPr="00AE1B2B">
        <w:rPr>
          <w:rFonts w:ascii="Times New Roman" w:hAnsi="Times New Roman" w:eastAsia="Arial" w:cs="Times New Roman"/>
          <w:sz w:val="26"/>
          <w:szCs w:val="26"/>
        </w:rPr>
        <w:t>) reportan una entrada promedio anual de 420 y 171 asuntos, respectivamente, donde 1 y 4 de ellos tienen al menos una persona usuaria indígena en calidad de interviniente (</w:t>
      </w:r>
      <w:r w:rsidRPr="00AE1B2B">
        <w:rPr>
          <w:rFonts w:ascii="Times New Roman" w:hAnsi="Times New Roman" w:eastAsia="Arial" w:cs="Times New Roman"/>
          <w:i/>
          <w:iCs/>
          <w:sz w:val="26"/>
          <w:szCs w:val="26"/>
        </w:rPr>
        <w:t>menos del 1% de la entrada</w:t>
      </w:r>
      <w:r w:rsidRPr="00AE1B2B">
        <w:rPr>
          <w:rFonts w:ascii="Times New Roman" w:hAnsi="Times New Roman" w:eastAsia="Arial" w:cs="Times New Roman"/>
          <w:sz w:val="26"/>
          <w:szCs w:val="26"/>
        </w:rPr>
        <w:t>).</w:t>
      </w:r>
    </w:p>
    <w:p w:rsidRPr="00AE1B2B" w:rsidR="008F4340" w:rsidP="00163B94" w:rsidRDefault="008F4340" w14:paraId="12338AB4"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07E70A46" w14:textId="5E5CC892">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Tercero, para analizar las cargas de trabajo del circuito de Cartago se tiene que, la oficina de Cartago cuenta con cinco personas defensoras en materia alimentaria y, Turrialba cuenta con una. También, Cartago brinda colaboración a Turrialba para la atención de </w:t>
      </w:r>
      <w:r w:rsidRPr="00AE1B2B">
        <w:rPr>
          <w:rFonts w:ascii="Times New Roman" w:hAnsi="Times New Roman" w:eastAsia="Arial" w:cs="Times New Roman"/>
          <w:sz w:val="26"/>
          <w:szCs w:val="26"/>
        </w:rPr>
        <w:lastRenderedPageBreak/>
        <w:t>personas indígenas demandadas. El Juzgado Contravencional de Cartago reporta en promedio una entrada de 1883 asuntos, donde 2 de ellos tienen al menos una persona indígena en calidad de interviniente. El Juzgado Contravencional de Turrialba (</w:t>
      </w:r>
      <w:r w:rsidRPr="00AE1B2B">
        <w:rPr>
          <w:rFonts w:ascii="Times New Roman" w:hAnsi="Times New Roman" w:eastAsia="Arial" w:cs="Times New Roman"/>
          <w:i/>
          <w:iCs/>
          <w:sz w:val="26"/>
          <w:szCs w:val="26"/>
        </w:rPr>
        <w:t>materia Pensiones Alimentarias</w:t>
      </w:r>
      <w:r w:rsidRPr="00AE1B2B">
        <w:rPr>
          <w:rFonts w:ascii="Times New Roman" w:hAnsi="Times New Roman" w:eastAsia="Arial" w:cs="Times New Roman"/>
          <w:sz w:val="26"/>
          <w:szCs w:val="26"/>
        </w:rPr>
        <w:t>) y el Juzgado Contravencional de Jiménez (</w:t>
      </w:r>
      <w:r w:rsidRPr="00AE1B2B">
        <w:rPr>
          <w:rFonts w:ascii="Times New Roman" w:hAnsi="Times New Roman" w:eastAsia="Arial" w:cs="Times New Roman"/>
          <w:i/>
          <w:iCs/>
          <w:sz w:val="26"/>
          <w:szCs w:val="26"/>
        </w:rPr>
        <w:t>materia Pensiones Alimentarias</w:t>
      </w:r>
      <w:r w:rsidRPr="00AE1B2B">
        <w:rPr>
          <w:rFonts w:ascii="Times New Roman" w:hAnsi="Times New Roman" w:eastAsia="Arial" w:cs="Times New Roman"/>
          <w:sz w:val="26"/>
          <w:szCs w:val="26"/>
        </w:rPr>
        <w:t>) reportan en promedio una entrada anual de 521 y 135 asuntos, respectivamente, donde 21 y 2 de ellos son con persona usuaria indígena. Aunado a esto, Juzgado Familia, Penal Juvenil Y Violencia Doméstica De Turrialba (</w:t>
      </w:r>
      <w:r w:rsidRPr="00AE1B2B">
        <w:rPr>
          <w:rFonts w:ascii="Times New Roman" w:hAnsi="Times New Roman" w:eastAsia="Arial" w:cs="Times New Roman"/>
          <w:i/>
          <w:iCs/>
          <w:sz w:val="26"/>
          <w:szCs w:val="26"/>
        </w:rPr>
        <w:t>materia Familia</w:t>
      </w:r>
      <w:r w:rsidRPr="00AE1B2B">
        <w:rPr>
          <w:rFonts w:ascii="Times New Roman" w:hAnsi="Times New Roman" w:eastAsia="Arial" w:cs="Times New Roman"/>
          <w:sz w:val="26"/>
          <w:szCs w:val="26"/>
        </w:rPr>
        <w:t>) reporta el ingreso anual promedio de cinco expedientes con persona usuaria indígena. La entrada promedio anual de la Defensora o Defensor Público de Turrialba es de 478 asuntos, estando por encima de la recomendada. Y, el personal defensor de Cartago reporta en promedio una entrada anual de 319 asuntos, inferior a la recomendada; sin embargo, se tiene que considerar que un profesional se traslada a la oficina de Turrialba.</w:t>
      </w:r>
    </w:p>
    <w:p w:rsidRPr="00AE1B2B" w:rsidR="008F4340" w:rsidP="00163B94" w:rsidRDefault="008F4340" w14:paraId="2887772F"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581DE85" w14:textId="6FF4205C">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Cuarto, para analizar la atención de asuntos del Primer Circuito de la Zona Atlántica es importante aclarar que, la oficina de Limón cuenta con tres personas defensoras en materia alimentaria y la oficina de Bribri cuenta con una. También, hay que considerar que una persona defensora de Limón se traslada a Bribri para colaborar con la representación de personas usuarias indígenas demandadas y, otra persona defensora se traslada a Matina para brindar el servicio en la zona (</w:t>
      </w:r>
      <w:r w:rsidRPr="00AE1B2B">
        <w:rPr>
          <w:rFonts w:ascii="Times New Roman" w:hAnsi="Times New Roman" w:eastAsia="Arial" w:cs="Times New Roman"/>
          <w:i/>
          <w:iCs/>
          <w:sz w:val="26"/>
          <w:szCs w:val="26"/>
        </w:rPr>
        <w:t>a todas las personas usuarias</w:t>
      </w:r>
      <w:r w:rsidRPr="00AE1B2B">
        <w:rPr>
          <w:rFonts w:ascii="Times New Roman" w:hAnsi="Times New Roman" w:eastAsia="Arial" w:cs="Times New Roman"/>
          <w:sz w:val="26"/>
          <w:szCs w:val="26"/>
        </w:rPr>
        <w:t>). En cuanto a la entrada del área jurisdiccional se tiene que, el Juzgado Contravencional de Bribri (</w:t>
      </w:r>
      <w:r w:rsidRPr="00AE1B2B">
        <w:rPr>
          <w:rFonts w:ascii="Times New Roman" w:hAnsi="Times New Roman" w:eastAsia="Arial" w:cs="Times New Roman"/>
          <w:i/>
          <w:iCs/>
          <w:sz w:val="26"/>
          <w:szCs w:val="26"/>
        </w:rPr>
        <w:t>materia Pensiones Alimentarias</w:t>
      </w:r>
      <w:r w:rsidRPr="00AE1B2B">
        <w:rPr>
          <w:rFonts w:ascii="Times New Roman" w:hAnsi="Times New Roman" w:eastAsia="Arial" w:cs="Times New Roman"/>
          <w:sz w:val="26"/>
          <w:szCs w:val="26"/>
        </w:rPr>
        <w:t>) reporta un ingreso promedio anual de 304 asuntos, donde 88 de ellos cuenta con persona usuaria indígena (</w:t>
      </w:r>
      <w:r w:rsidRPr="00AE1B2B">
        <w:rPr>
          <w:rFonts w:ascii="Times New Roman" w:hAnsi="Times New Roman" w:eastAsia="Arial" w:cs="Times New Roman"/>
          <w:i/>
          <w:iCs/>
          <w:sz w:val="26"/>
          <w:szCs w:val="26"/>
        </w:rPr>
        <w:t>requiere doble representación: actores y demandados</w:t>
      </w:r>
      <w:r w:rsidRPr="00AE1B2B">
        <w:rPr>
          <w:rFonts w:ascii="Times New Roman" w:hAnsi="Times New Roman" w:eastAsia="Arial" w:cs="Times New Roman"/>
          <w:sz w:val="26"/>
          <w:szCs w:val="26"/>
        </w:rPr>
        <w:t>) y, se estima que un 96% de la entrada jurisdiccional es atendido por la representación pública. El Juzgado Contravencional del I Circuito de la Zona Atlántica (</w:t>
      </w:r>
      <w:r w:rsidRPr="00AE1B2B">
        <w:rPr>
          <w:rFonts w:ascii="Times New Roman" w:hAnsi="Times New Roman" w:eastAsia="Arial" w:cs="Times New Roman"/>
          <w:i/>
          <w:iCs/>
          <w:sz w:val="26"/>
          <w:szCs w:val="26"/>
        </w:rPr>
        <w:t>materia Pensiones Alimentarias</w:t>
      </w:r>
      <w:r w:rsidRPr="00AE1B2B">
        <w:rPr>
          <w:rFonts w:ascii="Times New Roman" w:hAnsi="Times New Roman" w:eastAsia="Arial" w:cs="Times New Roman"/>
          <w:sz w:val="26"/>
          <w:szCs w:val="26"/>
        </w:rPr>
        <w:t>) y el Juzgado Contravencional de Matina (</w:t>
      </w:r>
      <w:r w:rsidRPr="00AE1B2B">
        <w:rPr>
          <w:rFonts w:ascii="Times New Roman" w:hAnsi="Times New Roman" w:eastAsia="Arial" w:cs="Times New Roman"/>
          <w:i/>
          <w:iCs/>
          <w:sz w:val="26"/>
          <w:szCs w:val="26"/>
        </w:rPr>
        <w:t>materia Pensiones Alimentarias</w:t>
      </w:r>
      <w:r w:rsidRPr="00AE1B2B">
        <w:rPr>
          <w:rFonts w:ascii="Times New Roman" w:hAnsi="Times New Roman" w:eastAsia="Arial" w:cs="Times New Roman"/>
          <w:sz w:val="26"/>
          <w:szCs w:val="26"/>
        </w:rPr>
        <w:t>) reportan 1014 y 304 asuntos entrados en promedio anuales, respectivamente, donde 10 y 3 son con persona usuaria indígena. Respecto a la carga de trabajo de las cuatro personas defensoras, las tres plazas de Limón reportan un ingreso anual promedio de 474 asuntos, estando por encima de lo recomendado y, hay que considerar que estas plazas se trasladan para colaborar a otras oficinas y que mantienen el recargo de los asuntos de Familia de personas usuarias indígenas (</w:t>
      </w:r>
      <w:r w:rsidRPr="00AE1B2B">
        <w:rPr>
          <w:rFonts w:ascii="Times New Roman" w:hAnsi="Times New Roman" w:eastAsia="Arial" w:cs="Times New Roman"/>
          <w:i/>
          <w:iCs/>
          <w:sz w:val="26"/>
          <w:szCs w:val="26"/>
        </w:rPr>
        <w:t>10 expedientes en promedio por año</w:t>
      </w:r>
      <w:r w:rsidRPr="00AE1B2B">
        <w:rPr>
          <w:rFonts w:ascii="Times New Roman" w:hAnsi="Times New Roman" w:eastAsia="Arial" w:cs="Times New Roman"/>
          <w:sz w:val="26"/>
          <w:szCs w:val="26"/>
        </w:rPr>
        <w:t xml:space="preserve">). En ese sentido, se detecta la necesidad de una plaza de persona defensora para la </w:t>
      </w:r>
      <w:r w:rsidRPr="00AE1B2B">
        <w:rPr>
          <w:rFonts w:ascii="Times New Roman" w:hAnsi="Times New Roman" w:eastAsia="Arial" w:cs="Times New Roman"/>
          <w:sz w:val="26"/>
          <w:szCs w:val="26"/>
        </w:rPr>
        <w:lastRenderedPageBreak/>
        <w:t>atención de personas usuarias indígenas demandadas en la zona, tal y como se recomendó en el informe 507-PLA-RH-MI-2020; esta plaza se estima que tenga un promedio de ingreso anual de 101 asuntos con persona usuaria indígena en calidad de demandado, estando por debajo de la entrada recomendada.</w:t>
      </w:r>
    </w:p>
    <w:p w:rsidRPr="00AE1B2B" w:rsidR="009D3FB5" w:rsidP="00163B94" w:rsidRDefault="009D3FB5" w14:paraId="22426BE9" w14:textId="497E8F1A">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69328A15" w14:textId="6F4DD8F1">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Atención de asuntos laborales</w:t>
      </w:r>
    </w:p>
    <w:p w:rsidRPr="00AE1B2B" w:rsidR="008F4340" w:rsidP="00163B94" w:rsidRDefault="008F4340" w14:paraId="18888C64" w14:textId="77777777">
      <w:pPr>
        <w:spacing w:before="120" w:after="120"/>
        <w:ind w:left="851" w:right="851" w:firstLine="709"/>
        <w:jc w:val="both"/>
        <w:rPr>
          <w:rFonts w:ascii="Times New Roman" w:hAnsi="Times New Roman" w:cs="Times New Roman"/>
          <w:b/>
          <w:sz w:val="26"/>
          <w:szCs w:val="26"/>
        </w:rPr>
      </w:pPr>
    </w:p>
    <w:p w:rsidRPr="00AE1B2B" w:rsidR="009D3FB5" w:rsidP="00163B94" w:rsidRDefault="009D3FB5" w14:paraId="52E8298F" w14:textId="1744A9D2">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Con base en la reunión con la Licenciada Ana Briceño Yock, Supervisora en Materia Laboral de la Defensa Pública, sostenida el 02 de febrero de 2021 mediante Microsoft Teams (</w:t>
      </w:r>
      <w:r w:rsidRPr="00AE1B2B">
        <w:rPr>
          <w:rFonts w:ascii="Times New Roman" w:hAnsi="Times New Roman" w:eastAsia="Arial" w:cs="Times New Roman"/>
          <w:i/>
          <w:iCs/>
          <w:sz w:val="26"/>
          <w:szCs w:val="26"/>
        </w:rPr>
        <w:t>minuta 78-PLA-MI-MNTA-2021</w:t>
      </w:r>
      <w:r w:rsidRPr="00AE1B2B">
        <w:rPr>
          <w:rFonts w:ascii="Times New Roman" w:hAnsi="Times New Roman" w:eastAsia="Arial" w:cs="Times New Roman"/>
          <w:sz w:val="26"/>
          <w:szCs w:val="26"/>
        </w:rPr>
        <w:t>); la Licenciada Briceño Yock indica que el impacto de la promulgación de la Ley 9593 de Acceso a la Justicia a Pueblos Indígenas en materia laboral en la Defensa Pública radica en que, la citada ley le da acceso a toda persona usuaria indígena a representación letrada y gratuita, sin distinguir si es persona empleadora o trabajadora. El artículo 454 del Código de Trabajo señala que se le brinda el servicio a la persona trabajadora con excepción de las Infracciones a la Ley de Trabajo que, si se le brinda el servicio a la parte empleadora, por el artículo 672 inciso 5 del Código de Trabajo. Ahora con la Ley 9593 de Acceso a la Justicia a Pueblos Indígenas, se le debe brindar el servicio a toda persona indígena empleadora.</w:t>
      </w:r>
    </w:p>
    <w:p w:rsidRPr="00AE1B2B" w:rsidR="008F4340" w:rsidP="00163B94" w:rsidRDefault="008F4340" w14:paraId="40339ACE"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2F8F3C4D" w14:textId="16C6AF8C">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Aunado a lo anterior, la Licenciada Briceño Yock ejemplificó el caso de una Junta Directiva de una escuela que se encuentra ubicada dentro de una zona indígena en la zona de Buenos Aires de Puntarenas, denominados como patronos, a los cuales se les brindó asistencia letrada y gratuita por parte de la Defensa Pública.</w:t>
      </w:r>
    </w:p>
    <w:p w:rsidRPr="00AE1B2B" w:rsidR="008F4340" w:rsidP="00163B94" w:rsidRDefault="008F4340" w14:paraId="5F49581D"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25091849" w14:textId="2162789A">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En cuanto a la cantidad de personas defensoras representadas en materia penal por expediente, como se evidenció en la Tabla 1, de octubre 2019 a setiembre 2020 (</w:t>
      </w:r>
      <w:r w:rsidRPr="00AE1B2B">
        <w:rPr>
          <w:rFonts w:ascii="Times New Roman" w:hAnsi="Times New Roman" w:eastAsia="Arial" w:cs="Times New Roman"/>
          <w:i/>
          <w:iCs/>
          <w:sz w:val="26"/>
          <w:szCs w:val="26"/>
        </w:rPr>
        <w:t>segundo año posterior a la promulgación de la Ley 9593</w:t>
      </w:r>
      <w:r w:rsidRPr="00AE1B2B">
        <w:rPr>
          <w:rFonts w:ascii="Times New Roman" w:hAnsi="Times New Roman" w:eastAsia="Arial" w:cs="Times New Roman"/>
          <w:sz w:val="26"/>
          <w:szCs w:val="26"/>
        </w:rPr>
        <w:t>) ingresaron 53 expedientes laborales, los cuales representan a 53 personas usuarias indígenas. Es por ello que, se infiere estadísticamente que, por cada expediente ingresado, se representa a una persona usuaria indígena; siendo la misma proporción inferida en el informe de presupuesto del año anterior (</w:t>
      </w:r>
      <w:r w:rsidRPr="00AE1B2B">
        <w:rPr>
          <w:rFonts w:ascii="Times New Roman" w:hAnsi="Times New Roman" w:eastAsia="Arial" w:cs="Times New Roman"/>
          <w:i/>
          <w:iCs/>
          <w:sz w:val="26"/>
          <w:szCs w:val="26"/>
        </w:rPr>
        <w:t>507-PLA-RH-MI-2020</w:t>
      </w:r>
      <w:r w:rsidRPr="00AE1B2B">
        <w:rPr>
          <w:rFonts w:ascii="Times New Roman" w:hAnsi="Times New Roman" w:eastAsia="Arial" w:cs="Times New Roman"/>
          <w:sz w:val="26"/>
          <w:szCs w:val="26"/>
        </w:rPr>
        <w:t xml:space="preserve">). La entrada de asuntos en materia laboral </w:t>
      </w:r>
      <w:r w:rsidRPr="00AE1B2B">
        <w:rPr>
          <w:rFonts w:ascii="Times New Roman" w:hAnsi="Times New Roman" w:eastAsia="Arial" w:cs="Times New Roman"/>
          <w:sz w:val="26"/>
          <w:szCs w:val="26"/>
        </w:rPr>
        <w:lastRenderedPageBreak/>
        <w:t>representa el 7%, respecto a la totalidad de asuntos entrados con personas usuarias indígenas.</w:t>
      </w:r>
    </w:p>
    <w:p w:rsidRPr="00AE1B2B" w:rsidR="008F4340" w:rsidP="00163B94" w:rsidRDefault="008F4340" w14:paraId="59B96C15"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68F578D7" w14:textId="39744E0D">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Ahora, la dinámica de colaboración entre oficinas para la atención de los asuntos laborales radica en que, la Defensa Pública de Limón cuenta con cuatro personas defensoras que brindan colaboración a Bribri, Matina y Sarapiquí (</w:t>
      </w:r>
      <w:r w:rsidRPr="00AE1B2B">
        <w:rPr>
          <w:rFonts w:ascii="Times New Roman" w:hAnsi="Times New Roman" w:eastAsia="Arial" w:cs="Times New Roman"/>
          <w:i/>
          <w:iCs/>
          <w:sz w:val="26"/>
          <w:szCs w:val="26"/>
        </w:rPr>
        <w:t>procurando que siempre se encuentre al menos una persona defensora en Limón</w:t>
      </w:r>
      <w:r w:rsidRPr="00AE1B2B">
        <w:rPr>
          <w:rFonts w:ascii="Times New Roman" w:hAnsi="Times New Roman" w:eastAsia="Arial" w:cs="Times New Roman"/>
          <w:sz w:val="26"/>
          <w:szCs w:val="26"/>
        </w:rPr>
        <w:t>). La Defensa Pública de Pérez Zeledón cuenta con dos personas defensoras laborales y una de ellas brinda colaboración a Buenos Aires. La Defensa Pública de Cartago brinda colaboración a Tarrazú, ya que la oficina no cuenta con una persona defensora de materia laboral y ahí se atienden las personas indígenas (</w:t>
      </w:r>
      <w:r w:rsidRPr="00AE1B2B">
        <w:rPr>
          <w:rFonts w:ascii="Times New Roman" w:hAnsi="Times New Roman" w:eastAsia="Arial" w:cs="Times New Roman"/>
          <w:i/>
          <w:iCs/>
          <w:sz w:val="26"/>
          <w:szCs w:val="26"/>
        </w:rPr>
        <w:t>Ngäbe, provenientes de Panamá</w:t>
      </w:r>
      <w:r w:rsidRPr="00AE1B2B">
        <w:rPr>
          <w:rFonts w:ascii="Times New Roman" w:hAnsi="Times New Roman" w:eastAsia="Arial" w:cs="Times New Roman"/>
          <w:sz w:val="26"/>
          <w:szCs w:val="26"/>
        </w:rPr>
        <w:t>) que se trasladan a la zona en los tiempos de recolección de café. Además, la Licenciada Ana Briceño explica que normalmente la población indígena se concentra en zonas alejadas, sin embargo, últimamente han demandado el servicio de la Defensa Pública Laboral un grupo de indígenas ubicados en las cercanías de Pavas, los cuales cuentan con doble grado de vulnerabilidad, ya que son personas migrantes (</w:t>
      </w:r>
      <w:r w:rsidRPr="00AE1B2B">
        <w:rPr>
          <w:rFonts w:ascii="Times New Roman" w:hAnsi="Times New Roman" w:eastAsia="Arial" w:cs="Times New Roman"/>
          <w:i/>
          <w:iCs/>
          <w:sz w:val="26"/>
          <w:szCs w:val="26"/>
        </w:rPr>
        <w:t>Mosquitas, provenientes de Nicaragua</w:t>
      </w:r>
      <w:r w:rsidRPr="00AE1B2B">
        <w:rPr>
          <w:rFonts w:ascii="Times New Roman" w:hAnsi="Times New Roman" w:eastAsia="Arial" w:cs="Times New Roman"/>
          <w:sz w:val="26"/>
          <w:szCs w:val="26"/>
        </w:rPr>
        <w:t>). Esto explica por qué en los datos estadísticos enviados por el Licenciado Esteban Arguedas se reporta el ingreso de 2 expedientes laborales en la Defensa Pública de San José y, 3 expedientes en la Defensa Pública de Goicoechea, de octubre 2019 a setiembre 2020.</w:t>
      </w:r>
    </w:p>
    <w:p w:rsidRPr="00AE1B2B" w:rsidR="008F4340" w:rsidP="00163B94" w:rsidRDefault="008F4340" w14:paraId="3DE31C31"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2C29C585" w14:textId="4CBD6AFA">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En la </w:t>
      </w:r>
      <w:r w:rsidRPr="00AE1B2B">
        <w:rPr>
          <w:rFonts w:ascii="Times New Roman" w:hAnsi="Times New Roman" w:eastAsia="Arial" w:cs="Times New Roman"/>
          <w:b/>
          <w:bCs/>
          <w:i/>
          <w:iCs/>
          <w:sz w:val="26"/>
          <w:szCs w:val="26"/>
        </w:rPr>
        <w:fldChar w:fldCharType="begin"/>
      </w:r>
      <w:r w:rsidRPr="00AE1B2B">
        <w:rPr>
          <w:rFonts w:ascii="Times New Roman" w:hAnsi="Times New Roman" w:eastAsia="Arial" w:cs="Times New Roman"/>
          <w:b/>
          <w:bCs/>
          <w:i/>
          <w:iCs/>
          <w:sz w:val="26"/>
          <w:szCs w:val="26"/>
        </w:rPr>
        <w:instrText xml:space="preserve"> REF _Ref64967530 \h  \* MERGEFORMAT </w:instrText>
      </w:r>
      <w:r w:rsidRPr="00AE1B2B">
        <w:rPr>
          <w:rFonts w:ascii="Times New Roman" w:hAnsi="Times New Roman" w:eastAsia="Arial" w:cs="Times New Roman"/>
          <w:b/>
          <w:bCs/>
          <w:i/>
          <w:iCs/>
          <w:sz w:val="26"/>
          <w:szCs w:val="26"/>
        </w:rPr>
      </w:r>
      <w:r w:rsidRPr="00AE1B2B">
        <w:rPr>
          <w:rFonts w:ascii="Times New Roman" w:hAnsi="Times New Roman" w:eastAsia="Arial" w:cs="Times New Roman"/>
          <w:b/>
          <w:bCs/>
          <w:i/>
          <w:iCs/>
          <w:sz w:val="26"/>
          <w:szCs w:val="26"/>
        </w:rPr>
        <w:fldChar w:fldCharType="separate"/>
      </w:r>
      <w:r w:rsidRPr="00AE1B2B">
        <w:rPr>
          <w:rFonts w:ascii="Times New Roman" w:hAnsi="Times New Roman" w:eastAsia="Arial" w:cs="Times New Roman"/>
          <w:b/>
          <w:bCs/>
          <w:i/>
          <w:iCs/>
          <w:sz w:val="26"/>
          <w:szCs w:val="26"/>
        </w:rPr>
        <w:t>Figura 2</w:t>
      </w:r>
      <w:r w:rsidRPr="00AE1B2B">
        <w:rPr>
          <w:rFonts w:ascii="Times New Roman" w:hAnsi="Times New Roman" w:eastAsia="Arial" w:cs="Times New Roman"/>
          <w:b/>
          <w:bCs/>
          <w:i/>
          <w:iCs/>
          <w:sz w:val="26"/>
          <w:szCs w:val="26"/>
        </w:rPr>
        <w:fldChar w:fldCharType="end"/>
      </w:r>
      <w:r w:rsidRPr="00AE1B2B">
        <w:rPr>
          <w:rFonts w:ascii="Times New Roman" w:hAnsi="Times New Roman" w:eastAsia="Arial" w:cs="Times New Roman"/>
          <w:b/>
          <w:bCs/>
          <w:i/>
          <w:iCs/>
          <w:sz w:val="26"/>
          <w:szCs w:val="26"/>
        </w:rPr>
        <w:t xml:space="preserve"> </w:t>
      </w:r>
      <w:r w:rsidRPr="00AE1B2B">
        <w:rPr>
          <w:rFonts w:ascii="Times New Roman" w:hAnsi="Times New Roman" w:eastAsia="Arial" w:cs="Times New Roman"/>
          <w:sz w:val="26"/>
          <w:szCs w:val="26"/>
        </w:rPr>
        <w:t>se mostró el comportamiento de la entrada de asuntos con personas usuarias indígenas, donde para materia laboral se evidencia una tendencia al decrecimiento, siendo la entrada a nivel nacional para el primer año posterior (</w:t>
      </w:r>
      <w:r w:rsidRPr="00AE1B2B">
        <w:rPr>
          <w:rFonts w:ascii="Times New Roman" w:hAnsi="Times New Roman" w:eastAsia="Arial" w:cs="Times New Roman"/>
          <w:i/>
          <w:iCs/>
          <w:sz w:val="26"/>
          <w:szCs w:val="26"/>
        </w:rPr>
        <w:t>de octubre 2018 a setiembre 2019</w:t>
      </w:r>
      <w:r w:rsidRPr="00AE1B2B">
        <w:rPr>
          <w:rFonts w:ascii="Times New Roman" w:hAnsi="Times New Roman" w:eastAsia="Arial" w:cs="Times New Roman"/>
          <w:sz w:val="26"/>
          <w:szCs w:val="26"/>
        </w:rPr>
        <w:t>) a la entrada en vigencia de la Ley 9593 de Acceso a la Justicia a Pueblos Indígenas de 82 y, para el segundo año (</w:t>
      </w:r>
      <w:r w:rsidRPr="00AE1B2B">
        <w:rPr>
          <w:rFonts w:ascii="Times New Roman" w:hAnsi="Times New Roman" w:eastAsia="Arial" w:cs="Times New Roman"/>
          <w:i/>
          <w:iCs/>
          <w:sz w:val="26"/>
          <w:szCs w:val="26"/>
        </w:rPr>
        <w:t>de octubre 2019 a setiembre 2020</w:t>
      </w:r>
      <w:r w:rsidRPr="00AE1B2B">
        <w:rPr>
          <w:rFonts w:ascii="Times New Roman" w:hAnsi="Times New Roman" w:eastAsia="Arial" w:cs="Times New Roman"/>
          <w:sz w:val="26"/>
          <w:szCs w:val="26"/>
        </w:rPr>
        <w:t>), ingresaron 53 expedientes.</w:t>
      </w:r>
    </w:p>
    <w:p w:rsidRPr="00AE1B2B" w:rsidR="008F4340" w:rsidP="00163B94" w:rsidRDefault="008F4340" w14:paraId="19BDD73C"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598B4AFE" w14:textId="22F6C72E">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En la siguiente figura se muestra el comportamiento de la entrada de asuntos laborales en la Defensa Pública de Buenos Aires y Bribri, las cuales son las que atienden mayormente a las personas usuarias indígenas y, como se explicó anteriormente, no cuentan con personal laboral permanente, sino que los asuntos se atienden por colaboración de Pérez Zeledón y Limón, respectivamente.</w:t>
      </w:r>
    </w:p>
    <w:p w:rsidRPr="00AE1B2B" w:rsidR="008F4340" w:rsidP="00163B94" w:rsidRDefault="008F4340" w14:paraId="7043F3E5"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FC8DDA5"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lastRenderedPageBreak/>
        <w:t xml:space="preserve">Figura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Figura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10</w:t>
      </w:r>
      <w:r w:rsidRPr="00AE1B2B">
        <w:rPr>
          <w:rFonts w:ascii="Times New Roman" w:hAnsi="Times New Roman" w:cs="Times New Roman"/>
          <w:noProof/>
          <w:sz w:val="26"/>
          <w:szCs w:val="26"/>
        </w:rPr>
        <w:fldChar w:fldCharType="end"/>
      </w:r>
    </w:p>
    <w:p w:rsidRPr="00AE1B2B" w:rsidR="009D3FB5" w:rsidP="00163B94" w:rsidRDefault="009D3FB5" w14:paraId="67EBE7F1" w14:textId="79F07D44">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Comportamiento de la entrada de asuntos con persona usuaria indígena,</w:t>
      </w:r>
    </w:p>
    <w:p w:rsidRPr="00AE1B2B" w:rsidR="009D3FB5" w:rsidP="00163B94" w:rsidRDefault="009D3FB5" w14:paraId="602E030F" w14:textId="1A029B42">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en el primer y segundo año posterior a la entrada en vigencia de la</w:t>
      </w:r>
    </w:p>
    <w:p w:rsidRPr="00AE1B2B" w:rsidR="009D3FB5" w:rsidP="00163B94" w:rsidRDefault="009D3FB5" w14:paraId="60382F9D"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Ley 9593 de Acceso a la Justicia a Pueblos Indígenas, en materia laboral</w:t>
      </w:r>
    </w:p>
    <w:p w:rsidRPr="00AE1B2B" w:rsidR="009D3FB5" w:rsidP="00163B94" w:rsidRDefault="009D3FB5" w14:paraId="668779B7" w14:textId="77777777">
      <w:pPr>
        <w:spacing w:before="120" w:after="120"/>
        <w:jc w:val="center"/>
        <w:rPr>
          <w:rFonts w:ascii="Times New Roman" w:hAnsi="Times New Roman" w:eastAsia="Arial" w:cs="Times New Roman"/>
        </w:rPr>
      </w:pPr>
      <w:r w:rsidRPr="00AE1B2B">
        <w:rPr>
          <w:rFonts w:ascii="Times New Roman" w:hAnsi="Times New Roman" w:cs="Times New Roman"/>
          <w:noProof/>
          <w:lang w:val="en-US"/>
        </w:rPr>
        <w:drawing>
          <wp:inline distT="0" distB="0" distL="0" distR="0" wp14:anchorId="03BCDD9E" wp14:editId="7F8EB1D0">
            <wp:extent cx="4572000" cy="2743200"/>
            <wp:effectExtent l="0" t="0" r="0" b="0"/>
            <wp:docPr id="1212768267" name="Gráfico 1212768267">
              <a:extLst xmlns:a="http://schemas.openxmlformats.org/drawingml/2006/main">
                <a:ext uri="{FF2B5EF4-FFF2-40B4-BE49-F238E27FC236}">
                  <a16:creationId xmlns:a16="http://schemas.microsoft.com/office/drawing/2014/main" id="{2F65BA09-76E8-4BD7-BAF2-E8052B84CE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Pr="00AE1B2B" w:rsidR="009D3FB5" w:rsidP="00163B94" w:rsidRDefault="009D3FB5" w14:paraId="76555FF5" w14:textId="7C4C5C78">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b/>
          <w:bCs/>
          <w:sz w:val="26"/>
          <w:szCs w:val="26"/>
        </w:rPr>
        <w:t>Fuente:</w:t>
      </w:r>
      <w:r w:rsidRPr="00AE1B2B">
        <w:rPr>
          <w:rFonts w:ascii="Times New Roman" w:hAnsi="Times New Roman" w:eastAsia="Arial" w:cs="Times New Roman"/>
          <w:sz w:val="26"/>
          <w:szCs w:val="26"/>
        </w:rPr>
        <w:t xml:space="preserve"> Subproceso de Modernización Institucional de la Dirección de Planificación, con datos facilitados por la Administración de la Defensa Pública.</w:t>
      </w:r>
    </w:p>
    <w:p w:rsidRPr="00AE1B2B" w:rsidR="008F4340" w:rsidP="00163B94" w:rsidRDefault="008F4340" w14:paraId="18845597"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44F2B38" w14:textId="27D44E36">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De la figura anterior se puede extraer que, la entrada de asuntos laborales para la oficina de Buenos Aires se ha mantenido constante en el tiempo, siendo la entrada de 10 asuntos; mientras, la entrada de asuntos laborales en Bribri sufrió un decrecimiento en el segundo año posterior a la promulgación de la Ley 9593 de Acceso a la Justicia a Pueblos Indígenas, ya que ingresaron 10 asuntos y, en el primer año posterior a la promulgación de la citada ley (</w:t>
      </w:r>
      <w:r w:rsidRPr="00AE1B2B">
        <w:rPr>
          <w:rFonts w:ascii="Times New Roman" w:hAnsi="Times New Roman" w:eastAsia="Arial" w:cs="Times New Roman"/>
          <w:i/>
          <w:iCs/>
          <w:sz w:val="26"/>
          <w:szCs w:val="26"/>
        </w:rPr>
        <w:t>de octubre 2018 a setiembre 2019</w:t>
      </w:r>
      <w:r w:rsidRPr="00AE1B2B">
        <w:rPr>
          <w:rFonts w:ascii="Times New Roman" w:hAnsi="Times New Roman" w:eastAsia="Arial" w:cs="Times New Roman"/>
          <w:sz w:val="26"/>
          <w:szCs w:val="26"/>
        </w:rPr>
        <w:t>), ingresaron 28 expedientes.</w:t>
      </w:r>
    </w:p>
    <w:p w:rsidRPr="00AE1B2B" w:rsidR="008F4340" w:rsidP="00163B94" w:rsidRDefault="008F4340" w14:paraId="16C9249E"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2C39EEDE" w14:textId="3D8E8150">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El estudio es el 30-PLA-PI-2016 “</w:t>
      </w:r>
      <w:r w:rsidRPr="00AE1B2B">
        <w:rPr>
          <w:rFonts w:ascii="Times New Roman" w:hAnsi="Times New Roman" w:eastAsia="Arial" w:cs="Times New Roman"/>
          <w:i/>
          <w:iCs/>
          <w:sz w:val="26"/>
          <w:szCs w:val="26"/>
        </w:rPr>
        <w:t>Impacto organizacional y presupuestario en el Poder Judicial ante la implementación de la Reforma al Código de Trabajo</w:t>
      </w:r>
      <w:r w:rsidRPr="00AE1B2B">
        <w:rPr>
          <w:rFonts w:ascii="Times New Roman" w:hAnsi="Times New Roman" w:eastAsia="Arial" w:cs="Times New Roman"/>
          <w:sz w:val="26"/>
          <w:szCs w:val="26"/>
        </w:rPr>
        <w:t xml:space="preserve">” de la Dirección de Planificación se estableció un circulante de 400 expedientes por persona defensora y, una entrada diaria de entre 3 y 4 usuarios nuevos; es por esto que, la </w:t>
      </w:r>
      <w:r w:rsidRPr="00AE1B2B">
        <w:rPr>
          <w:rFonts w:ascii="Times New Roman" w:hAnsi="Times New Roman" w:eastAsia="Arial" w:cs="Times New Roman"/>
          <w:sz w:val="26"/>
          <w:szCs w:val="26"/>
        </w:rPr>
        <w:lastRenderedPageBreak/>
        <w:t>entrada de asuntos de las oficinas descritas en la figura anterior justifica la atención del servicio por medio de la colaboración entre oficinas.</w:t>
      </w:r>
    </w:p>
    <w:p w:rsidRPr="00AE1B2B" w:rsidR="008F4340" w:rsidP="00163B94" w:rsidRDefault="008F4340" w14:paraId="1F03B195"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58D873A" w14:textId="6BC05A99">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En síntesis, dado a que el ingreso de asuntos tiene el comportamiento descrito en el párrafo anterior, se infiere que no se detectan variables cuantitativas que afecten la dinámica de atención de los asuntos laborales con personas usuarias indígenas en calidad de interviniente.</w:t>
      </w:r>
    </w:p>
    <w:p w:rsidRPr="00AE1B2B" w:rsidR="008F4340" w:rsidP="00163B94" w:rsidRDefault="008F4340" w14:paraId="4D6085A2"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618987F9" w14:textId="0AF380FB">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Seguimiento a las recomendaciones emitidas en el informe 507-PLA-RH-MI-2020 de la Dirección de Planificación</w:t>
      </w:r>
    </w:p>
    <w:p w:rsidRPr="00AE1B2B" w:rsidR="008F4340" w:rsidP="00163B94" w:rsidRDefault="008F4340" w14:paraId="3AA7CA97" w14:textId="77777777">
      <w:pPr>
        <w:spacing w:before="120" w:after="120"/>
        <w:ind w:left="851" w:right="851" w:firstLine="709"/>
        <w:jc w:val="both"/>
        <w:rPr>
          <w:rFonts w:ascii="Times New Roman" w:hAnsi="Times New Roman" w:cs="Times New Roman"/>
          <w:b/>
          <w:sz w:val="26"/>
          <w:szCs w:val="26"/>
        </w:rPr>
      </w:pPr>
    </w:p>
    <w:p w:rsidRPr="00AE1B2B" w:rsidR="009D3FB5" w:rsidP="00163B94" w:rsidRDefault="009D3FB5" w14:paraId="7432355E" w14:textId="5213DF8A">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El Consejo Superior en sesión extraordinaria 38-2020 (</w:t>
      </w:r>
      <w:r w:rsidRPr="00AE1B2B">
        <w:rPr>
          <w:rFonts w:ascii="Times New Roman" w:hAnsi="Times New Roman" w:eastAsia="Book Antiqua" w:cs="Times New Roman"/>
          <w:i/>
          <w:iCs/>
          <w:sz w:val="26"/>
          <w:szCs w:val="26"/>
        </w:rPr>
        <w:t>Presupuesto 2021</w:t>
      </w:r>
      <w:r w:rsidRPr="00AE1B2B">
        <w:rPr>
          <w:rFonts w:ascii="Times New Roman" w:hAnsi="Times New Roman" w:eastAsia="Book Antiqua" w:cs="Times New Roman"/>
          <w:sz w:val="26"/>
          <w:szCs w:val="26"/>
        </w:rPr>
        <w:t>), celebrada el 17 de abril de 2020, artículo XXI, referente al estudio de Requerimiento de Recurso Humano, dispuso aprobar 507-PLA-RH-MI-2020 “</w:t>
      </w:r>
      <w:r w:rsidRPr="00AE1B2B">
        <w:rPr>
          <w:rFonts w:ascii="Times New Roman" w:hAnsi="Times New Roman" w:eastAsia="Book Antiqua" w:cs="Times New Roman"/>
          <w:i/>
          <w:iCs/>
          <w:sz w:val="26"/>
          <w:szCs w:val="26"/>
        </w:rPr>
        <w:t>Impacto organizacional y presupuestario en el Poder Judicial, (Defensa Pública) a partir de la promulgación de la Ley 9593 de Acceso a la Justicia de los Pueblos Indígenas</w:t>
      </w:r>
      <w:r w:rsidRPr="00AE1B2B">
        <w:rPr>
          <w:rFonts w:ascii="Times New Roman" w:hAnsi="Times New Roman" w:eastAsia="Book Antiqua" w:cs="Times New Roman"/>
          <w:sz w:val="26"/>
          <w:szCs w:val="26"/>
        </w:rPr>
        <w:t xml:space="preserve">”, </w:t>
      </w:r>
      <w:r w:rsidRPr="00AE1B2B">
        <w:rPr>
          <w:rFonts w:ascii="Times New Roman" w:hAnsi="Times New Roman" w:cs="Times New Roman"/>
          <w:sz w:val="26"/>
          <w:szCs w:val="26"/>
        </w:rPr>
        <w:t xml:space="preserve">posteriormente </w:t>
      </w:r>
      <w:r w:rsidRPr="00AE1B2B">
        <w:rPr>
          <w:rFonts w:ascii="Times New Roman" w:hAnsi="Times New Roman" w:eastAsia="Book Antiqua" w:cs="Times New Roman"/>
          <w:sz w:val="26"/>
          <w:szCs w:val="26"/>
        </w:rPr>
        <w:t>en sesión extraordinaria de Corte Plena 31-2020 celebrada el 2 de junio de 2020, artículos I y II se acordó aprobar el Presupuesto ordinario del Poder Judicial para el 2021 correspondiente a la Ley de Acceso a la Justicia de los Pueblos Indígenas de Costa Rica. Es por esto que, en este apartado se indicará el cumplimiento de las recomendaciones emitidas en el citado informe técnico:</w:t>
      </w:r>
    </w:p>
    <w:p w:rsidRPr="00AE1B2B" w:rsidR="008F4340" w:rsidP="00163B94" w:rsidRDefault="008F4340" w14:paraId="5F73A56C"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45365627" w14:textId="729DF679">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Recomendaciones a la Jefatura de la Defensa Pública </w:t>
      </w:r>
    </w:p>
    <w:p w:rsidRPr="00AE1B2B" w:rsidR="008F4340" w:rsidP="00163B94" w:rsidRDefault="008F4340" w14:paraId="310582C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093EB83" w14:textId="77777777">
      <w:pPr>
        <w:pStyle w:val="Prrafodelista"/>
        <w:numPr>
          <w:ilvl w:val="0"/>
          <w:numId w:val="53"/>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Debido a que la Ley 9609 “</w:t>
      </w:r>
      <w:r w:rsidRPr="00AE1B2B">
        <w:rPr>
          <w:rFonts w:ascii="Times New Roman" w:hAnsi="Times New Roman" w:cs="Times New Roman"/>
          <w:i/>
          <w:iCs/>
          <w:sz w:val="26"/>
          <w:szCs w:val="26"/>
        </w:rPr>
        <w:t>Código Procesal Agrario</w:t>
      </w:r>
      <w:r w:rsidRPr="00AE1B2B">
        <w:rPr>
          <w:rFonts w:ascii="Times New Roman" w:hAnsi="Times New Roman" w:cs="Times New Roman"/>
          <w:sz w:val="26"/>
          <w:szCs w:val="26"/>
        </w:rPr>
        <w:t xml:space="preserve">” no ha entrado en vigencia, la siguiente recomendación aún no se ha efectuado: </w:t>
      </w:r>
      <w:r w:rsidRPr="00AE1B2B">
        <w:rPr>
          <w:rFonts w:ascii="Times New Roman" w:hAnsi="Times New Roman" w:cs="Times New Roman"/>
          <w:i/>
          <w:iCs/>
          <w:sz w:val="26"/>
          <w:szCs w:val="26"/>
        </w:rPr>
        <w:t>“Analizar en un plazo de seis meses, posterior de la entrada de vigencia de la ley 9609 “Código Procesal Agrario” la carga de trabajo de cada plaza de Defensor Agrario, de manera que, de no alcanzar la cuota establecida de los 180 asuntos, se le asigne asuntos de otras jurisdicciones para completar su carga de trabajo.”</w:t>
      </w:r>
    </w:p>
    <w:p w:rsidRPr="00AE1B2B" w:rsidR="009D3FB5" w:rsidP="00163B94" w:rsidRDefault="009D3FB5" w14:paraId="55BED628" w14:textId="77777777">
      <w:pPr>
        <w:pStyle w:val="Prrafodelista"/>
        <w:numPr>
          <w:ilvl w:val="0"/>
          <w:numId w:val="53"/>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Dado a que a la fecha no se han asignado las plazas de persona defensora que se recomendaron en el informe del anterior, no se ha cubierto la necesidad identificada.</w:t>
      </w:r>
    </w:p>
    <w:p w:rsidRPr="00AE1B2B" w:rsidR="009D3FB5" w:rsidP="00163B94" w:rsidRDefault="009D3FB5" w14:paraId="152AA702" w14:textId="3B771231">
      <w:pPr>
        <w:pStyle w:val="Prrafodelista"/>
        <w:numPr>
          <w:ilvl w:val="0"/>
          <w:numId w:val="53"/>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Respecto a las siguientes recomendaciones: </w:t>
      </w:r>
    </w:p>
    <w:p w:rsidRPr="00AE1B2B" w:rsidR="008F4340" w:rsidP="00163B94" w:rsidRDefault="008F4340" w14:paraId="6201ABFA" w14:textId="77777777">
      <w:pPr>
        <w:spacing w:before="120" w:after="120"/>
        <w:ind w:left="851" w:right="851"/>
        <w:jc w:val="both"/>
        <w:rPr>
          <w:rFonts w:ascii="Times New Roman" w:hAnsi="Times New Roman" w:cs="Times New Roman"/>
          <w:sz w:val="26"/>
          <w:szCs w:val="26"/>
        </w:rPr>
      </w:pPr>
    </w:p>
    <w:p w:rsidRPr="00AE1B2B" w:rsidR="009D3FB5" w:rsidP="00163B94" w:rsidRDefault="009D3FB5" w14:paraId="2055AF7A" w14:textId="56B6BAFB">
      <w:pPr>
        <w:spacing w:before="120" w:after="120"/>
        <w:ind w:left="851" w:right="851" w:firstLine="709"/>
        <w:jc w:val="both"/>
        <w:rPr>
          <w:rFonts w:ascii="Times New Roman" w:hAnsi="Times New Roman" w:eastAsia="Times New Roman" w:cs="Times New Roman"/>
          <w:i/>
          <w:iCs/>
          <w:sz w:val="26"/>
          <w:szCs w:val="26"/>
          <w:lang w:val="es-ES" w:eastAsia="es-ES"/>
        </w:rPr>
      </w:pPr>
      <w:r w:rsidRPr="00AE1B2B">
        <w:rPr>
          <w:rFonts w:ascii="Times New Roman" w:hAnsi="Times New Roman" w:eastAsia="Times New Roman" w:cs="Times New Roman"/>
          <w:i/>
          <w:iCs/>
          <w:sz w:val="26"/>
          <w:szCs w:val="26"/>
          <w:lang w:val="es-ES" w:eastAsia="es-ES"/>
        </w:rPr>
        <w:t>“Reiterar la circular interna de la Dirección de la Defensa Pública, acerca de la importancia de hacer uso y reportar de forma correcta en los cuadros estadísticos la variable de cantidad de personas usuarias de la Defensa Pública que pertenecen a algún grupo indígena, servidor judicial, con ingreso durante cada período; dado a que, los datos remitidos al Subproceso de Estadística de la Dirección de Planificación, son los que se utilizarán como base para futuros estudios que permita mejorar el acceso a la justicia de dicha población.”</w:t>
      </w:r>
    </w:p>
    <w:p w:rsidRPr="00AE1B2B" w:rsidR="008F4340" w:rsidP="00163B94" w:rsidRDefault="008F4340" w14:paraId="3B3000EE" w14:textId="77777777">
      <w:pPr>
        <w:spacing w:before="120" w:after="120"/>
        <w:ind w:left="851" w:right="851" w:firstLine="709"/>
        <w:jc w:val="both"/>
        <w:rPr>
          <w:rFonts w:ascii="Times New Roman" w:hAnsi="Times New Roman" w:eastAsia="Times New Roman" w:cs="Times New Roman"/>
          <w:i/>
          <w:iCs/>
          <w:sz w:val="26"/>
          <w:szCs w:val="26"/>
          <w:lang w:val="es-ES" w:eastAsia="es-ES"/>
        </w:rPr>
      </w:pPr>
    </w:p>
    <w:p w:rsidRPr="00AE1B2B" w:rsidR="009D3FB5" w:rsidP="00163B94" w:rsidRDefault="009D3FB5" w14:paraId="12399432" w14:textId="3BA08AD2">
      <w:pPr>
        <w:spacing w:before="120" w:after="120"/>
        <w:ind w:left="851" w:right="851" w:firstLine="709"/>
        <w:jc w:val="both"/>
        <w:rPr>
          <w:rFonts w:ascii="Times New Roman" w:hAnsi="Times New Roman" w:eastAsia="Times New Roman" w:cs="Times New Roman"/>
          <w:i/>
          <w:iCs/>
          <w:sz w:val="26"/>
          <w:szCs w:val="26"/>
          <w:lang w:val="es-ES" w:eastAsia="es-ES"/>
        </w:rPr>
      </w:pPr>
      <w:r w:rsidRPr="00AE1B2B">
        <w:rPr>
          <w:rFonts w:ascii="Times New Roman" w:hAnsi="Times New Roman" w:eastAsia="Times New Roman" w:cs="Times New Roman"/>
          <w:i/>
          <w:iCs/>
          <w:sz w:val="26"/>
          <w:szCs w:val="26"/>
          <w:lang w:val="es-ES" w:eastAsia="es-ES"/>
        </w:rPr>
        <w:t>“Continuar con las capacitaciones a las personas defensoras públicas que manifiesten la necesidad, de tal forma que puedan incursionar en otras áreas de servicio, ya que según la ley de control interno se debe dar el mayor aprovechamiento de los recursos y en este caso particular en la distribución de las cargas de trabajo.”</w:t>
      </w:r>
    </w:p>
    <w:p w:rsidRPr="00AE1B2B" w:rsidR="008F4340" w:rsidP="00163B94" w:rsidRDefault="008F4340" w14:paraId="18FA6465" w14:textId="77777777">
      <w:pPr>
        <w:spacing w:before="120" w:after="120"/>
        <w:ind w:left="851" w:right="851" w:firstLine="709"/>
        <w:jc w:val="both"/>
        <w:rPr>
          <w:rFonts w:ascii="Times New Roman" w:hAnsi="Times New Roman" w:eastAsia="Times New Roman" w:cs="Times New Roman"/>
          <w:i/>
          <w:iCs/>
          <w:sz w:val="26"/>
          <w:szCs w:val="26"/>
          <w:lang w:val="es-ES" w:eastAsia="es-ES"/>
        </w:rPr>
      </w:pPr>
    </w:p>
    <w:p w:rsidRPr="00AE1B2B" w:rsidR="009D3FB5" w:rsidP="00163B94" w:rsidRDefault="009D3FB5" w14:paraId="45F6F078" w14:textId="58EA42D1">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Supervisión de Asuntos Indígenas indica que la Defensa Pública ha efectuado múltiples esfuerzos en la sensibilización del personal defensor, en cuanto a la forma en qué se deben tratar los asuntos donde intervengan personas usuarias indígenas, ya que estas personas por lo general deben recorrer largas distancias para apersonarse ante la autoridad judicial, además de que en su mayoría son personas de escasos recursos, de baja escolaridad, entre otros factores de vulnerabilidad. Adicionalmente, para enero de 2021 se implementó una nueva herramienta para la recolección de datos estadísticos a nivel nacional de las personas usuarias indígenas atendidas y expedientes; es por esto que, para el presente año se pretende contar con información estadística completa para futuros estudios técnicos en la materia.</w:t>
      </w:r>
    </w:p>
    <w:p w:rsidRPr="00AE1B2B" w:rsidR="008F4340" w:rsidP="00163B94" w:rsidRDefault="008F4340" w14:paraId="2E123ABF"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2D740F2D" w14:textId="0C647DAB">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Recomendaciones a la Dirección de Tecnología de Información </w:t>
      </w:r>
    </w:p>
    <w:p w:rsidRPr="00AE1B2B" w:rsidR="008F4340" w:rsidP="00163B94" w:rsidRDefault="008F4340" w14:paraId="0635B92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876F42F" w14:textId="560CD134">
      <w:pPr>
        <w:pStyle w:val="Prrafodelista"/>
        <w:numPr>
          <w:ilvl w:val="0"/>
          <w:numId w:val="53"/>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El Señor Carlos Morales Castro, Coordinador de Unidad de Inteligencia de Negocios, indica que se desarrolló una mejora en para incluir la etnia del SSC, y actualmente SIGMA cuenta con tableros generales para ver esos datos. Esto en respuesta a la recomendación: “</w:t>
      </w:r>
      <w:r w:rsidRPr="00AE1B2B">
        <w:rPr>
          <w:rFonts w:ascii="Times New Roman" w:hAnsi="Times New Roman" w:cs="Times New Roman"/>
          <w:i/>
          <w:iCs/>
          <w:sz w:val="26"/>
          <w:szCs w:val="26"/>
        </w:rPr>
        <w:t xml:space="preserve">Según lo manifestado en el oficio 662-DTI-2020 de la Dirección de Tecnología de Información, la Unidad de Inteligencia de la Información desarrollará durante el primer semestre de 2020 desarrollará la mejora para extraer los datos de la variable etnia del Sistema de Seguimiento de Casos, con esto la información de los casos de la Defensa Pública se mostrarán dentro de las estadísticas en los reportes del SIGMA”. </w:t>
      </w:r>
      <w:r w:rsidRPr="00AE1B2B">
        <w:rPr>
          <w:rFonts w:ascii="Times New Roman" w:hAnsi="Times New Roman" w:cs="Times New Roman"/>
          <w:b/>
          <w:bCs/>
          <w:sz w:val="26"/>
          <w:szCs w:val="26"/>
        </w:rPr>
        <w:t>Ver apéndice 5</w:t>
      </w:r>
      <w:r w:rsidRPr="00AE1B2B">
        <w:rPr>
          <w:rFonts w:ascii="Times New Roman" w:hAnsi="Times New Roman" w:cs="Times New Roman"/>
          <w:sz w:val="26"/>
          <w:szCs w:val="26"/>
        </w:rPr>
        <w:t>.</w:t>
      </w:r>
    </w:p>
    <w:p w:rsidRPr="00AE1B2B" w:rsidR="008F4340" w:rsidP="00163B94" w:rsidRDefault="008F4340" w14:paraId="44C28F08" w14:textId="77777777">
      <w:pPr>
        <w:spacing w:before="120" w:after="120"/>
        <w:ind w:left="851" w:right="851"/>
        <w:jc w:val="both"/>
        <w:rPr>
          <w:rFonts w:ascii="Times New Roman" w:hAnsi="Times New Roman" w:cs="Times New Roman"/>
          <w:sz w:val="26"/>
          <w:szCs w:val="26"/>
        </w:rPr>
      </w:pPr>
    </w:p>
    <w:p w:rsidRPr="00AE1B2B" w:rsidR="008F4340" w:rsidP="00163B94" w:rsidRDefault="009D3FB5" w14:paraId="51CB5CE2" w14:textId="77777777">
      <w:pPr>
        <w:pStyle w:val="Prrafodelista"/>
        <w:numPr>
          <w:ilvl w:val="0"/>
          <w:numId w:val="53"/>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Respecto a la recomendación: “</w:t>
      </w:r>
      <w:r w:rsidRPr="00AE1B2B">
        <w:rPr>
          <w:rFonts w:ascii="Times New Roman" w:hAnsi="Times New Roman" w:cs="Times New Roman"/>
          <w:i/>
          <w:iCs/>
          <w:sz w:val="26"/>
          <w:szCs w:val="26"/>
        </w:rPr>
        <w:t>Se mantiene la recomendación realizada en el informe 634-PLA-RH-MI-2019: Coordinar lo relacionado con la implantación y capacitación del Sistema de Seguimientos de Casos (SSC) y SIGMA en las Oficinas de la Defensa Pública que atiendan materia Agraria, con fin de obtener datos estadísticos para futuros estudios”</w:t>
      </w:r>
      <w:r w:rsidRPr="00AE1B2B">
        <w:rPr>
          <w:rFonts w:ascii="Times New Roman" w:hAnsi="Times New Roman" w:cs="Times New Roman"/>
          <w:sz w:val="26"/>
          <w:szCs w:val="26"/>
        </w:rPr>
        <w:t xml:space="preserve">, la Señora Fabiola Arancibia Hernández, de la Dirección de Tecnología de Información, indica que las implantaciones del SSC se realizan en la Defensa Pública, según se confirma en el oficio 662-DTI-2020. </w:t>
      </w:r>
      <w:r w:rsidRPr="00AE1B2B">
        <w:rPr>
          <w:rFonts w:ascii="Times New Roman" w:hAnsi="Times New Roman" w:cs="Times New Roman"/>
          <w:b/>
          <w:bCs/>
          <w:sz w:val="26"/>
          <w:szCs w:val="26"/>
        </w:rPr>
        <w:t xml:space="preserve">Ver apéndice </w:t>
      </w:r>
    </w:p>
    <w:p w:rsidRPr="00AE1B2B" w:rsidR="009D3FB5" w:rsidP="00163B94" w:rsidRDefault="009D3FB5" w14:paraId="668289CF" w14:textId="413841CB">
      <w:pPr>
        <w:spacing w:before="120" w:after="120"/>
        <w:ind w:right="851"/>
        <w:jc w:val="both"/>
        <w:rPr>
          <w:rFonts w:ascii="Times New Roman" w:hAnsi="Times New Roman" w:eastAsia="Times New Roman" w:cs="Times New Roman"/>
          <w:b/>
          <w:bCs/>
          <w:sz w:val="26"/>
          <w:szCs w:val="26"/>
          <w:lang w:val="es-ES" w:eastAsia="es-ES"/>
        </w:rPr>
      </w:pPr>
    </w:p>
    <w:p w:rsidRPr="00AE1B2B" w:rsidR="008F4340" w:rsidP="00163B94" w:rsidRDefault="008F4340" w14:paraId="2640D267" w14:textId="77777777">
      <w:pPr>
        <w:spacing w:before="120" w:after="120"/>
        <w:ind w:right="851"/>
        <w:jc w:val="both"/>
        <w:rPr>
          <w:rFonts w:ascii="Times New Roman" w:hAnsi="Times New Roman" w:cs="Times New Roman"/>
          <w:sz w:val="26"/>
          <w:szCs w:val="26"/>
        </w:rPr>
      </w:pPr>
    </w:p>
    <w:p w:rsidRPr="00AE1B2B" w:rsidR="008F4340" w:rsidP="00163B94" w:rsidRDefault="009D3FB5" w14:paraId="368FDA4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Recomendaciones a la Escuela Judicial</w:t>
      </w:r>
    </w:p>
    <w:p w:rsidRPr="00AE1B2B" w:rsidR="009D3FB5" w:rsidP="00163B94" w:rsidRDefault="009D3FB5" w14:paraId="38EDC921" w14:textId="1FD4821A">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9D3FB5" w14:paraId="1549C54B" w14:textId="47B52CBB">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recibieron dos respuestas, en seguimiento a la siguiente recomendación:</w:t>
      </w:r>
    </w:p>
    <w:p w:rsidRPr="00AE1B2B" w:rsidR="008F4340" w:rsidP="00163B94" w:rsidRDefault="008F4340" w14:paraId="0C81ED7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A227A9A" w14:textId="6F7F6E14">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“Según las observaciones emitidas en el oficio CACC-116-2020 del 14 abril de la Comisión de Acceso a la Justicia, se incorporan las siguientes recomendaciones. </w:t>
      </w:r>
    </w:p>
    <w:p w:rsidRPr="00AE1B2B" w:rsidR="008F4340" w:rsidP="00163B94" w:rsidRDefault="008F4340" w14:paraId="06AEE789"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27C6542B" w14:textId="7EF52664">
      <w:pPr>
        <w:pStyle w:val="Prrafodelista"/>
        <w:numPr>
          <w:ilvl w:val="1"/>
          <w:numId w:val="46"/>
        </w:num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Priorizar el fortalecimiento de las competencias de los equipos de trabajo que están a cargo de procesos penales vinculados en las poblaciones indígenas.</w:t>
      </w:r>
    </w:p>
    <w:p w:rsidRPr="00AE1B2B" w:rsidR="008F4340" w:rsidP="00163B94" w:rsidRDefault="008F4340" w14:paraId="1DCED04D" w14:textId="77777777">
      <w:pPr>
        <w:pStyle w:val="Prrafodelista"/>
        <w:spacing w:before="120" w:after="120"/>
        <w:ind w:left="1560" w:right="851"/>
        <w:jc w:val="both"/>
        <w:rPr>
          <w:rFonts w:ascii="Times New Roman" w:hAnsi="Times New Roman" w:cs="Times New Roman"/>
          <w:i/>
          <w:iCs/>
          <w:sz w:val="26"/>
          <w:szCs w:val="26"/>
        </w:rPr>
      </w:pPr>
    </w:p>
    <w:p w:rsidRPr="00AE1B2B" w:rsidR="009D3FB5" w:rsidP="00163B94" w:rsidRDefault="009D3FB5" w14:paraId="7E97B083" w14:textId="7D052723">
      <w:pPr>
        <w:pStyle w:val="Prrafodelista"/>
        <w:numPr>
          <w:ilvl w:val="1"/>
          <w:numId w:val="46"/>
        </w:num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Fomentar la capacitación virtual, compartiendo espacios virtuales y presenciales, maximizando tiempos de desplazamientos, recursos económicos, y viáticos, entre otro</w:t>
      </w:r>
      <w:r w:rsidRPr="00AE1B2B" w:rsidR="008F4340">
        <w:rPr>
          <w:rFonts w:ascii="Times New Roman" w:hAnsi="Times New Roman" w:cs="Times New Roman"/>
          <w:i/>
          <w:iCs/>
          <w:sz w:val="26"/>
          <w:szCs w:val="26"/>
        </w:rPr>
        <w:t>s.</w:t>
      </w:r>
    </w:p>
    <w:p w:rsidRPr="00AE1B2B" w:rsidR="008F4340" w:rsidP="00163B94" w:rsidRDefault="008F4340" w14:paraId="49BB74B5" w14:textId="7169D4F4">
      <w:pPr>
        <w:spacing w:before="120" w:after="120"/>
        <w:ind w:right="851"/>
        <w:jc w:val="both"/>
        <w:rPr>
          <w:rFonts w:ascii="Times New Roman" w:hAnsi="Times New Roman" w:cs="Times New Roman"/>
          <w:i/>
          <w:iCs/>
          <w:sz w:val="26"/>
          <w:szCs w:val="26"/>
        </w:rPr>
      </w:pPr>
    </w:p>
    <w:p w:rsidRPr="00AE1B2B" w:rsidR="009D3FB5" w:rsidP="00163B94" w:rsidRDefault="009D3FB5" w14:paraId="1C5B88F4" w14:textId="041B7E98">
      <w:pPr>
        <w:pStyle w:val="Prrafodelista"/>
        <w:numPr>
          <w:ilvl w:val="1"/>
          <w:numId w:val="46"/>
        </w:num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Verificar que los contenidos de los diseños de las capacitaciones en Derecho Indígena, se incluya al menos: </w:t>
      </w:r>
    </w:p>
    <w:p w:rsidRPr="00AE1B2B" w:rsidR="008F4340" w:rsidP="00163B94" w:rsidRDefault="008F4340" w14:paraId="41DCC8AF" w14:textId="77777777">
      <w:pPr>
        <w:pStyle w:val="Prrafodelista"/>
        <w:spacing w:before="120" w:after="120"/>
        <w:rPr>
          <w:rFonts w:ascii="Times New Roman" w:hAnsi="Times New Roman" w:cs="Times New Roman"/>
          <w:i/>
          <w:iCs/>
          <w:sz w:val="26"/>
          <w:szCs w:val="26"/>
        </w:rPr>
      </w:pPr>
    </w:p>
    <w:p w:rsidRPr="00AE1B2B" w:rsidR="008F4340" w:rsidP="00163B94" w:rsidRDefault="008F4340" w14:paraId="2DD43AB4" w14:textId="77777777">
      <w:pPr>
        <w:spacing w:before="120" w:after="120"/>
        <w:ind w:right="851"/>
        <w:jc w:val="both"/>
        <w:rPr>
          <w:rFonts w:ascii="Times New Roman" w:hAnsi="Times New Roman" w:cs="Times New Roman"/>
          <w:i/>
          <w:iCs/>
          <w:sz w:val="26"/>
          <w:szCs w:val="26"/>
        </w:rPr>
      </w:pPr>
    </w:p>
    <w:p w:rsidRPr="00AE1B2B" w:rsidR="009D3FB5" w:rsidP="00163B94" w:rsidRDefault="009D3FB5" w14:paraId="7EA1B9C0" w14:textId="2E42858D">
      <w:pPr>
        <w:pStyle w:val="Prrafodelista"/>
        <w:numPr>
          <w:ilvl w:val="0"/>
          <w:numId w:val="145"/>
        </w:numPr>
        <w:spacing w:before="120" w:after="120"/>
        <w:ind w:right="851"/>
        <w:jc w:val="both"/>
        <w:rPr>
          <w:rFonts w:ascii="Times New Roman" w:hAnsi="Times New Roman" w:cs="Times New Roman"/>
          <w:i/>
          <w:iCs/>
          <w:sz w:val="26"/>
          <w:szCs w:val="26"/>
        </w:rPr>
      </w:pPr>
      <w:r w:rsidRPr="00AE1B2B">
        <w:rPr>
          <w:rFonts w:ascii="Times New Roman" w:hAnsi="Times New Roman" w:cs="Times New Roman"/>
          <w:i/>
          <w:iCs/>
          <w:sz w:val="26"/>
          <w:szCs w:val="26"/>
        </w:rPr>
        <w:t>Normativa internacional referida a los derechos de las personas indígenas, entre ellos, el Convenio relativo a la protección e integración de las poblaciones indígenas y de otras poblaciones tribales y semitribales en los países 1957 (Convenio 107 OIT), Convenio sobre Pueblos Indígenas y Tribales 1989 (Convenio 169 OIT), Declaración de las Naciones Unidas sobre los derechos de los Pueblos Indígenas 2007, Declaración Americana sobre Derechos de los Pueblos Indígenas OEA 2016.</w:t>
      </w:r>
    </w:p>
    <w:p w:rsidRPr="00AE1B2B" w:rsidR="008F4340" w:rsidP="00163B94" w:rsidRDefault="008F4340" w14:paraId="5F7F35DF" w14:textId="77777777">
      <w:pPr>
        <w:spacing w:before="120" w:after="120"/>
        <w:ind w:left="1620" w:right="851"/>
        <w:jc w:val="both"/>
        <w:rPr>
          <w:rFonts w:ascii="Times New Roman" w:hAnsi="Times New Roman" w:cs="Times New Roman"/>
          <w:i/>
          <w:iCs/>
          <w:sz w:val="26"/>
          <w:szCs w:val="26"/>
        </w:rPr>
      </w:pPr>
    </w:p>
    <w:p w:rsidRPr="00AE1B2B" w:rsidR="009D3FB5" w:rsidP="00163B94" w:rsidRDefault="009D3FB5" w14:paraId="1D5FF509" w14:textId="1670BE08">
      <w:pPr>
        <w:pStyle w:val="Prrafodelista"/>
        <w:numPr>
          <w:ilvl w:val="0"/>
          <w:numId w:val="145"/>
        </w:numPr>
        <w:spacing w:before="120" w:after="120"/>
        <w:ind w:right="851"/>
        <w:jc w:val="both"/>
        <w:rPr>
          <w:rFonts w:ascii="Times New Roman" w:hAnsi="Times New Roman" w:cs="Times New Roman"/>
          <w:i/>
          <w:iCs/>
          <w:sz w:val="26"/>
          <w:szCs w:val="26"/>
        </w:rPr>
      </w:pPr>
      <w:r w:rsidRPr="00AE1B2B">
        <w:rPr>
          <w:rFonts w:ascii="Times New Roman" w:hAnsi="Times New Roman" w:cs="Times New Roman"/>
          <w:i/>
          <w:iCs/>
          <w:sz w:val="26"/>
          <w:szCs w:val="26"/>
        </w:rPr>
        <w:t>Jurisprudencia de la Corte Interamericana de Derechos Humanos vinculada con pueblos Indígenas incluyendo la Opinión Consultiva 23-2017.</w:t>
      </w:r>
    </w:p>
    <w:p w:rsidRPr="00AE1B2B" w:rsidR="008F4340" w:rsidP="00163B94" w:rsidRDefault="008F4340" w14:paraId="707D9930" w14:textId="77777777">
      <w:pPr>
        <w:pStyle w:val="Prrafodelista"/>
        <w:spacing w:before="120" w:after="120"/>
        <w:rPr>
          <w:rFonts w:ascii="Times New Roman" w:hAnsi="Times New Roman" w:cs="Times New Roman"/>
          <w:i/>
          <w:iCs/>
          <w:sz w:val="26"/>
          <w:szCs w:val="26"/>
        </w:rPr>
      </w:pPr>
    </w:p>
    <w:p w:rsidRPr="00AE1B2B" w:rsidR="008F4340" w:rsidP="00163B94" w:rsidRDefault="008F4340" w14:paraId="24637448" w14:textId="77777777">
      <w:pPr>
        <w:spacing w:before="120" w:after="120"/>
        <w:ind w:right="851"/>
        <w:jc w:val="both"/>
        <w:rPr>
          <w:rFonts w:ascii="Times New Roman" w:hAnsi="Times New Roman" w:cs="Times New Roman"/>
          <w:i/>
          <w:iCs/>
          <w:sz w:val="26"/>
          <w:szCs w:val="26"/>
        </w:rPr>
      </w:pPr>
    </w:p>
    <w:p w:rsidRPr="00AE1B2B" w:rsidR="009D3FB5" w:rsidP="00163B94" w:rsidRDefault="009D3FB5" w14:paraId="05481E88" w14:textId="71F62F30">
      <w:pPr>
        <w:pStyle w:val="Prrafodelista"/>
        <w:numPr>
          <w:ilvl w:val="0"/>
          <w:numId w:val="145"/>
        </w:numPr>
        <w:spacing w:before="120" w:after="120"/>
        <w:ind w:right="851"/>
        <w:jc w:val="both"/>
        <w:rPr>
          <w:rFonts w:ascii="Times New Roman" w:hAnsi="Times New Roman" w:cs="Times New Roman"/>
          <w:i/>
          <w:iCs/>
          <w:sz w:val="26"/>
          <w:szCs w:val="26"/>
        </w:rPr>
      </w:pPr>
      <w:r w:rsidRPr="00AE1B2B">
        <w:rPr>
          <w:rFonts w:ascii="Times New Roman" w:hAnsi="Times New Roman" w:cs="Times New Roman"/>
          <w:i/>
          <w:iCs/>
          <w:sz w:val="26"/>
          <w:szCs w:val="26"/>
        </w:rPr>
        <w:t>Constitución Política, Ley Indígena, Ley de Acceso a la Justicia de los Pueblos Indígenas, entre otras.</w:t>
      </w:r>
    </w:p>
    <w:p w:rsidRPr="00AE1B2B" w:rsidR="008F4340" w:rsidP="00163B94" w:rsidRDefault="008F4340" w14:paraId="2C7725E9" w14:textId="77777777">
      <w:pPr>
        <w:spacing w:before="120" w:after="120"/>
        <w:ind w:left="1620" w:right="851"/>
        <w:jc w:val="both"/>
        <w:rPr>
          <w:rFonts w:ascii="Times New Roman" w:hAnsi="Times New Roman" w:cs="Times New Roman"/>
          <w:i/>
          <w:iCs/>
          <w:sz w:val="26"/>
          <w:szCs w:val="26"/>
        </w:rPr>
      </w:pPr>
    </w:p>
    <w:p w:rsidRPr="00AE1B2B" w:rsidR="009D3FB5" w:rsidP="00163B94" w:rsidRDefault="009D3FB5" w14:paraId="3AC80D17" w14:textId="1AF90710">
      <w:pPr>
        <w:pStyle w:val="Prrafodelista"/>
        <w:numPr>
          <w:ilvl w:val="0"/>
          <w:numId w:val="145"/>
        </w:numPr>
        <w:spacing w:before="120" w:after="120"/>
        <w:ind w:right="851"/>
        <w:jc w:val="both"/>
        <w:rPr>
          <w:rFonts w:ascii="Times New Roman" w:hAnsi="Times New Roman" w:cs="Times New Roman"/>
          <w:i/>
          <w:iCs/>
          <w:sz w:val="26"/>
          <w:szCs w:val="26"/>
        </w:rPr>
      </w:pPr>
      <w:r w:rsidRPr="00AE1B2B">
        <w:rPr>
          <w:rFonts w:ascii="Times New Roman" w:hAnsi="Times New Roman" w:cs="Times New Roman"/>
          <w:i/>
          <w:iCs/>
          <w:sz w:val="26"/>
          <w:szCs w:val="26"/>
        </w:rPr>
        <w:t>Jurisprudencia de las Salas de Casación y de la Sala Constitucional de la Corte Suprema de Justicia; d) Lineamientos y circulares de Corte Plena y del Consejo Superior vinculados con las reglas para los procesos en los que estén involucradas personas indígenas.</w:t>
      </w:r>
    </w:p>
    <w:p w:rsidRPr="00AE1B2B" w:rsidR="008F4340" w:rsidP="00163B94" w:rsidRDefault="008F4340" w14:paraId="3BC5B82C" w14:textId="77777777">
      <w:pPr>
        <w:pStyle w:val="Prrafodelista"/>
        <w:spacing w:before="120" w:after="120"/>
        <w:rPr>
          <w:rFonts w:ascii="Times New Roman" w:hAnsi="Times New Roman" w:cs="Times New Roman"/>
          <w:i/>
          <w:iCs/>
          <w:sz w:val="26"/>
          <w:szCs w:val="26"/>
        </w:rPr>
      </w:pPr>
    </w:p>
    <w:p w:rsidRPr="00AE1B2B" w:rsidR="008F4340" w:rsidP="00163B94" w:rsidRDefault="008F4340" w14:paraId="03637E83" w14:textId="77777777">
      <w:pPr>
        <w:spacing w:before="120" w:after="120"/>
        <w:ind w:right="851"/>
        <w:jc w:val="both"/>
        <w:rPr>
          <w:rFonts w:ascii="Times New Roman" w:hAnsi="Times New Roman" w:cs="Times New Roman"/>
          <w:i/>
          <w:iCs/>
          <w:sz w:val="26"/>
          <w:szCs w:val="26"/>
        </w:rPr>
      </w:pPr>
    </w:p>
    <w:p w:rsidRPr="00AE1B2B" w:rsidR="009D3FB5" w:rsidP="00163B94" w:rsidRDefault="009D3FB5" w14:paraId="27AB0259" w14:textId="59E73A58">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Además, los alcances y distinción entre el sistema monista y el pluralismo jurídico. Incluyendo, el establecimiento de un modelo de control y seguimiento a fin de medir el impacto de esas capacitaciones en el fortalecimiento de las competencias de las </w:t>
      </w:r>
      <w:r w:rsidRPr="00AE1B2B">
        <w:rPr>
          <w:rFonts w:ascii="Times New Roman" w:hAnsi="Times New Roman" w:cs="Times New Roman"/>
          <w:i/>
          <w:iCs/>
          <w:sz w:val="26"/>
          <w:szCs w:val="26"/>
        </w:rPr>
        <w:lastRenderedPageBreak/>
        <w:t>personas servidoras judiciales que asistan y su concreción en las resoluciones –incluyendo las sentencias- que emitan en los procesos propios de su competencia, con absoluto respeto al principio de independencia judicial y los principios de Bangalore sobre la conducta judicial, entre otros.”</w:t>
      </w:r>
    </w:p>
    <w:p w:rsidRPr="00AE1B2B" w:rsidR="008F4340" w:rsidP="00163B94" w:rsidRDefault="008F4340" w14:paraId="16B62CF8"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6685E5C0" w14:textId="65E7E841">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primera respuesta se recibió por correo electrónico del 09 de febrero de 2021, remitido por el Señor Jean Carlo Monge Madrigal; en el que se indica que la Escuela Judicial se encuentra desarrollando un curso de capacitación virtual que tendría una duración de ocho semanas y la temática se enfoca en la caracterización de las personas y pueblos indígenas. </w:t>
      </w:r>
      <w:r w:rsidRPr="00AE1B2B">
        <w:rPr>
          <w:rFonts w:ascii="Times New Roman" w:hAnsi="Times New Roman" w:cs="Times New Roman"/>
          <w:b/>
          <w:bCs/>
          <w:sz w:val="26"/>
          <w:szCs w:val="26"/>
        </w:rPr>
        <w:t>Ver apéndice 6</w:t>
      </w:r>
      <w:r w:rsidRPr="00AE1B2B">
        <w:rPr>
          <w:rFonts w:ascii="Times New Roman" w:hAnsi="Times New Roman" w:cs="Times New Roman"/>
          <w:sz w:val="26"/>
          <w:szCs w:val="26"/>
        </w:rPr>
        <w:t>.</w:t>
      </w:r>
    </w:p>
    <w:p w:rsidRPr="00AE1B2B" w:rsidR="008F4340" w:rsidP="00163B94" w:rsidRDefault="008F4340" w14:paraId="0CC5EE5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9CBD34A" w14:textId="20563D14">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segunda respuesta es remitida mediante el oficio EJ-ACAD-001-2021 del 10 de febrero de 2021, remitido por el Señor Gustavo Céspedes Chinchilla, Coordinador del Área Académica de la Escuela Judicial; donde se indicó que en diciembre de 2020 la Escuela Judicial impartió un foro llamado “</w:t>
      </w:r>
      <w:r w:rsidRPr="00AE1B2B">
        <w:rPr>
          <w:rFonts w:ascii="Times New Roman" w:hAnsi="Times New Roman" w:cs="Times New Roman"/>
          <w:i/>
          <w:iCs/>
          <w:sz w:val="26"/>
          <w:szCs w:val="26"/>
        </w:rPr>
        <w:t>Acceso a la Justicia de Pueblos Indígenas</w:t>
      </w:r>
      <w:r w:rsidRPr="00AE1B2B">
        <w:rPr>
          <w:rFonts w:ascii="Times New Roman" w:hAnsi="Times New Roman" w:cs="Times New Roman"/>
          <w:sz w:val="26"/>
          <w:szCs w:val="26"/>
        </w:rPr>
        <w:t>”, en el cual participaron aproximadamente 70 personas, entre ellas personas servidoras judiciales, indígenas, intérpretes, funcionarias de la Fuerza Pública, entre otras. Además, en el citado oficio se indicó que la Escuela Judicial en el 2020 realizó esfuerzos en coordinación con la Facultad de Derecho de la Universidad de Costa Rica para la realización de la actividad académica denominada “</w:t>
      </w:r>
      <w:r w:rsidRPr="00AE1B2B">
        <w:rPr>
          <w:rFonts w:ascii="Times New Roman" w:hAnsi="Times New Roman" w:cs="Times New Roman"/>
          <w:i/>
          <w:iCs/>
          <w:sz w:val="26"/>
          <w:szCs w:val="26"/>
        </w:rPr>
        <w:t>Especialización en Derechos de los Pueblos Indígenas</w:t>
      </w:r>
      <w:r w:rsidRPr="00AE1B2B">
        <w:rPr>
          <w:rFonts w:ascii="Times New Roman" w:hAnsi="Times New Roman" w:cs="Times New Roman"/>
          <w:sz w:val="26"/>
          <w:szCs w:val="26"/>
        </w:rPr>
        <w:t>” y, también se encuentra diseñando un curso virtual autoformativo llamado “</w:t>
      </w:r>
      <w:r w:rsidRPr="00AE1B2B">
        <w:rPr>
          <w:rFonts w:ascii="Times New Roman" w:hAnsi="Times New Roman" w:cs="Times New Roman"/>
          <w:i/>
          <w:iCs/>
          <w:sz w:val="26"/>
          <w:szCs w:val="26"/>
        </w:rPr>
        <w:t>Breve acercamiento a los pueblos y personas indígenas de Costa Rica</w:t>
      </w:r>
      <w:r w:rsidRPr="00AE1B2B">
        <w:rPr>
          <w:rFonts w:ascii="Times New Roman" w:hAnsi="Times New Roman" w:cs="Times New Roman"/>
          <w:sz w:val="26"/>
          <w:szCs w:val="26"/>
        </w:rPr>
        <w:t>”. Para el año 2021, la Escuela Judicial tiene programado impartir nuevamente el foro llamado “</w:t>
      </w:r>
      <w:r w:rsidRPr="00AE1B2B">
        <w:rPr>
          <w:rFonts w:ascii="Times New Roman" w:hAnsi="Times New Roman" w:cs="Times New Roman"/>
          <w:i/>
          <w:iCs/>
          <w:sz w:val="26"/>
          <w:szCs w:val="26"/>
        </w:rPr>
        <w:t>Acceso a la Justicia de Pueblos Indígenas</w:t>
      </w:r>
      <w:r w:rsidRPr="00AE1B2B">
        <w:rPr>
          <w:rFonts w:ascii="Times New Roman" w:hAnsi="Times New Roman" w:cs="Times New Roman"/>
          <w:sz w:val="26"/>
          <w:szCs w:val="26"/>
        </w:rPr>
        <w:t>”, con colaboración de la Subcomisión de Acceso a la Justicia a Pueblos Indígenas y, está desarrollando el aula virtual del curso “</w:t>
      </w:r>
      <w:r w:rsidRPr="00AE1B2B">
        <w:rPr>
          <w:rFonts w:ascii="Times New Roman" w:hAnsi="Times New Roman" w:cs="Times New Roman"/>
          <w:i/>
          <w:iCs/>
          <w:sz w:val="26"/>
          <w:szCs w:val="26"/>
        </w:rPr>
        <w:t>Breve acercamiento a los pueblos y personas indígenas de Costa Rica</w:t>
      </w:r>
      <w:r w:rsidRPr="00AE1B2B">
        <w:rPr>
          <w:rFonts w:ascii="Times New Roman" w:hAnsi="Times New Roman" w:cs="Times New Roman"/>
          <w:sz w:val="26"/>
          <w:szCs w:val="26"/>
        </w:rPr>
        <w:t>” y dos cursos virtuales auto formativos. Por último, el oficio en mención informa que la Escuela Judicial tuvo que prescindir de la actividad académica que estuvo coordinando con la Universidad de Costa Rica, debido al recorte presupuestario en la partida correspondiente.</w:t>
      </w:r>
    </w:p>
    <w:p w:rsidRPr="00AE1B2B" w:rsidR="008F4340" w:rsidP="00163B94" w:rsidRDefault="008F4340" w14:paraId="2771F33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B757DDF" w14:textId="598B913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Adicionalmente, la Dirección de Planificación recibió notificación del informe número EJ-DIR-146-2020, del 10 de agosto de 2020, suscrito por la licenciada Rebeca Guardia Morales, </w:t>
      </w:r>
      <w:r w:rsidRPr="00AE1B2B">
        <w:rPr>
          <w:rFonts w:ascii="Times New Roman" w:hAnsi="Times New Roman" w:cs="Times New Roman"/>
          <w:sz w:val="26"/>
          <w:szCs w:val="26"/>
        </w:rPr>
        <w:lastRenderedPageBreak/>
        <w:t>Directora interina de la Escuela Judicial, relativo al Impacto organizacional y presupuestario en el Poder Judicial (Defensa Pública), a partir de la promulgación de la Ley 9593 de Acceso la Justicia de los Pueblos Indígenas; del cual se toma nota respecto a las siguientes manifestaciones:</w:t>
      </w:r>
    </w:p>
    <w:p w:rsidRPr="00AE1B2B" w:rsidR="008F4340" w:rsidP="00163B94" w:rsidRDefault="008F4340" w14:paraId="5A4ED2D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56AB27F" w14:textId="1CFB05C8">
      <w:pPr>
        <w:pStyle w:val="Prrafodelista"/>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“La Escuela Judicial aplica la evaluación de la efectividad (primer nivel), el cual es de reacción o satisfacción, y que consiste en medir si la persona está satisfecha con la acción de capacitación, conforme a sus necesidades y expectativas de aprendizaje. Para plantear una evaluación que muestre el comportamiento en el desempeño de la persona capacitada, deben utilizarse instrumentos más concretos, y realizarse en un período posterior a seis meses de realizada la capacitación, conforme en la etapa 3 de los procesos de evaluación, de acuerdo a la metodología aprobada.”</w:t>
      </w:r>
    </w:p>
    <w:p w:rsidRPr="00AE1B2B" w:rsidR="008F4340" w:rsidP="00163B94" w:rsidRDefault="008F4340" w14:paraId="6519794F" w14:textId="77777777">
      <w:pPr>
        <w:pStyle w:val="Prrafodelista"/>
        <w:spacing w:before="120" w:after="120"/>
        <w:ind w:left="851" w:right="851" w:firstLine="709"/>
        <w:jc w:val="both"/>
        <w:rPr>
          <w:rFonts w:ascii="Times New Roman" w:hAnsi="Times New Roman" w:cs="Times New Roman"/>
          <w:i/>
          <w:iCs/>
          <w:sz w:val="26"/>
          <w:szCs w:val="26"/>
          <w:lang w:eastAsia="en-US"/>
        </w:rPr>
      </w:pPr>
    </w:p>
    <w:p w:rsidRPr="00AE1B2B" w:rsidR="009D3FB5" w:rsidP="00163B94" w:rsidRDefault="009D3FB5" w14:paraId="294E8DDA" w14:textId="1D4FB99F">
      <w:pPr>
        <w:pStyle w:val="Prrafodelista"/>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“En el año 2019 se inició el trabajo de preparación del curso auto formativo en Ejes transversales solicitado, con la colaboración de las personas que representan a las oficinas de los respectivos ejes transversales: Secretaría Técnica de Género, Centro de Gestión de Calidad, Dirección Ejecutiva (Ambiente), Secretaría Técnica de Ética y Valores, Unidad de Acceso a la Justicia. En esa ocasión surgieron algunas inquietudes que se presentaron ante Carrera Judicial pues incidían directamente en el proceso de elaboración del curso. Ante esta consulta, y el análisis de las personas especialistas, se arribó a la siguiente propuesta:</w:t>
      </w:r>
    </w:p>
    <w:p w:rsidRPr="00AE1B2B" w:rsidR="008F4340" w:rsidP="00163B94" w:rsidRDefault="008F4340" w14:paraId="1690CE26" w14:textId="77777777">
      <w:pPr>
        <w:pStyle w:val="Prrafodelista"/>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45A4A442" w14:textId="77777777">
      <w:pPr>
        <w:pStyle w:val="Prrafodelista"/>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“Se sugiere utilizar los cursos ya existentes en la plataforma de Gestión Humana, por lo que deben actualizarse y establecerse como obligatorios. Estos los cursarían las personas oferentes elegibles de la Judicatura, y Carrera Judicial realizaría el proceso de seguimiento en la ejecución de los mismos. De igual forma, se propuso que se considerara la capacitación sobre los ejes transversales tanto en el Programa de Formación Inicial para Aspirantes a la Judicatura (FIAJ) como dentro del Programa Nivelación General Básica, que actualmente realiza la Escuela Judicial.”.</w:t>
      </w:r>
    </w:p>
    <w:p w:rsidRPr="00AE1B2B" w:rsidR="009D3FB5" w:rsidP="00163B94" w:rsidRDefault="009D3FB5" w14:paraId="561BB224" w14:textId="11885C11">
      <w:pPr>
        <w:pStyle w:val="Prrafodelista"/>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7F8DED69" w14:textId="3740A8E1">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Recomendaciones al Centro de Apoyo, Coordinación y Mejora miento de la Función Jurisdiccional </w:t>
      </w:r>
    </w:p>
    <w:p w:rsidRPr="00AE1B2B" w:rsidR="008F4340" w:rsidP="00163B94" w:rsidRDefault="008F4340" w14:paraId="469B9C2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2D9C94A" w14:textId="5AC1500A">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Como respuesta al seguimiento, se recibe el oficio 44-CACMFJ-JEF-2021 del 02 de febrero de 2021, remitido por la Señora Maricruz Chacón Cubillo, Directora del Centro de Apoyo, Coordinación y Mejoramiento de la Función Jurisdiccional; en el que se indica el cumplimiento de la siguiente recomendación:</w:t>
      </w:r>
    </w:p>
    <w:p w:rsidRPr="00AE1B2B" w:rsidR="008F4340" w:rsidP="00163B94" w:rsidRDefault="008F4340" w14:paraId="4528765C"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780BBDF9" w14:textId="3C518263">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“Según recomendación de la Comisión de Acceso a la Justicia, divulgar en conjunto con el Departamento de Prensa y Comunicación la Circular 188-2019 de la Secretaría de la Corte referente a los 20 ejes de acción, recomendados por la Comisión de Acceso a la Justicia, con ocasión del cumplimiento de las Medidas Cautelares N° 321-12 del 30 de abril de 2015, establecidas por la Comisión Interamericana de Derechos Humanos (CIDH) contra Costa Rica. Principalmente a lo establecido en los ejes 6 y 7.</w:t>
      </w:r>
    </w:p>
    <w:p w:rsidRPr="00AE1B2B" w:rsidR="008F4340" w:rsidP="00163B94" w:rsidRDefault="008F4340" w14:paraId="1E03D713"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7583EC19" w14:textId="145EB5D8">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Asimismo, se podrá solicitar colaboración a las Administraciones Regionales involucradas para obtener un mayor impacto en el personal judicial de cada zona.”</w:t>
      </w:r>
    </w:p>
    <w:p w:rsidRPr="00AE1B2B" w:rsidR="008F4340" w:rsidP="00163B94" w:rsidRDefault="008F4340" w14:paraId="1072CCF4"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6105688D" w14:textId="1F2D69EF">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En el citado oficio se indica que en cumplimiento de lo se remitió comunicado dirigido a las juezas coordinadoras y jueces coordinadores a nivel nacional, reiterando la Circular No. 188-19 “</w:t>
      </w:r>
      <w:r w:rsidRPr="00AE1B2B">
        <w:rPr>
          <w:rFonts w:ascii="Times New Roman" w:hAnsi="Times New Roman" w:eastAsia="Book Antiqua" w:cs="Times New Roman"/>
          <w:i/>
          <w:iCs/>
          <w:sz w:val="26"/>
          <w:szCs w:val="26"/>
        </w:rPr>
        <w:t>Modificación a la Circular N° 123-2019 Sobre los 20 ejes de acción, recomendados por la Comisión de Acceso a la Justicia, con ocasión del cumplimiento de las Medidas Cautelares N° 321-12 del 30 de abril de 2015, establecidas por la Comisión Interamericana de Derechos Humanos (CIDH) contra Costa Rica</w:t>
      </w:r>
      <w:r w:rsidRPr="00AE1B2B">
        <w:rPr>
          <w:rFonts w:ascii="Times New Roman" w:hAnsi="Times New Roman" w:eastAsia="Book Antiqua" w:cs="Times New Roman"/>
          <w:sz w:val="26"/>
          <w:szCs w:val="26"/>
        </w:rPr>
        <w:t xml:space="preserve">". </w:t>
      </w:r>
      <w:r w:rsidRPr="00AE1B2B">
        <w:rPr>
          <w:rFonts w:ascii="Times New Roman" w:hAnsi="Times New Roman" w:eastAsia="Book Antiqua" w:cs="Times New Roman"/>
          <w:b/>
          <w:bCs/>
          <w:sz w:val="26"/>
          <w:szCs w:val="26"/>
        </w:rPr>
        <w:t>Ver apéndice 7</w:t>
      </w:r>
      <w:r w:rsidRPr="00AE1B2B">
        <w:rPr>
          <w:rFonts w:ascii="Times New Roman" w:hAnsi="Times New Roman" w:eastAsia="Book Antiqua" w:cs="Times New Roman"/>
          <w:sz w:val="26"/>
          <w:szCs w:val="26"/>
        </w:rPr>
        <w:t>.</w:t>
      </w:r>
    </w:p>
    <w:p w:rsidRPr="00AE1B2B" w:rsidR="008F4340" w:rsidP="00163B94" w:rsidRDefault="008F4340" w14:paraId="2C45BFA1"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2788D19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Recomendaciones a Unidad de Acceso a la Justicia </w:t>
      </w:r>
    </w:p>
    <w:p w:rsidRPr="00AE1B2B" w:rsidR="009D3FB5" w:rsidP="00163B94" w:rsidRDefault="009D3FB5" w14:paraId="46DDB565" w14:textId="0AD55A1C">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recomendación del informe anterior es la siguiente: </w:t>
      </w:r>
      <w:r w:rsidRPr="00AE1B2B">
        <w:rPr>
          <w:rFonts w:ascii="Times New Roman" w:hAnsi="Times New Roman" w:cs="Times New Roman"/>
          <w:b/>
          <w:bCs/>
          <w:sz w:val="26"/>
          <w:szCs w:val="26"/>
        </w:rPr>
        <w:t>Ver apéndice 9</w:t>
      </w:r>
      <w:r w:rsidRPr="00AE1B2B">
        <w:rPr>
          <w:rFonts w:ascii="Times New Roman" w:hAnsi="Times New Roman" w:cs="Times New Roman"/>
          <w:sz w:val="26"/>
          <w:szCs w:val="26"/>
        </w:rPr>
        <w:t>.</w:t>
      </w:r>
    </w:p>
    <w:p w:rsidRPr="00AE1B2B" w:rsidR="008F4340" w:rsidP="00163B94" w:rsidRDefault="008F4340" w14:paraId="35EE96C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284C33A" w14:textId="1D1A0E88">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“Según recomendación de la Comisión de Acceso a la Justicia en el oficio CACC-116-2020 del 14 abril, elaborar y remitir a los </w:t>
      </w:r>
      <w:r w:rsidRPr="00AE1B2B">
        <w:rPr>
          <w:rFonts w:ascii="Times New Roman" w:hAnsi="Times New Roman" w:cs="Times New Roman"/>
          <w:i/>
          <w:iCs/>
          <w:sz w:val="26"/>
          <w:szCs w:val="26"/>
        </w:rPr>
        <w:lastRenderedPageBreak/>
        <w:t>diferentes ámbitos involucrados un formato o plantilla que contenga todas las variables de interés en lo referente a asuntos indígenas.</w:t>
      </w:r>
    </w:p>
    <w:p w:rsidRPr="00AE1B2B" w:rsidR="008F4340" w:rsidP="00163B94" w:rsidRDefault="008F4340" w14:paraId="0BAC3586"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7A42523F" w14:textId="688E1F68">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Posteriormente, los insumos recabados deberán ser consolidados y será la misma Unidad de Acceso a la Justicia quien elabore un informe con los resultados más relevantes y de interés institucional para la toma de decisiones en relación con la temática indígena.</w:t>
      </w:r>
    </w:p>
    <w:p w:rsidRPr="00AE1B2B" w:rsidR="008F4340" w:rsidP="00163B94" w:rsidRDefault="008F4340" w14:paraId="2F57CECB"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5D5A3458" w14:textId="56A51ECE">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Este informe deberá ser presentado ante el Consejo Superior con una periodicidad al menos semestral.”</w:t>
      </w:r>
    </w:p>
    <w:p w:rsidRPr="00AE1B2B" w:rsidR="008F4340" w:rsidP="00163B94" w:rsidRDefault="008F4340" w14:paraId="179BB59B"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6896FEBD" w14:textId="4B92BCF2">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respuesta al seguimiento se recibe correo electrónico de la Master Melissa Benavides Víquez, del a Unidad de Acceso a la Justicia; donde se indica textualmente:</w:t>
      </w:r>
    </w:p>
    <w:p w:rsidRPr="00AE1B2B" w:rsidR="008F4340" w:rsidP="00163B94" w:rsidRDefault="008F4340" w14:paraId="57676E3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3B792A6" w14:textId="35FD5B0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“Espero se encuentre bien. Conforme nuestra conversación y los correos adjuntos, le comento que desde la Subcomisión de Pueblos Indígenas dos personas expertas, junto con la Oficina de Control Interno, la Magistrada Damaris Vargas y mi persona, trabajamos en un instrumento denominado “Controles mínimos que deben cumplir las oficinas judiciales asociadas al acceso a la justicia de la población indígena” que se conocerá en la sesión de esta subcomisión del día de mañana. Ese instrumento se espera tenga VB de la Comisión de Acceso a la Justicia el día martes y se envíe a Consejo Superior para que se apruebe como una circular vinculante para la institución. Del mismo modo se está trabajando un tema de indicadores para registrar las personas usuarias en los sistemas institucionales, se solicitó un dictamen a Dirección Jurídica sobre los alcances de lo que es información sensible y se aprobó en Consejo Superior recientemente. Estamos atentas a la notificación sobre lo resuelto.”</w:t>
      </w:r>
    </w:p>
    <w:p w:rsidRPr="00AE1B2B" w:rsidR="008F4340" w:rsidP="00163B94" w:rsidRDefault="008F4340" w14:paraId="5399E3D9"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348192B1" w14:textId="51C6E089">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Además, se recibió el oficio CACC-110-2021 del 16 de febrero de 2021, remitido por la Máster Melissa Benavides Víquez, Coordinadora Unidad de Acceso a la Justicia; donde se remite el acuerdo tomado por la Comisión de Acceso a la Justicia de Poblaciones en Condición de Vulnerabilidad en la sesión virtual celebrada el martes 09 de febrero de 2021, artículo V con temática </w:t>
      </w:r>
      <w:r w:rsidRPr="00AE1B2B">
        <w:rPr>
          <w:rFonts w:ascii="Times New Roman" w:hAnsi="Times New Roman" w:cs="Times New Roman"/>
          <w:sz w:val="26"/>
          <w:szCs w:val="26"/>
        </w:rPr>
        <w:lastRenderedPageBreak/>
        <w:t>“</w:t>
      </w:r>
      <w:r w:rsidRPr="00AE1B2B">
        <w:rPr>
          <w:rFonts w:ascii="Times New Roman" w:hAnsi="Times New Roman" w:cs="Times New Roman"/>
          <w:i/>
          <w:iCs/>
          <w:sz w:val="26"/>
          <w:szCs w:val="26"/>
        </w:rPr>
        <w:t>Revisión de Controles mínimos que deben cumplir las oficinas judiciales asociadas al acceso a la justicia de la población indígena</w:t>
      </w:r>
      <w:r w:rsidRPr="00AE1B2B">
        <w:rPr>
          <w:rFonts w:ascii="Times New Roman" w:hAnsi="Times New Roman" w:cs="Times New Roman"/>
          <w:sz w:val="26"/>
          <w:szCs w:val="26"/>
        </w:rPr>
        <w:t xml:space="preserve">”, donde se tiene el siguiente acuerdo: </w:t>
      </w:r>
    </w:p>
    <w:p w:rsidRPr="00AE1B2B" w:rsidR="008F4340" w:rsidP="00163B94" w:rsidRDefault="008F4340" w14:paraId="55A0C66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9E56677" w14:textId="13E84712">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“Se da el visto bueno por parte de la Comisión para que sea remitido para su gestión ante el Consejo Superior del Poder Judicial, la comunicación se hará desde la Oficina de Control Interno. 3.- Comuníquese al Departamento de Planificación como respuesta al oficio 507-PLA-RH-MI-2020.”</w:t>
      </w:r>
    </w:p>
    <w:p w:rsidRPr="00AE1B2B" w:rsidR="008F4340" w:rsidP="00163B94" w:rsidRDefault="008F4340" w14:paraId="50FB355C"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2098DF17" w14:textId="503AF0A0">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Recomendaciones a la Dirección de Planificación</w:t>
      </w:r>
    </w:p>
    <w:p w:rsidRPr="00AE1B2B" w:rsidR="008F4340" w:rsidP="00163B94" w:rsidRDefault="008F4340" w14:paraId="002DFAA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3B33280" w14:textId="7EF67C6F">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recomendación brindada es:</w:t>
      </w:r>
    </w:p>
    <w:p w:rsidRPr="00AE1B2B" w:rsidR="008F4340" w:rsidP="00163B94" w:rsidRDefault="008F4340" w14:paraId="5110BA5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CA5145F" w14:textId="09CA7CBF">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“Una vez que se cuente con la mejora en los sistemas informáticos, que el Subproceso de Estadística de la Dirección de Planificación, verifique contar con la fórmula estadística de todas las materias para determinar la cantidad de expedientes donde figure una persona indígena, así como servidores judiciales, con el fin de contar con el insumo para futuros estudios que permitan establecer la proyección de la demanda del servicio.”.</w:t>
      </w:r>
    </w:p>
    <w:p w:rsidRPr="00AE1B2B" w:rsidR="008F4340" w:rsidP="00163B94" w:rsidRDefault="008F4340" w14:paraId="382061A3"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540B3902" w14:textId="4D4E712C">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Como respuesta se recibió un correo electrónico de la Señora Marlen Vargas Benavides, Coordinadora del Subproceso de Estadística; donde se indica que ya se cuenta en el sistema SIGMA un reporte estadístico para determinar asuntos entrados y activos con persona usuaria indígena, sin embargo, aún no se no dispone de las bases de datos del personal judicial para poder bridar el dato.</w:t>
      </w:r>
    </w:p>
    <w:p w:rsidRPr="00AE1B2B" w:rsidR="008F4340" w:rsidP="00163B94" w:rsidRDefault="008F4340" w14:paraId="55587F5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D96D9E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F32DE32" w14:textId="3F1A556B">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Elementos resolutivos </w:t>
      </w:r>
    </w:p>
    <w:p w:rsidRPr="00AE1B2B" w:rsidR="008F4340" w:rsidP="00163B94" w:rsidRDefault="008F4340" w14:paraId="704BCCC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D82E520" w14:textId="26FBBF24">
      <w:pPr>
        <w:numPr>
          <w:ilvl w:val="0"/>
          <w:numId w:val="52"/>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Respecto a la plaza de Supervisión de Asuntos Indígenas de la Defensa Pública, se consulta a la Dirección de Gestión Humana el acuerdo del Consejo Superior que aprueba la creación de dicha plaza (</w:t>
      </w:r>
      <w:r w:rsidRPr="00AE1B2B">
        <w:rPr>
          <w:rFonts w:ascii="Times New Roman" w:hAnsi="Times New Roman" w:cs="Times New Roman"/>
          <w:i/>
          <w:iCs/>
          <w:sz w:val="26"/>
          <w:szCs w:val="26"/>
        </w:rPr>
        <w:t xml:space="preserve">según se explicó en el apartado </w:t>
      </w:r>
      <w:r w:rsidRPr="00AE1B2B">
        <w:rPr>
          <w:rFonts w:ascii="Times New Roman" w:hAnsi="Times New Roman" w:cs="Times New Roman"/>
          <w:b/>
          <w:bCs/>
          <w:i/>
          <w:iCs/>
          <w:sz w:val="26"/>
          <w:szCs w:val="26"/>
        </w:rPr>
        <w:t>II. Antecedentes</w:t>
      </w:r>
      <w:r w:rsidRPr="00AE1B2B">
        <w:rPr>
          <w:rFonts w:ascii="Times New Roman" w:hAnsi="Times New Roman" w:cs="Times New Roman"/>
          <w:i/>
          <w:iCs/>
          <w:sz w:val="26"/>
          <w:szCs w:val="26"/>
        </w:rPr>
        <w:t xml:space="preserve"> y </w:t>
      </w:r>
      <w:r w:rsidRPr="00AE1B2B">
        <w:rPr>
          <w:rFonts w:ascii="Times New Roman" w:hAnsi="Times New Roman" w:cs="Times New Roman"/>
          <w:b/>
          <w:bCs/>
          <w:i/>
          <w:iCs/>
          <w:sz w:val="26"/>
          <w:szCs w:val="26"/>
        </w:rPr>
        <w:t>V. Metodología</w:t>
      </w:r>
      <w:r w:rsidRPr="00AE1B2B">
        <w:rPr>
          <w:rFonts w:ascii="Times New Roman" w:hAnsi="Times New Roman" w:cs="Times New Roman"/>
          <w:sz w:val="26"/>
          <w:szCs w:val="26"/>
        </w:rPr>
        <w:t xml:space="preserve">) y, como respuesta se obtiene que, dicha plaza se creó </w:t>
      </w:r>
      <w:r w:rsidRPr="00AE1B2B">
        <w:rPr>
          <w:rFonts w:ascii="Times New Roman" w:hAnsi="Times New Roman" w:cs="Times New Roman"/>
          <w:sz w:val="26"/>
          <w:szCs w:val="26"/>
        </w:rPr>
        <w:lastRenderedPageBreak/>
        <w:t>con una cuota de atención de 48 personas usuarias indígenas por mes y, según el acuerdo de la instancia superior, se asume que dicha plaza contaría con circulante, dado que explícitamente menciona que la cuota mensual establecida es alta considerando traslados a zonas indígenas y choques de audiencias, entre otros. No obstante, de acuerdo con la minuta 43-PLA-MI-2021, la Supervisión de Asuntos Indígenas al 25 de enero de 2021 menciona que funge como co-defensa en cinco asuntos que se consideran de alta complejidad debido al alta cantidad de personas indígenas en calidad de intervinientes; aunado a que brinda colaboración en visitas carcelarias de personas defensoras que representa personas indígenas y son de oficinas alejadas a la capital. Además, se tiene el antecedente de que, por propuesta de la Jefatura de la Defensa Pública se aprueba la propuesta de “</w:t>
      </w:r>
      <w:r w:rsidRPr="00AE1B2B">
        <w:rPr>
          <w:rFonts w:ascii="Times New Roman" w:hAnsi="Times New Roman" w:cs="Times New Roman"/>
          <w:i/>
          <w:iCs/>
          <w:sz w:val="26"/>
          <w:szCs w:val="26"/>
        </w:rPr>
        <w:t>Modernización de la Estructura Organizacional de la Defensa Pública</w:t>
      </w:r>
      <w:r w:rsidRPr="00AE1B2B">
        <w:rPr>
          <w:rFonts w:ascii="Times New Roman" w:hAnsi="Times New Roman" w:cs="Times New Roman"/>
          <w:sz w:val="26"/>
          <w:szCs w:val="26"/>
        </w:rPr>
        <w:t>”, por lo que se infiere que la cuota de entrada mensual descrita anteriormente para la Supervisión de Asuntos Indígenas será sustituida por la carga de trabajo, a raíz de la implementación de la estructura organizacional por procesos, de la Defensa Pública.</w:t>
      </w:r>
    </w:p>
    <w:p w:rsidRPr="00AE1B2B" w:rsidR="008F4340" w:rsidP="00163B94" w:rsidRDefault="008F4340" w14:paraId="22E0A19F" w14:textId="77777777">
      <w:pPr>
        <w:spacing w:before="120" w:after="120"/>
        <w:ind w:left="1560" w:right="851"/>
        <w:jc w:val="both"/>
        <w:rPr>
          <w:rFonts w:ascii="Times New Roman" w:hAnsi="Times New Roman" w:cs="Times New Roman"/>
          <w:sz w:val="26"/>
          <w:szCs w:val="26"/>
        </w:rPr>
      </w:pPr>
    </w:p>
    <w:p w:rsidRPr="00AE1B2B" w:rsidR="009D3FB5" w:rsidP="00163B94" w:rsidRDefault="009D3FB5" w14:paraId="319CE8F9" w14:textId="1EA50690">
      <w:pPr>
        <w:numPr>
          <w:ilvl w:val="0"/>
          <w:numId w:val="52"/>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la atención de materia penal, se analizan las oficinas de la Defensa Pública que representan la mayor cantidad de asuntos entrados con persona usuaria indígena a nivel nacional, considerando los recargos que ha asumido el personal defensor penal en razón de atender a esta población que en su mayoría se encuentra en condición de vulnerabilidad. Se infirió estadísticamente, con base en el Modelo de Tramitación aprobado para la Defensa Pública, que las oficinas de mayor demanda de personas usuarias indígenas en asuntos de materia penal cuentan con el personal defensor requerido para su debida atención.</w:t>
      </w:r>
    </w:p>
    <w:p w:rsidRPr="00AE1B2B" w:rsidR="008F4340" w:rsidP="00163B94" w:rsidRDefault="008F4340" w14:paraId="6E8FBC60" w14:textId="77777777">
      <w:pPr>
        <w:pStyle w:val="Prrafodelista"/>
        <w:spacing w:before="120" w:after="120"/>
        <w:rPr>
          <w:rFonts w:ascii="Times New Roman" w:hAnsi="Times New Roman" w:cs="Times New Roman"/>
          <w:sz w:val="26"/>
          <w:szCs w:val="26"/>
        </w:rPr>
      </w:pPr>
    </w:p>
    <w:p w:rsidRPr="00AE1B2B" w:rsidR="008F4340" w:rsidP="00163B94" w:rsidRDefault="008F4340" w14:paraId="3BF985D3" w14:textId="77777777">
      <w:pPr>
        <w:spacing w:before="120" w:after="120"/>
        <w:ind w:left="1560" w:right="851"/>
        <w:jc w:val="both"/>
        <w:rPr>
          <w:rFonts w:ascii="Times New Roman" w:hAnsi="Times New Roman" w:cs="Times New Roman"/>
          <w:sz w:val="26"/>
          <w:szCs w:val="26"/>
        </w:rPr>
      </w:pPr>
    </w:p>
    <w:p w:rsidRPr="00AE1B2B" w:rsidR="009D3FB5" w:rsidP="00163B94" w:rsidRDefault="009D3FB5" w14:paraId="6BA264F5" w14:textId="1B3AAF14">
      <w:pPr>
        <w:numPr>
          <w:ilvl w:val="0"/>
          <w:numId w:val="52"/>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la atención de asuntos agrarios, se analizan los asuntos entrados en el año 2020 y en años anterior, donde se determina que la tendencia es al decrecimiento; contrario a la tendencia del circulante. Sin embargo, hay que tener en consideración que el año anterior fue atípico, debido a que por la emergencia nacional provocada por la enfermedad COVID-19 se suspendieron audiencias y diligencias, que impactaron en el rezago a nivel general. En el informe 507-PLA-RH-MI-2020 (</w:t>
      </w:r>
      <w:r w:rsidRPr="00AE1B2B">
        <w:rPr>
          <w:rFonts w:ascii="Times New Roman" w:hAnsi="Times New Roman" w:cs="Times New Roman"/>
          <w:i/>
          <w:iCs/>
          <w:sz w:val="26"/>
          <w:szCs w:val="26"/>
        </w:rPr>
        <w:t>115 procesos en promedio por persona defensora</w:t>
      </w:r>
      <w:r w:rsidRPr="00AE1B2B">
        <w:rPr>
          <w:rFonts w:ascii="Times New Roman" w:hAnsi="Times New Roman" w:cs="Times New Roman"/>
          <w:sz w:val="26"/>
          <w:szCs w:val="26"/>
        </w:rPr>
        <w:t xml:space="preserve">) se realizó el mismo análisis y el personal defensor </w:t>
      </w:r>
      <w:r w:rsidRPr="00AE1B2B">
        <w:rPr>
          <w:rFonts w:ascii="Times New Roman" w:hAnsi="Times New Roman" w:cs="Times New Roman"/>
          <w:sz w:val="26"/>
          <w:szCs w:val="26"/>
        </w:rPr>
        <w:lastRenderedPageBreak/>
        <w:t>se encontraba por debajo de los 180 asuntos activos en concordancia a la recomendación de la coordinación de materia; mientas que para el cierre de diciembre 2020, seis de las 16 plazas se encontraban por encima del circulante recomendado (</w:t>
      </w:r>
      <w:r w:rsidRPr="00AE1B2B">
        <w:rPr>
          <w:rFonts w:ascii="Times New Roman" w:hAnsi="Times New Roman" w:cs="Times New Roman"/>
          <w:i/>
          <w:iCs/>
          <w:sz w:val="26"/>
          <w:szCs w:val="26"/>
        </w:rPr>
        <w:t>considerando todos los asuntos atendidos, no sólo agrarios</w:t>
      </w:r>
      <w:r w:rsidRPr="00AE1B2B">
        <w:rPr>
          <w:rFonts w:ascii="Times New Roman" w:hAnsi="Times New Roman" w:cs="Times New Roman"/>
          <w:sz w:val="26"/>
          <w:szCs w:val="26"/>
        </w:rPr>
        <w:t>).</w:t>
      </w:r>
    </w:p>
    <w:p w:rsidRPr="00AE1B2B" w:rsidR="008F4340" w:rsidP="00163B94" w:rsidRDefault="008F4340" w14:paraId="355B6403" w14:textId="77777777">
      <w:pPr>
        <w:spacing w:before="120" w:after="120"/>
        <w:ind w:left="1560" w:right="851"/>
        <w:jc w:val="both"/>
        <w:rPr>
          <w:rFonts w:ascii="Times New Roman" w:hAnsi="Times New Roman" w:cs="Times New Roman"/>
          <w:sz w:val="26"/>
          <w:szCs w:val="26"/>
        </w:rPr>
      </w:pPr>
    </w:p>
    <w:p w:rsidRPr="00AE1B2B" w:rsidR="009D3FB5" w:rsidP="00163B94" w:rsidRDefault="009D3FB5" w14:paraId="5007F64D" w14:textId="1FA0E284">
      <w:pPr>
        <w:numPr>
          <w:ilvl w:val="0"/>
          <w:numId w:val="52"/>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cuanto al recargo de asuntos del personal defensor agrario en la co-defensa de asuntos contenciosos administrativos, el Doctor Roberto Montero García considera que dicho recargo debería recaer en el personal defensor administrativo de la Defensa Pública y no en el personal defensor agrario, por la naturaleza de su formación. Además, de que la carga de trabajo sustancia recae sobre el Doctor Montero García; este criterio es compartido por el Licenciado Mario Rosales Vargas, Coordinador de Materia Agraria de la Defensa Pública; y podría ser considero por la Jefatura de la Defensa Pública, más que el personal defensor agrario reporta un incremento en los asuntos activos.</w:t>
      </w:r>
    </w:p>
    <w:p w:rsidRPr="00AE1B2B" w:rsidR="008F4340" w:rsidP="00163B94" w:rsidRDefault="008F4340" w14:paraId="074275FE" w14:textId="77777777">
      <w:pPr>
        <w:pStyle w:val="Prrafodelista"/>
        <w:spacing w:before="120" w:after="120"/>
        <w:rPr>
          <w:rFonts w:ascii="Times New Roman" w:hAnsi="Times New Roman" w:cs="Times New Roman"/>
          <w:sz w:val="26"/>
          <w:szCs w:val="26"/>
        </w:rPr>
      </w:pPr>
    </w:p>
    <w:p w:rsidRPr="00AE1B2B" w:rsidR="008F4340" w:rsidP="00163B94" w:rsidRDefault="008F4340" w14:paraId="7A1EB63F" w14:textId="77777777">
      <w:pPr>
        <w:spacing w:before="120" w:after="120"/>
        <w:ind w:left="1560" w:right="851"/>
        <w:jc w:val="both"/>
        <w:rPr>
          <w:rFonts w:ascii="Times New Roman" w:hAnsi="Times New Roman" w:cs="Times New Roman"/>
          <w:sz w:val="26"/>
          <w:szCs w:val="26"/>
        </w:rPr>
      </w:pPr>
    </w:p>
    <w:p w:rsidRPr="00AE1B2B" w:rsidR="009D3FB5" w:rsidP="00163B94" w:rsidRDefault="009D3FB5" w14:paraId="5C80C602" w14:textId="1BB5425B">
      <w:pPr>
        <w:numPr>
          <w:ilvl w:val="0"/>
          <w:numId w:val="52"/>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plaza que asume la representación de los asuntos contenciosos administrativos donde interviene una persona usuaria indígena o una persona servidora judicial reporta al cierre de enero 2021 un total de 37 expedites activos, donde 33 ellos son persona usuaria indígena, 3 con persona funcionaria judicial y una persona se encuentra privada de libertad (</w:t>
      </w:r>
      <w:r w:rsidRPr="00AE1B2B">
        <w:rPr>
          <w:rFonts w:ascii="Times New Roman" w:hAnsi="Times New Roman" w:cs="Times New Roman"/>
          <w:i/>
          <w:iCs/>
          <w:sz w:val="26"/>
          <w:szCs w:val="26"/>
        </w:rPr>
        <w:t>no indica si es persona indígena</w:t>
      </w:r>
      <w:r w:rsidRPr="00AE1B2B">
        <w:rPr>
          <w:rFonts w:ascii="Times New Roman" w:hAnsi="Times New Roman" w:cs="Times New Roman"/>
          <w:sz w:val="26"/>
          <w:szCs w:val="26"/>
        </w:rPr>
        <w:t>); sin embargo, por la emergencia nacional provocada por la enfermedad COVID-19, el Doctor Montero García indicó en la sesión de trabajo del 01 de febrero de 2021 indicó que, el movimiento se vio afectado y, según el Libro de Registro ingresaron cuatro asuntos en el 2020, discriminando los asuntos que se reportan con fecha de ingreso “</w:t>
      </w:r>
      <w:r w:rsidRPr="00AE1B2B">
        <w:rPr>
          <w:rFonts w:ascii="Times New Roman" w:hAnsi="Times New Roman" w:cs="Times New Roman"/>
          <w:i/>
          <w:iCs/>
          <w:sz w:val="26"/>
          <w:szCs w:val="26"/>
        </w:rPr>
        <w:t>01/01/2020</w:t>
      </w:r>
      <w:r w:rsidRPr="00AE1B2B">
        <w:rPr>
          <w:rFonts w:ascii="Times New Roman" w:hAnsi="Times New Roman" w:cs="Times New Roman"/>
          <w:sz w:val="26"/>
          <w:szCs w:val="26"/>
        </w:rPr>
        <w:t>”, ya que se asume que fueron los asuntos activos con los que asume la plaza el Doctor Montero García.</w:t>
      </w:r>
    </w:p>
    <w:p w:rsidRPr="00AE1B2B" w:rsidR="008F4340" w:rsidP="00163B94" w:rsidRDefault="008F4340" w14:paraId="13BF4F90" w14:textId="77777777">
      <w:pPr>
        <w:spacing w:before="120" w:after="120"/>
        <w:ind w:left="1560" w:right="851"/>
        <w:jc w:val="both"/>
        <w:rPr>
          <w:rFonts w:ascii="Times New Roman" w:hAnsi="Times New Roman" w:cs="Times New Roman"/>
          <w:sz w:val="26"/>
          <w:szCs w:val="26"/>
        </w:rPr>
      </w:pPr>
    </w:p>
    <w:p w:rsidRPr="00AE1B2B" w:rsidR="009D3FB5" w:rsidP="00163B94" w:rsidRDefault="009D3FB5" w14:paraId="533912FE" w14:textId="2D5C0B20">
      <w:pPr>
        <w:numPr>
          <w:ilvl w:val="0"/>
          <w:numId w:val="52"/>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Respecto a la atención de asuntos alimentarios en la zona sur del país (</w:t>
      </w:r>
      <w:r w:rsidRPr="00AE1B2B">
        <w:rPr>
          <w:rFonts w:ascii="Times New Roman" w:hAnsi="Times New Roman" w:cs="Times New Roman"/>
          <w:i/>
          <w:iCs/>
          <w:sz w:val="26"/>
          <w:szCs w:val="26"/>
        </w:rPr>
        <w:t>primer y segundo circuito judicial de la zona sur</w:t>
      </w:r>
      <w:r w:rsidRPr="00AE1B2B">
        <w:rPr>
          <w:rFonts w:ascii="Times New Roman" w:hAnsi="Times New Roman" w:cs="Times New Roman"/>
          <w:sz w:val="26"/>
          <w:szCs w:val="26"/>
        </w:rPr>
        <w:t xml:space="preserve">), se analiza la dinámica de trabajo del personal defensor y las colaboraciones que se brindan entre oficinas y se determina que, tal y como se infirió en el informe </w:t>
      </w:r>
      <w:r w:rsidRPr="00AE1B2B">
        <w:rPr>
          <w:rFonts w:ascii="Times New Roman" w:hAnsi="Times New Roman" w:cs="Times New Roman"/>
          <w:b/>
          <w:bCs/>
          <w:sz w:val="26"/>
          <w:szCs w:val="26"/>
        </w:rPr>
        <w:t>507-PLA-RH-MI-2020</w:t>
      </w:r>
      <w:r w:rsidRPr="00AE1B2B">
        <w:rPr>
          <w:rFonts w:ascii="Times New Roman" w:hAnsi="Times New Roman" w:cs="Times New Roman"/>
          <w:sz w:val="26"/>
          <w:szCs w:val="26"/>
        </w:rPr>
        <w:t xml:space="preserve">, la oficina de Buenos Aires requiere de una plaza de persona defensora para la atención de Pensiones Alimentarias en asuntos donde intervengan </w:t>
      </w:r>
      <w:r w:rsidRPr="00AE1B2B">
        <w:rPr>
          <w:rFonts w:ascii="Times New Roman" w:hAnsi="Times New Roman" w:cs="Times New Roman"/>
          <w:sz w:val="26"/>
          <w:szCs w:val="26"/>
        </w:rPr>
        <w:lastRenderedPageBreak/>
        <w:t>personas usuarias indígenas demandadas, manteniendo el recargo de asuntos de Familia de Corredores, Osa y Buenos Aires (</w:t>
      </w:r>
      <w:r w:rsidRPr="00AE1B2B">
        <w:rPr>
          <w:rFonts w:ascii="Times New Roman" w:hAnsi="Times New Roman" w:cs="Times New Roman"/>
          <w:i/>
          <w:iCs/>
          <w:sz w:val="26"/>
          <w:szCs w:val="26"/>
        </w:rPr>
        <w:t>aproximadamente 37 al año</w:t>
      </w:r>
      <w:r w:rsidRPr="00AE1B2B">
        <w:rPr>
          <w:rFonts w:ascii="Times New Roman" w:hAnsi="Times New Roman" w:cs="Times New Roman"/>
          <w:sz w:val="26"/>
          <w:szCs w:val="26"/>
        </w:rPr>
        <w:t>); ya que se estima que la mayoría de las personas usuarias indígenas carezcan de recursos económicos para costear una defensa privada. La entrada promedio anual con persona usuaria indígena reportada por el Juzgado Contravencional de Buenos Aires (</w:t>
      </w:r>
      <w:r w:rsidRPr="00AE1B2B">
        <w:rPr>
          <w:rFonts w:ascii="Times New Roman" w:hAnsi="Times New Roman" w:cs="Times New Roman"/>
          <w:i/>
          <w:iCs/>
          <w:sz w:val="26"/>
          <w:szCs w:val="26"/>
        </w:rPr>
        <w:t>materia pensiones alimentarias</w:t>
      </w:r>
      <w:r w:rsidRPr="00AE1B2B">
        <w:rPr>
          <w:rFonts w:ascii="Times New Roman" w:hAnsi="Times New Roman" w:cs="Times New Roman"/>
          <w:sz w:val="26"/>
          <w:szCs w:val="26"/>
        </w:rPr>
        <w:t>) es de 100 de asuntos y, los demás despachos jurisdiccionales que atienden la materia alimentaria en la zona sur (</w:t>
      </w:r>
      <w:r w:rsidRPr="00AE1B2B">
        <w:rPr>
          <w:rFonts w:ascii="Times New Roman" w:hAnsi="Times New Roman" w:cs="Times New Roman"/>
          <w:i/>
          <w:iCs/>
          <w:sz w:val="26"/>
          <w:szCs w:val="26"/>
        </w:rPr>
        <w:t>excluyendo Pérez Zeledón, ya que cuenta con cuatro recursos</w:t>
      </w:r>
      <w:r w:rsidRPr="00AE1B2B">
        <w:rPr>
          <w:rFonts w:ascii="Times New Roman" w:hAnsi="Times New Roman" w:cs="Times New Roman"/>
          <w:sz w:val="26"/>
          <w:szCs w:val="26"/>
        </w:rPr>
        <w:t>) reportan un promedio de ingreso total de 31 expedientes anuales. Es por esto que, la plaza de persona defensora que se detecta como necesidad en la zona sur del país, al brindar colaboración a la oficina de Osa, Golfito, Coto Brus, Corredores y Puerto Jiménez tendría una entrada anual promedio de 131 expedientes alimentarios y 37 expedientes de Familia (</w:t>
      </w:r>
      <w:r w:rsidRPr="00AE1B2B">
        <w:rPr>
          <w:rFonts w:ascii="Times New Roman" w:hAnsi="Times New Roman" w:cs="Times New Roman"/>
          <w:i/>
          <w:iCs/>
          <w:sz w:val="26"/>
          <w:szCs w:val="26"/>
        </w:rPr>
        <w:t>58% de la entrada recomendada</w:t>
      </w:r>
      <w:r w:rsidRPr="00AE1B2B">
        <w:rPr>
          <w:rFonts w:ascii="Times New Roman" w:hAnsi="Times New Roman" w:cs="Times New Roman"/>
          <w:sz w:val="26"/>
          <w:szCs w:val="26"/>
        </w:rPr>
        <w:t xml:space="preserve">), estando por debajo de la entrada recomendada. No obstante, considerando los traslados a las oficinas a las que le brindaría colaboración y, las visitas a las zonas indígenas en procura de la divulgación del servicio brindado por la Defensa Pública; se podría valorar que esta plaza colabore en materia penal o en las necesidades que detecte la Jefatura de la Defensa Pública, siempre manteniendo su prioridad de atención en materia alimentaria. </w:t>
      </w:r>
    </w:p>
    <w:p w:rsidRPr="00AE1B2B" w:rsidR="008F4340" w:rsidP="00163B94" w:rsidRDefault="008F4340" w14:paraId="3F238CDD" w14:textId="77777777">
      <w:pPr>
        <w:spacing w:before="120" w:after="120"/>
        <w:ind w:left="851" w:right="851"/>
        <w:jc w:val="both"/>
        <w:rPr>
          <w:rFonts w:ascii="Times New Roman" w:hAnsi="Times New Roman" w:cs="Times New Roman"/>
          <w:sz w:val="26"/>
          <w:szCs w:val="26"/>
        </w:rPr>
      </w:pPr>
    </w:p>
    <w:p w:rsidRPr="00AE1B2B" w:rsidR="009D3FB5" w:rsidP="00163B94" w:rsidRDefault="009D3FB5" w14:paraId="4F9A7310" w14:textId="51DFC3A4">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 importante aclarar que la Dirección de Planificación detectó la necesidad de otra plaza para para la atención de personas usuarias en Pensiones Alimentarias en la oficina de Buenos Aires (</w:t>
      </w:r>
      <w:r w:rsidRPr="00AE1B2B">
        <w:rPr>
          <w:rFonts w:ascii="Times New Roman" w:hAnsi="Times New Roman" w:cs="Times New Roman"/>
          <w:i/>
          <w:iCs/>
          <w:sz w:val="26"/>
          <w:szCs w:val="26"/>
        </w:rPr>
        <w:t>un total de dos plazas en la oficina</w:t>
      </w:r>
      <w:r w:rsidRPr="00AE1B2B">
        <w:rPr>
          <w:rFonts w:ascii="Times New Roman" w:hAnsi="Times New Roman" w:cs="Times New Roman"/>
          <w:sz w:val="26"/>
          <w:szCs w:val="26"/>
        </w:rPr>
        <w:t xml:space="preserve">) y que la plaza de la oficina de Corredores mantiene una entrada por encima del promedio anual recomendado, sin embargo, el alcance del presente informe corresponde al impacto producto de la promulgación de la </w:t>
      </w:r>
      <w:r w:rsidRPr="00AE1B2B">
        <w:rPr>
          <w:rFonts w:ascii="Times New Roman" w:hAnsi="Times New Roman" w:cs="Times New Roman"/>
          <w:b/>
          <w:bCs/>
          <w:sz w:val="26"/>
          <w:szCs w:val="26"/>
        </w:rPr>
        <w:t>Ley 9593 de Acceso a la Justicia de Pueblos Indígenas</w:t>
      </w:r>
      <w:r w:rsidRPr="00AE1B2B">
        <w:rPr>
          <w:rFonts w:ascii="Times New Roman" w:hAnsi="Times New Roman" w:cs="Times New Roman"/>
          <w:sz w:val="26"/>
          <w:szCs w:val="26"/>
        </w:rPr>
        <w:t>, la cual impacta directamente en la representación gratuita de personas indígenas en calidad de demandados y, es por esto que, las necesidades de recurso humano de la zona sur para la atención de la parte actora en los procesos alimenticios serán cubiertas cuando se doten las plazas de Defensora o Defensor Público (</w:t>
      </w:r>
      <w:r w:rsidRPr="00AE1B2B">
        <w:rPr>
          <w:rFonts w:ascii="Times New Roman" w:hAnsi="Times New Roman" w:cs="Times New Roman"/>
          <w:i/>
          <w:iCs/>
          <w:sz w:val="26"/>
          <w:szCs w:val="26"/>
        </w:rPr>
        <w:t>atención de personas usuarias indígenas y no indígenas</w:t>
      </w:r>
      <w:r w:rsidRPr="00AE1B2B">
        <w:rPr>
          <w:rFonts w:ascii="Times New Roman" w:hAnsi="Times New Roman" w:cs="Times New Roman"/>
          <w:sz w:val="26"/>
          <w:szCs w:val="26"/>
        </w:rPr>
        <w:t>) recomendadas por Corte Plena en sesión 31-2020 celebrada el 2 de junio del 2020, artículo II (</w:t>
      </w:r>
      <w:r w:rsidRPr="00AE1B2B">
        <w:rPr>
          <w:rFonts w:ascii="Times New Roman" w:hAnsi="Times New Roman" w:cs="Times New Roman"/>
          <w:i/>
          <w:iCs/>
          <w:sz w:val="26"/>
          <w:szCs w:val="26"/>
        </w:rPr>
        <w:t>ver antecedentes</w:t>
      </w:r>
      <w:r w:rsidRPr="00AE1B2B">
        <w:rPr>
          <w:rFonts w:ascii="Times New Roman" w:hAnsi="Times New Roman" w:cs="Times New Roman"/>
          <w:sz w:val="26"/>
          <w:szCs w:val="26"/>
        </w:rPr>
        <w:t>).</w:t>
      </w:r>
    </w:p>
    <w:p w:rsidRPr="00AE1B2B" w:rsidR="008F4340" w:rsidP="00163B94" w:rsidRDefault="008F4340" w14:paraId="10613DC0" w14:textId="77777777">
      <w:pPr>
        <w:spacing w:before="120" w:after="120"/>
        <w:ind w:right="851"/>
        <w:jc w:val="both"/>
        <w:rPr>
          <w:rFonts w:ascii="Times New Roman" w:hAnsi="Times New Roman" w:cs="Times New Roman"/>
          <w:sz w:val="26"/>
          <w:szCs w:val="26"/>
        </w:rPr>
      </w:pPr>
    </w:p>
    <w:p w:rsidRPr="00AE1B2B" w:rsidR="009D3FB5" w:rsidP="00163B94" w:rsidRDefault="009D3FB5" w14:paraId="733D1004" w14:textId="7D8ABA0D">
      <w:pPr>
        <w:numPr>
          <w:ilvl w:val="0"/>
          <w:numId w:val="52"/>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En cuanto a la atención de asuntos alimentarios de las oficinas de la Defensa Pública de Upala y Guatuso se detecta que, la persona defensora responsable de ambas oficinas (</w:t>
      </w:r>
      <w:r w:rsidRPr="00AE1B2B">
        <w:rPr>
          <w:rFonts w:ascii="Times New Roman" w:hAnsi="Times New Roman" w:cs="Times New Roman"/>
          <w:i/>
          <w:iCs/>
          <w:sz w:val="26"/>
          <w:szCs w:val="26"/>
        </w:rPr>
        <w:t>se traslada de Upala a Guatuso</w:t>
      </w:r>
      <w:r w:rsidRPr="00AE1B2B">
        <w:rPr>
          <w:rFonts w:ascii="Times New Roman" w:hAnsi="Times New Roman" w:cs="Times New Roman"/>
          <w:sz w:val="26"/>
          <w:szCs w:val="26"/>
        </w:rPr>
        <w:t>) mantiene una entrada promedio anual de 457 expedientes, lo cual es superior a la entrada recomendada para el personal defensor alimentario. Sin embargo, la entrada de asuntos reportada por el área jurisdiccional con persona usuaria indígena es de 5 expedientes anuales (</w:t>
      </w:r>
      <w:r w:rsidRPr="00AE1B2B">
        <w:rPr>
          <w:rFonts w:ascii="Times New Roman" w:hAnsi="Times New Roman" w:cs="Times New Roman"/>
          <w:i/>
          <w:iCs/>
          <w:sz w:val="26"/>
          <w:szCs w:val="26"/>
        </w:rPr>
        <w:t>4 de ellos en Guatuso</w:t>
      </w:r>
      <w:r w:rsidRPr="00AE1B2B">
        <w:rPr>
          <w:rFonts w:ascii="Times New Roman" w:hAnsi="Times New Roman" w:cs="Times New Roman"/>
          <w:sz w:val="26"/>
          <w:szCs w:val="26"/>
        </w:rPr>
        <w:t xml:space="preserve"> </w:t>
      </w:r>
      <w:r w:rsidRPr="00AE1B2B">
        <w:rPr>
          <w:rFonts w:ascii="Times New Roman" w:hAnsi="Times New Roman" w:cs="Times New Roman"/>
          <w:i/>
          <w:iCs/>
          <w:sz w:val="26"/>
          <w:szCs w:val="26"/>
        </w:rPr>
        <w:t>y 1 en Upala</w:t>
      </w:r>
      <w:r w:rsidRPr="00AE1B2B">
        <w:rPr>
          <w:rFonts w:ascii="Times New Roman" w:hAnsi="Times New Roman" w:cs="Times New Roman"/>
          <w:sz w:val="26"/>
          <w:szCs w:val="26"/>
        </w:rPr>
        <w:t>) y, al tratarse el alcance del presente informe técnico acerca del impacto producto de la promulgación de la Ley 9593 de Acceso a la Justicia a Pueblos Indígenas; la Dirección de Planificación detecta que prevalece la necesidad de recurso en la zona y, recuerda que el mismo será suplido en cuanto se doten las plazas recomendadas por Corte Plena en sesión 31-2020 celebrada el 2 de junio del 2020, artículo II, donde aprobó la inclusión en el presupuesto extraordinario 2021 de la Institución 33 plazas de Defensora o Defensor Público, además, se recomienda que la Jefatura de la Defensa Pública considere la ubicación de un recurso en la zona (</w:t>
      </w:r>
      <w:r w:rsidRPr="00AE1B2B">
        <w:rPr>
          <w:rFonts w:ascii="Times New Roman" w:hAnsi="Times New Roman" w:cs="Times New Roman"/>
          <w:i/>
          <w:iCs/>
          <w:sz w:val="26"/>
          <w:szCs w:val="26"/>
        </w:rPr>
        <w:t>ver antecedentes</w:t>
      </w:r>
      <w:r w:rsidRPr="00AE1B2B">
        <w:rPr>
          <w:rFonts w:ascii="Times New Roman" w:hAnsi="Times New Roman" w:cs="Times New Roman"/>
          <w:sz w:val="26"/>
          <w:szCs w:val="26"/>
        </w:rPr>
        <w:t>).</w:t>
      </w:r>
    </w:p>
    <w:p w:rsidRPr="00AE1B2B" w:rsidR="008F4340" w:rsidP="00163B94" w:rsidRDefault="008F4340" w14:paraId="4E10739E" w14:textId="77777777">
      <w:pPr>
        <w:spacing w:before="120" w:after="120"/>
        <w:ind w:left="1560" w:right="851"/>
        <w:jc w:val="both"/>
        <w:rPr>
          <w:rFonts w:ascii="Times New Roman" w:hAnsi="Times New Roman" w:cs="Times New Roman"/>
          <w:sz w:val="26"/>
          <w:szCs w:val="26"/>
        </w:rPr>
      </w:pPr>
    </w:p>
    <w:p w:rsidRPr="00AE1B2B" w:rsidR="009D3FB5" w:rsidP="00163B94" w:rsidRDefault="009D3FB5" w14:paraId="089C562E" w14:textId="683047A4">
      <w:pPr>
        <w:numPr>
          <w:ilvl w:val="0"/>
          <w:numId w:val="52"/>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Al analizar la dinámica de trabajo del circuito de Cartago y, el reporte del área jurisdiccional, se detecta la necesidad de una plaza que colabore en la tramitación de asuntos en la zona de Turrialba, debido a que el profesional de la zona cuenta con una entrada promedio anual de 478 expedientes, estando por encima de lo recomendado. Aunado a que, se traslada a Jiménez (</w:t>
      </w:r>
      <w:r w:rsidRPr="00AE1B2B">
        <w:rPr>
          <w:rFonts w:ascii="Times New Roman" w:hAnsi="Times New Roman" w:cs="Times New Roman"/>
          <w:i/>
          <w:iCs/>
          <w:sz w:val="26"/>
          <w:szCs w:val="26"/>
        </w:rPr>
        <w:t>Juan Viñas</w:t>
      </w:r>
      <w:r w:rsidRPr="00AE1B2B">
        <w:rPr>
          <w:rFonts w:ascii="Times New Roman" w:hAnsi="Times New Roman" w:cs="Times New Roman"/>
          <w:sz w:val="26"/>
          <w:szCs w:val="26"/>
        </w:rPr>
        <w:t>) para la atención de personas usuarias de la zona (</w:t>
      </w:r>
      <w:r w:rsidRPr="00AE1B2B">
        <w:rPr>
          <w:rFonts w:ascii="Times New Roman" w:hAnsi="Times New Roman" w:cs="Times New Roman"/>
          <w:i/>
          <w:iCs/>
          <w:sz w:val="26"/>
          <w:szCs w:val="26"/>
        </w:rPr>
        <w:t>indígenas y no indígenas</w:t>
      </w:r>
      <w:r w:rsidRPr="00AE1B2B">
        <w:rPr>
          <w:rFonts w:ascii="Times New Roman" w:hAnsi="Times New Roman" w:cs="Times New Roman"/>
          <w:sz w:val="26"/>
          <w:szCs w:val="26"/>
        </w:rPr>
        <w:t>) y por ello, el servicio en la zona de Turrialba se descontinúa. Además, la entrada promedio anual de asuntos con persona usuaria indígena del Juzgado Contravencional de Turrialba (materia Pensiones Alimentarias) y del Juzgado Contravencional de Jiménez (materia Pensiones Alimentarias) es de 21 y 2, respectivamente.</w:t>
      </w:r>
      <w:r w:rsidRPr="00AE1B2B">
        <w:rPr>
          <w:rFonts w:ascii="Times New Roman" w:hAnsi="Times New Roman" w:eastAsia="Arial" w:cs="Times New Roman"/>
          <w:sz w:val="26"/>
          <w:szCs w:val="26"/>
        </w:rPr>
        <w:t xml:space="preserve"> Aunado a que el Juzgado Familia, Penal Juvenil Y Violencia Doméstica De Turrialba (</w:t>
      </w:r>
      <w:r w:rsidRPr="00AE1B2B">
        <w:rPr>
          <w:rFonts w:ascii="Times New Roman" w:hAnsi="Times New Roman" w:eastAsia="Arial" w:cs="Times New Roman"/>
          <w:i/>
          <w:iCs/>
          <w:sz w:val="26"/>
          <w:szCs w:val="26"/>
        </w:rPr>
        <w:t>materia Familia</w:t>
      </w:r>
      <w:r w:rsidRPr="00AE1B2B">
        <w:rPr>
          <w:rFonts w:ascii="Times New Roman" w:hAnsi="Times New Roman" w:eastAsia="Arial" w:cs="Times New Roman"/>
          <w:sz w:val="26"/>
          <w:szCs w:val="26"/>
        </w:rPr>
        <w:t>) reporta el ingreso anual promedio de cinco expedientes con persona usuaria indígena.</w:t>
      </w:r>
      <w:r w:rsidRPr="00AE1B2B">
        <w:rPr>
          <w:rFonts w:ascii="Times New Roman" w:hAnsi="Times New Roman" w:cs="Times New Roman"/>
          <w:sz w:val="26"/>
          <w:szCs w:val="26"/>
        </w:rPr>
        <w:t xml:space="preserve"> En ese sentido y, como se explicó en el apartado </w:t>
      </w:r>
      <w:r w:rsidRPr="00AE1B2B">
        <w:rPr>
          <w:rFonts w:ascii="Times New Roman" w:hAnsi="Times New Roman" w:cs="Times New Roman"/>
          <w:b/>
          <w:bCs/>
          <w:sz w:val="26"/>
          <w:szCs w:val="26"/>
        </w:rPr>
        <w:t>III. Antecedentes</w:t>
      </w:r>
      <w:r w:rsidRPr="00AE1B2B">
        <w:rPr>
          <w:rFonts w:ascii="Times New Roman" w:hAnsi="Times New Roman" w:cs="Times New Roman"/>
          <w:sz w:val="26"/>
          <w:szCs w:val="26"/>
        </w:rPr>
        <w:t>, esta necesidad será suplida en cuanto se doten las plazas de Defensora o Defensor Público (</w:t>
      </w:r>
      <w:r w:rsidRPr="00AE1B2B">
        <w:rPr>
          <w:rFonts w:ascii="Times New Roman" w:hAnsi="Times New Roman" w:cs="Times New Roman"/>
          <w:i/>
          <w:iCs/>
          <w:sz w:val="26"/>
          <w:szCs w:val="26"/>
        </w:rPr>
        <w:t>atención de personas usuarias indígenas y no indígenas</w:t>
      </w:r>
      <w:r w:rsidRPr="00AE1B2B">
        <w:rPr>
          <w:rFonts w:ascii="Times New Roman" w:hAnsi="Times New Roman" w:cs="Times New Roman"/>
          <w:sz w:val="26"/>
          <w:szCs w:val="26"/>
        </w:rPr>
        <w:t>) recomendadas por Corte Plena en sesión 31-2020 celebrada el 2 de junio del 2020, artículo II.</w:t>
      </w:r>
    </w:p>
    <w:p w:rsidRPr="00AE1B2B" w:rsidR="008F4340" w:rsidP="00163B94" w:rsidRDefault="008F4340" w14:paraId="1F395737" w14:textId="77777777">
      <w:pPr>
        <w:spacing w:before="120" w:after="120"/>
        <w:ind w:left="1560" w:right="851"/>
        <w:jc w:val="both"/>
        <w:rPr>
          <w:rFonts w:ascii="Times New Roman" w:hAnsi="Times New Roman" w:cs="Times New Roman"/>
          <w:sz w:val="26"/>
          <w:szCs w:val="26"/>
        </w:rPr>
      </w:pPr>
    </w:p>
    <w:p w:rsidRPr="00AE1B2B" w:rsidR="009D3FB5" w:rsidP="00163B94" w:rsidRDefault="009D3FB5" w14:paraId="70A2C566" w14:textId="75D39D63">
      <w:pPr>
        <w:numPr>
          <w:ilvl w:val="0"/>
          <w:numId w:val="52"/>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En cuanto a la atención de asuntos alimentarios en el primer circuito de la Zona Atlántica, tal y como se infirió en el informe </w:t>
      </w:r>
      <w:r w:rsidRPr="00AE1B2B">
        <w:rPr>
          <w:rFonts w:ascii="Times New Roman" w:hAnsi="Times New Roman" w:cs="Times New Roman"/>
          <w:b/>
          <w:bCs/>
          <w:sz w:val="26"/>
          <w:szCs w:val="26"/>
        </w:rPr>
        <w:t>507-PLA-RH-MI-2020</w:t>
      </w:r>
      <w:r w:rsidRPr="00AE1B2B">
        <w:rPr>
          <w:rFonts w:ascii="Times New Roman" w:hAnsi="Times New Roman" w:cs="Times New Roman"/>
          <w:sz w:val="26"/>
          <w:szCs w:val="26"/>
        </w:rPr>
        <w:t>, la oficina de Bribri requiere de una plaza de persona defensora para la atención de Pensiones Alimentarias en asuntos donde intervengan personas usuarias indígenas demandadas; ya que se estima que la mayoría de las personas usuarias indígenas carezcan de recursos económicos para costear una defensa privada. La entrada promedio anual con persona usuaria indígena reportada por el Juzgado Contravencional de Bribri (</w:t>
      </w:r>
      <w:r w:rsidRPr="00AE1B2B">
        <w:rPr>
          <w:rFonts w:ascii="Times New Roman" w:hAnsi="Times New Roman" w:cs="Times New Roman"/>
          <w:i/>
          <w:iCs/>
          <w:sz w:val="26"/>
          <w:szCs w:val="26"/>
        </w:rPr>
        <w:t>materia pensiones alimentarias</w:t>
      </w:r>
      <w:r w:rsidRPr="00AE1B2B">
        <w:rPr>
          <w:rFonts w:ascii="Times New Roman" w:hAnsi="Times New Roman" w:cs="Times New Roman"/>
          <w:sz w:val="26"/>
          <w:szCs w:val="26"/>
        </w:rPr>
        <w:t>) es de 88 de asuntos y, el Juzgado Contravencional del Primer Circuito de la Zona Atlántica (</w:t>
      </w:r>
      <w:r w:rsidRPr="00AE1B2B">
        <w:rPr>
          <w:rFonts w:ascii="Times New Roman" w:hAnsi="Times New Roman" w:cs="Times New Roman"/>
          <w:i/>
          <w:iCs/>
          <w:sz w:val="26"/>
          <w:szCs w:val="26"/>
        </w:rPr>
        <w:t>materia pensiones alimentarias</w:t>
      </w:r>
      <w:r w:rsidRPr="00AE1B2B">
        <w:rPr>
          <w:rFonts w:ascii="Times New Roman" w:hAnsi="Times New Roman" w:cs="Times New Roman"/>
          <w:sz w:val="26"/>
          <w:szCs w:val="26"/>
        </w:rPr>
        <w:t>) y el Juzgado Contravencional de Matina (</w:t>
      </w:r>
      <w:r w:rsidRPr="00AE1B2B">
        <w:rPr>
          <w:rFonts w:ascii="Times New Roman" w:hAnsi="Times New Roman" w:cs="Times New Roman"/>
          <w:i/>
          <w:iCs/>
          <w:sz w:val="26"/>
          <w:szCs w:val="26"/>
        </w:rPr>
        <w:t>materia pensiones alimentarias</w:t>
      </w:r>
      <w:r w:rsidRPr="00AE1B2B">
        <w:rPr>
          <w:rFonts w:ascii="Times New Roman" w:hAnsi="Times New Roman" w:cs="Times New Roman"/>
          <w:sz w:val="26"/>
          <w:szCs w:val="26"/>
        </w:rPr>
        <w:t>) reportan 10 y 3 asuntos entrados en promedio con persona usuaria indígena; es por esto que se estima que esta plaza tenga una entrada de aproximadamente 101 expedientes anuales, estando por debajo de lo recomendado. En ese sentido, esta plaza podría realizar visitas frecuentes a las zonas indígenas con el propósito de divulgar el servicio de la Defensa Pública (</w:t>
      </w:r>
      <w:r w:rsidRPr="00AE1B2B">
        <w:rPr>
          <w:rFonts w:ascii="Times New Roman" w:hAnsi="Times New Roman" w:cs="Times New Roman"/>
          <w:i/>
          <w:iCs/>
          <w:sz w:val="26"/>
          <w:szCs w:val="26"/>
        </w:rPr>
        <w:t>en todas las materias, no solo alimentaria</w:t>
      </w:r>
      <w:r w:rsidRPr="00AE1B2B">
        <w:rPr>
          <w:rFonts w:ascii="Times New Roman" w:hAnsi="Times New Roman" w:cs="Times New Roman"/>
          <w:sz w:val="26"/>
          <w:szCs w:val="26"/>
        </w:rPr>
        <w:t>) y, podría colaborar en la atención de asuntos alimentarios de personas actoras en Limón, ya que estas personas defensoras mantienen una entrada promedio anual superior a la recomendada, aunado a que se trasladan para colaborar a otras oficinas. Además, mientas la carga de trabajo lo permita y no se desvirtúe la prioridad de atención de la materia alimentaria en caso de que la demanda aumente, esta plaza podría colaborar en asuntos penales y, en lo que considere pertinente la Jefatura de la Defensa Pública.</w:t>
      </w:r>
    </w:p>
    <w:p w:rsidRPr="00AE1B2B" w:rsidR="008F4340" w:rsidP="00163B94" w:rsidRDefault="008F4340" w14:paraId="5249D8F3" w14:textId="77777777">
      <w:pPr>
        <w:spacing w:before="120" w:after="120"/>
        <w:ind w:left="1560" w:right="851"/>
        <w:jc w:val="both"/>
        <w:rPr>
          <w:rFonts w:ascii="Times New Roman" w:hAnsi="Times New Roman" w:cs="Times New Roman"/>
          <w:sz w:val="26"/>
          <w:szCs w:val="26"/>
        </w:rPr>
      </w:pPr>
    </w:p>
    <w:p w:rsidRPr="00AE1B2B" w:rsidR="009D3FB5" w:rsidP="00163B94" w:rsidRDefault="009D3FB5" w14:paraId="2F7BDE14" w14:textId="7614B106">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Es importante aclarar que la Dirección de Planificación detectó que el personal defensor de Limón se encuentra por encima de la entrada promedio recomendada y es por esto que la plaza que se recomendó anteriormente para la Defensa Pública de Bribri podría colaborar con la atención de personas usuarias demandadas de Limón, sin embargo, el alcance del presente informe corresponde al impacto producto de la promulgación de la </w:t>
      </w:r>
      <w:r w:rsidRPr="00AE1B2B">
        <w:rPr>
          <w:rFonts w:ascii="Times New Roman" w:hAnsi="Times New Roman" w:cs="Times New Roman"/>
          <w:b/>
          <w:bCs/>
          <w:sz w:val="26"/>
          <w:szCs w:val="26"/>
        </w:rPr>
        <w:t>Ley 9593 de Acceso a la Justicia de Pueblos Indígenas</w:t>
      </w:r>
      <w:r w:rsidRPr="00AE1B2B">
        <w:rPr>
          <w:rFonts w:ascii="Times New Roman" w:hAnsi="Times New Roman" w:cs="Times New Roman"/>
          <w:sz w:val="26"/>
          <w:szCs w:val="26"/>
        </w:rPr>
        <w:t>, la cual impacta directamente en la representación gratuita de personas indígenas en calidad de demandados y, es por esto que, las necesidades de recurso humano del Primer Circuito Judicial de la Zona Atlántica para la atención de la parte actora en los procesos alimenticios serán cubiertas cuando se doten las plazas de Defensora o Defensor Público (</w:t>
      </w:r>
      <w:r w:rsidRPr="00AE1B2B">
        <w:rPr>
          <w:rFonts w:ascii="Times New Roman" w:hAnsi="Times New Roman" w:cs="Times New Roman"/>
          <w:i/>
          <w:iCs/>
          <w:sz w:val="26"/>
          <w:szCs w:val="26"/>
        </w:rPr>
        <w:t>atención de personas usuarias indígenas y no indígenas</w:t>
      </w:r>
      <w:r w:rsidRPr="00AE1B2B">
        <w:rPr>
          <w:rFonts w:ascii="Times New Roman" w:hAnsi="Times New Roman" w:cs="Times New Roman"/>
          <w:sz w:val="26"/>
          <w:szCs w:val="26"/>
        </w:rPr>
        <w:t xml:space="preserve">) recomendadas por Corte </w:t>
      </w:r>
      <w:r w:rsidRPr="00AE1B2B">
        <w:rPr>
          <w:rFonts w:ascii="Times New Roman" w:hAnsi="Times New Roman" w:cs="Times New Roman"/>
          <w:sz w:val="26"/>
          <w:szCs w:val="26"/>
        </w:rPr>
        <w:lastRenderedPageBreak/>
        <w:t>Plena en sesión 31-2020 celebrada el 2 de junio del 2020, artículo II, (</w:t>
      </w:r>
      <w:r w:rsidRPr="00AE1B2B">
        <w:rPr>
          <w:rFonts w:ascii="Times New Roman" w:hAnsi="Times New Roman" w:cs="Times New Roman"/>
          <w:i/>
          <w:iCs/>
          <w:sz w:val="26"/>
          <w:szCs w:val="26"/>
        </w:rPr>
        <w:t>ver antecedentes</w:t>
      </w:r>
      <w:r w:rsidRPr="00AE1B2B">
        <w:rPr>
          <w:rFonts w:ascii="Times New Roman" w:hAnsi="Times New Roman" w:cs="Times New Roman"/>
          <w:sz w:val="26"/>
          <w:szCs w:val="26"/>
        </w:rPr>
        <w:t>).</w:t>
      </w:r>
    </w:p>
    <w:p w:rsidRPr="00AE1B2B" w:rsidR="008F4340" w:rsidP="00163B94" w:rsidRDefault="008F4340" w14:paraId="12D82FB7" w14:textId="77777777">
      <w:pPr>
        <w:spacing w:before="120" w:after="120"/>
        <w:ind w:right="851"/>
        <w:jc w:val="both"/>
        <w:rPr>
          <w:rFonts w:ascii="Times New Roman" w:hAnsi="Times New Roman" w:cs="Times New Roman"/>
          <w:sz w:val="26"/>
          <w:szCs w:val="26"/>
        </w:rPr>
      </w:pPr>
    </w:p>
    <w:p w:rsidRPr="00AE1B2B" w:rsidR="009D3FB5" w:rsidP="00163B94" w:rsidRDefault="009D3FB5" w14:paraId="3E038134" w14:textId="77777777">
      <w:pPr>
        <w:numPr>
          <w:ilvl w:val="0"/>
          <w:numId w:val="52"/>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la dinámica de trabajo para la atención de asuntos laborales, como se mencionó anteriormente, las oficinas de Buenos Aires y Bribri no cuentan con un recurso de persona defensora destacado en dichas oficinas; la atención de asuntos laborales se realiza por colaboración de Pérez Zeledón y Limón, respectivamente. En ese sentido se analiza la tendencia del ingreso de asuntos laborales con persona usuaria indígena y se determina que es al decrecimiento a nivel nacional, es por ello que no se detectan variables cuantitativas que afecten la operativa del personal defensor que brinda servicio entre oficinas.</w:t>
      </w:r>
    </w:p>
    <w:p w:rsidRPr="00AE1B2B" w:rsidR="009D3FB5" w:rsidP="00163B94" w:rsidRDefault="009D3FB5" w14:paraId="27807CD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742DD04" w14:textId="0AAB2EC4">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Contenido presupuestario</w:t>
      </w:r>
    </w:p>
    <w:p w:rsidRPr="00AE1B2B" w:rsidR="008F4340" w:rsidP="00163B94" w:rsidRDefault="008F4340" w14:paraId="642DB9E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B2594CE" w14:textId="0E921709">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siguiente cuadro, se detalla el costo estimado de las dos plazas extraordinarias de Defensor Público, las cuales asumirán como parte de la carga de trabajo ordinaria la atención de los asuntos de Pensión Alimentaria donde figure como parte actora o demanda una o más personas indígenas. Además, se estima el costo estimado del mobiliario y equipo a asignar a las plazas en mención.</w:t>
      </w:r>
    </w:p>
    <w:p w:rsidRPr="00AE1B2B" w:rsidR="008F4340" w:rsidP="00163B94" w:rsidRDefault="008F4340" w14:paraId="158A5F0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BCA7F12" w14:textId="4942465C">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Tabla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Tabla \* ARABIC </w:instrText>
      </w:r>
      <w:r w:rsidRPr="00AE1B2B">
        <w:rPr>
          <w:rFonts w:ascii="Times New Roman" w:hAnsi="Times New Roman" w:cs="Times New Roman"/>
          <w:sz w:val="26"/>
          <w:szCs w:val="26"/>
        </w:rPr>
        <w:fldChar w:fldCharType="separate"/>
      </w:r>
      <w:r w:rsidRPr="00AE1B2B">
        <w:rPr>
          <w:rFonts w:ascii="Times New Roman" w:hAnsi="Times New Roman" w:cs="Times New Roman"/>
          <w:sz w:val="26"/>
          <w:szCs w:val="26"/>
        </w:rPr>
        <w:t>8</w:t>
      </w:r>
      <w:r w:rsidRPr="00AE1B2B">
        <w:rPr>
          <w:rFonts w:ascii="Times New Roman" w:hAnsi="Times New Roman" w:cs="Times New Roman"/>
          <w:sz w:val="26"/>
          <w:szCs w:val="26"/>
        </w:rPr>
        <w:fldChar w:fldCharType="end"/>
      </w:r>
    </w:p>
    <w:p w:rsidRPr="00AE1B2B" w:rsidR="009D3FB5" w:rsidP="00163B94" w:rsidRDefault="009D3FB5" w14:paraId="0279C663"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Estimación del costo estimado para el 2022, dos plazas extraordinarias de Defensor Público que atienden materia Pensión Alimentaria.</w:t>
      </w:r>
    </w:p>
    <w:tbl>
      <w:tblPr>
        <w:tblW w:w="5148" w:type="pct"/>
        <w:tblBorders>
          <w:top w:val="single" w:color="A5A5A5" w:sz="4" w:space="0"/>
          <w:left w:val="single" w:color="A5A5A5" w:sz="4" w:space="0"/>
          <w:bottom w:val="single" w:color="A5A5A5" w:sz="4" w:space="0"/>
          <w:right w:val="single" w:color="A5A5A5" w:sz="4" w:space="0"/>
          <w:insideH w:val="single" w:color="A5A5A5" w:sz="4" w:space="0"/>
          <w:insideV w:val="single" w:color="A5A5A5" w:sz="4" w:space="0"/>
        </w:tblBorders>
        <w:tblLayout w:type="fixed"/>
        <w:tblLook w:val="04A0" w:firstRow="1" w:lastRow="0" w:firstColumn="1" w:lastColumn="0" w:noHBand="0" w:noVBand="1"/>
      </w:tblPr>
      <w:tblGrid>
        <w:gridCol w:w="1193"/>
        <w:gridCol w:w="1071"/>
        <w:gridCol w:w="1134"/>
        <w:gridCol w:w="1276"/>
        <w:gridCol w:w="1560"/>
        <w:gridCol w:w="1134"/>
        <w:gridCol w:w="1721"/>
      </w:tblGrid>
      <w:tr w:rsidRPr="00AE1B2B" w:rsidR="00AE1B2B" w:rsidTr="009D3FB5" w14:paraId="526401E9" w14:textId="77777777">
        <w:trPr>
          <w:trHeight w:val="407"/>
        </w:trPr>
        <w:tc>
          <w:tcPr>
            <w:tcW w:w="656" w:type="pct"/>
            <w:shd w:val="clear" w:color="auto" w:fill="BDD6EE" w:themeFill="accent1" w:themeFillTint="66"/>
            <w:vAlign w:val="center"/>
          </w:tcPr>
          <w:p w:rsidRPr="00AE1B2B" w:rsidR="009D3FB5" w:rsidP="00163B94" w:rsidRDefault="009D3FB5" w14:paraId="14BC6636" w14:textId="77777777">
            <w:pPr>
              <w:spacing w:before="120" w:after="120"/>
              <w:jc w:val="center"/>
              <w:rPr>
                <w:rFonts w:ascii="Times New Roman" w:hAnsi="Times New Roman" w:eastAsia="Arial" w:cs="Times New Roman"/>
                <w:b/>
                <w:bCs/>
                <w:sz w:val="20"/>
                <w:szCs w:val="20"/>
                <w:lang w:eastAsia="es-CR"/>
              </w:rPr>
            </w:pPr>
            <w:r w:rsidRPr="00AE1B2B">
              <w:rPr>
                <w:rFonts w:ascii="Times New Roman" w:hAnsi="Times New Roman" w:eastAsia="Arial" w:cs="Times New Roman"/>
                <w:b/>
                <w:bCs/>
                <w:sz w:val="20"/>
                <w:szCs w:val="20"/>
                <w:lang w:eastAsia="es-CR"/>
              </w:rPr>
              <w:t>Despacho</w:t>
            </w:r>
          </w:p>
        </w:tc>
        <w:tc>
          <w:tcPr>
            <w:tcW w:w="589" w:type="pct"/>
            <w:shd w:val="clear" w:color="auto" w:fill="BDD6EE" w:themeFill="accent1" w:themeFillTint="66"/>
            <w:vAlign w:val="center"/>
          </w:tcPr>
          <w:p w:rsidRPr="00AE1B2B" w:rsidR="009D3FB5" w:rsidP="00163B94" w:rsidRDefault="009D3FB5" w14:paraId="1AA9D979" w14:textId="77777777">
            <w:pPr>
              <w:spacing w:before="120" w:after="120"/>
              <w:jc w:val="center"/>
              <w:rPr>
                <w:rFonts w:ascii="Times New Roman" w:hAnsi="Times New Roman" w:eastAsia="Arial" w:cs="Times New Roman"/>
                <w:b/>
                <w:bCs/>
                <w:sz w:val="20"/>
                <w:szCs w:val="20"/>
                <w:lang w:eastAsia="es-CR"/>
              </w:rPr>
            </w:pPr>
            <w:r w:rsidRPr="00AE1B2B">
              <w:rPr>
                <w:rFonts w:ascii="Times New Roman" w:hAnsi="Times New Roman" w:eastAsia="Arial" w:cs="Times New Roman"/>
                <w:b/>
                <w:bCs/>
                <w:sz w:val="20"/>
                <w:szCs w:val="20"/>
                <w:lang w:eastAsia="es-CR"/>
              </w:rPr>
              <w:t>Cantidad</w:t>
            </w:r>
          </w:p>
        </w:tc>
        <w:tc>
          <w:tcPr>
            <w:tcW w:w="624" w:type="pct"/>
            <w:shd w:val="clear" w:color="auto" w:fill="BDD6EE" w:themeFill="accent1" w:themeFillTint="66"/>
            <w:vAlign w:val="center"/>
          </w:tcPr>
          <w:p w:rsidRPr="00AE1B2B" w:rsidR="009D3FB5" w:rsidP="00163B94" w:rsidRDefault="009D3FB5" w14:paraId="0108B5C0" w14:textId="77777777">
            <w:pPr>
              <w:spacing w:before="120" w:after="120"/>
              <w:jc w:val="center"/>
              <w:rPr>
                <w:rFonts w:ascii="Times New Roman" w:hAnsi="Times New Roman" w:eastAsia="Arial" w:cs="Times New Roman"/>
                <w:b/>
                <w:bCs/>
                <w:sz w:val="20"/>
                <w:szCs w:val="20"/>
                <w:lang w:eastAsia="es-CR"/>
              </w:rPr>
            </w:pPr>
            <w:r w:rsidRPr="00AE1B2B">
              <w:rPr>
                <w:rFonts w:ascii="Times New Roman" w:hAnsi="Times New Roman" w:eastAsia="Arial" w:cs="Times New Roman"/>
                <w:b/>
                <w:bCs/>
                <w:sz w:val="20"/>
                <w:szCs w:val="20"/>
                <w:lang w:eastAsia="es-CR"/>
              </w:rPr>
              <w:t>Tipo de plaza</w:t>
            </w:r>
          </w:p>
        </w:tc>
        <w:tc>
          <w:tcPr>
            <w:tcW w:w="702" w:type="pct"/>
            <w:shd w:val="clear" w:color="auto" w:fill="BDD6EE" w:themeFill="accent1" w:themeFillTint="66"/>
            <w:vAlign w:val="center"/>
          </w:tcPr>
          <w:p w:rsidRPr="00AE1B2B" w:rsidR="009D3FB5" w:rsidP="00163B94" w:rsidRDefault="009D3FB5" w14:paraId="46314278" w14:textId="77777777">
            <w:pPr>
              <w:spacing w:before="120" w:after="120"/>
              <w:jc w:val="center"/>
              <w:rPr>
                <w:rFonts w:ascii="Times New Roman" w:hAnsi="Times New Roman" w:eastAsia="Arial" w:cs="Times New Roman"/>
                <w:b/>
                <w:bCs/>
                <w:sz w:val="20"/>
                <w:szCs w:val="20"/>
                <w:lang w:eastAsia="es-CR"/>
              </w:rPr>
            </w:pPr>
            <w:r w:rsidRPr="00AE1B2B">
              <w:rPr>
                <w:rFonts w:ascii="Times New Roman" w:hAnsi="Times New Roman" w:eastAsia="Arial" w:cs="Times New Roman"/>
                <w:b/>
                <w:bCs/>
                <w:sz w:val="20"/>
                <w:szCs w:val="20"/>
                <w:lang w:eastAsia="es-CR"/>
              </w:rPr>
              <w:t>Condición actual</w:t>
            </w:r>
          </w:p>
        </w:tc>
        <w:tc>
          <w:tcPr>
            <w:tcW w:w="858" w:type="pct"/>
            <w:shd w:val="clear" w:color="auto" w:fill="BDD6EE" w:themeFill="accent1" w:themeFillTint="66"/>
            <w:vAlign w:val="center"/>
          </w:tcPr>
          <w:p w:rsidRPr="00AE1B2B" w:rsidR="009D3FB5" w:rsidP="00163B94" w:rsidRDefault="009D3FB5" w14:paraId="6ACFC684" w14:textId="77777777">
            <w:pPr>
              <w:spacing w:before="120" w:after="120"/>
              <w:jc w:val="center"/>
              <w:rPr>
                <w:rFonts w:ascii="Times New Roman" w:hAnsi="Times New Roman" w:eastAsia="Arial" w:cs="Times New Roman"/>
                <w:b/>
                <w:bCs/>
                <w:sz w:val="20"/>
                <w:szCs w:val="20"/>
                <w:lang w:eastAsia="es-CR"/>
              </w:rPr>
            </w:pPr>
            <w:r w:rsidRPr="00AE1B2B">
              <w:rPr>
                <w:rFonts w:ascii="Times New Roman" w:hAnsi="Times New Roman" w:eastAsia="Arial" w:cs="Times New Roman"/>
                <w:b/>
                <w:bCs/>
                <w:sz w:val="20"/>
                <w:szCs w:val="20"/>
                <w:lang w:eastAsia="es-CR"/>
              </w:rPr>
              <w:t>Recomen-dación</w:t>
            </w:r>
          </w:p>
        </w:tc>
        <w:tc>
          <w:tcPr>
            <w:tcW w:w="624" w:type="pct"/>
            <w:shd w:val="clear" w:color="auto" w:fill="BDD6EE" w:themeFill="accent1" w:themeFillTint="66"/>
            <w:vAlign w:val="center"/>
          </w:tcPr>
          <w:p w:rsidRPr="00AE1B2B" w:rsidR="009D3FB5" w:rsidP="00163B94" w:rsidRDefault="009D3FB5" w14:paraId="3FFFA1DA" w14:textId="77777777">
            <w:pPr>
              <w:spacing w:before="120" w:after="120"/>
              <w:jc w:val="center"/>
              <w:rPr>
                <w:rFonts w:ascii="Times New Roman" w:hAnsi="Times New Roman" w:eastAsia="Arial" w:cs="Times New Roman"/>
                <w:b/>
                <w:bCs/>
                <w:sz w:val="20"/>
                <w:szCs w:val="20"/>
                <w:lang w:eastAsia="es-CR"/>
              </w:rPr>
            </w:pPr>
            <w:r w:rsidRPr="00AE1B2B">
              <w:rPr>
                <w:rFonts w:ascii="Times New Roman" w:hAnsi="Times New Roman" w:eastAsia="Arial" w:cs="Times New Roman"/>
                <w:b/>
                <w:bCs/>
                <w:sz w:val="20"/>
                <w:szCs w:val="20"/>
                <w:lang w:eastAsia="es-CR"/>
              </w:rPr>
              <w:t>Período</w:t>
            </w:r>
          </w:p>
        </w:tc>
        <w:tc>
          <w:tcPr>
            <w:tcW w:w="947" w:type="pct"/>
            <w:shd w:val="clear" w:color="auto" w:fill="BDD6EE" w:themeFill="accent1" w:themeFillTint="66"/>
            <w:vAlign w:val="center"/>
          </w:tcPr>
          <w:p w:rsidRPr="00AE1B2B" w:rsidR="009D3FB5" w:rsidP="00163B94" w:rsidRDefault="009D3FB5" w14:paraId="4CF0F140" w14:textId="77777777">
            <w:pPr>
              <w:spacing w:before="120" w:after="120"/>
              <w:jc w:val="center"/>
              <w:rPr>
                <w:rFonts w:ascii="Times New Roman" w:hAnsi="Times New Roman" w:eastAsia="Arial" w:cs="Times New Roman"/>
                <w:b/>
                <w:bCs/>
                <w:sz w:val="20"/>
                <w:szCs w:val="20"/>
                <w:lang w:eastAsia="es-CR"/>
              </w:rPr>
            </w:pPr>
            <w:r w:rsidRPr="00AE1B2B">
              <w:rPr>
                <w:rFonts w:ascii="Times New Roman" w:hAnsi="Times New Roman" w:eastAsia="Arial" w:cs="Times New Roman"/>
                <w:b/>
                <w:bCs/>
                <w:sz w:val="20"/>
                <w:szCs w:val="20"/>
                <w:lang w:eastAsia="es-CR"/>
              </w:rPr>
              <w:t>Costo Estimado</w:t>
            </w:r>
          </w:p>
        </w:tc>
      </w:tr>
      <w:tr w:rsidRPr="00AE1B2B" w:rsidR="00AE1B2B" w:rsidTr="009D3FB5" w14:paraId="16D1C095" w14:textId="77777777">
        <w:trPr>
          <w:trHeight w:val="203"/>
        </w:trPr>
        <w:tc>
          <w:tcPr>
            <w:tcW w:w="656" w:type="pct"/>
            <w:shd w:val="clear" w:color="auto" w:fill="auto"/>
            <w:vAlign w:val="center"/>
          </w:tcPr>
          <w:p w:rsidRPr="00AE1B2B" w:rsidR="009D3FB5" w:rsidP="00163B94" w:rsidRDefault="009D3FB5" w14:paraId="61AA236E" w14:textId="77777777">
            <w:pPr>
              <w:spacing w:before="120" w:after="120"/>
              <w:jc w:val="center"/>
              <w:rPr>
                <w:rFonts w:ascii="Times New Roman" w:hAnsi="Times New Roman" w:eastAsia="Arial" w:cs="Times New Roman"/>
                <w:sz w:val="20"/>
                <w:szCs w:val="20"/>
                <w:lang w:eastAsia="es-CR"/>
              </w:rPr>
            </w:pPr>
            <w:r w:rsidRPr="00AE1B2B">
              <w:rPr>
                <w:rFonts w:ascii="Times New Roman" w:hAnsi="Times New Roman" w:eastAsia="Arial" w:cs="Times New Roman"/>
                <w:sz w:val="20"/>
                <w:szCs w:val="20"/>
                <w:lang w:eastAsia="es-CR"/>
              </w:rPr>
              <w:t>Unidad de Pensión Alimentaria de la Dirección de la Defensa Pública</w:t>
            </w:r>
          </w:p>
        </w:tc>
        <w:tc>
          <w:tcPr>
            <w:tcW w:w="589" w:type="pct"/>
            <w:shd w:val="clear" w:color="auto" w:fill="auto"/>
            <w:vAlign w:val="center"/>
          </w:tcPr>
          <w:p w:rsidRPr="00AE1B2B" w:rsidR="009D3FB5" w:rsidP="00163B94" w:rsidRDefault="009D3FB5" w14:paraId="571E205B" w14:textId="77777777">
            <w:pPr>
              <w:spacing w:before="120" w:after="120"/>
              <w:jc w:val="center"/>
              <w:rPr>
                <w:rFonts w:ascii="Times New Roman" w:hAnsi="Times New Roman" w:eastAsia="Arial" w:cs="Times New Roman"/>
                <w:sz w:val="20"/>
                <w:szCs w:val="20"/>
                <w:lang w:eastAsia="es-CR"/>
              </w:rPr>
            </w:pPr>
            <w:r w:rsidRPr="00AE1B2B">
              <w:rPr>
                <w:rFonts w:ascii="Times New Roman" w:hAnsi="Times New Roman" w:eastAsia="Arial" w:cs="Times New Roman"/>
                <w:sz w:val="20"/>
                <w:szCs w:val="20"/>
                <w:lang w:eastAsia="es-CR"/>
              </w:rPr>
              <w:t>2</w:t>
            </w:r>
          </w:p>
        </w:tc>
        <w:tc>
          <w:tcPr>
            <w:tcW w:w="624" w:type="pct"/>
            <w:shd w:val="clear" w:color="auto" w:fill="auto"/>
            <w:vAlign w:val="center"/>
          </w:tcPr>
          <w:p w:rsidRPr="00AE1B2B" w:rsidR="009D3FB5" w:rsidP="00163B94" w:rsidRDefault="009D3FB5" w14:paraId="39CC2464" w14:textId="77777777">
            <w:pPr>
              <w:spacing w:before="120" w:after="120"/>
              <w:jc w:val="center"/>
              <w:rPr>
                <w:rFonts w:ascii="Times New Roman" w:hAnsi="Times New Roman" w:eastAsia="Arial" w:cs="Times New Roman"/>
                <w:sz w:val="20"/>
                <w:szCs w:val="20"/>
                <w:lang w:eastAsia="es-CR"/>
              </w:rPr>
            </w:pPr>
            <w:r w:rsidRPr="00AE1B2B">
              <w:rPr>
                <w:rFonts w:ascii="Times New Roman" w:hAnsi="Times New Roman" w:eastAsia="Arial" w:cs="Times New Roman"/>
                <w:sz w:val="20"/>
                <w:szCs w:val="20"/>
                <w:lang w:eastAsia="es-CR"/>
              </w:rPr>
              <w:t>Clase 3990. Defensor Público</w:t>
            </w:r>
          </w:p>
        </w:tc>
        <w:tc>
          <w:tcPr>
            <w:tcW w:w="702" w:type="pct"/>
            <w:shd w:val="clear" w:color="auto" w:fill="auto"/>
            <w:vAlign w:val="center"/>
          </w:tcPr>
          <w:p w:rsidRPr="00AE1B2B" w:rsidR="009D3FB5" w:rsidP="00163B94" w:rsidRDefault="009D3FB5" w14:paraId="679CE84B" w14:textId="77777777">
            <w:pPr>
              <w:spacing w:before="120" w:after="120"/>
              <w:jc w:val="center"/>
              <w:rPr>
                <w:rFonts w:ascii="Times New Roman" w:hAnsi="Times New Roman" w:eastAsia="Arial" w:cs="Times New Roman"/>
                <w:sz w:val="20"/>
                <w:szCs w:val="20"/>
                <w:lang w:eastAsia="es-CR"/>
              </w:rPr>
            </w:pPr>
            <w:r w:rsidRPr="00AE1B2B">
              <w:rPr>
                <w:rFonts w:ascii="Times New Roman" w:hAnsi="Times New Roman" w:eastAsia="Arial" w:cs="Times New Roman"/>
                <w:sz w:val="20"/>
                <w:szCs w:val="20"/>
                <w:lang w:eastAsia="es-CR"/>
              </w:rPr>
              <w:t>-</w:t>
            </w:r>
          </w:p>
        </w:tc>
        <w:tc>
          <w:tcPr>
            <w:tcW w:w="858" w:type="pct"/>
            <w:shd w:val="clear" w:color="auto" w:fill="auto"/>
            <w:vAlign w:val="center"/>
          </w:tcPr>
          <w:p w:rsidRPr="00AE1B2B" w:rsidR="009D3FB5" w:rsidP="00163B94" w:rsidRDefault="009D3FB5" w14:paraId="09886888" w14:textId="77777777">
            <w:pPr>
              <w:spacing w:before="120" w:after="120"/>
              <w:jc w:val="center"/>
              <w:rPr>
                <w:rFonts w:ascii="Times New Roman" w:hAnsi="Times New Roman" w:eastAsia="Arial" w:cs="Times New Roman"/>
                <w:sz w:val="20"/>
                <w:szCs w:val="20"/>
                <w:lang w:eastAsia="es-CR"/>
              </w:rPr>
            </w:pPr>
            <w:r w:rsidRPr="00AE1B2B">
              <w:rPr>
                <w:rFonts w:ascii="Times New Roman" w:hAnsi="Times New Roman" w:eastAsia="Arial" w:cs="Times New Roman"/>
                <w:sz w:val="20"/>
                <w:szCs w:val="20"/>
                <w:lang w:eastAsia="es-CR"/>
              </w:rPr>
              <w:t xml:space="preserve">Ordinaria </w:t>
            </w:r>
          </w:p>
        </w:tc>
        <w:tc>
          <w:tcPr>
            <w:tcW w:w="624" w:type="pct"/>
            <w:shd w:val="clear" w:color="auto" w:fill="auto"/>
            <w:vAlign w:val="center"/>
          </w:tcPr>
          <w:p w:rsidRPr="00AE1B2B" w:rsidR="009D3FB5" w:rsidP="00163B94" w:rsidRDefault="009D3FB5" w14:paraId="511ED05E" w14:textId="77777777">
            <w:pPr>
              <w:spacing w:before="120" w:after="120"/>
              <w:jc w:val="center"/>
              <w:rPr>
                <w:rFonts w:ascii="Times New Roman" w:hAnsi="Times New Roman" w:eastAsia="Arial" w:cs="Times New Roman"/>
                <w:sz w:val="20"/>
                <w:szCs w:val="20"/>
                <w:lang w:eastAsia="es-CR"/>
              </w:rPr>
            </w:pPr>
            <w:r w:rsidRPr="00AE1B2B">
              <w:rPr>
                <w:rFonts w:ascii="Times New Roman" w:hAnsi="Times New Roman" w:eastAsia="Arial" w:cs="Times New Roman"/>
                <w:sz w:val="20"/>
                <w:szCs w:val="20"/>
                <w:lang w:eastAsia="es-CR"/>
              </w:rPr>
              <w:t>12 meses</w:t>
            </w:r>
          </w:p>
        </w:tc>
        <w:tc>
          <w:tcPr>
            <w:tcW w:w="947" w:type="pct"/>
            <w:shd w:val="clear" w:color="auto" w:fill="auto"/>
            <w:vAlign w:val="center"/>
          </w:tcPr>
          <w:p w:rsidRPr="00AE1B2B" w:rsidR="009D3FB5" w:rsidP="00163B94" w:rsidRDefault="009D3FB5" w14:paraId="262C915F" w14:textId="77777777">
            <w:pPr>
              <w:spacing w:before="120" w:after="120"/>
              <w:jc w:val="center"/>
              <w:rPr>
                <w:rFonts w:ascii="Times New Roman" w:hAnsi="Times New Roman" w:eastAsia="Arial" w:cs="Times New Roman"/>
                <w:sz w:val="20"/>
                <w:szCs w:val="20"/>
                <w:lang w:eastAsia="es-CR"/>
              </w:rPr>
            </w:pPr>
            <w:r w:rsidRPr="00AE1B2B">
              <w:rPr>
                <w:rFonts w:ascii="Times New Roman" w:hAnsi="Times New Roman" w:eastAsia="Arial" w:cs="Times New Roman"/>
                <w:sz w:val="20"/>
                <w:szCs w:val="20"/>
                <w:lang w:eastAsia="es-CR"/>
              </w:rPr>
              <w:t>₡105.734.000</w:t>
            </w:r>
          </w:p>
        </w:tc>
      </w:tr>
      <w:tr w:rsidRPr="00AE1B2B" w:rsidR="00AE1B2B" w:rsidTr="009D3FB5" w14:paraId="6A0AC4DA" w14:textId="77777777">
        <w:trPr>
          <w:trHeight w:val="50"/>
        </w:trPr>
        <w:tc>
          <w:tcPr>
            <w:tcW w:w="4053" w:type="pct"/>
            <w:gridSpan w:val="6"/>
            <w:shd w:val="clear" w:color="auto" w:fill="F2F2F2" w:themeFill="background1" w:themeFillShade="F2"/>
            <w:vAlign w:val="bottom"/>
          </w:tcPr>
          <w:p w:rsidRPr="00AE1B2B" w:rsidR="009D3FB5" w:rsidP="00163B94" w:rsidRDefault="009D3FB5" w14:paraId="07D5CA28" w14:textId="77777777">
            <w:pPr>
              <w:spacing w:before="120" w:after="120"/>
              <w:jc w:val="center"/>
              <w:rPr>
                <w:rFonts w:ascii="Times New Roman" w:hAnsi="Times New Roman" w:cs="Times New Roman"/>
                <w:sz w:val="20"/>
                <w:szCs w:val="20"/>
              </w:rPr>
            </w:pPr>
            <w:r w:rsidRPr="00AE1B2B">
              <w:rPr>
                <w:rFonts w:ascii="Times New Roman" w:hAnsi="Times New Roman" w:cs="Times New Roman"/>
                <w:sz w:val="20"/>
                <w:szCs w:val="20"/>
              </w:rPr>
              <w:t>Mobiliario y equipo a asignar para plazas profesionales</w:t>
            </w:r>
          </w:p>
        </w:tc>
        <w:tc>
          <w:tcPr>
            <w:tcW w:w="947" w:type="pct"/>
            <w:shd w:val="clear" w:color="auto" w:fill="F2F2F2" w:themeFill="background1" w:themeFillShade="F2"/>
            <w:vAlign w:val="center"/>
          </w:tcPr>
          <w:p w:rsidRPr="00AE1B2B" w:rsidR="009D3FB5" w:rsidP="00163B94" w:rsidRDefault="009D3FB5" w14:paraId="2FB91296" w14:textId="77777777">
            <w:pPr>
              <w:spacing w:before="120" w:after="120"/>
              <w:jc w:val="center"/>
              <w:rPr>
                <w:rFonts w:ascii="Times New Roman" w:hAnsi="Times New Roman" w:eastAsia="Arial" w:cs="Times New Roman"/>
                <w:sz w:val="20"/>
                <w:szCs w:val="20"/>
                <w:lang w:eastAsia="es-CR"/>
              </w:rPr>
            </w:pPr>
            <w:r w:rsidRPr="00AE1B2B">
              <w:rPr>
                <w:rFonts w:ascii="Times New Roman" w:hAnsi="Times New Roman" w:eastAsia="Arial" w:cs="Times New Roman"/>
                <w:sz w:val="20"/>
                <w:szCs w:val="20"/>
                <w:lang w:eastAsia="es-CR"/>
              </w:rPr>
              <w:t>₡3.356.545</w:t>
            </w:r>
          </w:p>
        </w:tc>
      </w:tr>
      <w:tr w:rsidRPr="00AE1B2B" w:rsidR="00AE1B2B" w:rsidTr="009D3FB5" w14:paraId="40CA7652" w14:textId="77777777">
        <w:trPr>
          <w:trHeight w:val="203"/>
        </w:trPr>
        <w:tc>
          <w:tcPr>
            <w:tcW w:w="4053" w:type="pct"/>
            <w:gridSpan w:val="6"/>
            <w:shd w:val="clear" w:color="auto" w:fill="D9D9D9" w:themeFill="background1" w:themeFillShade="D9"/>
            <w:vAlign w:val="center"/>
          </w:tcPr>
          <w:p w:rsidRPr="00AE1B2B" w:rsidR="009D3FB5" w:rsidP="00163B94" w:rsidRDefault="009D3FB5" w14:paraId="3A2EE086" w14:textId="77777777">
            <w:pPr>
              <w:spacing w:before="120" w:after="120"/>
              <w:jc w:val="right"/>
              <w:rPr>
                <w:rFonts w:ascii="Times New Roman" w:hAnsi="Times New Roman" w:cs="Times New Roman"/>
                <w:b/>
                <w:bCs/>
                <w:sz w:val="20"/>
                <w:szCs w:val="20"/>
              </w:rPr>
            </w:pPr>
            <w:r w:rsidRPr="00AE1B2B">
              <w:rPr>
                <w:rFonts w:ascii="Times New Roman" w:hAnsi="Times New Roman" w:cs="Times New Roman"/>
                <w:b/>
                <w:bCs/>
                <w:sz w:val="20"/>
                <w:szCs w:val="20"/>
              </w:rPr>
              <w:lastRenderedPageBreak/>
              <w:t>Total</w:t>
            </w:r>
          </w:p>
        </w:tc>
        <w:tc>
          <w:tcPr>
            <w:tcW w:w="947" w:type="pct"/>
            <w:shd w:val="clear" w:color="auto" w:fill="D9D9D9" w:themeFill="background1" w:themeFillShade="D9"/>
            <w:vAlign w:val="center"/>
          </w:tcPr>
          <w:p w:rsidRPr="00AE1B2B" w:rsidR="009D3FB5" w:rsidP="00163B94" w:rsidRDefault="009D3FB5" w14:paraId="33683BCA" w14:textId="77777777">
            <w:pPr>
              <w:spacing w:before="120" w:after="120"/>
              <w:jc w:val="center"/>
              <w:rPr>
                <w:rFonts w:ascii="Times New Roman" w:hAnsi="Times New Roman" w:eastAsia="Arial" w:cs="Times New Roman"/>
                <w:b/>
                <w:bCs/>
                <w:sz w:val="20"/>
                <w:szCs w:val="20"/>
                <w:lang w:eastAsia="es-CR"/>
              </w:rPr>
            </w:pPr>
            <w:r w:rsidRPr="00AE1B2B">
              <w:rPr>
                <w:rFonts w:ascii="Times New Roman" w:hAnsi="Times New Roman" w:eastAsia="Arial" w:cs="Times New Roman"/>
                <w:b/>
                <w:bCs/>
                <w:sz w:val="20"/>
                <w:szCs w:val="20"/>
                <w:lang w:eastAsia="es-CR"/>
              </w:rPr>
              <w:t>₡105.354.545</w:t>
            </w:r>
          </w:p>
        </w:tc>
      </w:tr>
    </w:tbl>
    <w:p w:rsidRPr="00AE1B2B" w:rsidR="009D3FB5" w:rsidP="00163B94" w:rsidRDefault="009D3FB5" w14:paraId="3229FBA3" w14:textId="15705D93">
      <w:pPr>
        <w:spacing w:before="120" w:after="120"/>
        <w:ind w:left="851" w:right="851" w:firstLine="709"/>
        <w:jc w:val="both"/>
        <w:rPr>
          <w:rFonts w:ascii="Times New Roman" w:hAnsi="Times New Roman" w:eastAsia="Arial" w:cs="Times New Roman"/>
          <w:i/>
          <w:iCs/>
          <w:sz w:val="26"/>
          <w:szCs w:val="26"/>
        </w:rPr>
      </w:pPr>
      <w:r w:rsidRPr="00AE1B2B">
        <w:rPr>
          <w:rFonts w:ascii="Times New Roman" w:hAnsi="Times New Roman" w:eastAsia="Arial" w:cs="Times New Roman"/>
          <w:b/>
          <w:bCs/>
          <w:sz w:val="26"/>
          <w:szCs w:val="26"/>
        </w:rPr>
        <w:t>Nota (1):</w:t>
      </w:r>
      <w:r w:rsidRPr="00AE1B2B">
        <w:rPr>
          <w:rFonts w:ascii="Times New Roman" w:hAnsi="Times New Roman" w:eastAsia="Arial" w:cs="Times New Roman"/>
          <w:i/>
          <w:iCs/>
          <w:sz w:val="26"/>
          <w:szCs w:val="26"/>
        </w:rPr>
        <w:t xml:space="preserve"> Costo promedio por puesto de Defensor Público, para el 2022 es de ₡50.999.000</w:t>
      </w:r>
    </w:p>
    <w:p w:rsidRPr="00AE1B2B" w:rsidR="008F4340" w:rsidP="00163B94" w:rsidRDefault="008F4340" w14:paraId="12C29830" w14:textId="77777777">
      <w:pPr>
        <w:spacing w:before="120" w:after="120"/>
        <w:ind w:left="851" w:right="851" w:firstLine="709"/>
        <w:jc w:val="both"/>
        <w:rPr>
          <w:rFonts w:ascii="Times New Roman" w:hAnsi="Times New Roman" w:eastAsia="Arial" w:cs="Times New Roman"/>
          <w:i/>
          <w:iCs/>
          <w:sz w:val="26"/>
          <w:szCs w:val="26"/>
        </w:rPr>
      </w:pPr>
    </w:p>
    <w:p w:rsidRPr="00AE1B2B" w:rsidR="009D3FB5" w:rsidP="00163B94" w:rsidRDefault="009D3FB5" w14:paraId="0FA75982" w14:textId="4E551D5D">
      <w:pPr>
        <w:spacing w:before="120" w:after="120"/>
        <w:ind w:left="851" w:right="851" w:firstLine="709"/>
        <w:jc w:val="both"/>
        <w:rPr>
          <w:rFonts w:ascii="Times New Roman" w:hAnsi="Times New Roman" w:eastAsia="Arial" w:cs="Times New Roman"/>
          <w:i/>
          <w:iCs/>
          <w:sz w:val="26"/>
          <w:szCs w:val="26"/>
        </w:rPr>
      </w:pPr>
      <w:r w:rsidRPr="00AE1B2B">
        <w:rPr>
          <w:rFonts w:ascii="Times New Roman" w:hAnsi="Times New Roman" w:eastAsia="Arial" w:cs="Times New Roman"/>
          <w:b/>
          <w:bCs/>
          <w:sz w:val="26"/>
          <w:szCs w:val="26"/>
        </w:rPr>
        <w:t>Nota (2):</w:t>
      </w:r>
      <w:r w:rsidRPr="00AE1B2B">
        <w:rPr>
          <w:rFonts w:ascii="Times New Roman" w:hAnsi="Times New Roman" w:eastAsia="Arial" w:cs="Times New Roman"/>
          <w:i/>
          <w:iCs/>
          <w:sz w:val="26"/>
          <w:szCs w:val="26"/>
        </w:rPr>
        <w:t xml:space="preserve"> Costo total de gasto variable por cada plaza Profesional (Defensor Público), para el 2022 es de ₡1.678.273</w:t>
      </w:r>
    </w:p>
    <w:p w:rsidRPr="00AE1B2B" w:rsidR="008F4340" w:rsidP="00163B94" w:rsidRDefault="008F4340" w14:paraId="32544DE8" w14:textId="77777777">
      <w:pPr>
        <w:spacing w:before="120" w:after="120"/>
        <w:ind w:left="851" w:right="851" w:firstLine="709"/>
        <w:jc w:val="both"/>
        <w:rPr>
          <w:rFonts w:ascii="Times New Roman" w:hAnsi="Times New Roman" w:eastAsia="Arial" w:cs="Times New Roman"/>
          <w:i/>
          <w:iCs/>
          <w:sz w:val="26"/>
          <w:szCs w:val="26"/>
        </w:rPr>
      </w:pPr>
    </w:p>
    <w:p w:rsidRPr="00AE1B2B" w:rsidR="009D3FB5" w:rsidP="00163B94" w:rsidRDefault="009D3FB5" w14:paraId="22219A08" w14:textId="673D7DF1">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b/>
          <w:bCs/>
          <w:sz w:val="26"/>
          <w:szCs w:val="26"/>
        </w:rPr>
        <w:t>Fuente:</w:t>
      </w:r>
      <w:r w:rsidRPr="00AE1B2B">
        <w:rPr>
          <w:rFonts w:ascii="Times New Roman" w:hAnsi="Times New Roman" w:eastAsia="Arial" w:cs="Times New Roman"/>
          <w:sz w:val="26"/>
          <w:szCs w:val="26"/>
        </w:rPr>
        <w:t xml:space="preserve"> Modernización Institucional, con datos suministrados del Subproceso de Formulación de Presupuesto y Portafolio de Proyectos de la Dirección de Planificación</w:t>
      </w:r>
    </w:p>
    <w:p w:rsidRPr="00AE1B2B" w:rsidR="008F4340" w:rsidP="00163B94" w:rsidRDefault="008F4340" w14:paraId="3D157D63" w14:textId="77777777">
      <w:pPr>
        <w:spacing w:before="120" w:after="120"/>
        <w:ind w:left="851" w:right="851" w:firstLine="709"/>
        <w:jc w:val="both"/>
        <w:rPr>
          <w:rFonts w:ascii="Times New Roman" w:hAnsi="Times New Roman" w:eastAsia="Arial" w:cs="Times New Roman"/>
          <w:sz w:val="26"/>
          <w:szCs w:val="26"/>
        </w:rPr>
      </w:pPr>
    </w:p>
    <w:p w:rsidRPr="00AE1B2B" w:rsidR="00BE5897" w:rsidP="00163B94" w:rsidRDefault="00BE5897" w14:paraId="71B5B0B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E1EFB85" w14:textId="611EB294">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Recomendaciones</w:t>
      </w:r>
    </w:p>
    <w:p w:rsidRPr="00AE1B2B" w:rsidR="00BE5897" w:rsidP="00163B94" w:rsidRDefault="00BE5897" w14:paraId="1FF4780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5A41CA0" w14:textId="7C781BF3">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Corte Plena</w:t>
      </w:r>
    </w:p>
    <w:p w:rsidRPr="00AE1B2B" w:rsidR="008F4340" w:rsidP="00163B94" w:rsidRDefault="008F4340" w14:paraId="26D5231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3EACA9E" w14:textId="59AF7C06">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 xml:space="preserve">En razón de las limitaciones presupuestarias, mencionadas en el apartado </w:t>
      </w:r>
      <w:r w:rsidRPr="00AE1B2B">
        <w:rPr>
          <w:rFonts w:ascii="Times New Roman" w:hAnsi="Times New Roman" w:eastAsia="Arial" w:cs="Times New Roman"/>
          <w:b/>
          <w:bCs/>
          <w:sz w:val="26"/>
          <w:szCs w:val="26"/>
        </w:rPr>
        <w:t>III. Antecedentes</w:t>
      </w:r>
      <w:r w:rsidRPr="00AE1B2B">
        <w:rPr>
          <w:rFonts w:ascii="Times New Roman" w:hAnsi="Times New Roman" w:eastAsia="Arial" w:cs="Times New Roman"/>
          <w:sz w:val="26"/>
          <w:szCs w:val="26"/>
        </w:rPr>
        <w:t xml:space="preserve"> del presente informe, se plantean dos escenarios para el cumplimiento de la necesidad de personal para el efectivo acceso a la justicia a las personas usuarias indígenas.</w:t>
      </w:r>
    </w:p>
    <w:p w:rsidRPr="00AE1B2B" w:rsidR="008F4340" w:rsidP="00163B94" w:rsidRDefault="008F4340" w14:paraId="3C35D024" w14:textId="77777777">
      <w:pPr>
        <w:spacing w:before="120" w:after="120"/>
        <w:ind w:left="851" w:right="851" w:firstLine="709"/>
        <w:jc w:val="both"/>
        <w:rPr>
          <w:rFonts w:ascii="Times New Roman" w:hAnsi="Times New Roman" w:eastAsia="Arial" w:cs="Times New Roman"/>
          <w:sz w:val="26"/>
          <w:szCs w:val="26"/>
        </w:rPr>
      </w:pPr>
    </w:p>
    <w:p w:rsidRPr="00AE1B2B" w:rsidR="00BE5897" w:rsidP="00163B94" w:rsidRDefault="00BE5897" w14:paraId="26026699" w14:textId="77777777">
      <w:pPr>
        <w:spacing w:before="120" w:after="120"/>
        <w:ind w:left="851" w:right="851" w:firstLine="709"/>
        <w:jc w:val="both"/>
        <w:rPr>
          <w:rFonts w:ascii="Times New Roman" w:hAnsi="Times New Roman" w:cs="Times New Roman"/>
          <w:sz w:val="26"/>
          <w:szCs w:val="26"/>
          <w:u w:val="single"/>
        </w:rPr>
      </w:pPr>
    </w:p>
    <w:p w:rsidRPr="00AE1B2B" w:rsidR="009D3FB5" w:rsidP="00163B94" w:rsidRDefault="009D3FB5" w14:paraId="616BD47B" w14:textId="777EC65F">
      <w:pPr>
        <w:spacing w:before="120" w:after="120"/>
        <w:ind w:left="851" w:right="851" w:firstLine="709"/>
        <w:jc w:val="both"/>
        <w:rPr>
          <w:rFonts w:ascii="Times New Roman" w:hAnsi="Times New Roman" w:cs="Times New Roman"/>
          <w:sz w:val="26"/>
          <w:szCs w:val="26"/>
          <w:u w:val="single"/>
        </w:rPr>
      </w:pPr>
      <w:r w:rsidRPr="00AE1B2B">
        <w:rPr>
          <w:rFonts w:ascii="Times New Roman" w:hAnsi="Times New Roman" w:cs="Times New Roman"/>
          <w:sz w:val="26"/>
          <w:szCs w:val="26"/>
          <w:u w:val="single"/>
        </w:rPr>
        <w:t>Escenario 1: Inclusión de plazas dentro del presupuesto 2022</w:t>
      </w:r>
    </w:p>
    <w:p w:rsidRPr="00AE1B2B" w:rsidR="008F4340" w:rsidP="00163B94" w:rsidRDefault="008F4340" w14:paraId="558D2DC9" w14:textId="77777777">
      <w:pPr>
        <w:spacing w:before="120" w:after="120"/>
        <w:ind w:left="851" w:right="851" w:firstLine="709"/>
        <w:jc w:val="both"/>
        <w:rPr>
          <w:rFonts w:ascii="Times New Roman" w:hAnsi="Times New Roman" w:cs="Times New Roman"/>
          <w:sz w:val="26"/>
          <w:szCs w:val="26"/>
          <w:u w:val="single"/>
        </w:rPr>
      </w:pPr>
    </w:p>
    <w:p w:rsidRPr="00AE1B2B" w:rsidR="009D3FB5" w:rsidP="00163B94" w:rsidRDefault="009D3FB5" w14:paraId="00C35EA9" w14:textId="542D9B96">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Incluir dentro del presupuesto 2022, dos plazas de Defensora o Defensor Público para la atención de asuntos de Pensión Alimentaria, que se recomienda, mientras la carga de trabajo lo permita, brinde colaboración en materia penal y demás disposiciones de la Jefatura de la Defensa Pública; con el fin de dar sostenibilidad al plan de trabajo propuesto en este informe; dado a que, al reforzar la estructura del recurso humano de la Defensa Pública de Bribri y la Defensa Pública de Buenos Aires, se estaría en la capacidad para asumir la atención ordinaria de asuntos donde figure como parte actora o demanda una o más personas usuarias indígenas.</w:t>
      </w:r>
    </w:p>
    <w:p w:rsidRPr="00AE1B2B" w:rsidR="008F4340" w:rsidP="00163B94" w:rsidRDefault="008F4340" w14:paraId="74B6AA72"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6213230E" w14:textId="1EB5D944">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lastRenderedPageBreak/>
        <w:t xml:space="preserve">Tabla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Tabla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9</w:t>
      </w:r>
      <w:r w:rsidRPr="00AE1B2B">
        <w:rPr>
          <w:rFonts w:ascii="Times New Roman" w:hAnsi="Times New Roman" w:cs="Times New Roman"/>
          <w:sz w:val="26"/>
          <w:szCs w:val="26"/>
        </w:rPr>
        <w:fldChar w:fldCharType="end"/>
      </w:r>
    </w:p>
    <w:p w:rsidRPr="00AE1B2B" w:rsidR="009D3FB5" w:rsidP="00163B94" w:rsidRDefault="009D3FB5" w14:paraId="1334A9A1" w14:textId="77777777">
      <w:pPr>
        <w:pStyle w:val="Descripcin"/>
        <w:keepNext/>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Estimación del costo estimado para el 2022, dos plazas extraordinarias de Defensor Público que atienden materia Pensión Alimentaria.</w:t>
      </w:r>
    </w:p>
    <w:tbl>
      <w:tblPr>
        <w:tblW w:w="5148" w:type="pct"/>
        <w:tblBorders>
          <w:top w:val="single" w:color="A5A5A5" w:sz="4" w:space="0"/>
          <w:left w:val="single" w:color="A5A5A5" w:sz="4" w:space="0"/>
          <w:bottom w:val="single" w:color="A5A5A5" w:sz="4" w:space="0"/>
          <w:right w:val="single" w:color="A5A5A5" w:sz="4" w:space="0"/>
          <w:insideH w:val="single" w:color="A5A5A5" w:sz="4" w:space="0"/>
          <w:insideV w:val="single" w:color="A5A5A5" w:sz="4" w:space="0"/>
        </w:tblBorders>
        <w:tblLayout w:type="fixed"/>
        <w:tblLook w:val="04A0" w:firstRow="1" w:lastRow="0" w:firstColumn="1" w:lastColumn="0" w:noHBand="0" w:noVBand="1"/>
      </w:tblPr>
      <w:tblGrid>
        <w:gridCol w:w="1193"/>
        <w:gridCol w:w="1071"/>
        <w:gridCol w:w="1134"/>
        <w:gridCol w:w="1276"/>
        <w:gridCol w:w="1560"/>
        <w:gridCol w:w="1134"/>
        <w:gridCol w:w="1721"/>
      </w:tblGrid>
      <w:tr w:rsidRPr="00AE1B2B" w:rsidR="00AE1B2B" w:rsidTr="009D3FB5" w14:paraId="397A33E3" w14:textId="77777777">
        <w:trPr>
          <w:trHeight w:val="407"/>
        </w:trPr>
        <w:tc>
          <w:tcPr>
            <w:tcW w:w="656" w:type="pct"/>
            <w:shd w:val="clear" w:color="auto" w:fill="BDD6EE" w:themeFill="accent1" w:themeFillTint="66"/>
            <w:vAlign w:val="center"/>
          </w:tcPr>
          <w:p w:rsidRPr="00AE1B2B" w:rsidR="009D3FB5" w:rsidP="00163B94" w:rsidRDefault="009D3FB5" w14:paraId="665C46C0" w14:textId="77777777">
            <w:pPr>
              <w:spacing w:before="120" w:after="120"/>
              <w:jc w:val="center"/>
              <w:rPr>
                <w:rFonts w:ascii="Times New Roman" w:hAnsi="Times New Roman" w:eastAsia="Arial" w:cs="Times New Roman"/>
                <w:b/>
                <w:bCs/>
                <w:sz w:val="20"/>
                <w:szCs w:val="20"/>
                <w:lang w:eastAsia="es-CR"/>
              </w:rPr>
            </w:pPr>
            <w:r w:rsidRPr="00AE1B2B">
              <w:rPr>
                <w:rFonts w:ascii="Times New Roman" w:hAnsi="Times New Roman" w:eastAsia="Arial" w:cs="Times New Roman"/>
                <w:b/>
                <w:bCs/>
                <w:sz w:val="20"/>
                <w:szCs w:val="20"/>
                <w:lang w:eastAsia="es-CR"/>
              </w:rPr>
              <w:t>Despacho</w:t>
            </w:r>
          </w:p>
        </w:tc>
        <w:tc>
          <w:tcPr>
            <w:tcW w:w="589" w:type="pct"/>
            <w:shd w:val="clear" w:color="auto" w:fill="BDD6EE" w:themeFill="accent1" w:themeFillTint="66"/>
            <w:vAlign w:val="center"/>
          </w:tcPr>
          <w:p w:rsidRPr="00AE1B2B" w:rsidR="009D3FB5" w:rsidP="00163B94" w:rsidRDefault="009D3FB5" w14:paraId="7D13159A" w14:textId="77777777">
            <w:pPr>
              <w:spacing w:before="120" w:after="120"/>
              <w:jc w:val="center"/>
              <w:rPr>
                <w:rFonts w:ascii="Times New Roman" w:hAnsi="Times New Roman" w:eastAsia="Arial" w:cs="Times New Roman"/>
                <w:b/>
                <w:bCs/>
                <w:sz w:val="20"/>
                <w:szCs w:val="20"/>
                <w:lang w:eastAsia="es-CR"/>
              </w:rPr>
            </w:pPr>
            <w:r w:rsidRPr="00AE1B2B">
              <w:rPr>
                <w:rFonts w:ascii="Times New Roman" w:hAnsi="Times New Roman" w:eastAsia="Arial" w:cs="Times New Roman"/>
                <w:b/>
                <w:bCs/>
                <w:sz w:val="20"/>
                <w:szCs w:val="20"/>
                <w:lang w:eastAsia="es-CR"/>
              </w:rPr>
              <w:t>Cantidad</w:t>
            </w:r>
          </w:p>
        </w:tc>
        <w:tc>
          <w:tcPr>
            <w:tcW w:w="624" w:type="pct"/>
            <w:shd w:val="clear" w:color="auto" w:fill="BDD6EE" w:themeFill="accent1" w:themeFillTint="66"/>
            <w:vAlign w:val="center"/>
          </w:tcPr>
          <w:p w:rsidRPr="00AE1B2B" w:rsidR="009D3FB5" w:rsidP="00163B94" w:rsidRDefault="009D3FB5" w14:paraId="6030BDB0" w14:textId="77777777">
            <w:pPr>
              <w:spacing w:before="120" w:after="120"/>
              <w:jc w:val="center"/>
              <w:rPr>
                <w:rFonts w:ascii="Times New Roman" w:hAnsi="Times New Roman" w:eastAsia="Arial" w:cs="Times New Roman"/>
                <w:b/>
                <w:bCs/>
                <w:sz w:val="20"/>
                <w:szCs w:val="20"/>
                <w:lang w:eastAsia="es-CR"/>
              </w:rPr>
            </w:pPr>
            <w:r w:rsidRPr="00AE1B2B">
              <w:rPr>
                <w:rFonts w:ascii="Times New Roman" w:hAnsi="Times New Roman" w:eastAsia="Arial" w:cs="Times New Roman"/>
                <w:b/>
                <w:bCs/>
                <w:sz w:val="20"/>
                <w:szCs w:val="20"/>
                <w:lang w:eastAsia="es-CR"/>
              </w:rPr>
              <w:t>Tipo de plaza</w:t>
            </w:r>
          </w:p>
        </w:tc>
        <w:tc>
          <w:tcPr>
            <w:tcW w:w="702" w:type="pct"/>
            <w:shd w:val="clear" w:color="auto" w:fill="BDD6EE" w:themeFill="accent1" w:themeFillTint="66"/>
            <w:vAlign w:val="center"/>
          </w:tcPr>
          <w:p w:rsidRPr="00AE1B2B" w:rsidR="009D3FB5" w:rsidP="00163B94" w:rsidRDefault="009D3FB5" w14:paraId="48E9F5CF" w14:textId="77777777">
            <w:pPr>
              <w:spacing w:before="120" w:after="120"/>
              <w:jc w:val="center"/>
              <w:rPr>
                <w:rFonts w:ascii="Times New Roman" w:hAnsi="Times New Roman" w:eastAsia="Arial" w:cs="Times New Roman"/>
                <w:b/>
                <w:bCs/>
                <w:sz w:val="20"/>
                <w:szCs w:val="20"/>
                <w:lang w:eastAsia="es-CR"/>
              </w:rPr>
            </w:pPr>
            <w:r w:rsidRPr="00AE1B2B">
              <w:rPr>
                <w:rFonts w:ascii="Times New Roman" w:hAnsi="Times New Roman" w:eastAsia="Arial" w:cs="Times New Roman"/>
                <w:b/>
                <w:bCs/>
                <w:sz w:val="20"/>
                <w:szCs w:val="20"/>
                <w:lang w:eastAsia="es-CR"/>
              </w:rPr>
              <w:t>Condición actual</w:t>
            </w:r>
          </w:p>
        </w:tc>
        <w:tc>
          <w:tcPr>
            <w:tcW w:w="858" w:type="pct"/>
            <w:shd w:val="clear" w:color="auto" w:fill="BDD6EE" w:themeFill="accent1" w:themeFillTint="66"/>
            <w:vAlign w:val="center"/>
          </w:tcPr>
          <w:p w:rsidRPr="00AE1B2B" w:rsidR="009D3FB5" w:rsidP="00163B94" w:rsidRDefault="009D3FB5" w14:paraId="5287DD1D" w14:textId="77777777">
            <w:pPr>
              <w:spacing w:before="120" w:after="120"/>
              <w:jc w:val="center"/>
              <w:rPr>
                <w:rFonts w:ascii="Times New Roman" w:hAnsi="Times New Roman" w:eastAsia="Arial" w:cs="Times New Roman"/>
                <w:b/>
                <w:bCs/>
                <w:sz w:val="20"/>
                <w:szCs w:val="20"/>
                <w:lang w:eastAsia="es-CR"/>
              </w:rPr>
            </w:pPr>
            <w:r w:rsidRPr="00AE1B2B">
              <w:rPr>
                <w:rFonts w:ascii="Times New Roman" w:hAnsi="Times New Roman" w:eastAsia="Arial" w:cs="Times New Roman"/>
                <w:b/>
                <w:bCs/>
                <w:sz w:val="20"/>
                <w:szCs w:val="20"/>
                <w:lang w:eastAsia="es-CR"/>
              </w:rPr>
              <w:t>Recomen-dación</w:t>
            </w:r>
          </w:p>
        </w:tc>
        <w:tc>
          <w:tcPr>
            <w:tcW w:w="624" w:type="pct"/>
            <w:shd w:val="clear" w:color="auto" w:fill="BDD6EE" w:themeFill="accent1" w:themeFillTint="66"/>
            <w:vAlign w:val="center"/>
          </w:tcPr>
          <w:p w:rsidRPr="00AE1B2B" w:rsidR="009D3FB5" w:rsidP="00163B94" w:rsidRDefault="009D3FB5" w14:paraId="413A9659" w14:textId="77777777">
            <w:pPr>
              <w:spacing w:before="120" w:after="120"/>
              <w:jc w:val="center"/>
              <w:rPr>
                <w:rFonts w:ascii="Times New Roman" w:hAnsi="Times New Roman" w:eastAsia="Arial" w:cs="Times New Roman"/>
                <w:b/>
                <w:bCs/>
                <w:sz w:val="20"/>
                <w:szCs w:val="20"/>
                <w:lang w:eastAsia="es-CR"/>
              </w:rPr>
            </w:pPr>
            <w:r w:rsidRPr="00AE1B2B">
              <w:rPr>
                <w:rFonts w:ascii="Times New Roman" w:hAnsi="Times New Roman" w:eastAsia="Arial" w:cs="Times New Roman"/>
                <w:b/>
                <w:bCs/>
                <w:sz w:val="20"/>
                <w:szCs w:val="20"/>
                <w:lang w:eastAsia="es-CR"/>
              </w:rPr>
              <w:t>Período</w:t>
            </w:r>
          </w:p>
        </w:tc>
        <w:tc>
          <w:tcPr>
            <w:tcW w:w="947" w:type="pct"/>
            <w:shd w:val="clear" w:color="auto" w:fill="BDD6EE" w:themeFill="accent1" w:themeFillTint="66"/>
            <w:vAlign w:val="center"/>
          </w:tcPr>
          <w:p w:rsidRPr="00AE1B2B" w:rsidR="009D3FB5" w:rsidP="00163B94" w:rsidRDefault="009D3FB5" w14:paraId="7FA6B4FC" w14:textId="77777777">
            <w:pPr>
              <w:spacing w:before="120" w:after="120"/>
              <w:jc w:val="center"/>
              <w:rPr>
                <w:rFonts w:ascii="Times New Roman" w:hAnsi="Times New Roman" w:eastAsia="Arial" w:cs="Times New Roman"/>
                <w:b/>
                <w:bCs/>
                <w:sz w:val="20"/>
                <w:szCs w:val="20"/>
                <w:lang w:eastAsia="es-CR"/>
              </w:rPr>
            </w:pPr>
            <w:r w:rsidRPr="00AE1B2B">
              <w:rPr>
                <w:rFonts w:ascii="Times New Roman" w:hAnsi="Times New Roman" w:eastAsia="Arial" w:cs="Times New Roman"/>
                <w:b/>
                <w:bCs/>
                <w:sz w:val="20"/>
                <w:szCs w:val="20"/>
                <w:lang w:eastAsia="es-CR"/>
              </w:rPr>
              <w:t>Costo Estimado</w:t>
            </w:r>
          </w:p>
        </w:tc>
      </w:tr>
      <w:tr w:rsidRPr="00AE1B2B" w:rsidR="00AE1B2B" w:rsidTr="009D3FB5" w14:paraId="6D00DC58" w14:textId="77777777">
        <w:trPr>
          <w:trHeight w:val="203"/>
        </w:trPr>
        <w:tc>
          <w:tcPr>
            <w:tcW w:w="656" w:type="pct"/>
            <w:shd w:val="clear" w:color="auto" w:fill="auto"/>
            <w:vAlign w:val="center"/>
          </w:tcPr>
          <w:p w:rsidRPr="00AE1B2B" w:rsidR="009D3FB5" w:rsidP="00163B94" w:rsidRDefault="009D3FB5" w14:paraId="20256D8C" w14:textId="77777777">
            <w:pPr>
              <w:spacing w:before="120" w:after="120"/>
              <w:jc w:val="center"/>
              <w:rPr>
                <w:rFonts w:ascii="Times New Roman" w:hAnsi="Times New Roman" w:eastAsia="Arial" w:cs="Times New Roman"/>
                <w:sz w:val="20"/>
                <w:szCs w:val="20"/>
                <w:lang w:eastAsia="es-CR"/>
              </w:rPr>
            </w:pPr>
            <w:r w:rsidRPr="00AE1B2B">
              <w:rPr>
                <w:rFonts w:ascii="Times New Roman" w:hAnsi="Times New Roman" w:eastAsia="Arial" w:cs="Times New Roman"/>
                <w:sz w:val="20"/>
                <w:szCs w:val="20"/>
                <w:lang w:eastAsia="es-CR"/>
              </w:rPr>
              <w:t>Unidad de Pensión Alimentaria de la Dirección de la Defensa Pública</w:t>
            </w:r>
          </w:p>
        </w:tc>
        <w:tc>
          <w:tcPr>
            <w:tcW w:w="589" w:type="pct"/>
            <w:shd w:val="clear" w:color="auto" w:fill="auto"/>
            <w:vAlign w:val="center"/>
          </w:tcPr>
          <w:p w:rsidRPr="00AE1B2B" w:rsidR="009D3FB5" w:rsidP="00163B94" w:rsidRDefault="009D3FB5" w14:paraId="56E864C8" w14:textId="77777777">
            <w:pPr>
              <w:spacing w:before="120" w:after="120"/>
              <w:jc w:val="center"/>
              <w:rPr>
                <w:rFonts w:ascii="Times New Roman" w:hAnsi="Times New Roman" w:eastAsia="Arial" w:cs="Times New Roman"/>
                <w:sz w:val="20"/>
                <w:szCs w:val="20"/>
                <w:lang w:eastAsia="es-CR"/>
              </w:rPr>
            </w:pPr>
            <w:r w:rsidRPr="00AE1B2B">
              <w:rPr>
                <w:rFonts w:ascii="Times New Roman" w:hAnsi="Times New Roman" w:eastAsia="Arial" w:cs="Times New Roman"/>
                <w:sz w:val="20"/>
                <w:szCs w:val="20"/>
                <w:lang w:eastAsia="es-CR"/>
              </w:rPr>
              <w:t>2</w:t>
            </w:r>
          </w:p>
        </w:tc>
        <w:tc>
          <w:tcPr>
            <w:tcW w:w="624" w:type="pct"/>
            <w:shd w:val="clear" w:color="auto" w:fill="auto"/>
            <w:vAlign w:val="center"/>
          </w:tcPr>
          <w:p w:rsidRPr="00AE1B2B" w:rsidR="009D3FB5" w:rsidP="00163B94" w:rsidRDefault="009D3FB5" w14:paraId="2C6F2D17" w14:textId="77777777">
            <w:pPr>
              <w:spacing w:before="120" w:after="120"/>
              <w:jc w:val="center"/>
              <w:rPr>
                <w:rFonts w:ascii="Times New Roman" w:hAnsi="Times New Roman" w:eastAsia="Arial" w:cs="Times New Roman"/>
                <w:sz w:val="20"/>
                <w:szCs w:val="20"/>
                <w:lang w:eastAsia="es-CR"/>
              </w:rPr>
            </w:pPr>
            <w:r w:rsidRPr="00AE1B2B">
              <w:rPr>
                <w:rFonts w:ascii="Times New Roman" w:hAnsi="Times New Roman" w:eastAsia="Arial" w:cs="Times New Roman"/>
                <w:sz w:val="20"/>
                <w:szCs w:val="20"/>
                <w:lang w:eastAsia="es-CR"/>
              </w:rPr>
              <w:t>Clase 3990. Defensor Público</w:t>
            </w:r>
          </w:p>
        </w:tc>
        <w:tc>
          <w:tcPr>
            <w:tcW w:w="702" w:type="pct"/>
            <w:shd w:val="clear" w:color="auto" w:fill="auto"/>
            <w:vAlign w:val="center"/>
          </w:tcPr>
          <w:p w:rsidRPr="00AE1B2B" w:rsidR="009D3FB5" w:rsidP="00163B94" w:rsidRDefault="009D3FB5" w14:paraId="40219C6E" w14:textId="77777777">
            <w:pPr>
              <w:spacing w:before="120" w:after="120"/>
              <w:jc w:val="center"/>
              <w:rPr>
                <w:rFonts w:ascii="Times New Roman" w:hAnsi="Times New Roman" w:eastAsia="Arial" w:cs="Times New Roman"/>
                <w:sz w:val="20"/>
                <w:szCs w:val="20"/>
                <w:lang w:eastAsia="es-CR"/>
              </w:rPr>
            </w:pPr>
            <w:r w:rsidRPr="00AE1B2B">
              <w:rPr>
                <w:rFonts w:ascii="Times New Roman" w:hAnsi="Times New Roman" w:eastAsia="Arial" w:cs="Times New Roman"/>
                <w:sz w:val="20"/>
                <w:szCs w:val="20"/>
                <w:lang w:eastAsia="es-CR"/>
              </w:rPr>
              <w:t>-</w:t>
            </w:r>
          </w:p>
        </w:tc>
        <w:tc>
          <w:tcPr>
            <w:tcW w:w="858" w:type="pct"/>
            <w:shd w:val="clear" w:color="auto" w:fill="auto"/>
            <w:vAlign w:val="center"/>
          </w:tcPr>
          <w:p w:rsidRPr="00AE1B2B" w:rsidR="009D3FB5" w:rsidP="00163B94" w:rsidRDefault="009D3FB5" w14:paraId="647AEFF7" w14:textId="77777777">
            <w:pPr>
              <w:spacing w:before="120" w:after="120"/>
              <w:jc w:val="center"/>
              <w:rPr>
                <w:rFonts w:ascii="Times New Roman" w:hAnsi="Times New Roman" w:eastAsia="Arial" w:cs="Times New Roman"/>
                <w:sz w:val="20"/>
                <w:szCs w:val="20"/>
                <w:lang w:eastAsia="es-CR"/>
              </w:rPr>
            </w:pPr>
            <w:r w:rsidRPr="00AE1B2B">
              <w:rPr>
                <w:rFonts w:ascii="Times New Roman" w:hAnsi="Times New Roman" w:eastAsia="Arial" w:cs="Times New Roman"/>
                <w:sz w:val="20"/>
                <w:szCs w:val="20"/>
                <w:lang w:eastAsia="es-CR"/>
              </w:rPr>
              <w:t>Ordinaria</w:t>
            </w:r>
          </w:p>
        </w:tc>
        <w:tc>
          <w:tcPr>
            <w:tcW w:w="624" w:type="pct"/>
            <w:shd w:val="clear" w:color="auto" w:fill="auto"/>
            <w:vAlign w:val="center"/>
          </w:tcPr>
          <w:p w:rsidRPr="00AE1B2B" w:rsidR="009D3FB5" w:rsidP="00163B94" w:rsidRDefault="009D3FB5" w14:paraId="5B54C5EC" w14:textId="77777777">
            <w:pPr>
              <w:spacing w:before="120" w:after="120"/>
              <w:jc w:val="center"/>
              <w:rPr>
                <w:rFonts w:ascii="Times New Roman" w:hAnsi="Times New Roman" w:eastAsia="Arial" w:cs="Times New Roman"/>
                <w:sz w:val="20"/>
                <w:szCs w:val="20"/>
                <w:lang w:eastAsia="es-CR"/>
              </w:rPr>
            </w:pPr>
            <w:r w:rsidRPr="00AE1B2B">
              <w:rPr>
                <w:rFonts w:ascii="Times New Roman" w:hAnsi="Times New Roman" w:eastAsia="Arial" w:cs="Times New Roman"/>
                <w:sz w:val="20"/>
                <w:szCs w:val="20"/>
                <w:lang w:eastAsia="es-CR"/>
              </w:rPr>
              <w:t>12 meses</w:t>
            </w:r>
          </w:p>
        </w:tc>
        <w:tc>
          <w:tcPr>
            <w:tcW w:w="947" w:type="pct"/>
            <w:shd w:val="clear" w:color="auto" w:fill="auto"/>
            <w:vAlign w:val="center"/>
          </w:tcPr>
          <w:p w:rsidRPr="00AE1B2B" w:rsidR="009D3FB5" w:rsidP="00163B94" w:rsidRDefault="009D3FB5" w14:paraId="5E39DDDA" w14:textId="77777777">
            <w:pPr>
              <w:spacing w:before="120" w:after="120"/>
              <w:jc w:val="center"/>
              <w:rPr>
                <w:rFonts w:ascii="Times New Roman" w:hAnsi="Times New Roman" w:eastAsia="Arial" w:cs="Times New Roman"/>
                <w:sz w:val="20"/>
                <w:szCs w:val="20"/>
                <w:lang w:eastAsia="es-CR"/>
              </w:rPr>
            </w:pPr>
            <w:r w:rsidRPr="00AE1B2B">
              <w:rPr>
                <w:rFonts w:ascii="Times New Roman" w:hAnsi="Times New Roman" w:eastAsia="Arial" w:cs="Times New Roman"/>
                <w:sz w:val="20"/>
                <w:szCs w:val="20"/>
                <w:lang w:eastAsia="es-CR"/>
              </w:rPr>
              <w:t>₡105.734.000</w:t>
            </w:r>
          </w:p>
        </w:tc>
      </w:tr>
      <w:tr w:rsidRPr="00AE1B2B" w:rsidR="00AE1B2B" w:rsidTr="009D3FB5" w14:paraId="4B860060" w14:textId="77777777">
        <w:trPr>
          <w:trHeight w:val="50"/>
        </w:trPr>
        <w:tc>
          <w:tcPr>
            <w:tcW w:w="4053" w:type="pct"/>
            <w:gridSpan w:val="6"/>
            <w:shd w:val="clear" w:color="auto" w:fill="F2F2F2" w:themeFill="background1" w:themeFillShade="F2"/>
            <w:vAlign w:val="bottom"/>
          </w:tcPr>
          <w:p w:rsidRPr="00AE1B2B" w:rsidR="009D3FB5" w:rsidP="00163B94" w:rsidRDefault="009D3FB5" w14:paraId="5512083D" w14:textId="77777777">
            <w:pPr>
              <w:spacing w:before="120" w:after="120"/>
              <w:jc w:val="center"/>
              <w:rPr>
                <w:rFonts w:ascii="Times New Roman" w:hAnsi="Times New Roman" w:cs="Times New Roman"/>
                <w:sz w:val="20"/>
                <w:szCs w:val="20"/>
              </w:rPr>
            </w:pPr>
            <w:r w:rsidRPr="00AE1B2B">
              <w:rPr>
                <w:rFonts w:ascii="Times New Roman" w:hAnsi="Times New Roman" w:cs="Times New Roman"/>
                <w:sz w:val="20"/>
                <w:szCs w:val="20"/>
              </w:rPr>
              <w:t>Mobiliario y equipo a asignar para plazas profesionales</w:t>
            </w:r>
          </w:p>
        </w:tc>
        <w:tc>
          <w:tcPr>
            <w:tcW w:w="947" w:type="pct"/>
            <w:shd w:val="clear" w:color="auto" w:fill="F2F2F2" w:themeFill="background1" w:themeFillShade="F2"/>
            <w:vAlign w:val="center"/>
          </w:tcPr>
          <w:p w:rsidRPr="00AE1B2B" w:rsidR="009D3FB5" w:rsidP="00163B94" w:rsidRDefault="009D3FB5" w14:paraId="2FD2F822" w14:textId="77777777">
            <w:pPr>
              <w:spacing w:before="120" w:after="120"/>
              <w:jc w:val="center"/>
              <w:rPr>
                <w:rFonts w:ascii="Times New Roman" w:hAnsi="Times New Roman" w:eastAsia="Arial" w:cs="Times New Roman"/>
                <w:sz w:val="20"/>
                <w:szCs w:val="20"/>
                <w:lang w:eastAsia="es-CR"/>
              </w:rPr>
            </w:pPr>
            <w:r w:rsidRPr="00AE1B2B">
              <w:rPr>
                <w:rFonts w:ascii="Times New Roman" w:hAnsi="Times New Roman" w:eastAsia="Arial" w:cs="Times New Roman"/>
                <w:sz w:val="20"/>
                <w:szCs w:val="20"/>
                <w:lang w:eastAsia="es-CR"/>
              </w:rPr>
              <w:t>₡3.356.545</w:t>
            </w:r>
          </w:p>
        </w:tc>
      </w:tr>
      <w:tr w:rsidRPr="00AE1B2B" w:rsidR="00AE1B2B" w:rsidTr="009D3FB5" w14:paraId="0A17AC26" w14:textId="77777777">
        <w:trPr>
          <w:trHeight w:val="203"/>
        </w:trPr>
        <w:tc>
          <w:tcPr>
            <w:tcW w:w="4053" w:type="pct"/>
            <w:gridSpan w:val="6"/>
            <w:shd w:val="clear" w:color="auto" w:fill="D9D9D9" w:themeFill="background1" w:themeFillShade="D9"/>
            <w:vAlign w:val="center"/>
          </w:tcPr>
          <w:p w:rsidRPr="00AE1B2B" w:rsidR="009D3FB5" w:rsidP="00163B94" w:rsidRDefault="009D3FB5" w14:paraId="6EC93C69" w14:textId="77777777">
            <w:pPr>
              <w:spacing w:before="120" w:after="120"/>
              <w:jc w:val="right"/>
              <w:rPr>
                <w:rFonts w:ascii="Times New Roman" w:hAnsi="Times New Roman" w:cs="Times New Roman"/>
                <w:b/>
                <w:bCs/>
                <w:sz w:val="20"/>
                <w:szCs w:val="20"/>
              </w:rPr>
            </w:pPr>
            <w:r w:rsidRPr="00AE1B2B">
              <w:rPr>
                <w:rFonts w:ascii="Times New Roman" w:hAnsi="Times New Roman" w:cs="Times New Roman"/>
                <w:b/>
                <w:bCs/>
                <w:sz w:val="20"/>
                <w:szCs w:val="20"/>
              </w:rPr>
              <w:t>Total</w:t>
            </w:r>
          </w:p>
        </w:tc>
        <w:tc>
          <w:tcPr>
            <w:tcW w:w="947" w:type="pct"/>
            <w:shd w:val="clear" w:color="auto" w:fill="D9D9D9" w:themeFill="background1" w:themeFillShade="D9"/>
            <w:vAlign w:val="center"/>
          </w:tcPr>
          <w:p w:rsidRPr="00AE1B2B" w:rsidR="009D3FB5" w:rsidP="00163B94" w:rsidRDefault="009D3FB5" w14:paraId="391F8AAC" w14:textId="77777777">
            <w:pPr>
              <w:spacing w:before="120" w:after="120"/>
              <w:jc w:val="center"/>
              <w:rPr>
                <w:rFonts w:ascii="Times New Roman" w:hAnsi="Times New Roman" w:eastAsia="Arial" w:cs="Times New Roman"/>
                <w:b/>
                <w:bCs/>
                <w:sz w:val="20"/>
                <w:szCs w:val="20"/>
                <w:lang w:eastAsia="es-CR"/>
              </w:rPr>
            </w:pPr>
            <w:r w:rsidRPr="00AE1B2B">
              <w:rPr>
                <w:rFonts w:ascii="Times New Roman" w:hAnsi="Times New Roman" w:eastAsia="Arial" w:cs="Times New Roman"/>
                <w:b/>
                <w:bCs/>
                <w:sz w:val="20"/>
                <w:szCs w:val="20"/>
                <w:lang w:eastAsia="es-CR"/>
              </w:rPr>
              <w:t>₡105.354.545</w:t>
            </w:r>
          </w:p>
        </w:tc>
      </w:tr>
    </w:tbl>
    <w:p w:rsidRPr="00AE1B2B" w:rsidR="009D3FB5" w:rsidP="00163B94" w:rsidRDefault="009D3FB5" w14:paraId="4933E21B" w14:textId="40DB3197">
      <w:pPr>
        <w:spacing w:before="120" w:after="120"/>
        <w:ind w:left="851" w:right="851" w:firstLine="709"/>
        <w:jc w:val="both"/>
        <w:rPr>
          <w:rFonts w:ascii="Times New Roman" w:hAnsi="Times New Roman" w:eastAsia="Arial" w:cs="Times New Roman"/>
          <w:i/>
          <w:iCs/>
          <w:sz w:val="26"/>
          <w:szCs w:val="26"/>
        </w:rPr>
      </w:pPr>
      <w:r w:rsidRPr="00AE1B2B">
        <w:rPr>
          <w:rFonts w:ascii="Times New Roman" w:hAnsi="Times New Roman" w:eastAsia="Arial" w:cs="Times New Roman"/>
          <w:b/>
          <w:bCs/>
          <w:sz w:val="26"/>
          <w:szCs w:val="26"/>
        </w:rPr>
        <w:t>Nota (1):</w:t>
      </w:r>
      <w:r w:rsidRPr="00AE1B2B">
        <w:rPr>
          <w:rFonts w:ascii="Times New Roman" w:hAnsi="Times New Roman" w:eastAsia="Arial" w:cs="Times New Roman"/>
          <w:i/>
          <w:iCs/>
          <w:sz w:val="26"/>
          <w:szCs w:val="26"/>
        </w:rPr>
        <w:t xml:space="preserve"> Costo promedio por puesto de Defensor Público, para el 2022 es de ₡50.999.000</w:t>
      </w:r>
    </w:p>
    <w:p w:rsidRPr="00AE1B2B" w:rsidR="008F4340" w:rsidP="00163B94" w:rsidRDefault="008F4340" w14:paraId="340A3CFB" w14:textId="77777777">
      <w:pPr>
        <w:spacing w:before="120" w:after="120"/>
        <w:ind w:left="851" w:right="851" w:firstLine="709"/>
        <w:jc w:val="both"/>
        <w:rPr>
          <w:rFonts w:ascii="Times New Roman" w:hAnsi="Times New Roman" w:eastAsia="Arial" w:cs="Times New Roman"/>
          <w:i/>
          <w:iCs/>
          <w:sz w:val="26"/>
          <w:szCs w:val="26"/>
        </w:rPr>
      </w:pPr>
    </w:p>
    <w:p w:rsidRPr="00AE1B2B" w:rsidR="009D3FB5" w:rsidP="00163B94" w:rsidRDefault="009D3FB5" w14:paraId="6675F767" w14:textId="07D23BD5">
      <w:pPr>
        <w:spacing w:before="120" w:after="120"/>
        <w:ind w:left="851" w:right="851" w:firstLine="709"/>
        <w:jc w:val="both"/>
        <w:rPr>
          <w:rFonts w:ascii="Times New Roman" w:hAnsi="Times New Roman" w:eastAsia="Arial" w:cs="Times New Roman"/>
          <w:i/>
          <w:iCs/>
          <w:sz w:val="26"/>
          <w:szCs w:val="26"/>
        </w:rPr>
      </w:pPr>
      <w:r w:rsidRPr="00AE1B2B">
        <w:rPr>
          <w:rFonts w:ascii="Times New Roman" w:hAnsi="Times New Roman" w:eastAsia="Arial" w:cs="Times New Roman"/>
          <w:b/>
          <w:bCs/>
          <w:sz w:val="26"/>
          <w:szCs w:val="26"/>
        </w:rPr>
        <w:t>Nota (2):</w:t>
      </w:r>
      <w:r w:rsidRPr="00AE1B2B">
        <w:rPr>
          <w:rFonts w:ascii="Times New Roman" w:hAnsi="Times New Roman" w:eastAsia="Arial" w:cs="Times New Roman"/>
          <w:i/>
          <w:iCs/>
          <w:sz w:val="26"/>
          <w:szCs w:val="26"/>
        </w:rPr>
        <w:t xml:space="preserve"> Costo total de gasto variable por cada plaza Profesional (Defensor Público), para el 2022 es de ₡1.678.273</w:t>
      </w:r>
    </w:p>
    <w:p w:rsidRPr="00AE1B2B" w:rsidR="008F4340" w:rsidP="00163B94" w:rsidRDefault="008F4340" w14:paraId="274E1B45" w14:textId="77777777">
      <w:pPr>
        <w:spacing w:before="120" w:after="120"/>
        <w:ind w:left="851" w:right="851" w:firstLine="709"/>
        <w:jc w:val="both"/>
        <w:rPr>
          <w:rFonts w:ascii="Times New Roman" w:hAnsi="Times New Roman" w:eastAsia="Arial" w:cs="Times New Roman"/>
          <w:i/>
          <w:iCs/>
          <w:sz w:val="26"/>
          <w:szCs w:val="26"/>
        </w:rPr>
      </w:pPr>
    </w:p>
    <w:p w:rsidRPr="00AE1B2B" w:rsidR="009D3FB5" w:rsidP="00163B94" w:rsidRDefault="009D3FB5" w14:paraId="56A12334" w14:textId="77777777">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b/>
          <w:bCs/>
          <w:sz w:val="26"/>
          <w:szCs w:val="26"/>
        </w:rPr>
        <w:t>Fuente:</w:t>
      </w:r>
      <w:r w:rsidRPr="00AE1B2B">
        <w:rPr>
          <w:rFonts w:ascii="Times New Roman" w:hAnsi="Times New Roman" w:eastAsia="Arial" w:cs="Times New Roman"/>
          <w:sz w:val="26"/>
          <w:szCs w:val="26"/>
        </w:rPr>
        <w:t xml:space="preserve"> Modernización Institucional, con datos suministrados del Subproceso de Formulación de Presupuesto y Portafolio de Proyectos de la Dirección de Planificación</w:t>
      </w:r>
    </w:p>
    <w:p w:rsidRPr="00AE1B2B" w:rsidR="00BE5897" w:rsidP="00163B94" w:rsidRDefault="00BE5897" w14:paraId="78AF08C4" w14:textId="7A78E514">
      <w:pPr>
        <w:spacing w:before="120" w:after="120"/>
        <w:ind w:left="851" w:right="851" w:firstLine="709"/>
        <w:jc w:val="both"/>
        <w:rPr>
          <w:rFonts w:ascii="Times New Roman" w:hAnsi="Times New Roman" w:cs="Times New Roman"/>
          <w:sz w:val="26"/>
          <w:szCs w:val="26"/>
          <w:u w:val="single"/>
        </w:rPr>
      </w:pPr>
    </w:p>
    <w:p w:rsidRPr="00AE1B2B" w:rsidR="008F4340" w:rsidP="00163B94" w:rsidRDefault="008F4340" w14:paraId="0AF92741" w14:textId="77777777">
      <w:pPr>
        <w:spacing w:before="120" w:after="120"/>
        <w:ind w:left="851" w:right="851" w:firstLine="709"/>
        <w:jc w:val="both"/>
        <w:rPr>
          <w:rFonts w:ascii="Times New Roman" w:hAnsi="Times New Roman" w:cs="Times New Roman"/>
          <w:sz w:val="26"/>
          <w:szCs w:val="26"/>
          <w:u w:val="single"/>
        </w:rPr>
      </w:pPr>
    </w:p>
    <w:p w:rsidRPr="00AE1B2B" w:rsidR="009D3FB5" w:rsidP="00163B94" w:rsidRDefault="009D3FB5" w14:paraId="7ED0543C" w14:textId="1363AD2D">
      <w:pPr>
        <w:spacing w:before="120" w:after="120"/>
        <w:ind w:left="851" w:right="851" w:firstLine="709"/>
        <w:jc w:val="both"/>
        <w:rPr>
          <w:rFonts w:ascii="Times New Roman" w:hAnsi="Times New Roman" w:cs="Times New Roman"/>
          <w:sz w:val="26"/>
          <w:szCs w:val="26"/>
          <w:u w:val="single"/>
        </w:rPr>
      </w:pPr>
      <w:r w:rsidRPr="00AE1B2B">
        <w:rPr>
          <w:rFonts w:ascii="Times New Roman" w:hAnsi="Times New Roman" w:cs="Times New Roman"/>
          <w:sz w:val="26"/>
          <w:szCs w:val="26"/>
          <w:u w:val="single"/>
        </w:rPr>
        <w:t>Escenario 2: Reubicación de personal defensor</w:t>
      </w:r>
    </w:p>
    <w:p w:rsidRPr="00AE1B2B" w:rsidR="008F4340" w:rsidP="00163B94" w:rsidRDefault="008F4340" w14:paraId="71F7528A" w14:textId="77777777">
      <w:pPr>
        <w:spacing w:before="120" w:after="120"/>
        <w:ind w:left="851" w:right="851" w:firstLine="709"/>
        <w:jc w:val="both"/>
        <w:rPr>
          <w:rFonts w:ascii="Times New Roman" w:hAnsi="Times New Roman" w:cs="Times New Roman"/>
          <w:sz w:val="26"/>
          <w:szCs w:val="26"/>
          <w:u w:val="single"/>
        </w:rPr>
      </w:pPr>
    </w:p>
    <w:p w:rsidRPr="00AE1B2B" w:rsidR="009D3FB5" w:rsidP="00163B94" w:rsidRDefault="009D3FB5" w14:paraId="193C738A" w14:textId="38266501">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Como se menciona en el presente informe, la Dirección de Planificación se encuentra desarrollando el Proyecto “</w:t>
      </w:r>
      <w:r w:rsidRPr="00AE1B2B">
        <w:rPr>
          <w:rFonts w:ascii="Times New Roman" w:hAnsi="Times New Roman" w:eastAsia="Arial" w:cs="Times New Roman"/>
          <w:b/>
          <w:bCs/>
          <w:i/>
          <w:iCs/>
          <w:sz w:val="26"/>
          <w:szCs w:val="26"/>
        </w:rPr>
        <w:t>Mejora Integral del Proceso Penal</w:t>
      </w:r>
      <w:r w:rsidRPr="00AE1B2B">
        <w:rPr>
          <w:rFonts w:ascii="Times New Roman" w:hAnsi="Times New Roman" w:eastAsia="Arial" w:cs="Times New Roman"/>
          <w:sz w:val="26"/>
          <w:szCs w:val="26"/>
        </w:rPr>
        <w:t xml:space="preserve">”, donde se considera que, en los casos en que el criterio de este ente técnico lo indique, se podrá plantear la posibilidad de movilizar plazas de Defensora o Defensor Público, con el propósito de suplir la necesidad de personal para la atención de personas usuarias indígenas en la Defensa Pública de Bribri y Buenos Aires, a partir de la promulgación de la Ley 9593 de Acceso a la Justicia de los Pueblos Indígenas. Lo anterior en el entendido que una </w:t>
      </w:r>
      <w:r w:rsidRPr="00AE1B2B">
        <w:rPr>
          <w:rFonts w:ascii="Times New Roman" w:hAnsi="Times New Roman" w:eastAsia="Arial" w:cs="Times New Roman"/>
          <w:sz w:val="26"/>
          <w:szCs w:val="26"/>
        </w:rPr>
        <w:lastRenderedPageBreak/>
        <w:t>posible movilización de recursos dependerá meramente de los estudios técnicos realizados y de una priorización según las necesidades institucionales previamente detectadas.</w:t>
      </w:r>
    </w:p>
    <w:p w:rsidRPr="00AE1B2B" w:rsidR="008F4340" w:rsidP="00163B94" w:rsidRDefault="008F4340" w14:paraId="33FDAE5B"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3F2944C8" w14:textId="2616AE7B">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Importante aclarar que, si bien este escenario no tiene impacto directo en el presupuesto de la institución, se dependerá del cronograma del Proyecto “</w:t>
      </w:r>
      <w:r w:rsidRPr="00AE1B2B">
        <w:rPr>
          <w:rFonts w:ascii="Times New Roman" w:hAnsi="Times New Roman" w:eastAsia="Arial" w:cs="Times New Roman"/>
          <w:b/>
          <w:bCs/>
          <w:i/>
          <w:iCs/>
          <w:sz w:val="26"/>
          <w:szCs w:val="26"/>
        </w:rPr>
        <w:t>Mejora Integral del Proceso Penal</w:t>
      </w:r>
      <w:r w:rsidRPr="00AE1B2B">
        <w:rPr>
          <w:rFonts w:ascii="Times New Roman" w:hAnsi="Times New Roman" w:eastAsia="Arial" w:cs="Times New Roman"/>
          <w:sz w:val="26"/>
          <w:szCs w:val="26"/>
        </w:rPr>
        <w:t>” y, por ende, se imposibilita determinar el momento en que se podrá suplir las necesidades detectadas en el presente informe.</w:t>
      </w:r>
    </w:p>
    <w:p w:rsidRPr="00AE1B2B" w:rsidR="008F4340" w:rsidP="00163B94" w:rsidRDefault="008F4340" w14:paraId="4F305ADB"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2D4089B8" w14:textId="0D1A69EA">
      <w:pPr>
        <w:spacing w:before="120" w:after="120"/>
        <w:ind w:left="851" w:right="851" w:firstLine="709"/>
        <w:jc w:val="both"/>
        <w:rPr>
          <w:rFonts w:ascii="Times New Roman" w:hAnsi="Times New Roman" w:eastAsia="Arial" w:cs="Times New Roman"/>
          <w:sz w:val="26"/>
          <w:szCs w:val="26"/>
        </w:rPr>
      </w:pPr>
      <w:r w:rsidRPr="00AE1B2B">
        <w:rPr>
          <w:rFonts w:ascii="Times New Roman" w:hAnsi="Times New Roman" w:eastAsia="Arial" w:cs="Times New Roman"/>
          <w:sz w:val="26"/>
          <w:szCs w:val="26"/>
        </w:rPr>
        <w:t>A febrero de 2021, se puso en conocimiento de las partes involucradas el informe 1893-PLA-MI-OI-2020 “</w:t>
      </w:r>
      <w:r w:rsidRPr="00AE1B2B">
        <w:rPr>
          <w:rFonts w:ascii="Times New Roman" w:hAnsi="Times New Roman" w:eastAsia="Arial" w:cs="Times New Roman"/>
          <w:i/>
          <w:iCs/>
          <w:sz w:val="26"/>
          <w:szCs w:val="26"/>
        </w:rPr>
        <w:t>Informe del abordaje realizado en las oficinas de Flagrancia del Primer y Segundo Circuito Judicial de San José (Defensa Pública – Ministerio Público – Judicatura)</w:t>
      </w:r>
      <w:r w:rsidRPr="00AE1B2B">
        <w:rPr>
          <w:rFonts w:ascii="Times New Roman" w:hAnsi="Times New Roman" w:eastAsia="Arial" w:cs="Times New Roman"/>
          <w:sz w:val="26"/>
          <w:szCs w:val="26"/>
        </w:rPr>
        <w:t>” de la Dirección de Planificación el 24 de noviembre de 2020; donde se plantean dos posibles escenarios producto del abordaje realizado en los despachos de Flagrancia (</w:t>
      </w:r>
      <w:r w:rsidRPr="00AE1B2B">
        <w:rPr>
          <w:rFonts w:ascii="Times New Roman" w:hAnsi="Times New Roman" w:eastAsia="Arial" w:cs="Times New Roman"/>
          <w:i/>
          <w:iCs/>
          <w:sz w:val="26"/>
          <w:szCs w:val="26"/>
        </w:rPr>
        <w:t>Primer y Segundo Circuito</w:t>
      </w:r>
      <w:r w:rsidRPr="00AE1B2B">
        <w:rPr>
          <w:rFonts w:ascii="Times New Roman" w:hAnsi="Times New Roman" w:eastAsia="Arial" w:cs="Times New Roman"/>
          <w:sz w:val="26"/>
          <w:szCs w:val="26"/>
        </w:rPr>
        <w:t xml:space="preserve">) y, uno de estos escenarios considera la recomendación de movilizar de una plaza de Defensora o Defensor Público a la oficina de Buenos Aires, según aprobación del Consejo Superior mediante el informe </w:t>
      </w:r>
      <w:r w:rsidRPr="00AE1B2B">
        <w:rPr>
          <w:rFonts w:ascii="Times New Roman" w:hAnsi="Times New Roman" w:eastAsia="Arial" w:cs="Times New Roman"/>
          <w:b/>
          <w:bCs/>
          <w:sz w:val="26"/>
          <w:szCs w:val="26"/>
        </w:rPr>
        <w:t>507-PLA-RH-MI-2020</w:t>
      </w:r>
      <w:r w:rsidRPr="00AE1B2B">
        <w:rPr>
          <w:rFonts w:ascii="Times New Roman" w:hAnsi="Times New Roman" w:eastAsia="Arial" w:cs="Times New Roman"/>
          <w:sz w:val="26"/>
          <w:szCs w:val="26"/>
        </w:rPr>
        <w:t>, en la sesión del 17 de abril de 2020 (</w:t>
      </w:r>
      <w:r w:rsidRPr="00AE1B2B">
        <w:rPr>
          <w:rFonts w:ascii="Times New Roman" w:hAnsi="Times New Roman" w:eastAsia="Arial" w:cs="Times New Roman"/>
          <w:i/>
          <w:iCs/>
          <w:sz w:val="26"/>
          <w:szCs w:val="26"/>
        </w:rPr>
        <w:t>Presupuesto 2020</w:t>
      </w:r>
      <w:r w:rsidRPr="00AE1B2B">
        <w:rPr>
          <w:rFonts w:ascii="Times New Roman" w:hAnsi="Times New Roman" w:eastAsia="Arial" w:cs="Times New Roman"/>
          <w:sz w:val="26"/>
          <w:szCs w:val="26"/>
        </w:rPr>
        <w:t>), artículo XXI y aprobado por Corte Plena, el 02 de junio de 2020 (</w:t>
      </w:r>
      <w:r w:rsidRPr="00AE1B2B">
        <w:rPr>
          <w:rFonts w:ascii="Times New Roman" w:hAnsi="Times New Roman" w:eastAsia="Arial" w:cs="Times New Roman"/>
          <w:i/>
          <w:iCs/>
          <w:sz w:val="26"/>
          <w:szCs w:val="26"/>
        </w:rPr>
        <w:t>Presupuesto 2020</w:t>
      </w:r>
      <w:r w:rsidRPr="00AE1B2B">
        <w:rPr>
          <w:rFonts w:ascii="Times New Roman" w:hAnsi="Times New Roman" w:eastAsia="Arial" w:cs="Times New Roman"/>
          <w:sz w:val="26"/>
          <w:szCs w:val="26"/>
        </w:rPr>
        <w:t xml:space="preserve">). Además, en razón a la circular 188-19 de la Corte Plena, aprobada el 27 de mayo de 2019, acerca de los 20 ejes de acción recomendados por la Comisión Nacional de Acceso a la Justicia, con ocasión al cumplimiento de las Medidas Cautelares 321-12 del 30 de abril de 2015 establecidas por la Corte Interamericana de Derechos Humanos contra Costa Rica. De ser aprobado el citado escenario por las instancias superiores, esta propuesta solventaría uno de los dos recursos recomendados en el informe 507-PLA-RH-MI-2020, </w:t>
      </w:r>
      <w:r w:rsidRPr="00AE1B2B">
        <w:rPr>
          <w:rFonts w:ascii="Times New Roman" w:hAnsi="Times New Roman" w:eastAsia="Arial" w:cs="Times New Roman"/>
          <w:sz w:val="26"/>
          <w:szCs w:val="26"/>
          <w:u w:val="single"/>
        </w:rPr>
        <w:t>mismos recursos que recomiendan en el presente informe técnico</w:t>
      </w:r>
      <w:r w:rsidRPr="00AE1B2B">
        <w:rPr>
          <w:rFonts w:ascii="Times New Roman" w:hAnsi="Times New Roman" w:eastAsia="Arial" w:cs="Times New Roman"/>
          <w:sz w:val="26"/>
          <w:szCs w:val="26"/>
        </w:rPr>
        <w:t>.</w:t>
      </w:r>
    </w:p>
    <w:p w:rsidRPr="00AE1B2B" w:rsidR="008F4340" w:rsidP="00163B94" w:rsidRDefault="008F4340" w14:paraId="495DEE21"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1FF02240"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5A5EB2E3" w14:textId="338543B4">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Al Consejo Superior</w:t>
      </w:r>
    </w:p>
    <w:p w:rsidRPr="00AE1B2B" w:rsidR="008F4340" w:rsidP="00163B94" w:rsidRDefault="008F4340" w14:paraId="1A83107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E018CCC" w14:textId="311B1798">
      <w:pPr>
        <w:pStyle w:val="Prrafodelista"/>
        <w:numPr>
          <w:ilvl w:val="0"/>
          <w:numId w:val="45"/>
        </w:numPr>
        <w:spacing w:before="120" w:after="120"/>
        <w:ind w:left="851" w:right="851" w:firstLine="709"/>
        <w:jc w:val="both"/>
        <w:rPr>
          <w:rFonts w:ascii="Times New Roman" w:hAnsi="Times New Roman" w:eastAsia="Calibri" w:cs="Times New Roman"/>
          <w:sz w:val="26"/>
          <w:szCs w:val="26"/>
          <w:lang w:val="es-CR" w:eastAsia="en-US"/>
        </w:rPr>
      </w:pPr>
      <w:r w:rsidRPr="00AE1B2B">
        <w:rPr>
          <w:rFonts w:ascii="Times New Roman" w:hAnsi="Times New Roman" w:eastAsia="Calibri" w:cs="Times New Roman"/>
          <w:sz w:val="26"/>
          <w:szCs w:val="26"/>
          <w:lang w:val="es-CR" w:eastAsia="en-US"/>
        </w:rPr>
        <w:t xml:space="preserve">Según recomendación dada por la Comisión de Acceso a la Justicia, valorar la posibilidad de declarar obligatoria la participación de las personas servidoras judiciales en las </w:t>
      </w:r>
      <w:r w:rsidRPr="00AE1B2B">
        <w:rPr>
          <w:rFonts w:ascii="Times New Roman" w:hAnsi="Times New Roman" w:eastAsia="Calibri" w:cs="Times New Roman"/>
          <w:sz w:val="26"/>
          <w:szCs w:val="26"/>
          <w:lang w:val="es-CR" w:eastAsia="en-US"/>
        </w:rPr>
        <w:lastRenderedPageBreak/>
        <w:t xml:space="preserve">capacitaciones sobre Derecho Indígena, ampliar a sensibilización, atención y acceso a la justicia de pueblos indígenas en cumplimiento de la </w:t>
      </w:r>
      <w:r w:rsidRPr="00AE1B2B">
        <w:rPr>
          <w:rFonts w:ascii="Times New Roman" w:hAnsi="Times New Roman" w:eastAsia="Calibri" w:cs="Times New Roman"/>
          <w:b/>
          <w:bCs/>
          <w:sz w:val="26"/>
          <w:szCs w:val="26"/>
          <w:lang w:val="es-CR" w:eastAsia="en-US"/>
        </w:rPr>
        <w:t>Ley de Acceso a la Justicia a Pueblos Indígenas</w:t>
      </w:r>
      <w:r w:rsidRPr="00AE1B2B">
        <w:rPr>
          <w:rFonts w:ascii="Times New Roman" w:hAnsi="Times New Roman" w:eastAsia="Calibri" w:cs="Times New Roman"/>
          <w:sz w:val="26"/>
          <w:szCs w:val="26"/>
          <w:lang w:val="es-CR" w:eastAsia="en-US"/>
        </w:rPr>
        <w:t>, especialmente quienes tengan competencia material y territorial para conocer de procesos judiciales vinculados con el pueblo indígena Teribe y Bribri de Salitre y la Circular 188-19 de Corte Plena.</w:t>
      </w:r>
    </w:p>
    <w:p w:rsidRPr="00AE1B2B" w:rsidR="008F4340" w:rsidP="00163B94" w:rsidRDefault="008F4340" w14:paraId="7764F9CF" w14:textId="77777777">
      <w:pPr>
        <w:spacing w:before="120" w:after="120"/>
        <w:ind w:right="851"/>
        <w:jc w:val="both"/>
        <w:rPr>
          <w:rFonts w:ascii="Times New Roman" w:hAnsi="Times New Roman" w:eastAsia="Calibri" w:cs="Times New Roman"/>
          <w:sz w:val="26"/>
          <w:szCs w:val="26"/>
        </w:rPr>
      </w:pPr>
    </w:p>
    <w:p w:rsidRPr="00AE1B2B" w:rsidR="009D3FB5" w:rsidP="00163B94" w:rsidRDefault="009D3FB5" w14:paraId="1C836240" w14:textId="6024A147">
      <w:pPr>
        <w:pStyle w:val="Prrafodelista"/>
        <w:spacing w:before="120" w:after="120"/>
        <w:ind w:left="851" w:right="851" w:firstLine="709"/>
        <w:jc w:val="both"/>
        <w:rPr>
          <w:rFonts w:ascii="Times New Roman" w:hAnsi="Times New Roman" w:eastAsia="Calibri" w:cs="Times New Roman"/>
          <w:sz w:val="26"/>
          <w:szCs w:val="26"/>
          <w:lang w:val="es-CR" w:eastAsia="en-US"/>
        </w:rPr>
      </w:pPr>
      <w:r w:rsidRPr="00AE1B2B">
        <w:rPr>
          <w:rFonts w:ascii="Times New Roman" w:hAnsi="Times New Roman" w:eastAsia="Calibri" w:cs="Times New Roman"/>
          <w:sz w:val="26"/>
          <w:szCs w:val="26"/>
          <w:lang w:val="es-CR" w:eastAsia="en-US"/>
        </w:rPr>
        <w:t>Sin embargo, con el fin de contar con un criterio legal, esta recomendación podrá ser remitida previamente a la Dirección Jurídica para su análisis, con el fin de que emita su valoración jurídica respecto a la obligatoriedad</w:t>
      </w:r>
    </w:p>
    <w:p w:rsidRPr="00AE1B2B" w:rsidR="008F4340" w:rsidP="00163B94" w:rsidRDefault="008F4340" w14:paraId="6E4E1A0A" w14:textId="4549E878">
      <w:pPr>
        <w:pStyle w:val="Prrafodelista"/>
        <w:spacing w:before="120" w:after="120"/>
        <w:ind w:left="851" w:right="851" w:firstLine="709"/>
        <w:jc w:val="both"/>
        <w:rPr>
          <w:rFonts w:ascii="Times New Roman" w:hAnsi="Times New Roman" w:eastAsia="Calibri" w:cs="Times New Roman"/>
          <w:sz w:val="26"/>
          <w:szCs w:val="26"/>
          <w:lang w:val="es-CR" w:eastAsia="en-US"/>
        </w:rPr>
      </w:pPr>
    </w:p>
    <w:p w:rsidRPr="00AE1B2B" w:rsidR="009D3FB5" w:rsidP="00163B94" w:rsidRDefault="009D3FB5" w14:paraId="775CF9B4" w14:textId="77777777">
      <w:pPr>
        <w:pStyle w:val="Prrafodelista"/>
        <w:numPr>
          <w:ilvl w:val="0"/>
          <w:numId w:val="45"/>
        </w:numPr>
        <w:spacing w:before="120" w:after="120"/>
        <w:ind w:left="851" w:right="851" w:firstLine="709"/>
        <w:jc w:val="both"/>
        <w:rPr>
          <w:rFonts w:ascii="Times New Roman" w:hAnsi="Times New Roman" w:eastAsia="Calibri" w:cs="Times New Roman"/>
          <w:sz w:val="26"/>
          <w:szCs w:val="26"/>
          <w:lang w:val="es-CR" w:eastAsia="en-US"/>
        </w:rPr>
      </w:pPr>
      <w:r w:rsidRPr="00AE1B2B">
        <w:rPr>
          <w:rFonts w:ascii="Times New Roman" w:hAnsi="Times New Roman" w:eastAsia="Calibri" w:cs="Times New Roman"/>
          <w:sz w:val="26"/>
          <w:szCs w:val="26"/>
          <w:lang w:val="es-CR" w:eastAsia="en-US"/>
        </w:rPr>
        <w:t>A partir del análisis histórico cuantitativo y cualitativo de datos de Pensiones Alimentarias y la experiencia de las plazas asignadas a esta materia por parte de la Defensa Pública, se recomienda para efectos de estudios técnicos de cargas de trabajo, asignación de recursos de humano, planes de trabajo, entre otros; se establezca la entrada para una plaza de Defensora o Defensor Público entre 388 y 400 expedientes de Pensiones Alimentarias nuevos por año (</w:t>
      </w:r>
      <w:r w:rsidRPr="00AE1B2B">
        <w:rPr>
          <w:rFonts w:ascii="Times New Roman" w:hAnsi="Times New Roman" w:eastAsia="Calibri" w:cs="Times New Roman"/>
          <w:i/>
          <w:iCs/>
          <w:sz w:val="26"/>
          <w:szCs w:val="26"/>
          <w:lang w:val="es-CR" w:eastAsia="en-US"/>
        </w:rPr>
        <w:t>entrada</w:t>
      </w:r>
      <w:r w:rsidRPr="00AE1B2B">
        <w:rPr>
          <w:rFonts w:ascii="Times New Roman" w:hAnsi="Times New Roman" w:eastAsia="Calibri" w:cs="Times New Roman"/>
          <w:sz w:val="26"/>
          <w:szCs w:val="26"/>
          <w:lang w:val="es-CR" w:eastAsia="en-US"/>
        </w:rPr>
        <w:t>).</w:t>
      </w:r>
    </w:p>
    <w:p w:rsidRPr="00AE1B2B" w:rsidR="009D3FB5" w:rsidP="00163B94" w:rsidRDefault="009D3FB5" w14:paraId="44E46108"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086B4674" w14:textId="3F6820BB">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Recomendaciones generales</w:t>
      </w:r>
    </w:p>
    <w:p w:rsidRPr="00AE1B2B" w:rsidR="008F4340" w:rsidP="00163B94" w:rsidRDefault="008F4340" w14:paraId="18BC774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67A7BC0" w14:textId="1139CF38">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la Jefatura de la Defensa Pública </w:t>
      </w:r>
    </w:p>
    <w:p w:rsidRPr="00AE1B2B" w:rsidR="008F4340" w:rsidP="00163B94" w:rsidRDefault="008F4340" w14:paraId="71CF4FB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3EA43A6" w14:textId="3931038E">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Recordar el personal defensor, por medio de una circular interna, la importancia de completar adecuadamente los controles internos de la oficina, sea el Sistema de Seguimiento de Casos o en su defecto, los Libros de Registro o el reporte de personas indígenas implementado el presente año. Además, se recomienda implementar una mejor en cuanto a la tabulación de la información de la colaboración que se brinda entre oficinas, de manera que las personas representadas y procesos judiciales se reporten en las oficinas que por competencia le corresponde, aunque la atención la brinde una servidora o servidor judicial de otra oficina.</w:t>
      </w:r>
    </w:p>
    <w:p w:rsidRPr="00AE1B2B" w:rsidR="008F4340" w:rsidP="00163B94" w:rsidRDefault="008F4340" w14:paraId="286238BA"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7D321B68" w14:textId="5B26FEC0">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 xml:space="preserve">Capacitar al Doctor Roberto Montero García y a las Supervisiones y Coordinaciones de Materia de la Defensa Pública en </w:t>
      </w:r>
      <w:r w:rsidRPr="00AE1B2B">
        <w:rPr>
          <w:rFonts w:ascii="Times New Roman" w:hAnsi="Times New Roman" w:eastAsia="Book Antiqua" w:cs="Times New Roman"/>
          <w:sz w:val="26"/>
          <w:szCs w:val="26"/>
        </w:rPr>
        <w:lastRenderedPageBreak/>
        <w:t>la tramitación de asuntos con persona usuaria indígena, de manera que se unifiquen criterios en cuanto a la asesoría hacia el personal defensor que representa a esta población en condición de vulnerabilidad y, las eventuales consultas sean abordadas por los superiores de materia, en búsqueda de descentralizar las consultas a la actual plaza de Supervisión de Asuntos Indígenas, ya que con la implementación de la Estructura Organizativa por Procesos en la Defensa Pública, se le encomendarán funciones adicionales.</w:t>
      </w:r>
    </w:p>
    <w:p w:rsidRPr="00AE1B2B" w:rsidR="008F4340" w:rsidP="00163B94" w:rsidRDefault="008F4340" w14:paraId="0735BE8B" w14:textId="77777777">
      <w:pPr>
        <w:pStyle w:val="Prrafodelista"/>
        <w:spacing w:before="120" w:after="120"/>
        <w:rPr>
          <w:rFonts w:ascii="Times New Roman" w:hAnsi="Times New Roman" w:eastAsia="Book Antiqua" w:cs="Times New Roman"/>
          <w:sz w:val="26"/>
          <w:szCs w:val="26"/>
        </w:rPr>
      </w:pPr>
    </w:p>
    <w:p w:rsidRPr="00AE1B2B" w:rsidR="008F4340" w:rsidP="00163B94" w:rsidRDefault="008F4340" w14:paraId="0207FB06"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06525866" w14:textId="33DB982A">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 xml:space="preserve">Trasladar la colaboración que brinda la Supervisión de Asuntos Indígenas en cuanto a las visitas carcelarias de personas usuarias indígenas, al Doctor Roberto Montero García, Defensor Público en Materia Contenciosa Administrativa; dado a que como se explicó en el apartado </w:t>
      </w:r>
      <w:r w:rsidRPr="00AE1B2B">
        <w:rPr>
          <w:rFonts w:ascii="Times New Roman" w:hAnsi="Times New Roman" w:eastAsia="Book Antiqua" w:cs="Times New Roman"/>
          <w:b/>
          <w:bCs/>
          <w:sz w:val="26"/>
          <w:szCs w:val="26"/>
        </w:rPr>
        <w:t>a.3 Atención de asuntos contenciosos administrativos</w:t>
      </w:r>
      <w:r w:rsidRPr="00AE1B2B">
        <w:rPr>
          <w:rFonts w:ascii="Times New Roman" w:hAnsi="Times New Roman" w:eastAsia="Book Antiqua" w:cs="Times New Roman"/>
          <w:sz w:val="26"/>
          <w:szCs w:val="26"/>
        </w:rPr>
        <w:t>, aún no se ha notado un incremento en la demanda de asuntos en dicha materia, inclusive la plaza en mención reportó el ingreso de cuatro asuntos para el 2020 (</w:t>
      </w:r>
      <w:r w:rsidRPr="00AE1B2B">
        <w:rPr>
          <w:rFonts w:ascii="Times New Roman" w:hAnsi="Times New Roman" w:eastAsia="Book Antiqua" w:cs="Times New Roman"/>
          <w:i/>
          <w:iCs/>
          <w:sz w:val="26"/>
          <w:szCs w:val="26"/>
        </w:rPr>
        <w:t>6 representaciones, que pueden ser personas indígenas o servidoras judiciales</w:t>
      </w:r>
      <w:r w:rsidRPr="00AE1B2B">
        <w:rPr>
          <w:rFonts w:ascii="Times New Roman" w:hAnsi="Times New Roman" w:eastAsia="Book Antiqua" w:cs="Times New Roman"/>
          <w:sz w:val="26"/>
          <w:szCs w:val="26"/>
        </w:rPr>
        <w:t>) y, el área jurisdiccional reportó el ingreso de tres expedientes con persona usuaria indígena para el 2019 y, un expediente para el 2020. Esto en razón de la alta capacitación del Doctor Montero García en la atención de personas en condición de vulnerabilidad y, con el propósito de aumentar su carga de trabajo; siempre procurando la priorización en la atención de personas usuarias indígenas y servidoras judiciales en procesos contenciosos administrativos.</w:t>
      </w:r>
    </w:p>
    <w:p w:rsidRPr="00AE1B2B" w:rsidR="008F4340" w:rsidP="00163B94" w:rsidRDefault="008F4340" w14:paraId="0A69608A"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2015FF06" w14:textId="07A937D6">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Solicitar al Doctor Roberto Montero García la confección de un curso de introducción a la materia contenciosa administrativa (</w:t>
      </w:r>
      <w:r w:rsidRPr="00AE1B2B">
        <w:rPr>
          <w:rFonts w:ascii="Times New Roman" w:hAnsi="Times New Roman" w:eastAsia="Book Antiqua" w:cs="Times New Roman"/>
          <w:i/>
          <w:iCs/>
          <w:sz w:val="26"/>
          <w:szCs w:val="26"/>
        </w:rPr>
        <w:t>Ley 8508 Código Procesal Contencioso Administrativo</w:t>
      </w:r>
      <w:r w:rsidRPr="00AE1B2B">
        <w:rPr>
          <w:rFonts w:ascii="Times New Roman" w:hAnsi="Times New Roman" w:eastAsia="Book Antiqua" w:cs="Times New Roman"/>
          <w:sz w:val="26"/>
          <w:szCs w:val="26"/>
        </w:rPr>
        <w:t>), diseñado específicamente para el personal defensor que representa personas indígenas, en procura de lograr sensibilización en el trámite de asuntos judiciales desde el punto de vista de derechos humanos. Y, considerar que este curso forme parte de la formación obligatoria del personal defensor; así como, que futuras capacitaciones sean encomendadas en su mayoría al Señor Montero García, en coordinación de la Licenciada Ligia Jiménez Zamora, ya que es experta en atención de personas indígenas y costumbres de los pueblos indígenas, aunado a que cuenta con gran experiencia en la materia.</w:t>
      </w:r>
    </w:p>
    <w:p w:rsidRPr="00AE1B2B" w:rsidR="008F4340" w:rsidP="00163B94" w:rsidRDefault="008F4340" w14:paraId="17A841A1" w14:textId="77777777">
      <w:pPr>
        <w:pStyle w:val="Prrafodelista"/>
        <w:spacing w:before="120" w:after="120"/>
        <w:rPr>
          <w:rFonts w:ascii="Times New Roman" w:hAnsi="Times New Roman" w:eastAsia="Book Antiqua" w:cs="Times New Roman"/>
          <w:sz w:val="26"/>
          <w:szCs w:val="26"/>
        </w:rPr>
      </w:pPr>
    </w:p>
    <w:p w:rsidRPr="00AE1B2B" w:rsidR="008F4340" w:rsidP="00163B94" w:rsidRDefault="008F4340" w14:paraId="01CFB03A"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06E544FA" w14:textId="2CEA8131">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 xml:space="preserve">Analizar en un plazo de seis meses, posterior de la entrada de vigencia de la </w:t>
      </w:r>
      <w:r w:rsidRPr="00AE1B2B">
        <w:rPr>
          <w:rFonts w:ascii="Times New Roman" w:hAnsi="Times New Roman" w:eastAsia="Book Antiqua" w:cs="Times New Roman"/>
          <w:b/>
          <w:bCs/>
          <w:sz w:val="26"/>
          <w:szCs w:val="26"/>
        </w:rPr>
        <w:t>Ley 9609 “</w:t>
      </w:r>
      <w:r w:rsidRPr="00AE1B2B">
        <w:rPr>
          <w:rFonts w:ascii="Times New Roman" w:hAnsi="Times New Roman" w:eastAsia="Book Antiqua" w:cs="Times New Roman"/>
          <w:b/>
          <w:bCs/>
          <w:i/>
          <w:iCs/>
          <w:sz w:val="26"/>
          <w:szCs w:val="26"/>
        </w:rPr>
        <w:t>Código Procesal Agrario</w:t>
      </w:r>
      <w:r w:rsidRPr="00AE1B2B">
        <w:rPr>
          <w:rFonts w:ascii="Times New Roman" w:hAnsi="Times New Roman" w:eastAsia="Book Antiqua" w:cs="Times New Roman"/>
          <w:b/>
          <w:bCs/>
          <w:sz w:val="26"/>
          <w:szCs w:val="26"/>
        </w:rPr>
        <w:t>”</w:t>
      </w:r>
      <w:r w:rsidRPr="00AE1B2B">
        <w:rPr>
          <w:rFonts w:ascii="Times New Roman" w:hAnsi="Times New Roman" w:eastAsia="Book Antiqua" w:cs="Times New Roman"/>
          <w:sz w:val="26"/>
          <w:szCs w:val="26"/>
        </w:rPr>
        <w:t xml:space="preserve"> la carga de trabajo de cada plaza de Defensor Público de materia agraria, de manera que, se determine si la demanda del servicio ha aumentado (</w:t>
      </w:r>
      <w:r w:rsidRPr="00AE1B2B">
        <w:rPr>
          <w:rFonts w:ascii="Times New Roman" w:hAnsi="Times New Roman" w:eastAsia="Book Antiqua" w:cs="Times New Roman"/>
          <w:i/>
          <w:iCs/>
          <w:sz w:val="26"/>
          <w:szCs w:val="26"/>
        </w:rPr>
        <w:t>entrada de expedientes</w:t>
      </w:r>
      <w:r w:rsidRPr="00AE1B2B">
        <w:rPr>
          <w:rFonts w:ascii="Times New Roman" w:hAnsi="Times New Roman" w:eastAsia="Book Antiqua" w:cs="Times New Roman"/>
          <w:sz w:val="26"/>
          <w:szCs w:val="26"/>
        </w:rPr>
        <w:t>) y, en caso de no alcanzar la cuota del circulante recomendada por la Coordinación de Materia Agraria de la Defensa Pública, de los 180 expedientes, se le asignen asuntos de otras jurisdicciones para completar su carga de trabajo.</w:t>
      </w:r>
    </w:p>
    <w:p w:rsidRPr="00AE1B2B" w:rsidR="008F4340" w:rsidP="00163B94" w:rsidRDefault="008F4340" w14:paraId="3B6AF068"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2493DC5A" w14:textId="10959F70">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 xml:space="preserve">Continuar con la colaboración que brinda la Coordinación de Materia Agraria para con </w:t>
      </w:r>
      <w:r w:rsidRPr="00AE1B2B">
        <w:rPr>
          <w:rFonts w:ascii="Times New Roman" w:hAnsi="Times New Roman" w:eastAsia="Arial" w:cs="Times New Roman"/>
          <w:sz w:val="26"/>
          <w:szCs w:val="26"/>
        </w:rPr>
        <w:t xml:space="preserve">los profesionales que lo requieran, especialmente cuando hay intereses contrapuestos. Así como, se recomienda que la Coordinación de Materia colabore en la descongestión del circulante del personal defensor, tramitando asuntos directamente; ya que como se explicó en el apartado </w:t>
      </w:r>
      <w:r w:rsidRPr="00AE1B2B">
        <w:rPr>
          <w:rFonts w:ascii="Times New Roman" w:hAnsi="Times New Roman" w:eastAsia="Arial" w:cs="Times New Roman"/>
          <w:b/>
          <w:bCs/>
          <w:sz w:val="26"/>
          <w:szCs w:val="26"/>
        </w:rPr>
        <w:t>a.2 Atención de asuntos agrarios</w:t>
      </w:r>
      <w:r w:rsidRPr="00AE1B2B">
        <w:rPr>
          <w:rFonts w:ascii="Times New Roman" w:hAnsi="Times New Roman" w:eastAsia="Arial" w:cs="Times New Roman"/>
          <w:sz w:val="26"/>
          <w:szCs w:val="26"/>
        </w:rPr>
        <w:t xml:space="preserve">, </w:t>
      </w:r>
      <w:r w:rsidRPr="00AE1B2B">
        <w:rPr>
          <w:rFonts w:ascii="Times New Roman" w:hAnsi="Times New Roman" w:eastAsia="Book Antiqua" w:cs="Times New Roman"/>
          <w:sz w:val="26"/>
          <w:szCs w:val="26"/>
        </w:rPr>
        <w:t>a pesar de que según los reportes de la coordinación de materia agraria de la Defensa Pública, la mayoría de personas defensoras al cierre de diciembre de 2020 superan la cuota del circulante recomendado (</w:t>
      </w:r>
      <w:r w:rsidRPr="00AE1B2B">
        <w:rPr>
          <w:rFonts w:ascii="Times New Roman" w:hAnsi="Times New Roman" w:eastAsia="Book Antiqua" w:cs="Times New Roman"/>
          <w:i/>
          <w:iCs/>
          <w:sz w:val="26"/>
          <w:szCs w:val="26"/>
        </w:rPr>
        <w:t>este comportamiento no se reflejó en el informe del año anterior</w:t>
      </w:r>
      <w:r w:rsidRPr="00AE1B2B">
        <w:rPr>
          <w:rFonts w:ascii="Times New Roman" w:hAnsi="Times New Roman" w:eastAsia="Book Antiqua" w:cs="Times New Roman"/>
          <w:sz w:val="26"/>
          <w:szCs w:val="26"/>
        </w:rPr>
        <w:t xml:space="preserve">) y, la entrada de asuntos disminuyó en el 2020 con respecto al 2019; es por esto que se deduce que el incremento en el circulante se justifica por la suspensión de audiencias y diligencias dispuesta por la Administración de Justicia a raíz de la emergencia nacional provocada por la enfermedad COVID-19. Además, se recomienda que la coordinación figure como persona defensora con una carga de trabajo diferenciada, en concordancia con </w:t>
      </w:r>
      <w:r w:rsidRPr="00AE1B2B">
        <w:rPr>
          <w:rFonts w:ascii="Times New Roman" w:hAnsi="Times New Roman" w:eastAsia="Arial" w:cs="Times New Roman"/>
          <w:sz w:val="26"/>
          <w:szCs w:val="26"/>
        </w:rPr>
        <w:t>la circular de la Defensa Pública 13-19 del 25 de octubre de 2019 que estipula que las coordinaciones de materia deben mantener un circulante diferenciado precisamente por su coordinación y, en este caso, a la Coordinación de Materia Agraria se le aprobó la disminución de un 30% de la carga ordinaria de una persona defensora agraria (</w:t>
      </w:r>
      <w:r w:rsidRPr="00AE1B2B">
        <w:rPr>
          <w:rFonts w:ascii="Times New Roman" w:hAnsi="Times New Roman" w:eastAsia="Arial" w:cs="Times New Roman"/>
          <w:i/>
          <w:iCs/>
          <w:sz w:val="26"/>
          <w:szCs w:val="26"/>
        </w:rPr>
        <w:t>entrados y circulante</w:t>
      </w:r>
      <w:r w:rsidRPr="00AE1B2B">
        <w:rPr>
          <w:rFonts w:ascii="Times New Roman" w:hAnsi="Times New Roman" w:eastAsia="Arial" w:cs="Times New Roman"/>
          <w:sz w:val="26"/>
          <w:szCs w:val="26"/>
        </w:rPr>
        <w:t>).</w:t>
      </w:r>
    </w:p>
    <w:p w:rsidRPr="00AE1B2B" w:rsidR="008F4340" w:rsidP="00163B94" w:rsidRDefault="008F4340" w14:paraId="571238CB"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57791EA5" w14:textId="7119AAEB">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Continuar con las coordinaciones relacionadas con la implantación y capacitación del Sistema de Seguimientos de Casos (SSC) y SIGMA en las Oficinas de la Defensa Pública que atiendan materia Agraria, con fin de obtener datos estadísticos para futuros estudios técnicos.</w:t>
      </w:r>
    </w:p>
    <w:p w:rsidRPr="00AE1B2B" w:rsidR="008F4340" w:rsidP="00163B94" w:rsidRDefault="008F4340" w14:paraId="3A28A630" w14:textId="77777777">
      <w:pPr>
        <w:pStyle w:val="Prrafodelista"/>
        <w:spacing w:before="120" w:after="120"/>
        <w:rPr>
          <w:rFonts w:ascii="Times New Roman" w:hAnsi="Times New Roman" w:eastAsia="Book Antiqua" w:cs="Times New Roman"/>
          <w:sz w:val="26"/>
          <w:szCs w:val="26"/>
        </w:rPr>
      </w:pPr>
    </w:p>
    <w:p w:rsidRPr="00AE1B2B" w:rsidR="008F4340" w:rsidP="00163B94" w:rsidRDefault="008F4340" w14:paraId="00BEFE26"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5C997163" w14:textId="447C43A0">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Considerar la posibilidad de trasladar la co-defensa de asuntos contenciosos administrativos al personal defensor de la Unidad Administrativa de la Defensa Pública, en congruencia con el criterio del Doctor Roberto Montero Garcia por la naturaleza de la formación defensor administrativo y debido a que la carga de trabajo sustancial recae sobre su persona y, en procura de descongestionar el circulante del personal defensor agrario, que también mantienen el recargo de procesos civiles donde intervenga una persona usuaria indígena. A este criterio se le une la manifestación de la Coordinación de Materia Agraria, en cuanto a que la figura de co-defensa existe debido a que en los procesos contenciosos administrativos así lo dispone la Ley y, en su momento la Jefatura de la Defensa Pública encomendó la labor al personal defensor agrario; sin embargo, dicha colaboración se ha brindada únicamente en dos ocasiones.</w:t>
      </w:r>
    </w:p>
    <w:p w:rsidRPr="00AE1B2B" w:rsidR="008F4340" w:rsidP="00163B94" w:rsidRDefault="008F4340" w14:paraId="6E3B1B4D"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059FCDD1" w14:textId="6C93526E">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 xml:space="preserve">En caso de que se asignen las dos plazas nuevas a la Defensa Pública por parte de la Asamblea Legislativa, se recomienda se ubique una en la Defensa Pública de Buenos Aires y otra en la Defensa Pública de Bribri y que, </w:t>
      </w:r>
      <w:r w:rsidRPr="00AE1B2B">
        <w:rPr>
          <w:rFonts w:ascii="Times New Roman" w:hAnsi="Times New Roman" w:eastAsia="Book Antiqua" w:cs="Times New Roman"/>
          <w:sz w:val="26"/>
          <w:szCs w:val="26"/>
          <w:u w:val="single"/>
        </w:rPr>
        <w:t>prioritariamente</w:t>
      </w:r>
      <w:r w:rsidRPr="00AE1B2B">
        <w:rPr>
          <w:rFonts w:ascii="Times New Roman" w:hAnsi="Times New Roman" w:eastAsia="Book Antiqua" w:cs="Times New Roman"/>
          <w:sz w:val="26"/>
          <w:szCs w:val="26"/>
        </w:rPr>
        <w:t xml:space="preserve"> atiendan asuntos de personas usuarias indígenas en Pensiones Alimentarias, así como asuntos de Familia de personas usuarias indígenas. Además, se recomienda que la plaza de Buenos Aires brinde colaboración a Osa, Coto Brus, Corredores y Puerto Jiménez y, la plaza de Bribri brinde colaboración a la oficina de Limón, debido a las personas defensoras reportan un ingreso promedio anual por encima del recomendado. Y, se recomienda que, mientras la carga de trabajo lo permita, estas personas defensoras realicen visitas a zonas indígenas con el propósito de asesorar a las personas usuarias indígenas en los servicios que brinda la Defensa Pública en todas las materias, de manera que se facilite el acceso a la justicia a esta población que en su mayoría se encuentran en condición de vulnerabilidad. En caso de que aún la carga de trabajo lo permita, se recomienda que se les asignen asuntos penales a las plazas de Defensor Público de la Unidad de Pensión Alimentaria que se encuentren asignadas a las Oficinas de la Defensa Pública de Bribrí y Buenos Aires, para completar las cargas de trabajo. Considerando que de manera prioritaria se deberá atender los asuntos de Pensión Alimentaria.</w:t>
      </w:r>
    </w:p>
    <w:p w:rsidRPr="00AE1B2B" w:rsidR="008F4340" w:rsidP="00163B94" w:rsidRDefault="008F4340" w14:paraId="6ACE30BB"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5EA77F26" w14:textId="03306FFF">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A la Dirección de Gestión Humana </w:t>
      </w:r>
    </w:p>
    <w:p w:rsidRPr="00AE1B2B" w:rsidR="008F4340" w:rsidP="00163B94" w:rsidRDefault="008F4340" w14:paraId="7445391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AC5C5CC" w14:textId="1EAB1A32">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mantienen las recomendaciones realizadas en el informe 507-PLA-RH-MI-2020:</w:t>
      </w:r>
    </w:p>
    <w:p w:rsidRPr="00AE1B2B" w:rsidR="008F4340" w:rsidP="00163B94" w:rsidRDefault="008F4340" w14:paraId="2518B2A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041F9A6" w14:textId="3F898263">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Considerar en las condiciones para contratar al nuevo personal las disposiciones de la nueva ley aprobada en su artículo 7 que indica: “(…) 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 (…)”. Adicionalmente, proponer en los concursos de estas nuevas plazas, que las personas contratadas dispongan del conocimiento de los diferentes idiomas indígenas de tal forma que se pueda brindar un acceso real y más directo a las personas asistidas en estas zonas.</w:t>
      </w:r>
    </w:p>
    <w:p w:rsidRPr="00AE1B2B" w:rsidR="008F4340" w:rsidP="00163B94" w:rsidRDefault="008F4340" w14:paraId="195BD6C6"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2E134DA4" w14:textId="734B365B">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 xml:space="preserve">Analizar en los nuevos concursos habilidades blandas como: </w:t>
      </w:r>
    </w:p>
    <w:p w:rsidRPr="00AE1B2B" w:rsidR="008F4340" w:rsidP="00163B94" w:rsidRDefault="008F4340" w14:paraId="3AB42932" w14:textId="77777777">
      <w:pPr>
        <w:pStyle w:val="Prrafodelista"/>
        <w:spacing w:before="120" w:after="120"/>
        <w:rPr>
          <w:rFonts w:ascii="Times New Roman" w:hAnsi="Times New Roman" w:eastAsia="Book Antiqua" w:cs="Times New Roman"/>
          <w:sz w:val="26"/>
          <w:szCs w:val="26"/>
        </w:rPr>
      </w:pPr>
    </w:p>
    <w:p w:rsidRPr="00AE1B2B" w:rsidR="008F4340" w:rsidP="00163B94" w:rsidRDefault="008F4340" w14:paraId="27712564"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35965BA1" w14:textId="2C9D4206">
      <w:pPr>
        <w:numPr>
          <w:ilvl w:val="1"/>
          <w:numId w:val="54"/>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Disposición para realizar las diligencias in situ.</w:t>
      </w:r>
    </w:p>
    <w:p w:rsidRPr="00AE1B2B" w:rsidR="008F4340" w:rsidP="00163B94" w:rsidRDefault="008F4340" w14:paraId="27FAB85F"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6445FB2A" w14:textId="587FE655">
      <w:pPr>
        <w:numPr>
          <w:ilvl w:val="1"/>
          <w:numId w:val="54"/>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Utilizar diferentes medios de transporte (</w:t>
      </w:r>
      <w:r w:rsidRPr="00AE1B2B">
        <w:rPr>
          <w:rFonts w:ascii="Times New Roman" w:hAnsi="Times New Roman" w:eastAsia="Book Antiqua" w:cs="Times New Roman"/>
          <w:i/>
          <w:iCs/>
          <w:sz w:val="26"/>
          <w:szCs w:val="26"/>
        </w:rPr>
        <w:t>caballo, camión, bote, panga, etc.</w:t>
      </w:r>
      <w:r w:rsidRPr="00AE1B2B">
        <w:rPr>
          <w:rFonts w:ascii="Times New Roman" w:hAnsi="Times New Roman" w:eastAsia="Book Antiqua" w:cs="Times New Roman"/>
          <w:sz w:val="26"/>
          <w:szCs w:val="26"/>
        </w:rPr>
        <w:t>)</w:t>
      </w:r>
    </w:p>
    <w:p w:rsidRPr="00AE1B2B" w:rsidR="008F4340" w:rsidP="00163B94" w:rsidRDefault="008F4340" w14:paraId="44F6E13D" w14:textId="77777777">
      <w:pPr>
        <w:pStyle w:val="Prrafodelista"/>
        <w:spacing w:before="120" w:after="120"/>
        <w:rPr>
          <w:rFonts w:ascii="Times New Roman" w:hAnsi="Times New Roman" w:eastAsia="Book Antiqua" w:cs="Times New Roman"/>
          <w:sz w:val="26"/>
          <w:szCs w:val="26"/>
        </w:rPr>
      </w:pPr>
    </w:p>
    <w:p w:rsidRPr="00AE1B2B" w:rsidR="008F4340" w:rsidP="00163B94" w:rsidRDefault="008F4340" w14:paraId="3DB43235"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6BC165A1" w14:textId="0A57F88D">
      <w:pPr>
        <w:numPr>
          <w:ilvl w:val="1"/>
          <w:numId w:val="54"/>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Comprender que la condición social y cultural implica procesos cuyo tiempo para invertirles es mayor, pues los canales de comunicación son diversos en los diferentes procesos y según el género.</w:t>
      </w:r>
    </w:p>
    <w:p w:rsidRPr="00AE1B2B" w:rsidR="008F4340" w:rsidP="00163B94" w:rsidRDefault="008F4340" w14:paraId="6BE6FFF4"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7564B67D" w14:textId="092654CB">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 xml:space="preserve">Analizar en conjunto con la Defensa Pública las condiciones de los concursos en propiedad de las plazas que atienden la materia agraria, de tal forma que se amplié su condición para que </w:t>
      </w:r>
      <w:r w:rsidRPr="00AE1B2B">
        <w:rPr>
          <w:rFonts w:ascii="Times New Roman" w:hAnsi="Times New Roman" w:eastAsia="Book Antiqua" w:cs="Times New Roman"/>
          <w:sz w:val="26"/>
          <w:szCs w:val="26"/>
        </w:rPr>
        <w:lastRenderedPageBreak/>
        <w:t>las mismas puedan atender eventualmente otras materias, así como trasladarse a las diferentes zonas que disponga la Dirección de la Defensa Pública.</w:t>
      </w:r>
    </w:p>
    <w:p w:rsidRPr="00AE1B2B" w:rsidR="008F4340" w:rsidP="00163B94" w:rsidRDefault="008F4340" w14:paraId="1E8FB13C"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33B9D3EB" w14:textId="098F1B33">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A raíz de las observaciones emitidas en el oficio CACC-116-2020 de la Comisión de Acceso a la Justicia, se solicita valorar la posibilidad de promover dentro de los concursos de la judicatura las capacitaciones referentes a la atención y acceso a la justicia de los pueblos indígenas.</w:t>
      </w:r>
    </w:p>
    <w:p w:rsidRPr="00AE1B2B" w:rsidR="008F4340" w:rsidP="00163B94" w:rsidRDefault="008F4340" w14:paraId="433989A2" w14:textId="77777777">
      <w:pPr>
        <w:pStyle w:val="Prrafodelista"/>
        <w:spacing w:before="120" w:after="120"/>
        <w:rPr>
          <w:rFonts w:ascii="Times New Roman" w:hAnsi="Times New Roman" w:eastAsia="Book Antiqua" w:cs="Times New Roman"/>
          <w:sz w:val="26"/>
          <w:szCs w:val="26"/>
        </w:rPr>
      </w:pPr>
    </w:p>
    <w:p w:rsidRPr="00AE1B2B" w:rsidR="008F4340" w:rsidP="00163B94" w:rsidRDefault="008F4340" w14:paraId="5213232E"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7B03B79B" w14:textId="1161D13D">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A raíz de las observaciones emitidas en el oficio CACC-116-2020 de la Comisión de Acceso a la Justicia, se solicita analizar la posibilidad de incluir la variable de capacitación en Derecho Indígena en los indicadores de evaluación de desempeño y los procesos de reclutamiento, ya sea para nombramientos o ascensos en puestos vinculados con el conocimiento de procesos asociados a personas indígenas.</w:t>
      </w:r>
    </w:p>
    <w:p w:rsidRPr="00AE1B2B" w:rsidR="008F4340" w:rsidP="00163B94" w:rsidRDefault="008F4340" w14:paraId="70A4CC47"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58A7C253" w14:textId="7D3DA5B1">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la Dirección Jurídica </w:t>
      </w:r>
    </w:p>
    <w:p w:rsidRPr="00AE1B2B" w:rsidR="008F4340" w:rsidP="00163B94" w:rsidRDefault="008F4340" w14:paraId="25EE8C1F" w14:textId="62A8C938">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6D6BE4C" w14:textId="003C58EB">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 xml:space="preserve">Emitir un criterio jurídico sobre lo manifestado en el oficio JEFDP-365-2020 de la Jefatura de la Defensa Pública, sobre la posibilidad de que una Defensora o Defensor Público pueda conocer materia penal adicional de la materia alimentaria, que indica: </w:t>
      </w:r>
    </w:p>
    <w:p w:rsidRPr="00AE1B2B" w:rsidR="008F4340" w:rsidP="00163B94" w:rsidRDefault="008F4340" w14:paraId="262BCE3E"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674F42C6" w14:textId="7993F411">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 xml:space="preserve">(...)"se establece por Principio de Legalidad que quien brinda la asistencia letrada debe cumplir dos requisitos: </w:t>
      </w:r>
    </w:p>
    <w:p w:rsidRPr="00AE1B2B" w:rsidR="008F4340" w:rsidP="00163B94" w:rsidRDefault="008F4340" w14:paraId="3C072CB5"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66C1859C" w14:textId="4D3EECFE">
      <w:pPr>
        <w:pStyle w:val="Prrafodelista"/>
        <w:numPr>
          <w:ilvl w:val="2"/>
          <w:numId w:val="46"/>
        </w:numPr>
        <w:spacing w:before="120" w:after="120"/>
        <w:ind w:right="851"/>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 xml:space="preserve">especializada en derecho indígena. </w:t>
      </w:r>
    </w:p>
    <w:p w:rsidRPr="00AE1B2B" w:rsidR="008F4340" w:rsidP="00163B94" w:rsidRDefault="008F4340" w14:paraId="5D602A2D" w14:textId="77777777">
      <w:pPr>
        <w:spacing w:before="120" w:after="120"/>
        <w:ind w:right="851"/>
        <w:jc w:val="both"/>
        <w:rPr>
          <w:rFonts w:ascii="Times New Roman" w:hAnsi="Times New Roman" w:eastAsia="Book Antiqua" w:cs="Times New Roman"/>
          <w:i/>
          <w:iCs/>
          <w:sz w:val="26"/>
          <w:szCs w:val="26"/>
        </w:rPr>
      </w:pPr>
    </w:p>
    <w:p w:rsidRPr="00AE1B2B" w:rsidR="008F4340" w:rsidP="00163B94" w:rsidRDefault="009D3FB5" w14:paraId="7C40D5EC" w14:textId="5E5BB319">
      <w:pPr>
        <w:pStyle w:val="Prrafodelista"/>
        <w:numPr>
          <w:ilvl w:val="2"/>
          <w:numId w:val="46"/>
        </w:numPr>
        <w:spacing w:before="120" w:after="120"/>
        <w:ind w:right="851"/>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especializada en la materia de competencia.</w:t>
      </w:r>
    </w:p>
    <w:p w:rsidRPr="00AE1B2B" w:rsidR="008F4340" w:rsidP="00163B94" w:rsidRDefault="008F4340" w14:paraId="4BDAB8B2" w14:textId="77777777">
      <w:pPr>
        <w:pStyle w:val="Prrafodelista"/>
        <w:spacing w:before="120" w:after="120"/>
        <w:rPr>
          <w:rFonts w:ascii="Times New Roman" w:hAnsi="Times New Roman" w:eastAsia="Book Antiqua" w:cs="Times New Roman"/>
          <w:i/>
          <w:iCs/>
          <w:sz w:val="26"/>
          <w:szCs w:val="26"/>
        </w:rPr>
      </w:pPr>
    </w:p>
    <w:p w:rsidRPr="00AE1B2B" w:rsidR="009D3FB5" w:rsidP="00163B94" w:rsidRDefault="009D3FB5" w14:paraId="292FB027" w14:textId="5DAE2150">
      <w:pPr>
        <w:spacing w:before="120" w:after="120"/>
        <w:ind w:right="851"/>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 xml:space="preserve"> </w:t>
      </w:r>
    </w:p>
    <w:p w:rsidRPr="00AE1B2B" w:rsidR="009D3FB5" w:rsidP="00163B94" w:rsidRDefault="009D3FB5" w14:paraId="25859306" w14:textId="41808199">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 xml:space="preserve">Situación que a la fecha no opera, pues las personas defensoras públicas no tienen una especialidad en derecho indígena, </w:t>
      </w:r>
      <w:r w:rsidRPr="00AE1B2B">
        <w:rPr>
          <w:rFonts w:ascii="Times New Roman" w:hAnsi="Times New Roman" w:eastAsia="Book Antiqua" w:cs="Times New Roman"/>
          <w:i/>
          <w:iCs/>
          <w:sz w:val="26"/>
          <w:szCs w:val="26"/>
        </w:rPr>
        <w:lastRenderedPageBreak/>
        <w:t>aún y cuando se trata de generar capacitaciones; además se plantea la necesidad de la especialidad en la materia de atención a la persona indígena. Eso nos lleva a considerar que las personas defensoras públicas no deberían de asesorar materias por recargo, que implica otras especialidades, ni que pensiones deba atender penal, o violencia doméstica, ya que justamente por el Principio de Legalidad se requiere la especialización a partir de la condición de la persona usuaria y del tipo de proceso judicial que se asesore."</w:t>
      </w:r>
    </w:p>
    <w:p w:rsidRPr="00AE1B2B" w:rsidR="008F4340" w:rsidP="00163B94" w:rsidRDefault="008F4340" w14:paraId="79F89B34"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10661244" w14:textId="516704D0">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Lo anterior debido a las recomendaciones emitidas por la Dirección de Planificación en el presente informe, para la optimización de recursos de la Defensa Pública, tomando en consideración la equidad de las cargas de trabajo entre las personas defensoras y las limitaciones presupuestarias de la institución.</w:t>
      </w:r>
    </w:p>
    <w:p w:rsidRPr="00AE1B2B" w:rsidR="008F4340" w:rsidP="00163B94" w:rsidRDefault="008F4340" w14:paraId="78308131"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36D78050" w14:textId="77D928A3">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la Dirección Ejecutiva </w:t>
      </w:r>
    </w:p>
    <w:p w:rsidRPr="00AE1B2B" w:rsidR="008F4340" w:rsidP="00163B94" w:rsidRDefault="008F4340" w14:paraId="60F8EE8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4624D17" w14:textId="48E36784">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Según las observaciones emitidas en el oficio CACC-116-2020 del 14 abril de la Comisión de Acceso a la Justicia, se incorporan las siguientes recomendaciones:</w:t>
      </w:r>
    </w:p>
    <w:p w:rsidRPr="00AE1B2B" w:rsidR="008F4340" w:rsidP="00163B94" w:rsidRDefault="008F4340" w14:paraId="57070ED0"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4A341E88" w14:textId="44D035ED">
      <w:pPr>
        <w:pStyle w:val="Prrafodelista"/>
        <w:numPr>
          <w:ilvl w:val="0"/>
          <w:numId w:val="55"/>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Buscar nuevas prácticas que incentiven a la incorporación de más personas indígenas en las listas de personas traductoras, para ello podrá elaborar compañas en coordinación con el Departamento de Prensa y Comunicación; o bien, otros métodos que considere procedentes y de alto impacto.</w:t>
      </w:r>
    </w:p>
    <w:p w:rsidRPr="00AE1B2B" w:rsidR="008F4340" w:rsidP="00163B94" w:rsidRDefault="008F4340" w14:paraId="02B1A250"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4C842391" w14:textId="2D74D316">
      <w:pPr>
        <w:pStyle w:val="Prrafodelista"/>
        <w:numPr>
          <w:ilvl w:val="0"/>
          <w:numId w:val="55"/>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Solicitar a todas las Administraciones Regionales del país tomar las medidas necesarias para que el pago a las personas traductoras e intérpretes (</w:t>
      </w:r>
      <w:r w:rsidRPr="00AE1B2B">
        <w:rPr>
          <w:rFonts w:ascii="Times New Roman" w:hAnsi="Times New Roman" w:eastAsia="Book Antiqua" w:cs="Times New Roman"/>
          <w:i/>
          <w:iCs/>
          <w:sz w:val="26"/>
          <w:szCs w:val="26"/>
        </w:rPr>
        <w:t>principalmente indígenas</w:t>
      </w:r>
      <w:r w:rsidRPr="00AE1B2B">
        <w:rPr>
          <w:rFonts w:ascii="Times New Roman" w:hAnsi="Times New Roman" w:eastAsia="Book Antiqua" w:cs="Times New Roman"/>
          <w:sz w:val="26"/>
          <w:szCs w:val="26"/>
        </w:rPr>
        <w:t>) se realice de manera oportuna y cumpliendo con todos los requerimientos legales y políticas institucionales, para poder seguir contando con este apoyo.</w:t>
      </w:r>
    </w:p>
    <w:p w:rsidRPr="00AE1B2B" w:rsidR="008F4340" w:rsidP="00163B94" w:rsidRDefault="008F4340" w14:paraId="32A71D73" w14:textId="77777777">
      <w:pPr>
        <w:pStyle w:val="Prrafodelista"/>
        <w:spacing w:before="120" w:after="120"/>
        <w:rPr>
          <w:rFonts w:ascii="Times New Roman" w:hAnsi="Times New Roman" w:eastAsia="Book Antiqua" w:cs="Times New Roman"/>
          <w:sz w:val="26"/>
          <w:szCs w:val="26"/>
        </w:rPr>
      </w:pPr>
    </w:p>
    <w:p w:rsidRPr="00AE1B2B" w:rsidR="008F4340" w:rsidP="00163B94" w:rsidRDefault="008F4340" w14:paraId="75D2CA48"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04555B8E" w14:textId="5F4B9D7E">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 xml:space="preserve">Considerar, las inferencias del presente informe indicadas en el apartado </w:t>
      </w:r>
      <w:r w:rsidRPr="00AE1B2B">
        <w:rPr>
          <w:rFonts w:ascii="Times New Roman" w:hAnsi="Times New Roman" w:eastAsia="Book Antiqua" w:cs="Times New Roman"/>
          <w:b/>
          <w:bCs/>
          <w:sz w:val="26"/>
          <w:szCs w:val="26"/>
        </w:rPr>
        <w:t>a.3 Análisis de asuntos activos (</w:t>
      </w:r>
      <w:r w:rsidRPr="00AE1B2B">
        <w:rPr>
          <w:rFonts w:ascii="Times New Roman" w:hAnsi="Times New Roman" w:eastAsia="Book Antiqua" w:cs="Times New Roman"/>
          <w:b/>
          <w:bCs/>
          <w:i/>
          <w:iCs/>
          <w:sz w:val="26"/>
          <w:szCs w:val="26"/>
        </w:rPr>
        <w:t>expedientes</w:t>
      </w:r>
      <w:r w:rsidRPr="00AE1B2B">
        <w:rPr>
          <w:rFonts w:ascii="Times New Roman" w:hAnsi="Times New Roman" w:eastAsia="Book Antiqua" w:cs="Times New Roman"/>
          <w:b/>
          <w:bCs/>
          <w:sz w:val="26"/>
          <w:szCs w:val="26"/>
        </w:rPr>
        <w:t>)</w:t>
      </w:r>
      <w:r w:rsidRPr="00AE1B2B">
        <w:rPr>
          <w:rFonts w:ascii="Times New Roman" w:hAnsi="Times New Roman" w:eastAsia="Book Antiqua" w:cs="Times New Roman"/>
          <w:sz w:val="26"/>
          <w:szCs w:val="26"/>
        </w:rPr>
        <w:t xml:space="preserve">, en cuanto a la distribución de las personas indígenas representadas por la Defensa Pública según su pueblo de </w:t>
      </w:r>
      <w:r w:rsidRPr="00AE1B2B">
        <w:rPr>
          <w:rFonts w:ascii="Times New Roman" w:hAnsi="Times New Roman" w:eastAsia="Book Antiqua" w:cs="Times New Roman"/>
          <w:sz w:val="26"/>
          <w:szCs w:val="26"/>
        </w:rPr>
        <w:lastRenderedPageBreak/>
        <w:t>procedencia; esto como insumo para la elaboración de estrategias internas en el momento de gestionar a las personas intérpretes.</w:t>
      </w:r>
    </w:p>
    <w:p w:rsidRPr="00AE1B2B" w:rsidR="008F4340" w:rsidP="00163B94" w:rsidRDefault="008F4340" w14:paraId="72E5C7E8"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59A5FCF3" w14:textId="74330704">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Despacho de la Presidencia, la Subcomisión de Acceso a la Justicia y la Dirección Ejecutiva</w:t>
      </w:r>
    </w:p>
    <w:p w:rsidRPr="00AE1B2B" w:rsidR="008F4340" w:rsidP="00163B94" w:rsidRDefault="008F4340" w14:paraId="64A1087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FE5D01E" w14:textId="10CF4368">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Según recomendación de la Comisión de Acceso a la Justicia en el oficio CACC-116-2020 del 14 abril, se insta a continuar uniendo esfuerzos para el establecimiento de un convenio interinstitucional con la Escuela de Antropología de la Universidad de Costa Rica, en cumplimiento de la Ley de Acceso a la Justicia de Pueblos Indígenas de Costa Rica, para que coadyuven con los peritajes culturales necesarios para la atención de los procesos judiciales.</w:t>
      </w:r>
    </w:p>
    <w:p w:rsidRPr="00AE1B2B" w:rsidR="008F4340" w:rsidP="00163B94" w:rsidRDefault="008F4340" w14:paraId="7A59B5C2"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3E6DE092" w14:textId="5E9ED088">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Al Ministerio Público</w:t>
      </w:r>
    </w:p>
    <w:p w:rsidRPr="00AE1B2B" w:rsidR="008F4340" w:rsidP="00163B94" w:rsidRDefault="008F4340" w14:paraId="48D28F5F" w14:textId="50D31C75">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84D1A6E" w14:textId="4DF79263">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Según recomendación de la Comisión de Acceso a la Justicia en el oficio CACC-116-2020 del 14 abril, valorar la solicitud de establecer un protocolo diferenciado para la atención de personas indígenas en la Oficina de Protección de Víctimas y Testigos, en el entendido que se deberá garantizar la vida y la integridad de las personas; respetando la pertenencia cultural de esas personas en las medidas que se planteen.</w:t>
      </w:r>
    </w:p>
    <w:p w:rsidRPr="00AE1B2B" w:rsidR="008F4340" w:rsidP="00163B94" w:rsidRDefault="008F4340" w14:paraId="2DB7D0A9" w14:textId="77777777">
      <w:pPr>
        <w:spacing w:before="120" w:after="120"/>
        <w:ind w:right="851"/>
        <w:jc w:val="both"/>
        <w:rPr>
          <w:rFonts w:ascii="Times New Roman" w:hAnsi="Times New Roman" w:eastAsia="Book Antiqua" w:cs="Times New Roman"/>
          <w:sz w:val="26"/>
          <w:szCs w:val="26"/>
        </w:rPr>
      </w:pPr>
    </w:p>
    <w:p w:rsidRPr="00AE1B2B" w:rsidR="009D3FB5" w:rsidP="00163B94" w:rsidRDefault="009D3FB5" w14:paraId="60FBBC2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la Escuela Judicial </w:t>
      </w:r>
    </w:p>
    <w:p w:rsidRPr="00AE1B2B" w:rsidR="009D3FB5" w:rsidP="00163B94" w:rsidRDefault="009D3FB5" w14:paraId="346F4931" w14:textId="77777777">
      <w:pPr>
        <w:numPr>
          <w:ilvl w:val="0"/>
          <w:numId w:val="43"/>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Con base en lo indicado en el informe EJ-DIR-146-2020, del 10 de agosto de 2020, suscrito por la licenciada Rebeca Guardia Morales, Directora interina de la Escuela Judicial; se recomienda desarrollar una herramienta concreta para la evaluación del comportamiento en el desempeño de la persona servidora judicial capacitada en materia indígena, de forma que se aplique conforme a lo estipulado en la etapas de evaluación, según la metodología aprobada.</w:t>
      </w:r>
    </w:p>
    <w:p w:rsidRPr="00AE1B2B" w:rsidR="009D3FB5" w:rsidP="00163B94" w:rsidRDefault="009D3FB5" w14:paraId="1199F74B" w14:textId="7EA25A9D">
      <w:pPr>
        <w:spacing w:before="120" w:after="120"/>
        <w:ind w:right="851"/>
        <w:jc w:val="both"/>
        <w:rPr>
          <w:rFonts w:ascii="Times New Roman" w:hAnsi="Times New Roman" w:eastAsia="Arial" w:cs="Times New Roman"/>
          <w:sz w:val="26"/>
          <w:szCs w:val="26"/>
        </w:rPr>
      </w:pPr>
    </w:p>
    <w:p w:rsidRPr="00AE1B2B" w:rsidR="009D3FB5" w:rsidP="00163B94" w:rsidRDefault="009D3FB5" w14:paraId="5AB0C353" w14:textId="77777777">
      <w:pPr>
        <w:spacing w:before="120" w:after="120"/>
        <w:ind w:left="851" w:right="851" w:firstLine="709"/>
        <w:jc w:val="both"/>
        <w:rPr>
          <w:rFonts w:ascii="Times New Roman" w:hAnsi="Times New Roman" w:eastAsia="Arial" w:cs="Times New Roman"/>
          <w:sz w:val="26"/>
          <w:szCs w:val="26"/>
        </w:rPr>
      </w:pPr>
    </w:p>
    <w:p w:rsidRPr="00AE1B2B" w:rsidR="009D3FB5" w:rsidP="00163B94" w:rsidRDefault="009D3FB5" w14:paraId="4A422124"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Anexos</w:t>
      </w:r>
    </w:p>
    <w:tbl>
      <w:tblPr>
        <w:tblW w:w="5000" w:type="pct"/>
        <w:tblCellSpacing w:w="1440" w:type="nil"/>
        <w:tblBorders>
          <w:top w:val="outset" w:color="365F91" w:sz="6" w:space="0"/>
          <w:left w:val="outset" w:color="365F91" w:sz="6" w:space="0"/>
          <w:bottom w:val="inset" w:color="365F91" w:sz="6" w:space="0"/>
          <w:right w:val="inset" w:color="365F91" w:sz="6" w:space="0"/>
          <w:insideH w:val="single" w:color="365F91" w:sz="6" w:space="0"/>
          <w:insideV w:val="single" w:color="365F91" w:sz="6" w:space="0"/>
        </w:tblBorders>
        <w:tblLook w:val="04A0" w:firstRow="1" w:lastRow="0" w:firstColumn="1" w:lastColumn="0" w:noHBand="0" w:noVBand="1"/>
      </w:tblPr>
      <w:tblGrid>
        <w:gridCol w:w="1537"/>
        <w:gridCol w:w="4033"/>
        <w:gridCol w:w="3252"/>
      </w:tblGrid>
      <w:tr w:rsidRPr="00AE1B2B" w:rsidR="00AE1B2B" w:rsidTr="009D3FB5" w14:paraId="57991ECD" w14:textId="77777777">
        <w:trPr>
          <w:tblCellSpacing w:w="1440" w:type="nil"/>
        </w:trPr>
        <w:tc>
          <w:tcPr>
            <w:tcW w:w="871" w:type="pct"/>
            <w:shd w:val="clear" w:color="auto" w:fill="1F4E79" w:themeFill="accent1" w:themeFillShade="80"/>
            <w:vAlign w:val="center"/>
          </w:tcPr>
          <w:p w:rsidRPr="00AE1B2B" w:rsidR="009D3FB5" w:rsidP="00163B94" w:rsidRDefault="009D3FB5" w14:paraId="65FE41AF" w14:textId="77777777">
            <w:pPr>
              <w:spacing w:before="120" w:after="120"/>
              <w:jc w:val="center"/>
              <w:rPr>
                <w:rFonts w:ascii="Times New Roman" w:hAnsi="Times New Roman" w:cs="Times New Roman"/>
                <w:b/>
              </w:rPr>
            </w:pPr>
            <w:r w:rsidRPr="00AE1B2B">
              <w:rPr>
                <w:rFonts w:ascii="Times New Roman" w:hAnsi="Times New Roman" w:cs="Times New Roman"/>
                <w:b/>
              </w:rPr>
              <w:lastRenderedPageBreak/>
              <w:t>Anexos</w:t>
            </w:r>
          </w:p>
        </w:tc>
        <w:tc>
          <w:tcPr>
            <w:tcW w:w="2286" w:type="pct"/>
            <w:shd w:val="clear" w:color="auto" w:fill="1F4E79" w:themeFill="accent1" w:themeFillShade="80"/>
            <w:vAlign w:val="center"/>
          </w:tcPr>
          <w:p w:rsidRPr="00AE1B2B" w:rsidR="009D3FB5" w:rsidP="00163B94" w:rsidRDefault="009D3FB5" w14:paraId="662ACE15" w14:textId="77777777">
            <w:pPr>
              <w:spacing w:before="120" w:after="120"/>
              <w:jc w:val="center"/>
              <w:rPr>
                <w:rFonts w:ascii="Times New Roman" w:hAnsi="Times New Roman" w:cs="Times New Roman"/>
                <w:b/>
              </w:rPr>
            </w:pPr>
            <w:r w:rsidRPr="00AE1B2B">
              <w:rPr>
                <w:rFonts w:ascii="Times New Roman" w:hAnsi="Times New Roman" w:cs="Times New Roman"/>
                <w:b/>
              </w:rPr>
              <w:t>Nombre</w:t>
            </w:r>
          </w:p>
        </w:tc>
        <w:tc>
          <w:tcPr>
            <w:tcW w:w="1843" w:type="pct"/>
            <w:shd w:val="clear" w:color="auto" w:fill="1F4E79" w:themeFill="accent1" w:themeFillShade="80"/>
            <w:vAlign w:val="center"/>
          </w:tcPr>
          <w:p w:rsidRPr="00AE1B2B" w:rsidR="009D3FB5" w:rsidP="00163B94" w:rsidRDefault="009D3FB5" w14:paraId="1330F0F8" w14:textId="77777777">
            <w:pPr>
              <w:spacing w:before="120" w:after="120"/>
              <w:jc w:val="center"/>
              <w:rPr>
                <w:rFonts w:ascii="Times New Roman" w:hAnsi="Times New Roman" w:cs="Times New Roman"/>
                <w:b/>
              </w:rPr>
            </w:pPr>
            <w:r w:rsidRPr="00AE1B2B">
              <w:rPr>
                <w:rFonts w:ascii="Times New Roman" w:hAnsi="Times New Roman" w:cs="Times New Roman"/>
                <w:b/>
              </w:rPr>
              <w:t>Documento</w:t>
            </w:r>
          </w:p>
        </w:tc>
      </w:tr>
      <w:tr w:rsidRPr="00AE1B2B" w:rsidR="00AE1B2B" w:rsidTr="009D3FB5" w14:paraId="587F9FC3" w14:textId="77777777">
        <w:trPr>
          <w:tblCellSpacing w:w="1440" w:type="nil"/>
        </w:trPr>
        <w:tc>
          <w:tcPr>
            <w:tcW w:w="871" w:type="pct"/>
            <w:shd w:val="clear" w:color="auto" w:fill="auto"/>
            <w:vAlign w:val="center"/>
          </w:tcPr>
          <w:p w:rsidRPr="00AE1B2B" w:rsidR="009D3FB5" w:rsidP="00163B94" w:rsidRDefault="009D3FB5" w14:paraId="283F8DF8" w14:textId="77777777">
            <w:pPr>
              <w:spacing w:before="120" w:after="120"/>
              <w:jc w:val="center"/>
              <w:rPr>
                <w:rFonts w:ascii="Times New Roman" w:hAnsi="Times New Roman" w:cs="Times New Roman"/>
                <w:b/>
                <w:i/>
              </w:rPr>
            </w:pPr>
            <w:r w:rsidRPr="00AE1B2B">
              <w:rPr>
                <w:rFonts w:ascii="Times New Roman" w:hAnsi="Times New Roman" w:cs="Times New Roman"/>
                <w:b/>
                <w:i/>
              </w:rPr>
              <w:t>Anexo 1</w:t>
            </w:r>
          </w:p>
        </w:tc>
        <w:tc>
          <w:tcPr>
            <w:tcW w:w="2286" w:type="pct"/>
            <w:shd w:val="clear" w:color="auto" w:fill="auto"/>
            <w:vAlign w:val="center"/>
          </w:tcPr>
          <w:p w:rsidRPr="00AE1B2B" w:rsidR="009D3FB5" w:rsidP="00163B94" w:rsidRDefault="009D3FB5" w14:paraId="2936215C" w14:textId="77777777">
            <w:pPr>
              <w:spacing w:before="120" w:after="120"/>
              <w:jc w:val="center"/>
              <w:rPr>
                <w:rFonts w:ascii="Times New Roman" w:hAnsi="Times New Roman" w:cs="Times New Roman"/>
                <w:szCs w:val="20"/>
              </w:rPr>
            </w:pPr>
            <w:r w:rsidRPr="00AE1B2B">
              <w:rPr>
                <w:rFonts w:ascii="Times New Roman" w:hAnsi="Times New Roman" w:cs="Times New Roman"/>
                <w:b/>
                <w:bCs/>
                <w:szCs w:val="20"/>
              </w:rPr>
              <w:t>Minuta 43-PLA-MI-MNTA-2021:</w:t>
            </w:r>
            <w:r w:rsidRPr="00AE1B2B">
              <w:rPr>
                <w:rFonts w:ascii="Times New Roman" w:hAnsi="Times New Roman" w:cs="Times New Roman"/>
                <w:szCs w:val="20"/>
              </w:rPr>
              <w:t xml:space="preserve"> Reunión inicial con Licda. Ligia Jiménez y Lic. Esteban Arguedas.</w:t>
            </w:r>
          </w:p>
        </w:tc>
        <w:bookmarkStart w:name="_MON_1674298682" w:id="46"/>
        <w:bookmarkEnd w:id="46"/>
        <w:tc>
          <w:tcPr>
            <w:tcW w:w="1843" w:type="pct"/>
            <w:shd w:val="clear" w:color="auto" w:fill="auto"/>
            <w:vAlign w:val="center"/>
          </w:tcPr>
          <w:p w:rsidRPr="00AE1B2B" w:rsidR="009D3FB5" w:rsidP="00163B94" w:rsidRDefault="009D3FB5" w14:paraId="1CAA9E17" w14:textId="77777777">
            <w:pPr>
              <w:spacing w:before="120" w:after="120"/>
              <w:jc w:val="center"/>
              <w:rPr>
                <w:rFonts w:ascii="Times New Roman" w:hAnsi="Times New Roman" w:cs="Times New Roman"/>
              </w:rPr>
            </w:pPr>
            <w:r w:rsidRPr="00AE1B2B">
              <w:rPr>
                <w:rFonts w:ascii="Times New Roman" w:hAnsi="Times New Roman" w:cs="Times New Roman"/>
              </w:rPr>
              <w:object w:dxaOrig="1508" w:dyaOrig="983" w14:anchorId="4EF3FEB4">
                <v:shape id="_x0000_i1033" style="width:1in;height:46.95pt" o:ole="" type="#_x0000_t75">
                  <v:imagedata o:title="" r:id="rId169"/>
                </v:shape>
                <o:OLEObject Type="Embed" ProgID="Word.Document.12" ShapeID="_x0000_i1033" DrawAspect="Icon" ObjectID="_1681900463" r:id="rId170">
                  <o:FieldCodes>\s</o:FieldCodes>
                </o:OLEObject>
              </w:object>
            </w:r>
          </w:p>
        </w:tc>
      </w:tr>
      <w:tr w:rsidRPr="00AE1B2B" w:rsidR="00AE1B2B" w:rsidTr="009D3FB5" w14:paraId="71F7F2BE" w14:textId="77777777">
        <w:trPr>
          <w:tblCellSpacing w:w="1440" w:type="nil"/>
        </w:trPr>
        <w:tc>
          <w:tcPr>
            <w:tcW w:w="871" w:type="pct"/>
            <w:shd w:val="clear" w:color="auto" w:fill="auto"/>
            <w:vAlign w:val="center"/>
          </w:tcPr>
          <w:p w:rsidRPr="00AE1B2B" w:rsidR="009D3FB5" w:rsidP="00163B94" w:rsidRDefault="009D3FB5" w14:paraId="3320D9A7" w14:textId="77777777">
            <w:pPr>
              <w:spacing w:before="120" w:after="120"/>
              <w:jc w:val="center"/>
              <w:rPr>
                <w:rFonts w:ascii="Times New Roman" w:hAnsi="Times New Roman" w:cs="Times New Roman"/>
                <w:b/>
                <w:i/>
              </w:rPr>
            </w:pPr>
            <w:r w:rsidRPr="00AE1B2B">
              <w:rPr>
                <w:rFonts w:ascii="Times New Roman" w:hAnsi="Times New Roman" w:cs="Times New Roman"/>
                <w:b/>
                <w:i/>
              </w:rPr>
              <w:t>Anexo 2</w:t>
            </w:r>
          </w:p>
        </w:tc>
        <w:tc>
          <w:tcPr>
            <w:tcW w:w="2286" w:type="pct"/>
            <w:shd w:val="clear" w:color="auto" w:fill="auto"/>
            <w:vAlign w:val="center"/>
          </w:tcPr>
          <w:p w:rsidRPr="00AE1B2B" w:rsidR="009D3FB5" w:rsidP="00163B94" w:rsidRDefault="009D3FB5" w14:paraId="0E4A9F08" w14:textId="77777777">
            <w:pPr>
              <w:spacing w:before="120" w:after="120"/>
              <w:jc w:val="center"/>
              <w:rPr>
                <w:rFonts w:ascii="Times New Roman" w:hAnsi="Times New Roman" w:cs="Times New Roman"/>
                <w:szCs w:val="20"/>
              </w:rPr>
            </w:pPr>
            <w:r w:rsidRPr="00AE1B2B">
              <w:rPr>
                <w:rFonts w:ascii="Times New Roman" w:hAnsi="Times New Roman" w:cs="Times New Roman"/>
                <w:b/>
                <w:bCs/>
                <w:szCs w:val="20"/>
              </w:rPr>
              <w:t>Minuta 71-PLA-MI-MNTA-2021:</w:t>
            </w:r>
            <w:r w:rsidRPr="00AE1B2B">
              <w:rPr>
                <w:rFonts w:ascii="Times New Roman" w:hAnsi="Times New Roman" w:cs="Times New Roman"/>
                <w:szCs w:val="20"/>
              </w:rPr>
              <w:t xml:space="preserve"> Reunión con el Doctor Roberto Montero (</w:t>
            </w:r>
            <w:r w:rsidRPr="00AE1B2B">
              <w:rPr>
                <w:rFonts w:ascii="Times New Roman" w:hAnsi="Times New Roman" w:cs="Times New Roman"/>
                <w:i/>
                <w:iCs/>
                <w:szCs w:val="20"/>
              </w:rPr>
              <w:t>materia contenciosa</w:t>
            </w:r>
            <w:r w:rsidRPr="00AE1B2B">
              <w:rPr>
                <w:rFonts w:ascii="Times New Roman" w:hAnsi="Times New Roman" w:cs="Times New Roman"/>
                <w:szCs w:val="20"/>
              </w:rPr>
              <w:t>).</w:t>
            </w:r>
          </w:p>
        </w:tc>
        <w:bookmarkStart w:name="_MON_1674298691" w:id="47"/>
        <w:bookmarkEnd w:id="47"/>
        <w:tc>
          <w:tcPr>
            <w:tcW w:w="1843" w:type="pct"/>
            <w:shd w:val="clear" w:color="auto" w:fill="auto"/>
            <w:vAlign w:val="center"/>
          </w:tcPr>
          <w:p w:rsidRPr="00AE1B2B" w:rsidR="009D3FB5" w:rsidP="00163B94" w:rsidRDefault="009D3FB5" w14:paraId="5FC3B4B2" w14:textId="77777777">
            <w:pPr>
              <w:spacing w:before="120" w:after="120"/>
              <w:jc w:val="center"/>
              <w:rPr>
                <w:rFonts w:ascii="Times New Roman" w:hAnsi="Times New Roman" w:cs="Times New Roman"/>
              </w:rPr>
            </w:pPr>
            <w:r w:rsidRPr="00AE1B2B">
              <w:rPr>
                <w:rFonts w:ascii="Times New Roman" w:hAnsi="Times New Roman" w:cs="Times New Roman"/>
              </w:rPr>
              <w:object w:dxaOrig="1508" w:dyaOrig="983" w14:anchorId="017F2A64">
                <v:shape id="_x0000_i1034" style="width:1in;height:46.95pt" o:ole="" type="#_x0000_t75">
                  <v:imagedata o:title="" r:id="rId171"/>
                </v:shape>
                <o:OLEObject Type="Embed" ProgID="Word.Document.12" ShapeID="_x0000_i1034" DrawAspect="Icon" ObjectID="_1681900464" r:id="rId172">
                  <o:FieldCodes>\s</o:FieldCodes>
                </o:OLEObject>
              </w:object>
            </w:r>
          </w:p>
        </w:tc>
      </w:tr>
      <w:tr w:rsidRPr="00AE1B2B" w:rsidR="00AE1B2B" w:rsidTr="009D3FB5" w14:paraId="6CD1339A" w14:textId="77777777">
        <w:trPr>
          <w:tblCellSpacing w:w="1440" w:type="nil"/>
        </w:trPr>
        <w:tc>
          <w:tcPr>
            <w:tcW w:w="871" w:type="pct"/>
            <w:shd w:val="clear" w:color="auto" w:fill="auto"/>
            <w:vAlign w:val="center"/>
          </w:tcPr>
          <w:p w:rsidRPr="00AE1B2B" w:rsidR="009D3FB5" w:rsidP="00163B94" w:rsidRDefault="009D3FB5" w14:paraId="50285A4F" w14:textId="77777777">
            <w:pPr>
              <w:spacing w:before="120" w:after="120"/>
              <w:jc w:val="center"/>
              <w:rPr>
                <w:rFonts w:ascii="Times New Roman" w:hAnsi="Times New Roman" w:cs="Times New Roman"/>
                <w:b/>
                <w:i/>
              </w:rPr>
            </w:pPr>
            <w:r w:rsidRPr="00AE1B2B">
              <w:rPr>
                <w:rFonts w:ascii="Times New Roman" w:hAnsi="Times New Roman" w:cs="Times New Roman"/>
                <w:b/>
                <w:i/>
              </w:rPr>
              <w:t>Anexo 3</w:t>
            </w:r>
          </w:p>
        </w:tc>
        <w:tc>
          <w:tcPr>
            <w:tcW w:w="2286" w:type="pct"/>
            <w:shd w:val="clear" w:color="auto" w:fill="auto"/>
            <w:vAlign w:val="center"/>
          </w:tcPr>
          <w:p w:rsidRPr="00AE1B2B" w:rsidR="009D3FB5" w:rsidP="00163B94" w:rsidRDefault="009D3FB5" w14:paraId="371D6922" w14:textId="77777777">
            <w:pPr>
              <w:spacing w:before="120" w:after="120"/>
              <w:jc w:val="center"/>
              <w:rPr>
                <w:rFonts w:ascii="Times New Roman" w:hAnsi="Times New Roman" w:cs="Times New Roman"/>
                <w:szCs w:val="20"/>
              </w:rPr>
            </w:pPr>
            <w:r w:rsidRPr="00AE1B2B">
              <w:rPr>
                <w:rFonts w:ascii="Times New Roman" w:hAnsi="Times New Roman" w:cs="Times New Roman"/>
                <w:b/>
                <w:bCs/>
                <w:szCs w:val="20"/>
              </w:rPr>
              <w:t>Minuta 73-PLA-MI-MNTA-2021:</w:t>
            </w:r>
            <w:r w:rsidRPr="00AE1B2B">
              <w:rPr>
                <w:rFonts w:ascii="Times New Roman" w:hAnsi="Times New Roman" w:cs="Times New Roman"/>
                <w:szCs w:val="20"/>
              </w:rPr>
              <w:t xml:space="preserve"> Reunión con el Licenciado Mario Rosales (</w:t>
            </w:r>
            <w:r w:rsidRPr="00AE1B2B">
              <w:rPr>
                <w:rFonts w:ascii="Times New Roman" w:hAnsi="Times New Roman" w:cs="Times New Roman"/>
                <w:i/>
                <w:iCs/>
                <w:szCs w:val="20"/>
              </w:rPr>
              <w:t>materia agraria</w:t>
            </w:r>
            <w:r w:rsidRPr="00AE1B2B">
              <w:rPr>
                <w:rFonts w:ascii="Times New Roman" w:hAnsi="Times New Roman" w:cs="Times New Roman"/>
                <w:szCs w:val="20"/>
              </w:rPr>
              <w:t>).</w:t>
            </w:r>
          </w:p>
        </w:tc>
        <w:bookmarkStart w:name="_MON_1674298696" w:id="48"/>
        <w:bookmarkEnd w:id="48"/>
        <w:tc>
          <w:tcPr>
            <w:tcW w:w="1843" w:type="pct"/>
            <w:shd w:val="clear" w:color="auto" w:fill="auto"/>
            <w:vAlign w:val="center"/>
          </w:tcPr>
          <w:p w:rsidRPr="00AE1B2B" w:rsidR="009D3FB5" w:rsidP="00163B94" w:rsidRDefault="009D3FB5" w14:paraId="7E570E6C" w14:textId="77777777">
            <w:pPr>
              <w:spacing w:before="120" w:after="120"/>
              <w:jc w:val="center"/>
              <w:rPr>
                <w:rFonts w:ascii="Times New Roman" w:hAnsi="Times New Roman" w:cs="Times New Roman"/>
              </w:rPr>
            </w:pPr>
            <w:r w:rsidRPr="00AE1B2B">
              <w:rPr>
                <w:rFonts w:ascii="Times New Roman" w:hAnsi="Times New Roman" w:cs="Times New Roman"/>
              </w:rPr>
              <w:object w:dxaOrig="1508" w:dyaOrig="983" w14:anchorId="068A007E">
                <v:shape id="_x0000_i1035" style="width:1in;height:46.95pt" o:ole="" type="#_x0000_t75">
                  <v:imagedata o:title="" r:id="rId173"/>
                </v:shape>
                <o:OLEObject Type="Embed" ProgID="Word.Document.12" ShapeID="_x0000_i1035" DrawAspect="Icon" ObjectID="_1681900465" r:id="rId174">
                  <o:FieldCodes>\s</o:FieldCodes>
                </o:OLEObject>
              </w:object>
            </w:r>
          </w:p>
        </w:tc>
      </w:tr>
      <w:tr w:rsidRPr="00AE1B2B" w:rsidR="00AE1B2B" w:rsidTr="009D3FB5" w14:paraId="58288F68" w14:textId="77777777">
        <w:trPr>
          <w:tblCellSpacing w:w="1440" w:type="nil"/>
        </w:trPr>
        <w:tc>
          <w:tcPr>
            <w:tcW w:w="871" w:type="pct"/>
            <w:shd w:val="clear" w:color="auto" w:fill="auto"/>
            <w:vAlign w:val="center"/>
          </w:tcPr>
          <w:p w:rsidRPr="00AE1B2B" w:rsidR="009D3FB5" w:rsidP="00163B94" w:rsidRDefault="009D3FB5" w14:paraId="30B58A37" w14:textId="77777777">
            <w:pPr>
              <w:spacing w:before="120" w:after="120"/>
              <w:jc w:val="center"/>
              <w:rPr>
                <w:rFonts w:ascii="Times New Roman" w:hAnsi="Times New Roman" w:cs="Times New Roman"/>
                <w:b/>
                <w:i/>
              </w:rPr>
            </w:pPr>
            <w:r w:rsidRPr="00AE1B2B">
              <w:rPr>
                <w:rFonts w:ascii="Times New Roman" w:hAnsi="Times New Roman" w:cs="Times New Roman"/>
                <w:b/>
                <w:i/>
              </w:rPr>
              <w:t>Anexo 4</w:t>
            </w:r>
          </w:p>
        </w:tc>
        <w:tc>
          <w:tcPr>
            <w:tcW w:w="2286" w:type="pct"/>
            <w:shd w:val="clear" w:color="auto" w:fill="auto"/>
            <w:vAlign w:val="center"/>
          </w:tcPr>
          <w:p w:rsidRPr="00AE1B2B" w:rsidR="009D3FB5" w:rsidP="00163B94" w:rsidRDefault="009D3FB5" w14:paraId="3F842FC8" w14:textId="77777777">
            <w:pPr>
              <w:spacing w:before="120" w:after="120"/>
              <w:jc w:val="center"/>
              <w:rPr>
                <w:rFonts w:ascii="Times New Roman" w:hAnsi="Times New Roman" w:cs="Times New Roman"/>
                <w:szCs w:val="20"/>
              </w:rPr>
            </w:pPr>
            <w:r w:rsidRPr="00AE1B2B">
              <w:rPr>
                <w:rFonts w:ascii="Times New Roman" w:hAnsi="Times New Roman" w:cs="Times New Roman"/>
                <w:b/>
                <w:bCs/>
                <w:szCs w:val="20"/>
              </w:rPr>
              <w:t>Minuta 78-PLA-MI-MNTA-2021:</w:t>
            </w:r>
            <w:r w:rsidRPr="00AE1B2B">
              <w:rPr>
                <w:rFonts w:ascii="Times New Roman" w:hAnsi="Times New Roman" w:cs="Times New Roman"/>
                <w:szCs w:val="20"/>
              </w:rPr>
              <w:t xml:space="preserve"> Reunión con Licda. Sandra Mora y Licda. Ana Briceño (</w:t>
            </w:r>
            <w:r w:rsidRPr="00AE1B2B">
              <w:rPr>
                <w:rFonts w:ascii="Times New Roman" w:hAnsi="Times New Roman" w:cs="Times New Roman"/>
                <w:i/>
                <w:iCs/>
                <w:szCs w:val="20"/>
              </w:rPr>
              <w:t>materia alimentaria y laboral, respectivamente</w:t>
            </w:r>
            <w:r w:rsidRPr="00AE1B2B">
              <w:rPr>
                <w:rFonts w:ascii="Times New Roman" w:hAnsi="Times New Roman" w:cs="Times New Roman"/>
                <w:szCs w:val="20"/>
              </w:rPr>
              <w:t>).</w:t>
            </w:r>
          </w:p>
        </w:tc>
        <w:bookmarkStart w:name="_MON_1674298700" w:id="49"/>
        <w:bookmarkEnd w:id="49"/>
        <w:tc>
          <w:tcPr>
            <w:tcW w:w="1843" w:type="pct"/>
            <w:shd w:val="clear" w:color="auto" w:fill="auto"/>
            <w:vAlign w:val="center"/>
          </w:tcPr>
          <w:p w:rsidRPr="00AE1B2B" w:rsidR="009D3FB5" w:rsidP="00163B94" w:rsidRDefault="009D3FB5" w14:paraId="4D29D04A" w14:textId="77777777">
            <w:pPr>
              <w:spacing w:before="120" w:after="120"/>
              <w:jc w:val="center"/>
              <w:rPr>
                <w:rFonts w:ascii="Times New Roman" w:hAnsi="Times New Roman" w:cs="Times New Roman"/>
              </w:rPr>
            </w:pPr>
            <w:r w:rsidRPr="00AE1B2B">
              <w:rPr>
                <w:rFonts w:ascii="Times New Roman" w:hAnsi="Times New Roman" w:cs="Times New Roman"/>
              </w:rPr>
              <w:object w:dxaOrig="1508" w:dyaOrig="983" w14:anchorId="7741A428">
                <v:shape id="_x0000_i1036" style="width:1in;height:46.95pt" o:ole="" type="#_x0000_t75">
                  <v:imagedata o:title="" r:id="rId175"/>
                </v:shape>
                <o:OLEObject Type="Embed" ProgID="Word.Document.12" ShapeID="_x0000_i1036" DrawAspect="Icon" ObjectID="_1681900466" r:id="rId176">
                  <o:FieldCodes>\s</o:FieldCodes>
                </o:OLEObject>
              </w:object>
            </w:r>
          </w:p>
        </w:tc>
      </w:tr>
      <w:tr w:rsidRPr="00AE1B2B" w:rsidR="00AE1B2B" w:rsidTr="009D3FB5" w14:paraId="43F4B90E" w14:textId="77777777">
        <w:trPr>
          <w:tblCellSpacing w:w="1440" w:type="nil"/>
        </w:trPr>
        <w:tc>
          <w:tcPr>
            <w:tcW w:w="871" w:type="pct"/>
            <w:shd w:val="clear" w:color="auto" w:fill="auto"/>
            <w:vAlign w:val="center"/>
          </w:tcPr>
          <w:p w:rsidRPr="00AE1B2B" w:rsidR="009D3FB5" w:rsidP="00163B94" w:rsidRDefault="009D3FB5" w14:paraId="27127188" w14:textId="77777777">
            <w:pPr>
              <w:spacing w:before="120" w:after="120"/>
              <w:jc w:val="center"/>
              <w:rPr>
                <w:rFonts w:ascii="Times New Roman" w:hAnsi="Times New Roman" w:cs="Times New Roman"/>
                <w:b/>
                <w:i/>
              </w:rPr>
            </w:pPr>
            <w:r w:rsidRPr="00AE1B2B">
              <w:rPr>
                <w:rFonts w:ascii="Times New Roman" w:hAnsi="Times New Roman" w:cs="Times New Roman"/>
                <w:b/>
                <w:i/>
              </w:rPr>
              <w:t>Anexo 5</w:t>
            </w:r>
          </w:p>
        </w:tc>
        <w:tc>
          <w:tcPr>
            <w:tcW w:w="2286" w:type="pct"/>
            <w:shd w:val="clear" w:color="auto" w:fill="auto"/>
            <w:vAlign w:val="center"/>
          </w:tcPr>
          <w:p w:rsidRPr="00AE1B2B" w:rsidR="009D3FB5" w:rsidP="00163B94" w:rsidRDefault="009D3FB5" w14:paraId="099A45B4" w14:textId="77777777">
            <w:pPr>
              <w:spacing w:before="120" w:after="120"/>
              <w:jc w:val="center"/>
              <w:rPr>
                <w:rFonts w:ascii="Times New Roman" w:hAnsi="Times New Roman" w:cs="Times New Roman"/>
                <w:szCs w:val="20"/>
              </w:rPr>
            </w:pPr>
            <w:r w:rsidRPr="00AE1B2B">
              <w:rPr>
                <w:rFonts w:ascii="Times New Roman" w:hAnsi="Times New Roman" w:cs="Times New Roman"/>
                <w:b/>
                <w:bCs/>
                <w:szCs w:val="20"/>
              </w:rPr>
              <w:t>Minuta 87-PLA-MI-MNTA-2021:</w:t>
            </w:r>
            <w:r w:rsidRPr="00AE1B2B">
              <w:rPr>
                <w:rFonts w:ascii="Times New Roman" w:hAnsi="Times New Roman" w:cs="Times New Roman"/>
                <w:szCs w:val="20"/>
              </w:rPr>
              <w:t xml:space="preserve"> Reunión con Licda. Sandra Mora y Licda. Ana Briceño (</w:t>
            </w:r>
            <w:r w:rsidRPr="00AE1B2B">
              <w:rPr>
                <w:rFonts w:ascii="Times New Roman" w:hAnsi="Times New Roman" w:cs="Times New Roman"/>
                <w:i/>
                <w:iCs/>
                <w:szCs w:val="20"/>
              </w:rPr>
              <w:t>materia alimentaria y laboral, respectivamente</w:t>
            </w:r>
            <w:r w:rsidRPr="00AE1B2B">
              <w:rPr>
                <w:rFonts w:ascii="Times New Roman" w:hAnsi="Times New Roman" w:cs="Times New Roman"/>
                <w:szCs w:val="20"/>
              </w:rPr>
              <w:t>).</w:t>
            </w:r>
          </w:p>
        </w:tc>
        <w:bookmarkStart w:name="_MON_1674298704" w:id="50"/>
        <w:bookmarkEnd w:id="50"/>
        <w:tc>
          <w:tcPr>
            <w:tcW w:w="1843" w:type="pct"/>
            <w:shd w:val="clear" w:color="auto" w:fill="auto"/>
            <w:vAlign w:val="center"/>
          </w:tcPr>
          <w:p w:rsidRPr="00AE1B2B" w:rsidR="009D3FB5" w:rsidP="00163B94" w:rsidRDefault="009D3FB5" w14:paraId="7E70AEF4" w14:textId="77777777">
            <w:pPr>
              <w:spacing w:before="120" w:after="120"/>
              <w:jc w:val="center"/>
              <w:rPr>
                <w:rFonts w:ascii="Times New Roman" w:hAnsi="Times New Roman" w:cs="Times New Roman"/>
              </w:rPr>
            </w:pPr>
            <w:r w:rsidRPr="00AE1B2B">
              <w:rPr>
                <w:rFonts w:ascii="Times New Roman" w:hAnsi="Times New Roman" w:cs="Times New Roman"/>
              </w:rPr>
              <w:object w:dxaOrig="1508" w:dyaOrig="983" w14:anchorId="2C439BAF">
                <v:shape id="_x0000_i1037" style="width:1in;height:46.95pt" o:ole="" type="#_x0000_t75">
                  <v:imagedata o:title="" r:id="rId177"/>
                </v:shape>
                <o:OLEObject Type="Embed" ProgID="Word.Document.8" ShapeID="_x0000_i1037" DrawAspect="Icon" ObjectID="_1681900467" r:id="rId178">
                  <o:FieldCodes>\s</o:FieldCodes>
                </o:OLEObject>
              </w:object>
            </w:r>
          </w:p>
        </w:tc>
      </w:tr>
      <w:tr w:rsidRPr="00AE1B2B" w:rsidR="00AE1B2B" w:rsidTr="009D3FB5" w14:paraId="04EF6B90" w14:textId="77777777">
        <w:trPr>
          <w:tblCellSpacing w:w="1440" w:type="nil"/>
        </w:trPr>
        <w:tc>
          <w:tcPr>
            <w:tcW w:w="871" w:type="pct"/>
            <w:shd w:val="clear" w:color="auto" w:fill="auto"/>
            <w:vAlign w:val="center"/>
          </w:tcPr>
          <w:p w:rsidRPr="00AE1B2B" w:rsidR="009D3FB5" w:rsidP="00163B94" w:rsidRDefault="009D3FB5" w14:paraId="1E6C3604" w14:textId="77777777">
            <w:pPr>
              <w:spacing w:before="120" w:after="120"/>
              <w:jc w:val="center"/>
              <w:rPr>
                <w:rFonts w:ascii="Times New Roman" w:hAnsi="Times New Roman" w:cs="Times New Roman"/>
                <w:b/>
                <w:i/>
              </w:rPr>
            </w:pPr>
            <w:r w:rsidRPr="00AE1B2B">
              <w:rPr>
                <w:rFonts w:ascii="Times New Roman" w:hAnsi="Times New Roman" w:cs="Times New Roman"/>
                <w:b/>
                <w:i/>
              </w:rPr>
              <w:t>Anexo 6</w:t>
            </w:r>
          </w:p>
        </w:tc>
        <w:tc>
          <w:tcPr>
            <w:tcW w:w="2286" w:type="pct"/>
            <w:shd w:val="clear" w:color="auto" w:fill="auto"/>
            <w:vAlign w:val="center"/>
          </w:tcPr>
          <w:p w:rsidRPr="00AE1B2B" w:rsidR="009D3FB5" w:rsidP="00163B94" w:rsidRDefault="009D3FB5" w14:paraId="3860E875" w14:textId="77777777">
            <w:pPr>
              <w:spacing w:before="120" w:after="120"/>
              <w:jc w:val="center"/>
              <w:rPr>
                <w:rFonts w:ascii="Times New Roman" w:hAnsi="Times New Roman" w:cs="Times New Roman"/>
                <w:szCs w:val="20"/>
              </w:rPr>
            </w:pPr>
            <w:r w:rsidRPr="00AE1B2B">
              <w:rPr>
                <w:rFonts w:ascii="Times New Roman" w:hAnsi="Times New Roman" w:cs="Times New Roman"/>
                <w:b/>
                <w:bCs/>
                <w:szCs w:val="20"/>
              </w:rPr>
              <w:t>Memoria de cálculo:</w:t>
            </w:r>
            <w:r w:rsidRPr="00AE1B2B">
              <w:rPr>
                <w:rFonts w:ascii="Times New Roman" w:hAnsi="Times New Roman" w:cs="Times New Roman"/>
                <w:szCs w:val="20"/>
              </w:rPr>
              <w:t xml:space="preserve"> </w:t>
            </w:r>
          </w:p>
          <w:p w:rsidRPr="00AE1B2B" w:rsidR="009D3FB5" w:rsidP="00163B94" w:rsidRDefault="009D3FB5" w14:paraId="78C2A266"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Análisis estadístico – Entrados</w:t>
            </w:r>
          </w:p>
        </w:tc>
        <w:tc>
          <w:tcPr>
            <w:tcW w:w="1843" w:type="pct"/>
            <w:shd w:val="clear" w:color="auto" w:fill="auto"/>
            <w:vAlign w:val="center"/>
          </w:tcPr>
          <w:p w:rsidRPr="00AE1B2B" w:rsidR="009D3FB5" w:rsidP="00163B94" w:rsidRDefault="009D3FB5" w14:paraId="5DDD1159" w14:textId="77777777">
            <w:pPr>
              <w:spacing w:before="120" w:after="120"/>
              <w:jc w:val="center"/>
              <w:rPr>
                <w:rFonts w:ascii="Times New Roman" w:hAnsi="Times New Roman" w:cs="Times New Roman"/>
              </w:rPr>
            </w:pPr>
            <w:r w:rsidRPr="00AE1B2B">
              <w:rPr>
                <w:rFonts w:ascii="Times New Roman" w:hAnsi="Times New Roman" w:cs="Times New Roman"/>
              </w:rPr>
              <w:object w:dxaOrig="1376" w:dyaOrig="893" w14:anchorId="38B85A9F">
                <v:shape id="_x0000_i1038" style="width:66.35pt;height:40.05pt" o:ole="" type="#_x0000_t75">
                  <v:imagedata o:title="" r:id="rId179"/>
                </v:shape>
                <o:OLEObject Type="Embed" ProgID="Excel.Sheet.12" ShapeID="_x0000_i1038" DrawAspect="Icon" ObjectID="_1681900468" r:id="rId180"/>
              </w:object>
            </w:r>
          </w:p>
        </w:tc>
      </w:tr>
      <w:tr w:rsidRPr="00AE1B2B" w:rsidR="00AE1B2B" w:rsidTr="009D3FB5" w14:paraId="724235AB" w14:textId="77777777">
        <w:trPr>
          <w:tblCellSpacing w:w="1440" w:type="nil"/>
        </w:trPr>
        <w:tc>
          <w:tcPr>
            <w:tcW w:w="871" w:type="pct"/>
            <w:shd w:val="clear" w:color="auto" w:fill="auto"/>
            <w:vAlign w:val="center"/>
          </w:tcPr>
          <w:p w:rsidRPr="00AE1B2B" w:rsidR="009D3FB5" w:rsidP="00163B94" w:rsidRDefault="009D3FB5" w14:paraId="6FFE19D3" w14:textId="77777777">
            <w:pPr>
              <w:spacing w:before="120" w:after="120"/>
              <w:jc w:val="center"/>
              <w:rPr>
                <w:rFonts w:ascii="Times New Roman" w:hAnsi="Times New Roman" w:cs="Times New Roman"/>
                <w:b/>
                <w:i/>
              </w:rPr>
            </w:pPr>
            <w:r w:rsidRPr="00AE1B2B">
              <w:rPr>
                <w:rFonts w:ascii="Times New Roman" w:hAnsi="Times New Roman" w:cs="Times New Roman"/>
                <w:b/>
                <w:i/>
              </w:rPr>
              <w:t>Anexo 7</w:t>
            </w:r>
          </w:p>
        </w:tc>
        <w:tc>
          <w:tcPr>
            <w:tcW w:w="2286" w:type="pct"/>
            <w:shd w:val="clear" w:color="auto" w:fill="auto"/>
            <w:vAlign w:val="center"/>
          </w:tcPr>
          <w:p w:rsidRPr="00AE1B2B" w:rsidR="009D3FB5" w:rsidP="00163B94" w:rsidRDefault="009D3FB5" w14:paraId="02319B6F" w14:textId="77777777">
            <w:pPr>
              <w:spacing w:before="120" w:after="120"/>
              <w:jc w:val="center"/>
              <w:rPr>
                <w:rFonts w:ascii="Times New Roman" w:hAnsi="Times New Roman" w:cs="Times New Roman"/>
                <w:szCs w:val="20"/>
              </w:rPr>
            </w:pPr>
            <w:r w:rsidRPr="00AE1B2B">
              <w:rPr>
                <w:rFonts w:ascii="Times New Roman" w:hAnsi="Times New Roman" w:cs="Times New Roman"/>
                <w:b/>
                <w:bCs/>
                <w:szCs w:val="20"/>
              </w:rPr>
              <w:t>Memoria de cálculo:</w:t>
            </w:r>
            <w:r w:rsidRPr="00AE1B2B">
              <w:rPr>
                <w:rFonts w:ascii="Times New Roman" w:hAnsi="Times New Roman" w:cs="Times New Roman"/>
                <w:szCs w:val="20"/>
              </w:rPr>
              <w:t xml:space="preserve"> </w:t>
            </w:r>
          </w:p>
          <w:p w:rsidRPr="00AE1B2B" w:rsidR="009D3FB5" w:rsidP="00163B94" w:rsidRDefault="009D3FB5" w14:paraId="44249477"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Análisis estadístico – Circulante</w:t>
            </w:r>
          </w:p>
        </w:tc>
        <w:tc>
          <w:tcPr>
            <w:tcW w:w="1843" w:type="pct"/>
            <w:shd w:val="clear" w:color="auto" w:fill="auto"/>
            <w:vAlign w:val="center"/>
          </w:tcPr>
          <w:p w:rsidRPr="00AE1B2B" w:rsidR="009D3FB5" w:rsidP="00163B94" w:rsidRDefault="009D3FB5" w14:paraId="4A607A57" w14:textId="77777777">
            <w:pPr>
              <w:spacing w:before="120" w:after="120"/>
              <w:jc w:val="center"/>
              <w:rPr>
                <w:rFonts w:ascii="Times New Roman" w:hAnsi="Times New Roman" w:cs="Times New Roman"/>
              </w:rPr>
            </w:pPr>
            <w:r w:rsidRPr="00AE1B2B">
              <w:rPr>
                <w:rFonts w:ascii="Times New Roman" w:hAnsi="Times New Roman" w:cs="Times New Roman"/>
              </w:rPr>
              <w:object w:dxaOrig="1376" w:dyaOrig="893" w14:anchorId="13795BA2">
                <v:shape id="_x0000_i1039" style="width:66.35pt;height:40.05pt" o:ole="" type="#_x0000_t75">
                  <v:imagedata o:title="" r:id="rId181"/>
                </v:shape>
                <o:OLEObject Type="Embed" ProgID="Excel.Sheet.12" ShapeID="_x0000_i1039" DrawAspect="Icon" ObjectID="_1681900469" r:id="rId182"/>
              </w:object>
            </w:r>
          </w:p>
        </w:tc>
      </w:tr>
      <w:tr w:rsidRPr="00AE1B2B" w:rsidR="00AE1B2B" w:rsidTr="009D3FB5" w14:paraId="5428AA5B" w14:textId="77777777">
        <w:trPr>
          <w:tblCellSpacing w:w="1440" w:type="nil"/>
        </w:trPr>
        <w:tc>
          <w:tcPr>
            <w:tcW w:w="871" w:type="pct"/>
            <w:shd w:val="clear" w:color="auto" w:fill="auto"/>
            <w:vAlign w:val="center"/>
          </w:tcPr>
          <w:p w:rsidRPr="00AE1B2B" w:rsidR="009D3FB5" w:rsidP="00163B94" w:rsidRDefault="009D3FB5" w14:paraId="7111C7B2" w14:textId="77777777">
            <w:pPr>
              <w:spacing w:before="120" w:after="120"/>
              <w:jc w:val="center"/>
              <w:rPr>
                <w:rFonts w:ascii="Times New Roman" w:hAnsi="Times New Roman" w:cs="Times New Roman"/>
                <w:b/>
                <w:i/>
              </w:rPr>
            </w:pPr>
            <w:r w:rsidRPr="00AE1B2B">
              <w:rPr>
                <w:rFonts w:ascii="Times New Roman" w:hAnsi="Times New Roman" w:cs="Times New Roman"/>
                <w:b/>
                <w:i/>
              </w:rPr>
              <w:t>Anexo 8</w:t>
            </w:r>
          </w:p>
        </w:tc>
        <w:tc>
          <w:tcPr>
            <w:tcW w:w="2286" w:type="pct"/>
            <w:shd w:val="clear" w:color="auto" w:fill="auto"/>
            <w:vAlign w:val="center"/>
          </w:tcPr>
          <w:p w:rsidRPr="00AE1B2B" w:rsidR="009D3FB5" w:rsidP="00163B94" w:rsidRDefault="009D3FB5" w14:paraId="5226EB21" w14:textId="77777777">
            <w:pPr>
              <w:spacing w:before="120" w:after="120"/>
              <w:jc w:val="center"/>
              <w:rPr>
                <w:rFonts w:ascii="Times New Roman" w:hAnsi="Times New Roman" w:cs="Times New Roman"/>
                <w:szCs w:val="20"/>
              </w:rPr>
            </w:pPr>
            <w:r w:rsidRPr="00AE1B2B">
              <w:rPr>
                <w:rFonts w:ascii="Times New Roman" w:hAnsi="Times New Roman" w:cs="Times New Roman"/>
                <w:b/>
                <w:bCs/>
                <w:szCs w:val="20"/>
              </w:rPr>
              <w:t>Memoria de cálculo:</w:t>
            </w:r>
            <w:r w:rsidRPr="00AE1B2B">
              <w:rPr>
                <w:rFonts w:ascii="Times New Roman" w:hAnsi="Times New Roman" w:cs="Times New Roman"/>
                <w:szCs w:val="20"/>
              </w:rPr>
              <w:t xml:space="preserve"> </w:t>
            </w:r>
          </w:p>
          <w:p w:rsidRPr="00AE1B2B" w:rsidR="009D3FB5" w:rsidP="00163B94" w:rsidRDefault="009D3FB5" w14:paraId="3A172762"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Análisis estadístico – Área jurisdiccional, todas las materias</w:t>
            </w:r>
          </w:p>
        </w:tc>
        <w:tc>
          <w:tcPr>
            <w:tcW w:w="1843" w:type="pct"/>
            <w:shd w:val="clear" w:color="auto" w:fill="auto"/>
            <w:vAlign w:val="center"/>
          </w:tcPr>
          <w:p w:rsidRPr="00AE1B2B" w:rsidR="009D3FB5" w:rsidP="00163B94" w:rsidRDefault="009D3FB5" w14:paraId="254E9EA3" w14:textId="77777777">
            <w:pPr>
              <w:spacing w:before="120" w:after="120"/>
              <w:jc w:val="center"/>
              <w:rPr>
                <w:rFonts w:ascii="Times New Roman" w:hAnsi="Times New Roman" w:cs="Times New Roman"/>
              </w:rPr>
            </w:pPr>
            <w:r w:rsidRPr="00AE1B2B">
              <w:rPr>
                <w:rFonts w:ascii="Times New Roman" w:hAnsi="Times New Roman" w:cs="Times New Roman"/>
              </w:rPr>
              <w:object w:dxaOrig="1376" w:dyaOrig="893" w14:anchorId="31BD0F79">
                <v:shape id="_x0000_i1040" style="width:66.35pt;height:46.95pt" o:ole="" type="#_x0000_t75">
                  <v:imagedata o:title="" r:id="rId183"/>
                </v:shape>
                <o:OLEObject Type="Embed" ProgID="Excel.Sheet.12" ShapeID="_x0000_i1040" DrawAspect="Icon" ObjectID="_1681900470" r:id="rId184"/>
              </w:object>
            </w:r>
          </w:p>
        </w:tc>
      </w:tr>
      <w:tr w:rsidRPr="00AE1B2B" w:rsidR="00AE1B2B" w:rsidTr="009D3FB5" w14:paraId="253D0A56" w14:textId="77777777">
        <w:trPr>
          <w:tblCellSpacing w:w="1440" w:type="nil"/>
        </w:trPr>
        <w:tc>
          <w:tcPr>
            <w:tcW w:w="871" w:type="pct"/>
            <w:shd w:val="clear" w:color="auto" w:fill="auto"/>
            <w:vAlign w:val="center"/>
          </w:tcPr>
          <w:p w:rsidRPr="00AE1B2B" w:rsidR="009D3FB5" w:rsidP="00163B94" w:rsidRDefault="009D3FB5" w14:paraId="371C486A" w14:textId="77777777">
            <w:pPr>
              <w:spacing w:before="120" w:after="120"/>
              <w:jc w:val="center"/>
              <w:rPr>
                <w:rFonts w:ascii="Times New Roman" w:hAnsi="Times New Roman" w:cs="Times New Roman"/>
                <w:b/>
                <w:i/>
              </w:rPr>
            </w:pPr>
            <w:r w:rsidRPr="00AE1B2B">
              <w:rPr>
                <w:rFonts w:ascii="Times New Roman" w:hAnsi="Times New Roman" w:cs="Times New Roman"/>
                <w:b/>
                <w:i/>
              </w:rPr>
              <w:t>Anexo 9</w:t>
            </w:r>
          </w:p>
        </w:tc>
        <w:tc>
          <w:tcPr>
            <w:tcW w:w="2286" w:type="pct"/>
            <w:shd w:val="clear" w:color="auto" w:fill="auto"/>
            <w:vAlign w:val="center"/>
          </w:tcPr>
          <w:p w:rsidRPr="00AE1B2B" w:rsidR="009D3FB5" w:rsidP="00163B94" w:rsidRDefault="009D3FB5" w14:paraId="5312DECD" w14:textId="77777777">
            <w:pPr>
              <w:spacing w:before="120" w:after="120"/>
              <w:jc w:val="center"/>
              <w:rPr>
                <w:rFonts w:ascii="Times New Roman" w:hAnsi="Times New Roman" w:cs="Times New Roman"/>
                <w:szCs w:val="20"/>
              </w:rPr>
            </w:pPr>
            <w:r w:rsidRPr="00AE1B2B">
              <w:rPr>
                <w:rFonts w:ascii="Times New Roman" w:hAnsi="Times New Roman" w:cs="Times New Roman"/>
                <w:b/>
                <w:bCs/>
                <w:szCs w:val="20"/>
              </w:rPr>
              <w:t>Memoria de cálculo:</w:t>
            </w:r>
            <w:r w:rsidRPr="00AE1B2B">
              <w:rPr>
                <w:rFonts w:ascii="Times New Roman" w:hAnsi="Times New Roman" w:cs="Times New Roman"/>
                <w:szCs w:val="20"/>
              </w:rPr>
              <w:t xml:space="preserve"> </w:t>
            </w:r>
          </w:p>
          <w:p w:rsidRPr="00AE1B2B" w:rsidR="009D3FB5" w:rsidP="00163B94" w:rsidRDefault="009D3FB5" w14:paraId="15FA4594"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Análisis estadístico – Materia Penal</w:t>
            </w:r>
          </w:p>
        </w:tc>
        <w:tc>
          <w:tcPr>
            <w:tcW w:w="1843" w:type="pct"/>
            <w:shd w:val="clear" w:color="auto" w:fill="auto"/>
            <w:vAlign w:val="center"/>
          </w:tcPr>
          <w:p w:rsidRPr="00AE1B2B" w:rsidR="009D3FB5" w:rsidP="00163B94" w:rsidRDefault="009D3FB5" w14:paraId="3D4BEFD8" w14:textId="77777777">
            <w:pPr>
              <w:spacing w:before="120" w:after="120"/>
              <w:jc w:val="center"/>
              <w:rPr>
                <w:rFonts w:ascii="Times New Roman" w:hAnsi="Times New Roman" w:cs="Times New Roman"/>
              </w:rPr>
            </w:pPr>
            <w:r w:rsidRPr="00AE1B2B">
              <w:rPr>
                <w:rFonts w:ascii="Times New Roman" w:hAnsi="Times New Roman" w:cs="Times New Roman"/>
              </w:rPr>
              <w:object w:dxaOrig="1376" w:dyaOrig="893" w14:anchorId="3D076295">
                <v:shape id="_x0000_i1041" style="width:66.35pt;height:46.95pt" o:ole="" type="#_x0000_t75">
                  <v:imagedata o:title="" r:id="rId185"/>
                </v:shape>
                <o:OLEObject Type="Embed" ProgID="Excel.Sheet.12" ShapeID="_x0000_i1041" DrawAspect="Icon" ObjectID="_1681900471" r:id="rId186"/>
              </w:object>
            </w:r>
          </w:p>
        </w:tc>
      </w:tr>
      <w:tr w:rsidRPr="00AE1B2B" w:rsidR="00AE1B2B" w:rsidTr="009D3FB5" w14:paraId="3CAE0B5C" w14:textId="77777777">
        <w:trPr>
          <w:tblCellSpacing w:w="1440" w:type="nil"/>
        </w:trPr>
        <w:tc>
          <w:tcPr>
            <w:tcW w:w="871" w:type="pct"/>
            <w:shd w:val="clear" w:color="auto" w:fill="auto"/>
            <w:vAlign w:val="center"/>
          </w:tcPr>
          <w:p w:rsidRPr="00AE1B2B" w:rsidR="009D3FB5" w:rsidP="00163B94" w:rsidRDefault="009D3FB5" w14:paraId="31C2490E" w14:textId="77777777">
            <w:pPr>
              <w:spacing w:before="120" w:after="120"/>
              <w:jc w:val="center"/>
              <w:rPr>
                <w:rFonts w:ascii="Times New Roman" w:hAnsi="Times New Roman" w:cs="Times New Roman"/>
                <w:b/>
                <w:i/>
              </w:rPr>
            </w:pPr>
            <w:r w:rsidRPr="00AE1B2B">
              <w:rPr>
                <w:rFonts w:ascii="Times New Roman" w:hAnsi="Times New Roman" w:cs="Times New Roman"/>
                <w:b/>
                <w:i/>
              </w:rPr>
              <w:t>Anexo 10</w:t>
            </w:r>
          </w:p>
        </w:tc>
        <w:tc>
          <w:tcPr>
            <w:tcW w:w="2286" w:type="pct"/>
            <w:shd w:val="clear" w:color="auto" w:fill="auto"/>
            <w:vAlign w:val="center"/>
          </w:tcPr>
          <w:p w:rsidRPr="00AE1B2B" w:rsidR="009D3FB5" w:rsidP="00163B94" w:rsidRDefault="009D3FB5" w14:paraId="05796054" w14:textId="77777777">
            <w:pPr>
              <w:spacing w:before="120" w:after="120"/>
              <w:jc w:val="center"/>
              <w:rPr>
                <w:rFonts w:ascii="Times New Roman" w:hAnsi="Times New Roman" w:cs="Times New Roman"/>
                <w:szCs w:val="20"/>
              </w:rPr>
            </w:pPr>
            <w:r w:rsidRPr="00AE1B2B">
              <w:rPr>
                <w:rFonts w:ascii="Times New Roman" w:hAnsi="Times New Roman" w:cs="Times New Roman"/>
                <w:b/>
                <w:bCs/>
                <w:szCs w:val="20"/>
              </w:rPr>
              <w:t>Memoria de cálculo:</w:t>
            </w:r>
            <w:r w:rsidRPr="00AE1B2B">
              <w:rPr>
                <w:rFonts w:ascii="Times New Roman" w:hAnsi="Times New Roman" w:cs="Times New Roman"/>
                <w:szCs w:val="20"/>
              </w:rPr>
              <w:t xml:space="preserve"> </w:t>
            </w:r>
          </w:p>
          <w:p w:rsidRPr="00AE1B2B" w:rsidR="009D3FB5" w:rsidP="00163B94" w:rsidRDefault="009D3FB5" w14:paraId="1C711982"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Análisis estadístico – Materia Agraria</w:t>
            </w:r>
          </w:p>
        </w:tc>
        <w:tc>
          <w:tcPr>
            <w:tcW w:w="1843" w:type="pct"/>
            <w:shd w:val="clear" w:color="auto" w:fill="auto"/>
            <w:vAlign w:val="center"/>
          </w:tcPr>
          <w:p w:rsidRPr="00AE1B2B" w:rsidR="009D3FB5" w:rsidP="00163B94" w:rsidRDefault="009D3FB5" w14:paraId="39EC6366" w14:textId="77777777">
            <w:pPr>
              <w:spacing w:before="120" w:after="120"/>
              <w:jc w:val="center"/>
              <w:rPr>
                <w:rFonts w:ascii="Times New Roman" w:hAnsi="Times New Roman" w:cs="Times New Roman"/>
              </w:rPr>
            </w:pPr>
            <w:r w:rsidRPr="00AE1B2B">
              <w:rPr>
                <w:rFonts w:ascii="Times New Roman" w:hAnsi="Times New Roman" w:cs="Times New Roman"/>
              </w:rPr>
              <w:object w:dxaOrig="1376" w:dyaOrig="893" w14:anchorId="5F5DCEDC">
                <v:shape id="_x0000_i1042" style="width:66.35pt;height:46.95pt" o:ole="" type="#_x0000_t75">
                  <v:imagedata o:title="" r:id="rId187"/>
                </v:shape>
                <o:OLEObject Type="Embed" ProgID="Excel.Sheet.12" ShapeID="_x0000_i1042" DrawAspect="Icon" ObjectID="_1681900472" r:id="rId188"/>
              </w:object>
            </w:r>
          </w:p>
        </w:tc>
      </w:tr>
      <w:tr w:rsidRPr="00AE1B2B" w:rsidR="00AE1B2B" w:rsidTr="009D3FB5" w14:paraId="34FBD00D" w14:textId="77777777">
        <w:trPr>
          <w:tblCellSpacing w:w="1440" w:type="nil"/>
        </w:trPr>
        <w:tc>
          <w:tcPr>
            <w:tcW w:w="871" w:type="pct"/>
            <w:shd w:val="clear" w:color="auto" w:fill="auto"/>
            <w:vAlign w:val="center"/>
          </w:tcPr>
          <w:p w:rsidRPr="00AE1B2B" w:rsidR="009D3FB5" w:rsidP="00163B94" w:rsidRDefault="009D3FB5" w14:paraId="7BF690F3" w14:textId="77777777">
            <w:pPr>
              <w:spacing w:before="120" w:after="120"/>
              <w:jc w:val="center"/>
              <w:rPr>
                <w:rFonts w:ascii="Times New Roman" w:hAnsi="Times New Roman" w:cs="Times New Roman"/>
                <w:b/>
                <w:i/>
              </w:rPr>
            </w:pPr>
            <w:r w:rsidRPr="00AE1B2B">
              <w:rPr>
                <w:rFonts w:ascii="Times New Roman" w:hAnsi="Times New Roman" w:cs="Times New Roman"/>
                <w:b/>
                <w:i/>
              </w:rPr>
              <w:lastRenderedPageBreak/>
              <w:t>Anexo 11</w:t>
            </w:r>
          </w:p>
        </w:tc>
        <w:tc>
          <w:tcPr>
            <w:tcW w:w="2286" w:type="pct"/>
            <w:shd w:val="clear" w:color="auto" w:fill="auto"/>
            <w:vAlign w:val="center"/>
          </w:tcPr>
          <w:p w:rsidRPr="00AE1B2B" w:rsidR="009D3FB5" w:rsidP="00163B94" w:rsidRDefault="009D3FB5" w14:paraId="3D23B3E3" w14:textId="77777777">
            <w:pPr>
              <w:spacing w:before="120" w:after="120"/>
              <w:jc w:val="center"/>
              <w:rPr>
                <w:rFonts w:ascii="Times New Roman" w:hAnsi="Times New Roman" w:cs="Times New Roman"/>
                <w:szCs w:val="20"/>
              </w:rPr>
            </w:pPr>
            <w:r w:rsidRPr="00AE1B2B">
              <w:rPr>
                <w:rFonts w:ascii="Times New Roman" w:hAnsi="Times New Roman" w:cs="Times New Roman"/>
                <w:b/>
                <w:bCs/>
                <w:szCs w:val="20"/>
              </w:rPr>
              <w:t>Memoria de cálculo:</w:t>
            </w:r>
            <w:r w:rsidRPr="00AE1B2B">
              <w:rPr>
                <w:rFonts w:ascii="Times New Roman" w:hAnsi="Times New Roman" w:cs="Times New Roman"/>
                <w:szCs w:val="20"/>
              </w:rPr>
              <w:t xml:space="preserve"> </w:t>
            </w:r>
          </w:p>
          <w:p w:rsidRPr="00AE1B2B" w:rsidR="009D3FB5" w:rsidP="00163B94" w:rsidRDefault="009D3FB5" w14:paraId="1DB8DDD0"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Análisis estadístico – Contencioso Administrativo</w:t>
            </w:r>
          </w:p>
        </w:tc>
        <w:tc>
          <w:tcPr>
            <w:tcW w:w="1843" w:type="pct"/>
            <w:shd w:val="clear" w:color="auto" w:fill="auto"/>
            <w:vAlign w:val="center"/>
          </w:tcPr>
          <w:p w:rsidRPr="00AE1B2B" w:rsidR="009D3FB5" w:rsidP="00163B94" w:rsidRDefault="009D3FB5" w14:paraId="58223FF0" w14:textId="77777777">
            <w:pPr>
              <w:spacing w:before="120" w:after="120"/>
              <w:jc w:val="center"/>
              <w:rPr>
                <w:rFonts w:ascii="Times New Roman" w:hAnsi="Times New Roman" w:cs="Times New Roman"/>
              </w:rPr>
            </w:pPr>
            <w:r w:rsidRPr="00AE1B2B">
              <w:rPr>
                <w:rFonts w:ascii="Times New Roman" w:hAnsi="Times New Roman" w:cs="Times New Roman"/>
              </w:rPr>
              <w:object w:dxaOrig="1376" w:dyaOrig="893" w14:anchorId="2CD5BADE">
                <v:shape id="_x0000_i1043" style="width:66.35pt;height:40.05pt" o:ole="" type="#_x0000_t75">
                  <v:imagedata o:title="" r:id="rId189"/>
                </v:shape>
                <o:OLEObject Type="Embed" ProgID="Excel.Sheet.12" ShapeID="_x0000_i1043" DrawAspect="Icon" ObjectID="_1681900473" r:id="rId190"/>
              </w:object>
            </w:r>
          </w:p>
        </w:tc>
      </w:tr>
      <w:tr w:rsidRPr="00AE1B2B" w:rsidR="009D3FB5" w:rsidTr="009D3FB5" w14:paraId="2BBE827F" w14:textId="77777777">
        <w:trPr>
          <w:tblCellSpacing w:w="1440" w:type="nil"/>
        </w:trPr>
        <w:tc>
          <w:tcPr>
            <w:tcW w:w="871" w:type="pct"/>
            <w:shd w:val="clear" w:color="auto" w:fill="auto"/>
            <w:vAlign w:val="center"/>
          </w:tcPr>
          <w:p w:rsidRPr="00AE1B2B" w:rsidR="009D3FB5" w:rsidP="00163B94" w:rsidRDefault="009D3FB5" w14:paraId="3B6951D9" w14:textId="77777777">
            <w:pPr>
              <w:spacing w:before="120" w:after="120"/>
              <w:jc w:val="center"/>
              <w:rPr>
                <w:rFonts w:ascii="Times New Roman" w:hAnsi="Times New Roman" w:cs="Times New Roman"/>
                <w:b/>
                <w:i/>
              </w:rPr>
            </w:pPr>
            <w:r w:rsidRPr="00AE1B2B">
              <w:rPr>
                <w:rFonts w:ascii="Times New Roman" w:hAnsi="Times New Roman" w:cs="Times New Roman"/>
                <w:b/>
                <w:i/>
              </w:rPr>
              <w:t>Anexo 12</w:t>
            </w:r>
          </w:p>
        </w:tc>
        <w:tc>
          <w:tcPr>
            <w:tcW w:w="2286" w:type="pct"/>
            <w:shd w:val="clear" w:color="auto" w:fill="auto"/>
            <w:vAlign w:val="center"/>
          </w:tcPr>
          <w:p w:rsidRPr="00AE1B2B" w:rsidR="009D3FB5" w:rsidP="00163B94" w:rsidRDefault="009D3FB5" w14:paraId="5275C47A" w14:textId="77777777">
            <w:pPr>
              <w:spacing w:before="120" w:after="120"/>
              <w:jc w:val="center"/>
              <w:rPr>
                <w:rFonts w:ascii="Times New Roman" w:hAnsi="Times New Roman" w:cs="Times New Roman"/>
                <w:szCs w:val="20"/>
              </w:rPr>
            </w:pPr>
            <w:r w:rsidRPr="00AE1B2B">
              <w:rPr>
                <w:rFonts w:ascii="Times New Roman" w:hAnsi="Times New Roman" w:cs="Times New Roman"/>
                <w:b/>
                <w:bCs/>
                <w:szCs w:val="20"/>
              </w:rPr>
              <w:t>Memoria de cálculo:</w:t>
            </w:r>
            <w:r w:rsidRPr="00AE1B2B">
              <w:rPr>
                <w:rFonts w:ascii="Times New Roman" w:hAnsi="Times New Roman" w:cs="Times New Roman"/>
                <w:szCs w:val="20"/>
              </w:rPr>
              <w:t xml:space="preserve"> </w:t>
            </w:r>
          </w:p>
          <w:p w:rsidRPr="00AE1B2B" w:rsidR="009D3FB5" w:rsidP="00163B94" w:rsidRDefault="009D3FB5" w14:paraId="0AFF6393"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Análisis estadístico – Pensiones Alimentarias</w:t>
            </w:r>
          </w:p>
        </w:tc>
        <w:tc>
          <w:tcPr>
            <w:tcW w:w="1843" w:type="pct"/>
            <w:shd w:val="clear" w:color="auto" w:fill="auto"/>
            <w:vAlign w:val="center"/>
          </w:tcPr>
          <w:p w:rsidRPr="00AE1B2B" w:rsidR="009D3FB5" w:rsidP="00163B94" w:rsidRDefault="009D3FB5" w14:paraId="029BBD6C" w14:textId="77777777">
            <w:pPr>
              <w:spacing w:before="120" w:after="120"/>
              <w:jc w:val="center"/>
              <w:rPr>
                <w:rFonts w:ascii="Times New Roman" w:hAnsi="Times New Roman" w:cs="Times New Roman"/>
              </w:rPr>
            </w:pPr>
            <w:r w:rsidRPr="00AE1B2B">
              <w:rPr>
                <w:rFonts w:ascii="Times New Roman" w:hAnsi="Times New Roman" w:cs="Times New Roman"/>
              </w:rPr>
              <w:object w:dxaOrig="1376" w:dyaOrig="893" w14:anchorId="1E6EB489">
                <v:shape id="_x0000_i1044" style="width:66.35pt;height:46.95pt" o:ole="" type="#_x0000_t75">
                  <v:imagedata o:title="" r:id="rId191"/>
                </v:shape>
                <o:OLEObject Type="Embed" ProgID="Excel.Sheet.12" ShapeID="_x0000_i1044" DrawAspect="Icon" ObjectID="_1681900474" r:id="rId192"/>
              </w:object>
            </w:r>
          </w:p>
        </w:tc>
      </w:tr>
    </w:tbl>
    <w:p w:rsidRPr="00AE1B2B" w:rsidR="009D3FB5" w:rsidP="00163B94" w:rsidRDefault="009D3FB5" w14:paraId="46A106B3" w14:textId="77777777">
      <w:pPr>
        <w:pStyle w:val="ListParagraph0"/>
        <w:spacing w:before="120" w:after="120"/>
        <w:ind w:left="0"/>
        <w:rPr>
          <w:rFonts w:ascii="Times New Roman" w:hAnsi="Times New Roman"/>
        </w:rPr>
      </w:pPr>
    </w:p>
    <w:p w:rsidRPr="00AE1B2B" w:rsidR="009D3FB5" w:rsidP="00163B94" w:rsidRDefault="009D3FB5" w14:paraId="2A8AD33A" w14:textId="77777777">
      <w:pPr>
        <w:spacing w:before="120" w:after="120"/>
        <w:ind w:left="851" w:right="851" w:firstLine="709"/>
        <w:jc w:val="both"/>
        <w:rPr>
          <w:rFonts w:ascii="Times New Roman" w:hAnsi="Times New Roman" w:cs="Times New Roman"/>
          <w:b/>
          <w:sz w:val="26"/>
          <w:szCs w:val="26"/>
        </w:rPr>
      </w:pPr>
      <w:bookmarkStart w:name="_Ref64834634" w:id="51"/>
      <w:r w:rsidRPr="00AE1B2B">
        <w:rPr>
          <w:rFonts w:ascii="Times New Roman" w:hAnsi="Times New Roman" w:cs="Times New Roman"/>
          <w:b/>
          <w:sz w:val="26"/>
          <w:szCs w:val="26"/>
        </w:rPr>
        <w:t>Apéndices</w:t>
      </w:r>
      <w:bookmarkEnd w:id="51"/>
      <w:r w:rsidRPr="00AE1B2B">
        <w:rPr>
          <w:rFonts w:ascii="Times New Roman" w:hAnsi="Times New Roman" w:cs="Times New Roman"/>
          <w:b/>
          <w:sz w:val="26"/>
          <w:szCs w:val="26"/>
        </w:rPr>
        <w:t xml:space="preserve"> </w:t>
      </w:r>
    </w:p>
    <w:tbl>
      <w:tblPr>
        <w:tblW w:w="5000" w:type="pct"/>
        <w:tblCellSpacing w:w="1440" w:type="nil"/>
        <w:tblBorders>
          <w:top w:val="outset" w:color="365F91" w:sz="6" w:space="0"/>
          <w:left w:val="outset" w:color="365F91" w:sz="6" w:space="0"/>
          <w:bottom w:val="inset" w:color="365F91" w:sz="6" w:space="0"/>
          <w:right w:val="inset" w:color="365F91" w:sz="6" w:space="0"/>
          <w:insideH w:val="single" w:color="365F91" w:sz="6" w:space="0"/>
          <w:insideV w:val="single" w:color="365F91" w:sz="6" w:space="0"/>
        </w:tblBorders>
        <w:tblLook w:val="04A0" w:firstRow="1" w:lastRow="0" w:firstColumn="1" w:lastColumn="0" w:noHBand="0" w:noVBand="1"/>
      </w:tblPr>
      <w:tblGrid>
        <w:gridCol w:w="1537"/>
        <w:gridCol w:w="4033"/>
        <w:gridCol w:w="3252"/>
      </w:tblGrid>
      <w:tr w:rsidRPr="00AE1B2B" w:rsidR="00AE1B2B" w:rsidTr="009D3FB5" w14:paraId="306A8074" w14:textId="77777777">
        <w:trPr>
          <w:tblCellSpacing w:w="1440" w:type="nil"/>
        </w:trPr>
        <w:tc>
          <w:tcPr>
            <w:tcW w:w="871" w:type="pct"/>
            <w:shd w:val="clear" w:color="auto" w:fill="1F4E79" w:themeFill="accent1" w:themeFillShade="80"/>
            <w:vAlign w:val="center"/>
          </w:tcPr>
          <w:p w:rsidRPr="00AE1B2B" w:rsidR="009D3FB5" w:rsidP="00163B94" w:rsidRDefault="009D3FB5" w14:paraId="2AD61583" w14:textId="77777777">
            <w:pPr>
              <w:spacing w:before="120" w:after="120"/>
              <w:jc w:val="center"/>
              <w:rPr>
                <w:rFonts w:ascii="Times New Roman" w:hAnsi="Times New Roman" w:cs="Times New Roman"/>
                <w:b/>
              </w:rPr>
            </w:pPr>
            <w:r w:rsidRPr="00AE1B2B">
              <w:rPr>
                <w:rFonts w:ascii="Times New Roman" w:hAnsi="Times New Roman" w:cs="Times New Roman"/>
                <w:b/>
              </w:rPr>
              <w:t>Apéndice</w:t>
            </w:r>
          </w:p>
        </w:tc>
        <w:tc>
          <w:tcPr>
            <w:tcW w:w="2286" w:type="pct"/>
            <w:shd w:val="clear" w:color="auto" w:fill="1F4E79" w:themeFill="accent1" w:themeFillShade="80"/>
            <w:vAlign w:val="center"/>
          </w:tcPr>
          <w:p w:rsidRPr="00AE1B2B" w:rsidR="009D3FB5" w:rsidP="00163B94" w:rsidRDefault="009D3FB5" w14:paraId="72041A54" w14:textId="77777777">
            <w:pPr>
              <w:spacing w:before="120" w:after="120"/>
              <w:jc w:val="center"/>
              <w:rPr>
                <w:rFonts w:ascii="Times New Roman" w:hAnsi="Times New Roman" w:cs="Times New Roman"/>
                <w:b/>
              </w:rPr>
            </w:pPr>
            <w:r w:rsidRPr="00AE1B2B">
              <w:rPr>
                <w:rFonts w:ascii="Times New Roman" w:hAnsi="Times New Roman" w:cs="Times New Roman"/>
                <w:b/>
              </w:rPr>
              <w:t>Nombre</w:t>
            </w:r>
          </w:p>
        </w:tc>
        <w:tc>
          <w:tcPr>
            <w:tcW w:w="1843" w:type="pct"/>
            <w:shd w:val="clear" w:color="auto" w:fill="1F4E79" w:themeFill="accent1" w:themeFillShade="80"/>
            <w:vAlign w:val="center"/>
          </w:tcPr>
          <w:p w:rsidRPr="00AE1B2B" w:rsidR="009D3FB5" w:rsidP="00163B94" w:rsidRDefault="009D3FB5" w14:paraId="2272FD42" w14:textId="77777777">
            <w:pPr>
              <w:spacing w:before="120" w:after="120"/>
              <w:jc w:val="center"/>
              <w:rPr>
                <w:rFonts w:ascii="Times New Roman" w:hAnsi="Times New Roman" w:cs="Times New Roman"/>
                <w:b/>
              </w:rPr>
            </w:pPr>
            <w:r w:rsidRPr="00AE1B2B">
              <w:rPr>
                <w:rFonts w:ascii="Times New Roman" w:hAnsi="Times New Roman" w:cs="Times New Roman"/>
                <w:b/>
              </w:rPr>
              <w:t>Documento</w:t>
            </w:r>
          </w:p>
        </w:tc>
      </w:tr>
      <w:tr w:rsidRPr="00AE1B2B" w:rsidR="00AE1B2B" w:rsidTr="009D3FB5" w14:paraId="2975E4E7" w14:textId="77777777">
        <w:trPr>
          <w:tblCellSpacing w:w="1440" w:type="nil"/>
        </w:trPr>
        <w:tc>
          <w:tcPr>
            <w:tcW w:w="871" w:type="pct"/>
            <w:shd w:val="clear" w:color="auto" w:fill="auto"/>
            <w:vAlign w:val="center"/>
          </w:tcPr>
          <w:p w:rsidRPr="00AE1B2B" w:rsidR="009D3FB5" w:rsidP="00163B94" w:rsidRDefault="009D3FB5" w14:paraId="00CEB3D1" w14:textId="77777777">
            <w:pPr>
              <w:spacing w:before="120" w:after="120"/>
              <w:jc w:val="center"/>
              <w:rPr>
                <w:rFonts w:ascii="Times New Roman" w:hAnsi="Times New Roman" w:cs="Times New Roman"/>
                <w:b/>
                <w:i/>
              </w:rPr>
            </w:pPr>
            <w:r w:rsidRPr="00AE1B2B">
              <w:rPr>
                <w:rFonts w:ascii="Times New Roman" w:hAnsi="Times New Roman" w:cs="Times New Roman"/>
                <w:b/>
                <w:i/>
              </w:rPr>
              <w:t>Apéndice 1</w:t>
            </w:r>
          </w:p>
        </w:tc>
        <w:tc>
          <w:tcPr>
            <w:tcW w:w="2286" w:type="pct"/>
            <w:shd w:val="clear" w:color="auto" w:fill="auto"/>
            <w:vAlign w:val="center"/>
          </w:tcPr>
          <w:p w:rsidRPr="00AE1B2B" w:rsidR="009D3FB5" w:rsidP="00163B94" w:rsidRDefault="009D3FB5" w14:paraId="14D50BF4"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Datos estadísticos suministrados por la Administración de la Defensa Pública</w:t>
            </w:r>
          </w:p>
        </w:tc>
        <w:tc>
          <w:tcPr>
            <w:tcW w:w="1843" w:type="pct"/>
            <w:shd w:val="clear" w:color="auto" w:fill="auto"/>
            <w:vAlign w:val="center"/>
          </w:tcPr>
          <w:p w:rsidRPr="00AE1B2B" w:rsidR="009D3FB5" w:rsidP="00163B94" w:rsidRDefault="009D3FB5" w14:paraId="4C385DDE" w14:textId="77777777">
            <w:pPr>
              <w:spacing w:before="120" w:after="120"/>
              <w:jc w:val="center"/>
              <w:rPr>
                <w:rFonts w:ascii="Times New Roman" w:hAnsi="Times New Roman" w:cs="Times New Roman"/>
              </w:rPr>
            </w:pPr>
            <w:r w:rsidRPr="00AE1B2B">
              <w:rPr>
                <w:rFonts w:ascii="Times New Roman" w:hAnsi="Times New Roman" w:cs="Times New Roman"/>
              </w:rPr>
              <w:object w:dxaOrig="1508" w:dyaOrig="983" w14:anchorId="1810B61A">
                <v:shape id="_x0000_i1045" style="width:1in;height:51.95pt" o:ole="" type="#_x0000_t75">
                  <v:imagedata o:title="" r:id="rId193"/>
                </v:shape>
                <o:OLEObject Type="Embed" ProgID="Package" ShapeID="_x0000_i1045" DrawAspect="Icon" ObjectID="_1681900475" r:id="rId194"/>
              </w:object>
            </w:r>
          </w:p>
        </w:tc>
      </w:tr>
      <w:tr w:rsidRPr="00AE1B2B" w:rsidR="00AE1B2B" w:rsidTr="009D3FB5" w14:paraId="2CD2B89F" w14:textId="77777777">
        <w:trPr>
          <w:tblCellSpacing w:w="1440" w:type="nil"/>
        </w:trPr>
        <w:tc>
          <w:tcPr>
            <w:tcW w:w="871" w:type="pct"/>
            <w:shd w:val="clear" w:color="auto" w:fill="auto"/>
            <w:vAlign w:val="center"/>
          </w:tcPr>
          <w:p w:rsidRPr="00AE1B2B" w:rsidR="009D3FB5" w:rsidP="00163B94" w:rsidRDefault="009D3FB5" w14:paraId="2ADB4C95" w14:textId="77777777">
            <w:pPr>
              <w:spacing w:before="120" w:after="120"/>
              <w:jc w:val="center"/>
              <w:rPr>
                <w:rFonts w:ascii="Times New Roman" w:hAnsi="Times New Roman" w:cs="Times New Roman"/>
                <w:b/>
                <w:i/>
              </w:rPr>
            </w:pPr>
            <w:r w:rsidRPr="00AE1B2B">
              <w:rPr>
                <w:rFonts w:ascii="Times New Roman" w:hAnsi="Times New Roman" w:cs="Times New Roman"/>
                <w:b/>
                <w:i/>
              </w:rPr>
              <w:t>Apéndice 2</w:t>
            </w:r>
          </w:p>
        </w:tc>
        <w:tc>
          <w:tcPr>
            <w:tcW w:w="2286" w:type="pct"/>
            <w:shd w:val="clear" w:color="auto" w:fill="auto"/>
            <w:vAlign w:val="center"/>
          </w:tcPr>
          <w:p w:rsidRPr="00AE1B2B" w:rsidR="009D3FB5" w:rsidP="00163B94" w:rsidRDefault="009D3FB5" w14:paraId="3A15C1BA"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Nuevos datos estadísticos suministrados por la Administración de la Defensa Pública</w:t>
            </w:r>
          </w:p>
        </w:tc>
        <w:tc>
          <w:tcPr>
            <w:tcW w:w="1843" w:type="pct"/>
            <w:shd w:val="clear" w:color="auto" w:fill="auto"/>
            <w:vAlign w:val="center"/>
          </w:tcPr>
          <w:p w:rsidRPr="00AE1B2B" w:rsidR="009D3FB5" w:rsidP="00163B94" w:rsidRDefault="009D3FB5" w14:paraId="6FB5CEFD" w14:textId="77777777">
            <w:pPr>
              <w:spacing w:before="120" w:after="120"/>
              <w:jc w:val="center"/>
              <w:rPr>
                <w:rFonts w:ascii="Times New Roman" w:hAnsi="Times New Roman" w:cs="Times New Roman"/>
              </w:rPr>
            </w:pPr>
            <w:r w:rsidRPr="00AE1B2B">
              <w:rPr>
                <w:rFonts w:ascii="Times New Roman" w:hAnsi="Times New Roman" w:cs="Times New Roman"/>
              </w:rPr>
              <w:object w:dxaOrig="1508" w:dyaOrig="983" w14:anchorId="5426BE1D">
                <v:shape id="_x0000_i1046" style="width:1in;height:51.95pt" o:ole="" type="#_x0000_t75">
                  <v:imagedata o:title="" r:id="rId195"/>
                </v:shape>
                <o:OLEObject Type="Embed" ProgID="Package" ShapeID="_x0000_i1046" DrawAspect="Icon" ObjectID="_1681900476" r:id="rId196"/>
              </w:object>
            </w:r>
          </w:p>
        </w:tc>
      </w:tr>
      <w:tr w:rsidRPr="00AE1B2B" w:rsidR="00AE1B2B" w:rsidTr="009D3FB5" w14:paraId="3A4700C1" w14:textId="77777777">
        <w:trPr>
          <w:tblCellSpacing w:w="1440" w:type="nil"/>
        </w:trPr>
        <w:tc>
          <w:tcPr>
            <w:tcW w:w="871" w:type="pct"/>
            <w:shd w:val="clear" w:color="auto" w:fill="auto"/>
            <w:vAlign w:val="center"/>
          </w:tcPr>
          <w:p w:rsidRPr="00AE1B2B" w:rsidR="009D3FB5" w:rsidP="00163B94" w:rsidRDefault="009D3FB5" w14:paraId="2B017737" w14:textId="77777777">
            <w:pPr>
              <w:spacing w:before="120" w:after="120"/>
              <w:jc w:val="center"/>
              <w:rPr>
                <w:rFonts w:ascii="Times New Roman" w:hAnsi="Times New Roman" w:cs="Times New Roman"/>
                <w:b/>
                <w:i/>
              </w:rPr>
            </w:pPr>
            <w:r w:rsidRPr="00AE1B2B">
              <w:rPr>
                <w:rFonts w:ascii="Times New Roman" w:hAnsi="Times New Roman" w:cs="Times New Roman"/>
                <w:b/>
                <w:i/>
              </w:rPr>
              <w:t>Apéndice 3</w:t>
            </w:r>
          </w:p>
        </w:tc>
        <w:tc>
          <w:tcPr>
            <w:tcW w:w="2286" w:type="pct"/>
            <w:shd w:val="clear" w:color="auto" w:fill="auto"/>
            <w:vAlign w:val="center"/>
          </w:tcPr>
          <w:p w:rsidRPr="00AE1B2B" w:rsidR="009D3FB5" w:rsidP="00163B94" w:rsidRDefault="009D3FB5" w14:paraId="72474F72"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Ejemplo del registro de datos de personas indígenas (</w:t>
            </w:r>
            <w:r w:rsidRPr="00AE1B2B">
              <w:rPr>
                <w:rFonts w:ascii="Times New Roman" w:hAnsi="Times New Roman" w:cs="Times New Roman"/>
                <w:i/>
                <w:iCs/>
                <w:szCs w:val="20"/>
              </w:rPr>
              <w:t>oficina de Corredores</w:t>
            </w:r>
            <w:r w:rsidRPr="00AE1B2B">
              <w:rPr>
                <w:rFonts w:ascii="Times New Roman" w:hAnsi="Times New Roman" w:cs="Times New Roman"/>
                <w:szCs w:val="20"/>
              </w:rPr>
              <w:t>)</w:t>
            </w:r>
          </w:p>
        </w:tc>
        <w:tc>
          <w:tcPr>
            <w:tcW w:w="1843" w:type="pct"/>
            <w:shd w:val="clear" w:color="auto" w:fill="auto"/>
            <w:vAlign w:val="center"/>
          </w:tcPr>
          <w:p w:rsidRPr="00AE1B2B" w:rsidR="009D3FB5" w:rsidP="00163B94" w:rsidRDefault="009D3FB5" w14:paraId="34BFB9C8" w14:textId="77777777">
            <w:pPr>
              <w:spacing w:before="120" w:after="120"/>
              <w:jc w:val="center"/>
              <w:rPr>
                <w:rFonts w:ascii="Times New Roman" w:hAnsi="Times New Roman" w:cs="Times New Roman"/>
              </w:rPr>
            </w:pPr>
            <w:r w:rsidRPr="00AE1B2B">
              <w:rPr>
                <w:rFonts w:ascii="Times New Roman" w:hAnsi="Times New Roman" w:cs="Times New Roman"/>
              </w:rPr>
              <w:object w:dxaOrig="1376" w:dyaOrig="893" w14:anchorId="6D5840FD">
                <v:shape id="_x0000_i1047" style="width:66.35pt;height:46.95pt" o:ole="" type="#_x0000_t75">
                  <v:imagedata o:title="" r:id="rId197"/>
                </v:shape>
                <o:OLEObject Type="Embed" ProgID="Excel.Sheet.8" ShapeID="_x0000_i1047" DrawAspect="Icon" ObjectID="_1681900477" r:id="rId198"/>
              </w:object>
            </w:r>
          </w:p>
        </w:tc>
      </w:tr>
      <w:tr w:rsidRPr="00AE1B2B" w:rsidR="00AE1B2B" w:rsidTr="009D3FB5" w14:paraId="0B29CF2D" w14:textId="77777777">
        <w:trPr>
          <w:tblCellSpacing w:w="1440" w:type="nil"/>
        </w:trPr>
        <w:tc>
          <w:tcPr>
            <w:tcW w:w="871" w:type="pct"/>
            <w:shd w:val="clear" w:color="auto" w:fill="auto"/>
            <w:vAlign w:val="center"/>
          </w:tcPr>
          <w:p w:rsidRPr="00AE1B2B" w:rsidR="009D3FB5" w:rsidP="00163B94" w:rsidRDefault="009D3FB5" w14:paraId="50F4B072" w14:textId="77777777">
            <w:pPr>
              <w:spacing w:before="120" w:after="120"/>
              <w:jc w:val="center"/>
              <w:rPr>
                <w:rFonts w:ascii="Times New Roman" w:hAnsi="Times New Roman" w:cs="Times New Roman"/>
                <w:b/>
                <w:i/>
              </w:rPr>
            </w:pPr>
            <w:r w:rsidRPr="00AE1B2B">
              <w:rPr>
                <w:rFonts w:ascii="Times New Roman" w:hAnsi="Times New Roman" w:cs="Times New Roman"/>
                <w:b/>
                <w:i/>
              </w:rPr>
              <w:t>Apéndice 4</w:t>
            </w:r>
          </w:p>
        </w:tc>
        <w:tc>
          <w:tcPr>
            <w:tcW w:w="2286" w:type="pct"/>
            <w:shd w:val="clear" w:color="auto" w:fill="auto"/>
            <w:vAlign w:val="center"/>
          </w:tcPr>
          <w:p w:rsidRPr="00AE1B2B" w:rsidR="009D3FB5" w:rsidP="00163B94" w:rsidRDefault="009D3FB5" w14:paraId="5621F86E"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Seguimiento a recomendaciones del informe 507-PLA-RH-MI-2020: Dirigidas a la Dirección de TI</w:t>
            </w:r>
          </w:p>
        </w:tc>
        <w:bookmarkStart w:name="_MON_1650873404" w:id="52"/>
        <w:bookmarkEnd w:id="52"/>
        <w:tc>
          <w:tcPr>
            <w:tcW w:w="1843" w:type="pct"/>
            <w:shd w:val="clear" w:color="auto" w:fill="auto"/>
            <w:vAlign w:val="center"/>
          </w:tcPr>
          <w:p w:rsidRPr="00AE1B2B" w:rsidR="009D3FB5" w:rsidP="00163B94" w:rsidRDefault="009D3FB5" w14:paraId="704466D4" w14:textId="77777777">
            <w:pPr>
              <w:spacing w:before="120" w:after="120"/>
              <w:jc w:val="center"/>
              <w:rPr>
                <w:rFonts w:ascii="Times New Roman" w:hAnsi="Times New Roman" w:cs="Times New Roman"/>
              </w:rPr>
            </w:pPr>
            <w:r w:rsidRPr="00AE1B2B">
              <w:rPr>
                <w:rFonts w:ascii="Times New Roman" w:hAnsi="Times New Roman" w:cs="Times New Roman"/>
              </w:rPr>
              <w:object w:dxaOrig="1508" w:dyaOrig="983" w14:anchorId="6DC21DAC">
                <v:shape id="_x0000_i1048" style="width:1in;height:46.95pt" o:ole="" type="#_x0000_t75">
                  <v:imagedata o:title="" r:id="rId199"/>
                </v:shape>
                <o:OLEObject Type="Embed" ProgID="Package" ShapeID="_x0000_i1048" DrawAspect="Icon" ObjectID="_1681900478" r:id="rId200"/>
              </w:object>
            </w:r>
            <w:r w:rsidRPr="00AE1B2B">
              <w:rPr>
                <w:rFonts w:ascii="Times New Roman" w:hAnsi="Times New Roman" w:cs="Times New Roman"/>
              </w:rPr>
              <w:object w:dxaOrig="1508" w:dyaOrig="983" w14:anchorId="4AF941C0">
                <v:shape id="_x0000_i1049" style="width:1in;height:46.95pt" o:ole="" type="#_x0000_t75">
                  <v:imagedata o:title="" r:id="rId201"/>
                </v:shape>
                <o:OLEObject Type="Embed" ProgID="Package" ShapeID="_x0000_i1049" DrawAspect="Icon" ObjectID="_1681900479" r:id="rId202"/>
              </w:object>
            </w:r>
          </w:p>
        </w:tc>
      </w:tr>
      <w:tr w:rsidRPr="00AE1B2B" w:rsidR="00AE1B2B" w:rsidTr="009D3FB5" w14:paraId="71D429B1" w14:textId="77777777">
        <w:trPr>
          <w:tblCellSpacing w:w="1440" w:type="nil"/>
        </w:trPr>
        <w:tc>
          <w:tcPr>
            <w:tcW w:w="871" w:type="pct"/>
            <w:shd w:val="clear" w:color="auto" w:fill="auto"/>
            <w:vAlign w:val="center"/>
          </w:tcPr>
          <w:p w:rsidRPr="00AE1B2B" w:rsidR="009D3FB5" w:rsidP="00163B94" w:rsidRDefault="009D3FB5" w14:paraId="5DFDA413" w14:textId="77777777">
            <w:pPr>
              <w:spacing w:before="120" w:after="120"/>
              <w:jc w:val="center"/>
              <w:rPr>
                <w:rFonts w:ascii="Times New Roman" w:hAnsi="Times New Roman" w:cs="Times New Roman"/>
                <w:b/>
                <w:i/>
              </w:rPr>
            </w:pPr>
            <w:r w:rsidRPr="00AE1B2B">
              <w:rPr>
                <w:rFonts w:ascii="Times New Roman" w:hAnsi="Times New Roman" w:cs="Times New Roman"/>
                <w:b/>
                <w:i/>
              </w:rPr>
              <w:t>Apéndice 6</w:t>
            </w:r>
          </w:p>
        </w:tc>
        <w:tc>
          <w:tcPr>
            <w:tcW w:w="2286" w:type="pct"/>
            <w:shd w:val="clear" w:color="auto" w:fill="auto"/>
            <w:vAlign w:val="center"/>
          </w:tcPr>
          <w:p w:rsidRPr="00AE1B2B" w:rsidR="009D3FB5" w:rsidP="00163B94" w:rsidRDefault="009D3FB5" w14:paraId="668C459E"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Seguimiento a recomendaciones del informe 507-PLA-RH-MI-2020: Dirigidas a la Escuela Judicial</w:t>
            </w:r>
          </w:p>
        </w:tc>
        <w:tc>
          <w:tcPr>
            <w:tcW w:w="1843" w:type="pct"/>
            <w:shd w:val="clear" w:color="auto" w:fill="auto"/>
            <w:vAlign w:val="center"/>
          </w:tcPr>
          <w:p w:rsidRPr="00AE1B2B" w:rsidR="009D3FB5" w:rsidP="00163B94" w:rsidRDefault="009D3FB5" w14:paraId="2E579AA3" w14:textId="77777777">
            <w:pPr>
              <w:spacing w:before="120" w:after="120"/>
              <w:jc w:val="center"/>
              <w:rPr>
                <w:rFonts w:ascii="Times New Roman" w:hAnsi="Times New Roman" w:cs="Times New Roman"/>
              </w:rPr>
            </w:pPr>
            <w:r w:rsidRPr="00AE1B2B">
              <w:rPr>
                <w:rFonts w:ascii="Times New Roman" w:hAnsi="Times New Roman" w:cs="Times New Roman"/>
              </w:rPr>
              <w:object w:dxaOrig="1508" w:dyaOrig="983" w14:anchorId="575C3CBD">
                <v:shape id="_x0000_i1050" style="width:1in;height:46.95pt" o:ole="" type="#_x0000_t75">
                  <v:imagedata o:title="" r:id="rId203"/>
                </v:shape>
                <o:OLEObject Type="Embed" ProgID="Package" ShapeID="_x0000_i1050" DrawAspect="Icon" ObjectID="_1681900480" r:id="rId204"/>
              </w:object>
            </w:r>
            <w:r w:rsidRPr="00AE1B2B">
              <w:rPr>
                <w:rFonts w:ascii="Times New Roman" w:hAnsi="Times New Roman" w:cs="Times New Roman"/>
              </w:rPr>
              <w:object w:dxaOrig="1508" w:dyaOrig="983" w14:anchorId="0892FE46">
                <v:shape id="_x0000_i1051" style="width:1in;height:46.95pt" o:ole="" type="#_x0000_t75">
                  <v:imagedata o:title="" r:id="rId205"/>
                </v:shape>
                <o:OLEObject Type="Embed" ProgID="Package" ShapeID="_x0000_i1051" DrawAspect="Icon" ObjectID="_1681900481" r:id="rId206"/>
              </w:object>
            </w:r>
          </w:p>
        </w:tc>
      </w:tr>
      <w:tr w:rsidRPr="00AE1B2B" w:rsidR="00AE1B2B" w:rsidTr="009D3FB5" w14:paraId="65F1151B" w14:textId="77777777">
        <w:trPr>
          <w:tblCellSpacing w:w="1440" w:type="nil"/>
        </w:trPr>
        <w:tc>
          <w:tcPr>
            <w:tcW w:w="871" w:type="pct"/>
            <w:shd w:val="clear" w:color="auto" w:fill="auto"/>
            <w:vAlign w:val="center"/>
          </w:tcPr>
          <w:p w:rsidRPr="00AE1B2B" w:rsidR="009D3FB5" w:rsidP="00163B94" w:rsidRDefault="009D3FB5" w14:paraId="73505A44" w14:textId="77777777">
            <w:pPr>
              <w:spacing w:before="120" w:after="120"/>
              <w:jc w:val="center"/>
              <w:rPr>
                <w:rFonts w:ascii="Times New Roman" w:hAnsi="Times New Roman" w:cs="Times New Roman"/>
                <w:b/>
                <w:i/>
              </w:rPr>
            </w:pPr>
            <w:r w:rsidRPr="00AE1B2B">
              <w:rPr>
                <w:rFonts w:ascii="Times New Roman" w:hAnsi="Times New Roman" w:cs="Times New Roman"/>
                <w:b/>
                <w:i/>
              </w:rPr>
              <w:t>Apéndice 7</w:t>
            </w:r>
          </w:p>
        </w:tc>
        <w:tc>
          <w:tcPr>
            <w:tcW w:w="2286" w:type="pct"/>
            <w:shd w:val="clear" w:color="auto" w:fill="auto"/>
            <w:vAlign w:val="center"/>
          </w:tcPr>
          <w:p w:rsidRPr="00AE1B2B" w:rsidR="009D3FB5" w:rsidP="00163B94" w:rsidRDefault="009D3FB5" w14:paraId="6CA3E35A"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 xml:space="preserve">Seguimiento a recomendaciones del informe 507-PLA-RH-MI-2020: Dirigidas al Centro de </w:t>
            </w:r>
          </w:p>
          <w:p w:rsidRPr="00AE1B2B" w:rsidR="009D3FB5" w:rsidP="00163B94" w:rsidRDefault="009D3FB5" w14:paraId="6655EF40"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Apoyo</w:t>
            </w:r>
          </w:p>
        </w:tc>
        <w:tc>
          <w:tcPr>
            <w:tcW w:w="1843" w:type="pct"/>
            <w:shd w:val="clear" w:color="auto" w:fill="auto"/>
            <w:vAlign w:val="center"/>
          </w:tcPr>
          <w:p w:rsidRPr="00AE1B2B" w:rsidR="009D3FB5" w:rsidP="00163B94" w:rsidRDefault="009D3FB5" w14:paraId="09C85853" w14:textId="77777777">
            <w:pPr>
              <w:spacing w:before="120" w:after="120"/>
              <w:jc w:val="center"/>
              <w:rPr>
                <w:rFonts w:ascii="Times New Roman" w:hAnsi="Times New Roman" w:cs="Times New Roman"/>
              </w:rPr>
            </w:pPr>
            <w:r w:rsidRPr="00AE1B2B">
              <w:rPr>
                <w:rFonts w:ascii="Times New Roman" w:hAnsi="Times New Roman" w:cs="Times New Roman"/>
              </w:rPr>
              <w:object w:dxaOrig="1508" w:dyaOrig="983" w14:anchorId="0A316E38">
                <v:shape id="_x0000_i1052" style="width:1in;height:46.95pt" o:ole="" type="#_x0000_t75">
                  <v:imagedata o:title="" r:id="rId207"/>
                </v:shape>
                <o:OLEObject Type="Embed" ProgID="Package" ShapeID="_x0000_i1052" DrawAspect="Icon" ObjectID="_1681900482" r:id="rId208"/>
              </w:object>
            </w:r>
          </w:p>
        </w:tc>
      </w:tr>
      <w:tr w:rsidRPr="00AE1B2B" w:rsidR="00AE1B2B" w:rsidTr="009D3FB5" w14:paraId="784632C6" w14:textId="77777777">
        <w:trPr>
          <w:tblCellSpacing w:w="1440" w:type="nil"/>
        </w:trPr>
        <w:tc>
          <w:tcPr>
            <w:tcW w:w="871" w:type="pct"/>
            <w:shd w:val="clear" w:color="auto" w:fill="auto"/>
            <w:vAlign w:val="center"/>
          </w:tcPr>
          <w:p w:rsidRPr="00AE1B2B" w:rsidR="009D3FB5" w:rsidP="00163B94" w:rsidRDefault="009D3FB5" w14:paraId="6CC3AC69" w14:textId="77777777">
            <w:pPr>
              <w:spacing w:before="120" w:after="120"/>
              <w:jc w:val="center"/>
              <w:rPr>
                <w:rFonts w:ascii="Times New Roman" w:hAnsi="Times New Roman" w:cs="Times New Roman"/>
                <w:b/>
                <w:i/>
              </w:rPr>
            </w:pPr>
            <w:r w:rsidRPr="00AE1B2B">
              <w:rPr>
                <w:rFonts w:ascii="Times New Roman" w:hAnsi="Times New Roman" w:cs="Times New Roman"/>
                <w:b/>
                <w:i/>
              </w:rPr>
              <w:t>Apéndice 8</w:t>
            </w:r>
          </w:p>
        </w:tc>
        <w:tc>
          <w:tcPr>
            <w:tcW w:w="2286" w:type="pct"/>
            <w:shd w:val="clear" w:color="auto" w:fill="auto"/>
            <w:vAlign w:val="center"/>
          </w:tcPr>
          <w:p w:rsidRPr="00AE1B2B" w:rsidR="009D3FB5" w:rsidP="00163B94" w:rsidRDefault="009D3FB5" w14:paraId="29BA1ECC"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Seguimiento a recomendaciones del informe 507-PLA-RH-MI-2020: Dirigidas a la Unidad de Acceso a la Justicia</w:t>
            </w:r>
          </w:p>
        </w:tc>
        <w:tc>
          <w:tcPr>
            <w:tcW w:w="1843" w:type="pct"/>
            <w:shd w:val="clear" w:color="auto" w:fill="auto"/>
            <w:vAlign w:val="center"/>
          </w:tcPr>
          <w:p w:rsidRPr="00AE1B2B" w:rsidR="009D3FB5" w:rsidP="00163B94" w:rsidRDefault="009D3FB5" w14:paraId="643C4C41" w14:textId="77777777">
            <w:pPr>
              <w:spacing w:before="120" w:after="120"/>
              <w:jc w:val="center"/>
              <w:rPr>
                <w:rFonts w:ascii="Times New Roman" w:hAnsi="Times New Roman" w:cs="Times New Roman"/>
              </w:rPr>
            </w:pPr>
            <w:r w:rsidRPr="00AE1B2B">
              <w:rPr>
                <w:rFonts w:ascii="Times New Roman" w:hAnsi="Times New Roman" w:cs="Times New Roman"/>
              </w:rPr>
              <w:object w:dxaOrig="1508" w:dyaOrig="983" w14:anchorId="255E02F5">
                <v:shape id="_x0000_i1053" style="width:1in;height:46.95pt" o:ole="" type="#_x0000_t75">
                  <v:imagedata o:title="" r:id="rId209"/>
                </v:shape>
                <o:OLEObject Type="Embed" ProgID="Package" ShapeID="_x0000_i1053" DrawAspect="Icon" ObjectID="_1681900483" r:id="rId210"/>
              </w:object>
            </w:r>
            <w:bookmarkStart w:name="_MON_1675627874" w:id="53"/>
            <w:bookmarkEnd w:id="53"/>
            <w:r w:rsidRPr="00AE1B2B">
              <w:rPr>
                <w:rFonts w:ascii="Times New Roman" w:hAnsi="Times New Roman" w:cs="Times New Roman"/>
              </w:rPr>
              <w:object w:dxaOrig="1508" w:dyaOrig="983" w14:anchorId="22A435B7">
                <v:shape id="_x0000_i1054" style="width:1in;height:51.95pt" o:ole="" type="#_x0000_t75">
                  <v:imagedata o:title="" r:id="rId211"/>
                </v:shape>
                <o:OLEObject Type="Embed" ProgID="Word.Document.12" ShapeID="_x0000_i1054" DrawAspect="Icon" ObjectID="_1681900484" r:id="rId212">
                  <o:FieldCodes>\s</o:FieldCodes>
                </o:OLEObject>
              </w:object>
            </w:r>
          </w:p>
        </w:tc>
      </w:tr>
      <w:tr w:rsidRPr="00AE1B2B" w:rsidR="00AE1B2B" w:rsidTr="009D3FB5" w14:paraId="4B76D3F8" w14:textId="77777777">
        <w:trPr>
          <w:tblCellSpacing w:w="1440" w:type="nil"/>
        </w:trPr>
        <w:tc>
          <w:tcPr>
            <w:tcW w:w="871" w:type="pct"/>
            <w:shd w:val="clear" w:color="auto" w:fill="auto"/>
            <w:vAlign w:val="center"/>
          </w:tcPr>
          <w:p w:rsidRPr="00AE1B2B" w:rsidR="009D3FB5" w:rsidP="00163B94" w:rsidRDefault="009D3FB5" w14:paraId="3816DBFA" w14:textId="77777777">
            <w:pPr>
              <w:spacing w:before="120" w:after="120"/>
              <w:jc w:val="center"/>
              <w:rPr>
                <w:rFonts w:ascii="Times New Roman" w:hAnsi="Times New Roman" w:cs="Times New Roman"/>
                <w:b/>
                <w:i/>
              </w:rPr>
            </w:pPr>
            <w:r w:rsidRPr="00AE1B2B">
              <w:rPr>
                <w:rFonts w:ascii="Times New Roman" w:hAnsi="Times New Roman" w:cs="Times New Roman"/>
                <w:b/>
                <w:i/>
              </w:rPr>
              <w:lastRenderedPageBreak/>
              <w:t>Apéndice 9</w:t>
            </w:r>
          </w:p>
        </w:tc>
        <w:tc>
          <w:tcPr>
            <w:tcW w:w="2286" w:type="pct"/>
            <w:shd w:val="clear" w:color="auto" w:fill="auto"/>
            <w:vAlign w:val="center"/>
          </w:tcPr>
          <w:p w:rsidRPr="00AE1B2B" w:rsidR="009D3FB5" w:rsidP="00163B94" w:rsidRDefault="009D3FB5" w14:paraId="6001DE02"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Información de la creación de la plaza 370070 de Supervisora o Supervisor de la Defensa Pública en Asuntos Indígenas</w:t>
            </w:r>
          </w:p>
        </w:tc>
        <w:tc>
          <w:tcPr>
            <w:tcW w:w="1843" w:type="pct"/>
            <w:shd w:val="clear" w:color="auto" w:fill="auto"/>
            <w:vAlign w:val="center"/>
          </w:tcPr>
          <w:p w:rsidRPr="00AE1B2B" w:rsidR="009D3FB5" w:rsidP="00163B94" w:rsidRDefault="009D3FB5" w14:paraId="42AEEAE9" w14:textId="77777777">
            <w:pPr>
              <w:spacing w:before="120" w:after="120"/>
              <w:jc w:val="center"/>
              <w:rPr>
                <w:rFonts w:ascii="Times New Roman" w:hAnsi="Times New Roman" w:cs="Times New Roman"/>
              </w:rPr>
            </w:pPr>
            <w:r w:rsidRPr="00AE1B2B">
              <w:rPr>
                <w:rFonts w:ascii="Times New Roman" w:hAnsi="Times New Roman" w:cs="Times New Roman"/>
              </w:rPr>
              <w:object w:dxaOrig="1508" w:dyaOrig="983" w14:anchorId="10AD769D">
                <v:shape id="_x0000_i1055" style="width:1in;height:51.95pt" o:ole="" type="#_x0000_t75">
                  <v:imagedata o:title="" r:id="rId213"/>
                </v:shape>
                <o:OLEObject Type="Embed" ProgID="Package" ShapeID="_x0000_i1055" DrawAspect="Icon" ObjectID="_1681900485" r:id="rId214"/>
              </w:object>
            </w:r>
          </w:p>
        </w:tc>
      </w:tr>
      <w:tr w:rsidRPr="00AE1B2B" w:rsidR="009D3FB5" w:rsidTr="009D3FB5" w14:paraId="5CBFAC5A" w14:textId="77777777">
        <w:trPr>
          <w:tblCellSpacing w:w="1440" w:type="nil"/>
        </w:trPr>
        <w:tc>
          <w:tcPr>
            <w:tcW w:w="871" w:type="pct"/>
            <w:shd w:val="clear" w:color="auto" w:fill="auto"/>
            <w:vAlign w:val="center"/>
          </w:tcPr>
          <w:p w:rsidRPr="00AE1B2B" w:rsidR="009D3FB5" w:rsidP="00163B94" w:rsidRDefault="009D3FB5" w14:paraId="28AEBD71" w14:textId="77777777">
            <w:pPr>
              <w:spacing w:before="120" w:after="120"/>
              <w:jc w:val="center"/>
              <w:rPr>
                <w:rFonts w:ascii="Times New Roman" w:hAnsi="Times New Roman" w:cs="Times New Roman"/>
                <w:b/>
                <w:i/>
              </w:rPr>
            </w:pPr>
            <w:r w:rsidRPr="00AE1B2B">
              <w:rPr>
                <w:rFonts w:ascii="Times New Roman" w:hAnsi="Times New Roman" w:cs="Times New Roman"/>
                <w:b/>
                <w:i/>
              </w:rPr>
              <w:t>Apéndice 10</w:t>
            </w:r>
          </w:p>
        </w:tc>
        <w:tc>
          <w:tcPr>
            <w:tcW w:w="2286" w:type="pct"/>
            <w:shd w:val="clear" w:color="auto" w:fill="auto"/>
            <w:vAlign w:val="center"/>
          </w:tcPr>
          <w:p w:rsidRPr="00AE1B2B" w:rsidR="009D3FB5" w:rsidP="00163B94" w:rsidRDefault="009D3FB5" w14:paraId="52A6648D" w14:textId="77777777">
            <w:pPr>
              <w:spacing w:before="120" w:after="120"/>
              <w:jc w:val="center"/>
              <w:rPr>
                <w:rFonts w:ascii="Times New Roman" w:hAnsi="Times New Roman" w:cs="Times New Roman"/>
                <w:szCs w:val="20"/>
              </w:rPr>
            </w:pPr>
            <w:r w:rsidRPr="00AE1B2B">
              <w:rPr>
                <w:rFonts w:ascii="Times New Roman" w:hAnsi="Times New Roman" w:cs="Times New Roman"/>
                <w:szCs w:val="20"/>
              </w:rPr>
              <w:t>Consulta a coordinación agraria</w:t>
            </w:r>
          </w:p>
        </w:tc>
        <w:tc>
          <w:tcPr>
            <w:tcW w:w="1843" w:type="pct"/>
            <w:shd w:val="clear" w:color="auto" w:fill="auto"/>
            <w:vAlign w:val="center"/>
          </w:tcPr>
          <w:p w:rsidRPr="00AE1B2B" w:rsidR="009D3FB5" w:rsidP="00163B94" w:rsidRDefault="009D3FB5" w14:paraId="546C6085" w14:textId="77777777">
            <w:pPr>
              <w:spacing w:before="120" w:after="120"/>
              <w:jc w:val="center"/>
              <w:rPr>
                <w:rFonts w:ascii="Times New Roman" w:hAnsi="Times New Roman" w:cs="Times New Roman"/>
              </w:rPr>
            </w:pPr>
            <w:r w:rsidRPr="00AE1B2B">
              <w:rPr>
                <w:rFonts w:ascii="Times New Roman" w:hAnsi="Times New Roman" w:cs="Times New Roman"/>
              </w:rPr>
              <w:object w:dxaOrig="1508" w:dyaOrig="983" w14:anchorId="69AC234C">
                <v:shape id="_x0000_i1056" style="width:1in;height:51.95pt" o:ole="" type="#_x0000_t75">
                  <v:imagedata o:title="" r:id="rId215"/>
                </v:shape>
                <o:OLEObject Type="Embed" ProgID="Package" ShapeID="_x0000_i1056" DrawAspect="Icon" ObjectID="_1681900486" r:id="rId216"/>
              </w:object>
            </w:r>
          </w:p>
        </w:tc>
      </w:tr>
    </w:tbl>
    <w:p w:rsidRPr="00AE1B2B" w:rsidR="009D3FB5" w:rsidP="00163B94" w:rsidRDefault="009D3FB5" w14:paraId="4043D0F6" w14:textId="77777777">
      <w:pPr>
        <w:spacing w:before="120" w:after="120"/>
        <w:rPr>
          <w:rFonts w:ascii="Times New Roman" w:hAnsi="Times New Roman" w:cs="Times New Roman"/>
        </w:rPr>
      </w:pPr>
    </w:p>
    <w:p w:rsidRPr="00AE1B2B" w:rsidR="009D3FB5" w:rsidP="00163B94" w:rsidRDefault="009D3FB5" w14:paraId="04B44629" w14:textId="77777777">
      <w:pPr>
        <w:spacing w:before="120" w:after="120"/>
        <w:rPr>
          <w:rFonts w:ascii="Times New Roman" w:hAnsi="Times New Roman" w:cs="Times New Roman"/>
        </w:rPr>
      </w:pPr>
    </w:p>
    <w:tbl>
      <w:tblPr>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826"/>
        <w:gridCol w:w="6889"/>
      </w:tblGrid>
      <w:tr w:rsidRPr="00AE1B2B" w:rsidR="00AE1B2B" w:rsidTr="009D3FB5" w14:paraId="43D6A4CC" w14:textId="77777777">
        <w:tc>
          <w:tcPr>
            <w:tcW w:w="1838" w:type="dxa"/>
            <w:shd w:val="clear" w:color="auto" w:fill="auto"/>
            <w:vAlign w:val="center"/>
          </w:tcPr>
          <w:p w:rsidRPr="00AE1B2B" w:rsidR="009D3FB5" w:rsidP="00163B94" w:rsidRDefault="009D3FB5" w14:paraId="12F44FBD" w14:textId="77777777">
            <w:pPr>
              <w:spacing w:before="120" w:after="120" w:line="276" w:lineRule="auto"/>
              <w:rPr>
                <w:rFonts w:ascii="Times New Roman" w:hAnsi="Times New Roman" w:cs="Times New Roman"/>
                <w:szCs w:val="24"/>
              </w:rPr>
            </w:pPr>
            <w:r w:rsidRPr="00AE1B2B">
              <w:rPr>
                <w:rFonts w:ascii="Times New Roman" w:hAnsi="Times New Roman" w:cs="Times New Roman"/>
                <w:szCs w:val="24"/>
              </w:rPr>
              <w:t xml:space="preserve">Elaborado </w:t>
            </w:r>
          </w:p>
        </w:tc>
        <w:tc>
          <w:tcPr>
            <w:tcW w:w="6990" w:type="dxa"/>
            <w:shd w:val="clear" w:color="auto" w:fill="auto"/>
            <w:vAlign w:val="center"/>
          </w:tcPr>
          <w:p w:rsidRPr="00AE1B2B" w:rsidR="009D3FB5" w:rsidP="00163B94" w:rsidRDefault="009D3FB5" w14:paraId="41A3CC05" w14:textId="77777777">
            <w:pPr>
              <w:spacing w:before="120" w:after="120" w:line="276" w:lineRule="auto"/>
              <w:rPr>
                <w:rFonts w:ascii="Times New Roman" w:hAnsi="Times New Roman" w:cs="Times New Roman"/>
                <w:szCs w:val="24"/>
              </w:rPr>
            </w:pPr>
            <w:r w:rsidRPr="00AE1B2B">
              <w:rPr>
                <w:rFonts w:ascii="Times New Roman" w:hAnsi="Times New Roman" w:cs="Times New Roman"/>
                <w:szCs w:val="24"/>
              </w:rPr>
              <w:t>Inga. Hazel Calderón Mata , Profesional 2 a.i.</w:t>
            </w:r>
          </w:p>
        </w:tc>
      </w:tr>
      <w:tr w:rsidRPr="00AE1B2B" w:rsidR="00AE1B2B" w:rsidTr="009D3FB5" w14:paraId="1AAF8A43" w14:textId="77777777">
        <w:tc>
          <w:tcPr>
            <w:tcW w:w="1838" w:type="dxa"/>
            <w:shd w:val="clear" w:color="auto" w:fill="auto"/>
            <w:vAlign w:val="center"/>
          </w:tcPr>
          <w:p w:rsidRPr="00AE1B2B" w:rsidR="009D3FB5" w:rsidP="00163B94" w:rsidRDefault="009D3FB5" w14:paraId="1C7CFCCE" w14:textId="77777777">
            <w:pPr>
              <w:spacing w:before="120" w:after="120" w:line="276" w:lineRule="auto"/>
              <w:rPr>
                <w:rFonts w:ascii="Times New Roman" w:hAnsi="Times New Roman" w:cs="Times New Roman"/>
                <w:szCs w:val="24"/>
              </w:rPr>
            </w:pPr>
            <w:r w:rsidRPr="00AE1B2B">
              <w:rPr>
                <w:rFonts w:ascii="Times New Roman" w:hAnsi="Times New Roman" w:cs="Times New Roman"/>
                <w:szCs w:val="24"/>
              </w:rPr>
              <w:t xml:space="preserve">Revisado </w:t>
            </w:r>
          </w:p>
        </w:tc>
        <w:tc>
          <w:tcPr>
            <w:tcW w:w="6990" w:type="dxa"/>
            <w:shd w:val="clear" w:color="auto" w:fill="auto"/>
            <w:vAlign w:val="center"/>
          </w:tcPr>
          <w:p w:rsidRPr="00AE1B2B" w:rsidR="009D3FB5" w:rsidP="00163B94" w:rsidRDefault="009D3FB5" w14:paraId="01FB2463" w14:textId="77777777">
            <w:pPr>
              <w:spacing w:before="120" w:after="120" w:line="276" w:lineRule="auto"/>
              <w:rPr>
                <w:rFonts w:ascii="Times New Roman" w:hAnsi="Times New Roman" w:cs="Times New Roman"/>
                <w:szCs w:val="24"/>
              </w:rPr>
            </w:pPr>
            <w:r w:rsidRPr="00AE1B2B">
              <w:rPr>
                <w:rFonts w:ascii="Times New Roman" w:hAnsi="Times New Roman" w:cs="Times New Roman"/>
                <w:szCs w:val="24"/>
              </w:rPr>
              <w:t>Ing. Jorge Fernando Rodríguez Salazar, Jefe a.i. del Subproceso de Modernización Institucional</w:t>
            </w:r>
          </w:p>
        </w:tc>
      </w:tr>
      <w:tr w:rsidRPr="00AE1B2B" w:rsidR="00AE1B2B" w:rsidTr="009D3FB5" w14:paraId="55E0DB32" w14:textId="77777777">
        <w:tc>
          <w:tcPr>
            <w:tcW w:w="1838" w:type="dxa"/>
            <w:shd w:val="clear" w:color="auto" w:fill="auto"/>
            <w:vAlign w:val="center"/>
          </w:tcPr>
          <w:p w:rsidRPr="00AE1B2B" w:rsidR="009D3FB5" w:rsidP="00163B94" w:rsidRDefault="009D3FB5" w14:paraId="5B57EAD5" w14:textId="77777777">
            <w:pPr>
              <w:spacing w:before="120" w:after="120" w:line="276" w:lineRule="auto"/>
              <w:rPr>
                <w:rFonts w:ascii="Times New Roman" w:hAnsi="Times New Roman" w:cs="Times New Roman"/>
                <w:szCs w:val="24"/>
              </w:rPr>
            </w:pPr>
            <w:r w:rsidRPr="00AE1B2B">
              <w:rPr>
                <w:rFonts w:ascii="Times New Roman" w:hAnsi="Times New Roman" w:cs="Times New Roman"/>
                <w:szCs w:val="24"/>
              </w:rPr>
              <w:t>Aprobado</w:t>
            </w:r>
          </w:p>
        </w:tc>
        <w:tc>
          <w:tcPr>
            <w:tcW w:w="6990" w:type="dxa"/>
            <w:shd w:val="clear" w:color="auto" w:fill="auto"/>
            <w:vAlign w:val="center"/>
          </w:tcPr>
          <w:p w:rsidRPr="00AE1B2B" w:rsidR="009D3FB5" w:rsidP="00163B94" w:rsidRDefault="009D3FB5" w14:paraId="56D8CA97" w14:textId="77777777">
            <w:pPr>
              <w:spacing w:before="120" w:after="120" w:line="276" w:lineRule="auto"/>
              <w:rPr>
                <w:rFonts w:ascii="Times New Roman" w:hAnsi="Times New Roman" w:cs="Times New Roman"/>
                <w:szCs w:val="24"/>
              </w:rPr>
            </w:pPr>
            <w:r w:rsidRPr="00AE1B2B">
              <w:rPr>
                <w:rFonts w:ascii="Times New Roman" w:hAnsi="Times New Roman" w:cs="Times New Roman"/>
                <w:szCs w:val="24"/>
              </w:rPr>
              <w:t>Ing. Dixon Li Morales, Jefe a.i. del Proceso de Ejecución de las Operaciones</w:t>
            </w:r>
          </w:p>
        </w:tc>
      </w:tr>
      <w:tr w:rsidRPr="00AE1B2B" w:rsidR="00AE1B2B" w:rsidTr="009D3FB5" w14:paraId="2CBC5706" w14:textId="77777777">
        <w:tc>
          <w:tcPr>
            <w:tcW w:w="1838" w:type="dxa"/>
            <w:shd w:val="clear" w:color="auto" w:fill="auto"/>
            <w:vAlign w:val="center"/>
          </w:tcPr>
          <w:p w:rsidRPr="00AE1B2B" w:rsidR="009D3FB5" w:rsidP="00163B94" w:rsidRDefault="009D3FB5" w14:paraId="2E45ECEC" w14:textId="77777777">
            <w:pPr>
              <w:spacing w:before="120" w:after="120" w:line="276" w:lineRule="auto"/>
              <w:rPr>
                <w:rFonts w:ascii="Times New Roman" w:hAnsi="Times New Roman" w:cs="Times New Roman"/>
                <w:szCs w:val="24"/>
              </w:rPr>
            </w:pPr>
            <w:r w:rsidRPr="00AE1B2B">
              <w:rPr>
                <w:rFonts w:ascii="Times New Roman" w:hAnsi="Times New Roman" w:cs="Times New Roman"/>
                <w:szCs w:val="24"/>
              </w:rPr>
              <w:t>Autorizado</w:t>
            </w:r>
          </w:p>
        </w:tc>
        <w:tc>
          <w:tcPr>
            <w:tcW w:w="6990" w:type="dxa"/>
            <w:shd w:val="clear" w:color="auto" w:fill="auto"/>
            <w:vAlign w:val="center"/>
          </w:tcPr>
          <w:p w:rsidRPr="00AE1B2B" w:rsidR="009D3FB5" w:rsidP="00163B94" w:rsidRDefault="009D3FB5" w14:paraId="4B9EF8D1" w14:textId="77777777">
            <w:pPr>
              <w:spacing w:before="120" w:after="120" w:line="276" w:lineRule="auto"/>
              <w:rPr>
                <w:rFonts w:ascii="Times New Roman" w:hAnsi="Times New Roman" w:cs="Times New Roman"/>
                <w:szCs w:val="24"/>
              </w:rPr>
            </w:pPr>
            <w:r w:rsidRPr="00AE1B2B">
              <w:rPr>
                <w:rFonts w:ascii="Times New Roman" w:hAnsi="Times New Roman" w:cs="Times New Roman"/>
                <w:szCs w:val="24"/>
              </w:rPr>
              <w:t>Licda. Nacira Valverde Bermúdez, Directora de Planificación</w:t>
            </w:r>
          </w:p>
        </w:tc>
      </w:tr>
    </w:tbl>
    <w:p w:rsidRPr="00AE1B2B" w:rsidR="009D3FB5" w:rsidP="00163B94" w:rsidRDefault="009D3FB5" w14:paraId="506346A3" w14:textId="77777777">
      <w:pPr>
        <w:spacing w:before="120" w:after="120"/>
        <w:ind w:left="851" w:right="851" w:firstLine="709"/>
        <w:rPr>
          <w:rFonts w:ascii="Times New Roman" w:hAnsi="Times New Roman" w:cs="Times New Roman"/>
        </w:rPr>
      </w:pPr>
      <w:r w:rsidRPr="00AE1B2B">
        <w:rPr>
          <w:rFonts w:ascii="Times New Roman" w:hAnsi="Times New Roman" w:cs="Times New Roman"/>
        </w:rPr>
        <w:t>rqp</w:t>
      </w:r>
    </w:p>
    <w:p w:rsidRPr="00AE1B2B" w:rsidR="009D3FB5" w:rsidP="00163B94" w:rsidRDefault="009D3FB5" w14:paraId="0B99C3AB" w14:textId="77777777">
      <w:pPr>
        <w:spacing w:before="120" w:after="120"/>
        <w:ind w:left="851" w:right="851" w:firstLine="709"/>
        <w:rPr>
          <w:rFonts w:ascii="Times New Roman" w:hAnsi="Times New Roman" w:cs="Times New Roman"/>
        </w:rPr>
      </w:pPr>
      <w:r w:rsidRPr="00AE1B2B">
        <w:rPr>
          <w:rFonts w:ascii="Times New Roman" w:hAnsi="Times New Roman" w:cs="Times New Roman"/>
        </w:rPr>
        <w:t>Ref.</w:t>
      </w:r>
      <w:r w:rsidRPr="00AE1B2B">
        <w:rPr>
          <w:rFonts w:ascii="Times New Roman" w:hAnsi="Times New Roman" w:cs="Times New Roman"/>
          <w:b/>
          <w:bCs/>
        </w:rPr>
        <w:t>292-2021</w:t>
      </w:r>
      <w:r w:rsidRPr="00AE1B2B">
        <w:rPr>
          <w:rFonts w:ascii="Times New Roman" w:hAnsi="Times New Roman" w:cs="Times New Roman"/>
        </w:rPr>
        <w:t>, 1610-18, 1692-18, 1859-18, 150-19, 384-19,760-19, 225-20, 1552-20,341-21</w:t>
      </w:r>
    </w:p>
    <w:p w:rsidRPr="00AE1B2B" w:rsidR="009D3FB5" w:rsidP="00163B94" w:rsidRDefault="009D3FB5" w14:paraId="24F4328B" w14:textId="77777777">
      <w:pPr>
        <w:spacing w:before="120" w:after="120"/>
        <w:rPr>
          <w:rFonts w:ascii="Times New Roman" w:hAnsi="Times New Roman" w:cs="Times New Roman"/>
        </w:rPr>
      </w:pPr>
    </w:p>
    <w:p w:rsidRPr="00AE1B2B" w:rsidR="009D3FB5" w:rsidP="00163B94" w:rsidRDefault="009D3FB5" w14:paraId="4743B38C" w14:textId="77777777">
      <w:pPr>
        <w:spacing w:before="120" w:after="120" w:line="360" w:lineRule="auto"/>
        <w:rPr>
          <w:rFonts w:ascii="Times New Roman" w:hAnsi="Times New Roman" w:cs="Times New Roman"/>
          <w:b/>
          <w:bCs/>
        </w:rPr>
      </w:pPr>
    </w:p>
    <w:p w:rsidRPr="00AE1B2B" w:rsidR="000458B6" w:rsidP="00163B94" w:rsidRDefault="000458B6" w14:paraId="65761C3D" w14:textId="77777777">
      <w:pPr>
        <w:spacing w:before="120" w:after="120" w:line="480" w:lineRule="auto"/>
        <w:jc w:val="center"/>
        <w:rPr>
          <w:rFonts w:ascii="Times New Roman" w:hAnsi="Times New Roman"/>
          <w:bCs/>
          <w:sz w:val="28"/>
          <w:szCs w:val="28"/>
          <w:lang w:val="es-ES"/>
        </w:rPr>
      </w:pPr>
      <w:r w:rsidRPr="00AE1B2B">
        <w:rPr>
          <w:rFonts w:ascii="Times New Roman" w:hAnsi="Times New Roman"/>
          <w:bCs/>
          <w:spacing w:val="2"/>
          <w:sz w:val="28"/>
          <w:szCs w:val="28"/>
          <w:lang w:val="es-ES"/>
        </w:rPr>
        <w:t>- 0 -</w:t>
      </w:r>
    </w:p>
    <w:p w:rsidRPr="00AE1B2B" w:rsidR="009D3FB5" w:rsidP="00163B94" w:rsidRDefault="009D3FB5" w14:paraId="0B4BCC6B" w14:textId="0527B8DC">
      <w:pPr>
        <w:spacing w:before="120" w:after="120" w:line="480" w:lineRule="auto"/>
        <w:ind w:firstLine="709"/>
        <w:jc w:val="both"/>
        <w:rPr>
          <w:rFonts w:ascii="Times New Roman" w:hAnsi="Times New Roman" w:eastAsia="Arial" w:cs="Times New Roman"/>
          <w:sz w:val="28"/>
          <w:szCs w:val="28"/>
        </w:rPr>
      </w:pPr>
      <w:r w:rsidRPr="00AE1B2B">
        <w:rPr>
          <w:rFonts w:ascii="Times New Roman" w:hAnsi="Times New Roman" w:cs="Times New Roman"/>
          <w:b/>
          <w:bCs/>
          <w:sz w:val="28"/>
          <w:szCs w:val="28"/>
        </w:rPr>
        <w:t>Se acordó</w:t>
      </w:r>
      <w:r w:rsidRPr="00AE1B2B">
        <w:rPr>
          <w:rFonts w:ascii="Times New Roman" w:hAnsi="Times New Roman" w:cs="Times New Roman"/>
          <w:sz w:val="28"/>
          <w:szCs w:val="28"/>
        </w:rPr>
        <w:t xml:space="preserve">: </w:t>
      </w:r>
      <w:r w:rsidRPr="00AE1B2B">
        <w:rPr>
          <w:rFonts w:ascii="Times New Roman" w:hAnsi="Times New Roman" w:cs="Times New Roman"/>
          <w:b/>
          <w:bCs/>
          <w:sz w:val="28"/>
          <w:szCs w:val="28"/>
        </w:rPr>
        <w:t>1)</w:t>
      </w:r>
      <w:r w:rsidRPr="00AE1B2B">
        <w:rPr>
          <w:rFonts w:ascii="Times New Roman" w:hAnsi="Times New Roman" w:cs="Times New Roman"/>
          <w:sz w:val="28"/>
          <w:szCs w:val="28"/>
        </w:rPr>
        <w:t xml:space="preserve"> Aprobar el Informe 383-PLA-RH-MI-2021 y sus recomendaciones, estudio de Requerimiento Humano sobre el Impacto organizacional y presupuestario en el Poder Judicial, (Defensa Pública) a partir de la promulgación de la Ley 9593 de Acceso a la Justicia de los Pueblos Indígenas.</w:t>
      </w:r>
      <w:r w:rsidRPr="00AE1B2B" w:rsidR="00BB7720">
        <w:rPr>
          <w:rFonts w:ascii="Times New Roman" w:hAnsi="Times New Roman" w:cs="Times New Roman"/>
          <w:sz w:val="28"/>
          <w:szCs w:val="28"/>
        </w:rPr>
        <w:t xml:space="preserve"> </w:t>
      </w:r>
      <w:r w:rsidRPr="00AE1B2B">
        <w:rPr>
          <w:rFonts w:ascii="Times New Roman" w:hAnsi="Times New Roman" w:cs="Times New Roman"/>
          <w:sz w:val="28"/>
          <w:szCs w:val="28"/>
        </w:rPr>
        <w:t xml:space="preserve">Lo anterior en el entendido que en el informe se plantean dos escenarios: en el primero, con la necesidad de crear dos plazas de Defensor </w:t>
      </w:r>
      <w:r w:rsidRPr="00AE1B2B">
        <w:rPr>
          <w:rFonts w:ascii="Times New Roman" w:hAnsi="Times New Roman" w:cs="Times New Roman"/>
          <w:sz w:val="28"/>
          <w:szCs w:val="28"/>
        </w:rPr>
        <w:lastRenderedPageBreak/>
        <w:t xml:space="preserve">Público de manera ordinaria para Buenos Aires y Bribri, y de forma complementaria, en el segundo escenario, se describe el avance que se ha logrado en la redistribución de recurso humano como producto del proyecto de la Mejora Integral del Proceso Penal, con el cual </w:t>
      </w:r>
      <w:r w:rsidRPr="00AE1B2B">
        <w:rPr>
          <w:rFonts w:ascii="Times New Roman" w:hAnsi="Times New Roman" w:eastAsia="Arial" w:cs="Times New Roman"/>
          <w:sz w:val="28"/>
          <w:szCs w:val="28"/>
        </w:rPr>
        <w:t>se plantea la posibilidad de movilizar plazas de Defensora o Defensor Público, con el propósito de suplir la necesidad de personal para la atención de personas usuarias indígenas en la Defensa Pública de Bribri y Buenos Aires, a partir de la promulgación de la Ley 9593 de Acceso a la Justicia de los Pueblos Indígenas. Lo anterior en el entendido que una posible movilización de recursos dependerá meramente de los estudios técnicos realizados y de una priorización según las necesidades institucionales previamente detectadas, lo cual será de valoración por el Consejo Superior, una vez que ingresen los acuerdos a conocimiento.</w:t>
      </w:r>
      <w:r w:rsidRPr="00AE1B2B" w:rsidR="00BB7720">
        <w:rPr>
          <w:rFonts w:ascii="Times New Roman" w:hAnsi="Times New Roman" w:eastAsia="Arial" w:cs="Times New Roman"/>
          <w:sz w:val="28"/>
          <w:szCs w:val="28"/>
        </w:rPr>
        <w:t xml:space="preserve"> </w:t>
      </w:r>
      <w:r w:rsidRPr="00AE1B2B">
        <w:rPr>
          <w:rFonts w:ascii="Times New Roman" w:hAnsi="Times New Roman" w:cs="Times New Roman"/>
          <w:b/>
          <w:bCs/>
          <w:sz w:val="28"/>
          <w:szCs w:val="28"/>
        </w:rPr>
        <w:t>2)</w:t>
      </w:r>
      <w:r w:rsidRPr="00AE1B2B">
        <w:rPr>
          <w:rFonts w:ascii="Times New Roman" w:hAnsi="Times New Roman" w:cs="Times New Roman"/>
          <w:sz w:val="28"/>
          <w:szCs w:val="28"/>
        </w:rPr>
        <w:t xml:space="preserve"> El contenido económico requerido en el escenario uno,</w:t>
      </w:r>
      <w:r w:rsidRPr="00AE1B2B" w:rsidR="00BB7720">
        <w:rPr>
          <w:rFonts w:ascii="Times New Roman" w:hAnsi="Times New Roman" w:cs="Times New Roman"/>
          <w:sz w:val="28"/>
          <w:szCs w:val="28"/>
        </w:rPr>
        <w:t xml:space="preserve"> </w:t>
      </w:r>
      <w:r w:rsidRPr="00AE1B2B">
        <w:rPr>
          <w:rFonts w:ascii="Times New Roman" w:hAnsi="Times New Roman" w:cs="Times New Roman"/>
          <w:sz w:val="28"/>
          <w:szCs w:val="28"/>
        </w:rPr>
        <w:t>se remitirá de forma independiente al presupuesto ordinario ya que responde a una necesidad producto de una ley especial.</w:t>
      </w:r>
      <w:r w:rsidRPr="00AE1B2B" w:rsidR="00BB7720">
        <w:rPr>
          <w:rFonts w:ascii="Times New Roman" w:hAnsi="Times New Roman" w:cs="Times New Roman"/>
          <w:sz w:val="28"/>
          <w:szCs w:val="28"/>
        </w:rPr>
        <w:t xml:space="preserve"> </w:t>
      </w:r>
      <w:r w:rsidRPr="00AE1B2B" w:rsidR="000458B6">
        <w:rPr>
          <w:rFonts w:ascii="Times New Roman" w:hAnsi="Times New Roman" w:cs="Times New Roman"/>
          <w:b/>
          <w:bCs/>
          <w:sz w:val="28"/>
          <w:szCs w:val="28"/>
        </w:rPr>
        <w:t>Se declara acuerdo firme</w:t>
      </w:r>
      <w:r w:rsidRPr="00AE1B2B" w:rsidR="000458B6">
        <w:rPr>
          <w:rFonts w:ascii="Times New Roman" w:hAnsi="Times New Roman" w:cs="Times New Roman"/>
          <w:sz w:val="28"/>
          <w:szCs w:val="28"/>
        </w:rPr>
        <w:t>.</w:t>
      </w:r>
    </w:p>
    <w:p w:rsidRPr="00AE1B2B" w:rsidR="009D3FB5" w:rsidP="00163B94" w:rsidRDefault="009D3FB5" w14:paraId="2A0574CF" w14:textId="77777777">
      <w:pPr>
        <w:pStyle w:val="Ttulo1"/>
        <w:spacing w:before="120" w:after="120" w:line="360" w:lineRule="auto"/>
        <w:jc w:val="center"/>
        <w:rPr>
          <w:rFonts w:ascii="Times New Roman" w:hAnsi="Times New Roman" w:eastAsia="Times New Roman" w:cs="Times New Roman"/>
          <w:b/>
          <w:bCs/>
          <w:kern w:val="36"/>
          <w:u w:val="single"/>
        </w:rPr>
      </w:pPr>
      <w:r w:rsidRPr="00AE1B2B">
        <w:rPr>
          <w:rFonts w:ascii="Times New Roman" w:hAnsi="Times New Roman" w:eastAsia="Times New Roman" w:cs="Times New Roman"/>
          <w:b/>
          <w:bCs/>
          <w:kern w:val="36"/>
          <w:sz w:val="32"/>
          <w:szCs w:val="32"/>
          <w:u w:val="single"/>
        </w:rPr>
        <w:t>ARTÍCULO XX</w:t>
      </w:r>
    </w:p>
    <w:p w:rsidRPr="00AE1B2B" w:rsidR="00580F94" w:rsidP="00163B94" w:rsidRDefault="00580F94" w14:paraId="482BF523" w14:textId="18B5D64D">
      <w:pPr>
        <w:spacing w:before="120" w:after="120"/>
        <w:rPr>
          <w:rFonts w:ascii="Times New Roman" w:hAnsi="Times New Roman" w:cs="Times New Roman"/>
          <w:b/>
          <w:bCs/>
          <w:sz w:val="28"/>
          <w:szCs w:val="28"/>
        </w:rPr>
      </w:pPr>
      <w:r w:rsidRPr="00AE1B2B">
        <w:rPr>
          <w:rFonts w:ascii="Times New Roman" w:hAnsi="Times New Roman" w:cs="Times New Roman"/>
          <w:b/>
          <w:bCs/>
          <w:sz w:val="28"/>
          <w:szCs w:val="28"/>
        </w:rPr>
        <w:t>Documento</w:t>
      </w:r>
      <w:r w:rsidRPr="00AE1B2B" w:rsidR="003527C8">
        <w:rPr>
          <w:rFonts w:ascii="Times New Roman" w:hAnsi="Times New Roman" w:cs="Times New Roman"/>
          <w:b/>
          <w:bCs/>
          <w:sz w:val="28"/>
          <w:szCs w:val="28"/>
        </w:rPr>
        <w:t xml:space="preserve"> </w:t>
      </w:r>
      <w:r w:rsidRPr="00AE1B2B" w:rsidR="000458B6">
        <w:rPr>
          <w:rFonts w:ascii="Times New Roman" w:hAnsi="Times New Roman" w:cs="Times New Roman"/>
          <w:b/>
          <w:bCs/>
          <w:sz w:val="28"/>
          <w:szCs w:val="28"/>
        </w:rPr>
        <w:t xml:space="preserve">N° </w:t>
      </w:r>
      <w:r w:rsidRPr="00AE1B2B" w:rsidR="003527C8">
        <w:rPr>
          <w:rFonts w:ascii="Times New Roman" w:hAnsi="Times New Roman" w:cs="Times New Roman"/>
          <w:b/>
          <w:bCs/>
          <w:sz w:val="28"/>
          <w:szCs w:val="28"/>
        </w:rPr>
        <w:t>3970-2021</w:t>
      </w:r>
    </w:p>
    <w:p w:rsidRPr="00AE1B2B" w:rsidR="00580F94" w:rsidP="00163B94" w:rsidRDefault="00580F94" w14:paraId="123CDB8F" w14:textId="77777777">
      <w:pPr>
        <w:spacing w:before="120" w:after="120" w:line="276" w:lineRule="auto"/>
        <w:ind w:firstLine="708"/>
        <w:jc w:val="both"/>
        <w:rPr>
          <w:rFonts w:ascii="Times New Roman" w:hAnsi="Times New Roman" w:cs="Times New Roman"/>
          <w:b/>
          <w:sz w:val="28"/>
          <w:szCs w:val="28"/>
        </w:rPr>
      </w:pPr>
    </w:p>
    <w:p w:rsidRPr="00AE1B2B" w:rsidR="009D3FB5" w:rsidP="00163B94" w:rsidRDefault="009D3FB5" w14:paraId="26EC5653" w14:textId="0C95D629">
      <w:pPr>
        <w:spacing w:before="120" w:after="120" w:line="480" w:lineRule="auto"/>
        <w:ind w:firstLine="709"/>
        <w:jc w:val="both"/>
        <w:rPr>
          <w:rFonts w:ascii="Times New Roman" w:hAnsi="Times New Roman" w:cs="Times New Roman"/>
          <w:sz w:val="28"/>
          <w:szCs w:val="28"/>
        </w:rPr>
      </w:pPr>
      <w:r w:rsidRPr="00AE1B2B">
        <w:rPr>
          <w:rFonts w:ascii="Times New Roman" w:hAnsi="Times New Roman" w:cs="Times New Roman"/>
          <w:sz w:val="28"/>
          <w:szCs w:val="28"/>
        </w:rPr>
        <w:t>En reunión de trabajo de este 16 de abril, la licenciada Nacira Valverde Bermúdez,</w:t>
      </w:r>
      <w:r w:rsidRPr="00AE1B2B">
        <w:rPr>
          <w:rFonts w:ascii="Times New Roman" w:hAnsi="Times New Roman" w:cs="Times New Roman"/>
          <w:sz w:val="28"/>
          <w:szCs w:val="28"/>
          <w:shd w:val="clear" w:color="auto" w:fill="FFFFFF"/>
        </w:rPr>
        <w:t xml:space="preserve"> </w:t>
      </w:r>
      <w:r w:rsidRPr="00AE1B2B">
        <w:rPr>
          <w:rFonts w:ascii="Times New Roman" w:hAnsi="Times New Roman" w:cs="Times New Roman"/>
          <w:sz w:val="28"/>
          <w:szCs w:val="28"/>
        </w:rPr>
        <w:t xml:space="preserve">Directora de Planificación presentó el Informe 389-PLA-RH-MI-2021, estudio de Requerimiento Humano sobre el Impacto organizacional y </w:t>
      </w:r>
      <w:r w:rsidRPr="00AE1B2B">
        <w:rPr>
          <w:rFonts w:ascii="Times New Roman" w:hAnsi="Times New Roman" w:cs="Times New Roman"/>
          <w:sz w:val="28"/>
          <w:szCs w:val="28"/>
        </w:rPr>
        <w:lastRenderedPageBreak/>
        <w:t>presupuestario en el Poder Judicial a partir de la promulgación del Código Procesal de Familia para el 2022.</w:t>
      </w:r>
    </w:p>
    <w:p w:rsidRPr="00AE1B2B" w:rsidR="009D3FB5" w:rsidP="00163B94" w:rsidRDefault="009D3FB5" w14:paraId="383BEC84"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Antecedentes</w:t>
      </w:r>
    </w:p>
    <w:p w:rsidRPr="00AE1B2B" w:rsidR="009D3FB5" w:rsidP="00163B94" w:rsidRDefault="009D3FB5" w14:paraId="6DED4B22"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eastAsia="zh-CN"/>
        </w:rPr>
      </w:pPr>
      <w:bookmarkStart w:name="_Hlk7170525" w:id="54"/>
    </w:p>
    <w:bookmarkEnd w:id="54"/>
    <w:p w:rsidRPr="00AE1B2B" w:rsidR="009D3FB5" w:rsidP="00163B94" w:rsidRDefault="009D3FB5" w14:paraId="4368469F" w14:textId="66ACEDCA">
      <w:pPr>
        <w:widowControl w:val="0"/>
        <w:suppressAutoHyphens/>
        <w:autoSpaceDE w:val="0"/>
        <w:autoSpaceDN w:val="0"/>
        <w:adjustRightInd w:val="0"/>
        <w:spacing w:before="120" w:after="120"/>
        <w:ind w:left="851" w:right="851" w:firstLine="709"/>
        <w:jc w:val="both"/>
        <w:rPr>
          <w:rFonts w:ascii="Times New Roman" w:hAnsi="Times New Roman" w:cs="Times New Roman"/>
          <w:iCs/>
          <w:spacing w:val="-3"/>
          <w:sz w:val="26"/>
          <w:szCs w:val="26"/>
        </w:rPr>
      </w:pPr>
      <w:r w:rsidRPr="00AE1B2B">
        <w:rPr>
          <w:rFonts w:ascii="Times New Roman" w:hAnsi="Times New Roman" w:cs="Times New Roman"/>
          <w:sz w:val="26"/>
          <w:szCs w:val="26"/>
          <w:lang w:eastAsia="zh-CN"/>
        </w:rPr>
        <w:t>El “</w:t>
      </w:r>
      <w:r w:rsidRPr="00AE1B2B">
        <w:rPr>
          <w:rFonts w:ascii="Times New Roman" w:hAnsi="Times New Roman" w:cs="Times New Roman"/>
          <w:i/>
          <w:iCs/>
          <w:sz w:val="26"/>
          <w:szCs w:val="26"/>
          <w:lang w:eastAsia="zh-CN"/>
        </w:rPr>
        <w:t>Código Procesal de Familia”</w:t>
      </w:r>
      <w:r w:rsidRPr="00AE1B2B">
        <w:rPr>
          <w:rFonts w:ascii="Times New Roman" w:hAnsi="Times New Roman" w:cs="Times New Roman"/>
          <w:sz w:val="26"/>
          <w:szCs w:val="26"/>
          <w:lang w:eastAsia="zh-CN"/>
        </w:rPr>
        <w:t xml:space="preserve"> fue aprobado bajo Decreto Legislativo 9747 el 12 de febrero del 2020, según alcance 19 del Diario Oficial La Gaceta 28 del 23 de octubre de 2019 y rige a partir del </w:t>
      </w:r>
      <w:r w:rsidRPr="00AE1B2B">
        <w:rPr>
          <w:rFonts w:ascii="Times New Roman" w:hAnsi="Times New Roman" w:cs="Times New Roman"/>
          <w:b/>
          <w:bCs/>
          <w:i/>
          <w:iCs/>
          <w:sz w:val="26"/>
          <w:szCs w:val="26"/>
          <w:lang w:eastAsia="zh-CN"/>
        </w:rPr>
        <w:t>1 de octubre de 2022</w:t>
      </w:r>
      <w:r w:rsidRPr="00AE1B2B">
        <w:rPr>
          <w:rFonts w:ascii="Times New Roman" w:hAnsi="Times New Roman" w:cs="Times New Roman"/>
          <w:sz w:val="26"/>
          <w:szCs w:val="26"/>
          <w:lang w:eastAsia="zh-CN"/>
        </w:rPr>
        <w:t xml:space="preserve"> de conformidad con la vacancia de 2 años aprobada por la Asamblea Legislativa, Ley 9904, publicada</w:t>
      </w:r>
      <w:r w:rsidRPr="00AE1B2B">
        <w:rPr>
          <w:rFonts w:ascii="Times New Roman" w:hAnsi="Times New Roman" w:cs="Times New Roman"/>
          <w:iCs/>
          <w:spacing w:val="-3"/>
          <w:sz w:val="26"/>
          <w:szCs w:val="26"/>
        </w:rPr>
        <w:t xml:space="preserve"> el 29 de setiembre del 2020 en el Diario Oficial La Gaceta 239,</w:t>
      </w:r>
      <w:r w:rsidRPr="00AE1B2B" w:rsidR="00BB7720">
        <w:rPr>
          <w:rFonts w:ascii="Times New Roman" w:hAnsi="Times New Roman" w:cs="Times New Roman"/>
          <w:iCs/>
          <w:spacing w:val="-3"/>
          <w:sz w:val="26"/>
          <w:szCs w:val="26"/>
        </w:rPr>
        <w:t xml:space="preserve"> </w:t>
      </w:r>
      <w:r w:rsidRPr="00AE1B2B">
        <w:rPr>
          <w:rFonts w:ascii="Times New Roman" w:hAnsi="Times New Roman" w:cs="Times New Roman"/>
          <w:iCs/>
          <w:spacing w:val="-3"/>
          <w:sz w:val="26"/>
          <w:szCs w:val="26"/>
        </w:rPr>
        <w:t>alcance 257, la cual contiene un único artículo que modifica el Transitorio III de la Ley 9747 Código Procesal de Familia:</w:t>
      </w:r>
    </w:p>
    <w:p w:rsidRPr="00AE1B2B" w:rsidR="009D3FB5" w:rsidP="00163B94" w:rsidRDefault="009D3FB5" w14:paraId="126A1190" w14:textId="77777777">
      <w:pPr>
        <w:pStyle w:val="Default"/>
        <w:spacing w:before="120" w:after="120"/>
        <w:ind w:left="851" w:right="851" w:firstLine="709"/>
        <w:jc w:val="both"/>
        <w:rPr>
          <w:rFonts w:ascii="Times New Roman" w:hAnsi="Times New Roman" w:cs="Times New Roman"/>
          <w:iCs/>
          <w:color w:val="auto"/>
          <w:spacing w:val="-3"/>
          <w:sz w:val="26"/>
          <w:szCs w:val="26"/>
        </w:rPr>
      </w:pPr>
    </w:p>
    <w:p w:rsidRPr="00AE1B2B" w:rsidR="009D3FB5" w:rsidP="00163B94" w:rsidRDefault="009D3FB5" w14:paraId="0A3085F3" w14:textId="77777777">
      <w:pPr>
        <w:pStyle w:val="Default"/>
        <w:tabs>
          <w:tab w:val="left" w:pos="567"/>
        </w:tabs>
        <w:spacing w:before="120" w:after="120"/>
        <w:ind w:left="851" w:right="851" w:firstLine="709"/>
        <w:jc w:val="both"/>
        <w:rPr>
          <w:rFonts w:ascii="Times New Roman" w:hAnsi="Times New Roman" w:cs="Times New Roman"/>
          <w:i/>
          <w:color w:val="auto"/>
          <w:spacing w:val="-3"/>
          <w:sz w:val="26"/>
          <w:szCs w:val="26"/>
        </w:rPr>
      </w:pPr>
      <w:r w:rsidRPr="00AE1B2B">
        <w:rPr>
          <w:rFonts w:ascii="Times New Roman" w:hAnsi="Times New Roman" w:cs="Times New Roman"/>
          <w:i/>
          <w:color w:val="auto"/>
          <w:spacing w:val="-3"/>
          <w:sz w:val="26"/>
          <w:szCs w:val="26"/>
        </w:rPr>
        <w:t>“ARTÍCULO ÚNICO de la Ley 9904- Para que se modifique la fecha de entrada en vigencia de la Ley N°9747 Código Procesal de Familia, del 23 de octubre de 2019 y se lea de la siguiente manera:</w:t>
      </w:r>
    </w:p>
    <w:p w:rsidRPr="00AE1B2B" w:rsidR="009D3FB5" w:rsidP="00163B94" w:rsidRDefault="009D3FB5" w14:paraId="028F7D71" w14:textId="77777777">
      <w:pPr>
        <w:pStyle w:val="Default"/>
        <w:tabs>
          <w:tab w:val="left" w:pos="567"/>
        </w:tabs>
        <w:spacing w:before="120" w:after="120"/>
        <w:ind w:left="851" w:right="851" w:firstLine="709"/>
        <w:jc w:val="both"/>
        <w:rPr>
          <w:rFonts w:ascii="Times New Roman" w:hAnsi="Times New Roman" w:cs="Times New Roman"/>
          <w:i/>
          <w:color w:val="auto"/>
          <w:spacing w:val="-3"/>
          <w:sz w:val="26"/>
          <w:szCs w:val="26"/>
        </w:rPr>
      </w:pPr>
      <w:r w:rsidRPr="00AE1B2B">
        <w:rPr>
          <w:rFonts w:ascii="Times New Roman" w:hAnsi="Times New Roman" w:cs="Times New Roman"/>
          <w:i/>
          <w:color w:val="auto"/>
          <w:spacing w:val="-3"/>
          <w:sz w:val="26"/>
          <w:szCs w:val="26"/>
        </w:rPr>
        <w:t>Este Código regirá en su integridad a partir del 01 de octubre de 2022. Se mantiene en vigencia el Transitorio III, como lo dispone la Ley N°9747 Código Procesal de Familia, del 23 de octubre de 2019.”</w:t>
      </w:r>
    </w:p>
    <w:p w:rsidRPr="00AE1B2B" w:rsidR="009D3FB5" w:rsidP="00163B94" w:rsidRDefault="009D3FB5" w14:paraId="55CC1A70"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9D3FB5" w14:paraId="121F11F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continuación, se mencionan los informes o documentos utilizados como antecedentes en la confección del presente informe:</w:t>
      </w:r>
    </w:p>
    <w:p w:rsidRPr="00AE1B2B" w:rsidR="009D3FB5" w:rsidP="00163B94" w:rsidRDefault="009D3FB5" w14:paraId="4D01AC1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434BDE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Oficio 1554-PLA-2014, que remite el informe 87-PI-2014, aprobado por el Consejo Superior en la sesión 56-14 del 1 de diciembre de 2014, artículo XXXII, en el que se acordó:</w:t>
      </w:r>
    </w:p>
    <w:p w:rsidRPr="00AE1B2B" w:rsidR="009D3FB5" w:rsidP="00163B94" w:rsidRDefault="009D3FB5" w14:paraId="06656FC8" w14:textId="77777777">
      <w:pPr>
        <w:pStyle w:val="Prrafodelista"/>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7C7DF59D" w14:textId="77777777">
      <w:pPr>
        <w:pStyle w:val="Prrafodelista"/>
        <w:widowControl w:val="0"/>
        <w:numPr>
          <w:ilvl w:val="0"/>
          <w:numId w:val="58"/>
        </w:numPr>
        <w:tabs>
          <w:tab w:val="left" w:pos="993"/>
        </w:tabs>
        <w:autoSpaceDE w:val="0"/>
        <w:autoSpaceDN w:val="0"/>
        <w:adjustRightInd w:val="0"/>
        <w:spacing w:before="120" w:after="120"/>
        <w:ind w:left="851" w:right="851" w:firstLine="709"/>
        <w:contextualSpacing/>
        <w:jc w:val="both"/>
        <w:rPr>
          <w:rFonts w:ascii="Times New Roman" w:hAnsi="Times New Roman" w:cs="Times New Roman"/>
          <w:i/>
          <w:iCs/>
          <w:sz w:val="26"/>
          <w:szCs w:val="26"/>
          <w:shd w:val="clear" w:color="auto" w:fill="FFFFFF"/>
          <w:lang w:eastAsia="ar-SA"/>
        </w:rPr>
      </w:pPr>
      <w:r w:rsidRPr="00AE1B2B">
        <w:rPr>
          <w:rFonts w:ascii="Times New Roman" w:hAnsi="Times New Roman" w:cs="Times New Roman"/>
          <w:i/>
          <w:iCs/>
          <w:sz w:val="26"/>
          <w:szCs w:val="26"/>
          <w:shd w:val="clear" w:color="auto" w:fill="FFFFFF"/>
          <w:lang w:eastAsia="ar-SA"/>
        </w:rPr>
        <w:t xml:space="preserve">Aprobar el informe 87-PI-2014 elaborado por la Sección de Proyección Institucional de la Dirección de Planificación, relacionado con el “Proyecto de Rediseño de Procesos del Segundo Circuito Judicial de Alajuela a través de Nuevas Tecnologías y Moderna Gestión”, en consecuencia, esa Dirección realizará un seguimiento en abril de 2015 de los indicadores de cada despacho u oficina, y de las acciones emprendidas, con el fin de verificar los resultados que se estén dando desde lo interno del propio circuito, y su impacto en el servicio. 2.) Disponer que se proceda a replicar la </w:t>
      </w:r>
      <w:r w:rsidRPr="00AE1B2B">
        <w:rPr>
          <w:rFonts w:ascii="Times New Roman" w:hAnsi="Times New Roman" w:cs="Times New Roman"/>
          <w:i/>
          <w:iCs/>
          <w:sz w:val="26"/>
          <w:szCs w:val="26"/>
          <w:shd w:val="clear" w:color="auto" w:fill="FFFFFF"/>
          <w:lang w:eastAsia="ar-SA"/>
        </w:rPr>
        <w:lastRenderedPageBreak/>
        <w:t>experiencia en los circuitos judiciales de Cartago, Segundo de San José y Primero de Alajuela, en ese orden, conforme estudios que anteriormente presentó la Dirección de Planificación.”</w:t>
      </w:r>
    </w:p>
    <w:p w:rsidRPr="00AE1B2B" w:rsidR="009D3FB5" w:rsidP="00163B94" w:rsidRDefault="009D3FB5" w14:paraId="07447D7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98D708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Oficio 1259-PLA-2016 que remite el informe 125-PI-2016, relacionado con el “Plan de Trabajo para el Desarrollo del Proyecto de Rediseño de los Despachos Judiciales del Circuito Judicial de Cartago, a través de nuevas tecnologías y moderna gestión”, aprobado por el Consejo Superior en la sesión 80-16 del 24 de agosto de 2016, artículo XXXIV, en el que se acordó: </w:t>
      </w:r>
    </w:p>
    <w:p w:rsidRPr="00AE1B2B" w:rsidR="009D3FB5" w:rsidP="00163B94" w:rsidRDefault="009D3FB5" w14:paraId="7222DD6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E93D97C" w14:textId="77777777">
      <w:pPr>
        <w:spacing w:before="120" w:after="120"/>
        <w:ind w:left="851" w:right="851" w:firstLine="709"/>
        <w:jc w:val="both"/>
        <w:rPr>
          <w:rFonts w:ascii="Times New Roman" w:hAnsi="Times New Roman" w:eastAsia="Times New Roman" w:cs="Times New Roman"/>
          <w:b/>
          <w:bCs/>
          <w:i/>
          <w:iCs/>
          <w:sz w:val="26"/>
          <w:szCs w:val="26"/>
          <w:shd w:val="clear" w:color="auto" w:fill="FFFFFF"/>
          <w:lang w:eastAsia="ar-SA"/>
        </w:rPr>
      </w:pPr>
      <w:r w:rsidRPr="00AE1B2B">
        <w:rPr>
          <w:rFonts w:ascii="Times New Roman" w:hAnsi="Times New Roman" w:eastAsia="Times New Roman" w:cs="Times New Roman"/>
          <w:b/>
          <w:bCs/>
          <w:i/>
          <w:iCs/>
          <w:sz w:val="26"/>
          <w:szCs w:val="26"/>
          <w:shd w:val="clear" w:color="auto" w:fill="FFFFFF"/>
          <w:lang w:eastAsia="ar-SA"/>
        </w:rPr>
        <w:t>“Tener por rendido el informe”.</w:t>
      </w:r>
    </w:p>
    <w:p w:rsidRPr="00AE1B2B" w:rsidR="009D3FB5" w:rsidP="00163B94" w:rsidRDefault="009D3FB5" w14:paraId="490B3EA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F6EF63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Oficio 1981-PLA-2016, que remite el informe 190-PI-2016-B, relacionado con el </w:t>
      </w:r>
      <w:r w:rsidRPr="00AE1B2B">
        <w:rPr>
          <w:rFonts w:ascii="Times New Roman" w:hAnsi="Times New Roman" w:cs="Times New Roman"/>
          <w:i/>
          <w:iCs/>
          <w:sz w:val="26"/>
          <w:szCs w:val="26"/>
        </w:rPr>
        <w:t>“Modelo de sostenibilidad de los proyectos de rediseños de oficinas, así como el resultado del seguimiento que se realizó al Circuito Judicial de San Carlos</w:t>
      </w:r>
      <w:r w:rsidRPr="00AE1B2B">
        <w:rPr>
          <w:rFonts w:ascii="Times New Roman" w:hAnsi="Times New Roman" w:cs="Times New Roman"/>
          <w:sz w:val="26"/>
          <w:szCs w:val="26"/>
        </w:rPr>
        <w:t xml:space="preserve">” aprobado por el Consejo Superior en la sesión 107-16 del 29 de noviembre de 2016, artículo XLIX, en el que se acordó: </w:t>
      </w:r>
    </w:p>
    <w:p w:rsidRPr="00AE1B2B" w:rsidR="009D3FB5" w:rsidP="00163B94" w:rsidRDefault="009D3FB5" w14:paraId="6EE77CC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1A9F8D7" w14:textId="77777777">
      <w:pPr>
        <w:pStyle w:val="Prrafodelista"/>
        <w:spacing w:before="120" w:after="120"/>
        <w:ind w:left="851" w:right="851" w:firstLine="709"/>
        <w:jc w:val="both"/>
        <w:rPr>
          <w:rFonts w:ascii="Times New Roman" w:hAnsi="Times New Roman" w:cs="Times New Roman"/>
          <w:b/>
          <w:bCs/>
          <w:i/>
          <w:iCs/>
          <w:sz w:val="26"/>
          <w:szCs w:val="26"/>
          <w:shd w:val="clear" w:color="auto" w:fill="FFFFFF"/>
          <w:lang w:eastAsia="ar-SA"/>
        </w:rPr>
      </w:pPr>
      <w:r w:rsidRPr="00AE1B2B">
        <w:rPr>
          <w:rFonts w:ascii="Times New Roman" w:hAnsi="Times New Roman" w:cs="Times New Roman"/>
          <w:b/>
          <w:bCs/>
          <w:i/>
          <w:iCs/>
          <w:sz w:val="26"/>
          <w:szCs w:val="26"/>
          <w:shd w:val="clear" w:color="auto" w:fill="FFFFFF"/>
          <w:lang w:eastAsia="ar-SA"/>
        </w:rPr>
        <w:t>“Tener por rendido el informe”.</w:t>
      </w:r>
    </w:p>
    <w:p w:rsidRPr="00AE1B2B" w:rsidR="009D3FB5" w:rsidP="00163B94" w:rsidRDefault="009D3FB5" w14:paraId="30BC2C5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DFDF673"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Oficio 34-PLA-EV-2017, relacionado con el Impacto organizacional y presupuestario para el Poder Judicial con el Código Procesal de Familia, específicamente sobre las prioridades presupuestarias para el ejercicio económico del 2018 y el impacto del CPF.</w:t>
      </w:r>
      <w:r w:rsidRPr="00AE1B2B">
        <w:rPr>
          <w:rFonts w:ascii="Times New Roman" w:hAnsi="Times New Roman" w:cs="Times New Roman"/>
          <w:sz w:val="26"/>
          <w:szCs w:val="26"/>
        </w:rPr>
        <w:t xml:space="preserve"> </w:t>
      </w:r>
      <w:r w:rsidRPr="00AE1B2B">
        <w:rPr>
          <w:rFonts w:ascii="Times New Roman" w:hAnsi="Times New Roman" w:cs="Times New Roman"/>
          <w:sz w:val="26"/>
          <w:szCs w:val="26"/>
          <w:lang w:eastAsia="zh-CN"/>
        </w:rPr>
        <w:t>Conocido por el Consejo Superior en sesión extraordinaria de presupuesto 43-17, del 5 de mayo del 2017, artículo XXIV y por Corte Plena en sesión 16-2017, del 1 de junio del 2017, artículo II</w:t>
      </w:r>
    </w:p>
    <w:p w:rsidRPr="00AE1B2B" w:rsidR="009D3FB5" w:rsidP="00163B94" w:rsidRDefault="009D3FB5" w14:paraId="52E46262"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eastAsia="zh-CN"/>
        </w:rPr>
      </w:pPr>
    </w:p>
    <w:p w:rsidRPr="00AE1B2B" w:rsidR="009D3FB5" w:rsidP="00163B94" w:rsidRDefault="009D3FB5" w14:paraId="1E9F23D1"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eastAsia="zh-CN"/>
        </w:rPr>
      </w:pPr>
      <w:r w:rsidRPr="00AE1B2B">
        <w:rPr>
          <w:rFonts w:ascii="Times New Roman" w:hAnsi="Times New Roman" w:cs="Times New Roman"/>
          <w:sz w:val="26"/>
          <w:szCs w:val="26"/>
          <w:lang w:eastAsia="zh-CN"/>
        </w:rPr>
        <w:t xml:space="preserve">En el 2018, se elaboró un estudio preliminar y actualización del informe 34-PLA-EV-2017 para presupuesto 2019 (33-PLA-EV-2018), relacionado con </w:t>
      </w:r>
      <w:r w:rsidRPr="00AE1B2B">
        <w:rPr>
          <w:rFonts w:ascii="Times New Roman" w:hAnsi="Times New Roman" w:cs="Times New Roman"/>
          <w:i/>
          <w:iCs/>
          <w:sz w:val="26"/>
          <w:szCs w:val="26"/>
          <w:lang w:eastAsia="zh-CN"/>
        </w:rPr>
        <w:t>“el Impacto Organizacional y Presupuestario en el Poder Judicial en caso de aprobarse el proyecto de Ley denominado Código Procesal de Familia”,</w:t>
      </w:r>
      <w:r w:rsidRPr="00AE1B2B">
        <w:rPr>
          <w:rFonts w:ascii="Times New Roman" w:hAnsi="Times New Roman" w:cs="Times New Roman"/>
          <w:sz w:val="26"/>
          <w:szCs w:val="26"/>
          <w:lang w:eastAsia="zh-CN"/>
        </w:rPr>
        <w:t xml:space="preserve"> aprobado por Consejo Superior en sesión 34-18 de 25 de abril de 2018, artículo IV y modificado en sesión 42-18 del 15 de mayo 2018, artículos VII, XII, XIII, XIV. Sin embargo, en ese momento al no considerarse como </w:t>
      </w:r>
      <w:r w:rsidRPr="00AE1B2B">
        <w:rPr>
          <w:rFonts w:ascii="Times New Roman" w:hAnsi="Times New Roman" w:cs="Times New Roman"/>
          <w:sz w:val="26"/>
          <w:szCs w:val="26"/>
          <w:lang w:eastAsia="zh-CN"/>
        </w:rPr>
        <w:lastRenderedPageBreak/>
        <w:t>Ley aprobada, la Corte Plena dispuso no incluir recursos como parte del anteproyecto de presupuesto del Poder Judicial para el 2018.</w:t>
      </w:r>
    </w:p>
    <w:p w:rsidRPr="00AE1B2B" w:rsidR="009D3FB5" w:rsidP="00163B94" w:rsidRDefault="009D3FB5" w14:paraId="5A2DD71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BA0DF0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 </w:t>
      </w:r>
    </w:p>
    <w:p w:rsidRPr="00AE1B2B" w:rsidR="009D3FB5" w:rsidP="00163B94" w:rsidRDefault="009D3FB5" w14:paraId="5599C5D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746E9CD"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p>
    <w:p w:rsidRPr="00AE1B2B" w:rsidR="009D3FB5" w:rsidP="00163B94" w:rsidRDefault="009D3FB5" w14:paraId="46840F2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3460F0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oficio DM-0945-2019, de fecha 11 de junio del 2019, la señora Ministra de Hacienda y en alusión a lo indicado en el oficio 101-P-2019, comunica al presidente de la Corte Suprema de Justicia lo siguiente: </w:t>
      </w:r>
    </w:p>
    <w:p w:rsidRPr="00AE1B2B" w:rsidR="009D3FB5" w:rsidP="00163B94" w:rsidRDefault="009D3FB5" w14:paraId="41BC554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120E37A"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Finalmente, en relación con las solicitudes complementarias al Anteproyecto de presupuesto de la institución a que se hace alusión en su oficio, le informo que el cumplimiento de la regla fiscal no da espacio para el financiamiento de nuevos gastos”.</w:t>
      </w:r>
    </w:p>
    <w:p w:rsidRPr="00AE1B2B" w:rsidR="009D3FB5" w:rsidP="00163B94" w:rsidRDefault="009D3FB5" w14:paraId="15C3B93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0A5D44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rsidRPr="00AE1B2B" w:rsidR="009D3FB5" w:rsidP="00163B94" w:rsidRDefault="009D3FB5" w14:paraId="44CDFC2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 lo siguiente: </w:t>
      </w:r>
    </w:p>
    <w:p w:rsidRPr="00AE1B2B" w:rsidR="009D3FB5" w:rsidP="00163B94" w:rsidRDefault="009D3FB5" w14:paraId="2D4EC21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1783A4E"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 No fueron incorporados por el Ministerio de Hacienda al presupuesto ordinario, ni tampoco se remitieron como requerimiento adicional a la Asamblea Legislativa”.</w:t>
      </w:r>
    </w:p>
    <w:p w:rsidRPr="00AE1B2B" w:rsidR="009D3FB5" w:rsidP="00163B94" w:rsidRDefault="009D3FB5" w14:paraId="3C618F4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5C2D24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oficio mencionado anteriormente fue conocido por Corte Plena en sesión 41-2019, de fecha 30 de setiembre de 2019, artículo XV.</w:t>
      </w:r>
    </w:p>
    <w:p w:rsidRPr="00AE1B2B" w:rsidR="009D3FB5" w:rsidP="00163B94" w:rsidRDefault="009D3FB5" w14:paraId="1E09400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3E98D9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 acuerdo con la Ley 9791 Presupuesto Ordinario y Extraordinario de la República para el ejercicio económico del 2020, aprobada por la Asamblea Legislativa, se comprobó que los recursos para la Ley 9593 de Acceso a la Justicia a Pueblos Indígenas no fueron incorporados durante la etapa de análisis y discusión por parte de la Asamblea Legislativa, esto según informe 1932-PLA-PP-2019 relacionado con el seguimiento realizado al Expediente 21.568 </w:t>
      </w:r>
      <w:r w:rsidRPr="00AE1B2B">
        <w:rPr>
          <w:rFonts w:ascii="Times New Roman" w:hAnsi="Times New Roman" w:cs="Times New Roman"/>
          <w:i/>
          <w:iCs/>
          <w:sz w:val="26"/>
          <w:szCs w:val="26"/>
        </w:rPr>
        <w:t>“Ley de Presupuesto Ordinario y Extraordinario de la República para el Ejercicio Económica del 2020”</w:t>
      </w:r>
      <w:r w:rsidRPr="00AE1B2B">
        <w:rPr>
          <w:rFonts w:ascii="Times New Roman" w:hAnsi="Times New Roman" w:cs="Times New Roman"/>
          <w:sz w:val="26"/>
          <w:szCs w:val="26"/>
        </w:rPr>
        <w:t xml:space="preserve"> en la Comisión de Asuntos Hacendarios.</w:t>
      </w:r>
    </w:p>
    <w:p w:rsidRPr="00AE1B2B" w:rsidR="009D3FB5" w:rsidP="00163B94" w:rsidRDefault="009D3FB5" w14:paraId="11EA36F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14BA2C1" w14:textId="7DD0809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Mediante el informe 1285-PLA-2019, del 16 de agosto de 2019, la Dirección de Planificación modifica las estimaciones del impacto presupuestario que tendría la implementación del proyecto de Ley del Código Procesal de Familia, que se tramita en el expediente 19.455 de la Asamblea Legislativa. Este nuevo planteamiento difiere del presentado en su momento ante la Comisión de Asuntos Jurídicos en el 2017, propiamente en cuanto a la exclusión de 33 plazas de Defensora y Defensor Público (con un costo asociado de ₡1.784.673.000), que se requerían para dar cobertura nacional a la atención en pensión alimentaria a la parte beneficiaria que no cuente con recursos económicos para contratar patrocinio letrado conforme lo establece el artículo 56 de este proyecto de Ley, ya que según lo indicado en correo recibido, se indica textualmente:</w:t>
      </w:r>
      <w:r w:rsidRPr="00AE1B2B" w:rsidR="00BB7720">
        <w:rPr>
          <w:rFonts w:ascii="Times New Roman" w:hAnsi="Times New Roman" w:cs="Times New Roman"/>
          <w:sz w:val="26"/>
          <w:szCs w:val="26"/>
        </w:rPr>
        <w:t xml:space="preserve"> </w:t>
      </w:r>
    </w:p>
    <w:p w:rsidRPr="00AE1B2B" w:rsidR="009D3FB5" w:rsidP="00163B94" w:rsidRDefault="009D3FB5" w14:paraId="2DAFBE1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A1BB153" w14:textId="77777777">
      <w:pPr>
        <w:widowControl w:val="0"/>
        <w:tabs>
          <w:tab w:val="left" w:pos="8222"/>
        </w:tabs>
        <w:suppressAutoHyphens/>
        <w:autoSpaceDE w:val="0"/>
        <w:autoSpaceDN w:val="0"/>
        <w:adjustRightInd w:val="0"/>
        <w:spacing w:before="120" w:after="120"/>
        <w:ind w:left="851" w:right="851" w:firstLine="709"/>
        <w:jc w:val="both"/>
        <w:rPr>
          <w:rFonts w:ascii="Times New Roman" w:hAnsi="Times New Roman" w:cs="Times New Roman"/>
          <w:i/>
          <w:iCs/>
          <w:sz w:val="26"/>
          <w:szCs w:val="26"/>
          <w:lang w:eastAsia="zh-CN"/>
        </w:rPr>
      </w:pPr>
      <w:r w:rsidRPr="00AE1B2B">
        <w:rPr>
          <w:rFonts w:ascii="Times New Roman" w:hAnsi="Times New Roman" w:cs="Times New Roman"/>
          <w:i/>
          <w:iCs/>
          <w:sz w:val="26"/>
          <w:szCs w:val="26"/>
          <w:lang w:eastAsia="zh-CN"/>
        </w:rPr>
        <w:t xml:space="preserve"> “ el contenido del artículo 56, del proyecto de Ley consultado a Corte, cuyo informe se rindió el pasado lunes 12 de agosto, solo refleja lo que actualmente está dentro la Ley de Pensiones Alimentarias vigente; por lo que no debe de interpretarse que se están creando obligaciones nuevas de plazas para Defensa Pública, para atender casos de pensiones alimentarias“.</w:t>
      </w:r>
    </w:p>
    <w:p w:rsidRPr="00AE1B2B" w:rsidR="009D3FB5" w:rsidP="00163B94" w:rsidRDefault="009D3FB5" w14:paraId="236E8F8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383ECE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Oficio 2043-PLA-ES-2019, relacionado con la </w:t>
      </w:r>
      <w:r w:rsidRPr="00AE1B2B">
        <w:rPr>
          <w:rFonts w:ascii="Times New Roman" w:hAnsi="Times New Roman" w:cs="Times New Roman"/>
          <w:i/>
          <w:iCs/>
          <w:sz w:val="26"/>
          <w:szCs w:val="26"/>
        </w:rPr>
        <w:t>“Fórmula estadística e instructivo en materia de familia en primera instancia”</w:t>
      </w:r>
      <w:r w:rsidRPr="00AE1B2B">
        <w:rPr>
          <w:rFonts w:ascii="Times New Roman" w:hAnsi="Times New Roman" w:cs="Times New Roman"/>
          <w:sz w:val="26"/>
          <w:szCs w:val="26"/>
        </w:rPr>
        <w:t xml:space="preserve">, aprobado por el Consejo Superior en la sesión 107-19 del 10 de diciembre de 2019, artículo XLVIII, en el que se acordó: </w:t>
      </w:r>
    </w:p>
    <w:p w:rsidRPr="00AE1B2B" w:rsidR="009D3FB5" w:rsidP="00163B94" w:rsidRDefault="009D3FB5" w14:paraId="5723433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ED74A48" w14:textId="77777777">
      <w:pPr>
        <w:pStyle w:val="Prrafodelista"/>
        <w:spacing w:before="120" w:after="120"/>
        <w:ind w:left="851" w:right="851" w:firstLine="709"/>
        <w:jc w:val="both"/>
        <w:rPr>
          <w:rFonts w:ascii="Times New Roman" w:hAnsi="Times New Roman" w:cs="Times New Roman"/>
          <w:b/>
          <w:bCs/>
          <w:i/>
          <w:iCs/>
          <w:sz w:val="26"/>
          <w:szCs w:val="26"/>
          <w:shd w:val="clear" w:color="auto" w:fill="FFFFFF"/>
          <w:lang w:eastAsia="ar-SA"/>
        </w:rPr>
      </w:pPr>
      <w:r w:rsidRPr="00AE1B2B">
        <w:rPr>
          <w:rFonts w:ascii="Times New Roman" w:hAnsi="Times New Roman" w:cs="Times New Roman"/>
          <w:b/>
          <w:bCs/>
          <w:i/>
          <w:iCs/>
          <w:sz w:val="26"/>
          <w:szCs w:val="26"/>
          <w:shd w:val="clear" w:color="auto" w:fill="FFFFFF"/>
          <w:lang w:eastAsia="ar-SA"/>
        </w:rPr>
        <w:t>“Tener por rendido el informe”.</w:t>
      </w:r>
    </w:p>
    <w:p w:rsidRPr="00AE1B2B" w:rsidR="009D3FB5" w:rsidP="00163B94" w:rsidRDefault="009D3FB5" w14:paraId="2449A52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852239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informe 656-PLA-RH-MI-2020 </w:t>
      </w:r>
      <w:r w:rsidRPr="00AE1B2B">
        <w:rPr>
          <w:rFonts w:ascii="Times New Roman" w:hAnsi="Times New Roman" w:cs="Times New Roman"/>
          <w:i/>
          <w:iCs/>
          <w:sz w:val="26"/>
          <w:szCs w:val="26"/>
        </w:rPr>
        <w:t>“Impacto Organizacional y Presupuestario en el Poder Judicial en caso de aprobarse el proyecto de Ley denominado Código Procesal de Familia</w:t>
      </w:r>
      <w:r w:rsidRPr="00AE1B2B">
        <w:rPr>
          <w:rFonts w:ascii="Times New Roman" w:hAnsi="Times New Roman" w:cs="Times New Roman"/>
          <w:sz w:val="26"/>
          <w:szCs w:val="26"/>
        </w:rPr>
        <w:t xml:space="preserve">” para el 2021 fue aprobado por el Consejo Superior en sesión 45-2020 celebrada el 8 de mayo de 2020, artículo XIX, en la que se acordó: </w:t>
      </w:r>
    </w:p>
    <w:p w:rsidRPr="00AE1B2B" w:rsidR="009D3FB5" w:rsidP="00163B94" w:rsidRDefault="009D3FB5" w14:paraId="422BF77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BC1CFD3"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1.) Aprobar técnicamente el informe 656-PLA-RH-MI-2020 de la Dirección de Planificación, y sus recomendaciones en los plazos establecidos para ello. 2.) Para efectos del seguimiento respectivo se informa al Despacho de la Presidencia, al Centro de Seguimiento y Apoyo a la Función Jurisdiccional y a la Comisión de la Jurisdicción de Familia, a la Dirección de Tecnología de la Información y a la Dirección de Planificación, que deberán tomar nota de las recomendaciones aquí señaladas y sus plazos respectivos para dar cumplimiento a las recomendaciones emanadas del informe de la Contraloría General de la República 2.) Aprobar la propuesta de la Dirección Ejecutiva por ₡60.000.000 para el pago de peritajes solicitados por órdenes judiciales, de los cuales se deben incluir dentro del presupuesto ordinario ₡30.000.000 y el restante como parte del requerimiento que se solicita por aparte al Ministerio de Hacienda en virtud de tratarse de una Ley Especial. 3.) Aprobar la propuesta de circular que indica la Dirección de Planificación, para lo que la Secretaría General de la Corte tomará nota para lo de su cargo. 4.) Se deberán cumplir con las cuotas de trabajo establecidas por la Dirección de Planificación por parte del personal técnico y juzgador presentadas en este informe. Se declara este acuerdo firme. </w:t>
      </w:r>
    </w:p>
    <w:p w:rsidRPr="00AE1B2B" w:rsidR="009D3FB5" w:rsidP="00163B94" w:rsidRDefault="009D3FB5" w14:paraId="454E969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2F3D68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Finalmente, en sesión del Consejo Superior 48-2020 celebrada el 14 de mayo de 2020, artículo XIII, se aprueba el oficio 706-PLA-MI-2020 para excluir de este informe una plaza de Técnico Judicial </w:t>
      </w:r>
      <w:r w:rsidRPr="00AE1B2B">
        <w:rPr>
          <w:rFonts w:ascii="Times New Roman" w:hAnsi="Times New Roman" w:cs="Times New Roman"/>
          <w:sz w:val="26"/>
          <w:szCs w:val="26"/>
        </w:rPr>
        <w:lastRenderedPageBreak/>
        <w:t>del Juzgado Civil, Laboral y Familia de Buenos Aires ya que la misma se contempló en el presupuesto de Agrario.</w:t>
      </w:r>
    </w:p>
    <w:p w:rsidRPr="00AE1B2B" w:rsidR="009D3FB5" w:rsidP="00163B94" w:rsidRDefault="009D3FB5" w14:paraId="0F79D15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F5F9CA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informe 656-PLA-RH-MI-2020 relacionado con el </w:t>
      </w:r>
      <w:r w:rsidRPr="00AE1B2B">
        <w:rPr>
          <w:rFonts w:ascii="Times New Roman" w:hAnsi="Times New Roman" w:cs="Times New Roman"/>
          <w:i/>
          <w:iCs/>
          <w:sz w:val="26"/>
          <w:szCs w:val="26"/>
        </w:rPr>
        <w:t xml:space="preserve">“Impacto organizacional y presupuestario en el Poder Judicial a partir de la promulgación del Código Procesal de Familia” </w:t>
      </w:r>
      <w:r w:rsidRPr="00AE1B2B">
        <w:rPr>
          <w:rFonts w:ascii="Times New Roman" w:hAnsi="Times New Roman" w:cs="Times New Roman"/>
          <w:sz w:val="26"/>
          <w:szCs w:val="26"/>
        </w:rPr>
        <w:t>para 2021</w:t>
      </w:r>
      <w:r w:rsidRPr="00AE1B2B">
        <w:rPr>
          <w:rFonts w:ascii="Times New Roman" w:hAnsi="Times New Roman" w:cs="Times New Roman"/>
          <w:i/>
          <w:iCs/>
          <w:sz w:val="26"/>
          <w:szCs w:val="26"/>
        </w:rPr>
        <w:t xml:space="preserve">, </w:t>
      </w:r>
      <w:r w:rsidRPr="00AE1B2B">
        <w:rPr>
          <w:rFonts w:ascii="Times New Roman" w:hAnsi="Times New Roman" w:cs="Times New Roman"/>
          <w:sz w:val="26"/>
          <w:szCs w:val="26"/>
        </w:rPr>
        <w:t>que consideraba las acciones a seguir para la implementación de la Ley 9747 también fue aprobado por Corte Plena en sesión 31-2020 del dos de junio del 2020, artículo I.</w:t>
      </w:r>
    </w:p>
    <w:p w:rsidRPr="00AE1B2B" w:rsidR="009D3FB5" w:rsidP="00163B94" w:rsidRDefault="009D3FB5" w14:paraId="22090A5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FDF298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Sin embargo, de acuerdo con la Ley 9926 Presupuesto Ordinario y Extraordinario de la República para el ejercicio económico del 2021, aprobada por la Asamblea Legislativa, se comprobó que los recursos solicitados para la Ley 9593 de Acceso a la Justicia a Pueblos Indígenas ni para la Ley 9747 Código Procesal de Familia no fueron trasladados por el Ministerio de Hacienda a la Asamblea como parte del Proyecto de Presupuesto 2021.</w:t>
      </w:r>
    </w:p>
    <w:p w:rsidRPr="00AE1B2B" w:rsidR="009D3FB5" w:rsidP="00163B94" w:rsidRDefault="009D3FB5" w14:paraId="3F495CDD" w14:textId="77777777">
      <w:pPr>
        <w:spacing w:before="120" w:after="120"/>
        <w:ind w:left="851" w:right="851" w:firstLine="709"/>
        <w:jc w:val="both"/>
        <w:rPr>
          <w:rFonts w:ascii="Times New Roman" w:hAnsi="Times New Roman" w:cs="Times New Roman"/>
          <w:b/>
          <w:bCs/>
          <w:sz w:val="26"/>
          <w:szCs w:val="26"/>
          <w:u w:val="single"/>
        </w:rPr>
      </w:pPr>
    </w:p>
    <w:p w:rsidRPr="00AE1B2B" w:rsidR="009D3FB5" w:rsidP="00163B94" w:rsidRDefault="009D3FB5" w14:paraId="7C7C59EE" w14:textId="77777777">
      <w:pPr>
        <w:spacing w:before="120" w:after="120"/>
        <w:ind w:left="851" w:right="851" w:firstLine="709"/>
        <w:jc w:val="both"/>
        <w:rPr>
          <w:rFonts w:ascii="Times New Roman" w:hAnsi="Times New Roman" w:cs="Times New Roman"/>
          <w:b/>
          <w:bCs/>
          <w:i/>
          <w:iCs/>
          <w:sz w:val="26"/>
          <w:szCs w:val="26"/>
        </w:rPr>
      </w:pPr>
    </w:p>
    <w:p w:rsidRPr="00AE1B2B" w:rsidR="009D3FB5" w:rsidP="00163B94" w:rsidRDefault="009D3FB5" w14:paraId="499302E3" w14:textId="77777777">
      <w:pPr>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Creación de Plazas</w:t>
      </w:r>
    </w:p>
    <w:p w:rsidRPr="00AE1B2B" w:rsidR="009D3FB5" w:rsidP="00163B94" w:rsidRDefault="009D3FB5" w14:paraId="27E2890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Corte Plena aprobó en sesión 54-2019 del 18 de diciembre de 2019, artículo único, no crear plazas nuevas y valorar únicamente la condición y continuidad de las plazas extraordinarias existentes.</w:t>
      </w:r>
    </w:p>
    <w:p w:rsidRPr="00AE1B2B" w:rsidR="009D3FB5" w:rsidP="00163B94" w:rsidRDefault="009D3FB5" w14:paraId="38AF546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Adicionalmente, en las sesiones 27-2017 de 21 de agosto de 2017, artículo XVI, 28- 2017 de 28 de agosto de 2017, artículo XV y 29-2017 de 4 setiembre de 2017, artículo XVI, aprobó una serie de medidas de contención del gasto en el Poder Judicial, producto de la grave situación fiscal que enfrenta el país, y con relación a la creación de plazas dispuso que:</w:t>
      </w:r>
    </w:p>
    <w:p w:rsidRPr="00AE1B2B" w:rsidR="009D3FB5" w:rsidP="00163B94" w:rsidRDefault="009D3FB5" w14:paraId="3945566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4113BC3"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No se crearán plazas nuevas, salvo las correspondientes a la implementación de nuevas leyes, debidamente aprobadas por la Asamblea Legislativa, o bien cuenten con un estudio técnico de la Dirección de Planificación, sujeto a la disponibilidad de contenido presupuestario. Poder Judicial.</w:t>
      </w:r>
    </w:p>
    <w:p w:rsidRPr="00AE1B2B" w:rsidR="009D3FB5" w:rsidP="00163B94" w:rsidRDefault="009D3FB5" w14:paraId="142E691B" w14:textId="77777777">
      <w:pPr>
        <w:spacing w:before="120" w:after="120"/>
        <w:ind w:left="851" w:right="851" w:firstLine="709"/>
        <w:jc w:val="both"/>
        <w:rPr>
          <w:rFonts w:ascii="Times New Roman" w:hAnsi="Times New Roman" w:cs="Times New Roman"/>
          <w:b/>
          <w:bCs/>
          <w:i/>
          <w:iCs/>
          <w:sz w:val="26"/>
          <w:szCs w:val="26"/>
        </w:rPr>
      </w:pPr>
    </w:p>
    <w:p w:rsidRPr="00AE1B2B" w:rsidR="009D3FB5" w:rsidP="00163B94" w:rsidRDefault="009D3FB5" w14:paraId="5382EC4D" w14:textId="77777777">
      <w:pPr>
        <w:spacing w:before="120" w:after="120"/>
        <w:ind w:left="851" w:right="851" w:firstLine="709"/>
        <w:jc w:val="both"/>
        <w:rPr>
          <w:rFonts w:ascii="Times New Roman" w:hAnsi="Times New Roman" w:cs="Times New Roman"/>
          <w:b/>
          <w:bCs/>
          <w:i/>
          <w:iCs/>
          <w:sz w:val="26"/>
          <w:szCs w:val="26"/>
        </w:rPr>
      </w:pPr>
    </w:p>
    <w:p w:rsidRPr="00AE1B2B" w:rsidR="009D3FB5" w:rsidP="00163B94" w:rsidRDefault="009D3FB5" w14:paraId="60B0285A"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lastRenderedPageBreak/>
        <w:t>Contraloría General de la República</w:t>
      </w:r>
    </w:p>
    <w:p w:rsidRPr="00AE1B2B" w:rsidR="009D3FB5" w:rsidP="00163B94" w:rsidRDefault="009D3FB5" w14:paraId="6108F17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Como parte del Proyecto 1374-CF-P01</w:t>
      </w:r>
      <w:r w:rsidRPr="00AE1B2B">
        <w:rPr>
          <w:rFonts w:ascii="Times New Roman" w:hAnsi="Times New Roman" w:cs="Times New Roman"/>
          <w:i/>
          <w:iCs/>
          <w:sz w:val="26"/>
          <w:szCs w:val="26"/>
        </w:rPr>
        <w:t xml:space="preserve"> “Implementación del Código Procesal de Familia” </w:t>
      </w:r>
      <w:r w:rsidRPr="00AE1B2B">
        <w:rPr>
          <w:rFonts w:ascii="Times New Roman" w:hAnsi="Times New Roman" w:cs="Times New Roman"/>
          <w:sz w:val="26"/>
          <w:szCs w:val="26"/>
        </w:rPr>
        <w:t>se incorporó la atención de las recomendaciones emitidas por la Contraloría General de la República</w:t>
      </w:r>
      <w:r w:rsidRPr="00AE1B2B">
        <w:rPr>
          <w:rFonts w:ascii="Times New Roman" w:hAnsi="Times New Roman" w:cs="Times New Roman"/>
          <w:i/>
          <w:iCs/>
          <w:sz w:val="26"/>
          <w:szCs w:val="26"/>
        </w:rPr>
        <w:t xml:space="preserve"> </w:t>
      </w:r>
      <w:r w:rsidRPr="00AE1B2B">
        <w:rPr>
          <w:rFonts w:ascii="Times New Roman" w:hAnsi="Times New Roman" w:cs="Times New Roman"/>
          <w:sz w:val="26"/>
          <w:szCs w:val="26"/>
        </w:rPr>
        <w:t xml:space="preserve">(CGR) número DFOE-PG-0098 (2683)-2020, relacionado con el informe DFOE-PG-IF-00002-2020 </w:t>
      </w:r>
      <w:r w:rsidRPr="00AE1B2B">
        <w:rPr>
          <w:rFonts w:ascii="Times New Roman" w:hAnsi="Times New Roman" w:cs="Times New Roman"/>
          <w:i/>
          <w:iCs/>
          <w:sz w:val="26"/>
          <w:szCs w:val="26"/>
        </w:rPr>
        <w:t>“Informe de Auditoría Operativa sobre la gestión del Poder Judicial en cuanto a la oportunidad de la prestación del servicio público de administración de la justicia de los juzgados de Familia y de Pensiones alimentarias</w:t>
      </w:r>
      <w:r w:rsidRPr="00AE1B2B">
        <w:rPr>
          <w:rFonts w:ascii="Times New Roman" w:hAnsi="Times New Roman" w:cs="Times New Roman"/>
          <w:sz w:val="26"/>
          <w:szCs w:val="26"/>
        </w:rPr>
        <w:t>”, de conformidad con el acuerdo del Consejo Superior en sesión 19-2020 celebrada el 10 de marzo del 2020, artículo LI:</w:t>
      </w:r>
    </w:p>
    <w:p w:rsidRPr="00AE1B2B" w:rsidR="009D3FB5" w:rsidP="00163B94" w:rsidRDefault="009D3FB5" w14:paraId="2F253EB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2E411C7" w14:textId="7588CBE2">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 Tener por recibido el oficio</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DP-126-2020 de 5 de marzo de 2020, suscrito por el máster Róger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 2.) En razón de las recomendaciones planteadas por la Contraloría General de la República, se dará el cumplimiento de las mismas de la siguiente manera: a) Respecto a las disposiciones 4.4, 4.5, 4.6 y 4.7 deberán ser atendidas por la Dirección de Planificación, el Centro de Apoyo, Coordinación y Mejoramiento de la Función Jurisdiccional y la Comisión de la Jurisdicción de Familia, Niñez y Adolescencia, con la salvedad de que respecto a la disposición 4.6 la Dirección de Tecnología de la Información brindará el apoyo que se requiera. b.) Conforme a la recomendación 4.8 deberá la Sección de Estadística de la Dirección de Planificación, en coordinación con el Centro de Apoyo, Coordinación y Mejoramiento de la Función Jurisdiccional y los despachos judiciales que involucre, revisar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w:t>
      </w:r>
    </w:p>
    <w:p w:rsidRPr="00AE1B2B" w:rsidR="009D3FB5" w:rsidP="00163B94" w:rsidRDefault="009D3FB5" w14:paraId="428ADF9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4AFF3E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Respecto al mismo tema, la Corte Plena en sesión 17-2020 celebrada el 30 de marzo del 2020, artículo XXXIII, conoce el </w:t>
      </w:r>
      <w:r w:rsidRPr="00AE1B2B">
        <w:rPr>
          <w:rFonts w:ascii="Times New Roman" w:hAnsi="Times New Roman" w:cs="Times New Roman"/>
          <w:sz w:val="26"/>
          <w:szCs w:val="26"/>
        </w:rPr>
        <w:lastRenderedPageBreak/>
        <w:t>acuerdo del Consejo Superior en sesión 19-2020 celebrada el 10 de marzo del 2020, artículo LI y dispuso:</w:t>
      </w:r>
    </w:p>
    <w:p w:rsidRPr="00AE1B2B" w:rsidR="009D3FB5" w:rsidP="00163B94" w:rsidRDefault="009D3FB5" w14:paraId="4D2CB52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72EFAB4"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w:t>
      </w:r>
      <w:r w:rsidRPr="00AE1B2B">
        <w:rPr>
          <w:rFonts w:ascii="Times New Roman" w:hAnsi="Times New Roman" w:cs="Times New Roman"/>
          <w:b/>
          <w:bCs/>
          <w:i/>
          <w:sz w:val="26"/>
          <w:szCs w:val="26"/>
        </w:rPr>
        <w:t>Se dispuso:</w:t>
      </w:r>
      <w:r w:rsidRPr="00AE1B2B">
        <w:rPr>
          <w:rFonts w:ascii="Times New Roman" w:hAnsi="Times New Roman" w:cs="Times New Roman"/>
          <w:i/>
          <w:sz w:val="26"/>
          <w:szCs w:val="26"/>
        </w:rPr>
        <w:t xml:space="preserve"> Tener por conocido el acuerdo adoptado por Consejo Superior, referente al oficio DP-126-2020 de 5 de marzo de 2020, suscrito por el máster Róger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w:t>
      </w:r>
    </w:p>
    <w:p w:rsidRPr="00AE1B2B" w:rsidR="009D3FB5" w:rsidP="00163B94" w:rsidRDefault="009D3FB5" w14:paraId="70549B3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8D26B6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acuerdo del Consejo Superior en sesión 43-2020 celebrada el 05 de mayo del 2020, artículo XXXVI, autorizó a la Dirección de Planificación a colaborar con la Comisión de Familia.</w:t>
      </w:r>
    </w:p>
    <w:p w:rsidRPr="00AE1B2B" w:rsidR="009D3FB5" w:rsidP="00163B94" w:rsidRDefault="009D3FB5" w14:paraId="3B7069D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29992A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“Acoger la gestión de la máster Julia Varela Araya, en su condición de Coordinadora de la Comisión de la Jurisdicción de Familia, Niñez y Adolescencia, en oficio 22-JVA-2020 de 29 de abril de 2020, en consecuencia, autorizar a las Direcciones de Planificación y Tecnología de la Información, para que colaboren con la Comisión de la Jurisdicción de Familia, en la preparación del plan de trabajo que solicita la Contraloría General de la República. En los términos que se pide por dicho órgano Contralor”.</w:t>
      </w:r>
    </w:p>
    <w:p w:rsidRPr="00AE1B2B" w:rsidR="009D3FB5" w:rsidP="00163B94" w:rsidRDefault="009D3FB5" w14:paraId="389C154B" w14:textId="77777777">
      <w:pPr>
        <w:spacing w:before="120" w:after="120"/>
        <w:ind w:left="851" w:right="851" w:firstLine="709"/>
        <w:jc w:val="both"/>
        <w:rPr>
          <w:rFonts w:ascii="Times New Roman" w:hAnsi="Times New Roman" w:cs="Times New Roman"/>
          <w:sz w:val="26"/>
          <w:szCs w:val="26"/>
          <w:lang w:eastAsia="ar-SA"/>
        </w:rPr>
      </w:pPr>
    </w:p>
    <w:p w:rsidRPr="00AE1B2B" w:rsidR="009D3FB5" w:rsidP="00163B94" w:rsidRDefault="009D3FB5" w14:paraId="56E9A50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Consejo Superior en sesión 107-16 del 29 de noviembre de 2016, artículo XLIX aprobó el informe 1981-PLA-2016 de la Dirección de Planificación sobre el Modelo de Sostenibilidad y las responsabilidades de cada dependencia para garantizar la sostenibilidad a los modelos de gestión implementados (oficina judicial, Administración Regional, Consejo de Administración, Dirección de Planificación, Centro de Apoyo, Coordinación y Mejoramiento de la Función Jurisdiccional, Consejo Superior).</w:t>
      </w:r>
    </w:p>
    <w:p w:rsidRPr="00AE1B2B" w:rsidR="009D3FB5" w:rsidP="00163B94" w:rsidRDefault="009D3FB5" w14:paraId="5C6DD68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CCB43E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Oficio 217-PLA-2020, relacionado con las propuestas de mejora en la aplicación del actual Modelo de Seguimiento y Sostenibilidad de proyectos en las oficinas y despachos judiciales, </w:t>
      </w:r>
      <w:r w:rsidRPr="00AE1B2B">
        <w:rPr>
          <w:rFonts w:ascii="Times New Roman" w:hAnsi="Times New Roman" w:cs="Times New Roman"/>
          <w:sz w:val="26"/>
          <w:szCs w:val="26"/>
        </w:rPr>
        <w:lastRenderedPageBreak/>
        <w:t>aprobado por el Consejo Superior en sesión 16-2020 celebrada el 27 de febrero del 2020, artículo LXXIII.</w:t>
      </w:r>
    </w:p>
    <w:p w:rsidRPr="00AE1B2B" w:rsidR="009D3FB5" w:rsidP="00163B94" w:rsidRDefault="009D3FB5" w14:paraId="1CF97088" w14:textId="77777777">
      <w:pPr>
        <w:pStyle w:val="Prrafodelista"/>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285EC31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Oficio 039-JVA-2020 suscrito por la MSc Julia Varela Araya, Magistrada Coordinadora de la Comisión de la Jurisdicción de Familia, Niñez y Adolescencia, donde comunica el acuerdo de la Comisión de Familia en sesión celebrada el 25 de junio de 2020 donde acordó:</w:t>
      </w:r>
    </w:p>
    <w:p w:rsidRPr="00AE1B2B" w:rsidR="009D3FB5" w:rsidP="00163B94" w:rsidRDefault="009D3FB5" w14:paraId="566EE6E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79C0EF1" w14:textId="2B11AE64">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sz w:val="26"/>
          <w:szCs w:val="26"/>
        </w:rPr>
        <w:t>“</w:t>
      </w:r>
      <w:r w:rsidRPr="00AE1B2B">
        <w:rPr>
          <w:rFonts w:ascii="Times New Roman" w:hAnsi="Times New Roman" w:cs="Times New Roman"/>
          <w:b/>
          <w:bCs/>
          <w:i/>
          <w:sz w:val="26"/>
          <w:szCs w:val="26"/>
        </w:rPr>
        <w:t>Se acuerda:</w:t>
      </w:r>
      <w:r w:rsidRPr="00AE1B2B" w:rsidR="00BB7720">
        <w:rPr>
          <w:rFonts w:ascii="Times New Roman" w:hAnsi="Times New Roman" w:cs="Times New Roman"/>
          <w:b/>
          <w:bCs/>
          <w:i/>
          <w:sz w:val="26"/>
          <w:szCs w:val="26"/>
        </w:rPr>
        <w:t xml:space="preserve"> </w:t>
      </w:r>
      <w:r w:rsidRPr="00AE1B2B">
        <w:rPr>
          <w:rFonts w:ascii="Times New Roman" w:hAnsi="Times New Roman" w:cs="Times New Roman"/>
          <w:b/>
          <w:bCs/>
          <w:i/>
          <w:sz w:val="26"/>
          <w:szCs w:val="26"/>
        </w:rPr>
        <w:t>1</w:t>
      </w:r>
      <w:r w:rsidRPr="00AE1B2B">
        <w:rPr>
          <w:rFonts w:ascii="Times New Roman" w:hAnsi="Times New Roman" w:cs="Times New Roman"/>
          <w:i/>
          <w:sz w:val="26"/>
          <w:szCs w:val="26"/>
        </w:rPr>
        <w:t xml:space="preserve">) Aprobar que la Dirección de Planificación asuma la Dirección de la Reforma Procesal de Familia y sea acompañada por el Juez Gestor de la materia y esta Comisión. </w:t>
      </w:r>
      <w:r w:rsidRPr="00AE1B2B">
        <w:rPr>
          <w:rFonts w:ascii="Times New Roman" w:hAnsi="Times New Roman" w:cs="Times New Roman"/>
          <w:b/>
          <w:bCs/>
          <w:i/>
          <w:sz w:val="26"/>
          <w:szCs w:val="26"/>
        </w:rPr>
        <w:t>2)</w:t>
      </w:r>
      <w:r w:rsidRPr="00AE1B2B">
        <w:rPr>
          <w:rFonts w:ascii="Times New Roman" w:hAnsi="Times New Roman" w:cs="Times New Roman"/>
          <w:i/>
          <w:sz w:val="26"/>
          <w:szCs w:val="26"/>
        </w:rPr>
        <w:t xml:space="preserve"> La Comisión de Familia, asume el compromiso de brindar el apoyo que corresponda en la parte que le compete.</w:t>
      </w:r>
    </w:p>
    <w:p w:rsidRPr="00AE1B2B" w:rsidR="009D3FB5" w:rsidP="00163B94" w:rsidRDefault="009D3FB5" w14:paraId="38F61F26"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Se tiene como acuerdo firme.”</w:t>
      </w:r>
    </w:p>
    <w:p w:rsidRPr="00AE1B2B" w:rsidR="009D3FB5" w:rsidP="00163B94" w:rsidRDefault="009D3FB5" w14:paraId="5515C859"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3FB3EC7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Oficios 991-PLA-ES-EV-2020 y 1004-PLA-ES-2020 aprobados por el Consejo Superior en sesión 70-2020 celebrada el 09 de julio del 2020, artículo LVIII donde acordó:</w:t>
      </w:r>
    </w:p>
    <w:p w:rsidRPr="00AE1B2B" w:rsidR="009D3FB5" w:rsidP="00163B94" w:rsidRDefault="009D3FB5" w14:paraId="7483DE9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1FFDBCB"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b/>
          <w:bCs/>
          <w:i/>
          <w:sz w:val="26"/>
          <w:szCs w:val="26"/>
        </w:rPr>
        <w:t>“Se acordó:</w:t>
      </w:r>
      <w:r w:rsidRPr="00AE1B2B">
        <w:rPr>
          <w:rFonts w:ascii="Times New Roman" w:hAnsi="Times New Roman" w:cs="Times New Roman"/>
          <w:i/>
          <w:sz w:val="26"/>
          <w:szCs w:val="26"/>
        </w:rPr>
        <w:t xml:space="preserve"> 1.) Tener por rendido el oficio N° 991-PLA-EV-ES-2020 de la Dirección de Planificación, relacionado con la gestión del Poder Judicial en cuanto a la oportunidad de la prestación del servicio público de administración de la justicia de los Juzgados de Familia y de Pensiones Alimentarias, esto con la aprobación de la Ley 9747 “Código Procesal de Familia”, con la entrada en vigencia el 1° de octubre de 2020. 2.)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 3.) Aprobar el plan de trabajo establecido por la Dirección de Planificación en el punto 9 de este informe, para brindar cumplimiento a lo establecido por la Contraloría General de la República en el estudio DFOE-PG-IF-00002-2020 relacionado con “Informe de la Auditoría Operativa sobre la Gestión del Poder Judicial en cuanto a la Oportunidad de la Prestación del Servicio Público de Administración de la Justicia de los Juzgados de Familia </w:t>
      </w:r>
      <w:r w:rsidRPr="00AE1B2B">
        <w:rPr>
          <w:rFonts w:ascii="Times New Roman" w:hAnsi="Times New Roman" w:cs="Times New Roman"/>
          <w:i/>
          <w:sz w:val="26"/>
          <w:szCs w:val="26"/>
        </w:rPr>
        <w:lastRenderedPageBreak/>
        <w:t>y de Pensiones Alimentarias”. 4.) Aprobar las giras y suministros de protección, solicitados en el punto 9.12 y conforme a la circular 22-PROV-2020 del Departamento de Proveeduría, para la realización de las giras para las personas trabajadoras de la Dirección de Planificación, tomando en consideración las medidas sanitarias en contra de disminuir el contagio del COVID-19. 5.) Aprobar los requerimientos solicitados a la Dirección de Tecnología de la Información, para la implementación de las recomendaciones emitidas por la Contraloría General de la República en el estudio DFOE-PG-IF-00002-2020, según se establece en el punto 11 de este informe. 6) Comunicar a los despachos judiciales en materia de familia y pensiones alimentarias que a partir de la carga generada del mes de agosto 2020 se incluirá dentro de las inconsistencias a revisar y corregir mensualmente las siguientes variables:</w:t>
      </w:r>
    </w:p>
    <w:p w:rsidRPr="00AE1B2B" w:rsidR="009D3FB5" w:rsidP="00163B94" w:rsidRDefault="009D3FB5" w14:paraId="4F9FBB69" w14:textId="77777777">
      <w:pPr>
        <w:spacing w:before="120" w:after="120"/>
        <w:ind w:left="851" w:right="851" w:firstLine="709"/>
        <w:jc w:val="both"/>
        <w:rPr>
          <w:rFonts w:ascii="Times New Roman" w:hAnsi="Times New Roman" w:cs="Times New Roman"/>
          <w:i/>
          <w:sz w:val="26"/>
          <w:szCs w:val="26"/>
        </w:rPr>
      </w:pPr>
    </w:p>
    <w:p w:rsidRPr="00AE1B2B" w:rsidR="009D3FB5" w:rsidP="00163B94" w:rsidRDefault="009D3FB5" w14:paraId="3DE57B9F"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w:t>
      </w:r>
      <w:r w:rsidRPr="00AE1B2B">
        <w:rPr>
          <w:rFonts w:ascii="Times New Roman" w:hAnsi="Times New Roman" w:cs="Times New Roman"/>
          <w:i/>
          <w:sz w:val="26"/>
          <w:szCs w:val="26"/>
        </w:rPr>
        <w:tab/>
      </w:r>
      <w:r w:rsidRPr="00AE1B2B">
        <w:rPr>
          <w:rFonts w:ascii="Times New Roman" w:hAnsi="Times New Roman" w:cs="Times New Roman"/>
          <w:i/>
          <w:sz w:val="26"/>
          <w:szCs w:val="26"/>
        </w:rPr>
        <w:t>Expedientes con fecha de entrada mayor a la fecha de término.</w:t>
      </w:r>
    </w:p>
    <w:p w:rsidRPr="00AE1B2B" w:rsidR="009D3FB5" w:rsidP="00163B94" w:rsidRDefault="009D3FB5" w14:paraId="27C45064"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w:t>
      </w:r>
      <w:r w:rsidRPr="00AE1B2B">
        <w:rPr>
          <w:rFonts w:ascii="Times New Roman" w:hAnsi="Times New Roman" w:cs="Times New Roman"/>
          <w:i/>
          <w:sz w:val="26"/>
          <w:szCs w:val="26"/>
        </w:rPr>
        <w:tab/>
      </w:r>
      <w:r w:rsidRPr="00AE1B2B">
        <w:rPr>
          <w:rFonts w:ascii="Times New Roman" w:hAnsi="Times New Roman" w:cs="Times New Roman"/>
          <w:i/>
          <w:sz w:val="26"/>
          <w:szCs w:val="26"/>
        </w:rPr>
        <w:t xml:space="preserve">Expedientes donde la clase de asunto asignada no corresponde a las aprobadas por la Comisión de Familia, Niñez y Adolescencia. </w:t>
      </w:r>
    </w:p>
    <w:p w:rsidRPr="00AE1B2B" w:rsidR="009D3FB5" w:rsidP="00163B94" w:rsidRDefault="009D3FB5" w14:paraId="314CC6B3"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w:t>
      </w:r>
      <w:r w:rsidRPr="00AE1B2B">
        <w:rPr>
          <w:rFonts w:ascii="Times New Roman" w:hAnsi="Times New Roman" w:cs="Times New Roman"/>
          <w:i/>
          <w:sz w:val="26"/>
          <w:szCs w:val="26"/>
        </w:rPr>
        <w:tab/>
      </w:r>
      <w:r w:rsidRPr="00AE1B2B">
        <w:rPr>
          <w:rFonts w:ascii="Times New Roman" w:hAnsi="Times New Roman" w:cs="Times New Roman"/>
          <w:i/>
          <w:sz w:val="26"/>
          <w:szCs w:val="26"/>
        </w:rPr>
        <w:t>Expedientes donde el procedimiento asignado no corresponde a los aprobados por la Comisión de Familia, Niñez y Adolescencia.</w:t>
      </w:r>
    </w:p>
    <w:p w:rsidRPr="00AE1B2B" w:rsidR="009D3FB5" w:rsidP="00163B94" w:rsidRDefault="009D3FB5" w14:paraId="696F879C"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w:t>
      </w:r>
      <w:r w:rsidRPr="00AE1B2B">
        <w:rPr>
          <w:rFonts w:ascii="Times New Roman" w:hAnsi="Times New Roman" w:cs="Times New Roman"/>
          <w:i/>
          <w:sz w:val="26"/>
          <w:szCs w:val="26"/>
        </w:rPr>
        <w:tab/>
      </w:r>
      <w:r w:rsidRPr="00AE1B2B">
        <w:rPr>
          <w:rFonts w:ascii="Times New Roman" w:hAnsi="Times New Roman" w:cs="Times New Roman"/>
          <w:i/>
          <w:sz w:val="26"/>
          <w:szCs w:val="26"/>
        </w:rPr>
        <w:t>Expedientes donde el principal se encuentra cerrado estadísticamente, pero tiene un incidente o legajo de apremio que se está tramitando.</w:t>
      </w:r>
    </w:p>
    <w:p w:rsidRPr="00AE1B2B" w:rsidR="009D3FB5" w:rsidP="00163B94" w:rsidRDefault="009D3FB5" w14:paraId="76B2498E"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w:t>
      </w:r>
      <w:r w:rsidRPr="00AE1B2B">
        <w:rPr>
          <w:rFonts w:ascii="Times New Roman" w:hAnsi="Times New Roman" w:cs="Times New Roman"/>
          <w:i/>
          <w:sz w:val="26"/>
          <w:szCs w:val="26"/>
        </w:rPr>
        <w:tab/>
      </w:r>
      <w:r w:rsidRPr="00AE1B2B">
        <w:rPr>
          <w:rFonts w:ascii="Times New Roman" w:hAnsi="Times New Roman" w:cs="Times New Roman"/>
          <w:i/>
          <w:sz w:val="26"/>
          <w:szCs w:val="26"/>
        </w:rPr>
        <w:t xml:space="preserve">Expedientes donde la fecha de pase a fallo sea menor a la fecha de dictado de sentencia. </w:t>
      </w:r>
    </w:p>
    <w:p w:rsidRPr="00AE1B2B" w:rsidR="009D3FB5" w:rsidP="00163B94" w:rsidRDefault="009D3FB5" w14:paraId="30BCBD48"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 xml:space="preserve">7.) Reiterar a los despachos judiciales en materia de familia y pensiones alimentarias las circulares 87-15, 159-15, 27 y 28-16, 160-16, 89-18, 133-18 y 94-2019 con relación a la obligación de mantener todos los registros actualizados en el Sistema de Gestión y Escritorio Virtual. Aclarando que los datos que se visualizan en los reportes de inconsistencias estadístico que se generan hoy día son: </w:t>
      </w:r>
    </w:p>
    <w:p w:rsidRPr="00AE1B2B" w:rsidR="009D3FB5" w:rsidP="00163B94" w:rsidRDefault="009D3FB5" w14:paraId="53B62DD3" w14:textId="77777777">
      <w:pPr>
        <w:spacing w:before="120" w:after="120"/>
        <w:ind w:left="851" w:right="851" w:firstLine="709"/>
        <w:jc w:val="both"/>
        <w:rPr>
          <w:rFonts w:ascii="Times New Roman" w:hAnsi="Times New Roman" w:cs="Times New Roman"/>
          <w:i/>
          <w:sz w:val="26"/>
          <w:szCs w:val="26"/>
        </w:rPr>
      </w:pPr>
    </w:p>
    <w:p w:rsidRPr="00AE1B2B" w:rsidR="009D3FB5" w:rsidP="00163B94" w:rsidRDefault="009D3FB5" w14:paraId="0F08DA1D"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w:t>
      </w:r>
      <w:r w:rsidRPr="00AE1B2B">
        <w:rPr>
          <w:rFonts w:ascii="Times New Roman" w:hAnsi="Times New Roman" w:cs="Times New Roman"/>
          <w:i/>
          <w:sz w:val="26"/>
          <w:szCs w:val="26"/>
        </w:rPr>
        <w:tab/>
      </w:r>
      <w:r w:rsidRPr="00AE1B2B">
        <w:rPr>
          <w:rFonts w:ascii="Times New Roman" w:hAnsi="Times New Roman" w:cs="Times New Roman"/>
          <w:i/>
          <w:sz w:val="26"/>
          <w:szCs w:val="26"/>
        </w:rPr>
        <w:t>Datos generales: variable acorde al tipo de carpeta.</w:t>
      </w:r>
    </w:p>
    <w:p w:rsidRPr="00AE1B2B" w:rsidR="009D3FB5" w:rsidP="00163B94" w:rsidRDefault="009D3FB5" w14:paraId="61A43192"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w:t>
      </w:r>
      <w:r w:rsidRPr="00AE1B2B">
        <w:rPr>
          <w:rFonts w:ascii="Times New Roman" w:hAnsi="Times New Roman" w:cs="Times New Roman"/>
          <w:i/>
          <w:sz w:val="26"/>
          <w:szCs w:val="26"/>
        </w:rPr>
        <w:tab/>
      </w:r>
      <w:r w:rsidRPr="00AE1B2B">
        <w:rPr>
          <w:rFonts w:ascii="Times New Roman" w:hAnsi="Times New Roman" w:cs="Times New Roman"/>
          <w:i/>
          <w:sz w:val="26"/>
          <w:szCs w:val="26"/>
        </w:rPr>
        <w:t>Datos de seguimiento: procedimiento, fase y estado</w:t>
      </w:r>
    </w:p>
    <w:p w:rsidRPr="00AE1B2B" w:rsidR="009D3FB5" w:rsidP="00163B94" w:rsidRDefault="009D3FB5" w14:paraId="730EA03A"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w:t>
      </w:r>
      <w:r w:rsidRPr="00AE1B2B">
        <w:rPr>
          <w:rFonts w:ascii="Times New Roman" w:hAnsi="Times New Roman" w:cs="Times New Roman"/>
          <w:i/>
          <w:sz w:val="26"/>
          <w:szCs w:val="26"/>
        </w:rPr>
        <w:tab/>
      </w:r>
      <w:r w:rsidRPr="00AE1B2B">
        <w:rPr>
          <w:rFonts w:ascii="Times New Roman" w:hAnsi="Times New Roman" w:cs="Times New Roman"/>
          <w:i/>
          <w:sz w:val="26"/>
          <w:szCs w:val="26"/>
        </w:rPr>
        <w:t xml:space="preserve">Responsables: decisor, tramitador y auxiliar. </w:t>
      </w:r>
    </w:p>
    <w:p w:rsidRPr="00AE1B2B" w:rsidR="009D3FB5" w:rsidP="00163B94" w:rsidRDefault="009D3FB5" w14:paraId="1325CA62"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lastRenderedPageBreak/>
        <w:t>•</w:t>
      </w:r>
      <w:r w:rsidRPr="00AE1B2B">
        <w:rPr>
          <w:rFonts w:ascii="Times New Roman" w:hAnsi="Times New Roman" w:cs="Times New Roman"/>
          <w:i/>
          <w:sz w:val="26"/>
          <w:szCs w:val="26"/>
        </w:rPr>
        <w:tab/>
      </w:r>
      <w:r w:rsidRPr="00AE1B2B">
        <w:rPr>
          <w:rFonts w:ascii="Times New Roman" w:hAnsi="Times New Roman" w:cs="Times New Roman"/>
          <w:i/>
          <w:sz w:val="26"/>
          <w:szCs w:val="26"/>
        </w:rPr>
        <w:t xml:space="preserve">Ubicaciones y tareas: que coincida con la fase. </w:t>
      </w:r>
    </w:p>
    <w:p w:rsidRPr="00AE1B2B" w:rsidR="009D3FB5" w:rsidP="00163B94" w:rsidRDefault="009D3FB5" w14:paraId="2BD1C813"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w:t>
      </w:r>
      <w:r w:rsidRPr="00AE1B2B">
        <w:rPr>
          <w:rFonts w:ascii="Times New Roman" w:hAnsi="Times New Roman" w:cs="Times New Roman"/>
          <w:i/>
          <w:sz w:val="26"/>
          <w:szCs w:val="26"/>
        </w:rPr>
        <w:tab/>
      </w:r>
      <w:r w:rsidRPr="00AE1B2B">
        <w:rPr>
          <w:rFonts w:ascii="Times New Roman" w:hAnsi="Times New Roman" w:cs="Times New Roman"/>
          <w:i/>
          <w:sz w:val="26"/>
          <w:szCs w:val="26"/>
        </w:rPr>
        <w:t>Sello de inventario: opción inventario 2020.</w:t>
      </w:r>
    </w:p>
    <w:p w:rsidRPr="00AE1B2B" w:rsidR="009D3FB5" w:rsidP="00163B94" w:rsidRDefault="009D3FB5" w14:paraId="29F55CC4"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w:t>
      </w:r>
      <w:r w:rsidRPr="00AE1B2B">
        <w:rPr>
          <w:rFonts w:ascii="Times New Roman" w:hAnsi="Times New Roman" w:cs="Times New Roman"/>
          <w:i/>
          <w:sz w:val="26"/>
          <w:szCs w:val="26"/>
        </w:rPr>
        <w:tab/>
      </w:r>
      <w:r w:rsidRPr="00AE1B2B">
        <w:rPr>
          <w:rFonts w:ascii="Times New Roman" w:hAnsi="Times New Roman" w:cs="Times New Roman"/>
          <w:i/>
          <w:sz w:val="26"/>
          <w:szCs w:val="26"/>
        </w:rPr>
        <w:t>Intervinientes: sexo, edad, nacionalidad, domicilio, ocupación, estado civil, fecha de nacimiento, Grupo étnico.</w:t>
      </w:r>
    </w:p>
    <w:p w:rsidRPr="00AE1B2B" w:rsidR="009D3FB5" w:rsidP="00163B94" w:rsidRDefault="009D3FB5" w14:paraId="44F49934"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w:t>
      </w:r>
      <w:r w:rsidRPr="00AE1B2B">
        <w:rPr>
          <w:rFonts w:ascii="Times New Roman" w:hAnsi="Times New Roman" w:cs="Times New Roman"/>
          <w:i/>
          <w:sz w:val="26"/>
          <w:szCs w:val="26"/>
        </w:rPr>
        <w:tab/>
      </w:r>
      <w:r w:rsidRPr="00AE1B2B">
        <w:rPr>
          <w:rFonts w:ascii="Times New Roman" w:hAnsi="Times New Roman" w:cs="Times New Roman"/>
          <w:i/>
          <w:sz w:val="26"/>
          <w:szCs w:val="26"/>
        </w:rPr>
        <w:t xml:space="preserve">Datos adicionales: Testimonio de piezas: tenga marca de si es o no un testimonio; Cantón de procedencia, procedencia. </w:t>
      </w:r>
    </w:p>
    <w:p w:rsidRPr="00AE1B2B" w:rsidR="009D3FB5" w:rsidP="00163B94" w:rsidRDefault="009D3FB5" w14:paraId="76A63D19"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Por lo anterior, indicado las personas servidoras deben velar por el debido registro de la información, igualmente los jueces coordinadores y juezas coordinadoras deberán informar que los datos registrados en sus sistemas, es la que se encuentra activa en sus despachos y que corresponde a la realidad actual de los registros, esto al mes de diciembre, ya que es lo que solicita la Contraloría General de la República.</w:t>
      </w:r>
    </w:p>
    <w:p w:rsidRPr="00AE1B2B" w:rsidR="009D3FB5" w:rsidP="00163B94" w:rsidRDefault="009D3FB5" w14:paraId="6282E6C9" w14:textId="77777777">
      <w:pPr>
        <w:spacing w:before="120" w:after="120"/>
        <w:ind w:left="851" w:right="851" w:firstLine="709"/>
        <w:jc w:val="both"/>
        <w:rPr>
          <w:rFonts w:ascii="Times New Roman" w:hAnsi="Times New Roman" w:cs="Times New Roman"/>
          <w:i/>
          <w:sz w:val="26"/>
          <w:szCs w:val="26"/>
        </w:rPr>
      </w:pPr>
    </w:p>
    <w:p w:rsidRPr="00AE1B2B" w:rsidR="009D3FB5" w:rsidP="00163B94" w:rsidRDefault="009D3FB5" w14:paraId="52DC8CDA" w14:textId="77777777">
      <w:pPr>
        <w:spacing w:before="120" w:after="120"/>
        <w:ind w:left="851" w:right="851" w:firstLine="709"/>
        <w:jc w:val="both"/>
        <w:rPr>
          <w:rFonts w:ascii="Times New Roman" w:hAnsi="Times New Roman" w:cs="Times New Roman"/>
          <w:b/>
          <w:bCs/>
          <w:sz w:val="26"/>
          <w:szCs w:val="26"/>
        </w:rPr>
      </w:pPr>
      <w:r w:rsidRPr="00AE1B2B">
        <w:rPr>
          <w:rFonts w:ascii="Times New Roman" w:hAnsi="Times New Roman" w:cs="Times New Roman"/>
          <w:i/>
          <w:sz w:val="26"/>
          <w:szCs w:val="26"/>
        </w:rPr>
        <w:t>8.) La Comisión de Familia, Niñez y Adolescencia deberá: a) Presentar a la Dirección de la Planificación la documentación del Proyecto que mantiene pendiente (el plan de gestión y el segundo avance, conforme al acuerdo del Consejo Superior sesión 108-2019 celebrada el 12 de diciembre de 2019, artículo LXXI), lo anterior para dar continuidad a plan de trabajo. b) Dar cumplimiento a lo indicado en el punto 12 de este oficio e informar su grado de avance según el plan de trabajo. 9.) El Centro de Apoyo, Coordinación y Mejoramiento de la Función Jurisdiccional deberá realizar en conjunto con el Subproceso de Evaluación de la Dirección de Planificación, una propuesta que plantee el apartado sobre la aplicación del Régimen Disciplinario ante el incumplimiento de las acciones establecidas en el procedimiento del Modelo de Sostenibilidad. 10.) El Despacho de la Presidencia dará el seguimiento respectivo con la finalidad de atender los plazos impuestos por la Contraloría General de la República. 11.) La Dirección de Tecnología de la Información deberá incluir el reporte 11.9.4., Reporte que permita visualizar clases de asuntos por tipo de carpeta por ejemplo un expediente principal con clase de asunto incidente cobro de honorario o como legajo de apremio dentro de los requerimientos actuales para el Sistema de Gestión nuevo. 12.) En cuanto al oficio N° 1004-PLA-ES-2020 del 6 de julio de 2020, emitido por la Dirección de Planificación, se acoge las recomendaciones indicadas, en consecuencia: a.) Se toma nota de las inconsistencias detectadas en las oficinas competentes en materia de Familia y Pensiones Alimentarias a nivel nacional en cumplimiento de la recomendación 4.8. del informe DFOE-PG-IF-</w:t>
      </w:r>
      <w:r w:rsidRPr="00AE1B2B">
        <w:rPr>
          <w:rFonts w:ascii="Times New Roman" w:hAnsi="Times New Roman" w:cs="Times New Roman"/>
          <w:i/>
          <w:sz w:val="26"/>
          <w:szCs w:val="26"/>
        </w:rPr>
        <w:lastRenderedPageBreak/>
        <w:t xml:space="preserve">00002-2020 de la Contraloría General de la República y el acuerdo del Consejo Superior 19-2020 celebrada el 10 de marzo del 2020, artículo LI. b.) Deberán las oficinas competentes en materia de Familia y Pensiones Alimentarias a nivel nacional corregir las inconsistencias detectadas en los presentes informes. c.) Reiterar las instrucciones y circulares a Despachos Judiciales en materia de pensiones alimentarias y de Familia la obligatoriedad de mantener los sistemas informáticos con la información actualiza y registrada de forma correcta. d.) A la Comisión de Familia Niñez y Adolescencia deberá tomar nota de los resultados obtenidos en las revisiones a nivel nacional de inconsistencias en materia de Familia y Pensiones Alimentarias con corte al 31 de mayo 2020, por lo que deberá reiterar a los Despachos Judiciales en materia de Familia y Pensiones Alimentarias el cumplimiento en cuanto a las obligaciones de mantener los sistemas informáticos actualizados. e.) El Centro de Apoyo, Coordinación y Mejoramiento de la Función Jurisdiccional, deberá dar seguimiento al cumplimiento de las recomendaciones aquí emitidas por parte de las oficinas judiciales. 13.) Hacer este acuerdo de conocimiento de la Dirección de Planificación, del Departamento de Tecnología de la Información, del Centro de Apoyo, Coordinación y Mejoramiento de la Función Jurisdiccional, del Despacho de la Presidencia, de la Comisión de Familia, Niñez y Adolescencia, de los despachos en materia de familia y pensiones alimentarias, de la Auditoría Judicial, de la Oficina de Control Interno y de la Contraloría General de la República, para lo que a cada una corresponda. 14.) La Dirección de Planificación realizará el seguimiento correspondiente e informará oportunamente a este Consejo lo pertinente. </w:t>
      </w:r>
      <w:r w:rsidRPr="00AE1B2B">
        <w:rPr>
          <w:rFonts w:ascii="Times New Roman" w:hAnsi="Times New Roman" w:cs="Times New Roman"/>
          <w:b/>
          <w:bCs/>
          <w:i/>
          <w:sz w:val="26"/>
          <w:szCs w:val="26"/>
        </w:rPr>
        <w:t>Se declara acuerdo firme.”</w:t>
      </w:r>
    </w:p>
    <w:p w:rsidRPr="00AE1B2B" w:rsidR="009D3FB5" w:rsidP="00163B94" w:rsidRDefault="009D3FB5" w14:paraId="72146D3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4AFF2DD" w14:textId="46823CD6">
      <w:pPr>
        <w:pStyle w:val="NormalWeb"/>
        <w:spacing w:before="120" w:after="120"/>
        <w:ind w:left="851" w:right="851" w:firstLine="709"/>
        <w:jc w:val="both"/>
        <w:rPr>
          <w:rFonts w:ascii="Times New Roman" w:hAnsi="Times New Roman" w:cs="Times New Roman"/>
          <w:color w:val="auto"/>
          <w:sz w:val="26"/>
          <w:szCs w:val="26"/>
        </w:rPr>
      </w:pPr>
      <w:bookmarkStart w:name="_Hlk63165716" w:id="55"/>
      <w:r w:rsidRPr="00AE1B2B">
        <w:rPr>
          <w:rFonts w:ascii="Times New Roman" w:hAnsi="Times New Roman" w:cs="Times New Roman"/>
          <w:color w:val="auto"/>
          <w:sz w:val="26"/>
          <w:szCs w:val="26"/>
        </w:rPr>
        <w:t>Respecto a las recomendaciones dadas por la Contraloría General de la República se encuentra en proceso la implementación de algunas de las recomendaciones con el siguiente grado de avance a marzo 2020. *Se actualizan las metas de las recomendaciones 4.6, 4.8, 4.9 y 4.10 al 31 de julio 2021 según la prorroga concedida por la Contraloría General de la República.</w:t>
      </w:r>
      <w:r w:rsidRPr="00AE1B2B" w:rsidR="00BB7720">
        <w:rPr>
          <w:rFonts w:ascii="Times New Roman" w:hAnsi="Times New Roman" w:cs="Times New Roman"/>
          <w:color w:val="auto"/>
          <w:sz w:val="26"/>
          <w:szCs w:val="26"/>
        </w:rPr>
        <w:t xml:space="preserve"> </w:t>
      </w:r>
    </w:p>
    <w:p w:rsidRPr="00AE1B2B" w:rsidR="009D3FB5" w:rsidP="00163B94" w:rsidRDefault="009D3FB5" w14:paraId="3D04CE32" w14:textId="77777777">
      <w:pPr>
        <w:pStyle w:val="NormalWeb"/>
        <w:spacing w:before="120" w:after="120"/>
        <w:ind w:left="851" w:right="851" w:firstLine="709"/>
        <w:jc w:val="both"/>
        <w:rPr>
          <w:rFonts w:ascii="Times New Roman" w:hAnsi="Times New Roman" w:cs="Times New Roman"/>
          <w:color w:val="auto"/>
          <w:sz w:val="26"/>
          <w:szCs w:val="26"/>
        </w:rPr>
      </w:pPr>
    </w:p>
    <w:p w:rsidRPr="00AE1B2B" w:rsidR="009D3FB5" w:rsidP="00163B94" w:rsidRDefault="009D3FB5" w14:paraId="7C6719B2" w14:textId="77777777">
      <w:pPr>
        <w:pStyle w:val="NormalWeb"/>
        <w:numPr>
          <w:ilvl w:val="0"/>
          <w:numId w:val="80"/>
        </w:numPr>
        <w:spacing w:before="120" w:after="120"/>
        <w:ind w:left="851" w:right="851" w:firstLine="709"/>
        <w:jc w:val="both"/>
        <w:rPr>
          <w:rFonts w:ascii="Times New Roman" w:hAnsi="Times New Roman" w:cs="Times New Roman"/>
          <w:color w:val="auto"/>
          <w:sz w:val="26"/>
          <w:szCs w:val="26"/>
        </w:rPr>
      </w:pPr>
      <w:r w:rsidRPr="00AE1B2B">
        <w:rPr>
          <w:rFonts w:ascii="Times New Roman" w:hAnsi="Times New Roman" w:cs="Times New Roman"/>
          <w:color w:val="auto"/>
          <w:sz w:val="26"/>
          <w:szCs w:val="26"/>
        </w:rPr>
        <w:t>Recomendación 4.4: meta 1 y 2 al 100%.</w:t>
      </w:r>
    </w:p>
    <w:p w:rsidRPr="00AE1B2B" w:rsidR="009D3FB5" w:rsidP="00163B94" w:rsidRDefault="009D3FB5" w14:paraId="1A51B116" w14:textId="77777777">
      <w:pPr>
        <w:pStyle w:val="NormalWeb"/>
        <w:spacing w:before="120" w:after="120"/>
        <w:ind w:left="851" w:right="851" w:firstLine="709"/>
        <w:jc w:val="both"/>
        <w:rPr>
          <w:rFonts w:ascii="Times New Roman" w:hAnsi="Times New Roman" w:cs="Times New Roman"/>
          <w:color w:val="auto"/>
          <w:sz w:val="26"/>
          <w:szCs w:val="26"/>
        </w:rPr>
      </w:pPr>
      <w:r w:rsidRPr="00AE1B2B">
        <w:rPr>
          <w:rFonts w:ascii="Times New Roman" w:hAnsi="Times New Roman" w:cs="Times New Roman"/>
          <w:i/>
          <w:iCs/>
          <w:color w:val="auto"/>
          <w:sz w:val="26"/>
          <w:szCs w:val="26"/>
        </w:rPr>
        <w:t xml:space="preserve">“Recomendación 4.4: Definir e implementar rangos de duración de los procesos judiciales de familia y de pensiones alimentarias basados en datos que consideren como mínimo las particularidades de los juzgados, que le permitan contar con un </w:t>
      </w:r>
      <w:r w:rsidRPr="00AE1B2B">
        <w:rPr>
          <w:rFonts w:ascii="Times New Roman" w:hAnsi="Times New Roman" w:cs="Times New Roman"/>
          <w:i/>
          <w:iCs/>
          <w:color w:val="auto"/>
          <w:sz w:val="26"/>
          <w:szCs w:val="26"/>
        </w:rPr>
        <w:lastRenderedPageBreak/>
        <w:t>insumo base para determinar la razonabilidad de la duración de dichos procesos a fin de monitorear la gestión de los juzgados desde una perspectiva que incluya su realidad. Al respecto, se le solicita remitir a esta Contraloría General, a más tardar el 31 de agosto de 2020, una certificación que acredite la definición de los rangos de duración de los procesos judiciales de familia de pensiones alimentarias conforme lo dispuesto, así como una certificación en la cual conste su implementación a más tardar el 30 de noviembre de 2020”.</w:t>
      </w:r>
    </w:p>
    <w:p w:rsidRPr="00AE1B2B" w:rsidR="009D3FB5" w:rsidP="00163B94" w:rsidRDefault="009D3FB5" w14:paraId="4B03505D" w14:textId="77777777">
      <w:pPr>
        <w:pStyle w:val="NormalWeb"/>
        <w:spacing w:before="120" w:after="120"/>
        <w:ind w:left="851" w:right="851" w:firstLine="709"/>
        <w:jc w:val="both"/>
        <w:rPr>
          <w:rFonts w:ascii="Times New Roman" w:hAnsi="Times New Roman" w:cs="Times New Roman"/>
          <w:color w:val="auto"/>
          <w:sz w:val="26"/>
          <w:szCs w:val="26"/>
        </w:rPr>
      </w:pPr>
    </w:p>
    <w:p w:rsidRPr="00AE1B2B" w:rsidR="009D3FB5" w:rsidP="00163B94" w:rsidRDefault="009D3FB5" w14:paraId="592EE28A" w14:textId="6B96044A">
      <w:pPr>
        <w:pStyle w:val="NormalWeb"/>
        <w:widowControl/>
        <w:numPr>
          <w:ilvl w:val="0"/>
          <w:numId w:val="78"/>
        </w:numPr>
        <w:autoSpaceDE/>
        <w:autoSpaceDN/>
        <w:adjustRightInd/>
        <w:spacing w:before="120" w:after="120"/>
        <w:ind w:left="851" w:right="851" w:firstLine="709"/>
        <w:jc w:val="both"/>
        <w:rPr>
          <w:rFonts w:ascii="Times New Roman" w:hAnsi="Times New Roman" w:cs="Times New Roman"/>
          <w:color w:val="auto"/>
          <w:sz w:val="26"/>
          <w:szCs w:val="26"/>
        </w:rPr>
      </w:pPr>
      <w:r w:rsidRPr="00AE1B2B">
        <w:rPr>
          <w:rFonts w:ascii="Times New Roman" w:hAnsi="Times New Roman" w:cs="Times New Roman"/>
          <w:color w:val="auto"/>
          <w:sz w:val="26"/>
          <w:szCs w:val="26"/>
        </w:rPr>
        <w:t>Recomendación 4.5:</w:t>
      </w:r>
      <w:r w:rsidRPr="00AE1B2B" w:rsidR="00BB7720">
        <w:rPr>
          <w:rFonts w:ascii="Times New Roman" w:hAnsi="Times New Roman" w:cs="Times New Roman"/>
          <w:color w:val="auto"/>
          <w:sz w:val="26"/>
          <w:szCs w:val="26"/>
        </w:rPr>
        <w:t xml:space="preserve"> </w:t>
      </w:r>
      <w:r w:rsidRPr="00AE1B2B">
        <w:rPr>
          <w:rFonts w:ascii="Times New Roman" w:hAnsi="Times New Roman" w:cs="Times New Roman"/>
          <w:color w:val="auto"/>
          <w:sz w:val="26"/>
          <w:szCs w:val="26"/>
        </w:rPr>
        <w:t>meta 1 al 100% y meta 2 al 100%</w:t>
      </w:r>
    </w:p>
    <w:p w:rsidRPr="00AE1B2B" w:rsidR="009D3FB5" w:rsidP="00163B94" w:rsidRDefault="009D3FB5" w14:paraId="76B5B167" w14:textId="029F741B">
      <w:pPr>
        <w:pStyle w:val="NormalWeb"/>
        <w:spacing w:before="120" w:after="120"/>
        <w:ind w:left="851" w:right="851" w:firstLine="709"/>
        <w:jc w:val="both"/>
        <w:rPr>
          <w:rFonts w:ascii="Times New Roman" w:hAnsi="Times New Roman" w:cs="Times New Roman"/>
          <w:i/>
          <w:iCs/>
          <w:color w:val="auto"/>
          <w:sz w:val="26"/>
          <w:szCs w:val="26"/>
        </w:rPr>
      </w:pPr>
      <w:r w:rsidRPr="00AE1B2B">
        <w:rPr>
          <w:rFonts w:ascii="Times New Roman" w:hAnsi="Times New Roman" w:cs="Times New Roman"/>
          <w:i/>
          <w:iCs/>
          <w:color w:val="auto"/>
          <w:sz w:val="26"/>
          <w:szCs w:val="26"/>
        </w:rPr>
        <w:t xml:space="preserve">“Recomendación 4.5: Diseñar y establecer formalmente la herramienta de “libro de pase a fallo”, con el objetivo de que se cuente con un mecanismo estandarizado para todos los juzgados que facilite el control del cumplimiento de los plazos establecidos en el artículo 45 de la Ley de Pensiones Alimentarias N.°7654 para el caso de esta materia y lo establecido en el Código de Familia y Código Procesal Civil según el tipo de proceso de familia que corresponda. Remitir a la Contraloría General a más tardar el 15 de octubre de 2020, una certificación que acredite el establecimiento formal de la herramienta, así como una certificación a más tardar el 15 de marzo de 2021 en la cual conste su implementación. </w:t>
      </w:r>
      <w:r w:rsidRPr="00AE1B2B">
        <w:rPr>
          <w:rFonts w:ascii="Times New Roman" w:hAnsi="Times New Roman" w:cs="Times New Roman"/>
          <w:color w:val="auto"/>
          <w:sz w:val="26"/>
          <w:szCs w:val="26"/>
        </w:rPr>
        <w:t>Ver párrafo del 2.29 al 2.32 y del 2.39 al 2.40</w:t>
      </w:r>
      <w:r w:rsidRPr="00AE1B2B">
        <w:rPr>
          <w:rFonts w:ascii="Times New Roman" w:hAnsi="Times New Roman" w:cs="Times New Roman"/>
          <w:i/>
          <w:iCs/>
          <w:color w:val="auto"/>
          <w:sz w:val="26"/>
          <w:szCs w:val="26"/>
        </w:rPr>
        <w:t>”.</w:t>
      </w:r>
    </w:p>
    <w:p w:rsidRPr="00AE1B2B" w:rsidR="00C5524E" w:rsidP="00163B94" w:rsidRDefault="00C5524E" w14:paraId="1D5CD3C5" w14:textId="0D34FADF">
      <w:pPr>
        <w:pStyle w:val="NormalWeb"/>
        <w:spacing w:before="120" w:after="120"/>
        <w:ind w:left="851" w:right="851" w:firstLine="709"/>
        <w:jc w:val="both"/>
        <w:rPr>
          <w:rFonts w:ascii="Times New Roman" w:hAnsi="Times New Roman" w:cs="Times New Roman"/>
          <w:color w:val="auto"/>
          <w:sz w:val="26"/>
          <w:szCs w:val="26"/>
        </w:rPr>
      </w:pPr>
    </w:p>
    <w:p w:rsidRPr="00AE1B2B" w:rsidR="009D3FB5" w:rsidP="00163B94" w:rsidRDefault="009D3FB5" w14:paraId="3363C47D" w14:textId="3B53C430">
      <w:pPr>
        <w:pStyle w:val="NormalWeb"/>
        <w:widowControl/>
        <w:numPr>
          <w:ilvl w:val="0"/>
          <w:numId w:val="78"/>
        </w:numPr>
        <w:autoSpaceDE/>
        <w:autoSpaceDN/>
        <w:adjustRightInd/>
        <w:spacing w:before="120" w:after="120"/>
        <w:ind w:left="851" w:right="851" w:firstLine="709"/>
        <w:jc w:val="both"/>
        <w:rPr>
          <w:rFonts w:ascii="Times New Roman" w:hAnsi="Times New Roman" w:cs="Times New Roman"/>
          <w:color w:val="auto"/>
          <w:sz w:val="26"/>
          <w:szCs w:val="26"/>
        </w:rPr>
      </w:pPr>
      <w:r w:rsidRPr="00AE1B2B">
        <w:rPr>
          <w:rFonts w:ascii="Times New Roman" w:hAnsi="Times New Roman" w:cs="Times New Roman"/>
          <w:color w:val="auto"/>
          <w:sz w:val="26"/>
          <w:szCs w:val="26"/>
        </w:rPr>
        <w:t>Recomendación 4.6:</w:t>
      </w:r>
      <w:r w:rsidRPr="00AE1B2B" w:rsidR="00BB7720">
        <w:rPr>
          <w:rFonts w:ascii="Times New Roman" w:hAnsi="Times New Roman" w:cs="Times New Roman"/>
          <w:color w:val="auto"/>
          <w:sz w:val="26"/>
          <w:szCs w:val="26"/>
        </w:rPr>
        <w:t xml:space="preserve"> </w:t>
      </w:r>
      <w:r w:rsidRPr="00AE1B2B">
        <w:rPr>
          <w:rFonts w:ascii="Times New Roman" w:hAnsi="Times New Roman" w:cs="Times New Roman"/>
          <w:color w:val="auto"/>
          <w:sz w:val="26"/>
          <w:szCs w:val="26"/>
        </w:rPr>
        <w:t>meta 1 al 100% y meta 2 al 28%.</w:t>
      </w:r>
    </w:p>
    <w:p w:rsidRPr="00AE1B2B" w:rsidR="009D3FB5" w:rsidP="00163B94" w:rsidRDefault="009D3FB5" w14:paraId="1575C3DB" w14:textId="4488E95F">
      <w:pPr>
        <w:pStyle w:val="NormalWeb"/>
        <w:spacing w:before="120" w:after="120"/>
        <w:ind w:left="851" w:right="851" w:firstLine="709"/>
        <w:jc w:val="both"/>
        <w:rPr>
          <w:rFonts w:ascii="Times New Roman" w:hAnsi="Times New Roman" w:cs="Times New Roman"/>
          <w:color w:val="auto"/>
          <w:sz w:val="26"/>
          <w:szCs w:val="26"/>
        </w:rPr>
      </w:pPr>
      <w:r w:rsidRPr="00AE1B2B">
        <w:rPr>
          <w:rFonts w:ascii="Times New Roman" w:hAnsi="Times New Roman" w:cs="Times New Roman"/>
          <w:i/>
          <w:iCs/>
          <w:color w:val="auto"/>
          <w:sz w:val="26"/>
          <w:szCs w:val="26"/>
        </w:rPr>
        <w:t>“Recomendación 4.6: Establecer e implementar instrumentos que faciliten la distribución de las cargas de trabajo a partir de parámetros técnicos y estadísticos en los que se considere el personal respecto del circulante que maneja el juzgado con el fin de propiciar una distribución uniforme de las cargas de trabajo en los despachos judiciales de familia y de pensiones. Remitir a la Contraloría General a más tardar el 31 de agosto de 2020, una certificación en la cual conste que se establecieron los instrumentos que faciliten la distribución de las cargas de trabajo a partir de parámetros técnicos y estadísticos; así como una certificación que acredite la implementación de los instrumentos solicitados a más tardar el *31 de julio 2021. Ver párrafos del 2.41 al 2.45</w:t>
      </w:r>
      <w:r w:rsidRPr="00AE1B2B">
        <w:rPr>
          <w:rFonts w:ascii="Times New Roman" w:hAnsi="Times New Roman" w:cs="Times New Roman"/>
          <w:color w:val="auto"/>
          <w:sz w:val="26"/>
          <w:szCs w:val="26"/>
        </w:rPr>
        <w:t>”.</w:t>
      </w:r>
    </w:p>
    <w:p w:rsidRPr="00AE1B2B" w:rsidR="00C5524E" w:rsidP="00163B94" w:rsidRDefault="00C5524E" w14:paraId="536DA95E" w14:textId="77777777">
      <w:pPr>
        <w:pStyle w:val="NormalWeb"/>
        <w:spacing w:before="120" w:after="120"/>
        <w:ind w:left="851" w:right="851" w:firstLine="709"/>
        <w:jc w:val="both"/>
        <w:rPr>
          <w:rFonts w:ascii="Times New Roman" w:hAnsi="Times New Roman" w:cs="Times New Roman"/>
          <w:color w:val="auto"/>
          <w:sz w:val="26"/>
          <w:szCs w:val="26"/>
        </w:rPr>
      </w:pPr>
    </w:p>
    <w:p w:rsidRPr="00AE1B2B" w:rsidR="009D3FB5" w:rsidP="00163B94" w:rsidRDefault="009D3FB5" w14:paraId="61E7773B" w14:textId="77777777">
      <w:pPr>
        <w:pStyle w:val="NormalWeb"/>
        <w:widowControl/>
        <w:numPr>
          <w:ilvl w:val="0"/>
          <w:numId w:val="78"/>
        </w:numPr>
        <w:autoSpaceDE/>
        <w:autoSpaceDN/>
        <w:adjustRightInd/>
        <w:spacing w:before="120" w:after="120"/>
        <w:ind w:left="851" w:right="851" w:firstLine="709"/>
        <w:jc w:val="both"/>
        <w:rPr>
          <w:rFonts w:ascii="Times New Roman" w:hAnsi="Times New Roman" w:cs="Times New Roman"/>
          <w:color w:val="auto"/>
          <w:sz w:val="26"/>
          <w:szCs w:val="26"/>
        </w:rPr>
      </w:pPr>
      <w:r w:rsidRPr="00AE1B2B">
        <w:rPr>
          <w:rFonts w:ascii="Times New Roman" w:hAnsi="Times New Roman" w:cs="Times New Roman"/>
          <w:color w:val="auto"/>
          <w:sz w:val="26"/>
          <w:szCs w:val="26"/>
        </w:rPr>
        <w:t>Recomendación 4.7: meta 1 al 100% y meta 2 al 100%.</w:t>
      </w:r>
    </w:p>
    <w:p w:rsidRPr="00AE1B2B" w:rsidR="009D3FB5" w:rsidP="00163B94" w:rsidRDefault="009D3FB5" w14:paraId="07D60800"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38FD9B40" w14:textId="31075C68">
      <w:pPr>
        <w:pStyle w:val="NormalWeb"/>
        <w:spacing w:before="120" w:after="120"/>
        <w:ind w:left="851" w:right="851" w:firstLine="709"/>
        <w:jc w:val="both"/>
        <w:rPr>
          <w:rFonts w:ascii="Times New Roman" w:hAnsi="Times New Roman" w:cs="Times New Roman"/>
          <w:i/>
          <w:iCs/>
          <w:color w:val="auto"/>
          <w:sz w:val="26"/>
          <w:szCs w:val="26"/>
        </w:rPr>
      </w:pPr>
      <w:r w:rsidRPr="00AE1B2B">
        <w:rPr>
          <w:rFonts w:ascii="Times New Roman" w:hAnsi="Times New Roman" w:cs="Times New Roman"/>
          <w:color w:val="auto"/>
          <w:sz w:val="26"/>
          <w:szCs w:val="26"/>
        </w:rPr>
        <w:t>“</w:t>
      </w:r>
      <w:r w:rsidRPr="00AE1B2B">
        <w:rPr>
          <w:rFonts w:ascii="Times New Roman" w:hAnsi="Times New Roman" w:cs="Times New Roman"/>
          <w:i/>
          <w:iCs/>
          <w:color w:val="auto"/>
          <w:sz w:val="26"/>
          <w:szCs w:val="26"/>
        </w:rPr>
        <w:t>Recomendación 4.7: Diseñar e implementar procedimientos relacionados con los procesos de retroalimentación y seguimiento de la gestión de los juzgados de familia y de pensiones alimentarias, considerando el artículo 15 inciso a) de la Ley General de Control Interno N.º 8292, así como la norma 4.1 de las Normas de Control Interno para Sector Público N-2-2009-CO-DFOE. Al respecto, se le solicita remitir a esta Contraloría General, a más tardar el 31 de agosto de 2020, una certificación que acredite el diseño de los procedimientos de retroalimentación, y otra certificación, a más tardar el 15 de enero de 2021, donde se haga constar que están siendo implementados”.</w:t>
      </w:r>
    </w:p>
    <w:p w:rsidRPr="00AE1B2B" w:rsidR="00C5524E" w:rsidP="00163B94" w:rsidRDefault="00C5524E" w14:paraId="0270D2C8" w14:textId="77777777">
      <w:pPr>
        <w:pStyle w:val="NormalWeb"/>
        <w:spacing w:before="120" w:after="120"/>
        <w:ind w:left="851" w:right="851" w:firstLine="709"/>
        <w:jc w:val="both"/>
        <w:rPr>
          <w:rFonts w:ascii="Times New Roman" w:hAnsi="Times New Roman" w:cs="Times New Roman"/>
          <w:color w:val="auto"/>
          <w:sz w:val="26"/>
          <w:szCs w:val="26"/>
        </w:rPr>
      </w:pPr>
    </w:p>
    <w:p w:rsidRPr="00AE1B2B" w:rsidR="009D3FB5" w:rsidP="00163B94" w:rsidRDefault="009D3FB5" w14:paraId="7439C961" w14:textId="3D5303B2">
      <w:pPr>
        <w:pStyle w:val="NormalWeb"/>
        <w:widowControl/>
        <w:numPr>
          <w:ilvl w:val="0"/>
          <w:numId w:val="78"/>
        </w:numPr>
        <w:autoSpaceDE/>
        <w:autoSpaceDN/>
        <w:adjustRightInd/>
        <w:spacing w:before="120" w:after="120"/>
        <w:ind w:left="851" w:right="851" w:firstLine="709"/>
        <w:jc w:val="both"/>
        <w:rPr>
          <w:rFonts w:ascii="Times New Roman" w:hAnsi="Times New Roman" w:cs="Times New Roman"/>
          <w:color w:val="auto"/>
          <w:sz w:val="26"/>
          <w:szCs w:val="26"/>
        </w:rPr>
      </w:pPr>
      <w:r w:rsidRPr="00AE1B2B">
        <w:rPr>
          <w:rFonts w:ascii="Times New Roman" w:hAnsi="Times New Roman" w:cs="Times New Roman"/>
          <w:color w:val="auto"/>
          <w:sz w:val="26"/>
          <w:szCs w:val="26"/>
        </w:rPr>
        <w:t>Recomendación 4.8: Metas 1 y 2 al 100% y meta 3 al 83%.</w:t>
      </w:r>
    </w:p>
    <w:p w:rsidRPr="00AE1B2B" w:rsidR="00C5524E" w:rsidP="00163B94" w:rsidRDefault="00C5524E" w14:paraId="34C1909E" w14:textId="77777777">
      <w:pPr>
        <w:pStyle w:val="NormalWeb"/>
        <w:widowControl/>
        <w:autoSpaceDE/>
        <w:autoSpaceDN/>
        <w:adjustRightInd/>
        <w:spacing w:before="120" w:after="120"/>
        <w:ind w:right="851"/>
        <w:jc w:val="both"/>
        <w:rPr>
          <w:rFonts w:ascii="Times New Roman" w:hAnsi="Times New Roman" w:cs="Times New Roman"/>
          <w:color w:val="auto"/>
          <w:sz w:val="26"/>
          <w:szCs w:val="26"/>
        </w:rPr>
      </w:pPr>
    </w:p>
    <w:p w:rsidRPr="00AE1B2B" w:rsidR="009D3FB5" w:rsidP="00163B94" w:rsidRDefault="009D3FB5" w14:paraId="67EF73FD" w14:textId="00D5DCC9">
      <w:pPr>
        <w:pStyle w:val="NormalWeb"/>
        <w:spacing w:before="120" w:after="120"/>
        <w:ind w:left="851" w:right="851" w:firstLine="709"/>
        <w:jc w:val="both"/>
        <w:rPr>
          <w:rFonts w:ascii="Times New Roman" w:hAnsi="Times New Roman" w:cs="Times New Roman"/>
          <w:i/>
          <w:iCs/>
          <w:color w:val="auto"/>
          <w:sz w:val="26"/>
          <w:szCs w:val="26"/>
        </w:rPr>
      </w:pPr>
      <w:r w:rsidRPr="00AE1B2B">
        <w:rPr>
          <w:rFonts w:ascii="Times New Roman" w:hAnsi="Times New Roman" w:cs="Times New Roman"/>
          <w:i/>
          <w:iCs/>
          <w:color w:val="auto"/>
          <w:sz w:val="26"/>
          <w:szCs w:val="26"/>
        </w:rPr>
        <w:t>“Recomendación 4.8: Girar las instrucciones a quien corresponda para que se revise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 Remitir a esta Contraloría General, a más tardar el 16 de marzo de 2020, una certificación que acredite que se giraron las instrucciones solicitadas, a más tardar el 15 de julio de 2020 una certificación que acredite la identificación de las inconsistencias, así como una certificación a más tardar el *31 de julio 2021en la cual se haga constar su depuración.”</w:t>
      </w:r>
    </w:p>
    <w:p w:rsidRPr="00AE1B2B" w:rsidR="00C5524E" w:rsidP="00163B94" w:rsidRDefault="00C5524E" w14:paraId="2783C744" w14:textId="77777777">
      <w:pPr>
        <w:pStyle w:val="NormalWeb"/>
        <w:spacing w:before="120" w:after="120"/>
        <w:ind w:left="851" w:right="851" w:firstLine="709"/>
        <w:jc w:val="both"/>
        <w:rPr>
          <w:rFonts w:ascii="Times New Roman" w:hAnsi="Times New Roman" w:cs="Times New Roman"/>
          <w:color w:val="auto"/>
          <w:sz w:val="26"/>
          <w:szCs w:val="26"/>
        </w:rPr>
      </w:pPr>
    </w:p>
    <w:p w:rsidRPr="00AE1B2B" w:rsidR="009D3FB5" w:rsidP="00163B94" w:rsidRDefault="009D3FB5" w14:paraId="6841A486" w14:textId="058030AF">
      <w:pPr>
        <w:pStyle w:val="NormalWeb"/>
        <w:widowControl/>
        <w:numPr>
          <w:ilvl w:val="0"/>
          <w:numId w:val="78"/>
        </w:numPr>
        <w:autoSpaceDE/>
        <w:autoSpaceDN/>
        <w:adjustRightInd/>
        <w:spacing w:before="120" w:after="120"/>
        <w:ind w:left="851" w:right="851" w:firstLine="709"/>
        <w:jc w:val="both"/>
        <w:rPr>
          <w:rFonts w:ascii="Times New Roman" w:hAnsi="Times New Roman" w:cs="Times New Roman"/>
          <w:color w:val="auto"/>
          <w:sz w:val="26"/>
          <w:szCs w:val="26"/>
        </w:rPr>
      </w:pPr>
      <w:r w:rsidRPr="00AE1B2B">
        <w:rPr>
          <w:rFonts w:ascii="Times New Roman" w:hAnsi="Times New Roman" w:cs="Times New Roman"/>
          <w:color w:val="auto"/>
          <w:sz w:val="26"/>
          <w:szCs w:val="26"/>
        </w:rPr>
        <w:t>Recomendación 4.9: Metas 1 y 2 al 100% y meta 3 al 28%.</w:t>
      </w:r>
    </w:p>
    <w:p w:rsidRPr="00AE1B2B" w:rsidR="00C5524E" w:rsidP="00163B94" w:rsidRDefault="00C5524E" w14:paraId="21D8524D" w14:textId="77777777">
      <w:pPr>
        <w:pStyle w:val="NormalWeb"/>
        <w:widowControl/>
        <w:autoSpaceDE/>
        <w:autoSpaceDN/>
        <w:adjustRightInd/>
        <w:spacing w:before="120" w:after="120"/>
        <w:ind w:right="851"/>
        <w:jc w:val="both"/>
        <w:rPr>
          <w:rFonts w:ascii="Times New Roman" w:hAnsi="Times New Roman" w:cs="Times New Roman"/>
          <w:color w:val="auto"/>
          <w:sz w:val="26"/>
          <w:szCs w:val="26"/>
        </w:rPr>
      </w:pPr>
    </w:p>
    <w:p w:rsidRPr="00AE1B2B" w:rsidR="009D3FB5" w:rsidP="00163B94" w:rsidRDefault="009D3FB5" w14:paraId="39518CEF" w14:textId="02DA0FF5">
      <w:pPr>
        <w:pStyle w:val="NormalWeb"/>
        <w:spacing w:before="120" w:after="120"/>
        <w:ind w:left="851" w:right="851" w:firstLine="709"/>
        <w:jc w:val="both"/>
        <w:rPr>
          <w:rFonts w:ascii="Times New Roman" w:hAnsi="Times New Roman" w:cs="Times New Roman"/>
          <w:i/>
          <w:iCs/>
          <w:color w:val="auto"/>
          <w:sz w:val="26"/>
          <w:szCs w:val="26"/>
        </w:rPr>
      </w:pPr>
      <w:r w:rsidRPr="00AE1B2B">
        <w:rPr>
          <w:rFonts w:ascii="Times New Roman" w:hAnsi="Times New Roman" w:cs="Times New Roman"/>
          <w:i/>
          <w:iCs/>
          <w:color w:val="auto"/>
          <w:sz w:val="26"/>
          <w:szCs w:val="26"/>
        </w:rPr>
        <w:t xml:space="preserve">“Recomendación 4.9: Girar las instrucciones a quien corresponda para que se incorpore e implemente en el Sistema Costarricense de Gestión de Despachos Judiciales los mecanismos de validación y control que brinden una seguridad razonable sobre la información ingresada a este sistema, relacionada con los expedientes de los procesos de familia y de pensiones alimentarias, </w:t>
      </w:r>
      <w:r w:rsidRPr="00AE1B2B">
        <w:rPr>
          <w:rFonts w:ascii="Times New Roman" w:hAnsi="Times New Roman" w:cs="Times New Roman"/>
          <w:i/>
          <w:iCs/>
          <w:color w:val="auto"/>
          <w:sz w:val="26"/>
          <w:szCs w:val="26"/>
        </w:rPr>
        <w:lastRenderedPageBreak/>
        <w:t>a fin de que mantenga los criterios de calidad necesarios. Enviar a la Contraloría General, a más tardar el 16 de marzo de 2020, una certificación que acredite que se giraron las instrucciones solicitadas, a más tardar al 30 de setiembre de 2020, una certificación que acredite que se incorporó al SCGDJ, los mecanismos de validación y control, asimismo, al *31 de julio 2021, una certificación que acredite que dichos mecanismos se encuentran en implementación. Ver párrafos del 2.50 al 2.59”.</w:t>
      </w:r>
    </w:p>
    <w:p w:rsidRPr="00AE1B2B" w:rsidR="00C5524E" w:rsidP="00163B94" w:rsidRDefault="00C5524E" w14:paraId="02A2D9C6" w14:textId="77777777">
      <w:pPr>
        <w:pStyle w:val="NormalWeb"/>
        <w:spacing w:before="120" w:after="120"/>
        <w:ind w:left="851" w:right="851" w:firstLine="709"/>
        <w:jc w:val="both"/>
        <w:rPr>
          <w:rFonts w:ascii="Times New Roman" w:hAnsi="Times New Roman" w:cs="Times New Roman"/>
          <w:color w:val="auto"/>
          <w:sz w:val="26"/>
          <w:szCs w:val="26"/>
        </w:rPr>
      </w:pPr>
    </w:p>
    <w:p w:rsidRPr="00AE1B2B" w:rsidR="009D3FB5" w:rsidP="00163B94" w:rsidRDefault="009D3FB5" w14:paraId="08988804" w14:textId="77777777">
      <w:pPr>
        <w:pStyle w:val="NormalWeb"/>
        <w:widowControl/>
        <w:numPr>
          <w:ilvl w:val="0"/>
          <w:numId w:val="78"/>
        </w:numPr>
        <w:autoSpaceDE/>
        <w:autoSpaceDN/>
        <w:adjustRightInd/>
        <w:spacing w:before="120" w:after="120"/>
        <w:ind w:left="851" w:right="851" w:firstLine="709"/>
        <w:jc w:val="both"/>
        <w:rPr>
          <w:rFonts w:ascii="Times New Roman" w:hAnsi="Times New Roman" w:cs="Times New Roman"/>
          <w:color w:val="auto"/>
          <w:sz w:val="26"/>
          <w:szCs w:val="26"/>
        </w:rPr>
      </w:pPr>
      <w:r w:rsidRPr="00AE1B2B">
        <w:rPr>
          <w:rFonts w:ascii="Times New Roman" w:hAnsi="Times New Roman" w:cs="Times New Roman"/>
          <w:color w:val="auto"/>
          <w:sz w:val="26"/>
          <w:szCs w:val="26"/>
        </w:rPr>
        <w:t>Recomendación 4.10: meta 1 al 100% y meta 2 al 7%.</w:t>
      </w:r>
    </w:p>
    <w:p w:rsidRPr="00AE1B2B" w:rsidR="009D3FB5" w:rsidP="00163B94" w:rsidRDefault="009D3FB5" w14:paraId="5EA6B71A" w14:textId="77777777">
      <w:pPr>
        <w:pStyle w:val="NormalWeb"/>
        <w:widowControl/>
        <w:autoSpaceDE/>
        <w:autoSpaceDN/>
        <w:adjustRightInd/>
        <w:spacing w:before="120" w:after="120"/>
        <w:ind w:left="851" w:right="851" w:firstLine="709"/>
        <w:jc w:val="both"/>
        <w:rPr>
          <w:rFonts w:ascii="Times New Roman" w:hAnsi="Times New Roman" w:cs="Times New Roman"/>
          <w:color w:val="auto"/>
          <w:sz w:val="26"/>
          <w:szCs w:val="26"/>
        </w:rPr>
      </w:pPr>
      <w:r w:rsidRPr="00AE1B2B">
        <w:rPr>
          <w:rFonts w:ascii="Times New Roman" w:hAnsi="Times New Roman" w:cs="Times New Roman"/>
          <w:i/>
          <w:iCs/>
          <w:color w:val="auto"/>
          <w:sz w:val="26"/>
          <w:szCs w:val="26"/>
        </w:rPr>
        <w:t>“Recomendación 4.10. Elaborar, oficializar e implementar un plan de trabajo con cronograma de implementación que detalle las acciones para formalizar la coordinación y cooperación entre los actores (instituciones y juzgados) identificados por el Poder Judicial, relacionados con los procesos de familia y de pensiones alimentarias. Remitir a esta Contraloría General, a más tardar el 14 de agosto del 2020, una certificación que acredite la elaboración y formalización del plan de trabajo y cronograma señalados; y otra certificación a más tardar el *31 de julio 2021donde conste la implementación de las acciones señaladas. Ver párrafos del 2.20 al 2.21”.</w:t>
      </w:r>
    </w:p>
    <w:p w:rsidRPr="00AE1B2B" w:rsidR="009D3FB5" w:rsidP="00163B94" w:rsidRDefault="009D3FB5" w14:paraId="3CCB3C6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BD85092" w14:textId="3C893FC3">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enero 2021, la Contraloría General de la República comunica los oficios DFOE-SD-0016 y DFOE-SD-0128 donde concede al Poder Judicial prórroga en el plazo para el cumplimiento de las recomendaciones 4.6, 4.8, 4.9 y 4.10 del informe DFOE-PG-0098 (2683)-2020, relacionado con el informe DFOE-PG-IF-00002-2020 </w:t>
      </w:r>
      <w:r w:rsidRPr="00AE1B2B">
        <w:rPr>
          <w:rFonts w:ascii="Times New Roman" w:hAnsi="Times New Roman" w:cs="Times New Roman"/>
          <w:i/>
          <w:iCs/>
          <w:sz w:val="26"/>
          <w:szCs w:val="26"/>
        </w:rPr>
        <w:t>“Informe de Auditoría Operativa sobre la gestión del Poder Judicial en cuanto a la oportunidad de la prestación del servicio público de administración de la justicia de los juzgados de Familia y de Pensiones alimentarias”</w:t>
      </w:r>
      <w:r w:rsidRPr="00AE1B2B">
        <w:rPr>
          <w:rFonts w:ascii="Times New Roman" w:hAnsi="Times New Roman" w:cs="Times New Roman"/>
          <w:sz w:val="26"/>
          <w:szCs w:val="26"/>
        </w:rPr>
        <w:t xml:space="preserve"> hasta el 31 de julio de 2021. </w:t>
      </w:r>
    </w:p>
    <w:p w:rsidRPr="00AE1B2B" w:rsidR="00C5524E" w:rsidP="00163B94" w:rsidRDefault="00C5524E" w14:paraId="785FDED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497CA2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cronograma actualizado se remite a conocimiento del Consejo Superior mediante oficio 142-PLA-MI-2021 del primero de febrero 2021; oficio conocido y aprobado en sesión 12-2021 celebrada el 11 de febrero de 2021, artículo XLV.</w:t>
      </w:r>
    </w:p>
    <w:bookmarkEnd w:id="55"/>
    <w:p w:rsidRPr="00AE1B2B" w:rsidR="009D3FB5" w:rsidP="00163B94" w:rsidRDefault="009D3FB5" w14:paraId="1E322CB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5E9D1A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61BD7F7"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Justificación</w:t>
      </w:r>
    </w:p>
    <w:p w:rsidRPr="00AE1B2B" w:rsidR="009D3FB5" w:rsidP="00163B94" w:rsidRDefault="009D3FB5" w14:paraId="25390DB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8CF6652" w14:textId="10F56F4C">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virtud de la entrada en vigencia de la Reforma al Código Procesal de Familia, prevista para el </w:t>
      </w:r>
      <w:r w:rsidRPr="00AE1B2B">
        <w:rPr>
          <w:rFonts w:ascii="Times New Roman" w:hAnsi="Times New Roman" w:cs="Times New Roman"/>
          <w:b/>
          <w:bCs/>
          <w:i/>
          <w:iCs/>
          <w:sz w:val="26"/>
          <w:szCs w:val="26"/>
        </w:rPr>
        <w:t>1 de octubre de 2022</w:t>
      </w:r>
      <w:r w:rsidRPr="00AE1B2B">
        <w:rPr>
          <w:rFonts w:ascii="Times New Roman" w:hAnsi="Times New Roman" w:cs="Times New Roman"/>
          <w:sz w:val="26"/>
          <w:szCs w:val="26"/>
        </w:rPr>
        <w:t>, esta Dirección se da a la tarea de definir las prioridades presupuestarias para el ejercicio económico del 2022, analizar el impacto económico de la implementación del “</w:t>
      </w:r>
      <w:r w:rsidRPr="00AE1B2B">
        <w:rPr>
          <w:rFonts w:ascii="Times New Roman" w:hAnsi="Times New Roman" w:cs="Times New Roman"/>
          <w:i/>
          <w:iCs/>
          <w:sz w:val="26"/>
          <w:szCs w:val="26"/>
        </w:rPr>
        <w:t>Código Procesal de Familia”</w:t>
      </w:r>
      <w:r w:rsidRPr="00AE1B2B">
        <w:rPr>
          <w:rFonts w:ascii="Times New Roman" w:hAnsi="Times New Roman" w:cs="Times New Roman"/>
          <w:sz w:val="26"/>
          <w:szCs w:val="26"/>
        </w:rPr>
        <w:t xml:space="preserve"> (CPF), en apego al Plan Estratégico Institucional y al Plan Anual Operativo.</w:t>
      </w:r>
    </w:p>
    <w:p w:rsidRPr="00AE1B2B" w:rsidR="00C5524E" w:rsidP="00163B94" w:rsidRDefault="00C5524E" w14:paraId="32BB744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795068B" w14:textId="5C688E13">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Dado lo anterior, surge la necesidad de analizar los requerimientos para la operativización de la norma, así como para implementar los cambios en la estructura organizativa necesarios en los despachos de Familia, Pensiones Alimentarias y Violencia Doméstica a partir de la entrada en vigencia de la Ley 9747. </w:t>
      </w:r>
    </w:p>
    <w:p w:rsidRPr="00AE1B2B" w:rsidR="00C5524E" w:rsidP="00163B94" w:rsidRDefault="00C5524E" w14:paraId="321F574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B28E98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Para la formulación del presupuesto 2021 se confeccionó el informe 656-PLA-RH-MI-2020, el cual se actualiza para 2022. </w:t>
      </w:r>
    </w:p>
    <w:p w:rsidRPr="00AE1B2B" w:rsidR="009D3FB5" w:rsidP="00163B94" w:rsidRDefault="009D3FB5" w14:paraId="4B938A2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627D72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175DCF7"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Metodología</w:t>
      </w:r>
    </w:p>
    <w:p w:rsidRPr="00AE1B2B" w:rsidR="009D3FB5" w:rsidP="00163B94" w:rsidRDefault="009D3FB5" w14:paraId="51AADBD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2C1183C" w14:textId="7764199A">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análisis del impacto de cambios con la entrada en vigencia del Código Procesal de Familia en el Poder Judicial se trabajó de manera interdisciplinaria y con representantes de la de la Comisión de la Jurisdicción Familia, Niñez y Adolescencia los cuales se incluyeron en el informe 656-PLA-RH-MI-2020 relacionado con el </w:t>
      </w:r>
      <w:r w:rsidRPr="00AE1B2B">
        <w:rPr>
          <w:rFonts w:ascii="Times New Roman" w:hAnsi="Times New Roman" w:cs="Times New Roman"/>
          <w:i/>
          <w:iCs/>
          <w:sz w:val="26"/>
          <w:szCs w:val="26"/>
        </w:rPr>
        <w:t>“Impacto organizacional y presupuestario en el Poder Judicial a partir de la promulgación del Código Procesal de Familia”</w:t>
      </w:r>
      <w:r w:rsidRPr="00AE1B2B">
        <w:rPr>
          <w:rFonts w:ascii="Times New Roman" w:hAnsi="Times New Roman" w:cs="Times New Roman"/>
          <w:sz w:val="26"/>
          <w:szCs w:val="26"/>
        </w:rPr>
        <w:t>, entre los colaboradores se contó con los siguientes funcionarios:</w:t>
      </w:r>
    </w:p>
    <w:p w:rsidRPr="00AE1B2B" w:rsidR="00C5524E" w:rsidP="00163B94" w:rsidRDefault="00C5524E" w14:paraId="56372ED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4CB67B2" w14:textId="77777777">
      <w:pPr>
        <w:pStyle w:val="Prrafodelista"/>
        <w:numPr>
          <w:ilvl w:val="0"/>
          <w:numId w:val="64"/>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Lic. Alberto Jiménez Mata, Juez de Familia de Puntarenas quien participó en la redacción de la normativa procesal propuesta para la materia de Familia, Integrante de la Comisión de la Jurisdicción Familia, Niñez y Adolescencia, y designado como Coordinador del proyecto de CPF. </w:t>
      </w:r>
    </w:p>
    <w:p w:rsidRPr="00AE1B2B" w:rsidR="009D3FB5" w:rsidP="00163B94" w:rsidRDefault="009D3FB5" w14:paraId="6A5616D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3B63323" w14:textId="77777777">
      <w:pPr>
        <w:pStyle w:val="Prrafodelista"/>
        <w:numPr>
          <w:ilvl w:val="0"/>
          <w:numId w:val="64"/>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Lic. Cristian Alberto Martínez Hernández, Juez Gestor de la Jurisdicción de Familia, Niñez y Adolescencia. </w:t>
      </w:r>
    </w:p>
    <w:p w:rsidRPr="00AE1B2B" w:rsidR="009D3FB5" w:rsidP="00163B94" w:rsidRDefault="009D3FB5" w14:paraId="7FD465B5"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124EC01A" w14:textId="77777777">
      <w:pPr>
        <w:pStyle w:val="Prrafodelista"/>
        <w:numPr>
          <w:ilvl w:val="0"/>
          <w:numId w:val="64"/>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Profesionales de la Defensa Pública, específicamente las Licenciadas Melania Soto Delgado y Sandra Mora Venegas, por su orden Administradora Regional de la Defensa Pública y Supervisora a.i. de la Unidad de Pensiones Alimentarias y Familia.</w:t>
      </w:r>
    </w:p>
    <w:p w:rsidRPr="00AE1B2B" w:rsidR="009D3FB5" w:rsidP="00163B94" w:rsidRDefault="009D3FB5" w14:paraId="722C55EC"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29E92C95" w14:textId="77777777">
      <w:pPr>
        <w:pStyle w:val="Prrafodelista"/>
        <w:numPr>
          <w:ilvl w:val="0"/>
          <w:numId w:val="64"/>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Melvin Obando Villalobos de la Dirección Ejecutiva, Jefe a.i. del Subproceso de Análisis y Ejecución.</w:t>
      </w:r>
    </w:p>
    <w:p w:rsidRPr="00AE1B2B" w:rsidR="009D3FB5" w:rsidP="00163B94" w:rsidRDefault="009D3FB5" w14:paraId="71600EB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D208FD8" w14:textId="77777777">
      <w:pPr>
        <w:pStyle w:val="Prrafodelista"/>
        <w:numPr>
          <w:ilvl w:val="0"/>
          <w:numId w:val="65"/>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Escuela Judicial, con el Licda. Rebeca Guardia Morales, Directora a.i. de la Escuela Judicial, Lic. Francia León González de la Escuela Judicial.</w:t>
      </w:r>
    </w:p>
    <w:p w:rsidRPr="00AE1B2B" w:rsidR="009D3FB5" w:rsidP="00163B94" w:rsidRDefault="009D3FB5" w14:paraId="353B088B"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34C38361" w14:textId="77777777">
      <w:pPr>
        <w:pStyle w:val="Prrafodelista"/>
        <w:numPr>
          <w:ilvl w:val="0"/>
          <w:numId w:val="65"/>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Profesional del Departamento de Trabajo Social y Psicología, concretamente a la MSc. Alba Gutiérrez Villalobos, Jefa del Departamento de Trabajo Social y Psicología.</w:t>
      </w:r>
    </w:p>
    <w:p w:rsidRPr="00AE1B2B" w:rsidR="009D3FB5" w:rsidP="00163B94" w:rsidRDefault="009D3FB5" w14:paraId="4B93F3A2"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05F66E10" w14:textId="77777777">
      <w:pPr>
        <w:pStyle w:val="Prrafodelista"/>
        <w:numPr>
          <w:ilvl w:val="0"/>
          <w:numId w:val="65"/>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Departamento de Medicina Legal, con el Dr. Franz Vega Zúñiga, jefe del Departamento de Medicina Legal y el señor Jesús Benavides Chacón de la Unidad Tecnológica Informática.</w:t>
      </w:r>
    </w:p>
    <w:p w:rsidRPr="00AE1B2B" w:rsidR="009D3FB5" w:rsidP="00163B94" w:rsidRDefault="009D3FB5" w14:paraId="59E917FB"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5E49CC8D" w14:textId="77777777">
      <w:pPr>
        <w:pStyle w:val="Prrafodelista"/>
        <w:numPr>
          <w:ilvl w:val="0"/>
          <w:numId w:val="65"/>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Sección de Bioquímica, con la Dra. Eugenia Fernández Mora, Jefa de la Sección de Bioquímica.</w:t>
      </w:r>
    </w:p>
    <w:p w:rsidRPr="00AE1B2B" w:rsidR="009D3FB5" w:rsidP="00163B94" w:rsidRDefault="009D3FB5" w14:paraId="50392B4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C3EAF91" w14:textId="042FB2E0">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i/>
          <w:iCs/>
          <w:sz w:val="26"/>
          <w:szCs w:val="26"/>
        </w:rPr>
        <w:t>Para el ejercicio de formulación presupuestario para el 2022</w:t>
      </w:r>
      <w:r w:rsidRPr="00AE1B2B">
        <w:rPr>
          <w:rFonts w:ascii="Times New Roman" w:hAnsi="Times New Roman" w:cs="Times New Roman"/>
          <w:sz w:val="26"/>
          <w:szCs w:val="26"/>
        </w:rPr>
        <w:t xml:space="preserve"> se mantiene el análisis realizado para 2021 (informe 656-PLA-RH-MI-2020) y</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se actualizan las tareas pendientes previo a la entrada en vigencia de la Ley y conforme al cronograma de trabajo del Proyecto</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1374-CF-P01 “</w:t>
      </w:r>
      <w:r w:rsidRPr="00AE1B2B">
        <w:rPr>
          <w:rFonts w:ascii="Times New Roman" w:hAnsi="Times New Roman" w:cs="Times New Roman"/>
          <w:i/>
          <w:iCs/>
          <w:sz w:val="26"/>
          <w:szCs w:val="26"/>
        </w:rPr>
        <w:t>Implementación del Código Procesal de Familia”,</w:t>
      </w:r>
      <w:r w:rsidRPr="00AE1B2B" w:rsidR="00BB7720">
        <w:rPr>
          <w:rFonts w:ascii="Times New Roman" w:hAnsi="Times New Roman" w:cs="Times New Roman"/>
          <w:i/>
          <w:iCs/>
          <w:sz w:val="26"/>
          <w:szCs w:val="26"/>
        </w:rPr>
        <w:t xml:space="preserve"> </w:t>
      </w:r>
      <w:r w:rsidRPr="00AE1B2B">
        <w:rPr>
          <w:rFonts w:ascii="Times New Roman" w:hAnsi="Times New Roman" w:cs="Times New Roman"/>
          <w:sz w:val="26"/>
          <w:szCs w:val="26"/>
        </w:rPr>
        <w:t xml:space="preserve">se actualizó además la estadística del 2019 con los datos definitivos y los preliminares del 2020. </w:t>
      </w:r>
    </w:p>
    <w:p w:rsidRPr="00AE1B2B" w:rsidR="00C5524E" w:rsidP="00163B94" w:rsidRDefault="00C5524E" w14:paraId="6EC9394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BE226E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No se considera el 2020 para efectos de estimaciones, dado a que es un periodo atípico, cuyo comportamiento no refleja la normalidad de las oficinas debido a la emergencia nacional por la pandemia por Covid-19.</w:t>
      </w:r>
    </w:p>
    <w:p w:rsidRPr="00AE1B2B" w:rsidR="009D3FB5" w:rsidP="00163B94" w:rsidRDefault="009D3FB5" w14:paraId="3DFBC5A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EDAB86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Así como una actualización del porcentaje de avance de cada recomendación emitida por la Contraloría General de la República en el apartado de antecedentes. </w:t>
      </w:r>
    </w:p>
    <w:p w:rsidRPr="00AE1B2B" w:rsidR="009D3FB5" w:rsidP="00163B94" w:rsidRDefault="009D3FB5" w14:paraId="27E09F8F" w14:textId="77777777">
      <w:pPr>
        <w:spacing w:before="120" w:after="120"/>
        <w:ind w:left="851" w:right="851" w:firstLine="709"/>
        <w:jc w:val="both"/>
        <w:rPr>
          <w:rFonts w:ascii="Times New Roman" w:hAnsi="Times New Roman" w:cs="Times New Roman"/>
          <w:sz w:val="26"/>
          <w:szCs w:val="26"/>
          <w:highlight w:val="yellow"/>
        </w:rPr>
      </w:pPr>
    </w:p>
    <w:p w:rsidRPr="00AE1B2B" w:rsidR="009D3FB5" w:rsidP="00163B94" w:rsidRDefault="00BE5897" w14:paraId="6F55F282" w14:textId="48287CA6">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3.1 </w:t>
      </w:r>
      <w:r w:rsidRPr="00AE1B2B" w:rsidR="009D3FB5">
        <w:rPr>
          <w:rFonts w:ascii="Times New Roman" w:hAnsi="Times New Roman" w:cs="Times New Roman"/>
          <w:sz w:val="26"/>
          <w:szCs w:val="26"/>
        </w:rPr>
        <w:t>Proyecto 1374-CF-P01 “Implementación del Código Procesal de Familia”</w:t>
      </w:r>
    </w:p>
    <w:p w:rsidRPr="00AE1B2B" w:rsidR="009D3FB5" w:rsidP="00163B94" w:rsidRDefault="009D3FB5" w14:paraId="4F4562F5"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33F2230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partir de junio 2020 y conforme al acuerdo del Consejo Superior en sesión 70-2020 celebrada el 09 de julio del 2020, artículo LVIII se acordó entre otras cosas, ceder a la Dirección de Planificación el liderazgo del proyecto 1374-CF-P01</w:t>
      </w:r>
      <w:r w:rsidRPr="00AE1B2B">
        <w:rPr>
          <w:rFonts w:ascii="Times New Roman" w:hAnsi="Times New Roman" w:cs="Times New Roman"/>
          <w:i/>
          <w:iCs/>
          <w:sz w:val="26"/>
          <w:szCs w:val="26"/>
        </w:rPr>
        <w:t xml:space="preserve"> “Implementación del Código Procesal de Familia</w:t>
      </w:r>
      <w:r w:rsidRPr="00AE1B2B">
        <w:rPr>
          <w:rFonts w:ascii="Times New Roman" w:hAnsi="Times New Roman" w:cs="Times New Roman"/>
          <w:sz w:val="26"/>
          <w:szCs w:val="26"/>
        </w:rPr>
        <w:t xml:space="preserve">” anteriormente administrado por la Comisión de Familia, Niñez y Adolescencia. </w:t>
      </w:r>
    </w:p>
    <w:p w:rsidRPr="00AE1B2B" w:rsidR="009D3FB5" w:rsidP="00163B94" w:rsidRDefault="009D3FB5" w14:paraId="6B377F9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B26A3D7"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w:t>
      </w:r>
    </w:p>
    <w:p w:rsidRPr="00AE1B2B" w:rsidR="009D3FB5" w:rsidP="00163B94" w:rsidRDefault="009D3FB5" w14:paraId="24683CCF"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b/>
          <w:bCs/>
          <w:i/>
          <w:sz w:val="26"/>
          <w:szCs w:val="26"/>
        </w:rPr>
        <w:t>2</w:t>
      </w:r>
      <w:r w:rsidRPr="00AE1B2B">
        <w:rPr>
          <w:rFonts w:ascii="Times New Roman" w:hAnsi="Times New Roman" w:cs="Times New Roman"/>
          <w:i/>
          <w:sz w:val="26"/>
          <w:szCs w:val="26"/>
        </w:rPr>
        <w:t>)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w:t>
      </w:r>
    </w:p>
    <w:p w:rsidRPr="00AE1B2B" w:rsidR="009D3FB5" w:rsidP="00163B94" w:rsidRDefault="009D3FB5" w14:paraId="4DF19289"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w:t>
      </w:r>
    </w:p>
    <w:p w:rsidRPr="00AE1B2B" w:rsidR="009D3FB5" w:rsidP="00163B94" w:rsidRDefault="009D3FB5" w14:paraId="478F7A98" w14:textId="77777777">
      <w:pPr>
        <w:spacing w:before="120" w:after="120"/>
        <w:ind w:left="851" w:right="851" w:firstLine="709"/>
        <w:jc w:val="both"/>
        <w:rPr>
          <w:rFonts w:ascii="Times New Roman" w:hAnsi="Times New Roman" w:cs="Times New Roman"/>
          <w:i/>
          <w:sz w:val="26"/>
          <w:szCs w:val="26"/>
        </w:rPr>
      </w:pPr>
    </w:p>
    <w:p w:rsidRPr="00AE1B2B" w:rsidR="009D3FB5" w:rsidP="00163B94" w:rsidRDefault="009D3FB5" w14:paraId="665EF77A" w14:textId="38A6F2A5">
      <w:pPr>
        <w:spacing w:before="120" w:after="120"/>
        <w:ind w:left="851" w:right="851" w:firstLine="709"/>
        <w:jc w:val="both"/>
        <w:rPr>
          <w:rFonts w:ascii="Times New Roman" w:hAnsi="Times New Roman" w:cs="Times New Roman"/>
          <w:b/>
          <w:bCs/>
          <w:i/>
          <w:sz w:val="26"/>
          <w:szCs w:val="26"/>
        </w:rPr>
      </w:pPr>
      <w:r w:rsidRPr="00AE1B2B">
        <w:rPr>
          <w:rFonts w:ascii="Times New Roman" w:hAnsi="Times New Roman" w:cs="Times New Roman"/>
          <w:b/>
          <w:bCs/>
          <w:i/>
          <w:sz w:val="26"/>
          <w:szCs w:val="26"/>
        </w:rPr>
        <w:t xml:space="preserve">Equipo Interdisciplinario </w:t>
      </w:r>
    </w:p>
    <w:p w:rsidRPr="00AE1B2B" w:rsidR="00C5524E" w:rsidP="00163B94" w:rsidRDefault="00C5524E" w14:paraId="77B7710A" w14:textId="77777777">
      <w:pPr>
        <w:spacing w:before="120" w:after="120"/>
        <w:ind w:left="851" w:right="851" w:firstLine="709"/>
        <w:jc w:val="both"/>
        <w:rPr>
          <w:rFonts w:ascii="Times New Roman" w:hAnsi="Times New Roman" w:cs="Times New Roman"/>
          <w:b/>
          <w:bCs/>
          <w:i/>
          <w:sz w:val="26"/>
          <w:szCs w:val="26"/>
        </w:rPr>
      </w:pPr>
    </w:p>
    <w:p w:rsidRPr="00AE1B2B" w:rsidR="009D3FB5" w:rsidP="00163B94" w:rsidRDefault="009D3FB5" w14:paraId="6448F07D" w14:textId="2847037B">
      <w:pPr>
        <w:spacing w:before="120" w:after="120"/>
        <w:ind w:left="851" w:right="851" w:firstLine="709"/>
        <w:jc w:val="both"/>
        <w:rPr>
          <w:rFonts w:ascii="Times New Roman" w:hAnsi="Times New Roman" w:cs="Times New Roman"/>
          <w:iCs/>
          <w:sz w:val="26"/>
          <w:szCs w:val="26"/>
        </w:rPr>
      </w:pPr>
      <w:r w:rsidRPr="00AE1B2B">
        <w:rPr>
          <w:rFonts w:ascii="Times New Roman" w:hAnsi="Times New Roman" w:cs="Times New Roman"/>
          <w:iCs/>
          <w:sz w:val="26"/>
          <w:szCs w:val="26"/>
        </w:rPr>
        <w:t>A partir de ese momento se han realizado sesiones de trabajo interdisciplinarias cada 2 semanas aproximadamente con participación del Centro de Apoyo, Coordinación y Mejoramiento de la Función Jurisdiccional, Dirección de Tecnología de la Información, Dirección Ejecutiva, Dirección de Gestión Humana, Inspección Judicial. También se han realizado sesiones de trabajo con la Comisión de Familia, Niñez y Adolescencia y el Despacho de la Presidencia.</w:t>
      </w:r>
      <w:r w:rsidRPr="00AE1B2B" w:rsidR="00BB7720">
        <w:rPr>
          <w:rFonts w:ascii="Times New Roman" w:hAnsi="Times New Roman" w:cs="Times New Roman"/>
          <w:iCs/>
          <w:sz w:val="26"/>
          <w:szCs w:val="26"/>
        </w:rPr>
        <w:t xml:space="preserve"> </w:t>
      </w:r>
      <w:r w:rsidRPr="00AE1B2B">
        <w:rPr>
          <w:rFonts w:ascii="Times New Roman" w:hAnsi="Times New Roman" w:cs="Times New Roman"/>
          <w:iCs/>
          <w:sz w:val="26"/>
          <w:szCs w:val="26"/>
        </w:rPr>
        <w:t xml:space="preserve">Los participantes en las sesiones se ajustan a los temas de agenda. </w:t>
      </w:r>
    </w:p>
    <w:p w:rsidRPr="00AE1B2B" w:rsidR="009D3FB5" w:rsidP="00163B94" w:rsidRDefault="009D3FB5" w14:paraId="5D3EDE33" w14:textId="77777777">
      <w:pPr>
        <w:spacing w:before="120" w:after="120"/>
        <w:ind w:left="851" w:right="851" w:firstLine="709"/>
        <w:jc w:val="both"/>
        <w:rPr>
          <w:rFonts w:ascii="Times New Roman" w:hAnsi="Times New Roman" w:cs="Times New Roman"/>
          <w:iCs/>
          <w:sz w:val="26"/>
          <w:szCs w:val="26"/>
        </w:rPr>
      </w:pPr>
    </w:p>
    <w:p w:rsidRPr="00AE1B2B" w:rsidR="009D3FB5" w:rsidP="00163B94" w:rsidRDefault="009D3FB5" w14:paraId="4FDF2EDB" w14:textId="77777777">
      <w:pPr>
        <w:spacing w:before="120" w:after="120"/>
        <w:ind w:left="851" w:right="851" w:firstLine="709"/>
        <w:jc w:val="both"/>
        <w:rPr>
          <w:rFonts w:ascii="Times New Roman" w:hAnsi="Times New Roman" w:cs="Times New Roman"/>
          <w:sz w:val="26"/>
          <w:szCs w:val="26"/>
        </w:rPr>
      </w:pPr>
      <w:bookmarkStart w:name="_Hlk63167985" w:id="56"/>
      <w:r w:rsidRPr="00AE1B2B">
        <w:rPr>
          <w:rFonts w:ascii="Times New Roman" w:hAnsi="Times New Roman" w:cs="Times New Roman"/>
          <w:sz w:val="26"/>
          <w:szCs w:val="26"/>
        </w:rPr>
        <w:t>Principales implicaciones del Código Procesal de Familia</w:t>
      </w:r>
    </w:p>
    <w:p w:rsidRPr="00AE1B2B" w:rsidR="009D3FB5" w:rsidP="00163B94" w:rsidRDefault="009D3FB5" w14:paraId="401569B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085696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A continuación, se comentan las principales implicaciones del CPF sobre la organización y funcionamiento de los despachos y oficinas judiciales:</w:t>
      </w:r>
    </w:p>
    <w:p w:rsidRPr="00AE1B2B" w:rsidR="009D3FB5" w:rsidP="00163B94" w:rsidRDefault="009D3FB5" w14:paraId="69283DD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7D89919" w14:textId="77777777">
      <w:pPr>
        <w:numPr>
          <w:ilvl w:val="0"/>
          <w:numId w:val="70"/>
        </w:numPr>
        <w:tabs>
          <w:tab w:val="left" w:pos="426"/>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sz w:val="26"/>
          <w:szCs w:val="26"/>
        </w:rPr>
        <w:t>Oralidad.</w:t>
      </w:r>
      <w:r w:rsidRPr="00AE1B2B">
        <w:rPr>
          <w:rFonts w:ascii="Times New Roman" w:hAnsi="Times New Roman" w:cs="Times New Roman"/>
          <w:sz w:val="26"/>
          <w:szCs w:val="26"/>
        </w:rPr>
        <w:t xml:space="preserve"> Se plantea que los procedimientos se regirán por el sistema procesal de oralidad, pero con aplicación del principio de privacidad, tal como se consigna en el artículo:</w:t>
      </w:r>
    </w:p>
    <w:p w:rsidRPr="00AE1B2B" w:rsidR="009D3FB5" w:rsidP="00163B94" w:rsidRDefault="009D3FB5" w14:paraId="5B763EEE"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62590B0C"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“Artículo 4.- Preferencia del sistema procesal de oralidad</w:t>
      </w:r>
    </w:p>
    <w:p w:rsidRPr="00AE1B2B" w:rsidR="009D3FB5" w:rsidP="00163B94" w:rsidRDefault="009D3FB5" w14:paraId="0D09BC5B"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Salvo disposición en contrario, los procedimientos que regula este Código se regirán por el sistema procesal de oralidad con aplicación del principio de privacidad dentro de él.”</w:t>
      </w:r>
    </w:p>
    <w:p w:rsidRPr="00AE1B2B" w:rsidR="009D3FB5" w:rsidP="00163B94" w:rsidRDefault="009D3FB5" w14:paraId="498B9F3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C68B92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Sobre este tema el Lic. Jiménez Mata, aclaró que la oralidad no implica prescindir del uso del papel para adoptar de forma obligatoria sistemas de trabajo que involucren la grabación de audiencias y la utilización del expediente judicial electrónico, ya que en su criterio estos temas son administrativos y no procesales; por ese motivo precisó que no fueron abordados dentro del CPF.</w:t>
      </w:r>
    </w:p>
    <w:p w:rsidRPr="00AE1B2B" w:rsidR="009D3FB5" w:rsidP="00163B94" w:rsidRDefault="009D3FB5" w14:paraId="28931C4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EAFA75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términos generales, lo que se pretende es agilizar el trámite de los procesos para reducir los plazos de tramitación y dictado de sentencias, ya que el CPF establece que la contestación de la demanda, en la medida de lo posible, se realice en la misma audiencia, de igual manera sucede con las apelaciones. Además, se faculta a las personas juzgadoras para que dicten la parte dispositiva de las sentencias una vez finalizada la última audiencia del proceso. Por lo anterior, es posible que un proceso familiar se desarrolle en una sola audiencia, lográndose un mayor aprovechamiento de los recursos institucionales, impactando además en las labores de las personas técnicas judiciales las cuales probablemente verán reducirse en lo que hoy se realizan.</w:t>
      </w:r>
    </w:p>
    <w:p w:rsidRPr="00AE1B2B" w:rsidR="009D3FB5" w:rsidP="00163B94" w:rsidRDefault="009D3FB5" w14:paraId="23B41B5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F8889F4" w14:textId="77777777">
      <w:pPr>
        <w:numPr>
          <w:ilvl w:val="0"/>
          <w:numId w:val="70"/>
        </w:numPr>
        <w:tabs>
          <w:tab w:val="left" w:pos="426"/>
        </w:tabs>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Conciliación.</w:t>
      </w:r>
      <w:r w:rsidRPr="00AE1B2B">
        <w:rPr>
          <w:rFonts w:ascii="Times New Roman" w:hAnsi="Times New Roman" w:cs="Times New Roman"/>
          <w:bCs/>
          <w:sz w:val="26"/>
          <w:szCs w:val="26"/>
        </w:rPr>
        <w:t xml:space="preserve"> Se </w:t>
      </w:r>
      <w:r w:rsidRPr="00AE1B2B">
        <w:rPr>
          <w:rFonts w:ascii="Times New Roman" w:hAnsi="Times New Roman" w:cs="Times New Roman"/>
          <w:sz w:val="26"/>
          <w:szCs w:val="26"/>
        </w:rPr>
        <w:t>propone la conciliación en una audiencia previa, dejando abierta la posibilidad de aplicarla en cualquier etapa del proceso judicial, tal como se consigna en el artículo 9 del CPF:</w:t>
      </w:r>
    </w:p>
    <w:p w:rsidRPr="00AE1B2B" w:rsidR="009D3FB5" w:rsidP="00163B94" w:rsidRDefault="009D3FB5" w14:paraId="442130D4" w14:textId="77777777">
      <w:pPr>
        <w:tabs>
          <w:tab w:val="left" w:pos="426"/>
        </w:tabs>
        <w:spacing w:before="120" w:after="120"/>
        <w:ind w:left="851" w:right="851" w:firstLine="709"/>
        <w:jc w:val="both"/>
        <w:rPr>
          <w:rFonts w:ascii="Times New Roman" w:hAnsi="Times New Roman" w:cs="Times New Roman"/>
          <w:b/>
          <w:sz w:val="26"/>
          <w:szCs w:val="26"/>
        </w:rPr>
      </w:pPr>
    </w:p>
    <w:p w:rsidRPr="00AE1B2B" w:rsidR="009D3FB5" w:rsidP="00163B94" w:rsidRDefault="009D3FB5" w14:paraId="485B110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“Artículo 9.- Audiencia previa de conciliación</w:t>
      </w:r>
    </w:p>
    <w:p w:rsidRPr="00AE1B2B" w:rsidR="009D3FB5" w:rsidP="00163B94" w:rsidRDefault="009D3FB5" w14:paraId="68A9157A" w14:textId="53788950">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En los procesos familiares, cuando proceda, se intentará la conciliación mediante una audiencia de conciliación previa al inicio del proceso o a solicitud de algunas de las partes, en cualquier estado del proceso judicial. Esta etapa la llevará a cabo la autoridad judicial, quien también podrá remitir a las partes a los centros especializados del Poder Judicial, sin perjuicio de que las partes decidan la intervención de entes externos debidamente acreditados para estos fines. Lo acordado tendrá carácter y eficacia de cosa juzgada material o formal, según el contenido del acuerdo. Podrán aplicarse otros mecanismos alternos de solución de conflictos regulados en la Ley N. º 7727, Ley de Resolución Alterna de Conflictos y Promoción de la Paz Social, de 9 de diciembre de 1997, o instrumentos internacionales, siempre que sean compatibles con los objetivos y los fines de la materia familiar.</w:t>
      </w:r>
    </w:p>
    <w:p w:rsidRPr="00AE1B2B" w:rsidR="00C5524E" w:rsidP="00163B94" w:rsidRDefault="00C5524E" w14:paraId="5238A57E"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39A9E4A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Se prohíbe la conciliación en aquellas situaciones en que se constaten relaciones desiguales de poder, salvo que se determine que lo acordado beneficie a la persona en situación de vulnerabilidad.”</w:t>
      </w:r>
    </w:p>
    <w:p w:rsidRPr="00AE1B2B" w:rsidR="009D3FB5" w:rsidP="00163B94" w:rsidRDefault="009D3FB5" w14:paraId="45B5B3C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6BDF231" w14:textId="5F947DFC">
      <w:pPr>
        <w:numPr>
          <w:ilvl w:val="0"/>
          <w:numId w:val="70"/>
        </w:numPr>
        <w:tabs>
          <w:tab w:val="left" w:pos="426"/>
        </w:tabs>
        <w:spacing w:before="120" w:after="120"/>
        <w:ind w:left="851" w:right="851" w:firstLine="709"/>
        <w:jc w:val="both"/>
        <w:rPr>
          <w:rFonts w:ascii="Times New Roman" w:hAnsi="Times New Roman" w:cs="Times New Roman"/>
          <w:bCs/>
          <w:sz w:val="26"/>
          <w:szCs w:val="26"/>
        </w:rPr>
      </w:pPr>
      <w:r w:rsidRPr="00AE1B2B">
        <w:rPr>
          <w:rFonts w:ascii="Times New Roman" w:hAnsi="Times New Roman" w:cs="Times New Roman"/>
          <w:b/>
          <w:sz w:val="26"/>
          <w:szCs w:val="26"/>
        </w:rPr>
        <w:t xml:space="preserve">Intervención de la Defensa Pública. </w:t>
      </w:r>
      <w:r w:rsidRPr="00AE1B2B">
        <w:rPr>
          <w:rFonts w:ascii="Times New Roman" w:hAnsi="Times New Roman" w:cs="Times New Roman"/>
          <w:bCs/>
          <w:sz w:val="26"/>
          <w:szCs w:val="26"/>
        </w:rPr>
        <w:t xml:space="preserve">Para la parte beneficiaria cuando no disponga de recursos económicos suficientes, el artículo 56 otorga a la Defensa Pública la posibilidad de brindar asistencia legal en los </w:t>
      </w:r>
      <w:r w:rsidRPr="00AE1B2B">
        <w:rPr>
          <w:rFonts w:ascii="Times New Roman" w:hAnsi="Times New Roman" w:cs="Times New Roman"/>
          <w:b/>
          <w:sz w:val="26"/>
          <w:szCs w:val="26"/>
        </w:rPr>
        <w:t>procesos materia de Pensión Alimentaria</w:t>
      </w:r>
      <w:r w:rsidRPr="00AE1B2B">
        <w:rPr>
          <w:rFonts w:ascii="Times New Roman" w:hAnsi="Times New Roman" w:cs="Times New Roman"/>
          <w:bCs/>
          <w:sz w:val="26"/>
          <w:szCs w:val="26"/>
        </w:rPr>
        <w:t>.</w:t>
      </w:r>
      <w:r w:rsidRPr="00AE1B2B" w:rsidR="00BB7720">
        <w:rPr>
          <w:rFonts w:ascii="Times New Roman" w:hAnsi="Times New Roman" w:cs="Times New Roman"/>
          <w:bCs/>
          <w:sz w:val="26"/>
          <w:szCs w:val="26"/>
        </w:rPr>
        <w:t xml:space="preserve"> </w:t>
      </w:r>
    </w:p>
    <w:p w:rsidRPr="00AE1B2B" w:rsidR="009D3FB5" w:rsidP="00163B94" w:rsidRDefault="009D3FB5" w14:paraId="20011E0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5EA301C" w14:textId="77777777">
      <w:pPr>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i/>
          <w:iCs/>
          <w:sz w:val="26"/>
          <w:szCs w:val="26"/>
        </w:rPr>
        <w:t>“</w:t>
      </w:r>
      <w:r w:rsidRPr="00AE1B2B">
        <w:rPr>
          <w:rFonts w:ascii="Times New Roman" w:hAnsi="Times New Roman" w:cs="Times New Roman"/>
          <w:b/>
          <w:bCs/>
          <w:i/>
          <w:iCs/>
          <w:sz w:val="26"/>
          <w:szCs w:val="26"/>
        </w:rPr>
        <w:t xml:space="preserve">Artículo 56- Casos en que actúa la Defensa Pública </w:t>
      </w:r>
    </w:p>
    <w:p w:rsidRPr="00AE1B2B" w:rsidR="009D3FB5" w:rsidP="00163B94" w:rsidRDefault="009D3FB5" w14:paraId="64449124" w14:textId="6231AE09">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En los procesos referidos </w:t>
      </w:r>
      <w:r w:rsidRPr="00AE1B2B">
        <w:rPr>
          <w:rFonts w:ascii="Times New Roman" w:hAnsi="Times New Roman" w:cs="Times New Roman"/>
          <w:b/>
          <w:bCs/>
          <w:i/>
          <w:iCs/>
          <w:sz w:val="26"/>
          <w:szCs w:val="26"/>
        </w:rPr>
        <w:t>a materia de pensión alimentaria</w:t>
      </w:r>
      <w:r w:rsidRPr="00AE1B2B">
        <w:rPr>
          <w:rFonts w:ascii="Times New Roman" w:hAnsi="Times New Roman" w:cs="Times New Roman"/>
          <w:i/>
          <w:iCs/>
          <w:sz w:val="26"/>
          <w:szCs w:val="26"/>
        </w:rPr>
        <w:t xml:space="preserve">, </w:t>
      </w:r>
      <w:r w:rsidRPr="00AE1B2B">
        <w:rPr>
          <w:rFonts w:ascii="Times New Roman" w:hAnsi="Times New Roman" w:cs="Times New Roman"/>
          <w:b/>
          <w:bCs/>
          <w:i/>
          <w:iCs/>
          <w:sz w:val="26"/>
          <w:szCs w:val="26"/>
          <w:u w:val="single"/>
        </w:rPr>
        <w:t>la parte beneficiaria</w:t>
      </w:r>
      <w:r w:rsidRPr="00AE1B2B">
        <w:rPr>
          <w:rFonts w:ascii="Times New Roman" w:hAnsi="Times New Roman" w:cs="Times New Roman"/>
          <w:i/>
          <w:iCs/>
          <w:sz w:val="26"/>
          <w:szCs w:val="26"/>
        </w:rPr>
        <w:t xml:space="preserve"> que no cuente con los recursos económicos para contratar patrocinio letrado podrá solicitar asistencia letrada a la Defensa Pública del Poder Judicial.</w:t>
      </w:r>
    </w:p>
    <w:p w:rsidRPr="00AE1B2B" w:rsidR="00C5524E" w:rsidP="00163B94" w:rsidRDefault="00C5524E" w14:paraId="26EE7240"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3580EC4B" w14:textId="72BF46B0">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i/>
          <w:iCs/>
          <w:sz w:val="26"/>
          <w:szCs w:val="26"/>
        </w:rPr>
        <w:t>La defensa o asistencia gratuita de la Defensa Pública asumirá las mismas funciones, deberes y derechos de quienes actúan como personas abogadas directoras</w:t>
      </w:r>
      <w:r w:rsidRPr="00AE1B2B">
        <w:rPr>
          <w:rFonts w:ascii="Times New Roman" w:hAnsi="Times New Roman" w:cs="Times New Roman"/>
          <w:sz w:val="26"/>
          <w:szCs w:val="26"/>
        </w:rPr>
        <w:t>.”</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(La negrita no es del original).</w:t>
      </w:r>
    </w:p>
    <w:p w:rsidRPr="00AE1B2B" w:rsidR="009D3FB5" w:rsidP="00163B94" w:rsidRDefault="009D3FB5" w14:paraId="2DF5C766"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48EF58D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sz w:val="26"/>
          <w:szCs w:val="26"/>
        </w:rPr>
        <w:t>En relación con las garantías para el debido proceso en poblaciones de vulnerabilidad también cabe destacar lo dispuesto en el artículo 8 del CPF y la circular 67-19</w:t>
      </w:r>
      <w:r w:rsidRPr="00AE1B2B">
        <w:rPr>
          <w:rFonts w:ascii="Times New Roman" w:hAnsi="Times New Roman" w:cs="Times New Roman"/>
          <w:i/>
          <w:iCs/>
          <w:sz w:val="26"/>
          <w:szCs w:val="26"/>
        </w:rPr>
        <w:t xml:space="preserve"> “Reglas mínimas para la </w:t>
      </w:r>
      <w:r w:rsidRPr="00AE1B2B">
        <w:rPr>
          <w:rFonts w:ascii="Times New Roman" w:hAnsi="Times New Roman" w:cs="Times New Roman"/>
          <w:i/>
          <w:iCs/>
          <w:sz w:val="26"/>
          <w:szCs w:val="26"/>
        </w:rPr>
        <w:lastRenderedPageBreak/>
        <w:t xml:space="preserve">aplicación del primer párrafo del numeral 7 de la Ley de Acceso a la Justicia de Personas Indígenas de Costa Rica” </w:t>
      </w:r>
      <w:r w:rsidRPr="00AE1B2B">
        <w:rPr>
          <w:rFonts w:ascii="Times New Roman" w:hAnsi="Times New Roman" w:cs="Times New Roman"/>
          <w:sz w:val="26"/>
          <w:szCs w:val="26"/>
        </w:rPr>
        <w:t>que comunica el acuerdo del Consejo Superior del Poder Judicial en sesión 27-19 celebrada el 26 de marzo de 2019, artículo LXXI; que literalmente indican:</w:t>
      </w:r>
    </w:p>
    <w:p w:rsidRPr="00AE1B2B" w:rsidR="009D3FB5" w:rsidP="00163B94" w:rsidRDefault="009D3FB5" w14:paraId="21300035"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4984AB66" w14:textId="77777777">
      <w:pPr>
        <w:tabs>
          <w:tab w:val="left" w:pos="567"/>
        </w:tabs>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Artículo 8 CPF- Acceso a la justicia</w:t>
      </w:r>
    </w:p>
    <w:p w:rsidRPr="00AE1B2B" w:rsidR="009D3FB5" w:rsidP="00163B94" w:rsidRDefault="009D3FB5" w14:paraId="01B04019" w14:textId="77777777">
      <w:pPr>
        <w:tabs>
          <w:tab w:val="left" w:pos="567"/>
        </w:tabs>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b/>
          <w:bCs/>
          <w:i/>
          <w:iCs/>
          <w:sz w:val="26"/>
          <w:szCs w:val="26"/>
        </w:rPr>
        <w:t>En todo procedimiento familiar</w:t>
      </w:r>
      <w:r w:rsidRPr="00AE1B2B">
        <w:rPr>
          <w:rFonts w:ascii="Times New Roman" w:hAnsi="Times New Roman" w:cs="Times New Roman"/>
          <w:i/>
          <w:iCs/>
          <w:sz w:val="26"/>
          <w:szCs w:val="26"/>
        </w:rPr>
        <w:t xml:space="preserve"> se deberá garantizar que las personas menores de edad, las personas con discapacidad y otras poblaciones vulneradas tengan acceso a la justicia en igualdad de condiciones con las demás personas, mediante ajustes de procedimiento adecuados a la edad, a las capacidades y las condiciones de vulnerabilidad, formas alternativas de comunicación, incluidas la interpretación en lesco y lenguas indígenas, según se presenten, para facilitar el desempeño de personas sordas y personas indígenas, y otras, como participaciones directas e indirectas, incluida la declaración como testigos en todos los procedimientos judiciales, en todas las etapas del proceso.</w:t>
      </w:r>
    </w:p>
    <w:p w:rsidRPr="00AE1B2B" w:rsidR="009D3FB5" w:rsidP="00163B94" w:rsidRDefault="009D3FB5" w14:paraId="6197C2F7"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161F6D4E" w14:textId="77777777">
      <w:pPr>
        <w:spacing w:before="120" w:after="120"/>
        <w:ind w:left="851" w:right="851" w:firstLine="709"/>
        <w:jc w:val="both"/>
        <w:rPr>
          <w:rFonts w:ascii="Times New Roman" w:hAnsi="Times New Roman" w:eastAsia="Times New Roman" w:cs="Times New Roman"/>
          <w:sz w:val="26"/>
          <w:szCs w:val="26"/>
          <w:lang w:eastAsia="es-CR"/>
        </w:rPr>
      </w:pPr>
    </w:p>
    <w:p w:rsidRPr="00AE1B2B" w:rsidR="009D3FB5" w:rsidP="00163B94" w:rsidRDefault="009D3FB5" w14:paraId="4EB0FF35" w14:textId="77777777">
      <w:pPr>
        <w:spacing w:before="120" w:after="120"/>
        <w:ind w:left="851" w:right="851" w:firstLine="709"/>
        <w:jc w:val="both"/>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El Consejo Superior del Poder Judicial en sesión 27-19 celebrada el 26 de marzo de 2019, artículo LXXI, a solicitud de la Defensa Pública, dispuso comunicar las</w:t>
      </w:r>
      <w:r w:rsidRPr="00AE1B2B">
        <w:rPr>
          <w:rFonts w:ascii="Times New Roman" w:hAnsi="Times New Roman" w:eastAsia="Times New Roman" w:cs="Times New Roman"/>
          <w:i/>
          <w:iCs/>
          <w:sz w:val="26"/>
          <w:szCs w:val="26"/>
          <w:lang w:eastAsia="es-CR"/>
        </w:rPr>
        <w:t xml:space="preserve"> "Reglas mínimas para la aplicación del primer párrafo del numeral 7 de la Ley de Acceso a la Justicia de Personas Indígenas de Costa Rica", </w:t>
      </w:r>
      <w:r w:rsidRPr="00AE1B2B">
        <w:rPr>
          <w:rFonts w:ascii="Times New Roman" w:hAnsi="Times New Roman" w:eastAsia="Times New Roman" w:cs="Times New Roman"/>
          <w:b/>
          <w:bCs/>
          <w:i/>
          <w:iCs/>
          <w:sz w:val="26"/>
          <w:szCs w:val="26"/>
          <w:lang w:eastAsia="es-CR"/>
        </w:rPr>
        <w:t>sin hacer distinción de que la persona actúe como parte actora o demandada</w:t>
      </w:r>
      <w:r w:rsidRPr="00AE1B2B">
        <w:rPr>
          <w:rFonts w:ascii="Times New Roman" w:hAnsi="Times New Roman" w:eastAsia="Times New Roman" w:cs="Times New Roman"/>
          <w:sz w:val="26"/>
          <w:szCs w:val="26"/>
          <w:lang w:eastAsia="es-CR"/>
        </w:rPr>
        <w:t xml:space="preserve"> y</w:t>
      </w:r>
      <w:r w:rsidRPr="00AE1B2B">
        <w:rPr>
          <w:rFonts w:ascii="Times New Roman" w:hAnsi="Times New Roman" w:eastAsia="Times New Roman" w:cs="Times New Roman"/>
          <w:i/>
          <w:iCs/>
          <w:sz w:val="26"/>
          <w:szCs w:val="26"/>
          <w:lang w:eastAsia="es-CR"/>
        </w:rPr>
        <w:t xml:space="preserve"> </w:t>
      </w:r>
      <w:r w:rsidRPr="00AE1B2B">
        <w:rPr>
          <w:rFonts w:ascii="Times New Roman" w:hAnsi="Times New Roman" w:eastAsia="Times New Roman" w:cs="Times New Roman"/>
          <w:sz w:val="26"/>
          <w:szCs w:val="26"/>
          <w:lang w:eastAsia="es-CR"/>
        </w:rPr>
        <w:t>que dicen:</w:t>
      </w:r>
    </w:p>
    <w:p w:rsidRPr="00AE1B2B" w:rsidR="009D3FB5" w:rsidP="00163B94" w:rsidRDefault="009D3FB5" w14:paraId="773B8518" w14:textId="77777777">
      <w:pPr>
        <w:spacing w:before="120" w:after="120"/>
        <w:ind w:left="851" w:right="851" w:firstLine="709"/>
        <w:jc w:val="both"/>
        <w:rPr>
          <w:rFonts w:ascii="Times New Roman" w:hAnsi="Times New Roman" w:eastAsia="Times New Roman" w:cs="Times New Roman"/>
          <w:sz w:val="26"/>
          <w:szCs w:val="26"/>
          <w:lang w:eastAsia="es-CR"/>
        </w:rPr>
      </w:pPr>
    </w:p>
    <w:p w:rsidRPr="00AE1B2B" w:rsidR="009D3FB5" w:rsidP="00163B94" w:rsidRDefault="009D3FB5" w14:paraId="416DD8B0" w14:textId="77777777">
      <w:pPr>
        <w:spacing w:before="120" w:after="120"/>
        <w:ind w:left="851" w:right="851" w:firstLine="709"/>
        <w:jc w:val="both"/>
        <w:rPr>
          <w:rFonts w:ascii="Times New Roman" w:hAnsi="Times New Roman" w:eastAsia="Times New Roman" w:cs="Times New Roman"/>
          <w:i/>
          <w:iCs/>
          <w:sz w:val="26"/>
          <w:szCs w:val="26"/>
          <w:lang w:eastAsia="es-CR"/>
        </w:rPr>
      </w:pPr>
      <w:r w:rsidRPr="00AE1B2B">
        <w:rPr>
          <w:rFonts w:ascii="Times New Roman" w:hAnsi="Times New Roman" w:eastAsia="Times New Roman" w:cs="Times New Roman"/>
          <w:i/>
          <w:iCs/>
          <w:sz w:val="26"/>
          <w:szCs w:val="26"/>
          <w:lang w:eastAsia="es-CR"/>
        </w:rPr>
        <w:t>"Artículo 7º-Asistencia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w:t>
      </w:r>
    </w:p>
    <w:p w:rsidRPr="00AE1B2B" w:rsidR="009D3FB5" w:rsidP="00163B94" w:rsidRDefault="009D3FB5" w14:paraId="2E1EB23A" w14:textId="77777777">
      <w:pPr>
        <w:spacing w:before="120" w:after="120"/>
        <w:ind w:left="851" w:right="851" w:firstLine="709"/>
        <w:jc w:val="both"/>
        <w:rPr>
          <w:rFonts w:ascii="Times New Roman" w:hAnsi="Times New Roman" w:eastAsia="Times New Roman" w:cs="Times New Roman"/>
          <w:i/>
          <w:iCs/>
          <w:sz w:val="26"/>
          <w:szCs w:val="26"/>
          <w:lang w:eastAsia="es-CR"/>
        </w:rPr>
      </w:pPr>
      <w:r w:rsidRPr="00AE1B2B">
        <w:rPr>
          <w:rFonts w:ascii="Times New Roman" w:hAnsi="Times New Roman" w:eastAsia="Times New Roman" w:cs="Times New Roman"/>
          <w:i/>
          <w:iCs/>
          <w:sz w:val="26"/>
          <w:szCs w:val="26"/>
          <w:lang w:eastAsia="es-CR"/>
        </w:rPr>
        <w:br/>
      </w:r>
      <w:r w:rsidRPr="00AE1B2B">
        <w:rPr>
          <w:rFonts w:ascii="Times New Roman" w:hAnsi="Times New Roman" w:eastAsia="Times New Roman" w:cs="Times New Roman"/>
          <w:i/>
          <w:iCs/>
          <w:sz w:val="26"/>
          <w:szCs w:val="26"/>
          <w:lang w:eastAsia="es-CR"/>
        </w:rPr>
        <w:t>A continuación, se emiten los siguientes lineamientos mínimos, que deben ser valorados y ampliados según el caso en concreto, para la atención de personas usuarias indígenas en todas las materias y en todos los despachos.</w:t>
      </w:r>
    </w:p>
    <w:p w:rsidRPr="00AE1B2B" w:rsidR="009D3FB5" w:rsidP="00163B94" w:rsidRDefault="009D3FB5" w14:paraId="6AA83030" w14:textId="77777777">
      <w:pPr>
        <w:spacing w:before="120" w:after="120"/>
        <w:ind w:left="851" w:right="851" w:firstLine="709"/>
        <w:jc w:val="both"/>
        <w:rPr>
          <w:rFonts w:ascii="Times New Roman" w:hAnsi="Times New Roman" w:eastAsia="Times New Roman" w:cs="Times New Roman"/>
          <w:i/>
          <w:iCs/>
          <w:sz w:val="26"/>
          <w:szCs w:val="26"/>
          <w:lang w:eastAsia="es-CR"/>
        </w:rPr>
      </w:pPr>
    </w:p>
    <w:p w:rsidRPr="00AE1B2B" w:rsidR="009D3FB5" w:rsidP="00163B94" w:rsidRDefault="009D3FB5" w14:paraId="514D8877" w14:textId="77777777">
      <w:pPr>
        <w:spacing w:before="120" w:after="120"/>
        <w:ind w:left="851" w:right="851" w:firstLine="709"/>
        <w:jc w:val="both"/>
        <w:rPr>
          <w:rFonts w:ascii="Times New Roman" w:hAnsi="Times New Roman" w:eastAsia="Times New Roman" w:cs="Times New Roman"/>
          <w:i/>
          <w:iCs/>
          <w:sz w:val="26"/>
          <w:szCs w:val="26"/>
          <w:lang w:eastAsia="es-CR"/>
        </w:rPr>
      </w:pPr>
      <w:r w:rsidRPr="00AE1B2B">
        <w:rPr>
          <w:rFonts w:ascii="Times New Roman" w:hAnsi="Times New Roman" w:eastAsia="Times New Roman" w:cs="Times New Roman"/>
          <w:i/>
          <w:iCs/>
          <w:sz w:val="26"/>
          <w:szCs w:val="26"/>
          <w:lang w:eastAsia="es-CR"/>
        </w:rPr>
        <w:t>1) A los Despachos a los cuales les corresponde atender población indígena se les informa que debe el Despacho Judicial realizar la valoración acerca de la procedencia de la petición de defensa pública, dejando constancia de lo indicado por la persona usuaria en cuanto a no contar con medios económicos para sufragar los gastos de defensa técnica, así como la petición expresa que solicita que la defensa técnica sea asumida por la Defensa Pública. De igual forma, debe establecerse la condición de indígena de la persona usuaria, priorizando para ello su auto identificación como tal, y de ser necesario, en caso de duda, solicitando una certificación de la Asociación de Desarrollo o Autoridad Legitimada en su territorio. Una vez verificado lo anterior, debe enviarse la solicitud de apersonamiento de persona defensora pública, cuando así resulte pertinente, a la Defensa Pública que corresponda según su competencia territorial. Se distinguen dos posibles situaciones en que se debe cumplir con este procedimiento:</w:t>
      </w:r>
    </w:p>
    <w:p w:rsidRPr="00AE1B2B" w:rsidR="009D3FB5" w:rsidP="00163B94" w:rsidRDefault="009D3FB5" w14:paraId="26790DB5" w14:textId="77777777">
      <w:pPr>
        <w:spacing w:before="120" w:after="120"/>
        <w:ind w:left="851" w:right="851" w:firstLine="709"/>
        <w:jc w:val="both"/>
        <w:rPr>
          <w:rFonts w:ascii="Times New Roman" w:hAnsi="Times New Roman" w:eastAsia="Times New Roman" w:cs="Times New Roman"/>
          <w:i/>
          <w:iCs/>
          <w:sz w:val="26"/>
          <w:szCs w:val="26"/>
          <w:lang w:eastAsia="es-CR"/>
        </w:rPr>
      </w:pPr>
    </w:p>
    <w:p w:rsidRPr="00AE1B2B" w:rsidR="009D3FB5" w:rsidP="00163B94" w:rsidRDefault="009D3FB5" w14:paraId="0D0F8F61" w14:textId="77777777">
      <w:pPr>
        <w:spacing w:before="120" w:after="120"/>
        <w:ind w:left="851" w:right="851" w:firstLine="709"/>
        <w:jc w:val="both"/>
        <w:rPr>
          <w:rFonts w:ascii="Times New Roman" w:hAnsi="Times New Roman" w:eastAsia="Times New Roman" w:cs="Times New Roman"/>
          <w:i/>
          <w:iCs/>
          <w:sz w:val="26"/>
          <w:szCs w:val="26"/>
          <w:lang w:eastAsia="es-CR"/>
        </w:rPr>
      </w:pPr>
      <w:r w:rsidRPr="00AE1B2B">
        <w:rPr>
          <w:rFonts w:ascii="Times New Roman" w:hAnsi="Times New Roman" w:eastAsia="Times New Roman" w:cs="Times New Roman"/>
          <w:i/>
          <w:iCs/>
          <w:sz w:val="26"/>
          <w:szCs w:val="26"/>
          <w:lang w:eastAsia="es-CR"/>
        </w:rPr>
        <w:t>-</w:t>
      </w:r>
      <w:r w:rsidRPr="00AE1B2B">
        <w:rPr>
          <w:rFonts w:ascii="Times New Roman" w:hAnsi="Times New Roman" w:eastAsia="Times New Roman" w:cs="Times New Roman"/>
          <w:b/>
          <w:bCs/>
          <w:i/>
          <w:iCs/>
          <w:sz w:val="26"/>
          <w:szCs w:val="26"/>
          <w:lang w:eastAsia="es-CR"/>
        </w:rPr>
        <w:t>Cuando una persona indígena tenga un proceso pendiente en el Despacho Judicial </w:t>
      </w:r>
      <w:r w:rsidRPr="00AE1B2B">
        <w:rPr>
          <w:rFonts w:ascii="Times New Roman" w:hAnsi="Times New Roman" w:eastAsia="Times New Roman" w:cs="Times New Roman"/>
          <w:i/>
          <w:iCs/>
          <w:sz w:val="26"/>
          <w:szCs w:val="26"/>
          <w:lang w:eastAsia="es-CR"/>
        </w:rPr>
        <w:t>y requiera para este proceso asesoría letrada, indicando que no cuenta con la misma, ni con medios económicos para pagarla, debe señalársele desde el Despacho Judicial que según el artículo 7 de la Ley de Acceso a la Justicia de personas Indígenas de Costa Rica, puede manifestar si desea la asistencia técnica de una persona defensora pública. De ser afirmativa la respuesta, el Despacho Judicial solicitará a la Defensa Pública el apersonamiento correspondiente, reponiendo los plazos según la ley, hasta el momento en que la Defensa Pública remita el apersonamiento.</w:t>
      </w:r>
    </w:p>
    <w:p w:rsidRPr="00AE1B2B" w:rsidR="009D3FB5" w:rsidP="00163B94" w:rsidRDefault="009D3FB5" w14:paraId="28FC3FAD" w14:textId="77777777">
      <w:pPr>
        <w:spacing w:before="120" w:after="120"/>
        <w:ind w:left="851" w:right="851" w:firstLine="709"/>
        <w:jc w:val="both"/>
        <w:rPr>
          <w:rFonts w:ascii="Times New Roman" w:hAnsi="Times New Roman" w:eastAsia="Times New Roman" w:cs="Times New Roman"/>
          <w:i/>
          <w:iCs/>
          <w:sz w:val="26"/>
          <w:szCs w:val="26"/>
          <w:lang w:eastAsia="es-CR"/>
        </w:rPr>
      </w:pPr>
    </w:p>
    <w:p w:rsidRPr="00AE1B2B" w:rsidR="009D3FB5" w:rsidP="00163B94" w:rsidRDefault="009D3FB5" w14:paraId="7023959A" w14:textId="77777777">
      <w:pPr>
        <w:spacing w:before="120" w:after="120"/>
        <w:ind w:left="851" w:right="851" w:firstLine="709"/>
        <w:jc w:val="both"/>
        <w:rPr>
          <w:rFonts w:ascii="Times New Roman" w:hAnsi="Times New Roman" w:eastAsia="Times New Roman" w:cs="Times New Roman"/>
          <w:i/>
          <w:iCs/>
          <w:sz w:val="26"/>
          <w:szCs w:val="26"/>
          <w:lang w:eastAsia="es-CR"/>
        </w:rPr>
      </w:pPr>
      <w:r w:rsidRPr="00AE1B2B">
        <w:rPr>
          <w:rFonts w:ascii="Times New Roman" w:hAnsi="Times New Roman" w:eastAsia="Times New Roman" w:cs="Times New Roman"/>
          <w:i/>
          <w:iCs/>
          <w:sz w:val="26"/>
          <w:szCs w:val="26"/>
          <w:lang w:eastAsia="es-CR"/>
        </w:rPr>
        <w:t>-</w:t>
      </w:r>
      <w:r w:rsidRPr="00AE1B2B">
        <w:rPr>
          <w:rFonts w:ascii="Times New Roman" w:hAnsi="Times New Roman" w:eastAsia="Times New Roman" w:cs="Times New Roman"/>
          <w:b/>
          <w:bCs/>
          <w:i/>
          <w:iCs/>
          <w:sz w:val="26"/>
          <w:szCs w:val="26"/>
          <w:lang w:eastAsia="es-CR"/>
        </w:rPr>
        <w:t>Cuando una persona indígena se presente a un Despacho Judicial </w:t>
      </w:r>
      <w:r w:rsidRPr="00AE1B2B">
        <w:rPr>
          <w:rFonts w:ascii="Times New Roman" w:hAnsi="Times New Roman" w:eastAsia="Times New Roman" w:cs="Times New Roman"/>
          <w:i/>
          <w:iCs/>
          <w:sz w:val="26"/>
          <w:szCs w:val="26"/>
          <w:lang w:eastAsia="es-CR"/>
        </w:rPr>
        <w:t>para establecer un procedimiento nuevo, debe comunicársele la existencia del numeral 7 de la Ley de Acceso a la Justicia de Pueblos Indígenas de Costa Rica, y consultarle si desea asistencia letrada y si puede o no cubrir los costos económicos de ello. En caso que su respuesta sea negativa, se le debe informar de su derecho de contar con defensa pública y consultarle si ese es su deseo. En caso afirmativo se enviará la solicitud de persona Defensora Pública a la oficina de Defensa Pública del Circuito que corresponda, para que esta proceda con el trámite.</w:t>
      </w:r>
    </w:p>
    <w:p w:rsidRPr="00AE1B2B" w:rsidR="009D3FB5" w:rsidP="00163B94" w:rsidRDefault="009D3FB5" w14:paraId="202F3945" w14:textId="77777777">
      <w:pPr>
        <w:spacing w:before="120" w:after="120"/>
        <w:ind w:left="851" w:right="851" w:firstLine="709"/>
        <w:jc w:val="both"/>
        <w:rPr>
          <w:rFonts w:ascii="Times New Roman" w:hAnsi="Times New Roman" w:eastAsia="Times New Roman" w:cs="Times New Roman"/>
          <w:i/>
          <w:iCs/>
          <w:sz w:val="26"/>
          <w:szCs w:val="26"/>
          <w:lang w:eastAsia="es-CR"/>
        </w:rPr>
      </w:pPr>
    </w:p>
    <w:p w:rsidRPr="00AE1B2B" w:rsidR="009D3FB5" w:rsidP="00163B94" w:rsidRDefault="009D3FB5" w14:paraId="4EB4DD83" w14:textId="77777777">
      <w:pPr>
        <w:spacing w:before="120" w:after="120"/>
        <w:ind w:left="851" w:right="851" w:firstLine="709"/>
        <w:jc w:val="both"/>
        <w:rPr>
          <w:rFonts w:ascii="Times New Roman" w:hAnsi="Times New Roman" w:eastAsia="Times New Roman" w:cs="Times New Roman"/>
          <w:i/>
          <w:iCs/>
          <w:sz w:val="26"/>
          <w:szCs w:val="26"/>
          <w:lang w:eastAsia="es-CR"/>
        </w:rPr>
      </w:pPr>
      <w:r w:rsidRPr="00AE1B2B">
        <w:rPr>
          <w:rFonts w:ascii="Times New Roman" w:hAnsi="Times New Roman" w:eastAsia="Times New Roman" w:cs="Times New Roman"/>
          <w:i/>
          <w:iCs/>
          <w:sz w:val="26"/>
          <w:szCs w:val="26"/>
          <w:lang w:eastAsia="es-CR"/>
        </w:rPr>
        <w:lastRenderedPageBreak/>
        <w:t>2) En caso de existir duda sobre la condición de indígena de la persona usuaria, o de si cuenta con dinero para el pago de la asistencia letrada, se debe realizar el trámite por parte de los Despachos Judiciales accediendo a la solicitud de patrocinio letrado de la Defensa Pública, y en caso de que durante el proceso, o por sentencia firme, se declare que la persona no tiene la condición de indígena, o tiene dinero para pagar la asistencia letrada, se incluirán como costas en la sentencia, los costos de la representación por parte de la persona defensora pública. Además, a partir de ese momento la defensa pública dejará de representarlo por no encontrarse en los supuestos del artículo 7.</w:t>
      </w:r>
    </w:p>
    <w:p w:rsidRPr="00AE1B2B" w:rsidR="009D3FB5" w:rsidP="00163B94" w:rsidRDefault="009D3FB5" w14:paraId="0BA2D571" w14:textId="77777777">
      <w:pPr>
        <w:spacing w:before="120" w:after="120"/>
        <w:ind w:left="851" w:right="851" w:firstLine="709"/>
        <w:jc w:val="both"/>
        <w:rPr>
          <w:rFonts w:ascii="Times New Roman" w:hAnsi="Times New Roman" w:eastAsia="Times New Roman" w:cs="Times New Roman"/>
          <w:i/>
          <w:iCs/>
          <w:sz w:val="26"/>
          <w:szCs w:val="26"/>
          <w:lang w:eastAsia="es-CR"/>
        </w:rPr>
      </w:pPr>
      <w:r w:rsidRPr="00AE1B2B">
        <w:rPr>
          <w:rFonts w:ascii="Times New Roman" w:hAnsi="Times New Roman" w:eastAsia="Times New Roman" w:cs="Times New Roman"/>
          <w:i/>
          <w:iCs/>
          <w:sz w:val="26"/>
          <w:szCs w:val="26"/>
          <w:lang w:eastAsia="es-CR"/>
        </w:rPr>
        <w:br/>
      </w:r>
      <w:r w:rsidRPr="00AE1B2B">
        <w:rPr>
          <w:rFonts w:ascii="Times New Roman" w:hAnsi="Times New Roman" w:eastAsia="Times New Roman" w:cs="Times New Roman"/>
          <w:i/>
          <w:iCs/>
          <w:sz w:val="26"/>
          <w:szCs w:val="26"/>
          <w:lang w:eastAsia="es-CR"/>
        </w:rPr>
        <w:t>3) El Consejo Superior autoriza para que el Departamento de Informática facilite los permisos y habilite el acceso de contexto de consulta para la Defensa Pública, de los siguientes Despachos Judiciales: Tribunal Contencioso Administrativo, Juzgado Contencioso Administrativo, Tribunal de Apelaciones de lo Contencioso Administrativo y Sala Primera, tanto en cuanto al escritorio virtual, como al sistema de gestión. En ese mismo sentido se autoriza que se habilite también para los Juzgados de Violencia Doméstica y Juzgados de Familia a nivel nacional”.</w:t>
      </w:r>
    </w:p>
    <w:p w:rsidRPr="00AE1B2B" w:rsidR="009D3FB5" w:rsidP="00163B94" w:rsidRDefault="009D3FB5" w14:paraId="00E30448"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2027E26C"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35261FC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sz w:val="26"/>
          <w:szCs w:val="26"/>
        </w:rPr>
        <w:t>También lo dispuesto por la circular 32-2021 respecto</w:t>
      </w:r>
      <w:r w:rsidRPr="00AE1B2B">
        <w:rPr>
          <w:rFonts w:ascii="Times New Roman" w:hAnsi="Times New Roman" w:cs="Times New Roman"/>
          <w:i/>
          <w:iCs/>
          <w:sz w:val="26"/>
          <w:szCs w:val="26"/>
        </w:rPr>
        <w:t xml:space="preserve"> “Lineamientos para las personas servidoras judiciales en relación con las Medidas Cautelares 321-12 de la Comisión Interamericana de Derechos Humanos contra el Estado, y la aplicación de la normativa internacional de derechos humanos referida a personas indígenas.”</w:t>
      </w:r>
    </w:p>
    <w:p w:rsidRPr="00AE1B2B" w:rsidR="009D3FB5" w:rsidP="00163B94" w:rsidRDefault="009D3FB5" w14:paraId="129DF2C5"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507726C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C.1. Respecto a la representación de personas menores de edad (incluida la población indígena) y su rol de participación en los procesos judiciales, debe considerarse lo dispuesto en la Ley 9747 en la Sección III </w:t>
      </w:r>
      <w:r w:rsidRPr="00AE1B2B">
        <w:rPr>
          <w:rFonts w:ascii="Times New Roman" w:hAnsi="Times New Roman" w:cs="Times New Roman"/>
          <w:i/>
          <w:iCs/>
          <w:sz w:val="26"/>
          <w:szCs w:val="26"/>
        </w:rPr>
        <w:t>Capacidad y Representación</w:t>
      </w:r>
      <w:r w:rsidRPr="00AE1B2B">
        <w:rPr>
          <w:rFonts w:ascii="Times New Roman" w:hAnsi="Times New Roman" w:cs="Times New Roman"/>
          <w:sz w:val="26"/>
          <w:szCs w:val="26"/>
        </w:rPr>
        <w:t xml:space="preserve">, en el subsección II </w:t>
      </w:r>
      <w:r w:rsidRPr="00AE1B2B">
        <w:rPr>
          <w:rFonts w:ascii="Times New Roman" w:hAnsi="Times New Roman" w:cs="Times New Roman"/>
          <w:i/>
          <w:iCs/>
          <w:sz w:val="26"/>
          <w:szCs w:val="26"/>
        </w:rPr>
        <w:t>Representación procesal de personas menores de edad y de personas con discapacidad,</w:t>
      </w:r>
      <w:r w:rsidRPr="00AE1B2B">
        <w:rPr>
          <w:rFonts w:ascii="Times New Roman" w:hAnsi="Times New Roman" w:cs="Times New Roman"/>
          <w:sz w:val="26"/>
          <w:szCs w:val="26"/>
        </w:rPr>
        <w:t xml:space="preserve"> específicamente en los artículo 41 y 42 y el rol que podrá asumir la Defensa Pública. </w:t>
      </w:r>
    </w:p>
    <w:p w:rsidRPr="00AE1B2B" w:rsidR="009D3FB5" w:rsidP="00163B94" w:rsidRDefault="009D3FB5" w14:paraId="0616784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710A910"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453294EB"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w:t>
      </w:r>
      <w:r w:rsidRPr="00AE1B2B">
        <w:rPr>
          <w:rFonts w:ascii="Times New Roman" w:hAnsi="Times New Roman" w:cs="Times New Roman"/>
          <w:b/>
          <w:bCs/>
          <w:i/>
          <w:iCs/>
          <w:sz w:val="26"/>
          <w:szCs w:val="26"/>
        </w:rPr>
        <w:t>Artículo 41- Representación de personas menores de edad</w:t>
      </w:r>
    </w:p>
    <w:p w:rsidRPr="00AE1B2B" w:rsidR="009D3FB5" w:rsidP="00163B94" w:rsidRDefault="009D3FB5" w14:paraId="4087C780"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Se reconoce a todas las personas mayores de doce años el ejercicio personal y pleno de la capacidad procesal para el trámite de los procesos establecidos en este Código, sin perjuicio de que prefieran que sus padres u otras personas representantes actúen en su nombre.</w:t>
      </w:r>
    </w:p>
    <w:p w:rsidRPr="00AE1B2B" w:rsidR="009D3FB5" w:rsidP="00163B94" w:rsidRDefault="009D3FB5" w14:paraId="33FD41F5" w14:textId="2ADC2B70">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Tratándose de personas menores de doce años, la autoridad judicial llamará a quien ejerza la responsabilidad parental o bien, en su caso, a quien asigne el Patronato Nacional de la Infancia (PANI) y, si esta persona no se encontrara disponible en ese momento, podrá nombrársele representación provisional hasta tanto el ente mencionado apersone a la persona elegida. No obstante, estas personas podrán ejercer el derecho a ser oídas y participar activamente de manera progresiva y conforme a su capacidad volitiva, según la ley y bajo la apreciación del tribunal, teniendo derecho de acudir personalmente ante este y a que se les atienda de forma personalizada y conforme a sus características etarias, debiendo velar, las personas funcionarias judiciales, por la efectivización de los derechos de las personas menores de edad.</w:t>
      </w:r>
    </w:p>
    <w:p w:rsidRPr="00AE1B2B" w:rsidR="00C5524E" w:rsidP="00163B94" w:rsidRDefault="00C5524E" w14:paraId="5B7B353D"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278B5E41" w14:textId="5F506915">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Excepcionalmente, las personas menores de doce años podrán accionar de forma</w:t>
      </w:r>
      <w:r w:rsidRPr="00AE1B2B" w:rsidR="00C5524E">
        <w:rPr>
          <w:rFonts w:ascii="Times New Roman" w:hAnsi="Times New Roman" w:cs="Times New Roman"/>
          <w:i/>
          <w:iCs/>
          <w:sz w:val="26"/>
          <w:szCs w:val="26"/>
        </w:rPr>
        <w:t xml:space="preserve"> </w:t>
      </w:r>
      <w:r w:rsidRPr="00AE1B2B">
        <w:rPr>
          <w:rFonts w:ascii="Times New Roman" w:hAnsi="Times New Roman" w:cs="Times New Roman"/>
          <w:i/>
          <w:iCs/>
          <w:sz w:val="26"/>
          <w:szCs w:val="26"/>
        </w:rPr>
        <w:t>personal. En este caso, para el inicio del proceso e</w:t>
      </w:r>
      <w:r w:rsidRPr="00AE1B2B" w:rsidR="00C5524E">
        <w:rPr>
          <w:rFonts w:ascii="Times New Roman" w:hAnsi="Times New Roman" w:cs="Times New Roman"/>
          <w:i/>
          <w:iCs/>
          <w:sz w:val="26"/>
          <w:szCs w:val="26"/>
        </w:rPr>
        <w:t xml:space="preserve">l tribunal deberá contar con un </w:t>
      </w:r>
      <w:r w:rsidRPr="00AE1B2B">
        <w:rPr>
          <w:rFonts w:ascii="Times New Roman" w:hAnsi="Times New Roman" w:cs="Times New Roman"/>
          <w:i/>
          <w:iCs/>
          <w:sz w:val="26"/>
          <w:szCs w:val="26"/>
        </w:rPr>
        <w:t>informe psicológico del Departamento de Trabajo Social y Psicología del Poder</w:t>
      </w:r>
      <w:r w:rsidRPr="00AE1B2B" w:rsidR="00C5524E">
        <w:rPr>
          <w:rFonts w:ascii="Times New Roman" w:hAnsi="Times New Roman" w:cs="Times New Roman"/>
          <w:i/>
          <w:iCs/>
          <w:sz w:val="26"/>
          <w:szCs w:val="26"/>
        </w:rPr>
        <w:t xml:space="preserve"> </w:t>
      </w:r>
      <w:r w:rsidRPr="00AE1B2B">
        <w:rPr>
          <w:rFonts w:ascii="Times New Roman" w:hAnsi="Times New Roman" w:cs="Times New Roman"/>
          <w:i/>
          <w:iCs/>
          <w:sz w:val="26"/>
          <w:szCs w:val="26"/>
        </w:rPr>
        <w:t>Judicial, que acredite que la persona menor de edad tiene la capacidad para ejercer</w:t>
      </w:r>
      <w:r w:rsidRPr="00AE1B2B" w:rsidR="00C5524E">
        <w:rPr>
          <w:rFonts w:ascii="Times New Roman" w:hAnsi="Times New Roman" w:cs="Times New Roman"/>
          <w:i/>
          <w:iCs/>
          <w:sz w:val="26"/>
          <w:szCs w:val="26"/>
        </w:rPr>
        <w:t xml:space="preserve"> </w:t>
      </w:r>
      <w:r w:rsidRPr="00AE1B2B">
        <w:rPr>
          <w:rFonts w:ascii="Times New Roman" w:hAnsi="Times New Roman" w:cs="Times New Roman"/>
          <w:i/>
          <w:iCs/>
          <w:sz w:val="26"/>
          <w:szCs w:val="26"/>
        </w:rPr>
        <w:t>dicha acción.”</w:t>
      </w:r>
    </w:p>
    <w:p w:rsidRPr="00AE1B2B" w:rsidR="009D3FB5" w:rsidP="00163B94" w:rsidRDefault="009D3FB5" w14:paraId="28ABB7E9"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5EBB2662"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4CBC550B" w14:textId="77777777">
      <w:pPr>
        <w:autoSpaceDE w:val="0"/>
        <w:autoSpaceDN w:val="0"/>
        <w:adjustRightInd w:val="0"/>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“Artículo 42- Asistencia y patrocinio letrado gratuito</w:t>
      </w:r>
    </w:p>
    <w:p w:rsidRPr="00AE1B2B" w:rsidR="009D3FB5" w:rsidP="00163B94" w:rsidRDefault="009D3FB5" w14:paraId="70175FDC"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El Estado garantizará la asistencia y el patrocinio letrado gratuito a las personas menores de edad que carezcan de medios económicos suficientes”.</w:t>
      </w:r>
    </w:p>
    <w:p w:rsidRPr="00AE1B2B" w:rsidR="009D3FB5" w:rsidP="00163B94" w:rsidRDefault="009D3FB5" w14:paraId="77CE1D03" w14:textId="0A98D4CE">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393BF181" w14:textId="77777777">
      <w:pPr>
        <w:numPr>
          <w:ilvl w:val="0"/>
          <w:numId w:val="70"/>
        </w:numPr>
        <w:tabs>
          <w:tab w:val="left" w:pos="426"/>
        </w:tabs>
        <w:spacing w:before="120" w:after="120"/>
        <w:ind w:left="851" w:right="851" w:firstLine="709"/>
        <w:jc w:val="both"/>
        <w:rPr>
          <w:rFonts w:ascii="Times New Roman" w:hAnsi="Times New Roman" w:cs="Times New Roman"/>
          <w:bCs/>
          <w:sz w:val="26"/>
          <w:szCs w:val="26"/>
        </w:rPr>
      </w:pPr>
      <w:r w:rsidRPr="00AE1B2B">
        <w:rPr>
          <w:rFonts w:ascii="Times New Roman" w:hAnsi="Times New Roman" w:cs="Times New Roman"/>
          <w:b/>
          <w:sz w:val="26"/>
          <w:szCs w:val="26"/>
        </w:rPr>
        <w:t xml:space="preserve">Introducción de nuevos tipos procesales. </w:t>
      </w:r>
      <w:r w:rsidRPr="00AE1B2B">
        <w:rPr>
          <w:rFonts w:ascii="Times New Roman" w:hAnsi="Times New Roman" w:cs="Times New Roman"/>
          <w:bCs/>
          <w:sz w:val="26"/>
          <w:szCs w:val="26"/>
        </w:rPr>
        <w:t>En el artículo 212 y siguientes se establece que toda pretensión de carácter familiar se tramitará según su naturaleza bajo cinco tipos de procesos:</w:t>
      </w:r>
    </w:p>
    <w:p w:rsidRPr="00AE1B2B" w:rsidR="009D3FB5" w:rsidP="00163B94" w:rsidRDefault="009D3FB5" w14:paraId="4BACAD9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A8D526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i/>
          <w:iCs/>
          <w:sz w:val="26"/>
          <w:szCs w:val="26"/>
        </w:rPr>
        <w:lastRenderedPageBreak/>
        <w:t>1) Resolutivos familiares.</w:t>
      </w:r>
      <w:r w:rsidRPr="00AE1B2B">
        <w:rPr>
          <w:rFonts w:ascii="Times New Roman" w:hAnsi="Times New Roman" w:cs="Times New Roman"/>
          <w:sz w:val="26"/>
          <w:szCs w:val="26"/>
        </w:rPr>
        <w:t xml:space="preserve"> Según el artículo 222 abarcan las pretensiones relacionadas al vínculo matrimonial; el reconocimiento de la unión de hecho; la aplicación del régimen patrimonial del matrimonio y de la unión de hecho; la filiación y la oposición de la adopción; la oposición a la declaratoria de adoptabilidad en sede administrativa; los conflictos en el ejercicio de los atributos de la responsabilidad parental, incluidos los referidos al cuidado personal de hijas e hijos y modificaciones de sentencias sobre estas pretensiones; la terminación con o sin fines de adopción y la suspensión de los atributos de la responsabilidad parental; la pérdida, con petición o no de adaptabilidad, y la suspensión de los atributos de la responsabilidad parental; la oposición válida y definida por la autoridad judicial a la solicitud de salvaguardia para la igualdad jurídica de personas con discapacidad; y los reclamos de daños y perjuicios.</w:t>
      </w:r>
    </w:p>
    <w:p w:rsidRPr="00AE1B2B" w:rsidR="009D3FB5" w:rsidP="00163B94" w:rsidRDefault="009D3FB5" w14:paraId="5A9E0DC2" w14:textId="77777777">
      <w:pPr>
        <w:spacing w:before="120" w:after="120"/>
        <w:ind w:left="851" w:right="851" w:firstLine="709"/>
        <w:jc w:val="both"/>
        <w:rPr>
          <w:rFonts w:ascii="Times New Roman" w:hAnsi="Times New Roman" w:cs="Times New Roman"/>
          <w:b/>
          <w:bCs/>
          <w:i/>
          <w:iCs/>
          <w:sz w:val="26"/>
          <w:szCs w:val="26"/>
        </w:rPr>
      </w:pPr>
    </w:p>
    <w:p w:rsidRPr="00AE1B2B" w:rsidR="009D3FB5" w:rsidP="00163B94" w:rsidRDefault="009D3FB5" w14:paraId="7C829FF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i/>
          <w:iCs/>
          <w:sz w:val="26"/>
          <w:szCs w:val="26"/>
        </w:rPr>
        <w:t xml:space="preserve">2) De protección cautelar. </w:t>
      </w:r>
      <w:r w:rsidRPr="00AE1B2B">
        <w:rPr>
          <w:rFonts w:ascii="Times New Roman" w:hAnsi="Times New Roman" w:cs="Times New Roman"/>
          <w:sz w:val="26"/>
          <w:szCs w:val="26"/>
        </w:rPr>
        <w:t>Esta fase se encuentra dentro de los artículos que van del 234 al 241.</w:t>
      </w:r>
    </w:p>
    <w:p w:rsidRPr="00AE1B2B" w:rsidR="009D3FB5" w:rsidP="00163B94" w:rsidRDefault="009D3FB5" w14:paraId="3A40CF48" w14:textId="77777777">
      <w:pPr>
        <w:spacing w:before="120" w:after="120"/>
        <w:ind w:left="851" w:right="851" w:firstLine="709"/>
        <w:jc w:val="both"/>
        <w:rPr>
          <w:rFonts w:ascii="Times New Roman" w:hAnsi="Times New Roman" w:cs="Times New Roman"/>
          <w:b/>
          <w:bCs/>
          <w:i/>
          <w:iCs/>
          <w:sz w:val="26"/>
          <w:szCs w:val="26"/>
        </w:rPr>
      </w:pPr>
    </w:p>
    <w:p w:rsidRPr="00AE1B2B" w:rsidR="009D3FB5" w:rsidP="00163B94" w:rsidRDefault="009D3FB5" w14:paraId="635CC84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i/>
          <w:iCs/>
          <w:sz w:val="26"/>
          <w:szCs w:val="26"/>
        </w:rPr>
        <w:t xml:space="preserve">3) De petición unilateral. </w:t>
      </w:r>
      <w:r w:rsidRPr="00AE1B2B">
        <w:rPr>
          <w:rFonts w:ascii="Times New Roman" w:hAnsi="Times New Roman" w:cs="Times New Roman"/>
          <w:sz w:val="26"/>
          <w:szCs w:val="26"/>
        </w:rPr>
        <w:t>Dentro del artículo 242 se mencionan el nombramiento de personas tutoras para personas menores de edad; la salvaguardia para la igualdad jurídica de las personas con discapacidad; el nombramiento de personas depositarias para personas menores de edad; y las autorizaciones para la disposición de derechos en bienes de personas menores de edad o personas con discapacidad.</w:t>
      </w:r>
    </w:p>
    <w:p w:rsidRPr="00AE1B2B" w:rsidR="009D3FB5" w:rsidP="00163B94" w:rsidRDefault="009D3FB5" w14:paraId="797D5FA7" w14:textId="77777777">
      <w:pPr>
        <w:spacing w:before="120" w:after="120"/>
        <w:ind w:left="851" w:right="851" w:firstLine="709"/>
        <w:jc w:val="both"/>
        <w:rPr>
          <w:rFonts w:ascii="Times New Roman" w:hAnsi="Times New Roman" w:cs="Times New Roman"/>
          <w:b/>
          <w:bCs/>
          <w:i/>
          <w:iCs/>
          <w:sz w:val="26"/>
          <w:szCs w:val="26"/>
        </w:rPr>
      </w:pPr>
    </w:p>
    <w:p w:rsidRPr="00AE1B2B" w:rsidR="009D3FB5" w:rsidP="00163B94" w:rsidRDefault="009D3FB5" w14:paraId="59CB8B8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i/>
          <w:iCs/>
          <w:sz w:val="26"/>
          <w:szCs w:val="26"/>
        </w:rPr>
        <w:t>4) Resolutivos especiales</w:t>
      </w:r>
      <w:r w:rsidRPr="00AE1B2B">
        <w:rPr>
          <w:rFonts w:ascii="Times New Roman" w:hAnsi="Times New Roman" w:cs="Times New Roman"/>
          <w:sz w:val="26"/>
          <w:szCs w:val="26"/>
        </w:rPr>
        <w:t>. Comprenden los siguientes procedimientos:</w:t>
      </w:r>
    </w:p>
    <w:p w:rsidRPr="00AE1B2B" w:rsidR="009D3FB5" w:rsidP="00163B94" w:rsidRDefault="009D3FB5" w14:paraId="70B43EE9" w14:textId="77777777">
      <w:pPr>
        <w:pStyle w:val="Prrafodelista"/>
        <w:numPr>
          <w:ilvl w:val="0"/>
          <w:numId w:val="7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Pensiones alimentarias, en los artículos del 257 al 266;</w:t>
      </w:r>
    </w:p>
    <w:p w:rsidRPr="00AE1B2B" w:rsidR="009D3FB5" w:rsidP="00163B94" w:rsidRDefault="009D3FB5" w14:paraId="4DDE696E" w14:textId="77777777">
      <w:pPr>
        <w:pStyle w:val="Prrafodelista"/>
        <w:numPr>
          <w:ilvl w:val="0"/>
          <w:numId w:val="7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Fijación de cuota alimentaria, en los artículos del 267 al 276;</w:t>
      </w:r>
    </w:p>
    <w:p w:rsidRPr="00AE1B2B" w:rsidR="009D3FB5" w:rsidP="00163B94" w:rsidRDefault="009D3FB5" w14:paraId="687F734E" w14:textId="77777777">
      <w:pPr>
        <w:pStyle w:val="Prrafodelista"/>
        <w:numPr>
          <w:ilvl w:val="0"/>
          <w:numId w:val="7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Extinción o modificación de la cuota fijada de alimentos y cobro de gastos Extraordinarios no pactados, en los artículos del 277 al 279;</w:t>
      </w:r>
    </w:p>
    <w:p w:rsidRPr="00AE1B2B" w:rsidR="009D3FB5" w:rsidP="00163B94" w:rsidRDefault="009D3FB5" w14:paraId="7C776913" w14:textId="77777777">
      <w:pPr>
        <w:pStyle w:val="Prrafodelista"/>
        <w:numPr>
          <w:ilvl w:val="0"/>
          <w:numId w:val="7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Ejecución de la deuda alimentaria, en los artículos del 280 al 288;</w:t>
      </w:r>
    </w:p>
    <w:p w:rsidRPr="00AE1B2B" w:rsidR="009D3FB5" w:rsidP="00163B94" w:rsidRDefault="009D3FB5" w14:paraId="0C06F3C5" w14:textId="77777777">
      <w:pPr>
        <w:pStyle w:val="Prrafodelista"/>
        <w:numPr>
          <w:ilvl w:val="0"/>
          <w:numId w:val="7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Divorcio, separación judicial o cese de la unión de hecho por muto consentimiento, en los artículos del 289 al 293;</w:t>
      </w:r>
    </w:p>
    <w:p w:rsidRPr="00AE1B2B" w:rsidR="009D3FB5" w:rsidP="00163B94" w:rsidRDefault="009D3FB5" w14:paraId="01C27568" w14:textId="77777777">
      <w:pPr>
        <w:pStyle w:val="Prrafodelista"/>
        <w:numPr>
          <w:ilvl w:val="0"/>
          <w:numId w:val="7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Adopción, en los artículos del 294 al 302; y,</w:t>
      </w:r>
    </w:p>
    <w:p w:rsidRPr="00AE1B2B" w:rsidR="009D3FB5" w:rsidP="00163B94" w:rsidRDefault="009D3FB5" w14:paraId="1C1ECA09" w14:textId="77777777">
      <w:pPr>
        <w:pStyle w:val="Prrafodelista"/>
        <w:numPr>
          <w:ilvl w:val="0"/>
          <w:numId w:val="7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lastRenderedPageBreak/>
        <w:t>Restitución internacional de personas menores de edad, en los artículos del 303 al 312.</w:t>
      </w:r>
    </w:p>
    <w:p w:rsidRPr="00AE1B2B" w:rsidR="009D3FB5" w:rsidP="00163B94" w:rsidRDefault="009D3FB5" w14:paraId="64397809" w14:textId="77777777">
      <w:pPr>
        <w:spacing w:before="120" w:after="120"/>
        <w:ind w:left="851" w:right="851" w:firstLine="709"/>
        <w:jc w:val="both"/>
        <w:rPr>
          <w:rFonts w:ascii="Times New Roman" w:hAnsi="Times New Roman" w:cs="Times New Roman"/>
          <w:b/>
          <w:bCs/>
          <w:i/>
          <w:iCs/>
          <w:sz w:val="26"/>
          <w:szCs w:val="26"/>
        </w:rPr>
      </w:pPr>
    </w:p>
    <w:p w:rsidRPr="00AE1B2B" w:rsidR="009D3FB5" w:rsidP="00163B94" w:rsidRDefault="009D3FB5" w14:paraId="0BBEEE0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i/>
          <w:iCs/>
          <w:sz w:val="26"/>
          <w:szCs w:val="26"/>
        </w:rPr>
        <w:t>5) De ejecución de resoluciones judiciales.</w:t>
      </w:r>
      <w:r w:rsidRPr="00AE1B2B">
        <w:rPr>
          <w:rFonts w:ascii="Times New Roman" w:hAnsi="Times New Roman" w:cs="Times New Roman"/>
          <w:sz w:val="26"/>
          <w:szCs w:val="26"/>
        </w:rPr>
        <w:t xml:space="preserve"> Ejecución de resoluciones judiciales. Esta fase se encuentra dentro de los artículos que van del 313 al 333.</w:t>
      </w:r>
    </w:p>
    <w:p w:rsidRPr="00AE1B2B" w:rsidR="009D3FB5" w:rsidP="00163B94" w:rsidRDefault="009D3FB5" w14:paraId="36BE469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CA672E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caso de los incisos 1, 3, 4 y 5, el CPF plantea una reagrupación de los procesos vigentes en la materia de Familia, por lo que no corresponden a nuevos procesos. Por su parte el proceso denominado “</w:t>
      </w:r>
      <w:r w:rsidRPr="00AE1B2B">
        <w:rPr>
          <w:rFonts w:ascii="Times New Roman" w:hAnsi="Times New Roman" w:cs="Times New Roman"/>
          <w:i/>
          <w:sz w:val="26"/>
          <w:szCs w:val="26"/>
        </w:rPr>
        <w:t>protección cautelar</w:t>
      </w:r>
      <w:r w:rsidRPr="00AE1B2B">
        <w:rPr>
          <w:rFonts w:ascii="Times New Roman" w:hAnsi="Times New Roman" w:cs="Times New Roman"/>
          <w:sz w:val="26"/>
          <w:szCs w:val="26"/>
        </w:rPr>
        <w:t>” establece los lineamientos que debe seguir el juzgador al momento de dictar medidas de protección cuando se presente una agresión fuera del núcleo familiar, en perjuicio de personas adultas mayores y personas con discapacidad, donde estas últimas constituyen una novedad dentro de la materia.</w:t>
      </w:r>
    </w:p>
    <w:p w:rsidRPr="00AE1B2B" w:rsidR="009D3FB5" w:rsidP="00163B94" w:rsidRDefault="009D3FB5" w14:paraId="589311A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D186E8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asignación de las medidas cautelares correspondería a los actuales Juzgados de Violencia Doméstica que a su vez se les modifica su nomenclatura y en adelante se denominarían “</w:t>
      </w:r>
      <w:r w:rsidRPr="00AE1B2B">
        <w:rPr>
          <w:rFonts w:ascii="Times New Roman" w:hAnsi="Times New Roman" w:cs="Times New Roman"/>
          <w:i/>
          <w:iCs/>
          <w:sz w:val="26"/>
          <w:szCs w:val="26"/>
        </w:rPr>
        <w:t>Juzgados de Violencia Domestica y Protección Cautelar</w:t>
      </w:r>
      <w:r w:rsidRPr="00AE1B2B">
        <w:rPr>
          <w:rFonts w:ascii="Times New Roman" w:hAnsi="Times New Roman" w:cs="Times New Roman"/>
          <w:sz w:val="26"/>
          <w:szCs w:val="26"/>
        </w:rPr>
        <w:t>”, lo cual se contempla en el artículo 121 bis, que se adiciona a la Ley Orgánica del Poder Judicial.</w:t>
      </w:r>
    </w:p>
    <w:p w:rsidRPr="00AE1B2B" w:rsidR="009D3FB5" w:rsidP="00163B94" w:rsidRDefault="009D3FB5" w14:paraId="4D545854"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“Artículo 121 bis- Juzgados de Violencia Doméstica y de Protección Cautelar</w:t>
      </w:r>
    </w:p>
    <w:p w:rsidRPr="00AE1B2B" w:rsidR="009D3FB5" w:rsidP="00163B94" w:rsidRDefault="009D3FB5" w14:paraId="37CD65F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Los juzgados de Violencia Doméstica y de Protección Cautelar conocerán de:</w:t>
      </w:r>
    </w:p>
    <w:p w:rsidRPr="00AE1B2B" w:rsidR="009D3FB5" w:rsidP="00163B94" w:rsidRDefault="009D3FB5" w14:paraId="5DCD40DE"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 Todo lo relativo a los procesos de protección cautelar de violencia intrafamiliar, personas adultas mayores y personas con discapacidad.</w:t>
      </w:r>
    </w:p>
    <w:p w:rsidRPr="00AE1B2B" w:rsidR="009D3FB5" w:rsidP="00163B94" w:rsidRDefault="009D3FB5" w14:paraId="263E6ED3"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 Los demás asuntos que estipule la ley.</w:t>
      </w:r>
    </w:p>
    <w:p w:rsidRPr="00AE1B2B" w:rsidR="009D3FB5" w:rsidP="00163B94" w:rsidRDefault="009D3FB5" w14:paraId="442E56E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i/>
          <w:iCs/>
          <w:sz w:val="26"/>
          <w:szCs w:val="26"/>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rsidRPr="00AE1B2B" w:rsidR="009D3FB5" w:rsidP="00163B94" w:rsidRDefault="009D3FB5" w14:paraId="40C8322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B3A083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Al respecto el Lic. Jiménez Mata, comentó que el impacto de estos cambios se reflejaría en el incremento de la entrada de casos </w:t>
      </w:r>
      <w:r w:rsidRPr="00AE1B2B">
        <w:rPr>
          <w:rFonts w:ascii="Times New Roman" w:hAnsi="Times New Roman" w:cs="Times New Roman"/>
          <w:sz w:val="26"/>
          <w:szCs w:val="26"/>
        </w:rPr>
        <w:lastRenderedPageBreak/>
        <w:t xml:space="preserve">para los actuales juzgados competentes en Violencia Doméstica del país, producto del proceso de protección cautelar para personas con discapacidad. </w:t>
      </w:r>
    </w:p>
    <w:p w:rsidRPr="00AE1B2B" w:rsidR="009D3FB5" w:rsidP="00163B94" w:rsidRDefault="009D3FB5" w14:paraId="5C5B243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F883455" w14:textId="77777777">
      <w:pPr>
        <w:numPr>
          <w:ilvl w:val="0"/>
          <w:numId w:val="70"/>
        </w:numPr>
        <w:tabs>
          <w:tab w:val="left" w:pos="426"/>
        </w:tabs>
        <w:spacing w:before="120" w:after="120"/>
        <w:ind w:left="851" w:right="851" w:firstLine="709"/>
        <w:jc w:val="both"/>
        <w:rPr>
          <w:rFonts w:ascii="Times New Roman" w:hAnsi="Times New Roman" w:cs="Times New Roman"/>
          <w:bCs/>
          <w:sz w:val="26"/>
          <w:szCs w:val="26"/>
        </w:rPr>
      </w:pPr>
      <w:r w:rsidRPr="00AE1B2B">
        <w:rPr>
          <w:rFonts w:ascii="Times New Roman" w:hAnsi="Times New Roman" w:cs="Times New Roman"/>
          <w:b/>
          <w:sz w:val="26"/>
          <w:szCs w:val="26"/>
        </w:rPr>
        <w:t xml:space="preserve">Desjudicialización de procesos. </w:t>
      </w:r>
      <w:r w:rsidRPr="00AE1B2B">
        <w:rPr>
          <w:rFonts w:ascii="Times New Roman" w:hAnsi="Times New Roman" w:cs="Times New Roman"/>
          <w:bCs/>
          <w:sz w:val="26"/>
          <w:szCs w:val="26"/>
        </w:rPr>
        <w:t>El CPF faculta al Registro Civil y a las sedes notariales a realizar procesos que en la actualidad conocen los despachos jurisdiccionales, donde no medie contención entre las partes involucradas, mediante reformas al Código de Familia, a la Ley Orgánica del Poder Judicial y mención expresa dentro del CPF:</w:t>
      </w:r>
    </w:p>
    <w:p w:rsidRPr="00AE1B2B" w:rsidR="009D3FB5" w:rsidP="00163B94" w:rsidRDefault="009D3FB5" w14:paraId="174C742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B0FC1E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“Artículo 24- Matrimonio civil. Celebración</w:t>
      </w:r>
    </w:p>
    <w:p w:rsidRPr="00AE1B2B" w:rsidR="009D3FB5" w:rsidP="00163B94" w:rsidRDefault="009D3FB5" w14:paraId="568E58F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Además del caso del artículo anterior, el matrimonio podrá celebrarse ante las autoridades de jefatura de las oficinas centrales o regionales del Registro Civil o ante los notarios públicos.</w:t>
      </w:r>
      <w:r w:rsidRPr="00AE1B2B">
        <w:rPr>
          <w:rFonts w:ascii="Times New Roman" w:hAnsi="Times New Roman" w:cs="Times New Roman"/>
          <w:sz w:val="26"/>
          <w:szCs w:val="26"/>
        </w:rPr>
        <w:t xml:space="preserve"> </w:t>
      </w:r>
      <w:r w:rsidRPr="00AE1B2B">
        <w:rPr>
          <w:rFonts w:ascii="Times New Roman" w:hAnsi="Times New Roman" w:cs="Times New Roman"/>
          <w:i/>
          <w:iCs/>
          <w:sz w:val="26"/>
          <w:szCs w:val="26"/>
        </w:rPr>
        <w:t>Los primeros no podrán cobrar honorarios por sus actuaciones. En caso de los segundos, el acta correspondiente se asentará en su protocolo y deberán conservar en el de referencia la copia respectiva, debiendo enviar todos los antecedentes y documentos requeridos a los contrayentes, el testimonio notarial y la copia del acta en los formularios que son suministrados por el Registro Civil a esta institución, dentro de los ocho días siguientes a la celebración del matrimonio para su inscripción. Ambos funcionarios estarán sometidos al régimen disciplinario y penal correspondientes.”</w:t>
      </w:r>
    </w:p>
    <w:p w:rsidRPr="00AE1B2B" w:rsidR="009D3FB5" w:rsidP="00163B94" w:rsidRDefault="009D3FB5" w14:paraId="2DF7CF6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6DD5E52"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“Artículo 84- Reconocimiento administrativo de la paternidad</w:t>
      </w:r>
    </w:p>
    <w:p w:rsidRPr="00AE1B2B" w:rsidR="009D3FB5" w:rsidP="00163B94" w:rsidRDefault="009D3FB5" w14:paraId="45781B79"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Podrán ser reconocidos por sus padres todos los hijos habidos fuera de matrimonio y cuya paternidad no conste en el Registro Civil; igualmente, los hijos por nacer y los hijos muertos.</w:t>
      </w:r>
    </w:p>
    <w:p w:rsidRPr="00AE1B2B" w:rsidR="009D3FB5" w:rsidP="00163B94" w:rsidRDefault="009D3FB5" w14:paraId="2BC2C6D4"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Si el hijo no tiene paternidad asignada, el reconocimiento se hará ante el Registro Civil o notario público, siempre que ambos padres comparezcan personalmente o haya mediado consentimiento expreso de la madre. El notario público deberá enviar el acta respectiva al Registro Civil, dentro de los ocho días hábiles siguientes.</w:t>
      </w:r>
    </w:p>
    <w:p w:rsidRPr="00AE1B2B" w:rsidR="009D3FB5" w:rsidP="00163B94" w:rsidRDefault="009D3FB5" w14:paraId="6A526CA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i/>
          <w:sz w:val="26"/>
          <w:szCs w:val="26"/>
        </w:rPr>
        <w:t xml:space="preserve">Si el hijo tuviera una paternidad asignada registralmente, por motivo de la presunción de paternidad de un padre que no corresponde a la verdad biológica, se podrá pedir su reconocimiento por quien corresponda ante el Registro Civil, según los trámites </w:t>
      </w:r>
      <w:r w:rsidRPr="00AE1B2B">
        <w:rPr>
          <w:rFonts w:ascii="Times New Roman" w:hAnsi="Times New Roman" w:cs="Times New Roman"/>
          <w:i/>
          <w:sz w:val="26"/>
          <w:szCs w:val="26"/>
        </w:rPr>
        <w:lastRenderedPageBreak/>
        <w:t>administrativos contemplados en las normas orgánicas de esta institución. Si sucediera una oposición fundada del padre o la madre registrales, el asunto deberá conocerse jurisdiccionalmente mediante el proceso resolutivo familiar de filiación.”</w:t>
      </w:r>
    </w:p>
    <w:p w:rsidRPr="00AE1B2B" w:rsidR="009D3FB5" w:rsidP="00163B94" w:rsidRDefault="009D3FB5" w14:paraId="771E76D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6C1F6D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“Artículo 302- Adopción en sede notarial</w:t>
      </w:r>
    </w:p>
    <w:p w:rsidRPr="00AE1B2B" w:rsidR="009D3FB5" w:rsidP="00163B94" w:rsidRDefault="009D3FB5" w14:paraId="3A275CC3"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Cuando se trate de personas mayores de edad, la adopción se tramitará en sede notarial, mediante los procedimientos establecidos en el título VI de la Ley N.º 7764, Código Notarial, de 17 de abril de 1998. Se exceptúan de este trámite las personas con discapacidad cuya condición no les permita dar su consentimiento.</w:t>
      </w:r>
    </w:p>
    <w:p w:rsidRPr="00AE1B2B" w:rsidR="009D3FB5" w:rsidP="00163B94" w:rsidRDefault="009D3FB5" w14:paraId="131E89B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Una vez aprobada, la persona notaria estará en la obligación de presentar el testimonio de escritura ante el Registro Civil, dentro de los ocho días siguientes, y tramitar su inscripción.”</w:t>
      </w:r>
    </w:p>
    <w:p w:rsidRPr="00AE1B2B" w:rsidR="009D3FB5" w:rsidP="00163B94" w:rsidRDefault="009D3FB5" w14:paraId="159537E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88D476C" w14:textId="77777777">
      <w:pPr>
        <w:autoSpaceDE w:val="0"/>
        <w:autoSpaceDN w:val="0"/>
        <w:adjustRightInd w:val="0"/>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Dado lo anterior, el impacto directo esperado sería sobre los despachos judiciales competentes en la materia de Familia, que experimentarían una disminución en los asuntos entrados. En el caso de los divorcios o separaciones judiciales por mutuo consentimiento, el efecto aplicaría solamente para una proporción de esos tipos de proceso, específicamente para aquellos casos donde no existan hijos o hijas menores de edad y no existiera referencia a bienes, </w:t>
      </w:r>
      <w:r w:rsidRPr="00AE1B2B">
        <w:rPr>
          <w:rFonts w:ascii="Times New Roman" w:hAnsi="Times New Roman" w:cs="Times New Roman"/>
          <w:b/>
          <w:bCs/>
          <w:sz w:val="26"/>
          <w:szCs w:val="26"/>
        </w:rPr>
        <w:t>los cuales actualmente el Subproceso de Estadística de la Dirección de Planificación no dispone de datos específicos sobre su comportamiento, pero según estimaciones del Lic. Jiménez Mata corresponderían en alrededor de un 20% de la entrada total de esos asuntos</w:t>
      </w:r>
      <w:r w:rsidRPr="00AE1B2B">
        <w:rPr>
          <w:rFonts w:ascii="Times New Roman" w:hAnsi="Times New Roman" w:cs="Times New Roman"/>
          <w:sz w:val="26"/>
          <w:szCs w:val="26"/>
        </w:rPr>
        <w:t>. De igual forma, las adopciones registradas en los datos estadísticos no especifican el tipo de persona involucrada (mayor o menor de edad), lo que limita la posibilidad de utilizar datos específicos de ese segmento de población.</w:t>
      </w:r>
    </w:p>
    <w:p w:rsidRPr="00AE1B2B" w:rsidR="009D3FB5" w:rsidP="00163B94" w:rsidRDefault="009D3FB5" w14:paraId="7EF9B2CD" w14:textId="77777777">
      <w:pPr>
        <w:autoSpaceDE w:val="0"/>
        <w:autoSpaceDN w:val="0"/>
        <w:adjustRightInd w:val="0"/>
        <w:spacing w:before="120" w:after="120"/>
        <w:ind w:left="851" w:right="851" w:firstLine="709"/>
        <w:jc w:val="both"/>
        <w:rPr>
          <w:rFonts w:ascii="Times New Roman" w:hAnsi="Times New Roman" w:cs="Times New Roman"/>
          <w:sz w:val="26"/>
          <w:szCs w:val="26"/>
        </w:rPr>
      </w:pPr>
    </w:p>
    <w:p w:rsidRPr="00AE1B2B" w:rsidR="009D3FB5" w:rsidP="00163B94" w:rsidRDefault="009D3FB5" w14:paraId="4C4D67F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su vez se podría percibir un impacto indirecto sobre la jurisdicción notarial, específicamente en un eventual aumento de la entrada de asuntos al Juzgado Notarial y al Tribunal Disciplinario Notarial, producto de las nuevas atribuciones conferidas a los notarios públicos.</w:t>
      </w:r>
    </w:p>
    <w:p w:rsidRPr="00AE1B2B" w:rsidR="009D3FB5" w:rsidP="00163B94" w:rsidRDefault="009D3FB5" w14:paraId="509B6F7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610DDAE" w14:textId="77777777">
      <w:pPr>
        <w:numPr>
          <w:ilvl w:val="0"/>
          <w:numId w:val="70"/>
        </w:numPr>
        <w:tabs>
          <w:tab w:val="left" w:pos="426"/>
        </w:tabs>
        <w:spacing w:before="120" w:after="120"/>
        <w:ind w:left="851" w:right="851" w:firstLine="709"/>
        <w:jc w:val="both"/>
        <w:rPr>
          <w:rFonts w:ascii="Times New Roman" w:hAnsi="Times New Roman" w:cs="Times New Roman"/>
          <w:bCs/>
          <w:sz w:val="26"/>
          <w:szCs w:val="26"/>
        </w:rPr>
      </w:pPr>
      <w:bookmarkStart w:name="_Hlk34901399" w:id="57"/>
      <w:bookmarkStart w:name="OLE_LINK2" w:id="58"/>
      <w:r w:rsidRPr="00AE1B2B">
        <w:rPr>
          <w:rFonts w:ascii="Times New Roman" w:hAnsi="Times New Roman" w:cs="Times New Roman"/>
          <w:b/>
          <w:sz w:val="26"/>
          <w:szCs w:val="26"/>
        </w:rPr>
        <w:lastRenderedPageBreak/>
        <w:t xml:space="preserve">Competencia de la Sala Segunda. </w:t>
      </w:r>
      <w:r w:rsidRPr="00AE1B2B">
        <w:rPr>
          <w:rFonts w:ascii="Times New Roman" w:hAnsi="Times New Roman" w:cs="Times New Roman"/>
          <w:bCs/>
          <w:sz w:val="26"/>
          <w:szCs w:val="26"/>
        </w:rPr>
        <w:t>El CPF adiciona el artículo 55 bis a la Ley Orgánica del Poder Judicial, donde se le conferiría a la Sala Segunda nuevas competencias, según se observa:</w:t>
      </w:r>
    </w:p>
    <w:bookmarkEnd w:id="57"/>
    <w:p w:rsidRPr="00AE1B2B" w:rsidR="009D3FB5" w:rsidP="00163B94" w:rsidRDefault="009D3FB5" w14:paraId="0015632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F89D49D"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“Artículo 55 bis- La Sala Segunda de la Corte Suprema de Justicia</w:t>
      </w:r>
    </w:p>
    <w:p w:rsidRPr="00AE1B2B" w:rsidR="009D3FB5" w:rsidP="00163B94" w:rsidRDefault="009D3FB5" w14:paraId="75AE7821"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En lo familiar, la Sala Segunda de la Corte Suprema de Justicia conocerá de:</w:t>
      </w:r>
    </w:p>
    <w:p w:rsidRPr="00AE1B2B" w:rsidR="009D3FB5" w:rsidP="00163B94" w:rsidRDefault="009D3FB5" w14:paraId="41438373"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 Los recursos de casación y las demandas de revisión en materia familiar.</w:t>
      </w:r>
    </w:p>
    <w:p w:rsidRPr="00AE1B2B" w:rsidR="009D3FB5" w:rsidP="00163B94" w:rsidRDefault="009D3FB5" w14:paraId="56169730"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 Los recursos de apelación contra la decisión final en los procesos de restitución internacional de personas menores de edad.</w:t>
      </w:r>
    </w:p>
    <w:p w:rsidRPr="00AE1B2B" w:rsidR="009D3FB5" w:rsidP="00163B94" w:rsidRDefault="009D3FB5" w14:paraId="3BB2E00F"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3) Los conflictos de competencia material entre un despacho de Familia y uno de otra materia, cuando el que ha prevenido el asunto es el de Familia; así como los conflictos de competencia territorial entre dos juzgados de Familia.</w:t>
      </w:r>
    </w:p>
    <w:p w:rsidRPr="00AE1B2B" w:rsidR="009D3FB5" w:rsidP="00163B94" w:rsidRDefault="009D3FB5" w14:paraId="584A6E33"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4) De las demandas de responsabilidad civil contra los jueces integrantes de los tribunales colegiados de Familia.</w:t>
      </w:r>
    </w:p>
    <w:p w:rsidRPr="00AE1B2B" w:rsidR="009D3FB5" w:rsidP="00163B94" w:rsidRDefault="009D3FB5" w14:paraId="3A7270B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5) Del recurso de apelación interpuesto contra la resolución que se pronunció acerca de la competencia internacional alegada.</w:t>
      </w:r>
    </w:p>
    <w:p w:rsidRPr="00AE1B2B" w:rsidR="009D3FB5" w:rsidP="00163B94" w:rsidRDefault="009D3FB5" w14:paraId="535A322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6) Del auxilio judicial internacional y del reconocimiento y eficacia de sentencias y laudos extranjeros en materia de familia, con la salvedad de lo que corresponda conocer a las otras salas de la Corte.”</w:t>
      </w:r>
    </w:p>
    <w:p w:rsidRPr="00AE1B2B" w:rsidR="009D3FB5" w:rsidP="00163B94" w:rsidRDefault="009D3FB5" w14:paraId="46430C09" w14:textId="77777777">
      <w:pPr>
        <w:spacing w:before="120" w:after="120"/>
        <w:ind w:left="851" w:right="851" w:firstLine="709"/>
        <w:jc w:val="both"/>
        <w:rPr>
          <w:rFonts w:ascii="Times New Roman" w:hAnsi="Times New Roman" w:cs="Times New Roman"/>
          <w:i/>
          <w:iCs/>
          <w:sz w:val="26"/>
          <w:szCs w:val="26"/>
        </w:rPr>
      </w:pPr>
    </w:p>
    <w:bookmarkEnd w:id="58"/>
    <w:p w:rsidRPr="00AE1B2B" w:rsidR="009D3FB5" w:rsidP="00163B94" w:rsidRDefault="009D3FB5" w14:paraId="1531978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la actualidad los recursos de procesos de restitución internacional de personas menores de edad son conocidos por el Tribunal de Familia; por su parte lo relacionado con el auxilio judicial internacional y el reconocimiento y eficacia de sentencias y laudos extranjeros, son tramitados de forma centralizada por la Sala Segunda desde 8 de octubre de 2018 con la entrada en vigencia de la Ley 9342 </w:t>
      </w:r>
      <w:r w:rsidRPr="00AE1B2B">
        <w:rPr>
          <w:rFonts w:ascii="Times New Roman" w:hAnsi="Times New Roman" w:cs="Times New Roman"/>
          <w:i/>
          <w:iCs/>
          <w:sz w:val="26"/>
          <w:szCs w:val="26"/>
        </w:rPr>
        <w:t>“Código Procesal Civil”</w:t>
      </w:r>
      <w:r w:rsidRPr="00AE1B2B">
        <w:rPr>
          <w:rFonts w:ascii="Times New Roman" w:hAnsi="Times New Roman" w:cs="Times New Roman"/>
          <w:sz w:val="26"/>
          <w:szCs w:val="26"/>
        </w:rPr>
        <w:t xml:space="preserve"> y la reforma al artículo 55 de la Ley Orgánica del Poder Judicial.</w:t>
      </w:r>
    </w:p>
    <w:p w:rsidRPr="00AE1B2B" w:rsidR="009D3FB5" w:rsidP="00163B94" w:rsidRDefault="009D3FB5" w14:paraId="2A8DE85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117E99D" w14:textId="77777777">
      <w:pPr>
        <w:numPr>
          <w:ilvl w:val="0"/>
          <w:numId w:val="70"/>
        </w:numPr>
        <w:tabs>
          <w:tab w:val="left" w:pos="426"/>
        </w:tabs>
        <w:spacing w:before="120" w:after="120"/>
        <w:ind w:left="851" w:right="851" w:firstLine="709"/>
        <w:jc w:val="both"/>
        <w:rPr>
          <w:rFonts w:ascii="Times New Roman" w:hAnsi="Times New Roman" w:cs="Times New Roman"/>
          <w:bCs/>
          <w:sz w:val="26"/>
          <w:szCs w:val="26"/>
        </w:rPr>
      </w:pPr>
      <w:r w:rsidRPr="00AE1B2B">
        <w:rPr>
          <w:rFonts w:ascii="Times New Roman" w:hAnsi="Times New Roman" w:cs="Times New Roman"/>
          <w:b/>
          <w:sz w:val="26"/>
          <w:szCs w:val="26"/>
        </w:rPr>
        <w:t xml:space="preserve">Competencia de Juzgados de Niñez y Adolescencia. </w:t>
      </w:r>
      <w:r w:rsidRPr="00AE1B2B">
        <w:rPr>
          <w:rFonts w:ascii="Times New Roman" w:hAnsi="Times New Roman" w:cs="Times New Roman"/>
          <w:bCs/>
          <w:sz w:val="26"/>
          <w:szCs w:val="26"/>
        </w:rPr>
        <w:t>El CPF incorpora la adición del artículo 106 bis a la Ley Orgánica del Poder Judicial, donde se le conferiría a los Juzgados de Niñez y Adolescencia nuevas competencias, según se observa:</w:t>
      </w:r>
    </w:p>
    <w:p w:rsidRPr="00AE1B2B" w:rsidR="009D3FB5" w:rsidP="00163B94" w:rsidRDefault="009D3FB5" w14:paraId="2D69FDD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63CA1E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“Artículo 106 bis- Juzgados de Niñez y Adolescencia </w:t>
      </w:r>
    </w:p>
    <w:p w:rsidRPr="00AE1B2B" w:rsidR="009D3FB5" w:rsidP="00163B94" w:rsidRDefault="009D3FB5" w14:paraId="6F1B477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Los juzgados de Niñez y Adolescencia conocerán de:</w:t>
      </w:r>
    </w:p>
    <w:p w:rsidRPr="00AE1B2B" w:rsidR="009D3FB5" w:rsidP="00163B94" w:rsidRDefault="009D3FB5" w14:paraId="0490D34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rsidRPr="00AE1B2B" w:rsidR="009D3FB5" w:rsidP="00163B94" w:rsidRDefault="009D3FB5" w14:paraId="4306362A"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 Las diligencias de protección cautelar referidas a personas menores de edad.</w:t>
      </w:r>
    </w:p>
    <w:p w:rsidRPr="00AE1B2B" w:rsidR="009D3FB5" w:rsidP="00163B94" w:rsidRDefault="009D3FB5" w14:paraId="6058CE4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3) Los procesos relativos a la adopción de personas menores de edad y su oposición.</w:t>
      </w:r>
    </w:p>
    <w:p w:rsidRPr="00AE1B2B" w:rsidR="009D3FB5" w:rsidP="00163B94" w:rsidRDefault="009D3FB5" w14:paraId="49EDB47C"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4) Los asuntos de petición unilateral de nombramiento de personas depositarias para personas menores de edad y de nombramiento de personas tutoras para personas menores de edad.</w:t>
      </w:r>
    </w:p>
    <w:p w:rsidRPr="00AE1B2B" w:rsidR="009D3FB5" w:rsidP="00163B94" w:rsidRDefault="009D3FB5" w14:paraId="3F31D23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5) La diligencia de comunicación que establece el artículo 32 de la Ley N.º 7739, Código de la Niñez y la Adolescencia, de 6 de enero de 1998.</w:t>
      </w:r>
    </w:p>
    <w:p w:rsidRPr="00AE1B2B" w:rsidR="009D3FB5" w:rsidP="00163B94" w:rsidRDefault="009D3FB5" w14:paraId="755A414C"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6) Los procedimientos de restitución internacional de personas menores de edad, de adopción internacional y los demás de aplicación de convenios internacionales relativos a materia de niñez y adolescencia. (…)”</w:t>
      </w:r>
    </w:p>
    <w:p w:rsidRPr="00AE1B2B" w:rsidR="009D3FB5" w:rsidP="00163B94" w:rsidRDefault="009D3FB5" w14:paraId="2287FF1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651E03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Por tanto, se establece que el Juzgados de Niñez y Adolescencia del Primer Circuito Judicial de San José, será el responsable conocer de manera exclusiva todos los procesos de restitución internacional de personas menores de edad, de adopción internacional y los demás de aplicación de convenios internacionales relativos a materia de niñez y adolescencia. </w:t>
      </w:r>
    </w:p>
    <w:p w:rsidRPr="00AE1B2B" w:rsidR="009D3FB5" w:rsidP="00163B94" w:rsidRDefault="009D3FB5" w14:paraId="1E133CB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30C8AF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33D4F05" w14:textId="59736D23">
      <w:pPr>
        <w:numPr>
          <w:ilvl w:val="0"/>
          <w:numId w:val="70"/>
        </w:numPr>
        <w:tabs>
          <w:tab w:val="left" w:pos="426"/>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sz w:val="26"/>
          <w:szCs w:val="26"/>
        </w:rPr>
        <w:t>Ampliación competencias de los actuales Juzgados de Violencia Doméstica.</w:t>
      </w:r>
      <w:r w:rsidRPr="00AE1B2B" w:rsidR="00BB7720">
        <w:rPr>
          <w:rFonts w:ascii="Times New Roman" w:hAnsi="Times New Roman" w:cs="Times New Roman"/>
          <w:b/>
          <w:sz w:val="26"/>
          <w:szCs w:val="26"/>
        </w:rPr>
        <w:t xml:space="preserve"> </w:t>
      </w:r>
    </w:p>
    <w:p w:rsidRPr="00AE1B2B" w:rsidR="009D3FB5" w:rsidP="00163B94" w:rsidRDefault="009D3FB5" w14:paraId="120D72B9" w14:textId="77777777">
      <w:pPr>
        <w:tabs>
          <w:tab w:val="left" w:pos="426"/>
        </w:tabs>
        <w:spacing w:before="120" w:after="120"/>
        <w:ind w:left="851" w:right="851" w:firstLine="709"/>
        <w:jc w:val="both"/>
        <w:rPr>
          <w:rFonts w:ascii="Times New Roman" w:hAnsi="Times New Roman" w:cs="Times New Roman"/>
          <w:sz w:val="26"/>
          <w:szCs w:val="26"/>
        </w:rPr>
      </w:pPr>
    </w:p>
    <w:p w:rsidRPr="00AE1B2B" w:rsidR="009D3FB5" w:rsidP="00163B94" w:rsidRDefault="009D3FB5" w14:paraId="28F6D915" w14:textId="77777777">
      <w:pPr>
        <w:tabs>
          <w:tab w:val="left" w:pos="426"/>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prevé un posible incremento en la entrada en los Juzgados que atienden Violencia Doméstica por 2 razones:</w:t>
      </w:r>
    </w:p>
    <w:p w:rsidRPr="00AE1B2B" w:rsidR="009D3FB5" w:rsidP="00163B94" w:rsidRDefault="009D3FB5" w14:paraId="20F2C51C" w14:textId="77777777">
      <w:pPr>
        <w:tabs>
          <w:tab w:val="left" w:pos="426"/>
        </w:tabs>
        <w:spacing w:before="120" w:after="120"/>
        <w:ind w:left="851" w:right="851" w:firstLine="709"/>
        <w:jc w:val="both"/>
        <w:rPr>
          <w:rFonts w:ascii="Times New Roman" w:hAnsi="Times New Roman" w:cs="Times New Roman"/>
          <w:sz w:val="26"/>
          <w:szCs w:val="26"/>
        </w:rPr>
      </w:pPr>
    </w:p>
    <w:p w:rsidRPr="00AE1B2B" w:rsidR="009D3FB5" w:rsidP="00163B94" w:rsidRDefault="009D3FB5" w14:paraId="1C808BC8" w14:textId="682771B1">
      <w:pPr>
        <w:tabs>
          <w:tab w:val="left" w:pos="426"/>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Primero, deberán conocer los nuevos procesos de protección cautelar de violencia intrafamiliar, personas adultas mayores y personas con discapacidad, pero se desconoce cuál sería su alcance.</w:t>
      </w:r>
      <w:r w:rsidRPr="00AE1B2B" w:rsidR="00BB7720">
        <w:rPr>
          <w:rFonts w:ascii="Times New Roman" w:hAnsi="Times New Roman" w:cs="Times New Roman"/>
          <w:sz w:val="26"/>
          <w:szCs w:val="26"/>
        </w:rPr>
        <w:t xml:space="preserve"> </w:t>
      </w:r>
    </w:p>
    <w:p w:rsidRPr="00AE1B2B" w:rsidR="009D3FB5" w:rsidP="00163B94" w:rsidRDefault="009D3FB5" w14:paraId="0A7F2B8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BB4E86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artículo 121 bis del CPF indica que los Juzgados de Violencia Doméstica y de Protección Cautelar conocerán de:</w:t>
      </w:r>
    </w:p>
    <w:p w:rsidRPr="00AE1B2B" w:rsidR="009D3FB5" w:rsidP="00163B94" w:rsidRDefault="009D3FB5" w14:paraId="7643960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9DF344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 Todo lo relativo a los procesos de protección cautelar de violencia intrafamiliar, personas adultas mayores y personas con discapacidad.</w:t>
      </w:r>
    </w:p>
    <w:p w:rsidRPr="00AE1B2B" w:rsidR="009D3FB5" w:rsidP="00163B94" w:rsidRDefault="009D3FB5" w14:paraId="22E56861"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 Los demás asuntos que estipule la ley.</w:t>
      </w:r>
    </w:p>
    <w:p w:rsidRPr="00AE1B2B" w:rsidR="009D3FB5" w:rsidP="00163B94" w:rsidRDefault="009D3FB5" w14:paraId="55E209E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rsidRPr="00AE1B2B" w:rsidR="009D3FB5" w:rsidP="00163B94" w:rsidRDefault="009D3FB5" w14:paraId="5BA2093A"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7248E60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Segundo: Deberán conocer los procesos de Violencia Doméstica contra personas adultas mayores, aunque la persona imputada no sea su familiar.</w:t>
      </w:r>
    </w:p>
    <w:p w:rsidRPr="00AE1B2B" w:rsidR="009D3FB5" w:rsidP="00163B94" w:rsidRDefault="009D3FB5" w14:paraId="71ACE92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179D5A4" w14:textId="0A3D739E">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Según lo indicado por el Lic. Cristian Martinez Hernández, Juez Gestor en la materia, actualmente los procesos de Violencia Doméstica en donde media una relación de familiaridad se tramitan en los Juzgados de Violencia y en los que no existe esa relación o se trate de otro tipo de situaciones en donde se encuentre una persona adulta mayor como denunciante o parte ofendida (problemas vecinales); se tramitan en los Juzgados Contravencionales del país.</w:t>
      </w:r>
      <w:r w:rsidRPr="00AE1B2B" w:rsidR="00BB7720">
        <w:rPr>
          <w:rFonts w:ascii="Times New Roman" w:hAnsi="Times New Roman" w:cs="Times New Roman"/>
          <w:sz w:val="26"/>
          <w:szCs w:val="26"/>
        </w:rPr>
        <w:t xml:space="preserve"> </w:t>
      </w:r>
    </w:p>
    <w:p w:rsidRPr="00AE1B2B" w:rsidR="009D3FB5" w:rsidP="00163B94" w:rsidRDefault="009D3FB5" w14:paraId="0A059EE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Por lo que se prevé una disminución en la entrada de asuntos en materia de Faltas y Contravenciones y un incremento en materia de Violencia Doméstica. </w:t>
      </w:r>
    </w:p>
    <w:p w:rsidRPr="00AE1B2B" w:rsidR="009D3FB5" w:rsidP="00163B94" w:rsidRDefault="009D3FB5" w14:paraId="14AE428A"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7C3B5F3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CC03B24" w14:textId="77777777">
      <w:pPr>
        <w:numPr>
          <w:ilvl w:val="0"/>
          <w:numId w:val="70"/>
        </w:numPr>
        <w:tabs>
          <w:tab w:val="left" w:pos="426"/>
        </w:tabs>
        <w:spacing w:before="120" w:after="120"/>
        <w:ind w:left="851" w:right="851" w:firstLine="709"/>
        <w:jc w:val="both"/>
        <w:rPr>
          <w:rFonts w:ascii="Times New Roman" w:hAnsi="Times New Roman" w:cs="Times New Roman"/>
          <w:bCs/>
          <w:sz w:val="26"/>
          <w:szCs w:val="26"/>
        </w:rPr>
      </w:pPr>
      <w:r w:rsidRPr="00AE1B2B">
        <w:rPr>
          <w:rFonts w:ascii="Times New Roman" w:hAnsi="Times New Roman" w:cs="Times New Roman"/>
          <w:b/>
          <w:sz w:val="26"/>
          <w:szCs w:val="26"/>
        </w:rPr>
        <w:t xml:space="preserve">Derogación de la Ley de Pensiones Alimentarias. </w:t>
      </w:r>
      <w:r w:rsidRPr="00AE1B2B">
        <w:rPr>
          <w:rFonts w:ascii="Times New Roman" w:hAnsi="Times New Roman" w:cs="Times New Roman"/>
          <w:bCs/>
          <w:sz w:val="26"/>
          <w:szCs w:val="26"/>
        </w:rPr>
        <w:t>El CPF establece la derogatoria en su totalidad de la Ley 7654 del 19 de diciembre de 1996 (la actual Ley de Pensiones Alimentarias).</w:t>
      </w:r>
    </w:p>
    <w:p w:rsidRPr="00AE1B2B" w:rsidR="009D3FB5" w:rsidP="00163B94" w:rsidRDefault="009D3FB5" w14:paraId="45A9814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2D0AF2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Esto significa que a partir de la entrada en vigencia del CPF, los procesos de Pensiones Alimentarias dejarán de tramitarse con la ley especial vigente y se regirían por la normativa procesal del CPF.</w:t>
      </w:r>
    </w:p>
    <w:p w:rsidRPr="00AE1B2B" w:rsidR="009D3FB5" w:rsidP="00163B94" w:rsidRDefault="009D3FB5" w14:paraId="6ADB128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1638057" w14:textId="77777777">
      <w:pPr>
        <w:pStyle w:val="Prrafodelista"/>
        <w:numPr>
          <w:ilvl w:val="0"/>
          <w:numId w:val="7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b/>
          <w:bCs/>
          <w:sz w:val="26"/>
          <w:szCs w:val="26"/>
        </w:rPr>
        <w:t>Juzgados de Familia por Ministerio de Ley.</w:t>
      </w:r>
      <w:r w:rsidRPr="00AE1B2B">
        <w:rPr>
          <w:rFonts w:ascii="Times New Roman" w:hAnsi="Times New Roman" w:cs="Times New Roman"/>
          <w:sz w:val="26"/>
          <w:szCs w:val="26"/>
        </w:rPr>
        <w:t xml:space="preserve"> El CPF adiciona a la Ley Orgánica del Poder Judicial el artículo 119 bis que dispone la creación de Juzgados de Familia por Ministerio de Ley para conocer los asuntos sumarios de Familia. </w:t>
      </w:r>
    </w:p>
    <w:p w:rsidRPr="00AE1B2B" w:rsidR="009D3FB5" w:rsidP="00163B94" w:rsidRDefault="009D3FB5" w14:paraId="113F70A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9D0C766" w14:textId="77777777">
      <w:pPr>
        <w:autoSpaceDE w:val="0"/>
        <w:autoSpaceDN w:val="0"/>
        <w:adjustRightInd w:val="0"/>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i/>
          <w:iCs/>
          <w:sz w:val="26"/>
          <w:szCs w:val="26"/>
        </w:rPr>
        <w:t>“</w:t>
      </w:r>
      <w:r w:rsidRPr="00AE1B2B">
        <w:rPr>
          <w:rFonts w:ascii="Times New Roman" w:hAnsi="Times New Roman" w:cs="Times New Roman"/>
          <w:b/>
          <w:bCs/>
          <w:i/>
          <w:iCs/>
          <w:sz w:val="26"/>
          <w:szCs w:val="26"/>
        </w:rPr>
        <w:t>Artículo 119 bis- Juzgados de Familia por ministerio de ley</w:t>
      </w:r>
    </w:p>
    <w:p w:rsidRPr="00AE1B2B" w:rsidR="009D3FB5" w:rsidP="00163B94" w:rsidRDefault="009D3FB5" w14:paraId="697E7802"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En los lugares que determine la Corte Suprema de Justicia, por no existir Juzgado</w:t>
      </w:r>
    </w:p>
    <w:p w:rsidRPr="00AE1B2B" w:rsidR="009D3FB5" w:rsidP="00163B94" w:rsidRDefault="009D3FB5" w14:paraId="33CECA68"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de Familia, la tramitación de los siguientes asuntos podrán ser conocidos en primera instancia por los juzgados contravencionales que se designen:</w:t>
      </w:r>
    </w:p>
    <w:p w:rsidRPr="00AE1B2B" w:rsidR="009D3FB5" w:rsidP="00163B94" w:rsidRDefault="009D3FB5" w14:paraId="1F37BDEB"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1)Los procesos resolutivos familiares y su ejecución, cuya resolución final no produce cosa juzgada material, salvo la suspensión de los atributos de la responsabilidad parental.</w:t>
      </w:r>
    </w:p>
    <w:p w:rsidRPr="00AE1B2B" w:rsidR="009D3FB5" w:rsidP="00163B94" w:rsidRDefault="009D3FB5" w14:paraId="387D9472"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 Las diligencias de protección cautelar referidas a personas menores de edad.</w:t>
      </w:r>
    </w:p>
    <w:p w:rsidRPr="00AE1B2B" w:rsidR="009D3FB5" w:rsidP="00163B94" w:rsidRDefault="009D3FB5" w14:paraId="44B4BC78"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3) Los asuntos de petición unilateral.</w:t>
      </w:r>
    </w:p>
    <w:p w:rsidRPr="00AE1B2B" w:rsidR="009D3FB5" w:rsidP="00163B94" w:rsidRDefault="009D3FB5" w14:paraId="64AF2660"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4) La diligencia de comunicación que establece el artículo 32 de la Ley N.º 7739, Código de la Niñez y la Adolescencia, de 6 de enero de 1998.</w:t>
      </w:r>
    </w:p>
    <w:p w:rsidRPr="00AE1B2B" w:rsidR="009D3FB5" w:rsidP="00163B94" w:rsidRDefault="009D3FB5" w14:paraId="2E60287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5) Los demás asuntos que estipule la ley”.</w:t>
      </w:r>
    </w:p>
    <w:p w:rsidRPr="00AE1B2B" w:rsidR="009D3FB5" w:rsidP="00163B94" w:rsidRDefault="009D3FB5" w14:paraId="39FD0CD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Sobre este tema, se contempla dentro de los entregables del Proyecto de Implementación del CPF, un estudio adicional con la propuesta de creación de estos Juzgados por Ministerio de ley en los actuales Juzgados Contravencionales.</w:t>
      </w:r>
    </w:p>
    <w:p w:rsidRPr="00AE1B2B" w:rsidR="009D3FB5" w:rsidP="00163B94" w:rsidRDefault="009D3FB5" w14:paraId="3BE1482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Este estudio se estima será remitido a Corte Plena para aprobación en el primer semestre 2022.</w:t>
      </w:r>
    </w:p>
    <w:p w:rsidRPr="00AE1B2B" w:rsidR="009D3FB5" w:rsidP="00163B94" w:rsidRDefault="009D3FB5" w14:paraId="42DAAC97" w14:textId="242899FC">
      <w:pPr>
        <w:spacing w:before="120" w:after="120"/>
        <w:ind w:right="851"/>
        <w:jc w:val="both"/>
        <w:rPr>
          <w:rFonts w:ascii="Times New Roman" w:hAnsi="Times New Roman" w:cs="Times New Roman"/>
          <w:sz w:val="26"/>
          <w:szCs w:val="26"/>
        </w:rPr>
      </w:pPr>
    </w:p>
    <w:p w:rsidRPr="00AE1B2B" w:rsidR="009D3FB5" w:rsidP="00163B94" w:rsidRDefault="009D3FB5" w14:paraId="5A1C064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029C171" w14:textId="77777777">
      <w:pPr>
        <w:pStyle w:val="Prrafodelista"/>
        <w:numPr>
          <w:ilvl w:val="0"/>
          <w:numId w:val="7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b/>
          <w:bCs/>
          <w:sz w:val="26"/>
          <w:szCs w:val="26"/>
        </w:rPr>
        <w:lastRenderedPageBreak/>
        <w:t>Fondo para el pago transitorio de la obligación alimentaria.</w:t>
      </w:r>
      <w:r w:rsidRPr="00AE1B2B">
        <w:rPr>
          <w:rFonts w:ascii="Times New Roman" w:hAnsi="Times New Roman" w:cs="Times New Roman"/>
          <w:sz w:val="26"/>
          <w:szCs w:val="26"/>
        </w:rPr>
        <w:t xml:space="preserve"> El artículo 286 dispone la creación de un fondo para el pago transitorio de la obligación alimentaria. </w:t>
      </w:r>
    </w:p>
    <w:p w:rsidRPr="00AE1B2B" w:rsidR="009D3FB5" w:rsidP="00163B94" w:rsidRDefault="009D3FB5" w14:paraId="5CEEB1E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C2B4741"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r w:rsidRPr="00AE1B2B">
        <w:rPr>
          <w:rFonts w:ascii="Times New Roman" w:hAnsi="Times New Roman" w:cs="Times New Roman"/>
          <w:b/>
          <w:bCs/>
          <w:i/>
          <w:iCs/>
          <w:sz w:val="26"/>
          <w:szCs w:val="26"/>
        </w:rPr>
        <w:t xml:space="preserve">Artículo 286- </w:t>
      </w:r>
      <w:bookmarkStart w:name="_Hlk62560647" w:id="59"/>
      <w:r w:rsidRPr="00AE1B2B">
        <w:rPr>
          <w:rFonts w:ascii="Times New Roman" w:hAnsi="Times New Roman" w:cs="Times New Roman"/>
          <w:b/>
          <w:bCs/>
          <w:i/>
          <w:iCs/>
          <w:sz w:val="26"/>
          <w:szCs w:val="26"/>
        </w:rPr>
        <w:t>Fondo para el pago transitorio de la obligación alimentaria</w:t>
      </w:r>
      <w:bookmarkEnd w:id="59"/>
      <w:r w:rsidRPr="00AE1B2B">
        <w:rPr>
          <w:rFonts w:ascii="Times New Roman" w:hAnsi="Times New Roman" w:cs="Times New Roman"/>
          <w:b/>
          <w:bCs/>
          <w:i/>
          <w:iCs/>
          <w:sz w:val="26"/>
          <w:szCs w:val="26"/>
        </w:rPr>
        <w:t>.</w:t>
      </w:r>
      <w:r w:rsidRPr="00AE1B2B">
        <w:rPr>
          <w:rFonts w:ascii="Times New Roman" w:hAnsi="Times New Roman" w:cs="Times New Roman"/>
          <w:i/>
          <w:iCs/>
          <w:sz w:val="26"/>
          <w:szCs w:val="26"/>
        </w:rPr>
        <w:t xml:space="preserve"> Se crea el Fondo de Pensiones Alimentarias para cubrir cualquiera de las obligaciones alimentarias que se encuentren pendientes de pago, total o parcialmente, que por razones debidamente justificadas ante el juzgado de pensiones respectivo no hayan podido ser cubiertas por la persona deudora.</w:t>
      </w:r>
    </w:p>
    <w:p w:rsidRPr="00AE1B2B" w:rsidR="009D3FB5" w:rsidP="00163B94" w:rsidRDefault="009D3FB5" w14:paraId="33595F28"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06A4538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Para administrar dicho Fondo, la Corte Suprema de Justicia designará el órgano o departamento competente para tales efectos. Sus recursos provendrán del quince por ciento (15%) de los dineros y los intereses por ellos generados, de los depósitos judiciales en cuentas bancarias, certificados a plazo o cualquier otro producto financiero en cualquier tipo de moneda, que provengan de procesos judiciales concluidos o abandonados, previamente así declarados por la autoridad judicial correspondiente.</w:t>
      </w:r>
    </w:p>
    <w:p w:rsidRPr="00AE1B2B" w:rsidR="009D3FB5" w:rsidP="00163B94" w:rsidRDefault="009D3FB5" w14:paraId="69244AC3"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3054FEF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El porcentaje indicado en el párrafo anterior deberá aplicarse sobre la totalidad de los recursos existentes al momento de entrar en vigencia la presente ley, y su giro se hará por única vez.</w:t>
      </w:r>
    </w:p>
    <w:p w:rsidRPr="00AE1B2B" w:rsidR="009D3FB5" w:rsidP="00163B94" w:rsidRDefault="009D3FB5" w14:paraId="47C5572A"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78ADCA8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Estos recursos serán utilizados como fondos reembolsables para el pago de la obligación alimentaria y podrán ser utilizados por cualquier persona deudora alimentaria que posea un título de propiedad sobre bienes muebles e inmuebles que pueda ser colocado como garantía real. Para los bienes inmuebles se utilizará la valoración efectuada por la municipalidad correspondiente y, en el caso de los bienes muebles, el valor fiscal del Ministerio de Hacienda.</w:t>
      </w:r>
    </w:p>
    <w:p w:rsidRPr="00AE1B2B" w:rsidR="009D3FB5" w:rsidP="00163B94" w:rsidRDefault="009D3FB5" w14:paraId="3E3EDEC7"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0CF5546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Los montos que sean desembolsados por el Fondo, a favor de la persona deudora que califique y lo haya solicitado formalmente, devengarán intereses correspondientes a la tasa básica pasiva del Banco Central. En caso de incumplimiento, se seguirá lo dispuesto en la Ley N.º 8624, Ley de Cobro Judicial, de 1 de noviembre de 2007.” </w:t>
      </w:r>
    </w:p>
    <w:p w:rsidRPr="00AE1B2B" w:rsidR="009D3FB5" w:rsidP="00163B94" w:rsidRDefault="009D3FB5" w14:paraId="3AB2F02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DB38C4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Respecto a la operativización del fondo, la Dirección de Planificación emitió el oficio 1937-PLA-EV-2020 el cual fue aprobado por el Consejo Superior en sesión 119-2020 celebrada el 15 de diciembre de 2020, artículo LXVI. </w:t>
      </w:r>
    </w:p>
    <w:p w:rsidRPr="00AE1B2B" w:rsidR="009D3FB5" w:rsidP="00163B94" w:rsidRDefault="009D3FB5" w14:paraId="6C19CC5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4C147AD" w14:textId="77777777">
      <w:pPr>
        <w:pStyle w:val="xmsonormal"/>
        <w:spacing w:before="120" w:after="120"/>
        <w:ind w:left="851" w:right="851" w:firstLine="709"/>
        <w:jc w:val="both"/>
        <w:rPr>
          <w:i/>
          <w:iCs/>
          <w:sz w:val="26"/>
          <w:szCs w:val="26"/>
          <w:lang w:eastAsia="en-US"/>
        </w:rPr>
      </w:pPr>
      <w:r w:rsidRPr="00AE1B2B">
        <w:rPr>
          <w:i/>
          <w:iCs/>
          <w:sz w:val="26"/>
          <w:szCs w:val="26"/>
          <w:lang w:eastAsia="en-US"/>
        </w:rPr>
        <w:t xml:space="preserve">Se acordó: 1.) Tener por rendido el oficio N° 1937-PLA-EV-2020 de 1 de diciembre de 2020, suscrito por el máster Erick Antonio Mora Leiva, Jefe del Proceso de Planeación y Evaluación, en el que remitió el informe del máster Jorge Fernando Rodríguez Salazar, Jefe interino del Subproceso de Evaluación, relacionado con el “Impacto organizacional y presupuestario en el Poder Judicial a partir de la promulgación del Código Procesal de Familia”, que considera las acciones a seguir para la implementación de la Ley 9747, concretamente, en lo relativo a la operativización de lo dispuesto en el artículo 286 de la Ley 9747 “Código Procesal de Familia”. 2.) Acoger en todos sus extremos las recomendaciones supra, en consecuencia: a.) Ordenar las coordinaciones necesarias a los entes responsables, a saber Dirección Ejecutiva, Dirección Jurídica, Departamento Financiero Contable, así como al gestor en materia de familia, a efecto, de que atiendan los puntos destacados como recomendaciones en el presente oficio e informen a este Consejo Superior lo que corresponda. </w:t>
      </w:r>
    </w:p>
    <w:p w:rsidRPr="00AE1B2B" w:rsidR="009D3FB5" w:rsidP="00163B94" w:rsidRDefault="009D3FB5" w14:paraId="75E78D7D" w14:textId="77777777">
      <w:pPr>
        <w:pStyle w:val="xmsonormal"/>
        <w:spacing w:before="120" w:after="120"/>
        <w:ind w:left="851" w:right="851" w:firstLine="709"/>
        <w:jc w:val="both"/>
        <w:rPr>
          <w:i/>
          <w:iCs/>
          <w:sz w:val="26"/>
          <w:szCs w:val="26"/>
          <w:lang w:eastAsia="en-US"/>
        </w:rPr>
      </w:pPr>
      <w:r w:rsidRPr="00AE1B2B">
        <w:rPr>
          <w:i/>
          <w:iCs/>
          <w:sz w:val="26"/>
          <w:szCs w:val="26"/>
          <w:lang w:eastAsia="en-US"/>
        </w:rPr>
        <w:t> </w:t>
      </w:r>
    </w:p>
    <w:p w:rsidRPr="00AE1B2B" w:rsidR="009D3FB5" w:rsidP="00163B94" w:rsidRDefault="009D3FB5" w14:paraId="4F2BE5DA" w14:textId="77777777">
      <w:pPr>
        <w:pStyle w:val="xmsonormal"/>
        <w:spacing w:before="120" w:after="120"/>
        <w:ind w:left="851" w:right="851" w:firstLine="709"/>
        <w:jc w:val="both"/>
        <w:rPr>
          <w:i/>
          <w:iCs/>
          <w:sz w:val="26"/>
          <w:szCs w:val="26"/>
          <w:lang w:eastAsia="en-US"/>
        </w:rPr>
      </w:pPr>
      <w:r w:rsidRPr="00AE1B2B">
        <w:rPr>
          <w:i/>
          <w:iCs/>
          <w:sz w:val="26"/>
          <w:szCs w:val="26"/>
          <w:lang w:eastAsia="en-US"/>
        </w:rPr>
        <w:t> La Dirección de Planificación tomará nota para los fines consiguientes.”</w:t>
      </w:r>
    </w:p>
    <w:bookmarkEnd w:id="56"/>
    <w:p w:rsidRPr="00AE1B2B" w:rsidR="009D3FB5" w:rsidP="00163B94" w:rsidRDefault="009D3FB5" w14:paraId="621DB65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8E8C86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55DC68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9951295" w14:textId="77777777">
      <w:pPr>
        <w:spacing w:before="120" w:after="120"/>
        <w:ind w:left="851" w:right="851" w:firstLine="709"/>
        <w:jc w:val="both"/>
        <w:rPr>
          <w:rFonts w:ascii="Times New Roman" w:hAnsi="Times New Roman" w:cs="Times New Roman"/>
          <w:sz w:val="26"/>
          <w:szCs w:val="26"/>
          <w:highlight w:val="yellow"/>
        </w:rPr>
      </w:pPr>
    </w:p>
    <w:p w:rsidRPr="00AE1B2B" w:rsidR="009D3FB5" w:rsidP="00163B94" w:rsidRDefault="00BE5897" w14:paraId="66F6E885" w14:textId="2DF80549">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 xml:space="preserve">4.1 </w:t>
      </w:r>
      <w:r w:rsidRPr="00AE1B2B" w:rsidR="009D3FB5">
        <w:rPr>
          <w:rFonts w:ascii="Times New Roman" w:hAnsi="Times New Roman" w:cs="Times New Roman"/>
          <w:b/>
          <w:sz w:val="26"/>
          <w:szCs w:val="26"/>
        </w:rPr>
        <w:t>Despachos y oficinas judiciales involucradas</w:t>
      </w:r>
    </w:p>
    <w:p w:rsidRPr="00AE1B2B" w:rsidR="009D3FB5" w:rsidP="00163B94" w:rsidRDefault="009D3FB5" w14:paraId="2943230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FA3FF9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establece que el CPF tendrá incidencia directa sobre algunos despachos y oficinas judiciales que conforman los tres ámbitos de acción institucionales (Jurisdiccional, Auxiliar de justicia y Administrativo). A continuación, se enumeran las dependencias judiciales involucradas en la normativa procesal.</w:t>
      </w:r>
    </w:p>
    <w:p w:rsidRPr="00AE1B2B" w:rsidR="009D3FB5" w:rsidP="00163B94" w:rsidRDefault="009D3FB5" w14:paraId="219200B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932BF7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Ámbito Jurisdiccional</w:t>
      </w:r>
    </w:p>
    <w:p w:rsidRPr="00AE1B2B" w:rsidR="009D3FB5" w:rsidP="00163B94" w:rsidRDefault="009D3FB5" w14:paraId="2AE8985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CPF está dirigido mayormente a regular la labor de los despachos que en la actualidad son competentes en las materias de Familia y Pensiones Alimentarias, mediante la entrega de una herramienta jurídica específica para tramitar los procesos de esas jurisdicciones. De esta forma, se busca prescindir (o bien reducir de forma significativa) la utilización de otras normativas procesales vigentes, como por ejemplo la ley 7130 “</w:t>
      </w:r>
      <w:r w:rsidRPr="00AE1B2B">
        <w:rPr>
          <w:rFonts w:ascii="Times New Roman" w:hAnsi="Times New Roman" w:cs="Times New Roman"/>
          <w:i/>
          <w:iCs/>
          <w:sz w:val="26"/>
          <w:szCs w:val="26"/>
        </w:rPr>
        <w:t>Código Procesal Civil”.</w:t>
      </w:r>
      <w:r w:rsidRPr="00AE1B2B">
        <w:rPr>
          <w:rFonts w:ascii="Times New Roman" w:hAnsi="Times New Roman" w:cs="Times New Roman"/>
          <w:sz w:val="26"/>
          <w:szCs w:val="26"/>
        </w:rPr>
        <w:t xml:space="preserve"> </w:t>
      </w:r>
    </w:p>
    <w:p w:rsidRPr="00AE1B2B" w:rsidR="009D3FB5" w:rsidP="00163B94" w:rsidRDefault="009D3FB5" w14:paraId="3829268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Asimismo, el CPF incluye a los juzgados de Violencia Doméstica al incorporar la protección cautelar como un nuevo tipo de proceso dentro de sus competencias vigentes.</w:t>
      </w:r>
    </w:p>
    <w:p w:rsidRPr="00AE1B2B" w:rsidR="009D3FB5" w:rsidP="00163B94" w:rsidRDefault="009D3FB5" w14:paraId="1DB822F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C217B33" w14:textId="260B91E0">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términos generales, los despachos judiciales involucrados en esas tres materias serían los siguientes:</w:t>
      </w:r>
      <w:r w:rsidRPr="00AE1B2B" w:rsidR="00BB7720">
        <w:rPr>
          <w:rFonts w:ascii="Times New Roman" w:hAnsi="Times New Roman" w:cs="Times New Roman"/>
          <w:sz w:val="26"/>
          <w:szCs w:val="26"/>
        </w:rPr>
        <w:t xml:space="preserve"> </w:t>
      </w:r>
    </w:p>
    <w:p w:rsidRPr="00AE1B2B" w:rsidR="009D3FB5" w:rsidP="00163B94" w:rsidRDefault="009D3FB5" w14:paraId="6B8032D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02B1761" w14:textId="44A82666">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1</w:t>
      </w:r>
      <w:r w:rsidRPr="00AE1B2B">
        <w:rPr>
          <w:rFonts w:ascii="Times New Roman" w:hAnsi="Times New Roman" w:cs="Times New Roman"/>
          <w:sz w:val="26"/>
          <w:szCs w:val="26"/>
        </w:rPr>
        <w:fldChar w:fldCharType="end"/>
      </w:r>
    </w:p>
    <w:p w:rsidRPr="00AE1B2B" w:rsidR="009D3FB5" w:rsidP="00163B94" w:rsidRDefault="009D3FB5" w14:paraId="002CC3C7"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Cantidad de despachos jurisdiccionales involucrados en el Código Procesal de Familia</w:t>
      </w:r>
    </w:p>
    <w:tbl>
      <w:tblPr>
        <w:tblW w:w="5000" w:type="pct"/>
        <w:tblCellMar>
          <w:left w:w="70" w:type="dxa"/>
          <w:right w:w="70" w:type="dxa"/>
        </w:tblCellMar>
        <w:tblLook w:val="04A0" w:firstRow="1" w:lastRow="0" w:firstColumn="1" w:lastColumn="0" w:noHBand="0" w:noVBand="1"/>
      </w:tblPr>
      <w:tblGrid>
        <w:gridCol w:w="3689"/>
        <w:gridCol w:w="1634"/>
        <w:gridCol w:w="2047"/>
        <w:gridCol w:w="1458"/>
      </w:tblGrid>
      <w:tr w:rsidRPr="00AE1B2B" w:rsidR="00AE1B2B" w:rsidTr="009D3FB5" w14:paraId="5B21E56A" w14:textId="77777777">
        <w:trPr>
          <w:trHeight w:val="375"/>
        </w:trPr>
        <w:tc>
          <w:tcPr>
            <w:tcW w:w="2161"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505F4D1C" w14:textId="77777777">
            <w:pPr>
              <w:spacing w:before="120" w:after="120" w:line="276" w:lineRule="auto"/>
              <w:jc w:val="center"/>
              <w:rPr>
                <w:rFonts w:ascii="Times New Roman" w:hAnsi="Times New Roman" w:eastAsia="Times New Roman" w:cs="Times New Roman"/>
                <w:b/>
                <w:bCs/>
                <w:sz w:val="24"/>
                <w:szCs w:val="24"/>
                <w:lang w:eastAsia="es-ES"/>
              </w:rPr>
            </w:pPr>
            <w:bookmarkStart w:name="RANGE!B3" w:id="60"/>
            <w:bookmarkStart w:name="OLE_LINK10" w:id="61"/>
            <w:bookmarkStart w:name="OLE_LINK9" w:colFirst="1" w:colLast="3" w:id="62"/>
            <w:r w:rsidRPr="00AE1B2B">
              <w:rPr>
                <w:rFonts w:ascii="Times New Roman" w:hAnsi="Times New Roman" w:eastAsia="Times New Roman" w:cs="Times New Roman"/>
                <w:b/>
                <w:bCs/>
                <w:sz w:val="24"/>
                <w:szCs w:val="24"/>
                <w:lang w:eastAsia="es-ES"/>
              </w:rPr>
              <w:t>Materia</w:t>
            </w:r>
            <w:bookmarkEnd w:id="60"/>
          </w:p>
        </w:tc>
        <w:tc>
          <w:tcPr>
            <w:tcW w:w="946"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731DFE44" w14:textId="77777777">
            <w:pPr>
              <w:spacing w:before="120" w:after="120" w:line="276" w:lineRule="auto"/>
              <w:jc w:val="center"/>
              <w:rPr>
                <w:rFonts w:ascii="Times New Roman" w:hAnsi="Times New Roman" w:eastAsia="Times New Roman" w:cs="Times New Roman"/>
                <w:b/>
                <w:bCs/>
                <w:sz w:val="24"/>
                <w:szCs w:val="24"/>
                <w:lang w:eastAsia="es-ES"/>
              </w:rPr>
            </w:pPr>
            <w:r w:rsidRPr="00AE1B2B">
              <w:rPr>
                <w:rFonts w:ascii="Times New Roman" w:hAnsi="Times New Roman" w:eastAsia="Times New Roman" w:cs="Times New Roman"/>
                <w:b/>
                <w:bCs/>
                <w:sz w:val="24"/>
                <w:szCs w:val="24"/>
                <w:lang w:eastAsia="es-ES"/>
              </w:rPr>
              <w:t>Especializados</w:t>
            </w:r>
          </w:p>
        </w:tc>
        <w:tc>
          <w:tcPr>
            <w:tcW w:w="946"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60B06FC9" w14:textId="77777777">
            <w:pPr>
              <w:spacing w:before="120" w:after="120" w:line="276" w:lineRule="auto"/>
              <w:jc w:val="center"/>
              <w:rPr>
                <w:rFonts w:ascii="Times New Roman" w:hAnsi="Times New Roman" w:eastAsia="Times New Roman" w:cs="Times New Roman"/>
                <w:b/>
                <w:bCs/>
                <w:sz w:val="24"/>
                <w:szCs w:val="24"/>
                <w:lang w:eastAsia="es-ES"/>
              </w:rPr>
            </w:pPr>
            <w:r w:rsidRPr="00AE1B2B">
              <w:rPr>
                <w:rFonts w:ascii="Times New Roman" w:hAnsi="Times New Roman" w:eastAsia="Times New Roman" w:cs="Times New Roman"/>
                <w:b/>
                <w:bCs/>
                <w:sz w:val="24"/>
                <w:szCs w:val="24"/>
                <w:lang w:eastAsia="es-ES"/>
              </w:rPr>
              <w:t>Mixtos y Contravencionales</w:t>
            </w:r>
          </w:p>
        </w:tc>
        <w:tc>
          <w:tcPr>
            <w:tcW w:w="947"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6BBD603D" w14:textId="77777777">
            <w:pPr>
              <w:spacing w:before="120" w:after="120" w:line="276" w:lineRule="auto"/>
              <w:jc w:val="center"/>
              <w:rPr>
                <w:rFonts w:ascii="Times New Roman" w:hAnsi="Times New Roman" w:eastAsia="Times New Roman" w:cs="Times New Roman"/>
                <w:b/>
                <w:bCs/>
                <w:sz w:val="24"/>
                <w:szCs w:val="24"/>
                <w:lang w:eastAsia="es-ES"/>
              </w:rPr>
            </w:pPr>
            <w:r w:rsidRPr="00AE1B2B">
              <w:rPr>
                <w:rFonts w:ascii="Times New Roman" w:hAnsi="Times New Roman" w:eastAsia="Times New Roman" w:cs="Times New Roman"/>
                <w:b/>
                <w:bCs/>
                <w:sz w:val="24"/>
                <w:szCs w:val="24"/>
                <w:lang w:eastAsia="es-ES"/>
              </w:rPr>
              <w:t>Total</w:t>
            </w:r>
          </w:p>
        </w:tc>
      </w:tr>
      <w:tr w:rsidRPr="00AE1B2B" w:rsidR="00AE1B2B" w:rsidTr="009D3FB5" w14:paraId="0B8C097C" w14:textId="77777777">
        <w:trPr>
          <w:trHeight w:val="227"/>
        </w:trPr>
        <w:tc>
          <w:tcPr>
            <w:tcW w:w="2161"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E6B0B05" w14:textId="77777777">
            <w:pPr>
              <w:spacing w:before="120" w:after="120" w:line="276" w:lineRule="auto"/>
              <w:rPr>
                <w:rFonts w:ascii="Times New Roman" w:hAnsi="Times New Roman" w:eastAsia="Times New Roman" w:cs="Times New Roman"/>
                <w:sz w:val="24"/>
                <w:szCs w:val="24"/>
                <w:lang w:eastAsia="es-ES"/>
              </w:rPr>
            </w:pPr>
            <w:r w:rsidRPr="00AE1B2B">
              <w:rPr>
                <w:rFonts w:ascii="Times New Roman" w:hAnsi="Times New Roman" w:eastAsia="Times New Roman" w:cs="Times New Roman"/>
                <w:sz w:val="24"/>
                <w:szCs w:val="24"/>
                <w:lang w:eastAsia="es-ES"/>
              </w:rPr>
              <w:t>Familia</w:t>
            </w:r>
          </w:p>
        </w:tc>
        <w:tc>
          <w:tcPr>
            <w:tcW w:w="946"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B928DCB" w14:textId="77777777">
            <w:pPr>
              <w:spacing w:before="120" w:after="120" w:line="276" w:lineRule="auto"/>
              <w:jc w:val="center"/>
              <w:rPr>
                <w:rFonts w:ascii="Times New Roman" w:hAnsi="Times New Roman" w:eastAsia="Times New Roman" w:cs="Times New Roman"/>
                <w:sz w:val="24"/>
                <w:szCs w:val="24"/>
                <w:lang w:eastAsia="es-ES"/>
              </w:rPr>
            </w:pPr>
            <w:r w:rsidRPr="00AE1B2B">
              <w:rPr>
                <w:rFonts w:ascii="Times New Roman" w:hAnsi="Times New Roman" w:eastAsia="Times New Roman" w:cs="Times New Roman"/>
                <w:sz w:val="24"/>
                <w:szCs w:val="24"/>
                <w:lang w:eastAsia="es-ES"/>
              </w:rPr>
              <w:t>14</w:t>
            </w:r>
          </w:p>
        </w:tc>
        <w:tc>
          <w:tcPr>
            <w:tcW w:w="946"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0566975" w14:textId="77777777">
            <w:pPr>
              <w:spacing w:before="120" w:after="120" w:line="276" w:lineRule="auto"/>
              <w:jc w:val="center"/>
              <w:rPr>
                <w:rFonts w:ascii="Times New Roman" w:hAnsi="Times New Roman" w:eastAsia="Times New Roman" w:cs="Times New Roman"/>
                <w:sz w:val="24"/>
                <w:szCs w:val="24"/>
                <w:lang w:eastAsia="es-ES"/>
              </w:rPr>
            </w:pPr>
            <w:r w:rsidRPr="00AE1B2B">
              <w:rPr>
                <w:rFonts w:ascii="Times New Roman" w:hAnsi="Times New Roman" w:eastAsia="Times New Roman" w:cs="Times New Roman"/>
                <w:sz w:val="24"/>
                <w:szCs w:val="24"/>
                <w:lang w:eastAsia="es-ES"/>
              </w:rPr>
              <w:t>17*</w:t>
            </w:r>
          </w:p>
        </w:tc>
        <w:tc>
          <w:tcPr>
            <w:tcW w:w="94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E1876A1" w14:textId="77777777">
            <w:pPr>
              <w:spacing w:before="120" w:after="120" w:line="276" w:lineRule="auto"/>
              <w:jc w:val="center"/>
              <w:rPr>
                <w:rFonts w:ascii="Times New Roman" w:hAnsi="Times New Roman" w:eastAsia="Times New Roman" w:cs="Times New Roman"/>
                <w:sz w:val="24"/>
                <w:szCs w:val="24"/>
                <w:lang w:eastAsia="es-ES"/>
              </w:rPr>
            </w:pPr>
            <w:r w:rsidRPr="00AE1B2B">
              <w:rPr>
                <w:rFonts w:ascii="Times New Roman" w:hAnsi="Times New Roman" w:eastAsia="Times New Roman" w:cs="Times New Roman"/>
                <w:sz w:val="24"/>
                <w:szCs w:val="24"/>
                <w:lang w:eastAsia="es-ES"/>
              </w:rPr>
              <w:t>30</w:t>
            </w:r>
          </w:p>
        </w:tc>
      </w:tr>
      <w:tr w:rsidRPr="00AE1B2B" w:rsidR="00AE1B2B" w:rsidTr="009D3FB5" w14:paraId="2A7534C4" w14:textId="77777777">
        <w:trPr>
          <w:trHeight w:val="227"/>
        </w:trPr>
        <w:tc>
          <w:tcPr>
            <w:tcW w:w="2161"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6548B6D" w14:textId="77777777">
            <w:pPr>
              <w:spacing w:before="120" w:after="120" w:line="276" w:lineRule="auto"/>
              <w:rPr>
                <w:rFonts w:ascii="Times New Roman" w:hAnsi="Times New Roman" w:eastAsia="Times New Roman" w:cs="Times New Roman"/>
                <w:sz w:val="24"/>
                <w:szCs w:val="24"/>
                <w:lang w:eastAsia="es-ES"/>
              </w:rPr>
            </w:pPr>
            <w:r w:rsidRPr="00AE1B2B">
              <w:rPr>
                <w:rFonts w:ascii="Times New Roman" w:hAnsi="Times New Roman" w:eastAsia="Times New Roman" w:cs="Times New Roman"/>
                <w:sz w:val="24"/>
                <w:szCs w:val="24"/>
                <w:lang w:eastAsia="es-ES"/>
              </w:rPr>
              <w:t>Violencia Doméstica</w:t>
            </w:r>
          </w:p>
        </w:tc>
        <w:tc>
          <w:tcPr>
            <w:tcW w:w="946"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475A2F9" w14:textId="77777777">
            <w:pPr>
              <w:spacing w:before="120" w:after="120" w:line="276" w:lineRule="auto"/>
              <w:jc w:val="center"/>
              <w:rPr>
                <w:rFonts w:ascii="Times New Roman" w:hAnsi="Times New Roman" w:eastAsia="Times New Roman" w:cs="Times New Roman"/>
                <w:sz w:val="24"/>
                <w:szCs w:val="24"/>
                <w:lang w:eastAsia="es-ES"/>
              </w:rPr>
            </w:pPr>
            <w:r w:rsidRPr="00AE1B2B">
              <w:rPr>
                <w:rFonts w:ascii="Times New Roman" w:hAnsi="Times New Roman" w:eastAsia="Times New Roman" w:cs="Times New Roman"/>
                <w:sz w:val="24"/>
                <w:szCs w:val="24"/>
                <w:lang w:eastAsia="es-ES"/>
              </w:rPr>
              <w:t>12</w:t>
            </w:r>
          </w:p>
        </w:tc>
        <w:tc>
          <w:tcPr>
            <w:tcW w:w="946"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FFA0425" w14:textId="77777777">
            <w:pPr>
              <w:spacing w:before="120" w:after="120" w:line="276" w:lineRule="auto"/>
              <w:jc w:val="center"/>
              <w:rPr>
                <w:rFonts w:ascii="Times New Roman" w:hAnsi="Times New Roman" w:eastAsia="Times New Roman" w:cs="Times New Roman"/>
                <w:sz w:val="24"/>
                <w:szCs w:val="24"/>
                <w:lang w:eastAsia="es-ES"/>
              </w:rPr>
            </w:pPr>
            <w:r w:rsidRPr="00AE1B2B">
              <w:rPr>
                <w:rFonts w:ascii="Times New Roman" w:hAnsi="Times New Roman" w:eastAsia="Times New Roman" w:cs="Times New Roman"/>
                <w:sz w:val="24"/>
                <w:szCs w:val="24"/>
                <w:lang w:eastAsia="es-ES"/>
              </w:rPr>
              <w:t>62</w:t>
            </w:r>
          </w:p>
        </w:tc>
        <w:tc>
          <w:tcPr>
            <w:tcW w:w="94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57DE98A" w14:textId="77777777">
            <w:pPr>
              <w:spacing w:before="120" w:after="120" w:line="276" w:lineRule="auto"/>
              <w:jc w:val="center"/>
              <w:rPr>
                <w:rFonts w:ascii="Times New Roman" w:hAnsi="Times New Roman" w:eastAsia="Times New Roman" w:cs="Times New Roman"/>
                <w:sz w:val="24"/>
                <w:szCs w:val="24"/>
                <w:lang w:eastAsia="es-ES"/>
              </w:rPr>
            </w:pPr>
            <w:r w:rsidRPr="00AE1B2B">
              <w:rPr>
                <w:rFonts w:ascii="Times New Roman" w:hAnsi="Times New Roman" w:eastAsia="Times New Roman" w:cs="Times New Roman"/>
                <w:sz w:val="24"/>
                <w:szCs w:val="24"/>
                <w:lang w:eastAsia="es-ES"/>
              </w:rPr>
              <w:t>74</w:t>
            </w:r>
          </w:p>
        </w:tc>
      </w:tr>
      <w:tr w:rsidRPr="00AE1B2B" w:rsidR="00AE1B2B" w:rsidTr="009D3FB5" w14:paraId="5AED0BAF" w14:textId="77777777">
        <w:trPr>
          <w:trHeight w:val="227"/>
        </w:trPr>
        <w:tc>
          <w:tcPr>
            <w:tcW w:w="2161"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D7610AD" w14:textId="77777777">
            <w:pPr>
              <w:spacing w:before="120" w:after="120" w:line="276" w:lineRule="auto"/>
              <w:rPr>
                <w:rFonts w:ascii="Times New Roman" w:hAnsi="Times New Roman" w:eastAsia="Times New Roman" w:cs="Times New Roman"/>
                <w:sz w:val="24"/>
                <w:szCs w:val="24"/>
                <w:lang w:eastAsia="es-ES"/>
              </w:rPr>
            </w:pPr>
            <w:r w:rsidRPr="00AE1B2B">
              <w:rPr>
                <w:rFonts w:ascii="Times New Roman" w:hAnsi="Times New Roman" w:eastAsia="Times New Roman" w:cs="Times New Roman"/>
                <w:sz w:val="24"/>
                <w:szCs w:val="24"/>
                <w:lang w:eastAsia="es-ES"/>
              </w:rPr>
              <w:t>Pensiones Alimentarias</w:t>
            </w:r>
          </w:p>
        </w:tc>
        <w:tc>
          <w:tcPr>
            <w:tcW w:w="946"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56AB601" w14:textId="77777777">
            <w:pPr>
              <w:spacing w:before="120" w:after="120" w:line="276" w:lineRule="auto"/>
              <w:jc w:val="center"/>
              <w:rPr>
                <w:rFonts w:ascii="Times New Roman" w:hAnsi="Times New Roman" w:eastAsia="Times New Roman" w:cs="Times New Roman"/>
                <w:sz w:val="24"/>
                <w:szCs w:val="24"/>
                <w:lang w:eastAsia="es-ES"/>
              </w:rPr>
            </w:pPr>
            <w:r w:rsidRPr="00AE1B2B">
              <w:rPr>
                <w:rFonts w:ascii="Times New Roman" w:hAnsi="Times New Roman" w:eastAsia="Times New Roman" w:cs="Times New Roman"/>
                <w:sz w:val="24"/>
                <w:szCs w:val="24"/>
                <w:lang w:eastAsia="es-ES"/>
              </w:rPr>
              <w:t>12</w:t>
            </w:r>
          </w:p>
        </w:tc>
        <w:tc>
          <w:tcPr>
            <w:tcW w:w="946"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9D539A0" w14:textId="77777777">
            <w:pPr>
              <w:spacing w:before="120" w:after="120" w:line="276" w:lineRule="auto"/>
              <w:jc w:val="center"/>
              <w:rPr>
                <w:rFonts w:ascii="Times New Roman" w:hAnsi="Times New Roman" w:eastAsia="Times New Roman" w:cs="Times New Roman"/>
                <w:sz w:val="24"/>
                <w:szCs w:val="24"/>
                <w:lang w:eastAsia="es-ES"/>
              </w:rPr>
            </w:pPr>
            <w:r w:rsidRPr="00AE1B2B">
              <w:rPr>
                <w:rFonts w:ascii="Times New Roman" w:hAnsi="Times New Roman" w:eastAsia="Times New Roman" w:cs="Times New Roman"/>
                <w:sz w:val="24"/>
                <w:szCs w:val="24"/>
                <w:lang w:eastAsia="es-ES"/>
              </w:rPr>
              <w:t>64</w:t>
            </w:r>
          </w:p>
        </w:tc>
        <w:tc>
          <w:tcPr>
            <w:tcW w:w="94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410933B" w14:textId="77777777">
            <w:pPr>
              <w:spacing w:before="120" w:after="120" w:line="276" w:lineRule="auto"/>
              <w:jc w:val="center"/>
              <w:rPr>
                <w:rFonts w:ascii="Times New Roman" w:hAnsi="Times New Roman" w:eastAsia="Times New Roman" w:cs="Times New Roman"/>
                <w:sz w:val="24"/>
                <w:szCs w:val="24"/>
                <w:lang w:eastAsia="es-ES"/>
              </w:rPr>
            </w:pPr>
            <w:r w:rsidRPr="00AE1B2B">
              <w:rPr>
                <w:rFonts w:ascii="Times New Roman" w:hAnsi="Times New Roman" w:eastAsia="Times New Roman" w:cs="Times New Roman"/>
                <w:sz w:val="24"/>
                <w:szCs w:val="24"/>
                <w:lang w:eastAsia="es-ES"/>
              </w:rPr>
              <w:t>76</w:t>
            </w:r>
          </w:p>
        </w:tc>
      </w:tr>
      <w:tr w:rsidRPr="00AE1B2B" w:rsidR="00AE1B2B" w:rsidTr="009D3FB5" w14:paraId="6B26ED9A" w14:textId="77777777">
        <w:trPr>
          <w:trHeight w:val="227"/>
        </w:trPr>
        <w:tc>
          <w:tcPr>
            <w:tcW w:w="2161" w:type="pct"/>
            <w:tcBorders>
              <w:top w:val="nil"/>
              <w:left w:val="single" w:color="auto" w:sz="4" w:space="0"/>
              <w:bottom w:val="single" w:color="auto" w:sz="4" w:space="0"/>
              <w:right w:val="single" w:color="auto" w:sz="4" w:space="0"/>
            </w:tcBorders>
            <w:shd w:val="clear" w:color="000000" w:fill="808080"/>
            <w:noWrap/>
            <w:vAlign w:val="center"/>
            <w:hideMark/>
          </w:tcPr>
          <w:p w:rsidRPr="00AE1B2B" w:rsidR="009D3FB5" w:rsidP="00163B94" w:rsidRDefault="009D3FB5" w14:paraId="52E61CD4" w14:textId="77777777">
            <w:pPr>
              <w:spacing w:before="120" w:after="120" w:line="276" w:lineRule="auto"/>
              <w:jc w:val="right"/>
              <w:rPr>
                <w:rFonts w:ascii="Times New Roman" w:hAnsi="Times New Roman" w:eastAsia="Times New Roman" w:cs="Times New Roman"/>
                <w:b/>
                <w:bCs/>
                <w:sz w:val="24"/>
                <w:szCs w:val="24"/>
                <w:lang w:eastAsia="es-ES"/>
              </w:rPr>
            </w:pPr>
            <w:r w:rsidRPr="00AE1B2B">
              <w:rPr>
                <w:rFonts w:ascii="Times New Roman" w:hAnsi="Times New Roman" w:eastAsia="Times New Roman" w:cs="Times New Roman"/>
                <w:b/>
                <w:bCs/>
                <w:sz w:val="24"/>
                <w:szCs w:val="24"/>
                <w:lang w:eastAsia="es-ES"/>
              </w:rPr>
              <w:t>Total</w:t>
            </w:r>
          </w:p>
        </w:tc>
        <w:tc>
          <w:tcPr>
            <w:tcW w:w="946"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60ECCC34" w14:textId="77777777">
            <w:pPr>
              <w:spacing w:before="120" w:after="120" w:line="276" w:lineRule="auto"/>
              <w:jc w:val="center"/>
              <w:rPr>
                <w:rFonts w:ascii="Times New Roman" w:hAnsi="Times New Roman" w:eastAsia="Times New Roman" w:cs="Times New Roman"/>
                <w:b/>
                <w:bCs/>
                <w:sz w:val="24"/>
                <w:szCs w:val="24"/>
                <w:lang w:eastAsia="es-ES"/>
              </w:rPr>
            </w:pPr>
            <w:r w:rsidRPr="00AE1B2B">
              <w:rPr>
                <w:rFonts w:ascii="Times New Roman" w:hAnsi="Times New Roman" w:eastAsia="Times New Roman" w:cs="Times New Roman"/>
                <w:b/>
                <w:bCs/>
                <w:sz w:val="24"/>
                <w:szCs w:val="24"/>
                <w:lang w:eastAsia="es-ES"/>
              </w:rPr>
              <w:t>38</w:t>
            </w:r>
          </w:p>
        </w:tc>
        <w:tc>
          <w:tcPr>
            <w:tcW w:w="946"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7762C2E6" w14:textId="77777777">
            <w:pPr>
              <w:spacing w:before="120" w:after="120" w:line="276" w:lineRule="auto"/>
              <w:jc w:val="center"/>
              <w:rPr>
                <w:rFonts w:ascii="Times New Roman" w:hAnsi="Times New Roman" w:eastAsia="Times New Roman" w:cs="Times New Roman"/>
                <w:b/>
                <w:bCs/>
                <w:sz w:val="24"/>
                <w:szCs w:val="24"/>
                <w:lang w:eastAsia="es-ES"/>
              </w:rPr>
            </w:pPr>
            <w:r w:rsidRPr="00AE1B2B">
              <w:rPr>
                <w:rFonts w:ascii="Times New Roman" w:hAnsi="Times New Roman" w:eastAsia="Times New Roman" w:cs="Times New Roman"/>
                <w:b/>
                <w:bCs/>
                <w:sz w:val="24"/>
                <w:szCs w:val="24"/>
                <w:lang w:eastAsia="es-ES"/>
              </w:rPr>
              <w:t>143</w:t>
            </w:r>
          </w:p>
        </w:tc>
        <w:tc>
          <w:tcPr>
            <w:tcW w:w="947"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22DBF3DB" w14:textId="77777777">
            <w:pPr>
              <w:spacing w:before="120" w:after="120" w:line="276" w:lineRule="auto"/>
              <w:jc w:val="center"/>
              <w:rPr>
                <w:rFonts w:ascii="Times New Roman" w:hAnsi="Times New Roman" w:eastAsia="Times New Roman" w:cs="Times New Roman"/>
                <w:b/>
                <w:bCs/>
                <w:sz w:val="24"/>
                <w:szCs w:val="24"/>
                <w:lang w:eastAsia="es-ES"/>
              </w:rPr>
            </w:pPr>
            <w:r w:rsidRPr="00AE1B2B">
              <w:rPr>
                <w:rFonts w:ascii="Times New Roman" w:hAnsi="Times New Roman" w:eastAsia="Times New Roman" w:cs="Times New Roman"/>
                <w:b/>
                <w:bCs/>
                <w:sz w:val="24"/>
                <w:szCs w:val="24"/>
                <w:lang w:eastAsia="es-ES"/>
              </w:rPr>
              <w:t>18</w:t>
            </w:r>
            <w:bookmarkEnd w:id="61"/>
            <w:r w:rsidRPr="00AE1B2B">
              <w:rPr>
                <w:rFonts w:ascii="Times New Roman" w:hAnsi="Times New Roman" w:eastAsia="Times New Roman" w:cs="Times New Roman"/>
                <w:b/>
                <w:bCs/>
                <w:sz w:val="24"/>
                <w:szCs w:val="24"/>
                <w:lang w:eastAsia="es-ES"/>
              </w:rPr>
              <w:t>1</w:t>
            </w:r>
          </w:p>
        </w:tc>
      </w:tr>
    </w:tbl>
    <w:bookmarkEnd w:id="62"/>
    <w:p w:rsidRPr="00AE1B2B" w:rsidR="009D3FB5" w:rsidP="00163B94" w:rsidRDefault="009D3FB5" w14:paraId="4F760D01"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Subproceso de Modernización Institucional.</w:t>
      </w:r>
    </w:p>
    <w:p w:rsidRPr="00AE1B2B" w:rsidR="009D3FB5" w:rsidP="00163B94" w:rsidRDefault="009D3FB5" w14:paraId="7EDDB41B"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*Se incluye la Sala Segunda y el Tribunal de Familia. </w:t>
      </w:r>
    </w:p>
    <w:p w:rsidRPr="00AE1B2B" w:rsidR="009D3FB5" w:rsidP="00163B94" w:rsidRDefault="009D3FB5" w14:paraId="1A535A5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ABE3A4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 los 181 despachos identificados, se debe aclarar que se identifican 68 despachos con competencia en dos materias, ya sea Familia y Violencia Doméstica, o bien Pensiones Alimentarias y Violencia Doméstica. Por lo anterior, al excluirlos del dato global, se obtiene que en la realidad la totalidad de despachos judiciales implicados en el Código Procesal de Familia se estiman en 118 juzgados. </w:t>
      </w:r>
    </w:p>
    <w:p w:rsidRPr="00AE1B2B" w:rsidR="009D3FB5" w:rsidP="00163B94" w:rsidRDefault="009D3FB5" w14:paraId="3ECEEB9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3300CD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siguiente cuadro se muestran los 118 despachos de Familia, Violencia Doméstica y Pensiones Alimentarias en el país, incluyendo los Juzgados Contravencionales, ya que en el caso que en la zona no haya despacho de Familia, o Violencia Doméstica estos asumirían el caso. </w:t>
      </w:r>
    </w:p>
    <w:p w:rsidRPr="00AE1B2B" w:rsidR="009D3FB5" w:rsidP="00163B94" w:rsidRDefault="009D3FB5" w14:paraId="056974E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9B7028F" w14:textId="17E599F4">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2</w:t>
      </w:r>
      <w:r w:rsidRPr="00AE1B2B">
        <w:rPr>
          <w:rFonts w:ascii="Times New Roman" w:hAnsi="Times New Roman" w:cs="Times New Roman"/>
          <w:sz w:val="26"/>
          <w:szCs w:val="26"/>
        </w:rPr>
        <w:fldChar w:fldCharType="end"/>
      </w:r>
    </w:p>
    <w:p w:rsidRPr="00AE1B2B" w:rsidR="009D3FB5" w:rsidP="00163B94" w:rsidRDefault="009D3FB5" w14:paraId="3CEA01B7" w14:textId="5E4FD66B">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Despachos jurisdiccionales involucrados en el</w:t>
      </w:r>
    </w:p>
    <w:p w:rsidRPr="00AE1B2B" w:rsidR="009D3FB5" w:rsidP="00163B94" w:rsidRDefault="009D3FB5" w14:paraId="7850942E"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Código Procesal de Familia según Circuito al que pertenecen.</w:t>
      </w:r>
    </w:p>
    <w:tbl>
      <w:tblPr>
        <w:tblW w:w="5000" w:type="pct"/>
        <w:tblCellMar>
          <w:left w:w="70" w:type="dxa"/>
          <w:right w:w="70" w:type="dxa"/>
        </w:tblCellMar>
        <w:tblLook w:val="04A0" w:firstRow="1" w:lastRow="0" w:firstColumn="1" w:lastColumn="0" w:noHBand="0" w:noVBand="1"/>
      </w:tblPr>
      <w:tblGrid>
        <w:gridCol w:w="1407"/>
        <w:gridCol w:w="2449"/>
        <w:gridCol w:w="2451"/>
        <w:gridCol w:w="2521"/>
      </w:tblGrid>
      <w:tr w:rsidRPr="00AE1B2B" w:rsidR="00AE1B2B" w:rsidTr="009D3FB5" w14:paraId="09B7333F" w14:textId="77777777">
        <w:trPr>
          <w:trHeight w:val="20"/>
          <w:tblHeader/>
        </w:trPr>
        <w:tc>
          <w:tcPr>
            <w:tcW w:w="797" w:type="pct"/>
            <w:vMerge w:val="restart"/>
            <w:tcBorders>
              <w:top w:val="single" w:color="auto" w:sz="4" w:space="0"/>
              <w:left w:val="single" w:color="auto" w:sz="4" w:space="0"/>
              <w:right w:val="single" w:color="auto" w:sz="4" w:space="0"/>
            </w:tcBorders>
            <w:shd w:val="clear" w:color="000000" w:fill="002060"/>
            <w:vAlign w:val="center"/>
          </w:tcPr>
          <w:p w:rsidRPr="00AE1B2B" w:rsidR="009D3FB5" w:rsidP="00163B94" w:rsidRDefault="009D3FB5" w14:paraId="4651AC96"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Circuito</w:t>
            </w:r>
          </w:p>
        </w:tc>
        <w:tc>
          <w:tcPr>
            <w:tcW w:w="4203" w:type="pct"/>
            <w:gridSpan w:val="3"/>
            <w:tcBorders>
              <w:top w:val="single" w:color="auto" w:sz="4" w:space="0"/>
              <w:left w:val="nil"/>
              <w:bottom w:val="single" w:color="auto" w:sz="4" w:space="0"/>
              <w:right w:val="single" w:color="auto" w:sz="4" w:space="0"/>
            </w:tcBorders>
            <w:shd w:val="clear" w:color="000000" w:fill="002060"/>
            <w:vAlign w:val="center"/>
          </w:tcPr>
          <w:p w:rsidRPr="00AE1B2B" w:rsidR="009D3FB5" w:rsidP="00163B94" w:rsidRDefault="009D3FB5" w14:paraId="4656C458"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Materia</w:t>
            </w:r>
          </w:p>
        </w:tc>
      </w:tr>
      <w:tr w:rsidRPr="00AE1B2B" w:rsidR="00AE1B2B" w:rsidTr="009D3FB5" w14:paraId="1EC357D6" w14:textId="77777777">
        <w:trPr>
          <w:trHeight w:val="20"/>
          <w:tblHeader/>
        </w:trPr>
        <w:tc>
          <w:tcPr>
            <w:tcW w:w="797" w:type="pct"/>
            <w:vMerge/>
            <w:tcBorders>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5435B21B" w14:textId="77777777">
            <w:pPr>
              <w:spacing w:before="120" w:after="120" w:line="276" w:lineRule="auto"/>
              <w:jc w:val="center"/>
              <w:rPr>
                <w:rFonts w:ascii="Times New Roman" w:hAnsi="Times New Roman" w:eastAsia="Times New Roman" w:cs="Times New Roman"/>
                <w:b/>
                <w:bCs/>
                <w:sz w:val="24"/>
                <w:szCs w:val="24"/>
                <w:lang w:eastAsia="es-CR"/>
              </w:rPr>
            </w:pPr>
          </w:p>
        </w:tc>
        <w:tc>
          <w:tcPr>
            <w:tcW w:w="1387"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2AFE94D2"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Familia</w:t>
            </w:r>
          </w:p>
        </w:tc>
        <w:tc>
          <w:tcPr>
            <w:tcW w:w="1388"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039FFC0F"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Violencia Doméstica</w:t>
            </w:r>
          </w:p>
        </w:tc>
        <w:tc>
          <w:tcPr>
            <w:tcW w:w="1428"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2B956EAB"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Pensiones Alimentarias</w:t>
            </w:r>
          </w:p>
        </w:tc>
      </w:tr>
      <w:tr w:rsidRPr="00AE1B2B" w:rsidR="00AE1B2B" w:rsidTr="009D3FB5" w14:paraId="5A952588" w14:textId="77777777">
        <w:trPr>
          <w:trHeight w:val="20"/>
        </w:trPr>
        <w:tc>
          <w:tcPr>
            <w:tcW w:w="797" w:type="pct"/>
            <w:vMerge w:val="restart"/>
            <w:tcBorders>
              <w:top w:val="nil"/>
              <w:left w:val="single" w:color="auto" w:sz="4" w:space="0"/>
              <w:right w:val="single" w:color="auto" w:sz="4" w:space="0"/>
            </w:tcBorders>
            <w:shd w:val="clear" w:color="auto" w:fill="auto"/>
            <w:vAlign w:val="center"/>
          </w:tcPr>
          <w:p w:rsidRPr="00AE1B2B" w:rsidR="009D3FB5" w:rsidP="00163B94" w:rsidRDefault="009D3FB5" w14:paraId="470D6BAF" w14:textId="77777777">
            <w:pPr>
              <w:spacing w:before="120" w:after="120" w:line="276" w:lineRule="auto"/>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I Circuito Judicial de San José</w:t>
            </w: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68E8E23A"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1.Tribunal de Familia</w:t>
            </w:r>
          </w:p>
          <w:p w:rsidRPr="00AE1B2B" w:rsidR="009D3FB5" w:rsidP="00163B94" w:rsidRDefault="009D3FB5" w14:paraId="493BBA1D"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Sala Segunda</w:t>
            </w:r>
          </w:p>
        </w:tc>
        <w:tc>
          <w:tcPr>
            <w:tcW w:w="1388"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135FCBB8" w14:textId="77777777">
            <w:pPr>
              <w:spacing w:before="120" w:after="120" w:line="276" w:lineRule="auto"/>
              <w:rPr>
                <w:rFonts w:ascii="Times New Roman" w:hAnsi="Times New Roman" w:eastAsia="Times New Roman" w:cs="Times New Roman"/>
                <w:sz w:val="24"/>
                <w:szCs w:val="24"/>
                <w:lang w:eastAsia="es-CR"/>
              </w:rPr>
            </w:pPr>
          </w:p>
        </w:tc>
        <w:tc>
          <w:tcPr>
            <w:tcW w:w="1428"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5D171BDF" w14:textId="77777777">
            <w:pPr>
              <w:spacing w:before="120" w:after="120" w:line="276" w:lineRule="auto"/>
              <w:rPr>
                <w:rFonts w:ascii="Times New Roman" w:hAnsi="Times New Roman" w:eastAsia="Times New Roman" w:cs="Times New Roman"/>
                <w:sz w:val="24"/>
                <w:szCs w:val="24"/>
                <w:lang w:eastAsia="es-CR"/>
              </w:rPr>
            </w:pPr>
          </w:p>
        </w:tc>
      </w:tr>
      <w:tr w:rsidRPr="00AE1B2B" w:rsidR="00AE1B2B" w:rsidTr="009D3FB5" w14:paraId="4A651BBF" w14:textId="77777777">
        <w:trPr>
          <w:trHeight w:val="20"/>
        </w:trPr>
        <w:tc>
          <w:tcPr>
            <w:tcW w:w="797" w:type="pct"/>
            <w:vMerge/>
            <w:tcBorders>
              <w:left w:val="single" w:color="auto" w:sz="4" w:space="0"/>
              <w:right w:val="single" w:color="auto" w:sz="4" w:space="0"/>
            </w:tcBorders>
            <w:shd w:val="clear" w:color="auto" w:fill="auto"/>
            <w:vAlign w:val="center"/>
            <w:hideMark/>
          </w:tcPr>
          <w:p w:rsidRPr="00AE1B2B" w:rsidR="009D3FB5" w:rsidP="00163B94" w:rsidRDefault="009D3FB5" w14:paraId="26CDC559"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F18B33C"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2.Juzgado Primero de Familia de San José</w:t>
            </w:r>
          </w:p>
        </w:tc>
        <w:tc>
          <w:tcPr>
            <w:tcW w:w="138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1A0DEB6"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3.Juzgado Violencia Doméstica I Circ. Jud. San José</w:t>
            </w:r>
          </w:p>
        </w:tc>
        <w:tc>
          <w:tcPr>
            <w:tcW w:w="14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38CC4C3"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 xml:space="preserve">4.Juzgado Pensiones Alimentarias I Circ. Jud. San José </w:t>
            </w:r>
          </w:p>
        </w:tc>
      </w:tr>
      <w:tr w:rsidRPr="00AE1B2B" w:rsidR="00AE1B2B" w:rsidTr="009D3FB5" w14:paraId="48666ADA" w14:textId="77777777">
        <w:trPr>
          <w:trHeight w:val="20"/>
        </w:trPr>
        <w:tc>
          <w:tcPr>
            <w:tcW w:w="797" w:type="pct"/>
            <w:vMerge/>
            <w:tcBorders>
              <w:left w:val="single" w:color="auto" w:sz="4" w:space="0"/>
              <w:right w:val="single" w:color="auto" w:sz="4" w:space="0"/>
            </w:tcBorders>
            <w:vAlign w:val="center"/>
            <w:hideMark/>
          </w:tcPr>
          <w:p w:rsidRPr="00AE1B2B" w:rsidR="009D3FB5" w:rsidP="00163B94" w:rsidRDefault="009D3FB5" w14:paraId="23E63CFD"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2BE7E24"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5.Juzgado Segundo de Familia de San José</w:t>
            </w:r>
          </w:p>
        </w:tc>
        <w:tc>
          <w:tcPr>
            <w:tcW w:w="1388" w:type="pct"/>
            <w:tcBorders>
              <w:top w:val="single" w:color="auto" w:sz="4" w:space="0"/>
              <w:left w:val="nil"/>
              <w:bottom w:val="single" w:color="auto" w:sz="4" w:space="0"/>
              <w:right w:val="single" w:color="000000" w:sz="4" w:space="0"/>
            </w:tcBorders>
            <w:shd w:val="clear" w:color="auto" w:fill="auto"/>
            <w:vAlign w:val="center"/>
            <w:hideMark/>
          </w:tcPr>
          <w:p w:rsidRPr="00AE1B2B" w:rsidR="009D3FB5" w:rsidP="00163B94" w:rsidRDefault="009D3FB5" w14:paraId="70FA08D0" w14:textId="77777777">
            <w:pPr>
              <w:spacing w:before="120" w:after="120" w:line="276" w:lineRule="auto"/>
              <w:rPr>
                <w:rFonts w:ascii="Times New Roman" w:hAnsi="Times New Roman" w:eastAsia="Times New Roman" w:cs="Times New Roman"/>
                <w:sz w:val="24"/>
                <w:szCs w:val="24"/>
                <w:lang w:eastAsia="es-CR"/>
              </w:rPr>
            </w:pPr>
          </w:p>
        </w:tc>
        <w:tc>
          <w:tcPr>
            <w:tcW w:w="1428" w:type="pct"/>
            <w:tcBorders>
              <w:top w:val="single" w:color="auto" w:sz="4" w:space="0"/>
              <w:left w:val="nil"/>
              <w:bottom w:val="single" w:color="auto" w:sz="4" w:space="0"/>
              <w:right w:val="single" w:color="000000" w:sz="4" w:space="0"/>
            </w:tcBorders>
            <w:shd w:val="clear" w:color="auto" w:fill="auto"/>
            <w:vAlign w:val="center"/>
          </w:tcPr>
          <w:p w:rsidRPr="00AE1B2B" w:rsidR="009D3FB5" w:rsidP="00163B94" w:rsidRDefault="009D3FB5" w14:paraId="4330F651" w14:textId="77777777">
            <w:pPr>
              <w:spacing w:before="120" w:after="120" w:line="276" w:lineRule="auto"/>
              <w:rPr>
                <w:rFonts w:ascii="Times New Roman" w:hAnsi="Times New Roman" w:eastAsia="Times New Roman" w:cs="Times New Roman"/>
                <w:sz w:val="24"/>
                <w:szCs w:val="24"/>
                <w:lang w:eastAsia="es-CR"/>
              </w:rPr>
            </w:pPr>
          </w:p>
        </w:tc>
      </w:tr>
      <w:tr w:rsidRPr="00AE1B2B" w:rsidR="00AE1B2B" w:rsidTr="009D3FB5" w14:paraId="2E72BF80" w14:textId="77777777">
        <w:trPr>
          <w:trHeight w:val="20"/>
        </w:trPr>
        <w:tc>
          <w:tcPr>
            <w:tcW w:w="797" w:type="pct"/>
            <w:vMerge/>
            <w:tcBorders>
              <w:left w:val="single" w:color="auto" w:sz="4" w:space="0"/>
              <w:right w:val="single" w:color="auto" w:sz="4" w:space="0"/>
            </w:tcBorders>
            <w:vAlign w:val="center"/>
          </w:tcPr>
          <w:p w:rsidRPr="00AE1B2B" w:rsidR="009D3FB5" w:rsidP="00163B94" w:rsidRDefault="009D3FB5" w14:paraId="1C1DF67A"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44857286"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6. Juzgado de Niñez y Adolescencia</w:t>
            </w:r>
          </w:p>
        </w:tc>
        <w:tc>
          <w:tcPr>
            <w:tcW w:w="1388" w:type="pct"/>
            <w:tcBorders>
              <w:top w:val="single" w:color="auto" w:sz="4" w:space="0"/>
              <w:left w:val="nil"/>
              <w:bottom w:val="single" w:color="auto" w:sz="4" w:space="0"/>
              <w:right w:val="single" w:color="000000" w:sz="4" w:space="0"/>
            </w:tcBorders>
            <w:shd w:val="clear" w:color="auto" w:fill="auto"/>
            <w:vAlign w:val="center"/>
          </w:tcPr>
          <w:p w:rsidRPr="00AE1B2B" w:rsidR="009D3FB5" w:rsidP="00163B94" w:rsidRDefault="009D3FB5" w14:paraId="4E874E1A" w14:textId="77777777">
            <w:pPr>
              <w:spacing w:before="120" w:after="120" w:line="276" w:lineRule="auto"/>
              <w:rPr>
                <w:rFonts w:ascii="Times New Roman" w:hAnsi="Times New Roman" w:eastAsia="Times New Roman" w:cs="Times New Roman"/>
                <w:sz w:val="24"/>
                <w:szCs w:val="24"/>
                <w:lang w:eastAsia="es-CR"/>
              </w:rPr>
            </w:pPr>
          </w:p>
        </w:tc>
        <w:tc>
          <w:tcPr>
            <w:tcW w:w="1428" w:type="pct"/>
            <w:tcBorders>
              <w:top w:val="single" w:color="auto" w:sz="4" w:space="0"/>
              <w:left w:val="nil"/>
              <w:bottom w:val="single" w:color="auto" w:sz="4" w:space="0"/>
              <w:right w:val="single" w:color="000000" w:sz="4" w:space="0"/>
            </w:tcBorders>
            <w:shd w:val="clear" w:color="auto" w:fill="auto"/>
            <w:vAlign w:val="center"/>
          </w:tcPr>
          <w:p w:rsidRPr="00AE1B2B" w:rsidR="009D3FB5" w:rsidP="00163B94" w:rsidRDefault="009D3FB5" w14:paraId="37CC29F7" w14:textId="77777777">
            <w:pPr>
              <w:spacing w:before="120" w:after="120" w:line="276" w:lineRule="auto"/>
              <w:rPr>
                <w:rFonts w:ascii="Times New Roman" w:hAnsi="Times New Roman" w:eastAsia="Times New Roman" w:cs="Times New Roman"/>
                <w:sz w:val="24"/>
                <w:szCs w:val="24"/>
                <w:lang w:eastAsia="es-CR"/>
              </w:rPr>
            </w:pPr>
          </w:p>
        </w:tc>
      </w:tr>
      <w:tr w:rsidRPr="00AE1B2B" w:rsidR="00AE1B2B" w:rsidTr="009D3FB5" w14:paraId="73CB7EC4" w14:textId="77777777">
        <w:trPr>
          <w:trHeight w:val="20"/>
        </w:trPr>
        <w:tc>
          <w:tcPr>
            <w:tcW w:w="797" w:type="pct"/>
            <w:vMerge/>
            <w:tcBorders>
              <w:left w:val="single" w:color="auto" w:sz="4" w:space="0"/>
              <w:right w:val="single" w:color="auto" w:sz="4" w:space="0"/>
            </w:tcBorders>
            <w:vAlign w:val="center"/>
            <w:hideMark/>
          </w:tcPr>
          <w:p w:rsidRPr="00AE1B2B" w:rsidR="009D3FB5" w:rsidP="00163B94" w:rsidRDefault="009D3FB5" w14:paraId="03295204" w14:textId="77777777">
            <w:pPr>
              <w:spacing w:before="120" w:after="120" w:line="276" w:lineRule="auto"/>
              <w:rPr>
                <w:rFonts w:ascii="Times New Roman" w:hAnsi="Times New Roman" w:eastAsia="Times New Roman" w:cs="Times New Roman"/>
                <w:b/>
                <w:bCs/>
                <w:sz w:val="24"/>
                <w:szCs w:val="24"/>
                <w:lang w:eastAsia="es-CR"/>
              </w:rPr>
            </w:pPr>
          </w:p>
        </w:tc>
        <w:tc>
          <w:tcPr>
            <w:tcW w:w="2775" w:type="pct"/>
            <w:gridSpan w:val="2"/>
            <w:tcBorders>
              <w:top w:val="single" w:color="auto" w:sz="4" w:space="0"/>
              <w:left w:val="nil"/>
              <w:bottom w:val="single" w:color="auto" w:sz="4" w:space="0"/>
              <w:right w:val="single" w:color="000000" w:sz="4" w:space="0"/>
            </w:tcBorders>
            <w:shd w:val="clear" w:color="auto" w:fill="auto"/>
            <w:vAlign w:val="center"/>
            <w:hideMark/>
          </w:tcPr>
          <w:p w:rsidRPr="00AE1B2B" w:rsidR="009D3FB5" w:rsidP="00163B94" w:rsidRDefault="009D3FB5" w14:paraId="633C25FD"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7.Juzgado Civil, Trabajo y Familia de Puriscal</w:t>
            </w:r>
          </w:p>
        </w:tc>
        <w:tc>
          <w:tcPr>
            <w:tcW w:w="14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58A4025"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8.Juzgado Contravencional Puriscal</w:t>
            </w:r>
          </w:p>
        </w:tc>
      </w:tr>
      <w:tr w:rsidRPr="00AE1B2B" w:rsidR="00AE1B2B" w:rsidTr="009D3FB5" w14:paraId="5725CAD0" w14:textId="77777777">
        <w:trPr>
          <w:trHeight w:val="20"/>
        </w:trPr>
        <w:tc>
          <w:tcPr>
            <w:tcW w:w="797" w:type="pct"/>
            <w:vMerge/>
            <w:tcBorders>
              <w:left w:val="single" w:color="auto" w:sz="4" w:space="0"/>
              <w:right w:val="single" w:color="auto" w:sz="4" w:space="0"/>
            </w:tcBorders>
            <w:vAlign w:val="center"/>
          </w:tcPr>
          <w:p w:rsidRPr="00AE1B2B" w:rsidR="009D3FB5" w:rsidP="00163B94" w:rsidRDefault="009D3FB5" w14:paraId="60CB0F4D"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6916DE9A"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2D66ADC9"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9.Juzgado Pensiones y Violencia Doméstica Escazú</w:t>
            </w:r>
          </w:p>
        </w:tc>
      </w:tr>
      <w:tr w:rsidRPr="00AE1B2B" w:rsidR="00AE1B2B" w:rsidTr="009D3FB5" w14:paraId="5815129F" w14:textId="77777777">
        <w:trPr>
          <w:trHeight w:val="20"/>
        </w:trPr>
        <w:tc>
          <w:tcPr>
            <w:tcW w:w="797" w:type="pct"/>
            <w:vMerge/>
            <w:tcBorders>
              <w:left w:val="single" w:color="auto" w:sz="4" w:space="0"/>
              <w:right w:val="single" w:color="auto" w:sz="4" w:space="0"/>
            </w:tcBorders>
            <w:vAlign w:val="center"/>
            <w:hideMark/>
          </w:tcPr>
          <w:p w:rsidRPr="00AE1B2B" w:rsidR="009D3FB5" w:rsidP="00163B94" w:rsidRDefault="009D3FB5" w14:paraId="5FE282C0"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0FBEDCE4"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282CC1D7"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 xml:space="preserve">10.Juzgado Contravencional Santa Ana </w:t>
            </w:r>
          </w:p>
        </w:tc>
      </w:tr>
      <w:tr w:rsidRPr="00AE1B2B" w:rsidR="00AE1B2B" w:rsidTr="009D3FB5" w14:paraId="4D44FECA" w14:textId="77777777">
        <w:trPr>
          <w:trHeight w:val="20"/>
        </w:trPr>
        <w:tc>
          <w:tcPr>
            <w:tcW w:w="797" w:type="pct"/>
            <w:vMerge/>
            <w:tcBorders>
              <w:left w:val="single" w:color="auto" w:sz="4" w:space="0"/>
              <w:right w:val="single" w:color="auto" w:sz="4" w:space="0"/>
            </w:tcBorders>
            <w:vAlign w:val="center"/>
            <w:hideMark/>
          </w:tcPr>
          <w:p w:rsidRPr="00AE1B2B" w:rsidR="009D3FB5" w:rsidP="00163B94" w:rsidRDefault="009D3FB5" w14:paraId="3B783C79"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0EB4B837"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460BC9AE"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 xml:space="preserve">11.Juzgado Contravencional Mora </w:t>
            </w:r>
          </w:p>
        </w:tc>
      </w:tr>
      <w:tr w:rsidRPr="00AE1B2B" w:rsidR="00AE1B2B" w:rsidTr="009D3FB5" w14:paraId="59F30AFC" w14:textId="77777777">
        <w:trPr>
          <w:trHeight w:val="20"/>
        </w:trPr>
        <w:tc>
          <w:tcPr>
            <w:tcW w:w="797" w:type="pct"/>
            <w:vMerge/>
            <w:tcBorders>
              <w:left w:val="single" w:color="auto" w:sz="4" w:space="0"/>
              <w:bottom w:val="single" w:color="000000" w:sz="4" w:space="0"/>
              <w:right w:val="single" w:color="auto" w:sz="4" w:space="0"/>
            </w:tcBorders>
            <w:vAlign w:val="center"/>
            <w:hideMark/>
          </w:tcPr>
          <w:p w:rsidRPr="00AE1B2B" w:rsidR="009D3FB5" w:rsidP="00163B94" w:rsidRDefault="009D3FB5" w14:paraId="6AEF5868"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7B1F837E"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03046067"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12.Juzgado Contravencional Turrubares</w:t>
            </w:r>
          </w:p>
        </w:tc>
      </w:tr>
      <w:tr w:rsidRPr="00AE1B2B" w:rsidR="00AE1B2B" w:rsidTr="009D3FB5" w14:paraId="35C4374E" w14:textId="77777777">
        <w:trPr>
          <w:trHeight w:val="20"/>
        </w:trPr>
        <w:tc>
          <w:tcPr>
            <w:tcW w:w="797" w:type="pct"/>
            <w:tcBorders>
              <w:top w:val="nil"/>
              <w:left w:val="single" w:color="auto" w:sz="4" w:space="0"/>
              <w:bottom w:val="single" w:color="auto" w:sz="4" w:space="0"/>
              <w:right w:val="single" w:color="auto" w:sz="4" w:space="0"/>
            </w:tcBorders>
            <w:shd w:val="clear" w:color="000000" w:fill="D9E1F2"/>
            <w:vAlign w:val="center"/>
            <w:hideMark/>
          </w:tcPr>
          <w:p w:rsidRPr="00AE1B2B" w:rsidR="009D3FB5" w:rsidP="00163B94" w:rsidRDefault="009D3FB5" w14:paraId="5BF94EE6" w14:textId="77777777">
            <w:pPr>
              <w:spacing w:before="120" w:after="120" w:line="276" w:lineRule="auto"/>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II Circuito Judicial de San José</w:t>
            </w:r>
          </w:p>
        </w:tc>
        <w:tc>
          <w:tcPr>
            <w:tcW w:w="1387"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0654A6E0"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13.Juzgado Familia II Circ. Jud. San José</w:t>
            </w:r>
          </w:p>
        </w:tc>
        <w:tc>
          <w:tcPr>
            <w:tcW w:w="1388"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78928044"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14.Juzgado Violencia Doméstica II Circ. Jud. San José (Goicoechea)</w:t>
            </w:r>
          </w:p>
        </w:tc>
        <w:tc>
          <w:tcPr>
            <w:tcW w:w="1428"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274FA6F1"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15.Juzgado Pensiones Alimentarias II Circ. Jud. San José (Goicoechea)</w:t>
            </w:r>
          </w:p>
        </w:tc>
      </w:tr>
      <w:tr w:rsidRPr="00AE1B2B" w:rsidR="00AE1B2B" w:rsidTr="009D3FB5" w14:paraId="29E4802C" w14:textId="77777777">
        <w:trPr>
          <w:trHeight w:val="20"/>
        </w:trPr>
        <w:tc>
          <w:tcPr>
            <w:tcW w:w="797" w:type="pct"/>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438A7750" w14:textId="77777777">
            <w:pPr>
              <w:spacing w:before="120" w:after="120" w:line="276" w:lineRule="auto"/>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III Circuito Judicial de San José</w:t>
            </w: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21018F2"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16.Juzgado de Trabajo y Familia de Hatillo, San Seb. y Alajuelita</w:t>
            </w:r>
          </w:p>
        </w:tc>
        <w:tc>
          <w:tcPr>
            <w:tcW w:w="138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E99D06F"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17.Juzgado Violencia Doméstica Hatillo, San Sebas. y Alajuelita</w:t>
            </w:r>
          </w:p>
        </w:tc>
        <w:tc>
          <w:tcPr>
            <w:tcW w:w="14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DDE07F7"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18.Juzgado Contravencional Hatillo</w:t>
            </w:r>
          </w:p>
        </w:tc>
      </w:tr>
      <w:tr w:rsidRPr="00AE1B2B" w:rsidR="00AE1B2B" w:rsidTr="009D3FB5" w14:paraId="1DAF2F92" w14:textId="77777777">
        <w:trPr>
          <w:trHeight w:val="20"/>
        </w:trPr>
        <w:tc>
          <w:tcPr>
            <w:tcW w:w="797" w:type="pct"/>
            <w:vMerge/>
            <w:tcBorders>
              <w:top w:val="nil"/>
              <w:left w:val="single" w:color="auto" w:sz="4" w:space="0"/>
              <w:bottom w:val="single" w:color="000000" w:sz="4" w:space="0"/>
              <w:right w:val="single" w:color="auto" w:sz="4" w:space="0"/>
            </w:tcBorders>
            <w:vAlign w:val="center"/>
          </w:tcPr>
          <w:p w:rsidRPr="00AE1B2B" w:rsidR="009D3FB5" w:rsidP="00163B94" w:rsidRDefault="009D3FB5" w14:paraId="3E15F1F9"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6AF0BD10" w14:textId="77777777">
            <w:pPr>
              <w:spacing w:before="120" w:after="120" w:line="276" w:lineRule="auto"/>
              <w:rPr>
                <w:rFonts w:ascii="Times New Roman" w:hAnsi="Times New Roman" w:eastAsia="Times New Roman" w:cs="Times New Roman"/>
                <w:sz w:val="24"/>
                <w:szCs w:val="24"/>
                <w:lang w:eastAsia="es-CR"/>
              </w:rPr>
            </w:pPr>
          </w:p>
        </w:tc>
        <w:tc>
          <w:tcPr>
            <w:tcW w:w="1388"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30920653" w14:textId="77777777">
            <w:pPr>
              <w:spacing w:before="120" w:after="120" w:line="276" w:lineRule="auto"/>
              <w:rPr>
                <w:rFonts w:ascii="Times New Roman" w:hAnsi="Times New Roman" w:eastAsia="Times New Roman" w:cs="Times New Roman"/>
                <w:sz w:val="24"/>
                <w:szCs w:val="24"/>
                <w:lang w:eastAsia="es-CR"/>
              </w:rPr>
            </w:pPr>
          </w:p>
        </w:tc>
        <w:tc>
          <w:tcPr>
            <w:tcW w:w="1428"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6D096D33"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19.Juzgado Contravencional San Sebastián</w:t>
            </w:r>
          </w:p>
        </w:tc>
      </w:tr>
      <w:tr w:rsidRPr="00AE1B2B" w:rsidR="00AE1B2B" w:rsidTr="009D3FB5" w14:paraId="13C9B88D" w14:textId="77777777">
        <w:trPr>
          <w:trHeight w:val="20"/>
        </w:trPr>
        <w:tc>
          <w:tcPr>
            <w:tcW w:w="797" w:type="pct"/>
            <w:vMerge/>
            <w:tcBorders>
              <w:top w:val="nil"/>
              <w:left w:val="single" w:color="auto" w:sz="4" w:space="0"/>
              <w:bottom w:val="single" w:color="000000" w:sz="4" w:space="0"/>
              <w:right w:val="single" w:color="auto" w:sz="4" w:space="0"/>
            </w:tcBorders>
            <w:vAlign w:val="center"/>
          </w:tcPr>
          <w:p w:rsidRPr="00AE1B2B" w:rsidR="009D3FB5" w:rsidP="00163B94" w:rsidRDefault="009D3FB5" w14:paraId="64C0B932"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508DA61A" w14:textId="77777777">
            <w:pPr>
              <w:spacing w:before="120" w:after="120" w:line="276" w:lineRule="auto"/>
              <w:rPr>
                <w:rFonts w:ascii="Times New Roman" w:hAnsi="Times New Roman" w:eastAsia="Times New Roman" w:cs="Times New Roman"/>
                <w:sz w:val="24"/>
                <w:szCs w:val="24"/>
                <w:lang w:eastAsia="es-CR"/>
              </w:rPr>
            </w:pPr>
          </w:p>
        </w:tc>
        <w:tc>
          <w:tcPr>
            <w:tcW w:w="1388"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652A25B6" w14:textId="77777777">
            <w:pPr>
              <w:spacing w:before="120" w:after="120" w:line="276" w:lineRule="auto"/>
              <w:rPr>
                <w:rFonts w:ascii="Times New Roman" w:hAnsi="Times New Roman" w:eastAsia="Times New Roman" w:cs="Times New Roman"/>
                <w:sz w:val="24"/>
                <w:szCs w:val="24"/>
                <w:lang w:eastAsia="es-CR"/>
              </w:rPr>
            </w:pPr>
          </w:p>
        </w:tc>
        <w:tc>
          <w:tcPr>
            <w:tcW w:w="1428"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1CF59109"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20.Juzgado Contravencional Alajuelita</w:t>
            </w:r>
          </w:p>
        </w:tc>
      </w:tr>
      <w:tr w:rsidRPr="00AE1B2B" w:rsidR="00AE1B2B" w:rsidTr="009D3FB5" w14:paraId="0BF30054" w14:textId="77777777">
        <w:trPr>
          <w:trHeight w:val="20"/>
        </w:trPr>
        <w:tc>
          <w:tcPr>
            <w:tcW w:w="797" w:type="pct"/>
            <w:vMerge/>
            <w:tcBorders>
              <w:top w:val="nil"/>
              <w:left w:val="single" w:color="auto" w:sz="4" w:space="0"/>
              <w:bottom w:val="single" w:color="000000" w:sz="4" w:space="0"/>
              <w:right w:val="single" w:color="auto" w:sz="4" w:space="0"/>
            </w:tcBorders>
            <w:vAlign w:val="center"/>
          </w:tcPr>
          <w:p w:rsidRPr="00AE1B2B" w:rsidR="009D3FB5" w:rsidP="00163B94" w:rsidRDefault="009D3FB5" w14:paraId="3CB9A821"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3973C897"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21.Juzgado Familia III Circ. Jud. De San José (Desamparados)</w:t>
            </w:r>
          </w:p>
        </w:tc>
        <w:tc>
          <w:tcPr>
            <w:tcW w:w="1388"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29E31117"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22.Juzgado Violencia Doméstica III Circ. Jud. San José (Desamparados)</w:t>
            </w:r>
          </w:p>
        </w:tc>
        <w:tc>
          <w:tcPr>
            <w:tcW w:w="1428"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071356BB"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23.Juzgado Pensiones Alimentarias III Circ. Jud. San José (Desamparados)</w:t>
            </w:r>
          </w:p>
        </w:tc>
      </w:tr>
      <w:tr w:rsidRPr="00AE1B2B" w:rsidR="00AE1B2B" w:rsidTr="009D3FB5" w14:paraId="319FA768"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0460596E"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7F538C4D"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433A60C8"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24.Juzgado Pensiones y Violencia Doméstica Pavas (PISAV)</w:t>
            </w:r>
          </w:p>
        </w:tc>
      </w:tr>
      <w:tr w:rsidRPr="00AE1B2B" w:rsidR="00AE1B2B" w:rsidTr="009D3FB5" w14:paraId="06E99EC6"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54E616F3"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1A0B3DC6"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3C4D9212"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25.Juzgado Contravencional Aserrí</w:t>
            </w:r>
          </w:p>
        </w:tc>
      </w:tr>
      <w:tr w:rsidRPr="00AE1B2B" w:rsidR="00AE1B2B" w:rsidTr="009D3FB5" w14:paraId="3B875438"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4B7CCA6D"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0D6E8FCB"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658F0A34"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26.Juzgado Contravencional Acosta</w:t>
            </w:r>
          </w:p>
        </w:tc>
      </w:tr>
      <w:tr w:rsidRPr="00AE1B2B" w:rsidR="00AE1B2B" w:rsidTr="009D3FB5" w14:paraId="478ACF49" w14:textId="77777777">
        <w:trPr>
          <w:trHeight w:val="20"/>
        </w:trPr>
        <w:tc>
          <w:tcPr>
            <w:tcW w:w="797" w:type="pct"/>
            <w:vMerge w:val="restart"/>
            <w:tcBorders>
              <w:top w:val="nil"/>
              <w:left w:val="single" w:color="auto" w:sz="4" w:space="0"/>
              <w:bottom w:val="single" w:color="000000" w:sz="4" w:space="0"/>
              <w:right w:val="single" w:color="auto" w:sz="4" w:space="0"/>
            </w:tcBorders>
            <w:shd w:val="clear" w:color="000000" w:fill="D9E1F2"/>
            <w:vAlign w:val="center"/>
            <w:hideMark/>
          </w:tcPr>
          <w:p w:rsidRPr="00AE1B2B" w:rsidR="009D3FB5" w:rsidP="00163B94" w:rsidRDefault="009D3FB5" w14:paraId="51B6AE53" w14:textId="77777777">
            <w:pPr>
              <w:spacing w:before="120" w:after="120" w:line="276" w:lineRule="auto"/>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I Circuito Judicial de Alajuela</w:t>
            </w:r>
          </w:p>
        </w:tc>
        <w:tc>
          <w:tcPr>
            <w:tcW w:w="1387"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684A9904"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27.Juzgado Familia del I Circ. Jud. de Alajuela</w:t>
            </w:r>
          </w:p>
        </w:tc>
        <w:tc>
          <w:tcPr>
            <w:tcW w:w="1388"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10DD19C1"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28.Juzgado Violencia Doméstica I Circ. Jud. Alajuela</w:t>
            </w:r>
          </w:p>
        </w:tc>
        <w:tc>
          <w:tcPr>
            <w:tcW w:w="1428"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0D31B8CA"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 xml:space="preserve">29.Juzgado Pensiones Alimentarias I Circ. Jud. Alajuela </w:t>
            </w:r>
          </w:p>
        </w:tc>
      </w:tr>
      <w:tr w:rsidRPr="00AE1B2B" w:rsidR="00AE1B2B" w:rsidTr="009D3FB5" w14:paraId="00FFAB90"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333EFC50"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126245E8"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 </w:t>
            </w:r>
          </w:p>
        </w:tc>
        <w:tc>
          <w:tcPr>
            <w:tcW w:w="2816" w:type="pct"/>
            <w:gridSpan w:val="2"/>
            <w:tcBorders>
              <w:top w:val="single" w:color="auto" w:sz="4" w:space="0"/>
              <w:left w:val="nil"/>
              <w:bottom w:val="single" w:color="auto" w:sz="4" w:space="0"/>
              <w:right w:val="single" w:color="auto" w:sz="4" w:space="0"/>
            </w:tcBorders>
            <w:shd w:val="clear" w:color="000000" w:fill="D9E1F2"/>
            <w:vAlign w:val="center"/>
            <w:hideMark/>
          </w:tcPr>
          <w:p w:rsidRPr="00AE1B2B" w:rsidR="009D3FB5" w:rsidP="00163B94" w:rsidRDefault="009D3FB5" w14:paraId="5F209BA3"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30.Juzgado Contravencional Poás</w:t>
            </w:r>
          </w:p>
        </w:tc>
      </w:tr>
      <w:tr w:rsidRPr="00AE1B2B" w:rsidR="00AE1B2B" w:rsidTr="009D3FB5" w14:paraId="4F29911D"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6B6563A4"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tcPr>
          <w:p w:rsidRPr="00AE1B2B" w:rsidR="009D3FB5" w:rsidP="00163B94" w:rsidRDefault="009D3FB5" w14:paraId="2BAC6A7D"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000000" w:fill="D9E1F2"/>
            <w:vAlign w:val="center"/>
            <w:hideMark/>
          </w:tcPr>
          <w:p w:rsidRPr="00AE1B2B" w:rsidR="009D3FB5" w:rsidP="00163B94" w:rsidRDefault="009D3FB5" w14:paraId="107E0F9C"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31.Juzgado Contravencional Atenas</w:t>
            </w:r>
          </w:p>
        </w:tc>
      </w:tr>
      <w:tr w:rsidRPr="00AE1B2B" w:rsidR="00AE1B2B" w:rsidTr="009D3FB5" w14:paraId="6FEBD2CC"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08B0DD48"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tcPr>
          <w:p w:rsidRPr="00AE1B2B" w:rsidR="009D3FB5" w:rsidP="00163B94" w:rsidRDefault="009D3FB5" w14:paraId="0425BB2C"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000000" w:fill="D9E1F2"/>
            <w:vAlign w:val="center"/>
            <w:hideMark/>
          </w:tcPr>
          <w:p w:rsidRPr="00AE1B2B" w:rsidR="009D3FB5" w:rsidP="00163B94" w:rsidRDefault="009D3FB5" w14:paraId="368A3A50"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32.Juzgado Contravencional San Mateo</w:t>
            </w:r>
          </w:p>
        </w:tc>
      </w:tr>
      <w:tr w:rsidRPr="00AE1B2B" w:rsidR="00AE1B2B" w:rsidTr="009D3FB5" w14:paraId="6DF0A052"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4502BDBE"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tcPr>
          <w:p w:rsidRPr="00AE1B2B" w:rsidR="009D3FB5" w:rsidP="00163B94" w:rsidRDefault="009D3FB5" w14:paraId="1535EF94"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000000" w:fill="D9E1F2"/>
            <w:vAlign w:val="center"/>
            <w:hideMark/>
          </w:tcPr>
          <w:p w:rsidRPr="00AE1B2B" w:rsidR="009D3FB5" w:rsidP="00163B94" w:rsidRDefault="009D3FB5" w14:paraId="5134B42A"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33.Juzgado Contravencional Orotina</w:t>
            </w:r>
          </w:p>
        </w:tc>
      </w:tr>
      <w:tr w:rsidRPr="00AE1B2B" w:rsidR="00AE1B2B" w:rsidTr="009D3FB5" w14:paraId="7D8C4224" w14:textId="77777777">
        <w:trPr>
          <w:trHeight w:val="20"/>
        </w:trPr>
        <w:tc>
          <w:tcPr>
            <w:tcW w:w="797" w:type="pct"/>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43436DAA" w14:textId="77777777">
            <w:pPr>
              <w:spacing w:before="120" w:after="120" w:line="276" w:lineRule="auto"/>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II Circuito Judicial de Alajuela</w:t>
            </w: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CD2E09D"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34.Juzgado Familia del II Circ. Jud. de Alajuela (San Carlos)</w:t>
            </w:r>
          </w:p>
        </w:tc>
        <w:tc>
          <w:tcPr>
            <w:tcW w:w="138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0FF8FF3"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35.Juzgado Violencia Doméstica II Circ. Jud. Alajuela (San Carlos)</w:t>
            </w:r>
          </w:p>
        </w:tc>
        <w:tc>
          <w:tcPr>
            <w:tcW w:w="14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742177F"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36.Juzgado Contravencional y Pens. Alimen. II Circ. Jud. Alajuela (San Carlos)</w:t>
            </w:r>
          </w:p>
        </w:tc>
      </w:tr>
      <w:tr w:rsidRPr="00AE1B2B" w:rsidR="00AE1B2B" w:rsidTr="009D3FB5" w14:paraId="503B2326"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08D26B93" w14:textId="77777777">
            <w:pPr>
              <w:spacing w:before="120" w:after="120" w:line="276" w:lineRule="auto"/>
              <w:rPr>
                <w:rFonts w:ascii="Times New Roman" w:hAnsi="Times New Roman" w:eastAsia="Times New Roman" w:cs="Times New Roman"/>
                <w:b/>
                <w:bCs/>
                <w:sz w:val="24"/>
                <w:szCs w:val="24"/>
                <w:lang w:eastAsia="es-CR"/>
              </w:rPr>
            </w:pPr>
          </w:p>
        </w:tc>
        <w:tc>
          <w:tcPr>
            <w:tcW w:w="2775" w:type="pct"/>
            <w:gridSpan w:val="2"/>
            <w:tcBorders>
              <w:top w:val="single" w:color="auto" w:sz="4" w:space="0"/>
              <w:left w:val="nil"/>
              <w:bottom w:val="single" w:color="auto" w:sz="4" w:space="0"/>
              <w:right w:val="single" w:color="000000" w:sz="4" w:space="0"/>
            </w:tcBorders>
            <w:shd w:val="clear" w:color="auto" w:fill="auto"/>
            <w:vAlign w:val="center"/>
            <w:hideMark/>
          </w:tcPr>
          <w:p w:rsidRPr="00AE1B2B" w:rsidR="009D3FB5" w:rsidP="00163B94" w:rsidRDefault="009D3FB5" w14:paraId="0B7589B2"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37.Juzgado Civil, Trabajo y Familia del II Circuito Judicial de Alajuela sede Upala</w:t>
            </w:r>
          </w:p>
        </w:tc>
        <w:tc>
          <w:tcPr>
            <w:tcW w:w="14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7303A58"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38.Juzgado Contravencional Upala</w:t>
            </w:r>
          </w:p>
        </w:tc>
      </w:tr>
      <w:tr w:rsidRPr="00AE1B2B" w:rsidR="00AE1B2B" w:rsidTr="009D3FB5" w14:paraId="3BB8BE02"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07C05933"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792ABEAF"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77E23283"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39.Juzgado Contravencional Los Chiles</w:t>
            </w:r>
          </w:p>
        </w:tc>
      </w:tr>
      <w:tr w:rsidRPr="00AE1B2B" w:rsidR="00AE1B2B" w:rsidTr="009D3FB5" w14:paraId="62C2E0BC"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395E144A"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693D323F"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6BBD9325"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40.Juzgado Contravencional Guatuso</w:t>
            </w:r>
          </w:p>
        </w:tc>
      </w:tr>
      <w:tr w:rsidRPr="00AE1B2B" w:rsidR="00AE1B2B" w:rsidTr="009D3FB5" w14:paraId="2013B938"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69347485"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1C67058F"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374D005D"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41.Juzgado Contravencional La Fortuna</w:t>
            </w:r>
          </w:p>
        </w:tc>
      </w:tr>
      <w:tr w:rsidRPr="00AE1B2B" w:rsidR="00AE1B2B" w:rsidTr="009D3FB5" w14:paraId="1F030C84" w14:textId="77777777">
        <w:trPr>
          <w:trHeight w:val="20"/>
        </w:trPr>
        <w:tc>
          <w:tcPr>
            <w:tcW w:w="797" w:type="pct"/>
            <w:vMerge w:val="restart"/>
            <w:tcBorders>
              <w:top w:val="nil"/>
              <w:left w:val="single" w:color="auto" w:sz="4" w:space="0"/>
              <w:bottom w:val="nil"/>
              <w:right w:val="single" w:color="auto" w:sz="4" w:space="0"/>
            </w:tcBorders>
            <w:shd w:val="clear" w:color="000000" w:fill="D9E1F2"/>
            <w:vAlign w:val="center"/>
            <w:hideMark/>
          </w:tcPr>
          <w:p w:rsidRPr="00AE1B2B" w:rsidR="009D3FB5" w:rsidP="00163B94" w:rsidRDefault="009D3FB5" w14:paraId="2FB54D1F" w14:textId="77777777">
            <w:pPr>
              <w:spacing w:before="120" w:after="120" w:line="276" w:lineRule="auto"/>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III Circuito Judicial de Alajuela</w:t>
            </w:r>
          </w:p>
        </w:tc>
        <w:tc>
          <w:tcPr>
            <w:tcW w:w="2775" w:type="pct"/>
            <w:gridSpan w:val="2"/>
            <w:tcBorders>
              <w:top w:val="single" w:color="auto" w:sz="4" w:space="0"/>
              <w:left w:val="nil"/>
              <w:bottom w:val="single" w:color="auto" w:sz="4" w:space="0"/>
              <w:right w:val="single" w:color="000000" w:sz="4" w:space="0"/>
            </w:tcBorders>
            <w:shd w:val="clear" w:color="000000" w:fill="D9E1F2"/>
            <w:vAlign w:val="center"/>
            <w:hideMark/>
          </w:tcPr>
          <w:p w:rsidRPr="00AE1B2B" w:rsidR="009D3FB5" w:rsidP="00163B94" w:rsidRDefault="009D3FB5" w14:paraId="595C6571"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42.Juzgado de Familia y Viol. Doméstica Grecia</w:t>
            </w:r>
          </w:p>
        </w:tc>
        <w:tc>
          <w:tcPr>
            <w:tcW w:w="1428"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48AC8F52"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43.Juzgado de Cobro, Contravencional Grecia</w:t>
            </w:r>
          </w:p>
        </w:tc>
      </w:tr>
      <w:tr w:rsidRPr="00AE1B2B" w:rsidR="00AE1B2B" w:rsidTr="009D3FB5" w14:paraId="6DC2FC53" w14:textId="77777777">
        <w:trPr>
          <w:trHeight w:val="20"/>
        </w:trPr>
        <w:tc>
          <w:tcPr>
            <w:tcW w:w="797" w:type="pct"/>
            <w:vMerge/>
            <w:tcBorders>
              <w:top w:val="nil"/>
              <w:left w:val="single" w:color="auto" w:sz="4" w:space="0"/>
              <w:bottom w:val="nil"/>
              <w:right w:val="single" w:color="auto" w:sz="4" w:space="0"/>
            </w:tcBorders>
            <w:vAlign w:val="center"/>
            <w:hideMark/>
          </w:tcPr>
          <w:p w:rsidRPr="00AE1B2B" w:rsidR="009D3FB5" w:rsidP="00163B94" w:rsidRDefault="009D3FB5" w14:paraId="5303E19E" w14:textId="77777777">
            <w:pPr>
              <w:spacing w:before="120" w:after="120" w:line="276" w:lineRule="auto"/>
              <w:rPr>
                <w:rFonts w:ascii="Times New Roman" w:hAnsi="Times New Roman" w:eastAsia="Times New Roman" w:cs="Times New Roman"/>
                <w:b/>
                <w:bCs/>
                <w:sz w:val="24"/>
                <w:szCs w:val="24"/>
                <w:lang w:eastAsia="es-CR"/>
              </w:rPr>
            </w:pPr>
          </w:p>
        </w:tc>
        <w:tc>
          <w:tcPr>
            <w:tcW w:w="2775" w:type="pct"/>
            <w:gridSpan w:val="2"/>
            <w:tcBorders>
              <w:top w:val="single" w:color="auto" w:sz="4" w:space="0"/>
              <w:left w:val="nil"/>
              <w:bottom w:val="single" w:color="auto" w:sz="4" w:space="0"/>
              <w:right w:val="single" w:color="000000" w:sz="4" w:space="0"/>
            </w:tcBorders>
            <w:shd w:val="clear" w:color="000000" w:fill="D9E1F2"/>
            <w:vAlign w:val="center"/>
            <w:hideMark/>
          </w:tcPr>
          <w:p w:rsidRPr="00AE1B2B" w:rsidR="009D3FB5" w:rsidP="00163B94" w:rsidRDefault="009D3FB5" w14:paraId="56F3570B"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44.Juzgado Familia y Viol. Dom. III Circ. Jud. Alajuela (San Ramón)</w:t>
            </w:r>
          </w:p>
        </w:tc>
        <w:tc>
          <w:tcPr>
            <w:tcW w:w="1428"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505F295F"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45.Juzgado Contr. y Pens. Alimen. III Circ. Jud. Alajuela (San Ramón)</w:t>
            </w:r>
          </w:p>
        </w:tc>
      </w:tr>
      <w:tr w:rsidRPr="00AE1B2B" w:rsidR="00AE1B2B" w:rsidTr="009D3FB5" w14:paraId="7C58F2BB" w14:textId="77777777">
        <w:trPr>
          <w:trHeight w:val="20"/>
        </w:trPr>
        <w:tc>
          <w:tcPr>
            <w:tcW w:w="797" w:type="pct"/>
            <w:vMerge/>
            <w:tcBorders>
              <w:top w:val="nil"/>
              <w:left w:val="single" w:color="auto" w:sz="4" w:space="0"/>
              <w:bottom w:val="nil"/>
              <w:right w:val="single" w:color="auto" w:sz="4" w:space="0"/>
            </w:tcBorders>
            <w:vAlign w:val="center"/>
            <w:hideMark/>
          </w:tcPr>
          <w:p w:rsidRPr="00AE1B2B" w:rsidR="009D3FB5" w:rsidP="00163B94" w:rsidRDefault="009D3FB5" w14:paraId="6C56DBAF"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tcPr>
          <w:p w:rsidRPr="00AE1B2B" w:rsidR="009D3FB5" w:rsidP="00163B94" w:rsidRDefault="009D3FB5" w14:paraId="5B36B931"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000000" w:fill="D9E1F2"/>
            <w:vAlign w:val="center"/>
            <w:hideMark/>
          </w:tcPr>
          <w:p w:rsidRPr="00AE1B2B" w:rsidR="009D3FB5" w:rsidP="00163B94" w:rsidRDefault="009D3FB5" w14:paraId="5D6B66F0"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46.Juzgado Contravencional Zarcero</w:t>
            </w:r>
          </w:p>
        </w:tc>
      </w:tr>
      <w:tr w:rsidRPr="00AE1B2B" w:rsidR="00AE1B2B" w:rsidTr="009D3FB5" w14:paraId="3084C039" w14:textId="77777777">
        <w:trPr>
          <w:trHeight w:val="20"/>
        </w:trPr>
        <w:tc>
          <w:tcPr>
            <w:tcW w:w="797" w:type="pct"/>
            <w:vMerge/>
            <w:tcBorders>
              <w:top w:val="nil"/>
              <w:left w:val="single" w:color="auto" w:sz="4" w:space="0"/>
              <w:bottom w:val="nil"/>
              <w:right w:val="single" w:color="auto" w:sz="4" w:space="0"/>
            </w:tcBorders>
            <w:vAlign w:val="center"/>
            <w:hideMark/>
          </w:tcPr>
          <w:p w:rsidRPr="00AE1B2B" w:rsidR="009D3FB5" w:rsidP="00163B94" w:rsidRDefault="009D3FB5" w14:paraId="7B64DF33"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tcPr>
          <w:p w:rsidRPr="00AE1B2B" w:rsidR="009D3FB5" w:rsidP="00163B94" w:rsidRDefault="009D3FB5" w14:paraId="67D39DB0"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000000" w:fill="D9E1F2"/>
            <w:vAlign w:val="center"/>
            <w:hideMark/>
          </w:tcPr>
          <w:p w:rsidRPr="00AE1B2B" w:rsidR="009D3FB5" w:rsidP="00163B94" w:rsidRDefault="009D3FB5" w14:paraId="3C555403"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47.Juzgado Contravencional Valverde Vega</w:t>
            </w:r>
          </w:p>
        </w:tc>
      </w:tr>
      <w:tr w:rsidRPr="00AE1B2B" w:rsidR="00AE1B2B" w:rsidTr="009D3FB5" w14:paraId="4B7CC788" w14:textId="77777777">
        <w:trPr>
          <w:trHeight w:val="20"/>
        </w:trPr>
        <w:tc>
          <w:tcPr>
            <w:tcW w:w="797" w:type="pct"/>
            <w:vMerge/>
            <w:tcBorders>
              <w:top w:val="nil"/>
              <w:left w:val="single" w:color="auto" w:sz="4" w:space="0"/>
              <w:bottom w:val="nil"/>
              <w:right w:val="single" w:color="auto" w:sz="4" w:space="0"/>
            </w:tcBorders>
            <w:vAlign w:val="center"/>
            <w:hideMark/>
          </w:tcPr>
          <w:p w:rsidRPr="00AE1B2B" w:rsidR="009D3FB5" w:rsidP="00163B94" w:rsidRDefault="009D3FB5" w14:paraId="6FCF08F8"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tcPr>
          <w:p w:rsidRPr="00AE1B2B" w:rsidR="009D3FB5" w:rsidP="00163B94" w:rsidRDefault="009D3FB5" w14:paraId="7498101F"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000000" w:fill="D9E1F2"/>
            <w:vAlign w:val="center"/>
            <w:hideMark/>
          </w:tcPr>
          <w:p w:rsidRPr="00AE1B2B" w:rsidR="009D3FB5" w:rsidP="00163B94" w:rsidRDefault="009D3FB5" w14:paraId="08AF632F"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48.Juzgado Contravencional Naranjo</w:t>
            </w:r>
          </w:p>
        </w:tc>
      </w:tr>
      <w:tr w:rsidRPr="00AE1B2B" w:rsidR="00AE1B2B" w:rsidTr="009D3FB5" w14:paraId="551A2A5E" w14:textId="77777777">
        <w:trPr>
          <w:trHeight w:val="20"/>
        </w:trPr>
        <w:tc>
          <w:tcPr>
            <w:tcW w:w="797" w:type="pct"/>
            <w:vMerge/>
            <w:tcBorders>
              <w:top w:val="nil"/>
              <w:left w:val="single" w:color="auto" w:sz="4" w:space="0"/>
              <w:bottom w:val="nil"/>
              <w:right w:val="single" w:color="auto" w:sz="4" w:space="0"/>
            </w:tcBorders>
            <w:vAlign w:val="center"/>
            <w:hideMark/>
          </w:tcPr>
          <w:p w:rsidRPr="00AE1B2B" w:rsidR="009D3FB5" w:rsidP="00163B94" w:rsidRDefault="009D3FB5" w14:paraId="0CFF94DC"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tcPr>
          <w:p w:rsidRPr="00AE1B2B" w:rsidR="009D3FB5" w:rsidP="00163B94" w:rsidRDefault="009D3FB5" w14:paraId="43FE7757"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000000" w:fill="D9E1F2"/>
            <w:vAlign w:val="center"/>
            <w:hideMark/>
          </w:tcPr>
          <w:p w:rsidRPr="00AE1B2B" w:rsidR="009D3FB5" w:rsidP="00163B94" w:rsidRDefault="009D3FB5" w14:paraId="14352005"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49.Juzgado Contravencional Palmares</w:t>
            </w:r>
          </w:p>
        </w:tc>
      </w:tr>
      <w:tr w:rsidRPr="00AE1B2B" w:rsidR="00AE1B2B" w:rsidTr="009D3FB5" w14:paraId="0FAD64A0" w14:textId="77777777">
        <w:trPr>
          <w:trHeight w:val="20"/>
        </w:trPr>
        <w:tc>
          <w:tcPr>
            <w:tcW w:w="797" w:type="pct"/>
            <w:vMerge w:val="restart"/>
            <w:tcBorders>
              <w:top w:val="single" w:color="auto" w:sz="4" w:space="0"/>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67D84E15" w14:textId="77777777">
            <w:pPr>
              <w:spacing w:before="120" w:after="120" w:line="276" w:lineRule="auto"/>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Circuito Judicial de Cartago</w:t>
            </w: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0387815"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50.Juzgado Familia Cartago</w:t>
            </w:r>
          </w:p>
        </w:tc>
        <w:tc>
          <w:tcPr>
            <w:tcW w:w="138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163B284"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51.Juzgado Violencia Doméstica Cartago</w:t>
            </w:r>
          </w:p>
        </w:tc>
        <w:tc>
          <w:tcPr>
            <w:tcW w:w="14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8C45995"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52.Juzgado Pensiones Alimentarias Cartago</w:t>
            </w:r>
          </w:p>
        </w:tc>
      </w:tr>
      <w:tr w:rsidRPr="00AE1B2B" w:rsidR="00AE1B2B" w:rsidTr="009D3FB5" w14:paraId="5B394AB9" w14:textId="77777777">
        <w:trPr>
          <w:trHeight w:val="20"/>
        </w:trPr>
        <w:tc>
          <w:tcPr>
            <w:tcW w:w="797" w:type="pct"/>
            <w:vMerge/>
            <w:tcBorders>
              <w:top w:val="single" w:color="auto" w:sz="4" w:space="0"/>
              <w:left w:val="single" w:color="auto" w:sz="4" w:space="0"/>
              <w:bottom w:val="single" w:color="000000" w:sz="4" w:space="0"/>
              <w:right w:val="single" w:color="auto" w:sz="4" w:space="0"/>
            </w:tcBorders>
            <w:vAlign w:val="center"/>
            <w:hideMark/>
          </w:tcPr>
          <w:p w:rsidRPr="00AE1B2B" w:rsidR="009D3FB5" w:rsidP="00163B94" w:rsidRDefault="009D3FB5" w14:paraId="09FA0A25" w14:textId="77777777">
            <w:pPr>
              <w:spacing w:before="120" w:after="120" w:line="276" w:lineRule="auto"/>
              <w:rPr>
                <w:rFonts w:ascii="Times New Roman" w:hAnsi="Times New Roman" w:eastAsia="Times New Roman" w:cs="Times New Roman"/>
                <w:b/>
                <w:bCs/>
                <w:sz w:val="24"/>
                <w:szCs w:val="24"/>
                <w:lang w:eastAsia="es-CR"/>
              </w:rPr>
            </w:pPr>
          </w:p>
        </w:tc>
        <w:tc>
          <w:tcPr>
            <w:tcW w:w="2775" w:type="pct"/>
            <w:gridSpan w:val="2"/>
            <w:tcBorders>
              <w:top w:val="single" w:color="auto" w:sz="4" w:space="0"/>
              <w:left w:val="nil"/>
              <w:bottom w:val="single" w:color="auto" w:sz="4" w:space="0"/>
              <w:right w:val="single" w:color="000000" w:sz="4" w:space="0"/>
            </w:tcBorders>
            <w:shd w:val="clear" w:color="auto" w:fill="auto"/>
            <w:vAlign w:val="center"/>
            <w:hideMark/>
          </w:tcPr>
          <w:p w:rsidRPr="00AE1B2B" w:rsidR="009D3FB5" w:rsidP="00163B94" w:rsidRDefault="009D3FB5" w14:paraId="5863F3DF"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53.Juzgado Fam. Pen. Juv. y Viol. Domést. Turrialba</w:t>
            </w:r>
          </w:p>
        </w:tc>
        <w:tc>
          <w:tcPr>
            <w:tcW w:w="14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D8FA854"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54.Juzgado Contravencional Turrialba</w:t>
            </w:r>
          </w:p>
        </w:tc>
      </w:tr>
      <w:tr w:rsidRPr="00AE1B2B" w:rsidR="00AE1B2B" w:rsidTr="009D3FB5" w14:paraId="35EBD646" w14:textId="77777777">
        <w:trPr>
          <w:trHeight w:val="20"/>
        </w:trPr>
        <w:tc>
          <w:tcPr>
            <w:tcW w:w="797" w:type="pct"/>
            <w:vMerge/>
            <w:tcBorders>
              <w:top w:val="single" w:color="auto" w:sz="4" w:space="0"/>
              <w:left w:val="single" w:color="auto" w:sz="4" w:space="0"/>
              <w:bottom w:val="single" w:color="000000" w:sz="4" w:space="0"/>
              <w:right w:val="single" w:color="auto" w:sz="4" w:space="0"/>
            </w:tcBorders>
            <w:vAlign w:val="center"/>
            <w:hideMark/>
          </w:tcPr>
          <w:p w:rsidRPr="00AE1B2B" w:rsidR="009D3FB5" w:rsidP="00163B94" w:rsidRDefault="009D3FB5" w14:paraId="3FF47B7D"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213253E9"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22C9E1E5"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55.Juzgado Pensiones y Violencia Doméstica La Unión (PISAV)</w:t>
            </w:r>
          </w:p>
        </w:tc>
      </w:tr>
      <w:tr w:rsidRPr="00AE1B2B" w:rsidR="00AE1B2B" w:rsidTr="009D3FB5" w14:paraId="326092C7" w14:textId="77777777">
        <w:trPr>
          <w:trHeight w:val="20"/>
        </w:trPr>
        <w:tc>
          <w:tcPr>
            <w:tcW w:w="797" w:type="pct"/>
            <w:vMerge/>
            <w:tcBorders>
              <w:top w:val="single" w:color="auto" w:sz="4" w:space="0"/>
              <w:left w:val="single" w:color="auto" w:sz="4" w:space="0"/>
              <w:bottom w:val="single" w:color="000000" w:sz="4" w:space="0"/>
              <w:right w:val="single" w:color="auto" w:sz="4" w:space="0"/>
            </w:tcBorders>
            <w:vAlign w:val="center"/>
            <w:hideMark/>
          </w:tcPr>
          <w:p w:rsidRPr="00AE1B2B" w:rsidR="009D3FB5" w:rsidP="00163B94" w:rsidRDefault="009D3FB5" w14:paraId="33880B3B"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05239B12"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000000" w:sz="4" w:space="0"/>
            </w:tcBorders>
            <w:shd w:val="clear" w:color="auto" w:fill="auto"/>
            <w:vAlign w:val="center"/>
            <w:hideMark/>
          </w:tcPr>
          <w:p w:rsidRPr="00AE1B2B" w:rsidR="009D3FB5" w:rsidP="00163B94" w:rsidRDefault="009D3FB5" w14:paraId="4200C3B3"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56.Juzgado Contravencional Tarrazú, Dota y León Cortés</w:t>
            </w:r>
          </w:p>
        </w:tc>
      </w:tr>
      <w:tr w:rsidRPr="00AE1B2B" w:rsidR="00AE1B2B" w:rsidTr="009D3FB5" w14:paraId="77F5B35E" w14:textId="77777777">
        <w:trPr>
          <w:trHeight w:val="20"/>
        </w:trPr>
        <w:tc>
          <w:tcPr>
            <w:tcW w:w="797" w:type="pct"/>
            <w:vMerge/>
            <w:tcBorders>
              <w:top w:val="single" w:color="auto" w:sz="4" w:space="0"/>
              <w:left w:val="single" w:color="auto" w:sz="4" w:space="0"/>
              <w:bottom w:val="single" w:color="000000" w:sz="4" w:space="0"/>
              <w:right w:val="single" w:color="auto" w:sz="4" w:space="0"/>
            </w:tcBorders>
            <w:vAlign w:val="center"/>
            <w:hideMark/>
          </w:tcPr>
          <w:p w:rsidRPr="00AE1B2B" w:rsidR="009D3FB5" w:rsidP="00163B94" w:rsidRDefault="009D3FB5" w14:paraId="3DEBB396"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16554C6C"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61619749"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57.Juzgado Contravencional Paraíso</w:t>
            </w:r>
          </w:p>
        </w:tc>
      </w:tr>
      <w:tr w:rsidRPr="00AE1B2B" w:rsidR="00AE1B2B" w:rsidTr="009D3FB5" w14:paraId="24AC0EB4" w14:textId="77777777">
        <w:trPr>
          <w:trHeight w:val="20"/>
        </w:trPr>
        <w:tc>
          <w:tcPr>
            <w:tcW w:w="797" w:type="pct"/>
            <w:vMerge/>
            <w:tcBorders>
              <w:top w:val="single" w:color="auto" w:sz="4" w:space="0"/>
              <w:left w:val="single" w:color="auto" w:sz="4" w:space="0"/>
              <w:bottom w:val="single" w:color="000000" w:sz="4" w:space="0"/>
              <w:right w:val="single" w:color="auto" w:sz="4" w:space="0"/>
            </w:tcBorders>
            <w:vAlign w:val="center"/>
            <w:hideMark/>
          </w:tcPr>
          <w:p w:rsidRPr="00AE1B2B" w:rsidR="009D3FB5" w:rsidP="00163B94" w:rsidRDefault="009D3FB5" w14:paraId="27EF13E9"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19DBA7BD"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1ABECC30"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58.Juzgado Contravencional Alvarado</w:t>
            </w:r>
          </w:p>
        </w:tc>
      </w:tr>
      <w:tr w:rsidRPr="00AE1B2B" w:rsidR="00AE1B2B" w:rsidTr="009D3FB5" w14:paraId="0AFCDF82" w14:textId="77777777">
        <w:trPr>
          <w:trHeight w:val="20"/>
        </w:trPr>
        <w:tc>
          <w:tcPr>
            <w:tcW w:w="797" w:type="pct"/>
            <w:vMerge/>
            <w:tcBorders>
              <w:top w:val="single" w:color="auto" w:sz="4" w:space="0"/>
              <w:left w:val="single" w:color="auto" w:sz="4" w:space="0"/>
              <w:bottom w:val="single" w:color="000000" w:sz="4" w:space="0"/>
              <w:right w:val="single" w:color="auto" w:sz="4" w:space="0"/>
            </w:tcBorders>
            <w:vAlign w:val="center"/>
            <w:hideMark/>
          </w:tcPr>
          <w:p w:rsidRPr="00AE1B2B" w:rsidR="009D3FB5" w:rsidP="00163B94" w:rsidRDefault="009D3FB5" w14:paraId="77BCCAE1"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20C0227C"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05F7B58F"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59.Juzgado Contravencional Jiménez</w:t>
            </w:r>
          </w:p>
        </w:tc>
      </w:tr>
      <w:tr w:rsidRPr="00AE1B2B" w:rsidR="00AE1B2B" w:rsidTr="009D3FB5" w14:paraId="4B464E6F" w14:textId="77777777">
        <w:trPr>
          <w:trHeight w:val="20"/>
        </w:trPr>
        <w:tc>
          <w:tcPr>
            <w:tcW w:w="797" w:type="pct"/>
            <w:vMerge w:val="restart"/>
            <w:tcBorders>
              <w:top w:val="nil"/>
              <w:left w:val="single" w:color="auto" w:sz="4" w:space="0"/>
              <w:bottom w:val="single" w:color="000000" w:sz="4" w:space="0"/>
              <w:right w:val="single" w:color="auto" w:sz="4" w:space="0"/>
            </w:tcBorders>
            <w:shd w:val="clear" w:color="000000" w:fill="D9E1F2"/>
            <w:vAlign w:val="center"/>
            <w:hideMark/>
          </w:tcPr>
          <w:p w:rsidRPr="00AE1B2B" w:rsidR="009D3FB5" w:rsidP="00163B94" w:rsidRDefault="009D3FB5" w14:paraId="22172651" w14:textId="77777777">
            <w:pPr>
              <w:spacing w:before="120" w:after="120" w:line="276" w:lineRule="auto"/>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Circuito Judicial de Heredia</w:t>
            </w:r>
          </w:p>
        </w:tc>
        <w:tc>
          <w:tcPr>
            <w:tcW w:w="1387"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6D25ABB8"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60.Juzgado Familia Heredia</w:t>
            </w:r>
          </w:p>
        </w:tc>
        <w:tc>
          <w:tcPr>
            <w:tcW w:w="1388"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593997D2"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61.Juzgado Violencia Doméstica Heredia</w:t>
            </w:r>
          </w:p>
        </w:tc>
        <w:tc>
          <w:tcPr>
            <w:tcW w:w="1428"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11823560"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62.Juzgado Pensiones Alimentarias Heredia</w:t>
            </w:r>
          </w:p>
        </w:tc>
      </w:tr>
      <w:tr w:rsidRPr="00AE1B2B" w:rsidR="00AE1B2B" w:rsidTr="009D3FB5" w14:paraId="5562B843"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633BD8C1" w14:textId="77777777">
            <w:pPr>
              <w:spacing w:before="120" w:after="120" w:line="276" w:lineRule="auto"/>
              <w:rPr>
                <w:rFonts w:ascii="Times New Roman" w:hAnsi="Times New Roman" w:eastAsia="Times New Roman" w:cs="Times New Roman"/>
                <w:b/>
                <w:bCs/>
                <w:sz w:val="24"/>
                <w:szCs w:val="24"/>
                <w:lang w:eastAsia="es-CR"/>
              </w:rPr>
            </w:pPr>
          </w:p>
        </w:tc>
        <w:tc>
          <w:tcPr>
            <w:tcW w:w="2775" w:type="pct"/>
            <w:gridSpan w:val="2"/>
            <w:tcBorders>
              <w:top w:val="single" w:color="auto" w:sz="4" w:space="0"/>
              <w:left w:val="nil"/>
              <w:bottom w:val="single" w:color="auto" w:sz="4" w:space="0"/>
              <w:right w:val="single" w:color="000000" w:sz="4" w:space="0"/>
            </w:tcBorders>
            <w:shd w:val="clear" w:color="000000" w:fill="D9E1F2"/>
            <w:vAlign w:val="center"/>
            <w:hideMark/>
          </w:tcPr>
          <w:p w:rsidRPr="00AE1B2B" w:rsidR="009D3FB5" w:rsidP="00163B94" w:rsidRDefault="009D3FB5" w14:paraId="09F75B8D"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63.Juzgado Civil, Trabajo, Familia, Penal Juvenil y Violencia Doméstica Sarapiquí</w:t>
            </w:r>
          </w:p>
        </w:tc>
        <w:tc>
          <w:tcPr>
            <w:tcW w:w="1428"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717FF83A"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64.Juzgado Pensiones Alimentarias Sarapiquí</w:t>
            </w:r>
          </w:p>
        </w:tc>
      </w:tr>
      <w:tr w:rsidRPr="00AE1B2B" w:rsidR="00AE1B2B" w:rsidTr="009D3FB5" w14:paraId="1016D216"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4743D175"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tcPr>
          <w:p w:rsidRPr="00AE1B2B" w:rsidR="009D3FB5" w:rsidP="00163B94" w:rsidRDefault="009D3FB5" w14:paraId="0FC75DA8"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000000" w:fill="D9E1F2"/>
            <w:vAlign w:val="center"/>
            <w:hideMark/>
          </w:tcPr>
          <w:p w:rsidRPr="00AE1B2B" w:rsidR="009D3FB5" w:rsidP="00163B94" w:rsidRDefault="009D3FB5" w14:paraId="6E60BBF0"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65.Juzgado Pensiones y Violencia Doméstica San Joaquín de Flores (PISAV)</w:t>
            </w:r>
          </w:p>
        </w:tc>
      </w:tr>
      <w:tr w:rsidRPr="00AE1B2B" w:rsidR="00AE1B2B" w:rsidTr="009D3FB5" w14:paraId="53F4A56A"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56865F0C"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tcPr>
          <w:p w:rsidRPr="00AE1B2B" w:rsidR="009D3FB5" w:rsidP="00163B94" w:rsidRDefault="009D3FB5" w14:paraId="7BF92D04"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000000" w:sz="4" w:space="0"/>
            </w:tcBorders>
            <w:shd w:val="clear" w:color="000000" w:fill="D9E1F2"/>
            <w:vAlign w:val="center"/>
            <w:hideMark/>
          </w:tcPr>
          <w:p w:rsidRPr="00AE1B2B" w:rsidR="009D3FB5" w:rsidP="00163B94" w:rsidRDefault="009D3FB5" w14:paraId="2140F49B"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66.Juzgado Contravencional Sto. Domingo</w:t>
            </w:r>
          </w:p>
        </w:tc>
      </w:tr>
      <w:tr w:rsidRPr="00AE1B2B" w:rsidR="00AE1B2B" w:rsidTr="009D3FB5" w14:paraId="4FE67D58"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6B7ABBCE"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tcPr>
          <w:p w:rsidRPr="00AE1B2B" w:rsidR="009D3FB5" w:rsidP="00163B94" w:rsidRDefault="009D3FB5" w14:paraId="5E83C80B"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000000" w:sz="4" w:space="0"/>
            </w:tcBorders>
            <w:shd w:val="clear" w:color="000000" w:fill="D9E1F2"/>
            <w:vAlign w:val="center"/>
            <w:hideMark/>
          </w:tcPr>
          <w:p w:rsidRPr="00AE1B2B" w:rsidR="009D3FB5" w:rsidP="00163B94" w:rsidRDefault="009D3FB5" w14:paraId="009E31BB"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67.Juzgado Contravencional San Rafael</w:t>
            </w:r>
          </w:p>
        </w:tc>
      </w:tr>
      <w:tr w:rsidRPr="00AE1B2B" w:rsidR="00AE1B2B" w:rsidTr="009D3FB5" w14:paraId="3B4BC70B"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58636B77"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tcPr>
          <w:p w:rsidRPr="00AE1B2B" w:rsidR="009D3FB5" w:rsidP="00163B94" w:rsidRDefault="009D3FB5" w14:paraId="791E9902"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000000" w:sz="4" w:space="0"/>
            </w:tcBorders>
            <w:shd w:val="clear" w:color="000000" w:fill="D9E1F2"/>
            <w:vAlign w:val="center"/>
            <w:hideMark/>
          </w:tcPr>
          <w:p w:rsidRPr="00AE1B2B" w:rsidR="009D3FB5" w:rsidP="00163B94" w:rsidRDefault="009D3FB5" w14:paraId="25E0C755"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68.Juzgado Contravencional San Isidro</w:t>
            </w:r>
          </w:p>
        </w:tc>
      </w:tr>
      <w:tr w:rsidRPr="00AE1B2B" w:rsidR="00AE1B2B" w:rsidTr="009D3FB5" w14:paraId="2C6D1E8E" w14:textId="77777777">
        <w:trPr>
          <w:trHeight w:val="20"/>
        </w:trPr>
        <w:tc>
          <w:tcPr>
            <w:tcW w:w="797" w:type="pct"/>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651FCF8E" w14:textId="77777777">
            <w:pPr>
              <w:spacing w:before="120" w:after="120" w:line="276" w:lineRule="auto"/>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I Circuito Judicial de Guanacaste</w:t>
            </w:r>
          </w:p>
        </w:tc>
        <w:tc>
          <w:tcPr>
            <w:tcW w:w="2775" w:type="pct"/>
            <w:gridSpan w:val="2"/>
            <w:tcBorders>
              <w:top w:val="single" w:color="auto" w:sz="4" w:space="0"/>
              <w:left w:val="nil"/>
              <w:bottom w:val="single" w:color="auto" w:sz="4" w:space="0"/>
              <w:right w:val="single" w:color="000000" w:sz="4" w:space="0"/>
            </w:tcBorders>
            <w:shd w:val="clear" w:color="auto" w:fill="auto"/>
            <w:vAlign w:val="center"/>
            <w:hideMark/>
          </w:tcPr>
          <w:p w:rsidRPr="00AE1B2B" w:rsidR="009D3FB5" w:rsidP="00163B94" w:rsidRDefault="009D3FB5" w14:paraId="106A5D45"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69.Juzgado de Familia y Viol. Dom. I Circ. Jud. Guanacaste (Liberia)</w:t>
            </w:r>
          </w:p>
        </w:tc>
        <w:tc>
          <w:tcPr>
            <w:tcW w:w="14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B88DC02"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70.Juzgado Contravencional y Pensiones Alimentarias I Circ. Jud. Guanacaste (Liberia)</w:t>
            </w:r>
          </w:p>
        </w:tc>
      </w:tr>
      <w:tr w:rsidRPr="00AE1B2B" w:rsidR="00AE1B2B" w:rsidTr="009D3FB5" w14:paraId="1F0248FD"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713A01A7" w14:textId="77777777">
            <w:pPr>
              <w:spacing w:before="120" w:after="120" w:line="276" w:lineRule="auto"/>
              <w:rPr>
                <w:rFonts w:ascii="Times New Roman" w:hAnsi="Times New Roman" w:eastAsia="Times New Roman" w:cs="Times New Roman"/>
                <w:b/>
                <w:bCs/>
                <w:sz w:val="24"/>
                <w:szCs w:val="24"/>
                <w:lang w:eastAsia="es-CR"/>
              </w:rPr>
            </w:pPr>
          </w:p>
        </w:tc>
        <w:tc>
          <w:tcPr>
            <w:tcW w:w="2775" w:type="pct"/>
            <w:gridSpan w:val="2"/>
            <w:tcBorders>
              <w:top w:val="single" w:color="auto" w:sz="4" w:space="0"/>
              <w:left w:val="nil"/>
              <w:bottom w:val="single" w:color="auto" w:sz="4" w:space="0"/>
              <w:right w:val="single" w:color="000000" w:sz="4" w:space="0"/>
            </w:tcBorders>
            <w:shd w:val="clear" w:color="auto" w:fill="auto"/>
            <w:vAlign w:val="center"/>
            <w:hideMark/>
          </w:tcPr>
          <w:p w:rsidRPr="00AE1B2B" w:rsidR="009D3FB5" w:rsidP="00163B94" w:rsidRDefault="009D3FB5" w14:paraId="595E5C3A"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72.Juzgado Fam. Penal Juv. y Viol. Domést. Cañas</w:t>
            </w:r>
          </w:p>
        </w:tc>
        <w:tc>
          <w:tcPr>
            <w:tcW w:w="14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40500F4"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72.Juzgado Contravencional Cañas</w:t>
            </w:r>
          </w:p>
        </w:tc>
      </w:tr>
      <w:tr w:rsidRPr="00AE1B2B" w:rsidR="00AE1B2B" w:rsidTr="009D3FB5" w14:paraId="6C2CAC2C"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35B6DC2A"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3291152"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198A5D5E"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73.Juzgado Contravencional Bagaces</w:t>
            </w:r>
          </w:p>
        </w:tc>
      </w:tr>
      <w:tr w:rsidRPr="00AE1B2B" w:rsidR="00AE1B2B" w:rsidTr="009D3FB5" w14:paraId="463BAE0A"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08D609B3"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63ED94B"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0422CDBE"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74.Juzgado Contravencional de La Cruz</w:t>
            </w:r>
          </w:p>
        </w:tc>
      </w:tr>
      <w:tr w:rsidRPr="00AE1B2B" w:rsidR="00AE1B2B" w:rsidTr="009D3FB5" w14:paraId="5A3FB422"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7A90A26D"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9B425E9"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2F1F2E4B"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75.Juzgado Contravencional de Tilarán</w:t>
            </w:r>
          </w:p>
        </w:tc>
      </w:tr>
      <w:tr w:rsidRPr="00AE1B2B" w:rsidR="00AE1B2B" w:rsidTr="009D3FB5" w14:paraId="187671C9"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58EE61BA"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C28138E"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38831982"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76.Juzgado Contravencional Abangares</w:t>
            </w:r>
          </w:p>
        </w:tc>
      </w:tr>
      <w:tr w:rsidRPr="00AE1B2B" w:rsidR="00AE1B2B" w:rsidTr="009D3FB5" w14:paraId="4B046495" w14:textId="77777777">
        <w:trPr>
          <w:trHeight w:val="20"/>
        </w:trPr>
        <w:tc>
          <w:tcPr>
            <w:tcW w:w="797" w:type="pct"/>
            <w:vMerge w:val="restart"/>
            <w:tcBorders>
              <w:top w:val="nil"/>
              <w:left w:val="single" w:color="auto" w:sz="4" w:space="0"/>
              <w:bottom w:val="single" w:color="000000" w:sz="4" w:space="0"/>
              <w:right w:val="single" w:color="auto" w:sz="4" w:space="0"/>
            </w:tcBorders>
            <w:shd w:val="clear" w:color="000000" w:fill="D9E1F2"/>
            <w:vAlign w:val="center"/>
            <w:hideMark/>
          </w:tcPr>
          <w:p w:rsidRPr="00AE1B2B" w:rsidR="009D3FB5" w:rsidP="00163B94" w:rsidRDefault="009D3FB5" w14:paraId="12F7F288" w14:textId="77777777">
            <w:pPr>
              <w:spacing w:before="120" w:after="120" w:line="276" w:lineRule="auto"/>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II Circuito Judicial de Guanacaste</w:t>
            </w:r>
          </w:p>
        </w:tc>
        <w:tc>
          <w:tcPr>
            <w:tcW w:w="2775" w:type="pct"/>
            <w:gridSpan w:val="2"/>
            <w:tcBorders>
              <w:top w:val="single" w:color="auto" w:sz="4" w:space="0"/>
              <w:left w:val="nil"/>
              <w:bottom w:val="single" w:color="auto" w:sz="4" w:space="0"/>
              <w:right w:val="single" w:color="000000" w:sz="4" w:space="0"/>
            </w:tcBorders>
            <w:shd w:val="clear" w:color="000000" w:fill="D9E1F2"/>
            <w:vAlign w:val="center"/>
            <w:hideMark/>
          </w:tcPr>
          <w:p w:rsidRPr="00AE1B2B" w:rsidR="009D3FB5" w:rsidP="00163B94" w:rsidRDefault="009D3FB5" w14:paraId="4D1FFBF6"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77.Juzgado Familia y Violencia Doméstica II Circ. Jud. Guanacaste (Nicoya)</w:t>
            </w:r>
          </w:p>
        </w:tc>
        <w:tc>
          <w:tcPr>
            <w:tcW w:w="1428"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5F11DAD1"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78.Juzgado Pens. Alimen. II Circ. Jud. Guanacaste (Nicoya)</w:t>
            </w:r>
          </w:p>
        </w:tc>
      </w:tr>
      <w:tr w:rsidRPr="00AE1B2B" w:rsidR="00AE1B2B" w:rsidTr="009D3FB5" w14:paraId="764B5D4B"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02938E1C" w14:textId="77777777">
            <w:pPr>
              <w:spacing w:before="120" w:after="120" w:line="276" w:lineRule="auto"/>
              <w:rPr>
                <w:rFonts w:ascii="Times New Roman" w:hAnsi="Times New Roman" w:eastAsia="Times New Roman" w:cs="Times New Roman"/>
                <w:b/>
                <w:bCs/>
                <w:sz w:val="24"/>
                <w:szCs w:val="24"/>
                <w:lang w:eastAsia="es-CR"/>
              </w:rPr>
            </w:pPr>
          </w:p>
        </w:tc>
        <w:tc>
          <w:tcPr>
            <w:tcW w:w="2775" w:type="pct"/>
            <w:gridSpan w:val="2"/>
            <w:tcBorders>
              <w:top w:val="single" w:color="auto" w:sz="4" w:space="0"/>
              <w:left w:val="nil"/>
              <w:bottom w:val="single" w:color="auto" w:sz="4" w:space="0"/>
              <w:right w:val="single" w:color="000000" w:sz="4" w:space="0"/>
            </w:tcBorders>
            <w:shd w:val="clear" w:color="000000" w:fill="D9E1F2"/>
            <w:vAlign w:val="center"/>
            <w:hideMark/>
          </w:tcPr>
          <w:p w:rsidRPr="00AE1B2B" w:rsidR="009D3FB5" w:rsidP="00163B94" w:rsidRDefault="009D3FB5" w14:paraId="71BF83D0"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79.Juzgado de Familia y Violencia Doméstica Santa Cruz</w:t>
            </w:r>
          </w:p>
        </w:tc>
        <w:tc>
          <w:tcPr>
            <w:tcW w:w="1428"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5B30B2E2"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80.Juzgado Contravencional y Pensiones Alimentarias Santa Cruz</w:t>
            </w:r>
          </w:p>
        </w:tc>
      </w:tr>
      <w:tr w:rsidRPr="00AE1B2B" w:rsidR="00AE1B2B" w:rsidTr="009D3FB5" w14:paraId="3BF312B9"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4446F43E"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7114BADF"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000000" w:fill="D9E1F2"/>
            <w:vAlign w:val="center"/>
            <w:hideMark/>
          </w:tcPr>
          <w:p w:rsidRPr="00AE1B2B" w:rsidR="009D3FB5" w:rsidP="00163B94" w:rsidRDefault="009D3FB5" w14:paraId="435200BC"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81.Juzgado Contravencional Nandayure</w:t>
            </w:r>
          </w:p>
        </w:tc>
      </w:tr>
      <w:tr w:rsidRPr="00AE1B2B" w:rsidR="00AE1B2B" w:rsidTr="009D3FB5" w14:paraId="50A49C35"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772228A8"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747EB2FC"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000000" w:fill="D9E1F2"/>
            <w:vAlign w:val="center"/>
            <w:hideMark/>
          </w:tcPr>
          <w:p w:rsidRPr="00AE1B2B" w:rsidR="009D3FB5" w:rsidP="00163B94" w:rsidRDefault="009D3FB5" w14:paraId="3BA5546D"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82.Juzgado Contravencional Carrillo</w:t>
            </w:r>
          </w:p>
        </w:tc>
      </w:tr>
      <w:tr w:rsidRPr="00AE1B2B" w:rsidR="00AE1B2B" w:rsidTr="009D3FB5" w14:paraId="5A3810BF"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56098973"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46EAE5B5"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000000" w:fill="D9E1F2"/>
            <w:vAlign w:val="center"/>
            <w:hideMark/>
          </w:tcPr>
          <w:p w:rsidRPr="00AE1B2B" w:rsidR="009D3FB5" w:rsidP="00163B94" w:rsidRDefault="009D3FB5" w14:paraId="3C7B1DEE"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83.Juzgado Contravencional Hojancha</w:t>
            </w:r>
          </w:p>
        </w:tc>
      </w:tr>
      <w:tr w:rsidRPr="00AE1B2B" w:rsidR="00AE1B2B" w:rsidTr="009D3FB5" w14:paraId="0E77D88A"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33E74EB2"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4BC2DE4D"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000000" w:fill="D9E1F2"/>
            <w:vAlign w:val="center"/>
            <w:hideMark/>
          </w:tcPr>
          <w:p w:rsidRPr="00AE1B2B" w:rsidR="009D3FB5" w:rsidP="00163B94" w:rsidRDefault="009D3FB5" w14:paraId="0DD70F6F"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84.Juzgado Contravencional Jicaral</w:t>
            </w:r>
          </w:p>
        </w:tc>
      </w:tr>
      <w:tr w:rsidRPr="00AE1B2B" w:rsidR="00AE1B2B" w:rsidTr="009D3FB5" w14:paraId="25F04925" w14:textId="77777777">
        <w:trPr>
          <w:trHeight w:val="20"/>
        </w:trPr>
        <w:tc>
          <w:tcPr>
            <w:tcW w:w="797" w:type="pct"/>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26BAD6FD" w14:textId="77777777">
            <w:pPr>
              <w:spacing w:before="120" w:after="120" w:line="276" w:lineRule="auto"/>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Circuito Judicial de Puntarenas</w:t>
            </w: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8D66BDE"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85.Juzgado Familia Puntarenas</w:t>
            </w:r>
          </w:p>
        </w:tc>
        <w:tc>
          <w:tcPr>
            <w:tcW w:w="138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4F51A30"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86.Juzgado Violencia Doméstica Puntarenas</w:t>
            </w:r>
          </w:p>
        </w:tc>
        <w:tc>
          <w:tcPr>
            <w:tcW w:w="14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9FA648D"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87.Juzgado Pensiones Alimentarias Puntarenas</w:t>
            </w:r>
          </w:p>
        </w:tc>
      </w:tr>
      <w:tr w:rsidRPr="00AE1B2B" w:rsidR="00AE1B2B" w:rsidTr="009D3FB5" w14:paraId="27B1D49D"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0E32D4B4" w14:textId="77777777">
            <w:pPr>
              <w:spacing w:before="120" w:after="120" w:line="276" w:lineRule="auto"/>
              <w:rPr>
                <w:rFonts w:ascii="Times New Roman" w:hAnsi="Times New Roman" w:eastAsia="Times New Roman" w:cs="Times New Roman"/>
                <w:b/>
                <w:bCs/>
                <w:sz w:val="24"/>
                <w:szCs w:val="24"/>
                <w:lang w:eastAsia="es-CR"/>
              </w:rPr>
            </w:pPr>
          </w:p>
        </w:tc>
        <w:tc>
          <w:tcPr>
            <w:tcW w:w="2775" w:type="pct"/>
            <w:gridSpan w:val="2"/>
            <w:tcBorders>
              <w:top w:val="single" w:color="auto" w:sz="4" w:space="0"/>
              <w:left w:val="nil"/>
              <w:bottom w:val="single" w:color="auto" w:sz="4" w:space="0"/>
              <w:right w:val="single" w:color="000000" w:sz="4" w:space="0"/>
            </w:tcBorders>
            <w:shd w:val="clear" w:color="auto" w:fill="auto"/>
            <w:vAlign w:val="center"/>
            <w:hideMark/>
          </w:tcPr>
          <w:p w:rsidRPr="00AE1B2B" w:rsidR="009D3FB5" w:rsidP="00163B94" w:rsidRDefault="009D3FB5" w14:paraId="4F16C313"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88.Juzgado de Familia, Penal Juvenil y Violencia Doméstica de Quepos</w:t>
            </w:r>
          </w:p>
        </w:tc>
        <w:tc>
          <w:tcPr>
            <w:tcW w:w="14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74686E5"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89.Juzgado Contravencional Quepos</w:t>
            </w:r>
          </w:p>
        </w:tc>
      </w:tr>
      <w:tr w:rsidRPr="00AE1B2B" w:rsidR="00AE1B2B" w:rsidTr="009D3FB5" w14:paraId="74CCD346"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6C364135"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870749A"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0D363CF2"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90.Juzgado Contravencional Parrita</w:t>
            </w:r>
          </w:p>
        </w:tc>
      </w:tr>
      <w:tr w:rsidRPr="00AE1B2B" w:rsidR="00AE1B2B" w:rsidTr="009D3FB5" w14:paraId="365F1D38"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70D20995"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4C67B5C"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0D77575C"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91.Juzgado Contravencional Esparza</w:t>
            </w:r>
          </w:p>
        </w:tc>
      </w:tr>
      <w:tr w:rsidRPr="00AE1B2B" w:rsidR="00AE1B2B" w:rsidTr="009D3FB5" w14:paraId="1CF016AC"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79F0BB0B"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3447CB3"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1570A17E"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92.Juzgado Contravencional Montes de Oro</w:t>
            </w:r>
          </w:p>
        </w:tc>
      </w:tr>
      <w:tr w:rsidRPr="00AE1B2B" w:rsidR="00AE1B2B" w:rsidTr="009D3FB5" w14:paraId="46BC97B8"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41A28B4B"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3C688AD"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427612D0"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93.Juzgado Contravencional Garabito</w:t>
            </w:r>
          </w:p>
        </w:tc>
      </w:tr>
      <w:tr w:rsidRPr="00AE1B2B" w:rsidR="00AE1B2B" w:rsidTr="009D3FB5" w14:paraId="661534BF"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4C1545BC"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721199B"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7BE0471E"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94.Juzgado Contravencional Cóbano</w:t>
            </w:r>
          </w:p>
        </w:tc>
      </w:tr>
      <w:tr w:rsidRPr="00AE1B2B" w:rsidR="00AE1B2B" w:rsidTr="009D3FB5" w14:paraId="6E4F202A"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56955E20"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B48CA31"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72818819"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95.Juzgado Contravencional Monteverde</w:t>
            </w:r>
          </w:p>
        </w:tc>
      </w:tr>
      <w:tr w:rsidRPr="00AE1B2B" w:rsidR="00AE1B2B" w:rsidTr="009D3FB5" w14:paraId="6DBAD591" w14:textId="77777777">
        <w:trPr>
          <w:trHeight w:val="20"/>
        </w:trPr>
        <w:tc>
          <w:tcPr>
            <w:tcW w:w="797" w:type="pct"/>
            <w:vMerge w:val="restart"/>
            <w:tcBorders>
              <w:top w:val="nil"/>
              <w:left w:val="single" w:color="auto" w:sz="4" w:space="0"/>
              <w:bottom w:val="single" w:color="000000" w:sz="4" w:space="0"/>
              <w:right w:val="single" w:color="auto" w:sz="4" w:space="0"/>
            </w:tcBorders>
            <w:shd w:val="clear" w:color="000000" w:fill="D9E1F2"/>
            <w:vAlign w:val="center"/>
            <w:hideMark/>
          </w:tcPr>
          <w:p w:rsidRPr="00AE1B2B" w:rsidR="009D3FB5" w:rsidP="00163B94" w:rsidRDefault="009D3FB5" w14:paraId="6C91D97A" w14:textId="77777777">
            <w:pPr>
              <w:spacing w:before="120" w:after="120" w:line="276" w:lineRule="auto"/>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I Circuito Judicial de Zona Sur</w:t>
            </w:r>
          </w:p>
        </w:tc>
        <w:tc>
          <w:tcPr>
            <w:tcW w:w="1387"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3250FEA7"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96.Juzgado Familia del I Circ. Jud. Zona Sur (Pérez Zeledón)</w:t>
            </w:r>
          </w:p>
        </w:tc>
        <w:tc>
          <w:tcPr>
            <w:tcW w:w="1388"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684624B5"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 xml:space="preserve">97.Juzgado Violencia Doméstica I Circ. Jud. Zona Sur (Pérez Zeledón) </w:t>
            </w:r>
          </w:p>
        </w:tc>
        <w:tc>
          <w:tcPr>
            <w:tcW w:w="1428"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65FB1E00"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98.Juzgado Pensiones Alimentarias I Circ. Jud. Zona Sur (Pérez Zeledón)</w:t>
            </w:r>
          </w:p>
        </w:tc>
      </w:tr>
      <w:tr w:rsidRPr="00AE1B2B" w:rsidR="00AE1B2B" w:rsidTr="009D3FB5" w14:paraId="698E673B"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33A00746" w14:textId="77777777">
            <w:pPr>
              <w:spacing w:before="120" w:after="120" w:line="276" w:lineRule="auto"/>
              <w:rPr>
                <w:rFonts w:ascii="Times New Roman" w:hAnsi="Times New Roman" w:eastAsia="Times New Roman" w:cs="Times New Roman"/>
                <w:b/>
                <w:bCs/>
                <w:sz w:val="24"/>
                <w:szCs w:val="24"/>
                <w:lang w:eastAsia="es-CR"/>
              </w:rPr>
            </w:pPr>
          </w:p>
        </w:tc>
        <w:tc>
          <w:tcPr>
            <w:tcW w:w="2775" w:type="pct"/>
            <w:gridSpan w:val="2"/>
            <w:tcBorders>
              <w:top w:val="single" w:color="auto" w:sz="4" w:space="0"/>
              <w:left w:val="nil"/>
              <w:bottom w:val="single" w:color="auto" w:sz="4" w:space="0"/>
              <w:right w:val="single" w:color="000000" w:sz="4" w:space="0"/>
            </w:tcBorders>
            <w:shd w:val="clear" w:color="000000" w:fill="D9E1F2"/>
            <w:vAlign w:val="center"/>
            <w:hideMark/>
          </w:tcPr>
          <w:p w:rsidRPr="00AE1B2B" w:rsidR="009D3FB5" w:rsidP="00163B94" w:rsidRDefault="009D3FB5" w14:paraId="1D43DBFA"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99.Juzgado Civil, Trabajo y Familia Buenos Aires</w:t>
            </w:r>
          </w:p>
        </w:tc>
        <w:tc>
          <w:tcPr>
            <w:tcW w:w="1428"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4F5ACD9A"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100.Juzgado Contravencional Buenos Aires</w:t>
            </w:r>
          </w:p>
        </w:tc>
      </w:tr>
      <w:tr w:rsidRPr="00AE1B2B" w:rsidR="00AE1B2B" w:rsidTr="009D3FB5" w14:paraId="56562402" w14:textId="77777777">
        <w:trPr>
          <w:trHeight w:val="20"/>
        </w:trPr>
        <w:tc>
          <w:tcPr>
            <w:tcW w:w="797" w:type="pct"/>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171B3DEB" w14:textId="77777777">
            <w:pPr>
              <w:spacing w:before="120" w:after="120" w:line="276" w:lineRule="auto"/>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II Circuito Judicial de Zona Sur</w:t>
            </w:r>
          </w:p>
        </w:tc>
        <w:tc>
          <w:tcPr>
            <w:tcW w:w="2775" w:type="pct"/>
            <w:gridSpan w:val="2"/>
            <w:tcBorders>
              <w:top w:val="single" w:color="auto" w:sz="4" w:space="0"/>
              <w:left w:val="nil"/>
              <w:bottom w:val="single" w:color="auto" w:sz="4" w:space="0"/>
              <w:right w:val="single" w:color="000000" w:sz="4" w:space="0"/>
            </w:tcBorders>
            <w:shd w:val="clear" w:color="auto" w:fill="auto"/>
            <w:vAlign w:val="center"/>
            <w:hideMark/>
          </w:tcPr>
          <w:p w:rsidRPr="00AE1B2B" w:rsidR="009D3FB5" w:rsidP="00163B94" w:rsidRDefault="009D3FB5" w14:paraId="0B23210A"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101.Juzgado Familia y Violencia Doméstica II Circ. Jud. Zona Sur (Corredores)</w:t>
            </w:r>
          </w:p>
        </w:tc>
        <w:tc>
          <w:tcPr>
            <w:tcW w:w="14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DB726BE"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102.Juzgado Contravencional II Circ. Jud. Zona Sur (Corredores)</w:t>
            </w:r>
          </w:p>
        </w:tc>
      </w:tr>
      <w:tr w:rsidRPr="00AE1B2B" w:rsidR="00AE1B2B" w:rsidTr="009D3FB5" w14:paraId="1C6163A0"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41B04A87" w14:textId="77777777">
            <w:pPr>
              <w:spacing w:before="120" w:after="120" w:line="276" w:lineRule="auto"/>
              <w:rPr>
                <w:rFonts w:ascii="Times New Roman" w:hAnsi="Times New Roman" w:eastAsia="Times New Roman" w:cs="Times New Roman"/>
                <w:b/>
                <w:bCs/>
                <w:sz w:val="24"/>
                <w:szCs w:val="24"/>
                <w:lang w:eastAsia="es-CR"/>
              </w:rPr>
            </w:pPr>
          </w:p>
        </w:tc>
        <w:tc>
          <w:tcPr>
            <w:tcW w:w="2775" w:type="pct"/>
            <w:gridSpan w:val="2"/>
            <w:tcBorders>
              <w:top w:val="single" w:color="auto" w:sz="4" w:space="0"/>
              <w:left w:val="nil"/>
              <w:bottom w:val="single" w:color="auto" w:sz="4" w:space="0"/>
              <w:right w:val="single" w:color="000000" w:sz="4" w:space="0"/>
            </w:tcBorders>
            <w:shd w:val="clear" w:color="auto" w:fill="auto"/>
            <w:vAlign w:val="center"/>
            <w:hideMark/>
          </w:tcPr>
          <w:p w:rsidRPr="00AE1B2B" w:rsidR="009D3FB5" w:rsidP="00163B94" w:rsidRDefault="009D3FB5" w14:paraId="2327E2CE"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103.Juzgado de Familia y Violencia Doméstica de Golfito</w:t>
            </w:r>
          </w:p>
        </w:tc>
        <w:tc>
          <w:tcPr>
            <w:tcW w:w="14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C34B06F"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104.Juzgado de Cobro y Contravencional Golfito</w:t>
            </w:r>
          </w:p>
        </w:tc>
      </w:tr>
      <w:tr w:rsidRPr="00AE1B2B" w:rsidR="00AE1B2B" w:rsidTr="009D3FB5" w14:paraId="15029B13"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5F37A7AC" w14:textId="77777777">
            <w:pPr>
              <w:spacing w:before="120" w:after="120" w:line="276" w:lineRule="auto"/>
              <w:rPr>
                <w:rFonts w:ascii="Times New Roman" w:hAnsi="Times New Roman" w:eastAsia="Times New Roman" w:cs="Times New Roman"/>
                <w:b/>
                <w:bCs/>
                <w:sz w:val="24"/>
                <w:szCs w:val="24"/>
                <w:lang w:eastAsia="es-CR"/>
              </w:rPr>
            </w:pPr>
          </w:p>
        </w:tc>
        <w:tc>
          <w:tcPr>
            <w:tcW w:w="2775" w:type="pct"/>
            <w:gridSpan w:val="2"/>
            <w:tcBorders>
              <w:top w:val="single" w:color="auto" w:sz="4" w:space="0"/>
              <w:left w:val="nil"/>
              <w:bottom w:val="single" w:color="auto" w:sz="4" w:space="0"/>
              <w:right w:val="single" w:color="000000" w:sz="4" w:space="0"/>
            </w:tcBorders>
            <w:shd w:val="clear" w:color="auto" w:fill="auto"/>
            <w:vAlign w:val="center"/>
            <w:hideMark/>
          </w:tcPr>
          <w:p w:rsidRPr="00AE1B2B" w:rsidR="009D3FB5" w:rsidP="00163B94" w:rsidRDefault="009D3FB5" w14:paraId="75285450"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105.Juzgado Civil, Trabajo y Familia Osa</w:t>
            </w:r>
          </w:p>
        </w:tc>
        <w:tc>
          <w:tcPr>
            <w:tcW w:w="14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737714F"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106.Juzgado Contravencional de Osa</w:t>
            </w:r>
          </w:p>
        </w:tc>
      </w:tr>
      <w:tr w:rsidRPr="00AE1B2B" w:rsidR="00AE1B2B" w:rsidTr="009D3FB5" w14:paraId="5F10949F"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2003E44C"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059FA85"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26ECA206"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 xml:space="preserve">107.Juzgado de Cobro y Contravencional de Golfito, Sede Puerto Jiménez </w:t>
            </w:r>
          </w:p>
        </w:tc>
      </w:tr>
      <w:tr w:rsidRPr="00AE1B2B" w:rsidR="00AE1B2B" w:rsidTr="009D3FB5" w14:paraId="48BD7D36"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1A228CCD"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A8063AC"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6A7C9719"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108.Juzgado Contravencional de Coto Brus</w:t>
            </w:r>
          </w:p>
        </w:tc>
      </w:tr>
      <w:tr w:rsidRPr="00AE1B2B" w:rsidR="00AE1B2B" w:rsidTr="009D3FB5" w14:paraId="1DD1FEF7" w14:textId="77777777">
        <w:trPr>
          <w:trHeight w:val="20"/>
        </w:trPr>
        <w:tc>
          <w:tcPr>
            <w:tcW w:w="797" w:type="pct"/>
            <w:vMerge w:val="restart"/>
            <w:tcBorders>
              <w:top w:val="nil"/>
              <w:left w:val="single" w:color="auto" w:sz="4" w:space="0"/>
              <w:bottom w:val="single" w:color="000000" w:sz="4" w:space="0"/>
              <w:right w:val="single" w:color="auto" w:sz="4" w:space="0"/>
            </w:tcBorders>
            <w:shd w:val="clear" w:color="000000" w:fill="D9E1F2"/>
            <w:vAlign w:val="center"/>
            <w:hideMark/>
          </w:tcPr>
          <w:p w:rsidRPr="00AE1B2B" w:rsidR="009D3FB5" w:rsidP="00163B94" w:rsidRDefault="009D3FB5" w14:paraId="2879665F" w14:textId="77777777">
            <w:pPr>
              <w:spacing w:before="120" w:after="120" w:line="276" w:lineRule="auto"/>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I Circuito Judicial de Zona Atlántica</w:t>
            </w:r>
          </w:p>
        </w:tc>
        <w:tc>
          <w:tcPr>
            <w:tcW w:w="1387"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5459179D"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109.Juzgado Familia del I Circ. Jud. Zona Atlántica</w:t>
            </w:r>
          </w:p>
        </w:tc>
        <w:tc>
          <w:tcPr>
            <w:tcW w:w="1388"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78EBB859"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110.Juzgado de Violencia Doméstica del I Circ. Jud. de la Zona Atlántica (Limón)</w:t>
            </w:r>
          </w:p>
        </w:tc>
        <w:tc>
          <w:tcPr>
            <w:tcW w:w="1428"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060C3821"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 xml:space="preserve">111.Juzgado Pensiones Alimentarias I Circ. Jud. Zona Atlántica (Limón) </w:t>
            </w:r>
          </w:p>
        </w:tc>
      </w:tr>
      <w:tr w:rsidRPr="00AE1B2B" w:rsidR="00AE1B2B" w:rsidTr="009D3FB5" w14:paraId="0CAFF13C"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1C2F0D51"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541EB01F"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000000" w:fill="D9E1F2"/>
            <w:vAlign w:val="center"/>
            <w:hideMark/>
          </w:tcPr>
          <w:p w:rsidRPr="00AE1B2B" w:rsidR="009D3FB5" w:rsidP="00163B94" w:rsidRDefault="009D3FB5" w14:paraId="38576AFB"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112.Juzgado Contravencional Bribrí</w:t>
            </w:r>
          </w:p>
        </w:tc>
      </w:tr>
      <w:tr w:rsidRPr="00AE1B2B" w:rsidR="00AE1B2B" w:rsidTr="009D3FB5" w14:paraId="4B988838"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54C63A4D"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000000" w:fill="D9E1F2"/>
            <w:vAlign w:val="center"/>
            <w:hideMark/>
          </w:tcPr>
          <w:p w:rsidRPr="00AE1B2B" w:rsidR="009D3FB5" w:rsidP="00163B94" w:rsidRDefault="009D3FB5" w14:paraId="53B77BF4"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000000" w:fill="D9E1F2"/>
            <w:vAlign w:val="center"/>
            <w:hideMark/>
          </w:tcPr>
          <w:p w:rsidRPr="00AE1B2B" w:rsidR="009D3FB5" w:rsidP="00163B94" w:rsidRDefault="009D3FB5" w14:paraId="411B33A1"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113.Juzgado Contravencional Matina</w:t>
            </w:r>
          </w:p>
        </w:tc>
      </w:tr>
      <w:tr w:rsidRPr="00AE1B2B" w:rsidR="00AE1B2B" w:rsidTr="009D3FB5" w14:paraId="185D6B2A" w14:textId="77777777">
        <w:trPr>
          <w:trHeight w:val="20"/>
        </w:trPr>
        <w:tc>
          <w:tcPr>
            <w:tcW w:w="797" w:type="pct"/>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35AEB94A" w14:textId="77777777">
            <w:pPr>
              <w:spacing w:before="120" w:after="120" w:line="276" w:lineRule="auto"/>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II Circuito Judicial de Zona Atlántica</w:t>
            </w: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B0729C6"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114.Juzgado Familia II Circ. Jud. Zona Atlántica (Pococí)</w:t>
            </w:r>
          </w:p>
        </w:tc>
        <w:tc>
          <w:tcPr>
            <w:tcW w:w="138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CDA34E6"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115.Juzgado Violencia Doméstica II Circ. Jud. de la Zona Atlántica (Pococí)</w:t>
            </w:r>
          </w:p>
        </w:tc>
        <w:tc>
          <w:tcPr>
            <w:tcW w:w="14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A2C1639"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116.Juzgado Pensiones Alimentarias II Circ. Jud. Zona Atlántica (Pococí)</w:t>
            </w:r>
          </w:p>
        </w:tc>
      </w:tr>
      <w:tr w:rsidRPr="00AE1B2B" w:rsidR="00AE1B2B" w:rsidTr="009D3FB5" w14:paraId="48F8D66E"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52E4F7A8"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4FDDA39"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09A98FA8"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117.Juzgado Pensiones y Violencia Doméstica Siquirres</w:t>
            </w:r>
          </w:p>
        </w:tc>
      </w:tr>
      <w:tr w:rsidRPr="00AE1B2B" w:rsidR="00AE1B2B" w:rsidTr="009D3FB5" w14:paraId="3453194C" w14:textId="77777777">
        <w:trPr>
          <w:trHeight w:val="20"/>
        </w:trPr>
        <w:tc>
          <w:tcPr>
            <w:tcW w:w="797" w:type="pct"/>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0D470EDC" w14:textId="77777777">
            <w:pPr>
              <w:spacing w:before="120" w:after="120" w:line="276" w:lineRule="auto"/>
              <w:rPr>
                <w:rFonts w:ascii="Times New Roman" w:hAnsi="Times New Roman" w:eastAsia="Times New Roman" w:cs="Times New Roman"/>
                <w:b/>
                <w:bCs/>
                <w:sz w:val="24"/>
                <w:szCs w:val="24"/>
                <w:lang w:eastAsia="es-CR"/>
              </w:rPr>
            </w:pPr>
          </w:p>
        </w:tc>
        <w:tc>
          <w:tcPr>
            <w:tcW w:w="1387"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A11B9AD" w14:textId="77777777">
            <w:pPr>
              <w:spacing w:before="120" w:after="120" w:line="276" w:lineRule="auto"/>
              <w:rPr>
                <w:rFonts w:ascii="Times New Roman" w:hAnsi="Times New Roman" w:eastAsia="Times New Roman" w:cs="Times New Roman"/>
                <w:sz w:val="24"/>
                <w:szCs w:val="24"/>
                <w:lang w:eastAsia="es-CR"/>
              </w:rPr>
            </w:pPr>
          </w:p>
        </w:tc>
        <w:tc>
          <w:tcPr>
            <w:tcW w:w="2816"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150D250D"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118.Juzgado Contravencional Guácimo</w:t>
            </w:r>
          </w:p>
        </w:tc>
      </w:tr>
    </w:tbl>
    <w:p w:rsidRPr="00AE1B2B" w:rsidR="009D3FB5" w:rsidP="00163B94" w:rsidRDefault="009D3FB5" w14:paraId="72FE4D93"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Fuente: Subproceso de Modernización Institucional.</w:t>
      </w:r>
    </w:p>
    <w:p w:rsidRPr="00AE1B2B" w:rsidR="009D3FB5" w:rsidP="00163B94" w:rsidRDefault="009D3FB5" w14:paraId="20F2FFD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54E4D5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7FA3289" w14:textId="77777777">
      <w:pPr>
        <w:spacing w:before="120" w:after="120"/>
        <w:ind w:left="851" w:right="851" w:firstLine="709"/>
        <w:jc w:val="both"/>
        <w:rPr>
          <w:rFonts w:ascii="Times New Roman" w:hAnsi="Times New Roman" w:cs="Times New Roman"/>
          <w:sz w:val="26"/>
          <w:szCs w:val="26"/>
          <w:u w:val="single"/>
        </w:rPr>
      </w:pPr>
      <w:r w:rsidRPr="00AE1B2B">
        <w:rPr>
          <w:rFonts w:ascii="Times New Roman" w:hAnsi="Times New Roman" w:cs="Times New Roman"/>
          <w:sz w:val="26"/>
          <w:szCs w:val="26"/>
        </w:rPr>
        <w:t>Ámbito Auxiliar de Justicia</w:t>
      </w:r>
    </w:p>
    <w:p w:rsidRPr="00AE1B2B" w:rsidR="009D3FB5" w:rsidP="00163B94" w:rsidRDefault="009D3FB5" w14:paraId="64719E7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la </w:t>
      </w:r>
      <w:bookmarkStart w:name="_Hlk34910649" w:id="63"/>
      <w:r w:rsidRPr="00AE1B2B">
        <w:rPr>
          <w:rFonts w:ascii="Times New Roman" w:hAnsi="Times New Roman" w:cs="Times New Roman"/>
          <w:sz w:val="26"/>
          <w:szCs w:val="26"/>
        </w:rPr>
        <w:t>fecha la Defensa Pública cuenta con 45 oficinas distribuidas en los 15 circuitos judiciales del país</w:t>
      </w:r>
      <w:bookmarkEnd w:id="63"/>
      <w:r w:rsidRPr="00AE1B2B">
        <w:rPr>
          <w:rFonts w:ascii="Times New Roman" w:hAnsi="Times New Roman" w:cs="Times New Roman"/>
          <w:sz w:val="26"/>
          <w:szCs w:val="26"/>
        </w:rPr>
        <w:t>, según datos aportados por la Administración de esa dependencia.</w:t>
      </w:r>
    </w:p>
    <w:p w:rsidRPr="00AE1B2B" w:rsidR="009D3FB5" w:rsidP="00163B94" w:rsidRDefault="009D3FB5" w14:paraId="75DA10C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9C192C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Respecto a la Defensa Pública en materia de Pensiones Alimentarias (incluida la población indígena</w:t>
      </w:r>
      <w:r w:rsidRPr="00AE1B2B">
        <w:rPr>
          <w:rStyle w:val="Refdenotaalpie"/>
          <w:rFonts w:ascii="Times New Roman" w:hAnsi="Times New Roman"/>
          <w:sz w:val="26"/>
          <w:szCs w:val="26"/>
        </w:rPr>
        <w:footnoteReference w:id="16"/>
      </w:r>
      <w:r w:rsidRPr="00AE1B2B">
        <w:rPr>
          <w:rFonts w:ascii="Times New Roman" w:hAnsi="Times New Roman" w:cs="Times New Roman"/>
          <w:sz w:val="26"/>
          <w:szCs w:val="26"/>
        </w:rPr>
        <w:t xml:space="preserve"> y la asignación de plazas que pudiera eventualmente hacer la Defensa en Tarrazú) la Corte Plena en sesión 31-2020 celebrada el 2 de junio del 2020, artículo II aprobó la inclusión en el presupuesto extraordinario 2021 de la Institución 33 plazas</w:t>
      </w:r>
      <w:r w:rsidRPr="00AE1B2B">
        <w:rPr>
          <w:rStyle w:val="Refdenotaalpie"/>
          <w:rFonts w:ascii="Times New Roman" w:hAnsi="Times New Roman"/>
          <w:sz w:val="26"/>
          <w:szCs w:val="26"/>
        </w:rPr>
        <w:footnoteReference w:id="17"/>
      </w:r>
      <w:r w:rsidRPr="00AE1B2B">
        <w:rPr>
          <w:rFonts w:ascii="Times New Roman" w:hAnsi="Times New Roman" w:cs="Times New Roman"/>
          <w:sz w:val="26"/>
          <w:szCs w:val="26"/>
        </w:rPr>
        <w:t xml:space="preserve"> de Defensora o Defensor Público:</w:t>
      </w:r>
    </w:p>
    <w:p w:rsidRPr="00AE1B2B" w:rsidR="009D3FB5" w:rsidP="00163B94" w:rsidRDefault="009D3FB5" w14:paraId="2229C8D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809EDEA"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“Sin objeción de las señoras magistradas y los señores magistrados presentes, se dispuso: 1.) Aprobar la propuesta planteada por el magistrado Salazar Alvarado, en el sentido de autorizar al Presidente de la Corte y a la señora Vicepresidenta de la Corte para que tomen las decisiones que estime pertinentes, respecto a señalar a la Subcomisión de Asuntos Hacendarios de la Asamblea Legislativa, lo concerniente en cuanto lograr la aprobación del presupuesto del Poder Judicial 2021, así como las posibles negociaciones que se formulen, las que se harán de conocimiento del Consejo Consultivo de emergencia conformado con los Presidentes de las Salas, como respaldo a las decisiones que se tomen, a cuyos efectos cuando lo estime pertinente se hará acompañar de las diferentes direcciones, así como de la señora Fiscala General de la República, del señor Director del Organismo de Investigación Judicial y de la señora Directora de la Defensa Pública. Lo anterior, en el entendido de que posteriormente se hará de conocimiento de esta Corte. 2.) Agradecer y reconocer el trabajo realizado por los integrantes del Consejo Superior, las Direcciones de Planificación, Ejecutiva, Gestión Humana y Tecnología de la Información, que colaboraron en la elaboración del Proyecto de Presupuesto del Poder Judicial para el 2021. 3.) Se declaran acuerdos firmes todos los acuerdos adoptados en esta sesión.</w:t>
      </w:r>
    </w:p>
    <w:p w:rsidRPr="00AE1B2B" w:rsidR="009D3FB5" w:rsidP="00163B94" w:rsidRDefault="009D3FB5" w14:paraId="6FF90ABD"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401DE19B"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La Dirección de Planificación tomará nota para los fines consiguientes. Se declara acuerdo firme.”</w:t>
      </w:r>
    </w:p>
    <w:p w:rsidRPr="00AE1B2B" w:rsidR="009D3FB5" w:rsidP="00163B94" w:rsidRDefault="009D3FB5" w14:paraId="5564D55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859693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 aprobarse nuevamente el recurso por parte de Corte Plena para 2022, con este recurso se solventaría la necesidad planteada por la Defensa Pública mediante oficio JEFDP-06-2020 en donde solicitan a la Dirección de Planificación estudio para asignación recurso adicional (</w:t>
      </w:r>
      <w:r w:rsidRPr="00AE1B2B">
        <w:rPr>
          <w:rFonts w:ascii="Times New Roman" w:hAnsi="Times New Roman" w:cs="Times New Roman"/>
          <w:b/>
          <w:bCs/>
          <w:i/>
          <w:iCs/>
          <w:sz w:val="26"/>
          <w:szCs w:val="26"/>
        </w:rPr>
        <w:t>referencia interna 53-2020):</w:t>
      </w:r>
    </w:p>
    <w:p w:rsidRPr="00AE1B2B" w:rsidR="009D3FB5" w:rsidP="00163B94" w:rsidRDefault="009D3FB5" w14:paraId="3926FB9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78E8CB3"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p>
    <w:p w:rsidRPr="00AE1B2B" w:rsidR="009D3FB5" w:rsidP="00163B94" w:rsidRDefault="009D3FB5" w14:paraId="22B87563" w14:textId="75CAD519">
      <w:pPr>
        <w:spacing w:before="120" w:after="120"/>
        <w:ind w:left="851" w:right="851" w:firstLine="709"/>
        <w:jc w:val="both"/>
        <w:rPr>
          <w:rFonts w:ascii="Times New Roman" w:hAnsi="Times New Roman" w:eastAsia="Calibri" w:cs="Times New Roman"/>
          <w:bCs/>
          <w:i/>
          <w:iCs/>
          <w:kern w:val="3"/>
          <w:sz w:val="26"/>
          <w:szCs w:val="26"/>
          <w:lang w:val="es-ES" w:bidi="hi-IN"/>
        </w:rPr>
      </w:pPr>
      <w:r w:rsidRPr="00AE1B2B">
        <w:rPr>
          <w:rFonts w:ascii="Times New Roman" w:hAnsi="Times New Roman" w:eastAsia="Calibri" w:cs="Times New Roman"/>
          <w:bCs/>
          <w:i/>
          <w:iCs/>
          <w:kern w:val="3"/>
          <w:sz w:val="26"/>
          <w:szCs w:val="26"/>
          <w:lang w:val="es-ES" w:bidi="hi-IN"/>
        </w:rPr>
        <w:t>El Departamento de Auditoría, realizó el estudio denominado</w:t>
      </w:r>
      <w:r w:rsidRPr="00AE1B2B" w:rsidR="00BB7720">
        <w:rPr>
          <w:rFonts w:ascii="Times New Roman" w:hAnsi="Times New Roman" w:eastAsia="Calibri" w:cs="Times New Roman"/>
          <w:bCs/>
          <w:i/>
          <w:iCs/>
          <w:kern w:val="3"/>
          <w:sz w:val="26"/>
          <w:szCs w:val="26"/>
          <w:lang w:val="es-ES" w:bidi="hi-IN"/>
        </w:rPr>
        <w:t xml:space="preserve"> </w:t>
      </w:r>
      <w:r w:rsidRPr="00AE1B2B">
        <w:rPr>
          <w:rFonts w:ascii="Times New Roman" w:hAnsi="Times New Roman" w:eastAsia="Calibri" w:cs="Times New Roman"/>
          <w:bCs/>
          <w:i/>
          <w:iCs/>
          <w:kern w:val="3"/>
          <w:sz w:val="26"/>
          <w:szCs w:val="26"/>
          <w:lang w:val="es-ES" w:bidi="hi-IN"/>
        </w:rPr>
        <w:t xml:space="preserve">“Estudio operativo en las oficinas regionales de la Defensa Pública”, cuyo objetivo era evaluar si la capacidad operativa de las Defensas Regionales permitía realizar los procesos más relevantes a su cargo en forma ágil y sin mayor afectación de los servicios prestados, con el fin de determinar si dichas oficinas se desempeñan con eficiencia y eficacia razonables. </w:t>
      </w:r>
    </w:p>
    <w:p w:rsidRPr="00AE1B2B" w:rsidR="009D3FB5" w:rsidP="00163B94" w:rsidRDefault="009D3FB5" w14:paraId="197C1FF3" w14:textId="6B200B0B">
      <w:pPr>
        <w:spacing w:before="120" w:after="120"/>
        <w:ind w:left="851" w:right="851" w:firstLine="709"/>
        <w:jc w:val="both"/>
        <w:rPr>
          <w:rFonts w:ascii="Times New Roman" w:hAnsi="Times New Roman" w:eastAsia="Calibri" w:cs="Times New Roman"/>
          <w:bCs/>
          <w:i/>
          <w:iCs/>
          <w:kern w:val="3"/>
          <w:sz w:val="26"/>
          <w:szCs w:val="26"/>
          <w:lang w:val="es-ES" w:bidi="hi-IN"/>
        </w:rPr>
      </w:pPr>
      <w:r w:rsidRPr="00AE1B2B">
        <w:rPr>
          <w:rFonts w:ascii="Times New Roman" w:hAnsi="Times New Roman" w:eastAsia="Calibri" w:cs="Times New Roman"/>
          <w:bCs/>
          <w:i/>
          <w:iCs/>
          <w:kern w:val="3"/>
          <w:sz w:val="26"/>
          <w:szCs w:val="26"/>
          <w:lang w:val="es-ES" w:bidi="hi-IN"/>
        </w:rPr>
        <w:lastRenderedPageBreak/>
        <w:t>En virtud de ello,</w:t>
      </w:r>
      <w:r w:rsidRPr="00AE1B2B" w:rsidR="00BB7720">
        <w:rPr>
          <w:rFonts w:ascii="Times New Roman" w:hAnsi="Times New Roman" w:eastAsia="Calibri" w:cs="Times New Roman"/>
          <w:bCs/>
          <w:i/>
          <w:iCs/>
          <w:kern w:val="3"/>
          <w:sz w:val="26"/>
          <w:szCs w:val="26"/>
          <w:lang w:val="es-ES" w:bidi="hi-IN"/>
        </w:rPr>
        <w:t xml:space="preserve"> </w:t>
      </w:r>
      <w:r w:rsidRPr="00AE1B2B">
        <w:rPr>
          <w:rFonts w:ascii="Times New Roman" w:hAnsi="Times New Roman" w:eastAsia="Calibri" w:cs="Times New Roman"/>
          <w:bCs/>
          <w:i/>
          <w:iCs/>
          <w:kern w:val="3"/>
          <w:sz w:val="26"/>
          <w:szCs w:val="26"/>
          <w:lang w:val="es-ES" w:bidi="hi-IN"/>
        </w:rPr>
        <w:t>en fecha 16 de diciembre de 2019, se rindió el informe</w:t>
      </w:r>
      <w:r w:rsidRPr="00AE1B2B" w:rsidR="00BB7720">
        <w:rPr>
          <w:rFonts w:ascii="Times New Roman" w:hAnsi="Times New Roman" w:eastAsia="Calibri" w:cs="Times New Roman"/>
          <w:bCs/>
          <w:i/>
          <w:iCs/>
          <w:kern w:val="3"/>
          <w:sz w:val="26"/>
          <w:szCs w:val="26"/>
          <w:lang w:val="es-ES" w:bidi="hi-IN"/>
        </w:rPr>
        <w:t xml:space="preserve"> </w:t>
      </w:r>
      <w:r w:rsidRPr="00AE1B2B">
        <w:rPr>
          <w:rFonts w:ascii="Times New Roman" w:hAnsi="Times New Roman" w:eastAsia="Calibri" w:cs="Times New Roman"/>
          <w:bCs/>
          <w:i/>
          <w:iCs/>
          <w:kern w:val="3"/>
          <w:sz w:val="26"/>
          <w:szCs w:val="26"/>
          <w:lang w:val="es-ES" w:bidi="hi-IN"/>
        </w:rPr>
        <w:t>número No. 1516-59-SAEE-2019, cuya recomendación final a la Jefatura de la Defensa Pública refiere:</w:t>
      </w:r>
    </w:p>
    <w:p w:rsidRPr="00AE1B2B" w:rsidR="009D3FB5" w:rsidP="00163B94" w:rsidRDefault="009D3FB5" w14:paraId="49E25D9B" w14:textId="126FA897">
      <w:pPr>
        <w:tabs>
          <w:tab w:val="left" w:pos="7655"/>
        </w:tabs>
        <w:spacing w:before="120" w:after="120"/>
        <w:ind w:left="851" w:right="851" w:firstLine="709"/>
        <w:jc w:val="both"/>
        <w:rPr>
          <w:rFonts w:ascii="Times New Roman" w:hAnsi="Times New Roman" w:eastAsia="Calibri" w:cs="Times New Roman"/>
          <w:bCs/>
          <w:i/>
          <w:iCs/>
          <w:kern w:val="3"/>
          <w:sz w:val="26"/>
          <w:szCs w:val="26"/>
          <w:lang w:val="es-ES" w:bidi="hi-IN"/>
        </w:rPr>
      </w:pPr>
      <w:r w:rsidRPr="00AE1B2B">
        <w:rPr>
          <w:rFonts w:ascii="Times New Roman" w:hAnsi="Times New Roman" w:eastAsia="Calibri" w:cs="Times New Roman"/>
          <w:bCs/>
          <w:i/>
          <w:iCs/>
          <w:kern w:val="3"/>
          <w:sz w:val="26"/>
          <w:szCs w:val="26"/>
          <w:lang w:val="es-ES" w:bidi="hi-IN"/>
        </w:rPr>
        <w:t>“4.1 Promover acciones formales ante la Dirección de Planificación tendientes a garantizar el servicio de asistencia legal en la materia de pensiones alimentarias para las personas usuarias en la localidad de Tarrazú, a fin de hacer efectivos sus derechos legítimos.</w:t>
      </w:r>
      <w:r w:rsidRPr="00AE1B2B" w:rsidR="00BB7720">
        <w:rPr>
          <w:rFonts w:ascii="Times New Roman" w:hAnsi="Times New Roman" w:eastAsia="Calibri" w:cs="Times New Roman"/>
          <w:bCs/>
          <w:i/>
          <w:iCs/>
          <w:kern w:val="3"/>
          <w:sz w:val="26"/>
          <w:szCs w:val="26"/>
          <w:lang w:val="es-ES" w:bidi="hi-IN"/>
        </w:rPr>
        <w:t xml:space="preserve"> </w:t>
      </w:r>
      <w:r w:rsidRPr="00AE1B2B">
        <w:rPr>
          <w:rFonts w:ascii="Times New Roman" w:hAnsi="Times New Roman" w:eastAsia="Calibri" w:cs="Times New Roman"/>
          <w:bCs/>
          <w:i/>
          <w:iCs/>
          <w:kern w:val="3"/>
          <w:sz w:val="26"/>
          <w:szCs w:val="26"/>
          <w:lang w:val="es-ES" w:bidi="hi-IN"/>
        </w:rPr>
        <w:t>“</w:t>
      </w:r>
      <w:r w:rsidRPr="00AE1B2B">
        <w:rPr>
          <w:rFonts w:ascii="Times New Roman" w:hAnsi="Times New Roman" w:eastAsia="Calibri" w:cs="Times New Roman"/>
          <w:bCs/>
          <w:i/>
          <w:iCs/>
          <w:kern w:val="3"/>
          <w:sz w:val="26"/>
          <w:szCs w:val="26"/>
          <w:lang w:val="es-ES" w:bidi="hi-IN"/>
        </w:rPr>
        <w:tab/>
      </w:r>
    </w:p>
    <w:p w:rsidRPr="00AE1B2B" w:rsidR="009D3FB5" w:rsidP="00163B94" w:rsidRDefault="009D3FB5" w14:paraId="0C2DE338" w14:textId="77777777">
      <w:pPr>
        <w:spacing w:before="120" w:after="120"/>
        <w:ind w:left="851" w:right="851" w:firstLine="709"/>
        <w:jc w:val="both"/>
        <w:rPr>
          <w:rFonts w:ascii="Times New Roman" w:hAnsi="Times New Roman" w:eastAsia="Calibri" w:cs="Times New Roman"/>
          <w:bCs/>
          <w:i/>
          <w:iCs/>
          <w:kern w:val="3"/>
          <w:sz w:val="26"/>
          <w:szCs w:val="26"/>
          <w:lang w:val="es-ES" w:bidi="hi-IN"/>
        </w:rPr>
      </w:pPr>
    </w:p>
    <w:p w:rsidRPr="00AE1B2B" w:rsidR="009D3FB5" w:rsidP="00163B94" w:rsidRDefault="009D3FB5" w14:paraId="5772A200" w14:textId="77777777">
      <w:pPr>
        <w:spacing w:before="120" w:after="120"/>
        <w:ind w:left="851" w:right="851" w:firstLine="709"/>
        <w:jc w:val="both"/>
        <w:rPr>
          <w:rFonts w:ascii="Times New Roman" w:hAnsi="Times New Roman" w:eastAsia="Calibri" w:cs="Times New Roman"/>
          <w:bCs/>
          <w:i/>
          <w:iCs/>
          <w:kern w:val="3"/>
          <w:sz w:val="26"/>
          <w:szCs w:val="26"/>
          <w:lang w:val="es-ES" w:bidi="hi-IN"/>
        </w:rPr>
      </w:pPr>
      <w:r w:rsidRPr="00AE1B2B">
        <w:rPr>
          <w:rFonts w:ascii="Times New Roman" w:hAnsi="Times New Roman" w:eastAsia="Calibri" w:cs="Times New Roman"/>
          <w:bCs/>
          <w:i/>
          <w:iCs/>
          <w:kern w:val="3"/>
          <w:sz w:val="26"/>
          <w:szCs w:val="26"/>
          <w:lang w:val="es-ES" w:bidi="hi-IN"/>
        </w:rPr>
        <w:t xml:space="preserve">En virtud de lo expuesto y siendo que: </w:t>
      </w:r>
    </w:p>
    <w:p w:rsidRPr="00AE1B2B" w:rsidR="009D3FB5" w:rsidP="00163B94" w:rsidRDefault="009D3FB5" w14:paraId="63BDBEDA" w14:textId="77777777">
      <w:pPr>
        <w:spacing w:before="120" w:after="120"/>
        <w:ind w:left="851" w:right="851" w:firstLine="709"/>
        <w:jc w:val="both"/>
        <w:rPr>
          <w:rFonts w:ascii="Times New Roman" w:hAnsi="Times New Roman" w:eastAsia="Calibri" w:cs="Times New Roman"/>
          <w:bCs/>
          <w:i/>
          <w:iCs/>
          <w:kern w:val="3"/>
          <w:sz w:val="26"/>
          <w:szCs w:val="26"/>
          <w:lang w:val="es-ES" w:bidi="hi-IN"/>
        </w:rPr>
      </w:pPr>
      <w:r w:rsidRPr="00AE1B2B">
        <w:rPr>
          <w:rFonts w:ascii="Times New Roman" w:hAnsi="Times New Roman" w:eastAsia="Calibri" w:cs="Times New Roman"/>
          <w:bCs/>
          <w:i/>
          <w:iCs/>
          <w:kern w:val="3"/>
          <w:sz w:val="26"/>
          <w:szCs w:val="26"/>
          <w:lang w:val="es-ES" w:bidi="hi-IN"/>
        </w:rPr>
        <w:t xml:space="preserve"> 1) Esta Jefatura ha analizado la necesidad existente en la Defensa Pública de Tarrazú de brindar el servicio en materia de pensiones alimentarias y que valoradas las posibilidades a lo interno no cuenta la Defensa Pública con posibilidades institucionales de dotar a dicha oficina de un profesional defensor público para la atención en materia de pensiones alimentarias, y</w:t>
      </w:r>
    </w:p>
    <w:p w:rsidRPr="00AE1B2B" w:rsidR="009D3FB5" w:rsidP="00163B94" w:rsidRDefault="009D3FB5" w14:paraId="014F9DC5" w14:textId="77777777">
      <w:pPr>
        <w:spacing w:before="120" w:after="120"/>
        <w:ind w:left="851" w:right="851" w:firstLine="709"/>
        <w:jc w:val="both"/>
        <w:rPr>
          <w:rFonts w:ascii="Times New Roman" w:hAnsi="Times New Roman" w:eastAsia="Calibri" w:cs="Times New Roman"/>
          <w:bCs/>
          <w:i/>
          <w:iCs/>
          <w:kern w:val="3"/>
          <w:sz w:val="26"/>
          <w:szCs w:val="26"/>
          <w:lang w:bidi="hi-IN"/>
        </w:rPr>
      </w:pPr>
      <w:r w:rsidRPr="00AE1B2B">
        <w:rPr>
          <w:rFonts w:ascii="Times New Roman" w:hAnsi="Times New Roman" w:eastAsia="Calibri" w:cs="Times New Roman"/>
          <w:bCs/>
          <w:i/>
          <w:iCs/>
          <w:kern w:val="3"/>
          <w:sz w:val="26"/>
          <w:szCs w:val="26"/>
          <w:lang w:val="es-ES" w:bidi="hi-IN"/>
        </w:rPr>
        <w:t xml:space="preserve"> 2) Tomando en cuenta </w:t>
      </w:r>
      <w:r w:rsidRPr="00AE1B2B">
        <w:rPr>
          <w:rFonts w:ascii="Times New Roman" w:hAnsi="Times New Roman" w:eastAsia="Calibri" w:cs="Times New Roman"/>
          <w:bCs/>
          <w:i/>
          <w:iCs/>
          <w:kern w:val="3"/>
          <w:sz w:val="26"/>
          <w:szCs w:val="26"/>
          <w:lang w:bidi="hi-IN"/>
        </w:rPr>
        <w:t>la recomendación brindada por el Departamento de Auditoría y que su plazo de cumplimiento es inmediato:</w:t>
      </w:r>
    </w:p>
    <w:p w:rsidRPr="00AE1B2B" w:rsidR="009D3FB5" w:rsidP="00163B94" w:rsidRDefault="009D3FB5" w14:paraId="6664499C" w14:textId="500BCBFE">
      <w:pPr>
        <w:spacing w:before="120" w:after="120"/>
        <w:ind w:left="851" w:right="851" w:firstLine="709"/>
        <w:jc w:val="both"/>
        <w:rPr>
          <w:rFonts w:ascii="Times New Roman" w:hAnsi="Times New Roman" w:eastAsia="Calibri" w:cs="Times New Roman"/>
          <w:bCs/>
          <w:i/>
          <w:iCs/>
          <w:kern w:val="3"/>
          <w:sz w:val="26"/>
          <w:szCs w:val="26"/>
          <w:lang w:bidi="hi-IN"/>
        </w:rPr>
      </w:pPr>
      <w:r w:rsidRPr="00AE1B2B">
        <w:rPr>
          <w:rFonts w:ascii="Times New Roman" w:hAnsi="Times New Roman" w:eastAsia="Calibri" w:cs="Times New Roman"/>
          <w:bCs/>
          <w:i/>
          <w:iCs/>
          <w:kern w:val="3"/>
          <w:sz w:val="26"/>
          <w:szCs w:val="26"/>
          <w:lang w:bidi="hi-IN"/>
        </w:rPr>
        <w:t>S</w:t>
      </w:r>
      <w:r w:rsidRPr="00AE1B2B">
        <w:rPr>
          <w:rFonts w:ascii="Times New Roman" w:hAnsi="Times New Roman" w:eastAsia="Calibri" w:cs="Times New Roman"/>
          <w:bCs/>
          <w:i/>
          <w:iCs/>
          <w:kern w:val="3"/>
          <w:sz w:val="26"/>
          <w:szCs w:val="26"/>
          <w:lang w:val="es-ES" w:bidi="hi-IN"/>
        </w:rPr>
        <w:t>e solicita respetuosamente se realicen los estudios</w:t>
      </w:r>
      <w:r w:rsidRPr="00AE1B2B" w:rsidR="00BB7720">
        <w:rPr>
          <w:rFonts w:ascii="Times New Roman" w:hAnsi="Times New Roman" w:eastAsia="Calibri" w:cs="Times New Roman"/>
          <w:bCs/>
          <w:i/>
          <w:iCs/>
          <w:kern w:val="3"/>
          <w:sz w:val="26"/>
          <w:szCs w:val="26"/>
          <w:lang w:val="es-ES" w:bidi="hi-IN"/>
        </w:rPr>
        <w:t xml:space="preserve"> </w:t>
      </w:r>
      <w:r w:rsidRPr="00AE1B2B">
        <w:rPr>
          <w:rFonts w:ascii="Times New Roman" w:hAnsi="Times New Roman" w:eastAsia="Calibri" w:cs="Times New Roman"/>
          <w:bCs/>
          <w:i/>
          <w:iCs/>
          <w:kern w:val="3"/>
          <w:sz w:val="26"/>
          <w:szCs w:val="26"/>
          <w:lang w:val="es-ES" w:bidi="hi-IN"/>
        </w:rPr>
        <w:t>técnicos respectivos para la creación de una plaza de pensiones alimentarias en la Defensa Pública de Tarrazú</w:t>
      </w:r>
      <w:r w:rsidRPr="00AE1B2B">
        <w:rPr>
          <w:rFonts w:ascii="Times New Roman" w:hAnsi="Times New Roman" w:eastAsia="Calibri" w:cs="Times New Roman"/>
          <w:bCs/>
          <w:i/>
          <w:iCs/>
          <w:kern w:val="3"/>
          <w:sz w:val="26"/>
          <w:szCs w:val="26"/>
          <w:lang w:bidi="hi-IN"/>
        </w:rPr>
        <w:t xml:space="preserve"> por tratarse de la atención de una materia sensible cuyo servicio está dirigido mayoritariamente</w:t>
      </w:r>
      <w:r w:rsidRPr="00AE1B2B" w:rsidR="00BB7720">
        <w:rPr>
          <w:rFonts w:ascii="Times New Roman" w:hAnsi="Times New Roman" w:eastAsia="Calibri" w:cs="Times New Roman"/>
          <w:bCs/>
          <w:i/>
          <w:iCs/>
          <w:kern w:val="3"/>
          <w:sz w:val="26"/>
          <w:szCs w:val="26"/>
          <w:lang w:bidi="hi-IN"/>
        </w:rPr>
        <w:t xml:space="preserve"> </w:t>
      </w:r>
      <w:r w:rsidRPr="00AE1B2B">
        <w:rPr>
          <w:rFonts w:ascii="Times New Roman" w:hAnsi="Times New Roman" w:eastAsia="Calibri" w:cs="Times New Roman"/>
          <w:bCs/>
          <w:i/>
          <w:iCs/>
          <w:kern w:val="3"/>
          <w:sz w:val="26"/>
          <w:szCs w:val="26"/>
          <w:lang w:bidi="hi-IN"/>
        </w:rPr>
        <w:t>a población en situación de vulnerabilidad como son mujeres, personas menores de edad o adultas mayores, personas en</w:t>
      </w:r>
      <w:r w:rsidRPr="00AE1B2B" w:rsidR="00BB7720">
        <w:rPr>
          <w:rFonts w:ascii="Times New Roman" w:hAnsi="Times New Roman" w:eastAsia="Calibri" w:cs="Times New Roman"/>
          <w:bCs/>
          <w:i/>
          <w:iCs/>
          <w:kern w:val="3"/>
          <w:sz w:val="26"/>
          <w:szCs w:val="26"/>
          <w:lang w:bidi="hi-IN"/>
        </w:rPr>
        <w:t xml:space="preserve"> </w:t>
      </w:r>
      <w:r w:rsidRPr="00AE1B2B">
        <w:rPr>
          <w:rFonts w:ascii="Times New Roman" w:hAnsi="Times New Roman" w:eastAsia="Calibri" w:cs="Times New Roman"/>
          <w:bCs/>
          <w:i/>
          <w:iCs/>
          <w:kern w:val="3"/>
          <w:sz w:val="26"/>
          <w:szCs w:val="26"/>
          <w:lang w:bidi="hi-IN"/>
        </w:rPr>
        <w:t>situación de discapacidad,</w:t>
      </w:r>
      <w:r w:rsidRPr="00AE1B2B" w:rsidR="00BB7720">
        <w:rPr>
          <w:rFonts w:ascii="Times New Roman" w:hAnsi="Times New Roman" w:eastAsia="Calibri" w:cs="Times New Roman"/>
          <w:bCs/>
          <w:i/>
          <w:iCs/>
          <w:kern w:val="3"/>
          <w:sz w:val="26"/>
          <w:szCs w:val="26"/>
          <w:lang w:bidi="hi-IN"/>
        </w:rPr>
        <w:t xml:space="preserve"> </w:t>
      </w:r>
      <w:r w:rsidRPr="00AE1B2B">
        <w:rPr>
          <w:rFonts w:ascii="Times New Roman" w:hAnsi="Times New Roman" w:eastAsia="Calibri" w:cs="Times New Roman"/>
          <w:bCs/>
          <w:i/>
          <w:iCs/>
          <w:kern w:val="3"/>
          <w:sz w:val="26"/>
          <w:szCs w:val="26"/>
          <w:lang w:bidi="hi-IN"/>
        </w:rPr>
        <w:t>todas con situación de pobreza.</w:t>
      </w:r>
    </w:p>
    <w:p w:rsidRPr="00AE1B2B" w:rsidR="009D3FB5" w:rsidP="00163B94" w:rsidRDefault="009D3FB5" w14:paraId="3068C49C"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p>
    <w:p w:rsidRPr="00AE1B2B" w:rsidR="009D3FB5" w:rsidP="00163B94" w:rsidRDefault="009D3FB5" w14:paraId="3E4B58E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B9F8E81" w14:textId="77777777">
      <w:pPr>
        <w:spacing w:before="120" w:after="120"/>
        <w:ind w:left="851" w:right="851" w:firstLine="709"/>
        <w:jc w:val="both"/>
        <w:rPr>
          <w:rFonts w:ascii="Times New Roman" w:hAnsi="Times New Roman" w:cs="Times New Roman"/>
          <w:sz w:val="26"/>
          <w:szCs w:val="26"/>
          <w:u w:val="single"/>
        </w:rPr>
      </w:pPr>
      <w:r w:rsidRPr="00AE1B2B">
        <w:rPr>
          <w:rFonts w:ascii="Times New Roman" w:hAnsi="Times New Roman" w:cs="Times New Roman"/>
          <w:sz w:val="26"/>
          <w:szCs w:val="26"/>
        </w:rPr>
        <w:t>Ámbito Administrativo</w:t>
      </w:r>
    </w:p>
    <w:p w:rsidRPr="00AE1B2B" w:rsidR="009D3FB5" w:rsidP="00163B94" w:rsidRDefault="009D3FB5" w14:paraId="632AE83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la actualidad el Departamento de Trabajo Social y Psicología se encarga de elaborar los dictámenes periciales solicitados por los despachos y oficinas judiciales, entre ellos los juzgados que conocen los procesos familiares.</w:t>
      </w:r>
    </w:p>
    <w:p w:rsidRPr="00AE1B2B" w:rsidR="009D3FB5" w:rsidP="00163B94" w:rsidRDefault="009D3FB5" w14:paraId="001B81D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A50D23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la fecha el </w:t>
      </w:r>
      <w:bookmarkStart w:name="_Hlk34905905" w:id="64"/>
      <w:r w:rsidRPr="00AE1B2B">
        <w:rPr>
          <w:rFonts w:ascii="Times New Roman" w:hAnsi="Times New Roman" w:cs="Times New Roman"/>
          <w:sz w:val="26"/>
          <w:szCs w:val="26"/>
        </w:rPr>
        <w:t>Departamento de Trabajo Social y Psicología está conformado por 28 oficinas regionales distribuidas en los 15 circuitos judiciales del país</w:t>
      </w:r>
      <w:bookmarkEnd w:id="64"/>
      <w:r w:rsidRPr="00AE1B2B">
        <w:rPr>
          <w:rFonts w:ascii="Times New Roman" w:hAnsi="Times New Roman" w:cs="Times New Roman"/>
          <w:sz w:val="26"/>
          <w:szCs w:val="26"/>
        </w:rPr>
        <w:t>, según datos aportados por esa dependencia.</w:t>
      </w:r>
    </w:p>
    <w:p w:rsidRPr="00AE1B2B" w:rsidR="009D3FB5" w:rsidP="00163B94" w:rsidRDefault="009D3FB5" w14:paraId="10E0DFD7" w14:textId="27B5767D">
      <w:pPr>
        <w:spacing w:before="120" w:after="120"/>
        <w:ind w:right="851"/>
        <w:jc w:val="both"/>
        <w:rPr>
          <w:rFonts w:ascii="Times New Roman" w:hAnsi="Times New Roman" w:cs="Times New Roman"/>
          <w:sz w:val="26"/>
          <w:szCs w:val="26"/>
        </w:rPr>
      </w:pPr>
    </w:p>
    <w:p w:rsidRPr="00AE1B2B" w:rsidR="009D3FB5" w:rsidP="00163B94" w:rsidRDefault="009D3FB5" w14:paraId="1DF7F4F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C7CF0C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Información relevante materia Familia</w:t>
      </w:r>
    </w:p>
    <w:p w:rsidRPr="00AE1B2B" w:rsidR="009D3FB5" w:rsidP="00163B94" w:rsidRDefault="009D3FB5" w14:paraId="702F099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014F38" w14:paraId="578EEDBF" w14:textId="1B505432">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 xml:space="preserve">5.1 </w:t>
      </w:r>
      <w:r w:rsidRPr="00AE1B2B" w:rsidR="009D3FB5">
        <w:rPr>
          <w:rFonts w:ascii="Times New Roman" w:hAnsi="Times New Roman" w:cs="Times New Roman"/>
          <w:b/>
          <w:sz w:val="26"/>
          <w:szCs w:val="26"/>
        </w:rPr>
        <w:t>Análisis estadístico Juzgados Especializados de Familia</w:t>
      </w:r>
    </w:p>
    <w:p w:rsidRPr="00AE1B2B" w:rsidR="009D3FB5" w:rsidP="00163B94" w:rsidRDefault="009D3FB5" w14:paraId="21438BC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continuación, se muestra el detalle estadístico de los Juzgados Especializados de Familia del país del periodo 2015-2019. No se considera el 2020 para efectos de estimaciones, dado a que es un periodo atípico, cuyo comportamiento no refleja la normalidad de las oficinas debido a la emergencia nacional por la pandemia por Covid-19. </w:t>
      </w:r>
    </w:p>
    <w:p w:rsidRPr="00AE1B2B" w:rsidR="009D3FB5" w:rsidP="00163B94" w:rsidRDefault="009D3FB5" w14:paraId="375657D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6759BD2" w14:textId="77777777">
      <w:pPr>
        <w:spacing w:before="120" w:after="120"/>
        <w:ind w:left="851" w:right="851" w:firstLine="709"/>
        <w:jc w:val="both"/>
        <w:rPr>
          <w:rFonts w:ascii="Times New Roman" w:hAnsi="Times New Roman" w:cs="Times New Roman"/>
          <w:b/>
          <w:snapToGrid w:val="0"/>
          <w:sz w:val="26"/>
          <w:szCs w:val="26"/>
        </w:rPr>
      </w:pPr>
      <w:r w:rsidRPr="00AE1B2B">
        <w:rPr>
          <w:rFonts w:ascii="Times New Roman" w:hAnsi="Times New Roman" w:cs="Times New Roman"/>
          <w:b/>
          <w:snapToGrid w:val="0"/>
          <w:sz w:val="26"/>
          <w:szCs w:val="26"/>
        </w:rPr>
        <w:t>Análisis de la entrada, salida y circulante final</w:t>
      </w:r>
    </w:p>
    <w:p w:rsidRPr="00AE1B2B" w:rsidR="009D3FB5" w:rsidP="00163B94" w:rsidRDefault="009D3FB5" w14:paraId="68E7754B" w14:textId="778F5786">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los siguientes gráficos se muestran las variables estadísticas de la entrada, salida y circulante final de los Juzgados Especializados de Familia a nivel nacional, durante el periodo del 2015 al 2019.</w:t>
      </w:r>
    </w:p>
    <w:p w:rsidRPr="00AE1B2B" w:rsidR="00C5524E" w:rsidP="00163B94" w:rsidRDefault="00C5524E" w14:paraId="511D9FC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28BAC52"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Gráfico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Gráfico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1</w:t>
      </w:r>
      <w:r w:rsidRPr="00AE1B2B">
        <w:rPr>
          <w:rFonts w:ascii="Times New Roman" w:hAnsi="Times New Roman" w:cs="Times New Roman"/>
          <w:sz w:val="26"/>
          <w:szCs w:val="26"/>
        </w:rPr>
        <w:fldChar w:fldCharType="end"/>
      </w:r>
    </w:p>
    <w:p w:rsidRPr="00AE1B2B" w:rsidR="009D3FB5" w:rsidP="00163B94" w:rsidRDefault="009D3FB5" w14:paraId="135E72C0" w14:textId="77777777">
      <w:pPr>
        <w:keepNext/>
        <w:numPr>
          <w:ilvl w:val="12"/>
          <w:numId w:val="0"/>
        </w:numPr>
        <w:spacing w:before="120" w:after="120"/>
        <w:ind w:left="851" w:right="851" w:firstLine="709"/>
        <w:jc w:val="center"/>
        <w:rPr>
          <w:rFonts w:ascii="Times New Roman" w:hAnsi="Times New Roman" w:eastAsia="Times New Roman" w:cs="Times New Roman"/>
          <w:b/>
          <w:bCs/>
          <w:sz w:val="26"/>
          <w:szCs w:val="26"/>
          <w:lang w:eastAsia="es-ES"/>
        </w:rPr>
      </w:pPr>
      <w:r w:rsidRPr="00AE1B2B">
        <w:rPr>
          <w:rFonts w:ascii="Times New Roman" w:hAnsi="Times New Roman" w:eastAsia="Times New Roman" w:cs="Times New Roman"/>
          <w:b/>
          <w:bCs/>
          <w:sz w:val="26"/>
          <w:szCs w:val="26"/>
          <w:lang w:eastAsia="es-ES"/>
        </w:rPr>
        <w:t>Movimiento histórico de la entrada en asuntos nuevos y reentrados en los Juzgados Especializados de la materia de Familia, del 2015 al 2019</w:t>
      </w:r>
    </w:p>
    <w:p w:rsidRPr="00AE1B2B" w:rsidR="009D3FB5" w:rsidP="00163B94" w:rsidRDefault="009D3FB5" w14:paraId="2964E2A1" w14:textId="77777777">
      <w:pPr>
        <w:keepNext/>
        <w:numPr>
          <w:ilvl w:val="12"/>
          <w:numId w:val="0"/>
        </w:numPr>
        <w:spacing w:before="120" w:after="120" w:line="276" w:lineRule="auto"/>
        <w:jc w:val="center"/>
        <w:rPr>
          <w:rFonts w:ascii="Times New Roman" w:hAnsi="Times New Roman" w:eastAsia="Times New Roman" w:cs="Times New Roman"/>
          <w:b/>
          <w:bCs/>
          <w:sz w:val="24"/>
          <w:szCs w:val="24"/>
          <w:lang w:eastAsia="es-ES"/>
        </w:rPr>
      </w:pPr>
    </w:p>
    <w:p w:rsidRPr="00AE1B2B" w:rsidR="009D3FB5" w:rsidP="00163B94" w:rsidRDefault="009D3FB5" w14:paraId="1E56FAC7" w14:textId="77777777">
      <w:pPr>
        <w:spacing w:before="120" w:after="120" w:line="276" w:lineRule="auto"/>
        <w:jc w:val="center"/>
        <w:rPr>
          <w:rFonts w:ascii="Times New Roman" w:hAnsi="Times New Roman" w:cs="Times New Roman"/>
          <w:b/>
          <w:bCs/>
          <w:sz w:val="24"/>
          <w:szCs w:val="24"/>
        </w:rPr>
      </w:pPr>
      <w:r w:rsidRPr="00AE1B2B">
        <w:rPr>
          <w:rFonts w:ascii="Times New Roman" w:hAnsi="Times New Roman" w:cs="Times New Roman"/>
          <w:noProof/>
          <w:lang w:val="en-US"/>
        </w:rPr>
        <w:drawing>
          <wp:inline distT="0" distB="0" distL="0" distR="0" wp14:anchorId="20487A57" wp14:editId="178A2629">
            <wp:extent cx="5600700" cy="2834640"/>
            <wp:effectExtent l="0" t="0" r="0" b="3810"/>
            <wp:docPr id="1212768268" name="Gráfico 1212768268">
              <a:extLst xmlns:a="http://schemas.openxmlformats.org/drawingml/2006/main">
                <a:ext uri="{FF2B5EF4-FFF2-40B4-BE49-F238E27FC236}">
                  <a16:creationId xmlns:a16="http://schemas.microsoft.com/office/drawing/2014/main" id="{C545472B-D806-4CFF-8ADC-9795984C5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rsidRPr="00AE1B2B" w:rsidR="009D3FB5" w:rsidP="00163B94" w:rsidRDefault="009D3FB5" w14:paraId="09DF784B"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lastRenderedPageBreak/>
        <w:t xml:space="preserve">Fuente: Subproceso de Modernización Institucional, con datos del Subproceso de Estadística del 2015 al 2019. Los años 2017 y 2018 se pudieron ver afectados en la entrada de asuntos por el impacto en la huelga nacional. </w:t>
      </w:r>
    </w:p>
    <w:p w:rsidRPr="00AE1B2B" w:rsidR="009D3FB5" w:rsidP="00163B94" w:rsidRDefault="009D3FB5" w14:paraId="5D167A1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2576C1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 la información del gráfico anterior, se observa que la cantidad entrada de asuntos nuevos y los reentrados no es constante, el mayor ingreso se presentó en el 2019 con 23 529 asuntos y el menor ingreso en el 2018 con 21 385 casos para una diferencia de un 9% más de casos nuevos en el 2019. </w:t>
      </w:r>
    </w:p>
    <w:p w:rsidRPr="00AE1B2B" w:rsidR="009D3FB5" w:rsidP="00163B94" w:rsidRDefault="009D3FB5" w14:paraId="2EDAD27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cuanto a los expedientes reentrados en el 2015 se registraron 1412 casos y para el 2019 un total 1556 reentrados (diferencia de 144 casos lo que representa 1% de incremento), por lo que se puede decir que se mantienen constante. </w:t>
      </w:r>
    </w:p>
    <w:p w:rsidRPr="00AE1B2B" w:rsidR="009D3FB5" w:rsidP="00163B94" w:rsidRDefault="009D3FB5" w14:paraId="1BC857AD" w14:textId="576B4EEB">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Al</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analizar el comportamiento de la entrada de asuntos nuevos de los últimos cinco años, se visualiza un aumento de 1 195</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de 2014-2019 (crecimiento de un 5%).</w:t>
      </w:r>
    </w:p>
    <w:p w:rsidRPr="00AE1B2B" w:rsidR="009D3FB5" w:rsidP="00163B94" w:rsidRDefault="009D3FB5" w14:paraId="6FD84FC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8796D84" w14:textId="2AF01F6A">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Para el 2020, los Juzgados Especializados en Familia reportaron una entrada 21357 (20337 nuevos y 1120 reentrados). Además, se crearon 167 legajos de ejecución (dato preliminar).</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Y finalizaron el año con un circulante de 15 631 casos activos (dato preliminar). </w:t>
      </w:r>
    </w:p>
    <w:p w:rsidRPr="00AE1B2B" w:rsidR="009D3FB5" w:rsidP="00163B94" w:rsidRDefault="009D3FB5" w14:paraId="456B544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18CA37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Cabe destacar que la Jurisdicción de Familia se avocó en 2020 a la realización de inventarios no solo en principales, sino también en legajos e incidentes; lo anterior Lo anterior como parte del inventario anual en la materia y además como una de las tareas asociadas a la depuración de la información en los sistemas de conformidad con las recomendaciones emitidas por la Contraloría General de la República. </w:t>
      </w:r>
    </w:p>
    <w:p w:rsidRPr="00AE1B2B" w:rsidR="009D3FB5" w:rsidP="00163B94" w:rsidRDefault="009D3FB5" w14:paraId="4B67381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Cabe mencionar que como parte de las acciones institucionales para garantizar la depuración de la información se incluyó en el informe de inconsistencias mensual de los despachos, 5 variables adicionales (comunicado mediante circular 191-2020).</w:t>
      </w:r>
    </w:p>
    <w:p w:rsidRPr="00AE1B2B" w:rsidR="009D3FB5" w:rsidP="00163B94" w:rsidRDefault="009D3FB5" w14:paraId="51DF7E8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9D3FB5" w14:paraId="060504E4" w14:textId="29652405">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Expedientes con fecha de entrada mayor a la fecha de término.</w:t>
      </w:r>
    </w:p>
    <w:p w:rsidRPr="00AE1B2B" w:rsidR="009D3FB5" w:rsidP="00163B94" w:rsidRDefault="009D3FB5" w14:paraId="09995322" w14:textId="2AB3B00B">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Expedientes donde la clase de asunto asignada no corresponde a las aprobadas por la Comisión de Familia, Niñez y Adolescencia. </w:t>
      </w:r>
    </w:p>
    <w:p w:rsidRPr="00AE1B2B" w:rsidR="009D3FB5" w:rsidP="00163B94" w:rsidRDefault="009D3FB5" w14:paraId="5A16EA9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Expedientes donde el procedimiento asignado no corresponde a los aprobados por la Comisión de Familia, Niñez y Adolescencia.</w:t>
      </w:r>
    </w:p>
    <w:p w:rsidRPr="00AE1B2B" w:rsidR="009D3FB5" w:rsidP="00163B94" w:rsidRDefault="009D3FB5" w14:paraId="3C324EE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Expedientes donde el principal se encuentra cerrado estadísticamente, pero tiene un incidente o legajo de apremio que se está tramitando.</w:t>
      </w:r>
    </w:p>
    <w:p w:rsidRPr="00AE1B2B" w:rsidR="009D3FB5" w:rsidP="00163B94" w:rsidRDefault="009D3FB5" w14:paraId="710A395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Expedientes donde la fecha de pase a fallo sea menor a la fecha de dictado de sentencia.”</w:t>
      </w:r>
    </w:p>
    <w:p w:rsidRPr="00AE1B2B" w:rsidR="009D3FB5" w:rsidP="00163B94" w:rsidRDefault="009D3FB5" w14:paraId="3047237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4274F5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Para monitorear con mayor detalle la materia, se creó el reporte “Informe de Inconsistencias para Familia y Pensiones Alimentarias” en la plataforma SIGMA; además de un cambio en la fórmula estadística (comunicado mediante circular 207-2020.</w:t>
      </w:r>
    </w:p>
    <w:p w:rsidRPr="00AE1B2B" w:rsidR="009D3FB5" w:rsidP="00163B94" w:rsidRDefault="009D3FB5" w14:paraId="631B734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F2341BE" w14:textId="77777777">
      <w:pPr>
        <w:pStyle w:val="Descripcin"/>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Ilustración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Ilustración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1</w:t>
      </w:r>
      <w:r w:rsidRPr="00AE1B2B">
        <w:rPr>
          <w:rFonts w:ascii="Times New Roman" w:hAnsi="Times New Roman" w:cs="Times New Roman"/>
          <w:sz w:val="26"/>
          <w:szCs w:val="26"/>
        </w:rPr>
        <w:fldChar w:fldCharType="end"/>
      </w:r>
    </w:p>
    <w:p w:rsidRPr="00AE1B2B" w:rsidR="009D3FB5" w:rsidP="00163B94" w:rsidRDefault="009D3FB5" w14:paraId="769DD7A8" w14:textId="77777777">
      <w:pPr>
        <w:pStyle w:val="Descripcin"/>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Contenido del reporte “Informe de Inconsistencias para Familia y Pensiones Alimentarias”, 2020</w:t>
      </w:r>
    </w:p>
    <w:p w:rsidRPr="00AE1B2B" w:rsidR="009D3FB5" w:rsidP="00163B94" w:rsidRDefault="009D3FB5" w14:paraId="20674CBB" w14:textId="77777777">
      <w:pPr>
        <w:spacing w:before="120" w:after="120"/>
        <w:ind w:left="851" w:right="851" w:firstLine="709"/>
        <w:jc w:val="both"/>
        <w:rPr>
          <w:rFonts w:ascii="Times New Roman" w:hAnsi="Times New Roman" w:cs="Times New Roman"/>
          <w:sz w:val="26"/>
          <w:szCs w:val="26"/>
          <w:lang w:val="es-ES" w:eastAsia="es-ES"/>
        </w:rPr>
      </w:pPr>
    </w:p>
    <w:p w:rsidRPr="00AE1B2B" w:rsidR="009D3FB5" w:rsidP="00163B94" w:rsidRDefault="009D3FB5" w14:paraId="35F76FC9" w14:textId="77777777">
      <w:pPr>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noProof/>
          <w:sz w:val="26"/>
          <w:szCs w:val="26"/>
          <w:lang w:val="en-US"/>
        </w:rPr>
        <w:drawing>
          <wp:inline distT="0" distB="0" distL="0" distR="0" wp14:anchorId="29E6C278" wp14:editId="14BF4BB0">
            <wp:extent cx="2816768" cy="2918129"/>
            <wp:effectExtent l="0" t="0" r="3175" b="0"/>
            <wp:docPr id="1263269100" name="Imagen 126326910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69100" name="Imagen 1263269100" descr="Tabla&#10;&#10;Descripción generada automáticamente"/>
                    <pic:cNvPicPr/>
                  </pic:nvPicPr>
                  <pic:blipFill>
                    <a:blip r:embed="rId218"/>
                    <a:stretch>
                      <a:fillRect/>
                    </a:stretch>
                  </pic:blipFill>
                  <pic:spPr>
                    <a:xfrm>
                      <a:off x="0" y="0"/>
                      <a:ext cx="2825901" cy="2927590"/>
                    </a:xfrm>
                    <a:prstGeom prst="rect">
                      <a:avLst/>
                    </a:prstGeom>
                  </pic:spPr>
                </pic:pic>
              </a:graphicData>
            </a:graphic>
          </wp:inline>
        </w:drawing>
      </w:r>
    </w:p>
    <w:p w:rsidRPr="00AE1B2B" w:rsidR="009D3FB5" w:rsidP="00163B94" w:rsidRDefault="009D3FB5" w14:paraId="7088414B"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Fuente: SIGMA.</w:t>
      </w:r>
    </w:p>
    <w:p w:rsidRPr="00AE1B2B" w:rsidR="009D3FB5" w:rsidP="00163B94" w:rsidRDefault="009D3FB5" w14:paraId="363DBAD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935361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9694A2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74F8C2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gráfico siguiente, se visualiza la entrada de incidentes y segunda instancia, en los Juzgados Especializados de Familia, del periodo 2018 al 2019; es importante indicar, que los cálculos solo contemplan estos años, ya que solamente se cuentan con datos registrados a partir del 2018.</w:t>
      </w:r>
    </w:p>
    <w:p w:rsidRPr="00AE1B2B" w:rsidR="009D3FB5" w:rsidP="00163B94" w:rsidRDefault="009D3FB5" w14:paraId="31C1361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C44325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F4B4F34"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Gráfico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Gráfico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2</w:t>
      </w:r>
      <w:r w:rsidRPr="00AE1B2B">
        <w:rPr>
          <w:rFonts w:ascii="Times New Roman" w:hAnsi="Times New Roman" w:cs="Times New Roman"/>
          <w:sz w:val="26"/>
          <w:szCs w:val="26"/>
        </w:rPr>
        <w:fldChar w:fldCharType="end"/>
      </w:r>
    </w:p>
    <w:p w:rsidRPr="00AE1B2B" w:rsidR="009D3FB5" w:rsidP="00163B94" w:rsidRDefault="009D3FB5" w14:paraId="472A4872" w14:textId="77777777">
      <w:pPr>
        <w:keepNext/>
        <w:numPr>
          <w:ilvl w:val="12"/>
          <w:numId w:val="0"/>
        </w:numPr>
        <w:spacing w:before="120" w:after="120"/>
        <w:ind w:left="851" w:right="851" w:firstLine="709"/>
        <w:jc w:val="center"/>
        <w:rPr>
          <w:rFonts w:ascii="Times New Roman" w:hAnsi="Times New Roman" w:eastAsia="Times New Roman" w:cs="Times New Roman"/>
          <w:b/>
          <w:bCs/>
          <w:sz w:val="26"/>
          <w:szCs w:val="26"/>
          <w:lang w:eastAsia="es-ES"/>
        </w:rPr>
      </w:pPr>
      <w:r w:rsidRPr="00AE1B2B">
        <w:rPr>
          <w:rFonts w:ascii="Times New Roman" w:hAnsi="Times New Roman" w:eastAsia="Times New Roman" w:cs="Times New Roman"/>
          <w:b/>
          <w:bCs/>
          <w:sz w:val="26"/>
          <w:szCs w:val="26"/>
          <w:lang w:eastAsia="es-ES"/>
        </w:rPr>
        <w:t>Movimiento histórico de la entrada en asuntos como segunda instancia en Pensiones Alimentarias e incidentes en los Juzgados Especializados de la materia de Familia, del 2018 al 2019</w:t>
      </w:r>
    </w:p>
    <w:p w:rsidRPr="00AE1B2B" w:rsidR="009D3FB5" w:rsidP="00163B94" w:rsidRDefault="009D3FB5" w14:paraId="3C2A0CFD" w14:textId="77777777">
      <w:pPr>
        <w:spacing w:before="120" w:after="120" w:line="276" w:lineRule="auto"/>
        <w:jc w:val="center"/>
        <w:rPr>
          <w:rFonts w:ascii="Times New Roman" w:hAnsi="Times New Roman" w:eastAsia="Times New Roman" w:cs="Times New Roman"/>
          <w:sz w:val="24"/>
          <w:szCs w:val="24"/>
          <w:lang w:eastAsia="es-ES"/>
        </w:rPr>
      </w:pPr>
      <w:r w:rsidRPr="00AE1B2B">
        <w:rPr>
          <w:rFonts w:ascii="Times New Roman" w:hAnsi="Times New Roman" w:cs="Times New Roman"/>
          <w:noProof/>
          <w:lang w:val="en-US"/>
        </w:rPr>
        <w:drawing>
          <wp:inline distT="0" distB="0" distL="0" distR="0" wp14:anchorId="09C76D77" wp14:editId="42BF2F7E">
            <wp:extent cx="5539740" cy="2659380"/>
            <wp:effectExtent l="0" t="0" r="3810" b="7620"/>
            <wp:docPr id="1212768269" name="Gráfico 1212768269">
              <a:extLst xmlns:a="http://schemas.openxmlformats.org/drawingml/2006/main">
                <a:ext uri="{FF2B5EF4-FFF2-40B4-BE49-F238E27FC236}">
                  <a16:creationId xmlns:a16="http://schemas.microsoft.com/office/drawing/2014/main" id="{9AD2FA91-BF27-4824-933F-8ED98F463C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rsidRPr="00AE1B2B" w:rsidR="009D3FB5" w:rsidP="00163B94" w:rsidRDefault="009D3FB5" w14:paraId="34411C01"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Subproceso de Modernización Institucional, con datos del Subproceso de Estadística del 2018 al 2019 (los datos de incidentes y segunda instancia se registran a partir del 2018). </w:t>
      </w:r>
    </w:p>
    <w:p w:rsidRPr="00AE1B2B" w:rsidR="009D3FB5" w:rsidP="00163B94" w:rsidRDefault="009D3FB5" w14:paraId="40DC20E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7E68C1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Como se muestra en el gráfico anterior, para el periodo en análisis 2018 al 2019, la entrada de incidentes aumentó un 36% lo que equivale a 153 asuntos, mismo comportamiento se observa en la entrada de casos en segunda instancia, un aumento de 86 asuntos, para un 2% durante el 2019 en comparación con su antecesor el 2018.</w:t>
      </w:r>
    </w:p>
    <w:p w:rsidRPr="00AE1B2B" w:rsidR="009D3FB5" w:rsidP="00163B94" w:rsidRDefault="009D3FB5" w14:paraId="4299303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9DB6A0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A continuación, se detalla la distribución de la entrada por persona juzgadora, en los Juzgados Especializados de Familia del país, durante el periodo del 2015 al 2019. </w:t>
      </w:r>
    </w:p>
    <w:p w:rsidRPr="00AE1B2B" w:rsidR="009D3FB5" w:rsidP="00163B94" w:rsidRDefault="009D3FB5" w14:paraId="417E486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4AD9A46" w14:textId="77777777">
      <w:pPr>
        <w:pStyle w:val="Descripcin"/>
        <w:spacing w:before="120" w:after="120"/>
        <w:ind w:left="851" w:right="851" w:firstLine="709"/>
        <w:jc w:val="center"/>
        <w:rPr>
          <w:rFonts w:ascii="Times New Roman" w:hAnsi="Times New Roman" w:cs="Times New Roman"/>
          <w:sz w:val="26"/>
          <w:szCs w:val="26"/>
        </w:rPr>
      </w:pPr>
      <w:bookmarkStart w:name="_Hlk32233526" w:id="65"/>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3</w:t>
      </w:r>
      <w:r w:rsidRPr="00AE1B2B">
        <w:rPr>
          <w:rFonts w:ascii="Times New Roman" w:hAnsi="Times New Roman" w:cs="Times New Roman"/>
          <w:sz w:val="26"/>
          <w:szCs w:val="26"/>
        </w:rPr>
        <w:fldChar w:fldCharType="end"/>
      </w:r>
    </w:p>
    <w:p w:rsidRPr="00AE1B2B" w:rsidR="009D3FB5" w:rsidP="00163B94" w:rsidRDefault="009D3FB5" w14:paraId="33044200" w14:textId="77777777">
      <w:pPr>
        <w:keepNext/>
        <w:numPr>
          <w:ilvl w:val="12"/>
          <w:numId w:val="0"/>
        </w:numPr>
        <w:spacing w:before="120" w:after="120"/>
        <w:ind w:left="851" w:right="851" w:firstLine="709"/>
        <w:jc w:val="center"/>
        <w:rPr>
          <w:rFonts w:ascii="Times New Roman" w:hAnsi="Times New Roman" w:eastAsia="Times New Roman" w:cs="Times New Roman"/>
          <w:b/>
          <w:bCs/>
          <w:sz w:val="26"/>
          <w:szCs w:val="26"/>
          <w:lang w:eastAsia="es-ES"/>
        </w:rPr>
      </w:pPr>
      <w:r w:rsidRPr="00AE1B2B">
        <w:rPr>
          <w:rFonts w:ascii="Times New Roman" w:hAnsi="Times New Roman" w:eastAsia="Times New Roman" w:cs="Times New Roman"/>
          <w:b/>
          <w:bCs/>
          <w:sz w:val="26"/>
          <w:szCs w:val="26"/>
          <w:lang w:eastAsia="es-ES"/>
        </w:rPr>
        <w:t>Movimiento histórico de la entrada por persona juzgadora en los Juzgados Especializados de la materia de Familia, del 2015 al 2019</w:t>
      </w:r>
    </w:p>
    <w:tbl>
      <w:tblPr>
        <w:tblW w:w="496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2372"/>
        <w:gridCol w:w="2129"/>
        <w:gridCol w:w="2131"/>
        <w:gridCol w:w="2131"/>
      </w:tblGrid>
      <w:tr w:rsidRPr="00AE1B2B" w:rsidR="00AE1B2B" w:rsidTr="009D3FB5" w14:paraId="21491BF6" w14:textId="77777777">
        <w:trPr>
          <w:trHeight w:val="20"/>
          <w:tblHeader/>
          <w:jc w:val="center"/>
        </w:trPr>
        <w:tc>
          <w:tcPr>
            <w:tcW w:w="1353" w:type="pct"/>
            <w:shd w:val="clear" w:color="000000" w:fill="002060"/>
            <w:vAlign w:val="center"/>
            <w:hideMark/>
          </w:tcPr>
          <w:p w:rsidRPr="00AE1B2B" w:rsidR="009D3FB5" w:rsidP="00163B94" w:rsidRDefault="009D3FB5" w14:paraId="4564DA4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Motivo de Entrada</w:t>
            </w:r>
          </w:p>
        </w:tc>
        <w:tc>
          <w:tcPr>
            <w:tcW w:w="1215" w:type="pct"/>
            <w:shd w:val="clear" w:color="000000" w:fill="002060"/>
            <w:vAlign w:val="center"/>
            <w:hideMark/>
          </w:tcPr>
          <w:p w:rsidRPr="00AE1B2B" w:rsidR="009D3FB5" w:rsidP="00163B94" w:rsidRDefault="009D3FB5" w14:paraId="4916E5A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Anual</w:t>
            </w:r>
          </w:p>
        </w:tc>
        <w:tc>
          <w:tcPr>
            <w:tcW w:w="1216" w:type="pct"/>
            <w:shd w:val="clear" w:color="000000" w:fill="002060"/>
            <w:vAlign w:val="center"/>
            <w:hideMark/>
          </w:tcPr>
          <w:p w:rsidRPr="00AE1B2B" w:rsidR="009D3FB5" w:rsidP="00163B94" w:rsidRDefault="009D3FB5" w14:paraId="0E752E4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Promedio de Entrada</w:t>
            </w:r>
          </w:p>
        </w:tc>
        <w:tc>
          <w:tcPr>
            <w:tcW w:w="1216" w:type="pct"/>
            <w:shd w:val="clear" w:color="000000" w:fill="002060"/>
            <w:vAlign w:val="center"/>
            <w:hideMark/>
          </w:tcPr>
          <w:p w:rsidRPr="00AE1B2B" w:rsidR="009D3FB5" w:rsidP="00163B94" w:rsidRDefault="009D3FB5" w14:paraId="407D483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Entrada mensual por persona juzgadora </w:t>
            </w:r>
          </w:p>
        </w:tc>
      </w:tr>
      <w:tr w:rsidRPr="00AE1B2B" w:rsidR="00AE1B2B" w:rsidTr="009D3FB5" w14:paraId="54751D8A" w14:textId="77777777">
        <w:trPr>
          <w:trHeight w:val="20"/>
          <w:jc w:val="center"/>
        </w:trPr>
        <w:tc>
          <w:tcPr>
            <w:tcW w:w="1353" w:type="pct"/>
            <w:shd w:val="clear" w:color="auto" w:fill="auto"/>
            <w:noWrap/>
            <w:vAlign w:val="bottom"/>
          </w:tcPr>
          <w:p w:rsidRPr="00AE1B2B" w:rsidR="009D3FB5" w:rsidP="00163B94" w:rsidRDefault="009D3FB5" w14:paraId="0CC2710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Principal</w:t>
            </w:r>
          </w:p>
        </w:tc>
        <w:tc>
          <w:tcPr>
            <w:tcW w:w="1215" w:type="pct"/>
            <w:tcBorders>
              <w:top w:val="single" w:color="auto" w:sz="4" w:space="0"/>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1A75F58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1791</w:t>
            </w:r>
          </w:p>
        </w:tc>
        <w:tc>
          <w:tcPr>
            <w:tcW w:w="1216" w:type="pct"/>
            <w:tcBorders>
              <w:top w:val="single" w:color="auto" w:sz="4" w:space="0"/>
              <w:left w:val="nil"/>
              <w:bottom w:val="single" w:color="auto" w:sz="4" w:space="0"/>
              <w:right w:val="single" w:color="auto" w:sz="4" w:space="0"/>
            </w:tcBorders>
            <w:shd w:val="clear" w:color="auto" w:fill="auto"/>
            <w:noWrap/>
            <w:vAlign w:val="center"/>
          </w:tcPr>
          <w:p w:rsidRPr="00AE1B2B" w:rsidR="009D3FB5" w:rsidP="00163B94" w:rsidRDefault="009D3FB5" w14:paraId="3A58FE6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77%</w:t>
            </w:r>
          </w:p>
        </w:tc>
        <w:tc>
          <w:tcPr>
            <w:tcW w:w="1216" w:type="pct"/>
            <w:tcBorders>
              <w:top w:val="single" w:color="auto" w:sz="4" w:space="0"/>
              <w:left w:val="nil"/>
              <w:bottom w:val="single" w:color="auto" w:sz="4" w:space="0"/>
              <w:right w:val="single" w:color="auto" w:sz="4" w:space="0"/>
            </w:tcBorders>
            <w:shd w:val="clear" w:color="auto" w:fill="auto"/>
            <w:noWrap/>
            <w:vAlign w:val="center"/>
          </w:tcPr>
          <w:p w:rsidRPr="00AE1B2B" w:rsidR="009D3FB5" w:rsidP="00163B94" w:rsidRDefault="009D3FB5" w14:paraId="0325994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56,8</w:t>
            </w:r>
          </w:p>
        </w:tc>
      </w:tr>
      <w:tr w:rsidRPr="00AE1B2B" w:rsidR="00AE1B2B" w:rsidTr="009D3FB5" w14:paraId="72597843" w14:textId="77777777">
        <w:trPr>
          <w:trHeight w:val="20"/>
          <w:jc w:val="center"/>
        </w:trPr>
        <w:tc>
          <w:tcPr>
            <w:tcW w:w="1353" w:type="pct"/>
            <w:shd w:val="clear" w:color="auto" w:fill="auto"/>
            <w:noWrap/>
            <w:vAlign w:val="bottom"/>
          </w:tcPr>
          <w:p w:rsidRPr="00AE1B2B" w:rsidR="009D3FB5" w:rsidP="00163B94" w:rsidRDefault="009D3FB5" w14:paraId="2BFB298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Segunda Instancia</w:t>
            </w:r>
          </w:p>
        </w:tc>
        <w:tc>
          <w:tcPr>
            <w:tcW w:w="1215" w:type="pct"/>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5D75DEB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382</w:t>
            </w:r>
          </w:p>
        </w:tc>
        <w:tc>
          <w:tcPr>
            <w:tcW w:w="1216"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0DEDD9D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16%</w:t>
            </w:r>
          </w:p>
        </w:tc>
        <w:tc>
          <w:tcPr>
            <w:tcW w:w="1216"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78C9D76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12,2</w:t>
            </w:r>
          </w:p>
        </w:tc>
      </w:tr>
      <w:tr w:rsidRPr="00AE1B2B" w:rsidR="00AE1B2B" w:rsidTr="009D3FB5" w14:paraId="48166F1B" w14:textId="77777777">
        <w:trPr>
          <w:trHeight w:val="20"/>
          <w:jc w:val="center"/>
        </w:trPr>
        <w:tc>
          <w:tcPr>
            <w:tcW w:w="1353" w:type="pct"/>
            <w:shd w:val="clear" w:color="auto" w:fill="auto"/>
            <w:noWrap/>
            <w:vAlign w:val="center"/>
            <w:hideMark/>
          </w:tcPr>
          <w:p w:rsidRPr="00AE1B2B" w:rsidR="009D3FB5" w:rsidP="00163B94" w:rsidRDefault="009D3FB5" w14:paraId="6D67874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Reentrados</w:t>
            </w:r>
          </w:p>
        </w:tc>
        <w:tc>
          <w:tcPr>
            <w:tcW w:w="1215" w:type="pct"/>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37BD2F5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124</w:t>
            </w:r>
          </w:p>
        </w:tc>
        <w:tc>
          <w:tcPr>
            <w:tcW w:w="121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FCD1AC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w:t>
            </w:r>
          </w:p>
        </w:tc>
        <w:tc>
          <w:tcPr>
            <w:tcW w:w="121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A88404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4,1</w:t>
            </w:r>
          </w:p>
        </w:tc>
      </w:tr>
      <w:tr w:rsidRPr="00AE1B2B" w:rsidR="00AE1B2B" w:rsidTr="009D3FB5" w14:paraId="71269607" w14:textId="77777777">
        <w:trPr>
          <w:trHeight w:val="20"/>
          <w:jc w:val="center"/>
        </w:trPr>
        <w:tc>
          <w:tcPr>
            <w:tcW w:w="1353" w:type="pct"/>
            <w:shd w:val="clear" w:color="auto" w:fill="auto"/>
            <w:noWrap/>
            <w:vAlign w:val="bottom"/>
          </w:tcPr>
          <w:p w:rsidRPr="00AE1B2B" w:rsidR="009D3FB5" w:rsidP="00163B94" w:rsidRDefault="009D3FB5" w14:paraId="1FB1490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Incidentes</w:t>
            </w:r>
          </w:p>
        </w:tc>
        <w:tc>
          <w:tcPr>
            <w:tcW w:w="1215" w:type="pct"/>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6F4C8DA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42</w:t>
            </w:r>
          </w:p>
        </w:tc>
        <w:tc>
          <w:tcPr>
            <w:tcW w:w="1216"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66E32B4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1216"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33FFA34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1,4</w:t>
            </w:r>
          </w:p>
        </w:tc>
      </w:tr>
      <w:tr w:rsidRPr="00AE1B2B" w:rsidR="00AE1B2B" w:rsidTr="009D3FB5" w14:paraId="618633F0" w14:textId="77777777">
        <w:trPr>
          <w:trHeight w:val="20"/>
          <w:jc w:val="center"/>
        </w:trPr>
        <w:tc>
          <w:tcPr>
            <w:tcW w:w="1353" w:type="pct"/>
            <w:shd w:val="clear" w:color="auto" w:fill="808080" w:themeFill="background1" w:themeFillShade="80"/>
            <w:noWrap/>
            <w:vAlign w:val="bottom"/>
            <w:hideMark/>
          </w:tcPr>
          <w:p w:rsidRPr="00AE1B2B" w:rsidR="009D3FB5" w:rsidP="00163B94" w:rsidRDefault="009D3FB5" w14:paraId="70568B31" w14:textId="77777777">
            <w:pPr>
              <w:spacing w:before="120" w:after="120" w:line="276" w:lineRule="auto"/>
              <w:jc w:val="right"/>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Total</w:t>
            </w:r>
          </w:p>
        </w:tc>
        <w:tc>
          <w:tcPr>
            <w:tcW w:w="1215" w:type="pct"/>
            <w:tcBorders>
              <w:top w:val="nil"/>
              <w:left w:val="single" w:color="auto" w:sz="4" w:space="0"/>
              <w:bottom w:val="single" w:color="auto" w:sz="4" w:space="0"/>
              <w:right w:val="single" w:color="auto" w:sz="4" w:space="0"/>
            </w:tcBorders>
            <w:shd w:val="clear" w:color="000000" w:fill="808080"/>
            <w:noWrap/>
            <w:vAlign w:val="center"/>
          </w:tcPr>
          <w:p w:rsidRPr="00AE1B2B" w:rsidR="009D3FB5" w:rsidP="00163B94" w:rsidRDefault="009D3FB5" w14:paraId="4326D25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2338</w:t>
            </w:r>
          </w:p>
        </w:tc>
        <w:tc>
          <w:tcPr>
            <w:tcW w:w="1216"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4360DB2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rPr>
              <w:t>100%</w:t>
            </w:r>
          </w:p>
        </w:tc>
        <w:tc>
          <w:tcPr>
            <w:tcW w:w="1216"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75C3544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74</w:t>
            </w:r>
          </w:p>
        </w:tc>
      </w:tr>
    </w:tbl>
    <w:bookmarkEnd w:id="65"/>
    <w:p w:rsidRPr="00AE1B2B" w:rsidR="009D3FB5" w:rsidP="00163B94" w:rsidRDefault="009D3FB5" w14:paraId="748364E9"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Subproceso de Modernización Institucional, con datos del Subproceso de Estadística del 2015 al 2019 (los datos de incidentes y segunda instancia se registran a partir del 2018).</w:t>
      </w:r>
    </w:p>
    <w:p w:rsidRPr="00AE1B2B" w:rsidR="009D3FB5" w:rsidP="00163B94" w:rsidRDefault="009D3FB5" w14:paraId="6FC33FF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079FAB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 la información del cuadro anterior, durante el periodo en análisis, se tiene un promedio anual de ingreso de 2 338 asuntos, de los cuales un 77% corresponde a la entrada de asuntos nuevos, seguido de un 16% de los asuntos de segunda instancia, un 5% son expedientes reentrados y, por último, un 2% de incidentes; para un ingreso por persona juzgadora de 74 expedientes mensuales, donde se contabilizó 35 personas juzgadoras destacas en despachos especializados en materia de Familia</w:t>
      </w:r>
      <w:r w:rsidRPr="00AE1B2B" w:rsidDel="004A6A53">
        <w:rPr>
          <w:rFonts w:ascii="Times New Roman" w:hAnsi="Times New Roman" w:cs="Times New Roman"/>
          <w:sz w:val="26"/>
          <w:szCs w:val="26"/>
        </w:rPr>
        <w:t>.</w:t>
      </w:r>
    </w:p>
    <w:p w:rsidRPr="00AE1B2B" w:rsidR="009D3FB5" w:rsidP="00163B94" w:rsidRDefault="009D3FB5" w14:paraId="52940E6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4FA6489"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napToGrid w:val="0"/>
          <w:sz w:val="26"/>
          <w:szCs w:val="26"/>
        </w:rPr>
        <w:t>Distribución de la entrada por tipo de Proceso</w:t>
      </w:r>
    </w:p>
    <w:p w:rsidRPr="00AE1B2B" w:rsidR="009D3FB5" w:rsidP="00163B94" w:rsidRDefault="009D3FB5" w14:paraId="64EF95B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siguiente gráfico se muestra la distribución de la entrada por el tipo de proceso en los Juzgados Especializados de Familia, durante el periodo del 2015 al 2019.</w:t>
      </w:r>
    </w:p>
    <w:p w:rsidRPr="00AE1B2B" w:rsidR="009D3FB5" w:rsidP="00163B94" w:rsidRDefault="009D3FB5" w14:paraId="564E6A6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9561AF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7543145" w14:textId="70D002E1">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4</w:t>
      </w:r>
      <w:r w:rsidRPr="00AE1B2B">
        <w:rPr>
          <w:rFonts w:ascii="Times New Roman" w:hAnsi="Times New Roman" w:cs="Times New Roman"/>
          <w:sz w:val="26"/>
          <w:szCs w:val="26"/>
        </w:rPr>
        <w:fldChar w:fldCharType="end"/>
      </w:r>
    </w:p>
    <w:p w:rsidRPr="00AE1B2B" w:rsidR="009D3FB5" w:rsidP="00163B94" w:rsidRDefault="009D3FB5" w14:paraId="13F2F3DE" w14:textId="770B7649">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Distribución de la entrada promedio por tipo de asunto en</w:t>
      </w:r>
    </w:p>
    <w:p w:rsidRPr="00AE1B2B" w:rsidR="009D3FB5" w:rsidP="00163B94" w:rsidRDefault="009D3FB5" w14:paraId="6A825048"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los Juzgados Especializados de la materia de Familia, del 2015 al 2019</w:t>
      </w:r>
    </w:p>
    <w:tbl>
      <w:tblPr>
        <w:tblW w:w="88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5898"/>
        <w:gridCol w:w="1688"/>
        <w:gridCol w:w="1242"/>
      </w:tblGrid>
      <w:tr w:rsidRPr="00AE1B2B" w:rsidR="00AE1B2B" w:rsidTr="009D3FB5" w14:paraId="5DF05F65" w14:textId="77777777">
        <w:trPr>
          <w:trHeight w:val="20"/>
          <w:tblHeader/>
          <w:jc w:val="center"/>
        </w:trPr>
        <w:tc>
          <w:tcPr>
            <w:tcW w:w="5898" w:type="dxa"/>
            <w:shd w:val="clear" w:color="000000" w:fill="002060"/>
            <w:vAlign w:val="center"/>
            <w:hideMark/>
          </w:tcPr>
          <w:p w:rsidRPr="00AE1B2B" w:rsidR="009D3FB5" w:rsidP="00163B94" w:rsidRDefault="009D3FB5" w14:paraId="244EC2A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Tipo de casos entrados</w:t>
            </w:r>
          </w:p>
        </w:tc>
        <w:tc>
          <w:tcPr>
            <w:tcW w:w="1688" w:type="dxa"/>
            <w:shd w:val="clear" w:color="000000" w:fill="002060"/>
            <w:vAlign w:val="center"/>
            <w:hideMark/>
          </w:tcPr>
          <w:p w:rsidRPr="00AE1B2B" w:rsidR="009D3FB5" w:rsidP="00163B94" w:rsidRDefault="009D3FB5" w14:paraId="7C8F75F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Promedio anual de entrada 2015 a 2019</w:t>
            </w:r>
          </w:p>
        </w:tc>
        <w:tc>
          <w:tcPr>
            <w:tcW w:w="1242" w:type="dxa"/>
            <w:shd w:val="clear" w:color="000000" w:fill="002060"/>
            <w:vAlign w:val="center"/>
            <w:hideMark/>
          </w:tcPr>
          <w:p w:rsidRPr="00AE1B2B" w:rsidR="009D3FB5" w:rsidP="00163B94" w:rsidRDefault="009D3FB5" w14:paraId="26AD35A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Porcentaje</w:t>
            </w:r>
          </w:p>
        </w:tc>
      </w:tr>
      <w:tr w:rsidRPr="00AE1B2B" w:rsidR="00AE1B2B" w:rsidTr="009D3FB5" w14:paraId="7311DE9E" w14:textId="77777777">
        <w:trPr>
          <w:trHeight w:val="20"/>
          <w:jc w:val="center"/>
        </w:trPr>
        <w:tc>
          <w:tcPr>
            <w:tcW w:w="5898" w:type="dxa"/>
            <w:shd w:val="clear" w:color="auto" w:fill="auto"/>
            <w:noWrap/>
            <w:vAlign w:val="center"/>
            <w:hideMark/>
          </w:tcPr>
          <w:p w:rsidRPr="00AE1B2B" w:rsidR="009D3FB5" w:rsidP="00163B94" w:rsidRDefault="009D3FB5" w14:paraId="69889F1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Divorcio o separación judicial por mutuo acuerdo</w:t>
            </w:r>
          </w:p>
        </w:tc>
        <w:tc>
          <w:tcPr>
            <w:tcW w:w="1688" w:type="dxa"/>
            <w:shd w:val="clear" w:color="auto" w:fill="auto"/>
            <w:noWrap/>
            <w:vAlign w:val="center"/>
            <w:hideMark/>
          </w:tcPr>
          <w:p w:rsidRPr="00AE1B2B" w:rsidR="009D3FB5" w:rsidP="00163B94" w:rsidRDefault="009D3FB5" w14:paraId="394B7FA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8828</w:t>
            </w:r>
          </w:p>
        </w:tc>
        <w:tc>
          <w:tcPr>
            <w:tcW w:w="1242" w:type="dxa"/>
            <w:shd w:val="clear" w:color="auto" w:fill="auto"/>
            <w:noWrap/>
            <w:vAlign w:val="center"/>
            <w:hideMark/>
          </w:tcPr>
          <w:p w:rsidRPr="00AE1B2B" w:rsidR="009D3FB5" w:rsidP="00163B94" w:rsidRDefault="009D3FB5" w14:paraId="206C3AA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37,6%</w:t>
            </w:r>
          </w:p>
        </w:tc>
      </w:tr>
      <w:tr w:rsidRPr="00AE1B2B" w:rsidR="00AE1B2B" w:rsidTr="009D3FB5" w14:paraId="1E44FC31" w14:textId="77777777">
        <w:trPr>
          <w:trHeight w:val="20"/>
          <w:jc w:val="center"/>
        </w:trPr>
        <w:tc>
          <w:tcPr>
            <w:tcW w:w="5898" w:type="dxa"/>
            <w:shd w:val="clear" w:color="auto" w:fill="auto"/>
            <w:noWrap/>
            <w:vAlign w:val="center"/>
            <w:hideMark/>
          </w:tcPr>
          <w:p w:rsidRPr="00AE1B2B" w:rsidR="009D3FB5" w:rsidP="00163B94" w:rsidRDefault="009D3FB5" w14:paraId="0F96531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Divorcio</w:t>
            </w:r>
          </w:p>
        </w:tc>
        <w:tc>
          <w:tcPr>
            <w:tcW w:w="1688" w:type="dxa"/>
            <w:shd w:val="clear" w:color="auto" w:fill="auto"/>
            <w:noWrap/>
            <w:vAlign w:val="center"/>
            <w:hideMark/>
          </w:tcPr>
          <w:p w:rsidRPr="00AE1B2B" w:rsidR="009D3FB5" w:rsidP="00163B94" w:rsidRDefault="009D3FB5" w14:paraId="14FDED8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2499</w:t>
            </w:r>
          </w:p>
        </w:tc>
        <w:tc>
          <w:tcPr>
            <w:tcW w:w="1242" w:type="dxa"/>
            <w:shd w:val="clear" w:color="auto" w:fill="auto"/>
            <w:noWrap/>
            <w:vAlign w:val="center"/>
            <w:hideMark/>
          </w:tcPr>
          <w:p w:rsidRPr="00AE1B2B" w:rsidR="009D3FB5" w:rsidP="00163B94" w:rsidRDefault="009D3FB5" w14:paraId="6C8DFD8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10,6%</w:t>
            </w:r>
          </w:p>
        </w:tc>
      </w:tr>
      <w:tr w:rsidRPr="00AE1B2B" w:rsidR="00AE1B2B" w:rsidTr="009D3FB5" w14:paraId="71F024C7" w14:textId="77777777">
        <w:trPr>
          <w:trHeight w:val="20"/>
          <w:jc w:val="center"/>
        </w:trPr>
        <w:tc>
          <w:tcPr>
            <w:tcW w:w="5898" w:type="dxa"/>
            <w:shd w:val="clear" w:color="auto" w:fill="auto"/>
            <w:noWrap/>
            <w:vAlign w:val="center"/>
            <w:hideMark/>
          </w:tcPr>
          <w:p w:rsidRPr="00AE1B2B" w:rsidR="009D3FB5" w:rsidP="00163B94" w:rsidRDefault="009D3FB5" w14:paraId="578BA1E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Interrelación familiar (régimen de visitas)</w:t>
            </w:r>
          </w:p>
        </w:tc>
        <w:tc>
          <w:tcPr>
            <w:tcW w:w="1688" w:type="dxa"/>
            <w:shd w:val="clear" w:color="auto" w:fill="auto"/>
            <w:noWrap/>
            <w:vAlign w:val="center"/>
            <w:hideMark/>
          </w:tcPr>
          <w:p w:rsidRPr="00AE1B2B" w:rsidR="009D3FB5" w:rsidP="00163B94" w:rsidRDefault="009D3FB5" w14:paraId="22CF7E1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1718</w:t>
            </w:r>
          </w:p>
        </w:tc>
        <w:tc>
          <w:tcPr>
            <w:tcW w:w="1242" w:type="dxa"/>
            <w:shd w:val="clear" w:color="auto" w:fill="auto"/>
            <w:noWrap/>
            <w:vAlign w:val="center"/>
            <w:hideMark/>
          </w:tcPr>
          <w:p w:rsidRPr="00AE1B2B" w:rsidR="009D3FB5" w:rsidP="00163B94" w:rsidRDefault="009D3FB5" w14:paraId="0D257B1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7,3%</w:t>
            </w:r>
          </w:p>
        </w:tc>
      </w:tr>
      <w:tr w:rsidRPr="00AE1B2B" w:rsidR="00AE1B2B" w:rsidTr="009D3FB5" w14:paraId="2F8AD434" w14:textId="77777777">
        <w:trPr>
          <w:trHeight w:val="20"/>
          <w:jc w:val="center"/>
        </w:trPr>
        <w:tc>
          <w:tcPr>
            <w:tcW w:w="5898" w:type="dxa"/>
            <w:shd w:val="clear" w:color="auto" w:fill="auto"/>
            <w:noWrap/>
            <w:vAlign w:val="center"/>
          </w:tcPr>
          <w:p w:rsidRPr="00AE1B2B" w:rsidR="009D3FB5" w:rsidP="00163B94" w:rsidRDefault="009D3FB5" w14:paraId="24BFD71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Solicitud de matrimonio</w:t>
            </w:r>
          </w:p>
        </w:tc>
        <w:tc>
          <w:tcPr>
            <w:tcW w:w="1688" w:type="dxa"/>
            <w:shd w:val="clear" w:color="auto" w:fill="auto"/>
            <w:noWrap/>
            <w:vAlign w:val="center"/>
          </w:tcPr>
          <w:p w:rsidRPr="00AE1B2B" w:rsidR="009D3FB5" w:rsidP="00163B94" w:rsidRDefault="009D3FB5" w14:paraId="6EAA4286"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1167</w:t>
            </w:r>
          </w:p>
        </w:tc>
        <w:tc>
          <w:tcPr>
            <w:tcW w:w="1242" w:type="dxa"/>
            <w:shd w:val="clear" w:color="auto" w:fill="auto"/>
            <w:noWrap/>
            <w:vAlign w:val="center"/>
          </w:tcPr>
          <w:p w:rsidRPr="00AE1B2B" w:rsidR="009D3FB5" w:rsidP="00163B94" w:rsidRDefault="009D3FB5" w14:paraId="14C6F3F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r>
      <w:tr w:rsidRPr="00AE1B2B" w:rsidR="00AE1B2B" w:rsidTr="009D3FB5" w14:paraId="40C9C0C4" w14:textId="77777777">
        <w:trPr>
          <w:trHeight w:val="20"/>
          <w:jc w:val="center"/>
        </w:trPr>
        <w:tc>
          <w:tcPr>
            <w:tcW w:w="5898" w:type="dxa"/>
            <w:shd w:val="clear" w:color="auto" w:fill="auto"/>
            <w:noWrap/>
            <w:vAlign w:val="center"/>
          </w:tcPr>
          <w:p w:rsidRPr="00AE1B2B" w:rsidR="009D3FB5" w:rsidP="00163B94" w:rsidRDefault="009D3FB5" w14:paraId="7BFB979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Otros (otros + asuntos con menos de 100 casos por año)</w:t>
            </w:r>
          </w:p>
        </w:tc>
        <w:tc>
          <w:tcPr>
            <w:tcW w:w="1688" w:type="dxa"/>
            <w:shd w:val="clear" w:color="auto" w:fill="auto"/>
            <w:noWrap/>
            <w:vAlign w:val="center"/>
          </w:tcPr>
          <w:p w:rsidRPr="00AE1B2B" w:rsidR="009D3FB5" w:rsidP="00163B94" w:rsidRDefault="009D3FB5" w14:paraId="7DF29D38"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1055</w:t>
            </w:r>
          </w:p>
        </w:tc>
        <w:tc>
          <w:tcPr>
            <w:tcW w:w="1242" w:type="dxa"/>
            <w:shd w:val="clear" w:color="auto" w:fill="auto"/>
            <w:noWrap/>
            <w:vAlign w:val="center"/>
          </w:tcPr>
          <w:p w:rsidRPr="00AE1B2B" w:rsidR="009D3FB5" w:rsidP="00163B94" w:rsidRDefault="009D3FB5" w14:paraId="5F865DC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4,5%</w:t>
            </w:r>
          </w:p>
        </w:tc>
      </w:tr>
      <w:tr w:rsidRPr="00AE1B2B" w:rsidR="00AE1B2B" w:rsidTr="009D3FB5" w14:paraId="292824A2" w14:textId="77777777">
        <w:trPr>
          <w:trHeight w:val="20"/>
          <w:jc w:val="center"/>
        </w:trPr>
        <w:tc>
          <w:tcPr>
            <w:tcW w:w="5898" w:type="dxa"/>
            <w:shd w:val="clear" w:color="auto" w:fill="auto"/>
            <w:noWrap/>
            <w:vAlign w:val="center"/>
            <w:hideMark/>
          </w:tcPr>
          <w:p w:rsidRPr="00AE1B2B" w:rsidR="009D3FB5" w:rsidP="00163B94" w:rsidRDefault="009D3FB5" w14:paraId="16F4EEA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Reconocimiento de hija o de hijo de mujer casada no contencioso</w:t>
            </w:r>
          </w:p>
        </w:tc>
        <w:tc>
          <w:tcPr>
            <w:tcW w:w="1688" w:type="dxa"/>
            <w:shd w:val="clear" w:color="auto" w:fill="auto"/>
            <w:noWrap/>
            <w:vAlign w:val="center"/>
            <w:hideMark/>
          </w:tcPr>
          <w:p w:rsidRPr="00AE1B2B" w:rsidR="009D3FB5" w:rsidP="00163B94" w:rsidRDefault="009D3FB5" w14:paraId="4D735EA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864</w:t>
            </w:r>
          </w:p>
        </w:tc>
        <w:tc>
          <w:tcPr>
            <w:tcW w:w="1242" w:type="dxa"/>
            <w:shd w:val="clear" w:color="auto" w:fill="auto"/>
            <w:noWrap/>
            <w:vAlign w:val="center"/>
            <w:hideMark/>
          </w:tcPr>
          <w:p w:rsidRPr="00AE1B2B" w:rsidR="009D3FB5" w:rsidP="00163B94" w:rsidRDefault="009D3FB5" w14:paraId="5E02B6B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3,7%</w:t>
            </w:r>
          </w:p>
        </w:tc>
      </w:tr>
      <w:tr w:rsidRPr="00AE1B2B" w:rsidR="00AE1B2B" w:rsidTr="009D3FB5" w14:paraId="5BE01BFF" w14:textId="77777777">
        <w:trPr>
          <w:trHeight w:val="20"/>
          <w:jc w:val="center"/>
        </w:trPr>
        <w:tc>
          <w:tcPr>
            <w:tcW w:w="5898" w:type="dxa"/>
            <w:shd w:val="clear" w:color="auto" w:fill="auto"/>
            <w:noWrap/>
            <w:vAlign w:val="center"/>
            <w:hideMark/>
          </w:tcPr>
          <w:p w:rsidRPr="00AE1B2B" w:rsidR="009D3FB5" w:rsidP="00163B94" w:rsidRDefault="009D3FB5" w14:paraId="04121D6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Guarda crianza y educación</w:t>
            </w:r>
          </w:p>
        </w:tc>
        <w:tc>
          <w:tcPr>
            <w:tcW w:w="1688" w:type="dxa"/>
            <w:shd w:val="clear" w:color="auto" w:fill="auto"/>
            <w:noWrap/>
            <w:vAlign w:val="center"/>
            <w:hideMark/>
          </w:tcPr>
          <w:p w:rsidRPr="00AE1B2B" w:rsidR="009D3FB5" w:rsidP="00163B94" w:rsidRDefault="009D3FB5" w14:paraId="45FE443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674</w:t>
            </w:r>
          </w:p>
        </w:tc>
        <w:tc>
          <w:tcPr>
            <w:tcW w:w="1242" w:type="dxa"/>
            <w:shd w:val="clear" w:color="auto" w:fill="auto"/>
            <w:noWrap/>
            <w:vAlign w:val="center"/>
            <w:hideMark/>
          </w:tcPr>
          <w:p w:rsidRPr="00AE1B2B" w:rsidR="009D3FB5" w:rsidP="00163B94" w:rsidRDefault="009D3FB5" w14:paraId="468AF4D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w:t>
            </w:r>
          </w:p>
        </w:tc>
      </w:tr>
      <w:tr w:rsidRPr="00AE1B2B" w:rsidR="00AE1B2B" w:rsidTr="009D3FB5" w14:paraId="4F260BD7" w14:textId="77777777">
        <w:trPr>
          <w:trHeight w:val="20"/>
          <w:jc w:val="center"/>
        </w:trPr>
        <w:tc>
          <w:tcPr>
            <w:tcW w:w="5898" w:type="dxa"/>
            <w:shd w:val="clear" w:color="auto" w:fill="auto"/>
            <w:noWrap/>
            <w:vAlign w:val="center"/>
          </w:tcPr>
          <w:p w:rsidRPr="00AE1B2B" w:rsidR="009D3FB5" w:rsidP="00163B94" w:rsidRDefault="009D3FB5" w14:paraId="3F9EE672"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Celebración de matrimonio</w:t>
            </w:r>
          </w:p>
        </w:tc>
        <w:tc>
          <w:tcPr>
            <w:tcW w:w="1688" w:type="dxa"/>
            <w:shd w:val="clear" w:color="auto" w:fill="auto"/>
            <w:noWrap/>
            <w:vAlign w:val="center"/>
          </w:tcPr>
          <w:p w:rsidRPr="00AE1B2B" w:rsidR="009D3FB5" w:rsidP="00163B94" w:rsidRDefault="009D3FB5" w14:paraId="4DFB70F7"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656</w:t>
            </w:r>
          </w:p>
        </w:tc>
        <w:tc>
          <w:tcPr>
            <w:tcW w:w="1242" w:type="dxa"/>
            <w:shd w:val="clear" w:color="auto" w:fill="auto"/>
            <w:noWrap/>
            <w:vAlign w:val="center"/>
          </w:tcPr>
          <w:p w:rsidRPr="00AE1B2B" w:rsidR="009D3FB5" w:rsidP="00163B94" w:rsidRDefault="009D3FB5" w14:paraId="42298D7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2,8%</w:t>
            </w:r>
          </w:p>
        </w:tc>
      </w:tr>
      <w:tr w:rsidRPr="00AE1B2B" w:rsidR="00AE1B2B" w:rsidTr="009D3FB5" w14:paraId="24A105C4" w14:textId="77777777">
        <w:trPr>
          <w:trHeight w:val="20"/>
          <w:jc w:val="center"/>
        </w:trPr>
        <w:tc>
          <w:tcPr>
            <w:tcW w:w="5898" w:type="dxa"/>
            <w:shd w:val="clear" w:color="auto" w:fill="auto"/>
            <w:noWrap/>
            <w:vAlign w:val="center"/>
          </w:tcPr>
          <w:p w:rsidRPr="00AE1B2B" w:rsidR="009D3FB5" w:rsidP="00163B94" w:rsidRDefault="009D3FB5" w14:paraId="01A1149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Depósito judicial</w:t>
            </w:r>
          </w:p>
        </w:tc>
        <w:tc>
          <w:tcPr>
            <w:tcW w:w="1688" w:type="dxa"/>
            <w:shd w:val="clear" w:color="auto" w:fill="auto"/>
            <w:noWrap/>
            <w:vAlign w:val="center"/>
          </w:tcPr>
          <w:p w:rsidRPr="00AE1B2B" w:rsidR="009D3FB5" w:rsidP="00163B94" w:rsidRDefault="009D3FB5" w14:paraId="1BA0BF40"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649</w:t>
            </w:r>
          </w:p>
        </w:tc>
        <w:tc>
          <w:tcPr>
            <w:tcW w:w="1242" w:type="dxa"/>
            <w:shd w:val="clear" w:color="auto" w:fill="auto"/>
            <w:noWrap/>
            <w:vAlign w:val="center"/>
          </w:tcPr>
          <w:p w:rsidRPr="00AE1B2B" w:rsidR="009D3FB5" w:rsidP="00163B94" w:rsidRDefault="009D3FB5" w14:paraId="00D5C98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2,8%</w:t>
            </w:r>
          </w:p>
        </w:tc>
      </w:tr>
      <w:tr w:rsidRPr="00AE1B2B" w:rsidR="00AE1B2B" w:rsidTr="009D3FB5" w14:paraId="620AF9D8" w14:textId="77777777">
        <w:trPr>
          <w:trHeight w:val="20"/>
          <w:jc w:val="center"/>
        </w:trPr>
        <w:tc>
          <w:tcPr>
            <w:tcW w:w="5898" w:type="dxa"/>
            <w:shd w:val="clear" w:color="auto" w:fill="auto"/>
            <w:noWrap/>
            <w:vAlign w:val="center"/>
          </w:tcPr>
          <w:p w:rsidRPr="00AE1B2B" w:rsidR="009D3FB5" w:rsidP="00163B94" w:rsidRDefault="009D3FB5" w14:paraId="5066F77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Autorización salida del país</w:t>
            </w:r>
          </w:p>
        </w:tc>
        <w:tc>
          <w:tcPr>
            <w:tcW w:w="1688" w:type="dxa"/>
            <w:shd w:val="clear" w:color="auto" w:fill="auto"/>
            <w:noWrap/>
            <w:vAlign w:val="center"/>
          </w:tcPr>
          <w:p w:rsidRPr="00AE1B2B" w:rsidR="009D3FB5" w:rsidP="00163B94" w:rsidRDefault="009D3FB5" w14:paraId="1931B52E"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542</w:t>
            </w:r>
          </w:p>
        </w:tc>
        <w:tc>
          <w:tcPr>
            <w:tcW w:w="1242" w:type="dxa"/>
            <w:shd w:val="clear" w:color="auto" w:fill="auto"/>
            <w:noWrap/>
            <w:vAlign w:val="center"/>
          </w:tcPr>
          <w:p w:rsidRPr="00AE1B2B" w:rsidR="009D3FB5" w:rsidP="00163B94" w:rsidRDefault="009D3FB5" w14:paraId="23006AB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w:t>
            </w:r>
          </w:p>
        </w:tc>
      </w:tr>
      <w:tr w:rsidRPr="00AE1B2B" w:rsidR="00AE1B2B" w:rsidTr="009D3FB5" w14:paraId="0246EE8E" w14:textId="77777777">
        <w:trPr>
          <w:trHeight w:val="20"/>
          <w:jc w:val="center"/>
        </w:trPr>
        <w:tc>
          <w:tcPr>
            <w:tcW w:w="5898" w:type="dxa"/>
            <w:shd w:val="clear" w:color="auto" w:fill="auto"/>
            <w:noWrap/>
            <w:vAlign w:val="center"/>
            <w:hideMark/>
          </w:tcPr>
          <w:p w:rsidRPr="00AE1B2B" w:rsidR="009D3FB5" w:rsidP="00163B94" w:rsidRDefault="009D3FB5" w14:paraId="5A1FCDF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Salvaguardia</w:t>
            </w:r>
          </w:p>
        </w:tc>
        <w:tc>
          <w:tcPr>
            <w:tcW w:w="1688" w:type="dxa"/>
            <w:shd w:val="clear" w:color="auto" w:fill="auto"/>
            <w:noWrap/>
            <w:vAlign w:val="center"/>
            <w:hideMark/>
          </w:tcPr>
          <w:p w:rsidRPr="00AE1B2B" w:rsidR="009D3FB5" w:rsidP="00163B94" w:rsidRDefault="009D3FB5" w14:paraId="112DC8F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511</w:t>
            </w:r>
          </w:p>
        </w:tc>
        <w:tc>
          <w:tcPr>
            <w:tcW w:w="1242" w:type="dxa"/>
            <w:shd w:val="clear" w:color="auto" w:fill="auto"/>
            <w:noWrap/>
            <w:vAlign w:val="center"/>
            <w:hideMark/>
          </w:tcPr>
          <w:p w:rsidRPr="00AE1B2B" w:rsidR="009D3FB5" w:rsidP="00163B94" w:rsidRDefault="009D3FB5" w14:paraId="24844B3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2,2%</w:t>
            </w:r>
          </w:p>
        </w:tc>
      </w:tr>
      <w:tr w:rsidRPr="00AE1B2B" w:rsidR="00AE1B2B" w:rsidTr="009D3FB5" w14:paraId="2DACA087" w14:textId="77777777">
        <w:trPr>
          <w:trHeight w:val="20"/>
          <w:jc w:val="center"/>
        </w:trPr>
        <w:tc>
          <w:tcPr>
            <w:tcW w:w="5898" w:type="dxa"/>
            <w:shd w:val="clear" w:color="auto" w:fill="auto"/>
            <w:noWrap/>
            <w:vAlign w:val="center"/>
            <w:hideMark/>
          </w:tcPr>
          <w:p w:rsidRPr="00AE1B2B" w:rsidR="009D3FB5" w:rsidP="00163B94" w:rsidRDefault="009D3FB5" w14:paraId="763A621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Impugnación de paternidad</w:t>
            </w:r>
          </w:p>
        </w:tc>
        <w:tc>
          <w:tcPr>
            <w:tcW w:w="1688" w:type="dxa"/>
            <w:shd w:val="clear" w:color="auto" w:fill="auto"/>
            <w:noWrap/>
            <w:vAlign w:val="center"/>
            <w:hideMark/>
          </w:tcPr>
          <w:p w:rsidRPr="00AE1B2B" w:rsidR="009D3FB5" w:rsidP="00163B94" w:rsidRDefault="009D3FB5" w14:paraId="38D15E5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492</w:t>
            </w:r>
          </w:p>
        </w:tc>
        <w:tc>
          <w:tcPr>
            <w:tcW w:w="1242" w:type="dxa"/>
            <w:shd w:val="clear" w:color="auto" w:fill="auto"/>
            <w:noWrap/>
            <w:vAlign w:val="center"/>
            <w:hideMark/>
          </w:tcPr>
          <w:p w:rsidRPr="00AE1B2B" w:rsidR="009D3FB5" w:rsidP="00163B94" w:rsidRDefault="009D3FB5" w14:paraId="531D7F6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2,1%</w:t>
            </w:r>
          </w:p>
        </w:tc>
      </w:tr>
      <w:tr w:rsidRPr="00AE1B2B" w:rsidR="00AE1B2B" w:rsidTr="009D3FB5" w14:paraId="2468CA49" w14:textId="77777777">
        <w:trPr>
          <w:trHeight w:val="20"/>
          <w:jc w:val="center"/>
        </w:trPr>
        <w:tc>
          <w:tcPr>
            <w:tcW w:w="5898" w:type="dxa"/>
            <w:shd w:val="clear" w:color="auto" w:fill="auto"/>
            <w:noWrap/>
            <w:vAlign w:val="center"/>
            <w:hideMark/>
          </w:tcPr>
          <w:p w:rsidRPr="00AE1B2B" w:rsidR="009D3FB5" w:rsidP="00163B94" w:rsidRDefault="009D3FB5" w14:paraId="5297314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Reconocimiento unión de hecho</w:t>
            </w:r>
          </w:p>
        </w:tc>
        <w:tc>
          <w:tcPr>
            <w:tcW w:w="1688" w:type="dxa"/>
            <w:shd w:val="clear" w:color="auto" w:fill="auto"/>
            <w:noWrap/>
            <w:vAlign w:val="center"/>
            <w:hideMark/>
          </w:tcPr>
          <w:p w:rsidRPr="00AE1B2B" w:rsidR="009D3FB5" w:rsidP="00163B94" w:rsidRDefault="009D3FB5" w14:paraId="0D4A99F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397</w:t>
            </w:r>
          </w:p>
        </w:tc>
        <w:tc>
          <w:tcPr>
            <w:tcW w:w="1242" w:type="dxa"/>
            <w:shd w:val="clear" w:color="auto" w:fill="auto"/>
            <w:noWrap/>
            <w:vAlign w:val="center"/>
            <w:hideMark/>
          </w:tcPr>
          <w:p w:rsidRPr="00AE1B2B" w:rsidR="009D3FB5" w:rsidP="00163B94" w:rsidRDefault="009D3FB5" w14:paraId="0202119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w:t>
            </w:r>
          </w:p>
        </w:tc>
      </w:tr>
      <w:tr w:rsidRPr="00AE1B2B" w:rsidR="00AE1B2B" w:rsidTr="009D3FB5" w14:paraId="1829D213" w14:textId="77777777">
        <w:trPr>
          <w:trHeight w:val="20"/>
          <w:jc w:val="center"/>
        </w:trPr>
        <w:tc>
          <w:tcPr>
            <w:tcW w:w="5898" w:type="dxa"/>
            <w:shd w:val="clear" w:color="auto" w:fill="auto"/>
            <w:noWrap/>
            <w:vAlign w:val="center"/>
            <w:hideMark/>
          </w:tcPr>
          <w:p w:rsidRPr="00AE1B2B" w:rsidR="009D3FB5" w:rsidP="00163B94" w:rsidRDefault="009D3FB5" w14:paraId="6325077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Impugnación de reconocimiento</w:t>
            </w:r>
          </w:p>
        </w:tc>
        <w:tc>
          <w:tcPr>
            <w:tcW w:w="1688" w:type="dxa"/>
            <w:shd w:val="clear" w:color="auto" w:fill="auto"/>
            <w:noWrap/>
            <w:vAlign w:val="center"/>
            <w:hideMark/>
          </w:tcPr>
          <w:p w:rsidRPr="00AE1B2B" w:rsidR="009D3FB5" w:rsidP="00163B94" w:rsidRDefault="009D3FB5" w14:paraId="1E9D6DB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386</w:t>
            </w:r>
          </w:p>
        </w:tc>
        <w:tc>
          <w:tcPr>
            <w:tcW w:w="1242" w:type="dxa"/>
            <w:shd w:val="clear" w:color="auto" w:fill="auto"/>
            <w:noWrap/>
            <w:vAlign w:val="center"/>
            <w:hideMark/>
          </w:tcPr>
          <w:p w:rsidRPr="00AE1B2B" w:rsidR="009D3FB5" w:rsidP="00163B94" w:rsidRDefault="009D3FB5" w14:paraId="1887433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w:t>
            </w:r>
          </w:p>
        </w:tc>
      </w:tr>
      <w:tr w:rsidRPr="00AE1B2B" w:rsidR="00AE1B2B" w:rsidTr="009D3FB5" w14:paraId="366F4E35" w14:textId="77777777">
        <w:trPr>
          <w:trHeight w:val="20"/>
          <w:jc w:val="center"/>
        </w:trPr>
        <w:tc>
          <w:tcPr>
            <w:tcW w:w="5898" w:type="dxa"/>
            <w:shd w:val="clear" w:color="auto" w:fill="auto"/>
            <w:noWrap/>
            <w:vAlign w:val="center"/>
            <w:hideMark/>
          </w:tcPr>
          <w:p w:rsidRPr="00AE1B2B" w:rsidR="009D3FB5" w:rsidP="00163B94" w:rsidRDefault="009D3FB5" w14:paraId="176CCE8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Investigación de paternidad</w:t>
            </w:r>
          </w:p>
        </w:tc>
        <w:tc>
          <w:tcPr>
            <w:tcW w:w="1688" w:type="dxa"/>
            <w:shd w:val="clear" w:color="auto" w:fill="auto"/>
            <w:noWrap/>
            <w:vAlign w:val="center"/>
            <w:hideMark/>
          </w:tcPr>
          <w:p w:rsidRPr="00AE1B2B" w:rsidR="009D3FB5" w:rsidP="00163B94" w:rsidRDefault="009D3FB5" w14:paraId="443B467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349</w:t>
            </w:r>
          </w:p>
        </w:tc>
        <w:tc>
          <w:tcPr>
            <w:tcW w:w="1242" w:type="dxa"/>
            <w:shd w:val="clear" w:color="auto" w:fill="auto"/>
            <w:noWrap/>
            <w:vAlign w:val="center"/>
            <w:hideMark/>
          </w:tcPr>
          <w:p w:rsidRPr="00AE1B2B" w:rsidR="009D3FB5" w:rsidP="00163B94" w:rsidRDefault="009D3FB5" w14:paraId="310C0D8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w:t>
            </w:r>
          </w:p>
        </w:tc>
      </w:tr>
      <w:tr w:rsidRPr="00AE1B2B" w:rsidR="00AE1B2B" w:rsidTr="009D3FB5" w14:paraId="4C17C570" w14:textId="77777777">
        <w:trPr>
          <w:trHeight w:val="20"/>
          <w:jc w:val="center"/>
        </w:trPr>
        <w:tc>
          <w:tcPr>
            <w:tcW w:w="5898" w:type="dxa"/>
            <w:shd w:val="clear" w:color="auto" w:fill="auto"/>
            <w:noWrap/>
            <w:vAlign w:val="center"/>
            <w:hideMark/>
          </w:tcPr>
          <w:p w:rsidRPr="00AE1B2B" w:rsidR="009D3FB5" w:rsidP="00163B94" w:rsidRDefault="009D3FB5" w14:paraId="6718052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Declaratoria judicial de abandono</w:t>
            </w:r>
          </w:p>
        </w:tc>
        <w:tc>
          <w:tcPr>
            <w:tcW w:w="1688" w:type="dxa"/>
            <w:shd w:val="clear" w:color="auto" w:fill="auto"/>
            <w:noWrap/>
            <w:vAlign w:val="center"/>
            <w:hideMark/>
          </w:tcPr>
          <w:p w:rsidRPr="00AE1B2B" w:rsidR="009D3FB5" w:rsidP="00163B94" w:rsidRDefault="009D3FB5" w14:paraId="1F8A37A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338</w:t>
            </w:r>
          </w:p>
        </w:tc>
        <w:tc>
          <w:tcPr>
            <w:tcW w:w="1242" w:type="dxa"/>
            <w:shd w:val="clear" w:color="auto" w:fill="auto"/>
            <w:noWrap/>
            <w:vAlign w:val="center"/>
            <w:hideMark/>
          </w:tcPr>
          <w:p w:rsidRPr="00AE1B2B" w:rsidR="009D3FB5" w:rsidP="00163B94" w:rsidRDefault="009D3FB5" w14:paraId="1484F78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w:t>
            </w:r>
          </w:p>
        </w:tc>
      </w:tr>
      <w:tr w:rsidRPr="00AE1B2B" w:rsidR="00AE1B2B" w:rsidTr="009D3FB5" w14:paraId="474A580F" w14:textId="77777777">
        <w:trPr>
          <w:trHeight w:val="20"/>
          <w:jc w:val="center"/>
        </w:trPr>
        <w:tc>
          <w:tcPr>
            <w:tcW w:w="5898" w:type="dxa"/>
            <w:shd w:val="clear" w:color="auto" w:fill="auto"/>
            <w:noWrap/>
            <w:vAlign w:val="center"/>
            <w:hideMark/>
          </w:tcPr>
          <w:p w:rsidRPr="00AE1B2B" w:rsidR="009D3FB5" w:rsidP="00163B94" w:rsidRDefault="009D3FB5" w14:paraId="46FE2EA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Diligencia utilidad y necesidad</w:t>
            </w:r>
          </w:p>
        </w:tc>
        <w:tc>
          <w:tcPr>
            <w:tcW w:w="1688" w:type="dxa"/>
            <w:shd w:val="clear" w:color="auto" w:fill="auto"/>
            <w:noWrap/>
            <w:vAlign w:val="center"/>
            <w:hideMark/>
          </w:tcPr>
          <w:p w:rsidRPr="00AE1B2B" w:rsidR="009D3FB5" w:rsidP="00163B94" w:rsidRDefault="009D3FB5" w14:paraId="2050BC2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336</w:t>
            </w:r>
          </w:p>
        </w:tc>
        <w:tc>
          <w:tcPr>
            <w:tcW w:w="1242" w:type="dxa"/>
            <w:shd w:val="clear" w:color="auto" w:fill="auto"/>
            <w:noWrap/>
            <w:vAlign w:val="center"/>
            <w:hideMark/>
          </w:tcPr>
          <w:p w:rsidRPr="00AE1B2B" w:rsidR="009D3FB5" w:rsidP="00163B94" w:rsidRDefault="009D3FB5" w14:paraId="544DC9F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w:t>
            </w:r>
          </w:p>
        </w:tc>
      </w:tr>
      <w:tr w:rsidRPr="00AE1B2B" w:rsidR="00AE1B2B" w:rsidTr="009D3FB5" w14:paraId="7236287A" w14:textId="77777777">
        <w:trPr>
          <w:trHeight w:val="20"/>
          <w:jc w:val="center"/>
        </w:trPr>
        <w:tc>
          <w:tcPr>
            <w:tcW w:w="5898" w:type="dxa"/>
            <w:shd w:val="clear" w:color="auto" w:fill="auto"/>
            <w:noWrap/>
            <w:vAlign w:val="center"/>
            <w:hideMark/>
          </w:tcPr>
          <w:p w:rsidRPr="00AE1B2B" w:rsidR="009D3FB5" w:rsidP="00163B94" w:rsidRDefault="009D3FB5" w14:paraId="0A2101E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lastRenderedPageBreak/>
              <w:t>Declaratoria de extramatrimonialidad</w:t>
            </w:r>
          </w:p>
        </w:tc>
        <w:tc>
          <w:tcPr>
            <w:tcW w:w="1688" w:type="dxa"/>
            <w:shd w:val="clear" w:color="auto" w:fill="auto"/>
            <w:noWrap/>
            <w:vAlign w:val="center"/>
            <w:hideMark/>
          </w:tcPr>
          <w:p w:rsidRPr="00AE1B2B" w:rsidR="009D3FB5" w:rsidP="00163B94" w:rsidRDefault="009D3FB5" w14:paraId="2F53D01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240</w:t>
            </w:r>
          </w:p>
        </w:tc>
        <w:tc>
          <w:tcPr>
            <w:tcW w:w="1242" w:type="dxa"/>
            <w:shd w:val="clear" w:color="auto" w:fill="auto"/>
            <w:noWrap/>
            <w:vAlign w:val="center"/>
            <w:hideMark/>
          </w:tcPr>
          <w:p w:rsidRPr="00AE1B2B" w:rsidR="009D3FB5" w:rsidP="00163B94" w:rsidRDefault="009D3FB5" w14:paraId="3D61F66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w:t>
            </w:r>
          </w:p>
        </w:tc>
      </w:tr>
      <w:tr w:rsidRPr="00AE1B2B" w:rsidR="00AE1B2B" w:rsidTr="009D3FB5" w14:paraId="22FBC906" w14:textId="77777777">
        <w:trPr>
          <w:trHeight w:val="20"/>
          <w:jc w:val="center"/>
        </w:trPr>
        <w:tc>
          <w:tcPr>
            <w:tcW w:w="5898" w:type="dxa"/>
            <w:shd w:val="clear" w:color="auto" w:fill="auto"/>
            <w:noWrap/>
            <w:vAlign w:val="center"/>
          </w:tcPr>
          <w:p w:rsidRPr="00AE1B2B" w:rsidR="009D3FB5" w:rsidDel="00A521E2" w:rsidP="00163B94" w:rsidRDefault="009D3FB5" w14:paraId="22BBBB7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Protección Niñez y Adolescencia</w:t>
            </w:r>
          </w:p>
        </w:tc>
        <w:tc>
          <w:tcPr>
            <w:tcW w:w="1688" w:type="dxa"/>
            <w:shd w:val="clear" w:color="auto" w:fill="auto"/>
            <w:noWrap/>
            <w:vAlign w:val="center"/>
          </w:tcPr>
          <w:p w:rsidRPr="00AE1B2B" w:rsidR="009D3FB5" w:rsidP="00163B94" w:rsidRDefault="009D3FB5" w14:paraId="1713BAD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220</w:t>
            </w:r>
          </w:p>
        </w:tc>
        <w:tc>
          <w:tcPr>
            <w:tcW w:w="1242" w:type="dxa"/>
            <w:shd w:val="clear" w:color="auto" w:fill="auto"/>
            <w:noWrap/>
            <w:vAlign w:val="center"/>
          </w:tcPr>
          <w:p w:rsidRPr="00AE1B2B" w:rsidR="009D3FB5" w:rsidP="00163B94" w:rsidRDefault="009D3FB5" w14:paraId="6AF3B88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0,9%</w:t>
            </w:r>
          </w:p>
        </w:tc>
      </w:tr>
      <w:tr w:rsidRPr="00AE1B2B" w:rsidR="00AE1B2B" w:rsidTr="009D3FB5" w14:paraId="76F2A384" w14:textId="77777777">
        <w:trPr>
          <w:trHeight w:val="20"/>
          <w:jc w:val="center"/>
        </w:trPr>
        <w:tc>
          <w:tcPr>
            <w:tcW w:w="5898" w:type="dxa"/>
            <w:shd w:val="clear" w:color="auto" w:fill="auto"/>
            <w:noWrap/>
            <w:vAlign w:val="center"/>
          </w:tcPr>
          <w:p w:rsidRPr="00AE1B2B" w:rsidR="009D3FB5" w:rsidDel="00A521E2" w:rsidP="00163B94" w:rsidRDefault="009D3FB5" w14:paraId="305BAFE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Proceso Especial de Protección</w:t>
            </w:r>
          </w:p>
        </w:tc>
        <w:tc>
          <w:tcPr>
            <w:tcW w:w="1688" w:type="dxa"/>
            <w:shd w:val="clear" w:color="auto" w:fill="auto"/>
            <w:noWrap/>
            <w:vAlign w:val="center"/>
          </w:tcPr>
          <w:p w:rsidRPr="00AE1B2B" w:rsidR="009D3FB5" w:rsidDel="00A521E2" w:rsidP="00163B94" w:rsidRDefault="009D3FB5" w14:paraId="487786F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195</w:t>
            </w:r>
          </w:p>
        </w:tc>
        <w:tc>
          <w:tcPr>
            <w:tcW w:w="1242" w:type="dxa"/>
            <w:shd w:val="clear" w:color="auto" w:fill="auto"/>
            <w:noWrap/>
            <w:vAlign w:val="center"/>
          </w:tcPr>
          <w:p w:rsidRPr="00AE1B2B" w:rsidR="009D3FB5" w:rsidDel="00A521E2" w:rsidP="00163B94" w:rsidRDefault="009D3FB5" w14:paraId="2C8149A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0,8%</w:t>
            </w:r>
          </w:p>
        </w:tc>
      </w:tr>
      <w:tr w:rsidRPr="00AE1B2B" w:rsidR="00AE1B2B" w:rsidTr="009D3FB5" w14:paraId="31C5CF65" w14:textId="77777777">
        <w:trPr>
          <w:trHeight w:val="20"/>
          <w:jc w:val="center"/>
        </w:trPr>
        <w:tc>
          <w:tcPr>
            <w:tcW w:w="5898" w:type="dxa"/>
            <w:shd w:val="clear" w:color="auto" w:fill="auto"/>
            <w:noWrap/>
            <w:vAlign w:val="center"/>
          </w:tcPr>
          <w:p w:rsidRPr="00AE1B2B" w:rsidR="009D3FB5" w:rsidP="00163B94" w:rsidRDefault="009D3FB5" w14:paraId="5577ECB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Adopción</w:t>
            </w:r>
          </w:p>
        </w:tc>
        <w:tc>
          <w:tcPr>
            <w:tcW w:w="1688" w:type="dxa"/>
            <w:shd w:val="clear" w:color="auto" w:fill="auto"/>
            <w:noWrap/>
            <w:vAlign w:val="center"/>
          </w:tcPr>
          <w:p w:rsidRPr="00AE1B2B" w:rsidR="009D3FB5" w:rsidP="00163B94" w:rsidRDefault="009D3FB5" w14:paraId="74C1531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185</w:t>
            </w:r>
          </w:p>
        </w:tc>
        <w:tc>
          <w:tcPr>
            <w:tcW w:w="1242" w:type="dxa"/>
            <w:shd w:val="clear" w:color="auto" w:fill="auto"/>
            <w:noWrap/>
            <w:vAlign w:val="center"/>
          </w:tcPr>
          <w:p w:rsidRPr="00AE1B2B" w:rsidR="009D3FB5" w:rsidP="00163B94" w:rsidRDefault="009D3FB5" w14:paraId="379D8A0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0,8%</w:t>
            </w:r>
          </w:p>
        </w:tc>
      </w:tr>
      <w:tr w:rsidRPr="00AE1B2B" w:rsidR="00AE1B2B" w:rsidTr="009D3FB5" w14:paraId="3A8A08C2" w14:textId="77777777">
        <w:trPr>
          <w:trHeight w:val="20"/>
          <w:jc w:val="center"/>
        </w:trPr>
        <w:tc>
          <w:tcPr>
            <w:tcW w:w="5898" w:type="dxa"/>
            <w:shd w:val="clear" w:color="auto" w:fill="auto"/>
            <w:noWrap/>
            <w:vAlign w:val="center"/>
          </w:tcPr>
          <w:p w:rsidRPr="00AE1B2B" w:rsidR="009D3FB5" w:rsidDel="00A521E2" w:rsidP="00163B94" w:rsidRDefault="009D3FB5" w14:paraId="0CB211C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Suspensión o privación de la autoridad parental</w:t>
            </w:r>
          </w:p>
        </w:tc>
        <w:tc>
          <w:tcPr>
            <w:tcW w:w="1688" w:type="dxa"/>
            <w:shd w:val="clear" w:color="auto" w:fill="auto"/>
            <w:noWrap/>
            <w:vAlign w:val="center"/>
          </w:tcPr>
          <w:p w:rsidRPr="00AE1B2B" w:rsidR="009D3FB5" w:rsidDel="00A521E2" w:rsidP="00163B94" w:rsidRDefault="009D3FB5" w14:paraId="2661196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168</w:t>
            </w:r>
          </w:p>
        </w:tc>
        <w:tc>
          <w:tcPr>
            <w:tcW w:w="1242" w:type="dxa"/>
            <w:shd w:val="clear" w:color="auto" w:fill="auto"/>
            <w:noWrap/>
            <w:vAlign w:val="center"/>
          </w:tcPr>
          <w:p w:rsidRPr="00AE1B2B" w:rsidR="009D3FB5" w:rsidDel="00A521E2" w:rsidP="00163B94" w:rsidRDefault="009D3FB5" w14:paraId="7619100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0,7%</w:t>
            </w:r>
          </w:p>
        </w:tc>
      </w:tr>
      <w:tr w:rsidRPr="00AE1B2B" w:rsidR="00AE1B2B" w:rsidTr="009D3FB5" w14:paraId="0936314C" w14:textId="77777777">
        <w:trPr>
          <w:trHeight w:val="20"/>
          <w:jc w:val="center"/>
        </w:trPr>
        <w:tc>
          <w:tcPr>
            <w:tcW w:w="5898" w:type="dxa"/>
            <w:shd w:val="clear" w:color="auto" w:fill="auto"/>
            <w:noWrap/>
            <w:vAlign w:val="center"/>
          </w:tcPr>
          <w:p w:rsidRPr="00AE1B2B" w:rsidR="009D3FB5" w:rsidDel="00A521E2" w:rsidP="00163B94" w:rsidRDefault="009D3FB5" w14:paraId="5C7ED75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Separación Judicial</w:t>
            </w:r>
          </w:p>
        </w:tc>
        <w:tc>
          <w:tcPr>
            <w:tcW w:w="1688" w:type="dxa"/>
            <w:shd w:val="clear" w:color="auto" w:fill="auto"/>
            <w:noWrap/>
            <w:vAlign w:val="center"/>
          </w:tcPr>
          <w:p w:rsidRPr="00AE1B2B" w:rsidR="009D3FB5" w:rsidDel="00A521E2" w:rsidP="00163B94" w:rsidRDefault="009D3FB5" w14:paraId="0916F3E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163</w:t>
            </w:r>
          </w:p>
        </w:tc>
        <w:tc>
          <w:tcPr>
            <w:tcW w:w="1242" w:type="dxa"/>
            <w:shd w:val="clear" w:color="auto" w:fill="auto"/>
            <w:noWrap/>
            <w:vAlign w:val="center"/>
          </w:tcPr>
          <w:p w:rsidRPr="00AE1B2B" w:rsidR="009D3FB5" w:rsidDel="00A521E2" w:rsidP="00163B94" w:rsidRDefault="009D3FB5" w14:paraId="5098991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0,7%</w:t>
            </w:r>
          </w:p>
        </w:tc>
      </w:tr>
      <w:tr w:rsidRPr="00AE1B2B" w:rsidR="00AE1B2B" w:rsidTr="009D3FB5" w14:paraId="6FD55BB7" w14:textId="77777777">
        <w:trPr>
          <w:trHeight w:val="20"/>
          <w:jc w:val="center"/>
        </w:trPr>
        <w:tc>
          <w:tcPr>
            <w:tcW w:w="5898" w:type="dxa"/>
            <w:shd w:val="clear" w:color="auto" w:fill="auto"/>
            <w:noWrap/>
            <w:vAlign w:val="center"/>
          </w:tcPr>
          <w:p w:rsidRPr="00AE1B2B" w:rsidR="009D3FB5" w:rsidP="00163B94" w:rsidRDefault="009D3FB5" w14:paraId="7F0DE29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Modificaciones de fallo (Patria Potestad)</w:t>
            </w:r>
          </w:p>
        </w:tc>
        <w:tc>
          <w:tcPr>
            <w:tcW w:w="1688" w:type="dxa"/>
            <w:shd w:val="clear" w:color="auto" w:fill="auto"/>
            <w:noWrap/>
            <w:vAlign w:val="center"/>
          </w:tcPr>
          <w:p w:rsidRPr="00AE1B2B" w:rsidR="009D3FB5" w:rsidP="00163B94" w:rsidRDefault="009D3FB5" w14:paraId="52BA744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157</w:t>
            </w:r>
          </w:p>
        </w:tc>
        <w:tc>
          <w:tcPr>
            <w:tcW w:w="1242" w:type="dxa"/>
            <w:shd w:val="clear" w:color="auto" w:fill="auto"/>
            <w:noWrap/>
            <w:vAlign w:val="center"/>
          </w:tcPr>
          <w:p w:rsidRPr="00AE1B2B" w:rsidR="009D3FB5" w:rsidDel="00A521E2" w:rsidP="00163B94" w:rsidRDefault="009D3FB5" w14:paraId="560A9A7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0,7%</w:t>
            </w:r>
          </w:p>
        </w:tc>
      </w:tr>
      <w:tr w:rsidRPr="00AE1B2B" w:rsidR="00AE1B2B" w:rsidTr="009D3FB5" w14:paraId="42501A74" w14:textId="77777777">
        <w:trPr>
          <w:trHeight w:val="20"/>
          <w:jc w:val="center"/>
        </w:trPr>
        <w:tc>
          <w:tcPr>
            <w:tcW w:w="5898" w:type="dxa"/>
            <w:shd w:val="clear" w:color="auto" w:fill="auto"/>
            <w:noWrap/>
            <w:vAlign w:val="center"/>
          </w:tcPr>
          <w:p w:rsidRPr="00AE1B2B" w:rsidR="009D3FB5" w:rsidP="00163B94" w:rsidRDefault="009D3FB5" w14:paraId="672C5F0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Actividades de sedes extrajudiciales</w:t>
            </w:r>
          </w:p>
        </w:tc>
        <w:tc>
          <w:tcPr>
            <w:tcW w:w="1688" w:type="dxa"/>
            <w:shd w:val="clear" w:color="auto" w:fill="auto"/>
            <w:noWrap/>
            <w:vAlign w:val="center"/>
          </w:tcPr>
          <w:p w:rsidRPr="00AE1B2B" w:rsidR="009D3FB5" w:rsidP="00163B94" w:rsidRDefault="009D3FB5" w14:paraId="2C47ABB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156</w:t>
            </w:r>
          </w:p>
        </w:tc>
        <w:tc>
          <w:tcPr>
            <w:tcW w:w="1242" w:type="dxa"/>
            <w:shd w:val="clear" w:color="auto" w:fill="auto"/>
            <w:noWrap/>
            <w:vAlign w:val="center"/>
          </w:tcPr>
          <w:p w:rsidRPr="00AE1B2B" w:rsidR="009D3FB5" w:rsidDel="00A521E2" w:rsidP="00163B94" w:rsidRDefault="009D3FB5" w14:paraId="5493B9E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0,7%</w:t>
            </w:r>
          </w:p>
        </w:tc>
      </w:tr>
      <w:tr w:rsidRPr="00AE1B2B" w:rsidR="00AE1B2B" w:rsidTr="009D3FB5" w14:paraId="62F20B4A" w14:textId="77777777">
        <w:trPr>
          <w:trHeight w:val="20"/>
          <w:jc w:val="center"/>
        </w:trPr>
        <w:tc>
          <w:tcPr>
            <w:tcW w:w="5898" w:type="dxa"/>
            <w:shd w:val="clear" w:color="auto" w:fill="auto"/>
            <w:noWrap/>
            <w:vAlign w:val="center"/>
          </w:tcPr>
          <w:p w:rsidRPr="00AE1B2B" w:rsidR="009D3FB5" w:rsidP="00163B94" w:rsidRDefault="009D3FB5" w14:paraId="1613A2D1" w14:textId="77777777">
            <w:pPr>
              <w:spacing w:before="120" w:after="120" w:line="276" w:lineRule="auto"/>
              <w:rPr>
                <w:rFonts w:ascii="Times New Roman" w:hAnsi="Times New Roman" w:eastAsia="Times New Roman" w:cs="Times New Roman"/>
                <w:lang w:val="en-US" w:eastAsia="es-CR"/>
              </w:rPr>
            </w:pPr>
            <w:r w:rsidRPr="00AE1B2B">
              <w:rPr>
                <w:rFonts w:ascii="Times New Roman" w:hAnsi="Times New Roman" w:cs="Times New Roman"/>
                <w:lang w:val="en-US"/>
              </w:rPr>
              <w:t>Comunic. Art.32 CDNA (P.A.N.I.)</w:t>
            </w:r>
          </w:p>
        </w:tc>
        <w:tc>
          <w:tcPr>
            <w:tcW w:w="1688" w:type="dxa"/>
            <w:shd w:val="clear" w:color="auto" w:fill="auto"/>
            <w:noWrap/>
            <w:vAlign w:val="center"/>
          </w:tcPr>
          <w:p w:rsidRPr="00AE1B2B" w:rsidR="009D3FB5" w:rsidP="00163B94" w:rsidRDefault="009D3FB5" w14:paraId="0A59FB21" w14:textId="77777777">
            <w:pPr>
              <w:spacing w:before="120" w:after="120" w:line="276" w:lineRule="auto"/>
              <w:jc w:val="center"/>
              <w:rPr>
                <w:rFonts w:ascii="Times New Roman" w:hAnsi="Times New Roman" w:eastAsia="Times New Roman" w:cs="Times New Roman"/>
                <w:lang w:val="en-US" w:eastAsia="es-CR"/>
              </w:rPr>
            </w:pPr>
            <w:r w:rsidRPr="00AE1B2B">
              <w:rPr>
                <w:rFonts w:ascii="Times New Roman" w:hAnsi="Times New Roman" w:eastAsia="Times New Roman" w:cs="Times New Roman"/>
                <w:lang w:val="en-US" w:eastAsia="es-CR"/>
              </w:rPr>
              <w:t>150</w:t>
            </w:r>
          </w:p>
        </w:tc>
        <w:tc>
          <w:tcPr>
            <w:tcW w:w="1242" w:type="dxa"/>
            <w:shd w:val="clear" w:color="auto" w:fill="auto"/>
            <w:noWrap/>
            <w:vAlign w:val="center"/>
          </w:tcPr>
          <w:p w:rsidRPr="00AE1B2B" w:rsidR="009D3FB5" w:rsidDel="00A521E2" w:rsidP="00163B94" w:rsidRDefault="009D3FB5" w14:paraId="3903D43D" w14:textId="77777777">
            <w:pPr>
              <w:spacing w:before="120" w:after="120" w:line="276" w:lineRule="auto"/>
              <w:jc w:val="center"/>
              <w:rPr>
                <w:rFonts w:ascii="Times New Roman" w:hAnsi="Times New Roman" w:eastAsia="Times New Roman" w:cs="Times New Roman"/>
                <w:lang w:val="en-US" w:eastAsia="es-CR"/>
              </w:rPr>
            </w:pPr>
            <w:r w:rsidRPr="00AE1B2B">
              <w:rPr>
                <w:rFonts w:ascii="Times New Roman" w:hAnsi="Times New Roman" w:eastAsia="Times New Roman" w:cs="Times New Roman"/>
                <w:lang w:val="en-US" w:eastAsia="es-CR"/>
              </w:rPr>
              <w:t>0,6%</w:t>
            </w:r>
          </w:p>
        </w:tc>
      </w:tr>
      <w:tr w:rsidRPr="00AE1B2B" w:rsidR="00AE1B2B" w:rsidTr="009D3FB5" w14:paraId="3CA12253" w14:textId="77777777">
        <w:trPr>
          <w:trHeight w:val="20"/>
          <w:jc w:val="center"/>
        </w:trPr>
        <w:tc>
          <w:tcPr>
            <w:tcW w:w="5898" w:type="dxa"/>
            <w:shd w:val="clear" w:color="auto" w:fill="auto"/>
            <w:noWrap/>
            <w:vAlign w:val="center"/>
          </w:tcPr>
          <w:p w:rsidRPr="00AE1B2B" w:rsidR="009D3FB5" w:rsidP="00163B94" w:rsidRDefault="009D3FB5" w14:paraId="7AA7FBA2"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Nulidad de matrimonio</w:t>
            </w:r>
          </w:p>
        </w:tc>
        <w:tc>
          <w:tcPr>
            <w:tcW w:w="1688" w:type="dxa"/>
            <w:shd w:val="clear" w:color="auto" w:fill="auto"/>
            <w:noWrap/>
            <w:vAlign w:val="center"/>
          </w:tcPr>
          <w:p w:rsidRPr="00AE1B2B" w:rsidR="009D3FB5" w:rsidP="00163B94" w:rsidRDefault="009D3FB5" w14:paraId="196D695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146</w:t>
            </w:r>
          </w:p>
        </w:tc>
        <w:tc>
          <w:tcPr>
            <w:tcW w:w="1242" w:type="dxa"/>
            <w:shd w:val="clear" w:color="auto" w:fill="auto"/>
            <w:noWrap/>
            <w:vAlign w:val="center"/>
          </w:tcPr>
          <w:p w:rsidRPr="00AE1B2B" w:rsidR="009D3FB5" w:rsidDel="00A521E2" w:rsidP="00163B94" w:rsidRDefault="009D3FB5" w14:paraId="156E1ED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0,6%</w:t>
            </w:r>
          </w:p>
        </w:tc>
      </w:tr>
      <w:tr w:rsidRPr="00AE1B2B" w:rsidR="00AE1B2B" w:rsidTr="009D3FB5" w14:paraId="21539844" w14:textId="77777777">
        <w:trPr>
          <w:trHeight w:val="20"/>
          <w:jc w:val="center"/>
        </w:trPr>
        <w:tc>
          <w:tcPr>
            <w:tcW w:w="5898" w:type="dxa"/>
            <w:shd w:val="clear" w:color="auto" w:fill="auto"/>
            <w:noWrap/>
            <w:vAlign w:val="center"/>
          </w:tcPr>
          <w:p w:rsidRPr="00AE1B2B" w:rsidR="009D3FB5" w:rsidP="00163B94" w:rsidRDefault="009D3FB5" w14:paraId="0CAEA14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Insania</w:t>
            </w:r>
          </w:p>
        </w:tc>
        <w:tc>
          <w:tcPr>
            <w:tcW w:w="1688" w:type="dxa"/>
            <w:shd w:val="clear" w:color="auto" w:fill="auto"/>
            <w:noWrap/>
            <w:vAlign w:val="center"/>
          </w:tcPr>
          <w:p w:rsidRPr="00AE1B2B" w:rsidR="009D3FB5" w:rsidP="00163B94" w:rsidRDefault="009D3FB5" w14:paraId="226E9D9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125</w:t>
            </w:r>
          </w:p>
        </w:tc>
        <w:tc>
          <w:tcPr>
            <w:tcW w:w="1242" w:type="dxa"/>
            <w:shd w:val="clear" w:color="auto" w:fill="auto"/>
            <w:noWrap/>
            <w:vAlign w:val="center"/>
          </w:tcPr>
          <w:p w:rsidRPr="00AE1B2B" w:rsidR="009D3FB5" w:rsidDel="00A521E2" w:rsidP="00163B94" w:rsidRDefault="009D3FB5" w14:paraId="08A0F13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0,5%</w:t>
            </w:r>
          </w:p>
        </w:tc>
      </w:tr>
      <w:tr w:rsidRPr="00AE1B2B" w:rsidR="00AE1B2B" w:rsidTr="009D3FB5" w14:paraId="67AAB202" w14:textId="77777777">
        <w:trPr>
          <w:trHeight w:val="20"/>
          <w:jc w:val="center"/>
        </w:trPr>
        <w:tc>
          <w:tcPr>
            <w:tcW w:w="5898" w:type="dxa"/>
            <w:shd w:val="clear" w:color="auto" w:fill="auto"/>
            <w:noWrap/>
            <w:vAlign w:val="center"/>
          </w:tcPr>
          <w:p w:rsidRPr="00AE1B2B" w:rsidR="009D3FB5" w:rsidP="00163B94" w:rsidRDefault="009D3FB5" w14:paraId="1F0519C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Liquidación anticipada de bienes gananciales</w:t>
            </w:r>
          </w:p>
        </w:tc>
        <w:tc>
          <w:tcPr>
            <w:tcW w:w="1688" w:type="dxa"/>
            <w:shd w:val="clear" w:color="auto" w:fill="auto"/>
            <w:noWrap/>
            <w:vAlign w:val="center"/>
          </w:tcPr>
          <w:p w:rsidRPr="00AE1B2B" w:rsidR="009D3FB5" w:rsidP="00163B94" w:rsidRDefault="009D3FB5" w14:paraId="21BAE68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110</w:t>
            </w:r>
          </w:p>
        </w:tc>
        <w:tc>
          <w:tcPr>
            <w:tcW w:w="1242" w:type="dxa"/>
            <w:shd w:val="clear" w:color="auto" w:fill="auto"/>
            <w:noWrap/>
            <w:vAlign w:val="center"/>
          </w:tcPr>
          <w:p w:rsidRPr="00AE1B2B" w:rsidR="009D3FB5" w:rsidDel="00A521E2" w:rsidP="00163B94" w:rsidRDefault="009D3FB5" w14:paraId="1A2A667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0,5%</w:t>
            </w:r>
          </w:p>
        </w:tc>
      </w:tr>
      <w:tr w:rsidRPr="00AE1B2B" w:rsidR="00AE1B2B" w:rsidTr="009D3FB5" w14:paraId="0C1811A5" w14:textId="77777777">
        <w:trPr>
          <w:trHeight w:val="20"/>
          <w:jc w:val="center"/>
        </w:trPr>
        <w:tc>
          <w:tcPr>
            <w:tcW w:w="5898" w:type="dxa"/>
            <w:shd w:val="clear" w:color="auto" w:fill="808080" w:themeFill="background1" w:themeFillShade="80"/>
            <w:noWrap/>
            <w:vAlign w:val="center"/>
          </w:tcPr>
          <w:p w:rsidRPr="00AE1B2B" w:rsidR="009D3FB5" w:rsidP="00163B94" w:rsidRDefault="009D3FB5" w14:paraId="1A7BE672" w14:textId="77777777">
            <w:pPr>
              <w:spacing w:before="120" w:after="120" w:line="276" w:lineRule="auto"/>
              <w:jc w:val="right"/>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Total</w:t>
            </w:r>
          </w:p>
        </w:tc>
        <w:tc>
          <w:tcPr>
            <w:tcW w:w="1688" w:type="dxa"/>
            <w:shd w:val="clear" w:color="auto" w:fill="808080" w:themeFill="background1" w:themeFillShade="80"/>
            <w:noWrap/>
            <w:vAlign w:val="center"/>
          </w:tcPr>
          <w:p w:rsidRPr="00AE1B2B" w:rsidR="009D3FB5" w:rsidP="00163B94" w:rsidRDefault="009D3FB5" w14:paraId="1E44769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23478</w:t>
            </w:r>
          </w:p>
        </w:tc>
        <w:tc>
          <w:tcPr>
            <w:tcW w:w="1242" w:type="dxa"/>
            <w:shd w:val="clear" w:color="auto" w:fill="808080" w:themeFill="background1" w:themeFillShade="80"/>
            <w:noWrap/>
            <w:vAlign w:val="center"/>
          </w:tcPr>
          <w:p w:rsidRPr="00AE1B2B" w:rsidR="009D3FB5" w:rsidP="00163B94" w:rsidRDefault="009D3FB5" w14:paraId="438623C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r>
    </w:tbl>
    <w:p w:rsidRPr="00AE1B2B" w:rsidR="009D3FB5" w:rsidP="00163B94" w:rsidRDefault="009D3FB5" w14:paraId="126993D4" w14:textId="77777777">
      <w:pPr>
        <w:pStyle w:val="Fuentes"/>
        <w:spacing w:before="120" w:after="120"/>
        <w:rPr>
          <w:rFonts w:ascii="Times New Roman" w:hAnsi="Times New Roman" w:cs="Times New Roman"/>
        </w:rPr>
      </w:pPr>
      <w:r w:rsidRPr="00AE1B2B">
        <w:rPr>
          <w:rFonts w:ascii="Times New Roman" w:hAnsi="Times New Roman" w:cs="Times New Roman"/>
        </w:rPr>
        <w:t xml:space="preserve">Fuente: Subproceso de Modernización Institucional, con datos del Subproceso de Estadística del 2015 al 2019. </w:t>
      </w:r>
    </w:p>
    <w:p w:rsidRPr="00AE1B2B" w:rsidR="009D3FB5" w:rsidP="00163B94" w:rsidRDefault="009D3FB5" w14:paraId="7758D7EC" w14:textId="77777777">
      <w:pPr>
        <w:spacing w:before="120" w:after="120" w:line="276" w:lineRule="auto"/>
        <w:rPr>
          <w:rFonts w:ascii="Times New Roman" w:hAnsi="Times New Roman" w:cs="Times New Roman"/>
          <w:sz w:val="24"/>
          <w:szCs w:val="24"/>
        </w:rPr>
      </w:pPr>
    </w:p>
    <w:p w:rsidRPr="00AE1B2B" w:rsidR="009D3FB5" w:rsidP="00163B94" w:rsidRDefault="009D3FB5" w14:paraId="2660638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cuadro anterior resume la distribución promedio de la entrada de los casos por tipo de asunto durante los últimos cinco años en la materia de Familia; se visualiza que el tipo de asunto con mayor cantidad es el Divorcio por mutuo acuerdo o separación judicial por mutuo acuerdo con 8828 casos, lo que representa un 37,6%, seguido del Divorcio con 2499 expedientes equivalentes a un 10,6%, en tercer lugar están los asuntos de Interrelación familiar (régimen de visitas) con 1718 expedientes para un 7,3%, y por último, se tienen todos los demás procesos como: solicitud de matrimonio (5%), reconocimiento de hija o de hijo de mujer casada no contencioso (3,7%), guarda crianza y educación (2,9%); entre otros, se agruparon en un solo dato los demás procesos que corresponde a “Otros asuntos” o que su entrada anual es de menor de 100 casos, para un total de 1055 asuntos </w:t>
      </w:r>
      <w:r w:rsidRPr="00AE1B2B">
        <w:rPr>
          <w:rFonts w:ascii="Times New Roman" w:hAnsi="Times New Roman" w:cs="Times New Roman"/>
          <w:sz w:val="26"/>
          <w:szCs w:val="26"/>
        </w:rPr>
        <w:lastRenderedPageBreak/>
        <w:t>que sumados representan un 4,5% de la entrada según el tipo de asunto.</w:t>
      </w:r>
    </w:p>
    <w:p w:rsidRPr="00AE1B2B" w:rsidR="009D3FB5" w:rsidP="00163B94" w:rsidRDefault="009D3FB5" w14:paraId="5AD645E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9454473" w14:textId="77777777">
      <w:pPr>
        <w:spacing w:before="120" w:after="120"/>
        <w:ind w:left="851" w:right="851" w:firstLine="709"/>
        <w:jc w:val="both"/>
        <w:rPr>
          <w:rFonts w:ascii="Times New Roman" w:hAnsi="Times New Roman" w:cs="Times New Roman"/>
          <w:sz w:val="26"/>
          <w:szCs w:val="26"/>
          <w:highlight w:val="yellow"/>
        </w:rPr>
      </w:pPr>
      <w:r w:rsidRPr="00AE1B2B">
        <w:rPr>
          <w:rFonts w:ascii="Times New Roman" w:hAnsi="Times New Roman" w:cs="Times New Roman"/>
          <w:sz w:val="26"/>
          <w:szCs w:val="26"/>
        </w:rPr>
        <w:t>Es importante mencionar que a partir del 28 de mayo de 2020 se previó un aumento en los matrimonios registrados y divorcios por la posibilidad legal de realizar uniones de personas del mismo sexo, sin embargo, al revisar la estadística de 2020 no se hace una diferenciación en estos matrimonios, por lo tanto, no es posible contabilizarlos, sin embargo, se consultó al Juez Gestor en la materia el Licenciado Cristian Martines Hernández quién indica la cantidad de matrimonios celebrados en los Juzgados de Familia entre personas del mismo sexo es mínima, y que a partir de la entrada en vigencia de la Ley 9747 los matrimonios ya no se celebrarían en instancia judicial.</w:t>
      </w:r>
    </w:p>
    <w:p w:rsidRPr="00AE1B2B" w:rsidR="009D3FB5" w:rsidP="00163B94" w:rsidRDefault="009D3FB5" w14:paraId="215FE830" w14:textId="77777777">
      <w:pPr>
        <w:spacing w:before="120" w:after="120"/>
        <w:ind w:left="851" w:right="851" w:firstLine="709"/>
        <w:jc w:val="both"/>
        <w:rPr>
          <w:rFonts w:ascii="Times New Roman" w:hAnsi="Times New Roman" w:cs="Times New Roman"/>
          <w:sz w:val="26"/>
          <w:szCs w:val="26"/>
          <w:highlight w:val="yellow"/>
        </w:rPr>
      </w:pPr>
    </w:p>
    <w:p w:rsidRPr="00AE1B2B" w:rsidR="009D3FB5" w:rsidP="00163B94" w:rsidRDefault="009D3FB5" w14:paraId="775B4F4D" w14:textId="77777777">
      <w:pPr>
        <w:spacing w:before="120" w:after="120"/>
        <w:ind w:left="851" w:right="851" w:firstLine="709"/>
        <w:jc w:val="both"/>
        <w:rPr>
          <w:rFonts w:ascii="Times New Roman" w:hAnsi="Times New Roman" w:cs="Times New Roman"/>
          <w:sz w:val="26"/>
          <w:szCs w:val="26"/>
          <w:highlight w:val="yellow"/>
        </w:rPr>
      </w:pPr>
    </w:p>
    <w:p w:rsidRPr="00AE1B2B" w:rsidR="009D3FB5" w:rsidP="00163B94" w:rsidRDefault="009D3FB5" w14:paraId="04FE4353" w14:textId="77777777">
      <w:pPr>
        <w:spacing w:before="120" w:after="120"/>
        <w:ind w:left="851" w:right="851" w:firstLine="709"/>
        <w:jc w:val="both"/>
        <w:rPr>
          <w:rFonts w:ascii="Times New Roman" w:hAnsi="Times New Roman" w:cs="Times New Roman"/>
          <w:b/>
          <w:snapToGrid w:val="0"/>
          <w:sz w:val="26"/>
          <w:szCs w:val="26"/>
        </w:rPr>
      </w:pPr>
      <w:r w:rsidRPr="00AE1B2B">
        <w:rPr>
          <w:rFonts w:ascii="Times New Roman" w:hAnsi="Times New Roman" w:cs="Times New Roman"/>
          <w:b/>
          <w:snapToGrid w:val="0"/>
          <w:sz w:val="26"/>
          <w:szCs w:val="26"/>
        </w:rPr>
        <w:t>Desglose de terminados</w:t>
      </w:r>
    </w:p>
    <w:p w:rsidRPr="00AE1B2B" w:rsidR="009D3FB5" w:rsidP="00163B94" w:rsidRDefault="009D3FB5" w14:paraId="29696E7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Seguidamente se muestra el desglose de los asuntos terminados en los Juzgados Especializados de Familia, durante el periodo del 2015 al 2019.</w:t>
      </w:r>
    </w:p>
    <w:p w:rsidRPr="00AE1B2B" w:rsidR="009D3FB5" w:rsidP="00163B94" w:rsidRDefault="009D3FB5" w14:paraId="4CC0991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3BEB000" w14:textId="77777777">
      <w:pPr>
        <w:pStyle w:val="Descripcin"/>
        <w:spacing w:before="120" w:after="120"/>
        <w:ind w:left="851" w:right="851" w:firstLine="709"/>
        <w:jc w:val="center"/>
        <w:rPr>
          <w:rFonts w:ascii="Times New Roman" w:hAnsi="Times New Roman" w:cs="Times New Roman"/>
          <w:sz w:val="26"/>
          <w:szCs w:val="26"/>
        </w:rPr>
      </w:pPr>
      <w:bookmarkStart w:name="_Hlk31786305" w:id="66"/>
      <w:r w:rsidRPr="00AE1B2B">
        <w:rPr>
          <w:rFonts w:ascii="Times New Roman" w:hAnsi="Times New Roman" w:cs="Times New Roman"/>
          <w:sz w:val="26"/>
          <w:szCs w:val="26"/>
        </w:rPr>
        <w:t xml:space="preserve">Gráfico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Gráfico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3</w:t>
      </w:r>
      <w:r w:rsidRPr="00AE1B2B">
        <w:rPr>
          <w:rFonts w:ascii="Times New Roman" w:hAnsi="Times New Roman" w:cs="Times New Roman"/>
          <w:sz w:val="26"/>
          <w:szCs w:val="26"/>
        </w:rPr>
        <w:fldChar w:fldCharType="end"/>
      </w:r>
    </w:p>
    <w:bookmarkEnd w:id="66"/>
    <w:p w:rsidRPr="00AE1B2B" w:rsidR="009D3FB5" w:rsidP="00163B94" w:rsidRDefault="009D3FB5" w14:paraId="1572A7E6" w14:textId="77777777">
      <w:pPr>
        <w:keepNext/>
        <w:numPr>
          <w:ilvl w:val="12"/>
          <w:numId w:val="0"/>
        </w:numPr>
        <w:spacing w:before="120" w:after="120"/>
        <w:ind w:left="851" w:right="851" w:firstLine="709"/>
        <w:jc w:val="center"/>
        <w:rPr>
          <w:rFonts w:ascii="Times New Roman" w:hAnsi="Times New Roman" w:eastAsia="Times New Roman" w:cs="Times New Roman"/>
          <w:b/>
          <w:bCs/>
          <w:sz w:val="26"/>
          <w:szCs w:val="26"/>
          <w:lang w:eastAsia="es-ES"/>
        </w:rPr>
      </w:pPr>
      <w:r w:rsidRPr="00AE1B2B">
        <w:rPr>
          <w:rFonts w:ascii="Times New Roman" w:hAnsi="Times New Roman" w:eastAsia="Times New Roman" w:cs="Times New Roman"/>
          <w:b/>
          <w:bCs/>
          <w:sz w:val="26"/>
          <w:szCs w:val="26"/>
          <w:lang w:eastAsia="es-ES"/>
        </w:rPr>
        <w:t>Movimiento histórico de los asuntos terminados e inactivos en los Juzgados Especializados de la materia de Familia, del 2015 al 2019</w:t>
      </w:r>
    </w:p>
    <w:p w:rsidRPr="00AE1B2B" w:rsidR="009D3FB5" w:rsidP="00163B94" w:rsidRDefault="009D3FB5" w14:paraId="6A9FE95C" w14:textId="77777777">
      <w:pPr>
        <w:spacing w:before="120" w:after="120" w:line="276" w:lineRule="auto"/>
        <w:jc w:val="center"/>
        <w:rPr>
          <w:rFonts w:ascii="Times New Roman" w:hAnsi="Times New Roman" w:cs="Times New Roman"/>
          <w:b/>
          <w:bCs/>
          <w:sz w:val="24"/>
          <w:szCs w:val="24"/>
        </w:rPr>
      </w:pPr>
      <w:r w:rsidRPr="00AE1B2B">
        <w:rPr>
          <w:rFonts w:ascii="Times New Roman" w:hAnsi="Times New Roman" w:cs="Times New Roman"/>
          <w:noProof/>
          <w:lang w:val="en-US"/>
        </w:rPr>
        <w:drawing>
          <wp:inline distT="0" distB="0" distL="0" distR="0" wp14:anchorId="3B8DD6A1" wp14:editId="4B6FC0DE">
            <wp:extent cx="5593080" cy="2689860"/>
            <wp:effectExtent l="0" t="0" r="7620" b="15240"/>
            <wp:docPr id="1212768270" name="Gráfico 1212768270">
              <a:extLst xmlns:a="http://schemas.openxmlformats.org/drawingml/2006/main">
                <a:ext uri="{FF2B5EF4-FFF2-40B4-BE49-F238E27FC236}">
                  <a16:creationId xmlns:a16="http://schemas.microsoft.com/office/drawing/2014/main" id="{B4F86101-C327-4D29-8A56-94CF93C3BC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rsidRPr="00AE1B2B" w:rsidR="009D3FB5" w:rsidP="00163B94" w:rsidRDefault="009D3FB5" w14:paraId="13C86137"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lastRenderedPageBreak/>
        <w:t>Fuente: Subproceso de Modernización Institucional, con datos del Subproceso de Estadística del 2015 al 2019.</w:t>
      </w:r>
    </w:p>
    <w:p w:rsidRPr="00AE1B2B" w:rsidR="009D3FB5" w:rsidP="00163B94" w:rsidRDefault="009D3FB5" w14:paraId="094638F3" w14:textId="163942F4">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iCs/>
          <w:sz w:val="26"/>
          <w:szCs w:val="26"/>
        </w:rPr>
        <w:t xml:space="preserve">Casos Inactivos: </w:t>
      </w:r>
      <w:r w:rsidRPr="00AE1B2B">
        <w:rPr>
          <w:rFonts w:ascii="Times New Roman" w:hAnsi="Times New Roman" w:cs="Times New Roman" w:eastAsiaTheme="minorEastAsia"/>
          <w:i/>
          <w:sz w:val="26"/>
          <w:szCs w:val="26"/>
        </w:rPr>
        <w:t>son aquellos expedientes que tengan seis meses (en expedientes principales) o un mes (en procesos incidentales) de no cumplir con las prevenciones hechas a la parte promovente del proceso para proseguir el mismo.</w:t>
      </w:r>
      <w:r w:rsidRPr="00AE1B2B">
        <w:rPr>
          <w:rFonts w:ascii="Times New Roman" w:hAnsi="Times New Roman" w:cs="Times New Roman"/>
          <w:i/>
          <w:sz w:val="26"/>
          <w:szCs w:val="26"/>
        </w:rPr>
        <w:t xml:space="preserve"> Cuando la parte no impulsa el proceso por más de tres meses.</w:t>
      </w:r>
      <w:r w:rsidRPr="00AE1B2B" w:rsidR="00BB7720">
        <w:rPr>
          <w:rFonts w:ascii="Times New Roman" w:hAnsi="Times New Roman" w:cs="Times New Roman"/>
          <w:i/>
          <w:sz w:val="26"/>
          <w:szCs w:val="26"/>
        </w:rPr>
        <w:t xml:space="preserve"> </w:t>
      </w:r>
    </w:p>
    <w:p w:rsidRPr="00AE1B2B" w:rsidR="009D3FB5" w:rsidP="00163B94" w:rsidRDefault="009D3FB5" w14:paraId="66037E1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F08506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cuanto a la cantidad de asuntos terminados e inactivos en los Juzgados Especializados de Familia, durante los últimos cinco años, no es constante, el 2019 registró la mayor cantidad de asuntos terminados con 23 141; la menor producción se presentó durante el 2018 con 20 435 asuntos finalizados, o sea en el 2018 se finalizaron 2 706 menos asuntos que en el 2019.</w:t>
      </w:r>
    </w:p>
    <w:p w:rsidRPr="00AE1B2B" w:rsidR="009D3FB5" w:rsidP="00163B94" w:rsidRDefault="009D3FB5" w14:paraId="6D02684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06716E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cuanto a los casos inactivos durante el 2015 se registraron en total 2 276 expedientes y la menor cantidad se presentó en el 2018; con 551 asuntos menos en comparación con el 2015. </w:t>
      </w:r>
    </w:p>
    <w:p w:rsidRPr="00AE1B2B" w:rsidR="009D3FB5" w:rsidP="00163B94" w:rsidRDefault="009D3FB5" w14:paraId="5DE57A4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791972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Para el 2020, se finalizaron 19 903 casos y reportaron como inactivos 1672 (dato preliminar).</w:t>
      </w:r>
    </w:p>
    <w:p w:rsidRPr="00AE1B2B" w:rsidR="009D3FB5" w:rsidP="00163B94" w:rsidRDefault="009D3FB5" w14:paraId="3761132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227AFE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Al analizar la cantidad de asuntos totales finalizados (terminados + inactivos), se considera que la huelga que sufrió el país durante julio del 2017 y setiembre y octubre de 2018, aproximadamente, pudo afectar la producción de los Juzgados durante estos años, ya que se visualiza una disminución en la cantidad de asuntos fenecidos durante estos años en comparación con sus antecesores; el porcentaje de salida para el 2017 fue de un 3% menos que su antecesor el 2016 y para el 2018 fue de un 5% menos que el 2017; sin embargo, la situación cambia para el 2019 y aumenta un 13% en comparación con el 2018.</w:t>
      </w:r>
    </w:p>
    <w:p w:rsidRPr="00AE1B2B" w:rsidR="009D3FB5" w:rsidP="00163B94" w:rsidRDefault="009D3FB5" w14:paraId="679425B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978579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resalta que los casos inactivos corresponden a aquellos expedientes que tengan seis meses (en expedientes principales) o un mes (en procesos incidentales) de no cumplir con las prevenciones hechas a la parte promovente del proceso para proseguir el mismo. Por otra parte, se aclara que la inactividad se establece en las actividades judiciales no contenciosas, ejecuciones de sentencias y </w:t>
      </w:r>
      <w:r w:rsidRPr="00AE1B2B">
        <w:rPr>
          <w:rFonts w:ascii="Times New Roman" w:hAnsi="Times New Roman" w:cs="Times New Roman"/>
          <w:sz w:val="26"/>
          <w:szCs w:val="26"/>
        </w:rPr>
        <w:lastRenderedPageBreak/>
        <w:t xml:space="preserve">procesos con pretensiones relacionadas a personas menores de edad; además que el término “inactivo” es de carácter estrictamente estadístico y se utiliza para depurar el sistema informático. </w:t>
      </w:r>
    </w:p>
    <w:p w:rsidRPr="00AE1B2B" w:rsidR="009D3FB5" w:rsidP="00163B94" w:rsidRDefault="009D3FB5" w14:paraId="58C521D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DAFCA6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siguiente gráfico se detalla, la cantidad de asuntos terminados en incidentes y en segunda instancia por los Juzgados Especializados de Familia, durante el periodo del 2018 al 2019; se aclara que solamente se tienen registrados datos de estos años.</w:t>
      </w:r>
    </w:p>
    <w:p w:rsidRPr="00AE1B2B" w:rsidR="009D3FB5" w:rsidP="00163B94" w:rsidRDefault="009D3FB5" w14:paraId="7BF401E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AFA78EC"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Gráfico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Gráfico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4</w:t>
      </w:r>
      <w:r w:rsidRPr="00AE1B2B">
        <w:rPr>
          <w:rFonts w:ascii="Times New Roman" w:hAnsi="Times New Roman" w:cs="Times New Roman"/>
          <w:sz w:val="26"/>
          <w:szCs w:val="26"/>
        </w:rPr>
        <w:fldChar w:fldCharType="end"/>
      </w:r>
    </w:p>
    <w:p w:rsidRPr="00AE1B2B" w:rsidR="009D3FB5" w:rsidP="00163B94" w:rsidRDefault="009D3FB5" w14:paraId="55FDECF2" w14:textId="77777777">
      <w:pPr>
        <w:keepNext/>
        <w:numPr>
          <w:ilvl w:val="12"/>
          <w:numId w:val="0"/>
        </w:numPr>
        <w:spacing w:before="120" w:after="120"/>
        <w:ind w:left="851" w:right="851" w:firstLine="709"/>
        <w:jc w:val="center"/>
        <w:rPr>
          <w:rFonts w:ascii="Times New Roman" w:hAnsi="Times New Roman" w:eastAsia="Times New Roman" w:cs="Times New Roman"/>
          <w:b/>
          <w:bCs/>
          <w:sz w:val="26"/>
          <w:szCs w:val="26"/>
          <w:lang w:eastAsia="es-ES"/>
        </w:rPr>
      </w:pPr>
      <w:r w:rsidRPr="00AE1B2B">
        <w:rPr>
          <w:rFonts w:ascii="Times New Roman" w:hAnsi="Times New Roman" w:eastAsia="Times New Roman" w:cs="Times New Roman"/>
          <w:b/>
          <w:bCs/>
          <w:sz w:val="26"/>
          <w:szCs w:val="26"/>
          <w:lang w:eastAsia="es-ES"/>
        </w:rPr>
        <w:t>Movimiento histórico de los asuntos terminados en segunda instancia e incidentes en los Juzgados Especializados de la materia de Familia, del 2018 al 2019</w:t>
      </w:r>
    </w:p>
    <w:p w:rsidRPr="00AE1B2B" w:rsidR="009D3FB5" w:rsidP="00163B94" w:rsidRDefault="009D3FB5" w14:paraId="0977D962" w14:textId="77777777">
      <w:pPr>
        <w:spacing w:before="120" w:after="120" w:line="276" w:lineRule="auto"/>
        <w:jc w:val="center"/>
        <w:rPr>
          <w:rFonts w:ascii="Times New Roman" w:hAnsi="Times New Roman" w:eastAsia="Times New Roman" w:cs="Times New Roman"/>
          <w:sz w:val="24"/>
          <w:szCs w:val="24"/>
          <w:lang w:eastAsia="es-ES"/>
        </w:rPr>
      </w:pPr>
      <w:r w:rsidRPr="00AE1B2B">
        <w:rPr>
          <w:rFonts w:ascii="Times New Roman" w:hAnsi="Times New Roman" w:cs="Times New Roman"/>
          <w:noProof/>
          <w:lang w:val="en-US"/>
        </w:rPr>
        <w:drawing>
          <wp:inline distT="0" distB="0" distL="0" distR="0" wp14:anchorId="1946F172" wp14:editId="51A9725D">
            <wp:extent cx="5585460" cy="2720340"/>
            <wp:effectExtent l="0" t="0" r="15240" b="3810"/>
            <wp:docPr id="1212768271" name="Gráfico 1212768271">
              <a:extLst xmlns:a="http://schemas.openxmlformats.org/drawingml/2006/main">
                <a:ext uri="{FF2B5EF4-FFF2-40B4-BE49-F238E27FC236}">
                  <a16:creationId xmlns:a16="http://schemas.microsoft.com/office/drawing/2014/main" id="{6534A2E0-FD2E-46CC-AFED-709F94718E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rsidRPr="00AE1B2B" w:rsidR="009D3FB5" w:rsidP="00163B94" w:rsidRDefault="009D3FB5" w14:paraId="55DB336E"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Subproceso de Modernización Institucional, con datos del Subproceso de Estadística del 2018 al 2019 (los datos de incidentes y segunda instancia se registran a partir del 2018).</w:t>
      </w:r>
    </w:p>
    <w:p w:rsidRPr="00AE1B2B" w:rsidR="009D3FB5" w:rsidP="00163B94" w:rsidRDefault="009D3FB5" w14:paraId="5550F0F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D38B35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cuanto a la cantidad de asuntos que se resolvieron en segunda instancia para el periodo en análisis, se tiene un aumento de 387 (7%) asuntos más en el 2019 en comparación con su antecesor el 2018; en cuanto a los incidentes, se tiene un crecimiento de un 96% (320) asuntos más en el 2019 con relación a su antecesor el 2018.</w:t>
      </w:r>
    </w:p>
    <w:p w:rsidRPr="00AE1B2B" w:rsidR="009D3FB5" w:rsidP="00163B94" w:rsidRDefault="009D3FB5" w14:paraId="2345876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D68FA2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A continuación, se detalla la cantidad de asuntos finalizados por persona juzgadora, en los Juzgados Especializados de Familia del país, durante el periodo del 2018 al 2019. </w:t>
      </w:r>
    </w:p>
    <w:p w:rsidRPr="00AE1B2B" w:rsidR="009D3FB5" w:rsidP="00163B94" w:rsidRDefault="009D3FB5" w14:paraId="7F515B5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F29389F"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5</w:t>
      </w:r>
      <w:r w:rsidRPr="00AE1B2B">
        <w:rPr>
          <w:rFonts w:ascii="Times New Roman" w:hAnsi="Times New Roman" w:cs="Times New Roman"/>
          <w:sz w:val="26"/>
          <w:szCs w:val="26"/>
        </w:rPr>
        <w:fldChar w:fldCharType="end"/>
      </w:r>
    </w:p>
    <w:p w:rsidRPr="00AE1B2B" w:rsidR="009D3FB5" w:rsidP="00163B94" w:rsidRDefault="009D3FB5" w14:paraId="1B6E11E4" w14:textId="77777777">
      <w:pPr>
        <w:keepNext/>
        <w:numPr>
          <w:ilvl w:val="12"/>
          <w:numId w:val="0"/>
        </w:numPr>
        <w:spacing w:before="120" w:after="120"/>
        <w:ind w:left="851" w:right="851" w:firstLine="709"/>
        <w:jc w:val="center"/>
        <w:rPr>
          <w:rFonts w:ascii="Times New Roman" w:hAnsi="Times New Roman" w:eastAsia="Times New Roman" w:cs="Times New Roman"/>
          <w:b/>
          <w:bCs/>
          <w:sz w:val="26"/>
          <w:szCs w:val="26"/>
          <w:lang w:eastAsia="es-ES"/>
        </w:rPr>
      </w:pPr>
      <w:r w:rsidRPr="00AE1B2B">
        <w:rPr>
          <w:rFonts w:ascii="Times New Roman" w:hAnsi="Times New Roman" w:eastAsia="Times New Roman" w:cs="Times New Roman"/>
          <w:b/>
          <w:bCs/>
          <w:sz w:val="26"/>
          <w:szCs w:val="26"/>
          <w:lang w:eastAsia="es-ES"/>
        </w:rPr>
        <w:t>Movimiento histórico de la salida por persona juzgadora en los Juzgados Especializados de la materia de Familia, del 2018 al 2019</w:t>
      </w:r>
    </w:p>
    <w:tbl>
      <w:tblPr>
        <w:tblW w:w="5000" w:type="pct"/>
        <w:tblCellMar>
          <w:left w:w="70" w:type="dxa"/>
          <w:right w:w="70" w:type="dxa"/>
        </w:tblCellMar>
        <w:tblLook w:val="04A0" w:firstRow="1" w:lastRow="0" w:firstColumn="1" w:lastColumn="0" w:noHBand="0" w:noVBand="1"/>
      </w:tblPr>
      <w:tblGrid>
        <w:gridCol w:w="2973"/>
        <w:gridCol w:w="1134"/>
        <w:gridCol w:w="1488"/>
        <w:gridCol w:w="1617"/>
        <w:gridCol w:w="1616"/>
      </w:tblGrid>
      <w:tr w:rsidRPr="00AE1B2B" w:rsidR="00AE1B2B" w:rsidTr="009D3FB5" w14:paraId="6F187A69" w14:textId="77777777">
        <w:trPr>
          <w:trHeight w:val="20"/>
          <w:tblHeader/>
        </w:trPr>
        <w:tc>
          <w:tcPr>
            <w:tcW w:w="1684"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68B1217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Motivo de termino</w:t>
            </w:r>
          </w:p>
        </w:tc>
        <w:tc>
          <w:tcPr>
            <w:tcW w:w="642" w:type="pct"/>
            <w:tcBorders>
              <w:top w:val="single" w:color="auto" w:sz="4" w:space="0"/>
              <w:left w:val="nil"/>
              <w:bottom w:val="nil"/>
              <w:right w:val="single" w:color="auto" w:sz="4" w:space="0"/>
            </w:tcBorders>
            <w:shd w:val="clear" w:color="000000" w:fill="002060"/>
            <w:vAlign w:val="center"/>
            <w:hideMark/>
          </w:tcPr>
          <w:p w:rsidRPr="00AE1B2B" w:rsidR="009D3FB5" w:rsidP="00163B94" w:rsidRDefault="009D3FB5" w14:paraId="6E5E5AB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Anual</w:t>
            </w:r>
          </w:p>
        </w:tc>
        <w:tc>
          <w:tcPr>
            <w:tcW w:w="843" w:type="pct"/>
            <w:tcBorders>
              <w:top w:val="single" w:color="auto" w:sz="4" w:space="0"/>
              <w:left w:val="nil"/>
              <w:bottom w:val="nil"/>
              <w:right w:val="single" w:color="auto" w:sz="4" w:space="0"/>
            </w:tcBorders>
            <w:shd w:val="clear" w:color="000000" w:fill="002060"/>
            <w:vAlign w:val="center"/>
            <w:hideMark/>
          </w:tcPr>
          <w:p w:rsidRPr="00AE1B2B" w:rsidR="009D3FB5" w:rsidP="00163B94" w:rsidRDefault="009D3FB5" w14:paraId="34CB72C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Promedio mensual de Terminado </w:t>
            </w:r>
          </w:p>
        </w:tc>
        <w:tc>
          <w:tcPr>
            <w:tcW w:w="916" w:type="pct"/>
            <w:tcBorders>
              <w:top w:val="single" w:color="auto" w:sz="4" w:space="0"/>
              <w:left w:val="nil"/>
              <w:bottom w:val="nil"/>
              <w:right w:val="single" w:color="auto" w:sz="4" w:space="0"/>
            </w:tcBorders>
            <w:shd w:val="clear" w:color="000000" w:fill="002060"/>
            <w:vAlign w:val="center"/>
            <w:hideMark/>
          </w:tcPr>
          <w:p w:rsidRPr="00AE1B2B" w:rsidR="009D3FB5" w:rsidP="00163B94" w:rsidRDefault="009D3FB5" w14:paraId="7BFE203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Promedio de terminado</w:t>
            </w:r>
          </w:p>
        </w:tc>
        <w:tc>
          <w:tcPr>
            <w:tcW w:w="915" w:type="pct"/>
            <w:tcBorders>
              <w:top w:val="single" w:color="auto" w:sz="4" w:space="0"/>
              <w:left w:val="nil"/>
              <w:bottom w:val="nil"/>
              <w:right w:val="single" w:color="auto" w:sz="4" w:space="0"/>
            </w:tcBorders>
            <w:shd w:val="clear" w:color="000000" w:fill="002060"/>
            <w:vAlign w:val="center"/>
            <w:hideMark/>
          </w:tcPr>
          <w:p w:rsidRPr="00AE1B2B" w:rsidR="009D3FB5" w:rsidP="00163B94" w:rsidRDefault="009D3FB5" w14:paraId="5F26D07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Terminado por tipo por Juez por Mes </w:t>
            </w:r>
          </w:p>
        </w:tc>
      </w:tr>
      <w:tr w:rsidRPr="00AE1B2B" w:rsidR="00AE1B2B" w:rsidTr="009D3FB5" w14:paraId="2A40D9F2" w14:textId="77777777">
        <w:trPr>
          <w:trHeight w:val="20"/>
        </w:trPr>
        <w:tc>
          <w:tcPr>
            <w:tcW w:w="1684" w:type="pct"/>
            <w:tcBorders>
              <w:top w:val="single" w:color="auto" w:sz="4" w:space="0"/>
              <w:left w:val="single" w:color="auto" w:sz="4" w:space="0"/>
              <w:bottom w:val="single" w:color="auto" w:sz="4" w:space="0"/>
              <w:right w:val="single" w:color="auto" w:sz="4" w:space="0"/>
            </w:tcBorders>
            <w:shd w:val="clear" w:color="auto" w:fill="auto"/>
            <w:vAlign w:val="center"/>
          </w:tcPr>
          <w:p w:rsidRPr="00AE1B2B" w:rsidR="009D3FB5" w:rsidP="00163B94" w:rsidRDefault="009D3FB5" w14:paraId="191D00C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Divorcio o separación por mutuo</w:t>
            </w:r>
          </w:p>
        </w:tc>
        <w:tc>
          <w:tcPr>
            <w:tcW w:w="642" w:type="pct"/>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08B3F59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8056</w:t>
            </w:r>
          </w:p>
        </w:tc>
        <w:tc>
          <w:tcPr>
            <w:tcW w:w="843" w:type="pct"/>
            <w:tcBorders>
              <w:top w:val="single" w:color="auto" w:sz="4" w:space="0"/>
              <w:left w:val="nil"/>
              <w:bottom w:val="single" w:color="auto" w:sz="4" w:space="0"/>
              <w:right w:val="single" w:color="auto" w:sz="4" w:space="0"/>
            </w:tcBorders>
            <w:shd w:val="clear" w:color="auto" w:fill="auto"/>
            <w:noWrap/>
            <w:vAlign w:val="center"/>
          </w:tcPr>
          <w:p w:rsidRPr="00AE1B2B" w:rsidR="009D3FB5" w:rsidP="00163B94" w:rsidRDefault="009D3FB5" w14:paraId="7AE0674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60</w:t>
            </w:r>
          </w:p>
        </w:tc>
        <w:tc>
          <w:tcPr>
            <w:tcW w:w="916" w:type="pct"/>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0DE72A6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31%</w:t>
            </w:r>
          </w:p>
        </w:tc>
        <w:tc>
          <w:tcPr>
            <w:tcW w:w="915" w:type="pct"/>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78532F0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23</w:t>
            </w:r>
          </w:p>
        </w:tc>
      </w:tr>
      <w:tr w:rsidRPr="00AE1B2B" w:rsidR="00AE1B2B" w:rsidTr="009D3FB5" w14:paraId="588991BA" w14:textId="77777777">
        <w:trPr>
          <w:trHeight w:val="20"/>
        </w:trPr>
        <w:tc>
          <w:tcPr>
            <w:tcW w:w="1684" w:type="pct"/>
            <w:tcBorders>
              <w:top w:val="nil"/>
              <w:left w:val="single" w:color="auto" w:sz="4" w:space="0"/>
              <w:bottom w:val="single" w:color="auto" w:sz="4" w:space="0"/>
              <w:right w:val="single" w:color="auto" w:sz="4" w:space="0"/>
            </w:tcBorders>
            <w:shd w:val="clear" w:color="auto" w:fill="auto"/>
            <w:vAlign w:val="center"/>
          </w:tcPr>
          <w:p w:rsidRPr="00AE1B2B" w:rsidR="009D3FB5" w:rsidP="00163B94" w:rsidRDefault="009D3FB5" w14:paraId="14F5D2B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Resoluciones por otros motivos de término</w:t>
            </w:r>
          </w:p>
        </w:tc>
        <w:tc>
          <w:tcPr>
            <w:tcW w:w="642"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35A05F2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6456</w:t>
            </w:r>
          </w:p>
        </w:tc>
        <w:tc>
          <w:tcPr>
            <w:tcW w:w="843"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646E9A3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48</w:t>
            </w:r>
          </w:p>
        </w:tc>
        <w:tc>
          <w:tcPr>
            <w:tcW w:w="916"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021EAA9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25%</w:t>
            </w:r>
          </w:p>
        </w:tc>
        <w:tc>
          <w:tcPr>
            <w:tcW w:w="91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6D83135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19</w:t>
            </w:r>
          </w:p>
        </w:tc>
      </w:tr>
      <w:tr w:rsidRPr="00AE1B2B" w:rsidR="00AE1B2B" w:rsidTr="009D3FB5" w14:paraId="71AAB7B6" w14:textId="77777777">
        <w:trPr>
          <w:trHeight w:val="20"/>
        </w:trPr>
        <w:tc>
          <w:tcPr>
            <w:tcW w:w="1684"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0A86211" w14:textId="77777777">
            <w:pPr>
              <w:spacing w:before="120" w:after="120"/>
              <w:rPr>
                <w:rFonts w:ascii="Times New Roman" w:hAnsi="Times New Roman" w:eastAsia="Times New Roman" w:cs="Times New Roman"/>
                <w:lang w:eastAsia="es-CR"/>
              </w:rPr>
            </w:pPr>
            <w:r w:rsidRPr="00AE1B2B">
              <w:rPr>
                <w:rFonts w:ascii="Times New Roman" w:hAnsi="Times New Roman" w:cs="Times New Roman"/>
              </w:rPr>
              <w:t>Sentencia dictada</w:t>
            </w:r>
          </w:p>
        </w:tc>
        <w:tc>
          <w:tcPr>
            <w:tcW w:w="642"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6C6E351"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5400</w:t>
            </w:r>
          </w:p>
        </w:tc>
        <w:tc>
          <w:tcPr>
            <w:tcW w:w="84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70B7CA8"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40</w:t>
            </w:r>
          </w:p>
        </w:tc>
        <w:tc>
          <w:tcPr>
            <w:tcW w:w="916"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EBA17E3"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21%</w:t>
            </w:r>
          </w:p>
        </w:tc>
        <w:tc>
          <w:tcPr>
            <w:tcW w:w="915"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4335E04"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16</w:t>
            </w:r>
          </w:p>
        </w:tc>
      </w:tr>
      <w:tr w:rsidRPr="00AE1B2B" w:rsidR="00AE1B2B" w:rsidTr="009D3FB5" w14:paraId="4BEFC98E" w14:textId="77777777">
        <w:trPr>
          <w:trHeight w:val="20"/>
        </w:trPr>
        <w:tc>
          <w:tcPr>
            <w:tcW w:w="1684" w:type="pct"/>
            <w:tcBorders>
              <w:top w:val="nil"/>
              <w:left w:val="single" w:color="auto" w:sz="4" w:space="0"/>
              <w:bottom w:val="single" w:color="auto" w:sz="4" w:space="0"/>
              <w:right w:val="single" w:color="auto" w:sz="4" w:space="0"/>
            </w:tcBorders>
            <w:shd w:val="clear" w:color="auto" w:fill="auto"/>
            <w:vAlign w:val="center"/>
          </w:tcPr>
          <w:p w:rsidRPr="00AE1B2B" w:rsidR="009D3FB5" w:rsidP="00163B94" w:rsidRDefault="009D3FB5" w14:paraId="3D56AF7D" w14:textId="77777777">
            <w:pPr>
              <w:spacing w:before="120" w:after="120"/>
              <w:rPr>
                <w:rFonts w:ascii="Times New Roman" w:hAnsi="Times New Roman" w:cs="Times New Roman"/>
              </w:rPr>
            </w:pPr>
            <w:r w:rsidRPr="00AE1B2B">
              <w:rPr>
                <w:rFonts w:ascii="Times New Roman" w:hAnsi="Times New Roman" w:cs="Times New Roman"/>
              </w:rPr>
              <w:t>Sentencia de segunda instancia</w:t>
            </w:r>
          </w:p>
        </w:tc>
        <w:tc>
          <w:tcPr>
            <w:tcW w:w="642"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41971751" w14:textId="77777777">
            <w:pPr>
              <w:spacing w:before="120" w:after="120"/>
              <w:jc w:val="center"/>
              <w:rPr>
                <w:rFonts w:ascii="Times New Roman" w:hAnsi="Times New Roman" w:cs="Times New Roman"/>
              </w:rPr>
            </w:pPr>
            <w:r w:rsidRPr="00AE1B2B">
              <w:rPr>
                <w:rFonts w:ascii="Times New Roman" w:hAnsi="Times New Roman" w:cs="Times New Roman"/>
              </w:rPr>
              <w:t>4325</w:t>
            </w:r>
          </w:p>
        </w:tc>
        <w:tc>
          <w:tcPr>
            <w:tcW w:w="843"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5C664E26" w14:textId="77777777">
            <w:pPr>
              <w:spacing w:before="120" w:after="120"/>
              <w:jc w:val="center"/>
              <w:rPr>
                <w:rFonts w:ascii="Times New Roman" w:hAnsi="Times New Roman" w:cs="Times New Roman"/>
              </w:rPr>
            </w:pPr>
            <w:r w:rsidRPr="00AE1B2B">
              <w:rPr>
                <w:rFonts w:ascii="Times New Roman" w:hAnsi="Times New Roman" w:cs="Times New Roman"/>
              </w:rPr>
              <w:t>32</w:t>
            </w:r>
          </w:p>
        </w:tc>
        <w:tc>
          <w:tcPr>
            <w:tcW w:w="916"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5BD0EBD5" w14:textId="77777777">
            <w:pPr>
              <w:spacing w:before="120" w:after="120"/>
              <w:jc w:val="center"/>
              <w:rPr>
                <w:rFonts w:ascii="Times New Roman" w:hAnsi="Times New Roman" w:cs="Times New Roman"/>
              </w:rPr>
            </w:pPr>
            <w:r w:rsidRPr="00AE1B2B">
              <w:rPr>
                <w:rFonts w:ascii="Times New Roman" w:hAnsi="Times New Roman" w:cs="Times New Roman"/>
              </w:rPr>
              <w:t>17%</w:t>
            </w:r>
          </w:p>
        </w:tc>
        <w:tc>
          <w:tcPr>
            <w:tcW w:w="91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78F43706" w14:textId="77777777">
            <w:pPr>
              <w:spacing w:before="120" w:after="120"/>
              <w:jc w:val="center"/>
              <w:rPr>
                <w:rFonts w:ascii="Times New Roman" w:hAnsi="Times New Roman" w:cs="Times New Roman"/>
              </w:rPr>
            </w:pPr>
            <w:r w:rsidRPr="00AE1B2B">
              <w:rPr>
                <w:rFonts w:ascii="Times New Roman" w:hAnsi="Times New Roman" w:cs="Times New Roman"/>
              </w:rPr>
              <w:t>13</w:t>
            </w:r>
          </w:p>
        </w:tc>
      </w:tr>
      <w:tr w:rsidRPr="00AE1B2B" w:rsidR="00AE1B2B" w:rsidTr="009D3FB5" w14:paraId="11EEFC6D" w14:textId="77777777">
        <w:trPr>
          <w:trHeight w:val="20"/>
        </w:trPr>
        <w:tc>
          <w:tcPr>
            <w:tcW w:w="1684" w:type="pct"/>
            <w:tcBorders>
              <w:top w:val="nil"/>
              <w:left w:val="single" w:color="auto" w:sz="4" w:space="0"/>
              <w:bottom w:val="single" w:color="auto" w:sz="4" w:space="0"/>
              <w:right w:val="single" w:color="auto" w:sz="4" w:space="0"/>
            </w:tcBorders>
            <w:shd w:val="clear" w:color="auto" w:fill="auto"/>
            <w:vAlign w:val="center"/>
          </w:tcPr>
          <w:p w:rsidRPr="00AE1B2B" w:rsidR="009D3FB5" w:rsidP="00163B94" w:rsidRDefault="009D3FB5" w14:paraId="49142779" w14:textId="77777777">
            <w:pPr>
              <w:spacing w:before="120" w:after="120"/>
              <w:rPr>
                <w:rFonts w:ascii="Times New Roman" w:hAnsi="Times New Roman" w:eastAsia="Times New Roman" w:cs="Times New Roman"/>
                <w:lang w:eastAsia="es-CR"/>
              </w:rPr>
            </w:pPr>
            <w:r w:rsidRPr="00AE1B2B">
              <w:rPr>
                <w:rFonts w:ascii="Times New Roman" w:hAnsi="Times New Roman" w:cs="Times New Roman"/>
              </w:rPr>
              <w:t>Sentencias homologatorias</w:t>
            </w:r>
          </w:p>
        </w:tc>
        <w:tc>
          <w:tcPr>
            <w:tcW w:w="642"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253B3376"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953</w:t>
            </w:r>
          </w:p>
        </w:tc>
        <w:tc>
          <w:tcPr>
            <w:tcW w:w="843"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6B31FBEC"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7</w:t>
            </w:r>
          </w:p>
        </w:tc>
        <w:tc>
          <w:tcPr>
            <w:tcW w:w="916"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779A8691"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4%</w:t>
            </w:r>
          </w:p>
        </w:tc>
        <w:tc>
          <w:tcPr>
            <w:tcW w:w="91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7E295000"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3</w:t>
            </w:r>
          </w:p>
        </w:tc>
      </w:tr>
      <w:tr w:rsidRPr="00AE1B2B" w:rsidR="00AE1B2B" w:rsidTr="009D3FB5" w14:paraId="5F59F774" w14:textId="77777777">
        <w:trPr>
          <w:trHeight w:val="20"/>
        </w:trPr>
        <w:tc>
          <w:tcPr>
            <w:tcW w:w="1684"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8568EC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Sentencia en Incidentes</w:t>
            </w:r>
          </w:p>
        </w:tc>
        <w:tc>
          <w:tcPr>
            <w:tcW w:w="642"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BB0567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494</w:t>
            </w:r>
          </w:p>
        </w:tc>
        <w:tc>
          <w:tcPr>
            <w:tcW w:w="84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6F0E0F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w:t>
            </w:r>
          </w:p>
        </w:tc>
        <w:tc>
          <w:tcPr>
            <w:tcW w:w="916"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1F3ABF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915"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C17FD3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w:t>
            </w:r>
          </w:p>
        </w:tc>
      </w:tr>
      <w:tr w:rsidRPr="00AE1B2B" w:rsidR="00AE1B2B" w:rsidTr="009D3FB5" w14:paraId="4845A930" w14:textId="77777777">
        <w:trPr>
          <w:trHeight w:val="20"/>
        </w:trPr>
        <w:tc>
          <w:tcPr>
            <w:tcW w:w="1684" w:type="pct"/>
            <w:tcBorders>
              <w:top w:val="nil"/>
              <w:left w:val="single" w:color="auto" w:sz="4" w:space="0"/>
              <w:bottom w:val="single" w:color="auto" w:sz="4" w:space="0"/>
              <w:right w:val="single" w:color="auto" w:sz="4" w:space="0"/>
            </w:tcBorders>
            <w:shd w:val="clear" w:color="000000" w:fill="808080"/>
            <w:noWrap/>
            <w:vAlign w:val="bottom"/>
            <w:hideMark/>
          </w:tcPr>
          <w:p w:rsidRPr="00AE1B2B" w:rsidR="009D3FB5" w:rsidP="00163B94" w:rsidRDefault="009D3FB5" w14:paraId="1976FA21" w14:textId="77777777">
            <w:pPr>
              <w:spacing w:before="120" w:after="120"/>
              <w:jc w:val="right"/>
              <w:rPr>
                <w:rFonts w:ascii="Times New Roman" w:hAnsi="Times New Roman" w:eastAsia="Times New Roman" w:cs="Times New Roman"/>
                <w:b/>
                <w:bCs/>
                <w:lang w:eastAsia="es-CR"/>
              </w:rPr>
            </w:pPr>
            <w:r w:rsidRPr="00AE1B2B">
              <w:rPr>
                <w:rFonts w:ascii="Times New Roman" w:hAnsi="Times New Roman" w:cs="Times New Roman"/>
                <w:b/>
                <w:bCs/>
              </w:rPr>
              <w:t>Total</w:t>
            </w:r>
          </w:p>
        </w:tc>
        <w:tc>
          <w:tcPr>
            <w:tcW w:w="642"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0466876D"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cs="Times New Roman"/>
                <w:b/>
                <w:bCs/>
              </w:rPr>
              <w:t>25 683</w:t>
            </w:r>
          </w:p>
        </w:tc>
        <w:tc>
          <w:tcPr>
            <w:tcW w:w="843"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6C66265A"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cs="Times New Roman"/>
                <w:b/>
                <w:bCs/>
              </w:rPr>
              <w:t>190</w:t>
            </w:r>
          </w:p>
        </w:tc>
        <w:tc>
          <w:tcPr>
            <w:tcW w:w="916"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25DA4F05"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cs="Times New Roman"/>
                <w:b/>
                <w:bCs/>
              </w:rPr>
              <w:t>100%</w:t>
            </w:r>
          </w:p>
        </w:tc>
        <w:tc>
          <w:tcPr>
            <w:tcW w:w="915"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43164443"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cs="Times New Roman"/>
                <w:b/>
                <w:bCs/>
              </w:rPr>
              <w:t>75</w:t>
            </w:r>
          </w:p>
        </w:tc>
      </w:tr>
    </w:tbl>
    <w:p w:rsidRPr="00AE1B2B" w:rsidR="009D3FB5" w:rsidP="00163B94" w:rsidRDefault="009D3FB5" w14:paraId="33787107"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Subproceso de Modernización Institucional, con datos del Subproceso de Estadística del 2018 al 2019. Nota. Respecto a los datos reportados como sentencia dictada en 2018 y 2019, se realizó una depuración, ya que identificaron asuntos "de divorcio por mutuo" en esa categoría. </w:t>
      </w:r>
    </w:p>
    <w:p w:rsidRPr="00AE1B2B" w:rsidR="009D3FB5" w:rsidP="00163B94" w:rsidRDefault="009D3FB5" w14:paraId="2E94E42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102428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 la información del cuadro anterior, se visualiza que el promedio anual de casos terminados es de 25 683 (190 por mes), lo que equivale a 75 expedientes por persona juzgadora, el motivo de termino más representativo son los Divorcio o separación por mutuo con un 31%, las resoluciones por otros motivos de término con un 25%, las sentencias dictadas con un 21%, seguido de sentencias de segunda instancia con 17%, homologaciones e incidentes con un 4% y 2% respectivamente.</w:t>
      </w:r>
    </w:p>
    <w:p w:rsidRPr="00AE1B2B" w:rsidR="009D3FB5" w:rsidP="00163B94" w:rsidRDefault="009D3FB5" w14:paraId="6EBF070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17CF35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Al analizar, el ingreso y salida mensual por persona juzgadora, se tienen 74 y 75 asuntos respectivamente; lo que evidencia, que el personal juzgador alcanza a terminar el 101% de la cantidad de asuntos que ingresan. </w:t>
      </w:r>
    </w:p>
    <w:p w:rsidRPr="00AE1B2B" w:rsidR="009D3FB5" w:rsidP="00163B94" w:rsidRDefault="009D3FB5" w14:paraId="2190A7E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585109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Al graficar en conjunto la entrada total de casos (entrados+ testimonio de piezas + reentrados), los terminados totales (terminados +inactivos) y el circulante al finalizar el periodo de 2015 a 2019 se obtiene que se terminan menos que entran nuevos cada año. La mayor diferencia entre lo entrado y lo terminado se reportó 2018, con una diferencia de 745 casos, incrementándose el circulante de 13698 a 14443 expedientes de 2017 a 2018, como se muestra en el siguiente gráfico, por lo tanto entre el 2015 y 2019 el circulante creció un 16%.</w:t>
      </w:r>
    </w:p>
    <w:p w:rsidRPr="00AE1B2B" w:rsidR="009D3FB5" w:rsidP="00163B94" w:rsidRDefault="009D3FB5" w14:paraId="1CDA775B" w14:textId="77777777">
      <w:pPr>
        <w:spacing w:before="120" w:after="120"/>
        <w:jc w:val="both"/>
        <w:rPr>
          <w:rFonts w:ascii="Times New Roman" w:hAnsi="Times New Roman" w:cs="Times New Roman"/>
          <w:sz w:val="26"/>
          <w:szCs w:val="26"/>
        </w:rPr>
      </w:pPr>
    </w:p>
    <w:p w:rsidRPr="00AE1B2B" w:rsidR="009D3FB5" w:rsidP="00163B94" w:rsidRDefault="009D3FB5" w14:paraId="04219343" w14:textId="076502B7">
      <w:pPr>
        <w:pStyle w:val="Descripcin"/>
        <w:spacing w:before="120" w:after="120"/>
        <w:jc w:val="center"/>
        <w:rPr>
          <w:rFonts w:ascii="Times New Roman" w:hAnsi="Times New Roman" w:cs="Times New Roman"/>
          <w:sz w:val="26"/>
          <w:szCs w:val="26"/>
        </w:rPr>
      </w:pPr>
      <w:r w:rsidRPr="00AE1B2B">
        <w:rPr>
          <w:rFonts w:ascii="Times New Roman" w:hAnsi="Times New Roman" w:cs="Times New Roman"/>
          <w:sz w:val="26"/>
          <w:szCs w:val="26"/>
        </w:rPr>
        <w:t xml:space="preserve">Gráfico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Gráfico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5</w:t>
      </w:r>
      <w:r w:rsidRPr="00AE1B2B">
        <w:rPr>
          <w:rFonts w:ascii="Times New Roman" w:hAnsi="Times New Roman" w:cs="Times New Roman"/>
          <w:sz w:val="26"/>
          <w:szCs w:val="26"/>
        </w:rPr>
        <w:fldChar w:fldCharType="end"/>
      </w:r>
    </w:p>
    <w:p w:rsidRPr="00AE1B2B" w:rsidR="009D3FB5" w:rsidP="00163B94" w:rsidRDefault="009D3FB5" w14:paraId="171B2378" w14:textId="4925D9E2">
      <w:pPr>
        <w:pStyle w:val="Descripcin"/>
        <w:spacing w:before="120" w:after="120"/>
        <w:jc w:val="center"/>
        <w:rPr>
          <w:rFonts w:ascii="Times New Roman" w:hAnsi="Times New Roman" w:cs="Times New Roman"/>
          <w:sz w:val="26"/>
          <w:szCs w:val="26"/>
        </w:rPr>
      </w:pPr>
      <w:r w:rsidRPr="00AE1B2B">
        <w:rPr>
          <w:rFonts w:ascii="Times New Roman" w:hAnsi="Times New Roman" w:cs="Times New Roman"/>
          <w:sz w:val="26"/>
          <w:szCs w:val="26"/>
        </w:rPr>
        <w:t>Entrado total, terminado total y circulante</w:t>
      </w:r>
    </w:p>
    <w:p w:rsidRPr="00AE1B2B" w:rsidR="009D3FB5" w:rsidP="00163B94" w:rsidRDefault="009D3FB5" w14:paraId="072C79EE" w14:textId="77777777">
      <w:pPr>
        <w:pStyle w:val="Descripcin"/>
        <w:spacing w:before="120" w:after="120"/>
        <w:rPr>
          <w:rFonts w:ascii="Times New Roman" w:hAnsi="Times New Roman" w:cs="Times New Roman"/>
        </w:rPr>
      </w:pPr>
      <w:r w:rsidRPr="00AE1B2B">
        <w:rPr>
          <w:rFonts w:ascii="Times New Roman" w:hAnsi="Times New Roman" w:cs="Times New Roman"/>
          <w:sz w:val="26"/>
          <w:szCs w:val="26"/>
        </w:rPr>
        <w:t>de 2015 a 2019, juzgados especializados en materia Familia.</w:t>
      </w:r>
      <w:r w:rsidRPr="00AE1B2B">
        <w:rPr>
          <w:rFonts w:ascii="Times New Roman" w:hAnsi="Times New Roman" w:cs="Times New Roman"/>
          <w:noProof/>
        </w:rPr>
        <w:t xml:space="preserve"> </w:t>
      </w:r>
      <w:r w:rsidRPr="00AE1B2B">
        <w:rPr>
          <w:rFonts w:ascii="Times New Roman" w:hAnsi="Times New Roman" w:cs="Times New Roman"/>
          <w:noProof/>
          <w:lang w:val="en-US" w:eastAsia="en-US"/>
        </w:rPr>
        <w:lastRenderedPageBreak/>
        <w:drawing>
          <wp:inline distT="0" distB="0" distL="0" distR="0" wp14:anchorId="6C952C5B" wp14:editId="31D37F58">
            <wp:extent cx="6065520" cy="4838700"/>
            <wp:effectExtent l="0" t="0" r="11430" b="0"/>
            <wp:docPr id="1263269093" name="Gráfico 1263269093">
              <a:extLst xmlns:a="http://schemas.openxmlformats.org/drawingml/2006/main">
                <a:ext uri="{FF2B5EF4-FFF2-40B4-BE49-F238E27FC236}">
                  <a16:creationId xmlns:a16="http://schemas.microsoft.com/office/drawing/2014/main" id="{9021EF2D-6A79-4A60-9E7F-924E74537C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rsidRPr="00AE1B2B" w:rsidR="009D3FB5" w:rsidP="00163B94" w:rsidRDefault="009D3FB5" w14:paraId="504E4FF0"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Subproceso de Modernización Institucional, con datos del Subproceso de Estadística del 2015 al 2019. </w:t>
      </w:r>
    </w:p>
    <w:p w:rsidRPr="00AE1B2B" w:rsidR="009D3FB5" w:rsidP="00163B94" w:rsidRDefault="009D3FB5" w14:paraId="675D980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C9E4FB0"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Plazos por tipo de proceso</w:t>
      </w:r>
    </w:p>
    <w:p w:rsidRPr="00AE1B2B" w:rsidR="009D3FB5" w:rsidP="00163B94" w:rsidRDefault="009D3FB5" w14:paraId="3063D22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cuanto a la duración de los procesos, para 2019, en los Juzgados especializados en materia de Familia se registra una duración promedio de 14 meses. </w:t>
      </w:r>
    </w:p>
    <w:p w:rsidRPr="00AE1B2B" w:rsidR="009D3FB5" w:rsidP="00163B94" w:rsidRDefault="009D3FB5" w14:paraId="0082EDE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procesos abreviados tardaron en promedio 20 meses, los ordinarios 24, los sumarios 11 meses y 1 semana, los procesos especiales 14 meses, de protección de niñez y adolescencia 13 meses, la actividad procesal no contenciosa 8 meses.</w:t>
      </w:r>
    </w:p>
    <w:p w:rsidRPr="00AE1B2B" w:rsidR="009D3FB5" w:rsidP="00163B94" w:rsidRDefault="009D3FB5" w14:paraId="39EC88E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Estos rangos de duración se encuentran dentro del criterio experto (salvo el abreviado) según informe 1212-PLA-EV-2020, pero no del plazo legal, siendo los sumarios donde existe mayor variación.</w:t>
      </w:r>
    </w:p>
    <w:p w:rsidRPr="00AE1B2B" w:rsidR="009D3FB5" w:rsidP="00163B94" w:rsidRDefault="009D3FB5" w14:paraId="424E1B8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98211A2" w14:textId="77777777">
      <w:pPr>
        <w:pStyle w:val="Descripcin"/>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Ilustración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Ilustración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2</w:t>
      </w:r>
      <w:r w:rsidRPr="00AE1B2B">
        <w:rPr>
          <w:rFonts w:ascii="Times New Roman" w:hAnsi="Times New Roman" w:cs="Times New Roman"/>
          <w:sz w:val="26"/>
          <w:szCs w:val="26"/>
        </w:rPr>
        <w:fldChar w:fldCharType="end"/>
      </w:r>
    </w:p>
    <w:p w:rsidRPr="00AE1B2B" w:rsidR="009D3FB5" w:rsidP="00163B94" w:rsidRDefault="009D3FB5" w14:paraId="1DEB51A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sz w:val="26"/>
          <w:szCs w:val="26"/>
          <w:lang w:val="es-ES" w:eastAsia="es-ES"/>
        </w:rPr>
        <w:t>Plazos legales y según criterio experto, informe 1212-PLA-EV-2020.</w:t>
      </w:r>
    </w:p>
    <w:p w:rsidRPr="00AE1B2B" w:rsidR="009D3FB5" w:rsidP="00163B94" w:rsidRDefault="009D3FB5" w14:paraId="67A8AA1E" w14:textId="77777777">
      <w:pPr>
        <w:spacing w:before="120" w:after="120"/>
        <w:jc w:val="center"/>
        <w:rPr>
          <w:rFonts w:ascii="Times New Roman" w:hAnsi="Times New Roman" w:cs="Times New Roman"/>
          <w:sz w:val="24"/>
          <w:szCs w:val="24"/>
        </w:rPr>
      </w:pPr>
      <w:r w:rsidRPr="00AE1B2B">
        <w:rPr>
          <w:rFonts w:ascii="Times New Roman" w:hAnsi="Times New Roman" w:cs="Times New Roman"/>
          <w:noProof/>
          <w:lang w:val="en-US"/>
        </w:rPr>
        <w:drawing>
          <wp:inline distT="0" distB="0" distL="0" distR="0" wp14:anchorId="19C9162F" wp14:editId="5264B9ED">
            <wp:extent cx="5543550" cy="1219200"/>
            <wp:effectExtent l="0" t="0" r="0" b="0"/>
            <wp:docPr id="1212768272" name="Imagen 121276827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272" name="Imagen 1212768272" descr="Tabla&#10;&#10;Descripción generada automáticamente"/>
                    <pic:cNvPicPr>
                      <a:picLocks noChangeAspect="1" noChangeArrowheads="1"/>
                    </pic:cNvPicPr>
                  </pic:nvPicPr>
                  <pic:blipFill rotWithShape="1">
                    <a:blip r:embed="rId223">
                      <a:extLst>
                        <a:ext uri="{28A0092B-C50C-407E-A947-70E740481C1C}">
                          <a14:useLocalDpi xmlns:a14="http://schemas.microsoft.com/office/drawing/2010/main" val="0"/>
                        </a:ext>
                      </a:extLst>
                    </a:blip>
                    <a:srcRect l="1209" t="7359" r="1141" b="27223"/>
                    <a:stretch/>
                  </pic:blipFill>
                  <pic:spPr bwMode="auto">
                    <a:xfrm>
                      <a:off x="0" y="0"/>
                      <a:ext cx="5543550" cy="1219200"/>
                    </a:xfrm>
                    <a:prstGeom prst="rect">
                      <a:avLst/>
                    </a:prstGeom>
                    <a:noFill/>
                    <a:ln>
                      <a:noFill/>
                    </a:ln>
                    <a:extLst>
                      <a:ext uri="{53640926-AAD7-44D8-BBD7-CCE9431645EC}">
                        <a14:shadowObscured xmlns:a14="http://schemas.microsoft.com/office/drawing/2010/main"/>
                      </a:ext>
                    </a:extLst>
                  </pic:spPr>
                </pic:pic>
              </a:graphicData>
            </a:graphic>
          </wp:inline>
        </w:drawing>
      </w:r>
    </w:p>
    <w:p w:rsidRPr="00AE1B2B" w:rsidR="009D3FB5" w:rsidP="00163B94" w:rsidRDefault="009D3FB5" w14:paraId="4C93260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i/>
          <w:iCs/>
          <w:sz w:val="26"/>
          <w:szCs w:val="26"/>
        </w:rPr>
        <w:t>Fuente. Reporte en SIGMA duración procesos.</w:t>
      </w:r>
      <w:r w:rsidRPr="00AE1B2B">
        <w:rPr>
          <w:rFonts w:ascii="Times New Roman" w:hAnsi="Times New Roman" w:cs="Times New Roman"/>
          <w:sz w:val="26"/>
          <w:szCs w:val="26"/>
        </w:rPr>
        <w:t xml:space="preserve"> </w:t>
      </w:r>
    </w:p>
    <w:p w:rsidRPr="00AE1B2B" w:rsidR="009D3FB5" w:rsidP="00163B94" w:rsidRDefault="009D3FB5" w14:paraId="4427A2C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F9D89C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Cabe mencionar que en este reporte, y como oportunidad de mejora se gestionó con la Dirección de Tecnología de la Información, para que realicen una mejora en el reporte actual, (reporte GIS 932499-3-81114 del 9 de noviembre 2020) para visualizar por código de colores 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rsidRPr="00AE1B2B" w:rsidR="009D3FB5" w:rsidP="00163B94" w:rsidRDefault="009D3FB5" w14:paraId="19BAB7E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B2E36B8" w14:textId="30B3DB14">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6</w:t>
      </w:r>
      <w:r w:rsidRPr="00AE1B2B">
        <w:rPr>
          <w:rFonts w:ascii="Times New Roman" w:hAnsi="Times New Roman" w:cs="Times New Roman"/>
          <w:sz w:val="26"/>
          <w:szCs w:val="26"/>
        </w:rPr>
        <w:fldChar w:fldCharType="end"/>
      </w:r>
    </w:p>
    <w:p w:rsidRPr="00AE1B2B" w:rsidR="009D3FB5" w:rsidP="00163B94" w:rsidRDefault="009D3FB5" w14:paraId="26F5F8DA" w14:textId="7EE85AFD">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Duración promedio y cantidad de casos terminados por tipo</w:t>
      </w:r>
    </w:p>
    <w:p w:rsidRPr="00AE1B2B" w:rsidR="009D3FB5" w:rsidP="00163B94" w:rsidRDefault="009D3FB5" w14:paraId="45588C07"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de proceso para los juzgados especializados en materia Familia 2019</w:t>
      </w:r>
    </w:p>
    <w:tbl>
      <w:tblPr>
        <w:tblW w:w="8340" w:type="dxa"/>
        <w:jc w:val="center"/>
        <w:tblCellMar>
          <w:left w:w="70" w:type="dxa"/>
          <w:right w:w="70" w:type="dxa"/>
        </w:tblCellMar>
        <w:tblLook w:val="04A0" w:firstRow="1" w:lastRow="0" w:firstColumn="1" w:lastColumn="0" w:noHBand="0" w:noVBand="1"/>
      </w:tblPr>
      <w:tblGrid>
        <w:gridCol w:w="3740"/>
        <w:gridCol w:w="2400"/>
        <w:gridCol w:w="2200"/>
      </w:tblGrid>
      <w:tr w:rsidRPr="00AE1B2B" w:rsidR="00AE1B2B" w:rsidTr="009D3FB5" w14:paraId="01E1E907" w14:textId="77777777">
        <w:trPr>
          <w:trHeight w:val="20"/>
          <w:tblHeader/>
          <w:jc w:val="center"/>
        </w:trPr>
        <w:tc>
          <w:tcPr>
            <w:tcW w:w="3740" w:type="dxa"/>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7100B14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Tipo de Proceso</w:t>
            </w:r>
          </w:p>
        </w:tc>
        <w:tc>
          <w:tcPr>
            <w:tcW w:w="2400" w:type="dxa"/>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429E98C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registrada en 2019</w:t>
            </w:r>
          </w:p>
        </w:tc>
        <w:tc>
          <w:tcPr>
            <w:tcW w:w="2200" w:type="dxa"/>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595736E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de Duración (meses)</w:t>
            </w:r>
          </w:p>
        </w:tc>
      </w:tr>
      <w:tr w:rsidRPr="00AE1B2B" w:rsidR="00AE1B2B" w:rsidTr="009D3FB5" w14:paraId="78455916"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52B5725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Insania</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5F0EB7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686465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217,48</w:t>
            </w:r>
          </w:p>
        </w:tc>
      </w:tr>
      <w:tr w:rsidRPr="00AE1B2B" w:rsidR="00AE1B2B" w:rsidTr="009D3FB5" w14:paraId="70067A67"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177786E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Otros abreviado</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F7EDA3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54</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086D78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100,53</w:t>
            </w:r>
          </w:p>
        </w:tc>
      </w:tr>
      <w:tr w:rsidRPr="00AE1B2B" w:rsidR="00AE1B2B" w:rsidTr="009D3FB5" w14:paraId="6200BCA5"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392BC0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Nulidad Matrimonio</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F432C2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145</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F00EFE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45,86</w:t>
            </w:r>
          </w:p>
        </w:tc>
      </w:tr>
      <w:tr w:rsidRPr="00AE1B2B" w:rsidR="00AE1B2B" w:rsidTr="009D3FB5" w14:paraId="08307629"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515201A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Ordinario Nulidad Venta</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21612D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3DEDF7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45,40</w:t>
            </w:r>
          </w:p>
        </w:tc>
      </w:tr>
      <w:tr w:rsidRPr="00AE1B2B" w:rsidR="00AE1B2B" w:rsidTr="009D3FB5" w14:paraId="3D639221"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631BBC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lastRenderedPageBreak/>
              <w:t>Ejecución Sentencia</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CFD22D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95</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62FA89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42,95</w:t>
            </w:r>
          </w:p>
        </w:tc>
      </w:tr>
      <w:tr w:rsidRPr="00AE1B2B" w:rsidR="00AE1B2B" w:rsidTr="009D3FB5" w14:paraId="7CD4EE07"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FE9DDB2"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Interdicción</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9EACA1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F5862D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32,60</w:t>
            </w:r>
          </w:p>
        </w:tc>
      </w:tr>
      <w:tr w:rsidRPr="00AE1B2B" w:rsidR="00AE1B2B" w:rsidTr="009D3FB5" w14:paraId="0A1BCAD2"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FBC829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Salvaguardia</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DEAEB6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925</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85543E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27,02</w:t>
            </w:r>
          </w:p>
        </w:tc>
      </w:tr>
      <w:tr w:rsidRPr="00AE1B2B" w:rsidR="00AE1B2B" w:rsidTr="009D3FB5" w14:paraId="2C353E62"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6740871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Ordinario</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18B956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173</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2EEBF7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27,01</w:t>
            </w:r>
          </w:p>
        </w:tc>
      </w:tr>
      <w:tr w:rsidRPr="00AE1B2B" w:rsidR="00AE1B2B" w:rsidTr="009D3FB5" w14:paraId="6B882C53"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tcPr>
          <w:p w:rsidRPr="00AE1B2B" w:rsidR="009D3FB5" w:rsidP="00163B94" w:rsidRDefault="009D3FB5" w14:paraId="11A707E0" w14:textId="77777777">
            <w:pPr>
              <w:spacing w:before="120" w:after="120" w:line="276" w:lineRule="auto"/>
              <w:rPr>
                <w:rFonts w:ascii="Times New Roman" w:hAnsi="Times New Roman" w:cs="Times New Roman"/>
              </w:rPr>
            </w:pPr>
            <w:r w:rsidRPr="00AE1B2B">
              <w:rPr>
                <w:rFonts w:ascii="Times New Roman" w:hAnsi="Times New Roman" w:cs="Times New Roman"/>
              </w:rPr>
              <w:t>Adopción</w:t>
            </w:r>
          </w:p>
        </w:tc>
        <w:tc>
          <w:tcPr>
            <w:tcW w:w="2400" w:type="dxa"/>
            <w:tcBorders>
              <w:top w:val="nil"/>
              <w:left w:val="nil"/>
              <w:bottom w:val="single" w:color="auto" w:sz="4" w:space="0"/>
              <w:right w:val="single" w:color="auto" w:sz="4" w:space="0"/>
            </w:tcBorders>
            <w:shd w:val="clear" w:color="auto" w:fill="auto"/>
            <w:noWrap/>
            <w:vAlign w:val="bottom"/>
          </w:tcPr>
          <w:p w:rsidRPr="00AE1B2B" w:rsidR="009D3FB5" w:rsidP="00163B94" w:rsidRDefault="009D3FB5" w14:paraId="4FE5E0C9"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154</w:t>
            </w:r>
          </w:p>
        </w:tc>
        <w:tc>
          <w:tcPr>
            <w:tcW w:w="2200" w:type="dxa"/>
            <w:tcBorders>
              <w:top w:val="nil"/>
              <w:left w:val="nil"/>
              <w:bottom w:val="single" w:color="auto" w:sz="4" w:space="0"/>
              <w:right w:val="single" w:color="auto" w:sz="4" w:space="0"/>
            </w:tcBorders>
            <w:shd w:val="clear" w:color="auto" w:fill="auto"/>
            <w:noWrap/>
            <w:vAlign w:val="bottom"/>
          </w:tcPr>
          <w:p w:rsidRPr="00AE1B2B" w:rsidR="009D3FB5" w:rsidP="00163B94" w:rsidRDefault="009D3FB5" w14:paraId="40ED52A4"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24,00</w:t>
            </w:r>
          </w:p>
        </w:tc>
      </w:tr>
      <w:tr w:rsidRPr="00AE1B2B" w:rsidR="00AE1B2B" w:rsidTr="009D3FB5" w14:paraId="6B45EB39"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621968A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Adopción Nacional</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3D1D73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109</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43A4A6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20,51</w:t>
            </w:r>
          </w:p>
        </w:tc>
      </w:tr>
      <w:tr w:rsidRPr="00AE1B2B" w:rsidR="00AE1B2B" w:rsidTr="009D3FB5" w14:paraId="17226CD2"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745DC95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Declaratoria Judicial Abandono</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D00F99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331</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9734B7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20,40</w:t>
            </w:r>
          </w:p>
        </w:tc>
      </w:tr>
      <w:tr w:rsidRPr="00AE1B2B" w:rsidR="00AE1B2B" w:rsidTr="009D3FB5" w14:paraId="6316B1E0"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1EB5794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Liquidación anticipada de bienes gananciales</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2FB3D9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168</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B77842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19,88</w:t>
            </w:r>
          </w:p>
        </w:tc>
      </w:tr>
      <w:tr w:rsidRPr="00AE1B2B" w:rsidR="00AE1B2B" w:rsidTr="009D3FB5" w14:paraId="42C99CB6"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78B2BE35" w14:textId="77777777">
            <w:pPr>
              <w:spacing w:before="120" w:after="120" w:line="276" w:lineRule="auto"/>
              <w:rPr>
                <w:rFonts w:ascii="Times New Roman" w:hAnsi="Times New Roman" w:cs="Times New Roman"/>
              </w:rPr>
            </w:pPr>
            <w:r w:rsidRPr="00AE1B2B">
              <w:rPr>
                <w:rFonts w:ascii="Times New Roman" w:hAnsi="Times New Roman" w:cs="Times New Roman"/>
              </w:rPr>
              <w:t>Suspensión Patria Potestad</w:t>
            </w:r>
          </w:p>
        </w:tc>
        <w:tc>
          <w:tcPr>
            <w:tcW w:w="24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7C37DD4E"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400</w:t>
            </w:r>
          </w:p>
        </w:tc>
        <w:tc>
          <w:tcPr>
            <w:tcW w:w="22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0631E277"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19.11</w:t>
            </w:r>
          </w:p>
        </w:tc>
      </w:tr>
      <w:tr w:rsidRPr="00AE1B2B" w:rsidR="00AE1B2B" w:rsidTr="009D3FB5" w14:paraId="5E45A9F2"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B8DD5C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Investigación Paternidad</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B4ED6B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302</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A90C0E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16,65</w:t>
            </w:r>
          </w:p>
        </w:tc>
      </w:tr>
      <w:tr w:rsidRPr="00AE1B2B" w:rsidR="00AE1B2B" w:rsidTr="009D3FB5" w14:paraId="6F08006D"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1959A0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Desafec. Habitación Familiar</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343EF9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31</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04A576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16,42</w:t>
            </w:r>
          </w:p>
        </w:tc>
      </w:tr>
      <w:tr w:rsidRPr="00AE1B2B" w:rsidR="00AE1B2B" w:rsidTr="009D3FB5" w14:paraId="79AB436A"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tcPr>
          <w:p w:rsidRPr="00AE1B2B" w:rsidR="009D3FB5" w:rsidP="00163B94" w:rsidRDefault="009D3FB5" w14:paraId="21055919" w14:textId="77777777">
            <w:pPr>
              <w:spacing w:before="120" w:after="120" w:line="276" w:lineRule="auto"/>
              <w:rPr>
                <w:rFonts w:ascii="Times New Roman" w:hAnsi="Times New Roman" w:cs="Times New Roman"/>
              </w:rPr>
            </w:pPr>
            <w:r w:rsidRPr="00AE1B2B">
              <w:rPr>
                <w:rFonts w:ascii="Times New Roman" w:hAnsi="Times New Roman" w:cs="Times New Roman"/>
              </w:rPr>
              <w:t>Tutela</w:t>
            </w:r>
          </w:p>
        </w:tc>
        <w:tc>
          <w:tcPr>
            <w:tcW w:w="2400" w:type="dxa"/>
            <w:tcBorders>
              <w:top w:val="nil"/>
              <w:left w:val="nil"/>
              <w:bottom w:val="single" w:color="auto" w:sz="4" w:space="0"/>
              <w:right w:val="single" w:color="auto" w:sz="4" w:space="0"/>
            </w:tcBorders>
            <w:shd w:val="clear" w:color="auto" w:fill="auto"/>
            <w:noWrap/>
            <w:vAlign w:val="bottom"/>
          </w:tcPr>
          <w:p w:rsidRPr="00AE1B2B" w:rsidR="009D3FB5" w:rsidP="00163B94" w:rsidRDefault="009D3FB5" w14:paraId="6537E587"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29</w:t>
            </w:r>
          </w:p>
        </w:tc>
        <w:tc>
          <w:tcPr>
            <w:tcW w:w="2200" w:type="dxa"/>
            <w:tcBorders>
              <w:top w:val="nil"/>
              <w:left w:val="nil"/>
              <w:bottom w:val="single" w:color="auto" w:sz="4" w:space="0"/>
              <w:right w:val="single" w:color="auto" w:sz="4" w:space="0"/>
            </w:tcBorders>
            <w:shd w:val="clear" w:color="auto" w:fill="auto"/>
            <w:noWrap/>
            <w:vAlign w:val="bottom"/>
          </w:tcPr>
          <w:p w:rsidRPr="00AE1B2B" w:rsidR="009D3FB5" w:rsidP="00163B94" w:rsidRDefault="009D3FB5" w14:paraId="2C6D56E4"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16,41</w:t>
            </w:r>
          </w:p>
        </w:tc>
      </w:tr>
      <w:tr w:rsidRPr="00AE1B2B" w:rsidR="00AE1B2B" w:rsidTr="009D3FB5" w14:paraId="5220F2FE"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A462A8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Declar. Extramatrimonialidad</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0D9470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229</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A8742F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15,64</w:t>
            </w:r>
          </w:p>
        </w:tc>
      </w:tr>
      <w:tr w:rsidRPr="00AE1B2B" w:rsidR="00AE1B2B" w:rsidTr="009D3FB5" w14:paraId="4913F3F2"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5516DE6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Separación Judicial</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95DFC7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165</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5AC2BA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14,56</w:t>
            </w:r>
          </w:p>
        </w:tc>
      </w:tr>
      <w:tr w:rsidRPr="00AE1B2B" w:rsidR="00AE1B2B" w:rsidTr="009D3FB5" w14:paraId="3F281140"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1D8266E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Divorcio</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EB36E0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2572</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491243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13,95</w:t>
            </w:r>
          </w:p>
        </w:tc>
      </w:tr>
      <w:tr w:rsidRPr="00AE1B2B" w:rsidR="00AE1B2B" w:rsidTr="009D3FB5" w14:paraId="4D0376E1"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7F2A9CF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Rec. Unión De Hecho</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0D48BF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406</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50A73A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w:t>
            </w:r>
            <w:r w:rsidRPr="00AE1B2B">
              <w:rPr>
                <w:rFonts w:ascii="Times New Roman" w:hAnsi="Times New Roman" w:cs="Times New Roman"/>
              </w:rPr>
              <w:t>91</w:t>
            </w:r>
          </w:p>
        </w:tc>
      </w:tr>
      <w:tr w:rsidRPr="00AE1B2B" w:rsidR="00AE1B2B" w:rsidTr="009D3FB5" w14:paraId="0C335F6E"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tcPr>
          <w:p w:rsidRPr="00AE1B2B" w:rsidR="009D3FB5" w:rsidP="00163B94" w:rsidRDefault="009D3FB5" w14:paraId="18F46BD5" w14:textId="77777777">
            <w:pPr>
              <w:spacing w:before="120" w:after="120" w:line="276" w:lineRule="auto"/>
              <w:rPr>
                <w:rFonts w:ascii="Times New Roman" w:hAnsi="Times New Roman" w:cs="Times New Roman"/>
              </w:rPr>
            </w:pPr>
            <w:r w:rsidRPr="00AE1B2B">
              <w:rPr>
                <w:rFonts w:ascii="Times New Roman" w:hAnsi="Times New Roman" w:cs="Times New Roman"/>
              </w:rPr>
              <w:t>Otros</w:t>
            </w:r>
          </w:p>
        </w:tc>
        <w:tc>
          <w:tcPr>
            <w:tcW w:w="24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73D998E7"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97</w:t>
            </w:r>
          </w:p>
        </w:tc>
        <w:tc>
          <w:tcPr>
            <w:tcW w:w="22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7DCBBD8A"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13.66</w:t>
            </w:r>
          </w:p>
        </w:tc>
      </w:tr>
      <w:tr w:rsidRPr="00AE1B2B" w:rsidR="00AE1B2B" w:rsidTr="009D3FB5" w14:paraId="334961F7"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9E0C20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Impugnación Reconocimiento</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E80297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470</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5C3601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13,16</w:t>
            </w:r>
          </w:p>
        </w:tc>
      </w:tr>
      <w:tr w:rsidRPr="00AE1B2B" w:rsidR="00AE1B2B" w:rsidTr="009D3FB5" w14:paraId="452BE099"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214008E3" w14:textId="77777777">
            <w:pPr>
              <w:spacing w:before="120" w:after="120" w:line="276" w:lineRule="auto"/>
              <w:rPr>
                <w:rFonts w:ascii="Times New Roman" w:hAnsi="Times New Roman" w:cs="Times New Roman"/>
              </w:rPr>
            </w:pPr>
            <w:r w:rsidRPr="00AE1B2B">
              <w:rPr>
                <w:rFonts w:ascii="Times New Roman" w:hAnsi="Times New Roman" w:cs="Times New Roman"/>
              </w:rPr>
              <w:t>Diligencia utilidad y necesidad</w:t>
            </w:r>
          </w:p>
        </w:tc>
        <w:tc>
          <w:tcPr>
            <w:tcW w:w="24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30A1C33C"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351</w:t>
            </w:r>
          </w:p>
        </w:tc>
        <w:tc>
          <w:tcPr>
            <w:tcW w:w="22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48CB954F"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13.09</w:t>
            </w:r>
          </w:p>
        </w:tc>
      </w:tr>
      <w:tr w:rsidRPr="00AE1B2B" w:rsidR="00AE1B2B" w:rsidTr="009D3FB5" w14:paraId="54F1FF87"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F5432C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Guarda Crianza Y Educación</w:t>
            </w:r>
          </w:p>
        </w:tc>
        <w:tc>
          <w:tcPr>
            <w:tcW w:w="2400"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C2E184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705</w:t>
            </w:r>
          </w:p>
        </w:tc>
        <w:tc>
          <w:tcPr>
            <w:tcW w:w="2200"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F651C0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12.97</w:t>
            </w:r>
          </w:p>
        </w:tc>
      </w:tr>
      <w:tr w:rsidRPr="00AE1B2B" w:rsidR="00AE1B2B" w:rsidTr="009D3FB5" w14:paraId="175069A8"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62E4D1F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Modific. Patria Potestad</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F577DC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20</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A80B94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12,40</w:t>
            </w:r>
          </w:p>
        </w:tc>
      </w:tr>
      <w:tr w:rsidRPr="00AE1B2B" w:rsidR="00AE1B2B" w:rsidTr="009D3FB5" w14:paraId="3E62008F"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2F2007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lastRenderedPageBreak/>
              <w:t>Impugnación Paternidad</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909869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416</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D7C234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12,28</w:t>
            </w:r>
          </w:p>
        </w:tc>
      </w:tr>
      <w:tr w:rsidRPr="00AE1B2B" w:rsidR="00AE1B2B" w:rsidTr="009D3FB5" w14:paraId="2845C381"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50BC366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Depósito Judicial</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F80000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648</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C8F15D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12,12</w:t>
            </w:r>
          </w:p>
        </w:tc>
      </w:tr>
      <w:tr w:rsidRPr="00AE1B2B" w:rsidR="00AE1B2B" w:rsidTr="009D3FB5" w14:paraId="4C54B0D1"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176A0302"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Rec. Hijo Mujer Casada Oposición</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90220B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1AE072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11,31</w:t>
            </w:r>
          </w:p>
        </w:tc>
      </w:tr>
      <w:tr w:rsidRPr="00AE1B2B" w:rsidR="00AE1B2B" w:rsidTr="009D3FB5" w14:paraId="1D30DFF1"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6810195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Interrelación Familiar (régimen de visitas)</w:t>
            </w:r>
          </w:p>
        </w:tc>
        <w:tc>
          <w:tcPr>
            <w:tcW w:w="2400"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CAA040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1,781</w:t>
            </w:r>
          </w:p>
        </w:tc>
        <w:tc>
          <w:tcPr>
            <w:tcW w:w="2200"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168D14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11.26</w:t>
            </w:r>
          </w:p>
        </w:tc>
      </w:tr>
      <w:tr w:rsidRPr="00AE1B2B" w:rsidR="00AE1B2B" w:rsidTr="009D3FB5" w14:paraId="3FE412B0"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770BE9E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Declaratoria Paternidad</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F193C7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44</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630F99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10,26</w:t>
            </w:r>
          </w:p>
        </w:tc>
      </w:tr>
      <w:tr w:rsidRPr="00AE1B2B" w:rsidR="00AE1B2B" w:rsidTr="009D3FB5" w14:paraId="15847E58"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2BADB4F1" w14:textId="77777777">
            <w:pPr>
              <w:spacing w:before="120" w:after="120" w:line="276" w:lineRule="auto"/>
              <w:rPr>
                <w:rFonts w:ascii="Times New Roman" w:hAnsi="Times New Roman" w:cs="Times New Roman"/>
              </w:rPr>
            </w:pPr>
            <w:r w:rsidRPr="00AE1B2B">
              <w:rPr>
                <w:rFonts w:ascii="Times New Roman" w:hAnsi="Times New Roman" w:cs="Times New Roman"/>
              </w:rPr>
              <w:t>Reconocimiento de hija o de hijo de mujer casada no contencioso</w:t>
            </w:r>
          </w:p>
        </w:tc>
        <w:tc>
          <w:tcPr>
            <w:tcW w:w="24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42035492"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746</w:t>
            </w:r>
          </w:p>
        </w:tc>
        <w:tc>
          <w:tcPr>
            <w:tcW w:w="22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14D048C6"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8.74</w:t>
            </w:r>
          </w:p>
        </w:tc>
      </w:tr>
      <w:tr w:rsidRPr="00AE1B2B" w:rsidR="00AE1B2B" w:rsidTr="009D3FB5" w14:paraId="42FBE6F5"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16EFA21B" w14:textId="77777777">
            <w:pPr>
              <w:spacing w:before="120" w:after="120" w:line="276" w:lineRule="auto"/>
              <w:rPr>
                <w:rFonts w:ascii="Times New Roman" w:hAnsi="Times New Roman" w:cs="Times New Roman"/>
              </w:rPr>
            </w:pPr>
            <w:r w:rsidRPr="00AE1B2B">
              <w:rPr>
                <w:rFonts w:ascii="Times New Roman" w:hAnsi="Times New Roman" w:cs="Times New Roman"/>
              </w:rPr>
              <w:t>Conflicto autoridad parental</w:t>
            </w:r>
          </w:p>
        </w:tc>
        <w:tc>
          <w:tcPr>
            <w:tcW w:w="24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022A98C4"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36</w:t>
            </w:r>
          </w:p>
        </w:tc>
        <w:tc>
          <w:tcPr>
            <w:tcW w:w="22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37333819"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8.18</w:t>
            </w:r>
          </w:p>
        </w:tc>
      </w:tr>
      <w:tr w:rsidRPr="00AE1B2B" w:rsidR="00AE1B2B" w:rsidTr="009D3FB5" w14:paraId="64673D8A"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54D8279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Medida Cautelar</w:t>
            </w:r>
          </w:p>
        </w:tc>
        <w:tc>
          <w:tcPr>
            <w:tcW w:w="2400"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374670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11</w:t>
            </w:r>
          </w:p>
        </w:tc>
        <w:tc>
          <w:tcPr>
            <w:tcW w:w="2200"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3A0A1A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6.96</w:t>
            </w:r>
          </w:p>
        </w:tc>
      </w:tr>
      <w:tr w:rsidRPr="00AE1B2B" w:rsidR="00AE1B2B" w:rsidTr="009D3FB5" w14:paraId="53596520"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67B0D336" w14:textId="77777777">
            <w:pPr>
              <w:spacing w:before="120" w:after="120" w:line="276" w:lineRule="auto"/>
              <w:rPr>
                <w:rFonts w:ascii="Times New Roman" w:hAnsi="Times New Roman" w:cs="Times New Roman"/>
              </w:rPr>
            </w:pPr>
            <w:r w:rsidRPr="00AE1B2B">
              <w:rPr>
                <w:rFonts w:ascii="Times New Roman" w:hAnsi="Times New Roman" w:cs="Times New Roman"/>
              </w:rPr>
              <w:t>Autorización salida del país</w:t>
            </w:r>
          </w:p>
        </w:tc>
        <w:tc>
          <w:tcPr>
            <w:tcW w:w="24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05A3B708"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535</w:t>
            </w:r>
          </w:p>
        </w:tc>
        <w:tc>
          <w:tcPr>
            <w:tcW w:w="22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74B15D68"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6.95</w:t>
            </w:r>
          </w:p>
        </w:tc>
      </w:tr>
      <w:tr w:rsidRPr="00AE1B2B" w:rsidR="00AE1B2B" w:rsidTr="009D3FB5" w14:paraId="41D38AE5"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278970B1" w14:textId="77777777">
            <w:pPr>
              <w:spacing w:before="120" w:after="120" w:line="276" w:lineRule="auto"/>
              <w:rPr>
                <w:rFonts w:ascii="Times New Roman" w:hAnsi="Times New Roman" w:cs="Times New Roman"/>
              </w:rPr>
            </w:pPr>
            <w:r w:rsidRPr="00AE1B2B">
              <w:rPr>
                <w:rFonts w:ascii="Times New Roman" w:hAnsi="Times New Roman" w:cs="Times New Roman"/>
              </w:rPr>
              <w:t>Restitución internacional</w:t>
            </w:r>
          </w:p>
        </w:tc>
        <w:tc>
          <w:tcPr>
            <w:tcW w:w="24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5EB4F7A3"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36</w:t>
            </w:r>
          </w:p>
        </w:tc>
        <w:tc>
          <w:tcPr>
            <w:tcW w:w="22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5F8D110A"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6.37</w:t>
            </w:r>
          </w:p>
        </w:tc>
      </w:tr>
      <w:tr w:rsidRPr="00AE1B2B" w:rsidR="00AE1B2B" w:rsidTr="009D3FB5" w14:paraId="63D16940"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6B8439FF" w14:textId="77777777">
            <w:pPr>
              <w:spacing w:before="120" w:after="120" w:line="276" w:lineRule="auto"/>
              <w:rPr>
                <w:rFonts w:ascii="Times New Roman" w:hAnsi="Times New Roman" w:cs="Times New Roman"/>
              </w:rPr>
            </w:pPr>
            <w:r w:rsidRPr="00AE1B2B">
              <w:rPr>
                <w:rFonts w:ascii="Times New Roman" w:hAnsi="Times New Roman" w:cs="Times New Roman"/>
              </w:rPr>
              <w:t>Fijación Alimentarias (en proceso de divorcio)</w:t>
            </w:r>
          </w:p>
        </w:tc>
        <w:tc>
          <w:tcPr>
            <w:tcW w:w="24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4AB1DE6D"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26</w:t>
            </w:r>
          </w:p>
        </w:tc>
        <w:tc>
          <w:tcPr>
            <w:tcW w:w="22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24AEDFEE"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6.35</w:t>
            </w:r>
          </w:p>
        </w:tc>
      </w:tr>
      <w:tr w:rsidRPr="00AE1B2B" w:rsidR="00AE1B2B" w:rsidTr="009D3FB5" w14:paraId="52026498"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73BFBA80" w14:textId="77777777">
            <w:pPr>
              <w:spacing w:before="120" w:after="120" w:line="276" w:lineRule="auto"/>
              <w:rPr>
                <w:rFonts w:ascii="Times New Roman" w:hAnsi="Times New Roman" w:cs="Times New Roman"/>
              </w:rPr>
            </w:pPr>
            <w:r w:rsidRPr="00AE1B2B">
              <w:rPr>
                <w:rFonts w:ascii="Times New Roman" w:hAnsi="Times New Roman" w:cs="Times New Roman"/>
              </w:rPr>
              <w:t>Proceso especial protección</w:t>
            </w:r>
          </w:p>
        </w:tc>
        <w:tc>
          <w:tcPr>
            <w:tcW w:w="24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1D62C32D"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306</w:t>
            </w:r>
          </w:p>
        </w:tc>
        <w:tc>
          <w:tcPr>
            <w:tcW w:w="22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70E666CB"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6.24</w:t>
            </w:r>
          </w:p>
        </w:tc>
      </w:tr>
      <w:tr w:rsidRPr="00AE1B2B" w:rsidR="00AE1B2B" w:rsidTr="009D3FB5" w14:paraId="38D37F54"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40D9F5F5" w14:textId="77777777">
            <w:pPr>
              <w:spacing w:before="120" w:after="120" w:line="276" w:lineRule="auto"/>
              <w:rPr>
                <w:rFonts w:ascii="Times New Roman" w:hAnsi="Times New Roman" w:cs="Times New Roman"/>
              </w:rPr>
            </w:pPr>
            <w:r w:rsidRPr="00AE1B2B">
              <w:rPr>
                <w:rFonts w:ascii="Times New Roman" w:hAnsi="Times New Roman" w:cs="Times New Roman"/>
              </w:rPr>
              <w:t>Curatela</w:t>
            </w:r>
          </w:p>
        </w:tc>
        <w:tc>
          <w:tcPr>
            <w:tcW w:w="24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04BD9093"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3</w:t>
            </w:r>
          </w:p>
        </w:tc>
        <w:tc>
          <w:tcPr>
            <w:tcW w:w="22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775FFF56"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5.90</w:t>
            </w:r>
          </w:p>
        </w:tc>
      </w:tr>
      <w:tr w:rsidRPr="00AE1B2B" w:rsidR="00AE1B2B" w:rsidTr="009D3FB5" w14:paraId="61AD03B6"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24C88160" w14:textId="77777777">
            <w:pPr>
              <w:spacing w:before="120" w:after="120" w:line="276" w:lineRule="auto"/>
              <w:rPr>
                <w:rFonts w:ascii="Times New Roman" w:hAnsi="Times New Roman" w:cs="Times New Roman"/>
              </w:rPr>
            </w:pPr>
            <w:r w:rsidRPr="00AE1B2B">
              <w:rPr>
                <w:rFonts w:ascii="Times New Roman" w:hAnsi="Times New Roman" w:cs="Times New Roman"/>
              </w:rPr>
              <w:t>Asuntos De Otras Jurisdicciones</w:t>
            </w:r>
          </w:p>
        </w:tc>
        <w:tc>
          <w:tcPr>
            <w:tcW w:w="24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3B17FAC5"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56</w:t>
            </w:r>
          </w:p>
        </w:tc>
        <w:tc>
          <w:tcPr>
            <w:tcW w:w="22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21FC2891"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4.86</w:t>
            </w:r>
          </w:p>
        </w:tc>
      </w:tr>
      <w:tr w:rsidRPr="00AE1B2B" w:rsidR="00AE1B2B" w:rsidTr="009D3FB5" w14:paraId="25AB3B54"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4574506F" w14:textId="77777777">
            <w:pPr>
              <w:spacing w:before="120" w:after="120" w:line="276" w:lineRule="auto"/>
              <w:rPr>
                <w:rFonts w:ascii="Times New Roman" w:hAnsi="Times New Roman" w:cs="Times New Roman"/>
              </w:rPr>
            </w:pPr>
            <w:r w:rsidRPr="00AE1B2B">
              <w:rPr>
                <w:rFonts w:ascii="Times New Roman" w:hAnsi="Times New Roman" w:cs="Times New Roman"/>
              </w:rPr>
              <w:t>Adopciones internacionales</w:t>
            </w:r>
          </w:p>
        </w:tc>
        <w:tc>
          <w:tcPr>
            <w:tcW w:w="24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1A3E7AB5"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9</w:t>
            </w:r>
          </w:p>
        </w:tc>
        <w:tc>
          <w:tcPr>
            <w:tcW w:w="22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69F6370F"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4.58</w:t>
            </w:r>
          </w:p>
        </w:tc>
      </w:tr>
      <w:tr w:rsidRPr="00AE1B2B" w:rsidR="00AE1B2B" w:rsidTr="009D3FB5" w14:paraId="51BFF45C"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50FC92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Solicitud Matrimonio</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9A59E0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1005</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1ABAAB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4,40</w:t>
            </w:r>
          </w:p>
        </w:tc>
      </w:tr>
      <w:tr w:rsidRPr="00AE1B2B" w:rsidR="00AE1B2B" w:rsidTr="009D3FB5" w14:paraId="108AA3A3"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4C0E3FC5" w14:textId="77777777">
            <w:pPr>
              <w:spacing w:before="120" w:after="120" w:line="276" w:lineRule="auto"/>
              <w:rPr>
                <w:rFonts w:ascii="Times New Roman" w:hAnsi="Times New Roman" w:cs="Times New Roman"/>
                <w:lang w:val="en-US"/>
              </w:rPr>
            </w:pPr>
            <w:r w:rsidRPr="00AE1B2B">
              <w:rPr>
                <w:rFonts w:ascii="Times New Roman" w:hAnsi="Times New Roman" w:cs="Times New Roman"/>
                <w:lang w:val="en-US"/>
              </w:rPr>
              <w:t>Comunic. Art.32 CDNA (p.a.n.i.)</w:t>
            </w:r>
          </w:p>
        </w:tc>
        <w:tc>
          <w:tcPr>
            <w:tcW w:w="24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59B133F1"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316</w:t>
            </w:r>
          </w:p>
        </w:tc>
        <w:tc>
          <w:tcPr>
            <w:tcW w:w="22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7E229A69"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4.14</w:t>
            </w:r>
          </w:p>
        </w:tc>
      </w:tr>
      <w:tr w:rsidRPr="00AE1B2B" w:rsidR="00AE1B2B" w:rsidTr="009D3FB5" w14:paraId="097A26AC"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1B4508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Divorcio Mutuo Consentimiento</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D80FF6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9006</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8D25E5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3,96</w:t>
            </w:r>
          </w:p>
        </w:tc>
      </w:tr>
      <w:tr w:rsidRPr="00AE1B2B" w:rsidR="00AE1B2B" w:rsidTr="009D3FB5" w14:paraId="270AFCAE"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E2A39A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Separ.jud. Mutuo Consentimiento</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4F272B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14</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428A9E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3,68</w:t>
            </w:r>
          </w:p>
        </w:tc>
      </w:tr>
      <w:tr w:rsidRPr="00AE1B2B" w:rsidR="00AE1B2B" w:rsidTr="009D3FB5" w14:paraId="0FEDDA26"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6B8C590E" w14:textId="77777777">
            <w:pPr>
              <w:spacing w:before="120" w:after="120" w:line="276" w:lineRule="auto"/>
              <w:rPr>
                <w:rFonts w:ascii="Times New Roman" w:hAnsi="Times New Roman" w:cs="Times New Roman"/>
              </w:rPr>
            </w:pPr>
            <w:r w:rsidRPr="00AE1B2B">
              <w:rPr>
                <w:rFonts w:ascii="Times New Roman" w:hAnsi="Times New Roman" w:cs="Times New Roman"/>
              </w:rPr>
              <w:t>Recuperación Patria Potestad</w:t>
            </w:r>
          </w:p>
        </w:tc>
        <w:tc>
          <w:tcPr>
            <w:tcW w:w="24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0241509F"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w:t>
            </w:r>
          </w:p>
        </w:tc>
        <w:tc>
          <w:tcPr>
            <w:tcW w:w="22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1EBE91D8"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3.32</w:t>
            </w:r>
          </w:p>
        </w:tc>
      </w:tr>
      <w:tr w:rsidRPr="00AE1B2B" w:rsidR="00AE1B2B" w:rsidTr="009D3FB5" w14:paraId="2B16219D"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2D6A3A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lastRenderedPageBreak/>
              <w:t>Apelación por inadmisión</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F50C17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81BBC5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3,22</w:t>
            </w:r>
          </w:p>
        </w:tc>
      </w:tr>
      <w:tr w:rsidRPr="00AE1B2B" w:rsidR="00AE1B2B" w:rsidTr="009D3FB5" w14:paraId="5895F15C"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B14581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Actividades De Sedes Extrajudiciales</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684D60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166</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112C82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3,15</w:t>
            </w:r>
          </w:p>
        </w:tc>
      </w:tr>
      <w:tr w:rsidRPr="00AE1B2B" w:rsidR="00AE1B2B" w:rsidTr="009D3FB5" w14:paraId="47DCFDB4"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B594B2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Sol. Allanamiento (art.36 L.o. Pani)</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BA53D9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14</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D38673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2,58</w:t>
            </w:r>
          </w:p>
        </w:tc>
      </w:tr>
      <w:tr w:rsidRPr="00AE1B2B" w:rsidR="00AE1B2B" w:rsidTr="009D3FB5" w14:paraId="6DA14F4B"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03FDAFDF" w14:textId="77777777">
            <w:pPr>
              <w:spacing w:before="120" w:after="120" w:line="276" w:lineRule="auto"/>
              <w:rPr>
                <w:rFonts w:ascii="Times New Roman" w:hAnsi="Times New Roman" w:cs="Times New Roman"/>
              </w:rPr>
            </w:pPr>
            <w:r w:rsidRPr="00AE1B2B">
              <w:rPr>
                <w:rFonts w:ascii="Times New Roman" w:hAnsi="Times New Roman" w:cs="Times New Roman"/>
              </w:rPr>
              <w:t>Administración bienes menor</w:t>
            </w:r>
          </w:p>
        </w:tc>
        <w:tc>
          <w:tcPr>
            <w:tcW w:w="24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3650AA72"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3</w:t>
            </w:r>
          </w:p>
        </w:tc>
        <w:tc>
          <w:tcPr>
            <w:tcW w:w="2200"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4FA7A63D"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2.00</w:t>
            </w:r>
          </w:p>
        </w:tc>
      </w:tr>
      <w:tr w:rsidRPr="00AE1B2B" w:rsidR="00AE1B2B" w:rsidTr="009D3FB5" w14:paraId="06C932B8" w14:textId="77777777">
        <w:trPr>
          <w:trHeight w:val="20"/>
          <w:jc w:val="center"/>
        </w:trPr>
        <w:tc>
          <w:tcPr>
            <w:tcW w:w="3740"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606BE7F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Auto. Rec. Hijo (neg.o Aus. Asent.)</w:t>
            </w:r>
          </w:p>
        </w:tc>
        <w:tc>
          <w:tcPr>
            <w:tcW w:w="24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6AF6C3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220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2D7404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0,03</w:t>
            </w:r>
          </w:p>
        </w:tc>
      </w:tr>
      <w:tr w:rsidRPr="00AE1B2B" w:rsidR="00AE1B2B" w:rsidTr="009D3FB5" w14:paraId="0ABF6FB6" w14:textId="77777777">
        <w:trPr>
          <w:trHeight w:val="20"/>
          <w:jc w:val="center"/>
        </w:trPr>
        <w:tc>
          <w:tcPr>
            <w:tcW w:w="3740" w:type="dxa"/>
            <w:shd w:val="clear" w:color="000000" w:fill="808080"/>
            <w:noWrap/>
            <w:vAlign w:val="bottom"/>
            <w:hideMark/>
          </w:tcPr>
          <w:p w:rsidRPr="00AE1B2B" w:rsidR="009D3FB5" w:rsidP="00163B94" w:rsidRDefault="009D3FB5" w14:paraId="6FAB714A" w14:textId="77777777">
            <w:pPr>
              <w:spacing w:before="120" w:after="120" w:line="276" w:lineRule="auto"/>
              <w:jc w:val="right"/>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Total</w:t>
            </w:r>
          </w:p>
        </w:tc>
        <w:tc>
          <w:tcPr>
            <w:tcW w:w="2400" w:type="dxa"/>
            <w:shd w:val="clear" w:color="000000" w:fill="808080"/>
            <w:noWrap/>
            <w:vAlign w:val="bottom"/>
            <w:hideMark/>
          </w:tcPr>
          <w:p w:rsidRPr="00AE1B2B" w:rsidR="009D3FB5" w:rsidP="00163B94" w:rsidRDefault="009D3FB5" w14:paraId="1F2629C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23141</w:t>
            </w:r>
          </w:p>
        </w:tc>
        <w:tc>
          <w:tcPr>
            <w:tcW w:w="2200" w:type="dxa"/>
            <w:shd w:val="clear" w:color="000000" w:fill="808080"/>
            <w:noWrap/>
            <w:vAlign w:val="bottom"/>
            <w:hideMark/>
          </w:tcPr>
          <w:p w:rsidRPr="00AE1B2B" w:rsidR="009D3FB5" w:rsidP="00163B94" w:rsidRDefault="009D3FB5" w14:paraId="161DA7EA" w14:textId="77777777">
            <w:pPr>
              <w:spacing w:before="120" w:after="120" w:line="276" w:lineRule="auto"/>
              <w:jc w:val="center"/>
              <w:rPr>
                <w:rFonts w:ascii="Times New Roman" w:hAnsi="Times New Roman" w:eastAsia="Times New Roman" w:cs="Times New Roman"/>
                <w:lang w:eastAsia="es-CR"/>
              </w:rPr>
            </w:pPr>
          </w:p>
        </w:tc>
      </w:tr>
      <w:tr w:rsidRPr="00AE1B2B" w:rsidR="00AE1B2B" w:rsidTr="009D3FB5" w14:paraId="4DDBBD1D" w14:textId="77777777">
        <w:trPr>
          <w:trHeight w:val="20"/>
          <w:jc w:val="center"/>
        </w:trPr>
        <w:tc>
          <w:tcPr>
            <w:tcW w:w="3740" w:type="dxa"/>
            <w:shd w:val="clear" w:color="000000" w:fill="808080"/>
            <w:noWrap/>
            <w:vAlign w:val="bottom"/>
          </w:tcPr>
          <w:p w:rsidRPr="00AE1B2B" w:rsidR="009D3FB5" w:rsidP="00163B94" w:rsidRDefault="009D3FB5" w14:paraId="6D2D5954" w14:textId="77777777">
            <w:pPr>
              <w:spacing w:before="120" w:after="120" w:line="276" w:lineRule="auto"/>
              <w:jc w:val="right"/>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Promedio</w:t>
            </w:r>
          </w:p>
        </w:tc>
        <w:tc>
          <w:tcPr>
            <w:tcW w:w="2400" w:type="dxa"/>
            <w:shd w:val="clear" w:color="000000" w:fill="808080"/>
            <w:noWrap/>
            <w:vAlign w:val="bottom"/>
          </w:tcPr>
          <w:p w:rsidRPr="00AE1B2B" w:rsidR="009D3FB5" w:rsidDel="00E61F25" w:rsidP="00163B94" w:rsidRDefault="009D3FB5" w14:paraId="7FC8DEE7" w14:textId="77777777">
            <w:pPr>
              <w:spacing w:before="120" w:after="120" w:line="276" w:lineRule="auto"/>
              <w:jc w:val="center"/>
              <w:rPr>
                <w:rFonts w:ascii="Times New Roman" w:hAnsi="Times New Roman" w:eastAsia="Times New Roman" w:cs="Times New Roman"/>
                <w:lang w:eastAsia="es-CR"/>
              </w:rPr>
            </w:pPr>
          </w:p>
        </w:tc>
        <w:tc>
          <w:tcPr>
            <w:tcW w:w="2200" w:type="dxa"/>
            <w:shd w:val="clear" w:color="000000" w:fill="808080"/>
            <w:noWrap/>
            <w:vAlign w:val="bottom"/>
          </w:tcPr>
          <w:p w:rsidRPr="00AE1B2B" w:rsidR="009D3FB5" w:rsidP="00163B94" w:rsidRDefault="009D3FB5" w14:paraId="581C39A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13,84</w:t>
            </w:r>
          </w:p>
        </w:tc>
      </w:tr>
    </w:tbl>
    <w:p w:rsidRPr="00AE1B2B" w:rsidR="009D3FB5" w:rsidP="00163B94" w:rsidRDefault="009D3FB5" w14:paraId="01F2E365"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 con base en datos Estadísticos del Subproceso de Estadística.</w:t>
      </w:r>
    </w:p>
    <w:p w:rsidRPr="00AE1B2B" w:rsidR="009D3FB5" w:rsidP="00163B94" w:rsidRDefault="009D3FB5" w14:paraId="5E0A55B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D86ED8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hace necesario ajustar los esfuerzos para reducir los tiempos de proceso, en miras de mejorar la respuesta a las personas usuarias y en línea con las recomendaciones emanadas por la Contraloría General de la República. Para ello las oficinas deben periódicamente y al menos 2 veces al año generar el reporte de la duración de los procesos en SIGMA, identificar aquellos que tienen un lapso mayor al plazo legal o bien que el criterio experto y revisar cada uno con el fin de priorizar su resolución. </w:t>
      </w:r>
    </w:p>
    <w:p w:rsidRPr="00AE1B2B" w:rsidR="009D3FB5" w:rsidP="00163B94" w:rsidRDefault="009D3FB5" w14:paraId="4C54212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28984D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0BA804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DD8F366" w14:textId="77777777">
      <w:pPr>
        <w:spacing w:before="120" w:after="120"/>
        <w:ind w:left="851" w:right="851" w:firstLine="709"/>
        <w:jc w:val="both"/>
        <w:rPr>
          <w:rFonts w:ascii="Times New Roman" w:hAnsi="Times New Roman" w:cs="Times New Roman"/>
          <w:b/>
          <w:snapToGrid w:val="0"/>
          <w:sz w:val="26"/>
          <w:szCs w:val="26"/>
        </w:rPr>
      </w:pPr>
      <w:r w:rsidRPr="00AE1B2B">
        <w:rPr>
          <w:rFonts w:ascii="Times New Roman" w:hAnsi="Times New Roman" w:cs="Times New Roman"/>
          <w:b/>
          <w:snapToGrid w:val="0"/>
          <w:sz w:val="26"/>
          <w:szCs w:val="26"/>
        </w:rPr>
        <w:t xml:space="preserve">Circulante por fase </w:t>
      </w:r>
    </w:p>
    <w:p w:rsidRPr="00AE1B2B" w:rsidR="009D3FB5" w:rsidP="00163B94" w:rsidRDefault="009D3FB5" w14:paraId="56FE595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continuación, en el siguiente gráfico se detalla el circulante por fase en asuntos principales de los Juzgado Especializados de Familia, durante el periodo del 2015 al 2019.</w:t>
      </w:r>
    </w:p>
    <w:p w:rsidRPr="00AE1B2B" w:rsidR="009D3FB5" w:rsidP="00163B94" w:rsidRDefault="009D3FB5" w14:paraId="76B60FF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18E9506" w14:textId="77777777">
      <w:pPr>
        <w:pStyle w:val="Descripcin"/>
        <w:spacing w:before="120" w:after="120"/>
        <w:ind w:left="851" w:right="851" w:firstLine="709"/>
        <w:jc w:val="center"/>
        <w:rPr>
          <w:rFonts w:ascii="Times New Roman" w:hAnsi="Times New Roman" w:cs="Times New Roman"/>
          <w:noProof/>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7</w:t>
      </w:r>
      <w:r w:rsidRPr="00AE1B2B">
        <w:rPr>
          <w:rFonts w:ascii="Times New Roman" w:hAnsi="Times New Roman" w:cs="Times New Roman"/>
          <w:sz w:val="26"/>
          <w:szCs w:val="26"/>
        </w:rPr>
        <w:fldChar w:fldCharType="end"/>
      </w:r>
    </w:p>
    <w:p w:rsidRPr="00AE1B2B" w:rsidR="009D3FB5" w:rsidP="00163B94" w:rsidRDefault="009D3FB5" w14:paraId="15F7E66B" w14:textId="77777777">
      <w:pPr>
        <w:keepNext/>
        <w:numPr>
          <w:ilvl w:val="12"/>
          <w:numId w:val="0"/>
        </w:numPr>
        <w:spacing w:before="120" w:after="120"/>
        <w:ind w:left="851" w:right="851" w:firstLine="709"/>
        <w:jc w:val="center"/>
        <w:rPr>
          <w:rFonts w:ascii="Times New Roman" w:hAnsi="Times New Roman" w:eastAsia="Times New Roman" w:cs="Times New Roman"/>
          <w:b/>
          <w:bCs/>
          <w:sz w:val="26"/>
          <w:szCs w:val="26"/>
          <w:lang w:eastAsia="es-ES"/>
        </w:rPr>
      </w:pPr>
      <w:r w:rsidRPr="00AE1B2B">
        <w:rPr>
          <w:rFonts w:ascii="Times New Roman" w:hAnsi="Times New Roman" w:eastAsia="Times New Roman" w:cs="Times New Roman"/>
          <w:b/>
          <w:bCs/>
          <w:sz w:val="26"/>
          <w:szCs w:val="26"/>
          <w:lang w:eastAsia="es-ES"/>
        </w:rPr>
        <w:lastRenderedPageBreak/>
        <w:t>Movimiento histórico del circulante por fase en los</w:t>
      </w:r>
    </w:p>
    <w:p w:rsidRPr="00AE1B2B" w:rsidR="009D3FB5" w:rsidP="00163B94" w:rsidRDefault="009D3FB5" w14:paraId="624F452D" w14:textId="29B6BD94">
      <w:pPr>
        <w:keepNext/>
        <w:numPr>
          <w:ilvl w:val="12"/>
          <w:numId w:val="0"/>
        </w:numPr>
        <w:spacing w:before="120" w:after="120"/>
        <w:ind w:left="851" w:right="851" w:firstLine="709"/>
        <w:jc w:val="center"/>
        <w:rPr>
          <w:rFonts w:ascii="Times New Roman" w:hAnsi="Times New Roman" w:eastAsia="Times New Roman" w:cs="Times New Roman"/>
          <w:b/>
          <w:bCs/>
          <w:sz w:val="26"/>
          <w:szCs w:val="26"/>
          <w:lang w:eastAsia="es-ES"/>
        </w:rPr>
      </w:pPr>
      <w:r w:rsidRPr="00AE1B2B">
        <w:rPr>
          <w:rFonts w:ascii="Times New Roman" w:hAnsi="Times New Roman" w:eastAsia="Times New Roman" w:cs="Times New Roman"/>
          <w:b/>
          <w:bCs/>
          <w:sz w:val="26"/>
          <w:szCs w:val="26"/>
          <w:lang w:eastAsia="es-ES"/>
        </w:rPr>
        <w:t>Juzgados Especializados de la materia de Familia, del 2015 al 2019</w:t>
      </w:r>
    </w:p>
    <w:tbl>
      <w:tblPr>
        <w:tblW w:w="5000" w:type="pct"/>
        <w:tblCellMar>
          <w:left w:w="70" w:type="dxa"/>
          <w:right w:w="70" w:type="dxa"/>
        </w:tblCellMar>
        <w:tblLook w:val="04A0" w:firstRow="1" w:lastRow="0" w:firstColumn="1" w:lastColumn="0" w:noHBand="0" w:noVBand="1"/>
      </w:tblPr>
      <w:tblGrid>
        <w:gridCol w:w="2134"/>
        <w:gridCol w:w="1093"/>
        <w:gridCol w:w="1093"/>
        <w:gridCol w:w="1093"/>
        <w:gridCol w:w="1093"/>
        <w:gridCol w:w="1093"/>
        <w:gridCol w:w="1229"/>
      </w:tblGrid>
      <w:tr w:rsidRPr="00AE1B2B" w:rsidR="00AE1B2B" w:rsidTr="009D3FB5" w14:paraId="378AAE59" w14:textId="77777777">
        <w:trPr>
          <w:trHeight w:val="407"/>
          <w:tblHeader/>
        </w:trPr>
        <w:tc>
          <w:tcPr>
            <w:tcW w:w="1209"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161DB2E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Fase</w:t>
            </w:r>
          </w:p>
        </w:tc>
        <w:tc>
          <w:tcPr>
            <w:tcW w:w="619"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0C66174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2015</w:t>
            </w:r>
          </w:p>
        </w:tc>
        <w:tc>
          <w:tcPr>
            <w:tcW w:w="619"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4398995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2016</w:t>
            </w:r>
          </w:p>
        </w:tc>
        <w:tc>
          <w:tcPr>
            <w:tcW w:w="619"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503FC3E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2017</w:t>
            </w:r>
          </w:p>
        </w:tc>
        <w:tc>
          <w:tcPr>
            <w:tcW w:w="619"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394B1CD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2018</w:t>
            </w:r>
          </w:p>
        </w:tc>
        <w:tc>
          <w:tcPr>
            <w:tcW w:w="619"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119ED04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2019</w:t>
            </w:r>
          </w:p>
        </w:tc>
        <w:tc>
          <w:tcPr>
            <w:tcW w:w="696"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14A9220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Porcentaje en 2019</w:t>
            </w:r>
          </w:p>
        </w:tc>
      </w:tr>
      <w:tr w:rsidRPr="00AE1B2B" w:rsidR="00AE1B2B" w:rsidTr="009D3FB5" w14:paraId="0E0AB7DB" w14:textId="77777777">
        <w:trPr>
          <w:trHeight w:val="20"/>
        </w:trPr>
        <w:tc>
          <w:tcPr>
            <w:tcW w:w="1209" w:type="pct"/>
            <w:tcBorders>
              <w:top w:val="nil"/>
              <w:left w:val="single" w:color="auto" w:sz="4" w:space="0"/>
              <w:bottom w:val="single" w:color="auto" w:sz="4" w:space="0"/>
              <w:right w:val="single" w:color="auto" w:sz="4" w:space="0"/>
            </w:tcBorders>
            <w:shd w:val="clear" w:color="000000" w:fill="FFFFFF"/>
            <w:noWrap/>
            <w:vAlign w:val="center"/>
            <w:hideMark/>
          </w:tcPr>
          <w:p w:rsidRPr="00AE1B2B" w:rsidR="009D3FB5" w:rsidP="00163B94" w:rsidRDefault="009D3FB5" w14:paraId="5E4F5D5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Demanda</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25BC46E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10 316</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42F9725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10 520</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76A3A28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11 159</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7E9F271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11 575</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3AAB04D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12 560</w:t>
            </w:r>
          </w:p>
        </w:tc>
        <w:tc>
          <w:tcPr>
            <w:tcW w:w="696" w:type="pct"/>
            <w:tcBorders>
              <w:top w:val="nil"/>
              <w:left w:val="nil"/>
              <w:bottom w:val="single" w:color="auto" w:sz="4" w:space="0"/>
              <w:right w:val="single" w:color="auto" w:sz="4" w:space="0"/>
            </w:tcBorders>
            <w:shd w:val="clear" w:color="000000" w:fill="F2F2F2"/>
            <w:noWrap/>
            <w:vAlign w:val="center"/>
            <w:hideMark/>
          </w:tcPr>
          <w:p w:rsidRPr="00AE1B2B" w:rsidR="009D3FB5" w:rsidP="00163B94" w:rsidRDefault="009D3FB5" w14:paraId="4DE6104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80%</w:t>
            </w:r>
          </w:p>
        </w:tc>
      </w:tr>
      <w:tr w:rsidRPr="00AE1B2B" w:rsidR="00AE1B2B" w:rsidTr="009D3FB5" w14:paraId="2A92E173" w14:textId="77777777">
        <w:trPr>
          <w:trHeight w:val="20"/>
        </w:trPr>
        <w:tc>
          <w:tcPr>
            <w:tcW w:w="1209" w:type="pct"/>
            <w:tcBorders>
              <w:top w:val="nil"/>
              <w:left w:val="single" w:color="auto" w:sz="4" w:space="0"/>
              <w:bottom w:val="single" w:color="auto" w:sz="4" w:space="0"/>
              <w:right w:val="single" w:color="auto" w:sz="4" w:space="0"/>
            </w:tcBorders>
            <w:shd w:val="clear" w:color="000000" w:fill="FFFFFF"/>
            <w:noWrap/>
            <w:vAlign w:val="center"/>
            <w:hideMark/>
          </w:tcPr>
          <w:p w:rsidRPr="00AE1B2B" w:rsidR="009D3FB5" w:rsidP="00163B94" w:rsidRDefault="009D3FB5" w14:paraId="4C3BF40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Demostrativa</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330E3FA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1 401</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44AC0A6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1 417</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1719235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1 585</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3A6D5A0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1 662</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1022C84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2 023</w:t>
            </w:r>
          </w:p>
        </w:tc>
        <w:tc>
          <w:tcPr>
            <w:tcW w:w="696" w:type="pct"/>
            <w:tcBorders>
              <w:top w:val="nil"/>
              <w:left w:val="nil"/>
              <w:bottom w:val="single" w:color="auto" w:sz="4" w:space="0"/>
              <w:right w:val="single" w:color="auto" w:sz="4" w:space="0"/>
            </w:tcBorders>
            <w:shd w:val="clear" w:color="000000" w:fill="F2F2F2"/>
            <w:noWrap/>
            <w:vAlign w:val="center"/>
            <w:hideMark/>
          </w:tcPr>
          <w:p w:rsidRPr="00AE1B2B" w:rsidR="009D3FB5" w:rsidP="00163B94" w:rsidRDefault="009D3FB5" w14:paraId="216B406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13%</w:t>
            </w:r>
          </w:p>
        </w:tc>
      </w:tr>
      <w:tr w:rsidRPr="00AE1B2B" w:rsidR="00AE1B2B" w:rsidTr="009D3FB5" w14:paraId="11114EFB" w14:textId="77777777">
        <w:trPr>
          <w:trHeight w:val="20"/>
        </w:trPr>
        <w:tc>
          <w:tcPr>
            <w:tcW w:w="1209" w:type="pct"/>
            <w:tcBorders>
              <w:top w:val="nil"/>
              <w:left w:val="single" w:color="auto" w:sz="4" w:space="0"/>
              <w:bottom w:val="single" w:color="auto" w:sz="4" w:space="0"/>
              <w:right w:val="single" w:color="auto" w:sz="4" w:space="0"/>
            </w:tcBorders>
            <w:shd w:val="clear" w:color="000000" w:fill="FFFFFF"/>
            <w:noWrap/>
            <w:vAlign w:val="center"/>
            <w:hideMark/>
          </w:tcPr>
          <w:p w:rsidRPr="00AE1B2B" w:rsidR="009D3FB5" w:rsidP="00163B94" w:rsidRDefault="009D3FB5" w14:paraId="5FDFC26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Conclusiva</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2632E50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476</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0988388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667</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49EE1CE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752</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4ED71BF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980</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2D59857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876</w:t>
            </w:r>
          </w:p>
        </w:tc>
        <w:tc>
          <w:tcPr>
            <w:tcW w:w="696" w:type="pct"/>
            <w:tcBorders>
              <w:top w:val="nil"/>
              <w:left w:val="nil"/>
              <w:bottom w:val="single" w:color="auto" w:sz="4" w:space="0"/>
              <w:right w:val="single" w:color="auto" w:sz="4" w:space="0"/>
            </w:tcBorders>
            <w:shd w:val="clear" w:color="000000" w:fill="F2F2F2"/>
            <w:noWrap/>
            <w:vAlign w:val="center"/>
            <w:hideMark/>
          </w:tcPr>
          <w:p w:rsidRPr="00AE1B2B" w:rsidR="009D3FB5" w:rsidP="00163B94" w:rsidRDefault="009D3FB5" w14:paraId="5E62D85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6%</w:t>
            </w:r>
          </w:p>
        </w:tc>
      </w:tr>
      <w:tr w:rsidRPr="00AE1B2B" w:rsidR="00AE1B2B" w:rsidTr="009D3FB5" w14:paraId="4431F151" w14:textId="77777777">
        <w:trPr>
          <w:trHeight w:val="20"/>
        </w:trPr>
        <w:tc>
          <w:tcPr>
            <w:tcW w:w="1209" w:type="pct"/>
            <w:tcBorders>
              <w:top w:val="nil"/>
              <w:left w:val="single" w:color="auto" w:sz="4" w:space="0"/>
              <w:bottom w:val="single" w:color="auto" w:sz="4" w:space="0"/>
              <w:right w:val="single" w:color="auto" w:sz="4" w:space="0"/>
            </w:tcBorders>
            <w:shd w:val="clear" w:color="000000" w:fill="FFFFFF"/>
            <w:noWrap/>
            <w:vAlign w:val="center"/>
            <w:hideMark/>
          </w:tcPr>
          <w:p w:rsidRPr="00AE1B2B" w:rsidR="009D3FB5" w:rsidP="00163B94" w:rsidRDefault="009D3FB5" w14:paraId="600FA57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Ejecución</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534B752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141</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10D98E5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168</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053581A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202</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70BBE7C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226</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73B72CF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186</w:t>
            </w:r>
          </w:p>
        </w:tc>
        <w:tc>
          <w:tcPr>
            <w:tcW w:w="696" w:type="pct"/>
            <w:tcBorders>
              <w:top w:val="nil"/>
              <w:left w:val="nil"/>
              <w:bottom w:val="single" w:color="auto" w:sz="4" w:space="0"/>
              <w:right w:val="single" w:color="auto" w:sz="4" w:space="0"/>
            </w:tcBorders>
            <w:shd w:val="clear" w:color="000000" w:fill="F2F2F2"/>
            <w:noWrap/>
            <w:vAlign w:val="center"/>
            <w:hideMark/>
          </w:tcPr>
          <w:p w:rsidRPr="00AE1B2B" w:rsidR="009D3FB5" w:rsidP="00163B94" w:rsidRDefault="009D3FB5" w14:paraId="55449C6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1%</w:t>
            </w:r>
          </w:p>
        </w:tc>
      </w:tr>
      <w:tr w:rsidRPr="00AE1B2B" w:rsidR="00AE1B2B" w:rsidTr="009D3FB5" w14:paraId="09BEB31C" w14:textId="77777777">
        <w:trPr>
          <w:trHeight w:val="20"/>
        </w:trPr>
        <w:tc>
          <w:tcPr>
            <w:tcW w:w="1209" w:type="pct"/>
            <w:tcBorders>
              <w:top w:val="nil"/>
              <w:left w:val="single" w:color="auto" w:sz="4" w:space="0"/>
              <w:bottom w:val="single" w:color="auto" w:sz="4" w:space="0"/>
              <w:right w:val="single" w:color="auto" w:sz="4" w:space="0"/>
            </w:tcBorders>
            <w:shd w:val="clear" w:color="000000" w:fill="FFFFFF"/>
            <w:noWrap/>
            <w:vAlign w:val="center"/>
            <w:hideMark/>
          </w:tcPr>
          <w:p w:rsidRPr="00AE1B2B" w:rsidR="009D3FB5" w:rsidP="00163B94" w:rsidRDefault="009D3FB5" w14:paraId="4B03839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Sin Fase</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60DC4FE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1 149</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7EF17FF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763</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11C82CE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476EAC7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w:t>
            </w:r>
          </w:p>
        </w:tc>
        <w:tc>
          <w:tcPr>
            <w:tcW w:w="619"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7BDA832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696" w:type="pct"/>
            <w:tcBorders>
              <w:top w:val="nil"/>
              <w:left w:val="nil"/>
              <w:bottom w:val="single" w:color="auto" w:sz="4" w:space="0"/>
              <w:right w:val="single" w:color="auto" w:sz="4" w:space="0"/>
            </w:tcBorders>
            <w:shd w:val="clear" w:color="000000" w:fill="F2F2F2"/>
            <w:noWrap/>
            <w:vAlign w:val="center"/>
            <w:hideMark/>
          </w:tcPr>
          <w:p w:rsidRPr="00AE1B2B" w:rsidR="009D3FB5" w:rsidP="00163B94" w:rsidRDefault="009D3FB5" w14:paraId="08E6650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0%</w:t>
            </w:r>
          </w:p>
        </w:tc>
      </w:tr>
      <w:tr w:rsidRPr="00AE1B2B" w:rsidR="00AE1B2B" w:rsidTr="009D3FB5" w14:paraId="62FFE487" w14:textId="77777777">
        <w:trPr>
          <w:trHeight w:val="20"/>
        </w:trPr>
        <w:tc>
          <w:tcPr>
            <w:tcW w:w="1209" w:type="pct"/>
            <w:tcBorders>
              <w:top w:val="nil"/>
              <w:left w:val="single" w:color="auto" w:sz="4" w:space="0"/>
              <w:bottom w:val="single" w:color="auto" w:sz="4" w:space="0"/>
              <w:right w:val="single" w:color="auto" w:sz="4" w:space="0"/>
            </w:tcBorders>
            <w:shd w:val="clear" w:color="000000" w:fill="808080"/>
            <w:noWrap/>
            <w:vAlign w:val="center"/>
            <w:hideMark/>
          </w:tcPr>
          <w:p w:rsidRPr="00AE1B2B" w:rsidR="009D3FB5" w:rsidP="00163B94" w:rsidRDefault="009D3FB5" w14:paraId="73E9EC6C" w14:textId="77777777">
            <w:pPr>
              <w:spacing w:before="120" w:after="120" w:line="276" w:lineRule="auto"/>
              <w:jc w:val="right"/>
              <w:rPr>
                <w:rFonts w:ascii="Times New Roman" w:hAnsi="Times New Roman" w:eastAsia="Times New Roman" w:cs="Times New Roman"/>
                <w:b/>
                <w:bCs/>
                <w:lang w:eastAsia="es-CR"/>
              </w:rPr>
            </w:pPr>
            <w:r w:rsidRPr="00AE1B2B">
              <w:rPr>
                <w:rFonts w:ascii="Times New Roman" w:hAnsi="Times New Roman" w:cs="Times New Roman"/>
                <w:b/>
                <w:bCs/>
              </w:rPr>
              <w:t xml:space="preserve">Total </w:t>
            </w:r>
          </w:p>
        </w:tc>
        <w:tc>
          <w:tcPr>
            <w:tcW w:w="619"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701FCE5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13 483</w:t>
            </w:r>
          </w:p>
        </w:tc>
        <w:tc>
          <w:tcPr>
            <w:tcW w:w="619"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0F3CAB9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13 535</w:t>
            </w:r>
          </w:p>
        </w:tc>
        <w:tc>
          <w:tcPr>
            <w:tcW w:w="619"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25907A2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13 698</w:t>
            </w:r>
          </w:p>
        </w:tc>
        <w:tc>
          <w:tcPr>
            <w:tcW w:w="619"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32AC0FE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14 443</w:t>
            </w:r>
          </w:p>
        </w:tc>
        <w:tc>
          <w:tcPr>
            <w:tcW w:w="619"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0DE9E41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15 647</w:t>
            </w:r>
          </w:p>
        </w:tc>
        <w:tc>
          <w:tcPr>
            <w:tcW w:w="696"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60DEEB9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100%</w:t>
            </w:r>
          </w:p>
        </w:tc>
      </w:tr>
    </w:tbl>
    <w:p w:rsidRPr="00AE1B2B" w:rsidR="009D3FB5" w:rsidP="00163B94" w:rsidRDefault="009D3FB5" w14:paraId="0DEEFA7E"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Subproceso de Modernización Institucional, con datos del Subproceso de Estadística del 2015 al 2019.</w:t>
      </w:r>
    </w:p>
    <w:p w:rsidRPr="00AE1B2B" w:rsidR="009D3FB5" w:rsidP="00163B94" w:rsidRDefault="009D3FB5" w14:paraId="240C796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D9974A1" w14:textId="440E2770">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Como se observa en el cuadro anterior, durante los últimos cinco años se ha dado un crecimiento en el circulante de las oficinas especializadas en materia de Familia, pasando de 13 483 casos activos al finalizar el 2015 a 15 647 en 2019.</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Al finalizar 2020, se reportan en los Juzgados Especializados un circulante de 15 631.</w:t>
      </w:r>
    </w:p>
    <w:p w:rsidRPr="00AE1B2B" w:rsidR="009D3FB5" w:rsidP="00163B94" w:rsidRDefault="009D3FB5" w14:paraId="531BF7AA" w14:textId="584289E9">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Para 2019, un 80% de los asuntos en circulante se encuentran en fase de demanda, un 13% en fase demostrativa, un 6% en conclusiva y un 2% en ejecución.</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Para 2019, solo se reportaron 2 expedientes sin actualizar la fase en el sistema, por lo que se insta al personal de los despachos, la importancia de mantener actualizada la información de los expedientes, ya que esta es insumo para la toma de decisiones.</w:t>
      </w:r>
    </w:p>
    <w:p w:rsidRPr="00AE1B2B" w:rsidR="009D3FB5" w:rsidP="00163B94" w:rsidRDefault="009D3FB5" w14:paraId="72F910E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80AF13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 importante mencionar que la Dirección de Planificación trabajó en la actualización y mejora de la Fórmula Estadística de materia de Familia, incluyendo el manual para su utilización. Los productos fueron enviados a Consejo Superior mediante el oficio 2043-PLA-ES-2019 (instructivo) y 186-PLA-ES-2020 (fórmula), el cual acordó en sesión 107-19 artículo XLVIII, celebrada el 10 de diciembre de 2019, lo siguiente:</w:t>
      </w:r>
    </w:p>
    <w:p w:rsidRPr="00AE1B2B" w:rsidR="009D3FB5" w:rsidP="00163B94" w:rsidRDefault="009D3FB5" w14:paraId="36D5CAB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2CDA2BF"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“Se acordó: 1.) Tener por recibido el informe N°2043-PLA-ES-2019 del 29 de noviembre de 2019 de la Dirección de Planificación, relacionado con la formula e instructivo en materia de Familia en primera instancia. 2.) Hacer de conocimiento de la Comisión de la Jurisdicción de Familia, Niñez y Adolescencia.”</w:t>
      </w:r>
    </w:p>
    <w:p w:rsidRPr="00AE1B2B" w:rsidR="009D3FB5" w:rsidP="00163B94" w:rsidRDefault="009D3FB5" w14:paraId="65E946E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1533EF4" w14:textId="3458F2B4">
      <w:pPr>
        <w:spacing w:before="120" w:after="120"/>
        <w:ind w:left="851" w:right="851" w:firstLine="709"/>
        <w:jc w:val="both"/>
        <w:rPr>
          <w:rFonts w:ascii="Times New Roman" w:hAnsi="Times New Roman" w:cs="Times New Roman"/>
          <w:b/>
          <w:bCs/>
          <w:iCs/>
          <w:sz w:val="26"/>
          <w:szCs w:val="26"/>
        </w:rPr>
      </w:pPr>
      <w:r w:rsidRPr="00AE1B2B">
        <w:rPr>
          <w:rFonts w:ascii="Times New Roman" w:hAnsi="Times New Roman" w:cs="Times New Roman"/>
          <w:iCs/>
          <w:sz w:val="26"/>
          <w:szCs w:val="26"/>
        </w:rPr>
        <w:t>La fórmula estadística en materia de Familia fue recientemente modificada.</w:t>
      </w:r>
      <w:r w:rsidRPr="00AE1B2B" w:rsidR="00BB7720">
        <w:rPr>
          <w:rFonts w:ascii="Times New Roman" w:hAnsi="Times New Roman" w:cs="Times New Roman"/>
          <w:iCs/>
          <w:sz w:val="26"/>
          <w:szCs w:val="26"/>
        </w:rPr>
        <w:t xml:space="preserve"> </w:t>
      </w:r>
      <w:r w:rsidRPr="00AE1B2B">
        <w:rPr>
          <w:rFonts w:ascii="Times New Roman" w:hAnsi="Times New Roman" w:cs="Times New Roman"/>
          <w:iCs/>
          <w:sz w:val="26"/>
          <w:szCs w:val="26"/>
        </w:rPr>
        <w:t>Por lo que se adjunta la nueva versión, así como el instructivo debidamente actualizado en el</w:t>
      </w:r>
      <w:r w:rsidRPr="00AE1B2B">
        <w:rPr>
          <w:rFonts w:ascii="Times New Roman" w:hAnsi="Times New Roman" w:cs="Times New Roman"/>
          <w:b/>
          <w:bCs/>
          <w:iCs/>
          <w:sz w:val="26"/>
          <w:szCs w:val="26"/>
        </w:rPr>
        <w:t xml:space="preserve"> </w:t>
      </w:r>
      <w:r w:rsidRPr="00AE1B2B">
        <w:rPr>
          <w:rFonts w:ascii="Times New Roman" w:hAnsi="Times New Roman" w:cs="Times New Roman"/>
          <w:b/>
          <w:bCs/>
          <w:i/>
          <w:sz w:val="26"/>
          <w:szCs w:val="26"/>
        </w:rPr>
        <w:t>anexo 1</w:t>
      </w:r>
      <w:r w:rsidRPr="00AE1B2B">
        <w:rPr>
          <w:rFonts w:ascii="Times New Roman" w:hAnsi="Times New Roman" w:cs="Times New Roman"/>
          <w:b/>
          <w:bCs/>
          <w:iCs/>
          <w:sz w:val="26"/>
          <w:szCs w:val="26"/>
        </w:rPr>
        <w:t xml:space="preserve">. </w:t>
      </w:r>
    </w:p>
    <w:p w:rsidRPr="00AE1B2B" w:rsidR="009D3FB5" w:rsidP="00163B94" w:rsidRDefault="009D3FB5" w14:paraId="31A2E158" w14:textId="77777777">
      <w:pPr>
        <w:spacing w:before="120" w:after="120"/>
        <w:ind w:left="851" w:right="851" w:firstLine="709"/>
        <w:jc w:val="both"/>
        <w:rPr>
          <w:rFonts w:ascii="Times New Roman" w:hAnsi="Times New Roman" w:cs="Times New Roman"/>
          <w:i/>
          <w:sz w:val="26"/>
          <w:szCs w:val="26"/>
          <w:lang w:val="es-ES"/>
        </w:rPr>
      </w:pPr>
      <w:r w:rsidRPr="00AE1B2B">
        <w:rPr>
          <w:rFonts w:ascii="Times New Roman" w:hAnsi="Times New Roman" w:cs="Times New Roman"/>
          <w:iCs/>
          <w:sz w:val="26"/>
          <w:szCs w:val="26"/>
        </w:rPr>
        <w:t>El uso de las nueva fórmula en Familia y Pensiones es de carácter obligatorio de conformidad con la</w:t>
      </w:r>
      <w:r w:rsidRPr="00AE1B2B">
        <w:rPr>
          <w:rFonts w:ascii="Times New Roman" w:hAnsi="Times New Roman" w:cs="Times New Roman"/>
          <w:b/>
          <w:bCs/>
          <w:iCs/>
          <w:sz w:val="26"/>
          <w:szCs w:val="26"/>
        </w:rPr>
        <w:t xml:space="preserve"> circular 207-20 </w:t>
      </w:r>
      <w:r w:rsidRPr="00AE1B2B">
        <w:rPr>
          <w:rFonts w:ascii="Times New Roman" w:hAnsi="Times New Roman" w:cs="Times New Roman"/>
          <w:b/>
          <w:bCs/>
          <w:i/>
          <w:sz w:val="26"/>
          <w:szCs w:val="26"/>
        </w:rPr>
        <w:t>“</w:t>
      </w:r>
      <w:r w:rsidRPr="00AE1B2B">
        <w:rPr>
          <w:rFonts w:ascii="Times New Roman" w:hAnsi="Times New Roman" w:cs="Times New Roman"/>
          <w:i/>
          <w:sz w:val="26"/>
          <w:szCs w:val="26"/>
          <w:lang w:eastAsia="es-CR"/>
        </w:rPr>
        <w:t>Obligación de uso de las nuevas fórmulas estadísticas para las materias de Familia y Pensiones Alimentarias</w:t>
      </w:r>
      <w:r w:rsidRPr="00AE1B2B">
        <w:rPr>
          <w:rFonts w:ascii="Times New Roman" w:hAnsi="Times New Roman" w:cs="Times New Roman"/>
          <w:b/>
          <w:bCs/>
          <w:i/>
          <w:sz w:val="26"/>
          <w:szCs w:val="26"/>
        </w:rPr>
        <w:t>”.</w:t>
      </w:r>
    </w:p>
    <w:p w:rsidRPr="00AE1B2B" w:rsidR="009D3FB5" w:rsidP="00163B94" w:rsidRDefault="009D3FB5" w14:paraId="50ABCA7B" w14:textId="77777777">
      <w:pPr>
        <w:spacing w:before="120" w:after="120"/>
        <w:ind w:left="851" w:right="851" w:firstLine="709"/>
        <w:jc w:val="both"/>
        <w:rPr>
          <w:rFonts w:ascii="Times New Roman" w:hAnsi="Times New Roman" w:cs="Times New Roman"/>
          <w:i/>
          <w:sz w:val="26"/>
          <w:szCs w:val="26"/>
        </w:rPr>
      </w:pPr>
    </w:p>
    <w:p w:rsidRPr="00AE1B2B" w:rsidR="009D3FB5" w:rsidP="00163B94" w:rsidRDefault="009D3FB5" w14:paraId="69839E88" w14:textId="77777777">
      <w:pPr>
        <w:spacing w:before="120" w:after="120"/>
        <w:ind w:left="851" w:right="851" w:firstLine="709"/>
        <w:jc w:val="both"/>
        <w:rPr>
          <w:rFonts w:ascii="Times New Roman" w:hAnsi="Times New Roman" w:cs="Times New Roman"/>
          <w:i/>
          <w:sz w:val="26"/>
          <w:szCs w:val="26"/>
        </w:rPr>
      </w:pPr>
    </w:p>
    <w:p w:rsidRPr="00AE1B2B" w:rsidR="009D3FB5" w:rsidP="00163B94" w:rsidRDefault="009D3FB5" w14:paraId="7965BD0A" w14:textId="77777777">
      <w:pPr>
        <w:spacing w:before="120" w:after="120"/>
        <w:ind w:left="851" w:right="851" w:firstLine="709"/>
        <w:jc w:val="both"/>
        <w:rPr>
          <w:rFonts w:ascii="Times New Roman" w:hAnsi="Times New Roman" w:cs="Times New Roman"/>
          <w:b/>
          <w:sz w:val="26"/>
          <w:szCs w:val="26"/>
        </w:rPr>
      </w:pPr>
      <w:r w:rsidRPr="00AE1B2B">
        <w:rPr>
          <w:rFonts w:ascii="Times New Roman" w:hAnsi="Times New Roman" w:cs="Times New Roman"/>
          <w:b/>
          <w:sz w:val="26"/>
          <w:szCs w:val="26"/>
        </w:rPr>
        <w:t>Análisis sobre la efectividad de las audiencias señaladas</w:t>
      </w:r>
    </w:p>
    <w:p w:rsidRPr="00AE1B2B" w:rsidR="009D3FB5" w:rsidP="00163B94" w:rsidRDefault="009D3FB5" w14:paraId="4F122F9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Seguidamente se detalla el porcentaje de la efectividad de las audiencias de acuerdo con información recopilada de los Juzgados Especializados de Familia, durante el periodo del 2015 al 2019.</w:t>
      </w:r>
    </w:p>
    <w:p w:rsidRPr="00AE1B2B" w:rsidR="009D3FB5" w:rsidP="00163B94" w:rsidRDefault="009D3FB5" w14:paraId="07B81FD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DAAB4EE" w14:textId="77777777">
      <w:pPr>
        <w:pStyle w:val="Descripcin"/>
        <w:spacing w:before="120" w:after="120"/>
        <w:ind w:left="851" w:right="851" w:firstLine="709"/>
        <w:jc w:val="center"/>
        <w:rPr>
          <w:rFonts w:ascii="Times New Roman" w:hAnsi="Times New Roman" w:cs="Times New Roman"/>
          <w:noProof/>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8</w:t>
      </w:r>
      <w:r w:rsidRPr="00AE1B2B">
        <w:rPr>
          <w:rFonts w:ascii="Times New Roman" w:hAnsi="Times New Roman" w:cs="Times New Roman"/>
          <w:sz w:val="26"/>
          <w:szCs w:val="26"/>
        </w:rPr>
        <w:fldChar w:fldCharType="end"/>
      </w:r>
    </w:p>
    <w:p w:rsidRPr="00AE1B2B" w:rsidR="009D3FB5" w:rsidP="00163B94" w:rsidRDefault="009D3FB5" w14:paraId="58EBD3EB" w14:textId="6E12ACA2">
      <w:pPr>
        <w:keepNext/>
        <w:numPr>
          <w:ilvl w:val="12"/>
          <w:numId w:val="0"/>
        </w:numPr>
        <w:spacing w:before="120" w:after="120"/>
        <w:ind w:left="851" w:right="851" w:firstLine="709"/>
        <w:jc w:val="center"/>
        <w:rPr>
          <w:rFonts w:ascii="Times New Roman" w:hAnsi="Times New Roman" w:eastAsia="Times New Roman" w:cs="Times New Roman"/>
          <w:b/>
          <w:bCs/>
          <w:sz w:val="26"/>
          <w:szCs w:val="26"/>
          <w:lang w:eastAsia="es-ES"/>
        </w:rPr>
      </w:pPr>
      <w:r w:rsidRPr="00AE1B2B">
        <w:rPr>
          <w:rFonts w:ascii="Times New Roman" w:hAnsi="Times New Roman" w:eastAsia="Times New Roman" w:cs="Times New Roman"/>
          <w:b/>
          <w:bCs/>
          <w:sz w:val="26"/>
          <w:szCs w:val="26"/>
          <w:lang w:eastAsia="es-ES"/>
        </w:rPr>
        <w:t>Porcentaje de efectividad de audiencias en los</w:t>
      </w:r>
    </w:p>
    <w:p w:rsidRPr="00AE1B2B" w:rsidR="009D3FB5" w:rsidP="00163B94" w:rsidRDefault="009D3FB5" w14:paraId="6A2DC6D2" w14:textId="77777777">
      <w:pPr>
        <w:keepNext/>
        <w:numPr>
          <w:ilvl w:val="12"/>
          <w:numId w:val="0"/>
        </w:numPr>
        <w:spacing w:before="120" w:after="120"/>
        <w:ind w:left="851" w:right="851" w:firstLine="709"/>
        <w:jc w:val="center"/>
        <w:rPr>
          <w:rFonts w:ascii="Times New Roman" w:hAnsi="Times New Roman" w:eastAsia="Times New Roman" w:cs="Times New Roman"/>
          <w:b/>
          <w:bCs/>
          <w:sz w:val="26"/>
          <w:szCs w:val="26"/>
          <w:lang w:eastAsia="es-ES"/>
        </w:rPr>
      </w:pPr>
      <w:r w:rsidRPr="00AE1B2B">
        <w:rPr>
          <w:rFonts w:ascii="Times New Roman" w:hAnsi="Times New Roman" w:eastAsia="Times New Roman" w:cs="Times New Roman"/>
          <w:b/>
          <w:bCs/>
          <w:sz w:val="26"/>
          <w:szCs w:val="26"/>
          <w:lang w:eastAsia="es-ES"/>
        </w:rPr>
        <w:t>Juzgados Especializados de Familia, del 2015 al 2019</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4563"/>
        <w:gridCol w:w="853"/>
        <w:gridCol w:w="853"/>
        <w:gridCol w:w="853"/>
        <w:gridCol w:w="853"/>
        <w:gridCol w:w="853"/>
      </w:tblGrid>
      <w:tr w:rsidRPr="00AE1B2B" w:rsidR="00AE1B2B" w:rsidTr="009D3FB5" w14:paraId="1E80A821" w14:textId="77777777">
        <w:trPr>
          <w:trHeight w:val="362"/>
          <w:tblHeader/>
          <w:jc w:val="center"/>
        </w:trPr>
        <w:tc>
          <w:tcPr>
            <w:tcW w:w="2584" w:type="pct"/>
            <w:shd w:val="clear" w:color="365F91" w:fill="002060"/>
            <w:vAlign w:val="center"/>
            <w:hideMark/>
          </w:tcPr>
          <w:p w:rsidRPr="00AE1B2B" w:rsidR="009D3FB5" w:rsidP="00163B94" w:rsidRDefault="009D3FB5" w14:paraId="7931481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Estado</w:t>
            </w:r>
          </w:p>
        </w:tc>
        <w:tc>
          <w:tcPr>
            <w:tcW w:w="483" w:type="pct"/>
            <w:shd w:val="clear" w:color="4BACC6" w:fill="002060"/>
            <w:vAlign w:val="center"/>
            <w:hideMark/>
          </w:tcPr>
          <w:p w:rsidRPr="00AE1B2B" w:rsidR="009D3FB5" w:rsidP="00163B94" w:rsidRDefault="009D3FB5" w14:paraId="72A6B5F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2015</w:t>
            </w:r>
          </w:p>
        </w:tc>
        <w:tc>
          <w:tcPr>
            <w:tcW w:w="483" w:type="pct"/>
            <w:shd w:val="clear" w:color="4BACC6" w:fill="002060"/>
            <w:vAlign w:val="center"/>
            <w:hideMark/>
          </w:tcPr>
          <w:p w:rsidRPr="00AE1B2B" w:rsidR="009D3FB5" w:rsidP="00163B94" w:rsidRDefault="009D3FB5" w14:paraId="009F1C3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2016</w:t>
            </w:r>
          </w:p>
        </w:tc>
        <w:tc>
          <w:tcPr>
            <w:tcW w:w="483" w:type="pct"/>
            <w:shd w:val="clear" w:color="4BACC6" w:fill="002060"/>
            <w:vAlign w:val="center"/>
            <w:hideMark/>
          </w:tcPr>
          <w:p w:rsidRPr="00AE1B2B" w:rsidR="009D3FB5" w:rsidP="00163B94" w:rsidRDefault="009D3FB5" w14:paraId="730979C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2017</w:t>
            </w:r>
          </w:p>
        </w:tc>
        <w:tc>
          <w:tcPr>
            <w:tcW w:w="483" w:type="pct"/>
            <w:shd w:val="clear" w:color="4BACC6" w:fill="002060"/>
            <w:vAlign w:val="center"/>
            <w:hideMark/>
          </w:tcPr>
          <w:p w:rsidRPr="00AE1B2B" w:rsidR="009D3FB5" w:rsidP="00163B94" w:rsidRDefault="009D3FB5" w14:paraId="4D92FDA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2018</w:t>
            </w:r>
          </w:p>
        </w:tc>
        <w:tc>
          <w:tcPr>
            <w:tcW w:w="483" w:type="pct"/>
            <w:shd w:val="clear" w:color="4BACC6" w:fill="002060"/>
            <w:vAlign w:val="center"/>
            <w:hideMark/>
          </w:tcPr>
          <w:p w:rsidRPr="00AE1B2B" w:rsidR="009D3FB5" w:rsidP="00163B94" w:rsidRDefault="009D3FB5" w14:paraId="1B18B912"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2019</w:t>
            </w:r>
          </w:p>
        </w:tc>
      </w:tr>
      <w:tr w:rsidRPr="00AE1B2B" w:rsidR="00AE1B2B" w:rsidTr="009D3FB5" w14:paraId="000A5648" w14:textId="77777777">
        <w:trPr>
          <w:trHeight w:val="20"/>
          <w:jc w:val="center"/>
        </w:trPr>
        <w:tc>
          <w:tcPr>
            <w:tcW w:w="2584" w:type="pct"/>
            <w:shd w:val="clear" w:color="FFFFFF" w:fill="FFFFFF"/>
            <w:vAlign w:val="center"/>
            <w:hideMark/>
          </w:tcPr>
          <w:p w:rsidRPr="00AE1B2B" w:rsidR="009D3FB5" w:rsidP="00163B94" w:rsidRDefault="009D3FB5" w14:paraId="48BEC37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Realizado</w:t>
            </w:r>
          </w:p>
        </w:tc>
        <w:tc>
          <w:tcPr>
            <w:tcW w:w="483" w:type="pct"/>
            <w:shd w:val="clear" w:color="FFFFFF" w:fill="FFFFFF"/>
            <w:vAlign w:val="center"/>
            <w:hideMark/>
          </w:tcPr>
          <w:p w:rsidRPr="00AE1B2B" w:rsidR="009D3FB5" w:rsidP="00163B94" w:rsidRDefault="009D3FB5" w14:paraId="595E99E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5 281</w:t>
            </w:r>
          </w:p>
        </w:tc>
        <w:tc>
          <w:tcPr>
            <w:tcW w:w="483" w:type="pct"/>
            <w:shd w:val="clear" w:color="FFFFFF" w:fill="FFFFFF"/>
            <w:vAlign w:val="center"/>
            <w:hideMark/>
          </w:tcPr>
          <w:p w:rsidRPr="00AE1B2B" w:rsidR="009D3FB5" w:rsidP="00163B94" w:rsidRDefault="009D3FB5" w14:paraId="1D42362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5 923</w:t>
            </w:r>
          </w:p>
        </w:tc>
        <w:tc>
          <w:tcPr>
            <w:tcW w:w="483" w:type="pct"/>
            <w:shd w:val="clear" w:color="FFFFFF" w:fill="FFFFFF"/>
            <w:vAlign w:val="center"/>
            <w:hideMark/>
          </w:tcPr>
          <w:p w:rsidRPr="00AE1B2B" w:rsidR="009D3FB5" w:rsidP="00163B94" w:rsidRDefault="009D3FB5" w14:paraId="1024B28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6 756</w:t>
            </w:r>
          </w:p>
        </w:tc>
        <w:tc>
          <w:tcPr>
            <w:tcW w:w="483" w:type="pct"/>
            <w:shd w:val="clear" w:color="FFFFFF" w:fill="FFFFFF"/>
            <w:vAlign w:val="center"/>
            <w:hideMark/>
          </w:tcPr>
          <w:p w:rsidRPr="00AE1B2B" w:rsidR="009D3FB5" w:rsidP="00163B94" w:rsidRDefault="009D3FB5" w14:paraId="6AE2245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7 291</w:t>
            </w:r>
          </w:p>
        </w:tc>
        <w:tc>
          <w:tcPr>
            <w:tcW w:w="483" w:type="pct"/>
            <w:shd w:val="clear" w:color="FFFFFF" w:fill="FFFFFF"/>
            <w:vAlign w:val="center"/>
            <w:hideMark/>
          </w:tcPr>
          <w:p w:rsidRPr="00AE1B2B" w:rsidR="009D3FB5" w:rsidP="00163B94" w:rsidRDefault="009D3FB5" w14:paraId="0098C6A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7 516</w:t>
            </w:r>
          </w:p>
        </w:tc>
      </w:tr>
      <w:tr w:rsidRPr="00AE1B2B" w:rsidR="00AE1B2B" w:rsidTr="009D3FB5" w14:paraId="346D4A31" w14:textId="77777777">
        <w:trPr>
          <w:trHeight w:val="20"/>
          <w:jc w:val="center"/>
        </w:trPr>
        <w:tc>
          <w:tcPr>
            <w:tcW w:w="2584" w:type="pct"/>
            <w:shd w:val="clear" w:color="FFFFFF" w:fill="FFFFFF"/>
            <w:vAlign w:val="center"/>
            <w:hideMark/>
          </w:tcPr>
          <w:p w:rsidRPr="00AE1B2B" w:rsidR="009D3FB5" w:rsidP="00163B94" w:rsidRDefault="009D3FB5" w14:paraId="279CB89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No Realizado</w:t>
            </w:r>
          </w:p>
        </w:tc>
        <w:tc>
          <w:tcPr>
            <w:tcW w:w="483" w:type="pct"/>
            <w:shd w:val="clear" w:color="FFFFFF" w:fill="FFFFFF"/>
            <w:vAlign w:val="center"/>
            <w:hideMark/>
          </w:tcPr>
          <w:p w:rsidRPr="00AE1B2B" w:rsidR="009D3FB5" w:rsidP="00163B94" w:rsidRDefault="009D3FB5" w14:paraId="4261385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1 905</w:t>
            </w:r>
          </w:p>
        </w:tc>
        <w:tc>
          <w:tcPr>
            <w:tcW w:w="483" w:type="pct"/>
            <w:shd w:val="clear" w:color="FFFFFF" w:fill="FFFFFF"/>
            <w:vAlign w:val="center"/>
            <w:hideMark/>
          </w:tcPr>
          <w:p w:rsidRPr="00AE1B2B" w:rsidR="009D3FB5" w:rsidP="00163B94" w:rsidRDefault="009D3FB5" w14:paraId="26BAAAD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2 133</w:t>
            </w:r>
          </w:p>
        </w:tc>
        <w:tc>
          <w:tcPr>
            <w:tcW w:w="483" w:type="pct"/>
            <w:shd w:val="clear" w:color="FFFFFF" w:fill="FFFFFF"/>
            <w:vAlign w:val="center"/>
            <w:hideMark/>
          </w:tcPr>
          <w:p w:rsidRPr="00AE1B2B" w:rsidR="009D3FB5" w:rsidP="00163B94" w:rsidRDefault="009D3FB5" w14:paraId="6239FF9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2 592</w:t>
            </w:r>
          </w:p>
        </w:tc>
        <w:tc>
          <w:tcPr>
            <w:tcW w:w="483" w:type="pct"/>
            <w:shd w:val="clear" w:color="FFFFFF" w:fill="FFFFFF"/>
            <w:vAlign w:val="center"/>
            <w:hideMark/>
          </w:tcPr>
          <w:p w:rsidRPr="00AE1B2B" w:rsidR="009D3FB5" w:rsidP="00163B94" w:rsidRDefault="009D3FB5" w14:paraId="660ED76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2 588</w:t>
            </w:r>
          </w:p>
        </w:tc>
        <w:tc>
          <w:tcPr>
            <w:tcW w:w="483" w:type="pct"/>
            <w:shd w:val="clear" w:color="FFFFFF" w:fill="FFFFFF"/>
            <w:vAlign w:val="center"/>
            <w:hideMark/>
          </w:tcPr>
          <w:p w:rsidRPr="00AE1B2B" w:rsidR="009D3FB5" w:rsidP="00163B94" w:rsidRDefault="009D3FB5" w14:paraId="626AC0A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2 782</w:t>
            </w:r>
          </w:p>
        </w:tc>
      </w:tr>
      <w:tr w:rsidRPr="00AE1B2B" w:rsidR="00AE1B2B" w:rsidTr="009D3FB5" w14:paraId="47EC4EA8" w14:textId="77777777">
        <w:trPr>
          <w:trHeight w:val="20"/>
          <w:jc w:val="center"/>
        </w:trPr>
        <w:tc>
          <w:tcPr>
            <w:tcW w:w="2584" w:type="pct"/>
            <w:shd w:val="clear" w:color="FFFFFF" w:fill="FFFFFF"/>
            <w:vAlign w:val="center"/>
            <w:hideMark/>
          </w:tcPr>
          <w:p w:rsidRPr="00AE1B2B" w:rsidR="009D3FB5" w:rsidP="00163B94" w:rsidRDefault="009D3FB5" w14:paraId="5FC401E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Conciliado</w:t>
            </w:r>
          </w:p>
        </w:tc>
        <w:tc>
          <w:tcPr>
            <w:tcW w:w="483" w:type="pct"/>
            <w:shd w:val="clear" w:color="FFFFFF" w:fill="FFFFFF"/>
            <w:vAlign w:val="center"/>
            <w:hideMark/>
          </w:tcPr>
          <w:p w:rsidRPr="00AE1B2B" w:rsidR="009D3FB5" w:rsidP="00163B94" w:rsidRDefault="009D3FB5" w14:paraId="7D890AE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197</w:t>
            </w:r>
          </w:p>
        </w:tc>
        <w:tc>
          <w:tcPr>
            <w:tcW w:w="483" w:type="pct"/>
            <w:shd w:val="clear" w:color="FFFFFF" w:fill="FFFFFF"/>
            <w:vAlign w:val="center"/>
            <w:hideMark/>
          </w:tcPr>
          <w:p w:rsidRPr="00AE1B2B" w:rsidR="009D3FB5" w:rsidP="00163B94" w:rsidRDefault="009D3FB5" w14:paraId="0D74048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550</w:t>
            </w:r>
          </w:p>
        </w:tc>
        <w:tc>
          <w:tcPr>
            <w:tcW w:w="483" w:type="pct"/>
            <w:shd w:val="clear" w:color="FFFFFF" w:fill="FFFFFF"/>
            <w:vAlign w:val="center"/>
            <w:hideMark/>
          </w:tcPr>
          <w:p w:rsidRPr="00AE1B2B" w:rsidR="009D3FB5" w:rsidP="00163B94" w:rsidRDefault="009D3FB5" w14:paraId="36DF7DC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725</w:t>
            </w:r>
          </w:p>
        </w:tc>
        <w:tc>
          <w:tcPr>
            <w:tcW w:w="483" w:type="pct"/>
            <w:shd w:val="clear" w:color="FFFFFF" w:fill="FFFFFF"/>
            <w:vAlign w:val="center"/>
            <w:hideMark/>
          </w:tcPr>
          <w:p w:rsidRPr="00AE1B2B" w:rsidR="009D3FB5" w:rsidP="00163B94" w:rsidRDefault="009D3FB5" w14:paraId="36E7F12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624</w:t>
            </w:r>
          </w:p>
        </w:tc>
        <w:tc>
          <w:tcPr>
            <w:tcW w:w="483" w:type="pct"/>
            <w:shd w:val="clear" w:color="FFFFFF" w:fill="FFFFFF"/>
            <w:vAlign w:val="center"/>
            <w:hideMark/>
          </w:tcPr>
          <w:p w:rsidRPr="00AE1B2B" w:rsidR="009D3FB5" w:rsidP="00163B94" w:rsidRDefault="009D3FB5" w14:paraId="7B1AA30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646</w:t>
            </w:r>
          </w:p>
        </w:tc>
      </w:tr>
      <w:tr w:rsidRPr="00AE1B2B" w:rsidR="00AE1B2B" w:rsidTr="009D3FB5" w14:paraId="59842D9A" w14:textId="77777777">
        <w:trPr>
          <w:trHeight w:val="20"/>
          <w:jc w:val="center"/>
        </w:trPr>
        <w:tc>
          <w:tcPr>
            <w:tcW w:w="2584" w:type="pct"/>
            <w:shd w:val="clear" w:color="FFFFFF" w:fill="FFFFFF"/>
            <w:vAlign w:val="center"/>
            <w:hideMark/>
          </w:tcPr>
          <w:p w:rsidRPr="00AE1B2B" w:rsidR="009D3FB5" w:rsidP="00163B94" w:rsidRDefault="009D3FB5" w14:paraId="4F924F1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Sin Efecto</w:t>
            </w:r>
          </w:p>
        </w:tc>
        <w:tc>
          <w:tcPr>
            <w:tcW w:w="483" w:type="pct"/>
            <w:shd w:val="clear" w:color="FFFFFF" w:fill="FFFFFF"/>
            <w:vAlign w:val="center"/>
            <w:hideMark/>
          </w:tcPr>
          <w:p w:rsidRPr="00AE1B2B" w:rsidR="009D3FB5" w:rsidP="00163B94" w:rsidRDefault="009D3FB5" w14:paraId="3AF0C07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205</w:t>
            </w:r>
          </w:p>
        </w:tc>
        <w:tc>
          <w:tcPr>
            <w:tcW w:w="483" w:type="pct"/>
            <w:shd w:val="clear" w:color="FFFFFF" w:fill="FFFFFF"/>
            <w:vAlign w:val="center"/>
            <w:hideMark/>
          </w:tcPr>
          <w:p w:rsidRPr="00AE1B2B" w:rsidR="009D3FB5" w:rsidP="00163B94" w:rsidRDefault="009D3FB5" w14:paraId="4114FF1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341</w:t>
            </w:r>
          </w:p>
        </w:tc>
        <w:tc>
          <w:tcPr>
            <w:tcW w:w="483" w:type="pct"/>
            <w:shd w:val="clear" w:color="FFFFFF" w:fill="FFFFFF"/>
            <w:vAlign w:val="center"/>
            <w:hideMark/>
          </w:tcPr>
          <w:p w:rsidRPr="00AE1B2B" w:rsidR="009D3FB5" w:rsidP="00163B94" w:rsidRDefault="009D3FB5" w14:paraId="5D8A9EA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289</w:t>
            </w:r>
          </w:p>
        </w:tc>
        <w:tc>
          <w:tcPr>
            <w:tcW w:w="483" w:type="pct"/>
            <w:shd w:val="clear" w:color="FFFFFF" w:fill="FFFFFF"/>
            <w:vAlign w:val="center"/>
            <w:hideMark/>
          </w:tcPr>
          <w:p w:rsidRPr="00AE1B2B" w:rsidR="009D3FB5" w:rsidP="00163B94" w:rsidRDefault="009D3FB5" w14:paraId="29F50DD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362</w:t>
            </w:r>
          </w:p>
        </w:tc>
        <w:tc>
          <w:tcPr>
            <w:tcW w:w="483" w:type="pct"/>
            <w:shd w:val="clear" w:color="FFFFFF" w:fill="FFFFFF"/>
            <w:vAlign w:val="center"/>
            <w:hideMark/>
          </w:tcPr>
          <w:p w:rsidRPr="00AE1B2B" w:rsidR="009D3FB5" w:rsidP="00163B94" w:rsidRDefault="009D3FB5" w14:paraId="39219CA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351</w:t>
            </w:r>
          </w:p>
        </w:tc>
      </w:tr>
      <w:tr w:rsidRPr="00AE1B2B" w:rsidR="00AE1B2B" w:rsidTr="009D3FB5" w14:paraId="310384A2" w14:textId="77777777">
        <w:trPr>
          <w:trHeight w:val="20"/>
          <w:jc w:val="center"/>
        </w:trPr>
        <w:tc>
          <w:tcPr>
            <w:tcW w:w="2584" w:type="pct"/>
            <w:shd w:val="clear" w:color="FFFFFF" w:fill="FFFFFF"/>
            <w:vAlign w:val="center"/>
            <w:hideMark/>
          </w:tcPr>
          <w:p w:rsidRPr="00AE1B2B" w:rsidR="009D3FB5" w:rsidP="00163B94" w:rsidRDefault="009D3FB5" w14:paraId="3ED652D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Suspendido</w:t>
            </w:r>
          </w:p>
        </w:tc>
        <w:tc>
          <w:tcPr>
            <w:tcW w:w="483" w:type="pct"/>
            <w:shd w:val="clear" w:color="FFFFFF" w:fill="FFFFFF"/>
            <w:vAlign w:val="center"/>
            <w:hideMark/>
          </w:tcPr>
          <w:p w:rsidRPr="00AE1B2B" w:rsidR="009D3FB5" w:rsidP="00163B94" w:rsidRDefault="009D3FB5" w14:paraId="3F3529D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401</w:t>
            </w:r>
          </w:p>
        </w:tc>
        <w:tc>
          <w:tcPr>
            <w:tcW w:w="483" w:type="pct"/>
            <w:shd w:val="clear" w:color="FFFFFF" w:fill="FFFFFF"/>
            <w:vAlign w:val="center"/>
            <w:hideMark/>
          </w:tcPr>
          <w:p w:rsidRPr="00AE1B2B" w:rsidR="009D3FB5" w:rsidP="00163B94" w:rsidRDefault="009D3FB5" w14:paraId="75941E1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678</w:t>
            </w:r>
          </w:p>
        </w:tc>
        <w:tc>
          <w:tcPr>
            <w:tcW w:w="483" w:type="pct"/>
            <w:shd w:val="clear" w:color="FFFFFF" w:fill="FFFFFF"/>
            <w:vAlign w:val="center"/>
            <w:hideMark/>
          </w:tcPr>
          <w:p w:rsidRPr="00AE1B2B" w:rsidR="009D3FB5" w:rsidP="00163B94" w:rsidRDefault="009D3FB5" w14:paraId="4E53162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699</w:t>
            </w:r>
          </w:p>
        </w:tc>
        <w:tc>
          <w:tcPr>
            <w:tcW w:w="483" w:type="pct"/>
            <w:shd w:val="clear" w:color="FFFFFF" w:fill="FFFFFF"/>
            <w:vAlign w:val="center"/>
            <w:hideMark/>
          </w:tcPr>
          <w:p w:rsidRPr="00AE1B2B" w:rsidR="009D3FB5" w:rsidP="00163B94" w:rsidRDefault="009D3FB5" w14:paraId="64866A4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793</w:t>
            </w:r>
          </w:p>
        </w:tc>
        <w:tc>
          <w:tcPr>
            <w:tcW w:w="483" w:type="pct"/>
            <w:shd w:val="clear" w:color="FFFFFF" w:fill="FFFFFF"/>
            <w:vAlign w:val="center"/>
            <w:hideMark/>
          </w:tcPr>
          <w:p w:rsidRPr="00AE1B2B" w:rsidR="009D3FB5" w:rsidP="00163B94" w:rsidRDefault="009D3FB5" w14:paraId="13A80CE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484</w:t>
            </w:r>
          </w:p>
        </w:tc>
      </w:tr>
      <w:tr w:rsidRPr="00AE1B2B" w:rsidR="00AE1B2B" w:rsidTr="009D3FB5" w14:paraId="6690F2E4" w14:textId="77777777">
        <w:trPr>
          <w:trHeight w:val="20"/>
          <w:jc w:val="center"/>
        </w:trPr>
        <w:tc>
          <w:tcPr>
            <w:tcW w:w="2584" w:type="pct"/>
            <w:shd w:val="clear" w:color="FFFFFF" w:fill="FFFFFF"/>
            <w:vAlign w:val="center"/>
            <w:hideMark/>
          </w:tcPr>
          <w:p w:rsidRPr="00AE1B2B" w:rsidR="009D3FB5" w:rsidP="00163B94" w:rsidRDefault="009D3FB5" w14:paraId="6F0413B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Pendientes</w:t>
            </w:r>
          </w:p>
        </w:tc>
        <w:tc>
          <w:tcPr>
            <w:tcW w:w="483" w:type="pct"/>
            <w:shd w:val="clear" w:color="FFFFFF" w:fill="FFFFFF"/>
            <w:vAlign w:val="center"/>
            <w:hideMark/>
          </w:tcPr>
          <w:p w:rsidRPr="00AE1B2B" w:rsidR="009D3FB5" w:rsidP="00163B94" w:rsidRDefault="009D3FB5" w14:paraId="0A753DA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1 561</w:t>
            </w:r>
          </w:p>
        </w:tc>
        <w:tc>
          <w:tcPr>
            <w:tcW w:w="483" w:type="pct"/>
            <w:shd w:val="clear" w:color="FFFFFF" w:fill="FFFFFF"/>
            <w:vAlign w:val="center"/>
            <w:hideMark/>
          </w:tcPr>
          <w:p w:rsidRPr="00AE1B2B" w:rsidR="009D3FB5" w:rsidP="00163B94" w:rsidRDefault="009D3FB5" w14:paraId="4ECB185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2 175</w:t>
            </w:r>
          </w:p>
        </w:tc>
        <w:tc>
          <w:tcPr>
            <w:tcW w:w="483" w:type="pct"/>
            <w:shd w:val="clear" w:color="FFFFFF" w:fill="FFFFFF"/>
            <w:vAlign w:val="center"/>
            <w:hideMark/>
          </w:tcPr>
          <w:p w:rsidRPr="00AE1B2B" w:rsidR="009D3FB5" w:rsidP="00163B94" w:rsidRDefault="009D3FB5" w14:paraId="6071B84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1 108</w:t>
            </w:r>
          </w:p>
        </w:tc>
        <w:tc>
          <w:tcPr>
            <w:tcW w:w="483" w:type="pct"/>
            <w:shd w:val="clear" w:color="FFFFFF" w:fill="FFFFFF"/>
            <w:vAlign w:val="center"/>
            <w:hideMark/>
          </w:tcPr>
          <w:p w:rsidRPr="00AE1B2B" w:rsidR="009D3FB5" w:rsidP="00163B94" w:rsidRDefault="009D3FB5" w14:paraId="05B7E44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787</w:t>
            </w:r>
          </w:p>
        </w:tc>
        <w:tc>
          <w:tcPr>
            <w:tcW w:w="483" w:type="pct"/>
            <w:shd w:val="clear" w:color="FFFFFF" w:fill="FFFFFF"/>
            <w:vAlign w:val="center"/>
            <w:hideMark/>
          </w:tcPr>
          <w:p w:rsidRPr="00AE1B2B" w:rsidR="009D3FB5" w:rsidP="00163B94" w:rsidRDefault="009D3FB5" w14:paraId="7ABE034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255</w:t>
            </w:r>
          </w:p>
        </w:tc>
      </w:tr>
      <w:tr w:rsidRPr="00AE1B2B" w:rsidR="00AE1B2B" w:rsidTr="009D3FB5" w14:paraId="7AC6DE1C" w14:textId="77777777">
        <w:trPr>
          <w:trHeight w:val="20"/>
          <w:jc w:val="center"/>
        </w:trPr>
        <w:tc>
          <w:tcPr>
            <w:tcW w:w="2584" w:type="pct"/>
            <w:shd w:val="clear" w:color="auto" w:fill="0070C0"/>
            <w:vAlign w:val="center"/>
            <w:hideMark/>
          </w:tcPr>
          <w:p w:rsidRPr="00AE1B2B" w:rsidR="009D3FB5" w:rsidP="00163B94" w:rsidRDefault="009D3FB5" w14:paraId="61C2F9E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Total señalados</w:t>
            </w:r>
          </w:p>
        </w:tc>
        <w:tc>
          <w:tcPr>
            <w:tcW w:w="483" w:type="pct"/>
            <w:shd w:val="clear" w:color="auto" w:fill="0070C0"/>
            <w:vAlign w:val="center"/>
            <w:hideMark/>
          </w:tcPr>
          <w:p w:rsidRPr="00AE1B2B" w:rsidR="009D3FB5" w:rsidP="00163B94" w:rsidRDefault="009D3FB5" w14:paraId="0FFA146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9550</w:t>
            </w:r>
          </w:p>
        </w:tc>
        <w:tc>
          <w:tcPr>
            <w:tcW w:w="483" w:type="pct"/>
            <w:shd w:val="clear" w:color="auto" w:fill="0070C0"/>
            <w:vAlign w:val="center"/>
            <w:hideMark/>
          </w:tcPr>
          <w:p w:rsidRPr="00AE1B2B" w:rsidR="009D3FB5" w:rsidP="00163B94" w:rsidRDefault="009D3FB5" w14:paraId="07ED3BB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11800</w:t>
            </w:r>
          </w:p>
        </w:tc>
        <w:tc>
          <w:tcPr>
            <w:tcW w:w="483" w:type="pct"/>
            <w:shd w:val="clear" w:color="auto" w:fill="0070C0"/>
            <w:vAlign w:val="center"/>
            <w:hideMark/>
          </w:tcPr>
          <w:p w:rsidRPr="00AE1B2B" w:rsidR="009D3FB5" w:rsidP="00163B94" w:rsidRDefault="009D3FB5" w14:paraId="33197B5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12169</w:t>
            </w:r>
          </w:p>
        </w:tc>
        <w:tc>
          <w:tcPr>
            <w:tcW w:w="483" w:type="pct"/>
            <w:shd w:val="clear" w:color="auto" w:fill="0070C0"/>
            <w:vAlign w:val="center"/>
            <w:hideMark/>
          </w:tcPr>
          <w:p w:rsidRPr="00AE1B2B" w:rsidR="009D3FB5" w:rsidP="00163B94" w:rsidRDefault="009D3FB5" w14:paraId="739E26A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12445</w:t>
            </w:r>
          </w:p>
        </w:tc>
        <w:tc>
          <w:tcPr>
            <w:tcW w:w="483" w:type="pct"/>
            <w:shd w:val="clear" w:color="auto" w:fill="0070C0"/>
            <w:vAlign w:val="center"/>
            <w:hideMark/>
          </w:tcPr>
          <w:p w:rsidRPr="00AE1B2B" w:rsidR="009D3FB5" w:rsidP="00163B94" w:rsidRDefault="009D3FB5" w14:paraId="153DB14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12034</w:t>
            </w:r>
          </w:p>
        </w:tc>
      </w:tr>
      <w:tr w:rsidRPr="00AE1B2B" w:rsidR="00AE1B2B" w:rsidTr="009D3FB5" w14:paraId="42C55A68" w14:textId="77777777">
        <w:trPr>
          <w:trHeight w:val="20"/>
          <w:jc w:val="center"/>
        </w:trPr>
        <w:tc>
          <w:tcPr>
            <w:tcW w:w="2584" w:type="pct"/>
            <w:shd w:val="clear" w:color="auto" w:fill="BDD6EE" w:themeFill="accent1" w:themeFillTint="66"/>
            <w:vAlign w:val="center"/>
            <w:hideMark/>
          </w:tcPr>
          <w:p w:rsidRPr="00AE1B2B" w:rsidR="009D3FB5" w:rsidP="00163B94" w:rsidRDefault="009D3FB5" w14:paraId="3A43D8E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Señalamientos Promedio por mes</w:t>
            </w:r>
          </w:p>
        </w:tc>
        <w:tc>
          <w:tcPr>
            <w:tcW w:w="483" w:type="pct"/>
            <w:shd w:val="clear" w:color="auto" w:fill="BDD6EE" w:themeFill="accent1" w:themeFillTint="66"/>
            <w:vAlign w:val="center"/>
            <w:hideMark/>
          </w:tcPr>
          <w:p w:rsidRPr="00AE1B2B" w:rsidR="009D3FB5" w:rsidP="00163B94" w:rsidRDefault="009D3FB5" w14:paraId="57E4CBCA"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849</w:t>
            </w:r>
          </w:p>
        </w:tc>
        <w:tc>
          <w:tcPr>
            <w:tcW w:w="483" w:type="pct"/>
            <w:shd w:val="clear" w:color="auto" w:fill="BDD6EE" w:themeFill="accent1" w:themeFillTint="66"/>
            <w:vAlign w:val="center"/>
            <w:hideMark/>
          </w:tcPr>
          <w:p w:rsidRPr="00AE1B2B" w:rsidR="009D3FB5" w:rsidP="00163B94" w:rsidRDefault="009D3FB5" w14:paraId="7F6AF539"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1049</w:t>
            </w:r>
          </w:p>
        </w:tc>
        <w:tc>
          <w:tcPr>
            <w:tcW w:w="483" w:type="pct"/>
            <w:shd w:val="clear" w:color="auto" w:fill="BDD6EE" w:themeFill="accent1" w:themeFillTint="66"/>
            <w:vAlign w:val="center"/>
            <w:hideMark/>
          </w:tcPr>
          <w:p w:rsidRPr="00AE1B2B" w:rsidR="009D3FB5" w:rsidP="00163B94" w:rsidRDefault="009D3FB5" w14:paraId="454E7AAD"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1082</w:t>
            </w:r>
          </w:p>
        </w:tc>
        <w:tc>
          <w:tcPr>
            <w:tcW w:w="483" w:type="pct"/>
            <w:shd w:val="clear" w:color="auto" w:fill="BDD6EE" w:themeFill="accent1" w:themeFillTint="66"/>
            <w:vAlign w:val="center"/>
            <w:hideMark/>
          </w:tcPr>
          <w:p w:rsidRPr="00AE1B2B" w:rsidR="009D3FB5" w:rsidP="00163B94" w:rsidRDefault="009D3FB5" w14:paraId="6EC51922"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1106</w:t>
            </w:r>
          </w:p>
        </w:tc>
        <w:tc>
          <w:tcPr>
            <w:tcW w:w="483" w:type="pct"/>
            <w:shd w:val="clear" w:color="auto" w:fill="BDD6EE" w:themeFill="accent1" w:themeFillTint="66"/>
            <w:vAlign w:val="center"/>
            <w:hideMark/>
          </w:tcPr>
          <w:p w:rsidRPr="00AE1B2B" w:rsidR="009D3FB5" w:rsidP="00163B94" w:rsidRDefault="009D3FB5" w14:paraId="1A6228D6"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1070</w:t>
            </w:r>
          </w:p>
        </w:tc>
      </w:tr>
      <w:tr w:rsidRPr="00AE1B2B" w:rsidR="00AE1B2B" w:rsidTr="009D3FB5" w14:paraId="65BAAD77" w14:textId="77777777">
        <w:trPr>
          <w:trHeight w:val="20"/>
          <w:jc w:val="center"/>
        </w:trPr>
        <w:tc>
          <w:tcPr>
            <w:tcW w:w="2584" w:type="pct"/>
            <w:shd w:val="clear" w:color="auto" w:fill="BDD6EE" w:themeFill="accent1" w:themeFillTint="66"/>
            <w:vAlign w:val="center"/>
            <w:hideMark/>
          </w:tcPr>
          <w:p w:rsidRPr="00AE1B2B" w:rsidR="009D3FB5" w:rsidP="00163B94" w:rsidRDefault="009D3FB5" w14:paraId="282A1842"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Efectividad por periodo</w:t>
            </w:r>
          </w:p>
        </w:tc>
        <w:tc>
          <w:tcPr>
            <w:tcW w:w="483" w:type="pct"/>
            <w:shd w:val="clear" w:color="auto" w:fill="BDD6EE" w:themeFill="accent1" w:themeFillTint="66"/>
            <w:vAlign w:val="center"/>
            <w:hideMark/>
          </w:tcPr>
          <w:p w:rsidRPr="00AE1B2B" w:rsidR="009D3FB5" w:rsidP="00163B94" w:rsidRDefault="009D3FB5" w14:paraId="71F15299"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55%</w:t>
            </w:r>
          </w:p>
        </w:tc>
        <w:tc>
          <w:tcPr>
            <w:tcW w:w="483" w:type="pct"/>
            <w:shd w:val="clear" w:color="auto" w:fill="BDD6EE" w:themeFill="accent1" w:themeFillTint="66"/>
            <w:vAlign w:val="center"/>
            <w:hideMark/>
          </w:tcPr>
          <w:p w:rsidRPr="00AE1B2B" w:rsidR="009D3FB5" w:rsidP="00163B94" w:rsidRDefault="009D3FB5" w14:paraId="51FAA161"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50%</w:t>
            </w:r>
          </w:p>
        </w:tc>
        <w:tc>
          <w:tcPr>
            <w:tcW w:w="483" w:type="pct"/>
            <w:shd w:val="clear" w:color="auto" w:fill="BDD6EE" w:themeFill="accent1" w:themeFillTint="66"/>
            <w:vAlign w:val="center"/>
            <w:hideMark/>
          </w:tcPr>
          <w:p w:rsidRPr="00AE1B2B" w:rsidR="009D3FB5" w:rsidP="00163B94" w:rsidRDefault="009D3FB5" w14:paraId="170DF25D"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56%</w:t>
            </w:r>
          </w:p>
        </w:tc>
        <w:tc>
          <w:tcPr>
            <w:tcW w:w="483" w:type="pct"/>
            <w:shd w:val="clear" w:color="auto" w:fill="BDD6EE" w:themeFill="accent1" w:themeFillTint="66"/>
            <w:vAlign w:val="center"/>
            <w:hideMark/>
          </w:tcPr>
          <w:p w:rsidRPr="00AE1B2B" w:rsidR="009D3FB5" w:rsidP="00163B94" w:rsidRDefault="009D3FB5" w14:paraId="0D179163"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59%</w:t>
            </w:r>
          </w:p>
        </w:tc>
        <w:tc>
          <w:tcPr>
            <w:tcW w:w="483" w:type="pct"/>
            <w:shd w:val="clear" w:color="auto" w:fill="BDD6EE" w:themeFill="accent1" w:themeFillTint="66"/>
            <w:vAlign w:val="center"/>
            <w:hideMark/>
          </w:tcPr>
          <w:p w:rsidRPr="00AE1B2B" w:rsidR="009D3FB5" w:rsidP="00163B94" w:rsidRDefault="009D3FB5" w14:paraId="5C312DE6"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62%</w:t>
            </w:r>
          </w:p>
        </w:tc>
      </w:tr>
    </w:tbl>
    <w:p w:rsidRPr="00AE1B2B" w:rsidR="009D3FB5" w:rsidP="00163B94" w:rsidRDefault="009D3FB5" w14:paraId="459D9110"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Subproceso de Modernización Institucional, con datos de los Juzgados Especializados de Familia, del 2015 al 2019.</w:t>
      </w:r>
    </w:p>
    <w:p w:rsidRPr="00AE1B2B" w:rsidR="009D3FB5" w:rsidP="00163B94" w:rsidRDefault="009D3FB5" w14:paraId="48D2DCB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C694FE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efectividad de las audiencias señaladas en la Agenda Cronos del 2015 al 2019, en los Juzgados Especializados de Familia, en promedio es de un 56% de realización y un promedio mensual de 1 031 señalamientos, siendo el 2019 el de mayor efectividad con un 62% y el menor en el 2016 con un 50%; lo que refleja un aumento de un 9% de la efectividad de las audiencias durante los últimos cinco años. </w:t>
      </w:r>
    </w:p>
    <w:p w:rsidRPr="00AE1B2B" w:rsidR="009D3FB5" w:rsidP="00163B94" w:rsidRDefault="009D3FB5" w14:paraId="4F2A8C4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E5497A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Del cuadro anterior se evidencia que los despachos no actualizan los datos en la Agenda Cronos, como se observa, hay más de 5 000 audiencias en estado “Pendiente” desde el 2015, situación que debe ser corregida lo antes posible, ya que la Dirección de Planificación está consolidando en un solo sistema (SIGMA) la información de varios sistemas informáticos por lo que es de suma importancia que los datos que ingresan los Despachos estén actualizados, ya que lo que no se registre, no se considera formalmente en los datos estadísticos.</w:t>
      </w:r>
    </w:p>
    <w:p w:rsidRPr="00AE1B2B" w:rsidR="009D3FB5" w:rsidP="00163B94" w:rsidRDefault="009D3FB5" w14:paraId="7E4B827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1D8048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 importante indicar que para el 2015 solamente 10 de los despachos (77%) contaban con la implementación de la agenda electrónica, por lo que no fue posible obtener la información de la totalidad de juzgados especializados en materia Familia, situación que afecta el dato del porcentaje de la efectividad de realización de las audiencias.</w:t>
      </w:r>
    </w:p>
    <w:p w:rsidRPr="00AE1B2B" w:rsidR="009D3FB5" w:rsidP="00163B94" w:rsidRDefault="009D3FB5" w14:paraId="4732F3B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8BD1F5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siguiente cuadro, se comparan los datos registrados por los Despachos y los resultados del sistema SIGMA durante el 2019:</w:t>
      </w:r>
    </w:p>
    <w:p w:rsidRPr="00AE1B2B" w:rsidR="009D3FB5" w:rsidP="00163B94" w:rsidRDefault="009D3FB5" w14:paraId="5A68B86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E773928" w14:textId="77777777">
      <w:pPr>
        <w:pStyle w:val="Descripcin"/>
        <w:spacing w:before="120" w:after="120"/>
        <w:ind w:left="851" w:right="851" w:firstLine="709"/>
        <w:jc w:val="center"/>
        <w:rPr>
          <w:rFonts w:ascii="Times New Roman" w:hAnsi="Times New Roman" w:cs="Times New Roman"/>
          <w:noProof/>
          <w:sz w:val="26"/>
          <w:szCs w:val="26"/>
        </w:rPr>
      </w:pPr>
      <w:r w:rsidRPr="00AE1B2B">
        <w:rPr>
          <w:rFonts w:ascii="Times New Roman" w:hAnsi="Times New Roman" w:cs="Times New Roman"/>
          <w:sz w:val="26"/>
          <w:szCs w:val="26"/>
        </w:rPr>
        <w:lastRenderedPageBreak/>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9</w:t>
      </w:r>
      <w:r w:rsidRPr="00AE1B2B">
        <w:rPr>
          <w:rFonts w:ascii="Times New Roman" w:hAnsi="Times New Roman" w:cs="Times New Roman"/>
          <w:sz w:val="26"/>
          <w:szCs w:val="26"/>
        </w:rPr>
        <w:fldChar w:fldCharType="end"/>
      </w:r>
    </w:p>
    <w:p w:rsidRPr="00AE1B2B" w:rsidR="009D3FB5" w:rsidP="00163B94" w:rsidRDefault="009D3FB5" w14:paraId="3ED8A965" w14:textId="77777777">
      <w:pPr>
        <w:keepNext/>
        <w:numPr>
          <w:ilvl w:val="12"/>
          <w:numId w:val="0"/>
        </w:numPr>
        <w:spacing w:before="120" w:after="120"/>
        <w:ind w:left="851" w:right="851" w:firstLine="709"/>
        <w:jc w:val="center"/>
        <w:rPr>
          <w:rFonts w:ascii="Times New Roman" w:hAnsi="Times New Roman" w:cs="Times New Roman"/>
          <w:sz w:val="26"/>
          <w:szCs w:val="26"/>
        </w:rPr>
      </w:pPr>
      <w:r w:rsidRPr="00AE1B2B">
        <w:rPr>
          <w:rFonts w:ascii="Times New Roman" w:hAnsi="Times New Roman" w:eastAsia="Times New Roman" w:cs="Times New Roman"/>
          <w:b/>
          <w:bCs/>
          <w:sz w:val="26"/>
          <w:szCs w:val="26"/>
          <w:lang w:eastAsia="es-ES"/>
        </w:rPr>
        <w:t>Registro de audiencias 2019, Juzgados Especializados de Familia y Sistema SIGMA</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4247"/>
        <w:gridCol w:w="1844"/>
        <w:gridCol w:w="1275"/>
        <w:gridCol w:w="1462"/>
      </w:tblGrid>
      <w:tr w:rsidRPr="00AE1B2B" w:rsidR="00AE1B2B" w:rsidTr="009D3FB5" w14:paraId="15441048" w14:textId="77777777">
        <w:trPr>
          <w:trHeight w:val="20"/>
          <w:tblHeader/>
        </w:trPr>
        <w:tc>
          <w:tcPr>
            <w:tcW w:w="2405" w:type="pct"/>
            <w:shd w:val="clear" w:color="000000" w:fill="002060"/>
            <w:vAlign w:val="center"/>
            <w:hideMark/>
          </w:tcPr>
          <w:p w:rsidRPr="00AE1B2B" w:rsidR="009D3FB5" w:rsidP="00163B94" w:rsidRDefault="009D3FB5" w14:paraId="18E756E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Despacho</w:t>
            </w:r>
          </w:p>
        </w:tc>
        <w:tc>
          <w:tcPr>
            <w:tcW w:w="1044" w:type="pct"/>
            <w:shd w:val="clear" w:color="000000" w:fill="002060"/>
            <w:vAlign w:val="center"/>
            <w:hideMark/>
          </w:tcPr>
          <w:p w:rsidRPr="00AE1B2B" w:rsidR="009D3FB5" w:rsidP="00163B94" w:rsidRDefault="009D3FB5" w14:paraId="7DFD427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Control del Despacho (Agenda Cronos)</w:t>
            </w:r>
          </w:p>
        </w:tc>
        <w:tc>
          <w:tcPr>
            <w:tcW w:w="722" w:type="pct"/>
            <w:shd w:val="clear" w:color="000000" w:fill="002060"/>
            <w:vAlign w:val="center"/>
            <w:hideMark/>
          </w:tcPr>
          <w:p w:rsidRPr="00AE1B2B" w:rsidR="009D3FB5" w:rsidP="00163B94" w:rsidRDefault="009D3FB5" w14:paraId="77EACC2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SIGMA</w:t>
            </w:r>
          </w:p>
        </w:tc>
        <w:tc>
          <w:tcPr>
            <w:tcW w:w="828" w:type="pct"/>
            <w:shd w:val="clear" w:color="000000" w:fill="002060"/>
            <w:vAlign w:val="center"/>
            <w:hideMark/>
          </w:tcPr>
          <w:p w:rsidRPr="00AE1B2B" w:rsidR="009D3FB5" w:rsidP="00163B94" w:rsidRDefault="009D3FB5" w14:paraId="05A7E68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Diferencia</w:t>
            </w:r>
          </w:p>
        </w:tc>
      </w:tr>
      <w:tr w:rsidRPr="00AE1B2B" w:rsidR="00AE1B2B" w:rsidTr="009D3FB5" w14:paraId="25AFB587" w14:textId="77777777">
        <w:trPr>
          <w:trHeight w:val="20"/>
          <w:tblHeader/>
        </w:trPr>
        <w:tc>
          <w:tcPr>
            <w:tcW w:w="2405" w:type="pct"/>
            <w:shd w:val="clear" w:color="000000" w:fill="FFFFFF"/>
            <w:vAlign w:val="center"/>
            <w:hideMark/>
          </w:tcPr>
          <w:p w:rsidRPr="00AE1B2B" w:rsidR="009D3FB5" w:rsidP="00163B94" w:rsidRDefault="009D3FB5" w14:paraId="6F314CF5"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Juzgado de Familia III Circ. Jud. San José </w:t>
            </w:r>
          </w:p>
        </w:tc>
        <w:tc>
          <w:tcPr>
            <w:tcW w:w="1044" w:type="pct"/>
            <w:shd w:val="clear" w:color="000000" w:fill="FFFFFF"/>
            <w:noWrap/>
            <w:vAlign w:val="bottom"/>
            <w:hideMark/>
          </w:tcPr>
          <w:p w:rsidRPr="00AE1B2B" w:rsidR="009D3FB5" w:rsidP="00163B94" w:rsidRDefault="009D3FB5" w14:paraId="516232B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1280</w:t>
            </w:r>
          </w:p>
        </w:tc>
        <w:tc>
          <w:tcPr>
            <w:tcW w:w="722" w:type="pct"/>
            <w:shd w:val="clear" w:color="000000" w:fill="FFFFFF"/>
            <w:noWrap/>
            <w:vAlign w:val="bottom"/>
            <w:hideMark/>
          </w:tcPr>
          <w:p w:rsidRPr="00AE1B2B" w:rsidR="009D3FB5" w:rsidP="00163B94" w:rsidRDefault="009D3FB5" w14:paraId="3F3F622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828" w:type="pct"/>
            <w:shd w:val="clear" w:color="auto" w:fill="auto"/>
            <w:noWrap/>
            <w:vAlign w:val="bottom"/>
            <w:hideMark/>
          </w:tcPr>
          <w:p w:rsidRPr="00AE1B2B" w:rsidR="009D3FB5" w:rsidP="00163B94" w:rsidRDefault="009D3FB5" w14:paraId="7DA45DC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1280</w:t>
            </w:r>
          </w:p>
        </w:tc>
      </w:tr>
      <w:tr w:rsidRPr="00AE1B2B" w:rsidR="00AE1B2B" w:rsidTr="009D3FB5" w14:paraId="6FB5C0CA" w14:textId="77777777">
        <w:trPr>
          <w:trHeight w:val="20"/>
          <w:tblHeader/>
        </w:trPr>
        <w:tc>
          <w:tcPr>
            <w:tcW w:w="2405" w:type="pct"/>
            <w:shd w:val="clear" w:color="000000" w:fill="FFFFFF"/>
            <w:vAlign w:val="center"/>
            <w:hideMark/>
          </w:tcPr>
          <w:p w:rsidRPr="00AE1B2B" w:rsidR="009D3FB5" w:rsidP="00163B94" w:rsidRDefault="009D3FB5" w14:paraId="60D3C21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Cartago</w:t>
            </w:r>
          </w:p>
        </w:tc>
        <w:tc>
          <w:tcPr>
            <w:tcW w:w="1044" w:type="pct"/>
            <w:shd w:val="clear" w:color="000000" w:fill="FFFFFF"/>
            <w:noWrap/>
            <w:vAlign w:val="bottom"/>
            <w:hideMark/>
          </w:tcPr>
          <w:p w:rsidRPr="00AE1B2B" w:rsidR="009D3FB5" w:rsidP="00163B94" w:rsidRDefault="009D3FB5" w14:paraId="36CA32E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1 750</w:t>
            </w:r>
          </w:p>
        </w:tc>
        <w:tc>
          <w:tcPr>
            <w:tcW w:w="722" w:type="pct"/>
            <w:shd w:val="clear" w:color="000000" w:fill="FFFFFF"/>
            <w:noWrap/>
            <w:vAlign w:val="bottom"/>
            <w:hideMark/>
          </w:tcPr>
          <w:p w:rsidRPr="00AE1B2B" w:rsidR="009D3FB5" w:rsidP="00163B94" w:rsidRDefault="009D3FB5" w14:paraId="0610223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687</w:t>
            </w:r>
          </w:p>
        </w:tc>
        <w:tc>
          <w:tcPr>
            <w:tcW w:w="828" w:type="pct"/>
            <w:shd w:val="clear" w:color="auto" w:fill="auto"/>
            <w:noWrap/>
            <w:vAlign w:val="bottom"/>
            <w:hideMark/>
          </w:tcPr>
          <w:p w:rsidRPr="00AE1B2B" w:rsidR="009D3FB5" w:rsidP="00163B94" w:rsidRDefault="009D3FB5" w14:paraId="33FC437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1063</w:t>
            </w:r>
          </w:p>
        </w:tc>
      </w:tr>
      <w:tr w:rsidRPr="00AE1B2B" w:rsidR="00AE1B2B" w:rsidTr="009D3FB5" w14:paraId="34AFB6ED" w14:textId="77777777">
        <w:trPr>
          <w:trHeight w:val="20"/>
          <w:tblHeader/>
        </w:trPr>
        <w:tc>
          <w:tcPr>
            <w:tcW w:w="2405" w:type="pct"/>
            <w:shd w:val="clear" w:color="000000" w:fill="FFFFFF"/>
            <w:vAlign w:val="center"/>
            <w:hideMark/>
          </w:tcPr>
          <w:p w:rsidRPr="00AE1B2B" w:rsidR="009D3FB5" w:rsidP="00163B94" w:rsidRDefault="009D3FB5" w14:paraId="2AB1EFEF"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Heredia</w:t>
            </w:r>
          </w:p>
        </w:tc>
        <w:tc>
          <w:tcPr>
            <w:tcW w:w="1044" w:type="pct"/>
            <w:shd w:val="clear" w:color="000000" w:fill="FFFFFF"/>
            <w:noWrap/>
            <w:vAlign w:val="bottom"/>
            <w:hideMark/>
          </w:tcPr>
          <w:p w:rsidRPr="00AE1B2B" w:rsidR="009D3FB5" w:rsidP="00163B94" w:rsidRDefault="009D3FB5" w14:paraId="074E62B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1496</w:t>
            </w:r>
          </w:p>
        </w:tc>
        <w:tc>
          <w:tcPr>
            <w:tcW w:w="722" w:type="pct"/>
            <w:shd w:val="clear" w:color="000000" w:fill="FFFFFF"/>
            <w:noWrap/>
            <w:vAlign w:val="bottom"/>
            <w:hideMark/>
          </w:tcPr>
          <w:p w:rsidRPr="00AE1B2B" w:rsidR="009D3FB5" w:rsidP="00163B94" w:rsidRDefault="009D3FB5" w14:paraId="652CE2F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828" w:type="pct"/>
            <w:shd w:val="clear" w:color="auto" w:fill="auto"/>
            <w:noWrap/>
            <w:vAlign w:val="bottom"/>
            <w:hideMark/>
          </w:tcPr>
          <w:p w:rsidRPr="00AE1B2B" w:rsidR="009D3FB5" w:rsidP="00163B94" w:rsidRDefault="009D3FB5" w14:paraId="060CD0B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1496</w:t>
            </w:r>
          </w:p>
        </w:tc>
      </w:tr>
      <w:tr w:rsidRPr="00AE1B2B" w:rsidR="00AE1B2B" w:rsidTr="009D3FB5" w14:paraId="43E6151F" w14:textId="77777777">
        <w:trPr>
          <w:trHeight w:val="20"/>
          <w:tblHeader/>
        </w:trPr>
        <w:tc>
          <w:tcPr>
            <w:tcW w:w="2405" w:type="pct"/>
            <w:shd w:val="clear" w:color="000000" w:fill="FFFFFF"/>
            <w:vAlign w:val="center"/>
            <w:hideMark/>
          </w:tcPr>
          <w:p w:rsidRPr="00AE1B2B" w:rsidR="009D3FB5" w:rsidP="00163B94" w:rsidRDefault="009D3FB5" w14:paraId="54096FA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I Circ. Jud. Alajuela</w:t>
            </w:r>
          </w:p>
        </w:tc>
        <w:tc>
          <w:tcPr>
            <w:tcW w:w="1044" w:type="pct"/>
            <w:shd w:val="clear" w:color="000000" w:fill="FFFFFF"/>
            <w:noWrap/>
            <w:vAlign w:val="bottom"/>
            <w:hideMark/>
          </w:tcPr>
          <w:p w:rsidRPr="00AE1B2B" w:rsidR="009D3FB5" w:rsidP="00163B94" w:rsidRDefault="009D3FB5" w14:paraId="090D0D1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1 023</w:t>
            </w:r>
          </w:p>
        </w:tc>
        <w:tc>
          <w:tcPr>
            <w:tcW w:w="722" w:type="pct"/>
            <w:shd w:val="clear" w:color="000000" w:fill="FFFFFF"/>
            <w:noWrap/>
            <w:vAlign w:val="bottom"/>
            <w:hideMark/>
          </w:tcPr>
          <w:p w:rsidRPr="00AE1B2B" w:rsidR="009D3FB5" w:rsidP="00163B94" w:rsidRDefault="009D3FB5" w14:paraId="54BB363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84</w:t>
            </w:r>
          </w:p>
        </w:tc>
        <w:tc>
          <w:tcPr>
            <w:tcW w:w="828" w:type="pct"/>
            <w:shd w:val="clear" w:color="auto" w:fill="auto"/>
            <w:noWrap/>
            <w:vAlign w:val="bottom"/>
            <w:hideMark/>
          </w:tcPr>
          <w:p w:rsidRPr="00AE1B2B" w:rsidR="009D3FB5" w:rsidP="00163B94" w:rsidRDefault="009D3FB5" w14:paraId="2D1CC60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939</w:t>
            </w:r>
          </w:p>
        </w:tc>
      </w:tr>
      <w:tr w:rsidRPr="00AE1B2B" w:rsidR="00AE1B2B" w:rsidTr="009D3FB5" w14:paraId="051DC4CA" w14:textId="77777777">
        <w:trPr>
          <w:trHeight w:val="20"/>
          <w:tblHeader/>
        </w:trPr>
        <w:tc>
          <w:tcPr>
            <w:tcW w:w="2405" w:type="pct"/>
            <w:shd w:val="clear" w:color="000000" w:fill="FFFFFF"/>
            <w:vAlign w:val="center"/>
            <w:hideMark/>
          </w:tcPr>
          <w:p w:rsidRPr="00AE1B2B" w:rsidR="009D3FB5" w:rsidP="00163B94" w:rsidRDefault="009D3FB5" w14:paraId="6CC5158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I Circ. Jud. Zona Atlántica</w:t>
            </w:r>
          </w:p>
        </w:tc>
        <w:tc>
          <w:tcPr>
            <w:tcW w:w="1044" w:type="pct"/>
            <w:shd w:val="clear" w:color="000000" w:fill="FFFFFF"/>
            <w:noWrap/>
            <w:vAlign w:val="bottom"/>
            <w:hideMark/>
          </w:tcPr>
          <w:p w:rsidRPr="00AE1B2B" w:rsidR="009D3FB5" w:rsidP="00163B94" w:rsidRDefault="009D3FB5" w14:paraId="5FD8095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661</w:t>
            </w:r>
          </w:p>
        </w:tc>
        <w:tc>
          <w:tcPr>
            <w:tcW w:w="722" w:type="pct"/>
            <w:shd w:val="clear" w:color="000000" w:fill="FFFFFF"/>
            <w:noWrap/>
            <w:vAlign w:val="bottom"/>
            <w:hideMark/>
          </w:tcPr>
          <w:p w:rsidRPr="00AE1B2B" w:rsidR="009D3FB5" w:rsidP="00163B94" w:rsidRDefault="009D3FB5" w14:paraId="7DEBA0C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517</w:t>
            </w:r>
          </w:p>
        </w:tc>
        <w:tc>
          <w:tcPr>
            <w:tcW w:w="828" w:type="pct"/>
            <w:shd w:val="clear" w:color="auto" w:fill="auto"/>
            <w:noWrap/>
            <w:vAlign w:val="bottom"/>
            <w:hideMark/>
          </w:tcPr>
          <w:p w:rsidRPr="00AE1B2B" w:rsidR="009D3FB5" w:rsidP="00163B94" w:rsidRDefault="009D3FB5" w14:paraId="5383DF6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144</w:t>
            </w:r>
          </w:p>
        </w:tc>
      </w:tr>
      <w:tr w:rsidRPr="00AE1B2B" w:rsidR="00AE1B2B" w:rsidTr="009D3FB5" w14:paraId="1F0C7F44" w14:textId="77777777">
        <w:trPr>
          <w:trHeight w:val="20"/>
          <w:tblHeader/>
        </w:trPr>
        <w:tc>
          <w:tcPr>
            <w:tcW w:w="2405" w:type="pct"/>
            <w:shd w:val="clear" w:color="000000" w:fill="FFFFFF"/>
            <w:vAlign w:val="center"/>
            <w:hideMark/>
          </w:tcPr>
          <w:p w:rsidRPr="00AE1B2B" w:rsidR="009D3FB5" w:rsidP="00163B94" w:rsidRDefault="009D3FB5" w14:paraId="62133B7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Juzgado Familia I Circ. Jud. Zona Sur </w:t>
            </w:r>
          </w:p>
        </w:tc>
        <w:tc>
          <w:tcPr>
            <w:tcW w:w="1044" w:type="pct"/>
            <w:shd w:val="clear" w:color="000000" w:fill="FFFFFF"/>
            <w:noWrap/>
            <w:vAlign w:val="bottom"/>
            <w:hideMark/>
          </w:tcPr>
          <w:p w:rsidRPr="00AE1B2B" w:rsidR="009D3FB5" w:rsidP="00163B94" w:rsidRDefault="009D3FB5" w14:paraId="16DD4C6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549</w:t>
            </w:r>
          </w:p>
        </w:tc>
        <w:tc>
          <w:tcPr>
            <w:tcW w:w="722" w:type="pct"/>
            <w:shd w:val="clear" w:color="000000" w:fill="FFFFFF"/>
            <w:noWrap/>
            <w:vAlign w:val="bottom"/>
            <w:hideMark/>
          </w:tcPr>
          <w:p w:rsidRPr="00AE1B2B" w:rsidR="009D3FB5" w:rsidP="00163B94" w:rsidRDefault="009D3FB5" w14:paraId="42C7DA4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945</w:t>
            </w:r>
          </w:p>
        </w:tc>
        <w:tc>
          <w:tcPr>
            <w:tcW w:w="828" w:type="pct"/>
            <w:shd w:val="clear" w:color="auto" w:fill="auto"/>
            <w:noWrap/>
            <w:vAlign w:val="bottom"/>
            <w:hideMark/>
          </w:tcPr>
          <w:p w:rsidRPr="00AE1B2B" w:rsidR="009D3FB5" w:rsidP="00163B94" w:rsidRDefault="009D3FB5" w14:paraId="080E137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-396</w:t>
            </w:r>
          </w:p>
        </w:tc>
      </w:tr>
      <w:tr w:rsidRPr="00AE1B2B" w:rsidR="00AE1B2B" w:rsidTr="009D3FB5" w14:paraId="52FE9CCD" w14:textId="77777777">
        <w:trPr>
          <w:trHeight w:val="20"/>
          <w:tblHeader/>
        </w:trPr>
        <w:tc>
          <w:tcPr>
            <w:tcW w:w="2405" w:type="pct"/>
            <w:shd w:val="clear" w:color="000000" w:fill="FFFFFF"/>
            <w:vAlign w:val="center"/>
            <w:hideMark/>
          </w:tcPr>
          <w:p w:rsidRPr="00AE1B2B" w:rsidR="009D3FB5" w:rsidP="00163B94" w:rsidRDefault="009D3FB5" w14:paraId="3D7B036F"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II Circ. Jud. Alajuela</w:t>
            </w:r>
          </w:p>
        </w:tc>
        <w:tc>
          <w:tcPr>
            <w:tcW w:w="1044" w:type="pct"/>
            <w:shd w:val="clear" w:color="000000" w:fill="FFFFFF"/>
            <w:noWrap/>
            <w:vAlign w:val="bottom"/>
            <w:hideMark/>
          </w:tcPr>
          <w:p w:rsidRPr="00AE1B2B" w:rsidR="009D3FB5" w:rsidP="00163B94" w:rsidRDefault="009D3FB5" w14:paraId="333F87D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509</w:t>
            </w:r>
          </w:p>
        </w:tc>
        <w:tc>
          <w:tcPr>
            <w:tcW w:w="722" w:type="pct"/>
            <w:shd w:val="clear" w:color="000000" w:fill="FFFFFF"/>
            <w:noWrap/>
            <w:vAlign w:val="bottom"/>
            <w:hideMark/>
          </w:tcPr>
          <w:p w:rsidRPr="00AE1B2B" w:rsidR="009D3FB5" w:rsidP="00163B94" w:rsidRDefault="009D3FB5" w14:paraId="274B777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153</w:t>
            </w:r>
          </w:p>
        </w:tc>
        <w:tc>
          <w:tcPr>
            <w:tcW w:w="828" w:type="pct"/>
            <w:shd w:val="clear" w:color="auto" w:fill="auto"/>
            <w:noWrap/>
            <w:vAlign w:val="bottom"/>
            <w:hideMark/>
          </w:tcPr>
          <w:p w:rsidRPr="00AE1B2B" w:rsidR="009D3FB5" w:rsidP="00163B94" w:rsidRDefault="009D3FB5" w14:paraId="1532A55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356</w:t>
            </w:r>
          </w:p>
        </w:tc>
      </w:tr>
      <w:tr w:rsidRPr="00AE1B2B" w:rsidR="00AE1B2B" w:rsidTr="009D3FB5" w14:paraId="2E05F61C" w14:textId="77777777">
        <w:trPr>
          <w:trHeight w:val="20"/>
          <w:tblHeader/>
        </w:trPr>
        <w:tc>
          <w:tcPr>
            <w:tcW w:w="2405" w:type="pct"/>
            <w:shd w:val="clear" w:color="000000" w:fill="FFFFFF"/>
            <w:vAlign w:val="center"/>
            <w:hideMark/>
          </w:tcPr>
          <w:p w:rsidRPr="00AE1B2B" w:rsidR="009D3FB5" w:rsidP="00163B94" w:rsidRDefault="009D3FB5" w14:paraId="0CD2514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II Circ. Jud. San José</w:t>
            </w:r>
          </w:p>
        </w:tc>
        <w:tc>
          <w:tcPr>
            <w:tcW w:w="1044" w:type="pct"/>
            <w:shd w:val="clear" w:color="000000" w:fill="FFFFFF"/>
            <w:noWrap/>
            <w:vAlign w:val="bottom"/>
            <w:hideMark/>
          </w:tcPr>
          <w:p w:rsidRPr="00AE1B2B" w:rsidR="009D3FB5" w:rsidP="00163B94" w:rsidRDefault="009D3FB5" w14:paraId="7B84940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1 413</w:t>
            </w:r>
          </w:p>
        </w:tc>
        <w:tc>
          <w:tcPr>
            <w:tcW w:w="722" w:type="pct"/>
            <w:shd w:val="clear" w:color="000000" w:fill="FFFFFF"/>
            <w:noWrap/>
            <w:vAlign w:val="bottom"/>
            <w:hideMark/>
          </w:tcPr>
          <w:p w:rsidRPr="00AE1B2B" w:rsidR="009D3FB5" w:rsidP="00163B94" w:rsidRDefault="009D3FB5" w14:paraId="282F300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731</w:t>
            </w:r>
          </w:p>
        </w:tc>
        <w:tc>
          <w:tcPr>
            <w:tcW w:w="828" w:type="pct"/>
            <w:shd w:val="clear" w:color="auto" w:fill="auto"/>
            <w:noWrap/>
            <w:vAlign w:val="bottom"/>
            <w:hideMark/>
          </w:tcPr>
          <w:p w:rsidRPr="00AE1B2B" w:rsidR="009D3FB5" w:rsidP="00163B94" w:rsidRDefault="009D3FB5" w14:paraId="3552369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682</w:t>
            </w:r>
          </w:p>
        </w:tc>
      </w:tr>
      <w:tr w:rsidRPr="00AE1B2B" w:rsidR="00AE1B2B" w:rsidTr="009D3FB5" w14:paraId="6598D679" w14:textId="77777777">
        <w:trPr>
          <w:trHeight w:val="20"/>
          <w:tblHeader/>
        </w:trPr>
        <w:tc>
          <w:tcPr>
            <w:tcW w:w="2405" w:type="pct"/>
            <w:shd w:val="clear" w:color="000000" w:fill="FFFFFF"/>
            <w:vAlign w:val="center"/>
            <w:hideMark/>
          </w:tcPr>
          <w:p w:rsidRPr="00AE1B2B" w:rsidR="009D3FB5" w:rsidP="00163B94" w:rsidRDefault="009D3FB5" w14:paraId="35BF582E"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II Circ. Jud. Zona Atlántica</w:t>
            </w:r>
          </w:p>
        </w:tc>
        <w:tc>
          <w:tcPr>
            <w:tcW w:w="1044" w:type="pct"/>
            <w:shd w:val="clear" w:color="000000" w:fill="FFFFFF"/>
            <w:noWrap/>
            <w:vAlign w:val="bottom"/>
            <w:hideMark/>
          </w:tcPr>
          <w:p w:rsidRPr="00AE1B2B" w:rsidR="009D3FB5" w:rsidP="00163B94" w:rsidRDefault="009D3FB5" w14:paraId="08A6A58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876</w:t>
            </w:r>
          </w:p>
        </w:tc>
        <w:tc>
          <w:tcPr>
            <w:tcW w:w="722" w:type="pct"/>
            <w:shd w:val="clear" w:color="000000" w:fill="FFFFFF"/>
            <w:noWrap/>
            <w:vAlign w:val="bottom"/>
            <w:hideMark/>
          </w:tcPr>
          <w:p w:rsidRPr="00AE1B2B" w:rsidR="009D3FB5" w:rsidP="00163B94" w:rsidRDefault="009D3FB5" w14:paraId="7C298E4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1812</w:t>
            </w:r>
          </w:p>
        </w:tc>
        <w:tc>
          <w:tcPr>
            <w:tcW w:w="828" w:type="pct"/>
            <w:shd w:val="clear" w:color="auto" w:fill="auto"/>
            <w:noWrap/>
            <w:vAlign w:val="bottom"/>
            <w:hideMark/>
          </w:tcPr>
          <w:p w:rsidRPr="00AE1B2B" w:rsidR="009D3FB5" w:rsidP="00163B94" w:rsidRDefault="009D3FB5" w14:paraId="6143156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-936</w:t>
            </w:r>
          </w:p>
        </w:tc>
      </w:tr>
      <w:tr w:rsidRPr="00AE1B2B" w:rsidR="00AE1B2B" w:rsidTr="009D3FB5" w14:paraId="095C4CCF" w14:textId="77777777">
        <w:trPr>
          <w:trHeight w:val="20"/>
          <w:tblHeader/>
        </w:trPr>
        <w:tc>
          <w:tcPr>
            <w:tcW w:w="2405" w:type="pct"/>
            <w:shd w:val="clear" w:color="000000" w:fill="FFFFFF"/>
            <w:vAlign w:val="center"/>
            <w:hideMark/>
          </w:tcPr>
          <w:p w:rsidRPr="00AE1B2B" w:rsidR="009D3FB5" w:rsidP="00163B94" w:rsidRDefault="009D3FB5" w14:paraId="3368D9CB"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Puntarenas</w:t>
            </w:r>
          </w:p>
        </w:tc>
        <w:tc>
          <w:tcPr>
            <w:tcW w:w="1044" w:type="pct"/>
            <w:shd w:val="clear" w:color="000000" w:fill="FFFFFF"/>
            <w:noWrap/>
            <w:vAlign w:val="bottom"/>
            <w:hideMark/>
          </w:tcPr>
          <w:p w:rsidRPr="00AE1B2B" w:rsidR="009D3FB5" w:rsidP="00163B94" w:rsidRDefault="009D3FB5" w14:paraId="5878018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606</w:t>
            </w:r>
          </w:p>
        </w:tc>
        <w:tc>
          <w:tcPr>
            <w:tcW w:w="722" w:type="pct"/>
            <w:shd w:val="clear" w:color="000000" w:fill="FFFFFF"/>
            <w:noWrap/>
            <w:vAlign w:val="bottom"/>
            <w:hideMark/>
          </w:tcPr>
          <w:p w:rsidRPr="00AE1B2B" w:rsidR="009D3FB5" w:rsidP="00163B94" w:rsidRDefault="009D3FB5" w14:paraId="0EE0A95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402</w:t>
            </w:r>
          </w:p>
        </w:tc>
        <w:tc>
          <w:tcPr>
            <w:tcW w:w="828" w:type="pct"/>
            <w:shd w:val="clear" w:color="auto" w:fill="auto"/>
            <w:noWrap/>
            <w:vAlign w:val="bottom"/>
            <w:hideMark/>
          </w:tcPr>
          <w:p w:rsidRPr="00AE1B2B" w:rsidR="009D3FB5" w:rsidP="00163B94" w:rsidRDefault="009D3FB5" w14:paraId="5BCE032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204</w:t>
            </w:r>
          </w:p>
        </w:tc>
      </w:tr>
      <w:tr w:rsidRPr="00AE1B2B" w:rsidR="00AE1B2B" w:rsidTr="009D3FB5" w14:paraId="06F43C4A" w14:textId="77777777">
        <w:trPr>
          <w:trHeight w:val="20"/>
          <w:tblHeader/>
        </w:trPr>
        <w:tc>
          <w:tcPr>
            <w:tcW w:w="2405" w:type="pct"/>
            <w:shd w:val="clear" w:color="000000" w:fill="FFFFFF"/>
            <w:vAlign w:val="center"/>
            <w:hideMark/>
          </w:tcPr>
          <w:p w:rsidRPr="00AE1B2B" w:rsidR="009D3FB5" w:rsidP="00163B94" w:rsidRDefault="009D3FB5" w14:paraId="34FB5FEA"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Niñez y Adolescencia</w:t>
            </w:r>
          </w:p>
        </w:tc>
        <w:tc>
          <w:tcPr>
            <w:tcW w:w="1044" w:type="pct"/>
            <w:shd w:val="clear" w:color="000000" w:fill="FFFFFF"/>
            <w:noWrap/>
            <w:vAlign w:val="bottom"/>
            <w:hideMark/>
          </w:tcPr>
          <w:p w:rsidRPr="00AE1B2B" w:rsidR="009D3FB5" w:rsidP="00163B94" w:rsidRDefault="009D3FB5" w14:paraId="2A9B6F1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923</w:t>
            </w:r>
          </w:p>
        </w:tc>
        <w:tc>
          <w:tcPr>
            <w:tcW w:w="722" w:type="pct"/>
            <w:shd w:val="clear" w:color="000000" w:fill="FFFFFF"/>
            <w:noWrap/>
            <w:vAlign w:val="bottom"/>
            <w:hideMark/>
          </w:tcPr>
          <w:p w:rsidRPr="00AE1B2B" w:rsidR="009D3FB5" w:rsidP="00163B94" w:rsidRDefault="009D3FB5" w14:paraId="2802CD4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828" w:type="pct"/>
            <w:shd w:val="clear" w:color="auto" w:fill="auto"/>
            <w:noWrap/>
            <w:vAlign w:val="bottom"/>
            <w:hideMark/>
          </w:tcPr>
          <w:p w:rsidRPr="00AE1B2B" w:rsidR="009D3FB5" w:rsidP="00163B94" w:rsidRDefault="009D3FB5" w14:paraId="0E8B096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923</w:t>
            </w:r>
          </w:p>
        </w:tc>
      </w:tr>
      <w:tr w:rsidRPr="00AE1B2B" w:rsidR="00AE1B2B" w:rsidTr="009D3FB5" w14:paraId="74163475" w14:textId="77777777">
        <w:trPr>
          <w:trHeight w:val="20"/>
          <w:tblHeader/>
        </w:trPr>
        <w:tc>
          <w:tcPr>
            <w:tcW w:w="2405" w:type="pct"/>
            <w:shd w:val="clear" w:color="000000" w:fill="FFFFFF"/>
            <w:vAlign w:val="center"/>
            <w:hideMark/>
          </w:tcPr>
          <w:p w:rsidRPr="00AE1B2B" w:rsidR="009D3FB5" w:rsidP="00163B94" w:rsidRDefault="009D3FB5" w14:paraId="62B9992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Primero de Familia San José</w:t>
            </w:r>
          </w:p>
        </w:tc>
        <w:tc>
          <w:tcPr>
            <w:tcW w:w="1044" w:type="pct"/>
            <w:shd w:val="clear" w:color="000000" w:fill="FFFFFF"/>
            <w:noWrap/>
            <w:vAlign w:val="bottom"/>
            <w:hideMark/>
          </w:tcPr>
          <w:p w:rsidRPr="00AE1B2B" w:rsidR="009D3FB5" w:rsidP="00163B94" w:rsidRDefault="009D3FB5" w14:paraId="0534745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834</w:t>
            </w:r>
          </w:p>
        </w:tc>
        <w:tc>
          <w:tcPr>
            <w:tcW w:w="722" w:type="pct"/>
            <w:shd w:val="clear" w:color="000000" w:fill="FFFFFF"/>
            <w:noWrap/>
            <w:vAlign w:val="bottom"/>
            <w:hideMark/>
          </w:tcPr>
          <w:p w:rsidRPr="00AE1B2B" w:rsidR="009D3FB5" w:rsidP="00163B94" w:rsidRDefault="009D3FB5" w14:paraId="485ED51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995</w:t>
            </w:r>
          </w:p>
        </w:tc>
        <w:tc>
          <w:tcPr>
            <w:tcW w:w="828" w:type="pct"/>
            <w:shd w:val="clear" w:color="auto" w:fill="auto"/>
            <w:noWrap/>
            <w:vAlign w:val="bottom"/>
            <w:hideMark/>
          </w:tcPr>
          <w:p w:rsidRPr="00AE1B2B" w:rsidR="009D3FB5" w:rsidP="00163B94" w:rsidRDefault="009D3FB5" w14:paraId="7920A2E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-161</w:t>
            </w:r>
          </w:p>
        </w:tc>
      </w:tr>
      <w:tr w:rsidRPr="00AE1B2B" w:rsidR="00AE1B2B" w:rsidTr="009D3FB5" w14:paraId="7D083D76" w14:textId="77777777">
        <w:trPr>
          <w:trHeight w:val="20"/>
          <w:tblHeader/>
        </w:trPr>
        <w:tc>
          <w:tcPr>
            <w:tcW w:w="2405" w:type="pct"/>
            <w:shd w:val="clear" w:color="000000" w:fill="FFFFFF"/>
            <w:vAlign w:val="center"/>
            <w:hideMark/>
          </w:tcPr>
          <w:p w:rsidRPr="00AE1B2B" w:rsidR="009D3FB5" w:rsidP="00163B94" w:rsidRDefault="009D3FB5" w14:paraId="12E763B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Segundo de Familia San José</w:t>
            </w:r>
          </w:p>
        </w:tc>
        <w:tc>
          <w:tcPr>
            <w:tcW w:w="1044" w:type="pct"/>
            <w:shd w:val="clear" w:color="000000" w:fill="FFFFFF"/>
            <w:noWrap/>
            <w:vAlign w:val="bottom"/>
            <w:hideMark/>
          </w:tcPr>
          <w:p w:rsidRPr="00AE1B2B" w:rsidR="009D3FB5" w:rsidP="00163B94" w:rsidRDefault="009D3FB5" w14:paraId="51E93D0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112</w:t>
            </w:r>
          </w:p>
        </w:tc>
        <w:tc>
          <w:tcPr>
            <w:tcW w:w="722" w:type="pct"/>
            <w:shd w:val="clear" w:color="000000" w:fill="FFFFFF"/>
            <w:noWrap/>
            <w:vAlign w:val="bottom"/>
            <w:hideMark/>
          </w:tcPr>
          <w:p w:rsidRPr="00AE1B2B" w:rsidR="009D3FB5" w:rsidP="00163B94" w:rsidRDefault="009D3FB5" w14:paraId="7BD6C4F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613</w:t>
            </w:r>
          </w:p>
        </w:tc>
        <w:tc>
          <w:tcPr>
            <w:tcW w:w="828" w:type="pct"/>
            <w:shd w:val="clear" w:color="auto" w:fill="auto"/>
            <w:noWrap/>
            <w:vAlign w:val="bottom"/>
            <w:hideMark/>
          </w:tcPr>
          <w:p w:rsidRPr="00AE1B2B" w:rsidR="009D3FB5" w:rsidP="00163B94" w:rsidRDefault="009D3FB5" w14:paraId="794F94B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-501</w:t>
            </w:r>
          </w:p>
        </w:tc>
      </w:tr>
      <w:tr w:rsidRPr="00AE1B2B" w:rsidR="00AE1B2B" w:rsidTr="009D3FB5" w14:paraId="6DD95847" w14:textId="77777777">
        <w:trPr>
          <w:trHeight w:val="20"/>
          <w:tblHeader/>
        </w:trPr>
        <w:tc>
          <w:tcPr>
            <w:tcW w:w="2405" w:type="pct"/>
            <w:shd w:val="clear" w:color="000000" w:fill="808080"/>
            <w:noWrap/>
            <w:vAlign w:val="bottom"/>
            <w:hideMark/>
          </w:tcPr>
          <w:p w:rsidRPr="00AE1B2B" w:rsidR="009D3FB5" w:rsidP="00163B94" w:rsidRDefault="009D3FB5" w14:paraId="402ADF1D" w14:textId="77777777">
            <w:pPr>
              <w:spacing w:before="120" w:after="120" w:line="276" w:lineRule="auto"/>
              <w:jc w:val="right"/>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Total</w:t>
            </w:r>
          </w:p>
        </w:tc>
        <w:tc>
          <w:tcPr>
            <w:tcW w:w="1044" w:type="pct"/>
            <w:shd w:val="clear" w:color="000000" w:fill="808080"/>
            <w:noWrap/>
            <w:vAlign w:val="bottom"/>
            <w:hideMark/>
          </w:tcPr>
          <w:p w:rsidRPr="00AE1B2B" w:rsidR="009D3FB5" w:rsidP="00163B94" w:rsidRDefault="009D3FB5" w14:paraId="47BE302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12032</w:t>
            </w:r>
          </w:p>
        </w:tc>
        <w:tc>
          <w:tcPr>
            <w:tcW w:w="722" w:type="pct"/>
            <w:shd w:val="clear" w:color="000000" w:fill="808080"/>
            <w:noWrap/>
            <w:vAlign w:val="bottom"/>
            <w:hideMark/>
          </w:tcPr>
          <w:p w:rsidRPr="00AE1B2B" w:rsidR="009D3FB5" w:rsidP="00163B94" w:rsidRDefault="009D3FB5" w14:paraId="66493E9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6939</w:t>
            </w:r>
          </w:p>
        </w:tc>
        <w:tc>
          <w:tcPr>
            <w:tcW w:w="828" w:type="pct"/>
            <w:shd w:val="clear" w:color="000000" w:fill="808080"/>
            <w:noWrap/>
            <w:vAlign w:val="bottom"/>
            <w:hideMark/>
          </w:tcPr>
          <w:p w:rsidRPr="00AE1B2B" w:rsidR="009D3FB5" w:rsidP="00163B94" w:rsidRDefault="009D3FB5" w14:paraId="22F360E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5093</w:t>
            </w:r>
          </w:p>
        </w:tc>
      </w:tr>
    </w:tbl>
    <w:p w:rsidRPr="00AE1B2B" w:rsidR="009D3FB5" w:rsidP="00163B94" w:rsidRDefault="009D3FB5" w14:paraId="461C9E3E" w14:textId="77777777">
      <w:pPr>
        <w:spacing w:before="120" w:after="120"/>
        <w:ind w:left="851" w:right="851" w:firstLine="709"/>
        <w:jc w:val="both"/>
        <w:rPr>
          <w:rFonts w:ascii="Times New Roman" w:hAnsi="Times New Roman" w:cs="Times New Roman"/>
          <w:bCs/>
          <w:i/>
          <w:sz w:val="26"/>
          <w:szCs w:val="26"/>
        </w:rPr>
      </w:pPr>
      <w:r w:rsidRPr="00AE1B2B">
        <w:rPr>
          <w:rFonts w:ascii="Times New Roman" w:hAnsi="Times New Roman" w:cs="Times New Roman"/>
          <w:bCs/>
          <w:i/>
          <w:sz w:val="26"/>
          <w:szCs w:val="26"/>
        </w:rPr>
        <w:t>Fuente: Subproceso de Modernización Institucional, con datos de los Juzgados Especializados de Familia 2019</w:t>
      </w:r>
    </w:p>
    <w:p w:rsidRPr="00AE1B2B" w:rsidR="009D3FB5" w:rsidP="00163B94" w:rsidRDefault="009D3FB5" w14:paraId="52EF938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BFA93A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 los resultados anteriores, se evidencia que estos difieren para todos los Juzgados Especializados en Familia, registrando una diferencia en el total de un 42% entre el SIGMA y los datos de los Despachos. De lo anterior, se confirma que los Despachos no se están </w:t>
      </w:r>
      <w:r w:rsidRPr="00AE1B2B">
        <w:rPr>
          <w:rFonts w:ascii="Times New Roman" w:hAnsi="Times New Roman" w:cs="Times New Roman"/>
          <w:sz w:val="26"/>
          <w:szCs w:val="26"/>
        </w:rPr>
        <w:lastRenderedPageBreak/>
        <w:t xml:space="preserve">realizando las revisiones de la información que se ingresa en los sistemas, por lo tanto, los datos registrados a través de este módulo no son fieles a la realidad de los Juzgados, sin embargo hay que aclarar que la Institución ha generado múltiples circulares en la que es obligación de las personas técnicas y juzgadoras mantener la información actualizada en los sistema, lo cual también fue retomado en el informe de hallazgos de la Contraloría General de la República. </w:t>
      </w:r>
    </w:p>
    <w:p w:rsidRPr="00AE1B2B" w:rsidR="009D3FB5" w:rsidP="00163B94" w:rsidRDefault="009D3FB5" w14:paraId="67004F8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1F8D02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siguiente cuadro, se muestra la cantidad de audiencias realizadas en los Juzgados Especializados de Familia por persona juzgadora durante el periodo 2018 al 2019.</w:t>
      </w:r>
    </w:p>
    <w:p w:rsidRPr="00AE1B2B" w:rsidR="009D3FB5" w:rsidP="00163B94" w:rsidRDefault="009D3FB5" w14:paraId="115652A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7AD3BB0"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10</w:t>
      </w:r>
      <w:r w:rsidRPr="00AE1B2B">
        <w:rPr>
          <w:rFonts w:ascii="Times New Roman" w:hAnsi="Times New Roman" w:cs="Times New Roman"/>
          <w:sz w:val="26"/>
          <w:szCs w:val="26"/>
        </w:rPr>
        <w:fldChar w:fldCharType="end"/>
      </w:r>
    </w:p>
    <w:p w:rsidRPr="00AE1B2B" w:rsidR="009D3FB5" w:rsidP="00163B94" w:rsidRDefault="009D3FB5" w14:paraId="0BD7AE2D" w14:textId="5348FA8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Cantidad promedio de audiencias realizadas</w:t>
      </w:r>
    </w:p>
    <w:p w:rsidRPr="00AE1B2B" w:rsidR="009D3FB5" w:rsidP="00163B94" w:rsidRDefault="009D3FB5" w14:paraId="6C41A2A7"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por persona juzgadora, periodo 2018 al 2019</w:t>
      </w:r>
    </w:p>
    <w:tbl>
      <w:tblPr>
        <w:tblW w:w="9497" w:type="dxa"/>
        <w:jc w:val="center"/>
        <w:tblLayout w:type="fixed"/>
        <w:tblCellMar>
          <w:left w:w="70" w:type="dxa"/>
          <w:right w:w="70" w:type="dxa"/>
        </w:tblCellMar>
        <w:tblLook w:val="04A0" w:firstRow="1" w:lastRow="0" w:firstColumn="1" w:lastColumn="0" w:noHBand="0" w:noVBand="1"/>
      </w:tblPr>
      <w:tblGrid>
        <w:gridCol w:w="3860"/>
        <w:gridCol w:w="1127"/>
        <w:gridCol w:w="1128"/>
        <w:gridCol w:w="1127"/>
        <w:gridCol w:w="1127"/>
        <w:gridCol w:w="1128"/>
      </w:tblGrid>
      <w:tr w:rsidRPr="00AE1B2B" w:rsidR="009D3FB5" w:rsidTr="009D3FB5" w14:paraId="3FC9B601" w14:textId="77777777">
        <w:trPr>
          <w:trHeight w:val="20"/>
          <w:tblHeader/>
          <w:jc w:val="center"/>
        </w:trPr>
        <w:tc>
          <w:tcPr>
            <w:tcW w:w="3860" w:type="dxa"/>
            <w:tcBorders>
              <w:top w:val="single" w:color="auto" w:sz="4" w:space="0"/>
              <w:left w:val="single" w:color="auto" w:sz="4" w:space="0"/>
              <w:bottom w:val="single" w:color="auto" w:sz="4" w:space="0"/>
              <w:right w:val="single" w:color="auto" w:sz="4" w:space="0"/>
            </w:tcBorders>
            <w:shd w:val="clear" w:color="000000" w:fill="002060"/>
            <w:noWrap/>
            <w:vAlign w:val="center"/>
            <w:hideMark/>
          </w:tcPr>
          <w:p w:rsidRPr="00AE1B2B" w:rsidR="009D3FB5" w:rsidP="00163B94" w:rsidRDefault="009D3FB5" w14:paraId="2D09C440"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Despacho</w:t>
            </w:r>
          </w:p>
        </w:tc>
        <w:tc>
          <w:tcPr>
            <w:tcW w:w="1127" w:type="dxa"/>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6ABA8E29"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Total Aud. Realizadas 2018</w:t>
            </w:r>
          </w:p>
        </w:tc>
        <w:tc>
          <w:tcPr>
            <w:tcW w:w="1128" w:type="dxa"/>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11EC9C9B"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Total Aud. Realizadas 2019</w:t>
            </w:r>
          </w:p>
        </w:tc>
        <w:tc>
          <w:tcPr>
            <w:tcW w:w="1127" w:type="dxa"/>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3D409464"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Promedio mensual 2018 al 2019</w:t>
            </w:r>
          </w:p>
        </w:tc>
        <w:tc>
          <w:tcPr>
            <w:tcW w:w="1127" w:type="dxa"/>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71898F00"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Cantidad de personas juzgadoras</w:t>
            </w:r>
          </w:p>
        </w:tc>
        <w:tc>
          <w:tcPr>
            <w:tcW w:w="1128" w:type="dxa"/>
            <w:tcBorders>
              <w:top w:val="nil"/>
              <w:left w:val="nil"/>
              <w:bottom w:val="nil"/>
              <w:right w:val="single" w:color="auto" w:sz="4" w:space="0"/>
            </w:tcBorders>
            <w:shd w:val="clear" w:color="000000" w:fill="002060"/>
            <w:vAlign w:val="center"/>
            <w:hideMark/>
          </w:tcPr>
          <w:p w:rsidRPr="00AE1B2B" w:rsidR="009D3FB5" w:rsidP="00163B94" w:rsidRDefault="009D3FB5" w14:paraId="453FE890"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Cantidad mensual por Juez o Jueza</w:t>
            </w:r>
          </w:p>
        </w:tc>
      </w:tr>
      <w:tr w:rsidRPr="00AE1B2B" w:rsidR="009D3FB5" w:rsidTr="009D3FB5" w14:paraId="1112CDC3" w14:textId="77777777">
        <w:trPr>
          <w:trHeight w:val="20"/>
          <w:jc w:val="center"/>
        </w:trPr>
        <w:tc>
          <w:tcPr>
            <w:tcW w:w="3860" w:type="dxa"/>
            <w:tcBorders>
              <w:top w:val="nil"/>
              <w:left w:val="single" w:color="auto" w:sz="4" w:space="0"/>
              <w:bottom w:val="single" w:color="auto" w:sz="4" w:space="0"/>
              <w:right w:val="single" w:color="auto" w:sz="4" w:space="0"/>
            </w:tcBorders>
            <w:shd w:val="clear" w:color="000000" w:fill="FFFFFF"/>
            <w:vAlign w:val="center"/>
            <w:hideMark/>
          </w:tcPr>
          <w:p w:rsidRPr="00AE1B2B" w:rsidR="009D3FB5" w:rsidP="00163B94" w:rsidRDefault="009D3FB5" w14:paraId="38580819"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Juzgado de Familia III Circ. Jud. San José</w:t>
            </w:r>
          </w:p>
        </w:tc>
        <w:tc>
          <w:tcPr>
            <w:tcW w:w="1127" w:type="dxa"/>
            <w:tcBorders>
              <w:top w:val="nil"/>
              <w:left w:val="nil"/>
              <w:bottom w:val="single" w:color="auto" w:sz="4" w:space="0"/>
              <w:right w:val="single" w:color="auto" w:sz="4" w:space="0"/>
            </w:tcBorders>
            <w:shd w:val="clear" w:color="000000" w:fill="FFFFFF"/>
            <w:vAlign w:val="center"/>
            <w:hideMark/>
          </w:tcPr>
          <w:p w:rsidRPr="00AE1B2B" w:rsidR="009D3FB5" w:rsidP="00163B94" w:rsidRDefault="009D3FB5" w14:paraId="243B88B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529</w:t>
            </w:r>
          </w:p>
        </w:tc>
        <w:tc>
          <w:tcPr>
            <w:tcW w:w="1128"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1AF8A1F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634</w:t>
            </w:r>
          </w:p>
        </w:tc>
        <w:tc>
          <w:tcPr>
            <w:tcW w:w="1127"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4F6A06C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57</w:t>
            </w:r>
          </w:p>
        </w:tc>
        <w:tc>
          <w:tcPr>
            <w:tcW w:w="112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193B54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1128" w:type="dxa"/>
            <w:tcBorders>
              <w:top w:val="single" w:color="auto" w:sz="4" w:space="0"/>
              <w:left w:val="nil"/>
              <w:bottom w:val="single" w:color="auto" w:sz="4" w:space="0"/>
              <w:right w:val="single" w:color="auto" w:sz="4" w:space="0"/>
            </w:tcBorders>
            <w:shd w:val="clear" w:color="auto" w:fill="auto"/>
            <w:noWrap/>
            <w:vAlign w:val="center"/>
            <w:hideMark/>
          </w:tcPr>
          <w:p w:rsidRPr="00AE1B2B" w:rsidR="009D3FB5" w:rsidP="00163B94" w:rsidRDefault="009D3FB5" w14:paraId="0A9F01C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w:t>
            </w:r>
          </w:p>
        </w:tc>
      </w:tr>
      <w:tr w:rsidRPr="00AE1B2B" w:rsidR="009D3FB5" w:rsidTr="009D3FB5" w14:paraId="58F8A20E" w14:textId="77777777">
        <w:trPr>
          <w:trHeight w:val="20"/>
          <w:jc w:val="center"/>
        </w:trPr>
        <w:tc>
          <w:tcPr>
            <w:tcW w:w="3860" w:type="dxa"/>
            <w:tcBorders>
              <w:top w:val="nil"/>
              <w:left w:val="single" w:color="auto" w:sz="4" w:space="0"/>
              <w:bottom w:val="single" w:color="auto" w:sz="4" w:space="0"/>
              <w:right w:val="single" w:color="auto" w:sz="4" w:space="0"/>
            </w:tcBorders>
            <w:shd w:val="clear" w:color="000000" w:fill="FFFFFF"/>
            <w:vAlign w:val="center"/>
            <w:hideMark/>
          </w:tcPr>
          <w:p w:rsidRPr="00AE1B2B" w:rsidR="009D3FB5" w:rsidP="00163B94" w:rsidRDefault="009D3FB5" w14:paraId="196C6F5C"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Juzgado Familia Cartago</w:t>
            </w:r>
          </w:p>
        </w:tc>
        <w:tc>
          <w:tcPr>
            <w:tcW w:w="1127" w:type="dxa"/>
            <w:tcBorders>
              <w:top w:val="nil"/>
              <w:left w:val="nil"/>
              <w:bottom w:val="single" w:color="auto" w:sz="4" w:space="0"/>
              <w:right w:val="single" w:color="auto" w:sz="4" w:space="0"/>
            </w:tcBorders>
            <w:shd w:val="clear" w:color="000000" w:fill="FFFFFF"/>
            <w:vAlign w:val="center"/>
            <w:hideMark/>
          </w:tcPr>
          <w:p w:rsidRPr="00AE1B2B" w:rsidR="009D3FB5" w:rsidP="00163B94" w:rsidRDefault="009D3FB5" w14:paraId="6FF8D4C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903</w:t>
            </w:r>
          </w:p>
        </w:tc>
        <w:tc>
          <w:tcPr>
            <w:tcW w:w="1128"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380753D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997</w:t>
            </w:r>
          </w:p>
        </w:tc>
        <w:tc>
          <w:tcPr>
            <w:tcW w:w="1127"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0C27796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93</w:t>
            </w:r>
          </w:p>
        </w:tc>
        <w:tc>
          <w:tcPr>
            <w:tcW w:w="112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16A382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1128"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2F8AC5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31</w:t>
            </w:r>
          </w:p>
        </w:tc>
      </w:tr>
      <w:tr w:rsidRPr="00AE1B2B" w:rsidR="009D3FB5" w:rsidTr="009D3FB5" w14:paraId="73800099" w14:textId="77777777">
        <w:trPr>
          <w:trHeight w:val="20"/>
          <w:jc w:val="center"/>
        </w:trPr>
        <w:tc>
          <w:tcPr>
            <w:tcW w:w="3860" w:type="dxa"/>
            <w:tcBorders>
              <w:top w:val="nil"/>
              <w:left w:val="single" w:color="auto" w:sz="4" w:space="0"/>
              <w:bottom w:val="single" w:color="auto" w:sz="4" w:space="0"/>
              <w:right w:val="single" w:color="auto" w:sz="4" w:space="0"/>
            </w:tcBorders>
            <w:shd w:val="clear" w:color="000000" w:fill="FFFFFF"/>
            <w:vAlign w:val="center"/>
            <w:hideMark/>
          </w:tcPr>
          <w:p w:rsidRPr="00AE1B2B" w:rsidR="009D3FB5" w:rsidP="00163B94" w:rsidRDefault="009D3FB5" w14:paraId="556DD71D"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Juzgado Familia Heredia</w:t>
            </w:r>
          </w:p>
        </w:tc>
        <w:tc>
          <w:tcPr>
            <w:tcW w:w="1127" w:type="dxa"/>
            <w:tcBorders>
              <w:top w:val="nil"/>
              <w:left w:val="nil"/>
              <w:bottom w:val="single" w:color="auto" w:sz="4" w:space="0"/>
              <w:right w:val="single" w:color="auto" w:sz="4" w:space="0"/>
            </w:tcBorders>
            <w:shd w:val="clear" w:color="000000" w:fill="FFFFFF"/>
            <w:vAlign w:val="center"/>
            <w:hideMark/>
          </w:tcPr>
          <w:p w:rsidRPr="00AE1B2B" w:rsidR="009D3FB5" w:rsidP="00163B94" w:rsidRDefault="009D3FB5" w14:paraId="71E2602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1 076</w:t>
            </w:r>
          </w:p>
        </w:tc>
        <w:tc>
          <w:tcPr>
            <w:tcW w:w="1128"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1490AD1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987</w:t>
            </w:r>
          </w:p>
        </w:tc>
        <w:tc>
          <w:tcPr>
            <w:tcW w:w="1127"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0D4CFFE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101</w:t>
            </w:r>
          </w:p>
        </w:tc>
        <w:tc>
          <w:tcPr>
            <w:tcW w:w="112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E01413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1128"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130AD9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w:t>
            </w:r>
          </w:p>
        </w:tc>
      </w:tr>
      <w:tr w:rsidRPr="00AE1B2B" w:rsidR="009D3FB5" w:rsidTr="009D3FB5" w14:paraId="628B40E8" w14:textId="77777777">
        <w:trPr>
          <w:trHeight w:val="20"/>
          <w:jc w:val="center"/>
        </w:trPr>
        <w:tc>
          <w:tcPr>
            <w:tcW w:w="3860" w:type="dxa"/>
            <w:tcBorders>
              <w:top w:val="nil"/>
              <w:left w:val="single" w:color="auto" w:sz="4" w:space="0"/>
              <w:bottom w:val="single" w:color="auto" w:sz="4" w:space="0"/>
              <w:right w:val="single" w:color="auto" w:sz="4" w:space="0"/>
            </w:tcBorders>
            <w:shd w:val="clear" w:color="000000" w:fill="FFFFFF"/>
            <w:vAlign w:val="center"/>
            <w:hideMark/>
          </w:tcPr>
          <w:p w:rsidRPr="00AE1B2B" w:rsidR="009D3FB5" w:rsidP="00163B94" w:rsidRDefault="009D3FB5" w14:paraId="10A3D4E9"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Juzgado Familia I Circ. Jud. Alajuela</w:t>
            </w:r>
          </w:p>
        </w:tc>
        <w:tc>
          <w:tcPr>
            <w:tcW w:w="1127" w:type="dxa"/>
            <w:tcBorders>
              <w:top w:val="nil"/>
              <w:left w:val="nil"/>
              <w:bottom w:val="single" w:color="auto" w:sz="4" w:space="0"/>
              <w:right w:val="single" w:color="auto" w:sz="4" w:space="0"/>
            </w:tcBorders>
            <w:shd w:val="clear" w:color="000000" w:fill="FFFFFF"/>
            <w:vAlign w:val="center"/>
            <w:hideMark/>
          </w:tcPr>
          <w:p w:rsidRPr="00AE1B2B" w:rsidR="009D3FB5" w:rsidP="00163B94" w:rsidRDefault="009D3FB5" w14:paraId="782BB4B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555</w:t>
            </w:r>
          </w:p>
        </w:tc>
        <w:tc>
          <w:tcPr>
            <w:tcW w:w="1128"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3FC030D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800</w:t>
            </w:r>
          </w:p>
        </w:tc>
        <w:tc>
          <w:tcPr>
            <w:tcW w:w="1127"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4B1F4F3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66</w:t>
            </w:r>
          </w:p>
        </w:tc>
        <w:tc>
          <w:tcPr>
            <w:tcW w:w="112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B30103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1128"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DEB9A4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22</w:t>
            </w:r>
          </w:p>
        </w:tc>
      </w:tr>
      <w:tr w:rsidRPr="00AE1B2B" w:rsidR="009D3FB5" w:rsidTr="009D3FB5" w14:paraId="5E37CD52" w14:textId="77777777">
        <w:trPr>
          <w:trHeight w:val="20"/>
          <w:jc w:val="center"/>
        </w:trPr>
        <w:tc>
          <w:tcPr>
            <w:tcW w:w="3860" w:type="dxa"/>
            <w:tcBorders>
              <w:top w:val="nil"/>
              <w:left w:val="single" w:color="auto" w:sz="4" w:space="0"/>
              <w:bottom w:val="single" w:color="auto" w:sz="4" w:space="0"/>
              <w:right w:val="single" w:color="auto" w:sz="4" w:space="0"/>
            </w:tcBorders>
            <w:shd w:val="clear" w:color="000000" w:fill="FFFFFF"/>
            <w:vAlign w:val="center"/>
            <w:hideMark/>
          </w:tcPr>
          <w:p w:rsidRPr="00AE1B2B" w:rsidR="009D3FB5" w:rsidP="00163B94" w:rsidRDefault="009D3FB5" w14:paraId="1345E252"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Juzgado Familia I Circ. Jud. Zona Atlántica</w:t>
            </w:r>
          </w:p>
        </w:tc>
        <w:tc>
          <w:tcPr>
            <w:tcW w:w="1127" w:type="dxa"/>
            <w:tcBorders>
              <w:top w:val="nil"/>
              <w:left w:val="nil"/>
              <w:bottom w:val="single" w:color="auto" w:sz="4" w:space="0"/>
              <w:right w:val="single" w:color="auto" w:sz="4" w:space="0"/>
            </w:tcBorders>
            <w:shd w:val="clear" w:color="000000" w:fill="FFFFFF"/>
            <w:vAlign w:val="center"/>
            <w:hideMark/>
          </w:tcPr>
          <w:p w:rsidRPr="00AE1B2B" w:rsidR="009D3FB5" w:rsidP="00163B94" w:rsidRDefault="009D3FB5" w14:paraId="7B0815B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440</w:t>
            </w:r>
          </w:p>
        </w:tc>
        <w:tc>
          <w:tcPr>
            <w:tcW w:w="1128"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0035001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459</w:t>
            </w:r>
          </w:p>
        </w:tc>
        <w:tc>
          <w:tcPr>
            <w:tcW w:w="1127"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0C5155A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44</w:t>
            </w:r>
          </w:p>
        </w:tc>
        <w:tc>
          <w:tcPr>
            <w:tcW w:w="112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74F1B8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1128"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0E076B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22</w:t>
            </w:r>
          </w:p>
        </w:tc>
      </w:tr>
      <w:tr w:rsidRPr="00AE1B2B" w:rsidR="009D3FB5" w:rsidTr="009D3FB5" w14:paraId="541460BD" w14:textId="77777777">
        <w:trPr>
          <w:trHeight w:val="20"/>
          <w:jc w:val="center"/>
        </w:trPr>
        <w:tc>
          <w:tcPr>
            <w:tcW w:w="3860" w:type="dxa"/>
            <w:tcBorders>
              <w:top w:val="nil"/>
              <w:left w:val="single" w:color="auto" w:sz="4" w:space="0"/>
              <w:bottom w:val="single" w:color="auto" w:sz="4" w:space="0"/>
              <w:right w:val="single" w:color="auto" w:sz="4" w:space="0"/>
            </w:tcBorders>
            <w:shd w:val="clear" w:color="000000" w:fill="FFFFFF"/>
            <w:vAlign w:val="center"/>
            <w:hideMark/>
          </w:tcPr>
          <w:p w:rsidRPr="00AE1B2B" w:rsidR="009D3FB5" w:rsidP="00163B94" w:rsidRDefault="009D3FB5" w14:paraId="1DCC9BC5"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Juzgado Familia I Circ. Jud. Zona Sur</w:t>
            </w:r>
          </w:p>
        </w:tc>
        <w:tc>
          <w:tcPr>
            <w:tcW w:w="1127" w:type="dxa"/>
            <w:tcBorders>
              <w:top w:val="nil"/>
              <w:left w:val="nil"/>
              <w:bottom w:val="single" w:color="auto" w:sz="4" w:space="0"/>
              <w:right w:val="single" w:color="auto" w:sz="4" w:space="0"/>
            </w:tcBorders>
            <w:shd w:val="clear" w:color="000000" w:fill="FFFFFF"/>
            <w:vAlign w:val="center"/>
            <w:hideMark/>
          </w:tcPr>
          <w:p w:rsidRPr="00AE1B2B" w:rsidR="009D3FB5" w:rsidP="00163B94" w:rsidRDefault="009D3FB5" w14:paraId="4D808F9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248</w:t>
            </w:r>
          </w:p>
        </w:tc>
        <w:tc>
          <w:tcPr>
            <w:tcW w:w="1128"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5812329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287</w:t>
            </w:r>
          </w:p>
        </w:tc>
        <w:tc>
          <w:tcPr>
            <w:tcW w:w="1127"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4D2C437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26</w:t>
            </w:r>
          </w:p>
        </w:tc>
        <w:tc>
          <w:tcPr>
            <w:tcW w:w="112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625204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1128"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954C4F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w:t>
            </w:r>
          </w:p>
        </w:tc>
      </w:tr>
      <w:tr w:rsidRPr="00AE1B2B" w:rsidR="009D3FB5" w:rsidTr="009D3FB5" w14:paraId="729489DB" w14:textId="77777777">
        <w:trPr>
          <w:trHeight w:val="20"/>
          <w:jc w:val="center"/>
        </w:trPr>
        <w:tc>
          <w:tcPr>
            <w:tcW w:w="3860" w:type="dxa"/>
            <w:tcBorders>
              <w:top w:val="nil"/>
              <w:left w:val="single" w:color="auto" w:sz="4" w:space="0"/>
              <w:bottom w:val="single" w:color="auto" w:sz="4" w:space="0"/>
              <w:right w:val="single" w:color="auto" w:sz="4" w:space="0"/>
            </w:tcBorders>
            <w:shd w:val="clear" w:color="000000" w:fill="FFFFFF"/>
            <w:vAlign w:val="center"/>
            <w:hideMark/>
          </w:tcPr>
          <w:p w:rsidRPr="00AE1B2B" w:rsidR="009D3FB5" w:rsidP="00163B94" w:rsidRDefault="009D3FB5" w14:paraId="2CD010EC"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Juzgado Familia II Circ. Jud. Alajuela</w:t>
            </w:r>
          </w:p>
        </w:tc>
        <w:tc>
          <w:tcPr>
            <w:tcW w:w="1127" w:type="dxa"/>
            <w:tcBorders>
              <w:top w:val="nil"/>
              <w:left w:val="nil"/>
              <w:bottom w:val="single" w:color="auto" w:sz="4" w:space="0"/>
              <w:right w:val="single" w:color="auto" w:sz="4" w:space="0"/>
            </w:tcBorders>
            <w:shd w:val="clear" w:color="000000" w:fill="FFFFFF"/>
            <w:vAlign w:val="center"/>
            <w:hideMark/>
          </w:tcPr>
          <w:p w:rsidRPr="00AE1B2B" w:rsidR="009D3FB5" w:rsidP="00163B94" w:rsidRDefault="009D3FB5" w14:paraId="4525F48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291</w:t>
            </w:r>
          </w:p>
        </w:tc>
        <w:tc>
          <w:tcPr>
            <w:tcW w:w="1128"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5C2344E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366</w:t>
            </w:r>
          </w:p>
        </w:tc>
        <w:tc>
          <w:tcPr>
            <w:tcW w:w="1127"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5017F61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32</w:t>
            </w:r>
          </w:p>
        </w:tc>
        <w:tc>
          <w:tcPr>
            <w:tcW w:w="112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247A5F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1128"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1B6F2F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w:t>
            </w:r>
          </w:p>
        </w:tc>
      </w:tr>
      <w:tr w:rsidRPr="00AE1B2B" w:rsidR="009D3FB5" w:rsidTr="009D3FB5" w14:paraId="17D262E6" w14:textId="77777777">
        <w:trPr>
          <w:trHeight w:val="20"/>
          <w:jc w:val="center"/>
        </w:trPr>
        <w:tc>
          <w:tcPr>
            <w:tcW w:w="3860" w:type="dxa"/>
            <w:tcBorders>
              <w:top w:val="nil"/>
              <w:left w:val="single" w:color="auto" w:sz="4" w:space="0"/>
              <w:bottom w:val="single" w:color="auto" w:sz="4" w:space="0"/>
              <w:right w:val="single" w:color="auto" w:sz="4" w:space="0"/>
            </w:tcBorders>
            <w:shd w:val="clear" w:color="000000" w:fill="FFFFFF"/>
            <w:vAlign w:val="center"/>
            <w:hideMark/>
          </w:tcPr>
          <w:p w:rsidRPr="00AE1B2B" w:rsidR="009D3FB5" w:rsidP="00163B94" w:rsidRDefault="009D3FB5" w14:paraId="47798E5E"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Juzgado Familia II Circ. Jud. San José</w:t>
            </w:r>
          </w:p>
        </w:tc>
        <w:tc>
          <w:tcPr>
            <w:tcW w:w="1127" w:type="dxa"/>
            <w:tcBorders>
              <w:top w:val="nil"/>
              <w:left w:val="nil"/>
              <w:bottom w:val="single" w:color="auto" w:sz="4" w:space="0"/>
              <w:right w:val="single" w:color="auto" w:sz="4" w:space="0"/>
            </w:tcBorders>
            <w:shd w:val="clear" w:color="000000" w:fill="FFFFFF"/>
            <w:vAlign w:val="center"/>
            <w:hideMark/>
          </w:tcPr>
          <w:p w:rsidRPr="00AE1B2B" w:rsidR="009D3FB5" w:rsidP="00163B94" w:rsidRDefault="009D3FB5" w14:paraId="1D57971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830</w:t>
            </w:r>
          </w:p>
        </w:tc>
        <w:tc>
          <w:tcPr>
            <w:tcW w:w="1128"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444B6F1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746</w:t>
            </w:r>
          </w:p>
        </w:tc>
        <w:tc>
          <w:tcPr>
            <w:tcW w:w="1127"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1CF1D89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77</w:t>
            </w:r>
          </w:p>
        </w:tc>
        <w:tc>
          <w:tcPr>
            <w:tcW w:w="112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50EEFC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1128"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9114D6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w:t>
            </w:r>
          </w:p>
        </w:tc>
      </w:tr>
      <w:tr w:rsidRPr="00AE1B2B" w:rsidR="009D3FB5" w:rsidTr="009D3FB5" w14:paraId="25313EEC" w14:textId="77777777">
        <w:trPr>
          <w:trHeight w:val="20"/>
          <w:jc w:val="center"/>
        </w:trPr>
        <w:tc>
          <w:tcPr>
            <w:tcW w:w="3860" w:type="dxa"/>
            <w:tcBorders>
              <w:top w:val="nil"/>
              <w:left w:val="single" w:color="auto" w:sz="4" w:space="0"/>
              <w:bottom w:val="single" w:color="auto" w:sz="4" w:space="0"/>
              <w:right w:val="single" w:color="auto" w:sz="4" w:space="0"/>
            </w:tcBorders>
            <w:shd w:val="clear" w:color="000000" w:fill="FFFFFF"/>
            <w:vAlign w:val="center"/>
            <w:hideMark/>
          </w:tcPr>
          <w:p w:rsidRPr="00AE1B2B" w:rsidR="009D3FB5" w:rsidP="00163B94" w:rsidRDefault="009D3FB5" w14:paraId="7D28D12A"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Juzgado Familia II Circ. Jud. Zona Atlántica</w:t>
            </w:r>
          </w:p>
        </w:tc>
        <w:tc>
          <w:tcPr>
            <w:tcW w:w="1127" w:type="dxa"/>
            <w:tcBorders>
              <w:top w:val="nil"/>
              <w:left w:val="nil"/>
              <w:bottom w:val="single" w:color="auto" w:sz="4" w:space="0"/>
              <w:right w:val="single" w:color="auto" w:sz="4" w:space="0"/>
            </w:tcBorders>
            <w:shd w:val="clear" w:color="000000" w:fill="FFFFFF"/>
            <w:vAlign w:val="center"/>
            <w:hideMark/>
          </w:tcPr>
          <w:p w:rsidRPr="00AE1B2B" w:rsidR="009D3FB5" w:rsidP="00163B94" w:rsidRDefault="009D3FB5" w14:paraId="21ED40A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325</w:t>
            </w:r>
          </w:p>
        </w:tc>
        <w:tc>
          <w:tcPr>
            <w:tcW w:w="1128"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25D52A7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462</w:t>
            </w:r>
          </w:p>
        </w:tc>
        <w:tc>
          <w:tcPr>
            <w:tcW w:w="1127"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7DCA159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38</w:t>
            </w:r>
          </w:p>
        </w:tc>
        <w:tc>
          <w:tcPr>
            <w:tcW w:w="112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CABAC0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1128"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0F2945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w:t>
            </w:r>
          </w:p>
        </w:tc>
      </w:tr>
      <w:tr w:rsidRPr="00AE1B2B" w:rsidR="009D3FB5" w:rsidTr="009D3FB5" w14:paraId="3ED1CAF8" w14:textId="77777777">
        <w:trPr>
          <w:trHeight w:val="20"/>
          <w:jc w:val="center"/>
        </w:trPr>
        <w:tc>
          <w:tcPr>
            <w:tcW w:w="3860" w:type="dxa"/>
            <w:tcBorders>
              <w:top w:val="nil"/>
              <w:left w:val="single" w:color="auto" w:sz="4" w:space="0"/>
              <w:bottom w:val="single" w:color="auto" w:sz="4" w:space="0"/>
              <w:right w:val="single" w:color="auto" w:sz="4" w:space="0"/>
            </w:tcBorders>
            <w:shd w:val="clear" w:color="000000" w:fill="FFFFFF"/>
            <w:vAlign w:val="center"/>
            <w:hideMark/>
          </w:tcPr>
          <w:p w:rsidRPr="00AE1B2B" w:rsidR="009D3FB5" w:rsidP="00163B94" w:rsidRDefault="009D3FB5" w14:paraId="6D47A67E"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lastRenderedPageBreak/>
              <w:t>Juzgado Familia Puntarenas</w:t>
            </w:r>
          </w:p>
        </w:tc>
        <w:tc>
          <w:tcPr>
            <w:tcW w:w="1127" w:type="dxa"/>
            <w:tcBorders>
              <w:top w:val="nil"/>
              <w:left w:val="nil"/>
              <w:bottom w:val="single" w:color="auto" w:sz="4" w:space="0"/>
              <w:right w:val="single" w:color="auto" w:sz="4" w:space="0"/>
            </w:tcBorders>
            <w:shd w:val="clear" w:color="000000" w:fill="FFFFFF"/>
            <w:vAlign w:val="center"/>
            <w:hideMark/>
          </w:tcPr>
          <w:p w:rsidRPr="00AE1B2B" w:rsidR="009D3FB5" w:rsidP="00163B94" w:rsidRDefault="009D3FB5" w14:paraId="70CB29E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518</w:t>
            </w:r>
          </w:p>
        </w:tc>
        <w:tc>
          <w:tcPr>
            <w:tcW w:w="1128"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3D13861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505</w:t>
            </w:r>
          </w:p>
        </w:tc>
        <w:tc>
          <w:tcPr>
            <w:tcW w:w="1127"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310D08D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112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C18CEB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1128"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EBEF53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w:t>
            </w:r>
          </w:p>
        </w:tc>
      </w:tr>
      <w:tr w:rsidRPr="00AE1B2B" w:rsidR="009D3FB5" w:rsidTr="009D3FB5" w14:paraId="3D363187" w14:textId="77777777">
        <w:trPr>
          <w:trHeight w:val="20"/>
          <w:jc w:val="center"/>
        </w:trPr>
        <w:tc>
          <w:tcPr>
            <w:tcW w:w="3860" w:type="dxa"/>
            <w:tcBorders>
              <w:top w:val="nil"/>
              <w:left w:val="single" w:color="auto" w:sz="4" w:space="0"/>
              <w:bottom w:val="single" w:color="auto" w:sz="4" w:space="0"/>
              <w:right w:val="single" w:color="auto" w:sz="4" w:space="0"/>
            </w:tcBorders>
            <w:shd w:val="clear" w:color="000000" w:fill="FFFFFF"/>
            <w:vAlign w:val="center"/>
            <w:hideMark/>
          </w:tcPr>
          <w:p w:rsidRPr="00AE1B2B" w:rsidR="009D3FB5" w:rsidP="00163B94" w:rsidRDefault="009D3FB5" w14:paraId="11646855"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Juzgado Familia, Niñez y Adolescencia</w:t>
            </w:r>
          </w:p>
        </w:tc>
        <w:tc>
          <w:tcPr>
            <w:tcW w:w="1127" w:type="dxa"/>
            <w:tcBorders>
              <w:top w:val="nil"/>
              <w:left w:val="nil"/>
              <w:bottom w:val="single" w:color="auto" w:sz="4" w:space="0"/>
              <w:right w:val="single" w:color="auto" w:sz="4" w:space="0"/>
            </w:tcBorders>
            <w:shd w:val="clear" w:color="000000" w:fill="FFFFFF"/>
            <w:vAlign w:val="center"/>
            <w:hideMark/>
          </w:tcPr>
          <w:p w:rsidRPr="00AE1B2B" w:rsidR="009D3FB5" w:rsidP="00163B94" w:rsidRDefault="009D3FB5" w14:paraId="54034F5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634</w:t>
            </w:r>
          </w:p>
        </w:tc>
        <w:tc>
          <w:tcPr>
            <w:tcW w:w="1128"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1E08450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700</w:t>
            </w:r>
          </w:p>
        </w:tc>
        <w:tc>
          <w:tcPr>
            <w:tcW w:w="1127"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3E4CF7C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65</w:t>
            </w:r>
          </w:p>
        </w:tc>
        <w:tc>
          <w:tcPr>
            <w:tcW w:w="112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9C99BA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1128"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664344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33</w:t>
            </w:r>
          </w:p>
        </w:tc>
      </w:tr>
      <w:tr w:rsidRPr="00AE1B2B" w:rsidR="009D3FB5" w:rsidTr="009D3FB5" w14:paraId="154CCE56" w14:textId="77777777">
        <w:trPr>
          <w:trHeight w:val="20"/>
          <w:jc w:val="center"/>
        </w:trPr>
        <w:tc>
          <w:tcPr>
            <w:tcW w:w="3860" w:type="dxa"/>
            <w:tcBorders>
              <w:top w:val="nil"/>
              <w:left w:val="single" w:color="auto" w:sz="4" w:space="0"/>
              <w:bottom w:val="single" w:color="auto" w:sz="4" w:space="0"/>
              <w:right w:val="single" w:color="auto" w:sz="4" w:space="0"/>
            </w:tcBorders>
            <w:shd w:val="clear" w:color="000000" w:fill="FFFFFF"/>
            <w:vAlign w:val="center"/>
            <w:hideMark/>
          </w:tcPr>
          <w:p w:rsidRPr="00AE1B2B" w:rsidR="009D3FB5" w:rsidP="00163B94" w:rsidRDefault="009D3FB5" w14:paraId="6316E88C"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Juzgado Primero de Familia San José</w:t>
            </w:r>
          </w:p>
        </w:tc>
        <w:tc>
          <w:tcPr>
            <w:tcW w:w="1127" w:type="dxa"/>
            <w:tcBorders>
              <w:top w:val="nil"/>
              <w:left w:val="nil"/>
              <w:bottom w:val="single" w:color="auto" w:sz="4" w:space="0"/>
              <w:right w:val="single" w:color="auto" w:sz="4" w:space="0"/>
            </w:tcBorders>
            <w:shd w:val="clear" w:color="000000" w:fill="FFFFFF"/>
            <w:vAlign w:val="center"/>
            <w:hideMark/>
          </w:tcPr>
          <w:p w:rsidRPr="00AE1B2B" w:rsidR="009D3FB5" w:rsidP="00163B94" w:rsidRDefault="009D3FB5" w14:paraId="00E4414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387</w:t>
            </w:r>
          </w:p>
        </w:tc>
        <w:tc>
          <w:tcPr>
            <w:tcW w:w="1128"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4FA8919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503</w:t>
            </w:r>
          </w:p>
        </w:tc>
        <w:tc>
          <w:tcPr>
            <w:tcW w:w="1127"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10E6171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43</w:t>
            </w:r>
          </w:p>
        </w:tc>
        <w:tc>
          <w:tcPr>
            <w:tcW w:w="112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60F918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1128"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E4E1A1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w:t>
            </w:r>
          </w:p>
        </w:tc>
      </w:tr>
      <w:tr w:rsidRPr="00AE1B2B" w:rsidR="009D3FB5" w:rsidTr="009D3FB5" w14:paraId="7D524E5F" w14:textId="77777777">
        <w:trPr>
          <w:trHeight w:val="20"/>
          <w:jc w:val="center"/>
        </w:trPr>
        <w:tc>
          <w:tcPr>
            <w:tcW w:w="3860" w:type="dxa"/>
            <w:tcBorders>
              <w:top w:val="nil"/>
              <w:left w:val="single" w:color="auto" w:sz="4" w:space="0"/>
              <w:bottom w:val="single" w:color="auto" w:sz="4" w:space="0"/>
              <w:right w:val="single" w:color="auto" w:sz="4" w:space="0"/>
            </w:tcBorders>
            <w:shd w:val="clear" w:color="000000" w:fill="FFFFFF"/>
            <w:vAlign w:val="center"/>
            <w:hideMark/>
          </w:tcPr>
          <w:p w:rsidRPr="00AE1B2B" w:rsidR="009D3FB5" w:rsidP="00163B94" w:rsidRDefault="009D3FB5" w14:paraId="3E948033"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Juzgado Segundo de Familia San José</w:t>
            </w:r>
          </w:p>
        </w:tc>
        <w:tc>
          <w:tcPr>
            <w:tcW w:w="1127" w:type="dxa"/>
            <w:tcBorders>
              <w:top w:val="nil"/>
              <w:left w:val="nil"/>
              <w:bottom w:val="single" w:color="auto" w:sz="4" w:space="0"/>
              <w:right w:val="single" w:color="auto" w:sz="4" w:space="0"/>
            </w:tcBorders>
            <w:shd w:val="clear" w:color="000000" w:fill="FFFFFF"/>
            <w:vAlign w:val="center"/>
            <w:hideMark/>
          </w:tcPr>
          <w:p w:rsidRPr="00AE1B2B" w:rsidR="009D3FB5" w:rsidP="00163B94" w:rsidRDefault="009D3FB5" w14:paraId="6206FEE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555</w:t>
            </w:r>
          </w:p>
        </w:tc>
        <w:tc>
          <w:tcPr>
            <w:tcW w:w="1128"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416D4CE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70</w:t>
            </w:r>
          </w:p>
        </w:tc>
        <w:tc>
          <w:tcPr>
            <w:tcW w:w="1127" w:type="dxa"/>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192C8FE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30</w:t>
            </w:r>
          </w:p>
        </w:tc>
        <w:tc>
          <w:tcPr>
            <w:tcW w:w="112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D99D4D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1128"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187AF0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w:t>
            </w:r>
          </w:p>
        </w:tc>
      </w:tr>
      <w:tr w:rsidRPr="00AE1B2B" w:rsidR="009D3FB5" w:rsidTr="009D3FB5" w14:paraId="64919FE3" w14:textId="77777777">
        <w:trPr>
          <w:trHeight w:val="20"/>
          <w:jc w:val="center"/>
        </w:trPr>
        <w:tc>
          <w:tcPr>
            <w:tcW w:w="8369" w:type="dxa"/>
            <w:gridSpan w:val="5"/>
            <w:tcBorders>
              <w:top w:val="nil"/>
              <w:left w:val="single" w:color="auto" w:sz="4" w:space="0"/>
              <w:bottom w:val="single" w:color="auto" w:sz="4" w:space="0"/>
              <w:right w:val="single" w:color="auto" w:sz="4" w:space="0"/>
            </w:tcBorders>
            <w:shd w:val="clear" w:color="auto" w:fill="808080" w:themeFill="background1" w:themeFillShade="80"/>
            <w:vAlign w:val="center"/>
          </w:tcPr>
          <w:p w:rsidRPr="00AE1B2B" w:rsidR="009D3FB5" w:rsidP="00163B94" w:rsidRDefault="009D3FB5" w14:paraId="59958095" w14:textId="77777777">
            <w:pPr>
              <w:spacing w:before="120" w:after="120" w:line="276" w:lineRule="auto"/>
              <w:jc w:val="right"/>
              <w:rPr>
                <w:rFonts w:ascii="Times New Roman" w:hAnsi="Times New Roman" w:eastAsia="Times New Roman" w:cs="Times New Roman"/>
                <w:lang w:eastAsia="es-CR"/>
              </w:rPr>
            </w:pPr>
            <w:r w:rsidRPr="00AE1B2B">
              <w:rPr>
                <w:rFonts w:ascii="Times New Roman" w:hAnsi="Times New Roman" w:eastAsia="Times New Roman" w:cs="Times New Roman"/>
                <w:b/>
                <w:lang w:eastAsia="es-CR"/>
              </w:rPr>
              <w:t>Promedio mensual por persona juzgadora</w:t>
            </w:r>
          </w:p>
        </w:tc>
        <w:tc>
          <w:tcPr>
            <w:tcW w:w="1128" w:type="dxa"/>
            <w:tcBorders>
              <w:top w:val="nil"/>
              <w:left w:val="nil"/>
              <w:bottom w:val="single" w:color="auto" w:sz="4" w:space="0"/>
              <w:right w:val="single" w:color="auto" w:sz="4" w:space="0"/>
            </w:tcBorders>
            <w:shd w:val="clear" w:color="auto" w:fill="808080" w:themeFill="background1" w:themeFillShade="80"/>
            <w:noWrap/>
            <w:vAlign w:val="center"/>
          </w:tcPr>
          <w:p w:rsidRPr="00AE1B2B" w:rsidR="009D3FB5" w:rsidP="00163B94" w:rsidRDefault="009D3FB5" w14:paraId="5772A78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b/>
                <w:lang w:eastAsia="es-CR"/>
              </w:rPr>
              <w:t>21</w:t>
            </w:r>
          </w:p>
        </w:tc>
      </w:tr>
    </w:tbl>
    <w:p w:rsidRPr="00AE1B2B" w:rsidR="009D3FB5" w:rsidP="00163B94" w:rsidRDefault="009D3FB5" w14:paraId="41AFA9FF"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Subproceso de Modernización Institucional, con datos de los Juzgados Especializados de Familia, del 2018 al 2019.</w:t>
      </w:r>
    </w:p>
    <w:p w:rsidRPr="00AE1B2B" w:rsidR="009D3FB5" w:rsidP="00163B94" w:rsidRDefault="009D3FB5" w14:paraId="0B19700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9EAC46E" w14:textId="77777777">
      <w:pPr>
        <w:spacing w:before="120" w:after="120"/>
        <w:ind w:left="851" w:right="851" w:firstLine="709"/>
        <w:jc w:val="both"/>
        <w:rPr>
          <w:rFonts w:ascii="Times New Roman" w:hAnsi="Times New Roman" w:eastAsia="Times New Roman" w:cs="Times New Roman"/>
          <w:sz w:val="26"/>
          <w:szCs w:val="26"/>
          <w:lang w:eastAsia="es-CR"/>
        </w:rPr>
      </w:pPr>
      <w:r w:rsidRPr="00AE1B2B">
        <w:rPr>
          <w:rFonts w:ascii="Times New Roman" w:hAnsi="Times New Roman" w:cs="Times New Roman"/>
          <w:sz w:val="26"/>
          <w:szCs w:val="26"/>
        </w:rPr>
        <w:t xml:space="preserve">Como se observa, durante el periodo analizado los Juzgados Especializados de Familia, realizan entre 10 a 33 audiencias al mes por persona juzgadora, para un promedio de 21 audiencias realizadas por mes por plaza. Valor que se puede tomar como referencia para la definición de la cuota de audiencias por mes, </w:t>
      </w:r>
      <w:r w:rsidRPr="00AE1B2B">
        <w:rPr>
          <w:rFonts w:ascii="Times New Roman" w:hAnsi="Times New Roman" w:eastAsia="Times New Roman" w:cs="Times New Roman"/>
          <w:sz w:val="26"/>
          <w:szCs w:val="26"/>
          <w:lang w:eastAsia="es-CR"/>
        </w:rPr>
        <w:t>pero que se definirá en el proceso de seguimiento de la materia por parte de esta Dirección en Coordinación con la Comisión de la Jurisdicción de Familia en el segundo semestre 2021</w:t>
      </w:r>
      <w:r w:rsidRPr="00AE1B2B">
        <w:rPr>
          <w:rFonts w:ascii="Times New Roman" w:hAnsi="Times New Roman" w:cs="Times New Roman"/>
          <w:sz w:val="26"/>
          <w:szCs w:val="26"/>
        </w:rPr>
        <w:t>. Es importante señalar que bajo el sistema de oralidad de CPF, se esperaría que se requiera de la realización de más audiencias, situación que debe ser analizada a futuro y comprobada en los abordajes a los despachos en materia Familia. Para justar de ser necesario esta cuota.</w:t>
      </w:r>
    </w:p>
    <w:p w:rsidRPr="00AE1B2B" w:rsidR="009D3FB5" w:rsidP="00163B94" w:rsidRDefault="009D3FB5" w14:paraId="6E7EA9A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C3EF82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6C3E370" w14:textId="3328E013">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Para el 2020, conforme al seguimiento realizado a la Jurisdición de Familia, debe considerarse lo expuesto en el oficio 1627-PLA-2020</w:t>
      </w:r>
      <w:r w:rsidRPr="00AE1B2B">
        <w:rPr>
          <w:rFonts w:ascii="Times New Roman" w:hAnsi="Times New Roman" w:cs="Times New Roman"/>
          <w:sz w:val="26"/>
          <w:szCs w:val="26"/>
          <w:lang w:val="es-MX"/>
        </w:rPr>
        <w:t xml:space="preserve">/ 371-CACMFJ-JEF-2020 del 16 de octubre 2020, así como lo indicado en el oficio 1992-PLA-EV-2020 de esta Dirección en donde se hace un resumen de los </w:t>
      </w:r>
      <w:r w:rsidRPr="00AE1B2B">
        <w:rPr>
          <w:rFonts w:ascii="Times New Roman" w:hAnsi="Times New Roman" w:cs="Times New Roman"/>
          <w:sz w:val="26"/>
          <w:szCs w:val="26"/>
        </w:rPr>
        <w:t>factores externos que han afectado al Poder Judicial en general, y por ende a los Juzgados de Familia e indicadores como la cantidad de audiencias programadas y celebradas.</w:t>
      </w:r>
      <w:r w:rsidRPr="00AE1B2B" w:rsidR="00BB7720">
        <w:rPr>
          <w:rFonts w:ascii="Times New Roman" w:hAnsi="Times New Roman" w:cs="Times New Roman"/>
          <w:sz w:val="26"/>
          <w:szCs w:val="26"/>
        </w:rPr>
        <w:t xml:space="preserve"> </w:t>
      </w:r>
    </w:p>
    <w:p w:rsidRPr="00AE1B2B" w:rsidR="009D3FB5" w:rsidP="00163B94" w:rsidRDefault="009D3FB5" w14:paraId="03F91AA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6803FC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continuación, se incluye un extracto del oficio 1992-PLA-EV-2020. </w:t>
      </w:r>
    </w:p>
    <w:p w:rsidRPr="00AE1B2B" w:rsidR="009D3FB5" w:rsidP="00163B94" w:rsidRDefault="009D3FB5" w14:paraId="011B773C"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15B9E64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p>
    <w:p w:rsidRPr="00AE1B2B" w:rsidR="009D3FB5" w:rsidP="00163B94" w:rsidRDefault="009D3FB5" w14:paraId="17C41574" w14:textId="77777777">
      <w:pPr>
        <w:numPr>
          <w:ilvl w:val="0"/>
          <w:numId w:val="82"/>
        </w:num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lang w:val="es-MX"/>
        </w:rPr>
        <w:t xml:space="preserve">Pandemia por Covid-19 ha afectado a todo el país y el Poder Judicial no es la excepción. </w:t>
      </w:r>
    </w:p>
    <w:p w:rsidRPr="00AE1B2B" w:rsidR="009D3FB5" w:rsidP="00163B94" w:rsidRDefault="009D3FB5" w14:paraId="5877B215" w14:textId="77777777">
      <w:pPr>
        <w:spacing w:before="120" w:after="120"/>
        <w:ind w:left="851" w:right="851" w:firstLine="709"/>
        <w:jc w:val="both"/>
        <w:rPr>
          <w:rFonts w:ascii="Times New Roman" w:hAnsi="Times New Roman" w:cs="Times New Roman"/>
          <w:i/>
          <w:iCs/>
          <w:sz w:val="26"/>
          <w:szCs w:val="26"/>
          <w:lang w:val="es-MX"/>
        </w:rPr>
      </w:pPr>
    </w:p>
    <w:p w:rsidRPr="00AE1B2B" w:rsidR="009D3FB5" w:rsidP="00163B94" w:rsidRDefault="009D3FB5" w14:paraId="02F7B4E6"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A continuación, se incluye un extracto del oficio 1627-PLA-2020 / 371-CACMFJ-JEF-2020 del 16 de octubre 2020 en donde se puede ver que en el mes de setiembre 14 oficinas de Familia presentaron medidas sanitarias por alerta naranja o amarilla. </w:t>
      </w:r>
    </w:p>
    <w:p w:rsidRPr="00AE1B2B" w:rsidR="009D3FB5" w:rsidP="00163B94" w:rsidRDefault="009D3FB5" w14:paraId="73E38E81" w14:textId="77777777">
      <w:pPr>
        <w:spacing w:before="120" w:after="120"/>
        <w:ind w:left="851" w:right="851" w:firstLine="709"/>
        <w:jc w:val="both"/>
        <w:rPr>
          <w:rFonts w:ascii="Times New Roman" w:hAnsi="Times New Roman" w:cs="Times New Roman"/>
          <w:i/>
          <w:iCs/>
          <w:sz w:val="26"/>
          <w:szCs w:val="26"/>
          <w:lang w:val="es-MX"/>
        </w:rPr>
      </w:pPr>
    </w:p>
    <w:p w:rsidRPr="00AE1B2B" w:rsidR="009D3FB5" w:rsidP="00163B94" w:rsidRDefault="009D3FB5" w14:paraId="7BDED87B"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w:t>
      </w:r>
    </w:p>
    <w:p w:rsidRPr="00AE1B2B" w:rsidR="009D3FB5" w:rsidP="00163B94" w:rsidRDefault="009D3FB5" w14:paraId="2F23F3ED" w14:textId="77777777">
      <w:pPr>
        <w:tabs>
          <w:tab w:val="left" w:pos="6804"/>
        </w:tabs>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Despachos ubicados en zonas catalogadas en alerta naranja durante el mes de septiembre</w:t>
      </w:r>
    </w:p>
    <w:p w:rsidRPr="00AE1B2B" w:rsidR="009D3FB5" w:rsidP="00163B94" w:rsidRDefault="009D3FB5" w14:paraId="11518DB6" w14:textId="77777777">
      <w:pPr>
        <w:tabs>
          <w:tab w:val="left" w:pos="6804"/>
        </w:tabs>
        <w:spacing w:before="120" w:after="120" w:line="256" w:lineRule="auto"/>
        <w:ind w:right="-141"/>
        <w:rPr>
          <w:rFonts w:ascii="Times New Roman" w:hAnsi="Times New Roman" w:cs="Times New Roman"/>
          <w:b/>
          <w:bCs/>
          <w:i/>
          <w:iCs/>
        </w:rPr>
      </w:pPr>
    </w:p>
    <w:p w:rsidRPr="00AE1B2B" w:rsidR="009D3FB5" w:rsidP="00163B94" w:rsidRDefault="009D3FB5" w14:paraId="00B644F4" w14:textId="77777777">
      <w:pPr>
        <w:spacing w:before="120" w:after="120"/>
        <w:ind w:right="-141"/>
        <w:rPr>
          <w:rFonts w:ascii="Times New Roman" w:hAnsi="Times New Roman" w:cs="Times New Roman"/>
          <w:i/>
          <w:iCs/>
        </w:rPr>
      </w:pPr>
      <w:r w:rsidRPr="00AE1B2B">
        <w:rPr>
          <w:rFonts w:ascii="Times New Roman" w:hAnsi="Times New Roman" w:cs="Times New Roman"/>
          <w:b/>
          <w:i/>
          <w:iCs/>
          <w:noProof/>
          <w:lang w:val="en-US"/>
        </w:rPr>
        <w:drawing>
          <wp:inline distT="0" distB="0" distL="0" distR="0" wp14:anchorId="7D3DA36B" wp14:editId="40B33668">
            <wp:extent cx="5227320" cy="2941320"/>
            <wp:effectExtent l="0" t="0" r="0" b="0"/>
            <wp:docPr id="1212768273" name="Imagen 121276827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273" name="Imagen 1212768273" descr="Mapa&#10;&#10;Descripción generada automáticamente"/>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227320" cy="2941320"/>
                    </a:xfrm>
                    <a:prstGeom prst="rect">
                      <a:avLst/>
                    </a:prstGeom>
                    <a:noFill/>
                    <a:ln>
                      <a:noFill/>
                    </a:ln>
                  </pic:spPr>
                </pic:pic>
              </a:graphicData>
            </a:graphic>
          </wp:inline>
        </w:drawing>
      </w:r>
    </w:p>
    <w:p w:rsidRPr="00AE1B2B" w:rsidR="009D3FB5" w:rsidP="00163B94" w:rsidRDefault="009D3FB5" w14:paraId="6B800334" w14:textId="77777777">
      <w:pPr>
        <w:spacing w:before="120" w:after="120"/>
        <w:rPr>
          <w:rFonts w:ascii="Times New Roman" w:hAnsi="Times New Roman" w:cs="Times New Roman"/>
          <w:i/>
          <w:iCs/>
        </w:rPr>
      </w:pPr>
    </w:p>
    <w:p w:rsidRPr="00AE1B2B" w:rsidR="009D3FB5" w:rsidP="00163B94" w:rsidRDefault="009D3FB5" w14:paraId="2907D56F"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En relación con los datos anteriores, es importante resaltar que a nivel de todo el Poder Judicial, se dio un leve aumento en lo que a despachos ubicados en zonas catalogadas en alerta naranja se refiere, ya que se pasó de 110 (45%) despachos en zona naranja en el mes de agosto, a 114 en el mes de setiembre; y de 133 (55%) en </w:t>
      </w:r>
      <w:r w:rsidRPr="00AE1B2B">
        <w:rPr>
          <w:rFonts w:ascii="Times New Roman" w:hAnsi="Times New Roman" w:cs="Times New Roman"/>
          <w:i/>
          <w:iCs/>
          <w:sz w:val="26"/>
          <w:szCs w:val="26"/>
        </w:rPr>
        <w:lastRenderedPageBreak/>
        <w:t>alerta amarilla, a 129 en setiembre, generando con ello que durante el mes de setiembre un 47% de los despachos se encontraran en zona catalogada en alerta naranja, y un 53% en zona de alerta amarilla.</w:t>
      </w:r>
    </w:p>
    <w:p w:rsidRPr="00AE1B2B" w:rsidR="009D3FB5" w:rsidP="00163B94" w:rsidRDefault="009D3FB5" w14:paraId="2C93C5CA"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p>
    <w:p w:rsidRPr="00AE1B2B" w:rsidR="009D3FB5" w:rsidP="00163B94" w:rsidRDefault="009D3FB5" w14:paraId="3C178E48"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6EBA26F6" w14:textId="77777777">
      <w:pPr>
        <w:numPr>
          <w:ilvl w:val="0"/>
          <w:numId w:val="82"/>
        </w:num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lang w:val="es-MX"/>
        </w:rPr>
        <w:t xml:space="preserve">Cierres colectivos y temporales que se han dado a nivel institucional, para desinfección y limpieza por casos positivos de Covid-19; o cantidad de personal en cuarentena. </w:t>
      </w:r>
    </w:p>
    <w:p w:rsidRPr="00AE1B2B" w:rsidR="009D3FB5" w:rsidP="00163B94" w:rsidRDefault="009D3FB5" w14:paraId="76759E28" w14:textId="77777777">
      <w:pPr>
        <w:spacing w:before="120" w:after="120"/>
        <w:ind w:left="851" w:right="851" w:firstLine="709"/>
        <w:jc w:val="both"/>
        <w:rPr>
          <w:rFonts w:ascii="Times New Roman" w:hAnsi="Times New Roman" w:cs="Times New Roman"/>
          <w:i/>
          <w:iCs/>
          <w:sz w:val="26"/>
          <w:szCs w:val="26"/>
          <w:lang w:val="es-MX"/>
        </w:rPr>
      </w:pPr>
    </w:p>
    <w:p w:rsidRPr="00AE1B2B" w:rsidR="009D3FB5" w:rsidP="00163B94" w:rsidRDefault="009D3FB5" w14:paraId="194148DD"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Según información aportada por la Dirección Ejecutiva en los oficios 2617-DE-2020, 2737-DE-2020, 2793-DE-2020, 2883-DE-2020, 2963-DE-2020, 3042-DE-2020, 3125-DE-2020, 3184-DE-2020, 3372-DE-2020, 3271-DE-2020, 3282-DE-2020, 3541-DE-2020, 3637-DE-2020, 3716-DE-2020, 3828-DE-2020, 4302-DE-2020, 3927-DE-2020, 4092-DE-2020 y 4195-DE-2020, 2250-DE-2020, 2342-DE-2020, 2535-DE-2020 y 4015-DE-2020; se han realizado cierres temporales para limpieza profunda y desinfección por prevención, al tener conocimiento de casa confirmados o probables de casos de Covid-19 en las siguientes oficinas competentes en Familia o Pensiones Alimentarias del 17 de marzo al finalizar noviembre 2020: </w:t>
      </w:r>
    </w:p>
    <w:p w:rsidRPr="00AE1B2B" w:rsidR="009D3FB5" w:rsidP="00163B94" w:rsidRDefault="009D3FB5" w14:paraId="78950226" w14:textId="77777777">
      <w:pPr>
        <w:spacing w:before="120" w:after="120"/>
        <w:ind w:left="851" w:right="851" w:firstLine="709"/>
        <w:jc w:val="both"/>
        <w:rPr>
          <w:rFonts w:ascii="Times New Roman" w:hAnsi="Times New Roman" w:cs="Times New Roman"/>
          <w:i/>
          <w:iCs/>
          <w:sz w:val="26"/>
          <w:szCs w:val="26"/>
          <w:lang w:val="es-MX"/>
        </w:rPr>
      </w:pPr>
    </w:p>
    <w:p w:rsidRPr="00AE1B2B" w:rsidR="009D3FB5" w:rsidP="00163B94" w:rsidRDefault="009D3FB5" w14:paraId="07807108"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Pensiones Alimentarias del Segundo Circuito Judicial de San José (2 ocasiones)</w:t>
      </w:r>
    </w:p>
    <w:p w:rsidRPr="00AE1B2B" w:rsidR="009D3FB5" w:rsidP="00163B94" w:rsidRDefault="009D3FB5" w14:paraId="657CF1E2"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Familia de Alajuela (3 ocasiones)</w:t>
      </w:r>
    </w:p>
    <w:p w:rsidRPr="00AE1B2B" w:rsidR="009D3FB5" w:rsidP="00163B94" w:rsidRDefault="009D3FB5" w14:paraId="05584ADD"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Contravencional de Zarcero</w:t>
      </w:r>
    </w:p>
    <w:p w:rsidRPr="00AE1B2B" w:rsidR="009D3FB5" w:rsidP="00163B94" w:rsidRDefault="009D3FB5" w14:paraId="273CB902"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Familia y Violencia Doméstica de Grecia</w:t>
      </w:r>
    </w:p>
    <w:p w:rsidRPr="00AE1B2B" w:rsidR="009D3FB5" w:rsidP="00163B94" w:rsidRDefault="009D3FB5" w14:paraId="5F924875"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Juzgado de Pensiones Alimentarias del Tercer Circuito Judicial de San José </w:t>
      </w:r>
    </w:p>
    <w:p w:rsidRPr="00AE1B2B" w:rsidR="009D3FB5" w:rsidP="00163B94" w:rsidRDefault="009D3FB5" w14:paraId="09F29C54"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Contravencional de Palmares</w:t>
      </w:r>
    </w:p>
    <w:p w:rsidRPr="00AE1B2B" w:rsidR="009D3FB5" w:rsidP="00163B94" w:rsidRDefault="009D3FB5" w14:paraId="3B64049A"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Pensiones de Desamparados (2 ocasiones)</w:t>
      </w:r>
    </w:p>
    <w:p w:rsidRPr="00AE1B2B" w:rsidR="009D3FB5" w:rsidP="00163B94" w:rsidRDefault="009D3FB5" w14:paraId="071169BB"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Familia y Violencia Doméstica de Santa Cruz</w:t>
      </w:r>
    </w:p>
    <w:p w:rsidRPr="00AE1B2B" w:rsidR="009D3FB5" w:rsidP="00163B94" w:rsidRDefault="009D3FB5" w14:paraId="4211DFFC"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Contravencional de Alajuelita</w:t>
      </w:r>
    </w:p>
    <w:p w:rsidRPr="00AE1B2B" w:rsidR="009D3FB5" w:rsidP="00163B94" w:rsidRDefault="009D3FB5" w14:paraId="42CA911A"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Familia y Violencia Doméstica de Turrialba</w:t>
      </w:r>
    </w:p>
    <w:p w:rsidRPr="00AE1B2B" w:rsidR="009D3FB5" w:rsidP="00163B94" w:rsidRDefault="009D3FB5" w14:paraId="702D6204"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lastRenderedPageBreak/>
        <w:t>Juzgado de Pensiones de Limón (5 ocasiones)</w:t>
      </w:r>
    </w:p>
    <w:p w:rsidRPr="00AE1B2B" w:rsidR="009D3FB5" w:rsidP="00163B94" w:rsidRDefault="009D3FB5" w14:paraId="18162FE9"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Familia de Limón</w:t>
      </w:r>
    </w:p>
    <w:p w:rsidRPr="00AE1B2B" w:rsidR="009D3FB5" w:rsidP="00163B94" w:rsidRDefault="009D3FB5" w14:paraId="2638CC3F"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Contravencional de Atenas (2 ocasiones)</w:t>
      </w:r>
    </w:p>
    <w:p w:rsidRPr="00AE1B2B" w:rsidR="009D3FB5" w:rsidP="00163B94" w:rsidRDefault="009D3FB5" w14:paraId="6C00551D"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Contravencional de Golfito (2 ocasiones)</w:t>
      </w:r>
    </w:p>
    <w:p w:rsidRPr="00AE1B2B" w:rsidR="009D3FB5" w:rsidP="00163B94" w:rsidRDefault="009D3FB5" w14:paraId="63CE3DA2"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Pensiones y Violencia Doméstica de Escazú (3 ocasiones)</w:t>
      </w:r>
    </w:p>
    <w:p w:rsidRPr="00AE1B2B" w:rsidR="009D3FB5" w:rsidP="00163B94" w:rsidRDefault="009D3FB5" w14:paraId="7A1F52AE"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Contravencional de Matina (2 ocasiones)</w:t>
      </w:r>
    </w:p>
    <w:p w:rsidRPr="00AE1B2B" w:rsidR="009D3FB5" w:rsidP="00163B94" w:rsidRDefault="009D3FB5" w14:paraId="1EB3CD75"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Familia y Violencia Doméstica de Nicoya (2 ocasiones)</w:t>
      </w:r>
    </w:p>
    <w:p w:rsidRPr="00AE1B2B" w:rsidR="009D3FB5" w:rsidP="00163B94" w:rsidRDefault="009D3FB5" w14:paraId="72DDB8E0"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Contravencional de Esparza (3 ocasiones)</w:t>
      </w:r>
    </w:p>
    <w:p w:rsidRPr="00AE1B2B" w:rsidR="009D3FB5" w:rsidP="00163B94" w:rsidRDefault="009D3FB5" w14:paraId="3F0A4C22"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Familia y Violencia Doméstica de San Ramón (3 ocasiones)</w:t>
      </w:r>
    </w:p>
    <w:p w:rsidRPr="00AE1B2B" w:rsidR="009D3FB5" w:rsidP="00163B94" w:rsidRDefault="009D3FB5" w14:paraId="0917776B"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Pensiones de Santa Cruz (2 ocasiones)</w:t>
      </w:r>
    </w:p>
    <w:p w:rsidRPr="00AE1B2B" w:rsidR="009D3FB5" w:rsidP="00163B94" w:rsidRDefault="009D3FB5" w14:paraId="644CE6C9"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Contravencional de Montes de Oro (2 ocasiones)</w:t>
      </w:r>
    </w:p>
    <w:p w:rsidRPr="00AE1B2B" w:rsidR="009D3FB5" w:rsidP="00163B94" w:rsidRDefault="009D3FB5" w14:paraId="753E9F95"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Familia de Hatillo (2 ocasiones)</w:t>
      </w:r>
    </w:p>
    <w:p w:rsidRPr="00AE1B2B" w:rsidR="009D3FB5" w:rsidP="00163B94" w:rsidRDefault="009D3FB5" w14:paraId="7E7D0CEA"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Segundo de Familia de San José</w:t>
      </w:r>
    </w:p>
    <w:p w:rsidRPr="00AE1B2B" w:rsidR="009D3FB5" w:rsidP="00163B94" w:rsidRDefault="009D3FB5" w14:paraId="1E655B88"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Familia de Puntarenas (3 ocasiones)</w:t>
      </w:r>
    </w:p>
    <w:p w:rsidRPr="00AE1B2B" w:rsidR="009D3FB5" w:rsidP="00163B94" w:rsidRDefault="009D3FB5" w14:paraId="317520E3"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Contravencional de Guácimo</w:t>
      </w:r>
    </w:p>
    <w:p w:rsidRPr="00AE1B2B" w:rsidR="009D3FB5" w:rsidP="00163B94" w:rsidRDefault="009D3FB5" w14:paraId="757B6BF2"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Contravencional de Guatuso</w:t>
      </w:r>
    </w:p>
    <w:p w:rsidRPr="00AE1B2B" w:rsidR="009D3FB5" w:rsidP="00163B94" w:rsidRDefault="009D3FB5" w14:paraId="1AE907B2"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Pensiones de San José (3 ocasiones)</w:t>
      </w:r>
    </w:p>
    <w:p w:rsidRPr="00AE1B2B" w:rsidR="009D3FB5" w:rsidP="00163B94" w:rsidRDefault="009D3FB5" w14:paraId="78D8F6FA"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Contravencional de Bribrí</w:t>
      </w:r>
    </w:p>
    <w:p w:rsidRPr="00AE1B2B" w:rsidR="009D3FB5" w:rsidP="00163B94" w:rsidRDefault="009D3FB5" w14:paraId="3687C151"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Pensiones de Alajuela</w:t>
      </w:r>
    </w:p>
    <w:p w:rsidRPr="00AE1B2B" w:rsidR="009D3FB5" w:rsidP="00163B94" w:rsidRDefault="009D3FB5" w14:paraId="11101ADE"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Contravencional de Santa Ana (2 ocasiones)</w:t>
      </w:r>
    </w:p>
    <w:p w:rsidRPr="00AE1B2B" w:rsidR="009D3FB5" w:rsidP="00163B94" w:rsidRDefault="009D3FB5" w14:paraId="31E37357"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Pensiones de Sarapiquí</w:t>
      </w:r>
    </w:p>
    <w:p w:rsidRPr="00AE1B2B" w:rsidR="009D3FB5" w:rsidP="00163B94" w:rsidRDefault="009D3FB5" w14:paraId="7DCCAF63"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Niñez y Adolescencia</w:t>
      </w:r>
    </w:p>
    <w:p w:rsidRPr="00AE1B2B" w:rsidR="009D3FB5" w:rsidP="00163B94" w:rsidRDefault="009D3FB5" w14:paraId="3071608D"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Familia del Segundo Circuito Judicial de Alajuela</w:t>
      </w:r>
    </w:p>
    <w:p w:rsidRPr="00AE1B2B" w:rsidR="009D3FB5" w:rsidP="00163B94" w:rsidRDefault="009D3FB5" w14:paraId="0891D72B"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Pensiones de Puntarenas (2 ocasiones)</w:t>
      </w:r>
    </w:p>
    <w:p w:rsidRPr="00AE1B2B" w:rsidR="009D3FB5" w:rsidP="00163B94" w:rsidRDefault="009D3FB5" w14:paraId="5DF84D35"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Familia y Violencia Doméstica de Liberia</w:t>
      </w:r>
    </w:p>
    <w:p w:rsidRPr="00AE1B2B" w:rsidR="009D3FB5" w:rsidP="00163B94" w:rsidRDefault="009D3FB5" w14:paraId="19B6DA20"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Contravencional de Garabito</w:t>
      </w:r>
    </w:p>
    <w:p w:rsidRPr="00AE1B2B" w:rsidR="009D3FB5" w:rsidP="00163B94" w:rsidRDefault="009D3FB5" w14:paraId="16DAB85F"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lastRenderedPageBreak/>
        <w:t>Juzgado Contravencional de Carrillo</w:t>
      </w:r>
    </w:p>
    <w:p w:rsidRPr="00AE1B2B" w:rsidR="009D3FB5" w:rsidP="00163B94" w:rsidRDefault="009D3FB5" w14:paraId="5FDFD792"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Contravencional de Santo Domingo (2 ocasiones)</w:t>
      </w:r>
    </w:p>
    <w:p w:rsidRPr="00AE1B2B" w:rsidR="009D3FB5" w:rsidP="00163B94" w:rsidRDefault="009D3FB5" w14:paraId="295DEBAF"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Familia de Pococi</w:t>
      </w:r>
    </w:p>
    <w:p w:rsidRPr="00AE1B2B" w:rsidR="009D3FB5" w:rsidP="00163B94" w:rsidRDefault="009D3FB5" w14:paraId="132764C8"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PISAV de Siquirres</w:t>
      </w:r>
    </w:p>
    <w:p w:rsidRPr="00AE1B2B" w:rsidR="009D3FB5" w:rsidP="00163B94" w:rsidRDefault="009D3FB5" w14:paraId="6951F5B7"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de Familia de Desamparados</w:t>
      </w:r>
    </w:p>
    <w:p w:rsidRPr="00AE1B2B" w:rsidR="009D3FB5" w:rsidP="00163B94" w:rsidRDefault="009D3FB5" w14:paraId="084C5C01" w14:textId="77777777">
      <w:pPr>
        <w:numPr>
          <w:ilvl w:val="0"/>
          <w:numId w:val="83"/>
        </w:num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Juzgado Contravencional de San Rafael</w:t>
      </w:r>
    </w:p>
    <w:p w:rsidRPr="00AE1B2B" w:rsidR="009D3FB5" w:rsidP="00163B94" w:rsidRDefault="009D3FB5" w14:paraId="747242C4" w14:textId="77777777">
      <w:pPr>
        <w:spacing w:before="120" w:after="120"/>
        <w:ind w:left="851" w:right="851" w:firstLine="709"/>
        <w:jc w:val="both"/>
        <w:rPr>
          <w:rFonts w:ascii="Times New Roman" w:hAnsi="Times New Roman" w:cs="Times New Roman"/>
          <w:i/>
          <w:iCs/>
          <w:sz w:val="26"/>
          <w:szCs w:val="26"/>
          <w:lang w:val="es-MX"/>
        </w:rPr>
      </w:pPr>
    </w:p>
    <w:p w:rsidRPr="00AE1B2B" w:rsidR="009D3FB5" w:rsidP="00163B94" w:rsidRDefault="009D3FB5" w14:paraId="5E784014" w14:textId="77777777">
      <w:pPr>
        <w:spacing w:before="120" w:after="120"/>
        <w:ind w:left="851" w:right="851" w:firstLine="709"/>
        <w:jc w:val="both"/>
        <w:rPr>
          <w:rFonts w:ascii="Times New Roman" w:hAnsi="Times New Roman" w:cs="Times New Roman"/>
          <w:i/>
          <w:iCs/>
          <w:sz w:val="26"/>
          <w:szCs w:val="26"/>
          <w:lang w:val="es-MX"/>
        </w:rPr>
      </w:pPr>
    </w:p>
    <w:p w:rsidRPr="00AE1B2B" w:rsidR="009D3FB5" w:rsidP="00163B94" w:rsidRDefault="009D3FB5" w14:paraId="463F283D" w14:textId="77777777">
      <w:pPr>
        <w:numPr>
          <w:ilvl w:val="0"/>
          <w:numId w:val="82"/>
        </w:num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lang w:val="es-MX"/>
        </w:rPr>
        <w:t xml:space="preserve">Cantidad de personas asignadas a la labor de inventarios por la oficina, ya que tienen como prioridad la atención al público y el trámite de asuntos. </w:t>
      </w:r>
    </w:p>
    <w:p w:rsidRPr="00AE1B2B" w:rsidR="009D3FB5" w:rsidP="00163B94" w:rsidRDefault="009D3FB5" w14:paraId="7FF7985A"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589CBFFC"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En este punto, es necesario hacer referencia a lo indicado en el oficio 1627-PLA-2020 / 371-CACMFJ-JEF-2020 del 16 de octubre 2020 en donde respecto a la Jurisdicción de Familia (Familia, Pensiones Alimentarias y Violencia Doméstica) se indican las siguientes actividades desarrolladas entre agosto y septiembre:</w:t>
      </w:r>
    </w:p>
    <w:p w:rsidRPr="00AE1B2B" w:rsidR="009D3FB5" w:rsidP="00163B94" w:rsidRDefault="009D3FB5" w14:paraId="107E1A2A" w14:textId="77777777">
      <w:pPr>
        <w:spacing w:before="120" w:after="120"/>
        <w:ind w:left="851" w:right="851" w:firstLine="709"/>
        <w:jc w:val="both"/>
        <w:rPr>
          <w:rFonts w:ascii="Times New Roman" w:hAnsi="Times New Roman" w:cs="Times New Roman"/>
          <w:i/>
          <w:iCs/>
          <w:sz w:val="26"/>
          <w:szCs w:val="26"/>
          <w:lang w:val="es-MX"/>
        </w:rPr>
      </w:pPr>
    </w:p>
    <w:p w:rsidRPr="00AE1B2B" w:rsidR="009D3FB5" w:rsidP="00163B94" w:rsidRDefault="009D3FB5" w14:paraId="50BE7B26" w14:textId="77777777">
      <w:pPr>
        <w:spacing w:before="120" w:after="120"/>
        <w:ind w:left="851" w:right="851" w:firstLine="709"/>
        <w:jc w:val="both"/>
        <w:rPr>
          <w:rFonts w:ascii="Times New Roman" w:hAnsi="Times New Roman" w:cs="Times New Roman"/>
          <w:i/>
          <w:iCs/>
          <w:sz w:val="26"/>
          <w:szCs w:val="26"/>
          <w:lang w:val="es-MX"/>
        </w:rPr>
      </w:pPr>
    </w:p>
    <w:p w:rsidRPr="00AE1B2B" w:rsidR="009D3FB5" w:rsidP="00163B94" w:rsidRDefault="009D3FB5" w14:paraId="36873BFE" w14:textId="77777777">
      <w:pPr>
        <w:spacing w:before="120" w:after="120"/>
        <w:ind w:left="851" w:right="851" w:firstLine="709"/>
        <w:jc w:val="both"/>
        <w:rPr>
          <w:rFonts w:ascii="Times New Roman" w:hAnsi="Times New Roman" w:cs="Times New Roman"/>
          <w:i/>
          <w:iCs/>
          <w:sz w:val="26"/>
          <w:szCs w:val="26"/>
          <w:lang w:val="es-MX"/>
        </w:rPr>
      </w:pPr>
    </w:p>
    <w:p w:rsidRPr="00AE1B2B" w:rsidR="009D3FB5" w:rsidP="00163B94" w:rsidRDefault="009D3FB5" w14:paraId="7D155B48" w14:textId="77777777">
      <w:pPr>
        <w:spacing w:before="120" w:after="120"/>
        <w:ind w:left="851" w:right="851" w:firstLine="709"/>
        <w:jc w:val="both"/>
        <w:rPr>
          <w:rFonts w:ascii="Times New Roman" w:hAnsi="Times New Roman" w:cs="Times New Roman"/>
          <w:i/>
          <w:iCs/>
          <w:sz w:val="26"/>
          <w:szCs w:val="26"/>
          <w:lang w:val="es-MX"/>
        </w:rPr>
      </w:pPr>
    </w:p>
    <w:p w:rsidRPr="00AE1B2B" w:rsidR="009D3FB5" w:rsidP="00163B94" w:rsidRDefault="009D3FB5" w14:paraId="375BDB75"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w:t>
      </w:r>
    </w:p>
    <w:p w:rsidRPr="00AE1B2B" w:rsidR="009D3FB5" w:rsidP="00163B94" w:rsidRDefault="009D3FB5" w14:paraId="59FEEC8C" w14:textId="77777777">
      <w:pPr>
        <w:spacing w:before="120" w:after="120" w:line="276" w:lineRule="auto"/>
        <w:ind w:left="426" w:right="566"/>
        <w:rPr>
          <w:rFonts w:ascii="Times New Roman" w:hAnsi="Times New Roman" w:cs="Times New Roman"/>
          <w:i/>
          <w:iCs/>
          <w:sz w:val="24"/>
          <w:szCs w:val="24"/>
          <w:lang w:val="es-MX"/>
        </w:rPr>
      </w:pPr>
    </w:p>
    <w:p w:rsidRPr="00AE1B2B" w:rsidR="009D3FB5" w:rsidP="00163B94" w:rsidRDefault="009D3FB5" w14:paraId="23C596EB" w14:textId="77777777">
      <w:pPr>
        <w:spacing w:before="120" w:after="120"/>
        <w:ind w:left="426" w:right="566"/>
        <w:jc w:val="center"/>
        <w:rPr>
          <w:rFonts w:ascii="Times New Roman" w:hAnsi="Times New Roman" w:cs="Times New Roman"/>
          <w:i/>
          <w:iCs/>
        </w:rPr>
      </w:pPr>
      <w:r w:rsidRPr="00AE1B2B">
        <w:rPr>
          <w:rFonts w:ascii="Times New Roman" w:hAnsi="Times New Roman" w:cs="Times New Roman"/>
          <w:i/>
          <w:iCs/>
          <w:noProof/>
          <w:lang w:val="en-US"/>
        </w:rPr>
        <w:lastRenderedPageBreak/>
        <w:drawing>
          <wp:inline distT="0" distB="0" distL="0" distR="0" wp14:anchorId="363B1B68" wp14:editId="149746A4">
            <wp:extent cx="5612130" cy="2820670"/>
            <wp:effectExtent l="0" t="0" r="7620" b="0"/>
            <wp:docPr id="1212768274" name="Imagen 1212768274"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274" name="Imagen 1212768274" descr="Escala de tiempo&#10;&#10;Descripción generada automáticamente"/>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12130" cy="2820670"/>
                    </a:xfrm>
                    <a:prstGeom prst="rect">
                      <a:avLst/>
                    </a:prstGeom>
                    <a:noFill/>
                    <a:ln>
                      <a:noFill/>
                    </a:ln>
                  </pic:spPr>
                </pic:pic>
              </a:graphicData>
            </a:graphic>
          </wp:inline>
        </w:drawing>
      </w:r>
    </w:p>
    <w:p w:rsidRPr="00AE1B2B" w:rsidR="009D3FB5" w:rsidP="00163B94" w:rsidRDefault="009D3FB5" w14:paraId="6E3B89F6" w14:textId="77777777">
      <w:pPr>
        <w:spacing w:before="120" w:after="120"/>
        <w:ind w:left="426" w:right="566"/>
        <w:jc w:val="center"/>
        <w:rPr>
          <w:rFonts w:ascii="Times New Roman" w:hAnsi="Times New Roman" w:cs="Times New Roman"/>
          <w:i/>
          <w:iCs/>
          <w:sz w:val="16"/>
          <w:szCs w:val="16"/>
        </w:rPr>
      </w:pPr>
      <w:r w:rsidRPr="00AE1B2B">
        <w:rPr>
          <w:rFonts w:ascii="Times New Roman" w:hAnsi="Times New Roman" w:cs="Times New Roman"/>
          <w:i/>
          <w:iCs/>
          <w:noProof/>
          <w:sz w:val="16"/>
          <w:szCs w:val="16"/>
        </w:rPr>
        <w:t>Fuente: Información suministrada por los despachos mediante la matriz de informe de labores semanal.</w:t>
      </w:r>
    </w:p>
    <w:p w:rsidRPr="00AE1B2B" w:rsidR="009D3FB5" w:rsidP="00163B94" w:rsidRDefault="009D3FB5" w14:paraId="7D28A557" w14:textId="77777777">
      <w:pPr>
        <w:spacing w:before="120" w:after="120" w:line="276" w:lineRule="auto"/>
        <w:ind w:left="426" w:right="566"/>
        <w:rPr>
          <w:rFonts w:ascii="Times New Roman" w:hAnsi="Times New Roman" w:cs="Times New Roman"/>
          <w:i/>
          <w:iCs/>
          <w:sz w:val="24"/>
          <w:szCs w:val="24"/>
          <w:highlight w:val="yellow"/>
        </w:rPr>
      </w:pPr>
    </w:p>
    <w:p w:rsidRPr="00AE1B2B" w:rsidR="009D3FB5" w:rsidP="00163B94" w:rsidRDefault="009D3FB5" w14:paraId="1B5BE7EE" w14:textId="77777777">
      <w:pPr>
        <w:spacing w:before="120" w:after="120" w:line="276" w:lineRule="auto"/>
        <w:ind w:left="426" w:right="566"/>
        <w:rPr>
          <w:rFonts w:ascii="Times New Roman" w:hAnsi="Times New Roman" w:cs="Times New Roman"/>
          <w:i/>
          <w:iCs/>
          <w:sz w:val="24"/>
          <w:szCs w:val="24"/>
          <w:highlight w:val="yellow"/>
        </w:rPr>
      </w:pPr>
    </w:p>
    <w:p w:rsidRPr="00AE1B2B" w:rsidR="009D3FB5" w:rsidP="00163B94" w:rsidRDefault="009D3FB5" w14:paraId="2FDD498A" w14:textId="77777777">
      <w:pPr>
        <w:spacing w:before="120" w:after="120"/>
        <w:ind w:left="426" w:right="566"/>
        <w:jc w:val="center"/>
        <w:rPr>
          <w:rFonts w:ascii="Times New Roman" w:hAnsi="Times New Roman" w:cs="Times New Roman"/>
          <w:i/>
          <w:iCs/>
          <w:noProof/>
        </w:rPr>
      </w:pPr>
      <w:r w:rsidRPr="00AE1B2B">
        <w:rPr>
          <w:rFonts w:ascii="Times New Roman" w:hAnsi="Times New Roman" w:cs="Times New Roman"/>
          <w:i/>
          <w:iCs/>
          <w:noProof/>
          <w:lang w:val="en-US"/>
        </w:rPr>
        <w:drawing>
          <wp:inline distT="0" distB="0" distL="0" distR="0" wp14:anchorId="0A7DBD99" wp14:editId="14DF5D05">
            <wp:extent cx="5612130" cy="2769235"/>
            <wp:effectExtent l="0" t="0" r="7620" b="0"/>
            <wp:docPr id="1212768275" name="Imagen 1212768275"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275" name="Imagen 1212768275" descr="Escala de tiempo&#10;&#10;Descripción generada automáticament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12130" cy="2769235"/>
                    </a:xfrm>
                    <a:prstGeom prst="rect">
                      <a:avLst/>
                    </a:prstGeom>
                    <a:noFill/>
                    <a:ln>
                      <a:noFill/>
                    </a:ln>
                  </pic:spPr>
                </pic:pic>
              </a:graphicData>
            </a:graphic>
          </wp:inline>
        </w:drawing>
      </w:r>
    </w:p>
    <w:p w:rsidRPr="00AE1B2B" w:rsidR="009D3FB5" w:rsidP="00163B94" w:rsidRDefault="009D3FB5" w14:paraId="575AEFD3" w14:textId="77777777">
      <w:pPr>
        <w:spacing w:before="120" w:after="120"/>
        <w:ind w:left="426" w:right="566"/>
        <w:rPr>
          <w:rFonts w:ascii="Times New Roman" w:hAnsi="Times New Roman" w:cs="Times New Roman"/>
          <w:i/>
          <w:iCs/>
          <w:noProof/>
          <w:sz w:val="16"/>
          <w:szCs w:val="16"/>
        </w:rPr>
      </w:pPr>
      <w:r w:rsidRPr="00AE1B2B">
        <w:rPr>
          <w:rFonts w:ascii="Times New Roman" w:hAnsi="Times New Roman" w:cs="Times New Roman"/>
          <w:i/>
          <w:iCs/>
          <w:noProof/>
          <w:sz w:val="16"/>
          <w:szCs w:val="16"/>
        </w:rPr>
        <w:t>Fuente: Información suministrada por los despachos mediante la matriz de informe de labores semanal.</w:t>
      </w:r>
    </w:p>
    <w:p w:rsidRPr="00AE1B2B" w:rsidR="009D3FB5" w:rsidP="00163B94" w:rsidRDefault="009D3FB5" w14:paraId="56AF5070" w14:textId="77777777">
      <w:pPr>
        <w:spacing w:before="120" w:after="120" w:line="276" w:lineRule="auto"/>
        <w:ind w:left="426" w:right="566"/>
        <w:rPr>
          <w:rFonts w:ascii="Times New Roman" w:hAnsi="Times New Roman" w:cs="Times New Roman"/>
          <w:i/>
          <w:iCs/>
          <w:sz w:val="24"/>
          <w:szCs w:val="24"/>
          <w:highlight w:val="yellow"/>
        </w:rPr>
      </w:pPr>
    </w:p>
    <w:p w:rsidRPr="00AE1B2B" w:rsidR="009D3FB5" w:rsidP="00163B94" w:rsidRDefault="009D3FB5" w14:paraId="1EADA9EA"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En los siguientes cuadros de puede apreciar un análisis de las principales actividades realizadas por la jurisdicción de Familia desde el 13 de abril hasta el 25 de septiembre 2020:</w:t>
      </w:r>
    </w:p>
    <w:p w:rsidRPr="00AE1B2B" w:rsidR="009D3FB5" w:rsidP="00163B94" w:rsidRDefault="009D3FB5" w14:paraId="075C2597" w14:textId="77777777">
      <w:pPr>
        <w:spacing w:before="120" w:after="120" w:line="276" w:lineRule="auto"/>
        <w:ind w:left="426" w:right="566"/>
        <w:jc w:val="center"/>
        <w:rPr>
          <w:rFonts w:ascii="Times New Roman" w:hAnsi="Times New Roman" w:cs="Times New Roman"/>
          <w:i/>
          <w:iCs/>
        </w:rPr>
      </w:pPr>
      <w:r w:rsidRPr="00AE1B2B">
        <w:rPr>
          <w:rFonts w:ascii="Times New Roman" w:hAnsi="Times New Roman" w:cs="Times New Roman"/>
          <w:i/>
          <w:iCs/>
        </w:rPr>
        <w:lastRenderedPageBreak/>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"cid:image002.jpg@01D6C8B9.3AA19020" \* MERGEFORMATINET </w:instrText>
      </w:r>
      <w:r w:rsidRPr="00AE1B2B">
        <w:rPr>
          <w:rFonts w:ascii="Times New Roman" w:hAnsi="Times New Roman" w:cs="Times New Roman"/>
          <w:i/>
          <w:iCs/>
        </w:rPr>
        <w:fldChar w:fldCharType="separate"/>
      </w:r>
      <w:r w:rsidRPr="00AE1B2B" w:rsidR="003979DE">
        <w:rPr>
          <w:rFonts w:ascii="Times New Roman" w:hAnsi="Times New Roman" w:cs="Times New Roman"/>
          <w:i/>
          <w:iCs/>
        </w:rPr>
        <w:fldChar w:fldCharType="begin"/>
      </w:r>
      <w:r w:rsidRPr="00AE1B2B" w:rsidR="003979DE">
        <w:rPr>
          <w:rFonts w:ascii="Times New Roman" w:hAnsi="Times New Roman" w:cs="Times New Roman"/>
          <w:i/>
          <w:iCs/>
        </w:rPr>
        <w:instrText xml:space="preserve"> INCLUDEPICTURE  "cid:image002.jpg@01D6C8B9.3AA19020" \* MERGEFORMATINET </w:instrText>
      </w:r>
      <w:r w:rsidRPr="00AE1B2B" w:rsidR="003979DE">
        <w:rPr>
          <w:rFonts w:ascii="Times New Roman" w:hAnsi="Times New Roman" w:cs="Times New Roman"/>
          <w:i/>
          <w:iCs/>
        </w:rPr>
        <w:fldChar w:fldCharType="separate"/>
      </w:r>
      <w:r w:rsidRPr="00AE1B2B" w:rsidR="002F7DC8">
        <w:rPr>
          <w:rFonts w:ascii="Times New Roman" w:hAnsi="Times New Roman" w:cs="Times New Roman"/>
          <w:i/>
          <w:iCs/>
        </w:rPr>
        <w:fldChar w:fldCharType="begin"/>
      </w:r>
      <w:r w:rsidRPr="00AE1B2B" w:rsidR="002F7DC8">
        <w:rPr>
          <w:rFonts w:ascii="Times New Roman" w:hAnsi="Times New Roman" w:cs="Times New Roman"/>
          <w:i/>
          <w:iCs/>
        </w:rPr>
        <w:instrText xml:space="preserve"> INCLUDEPICTURE  "cid:image002.jpg@01D6C8B9.3AA19020" \* MERGEFORMATINET </w:instrText>
      </w:r>
      <w:r w:rsidRPr="00AE1B2B" w:rsidR="002F7DC8">
        <w:rPr>
          <w:rFonts w:ascii="Times New Roman" w:hAnsi="Times New Roman" w:cs="Times New Roman"/>
          <w:i/>
          <w:iCs/>
        </w:rPr>
        <w:fldChar w:fldCharType="separate"/>
      </w:r>
      <w:r w:rsidRPr="00AE1B2B" w:rsidR="000458B6">
        <w:rPr>
          <w:rFonts w:ascii="Times New Roman" w:hAnsi="Times New Roman" w:cs="Times New Roman"/>
          <w:i/>
          <w:iCs/>
        </w:rPr>
        <w:fldChar w:fldCharType="begin"/>
      </w:r>
      <w:r w:rsidRPr="00AE1B2B" w:rsidR="000458B6">
        <w:rPr>
          <w:rFonts w:ascii="Times New Roman" w:hAnsi="Times New Roman" w:cs="Times New Roman"/>
          <w:i/>
          <w:iCs/>
        </w:rPr>
        <w:instrText xml:space="preserve"> INCLUDEPICTURE  "cid:image002.jpg@01D6C8B9.3AA19020" \* MERGEFORMATINET </w:instrText>
      </w:r>
      <w:r w:rsidRPr="00AE1B2B" w:rsidR="000458B6">
        <w:rPr>
          <w:rFonts w:ascii="Times New Roman" w:hAnsi="Times New Roman" w:cs="Times New Roman"/>
          <w:i/>
          <w:iCs/>
        </w:rPr>
        <w:fldChar w:fldCharType="separate"/>
      </w:r>
      <w:r w:rsidRPr="00AE1B2B" w:rsidR="00A57DFB">
        <w:rPr>
          <w:rFonts w:ascii="Times New Roman" w:hAnsi="Times New Roman" w:cs="Times New Roman"/>
          <w:i/>
          <w:iCs/>
        </w:rPr>
        <w:fldChar w:fldCharType="begin"/>
      </w:r>
      <w:r w:rsidRPr="00AE1B2B" w:rsidR="00A57DFB">
        <w:rPr>
          <w:rFonts w:ascii="Times New Roman" w:hAnsi="Times New Roman" w:cs="Times New Roman"/>
          <w:i/>
          <w:iCs/>
        </w:rPr>
        <w:instrText xml:space="preserve"> </w:instrText>
      </w:r>
      <w:r w:rsidRPr="00AE1B2B" w:rsidR="00A57DFB">
        <w:rPr>
          <w:rFonts w:ascii="Times New Roman" w:hAnsi="Times New Roman" w:cs="Times New Roman"/>
          <w:i/>
          <w:iCs/>
        </w:rPr>
        <w:instrText>INCLUDEPICTURE  "cid:image002.jpg@01D6C8B9.3AA19020" \* MERGEFORMATINET</w:instrText>
      </w:r>
      <w:r w:rsidRPr="00AE1B2B" w:rsidR="00A57DFB">
        <w:rPr>
          <w:rFonts w:ascii="Times New Roman" w:hAnsi="Times New Roman" w:cs="Times New Roman"/>
          <w:i/>
          <w:iCs/>
        </w:rPr>
        <w:instrText xml:space="preserve"> </w:instrText>
      </w:r>
      <w:r w:rsidRPr="00AE1B2B" w:rsidR="00A57DFB">
        <w:rPr>
          <w:rFonts w:ascii="Times New Roman" w:hAnsi="Times New Roman" w:cs="Times New Roman"/>
          <w:i/>
          <w:iCs/>
        </w:rPr>
        <w:fldChar w:fldCharType="separate"/>
      </w:r>
      <w:r w:rsidRPr="00AE1B2B" w:rsidR="00A57DFB">
        <w:rPr>
          <w:rFonts w:ascii="Times New Roman" w:hAnsi="Times New Roman" w:cs="Times New Roman"/>
          <w:i/>
          <w:iCs/>
        </w:rPr>
        <w:pict w14:anchorId="0BD318A4">
          <v:shape id="Imagen 43" style="width:452.65pt;height:272.35pt" o:spid="_x0000_i1057" type="#_x0000_t75">
            <v:imagedata r:id="rId227" r:href="rId228"/>
          </v:shape>
        </w:pict>
      </w:r>
      <w:r w:rsidRPr="00AE1B2B" w:rsidR="00A57DFB">
        <w:rPr>
          <w:rFonts w:ascii="Times New Roman" w:hAnsi="Times New Roman" w:cs="Times New Roman"/>
          <w:i/>
          <w:iCs/>
        </w:rPr>
        <w:fldChar w:fldCharType="end"/>
      </w:r>
      <w:r w:rsidRPr="00AE1B2B" w:rsidR="000458B6">
        <w:rPr>
          <w:rFonts w:ascii="Times New Roman" w:hAnsi="Times New Roman" w:cs="Times New Roman"/>
          <w:i/>
          <w:iCs/>
        </w:rPr>
        <w:fldChar w:fldCharType="end"/>
      </w:r>
      <w:r w:rsidRPr="00AE1B2B" w:rsidR="002F7DC8">
        <w:rPr>
          <w:rFonts w:ascii="Times New Roman" w:hAnsi="Times New Roman" w:cs="Times New Roman"/>
          <w:i/>
          <w:iCs/>
        </w:rPr>
        <w:fldChar w:fldCharType="end"/>
      </w:r>
      <w:r w:rsidRPr="00AE1B2B" w:rsidR="003979DE">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p>
    <w:p w:rsidRPr="00AE1B2B" w:rsidR="009D3FB5" w:rsidP="00163B94" w:rsidRDefault="009D3FB5" w14:paraId="751AD271" w14:textId="77777777">
      <w:pPr>
        <w:spacing w:before="120" w:after="120" w:line="276" w:lineRule="auto"/>
        <w:ind w:left="426" w:right="566"/>
        <w:rPr>
          <w:rFonts w:ascii="Times New Roman" w:hAnsi="Times New Roman" w:cs="Times New Roman"/>
          <w:i/>
          <w:iCs/>
        </w:rPr>
      </w:pPr>
    </w:p>
    <w:p w:rsidRPr="00AE1B2B" w:rsidR="009D3FB5" w:rsidP="00163B94" w:rsidRDefault="009D3FB5" w14:paraId="210828EC" w14:textId="77777777">
      <w:pPr>
        <w:spacing w:before="120" w:after="120" w:line="276" w:lineRule="auto"/>
        <w:ind w:left="426" w:right="566"/>
        <w:rPr>
          <w:rFonts w:ascii="Times New Roman" w:hAnsi="Times New Roman" w:cs="Times New Roman"/>
          <w:i/>
          <w:iCs/>
        </w:rPr>
      </w:pPr>
    </w:p>
    <w:p w:rsidRPr="00AE1B2B" w:rsidR="009D3FB5" w:rsidP="00163B94" w:rsidRDefault="009D3FB5" w14:paraId="5116A08D" w14:textId="77777777">
      <w:pPr>
        <w:spacing w:before="120" w:after="120" w:line="276" w:lineRule="auto"/>
        <w:ind w:left="426" w:right="566"/>
        <w:jc w:val="center"/>
        <w:rPr>
          <w:rFonts w:ascii="Times New Roman" w:hAnsi="Times New Roman" w:cs="Times New Roman"/>
          <w:i/>
          <w:iCs/>
        </w:rPr>
      </w:pP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"cid:image004.jpg@01D6C8B9.3AA19020" \* MERGEFORMATINET </w:instrText>
      </w:r>
      <w:r w:rsidRPr="00AE1B2B">
        <w:rPr>
          <w:rFonts w:ascii="Times New Roman" w:hAnsi="Times New Roman" w:cs="Times New Roman"/>
          <w:i/>
          <w:iCs/>
        </w:rPr>
        <w:fldChar w:fldCharType="separate"/>
      </w:r>
      <w:r w:rsidRPr="00AE1B2B" w:rsidR="003979DE">
        <w:rPr>
          <w:rFonts w:ascii="Times New Roman" w:hAnsi="Times New Roman" w:cs="Times New Roman"/>
          <w:i/>
          <w:iCs/>
        </w:rPr>
        <w:fldChar w:fldCharType="begin"/>
      </w:r>
      <w:r w:rsidRPr="00AE1B2B" w:rsidR="003979DE">
        <w:rPr>
          <w:rFonts w:ascii="Times New Roman" w:hAnsi="Times New Roman" w:cs="Times New Roman"/>
          <w:i/>
          <w:iCs/>
        </w:rPr>
        <w:instrText xml:space="preserve"> INCLUDEPICTURE  "cid:image004.jpg@01D6C8B9.3AA19020" \* MERGEFORMATINET </w:instrText>
      </w:r>
      <w:r w:rsidRPr="00AE1B2B" w:rsidR="003979DE">
        <w:rPr>
          <w:rFonts w:ascii="Times New Roman" w:hAnsi="Times New Roman" w:cs="Times New Roman"/>
          <w:i/>
          <w:iCs/>
        </w:rPr>
        <w:fldChar w:fldCharType="separate"/>
      </w:r>
      <w:r w:rsidRPr="00AE1B2B" w:rsidR="002F7DC8">
        <w:rPr>
          <w:rFonts w:ascii="Times New Roman" w:hAnsi="Times New Roman" w:cs="Times New Roman"/>
          <w:i/>
          <w:iCs/>
        </w:rPr>
        <w:fldChar w:fldCharType="begin"/>
      </w:r>
      <w:r w:rsidRPr="00AE1B2B" w:rsidR="002F7DC8">
        <w:rPr>
          <w:rFonts w:ascii="Times New Roman" w:hAnsi="Times New Roman" w:cs="Times New Roman"/>
          <w:i/>
          <w:iCs/>
        </w:rPr>
        <w:instrText xml:space="preserve"> INCLUDEPICTURE  "cid:image004.jpg@01D6C8B9.3AA19020" \* MERGEFORMATINET </w:instrText>
      </w:r>
      <w:r w:rsidRPr="00AE1B2B" w:rsidR="002F7DC8">
        <w:rPr>
          <w:rFonts w:ascii="Times New Roman" w:hAnsi="Times New Roman" w:cs="Times New Roman"/>
          <w:i/>
          <w:iCs/>
        </w:rPr>
        <w:fldChar w:fldCharType="separate"/>
      </w:r>
      <w:r w:rsidRPr="00AE1B2B" w:rsidR="000458B6">
        <w:rPr>
          <w:rFonts w:ascii="Times New Roman" w:hAnsi="Times New Roman" w:cs="Times New Roman"/>
          <w:i/>
          <w:iCs/>
        </w:rPr>
        <w:fldChar w:fldCharType="begin"/>
      </w:r>
      <w:r w:rsidRPr="00AE1B2B" w:rsidR="000458B6">
        <w:rPr>
          <w:rFonts w:ascii="Times New Roman" w:hAnsi="Times New Roman" w:cs="Times New Roman"/>
          <w:i/>
          <w:iCs/>
        </w:rPr>
        <w:instrText xml:space="preserve"> INCLUDEPICTURE  "cid:image004.jpg@01D6C8B9.3AA19020" \* MERGEFORMATINET </w:instrText>
      </w:r>
      <w:r w:rsidRPr="00AE1B2B" w:rsidR="000458B6">
        <w:rPr>
          <w:rFonts w:ascii="Times New Roman" w:hAnsi="Times New Roman" w:cs="Times New Roman"/>
          <w:i/>
          <w:iCs/>
        </w:rPr>
        <w:fldChar w:fldCharType="separate"/>
      </w:r>
      <w:r w:rsidRPr="00AE1B2B" w:rsidR="00A57DFB">
        <w:rPr>
          <w:rFonts w:ascii="Times New Roman" w:hAnsi="Times New Roman" w:cs="Times New Roman"/>
          <w:i/>
          <w:iCs/>
        </w:rPr>
        <w:fldChar w:fldCharType="begin"/>
      </w:r>
      <w:r w:rsidRPr="00AE1B2B" w:rsidR="00A57DFB">
        <w:rPr>
          <w:rFonts w:ascii="Times New Roman" w:hAnsi="Times New Roman" w:cs="Times New Roman"/>
          <w:i/>
          <w:iCs/>
        </w:rPr>
        <w:instrText xml:space="preserve"> </w:instrText>
      </w:r>
      <w:r w:rsidRPr="00AE1B2B" w:rsidR="00A57DFB">
        <w:rPr>
          <w:rFonts w:ascii="Times New Roman" w:hAnsi="Times New Roman" w:cs="Times New Roman"/>
          <w:i/>
          <w:iCs/>
        </w:rPr>
        <w:instrText>INCLUDEPICTURE  "cid:image004.jpg@01D6C8B9.3AA19020" \</w:instrText>
      </w:r>
      <w:r w:rsidRPr="00AE1B2B" w:rsidR="00A57DFB">
        <w:rPr>
          <w:rFonts w:ascii="Times New Roman" w:hAnsi="Times New Roman" w:cs="Times New Roman"/>
          <w:i/>
          <w:iCs/>
        </w:rPr>
        <w:instrText>* MERGEFORMATINET</w:instrText>
      </w:r>
      <w:r w:rsidRPr="00AE1B2B" w:rsidR="00A57DFB">
        <w:rPr>
          <w:rFonts w:ascii="Times New Roman" w:hAnsi="Times New Roman" w:cs="Times New Roman"/>
          <w:i/>
          <w:iCs/>
        </w:rPr>
        <w:instrText xml:space="preserve"> </w:instrText>
      </w:r>
      <w:r w:rsidRPr="00AE1B2B" w:rsidR="00A57DFB">
        <w:rPr>
          <w:rFonts w:ascii="Times New Roman" w:hAnsi="Times New Roman" w:cs="Times New Roman"/>
          <w:i/>
          <w:iCs/>
        </w:rPr>
        <w:fldChar w:fldCharType="separate"/>
      </w:r>
      <w:r w:rsidRPr="00AE1B2B" w:rsidR="00A57DFB">
        <w:rPr>
          <w:rFonts w:ascii="Times New Roman" w:hAnsi="Times New Roman" w:cs="Times New Roman"/>
          <w:i/>
          <w:iCs/>
        </w:rPr>
        <w:pict w14:anchorId="3C6512FC">
          <v:shape id="Imagen 47" style="width:452.65pt;height:272.35pt" o:spid="_x0000_i1058" type="#_x0000_t75">
            <v:imagedata r:id="rId229" r:href="rId230"/>
          </v:shape>
        </w:pict>
      </w:r>
      <w:r w:rsidRPr="00AE1B2B" w:rsidR="00A57DFB">
        <w:rPr>
          <w:rFonts w:ascii="Times New Roman" w:hAnsi="Times New Roman" w:cs="Times New Roman"/>
          <w:i/>
          <w:iCs/>
        </w:rPr>
        <w:fldChar w:fldCharType="end"/>
      </w:r>
      <w:r w:rsidRPr="00AE1B2B" w:rsidR="000458B6">
        <w:rPr>
          <w:rFonts w:ascii="Times New Roman" w:hAnsi="Times New Roman" w:cs="Times New Roman"/>
          <w:i/>
          <w:iCs/>
        </w:rPr>
        <w:fldChar w:fldCharType="end"/>
      </w:r>
      <w:r w:rsidRPr="00AE1B2B" w:rsidR="002F7DC8">
        <w:rPr>
          <w:rFonts w:ascii="Times New Roman" w:hAnsi="Times New Roman" w:cs="Times New Roman"/>
          <w:i/>
          <w:iCs/>
        </w:rPr>
        <w:fldChar w:fldCharType="end"/>
      </w:r>
      <w:r w:rsidRPr="00AE1B2B" w:rsidR="003979DE">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p>
    <w:p w:rsidRPr="00AE1B2B" w:rsidR="009D3FB5" w:rsidP="00163B94" w:rsidRDefault="009D3FB5" w14:paraId="6C1A319D" w14:textId="77777777">
      <w:pPr>
        <w:spacing w:before="120" w:after="120" w:line="276" w:lineRule="auto"/>
        <w:ind w:left="426" w:right="566"/>
        <w:rPr>
          <w:rFonts w:ascii="Times New Roman" w:hAnsi="Times New Roman" w:cs="Times New Roman"/>
          <w:i/>
          <w:iCs/>
        </w:rPr>
      </w:pPr>
    </w:p>
    <w:p w:rsidRPr="00AE1B2B" w:rsidR="009D3FB5" w:rsidP="00163B94" w:rsidRDefault="009D3FB5" w14:paraId="43EE3F8F"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También se destaca que de enero a septiembre los juzgados de Pensiones Alimentarias ocuparon el segundo lugar en efectividad de audiencia a nivel de todas las materias y el sexto lugar lo tuvo la jurisdicción de Familia.</w:t>
      </w:r>
    </w:p>
    <w:p w:rsidRPr="00AE1B2B" w:rsidR="009D3FB5" w:rsidP="00163B94" w:rsidRDefault="009D3FB5" w14:paraId="26091D9A" w14:textId="77777777">
      <w:pPr>
        <w:spacing w:before="120" w:after="120" w:line="276" w:lineRule="auto"/>
        <w:ind w:left="426" w:right="566"/>
        <w:jc w:val="center"/>
        <w:rPr>
          <w:rFonts w:ascii="Times New Roman" w:hAnsi="Times New Roman" w:cs="Times New Roman"/>
          <w:i/>
          <w:iCs/>
        </w:rPr>
      </w:pP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"cid:image006.png@01D6C8B9.3AA19020" \* MERGEFORMATINET </w:instrText>
      </w:r>
      <w:r w:rsidRPr="00AE1B2B">
        <w:rPr>
          <w:rFonts w:ascii="Times New Roman" w:hAnsi="Times New Roman" w:cs="Times New Roman"/>
          <w:i/>
          <w:iCs/>
        </w:rPr>
        <w:fldChar w:fldCharType="separate"/>
      </w:r>
      <w:r w:rsidRPr="00AE1B2B" w:rsidR="003979DE">
        <w:rPr>
          <w:rFonts w:ascii="Times New Roman" w:hAnsi="Times New Roman" w:cs="Times New Roman"/>
          <w:i/>
          <w:iCs/>
        </w:rPr>
        <w:fldChar w:fldCharType="begin"/>
      </w:r>
      <w:r w:rsidRPr="00AE1B2B" w:rsidR="003979DE">
        <w:rPr>
          <w:rFonts w:ascii="Times New Roman" w:hAnsi="Times New Roman" w:cs="Times New Roman"/>
          <w:i/>
          <w:iCs/>
        </w:rPr>
        <w:instrText xml:space="preserve"> INCLUDEPICTURE  "cid:image006.png@01D6C8B9.3AA19020" \* MERGEFORMATINET </w:instrText>
      </w:r>
      <w:r w:rsidRPr="00AE1B2B" w:rsidR="003979DE">
        <w:rPr>
          <w:rFonts w:ascii="Times New Roman" w:hAnsi="Times New Roman" w:cs="Times New Roman"/>
          <w:i/>
          <w:iCs/>
        </w:rPr>
        <w:fldChar w:fldCharType="separate"/>
      </w:r>
      <w:r w:rsidRPr="00AE1B2B" w:rsidR="002F7DC8">
        <w:rPr>
          <w:rFonts w:ascii="Times New Roman" w:hAnsi="Times New Roman" w:cs="Times New Roman"/>
          <w:i/>
          <w:iCs/>
        </w:rPr>
        <w:fldChar w:fldCharType="begin"/>
      </w:r>
      <w:r w:rsidRPr="00AE1B2B" w:rsidR="002F7DC8">
        <w:rPr>
          <w:rFonts w:ascii="Times New Roman" w:hAnsi="Times New Roman" w:cs="Times New Roman"/>
          <w:i/>
          <w:iCs/>
        </w:rPr>
        <w:instrText xml:space="preserve"> INCLUDEPICTURE  "cid:image006.png@01D6C8B9.3AA19020" \* MERGEFORMATINET </w:instrText>
      </w:r>
      <w:r w:rsidRPr="00AE1B2B" w:rsidR="002F7DC8">
        <w:rPr>
          <w:rFonts w:ascii="Times New Roman" w:hAnsi="Times New Roman" w:cs="Times New Roman"/>
          <w:i/>
          <w:iCs/>
        </w:rPr>
        <w:fldChar w:fldCharType="separate"/>
      </w:r>
      <w:r w:rsidRPr="00AE1B2B" w:rsidR="000458B6">
        <w:rPr>
          <w:rFonts w:ascii="Times New Roman" w:hAnsi="Times New Roman" w:cs="Times New Roman"/>
          <w:i/>
          <w:iCs/>
        </w:rPr>
        <w:fldChar w:fldCharType="begin"/>
      </w:r>
      <w:r w:rsidRPr="00AE1B2B" w:rsidR="000458B6">
        <w:rPr>
          <w:rFonts w:ascii="Times New Roman" w:hAnsi="Times New Roman" w:cs="Times New Roman"/>
          <w:i/>
          <w:iCs/>
        </w:rPr>
        <w:instrText xml:space="preserve"> INCLUDEPICTURE  "cid:image006.png@01D6C8B9.3AA19020" \* MERGEFORMATINET </w:instrText>
      </w:r>
      <w:r w:rsidRPr="00AE1B2B" w:rsidR="000458B6">
        <w:rPr>
          <w:rFonts w:ascii="Times New Roman" w:hAnsi="Times New Roman" w:cs="Times New Roman"/>
          <w:i/>
          <w:iCs/>
        </w:rPr>
        <w:fldChar w:fldCharType="separate"/>
      </w:r>
      <w:r w:rsidRPr="00AE1B2B" w:rsidR="00A57DFB">
        <w:rPr>
          <w:rFonts w:ascii="Times New Roman" w:hAnsi="Times New Roman" w:cs="Times New Roman"/>
          <w:i/>
          <w:iCs/>
        </w:rPr>
        <w:fldChar w:fldCharType="begin"/>
      </w:r>
      <w:r w:rsidRPr="00AE1B2B" w:rsidR="00A57DFB">
        <w:rPr>
          <w:rFonts w:ascii="Times New Roman" w:hAnsi="Times New Roman" w:cs="Times New Roman"/>
          <w:i/>
          <w:iCs/>
        </w:rPr>
        <w:instrText xml:space="preserve"> </w:instrText>
      </w:r>
      <w:r w:rsidRPr="00AE1B2B" w:rsidR="00A57DFB">
        <w:rPr>
          <w:rFonts w:ascii="Times New Roman" w:hAnsi="Times New Roman" w:cs="Times New Roman"/>
          <w:i/>
          <w:iCs/>
        </w:rPr>
        <w:instrText>INCLUDEPICTURE  "cid:image006.png@01D6C8B9.3AA19020" \* MERGEFORMATINET</w:instrText>
      </w:r>
      <w:r w:rsidRPr="00AE1B2B" w:rsidR="00A57DFB">
        <w:rPr>
          <w:rFonts w:ascii="Times New Roman" w:hAnsi="Times New Roman" w:cs="Times New Roman"/>
          <w:i/>
          <w:iCs/>
        </w:rPr>
        <w:instrText xml:space="preserve"> </w:instrText>
      </w:r>
      <w:r w:rsidRPr="00AE1B2B" w:rsidR="00A57DFB">
        <w:rPr>
          <w:rFonts w:ascii="Times New Roman" w:hAnsi="Times New Roman" w:cs="Times New Roman"/>
          <w:i/>
          <w:iCs/>
        </w:rPr>
        <w:fldChar w:fldCharType="separate"/>
      </w:r>
      <w:r w:rsidRPr="00AE1B2B" w:rsidR="00A57DFB">
        <w:rPr>
          <w:rFonts w:ascii="Times New Roman" w:hAnsi="Times New Roman" w:cs="Times New Roman"/>
          <w:i/>
          <w:iCs/>
        </w:rPr>
        <w:pict w14:anchorId="0C962B5C">
          <v:shape id="Imagen 231" style="width:395.7pt;height:241.65pt" o:spid="_x0000_i1059" type="#_x0000_t75">
            <v:imagedata r:id="rId231" r:href="rId232"/>
          </v:shape>
        </w:pict>
      </w:r>
      <w:r w:rsidRPr="00AE1B2B" w:rsidR="00A57DFB">
        <w:rPr>
          <w:rFonts w:ascii="Times New Roman" w:hAnsi="Times New Roman" w:cs="Times New Roman"/>
          <w:i/>
          <w:iCs/>
        </w:rPr>
        <w:fldChar w:fldCharType="end"/>
      </w:r>
      <w:r w:rsidRPr="00AE1B2B" w:rsidR="000458B6">
        <w:rPr>
          <w:rFonts w:ascii="Times New Roman" w:hAnsi="Times New Roman" w:cs="Times New Roman"/>
          <w:i/>
          <w:iCs/>
        </w:rPr>
        <w:fldChar w:fldCharType="end"/>
      </w:r>
      <w:r w:rsidRPr="00AE1B2B" w:rsidR="002F7DC8">
        <w:rPr>
          <w:rFonts w:ascii="Times New Roman" w:hAnsi="Times New Roman" w:cs="Times New Roman"/>
          <w:i/>
          <w:iCs/>
        </w:rPr>
        <w:fldChar w:fldCharType="end"/>
      </w:r>
      <w:r w:rsidRPr="00AE1B2B" w:rsidR="003979DE">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p>
    <w:p w:rsidRPr="00AE1B2B" w:rsidR="009D3FB5" w:rsidP="00163B94" w:rsidRDefault="009D3FB5" w14:paraId="46C16FD1" w14:textId="77777777">
      <w:pPr>
        <w:spacing w:before="120" w:after="120" w:line="276" w:lineRule="auto"/>
        <w:ind w:left="426" w:right="566"/>
        <w:jc w:val="both"/>
        <w:rPr>
          <w:rFonts w:ascii="Times New Roman" w:hAnsi="Times New Roman" w:cs="Times New Roman"/>
          <w:i/>
          <w:iCs/>
        </w:rPr>
      </w:pPr>
    </w:p>
    <w:p w:rsidRPr="00AE1B2B" w:rsidR="009D3FB5" w:rsidP="00163B94" w:rsidRDefault="009D3FB5" w14:paraId="05EB7AB9"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Las 73561 audiencias que se han realizado en lo que se lleva de este año se han distribuido de la siguiente forma:</w:t>
      </w:r>
    </w:p>
    <w:p w:rsidRPr="00AE1B2B" w:rsidR="009D3FB5" w:rsidP="00163B94" w:rsidRDefault="009D3FB5" w14:paraId="35CFBDDC" w14:textId="77777777">
      <w:pPr>
        <w:spacing w:before="120" w:after="120"/>
        <w:rPr>
          <w:rFonts w:ascii="Times New Roman" w:hAnsi="Times New Roman" w:cs="Times New Roman"/>
          <w:i/>
          <w:iCs/>
          <w:lang w:val="es-ES_tradnl"/>
        </w:rPr>
      </w:pPr>
    </w:p>
    <w:p w:rsidRPr="00AE1B2B" w:rsidR="009D3FB5" w:rsidP="00163B94" w:rsidRDefault="009D3FB5" w14:paraId="7DB372AA" w14:textId="77777777">
      <w:pPr>
        <w:spacing w:before="120" w:after="120"/>
        <w:rPr>
          <w:rFonts w:ascii="Times New Roman" w:hAnsi="Times New Roman" w:cs="Times New Roman"/>
          <w:i/>
          <w:iCs/>
          <w:lang w:val="es-ES_tradnl"/>
        </w:rPr>
      </w:pPr>
    </w:p>
    <w:p w:rsidRPr="00AE1B2B" w:rsidR="009D3FB5" w:rsidP="00163B94" w:rsidRDefault="009D3FB5" w14:paraId="6842EA7A" w14:textId="77777777">
      <w:pPr>
        <w:spacing w:before="120" w:after="120"/>
        <w:jc w:val="center"/>
        <w:rPr>
          <w:rFonts w:ascii="Times New Roman" w:hAnsi="Times New Roman" w:cs="Times New Roman"/>
          <w:b/>
          <w:bCs/>
          <w:i/>
          <w:iCs/>
          <w:lang w:val="es-ES_tradnl"/>
        </w:rPr>
      </w:pPr>
      <w:r w:rsidRPr="00AE1B2B">
        <w:rPr>
          <w:rFonts w:ascii="Times New Roman" w:hAnsi="Times New Roman" w:cs="Times New Roman"/>
          <w:b/>
          <w:bCs/>
          <w:i/>
          <w:iCs/>
          <w:lang w:val="es-ES_tradnl"/>
        </w:rPr>
        <w:t>Cuadro 2. Cantidad de audiencias realizadas por mes</w:t>
      </w:r>
    </w:p>
    <w:p w:rsidRPr="00AE1B2B" w:rsidR="009D3FB5" w:rsidP="00163B94" w:rsidRDefault="009D3FB5" w14:paraId="6A2A3AEF" w14:textId="77777777">
      <w:pPr>
        <w:spacing w:before="120" w:after="120" w:line="276" w:lineRule="auto"/>
        <w:ind w:right="566"/>
        <w:rPr>
          <w:rFonts w:ascii="Times New Roman" w:hAnsi="Times New Roman" w:cs="Times New Roman"/>
          <w:i/>
          <w:iCs/>
          <w:sz w:val="24"/>
          <w:szCs w:val="24"/>
          <w:highlight w:val="yellow"/>
          <w:lang w:val="es-ES_tradnl"/>
        </w:rPr>
      </w:pPr>
    </w:p>
    <w:p w:rsidRPr="00AE1B2B" w:rsidR="009D3FB5" w:rsidP="00163B94" w:rsidRDefault="009D3FB5" w14:paraId="7123E340" w14:textId="77777777">
      <w:pPr>
        <w:spacing w:before="120" w:after="120" w:line="276" w:lineRule="auto"/>
        <w:ind w:left="426" w:right="566"/>
        <w:jc w:val="center"/>
        <w:rPr>
          <w:rFonts w:ascii="Times New Roman" w:hAnsi="Times New Roman" w:cs="Times New Roman"/>
          <w:i/>
          <w:iCs/>
        </w:rPr>
      </w:pP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Pr>
          <w:rFonts w:ascii="Times New Roman" w:hAnsi="Times New Roman" w:cs="Times New Roman"/>
          <w:i/>
          <w:iCs/>
        </w:rPr>
        <w:fldChar w:fldCharType="begin"/>
      </w:r>
      <w:r w:rsidRPr="00AE1B2B">
        <w:rPr>
          <w:rFonts w:ascii="Times New Roman" w:hAnsi="Times New Roman" w:cs="Times New Roman"/>
          <w:i/>
          <w:iCs/>
        </w:rPr>
        <w:instrText xml:space="preserve"> INCLUDEPICTURE  "cid:image012.png@01D6C8B9.3AA19020" \* MERGEFORMATINET </w:instrText>
      </w:r>
      <w:r w:rsidRPr="00AE1B2B">
        <w:rPr>
          <w:rFonts w:ascii="Times New Roman" w:hAnsi="Times New Roman" w:cs="Times New Roman"/>
          <w:i/>
          <w:iCs/>
        </w:rPr>
        <w:fldChar w:fldCharType="separate"/>
      </w:r>
      <w:r w:rsidRPr="00AE1B2B" w:rsidR="003979DE">
        <w:rPr>
          <w:rFonts w:ascii="Times New Roman" w:hAnsi="Times New Roman" w:cs="Times New Roman"/>
          <w:i/>
          <w:iCs/>
        </w:rPr>
        <w:fldChar w:fldCharType="begin"/>
      </w:r>
      <w:r w:rsidRPr="00AE1B2B" w:rsidR="003979DE">
        <w:rPr>
          <w:rFonts w:ascii="Times New Roman" w:hAnsi="Times New Roman" w:cs="Times New Roman"/>
          <w:i/>
          <w:iCs/>
        </w:rPr>
        <w:instrText xml:space="preserve"> INCLUDEPICTURE  "cid:image012.png@01D6C8B9.3AA19020" \* MERGEFORMATINET </w:instrText>
      </w:r>
      <w:r w:rsidRPr="00AE1B2B" w:rsidR="003979DE">
        <w:rPr>
          <w:rFonts w:ascii="Times New Roman" w:hAnsi="Times New Roman" w:cs="Times New Roman"/>
          <w:i/>
          <w:iCs/>
        </w:rPr>
        <w:fldChar w:fldCharType="separate"/>
      </w:r>
      <w:r w:rsidRPr="00AE1B2B" w:rsidR="002F7DC8">
        <w:rPr>
          <w:rFonts w:ascii="Times New Roman" w:hAnsi="Times New Roman" w:cs="Times New Roman"/>
          <w:i/>
          <w:iCs/>
        </w:rPr>
        <w:fldChar w:fldCharType="begin"/>
      </w:r>
      <w:r w:rsidRPr="00AE1B2B" w:rsidR="002F7DC8">
        <w:rPr>
          <w:rFonts w:ascii="Times New Roman" w:hAnsi="Times New Roman" w:cs="Times New Roman"/>
          <w:i/>
          <w:iCs/>
        </w:rPr>
        <w:instrText xml:space="preserve"> INCLUDEPICTURE  "cid:image012.png@01D6C8B9.3AA19020" \* MERGEFORMATINET </w:instrText>
      </w:r>
      <w:r w:rsidRPr="00AE1B2B" w:rsidR="002F7DC8">
        <w:rPr>
          <w:rFonts w:ascii="Times New Roman" w:hAnsi="Times New Roman" w:cs="Times New Roman"/>
          <w:i/>
          <w:iCs/>
        </w:rPr>
        <w:fldChar w:fldCharType="separate"/>
      </w:r>
      <w:r w:rsidRPr="00AE1B2B" w:rsidR="000458B6">
        <w:rPr>
          <w:rFonts w:ascii="Times New Roman" w:hAnsi="Times New Roman" w:cs="Times New Roman"/>
          <w:i/>
          <w:iCs/>
        </w:rPr>
        <w:fldChar w:fldCharType="begin"/>
      </w:r>
      <w:r w:rsidRPr="00AE1B2B" w:rsidR="000458B6">
        <w:rPr>
          <w:rFonts w:ascii="Times New Roman" w:hAnsi="Times New Roman" w:cs="Times New Roman"/>
          <w:i/>
          <w:iCs/>
        </w:rPr>
        <w:instrText xml:space="preserve"> INCLUDEPICTURE  "cid:image012.png@01D6C8B9.3AA19020" \* MERGEFORMATINET </w:instrText>
      </w:r>
      <w:r w:rsidRPr="00AE1B2B" w:rsidR="000458B6">
        <w:rPr>
          <w:rFonts w:ascii="Times New Roman" w:hAnsi="Times New Roman" w:cs="Times New Roman"/>
          <w:i/>
          <w:iCs/>
        </w:rPr>
        <w:fldChar w:fldCharType="separate"/>
      </w:r>
      <w:r w:rsidRPr="00AE1B2B" w:rsidR="00A57DFB">
        <w:rPr>
          <w:rFonts w:ascii="Times New Roman" w:hAnsi="Times New Roman" w:cs="Times New Roman"/>
          <w:i/>
          <w:iCs/>
        </w:rPr>
        <w:fldChar w:fldCharType="begin"/>
      </w:r>
      <w:r w:rsidRPr="00AE1B2B" w:rsidR="00A57DFB">
        <w:rPr>
          <w:rFonts w:ascii="Times New Roman" w:hAnsi="Times New Roman" w:cs="Times New Roman"/>
          <w:i/>
          <w:iCs/>
        </w:rPr>
        <w:instrText xml:space="preserve"> </w:instrText>
      </w:r>
      <w:r w:rsidRPr="00AE1B2B" w:rsidR="00A57DFB">
        <w:rPr>
          <w:rFonts w:ascii="Times New Roman" w:hAnsi="Times New Roman" w:cs="Times New Roman"/>
          <w:i/>
          <w:iCs/>
        </w:rPr>
        <w:instrText>INCLUDEPICTURE  "cid:image012.png@01D6C8B9.3AA19020" \* MERGEFORMATINET</w:instrText>
      </w:r>
      <w:r w:rsidRPr="00AE1B2B" w:rsidR="00A57DFB">
        <w:rPr>
          <w:rFonts w:ascii="Times New Roman" w:hAnsi="Times New Roman" w:cs="Times New Roman"/>
          <w:i/>
          <w:iCs/>
        </w:rPr>
        <w:instrText xml:space="preserve"> </w:instrText>
      </w:r>
      <w:r w:rsidRPr="00AE1B2B" w:rsidR="00A57DFB">
        <w:rPr>
          <w:rFonts w:ascii="Times New Roman" w:hAnsi="Times New Roman" w:cs="Times New Roman"/>
          <w:i/>
          <w:iCs/>
        </w:rPr>
        <w:fldChar w:fldCharType="separate"/>
      </w:r>
      <w:r w:rsidRPr="00AE1B2B" w:rsidR="00A57DFB">
        <w:rPr>
          <w:rFonts w:ascii="Times New Roman" w:hAnsi="Times New Roman" w:cs="Times New Roman"/>
          <w:i/>
          <w:iCs/>
        </w:rPr>
        <w:pict w14:anchorId="780A2BC8">
          <v:shape id="Imagen 232" style="width:411.95pt;height:154pt" o:spid="_x0000_i1060" type="#_x0000_t75">
            <v:imagedata r:id="rId233" r:href="rId234"/>
          </v:shape>
        </w:pict>
      </w:r>
      <w:r w:rsidRPr="00AE1B2B" w:rsidR="00A57DFB">
        <w:rPr>
          <w:rFonts w:ascii="Times New Roman" w:hAnsi="Times New Roman" w:cs="Times New Roman"/>
          <w:i/>
          <w:iCs/>
        </w:rPr>
        <w:fldChar w:fldCharType="end"/>
      </w:r>
      <w:r w:rsidRPr="00AE1B2B" w:rsidR="000458B6">
        <w:rPr>
          <w:rFonts w:ascii="Times New Roman" w:hAnsi="Times New Roman" w:cs="Times New Roman"/>
          <w:i/>
          <w:iCs/>
        </w:rPr>
        <w:fldChar w:fldCharType="end"/>
      </w:r>
      <w:r w:rsidRPr="00AE1B2B" w:rsidR="002F7DC8">
        <w:rPr>
          <w:rFonts w:ascii="Times New Roman" w:hAnsi="Times New Roman" w:cs="Times New Roman"/>
          <w:i/>
          <w:iCs/>
        </w:rPr>
        <w:fldChar w:fldCharType="end"/>
      </w:r>
      <w:r w:rsidRPr="00AE1B2B" w:rsidR="003979DE">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r w:rsidRPr="00AE1B2B">
        <w:rPr>
          <w:rFonts w:ascii="Times New Roman" w:hAnsi="Times New Roman" w:cs="Times New Roman"/>
          <w:i/>
          <w:iCs/>
        </w:rPr>
        <w:fldChar w:fldCharType="end"/>
      </w:r>
    </w:p>
    <w:p w:rsidRPr="00AE1B2B" w:rsidR="009D3FB5" w:rsidP="00163B94" w:rsidRDefault="009D3FB5" w14:paraId="08D1F4D5" w14:textId="77777777">
      <w:pPr>
        <w:spacing w:before="120" w:after="120"/>
        <w:ind w:left="851" w:right="851" w:firstLine="709"/>
        <w:rPr>
          <w:rFonts w:ascii="Times New Roman" w:hAnsi="Times New Roman" w:cs="Times New Roman"/>
          <w:i/>
          <w:iCs/>
          <w:sz w:val="26"/>
          <w:szCs w:val="26"/>
        </w:rPr>
      </w:pPr>
    </w:p>
    <w:p w:rsidRPr="00AE1B2B" w:rsidR="009D3FB5" w:rsidP="00163B94" w:rsidRDefault="009D3FB5" w14:paraId="79AA361D"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En el cuadro anterior se logra visualizar que en el mes de abril fue donde existió mayor afectación de la cantidad de audiencias en Familia y posteriormente se logra contabilizar un repunte que también coincide con la implementación del protocolo de audiencias virtuales.</w:t>
      </w:r>
    </w:p>
    <w:p w:rsidRPr="00AE1B2B" w:rsidR="009D3FB5" w:rsidP="00163B94" w:rsidRDefault="009D3FB5" w14:paraId="11EAF338"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7D81686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Los despachos que conforman la jurisdicción de Familia se han mantenido en las labores ordinarias y realizando audiencias.</w:t>
      </w:r>
    </w:p>
    <w:p w:rsidRPr="00AE1B2B" w:rsidR="009D3FB5" w:rsidP="00163B94" w:rsidRDefault="009D3FB5" w14:paraId="688F5F68"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5F4BFBE9"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Dado que es una jurisdicción donde la población usuario generalmente es población vulnerable, el servicio se ha mantenido de manera continua, inclusive la atención por disponibilidad.</w:t>
      </w:r>
    </w:p>
    <w:p w:rsidRPr="00AE1B2B" w:rsidR="009D3FB5" w:rsidP="00163B94" w:rsidRDefault="009D3FB5" w14:paraId="010BFF67"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4451B92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La implementación del Protocolo de Audiencias virtuales ha permitido avanzar en la celebración de audiencias, generando movimiento a la agenda de los despachos.</w:t>
      </w:r>
    </w:p>
    <w:p w:rsidRPr="00AE1B2B" w:rsidR="009D3FB5" w:rsidP="00163B94" w:rsidRDefault="009D3FB5" w14:paraId="0E3909DA"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3D3BB8BA"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Pese a la emergencia respecto al COVID-19 la mayoría de los despachos han logrado cumplir con las labores planificadas durante el periodo analizado y han logrado acoplarse a la modalidad virtual.</w:t>
      </w:r>
    </w:p>
    <w:p w:rsidRPr="00AE1B2B" w:rsidR="009D3FB5" w:rsidP="00163B94" w:rsidRDefault="009D3FB5" w14:paraId="372A8AD1" w14:textId="77777777">
      <w:pPr>
        <w:spacing w:before="120" w:after="120" w:line="276" w:lineRule="auto"/>
        <w:ind w:left="426" w:right="566"/>
        <w:jc w:val="both"/>
        <w:rPr>
          <w:rFonts w:ascii="Times New Roman" w:hAnsi="Times New Roman" w:cs="Times New Roman"/>
          <w:i/>
          <w:iCs/>
          <w:sz w:val="24"/>
          <w:szCs w:val="24"/>
          <w:lang w:val="es-MX"/>
        </w:rPr>
      </w:pPr>
    </w:p>
    <w:p w:rsidRPr="00AE1B2B" w:rsidR="009D3FB5" w:rsidP="00163B94" w:rsidRDefault="009D3FB5" w14:paraId="761C4632" w14:textId="77777777">
      <w:pPr>
        <w:spacing w:before="120" w:after="120" w:line="276" w:lineRule="auto"/>
        <w:ind w:left="426" w:right="566"/>
        <w:jc w:val="both"/>
        <w:rPr>
          <w:rFonts w:ascii="Times New Roman" w:hAnsi="Times New Roman" w:cs="Times New Roman"/>
          <w:i/>
          <w:iCs/>
          <w:sz w:val="24"/>
          <w:szCs w:val="24"/>
          <w:lang w:val="es-MX"/>
        </w:rPr>
      </w:pPr>
      <w:r w:rsidRPr="00AE1B2B">
        <w:rPr>
          <w:rFonts w:ascii="Times New Roman" w:hAnsi="Times New Roman" w:cs="Times New Roman"/>
          <w:i/>
          <w:iCs/>
          <w:sz w:val="24"/>
          <w:szCs w:val="24"/>
          <w:lang w:val="es-MX"/>
        </w:rPr>
        <w:t>…”.</w:t>
      </w:r>
    </w:p>
    <w:p w:rsidRPr="00AE1B2B" w:rsidR="009D3FB5" w:rsidP="00163B94" w:rsidRDefault="009D3FB5" w14:paraId="35BDD6F0" w14:textId="77777777">
      <w:pPr>
        <w:spacing w:before="120" w:after="120" w:line="276" w:lineRule="auto"/>
        <w:jc w:val="both"/>
        <w:rPr>
          <w:rFonts w:ascii="Times New Roman" w:hAnsi="Times New Roman" w:cs="Times New Roman"/>
          <w:i/>
          <w:iCs/>
          <w:sz w:val="24"/>
          <w:szCs w:val="24"/>
        </w:rPr>
      </w:pPr>
    </w:p>
    <w:p w:rsidRPr="00AE1B2B" w:rsidR="009D3FB5" w:rsidP="00163B94" w:rsidRDefault="009D3FB5" w14:paraId="4EEB88E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De manera complementaria puede indicarse que, realizando una revisión del 2020, según informe 301-PLA-MI-2021, los Juzgados de Pensiones Alimentarias ocupan el tercer lugar más alto en efectividad y los de Familia el quinto a nivel nacional, tal como se detalla en el siguiente cuadro:</w:t>
      </w:r>
    </w:p>
    <w:p w:rsidRPr="00AE1B2B" w:rsidR="009D3FB5" w:rsidP="00163B94" w:rsidRDefault="009D3FB5" w14:paraId="3CEF1BD2" w14:textId="77777777">
      <w:pPr>
        <w:spacing w:before="120" w:after="120" w:line="276" w:lineRule="auto"/>
        <w:rPr>
          <w:rFonts w:ascii="Times New Roman" w:hAnsi="Times New Roman" w:cs="Times New Roman"/>
          <w:sz w:val="24"/>
          <w:szCs w:val="24"/>
        </w:rPr>
      </w:pPr>
    </w:p>
    <w:p w:rsidRPr="00AE1B2B" w:rsidR="009D3FB5" w:rsidP="00163B94" w:rsidRDefault="0007105A" w14:paraId="1BE0AE4A" w14:textId="121612BF">
      <w:pPr>
        <w:spacing w:before="120" w:after="120"/>
        <w:ind w:left="851" w:right="851" w:firstLine="709"/>
        <w:rPr>
          <w:rFonts w:ascii="Times New Roman" w:hAnsi="Times New Roman" w:cs="Times New Roman"/>
          <w:i/>
          <w:iCs/>
          <w:sz w:val="24"/>
          <w:szCs w:val="24"/>
        </w:rPr>
      </w:pPr>
      <w:r w:rsidRPr="00AE1B2B">
        <w:rPr>
          <w:rFonts w:ascii="Times New Roman" w:hAnsi="Times New Roman" w:cs="Times New Roman"/>
          <w:i/>
          <w:iCs/>
          <w:noProof/>
          <w:sz w:val="26"/>
          <w:szCs w:val="26"/>
        </w:rPr>
        <w:lastRenderedPageBreak/>
        <w:drawing>
          <wp:anchor distT="0" distB="0" distL="114300" distR="114300" simplePos="0" relativeHeight="251671552" behindDoc="0" locked="0" layoutInCell="1" allowOverlap="1" wp14:anchorId="5B134A6E" wp14:editId="520E7D47">
            <wp:simplePos x="0" y="0"/>
            <wp:positionH relativeFrom="margin">
              <wp:align>left</wp:align>
            </wp:positionH>
            <wp:positionV relativeFrom="paragraph">
              <wp:posOffset>0</wp:posOffset>
            </wp:positionV>
            <wp:extent cx="5671185" cy="5121622"/>
            <wp:effectExtent l="0" t="0" r="5715" b="0"/>
            <wp:wrapSquare wrapText="bothSides"/>
            <wp:docPr id="1263269103" name="Imagen 4">
              <a:extLst xmlns:a="http://schemas.openxmlformats.org/drawingml/2006/main">
                <a:ext uri="{FF2B5EF4-FFF2-40B4-BE49-F238E27FC236}">
                  <a16:creationId xmlns:a16="http://schemas.microsoft.com/office/drawing/2014/main" id="{E27EB8F6-5E85-4ABB-840C-BFB1C2B840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27EB8F6-5E85-4ABB-840C-BFB1C2B84017}"/>
                        </a:ext>
                      </a:extLst>
                    </pic:cNvPr>
                    <pic:cNvPicPr>
                      <a:picLocks noChangeAspect="1"/>
                    </pic:cNvPicPr>
                  </pic:nvPicPr>
                  <pic:blipFill rotWithShape="1">
                    <a:blip r:embed="rId235" cstate="print">
                      <a:extLst>
                        <a:ext uri="{28A0092B-C50C-407E-A947-70E740481C1C}">
                          <a14:useLocalDpi xmlns:a14="http://schemas.microsoft.com/office/drawing/2010/main" val="0"/>
                        </a:ext>
                      </a:extLst>
                    </a:blip>
                    <a:srcRect r="10658"/>
                    <a:stretch/>
                  </pic:blipFill>
                  <pic:spPr bwMode="auto">
                    <a:xfrm>
                      <a:off x="0" y="0"/>
                      <a:ext cx="5671185" cy="51216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Pr="00AE1B2B" w:rsidR="009D3FB5" w:rsidP="00163B94" w:rsidRDefault="00014F38" w14:paraId="158B0468" w14:textId="1772C9A0">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5.2 </w:t>
      </w:r>
      <w:r w:rsidRPr="00AE1B2B" w:rsidR="009D3FB5">
        <w:rPr>
          <w:rFonts w:ascii="Times New Roman" w:hAnsi="Times New Roman" w:cs="Times New Roman"/>
          <w:i/>
          <w:iCs/>
          <w:sz w:val="26"/>
          <w:szCs w:val="26"/>
        </w:rPr>
        <w:t>Modelo de Juzgados de Familia-estructuras</w:t>
      </w:r>
    </w:p>
    <w:p w:rsidRPr="00AE1B2B" w:rsidR="009D3FB5" w:rsidP="00163B94" w:rsidRDefault="009D3FB5" w14:paraId="1134D41D" w14:textId="77777777">
      <w:pPr>
        <w:spacing w:before="120" w:after="120"/>
        <w:ind w:left="851" w:right="851" w:firstLine="709"/>
        <w:jc w:val="both"/>
        <w:rPr>
          <w:rFonts w:ascii="Times New Roman" w:hAnsi="Times New Roman" w:cs="Times New Roman"/>
          <w:sz w:val="24"/>
          <w:szCs w:val="24"/>
        </w:rPr>
      </w:pPr>
      <w:r w:rsidRPr="00AE1B2B">
        <w:rPr>
          <w:rFonts w:ascii="Times New Roman" w:hAnsi="Times New Roman" w:cs="Times New Roman"/>
          <w:i/>
          <w:iCs/>
          <w:sz w:val="26"/>
          <w:szCs w:val="26"/>
        </w:rPr>
        <w:t>Con el fin de definir la estructura ideal para los Juzgados de Familia, se toma como referencia los Juzgados de Familia de Cartago y San Carlos; los cuales fueron abordados durante los Rediseños de Procesos de los despachos judiciales del Circuito Judicial de Cartago y Segundo Circuito Judicial de San Carlos, a través de nuevas tecnologías y moderna gestión, por lo que se consideran las características generales de tramitación y una vez que se realicen los abordajes se profundizará en la situación específica de cada Despacho</w:t>
      </w:r>
      <w:r w:rsidRPr="00AE1B2B" w:rsidDel="005708AA">
        <w:rPr>
          <w:rFonts w:ascii="Times New Roman" w:hAnsi="Times New Roman" w:cs="Times New Roman"/>
          <w:sz w:val="24"/>
          <w:szCs w:val="24"/>
        </w:rPr>
        <w:t>.</w:t>
      </w:r>
    </w:p>
    <w:p w:rsidRPr="00AE1B2B" w:rsidR="009D3FB5" w:rsidP="00163B94" w:rsidRDefault="009D3FB5" w14:paraId="32BA1735" w14:textId="77777777">
      <w:pPr>
        <w:spacing w:before="120" w:after="120" w:line="276" w:lineRule="auto"/>
        <w:jc w:val="both"/>
        <w:rPr>
          <w:rFonts w:ascii="Times New Roman" w:hAnsi="Times New Roman" w:cs="Times New Roman"/>
          <w:sz w:val="24"/>
          <w:szCs w:val="24"/>
        </w:rPr>
      </w:pPr>
    </w:p>
    <w:p w:rsidRPr="00AE1B2B" w:rsidR="009D3FB5" w:rsidP="00163B94" w:rsidRDefault="009D3FB5" w14:paraId="28190859"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Con el modelo de Familia, se pretende estandarizar metodologías de trabajo a nivel nacional, definir parámetros de </w:t>
      </w:r>
      <w:r w:rsidRPr="00AE1B2B">
        <w:rPr>
          <w:rFonts w:ascii="Times New Roman" w:hAnsi="Times New Roman" w:cs="Times New Roman"/>
          <w:i/>
          <w:iCs/>
          <w:sz w:val="26"/>
          <w:szCs w:val="26"/>
        </w:rPr>
        <w:lastRenderedPageBreak/>
        <w:t xml:space="preserve">producción para el personal juzgador y técnico judicial al establecer cuotas para el dictado de sentencias y de proveído, entre otros. </w:t>
      </w:r>
    </w:p>
    <w:p w:rsidRPr="00AE1B2B" w:rsidR="009D3FB5" w:rsidP="00163B94" w:rsidRDefault="009D3FB5" w14:paraId="63620BBB"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4368F720"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Adicionalmente, como parte de la atención a las recomendaciones de la Contraloría General de la República, se realizó una revisión y propuestas de modificación cuando corresponda de las estructuras de trabajo de todas las oficinas competentes en materia de Familia a nivel nacional. </w:t>
      </w:r>
    </w:p>
    <w:p w:rsidRPr="00AE1B2B" w:rsidR="009D3FB5" w:rsidP="00163B94" w:rsidRDefault="009D3FB5" w14:paraId="2CDD5992"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42C212CD" w14:textId="3A652FDB">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En el siguiente cuadro se adjunta un resumen de los oficios remitidos por la Dirección de Planificación.</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 xml:space="preserve">Algunos de ellos ya cuentan con la aprobación de parte del Consejo Superior del Poder Judicial. </w:t>
      </w:r>
    </w:p>
    <w:p w:rsidRPr="00AE1B2B" w:rsidR="009D3FB5" w:rsidP="00163B94" w:rsidRDefault="009D3FB5" w14:paraId="2A58175E"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10854346"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63728AE7" w14:textId="77777777">
      <w:pPr>
        <w:spacing w:before="120" w:after="120"/>
        <w:ind w:left="851" w:right="851" w:firstLine="709"/>
        <w:jc w:val="center"/>
        <w:rPr>
          <w:rFonts w:ascii="Times New Roman" w:hAnsi="Times New Roman" w:cs="Times New Roman"/>
          <w:b/>
          <w:i/>
          <w:iCs/>
          <w:sz w:val="26"/>
          <w:szCs w:val="26"/>
        </w:rPr>
      </w:pPr>
      <w:r w:rsidRPr="00AE1B2B">
        <w:rPr>
          <w:rFonts w:ascii="Times New Roman" w:hAnsi="Times New Roman" w:cs="Times New Roman"/>
          <w:b/>
          <w:i/>
          <w:iCs/>
          <w:sz w:val="26"/>
          <w:szCs w:val="26"/>
        </w:rPr>
        <w:t xml:space="preserve">Cuadro </w:t>
      </w:r>
      <w:r w:rsidRPr="00AE1B2B">
        <w:rPr>
          <w:rFonts w:ascii="Times New Roman" w:hAnsi="Times New Roman" w:cs="Times New Roman"/>
          <w:b/>
          <w:i/>
          <w:iCs/>
          <w:sz w:val="26"/>
          <w:szCs w:val="26"/>
        </w:rPr>
        <w:fldChar w:fldCharType="begin"/>
      </w:r>
      <w:r w:rsidRPr="00AE1B2B">
        <w:rPr>
          <w:rFonts w:ascii="Times New Roman" w:hAnsi="Times New Roman" w:cs="Times New Roman"/>
          <w:b/>
          <w:i/>
          <w:iCs/>
          <w:sz w:val="26"/>
          <w:szCs w:val="26"/>
        </w:rPr>
        <w:instrText xml:space="preserve"> SEQ Cuadro \* ARABIC </w:instrText>
      </w:r>
      <w:r w:rsidRPr="00AE1B2B">
        <w:rPr>
          <w:rFonts w:ascii="Times New Roman" w:hAnsi="Times New Roman" w:cs="Times New Roman"/>
          <w:b/>
          <w:i/>
          <w:iCs/>
          <w:sz w:val="26"/>
          <w:szCs w:val="26"/>
        </w:rPr>
        <w:fldChar w:fldCharType="separate"/>
      </w:r>
      <w:r w:rsidRPr="00AE1B2B">
        <w:rPr>
          <w:rFonts w:ascii="Times New Roman" w:hAnsi="Times New Roman" w:cs="Times New Roman"/>
          <w:b/>
          <w:i/>
          <w:iCs/>
          <w:sz w:val="26"/>
          <w:szCs w:val="26"/>
        </w:rPr>
        <w:t>11</w:t>
      </w:r>
      <w:r w:rsidRPr="00AE1B2B">
        <w:rPr>
          <w:rFonts w:ascii="Times New Roman" w:hAnsi="Times New Roman" w:cs="Times New Roman"/>
          <w:b/>
          <w:i/>
          <w:iCs/>
          <w:sz w:val="26"/>
          <w:szCs w:val="26"/>
        </w:rPr>
        <w:fldChar w:fldCharType="end"/>
      </w:r>
    </w:p>
    <w:p w:rsidRPr="00AE1B2B" w:rsidR="009D3FB5" w:rsidP="00163B94" w:rsidRDefault="009D3FB5" w14:paraId="3C479BC8" w14:textId="77777777">
      <w:pPr>
        <w:spacing w:before="120" w:after="120"/>
        <w:ind w:left="851" w:right="851" w:firstLine="709"/>
        <w:jc w:val="center"/>
        <w:rPr>
          <w:rFonts w:ascii="Times New Roman" w:hAnsi="Times New Roman" w:cs="Times New Roman"/>
          <w:b/>
          <w:i/>
          <w:iCs/>
          <w:sz w:val="26"/>
          <w:szCs w:val="26"/>
        </w:rPr>
      </w:pPr>
      <w:r w:rsidRPr="00AE1B2B">
        <w:rPr>
          <w:rFonts w:ascii="Times New Roman" w:hAnsi="Times New Roman" w:cs="Times New Roman"/>
          <w:b/>
          <w:i/>
          <w:iCs/>
          <w:sz w:val="26"/>
          <w:szCs w:val="26"/>
        </w:rPr>
        <w:t>Resumen de oficios preliminares, definitivos y acuerdos del CS sobre las estructuras de los Juzgados competentes en Familia a nivel nacional, 18 de marzo 2021</w:t>
      </w:r>
    </w:p>
    <w:p w:rsidRPr="00AE1B2B" w:rsidR="009D3FB5" w:rsidP="00163B94" w:rsidRDefault="009D3FB5" w14:paraId="223015A9" w14:textId="77777777">
      <w:pPr>
        <w:spacing w:before="120" w:after="120"/>
        <w:rPr>
          <w:rFonts w:ascii="Times New Roman" w:hAnsi="Times New Roman" w:cs="Times New Roman"/>
          <w:lang w:val="es-ES" w:eastAsia="es-ES"/>
        </w:r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2614"/>
        <w:gridCol w:w="2219"/>
        <w:gridCol w:w="2055"/>
        <w:gridCol w:w="1940"/>
      </w:tblGrid>
      <w:tr w:rsidRPr="00AE1B2B" w:rsidR="00AE1B2B" w:rsidTr="0007105A" w14:paraId="30B8F05D" w14:textId="77777777">
        <w:trPr>
          <w:trHeight w:val="687"/>
        </w:trPr>
        <w:tc>
          <w:tcPr>
            <w:tcW w:w="1480" w:type="pct"/>
            <w:shd w:val="clear" w:color="auto" w:fill="44546A" w:themeFill="text2"/>
            <w:vAlign w:val="center"/>
          </w:tcPr>
          <w:p w:rsidRPr="00AE1B2B" w:rsidR="009D3FB5" w:rsidP="00163B94" w:rsidRDefault="009D3FB5" w14:paraId="29BBAB3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Nombre del Despacho</w:t>
            </w:r>
          </w:p>
        </w:tc>
        <w:tc>
          <w:tcPr>
            <w:tcW w:w="1257" w:type="pct"/>
            <w:shd w:val="clear" w:color="auto" w:fill="44546A" w:themeFill="text2"/>
            <w:vAlign w:val="center"/>
          </w:tcPr>
          <w:p w:rsidRPr="00AE1B2B" w:rsidR="009D3FB5" w:rsidP="00163B94" w:rsidRDefault="009D3FB5" w14:paraId="1FA541D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Oficio preliminar remitido por la D. de Planificación</w:t>
            </w:r>
          </w:p>
        </w:tc>
        <w:tc>
          <w:tcPr>
            <w:tcW w:w="1164" w:type="pct"/>
            <w:shd w:val="clear" w:color="auto" w:fill="44546A" w:themeFill="text2"/>
            <w:vAlign w:val="center"/>
          </w:tcPr>
          <w:p w:rsidRPr="00AE1B2B" w:rsidR="009D3FB5" w:rsidP="00163B94" w:rsidRDefault="009D3FB5" w14:paraId="21DC9B0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Oficio Definitivo</w:t>
            </w:r>
          </w:p>
        </w:tc>
        <w:tc>
          <w:tcPr>
            <w:tcW w:w="1099" w:type="pct"/>
            <w:shd w:val="clear" w:color="auto" w:fill="44546A" w:themeFill="text2"/>
            <w:vAlign w:val="center"/>
          </w:tcPr>
          <w:p w:rsidRPr="00AE1B2B" w:rsidR="009D3FB5" w:rsidP="00163B94" w:rsidRDefault="009D3FB5" w14:paraId="2734D41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Acuerdo del Consejo Superior</w:t>
            </w:r>
          </w:p>
        </w:tc>
      </w:tr>
      <w:tr w:rsidRPr="00AE1B2B" w:rsidR="00AE1B2B" w:rsidTr="0007105A" w14:paraId="0CE3A5F6" w14:textId="77777777">
        <w:trPr>
          <w:trHeight w:val="687"/>
        </w:trPr>
        <w:tc>
          <w:tcPr>
            <w:tcW w:w="1480" w:type="pct"/>
            <w:shd w:val="clear" w:color="auto" w:fill="auto"/>
            <w:vAlign w:val="center"/>
            <w:hideMark/>
          </w:tcPr>
          <w:p w:rsidRPr="00AE1B2B" w:rsidR="009D3FB5" w:rsidP="00163B94" w:rsidRDefault="009D3FB5" w14:paraId="41E9E53E"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Penal Juvenil. y Viol. Dom. Grecia</w:t>
            </w:r>
          </w:p>
        </w:tc>
        <w:tc>
          <w:tcPr>
            <w:tcW w:w="1257" w:type="pct"/>
            <w:shd w:val="clear" w:color="auto" w:fill="auto"/>
            <w:vAlign w:val="center"/>
            <w:hideMark/>
          </w:tcPr>
          <w:p w:rsidRPr="00AE1B2B" w:rsidR="009D3FB5" w:rsidP="00163B94" w:rsidRDefault="009D3FB5" w14:paraId="450C63F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1829-PLA-MI-2020</w:t>
            </w:r>
          </w:p>
        </w:tc>
        <w:tc>
          <w:tcPr>
            <w:tcW w:w="1164" w:type="pct"/>
            <w:shd w:val="clear" w:color="auto" w:fill="auto"/>
            <w:vAlign w:val="center"/>
            <w:hideMark/>
          </w:tcPr>
          <w:p w:rsidRPr="00AE1B2B" w:rsidR="009D3FB5" w:rsidP="00163B94" w:rsidRDefault="009D3FB5" w14:paraId="0764293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16-PLA-MI-2021</w:t>
            </w:r>
          </w:p>
        </w:tc>
        <w:tc>
          <w:tcPr>
            <w:tcW w:w="1099" w:type="pct"/>
            <w:shd w:val="clear" w:color="auto" w:fill="auto"/>
            <w:vAlign w:val="center"/>
            <w:hideMark/>
          </w:tcPr>
          <w:p w:rsidRPr="00AE1B2B" w:rsidR="009D3FB5" w:rsidP="00163B94" w:rsidRDefault="009D3FB5" w14:paraId="288EE49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7-21 del 26-1-21, Art. XLIX </w:t>
            </w:r>
          </w:p>
        </w:tc>
      </w:tr>
      <w:tr w:rsidRPr="00AE1B2B" w:rsidR="00AE1B2B" w:rsidTr="0007105A" w14:paraId="41EAF67D" w14:textId="77777777">
        <w:trPr>
          <w:trHeight w:val="624"/>
        </w:trPr>
        <w:tc>
          <w:tcPr>
            <w:tcW w:w="1480" w:type="pct"/>
            <w:shd w:val="clear" w:color="auto" w:fill="auto"/>
            <w:vAlign w:val="center"/>
            <w:hideMark/>
          </w:tcPr>
          <w:p w:rsidRPr="00AE1B2B" w:rsidR="009D3FB5" w:rsidP="00163B94" w:rsidRDefault="009D3FB5" w14:paraId="1462779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Cartago</w:t>
            </w:r>
          </w:p>
        </w:tc>
        <w:tc>
          <w:tcPr>
            <w:tcW w:w="1257" w:type="pct"/>
            <w:shd w:val="clear" w:color="auto" w:fill="auto"/>
            <w:vAlign w:val="center"/>
            <w:hideMark/>
          </w:tcPr>
          <w:p w:rsidRPr="00AE1B2B" w:rsidR="009D3FB5" w:rsidP="00163B94" w:rsidRDefault="009D3FB5" w14:paraId="20923ED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1773-PLA-EV-2020</w:t>
            </w:r>
          </w:p>
        </w:tc>
        <w:tc>
          <w:tcPr>
            <w:tcW w:w="1164" w:type="pct"/>
            <w:shd w:val="clear" w:color="auto" w:fill="auto"/>
            <w:vAlign w:val="center"/>
            <w:hideMark/>
          </w:tcPr>
          <w:p w:rsidRPr="00AE1B2B" w:rsidR="009D3FB5" w:rsidP="00163B94" w:rsidRDefault="009D3FB5" w14:paraId="25824C7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271-PLA-EV-2021</w:t>
            </w:r>
          </w:p>
        </w:tc>
        <w:tc>
          <w:tcPr>
            <w:tcW w:w="1099" w:type="pct"/>
            <w:shd w:val="clear" w:color="auto" w:fill="auto"/>
            <w:vAlign w:val="center"/>
            <w:hideMark/>
          </w:tcPr>
          <w:p w:rsidRPr="00AE1B2B" w:rsidR="009D3FB5" w:rsidP="00163B94" w:rsidRDefault="009D3FB5" w14:paraId="12BB990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07105A" w14:paraId="7CF78E03" w14:textId="77777777">
        <w:trPr>
          <w:trHeight w:val="615"/>
        </w:trPr>
        <w:tc>
          <w:tcPr>
            <w:tcW w:w="1480" w:type="pct"/>
            <w:shd w:val="clear" w:color="auto" w:fill="auto"/>
            <w:vAlign w:val="center"/>
            <w:hideMark/>
          </w:tcPr>
          <w:p w:rsidRPr="00AE1B2B" w:rsidR="009D3FB5" w:rsidP="00163B94" w:rsidRDefault="009D3FB5" w14:paraId="6DFEFBC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Niñez y Adolescencia</w:t>
            </w:r>
          </w:p>
        </w:tc>
        <w:tc>
          <w:tcPr>
            <w:tcW w:w="1257" w:type="pct"/>
            <w:shd w:val="clear" w:color="auto" w:fill="auto"/>
            <w:vAlign w:val="center"/>
            <w:hideMark/>
          </w:tcPr>
          <w:p w:rsidRPr="00AE1B2B" w:rsidR="009D3FB5" w:rsidP="00163B94" w:rsidRDefault="009D3FB5" w14:paraId="6A0E612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1771-PLA-EV-2020</w:t>
            </w:r>
          </w:p>
        </w:tc>
        <w:tc>
          <w:tcPr>
            <w:tcW w:w="1164" w:type="pct"/>
            <w:shd w:val="clear" w:color="auto" w:fill="auto"/>
            <w:vAlign w:val="center"/>
            <w:hideMark/>
          </w:tcPr>
          <w:p w:rsidRPr="00AE1B2B" w:rsidR="009D3FB5" w:rsidP="00163B94" w:rsidRDefault="009D3FB5" w14:paraId="44B2F1A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21-PLA-EV-2021</w:t>
            </w:r>
          </w:p>
        </w:tc>
        <w:tc>
          <w:tcPr>
            <w:tcW w:w="1099" w:type="pct"/>
            <w:shd w:val="clear" w:color="auto" w:fill="auto"/>
            <w:vAlign w:val="center"/>
            <w:hideMark/>
          </w:tcPr>
          <w:p w:rsidRPr="00AE1B2B" w:rsidR="009D3FB5" w:rsidP="00163B94" w:rsidRDefault="009D3FB5" w14:paraId="1FEDB2F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7-21 del 26-1-21, Art. XLV </w:t>
            </w:r>
          </w:p>
        </w:tc>
      </w:tr>
      <w:tr w:rsidRPr="00AE1B2B" w:rsidR="00AE1B2B" w:rsidTr="0007105A" w14:paraId="5FAA291F" w14:textId="77777777">
        <w:trPr>
          <w:trHeight w:val="554"/>
        </w:trPr>
        <w:tc>
          <w:tcPr>
            <w:tcW w:w="1480" w:type="pct"/>
            <w:shd w:val="clear" w:color="auto" w:fill="auto"/>
            <w:vAlign w:val="center"/>
            <w:hideMark/>
          </w:tcPr>
          <w:p w:rsidRPr="00AE1B2B" w:rsidR="009D3FB5" w:rsidP="00163B94" w:rsidRDefault="009D3FB5" w14:paraId="400FF29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Primero de Familia San José</w:t>
            </w:r>
          </w:p>
        </w:tc>
        <w:tc>
          <w:tcPr>
            <w:tcW w:w="1257" w:type="pct"/>
            <w:shd w:val="clear" w:color="auto" w:fill="auto"/>
            <w:vAlign w:val="center"/>
            <w:hideMark/>
          </w:tcPr>
          <w:p w:rsidRPr="00AE1B2B" w:rsidR="009D3FB5" w:rsidP="00163B94" w:rsidRDefault="009D3FB5" w14:paraId="3EDA5B1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1836-PLA-EV-2020</w:t>
            </w:r>
          </w:p>
        </w:tc>
        <w:tc>
          <w:tcPr>
            <w:tcW w:w="1164" w:type="pct"/>
            <w:shd w:val="clear" w:color="auto" w:fill="auto"/>
            <w:vAlign w:val="center"/>
            <w:hideMark/>
          </w:tcPr>
          <w:p w:rsidRPr="00AE1B2B" w:rsidR="009D3FB5" w:rsidP="00163B94" w:rsidRDefault="009D3FB5" w14:paraId="59E5E2E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66-PLA-MI-2021</w:t>
            </w:r>
          </w:p>
        </w:tc>
        <w:tc>
          <w:tcPr>
            <w:tcW w:w="1099" w:type="pct"/>
            <w:shd w:val="clear" w:color="auto" w:fill="auto"/>
            <w:vAlign w:val="center"/>
            <w:hideMark/>
          </w:tcPr>
          <w:p w:rsidRPr="00AE1B2B" w:rsidR="009D3FB5" w:rsidP="00163B94" w:rsidRDefault="009D3FB5" w14:paraId="633E14A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10-21 del 4-2-21, Art. XLVII</w:t>
            </w:r>
          </w:p>
        </w:tc>
      </w:tr>
      <w:tr w:rsidRPr="00AE1B2B" w:rsidR="00AE1B2B" w:rsidTr="0007105A" w14:paraId="1BC96240" w14:textId="77777777">
        <w:trPr>
          <w:trHeight w:val="650"/>
        </w:trPr>
        <w:tc>
          <w:tcPr>
            <w:tcW w:w="1480" w:type="pct"/>
            <w:shd w:val="clear" w:color="auto" w:fill="auto"/>
            <w:vAlign w:val="center"/>
            <w:hideMark/>
          </w:tcPr>
          <w:p w:rsidRPr="00AE1B2B" w:rsidR="009D3FB5" w:rsidP="00163B94" w:rsidRDefault="009D3FB5" w14:paraId="1DF872C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Segundo de Familia San José</w:t>
            </w:r>
          </w:p>
        </w:tc>
        <w:tc>
          <w:tcPr>
            <w:tcW w:w="1257" w:type="pct"/>
            <w:shd w:val="clear" w:color="auto" w:fill="auto"/>
            <w:vAlign w:val="center"/>
            <w:hideMark/>
          </w:tcPr>
          <w:p w:rsidRPr="00AE1B2B" w:rsidR="009D3FB5" w:rsidP="00163B94" w:rsidRDefault="009D3FB5" w14:paraId="5F5871C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1826-PLA-EV-2020</w:t>
            </w:r>
          </w:p>
        </w:tc>
        <w:tc>
          <w:tcPr>
            <w:tcW w:w="1164" w:type="pct"/>
            <w:shd w:val="clear" w:color="auto" w:fill="auto"/>
            <w:vAlign w:val="center"/>
            <w:hideMark/>
          </w:tcPr>
          <w:p w:rsidRPr="00AE1B2B" w:rsidR="009D3FB5" w:rsidP="00163B94" w:rsidRDefault="009D3FB5" w14:paraId="5F1169D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96-PLA-EV-2021</w:t>
            </w:r>
          </w:p>
        </w:tc>
        <w:tc>
          <w:tcPr>
            <w:tcW w:w="1099" w:type="pct"/>
            <w:shd w:val="clear" w:color="auto" w:fill="auto"/>
            <w:vAlign w:val="center"/>
            <w:hideMark/>
          </w:tcPr>
          <w:p w:rsidRPr="00AE1B2B" w:rsidR="009D3FB5" w:rsidP="00163B94" w:rsidRDefault="009D3FB5" w14:paraId="3A16E7D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9-21 del 2-2-21, Art. XXXVIII</w:t>
            </w:r>
          </w:p>
        </w:tc>
      </w:tr>
      <w:tr w:rsidRPr="00AE1B2B" w:rsidR="00AE1B2B" w:rsidTr="0007105A" w14:paraId="6ABD328D" w14:textId="77777777">
        <w:trPr>
          <w:trHeight w:val="701"/>
        </w:trPr>
        <w:tc>
          <w:tcPr>
            <w:tcW w:w="1480" w:type="pct"/>
            <w:shd w:val="clear" w:color="auto" w:fill="auto"/>
            <w:vAlign w:val="center"/>
            <w:hideMark/>
          </w:tcPr>
          <w:p w:rsidRPr="00AE1B2B" w:rsidR="009D3FB5" w:rsidP="00163B94" w:rsidRDefault="009D3FB5" w14:paraId="17CAF2B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II Circ. Jud. San José</w:t>
            </w:r>
          </w:p>
        </w:tc>
        <w:tc>
          <w:tcPr>
            <w:tcW w:w="1257" w:type="pct"/>
            <w:shd w:val="clear" w:color="auto" w:fill="auto"/>
            <w:vAlign w:val="center"/>
            <w:hideMark/>
          </w:tcPr>
          <w:p w:rsidRPr="00AE1B2B" w:rsidR="009D3FB5" w:rsidP="00163B94" w:rsidRDefault="009D3FB5" w14:paraId="5FCF0D0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1835-PLA-EV-2020</w:t>
            </w:r>
          </w:p>
        </w:tc>
        <w:tc>
          <w:tcPr>
            <w:tcW w:w="1164" w:type="pct"/>
            <w:shd w:val="clear" w:color="auto" w:fill="auto"/>
            <w:vAlign w:val="center"/>
            <w:hideMark/>
          </w:tcPr>
          <w:p w:rsidRPr="00AE1B2B" w:rsidR="009D3FB5" w:rsidP="00163B94" w:rsidRDefault="009D3FB5" w14:paraId="2534CE7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En Proceso</w:t>
            </w:r>
          </w:p>
        </w:tc>
        <w:tc>
          <w:tcPr>
            <w:tcW w:w="1099" w:type="pct"/>
            <w:shd w:val="clear" w:color="auto" w:fill="auto"/>
            <w:vAlign w:val="center"/>
            <w:hideMark/>
          </w:tcPr>
          <w:p w:rsidRPr="00AE1B2B" w:rsidR="009D3FB5" w:rsidP="00163B94" w:rsidRDefault="009D3FB5" w14:paraId="75E1992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07105A" w14:paraId="28D952EB" w14:textId="77777777">
        <w:trPr>
          <w:trHeight w:val="435"/>
        </w:trPr>
        <w:tc>
          <w:tcPr>
            <w:tcW w:w="1480" w:type="pct"/>
            <w:shd w:val="clear" w:color="auto" w:fill="auto"/>
            <w:vAlign w:val="center"/>
            <w:hideMark/>
          </w:tcPr>
          <w:p w:rsidRPr="00AE1B2B" w:rsidR="009D3FB5" w:rsidP="00163B94" w:rsidRDefault="009D3FB5" w14:paraId="77492CD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lastRenderedPageBreak/>
              <w:t>Juzgado de Familia III Circ. Jud. San José, Desamparados</w:t>
            </w:r>
          </w:p>
        </w:tc>
        <w:tc>
          <w:tcPr>
            <w:tcW w:w="1257" w:type="pct"/>
            <w:shd w:val="clear" w:color="auto" w:fill="auto"/>
            <w:vAlign w:val="center"/>
            <w:hideMark/>
          </w:tcPr>
          <w:p w:rsidRPr="00AE1B2B" w:rsidR="009D3FB5" w:rsidP="00163B94" w:rsidRDefault="009D3FB5" w14:paraId="4D4A9B0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1828-PLA-MI-2020</w:t>
            </w:r>
          </w:p>
        </w:tc>
        <w:tc>
          <w:tcPr>
            <w:tcW w:w="1164" w:type="pct"/>
            <w:shd w:val="clear" w:color="auto" w:fill="auto"/>
            <w:vAlign w:val="center"/>
            <w:hideMark/>
          </w:tcPr>
          <w:p w:rsidRPr="00AE1B2B" w:rsidR="009D3FB5" w:rsidP="00163B94" w:rsidRDefault="009D3FB5" w14:paraId="422A7B3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311-PLA-MI-21</w:t>
            </w:r>
          </w:p>
        </w:tc>
        <w:tc>
          <w:tcPr>
            <w:tcW w:w="1099" w:type="pct"/>
            <w:shd w:val="clear" w:color="auto" w:fill="auto"/>
            <w:vAlign w:val="center"/>
            <w:hideMark/>
          </w:tcPr>
          <w:p w:rsidRPr="00AE1B2B" w:rsidR="009D3FB5" w:rsidP="00163B94" w:rsidRDefault="009D3FB5" w14:paraId="72C5C9B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07105A" w14:paraId="7C923025" w14:textId="77777777">
        <w:trPr>
          <w:trHeight w:val="563"/>
        </w:trPr>
        <w:tc>
          <w:tcPr>
            <w:tcW w:w="1480" w:type="pct"/>
            <w:shd w:val="clear" w:color="auto" w:fill="auto"/>
            <w:vAlign w:val="center"/>
            <w:hideMark/>
          </w:tcPr>
          <w:p w:rsidRPr="00AE1B2B" w:rsidR="009D3FB5" w:rsidP="00163B94" w:rsidRDefault="009D3FB5" w14:paraId="344ED39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Tribunal del Familia </w:t>
            </w:r>
          </w:p>
        </w:tc>
        <w:tc>
          <w:tcPr>
            <w:tcW w:w="1257" w:type="pct"/>
            <w:shd w:val="clear" w:color="auto" w:fill="auto"/>
            <w:vAlign w:val="center"/>
            <w:hideMark/>
          </w:tcPr>
          <w:p w:rsidRPr="00AE1B2B" w:rsidR="009D3FB5" w:rsidP="00163B94" w:rsidRDefault="009D3FB5" w14:paraId="4F17457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1768-PLA-EV-2020</w:t>
            </w:r>
          </w:p>
        </w:tc>
        <w:tc>
          <w:tcPr>
            <w:tcW w:w="1164" w:type="pct"/>
            <w:shd w:val="clear" w:color="auto" w:fill="auto"/>
            <w:vAlign w:val="center"/>
            <w:hideMark/>
          </w:tcPr>
          <w:p w:rsidRPr="00AE1B2B" w:rsidR="009D3FB5" w:rsidP="00163B94" w:rsidRDefault="009D3FB5" w14:paraId="4AD1576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62-PLA-EV-2021</w:t>
            </w:r>
          </w:p>
        </w:tc>
        <w:tc>
          <w:tcPr>
            <w:tcW w:w="1099" w:type="pct"/>
            <w:shd w:val="clear" w:color="auto" w:fill="auto"/>
            <w:vAlign w:val="center"/>
            <w:hideMark/>
          </w:tcPr>
          <w:p w:rsidRPr="00AE1B2B" w:rsidR="009D3FB5" w:rsidP="00163B94" w:rsidRDefault="009D3FB5" w14:paraId="5C13BEF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10-21 del 4-2-21, Art. XLVI</w:t>
            </w:r>
          </w:p>
        </w:tc>
      </w:tr>
      <w:tr w:rsidRPr="00AE1B2B" w:rsidR="00AE1B2B" w:rsidTr="0007105A" w14:paraId="1B05F58E" w14:textId="77777777">
        <w:trPr>
          <w:trHeight w:val="435"/>
        </w:trPr>
        <w:tc>
          <w:tcPr>
            <w:tcW w:w="1480" w:type="pct"/>
            <w:shd w:val="clear" w:color="auto" w:fill="auto"/>
            <w:vAlign w:val="center"/>
            <w:hideMark/>
          </w:tcPr>
          <w:p w:rsidRPr="00AE1B2B" w:rsidR="009D3FB5" w:rsidP="00163B94" w:rsidRDefault="009D3FB5" w14:paraId="0F4DE58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Familia y Viol. Dom. I Circ. Jud. Guanacaste </w:t>
            </w:r>
          </w:p>
        </w:tc>
        <w:tc>
          <w:tcPr>
            <w:tcW w:w="1257" w:type="pct"/>
            <w:shd w:val="clear" w:color="auto" w:fill="auto"/>
            <w:vAlign w:val="center"/>
            <w:hideMark/>
          </w:tcPr>
          <w:p w:rsidRPr="00AE1B2B" w:rsidR="009D3FB5" w:rsidP="00163B94" w:rsidRDefault="009D3FB5" w14:paraId="3A6BC0C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1808-PLA-EV-2020</w:t>
            </w:r>
          </w:p>
        </w:tc>
        <w:tc>
          <w:tcPr>
            <w:tcW w:w="1164" w:type="pct"/>
            <w:shd w:val="clear" w:color="auto" w:fill="auto"/>
            <w:vAlign w:val="center"/>
            <w:hideMark/>
          </w:tcPr>
          <w:p w:rsidRPr="00AE1B2B" w:rsidR="009D3FB5" w:rsidP="00163B94" w:rsidRDefault="009D3FB5" w14:paraId="52CEECA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23-PLA-EV-2021</w:t>
            </w:r>
          </w:p>
        </w:tc>
        <w:tc>
          <w:tcPr>
            <w:tcW w:w="1099" w:type="pct"/>
            <w:shd w:val="clear" w:color="auto" w:fill="auto"/>
            <w:vAlign w:val="center"/>
            <w:hideMark/>
          </w:tcPr>
          <w:p w:rsidRPr="00AE1B2B" w:rsidR="009D3FB5" w:rsidP="00163B94" w:rsidRDefault="009D3FB5" w14:paraId="675AA20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7-21 del 26-1-21, Art. XLII </w:t>
            </w:r>
          </w:p>
        </w:tc>
      </w:tr>
      <w:tr w:rsidRPr="00AE1B2B" w:rsidR="00AE1B2B" w:rsidTr="0007105A" w14:paraId="6B2A8BFE" w14:textId="77777777">
        <w:trPr>
          <w:trHeight w:val="435"/>
        </w:trPr>
        <w:tc>
          <w:tcPr>
            <w:tcW w:w="1480" w:type="pct"/>
            <w:shd w:val="clear" w:color="auto" w:fill="auto"/>
            <w:vAlign w:val="center"/>
            <w:hideMark/>
          </w:tcPr>
          <w:p w:rsidRPr="00AE1B2B" w:rsidR="009D3FB5" w:rsidP="00163B94" w:rsidRDefault="009D3FB5" w14:paraId="4EA9FF5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 Circ. Jud. Zona Atlántica (Limón)</w:t>
            </w:r>
          </w:p>
        </w:tc>
        <w:tc>
          <w:tcPr>
            <w:tcW w:w="1257" w:type="pct"/>
            <w:shd w:val="clear" w:color="auto" w:fill="auto"/>
            <w:vAlign w:val="center"/>
            <w:hideMark/>
          </w:tcPr>
          <w:p w:rsidRPr="00AE1B2B" w:rsidR="009D3FB5" w:rsidP="00163B94" w:rsidRDefault="009D3FB5" w14:paraId="6AB63DC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2002-PLA-MI-2020</w:t>
            </w:r>
          </w:p>
        </w:tc>
        <w:tc>
          <w:tcPr>
            <w:tcW w:w="1164" w:type="pct"/>
            <w:shd w:val="clear" w:color="auto" w:fill="auto"/>
            <w:vAlign w:val="center"/>
            <w:hideMark/>
          </w:tcPr>
          <w:p w:rsidRPr="00AE1B2B" w:rsidR="009D3FB5" w:rsidP="00163B94" w:rsidRDefault="009D3FB5" w14:paraId="6C6D78A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En Proceso</w:t>
            </w:r>
          </w:p>
        </w:tc>
        <w:tc>
          <w:tcPr>
            <w:tcW w:w="1099" w:type="pct"/>
            <w:shd w:val="clear" w:color="auto" w:fill="auto"/>
            <w:vAlign w:val="center"/>
            <w:hideMark/>
          </w:tcPr>
          <w:p w:rsidRPr="00AE1B2B" w:rsidR="009D3FB5" w:rsidP="00163B94" w:rsidRDefault="009D3FB5" w14:paraId="3EB970D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07105A" w14:paraId="25D7ADD0" w14:textId="77777777">
        <w:trPr>
          <w:trHeight w:val="435"/>
        </w:trPr>
        <w:tc>
          <w:tcPr>
            <w:tcW w:w="1480" w:type="pct"/>
            <w:shd w:val="clear" w:color="auto" w:fill="auto"/>
            <w:vAlign w:val="center"/>
            <w:hideMark/>
          </w:tcPr>
          <w:p w:rsidRPr="00AE1B2B" w:rsidR="009D3FB5" w:rsidP="00163B94" w:rsidRDefault="009D3FB5" w14:paraId="5A498FB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Heredia</w:t>
            </w:r>
          </w:p>
        </w:tc>
        <w:tc>
          <w:tcPr>
            <w:tcW w:w="1257" w:type="pct"/>
            <w:shd w:val="clear" w:color="auto" w:fill="auto"/>
            <w:vAlign w:val="center"/>
            <w:hideMark/>
          </w:tcPr>
          <w:p w:rsidRPr="00AE1B2B" w:rsidR="009D3FB5" w:rsidP="00163B94" w:rsidRDefault="009D3FB5" w14:paraId="531AACC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1787-PLA-EV-2020</w:t>
            </w:r>
          </w:p>
        </w:tc>
        <w:tc>
          <w:tcPr>
            <w:tcW w:w="1164" w:type="pct"/>
            <w:shd w:val="clear" w:color="auto" w:fill="auto"/>
            <w:vAlign w:val="center"/>
            <w:hideMark/>
          </w:tcPr>
          <w:p w:rsidRPr="00AE1B2B" w:rsidR="009D3FB5" w:rsidP="00163B94" w:rsidRDefault="009D3FB5" w14:paraId="4162431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En Proceso</w:t>
            </w:r>
          </w:p>
        </w:tc>
        <w:tc>
          <w:tcPr>
            <w:tcW w:w="1099" w:type="pct"/>
            <w:shd w:val="clear" w:color="auto" w:fill="auto"/>
            <w:vAlign w:val="center"/>
            <w:hideMark/>
          </w:tcPr>
          <w:p w:rsidRPr="00AE1B2B" w:rsidR="009D3FB5" w:rsidP="00163B94" w:rsidRDefault="009D3FB5" w14:paraId="71B41D5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07105A" w14:paraId="7D450444" w14:textId="77777777">
        <w:trPr>
          <w:trHeight w:val="590"/>
        </w:trPr>
        <w:tc>
          <w:tcPr>
            <w:tcW w:w="1480" w:type="pct"/>
            <w:shd w:val="clear" w:color="auto" w:fill="auto"/>
            <w:vAlign w:val="center"/>
            <w:hideMark/>
          </w:tcPr>
          <w:p w:rsidRPr="00AE1B2B" w:rsidR="009D3FB5" w:rsidP="00163B94" w:rsidRDefault="009D3FB5" w14:paraId="5E33D86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 Circ. Jud. Alajuela</w:t>
            </w:r>
          </w:p>
        </w:tc>
        <w:tc>
          <w:tcPr>
            <w:tcW w:w="1257" w:type="pct"/>
            <w:shd w:val="clear" w:color="auto" w:fill="auto"/>
            <w:vAlign w:val="center"/>
            <w:hideMark/>
          </w:tcPr>
          <w:p w:rsidRPr="00AE1B2B" w:rsidR="009D3FB5" w:rsidP="00163B94" w:rsidRDefault="009D3FB5" w14:paraId="0601F17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1786-PLA-EV-2020</w:t>
            </w:r>
          </w:p>
        </w:tc>
        <w:tc>
          <w:tcPr>
            <w:tcW w:w="1164" w:type="pct"/>
            <w:shd w:val="clear" w:color="auto" w:fill="auto"/>
            <w:vAlign w:val="center"/>
            <w:hideMark/>
          </w:tcPr>
          <w:p w:rsidRPr="00AE1B2B" w:rsidR="009D3FB5" w:rsidP="00163B94" w:rsidRDefault="009D3FB5" w14:paraId="13981F7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24-PLA-EV-2021</w:t>
            </w:r>
          </w:p>
        </w:tc>
        <w:tc>
          <w:tcPr>
            <w:tcW w:w="1099" w:type="pct"/>
            <w:shd w:val="clear" w:color="auto" w:fill="auto"/>
            <w:vAlign w:val="center"/>
            <w:hideMark/>
          </w:tcPr>
          <w:p w:rsidRPr="00AE1B2B" w:rsidR="009D3FB5" w:rsidP="00163B94" w:rsidRDefault="009D3FB5" w14:paraId="4DFCFB6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7-21 del 26-1-21, Art. XLIV </w:t>
            </w:r>
          </w:p>
        </w:tc>
      </w:tr>
      <w:tr w:rsidRPr="00AE1B2B" w:rsidR="00AE1B2B" w:rsidTr="0007105A" w14:paraId="1614CF58" w14:textId="77777777">
        <w:trPr>
          <w:trHeight w:val="556"/>
        </w:trPr>
        <w:tc>
          <w:tcPr>
            <w:tcW w:w="1480" w:type="pct"/>
            <w:shd w:val="clear" w:color="auto" w:fill="auto"/>
            <w:vAlign w:val="center"/>
            <w:hideMark/>
          </w:tcPr>
          <w:p w:rsidRPr="00AE1B2B" w:rsidR="009D3FB5" w:rsidP="00163B94" w:rsidRDefault="009D3FB5" w14:paraId="5BC195D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Puntarenas</w:t>
            </w:r>
          </w:p>
        </w:tc>
        <w:tc>
          <w:tcPr>
            <w:tcW w:w="1257" w:type="pct"/>
            <w:shd w:val="clear" w:color="auto" w:fill="auto"/>
            <w:vAlign w:val="center"/>
            <w:hideMark/>
          </w:tcPr>
          <w:p w:rsidRPr="00AE1B2B" w:rsidR="009D3FB5" w:rsidP="00163B94" w:rsidRDefault="009D3FB5" w14:paraId="2C9E641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1809-PLA-EV-2020</w:t>
            </w:r>
          </w:p>
        </w:tc>
        <w:tc>
          <w:tcPr>
            <w:tcW w:w="1164" w:type="pct"/>
            <w:shd w:val="clear" w:color="auto" w:fill="auto"/>
            <w:vAlign w:val="center"/>
            <w:hideMark/>
          </w:tcPr>
          <w:p w:rsidRPr="00AE1B2B" w:rsidR="009D3FB5" w:rsidP="00163B94" w:rsidRDefault="009D3FB5" w14:paraId="5372EAB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25-PLA-EV-2021</w:t>
            </w:r>
          </w:p>
        </w:tc>
        <w:tc>
          <w:tcPr>
            <w:tcW w:w="1099" w:type="pct"/>
            <w:shd w:val="clear" w:color="auto" w:fill="auto"/>
            <w:vAlign w:val="center"/>
            <w:hideMark/>
          </w:tcPr>
          <w:p w:rsidRPr="00AE1B2B" w:rsidR="009D3FB5" w:rsidP="00163B94" w:rsidRDefault="009D3FB5" w14:paraId="7AA48F2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07105A" w14:paraId="6AB6B9DD" w14:textId="77777777">
        <w:trPr>
          <w:trHeight w:val="450"/>
        </w:trPr>
        <w:tc>
          <w:tcPr>
            <w:tcW w:w="1480" w:type="pct"/>
            <w:shd w:val="clear" w:color="auto" w:fill="auto"/>
            <w:vAlign w:val="center"/>
            <w:hideMark/>
          </w:tcPr>
          <w:p w:rsidRPr="00AE1B2B" w:rsidR="009D3FB5" w:rsidP="00163B94" w:rsidRDefault="009D3FB5" w14:paraId="3763265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II Circ. Jud. Alajuela</w:t>
            </w:r>
          </w:p>
        </w:tc>
        <w:tc>
          <w:tcPr>
            <w:tcW w:w="1257" w:type="pct"/>
            <w:shd w:val="clear" w:color="auto" w:fill="auto"/>
            <w:vAlign w:val="center"/>
            <w:hideMark/>
          </w:tcPr>
          <w:p w:rsidRPr="00AE1B2B" w:rsidR="009D3FB5" w:rsidP="00163B94" w:rsidRDefault="009D3FB5" w14:paraId="71C249A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1837-PLA-EV-2020</w:t>
            </w:r>
          </w:p>
        </w:tc>
        <w:tc>
          <w:tcPr>
            <w:tcW w:w="1164" w:type="pct"/>
            <w:shd w:val="clear" w:color="auto" w:fill="auto"/>
            <w:vAlign w:val="center"/>
            <w:hideMark/>
          </w:tcPr>
          <w:p w:rsidRPr="00AE1B2B" w:rsidR="009D3FB5" w:rsidP="00163B94" w:rsidRDefault="009D3FB5" w14:paraId="4591073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26-PLA-EV-2021</w:t>
            </w:r>
          </w:p>
        </w:tc>
        <w:tc>
          <w:tcPr>
            <w:tcW w:w="1099" w:type="pct"/>
            <w:shd w:val="clear" w:color="auto" w:fill="auto"/>
            <w:vAlign w:val="center"/>
            <w:hideMark/>
          </w:tcPr>
          <w:p w:rsidRPr="00AE1B2B" w:rsidR="009D3FB5" w:rsidP="00163B94" w:rsidRDefault="009D3FB5" w14:paraId="67CE26E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07105A" w14:paraId="46E0E310" w14:textId="77777777">
        <w:trPr>
          <w:trHeight w:val="450"/>
        </w:trPr>
        <w:tc>
          <w:tcPr>
            <w:tcW w:w="1480" w:type="pct"/>
            <w:shd w:val="clear" w:color="auto" w:fill="auto"/>
            <w:vAlign w:val="center"/>
            <w:hideMark/>
          </w:tcPr>
          <w:p w:rsidRPr="00AE1B2B" w:rsidR="009D3FB5" w:rsidP="00163B94" w:rsidRDefault="009D3FB5" w14:paraId="7F05469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 Circ. Jud. Zona Sur (Pérez Zeledón)</w:t>
            </w:r>
          </w:p>
        </w:tc>
        <w:tc>
          <w:tcPr>
            <w:tcW w:w="1257" w:type="pct"/>
            <w:shd w:val="clear" w:color="auto" w:fill="auto"/>
            <w:vAlign w:val="center"/>
            <w:hideMark/>
          </w:tcPr>
          <w:p w:rsidRPr="00AE1B2B" w:rsidR="009D3FB5" w:rsidP="00163B94" w:rsidRDefault="009D3FB5" w14:paraId="08724A5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1807-PLA-EV-2020</w:t>
            </w:r>
          </w:p>
        </w:tc>
        <w:tc>
          <w:tcPr>
            <w:tcW w:w="1164" w:type="pct"/>
            <w:shd w:val="clear" w:color="auto" w:fill="auto"/>
            <w:vAlign w:val="center"/>
            <w:hideMark/>
          </w:tcPr>
          <w:p w:rsidRPr="00AE1B2B" w:rsidR="009D3FB5" w:rsidP="00163B94" w:rsidRDefault="009D3FB5" w14:paraId="239A3DF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27-PLA-EV-2021</w:t>
            </w:r>
          </w:p>
        </w:tc>
        <w:tc>
          <w:tcPr>
            <w:tcW w:w="1099" w:type="pct"/>
            <w:shd w:val="clear" w:color="auto" w:fill="auto"/>
            <w:vAlign w:val="center"/>
            <w:hideMark/>
          </w:tcPr>
          <w:p w:rsidRPr="00AE1B2B" w:rsidR="009D3FB5" w:rsidP="00163B94" w:rsidRDefault="009D3FB5" w14:paraId="6F4861E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8-21 del 28-1-21, Art. XLIV </w:t>
            </w:r>
          </w:p>
        </w:tc>
      </w:tr>
      <w:tr w:rsidRPr="00AE1B2B" w:rsidR="00AE1B2B" w:rsidTr="0007105A" w14:paraId="6B7C2027" w14:textId="77777777">
        <w:trPr>
          <w:trHeight w:val="579"/>
        </w:trPr>
        <w:tc>
          <w:tcPr>
            <w:tcW w:w="1480" w:type="pct"/>
            <w:shd w:val="clear" w:color="auto" w:fill="auto"/>
            <w:vAlign w:val="center"/>
            <w:hideMark/>
          </w:tcPr>
          <w:p w:rsidRPr="00AE1B2B" w:rsidR="009D3FB5" w:rsidP="00163B94" w:rsidRDefault="009D3FB5" w14:paraId="3C73B84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II Circ. Jud. Zona Atlántica (Pococí)</w:t>
            </w:r>
          </w:p>
        </w:tc>
        <w:tc>
          <w:tcPr>
            <w:tcW w:w="1257" w:type="pct"/>
            <w:shd w:val="clear" w:color="auto" w:fill="auto"/>
            <w:vAlign w:val="center"/>
            <w:hideMark/>
          </w:tcPr>
          <w:p w:rsidRPr="00AE1B2B" w:rsidR="009D3FB5" w:rsidP="00163B94" w:rsidRDefault="009D3FB5" w14:paraId="3E72337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1785-PLA-EV-2020</w:t>
            </w:r>
          </w:p>
        </w:tc>
        <w:tc>
          <w:tcPr>
            <w:tcW w:w="1164" w:type="pct"/>
            <w:shd w:val="clear" w:color="auto" w:fill="auto"/>
            <w:vAlign w:val="center"/>
            <w:hideMark/>
          </w:tcPr>
          <w:p w:rsidRPr="00AE1B2B" w:rsidR="009D3FB5" w:rsidP="00163B94" w:rsidRDefault="009D3FB5" w14:paraId="3E2E5A9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36-PLA-EV-2021</w:t>
            </w:r>
          </w:p>
        </w:tc>
        <w:tc>
          <w:tcPr>
            <w:tcW w:w="1099" w:type="pct"/>
            <w:shd w:val="clear" w:color="auto" w:fill="auto"/>
            <w:vAlign w:val="center"/>
            <w:hideMark/>
          </w:tcPr>
          <w:p w:rsidRPr="00AE1B2B" w:rsidR="009D3FB5" w:rsidP="00163B94" w:rsidRDefault="009D3FB5" w14:paraId="1356295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8-21 del 28-1-21. Art. XLV</w:t>
            </w:r>
          </w:p>
        </w:tc>
      </w:tr>
      <w:tr w:rsidRPr="00AE1B2B" w:rsidR="00AE1B2B" w:rsidTr="0007105A" w14:paraId="01623EAF" w14:textId="77777777">
        <w:trPr>
          <w:trHeight w:val="450"/>
        </w:trPr>
        <w:tc>
          <w:tcPr>
            <w:tcW w:w="1480" w:type="pct"/>
            <w:shd w:val="clear" w:color="auto" w:fill="auto"/>
            <w:vAlign w:val="center"/>
            <w:hideMark/>
          </w:tcPr>
          <w:p w:rsidRPr="00AE1B2B" w:rsidR="009D3FB5" w:rsidP="00163B94" w:rsidRDefault="009D3FB5" w14:paraId="13EA718E"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y Viol. Dom. III Circ. Jud. Alajuela (San Ramón)</w:t>
            </w:r>
          </w:p>
        </w:tc>
        <w:tc>
          <w:tcPr>
            <w:tcW w:w="1257" w:type="pct"/>
            <w:shd w:val="clear" w:color="auto" w:fill="auto"/>
            <w:vAlign w:val="center"/>
            <w:hideMark/>
          </w:tcPr>
          <w:p w:rsidRPr="00AE1B2B" w:rsidR="009D3FB5" w:rsidP="00163B94" w:rsidRDefault="009D3FB5" w14:paraId="241311F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1803-PLA-MI-2020</w:t>
            </w:r>
          </w:p>
        </w:tc>
        <w:tc>
          <w:tcPr>
            <w:tcW w:w="1164" w:type="pct"/>
            <w:shd w:val="clear" w:color="auto" w:fill="auto"/>
            <w:vAlign w:val="center"/>
            <w:hideMark/>
          </w:tcPr>
          <w:p w:rsidRPr="00AE1B2B" w:rsidR="009D3FB5" w:rsidP="00163B94" w:rsidRDefault="009D3FB5" w14:paraId="0AA48E6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39-PLA-EV-2021</w:t>
            </w:r>
          </w:p>
        </w:tc>
        <w:tc>
          <w:tcPr>
            <w:tcW w:w="1099" w:type="pct"/>
            <w:shd w:val="clear" w:color="auto" w:fill="auto"/>
            <w:vAlign w:val="center"/>
            <w:hideMark/>
          </w:tcPr>
          <w:p w:rsidRPr="00AE1B2B" w:rsidR="009D3FB5" w:rsidP="00163B94" w:rsidRDefault="009D3FB5" w14:paraId="65F84B0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7-21 del 26-1-21, Art. XLIII </w:t>
            </w:r>
          </w:p>
        </w:tc>
      </w:tr>
      <w:tr w:rsidRPr="00AE1B2B" w:rsidR="00AE1B2B" w:rsidTr="0007105A" w14:paraId="197F5205" w14:textId="77777777">
        <w:trPr>
          <w:trHeight w:val="728"/>
        </w:trPr>
        <w:tc>
          <w:tcPr>
            <w:tcW w:w="1480" w:type="pct"/>
            <w:shd w:val="clear" w:color="auto" w:fill="auto"/>
            <w:vAlign w:val="center"/>
            <w:hideMark/>
          </w:tcPr>
          <w:p w:rsidRPr="00AE1B2B" w:rsidR="009D3FB5" w:rsidP="00163B94" w:rsidRDefault="009D3FB5" w14:paraId="310B607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Penal Juvenil y Viol. Dom. Cañas</w:t>
            </w:r>
          </w:p>
        </w:tc>
        <w:tc>
          <w:tcPr>
            <w:tcW w:w="1257" w:type="pct"/>
            <w:shd w:val="clear" w:color="auto" w:fill="auto"/>
            <w:vAlign w:val="center"/>
            <w:hideMark/>
          </w:tcPr>
          <w:p w:rsidRPr="00AE1B2B" w:rsidR="009D3FB5" w:rsidP="00163B94" w:rsidRDefault="009D3FB5" w14:paraId="1C80AB7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1832-PLA-EV-2020</w:t>
            </w:r>
          </w:p>
        </w:tc>
        <w:tc>
          <w:tcPr>
            <w:tcW w:w="1164" w:type="pct"/>
            <w:shd w:val="clear" w:color="auto" w:fill="auto"/>
            <w:vAlign w:val="center"/>
            <w:hideMark/>
          </w:tcPr>
          <w:p w:rsidRPr="00AE1B2B" w:rsidR="009D3FB5" w:rsidP="00163B94" w:rsidRDefault="009D3FB5" w14:paraId="0F3EF1B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198-PLA-MI-2021</w:t>
            </w:r>
          </w:p>
        </w:tc>
        <w:tc>
          <w:tcPr>
            <w:tcW w:w="1099" w:type="pct"/>
            <w:shd w:val="clear" w:color="auto" w:fill="auto"/>
            <w:vAlign w:val="center"/>
            <w:hideMark/>
          </w:tcPr>
          <w:p w:rsidRPr="00AE1B2B" w:rsidR="009D3FB5" w:rsidP="00163B94" w:rsidRDefault="009D3FB5" w14:paraId="7CCB2CB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07105A" w14:paraId="1C3D96E0" w14:textId="77777777">
        <w:trPr>
          <w:trHeight w:val="837"/>
        </w:trPr>
        <w:tc>
          <w:tcPr>
            <w:tcW w:w="1480" w:type="pct"/>
            <w:shd w:val="clear" w:color="auto" w:fill="auto"/>
            <w:vAlign w:val="center"/>
            <w:hideMark/>
          </w:tcPr>
          <w:p w:rsidRPr="00AE1B2B" w:rsidR="009D3FB5" w:rsidP="00163B94" w:rsidRDefault="009D3FB5" w14:paraId="447A4A7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VD y PJ de Quepos</w:t>
            </w:r>
          </w:p>
        </w:tc>
        <w:tc>
          <w:tcPr>
            <w:tcW w:w="1257" w:type="pct"/>
            <w:shd w:val="clear" w:color="auto" w:fill="auto"/>
            <w:vAlign w:val="center"/>
            <w:hideMark/>
          </w:tcPr>
          <w:p w:rsidRPr="00AE1B2B" w:rsidR="009D3FB5" w:rsidP="00163B94" w:rsidRDefault="009D3FB5" w14:paraId="2288212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1794-PLA-EV-2020</w:t>
            </w:r>
          </w:p>
        </w:tc>
        <w:tc>
          <w:tcPr>
            <w:tcW w:w="1164" w:type="pct"/>
            <w:shd w:val="clear" w:color="auto" w:fill="auto"/>
            <w:vAlign w:val="center"/>
            <w:hideMark/>
          </w:tcPr>
          <w:p w:rsidRPr="00AE1B2B" w:rsidR="009D3FB5" w:rsidP="00163B94" w:rsidRDefault="009D3FB5" w14:paraId="5B6CD88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41-PLA-EV-2021</w:t>
            </w:r>
          </w:p>
        </w:tc>
        <w:tc>
          <w:tcPr>
            <w:tcW w:w="1099" w:type="pct"/>
            <w:shd w:val="clear" w:color="auto" w:fill="auto"/>
            <w:vAlign w:val="center"/>
            <w:hideMark/>
          </w:tcPr>
          <w:p w:rsidRPr="00AE1B2B" w:rsidR="009D3FB5" w:rsidP="00163B94" w:rsidRDefault="009D3FB5" w14:paraId="79BB29C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8-21 del 28-1-21, Art. XLII</w:t>
            </w:r>
          </w:p>
        </w:tc>
      </w:tr>
      <w:tr w:rsidRPr="00AE1B2B" w:rsidR="00AE1B2B" w:rsidTr="0007105A" w14:paraId="30DBADA3" w14:textId="77777777">
        <w:trPr>
          <w:trHeight w:val="849"/>
        </w:trPr>
        <w:tc>
          <w:tcPr>
            <w:tcW w:w="1480" w:type="pct"/>
            <w:shd w:val="clear" w:color="auto" w:fill="auto"/>
            <w:vAlign w:val="center"/>
            <w:hideMark/>
          </w:tcPr>
          <w:p w:rsidRPr="00AE1B2B" w:rsidR="009D3FB5" w:rsidP="00163B94" w:rsidRDefault="009D3FB5" w14:paraId="01D1C70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y Viol. Dom. II Circ. Jud. Zona Sur (Corredores)</w:t>
            </w:r>
          </w:p>
        </w:tc>
        <w:tc>
          <w:tcPr>
            <w:tcW w:w="1257" w:type="pct"/>
            <w:shd w:val="clear" w:color="auto" w:fill="auto"/>
            <w:vAlign w:val="center"/>
            <w:hideMark/>
          </w:tcPr>
          <w:p w:rsidRPr="00AE1B2B" w:rsidR="009D3FB5" w:rsidP="00163B94" w:rsidRDefault="009D3FB5" w14:paraId="67CDEF9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1830-PLA-EV-2020</w:t>
            </w:r>
          </w:p>
        </w:tc>
        <w:tc>
          <w:tcPr>
            <w:tcW w:w="1164" w:type="pct"/>
            <w:shd w:val="clear" w:color="auto" w:fill="auto"/>
            <w:vAlign w:val="center"/>
            <w:hideMark/>
          </w:tcPr>
          <w:p w:rsidRPr="00AE1B2B" w:rsidR="009D3FB5" w:rsidP="00163B94" w:rsidRDefault="009D3FB5" w14:paraId="626EA5E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43-PLA-EV-2021</w:t>
            </w:r>
          </w:p>
        </w:tc>
        <w:tc>
          <w:tcPr>
            <w:tcW w:w="1099" w:type="pct"/>
            <w:shd w:val="clear" w:color="auto" w:fill="auto"/>
            <w:vAlign w:val="center"/>
            <w:hideMark/>
          </w:tcPr>
          <w:p w:rsidRPr="00AE1B2B" w:rsidR="009D3FB5" w:rsidP="00163B94" w:rsidRDefault="009D3FB5" w14:paraId="49DFFC3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Sesión 08-21 del 28-1-21. Art. XLIII </w:t>
            </w:r>
          </w:p>
        </w:tc>
      </w:tr>
      <w:tr w:rsidRPr="00AE1B2B" w:rsidR="00AE1B2B" w:rsidTr="0007105A" w14:paraId="1C111351" w14:textId="77777777">
        <w:trPr>
          <w:trHeight w:val="828"/>
        </w:trPr>
        <w:tc>
          <w:tcPr>
            <w:tcW w:w="1480" w:type="pct"/>
            <w:shd w:val="clear" w:color="auto" w:fill="auto"/>
            <w:vAlign w:val="center"/>
            <w:hideMark/>
          </w:tcPr>
          <w:p w:rsidRPr="00AE1B2B" w:rsidR="009D3FB5" w:rsidP="00163B94" w:rsidRDefault="009D3FB5" w14:paraId="76A1100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lastRenderedPageBreak/>
              <w:t>Juzgado Familia, Penal Juv. y Viol. Dom. Doméstica de Golfito</w:t>
            </w:r>
          </w:p>
        </w:tc>
        <w:tc>
          <w:tcPr>
            <w:tcW w:w="1257" w:type="pct"/>
            <w:shd w:val="clear" w:color="auto" w:fill="auto"/>
            <w:vAlign w:val="center"/>
            <w:hideMark/>
          </w:tcPr>
          <w:p w:rsidRPr="00AE1B2B" w:rsidR="009D3FB5" w:rsidP="00163B94" w:rsidRDefault="009D3FB5" w14:paraId="1BF0667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1805-PLA-EV-2020</w:t>
            </w:r>
          </w:p>
        </w:tc>
        <w:tc>
          <w:tcPr>
            <w:tcW w:w="1164" w:type="pct"/>
            <w:shd w:val="clear" w:color="auto" w:fill="auto"/>
            <w:vAlign w:val="center"/>
            <w:hideMark/>
          </w:tcPr>
          <w:p w:rsidRPr="00AE1B2B" w:rsidR="009D3FB5" w:rsidP="00163B94" w:rsidRDefault="009D3FB5" w14:paraId="7096894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8-PLA-EV-2021</w:t>
            </w:r>
          </w:p>
        </w:tc>
        <w:tc>
          <w:tcPr>
            <w:tcW w:w="1099" w:type="pct"/>
            <w:shd w:val="clear" w:color="auto" w:fill="auto"/>
            <w:vAlign w:val="center"/>
            <w:hideMark/>
          </w:tcPr>
          <w:p w:rsidRPr="00AE1B2B" w:rsidR="009D3FB5" w:rsidP="00163B94" w:rsidRDefault="009D3FB5" w14:paraId="5A1CC07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7-21 del 26-1-21, Art. XXXVIII </w:t>
            </w:r>
          </w:p>
        </w:tc>
      </w:tr>
      <w:tr w:rsidRPr="00AE1B2B" w:rsidR="00AE1B2B" w:rsidTr="0007105A" w14:paraId="65FCE396" w14:textId="77777777">
        <w:trPr>
          <w:trHeight w:val="552"/>
        </w:trPr>
        <w:tc>
          <w:tcPr>
            <w:tcW w:w="1480" w:type="pct"/>
            <w:shd w:val="clear" w:color="auto" w:fill="auto"/>
            <w:vAlign w:val="center"/>
            <w:hideMark/>
          </w:tcPr>
          <w:p w:rsidRPr="00AE1B2B" w:rsidR="009D3FB5" w:rsidP="00163B94" w:rsidRDefault="009D3FB5" w14:paraId="561EBBB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y Viol. Dom. II Circ. Jud. Guanacaste (Nicoya)</w:t>
            </w:r>
          </w:p>
        </w:tc>
        <w:tc>
          <w:tcPr>
            <w:tcW w:w="1257" w:type="pct"/>
            <w:shd w:val="clear" w:color="auto" w:fill="auto"/>
            <w:vAlign w:val="center"/>
            <w:hideMark/>
          </w:tcPr>
          <w:p w:rsidRPr="00AE1B2B" w:rsidR="009D3FB5" w:rsidP="00163B94" w:rsidRDefault="009D3FB5" w14:paraId="7414BC5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1787-PLA-EV-2020</w:t>
            </w:r>
          </w:p>
        </w:tc>
        <w:tc>
          <w:tcPr>
            <w:tcW w:w="1164" w:type="pct"/>
            <w:shd w:val="clear" w:color="auto" w:fill="auto"/>
            <w:vAlign w:val="center"/>
            <w:hideMark/>
          </w:tcPr>
          <w:p w:rsidRPr="00AE1B2B" w:rsidR="009D3FB5" w:rsidP="00163B94" w:rsidRDefault="009D3FB5" w14:paraId="5A8A336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9-PLA-EV-2021</w:t>
            </w:r>
          </w:p>
        </w:tc>
        <w:tc>
          <w:tcPr>
            <w:tcW w:w="1099" w:type="pct"/>
            <w:shd w:val="clear" w:color="auto" w:fill="auto"/>
            <w:vAlign w:val="center"/>
            <w:hideMark/>
          </w:tcPr>
          <w:p w:rsidRPr="00AE1B2B" w:rsidR="009D3FB5" w:rsidP="00163B94" w:rsidRDefault="009D3FB5" w14:paraId="02E3533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6-21 del 21-1-21, Art. XXXIX</w:t>
            </w:r>
          </w:p>
        </w:tc>
      </w:tr>
      <w:tr w:rsidRPr="00AE1B2B" w:rsidR="00AE1B2B" w:rsidTr="0007105A" w14:paraId="65AD3AEE" w14:textId="77777777">
        <w:trPr>
          <w:trHeight w:val="552"/>
        </w:trPr>
        <w:tc>
          <w:tcPr>
            <w:tcW w:w="1480" w:type="pct"/>
            <w:shd w:val="clear" w:color="auto" w:fill="auto"/>
            <w:vAlign w:val="center"/>
            <w:hideMark/>
          </w:tcPr>
          <w:p w:rsidRPr="00AE1B2B" w:rsidR="009D3FB5" w:rsidP="00163B94" w:rsidRDefault="009D3FB5" w14:paraId="31B3D39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Penal Juvenil y Viol. Dom. Santa Cruz</w:t>
            </w:r>
          </w:p>
        </w:tc>
        <w:tc>
          <w:tcPr>
            <w:tcW w:w="1257" w:type="pct"/>
            <w:shd w:val="clear" w:color="auto" w:fill="auto"/>
            <w:vAlign w:val="center"/>
            <w:hideMark/>
          </w:tcPr>
          <w:p w:rsidRPr="00AE1B2B" w:rsidR="009D3FB5" w:rsidP="00163B94" w:rsidRDefault="009D3FB5" w14:paraId="5AC8965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1788-PLA-EV-2020</w:t>
            </w:r>
          </w:p>
        </w:tc>
        <w:tc>
          <w:tcPr>
            <w:tcW w:w="1164" w:type="pct"/>
            <w:shd w:val="clear" w:color="auto" w:fill="auto"/>
            <w:vAlign w:val="center"/>
            <w:hideMark/>
          </w:tcPr>
          <w:p w:rsidRPr="00AE1B2B" w:rsidR="009D3FB5" w:rsidP="00163B94" w:rsidRDefault="009D3FB5" w14:paraId="5C3BEBE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10-PLA-EV-2021</w:t>
            </w:r>
          </w:p>
        </w:tc>
        <w:tc>
          <w:tcPr>
            <w:tcW w:w="1099" w:type="pct"/>
            <w:shd w:val="clear" w:color="auto" w:fill="auto"/>
            <w:vAlign w:val="center"/>
            <w:hideMark/>
          </w:tcPr>
          <w:p w:rsidRPr="00AE1B2B" w:rsidR="009D3FB5" w:rsidP="00163B94" w:rsidRDefault="009D3FB5" w14:paraId="01D50F0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7-21 del 26-1-21, Art. XXXIX </w:t>
            </w:r>
          </w:p>
        </w:tc>
      </w:tr>
      <w:tr w:rsidRPr="00AE1B2B" w:rsidR="00AE1B2B" w:rsidTr="0007105A" w14:paraId="7167B3A8" w14:textId="77777777">
        <w:trPr>
          <w:trHeight w:val="599"/>
        </w:trPr>
        <w:tc>
          <w:tcPr>
            <w:tcW w:w="1480" w:type="pct"/>
            <w:shd w:val="clear" w:color="auto" w:fill="auto"/>
            <w:vAlign w:val="center"/>
            <w:hideMark/>
          </w:tcPr>
          <w:p w:rsidRPr="00AE1B2B" w:rsidR="009D3FB5" w:rsidP="00163B94" w:rsidRDefault="009D3FB5" w14:paraId="41BAA4B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Penal Juvenil y Viol. Dom. Turrialba</w:t>
            </w:r>
          </w:p>
        </w:tc>
        <w:tc>
          <w:tcPr>
            <w:tcW w:w="1257" w:type="pct"/>
            <w:shd w:val="clear" w:color="auto" w:fill="auto"/>
            <w:vAlign w:val="center"/>
            <w:hideMark/>
          </w:tcPr>
          <w:p w:rsidRPr="00AE1B2B" w:rsidR="009D3FB5" w:rsidP="00163B94" w:rsidRDefault="009D3FB5" w14:paraId="304CD7D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1827-PLA-EV-2020</w:t>
            </w:r>
          </w:p>
        </w:tc>
        <w:tc>
          <w:tcPr>
            <w:tcW w:w="1164" w:type="pct"/>
            <w:shd w:val="clear" w:color="auto" w:fill="auto"/>
            <w:vAlign w:val="center"/>
            <w:hideMark/>
          </w:tcPr>
          <w:p w:rsidRPr="00AE1B2B" w:rsidR="009D3FB5" w:rsidP="00163B94" w:rsidRDefault="009D3FB5" w14:paraId="0F004BA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1861-PLA-EV-2020</w:t>
            </w:r>
          </w:p>
        </w:tc>
        <w:tc>
          <w:tcPr>
            <w:tcW w:w="1099" w:type="pct"/>
            <w:shd w:val="clear" w:color="auto" w:fill="auto"/>
            <w:vAlign w:val="center"/>
            <w:hideMark/>
          </w:tcPr>
          <w:p w:rsidRPr="00AE1B2B" w:rsidR="009D3FB5" w:rsidP="00163B94" w:rsidRDefault="009D3FB5" w14:paraId="1962767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16-21 del 25-2-21, Art. L</w:t>
            </w:r>
          </w:p>
        </w:tc>
      </w:tr>
      <w:tr w:rsidRPr="00AE1B2B" w:rsidR="00AE1B2B" w:rsidTr="0007105A" w14:paraId="0313AFB1" w14:textId="77777777">
        <w:trPr>
          <w:trHeight w:val="694"/>
        </w:trPr>
        <w:tc>
          <w:tcPr>
            <w:tcW w:w="1480" w:type="pct"/>
            <w:shd w:val="clear" w:color="auto" w:fill="auto"/>
            <w:vAlign w:val="center"/>
            <w:hideMark/>
          </w:tcPr>
          <w:p w:rsidRPr="00AE1B2B" w:rsidR="009D3FB5" w:rsidP="00163B94" w:rsidRDefault="009D3FB5" w14:paraId="32641A9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Trab. y Fam. Hatillo, San Seb. y Alajuelita </w:t>
            </w:r>
          </w:p>
        </w:tc>
        <w:tc>
          <w:tcPr>
            <w:tcW w:w="1257" w:type="pct"/>
            <w:shd w:val="clear" w:color="auto" w:fill="auto"/>
            <w:vAlign w:val="center"/>
            <w:hideMark/>
          </w:tcPr>
          <w:p w:rsidRPr="00AE1B2B" w:rsidR="009D3FB5" w:rsidP="00163B94" w:rsidRDefault="009D3FB5" w14:paraId="455D9FC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1814-PLA-MI-2020</w:t>
            </w:r>
          </w:p>
        </w:tc>
        <w:tc>
          <w:tcPr>
            <w:tcW w:w="1164" w:type="pct"/>
            <w:shd w:val="clear" w:color="auto" w:fill="auto"/>
            <w:vAlign w:val="center"/>
            <w:hideMark/>
          </w:tcPr>
          <w:p w:rsidRPr="00AE1B2B" w:rsidR="009D3FB5" w:rsidP="00163B94" w:rsidRDefault="009D3FB5" w14:paraId="33C7454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11-PLA-EV-2021</w:t>
            </w:r>
          </w:p>
        </w:tc>
        <w:tc>
          <w:tcPr>
            <w:tcW w:w="1099" w:type="pct"/>
            <w:shd w:val="clear" w:color="auto" w:fill="auto"/>
            <w:vAlign w:val="center"/>
            <w:hideMark/>
          </w:tcPr>
          <w:p w:rsidRPr="00AE1B2B" w:rsidR="009D3FB5" w:rsidP="00163B94" w:rsidRDefault="009D3FB5" w14:paraId="7EB8655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7-21 del 26-1-21, Art. XLI</w:t>
            </w:r>
          </w:p>
        </w:tc>
      </w:tr>
      <w:tr w:rsidRPr="00AE1B2B" w:rsidR="00AE1B2B" w:rsidTr="0007105A" w14:paraId="0C0FDC5B" w14:textId="77777777">
        <w:trPr>
          <w:trHeight w:val="651"/>
        </w:trPr>
        <w:tc>
          <w:tcPr>
            <w:tcW w:w="1480" w:type="pct"/>
            <w:shd w:val="clear" w:color="auto" w:fill="auto"/>
            <w:vAlign w:val="center"/>
            <w:hideMark/>
          </w:tcPr>
          <w:p w:rsidRPr="00AE1B2B" w:rsidR="009D3FB5" w:rsidP="00163B94" w:rsidRDefault="009D3FB5" w14:paraId="2547D61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Familia, Civil, Trabajo, Violencia Doméstica; Agrario y Penal Juvenil de Upala </w:t>
            </w:r>
          </w:p>
        </w:tc>
        <w:tc>
          <w:tcPr>
            <w:tcW w:w="1257" w:type="pct"/>
            <w:shd w:val="clear" w:color="auto" w:fill="auto"/>
            <w:vAlign w:val="center"/>
            <w:hideMark/>
          </w:tcPr>
          <w:p w:rsidRPr="00AE1B2B" w:rsidR="009D3FB5" w:rsidP="00163B94" w:rsidRDefault="009D3FB5" w14:paraId="4FEC2FE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1782-PLA-EV-2020</w:t>
            </w:r>
          </w:p>
        </w:tc>
        <w:tc>
          <w:tcPr>
            <w:tcW w:w="1164" w:type="pct"/>
            <w:shd w:val="clear" w:color="auto" w:fill="auto"/>
            <w:vAlign w:val="center"/>
            <w:hideMark/>
          </w:tcPr>
          <w:p w:rsidRPr="00AE1B2B" w:rsidR="009D3FB5" w:rsidP="00163B94" w:rsidRDefault="009D3FB5" w14:paraId="32F7A19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196-PLA-MI-2021</w:t>
            </w:r>
          </w:p>
        </w:tc>
        <w:tc>
          <w:tcPr>
            <w:tcW w:w="1099" w:type="pct"/>
            <w:shd w:val="clear" w:color="auto" w:fill="auto"/>
            <w:vAlign w:val="center"/>
            <w:hideMark/>
          </w:tcPr>
          <w:p w:rsidRPr="00AE1B2B" w:rsidR="009D3FB5" w:rsidP="00163B94" w:rsidRDefault="009D3FB5" w14:paraId="60FE04E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07105A" w14:paraId="16D3E431" w14:textId="77777777">
        <w:trPr>
          <w:trHeight w:val="501"/>
        </w:trPr>
        <w:tc>
          <w:tcPr>
            <w:tcW w:w="1480" w:type="pct"/>
            <w:shd w:val="clear" w:color="auto" w:fill="auto"/>
            <w:vAlign w:val="center"/>
            <w:hideMark/>
          </w:tcPr>
          <w:p w:rsidRPr="00AE1B2B" w:rsidR="009D3FB5" w:rsidP="00163B94" w:rsidRDefault="009D3FB5" w14:paraId="578543E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Civil, Trabajo, y Familia de Sarapiquí </w:t>
            </w:r>
          </w:p>
        </w:tc>
        <w:tc>
          <w:tcPr>
            <w:tcW w:w="1257" w:type="pct"/>
            <w:shd w:val="clear" w:color="auto" w:fill="auto"/>
            <w:vAlign w:val="center"/>
            <w:hideMark/>
          </w:tcPr>
          <w:p w:rsidRPr="00AE1B2B" w:rsidR="009D3FB5" w:rsidP="00163B94" w:rsidRDefault="009D3FB5" w14:paraId="2E8A111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1833-PLA-EV-2020</w:t>
            </w:r>
          </w:p>
        </w:tc>
        <w:tc>
          <w:tcPr>
            <w:tcW w:w="1164" w:type="pct"/>
            <w:shd w:val="clear" w:color="auto" w:fill="auto"/>
            <w:vAlign w:val="center"/>
            <w:hideMark/>
          </w:tcPr>
          <w:p w:rsidRPr="00AE1B2B" w:rsidR="009D3FB5" w:rsidP="00163B94" w:rsidRDefault="009D3FB5" w14:paraId="01BF617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19-PLA-EV-2021</w:t>
            </w:r>
          </w:p>
        </w:tc>
        <w:tc>
          <w:tcPr>
            <w:tcW w:w="1099" w:type="pct"/>
            <w:shd w:val="clear" w:color="auto" w:fill="auto"/>
            <w:vAlign w:val="center"/>
            <w:hideMark/>
          </w:tcPr>
          <w:p w:rsidRPr="00AE1B2B" w:rsidR="009D3FB5" w:rsidP="00163B94" w:rsidRDefault="009D3FB5" w14:paraId="260B33E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9-21 del 2-2-21, Art. XXXIX </w:t>
            </w:r>
          </w:p>
        </w:tc>
      </w:tr>
      <w:tr w:rsidRPr="00AE1B2B" w:rsidR="00AE1B2B" w:rsidTr="0007105A" w14:paraId="45AAD069" w14:textId="77777777">
        <w:trPr>
          <w:trHeight w:val="828"/>
        </w:trPr>
        <w:tc>
          <w:tcPr>
            <w:tcW w:w="1480" w:type="pct"/>
            <w:shd w:val="clear" w:color="auto" w:fill="auto"/>
            <w:vAlign w:val="center"/>
            <w:hideMark/>
          </w:tcPr>
          <w:p w:rsidRPr="00AE1B2B" w:rsidR="009D3FB5" w:rsidP="00163B94" w:rsidRDefault="009D3FB5" w14:paraId="59E5F52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Civil, Trabajo y Familia de Puriscal </w:t>
            </w:r>
          </w:p>
        </w:tc>
        <w:tc>
          <w:tcPr>
            <w:tcW w:w="1257" w:type="pct"/>
            <w:shd w:val="clear" w:color="auto" w:fill="auto"/>
            <w:vAlign w:val="center"/>
            <w:hideMark/>
          </w:tcPr>
          <w:p w:rsidRPr="00AE1B2B" w:rsidR="009D3FB5" w:rsidP="00163B94" w:rsidRDefault="009D3FB5" w14:paraId="65FAD2B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1831-PLA-2020</w:t>
            </w:r>
          </w:p>
        </w:tc>
        <w:tc>
          <w:tcPr>
            <w:tcW w:w="1164" w:type="pct"/>
            <w:shd w:val="clear" w:color="auto" w:fill="auto"/>
            <w:vAlign w:val="center"/>
            <w:hideMark/>
          </w:tcPr>
          <w:p w:rsidRPr="00AE1B2B" w:rsidR="009D3FB5" w:rsidP="00163B94" w:rsidRDefault="009D3FB5" w14:paraId="62720EB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175-PLA-EV-2021</w:t>
            </w:r>
          </w:p>
        </w:tc>
        <w:tc>
          <w:tcPr>
            <w:tcW w:w="1099" w:type="pct"/>
            <w:shd w:val="clear" w:color="auto" w:fill="auto"/>
            <w:vAlign w:val="center"/>
            <w:hideMark/>
          </w:tcPr>
          <w:p w:rsidRPr="00AE1B2B" w:rsidR="009D3FB5" w:rsidP="00163B94" w:rsidRDefault="009D3FB5" w14:paraId="4CAA8B3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14-21 del 18-2-21, Art. XLIV </w:t>
            </w:r>
          </w:p>
        </w:tc>
      </w:tr>
      <w:tr w:rsidRPr="00AE1B2B" w:rsidR="00AE1B2B" w:rsidTr="0007105A" w14:paraId="52F0BD2A" w14:textId="77777777">
        <w:trPr>
          <w:trHeight w:val="636"/>
        </w:trPr>
        <w:tc>
          <w:tcPr>
            <w:tcW w:w="1480" w:type="pct"/>
            <w:shd w:val="clear" w:color="auto" w:fill="auto"/>
            <w:vAlign w:val="center"/>
            <w:hideMark/>
          </w:tcPr>
          <w:p w:rsidRPr="00AE1B2B" w:rsidR="009D3FB5" w:rsidP="00163B94" w:rsidRDefault="009D3FB5" w14:paraId="450A1E6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Civil, Trabajo y Familia de Buenos Aires </w:t>
            </w:r>
          </w:p>
        </w:tc>
        <w:tc>
          <w:tcPr>
            <w:tcW w:w="1257" w:type="pct"/>
            <w:shd w:val="clear" w:color="auto" w:fill="auto"/>
            <w:vAlign w:val="center"/>
            <w:hideMark/>
          </w:tcPr>
          <w:p w:rsidRPr="00AE1B2B" w:rsidR="009D3FB5" w:rsidP="00163B94" w:rsidRDefault="009D3FB5" w14:paraId="303DB34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1787-PLA-EV-2020</w:t>
            </w:r>
          </w:p>
        </w:tc>
        <w:tc>
          <w:tcPr>
            <w:tcW w:w="1164" w:type="pct"/>
            <w:shd w:val="clear" w:color="auto" w:fill="auto"/>
            <w:vAlign w:val="center"/>
            <w:hideMark/>
          </w:tcPr>
          <w:p w:rsidRPr="00AE1B2B" w:rsidR="009D3FB5" w:rsidP="00163B94" w:rsidRDefault="009D3FB5" w14:paraId="4A13A4C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13-PLA-EV-2021</w:t>
            </w:r>
          </w:p>
        </w:tc>
        <w:tc>
          <w:tcPr>
            <w:tcW w:w="1099" w:type="pct"/>
            <w:shd w:val="clear" w:color="auto" w:fill="auto"/>
            <w:vAlign w:val="center"/>
            <w:hideMark/>
          </w:tcPr>
          <w:p w:rsidRPr="00AE1B2B" w:rsidR="009D3FB5" w:rsidP="00163B94" w:rsidRDefault="009D3FB5" w14:paraId="6EA5350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Sesión 6-21 21 del 1-1-21. Art. XXXVIII </w:t>
            </w:r>
          </w:p>
        </w:tc>
      </w:tr>
      <w:tr w:rsidRPr="00AE1B2B" w:rsidR="00AE1B2B" w:rsidTr="0007105A" w14:paraId="698B5739" w14:textId="77777777">
        <w:trPr>
          <w:trHeight w:val="668"/>
        </w:trPr>
        <w:tc>
          <w:tcPr>
            <w:tcW w:w="1480" w:type="pct"/>
            <w:shd w:val="clear" w:color="auto" w:fill="auto"/>
            <w:vAlign w:val="center"/>
            <w:hideMark/>
          </w:tcPr>
          <w:p w:rsidRPr="00AE1B2B" w:rsidR="009D3FB5" w:rsidP="00163B94" w:rsidRDefault="009D3FB5" w14:paraId="7895C9E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Civil, Trabajo, y Familia de Osa </w:t>
            </w:r>
          </w:p>
        </w:tc>
        <w:tc>
          <w:tcPr>
            <w:tcW w:w="1257" w:type="pct"/>
            <w:shd w:val="clear" w:color="auto" w:fill="auto"/>
            <w:vAlign w:val="center"/>
            <w:hideMark/>
          </w:tcPr>
          <w:p w:rsidRPr="00AE1B2B" w:rsidR="009D3FB5" w:rsidP="00163B94" w:rsidRDefault="009D3FB5" w14:paraId="256F6E0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1834-PLA-EV-2020</w:t>
            </w:r>
          </w:p>
        </w:tc>
        <w:tc>
          <w:tcPr>
            <w:tcW w:w="1164" w:type="pct"/>
            <w:shd w:val="clear" w:color="auto" w:fill="auto"/>
            <w:vAlign w:val="center"/>
            <w:hideMark/>
          </w:tcPr>
          <w:p w:rsidRPr="00AE1B2B" w:rsidR="009D3FB5" w:rsidP="00163B94" w:rsidRDefault="009D3FB5" w14:paraId="3EDBA9C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14-PLA-EV-2021</w:t>
            </w:r>
          </w:p>
        </w:tc>
        <w:tc>
          <w:tcPr>
            <w:tcW w:w="1099" w:type="pct"/>
            <w:shd w:val="clear" w:color="auto" w:fill="auto"/>
            <w:vAlign w:val="center"/>
            <w:hideMark/>
          </w:tcPr>
          <w:p w:rsidRPr="00AE1B2B" w:rsidR="009D3FB5" w:rsidP="00163B94" w:rsidRDefault="009D3FB5" w14:paraId="0C0CFE7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7-21 del 26-1-21, Art. XLVIII </w:t>
            </w:r>
          </w:p>
        </w:tc>
      </w:tr>
    </w:tbl>
    <w:p w:rsidRPr="00AE1B2B" w:rsidR="009D3FB5" w:rsidP="00163B94" w:rsidRDefault="00BB7720" w14:paraId="219E1BCC" w14:textId="5D9F3EBB">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 </w:t>
      </w:r>
      <w:r w:rsidRPr="00AE1B2B" w:rsidR="009D3FB5">
        <w:rPr>
          <w:rFonts w:ascii="Times New Roman" w:hAnsi="Times New Roman" w:cs="Times New Roman"/>
          <w:i/>
          <w:iCs/>
          <w:sz w:val="26"/>
          <w:szCs w:val="26"/>
        </w:rPr>
        <w:t>Fuente: Subproceso de Modernización Institucional de la Dirección de Planificación</w:t>
      </w:r>
    </w:p>
    <w:p w:rsidRPr="00AE1B2B" w:rsidR="009D3FB5" w:rsidP="00163B94" w:rsidRDefault="009D3FB5" w14:paraId="499D1EC6"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2BB27E94"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014F38" w14:paraId="79AEB5C6" w14:textId="44D0EF8F">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5.3 </w:t>
      </w:r>
      <w:r w:rsidRPr="00AE1B2B" w:rsidR="009D3FB5">
        <w:rPr>
          <w:rFonts w:ascii="Times New Roman" w:hAnsi="Times New Roman" w:cs="Times New Roman"/>
          <w:i/>
          <w:iCs/>
          <w:sz w:val="26"/>
          <w:szCs w:val="26"/>
        </w:rPr>
        <w:t xml:space="preserve">Proceso de Tramitación General </w:t>
      </w:r>
    </w:p>
    <w:p w:rsidRPr="00AE1B2B" w:rsidR="009D3FB5" w:rsidP="00163B94" w:rsidRDefault="009D3FB5" w14:paraId="3E806E1B"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En los circuitos judiciales en los que se cuenta con la Oficina de Recepción de Documentos (RDD), las demandas nuevas se reciben en esta oficina y luego las trasladan al Juzgado; en los lugares en los que no se cuenta con la RDD, los documentos se </w:t>
      </w:r>
      <w:r w:rsidRPr="00AE1B2B">
        <w:rPr>
          <w:rFonts w:ascii="Times New Roman" w:hAnsi="Times New Roman" w:cs="Times New Roman"/>
          <w:i/>
          <w:iCs/>
          <w:sz w:val="26"/>
          <w:szCs w:val="26"/>
        </w:rPr>
        <w:lastRenderedPageBreak/>
        <w:t>reciben en el Juzgado en el área de atención de personas usuarias; también pueden ingresar por medio del Sistema Gestión en Línea.</w:t>
      </w:r>
    </w:p>
    <w:p w:rsidRPr="00AE1B2B" w:rsidR="009D3FB5" w:rsidP="00163B94" w:rsidRDefault="009D3FB5" w14:paraId="600CE157"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692DB72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Una vez que ingresa la demanda se procede a darle trámite, si no tiene ninguna prevención se ordena notificar a los demandados, y se espera el vencimiento de términos, luego se señala fecha de audiencia sea de conciliación o recepción de pruebas; si concilian se homologa el acuerdo o bien se recibe la prueba ofrecida (testimonial, pericial, confesional, entre otras), evacuada la prueba se pasa a fallo, se dicta sentencia, y se espera el vencimiento de firmeza de la sentencia, por último, se archiva el expediente. </w:t>
      </w:r>
    </w:p>
    <w:p w:rsidRPr="00AE1B2B" w:rsidR="009D3FB5" w:rsidP="00163B94" w:rsidRDefault="009D3FB5" w14:paraId="19D7FFE7"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0E81054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El siguiente diagrama resume el proceso general de Familia actual.</w:t>
      </w:r>
    </w:p>
    <w:p w:rsidRPr="00AE1B2B" w:rsidR="009D3FB5" w:rsidP="00163B94" w:rsidRDefault="009D3FB5" w14:paraId="06B35B45"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29C11293" w14:textId="73D9E481">
      <w:pPr>
        <w:spacing w:before="120" w:after="120"/>
        <w:ind w:left="851" w:right="851" w:firstLine="709"/>
        <w:jc w:val="center"/>
        <w:rPr>
          <w:rFonts w:ascii="Times New Roman" w:hAnsi="Times New Roman" w:cs="Times New Roman"/>
          <w:b/>
          <w:i/>
          <w:iCs/>
          <w:sz w:val="26"/>
          <w:szCs w:val="26"/>
        </w:rPr>
      </w:pPr>
      <w:r w:rsidRPr="00AE1B2B">
        <w:rPr>
          <w:rFonts w:ascii="Times New Roman" w:hAnsi="Times New Roman" w:cs="Times New Roman"/>
          <w:b/>
          <w:i/>
          <w:iCs/>
          <w:sz w:val="26"/>
          <w:szCs w:val="26"/>
        </w:rPr>
        <w:t xml:space="preserve">Figura </w:t>
      </w:r>
      <w:r w:rsidRPr="00AE1B2B">
        <w:rPr>
          <w:rFonts w:ascii="Times New Roman" w:hAnsi="Times New Roman" w:cs="Times New Roman"/>
          <w:b/>
          <w:i/>
          <w:iCs/>
          <w:sz w:val="26"/>
          <w:szCs w:val="26"/>
        </w:rPr>
        <w:fldChar w:fldCharType="begin"/>
      </w:r>
      <w:r w:rsidRPr="00AE1B2B">
        <w:rPr>
          <w:rFonts w:ascii="Times New Roman" w:hAnsi="Times New Roman" w:cs="Times New Roman"/>
          <w:b/>
          <w:i/>
          <w:iCs/>
          <w:sz w:val="26"/>
          <w:szCs w:val="26"/>
        </w:rPr>
        <w:instrText xml:space="preserve"> SEQ Figura \* ARABIC </w:instrText>
      </w:r>
      <w:r w:rsidRPr="00AE1B2B">
        <w:rPr>
          <w:rFonts w:ascii="Times New Roman" w:hAnsi="Times New Roman" w:cs="Times New Roman"/>
          <w:b/>
          <w:i/>
          <w:iCs/>
          <w:sz w:val="26"/>
          <w:szCs w:val="26"/>
        </w:rPr>
        <w:fldChar w:fldCharType="separate"/>
      </w:r>
      <w:r w:rsidRPr="00AE1B2B">
        <w:rPr>
          <w:rFonts w:ascii="Times New Roman" w:hAnsi="Times New Roman" w:cs="Times New Roman"/>
          <w:b/>
          <w:i/>
          <w:iCs/>
          <w:sz w:val="26"/>
          <w:szCs w:val="26"/>
        </w:rPr>
        <w:t>1</w:t>
      </w:r>
      <w:r w:rsidRPr="00AE1B2B">
        <w:rPr>
          <w:rFonts w:ascii="Times New Roman" w:hAnsi="Times New Roman" w:cs="Times New Roman"/>
          <w:b/>
          <w:i/>
          <w:iCs/>
          <w:sz w:val="26"/>
          <w:szCs w:val="26"/>
        </w:rPr>
        <w:fldChar w:fldCharType="end"/>
      </w:r>
    </w:p>
    <w:p w:rsidRPr="00AE1B2B" w:rsidR="009D3FB5" w:rsidP="00163B94" w:rsidRDefault="009D3FB5" w14:paraId="6EF26731" w14:textId="77777777">
      <w:pPr>
        <w:spacing w:before="120" w:after="120"/>
        <w:ind w:left="851" w:right="851" w:firstLine="709"/>
        <w:jc w:val="center"/>
        <w:rPr>
          <w:rFonts w:ascii="Times New Roman" w:hAnsi="Times New Roman" w:cs="Times New Roman"/>
          <w:b/>
          <w:i/>
          <w:iCs/>
          <w:sz w:val="26"/>
          <w:szCs w:val="26"/>
        </w:rPr>
      </w:pPr>
      <w:r w:rsidRPr="00AE1B2B">
        <w:rPr>
          <w:rFonts w:ascii="Times New Roman" w:hAnsi="Times New Roman" w:cs="Times New Roman"/>
          <w:b/>
          <w:i/>
          <w:iCs/>
          <w:sz w:val="26"/>
          <w:szCs w:val="26"/>
        </w:rPr>
        <w:t>Diagrama del Proceso General actual de materia Familia.</w:t>
      </w:r>
    </w:p>
    <w:p w:rsidRPr="00AE1B2B" w:rsidR="009D3FB5" w:rsidP="00163B94" w:rsidRDefault="009D3FB5" w14:paraId="646DC22D" w14:textId="77777777">
      <w:pPr>
        <w:spacing w:before="120" w:after="120" w:line="276" w:lineRule="auto"/>
        <w:jc w:val="center"/>
        <w:rPr>
          <w:rFonts w:ascii="Times New Roman" w:hAnsi="Times New Roman" w:cs="Times New Roman"/>
          <w:sz w:val="24"/>
          <w:szCs w:val="24"/>
        </w:rPr>
      </w:pPr>
      <w:r w:rsidRPr="00AE1B2B">
        <w:rPr>
          <w:rFonts w:ascii="Times New Roman" w:hAnsi="Times New Roman" w:cs="Times New Roman"/>
          <w:noProof/>
          <w:sz w:val="24"/>
          <w:szCs w:val="24"/>
          <w:lang w:val="en-US"/>
        </w:rPr>
        <w:drawing>
          <wp:inline distT="0" distB="0" distL="0" distR="0" wp14:anchorId="312DA932" wp14:editId="3FC0A64D">
            <wp:extent cx="5611042" cy="3629025"/>
            <wp:effectExtent l="0" t="0" r="8890" b="0"/>
            <wp:docPr id="1532264011" name="Imagen 149456028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264011" name="Imagen 1494560285" descr="Interfaz de usuario gráfica&#10;&#10;Descripción generada automáticament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611042" cy="3629025"/>
                    </a:xfrm>
                    <a:prstGeom prst="rect">
                      <a:avLst/>
                    </a:prstGeom>
                  </pic:spPr>
                </pic:pic>
              </a:graphicData>
            </a:graphic>
          </wp:inline>
        </w:drawing>
      </w:r>
    </w:p>
    <w:p w:rsidRPr="00AE1B2B" w:rsidR="009D3FB5" w:rsidP="00163B94" w:rsidRDefault="00BB7720" w14:paraId="61BF3075" w14:textId="5E66F48D">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 </w:t>
      </w:r>
      <w:r w:rsidRPr="00AE1B2B" w:rsidR="009D3FB5">
        <w:rPr>
          <w:rFonts w:ascii="Times New Roman" w:hAnsi="Times New Roman" w:cs="Times New Roman"/>
          <w:i/>
          <w:iCs/>
          <w:sz w:val="26"/>
          <w:szCs w:val="26"/>
        </w:rPr>
        <w:t>Fuente: Sub Proceso de Modernización Institucional.</w:t>
      </w:r>
    </w:p>
    <w:p w:rsidRPr="00AE1B2B" w:rsidR="009D3FB5" w:rsidP="00163B94" w:rsidRDefault="009D3FB5" w14:paraId="7EB2D8DC"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2E366064"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Por otra parte, en sesiones de trabajo con los Asesores de la materia Familia Lic. Alberto Jiménez Mata y Lic. Cristian Martínez Hernández, se realiza la construcción de los siguientes diagramas de los procesos de la materia de Familia:</w:t>
      </w:r>
    </w:p>
    <w:p w:rsidRPr="00AE1B2B" w:rsidR="009D3FB5" w:rsidP="00163B94" w:rsidRDefault="009D3FB5" w14:paraId="771CA88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Proceso General Ordinario</w:t>
      </w:r>
    </w:p>
    <w:p w:rsidRPr="00AE1B2B" w:rsidR="009D3FB5" w:rsidP="00163B94" w:rsidRDefault="009D3FB5" w14:paraId="217A38D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Procedimiento de Mutuo Acuerdo</w:t>
      </w:r>
    </w:p>
    <w:p w:rsidRPr="00AE1B2B" w:rsidR="009D3FB5" w:rsidP="00163B94" w:rsidRDefault="009D3FB5" w14:paraId="68E30B8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Proceso General Abreviado</w:t>
      </w:r>
    </w:p>
    <w:p w:rsidRPr="00AE1B2B" w:rsidR="009D3FB5" w:rsidP="00163B94" w:rsidRDefault="009D3FB5" w14:paraId="693E5D89"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Proceso General Sumario</w:t>
      </w:r>
    </w:p>
    <w:p w:rsidRPr="00AE1B2B" w:rsidR="009D3FB5" w:rsidP="00163B94" w:rsidRDefault="009D3FB5" w14:paraId="189737A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Proceso Especial de Filiación</w:t>
      </w:r>
    </w:p>
    <w:p w:rsidRPr="00AE1B2B" w:rsidR="009D3FB5" w:rsidP="00163B94" w:rsidRDefault="009D3FB5" w14:paraId="7C3E9DD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Proceso Especial de Declaratoria Judicial de Abandono de Persona Menor de Edad</w:t>
      </w:r>
    </w:p>
    <w:p w:rsidRPr="00AE1B2B" w:rsidR="009D3FB5" w:rsidP="00163B94" w:rsidRDefault="009D3FB5" w14:paraId="093A265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Procedimiento de II Instancia en Pensiones Alimentarias</w:t>
      </w:r>
    </w:p>
    <w:p w:rsidRPr="00AE1B2B" w:rsidR="009D3FB5" w:rsidP="00163B94" w:rsidRDefault="009D3FB5" w14:paraId="16DD7402"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48B81E2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Estos diagramas permiten visualizar los principales procesos actuales de la materia Familia, y contar con información en aras del mejoramiento de los procesos. En el anexo 2 se incluyen los diagramas construidos.</w:t>
      </w:r>
    </w:p>
    <w:p w:rsidRPr="00AE1B2B" w:rsidR="009D3FB5" w:rsidP="00163B94" w:rsidRDefault="009D3FB5" w14:paraId="5A68DB09"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03A7DC90"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Con la implementación del Código Procesal de Familia surgen una serie de ajustes que vienen a reducir los tiempos de proceso y la agilización de los trámites, a continuación, se detallan algunos de los principales cambios:</w:t>
      </w:r>
    </w:p>
    <w:p w:rsidRPr="00AE1B2B" w:rsidR="009D3FB5" w:rsidP="00163B94" w:rsidRDefault="009D3FB5" w14:paraId="59C53031"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Se permite agilidad en el trámite de los procesos para reducir los plazos de tramitación y dictado de sentencias, ya que el CPF establece que la contestación de la demanda, en la medida de lo posible, se realice en la misma audiencia, de igual manera sucede con las apelaciones.</w:t>
      </w:r>
    </w:p>
    <w:p w:rsidRPr="00AE1B2B" w:rsidR="009D3FB5" w:rsidP="00163B94" w:rsidRDefault="009D3FB5" w14:paraId="7CD6A44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Se faculta a las personas juzgadoras para que dicten la parte dispositiva de las sentencias una vez finalizada la última audiencia del proceso, por lo que es posible que un proceso familiar se desarrolle en una sola audiencia.</w:t>
      </w:r>
    </w:p>
    <w:p w:rsidRPr="00AE1B2B" w:rsidR="009D3FB5" w:rsidP="00163B94" w:rsidRDefault="009D3FB5" w14:paraId="51687DB9"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Se propone la conciliación en una audiencia previa, dejando abierta la posibilidad de aplicarla en cualquier etapa del proceso judicial, tal como se consigna en el artículo 9 del CPF, siendo posible aplicar otros mecanismos alternos de solución de conflictos regulados en la Ley 7727, Ley de Resolución Alterna de Conflictos y Promoción de la Paz Social</w:t>
      </w:r>
    </w:p>
    <w:p w:rsidRPr="00AE1B2B" w:rsidR="009D3FB5" w:rsidP="00163B94" w:rsidRDefault="009D3FB5" w14:paraId="30AC04E4"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52445AC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En el siguiente diagrama se visualizan los principales cambios en el proceso general de la materia Familia.</w:t>
      </w:r>
    </w:p>
    <w:p w:rsidRPr="00AE1B2B" w:rsidR="009D3FB5" w:rsidP="00163B94" w:rsidRDefault="009D3FB5" w14:paraId="235B1D65" w14:textId="77777777">
      <w:pPr>
        <w:spacing w:before="120" w:after="120"/>
        <w:ind w:left="851" w:right="851" w:firstLine="709"/>
        <w:jc w:val="both"/>
        <w:rPr>
          <w:rFonts w:ascii="Times New Roman" w:hAnsi="Times New Roman" w:cs="Times New Roman"/>
        </w:rPr>
      </w:pPr>
      <w:r w:rsidRPr="00AE1B2B">
        <w:rPr>
          <w:rFonts w:ascii="Times New Roman" w:hAnsi="Times New Roman" w:cs="Times New Roman"/>
          <w:i/>
          <w:iCs/>
          <w:sz w:val="26"/>
          <w:szCs w:val="26"/>
        </w:rPr>
        <w:t xml:space="preserve">Figura </w:t>
      </w:r>
      <w:r w:rsidRPr="00AE1B2B">
        <w:rPr>
          <w:rFonts w:ascii="Times New Roman" w:hAnsi="Times New Roman" w:cs="Times New Roman"/>
          <w:i/>
          <w:iCs/>
          <w:sz w:val="26"/>
          <w:szCs w:val="26"/>
        </w:rPr>
        <w:fldChar w:fldCharType="begin"/>
      </w:r>
      <w:r w:rsidRPr="00AE1B2B">
        <w:rPr>
          <w:rFonts w:ascii="Times New Roman" w:hAnsi="Times New Roman" w:cs="Times New Roman"/>
          <w:i/>
          <w:iCs/>
          <w:sz w:val="26"/>
          <w:szCs w:val="26"/>
        </w:rPr>
        <w:instrText xml:space="preserve"> SEQ Figura \* ARABIC </w:instrText>
      </w:r>
      <w:r w:rsidRPr="00AE1B2B">
        <w:rPr>
          <w:rFonts w:ascii="Times New Roman" w:hAnsi="Times New Roman" w:cs="Times New Roman"/>
          <w:i/>
          <w:iCs/>
          <w:sz w:val="26"/>
          <w:szCs w:val="26"/>
        </w:rPr>
        <w:fldChar w:fldCharType="separate"/>
      </w:r>
      <w:r w:rsidRPr="00AE1B2B">
        <w:rPr>
          <w:rFonts w:ascii="Times New Roman" w:hAnsi="Times New Roman" w:cs="Times New Roman"/>
          <w:i/>
          <w:iCs/>
          <w:sz w:val="26"/>
          <w:szCs w:val="26"/>
        </w:rPr>
        <w:t>2</w:t>
      </w:r>
      <w:r w:rsidRPr="00AE1B2B">
        <w:rPr>
          <w:rFonts w:ascii="Times New Roman" w:hAnsi="Times New Roman" w:cs="Times New Roman"/>
          <w:i/>
          <w:iCs/>
          <w:sz w:val="26"/>
          <w:szCs w:val="26"/>
        </w:rPr>
        <w:fldChar w:fldCharType="end"/>
      </w:r>
      <w:r w:rsidRPr="00AE1B2B">
        <w:rPr>
          <w:rFonts w:ascii="Times New Roman" w:hAnsi="Times New Roman" w:cs="Times New Roman"/>
          <w:i/>
          <w:iCs/>
          <w:sz w:val="26"/>
          <w:szCs w:val="26"/>
        </w:rPr>
        <w:t>Diagrama del Proceso General de materia Familia con el CPF.</w:t>
      </w:r>
      <w:r w:rsidRPr="00AE1B2B">
        <w:rPr>
          <w:rFonts w:ascii="Times New Roman" w:hAnsi="Times New Roman" w:cs="Times New Roman"/>
          <w:noProof/>
          <w:lang w:val="en-US"/>
        </w:rPr>
        <w:lastRenderedPageBreak/>
        <w:drawing>
          <wp:inline distT="0" distB="0" distL="0" distR="0" wp14:anchorId="5CB8A838" wp14:editId="64119BB2">
            <wp:extent cx="5124450" cy="3764192"/>
            <wp:effectExtent l="0" t="0" r="0" b="8255"/>
            <wp:docPr id="889212622" name="Imagen 20" descr="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212622" name="Imagen 20" descr="Nombre de la empresa&#10;&#10;Descripción generada automáticamente"/>
                    <pic:cNvPicPr/>
                  </pic:nvPicPr>
                  <pic:blipFill>
                    <a:blip r:embed="rId237">
                      <a:extLst>
                        <a:ext uri="{28A0092B-C50C-407E-A947-70E740481C1C}">
                          <a14:useLocalDpi xmlns:a14="http://schemas.microsoft.com/office/drawing/2010/main" val="0"/>
                        </a:ext>
                      </a:extLst>
                    </a:blip>
                    <a:stretch>
                      <a:fillRect/>
                    </a:stretch>
                  </pic:blipFill>
                  <pic:spPr>
                    <a:xfrm>
                      <a:off x="0" y="0"/>
                      <a:ext cx="5132091" cy="3769805"/>
                    </a:xfrm>
                    <a:prstGeom prst="rect">
                      <a:avLst/>
                    </a:prstGeom>
                  </pic:spPr>
                </pic:pic>
              </a:graphicData>
            </a:graphic>
          </wp:inline>
        </w:drawing>
      </w:r>
      <w:r w:rsidRPr="00AE1B2B">
        <w:rPr>
          <w:rFonts w:ascii="Times New Roman" w:hAnsi="Times New Roman" w:cs="Times New Roman"/>
          <w:noProof/>
          <w:lang w:val="en-US"/>
        </w:rPr>
        <w:drawing>
          <wp:inline distT="0" distB="0" distL="0" distR="0" wp14:anchorId="1519C72F" wp14:editId="18FB1AB6">
            <wp:extent cx="5612130" cy="4122420"/>
            <wp:effectExtent l="19050" t="19050" r="26670" b="11430"/>
            <wp:docPr id="424287467" name="Imagen 20" descr="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87467" name="Imagen 20" descr="Nombre de la empresa&#10;&#10;Descripción generada automáticamente"/>
                    <pic:cNvPicPr/>
                  </pic:nvPicPr>
                  <pic:blipFill>
                    <a:blip r:embed="rId237">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p>
    <w:p w:rsidRPr="00AE1B2B" w:rsidR="009D3FB5" w:rsidP="00163B94" w:rsidRDefault="009D3FB5" w14:paraId="79837FC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Fuente: Subproceso de Modernización Institucional, levantado en conjunto con el Lic. Alberto Jiménez Mata.</w:t>
      </w:r>
    </w:p>
    <w:p w:rsidRPr="00AE1B2B" w:rsidR="009D3FB5" w:rsidP="00163B94" w:rsidRDefault="009D3FB5" w14:paraId="44C92E09"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74F7F32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Con el nuevo proceso que se plantea con el CPF se estima que impulsará una tramitación más simple y expedita, gracias la realización de una audiencia inicial, se fomenta la conciliación y posibilidad de la oralidad. Adicional, en el anexo 3 se muestra el diagrama desarrollado por la Comisión de la Jurisdicción Familia Niñez y Adolescencia.</w:t>
      </w:r>
    </w:p>
    <w:p w:rsidRPr="00AE1B2B" w:rsidR="009D3FB5" w:rsidP="00163B94" w:rsidRDefault="009D3FB5" w14:paraId="6737D783"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Importante mencionar, que se espera que, con el CPF los tiempos de respuesta en el dictado de la resolución disminuyan considerablemente; principalmente por incorporar la fase de conciliación que se desarrolla en las actividades de la audiencia preliminar.</w:t>
      </w:r>
    </w:p>
    <w:p w:rsidRPr="00AE1B2B" w:rsidR="009D3FB5" w:rsidP="00163B94" w:rsidRDefault="009D3FB5" w14:paraId="6453AD35"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7928A451"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Duración de los procesos</w:t>
      </w:r>
    </w:p>
    <w:p w:rsidRPr="00AE1B2B" w:rsidR="009D3FB5" w:rsidP="00163B94" w:rsidRDefault="009D3FB5" w14:paraId="27349E01"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En atención a la recomendación 4.4 el informe DFOE-PG-0098 (2683)-2020, relacionado con el informe DFOE-PG-IF-00002-2020 de la Contraloría General de la República, la Dirección de Planificación emitió el oficio 1212-PLA-EV-2020 aprobado por el Consejo Superior en sesión 82-2020 celebrada el 20 de agosto del 2020, artículo XLI; donde se establecen las duraciones según rango legal y según el criterio experto de personas juzgadoras en materia de Familia. </w:t>
      </w:r>
    </w:p>
    <w:p w:rsidRPr="00AE1B2B" w:rsidR="009D3FB5" w:rsidP="00163B94" w:rsidRDefault="009D3FB5" w14:paraId="289E597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Adicionalmente, se diagraman los principales procesos en materia de Familia con el apoyo del Lic. Cristian Martínez Hernández, Juez Gestor de Familia del Centro de Apoyo, Coordinación y Mejoramiento de la Función Jurisdiccional con la duración de cada etapa (ver anexo 4). </w:t>
      </w:r>
    </w:p>
    <w:p w:rsidRPr="00AE1B2B" w:rsidR="009D3FB5" w:rsidP="00163B94" w:rsidRDefault="009D3FB5" w14:paraId="5DDB008C"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35B0DE4A" w14:textId="77777777">
      <w:pPr>
        <w:spacing w:before="120" w:after="120" w:line="276" w:lineRule="auto"/>
        <w:jc w:val="both"/>
        <w:rPr>
          <w:rFonts w:ascii="Times New Roman" w:hAnsi="Times New Roman" w:cs="Times New Roman"/>
          <w:sz w:val="24"/>
          <w:szCs w:val="24"/>
        </w:rPr>
      </w:pPr>
    </w:p>
    <w:p w:rsidRPr="00AE1B2B" w:rsidR="009D3FB5" w:rsidP="00163B94" w:rsidRDefault="009D3FB5" w14:paraId="5D4C9825" w14:textId="77777777">
      <w:pPr>
        <w:spacing w:before="120" w:after="120" w:line="276" w:lineRule="auto"/>
        <w:jc w:val="both"/>
        <w:rPr>
          <w:rFonts w:ascii="Times New Roman" w:hAnsi="Times New Roman" w:cs="Times New Roman"/>
          <w:sz w:val="24"/>
          <w:szCs w:val="24"/>
        </w:rPr>
      </w:pPr>
    </w:p>
    <w:p w:rsidRPr="00AE1B2B" w:rsidR="009D3FB5" w:rsidP="00163B94" w:rsidRDefault="009D3FB5" w14:paraId="5E75A66C"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Reparto de los procesos</w:t>
      </w:r>
    </w:p>
    <w:p w:rsidRPr="00AE1B2B" w:rsidR="009D3FB5" w:rsidP="00163B94" w:rsidRDefault="009D3FB5" w14:paraId="627E550C"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En atención a la recomendación 4.6 de la Contraloría General de la República, se tiene programado para el primer semestre 2021, la configuración del reparto automático en los Juzgados de Familia a nivel nacional por “clase de asunto”. Solo en algunos casos particulares, en donde por estructura haya una persona </w:t>
      </w:r>
      <w:r w:rsidRPr="00AE1B2B">
        <w:rPr>
          <w:rFonts w:ascii="Times New Roman" w:hAnsi="Times New Roman" w:cs="Times New Roman"/>
          <w:i/>
          <w:iCs/>
          <w:sz w:val="26"/>
          <w:szCs w:val="26"/>
        </w:rPr>
        <w:lastRenderedPageBreak/>
        <w:t>especializada en conocer procesos por separación o divorcio por mutuo consentimiento se realiza el reparto por una tejedora manual.</w:t>
      </w:r>
    </w:p>
    <w:p w:rsidRPr="00AE1B2B" w:rsidR="009D3FB5" w:rsidP="00163B94" w:rsidRDefault="009D3FB5" w14:paraId="2391A911"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260FC6BF" w14:textId="2E3B7F24">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Sin embargo, a partir de 2022 con la entrada en vigencia de la norma, se coordinará con la Dirección de Tecnología de la Información para la aplicación del reparto por “procedimiento”.</w:t>
      </w:r>
      <w:r w:rsidRPr="00AE1B2B" w:rsidR="00BB7720">
        <w:rPr>
          <w:rFonts w:ascii="Times New Roman" w:hAnsi="Times New Roman" w:cs="Times New Roman"/>
          <w:i/>
          <w:iCs/>
          <w:sz w:val="26"/>
          <w:szCs w:val="26"/>
        </w:rPr>
        <w:t xml:space="preserve"> </w:t>
      </w:r>
    </w:p>
    <w:p w:rsidRPr="00AE1B2B" w:rsidR="009D3FB5" w:rsidP="00163B94" w:rsidRDefault="009D3FB5" w14:paraId="4648517F"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Lo anterior, considerando el criterio experto de las personas juzgadoras en familia según informe 1212-PLA-EV-2020.</w:t>
      </w:r>
    </w:p>
    <w:p w:rsidRPr="00AE1B2B" w:rsidR="009D3FB5" w:rsidP="00163B94" w:rsidRDefault="009D3FB5" w14:paraId="5F6B533F"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3365771F"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Cabe mencionar que actualmente se está coordinando por parte de la Dirección de Planificación con la Dirección de Tecnología de la Información una mejora al “reparto por procedimiento” (para que los reentrados no ingresen al rol de reparto o variaciones por cambios de procedimientos posteriores). </w:t>
      </w:r>
    </w:p>
    <w:p w:rsidRPr="00AE1B2B" w:rsidR="009D3FB5" w:rsidP="00163B94" w:rsidRDefault="009D3FB5" w14:paraId="5697B4EE"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El requerimiento de mejora fue presentado por la Gestora en materia Civil la Licenciada Adriana Sequeira Muñoz y la Dirección de Planificación mediante correo electrónico del 15 de diciembre de 2020 (anexo 5).</w:t>
      </w:r>
    </w:p>
    <w:p w:rsidRPr="00AE1B2B" w:rsidR="009D3FB5" w:rsidP="00163B94" w:rsidRDefault="009D3FB5" w14:paraId="1504F20B"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79C652D4"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4864901E"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54F9A78A"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014F38" w14:paraId="089D2E68" w14:textId="4BE56833">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5.4 </w:t>
      </w:r>
      <w:r w:rsidRPr="00AE1B2B" w:rsidR="009D3FB5">
        <w:rPr>
          <w:rFonts w:ascii="Times New Roman" w:hAnsi="Times New Roman" w:cs="Times New Roman"/>
          <w:i/>
          <w:iCs/>
          <w:sz w:val="26"/>
          <w:szCs w:val="26"/>
        </w:rPr>
        <w:t>Estructura Organizacional y Funciones</w:t>
      </w:r>
    </w:p>
    <w:p w:rsidRPr="00AE1B2B" w:rsidR="009D3FB5" w:rsidP="00163B94" w:rsidRDefault="009D3FB5" w14:paraId="1109F40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Los Juzgados Especializados de Familia presentan una composición organizacional diferente, tanto en la cantidad de personas juzgadoras como técnicas judiciales, y aunque la cantidad de puestos es distinta entre un Despacho y otro, deben de realizar las mismas funciones.</w:t>
      </w:r>
    </w:p>
    <w:p w:rsidRPr="00AE1B2B" w:rsidR="009D3FB5" w:rsidP="00163B94" w:rsidRDefault="009D3FB5" w14:paraId="45E32C0C" w14:textId="77777777">
      <w:pPr>
        <w:spacing w:before="120" w:after="120" w:line="276" w:lineRule="auto"/>
        <w:jc w:val="both"/>
        <w:rPr>
          <w:rFonts w:ascii="Times New Roman" w:hAnsi="Times New Roman" w:cs="Times New Roman"/>
          <w:sz w:val="24"/>
          <w:szCs w:val="24"/>
        </w:rPr>
      </w:pPr>
    </w:p>
    <w:p w:rsidRPr="00AE1B2B" w:rsidR="009D3FB5" w:rsidP="00163B94" w:rsidRDefault="009D3FB5" w14:paraId="371DA618" w14:textId="77777777">
      <w:pPr>
        <w:spacing w:before="120" w:after="120"/>
        <w:ind w:left="851" w:right="851" w:firstLine="709"/>
        <w:jc w:val="center"/>
        <w:rPr>
          <w:rFonts w:ascii="Times New Roman" w:hAnsi="Times New Roman" w:cs="Times New Roman"/>
          <w:b/>
          <w:i/>
          <w:iCs/>
          <w:sz w:val="26"/>
          <w:szCs w:val="26"/>
        </w:rPr>
      </w:pPr>
      <w:r w:rsidRPr="00AE1B2B">
        <w:rPr>
          <w:rFonts w:ascii="Times New Roman" w:hAnsi="Times New Roman" w:cs="Times New Roman"/>
          <w:b/>
          <w:i/>
          <w:iCs/>
          <w:sz w:val="26"/>
          <w:szCs w:val="26"/>
        </w:rPr>
        <w:t xml:space="preserve">Cuadro </w:t>
      </w:r>
      <w:r w:rsidRPr="00AE1B2B">
        <w:rPr>
          <w:rFonts w:ascii="Times New Roman" w:hAnsi="Times New Roman" w:cs="Times New Roman"/>
          <w:b/>
          <w:i/>
          <w:iCs/>
          <w:sz w:val="26"/>
          <w:szCs w:val="26"/>
        </w:rPr>
        <w:fldChar w:fldCharType="begin"/>
      </w:r>
      <w:r w:rsidRPr="00AE1B2B">
        <w:rPr>
          <w:rFonts w:ascii="Times New Roman" w:hAnsi="Times New Roman" w:cs="Times New Roman"/>
          <w:b/>
          <w:i/>
          <w:iCs/>
          <w:sz w:val="26"/>
          <w:szCs w:val="26"/>
        </w:rPr>
        <w:instrText xml:space="preserve"> SEQ Cuadro \* ARABIC </w:instrText>
      </w:r>
      <w:r w:rsidRPr="00AE1B2B">
        <w:rPr>
          <w:rFonts w:ascii="Times New Roman" w:hAnsi="Times New Roman" w:cs="Times New Roman"/>
          <w:b/>
          <w:i/>
          <w:iCs/>
          <w:sz w:val="26"/>
          <w:szCs w:val="26"/>
        </w:rPr>
        <w:fldChar w:fldCharType="separate"/>
      </w:r>
      <w:r w:rsidRPr="00AE1B2B">
        <w:rPr>
          <w:rFonts w:ascii="Times New Roman" w:hAnsi="Times New Roman" w:cs="Times New Roman"/>
          <w:b/>
          <w:i/>
          <w:iCs/>
          <w:sz w:val="26"/>
          <w:szCs w:val="26"/>
        </w:rPr>
        <w:t>12</w:t>
      </w:r>
      <w:r w:rsidRPr="00AE1B2B">
        <w:rPr>
          <w:rFonts w:ascii="Times New Roman" w:hAnsi="Times New Roman" w:cs="Times New Roman"/>
          <w:b/>
          <w:i/>
          <w:iCs/>
          <w:sz w:val="26"/>
          <w:szCs w:val="26"/>
        </w:rPr>
        <w:fldChar w:fldCharType="end"/>
      </w:r>
    </w:p>
    <w:p w:rsidRPr="00AE1B2B" w:rsidR="009D3FB5" w:rsidP="00163B94" w:rsidRDefault="009D3FB5" w14:paraId="0779C97A" w14:textId="77777777">
      <w:pPr>
        <w:spacing w:before="120" w:after="120"/>
        <w:ind w:left="851" w:right="851" w:firstLine="709"/>
        <w:jc w:val="center"/>
        <w:rPr>
          <w:rFonts w:ascii="Times New Roman" w:hAnsi="Times New Roman" w:cs="Times New Roman"/>
          <w:b/>
          <w:i/>
          <w:iCs/>
          <w:sz w:val="26"/>
          <w:szCs w:val="26"/>
        </w:rPr>
      </w:pPr>
      <w:r w:rsidRPr="00AE1B2B">
        <w:rPr>
          <w:rFonts w:ascii="Times New Roman" w:hAnsi="Times New Roman" w:cs="Times New Roman"/>
          <w:b/>
          <w:i/>
          <w:iCs/>
          <w:sz w:val="26"/>
          <w:szCs w:val="26"/>
        </w:rPr>
        <w:t>Cantidad de puestos de trabajo en los Juzgados Especializados</w:t>
      </w:r>
    </w:p>
    <w:p w:rsidRPr="00AE1B2B" w:rsidR="009D3FB5" w:rsidP="00163B94" w:rsidRDefault="009D3FB5" w14:paraId="6633103B" w14:textId="09200EC5">
      <w:pPr>
        <w:spacing w:before="120" w:after="120"/>
        <w:ind w:left="851" w:right="851" w:firstLine="709"/>
        <w:jc w:val="center"/>
        <w:rPr>
          <w:rFonts w:ascii="Times New Roman" w:hAnsi="Times New Roman" w:cs="Times New Roman"/>
          <w:b/>
          <w:i/>
          <w:iCs/>
          <w:sz w:val="26"/>
          <w:szCs w:val="26"/>
        </w:rPr>
      </w:pPr>
      <w:r w:rsidRPr="00AE1B2B">
        <w:rPr>
          <w:rFonts w:ascii="Times New Roman" w:hAnsi="Times New Roman" w:cs="Times New Roman"/>
          <w:b/>
          <w:i/>
          <w:iCs/>
          <w:sz w:val="26"/>
          <w:szCs w:val="26"/>
        </w:rPr>
        <w:t>de la materia de Familia, 2021.</w:t>
      </w:r>
    </w:p>
    <w:tbl>
      <w:tblPr>
        <w:tblW w:w="4922" w:type="pct"/>
        <w:jc w:val="center"/>
        <w:tblLayout w:type="fixed"/>
        <w:tblCellMar>
          <w:left w:w="70" w:type="dxa"/>
          <w:right w:w="70" w:type="dxa"/>
        </w:tblCellMar>
        <w:tblLook w:val="04A0" w:firstRow="1" w:lastRow="0" w:firstColumn="1" w:lastColumn="0" w:noHBand="0" w:noVBand="1"/>
      </w:tblPr>
      <w:tblGrid>
        <w:gridCol w:w="4065"/>
        <w:gridCol w:w="1099"/>
        <w:gridCol w:w="1219"/>
        <w:gridCol w:w="1156"/>
        <w:gridCol w:w="1156"/>
      </w:tblGrid>
      <w:tr w:rsidRPr="00AE1B2B" w:rsidR="00AE1B2B" w:rsidTr="009D3FB5" w14:paraId="0D58295C" w14:textId="77777777">
        <w:trPr>
          <w:trHeight w:val="19"/>
          <w:tblHeader/>
          <w:jc w:val="center"/>
        </w:trPr>
        <w:tc>
          <w:tcPr>
            <w:tcW w:w="2337" w:type="pct"/>
            <w:vMerge w:val="restart"/>
            <w:tcBorders>
              <w:top w:val="nil"/>
              <w:left w:val="nil"/>
              <w:bottom w:val="single" w:color="000000" w:sz="4" w:space="0"/>
              <w:right w:val="nil"/>
            </w:tcBorders>
            <w:shd w:val="clear" w:color="000000" w:fill="002060"/>
            <w:vAlign w:val="center"/>
            <w:hideMark/>
          </w:tcPr>
          <w:p w:rsidRPr="00AE1B2B" w:rsidR="009D3FB5" w:rsidP="00163B94" w:rsidRDefault="009D3FB5" w14:paraId="5002892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Despacho</w:t>
            </w:r>
          </w:p>
        </w:tc>
        <w:tc>
          <w:tcPr>
            <w:tcW w:w="2663" w:type="pct"/>
            <w:gridSpan w:val="4"/>
            <w:tcBorders>
              <w:top w:val="single" w:color="auto" w:sz="4" w:space="0"/>
              <w:left w:val="single" w:color="auto" w:sz="4" w:space="0"/>
              <w:bottom w:val="single" w:color="auto" w:sz="4" w:space="0"/>
              <w:right w:val="single" w:color="000000" w:sz="4" w:space="0"/>
            </w:tcBorders>
            <w:shd w:val="clear" w:color="000000" w:fill="002060"/>
            <w:vAlign w:val="center"/>
            <w:hideMark/>
          </w:tcPr>
          <w:p w:rsidRPr="00AE1B2B" w:rsidR="009D3FB5" w:rsidP="00163B94" w:rsidRDefault="009D3FB5" w14:paraId="0C53FE8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Recurso Humano</w:t>
            </w:r>
          </w:p>
        </w:tc>
      </w:tr>
      <w:tr w:rsidRPr="00AE1B2B" w:rsidR="00AE1B2B" w:rsidTr="009D3FB5" w14:paraId="4621624B" w14:textId="77777777">
        <w:trPr>
          <w:trHeight w:val="19"/>
          <w:tblHeader/>
          <w:jc w:val="center"/>
        </w:trPr>
        <w:tc>
          <w:tcPr>
            <w:tcW w:w="2337" w:type="pct"/>
            <w:vMerge/>
            <w:tcBorders>
              <w:top w:val="nil"/>
              <w:left w:val="nil"/>
              <w:bottom w:val="single" w:color="000000" w:sz="4" w:space="0"/>
              <w:right w:val="nil"/>
            </w:tcBorders>
            <w:vAlign w:val="center"/>
            <w:hideMark/>
          </w:tcPr>
          <w:p w:rsidRPr="00AE1B2B" w:rsidR="009D3FB5" w:rsidP="00163B94" w:rsidRDefault="009D3FB5" w14:paraId="0A375743" w14:textId="77777777">
            <w:pPr>
              <w:spacing w:before="120" w:after="120" w:line="276" w:lineRule="auto"/>
              <w:rPr>
                <w:rFonts w:ascii="Times New Roman" w:hAnsi="Times New Roman" w:eastAsia="Times New Roman" w:cs="Times New Roman"/>
                <w:b/>
                <w:bCs/>
                <w:lang w:eastAsia="es-CR"/>
              </w:rPr>
            </w:pPr>
          </w:p>
        </w:tc>
        <w:tc>
          <w:tcPr>
            <w:tcW w:w="632" w:type="pct"/>
            <w:tcBorders>
              <w:top w:val="nil"/>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081B589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Jueza o Juez</w:t>
            </w:r>
          </w:p>
        </w:tc>
        <w:tc>
          <w:tcPr>
            <w:tcW w:w="701" w:type="pct"/>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1C227BF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Coordinadoras o Coordinadores judiciales</w:t>
            </w:r>
          </w:p>
        </w:tc>
        <w:tc>
          <w:tcPr>
            <w:tcW w:w="665" w:type="pct"/>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71FB584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Técnicas o Técnicos Judiciales</w:t>
            </w:r>
          </w:p>
        </w:tc>
        <w:tc>
          <w:tcPr>
            <w:tcW w:w="665" w:type="pct"/>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52774F1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Auxiliar de Servicios Generales</w:t>
            </w:r>
          </w:p>
        </w:tc>
      </w:tr>
      <w:tr w:rsidRPr="00AE1B2B" w:rsidR="00AE1B2B" w:rsidTr="009D3FB5" w14:paraId="4DBEB091" w14:textId="77777777">
        <w:trPr>
          <w:trHeight w:val="19"/>
          <w:jc w:val="center"/>
        </w:trPr>
        <w:tc>
          <w:tcPr>
            <w:tcW w:w="2337"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9C4C1A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de Familia III Circ. Jud. San José </w:t>
            </w:r>
          </w:p>
        </w:tc>
        <w:tc>
          <w:tcPr>
            <w:tcW w:w="63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C45AE1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7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8343EF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7611DD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3C2A84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r>
      <w:tr w:rsidRPr="00AE1B2B" w:rsidR="00AE1B2B" w:rsidTr="009D3FB5" w14:paraId="129DCD93" w14:textId="77777777">
        <w:trPr>
          <w:trHeight w:val="19"/>
          <w:jc w:val="center"/>
        </w:trPr>
        <w:tc>
          <w:tcPr>
            <w:tcW w:w="2337"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7887F6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Cartago</w:t>
            </w:r>
          </w:p>
        </w:tc>
        <w:tc>
          <w:tcPr>
            <w:tcW w:w="63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A8D166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7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1A1EBF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BE5A46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3E0655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60B0ECEE" w14:textId="77777777">
        <w:trPr>
          <w:trHeight w:val="19"/>
          <w:jc w:val="center"/>
        </w:trPr>
        <w:tc>
          <w:tcPr>
            <w:tcW w:w="2337"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AE42EA2"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Heredia</w:t>
            </w:r>
          </w:p>
        </w:tc>
        <w:tc>
          <w:tcPr>
            <w:tcW w:w="63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EDDD97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7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FEC713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CBF18C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A274C8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514F4A05" w14:textId="77777777">
        <w:trPr>
          <w:trHeight w:val="19"/>
          <w:jc w:val="center"/>
        </w:trPr>
        <w:tc>
          <w:tcPr>
            <w:tcW w:w="2337"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7E7E3E4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 Circ. Jud. Alajuela</w:t>
            </w:r>
          </w:p>
        </w:tc>
        <w:tc>
          <w:tcPr>
            <w:tcW w:w="63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C27FF2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7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573B75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34E0F8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4B57B7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7E827E63" w14:textId="77777777">
        <w:trPr>
          <w:trHeight w:val="19"/>
          <w:jc w:val="center"/>
        </w:trPr>
        <w:tc>
          <w:tcPr>
            <w:tcW w:w="2337"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69D772F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 Circ. Jud. Zona Atlántica</w:t>
            </w:r>
          </w:p>
        </w:tc>
        <w:tc>
          <w:tcPr>
            <w:tcW w:w="63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9623CB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7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8BFB07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CE18E5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41F440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3269F97A" w14:textId="77777777">
        <w:trPr>
          <w:trHeight w:val="19"/>
          <w:jc w:val="center"/>
        </w:trPr>
        <w:tc>
          <w:tcPr>
            <w:tcW w:w="2337"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6F3789B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Familia I Circ. Jud. Zona Sur </w:t>
            </w:r>
          </w:p>
        </w:tc>
        <w:tc>
          <w:tcPr>
            <w:tcW w:w="63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0ABCF2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7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A38087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2AA185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273E02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6D5B6E6F" w14:textId="77777777">
        <w:trPr>
          <w:trHeight w:val="19"/>
          <w:jc w:val="center"/>
        </w:trPr>
        <w:tc>
          <w:tcPr>
            <w:tcW w:w="2337"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6948C9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II Circ. Jud. Alajuela</w:t>
            </w:r>
          </w:p>
        </w:tc>
        <w:tc>
          <w:tcPr>
            <w:tcW w:w="63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BE29AC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7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F59A6C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D60073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802C56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r>
      <w:tr w:rsidRPr="00AE1B2B" w:rsidR="00AE1B2B" w:rsidTr="009D3FB5" w14:paraId="2467B1CC" w14:textId="77777777">
        <w:trPr>
          <w:trHeight w:val="19"/>
          <w:jc w:val="center"/>
        </w:trPr>
        <w:tc>
          <w:tcPr>
            <w:tcW w:w="2337"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67A881B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II Circ. Jud. San José</w:t>
            </w:r>
          </w:p>
        </w:tc>
        <w:tc>
          <w:tcPr>
            <w:tcW w:w="63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6866C1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7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DEE1AF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28DDA7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703B5F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2C973C92" w14:textId="77777777">
        <w:trPr>
          <w:trHeight w:val="19"/>
          <w:jc w:val="center"/>
        </w:trPr>
        <w:tc>
          <w:tcPr>
            <w:tcW w:w="2337"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91CB162"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II Circ. Jud. Zona Atlántica</w:t>
            </w:r>
          </w:p>
        </w:tc>
        <w:tc>
          <w:tcPr>
            <w:tcW w:w="63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CCDC10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7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C7263B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B680BD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19C19D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548192BC" w14:textId="77777777">
        <w:trPr>
          <w:trHeight w:val="19"/>
          <w:jc w:val="center"/>
        </w:trPr>
        <w:tc>
          <w:tcPr>
            <w:tcW w:w="2337"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0FB781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Puntarenas</w:t>
            </w:r>
          </w:p>
        </w:tc>
        <w:tc>
          <w:tcPr>
            <w:tcW w:w="63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A3BF0E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7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895141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A2FEE0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BCC37B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4E5B215E" w14:textId="77777777">
        <w:trPr>
          <w:trHeight w:val="19"/>
          <w:jc w:val="center"/>
        </w:trPr>
        <w:tc>
          <w:tcPr>
            <w:tcW w:w="2337"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9E725C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Primero de Familia San José</w:t>
            </w:r>
          </w:p>
        </w:tc>
        <w:tc>
          <w:tcPr>
            <w:tcW w:w="63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3A19B0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7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9C499C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64B6EE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6E9B1E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r>
      <w:tr w:rsidRPr="00AE1B2B" w:rsidR="00AE1B2B" w:rsidTr="009D3FB5" w14:paraId="238A7DF9" w14:textId="77777777">
        <w:trPr>
          <w:trHeight w:val="19"/>
          <w:jc w:val="center"/>
        </w:trPr>
        <w:tc>
          <w:tcPr>
            <w:tcW w:w="2337"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191BF84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Segundo de Familia San José</w:t>
            </w:r>
          </w:p>
        </w:tc>
        <w:tc>
          <w:tcPr>
            <w:tcW w:w="63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111840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7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803DE0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768D32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66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B799D0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r>
      <w:tr w:rsidRPr="00AE1B2B" w:rsidR="00AE1B2B" w:rsidTr="009D3FB5" w14:paraId="1BF56EC0" w14:textId="77777777">
        <w:trPr>
          <w:trHeight w:val="19"/>
          <w:jc w:val="center"/>
        </w:trPr>
        <w:tc>
          <w:tcPr>
            <w:tcW w:w="2337" w:type="pct"/>
            <w:tcBorders>
              <w:top w:val="nil"/>
              <w:left w:val="single" w:color="auto" w:sz="4" w:space="0"/>
              <w:bottom w:val="single" w:color="auto" w:sz="4" w:space="0"/>
              <w:right w:val="single" w:color="auto" w:sz="4" w:space="0"/>
            </w:tcBorders>
            <w:shd w:val="clear" w:color="auto" w:fill="auto"/>
            <w:noWrap/>
            <w:vAlign w:val="bottom"/>
          </w:tcPr>
          <w:p w:rsidRPr="00AE1B2B" w:rsidR="009D3FB5" w:rsidP="00163B94" w:rsidRDefault="009D3FB5" w14:paraId="130F7E2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de Niñez y Adolescencia</w:t>
            </w:r>
          </w:p>
        </w:tc>
        <w:tc>
          <w:tcPr>
            <w:tcW w:w="632"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546800C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701"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34F1AA6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665"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362222E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665"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56A1E5B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r>
      <w:tr w:rsidRPr="00AE1B2B" w:rsidR="00AE1B2B" w:rsidTr="009D3FB5" w14:paraId="563AEDF0" w14:textId="77777777">
        <w:trPr>
          <w:trHeight w:val="19"/>
          <w:jc w:val="center"/>
        </w:trPr>
        <w:tc>
          <w:tcPr>
            <w:tcW w:w="2337" w:type="pct"/>
            <w:tcBorders>
              <w:top w:val="nil"/>
              <w:left w:val="single" w:color="auto" w:sz="4" w:space="0"/>
              <w:bottom w:val="single" w:color="auto" w:sz="4" w:space="0"/>
              <w:right w:val="single" w:color="auto" w:sz="4" w:space="0"/>
            </w:tcBorders>
            <w:shd w:val="clear" w:color="auto" w:fill="808080" w:themeFill="background1" w:themeFillShade="80"/>
            <w:noWrap/>
            <w:vAlign w:val="bottom"/>
            <w:hideMark/>
          </w:tcPr>
          <w:p w:rsidRPr="00AE1B2B" w:rsidR="009D3FB5" w:rsidP="00163B94" w:rsidRDefault="009D3FB5" w14:paraId="31A67F1D" w14:textId="77777777">
            <w:pPr>
              <w:spacing w:before="120" w:after="120" w:line="276" w:lineRule="auto"/>
              <w:jc w:val="right"/>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Total</w:t>
            </w:r>
          </w:p>
        </w:tc>
        <w:tc>
          <w:tcPr>
            <w:tcW w:w="632" w:type="pct"/>
            <w:tcBorders>
              <w:top w:val="nil"/>
              <w:left w:val="nil"/>
              <w:bottom w:val="single" w:color="auto" w:sz="4" w:space="0"/>
              <w:right w:val="single" w:color="auto" w:sz="4" w:space="0"/>
            </w:tcBorders>
            <w:shd w:val="clear" w:color="auto" w:fill="808080" w:themeFill="background1" w:themeFillShade="80"/>
            <w:noWrap/>
            <w:vAlign w:val="center"/>
            <w:hideMark/>
          </w:tcPr>
          <w:p w:rsidRPr="00AE1B2B" w:rsidR="009D3FB5" w:rsidP="00163B94" w:rsidRDefault="009D3FB5" w14:paraId="5B673A53"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35</w:t>
            </w:r>
          </w:p>
        </w:tc>
        <w:tc>
          <w:tcPr>
            <w:tcW w:w="701" w:type="pct"/>
            <w:tcBorders>
              <w:top w:val="nil"/>
              <w:left w:val="nil"/>
              <w:bottom w:val="single" w:color="auto" w:sz="4" w:space="0"/>
              <w:right w:val="single" w:color="auto" w:sz="4" w:space="0"/>
            </w:tcBorders>
            <w:shd w:val="clear" w:color="auto" w:fill="808080" w:themeFill="background1" w:themeFillShade="80"/>
            <w:noWrap/>
            <w:vAlign w:val="center"/>
            <w:hideMark/>
          </w:tcPr>
          <w:p w:rsidRPr="00AE1B2B" w:rsidR="009D3FB5" w:rsidP="00163B94" w:rsidRDefault="009D3FB5" w14:paraId="2235643C"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13</w:t>
            </w:r>
          </w:p>
        </w:tc>
        <w:tc>
          <w:tcPr>
            <w:tcW w:w="665" w:type="pct"/>
            <w:tcBorders>
              <w:top w:val="nil"/>
              <w:left w:val="nil"/>
              <w:bottom w:val="single" w:color="auto" w:sz="4" w:space="0"/>
              <w:right w:val="single" w:color="auto" w:sz="4" w:space="0"/>
            </w:tcBorders>
            <w:shd w:val="clear" w:color="auto" w:fill="808080" w:themeFill="background1" w:themeFillShade="80"/>
            <w:noWrap/>
            <w:vAlign w:val="center"/>
            <w:hideMark/>
          </w:tcPr>
          <w:p w:rsidRPr="00AE1B2B" w:rsidR="009D3FB5" w:rsidP="00163B94" w:rsidRDefault="009D3FB5" w14:paraId="755322B7"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71</w:t>
            </w:r>
          </w:p>
        </w:tc>
        <w:tc>
          <w:tcPr>
            <w:tcW w:w="665" w:type="pct"/>
            <w:tcBorders>
              <w:top w:val="nil"/>
              <w:left w:val="nil"/>
              <w:bottom w:val="single" w:color="auto" w:sz="4" w:space="0"/>
              <w:right w:val="single" w:color="auto" w:sz="4" w:space="0"/>
            </w:tcBorders>
            <w:shd w:val="clear" w:color="auto" w:fill="808080" w:themeFill="background1" w:themeFillShade="80"/>
            <w:noWrap/>
            <w:vAlign w:val="center"/>
            <w:hideMark/>
          </w:tcPr>
          <w:p w:rsidRPr="00AE1B2B" w:rsidR="009D3FB5" w:rsidP="00163B94" w:rsidRDefault="009D3FB5" w14:paraId="1167CD48"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5</w:t>
            </w:r>
          </w:p>
        </w:tc>
      </w:tr>
    </w:tbl>
    <w:p w:rsidRPr="00AE1B2B" w:rsidR="009D3FB5" w:rsidP="00163B94" w:rsidRDefault="009D3FB5" w14:paraId="2DC7058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Fuente: Subproceso de Modernización Institucional.</w:t>
      </w:r>
    </w:p>
    <w:p w:rsidRPr="00AE1B2B" w:rsidR="009D3FB5" w:rsidP="00163B94" w:rsidRDefault="009D3FB5" w14:paraId="472BD0C1"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Nota. El Juzgado de Familia de Cartago cuenta actualmente con 3 plazas de Jueza o Juez 3, informe 628-PLA-EV-2020.</w:t>
      </w:r>
    </w:p>
    <w:p w:rsidRPr="00AE1B2B" w:rsidR="009D3FB5" w:rsidP="00163B94" w:rsidRDefault="009D3FB5" w14:paraId="76F4453E"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Nota *: Plaza compartida entre el Juzgado de Violencia del I CJ San José y el Juzgado de Niñez y Adolescencia. </w:t>
      </w:r>
    </w:p>
    <w:p w:rsidRPr="00AE1B2B" w:rsidR="009D3FB5" w:rsidP="00163B94" w:rsidRDefault="009D3FB5" w14:paraId="14114028"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74D6EFE8"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74BE8C04"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 xml:space="preserve">Como se observa en el cuadro anterior, los Juzgados Especializados de Familia están compuestos por 35 puestos de Jueza o Juez, 13 plazas de Coordinadora o Coordinador Judicial, 71 puestos de Técnica o Técnico Judicial y 4 plazas de Auxiliar de Servicios Generales, con una relación mínima de 1,5 personas técnicas judiciales por cada Juez o Jueza. </w:t>
      </w:r>
    </w:p>
    <w:p w:rsidRPr="00AE1B2B" w:rsidR="009D3FB5" w:rsidP="00163B94" w:rsidRDefault="009D3FB5" w14:paraId="4D0E75A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Los Juzgados Especializados de Familia, presentan una estructura organizacional vertical, donde la persona juzgadora coordinadora es la máxima autoridad, información que se respalda ante la existencia de dos niveles jerárquicos por debajo de su autoridad. Cada puesto de trabajo tiene definidas sus funciones y son acorde con el Manual Descriptivo de Funciones de la Dirección de Gestión Humana.</w:t>
      </w:r>
    </w:p>
    <w:p w:rsidRPr="00AE1B2B" w:rsidR="009D3FB5" w:rsidP="00163B94" w:rsidRDefault="009D3FB5" w14:paraId="3EC47FC7"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1366D5A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Funciones de los diferentes puestos de trabajo</w:t>
      </w:r>
    </w:p>
    <w:p w:rsidRPr="00AE1B2B" w:rsidR="009D3FB5" w:rsidP="00163B94" w:rsidRDefault="009D3FB5" w14:paraId="6B1F31C5" w14:textId="77777777">
      <w:pPr>
        <w:spacing w:before="120" w:after="120"/>
        <w:ind w:left="851" w:right="851" w:firstLine="709"/>
        <w:jc w:val="both"/>
        <w:rPr>
          <w:rFonts w:ascii="Times New Roman" w:hAnsi="Times New Roman" w:cs="Times New Roman"/>
          <w:i/>
          <w:iCs/>
          <w:sz w:val="26"/>
          <w:szCs w:val="26"/>
        </w:rPr>
      </w:pPr>
      <w:bookmarkStart w:name="_Hlk508270555" w:id="67"/>
      <w:r w:rsidRPr="00AE1B2B">
        <w:rPr>
          <w:rFonts w:ascii="Times New Roman" w:hAnsi="Times New Roman" w:cs="Times New Roman"/>
          <w:i/>
          <w:iCs/>
          <w:sz w:val="26"/>
          <w:szCs w:val="26"/>
        </w:rPr>
        <w:t>Las funciones del personal de los Juzgados Especializados de Familia se encuentran establecidas en el Perfil Competencial de la Dirección de Gestión Humana, según sea la clase de puesto, lo cual puede ser consultado mediante la dirección electrónica http://intranet/gestionhumana/index.php/manual-perfiles; a continuación, se resumen las principales funciones que realiza cada puesto de trabajo, según consulta realizada a los juzgados que tramitan la materia de Familia.</w:t>
      </w:r>
    </w:p>
    <w:bookmarkEnd w:id="67"/>
    <w:p w:rsidRPr="00AE1B2B" w:rsidR="009D3FB5" w:rsidP="00163B94" w:rsidRDefault="009D3FB5" w14:paraId="26C5450F" w14:textId="77777777">
      <w:pPr>
        <w:spacing w:before="120" w:after="120"/>
        <w:ind w:left="851" w:right="851" w:firstLine="709"/>
        <w:rPr>
          <w:rFonts w:ascii="Times New Roman" w:hAnsi="Times New Roman" w:cs="Times New Roman"/>
          <w:i/>
          <w:iCs/>
          <w:sz w:val="26"/>
          <w:szCs w:val="26"/>
        </w:rPr>
      </w:pPr>
    </w:p>
    <w:p w:rsidRPr="00AE1B2B" w:rsidR="009D3FB5" w:rsidP="00163B94" w:rsidRDefault="009D3FB5" w14:paraId="78F718E7" w14:textId="77777777">
      <w:pPr>
        <w:spacing w:before="120" w:after="120"/>
        <w:ind w:left="851" w:right="851" w:firstLine="709"/>
        <w:jc w:val="center"/>
        <w:rPr>
          <w:rFonts w:ascii="Times New Roman" w:hAnsi="Times New Roman" w:cs="Times New Roman"/>
          <w:b/>
          <w:i/>
          <w:iCs/>
          <w:sz w:val="26"/>
          <w:szCs w:val="26"/>
        </w:rPr>
      </w:pPr>
      <w:r w:rsidRPr="00AE1B2B">
        <w:rPr>
          <w:rFonts w:ascii="Times New Roman" w:hAnsi="Times New Roman" w:cs="Times New Roman"/>
          <w:b/>
          <w:i/>
          <w:iCs/>
          <w:sz w:val="26"/>
          <w:szCs w:val="26"/>
        </w:rPr>
        <w:t xml:space="preserve">Cuadro </w:t>
      </w:r>
      <w:r w:rsidRPr="00AE1B2B">
        <w:rPr>
          <w:rFonts w:ascii="Times New Roman" w:hAnsi="Times New Roman" w:cs="Times New Roman"/>
          <w:b/>
          <w:i/>
          <w:iCs/>
          <w:sz w:val="26"/>
          <w:szCs w:val="26"/>
        </w:rPr>
        <w:fldChar w:fldCharType="begin"/>
      </w:r>
      <w:r w:rsidRPr="00AE1B2B">
        <w:rPr>
          <w:rFonts w:ascii="Times New Roman" w:hAnsi="Times New Roman" w:cs="Times New Roman"/>
          <w:b/>
          <w:i/>
          <w:iCs/>
          <w:sz w:val="26"/>
          <w:szCs w:val="26"/>
        </w:rPr>
        <w:instrText xml:space="preserve"> SEQ Cuadro \* ARABIC </w:instrText>
      </w:r>
      <w:r w:rsidRPr="00AE1B2B">
        <w:rPr>
          <w:rFonts w:ascii="Times New Roman" w:hAnsi="Times New Roman" w:cs="Times New Roman"/>
          <w:b/>
          <w:i/>
          <w:iCs/>
          <w:sz w:val="26"/>
          <w:szCs w:val="26"/>
        </w:rPr>
        <w:fldChar w:fldCharType="separate"/>
      </w:r>
      <w:r w:rsidRPr="00AE1B2B">
        <w:rPr>
          <w:rFonts w:ascii="Times New Roman" w:hAnsi="Times New Roman" w:cs="Times New Roman"/>
          <w:b/>
          <w:i/>
          <w:iCs/>
          <w:sz w:val="26"/>
          <w:szCs w:val="26"/>
        </w:rPr>
        <w:t>13</w:t>
      </w:r>
      <w:r w:rsidRPr="00AE1B2B">
        <w:rPr>
          <w:rFonts w:ascii="Times New Roman" w:hAnsi="Times New Roman" w:cs="Times New Roman"/>
          <w:b/>
          <w:i/>
          <w:iCs/>
          <w:sz w:val="26"/>
          <w:szCs w:val="26"/>
        </w:rPr>
        <w:fldChar w:fldCharType="end"/>
      </w:r>
    </w:p>
    <w:p w:rsidRPr="00AE1B2B" w:rsidR="009D3FB5" w:rsidP="00163B94" w:rsidRDefault="009D3FB5" w14:paraId="3A83488F" w14:textId="2DE3503E">
      <w:pPr>
        <w:spacing w:before="120" w:after="120"/>
        <w:ind w:left="851" w:right="851" w:firstLine="709"/>
        <w:jc w:val="center"/>
        <w:rPr>
          <w:rFonts w:ascii="Times New Roman" w:hAnsi="Times New Roman" w:cs="Times New Roman"/>
          <w:b/>
          <w:i/>
          <w:iCs/>
          <w:sz w:val="26"/>
          <w:szCs w:val="26"/>
        </w:rPr>
      </w:pPr>
      <w:r w:rsidRPr="00AE1B2B">
        <w:rPr>
          <w:rFonts w:ascii="Times New Roman" w:hAnsi="Times New Roman" w:cs="Times New Roman"/>
          <w:b/>
          <w:i/>
          <w:iCs/>
          <w:sz w:val="26"/>
          <w:szCs w:val="26"/>
        </w:rPr>
        <w:t>Principales funciones según el de puesto de trabajo en los Juzgados</w:t>
      </w:r>
    </w:p>
    <w:p w:rsidRPr="00AE1B2B" w:rsidR="009D3FB5" w:rsidP="00163B94" w:rsidRDefault="009D3FB5" w14:paraId="59836C7D" w14:textId="77777777">
      <w:pPr>
        <w:spacing w:before="120" w:after="120"/>
        <w:ind w:left="851" w:right="851" w:firstLine="709"/>
        <w:jc w:val="center"/>
        <w:rPr>
          <w:rFonts w:ascii="Times New Roman" w:hAnsi="Times New Roman" w:cs="Times New Roman"/>
          <w:b/>
          <w:i/>
          <w:iCs/>
          <w:sz w:val="26"/>
          <w:szCs w:val="26"/>
        </w:rPr>
      </w:pPr>
      <w:r w:rsidRPr="00AE1B2B">
        <w:rPr>
          <w:rFonts w:ascii="Times New Roman" w:hAnsi="Times New Roman" w:cs="Times New Roman"/>
          <w:b/>
          <w:i/>
          <w:iCs/>
          <w:sz w:val="26"/>
          <w:szCs w:val="26"/>
        </w:rPr>
        <w:t>Especializados en la materia de Familia</w:t>
      </w:r>
    </w:p>
    <w:tbl>
      <w:tblPr>
        <w:tblW w:w="5000" w:type="pct"/>
        <w:jc w:val="center"/>
        <w:tblCellMar>
          <w:left w:w="70" w:type="dxa"/>
          <w:right w:w="70" w:type="dxa"/>
        </w:tblCellMar>
        <w:tblLook w:val="04A0" w:firstRow="1" w:lastRow="0" w:firstColumn="1" w:lastColumn="0" w:noHBand="0" w:noVBand="1"/>
      </w:tblPr>
      <w:tblGrid>
        <w:gridCol w:w="1367"/>
        <w:gridCol w:w="7461"/>
      </w:tblGrid>
      <w:tr w:rsidRPr="00AE1B2B" w:rsidR="00AE1B2B" w:rsidTr="0007105A" w14:paraId="4F7471A0" w14:textId="77777777">
        <w:trPr>
          <w:trHeight w:val="20"/>
          <w:tblHeader/>
          <w:jc w:val="center"/>
        </w:trPr>
        <w:tc>
          <w:tcPr>
            <w:tcW w:w="774" w:type="pct"/>
            <w:tcBorders>
              <w:top w:val="single" w:color="auto" w:sz="4" w:space="0"/>
              <w:left w:val="single" w:color="auto" w:sz="4" w:space="0"/>
              <w:bottom w:val="single" w:color="auto" w:sz="4" w:space="0"/>
              <w:right w:val="single" w:color="auto" w:sz="4" w:space="0"/>
            </w:tcBorders>
            <w:shd w:val="clear" w:color="000000" w:fill="002060"/>
            <w:vAlign w:val="center"/>
          </w:tcPr>
          <w:p w:rsidRPr="00AE1B2B" w:rsidR="009D3FB5" w:rsidP="00163B94" w:rsidRDefault="009D3FB5" w14:paraId="21E5EFB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Puesto de Trabajo</w:t>
            </w:r>
          </w:p>
        </w:tc>
        <w:tc>
          <w:tcPr>
            <w:tcW w:w="4226"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0D2B414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Funciones</w:t>
            </w:r>
          </w:p>
        </w:tc>
      </w:tr>
      <w:tr w:rsidRPr="00AE1B2B" w:rsidR="00AE1B2B" w:rsidTr="0007105A" w14:paraId="18DE0C2E" w14:textId="77777777">
        <w:trPr>
          <w:trHeight w:val="20"/>
          <w:jc w:val="center"/>
        </w:trPr>
        <w:tc>
          <w:tcPr>
            <w:tcW w:w="774" w:type="pct"/>
            <w:tcBorders>
              <w:top w:val="nil"/>
              <w:left w:val="single" w:color="auto" w:sz="4" w:space="0"/>
              <w:bottom w:val="single" w:color="auto" w:sz="4" w:space="0"/>
              <w:right w:val="single" w:color="auto" w:sz="4" w:space="0"/>
            </w:tcBorders>
            <w:vAlign w:val="center"/>
          </w:tcPr>
          <w:p w:rsidRPr="00AE1B2B" w:rsidR="009D3FB5" w:rsidP="00163B94" w:rsidRDefault="009D3FB5" w14:paraId="4137D46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Personal Juzgador</w:t>
            </w:r>
          </w:p>
        </w:tc>
        <w:tc>
          <w:tcPr>
            <w:tcW w:w="4226" w:type="pct"/>
            <w:tcBorders>
              <w:top w:val="nil"/>
              <w:left w:val="nil"/>
              <w:bottom w:val="single" w:color="auto" w:sz="4" w:space="0"/>
              <w:right w:val="single" w:color="auto" w:sz="4" w:space="0"/>
            </w:tcBorders>
            <w:shd w:val="clear" w:color="auto" w:fill="auto"/>
            <w:vAlign w:val="bottom"/>
            <w:hideMark/>
          </w:tcPr>
          <w:p w:rsidRPr="00AE1B2B" w:rsidR="009D3FB5" w:rsidP="00163B94" w:rsidRDefault="009D3FB5" w14:paraId="15DB4B22" w14:textId="77777777">
            <w:pPr>
              <w:spacing w:before="120" w:after="120" w:line="276" w:lineRule="auto"/>
              <w:rPr>
                <w:rFonts w:ascii="Times New Roman" w:hAnsi="Times New Roman" w:cs="Times New Roman"/>
              </w:rPr>
            </w:pPr>
            <w:r w:rsidRPr="00AE1B2B">
              <w:rPr>
                <w:rFonts w:ascii="Times New Roman" w:hAnsi="Times New Roman" w:cs="Times New Roman"/>
              </w:rPr>
              <w:t>•Dictar sentencias</w:t>
            </w:r>
            <w:r w:rsidRPr="00AE1B2B">
              <w:rPr>
                <w:rFonts w:ascii="Times New Roman" w:hAnsi="Times New Roman" w:cs="Times New Roman"/>
              </w:rPr>
              <w:br/>
            </w:r>
            <w:r w:rsidRPr="00AE1B2B">
              <w:rPr>
                <w:rFonts w:ascii="Times New Roman" w:hAnsi="Times New Roman" w:cs="Times New Roman"/>
              </w:rPr>
              <w:t>•Revisar proyectos de resolución</w:t>
            </w:r>
            <w:r w:rsidRPr="00AE1B2B">
              <w:rPr>
                <w:rFonts w:ascii="Times New Roman" w:hAnsi="Times New Roman" w:cs="Times New Roman"/>
              </w:rPr>
              <w:br/>
            </w:r>
            <w:r w:rsidRPr="00AE1B2B">
              <w:rPr>
                <w:rFonts w:ascii="Times New Roman" w:hAnsi="Times New Roman" w:cs="Times New Roman"/>
              </w:rPr>
              <w:t>•Firma de proveído</w:t>
            </w:r>
            <w:r w:rsidRPr="00AE1B2B">
              <w:rPr>
                <w:rFonts w:ascii="Times New Roman" w:hAnsi="Times New Roman" w:cs="Times New Roman"/>
              </w:rPr>
              <w:br/>
            </w:r>
            <w:r w:rsidRPr="00AE1B2B">
              <w:rPr>
                <w:rFonts w:ascii="Times New Roman" w:hAnsi="Times New Roman" w:cs="Times New Roman"/>
              </w:rPr>
              <w:t>•Realizar audiencias</w:t>
            </w:r>
            <w:r w:rsidRPr="00AE1B2B">
              <w:rPr>
                <w:rFonts w:ascii="Times New Roman" w:hAnsi="Times New Roman" w:cs="Times New Roman"/>
              </w:rPr>
              <w:br/>
            </w:r>
            <w:r w:rsidRPr="00AE1B2B">
              <w:rPr>
                <w:rFonts w:ascii="Times New Roman" w:hAnsi="Times New Roman" w:cs="Times New Roman"/>
              </w:rPr>
              <w:t>•Supervisión de personal</w:t>
            </w:r>
            <w:r w:rsidRPr="00AE1B2B">
              <w:rPr>
                <w:rFonts w:ascii="Times New Roman" w:hAnsi="Times New Roman" w:cs="Times New Roman"/>
              </w:rPr>
              <w:br/>
            </w:r>
            <w:r w:rsidRPr="00AE1B2B">
              <w:rPr>
                <w:rFonts w:ascii="Times New Roman" w:hAnsi="Times New Roman" w:cs="Times New Roman"/>
              </w:rPr>
              <w:t xml:space="preserve">•Funciones administrativas </w:t>
            </w:r>
            <w:r w:rsidRPr="00AE1B2B">
              <w:rPr>
                <w:rFonts w:ascii="Times New Roman" w:hAnsi="Times New Roman" w:cs="Times New Roman"/>
              </w:rPr>
              <w:br/>
            </w:r>
            <w:r w:rsidRPr="00AE1B2B">
              <w:rPr>
                <w:rFonts w:ascii="Times New Roman" w:hAnsi="Times New Roman" w:cs="Times New Roman"/>
              </w:rPr>
              <w:t>•Realizar allanamientos</w:t>
            </w:r>
            <w:r w:rsidRPr="00AE1B2B">
              <w:rPr>
                <w:rFonts w:ascii="Times New Roman" w:hAnsi="Times New Roman" w:cs="Times New Roman"/>
              </w:rPr>
              <w:br/>
            </w:r>
            <w:r w:rsidRPr="00AE1B2B">
              <w:rPr>
                <w:rFonts w:ascii="Times New Roman" w:hAnsi="Times New Roman" w:cs="Times New Roman"/>
              </w:rPr>
              <w:t>•Realizar inventarios de bienes</w:t>
            </w:r>
            <w:r w:rsidRPr="00AE1B2B">
              <w:rPr>
                <w:rFonts w:ascii="Times New Roman" w:hAnsi="Times New Roman" w:cs="Times New Roman"/>
              </w:rPr>
              <w:br/>
            </w:r>
            <w:r w:rsidRPr="00AE1B2B">
              <w:rPr>
                <w:rFonts w:ascii="Times New Roman" w:hAnsi="Times New Roman" w:cs="Times New Roman"/>
              </w:rPr>
              <w:lastRenderedPageBreak/>
              <w:t>•Visitar y realizar entrevistas fuera del Despacho</w:t>
            </w:r>
            <w:r w:rsidRPr="00AE1B2B">
              <w:rPr>
                <w:rFonts w:ascii="Times New Roman" w:hAnsi="Times New Roman" w:cs="Times New Roman"/>
              </w:rPr>
              <w:br/>
            </w:r>
            <w:r w:rsidRPr="00AE1B2B">
              <w:rPr>
                <w:rFonts w:ascii="Times New Roman" w:hAnsi="Times New Roman" w:cs="Times New Roman"/>
              </w:rPr>
              <w:t>•Aprobar giros en el Sistema de Depósitos Judiciales</w:t>
            </w:r>
            <w:r w:rsidRPr="00AE1B2B">
              <w:rPr>
                <w:rFonts w:ascii="Times New Roman" w:hAnsi="Times New Roman" w:cs="Times New Roman"/>
              </w:rPr>
              <w:br/>
            </w:r>
            <w:r w:rsidRPr="00AE1B2B">
              <w:rPr>
                <w:rFonts w:ascii="Times New Roman" w:hAnsi="Times New Roman" w:cs="Times New Roman"/>
              </w:rPr>
              <w:t>•Firma de boletas de seguridad (Registro Público), certificaciones y ejecutorias</w:t>
            </w:r>
            <w:r w:rsidRPr="00AE1B2B">
              <w:rPr>
                <w:rFonts w:ascii="Times New Roman" w:hAnsi="Times New Roman" w:cs="Times New Roman"/>
              </w:rPr>
              <w:br/>
            </w:r>
            <w:r w:rsidRPr="00AE1B2B">
              <w:rPr>
                <w:rFonts w:ascii="Times New Roman" w:hAnsi="Times New Roman" w:cs="Times New Roman"/>
              </w:rPr>
              <w:t>•Atención de consultas de personas usuarias</w:t>
            </w:r>
            <w:r w:rsidRPr="00AE1B2B">
              <w:rPr>
                <w:rFonts w:ascii="Times New Roman" w:hAnsi="Times New Roman" w:cs="Times New Roman"/>
              </w:rPr>
              <w:br/>
            </w:r>
            <w:r w:rsidRPr="00AE1B2B">
              <w:rPr>
                <w:rFonts w:ascii="Times New Roman" w:hAnsi="Times New Roman" w:cs="Times New Roman"/>
              </w:rPr>
              <w:t>•Atención de consultas del personal</w:t>
            </w:r>
          </w:p>
        </w:tc>
      </w:tr>
      <w:tr w:rsidRPr="00AE1B2B" w:rsidR="00AE1B2B" w:rsidTr="0007105A" w14:paraId="6312B564" w14:textId="77777777">
        <w:trPr>
          <w:trHeight w:val="20"/>
          <w:jc w:val="center"/>
        </w:trPr>
        <w:tc>
          <w:tcPr>
            <w:tcW w:w="774" w:type="pct"/>
            <w:tcBorders>
              <w:top w:val="nil"/>
              <w:left w:val="single" w:color="auto" w:sz="4" w:space="0"/>
              <w:bottom w:val="single" w:color="auto" w:sz="4" w:space="0"/>
              <w:right w:val="single" w:color="auto" w:sz="4" w:space="0"/>
            </w:tcBorders>
            <w:vAlign w:val="center"/>
          </w:tcPr>
          <w:p w:rsidRPr="00AE1B2B" w:rsidR="009D3FB5" w:rsidP="00163B94" w:rsidRDefault="009D3FB5" w14:paraId="1985F65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Personal Coordinador Judicial</w:t>
            </w:r>
          </w:p>
        </w:tc>
        <w:tc>
          <w:tcPr>
            <w:tcW w:w="4226" w:type="pct"/>
            <w:tcBorders>
              <w:top w:val="nil"/>
              <w:left w:val="nil"/>
              <w:bottom w:val="single" w:color="auto" w:sz="4" w:space="0"/>
              <w:right w:val="single" w:color="auto" w:sz="4" w:space="0"/>
            </w:tcBorders>
            <w:shd w:val="clear" w:color="auto" w:fill="auto"/>
            <w:vAlign w:val="bottom"/>
            <w:hideMark/>
          </w:tcPr>
          <w:p w:rsidRPr="00AE1B2B" w:rsidR="009D3FB5" w:rsidP="00163B94" w:rsidRDefault="009D3FB5" w14:paraId="4349035C" w14:textId="77777777">
            <w:pPr>
              <w:spacing w:before="120" w:after="120" w:line="276" w:lineRule="auto"/>
              <w:rPr>
                <w:rFonts w:ascii="Times New Roman" w:hAnsi="Times New Roman" w:cs="Times New Roman"/>
              </w:rPr>
            </w:pPr>
            <w:r w:rsidRPr="00AE1B2B">
              <w:rPr>
                <w:rFonts w:ascii="Times New Roman" w:hAnsi="Times New Roman" w:cs="Times New Roman"/>
              </w:rPr>
              <w:t>• Confección de informes estadísticos</w:t>
            </w:r>
            <w:r w:rsidRPr="00AE1B2B">
              <w:rPr>
                <w:rFonts w:ascii="Times New Roman" w:hAnsi="Times New Roman" w:cs="Times New Roman"/>
              </w:rPr>
              <w:br/>
            </w:r>
            <w:r w:rsidRPr="00AE1B2B">
              <w:rPr>
                <w:rFonts w:ascii="Times New Roman" w:hAnsi="Times New Roman" w:cs="Times New Roman"/>
              </w:rPr>
              <w:t>•Distribuir asuntos nuevos</w:t>
            </w:r>
            <w:r w:rsidRPr="00AE1B2B">
              <w:rPr>
                <w:rFonts w:ascii="Times New Roman" w:hAnsi="Times New Roman" w:cs="Times New Roman"/>
              </w:rPr>
              <w:br/>
            </w:r>
            <w:r w:rsidRPr="00AE1B2B">
              <w:rPr>
                <w:rFonts w:ascii="Times New Roman" w:hAnsi="Times New Roman" w:cs="Times New Roman"/>
              </w:rPr>
              <w:t xml:space="preserve">•Revisar la información de los expedientes que ingresan nuevos </w:t>
            </w:r>
            <w:r w:rsidRPr="00AE1B2B">
              <w:rPr>
                <w:rFonts w:ascii="Times New Roman" w:hAnsi="Times New Roman" w:cs="Times New Roman"/>
              </w:rPr>
              <w:br/>
            </w:r>
            <w:r w:rsidRPr="00AE1B2B">
              <w:rPr>
                <w:rFonts w:ascii="Times New Roman" w:hAnsi="Times New Roman" w:cs="Times New Roman"/>
              </w:rPr>
              <w:t>•Control de libros (pase a fallo, sentencias, comisiones, juramentaciones, boletas de seguridad (Registro Público), entre otros</w:t>
            </w:r>
            <w:r w:rsidRPr="00AE1B2B">
              <w:rPr>
                <w:rFonts w:ascii="Times New Roman" w:hAnsi="Times New Roman" w:cs="Times New Roman"/>
              </w:rPr>
              <w:br/>
            </w:r>
            <w:r w:rsidRPr="00AE1B2B">
              <w:rPr>
                <w:rFonts w:ascii="Times New Roman" w:hAnsi="Times New Roman" w:cs="Times New Roman"/>
              </w:rPr>
              <w:t>•Confección y firma de certificaciones</w:t>
            </w:r>
            <w:r w:rsidRPr="00AE1B2B">
              <w:rPr>
                <w:rFonts w:ascii="Times New Roman" w:hAnsi="Times New Roman" w:cs="Times New Roman"/>
              </w:rPr>
              <w:br/>
            </w:r>
            <w:r w:rsidRPr="00AE1B2B">
              <w:rPr>
                <w:rFonts w:ascii="Times New Roman" w:hAnsi="Times New Roman" w:cs="Times New Roman"/>
              </w:rPr>
              <w:t>•Firma de comisiones</w:t>
            </w:r>
            <w:r w:rsidRPr="00AE1B2B">
              <w:rPr>
                <w:rFonts w:ascii="Times New Roman" w:hAnsi="Times New Roman" w:cs="Times New Roman"/>
              </w:rPr>
              <w:br/>
            </w:r>
            <w:r w:rsidRPr="00AE1B2B">
              <w:rPr>
                <w:rFonts w:ascii="Times New Roman" w:hAnsi="Times New Roman" w:cs="Times New Roman"/>
              </w:rPr>
              <w:t xml:space="preserve">•Aprobar y cancelar los mandamientos de anotaciones en el SREM </w:t>
            </w:r>
            <w:r w:rsidRPr="00AE1B2B">
              <w:rPr>
                <w:rFonts w:ascii="Times New Roman" w:hAnsi="Times New Roman" w:cs="Times New Roman"/>
              </w:rPr>
              <w:br/>
            </w:r>
            <w:r w:rsidRPr="00AE1B2B">
              <w:rPr>
                <w:rFonts w:ascii="Times New Roman" w:hAnsi="Times New Roman" w:cs="Times New Roman"/>
              </w:rPr>
              <w:t>•Ingresar expedientes nuevos en el SDJ</w:t>
            </w:r>
            <w:r w:rsidRPr="00AE1B2B">
              <w:rPr>
                <w:rFonts w:ascii="Times New Roman" w:hAnsi="Times New Roman" w:cs="Times New Roman"/>
              </w:rPr>
              <w:br/>
            </w:r>
            <w:r w:rsidRPr="00AE1B2B">
              <w:rPr>
                <w:rFonts w:ascii="Times New Roman" w:hAnsi="Times New Roman" w:cs="Times New Roman"/>
              </w:rPr>
              <w:t>•Autorizar giros en el SDJ</w:t>
            </w:r>
            <w:r w:rsidRPr="00AE1B2B">
              <w:rPr>
                <w:rFonts w:ascii="Times New Roman" w:hAnsi="Times New Roman" w:cs="Times New Roman"/>
              </w:rPr>
              <w:br/>
            </w:r>
            <w:r w:rsidRPr="00AE1B2B">
              <w:rPr>
                <w:rFonts w:ascii="Times New Roman" w:hAnsi="Times New Roman" w:cs="Times New Roman"/>
              </w:rPr>
              <w:t>•Encargado Sistema de Itineraciones</w:t>
            </w:r>
            <w:r w:rsidRPr="00AE1B2B">
              <w:rPr>
                <w:rFonts w:ascii="Times New Roman" w:hAnsi="Times New Roman" w:cs="Times New Roman"/>
              </w:rPr>
              <w:br/>
            </w:r>
            <w:r w:rsidRPr="00AE1B2B">
              <w:rPr>
                <w:rFonts w:ascii="Times New Roman" w:hAnsi="Times New Roman" w:cs="Times New Roman"/>
              </w:rPr>
              <w:t>•Administrar el correo electrónico del Despacho</w:t>
            </w:r>
            <w:r w:rsidRPr="00AE1B2B">
              <w:rPr>
                <w:rFonts w:ascii="Times New Roman" w:hAnsi="Times New Roman" w:cs="Times New Roman"/>
              </w:rPr>
              <w:br/>
            </w:r>
            <w:r w:rsidRPr="00AE1B2B">
              <w:rPr>
                <w:rFonts w:ascii="Times New Roman" w:hAnsi="Times New Roman" w:cs="Times New Roman"/>
              </w:rPr>
              <w:t>•Atención de consultas de personas usuarias</w:t>
            </w:r>
            <w:r w:rsidRPr="00AE1B2B">
              <w:rPr>
                <w:rFonts w:ascii="Times New Roman" w:hAnsi="Times New Roman" w:cs="Times New Roman"/>
              </w:rPr>
              <w:br/>
            </w:r>
            <w:r w:rsidRPr="00AE1B2B">
              <w:rPr>
                <w:rFonts w:ascii="Times New Roman" w:hAnsi="Times New Roman" w:cs="Times New Roman"/>
              </w:rPr>
              <w:t>•Atención de consultas del personal</w:t>
            </w:r>
            <w:r w:rsidRPr="00AE1B2B">
              <w:rPr>
                <w:rFonts w:ascii="Times New Roman" w:hAnsi="Times New Roman" w:cs="Times New Roman"/>
              </w:rPr>
              <w:br/>
            </w:r>
            <w:r w:rsidRPr="00AE1B2B">
              <w:rPr>
                <w:rFonts w:ascii="Times New Roman" w:hAnsi="Times New Roman" w:cs="Times New Roman"/>
              </w:rPr>
              <w:t>•Funciones administrativas</w:t>
            </w:r>
          </w:p>
        </w:tc>
      </w:tr>
      <w:tr w:rsidRPr="00AE1B2B" w:rsidR="00AE1B2B" w:rsidTr="0007105A" w14:paraId="39E7D9BB" w14:textId="77777777">
        <w:trPr>
          <w:trHeight w:val="20"/>
          <w:jc w:val="center"/>
        </w:trPr>
        <w:tc>
          <w:tcPr>
            <w:tcW w:w="774" w:type="pct"/>
            <w:tcBorders>
              <w:top w:val="nil"/>
              <w:left w:val="single" w:color="auto" w:sz="4" w:space="0"/>
              <w:bottom w:val="single" w:color="auto" w:sz="4" w:space="0"/>
              <w:right w:val="single" w:color="auto" w:sz="4" w:space="0"/>
            </w:tcBorders>
            <w:vAlign w:val="center"/>
          </w:tcPr>
          <w:p w:rsidRPr="00AE1B2B" w:rsidR="009D3FB5" w:rsidP="00163B94" w:rsidRDefault="009D3FB5" w14:paraId="5FC5966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Personal Técnico Judicial</w:t>
            </w:r>
          </w:p>
        </w:tc>
        <w:tc>
          <w:tcPr>
            <w:tcW w:w="4226" w:type="pct"/>
            <w:tcBorders>
              <w:top w:val="nil"/>
              <w:left w:val="nil"/>
              <w:bottom w:val="single" w:color="auto" w:sz="4" w:space="0"/>
              <w:right w:val="single" w:color="auto" w:sz="4" w:space="0"/>
            </w:tcBorders>
            <w:shd w:val="clear" w:color="auto" w:fill="auto"/>
            <w:vAlign w:val="bottom"/>
            <w:hideMark/>
          </w:tcPr>
          <w:p w:rsidRPr="00AE1B2B" w:rsidR="009D3FB5" w:rsidP="00163B94" w:rsidRDefault="009D3FB5" w14:paraId="3A285F96" w14:textId="77777777">
            <w:pPr>
              <w:spacing w:before="120" w:after="120" w:line="276" w:lineRule="auto"/>
              <w:rPr>
                <w:rFonts w:ascii="Times New Roman" w:hAnsi="Times New Roman" w:cs="Times New Roman"/>
              </w:rPr>
            </w:pPr>
            <w:r w:rsidRPr="00AE1B2B">
              <w:rPr>
                <w:rFonts w:ascii="Times New Roman" w:hAnsi="Times New Roman" w:cs="Times New Roman"/>
              </w:rPr>
              <w:t>•Trámite de expedientes (proyectos de resolución)</w:t>
            </w:r>
            <w:r w:rsidRPr="00AE1B2B">
              <w:rPr>
                <w:rFonts w:ascii="Times New Roman" w:hAnsi="Times New Roman" w:cs="Times New Roman"/>
              </w:rPr>
              <w:br/>
            </w:r>
            <w:r w:rsidRPr="00AE1B2B">
              <w:rPr>
                <w:rFonts w:ascii="Times New Roman" w:hAnsi="Times New Roman" w:cs="Times New Roman"/>
              </w:rPr>
              <w:t>•Acompañar a la persona juzgadora a las entrevistas fuera del Despacho</w:t>
            </w:r>
            <w:r w:rsidRPr="00AE1B2B">
              <w:rPr>
                <w:rFonts w:ascii="Times New Roman" w:hAnsi="Times New Roman" w:cs="Times New Roman"/>
              </w:rPr>
              <w:br/>
            </w:r>
            <w:r w:rsidRPr="00AE1B2B">
              <w:rPr>
                <w:rFonts w:ascii="Times New Roman" w:hAnsi="Times New Roman" w:cs="Times New Roman"/>
              </w:rPr>
              <w:t>•Acompañar a la persona juzgadora en las audiencias con personas menores de edad</w:t>
            </w:r>
            <w:r w:rsidRPr="00AE1B2B">
              <w:rPr>
                <w:rFonts w:ascii="Times New Roman" w:hAnsi="Times New Roman" w:cs="Times New Roman"/>
              </w:rPr>
              <w:br/>
            </w:r>
            <w:r w:rsidRPr="00AE1B2B">
              <w:rPr>
                <w:rFonts w:ascii="Times New Roman" w:hAnsi="Times New Roman" w:cs="Times New Roman"/>
              </w:rPr>
              <w:t>•Atención de personas usuarias (manifestación)</w:t>
            </w:r>
            <w:r w:rsidRPr="00AE1B2B">
              <w:rPr>
                <w:rFonts w:ascii="Times New Roman" w:hAnsi="Times New Roman" w:cs="Times New Roman"/>
              </w:rPr>
              <w:br/>
            </w:r>
            <w:r w:rsidRPr="00AE1B2B">
              <w:rPr>
                <w:rFonts w:ascii="Times New Roman" w:hAnsi="Times New Roman" w:cs="Times New Roman"/>
              </w:rPr>
              <w:t>•Atención telefónica</w:t>
            </w:r>
            <w:r w:rsidRPr="00AE1B2B">
              <w:rPr>
                <w:rFonts w:ascii="Times New Roman" w:hAnsi="Times New Roman" w:cs="Times New Roman"/>
              </w:rPr>
              <w:br/>
            </w:r>
            <w:r w:rsidRPr="00AE1B2B">
              <w:rPr>
                <w:rFonts w:ascii="Times New Roman" w:hAnsi="Times New Roman" w:cs="Times New Roman"/>
              </w:rPr>
              <w:t>•Confección de ejecutorias</w:t>
            </w:r>
            <w:r w:rsidRPr="00AE1B2B">
              <w:rPr>
                <w:rFonts w:ascii="Times New Roman" w:hAnsi="Times New Roman" w:cs="Times New Roman"/>
              </w:rPr>
              <w:br/>
            </w:r>
            <w:r w:rsidRPr="00AE1B2B">
              <w:rPr>
                <w:rFonts w:ascii="Times New Roman" w:hAnsi="Times New Roman" w:cs="Times New Roman"/>
              </w:rPr>
              <w:t>•Confección de correo certificado</w:t>
            </w:r>
            <w:r w:rsidRPr="00AE1B2B">
              <w:rPr>
                <w:rFonts w:ascii="Times New Roman" w:hAnsi="Times New Roman" w:cs="Times New Roman"/>
              </w:rPr>
              <w:br/>
            </w:r>
            <w:r w:rsidRPr="00AE1B2B">
              <w:rPr>
                <w:rFonts w:ascii="Times New Roman" w:hAnsi="Times New Roman" w:cs="Times New Roman"/>
              </w:rPr>
              <w:t>•Confección de certificaciones</w:t>
            </w:r>
            <w:r w:rsidRPr="00AE1B2B">
              <w:rPr>
                <w:rFonts w:ascii="Times New Roman" w:hAnsi="Times New Roman" w:cs="Times New Roman"/>
              </w:rPr>
              <w:br/>
            </w:r>
            <w:r w:rsidRPr="00AE1B2B">
              <w:rPr>
                <w:rFonts w:ascii="Times New Roman" w:hAnsi="Times New Roman" w:cs="Times New Roman"/>
              </w:rPr>
              <w:t>•Confección de constancias</w:t>
            </w:r>
            <w:r w:rsidRPr="00AE1B2B">
              <w:rPr>
                <w:rFonts w:ascii="Times New Roman" w:hAnsi="Times New Roman" w:cs="Times New Roman"/>
              </w:rPr>
              <w:br/>
            </w:r>
            <w:r w:rsidRPr="00AE1B2B">
              <w:rPr>
                <w:rFonts w:ascii="Times New Roman" w:hAnsi="Times New Roman" w:cs="Times New Roman"/>
              </w:rPr>
              <w:t>•Confección de actas de matrimonio</w:t>
            </w:r>
            <w:r w:rsidRPr="00AE1B2B">
              <w:rPr>
                <w:rFonts w:ascii="Times New Roman" w:hAnsi="Times New Roman" w:cs="Times New Roman"/>
              </w:rPr>
              <w:br/>
            </w:r>
            <w:r w:rsidRPr="00AE1B2B">
              <w:rPr>
                <w:rFonts w:ascii="Times New Roman" w:hAnsi="Times New Roman" w:cs="Times New Roman"/>
              </w:rPr>
              <w:t>•Confección de oficios</w:t>
            </w:r>
            <w:r w:rsidRPr="00AE1B2B">
              <w:rPr>
                <w:rFonts w:ascii="Times New Roman" w:hAnsi="Times New Roman" w:cs="Times New Roman"/>
              </w:rPr>
              <w:br/>
            </w:r>
            <w:r w:rsidRPr="00AE1B2B">
              <w:rPr>
                <w:rFonts w:ascii="Times New Roman" w:hAnsi="Times New Roman" w:cs="Times New Roman"/>
              </w:rPr>
              <w:t>•Envío y revisión de edictos</w:t>
            </w:r>
            <w:r w:rsidRPr="00AE1B2B">
              <w:rPr>
                <w:rFonts w:ascii="Times New Roman" w:hAnsi="Times New Roman" w:cs="Times New Roman"/>
              </w:rPr>
              <w:br/>
            </w:r>
            <w:r w:rsidRPr="00AE1B2B">
              <w:rPr>
                <w:rFonts w:ascii="Times New Roman" w:hAnsi="Times New Roman" w:cs="Times New Roman"/>
              </w:rPr>
              <w:t>•Asistir a audiencias</w:t>
            </w:r>
            <w:r w:rsidRPr="00AE1B2B">
              <w:rPr>
                <w:rFonts w:ascii="Times New Roman" w:hAnsi="Times New Roman" w:cs="Times New Roman"/>
              </w:rPr>
              <w:br/>
            </w:r>
            <w:r w:rsidRPr="00AE1B2B">
              <w:rPr>
                <w:rFonts w:ascii="Times New Roman" w:hAnsi="Times New Roman" w:cs="Times New Roman"/>
              </w:rPr>
              <w:t>•Sacar fotocopias</w:t>
            </w:r>
            <w:r w:rsidRPr="00AE1B2B">
              <w:rPr>
                <w:rFonts w:ascii="Times New Roman" w:hAnsi="Times New Roman" w:cs="Times New Roman"/>
              </w:rPr>
              <w:br/>
            </w:r>
            <w:r w:rsidRPr="00AE1B2B">
              <w:rPr>
                <w:rFonts w:ascii="Times New Roman" w:hAnsi="Times New Roman" w:cs="Times New Roman"/>
              </w:rPr>
              <w:t>•Escaneo de documentos</w:t>
            </w:r>
            <w:r w:rsidRPr="00AE1B2B">
              <w:rPr>
                <w:rFonts w:ascii="Times New Roman" w:hAnsi="Times New Roman" w:cs="Times New Roman"/>
              </w:rPr>
              <w:br/>
            </w:r>
            <w:r w:rsidRPr="00AE1B2B">
              <w:rPr>
                <w:rFonts w:ascii="Times New Roman" w:hAnsi="Times New Roman" w:cs="Times New Roman"/>
              </w:rPr>
              <w:t>•Encargado Sistema de Itineraciones</w:t>
            </w:r>
            <w:r w:rsidRPr="00AE1B2B">
              <w:rPr>
                <w:rFonts w:ascii="Times New Roman" w:hAnsi="Times New Roman" w:cs="Times New Roman"/>
              </w:rPr>
              <w:br/>
            </w:r>
            <w:r w:rsidRPr="00AE1B2B">
              <w:rPr>
                <w:rFonts w:ascii="Times New Roman" w:hAnsi="Times New Roman" w:cs="Times New Roman"/>
              </w:rPr>
              <w:t>•Trámites con oficinas dentro y fuera del Poder Judicial (Trabajo Social y Psicología, Medicatura Forense, Bioquímica, PANI, Delegaciones Policiales, entre otras)</w:t>
            </w:r>
            <w:r w:rsidRPr="00AE1B2B">
              <w:rPr>
                <w:rFonts w:ascii="Times New Roman" w:hAnsi="Times New Roman" w:cs="Times New Roman"/>
              </w:rPr>
              <w:br/>
            </w:r>
            <w:r w:rsidRPr="00AE1B2B">
              <w:rPr>
                <w:rFonts w:ascii="Times New Roman" w:hAnsi="Times New Roman" w:cs="Times New Roman"/>
              </w:rPr>
              <w:lastRenderedPageBreak/>
              <w:t>•Ingresar los señalamientos y resultados en la agenda Cronos</w:t>
            </w:r>
            <w:r w:rsidRPr="00AE1B2B">
              <w:rPr>
                <w:rFonts w:ascii="Times New Roman" w:hAnsi="Times New Roman" w:cs="Times New Roman"/>
              </w:rPr>
              <w:br/>
            </w:r>
            <w:r w:rsidRPr="00AE1B2B">
              <w:rPr>
                <w:rFonts w:ascii="Times New Roman" w:hAnsi="Times New Roman" w:cs="Times New Roman"/>
              </w:rPr>
              <w:t>•Realizar giros en el SDJ</w:t>
            </w:r>
            <w:r w:rsidRPr="00AE1B2B">
              <w:rPr>
                <w:rFonts w:ascii="Times New Roman" w:hAnsi="Times New Roman" w:cs="Times New Roman"/>
              </w:rPr>
              <w:br/>
            </w:r>
            <w:r w:rsidRPr="00AE1B2B">
              <w:rPr>
                <w:rFonts w:ascii="Times New Roman" w:hAnsi="Times New Roman" w:cs="Times New Roman"/>
              </w:rPr>
              <w:t>•Anotar y levantar mandamientos en el SREM</w:t>
            </w:r>
            <w:r w:rsidRPr="00AE1B2B">
              <w:rPr>
                <w:rFonts w:ascii="Times New Roman" w:hAnsi="Times New Roman" w:cs="Times New Roman"/>
              </w:rPr>
              <w:br/>
            </w:r>
            <w:r w:rsidRPr="00AE1B2B">
              <w:rPr>
                <w:rFonts w:ascii="Times New Roman" w:hAnsi="Times New Roman" w:cs="Times New Roman"/>
              </w:rPr>
              <w:t>•Recibir salvaguardias</w:t>
            </w:r>
            <w:r w:rsidRPr="00AE1B2B">
              <w:rPr>
                <w:rFonts w:ascii="Times New Roman" w:hAnsi="Times New Roman" w:cs="Times New Roman"/>
              </w:rPr>
              <w:br/>
            </w:r>
            <w:r w:rsidRPr="00AE1B2B">
              <w:rPr>
                <w:rFonts w:ascii="Times New Roman" w:hAnsi="Times New Roman" w:cs="Times New Roman"/>
              </w:rPr>
              <w:t>•Recibir Matrimonios</w:t>
            </w:r>
            <w:r w:rsidRPr="00AE1B2B">
              <w:rPr>
                <w:rFonts w:ascii="Times New Roman" w:hAnsi="Times New Roman" w:cs="Times New Roman"/>
              </w:rPr>
              <w:br/>
            </w:r>
            <w:r w:rsidRPr="00AE1B2B">
              <w:rPr>
                <w:rFonts w:ascii="Times New Roman" w:hAnsi="Times New Roman" w:cs="Times New Roman"/>
              </w:rPr>
              <w:t>•Nombrar curadores y peritos</w:t>
            </w:r>
            <w:r w:rsidRPr="00AE1B2B">
              <w:rPr>
                <w:rFonts w:ascii="Times New Roman" w:hAnsi="Times New Roman" w:cs="Times New Roman"/>
              </w:rPr>
              <w:br/>
            </w:r>
            <w:r w:rsidRPr="00AE1B2B">
              <w:rPr>
                <w:rFonts w:ascii="Times New Roman" w:hAnsi="Times New Roman" w:cs="Times New Roman"/>
              </w:rPr>
              <w:t>•Entrega de claves de gestión en línea</w:t>
            </w:r>
          </w:p>
        </w:tc>
      </w:tr>
      <w:tr w:rsidRPr="00AE1B2B" w:rsidR="00AE1B2B" w:rsidTr="0007105A" w14:paraId="7887DEBF" w14:textId="77777777">
        <w:trPr>
          <w:trHeight w:val="20"/>
          <w:jc w:val="center"/>
        </w:trPr>
        <w:tc>
          <w:tcPr>
            <w:tcW w:w="774" w:type="pct"/>
            <w:tcBorders>
              <w:top w:val="nil"/>
              <w:left w:val="single" w:color="auto" w:sz="4" w:space="0"/>
              <w:bottom w:val="single" w:color="auto" w:sz="4" w:space="0"/>
              <w:right w:val="single" w:color="auto" w:sz="4" w:space="0"/>
            </w:tcBorders>
            <w:vAlign w:val="center"/>
          </w:tcPr>
          <w:p w:rsidRPr="00AE1B2B" w:rsidR="009D3FB5" w:rsidP="00163B94" w:rsidRDefault="009D3FB5" w14:paraId="0E98A56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Personal Auxiliar de Servicios Generales</w:t>
            </w:r>
          </w:p>
        </w:tc>
        <w:tc>
          <w:tcPr>
            <w:tcW w:w="4226" w:type="pct"/>
            <w:tcBorders>
              <w:top w:val="nil"/>
              <w:left w:val="nil"/>
              <w:bottom w:val="single" w:color="auto" w:sz="4" w:space="0"/>
              <w:right w:val="single" w:color="auto" w:sz="4" w:space="0"/>
            </w:tcBorders>
            <w:shd w:val="clear" w:color="auto" w:fill="auto"/>
            <w:vAlign w:val="bottom"/>
            <w:hideMark/>
          </w:tcPr>
          <w:p w:rsidRPr="00AE1B2B" w:rsidR="009D3FB5" w:rsidP="00163B94" w:rsidRDefault="009D3FB5" w14:paraId="110E9C1E" w14:textId="77777777">
            <w:pPr>
              <w:spacing w:before="120" w:after="120" w:line="276" w:lineRule="auto"/>
              <w:rPr>
                <w:rFonts w:ascii="Times New Roman" w:hAnsi="Times New Roman" w:cs="Times New Roman"/>
              </w:rPr>
            </w:pPr>
            <w:r w:rsidRPr="00AE1B2B">
              <w:rPr>
                <w:rFonts w:ascii="Times New Roman" w:hAnsi="Times New Roman" w:cs="Times New Roman"/>
              </w:rPr>
              <w:t>•Atención de personas usuarias (manifestación)</w:t>
            </w:r>
            <w:r w:rsidRPr="00AE1B2B">
              <w:rPr>
                <w:rFonts w:ascii="Times New Roman" w:hAnsi="Times New Roman" w:cs="Times New Roman"/>
              </w:rPr>
              <w:br/>
            </w:r>
            <w:r w:rsidRPr="00AE1B2B">
              <w:rPr>
                <w:rFonts w:ascii="Times New Roman" w:hAnsi="Times New Roman" w:cs="Times New Roman"/>
              </w:rPr>
              <w:t>•Labores de limpieza</w:t>
            </w:r>
            <w:r w:rsidRPr="00AE1B2B">
              <w:rPr>
                <w:rFonts w:ascii="Times New Roman" w:hAnsi="Times New Roman" w:cs="Times New Roman"/>
              </w:rPr>
              <w:br/>
            </w:r>
            <w:r w:rsidRPr="00AE1B2B">
              <w:rPr>
                <w:rFonts w:ascii="Times New Roman" w:hAnsi="Times New Roman" w:cs="Times New Roman"/>
              </w:rPr>
              <w:t>•Confección de ejecutorias</w:t>
            </w:r>
            <w:r w:rsidRPr="00AE1B2B">
              <w:rPr>
                <w:rFonts w:ascii="Times New Roman" w:hAnsi="Times New Roman" w:cs="Times New Roman"/>
              </w:rPr>
              <w:br/>
            </w:r>
            <w:r w:rsidRPr="00AE1B2B">
              <w:rPr>
                <w:rFonts w:ascii="Times New Roman" w:hAnsi="Times New Roman" w:cs="Times New Roman"/>
              </w:rPr>
              <w:t>•Escaneo de documentos</w:t>
            </w:r>
            <w:r w:rsidRPr="00AE1B2B">
              <w:rPr>
                <w:rFonts w:ascii="Times New Roman" w:hAnsi="Times New Roman" w:cs="Times New Roman"/>
              </w:rPr>
              <w:br/>
            </w:r>
            <w:r w:rsidRPr="00AE1B2B">
              <w:rPr>
                <w:rFonts w:ascii="Times New Roman" w:hAnsi="Times New Roman" w:cs="Times New Roman"/>
              </w:rPr>
              <w:t>•Agregar la documentación que ingresa por correo certificado a los expedientes</w:t>
            </w:r>
            <w:r w:rsidRPr="00AE1B2B">
              <w:rPr>
                <w:rFonts w:ascii="Times New Roman" w:hAnsi="Times New Roman" w:cs="Times New Roman"/>
              </w:rPr>
              <w:br/>
            </w:r>
            <w:r w:rsidRPr="00AE1B2B">
              <w:rPr>
                <w:rFonts w:ascii="Times New Roman" w:hAnsi="Times New Roman" w:cs="Times New Roman"/>
              </w:rPr>
              <w:t>•Confección de correo certificado</w:t>
            </w:r>
            <w:r w:rsidRPr="00AE1B2B">
              <w:rPr>
                <w:rFonts w:ascii="Times New Roman" w:hAnsi="Times New Roman" w:cs="Times New Roman"/>
              </w:rPr>
              <w:br/>
            </w:r>
            <w:r w:rsidRPr="00AE1B2B">
              <w:rPr>
                <w:rFonts w:ascii="Times New Roman" w:hAnsi="Times New Roman" w:cs="Times New Roman"/>
              </w:rPr>
              <w:t>•Sacar fotocopias</w:t>
            </w:r>
            <w:r w:rsidRPr="00AE1B2B">
              <w:rPr>
                <w:rFonts w:ascii="Times New Roman" w:hAnsi="Times New Roman" w:cs="Times New Roman"/>
              </w:rPr>
              <w:br/>
            </w:r>
            <w:r w:rsidRPr="00AE1B2B">
              <w:rPr>
                <w:rFonts w:ascii="Times New Roman" w:hAnsi="Times New Roman" w:cs="Times New Roman"/>
              </w:rPr>
              <w:t xml:space="preserve">•Llevar las ejecutorias al Registro Civil </w:t>
            </w:r>
          </w:p>
        </w:tc>
      </w:tr>
    </w:tbl>
    <w:p w:rsidRPr="00AE1B2B" w:rsidR="009D3FB5" w:rsidP="00163B94" w:rsidRDefault="009D3FB5" w14:paraId="0F7939E7"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Subproceso de Modernización Institucional.</w:t>
      </w:r>
    </w:p>
    <w:p w:rsidRPr="00AE1B2B" w:rsidR="009D3FB5" w:rsidP="00163B94" w:rsidRDefault="009D3FB5" w14:paraId="38AF17C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030045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i/>
          <w:iCs/>
          <w:sz w:val="26"/>
          <w:szCs w:val="26"/>
        </w:rPr>
        <w:t>De la revisión de las funciones que realiza el personal, se verifica que están de acuerdo con</w:t>
      </w:r>
      <w:r w:rsidRPr="00AE1B2B">
        <w:rPr>
          <w:rFonts w:ascii="Times New Roman" w:hAnsi="Times New Roman" w:cs="Times New Roman"/>
          <w:sz w:val="26"/>
          <w:szCs w:val="26"/>
        </w:rPr>
        <w:t xml:space="preserve"> las tareas de los manuales de puestos normados por la Dirección de Gestión Humana del Poder Judicial y se encuentran acordes a la estructura de trabajo de los Juzgados que atienden la materia de Familia; sin embargo, existen diferencias en la distribución de funciones de un juzgado a otro. Por ejemplo, en lo que respecta a las personas técnicas judiciales, se rotan la atención de las personas usuarias y en otros juzgados, se tiene una persona específicamente asignada con esta labor, otro ejemplo, es el puesto de auxiliar de servicios generales, en los despachos que cuentan con esta figura, es la persona que se encarga de la atención de las personas usuarias, entre otras diferencias. No obstante, la Dirección de Planificación, analizó la situación particular de cada Despacho para definir las funciones de puestos de la misma categoría en línea con los Manuales de Perfiles Competenciales de la Dirección de Gestión Humana y cantidad de puestos existentes en cada oficina. </w:t>
      </w:r>
    </w:p>
    <w:p w:rsidRPr="00AE1B2B" w:rsidR="009D3FB5" w:rsidP="00163B94" w:rsidRDefault="009D3FB5" w14:paraId="3D2419C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CFEF29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BAE57C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014F38" w14:paraId="7A69AECD" w14:textId="684E4696">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6.1 </w:t>
      </w:r>
      <w:r w:rsidRPr="00AE1B2B" w:rsidR="009D3FB5">
        <w:rPr>
          <w:rFonts w:ascii="Times New Roman" w:hAnsi="Times New Roman" w:cs="Times New Roman"/>
          <w:sz w:val="26"/>
          <w:szCs w:val="26"/>
        </w:rPr>
        <w:t xml:space="preserve">Coordinación con otras Instancias </w:t>
      </w:r>
    </w:p>
    <w:p w:rsidRPr="00AE1B2B" w:rsidR="009D3FB5" w:rsidP="00163B94" w:rsidRDefault="009D3FB5" w14:paraId="4363DBF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Los despachos que atienden la materia de Familia, según el tipo de proceso que tramitan solicitan diferentes pruebas: médicas, psicológicas, sociales, entre otras; por lo que tienen relación con otras oficinas a las cuales solicitan estos estudios.</w:t>
      </w:r>
    </w:p>
    <w:p w:rsidRPr="00AE1B2B" w:rsidR="009D3FB5" w:rsidP="00163B94" w:rsidRDefault="009D3FB5" w14:paraId="68F994E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9D322E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continuación, se mencionan algunas oficinas con las que deben coordinar los Juzgados Especializados de Familia a nivel interno.</w:t>
      </w:r>
    </w:p>
    <w:p w:rsidRPr="00AE1B2B" w:rsidR="009D3FB5" w:rsidP="00163B94" w:rsidRDefault="009D3FB5" w14:paraId="43EF242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84BC2E4" w14:textId="77777777">
      <w:pPr>
        <w:spacing w:before="120" w:after="120"/>
        <w:ind w:left="851" w:right="851" w:firstLine="709"/>
        <w:jc w:val="both"/>
        <w:rPr>
          <w:rFonts w:ascii="Times New Roman" w:hAnsi="Times New Roman" w:cs="Times New Roman"/>
          <w:b/>
          <w:bCs/>
          <w:sz w:val="26"/>
          <w:szCs w:val="26"/>
        </w:rPr>
      </w:pPr>
      <w:r w:rsidRPr="00AE1B2B">
        <w:rPr>
          <w:rFonts w:ascii="Times New Roman" w:hAnsi="Times New Roman" w:cs="Times New Roman"/>
          <w:sz w:val="26"/>
          <w:szCs w:val="26"/>
        </w:rPr>
        <w:t>Departamento de Medicina Legal</w:t>
      </w:r>
    </w:p>
    <w:p w:rsidRPr="00AE1B2B" w:rsidR="009D3FB5" w:rsidP="00163B94" w:rsidRDefault="009D3FB5" w14:paraId="1D8077ED" w14:textId="77777777">
      <w:pPr>
        <w:spacing w:before="120" w:after="120"/>
        <w:ind w:left="851" w:right="851" w:firstLine="709"/>
        <w:jc w:val="both"/>
        <w:rPr>
          <w:rFonts w:ascii="Times New Roman" w:hAnsi="Times New Roman" w:cs="Times New Roman"/>
          <w:sz w:val="26"/>
          <w:szCs w:val="26"/>
          <w:u w:val="single"/>
        </w:rPr>
      </w:pPr>
    </w:p>
    <w:p w:rsidRPr="00AE1B2B" w:rsidR="009D3FB5" w:rsidP="00163B94" w:rsidRDefault="009D3FB5" w14:paraId="6485836E" w14:textId="77777777">
      <w:pPr>
        <w:pStyle w:val="Prrafodelista"/>
        <w:keepNext/>
        <w:numPr>
          <w:ilvl w:val="12"/>
          <w:numId w:val="59"/>
        </w:numPr>
        <w:spacing w:before="120" w:after="120"/>
        <w:ind w:left="851" w:right="851" w:firstLine="709"/>
        <w:contextualSpacing/>
        <w:jc w:val="center"/>
        <w:rPr>
          <w:rFonts w:ascii="Times New Roman" w:hAnsi="Times New Roman" w:cs="Times New Roman"/>
          <w:b/>
          <w:bCs/>
          <w:sz w:val="26"/>
          <w:szCs w:val="26"/>
        </w:rPr>
      </w:pPr>
      <w:r w:rsidRPr="00AE1B2B">
        <w:rPr>
          <w:rFonts w:ascii="Times New Roman" w:hAnsi="Times New Roman" w:cs="Times New Roman"/>
          <w:b/>
          <w:bCs/>
          <w:sz w:val="26"/>
          <w:szCs w:val="26"/>
        </w:rPr>
        <w:t xml:space="preserve">Cuadro </w:t>
      </w:r>
      <w:r w:rsidRPr="00AE1B2B">
        <w:rPr>
          <w:rFonts w:ascii="Times New Roman" w:hAnsi="Times New Roman" w:cs="Times New Roman"/>
          <w:b/>
          <w:bCs/>
          <w:sz w:val="26"/>
          <w:szCs w:val="26"/>
        </w:rPr>
        <w:fldChar w:fldCharType="begin"/>
      </w:r>
      <w:r w:rsidRPr="00AE1B2B">
        <w:rPr>
          <w:rFonts w:ascii="Times New Roman" w:hAnsi="Times New Roman" w:cs="Times New Roman"/>
          <w:b/>
          <w:bCs/>
          <w:sz w:val="26"/>
          <w:szCs w:val="26"/>
        </w:rPr>
        <w:instrText xml:space="preserve"> SEQ Cuadro \* ARABIC </w:instrText>
      </w:r>
      <w:r w:rsidRPr="00AE1B2B">
        <w:rPr>
          <w:rFonts w:ascii="Times New Roman" w:hAnsi="Times New Roman" w:cs="Times New Roman"/>
          <w:b/>
          <w:bCs/>
          <w:sz w:val="26"/>
          <w:szCs w:val="26"/>
        </w:rPr>
        <w:fldChar w:fldCharType="separate"/>
      </w:r>
      <w:r w:rsidRPr="00AE1B2B">
        <w:rPr>
          <w:rFonts w:ascii="Times New Roman" w:hAnsi="Times New Roman" w:cs="Times New Roman"/>
          <w:b/>
          <w:bCs/>
          <w:noProof/>
          <w:sz w:val="26"/>
          <w:szCs w:val="26"/>
        </w:rPr>
        <w:t>14</w:t>
      </w:r>
      <w:r w:rsidRPr="00AE1B2B">
        <w:rPr>
          <w:rFonts w:ascii="Times New Roman" w:hAnsi="Times New Roman" w:cs="Times New Roman"/>
          <w:b/>
          <w:bCs/>
          <w:sz w:val="26"/>
          <w:szCs w:val="26"/>
        </w:rPr>
        <w:fldChar w:fldCharType="end"/>
      </w:r>
    </w:p>
    <w:p w:rsidRPr="00AE1B2B" w:rsidR="009D3FB5" w:rsidP="00163B94" w:rsidRDefault="009D3FB5" w14:paraId="711005F9" w14:textId="51B664B1">
      <w:pPr>
        <w:pStyle w:val="Prrafodelista"/>
        <w:keepNext/>
        <w:widowControl w:val="0"/>
        <w:numPr>
          <w:ilvl w:val="12"/>
          <w:numId w:val="59"/>
        </w:numPr>
        <w:spacing w:before="120" w:after="120"/>
        <w:ind w:left="851" w:right="851" w:firstLine="709"/>
        <w:contextualSpacing/>
        <w:jc w:val="center"/>
        <w:rPr>
          <w:rFonts w:ascii="Times New Roman" w:hAnsi="Times New Roman" w:cs="Times New Roman"/>
          <w:b/>
          <w:snapToGrid w:val="0"/>
          <w:sz w:val="26"/>
          <w:szCs w:val="26"/>
        </w:rPr>
      </w:pPr>
      <w:r w:rsidRPr="00AE1B2B">
        <w:rPr>
          <w:rFonts w:ascii="Times New Roman" w:hAnsi="Times New Roman" w:cs="Times New Roman"/>
          <w:b/>
          <w:bCs/>
          <w:sz w:val="26"/>
          <w:szCs w:val="26"/>
        </w:rPr>
        <w:t>Cantidad de solicitudes de pruebas médico legales solicitadas por los Juzgados</w:t>
      </w:r>
    </w:p>
    <w:p w:rsidRPr="00AE1B2B" w:rsidR="009D3FB5" w:rsidP="00163B94" w:rsidRDefault="009D3FB5" w14:paraId="0EC21AB2" w14:textId="77777777">
      <w:pPr>
        <w:pStyle w:val="Prrafodelista"/>
        <w:keepNext/>
        <w:widowControl w:val="0"/>
        <w:numPr>
          <w:ilvl w:val="12"/>
          <w:numId w:val="59"/>
        </w:numPr>
        <w:spacing w:before="120" w:after="120"/>
        <w:ind w:left="851" w:right="851" w:firstLine="709"/>
        <w:contextualSpacing/>
        <w:jc w:val="center"/>
        <w:rPr>
          <w:rFonts w:ascii="Times New Roman" w:hAnsi="Times New Roman" w:cs="Times New Roman"/>
          <w:b/>
          <w:snapToGrid w:val="0"/>
          <w:sz w:val="26"/>
          <w:szCs w:val="26"/>
        </w:rPr>
      </w:pPr>
      <w:r w:rsidRPr="00AE1B2B">
        <w:rPr>
          <w:rFonts w:ascii="Times New Roman" w:hAnsi="Times New Roman" w:cs="Times New Roman"/>
          <w:b/>
          <w:bCs/>
          <w:sz w:val="26"/>
          <w:szCs w:val="26"/>
        </w:rPr>
        <w:t>que tramitan la materia de Familia del 2015 al 2019</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2408"/>
        <w:gridCol w:w="1053"/>
        <w:gridCol w:w="1052"/>
        <w:gridCol w:w="1054"/>
        <w:gridCol w:w="1052"/>
        <w:gridCol w:w="1054"/>
        <w:gridCol w:w="1155"/>
      </w:tblGrid>
      <w:tr w:rsidRPr="00AE1B2B" w:rsidR="00AE1B2B" w:rsidTr="009D3FB5" w14:paraId="69A9665B" w14:textId="77777777">
        <w:trPr>
          <w:trHeight w:val="620"/>
          <w:jc w:val="center"/>
        </w:trPr>
        <w:tc>
          <w:tcPr>
            <w:tcW w:w="1363" w:type="pct"/>
            <w:shd w:val="clear" w:color="000000" w:fill="002060"/>
            <w:vAlign w:val="center"/>
            <w:hideMark/>
          </w:tcPr>
          <w:p w:rsidRPr="00AE1B2B" w:rsidR="009D3FB5" w:rsidP="00163B94" w:rsidRDefault="009D3FB5" w14:paraId="4786CE3E"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Tipo de documento</w:t>
            </w:r>
          </w:p>
        </w:tc>
        <w:tc>
          <w:tcPr>
            <w:tcW w:w="596" w:type="pct"/>
            <w:shd w:val="clear" w:color="000000" w:fill="002060"/>
            <w:noWrap/>
            <w:vAlign w:val="center"/>
            <w:hideMark/>
          </w:tcPr>
          <w:p w:rsidRPr="00AE1B2B" w:rsidR="009D3FB5" w:rsidP="00163B94" w:rsidRDefault="009D3FB5" w14:paraId="19A3077A"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2015</w:t>
            </w:r>
          </w:p>
        </w:tc>
        <w:tc>
          <w:tcPr>
            <w:tcW w:w="596" w:type="pct"/>
            <w:shd w:val="clear" w:color="000000" w:fill="002060"/>
            <w:noWrap/>
            <w:vAlign w:val="center"/>
            <w:hideMark/>
          </w:tcPr>
          <w:p w:rsidRPr="00AE1B2B" w:rsidR="009D3FB5" w:rsidP="00163B94" w:rsidRDefault="009D3FB5" w14:paraId="1E629CD4"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2016</w:t>
            </w:r>
          </w:p>
        </w:tc>
        <w:tc>
          <w:tcPr>
            <w:tcW w:w="597" w:type="pct"/>
            <w:shd w:val="clear" w:color="000000" w:fill="002060"/>
            <w:noWrap/>
            <w:vAlign w:val="center"/>
            <w:hideMark/>
          </w:tcPr>
          <w:p w:rsidRPr="00AE1B2B" w:rsidR="009D3FB5" w:rsidP="00163B94" w:rsidRDefault="009D3FB5" w14:paraId="48272BC2"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2017</w:t>
            </w:r>
          </w:p>
        </w:tc>
        <w:tc>
          <w:tcPr>
            <w:tcW w:w="596" w:type="pct"/>
            <w:shd w:val="clear" w:color="000000" w:fill="002060"/>
            <w:noWrap/>
            <w:vAlign w:val="center"/>
            <w:hideMark/>
          </w:tcPr>
          <w:p w:rsidRPr="00AE1B2B" w:rsidR="009D3FB5" w:rsidP="00163B94" w:rsidRDefault="009D3FB5" w14:paraId="21C69AE7"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2018</w:t>
            </w:r>
          </w:p>
        </w:tc>
        <w:tc>
          <w:tcPr>
            <w:tcW w:w="597" w:type="pct"/>
            <w:shd w:val="clear" w:color="000000" w:fill="002060"/>
            <w:noWrap/>
            <w:vAlign w:val="center"/>
            <w:hideMark/>
          </w:tcPr>
          <w:p w:rsidRPr="00AE1B2B" w:rsidR="009D3FB5" w:rsidP="00163B94" w:rsidRDefault="009D3FB5" w14:paraId="5B315932"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2019</w:t>
            </w:r>
          </w:p>
        </w:tc>
        <w:tc>
          <w:tcPr>
            <w:tcW w:w="654" w:type="pct"/>
            <w:shd w:val="clear" w:color="000000" w:fill="002060"/>
            <w:vAlign w:val="center"/>
            <w:hideMark/>
          </w:tcPr>
          <w:p w:rsidRPr="00AE1B2B" w:rsidR="009D3FB5" w:rsidP="00163B94" w:rsidRDefault="009D3FB5" w14:paraId="0F37C5BC"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Total</w:t>
            </w:r>
          </w:p>
        </w:tc>
      </w:tr>
      <w:tr w:rsidRPr="00AE1B2B" w:rsidR="00AE1B2B" w:rsidTr="009D3FB5" w14:paraId="50997359" w14:textId="77777777">
        <w:trPr>
          <w:trHeight w:val="300"/>
          <w:jc w:val="center"/>
        </w:trPr>
        <w:tc>
          <w:tcPr>
            <w:tcW w:w="1363" w:type="pct"/>
            <w:shd w:val="clear" w:color="000000" w:fill="FFFFFF"/>
            <w:vAlign w:val="center"/>
            <w:hideMark/>
          </w:tcPr>
          <w:p w:rsidRPr="00AE1B2B" w:rsidR="009D3FB5" w:rsidP="00163B94" w:rsidRDefault="009D3FB5" w14:paraId="22C89F94" w14:textId="77777777">
            <w:pPr>
              <w:spacing w:before="120" w:after="120" w:line="276" w:lineRule="auto"/>
              <w:jc w:val="both"/>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Dictamen Médico</w:t>
            </w:r>
          </w:p>
        </w:tc>
        <w:tc>
          <w:tcPr>
            <w:tcW w:w="596" w:type="pct"/>
            <w:shd w:val="clear" w:color="000000" w:fill="FFFFFF"/>
            <w:vAlign w:val="center"/>
            <w:hideMark/>
          </w:tcPr>
          <w:p w:rsidRPr="00AE1B2B" w:rsidR="009D3FB5" w:rsidP="00163B94" w:rsidRDefault="009D3FB5" w14:paraId="059EC789" w14:textId="77777777">
            <w:pPr>
              <w:spacing w:before="120" w:after="120" w:line="276" w:lineRule="auto"/>
              <w:jc w:val="both"/>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687</w:t>
            </w:r>
          </w:p>
        </w:tc>
        <w:tc>
          <w:tcPr>
            <w:tcW w:w="596" w:type="pct"/>
            <w:shd w:val="clear" w:color="000000" w:fill="FFFFFF"/>
            <w:vAlign w:val="center"/>
            <w:hideMark/>
          </w:tcPr>
          <w:p w:rsidRPr="00AE1B2B" w:rsidR="009D3FB5" w:rsidP="00163B94" w:rsidRDefault="009D3FB5" w14:paraId="37599349" w14:textId="77777777">
            <w:pPr>
              <w:spacing w:before="120" w:after="120" w:line="276" w:lineRule="auto"/>
              <w:jc w:val="both"/>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718</w:t>
            </w:r>
          </w:p>
        </w:tc>
        <w:tc>
          <w:tcPr>
            <w:tcW w:w="597" w:type="pct"/>
            <w:shd w:val="clear" w:color="000000" w:fill="FFFFFF"/>
            <w:vAlign w:val="center"/>
            <w:hideMark/>
          </w:tcPr>
          <w:p w:rsidRPr="00AE1B2B" w:rsidR="009D3FB5" w:rsidP="00163B94" w:rsidRDefault="009D3FB5" w14:paraId="02741A0F" w14:textId="77777777">
            <w:pPr>
              <w:spacing w:before="120" w:after="120" w:line="276" w:lineRule="auto"/>
              <w:jc w:val="both"/>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1251</w:t>
            </w:r>
          </w:p>
        </w:tc>
        <w:tc>
          <w:tcPr>
            <w:tcW w:w="596" w:type="pct"/>
            <w:shd w:val="clear" w:color="000000" w:fill="FFFFFF"/>
            <w:vAlign w:val="center"/>
            <w:hideMark/>
          </w:tcPr>
          <w:p w:rsidRPr="00AE1B2B" w:rsidR="009D3FB5" w:rsidP="00163B94" w:rsidRDefault="009D3FB5" w14:paraId="3B187051" w14:textId="77777777">
            <w:pPr>
              <w:spacing w:before="120" w:after="120" w:line="276" w:lineRule="auto"/>
              <w:jc w:val="both"/>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1297</w:t>
            </w:r>
          </w:p>
        </w:tc>
        <w:tc>
          <w:tcPr>
            <w:tcW w:w="597" w:type="pct"/>
            <w:shd w:val="clear" w:color="000000" w:fill="FFFFFF"/>
            <w:vAlign w:val="center"/>
            <w:hideMark/>
          </w:tcPr>
          <w:p w:rsidRPr="00AE1B2B" w:rsidR="009D3FB5" w:rsidP="00163B94" w:rsidRDefault="009D3FB5" w14:paraId="3399961E" w14:textId="77777777">
            <w:pPr>
              <w:spacing w:before="120" w:after="120" w:line="276" w:lineRule="auto"/>
              <w:jc w:val="both"/>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742</w:t>
            </w:r>
          </w:p>
        </w:tc>
        <w:tc>
          <w:tcPr>
            <w:tcW w:w="654" w:type="pct"/>
            <w:shd w:val="clear" w:color="000000" w:fill="FFFFFF"/>
            <w:vAlign w:val="center"/>
            <w:hideMark/>
          </w:tcPr>
          <w:p w:rsidRPr="00AE1B2B" w:rsidR="009D3FB5" w:rsidP="00163B94" w:rsidRDefault="009D3FB5" w14:paraId="2620BA57" w14:textId="77777777">
            <w:pPr>
              <w:spacing w:before="120" w:after="120" w:line="276" w:lineRule="auto"/>
              <w:jc w:val="both"/>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4695</w:t>
            </w:r>
          </w:p>
        </w:tc>
      </w:tr>
    </w:tbl>
    <w:p w:rsidRPr="00AE1B2B" w:rsidR="009D3FB5" w:rsidP="00163B94" w:rsidRDefault="009D3FB5" w14:paraId="29EAEBB5"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Subproceso de Modernización Institucional, con datos de la Unidad Tecnológica Informática.</w:t>
      </w:r>
    </w:p>
    <w:p w:rsidRPr="00AE1B2B" w:rsidR="009D3FB5" w:rsidP="00163B94" w:rsidRDefault="009D3FB5" w14:paraId="3461587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58AD12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Como puede observarse en el informe 656-PLA-RH-MI-2020, durante el periodo del 2015 al 2019, los Juzgados de Familia a nivel nacional, solicitaron un total de 4 695 pruebas médico legales, en los diferentes procesos que se llevan en estos Despachos, para un promedio anual de 939, equivalente a 83 solicitudes por mes a nivel nacional.</w:t>
      </w:r>
    </w:p>
    <w:p w:rsidRPr="00AE1B2B" w:rsidR="009D3FB5" w:rsidP="00163B94" w:rsidRDefault="009D3FB5" w14:paraId="09868071" w14:textId="77777777">
      <w:pPr>
        <w:spacing w:before="120" w:after="120"/>
        <w:ind w:left="851" w:right="851" w:firstLine="709"/>
        <w:rPr>
          <w:rFonts w:ascii="Times New Roman" w:hAnsi="Times New Roman" w:cs="Times New Roman"/>
          <w:sz w:val="26"/>
          <w:szCs w:val="26"/>
        </w:rPr>
      </w:pPr>
    </w:p>
    <w:p w:rsidRPr="00AE1B2B" w:rsidR="009D3FB5" w:rsidP="00163B94" w:rsidRDefault="009D3FB5" w14:paraId="07FA162B" w14:textId="77777777">
      <w:pPr>
        <w:spacing w:before="120" w:after="120"/>
        <w:ind w:left="851" w:right="851" w:firstLine="709"/>
        <w:jc w:val="center"/>
        <w:rPr>
          <w:rFonts w:ascii="Times New Roman" w:hAnsi="Times New Roman" w:cs="Times New Roman"/>
          <w:b/>
          <w:bCs/>
          <w:sz w:val="26"/>
          <w:szCs w:val="26"/>
        </w:rPr>
      </w:pPr>
      <w:r w:rsidRPr="00AE1B2B">
        <w:rPr>
          <w:rFonts w:ascii="Times New Roman" w:hAnsi="Times New Roman" w:cs="Times New Roman"/>
          <w:b/>
          <w:sz w:val="26"/>
          <w:szCs w:val="26"/>
        </w:rPr>
        <w:t>Sección de Bioquímica</w:t>
      </w:r>
    </w:p>
    <w:p w:rsidRPr="00AE1B2B" w:rsidR="009D3FB5" w:rsidP="00163B94" w:rsidRDefault="009D3FB5" w14:paraId="20311C0E" w14:textId="77777777">
      <w:pPr>
        <w:pStyle w:val="Prrafodelista"/>
        <w:keepNext/>
        <w:numPr>
          <w:ilvl w:val="12"/>
          <w:numId w:val="59"/>
        </w:numPr>
        <w:spacing w:before="120" w:after="120"/>
        <w:ind w:left="851" w:right="851" w:firstLine="709"/>
        <w:contextualSpacing/>
        <w:jc w:val="center"/>
        <w:rPr>
          <w:rFonts w:ascii="Times New Roman" w:hAnsi="Times New Roman" w:cs="Times New Roman"/>
          <w:b/>
          <w:bCs/>
          <w:sz w:val="26"/>
          <w:szCs w:val="26"/>
        </w:rPr>
      </w:pPr>
      <w:r w:rsidRPr="00AE1B2B">
        <w:rPr>
          <w:rFonts w:ascii="Times New Roman" w:hAnsi="Times New Roman" w:cs="Times New Roman"/>
          <w:b/>
          <w:bCs/>
          <w:sz w:val="26"/>
          <w:szCs w:val="26"/>
        </w:rPr>
        <w:t xml:space="preserve">Cuadro </w:t>
      </w:r>
      <w:r w:rsidRPr="00AE1B2B">
        <w:rPr>
          <w:rFonts w:ascii="Times New Roman" w:hAnsi="Times New Roman" w:cs="Times New Roman"/>
          <w:b/>
          <w:bCs/>
          <w:sz w:val="26"/>
          <w:szCs w:val="26"/>
        </w:rPr>
        <w:fldChar w:fldCharType="begin"/>
      </w:r>
      <w:r w:rsidRPr="00AE1B2B">
        <w:rPr>
          <w:rFonts w:ascii="Times New Roman" w:hAnsi="Times New Roman" w:cs="Times New Roman"/>
          <w:b/>
          <w:bCs/>
          <w:sz w:val="26"/>
          <w:szCs w:val="26"/>
        </w:rPr>
        <w:instrText xml:space="preserve"> SEQ Cuadro \* ARABIC </w:instrText>
      </w:r>
      <w:r w:rsidRPr="00AE1B2B">
        <w:rPr>
          <w:rFonts w:ascii="Times New Roman" w:hAnsi="Times New Roman" w:cs="Times New Roman"/>
          <w:b/>
          <w:bCs/>
          <w:sz w:val="26"/>
          <w:szCs w:val="26"/>
        </w:rPr>
        <w:fldChar w:fldCharType="separate"/>
      </w:r>
      <w:r w:rsidRPr="00AE1B2B">
        <w:rPr>
          <w:rFonts w:ascii="Times New Roman" w:hAnsi="Times New Roman" w:cs="Times New Roman"/>
          <w:b/>
          <w:bCs/>
          <w:noProof/>
          <w:sz w:val="26"/>
          <w:szCs w:val="26"/>
        </w:rPr>
        <w:t>15</w:t>
      </w:r>
      <w:r w:rsidRPr="00AE1B2B">
        <w:rPr>
          <w:rFonts w:ascii="Times New Roman" w:hAnsi="Times New Roman" w:cs="Times New Roman"/>
          <w:b/>
          <w:bCs/>
          <w:sz w:val="26"/>
          <w:szCs w:val="26"/>
        </w:rPr>
        <w:fldChar w:fldCharType="end"/>
      </w:r>
    </w:p>
    <w:p w:rsidRPr="00AE1B2B" w:rsidR="009D3FB5" w:rsidP="00163B94" w:rsidRDefault="009D3FB5" w14:paraId="170E13EA" w14:textId="186F01B9">
      <w:pPr>
        <w:pStyle w:val="Prrafodelista"/>
        <w:keepNext/>
        <w:widowControl w:val="0"/>
        <w:numPr>
          <w:ilvl w:val="12"/>
          <w:numId w:val="59"/>
        </w:numPr>
        <w:spacing w:before="120" w:after="120"/>
        <w:ind w:left="851" w:right="851" w:firstLine="709"/>
        <w:contextualSpacing/>
        <w:jc w:val="center"/>
        <w:rPr>
          <w:rFonts w:ascii="Times New Roman" w:hAnsi="Times New Roman" w:cs="Times New Roman"/>
          <w:b/>
          <w:snapToGrid w:val="0"/>
          <w:sz w:val="26"/>
          <w:szCs w:val="26"/>
        </w:rPr>
      </w:pPr>
      <w:r w:rsidRPr="00AE1B2B">
        <w:rPr>
          <w:rFonts w:ascii="Times New Roman" w:hAnsi="Times New Roman" w:cs="Times New Roman"/>
          <w:b/>
          <w:bCs/>
          <w:sz w:val="26"/>
          <w:szCs w:val="26"/>
        </w:rPr>
        <w:t>Cantidad de pruebas de ADN solicitadas por los Juzgados</w:t>
      </w:r>
    </w:p>
    <w:p w:rsidRPr="00AE1B2B" w:rsidR="009D3FB5" w:rsidP="00163B94" w:rsidRDefault="009D3FB5" w14:paraId="121EAEC9" w14:textId="77777777">
      <w:pPr>
        <w:pStyle w:val="Prrafodelista"/>
        <w:keepNext/>
        <w:widowControl w:val="0"/>
        <w:numPr>
          <w:ilvl w:val="12"/>
          <w:numId w:val="59"/>
        </w:numPr>
        <w:spacing w:before="120" w:after="120"/>
        <w:ind w:left="851" w:right="851" w:firstLine="709"/>
        <w:contextualSpacing/>
        <w:jc w:val="center"/>
        <w:rPr>
          <w:rFonts w:ascii="Times New Roman" w:hAnsi="Times New Roman" w:cs="Times New Roman"/>
          <w:b/>
          <w:snapToGrid w:val="0"/>
          <w:sz w:val="26"/>
          <w:szCs w:val="26"/>
        </w:rPr>
      </w:pPr>
      <w:r w:rsidRPr="00AE1B2B">
        <w:rPr>
          <w:rFonts w:ascii="Times New Roman" w:hAnsi="Times New Roman" w:cs="Times New Roman"/>
          <w:b/>
          <w:bCs/>
          <w:sz w:val="26"/>
          <w:szCs w:val="26"/>
        </w:rPr>
        <w:t>que tramitan la materia de Familia del 2015 al 2019</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2100"/>
        <w:gridCol w:w="1122"/>
        <w:gridCol w:w="1122"/>
        <w:gridCol w:w="1121"/>
        <w:gridCol w:w="1121"/>
        <w:gridCol w:w="1121"/>
        <w:gridCol w:w="1121"/>
      </w:tblGrid>
      <w:tr w:rsidRPr="00AE1B2B" w:rsidR="00AE1B2B" w:rsidTr="009D3FB5" w14:paraId="0618BC84" w14:textId="77777777">
        <w:trPr>
          <w:trHeight w:val="479"/>
          <w:jc w:val="center"/>
        </w:trPr>
        <w:tc>
          <w:tcPr>
            <w:tcW w:w="1189" w:type="pct"/>
            <w:shd w:val="clear" w:color="000000" w:fill="002060"/>
            <w:vAlign w:val="center"/>
            <w:hideMark/>
          </w:tcPr>
          <w:p w:rsidRPr="00AE1B2B" w:rsidR="009D3FB5" w:rsidP="00163B94" w:rsidRDefault="009D3FB5" w14:paraId="3E240007"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Tipo de documento</w:t>
            </w:r>
          </w:p>
        </w:tc>
        <w:tc>
          <w:tcPr>
            <w:tcW w:w="635" w:type="pct"/>
            <w:shd w:val="clear" w:color="000000" w:fill="002060"/>
            <w:noWrap/>
            <w:vAlign w:val="center"/>
            <w:hideMark/>
          </w:tcPr>
          <w:p w:rsidRPr="00AE1B2B" w:rsidR="009D3FB5" w:rsidP="00163B94" w:rsidRDefault="009D3FB5" w14:paraId="0621F06D"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2015</w:t>
            </w:r>
          </w:p>
        </w:tc>
        <w:tc>
          <w:tcPr>
            <w:tcW w:w="635" w:type="pct"/>
            <w:shd w:val="clear" w:color="000000" w:fill="002060"/>
            <w:noWrap/>
            <w:vAlign w:val="center"/>
            <w:hideMark/>
          </w:tcPr>
          <w:p w:rsidRPr="00AE1B2B" w:rsidR="009D3FB5" w:rsidP="00163B94" w:rsidRDefault="009D3FB5" w14:paraId="5F113DF1"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2016</w:t>
            </w:r>
          </w:p>
        </w:tc>
        <w:tc>
          <w:tcPr>
            <w:tcW w:w="635" w:type="pct"/>
            <w:shd w:val="clear" w:color="000000" w:fill="002060"/>
            <w:noWrap/>
            <w:vAlign w:val="center"/>
            <w:hideMark/>
          </w:tcPr>
          <w:p w:rsidRPr="00AE1B2B" w:rsidR="009D3FB5" w:rsidP="00163B94" w:rsidRDefault="009D3FB5" w14:paraId="3382372B"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2017</w:t>
            </w:r>
          </w:p>
        </w:tc>
        <w:tc>
          <w:tcPr>
            <w:tcW w:w="635" w:type="pct"/>
            <w:shd w:val="clear" w:color="000000" w:fill="002060"/>
            <w:noWrap/>
            <w:vAlign w:val="center"/>
            <w:hideMark/>
          </w:tcPr>
          <w:p w:rsidRPr="00AE1B2B" w:rsidR="009D3FB5" w:rsidP="00163B94" w:rsidRDefault="009D3FB5" w14:paraId="258B46B0"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2018</w:t>
            </w:r>
          </w:p>
        </w:tc>
        <w:tc>
          <w:tcPr>
            <w:tcW w:w="635" w:type="pct"/>
            <w:shd w:val="clear" w:color="000000" w:fill="002060"/>
            <w:noWrap/>
            <w:vAlign w:val="center"/>
            <w:hideMark/>
          </w:tcPr>
          <w:p w:rsidRPr="00AE1B2B" w:rsidR="009D3FB5" w:rsidP="00163B94" w:rsidRDefault="009D3FB5" w14:paraId="6B238E26"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2019</w:t>
            </w:r>
          </w:p>
        </w:tc>
        <w:tc>
          <w:tcPr>
            <w:tcW w:w="635" w:type="pct"/>
            <w:shd w:val="clear" w:color="000000" w:fill="002060"/>
            <w:vAlign w:val="center"/>
          </w:tcPr>
          <w:p w:rsidRPr="00AE1B2B" w:rsidR="009D3FB5" w:rsidP="00163B94" w:rsidRDefault="009D3FB5" w14:paraId="4E113B32"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Total</w:t>
            </w:r>
          </w:p>
        </w:tc>
      </w:tr>
      <w:tr w:rsidRPr="00AE1B2B" w:rsidR="00AE1B2B" w:rsidTr="009D3FB5" w14:paraId="5DC0C527" w14:textId="77777777">
        <w:trPr>
          <w:trHeight w:val="300"/>
          <w:jc w:val="center"/>
        </w:trPr>
        <w:tc>
          <w:tcPr>
            <w:tcW w:w="1189" w:type="pct"/>
            <w:shd w:val="clear" w:color="000000" w:fill="FFFFFF"/>
            <w:vAlign w:val="center"/>
            <w:hideMark/>
          </w:tcPr>
          <w:p w:rsidRPr="00AE1B2B" w:rsidR="009D3FB5" w:rsidP="00163B94" w:rsidRDefault="009D3FB5" w14:paraId="7E04D523"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lastRenderedPageBreak/>
              <w:t>Dictamen</w:t>
            </w:r>
          </w:p>
        </w:tc>
        <w:tc>
          <w:tcPr>
            <w:tcW w:w="635" w:type="pct"/>
            <w:shd w:val="clear" w:color="000000" w:fill="FFFFFF"/>
            <w:vAlign w:val="center"/>
            <w:hideMark/>
          </w:tcPr>
          <w:p w:rsidRPr="00AE1B2B" w:rsidR="009D3FB5" w:rsidP="00163B94" w:rsidRDefault="009D3FB5" w14:paraId="1A71A0F8"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1311</w:t>
            </w:r>
          </w:p>
        </w:tc>
        <w:tc>
          <w:tcPr>
            <w:tcW w:w="635" w:type="pct"/>
            <w:shd w:val="clear" w:color="000000" w:fill="FFFFFF"/>
            <w:vAlign w:val="center"/>
            <w:hideMark/>
          </w:tcPr>
          <w:p w:rsidRPr="00AE1B2B" w:rsidR="009D3FB5" w:rsidP="00163B94" w:rsidRDefault="009D3FB5" w14:paraId="14390A4F"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1536</w:t>
            </w:r>
          </w:p>
        </w:tc>
        <w:tc>
          <w:tcPr>
            <w:tcW w:w="635" w:type="pct"/>
            <w:shd w:val="clear" w:color="000000" w:fill="FFFFFF"/>
            <w:vAlign w:val="center"/>
            <w:hideMark/>
          </w:tcPr>
          <w:p w:rsidRPr="00AE1B2B" w:rsidR="009D3FB5" w:rsidP="00163B94" w:rsidRDefault="009D3FB5" w14:paraId="6B4D45B9"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1395</w:t>
            </w:r>
          </w:p>
        </w:tc>
        <w:tc>
          <w:tcPr>
            <w:tcW w:w="635" w:type="pct"/>
            <w:shd w:val="clear" w:color="000000" w:fill="FFFFFF"/>
            <w:vAlign w:val="center"/>
            <w:hideMark/>
          </w:tcPr>
          <w:p w:rsidRPr="00AE1B2B" w:rsidR="009D3FB5" w:rsidP="00163B94" w:rsidRDefault="009D3FB5" w14:paraId="0E78BFEC"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1314</w:t>
            </w:r>
          </w:p>
        </w:tc>
        <w:tc>
          <w:tcPr>
            <w:tcW w:w="635" w:type="pct"/>
            <w:shd w:val="clear" w:color="000000" w:fill="FFFFFF"/>
            <w:vAlign w:val="center"/>
            <w:hideMark/>
          </w:tcPr>
          <w:p w:rsidRPr="00AE1B2B" w:rsidR="009D3FB5" w:rsidP="00163B94" w:rsidRDefault="009D3FB5" w14:paraId="496781FF"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1265</w:t>
            </w:r>
          </w:p>
        </w:tc>
        <w:tc>
          <w:tcPr>
            <w:tcW w:w="635" w:type="pct"/>
            <w:shd w:val="clear" w:color="000000" w:fill="FFFFFF"/>
            <w:vAlign w:val="center"/>
          </w:tcPr>
          <w:p w:rsidRPr="00AE1B2B" w:rsidR="009D3FB5" w:rsidP="00163B94" w:rsidRDefault="009D3FB5" w14:paraId="22F2F57F"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6821</w:t>
            </w:r>
          </w:p>
        </w:tc>
      </w:tr>
    </w:tbl>
    <w:p w:rsidRPr="00AE1B2B" w:rsidR="009D3FB5" w:rsidP="00163B94" w:rsidRDefault="009D3FB5" w14:paraId="475855F7"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Subproceso de Modernización Institucional, con datos de la Sección de Bioquímica.</w:t>
      </w:r>
    </w:p>
    <w:p w:rsidRPr="00AE1B2B" w:rsidR="009D3FB5" w:rsidP="00163B94" w:rsidRDefault="009D3FB5" w14:paraId="22E6B4A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Como se observa en el informe 656-PLA-RH-MI-2020, durante el periodo en análisis, se solicitaron 6821 pruebas de paternidad, un promedio de 1364 anuales, equivalente a 121 pruebas por mes, con una tendencia a la baja a partir de 2017.</w:t>
      </w:r>
    </w:p>
    <w:p w:rsidRPr="00AE1B2B" w:rsidR="009D3FB5" w:rsidP="00163B94" w:rsidRDefault="009D3FB5" w14:paraId="07AE49C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4515DF0" w14:textId="77777777">
      <w:pPr>
        <w:spacing w:before="120" w:after="120"/>
        <w:ind w:left="851" w:right="851" w:firstLine="709"/>
        <w:jc w:val="both"/>
        <w:rPr>
          <w:rFonts w:ascii="Times New Roman" w:hAnsi="Times New Roman" w:cs="Times New Roman"/>
          <w:b/>
          <w:bCs/>
          <w:sz w:val="26"/>
          <w:szCs w:val="26"/>
        </w:rPr>
      </w:pPr>
      <w:r w:rsidRPr="00AE1B2B">
        <w:rPr>
          <w:rFonts w:ascii="Times New Roman" w:hAnsi="Times New Roman" w:cs="Times New Roman"/>
          <w:sz w:val="26"/>
          <w:szCs w:val="26"/>
        </w:rPr>
        <w:t>Departamento de Trabajo Social y Psicología</w:t>
      </w:r>
    </w:p>
    <w:p w:rsidRPr="00AE1B2B" w:rsidR="009D3FB5" w:rsidP="00163B94" w:rsidRDefault="009D3FB5" w14:paraId="008DA9B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los siguientes gráficos, se detalla la información de la cantidad de casos ingresados, reingresados, atención inmediata y los casos cerrados, de las Oficinas de Trabajo Social y Psicología a nivel nacional, durante el periodo del 2018 al 2019:</w:t>
      </w:r>
    </w:p>
    <w:p w:rsidRPr="00AE1B2B" w:rsidR="009D3FB5" w:rsidP="00163B94" w:rsidRDefault="009D3FB5" w14:paraId="55B3952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56F1A85" w14:textId="5553D1A3">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Gráfico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Gráfico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6</w:t>
      </w:r>
      <w:r w:rsidRPr="00AE1B2B">
        <w:rPr>
          <w:rFonts w:ascii="Times New Roman" w:hAnsi="Times New Roman" w:cs="Times New Roman"/>
          <w:sz w:val="26"/>
          <w:szCs w:val="26"/>
        </w:rPr>
        <w:fldChar w:fldCharType="end"/>
      </w:r>
    </w:p>
    <w:p w:rsidRPr="00AE1B2B" w:rsidR="009D3FB5" w:rsidP="00163B94" w:rsidRDefault="009D3FB5" w14:paraId="72593B94" w14:textId="0B9E44EB">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Cantidad de solicitudes de estudios de Trabajo Social y</w:t>
      </w:r>
    </w:p>
    <w:p w:rsidRPr="00AE1B2B" w:rsidR="009D3FB5" w:rsidP="00163B94" w:rsidRDefault="009D3FB5" w14:paraId="644F7FBE"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Psicología del 2018 al 2019</w:t>
      </w:r>
    </w:p>
    <w:p w:rsidRPr="00AE1B2B" w:rsidR="009D3FB5" w:rsidP="00163B94" w:rsidRDefault="009D3FB5" w14:paraId="58E49A47" w14:textId="77777777">
      <w:pPr>
        <w:spacing w:before="120" w:after="120" w:line="276" w:lineRule="auto"/>
        <w:jc w:val="center"/>
        <w:rPr>
          <w:rFonts w:ascii="Times New Roman" w:hAnsi="Times New Roman" w:cs="Times New Roman"/>
          <w:sz w:val="24"/>
          <w:szCs w:val="24"/>
        </w:rPr>
      </w:pPr>
      <w:r w:rsidRPr="00AE1B2B">
        <w:rPr>
          <w:rFonts w:ascii="Times New Roman" w:hAnsi="Times New Roman" w:cs="Times New Roman"/>
          <w:noProof/>
          <w:sz w:val="24"/>
          <w:szCs w:val="24"/>
          <w:lang w:val="en-US"/>
        </w:rPr>
        <w:drawing>
          <wp:inline distT="0" distB="0" distL="0" distR="0" wp14:anchorId="743C7A47" wp14:editId="4F2BDE8B">
            <wp:extent cx="4572000" cy="2590800"/>
            <wp:effectExtent l="0" t="0" r="0" b="0"/>
            <wp:docPr id="1212768276" name="Gráfico 1212768276">
              <a:extLst xmlns:a="http://schemas.openxmlformats.org/drawingml/2006/main">
                <a:ext uri="{FF2B5EF4-FFF2-40B4-BE49-F238E27FC236}">
                  <a16:creationId xmlns:a16="http://schemas.microsoft.com/office/drawing/2014/main" id="{DD1110CC-742E-48F6-AB43-7FEDFA24F8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rsidRPr="00AE1B2B" w:rsidR="009D3FB5" w:rsidP="00163B94" w:rsidRDefault="009D3FB5" w14:paraId="54FF721B"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Subproceso de Modernización Institucional, con datos del Departamento de Trabajo Social y Psicología.</w:t>
      </w:r>
    </w:p>
    <w:p w:rsidRPr="00AE1B2B" w:rsidR="009D3FB5" w:rsidP="00163B94" w:rsidRDefault="009D3FB5" w14:paraId="66C9474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 la información del gráfico anterior, para el periodo 2018 al 2019, las oficinas de Trabajo Social y Psicología del país recibieron entre casos ingresados, reingresados y de atención inmediata en total </w:t>
      </w:r>
      <w:r w:rsidRPr="00AE1B2B">
        <w:rPr>
          <w:rFonts w:ascii="Times New Roman" w:hAnsi="Times New Roman" w:cs="Times New Roman"/>
          <w:sz w:val="26"/>
          <w:szCs w:val="26"/>
        </w:rPr>
        <w:lastRenderedPageBreak/>
        <w:t xml:space="preserve">las oficinas de Trabajo Social y Psicología recibieron 64 953 solicitudes. </w:t>
      </w:r>
    </w:p>
    <w:p w:rsidRPr="00AE1B2B" w:rsidR="009D3FB5" w:rsidP="00163B94" w:rsidRDefault="009D3FB5" w14:paraId="52BF737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cuanto a los estudios de trabajo social el periodo de mayor ingreso fue el 2018 con un total de 1 507 más que en el 2019; mientras que en psicología ingresaron 1 790 asuntos más para el 2019 en comparación con su antecesor el 2018, por último, se tiene la entrada de los casos de atención inmediata, para el periodo en análisis ingresaron en total 15 178 casos, siendo el 2019 el periodo con más solicitudes 1 848 más que su antecesor el 2018.</w:t>
      </w:r>
    </w:p>
    <w:p w:rsidRPr="00AE1B2B" w:rsidR="009D3FB5" w:rsidP="00163B94" w:rsidRDefault="009D3FB5" w14:paraId="15BD507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AC4632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Las Oficinas de Trabajo Social y Psicología, cuentan con un total de 160 plazas de Perito Judicial 2, 87 puestos corresponden a Peritos Judiciales 2 destacados en Trabajo Social, 67 plazas de Psicólogos y 19 puestos de Profesional 2 entre los que están trabajadores sociales y psicólogos para la atención de Justicia Restaurativa. </w:t>
      </w:r>
    </w:p>
    <w:p w:rsidRPr="00AE1B2B" w:rsidR="009D3FB5" w:rsidP="00163B94" w:rsidRDefault="009D3FB5" w14:paraId="7B1BE5E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84F542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Las materias que atienden los profesionales de Trabajo Social y Psicología relacionadas con la materia de Familia son las siguientes:</w:t>
      </w:r>
    </w:p>
    <w:p w:rsidRPr="00AE1B2B" w:rsidR="009D3FB5" w:rsidP="00163B94" w:rsidRDefault="009D3FB5" w14:paraId="165C9E4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A320873" w14:textId="77777777">
      <w:pPr>
        <w:pStyle w:val="Prrafodelista"/>
        <w:numPr>
          <w:ilvl w:val="0"/>
          <w:numId w:val="76"/>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Familia</w:t>
      </w:r>
    </w:p>
    <w:p w:rsidRPr="00AE1B2B" w:rsidR="009D3FB5" w:rsidP="00163B94" w:rsidRDefault="009D3FB5" w14:paraId="6C7B161E" w14:textId="77777777">
      <w:pPr>
        <w:pStyle w:val="Prrafodelista"/>
        <w:numPr>
          <w:ilvl w:val="0"/>
          <w:numId w:val="76"/>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Violencia Doméstica</w:t>
      </w:r>
    </w:p>
    <w:p w:rsidRPr="00AE1B2B" w:rsidR="009D3FB5" w:rsidP="00163B94" w:rsidRDefault="009D3FB5" w14:paraId="490C5DEE" w14:textId="77777777">
      <w:pPr>
        <w:pStyle w:val="Prrafodelista"/>
        <w:numPr>
          <w:ilvl w:val="0"/>
          <w:numId w:val="76"/>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Pensiones Alimentarias</w:t>
      </w:r>
    </w:p>
    <w:p w:rsidRPr="00AE1B2B" w:rsidR="009D3FB5" w:rsidP="00163B94" w:rsidRDefault="009D3FB5" w14:paraId="7A7C55F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EFBC5A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las que se realizan peritajes, supervisiones de regímenes de interrelación familiar, seguimientos de salvaguardia, seguimientos de medidas de protección, entre otras (en el </w:t>
      </w:r>
      <w:r w:rsidRPr="00AE1B2B">
        <w:rPr>
          <w:rFonts w:ascii="Times New Roman" w:hAnsi="Times New Roman" w:cs="Times New Roman"/>
          <w:b/>
          <w:bCs/>
          <w:i/>
          <w:iCs/>
          <w:sz w:val="26"/>
          <w:szCs w:val="26"/>
        </w:rPr>
        <w:t>anexo 6</w:t>
      </w:r>
      <w:r w:rsidRPr="00AE1B2B">
        <w:rPr>
          <w:rFonts w:ascii="Times New Roman" w:hAnsi="Times New Roman" w:cs="Times New Roman"/>
          <w:sz w:val="26"/>
          <w:szCs w:val="26"/>
        </w:rPr>
        <w:t xml:space="preserve"> se adjunta la circular 29-2020 con la boleta de solicitud aprobada).</w:t>
      </w:r>
    </w:p>
    <w:p w:rsidRPr="00AE1B2B" w:rsidR="009D3FB5" w:rsidP="00163B94" w:rsidRDefault="009D3FB5" w14:paraId="6BDA12C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80FFD5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Por otra parte, el Departamento de Trabajo Social y Psicología, mediante la circular 08-2018-DTSP, relacionada con los tiempos de entrega de los informes periciales estableció los siguientes plazos de entrega de los productos que se generen de la intervención profesional por parte de las personas peritos (ver </w:t>
      </w:r>
      <w:r w:rsidRPr="00AE1B2B">
        <w:rPr>
          <w:rFonts w:ascii="Times New Roman" w:hAnsi="Times New Roman" w:cs="Times New Roman"/>
          <w:b/>
          <w:i/>
          <w:sz w:val="26"/>
          <w:szCs w:val="26"/>
        </w:rPr>
        <w:t>anexo 7</w:t>
      </w:r>
      <w:r w:rsidRPr="00AE1B2B">
        <w:rPr>
          <w:rFonts w:ascii="Times New Roman" w:hAnsi="Times New Roman" w:cs="Times New Roman"/>
          <w:sz w:val="26"/>
          <w:szCs w:val="26"/>
        </w:rPr>
        <w:t xml:space="preserve">). </w:t>
      </w:r>
    </w:p>
    <w:p w:rsidRPr="00AE1B2B" w:rsidR="009D3FB5" w:rsidP="00163B94" w:rsidRDefault="009D3FB5" w14:paraId="0877D04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77EC29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Tiempos para la materia de Familia:</w:t>
      </w:r>
    </w:p>
    <w:p w:rsidRPr="00AE1B2B" w:rsidR="009D3FB5" w:rsidP="00163B94" w:rsidRDefault="009D3FB5" w14:paraId="54FBB93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7FCC91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Informe de gestión: 1 semana calendario. </w:t>
      </w:r>
    </w:p>
    <w:p w:rsidRPr="00AE1B2B" w:rsidR="009D3FB5" w:rsidP="00163B94" w:rsidRDefault="009D3FB5" w14:paraId="17BB895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Informe de intervención: 3 meses calendario. </w:t>
      </w:r>
    </w:p>
    <w:p w:rsidRPr="00AE1B2B" w:rsidR="009D3FB5" w:rsidP="00163B94" w:rsidRDefault="009D3FB5" w14:paraId="108FBBF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Dictamen: 5 meses calendario.</w:t>
      </w:r>
    </w:p>
    <w:p w:rsidRPr="00AE1B2B" w:rsidR="009D3FB5" w:rsidP="00163B94" w:rsidRDefault="009D3FB5" w14:paraId="752B073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EC1897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Casos del Tribunal de Familia: </w:t>
      </w:r>
    </w:p>
    <w:p w:rsidRPr="00AE1B2B" w:rsidR="009D3FB5" w:rsidP="00163B94" w:rsidRDefault="009D3FB5" w14:paraId="31C2D5F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 mes calendario a excepción del Informe de Gestión, que se rinde en una semana.</w:t>
      </w:r>
    </w:p>
    <w:p w:rsidRPr="00AE1B2B" w:rsidR="009D3FB5" w:rsidP="00163B94" w:rsidRDefault="009D3FB5" w14:paraId="1A97791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00D33B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Tiempos para la materia de Violencia Doméstica:</w:t>
      </w:r>
    </w:p>
    <w:p w:rsidRPr="00AE1B2B" w:rsidR="009D3FB5" w:rsidP="00163B94" w:rsidRDefault="009D3FB5" w14:paraId="5585841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E2A32C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Informe de gestión: 1 semana calendario. </w:t>
      </w:r>
    </w:p>
    <w:p w:rsidRPr="00AE1B2B" w:rsidR="009D3FB5" w:rsidP="00163B94" w:rsidRDefault="009D3FB5" w14:paraId="33EC2D1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Informe evaluativo: 2 semanas calendario. </w:t>
      </w:r>
    </w:p>
    <w:p w:rsidRPr="00AE1B2B" w:rsidR="009D3FB5" w:rsidP="00163B94" w:rsidRDefault="009D3FB5" w14:paraId="068A381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Informe de intervención: 2 meses y medio calendario. </w:t>
      </w:r>
    </w:p>
    <w:p w:rsidRPr="00AE1B2B" w:rsidR="009D3FB5" w:rsidP="00163B94" w:rsidRDefault="009D3FB5" w14:paraId="7F96FD2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Dictamen: 3 meses calendario. </w:t>
      </w:r>
    </w:p>
    <w:p w:rsidRPr="00AE1B2B" w:rsidR="009D3FB5" w:rsidP="00163B94" w:rsidRDefault="009D3FB5" w14:paraId="5E79EA5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61F5E6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Tiempos para la materia de Pensiones Alimentarias:</w:t>
      </w:r>
    </w:p>
    <w:p w:rsidRPr="00AE1B2B" w:rsidR="009D3FB5" w:rsidP="00163B94" w:rsidRDefault="009D3FB5" w14:paraId="7C76412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Informe de gestión: 1 semana calendario. </w:t>
      </w:r>
    </w:p>
    <w:p w:rsidRPr="00AE1B2B" w:rsidR="009D3FB5" w:rsidP="00163B94" w:rsidRDefault="009D3FB5" w14:paraId="5FAD7E6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Informe de intervención: 1 mes y medio calendario.</w:t>
      </w:r>
    </w:p>
    <w:p w:rsidRPr="00AE1B2B" w:rsidR="009D3FB5" w:rsidP="00163B94" w:rsidRDefault="009D3FB5" w14:paraId="1DD7398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Dictamen: 3 meses calendario.</w:t>
      </w:r>
    </w:p>
    <w:p w:rsidRPr="00AE1B2B" w:rsidR="009D3FB5" w:rsidP="00163B94" w:rsidRDefault="009D3FB5" w14:paraId="64C65FB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9528C08" w14:textId="77777777">
      <w:pPr>
        <w:spacing w:before="120" w:after="120"/>
        <w:ind w:left="851" w:right="851" w:firstLine="709"/>
        <w:jc w:val="both"/>
        <w:rPr>
          <w:rFonts w:ascii="Times New Roman" w:hAnsi="Times New Roman" w:cs="Times New Roman" w:eastAsiaTheme="majorEastAsia"/>
          <w:snapToGrid w:val="0"/>
          <w:sz w:val="26"/>
          <w:szCs w:val="26"/>
        </w:rPr>
      </w:pPr>
      <w:r w:rsidRPr="00AE1B2B">
        <w:rPr>
          <w:rFonts w:ascii="Times New Roman" w:hAnsi="Times New Roman" w:cs="Times New Roman" w:eastAsiaTheme="majorEastAsia"/>
          <w:snapToGrid w:val="0"/>
          <w:sz w:val="26"/>
          <w:szCs w:val="26"/>
        </w:rPr>
        <w:t xml:space="preserve">Cambios para el Departamento de Trabajo Social y Piscología a partir de la entrada en vigencia del Código Procesal de Familia. </w:t>
      </w:r>
    </w:p>
    <w:p w:rsidRPr="00AE1B2B" w:rsidR="009D3FB5" w:rsidP="00163B94" w:rsidRDefault="009D3FB5" w14:paraId="5ED2CA3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7A5CDB1" w14:textId="77777777">
      <w:pPr>
        <w:pStyle w:val="Prrafodelista"/>
        <w:numPr>
          <w:ilvl w:val="0"/>
          <w:numId w:val="7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Valoración de personas menores de 12 años cuando quieran ejercer su capacidad procesal</w:t>
      </w:r>
    </w:p>
    <w:p w:rsidRPr="00AE1B2B" w:rsidR="009D3FB5" w:rsidP="00163B94" w:rsidRDefault="009D3FB5" w14:paraId="0ED0F45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13A7CC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párrafo final del artículo 41 del Código Procesal de Familia, respecto a la representación de personas menores de edad establece:</w:t>
      </w:r>
    </w:p>
    <w:p w:rsidRPr="00AE1B2B" w:rsidR="009D3FB5" w:rsidP="00163B94" w:rsidRDefault="009D3FB5" w14:paraId="3BD2C473" w14:textId="77777777">
      <w:pPr>
        <w:spacing w:before="120" w:after="120"/>
        <w:ind w:left="851" w:right="851" w:firstLine="709"/>
        <w:jc w:val="both"/>
        <w:rPr>
          <w:rFonts w:ascii="Times New Roman" w:hAnsi="Times New Roman" w:cs="Times New Roman"/>
          <w:sz w:val="26"/>
          <w:szCs w:val="26"/>
          <w:highlight w:val="yellow"/>
        </w:rPr>
      </w:pPr>
    </w:p>
    <w:p w:rsidRPr="00AE1B2B" w:rsidR="009D3FB5" w:rsidP="00163B94" w:rsidRDefault="009D3FB5" w14:paraId="1FC752E9"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r w:rsidRPr="00AE1B2B">
        <w:rPr>
          <w:rFonts w:ascii="Times New Roman" w:hAnsi="Times New Roman" w:cs="Times New Roman"/>
          <w:b/>
          <w:bCs/>
          <w:i/>
          <w:iCs/>
          <w:sz w:val="26"/>
          <w:szCs w:val="26"/>
        </w:rPr>
        <w:t>Artículo 41- Representación de personas menores de edad</w:t>
      </w:r>
    </w:p>
    <w:p w:rsidRPr="00AE1B2B" w:rsidR="009D3FB5" w:rsidP="00163B94" w:rsidRDefault="009D3FB5" w14:paraId="3CC47F80"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Se reconoce a todas las personas mayores de doce años el ejercicio personal y pleno de la capacidad procesal para el trámite de los procesos establecidos en este Código, sin perjuicio de que prefieran que sus padres u otras personas representantes actúen en su nombre.</w:t>
      </w:r>
    </w:p>
    <w:p w:rsidRPr="00AE1B2B" w:rsidR="009D3FB5" w:rsidP="00163B94" w:rsidRDefault="009D3FB5" w14:paraId="595C1695"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Tratándose de personas menores de doce años, la autoridad judicial llamará a quien ejerza la responsabilidad parental o bien, en su caso, a quien asigne el Patronato Nacional de la Infancia (PANI) y, si esta persona no se encontrara disponible en ese momento, podrá nombrársele representación provisional hasta tanto el ente mencionado apersone a la persona elegida. No obstante, estas personas podrán ejercer el derecho a ser oídas y participar activamente de manera progresiva y conforme a su capacidad volitiva, según la ley y bajo la apreciación del tribunal, teniendo derecho de acudir personalmente ante este y a que se les atienda de forma personalizada y conforme a sus características etarias, debiendo velar, las personas funcionarias judiciales, por la efectivización de los derechos de las personas menores de edad.</w:t>
      </w:r>
    </w:p>
    <w:p w:rsidRPr="00AE1B2B" w:rsidR="009D3FB5" w:rsidP="00163B94" w:rsidRDefault="009D3FB5" w14:paraId="3CDB3E1A" w14:textId="77777777">
      <w:pPr>
        <w:autoSpaceDE w:val="0"/>
        <w:autoSpaceDN w:val="0"/>
        <w:adjustRightInd w:val="0"/>
        <w:spacing w:before="120" w:after="120"/>
        <w:ind w:left="851" w:right="851" w:firstLine="709"/>
        <w:jc w:val="both"/>
        <w:rPr>
          <w:rFonts w:ascii="Times New Roman" w:hAnsi="Times New Roman" w:cs="Times New Roman"/>
          <w:b/>
          <w:bCs/>
          <w:i/>
          <w:iCs/>
          <w:sz w:val="26"/>
          <w:szCs w:val="26"/>
          <w:u w:val="single"/>
        </w:rPr>
      </w:pPr>
      <w:r w:rsidRPr="00AE1B2B">
        <w:rPr>
          <w:rFonts w:ascii="Times New Roman" w:hAnsi="Times New Roman" w:cs="Times New Roman"/>
          <w:b/>
          <w:bCs/>
          <w:i/>
          <w:iCs/>
          <w:sz w:val="26"/>
          <w:szCs w:val="26"/>
          <w:u w:val="single"/>
        </w:rPr>
        <w:t>Excepcionalmente, las personas menores de doce años podrán accionar de forma personal. En este caso, para el inicio del proceso el tribunal deberá contar con un informe psicológico del Departamento de Trabajo Social y Psicología del Poder Judicial, que acredite que la persona menor de edad tiene la capacidad para ejercer dicha acción.”</w:t>
      </w:r>
    </w:p>
    <w:p w:rsidRPr="00AE1B2B" w:rsidR="009D3FB5" w:rsidP="00163B94" w:rsidRDefault="009D3FB5" w14:paraId="41EA3B78" w14:textId="77777777">
      <w:pPr>
        <w:pStyle w:val="Prrafodelista"/>
        <w:numPr>
          <w:ilvl w:val="0"/>
          <w:numId w:val="7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Ampliación de dictámenes en audiencia</w:t>
      </w:r>
    </w:p>
    <w:p w:rsidRPr="00AE1B2B" w:rsidR="009D3FB5" w:rsidP="00163B94" w:rsidRDefault="009D3FB5" w14:paraId="51F84422" w14:textId="77777777">
      <w:pPr>
        <w:pStyle w:val="Prrafodelista"/>
        <w:spacing w:before="120" w:after="120"/>
        <w:ind w:left="851" w:right="851" w:firstLine="709"/>
        <w:jc w:val="both"/>
        <w:rPr>
          <w:rFonts w:ascii="Times New Roman" w:hAnsi="Times New Roman" w:cs="Times New Roman"/>
          <w:sz w:val="26"/>
          <w:szCs w:val="26"/>
          <w:highlight w:val="yellow"/>
        </w:rPr>
      </w:pPr>
    </w:p>
    <w:p w:rsidRPr="00AE1B2B" w:rsidR="009D3FB5" w:rsidP="00163B94" w:rsidRDefault="009D3FB5" w14:paraId="3C5AA884" w14:textId="77EA2451">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Debe considerarse que, a partir de la entrada en vigencia de la Ley 9747, los dictámenes podrán rendirse en audiencia dando posibilidad al contradictorio en los casos que el tribunal así lo determine, de conformidad con lo dispuesto en el artículo 186 del Código Procesal de Familia. Por ello, deberá el Departamento de Trabajo Social y Psicología incluir en sus controles, dentro del Modelo de estimación de cargas de trabajo, en el campo de “otra actividad por particulares” la cantidad de horas que mensualmente les consuma participar en audiencias en materia de Familia (al igual que contabilizan actualmente su participación en audiencias de trabajo). No siendo posible en este momento realizar un estimación, ya que la metodología aplicaría en ciertos casos y hasta la entrada en vigencia de la norma.</w:t>
      </w:r>
      <w:r w:rsidRPr="00AE1B2B" w:rsidR="00BB7720">
        <w:rPr>
          <w:rFonts w:ascii="Times New Roman" w:hAnsi="Times New Roman" w:cs="Times New Roman"/>
          <w:sz w:val="26"/>
          <w:szCs w:val="26"/>
        </w:rPr>
        <w:t xml:space="preserve"> </w:t>
      </w:r>
    </w:p>
    <w:p w:rsidRPr="00AE1B2B" w:rsidR="009D3FB5" w:rsidP="00163B94" w:rsidRDefault="009D3FB5" w14:paraId="7CFF937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3C908F4" w14:textId="77777777">
      <w:pPr>
        <w:autoSpaceDE w:val="0"/>
        <w:autoSpaceDN w:val="0"/>
        <w:adjustRightInd w:val="0"/>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lastRenderedPageBreak/>
        <w:t>“Artículo 186- Examen y ampliación de peritajes en audiencias</w:t>
      </w:r>
    </w:p>
    <w:p w:rsidRPr="00AE1B2B" w:rsidR="009D3FB5" w:rsidP="00163B94" w:rsidRDefault="009D3FB5" w14:paraId="026978D9"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Cuando así lo determine el tribunal, la persona perita deberá comparecer a la</w:t>
      </w:r>
    </w:p>
    <w:p w:rsidRPr="00AE1B2B" w:rsidR="009D3FB5" w:rsidP="00163B94" w:rsidRDefault="009D3FB5" w14:paraId="234DC838"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audiencia de prueba para informar, ampliar o aclarar la pericia y lo hará de la forma más sencilla posible. Las partes podrán hacerse acompañar, para estos efectos, de una persona profesional en la materia, quien podrá solicitar, por medio de la autoridad judicial, las aclaraciones y adiciones que sean necesarias”. </w:t>
      </w:r>
    </w:p>
    <w:p w:rsidRPr="00AE1B2B" w:rsidR="009D3FB5" w:rsidP="00163B94" w:rsidRDefault="009D3FB5" w14:paraId="7A06C65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0F3D8B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5CDA78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Conforme lo indicado por la Licenciada Alba Gutiérrez Villalobos, jefatura del Departamento de Trabajo Social Psicología (DTSP) en sesión de trabajo del 29 de enero de 2021 (minuta 49-PLA-MI-MNTA-2021-</w:t>
      </w:r>
      <w:r w:rsidRPr="00AE1B2B">
        <w:rPr>
          <w:rFonts w:ascii="Times New Roman" w:hAnsi="Times New Roman" w:cs="Times New Roman"/>
          <w:b/>
          <w:bCs/>
          <w:i/>
          <w:iCs/>
          <w:sz w:val="26"/>
          <w:szCs w:val="26"/>
        </w:rPr>
        <w:t>anexo 8</w:t>
      </w:r>
      <w:r w:rsidRPr="00AE1B2B">
        <w:rPr>
          <w:rFonts w:ascii="Times New Roman" w:hAnsi="Times New Roman" w:cs="Times New Roman"/>
          <w:sz w:val="26"/>
          <w:szCs w:val="26"/>
        </w:rPr>
        <w:t xml:space="preserve">); respecto a la valoración de menores de 12 años, ya el departamento las realiza, pero en materia penal principalmente, por lo que el cambio radicará básicamente en la materia, pero la metodología ya se tiene. </w:t>
      </w:r>
    </w:p>
    <w:p w:rsidRPr="00AE1B2B" w:rsidR="009D3FB5" w:rsidP="00163B94" w:rsidRDefault="009D3FB5" w14:paraId="4DA148D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Respecto al punto 2, una vez entrada en vigencia la Ley, es que se podrá valorar el impacto. Se cuenta con el antecedente en materia de Trabajo en donde a la fecha solo se tuvo que rendir el dictamen en audiencia en 1 ocasión (la reforma al Código de Trabajo entró en vigencia en julio 2017).</w:t>
      </w:r>
    </w:p>
    <w:p w:rsidRPr="00AE1B2B" w:rsidR="009D3FB5" w:rsidP="00163B94" w:rsidRDefault="009D3FB5" w14:paraId="3F74A65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91F2F7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Respecto a la preparación del DTSP para la entrada en vigencia del Código Procesal de Familia se indica en la minuta de la sesión de trabajo: </w:t>
      </w:r>
    </w:p>
    <w:p w:rsidRPr="00AE1B2B" w:rsidR="009D3FB5" w:rsidP="00163B94" w:rsidRDefault="009D3FB5" w14:paraId="3C6C3DAC"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p>
    <w:p w:rsidRPr="00AE1B2B" w:rsidR="009D3FB5" w:rsidP="00163B94" w:rsidRDefault="009D3FB5" w14:paraId="1F86C2BB" w14:textId="18FD8E30">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w:t>
      </w:r>
      <w:r w:rsidRPr="00AE1B2B">
        <w:rPr>
          <w:rFonts w:ascii="Times New Roman" w:hAnsi="Times New Roman" w:cs="Times New Roman"/>
          <w:i/>
          <w:iCs/>
          <w:sz w:val="26"/>
          <w:szCs w:val="26"/>
        </w:rPr>
        <w:tab/>
      </w:r>
      <w:r w:rsidRPr="00AE1B2B">
        <w:rPr>
          <w:rFonts w:ascii="Times New Roman" w:hAnsi="Times New Roman" w:cs="Times New Roman"/>
          <w:i/>
          <w:iCs/>
          <w:sz w:val="26"/>
          <w:szCs w:val="26"/>
        </w:rPr>
        <w:t>Doña Alba explica en el DTSP como parte de las acciones de preparación entrada en vigencia del CPF se han realizado 2 capacitaciones.</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Una del tema de personas con discapacidad enfocado a la valoración de salvaguardias en coordinación con la UCR, otra “Familias en Litigio” en coordinación igualmente con la UCR y el Colegio de Trabajadores Sociales. Esta última sobre el nuevo enfoque de configuraciones de Familia. En años anteriores se llevó otra acerca de la Ley de Autonomía personal de las personas con discapacidad.</w:t>
      </w:r>
    </w:p>
    <w:p w:rsidRPr="00AE1B2B" w:rsidR="009D3FB5" w:rsidP="00163B94" w:rsidRDefault="009D3FB5" w14:paraId="0FE9523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w:t>
      </w:r>
      <w:r w:rsidRPr="00AE1B2B">
        <w:rPr>
          <w:rFonts w:ascii="Times New Roman" w:hAnsi="Times New Roman" w:cs="Times New Roman"/>
          <w:i/>
          <w:iCs/>
          <w:sz w:val="26"/>
          <w:szCs w:val="26"/>
        </w:rPr>
        <w:tab/>
      </w:r>
      <w:r w:rsidRPr="00AE1B2B">
        <w:rPr>
          <w:rFonts w:ascii="Times New Roman" w:hAnsi="Times New Roman" w:cs="Times New Roman"/>
          <w:i/>
          <w:iCs/>
          <w:sz w:val="26"/>
          <w:szCs w:val="26"/>
        </w:rPr>
        <w:t xml:space="preserve">También informa que el año pasado, el DTSP a nivel nacional consolidó las dudas del personal respecto al CPF y sostuvo </w:t>
      </w:r>
      <w:r w:rsidRPr="00AE1B2B">
        <w:rPr>
          <w:rFonts w:ascii="Times New Roman" w:hAnsi="Times New Roman" w:cs="Times New Roman"/>
          <w:i/>
          <w:iCs/>
          <w:sz w:val="26"/>
          <w:szCs w:val="26"/>
        </w:rPr>
        <w:lastRenderedPageBreak/>
        <w:t>una reunión con el Lic. Cristian Martinez gestor en la materia y la Licda. Francia León Gestora de la Escuela Judicial, donde aclararon las dudas a nivel jurídico y acordaron realizar una capacitación de fortalecimiento para los y las personas profesionales, la cual se llevara a cabo a principios del 2022; en donde se le explique al personal del DTSP las nuevas competencias y el alcance del CPF dentro de su labor ordinaria incluyendo la participación en audiencias simuladas para mejorar las habilidades de cada uno en oralidad.</w:t>
      </w:r>
    </w:p>
    <w:p w:rsidRPr="00AE1B2B" w:rsidR="009D3FB5" w:rsidP="00163B94" w:rsidRDefault="009D3FB5" w14:paraId="05037FAB" w14:textId="2A9ED87D">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3.</w:t>
      </w:r>
      <w:r w:rsidRPr="00AE1B2B">
        <w:rPr>
          <w:rFonts w:ascii="Times New Roman" w:hAnsi="Times New Roman" w:cs="Times New Roman"/>
          <w:i/>
          <w:iCs/>
          <w:sz w:val="26"/>
          <w:szCs w:val="26"/>
        </w:rPr>
        <w:tab/>
      </w:r>
      <w:r w:rsidRPr="00AE1B2B">
        <w:rPr>
          <w:rFonts w:ascii="Times New Roman" w:hAnsi="Times New Roman" w:cs="Times New Roman"/>
          <w:i/>
          <w:iCs/>
          <w:sz w:val="26"/>
          <w:szCs w:val="26"/>
        </w:rPr>
        <w:t>Lo anterior, dado que a partir de la entrada en vigencia del CPF el profesional debe estar en capacidad de rendir el dictamen, ampliarlo, contestar dudas durante la audiencia oral si así lo considera la persona juzgadora.</w:t>
      </w:r>
      <w:r w:rsidRPr="00AE1B2B" w:rsidR="00BB7720">
        <w:rPr>
          <w:rFonts w:ascii="Times New Roman" w:hAnsi="Times New Roman" w:cs="Times New Roman"/>
          <w:i/>
          <w:iCs/>
          <w:sz w:val="26"/>
          <w:szCs w:val="26"/>
        </w:rPr>
        <w:t xml:space="preserve"> </w:t>
      </w:r>
    </w:p>
    <w:p w:rsidRPr="00AE1B2B" w:rsidR="009D3FB5" w:rsidP="00163B94" w:rsidRDefault="009D3FB5" w14:paraId="72457060"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Al respecto se le consultó a la Licda. Alba sobre la experiencia en Laboral, a casi 4 años de entrada en vigencia de la reforma, que también daba la posibilidad para que los peritajes en materia de seguridad social se rendieran de forma oral durante la audiencia, a lo que indica que solamente ha habido 1 experiencia en donde se solicitó de esa forma la pericia. </w:t>
      </w:r>
    </w:p>
    <w:p w:rsidRPr="00AE1B2B" w:rsidR="009D3FB5" w:rsidP="00163B94" w:rsidRDefault="009D3FB5" w14:paraId="6CF507FC" w14:textId="6D26913D">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4.</w:t>
      </w:r>
      <w:r w:rsidRPr="00AE1B2B">
        <w:rPr>
          <w:rFonts w:ascii="Times New Roman" w:hAnsi="Times New Roman" w:cs="Times New Roman"/>
          <w:i/>
          <w:iCs/>
          <w:sz w:val="26"/>
          <w:szCs w:val="26"/>
        </w:rPr>
        <w:tab/>
      </w:r>
      <w:r w:rsidRPr="00AE1B2B">
        <w:rPr>
          <w:rFonts w:ascii="Times New Roman" w:hAnsi="Times New Roman" w:cs="Times New Roman"/>
          <w:i/>
          <w:iCs/>
          <w:sz w:val="26"/>
          <w:szCs w:val="26"/>
        </w:rPr>
        <w:t>De parte del DTSP están a la expectativa de cómo va a cambiar su dinámica de trabajo a partir de la entrada en vigencia del CPF, dado que actualmente ellos rinden los dictámenes por escrito, y además atienden asuntos urgentes y con prioridad sobre familia, como en violencia doméstica, penal, penal juvenil máxime cuando se trata de personas detenidas o casos en donde esta pronta a vencer la prisión preventiva,</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y aún con esos asuntos urgentes deberán atender casos de familia o incluso audiencias en plazos cortos y sin contar con más recursos profesionales.</w:t>
      </w:r>
      <w:r w:rsidRPr="00AE1B2B" w:rsidR="00BB7720">
        <w:rPr>
          <w:rFonts w:ascii="Times New Roman" w:hAnsi="Times New Roman" w:cs="Times New Roman"/>
          <w:i/>
          <w:iCs/>
          <w:sz w:val="26"/>
          <w:szCs w:val="26"/>
        </w:rPr>
        <w:t xml:space="preserve"> </w:t>
      </w:r>
    </w:p>
    <w:p w:rsidRPr="00AE1B2B" w:rsidR="009D3FB5" w:rsidP="00163B94" w:rsidRDefault="009D3FB5" w14:paraId="0F404B2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5.</w:t>
      </w:r>
      <w:r w:rsidRPr="00AE1B2B">
        <w:rPr>
          <w:rFonts w:ascii="Times New Roman" w:hAnsi="Times New Roman" w:cs="Times New Roman"/>
          <w:i/>
          <w:iCs/>
          <w:sz w:val="26"/>
          <w:szCs w:val="26"/>
        </w:rPr>
        <w:tab/>
      </w:r>
      <w:r w:rsidRPr="00AE1B2B">
        <w:rPr>
          <w:rFonts w:ascii="Times New Roman" w:hAnsi="Times New Roman" w:cs="Times New Roman"/>
          <w:i/>
          <w:iCs/>
          <w:sz w:val="26"/>
          <w:szCs w:val="26"/>
        </w:rPr>
        <w:t>Respecto a lo que establece el artículo 41 del CPF sobre la valoración de personas menores de 12 años que quieran formar parte del proceso de familia, indica doña Alba que ese tipo de valoración ya la hace el Departamento en materia penal, el cambio sería en que ahora se sumaran los casos en materia de familia.</w:t>
      </w:r>
    </w:p>
    <w:p w:rsidRPr="00AE1B2B" w:rsidR="009D3FB5" w:rsidP="00163B94" w:rsidRDefault="009D3FB5" w14:paraId="308FF3B5" w14:textId="77777777">
      <w:pPr>
        <w:suppressAutoHyphens/>
        <w:snapToGrid w:val="0"/>
        <w:spacing w:before="120" w:after="120"/>
        <w:ind w:left="851" w:right="851" w:firstLine="709"/>
        <w:jc w:val="both"/>
        <w:rPr>
          <w:rFonts w:ascii="Times New Roman" w:hAnsi="Times New Roman" w:cs="Times New Roman"/>
          <w:bCs/>
          <w:i/>
          <w:iCs/>
          <w:sz w:val="26"/>
          <w:szCs w:val="26"/>
        </w:rPr>
      </w:pPr>
      <w:r w:rsidRPr="00AE1B2B">
        <w:rPr>
          <w:rFonts w:ascii="Times New Roman" w:hAnsi="Times New Roman" w:cs="Times New Roman"/>
          <w:bCs/>
          <w:i/>
          <w:iCs/>
          <w:sz w:val="26"/>
          <w:szCs w:val="26"/>
        </w:rPr>
        <w:t>…”</w:t>
      </w:r>
    </w:p>
    <w:p w:rsidRPr="00AE1B2B" w:rsidR="009D3FB5" w:rsidP="00163B94" w:rsidRDefault="009D3FB5" w14:paraId="1D8526B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Presupuesto para contratación de pericias</w:t>
      </w:r>
    </w:p>
    <w:p w:rsidRPr="00AE1B2B" w:rsidR="009D3FB5" w:rsidP="00163B94" w:rsidRDefault="009D3FB5" w14:paraId="182C2583" w14:textId="15D5B9EA">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Con el fin de reducir los plazos de entrega de las distintas pericias pendientes en los Juzgados de Familia a nivel nacional, para 2021, se incluyó en el presupuesto ordinario de la Institución un monto de 30 millones de colones a fin de que el Departamento De Trabajo Social y Psicología, gestione el plan de trabajo necesario para </w:t>
      </w:r>
      <w:r w:rsidRPr="00AE1B2B">
        <w:rPr>
          <w:rFonts w:ascii="Times New Roman" w:hAnsi="Times New Roman" w:cs="Times New Roman"/>
          <w:sz w:val="26"/>
          <w:szCs w:val="26"/>
        </w:rPr>
        <w:lastRenderedPageBreak/>
        <w:t>que distintas pericias sean asumidas por peritos externos al departamento y contratados con el presupuesto disponible para esos efectos.</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Para 2022, se incluye en el presupuesto un monto de 30 millones de colones para garantizar la atención célere de los dictámenes solicitados por los distintos juzgados de familia a nivel nacional y permitir que el Departamento de Trabajo Social y Psicología pueda reducir al mínimo los plazos de respuesta para la realización de las valoraciones solicitadas en adelante. </w:t>
      </w:r>
    </w:p>
    <w:p w:rsidRPr="00AE1B2B" w:rsidR="009D3FB5" w:rsidP="00163B94" w:rsidRDefault="009D3FB5" w14:paraId="70A7C7F0" w14:textId="77777777">
      <w:pPr>
        <w:spacing w:before="120" w:after="120"/>
        <w:ind w:left="851" w:right="851" w:firstLine="709"/>
        <w:jc w:val="both"/>
        <w:rPr>
          <w:rFonts w:ascii="Times New Roman" w:hAnsi="Times New Roman" w:cs="Times New Roman"/>
          <w:sz w:val="26"/>
          <w:szCs w:val="26"/>
          <w:u w:val="single"/>
        </w:rPr>
      </w:pPr>
      <w:bookmarkStart w:name="_Hlk38962417" w:id="68"/>
    </w:p>
    <w:bookmarkEnd w:id="68"/>
    <w:p w:rsidRPr="00AE1B2B" w:rsidR="009D3FB5" w:rsidP="00163B94" w:rsidRDefault="00014F38" w14:paraId="6FAE289D" w14:textId="394E6C1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6.1 </w:t>
      </w:r>
      <w:r w:rsidRPr="00AE1B2B" w:rsidR="009D3FB5">
        <w:rPr>
          <w:rFonts w:ascii="Times New Roman" w:hAnsi="Times New Roman" w:cs="Times New Roman"/>
          <w:sz w:val="26"/>
          <w:szCs w:val="26"/>
        </w:rPr>
        <w:t>Sistemas Informáticos</w:t>
      </w:r>
    </w:p>
    <w:p w:rsidRPr="00AE1B2B" w:rsidR="009D3FB5" w:rsidP="00163B94" w:rsidRDefault="009D3FB5" w14:paraId="0758F49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todos los Juzgados competentes en materia de Familia están implementados los siguientes sistemas:</w:t>
      </w:r>
    </w:p>
    <w:p w:rsidRPr="00AE1B2B" w:rsidR="009D3FB5" w:rsidP="00163B94" w:rsidRDefault="009D3FB5" w14:paraId="7AAB16F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09C2B91"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bookmarkStart w:name="_Hlk32916065" w:id="69"/>
      <w:r w:rsidRPr="00AE1B2B">
        <w:rPr>
          <w:rFonts w:ascii="Times New Roman" w:hAnsi="Times New Roman" w:cs="Times New Roman"/>
          <w:sz w:val="26"/>
          <w:szCs w:val="26"/>
        </w:rPr>
        <w:t xml:space="preserve">Sistema de Gestión en Línea </w:t>
      </w:r>
    </w:p>
    <w:p w:rsidRPr="00AE1B2B" w:rsidR="009D3FB5" w:rsidP="00163B94" w:rsidRDefault="009D3FB5" w14:paraId="524011A5"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Escritorio Virtual con la totalidad de las mejoras que competan a la materia incluyendo la mejora de pase a fallo y de reparto automático.</w:t>
      </w:r>
    </w:p>
    <w:p w:rsidRPr="00AE1B2B" w:rsidR="009D3FB5" w:rsidP="00163B94" w:rsidRDefault="009D3FB5" w14:paraId="7EF1DB14"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Gestión de Despachos Judiciales</w:t>
      </w:r>
    </w:p>
    <w:p w:rsidRPr="00AE1B2B" w:rsidR="009D3FB5" w:rsidP="00163B94" w:rsidRDefault="009D3FB5" w14:paraId="1F6E7CF0"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Itineraciones</w:t>
      </w:r>
    </w:p>
    <w:p w:rsidRPr="00AE1B2B" w:rsidR="009D3FB5" w:rsidP="00163B94" w:rsidRDefault="009D3FB5" w14:paraId="6CBBC19A"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Depósitos Judiciales</w:t>
      </w:r>
    </w:p>
    <w:p w:rsidRPr="00AE1B2B" w:rsidR="009D3FB5" w:rsidP="00163B94" w:rsidRDefault="009D3FB5" w14:paraId="79FF168B"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Rol de Peritos</w:t>
      </w:r>
    </w:p>
    <w:p w:rsidRPr="00AE1B2B" w:rsidR="009D3FB5" w:rsidP="00163B94" w:rsidRDefault="009D3FB5" w14:paraId="4A10DE63"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Electrónico de Mandamientos</w:t>
      </w:r>
    </w:p>
    <w:p w:rsidRPr="00AE1B2B" w:rsidR="009D3FB5" w:rsidP="00163B94" w:rsidRDefault="009D3FB5" w14:paraId="04305A9A"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Obligados Alimentarios y Penal-PA</w:t>
      </w:r>
    </w:p>
    <w:p w:rsidRPr="00AE1B2B" w:rsidR="009D3FB5" w:rsidP="00163B94" w:rsidRDefault="009D3FB5" w14:paraId="4E10893B"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Sistema de Obligados Alimentarios y Penal-ME </w:t>
      </w:r>
    </w:p>
    <w:p w:rsidRPr="00AE1B2B" w:rsidR="009D3FB5" w:rsidP="00163B94" w:rsidRDefault="009D3FB5" w14:paraId="6B6D7A9E"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Agenda Cronos</w:t>
      </w:r>
    </w:p>
    <w:p w:rsidRPr="00AE1B2B" w:rsidR="009D3FB5" w:rsidP="00163B94" w:rsidRDefault="009D3FB5" w14:paraId="6205E599"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envíos archivo FTP (edictos)</w:t>
      </w:r>
    </w:p>
    <w:bookmarkEnd w:id="69"/>
    <w:p w:rsidRPr="00AE1B2B" w:rsidR="009D3FB5" w:rsidP="00163B94" w:rsidRDefault="009D3FB5" w14:paraId="1746157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6B366BA" w14:textId="77777777">
      <w:pPr>
        <w:spacing w:before="120" w:after="120"/>
        <w:ind w:left="851" w:right="851" w:firstLine="709"/>
        <w:jc w:val="both"/>
        <w:rPr>
          <w:rFonts w:ascii="Times New Roman" w:hAnsi="Times New Roman" w:cs="Times New Roman"/>
          <w:sz w:val="26"/>
          <w:szCs w:val="26"/>
          <w:highlight w:val="yellow"/>
        </w:rPr>
      </w:pPr>
      <w:r w:rsidRPr="00AE1B2B">
        <w:rPr>
          <w:rFonts w:ascii="Times New Roman" w:hAnsi="Times New Roman" w:cs="Times New Roman"/>
          <w:sz w:val="26"/>
          <w:szCs w:val="26"/>
        </w:rPr>
        <w:t xml:space="preserve">Al finalizar 2020 todos Juzgados que atienden la materia de Familia cuentan con los sistemas debidamente implementados por parte de la Dirección de Tecnología de la Información. La información se certificó como entregable dentro del Proyecto de implementación del CPF, </w:t>
      </w:r>
      <w:r w:rsidRPr="00AE1B2B">
        <w:rPr>
          <w:rFonts w:ascii="Times New Roman" w:hAnsi="Times New Roman" w:cs="Times New Roman"/>
          <w:b/>
          <w:bCs/>
          <w:i/>
          <w:iCs/>
          <w:sz w:val="26"/>
          <w:szCs w:val="26"/>
        </w:rPr>
        <w:t>anexo 9.</w:t>
      </w:r>
    </w:p>
    <w:p w:rsidRPr="00AE1B2B" w:rsidR="009D3FB5" w:rsidP="00163B94" w:rsidRDefault="009D3FB5" w14:paraId="5B78D33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54D047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014F38" w14:paraId="36B0DDE9" w14:textId="3304FE50">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6.2 </w:t>
      </w:r>
      <w:r w:rsidRPr="00AE1B2B" w:rsidR="009D3FB5">
        <w:rPr>
          <w:rFonts w:ascii="Times New Roman" w:hAnsi="Times New Roman" w:cs="Times New Roman"/>
          <w:sz w:val="26"/>
          <w:szCs w:val="26"/>
        </w:rPr>
        <w:t xml:space="preserve">Libros de Control </w:t>
      </w:r>
    </w:p>
    <w:p w:rsidRPr="00AE1B2B" w:rsidR="009D3FB5" w:rsidP="00163B94" w:rsidRDefault="009D3FB5" w14:paraId="3A3E129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Juzgados de Familia deberán llevar como mínimo los siguientes libros de control:</w:t>
      </w:r>
    </w:p>
    <w:p w:rsidRPr="00AE1B2B" w:rsidR="009D3FB5" w:rsidP="00163B94" w:rsidRDefault="009D3FB5" w14:paraId="7A5B96E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6B9CFCD" w14:textId="77777777">
      <w:pPr>
        <w:pStyle w:val="Prrafodelista"/>
        <w:numPr>
          <w:ilvl w:val="0"/>
          <w:numId w:val="61"/>
        </w:numPr>
        <w:spacing w:before="120" w:after="120"/>
        <w:ind w:left="851" w:right="851" w:firstLine="709"/>
        <w:contextualSpacing/>
        <w:jc w:val="both"/>
        <w:rPr>
          <w:rFonts w:ascii="Times New Roman" w:hAnsi="Times New Roman" w:cs="Times New Roman"/>
          <w:sz w:val="26"/>
          <w:szCs w:val="26"/>
        </w:rPr>
      </w:pPr>
      <w:bookmarkStart w:name="_Hlk32915803" w:id="70"/>
      <w:r w:rsidRPr="00AE1B2B">
        <w:rPr>
          <w:rFonts w:ascii="Times New Roman" w:hAnsi="Times New Roman" w:cs="Times New Roman"/>
          <w:sz w:val="26"/>
          <w:szCs w:val="26"/>
        </w:rPr>
        <w:t>Libro de pase a fallo y utilización módulo de pase a fallo en el Escritorio Virtual</w:t>
      </w:r>
    </w:p>
    <w:p w:rsidRPr="00AE1B2B" w:rsidR="009D3FB5" w:rsidP="00163B94" w:rsidRDefault="009D3FB5" w14:paraId="4165ACE3" w14:textId="77777777">
      <w:pPr>
        <w:pStyle w:val="Prrafodelista"/>
        <w:numPr>
          <w:ilvl w:val="0"/>
          <w:numId w:val="6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Libro de juramentaciones</w:t>
      </w:r>
    </w:p>
    <w:p w:rsidRPr="00AE1B2B" w:rsidR="009D3FB5" w:rsidP="00163B94" w:rsidRDefault="009D3FB5" w14:paraId="74A649E4" w14:textId="77777777">
      <w:pPr>
        <w:pStyle w:val="Prrafodelista"/>
        <w:numPr>
          <w:ilvl w:val="0"/>
          <w:numId w:val="6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Libro de depósitos de dineros</w:t>
      </w:r>
    </w:p>
    <w:p w:rsidRPr="00AE1B2B" w:rsidR="009D3FB5" w:rsidP="00163B94" w:rsidRDefault="009D3FB5" w14:paraId="2A6DB055" w14:textId="77777777">
      <w:pPr>
        <w:pStyle w:val="Prrafodelista"/>
        <w:numPr>
          <w:ilvl w:val="0"/>
          <w:numId w:val="6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Libro de recursos de Pensiones Alimentarias</w:t>
      </w:r>
    </w:p>
    <w:p w:rsidRPr="00AE1B2B" w:rsidR="009D3FB5" w:rsidP="00163B94" w:rsidRDefault="009D3FB5" w14:paraId="4D127423" w14:textId="77777777">
      <w:pPr>
        <w:pStyle w:val="Prrafodelista"/>
        <w:numPr>
          <w:ilvl w:val="0"/>
          <w:numId w:val="6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Libro de remisión de recursos al Tribunal </w:t>
      </w:r>
    </w:p>
    <w:bookmarkEnd w:id="70"/>
    <w:p w:rsidRPr="00AE1B2B" w:rsidR="009D3FB5" w:rsidP="00163B94" w:rsidRDefault="009D3FB5" w14:paraId="57FE329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DE79675" w14:textId="77777777">
      <w:pPr>
        <w:pStyle w:val="xmsonormal"/>
        <w:spacing w:before="120" w:after="120"/>
        <w:ind w:left="851" w:right="851" w:firstLine="709"/>
        <w:jc w:val="both"/>
        <w:rPr>
          <w:sz w:val="26"/>
          <w:szCs w:val="26"/>
        </w:rPr>
      </w:pPr>
      <w:r w:rsidRPr="00AE1B2B">
        <w:rPr>
          <w:sz w:val="26"/>
          <w:szCs w:val="26"/>
        </w:rPr>
        <w:t xml:space="preserve">De conformidad con la </w:t>
      </w:r>
      <w:r w:rsidRPr="00AE1B2B">
        <w:rPr>
          <w:b/>
          <w:bCs/>
          <w:i/>
          <w:iCs/>
          <w:sz w:val="26"/>
          <w:szCs w:val="26"/>
        </w:rPr>
        <w:t>circular 223-2020</w:t>
      </w:r>
      <w:r w:rsidRPr="00AE1B2B">
        <w:rPr>
          <w:sz w:val="26"/>
          <w:szCs w:val="26"/>
        </w:rPr>
        <w:t xml:space="preserve"> </w:t>
      </w:r>
      <w:r w:rsidRPr="00AE1B2B">
        <w:rPr>
          <w:i/>
          <w:iCs/>
          <w:sz w:val="26"/>
          <w:szCs w:val="26"/>
        </w:rPr>
        <w:t>“</w:t>
      </w:r>
      <w:r w:rsidRPr="00AE1B2B">
        <w:rPr>
          <w:i/>
          <w:iCs/>
          <w:sz w:val="26"/>
          <w:szCs w:val="26"/>
          <w:shd w:val="clear" w:color="auto" w:fill="FFFFFF"/>
        </w:rPr>
        <w:t>Obligación de uso del libro de pase a fallo y de reparto automático de asuntos en materias de Familia y Pensiones Alimentarias</w:t>
      </w:r>
      <w:r w:rsidRPr="00AE1B2B">
        <w:rPr>
          <w:i/>
          <w:iCs/>
          <w:sz w:val="26"/>
          <w:szCs w:val="26"/>
        </w:rPr>
        <w:t xml:space="preserve">” </w:t>
      </w:r>
      <w:r w:rsidRPr="00AE1B2B">
        <w:rPr>
          <w:b/>
          <w:bCs/>
          <w:i/>
          <w:iCs/>
          <w:sz w:val="26"/>
          <w:szCs w:val="26"/>
        </w:rPr>
        <w:t>(anexo 10</w:t>
      </w:r>
      <w:r w:rsidRPr="00AE1B2B">
        <w:rPr>
          <w:i/>
          <w:iCs/>
          <w:sz w:val="26"/>
          <w:szCs w:val="26"/>
        </w:rPr>
        <w:t xml:space="preserve">) </w:t>
      </w:r>
      <w:r w:rsidRPr="00AE1B2B">
        <w:rPr>
          <w:sz w:val="26"/>
          <w:szCs w:val="26"/>
        </w:rPr>
        <w:t>comunicada el 7 de octubre de 2020, todas las oficinas competentes en materia de Familia y Pensiones Alimentarias deben hacer uso del módulo de pase a fallo en Escritorio Virtual. Para ello fueron configuradas por parte de la Dirección de Tecnología de la Información las tareas y plazos definidos con el Juez Gestor en la materia y validadas por la Comisión de Familia, Niñez y Adolescencia; y también se brindó la respectiva capacitación a las oficinas en el uso de la herramienta por parte de DTI (oficio 2374-DTI-2020-</w:t>
      </w:r>
      <w:r w:rsidRPr="00AE1B2B">
        <w:rPr>
          <w:b/>
          <w:bCs/>
          <w:i/>
          <w:iCs/>
          <w:sz w:val="26"/>
          <w:szCs w:val="26"/>
        </w:rPr>
        <w:t>anexo 11</w:t>
      </w:r>
      <w:r w:rsidRPr="00AE1B2B">
        <w:rPr>
          <w:sz w:val="26"/>
          <w:szCs w:val="26"/>
        </w:rPr>
        <w:t>).</w:t>
      </w:r>
    </w:p>
    <w:p w:rsidRPr="00AE1B2B" w:rsidR="009D3FB5" w:rsidP="00163B94" w:rsidRDefault="009D3FB5" w14:paraId="4883EAE8" w14:textId="77777777">
      <w:pPr>
        <w:pStyle w:val="xmsonormal"/>
        <w:spacing w:before="120" w:after="120"/>
        <w:ind w:left="851" w:right="851" w:firstLine="709"/>
        <w:jc w:val="both"/>
        <w:rPr>
          <w:sz w:val="26"/>
          <w:szCs w:val="26"/>
        </w:rPr>
      </w:pPr>
    </w:p>
    <w:p w:rsidRPr="00AE1B2B" w:rsidR="009D3FB5" w:rsidP="00163B94" w:rsidRDefault="009D3FB5" w14:paraId="07D7AF69" w14:textId="0B8CB257">
      <w:pPr>
        <w:pStyle w:val="xmsonormal"/>
        <w:spacing w:before="120" w:after="120"/>
        <w:ind w:left="851" w:right="851" w:firstLine="709"/>
        <w:jc w:val="both"/>
        <w:rPr>
          <w:sz w:val="26"/>
          <w:szCs w:val="26"/>
        </w:rPr>
      </w:pPr>
      <w:r w:rsidRPr="00AE1B2B">
        <w:rPr>
          <w:sz w:val="26"/>
          <w:szCs w:val="26"/>
        </w:rPr>
        <w:t>Adicionalmente, de conformidad con lo acordado por el Consejo Superior en sesión 97-2020 celebrada el 08 de octubre del 2020, artículo LI, las oficinas de Familia y Pensiones a nivel nacional deben llevar tanto el libro de pase a fallo “Excel” como el registro en el módulo de Escritorio Virtual de forma paralela por al menos 6 meses, así como el correspondiente registro que se obtiene de SIGMA.</w:t>
      </w:r>
      <w:r w:rsidRPr="00AE1B2B" w:rsidR="00BB7720">
        <w:rPr>
          <w:sz w:val="26"/>
          <w:szCs w:val="26"/>
        </w:rPr>
        <w:t xml:space="preserve"> </w:t>
      </w:r>
    </w:p>
    <w:p w:rsidRPr="00AE1B2B" w:rsidR="009D3FB5" w:rsidP="00163B94" w:rsidRDefault="009D3FB5" w14:paraId="7870FC8C" w14:textId="77777777">
      <w:pPr>
        <w:pStyle w:val="xmsonormal"/>
        <w:spacing w:before="120" w:after="120"/>
        <w:ind w:left="851" w:right="851" w:firstLine="709"/>
        <w:jc w:val="both"/>
        <w:rPr>
          <w:i/>
          <w:iCs/>
          <w:sz w:val="26"/>
          <w:szCs w:val="26"/>
        </w:rPr>
      </w:pPr>
    </w:p>
    <w:p w:rsidRPr="00AE1B2B" w:rsidR="009D3FB5" w:rsidP="00163B94" w:rsidRDefault="009D3FB5" w14:paraId="219589E9" w14:textId="02203BE9">
      <w:pPr>
        <w:spacing w:before="120" w:after="120"/>
        <w:ind w:left="851" w:right="851" w:firstLine="709"/>
        <w:jc w:val="both"/>
        <w:rPr>
          <w:rFonts w:ascii="Times New Roman" w:hAnsi="Times New Roman" w:cs="Times New Roman"/>
          <w:bCs/>
          <w:i/>
          <w:iCs/>
          <w:sz w:val="26"/>
          <w:szCs w:val="26"/>
          <w:lang w:val="es-419"/>
        </w:rPr>
      </w:pPr>
      <w:r w:rsidRPr="00AE1B2B">
        <w:rPr>
          <w:rFonts w:ascii="Times New Roman" w:hAnsi="Times New Roman" w:cs="Times New Roman"/>
          <w:b/>
          <w:bCs/>
          <w:i/>
          <w:iCs/>
          <w:sz w:val="26"/>
          <w:szCs w:val="26"/>
          <w:lang w:val="es-419"/>
        </w:rPr>
        <w:t xml:space="preserve">Se acordó: 1.) </w:t>
      </w:r>
      <w:r w:rsidRPr="00AE1B2B">
        <w:rPr>
          <w:rFonts w:ascii="Times New Roman" w:hAnsi="Times New Roman" w:cs="Times New Roman"/>
          <w:i/>
          <w:iCs/>
          <w:sz w:val="26"/>
          <w:szCs w:val="26"/>
          <w:lang w:val="es-419"/>
        </w:rPr>
        <w:t>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 de administración de la justicia de los juzgados de Familia y de Pensiones alimentarias</w:t>
      </w:r>
      <w:r w:rsidRPr="00AE1B2B">
        <w:rPr>
          <w:rFonts w:ascii="Times New Roman" w:hAnsi="Times New Roman" w:cs="Times New Roman"/>
          <w:b/>
          <w:bCs/>
          <w:i/>
          <w:iCs/>
          <w:sz w:val="26"/>
          <w:szCs w:val="26"/>
          <w:lang w:val="es-419"/>
        </w:rPr>
        <w:t>. 2.)</w:t>
      </w:r>
      <w:r w:rsidRPr="00AE1B2B">
        <w:rPr>
          <w:rFonts w:ascii="Times New Roman" w:hAnsi="Times New Roman" w:cs="Times New Roman"/>
          <w:i/>
          <w:iCs/>
          <w:sz w:val="26"/>
          <w:szCs w:val="26"/>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w:t>
      </w:r>
      <w:r w:rsidRPr="00AE1B2B">
        <w:rPr>
          <w:rFonts w:ascii="Times New Roman" w:hAnsi="Times New Roman" w:cs="Times New Roman"/>
          <w:i/>
          <w:iCs/>
          <w:sz w:val="26"/>
          <w:szCs w:val="26"/>
          <w:lang w:val="es-419"/>
        </w:rPr>
        <w:lastRenderedPageBreak/>
        <w:t xml:space="preserve">administración de la justicia de los juzgados de Familia y de Pensiones alimentarias” de la Contraloría General de la República en lo que respecta </w:t>
      </w:r>
      <w:r w:rsidRPr="00AE1B2B">
        <w:rPr>
          <w:rFonts w:ascii="Times New Roman" w:hAnsi="Times New Roman" w:cs="Times New Roman"/>
          <w:b/>
          <w:bCs/>
          <w:i/>
          <w:iCs/>
          <w:sz w:val="26"/>
          <w:szCs w:val="26"/>
          <w:u w:val="single"/>
          <w:lang w:val="es-419"/>
        </w:rPr>
        <w:t>al diseño y establecimiento formal de la herramienta de “pase a fallo”.</w:t>
      </w:r>
      <w:r w:rsidRPr="00AE1B2B">
        <w:rPr>
          <w:rFonts w:ascii="Times New Roman" w:hAnsi="Times New Roman" w:cs="Times New Roman"/>
          <w:b/>
          <w:bCs/>
          <w:i/>
          <w:iCs/>
          <w:sz w:val="26"/>
          <w:szCs w:val="26"/>
          <w:lang w:val="es-419"/>
        </w:rPr>
        <w:t xml:space="preserve"> 3.) </w:t>
      </w:r>
      <w:r w:rsidRPr="00AE1B2B">
        <w:rPr>
          <w:rFonts w:ascii="Times New Roman" w:hAnsi="Times New Roman" w:cs="Times New Roman"/>
          <w:bCs/>
          <w:i/>
          <w:iCs/>
          <w:sz w:val="26"/>
          <w:szCs w:val="26"/>
          <w:lang w:val="es-419"/>
        </w:rPr>
        <w:t>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w:t>
      </w:r>
      <w:r w:rsidRPr="00AE1B2B" w:rsidR="00BB7720">
        <w:rPr>
          <w:rFonts w:ascii="Times New Roman" w:hAnsi="Times New Roman" w:cs="Times New Roman"/>
          <w:bCs/>
          <w:i/>
          <w:iCs/>
          <w:sz w:val="26"/>
          <w:szCs w:val="26"/>
          <w:lang w:val="es-419"/>
        </w:rPr>
        <w:t xml:space="preserve"> </w:t>
      </w:r>
      <w:r w:rsidRPr="00AE1B2B">
        <w:rPr>
          <w:rFonts w:ascii="Times New Roman" w:hAnsi="Times New Roman" w:cs="Times New Roman"/>
          <w:bCs/>
          <w:i/>
          <w:iCs/>
          <w:sz w:val="26"/>
          <w:szCs w:val="26"/>
          <w:lang w:val="es-419"/>
        </w:rPr>
        <w:t xml:space="preserve">Las oficinas remitirán adicionalmente el control del libro en Excel, el cual servirá de respaldo para validar que el registro es el mismo en ambos controles. Esto fungirá como un control paralelo para determinar el uso de la herramienta automatizada. </w:t>
      </w:r>
      <w:r w:rsidRPr="00AE1B2B">
        <w:rPr>
          <w:rFonts w:ascii="Times New Roman" w:hAnsi="Times New Roman" w:cs="Times New Roman"/>
          <w:b/>
          <w:i/>
          <w:iCs/>
          <w:sz w:val="26"/>
          <w:szCs w:val="26"/>
          <w:lang w:val="es-419"/>
        </w:rPr>
        <w:t>4.)</w:t>
      </w:r>
      <w:r w:rsidRPr="00AE1B2B">
        <w:rPr>
          <w:rFonts w:ascii="Times New Roman" w:hAnsi="Times New Roman" w:cs="Times New Roman"/>
          <w:bCs/>
          <w:i/>
          <w:iCs/>
          <w:sz w:val="26"/>
          <w:szCs w:val="26"/>
          <w:lang w:val="es-419"/>
        </w:rPr>
        <w:t xml:space="preserve"> El Subproceso de Estadística de la Dirección de Planificación, remitirá posteriormente los contactos electrónicos a donde remitir la información, validada por el Juez o Jueza coordinadora del despacho judicial. </w:t>
      </w:r>
      <w:r w:rsidRPr="00AE1B2B">
        <w:rPr>
          <w:rFonts w:ascii="Times New Roman" w:hAnsi="Times New Roman" w:cs="Times New Roman"/>
          <w:b/>
          <w:i/>
          <w:iCs/>
          <w:sz w:val="26"/>
          <w:szCs w:val="26"/>
          <w:lang w:val="es-419"/>
        </w:rPr>
        <w:t>5.)</w:t>
      </w:r>
      <w:r w:rsidRPr="00AE1B2B">
        <w:rPr>
          <w:rFonts w:ascii="Times New Roman" w:hAnsi="Times New Roman" w:cs="Times New Roman"/>
          <w:bCs/>
          <w:i/>
          <w:iCs/>
          <w:sz w:val="26"/>
          <w:szCs w:val="26"/>
          <w:lang w:val="es-419"/>
        </w:rPr>
        <w:t xml:space="preserve"> El Subproceso de Estadística de la Dirección de Planificación, informará el resultado de ese seguimiento al Consejo Superior y a la Comisión de Familia para lo que corresponda. </w:t>
      </w:r>
      <w:r w:rsidRPr="00AE1B2B">
        <w:rPr>
          <w:rFonts w:ascii="Times New Roman" w:hAnsi="Times New Roman" w:cs="Times New Roman"/>
          <w:b/>
          <w:i/>
          <w:iCs/>
          <w:sz w:val="26"/>
          <w:szCs w:val="26"/>
          <w:lang w:val="es-419"/>
        </w:rPr>
        <w:t>6.)</w:t>
      </w:r>
      <w:r w:rsidRPr="00AE1B2B">
        <w:rPr>
          <w:rFonts w:ascii="Times New Roman" w:hAnsi="Times New Roman" w:cs="Times New Roman"/>
          <w:bCs/>
          <w:i/>
          <w:iCs/>
          <w:sz w:val="26"/>
          <w:szCs w:val="26"/>
          <w:lang w:val="es-419"/>
        </w:rPr>
        <w:t xml:space="preserve"> Hacer este acuerdo de conocimiento del Despacho de la Presidencia para que comunique a la Contraloría General de la República lo que corresponda.</w:t>
      </w:r>
    </w:p>
    <w:p w:rsidRPr="00AE1B2B" w:rsidR="009D3FB5" w:rsidP="00163B94" w:rsidRDefault="009D3FB5" w14:paraId="00D87DA6" w14:textId="77777777">
      <w:pPr>
        <w:spacing w:before="120" w:after="120"/>
        <w:ind w:left="851" w:right="851" w:firstLine="709"/>
        <w:jc w:val="both"/>
        <w:rPr>
          <w:rFonts w:ascii="Times New Roman" w:hAnsi="Times New Roman" w:cs="Times New Roman"/>
          <w:sz w:val="26"/>
          <w:szCs w:val="26"/>
          <w:lang w:val="es-419"/>
        </w:rPr>
      </w:pPr>
    </w:p>
    <w:p w:rsidRPr="00AE1B2B" w:rsidR="009D3FB5" w:rsidP="00163B94" w:rsidRDefault="009D3FB5" w14:paraId="0C590028" w14:textId="77777777">
      <w:pPr>
        <w:spacing w:before="120" w:after="120"/>
        <w:ind w:left="851" w:right="851" w:firstLine="709"/>
        <w:jc w:val="both"/>
        <w:rPr>
          <w:rFonts w:ascii="Times New Roman" w:hAnsi="Times New Roman" w:cs="Times New Roman"/>
          <w:bCs/>
          <w:i/>
          <w:iCs/>
          <w:sz w:val="26"/>
          <w:szCs w:val="26"/>
          <w:lang w:val="es-419"/>
        </w:rPr>
      </w:pPr>
      <w:r w:rsidRPr="00AE1B2B">
        <w:rPr>
          <w:rFonts w:ascii="Times New Roman" w:hAnsi="Times New Roman" w:cs="Times New Roman"/>
          <w:bCs/>
          <w:i/>
          <w:iCs/>
          <w:sz w:val="26"/>
          <w:szCs w:val="26"/>
          <w:lang w:val="es-419"/>
        </w:rPr>
        <w:t>La Comisión de la Jurisdicción de Familia y la Dirección de Planificación, tomarán nota para lo que corresponda. Se declara acuerdo firme.”</w:t>
      </w:r>
    </w:p>
    <w:p w:rsidRPr="00AE1B2B" w:rsidR="009D3FB5" w:rsidP="00163B94" w:rsidRDefault="00BB7720" w14:paraId="4D67B082" w14:textId="0A2A9EDE">
      <w:pPr>
        <w:pStyle w:val="xmsonormal"/>
        <w:spacing w:before="120" w:after="120"/>
        <w:ind w:left="851" w:right="851" w:firstLine="709"/>
        <w:jc w:val="both"/>
        <w:rPr>
          <w:sz w:val="26"/>
          <w:szCs w:val="26"/>
        </w:rPr>
      </w:pPr>
      <w:r w:rsidRPr="00AE1B2B">
        <w:rPr>
          <w:i/>
          <w:iCs/>
          <w:sz w:val="26"/>
          <w:szCs w:val="26"/>
        </w:rPr>
        <w:t xml:space="preserve"> </w:t>
      </w:r>
    </w:p>
    <w:p w:rsidRPr="00AE1B2B" w:rsidR="009D3FB5" w:rsidP="00163B94" w:rsidRDefault="009D3FB5" w14:paraId="1DEB567D" w14:textId="24098845">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Respecto a reporte en SIGMA del módulo de pase a fallo, este se trabajó en conjunto entre la Dirección de Tecnología de la Información, Dirección de Planificación, Auditoría e Inspección Judicial. En atención a la obligatoriedad de su uso, se emitió por parte de la Dirección de Planificación </w:t>
      </w:r>
      <w:r w:rsidRPr="00AE1B2B">
        <w:rPr>
          <w:rFonts w:ascii="Times New Roman" w:hAnsi="Times New Roman" w:cs="Times New Roman"/>
          <w:b/>
          <w:bCs/>
          <w:i/>
          <w:iCs/>
          <w:sz w:val="26"/>
          <w:szCs w:val="26"/>
        </w:rPr>
        <w:t>la circular externa 4-2021</w:t>
      </w:r>
      <w:r w:rsidRPr="00AE1B2B">
        <w:rPr>
          <w:rFonts w:ascii="Times New Roman" w:hAnsi="Times New Roman" w:cs="Times New Roman"/>
          <w:sz w:val="26"/>
          <w:szCs w:val="26"/>
        </w:rPr>
        <w:t xml:space="preserve"> (</w:t>
      </w:r>
      <w:r w:rsidRPr="00AE1B2B">
        <w:rPr>
          <w:rFonts w:ascii="Times New Roman" w:hAnsi="Times New Roman" w:cs="Times New Roman"/>
          <w:b/>
          <w:bCs/>
          <w:i/>
          <w:iCs/>
          <w:sz w:val="26"/>
          <w:szCs w:val="26"/>
        </w:rPr>
        <w:t>anexo 12)</w:t>
      </w:r>
      <w:r w:rsidRPr="00AE1B2B">
        <w:rPr>
          <w:rFonts w:ascii="Times New Roman" w:hAnsi="Times New Roman" w:cs="Times New Roman"/>
          <w:sz w:val="26"/>
          <w:szCs w:val="26"/>
        </w:rPr>
        <w:t xml:space="preserve"> donde se les solicita a las oficinas hacer uso del reporte, la ubicación del informe dentro del SIGMA, así mismo la necesidad de certificar al Subproceso de Estadística de la Dirección de Planificación que la información es consistente con el registro en Excel.</w:t>
      </w:r>
      <w:r w:rsidRPr="00AE1B2B" w:rsidR="00BB7720">
        <w:rPr>
          <w:rFonts w:ascii="Times New Roman" w:hAnsi="Times New Roman" w:cs="Times New Roman"/>
          <w:sz w:val="26"/>
          <w:szCs w:val="26"/>
        </w:rPr>
        <w:t xml:space="preserve"> </w:t>
      </w:r>
    </w:p>
    <w:p w:rsidRPr="00AE1B2B" w:rsidR="009D3FB5" w:rsidP="00163B94" w:rsidRDefault="009D3FB5" w14:paraId="6861C0B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aclara que para que la información que se visualice correctamente en el reporte en SIGMA debe hacerse el registro adecuado por parte de las oficinas en las tareas previamente configuradas para estos efectos.</w:t>
      </w:r>
    </w:p>
    <w:p w:rsidRPr="00AE1B2B" w:rsidR="009D3FB5" w:rsidP="00163B94" w:rsidRDefault="009D3FB5" w14:paraId="092C0FD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A697F20" w14:textId="0E2AC9EE">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Cs/>
          <w:sz w:val="26"/>
          <w:szCs w:val="26"/>
          <w:lang w:val="es-ES"/>
        </w:rPr>
        <w:lastRenderedPageBreak/>
        <w:t>De forma simultánea, y por al menos el primer semestre 2021, los diferentes despachos del Poder Judicial contarán con la herramienta de libro de pase a fallo en versión Excel para el control del pase a fallo y también el reporte que deben generar y certificar mensualmente en el sistema SIGMA (cumple con los requerimientos también de la Inspección y Auditoría Judicial).</w:t>
      </w:r>
      <w:r w:rsidRPr="00AE1B2B" w:rsidR="00BB7720">
        <w:rPr>
          <w:rFonts w:ascii="Times New Roman" w:hAnsi="Times New Roman" w:cs="Times New Roman"/>
          <w:bCs/>
          <w:sz w:val="26"/>
          <w:szCs w:val="26"/>
          <w:lang w:val="es-ES"/>
        </w:rPr>
        <w:t xml:space="preserve"> </w:t>
      </w:r>
      <w:r w:rsidRPr="00AE1B2B">
        <w:rPr>
          <w:rFonts w:ascii="Times New Roman" w:hAnsi="Times New Roman" w:cs="Times New Roman"/>
          <w:bCs/>
          <w:sz w:val="26"/>
          <w:szCs w:val="26"/>
          <w:lang w:val="es-ES"/>
        </w:rPr>
        <w:t>En este momento la Dirección de Tecnología de la Información trabaja en una mejora en el reporte en SIGMA.</w:t>
      </w:r>
    </w:p>
    <w:p w:rsidRPr="00AE1B2B" w:rsidR="009D3FB5" w:rsidP="00163B94" w:rsidRDefault="009D3FB5" w14:paraId="3C3EF9C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700B9E1" w14:textId="5EE83813">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 forma adicional se emitió el oficio 46-PLA-MI-2021 con un explicativo para las oficinas de Familia sobre el uso de la herramienta</w:t>
      </w:r>
      <w:r w:rsidRPr="00AE1B2B">
        <w:rPr>
          <w:rFonts w:ascii="Times New Roman" w:hAnsi="Times New Roman" w:cs="Times New Roman"/>
          <w:bCs/>
          <w:sz w:val="26"/>
          <w:szCs w:val="26"/>
        </w:rPr>
        <w:t xml:space="preserve"> con el fin de lograr la estandarización en el uso de la mejora y además se reguló por parte de la Comisión de Familia, Niñez y Adolescencia que tipo de resoluciones se catalogan como sentencia y por ende deben registrarse en el libro de pase a fallo (circular 260-2020-</w:t>
      </w:r>
      <w:r w:rsidRPr="00AE1B2B">
        <w:rPr>
          <w:rFonts w:ascii="Times New Roman" w:hAnsi="Times New Roman" w:cs="Times New Roman"/>
          <w:b/>
          <w:i/>
          <w:iCs/>
          <w:sz w:val="26"/>
          <w:szCs w:val="26"/>
        </w:rPr>
        <w:t>anexo 13</w:t>
      </w:r>
      <w:r w:rsidRPr="00AE1B2B">
        <w:rPr>
          <w:rFonts w:ascii="Times New Roman" w:hAnsi="Times New Roman" w:cs="Times New Roman"/>
          <w:bCs/>
          <w:sz w:val="26"/>
          <w:szCs w:val="26"/>
        </w:rPr>
        <w:t>).</w:t>
      </w:r>
      <w:r w:rsidRPr="00AE1B2B" w:rsidR="00BB7720">
        <w:rPr>
          <w:rFonts w:ascii="Times New Roman" w:hAnsi="Times New Roman" w:cs="Times New Roman"/>
          <w:bCs/>
          <w:sz w:val="26"/>
          <w:szCs w:val="26"/>
        </w:rPr>
        <w:t xml:space="preserve"> </w:t>
      </w:r>
    </w:p>
    <w:p w:rsidRPr="00AE1B2B" w:rsidR="009D3FB5" w:rsidP="00163B94" w:rsidRDefault="009D3FB5" w14:paraId="51E7D93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685AD3C" w14:textId="77777777">
      <w:pPr>
        <w:autoSpaceDE w:val="0"/>
        <w:autoSpaceDN w:val="0"/>
        <w:adjustRightInd w:val="0"/>
        <w:spacing w:before="120" w:after="120"/>
        <w:ind w:left="851" w:right="851" w:firstLine="709"/>
        <w:jc w:val="both"/>
        <w:rPr>
          <w:rFonts w:ascii="Times New Roman" w:hAnsi="Times New Roman" w:cs="Times New Roman"/>
          <w:sz w:val="26"/>
          <w:szCs w:val="26"/>
        </w:rPr>
      </w:pPr>
    </w:p>
    <w:p w:rsidRPr="00AE1B2B" w:rsidR="009D3FB5" w:rsidP="00163B94" w:rsidRDefault="00014F38" w14:paraId="1153B9DB" w14:textId="092C33D2">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6.3 </w:t>
      </w:r>
      <w:r w:rsidRPr="00AE1B2B" w:rsidR="009D3FB5">
        <w:rPr>
          <w:rFonts w:ascii="Times New Roman" w:hAnsi="Times New Roman" w:cs="Times New Roman"/>
          <w:sz w:val="26"/>
          <w:szCs w:val="26"/>
        </w:rPr>
        <w:t>Modelo de Sostenibilidad y Seguimiento de los proyectos de rediseño de oficinas en materia de Familia</w:t>
      </w:r>
    </w:p>
    <w:p w:rsidRPr="00AE1B2B" w:rsidR="009D3FB5" w:rsidP="00163B94" w:rsidRDefault="009D3FB5" w14:paraId="540DBEF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E64746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establecimiento de cuotas de trabajo a las personas juzgadoras y técnicas judiciales así como la implementación del Modelo de Sostenibilidad y Rediseño de despachos rediseñados institucional en los despachos de Familia, permitieron que a diciembre 2020, la totalidad de los despachos competentes en materia de Familia en primera instancia, cuenten con el Modelo implementado donde interactúan los equipos de mejora de los despachos, la Administración Regional, el Consejo de Administración, la Dirección de Planificación y el Centro de Apoyo, Coordinación y Mejoramiento de la Función Jurisdiccional.</w:t>
      </w:r>
    </w:p>
    <w:p w:rsidRPr="00AE1B2B" w:rsidR="009D3FB5" w:rsidP="00163B94" w:rsidRDefault="009D3FB5" w14:paraId="5ED28FB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EE0932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acuerdo del Consejo Superior en sesión 82-2020 celebrada el 20 de agosto del 2020, artículo XLI donde acoge en todos sus extremos el informe 1213-PLA-EV-2020, donde se reiteran las responsabilidades de las personas juzgadoras coordinadoras de oficinas y del Consejo de Administración como participantes de este modelo. </w:t>
      </w:r>
    </w:p>
    <w:p w:rsidRPr="00AE1B2B" w:rsidR="009D3FB5" w:rsidP="00163B94" w:rsidRDefault="009D3FB5" w14:paraId="187A556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82B0B2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6580D5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“5.3.</w:t>
      </w:r>
      <w:r w:rsidRPr="00AE1B2B">
        <w:rPr>
          <w:rFonts w:ascii="Times New Roman" w:hAnsi="Times New Roman" w:cs="Times New Roman"/>
          <w:i/>
          <w:iCs/>
          <w:sz w:val="26"/>
          <w:szCs w:val="26"/>
        </w:rPr>
        <w:tab/>
      </w:r>
      <w:r w:rsidRPr="00AE1B2B">
        <w:rPr>
          <w:rFonts w:ascii="Times New Roman" w:hAnsi="Times New Roman" w:cs="Times New Roman"/>
          <w:i/>
          <w:iCs/>
          <w:sz w:val="26"/>
          <w:szCs w:val="26"/>
        </w:rPr>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rsidRPr="00AE1B2B" w:rsidR="009D3FB5" w:rsidP="00163B94" w:rsidRDefault="009D3FB5" w14:paraId="4B03CC12"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6BB89ABD"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5.4.</w:t>
      </w:r>
      <w:r w:rsidRPr="00AE1B2B">
        <w:rPr>
          <w:rFonts w:ascii="Times New Roman" w:hAnsi="Times New Roman" w:cs="Times New Roman"/>
          <w:i/>
          <w:iCs/>
          <w:sz w:val="26"/>
          <w:szCs w:val="26"/>
        </w:rPr>
        <w:tab/>
      </w:r>
      <w:r w:rsidRPr="00AE1B2B">
        <w:rPr>
          <w:rFonts w:ascii="Times New Roman" w:hAnsi="Times New Roman" w:cs="Times New Roman"/>
          <w:i/>
          <w:iCs/>
          <w:sz w:val="26"/>
          <w:szCs w:val="26"/>
        </w:rPr>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p>
    <w:p w:rsidRPr="00AE1B2B" w:rsidR="009D3FB5" w:rsidP="00163B94" w:rsidRDefault="009D3FB5" w14:paraId="24153A7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D7015E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0064898" w14:textId="0430F2F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Cada Juzgado cuenta con su equipo de mejora conformado y además hacen uso de la matriz de indicadores que se les diseño y para lo cual fueron capacitados por la Dirección de Planificación sobre la forma de completar esa matriz.</w:t>
      </w:r>
      <w:r w:rsidRPr="00AE1B2B" w:rsidR="00BB7720">
        <w:rPr>
          <w:rFonts w:ascii="Times New Roman" w:hAnsi="Times New Roman" w:cs="Times New Roman"/>
          <w:sz w:val="26"/>
          <w:szCs w:val="26"/>
        </w:rPr>
        <w:t xml:space="preserve"> </w:t>
      </w:r>
    </w:p>
    <w:p w:rsidRPr="00AE1B2B" w:rsidR="009D3FB5" w:rsidP="00163B94" w:rsidRDefault="009D3FB5" w14:paraId="7C1BAFB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D3181D5" w14:textId="562A39A9">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 anterior, también como parte de un proceso de retroalimentación en atención de la recomendación 4.7 de informe</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DFOE-PG-0098 (2683)-2020, relacionado con el informe DFOE-PG-IF-00002-2020 “</w:t>
      </w:r>
      <w:r w:rsidRPr="00AE1B2B">
        <w:rPr>
          <w:rFonts w:ascii="Times New Roman" w:hAnsi="Times New Roman" w:cs="Times New Roman"/>
          <w:i/>
          <w:iCs/>
          <w:sz w:val="26"/>
          <w:szCs w:val="26"/>
        </w:rPr>
        <w:t xml:space="preserve">Informe de Auditoría Operativa sobre la gestión del Poder Judicial en cuanto a la oportunidad de la prestación del servicio público de administración de la justicia de los juzgados de Familia y de Pensiones alimentarias” </w:t>
      </w:r>
      <w:r w:rsidRPr="00AE1B2B">
        <w:rPr>
          <w:rFonts w:ascii="Times New Roman" w:hAnsi="Times New Roman" w:cs="Times New Roman"/>
          <w:sz w:val="26"/>
          <w:szCs w:val="26"/>
        </w:rPr>
        <w:t>y donde el Consejo Superior aprueba el oficio 2058-PLA-EV-2020 en sesión 2-2021 celebrada el 07 de enero del 2021, artículo XXXIX y dispuso:</w:t>
      </w:r>
    </w:p>
    <w:p w:rsidRPr="00AE1B2B" w:rsidR="009D3FB5" w:rsidP="00163B94" w:rsidRDefault="009D3FB5" w14:paraId="7F4EAD9A"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0866FC5D" w14:textId="77777777">
      <w:pPr>
        <w:pStyle w:val="xmsonormal"/>
        <w:spacing w:before="120" w:after="120"/>
        <w:ind w:left="851" w:right="851" w:firstLine="709"/>
        <w:jc w:val="both"/>
        <w:rPr>
          <w:i/>
          <w:iCs/>
          <w:sz w:val="26"/>
          <w:szCs w:val="26"/>
        </w:rPr>
      </w:pPr>
      <w:r w:rsidRPr="00AE1B2B">
        <w:rPr>
          <w:i/>
          <w:iCs/>
          <w:sz w:val="26"/>
          <w:szCs w:val="26"/>
        </w:rPr>
        <w:t>“</w:t>
      </w:r>
      <w:r w:rsidRPr="00AE1B2B">
        <w:rPr>
          <w:b/>
          <w:bCs/>
          <w:i/>
          <w:iCs/>
          <w:sz w:val="26"/>
          <w:szCs w:val="26"/>
        </w:rPr>
        <w:t xml:space="preserve">Se acordó: 1.) </w:t>
      </w:r>
      <w:r w:rsidRPr="00AE1B2B">
        <w:rPr>
          <w:i/>
          <w:iCs/>
          <w:sz w:val="26"/>
          <w:szCs w:val="26"/>
        </w:rPr>
        <w:t xml:space="preserve">Tener por rendido el informe N° 2058-PLA-EV-2020 de 18 de diciembre de 2020, suscrito por el licenciado Erick Antonio Mora Leiva, Jefe del Proceso de Planeación y Evaluación, en el que remitió el informe suscrito por el Ingeniero Jorge Fernando </w:t>
      </w:r>
      <w:r w:rsidRPr="00AE1B2B">
        <w:rPr>
          <w:i/>
          <w:iCs/>
          <w:sz w:val="26"/>
          <w:szCs w:val="26"/>
        </w:rPr>
        <w:lastRenderedPageBreak/>
        <w:t xml:space="preserve">Rodríguez Salazar, Jefe interino del Subproceso de Evaluación, relacionado con el cumplimiento total de la recomendación 4.7 del oficio de la Contraloría General de la República, número DFOE-PG-0098 (2683)-2020. </w:t>
      </w:r>
      <w:r w:rsidRPr="00AE1B2B">
        <w:rPr>
          <w:b/>
          <w:bCs/>
          <w:i/>
          <w:iCs/>
          <w:sz w:val="26"/>
          <w:szCs w:val="26"/>
        </w:rPr>
        <w:t xml:space="preserve">2.) </w:t>
      </w:r>
      <w:r w:rsidRPr="00AE1B2B">
        <w:rPr>
          <w:i/>
          <w:iCs/>
          <w:sz w:val="26"/>
          <w:szCs w:val="26"/>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AE1B2B">
        <w:rPr>
          <w:b/>
          <w:bCs/>
          <w:i/>
          <w:iCs/>
          <w:sz w:val="26"/>
          <w:szCs w:val="26"/>
        </w:rPr>
        <w:t>3.)</w:t>
      </w:r>
      <w:r w:rsidRPr="00AE1B2B">
        <w:rPr>
          <w:i/>
          <w:iCs/>
          <w:sz w:val="26"/>
          <w:szCs w:val="26"/>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AE1B2B">
        <w:rPr>
          <w:b/>
          <w:bCs/>
          <w:i/>
          <w:iCs/>
          <w:sz w:val="26"/>
          <w:szCs w:val="26"/>
        </w:rPr>
        <w:t xml:space="preserve">4.) </w:t>
      </w:r>
      <w:r w:rsidRPr="00AE1B2B">
        <w:rPr>
          <w:i/>
          <w:iCs/>
          <w:sz w:val="26"/>
          <w:szCs w:val="26"/>
        </w:rPr>
        <w:t>Comisionar a la Secretaría General de la Corte para que tramite la remisión del contenido completo del informe N° 2058-PLA-EV-2020 de 18 de diciembre de 2020, a la Contraloría General de la República.</w:t>
      </w:r>
    </w:p>
    <w:p w:rsidRPr="00AE1B2B" w:rsidR="009D3FB5" w:rsidP="00163B94" w:rsidRDefault="009D3FB5" w14:paraId="71EC225F" w14:textId="77777777">
      <w:pPr>
        <w:pStyle w:val="xmsonormal"/>
        <w:spacing w:before="120" w:after="120"/>
        <w:ind w:left="851" w:right="851" w:firstLine="709"/>
        <w:jc w:val="both"/>
        <w:rPr>
          <w:i/>
          <w:iCs/>
          <w:sz w:val="26"/>
          <w:szCs w:val="26"/>
        </w:rPr>
      </w:pPr>
      <w:r w:rsidRPr="00AE1B2B">
        <w:rPr>
          <w:i/>
          <w:iCs/>
          <w:sz w:val="26"/>
          <w:szCs w:val="26"/>
          <w:lang w:val="es-ES"/>
        </w:rPr>
        <w:t> </w:t>
      </w:r>
    </w:p>
    <w:p w:rsidRPr="00AE1B2B" w:rsidR="009D3FB5" w:rsidP="00163B94" w:rsidRDefault="009D3FB5" w14:paraId="0AEF8542" w14:textId="77777777">
      <w:pPr>
        <w:pStyle w:val="xmsonormal"/>
        <w:spacing w:before="120" w:after="120"/>
        <w:ind w:left="851" w:right="851" w:firstLine="709"/>
        <w:jc w:val="both"/>
        <w:rPr>
          <w:i/>
          <w:iCs/>
          <w:sz w:val="26"/>
          <w:szCs w:val="26"/>
        </w:rPr>
      </w:pPr>
      <w:r w:rsidRPr="00AE1B2B">
        <w:rPr>
          <w:i/>
          <w:iCs/>
          <w:sz w:val="26"/>
          <w:szCs w:val="26"/>
        </w:rPr>
        <w:t xml:space="preserve">La Dirección de Planificación tomará nota para los fines consiguientes. </w:t>
      </w:r>
      <w:r w:rsidRPr="00AE1B2B">
        <w:rPr>
          <w:b/>
          <w:bCs/>
          <w:i/>
          <w:iCs/>
          <w:sz w:val="26"/>
          <w:szCs w:val="26"/>
        </w:rPr>
        <w:t>Se declara acuerdo firme.</w:t>
      </w:r>
      <w:r w:rsidRPr="00AE1B2B">
        <w:rPr>
          <w:i/>
          <w:iCs/>
          <w:sz w:val="26"/>
          <w:szCs w:val="26"/>
          <w:lang w:val="es-ES"/>
        </w:rPr>
        <w:t>”</w:t>
      </w:r>
    </w:p>
    <w:p w:rsidRPr="00AE1B2B" w:rsidR="009D3FB5" w:rsidP="00163B94" w:rsidRDefault="009D3FB5" w14:paraId="21D7FA70" w14:textId="77777777">
      <w:pPr>
        <w:pStyle w:val="xmsonormal"/>
        <w:spacing w:before="120" w:after="120"/>
        <w:ind w:left="851" w:right="851" w:firstLine="709"/>
        <w:jc w:val="both"/>
        <w:rPr>
          <w:sz w:val="26"/>
          <w:szCs w:val="26"/>
        </w:rPr>
      </w:pPr>
      <w:r w:rsidRPr="00AE1B2B">
        <w:rPr>
          <w:sz w:val="26"/>
          <w:szCs w:val="26"/>
          <w:lang w:val="es-ES"/>
        </w:rPr>
        <w:t> </w:t>
      </w:r>
    </w:p>
    <w:p w:rsidRPr="00AE1B2B" w:rsidR="009D3FB5" w:rsidP="00163B94" w:rsidRDefault="009D3FB5" w14:paraId="75AF5CC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Adicionalmente el Consejo Superior acuerda en sesión 82-2020 celebrada el 20 de agosto del 2020, artículo XLI emitir las circulares 193-2020 </w:t>
      </w:r>
      <w:r w:rsidRPr="00AE1B2B">
        <w:rPr>
          <w:rFonts w:ascii="Times New Roman" w:hAnsi="Times New Roman" w:cs="Times New Roman"/>
          <w:i/>
          <w:iCs/>
          <w:sz w:val="26"/>
          <w:szCs w:val="26"/>
        </w:rPr>
        <w:t>“Responsabilidades asociadas al Modelo de Sostenibilidad y Seguimientos de los proyectos de rediseño de oficinas”</w:t>
      </w:r>
      <w:r w:rsidRPr="00AE1B2B">
        <w:rPr>
          <w:rFonts w:ascii="Times New Roman" w:hAnsi="Times New Roman" w:cs="Times New Roman"/>
          <w:sz w:val="26"/>
          <w:szCs w:val="26"/>
        </w:rPr>
        <w:t xml:space="preserve"> y 194-2020 </w:t>
      </w:r>
      <w:r w:rsidRPr="00AE1B2B">
        <w:rPr>
          <w:rFonts w:ascii="Times New Roman" w:hAnsi="Times New Roman" w:cs="Times New Roman"/>
          <w:i/>
          <w:iCs/>
          <w:sz w:val="26"/>
          <w:szCs w:val="26"/>
        </w:rPr>
        <w:t xml:space="preserve">“Responsabilidades en el cumplimiento de las labores y el rendimiento de todos los servidores del despacho y el régimen disciplinario” </w:t>
      </w:r>
      <w:r w:rsidRPr="00AE1B2B">
        <w:rPr>
          <w:rFonts w:ascii="Times New Roman" w:hAnsi="Times New Roman" w:cs="Times New Roman"/>
          <w:sz w:val="26"/>
          <w:szCs w:val="26"/>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AE1B2B">
        <w:rPr>
          <w:rFonts w:ascii="Times New Roman" w:hAnsi="Times New Roman" w:cs="Times New Roman"/>
          <w:i/>
          <w:iCs/>
          <w:sz w:val="26"/>
          <w:szCs w:val="26"/>
        </w:rPr>
        <w:t xml:space="preserve">“Informe de Auditoría Operativa sobre la gestión del Poder Judicial en cuanto a la oportunidad de la prestación del servicio público de </w:t>
      </w:r>
      <w:r w:rsidRPr="00AE1B2B">
        <w:rPr>
          <w:rFonts w:ascii="Times New Roman" w:hAnsi="Times New Roman" w:cs="Times New Roman"/>
          <w:i/>
          <w:iCs/>
          <w:sz w:val="26"/>
          <w:szCs w:val="26"/>
        </w:rPr>
        <w:lastRenderedPageBreak/>
        <w:t>administración de la justicia de los juzgados de Familia y de Pensiones alimentarias”.</w:t>
      </w:r>
    </w:p>
    <w:p w:rsidRPr="00AE1B2B" w:rsidR="009D3FB5" w:rsidP="00163B94" w:rsidRDefault="009D3FB5" w14:paraId="6386F9B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C26969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F6C89D4" w14:textId="77777777">
      <w:pPr>
        <w:spacing w:before="120" w:after="120"/>
        <w:ind w:left="851" w:right="851" w:firstLine="709"/>
        <w:jc w:val="both"/>
        <w:rPr>
          <w:rFonts w:ascii="Times New Roman" w:hAnsi="Times New Roman" w:cs="Times New Roman"/>
          <w:snapToGrid w:val="0"/>
          <w:sz w:val="26"/>
          <w:szCs w:val="26"/>
        </w:rPr>
      </w:pPr>
      <w:r w:rsidRPr="00AE1B2B">
        <w:rPr>
          <w:rFonts w:ascii="Times New Roman" w:hAnsi="Times New Roman" w:cs="Times New Roman"/>
          <w:sz w:val="26"/>
          <w:szCs w:val="26"/>
        </w:rPr>
        <w:t>Indicadores de Gestión</w:t>
      </w:r>
      <w:r w:rsidRPr="00AE1B2B">
        <w:rPr>
          <w:rFonts w:ascii="Times New Roman" w:hAnsi="Times New Roman" w:cs="Times New Roman"/>
          <w:snapToGrid w:val="0"/>
          <w:sz w:val="26"/>
          <w:szCs w:val="26"/>
        </w:rPr>
        <w:t xml:space="preserve"> en Despachos Rediseñados</w:t>
      </w:r>
    </w:p>
    <w:p w:rsidRPr="00AE1B2B" w:rsidR="009D3FB5" w:rsidP="00163B94" w:rsidRDefault="009D3FB5" w14:paraId="01F07BD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diseño de la matriz de indicadores de gestión para los despachos competentes en materia de Familia, tomo en consideración Rediseños en los Juzgados de Familia del Segundo Circuito Judicial de Alajuela y Cartago y fueron debidamente validados con el equipo gestor, en donde los indicadores se categorizan de la siguiente manera: </w:t>
      </w:r>
    </w:p>
    <w:p w:rsidRPr="00AE1B2B" w:rsidR="009D3FB5" w:rsidP="00163B94" w:rsidRDefault="009D3FB5" w14:paraId="01CB70E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9D3FB5" w14:paraId="74B7DFB5" w14:textId="77777777">
      <w:pPr>
        <w:pStyle w:val="Prrafodelista"/>
        <w:numPr>
          <w:ilvl w:val="0"/>
          <w:numId w:val="62"/>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Rendimiento estadístico del despacho: en términos generales consisten en detallar una serie de variables estadísticas destinadas a calificar de manera general el movimiento de trabajo del despacho (entradas, salidas, circulante, etc.). </w:t>
      </w:r>
    </w:p>
    <w:p w:rsidRPr="00AE1B2B" w:rsidR="009D3FB5" w:rsidP="00163B94" w:rsidRDefault="009D3FB5" w14:paraId="4D0E08A7"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2E6EC237" w14:textId="77777777">
      <w:pPr>
        <w:pStyle w:val="Prrafodelista"/>
        <w:numPr>
          <w:ilvl w:val="0"/>
          <w:numId w:val="62"/>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Plazos: valoran cierta cantidad de actividades de acuerdo principalmente a la duración a lo interno del Despacho (dictado de sentencias, resolver demandas nuevas, resolver escritos, entre otros). </w:t>
      </w:r>
    </w:p>
    <w:p w:rsidRPr="00AE1B2B" w:rsidR="009D3FB5" w:rsidP="00163B94" w:rsidRDefault="009D3FB5" w14:paraId="6A1D7FC2"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08BB3622" w14:textId="77777777">
      <w:pPr>
        <w:pStyle w:val="Prrafodelista"/>
        <w:numPr>
          <w:ilvl w:val="0"/>
          <w:numId w:val="62"/>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rsidRPr="00AE1B2B" w:rsidR="009D3FB5" w:rsidP="00163B94" w:rsidRDefault="009D3FB5" w14:paraId="1118651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Respecto a los indicadores y parámetros estos fueron sometidos a aprobación de Consejo Superior y Corte Plena mediante informe 656-PLA-RH-MI-2020 y aprobados por ambas instancia en sesiones sesión 45-2020 celebrada el 8 de mayo de 2020, artículo XIX y sesión 31-2020 del dos de junio del 2020, artículo I, respectivamente. </w:t>
      </w:r>
    </w:p>
    <w:p w:rsidRPr="00AE1B2B" w:rsidR="009D3FB5" w:rsidP="00163B94" w:rsidRDefault="009D3FB5" w14:paraId="6FEBA3D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DF9193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849301E" w14:textId="584DCEAF">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indicadores en despachos especializados de Familia contemplan:</w:t>
      </w:r>
      <w:r w:rsidRPr="00AE1B2B" w:rsidR="00BB7720">
        <w:rPr>
          <w:rFonts w:ascii="Times New Roman" w:hAnsi="Times New Roman" w:cs="Times New Roman"/>
          <w:sz w:val="26"/>
          <w:szCs w:val="26"/>
        </w:rPr>
        <w:t xml:space="preserve"> </w:t>
      </w:r>
    </w:p>
    <w:p w:rsidRPr="00AE1B2B" w:rsidR="009D3FB5" w:rsidP="00163B94" w:rsidRDefault="009D3FB5" w14:paraId="4AC7C04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C27FAF2"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lastRenderedPageBreak/>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16</w:t>
      </w:r>
      <w:r w:rsidRPr="00AE1B2B">
        <w:rPr>
          <w:rFonts w:ascii="Times New Roman" w:hAnsi="Times New Roman" w:cs="Times New Roman"/>
          <w:sz w:val="26"/>
          <w:szCs w:val="26"/>
        </w:rPr>
        <w:fldChar w:fldCharType="end"/>
      </w:r>
    </w:p>
    <w:p w:rsidRPr="00AE1B2B" w:rsidR="009D3FB5" w:rsidP="00163B94" w:rsidRDefault="009D3FB5" w14:paraId="54D2F49F"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Matriz de Indicadores de los Juzgados Especializados de Familia, 2020</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848"/>
        <w:gridCol w:w="636"/>
        <w:gridCol w:w="1759"/>
        <w:gridCol w:w="5585"/>
      </w:tblGrid>
      <w:tr w:rsidRPr="00AE1B2B" w:rsidR="00AE1B2B" w:rsidTr="0007105A" w14:paraId="24DAA39A" w14:textId="77777777">
        <w:trPr>
          <w:cantSplit/>
          <w:trHeight w:val="386"/>
          <w:tblHeader/>
          <w:jc w:val="center"/>
        </w:trPr>
        <w:tc>
          <w:tcPr>
            <w:tcW w:w="481" w:type="pct"/>
            <w:shd w:val="clear" w:color="auto" w:fill="002060"/>
            <w:vAlign w:val="center"/>
          </w:tcPr>
          <w:p w:rsidRPr="00AE1B2B" w:rsidR="009D3FB5" w:rsidP="00163B94" w:rsidRDefault="009D3FB5" w14:paraId="3BFF686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Categ.</w:t>
            </w:r>
          </w:p>
        </w:tc>
        <w:tc>
          <w:tcPr>
            <w:tcW w:w="360" w:type="pct"/>
            <w:shd w:val="clear" w:color="auto" w:fill="002060"/>
            <w:noWrap/>
            <w:vAlign w:val="center"/>
            <w:hideMark/>
          </w:tcPr>
          <w:p w:rsidRPr="00AE1B2B" w:rsidR="009D3FB5" w:rsidP="00163B94" w:rsidRDefault="009D3FB5" w14:paraId="50542B4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N°</w:t>
            </w:r>
          </w:p>
        </w:tc>
        <w:tc>
          <w:tcPr>
            <w:tcW w:w="996" w:type="pct"/>
            <w:shd w:val="clear" w:color="auto" w:fill="002060"/>
            <w:noWrap/>
            <w:vAlign w:val="center"/>
            <w:hideMark/>
          </w:tcPr>
          <w:p w:rsidRPr="00AE1B2B" w:rsidR="009D3FB5" w:rsidP="00163B94" w:rsidRDefault="009D3FB5" w14:paraId="480E0F8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Indicadores</w:t>
            </w:r>
          </w:p>
        </w:tc>
        <w:tc>
          <w:tcPr>
            <w:tcW w:w="3163" w:type="pct"/>
            <w:shd w:val="clear" w:color="auto" w:fill="002060"/>
            <w:noWrap/>
            <w:vAlign w:val="center"/>
            <w:hideMark/>
          </w:tcPr>
          <w:p w:rsidRPr="00AE1B2B" w:rsidR="009D3FB5" w:rsidP="00163B94" w:rsidRDefault="009D3FB5" w14:paraId="5E77613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Detalle</w:t>
            </w:r>
          </w:p>
        </w:tc>
      </w:tr>
      <w:tr w:rsidRPr="00AE1B2B" w:rsidR="00AE1B2B" w:rsidTr="0007105A" w14:paraId="6C86F311" w14:textId="77777777">
        <w:trPr>
          <w:cantSplit/>
          <w:trHeight w:val="1134"/>
          <w:jc w:val="center"/>
        </w:trPr>
        <w:tc>
          <w:tcPr>
            <w:tcW w:w="481" w:type="pct"/>
            <w:vMerge w:val="restart"/>
            <w:shd w:val="clear" w:color="auto" w:fill="DEE7FE"/>
            <w:textDirection w:val="btLr"/>
          </w:tcPr>
          <w:p w:rsidRPr="00AE1B2B" w:rsidR="009D3FB5" w:rsidP="00163B94" w:rsidRDefault="009D3FB5" w14:paraId="72C30C21" w14:textId="77777777">
            <w:pPr>
              <w:spacing w:before="120" w:after="120" w:line="276" w:lineRule="auto"/>
              <w:ind w:left="113" w:right="113"/>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Rendimiento Estadístico</w:t>
            </w:r>
          </w:p>
        </w:tc>
        <w:tc>
          <w:tcPr>
            <w:tcW w:w="360" w:type="pct"/>
            <w:shd w:val="clear" w:color="auto" w:fill="FFFFFF" w:themeFill="background1"/>
            <w:vAlign w:val="center"/>
            <w:hideMark/>
          </w:tcPr>
          <w:p w:rsidRPr="00AE1B2B" w:rsidR="009D3FB5" w:rsidP="00163B94" w:rsidRDefault="009D3FB5" w14:paraId="3FB54F3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w:t>
            </w:r>
          </w:p>
        </w:tc>
        <w:tc>
          <w:tcPr>
            <w:tcW w:w="996" w:type="pct"/>
            <w:shd w:val="clear" w:color="auto" w:fill="FFFFFF" w:themeFill="background1"/>
            <w:vAlign w:val="center"/>
            <w:hideMark/>
          </w:tcPr>
          <w:p w:rsidRPr="00AE1B2B" w:rsidR="009D3FB5" w:rsidP="00163B94" w:rsidRDefault="009D3FB5" w14:paraId="29ADBDBD"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Entrada total</w:t>
            </w:r>
          </w:p>
        </w:tc>
        <w:tc>
          <w:tcPr>
            <w:tcW w:w="3163" w:type="pct"/>
            <w:shd w:val="clear" w:color="auto" w:fill="auto"/>
            <w:vAlign w:val="center"/>
            <w:hideMark/>
          </w:tcPr>
          <w:p w:rsidRPr="00AE1B2B" w:rsidR="009D3FB5" w:rsidP="00163B94" w:rsidRDefault="009D3FB5" w14:paraId="0954C8B1"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Entrada total está conformada por el resultado de la sumatoria de la cantidad de asuntos nuevos ingresados y los casos reentrados en el mes.</w:t>
            </w:r>
          </w:p>
          <w:p w:rsidRPr="00AE1B2B" w:rsidR="009D3FB5" w:rsidP="00163B94" w:rsidRDefault="009D3FB5" w14:paraId="14A3D74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define del promedio del histórico del despacho del informe estadístico mensual de SIGMA.</w:t>
            </w:r>
          </w:p>
        </w:tc>
      </w:tr>
      <w:tr w:rsidRPr="00AE1B2B" w:rsidR="00AE1B2B" w:rsidTr="0007105A" w14:paraId="5A9C61DD" w14:textId="77777777">
        <w:trPr>
          <w:cantSplit/>
          <w:trHeight w:val="20"/>
          <w:jc w:val="center"/>
        </w:trPr>
        <w:tc>
          <w:tcPr>
            <w:tcW w:w="481" w:type="pct"/>
            <w:vMerge/>
            <w:shd w:val="clear" w:color="auto" w:fill="DEE7FE"/>
          </w:tcPr>
          <w:p w:rsidRPr="00AE1B2B" w:rsidR="009D3FB5" w:rsidP="00163B94" w:rsidRDefault="009D3FB5" w14:paraId="1027D46E"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FFFFFF" w:themeFill="background1"/>
            <w:vAlign w:val="center"/>
            <w:hideMark/>
          </w:tcPr>
          <w:p w:rsidRPr="00AE1B2B" w:rsidR="009D3FB5" w:rsidP="00163B94" w:rsidRDefault="009D3FB5" w14:paraId="630D402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w:t>
            </w:r>
          </w:p>
        </w:tc>
        <w:tc>
          <w:tcPr>
            <w:tcW w:w="996" w:type="pct"/>
            <w:shd w:val="clear" w:color="auto" w:fill="FFFFFF" w:themeFill="background1"/>
            <w:vAlign w:val="center"/>
            <w:hideMark/>
          </w:tcPr>
          <w:p w:rsidRPr="00AE1B2B" w:rsidR="009D3FB5" w:rsidP="00163B94" w:rsidRDefault="009D3FB5" w14:paraId="0E63CB6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Salida</w:t>
            </w:r>
          </w:p>
        </w:tc>
        <w:tc>
          <w:tcPr>
            <w:tcW w:w="3163" w:type="pct"/>
            <w:shd w:val="clear" w:color="auto" w:fill="auto"/>
            <w:vAlign w:val="center"/>
            <w:hideMark/>
          </w:tcPr>
          <w:p w:rsidRPr="00AE1B2B" w:rsidR="009D3FB5" w:rsidP="00163B94" w:rsidRDefault="009D3FB5" w14:paraId="257DF13A"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Salida Total</w:t>
            </w:r>
            <w:r w:rsidRPr="00AE1B2B">
              <w:rPr>
                <w:rFonts w:ascii="Times New Roman" w:hAnsi="Times New Roman" w:eastAsia="Calibri" w:cs="Times New Roman"/>
              </w:rPr>
              <w:t xml:space="preserve"> </w:t>
            </w:r>
            <w:r w:rsidRPr="00AE1B2B">
              <w:rPr>
                <w:rFonts w:ascii="Times New Roman" w:hAnsi="Times New Roman" w:eastAsia="Times New Roman" w:cs="Times New Roman"/>
                <w:lang w:eastAsia="es-CR"/>
              </w:rPr>
              <w:t xml:space="preserve">está conformada por el resultado de: </w:t>
            </w:r>
            <w:r w:rsidRPr="00AE1B2B">
              <w:rPr>
                <w:rFonts w:ascii="Times New Roman" w:hAnsi="Times New Roman" w:eastAsia="Times New Roman" w:cs="Times New Roman"/>
                <w:i/>
                <w:iCs/>
                <w:lang w:eastAsia="es-CR"/>
              </w:rPr>
              <w:t>Suma casos terminado + casos inactivos</w:t>
            </w:r>
          </w:p>
          <w:p w:rsidRPr="00AE1B2B" w:rsidR="009D3FB5" w:rsidP="00163B94" w:rsidRDefault="009D3FB5" w14:paraId="6B9BFF4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define del promedio del histórico del despacho del informe estadístico mensual de SIGMA.</w:t>
            </w:r>
          </w:p>
        </w:tc>
      </w:tr>
      <w:tr w:rsidRPr="00AE1B2B" w:rsidR="00AE1B2B" w:rsidTr="0007105A" w14:paraId="6FE5D18A" w14:textId="77777777">
        <w:trPr>
          <w:cantSplit/>
          <w:trHeight w:val="20"/>
          <w:jc w:val="center"/>
        </w:trPr>
        <w:tc>
          <w:tcPr>
            <w:tcW w:w="481" w:type="pct"/>
            <w:vMerge/>
            <w:shd w:val="clear" w:color="auto" w:fill="DEE7FE"/>
          </w:tcPr>
          <w:p w:rsidRPr="00AE1B2B" w:rsidR="009D3FB5" w:rsidP="00163B94" w:rsidRDefault="009D3FB5" w14:paraId="3C6341DD"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FFFFFF" w:themeFill="background1"/>
            <w:vAlign w:val="center"/>
            <w:hideMark/>
          </w:tcPr>
          <w:p w:rsidRPr="00AE1B2B" w:rsidR="009D3FB5" w:rsidP="00163B94" w:rsidRDefault="009D3FB5" w14:paraId="46E2885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w:t>
            </w:r>
          </w:p>
        </w:tc>
        <w:tc>
          <w:tcPr>
            <w:tcW w:w="996" w:type="pct"/>
            <w:shd w:val="clear" w:color="auto" w:fill="FFFFFF" w:themeFill="background1"/>
            <w:vAlign w:val="center"/>
            <w:hideMark/>
          </w:tcPr>
          <w:p w:rsidRPr="00AE1B2B" w:rsidR="009D3FB5" w:rsidP="00163B94" w:rsidRDefault="009D3FB5" w14:paraId="7B94346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Salida de casos por Conciliación</w:t>
            </w:r>
          </w:p>
        </w:tc>
        <w:tc>
          <w:tcPr>
            <w:tcW w:w="3163" w:type="pct"/>
            <w:shd w:val="clear" w:color="auto" w:fill="auto"/>
            <w:vAlign w:val="center"/>
            <w:hideMark/>
          </w:tcPr>
          <w:p w:rsidRPr="00AE1B2B" w:rsidR="009D3FB5" w:rsidP="00163B94" w:rsidRDefault="009D3FB5" w14:paraId="7FAB87B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Indicador que contabiliza la cantidad de terminados por conciliación.</w:t>
            </w:r>
          </w:p>
          <w:p w:rsidRPr="00AE1B2B" w:rsidR="009D3FB5" w:rsidP="00163B94" w:rsidRDefault="009D3FB5" w14:paraId="728192B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define del promedio del histórico del despacho del informe estadístico mensual de SIGMA.</w:t>
            </w:r>
          </w:p>
        </w:tc>
      </w:tr>
      <w:tr w:rsidRPr="00AE1B2B" w:rsidR="00AE1B2B" w:rsidTr="0007105A" w14:paraId="0D7E2B4E" w14:textId="77777777">
        <w:trPr>
          <w:cantSplit/>
          <w:trHeight w:val="20"/>
          <w:jc w:val="center"/>
        </w:trPr>
        <w:tc>
          <w:tcPr>
            <w:tcW w:w="481" w:type="pct"/>
            <w:vMerge/>
            <w:shd w:val="clear" w:color="auto" w:fill="DEE7FE"/>
          </w:tcPr>
          <w:p w:rsidRPr="00AE1B2B" w:rsidR="009D3FB5" w:rsidP="00163B94" w:rsidRDefault="009D3FB5" w14:paraId="5EA4865B"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FFFFFF" w:themeFill="background1"/>
            <w:vAlign w:val="center"/>
            <w:hideMark/>
          </w:tcPr>
          <w:p w:rsidRPr="00AE1B2B" w:rsidR="009D3FB5" w:rsidP="00163B94" w:rsidRDefault="009D3FB5" w14:paraId="68C3283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4</w:t>
            </w:r>
          </w:p>
        </w:tc>
        <w:tc>
          <w:tcPr>
            <w:tcW w:w="996" w:type="pct"/>
            <w:shd w:val="clear" w:color="auto" w:fill="FFFFFF" w:themeFill="background1"/>
            <w:vAlign w:val="center"/>
            <w:hideMark/>
          </w:tcPr>
          <w:p w:rsidRPr="00AE1B2B" w:rsidR="009D3FB5" w:rsidP="00163B94" w:rsidRDefault="009D3FB5" w14:paraId="21EA0FE2"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Circulante</w:t>
            </w:r>
          </w:p>
        </w:tc>
        <w:tc>
          <w:tcPr>
            <w:tcW w:w="3163" w:type="pct"/>
            <w:shd w:val="clear" w:color="auto" w:fill="auto"/>
            <w:vAlign w:val="center"/>
            <w:hideMark/>
          </w:tcPr>
          <w:p w:rsidRPr="00AE1B2B" w:rsidR="009D3FB5" w:rsidP="00163B94" w:rsidRDefault="009D3FB5" w14:paraId="2B702566"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Circulante: </w:t>
            </w:r>
            <w:r w:rsidRPr="00AE1B2B">
              <w:rPr>
                <w:rFonts w:ascii="Times New Roman" w:hAnsi="Times New Roman" w:eastAsia="Times New Roman" w:cs="Times New Roman"/>
                <w:i/>
                <w:iCs/>
                <w:lang w:eastAsia="es-CR"/>
              </w:rPr>
              <w:t>(Circulante Inicial + Entradas + Reentrados – Terminados -Inactivos)</w:t>
            </w:r>
          </w:p>
          <w:p w:rsidRPr="00AE1B2B" w:rsidR="009D3FB5" w:rsidP="00163B94" w:rsidRDefault="009D3FB5" w14:paraId="08577AC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El parámetro se define del circulante del despacho al momento del abordaje al despacho. </w:t>
            </w:r>
          </w:p>
          <w:p w:rsidRPr="00AE1B2B" w:rsidR="009D3FB5" w:rsidP="00163B94" w:rsidRDefault="009D3FB5" w14:paraId="1F0E953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indicador se subdivide en circulante en trámite y circulante en ejecución.</w:t>
            </w:r>
          </w:p>
        </w:tc>
      </w:tr>
      <w:tr w:rsidRPr="00AE1B2B" w:rsidR="00AE1B2B" w:rsidTr="0007105A" w14:paraId="55F4492C" w14:textId="77777777">
        <w:trPr>
          <w:cantSplit/>
          <w:trHeight w:val="20"/>
          <w:jc w:val="center"/>
        </w:trPr>
        <w:tc>
          <w:tcPr>
            <w:tcW w:w="481" w:type="pct"/>
            <w:vMerge/>
            <w:shd w:val="clear" w:color="auto" w:fill="DEE7FE"/>
          </w:tcPr>
          <w:p w:rsidRPr="00AE1B2B" w:rsidR="009D3FB5" w:rsidP="00163B94" w:rsidRDefault="009D3FB5" w14:paraId="3C501326"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auto"/>
            <w:vAlign w:val="center"/>
            <w:hideMark/>
          </w:tcPr>
          <w:p w:rsidRPr="00AE1B2B" w:rsidR="009D3FB5" w:rsidP="00163B94" w:rsidRDefault="009D3FB5" w14:paraId="66FB5B0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5</w:t>
            </w:r>
          </w:p>
        </w:tc>
        <w:tc>
          <w:tcPr>
            <w:tcW w:w="996" w:type="pct"/>
            <w:shd w:val="clear" w:color="auto" w:fill="auto"/>
            <w:vAlign w:val="center"/>
            <w:hideMark/>
          </w:tcPr>
          <w:p w:rsidRPr="00AE1B2B" w:rsidR="009D3FB5" w:rsidP="00163B94" w:rsidRDefault="009D3FB5" w14:paraId="53E07E5A"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Relación salida Total / entrada total </w:t>
            </w:r>
          </w:p>
        </w:tc>
        <w:tc>
          <w:tcPr>
            <w:tcW w:w="3163" w:type="pct"/>
            <w:shd w:val="clear" w:color="auto" w:fill="auto"/>
            <w:vAlign w:val="center"/>
            <w:hideMark/>
          </w:tcPr>
          <w:p w:rsidRPr="00AE1B2B" w:rsidR="009D3FB5" w:rsidP="00163B94" w:rsidRDefault="009D3FB5" w14:paraId="665C15DD"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Cálculo: </w:t>
            </w:r>
            <w:r w:rsidRPr="00AE1B2B">
              <w:rPr>
                <w:rFonts w:ascii="Times New Roman" w:hAnsi="Times New Roman" w:eastAsia="Times New Roman" w:cs="Times New Roman"/>
                <w:i/>
                <w:iCs/>
                <w:lang w:eastAsia="es-CR"/>
              </w:rPr>
              <w:t>(Salidas/ Entradas) *100</w:t>
            </w:r>
          </w:p>
          <w:p w:rsidRPr="00AE1B2B" w:rsidR="009D3FB5" w:rsidP="00163B94" w:rsidRDefault="009D3FB5" w14:paraId="75BFB0F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está definido en 90% a 100%</w:t>
            </w:r>
          </w:p>
        </w:tc>
      </w:tr>
      <w:tr w:rsidRPr="00AE1B2B" w:rsidR="00AE1B2B" w:rsidTr="0007105A" w14:paraId="10616A95" w14:textId="77777777">
        <w:trPr>
          <w:cantSplit/>
          <w:trHeight w:val="20"/>
          <w:jc w:val="center"/>
        </w:trPr>
        <w:tc>
          <w:tcPr>
            <w:tcW w:w="481" w:type="pct"/>
            <w:vMerge/>
            <w:shd w:val="clear" w:color="auto" w:fill="DEE7FE"/>
          </w:tcPr>
          <w:p w:rsidRPr="00AE1B2B" w:rsidR="009D3FB5" w:rsidP="00163B94" w:rsidRDefault="009D3FB5" w14:paraId="17A7F03C"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auto"/>
            <w:vAlign w:val="center"/>
            <w:hideMark/>
          </w:tcPr>
          <w:p w:rsidRPr="00AE1B2B" w:rsidR="009D3FB5" w:rsidP="00163B94" w:rsidRDefault="009D3FB5" w14:paraId="20B7D9B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6</w:t>
            </w:r>
          </w:p>
        </w:tc>
        <w:tc>
          <w:tcPr>
            <w:tcW w:w="996" w:type="pct"/>
            <w:shd w:val="clear" w:color="auto" w:fill="auto"/>
            <w:vAlign w:val="center"/>
            <w:hideMark/>
          </w:tcPr>
          <w:p w:rsidRPr="00AE1B2B" w:rsidR="009D3FB5" w:rsidP="00163B94" w:rsidRDefault="009D3FB5" w14:paraId="4827B92A"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Entrada Incidentes</w:t>
            </w:r>
          </w:p>
        </w:tc>
        <w:tc>
          <w:tcPr>
            <w:tcW w:w="3163" w:type="pct"/>
            <w:shd w:val="clear" w:color="auto" w:fill="auto"/>
            <w:vAlign w:val="center"/>
            <w:hideMark/>
          </w:tcPr>
          <w:p w:rsidRPr="00AE1B2B" w:rsidR="009D3FB5" w:rsidP="00163B94" w:rsidRDefault="009D3FB5" w14:paraId="36F753E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Indicador para medir la entrada total de incidentes.</w:t>
            </w:r>
          </w:p>
          <w:p w:rsidRPr="00AE1B2B" w:rsidR="009D3FB5" w:rsidP="00163B94" w:rsidRDefault="009D3FB5" w14:paraId="4959AD7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del promedio del histórico del despacho del informe estadístico mensual de SIGMA.</w:t>
            </w:r>
          </w:p>
        </w:tc>
      </w:tr>
      <w:tr w:rsidRPr="00AE1B2B" w:rsidR="00AE1B2B" w:rsidTr="0007105A" w14:paraId="273204EE" w14:textId="77777777">
        <w:trPr>
          <w:cantSplit/>
          <w:trHeight w:val="20"/>
          <w:jc w:val="center"/>
        </w:trPr>
        <w:tc>
          <w:tcPr>
            <w:tcW w:w="481" w:type="pct"/>
            <w:vMerge/>
            <w:shd w:val="clear" w:color="auto" w:fill="DEE7FE"/>
          </w:tcPr>
          <w:p w:rsidRPr="00AE1B2B" w:rsidR="009D3FB5" w:rsidP="00163B94" w:rsidRDefault="009D3FB5" w14:paraId="04428543"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auto"/>
            <w:vAlign w:val="center"/>
            <w:hideMark/>
          </w:tcPr>
          <w:p w:rsidRPr="00AE1B2B" w:rsidR="009D3FB5" w:rsidP="00163B94" w:rsidRDefault="009D3FB5" w14:paraId="06FF187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7</w:t>
            </w:r>
          </w:p>
        </w:tc>
        <w:tc>
          <w:tcPr>
            <w:tcW w:w="996" w:type="pct"/>
            <w:shd w:val="clear" w:color="auto" w:fill="auto"/>
            <w:vAlign w:val="center"/>
            <w:hideMark/>
          </w:tcPr>
          <w:p w:rsidRPr="00AE1B2B" w:rsidR="009D3FB5" w:rsidP="00163B94" w:rsidRDefault="009D3FB5" w14:paraId="035B08EB"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Salida Incidentes</w:t>
            </w:r>
          </w:p>
        </w:tc>
        <w:tc>
          <w:tcPr>
            <w:tcW w:w="3163" w:type="pct"/>
            <w:shd w:val="clear" w:color="auto" w:fill="auto"/>
            <w:vAlign w:val="center"/>
            <w:hideMark/>
          </w:tcPr>
          <w:p w:rsidRPr="00AE1B2B" w:rsidR="009D3FB5" w:rsidP="00163B94" w:rsidRDefault="009D3FB5" w14:paraId="5671D7D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Indicador para medir la salida total de incidentes.</w:t>
            </w:r>
          </w:p>
          <w:p w:rsidRPr="00AE1B2B" w:rsidR="009D3FB5" w:rsidP="00163B94" w:rsidRDefault="009D3FB5" w14:paraId="687337D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del promedio del histórico del despacho del informe estadístico mensual de SIGMA.</w:t>
            </w:r>
          </w:p>
        </w:tc>
      </w:tr>
      <w:tr w:rsidRPr="00AE1B2B" w:rsidR="00AE1B2B" w:rsidTr="0007105A" w14:paraId="4A489B5A" w14:textId="77777777">
        <w:trPr>
          <w:cantSplit/>
          <w:trHeight w:val="20"/>
          <w:jc w:val="center"/>
        </w:trPr>
        <w:tc>
          <w:tcPr>
            <w:tcW w:w="481" w:type="pct"/>
            <w:vMerge/>
            <w:shd w:val="clear" w:color="auto" w:fill="DEE7FE"/>
          </w:tcPr>
          <w:p w:rsidRPr="00AE1B2B" w:rsidR="009D3FB5" w:rsidP="00163B94" w:rsidRDefault="009D3FB5" w14:paraId="44F3DF6C"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auto"/>
            <w:vAlign w:val="center"/>
            <w:hideMark/>
          </w:tcPr>
          <w:p w:rsidRPr="00AE1B2B" w:rsidR="009D3FB5" w:rsidP="00163B94" w:rsidRDefault="009D3FB5" w14:paraId="5ACF1E9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8</w:t>
            </w:r>
          </w:p>
        </w:tc>
        <w:tc>
          <w:tcPr>
            <w:tcW w:w="996" w:type="pct"/>
            <w:shd w:val="clear" w:color="auto" w:fill="auto"/>
            <w:vAlign w:val="center"/>
            <w:hideMark/>
          </w:tcPr>
          <w:p w:rsidRPr="00AE1B2B" w:rsidR="009D3FB5" w:rsidP="00163B94" w:rsidRDefault="009D3FB5" w14:paraId="56D506A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Circulante Incidentes</w:t>
            </w:r>
          </w:p>
        </w:tc>
        <w:tc>
          <w:tcPr>
            <w:tcW w:w="3163" w:type="pct"/>
            <w:shd w:val="clear" w:color="auto" w:fill="auto"/>
            <w:vAlign w:val="center"/>
            <w:hideMark/>
          </w:tcPr>
          <w:p w:rsidRPr="00AE1B2B" w:rsidR="009D3FB5" w:rsidP="00163B94" w:rsidRDefault="009D3FB5" w14:paraId="456C39C9"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Indicador para circulante: </w:t>
            </w:r>
            <w:r w:rsidRPr="00AE1B2B">
              <w:rPr>
                <w:rFonts w:ascii="Times New Roman" w:hAnsi="Times New Roman" w:eastAsia="Times New Roman" w:cs="Times New Roman"/>
                <w:i/>
                <w:iCs/>
                <w:lang w:eastAsia="es-CR"/>
              </w:rPr>
              <w:t>(Circulante Inicial + Entradas – Terminados)</w:t>
            </w:r>
          </w:p>
          <w:p w:rsidRPr="00AE1B2B" w:rsidR="009D3FB5" w:rsidP="00163B94" w:rsidRDefault="009D3FB5" w14:paraId="63F1B20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El parámetro se obtiene del circulante del despacho al momento del abordaje al despacho. </w:t>
            </w:r>
          </w:p>
        </w:tc>
      </w:tr>
      <w:tr w:rsidRPr="00AE1B2B" w:rsidR="00AE1B2B" w:rsidTr="0007105A" w14:paraId="251E920A" w14:textId="77777777">
        <w:trPr>
          <w:cantSplit/>
          <w:trHeight w:val="20"/>
          <w:jc w:val="center"/>
        </w:trPr>
        <w:tc>
          <w:tcPr>
            <w:tcW w:w="481" w:type="pct"/>
            <w:vMerge/>
            <w:shd w:val="clear" w:color="auto" w:fill="DEE7FE"/>
          </w:tcPr>
          <w:p w:rsidRPr="00AE1B2B" w:rsidR="009D3FB5" w:rsidP="00163B94" w:rsidRDefault="009D3FB5" w14:paraId="5E7CA47C"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auto"/>
            <w:vAlign w:val="center"/>
            <w:hideMark/>
          </w:tcPr>
          <w:p w:rsidRPr="00AE1B2B" w:rsidR="009D3FB5" w:rsidP="00163B94" w:rsidRDefault="009D3FB5" w14:paraId="6EBF0C4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9</w:t>
            </w:r>
          </w:p>
        </w:tc>
        <w:tc>
          <w:tcPr>
            <w:tcW w:w="996" w:type="pct"/>
            <w:shd w:val="clear" w:color="auto" w:fill="auto"/>
            <w:vAlign w:val="center"/>
            <w:hideMark/>
          </w:tcPr>
          <w:p w:rsidRPr="00AE1B2B" w:rsidR="009D3FB5" w:rsidP="00163B94" w:rsidRDefault="009D3FB5" w14:paraId="3245DFF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Relación salida Total / entrada total Incidentes</w:t>
            </w:r>
          </w:p>
        </w:tc>
        <w:tc>
          <w:tcPr>
            <w:tcW w:w="3163" w:type="pct"/>
            <w:shd w:val="clear" w:color="auto" w:fill="auto"/>
            <w:vAlign w:val="center"/>
            <w:hideMark/>
          </w:tcPr>
          <w:p w:rsidRPr="00AE1B2B" w:rsidR="009D3FB5" w:rsidP="00163B94" w:rsidRDefault="009D3FB5" w14:paraId="3DAE1C83"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(Salidas/ Entradas) *100</w:t>
            </w:r>
          </w:p>
          <w:p w:rsidRPr="00AE1B2B" w:rsidR="009D3FB5" w:rsidP="00163B94" w:rsidRDefault="009D3FB5" w14:paraId="5B88AB4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está definido en 90% a 100%</w:t>
            </w:r>
          </w:p>
        </w:tc>
      </w:tr>
      <w:tr w:rsidRPr="00AE1B2B" w:rsidR="00AE1B2B" w:rsidTr="0007105A" w14:paraId="50F04E82" w14:textId="77777777">
        <w:trPr>
          <w:cantSplit/>
          <w:trHeight w:val="20"/>
          <w:jc w:val="center"/>
        </w:trPr>
        <w:tc>
          <w:tcPr>
            <w:tcW w:w="481" w:type="pct"/>
            <w:vMerge/>
            <w:shd w:val="clear" w:color="auto" w:fill="DEE7FE"/>
          </w:tcPr>
          <w:p w:rsidRPr="00AE1B2B" w:rsidR="009D3FB5" w:rsidP="00163B94" w:rsidRDefault="009D3FB5" w14:paraId="20D550AB"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FFFFFF" w:themeFill="background1"/>
            <w:vAlign w:val="center"/>
            <w:hideMark/>
          </w:tcPr>
          <w:p w:rsidRPr="00AE1B2B" w:rsidR="009D3FB5" w:rsidP="00163B94" w:rsidRDefault="009D3FB5" w14:paraId="32846B1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10</w:t>
            </w:r>
          </w:p>
        </w:tc>
        <w:tc>
          <w:tcPr>
            <w:tcW w:w="996" w:type="pct"/>
            <w:shd w:val="clear" w:color="auto" w:fill="FFFFFF" w:themeFill="background1"/>
            <w:vAlign w:val="center"/>
            <w:hideMark/>
          </w:tcPr>
          <w:p w:rsidRPr="00AE1B2B" w:rsidR="009D3FB5" w:rsidP="00163B94" w:rsidRDefault="009D3FB5" w14:paraId="1D0D295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Entrada Segunda Instancia</w:t>
            </w:r>
          </w:p>
        </w:tc>
        <w:tc>
          <w:tcPr>
            <w:tcW w:w="3163" w:type="pct"/>
            <w:shd w:val="clear" w:color="auto" w:fill="auto"/>
            <w:vAlign w:val="center"/>
            <w:hideMark/>
          </w:tcPr>
          <w:p w:rsidRPr="00AE1B2B" w:rsidR="009D3FB5" w:rsidP="00163B94" w:rsidRDefault="009D3FB5" w14:paraId="1CF71212"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La entrada total de Segunda Instancia.</w:t>
            </w:r>
          </w:p>
          <w:p w:rsidRPr="00AE1B2B" w:rsidR="009D3FB5" w:rsidP="00163B94" w:rsidRDefault="009D3FB5" w14:paraId="4D7D09D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Estos datos se obtienen del informe estadístico mensual Segunda Instancia de SIGMA. </w:t>
            </w:r>
          </w:p>
        </w:tc>
      </w:tr>
      <w:tr w:rsidRPr="00AE1B2B" w:rsidR="00AE1B2B" w:rsidTr="0007105A" w14:paraId="11640414" w14:textId="77777777">
        <w:trPr>
          <w:cantSplit/>
          <w:trHeight w:val="20"/>
          <w:jc w:val="center"/>
        </w:trPr>
        <w:tc>
          <w:tcPr>
            <w:tcW w:w="481" w:type="pct"/>
            <w:vMerge/>
            <w:shd w:val="clear" w:color="auto" w:fill="DEE7FE"/>
          </w:tcPr>
          <w:p w:rsidRPr="00AE1B2B" w:rsidR="009D3FB5" w:rsidP="00163B94" w:rsidRDefault="009D3FB5" w14:paraId="2E00A84B"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FFFFFF" w:themeFill="background1"/>
            <w:vAlign w:val="center"/>
            <w:hideMark/>
          </w:tcPr>
          <w:p w:rsidRPr="00AE1B2B" w:rsidR="009D3FB5" w:rsidP="00163B94" w:rsidRDefault="009D3FB5" w14:paraId="6A4521A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11</w:t>
            </w:r>
          </w:p>
        </w:tc>
        <w:tc>
          <w:tcPr>
            <w:tcW w:w="996" w:type="pct"/>
            <w:shd w:val="clear" w:color="auto" w:fill="FFFFFF" w:themeFill="background1"/>
            <w:vAlign w:val="center"/>
            <w:hideMark/>
          </w:tcPr>
          <w:p w:rsidRPr="00AE1B2B" w:rsidR="009D3FB5" w:rsidP="00163B94" w:rsidRDefault="009D3FB5" w14:paraId="79281C4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Salida Segunda Instancia</w:t>
            </w:r>
          </w:p>
        </w:tc>
        <w:tc>
          <w:tcPr>
            <w:tcW w:w="3163" w:type="pct"/>
            <w:shd w:val="clear" w:color="auto" w:fill="auto"/>
            <w:vAlign w:val="center"/>
            <w:hideMark/>
          </w:tcPr>
          <w:p w:rsidRPr="00AE1B2B" w:rsidR="009D3FB5" w:rsidP="00163B94" w:rsidRDefault="009D3FB5" w14:paraId="12D1436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La cantidad de terminado total de Segunda Instancia.</w:t>
            </w:r>
          </w:p>
          <w:p w:rsidRPr="00AE1B2B" w:rsidR="009D3FB5" w:rsidP="00163B94" w:rsidRDefault="009D3FB5" w14:paraId="0114AE0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Estos datos se obtienen del informe estadístico mensual Segunda Instancia de SIGMA. </w:t>
            </w:r>
          </w:p>
        </w:tc>
      </w:tr>
      <w:tr w:rsidRPr="00AE1B2B" w:rsidR="00AE1B2B" w:rsidTr="0007105A" w14:paraId="763E46E6" w14:textId="77777777">
        <w:trPr>
          <w:cantSplit/>
          <w:trHeight w:val="20"/>
          <w:jc w:val="center"/>
        </w:trPr>
        <w:tc>
          <w:tcPr>
            <w:tcW w:w="481" w:type="pct"/>
            <w:vMerge/>
            <w:shd w:val="clear" w:color="auto" w:fill="DEE7FE"/>
          </w:tcPr>
          <w:p w:rsidRPr="00AE1B2B" w:rsidR="009D3FB5" w:rsidP="00163B94" w:rsidRDefault="009D3FB5" w14:paraId="44FD3115"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FFFFFF" w:themeFill="background1"/>
            <w:vAlign w:val="center"/>
            <w:hideMark/>
          </w:tcPr>
          <w:p w:rsidRPr="00AE1B2B" w:rsidR="009D3FB5" w:rsidP="00163B94" w:rsidRDefault="009D3FB5" w14:paraId="4050D25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12</w:t>
            </w:r>
          </w:p>
        </w:tc>
        <w:tc>
          <w:tcPr>
            <w:tcW w:w="996" w:type="pct"/>
            <w:shd w:val="clear" w:color="auto" w:fill="FFFFFF" w:themeFill="background1"/>
            <w:vAlign w:val="center"/>
            <w:hideMark/>
          </w:tcPr>
          <w:p w:rsidRPr="00AE1B2B" w:rsidR="009D3FB5" w:rsidP="00163B94" w:rsidRDefault="009D3FB5" w14:paraId="77A28F1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Circulante Segunda Instancia</w:t>
            </w:r>
          </w:p>
        </w:tc>
        <w:tc>
          <w:tcPr>
            <w:tcW w:w="3163" w:type="pct"/>
            <w:shd w:val="clear" w:color="auto" w:fill="auto"/>
            <w:vAlign w:val="center"/>
            <w:hideMark/>
          </w:tcPr>
          <w:p w:rsidRPr="00AE1B2B" w:rsidR="009D3FB5" w:rsidP="00163B94" w:rsidRDefault="009D3FB5" w14:paraId="3257B793"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La cantidad de circulante de segunda instancia: </w:t>
            </w:r>
            <w:r w:rsidRPr="00AE1B2B">
              <w:rPr>
                <w:rFonts w:ascii="Times New Roman" w:hAnsi="Times New Roman" w:eastAsia="Times New Roman" w:cs="Times New Roman"/>
                <w:lang w:eastAsia="es-CR"/>
              </w:rPr>
              <w:br/>
            </w:r>
            <w:r w:rsidRPr="00AE1B2B">
              <w:rPr>
                <w:rFonts w:ascii="Times New Roman" w:hAnsi="Times New Roman" w:eastAsia="Times New Roman" w:cs="Times New Roman"/>
                <w:i/>
                <w:iCs/>
                <w:lang w:eastAsia="es-CR"/>
              </w:rPr>
              <w:t>(Circulante Inicial + Entradas - Total Terminados).</w:t>
            </w:r>
          </w:p>
          <w:p w:rsidRPr="00AE1B2B" w:rsidR="009D3FB5" w:rsidP="00163B94" w:rsidRDefault="009D3FB5" w14:paraId="6A2A5CF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Estos datos se obtienen del informe estadístico mensual Segunda Instancia de SIGMA. </w:t>
            </w:r>
          </w:p>
        </w:tc>
      </w:tr>
      <w:tr w:rsidRPr="00AE1B2B" w:rsidR="00AE1B2B" w:rsidTr="0007105A" w14:paraId="241E7918" w14:textId="77777777">
        <w:trPr>
          <w:cantSplit/>
          <w:trHeight w:val="20"/>
          <w:jc w:val="center"/>
        </w:trPr>
        <w:tc>
          <w:tcPr>
            <w:tcW w:w="481" w:type="pct"/>
            <w:vMerge/>
            <w:shd w:val="clear" w:color="auto" w:fill="DEE7FE"/>
          </w:tcPr>
          <w:p w:rsidRPr="00AE1B2B" w:rsidR="009D3FB5" w:rsidP="00163B94" w:rsidRDefault="009D3FB5" w14:paraId="4E32E276"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auto"/>
            <w:vAlign w:val="center"/>
            <w:hideMark/>
          </w:tcPr>
          <w:p w:rsidRPr="00AE1B2B" w:rsidR="009D3FB5" w:rsidP="00163B94" w:rsidRDefault="009D3FB5" w14:paraId="11269AE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13</w:t>
            </w:r>
          </w:p>
        </w:tc>
        <w:tc>
          <w:tcPr>
            <w:tcW w:w="996" w:type="pct"/>
            <w:shd w:val="clear" w:color="auto" w:fill="auto"/>
            <w:vAlign w:val="center"/>
            <w:hideMark/>
          </w:tcPr>
          <w:p w:rsidRPr="00AE1B2B" w:rsidR="009D3FB5" w:rsidP="00163B94" w:rsidRDefault="009D3FB5" w14:paraId="1111D8E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Relación salida Total / entrada total Segunda Instancia</w:t>
            </w:r>
          </w:p>
        </w:tc>
        <w:tc>
          <w:tcPr>
            <w:tcW w:w="3163" w:type="pct"/>
            <w:shd w:val="clear" w:color="auto" w:fill="auto"/>
            <w:vAlign w:val="center"/>
            <w:hideMark/>
          </w:tcPr>
          <w:p w:rsidRPr="00AE1B2B" w:rsidR="009D3FB5" w:rsidP="00163B94" w:rsidRDefault="009D3FB5" w14:paraId="74B9E95B"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(Salidas/ Entradas) *100</w:t>
            </w:r>
          </w:p>
          <w:p w:rsidRPr="00AE1B2B" w:rsidR="009D3FB5" w:rsidP="00163B94" w:rsidRDefault="009D3FB5" w14:paraId="1B3A3C0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se calcula con los datos de entradas y salidas de Segunda Instancia del informe mensual de estadística.</w:t>
            </w:r>
          </w:p>
        </w:tc>
      </w:tr>
      <w:tr w:rsidRPr="00AE1B2B" w:rsidR="00AE1B2B" w:rsidTr="0007105A" w14:paraId="602A35EC" w14:textId="77777777">
        <w:trPr>
          <w:cantSplit/>
          <w:trHeight w:val="1134"/>
          <w:jc w:val="center"/>
        </w:trPr>
        <w:tc>
          <w:tcPr>
            <w:tcW w:w="481" w:type="pct"/>
            <w:vMerge w:val="restart"/>
            <w:shd w:val="clear" w:color="auto" w:fill="EDEDED" w:themeFill="accent3" w:themeFillTint="33"/>
            <w:textDirection w:val="btLr"/>
          </w:tcPr>
          <w:p w:rsidRPr="00AE1B2B" w:rsidR="009D3FB5" w:rsidP="00163B94" w:rsidRDefault="009D3FB5" w14:paraId="4018544D" w14:textId="77777777">
            <w:pPr>
              <w:spacing w:before="120" w:after="120" w:line="276" w:lineRule="auto"/>
              <w:ind w:left="113" w:right="113"/>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Plazos</w:t>
            </w:r>
          </w:p>
        </w:tc>
        <w:tc>
          <w:tcPr>
            <w:tcW w:w="360" w:type="pct"/>
            <w:shd w:val="clear" w:color="auto" w:fill="FFFFFF" w:themeFill="background1"/>
            <w:vAlign w:val="center"/>
            <w:hideMark/>
          </w:tcPr>
          <w:p w:rsidRPr="00AE1B2B" w:rsidR="009D3FB5" w:rsidP="00163B94" w:rsidRDefault="009D3FB5" w14:paraId="0066EBD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14</w:t>
            </w:r>
          </w:p>
        </w:tc>
        <w:tc>
          <w:tcPr>
            <w:tcW w:w="996" w:type="pct"/>
            <w:shd w:val="clear" w:color="auto" w:fill="FFFFFF" w:themeFill="background1"/>
            <w:vAlign w:val="center"/>
            <w:hideMark/>
          </w:tcPr>
          <w:p w:rsidRPr="00AE1B2B" w:rsidR="009D3FB5" w:rsidP="00163B94" w:rsidRDefault="009D3FB5" w14:paraId="0773214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espera de dictado de sentencia</w:t>
            </w:r>
          </w:p>
        </w:tc>
        <w:tc>
          <w:tcPr>
            <w:tcW w:w="3163" w:type="pct"/>
            <w:shd w:val="clear" w:color="auto" w:fill="auto"/>
            <w:vAlign w:val="center"/>
            <w:hideMark/>
          </w:tcPr>
          <w:p w:rsidRPr="00AE1B2B" w:rsidR="009D3FB5" w:rsidP="00163B94" w:rsidRDefault="009D3FB5" w14:paraId="66CF7548"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Este indicador cuenta con dos mediciones, se separa por materia Familia y Segunda Instancia de Pensiones Alimentaria. Se calcula: </w:t>
            </w:r>
            <w:r w:rsidRPr="00AE1B2B">
              <w:rPr>
                <w:rFonts w:ascii="Times New Roman" w:hAnsi="Times New Roman" w:eastAsia="Times New Roman" w:cs="Times New Roman"/>
                <w:i/>
                <w:iCs/>
                <w:lang w:eastAsia="es-CR"/>
              </w:rPr>
              <w:t>(Fecha actual - fecha del expediente más antiguo pendiente de fallar)</w:t>
            </w:r>
          </w:p>
          <w:p w:rsidRPr="00AE1B2B" w:rsidR="009D3FB5" w:rsidP="00163B94" w:rsidRDefault="009D3FB5" w14:paraId="3FD33BF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es la fecha del expediente más antiguo pendiente de fallo registrada en el despacho, se obtiene del libro de pase a fallo y Módulo de pase a fallo del Escritorio Virtual.</w:t>
            </w:r>
          </w:p>
          <w:p w:rsidRPr="00AE1B2B" w:rsidR="009D3FB5" w:rsidP="00163B94" w:rsidRDefault="009D3FB5" w14:paraId="25B1389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establecido es el plazo mayor de ley, en este caso el otorgado al proceso ordinario de Familia que corresponde a un mes, 30 días hábiles; 35&gt;; &lt;=30.</w:t>
            </w:r>
          </w:p>
          <w:p w:rsidRPr="00AE1B2B" w:rsidR="009D3FB5" w:rsidP="00163B94" w:rsidRDefault="009D3FB5" w14:paraId="1AD4F75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detalle de los plazos de la legislación actual es:</w:t>
            </w:r>
          </w:p>
          <w:p w:rsidRPr="00AE1B2B" w:rsidR="009D3FB5" w:rsidP="00163B94" w:rsidRDefault="009D3FB5" w14:paraId="77216918" w14:textId="77777777">
            <w:pPr>
              <w:pStyle w:val="Textocomentario"/>
              <w:numPr>
                <w:ilvl w:val="0"/>
                <w:numId w:val="66"/>
              </w:numPr>
              <w:spacing w:before="120" w:after="120" w:line="276" w:lineRule="auto"/>
              <w:ind w:left="0" w:firstLine="0"/>
              <w:jc w:val="both"/>
              <w:rPr>
                <w:sz w:val="22"/>
                <w:szCs w:val="22"/>
                <w:lang w:eastAsia="es-CR"/>
              </w:rPr>
            </w:pPr>
            <w:r w:rsidRPr="00AE1B2B">
              <w:rPr>
                <w:sz w:val="22"/>
                <w:szCs w:val="22"/>
                <w:lang w:eastAsia="es-CR"/>
              </w:rPr>
              <w:t>Ordinario: 1 mes</w:t>
            </w:r>
          </w:p>
          <w:p w:rsidRPr="00AE1B2B" w:rsidR="009D3FB5" w:rsidP="00163B94" w:rsidRDefault="009D3FB5" w14:paraId="57C9A92A" w14:textId="77777777">
            <w:pPr>
              <w:pStyle w:val="Textocomentario"/>
              <w:numPr>
                <w:ilvl w:val="0"/>
                <w:numId w:val="66"/>
              </w:numPr>
              <w:spacing w:before="120" w:after="120" w:line="276" w:lineRule="auto"/>
              <w:ind w:left="0" w:firstLine="0"/>
              <w:jc w:val="both"/>
              <w:rPr>
                <w:sz w:val="22"/>
                <w:szCs w:val="22"/>
                <w:lang w:eastAsia="es-CR"/>
              </w:rPr>
            </w:pPr>
            <w:r w:rsidRPr="00AE1B2B">
              <w:rPr>
                <w:sz w:val="22"/>
                <w:szCs w:val="22"/>
                <w:lang w:eastAsia="es-CR"/>
              </w:rPr>
              <w:t>Mutuo Consentimiento: 10 días</w:t>
            </w:r>
          </w:p>
          <w:p w:rsidRPr="00AE1B2B" w:rsidR="009D3FB5" w:rsidP="00163B94" w:rsidRDefault="009D3FB5" w14:paraId="6E6B9C60" w14:textId="77777777">
            <w:pPr>
              <w:pStyle w:val="Textocomentario"/>
              <w:numPr>
                <w:ilvl w:val="0"/>
                <w:numId w:val="66"/>
              </w:numPr>
              <w:spacing w:before="120" w:after="120" w:line="276" w:lineRule="auto"/>
              <w:ind w:left="0" w:firstLine="0"/>
              <w:jc w:val="both"/>
              <w:rPr>
                <w:sz w:val="22"/>
                <w:szCs w:val="22"/>
                <w:lang w:eastAsia="es-CR"/>
              </w:rPr>
            </w:pPr>
            <w:r w:rsidRPr="00AE1B2B">
              <w:rPr>
                <w:sz w:val="22"/>
                <w:szCs w:val="22"/>
                <w:lang w:eastAsia="es-CR"/>
              </w:rPr>
              <w:t>Abreviado: 15 días.</w:t>
            </w:r>
          </w:p>
          <w:p w:rsidRPr="00AE1B2B" w:rsidR="009D3FB5" w:rsidP="00163B94" w:rsidRDefault="009D3FB5" w14:paraId="315B1333" w14:textId="77777777">
            <w:pPr>
              <w:pStyle w:val="Textocomentario"/>
              <w:numPr>
                <w:ilvl w:val="0"/>
                <w:numId w:val="66"/>
              </w:numPr>
              <w:spacing w:before="120" w:after="120" w:line="276" w:lineRule="auto"/>
              <w:ind w:left="0" w:firstLine="0"/>
              <w:jc w:val="both"/>
              <w:rPr>
                <w:sz w:val="22"/>
                <w:szCs w:val="22"/>
                <w:lang w:eastAsia="es-CR"/>
              </w:rPr>
            </w:pPr>
            <w:r w:rsidRPr="00AE1B2B">
              <w:rPr>
                <w:sz w:val="22"/>
                <w:szCs w:val="22"/>
                <w:lang w:eastAsia="es-CR"/>
              </w:rPr>
              <w:t>Sumario 10 días</w:t>
            </w:r>
          </w:p>
          <w:p w:rsidRPr="00AE1B2B" w:rsidR="009D3FB5" w:rsidP="00163B94" w:rsidRDefault="009D3FB5" w14:paraId="0DFC5CFA" w14:textId="77777777">
            <w:pPr>
              <w:pStyle w:val="Textocomentario"/>
              <w:numPr>
                <w:ilvl w:val="0"/>
                <w:numId w:val="66"/>
              </w:numPr>
              <w:spacing w:before="120" w:after="120" w:line="276" w:lineRule="auto"/>
              <w:ind w:left="0" w:firstLine="0"/>
              <w:jc w:val="both"/>
              <w:rPr>
                <w:sz w:val="22"/>
                <w:szCs w:val="22"/>
                <w:lang w:eastAsia="es-CR"/>
              </w:rPr>
            </w:pPr>
            <w:r w:rsidRPr="00AE1B2B">
              <w:rPr>
                <w:sz w:val="22"/>
                <w:szCs w:val="22"/>
                <w:lang w:eastAsia="es-CR"/>
              </w:rPr>
              <w:t>Especiales: 5 días.</w:t>
            </w:r>
          </w:p>
          <w:p w:rsidRPr="00AE1B2B" w:rsidR="009D3FB5" w:rsidP="00163B94" w:rsidRDefault="009D3FB5" w14:paraId="2587A74F" w14:textId="77777777">
            <w:pPr>
              <w:pStyle w:val="Textocomentario"/>
              <w:spacing w:before="120" w:after="120" w:line="276" w:lineRule="auto"/>
              <w:rPr>
                <w:sz w:val="22"/>
                <w:szCs w:val="22"/>
                <w:lang w:eastAsia="es-CR"/>
              </w:rPr>
            </w:pPr>
            <w:r w:rsidRPr="00AE1B2B">
              <w:rPr>
                <w:sz w:val="22"/>
                <w:szCs w:val="22"/>
                <w:lang w:eastAsia="es-CR"/>
              </w:rPr>
              <w:t xml:space="preserve">Y en segunda instancia de 8 -9 días. </w:t>
            </w:r>
          </w:p>
        </w:tc>
      </w:tr>
      <w:tr w:rsidRPr="00AE1B2B" w:rsidR="00AE1B2B" w:rsidTr="0007105A" w14:paraId="7DEC2E53" w14:textId="77777777">
        <w:trPr>
          <w:cantSplit/>
          <w:trHeight w:val="20"/>
          <w:jc w:val="center"/>
        </w:trPr>
        <w:tc>
          <w:tcPr>
            <w:tcW w:w="481" w:type="pct"/>
            <w:vMerge/>
            <w:shd w:val="clear" w:color="auto" w:fill="EDEDED" w:themeFill="accent3" w:themeFillTint="33"/>
          </w:tcPr>
          <w:p w:rsidRPr="00AE1B2B" w:rsidR="009D3FB5" w:rsidP="00163B94" w:rsidRDefault="009D3FB5" w14:paraId="4E638FBA"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FFFFFF" w:themeFill="background1"/>
            <w:vAlign w:val="center"/>
            <w:hideMark/>
          </w:tcPr>
          <w:p w:rsidRPr="00AE1B2B" w:rsidR="009D3FB5" w:rsidP="00163B94" w:rsidRDefault="009D3FB5" w14:paraId="5C8DA91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15</w:t>
            </w:r>
          </w:p>
        </w:tc>
        <w:tc>
          <w:tcPr>
            <w:tcW w:w="996" w:type="pct"/>
            <w:shd w:val="clear" w:color="auto" w:fill="FFFFFF" w:themeFill="background1"/>
            <w:vAlign w:val="center"/>
            <w:hideMark/>
          </w:tcPr>
          <w:p w:rsidRPr="00AE1B2B" w:rsidR="009D3FB5" w:rsidP="00163B94" w:rsidRDefault="009D3FB5" w14:paraId="419D8F82"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espera para realización de señalamientos</w:t>
            </w:r>
          </w:p>
        </w:tc>
        <w:tc>
          <w:tcPr>
            <w:tcW w:w="3163" w:type="pct"/>
            <w:shd w:val="clear" w:color="auto" w:fill="auto"/>
            <w:vAlign w:val="center"/>
            <w:hideMark/>
          </w:tcPr>
          <w:p w:rsidRPr="00AE1B2B" w:rsidR="009D3FB5" w:rsidP="00163B94" w:rsidRDefault="009D3FB5" w14:paraId="54973D20"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(Fecha del ultimo señalamiento de audiencia - fecha actual)</w:t>
            </w:r>
          </w:p>
          <w:p w:rsidRPr="00AE1B2B" w:rsidR="009D3FB5" w:rsidP="00163B94" w:rsidRDefault="009D3FB5" w14:paraId="4910D8B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Agenda Cronos, en “Buscar Apuntes”, búsqueda por criterio por rango de fecha y se obtiene el último señalamiento a Audiencia.</w:t>
            </w:r>
          </w:p>
          <w:p w:rsidRPr="00AE1B2B" w:rsidR="009D3FB5" w:rsidP="00163B94" w:rsidRDefault="009D3FB5" w14:paraId="26574B3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al momento del abordaje.</w:t>
            </w:r>
          </w:p>
        </w:tc>
      </w:tr>
      <w:tr w:rsidRPr="00AE1B2B" w:rsidR="00AE1B2B" w:rsidTr="0007105A" w14:paraId="064D7CD3" w14:textId="77777777">
        <w:trPr>
          <w:cantSplit/>
          <w:trHeight w:val="20"/>
          <w:jc w:val="center"/>
        </w:trPr>
        <w:tc>
          <w:tcPr>
            <w:tcW w:w="481" w:type="pct"/>
            <w:vMerge/>
            <w:shd w:val="clear" w:color="auto" w:fill="EDEDED" w:themeFill="accent3" w:themeFillTint="33"/>
          </w:tcPr>
          <w:p w:rsidRPr="00AE1B2B" w:rsidR="009D3FB5" w:rsidP="00163B94" w:rsidRDefault="009D3FB5" w14:paraId="68BA27B4"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FFFFFF" w:themeFill="background1"/>
            <w:vAlign w:val="center"/>
            <w:hideMark/>
          </w:tcPr>
          <w:p w:rsidRPr="00AE1B2B" w:rsidR="009D3FB5" w:rsidP="00163B94" w:rsidRDefault="009D3FB5" w14:paraId="4892007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16</w:t>
            </w:r>
          </w:p>
        </w:tc>
        <w:tc>
          <w:tcPr>
            <w:tcW w:w="996" w:type="pct"/>
            <w:shd w:val="clear" w:color="auto" w:fill="FFFFFF" w:themeFill="background1"/>
            <w:vAlign w:val="center"/>
            <w:hideMark/>
          </w:tcPr>
          <w:p w:rsidRPr="00AE1B2B" w:rsidR="009D3FB5" w:rsidP="00163B94" w:rsidRDefault="009D3FB5" w14:paraId="24292B3A"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para resolver demandas nuevas</w:t>
            </w:r>
          </w:p>
        </w:tc>
        <w:tc>
          <w:tcPr>
            <w:tcW w:w="3163" w:type="pct"/>
            <w:shd w:val="clear" w:color="auto" w:fill="auto"/>
            <w:vAlign w:val="center"/>
            <w:hideMark/>
          </w:tcPr>
          <w:p w:rsidRPr="00AE1B2B" w:rsidR="009D3FB5" w:rsidP="00163B94" w:rsidRDefault="009D3FB5" w14:paraId="5A6C20EB"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(Fecha actual - fecha de la demanda más antigua pendiente de la primera resolución)</w:t>
            </w:r>
          </w:p>
          <w:p w:rsidRPr="00AE1B2B" w:rsidR="009D3FB5" w:rsidP="00163B94" w:rsidRDefault="009D3FB5" w14:paraId="0137B0D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p w:rsidRPr="00AE1B2B" w:rsidR="009D3FB5" w:rsidP="00163B94" w:rsidRDefault="009D3FB5" w14:paraId="5087D6E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corresponde al implementado en los despachos rediseñados “&gt;14; &lt;=28”</w:t>
            </w:r>
          </w:p>
        </w:tc>
      </w:tr>
      <w:tr w:rsidRPr="00AE1B2B" w:rsidR="00AE1B2B" w:rsidTr="0007105A" w14:paraId="35C35478" w14:textId="77777777">
        <w:trPr>
          <w:cantSplit/>
          <w:trHeight w:val="20"/>
          <w:jc w:val="center"/>
        </w:trPr>
        <w:tc>
          <w:tcPr>
            <w:tcW w:w="481" w:type="pct"/>
            <w:vMerge/>
            <w:shd w:val="clear" w:color="auto" w:fill="EDEDED" w:themeFill="accent3" w:themeFillTint="33"/>
          </w:tcPr>
          <w:p w:rsidRPr="00AE1B2B" w:rsidR="009D3FB5" w:rsidP="00163B94" w:rsidRDefault="009D3FB5" w14:paraId="65BA5C1A" w14:textId="77777777">
            <w:pPr>
              <w:spacing w:before="120" w:after="120" w:line="276" w:lineRule="auto"/>
              <w:jc w:val="center"/>
              <w:rPr>
                <w:rFonts w:ascii="Times New Roman" w:hAnsi="Times New Roman" w:eastAsia="Times New Roman" w:cs="Times New Roman"/>
                <w:b/>
                <w:bCs/>
                <w:lang w:eastAsia="es-CR"/>
              </w:rPr>
            </w:pPr>
          </w:p>
        </w:tc>
        <w:tc>
          <w:tcPr>
            <w:tcW w:w="360" w:type="pct"/>
            <w:vMerge w:val="restart"/>
            <w:shd w:val="clear" w:color="auto" w:fill="FFFFFF" w:themeFill="background1"/>
            <w:vAlign w:val="center"/>
            <w:hideMark/>
          </w:tcPr>
          <w:p w:rsidRPr="00AE1B2B" w:rsidR="009D3FB5" w:rsidP="00163B94" w:rsidRDefault="009D3FB5" w14:paraId="396C4D2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17</w:t>
            </w:r>
          </w:p>
        </w:tc>
        <w:tc>
          <w:tcPr>
            <w:tcW w:w="996" w:type="pct"/>
            <w:vMerge w:val="restart"/>
            <w:shd w:val="clear" w:color="auto" w:fill="FFFFFF" w:themeFill="background1"/>
            <w:vAlign w:val="center"/>
            <w:hideMark/>
          </w:tcPr>
          <w:p w:rsidRPr="00AE1B2B" w:rsidR="009D3FB5" w:rsidP="00163B94" w:rsidRDefault="009D3FB5" w14:paraId="0AD8A6BD"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para resolver escritos</w:t>
            </w:r>
          </w:p>
        </w:tc>
        <w:tc>
          <w:tcPr>
            <w:tcW w:w="3163" w:type="pct"/>
            <w:shd w:val="clear" w:color="auto" w:fill="auto"/>
            <w:vAlign w:val="center"/>
            <w:hideMark/>
          </w:tcPr>
          <w:p w:rsidRPr="00AE1B2B" w:rsidR="009D3FB5" w:rsidP="00163B94" w:rsidRDefault="009D3FB5" w14:paraId="348164C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Se subdivide en dos mediciones: </w:t>
            </w:r>
          </w:p>
          <w:p w:rsidRPr="00AE1B2B" w:rsidR="009D3FB5" w:rsidP="00163B94" w:rsidRDefault="009D3FB5" w14:paraId="6303B7AD" w14:textId="77777777">
            <w:pPr>
              <w:spacing w:before="120" w:after="120" w:line="276" w:lineRule="auto"/>
              <w:rPr>
                <w:rFonts w:ascii="Times New Roman" w:hAnsi="Times New Roman" w:eastAsia="Times New Roman" w:cs="Times New Roman"/>
                <w:lang w:eastAsia="es-CR"/>
              </w:rPr>
            </w:pPr>
          </w:p>
          <w:p w:rsidRPr="00AE1B2B" w:rsidR="009D3FB5" w:rsidP="00163B94" w:rsidRDefault="009D3FB5" w14:paraId="20AA4715"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Escritos donde el expediente se encuentra fuera del Despacho:</w:t>
            </w:r>
          </w:p>
          <w:p w:rsidRPr="00AE1B2B" w:rsidR="009D3FB5" w:rsidP="00163B94" w:rsidRDefault="009D3FB5" w14:paraId="3F75C54C" w14:textId="77777777">
            <w:pPr>
              <w:spacing w:before="120" w:after="120" w:line="276" w:lineRule="auto"/>
              <w:rPr>
                <w:rFonts w:ascii="Times New Roman" w:hAnsi="Times New Roman" w:eastAsia="Times New Roman" w:cs="Times New Roman"/>
                <w:b/>
                <w:bCs/>
                <w:lang w:eastAsia="es-CR"/>
              </w:rPr>
            </w:pPr>
          </w:p>
          <w:p w:rsidRPr="00AE1B2B" w:rsidR="009D3FB5" w:rsidP="00163B94" w:rsidRDefault="009D3FB5" w14:paraId="241ED831"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1) Indicador nuevo, se calcula: (</w:t>
            </w:r>
            <w:r w:rsidRPr="00AE1B2B">
              <w:rPr>
                <w:rFonts w:ascii="Times New Roman" w:hAnsi="Times New Roman" w:eastAsia="Times New Roman" w:cs="Times New Roman"/>
                <w:i/>
                <w:iCs/>
                <w:lang w:eastAsia="es-CR"/>
              </w:rPr>
              <w:t>Fecha actual - fecha del escrito más antiguo pendiente de resolver de expedientes que se encuentran fuera del despacho)</w:t>
            </w:r>
          </w:p>
          <w:p w:rsidRPr="00AE1B2B" w:rsidR="009D3FB5" w:rsidP="00163B94" w:rsidRDefault="009D3FB5" w14:paraId="4E5892A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bandeja de Escritos del Escritorio Virtual</w:t>
            </w:r>
          </w:p>
          <w:p w:rsidRPr="00AE1B2B" w:rsidR="009D3FB5" w:rsidP="00163B94" w:rsidRDefault="009D3FB5" w14:paraId="36FE51F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lang w:eastAsia="es-CR"/>
              </w:rPr>
              <w:t xml:space="preserve">Se deben revisar todos los Escritos que se encuentran Tramitándose, como los que se encuentran pendientes de distribuir, todas la Ubicaciones, todos los Auxiliares, Estado de Expediente: </w:t>
            </w:r>
            <w:r w:rsidRPr="00AE1B2B">
              <w:rPr>
                <w:rFonts w:ascii="Times New Roman" w:hAnsi="Times New Roman" w:eastAsia="Times New Roman" w:cs="Times New Roman"/>
                <w:b/>
                <w:bCs/>
                <w:lang w:eastAsia="es-CR"/>
              </w:rPr>
              <w:t>En Alzada.</w:t>
            </w:r>
          </w:p>
          <w:p w:rsidRPr="00AE1B2B" w:rsidR="009D3FB5" w:rsidP="00163B94" w:rsidRDefault="009D3FB5" w14:paraId="559AD634" w14:textId="77777777">
            <w:pPr>
              <w:spacing w:before="120" w:after="120" w:line="276" w:lineRule="auto"/>
              <w:rPr>
                <w:rFonts w:ascii="Times New Roman" w:hAnsi="Times New Roman" w:eastAsia="Times New Roman" w:cs="Times New Roman"/>
                <w:b/>
                <w:bCs/>
                <w:lang w:eastAsia="es-CR"/>
              </w:rPr>
            </w:pPr>
          </w:p>
          <w:p w:rsidRPr="00AE1B2B" w:rsidR="009D3FB5" w:rsidP="00163B94" w:rsidRDefault="009D3FB5" w14:paraId="30187D8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El parámetro que se propone es de 60 a 90 días, “&gt;60; &lt;=90” </w:t>
            </w:r>
          </w:p>
          <w:p w:rsidRPr="00AE1B2B" w:rsidR="009D3FB5" w:rsidP="00163B94" w:rsidRDefault="009D3FB5" w14:paraId="3695834F" w14:textId="77777777">
            <w:pPr>
              <w:spacing w:before="120" w:after="120" w:line="276" w:lineRule="auto"/>
              <w:rPr>
                <w:rFonts w:ascii="Times New Roman" w:hAnsi="Times New Roman" w:eastAsia="Times New Roman" w:cs="Times New Roman"/>
                <w:lang w:eastAsia="es-CR"/>
              </w:rPr>
            </w:pPr>
          </w:p>
          <w:p w:rsidRPr="00AE1B2B" w:rsidR="009D3FB5" w:rsidP="00163B94" w:rsidRDefault="009D3FB5" w14:paraId="20DB358F"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Escritos donde el expediente se encuentra en el Despacho:</w:t>
            </w:r>
          </w:p>
          <w:p w:rsidRPr="00AE1B2B" w:rsidR="009D3FB5" w:rsidP="00163B94" w:rsidRDefault="009D3FB5" w14:paraId="14A269D9" w14:textId="77777777">
            <w:pPr>
              <w:spacing w:before="120" w:after="120" w:line="276" w:lineRule="auto"/>
              <w:rPr>
                <w:rFonts w:ascii="Times New Roman" w:hAnsi="Times New Roman" w:eastAsia="Times New Roman" w:cs="Times New Roman"/>
                <w:lang w:eastAsia="es-CR"/>
              </w:rPr>
            </w:pPr>
          </w:p>
        </w:tc>
      </w:tr>
      <w:tr w:rsidRPr="00AE1B2B" w:rsidR="00AE1B2B" w:rsidTr="0007105A" w14:paraId="7B3E8C26" w14:textId="77777777">
        <w:trPr>
          <w:cantSplit/>
          <w:trHeight w:val="20"/>
          <w:jc w:val="center"/>
        </w:trPr>
        <w:tc>
          <w:tcPr>
            <w:tcW w:w="481" w:type="pct"/>
            <w:vMerge/>
            <w:shd w:val="clear" w:color="auto" w:fill="EDEDED" w:themeFill="accent3" w:themeFillTint="33"/>
          </w:tcPr>
          <w:p w:rsidRPr="00AE1B2B" w:rsidR="009D3FB5" w:rsidP="00163B94" w:rsidRDefault="009D3FB5" w14:paraId="218C40A2" w14:textId="77777777">
            <w:pPr>
              <w:spacing w:before="120" w:after="120" w:line="276" w:lineRule="auto"/>
              <w:rPr>
                <w:rFonts w:ascii="Times New Roman" w:hAnsi="Times New Roman" w:eastAsia="Times New Roman" w:cs="Times New Roman"/>
                <w:b/>
                <w:bCs/>
                <w:lang w:eastAsia="es-CR"/>
              </w:rPr>
            </w:pPr>
          </w:p>
        </w:tc>
        <w:tc>
          <w:tcPr>
            <w:tcW w:w="360" w:type="pct"/>
            <w:vMerge/>
            <w:vAlign w:val="center"/>
            <w:hideMark/>
          </w:tcPr>
          <w:p w:rsidRPr="00AE1B2B" w:rsidR="009D3FB5" w:rsidP="00163B94" w:rsidRDefault="009D3FB5" w14:paraId="1C9853CE" w14:textId="77777777">
            <w:pPr>
              <w:spacing w:before="120" w:after="120" w:line="276" w:lineRule="auto"/>
              <w:rPr>
                <w:rFonts w:ascii="Times New Roman" w:hAnsi="Times New Roman" w:eastAsia="Times New Roman" w:cs="Times New Roman"/>
                <w:b/>
                <w:bCs/>
                <w:lang w:eastAsia="es-CR"/>
              </w:rPr>
            </w:pPr>
          </w:p>
        </w:tc>
        <w:tc>
          <w:tcPr>
            <w:tcW w:w="996" w:type="pct"/>
            <w:vMerge/>
            <w:vAlign w:val="center"/>
            <w:hideMark/>
          </w:tcPr>
          <w:p w:rsidRPr="00AE1B2B" w:rsidR="009D3FB5" w:rsidP="00163B94" w:rsidRDefault="009D3FB5" w14:paraId="1AD3CE38" w14:textId="77777777">
            <w:pPr>
              <w:spacing w:before="120" w:after="120" w:line="276" w:lineRule="auto"/>
              <w:rPr>
                <w:rFonts w:ascii="Times New Roman" w:hAnsi="Times New Roman" w:eastAsia="Times New Roman" w:cs="Times New Roman"/>
                <w:b/>
                <w:bCs/>
                <w:lang w:eastAsia="es-CR"/>
              </w:rPr>
            </w:pPr>
          </w:p>
        </w:tc>
        <w:tc>
          <w:tcPr>
            <w:tcW w:w="3163" w:type="pct"/>
            <w:shd w:val="clear" w:color="auto" w:fill="auto"/>
            <w:vAlign w:val="center"/>
            <w:hideMark/>
          </w:tcPr>
          <w:p w:rsidRPr="00AE1B2B" w:rsidR="009D3FB5" w:rsidP="00163B94" w:rsidRDefault="009D3FB5" w14:paraId="4A9AFFA7"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2) Se calcula: </w:t>
            </w:r>
            <w:r w:rsidRPr="00AE1B2B">
              <w:rPr>
                <w:rFonts w:ascii="Times New Roman" w:hAnsi="Times New Roman" w:eastAsia="Times New Roman" w:cs="Times New Roman"/>
                <w:i/>
                <w:iCs/>
                <w:lang w:eastAsia="es-CR"/>
              </w:rPr>
              <w:t>(Fecha actual - fecha del escrito más antiguo pendiente de resolver de los que están en el despacho)</w:t>
            </w:r>
          </w:p>
          <w:p w:rsidRPr="00AE1B2B" w:rsidR="009D3FB5" w:rsidP="00163B94" w:rsidRDefault="009D3FB5" w14:paraId="374E842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bandeja de Escritos del Escritorio Virtual</w:t>
            </w:r>
          </w:p>
          <w:p w:rsidRPr="00AE1B2B" w:rsidR="009D3FB5" w:rsidP="00163B94" w:rsidRDefault="009D3FB5" w14:paraId="5A31C2B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lang w:eastAsia="es-CR"/>
              </w:rPr>
              <w:t xml:space="preserve">Se deben revisar todos los Escritos que se encuentran Tramitándose, como los que se encuentran pendientes de distribuir. Todas la Ubicaciones, todos los Auxiliares, estado de expediente: </w:t>
            </w:r>
            <w:r w:rsidRPr="00AE1B2B">
              <w:rPr>
                <w:rFonts w:ascii="Times New Roman" w:hAnsi="Times New Roman" w:eastAsia="Times New Roman" w:cs="Times New Roman"/>
                <w:b/>
                <w:bCs/>
                <w:lang w:eastAsia="es-CR"/>
              </w:rPr>
              <w:t>En Trámite, Inactivo, entre otros.</w:t>
            </w:r>
          </w:p>
          <w:p w:rsidRPr="00AE1B2B" w:rsidR="009D3FB5" w:rsidP="00163B94" w:rsidRDefault="009D3FB5" w14:paraId="420880F6" w14:textId="77777777">
            <w:pPr>
              <w:spacing w:before="120" w:after="120" w:line="276" w:lineRule="auto"/>
              <w:rPr>
                <w:rFonts w:ascii="Times New Roman" w:hAnsi="Times New Roman" w:eastAsia="Times New Roman" w:cs="Times New Roman"/>
                <w:b/>
                <w:bCs/>
                <w:lang w:eastAsia="es-CR"/>
              </w:rPr>
            </w:pPr>
          </w:p>
          <w:p w:rsidRPr="00AE1B2B" w:rsidR="009D3FB5" w:rsidP="00163B94" w:rsidRDefault="009D3FB5" w14:paraId="5B482EF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corresponde al implementado en los despachos rediseñados “&gt;14; &lt;=28”</w:t>
            </w:r>
          </w:p>
        </w:tc>
      </w:tr>
      <w:tr w:rsidRPr="00AE1B2B" w:rsidR="00AE1B2B" w:rsidTr="0007105A" w14:paraId="31F2B9E7" w14:textId="77777777">
        <w:trPr>
          <w:cantSplit/>
          <w:trHeight w:val="20"/>
          <w:jc w:val="center"/>
        </w:trPr>
        <w:tc>
          <w:tcPr>
            <w:tcW w:w="481" w:type="pct"/>
            <w:vMerge/>
            <w:shd w:val="clear" w:color="auto" w:fill="EDEDED" w:themeFill="accent3" w:themeFillTint="33"/>
          </w:tcPr>
          <w:p w:rsidRPr="00AE1B2B" w:rsidR="009D3FB5" w:rsidP="00163B94" w:rsidRDefault="009D3FB5" w14:paraId="29938684" w14:textId="77777777">
            <w:pPr>
              <w:spacing w:before="120" w:after="120" w:line="276" w:lineRule="auto"/>
              <w:rPr>
                <w:rFonts w:ascii="Times New Roman" w:hAnsi="Times New Roman" w:eastAsia="Times New Roman" w:cs="Times New Roman"/>
                <w:b/>
                <w:bCs/>
                <w:lang w:eastAsia="es-CR"/>
              </w:rPr>
            </w:pPr>
          </w:p>
        </w:tc>
        <w:tc>
          <w:tcPr>
            <w:tcW w:w="360" w:type="pct"/>
            <w:vAlign w:val="center"/>
          </w:tcPr>
          <w:p w:rsidRPr="00AE1B2B" w:rsidR="009D3FB5" w:rsidP="00163B94" w:rsidRDefault="009D3FB5" w14:paraId="1B9C416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18</w:t>
            </w:r>
          </w:p>
        </w:tc>
        <w:tc>
          <w:tcPr>
            <w:tcW w:w="996" w:type="pct"/>
            <w:vAlign w:val="center"/>
          </w:tcPr>
          <w:p w:rsidRPr="00AE1B2B" w:rsidR="009D3FB5" w:rsidP="00163B94" w:rsidRDefault="009D3FB5" w14:paraId="5486093F"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de espera para pruebas de ADN</w:t>
            </w:r>
          </w:p>
        </w:tc>
        <w:tc>
          <w:tcPr>
            <w:tcW w:w="3163" w:type="pct"/>
            <w:shd w:val="clear" w:color="auto" w:fill="auto"/>
            <w:vAlign w:val="center"/>
          </w:tcPr>
          <w:p w:rsidRPr="00AE1B2B" w:rsidR="009D3FB5" w:rsidP="00163B94" w:rsidRDefault="009D3FB5" w14:paraId="351DA74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calcula: (</w:t>
            </w:r>
            <w:r w:rsidRPr="00AE1B2B">
              <w:rPr>
                <w:rFonts w:ascii="Times New Roman" w:hAnsi="Times New Roman" w:eastAsia="Times New Roman" w:cs="Times New Roman"/>
                <w:i/>
                <w:iCs/>
                <w:lang w:eastAsia="es-CR"/>
              </w:rPr>
              <w:t>Fecha actual – fecha de la prueba de ADN más antigua pendiente de recibir resultado</w:t>
            </w:r>
            <w:r w:rsidRPr="00AE1B2B">
              <w:rPr>
                <w:rFonts w:ascii="Times New Roman" w:hAnsi="Times New Roman" w:eastAsia="Times New Roman" w:cs="Times New Roman"/>
                <w:lang w:eastAsia="es-CR"/>
              </w:rPr>
              <w:t>)</w:t>
            </w:r>
          </w:p>
          <w:p w:rsidRPr="00AE1B2B" w:rsidR="009D3FB5" w:rsidP="00163B94" w:rsidRDefault="009D3FB5" w14:paraId="4DA63BA2"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los controles de solicitudes de pruebas del despacho, búsqueda por fecha y se obtiene la última prueba pendiente.</w:t>
            </w:r>
          </w:p>
          <w:p w:rsidRPr="00AE1B2B" w:rsidR="009D3FB5" w:rsidP="00163B94" w:rsidRDefault="009D3FB5" w14:paraId="7D4A999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al momento del abordaje.</w:t>
            </w:r>
          </w:p>
        </w:tc>
      </w:tr>
      <w:tr w:rsidRPr="00AE1B2B" w:rsidR="00AE1B2B" w:rsidTr="0007105A" w14:paraId="15483613" w14:textId="77777777">
        <w:trPr>
          <w:cantSplit/>
          <w:trHeight w:val="20"/>
          <w:jc w:val="center"/>
        </w:trPr>
        <w:tc>
          <w:tcPr>
            <w:tcW w:w="481" w:type="pct"/>
            <w:vMerge/>
            <w:shd w:val="clear" w:color="auto" w:fill="EDEDED" w:themeFill="accent3" w:themeFillTint="33"/>
          </w:tcPr>
          <w:p w:rsidRPr="00AE1B2B" w:rsidR="009D3FB5" w:rsidP="00163B94" w:rsidRDefault="009D3FB5" w14:paraId="47D2A590" w14:textId="77777777">
            <w:pPr>
              <w:spacing w:before="120" w:after="120" w:line="276" w:lineRule="auto"/>
              <w:rPr>
                <w:rFonts w:ascii="Times New Roman" w:hAnsi="Times New Roman" w:eastAsia="Times New Roman" w:cs="Times New Roman"/>
                <w:b/>
                <w:bCs/>
                <w:lang w:eastAsia="es-CR"/>
              </w:rPr>
            </w:pPr>
          </w:p>
        </w:tc>
        <w:tc>
          <w:tcPr>
            <w:tcW w:w="360" w:type="pct"/>
            <w:vAlign w:val="center"/>
          </w:tcPr>
          <w:p w:rsidRPr="00AE1B2B" w:rsidR="009D3FB5" w:rsidP="00163B94" w:rsidRDefault="009D3FB5" w14:paraId="77266C9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19</w:t>
            </w:r>
          </w:p>
        </w:tc>
        <w:tc>
          <w:tcPr>
            <w:tcW w:w="996" w:type="pct"/>
            <w:vAlign w:val="center"/>
          </w:tcPr>
          <w:p w:rsidRPr="00AE1B2B" w:rsidR="009D3FB5" w:rsidP="00163B94" w:rsidRDefault="009D3FB5" w14:paraId="181FB5B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de espera de firma expedientes por persona juzgadora</w:t>
            </w:r>
          </w:p>
        </w:tc>
        <w:tc>
          <w:tcPr>
            <w:tcW w:w="3163" w:type="pct"/>
            <w:shd w:val="clear" w:color="auto" w:fill="auto"/>
            <w:vAlign w:val="center"/>
          </w:tcPr>
          <w:p w:rsidRPr="00AE1B2B" w:rsidR="009D3FB5" w:rsidP="00163B94" w:rsidRDefault="009D3FB5" w14:paraId="138A1800"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(Fecha actual- fecha de pase a firma más antigua del documento pendiente de firma).</w:t>
            </w:r>
          </w:p>
          <w:p w:rsidRPr="00AE1B2B" w:rsidR="009D3FB5" w:rsidP="00163B94" w:rsidRDefault="009D3FB5" w14:paraId="33C78387" w14:textId="77777777">
            <w:pPr>
              <w:spacing w:before="120" w:after="120" w:line="276" w:lineRule="auto"/>
              <w:rPr>
                <w:rFonts w:ascii="Times New Roman" w:hAnsi="Times New Roman" w:eastAsia="Times New Roman" w:cs="Times New Roman"/>
                <w:lang w:eastAsia="es-CR"/>
              </w:rPr>
            </w:pPr>
          </w:p>
          <w:p w:rsidRPr="00AE1B2B" w:rsidR="009D3FB5" w:rsidP="00163B94" w:rsidRDefault="009D3FB5" w14:paraId="080DAF7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se obtiene con el resultado de la fecha actual menos la fecha del pase a firma más antigua del documento pendiente de firma</w:t>
            </w:r>
          </w:p>
          <w:p w:rsidRPr="00AE1B2B" w:rsidR="009D3FB5" w:rsidP="00163B94" w:rsidRDefault="009D3FB5" w14:paraId="1011C892" w14:textId="77777777">
            <w:pPr>
              <w:spacing w:before="120" w:after="120" w:line="276" w:lineRule="auto"/>
              <w:rPr>
                <w:rFonts w:ascii="Times New Roman" w:hAnsi="Times New Roman" w:eastAsia="Times New Roman" w:cs="Times New Roman"/>
                <w:lang w:eastAsia="es-CR"/>
              </w:rPr>
            </w:pPr>
          </w:p>
        </w:tc>
      </w:tr>
      <w:tr w:rsidRPr="00AE1B2B" w:rsidR="00AE1B2B" w:rsidTr="0007105A" w14:paraId="73A5D717" w14:textId="77777777">
        <w:trPr>
          <w:cantSplit/>
          <w:trHeight w:val="4525"/>
          <w:jc w:val="center"/>
        </w:trPr>
        <w:tc>
          <w:tcPr>
            <w:tcW w:w="481" w:type="pct"/>
            <w:vMerge w:val="restart"/>
            <w:shd w:val="clear" w:color="auto" w:fill="C5E0B3" w:themeFill="accent6" w:themeFillTint="66"/>
            <w:textDirection w:val="btLr"/>
          </w:tcPr>
          <w:p w:rsidRPr="00AE1B2B" w:rsidR="009D3FB5" w:rsidP="00163B94" w:rsidRDefault="009D3FB5" w14:paraId="0E4F30C0" w14:textId="77777777">
            <w:pPr>
              <w:spacing w:before="120" w:after="120" w:line="276" w:lineRule="auto"/>
              <w:ind w:left="113" w:right="113"/>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Operacional</w:t>
            </w:r>
          </w:p>
        </w:tc>
        <w:tc>
          <w:tcPr>
            <w:tcW w:w="360" w:type="pct"/>
            <w:shd w:val="clear" w:color="auto" w:fill="auto"/>
            <w:vAlign w:val="center"/>
            <w:hideMark/>
          </w:tcPr>
          <w:p w:rsidRPr="00AE1B2B" w:rsidR="009D3FB5" w:rsidP="00163B94" w:rsidRDefault="009D3FB5" w14:paraId="0F0DF1EC" w14:textId="77777777">
            <w:pPr>
              <w:spacing w:before="120" w:after="120" w:line="276" w:lineRule="auto"/>
              <w:jc w:val="center"/>
              <w:rPr>
                <w:rFonts w:ascii="Times New Roman" w:hAnsi="Times New Roman" w:eastAsia="Times New Roman" w:cs="Times New Roman"/>
                <w:b/>
                <w:bCs/>
                <w:lang w:eastAsia="es-CR"/>
              </w:rPr>
            </w:pPr>
          </w:p>
          <w:p w:rsidRPr="00AE1B2B" w:rsidR="009D3FB5" w:rsidP="00163B94" w:rsidRDefault="009D3FB5" w14:paraId="250698B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20</w:t>
            </w:r>
          </w:p>
        </w:tc>
        <w:tc>
          <w:tcPr>
            <w:tcW w:w="996" w:type="pct"/>
            <w:shd w:val="clear" w:color="auto" w:fill="FFFFFF" w:themeFill="background1"/>
            <w:vAlign w:val="center"/>
            <w:hideMark/>
          </w:tcPr>
          <w:p w:rsidRPr="00AE1B2B" w:rsidR="009D3FB5" w:rsidP="00163B94" w:rsidRDefault="009D3FB5" w14:paraId="091E78B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escritos pendientes de resolver</w:t>
            </w:r>
          </w:p>
        </w:tc>
        <w:tc>
          <w:tcPr>
            <w:tcW w:w="3163" w:type="pct"/>
            <w:shd w:val="clear" w:color="auto" w:fill="auto"/>
            <w:vAlign w:val="center"/>
            <w:hideMark/>
          </w:tcPr>
          <w:p w:rsidRPr="00AE1B2B" w:rsidR="009D3FB5" w:rsidP="00163B94" w:rsidRDefault="009D3FB5" w14:paraId="710A714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Indicador se subdivide en:</w:t>
            </w:r>
          </w:p>
          <w:p w:rsidRPr="00AE1B2B" w:rsidR="009D3FB5" w:rsidP="00163B94" w:rsidRDefault="009D3FB5" w14:paraId="38A7A3D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1) Lo conforman el total de Escritos pendientes de resolver: </w:t>
            </w:r>
            <w:r w:rsidRPr="00AE1B2B">
              <w:rPr>
                <w:rFonts w:ascii="Times New Roman" w:hAnsi="Times New Roman" w:eastAsia="Times New Roman" w:cs="Times New Roman"/>
                <w:i/>
                <w:iCs/>
                <w:lang w:eastAsia="es-CR"/>
              </w:rPr>
              <w:t>(consulta Tramitándose + consulta Pendiente de Distribuir + consulta Reservado)</w:t>
            </w:r>
          </w:p>
          <w:p w:rsidRPr="00AE1B2B" w:rsidR="009D3FB5" w:rsidP="00163B94" w:rsidRDefault="009D3FB5" w14:paraId="1245C8E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bandeja de Escritos del Escritorio Virtual</w:t>
            </w:r>
          </w:p>
          <w:p w:rsidRPr="00AE1B2B" w:rsidR="009D3FB5" w:rsidP="00163B94" w:rsidRDefault="009D3FB5" w14:paraId="1A39E0B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deben revisar todos los Escritos que se encuentran Tramitándose, como los que se encuentran pendientes de distribuir. Todas la Ubicaciones, todos los Auxiliares.</w:t>
            </w:r>
          </w:p>
          <w:p w:rsidRPr="00AE1B2B" w:rsidR="009D3FB5" w:rsidP="00163B94" w:rsidRDefault="009D3FB5" w14:paraId="396DFA2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al momento del abordaje.</w:t>
            </w:r>
          </w:p>
          <w:p w:rsidRPr="00AE1B2B" w:rsidR="009D3FB5" w:rsidP="00163B94" w:rsidRDefault="009D3FB5" w14:paraId="4B21D2A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 Cantidad de Escritos pendientes de resolver en estado de Trámite</w:t>
            </w:r>
          </w:p>
          <w:p w:rsidRPr="00AE1B2B" w:rsidR="009D3FB5" w:rsidP="00163B94" w:rsidRDefault="009D3FB5" w14:paraId="6B9B248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bandeja de Escritos del Escritorio Virtual</w:t>
            </w:r>
          </w:p>
          <w:p w:rsidRPr="00AE1B2B" w:rsidR="009D3FB5" w:rsidP="00163B94" w:rsidRDefault="009D3FB5" w14:paraId="39D4993F"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lang w:eastAsia="es-CR"/>
              </w:rPr>
              <w:t xml:space="preserve">Se deben revisar todos los Escritos que se encuentran Tramitándose, como los que se encuentran pendientes de distribuir. Todas la Ubicaciones, todos los Auxiliares, Estado de Expediente: </w:t>
            </w:r>
            <w:r w:rsidRPr="00AE1B2B">
              <w:rPr>
                <w:rFonts w:ascii="Times New Roman" w:hAnsi="Times New Roman" w:eastAsia="Times New Roman" w:cs="Times New Roman"/>
                <w:b/>
                <w:bCs/>
                <w:lang w:eastAsia="es-CR"/>
              </w:rPr>
              <w:t>En Trámite</w:t>
            </w:r>
          </w:p>
          <w:p w:rsidRPr="00AE1B2B" w:rsidR="009D3FB5" w:rsidP="00163B94" w:rsidRDefault="009D3FB5" w14:paraId="2C07CFD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al momento del abordaje.</w:t>
            </w:r>
          </w:p>
          <w:p w:rsidRPr="00AE1B2B" w:rsidR="009D3FB5" w:rsidP="00163B94" w:rsidRDefault="009D3FB5" w14:paraId="42BD4FA9" w14:textId="77777777">
            <w:pPr>
              <w:spacing w:before="120" w:after="120" w:line="276" w:lineRule="auto"/>
              <w:rPr>
                <w:rFonts w:ascii="Times New Roman" w:hAnsi="Times New Roman" w:eastAsia="Times New Roman" w:cs="Times New Roman"/>
                <w:lang w:eastAsia="es-CR"/>
              </w:rPr>
            </w:pPr>
          </w:p>
        </w:tc>
      </w:tr>
      <w:tr w:rsidRPr="00AE1B2B" w:rsidR="00AE1B2B" w:rsidTr="0007105A" w14:paraId="647F1B42" w14:textId="77777777">
        <w:trPr>
          <w:cantSplit/>
          <w:trHeight w:val="20"/>
          <w:jc w:val="center"/>
        </w:trPr>
        <w:tc>
          <w:tcPr>
            <w:tcW w:w="481" w:type="pct"/>
            <w:vMerge/>
            <w:shd w:val="clear" w:color="auto" w:fill="C5E0B3" w:themeFill="accent6" w:themeFillTint="66"/>
          </w:tcPr>
          <w:p w:rsidRPr="00AE1B2B" w:rsidR="009D3FB5" w:rsidP="00163B94" w:rsidRDefault="009D3FB5" w14:paraId="3C397F3F"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auto"/>
            <w:vAlign w:val="center"/>
            <w:hideMark/>
          </w:tcPr>
          <w:p w:rsidRPr="00AE1B2B" w:rsidR="009D3FB5" w:rsidP="00163B94" w:rsidRDefault="009D3FB5" w14:paraId="04D3715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21</w:t>
            </w:r>
          </w:p>
        </w:tc>
        <w:tc>
          <w:tcPr>
            <w:tcW w:w="996" w:type="pct"/>
            <w:shd w:val="clear" w:color="auto" w:fill="auto"/>
            <w:vAlign w:val="center"/>
            <w:hideMark/>
          </w:tcPr>
          <w:p w:rsidRPr="00AE1B2B" w:rsidR="009D3FB5" w:rsidP="00163B94" w:rsidRDefault="009D3FB5" w14:paraId="3EAF440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demandas nuevas pendientes de tramitar</w:t>
            </w:r>
          </w:p>
        </w:tc>
        <w:tc>
          <w:tcPr>
            <w:tcW w:w="3163" w:type="pct"/>
            <w:shd w:val="clear" w:color="auto" w:fill="auto"/>
            <w:vAlign w:val="center"/>
            <w:hideMark/>
          </w:tcPr>
          <w:p w:rsidRPr="00AE1B2B" w:rsidR="009D3FB5" w:rsidP="00163B94" w:rsidRDefault="009D3FB5" w14:paraId="64D1E0A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Indicador se obtiene del Escritorio Virtual, se deben revisar todas las demandas que se encuentran pendientes de tramitar por cada una de las personas técnicas judiciales.</w:t>
            </w:r>
          </w:p>
          <w:p w:rsidRPr="00AE1B2B" w:rsidR="009D3FB5" w:rsidP="00163B94" w:rsidRDefault="009D3FB5" w14:paraId="62A4B9F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al momento del abordaje, al revisar la cantidad de asuntos nuevos que ingresan por día y el plazo para resolver demandas nuevas.</w:t>
            </w:r>
          </w:p>
        </w:tc>
      </w:tr>
      <w:tr w:rsidRPr="00AE1B2B" w:rsidR="00AE1B2B" w:rsidTr="0007105A" w14:paraId="03D2F3D6" w14:textId="77777777">
        <w:trPr>
          <w:cantSplit/>
          <w:trHeight w:val="20"/>
          <w:jc w:val="center"/>
        </w:trPr>
        <w:tc>
          <w:tcPr>
            <w:tcW w:w="481" w:type="pct"/>
            <w:vMerge/>
            <w:shd w:val="clear" w:color="auto" w:fill="C5E0B3" w:themeFill="accent6" w:themeFillTint="66"/>
          </w:tcPr>
          <w:p w:rsidRPr="00AE1B2B" w:rsidR="009D3FB5" w:rsidP="00163B94" w:rsidRDefault="009D3FB5" w14:paraId="7B45ADB5"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auto"/>
            <w:vAlign w:val="center"/>
            <w:hideMark/>
          </w:tcPr>
          <w:p w:rsidRPr="00AE1B2B" w:rsidR="009D3FB5" w:rsidP="00163B94" w:rsidRDefault="009D3FB5" w14:paraId="3B25E6D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22</w:t>
            </w:r>
          </w:p>
        </w:tc>
        <w:tc>
          <w:tcPr>
            <w:tcW w:w="996" w:type="pct"/>
            <w:shd w:val="clear" w:color="auto" w:fill="auto"/>
            <w:vAlign w:val="center"/>
            <w:hideMark/>
          </w:tcPr>
          <w:p w:rsidRPr="00AE1B2B" w:rsidR="009D3FB5" w:rsidP="00163B94" w:rsidRDefault="009D3FB5" w14:paraId="3815000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efectividad de realización audiencias</w:t>
            </w:r>
          </w:p>
        </w:tc>
        <w:tc>
          <w:tcPr>
            <w:tcW w:w="3163" w:type="pct"/>
            <w:shd w:val="clear" w:color="auto" w:fill="auto"/>
            <w:vAlign w:val="center"/>
            <w:hideMark/>
          </w:tcPr>
          <w:p w:rsidRPr="00AE1B2B" w:rsidR="009D3FB5" w:rsidP="00163B94" w:rsidRDefault="009D3FB5" w14:paraId="18AFAC92"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(Audiencias realizadas / Audiencias programadas) *100</w:t>
            </w:r>
          </w:p>
          <w:p w:rsidRPr="00AE1B2B" w:rsidR="009D3FB5" w:rsidP="00163B94" w:rsidRDefault="009D3FB5" w14:paraId="267C193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Agenda Cronos, en Buscar Apuntes, búsqueda por criterio por rango de fecha y se obtiene la cantidad de señalamiento a Audiencia programados.</w:t>
            </w:r>
          </w:p>
          <w:p w:rsidRPr="00AE1B2B" w:rsidR="009D3FB5" w:rsidP="00163B94" w:rsidRDefault="009D3FB5" w14:paraId="01DFDAA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al momento del abordaje, para luego estandarizar un porcentaje de efectividad para todos los despachos.</w:t>
            </w:r>
          </w:p>
        </w:tc>
      </w:tr>
      <w:tr w:rsidRPr="00AE1B2B" w:rsidR="00AE1B2B" w:rsidTr="0007105A" w14:paraId="65E16F4C" w14:textId="77777777">
        <w:trPr>
          <w:cantSplit/>
          <w:trHeight w:val="20"/>
          <w:jc w:val="center"/>
        </w:trPr>
        <w:tc>
          <w:tcPr>
            <w:tcW w:w="481" w:type="pct"/>
            <w:vMerge/>
            <w:shd w:val="clear" w:color="auto" w:fill="C5E0B3" w:themeFill="accent6" w:themeFillTint="66"/>
          </w:tcPr>
          <w:p w:rsidRPr="00AE1B2B" w:rsidR="009D3FB5" w:rsidP="00163B94" w:rsidRDefault="009D3FB5" w14:paraId="4EE105B3"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auto"/>
            <w:vAlign w:val="center"/>
            <w:hideMark/>
          </w:tcPr>
          <w:p w:rsidRPr="00AE1B2B" w:rsidR="009D3FB5" w:rsidP="00163B94" w:rsidRDefault="009D3FB5" w14:paraId="29A4944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23</w:t>
            </w:r>
          </w:p>
        </w:tc>
        <w:tc>
          <w:tcPr>
            <w:tcW w:w="996" w:type="pct"/>
            <w:shd w:val="clear" w:color="auto" w:fill="auto"/>
            <w:vAlign w:val="center"/>
            <w:hideMark/>
          </w:tcPr>
          <w:p w:rsidRPr="00AE1B2B" w:rsidR="009D3FB5" w:rsidP="00163B94" w:rsidRDefault="009D3FB5" w14:paraId="29D89CA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Porcentaje de efectividad de realización audiencias de conciliación </w:t>
            </w:r>
          </w:p>
        </w:tc>
        <w:tc>
          <w:tcPr>
            <w:tcW w:w="3163" w:type="pct"/>
            <w:shd w:val="clear" w:color="auto" w:fill="auto"/>
            <w:vAlign w:val="center"/>
            <w:hideMark/>
          </w:tcPr>
          <w:p w:rsidRPr="00AE1B2B" w:rsidR="009D3FB5" w:rsidP="00163B94" w:rsidRDefault="009D3FB5" w14:paraId="75FE124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Indicador incluido por solicitud del Equipo de personas juzgadoras y Equipo Gestor, se calcula: </w:t>
            </w:r>
            <w:r w:rsidRPr="00AE1B2B">
              <w:rPr>
                <w:rFonts w:ascii="Times New Roman" w:hAnsi="Times New Roman" w:eastAsia="Times New Roman" w:cs="Times New Roman"/>
                <w:i/>
                <w:iCs/>
                <w:lang w:eastAsia="es-CR"/>
              </w:rPr>
              <w:t>(Audiencias de conciliación realizadas / Audiencias de conciliación programadas) *100)</w:t>
            </w:r>
          </w:p>
          <w:p w:rsidRPr="00AE1B2B" w:rsidR="009D3FB5" w:rsidP="00163B94" w:rsidRDefault="009D3FB5" w14:paraId="2F10DBD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Agenda Cronos, en Buscar Apuntes, búsqueda por criterio por rango de fecha y se obtiene la cantidad de señalamiento a Audiencia conciliadas programados.</w:t>
            </w:r>
          </w:p>
          <w:p w:rsidRPr="00AE1B2B" w:rsidR="009D3FB5" w:rsidP="00163B94" w:rsidRDefault="009D3FB5" w14:paraId="34CE355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al momento del abordaje, para luego estandarizar un porcentaje de efectividad para todos los despachos.</w:t>
            </w:r>
          </w:p>
        </w:tc>
      </w:tr>
      <w:tr w:rsidRPr="00AE1B2B" w:rsidR="00AE1B2B" w:rsidTr="0007105A" w14:paraId="715FFAB7" w14:textId="77777777">
        <w:trPr>
          <w:cantSplit/>
          <w:trHeight w:val="20"/>
          <w:jc w:val="center"/>
        </w:trPr>
        <w:tc>
          <w:tcPr>
            <w:tcW w:w="481" w:type="pct"/>
            <w:vMerge/>
            <w:shd w:val="clear" w:color="auto" w:fill="C5E0B3" w:themeFill="accent6" w:themeFillTint="66"/>
          </w:tcPr>
          <w:p w:rsidRPr="00AE1B2B" w:rsidR="009D3FB5" w:rsidP="00163B94" w:rsidRDefault="009D3FB5" w14:paraId="147799E4"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auto"/>
            <w:vAlign w:val="center"/>
            <w:hideMark/>
          </w:tcPr>
          <w:p w:rsidRPr="00AE1B2B" w:rsidR="009D3FB5" w:rsidP="00163B94" w:rsidRDefault="009D3FB5" w14:paraId="4B578D2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24</w:t>
            </w:r>
          </w:p>
        </w:tc>
        <w:tc>
          <w:tcPr>
            <w:tcW w:w="996" w:type="pct"/>
            <w:shd w:val="clear" w:color="auto" w:fill="auto"/>
            <w:vAlign w:val="center"/>
            <w:hideMark/>
          </w:tcPr>
          <w:p w:rsidRPr="00AE1B2B" w:rsidR="009D3FB5" w:rsidP="00163B94" w:rsidRDefault="009D3FB5" w14:paraId="78CEFC6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audiencias conciliadas de las audiencias realizadas</w:t>
            </w:r>
          </w:p>
        </w:tc>
        <w:tc>
          <w:tcPr>
            <w:tcW w:w="3163" w:type="pct"/>
            <w:shd w:val="clear" w:color="auto" w:fill="auto"/>
            <w:vAlign w:val="center"/>
            <w:hideMark/>
          </w:tcPr>
          <w:p w:rsidRPr="00AE1B2B" w:rsidR="009D3FB5" w:rsidP="00163B94" w:rsidRDefault="009D3FB5" w14:paraId="37B55F65"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Indicador incluido por solicitud del Equipo de personas juzgadoras y Equipo Gestor, se calcula: </w:t>
            </w:r>
            <w:r w:rsidRPr="00AE1B2B">
              <w:rPr>
                <w:rFonts w:ascii="Times New Roman" w:hAnsi="Times New Roman" w:eastAsia="Times New Roman" w:cs="Times New Roman"/>
                <w:i/>
                <w:iCs/>
                <w:lang w:eastAsia="es-CR"/>
              </w:rPr>
              <w:t>(Audiencias conciliadas / Audiencias programadas) *100)</w:t>
            </w:r>
          </w:p>
          <w:p w:rsidRPr="00AE1B2B" w:rsidR="009D3FB5" w:rsidP="00163B94" w:rsidRDefault="009D3FB5" w14:paraId="4419823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Agenda Cronos, en Buscar Apuntes, búsqueda por criterio por rango de fecha y se obtiene la cantidad de señalamiento a Audiencia conciliados.</w:t>
            </w:r>
          </w:p>
          <w:p w:rsidRPr="00AE1B2B" w:rsidR="009D3FB5" w:rsidP="00163B94" w:rsidRDefault="009D3FB5" w14:paraId="21A5D16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al momento del abordaje, para luego estandarizar un porcentaje de efectividad para todos los despachos.</w:t>
            </w:r>
          </w:p>
        </w:tc>
      </w:tr>
      <w:tr w:rsidRPr="00AE1B2B" w:rsidR="00AE1B2B" w:rsidTr="0007105A" w14:paraId="060B1B33" w14:textId="77777777">
        <w:trPr>
          <w:cantSplit/>
          <w:trHeight w:val="20"/>
          <w:jc w:val="center"/>
        </w:trPr>
        <w:tc>
          <w:tcPr>
            <w:tcW w:w="481" w:type="pct"/>
            <w:vMerge/>
            <w:shd w:val="clear" w:color="auto" w:fill="C5E0B3" w:themeFill="accent6" w:themeFillTint="66"/>
          </w:tcPr>
          <w:p w:rsidRPr="00AE1B2B" w:rsidR="009D3FB5" w:rsidP="00163B94" w:rsidRDefault="009D3FB5" w14:paraId="0A22408F"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auto"/>
            <w:vAlign w:val="center"/>
            <w:hideMark/>
          </w:tcPr>
          <w:p w:rsidRPr="00AE1B2B" w:rsidR="009D3FB5" w:rsidP="00163B94" w:rsidRDefault="009D3FB5" w14:paraId="5F136E0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25</w:t>
            </w:r>
          </w:p>
        </w:tc>
        <w:tc>
          <w:tcPr>
            <w:tcW w:w="996" w:type="pct"/>
            <w:shd w:val="clear" w:color="auto" w:fill="auto"/>
            <w:vAlign w:val="center"/>
            <w:hideMark/>
          </w:tcPr>
          <w:p w:rsidRPr="00AE1B2B" w:rsidR="009D3FB5" w:rsidP="00163B94" w:rsidRDefault="009D3FB5" w14:paraId="07704E8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audiencias pendientes de realización</w:t>
            </w:r>
          </w:p>
        </w:tc>
        <w:tc>
          <w:tcPr>
            <w:tcW w:w="3163" w:type="pct"/>
            <w:shd w:val="clear" w:color="auto" w:fill="auto"/>
            <w:vAlign w:val="center"/>
            <w:hideMark/>
          </w:tcPr>
          <w:p w:rsidRPr="00AE1B2B" w:rsidR="009D3FB5" w:rsidP="00163B94" w:rsidRDefault="009D3FB5" w14:paraId="7A82021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 la cantidad de audiencias pendientes de realización desglosado por cada persona juzgadora.</w:t>
            </w:r>
          </w:p>
          <w:p w:rsidRPr="00AE1B2B" w:rsidR="009D3FB5" w:rsidP="00163B94" w:rsidRDefault="009D3FB5" w14:paraId="6896ECC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Agenda Cronos, en Buscar Apuntes, búsqueda por criterio por rango de fecha y se obtiene la cantidad de señalamiento a Audiencia pendientes de realización.</w:t>
            </w:r>
          </w:p>
          <w:p w:rsidRPr="00AE1B2B" w:rsidR="009D3FB5" w:rsidP="00163B94" w:rsidRDefault="009D3FB5" w14:paraId="010709A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la cantidad de audiencias que se deben tener pendientes en cada despacho por persona juzgadora según el plazo de realización de audiencias; con la finalidad de que ambos indicadores sean coherentes.</w:t>
            </w:r>
          </w:p>
        </w:tc>
      </w:tr>
      <w:tr w:rsidRPr="00AE1B2B" w:rsidR="00AE1B2B" w:rsidTr="0007105A" w14:paraId="01FD4331" w14:textId="77777777">
        <w:trPr>
          <w:cantSplit/>
          <w:trHeight w:val="20"/>
          <w:jc w:val="center"/>
        </w:trPr>
        <w:tc>
          <w:tcPr>
            <w:tcW w:w="481" w:type="pct"/>
            <w:vMerge/>
            <w:shd w:val="clear" w:color="auto" w:fill="C5E0B3" w:themeFill="accent6" w:themeFillTint="66"/>
          </w:tcPr>
          <w:p w:rsidRPr="00AE1B2B" w:rsidR="009D3FB5" w:rsidP="00163B94" w:rsidRDefault="009D3FB5" w14:paraId="731F35D6"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auto"/>
            <w:vAlign w:val="center"/>
            <w:hideMark/>
          </w:tcPr>
          <w:p w:rsidRPr="00AE1B2B" w:rsidR="009D3FB5" w:rsidP="00163B94" w:rsidRDefault="009D3FB5" w14:paraId="0F6154E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26</w:t>
            </w:r>
          </w:p>
        </w:tc>
        <w:tc>
          <w:tcPr>
            <w:tcW w:w="996" w:type="pct"/>
            <w:shd w:val="clear" w:color="auto" w:fill="auto"/>
            <w:vAlign w:val="center"/>
            <w:hideMark/>
          </w:tcPr>
          <w:p w:rsidRPr="00AE1B2B" w:rsidR="009D3FB5" w:rsidP="00163B94" w:rsidRDefault="009D3FB5" w14:paraId="2403DE3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expedientes pendientes de fallo</w:t>
            </w:r>
          </w:p>
        </w:tc>
        <w:tc>
          <w:tcPr>
            <w:tcW w:w="3163" w:type="pct"/>
            <w:shd w:val="clear" w:color="auto" w:fill="auto"/>
            <w:vAlign w:val="center"/>
            <w:hideMark/>
          </w:tcPr>
          <w:p w:rsidRPr="00AE1B2B" w:rsidR="009D3FB5" w:rsidP="00163B94" w:rsidRDefault="009D3FB5" w14:paraId="436FCC5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Indicador subdividido por solicitud del Equipo de personas juzgadoras y Equipo Gestor</w:t>
            </w:r>
            <w:r w:rsidRPr="00AE1B2B" w:rsidDel="000F2CA0">
              <w:rPr>
                <w:rFonts w:ascii="Times New Roman" w:hAnsi="Times New Roman" w:eastAsia="Times New Roman" w:cs="Times New Roman"/>
                <w:lang w:eastAsia="es-CR"/>
              </w:rPr>
              <w:t xml:space="preserve"> </w:t>
            </w:r>
            <w:r w:rsidRPr="00AE1B2B">
              <w:rPr>
                <w:rFonts w:ascii="Times New Roman" w:hAnsi="Times New Roman" w:eastAsia="Times New Roman" w:cs="Times New Roman"/>
                <w:lang w:eastAsia="es-CR"/>
              </w:rPr>
              <w:t xml:space="preserve">división en materia Familia y Pensiones Alimentarias, para cada persona juzgadora. </w:t>
            </w:r>
          </w:p>
          <w:p w:rsidRPr="00AE1B2B" w:rsidR="009D3FB5" w:rsidP="00163B94" w:rsidRDefault="009D3FB5" w14:paraId="32FE73C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se obtiene del Módulo de pase a fallo del Escritorio Virtual o Libro de Pase a Fallo.</w:t>
            </w:r>
          </w:p>
          <w:p w:rsidRPr="00AE1B2B" w:rsidR="009D3FB5" w:rsidP="00163B94" w:rsidRDefault="009D3FB5" w14:paraId="66AC7B2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corresponde a la cantidad que debe resolver en un mes una persona juzgadora.</w:t>
            </w:r>
          </w:p>
        </w:tc>
      </w:tr>
      <w:tr w:rsidRPr="00AE1B2B" w:rsidR="00AE1B2B" w:rsidTr="0007105A" w14:paraId="4B787FA9" w14:textId="77777777">
        <w:trPr>
          <w:cantSplit/>
          <w:trHeight w:val="20"/>
          <w:jc w:val="center"/>
        </w:trPr>
        <w:tc>
          <w:tcPr>
            <w:tcW w:w="481" w:type="pct"/>
            <w:vMerge/>
            <w:shd w:val="clear" w:color="auto" w:fill="C5E0B3" w:themeFill="accent6" w:themeFillTint="66"/>
          </w:tcPr>
          <w:p w:rsidRPr="00AE1B2B" w:rsidR="009D3FB5" w:rsidP="00163B94" w:rsidRDefault="009D3FB5" w14:paraId="6C074EDE"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auto"/>
            <w:vAlign w:val="center"/>
            <w:hideMark/>
          </w:tcPr>
          <w:p w:rsidRPr="00AE1B2B" w:rsidR="009D3FB5" w:rsidP="00163B94" w:rsidRDefault="009D3FB5" w14:paraId="6F6990F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27</w:t>
            </w:r>
          </w:p>
        </w:tc>
        <w:tc>
          <w:tcPr>
            <w:tcW w:w="996" w:type="pct"/>
            <w:shd w:val="clear" w:color="auto" w:fill="auto"/>
            <w:vAlign w:val="center"/>
            <w:hideMark/>
          </w:tcPr>
          <w:p w:rsidRPr="00AE1B2B" w:rsidR="009D3FB5" w:rsidP="00163B94" w:rsidRDefault="009D3FB5" w14:paraId="3FEB16F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Expedientes pasados a firmar por Técnico o Técnica</w:t>
            </w:r>
          </w:p>
        </w:tc>
        <w:tc>
          <w:tcPr>
            <w:tcW w:w="3163" w:type="pct"/>
            <w:shd w:val="clear" w:color="auto" w:fill="auto"/>
            <w:vAlign w:val="center"/>
            <w:hideMark/>
          </w:tcPr>
          <w:p w:rsidRPr="00AE1B2B" w:rsidR="009D3FB5" w:rsidP="00163B94" w:rsidRDefault="009D3FB5" w14:paraId="38DBF2D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 la cantidad de Expedientes pasados a firmar por cada persona juzgadora.</w:t>
            </w:r>
          </w:p>
          <w:p w:rsidRPr="00AE1B2B" w:rsidR="009D3FB5" w:rsidP="00163B94" w:rsidRDefault="009D3FB5" w14:paraId="6900136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del Escritorio Virtual, cantidad de Expedientes pasados a firmar a la persona juzgadora por persona técnica judicial, Estadística, Firmado/Proveído.</w:t>
            </w:r>
          </w:p>
          <w:p w:rsidRPr="00AE1B2B" w:rsidR="009D3FB5" w:rsidP="00163B94" w:rsidRDefault="009D3FB5" w14:paraId="42F4FC1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tomando en cuenta la cuota de proveído definida para cada persona técnica judicial.</w:t>
            </w:r>
          </w:p>
        </w:tc>
      </w:tr>
      <w:tr w:rsidRPr="00AE1B2B" w:rsidR="00AE1B2B" w:rsidTr="0007105A" w14:paraId="73570AA4" w14:textId="77777777">
        <w:trPr>
          <w:cantSplit/>
          <w:trHeight w:val="20"/>
          <w:jc w:val="center"/>
        </w:trPr>
        <w:tc>
          <w:tcPr>
            <w:tcW w:w="481" w:type="pct"/>
            <w:vMerge/>
            <w:shd w:val="clear" w:color="auto" w:fill="C5E0B3" w:themeFill="accent6" w:themeFillTint="66"/>
          </w:tcPr>
          <w:p w:rsidRPr="00AE1B2B" w:rsidR="009D3FB5" w:rsidP="00163B94" w:rsidRDefault="009D3FB5" w14:paraId="68C646CA"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FFFFFF" w:themeFill="background1"/>
            <w:vAlign w:val="center"/>
          </w:tcPr>
          <w:p w:rsidRPr="00AE1B2B" w:rsidR="009D3FB5" w:rsidP="00163B94" w:rsidRDefault="009D3FB5" w14:paraId="1996AFC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28</w:t>
            </w:r>
          </w:p>
        </w:tc>
        <w:tc>
          <w:tcPr>
            <w:tcW w:w="996" w:type="pct"/>
            <w:shd w:val="clear" w:color="auto" w:fill="FFFFFF" w:themeFill="background1"/>
            <w:vAlign w:val="center"/>
          </w:tcPr>
          <w:p w:rsidRPr="00AE1B2B" w:rsidR="009D3FB5" w:rsidP="00163B94" w:rsidRDefault="009D3FB5" w14:paraId="44E1B9C2"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rendimiento por persona técnica judicial</w:t>
            </w:r>
          </w:p>
        </w:tc>
        <w:tc>
          <w:tcPr>
            <w:tcW w:w="3163" w:type="pct"/>
            <w:shd w:val="clear" w:color="auto" w:fill="auto"/>
            <w:vAlign w:val="center"/>
          </w:tcPr>
          <w:p w:rsidRPr="00AE1B2B" w:rsidR="009D3FB5" w:rsidP="00163B94" w:rsidRDefault="009D3FB5" w14:paraId="22A0333A"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(Cantidad de expedientes pasados a firmar / Cantidad de resoluciones a realizar según cuota de trabajo)</w:t>
            </w:r>
          </w:p>
          <w:p w:rsidRPr="00AE1B2B" w:rsidR="009D3FB5" w:rsidP="00163B94" w:rsidRDefault="009D3FB5" w14:paraId="76D9F33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toma en cuenta los días laborados por cada una de las personas técnicas judiciales en el mes, según la cuota de trabajo diaria.</w:t>
            </w:r>
          </w:p>
          <w:p w:rsidRPr="00AE1B2B" w:rsidR="009D3FB5" w:rsidP="00163B94" w:rsidRDefault="009D3FB5" w14:paraId="22535E5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está definido en 95% a 100%</w:t>
            </w:r>
          </w:p>
        </w:tc>
      </w:tr>
      <w:tr w:rsidRPr="00AE1B2B" w:rsidR="00AE1B2B" w:rsidTr="0007105A" w14:paraId="4BF3217D" w14:textId="77777777">
        <w:trPr>
          <w:cantSplit/>
          <w:trHeight w:val="20"/>
          <w:jc w:val="center"/>
        </w:trPr>
        <w:tc>
          <w:tcPr>
            <w:tcW w:w="481" w:type="pct"/>
            <w:vMerge/>
            <w:shd w:val="clear" w:color="auto" w:fill="C5E0B3" w:themeFill="accent6" w:themeFillTint="66"/>
          </w:tcPr>
          <w:p w:rsidRPr="00AE1B2B" w:rsidR="009D3FB5" w:rsidP="00163B94" w:rsidRDefault="009D3FB5" w14:paraId="6D402A04"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auto"/>
            <w:vAlign w:val="center"/>
          </w:tcPr>
          <w:p w:rsidRPr="00AE1B2B" w:rsidR="009D3FB5" w:rsidP="00163B94" w:rsidRDefault="009D3FB5" w14:paraId="5198BFC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29</w:t>
            </w:r>
          </w:p>
        </w:tc>
        <w:tc>
          <w:tcPr>
            <w:tcW w:w="996" w:type="pct"/>
            <w:shd w:val="clear" w:color="auto" w:fill="auto"/>
            <w:vAlign w:val="center"/>
            <w:hideMark/>
          </w:tcPr>
          <w:p w:rsidRPr="00AE1B2B" w:rsidR="009D3FB5" w:rsidP="00163B94" w:rsidRDefault="009D3FB5" w14:paraId="6C023DE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resoluciones firmadas por persona juzgadora</w:t>
            </w:r>
          </w:p>
        </w:tc>
        <w:tc>
          <w:tcPr>
            <w:tcW w:w="3163" w:type="pct"/>
            <w:shd w:val="clear" w:color="auto" w:fill="auto"/>
            <w:vAlign w:val="center"/>
            <w:hideMark/>
          </w:tcPr>
          <w:p w:rsidRPr="00AE1B2B" w:rsidR="009D3FB5" w:rsidP="00163B94" w:rsidRDefault="009D3FB5" w14:paraId="2D0D0C5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 la cantidad de resoluciones firmadas por cada persona juzgadora.</w:t>
            </w:r>
          </w:p>
          <w:p w:rsidRPr="00AE1B2B" w:rsidR="009D3FB5" w:rsidP="00163B94" w:rsidRDefault="009D3FB5" w14:paraId="689EA47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es el total de resoluciones firmadas por las personas juzgadoras del despacho, se obtiene de la consulta en el Escritorio Virtual, a las estadísticas de firmado de documentos y expedientes por cada una de las personas juzgadoras.</w:t>
            </w:r>
          </w:p>
          <w:p w:rsidRPr="00AE1B2B" w:rsidR="009D3FB5" w:rsidP="00163B94" w:rsidRDefault="009D3FB5" w14:paraId="2919558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Pr="00AE1B2B" w:rsidR="00AE1B2B" w:rsidTr="0007105A" w14:paraId="57623831" w14:textId="77777777">
        <w:trPr>
          <w:cantSplit/>
          <w:trHeight w:val="20"/>
          <w:jc w:val="center"/>
        </w:trPr>
        <w:tc>
          <w:tcPr>
            <w:tcW w:w="481" w:type="pct"/>
            <w:vMerge/>
            <w:shd w:val="clear" w:color="auto" w:fill="C5E0B3" w:themeFill="accent6" w:themeFillTint="66"/>
          </w:tcPr>
          <w:p w:rsidRPr="00AE1B2B" w:rsidR="009D3FB5" w:rsidP="00163B94" w:rsidRDefault="009D3FB5" w14:paraId="4958A581"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auto"/>
            <w:vAlign w:val="center"/>
          </w:tcPr>
          <w:p w:rsidRPr="00AE1B2B" w:rsidR="009D3FB5" w:rsidP="00163B94" w:rsidRDefault="009D3FB5" w14:paraId="68D231A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30</w:t>
            </w:r>
          </w:p>
        </w:tc>
        <w:tc>
          <w:tcPr>
            <w:tcW w:w="996" w:type="pct"/>
            <w:shd w:val="clear" w:color="auto" w:fill="auto"/>
            <w:vAlign w:val="center"/>
            <w:hideMark/>
          </w:tcPr>
          <w:p w:rsidRPr="00AE1B2B" w:rsidR="009D3FB5" w:rsidP="00163B94" w:rsidRDefault="009D3FB5" w14:paraId="62C8EF0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resoluciones pendientes de firma por persona juzgadora</w:t>
            </w:r>
          </w:p>
        </w:tc>
        <w:tc>
          <w:tcPr>
            <w:tcW w:w="3163" w:type="pct"/>
            <w:shd w:val="clear" w:color="auto" w:fill="auto"/>
            <w:vAlign w:val="center"/>
            <w:hideMark/>
          </w:tcPr>
          <w:p w:rsidRPr="00AE1B2B" w:rsidR="009D3FB5" w:rsidP="00163B94" w:rsidRDefault="009D3FB5" w14:paraId="51869AF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 la cantidad de expedientes pendientes de firmar por cada persona juzgadora.</w:t>
            </w:r>
          </w:p>
          <w:p w:rsidRPr="00AE1B2B" w:rsidR="009D3FB5" w:rsidP="00163B94" w:rsidRDefault="009D3FB5" w14:paraId="33F3AAC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rsidRPr="00AE1B2B" w:rsidR="009D3FB5" w:rsidP="00163B94" w:rsidRDefault="009D3FB5" w14:paraId="25EB853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al momento del abordaje y corresponde a la cantidad de expedientes pasados a firmar por el equipo de personas técnicas judiciales a una persona juzgadora en el plazo de 3 días.</w:t>
            </w:r>
          </w:p>
        </w:tc>
      </w:tr>
      <w:tr w:rsidRPr="00AE1B2B" w:rsidR="00AE1B2B" w:rsidTr="0007105A" w14:paraId="23A11169" w14:textId="77777777">
        <w:trPr>
          <w:cantSplit/>
          <w:trHeight w:val="20"/>
          <w:jc w:val="center"/>
        </w:trPr>
        <w:tc>
          <w:tcPr>
            <w:tcW w:w="481" w:type="pct"/>
            <w:vMerge/>
            <w:shd w:val="clear" w:color="auto" w:fill="C5E0B3" w:themeFill="accent6" w:themeFillTint="66"/>
          </w:tcPr>
          <w:p w:rsidRPr="00AE1B2B" w:rsidR="009D3FB5" w:rsidP="00163B94" w:rsidRDefault="009D3FB5" w14:paraId="6E1285E4"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FFFFFF" w:themeFill="background1"/>
            <w:vAlign w:val="center"/>
          </w:tcPr>
          <w:p w:rsidRPr="00AE1B2B" w:rsidR="009D3FB5" w:rsidP="00163B94" w:rsidRDefault="009D3FB5" w14:paraId="57A770B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31</w:t>
            </w:r>
          </w:p>
        </w:tc>
        <w:tc>
          <w:tcPr>
            <w:tcW w:w="996" w:type="pct"/>
            <w:shd w:val="clear" w:color="auto" w:fill="auto"/>
            <w:vAlign w:val="center"/>
          </w:tcPr>
          <w:p w:rsidRPr="00AE1B2B" w:rsidR="009D3FB5" w:rsidP="00163B94" w:rsidRDefault="009D3FB5" w14:paraId="4D9C041B"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efectividad en el firmado por persona juzgadora</w:t>
            </w:r>
          </w:p>
        </w:tc>
        <w:tc>
          <w:tcPr>
            <w:tcW w:w="3163" w:type="pct"/>
            <w:shd w:val="clear" w:color="auto" w:fill="auto"/>
            <w:vAlign w:val="center"/>
          </w:tcPr>
          <w:p w:rsidRPr="00AE1B2B" w:rsidR="009D3FB5" w:rsidP="00163B94" w:rsidRDefault="009D3FB5" w14:paraId="755661A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Cantidad de expedientes pasadas a firmadas para cada Jueza o Juez / Cantidad de expedientes firmadas * 100</w:t>
            </w:r>
          </w:p>
          <w:p w:rsidRPr="00AE1B2B" w:rsidR="009D3FB5" w:rsidP="00163B94" w:rsidRDefault="009D3FB5" w14:paraId="0DED9924" w14:textId="77777777">
            <w:pPr>
              <w:spacing w:before="120" w:after="120" w:line="276" w:lineRule="auto"/>
              <w:rPr>
                <w:rFonts w:ascii="Times New Roman" w:hAnsi="Times New Roman" w:eastAsia="Times New Roman" w:cs="Times New Roman"/>
                <w:lang w:eastAsia="es-CR"/>
              </w:rPr>
            </w:pPr>
          </w:p>
          <w:p w:rsidRPr="00AE1B2B" w:rsidR="009D3FB5" w:rsidP="00163B94" w:rsidRDefault="009D3FB5" w14:paraId="6F18C09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es el total de expedientes firmadas por las personas juzgadoras del despacho, se obtiene de la consulta en el Escritorio Virtual, a las Estadísticas - Firmado / Proveído. Consulta por detalle del documento y expedientes por cada una de las personas juzgadoras.</w:t>
            </w:r>
          </w:p>
        </w:tc>
      </w:tr>
      <w:tr w:rsidRPr="00AE1B2B" w:rsidR="00AE1B2B" w:rsidTr="0007105A" w14:paraId="60CB6A1D" w14:textId="77777777">
        <w:trPr>
          <w:cantSplit/>
          <w:trHeight w:val="20"/>
          <w:jc w:val="center"/>
        </w:trPr>
        <w:tc>
          <w:tcPr>
            <w:tcW w:w="481" w:type="pct"/>
            <w:vMerge/>
            <w:shd w:val="clear" w:color="auto" w:fill="C5E0B3" w:themeFill="accent6" w:themeFillTint="66"/>
          </w:tcPr>
          <w:p w:rsidRPr="00AE1B2B" w:rsidR="009D3FB5" w:rsidP="00163B94" w:rsidRDefault="009D3FB5" w14:paraId="7525B797"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FFFFFF" w:themeFill="background1"/>
            <w:vAlign w:val="center"/>
          </w:tcPr>
          <w:p w:rsidRPr="00AE1B2B" w:rsidR="009D3FB5" w:rsidP="00163B94" w:rsidRDefault="009D3FB5" w14:paraId="430122E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32</w:t>
            </w:r>
          </w:p>
        </w:tc>
        <w:tc>
          <w:tcPr>
            <w:tcW w:w="996" w:type="pct"/>
            <w:shd w:val="clear" w:color="auto" w:fill="auto"/>
            <w:vAlign w:val="center"/>
          </w:tcPr>
          <w:p w:rsidRPr="00AE1B2B" w:rsidR="009D3FB5" w:rsidP="00163B94" w:rsidRDefault="009D3FB5" w14:paraId="1DA3D18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expedientes pendientes de firma por persona juzgadora</w:t>
            </w:r>
          </w:p>
        </w:tc>
        <w:tc>
          <w:tcPr>
            <w:tcW w:w="3163" w:type="pct"/>
            <w:shd w:val="clear" w:color="auto" w:fill="auto"/>
            <w:vAlign w:val="center"/>
          </w:tcPr>
          <w:p w:rsidRPr="00AE1B2B" w:rsidR="009D3FB5" w:rsidP="00163B94" w:rsidRDefault="009D3FB5" w14:paraId="30A90B72"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Cantidad de expedientes pendientes de firma por persona juzgadora.</w:t>
            </w:r>
          </w:p>
          <w:p w:rsidRPr="00AE1B2B" w:rsidR="009D3FB5" w:rsidP="00163B94" w:rsidRDefault="009D3FB5" w14:paraId="6028D620" w14:textId="77777777">
            <w:pPr>
              <w:spacing w:before="120" w:after="120" w:line="276" w:lineRule="auto"/>
              <w:rPr>
                <w:rFonts w:ascii="Times New Roman" w:hAnsi="Times New Roman" w:eastAsia="Times New Roman" w:cs="Times New Roman"/>
                <w:lang w:eastAsia="es-CR"/>
              </w:rPr>
            </w:pPr>
          </w:p>
          <w:p w:rsidRPr="00AE1B2B" w:rsidR="009D3FB5" w:rsidP="00163B94" w:rsidRDefault="009D3FB5" w14:paraId="19AB6EE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es el total de expedientes pendientes de firma por las personas juzgadoras del despacho, se obtiene de la consulta en el Escritorio Virtual, a las estadísticas de firmado de expedientes pendiente de firma para cada una de las personas juzgadoras.</w:t>
            </w:r>
          </w:p>
        </w:tc>
      </w:tr>
      <w:tr w:rsidRPr="00AE1B2B" w:rsidR="00AE1B2B" w:rsidTr="0007105A" w14:paraId="4245E8DA" w14:textId="77777777">
        <w:trPr>
          <w:cantSplit/>
          <w:trHeight w:val="20"/>
          <w:jc w:val="center"/>
        </w:trPr>
        <w:tc>
          <w:tcPr>
            <w:tcW w:w="481" w:type="pct"/>
            <w:vMerge/>
            <w:shd w:val="clear" w:color="auto" w:fill="C5E0B3" w:themeFill="accent6" w:themeFillTint="66"/>
          </w:tcPr>
          <w:p w:rsidRPr="00AE1B2B" w:rsidR="009D3FB5" w:rsidP="00163B94" w:rsidRDefault="009D3FB5" w14:paraId="76B2C993"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FFFFFF" w:themeFill="background1"/>
            <w:vAlign w:val="center"/>
          </w:tcPr>
          <w:p w:rsidRPr="00AE1B2B" w:rsidR="009D3FB5" w:rsidP="00163B94" w:rsidRDefault="009D3FB5" w14:paraId="43EC13F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33</w:t>
            </w:r>
          </w:p>
        </w:tc>
        <w:tc>
          <w:tcPr>
            <w:tcW w:w="996" w:type="pct"/>
            <w:shd w:val="clear" w:color="auto" w:fill="auto"/>
            <w:vAlign w:val="center"/>
            <w:hideMark/>
          </w:tcPr>
          <w:p w:rsidRPr="00AE1B2B" w:rsidR="009D3FB5" w:rsidP="00163B94" w:rsidRDefault="009D3FB5" w14:paraId="52C61B6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sentencias dictadas por persona juzgadora</w:t>
            </w:r>
          </w:p>
        </w:tc>
        <w:tc>
          <w:tcPr>
            <w:tcW w:w="3163" w:type="pct"/>
            <w:shd w:val="clear" w:color="auto" w:fill="auto"/>
            <w:vAlign w:val="center"/>
            <w:hideMark/>
          </w:tcPr>
          <w:p w:rsidRPr="00AE1B2B" w:rsidR="009D3FB5" w:rsidP="00163B94" w:rsidRDefault="009D3FB5" w14:paraId="15154AB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Por acuerdo del Equipo Gestor, es la cantidad global de sentencias dictadas por cada persona juzgadora, según la división del tipo: </w:t>
            </w:r>
            <w:r w:rsidRPr="00AE1B2B">
              <w:rPr>
                <w:rFonts w:ascii="Times New Roman" w:hAnsi="Times New Roman" w:eastAsia="Times New Roman" w:cs="Times New Roman"/>
                <w:i/>
                <w:iCs/>
                <w:lang w:eastAsia="es-CR"/>
              </w:rPr>
              <w:t>Sentencias Principal, Sentencia Dictada, Sentencia Homologatoria, Sentencias II Instancia, Sentencia Incidentes, Sentencia Mutuos y Resoluciones Otros motivos de términos.</w:t>
            </w:r>
          </w:p>
          <w:p w:rsidRPr="00AE1B2B" w:rsidR="009D3FB5" w:rsidP="00163B94" w:rsidRDefault="009D3FB5" w14:paraId="6CE0B06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se obtiene del libro en el que se consigne las fechas de pase a fallo del expediente (Módulo de pase a fallo del Escritorio Virtual o Libro de Pase a Fallo).</w:t>
            </w:r>
          </w:p>
          <w:p w:rsidRPr="00AE1B2B" w:rsidR="009D3FB5" w:rsidP="00163B94" w:rsidRDefault="009D3FB5" w14:paraId="02DBB89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define luego de la aprobación de la cuota de trabajo para el terminado por cada tipo.</w:t>
            </w:r>
          </w:p>
        </w:tc>
      </w:tr>
      <w:tr w:rsidRPr="00AE1B2B" w:rsidR="00AE1B2B" w:rsidTr="0007105A" w14:paraId="75C91A62" w14:textId="77777777">
        <w:trPr>
          <w:cantSplit/>
          <w:trHeight w:val="20"/>
          <w:jc w:val="center"/>
        </w:trPr>
        <w:tc>
          <w:tcPr>
            <w:tcW w:w="481" w:type="pct"/>
            <w:vMerge/>
            <w:shd w:val="clear" w:color="auto" w:fill="C5E0B3" w:themeFill="accent6" w:themeFillTint="66"/>
          </w:tcPr>
          <w:p w:rsidRPr="00AE1B2B" w:rsidR="009D3FB5" w:rsidP="00163B94" w:rsidRDefault="009D3FB5" w14:paraId="0F02C52C"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FFFFFF" w:themeFill="background1"/>
            <w:vAlign w:val="center"/>
          </w:tcPr>
          <w:p w:rsidRPr="00AE1B2B" w:rsidR="009D3FB5" w:rsidP="00163B94" w:rsidRDefault="009D3FB5" w14:paraId="7852E88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34</w:t>
            </w:r>
          </w:p>
        </w:tc>
        <w:tc>
          <w:tcPr>
            <w:tcW w:w="996" w:type="pct"/>
            <w:shd w:val="clear" w:color="auto" w:fill="FFFFFF" w:themeFill="background1"/>
            <w:vAlign w:val="center"/>
            <w:hideMark/>
          </w:tcPr>
          <w:p w:rsidRPr="00AE1B2B" w:rsidR="009D3FB5" w:rsidP="00163B94" w:rsidRDefault="009D3FB5" w14:paraId="1FAF37B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sentencias dictadas por apoyo de jueces del CACMFJ</w:t>
            </w:r>
          </w:p>
        </w:tc>
        <w:tc>
          <w:tcPr>
            <w:tcW w:w="3163" w:type="pct"/>
            <w:shd w:val="clear" w:color="auto" w:fill="auto"/>
            <w:vAlign w:val="center"/>
            <w:hideMark/>
          </w:tcPr>
          <w:p w:rsidRPr="00AE1B2B" w:rsidR="009D3FB5" w:rsidP="00163B94" w:rsidRDefault="009D3FB5" w14:paraId="1FF95BF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Cantidad de sentencias registradas por el Centro de Apoyo, Coordinación y Mejoramiento de la Función Jurisdiccional.</w:t>
            </w:r>
          </w:p>
          <w:p w:rsidRPr="00AE1B2B" w:rsidR="009D3FB5" w:rsidP="00163B94" w:rsidRDefault="009D3FB5" w14:paraId="3C4B0A6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se obtiene del libro en el que se consigne las fechas de pase a fallo del expediente (Módulo de pase a fallo del Escritorio Virtual o Libro de Pase a Fallo).</w:t>
            </w:r>
          </w:p>
          <w:p w:rsidRPr="00AE1B2B" w:rsidR="009D3FB5" w:rsidP="00163B94" w:rsidRDefault="009D3FB5" w14:paraId="25DBA15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No se define parámetro para este indicador.</w:t>
            </w:r>
          </w:p>
        </w:tc>
      </w:tr>
      <w:tr w:rsidRPr="00AE1B2B" w:rsidR="00AE1B2B" w:rsidTr="0007105A" w14:paraId="455DF490" w14:textId="77777777">
        <w:trPr>
          <w:cantSplit/>
          <w:trHeight w:val="20"/>
          <w:jc w:val="center"/>
        </w:trPr>
        <w:tc>
          <w:tcPr>
            <w:tcW w:w="481" w:type="pct"/>
            <w:vMerge/>
            <w:shd w:val="clear" w:color="auto" w:fill="C5E0B3" w:themeFill="accent6" w:themeFillTint="66"/>
          </w:tcPr>
          <w:p w:rsidRPr="00AE1B2B" w:rsidR="009D3FB5" w:rsidP="00163B94" w:rsidRDefault="009D3FB5" w14:paraId="3F062002" w14:textId="77777777">
            <w:pPr>
              <w:spacing w:before="120" w:after="120" w:line="276" w:lineRule="auto"/>
              <w:jc w:val="center"/>
              <w:rPr>
                <w:rFonts w:ascii="Times New Roman" w:hAnsi="Times New Roman" w:eastAsia="Times New Roman" w:cs="Times New Roman"/>
                <w:b/>
                <w:bCs/>
                <w:lang w:eastAsia="es-CR"/>
              </w:rPr>
            </w:pPr>
          </w:p>
        </w:tc>
        <w:tc>
          <w:tcPr>
            <w:tcW w:w="360" w:type="pct"/>
            <w:shd w:val="clear" w:color="auto" w:fill="auto"/>
            <w:vAlign w:val="center"/>
          </w:tcPr>
          <w:p w:rsidRPr="00AE1B2B" w:rsidR="009D3FB5" w:rsidP="00163B94" w:rsidRDefault="009D3FB5" w14:paraId="6906B0A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35</w:t>
            </w:r>
          </w:p>
        </w:tc>
        <w:tc>
          <w:tcPr>
            <w:tcW w:w="996" w:type="pct"/>
            <w:shd w:val="clear" w:color="auto" w:fill="auto"/>
            <w:vAlign w:val="center"/>
            <w:hideMark/>
          </w:tcPr>
          <w:p w:rsidRPr="00AE1B2B" w:rsidR="009D3FB5" w:rsidP="00163B94" w:rsidRDefault="009D3FB5" w14:paraId="40B5201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rendimiento por persona juzgadora</w:t>
            </w:r>
          </w:p>
        </w:tc>
        <w:tc>
          <w:tcPr>
            <w:tcW w:w="3163" w:type="pct"/>
            <w:shd w:val="clear" w:color="auto" w:fill="auto"/>
            <w:vAlign w:val="center"/>
            <w:hideMark/>
          </w:tcPr>
          <w:p w:rsidRPr="00AE1B2B" w:rsidR="009D3FB5" w:rsidP="00163B94" w:rsidRDefault="009D3FB5" w14:paraId="7F9DB9A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Se calcula para cada persona juzgadora: </w:t>
            </w:r>
            <w:r w:rsidRPr="00AE1B2B">
              <w:rPr>
                <w:rFonts w:ascii="Times New Roman" w:hAnsi="Times New Roman" w:eastAsia="Times New Roman" w:cs="Times New Roman"/>
                <w:i/>
                <w:iCs/>
                <w:lang w:eastAsia="es-CR"/>
              </w:rPr>
              <w:t>(Cantidad de Sentencias y Otras Resoluciones dictadas / Cantidad de Sentencias y Resoluciones a realizar según cuota de trabajo)</w:t>
            </w:r>
            <w:r w:rsidRPr="00AE1B2B">
              <w:rPr>
                <w:rFonts w:ascii="Times New Roman" w:hAnsi="Times New Roman" w:eastAsia="Times New Roman" w:cs="Times New Roman"/>
                <w:lang w:eastAsia="es-CR"/>
              </w:rPr>
              <w:t>.</w:t>
            </w:r>
          </w:p>
          <w:p w:rsidRPr="00AE1B2B" w:rsidR="009D3FB5" w:rsidP="00163B94" w:rsidRDefault="009D3FB5" w14:paraId="60E7E93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toma en cuenta los días laborados por cada una de las personas juzgadora en el mes, según la cuota de trabajo diaria de sentencias definida.</w:t>
            </w:r>
          </w:p>
          <w:p w:rsidRPr="00AE1B2B" w:rsidR="009D3FB5" w:rsidP="00163B94" w:rsidRDefault="009D3FB5" w14:paraId="3BEB1A5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está definido en 95% a 100%</w:t>
            </w:r>
          </w:p>
        </w:tc>
      </w:tr>
    </w:tbl>
    <w:p w:rsidRPr="00AE1B2B" w:rsidR="009D3FB5" w:rsidP="00163B94" w:rsidRDefault="00BB7720" w14:paraId="407C0F4E" w14:textId="3EA089EB">
      <w:pPr>
        <w:pStyle w:val="Fuentes"/>
        <w:spacing w:before="120" w:after="120"/>
        <w:rPr>
          <w:rFonts w:ascii="Times New Roman" w:hAnsi="Times New Roman" w:cs="Times New Roman"/>
        </w:rPr>
      </w:pPr>
      <w:r w:rsidRPr="00AE1B2B">
        <w:rPr>
          <w:rFonts w:ascii="Times New Roman" w:hAnsi="Times New Roman" w:cs="Times New Roman"/>
        </w:rPr>
        <w:t xml:space="preserve"> </w:t>
      </w:r>
      <w:r w:rsidRPr="00AE1B2B" w:rsidR="009D3FB5">
        <w:rPr>
          <w:rFonts w:ascii="Times New Roman" w:hAnsi="Times New Roman" w:cs="Times New Roman"/>
        </w:rPr>
        <w:t>Fuente: Subproceso de Modernización Institucional</w:t>
      </w:r>
    </w:p>
    <w:p w:rsidRPr="00AE1B2B" w:rsidR="009D3FB5" w:rsidP="00163B94" w:rsidRDefault="009D3FB5" w14:paraId="7263F8C0" w14:textId="77777777">
      <w:pPr>
        <w:spacing w:before="120" w:after="120" w:line="276" w:lineRule="auto"/>
        <w:rPr>
          <w:rFonts w:ascii="Times New Roman" w:hAnsi="Times New Roman" w:cs="Times New Roman"/>
          <w:sz w:val="24"/>
          <w:szCs w:val="24"/>
        </w:rPr>
      </w:pPr>
    </w:p>
    <w:p w:rsidRPr="00AE1B2B" w:rsidR="009D3FB5" w:rsidP="00163B94" w:rsidRDefault="009D3FB5" w14:paraId="004AE0A7" w14:textId="77777777">
      <w:pPr>
        <w:spacing w:before="120" w:after="120" w:line="276" w:lineRule="auto"/>
        <w:rPr>
          <w:rFonts w:ascii="Times New Roman" w:hAnsi="Times New Roman" w:cs="Times New Roman"/>
          <w:sz w:val="24"/>
          <w:szCs w:val="24"/>
        </w:rPr>
      </w:pPr>
    </w:p>
    <w:p w:rsidRPr="00AE1B2B" w:rsidR="009D3FB5" w:rsidP="00163B94" w:rsidRDefault="00014F38" w14:paraId="539926BB" w14:textId="2E0517A0">
      <w:pPr>
        <w:spacing w:before="120" w:after="120"/>
        <w:ind w:left="851" w:right="851" w:firstLine="709"/>
        <w:jc w:val="both"/>
        <w:rPr>
          <w:rFonts w:ascii="Times New Roman" w:hAnsi="Times New Roman" w:cs="Times New Roman"/>
          <w:sz w:val="26"/>
          <w:szCs w:val="26"/>
          <w:u w:color="000000"/>
        </w:rPr>
      </w:pPr>
      <w:r w:rsidRPr="00AE1B2B">
        <w:rPr>
          <w:rFonts w:ascii="Times New Roman" w:hAnsi="Times New Roman" w:cs="Times New Roman"/>
          <w:sz w:val="26"/>
          <w:szCs w:val="26"/>
          <w:u w:color="000000"/>
        </w:rPr>
        <w:t xml:space="preserve">7.1 </w:t>
      </w:r>
      <w:r w:rsidRPr="00AE1B2B" w:rsidR="009D3FB5">
        <w:rPr>
          <w:rFonts w:ascii="Times New Roman" w:hAnsi="Times New Roman" w:cs="Times New Roman"/>
          <w:sz w:val="26"/>
          <w:szCs w:val="26"/>
          <w:u w:color="000000"/>
        </w:rPr>
        <w:t>Carga de trabajo en materia de Familia-cuota</w:t>
      </w:r>
    </w:p>
    <w:p w:rsidRPr="00AE1B2B" w:rsidR="009D3FB5" w:rsidP="00163B94" w:rsidRDefault="009D3FB5" w14:paraId="356FB96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A27F0F2"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cs="Times New Roman"/>
          <w:sz w:val="26"/>
          <w:szCs w:val="26"/>
        </w:rPr>
        <w:t>De conformidad con el oficio 656-PLA-RH-MI-2020, l</w:t>
      </w:r>
      <w:r w:rsidRPr="00AE1B2B">
        <w:rPr>
          <w:rFonts w:ascii="Times New Roman" w:hAnsi="Times New Roman" w:cs="Times New Roman"/>
          <w:sz w:val="26"/>
          <w:szCs w:val="26"/>
          <w:lang w:eastAsia="es-CR"/>
        </w:rPr>
        <w:t xml:space="preserve">a carga de trabajo de asuntos entrados (nuevos, reentrados, incidentes y segunda instancia) en los Juzgados Especializados en materia de Familia es de 74 casos al mes por persona juzgadora y de 47 por persona técnica judicial </w:t>
      </w:r>
      <w:r w:rsidRPr="00AE1B2B">
        <w:rPr>
          <w:rFonts w:ascii="Times New Roman" w:hAnsi="Times New Roman" w:cs="Times New Roman"/>
          <w:b/>
          <w:bCs/>
          <w:sz w:val="26"/>
          <w:szCs w:val="26"/>
          <w:lang w:eastAsia="es-CR"/>
        </w:rPr>
        <w:t>de trámite</w:t>
      </w:r>
      <w:r w:rsidRPr="00AE1B2B">
        <w:rPr>
          <w:rFonts w:ascii="Times New Roman" w:hAnsi="Times New Roman" w:cs="Times New Roman"/>
          <w:sz w:val="26"/>
          <w:szCs w:val="26"/>
          <w:lang w:eastAsia="es-CR"/>
        </w:rPr>
        <w:t xml:space="preserve">, esto según la información de la cantidad promedio mensual de asuntos entrados de 2015 a 2019, resultado que </w:t>
      </w:r>
      <w:r w:rsidRPr="00AE1B2B">
        <w:rPr>
          <w:rFonts w:ascii="Times New Roman" w:hAnsi="Times New Roman" w:cs="Times New Roman"/>
          <w:b/>
          <w:sz w:val="26"/>
          <w:szCs w:val="26"/>
          <w:lang w:eastAsia="es-CR"/>
        </w:rPr>
        <w:t xml:space="preserve">se </w:t>
      </w:r>
      <w:r w:rsidRPr="00AE1B2B">
        <w:rPr>
          <w:rFonts w:ascii="Times New Roman" w:hAnsi="Times New Roman" w:cs="Times New Roman"/>
          <w:bCs/>
          <w:sz w:val="26"/>
          <w:szCs w:val="26"/>
          <w:lang w:eastAsia="es-CR"/>
        </w:rPr>
        <w:t>utiliza</w:t>
      </w:r>
      <w:r w:rsidRPr="00AE1B2B">
        <w:rPr>
          <w:rFonts w:ascii="Times New Roman" w:hAnsi="Times New Roman" w:cs="Times New Roman"/>
          <w:sz w:val="26"/>
          <w:szCs w:val="26"/>
          <w:lang w:eastAsia="es-CR"/>
        </w:rPr>
        <w:t xml:space="preserve"> como cuota de trabajo para estos juzgados. Esta información también se respalda con los parámetros </w:t>
      </w:r>
      <w:r w:rsidRPr="00AE1B2B">
        <w:rPr>
          <w:rFonts w:ascii="Times New Roman" w:hAnsi="Times New Roman" w:eastAsia="Calibri" w:cs="Times New Roman"/>
          <w:sz w:val="26"/>
          <w:szCs w:val="26"/>
        </w:rPr>
        <w:t>de la matriz de indicadores de gestión basados en los resultados del Rediseño Cartago y San Carlos y según los principales tipos de procesos terminados de la siguiente forma:</w:t>
      </w:r>
    </w:p>
    <w:p w:rsidRPr="00AE1B2B" w:rsidR="009D3FB5" w:rsidP="00163B94" w:rsidRDefault="009D3FB5" w14:paraId="09532F90" w14:textId="77777777">
      <w:pPr>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57544AE7"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17</w:t>
      </w:r>
      <w:r w:rsidRPr="00AE1B2B">
        <w:rPr>
          <w:rFonts w:ascii="Times New Roman" w:hAnsi="Times New Roman" w:cs="Times New Roman"/>
          <w:sz w:val="26"/>
          <w:szCs w:val="26"/>
        </w:rPr>
        <w:fldChar w:fldCharType="end"/>
      </w:r>
    </w:p>
    <w:p w:rsidRPr="00AE1B2B" w:rsidR="009D3FB5" w:rsidP="00163B94" w:rsidRDefault="009D3FB5" w14:paraId="57CA6478" w14:textId="77777777">
      <w:pPr>
        <w:spacing w:before="120" w:after="120"/>
        <w:ind w:left="851" w:right="851" w:firstLine="709"/>
        <w:jc w:val="center"/>
        <w:rPr>
          <w:rFonts w:ascii="Times New Roman" w:hAnsi="Times New Roman" w:cs="Times New Roman"/>
          <w:b/>
          <w:bCs/>
          <w:sz w:val="26"/>
          <w:szCs w:val="26"/>
          <w:lang w:val="es-ES" w:eastAsia="es-ES"/>
        </w:rPr>
      </w:pPr>
      <w:r w:rsidRPr="00AE1B2B">
        <w:rPr>
          <w:rFonts w:ascii="Times New Roman" w:hAnsi="Times New Roman" w:cs="Times New Roman"/>
          <w:b/>
          <w:bCs/>
          <w:sz w:val="26"/>
          <w:szCs w:val="26"/>
          <w:lang w:val="es-ES" w:eastAsia="es-ES"/>
        </w:rPr>
        <w:t>Distribución por tipo de terminado de la cuota de trabajo mensual por plaza de persona juzgadora de Familia, 2021</w:t>
      </w:r>
    </w:p>
    <w:p w:rsidRPr="00AE1B2B" w:rsidR="009D3FB5" w:rsidP="00163B94" w:rsidRDefault="009D3FB5" w14:paraId="0A7D46A9" w14:textId="77777777">
      <w:pPr>
        <w:spacing w:before="120" w:after="120"/>
        <w:jc w:val="center"/>
        <w:rPr>
          <w:rFonts w:ascii="Times New Roman" w:hAnsi="Times New Roman" w:cs="Times New Roman"/>
          <w:b/>
          <w:bCs/>
          <w:szCs w:val="24"/>
          <w:lang w:val="es-ES" w:eastAsia="es-ES"/>
        </w:rPr>
      </w:pPr>
    </w:p>
    <w:tbl>
      <w:tblPr>
        <w:tblW w:w="5000" w:type="pct"/>
        <w:tblLook w:val="04A0" w:firstRow="1" w:lastRow="0" w:firstColumn="1" w:lastColumn="0" w:noHBand="0" w:noVBand="1"/>
      </w:tblPr>
      <w:tblGrid>
        <w:gridCol w:w="1024"/>
        <w:gridCol w:w="1096"/>
        <w:gridCol w:w="991"/>
        <w:gridCol w:w="1274"/>
        <w:gridCol w:w="1059"/>
        <w:gridCol w:w="919"/>
        <w:gridCol w:w="874"/>
        <w:gridCol w:w="919"/>
        <w:gridCol w:w="672"/>
      </w:tblGrid>
      <w:tr w:rsidRPr="00AE1B2B" w:rsidR="00AE1B2B" w:rsidTr="0007105A" w14:paraId="78FD408E" w14:textId="77777777">
        <w:trPr>
          <w:trHeight w:val="70"/>
        </w:trPr>
        <w:tc>
          <w:tcPr>
            <w:tcW w:w="646"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030C6690" w14:textId="77777777">
            <w:pPr>
              <w:spacing w:before="120" w:after="120"/>
              <w:jc w:val="center"/>
              <w:rPr>
                <w:rFonts w:ascii="Times New Roman" w:hAnsi="Times New Roman" w:eastAsia="Times New Roman" w:cs="Times New Roman"/>
                <w:b/>
                <w:bCs/>
                <w:sz w:val="16"/>
                <w:szCs w:val="16"/>
              </w:rPr>
            </w:pPr>
            <w:r w:rsidRPr="00AE1B2B">
              <w:rPr>
                <w:rFonts w:ascii="Times New Roman" w:hAnsi="Times New Roman" w:eastAsia="Times New Roman" w:cs="Times New Roman"/>
                <w:b/>
                <w:bCs/>
                <w:sz w:val="16"/>
                <w:szCs w:val="16"/>
              </w:rPr>
              <w:t>Divorcio o separación por mutuo</w:t>
            </w:r>
          </w:p>
        </w:tc>
        <w:tc>
          <w:tcPr>
            <w:tcW w:w="1294" w:type="pct"/>
            <w:gridSpan w:val="2"/>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0DC75963" w14:textId="77777777">
            <w:pPr>
              <w:spacing w:before="120" w:after="120"/>
              <w:jc w:val="center"/>
              <w:rPr>
                <w:rFonts w:ascii="Times New Roman" w:hAnsi="Times New Roman" w:eastAsia="Times New Roman" w:cs="Times New Roman"/>
                <w:b/>
                <w:bCs/>
                <w:sz w:val="16"/>
                <w:szCs w:val="16"/>
              </w:rPr>
            </w:pPr>
            <w:r w:rsidRPr="00AE1B2B">
              <w:rPr>
                <w:rFonts w:ascii="Times New Roman" w:hAnsi="Times New Roman" w:eastAsia="Times New Roman" w:cs="Times New Roman"/>
                <w:b/>
                <w:bCs/>
                <w:sz w:val="16"/>
                <w:szCs w:val="16"/>
              </w:rPr>
              <w:t>Resoluciones por otros motivos de término</w:t>
            </w:r>
          </w:p>
        </w:tc>
        <w:tc>
          <w:tcPr>
            <w:tcW w:w="738"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33BCF1DA" w14:textId="77777777">
            <w:pPr>
              <w:spacing w:before="120" w:after="120"/>
              <w:jc w:val="center"/>
              <w:rPr>
                <w:rFonts w:ascii="Times New Roman" w:hAnsi="Times New Roman" w:eastAsia="Times New Roman" w:cs="Times New Roman"/>
                <w:b/>
                <w:bCs/>
                <w:sz w:val="16"/>
                <w:szCs w:val="16"/>
              </w:rPr>
            </w:pPr>
            <w:r w:rsidRPr="00AE1B2B">
              <w:rPr>
                <w:rFonts w:ascii="Times New Roman" w:hAnsi="Times New Roman" w:eastAsia="Times New Roman" w:cs="Times New Roman"/>
                <w:b/>
                <w:bCs/>
                <w:sz w:val="16"/>
                <w:szCs w:val="16"/>
              </w:rPr>
              <w:t>Sentencia dictada</w:t>
            </w:r>
          </w:p>
        </w:tc>
        <w:tc>
          <w:tcPr>
            <w:tcW w:w="1018" w:type="pct"/>
            <w:gridSpan w:val="2"/>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7296FC3A" w14:textId="77777777">
            <w:pPr>
              <w:spacing w:before="120" w:after="120"/>
              <w:jc w:val="center"/>
              <w:rPr>
                <w:rFonts w:ascii="Times New Roman" w:hAnsi="Times New Roman" w:eastAsia="Times New Roman" w:cs="Times New Roman"/>
                <w:b/>
                <w:bCs/>
                <w:sz w:val="16"/>
                <w:szCs w:val="16"/>
              </w:rPr>
            </w:pPr>
            <w:r w:rsidRPr="00AE1B2B">
              <w:rPr>
                <w:rFonts w:ascii="Times New Roman" w:hAnsi="Times New Roman" w:eastAsia="Times New Roman" w:cs="Times New Roman"/>
                <w:b/>
                <w:bCs/>
                <w:sz w:val="16"/>
                <w:szCs w:val="16"/>
              </w:rPr>
              <w:t>Sentencias homologatorias</w:t>
            </w:r>
          </w:p>
        </w:tc>
        <w:tc>
          <w:tcPr>
            <w:tcW w:w="509"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25573A94" w14:textId="77777777">
            <w:pPr>
              <w:spacing w:before="120" w:after="120"/>
              <w:jc w:val="center"/>
              <w:rPr>
                <w:rFonts w:ascii="Times New Roman" w:hAnsi="Times New Roman" w:eastAsia="Times New Roman" w:cs="Times New Roman"/>
                <w:b/>
                <w:bCs/>
                <w:sz w:val="16"/>
                <w:szCs w:val="16"/>
              </w:rPr>
            </w:pPr>
            <w:r w:rsidRPr="00AE1B2B">
              <w:rPr>
                <w:rFonts w:ascii="Times New Roman" w:hAnsi="Times New Roman" w:eastAsia="Times New Roman" w:cs="Times New Roman"/>
                <w:b/>
                <w:bCs/>
                <w:sz w:val="16"/>
                <w:szCs w:val="16"/>
              </w:rPr>
              <w:t>Sentencia de segunda instancia</w:t>
            </w:r>
          </w:p>
        </w:tc>
        <w:tc>
          <w:tcPr>
            <w:tcW w:w="398"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1E6EFCD6" w14:textId="77777777">
            <w:pPr>
              <w:spacing w:before="120" w:after="120"/>
              <w:jc w:val="center"/>
              <w:rPr>
                <w:rFonts w:ascii="Times New Roman" w:hAnsi="Times New Roman" w:eastAsia="Times New Roman" w:cs="Times New Roman"/>
                <w:b/>
                <w:bCs/>
                <w:sz w:val="16"/>
                <w:szCs w:val="16"/>
              </w:rPr>
            </w:pPr>
            <w:r w:rsidRPr="00AE1B2B">
              <w:rPr>
                <w:rFonts w:ascii="Times New Roman" w:hAnsi="Times New Roman" w:eastAsia="Times New Roman" w:cs="Times New Roman"/>
                <w:b/>
                <w:bCs/>
                <w:sz w:val="16"/>
                <w:szCs w:val="16"/>
              </w:rPr>
              <w:t>Sentencia en Incidentes</w:t>
            </w:r>
          </w:p>
        </w:tc>
        <w:tc>
          <w:tcPr>
            <w:tcW w:w="397"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22E652A5" w14:textId="77777777">
            <w:pPr>
              <w:spacing w:before="120" w:after="120"/>
              <w:jc w:val="center"/>
              <w:rPr>
                <w:rFonts w:ascii="Times New Roman" w:hAnsi="Times New Roman" w:eastAsia="Times New Roman" w:cs="Times New Roman"/>
                <w:b/>
                <w:bCs/>
                <w:sz w:val="20"/>
                <w:szCs w:val="20"/>
              </w:rPr>
            </w:pPr>
            <w:r w:rsidRPr="00AE1B2B">
              <w:rPr>
                <w:rFonts w:ascii="Times New Roman" w:hAnsi="Times New Roman" w:eastAsia="Times New Roman" w:cs="Times New Roman"/>
                <w:b/>
                <w:bCs/>
                <w:sz w:val="20"/>
                <w:szCs w:val="20"/>
              </w:rPr>
              <w:t>Total</w:t>
            </w:r>
          </w:p>
        </w:tc>
      </w:tr>
      <w:tr w:rsidRPr="00AE1B2B" w:rsidR="00AE1B2B" w:rsidTr="0007105A" w14:paraId="01856A35" w14:textId="77777777">
        <w:trPr>
          <w:trHeight w:val="315"/>
        </w:trPr>
        <w:tc>
          <w:tcPr>
            <w:tcW w:w="646"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26A285C4" w14:textId="77777777">
            <w:pPr>
              <w:spacing w:before="120" w:after="120"/>
              <w:jc w:val="center"/>
              <w:rPr>
                <w:rFonts w:ascii="Times New Roman" w:hAnsi="Times New Roman" w:eastAsia="Times New Roman" w:cs="Times New Roman"/>
                <w:sz w:val="20"/>
                <w:szCs w:val="20"/>
              </w:rPr>
            </w:pPr>
            <w:r w:rsidRPr="00AE1B2B">
              <w:rPr>
                <w:rFonts w:ascii="Times New Roman" w:hAnsi="Times New Roman" w:cs="Times New Roman"/>
                <w:sz w:val="20"/>
                <w:szCs w:val="20"/>
              </w:rPr>
              <w:t>23</w:t>
            </w:r>
          </w:p>
        </w:tc>
        <w:tc>
          <w:tcPr>
            <w:tcW w:w="1294" w:type="pct"/>
            <w:gridSpan w:val="2"/>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3F2858C" w14:textId="77777777">
            <w:pPr>
              <w:spacing w:before="120" w:after="120"/>
              <w:jc w:val="center"/>
              <w:rPr>
                <w:rFonts w:ascii="Times New Roman" w:hAnsi="Times New Roman" w:eastAsia="Times New Roman" w:cs="Times New Roman"/>
                <w:sz w:val="20"/>
                <w:szCs w:val="20"/>
              </w:rPr>
            </w:pPr>
            <w:r w:rsidRPr="00AE1B2B">
              <w:rPr>
                <w:rFonts w:ascii="Times New Roman" w:hAnsi="Times New Roman" w:cs="Times New Roman"/>
                <w:sz w:val="20"/>
                <w:szCs w:val="20"/>
              </w:rPr>
              <w:t>19</w:t>
            </w:r>
          </w:p>
        </w:tc>
        <w:tc>
          <w:tcPr>
            <w:tcW w:w="73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9FA216D" w14:textId="77777777">
            <w:pPr>
              <w:spacing w:before="120" w:after="120"/>
              <w:jc w:val="center"/>
              <w:rPr>
                <w:rFonts w:ascii="Times New Roman" w:hAnsi="Times New Roman" w:eastAsia="Times New Roman" w:cs="Times New Roman"/>
                <w:sz w:val="20"/>
                <w:szCs w:val="20"/>
              </w:rPr>
            </w:pPr>
            <w:r w:rsidRPr="00AE1B2B">
              <w:rPr>
                <w:rFonts w:ascii="Times New Roman" w:hAnsi="Times New Roman" w:cs="Times New Roman"/>
                <w:sz w:val="20"/>
                <w:szCs w:val="20"/>
              </w:rPr>
              <w:t>16</w:t>
            </w:r>
          </w:p>
        </w:tc>
        <w:tc>
          <w:tcPr>
            <w:tcW w:w="1018" w:type="pct"/>
            <w:gridSpan w:val="2"/>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BE13D13" w14:textId="77777777">
            <w:pPr>
              <w:spacing w:before="120" w:after="120"/>
              <w:jc w:val="center"/>
              <w:rPr>
                <w:rFonts w:ascii="Times New Roman" w:hAnsi="Times New Roman" w:eastAsia="Times New Roman" w:cs="Times New Roman"/>
                <w:sz w:val="20"/>
                <w:szCs w:val="20"/>
              </w:rPr>
            </w:pPr>
            <w:r w:rsidRPr="00AE1B2B">
              <w:rPr>
                <w:rFonts w:ascii="Times New Roman" w:hAnsi="Times New Roman" w:cs="Times New Roman"/>
                <w:sz w:val="20"/>
                <w:szCs w:val="20"/>
              </w:rPr>
              <w:t>5</w:t>
            </w:r>
          </w:p>
        </w:tc>
        <w:tc>
          <w:tcPr>
            <w:tcW w:w="50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AF0B9A7" w14:textId="77777777">
            <w:pPr>
              <w:spacing w:before="120" w:after="120"/>
              <w:jc w:val="center"/>
              <w:rPr>
                <w:rFonts w:ascii="Times New Roman" w:hAnsi="Times New Roman" w:eastAsia="Times New Roman" w:cs="Times New Roman"/>
                <w:sz w:val="20"/>
                <w:szCs w:val="20"/>
              </w:rPr>
            </w:pPr>
            <w:r w:rsidRPr="00AE1B2B">
              <w:rPr>
                <w:rFonts w:ascii="Times New Roman" w:hAnsi="Times New Roman" w:cs="Times New Roman"/>
                <w:sz w:val="20"/>
                <w:szCs w:val="20"/>
              </w:rPr>
              <w:t>13</w:t>
            </w:r>
          </w:p>
        </w:tc>
        <w:tc>
          <w:tcPr>
            <w:tcW w:w="39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00EF489" w14:textId="77777777">
            <w:pPr>
              <w:spacing w:before="120" w:after="120"/>
              <w:jc w:val="center"/>
              <w:rPr>
                <w:rFonts w:ascii="Times New Roman" w:hAnsi="Times New Roman" w:eastAsia="Times New Roman" w:cs="Times New Roman"/>
                <w:sz w:val="20"/>
                <w:szCs w:val="20"/>
              </w:rPr>
            </w:pPr>
            <w:r w:rsidRPr="00AE1B2B">
              <w:rPr>
                <w:rFonts w:ascii="Times New Roman" w:hAnsi="Times New Roman" w:cs="Times New Roman"/>
                <w:sz w:val="20"/>
                <w:szCs w:val="20"/>
              </w:rPr>
              <w:t>1</w:t>
            </w:r>
          </w:p>
        </w:tc>
        <w:tc>
          <w:tcPr>
            <w:tcW w:w="39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8C826CE" w14:textId="77777777">
            <w:pPr>
              <w:spacing w:before="120" w:after="120"/>
              <w:jc w:val="center"/>
              <w:rPr>
                <w:rFonts w:ascii="Times New Roman" w:hAnsi="Times New Roman" w:eastAsia="Times New Roman" w:cs="Times New Roman"/>
                <w:sz w:val="20"/>
                <w:szCs w:val="20"/>
              </w:rPr>
            </w:pPr>
            <w:r w:rsidRPr="00AE1B2B">
              <w:rPr>
                <w:rFonts w:ascii="Times New Roman" w:hAnsi="Times New Roman" w:cs="Times New Roman"/>
                <w:sz w:val="20"/>
                <w:szCs w:val="20"/>
              </w:rPr>
              <w:t>77</w:t>
            </w:r>
          </w:p>
        </w:tc>
      </w:tr>
      <w:tr w:rsidRPr="00AE1B2B" w:rsidR="00AE1B2B" w:rsidTr="0007105A" w14:paraId="7DD0D69F" w14:textId="77777777">
        <w:trPr>
          <w:gridAfter w:val="2"/>
          <w:wAfter w:w="795" w:type="pct"/>
          <w:trHeight w:val="70"/>
        </w:trPr>
        <w:tc>
          <w:tcPr>
            <w:tcW w:w="646"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76481DA9" w14:textId="77777777">
            <w:pPr>
              <w:spacing w:before="120" w:after="120"/>
              <w:jc w:val="center"/>
              <w:rPr>
                <w:rFonts w:ascii="Times New Roman" w:hAnsi="Times New Roman" w:eastAsia="Times New Roman" w:cs="Times New Roman"/>
                <w:b/>
                <w:bCs/>
                <w:sz w:val="16"/>
                <w:szCs w:val="16"/>
              </w:rPr>
            </w:pPr>
            <w:r w:rsidRPr="00AE1B2B">
              <w:rPr>
                <w:rFonts w:ascii="Times New Roman" w:hAnsi="Times New Roman" w:eastAsia="Times New Roman" w:cs="Times New Roman"/>
                <w:b/>
                <w:bCs/>
                <w:sz w:val="16"/>
                <w:szCs w:val="16"/>
              </w:rPr>
              <w:t>Divorcio o separación por mutuo</w:t>
            </w:r>
          </w:p>
        </w:tc>
        <w:tc>
          <w:tcPr>
            <w:tcW w:w="647"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47A6D541" w14:textId="77777777">
            <w:pPr>
              <w:spacing w:before="120" w:after="120"/>
              <w:jc w:val="center"/>
              <w:rPr>
                <w:rFonts w:ascii="Times New Roman" w:hAnsi="Times New Roman" w:eastAsia="Times New Roman" w:cs="Times New Roman"/>
                <w:b/>
                <w:bCs/>
                <w:sz w:val="16"/>
                <w:szCs w:val="16"/>
              </w:rPr>
            </w:pPr>
            <w:r w:rsidRPr="00AE1B2B">
              <w:rPr>
                <w:rFonts w:ascii="Times New Roman" w:hAnsi="Times New Roman" w:eastAsia="Times New Roman" w:cs="Times New Roman"/>
                <w:b/>
                <w:bCs/>
                <w:sz w:val="16"/>
                <w:szCs w:val="16"/>
              </w:rPr>
              <w:t>Resoluciones por otros motivos de término</w:t>
            </w:r>
          </w:p>
        </w:tc>
        <w:tc>
          <w:tcPr>
            <w:tcW w:w="647"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6650038A" w14:textId="77777777">
            <w:pPr>
              <w:spacing w:before="120" w:after="120"/>
              <w:jc w:val="center"/>
              <w:rPr>
                <w:rFonts w:ascii="Times New Roman" w:hAnsi="Times New Roman" w:eastAsia="Times New Roman" w:cs="Times New Roman"/>
                <w:b/>
                <w:bCs/>
                <w:sz w:val="16"/>
                <w:szCs w:val="16"/>
              </w:rPr>
            </w:pPr>
            <w:r w:rsidRPr="00AE1B2B">
              <w:rPr>
                <w:rFonts w:ascii="Times New Roman" w:hAnsi="Times New Roman" w:eastAsia="Times New Roman" w:cs="Times New Roman"/>
                <w:b/>
                <w:bCs/>
                <w:sz w:val="16"/>
                <w:szCs w:val="16"/>
              </w:rPr>
              <w:t>Sentencia dictada</w:t>
            </w:r>
          </w:p>
        </w:tc>
        <w:tc>
          <w:tcPr>
            <w:tcW w:w="738"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26A4B8AD" w14:textId="77777777">
            <w:pPr>
              <w:spacing w:before="120" w:after="120"/>
              <w:jc w:val="center"/>
              <w:rPr>
                <w:rFonts w:ascii="Times New Roman" w:hAnsi="Times New Roman" w:eastAsia="Times New Roman" w:cs="Times New Roman"/>
                <w:b/>
                <w:bCs/>
                <w:sz w:val="16"/>
                <w:szCs w:val="16"/>
              </w:rPr>
            </w:pPr>
            <w:r w:rsidRPr="00AE1B2B">
              <w:rPr>
                <w:rFonts w:ascii="Times New Roman" w:hAnsi="Times New Roman" w:eastAsia="Times New Roman" w:cs="Times New Roman"/>
                <w:b/>
                <w:bCs/>
                <w:sz w:val="16"/>
                <w:szCs w:val="16"/>
              </w:rPr>
              <w:t>Sentencias homologatorias</w:t>
            </w:r>
          </w:p>
        </w:tc>
        <w:tc>
          <w:tcPr>
            <w:tcW w:w="694"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184D7BC6" w14:textId="77777777">
            <w:pPr>
              <w:spacing w:before="120" w:after="120"/>
              <w:jc w:val="center"/>
              <w:rPr>
                <w:rFonts w:ascii="Times New Roman" w:hAnsi="Times New Roman" w:eastAsia="Times New Roman" w:cs="Times New Roman"/>
                <w:b/>
                <w:bCs/>
                <w:sz w:val="16"/>
                <w:szCs w:val="16"/>
              </w:rPr>
            </w:pPr>
            <w:r w:rsidRPr="00AE1B2B">
              <w:rPr>
                <w:rFonts w:ascii="Times New Roman" w:hAnsi="Times New Roman" w:eastAsia="Times New Roman" w:cs="Times New Roman"/>
                <w:b/>
                <w:bCs/>
                <w:sz w:val="16"/>
                <w:szCs w:val="16"/>
              </w:rPr>
              <w:t>Sentencia de segunda instancia</w:t>
            </w:r>
          </w:p>
        </w:tc>
        <w:tc>
          <w:tcPr>
            <w:tcW w:w="324"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6F9213DF" w14:textId="77777777">
            <w:pPr>
              <w:spacing w:before="120" w:after="120"/>
              <w:jc w:val="center"/>
              <w:rPr>
                <w:rFonts w:ascii="Times New Roman" w:hAnsi="Times New Roman" w:eastAsia="Times New Roman" w:cs="Times New Roman"/>
                <w:b/>
                <w:bCs/>
                <w:sz w:val="16"/>
                <w:szCs w:val="16"/>
              </w:rPr>
            </w:pPr>
            <w:r w:rsidRPr="00AE1B2B">
              <w:rPr>
                <w:rFonts w:ascii="Times New Roman" w:hAnsi="Times New Roman" w:eastAsia="Times New Roman" w:cs="Times New Roman"/>
                <w:b/>
                <w:bCs/>
                <w:sz w:val="16"/>
                <w:szCs w:val="16"/>
              </w:rPr>
              <w:t>Sentencia en Incidentes</w:t>
            </w:r>
          </w:p>
        </w:tc>
        <w:tc>
          <w:tcPr>
            <w:tcW w:w="509"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52115403" w14:textId="77777777">
            <w:pPr>
              <w:spacing w:before="120" w:after="120"/>
              <w:jc w:val="center"/>
              <w:rPr>
                <w:rFonts w:ascii="Times New Roman" w:hAnsi="Times New Roman" w:eastAsia="Times New Roman" w:cs="Times New Roman"/>
                <w:b/>
                <w:bCs/>
                <w:sz w:val="20"/>
                <w:szCs w:val="20"/>
              </w:rPr>
            </w:pPr>
            <w:r w:rsidRPr="00AE1B2B">
              <w:rPr>
                <w:rFonts w:ascii="Times New Roman" w:hAnsi="Times New Roman" w:eastAsia="Times New Roman" w:cs="Times New Roman"/>
                <w:b/>
                <w:bCs/>
                <w:sz w:val="20"/>
                <w:szCs w:val="20"/>
              </w:rPr>
              <w:t>Total</w:t>
            </w:r>
          </w:p>
        </w:tc>
      </w:tr>
      <w:tr w:rsidRPr="00AE1B2B" w:rsidR="00AE1B2B" w:rsidTr="0007105A" w14:paraId="6522B30C" w14:textId="77777777">
        <w:trPr>
          <w:gridAfter w:val="2"/>
          <w:wAfter w:w="795" w:type="pct"/>
          <w:trHeight w:val="315"/>
        </w:trPr>
        <w:tc>
          <w:tcPr>
            <w:tcW w:w="646"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FC6824E" w14:textId="77777777">
            <w:pPr>
              <w:spacing w:before="120" w:after="120"/>
              <w:jc w:val="center"/>
              <w:rPr>
                <w:rFonts w:ascii="Times New Roman" w:hAnsi="Times New Roman" w:eastAsia="Times New Roman" w:cs="Times New Roman"/>
                <w:sz w:val="20"/>
                <w:szCs w:val="20"/>
              </w:rPr>
            </w:pPr>
            <w:r w:rsidRPr="00AE1B2B">
              <w:rPr>
                <w:rFonts w:ascii="Times New Roman" w:hAnsi="Times New Roman" w:cs="Times New Roman"/>
                <w:sz w:val="20"/>
                <w:szCs w:val="20"/>
              </w:rPr>
              <w:t>23</w:t>
            </w:r>
          </w:p>
        </w:tc>
        <w:tc>
          <w:tcPr>
            <w:tcW w:w="64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D81BD96" w14:textId="77777777">
            <w:pPr>
              <w:spacing w:before="120" w:after="120"/>
              <w:jc w:val="center"/>
              <w:rPr>
                <w:rFonts w:ascii="Times New Roman" w:hAnsi="Times New Roman" w:eastAsia="Times New Roman" w:cs="Times New Roman"/>
                <w:sz w:val="20"/>
                <w:szCs w:val="20"/>
              </w:rPr>
            </w:pPr>
            <w:r w:rsidRPr="00AE1B2B">
              <w:rPr>
                <w:rFonts w:ascii="Times New Roman" w:hAnsi="Times New Roman" w:cs="Times New Roman"/>
                <w:sz w:val="20"/>
                <w:szCs w:val="20"/>
              </w:rPr>
              <w:t>19</w:t>
            </w:r>
          </w:p>
        </w:tc>
        <w:tc>
          <w:tcPr>
            <w:tcW w:w="64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552CF66" w14:textId="77777777">
            <w:pPr>
              <w:spacing w:before="120" w:after="120"/>
              <w:jc w:val="center"/>
              <w:rPr>
                <w:rFonts w:ascii="Times New Roman" w:hAnsi="Times New Roman" w:eastAsia="Times New Roman" w:cs="Times New Roman"/>
                <w:sz w:val="20"/>
                <w:szCs w:val="20"/>
              </w:rPr>
            </w:pPr>
            <w:r w:rsidRPr="00AE1B2B">
              <w:rPr>
                <w:rFonts w:ascii="Times New Roman" w:hAnsi="Times New Roman" w:cs="Times New Roman"/>
                <w:sz w:val="20"/>
                <w:szCs w:val="20"/>
              </w:rPr>
              <w:t>16</w:t>
            </w:r>
          </w:p>
        </w:tc>
        <w:tc>
          <w:tcPr>
            <w:tcW w:w="73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4EB66D5" w14:textId="77777777">
            <w:pPr>
              <w:spacing w:before="120" w:after="120"/>
              <w:jc w:val="center"/>
              <w:rPr>
                <w:rFonts w:ascii="Times New Roman" w:hAnsi="Times New Roman" w:eastAsia="Times New Roman" w:cs="Times New Roman"/>
                <w:sz w:val="20"/>
                <w:szCs w:val="20"/>
              </w:rPr>
            </w:pPr>
            <w:r w:rsidRPr="00AE1B2B">
              <w:rPr>
                <w:rFonts w:ascii="Times New Roman" w:hAnsi="Times New Roman" w:cs="Times New Roman"/>
                <w:sz w:val="20"/>
                <w:szCs w:val="20"/>
              </w:rPr>
              <w:t>5</w:t>
            </w:r>
          </w:p>
        </w:tc>
        <w:tc>
          <w:tcPr>
            <w:tcW w:w="69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5D4A6A3" w14:textId="77777777">
            <w:pPr>
              <w:spacing w:before="120" w:after="120"/>
              <w:jc w:val="center"/>
              <w:rPr>
                <w:rFonts w:ascii="Times New Roman" w:hAnsi="Times New Roman" w:eastAsia="Times New Roman" w:cs="Times New Roman"/>
                <w:sz w:val="20"/>
                <w:szCs w:val="20"/>
              </w:rPr>
            </w:pPr>
            <w:r w:rsidRPr="00AE1B2B">
              <w:rPr>
                <w:rFonts w:ascii="Times New Roman" w:hAnsi="Times New Roman" w:cs="Times New Roman"/>
                <w:sz w:val="20"/>
                <w:szCs w:val="20"/>
              </w:rPr>
              <w:t>13</w:t>
            </w:r>
          </w:p>
        </w:tc>
        <w:tc>
          <w:tcPr>
            <w:tcW w:w="32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A0989F6" w14:textId="77777777">
            <w:pPr>
              <w:spacing w:before="120" w:after="120"/>
              <w:jc w:val="center"/>
              <w:rPr>
                <w:rFonts w:ascii="Times New Roman" w:hAnsi="Times New Roman" w:eastAsia="Times New Roman" w:cs="Times New Roman"/>
                <w:sz w:val="20"/>
                <w:szCs w:val="20"/>
              </w:rPr>
            </w:pPr>
            <w:r w:rsidRPr="00AE1B2B">
              <w:rPr>
                <w:rFonts w:ascii="Times New Roman" w:hAnsi="Times New Roman" w:cs="Times New Roman"/>
                <w:sz w:val="20"/>
                <w:szCs w:val="20"/>
              </w:rPr>
              <w:t>1</w:t>
            </w:r>
          </w:p>
        </w:tc>
        <w:tc>
          <w:tcPr>
            <w:tcW w:w="50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AFE9EE7" w14:textId="77777777">
            <w:pPr>
              <w:spacing w:before="120" w:after="120"/>
              <w:jc w:val="center"/>
              <w:rPr>
                <w:rFonts w:ascii="Times New Roman" w:hAnsi="Times New Roman" w:eastAsia="Times New Roman" w:cs="Times New Roman"/>
                <w:sz w:val="20"/>
                <w:szCs w:val="20"/>
              </w:rPr>
            </w:pPr>
            <w:r w:rsidRPr="00AE1B2B">
              <w:rPr>
                <w:rFonts w:ascii="Times New Roman" w:hAnsi="Times New Roman" w:cs="Times New Roman"/>
                <w:sz w:val="20"/>
                <w:szCs w:val="20"/>
              </w:rPr>
              <w:t>77</w:t>
            </w:r>
          </w:p>
        </w:tc>
      </w:tr>
    </w:tbl>
    <w:p w:rsidRPr="00AE1B2B" w:rsidR="009D3FB5" w:rsidP="00163B94" w:rsidRDefault="009D3FB5" w14:paraId="7F3BB6DC"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Fuente: Informe 656-PLA-RH-MI-2020.</w:t>
      </w:r>
    </w:p>
    <w:p w:rsidRPr="00AE1B2B" w:rsidR="009D3FB5" w:rsidP="00163B94" w:rsidRDefault="009D3FB5" w14:paraId="30E31E84" w14:textId="77777777">
      <w:pPr>
        <w:pStyle w:val="Fuentes"/>
        <w:spacing w:before="120" w:after="120" w:line="240" w:lineRule="auto"/>
        <w:ind w:left="851" w:right="851" w:firstLine="709"/>
        <w:rPr>
          <w:rFonts w:ascii="Times New Roman" w:hAnsi="Times New Roman" w:cs="Times New Roman"/>
          <w:sz w:val="26"/>
          <w:szCs w:val="26"/>
        </w:rPr>
      </w:pPr>
    </w:p>
    <w:p w:rsidRPr="00AE1B2B" w:rsidR="009D3FB5" w:rsidP="00163B94" w:rsidRDefault="009D3FB5" w14:paraId="14168CE4" w14:textId="77777777">
      <w:pPr>
        <w:pStyle w:val="Fuentes"/>
        <w:spacing w:before="120" w:after="120" w:line="240" w:lineRule="auto"/>
        <w:ind w:left="851" w:right="851" w:firstLine="709"/>
        <w:rPr>
          <w:rFonts w:ascii="Times New Roman" w:hAnsi="Times New Roman" w:cs="Times New Roman"/>
          <w:sz w:val="26"/>
          <w:szCs w:val="26"/>
        </w:rPr>
      </w:pPr>
    </w:p>
    <w:p w:rsidRPr="00AE1B2B" w:rsidR="009D3FB5" w:rsidP="00163B94" w:rsidRDefault="009D3FB5" w14:paraId="4027BFA0" w14:textId="0F6CE127">
      <w:pPr>
        <w:pStyle w:val="Fuentes"/>
        <w:spacing w:before="120" w:after="120" w:line="240" w:lineRule="auto"/>
        <w:ind w:left="851" w:right="851" w:firstLine="709"/>
        <w:rPr>
          <w:rFonts w:ascii="Times New Roman" w:hAnsi="Times New Roman" w:cs="Times New Roman"/>
          <w:iCs/>
          <w:sz w:val="26"/>
          <w:szCs w:val="26"/>
        </w:rPr>
      </w:pPr>
      <w:r w:rsidRPr="00AE1B2B">
        <w:rPr>
          <w:rFonts w:ascii="Times New Roman" w:hAnsi="Times New Roman" w:cs="Times New Roman"/>
          <w:i w:val="0"/>
          <w:iCs/>
          <w:sz w:val="26"/>
          <w:szCs w:val="26"/>
        </w:rPr>
        <w:t>Según la minuta 42-PLA-MI-MNTA-2021 (</w:t>
      </w:r>
      <w:r w:rsidRPr="00AE1B2B">
        <w:rPr>
          <w:rFonts w:ascii="Times New Roman" w:hAnsi="Times New Roman" w:cs="Times New Roman"/>
          <w:b/>
          <w:sz w:val="26"/>
          <w:szCs w:val="26"/>
        </w:rPr>
        <w:t>anexo 14</w:t>
      </w:r>
      <w:r w:rsidRPr="00AE1B2B">
        <w:rPr>
          <w:rFonts w:ascii="Times New Roman" w:hAnsi="Times New Roman" w:cs="Times New Roman"/>
          <w:i w:val="0"/>
          <w:iCs/>
          <w:sz w:val="26"/>
          <w:szCs w:val="26"/>
        </w:rPr>
        <w:t xml:space="preserve">), en reunión de seguimiento del equipo interdisciplinario del proyecto de Implementación del Código de Familia, se requiere de una mejora en el sistema, de manera que se pueda cruzar la información entre la clase de asunto y el resultado de las resoluciones, a fin de lograr obtener directamente del SIGMA la cantidad de resoluciones de </w:t>
      </w:r>
      <w:r w:rsidRPr="00AE1B2B">
        <w:rPr>
          <w:rFonts w:ascii="Times New Roman" w:hAnsi="Times New Roman" w:cs="Times New Roman"/>
          <w:i w:val="0"/>
          <w:iCs/>
          <w:sz w:val="26"/>
          <w:szCs w:val="26"/>
        </w:rPr>
        <w:lastRenderedPageBreak/>
        <w:t>aprobación o improbación de divorcios por mutuo consentimiento y poder incluirlo así en la matriz.</w:t>
      </w:r>
      <w:r w:rsidRPr="00AE1B2B" w:rsidR="00BB7720">
        <w:rPr>
          <w:rFonts w:ascii="Times New Roman" w:hAnsi="Times New Roman" w:cs="Times New Roman"/>
          <w:i w:val="0"/>
          <w:iCs/>
          <w:sz w:val="26"/>
          <w:szCs w:val="26"/>
        </w:rPr>
        <w:t xml:space="preserve"> </w:t>
      </w:r>
      <w:r w:rsidRPr="00AE1B2B">
        <w:rPr>
          <w:rFonts w:ascii="Times New Roman" w:hAnsi="Times New Roman" w:cs="Times New Roman"/>
          <w:i w:val="0"/>
          <w:iCs/>
          <w:sz w:val="26"/>
          <w:szCs w:val="26"/>
        </w:rPr>
        <w:t xml:space="preserve">De manera temporal y hasta tanto este lista la mejora, se definió con el Juez Gestor que sean las personas técnicas judiciales quiénes hagan el pase a fallo de estos expedientes, de manera que se registre así en el libro de pase a fallo y puedan contabilizarse desde ahí. La comunicación de la medida temporal a las oficinas está a cargo del Juez Gestor. </w:t>
      </w:r>
    </w:p>
    <w:p w:rsidRPr="00AE1B2B" w:rsidR="009D3FB5" w:rsidP="00163B94" w:rsidRDefault="009D3FB5" w14:paraId="4FEF2AD3" w14:textId="77777777">
      <w:pPr>
        <w:pStyle w:val="Fuentes"/>
        <w:spacing w:before="120" w:after="120" w:line="240" w:lineRule="auto"/>
        <w:ind w:left="851" w:right="851" w:firstLine="709"/>
        <w:rPr>
          <w:rFonts w:ascii="Times New Roman" w:hAnsi="Times New Roman" w:cs="Times New Roman"/>
          <w:i w:val="0"/>
          <w:iCs/>
          <w:sz w:val="26"/>
          <w:szCs w:val="26"/>
        </w:rPr>
      </w:pPr>
      <w:r w:rsidRPr="00AE1B2B">
        <w:rPr>
          <w:rFonts w:ascii="Times New Roman" w:hAnsi="Times New Roman" w:cs="Times New Roman"/>
          <w:iCs/>
          <w:sz w:val="26"/>
          <w:szCs w:val="26"/>
        </w:rPr>
        <w:t xml:space="preserve"> </w:t>
      </w:r>
    </w:p>
    <w:p w:rsidRPr="00AE1B2B" w:rsidR="009D3FB5" w:rsidP="00163B94" w:rsidRDefault="009D3FB5" w14:paraId="254AC85B" w14:textId="080D929A">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i w:val="0"/>
          <w:iCs/>
          <w:sz w:val="26"/>
          <w:szCs w:val="26"/>
        </w:rPr>
        <w:t>También se solicitó al Juez Gestor y se reiteró la solicitud ya efectuada a la Comisión de Familia, Niñez y Adolescencia en sesiones de trabajo del 26 de noviembre 2020 y 25 de febrero de 2021, de una directriz o circular en donde por cada clase de asunto se identifique los posibles tipos de resolución y resultados que puedan utilizarse, a fin de estandarizar el uso de los formatos jurídicos conforme al diseño de la fórmula estadística.</w:t>
      </w:r>
      <w:r w:rsidRPr="00AE1B2B" w:rsidR="00BB7720">
        <w:rPr>
          <w:rFonts w:ascii="Times New Roman" w:hAnsi="Times New Roman" w:cs="Times New Roman"/>
          <w:i w:val="0"/>
          <w:iCs/>
          <w:sz w:val="26"/>
          <w:szCs w:val="26"/>
        </w:rPr>
        <w:t xml:space="preserve"> </w:t>
      </w:r>
      <w:r w:rsidRPr="00AE1B2B">
        <w:rPr>
          <w:rFonts w:ascii="Times New Roman" w:hAnsi="Times New Roman" w:cs="Times New Roman"/>
          <w:i w:val="0"/>
          <w:iCs/>
          <w:sz w:val="26"/>
          <w:szCs w:val="26"/>
        </w:rPr>
        <w:t xml:space="preserve">De esta manera, se lograría filtran entre los distintos resultados aquellos que correspondan a procesos por </w:t>
      </w:r>
      <w:r w:rsidRPr="00AE1B2B">
        <w:rPr>
          <w:rFonts w:ascii="Times New Roman" w:hAnsi="Times New Roman" w:cs="Times New Roman"/>
          <w:sz w:val="26"/>
          <w:szCs w:val="26"/>
        </w:rPr>
        <w:t>“sentencia en mutuos”.</w:t>
      </w:r>
    </w:p>
    <w:p w:rsidRPr="00AE1B2B" w:rsidR="009D3FB5" w:rsidP="00163B94" w:rsidRDefault="009D3FB5" w14:paraId="40F50D85" w14:textId="77777777">
      <w:pPr>
        <w:spacing w:before="120" w:after="120"/>
        <w:ind w:left="851" w:right="851" w:firstLine="709"/>
        <w:jc w:val="both"/>
        <w:rPr>
          <w:rFonts w:ascii="Times New Roman" w:hAnsi="Times New Roman" w:cs="Times New Roman"/>
          <w:bCs/>
          <w:iCs/>
          <w:sz w:val="26"/>
          <w:szCs w:val="26"/>
        </w:rPr>
      </w:pPr>
    </w:p>
    <w:p w:rsidRPr="00AE1B2B" w:rsidR="009D3FB5" w:rsidP="00163B94" w:rsidRDefault="009D3FB5" w14:paraId="1414859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2554592" w14:textId="77777777">
      <w:pPr>
        <w:pStyle w:val="Fuentes"/>
        <w:spacing w:before="120" w:after="120" w:line="240" w:lineRule="auto"/>
        <w:ind w:left="851" w:right="851" w:firstLine="709"/>
        <w:rPr>
          <w:rFonts w:ascii="Times New Roman" w:hAnsi="Times New Roman" w:cs="Times New Roman"/>
          <w:sz w:val="26"/>
          <w:szCs w:val="26"/>
        </w:rPr>
      </w:pPr>
    </w:p>
    <w:p w:rsidRPr="00AE1B2B" w:rsidR="009D3FB5" w:rsidP="00163B94" w:rsidRDefault="009D3FB5" w14:paraId="4C5AE4D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Impacto del Código Procesal de Familia a partir del 22 de octubre de 2022 en materia de Familia</w:t>
      </w:r>
    </w:p>
    <w:p w:rsidRPr="00AE1B2B" w:rsidR="009D3FB5" w:rsidP="00163B94" w:rsidRDefault="009D3FB5" w14:paraId="56097D5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51A7B2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Entre los cambios previstos por el Código Procesal de Familia para los juzgados de Familia del país, se prevé una disminución en la entrada de primera instancia por la desjudicialización de procesos como: matrimonios civiles, los reconocimientos administrativos de la paternidad (hijo de mujer casada), los divorcios o separaciones judiciales por mutuo consentimiento (sin hijos o hijas menores de edad y no existiera referencia a bienes), y las adopciones de personas mayores de edad (a excepción de las personas con discapacidad cuya condición no les permita dar su consentimiento).</w:t>
      </w:r>
    </w:p>
    <w:p w:rsidRPr="00AE1B2B" w:rsidR="009D3FB5" w:rsidP="00163B94" w:rsidRDefault="009D3FB5" w14:paraId="23F2528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2546E4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Además, se prevé que con la entrada del Código Procesal de Familia se reduzca la intervención en el trámite de los expedientes que actualmente tienen el personal técnico judicial, debido a que se da preferencia al sistema procesal de oralidad liderado por las personas juzgadoras, efecto que de momento no puede ser estimado para ser tomado en cuenta en este estudio.</w:t>
      </w:r>
    </w:p>
    <w:p w:rsidRPr="00AE1B2B" w:rsidR="009D3FB5" w:rsidP="00163B94" w:rsidRDefault="009D3FB5" w14:paraId="1C16F82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83AB4A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impacto directo esperado sería sobre los despachos judiciales competentes en la materia de Familia que experimentarían una disminución en los asuntos entrados. </w:t>
      </w:r>
    </w:p>
    <w:p w:rsidRPr="00AE1B2B" w:rsidR="009D3FB5" w:rsidP="00163B94" w:rsidRDefault="009D3FB5" w14:paraId="3F31454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caso de los divorcios o separaciones judiciales por mutuo consentimiento, el efecto aplicaría solamente para una proporción de esos tipos de proceso, específicamente para aquellos casos donde no existan hijos o hijas menores de edad y no existiera referencia a bienes, los cuales actualmente el Subproceso de Estadística de la Dirección de Planificación no dispone de datos específicos sobre su comportamiento, pero según estimaciones del Lic. Jiménez Mata corresponderían en alrededor de un 20% de la entrada total de esos asuntos. </w:t>
      </w:r>
    </w:p>
    <w:p w:rsidRPr="00AE1B2B" w:rsidR="009D3FB5" w:rsidP="00163B94" w:rsidRDefault="009D3FB5" w14:paraId="603ABF9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caso de las adopciones registradas con los datos estadísticos actuales no se cuenta con la especificación del tipo de persona involucrada (mayor o menor de edad), lo que limita la posibilidad de utilizar datos específicos de ese segmento de población. </w:t>
      </w:r>
    </w:p>
    <w:p w:rsidRPr="00AE1B2B" w:rsidR="009D3FB5" w:rsidP="00163B94" w:rsidRDefault="009D3FB5" w14:paraId="48D573D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FCA442B" w14:textId="243B1A42">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Además, se previó</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inicialmente un aumento a partir del 28 de mayo de 2020 de los matrimonios civiles registrados por personas del mismo sexo, situación que de momento no se podría estimar ya que no se cuenta con la división de estos en las estadística.</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Además, conforme a lo indicado por el Juez Gestor en Familia la cantidad de matrimonios en sede judicial es mínima y a partir de la entrada en vigencia de la Ley 9747 no se llevarían a cabo en instancia judicial. </w:t>
      </w:r>
    </w:p>
    <w:p w:rsidRPr="00AE1B2B" w:rsidR="009D3FB5" w:rsidP="00163B94" w:rsidRDefault="009D3FB5" w14:paraId="4DA5F485" w14:textId="4B9AC7AB">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Según los datos registrados de años anteriores, este tipo de procesos representan el 4,14% en promedio de 2015 a 2019, pero que con el CPF podrían ser celebrados ante las autoridades de jefatura de las oficinas centrales o regionales del Registro Civil o ante los notarios públicos, por lo que estos se estima que se reducirán con la entrada del Código Procesal de Familia, minimizándose el impacto de este cambio.</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No obstante, el acontecimiento mencionado si pudiera dar paso a un incremento en la cantidad de divorcios contenciosos o por mutuo en donde haya hijos que se tramitan por la vía ordinaria, siendo que este tipo de procesos sigue siendo competencia exclusiva de los tribunales de justicia.</w:t>
      </w:r>
    </w:p>
    <w:p w:rsidRPr="00AE1B2B" w:rsidR="009D3FB5" w:rsidP="00163B94" w:rsidRDefault="009D3FB5" w14:paraId="72A2766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DA5DA7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EBBAB6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De la revisión hecha a los datos estadísticos para los períodos 2015-2019, se estima que los procesos que se desjudicializan alcanzan como mínimo el 12,5% en promedio, a la fecha, ya que como se indicó se desconoce parte del contenido que se incluiría con esta variación. El estimado</w:t>
      </w:r>
      <w:r w:rsidRPr="00AE1B2B" w:rsidDel="00DB5291">
        <w:rPr>
          <w:rFonts w:ascii="Times New Roman" w:hAnsi="Times New Roman" w:cs="Times New Roman"/>
          <w:sz w:val="26"/>
          <w:szCs w:val="26"/>
        </w:rPr>
        <w:t xml:space="preserve"> </w:t>
      </w:r>
      <w:r w:rsidRPr="00AE1B2B">
        <w:rPr>
          <w:rFonts w:ascii="Times New Roman" w:hAnsi="Times New Roman" w:cs="Times New Roman"/>
          <w:sz w:val="26"/>
          <w:szCs w:val="26"/>
        </w:rPr>
        <w:t xml:space="preserve">por desjudicialización se muestra en el cuadro siguiente, lo que significa una posible baja en igual proporción sobre la carga laboral de la materia Familia a nivel nacional una vez entrada en vigencia el CPF. En el </w:t>
      </w:r>
      <w:r w:rsidRPr="00AE1B2B">
        <w:rPr>
          <w:rFonts w:ascii="Times New Roman" w:hAnsi="Times New Roman" w:cs="Times New Roman"/>
          <w:b/>
          <w:i/>
          <w:sz w:val="26"/>
          <w:szCs w:val="26"/>
        </w:rPr>
        <w:t>anexo 15</w:t>
      </w:r>
      <w:r w:rsidRPr="00AE1B2B">
        <w:rPr>
          <w:rFonts w:ascii="Times New Roman" w:hAnsi="Times New Roman" w:cs="Times New Roman"/>
          <w:sz w:val="26"/>
          <w:szCs w:val="26"/>
        </w:rPr>
        <w:t xml:space="preserve"> se presentan los cálculos realizados para ambos tipos de asuntos.</w:t>
      </w:r>
    </w:p>
    <w:p w:rsidRPr="00AE1B2B" w:rsidR="009D3FB5" w:rsidP="00163B94" w:rsidRDefault="009D3FB5" w14:paraId="40AA640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3CC5ECC" w14:textId="4B38F470">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18</w:t>
      </w:r>
      <w:r w:rsidRPr="00AE1B2B">
        <w:rPr>
          <w:rFonts w:ascii="Times New Roman" w:hAnsi="Times New Roman" w:cs="Times New Roman"/>
          <w:sz w:val="26"/>
          <w:szCs w:val="26"/>
        </w:rPr>
        <w:fldChar w:fldCharType="end"/>
      </w:r>
    </w:p>
    <w:p w:rsidRPr="00AE1B2B" w:rsidR="009D3FB5" w:rsidP="00163B94" w:rsidRDefault="009D3FB5" w14:paraId="325D946C" w14:textId="63065C1B">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Porcentaje estimado de procesos que se desjudicializan con</w:t>
      </w:r>
    </w:p>
    <w:p w:rsidRPr="00AE1B2B" w:rsidR="009D3FB5" w:rsidP="00163B94" w:rsidRDefault="009D3FB5" w14:paraId="4B13C4AE"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la entrada en vigencia del Código Procesal de Familia.</w:t>
      </w:r>
    </w:p>
    <w:tbl>
      <w:tblPr>
        <w:tblW w:w="5000" w:type="pct"/>
        <w:tblLayout w:type="fixed"/>
        <w:tblCellMar>
          <w:left w:w="70" w:type="dxa"/>
          <w:right w:w="70" w:type="dxa"/>
        </w:tblCellMar>
        <w:tblLook w:val="04A0" w:firstRow="1" w:lastRow="0" w:firstColumn="1" w:lastColumn="0" w:noHBand="0" w:noVBand="1"/>
      </w:tblPr>
      <w:tblGrid>
        <w:gridCol w:w="4248"/>
        <w:gridCol w:w="1277"/>
        <w:gridCol w:w="1843"/>
        <w:gridCol w:w="1460"/>
      </w:tblGrid>
      <w:tr w:rsidRPr="00AE1B2B" w:rsidR="00AE1B2B" w:rsidTr="009D3FB5" w14:paraId="72777E12" w14:textId="77777777">
        <w:trPr>
          <w:trHeight w:val="20"/>
          <w:tblHeader/>
        </w:trPr>
        <w:tc>
          <w:tcPr>
            <w:tcW w:w="2406" w:type="pct"/>
            <w:tcBorders>
              <w:top w:val="single" w:color="auto" w:sz="4" w:space="0"/>
              <w:left w:val="single" w:color="auto" w:sz="4" w:space="0"/>
              <w:bottom w:val="single" w:color="auto" w:sz="4" w:space="0"/>
              <w:right w:val="nil"/>
            </w:tcBorders>
            <w:shd w:val="clear" w:color="000000" w:fill="002060"/>
            <w:vAlign w:val="center"/>
            <w:hideMark/>
          </w:tcPr>
          <w:p w:rsidRPr="00AE1B2B" w:rsidR="009D3FB5" w:rsidP="00163B94" w:rsidRDefault="009D3FB5" w14:paraId="506D320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Despacho</w:t>
            </w:r>
          </w:p>
        </w:tc>
        <w:tc>
          <w:tcPr>
            <w:tcW w:w="723"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0826440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Entrado anual</w:t>
            </w:r>
          </w:p>
        </w:tc>
        <w:tc>
          <w:tcPr>
            <w:tcW w:w="1044"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3F0CFE4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Cantidad Promedio de casos con Desjudicialización estimada </w:t>
            </w:r>
          </w:p>
        </w:tc>
        <w:tc>
          <w:tcPr>
            <w:tcW w:w="827"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708326E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estimado de representación</w:t>
            </w:r>
          </w:p>
        </w:tc>
      </w:tr>
      <w:tr w:rsidRPr="00AE1B2B" w:rsidR="00AE1B2B" w:rsidTr="009D3FB5" w14:paraId="2410E8C6" w14:textId="77777777">
        <w:trPr>
          <w:trHeight w:val="20"/>
        </w:trPr>
        <w:tc>
          <w:tcPr>
            <w:tcW w:w="240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6D2C6DF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Cartago</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C82F56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3249</w:t>
            </w:r>
          </w:p>
        </w:tc>
        <w:tc>
          <w:tcPr>
            <w:tcW w:w="104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270CEFB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455</w:t>
            </w:r>
          </w:p>
        </w:tc>
        <w:tc>
          <w:tcPr>
            <w:tcW w:w="827"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65633E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14,0%</w:t>
            </w:r>
          </w:p>
        </w:tc>
      </w:tr>
      <w:tr w:rsidRPr="00AE1B2B" w:rsidR="00AE1B2B" w:rsidTr="009D3FB5" w14:paraId="28F9A7B6" w14:textId="77777777">
        <w:trPr>
          <w:trHeight w:val="20"/>
        </w:trPr>
        <w:tc>
          <w:tcPr>
            <w:tcW w:w="240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7BEC9F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Heredia</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D5636D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2690</w:t>
            </w:r>
          </w:p>
        </w:tc>
        <w:tc>
          <w:tcPr>
            <w:tcW w:w="104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5F82752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317</w:t>
            </w:r>
          </w:p>
        </w:tc>
        <w:tc>
          <w:tcPr>
            <w:tcW w:w="827"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2AD42E1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11,8%</w:t>
            </w:r>
          </w:p>
        </w:tc>
      </w:tr>
      <w:tr w:rsidRPr="00AE1B2B" w:rsidR="00AE1B2B" w:rsidTr="009D3FB5" w14:paraId="13E320A1" w14:textId="77777777">
        <w:trPr>
          <w:trHeight w:val="20"/>
        </w:trPr>
        <w:tc>
          <w:tcPr>
            <w:tcW w:w="240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CA3CC2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 Circ. Jud. Alajuela</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2DBE89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2351</w:t>
            </w:r>
          </w:p>
        </w:tc>
        <w:tc>
          <w:tcPr>
            <w:tcW w:w="104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977667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289</w:t>
            </w:r>
          </w:p>
        </w:tc>
        <w:tc>
          <w:tcPr>
            <w:tcW w:w="827"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4A39DA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12,3%</w:t>
            </w:r>
          </w:p>
        </w:tc>
      </w:tr>
      <w:tr w:rsidRPr="00AE1B2B" w:rsidR="00AE1B2B" w:rsidTr="009D3FB5" w14:paraId="283FEA31" w14:textId="77777777">
        <w:trPr>
          <w:trHeight w:val="20"/>
        </w:trPr>
        <w:tc>
          <w:tcPr>
            <w:tcW w:w="240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B676CA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 Circ. Jud. Zona Atlántica</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9BEE91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846</w:t>
            </w:r>
          </w:p>
        </w:tc>
        <w:tc>
          <w:tcPr>
            <w:tcW w:w="104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C006B8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126</w:t>
            </w:r>
          </w:p>
        </w:tc>
        <w:tc>
          <w:tcPr>
            <w:tcW w:w="827"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729C38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14,8%</w:t>
            </w:r>
          </w:p>
        </w:tc>
      </w:tr>
      <w:tr w:rsidRPr="00AE1B2B" w:rsidR="00AE1B2B" w:rsidTr="009D3FB5" w14:paraId="663555B0" w14:textId="77777777">
        <w:trPr>
          <w:trHeight w:val="20"/>
        </w:trPr>
        <w:tc>
          <w:tcPr>
            <w:tcW w:w="240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70817D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 Circ. Jud. Zona Sur</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C877C3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925</w:t>
            </w:r>
          </w:p>
        </w:tc>
        <w:tc>
          <w:tcPr>
            <w:tcW w:w="104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4B5B73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151</w:t>
            </w:r>
          </w:p>
        </w:tc>
        <w:tc>
          <w:tcPr>
            <w:tcW w:w="827"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A42229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16,4%</w:t>
            </w:r>
          </w:p>
        </w:tc>
      </w:tr>
      <w:tr w:rsidRPr="00AE1B2B" w:rsidR="00AE1B2B" w:rsidTr="009D3FB5" w14:paraId="6B4B9760" w14:textId="77777777">
        <w:trPr>
          <w:trHeight w:val="20"/>
        </w:trPr>
        <w:tc>
          <w:tcPr>
            <w:tcW w:w="240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7253D8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II Circ. Jud. Alajuela</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AB6D9F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1190</w:t>
            </w:r>
          </w:p>
        </w:tc>
        <w:tc>
          <w:tcPr>
            <w:tcW w:w="104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3D46B6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122</w:t>
            </w:r>
          </w:p>
        </w:tc>
        <w:tc>
          <w:tcPr>
            <w:tcW w:w="827"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7728979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10,2%</w:t>
            </w:r>
          </w:p>
        </w:tc>
      </w:tr>
      <w:tr w:rsidRPr="00AE1B2B" w:rsidR="00AE1B2B" w:rsidTr="009D3FB5" w14:paraId="663F5401" w14:textId="77777777">
        <w:trPr>
          <w:trHeight w:val="20"/>
        </w:trPr>
        <w:tc>
          <w:tcPr>
            <w:tcW w:w="240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DFB27E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II Circ. Jud. San José</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7367D4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2751</w:t>
            </w:r>
          </w:p>
        </w:tc>
        <w:tc>
          <w:tcPr>
            <w:tcW w:w="104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0717ED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294</w:t>
            </w:r>
          </w:p>
        </w:tc>
        <w:tc>
          <w:tcPr>
            <w:tcW w:w="827"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5D1ABFD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10,7%</w:t>
            </w:r>
          </w:p>
        </w:tc>
      </w:tr>
      <w:tr w:rsidRPr="00AE1B2B" w:rsidR="00AE1B2B" w:rsidTr="009D3FB5" w14:paraId="3EBBFD85" w14:textId="77777777">
        <w:trPr>
          <w:trHeight w:val="20"/>
        </w:trPr>
        <w:tc>
          <w:tcPr>
            <w:tcW w:w="240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686989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II Circ. Jud. Zona Atlántica</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4986D6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1457</w:t>
            </w:r>
          </w:p>
        </w:tc>
        <w:tc>
          <w:tcPr>
            <w:tcW w:w="104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6A93FF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182</w:t>
            </w:r>
          </w:p>
        </w:tc>
        <w:tc>
          <w:tcPr>
            <w:tcW w:w="827"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1607A7C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12,5%</w:t>
            </w:r>
          </w:p>
        </w:tc>
      </w:tr>
      <w:tr w:rsidRPr="00AE1B2B" w:rsidR="00AE1B2B" w:rsidTr="009D3FB5" w14:paraId="5F110360" w14:textId="77777777">
        <w:trPr>
          <w:trHeight w:val="20"/>
        </w:trPr>
        <w:tc>
          <w:tcPr>
            <w:tcW w:w="240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CF99FB2"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Familia III Circ. Jud. San José </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F705B5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1980</w:t>
            </w:r>
          </w:p>
        </w:tc>
        <w:tc>
          <w:tcPr>
            <w:tcW w:w="104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46CCCC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288</w:t>
            </w:r>
          </w:p>
        </w:tc>
        <w:tc>
          <w:tcPr>
            <w:tcW w:w="827"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CF7F22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14,6%</w:t>
            </w:r>
          </w:p>
        </w:tc>
      </w:tr>
      <w:tr w:rsidRPr="00AE1B2B" w:rsidR="00AE1B2B" w:rsidTr="009D3FB5" w14:paraId="44E75A4F" w14:textId="77777777">
        <w:trPr>
          <w:trHeight w:val="20"/>
        </w:trPr>
        <w:tc>
          <w:tcPr>
            <w:tcW w:w="240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ABB71D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Puntarenas</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40AF12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1295</w:t>
            </w:r>
          </w:p>
        </w:tc>
        <w:tc>
          <w:tcPr>
            <w:tcW w:w="104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62D2AA9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161</w:t>
            </w:r>
          </w:p>
        </w:tc>
        <w:tc>
          <w:tcPr>
            <w:tcW w:w="827"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6E7C7C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12,4%</w:t>
            </w:r>
          </w:p>
        </w:tc>
      </w:tr>
      <w:tr w:rsidRPr="00AE1B2B" w:rsidR="00AE1B2B" w:rsidTr="009D3FB5" w14:paraId="30A3B44D" w14:textId="77777777">
        <w:trPr>
          <w:trHeight w:val="20"/>
        </w:trPr>
        <w:tc>
          <w:tcPr>
            <w:tcW w:w="240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7A8053B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Primero Familia San José</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817F36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1407</w:t>
            </w:r>
          </w:p>
        </w:tc>
        <w:tc>
          <w:tcPr>
            <w:tcW w:w="104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9E1E6E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160</w:t>
            </w:r>
          </w:p>
        </w:tc>
        <w:tc>
          <w:tcPr>
            <w:tcW w:w="827"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2A62F02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11,3%</w:t>
            </w:r>
          </w:p>
        </w:tc>
      </w:tr>
      <w:tr w:rsidRPr="00AE1B2B" w:rsidR="00AE1B2B" w:rsidTr="009D3FB5" w14:paraId="5ABE3BED" w14:textId="77777777">
        <w:trPr>
          <w:trHeight w:val="20"/>
        </w:trPr>
        <w:tc>
          <w:tcPr>
            <w:tcW w:w="240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1348C74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Segundo Familia San José</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A12292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1348</w:t>
            </w:r>
          </w:p>
        </w:tc>
        <w:tc>
          <w:tcPr>
            <w:tcW w:w="104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55C119F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151</w:t>
            </w:r>
          </w:p>
        </w:tc>
        <w:tc>
          <w:tcPr>
            <w:tcW w:w="827"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6C0D713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11,2%</w:t>
            </w:r>
          </w:p>
        </w:tc>
      </w:tr>
      <w:tr w:rsidRPr="00AE1B2B" w:rsidR="00AE1B2B" w:rsidTr="009D3FB5" w14:paraId="1638CDEA" w14:textId="77777777">
        <w:trPr>
          <w:trHeight w:val="20"/>
        </w:trPr>
        <w:tc>
          <w:tcPr>
            <w:tcW w:w="2406" w:type="pct"/>
            <w:tcBorders>
              <w:top w:val="nil"/>
              <w:left w:val="single" w:color="auto" w:sz="4" w:space="0"/>
              <w:bottom w:val="single" w:color="auto" w:sz="4" w:space="0"/>
              <w:right w:val="single" w:color="auto" w:sz="4" w:space="0"/>
            </w:tcBorders>
            <w:shd w:val="clear" w:color="auto" w:fill="808080" w:themeFill="background1" w:themeFillShade="80"/>
            <w:noWrap/>
            <w:vAlign w:val="center"/>
            <w:hideMark/>
          </w:tcPr>
          <w:p w:rsidRPr="00AE1B2B" w:rsidR="009D3FB5" w:rsidP="00163B94" w:rsidRDefault="009D3FB5" w14:paraId="4F0DDC39" w14:textId="77777777">
            <w:pPr>
              <w:spacing w:before="120" w:after="120" w:line="276" w:lineRule="auto"/>
              <w:jc w:val="right"/>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lastRenderedPageBreak/>
              <w:t>Total general</w:t>
            </w:r>
          </w:p>
        </w:tc>
        <w:tc>
          <w:tcPr>
            <w:tcW w:w="723" w:type="pct"/>
            <w:tcBorders>
              <w:top w:val="single" w:color="auto" w:sz="4" w:space="0"/>
              <w:left w:val="single" w:color="auto" w:sz="4" w:space="0"/>
              <w:bottom w:val="single" w:color="auto" w:sz="4" w:space="0"/>
              <w:right w:val="single" w:color="auto" w:sz="4" w:space="0"/>
            </w:tcBorders>
            <w:shd w:val="clear" w:color="auto" w:fill="808080" w:themeFill="background1" w:themeFillShade="80"/>
            <w:noWrap/>
            <w:vAlign w:val="center"/>
            <w:hideMark/>
          </w:tcPr>
          <w:p w:rsidRPr="00AE1B2B" w:rsidR="009D3FB5" w:rsidP="00163B94" w:rsidRDefault="009D3FB5" w14:paraId="61C64A7A"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cs="Times New Roman"/>
                <w:b/>
                <w:bCs/>
              </w:rPr>
              <w:t>21488</w:t>
            </w:r>
          </w:p>
        </w:tc>
        <w:tc>
          <w:tcPr>
            <w:tcW w:w="1044" w:type="pct"/>
            <w:tcBorders>
              <w:top w:val="single" w:color="auto" w:sz="4" w:space="0"/>
              <w:left w:val="nil"/>
              <w:bottom w:val="single" w:color="auto" w:sz="4" w:space="0"/>
              <w:right w:val="single" w:color="auto" w:sz="4" w:space="0"/>
            </w:tcBorders>
            <w:shd w:val="clear" w:color="auto" w:fill="808080" w:themeFill="background1" w:themeFillShade="80"/>
            <w:noWrap/>
            <w:vAlign w:val="center"/>
            <w:hideMark/>
          </w:tcPr>
          <w:p w:rsidRPr="00AE1B2B" w:rsidR="009D3FB5" w:rsidP="00163B94" w:rsidRDefault="009D3FB5" w14:paraId="0F240703"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cs="Times New Roman"/>
                <w:b/>
                <w:bCs/>
              </w:rPr>
              <w:t>2696</w:t>
            </w:r>
          </w:p>
        </w:tc>
        <w:tc>
          <w:tcPr>
            <w:tcW w:w="827" w:type="pct"/>
            <w:tcBorders>
              <w:top w:val="nil"/>
              <w:left w:val="single" w:color="auto" w:sz="4" w:space="0"/>
              <w:bottom w:val="single" w:color="auto" w:sz="4" w:space="0"/>
              <w:right w:val="single" w:color="auto" w:sz="4" w:space="0"/>
            </w:tcBorders>
            <w:shd w:val="clear" w:color="000000" w:fill="808080"/>
            <w:noWrap/>
            <w:vAlign w:val="center"/>
            <w:hideMark/>
          </w:tcPr>
          <w:p w:rsidRPr="00AE1B2B" w:rsidR="009D3FB5" w:rsidP="00163B94" w:rsidRDefault="009D3FB5" w14:paraId="742DA5A6"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cs="Times New Roman"/>
                <w:b/>
              </w:rPr>
              <w:t>12,</w:t>
            </w:r>
            <w:r w:rsidRPr="00AE1B2B">
              <w:rPr>
                <w:rFonts w:ascii="Times New Roman" w:hAnsi="Times New Roman" w:cs="Times New Roman"/>
                <w:b/>
                <w:bCs/>
              </w:rPr>
              <w:t>5</w:t>
            </w:r>
            <w:r w:rsidRPr="00AE1B2B">
              <w:rPr>
                <w:rFonts w:ascii="Times New Roman" w:hAnsi="Times New Roman" w:cs="Times New Roman"/>
                <w:b/>
              </w:rPr>
              <w:t>%</w:t>
            </w:r>
          </w:p>
        </w:tc>
      </w:tr>
    </w:tbl>
    <w:p w:rsidRPr="00AE1B2B" w:rsidR="009D3FB5" w:rsidP="00163B94" w:rsidRDefault="009D3FB5" w14:paraId="1C40402F"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Modernización Institucional de la Dirección de Planificación con base en datos de Cuadros Estadísticos del Sub proceso de Estadística de la Dirección de Planificación de 2015 a 2019. </w:t>
      </w:r>
    </w:p>
    <w:p w:rsidRPr="00AE1B2B" w:rsidR="009D3FB5" w:rsidP="00163B94" w:rsidRDefault="009D3FB5" w14:paraId="67EB0B10"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3F14434C"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07669653"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Cabe mencionar que dentro de los despachos analizados y que conocían la materia Familia durante los estudios realizados para la Reforma al Código de Trabajo y Reforma Procesal Civil se incluyó:</w:t>
      </w:r>
    </w:p>
    <w:p w:rsidRPr="00AE1B2B" w:rsidR="009D3FB5" w:rsidP="00163B94" w:rsidRDefault="009D3FB5" w14:paraId="05A1AE3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6A5596F" w14:textId="77777777">
      <w:pPr>
        <w:pStyle w:val="Prrafodelista"/>
        <w:numPr>
          <w:ilvl w:val="0"/>
          <w:numId w:val="8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Juzgado Civil, Trabajo y Familia del Segundo Circuito Judicial de Alajuela, sede Upala, lo cual consta en el informe 437-PLA-2017, aprobado por el Consejo Superior en la sesión 19-17 del 02 de marzo de 2017, artículo LV. </w:t>
      </w:r>
    </w:p>
    <w:p w:rsidRPr="00AE1B2B" w:rsidR="009D3FB5" w:rsidP="00163B94" w:rsidRDefault="009D3FB5" w14:paraId="3064CEEB"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2662CDD0" w14:textId="77777777">
      <w:pPr>
        <w:pStyle w:val="Prrafodelista"/>
        <w:numPr>
          <w:ilvl w:val="0"/>
          <w:numId w:val="8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 Civil, Trabajo, Familia, Agrario, Penal Juvenil y Violencia Doméstica de Buenos Aires, lo cual consta en el informe 1203-PLA-2017, aprobado por el Consejo Superior, en la sesión 87-17 celebrada el 26 de setiembre del 2017, artículo LXXXI.</w:t>
      </w:r>
    </w:p>
    <w:p w:rsidRPr="00AE1B2B" w:rsidR="009D3FB5" w:rsidP="00163B94" w:rsidRDefault="009D3FB5" w14:paraId="377E6022"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063ABB57" w14:textId="77777777">
      <w:pPr>
        <w:pStyle w:val="Prrafodelista"/>
        <w:numPr>
          <w:ilvl w:val="0"/>
          <w:numId w:val="8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 Civil, Trabajo y Familia de Osa, lo cual consta en el informe 835-PLA-2017, aprobado por el Consejo Superior, en la sesión 35-17 celebrada el 18 de abril del 2017, artículo LIII.</w:t>
      </w:r>
    </w:p>
    <w:p w:rsidRPr="00AE1B2B" w:rsidR="009D3FB5" w:rsidP="00163B94" w:rsidRDefault="009D3FB5" w14:paraId="1631BAEB"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0CDC99B3" w14:textId="77777777">
      <w:pPr>
        <w:pStyle w:val="Prrafodelista"/>
        <w:numPr>
          <w:ilvl w:val="0"/>
          <w:numId w:val="8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Juzgado Civil, Trabajo y Familia de Aguirre y Parrita, lo cual consta en el informe 65-PLA-2017, aprobado por el Consejo Superior, en la sesión 5-17 del 24 de enero del 2027, Art XLIII. Actualmente corresponde a los Juzgados Civil y Trabajo, y Juzgado Familia, Violencia Doméstica y Penal Juvenil de Quepos, debido a la </w:t>
      </w:r>
      <w:r w:rsidRPr="00AE1B2B">
        <w:rPr>
          <w:rFonts w:ascii="Times New Roman" w:hAnsi="Times New Roman" w:cs="Times New Roman"/>
          <w:sz w:val="26"/>
          <w:szCs w:val="26"/>
        </w:rPr>
        <w:lastRenderedPageBreak/>
        <w:t>separación efectuada el 8 de octubre del 2018 a raíz de la entrada en vigencia del Nuevo Código Procesal Civil.</w:t>
      </w:r>
    </w:p>
    <w:p w:rsidRPr="00AE1B2B" w:rsidR="009D3FB5" w:rsidP="00163B94" w:rsidRDefault="009D3FB5" w14:paraId="060110B8"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71EB0828" w14:textId="498A17EB">
      <w:pPr>
        <w:pStyle w:val="Prrafodelista"/>
        <w:numPr>
          <w:ilvl w:val="0"/>
          <w:numId w:val="8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 Civil, Trabajo y Familia de Hatillo, San Sebastián y Alajuelita; lo cual consta en el informe 1616-PLA-2017, aprobado por el Consejo Superior, en la sesión 114-17 celebrada el 21 de diciembre del 2017, artículo XCIX.</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Actualmente corresponde al Juzgado de Trabajo y Familia de Hatillo, San Sebastián y Alajuelita, debido a la separación efectuada el 8 de octubre del 2018 a raíz de la entrada en vigencia del Nuevo Código Procesal Civil.</w:t>
      </w:r>
    </w:p>
    <w:p w:rsidRPr="00AE1B2B" w:rsidR="009D3FB5" w:rsidP="00163B94" w:rsidRDefault="009D3FB5" w14:paraId="60A4D1E7"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2E156FFF" w14:textId="77777777">
      <w:pPr>
        <w:pStyle w:val="Prrafodelista"/>
        <w:numPr>
          <w:ilvl w:val="0"/>
          <w:numId w:val="8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 Civil, Trabajo, Familia, Penal Juvenil y Violencia Doméstica de Sarapiquí, lo cual consta en el informe 1093-PLA-2017, aprobado en la sesión 69-17 del 26 de julio de 2017, artículo LXI.</w:t>
      </w:r>
    </w:p>
    <w:p w:rsidRPr="00AE1B2B" w:rsidR="009D3FB5" w:rsidP="00163B94" w:rsidRDefault="009D3FB5" w14:paraId="077664C1"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6403EECB" w14:textId="77777777">
      <w:pPr>
        <w:pStyle w:val="Prrafodelista"/>
        <w:numPr>
          <w:ilvl w:val="0"/>
          <w:numId w:val="8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 Civil, Trabajo y Familia Puriscal, lo cual consta en el informe 1471-PLA-2017, aprobado por el Consejo Superior, en la sesión 94-17 celebrada el 12 de octubre del 2017, artículo LIV.</w:t>
      </w:r>
    </w:p>
    <w:p w:rsidRPr="00AE1B2B" w:rsidR="009D3FB5" w:rsidP="00163B94" w:rsidRDefault="009D3FB5" w14:paraId="05ECC1C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6D3D06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6EFE89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Análisis de cargas de trabajo actual y proyectada</w:t>
      </w:r>
    </w:p>
    <w:p w:rsidRPr="00AE1B2B" w:rsidR="009D3FB5" w:rsidP="00163B94" w:rsidRDefault="009D3FB5" w14:paraId="1CBA165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analizan los efectos estimados del CPF (Código Procesal de Familia) para los juzgados de familia del país, producto de la desjudicialización de casos sobre la entrada; para ello se agruparon los despachos en bloques según su competencia material.</w:t>
      </w:r>
    </w:p>
    <w:p w:rsidRPr="00AE1B2B" w:rsidR="009D3FB5" w:rsidP="00163B94" w:rsidRDefault="009D3FB5" w14:paraId="29F8A1C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encuentra pendiente el análisis del efecto (baja en la entrada) que podría significar para estos despachos, la creación de Juzgados de Familia por Ministerio de Ley de conformidad con el artículo 119 bis de la Ley 9747. </w:t>
      </w:r>
    </w:p>
    <w:p w:rsidRPr="00AE1B2B" w:rsidR="009D3FB5" w:rsidP="00163B94" w:rsidRDefault="009D3FB5" w14:paraId="4263781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D0386B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Juzgados de Familia (especializados) </w:t>
      </w:r>
    </w:p>
    <w:p w:rsidRPr="00AE1B2B" w:rsidR="009D3FB5" w:rsidP="00163B94" w:rsidRDefault="009D3FB5" w14:paraId="0B53EB5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este bloque de despachos se ubicaron 12 juzgados de Familia: de Cartago, de Heredia, I Circuito Judicial de Alajuela, I Circuito Judicial Zona Atlántica, I Circuito Judicial Zona Sur, II Circuito Judicial de Alajuela, II Circuito Judicial San José, II Circuito Judicial Zona Atlántica, III Circuito Judicial de San José, de </w:t>
      </w:r>
      <w:r w:rsidRPr="00AE1B2B">
        <w:rPr>
          <w:rFonts w:ascii="Times New Roman" w:hAnsi="Times New Roman" w:cs="Times New Roman"/>
          <w:sz w:val="26"/>
          <w:szCs w:val="26"/>
        </w:rPr>
        <w:lastRenderedPageBreak/>
        <w:t>Puntarenas, Primero de Familia de San José, y Segundo de Familia de San José, además del Juzgado de Familia, de Niñez y Adolescencia, que por sus características se analiza individualmente.</w:t>
      </w:r>
    </w:p>
    <w:p w:rsidRPr="00AE1B2B" w:rsidR="009D3FB5" w:rsidP="00163B94" w:rsidRDefault="009D3FB5" w14:paraId="2D77CF0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información de la cantidad de casos entrados de 2015 a 2019 incluye: Principales, Reentrados, Incidentes y Segunda Instancia, y se completa con la cantidad de juezas o jueces y de técnicas o técnicos judiciales por cada despacho, a fin de calcular los valores promedio mensual de asuntos entrados (actual y esperado).</w:t>
      </w:r>
    </w:p>
    <w:p w:rsidRPr="00AE1B2B" w:rsidR="009D3FB5" w:rsidP="00163B94" w:rsidRDefault="009D3FB5" w14:paraId="684F283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FC7E2C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caso de los Juzgados de Familia de Cartago y Segundo Circuito Judicial de Alajuela (San Carlos), fueron rediseñados con cada Circuito y mantienen desde esa fecha un seguimiento continuo como parte del Modelo de Sostenibilidad de los Despachos Rediseñados. </w:t>
      </w:r>
    </w:p>
    <w:p w:rsidRPr="00AE1B2B" w:rsidR="009D3FB5" w:rsidP="00163B94" w:rsidRDefault="009D3FB5" w14:paraId="72531F90"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Juzgado de Familia de Cartago fue rediseñado al momento de la realización del Proyecto del Circuito Electrónico de Cartago. El trabajo realizado se plasmó en el informe 1259-PLA-2016; aprobado por el Consejo Superior, en la sesión 80-16 del 24 de agosto del 2016, artículo XXXIV. Hoy en día, mensualmente este despacho genera indicadores de gestión. </w:t>
      </w:r>
    </w:p>
    <w:p w:rsidRPr="00AE1B2B" w:rsidR="009D3FB5" w:rsidP="00163B94" w:rsidRDefault="009D3FB5" w14:paraId="79EED78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Juzgado de Familia del II Circuito Judicial de Alajuela, San Carlos, </w:t>
      </w:r>
      <w:r w:rsidRPr="00AE1B2B">
        <w:rPr>
          <w:rFonts w:ascii="Times New Roman" w:hAnsi="Times New Roman" w:eastAsia="Arial Unicode MS" w:cs="Times New Roman"/>
          <w:sz w:val="26"/>
          <w:szCs w:val="26"/>
          <w:u w:color="000000"/>
        </w:rPr>
        <w:t>informe emitido fue el 1554-PLA-2014, aprobado por Corte Plena, en la sesión 56-14 del 01 de diciembre del 2014, artículo XXXII.</w:t>
      </w:r>
    </w:p>
    <w:p w:rsidRPr="00AE1B2B" w:rsidR="009D3FB5" w:rsidP="00163B94" w:rsidRDefault="009D3FB5" w14:paraId="5ACEB4B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6F71776" w14:textId="4FC3A90A">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19</w:t>
      </w:r>
      <w:r w:rsidRPr="00AE1B2B">
        <w:rPr>
          <w:rFonts w:ascii="Times New Roman" w:hAnsi="Times New Roman" w:cs="Times New Roman"/>
          <w:sz w:val="26"/>
          <w:szCs w:val="26"/>
        </w:rPr>
        <w:fldChar w:fldCharType="end"/>
      </w:r>
    </w:p>
    <w:p w:rsidRPr="00AE1B2B" w:rsidR="009D3FB5" w:rsidP="00163B94" w:rsidRDefault="009D3FB5" w14:paraId="104BDAF1" w14:textId="2038C7EA">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Carga de trabajo anual para los Juzgados especializados</w:t>
      </w:r>
    </w:p>
    <w:p w:rsidRPr="00AE1B2B" w:rsidR="009D3FB5" w:rsidP="00163B94" w:rsidRDefault="009D3FB5" w14:paraId="491B178F"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que atienden la materia de Familia a nivel nacional.</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952"/>
        <w:gridCol w:w="964"/>
        <w:gridCol w:w="1052"/>
        <w:gridCol w:w="624"/>
        <w:gridCol w:w="645"/>
        <w:gridCol w:w="169"/>
        <w:gridCol w:w="623"/>
        <w:gridCol w:w="799"/>
      </w:tblGrid>
      <w:tr w:rsidRPr="00AE1B2B" w:rsidR="00AE1B2B" w:rsidTr="009D3FB5" w14:paraId="24C4AE41" w14:textId="77777777">
        <w:trPr>
          <w:trHeight w:val="20"/>
          <w:tblHeader/>
          <w:jc w:val="center"/>
        </w:trPr>
        <w:tc>
          <w:tcPr>
            <w:tcW w:w="1832" w:type="pct"/>
            <w:vMerge w:val="restart"/>
            <w:shd w:val="clear" w:color="auto" w:fill="002060"/>
            <w:vAlign w:val="center"/>
          </w:tcPr>
          <w:p w:rsidRPr="00AE1B2B" w:rsidR="009D3FB5" w:rsidP="00163B94" w:rsidRDefault="009D3FB5" w14:paraId="2F6391C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Despacho</w:t>
            </w:r>
          </w:p>
        </w:tc>
        <w:tc>
          <w:tcPr>
            <w:tcW w:w="668" w:type="pct"/>
            <w:vMerge w:val="restart"/>
            <w:shd w:val="clear" w:color="auto" w:fill="002060"/>
            <w:vAlign w:val="center"/>
          </w:tcPr>
          <w:p w:rsidRPr="00AE1B2B" w:rsidR="009D3FB5" w:rsidP="00163B94" w:rsidRDefault="009D3FB5" w14:paraId="19DC6E6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mensual Entrada 2015-2019</w:t>
            </w:r>
          </w:p>
        </w:tc>
        <w:tc>
          <w:tcPr>
            <w:tcW w:w="699" w:type="pct"/>
            <w:vMerge w:val="restart"/>
            <w:shd w:val="clear" w:color="auto" w:fill="002060"/>
            <w:vAlign w:val="center"/>
          </w:tcPr>
          <w:p w:rsidRPr="00AE1B2B" w:rsidR="009D3FB5" w:rsidP="00163B94" w:rsidRDefault="009D3FB5" w14:paraId="38849A4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Circulante al 31 diciembre-2019</w:t>
            </w:r>
          </w:p>
        </w:tc>
        <w:tc>
          <w:tcPr>
            <w:tcW w:w="653" w:type="pct"/>
            <w:gridSpan w:val="2"/>
            <w:shd w:val="clear" w:color="auto" w:fill="002060"/>
            <w:vAlign w:val="center"/>
          </w:tcPr>
          <w:p w:rsidRPr="00AE1B2B" w:rsidR="009D3FB5" w:rsidP="00163B94" w:rsidRDefault="009D3FB5" w14:paraId="52201B8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Recurso Humano</w:t>
            </w:r>
          </w:p>
        </w:tc>
        <w:tc>
          <w:tcPr>
            <w:tcW w:w="1148" w:type="pct"/>
            <w:gridSpan w:val="3"/>
            <w:shd w:val="clear" w:color="auto" w:fill="002060"/>
            <w:vAlign w:val="center"/>
          </w:tcPr>
          <w:p w:rsidRPr="00AE1B2B" w:rsidR="009D3FB5" w:rsidP="00163B94" w:rsidRDefault="009D3FB5" w14:paraId="34CC82D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Carga de trabajo</w:t>
            </w:r>
            <w:r w:rsidRPr="00AE1B2B" w:rsidDel="00F42649">
              <w:rPr>
                <w:rFonts w:ascii="Times New Roman" w:hAnsi="Times New Roman" w:eastAsia="Times New Roman" w:cs="Times New Roman"/>
                <w:b/>
                <w:bCs/>
                <w:lang w:eastAsia="es-CR"/>
              </w:rPr>
              <w:t xml:space="preserve"> </w:t>
            </w:r>
          </w:p>
        </w:tc>
      </w:tr>
      <w:tr w:rsidRPr="00AE1B2B" w:rsidR="00AE1B2B" w:rsidTr="009D3FB5" w14:paraId="3ECE6E5F" w14:textId="77777777">
        <w:trPr>
          <w:trHeight w:val="20"/>
          <w:tblHeader/>
          <w:jc w:val="center"/>
        </w:trPr>
        <w:tc>
          <w:tcPr>
            <w:tcW w:w="1832" w:type="pct"/>
            <w:vMerge/>
            <w:shd w:val="clear" w:color="auto" w:fill="002060"/>
            <w:vAlign w:val="center"/>
            <w:hideMark/>
          </w:tcPr>
          <w:p w:rsidRPr="00AE1B2B" w:rsidR="009D3FB5" w:rsidP="00163B94" w:rsidRDefault="009D3FB5" w14:paraId="285DAAEA" w14:textId="77777777">
            <w:pPr>
              <w:spacing w:before="120" w:after="120" w:line="276" w:lineRule="auto"/>
              <w:jc w:val="center"/>
              <w:rPr>
                <w:rFonts w:ascii="Times New Roman" w:hAnsi="Times New Roman" w:eastAsia="Times New Roman" w:cs="Times New Roman"/>
                <w:b/>
                <w:bCs/>
                <w:lang w:eastAsia="es-CR"/>
              </w:rPr>
            </w:pPr>
          </w:p>
        </w:tc>
        <w:tc>
          <w:tcPr>
            <w:tcW w:w="668" w:type="pct"/>
            <w:vMerge/>
            <w:shd w:val="clear" w:color="auto" w:fill="002060"/>
            <w:vAlign w:val="center"/>
          </w:tcPr>
          <w:p w:rsidRPr="00AE1B2B" w:rsidR="009D3FB5" w:rsidP="00163B94" w:rsidRDefault="009D3FB5" w14:paraId="2C72886F" w14:textId="77777777">
            <w:pPr>
              <w:spacing w:before="120" w:after="120" w:line="276" w:lineRule="auto"/>
              <w:jc w:val="center"/>
              <w:rPr>
                <w:rFonts w:ascii="Times New Roman" w:hAnsi="Times New Roman" w:eastAsia="Times New Roman" w:cs="Times New Roman"/>
                <w:b/>
                <w:bCs/>
                <w:lang w:eastAsia="es-CR"/>
              </w:rPr>
            </w:pPr>
          </w:p>
        </w:tc>
        <w:tc>
          <w:tcPr>
            <w:tcW w:w="699" w:type="pct"/>
            <w:vMerge/>
            <w:shd w:val="clear" w:color="auto" w:fill="002060"/>
            <w:vAlign w:val="center"/>
          </w:tcPr>
          <w:p w:rsidRPr="00AE1B2B" w:rsidR="009D3FB5" w:rsidP="00163B94" w:rsidRDefault="009D3FB5" w14:paraId="40E8D15B" w14:textId="77777777">
            <w:pPr>
              <w:spacing w:before="120" w:after="120" w:line="276" w:lineRule="auto"/>
              <w:jc w:val="center"/>
              <w:rPr>
                <w:rFonts w:ascii="Times New Roman" w:hAnsi="Times New Roman" w:eastAsia="Times New Roman" w:cs="Times New Roman"/>
                <w:b/>
                <w:bCs/>
                <w:lang w:eastAsia="es-CR"/>
              </w:rPr>
            </w:pPr>
          </w:p>
        </w:tc>
        <w:tc>
          <w:tcPr>
            <w:tcW w:w="308" w:type="pct"/>
            <w:shd w:val="clear" w:color="auto" w:fill="002060"/>
            <w:vAlign w:val="center"/>
            <w:hideMark/>
          </w:tcPr>
          <w:p w:rsidRPr="00AE1B2B" w:rsidR="009D3FB5" w:rsidP="00163B94" w:rsidRDefault="009D3FB5" w14:paraId="3EB4716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Jueza o Juez</w:t>
            </w:r>
          </w:p>
        </w:tc>
        <w:tc>
          <w:tcPr>
            <w:tcW w:w="430" w:type="pct"/>
            <w:gridSpan w:val="2"/>
            <w:shd w:val="clear" w:color="auto" w:fill="002060"/>
            <w:vAlign w:val="center"/>
          </w:tcPr>
          <w:p w:rsidRPr="00AE1B2B" w:rsidR="009D3FB5" w:rsidP="00163B94" w:rsidRDefault="009D3FB5" w14:paraId="2B6EE14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Técnica o Técnico de trámite</w:t>
            </w:r>
          </w:p>
        </w:tc>
        <w:tc>
          <w:tcPr>
            <w:tcW w:w="485" w:type="pct"/>
            <w:shd w:val="clear" w:color="auto" w:fill="002060"/>
            <w:vAlign w:val="center"/>
          </w:tcPr>
          <w:p w:rsidRPr="00AE1B2B" w:rsidR="009D3FB5" w:rsidP="00163B94" w:rsidRDefault="009D3FB5" w14:paraId="57C5DD8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Jueza o Juez al Mes</w:t>
            </w:r>
          </w:p>
        </w:tc>
        <w:tc>
          <w:tcPr>
            <w:tcW w:w="577" w:type="pct"/>
            <w:shd w:val="clear" w:color="auto" w:fill="002060"/>
            <w:vAlign w:val="center"/>
          </w:tcPr>
          <w:p w:rsidRPr="00AE1B2B" w:rsidR="009D3FB5" w:rsidP="00163B94" w:rsidRDefault="009D3FB5" w14:paraId="5CD0515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Técnica o Técnico de trámite al mes</w:t>
            </w:r>
          </w:p>
        </w:tc>
      </w:tr>
      <w:tr w:rsidRPr="00AE1B2B" w:rsidR="00AE1B2B" w:rsidTr="009D3FB5" w14:paraId="176DF8A3" w14:textId="77777777">
        <w:trPr>
          <w:trHeight w:val="20"/>
          <w:jc w:val="center"/>
        </w:trPr>
        <w:tc>
          <w:tcPr>
            <w:tcW w:w="1832" w:type="pct"/>
            <w:shd w:val="clear" w:color="auto" w:fill="auto"/>
            <w:noWrap/>
            <w:vAlign w:val="center"/>
            <w:hideMark/>
          </w:tcPr>
          <w:p w:rsidRPr="00AE1B2B" w:rsidR="009D3FB5" w:rsidP="00163B94" w:rsidRDefault="009D3FB5" w14:paraId="106D0995"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Cartago</w:t>
            </w:r>
          </w:p>
        </w:tc>
        <w:tc>
          <w:tcPr>
            <w:tcW w:w="668" w:type="pct"/>
            <w:shd w:val="clear" w:color="auto" w:fill="auto"/>
            <w:noWrap/>
            <w:vAlign w:val="bottom"/>
            <w:hideMark/>
          </w:tcPr>
          <w:p w:rsidRPr="00AE1B2B" w:rsidR="009D3FB5" w:rsidP="00163B94" w:rsidRDefault="009D3FB5" w14:paraId="42154F2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359</w:t>
            </w:r>
          </w:p>
        </w:tc>
        <w:tc>
          <w:tcPr>
            <w:tcW w:w="699" w:type="pct"/>
            <w:vAlign w:val="center"/>
          </w:tcPr>
          <w:p w:rsidRPr="00AE1B2B" w:rsidR="009D3FB5" w:rsidP="00163B94" w:rsidRDefault="009D3FB5" w14:paraId="468A639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1340</w:t>
            </w:r>
          </w:p>
        </w:tc>
        <w:tc>
          <w:tcPr>
            <w:tcW w:w="308" w:type="pct"/>
            <w:shd w:val="clear" w:color="auto" w:fill="auto"/>
            <w:noWrap/>
            <w:vAlign w:val="bottom"/>
            <w:hideMark/>
          </w:tcPr>
          <w:p w:rsidRPr="00AE1B2B" w:rsidR="009D3FB5" w:rsidP="00163B94" w:rsidRDefault="009D3FB5" w14:paraId="461B31D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430" w:type="pct"/>
            <w:gridSpan w:val="2"/>
            <w:vAlign w:val="bottom"/>
          </w:tcPr>
          <w:p w:rsidRPr="00AE1B2B" w:rsidR="009D3FB5" w:rsidP="00163B94" w:rsidRDefault="009D3FB5" w14:paraId="1C54798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485" w:type="pct"/>
            <w:shd w:val="clear" w:color="auto" w:fill="auto"/>
            <w:noWrap/>
            <w:vAlign w:val="bottom"/>
            <w:hideMark/>
          </w:tcPr>
          <w:p w:rsidRPr="00AE1B2B" w:rsidR="009D3FB5" w:rsidP="00163B94" w:rsidRDefault="009D3FB5" w14:paraId="6FC6D0C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120</w:t>
            </w:r>
          </w:p>
        </w:tc>
        <w:tc>
          <w:tcPr>
            <w:tcW w:w="577" w:type="pct"/>
            <w:shd w:val="clear" w:color="auto" w:fill="auto"/>
            <w:noWrap/>
            <w:vAlign w:val="bottom"/>
            <w:hideMark/>
          </w:tcPr>
          <w:p w:rsidRPr="00AE1B2B" w:rsidR="009D3FB5" w:rsidP="00163B94" w:rsidRDefault="009D3FB5" w14:paraId="3944975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72</w:t>
            </w:r>
          </w:p>
        </w:tc>
      </w:tr>
      <w:tr w:rsidRPr="00AE1B2B" w:rsidR="00AE1B2B" w:rsidTr="009D3FB5" w14:paraId="296732D6" w14:textId="77777777">
        <w:trPr>
          <w:trHeight w:val="20"/>
          <w:jc w:val="center"/>
        </w:trPr>
        <w:tc>
          <w:tcPr>
            <w:tcW w:w="1832" w:type="pct"/>
            <w:shd w:val="clear" w:color="auto" w:fill="auto"/>
            <w:noWrap/>
            <w:vAlign w:val="center"/>
            <w:hideMark/>
          </w:tcPr>
          <w:p w:rsidRPr="00AE1B2B" w:rsidR="009D3FB5" w:rsidP="00163B94" w:rsidRDefault="009D3FB5" w14:paraId="70E8428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Heredia</w:t>
            </w:r>
          </w:p>
        </w:tc>
        <w:tc>
          <w:tcPr>
            <w:tcW w:w="668" w:type="pct"/>
            <w:shd w:val="clear" w:color="auto" w:fill="auto"/>
            <w:noWrap/>
            <w:vAlign w:val="bottom"/>
            <w:hideMark/>
          </w:tcPr>
          <w:p w:rsidRPr="00AE1B2B" w:rsidR="009D3FB5" w:rsidP="00163B94" w:rsidRDefault="009D3FB5" w14:paraId="194C3F0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313</w:t>
            </w:r>
          </w:p>
        </w:tc>
        <w:tc>
          <w:tcPr>
            <w:tcW w:w="699" w:type="pct"/>
            <w:vAlign w:val="center"/>
          </w:tcPr>
          <w:p w:rsidRPr="00AE1B2B" w:rsidR="009D3FB5" w:rsidP="00163B94" w:rsidRDefault="009D3FB5" w14:paraId="1D1AEC9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2348</w:t>
            </w:r>
          </w:p>
        </w:tc>
        <w:tc>
          <w:tcPr>
            <w:tcW w:w="308" w:type="pct"/>
            <w:shd w:val="clear" w:color="auto" w:fill="auto"/>
            <w:noWrap/>
            <w:vAlign w:val="bottom"/>
            <w:hideMark/>
          </w:tcPr>
          <w:p w:rsidRPr="00AE1B2B" w:rsidR="009D3FB5" w:rsidP="00163B94" w:rsidRDefault="009D3FB5" w14:paraId="2CF3897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430" w:type="pct"/>
            <w:gridSpan w:val="2"/>
            <w:vAlign w:val="bottom"/>
          </w:tcPr>
          <w:p w:rsidRPr="00AE1B2B" w:rsidR="009D3FB5" w:rsidP="00163B94" w:rsidRDefault="009D3FB5" w14:paraId="15EE6D6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485" w:type="pct"/>
            <w:shd w:val="clear" w:color="auto" w:fill="auto"/>
            <w:noWrap/>
            <w:vAlign w:val="bottom"/>
            <w:hideMark/>
          </w:tcPr>
          <w:p w:rsidRPr="00AE1B2B" w:rsidR="009D3FB5" w:rsidP="00163B94" w:rsidRDefault="009D3FB5" w14:paraId="76E8F9D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78</w:t>
            </w:r>
          </w:p>
        </w:tc>
        <w:tc>
          <w:tcPr>
            <w:tcW w:w="577" w:type="pct"/>
            <w:shd w:val="clear" w:color="auto" w:fill="auto"/>
            <w:noWrap/>
            <w:vAlign w:val="bottom"/>
            <w:hideMark/>
          </w:tcPr>
          <w:p w:rsidRPr="00AE1B2B" w:rsidR="009D3FB5" w:rsidP="00163B94" w:rsidRDefault="009D3FB5" w14:paraId="62C48D2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45</w:t>
            </w:r>
          </w:p>
        </w:tc>
      </w:tr>
      <w:tr w:rsidRPr="00AE1B2B" w:rsidR="00AE1B2B" w:rsidTr="009D3FB5" w14:paraId="7B69B8EE" w14:textId="77777777">
        <w:trPr>
          <w:trHeight w:val="20"/>
          <w:jc w:val="center"/>
        </w:trPr>
        <w:tc>
          <w:tcPr>
            <w:tcW w:w="1832" w:type="pct"/>
            <w:shd w:val="clear" w:color="auto" w:fill="auto"/>
            <w:noWrap/>
            <w:vAlign w:val="center"/>
            <w:hideMark/>
          </w:tcPr>
          <w:p w:rsidRPr="00AE1B2B" w:rsidR="009D3FB5" w:rsidP="00163B94" w:rsidRDefault="009D3FB5" w14:paraId="7715FB4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I Circ. Jud. de Alajuela</w:t>
            </w:r>
          </w:p>
        </w:tc>
        <w:tc>
          <w:tcPr>
            <w:tcW w:w="668" w:type="pct"/>
            <w:shd w:val="clear" w:color="auto" w:fill="auto"/>
            <w:noWrap/>
            <w:vAlign w:val="bottom"/>
            <w:hideMark/>
          </w:tcPr>
          <w:p w:rsidRPr="00AE1B2B" w:rsidR="009D3FB5" w:rsidP="00163B94" w:rsidRDefault="009D3FB5" w14:paraId="2155D43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260</w:t>
            </w:r>
          </w:p>
        </w:tc>
        <w:tc>
          <w:tcPr>
            <w:tcW w:w="699" w:type="pct"/>
            <w:vAlign w:val="center"/>
          </w:tcPr>
          <w:p w:rsidRPr="00AE1B2B" w:rsidR="009D3FB5" w:rsidP="00163B94" w:rsidRDefault="009D3FB5" w14:paraId="74BA505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1934</w:t>
            </w:r>
          </w:p>
        </w:tc>
        <w:tc>
          <w:tcPr>
            <w:tcW w:w="308" w:type="pct"/>
            <w:shd w:val="clear" w:color="auto" w:fill="auto"/>
            <w:noWrap/>
            <w:vAlign w:val="bottom"/>
            <w:hideMark/>
          </w:tcPr>
          <w:p w:rsidRPr="00AE1B2B" w:rsidR="009D3FB5" w:rsidP="00163B94" w:rsidRDefault="009D3FB5" w14:paraId="2AA7F83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430" w:type="pct"/>
            <w:gridSpan w:val="2"/>
            <w:vAlign w:val="bottom"/>
          </w:tcPr>
          <w:p w:rsidRPr="00AE1B2B" w:rsidR="009D3FB5" w:rsidP="00163B94" w:rsidRDefault="009D3FB5" w14:paraId="08E9FFD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485" w:type="pct"/>
            <w:shd w:val="clear" w:color="auto" w:fill="auto"/>
            <w:noWrap/>
            <w:vAlign w:val="bottom"/>
            <w:hideMark/>
          </w:tcPr>
          <w:p w:rsidRPr="00AE1B2B" w:rsidR="009D3FB5" w:rsidP="00163B94" w:rsidRDefault="009D3FB5" w14:paraId="1409AFB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87</w:t>
            </w:r>
          </w:p>
        </w:tc>
        <w:tc>
          <w:tcPr>
            <w:tcW w:w="577" w:type="pct"/>
            <w:shd w:val="clear" w:color="auto" w:fill="auto"/>
            <w:noWrap/>
            <w:vAlign w:val="bottom"/>
            <w:hideMark/>
          </w:tcPr>
          <w:p w:rsidRPr="00AE1B2B" w:rsidR="009D3FB5" w:rsidP="00163B94" w:rsidRDefault="009D3FB5" w14:paraId="52A768B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52</w:t>
            </w:r>
          </w:p>
        </w:tc>
      </w:tr>
      <w:tr w:rsidRPr="00AE1B2B" w:rsidR="00AE1B2B" w:rsidTr="009D3FB5" w14:paraId="5252568B" w14:textId="77777777">
        <w:trPr>
          <w:trHeight w:val="20"/>
          <w:jc w:val="center"/>
        </w:trPr>
        <w:tc>
          <w:tcPr>
            <w:tcW w:w="1832" w:type="pct"/>
            <w:shd w:val="clear" w:color="auto" w:fill="auto"/>
            <w:noWrap/>
            <w:vAlign w:val="center"/>
            <w:hideMark/>
          </w:tcPr>
          <w:p w:rsidRPr="00AE1B2B" w:rsidR="009D3FB5" w:rsidP="00163B94" w:rsidRDefault="009D3FB5" w14:paraId="21E86AFD"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I Circ. Jud. Zona Atlántica</w:t>
            </w:r>
          </w:p>
        </w:tc>
        <w:tc>
          <w:tcPr>
            <w:tcW w:w="668" w:type="pct"/>
            <w:shd w:val="clear" w:color="auto" w:fill="auto"/>
            <w:noWrap/>
            <w:vAlign w:val="bottom"/>
            <w:hideMark/>
          </w:tcPr>
          <w:p w:rsidRPr="00AE1B2B" w:rsidR="009D3FB5" w:rsidP="00163B94" w:rsidRDefault="009D3FB5" w14:paraId="6C5D2E5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121</w:t>
            </w:r>
          </w:p>
        </w:tc>
        <w:tc>
          <w:tcPr>
            <w:tcW w:w="699" w:type="pct"/>
            <w:vAlign w:val="center"/>
          </w:tcPr>
          <w:p w:rsidRPr="00AE1B2B" w:rsidR="009D3FB5" w:rsidP="00163B94" w:rsidRDefault="009D3FB5" w14:paraId="4DC8D0C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381</w:t>
            </w:r>
          </w:p>
        </w:tc>
        <w:tc>
          <w:tcPr>
            <w:tcW w:w="308" w:type="pct"/>
            <w:shd w:val="clear" w:color="auto" w:fill="auto"/>
            <w:noWrap/>
            <w:vAlign w:val="bottom"/>
            <w:hideMark/>
          </w:tcPr>
          <w:p w:rsidRPr="00AE1B2B" w:rsidR="009D3FB5" w:rsidP="00163B94" w:rsidRDefault="009D3FB5" w14:paraId="2BFE02E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430" w:type="pct"/>
            <w:gridSpan w:val="2"/>
            <w:vAlign w:val="bottom"/>
          </w:tcPr>
          <w:p w:rsidRPr="00AE1B2B" w:rsidR="009D3FB5" w:rsidP="00163B94" w:rsidRDefault="009D3FB5" w14:paraId="4AC198D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485" w:type="pct"/>
            <w:shd w:val="clear" w:color="auto" w:fill="auto"/>
            <w:noWrap/>
            <w:vAlign w:val="bottom"/>
            <w:hideMark/>
          </w:tcPr>
          <w:p w:rsidRPr="00AE1B2B" w:rsidR="009D3FB5" w:rsidP="00163B94" w:rsidRDefault="009D3FB5" w14:paraId="0010D91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60</w:t>
            </w:r>
          </w:p>
        </w:tc>
        <w:tc>
          <w:tcPr>
            <w:tcW w:w="577" w:type="pct"/>
            <w:shd w:val="clear" w:color="auto" w:fill="auto"/>
            <w:noWrap/>
            <w:vAlign w:val="bottom"/>
            <w:hideMark/>
          </w:tcPr>
          <w:p w:rsidRPr="00AE1B2B" w:rsidR="009D3FB5" w:rsidP="00163B94" w:rsidRDefault="009D3FB5" w14:paraId="21659D5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30</w:t>
            </w:r>
          </w:p>
        </w:tc>
      </w:tr>
      <w:tr w:rsidRPr="00AE1B2B" w:rsidR="00AE1B2B" w:rsidTr="009D3FB5" w14:paraId="73AEA9D9" w14:textId="77777777">
        <w:trPr>
          <w:trHeight w:val="20"/>
          <w:jc w:val="center"/>
        </w:trPr>
        <w:tc>
          <w:tcPr>
            <w:tcW w:w="1832" w:type="pct"/>
            <w:shd w:val="clear" w:color="auto" w:fill="auto"/>
            <w:noWrap/>
            <w:vAlign w:val="center"/>
            <w:hideMark/>
          </w:tcPr>
          <w:p w:rsidRPr="00AE1B2B" w:rsidR="009D3FB5" w:rsidP="00163B94" w:rsidRDefault="009D3FB5" w14:paraId="3BCEF99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Juzgado Familia I Circ. Jud. Zona Sur </w:t>
            </w:r>
          </w:p>
        </w:tc>
        <w:tc>
          <w:tcPr>
            <w:tcW w:w="668" w:type="pct"/>
            <w:shd w:val="clear" w:color="auto" w:fill="auto"/>
            <w:noWrap/>
            <w:vAlign w:val="bottom"/>
            <w:hideMark/>
          </w:tcPr>
          <w:p w:rsidRPr="00AE1B2B" w:rsidR="009D3FB5" w:rsidP="00163B94" w:rsidRDefault="009D3FB5" w14:paraId="0E4A3A0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110</w:t>
            </w:r>
          </w:p>
        </w:tc>
        <w:tc>
          <w:tcPr>
            <w:tcW w:w="699" w:type="pct"/>
            <w:vAlign w:val="center"/>
          </w:tcPr>
          <w:p w:rsidRPr="00AE1B2B" w:rsidR="009D3FB5" w:rsidP="00163B94" w:rsidRDefault="009D3FB5" w14:paraId="50A0D10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484</w:t>
            </w:r>
          </w:p>
        </w:tc>
        <w:tc>
          <w:tcPr>
            <w:tcW w:w="308" w:type="pct"/>
            <w:shd w:val="clear" w:color="auto" w:fill="auto"/>
            <w:noWrap/>
            <w:vAlign w:val="bottom"/>
            <w:hideMark/>
          </w:tcPr>
          <w:p w:rsidRPr="00AE1B2B" w:rsidR="009D3FB5" w:rsidP="00163B94" w:rsidRDefault="009D3FB5" w14:paraId="44807D2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430" w:type="pct"/>
            <w:gridSpan w:val="2"/>
            <w:vAlign w:val="bottom"/>
          </w:tcPr>
          <w:p w:rsidRPr="00AE1B2B" w:rsidR="009D3FB5" w:rsidP="00163B94" w:rsidRDefault="009D3FB5" w14:paraId="104EC33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485" w:type="pct"/>
            <w:shd w:val="clear" w:color="auto" w:fill="auto"/>
            <w:noWrap/>
            <w:vAlign w:val="bottom"/>
            <w:hideMark/>
          </w:tcPr>
          <w:p w:rsidRPr="00AE1B2B" w:rsidR="009D3FB5" w:rsidP="00163B94" w:rsidRDefault="009D3FB5" w14:paraId="38A42B1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55</w:t>
            </w:r>
          </w:p>
        </w:tc>
        <w:tc>
          <w:tcPr>
            <w:tcW w:w="577" w:type="pct"/>
            <w:shd w:val="clear" w:color="auto" w:fill="auto"/>
            <w:noWrap/>
            <w:vAlign w:val="bottom"/>
            <w:hideMark/>
          </w:tcPr>
          <w:p w:rsidRPr="00AE1B2B" w:rsidR="009D3FB5" w:rsidP="00163B94" w:rsidRDefault="009D3FB5" w14:paraId="0D14D7F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55</w:t>
            </w:r>
          </w:p>
        </w:tc>
      </w:tr>
      <w:tr w:rsidRPr="00AE1B2B" w:rsidR="00AE1B2B" w:rsidTr="009D3FB5" w14:paraId="3B851DE8" w14:textId="77777777">
        <w:trPr>
          <w:trHeight w:val="20"/>
          <w:jc w:val="center"/>
        </w:trPr>
        <w:tc>
          <w:tcPr>
            <w:tcW w:w="1832" w:type="pct"/>
            <w:shd w:val="clear" w:color="auto" w:fill="auto"/>
            <w:noWrap/>
            <w:vAlign w:val="center"/>
            <w:hideMark/>
          </w:tcPr>
          <w:p w:rsidRPr="00AE1B2B" w:rsidR="009D3FB5" w:rsidP="00163B94" w:rsidRDefault="009D3FB5" w14:paraId="0EB6D8BB"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II Circ. Jud. de Alajuela</w:t>
            </w:r>
          </w:p>
        </w:tc>
        <w:tc>
          <w:tcPr>
            <w:tcW w:w="668" w:type="pct"/>
            <w:shd w:val="clear" w:color="auto" w:fill="auto"/>
            <w:noWrap/>
            <w:vAlign w:val="bottom"/>
            <w:hideMark/>
          </w:tcPr>
          <w:p w:rsidRPr="00AE1B2B" w:rsidR="009D3FB5" w:rsidP="00163B94" w:rsidRDefault="009D3FB5" w14:paraId="17A52AD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142</w:t>
            </w:r>
          </w:p>
        </w:tc>
        <w:tc>
          <w:tcPr>
            <w:tcW w:w="699" w:type="pct"/>
            <w:vAlign w:val="center"/>
          </w:tcPr>
          <w:p w:rsidRPr="00AE1B2B" w:rsidR="009D3FB5" w:rsidP="00163B94" w:rsidRDefault="009D3FB5" w14:paraId="3668663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456</w:t>
            </w:r>
          </w:p>
        </w:tc>
        <w:tc>
          <w:tcPr>
            <w:tcW w:w="308" w:type="pct"/>
            <w:shd w:val="clear" w:color="auto" w:fill="auto"/>
            <w:noWrap/>
            <w:vAlign w:val="bottom"/>
            <w:hideMark/>
          </w:tcPr>
          <w:p w:rsidRPr="00AE1B2B" w:rsidR="009D3FB5" w:rsidP="00163B94" w:rsidRDefault="009D3FB5" w14:paraId="5E2576E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430" w:type="pct"/>
            <w:gridSpan w:val="2"/>
            <w:vAlign w:val="bottom"/>
          </w:tcPr>
          <w:p w:rsidRPr="00AE1B2B" w:rsidR="009D3FB5" w:rsidP="00163B94" w:rsidRDefault="009D3FB5" w14:paraId="5E50A8C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485" w:type="pct"/>
            <w:shd w:val="clear" w:color="auto" w:fill="auto"/>
            <w:noWrap/>
            <w:vAlign w:val="bottom"/>
            <w:hideMark/>
          </w:tcPr>
          <w:p w:rsidRPr="00AE1B2B" w:rsidR="009D3FB5" w:rsidP="00163B94" w:rsidRDefault="009D3FB5" w14:paraId="5768DBF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71</w:t>
            </w:r>
          </w:p>
        </w:tc>
        <w:tc>
          <w:tcPr>
            <w:tcW w:w="577" w:type="pct"/>
            <w:shd w:val="clear" w:color="auto" w:fill="auto"/>
            <w:noWrap/>
            <w:vAlign w:val="bottom"/>
            <w:hideMark/>
          </w:tcPr>
          <w:p w:rsidRPr="00AE1B2B" w:rsidR="009D3FB5" w:rsidP="00163B94" w:rsidRDefault="009D3FB5" w14:paraId="6CCACF7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47</w:t>
            </w:r>
          </w:p>
        </w:tc>
      </w:tr>
      <w:tr w:rsidRPr="00AE1B2B" w:rsidR="00AE1B2B" w:rsidTr="009D3FB5" w14:paraId="45E1645C" w14:textId="77777777">
        <w:trPr>
          <w:trHeight w:val="20"/>
          <w:jc w:val="center"/>
        </w:trPr>
        <w:tc>
          <w:tcPr>
            <w:tcW w:w="1832" w:type="pct"/>
            <w:shd w:val="clear" w:color="auto" w:fill="auto"/>
            <w:noWrap/>
            <w:vAlign w:val="center"/>
            <w:hideMark/>
          </w:tcPr>
          <w:p w:rsidRPr="00AE1B2B" w:rsidR="009D3FB5" w:rsidP="00163B94" w:rsidRDefault="009D3FB5" w14:paraId="7CD930D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II Circ. Jud. San José</w:t>
            </w:r>
          </w:p>
        </w:tc>
        <w:tc>
          <w:tcPr>
            <w:tcW w:w="668" w:type="pct"/>
            <w:shd w:val="clear" w:color="auto" w:fill="auto"/>
            <w:noWrap/>
            <w:vAlign w:val="bottom"/>
            <w:hideMark/>
          </w:tcPr>
          <w:p w:rsidRPr="00AE1B2B" w:rsidR="009D3FB5" w:rsidP="00163B94" w:rsidRDefault="009D3FB5" w14:paraId="3334511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331</w:t>
            </w:r>
          </w:p>
        </w:tc>
        <w:tc>
          <w:tcPr>
            <w:tcW w:w="699" w:type="pct"/>
            <w:vAlign w:val="center"/>
          </w:tcPr>
          <w:p w:rsidRPr="00AE1B2B" w:rsidR="009D3FB5" w:rsidP="00163B94" w:rsidRDefault="009D3FB5" w14:paraId="7918ECF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1886</w:t>
            </w:r>
          </w:p>
        </w:tc>
        <w:tc>
          <w:tcPr>
            <w:tcW w:w="308" w:type="pct"/>
            <w:shd w:val="clear" w:color="auto" w:fill="auto"/>
            <w:noWrap/>
            <w:vAlign w:val="bottom"/>
            <w:hideMark/>
          </w:tcPr>
          <w:p w:rsidRPr="00AE1B2B" w:rsidR="009D3FB5" w:rsidP="00163B94" w:rsidRDefault="009D3FB5" w14:paraId="4C48F19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430" w:type="pct"/>
            <w:gridSpan w:val="2"/>
            <w:vAlign w:val="bottom"/>
          </w:tcPr>
          <w:p w:rsidRPr="00AE1B2B" w:rsidR="009D3FB5" w:rsidP="00163B94" w:rsidRDefault="009D3FB5" w14:paraId="2568162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w:t>
            </w:r>
          </w:p>
        </w:tc>
        <w:tc>
          <w:tcPr>
            <w:tcW w:w="485" w:type="pct"/>
            <w:shd w:val="clear" w:color="auto" w:fill="auto"/>
            <w:noWrap/>
            <w:vAlign w:val="bottom"/>
            <w:hideMark/>
          </w:tcPr>
          <w:p w:rsidRPr="00AE1B2B" w:rsidR="009D3FB5" w:rsidP="00163B94" w:rsidRDefault="009D3FB5" w14:paraId="2525AA4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83</w:t>
            </w:r>
          </w:p>
        </w:tc>
        <w:tc>
          <w:tcPr>
            <w:tcW w:w="577" w:type="pct"/>
            <w:shd w:val="clear" w:color="auto" w:fill="auto"/>
            <w:noWrap/>
            <w:vAlign w:val="bottom"/>
            <w:hideMark/>
          </w:tcPr>
          <w:p w:rsidRPr="00AE1B2B" w:rsidR="009D3FB5" w:rsidP="00163B94" w:rsidRDefault="009D3FB5" w14:paraId="3102722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41</w:t>
            </w:r>
          </w:p>
        </w:tc>
      </w:tr>
      <w:tr w:rsidRPr="00AE1B2B" w:rsidR="00AE1B2B" w:rsidTr="009D3FB5" w14:paraId="798B157F" w14:textId="77777777">
        <w:trPr>
          <w:trHeight w:val="20"/>
          <w:jc w:val="center"/>
        </w:trPr>
        <w:tc>
          <w:tcPr>
            <w:tcW w:w="1832" w:type="pct"/>
            <w:shd w:val="clear" w:color="auto" w:fill="auto"/>
            <w:noWrap/>
            <w:vAlign w:val="center"/>
            <w:hideMark/>
          </w:tcPr>
          <w:p w:rsidRPr="00AE1B2B" w:rsidR="009D3FB5" w:rsidP="00163B94" w:rsidRDefault="009D3FB5" w14:paraId="72D3E76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II Circ. Jud. Zona Atlántica</w:t>
            </w:r>
          </w:p>
        </w:tc>
        <w:tc>
          <w:tcPr>
            <w:tcW w:w="668" w:type="pct"/>
            <w:shd w:val="clear" w:color="auto" w:fill="auto"/>
            <w:noWrap/>
            <w:vAlign w:val="bottom"/>
            <w:hideMark/>
          </w:tcPr>
          <w:p w:rsidRPr="00AE1B2B" w:rsidR="009D3FB5" w:rsidP="00163B94" w:rsidRDefault="009D3FB5" w14:paraId="4660326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156</w:t>
            </w:r>
          </w:p>
        </w:tc>
        <w:tc>
          <w:tcPr>
            <w:tcW w:w="699" w:type="pct"/>
            <w:vAlign w:val="center"/>
          </w:tcPr>
          <w:p w:rsidRPr="00AE1B2B" w:rsidR="009D3FB5" w:rsidP="00163B94" w:rsidRDefault="009D3FB5" w14:paraId="737B76C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1204</w:t>
            </w:r>
          </w:p>
        </w:tc>
        <w:tc>
          <w:tcPr>
            <w:tcW w:w="308" w:type="pct"/>
            <w:shd w:val="clear" w:color="auto" w:fill="auto"/>
            <w:noWrap/>
            <w:vAlign w:val="bottom"/>
            <w:hideMark/>
          </w:tcPr>
          <w:p w:rsidRPr="00AE1B2B" w:rsidR="009D3FB5" w:rsidP="00163B94" w:rsidRDefault="009D3FB5" w14:paraId="6289BCA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430" w:type="pct"/>
            <w:gridSpan w:val="2"/>
            <w:vAlign w:val="bottom"/>
          </w:tcPr>
          <w:p w:rsidRPr="00AE1B2B" w:rsidR="009D3FB5" w:rsidP="00163B94" w:rsidRDefault="009D3FB5" w14:paraId="59179B1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485" w:type="pct"/>
            <w:shd w:val="clear" w:color="auto" w:fill="auto"/>
            <w:noWrap/>
            <w:vAlign w:val="bottom"/>
            <w:hideMark/>
          </w:tcPr>
          <w:p w:rsidRPr="00AE1B2B" w:rsidR="009D3FB5" w:rsidP="00163B94" w:rsidRDefault="009D3FB5" w14:paraId="79A60A0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78</w:t>
            </w:r>
          </w:p>
        </w:tc>
        <w:tc>
          <w:tcPr>
            <w:tcW w:w="577" w:type="pct"/>
            <w:shd w:val="clear" w:color="auto" w:fill="auto"/>
            <w:noWrap/>
            <w:vAlign w:val="bottom"/>
            <w:hideMark/>
          </w:tcPr>
          <w:p w:rsidRPr="00AE1B2B" w:rsidR="009D3FB5" w:rsidP="00163B94" w:rsidRDefault="009D3FB5" w14:paraId="71DAFF8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52</w:t>
            </w:r>
          </w:p>
        </w:tc>
      </w:tr>
      <w:tr w:rsidRPr="00AE1B2B" w:rsidR="00AE1B2B" w:rsidTr="009D3FB5" w14:paraId="2978442B" w14:textId="77777777">
        <w:trPr>
          <w:trHeight w:val="20"/>
          <w:jc w:val="center"/>
        </w:trPr>
        <w:tc>
          <w:tcPr>
            <w:tcW w:w="1832" w:type="pct"/>
            <w:shd w:val="clear" w:color="auto" w:fill="auto"/>
            <w:noWrap/>
            <w:vAlign w:val="center"/>
            <w:hideMark/>
          </w:tcPr>
          <w:p w:rsidRPr="00AE1B2B" w:rsidR="009D3FB5" w:rsidP="00163B94" w:rsidRDefault="009D3FB5" w14:paraId="67C48F6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Juzgado Familia III Circ. Jud. De San José </w:t>
            </w:r>
          </w:p>
        </w:tc>
        <w:tc>
          <w:tcPr>
            <w:tcW w:w="668" w:type="pct"/>
            <w:shd w:val="clear" w:color="auto" w:fill="auto"/>
            <w:noWrap/>
            <w:vAlign w:val="bottom"/>
            <w:hideMark/>
          </w:tcPr>
          <w:p w:rsidRPr="00AE1B2B" w:rsidR="009D3FB5" w:rsidP="00163B94" w:rsidRDefault="009D3FB5" w14:paraId="7ABEAD1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226</w:t>
            </w:r>
          </w:p>
        </w:tc>
        <w:tc>
          <w:tcPr>
            <w:tcW w:w="699" w:type="pct"/>
            <w:vAlign w:val="center"/>
          </w:tcPr>
          <w:p w:rsidRPr="00AE1B2B" w:rsidR="009D3FB5" w:rsidP="00163B94" w:rsidRDefault="009D3FB5" w14:paraId="00037EE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1042</w:t>
            </w:r>
          </w:p>
        </w:tc>
        <w:tc>
          <w:tcPr>
            <w:tcW w:w="308" w:type="pct"/>
            <w:shd w:val="clear" w:color="auto" w:fill="auto"/>
            <w:noWrap/>
            <w:vAlign w:val="bottom"/>
            <w:hideMark/>
          </w:tcPr>
          <w:p w:rsidRPr="00AE1B2B" w:rsidR="009D3FB5" w:rsidP="00163B94" w:rsidRDefault="009D3FB5" w14:paraId="2127860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430" w:type="pct"/>
            <w:gridSpan w:val="2"/>
            <w:vAlign w:val="bottom"/>
          </w:tcPr>
          <w:p w:rsidRPr="00AE1B2B" w:rsidR="009D3FB5" w:rsidP="00163B94" w:rsidRDefault="009D3FB5" w14:paraId="044DCA4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485" w:type="pct"/>
            <w:shd w:val="clear" w:color="auto" w:fill="auto"/>
            <w:noWrap/>
            <w:vAlign w:val="bottom"/>
            <w:hideMark/>
          </w:tcPr>
          <w:p w:rsidRPr="00AE1B2B" w:rsidR="009D3FB5" w:rsidP="00163B94" w:rsidRDefault="009D3FB5" w14:paraId="3755161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75</w:t>
            </w:r>
          </w:p>
        </w:tc>
        <w:tc>
          <w:tcPr>
            <w:tcW w:w="577" w:type="pct"/>
            <w:shd w:val="clear" w:color="auto" w:fill="auto"/>
            <w:noWrap/>
            <w:vAlign w:val="bottom"/>
            <w:hideMark/>
          </w:tcPr>
          <w:p w:rsidRPr="00AE1B2B" w:rsidR="009D3FB5" w:rsidP="00163B94" w:rsidRDefault="009D3FB5" w14:paraId="563E275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56</w:t>
            </w:r>
          </w:p>
        </w:tc>
      </w:tr>
      <w:tr w:rsidRPr="00AE1B2B" w:rsidR="00AE1B2B" w:rsidTr="009D3FB5" w14:paraId="5E9366E7" w14:textId="77777777">
        <w:trPr>
          <w:trHeight w:val="20"/>
          <w:jc w:val="center"/>
        </w:trPr>
        <w:tc>
          <w:tcPr>
            <w:tcW w:w="1832" w:type="pct"/>
            <w:shd w:val="clear" w:color="auto" w:fill="auto"/>
            <w:noWrap/>
            <w:vAlign w:val="center"/>
            <w:hideMark/>
          </w:tcPr>
          <w:p w:rsidRPr="00AE1B2B" w:rsidR="009D3FB5" w:rsidP="00163B94" w:rsidRDefault="009D3FB5" w14:paraId="05DC005D"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Puntarenas</w:t>
            </w:r>
          </w:p>
        </w:tc>
        <w:tc>
          <w:tcPr>
            <w:tcW w:w="668" w:type="pct"/>
            <w:shd w:val="clear" w:color="auto" w:fill="auto"/>
            <w:noWrap/>
            <w:vAlign w:val="bottom"/>
            <w:hideMark/>
          </w:tcPr>
          <w:p w:rsidRPr="00AE1B2B" w:rsidR="009D3FB5" w:rsidP="00163B94" w:rsidRDefault="009D3FB5" w14:paraId="6406A1F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159</w:t>
            </w:r>
          </w:p>
        </w:tc>
        <w:tc>
          <w:tcPr>
            <w:tcW w:w="699" w:type="pct"/>
            <w:vAlign w:val="center"/>
          </w:tcPr>
          <w:p w:rsidRPr="00AE1B2B" w:rsidR="009D3FB5" w:rsidP="00163B94" w:rsidRDefault="009D3FB5" w14:paraId="6D81353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725</w:t>
            </w:r>
          </w:p>
        </w:tc>
        <w:tc>
          <w:tcPr>
            <w:tcW w:w="308" w:type="pct"/>
            <w:shd w:val="clear" w:color="auto" w:fill="auto"/>
            <w:noWrap/>
            <w:vAlign w:val="bottom"/>
            <w:hideMark/>
          </w:tcPr>
          <w:p w:rsidRPr="00AE1B2B" w:rsidR="009D3FB5" w:rsidP="00163B94" w:rsidRDefault="009D3FB5" w14:paraId="10E32B5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430" w:type="pct"/>
            <w:gridSpan w:val="2"/>
            <w:vAlign w:val="bottom"/>
          </w:tcPr>
          <w:p w:rsidRPr="00AE1B2B" w:rsidR="009D3FB5" w:rsidP="00163B94" w:rsidRDefault="009D3FB5" w14:paraId="7602707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485" w:type="pct"/>
            <w:shd w:val="clear" w:color="auto" w:fill="auto"/>
            <w:noWrap/>
            <w:vAlign w:val="bottom"/>
            <w:hideMark/>
          </w:tcPr>
          <w:p w:rsidRPr="00AE1B2B" w:rsidR="009D3FB5" w:rsidP="00163B94" w:rsidRDefault="009D3FB5" w14:paraId="56A1402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80</w:t>
            </w:r>
          </w:p>
        </w:tc>
        <w:tc>
          <w:tcPr>
            <w:tcW w:w="577" w:type="pct"/>
            <w:shd w:val="clear" w:color="auto" w:fill="auto"/>
            <w:noWrap/>
            <w:vAlign w:val="bottom"/>
            <w:hideMark/>
          </w:tcPr>
          <w:p w:rsidRPr="00AE1B2B" w:rsidR="009D3FB5" w:rsidP="00163B94" w:rsidRDefault="009D3FB5" w14:paraId="0325DCC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40</w:t>
            </w:r>
          </w:p>
        </w:tc>
      </w:tr>
      <w:tr w:rsidRPr="00AE1B2B" w:rsidR="00AE1B2B" w:rsidTr="009D3FB5" w14:paraId="0687AFED" w14:textId="77777777">
        <w:trPr>
          <w:trHeight w:val="20"/>
          <w:jc w:val="center"/>
        </w:trPr>
        <w:tc>
          <w:tcPr>
            <w:tcW w:w="1832" w:type="pct"/>
            <w:shd w:val="clear" w:color="auto" w:fill="auto"/>
            <w:noWrap/>
            <w:vAlign w:val="center"/>
            <w:hideMark/>
          </w:tcPr>
          <w:p w:rsidRPr="00AE1B2B" w:rsidR="009D3FB5" w:rsidP="00163B94" w:rsidRDefault="009D3FB5" w14:paraId="57DF96FE"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Primero de Familia de San José</w:t>
            </w:r>
          </w:p>
        </w:tc>
        <w:tc>
          <w:tcPr>
            <w:tcW w:w="668" w:type="pct"/>
            <w:shd w:val="clear" w:color="auto" w:fill="auto"/>
            <w:noWrap/>
            <w:vAlign w:val="bottom"/>
            <w:hideMark/>
          </w:tcPr>
          <w:p w:rsidRPr="00AE1B2B" w:rsidR="009D3FB5" w:rsidP="00163B94" w:rsidRDefault="009D3FB5" w14:paraId="37B06E6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162</w:t>
            </w:r>
          </w:p>
        </w:tc>
        <w:tc>
          <w:tcPr>
            <w:tcW w:w="699" w:type="pct"/>
            <w:vAlign w:val="center"/>
          </w:tcPr>
          <w:p w:rsidRPr="00AE1B2B" w:rsidR="009D3FB5" w:rsidP="00163B94" w:rsidRDefault="009D3FB5" w14:paraId="0688675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1425</w:t>
            </w:r>
          </w:p>
        </w:tc>
        <w:tc>
          <w:tcPr>
            <w:tcW w:w="308" w:type="pct"/>
            <w:shd w:val="clear" w:color="auto" w:fill="auto"/>
            <w:noWrap/>
            <w:vAlign w:val="bottom"/>
            <w:hideMark/>
          </w:tcPr>
          <w:p w:rsidRPr="00AE1B2B" w:rsidR="009D3FB5" w:rsidP="00163B94" w:rsidRDefault="009D3FB5" w14:paraId="39F1737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430" w:type="pct"/>
            <w:gridSpan w:val="2"/>
            <w:vAlign w:val="bottom"/>
          </w:tcPr>
          <w:p w:rsidRPr="00AE1B2B" w:rsidR="009D3FB5" w:rsidP="00163B94" w:rsidRDefault="009D3FB5" w14:paraId="7EE73D3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485" w:type="pct"/>
            <w:shd w:val="clear" w:color="auto" w:fill="auto"/>
            <w:noWrap/>
            <w:vAlign w:val="bottom"/>
            <w:hideMark/>
          </w:tcPr>
          <w:p w:rsidRPr="00AE1B2B" w:rsidR="009D3FB5" w:rsidP="00163B94" w:rsidRDefault="009D3FB5" w14:paraId="0823A45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54</w:t>
            </w:r>
          </w:p>
        </w:tc>
        <w:tc>
          <w:tcPr>
            <w:tcW w:w="577" w:type="pct"/>
            <w:shd w:val="clear" w:color="auto" w:fill="auto"/>
            <w:noWrap/>
            <w:vAlign w:val="bottom"/>
            <w:hideMark/>
          </w:tcPr>
          <w:p w:rsidRPr="00AE1B2B" w:rsidR="009D3FB5" w:rsidP="00163B94" w:rsidRDefault="009D3FB5" w14:paraId="5A65981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41</w:t>
            </w:r>
          </w:p>
        </w:tc>
      </w:tr>
      <w:tr w:rsidRPr="00AE1B2B" w:rsidR="00AE1B2B" w:rsidTr="009D3FB5" w14:paraId="1897A414" w14:textId="77777777">
        <w:trPr>
          <w:trHeight w:val="20"/>
          <w:jc w:val="center"/>
        </w:trPr>
        <w:tc>
          <w:tcPr>
            <w:tcW w:w="1832" w:type="pct"/>
            <w:shd w:val="clear" w:color="auto" w:fill="auto"/>
            <w:noWrap/>
            <w:vAlign w:val="center"/>
            <w:hideMark/>
          </w:tcPr>
          <w:p w:rsidRPr="00AE1B2B" w:rsidR="009D3FB5" w:rsidP="00163B94" w:rsidRDefault="009D3FB5" w14:paraId="1E74D23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Segundo de Familia de San José</w:t>
            </w:r>
          </w:p>
        </w:tc>
        <w:tc>
          <w:tcPr>
            <w:tcW w:w="668" w:type="pct"/>
            <w:shd w:val="clear" w:color="auto" w:fill="auto"/>
            <w:noWrap/>
            <w:vAlign w:val="bottom"/>
            <w:hideMark/>
          </w:tcPr>
          <w:p w:rsidRPr="00AE1B2B" w:rsidR="009D3FB5" w:rsidP="00163B94" w:rsidRDefault="009D3FB5" w14:paraId="02B16DE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154</w:t>
            </w:r>
          </w:p>
        </w:tc>
        <w:tc>
          <w:tcPr>
            <w:tcW w:w="699" w:type="pct"/>
            <w:vAlign w:val="center"/>
          </w:tcPr>
          <w:p w:rsidRPr="00AE1B2B" w:rsidR="009D3FB5" w:rsidP="00163B94" w:rsidRDefault="009D3FB5" w14:paraId="6BD1522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1219</w:t>
            </w:r>
          </w:p>
        </w:tc>
        <w:tc>
          <w:tcPr>
            <w:tcW w:w="308" w:type="pct"/>
            <w:shd w:val="clear" w:color="auto" w:fill="auto"/>
            <w:noWrap/>
            <w:vAlign w:val="bottom"/>
            <w:hideMark/>
          </w:tcPr>
          <w:p w:rsidRPr="00AE1B2B" w:rsidR="009D3FB5" w:rsidP="00163B94" w:rsidRDefault="009D3FB5" w14:paraId="5848FD2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430" w:type="pct"/>
            <w:gridSpan w:val="2"/>
            <w:vAlign w:val="bottom"/>
          </w:tcPr>
          <w:p w:rsidRPr="00AE1B2B" w:rsidR="009D3FB5" w:rsidP="00163B94" w:rsidRDefault="009D3FB5" w14:paraId="0324BC6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485" w:type="pct"/>
            <w:shd w:val="clear" w:color="auto" w:fill="auto"/>
            <w:noWrap/>
            <w:vAlign w:val="bottom"/>
            <w:hideMark/>
          </w:tcPr>
          <w:p w:rsidRPr="00AE1B2B" w:rsidR="009D3FB5" w:rsidP="00163B94" w:rsidRDefault="009D3FB5" w14:paraId="335D73B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52</w:t>
            </w:r>
          </w:p>
        </w:tc>
        <w:tc>
          <w:tcPr>
            <w:tcW w:w="577" w:type="pct"/>
            <w:shd w:val="clear" w:color="auto" w:fill="auto"/>
            <w:noWrap/>
            <w:vAlign w:val="bottom"/>
            <w:hideMark/>
          </w:tcPr>
          <w:p w:rsidRPr="00AE1B2B" w:rsidR="009D3FB5" w:rsidP="00163B94" w:rsidRDefault="009D3FB5" w14:paraId="232D36A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31</w:t>
            </w:r>
          </w:p>
        </w:tc>
      </w:tr>
      <w:tr w:rsidRPr="00AE1B2B" w:rsidR="00AE1B2B" w:rsidTr="009D3FB5" w14:paraId="76650012" w14:textId="77777777">
        <w:trPr>
          <w:trHeight w:val="20"/>
          <w:jc w:val="center"/>
        </w:trPr>
        <w:tc>
          <w:tcPr>
            <w:tcW w:w="1832" w:type="pct"/>
            <w:shd w:val="clear" w:color="000000" w:fill="808080"/>
            <w:noWrap/>
            <w:vAlign w:val="bottom"/>
            <w:hideMark/>
          </w:tcPr>
          <w:p w:rsidRPr="00AE1B2B" w:rsidR="009D3FB5" w:rsidP="00163B94" w:rsidRDefault="009D3FB5" w14:paraId="0C7E5834" w14:textId="77777777">
            <w:pPr>
              <w:spacing w:before="120" w:after="120" w:line="276" w:lineRule="auto"/>
              <w:jc w:val="right"/>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Total</w:t>
            </w:r>
          </w:p>
        </w:tc>
        <w:tc>
          <w:tcPr>
            <w:tcW w:w="668" w:type="pct"/>
            <w:tcBorders>
              <w:top w:val="single" w:color="auto" w:sz="4" w:space="0"/>
              <w:left w:val="single" w:color="auto" w:sz="4" w:space="0"/>
              <w:bottom w:val="single" w:color="auto" w:sz="4" w:space="0"/>
              <w:right w:val="single" w:color="auto" w:sz="4" w:space="0"/>
            </w:tcBorders>
            <w:shd w:val="clear" w:color="000000" w:fill="808080"/>
            <w:noWrap/>
            <w:vAlign w:val="center"/>
            <w:hideMark/>
          </w:tcPr>
          <w:p w:rsidRPr="00AE1B2B" w:rsidR="009D3FB5" w:rsidP="00163B94" w:rsidRDefault="009D3FB5" w14:paraId="660A7A8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rPr>
              <w:t>2 493</w:t>
            </w:r>
          </w:p>
        </w:tc>
        <w:tc>
          <w:tcPr>
            <w:tcW w:w="699" w:type="pct"/>
            <w:tcBorders>
              <w:top w:val="single" w:color="auto" w:sz="4" w:space="0"/>
              <w:left w:val="nil"/>
              <w:bottom w:val="single" w:color="auto" w:sz="4" w:space="0"/>
              <w:right w:val="single" w:color="auto" w:sz="4" w:space="0"/>
            </w:tcBorders>
            <w:shd w:val="clear" w:color="000000" w:fill="808080"/>
            <w:vAlign w:val="center"/>
          </w:tcPr>
          <w:p w:rsidRPr="00AE1B2B" w:rsidR="009D3FB5" w:rsidP="00163B94" w:rsidRDefault="009D3FB5" w14:paraId="3B0CBE9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14 444</w:t>
            </w:r>
          </w:p>
        </w:tc>
        <w:tc>
          <w:tcPr>
            <w:tcW w:w="308" w:type="pct"/>
            <w:tcBorders>
              <w:top w:val="single" w:color="auto" w:sz="4" w:space="0"/>
              <w:left w:val="nil"/>
              <w:bottom w:val="single" w:color="auto" w:sz="4" w:space="0"/>
              <w:right w:val="single" w:color="auto" w:sz="4" w:space="0"/>
            </w:tcBorders>
            <w:shd w:val="clear" w:color="000000" w:fill="808080"/>
            <w:noWrap/>
            <w:vAlign w:val="center"/>
            <w:hideMark/>
          </w:tcPr>
          <w:p w:rsidRPr="00AE1B2B" w:rsidR="009D3FB5" w:rsidP="00163B94" w:rsidRDefault="009D3FB5" w14:paraId="72F80C8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33</w:t>
            </w:r>
          </w:p>
        </w:tc>
        <w:tc>
          <w:tcPr>
            <w:tcW w:w="430" w:type="pct"/>
            <w:gridSpan w:val="2"/>
            <w:tcBorders>
              <w:top w:val="single" w:color="auto" w:sz="4" w:space="0"/>
              <w:left w:val="nil"/>
              <w:bottom w:val="single" w:color="auto" w:sz="4" w:space="0"/>
              <w:right w:val="single" w:color="auto" w:sz="4" w:space="0"/>
            </w:tcBorders>
            <w:shd w:val="clear" w:color="000000" w:fill="808080"/>
            <w:vAlign w:val="center"/>
          </w:tcPr>
          <w:p w:rsidRPr="00AE1B2B" w:rsidR="009D3FB5" w:rsidP="00163B94" w:rsidRDefault="009D3FB5" w14:paraId="310686C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54</w:t>
            </w:r>
          </w:p>
        </w:tc>
        <w:tc>
          <w:tcPr>
            <w:tcW w:w="485" w:type="pct"/>
            <w:tcBorders>
              <w:top w:val="single" w:color="auto" w:sz="4" w:space="0"/>
              <w:left w:val="nil"/>
              <w:bottom w:val="single" w:color="auto" w:sz="4" w:space="0"/>
              <w:right w:val="single" w:color="auto" w:sz="4" w:space="0"/>
            </w:tcBorders>
            <w:shd w:val="clear" w:color="000000" w:fill="808080"/>
            <w:noWrap/>
            <w:vAlign w:val="center"/>
            <w:hideMark/>
          </w:tcPr>
          <w:p w:rsidRPr="00AE1B2B" w:rsidR="009D3FB5" w:rsidP="00163B94" w:rsidRDefault="009D3FB5" w14:paraId="626DE01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893</w:t>
            </w:r>
          </w:p>
        </w:tc>
        <w:tc>
          <w:tcPr>
            <w:tcW w:w="577" w:type="pct"/>
            <w:tcBorders>
              <w:top w:val="single" w:color="auto" w:sz="4" w:space="0"/>
              <w:left w:val="nil"/>
              <w:bottom w:val="single" w:color="auto" w:sz="4" w:space="0"/>
              <w:right w:val="single" w:color="auto" w:sz="4" w:space="0"/>
            </w:tcBorders>
            <w:shd w:val="clear" w:color="000000" w:fill="808080"/>
            <w:noWrap/>
            <w:vAlign w:val="center"/>
            <w:hideMark/>
          </w:tcPr>
          <w:p w:rsidRPr="00AE1B2B" w:rsidR="009D3FB5" w:rsidP="00163B94" w:rsidRDefault="009D3FB5" w14:paraId="2C3B34C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562</w:t>
            </w:r>
          </w:p>
        </w:tc>
      </w:tr>
      <w:tr w:rsidRPr="00AE1B2B" w:rsidR="00AE1B2B" w:rsidTr="009D3FB5" w14:paraId="24E00FA3" w14:textId="77777777">
        <w:trPr>
          <w:trHeight w:val="20"/>
          <w:jc w:val="center"/>
        </w:trPr>
        <w:tc>
          <w:tcPr>
            <w:tcW w:w="1832" w:type="pct"/>
            <w:shd w:val="clear" w:color="000000" w:fill="808080"/>
            <w:noWrap/>
            <w:vAlign w:val="bottom"/>
            <w:hideMark/>
          </w:tcPr>
          <w:p w:rsidRPr="00AE1B2B" w:rsidR="009D3FB5" w:rsidP="00163B94" w:rsidRDefault="009D3FB5" w14:paraId="1BC0B8D0" w14:textId="77777777">
            <w:pPr>
              <w:spacing w:before="120" w:after="120" w:line="276" w:lineRule="auto"/>
              <w:jc w:val="right"/>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w:t>
            </w:r>
          </w:p>
        </w:tc>
        <w:tc>
          <w:tcPr>
            <w:tcW w:w="668" w:type="pct"/>
            <w:tcBorders>
              <w:top w:val="nil"/>
              <w:left w:val="single" w:color="auto" w:sz="4" w:space="0"/>
              <w:bottom w:val="single" w:color="auto" w:sz="4" w:space="0"/>
              <w:right w:val="single" w:color="auto" w:sz="4" w:space="0"/>
            </w:tcBorders>
            <w:shd w:val="clear" w:color="000000" w:fill="808080"/>
            <w:noWrap/>
            <w:vAlign w:val="center"/>
            <w:hideMark/>
          </w:tcPr>
          <w:p w:rsidRPr="00AE1B2B" w:rsidR="009D3FB5" w:rsidP="00163B94" w:rsidRDefault="009D3FB5" w14:paraId="4B7ECA3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208</w:t>
            </w:r>
          </w:p>
        </w:tc>
        <w:tc>
          <w:tcPr>
            <w:tcW w:w="699" w:type="pct"/>
            <w:tcBorders>
              <w:top w:val="nil"/>
              <w:left w:val="nil"/>
              <w:bottom w:val="single" w:color="auto" w:sz="4" w:space="0"/>
              <w:right w:val="single" w:color="auto" w:sz="4" w:space="0"/>
            </w:tcBorders>
            <w:shd w:val="clear" w:color="000000" w:fill="808080"/>
            <w:vAlign w:val="center"/>
          </w:tcPr>
          <w:p w:rsidRPr="00AE1B2B" w:rsidR="009D3FB5" w:rsidP="00163B94" w:rsidRDefault="009D3FB5" w14:paraId="5A20AB32"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rPr>
              <w:t>1 204</w:t>
            </w:r>
          </w:p>
        </w:tc>
        <w:tc>
          <w:tcPr>
            <w:tcW w:w="308"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325489B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rPr>
              <w:t>3</w:t>
            </w:r>
          </w:p>
        </w:tc>
        <w:tc>
          <w:tcPr>
            <w:tcW w:w="430" w:type="pct"/>
            <w:gridSpan w:val="2"/>
            <w:tcBorders>
              <w:top w:val="nil"/>
              <w:left w:val="nil"/>
              <w:bottom w:val="single" w:color="auto" w:sz="4" w:space="0"/>
              <w:right w:val="single" w:color="auto" w:sz="4" w:space="0"/>
            </w:tcBorders>
            <w:shd w:val="clear" w:color="000000" w:fill="808080"/>
            <w:vAlign w:val="center"/>
          </w:tcPr>
          <w:p w:rsidRPr="00AE1B2B" w:rsidR="009D3FB5" w:rsidP="00163B94" w:rsidRDefault="009D3FB5" w14:paraId="7034D2B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5</w:t>
            </w:r>
          </w:p>
        </w:tc>
        <w:tc>
          <w:tcPr>
            <w:tcW w:w="485"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3584225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74</w:t>
            </w:r>
          </w:p>
        </w:tc>
        <w:tc>
          <w:tcPr>
            <w:tcW w:w="577"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2925A96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47</w:t>
            </w:r>
          </w:p>
        </w:tc>
      </w:tr>
    </w:tbl>
    <w:p w:rsidRPr="00AE1B2B" w:rsidR="009D3FB5" w:rsidP="00163B94" w:rsidRDefault="009D3FB5" w14:paraId="42C49D6E"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lastRenderedPageBreak/>
        <w:t xml:space="preserve">Fuente: Modernización Institucional de la Dirección de Planificación con base en datos de Cuadros Estadísticos del Subproceso de Estadística de la Dirección de Planificación. </w:t>
      </w:r>
    </w:p>
    <w:p w:rsidRPr="00AE1B2B" w:rsidR="009D3FB5" w:rsidP="00163B94" w:rsidRDefault="009D3FB5" w14:paraId="0BD86E2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906F5A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relación con la información del cuadro anterior, se destaca que la </w:t>
      </w:r>
      <w:bookmarkStart w:name="_Hlk31981039" w:id="71"/>
      <w:r w:rsidRPr="00AE1B2B">
        <w:rPr>
          <w:rFonts w:ascii="Times New Roman" w:hAnsi="Times New Roman" w:cs="Times New Roman"/>
          <w:sz w:val="26"/>
          <w:szCs w:val="26"/>
        </w:rPr>
        <w:t>carga de trabajo por persona juzgadora se mantiene en 74 al mes y en 47 al mes por persona técnica judicial de trámite</w:t>
      </w:r>
      <w:bookmarkEnd w:id="71"/>
      <w:r w:rsidRPr="00AE1B2B">
        <w:rPr>
          <w:rFonts w:ascii="Times New Roman" w:hAnsi="Times New Roman" w:cs="Times New Roman"/>
          <w:sz w:val="26"/>
          <w:szCs w:val="26"/>
        </w:rPr>
        <w:t xml:space="preserve">, incluso al actualizar la información con las estadísticas finales del 2019. Además, se excluye para efecto del cálculo, el Juzgado de Niñez y Adolescencia de San Jose, dada su competencia particular. </w:t>
      </w:r>
    </w:p>
    <w:p w:rsidRPr="00AE1B2B" w:rsidR="009D3FB5" w:rsidP="00163B94" w:rsidRDefault="009D3FB5" w14:paraId="6B0A206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E8A772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77% de los casos entrados corresponden a principal, 16% a segunda instancia, 5% son reentrados y 2% incidentes, estos resultados se muestran en el cuadro siguiente.</w:t>
      </w:r>
    </w:p>
    <w:p w:rsidRPr="00AE1B2B" w:rsidR="009D3FB5" w:rsidP="00163B94" w:rsidRDefault="009D3FB5" w14:paraId="210AA5C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086B88F" w14:textId="2F58153D">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20</w:t>
      </w:r>
      <w:r w:rsidRPr="00AE1B2B">
        <w:rPr>
          <w:rFonts w:ascii="Times New Roman" w:hAnsi="Times New Roman" w:cs="Times New Roman"/>
          <w:sz w:val="26"/>
          <w:szCs w:val="26"/>
        </w:rPr>
        <w:fldChar w:fldCharType="end"/>
      </w:r>
    </w:p>
    <w:p w:rsidRPr="00AE1B2B" w:rsidR="009D3FB5" w:rsidP="00163B94" w:rsidRDefault="009D3FB5" w14:paraId="3B6303B1" w14:textId="61338586">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Desglose de entrados según motivo de entrada</w:t>
      </w:r>
    </w:p>
    <w:p w:rsidRPr="00AE1B2B" w:rsidR="009D3FB5" w:rsidP="00163B94" w:rsidRDefault="009D3FB5" w14:paraId="60916A8D"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por persona juzgadora y persona técnica judicial.</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2097"/>
        <w:gridCol w:w="1683"/>
        <w:gridCol w:w="1683"/>
        <w:gridCol w:w="1684"/>
        <w:gridCol w:w="1681"/>
      </w:tblGrid>
      <w:tr w:rsidRPr="00AE1B2B" w:rsidR="00AE1B2B" w:rsidTr="009D3FB5" w14:paraId="1AEAD0F7" w14:textId="77777777">
        <w:trPr>
          <w:trHeight w:val="20"/>
          <w:tblHeader/>
        </w:trPr>
        <w:tc>
          <w:tcPr>
            <w:tcW w:w="1188" w:type="pct"/>
            <w:shd w:val="clear" w:color="auto" w:fill="002060"/>
            <w:vAlign w:val="center"/>
            <w:hideMark/>
          </w:tcPr>
          <w:p w:rsidRPr="00AE1B2B" w:rsidR="009D3FB5" w:rsidP="00163B94" w:rsidRDefault="009D3FB5" w14:paraId="45B1877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Motivo de Entrada</w:t>
            </w:r>
          </w:p>
        </w:tc>
        <w:tc>
          <w:tcPr>
            <w:tcW w:w="953" w:type="pct"/>
            <w:shd w:val="clear" w:color="auto" w:fill="002060"/>
            <w:vAlign w:val="center"/>
            <w:hideMark/>
          </w:tcPr>
          <w:p w:rsidRPr="00AE1B2B" w:rsidR="009D3FB5" w:rsidP="00163B94" w:rsidRDefault="009D3FB5" w14:paraId="46A72E82"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mensual de entrada 2015-2019 despachos especializados</w:t>
            </w:r>
          </w:p>
        </w:tc>
        <w:tc>
          <w:tcPr>
            <w:tcW w:w="953" w:type="pct"/>
            <w:shd w:val="clear" w:color="auto" w:fill="002060"/>
            <w:vAlign w:val="center"/>
            <w:hideMark/>
          </w:tcPr>
          <w:p w:rsidRPr="00AE1B2B" w:rsidR="009D3FB5" w:rsidP="00163B94" w:rsidRDefault="009D3FB5" w14:paraId="16B00D3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que representa de la entrada</w:t>
            </w:r>
          </w:p>
        </w:tc>
        <w:tc>
          <w:tcPr>
            <w:tcW w:w="954" w:type="pct"/>
            <w:shd w:val="clear" w:color="auto" w:fill="002060"/>
            <w:vAlign w:val="center"/>
            <w:hideMark/>
          </w:tcPr>
          <w:p w:rsidRPr="00AE1B2B" w:rsidR="009D3FB5" w:rsidP="00163B94" w:rsidRDefault="009D3FB5" w14:paraId="7AF8B91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mensual de entrada por Jueza/Juez</w:t>
            </w:r>
          </w:p>
        </w:tc>
        <w:tc>
          <w:tcPr>
            <w:tcW w:w="952" w:type="pct"/>
            <w:shd w:val="clear" w:color="auto" w:fill="002060"/>
            <w:vAlign w:val="center"/>
            <w:hideMark/>
          </w:tcPr>
          <w:p w:rsidRPr="00AE1B2B" w:rsidR="009D3FB5" w:rsidP="00163B94" w:rsidRDefault="009D3FB5" w14:paraId="32E1C90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Promedio mensual de entrada por persona Técnica Judicial trámite </w:t>
            </w:r>
          </w:p>
        </w:tc>
      </w:tr>
      <w:tr w:rsidRPr="00AE1B2B" w:rsidR="00AE1B2B" w:rsidTr="009D3FB5" w14:paraId="5E307E12" w14:textId="77777777">
        <w:trPr>
          <w:trHeight w:val="20"/>
        </w:trPr>
        <w:tc>
          <w:tcPr>
            <w:tcW w:w="1188" w:type="pct"/>
            <w:shd w:val="clear" w:color="auto" w:fill="auto"/>
            <w:noWrap/>
            <w:vAlign w:val="center"/>
            <w:hideMark/>
          </w:tcPr>
          <w:p w:rsidRPr="00AE1B2B" w:rsidR="009D3FB5" w:rsidP="00163B94" w:rsidRDefault="009D3FB5" w14:paraId="3D5F540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Principal</w:t>
            </w:r>
          </w:p>
        </w:tc>
        <w:tc>
          <w:tcPr>
            <w:tcW w:w="95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D2717D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1910</w:t>
            </w:r>
          </w:p>
        </w:tc>
        <w:tc>
          <w:tcPr>
            <w:tcW w:w="953" w:type="pct"/>
            <w:tcBorders>
              <w:top w:val="single" w:color="auto" w:sz="4" w:space="0"/>
              <w:left w:val="nil"/>
              <w:bottom w:val="single" w:color="auto" w:sz="4" w:space="0"/>
              <w:right w:val="single" w:color="auto" w:sz="4" w:space="0"/>
            </w:tcBorders>
            <w:shd w:val="clear" w:color="auto" w:fill="auto"/>
            <w:noWrap/>
            <w:vAlign w:val="center"/>
            <w:hideMark/>
          </w:tcPr>
          <w:p w:rsidRPr="00AE1B2B" w:rsidR="009D3FB5" w:rsidP="00163B94" w:rsidRDefault="009D3FB5" w14:paraId="2FC951C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77%</w:t>
            </w:r>
          </w:p>
        </w:tc>
        <w:tc>
          <w:tcPr>
            <w:tcW w:w="954" w:type="pct"/>
            <w:tcBorders>
              <w:top w:val="single" w:color="auto" w:sz="4" w:space="0"/>
              <w:left w:val="nil"/>
              <w:bottom w:val="single" w:color="auto" w:sz="4" w:space="0"/>
              <w:right w:val="single" w:color="auto" w:sz="4" w:space="0"/>
            </w:tcBorders>
            <w:shd w:val="clear" w:color="auto" w:fill="auto"/>
            <w:noWrap/>
            <w:vAlign w:val="center"/>
            <w:hideMark/>
          </w:tcPr>
          <w:p w:rsidRPr="00AE1B2B" w:rsidR="009D3FB5" w:rsidP="00163B94" w:rsidRDefault="009D3FB5" w14:paraId="59539A4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57,9</w:t>
            </w:r>
          </w:p>
        </w:tc>
        <w:tc>
          <w:tcPr>
            <w:tcW w:w="952" w:type="pct"/>
            <w:tcBorders>
              <w:top w:val="single" w:color="auto" w:sz="4" w:space="0"/>
              <w:left w:val="nil"/>
              <w:bottom w:val="single" w:color="auto" w:sz="4" w:space="0"/>
              <w:right w:val="single" w:color="auto" w:sz="4" w:space="0"/>
            </w:tcBorders>
            <w:shd w:val="clear" w:color="auto" w:fill="auto"/>
            <w:noWrap/>
            <w:vAlign w:val="center"/>
            <w:hideMark/>
          </w:tcPr>
          <w:p w:rsidRPr="00AE1B2B" w:rsidR="009D3FB5" w:rsidP="00163B94" w:rsidRDefault="009D3FB5" w14:paraId="7753A01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35,4</w:t>
            </w:r>
          </w:p>
        </w:tc>
      </w:tr>
      <w:tr w:rsidRPr="00AE1B2B" w:rsidR="00AE1B2B" w:rsidTr="009D3FB5" w14:paraId="6D56113E" w14:textId="77777777">
        <w:trPr>
          <w:trHeight w:val="20"/>
        </w:trPr>
        <w:tc>
          <w:tcPr>
            <w:tcW w:w="1188" w:type="pct"/>
            <w:shd w:val="clear" w:color="auto" w:fill="auto"/>
            <w:noWrap/>
            <w:vAlign w:val="center"/>
          </w:tcPr>
          <w:p w:rsidRPr="00AE1B2B" w:rsidR="009D3FB5" w:rsidP="00163B94" w:rsidRDefault="009D3FB5" w14:paraId="056166E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Segunda Instancia</w:t>
            </w:r>
          </w:p>
        </w:tc>
        <w:tc>
          <w:tcPr>
            <w:tcW w:w="953" w:type="pct"/>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04B5C17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407</w:t>
            </w:r>
          </w:p>
        </w:tc>
        <w:tc>
          <w:tcPr>
            <w:tcW w:w="953"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4BCC2E1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16%</w:t>
            </w:r>
          </w:p>
        </w:tc>
        <w:tc>
          <w:tcPr>
            <w:tcW w:w="954"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7310770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12,3</w:t>
            </w:r>
          </w:p>
        </w:tc>
        <w:tc>
          <w:tcPr>
            <w:tcW w:w="952"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59B419F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7,5</w:t>
            </w:r>
          </w:p>
        </w:tc>
      </w:tr>
      <w:tr w:rsidRPr="00AE1B2B" w:rsidR="00AE1B2B" w:rsidTr="009D3FB5" w14:paraId="382F2775" w14:textId="77777777">
        <w:trPr>
          <w:trHeight w:val="20"/>
        </w:trPr>
        <w:tc>
          <w:tcPr>
            <w:tcW w:w="1188" w:type="pct"/>
            <w:shd w:val="clear" w:color="auto" w:fill="auto"/>
            <w:noWrap/>
            <w:vAlign w:val="center"/>
            <w:hideMark/>
          </w:tcPr>
          <w:p w:rsidRPr="00AE1B2B" w:rsidR="009D3FB5" w:rsidP="00163B94" w:rsidRDefault="009D3FB5" w14:paraId="19E06DE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Reentrados</w:t>
            </w:r>
          </w:p>
        </w:tc>
        <w:tc>
          <w:tcPr>
            <w:tcW w:w="953"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51E55D2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132</w:t>
            </w:r>
          </w:p>
        </w:tc>
        <w:tc>
          <w:tcPr>
            <w:tcW w:w="95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734B03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w:t>
            </w:r>
          </w:p>
        </w:tc>
        <w:tc>
          <w:tcPr>
            <w:tcW w:w="95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B59D7A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4,0</w:t>
            </w:r>
          </w:p>
        </w:tc>
        <w:tc>
          <w:tcPr>
            <w:tcW w:w="95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0B3AE3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2,4</w:t>
            </w:r>
          </w:p>
        </w:tc>
      </w:tr>
      <w:tr w:rsidRPr="00AE1B2B" w:rsidR="00AE1B2B" w:rsidTr="009D3FB5" w14:paraId="6AF29F77" w14:textId="77777777">
        <w:trPr>
          <w:trHeight w:val="20"/>
        </w:trPr>
        <w:tc>
          <w:tcPr>
            <w:tcW w:w="1188" w:type="pct"/>
            <w:shd w:val="clear" w:color="auto" w:fill="auto"/>
            <w:noWrap/>
            <w:vAlign w:val="center"/>
          </w:tcPr>
          <w:p w:rsidRPr="00AE1B2B" w:rsidR="009D3FB5" w:rsidP="00163B94" w:rsidRDefault="009D3FB5" w14:paraId="0409854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Incidentes</w:t>
            </w:r>
          </w:p>
        </w:tc>
        <w:tc>
          <w:tcPr>
            <w:tcW w:w="953" w:type="pct"/>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7C49C89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45</w:t>
            </w:r>
          </w:p>
        </w:tc>
        <w:tc>
          <w:tcPr>
            <w:tcW w:w="953"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35A1D2C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954"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1C1FE87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1,3</w:t>
            </w:r>
          </w:p>
        </w:tc>
        <w:tc>
          <w:tcPr>
            <w:tcW w:w="952"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0F271F9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0,8</w:t>
            </w:r>
          </w:p>
        </w:tc>
      </w:tr>
      <w:tr w:rsidRPr="00AE1B2B" w:rsidR="00AE1B2B" w:rsidTr="009D3FB5" w14:paraId="0425DF8C" w14:textId="77777777">
        <w:trPr>
          <w:trHeight w:val="20"/>
        </w:trPr>
        <w:tc>
          <w:tcPr>
            <w:tcW w:w="1188" w:type="pct"/>
            <w:shd w:val="clear" w:color="000000" w:fill="808080"/>
            <w:noWrap/>
            <w:vAlign w:val="center"/>
            <w:hideMark/>
          </w:tcPr>
          <w:p w:rsidRPr="00AE1B2B" w:rsidR="009D3FB5" w:rsidP="00163B94" w:rsidRDefault="009D3FB5" w14:paraId="78DC955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Total</w:t>
            </w:r>
          </w:p>
        </w:tc>
        <w:tc>
          <w:tcPr>
            <w:tcW w:w="953" w:type="pct"/>
            <w:tcBorders>
              <w:top w:val="nil"/>
              <w:left w:val="single" w:color="auto" w:sz="4" w:space="0"/>
              <w:bottom w:val="single" w:color="auto" w:sz="4" w:space="0"/>
              <w:right w:val="single" w:color="auto" w:sz="4" w:space="0"/>
            </w:tcBorders>
            <w:shd w:val="clear" w:color="000000" w:fill="808080"/>
            <w:noWrap/>
            <w:vAlign w:val="center"/>
            <w:hideMark/>
          </w:tcPr>
          <w:p w:rsidRPr="00AE1B2B" w:rsidR="009D3FB5" w:rsidP="00163B94" w:rsidRDefault="009D3FB5" w14:paraId="415AD17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2493</w:t>
            </w:r>
          </w:p>
        </w:tc>
        <w:tc>
          <w:tcPr>
            <w:tcW w:w="953"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5421F95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rPr>
              <w:t>100%</w:t>
            </w:r>
          </w:p>
        </w:tc>
        <w:tc>
          <w:tcPr>
            <w:tcW w:w="954"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3666C91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74</w:t>
            </w:r>
          </w:p>
        </w:tc>
        <w:tc>
          <w:tcPr>
            <w:tcW w:w="952"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203DF67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47</w:t>
            </w:r>
          </w:p>
        </w:tc>
      </w:tr>
    </w:tbl>
    <w:p w:rsidRPr="00AE1B2B" w:rsidR="009D3FB5" w:rsidP="00163B94" w:rsidRDefault="009D3FB5" w14:paraId="3BFDB1EF"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Modernización Jurisdiccional con base en datos de Cuadros Estadísticos del Sub proceso de Estadística de la Dirección de Planificación. </w:t>
      </w:r>
    </w:p>
    <w:p w:rsidRPr="00AE1B2B" w:rsidR="009D3FB5" w:rsidP="00163B94" w:rsidRDefault="009D3FB5" w14:paraId="0EA000E2" w14:textId="77777777">
      <w:pPr>
        <w:spacing w:before="120" w:after="120"/>
        <w:ind w:left="851" w:right="851" w:firstLine="709"/>
        <w:rPr>
          <w:rFonts w:ascii="Times New Roman" w:hAnsi="Times New Roman" w:cs="Times New Roman"/>
          <w:sz w:val="26"/>
          <w:szCs w:val="26"/>
        </w:rPr>
      </w:pPr>
    </w:p>
    <w:p w:rsidRPr="00AE1B2B" w:rsidR="009D3FB5" w:rsidP="00163B94" w:rsidRDefault="009D3FB5" w14:paraId="2B4E9686" w14:textId="77777777">
      <w:pPr>
        <w:spacing w:before="120" w:after="120"/>
        <w:ind w:left="851" w:right="851" w:firstLine="709"/>
        <w:rPr>
          <w:rFonts w:ascii="Times New Roman" w:hAnsi="Times New Roman" w:cs="Times New Roman"/>
          <w:sz w:val="26"/>
          <w:szCs w:val="26"/>
        </w:rPr>
      </w:pPr>
      <w:bookmarkStart w:name="_Hlk34205337" w:id="72"/>
      <w:r w:rsidRPr="00AE1B2B">
        <w:rPr>
          <w:rFonts w:ascii="Times New Roman" w:hAnsi="Times New Roman" w:cs="Times New Roman"/>
          <w:sz w:val="26"/>
          <w:szCs w:val="26"/>
        </w:rPr>
        <w:lastRenderedPageBreak/>
        <w:t xml:space="preserve">Se analiza la cantidad de casos entrados en relación con los terminados por persona juzgadora para los despachos especializados en materia Familia, para evaluar estos resultados en relación con la </w:t>
      </w:r>
      <w:bookmarkStart w:name="_Hlk31968298" w:id="73"/>
      <w:r w:rsidRPr="00AE1B2B">
        <w:rPr>
          <w:rFonts w:ascii="Times New Roman" w:hAnsi="Times New Roman" w:cs="Times New Roman"/>
          <w:sz w:val="26"/>
          <w:szCs w:val="26"/>
        </w:rPr>
        <w:t>carga de trabajo calculada</w:t>
      </w:r>
      <w:bookmarkEnd w:id="73"/>
      <w:r w:rsidRPr="00AE1B2B">
        <w:rPr>
          <w:rFonts w:ascii="Times New Roman" w:hAnsi="Times New Roman" w:cs="Times New Roman"/>
          <w:sz w:val="26"/>
          <w:szCs w:val="26"/>
        </w:rPr>
        <w:t>.</w:t>
      </w:r>
    </w:p>
    <w:bookmarkEnd w:id="72"/>
    <w:p w:rsidRPr="00AE1B2B" w:rsidR="009D3FB5" w:rsidP="00163B94" w:rsidRDefault="009D3FB5" w14:paraId="00F163E8" w14:textId="77777777">
      <w:pPr>
        <w:spacing w:before="120" w:after="120"/>
        <w:ind w:left="851" w:right="851" w:firstLine="709"/>
        <w:rPr>
          <w:rFonts w:ascii="Times New Roman" w:hAnsi="Times New Roman" w:cs="Times New Roman"/>
          <w:sz w:val="26"/>
          <w:szCs w:val="26"/>
        </w:rPr>
      </w:pPr>
    </w:p>
    <w:p w:rsidRPr="00AE1B2B" w:rsidR="009D3FB5" w:rsidP="00163B94" w:rsidRDefault="009D3FB5" w14:paraId="47926ADC" w14:textId="2D194BD1">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21</w:t>
      </w:r>
      <w:r w:rsidRPr="00AE1B2B">
        <w:rPr>
          <w:rFonts w:ascii="Times New Roman" w:hAnsi="Times New Roman" w:cs="Times New Roman"/>
          <w:sz w:val="26"/>
          <w:szCs w:val="26"/>
        </w:rPr>
        <w:fldChar w:fldCharType="end"/>
      </w:r>
    </w:p>
    <w:p w:rsidRPr="00AE1B2B" w:rsidR="009D3FB5" w:rsidP="00163B94" w:rsidRDefault="009D3FB5" w14:paraId="571A60E0" w14:textId="3E7E5ABB">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Promedio de casos entrados y terminados juzgados especializados en</w:t>
      </w:r>
    </w:p>
    <w:p w:rsidRPr="00AE1B2B" w:rsidR="009D3FB5" w:rsidP="00163B94" w:rsidRDefault="009D3FB5" w14:paraId="2A034658"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materia Familia por persona juzgadora y por persona técnica judicial.</w:t>
      </w:r>
    </w:p>
    <w:tbl>
      <w:tblPr>
        <w:tblW w:w="53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927"/>
        <w:gridCol w:w="1057"/>
        <w:gridCol w:w="1118"/>
        <w:gridCol w:w="959"/>
        <w:gridCol w:w="1057"/>
        <w:gridCol w:w="1118"/>
        <w:gridCol w:w="1057"/>
        <w:gridCol w:w="1118"/>
      </w:tblGrid>
      <w:tr w:rsidRPr="00AE1B2B" w:rsidR="00AE1B2B" w:rsidTr="009D3FB5" w14:paraId="1D832403" w14:textId="77777777">
        <w:trPr>
          <w:trHeight w:val="20"/>
          <w:tblHeader/>
          <w:jc w:val="center"/>
        </w:trPr>
        <w:tc>
          <w:tcPr>
            <w:tcW w:w="1042" w:type="pct"/>
            <w:vMerge w:val="restart"/>
            <w:shd w:val="clear" w:color="auto" w:fill="002060"/>
            <w:vAlign w:val="center"/>
            <w:hideMark/>
          </w:tcPr>
          <w:p w:rsidRPr="00AE1B2B" w:rsidR="009D3FB5" w:rsidP="00163B94" w:rsidRDefault="009D3FB5" w14:paraId="5AAE770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Despacho</w:t>
            </w:r>
          </w:p>
        </w:tc>
        <w:tc>
          <w:tcPr>
            <w:tcW w:w="560" w:type="pct"/>
            <w:vMerge w:val="restart"/>
            <w:shd w:val="clear" w:color="auto" w:fill="002060"/>
            <w:vAlign w:val="center"/>
            <w:hideMark/>
          </w:tcPr>
          <w:p w:rsidRPr="00AE1B2B" w:rsidR="009D3FB5" w:rsidP="00163B94" w:rsidRDefault="009D3FB5" w14:paraId="721A532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mensual de Entrada</w:t>
            </w:r>
          </w:p>
        </w:tc>
        <w:tc>
          <w:tcPr>
            <w:tcW w:w="589" w:type="pct"/>
            <w:vMerge w:val="restart"/>
            <w:shd w:val="clear" w:color="auto" w:fill="002060"/>
            <w:vAlign w:val="center"/>
            <w:hideMark/>
          </w:tcPr>
          <w:p w:rsidRPr="00AE1B2B" w:rsidR="009D3FB5" w:rsidP="00163B94" w:rsidRDefault="009D3FB5" w14:paraId="76F54E7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mensual de terminado</w:t>
            </w:r>
          </w:p>
        </w:tc>
        <w:tc>
          <w:tcPr>
            <w:tcW w:w="511" w:type="pct"/>
            <w:vMerge w:val="restart"/>
            <w:shd w:val="clear" w:color="auto" w:fill="002060"/>
            <w:vAlign w:val="center"/>
            <w:hideMark/>
          </w:tcPr>
          <w:p w:rsidRPr="00AE1B2B" w:rsidR="009D3FB5" w:rsidP="00163B94" w:rsidRDefault="009D3FB5" w14:paraId="3BD128B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Relación Salida Entrada</w:t>
            </w:r>
          </w:p>
        </w:tc>
        <w:tc>
          <w:tcPr>
            <w:tcW w:w="1149" w:type="pct"/>
            <w:gridSpan w:val="2"/>
            <w:shd w:val="clear" w:color="auto" w:fill="002060"/>
            <w:noWrap/>
            <w:vAlign w:val="center"/>
            <w:hideMark/>
          </w:tcPr>
          <w:p w:rsidRPr="00AE1B2B" w:rsidR="009D3FB5" w:rsidP="00163B94" w:rsidRDefault="009D3FB5" w14:paraId="6212DDF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Personas juzgadoras</w:t>
            </w:r>
          </w:p>
        </w:tc>
        <w:tc>
          <w:tcPr>
            <w:tcW w:w="1148" w:type="pct"/>
            <w:gridSpan w:val="2"/>
            <w:shd w:val="clear" w:color="auto" w:fill="002060"/>
            <w:vAlign w:val="center"/>
            <w:hideMark/>
          </w:tcPr>
          <w:p w:rsidRPr="00AE1B2B" w:rsidR="009D3FB5" w:rsidP="00163B94" w:rsidRDefault="009D3FB5" w14:paraId="08D9905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Personas Técnicas Judiciales de trámite</w:t>
            </w:r>
          </w:p>
        </w:tc>
      </w:tr>
      <w:tr w:rsidRPr="00AE1B2B" w:rsidR="00AE1B2B" w:rsidTr="009D3FB5" w14:paraId="0DA1B7B4" w14:textId="77777777">
        <w:trPr>
          <w:trHeight w:val="20"/>
          <w:tblHeader/>
          <w:jc w:val="center"/>
        </w:trPr>
        <w:tc>
          <w:tcPr>
            <w:tcW w:w="1042" w:type="pct"/>
            <w:vMerge/>
            <w:shd w:val="clear" w:color="auto" w:fill="002060"/>
            <w:vAlign w:val="center"/>
            <w:hideMark/>
          </w:tcPr>
          <w:p w:rsidRPr="00AE1B2B" w:rsidR="009D3FB5" w:rsidP="00163B94" w:rsidRDefault="009D3FB5" w14:paraId="4B0948BA" w14:textId="77777777">
            <w:pPr>
              <w:spacing w:before="120" w:after="120" w:line="276" w:lineRule="auto"/>
              <w:jc w:val="center"/>
              <w:rPr>
                <w:rFonts w:ascii="Times New Roman" w:hAnsi="Times New Roman" w:eastAsia="Times New Roman" w:cs="Times New Roman"/>
                <w:b/>
                <w:bCs/>
                <w:lang w:eastAsia="es-CR"/>
              </w:rPr>
            </w:pPr>
          </w:p>
        </w:tc>
        <w:tc>
          <w:tcPr>
            <w:tcW w:w="560" w:type="pct"/>
            <w:vMerge/>
            <w:shd w:val="clear" w:color="auto" w:fill="002060"/>
            <w:vAlign w:val="center"/>
            <w:hideMark/>
          </w:tcPr>
          <w:p w:rsidRPr="00AE1B2B" w:rsidR="009D3FB5" w:rsidP="00163B94" w:rsidRDefault="009D3FB5" w14:paraId="3E37E5E8" w14:textId="77777777">
            <w:pPr>
              <w:spacing w:before="120" w:after="120" w:line="276" w:lineRule="auto"/>
              <w:jc w:val="center"/>
              <w:rPr>
                <w:rFonts w:ascii="Times New Roman" w:hAnsi="Times New Roman" w:eastAsia="Times New Roman" w:cs="Times New Roman"/>
                <w:b/>
                <w:bCs/>
                <w:lang w:eastAsia="es-CR"/>
              </w:rPr>
            </w:pPr>
          </w:p>
        </w:tc>
        <w:tc>
          <w:tcPr>
            <w:tcW w:w="589" w:type="pct"/>
            <w:vMerge/>
            <w:shd w:val="clear" w:color="auto" w:fill="002060"/>
            <w:vAlign w:val="center"/>
            <w:hideMark/>
          </w:tcPr>
          <w:p w:rsidRPr="00AE1B2B" w:rsidR="009D3FB5" w:rsidP="00163B94" w:rsidRDefault="009D3FB5" w14:paraId="017BC310" w14:textId="77777777">
            <w:pPr>
              <w:spacing w:before="120" w:after="120" w:line="276" w:lineRule="auto"/>
              <w:jc w:val="center"/>
              <w:rPr>
                <w:rFonts w:ascii="Times New Roman" w:hAnsi="Times New Roman" w:eastAsia="Times New Roman" w:cs="Times New Roman"/>
                <w:b/>
                <w:bCs/>
                <w:lang w:eastAsia="es-CR"/>
              </w:rPr>
            </w:pPr>
          </w:p>
        </w:tc>
        <w:tc>
          <w:tcPr>
            <w:tcW w:w="511" w:type="pct"/>
            <w:vMerge/>
            <w:shd w:val="clear" w:color="auto" w:fill="002060"/>
            <w:vAlign w:val="center"/>
            <w:hideMark/>
          </w:tcPr>
          <w:p w:rsidRPr="00AE1B2B" w:rsidR="009D3FB5" w:rsidP="00163B94" w:rsidRDefault="009D3FB5" w14:paraId="03F6DEC2" w14:textId="77777777">
            <w:pPr>
              <w:spacing w:before="120" w:after="120" w:line="276" w:lineRule="auto"/>
              <w:jc w:val="center"/>
              <w:rPr>
                <w:rFonts w:ascii="Times New Roman" w:hAnsi="Times New Roman" w:eastAsia="Times New Roman" w:cs="Times New Roman"/>
                <w:b/>
                <w:bCs/>
                <w:lang w:eastAsia="es-CR"/>
              </w:rPr>
            </w:pPr>
          </w:p>
        </w:tc>
        <w:tc>
          <w:tcPr>
            <w:tcW w:w="560" w:type="pct"/>
            <w:shd w:val="clear" w:color="auto" w:fill="002060"/>
            <w:vAlign w:val="center"/>
            <w:hideMark/>
          </w:tcPr>
          <w:p w:rsidRPr="00AE1B2B" w:rsidR="009D3FB5" w:rsidP="00163B94" w:rsidRDefault="009D3FB5" w14:paraId="30CC76D2"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mensual de Entrada</w:t>
            </w:r>
          </w:p>
        </w:tc>
        <w:tc>
          <w:tcPr>
            <w:tcW w:w="589" w:type="pct"/>
            <w:shd w:val="clear" w:color="auto" w:fill="002060"/>
            <w:vAlign w:val="center"/>
            <w:hideMark/>
          </w:tcPr>
          <w:p w:rsidRPr="00AE1B2B" w:rsidR="009D3FB5" w:rsidP="00163B94" w:rsidRDefault="009D3FB5" w14:paraId="2EF71A0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mensual de terminado</w:t>
            </w:r>
          </w:p>
        </w:tc>
        <w:tc>
          <w:tcPr>
            <w:tcW w:w="560" w:type="pct"/>
            <w:shd w:val="clear" w:color="auto" w:fill="002060"/>
            <w:vAlign w:val="center"/>
            <w:hideMark/>
          </w:tcPr>
          <w:p w:rsidRPr="00AE1B2B" w:rsidR="009D3FB5" w:rsidP="00163B94" w:rsidRDefault="009D3FB5" w14:paraId="58AF7BB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mensual de Entrada</w:t>
            </w:r>
          </w:p>
        </w:tc>
        <w:tc>
          <w:tcPr>
            <w:tcW w:w="588" w:type="pct"/>
            <w:shd w:val="clear" w:color="auto" w:fill="002060"/>
            <w:vAlign w:val="center"/>
            <w:hideMark/>
          </w:tcPr>
          <w:p w:rsidRPr="00AE1B2B" w:rsidR="009D3FB5" w:rsidP="00163B94" w:rsidRDefault="009D3FB5" w14:paraId="5F2AF26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mensual de terminado</w:t>
            </w:r>
          </w:p>
        </w:tc>
      </w:tr>
      <w:tr w:rsidRPr="00AE1B2B" w:rsidR="00AE1B2B" w:rsidTr="009D3FB5" w14:paraId="504D8A3A" w14:textId="77777777">
        <w:trPr>
          <w:trHeight w:val="434"/>
          <w:jc w:val="center"/>
        </w:trPr>
        <w:tc>
          <w:tcPr>
            <w:tcW w:w="1042" w:type="pct"/>
            <w:shd w:val="clear" w:color="auto" w:fill="auto"/>
            <w:vAlign w:val="center"/>
            <w:hideMark/>
          </w:tcPr>
          <w:p w:rsidRPr="00AE1B2B" w:rsidR="009D3FB5" w:rsidP="00163B94" w:rsidRDefault="009D3FB5" w14:paraId="101131E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Cartago</w:t>
            </w:r>
          </w:p>
        </w:tc>
        <w:tc>
          <w:tcPr>
            <w:tcW w:w="560"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7EB46FF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359</w:t>
            </w:r>
          </w:p>
        </w:tc>
        <w:tc>
          <w:tcPr>
            <w:tcW w:w="589" w:type="pct"/>
            <w:tcBorders>
              <w:top w:val="single" w:color="auto" w:sz="4" w:space="0"/>
              <w:left w:val="nil"/>
              <w:bottom w:val="single" w:color="auto" w:sz="4" w:space="0"/>
              <w:right w:val="single" w:color="auto" w:sz="4" w:space="0"/>
            </w:tcBorders>
            <w:shd w:val="clear" w:color="auto" w:fill="auto"/>
            <w:noWrap/>
            <w:vAlign w:val="center"/>
            <w:hideMark/>
          </w:tcPr>
          <w:p w:rsidRPr="00AE1B2B" w:rsidR="009D3FB5" w:rsidP="00163B94" w:rsidRDefault="009D3FB5" w14:paraId="6B392D8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417</w:t>
            </w:r>
          </w:p>
        </w:tc>
        <w:tc>
          <w:tcPr>
            <w:tcW w:w="511" w:type="pct"/>
            <w:tcBorders>
              <w:top w:val="single" w:color="auto" w:sz="4" w:space="0"/>
              <w:left w:val="nil"/>
              <w:bottom w:val="single" w:color="auto" w:sz="4" w:space="0"/>
              <w:right w:val="single" w:color="auto" w:sz="4" w:space="0"/>
            </w:tcBorders>
            <w:shd w:val="clear" w:color="auto" w:fill="auto"/>
            <w:noWrap/>
            <w:vAlign w:val="center"/>
            <w:hideMark/>
          </w:tcPr>
          <w:p w:rsidRPr="00AE1B2B" w:rsidR="009D3FB5" w:rsidP="00163B94" w:rsidRDefault="009D3FB5" w14:paraId="0B946E2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116%</w:t>
            </w:r>
          </w:p>
        </w:tc>
        <w:tc>
          <w:tcPr>
            <w:tcW w:w="560" w:type="pct"/>
            <w:tcBorders>
              <w:top w:val="single" w:color="auto" w:sz="4" w:space="0"/>
              <w:left w:val="nil"/>
              <w:bottom w:val="single" w:color="auto" w:sz="4" w:space="0"/>
              <w:right w:val="single" w:color="auto" w:sz="4" w:space="0"/>
            </w:tcBorders>
            <w:shd w:val="clear" w:color="000000" w:fill="DBE5F1"/>
            <w:noWrap/>
            <w:vAlign w:val="center"/>
            <w:hideMark/>
          </w:tcPr>
          <w:p w:rsidRPr="00AE1B2B" w:rsidR="009D3FB5" w:rsidP="00163B94" w:rsidRDefault="009D3FB5" w14:paraId="5853C85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120</w:t>
            </w:r>
          </w:p>
        </w:tc>
        <w:tc>
          <w:tcPr>
            <w:tcW w:w="589" w:type="pct"/>
            <w:tcBorders>
              <w:top w:val="single" w:color="auto" w:sz="4" w:space="0"/>
              <w:left w:val="nil"/>
              <w:bottom w:val="single" w:color="auto" w:sz="4" w:space="0"/>
              <w:right w:val="single" w:color="auto" w:sz="4" w:space="0"/>
            </w:tcBorders>
            <w:shd w:val="clear" w:color="000000" w:fill="DBE5F1"/>
            <w:noWrap/>
            <w:vAlign w:val="center"/>
            <w:hideMark/>
          </w:tcPr>
          <w:p w:rsidRPr="00AE1B2B" w:rsidR="009D3FB5" w:rsidP="00163B94" w:rsidRDefault="009D3FB5" w14:paraId="213934C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139</w:t>
            </w:r>
          </w:p>
        </w:tc>
        <w:tc>
          <w:tcPr>
            <w:tcW w:w="560" w:type="pct"/>
            <w:tcBorders>
              <w:top w:val="single" w:color="auto" w:sz="4" w:space="0"/>
              <w:left w:val="nil"/>
              <w:bottom w:val="single" w:color="auto" w:sz="4" w:space="0"/>
              <w:right w:val="single" w:color="auto" w:sz="4" w:space="0"/>
            </w:tcBorders>
            <w:shd w:val="clear" w:color="000000" w:fill="DBE5F1"/>
            <w:noWrap/>
            <w:vAlign w:val="center"/>
            <w:hideMark/>
          </w:tcPr>
          <w:p w:rsidRPr="00AE1B2B" w:rsidR="009D3FB5" w:rsidP="00163B94" w:rsidRDefault="009D3FB5" w14:paraId="2AA99BB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72</w:t>
            </w:r>
          </w:p>
        </w:tc>
        <w:tc>
          <w:tcPr>
            <w:tcW w:w="588" w:type="pct"/>
            <w:tcBorders>
              <w:top w:val="single" w:color="auto" w:sz="4" w:space="0"/>
              <w:left w:val="nil"/>
              <w:bottom w:val="single" w:color="auto" w:sz="4" w:space="0"/>
              <w:right w:val="single" w:color="auto" w:sz="4" w:space="0"/>
            </w:tcBorders>
            <w:shd w:val="clear" w:color="000000" w:fill="DBE5F1"/>
            <w:noWrap/>
            <w:vAlign w:val="center"/>
            <w:hideMark/>
          </w:tcPr>
          <w:p w:rsidRPr="00AE1B2B" w:rsidR="009D3FB5" w:rsidP="00163B94" w:rsidRDefault="009D3FB5" w14:paraId="47C79FE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83</w:t>
            </w:r>
          </w:p>
        </w:tc>
      </w:tr>
      <w:tr w:rsidRPr="00AE1B2B" w:rsidR="00AE1B2B" w:rsidTr="009D3FB5" w14:paraId="1E346556" w14:textId="77777777">
        <w:trPr>
          <w:trHeight w:val="434"/>
          <w:jc w:val="center"/>
        </w:trPr>
        <w:tc>
          <w:tcPr>
            <w:tcW w:w="1042" w:type="pct"/>
            <w:shd w:val="clear" w:color="auto" w:fill="auto"/>
            <w:vAlign w:val="center"/>
            <w:hideMark/>
          </w:tcPr>
          <w:p w:rsidRPr="00AE1B2B" w:rsidR="009D3FB5" w:rsidP="00163B94" w:rsidRDefault="009D3FB5" w14:paraId="49BCA6D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Heredia</w:t>
            </w:r>
          </w:p>
        </w:tc>
        <w:tc>
          <w:tcPr>
            <w:tcW w:w="560"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655962C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313</w:t>
            </w:r>
          </w:p>
        </w:tc>
        <w:tc>
          <w:tcPr>
            <w:tcW w:w="5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12FD3A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327</w:t>
            </w:r>
          </w:p>
        </w:tc>
        <w:tc>
          <w:tcPr>
            <w:tcW w:w="5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2D843B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104%</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0DAB130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78</w:t>
            </w:r>
          </w:p>
        </w:tc>
        <w:tc>
          <w:tcPr>
            <w:tcW w:w="589"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7705F94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82</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3B396E7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45</w:t>
            </w:r>
          </w:p>
        </w:tc>
        <w:tc>
          <w:tcPr>
            <w:tcW w:w="588"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25508CC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47</w:t>
            </w:r>
          </w:p>
        </w:tc>
      </w:tr>
      <w:tr w:rsidRPr="00AE1B2B" w:rsidR="00AE1B2B" w:rsidTr="009D3FB5" w14:paraId="1CDD334A" w14:textId="77777777">
        <w:trPr>
          <w:trHeight w:val="434"/>
          <w:jc w:val="center"/>
        </w:trPr>
        <w:tc>
          <w:tcPr>
            <w:tcW w:w="1042" w:type="pct"/>
            <w:shd w:val="clear" w:color="auto" w:fill="auto"/>
            <w:vAlign w:val="center"/>
            <w:hideMark/>
          </w:tcPr>
          <w:p w:rsidRPr="00AE1B2B" w:rsidR="009D3FB5" w:rsidP="00163B94" w:rsidRDefault="009D3FB5" w14:paraId="5B2067F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I Circ. Jud. de Alajuela</w:t>
            </w:r>
          </w:p>
        </w:tc>
        <w:tc>
          <w:tcPr>
            <w:tcW w:w="560"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54037E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260</w:t>
            </w:r>
          </w:p>
        </w:tc>
        <w:tc>
          <w:tcPr>
            <w:tcW w:w="5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BAD915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238</w:t>
            </w:r>
          </w:p>
        </w:tc>
        <w:tc>
          <w:tcPr>
            <w:tcW w:w="5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CAD196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92%</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37B3A49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87</w:t>
            </w:r>
          </w:p>
        </w:tc>
        <w:tc>
          <w:tcPr>
            <w:tcW w:w="589"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01BDDC1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79</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6BB24BA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52</w:t>
            </w:r>
          </w:p>
        </w:tc>
        <w:tc>
          <w:tcPr>
            <w:tcW w:w="588"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320C4C7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48</w:t>
            </w:r>
          </w:p>
        </w:tc>
      </w:tr>
      <w:tr w:rsidRPr="00AE1B2B" w:rsidR="00AE1B2B" w:rsidTr="009D3FB5" w14:paraId="32803BB8" w14:textId="77777777">
        <w:trPr>
          <w:trHeight w:val="434"/>
          <w:jc w:val="center"/>
        </w:trPr>
        <w:tc>
          <w:tcPr>
            <w:tcW w:w="1042" w:type="pct"/>
            <w:shd w:val="clear" w:color="auto" w:fill="auto"/>
            <w:vAlign w:val="center"/>
            <w:hideMark/>
          </w:tcPr>
          <w:p w:rsidRPr="00AE1B2B" w:rsidR="009D3FB5" w:rsidP="00163B94" w:rsidRDefault="009D3FB5" w14:paraId="6D05661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I Circ. Jud. Zona Atlántica</w:t>
            </w:r>
          </w:p>
        </w:tc>
        <w:tc>
          <w:tcPr>
            <w:tcW w:w="560"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32B444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121</w:t>
            </w:r>
          </w:p>
        </w:tc>
        <w:tc>
          <w:tcPr>
            <w:tcW w:w="5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DE6EDE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125</w:t>
            </w:r>
          </w:p>
        </w:tc>
        <w:tc>
          <w:tcPr>
            <w:tcW w:w="5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F415A7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104%</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593748E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60</w:t>
            </w:r>
          </w:p>
        </w:tc>
        <w:tc>
          <w:tcPr>
            <w:tcW w:w="589"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38F504C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62</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2AC478D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30</w:t>
            </w:r>
          </w:p>
        </w:tc>
        <w:tc>
          <w:tcPr>
            <w:tcW w:w="588"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4E5BCAC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31</w:t>
            </w:r>
          </w:p>
        </w:tc>
      </w:tr>
      <w:tr w:rsidRPr="00AE1B2B" w:rsidR="00AE1B2B" w:rsidTr="009D3FB5" w14:paraId="4E80B10F" w14:textId="77777777">
        <w:trPr>
          <w:trHeight w:val="434"/>
          <w:jc w:val="center"/>
        </w:trPr>
        <w:tc>
          <w:tcPr>
            <w:tcW w:w="1042" w:type="pct"/>
            <w:shd w:val="clear" w:color="auto" w:fill="auto"/>
            <w:vAlign w:val="center"/>
            <w:hideMark/>
          </w:tcPr>
          <w:p w:rsidRPr="00AE1B2B" w:rsidR="009D3FB5" w:rsidP="00163B94" w:rsidRDefault="009D3FB5" w14:paraId="7C7FD77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I Circ. Jud. Zona Sur</w:t>
            </w:r>
          </w:p>
        </w:tc>
        <w:tc>
          <w:tcPr>
            <w:tcW w:w="560"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F7AA17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110</w:t>
            </w:r>
          </w:p>
        </w:tc>
        <w:tc>
          <w:tcPr>
            <w:tcW w:w="5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E92128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109</w:t>
            </w:r>
          </w:p>
        </w:tc>
        <w:tc>
          <w:tcPr>
            <w:tcW w:w="5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4DE726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100%</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54D7C8A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55</w:t>
            </w:r>
          </w:p>
        </w:tc>
        <w:tc>
          <w:tcPr>
            <w:tcW w:w="589"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753AD7A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55</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6D70526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55</w:t>
            </w:r>
          </w:p>
        </w:tc>
        <w:tc>
          <w:tcPr>
            <w:tcW w:w="588"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0916E5F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55</w:t>
            </w:r>
          </w:p>
        </w:tc>
      </w:tr>
      <w:tr w:rsidRPr="00AE1B2B" w:rsidR="00AE1B2B" w:rsidTr="009D3FB5" w14:paraId="6AAB2805" w14:textId="77777777">
        <w:trPr>
          <w:trHeight w:val="434"/>
          <w:jc w:val="center"/>
        </w:trPr>
        <w:tc>
          <w:tcPr>
            <w:tcW w:w="1042" w:type="pct"/>
            <w:shd w:val="clear" w:color="auto" w:fill="auto"/>
            <w:vAlign w:val="center"/>
            <w:hideMark/>
          </w:tcPr>
          <w:p w:rsidRPr="00AE1B2B" w:rsidR="009D3FB5" w:rsidP="00163B94" w:rsidRDefault="009D3FB5" w14:paraId="3A156A1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II Circ. Jud. de Alajuela</w:t>
            </w:r>
          </w:p>
        </w:tc>
        <w:tc>
          <w:tcPr>
            <w:tcW w:w="560"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62948FF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142</w:t>
            </w:r>
          </w:p>
        </w:tc>
        <w:tc>
          <w:tcPr>
            <w:tcW w:w="5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863976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132</w:t>
            </w:r>
          </w:p>
        </w:tc>
        <w:tc>
          <w:tcPr>
            <w:tcW w:w="5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FB4056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93%</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583F7F0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71</w:t>
            </w:r>
          </w:p>
        </w:tc>
        <w:tc>
          <w:tcPr>
            <w:tcW w:w="589"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16F8339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66</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4AE0D73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47</w:t>
            </w:r>
          </w:p>
        </w:tc>
        <w:tc>
          <w:tcPr>
            <w:tcW w:w="588"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2EAE2AC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44</w:t>
            </w:r>
          </w:p>
        </w:tc>
      </w:tr>
      <w:tr w:rsidRPr="00AE1B2B" w:rsidR="00AE1B2B" w:rsidTr="009D3FB5" w14:paraId="6CE892C5" w14:textId="77777777">
        <w:trPr>
          <w:trHeight w:val="434"/>
          <w:jc w:val="center"/>
        </w:trPr>
        <w:tc>
          <w:tcPr>
            <w:tcW w:w="1042" w:type="pct"/>
            <w:shd w:val="clear" w:color="auto" w:fill="auto"/>
            <w:vAlign w:val="center"/>
            <w:hideMark/>
          </w:tcPr>
          <w:p w:rsidRPr="00AE1B2B" w:rsidR="009D3FB5" w:rsidP="00163B94" w:rsidRDefault="009D3FB5" w14:paraId="432B35F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Juzgado Familia II Circ. Jud. San José</w:t>
            </w:r>
          </w:p>
        </w:tc>
        <w:tc>
          <w:tcPr>
            <w:tcW w:w="560"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6BC1F8A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331</w:t>
            </w:r>
          </w:p>
        </w:tc>
        <w:tc>
          <w:tcPr>
            <w:tcW w:w="5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B6D1A2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300</w:t>
            </w:r>
          </w:p>
        </w:tc>
        <w:tc>
          <w:tcPr>
            <w:tcW w:w="5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3910AD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90%</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1E595DD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83</w:t>
            </w:r>
          </w:p>
        </w:tc>
        <w:tc>
          <w:tcPr>
            <w:tcW w:w="589"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6572515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75</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6DA6FB4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41</w:t>
            </w:r>
          </w:p>
        </w:tc>
        <w:tc>
          <w:tcPr>
            <w:tcW w:w="588"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3A01AA2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37</w:t>
            </w:r>
          </w:p>
        </w:tc>
      </w:tr>
      <w:tr w:rsidRPr="00AE1B2B" w:rsidR="00AE1B2B" w:rsidTr="009D3FB5" w14:paraId="6A74B261" w14:textId="77777777">
        <w:trPr>
          <w:trHeight w:val="434"/>
          <w:jc w:val="center"/>
        </w:trPr>
        <w:tc>
          <w:tcPr>
            <w:tcW w:w="1042" w:type="pct"/>
            <w:shd w:val="clear" w:color="auto" w:fill="auto"/>
            <w:vAlign w:val="center"/>
            <w:hideMark/>
          </w:tcPr>
          <w:p w:rsidRPr="00AE1B2B" w:rsidR="009D3FB5" w:rsidP="00163B94" w:rsidRDefault="009D3FB5" w14:paraId="3153872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II Circ. Jud. Zona Atlántica</w:t>
            </w:r>
          </w:p>
        </w:tc>
        <w:tc>
          <w:tcPr>
            <w:tcW w:w="560"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6C74B91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156</w:t>
            </w:r>
          </w:p>
        </w:tc>
        <w:tc>
          <w:tcPr>
            <w:tcW w:w="5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4EE4E1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142</w:t>
            </w:r>
          </w:p>
        </w:tc>
        <w:tc>
          <w:tcPr>
            <w:tcW w:w="5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537EB4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91%</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5D49F1D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78</w:t>
            </w:r>
          </w:p>
        </w:tc>
        <w:tc>
          <w:tcPr>
            <w:tcW w:w="589"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78CF7FE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71</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4B6B712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52</w:t>
            </w:r>
          </w:p>
        </w:tc>
        <w:tc>
          <w:tcPr>
            <w:tcW w:w="588"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73DFC42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47</w:t>
            </w:r>
          </w:p>
        </w:tc>
      </w:tr>
      <w:tr w:rsidRPr="00AE1B2B" w:rsidR="00AE1B2B" w:rsidTr="009D3FB5" w14:paraId="15852BA4" w14:textId="77777777">
        <w:trPr>
          <w:trHeight w:val="434"/>
          <w:jc w:val="center"/>
        </w:trPr>
        <w:tc>
          <w:tcPr>
            <w:tcW w:w="1042" w:type="pct"/>
            <w:shd w:val="clear" w:color="auto" w:fill="auto"/>
            <w:vAlign w:val="center"/>
            <w:hideMark/>
          </w:tcPr>
          <w:p w:rsidRPr="00AE1B2B" w:rsidR="009D3FB5" w:rsidP="00163B94" w:rsidRDefault="009D3FB5" w14:paraId="19EC25A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III Circ. Jud. De San José</w:t>
            </w:r>
          </w:p>
        </w:tc>
        <w:tc>
          <w:tcPr>
            <w:tcW w:w="560"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136D5F8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226</w:t>
            </w:r>
          </w:p>
        </w:tc>
        <w:tc>
          <w:tcPr>
            <w:tcW w:w="5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5F641B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229</w:t>
            </w:r>
          </w:p>
        </w:tc>
        <w:tc>
          <w:tcPr>
            <w:tcW w:w="5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343DF8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102%</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4DE1F90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75</w:t>
            </w:r>
          </w:p>
        </w:tc>
        <w:tc>
          <w:tcPr>
            <w:tcW w:w="589"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711C79D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76</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6C7AC1D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56</w:t>
            </w:r>
          </w:p>
        </w:tc>
        <w:tc>
          <w:tcPr>
            <w:tcW w:w="588"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3C6BFAE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57</w:t>
            </w:r>
          </w:p>
        </w:tc>
      </w:tr>
      <w:tr w:rsidRPr="00AE1B2B" w:rsidR="00AE1B2B" w:rsidTr="009D3FB5" w14:paraId="33AD714A" w14:textId="77777777">
        <w:trPr>
          <w:trHeight w:val="434"/>
          <w:jc w:val="center"/>
        </w:trPr>
        <w:tc>
          <w:tcPr>
            <w:tcW w:w="1042" w:type="pct"/>
            <w:shd w:val="clear" w:color="auto" w:fill="auto"/>
            <w:vAlign w:val="center"/>
            <w:hideMark/>
          </w:tcPr>
          <w:p w:rsidRPr="00AE1B2B" w:rsidR="009D3FB5" w:rsidP="00163B94" w:rsidRDefault="009D3FB5" w14:paraId="30E7DD2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Puntarenas</w:t>
            </w:r>
          </w:p>
        </w:tc>
        <w:tc>
          <w:tcPr>
            <w:tcW w:w="560"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A1B682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159</w:t>
            </w:r>
          </w:p>
        </w:tc>
        <w:tc>
          <w:tcPr>
            <w:tcW w:w="5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8774AE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156</w:t>
            </w:r>
          </w:p>
        </w:tc>
        <w:tc>
          <w:tcPr>
            <w:tcW w:w="5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38061B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98%</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5F32A53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80</w:t>
            </w:r>
          </w:p>
        </w:tc>
        <w:tc>
          <w:tcPr>
            <w:tcW w:w="589"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34F91E1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78</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54048D3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40</w:t>
            </w:r>
          </w:p>
        </w:tc>
        <w:tc>
          <w:tcPr>
            <w:tcW w:w="588"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4DAAFCB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39</w:t>
            </w:r>
          </w:p>
        </w:tc>
      </w:tr>
      <w:tr w:rsidRPr="00AE1B2B" w:rsidR="00AE1B2B" w:rsidTr="009D3FB5" w14:paraId="0B6B9DF8" w14:textId="77777777">
        <w:trPr>
          <w:trHeight w:val="434"/>
          <w:jc w:val="center"/>
        </w:trPr>
        <w:tc>
          <w:tcPr>
            <w:tcW w:w="1042" w:type="pct"/>
            <w:shd w:val="clear" w:color="auto" w:fill="auto"/>
            <w:vAlign w:val="center"/>
            <w:hideMark/>
          </w:tcPr>
          <w:p w:rsidRPr="00AE1B2B" w:rsidR="009D3FB5" w:rsidP="00163B94" w:rsidRDefault="009D3FB5" w14:paraId="1FDFECF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Primero de Familia de San José</w:t>
            </w:r>
          </w:p>
        </w:tc>
        <w:tc>
          <w:tcPr>
            <w:tcW w:w="560"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6C9190D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162</w:t>
            </w:r>
          </w:p>
        </w:tc>
        <w:tc>
          <w:tcPr>
            <w:tcW w:w="5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76EB09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165</w:t>
            </w:r>
          </w:p>
        </w:tc>
        <w:tc>
          <w:tcPr>
            <w:tcW w:w="5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C7A8AD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102%</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642E4EF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54</w:t>
            </w:r>
          </w:p>
        </w:tc>
        <w:tc>
          <w:tcPr>
            <w:tcW w:w="589"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5F97941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55</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551A4CE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41</w:t>
            </w:r>
          </w:p>
        </w:tc>
        <w:tc>
          <w:tcPr>
            <w:tcW w:w="588"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6D059D2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41</w:t>
            </w:r>
          </w:p>
        </w:tc>
      </w:tr>
      <w:tr w:rsidRPr="00AE1B2B" w:rsidR="00AE1B2B" w:rsidTr="009D3FB5" w14:paraId="6CF13351" w14:textId="77777777">
        <w:trPr>
          <w:trHeight w:val="434"/>
          <w:jc w:val="center"/>
        </w:trPr>
        <w:tc>
          <w:tcPr>
            <w:tcW w:w="1042" w:type="pct"/>
            <w:shd w:val="clear" w:color="auto" w:fill="auto"/>
            <w:vAlign w:val="center"/>
            <w:hideMark/>
          </w:tcPr>
          <w:p w:rsidRPr="00AE1B2B" w:rsidR="009D3FB5" w:rsidP="00163B94" w:rsidRDefault="009D3FB5" w14:paraId="3A97E5A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Segundo de Familia de San José</w:t>
            </w:r>
          </w:p>
        </w:tc>
        <w:tc>
          <w:tcPr>
            <w:tcW w:w="560"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7052C24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154</w:t>
            </w:r>
          </w:p>
        </w:tc>
        <w:tc>
          <w:tcPr>
            <w:tcW w:w="5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1F368D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168</w:t>
            </w:r>
          </w:p>
        </w:tc>
        <w:tc>
          <w:tcPr>
            <w:tcW w:w="5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2090A1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109%</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0FD5115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51</w:t>
            </w:r>
          </w:p>
        </w:tc>
        <w:tc>
          <w:tcPr>
            <w:tcW w:w="589"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7C06E92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56</w:t>
            </w:r>
          </w:p>
        </w:tc>
        <w:tc>
          <w:tcPr>
            <w:tcW w:w="560"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302C7AD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31</w:t>
            </w:r>
          </w:p>
        </w:tc>
        <w:tc>
          <w:tcPr>
            <w:tcW w:w="588"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3571E1D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34</w:t>
            </w:r>
          </w:p>
        </w:tc>
      </w:tr>
      <w:tr w:rsidRPr="00AE1B2B" w:rsidR="00AE1B2B" w:rsidTr="009D3FB5" w14:paraId="235D5A6C" w14:textId="77777777">
        <w:trPr>
          <w:trHeight w:val="20"/>
          <w:jc w:val="center"/>
        </w:trPr>
        <w:tc>
          <w:tcPr>
            <w:tcW w:w="1042" w:type="pct"/>
            <w:tcBorders>
              <w:top w:val="single" w:color="auto" w:sz="4" w:space="0"/>
              <w:left w:val="single" w:color="auto" w:sz="4" w:space="0"/>
              <w:bottom w:val="single" w:color="auto" w:sz="4" w:space="0"/>
              <w:right w:val="single" w:color="auto" w:sz="4" w:space="0"/>
            </w:tcBorders>
            <w:shd w:val="clear" w:color="auto" w:fill="808080" w:themeFill="background1" w:themeFillShade="80"/>
            <w:vAlign w:val="bottom"/>
          </w:tcPr>
          <w:p w:rsidRPr="00AE1B2B" w:rsidR="009D3FB5" w:rsidP="00163B94" w:rsidRDefault="009D3FB5" w14:paraId="7C4A9831" w14:textId="77777777">
            <w:pPr>
              <w:spacing w:before="120" w:after="120" w:line="276" w:lineRule="auto"/>
              <w:jc w:val="right"/>
              <w:rPr>
                <w:rFonts w:ascii="Times New Roman" w:hAnsi="Times New Roman" w:eastAsia="Times New Roman" w:cs="Times New Roman"/>
                <w:b/>
                <w:bCs/>
                <w:lang w:eastAsia="es-CR"/>
              </w:rPr>
            </w:pPr>
            <w:r w:rsidRPr="00AE1B2B">
              <w:rPr>
                <w:rFonts w:ascii="Times New Roman" w:hAnsi="Times New Roman" w:cs="Times New Roman"/>
                <w:b/>
                <w:bCs/>
              </w:rPr>
              <w:t>Total</w:t>
            </w:r>
          </w:p>
        </w:tc>
        <w:tc>
          <w:tcPr>
            <w:tcW w:w="560" w:type="pct"/>
            <w:tcBorders>
              <w:top w:val="nil"/>
              <w:left w:val="single" w:color="auto" w:sz="4" w:space="0"/>
              <w:bottom w:val="single" w:color="auto" w:sz="4" w:space="0"/>
              <w:right w:val="single" w:color="auto" w:sz="4" w:space="0"/>
            </w:tcBorders>
            <w:shd w:val="clear" w:color="000000" w:fill="808080"/>
            <w:noWrap/>
            <w:vAlign w:val="center"/>
          </w:tcPr>
          <w:p w:rsidRPr="00AE1B2B" w:rsidR="009D3FB5" w:rsidP="00163B94" w:rsidRDefault="009D3FB5" w14:paraId="54BD940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b/>
                <w:bCs/>
              </w:rPr>
              <w:t xml:space="preserve">2 </w:t>
            </w:r>
            <w:r w:rsidRPr="00AE1B2B">
              <w:rPr>
                <w:rFonts w:ascii="Times New Roman" w:hAnsi="Times New Roman" w:cs="Times New Roman"/>
                <w:b/>
              </w:rPr>
              <w:t>493</w:t>
            </w:r>
          </w:p>
        </w:tc>
        <w:tc>
          <w:tcPr>
            <w:tcW w:w="589" w:type="pct"/>
            <w:tcBorders>
              <w:top w:val="nil"/>
              <w:left w:val="nil"/>
              <w:bottom w:val="single" w:color="auto" w:sz="4" w:space="0"/>
              <w:right w:val="single" w:color="auto" w:sz="4" w:space="0"/>
            </w:tcBorders>
            <w:shd w:val="clear" w:color="000000" w:fill="808080"/>
            <w:noWrap/>
            <w:vAlign w:val="center"/>
          </w:tcPr>
          <w:p w:rsidRPr="00AE1B2B" w:rsidR="009D3FB5" w:rsidP="00163B94" w:rsidRDefault="009D3FB5" w14:paraId="07E5812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b/>
                <w:bCs/>
              </w:rPr>
              <w:t>2 509</w:t>
            </w:r>
          </w:p>
        </w:tc>
        <w:tc>
          <w:tcPr>
            <w:tcW w:w="511" w:type="pct"/>
            <w:tcBorders>
              <w:top w:val="nil"/>
              <w:left w:val="nil"/>
              <w:bottom w:val="single" w:color="auto" w:sz="4" w:space="0"/>
              <w:right w:val="single" w:color="auto" w:sz="4" w:space="0"/>
            </w:tcBorders>
            <w:shd w:val="clear" w:color="000000" w:fill="808080"/>
            <w:noWrap/>
            <w:vAlign w:val="center"/>
          </w:tcPr>
          <w:p w:rsidRPr="00AE1B2B" w:rsidR="009D3FB5" w:rsidP="00163B94" w:rsidRDefault="009D3FB5" w14:paraId="0A9790A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b/>
                <w:bCs/>
              </w:rPr>
              <w:t> </w:t>
            </w:r>
          </w:p>
        </w:tc>
        <w:tc>
          <w:tcPr>
            <w:tcW w:w="560" w:type="pct"/>
            <w:tcBorders>
              <w:top w:val="nil"/>
              <w:left w:val="nil"/>
              <w:bottom w:val="single" w:color="auto" w:sz="4" w:space="0"/>
              <w:right w:val="single" w:color="auto" w:sz="4" w:space="0"/>
            </w:tcBorders>
            <w:shd w:val="clear" w:color="000000" w:fill="808080"/>
            <w:noWrap/>
            <w:vAlign w:val="center"/>
          </w:tcPr>
          <w:p w:rsidRPr="00AE1B2B" w:rsidR="009D3FB5" w:rsidP="00163B94" w:rsidRDefault="009D3FB5" w14:paraId="7394287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b/>
              </w:rPr>
              <w:t>892</w:t>
            </w:r>
          </w:p>
        </w:tc>
        <w:tc>
          <w:tcPr>
            <w:tcW w:w="589" w:type="pct"/>
            <w:tcBorders>
              <w:top w:val="nil"/>
              <w:left w:val="nil"/>
              <w:bottom w:val="single" w:color="auto" w:sz="4" w:space="0"/>
              <w:right w:val="single" w:color="auto" w:sz="4" w:space="0"/>
            </w:tcBorders>
            <w:shd w:val="clear" w:color="000000" w:fill="808080"/>
            <w:noWrap/>
            <w:vAlign w:val="center"/>
          </w:tcPr>
          <w:p w:rsidRPr="00AE1B2B" w:rsidR="009D3FB5" w:rsidP="00163B94" w:rsidRDefault="009D3FB5" w14:paraId="15E104A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b/>
                <w:bCs/>
              </w:rPr>
              <w:t>895</w:t>
            </w:r>
          </w:p>
        </w:tc>
        <w:tc>
          <w:tcPr>
            <w:tcW w:w="560" w:type="pct"/>
            <w:tcBorders>
              <w:top w:val="nil"/>
              <w:left w:val="nil"/>
              <w:bottom w:val="single" w:color="auto" w:sz="4" w:space="0"/>
              <w:right w:val="single" w:color="auto" w:sz="4" w:space="0"/>
            </w:tcBorders>
            <w:shd w:val="clear" w:color="000000" w:fill="808080"/>
            <w:noWrap/>
            <w:vAlign w:val="center"/>
          </w:tcPr>
          <w:p w:rsidRPr="00AE1B2B" w:rsidR="009D3FB5" w:rsidP="00163B94" w:rsidRDefault="009D3FB5" w14:paraId="747BF66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b/>
              </w:rPr>
              <w:t>562</w:t>
            </w:r>
          </w:p>
        </w:tc>
        <w:tc>
          <w:tcPr>
            <w:tcW w:w="588" w:type="pct"/>
            <w:tcBorders>
              <w:top w:val="nil"/>
              <w:left w:val="nil"/>
              <w:bottom w:val="single" w:color="auto" w:sz="4" w:space="0"/>
              <w:right w:val="single" w:color="auto" w:sz="4" w:space="0"/>
            </w:tcBorders>
            <w:shd w:val="clear" w:color="000000" w:fill="808080"/>
            <w:noWrap/>
            <w:vAlign w:val="center"/>
          </w:tcPr>
          <w:p w:rsidRPr="00AE1B2B" w:rsidR="009D3FB5" w:rsidP="00163B94" w:rsidRDefault="009D3FB5" w14:paraId="52A8735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b/>
                <w:bCs/>
              </w:rPr>
              <w:t>564</w:t>
            </w:r>
          </w:p>
        </w:tc>
      </w:tr>
      <w:tr w:rsidRPr="00AE1B2B" w:rsidR="00AE1B2B" w:rsidTr="009D3FB5" w14:paraId="017B32AE" w14:textId="77777777">
        <w:trPr>
          <w:trHeight w:val="20"/>
          <w:jc w:val="center"/>
        </w:trPr>
        <w:tc>
          <w:tcPr>
            <w:tcW w:w="1042" w:type="pct"/>
            <w:tcBorders>
              <w:top w:val="nil"/>
              <w:left w:val="single" w:color="auto" w:sz="4" w:space="0"/>
              <w:bottom w:val="single" w:color="auto" w:sz="4" w:space="0"/>
              <w:right w:val="single" w:color="auto" w:sz="4" w:space="0"/>
            </w:tcBorders>
            <w:shd w:val="clear" w:color="auto" w:fill="808080" w:themeFill="background1" w:themeFillShade="80"/>
            <w:vAlign w:val="bottom"/>
          </w:tcPr>
          <w:p w:rsidRPr="00AE1B2B" w:rsidR="009D3FB5" w:rsidP="00163B94" w:rsidRDefault="009D3FB5" w14:paraId="4F62B335" w14:textId="77777777">
            <w:pPr>
              <w:spacing w:before="120" w:after="120" w:line="276" w:lineRule="auto"/>
              <w:jc w:val="right"/>
              <w:rPr>
                <w:rFonts w:ascii="Times New Roman" w:hAnsi="Times New Roman" w:eastAsia="Times New Roman" w:cs="Times New Roman"/>
                <w:b/>
                <w:bCs/>
                <w:lang w:eastAsia="es-CR"/>
              </w:rPr>
            </w:pPr>
            <w:r w:rsidRPr="00AE1B2B">
              <w:rPr>
                <w:rFonts w:ascii="Times New Roman" w:hAnsi="Times New Roman" w:cs="Times New Roman"/>
                <w:b/>
                <w:bCs/>
              </w:rPr>
              <w:t>Promedio</w:t>
            </w:r>
          </w:p>
        </w:tc>
        <w:tc>
          <w:tcPr>
            <w:tcW w:w="560" w:type="pct"/>
            <w:tcBorders>
              <w:top w:val="nil"/>
              <w:left w:val="single" w:color="auto" w:sz="4" w:space="0"/>
              <w:bottom w:val="single" w:color="auto" w:sz="4" w:space="0"/>
              <w:right w:val="single" w:color="auto" w:sz="4" w:space="0"/>
            </w:tcBorders>
            <w:shd w:val="clear" w:color="000000" w:fill="808080"/>
            <w:noWrap/>
            <w:vAlign w:val="center"/>
          </w:tcPr>
          <w:p w:rsidRPr="00AE1B2B" w:rsidR="009D3FB5" w:rsidP="00163B94" w:rsidRDefault="009D3FB5" w14:paraId="1881C72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rPr>
              <w:t>208</w:t>
            </w:r>
          </w:p>
        </w:tc>
        <w:tc>
          <w:tcPr>
            <w:tcW w:w="589" w:type="pct"/>
            <w:tcBorders>
              <w:top w:val="nil"/>
              <w:left w:val="nil"/>
              <w:bottom w:val="single" w:color="auto" w:sz="4" w:space="0"/>
              <w:right w:val="single" w:color="auto" w:sz="4" w:space="0"/>
            </w:tcBorders>
            <w:shd w:val="clear" w:color="000000" w:fill="808080"/>
            <w:noWrap/>
            <w:vAlign w:val="center"/>
          </w:tcPr>
          <w:p w:rsidRPr="00AE1B2B" w:rsidR="009D3FB5" w:rsidP="00163B94" w:rsidRDefault="009D3FB5" w14:paraId="45C2074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209</w:t>
            </w:r>
          </w:p>
        </w:tc>
        <w:tc>
          <w:tcPr>
            <w:tcW w:w="511" w:type="pct"/>
            <w:tcBorders>
              <w:top w:val="nil"/>
              <w:left w:val="nil"/>
              <w:bottom w:val="single" w:color="auto" w:sz="4" w:space="0"/>
              <w:right w:val="single" w:color="auto" w:sz="4" w:space="0"/>
            </w:tcBorders>
            <w:shd w:val="clear" w:color="000000" w:fill="808080"/>
            <w:noWrap/>
            <w:vAlign w:val="center"/>
          </w:tcPr>
          <w:p w:rsidRPr="00AE1B2B" w:rsidR="009D3FB5" w:rsidP="00163B94" w:rsidRDefault="009D3FB5" w14:paraId="3F9DD5A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101%</w:t>
            </w:r>
          </w:p>
        </w:tc>
        <w:tc>
          <w:tcPr>
            <w:tcW w:w="560" w:type="pct"/>
            <w:tcBorders>
              <w:top w:val="nil"/>
              <w:left w:val="nil"/>
              <w:bottom w:val="single" w:color="auto" w:sz="4" w:space="0"/>
              <w:right w:val="single" w:color="auto" w:sz="4" w:space="0"/>
            </w:tcBorders>
            <w:shd w:val="clear" w:color="000000" w:fill="808080"/>
            <w:noWrap/>
            <w:vAlign w:val="center"/>
          </w:tcPr>
          <w:p w:rsidRPr="00AE1B2B" w:rsidR="009D3FB5" w:rsidP="00163B94" w:rsidRDefault="009D3FB5" w14:paraId="251B587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rPr>
              <w:t>74</w:t>
            </w:r>
          </w:p>
        </w:tc>
        <w:tc>
          <w:tcPr>
            <w:tcW w:w="589" w:type="pct"/>
            <w:tcBorders>
              <w:top w:val="nil"/>
              <w:left w:val="nil"/>
              <w:bottom w:val="single" w:color="auto" w:sz="4" w:space="0"/>
              <w:right w:val="single" w:color="auto" w:sz="4" w:space="0"/>
            </w:tcBorders>
            <w:shd w:val="clear" w:color="000000" w:fill="808080"/>
            <w:noWrap/>
            <w:vAlign w:val="center"/>
          </w:tcPr>
          <w:p w:rsidRPr="00AE1B2B" w:rsidR="009D3FB5" w:rsidP="00163B94" w:rsidRDefault="009D3FB5" w14:paraId="251DA86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75</w:t>
            </w:r>
          </w:p>
        </w:tc>
        <w:tc>
          <w:tcPr>
            <w:tcW w:w="560" w:type="pct"/>
            <w:tcBorders>
              <w:top w:val="nil"/>
              <w:left w:val="nil"/>
              <w:bottom w:val="single" w:color="auto" w:sz="4" w:space="0"/>
              <w:right w:val="single" w:color="auto" w:sz="4" w:space="0"/>
            </w:tcBorders>
            <w:shd w:val="clear" w:color="000000" w:fill="808080"/>
            <w:noWrap/>
            <w:vAlign w:val="center"/>
          </w:tcPr>
          <w:p w:rsidRPr="00AE1B2B" w:rsidR="009D3FB5" w:rsidP="00163B94" w:rsidRDefault="009D3FB5" w14:paraId="7DD2ECE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rPr>
              <w:t>47</w:t>
            </w:r>
          </w:p>
        </w:tc>
        <w:tc>
          <w:tcPr>
            <w:tcW w:w="588" w:type="pct"/>
            <w:tcBorders>
              <w:top w:val="nil"/>
              <w:left w:val="nil"/>
              <w:bottom w:val="single" w:color="auto" w:sz="4" w:space="0"/>
              <w:right w:val="single" w:color="auto" w:sz="4" w:space="0"/>
            </w:tcBorders>
            <w:shd w:val="clear" w:color="000000" w:fill="808080"/>
            <w:noWrap/>
            <w:vAlign w:val="center"/>
          </w:tcPr>
          <w:p w:rsidRPr="00AE1B2B" w:rsidR="009D3FB5" w:rsidP="00163B94" w:rsidRDefault="009D3FB5" w14:paraId="1FD6760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cs="Times New Roman"/>
                <w:b/>
                <w:bCs/>
              </w:rPr>
              <w:t>47</w:t>
            </w:r>
          </w:p>
        </w:tc>
      </w:tr>
    </w:tbl>
    <w:p w:rsidRPr="00AE1B2B" w:rsidR="009D3FB5" w:rsidP="00163B94" w:rsidRDefault="009D3FB5" w14:paraId="6E53F6E7" w14:textId="760835D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Jurisdiccional con base en datos de Cuadros Estadísticos 2015 a 2019 del Subproceso de Estadística de la Dirección de Planificación.</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Los casos entrados y terminados incluyen: Principales, Reentrados, Incidentes y Segunda Instancia.</w:t>
      </w:r>
    </w:p>
    <w:p w:rsidRPr="00AE1B2B" w:rsidR="009D3FB5" w:rsidP="00163B94" w:rsidRDefault="009D3FB5" w14:paraId="2633F6E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292D79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Como se muestra en el cuadro anterior, al actualizar la entrada con datos estadísticos con el 2019 definitivo, se está terminando el 101% de los casos entrados (principales. Reentrados, incidentes y segunda instancia). </w:t>
      </w:r>
    </w:p>
    <w:p w:rsidRPr="00AE1B2B" w:rsidR="009D3FB5" w:rsidP="00163B94" w:rsidRDefault="009D3FB5" w14:paraId="4665FBD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17A8F1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Utilizando los resultados de carga de trabajo calculada, se puede realizar la comparación con la cantidad de puestos que deberían tener cada despacho especializado luego de la disminución esperada en los niveles de entrada mensual por la desjudicialización de procesos que establece el nuevo Código Procesal Familia. Para esto se toma en cuenta que los despachos especializados en materia Familia según la estructura funcional identificada en la sección anterior, se tendrá dedicada al menos una persona técnica judicial a la atención de la manifestación.</w:t>
      </w:r>
    </w:p>
    <w:p w:rsidRPr="00AE1B2B" w:rsidR="009D3FB5" w:rsidP="00163B94" w:rsidRDefault="009D3FB5" w14:paraId="65CF489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C213C72" w14:textId="75E76EC6">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cálculo que se realiza para conocer la proporción de recurso humano que se debe tener en cada oficina considerando una entrada por plaza en el caso de Judicatura 74 y en el del personal técnico 47 (se divide la entrada entre el parámetro para obtener cantidad de recurso humano necesario), manteniendo una relación entre la cantidad de personas técnicas y juzgadoras para la firma de proveido (2 ó 3 técnicos</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por Jueza o Juez).</w:t>
      </w:r>
    </w:p>
    <w:p w:rsidRPr="00AE1B2B" w:rsidR="009D3FB5" w:rsidP="00163B94" w:rsidRDefault="009D3FB5" w14:paraId="0218CEF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CC87C4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254592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8ED2830" w14:textId="5E88CE7A">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22</w:t>
      </w:r>
      <w:r w:rsidRPr="00AE1B2B">
        <w:rPr>
          <w:rFonts w:ascii="Times New Roman" w:hAnsi="Times New Roman" w:cs="Times New Roman"/>
          <w:sz w:val="26"/>
          <w:szCs w:val="26"/>
        </w:rPr>
        <w:fldChar w:fldCharType="end"/>
      </w:r>
    </w:p>
    <w:p w:rsidRPr="00AE1B2B" w:rsidR="009D3FB5" w:rsidP="00163B94" w:rsidRDefault="009D3FB5" w14:paraId="3D2BB420" w14:textId="41661455">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Cantidad de persona juzgadora y persona técnica</w:t>
      </w:r>
    </w:p>
    <w:p w:rsidRPr="00AE1B2B" w:rsidR="009D3FB5" w:rsidP="00163B94" w:rsidRDefault="009D3FB5" w14:paraId="50AA0EDC"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judicial requeridas según promedio de entrada de casos.</w:t>
      </w:r>
    </w:p>
    <w:tbl>
      <w:tblPr>
        <w:tblW w:w="593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2174"/>
        <w:gridCol w:w="1222"/>
        <w:gridCol w:w="849"/>
        <w:gridCol w:w="847"/>
        <w:gridCol w:w="841"/>
        <w:gridCol w:w="862"/>
        <w:gridCol w:w="841"/>
        <w:gridCol w:w="862"/>
        <w:gridCol w:w="841"/>
        <w:gridCol w:w="1145"/>
      </w:tblGrid>
      <w:tr w:rsidRPr="00AE1B2B" w:rsidR="00AE1B2B" w:rsidTr="009D3FB5" w14:paraId="2E79A194" w14:textId="77777777">
        <w:trPr>
          <w:trHeight w:val="309"/>
          <w:tblHeader/>
          <w:jc w:val="center"/>
        </w:trPr>
        <w:tc>
          <w:tcPr>
            <w:tcW w:w="1037" w:type="pct"/>
            <w:vMerge w:val="restart"/>
            <w:shd w:val="clear" w:color="auto" w:fill="002060"/>
            <w:vAlign w:val="center"/>
          </w:tcPr>
          <w:p w:rsidRPr="00AE1B2B" w:rsidR="009D3FB5" w:rsidP="00163B94" w:rsidRDefault="009D3FB5" w14:paraId="2708E29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Despacho</w:t>
            </w:r>
          </w:p>
        </w:tc>
        <w:tc>
          <w:tcPr>
            <w:tcW w:w="583" w:type="pct"/>
            <w:vMerge w:val="restart"/>
            <w:shd w:val="clear" w:color="auto" w:fill="002060"/>
            <w:vAlign w:val="center"/>
          </w:tcPr>
          <w:p w:rsidRPr="00AE1B2B" w:rsidR="009D3FB5" w:rsidP="00163B94" w:rsidRDefault="009D3FB5" w14:paraId="1AE99E70" w14:textId="77777777">
            <w:pPr>
              <w:spacing w:before="120" w:after="120" w:line="276" w:lineRule="auto"/>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Promedio mensual de entrada estimada con desjudicia- lización</w:t>
            </w:r>
          </w:p>
        </w:tc>
        <w:tc>
          <w:tcPr>
            <w:tcW w:w="405" w:type="pct"/>
            <w:vMerge w:val="restart"/>
            <w:shd w:val="clear" w:color="auto" w:fill="002060"/>
            <w:vAlign w:val="center"/>
          </w:tcPr>
          <w:p w:rsidRPr="00AE1B2B" w:rsidR="009D3FB5" w:rsidP="00163B94" w:rsidRDefault="009D3FB5" w14:paraId="0F6FF187" w14:textId="77777777">
            <w:pPr>
              <w:spacing w:before="120" w:after="120" w:line="276" w:lineRule="auto"/>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Promedio mensual de terminado</w:t>
            </w:r>
          </w:p>
        </w:tc>
        <w:tc>
          <w:tcPr>
            <w:tcW w:w="404" w:type="pct"/>
            <w:vMerge w:val="restart"/>
            <w:shd w:val="clear" w:color="auto" w:fill="002060"/>
            <w:vAlign w:val="center"/>
          </w:tcPr>
          <w:p w:rsidRPr="00AE1B2B" w:rsidR="009D3FB5" w:rsidP="00163B94" w:rsidRDefault="009D3FB5" w14:paraId="54917C6B" w14:textId="77777777">
            <w:pPr>
              <w:spacing w:before="120" w:after="120" w:line="276" w:lineRule="auto"/>
              <w:jc w:val="center"/>
              <w:rPr>
                <w:rFonts w:ascii="Times New Roman" w:hAnsi="Times New Roman" w:cs="Times New Roman"/>
                <w:b/>
                <w:bCs/>
                <w:sz w:val="20"/>
                <w:szCs w:val="20"/>
              </w:rPr>
            </w:pPr>
            <w:r w:rsidRPr="00AE1B2B">
              <w:rPr>
                <w:rFonts w:ascii="Times New Roman" w:hAnsi="Times New Roman" w:cs="Times New Roman"/>
                <w:b/>
                <w:bCs/>
                <w:sz w:val="20"/>
                <w:szCs w:val="20"/>
              </w:rPr>
              <w:t>Relación Salida entrada proyectada</w:t>
            </w:r>
          </w:p>
        </w:tc>
        <w:tc>
          <w:tcPr>
            <w:tcW w:w="811" w:type="pct"/>
            <w:gridSpan w:val="2"/>
            <w:shd w:val="clear" w:color="auto" w:fill="002060"/>
            <w:vAlign w:val="center"/>
          </w:tcPr>
          <w:p w:rsidRPr="00AE1B2B" w:rsidR="009D3FB5" w:rsidP="00163B94" w:rsidRDefault="009D3FB5" w14:paraId="6C5EED6F" w14:textId="77777777">
            <w:pPr>
              <w:spacing w:before="120" w:after="120" w:line="276" w:lineRule="auto"/>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Recurso humano actual</w:t>
            </w:r>
          </w:p>
        </w:tc>
        <w:tc>
          <w:tcPr>
            <w:tcW w:w="811" w:type="pct"/>
            <w:gridSpan w:val="2"/>
            <w:shd w:val="clear" w:color="auto" w:fill="002060"/>
            <w:vAlign w:val="center"/>
          </w:tcPr>
          <w:p w:rsidRPr="00AE1B2B" w:rsidR="009D3FB5" w:rsidP="00163B94" w:rsidRDefault="009D3FB5" w14:paraId="10C7AFFE" w14:textId="77777777">
            <w:pPr>
              <w:spacing w:before="120" w:after="120" w:line="276" w:lineRule="auto"/>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Recurso humano requerido</w:t>
            </w:r>
          </w:p>
        </w:tc>
        <w:tc>
          <w:tcPr>
            <w:tcW w:w="948" w:type="pct"/>
            <w:gridSpan w:val="2"/>
            <w:shd w:val="clear" w:color="auto" w:fill="002060"/>
            <w:vAlign w:val="center"/>
          </w:tcPr>
          <w:p w:rsidRPr="00AE1B2B" w:rsidR="009D3FB5" w:rsidP="00163B94" w:rsidRDefault="009D3FB5" w14:paraId="57B74FB4" w14:textId="77777777">
            <w:pPr>
              <w:spacing w:before="120" w:after="120" w:line="276" w:lineRule="auto"/>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Variación</w:t>
            </w:r>
          </w:p>
        </w:tc>
      </w:tr>
      <w:tr w:rsidRPr="00AE1B2B" w:rsidR="00AE1B2B" w:rsidTr="009D3FB5" w14:paraId="628C1BAE" w14:textId="77777777">
        <w:trPr>
          <w:trHeight w:val="609"/>
          <w:tblHeader/>
          <w:jc w:val="center"/>
        </w:trPr>
        <w:tc>
          <w:tcPr>
            <w:tcW w:w="1037" w:type="pct"/>
            <w:vMerge/>
            <w:shd w:val="clear" w:color="auto" w:fill="002060"/>
            <w:vAlign w:val="center"/>
            <w:hideMark/>
          </w:tcPr>
          <w:p w:rsidRPr="00AE1B2B" w:rsidR="009D3FB5" w:rsidP="00163B94" w:rsidRDefault="009D3FB5" w14:paraId="0B3887E8" w14:textId="77777777">
            <w:pPr>
              <w:spacing w:before="120" w:after="120" w:line="276" w:lineRule="auto"/>
              <w:jc w:val="center"/>
              <w:rPr>
                <w:rFonts w:ascii="Times New Roman" w:hAnsi="Times New Roman" w:eastAsia="Times New Roman" w:cs="Times New Roman"/>
                <w:b/>
                <w:bCs/>
                <w:lang w:eastAsia="es-CR"/>
              </w:rPr>
            </w:pPr>
          </w:p>
        </w:tc>
        <w:tc>
          <w:tcPr>
            <w:tcW w:w="583" w:type="pct"/>
            <w:vMerge/>
            <w:shd w:val="clear" w:color="auto" w:fill="002060"/>
            <w:vAlign w:val="center"/>
            <w:hideMark/>
          </w:tcPr>
          <w:p w:rsidRPr="00AE1B2B" w:rsidR="009D3FB5" w:rsidP="00163B94" w:rsidRDefault="009D3FB5" w14:paraId="12C27A4B" w14:textId="77777777">
            <w:pPr>
              <w:spacing w:before="120" w:after="120" w:line="276" w:lineRule="auto"/>
              <w:jc w:val="center"/>
              <w:rPr>
                <w:rFonts w:ascii="Times New Roman" w:hAnsi="Times New Roman" w:eastAsia="Times New Roman" w:cs="Times New Roman"/>
                <w:b/>
                <w:bCs/>
                <w:sz w:val="20"/>
                <w:szCs w:val="20"/>
                <w:lang w:eastAsia="es-CR"/>
              </w:rPr>
            </w:pPr>
          </w:p>
        </w:tc>
        <w:tc>
          <w:tcPr>
            <w:tcW w:w="405" w:type="pct"/>
            <w:vMerge/>
            <w:shd w:val="clear" w:color="auto" w:fill="002060"/>
            <w:vAlign w:val="center"/>
          </w:tcPr>
          <w:p w:rsidRPr="00AE1B2B" w:rsidR="009D3FB5" w:rsidP="00163B94" w:rsidRDefault="009D3FB5" w14:paraId="49DA4CC3" w14:textId="77777777">
            <w:pPr>
              <w:spacing w:before="120" w:after="120" w:line="276" w:lineRule="auto"/>
              <w:jc w:val="center"/>
              <w:rPr>
                <w:rFonts w:ascii="Times New Roman" w:hAnsi="Times New Roman" w:eastAsia="Times New Roman" w:cs="Times New Roman"/>
                <w:b/>
                <w:bCs/>
                <w:sz w:val="20"/>
                <w:szCs w:val="20"/>
                <w:lang w:eastAsia="es-CR"/>
              </w:rPr>
            </w:pPr>
          </w:p>
        </w:tc>
        <w:tc>
          <w:tcPr>
            <w:tcW w:w="404" w:type="pct"/>
            <w:vMerge/>
            <w:shd w:val="clear" w:color="auto" w:fill="002060"/>
            <w:vAlign w:val="center"/>
          </w:tcPr>
          <w:p w:rsidRPr="00AE1B2B" w:rsidR="009D3FB5" w:rsidP="00163B94" w:rsidRDefault="009D3FB5" w14:paraId="56BFB38C" w14:textId="77777777">
            <w:pPr>
              <w:spacing w:before="120" w:after="120" w:line="276" w:lineRule="auto"/>
              <w:jc w:val="center"/>
              <w:rPr>
                <w:rFonts w:ascii="Times New Roman" w:hAnsi="Times New Roman" w:eastAsia="Times New Roman" w:cs="Times New Roman"/>
                <w:b/>
                <w:bCs/>
                <w:sz w:val="20"/>
                <w:szCs w:val="20"/>
                <w:lang w:eastAsia="es-CR"/>
              </w:rPr>
            </w:pPr>
          </w:p>
        </w:tc>
        <w:tc>
          <w:tcPr>
            <w:tcW w:w="401" w:type="pct"/>
            <w:shd w:val="clear" w:color="auto" w:fill="002060"/>
            <w:vAlign w:val="center"/>
            <w:hideMark/>
          </w:tcPr>
          <w:p w:rsidRPr="00AE1B2B" w:rsidR="009D3FB5" w:rsidP="00163B94" w:rsidRDefault="009D3FB5" w14:paraId="1357F27B" w14:textId="77777777">
            <w:pPr>
              <w:spacing w:before="120" w:after="120" w:line="276" w:lineRule="auto"/>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Personas juzgadoras</w:t>
            </w:r>
          </w:p>
        </w:tc>
        <w:tc>
          <w:tcPr>
            <w:tcW w:w="411" w:type="pct"/>
            <w:shd w:val="clear" w:color="auto" w:fill="002060"/>
            <w:vAlign w:val="center"/>
            <w:hideMark/>
          </w:tcPr>
          <w:p w:rsidRPr="00AE1B2B" w:rsidR="009D3FB5" w:rsidP="00163B94" w:rsidRDefault="009D3FB5" w14:paraId="2FFE0C63" w14:textId="77777777">
            <w:pPr>
              <w:spacing w:before="120" w:after="120" w:line="276" w:lineRule="auto"/>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Personas Técnicas Judiciales de trámite</w:t>
            </w:r>
          </w:p>
        </w:tc>
        <w:tc>
          <w:tcPr>
            <w:tcW w:w="401" w:type="pct"/>
            <w:shd w:val="clear" w:color="auto" w:fill="002060"/>
            <w:vAlign w:val="center"/>
            <w:hideMark/>
          </w:tcPr>
          <w:p w:rsidRPr="00AE1B2B" w:rsidR="009D3FB5" w:rsidP="00163B94" w:rsidRDefault="009D3FB5" w14:paraId="402DF22E" w14:textId="77777777">
            <w:pPr>
              <w:spacing w:before="120" w:after="120" w:line="276" w:lineRule="auto"/>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Personas juzgadoras</w:t>
            </w:r>
          </w:p>
        </w:tc>
        <w:tc>
          <w:tcPr>
            <w:tcW w:w="411" w:type="pct"/>
            <w:shd w:val="clear" w:color="auto" w:fill="002060"/>
            <w:vAlign w:val="center"/>
            <w:hideMark/>
          </w:tcPr>
          <w:p w:rsidRPr="00AE1B2B" w:rsidR="009D3FB5" w:rsidP="00163B94" w:rsidRDefault="009D3FB5" w14:paraId="3DB09BBD" w14:textId="77777777">
            <w:pPr>
              <w:spacing w:before="120" w:after="120" w:line="276" w:lineRule="auto"/>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Personas Técnicas Judiciales de trámite</w:t>
            </w:r>
          </w:p>
        </w:tc>
        <w:tc>
          <w:tcPr>
            <w:tcW w:w="401" w:type="pct"/>
            <w:shd w:val="clear" w:color="auto" w:fill="002060"/>
            <w:vAlign w:val="center"/>
            <w:hideMark/>
          </w:tcPr>
          <w:p w:rsidRPr="00AE1B2B" w:rsidR="009D3FB5" w:rsidP="00163B94" w:rsidRDefault="009D3FB5" w14:paraId="3B537103" w14:textId="77777777">
            <w:pPr>
              <w:spacing w:before="120" w:after="120" w:line="276" w:lineRule="auto"/>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Personas juzgadoras</w:t>
            </w:r>
          </w:p>
        </w:tc>
        <w:tc>
          <w:tcPr>
            <w:tcW w:w="547" w:type="pct"/>
            <w:shd w:val="clear" w:color="auto" w:fill="002060"/>
            <w:vAlign w:val="center"/>
            <w:hideMark/>
          </w:tcPr>
          <w:p w:rsidRPr="00AE1B2B" w:rsidR="009D3FB5" w:rsidP="00163B94" w:rsidRDefault="009D3FB5" w14:paraId="0B234148" w14:textId="77777777">
            <w:pPr>
              <w:spacing w:before="120" w:after="120" w:line="276" w:lineRule="auto"/>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Personas Técnicas Judiciales</w:t>
            </w:r>
          </w:p>
        </w:tc>
      </w:tr>
      <w:tr w:rsidRPr="00AE1B2B" w:rsidR="00AE1B2B" w:rsidTr="009D3FB5" w14:paraId="5E6E1924" w14:textId="77777777">
        <w:trPr>
          <w:trHeight w:val="434"/>
          <w:jc w:val="center"/>
        </w:trPr>
        <w:tc>
          <w:tcPr>
            <w:tcW w:w="1037" w:type="pct"/>
            <w:tcBorders>
              <w:top w:val="single" w:color="auto" w:sz="4" w:space="0"/>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40EC8B7"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cs="Times New Roman"/>
                <w:b/>
                <w:bCs/>
              </w:rPr>
              <w:t>Juzgado Familia Cartago</w:t>
            </w:r>
          </w:p>
        </w:tc>
        <w:tc>
          <w:tcPr>
            <w:tcW w:w="58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636DA8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322</w:t>
            </w:r>
          </w:p>
        </w:tc>
        <w:tc>
          <w:tcPr>
            <w:tcW w:w="405" w:type="pct"/>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716AB39A"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417</w:t>
            </w:r>
          </w:p>
        </w:tc>
        <w:tc>
          <w:tcPr>
            <w:tcW w:w="404" w:type="pct"/>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25790220"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129%</w:t>
            </w:r>
          </w:p>
        </w:tc>
        <w:tc>
          <w:tcPr>
            <w:tcW w:w="401" w:type="pct"/>
            <w:tcBorders>
              <w:top w:val="single" w:color="auto" w:sz="4" w:space="0"/>
              <w:left w:val="nil"/>
              <w:bottom w:val="single" w:color="auto" w:sz="4" w:space="0"/>
              <w:right w:val="single" w:color="auto" w:sz="4" w:space="0"/>
            </w:tcBorders>
            <w:shd w:val="clear" w:color="auto" w:fill="auto"/>
            <w:noWrap/>
            <w:vAlign w:val="center"/>
            <w:hideMark/>
          </w:tcPr>
          <w:p w:rsidRPr="00AE1B2B" w:rsidR="009D3FB5" w:rsidP="00163B94" w:rsidRDefault="009D3FB5" w14:paraId="2E533DB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w:t>
            </w:r>
          </w:p>
        </w:tc>
        <w:tc>
          <w:tcPr>
            <w:tcW w:w="411" w:type="pct"/>
            <w:tcBorders>
              <w:top w:val="single" w:color="auto" w:sz="4" w:space="0"/>
              <w:left w:val="nil"/>
              <w:bottom w:val="single" w:color="auto" w:sz="4" w:space="0"/>
              <w:right w:val="single" w:color="auto" w:sz="4" w:space="0"/>
            </w:tcBorders>
            <w:shd w:val="clear" w:color="auto" w:fill="auto"/>
            <w:noWrap/>
            <w:vAlign w:val="center"/>
            <w:hideMark/>
          </w:tcPr>
          <w:p w:rsidRPr="00AE1B2B" w:rsidR="009D3FB5" w:rsidP="00163B94" w:rsidRDefault="009D3FB5" w14:paraId="4A74A41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w:t>
            </w:r>
          </w:p>
        </w:tc>
        <w:tc>
          <w:tcPr>
            <w:tcW w:w="401" w:type="pct"/>
            <w:tcBorders>
              <w:top w:val="single" w:color="auto" w:sz="4" w:space="0"/>
              <w:left w:val="nil"/>
              <w:bottom w:val="single" w:color="auto" w:sz="4" w:space="0"/>
              <w:right w:val="single" w:color="auto" w:sz="4" w:space="0"/>
            </w:tcBorders>
            <w:shd w:val="clear" w:color="000000" w:fill="DBE5F1"/>
            <w:noWrap/>
            <w:vAlign w:val="center"/>
            <w:hideMark/>
          </w:tcPr>
          <w:p w:rsidRPr="00AE1B2B" w:rsidR="009D3FB5" w:rsidP="00163B94" w:rsidRDefault="009D3FB5" w14:paraId="77C8398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w:t>
            </w:r>
          </w:p>
        </w:tc>
        <w:tc>
          <w:tcPr>
            <w:tcW w:w="411" w:type="pct"/>
            <w:tcBorders>
              <w:top w:val="single" w:color="auto" w:sz="4" w:space="0"/>
              <w:left w:val="nil"/>
              <w:bottom w:val="single" w:color="auto" w:sz="4" w:space="0"/>
              <w:right w:val="single" w:color="auto" w:sz="4" w:space="0"/>
            </w:tcBorders>
            <w:shd w:val="clear" w:color="000000" w:fill="DBE5F1"/>
            <w:noWrap/>
            <w:vAlign w:val="center"/>
            <w:hideMark/>
          </w:tcPr>
          <w:p w:rsidRPr="00AE1B2B" w:rsidR="009D3FB5" w:rsidP="00163B94" w:rsidRDefault="009D3FB5" w14:paraId="575315A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w:t>
            </w:r>
          </w:p>
        </w:tc>
        <w:tc>
          <w:tcPr>
            <w:tcW w:w="401" w:type="pct"/>
            <w:tcBorders>
              <w:top w:val="single" w:color="auto" w:sz="4" w:space="0"/>
              <w:left w:val="nil"/>
              <w:bottom w:val="single" w:color="auto" w:sz="4" w:space="0"/>
              <w:right w:val="single" w:color="auto" w:sz="4" w:space="0"/>
            </w:tcBorders>
            <w:shd w:val="clear" w:color="000000" w:fill="FDE9D9"/>
            <w:noWrap/>
            <w:vAlign w:val="center"/>
            <w:hideMark/>
          </w:tcPr>
          <w:p w:rsidRPr="00AE1B2B" w:rsidR="009D3FB5" w:rsidP="00163B94" w:rsidRDefault="009D3FB5" w14:paraId="29738BF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w:t>
            </w:r>
          </w:p>
        </w:tc>
        <w:tc>
          <w:tcPr>
            <w:tcW w:w="547" w:type="pct"/>
            <w:tcBorders>
              <w:top w:val="single" w:color="auto" w:sz="4" w:space="0"/>
              <w:left w:val="nil"/>
              <w:bottom w:val="single" w:color="auto" w:sz="4" w:space="0"/>
              <w:right w:val="single" w:color="auto" w:sz="4" w:space="0"/>
            </w:tcBorders>
            <w:shd w:val="clear" w:color="000000" w:fill="FDE9D9"/>
            <w:noWrap/>
            <w:vAlign w:val="center"/>
            <w:hideMark/>
          </w:tcPr>
          <w:p w:rsidRPr="00AE1B2B" w:rsidR="009D3FB5" w:rsidP="00163B94" w:rsidRDefault="009D3FB5" w14:paraId="50CCDE0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r>
      <w:tr w:rsidRPr="00AE1B2B" w:rsidR="00AE1B2B" w:rsidTr="009D3FB5" w14:paraId="2E1B398F" w14:textId="77777777">
        <w:trPr>
          <w:trHeight w:val="434"/>
          <w:jc w:val="center"/>
        </w:trPr>
        <w:tc>
          <w:tcPr>
            <w:tcW w:w="1037"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0C7642D"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cs="Times New Roman"/>
                <w:b/>
                <w:bCs/>
              </w:rPr>
              <w:t>Juzgado Familia Heredia</w:t>
            </w:r>
          </w:p>
        </w:tc>
        <w:tc>
          <w:tcPr>
            <w:tcW w:w="583"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C5AF3F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281</w:t>
            </w:r>
          </w:p>
        </w:tc>
        <w:tc>
          <w:tcPr>
            <w:tcW w:w="40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084EB1AA"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327</w:t>
            </w:r>
          </w:p>
        </w:tc>
        <w:tc>
          <w:tcPr>
            <w:tcW w:w="404"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4E027331"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116%</w:t>
            </w:r>
          </w:p>
        </w:tc>
        <w:tc>
          <w:tcPr>
            <w:tcW w:w="4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F09EDA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w:t>
            </w:r>
          </w:p>
        </w:tc>
        <w:tc>
          <w:tcPr>
            <w:tcW w:w="4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AEDF04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w:t>
            </w:r>
          </w:p>
        </w:tc>
        <w:tc>
          <w:tcPr>
            <w:tcW w:w="40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25270BB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w:t>
            </w:r>
          </w:p>
        </w:tc>
        <w:tc>
          <w:tcPr>
            <w:tcW w:w="41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65F928F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6</w:t>
            </w:r>
          </w:p>
        </w:tc>
        <w:tc>
          <w:tcPr>
            <w:tcW w:w="401"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22A69D5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c>
          <w:tcPr>
            <w:tcW w:w="547"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6CEF299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w:t>
            </w:r>
          </w:p>
        </w:tc>
      </w:tr>
      <w:tr w:rsidRPr="00AE1B2B" w:rsidR="00AE1B2B" w:rsidTr="009D3FB5" w14:paraId="28741036" w14:textId="77777777">
        <w:trPr>
          <w:trHeight w:val="434"/>
          <w:jc w:val="center"/>
        </w:trPr>
        <w:tc>
          <w:tcPr>
            <w:tcW w:w="1037"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57BE350"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cs="Times New Roman"/>
                <w:b/>
                <w:bCs/>
              </w:rPr>
              <w:lastRenderedPageBreak/>
              <w:t>Juzgado Familia I Circ. Jud. de Alajuela</w:t>
            </w:r>
          </w:p>
        </w:tc>
        <w:tc>
          <w:tcPr>
            <w:tcW w:w="583"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5CCC4F0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232</w:t>
            </w:r>
          </w:p>
        </w:tc>
        <w:tc>
          <w:tcPr>
            <w:tcW w:w="40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250086A7"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238</w:t>
            </w:r>
          </w:p>
        </w:tc>
        <w:tc>
          <w:tcPr>
            <w:tcW w:w="404"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203A769B"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103%</w:t>
            </w:r>
          </w:p>
        </w:tc>
        <w:tc>
          <w:tcPr>
            <w:tcW w:w="4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DE4EC2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w:t>
            </w:r>
          </w:p>
        </w:tc>
        <w:tc>
          <w:tcPr>
            <w:tcW w:w="4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24477D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w:t>
            </w:r>
          </w:p>
        </w:tc>
        <w:tc>
          <w:tcPr>
            <w:tcW w:w="40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27B5A39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w:t>
            </w:r>
          </w:p>
        </w:tc>
        <w:tc>
          <w:tcPr>
            <w:tcW w:w="41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7E5255D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w:t>
            </w:r>
          </w:p>
        </w:tc>
        <w:tc>
          <w:tcPr>
            <w:tcW w:w="401"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37B4CFF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c>
          <w:tcPr>
            <w:tcW w:w="547"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2E9BC22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r>
      <w:tr w:rsidRPr="00AE1B2B" w:rsidR="00AE1B2B" w:rsidTr="009D3FB5" w14:paraId="1710C538" w14:textId="77777777">
        <w:trPr>
          <w:trHeight w:val="434"/>
          <w:jc w:val="center"/>
        </w:trPr>
        <w:tc>
          <w:tcPr>
            <w:tcW w:w="1037"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079EAA62"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cs="Times New Roman"/>
                <w:b/>
                <w:bCs/>
              </w:rPr>
              <w:t>Juzgado Familia I Circ. Jud. Zona Atlántica</w:t>
            </w:r>
          </w:p>
        </w:tc>
        <w:tc>
          <w:tcPr>
            <w:tcW w:w="583"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6CFB1F0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110</w:t>
            </w:r>
          </w:p>
        </w:tc>
        <w:tc>
          <w:tcPr>
            <w:tcW w:w="40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78E16C69"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125</w:t>
            </w:r>
          </w:p>
        </w:tc>
        <w:tc>
          <w:tcPr>
            <w:tcW w:w="404"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7B08EC81"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114%</w:t>
            </w:r>
          </w:p>
        </w:tc>
        <w:tc>
          <w:tcPr>
            <w:tcW w:w="4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066148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4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72DC4F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w:t>
            </w:r>
          </w:p>
        </w:tc>
        <w:tc>
          <w:tcPr>
            <w:tcW w:w="40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01EA671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41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1880AC2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w:t>
            </w:r>
          </w:p>
        </w:tc>
        <w:tc>
          <w:tcPr>
            <w:tcW w:w="401"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1B5917C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c>
          <w:tcPr>
            <w:tcW w:w="547"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43F131D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w:t>
            </w:r>
          </w:p>
        </w:tc>
      </w:tr>
      <w:tr w:rsidRPr="00AE1B2B" w:rsidR="00AE1B2B" w:rsidTr="009D3FB5" w14:paraId="1D076F33" w14:textId="77777777">
        <w:trPr>
          <w:trHeight w:val="434"/>
          <w:jc w:val="center"/>
        </w:trPr>
        <w:tc>
          <w:tcPr>
            <w:tcW w:w="1037"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796AA1D9"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cs="Times New Roman"/>
                <w:b/>
                <w:bCs/>
              </w:rPr>
              <w:t xml:space="preserve">Juzgado Familia I Circ. Jud. Zona Sur </w:t>
            </w:r>
          </w:p>
        </w:tc>
        <w:tc>
          <w:tcPr>
            <w:tcW w:w="583"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ACFFDF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99</w:t>
            </w:r>
          </w:p>
        </w:tc>
        <w:tc>
          <w:tcPr>
            <w:tcW w:w="40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684FABFF"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109</w:t>
            </w:r>
          </w:p>
        </w:tc>
        <w:tc>
          <w:tcPr>
            <w:tcW w:w="404"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538654B7"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111%</w:t>
            </w:r>
          </w:p>
        </w:tc>
        <w:tc>
          <w:tcPr>
            <w:tcW w:w="4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36CCCB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4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FF6795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40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0D992DC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41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487D45B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401"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08E7657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c>
          <w:tcPr>
            <w:tcW w:w="547"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302BD7E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r>
      <w:tr w:rsidRPr="00AE1B2B" w:rsidR="00AE1B2B" w:rsidTr="009D3FB5" w14:paraId="516B12F2" w14:textId="77777777">
        <w:trPr>
          <w:trHeight w:val="434"/>
          <w:jc w:val="center"/>
        </w:trPr>
        <w:tc>
          <w:tcPr>
            <w:tcW w:w="1037"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141B1AC"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cs="Times New Roman"/>
                <w:b/>
                <w:bCs/>
              </w:rPr>
              <w:t>Juzgado Familia II Circ. Jud. de Alajuela</w:t>
            </w:r>
          </w:p>
        </w:tc>
        <w:tc>
          <w:tcPr>
            <w:tcW w:w="583"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1049EB8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127</w:t>
            </w:r>
          </w:p>
        </w:tc>
        <w:tc>
          <w:tcPr>
            <w:tcW w:w="40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7EDD5DED"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132</w:t>
            </w:r>
          </w:p>
        </w:tc>
        <w:tc>
          <w:tcPr>
            <w:tcW w:w="404"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0D693CAB"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104%</w:t>
            </w:r>
          </w:p>
        </w:tc>
        <w:tc>
          <w:tcPr>
            <w:tcW w:w="4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949316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4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7FA237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40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422FC2F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41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3D57F1D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w:t>
            </w:r>
          </w:p>
        </w:tc>
        <w:tc>
          <w:tcPr>
            <w:tcW w:w="401"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71E5E36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c>
          <w:tcPr>
            <w:tcW w:w="547"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1B52C56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w:t>
            </w:r>
          </w:p>
        </w:tc>
      </w:tr>
      <w:tr w:rsidRPr="00AE1B2B" w:rsidR="00AE1B2B" w:rsidTr="009D3FB5" w14:paraId="274A34F5" w14:textId="77777777">
        <w:trPr>
          <w:trHeight w:val="434"/>
          <w:jc w:val="center"/>
        </w:trPr>
        <w:tc>
          <w:tcPr>
            <w:tcW w:w="1037"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3C2BFA9"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cs="Times New Roman"/>
                <w:b/>
                <w:bCs/>
              </w:rPr>
              <w:t>Juzgado Familia II Circ. Jud. San José</w:t>
            </w:r>
          </w:p>
        </w:tc>
        <w:tc>
          <w:tcPr>
            <w:tcW w:w="583"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13F5F8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298</w:t>
            </w:r>
          </w:p>
        </w:tc>
        <w:tc>
          <w:tcPr>
            <w:tcW w:w="40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6740B387"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300</w:t>
            </w:r>
          </w:p>
        </w:tc>
        <w:tc>
          <w:tcPr>
            <w:tcW w:w="404"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38343B0E"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101%</w:t>
            </w:r>
          </w:p>
        </w:tc>
        <w:tc>
          <w:tcPr>
            <w:tcW w:w="4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6CA48F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w:t>
            </w:r>
          </w:p>
        </w:tc>
        <w:tc>
          <w:tcPr>
            <w:tcW w:w="4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95E5DD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w:t>
            </w:r>
          </w:p>
        </w:tc>
        <w:tc>
          <w:tcPr>
            <w:tcW w:w="40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1442AB5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w:t>
            </w:r>
          </w:p>
        </w:tc>
        <w:tc>
          <w:tcPr>
            <w:tcW w:w="41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5CB4F9B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w:t>
            </w:r>
          </w:p>
        </w:tc>
        <w:tc>
          <w:tcPr>
            <w:tcW w:w="401"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25DC765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c>
          <w:tcPr>
            <w:tcW w:w="547"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15B3A19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r>
      <w:tr w:rsidRPr="00AE1B2B" w:rsidR="00AE1B2B" w:rsidTr="009D3FB5" w14:paraId="668D667F" w14:textId="77777777">
        <w:trPr>
          <w:trHeight w:val="434"/>
          <w:jc w:val="center"/>
        </w:trPr>
        <w:tc>
          <w:tcPr>
            <w:tcW w:w="1037"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4DE6974"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cs="Times New Roman"/>
                <w:b/>
                <w:bCs/>
              </w:rPr>
              <w:t>Juzgado Familia II Circ. Jud. Zona Atlántica</w:t>
            </w:r>
          </w:p>
        </w:tc>
        <w:tc>
          <w:tcPr>
            <w:tcW w:w="583"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38067C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139</w:t>
            </w:r>
          </w:p>
        </w:tc>
        <w:tc>
          <w:tcPr>
            <w:tcW w:w="40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301AE317"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142</w:t>
            </w:r>
          </w:p>
        </w:tc>
        <w:tc>
          <w:tcPr>
            <w:tcW w:w="404"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1286A500"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102%</w:t>
            </w:r>
          </w:p>
        </w:tc>
        <w:tc>
          <w:tcPr>
            <w:tcW w:w="4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274BAF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4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335073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w:t>
            </w:r>
          </w:p>
        </w:tc>
        <w:tc>
          <w:tcPr>
            <w:tcW w:w="40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0461D9D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41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38EFBED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w:t>
            </w:r>
          </w:p>
        </w:tc>
        <w:tc>
          <w:tcPr>
            <w:tcW w:w="401"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60780EF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c>
          <w:tcPr>
            <w:tcW w:w="547"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78E439E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r>
      <w:tr w:rsidRPr="00AE1B2B" w:rsidR="00AE1B2B" w:rsidTr="009D3FB5" w14:paraId="348BCCC7" w14:textId="77777777">
        <w:trPr>
          <w:trHeight w:val="434"/>
          <w:jc w:val="center"/>
        </w:trPr>
        <w:tc>
          <w:tcPr>
            <w:tcW w:w="1037"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9A1F66B"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cs="Times New Roman"/>
                <w:b/>
                <w:bCs/>
              </w:rPr>
              <w:t xml:space="preserve">Juzgado Familia III Circ. Jud. De San José </w:t>
            </w:r>
          </w:p>
        </w:tc>
        <w:tc>
          <w:tcPr>
            <w:tcW w:w="583"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577505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202</w:t>
            </w:r>
          </w:p>
        </w:tc>
        <w:tc>
          <w:tcPr>
            <w:tcW w:w="40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3D531CC3"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229</w:t>
            </w:r>
          </w:p>
        </w:tc>
        <w:tc>
          <w:tcPr>
            <w:tcW w:w="404"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38832CEC"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114%</w:t>
            </w:r>
          </w:p>
        </w:tc>
        <w:tc>
          <w:tcPr>
            <w:tcW w:w="4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B5F298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w:t>
            </w:r>
          </w:p>
        </w:tc>
        <w:tc>
          <w:tcPr>
            <w:tcW w:w="4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CC9316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w:t>
            </w:r>
          </w:p>
        </w:tc>
        <w:tc>
          <w:tcPr>
            <w:tcW w:w="40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3D7924F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w:t>
            </w:r>
          </w:p>
        </w:tc>
        <w:tc>
          <w:tcPr>
            <w:tcW w:w="41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6B8B1A4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w:t>
            </w:r>
          </w:p>
        </w:tc>
        <w:tc>
          <w:tcPr>
            <w:tcW w:w="401"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527CD34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c>
          <w:tcPr>
            <w:tcW w:w="547"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19C1A2B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r>
      <w:tr w:rsidRPr="00AE1B2B" w:rsidR="00AE1B2B" w:rsidTr="009D3FB5" w14:paraId="275D0408" w14:textId="77777777">
        <w:trPr>
          <w:trHeight w:val="434"/>
          <w:jc w:val="center"/>
        </w:trPr>
        <w:tc>
          <w:tcPr>
            <w:tcW w:w="1037"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723BABA8"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cs="Times New Roman"/>
                <w:b/>
                <w:bCs/>
              </w:rPr>
              <w:t>Juzgado Familia Puntarenas</w:t>
            </w:r>
          </w:p>
        </w:tc>
        <w:tc>
          <w:tcPr>
            <w:tcW w:w="583"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7635432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144</w:t>
            </w:r>
          </w:p>
        </w:tc>
        <w:tc>
          <w:tcPr>
            <w:tcW w:w="40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745E9B44"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156</w:t>
            </w:r>
          </w:p>
        </w:tc>
        <w:tc>
          <w:tcPr>
            <w:tcW w:w="404"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6C776707"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109%</w:t>
            </w:r>
          </w:p>
        </w:tc>
        <w:tc>
          <w:tcPr>
            <w:tcW w:w="4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BB863F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4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BDFCE4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w:t>
            </w:r>
          </w:p>
        </w:tc>
        <w:tc>
          <w:tcPr>
            <w:tcW w:w="40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43F9419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41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4C557EB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w:t>
            </w:r>
          </w:p>
        </w:tc>
        <w:tc>
          <w:tcPr>
            <w:tcW w:w="401"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06EA216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c>
          <w:tcPr>
            <w:tcW w:w="547"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5F10ECE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r>
      <w:tr w:rsidRPr="00AE1B2B" w:rsidR="00AE1B2B" w:rsidTr="009D3FB5" w14:paraId="7695CDCC" w14:textId="77777777">
        <w:trPr>
          <w:trHeight w:val="434"/>
          <w:jc w:val="center"/>
        </w:trPr>
        <w:tc>
          <w:tcPr>
            <w:tcW w:w="1037"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6705D88"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cs="Times New Roman"/>
                <w:b/>
                <w:bCs/>
              </w:rPr>
              <w:t>Juzgado Primero de Familia de San José</w:t>
            </w:r>
          </w:p>
        </w:tc>
        <w:tc>
          <w:tcPr>
            <w:tcW w:w="583"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FC0EDD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145</w:t>
            </w:r>
          </w:p>
        </w:tc>
        <w:tc>
          <w:tcPr>
            <w:tcW w:w="40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77713D39"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165</w:t>
            </w:r>
          </w:p>
        </w:tc>
        <w:tc>
          <w:tcPr>
            <w:tcW w:w="404"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4E46B808"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114%</w:t>
            </w:r>
          </w:p>
        </w:tc>
        <w:tc>
          <w:tcPr>
            <w:tcW w:w="4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A0EDC5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w:t>
            </w:r>
          </w:p>
        </w:tc>
        <w:tc>
          <w:tcPr>
            <w:tcW w:w="4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728538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w:t>
            </w:r>
          </w:p>
        </w:tc>
        <w:tc>
          <w:tcPr>
            <w:tcW w:w="40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6119D61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41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3736D4B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w:t>
            </w:r>
          </w:p>
        </w:tc>
        <w:tc>
          <w:tcPr>
            <w:tcW w:w="401"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4D8A8E2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w:t>
            </w:r>
          </w:p>
        </w:tc>
        <w:tc>
          <w:tcPr>
            <w:tcW w:w="547"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577D223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r>
      <w:tr w:rsidRPr="00AE1B2B" w:rsidR="00AE1B2B" w:rsidTr="009D3FB5" w14:paraId="6037DB79" w14:textId="77777777">
        <w:trPr>
          <w:trHeight w:val="434"/>
          <w:jc w:val="center"/>
        </w:trPr>
        <w:tc>
          <w:tcPr>
            <w:tcW w:w="1037"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C05120E" w14:textId="77777777">
            <w:pPr>
              <w:spacing w:before="120" w:after="120" w:line="276" w:lineRule="auto"/>
              <w:rPr>
                <w:rFonts w:ascii="Times New Roman" w:hAnsi="Times New Roman" w:eastAsia="Times New Roman" w:cs="Times New Roman"/>
                <w:b/>
                <w:lang w:eastAsia="es-CR"/>
              </w:rPr>
            </w:pPr>
            <w:r w:rsidRPr="00AE1B2B">
              <w:rPr>
                <w:rFonts w:ascii="Times New Roman" w:hAnsi="Times New Roman" w:cs="Times New Roman"/>
                <w:b/>
                <w:bCs/>
              </w:rPr>
              <w:t>Juzgado Segundo de Familia de San José</w:t>
            </w:r>
          </w:p>
        </w:tc>
        <w:tc>
          <w:tcPr>
            <w:tcW w:w="583"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1992822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139</w:t>
            </w:r>
          </w:p>
        </w:tc>
        <w:tc>
          <w:tcPr>
            <w:tcW w:w="40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249898CB"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168</w:t>
            </w:r>
          </w:p>
        </w:tc>
        <w:tc>
          <w:tcPr>
            <w:tcW w:w="404"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0D2A702D"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121%</w:t>
            </w:r>
          </w:p>
        </w:tc>
        <w:tc>
          <w:tcPr>
            <w:tcW w:w="40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01E2C5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w:t>
            </w:r>
          </w:p>
        </w:tc>
        <w:tc>
          <w:tcPr>
            <w:tcW w:w="4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096DB3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w:t>
            </w:r>
          </w:p>
        </w:tc>
        <w:tc>
          <w:tcPr>
            <w:tcW w:w="40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0664CB3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411"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63D5991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w:t>
            </w:r>
          </w:p>
        </w:tc>
        <w:tc>
          <w:tcPr>
            <w:tcW w:w="401"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145F989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w:t>
            </w:r>
          </w:p>
        </w:tc>
        <w:tc>
          <w:tcPr>
            <w:tcW w:w="547"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326ED03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r>
    </w:tbl>
    <w:p w:rsidRPr="00AE1B2B" w:rsidR="009D3FB5" w:rsidP="00163B94" w:rsidRDefault="009D3FB5" w14:paraId="59EBA1F3"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lastRenderedPageBreak/>
        <w:t>Fuente: Modernización Institucional de la Dirección de Planificación. Los caso entrados y terminados incluye: Principales, Reentrados, Incidentes y Segunda Instancia.</w:t>
      </w:r>
    </w:p>
    <w:p w:rsidRPr="00AE1B2B" w:rsidR="009D3FB5" w:rsidP="00163B94" w:rsidRDefault="009D3FB5" w14:paraId="3FB0BDD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A6EF34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 los resultados anteriores se identifica que el Juzgado de Familia de Cartago y el Juzgado Familia II Circuito Judicial de Alajuela son los únicos que registran necesidad de personas juzgadoras o técnicas judiciales, con la variación estimada en los niveles de entrada mensual del nuevo Código Procesal Familia. En los demás casos producto de esta variación no sería necesario incluir recurso humano, por el contrario, según el volumen de ingreso de casos al mes se podría disponer para reubicar personas juzgadoras en el Juzgado Primero de Familia de San José y el Juzgado Segundo de Familia de San José, además de personas técnicas judiciales en los Juzgados de Familia de Heredia, de I Circuito Judicial Zona Atlántica, del II Circuito Judicial San José (porque además de los 7 técnicos tramitadores dispone de un manifestador y un Auxiliar de servicios generales), y del Primero y el Segundo de Familia de San José, por lo que se procede a analizar dichos despachos en específico. </w:t>
      </w:r>
    </w:p>
    <w:p w:rsidRPr="00AE1B2B" w:rsidR="009D3FB5" w:rsidP="00163B94" w:rsidRDefault="009D3FB5" w14:paraId="0D77203E"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rPr>
        <w:t>Es importante indicar que para efectos de este informe no se planteará la reubicación de personas juzgadoras o técnicas judiciales, bajo el entendido que al mantener estas personas es sus despachos se estarían contribuyendo a la reducción del circulante y a la disminución de tiempos en los procesos en sus despachos de manera inmediata, en línea con lo indicado por la Contraloría General de la República, hecho que se comprobará en los abordajes que se realicen a estas oficinas por la Dirección de Planificación y el seguimiento respectivo.</w:t>
      </w:r>
    </w:p>
    <w:p w:rsidRPr="00AE1B2B" w:rsidR="009D3FB5" w:rsidP="00163B94" w:rsidRDefault="009D3FB5" w14:paraId="2E1CA85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C72E5D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Cabe mencionar que estaría pendiente conocer el impacto en estas oficinas con la creación de Juzgados de Familia por Ministerio de Ley, lo que será objeto de análisis a partir de la información obtenida en el inventario en Familia 2021.</w:t>
      </w:r>
    </w:p>
    <w:p w:rsidRPr="00AE1B2B" w:rsidR="009D3FB5" w:rsidP="00163B94" w:rsidRDefault="009D3FB5" w14:paraId="7EE7AFC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Juzgado </w:t>
      </w:r>
      <w:bookmarkStart w:name="_Hlk31981893" w:id="74"/>
      <w:r w:rsidRPr="00AE1B2B">
        <w:rPr>
          <w:rFonts w:ascii="Times New Roman" w:hAnsi="Times New Roman" w:cs="Times New Roman"/>
          <w:sz w:val="26"/>
          <w:szCs w:val="26"/>
        </w:rPr>
        <w:t>de Familia de Cartago</w:t>
      </w:r>
      <w:bookmarkEnd w:id="74"/>
    </w:p>
    <w:p w:rsidRPr="00AE1B2B" w:rsidR="009D3FB5" w:rsidP="00163B94" w:rsidRDefault="009D3FB5" w14:paraId="194F8D96" w14:textId="4D84C0DD">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caso del Juzgado de Familia de Cartago cuenta actualmente con 3 recursos de persona juzgadora (informe 628-PLA-EV-2020).</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El Juzgado de Familia de Cartago es el que registra mayor cantidad de casos entrados en la actualidad por persona juzgadora de todo el país con 120 casos en promedio al mes, es que se plantea la </w:t>
      </w:r>
      <w:r w:rsidRPr="00AE1B2B">
        <w:rPr>
          <w:rFonts w:ascii="Times New Roman" w:hAnsi="Times New Roman" w:cs="Times New Roman"/>
          <w:sz w:val="26"/>
          <w:szCs w:val="26"/>
        </w:rPr>
        <w:lastRenderedPageBreak/>
        <w:t>posibilidad de crear la plaza de Jueza o Juez 3 con la entrada del nuevo Código Procesal de Familia.</w:t>
      </w:r>
    </w:p>
    <w:p w:rsidRPr="00AE1B2B" w:rsidR="009D3FB5" w:rsidP="00163B94" w:rsidRDefault="009D3FB5" w14:paraId="1BF765C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D080BD5"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23</w:t>
      </w:r>
      <w:r w:rsidRPr="00AE1B2B">
        <w:rPr>
          <w:rFonts w:ascii="Times New Roman" w:hAnsi="Times New Roman" w:cs="Times New Roman"/>
          <w:sz w:val="26"/>
          <w:szCs w:val="26"/>
        </w:rPr>
        <w:fldChar w:fldCharType="end"/>
      </w:r>
    </w:p>
    <w:p w:rsidRPr="00AE1B2B" w:rsidR="009D3FB5" w:rsidP="00163B94" w:rsidRDefault="009D3FB5" w14:paraId="38BADF58"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Análisis de carga de trabajo para el Juzgado de Familia de Cartago</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4673"/>
        <w:gridCol w:w="2126"/>
        <w:gridCol w:w="2029"/>
      </w:tblGrid>
      <w:tr w:rsidRPr="00AE1B2B" w:rsidR="00AE1B2B" w:rsidTr="009D3FB5" w14:paraId="5B7DE432" w14:textId="77777777">
        <w:trPr>
          <w:trHeight w:val="20"/>
          <w:tblHeader/>
          <w:jc w:val="center"/>
        </w:trPr>
        <w:tc>
          <w:tcPr>
            <w:tcW w:w="2647" w:type="pct"/>
            <w:shd w:val="clear" w:color="auto" w:fill="002060"/>
            <w:noWrap/>
            <w:vAlign w:val="center"/>
            <w:hideMark/>
          </w:tcPr>
          <w:p w:rsidRPr="00AE1B2B" w:rsidR="009D3FB5" w:rsidP="00163B94" w:rsidRDefault="009D3FB5" w14:paraId="7416FB46" w14:textId="77777777">
            <w:pPr>
              <w:spacing w:before="120" w:after="120"/>
              <w:jc w:val="both"/>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Juzgado de Familia de Cartago</w:t>
            </w:r>
          </w:p>
        </w:tc>
        <w:tc>
          <w:tcPr>
            <w:tcW w:w="1204" w:type="pct"/>
            <w:shd w:val="clear" w:color="auto" w:fill="002060"/>
            <w:vAlign w:val="center"/>
            <w:hideMark/>
          </w:tcPr>
          <w:p w:rsidRPr="00AE1B2B" w:rsidR="009D3FB5" w:rsidP="00163B94" w:rsidRDefault="009D3FB5" w14:paraId="30B29122" w14:textId="77777777">
            <w:pPr>
              <w:spacing w:before="120" w:after="120"/>
              <w:jc w:val="both"/>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Personas juzgadoras</w:t>
            </w:r>
          </w:p>
        </w:tc>
        <w:tc>
          <w:tcPr>
            <w:tcW w:w="1149" w:type="pct"/>
            <w:shd w:val="clear" w:color="auto" w:fill="002060"/>
            <w:vAlign w:val="center"/>
            <w:hideMark/>
          </w:tcPr>
          <w:p w:rsidRPr="00AE1B2B" w:rsidR="009D3FB5" w:rsidP="00163B94" w:rsidRDefault="009D3FB5" w14:paraId="4D76A3FC" w14:textId="77777777">
            <w:pPr>
              <w:spacing w:before="120" w:after="120"/>
              <w:jc w:val="both"/>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Personas Técnicas Judiciales de trámite</w:t>
            </w:r>
          </w:p>
        </w:tc>
      </w:tr>
      <w:tr w:rsidRPr="00AE1B2B" w:rsidR="00AE1B2B" w:rsidTr="009D3FB5" w14:paraId="6EF40B61" w14:textId="77777777">
        <w:trPr>
          <w:trHeight w:val="20"/>
          <w:jc w:val="center"/>
        </w:trPr>
        <w:tc>
          <w:tcPr>
            <w:tcW w:w="2647" w:type="pct"/>
            <w:shd w:val="clear" w:color="auto" w:fill="BFBFBF" w:themeFill="background1" w:themeFillShade="BF"/>
            <w:noWrap/>
            <w:vAlign w:val="center"/>
            <w:hideMark/>
          </w:tcPr>
          <w:p w:rsidRPr="00AE1B2B" w:rsidR="009D3FB5" w:rsidP="00163B94" w:rsidRDefault="009D3FB5" w14:paraId="07A8305A" w14:textId="77777777">
            <w:pPr>
              <w:spacing w:before="120" w:after="120"/>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mensual de Entrada 2015-2019 (estimado con desjudicialización)</w:t>
            </w:r>
          </w:p>
        </w:tc>
        <w:tc>
          <w:tcPr>
            <w:tcW w:w="1204" w:type="pct"/>
            <w:tcBorders>
              <w:top w:val="single" w:color="auto" w:sz="4" w:space="0"/>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5A53AC88"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322/3=107</w:t>
            </w:r>
          </w:p>
        </w:tc>
        <w:tc>
          <w:tcPr>
            <w:tcW w:w="1149" w:type="pct"/>
            <w:tcBorders>
              <w:top w:val="single" w:color="auto" w:sz="4" w:space="0"/>
              <w:left w:val="nil"/>
              <w:bottom w:val="single" w:color="auto" w:sz="4" w:space="0"/>
              <w:right w:val="single" w:color="auto" w:sz="4" w:space="0"/>
            </w:tcBorders>
            <w:shd w:val="clear" w:color="auto" w:fill="auto"/>
            <w:noWrap/>
            <w:vAlign w:val="center"/>
          </w:tcPr>
          <w:p w:rsidRPr="00AE1B2B" w:rsidR="009D3FB5" w:rsidP="00163B94" w:rsidRDefault="009D3FB5" w14:paraId="570ED451"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322/5=64</w:t>
            </w:r>
          </w:p>
        </w:tc>
      </w:tr>
      <w:tr w:rsidRPr="00AE1B2B" w:rsidR="00AE1B2B" w:rsidTr="009D3FB5" w14:paraId="79A3AFEA" w14:textId="77777777">
        <w:trPr>
          <w:trHeight w:val="20"/>
          <w:jc w:val="center"/>
        </w:trPr>
        <w:tc>
          <w:tcPr>
            <w:tcW w:w="2647" w:type="pct"/>
            <w:shd w:val="clear" w:color="auto" w:fill="BFBFBF" w:themeFill="background1" w:themeFillShade="BF"/>
            <w:noWrap/>
            <w:vAlign w:val="center"/>
            <w:hideMark/>
          </w:tcPr>
          <w:p w:rsidRPr="00AE1B2B" w:rsidR="009D3FB5" w:rsidP="00163B94" w:rsidRDefault="009D3FB5" w14:paraId="23656DEB" w14:textId="77777777">
            <w:pPr>
              <w:spacing w:before="120" w:after="120"/>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mensual de terminado 2015-2019</w:t>
            </w:r>
          </w:p>
        </w:tc>
        <w:tc>
          <w:tcPr>
            <w:tcW w:w="1204" w:type="pct"/>
            <w:tcBorders>
              <w:top w:val="single" w:color="auto" w:sz="4" w:space="0"/>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05369695"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417/3=139</w:t>
            </w:r>
          </w:p>
        </w:tc>
        <w:tc>
          <w:tcPr>
            <w:tcW w:w="1149" w:type="pct"/>
            <w:tcBorders>
              <w:top w:val="single" w:color="auto" w:sz="4" w:space="0"/>
              <w:left w:val="nil"/>
              <w:bottom w:val="single" w:color="auto" w:sz="4" w:space="0"/>
              <w:right w:val="single" w:color="auto" w:sz="4" w:space="0"/>
            </w:tcBorders>
            <w:shd w:val="clear" w:color="auto" w:fill="auto"/>
            <w:noWrap/>
            <w:vAlign w:val="center"/>
          </w:tcPr>
          <w:p w:rsidRPr="00AE1B2B" w:rsidR="009D3FB5" w:rsidP="00163B94" w:rsidRDefault="009D3FB5" w14:paraId="1A3B8D2D" w14:textId="77777777">
            <w:pPr>
              <w:spacing w:before="120" w:after="120"/>
              <w:jc w:val="center"/>
              <w:rPr>
                <w:rFonts w:ascii="Times New Roman" w:hAnsi="Times New Roman" w:eastAsia="Times New Roman" w:cs="Times New Roman"/>
                <w:lang w:eastAsia="es-CR"/>
              </w:rPr>
            </w:pPr>
            <w:r w:rsidRPr="00AE1B2B">
              <w:rPr>
                <w:rFonts w:ascii="Times New Roman" w:hAnsi="Times New Roman" w:cs="Times New Roman"/>
              </w:rPr>
              <w:t>417/5=83</w:t>
            </w:r>
          </w:p>
        </w:tc>
      </w:tr>
      <w:tr w:rsidRPr="00AE1B2B" w:rsidR="00AE1B2B" w:rsidTr="009D3FB5" w14:paraId="24087741" w14:textId="77777777">
        <w:trPr>
          <w:trHeight w:val="20"/>
          <w:jc w:val="center"/>
        </w:trPr>
        <w:tc>
          <w:tcPr>
            <w:tcW w:w="2647" w:type="pct"/>
            <w:shd w:val="clear" w:color="auto" w:fill="BFBFBF" w:themeFill="background1" w:themeFillShade="BF"/>
            <w:noWrap/>
            <w:vAlign w:val="center"/>
          </w:tcPr>
          <w:p w:rsidRPr="00AE1B2B" w:rsidR="009D3FB5" w:rsidP="00163B94" w:rsidRDefault="009D3FB5" w14:paraId="17A0A988" w14:textId="77777777">
            <w:pPr>
              <w:spacing w:before="120" w:after="120"/>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Circulante al finalizar el 2019</w:t>
            </w:r>
          </w:p>
        </w:tc>
        <w:tc>
          <w:tcPr>
            <w:tcW w:w="2353" w:type="pct"/>
            <w:gridSpan w:val="2"/>
            <w:shd w:val="clear" w:color="auto" w:fill="auto"/>
            <w:noWrap/>
            <w:vAlign w:val="bottom"/>
          </w:tcPr>
          <w:p w:rsidRPr="00AE1B2B" w:rsidR="009D3FB5" w:rsidP="00163B94" w:rsidRDefault="009D3FB5" w14:paraId="0994944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1340</w:t>
            </w:r>
          </w:p>
        </w:tc>
      </w:tr>
      <w:tr w:rsidRPr="00AE1B2B" w:rsidR="00AE1B2B" w:rsidTr="009D3FB5" w14:paraId="29FDE018" w14:textId="77777777">
        <w:trPr>
          <w:trHeight w:val="20"/>
          <w:jc w:val="center"/>
        </w:trPr>
        <w:tc>
          <w:tcPr>
            <w:tcW w:w="2647" w:type="pct"/>
            <w:shd w:val="clear" w:color="auto" w:fill="BFBFBF" w:themeFill="background1" w:themeFillShade="BF"/>
            <w:noWrap/>
            <w:vAlign w:val="center"/>
            <w:hideMark/>
          </w:tcPr>
          <w:p w:rsidRPr="00AE1B2B" w:rsidR="009D3FB5" w:rsidP="00163B94" w:rsidRDefault="009D3FB5" w14:paraId="73D3B2D4" w14:textId="77777777">
            <w:pPr>
              <w:spacing w:before="120" w:after="120"/>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Relación Salida Entrada</w:t>
            </w:r>
          </w:p>
        </w:tc>
        <w:tc>
          <w:tcPr>
            <w:tcW w:w="2353" w:type="pct"/>
            <w:gridSpan w:val="2"/>
            <w:shd w:val="clear" w:color="auto" w:fill="auto"/>
            <w:noWrap/>
            <w:vAlign w:val="bottom"/>
            <w:hideMark/>
          </w:tcPr>
          <w:p w:rsidRPr="00AE1B2B" w:rsidR="009D3FB5" w:rsidP="00163B94" w:rsidRDefault="009D3FB5" w14:paraId="1B80746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129% </w:t>
            </w:r>
          </w:p>
        </w:tc>
      </w:tr>
      <w:tr w:rsidRPr="00AE1B2B" w:rsidR="00AE1B2B" w:rsidTr="009D3FB5" w14:paraId="78901464" w14:textId="77777777">
        <w:trPr>
          <w:trHeight w:val="20"/>
          <w:jc w:val="center"/>
        </w:trPr>
        <w:tc>
          <w:tcPr>
            <w:tcW w:w="2647" w:type="pct"/>
            <w:shd w:val="clear" w:color="auto" w:fill="BFBFBF" w:themeFill="background1" w:themeFillShade="BF"/>
            <w:noWrap/>
            <w:vAlign w:val="center"/>
            <w:hideMark/>
          </w:tcPr>
          <w:p w:rsidRPr="00AE1B2B" w:rsidR="009D3FB5" w:rsidP="00163B94" w:rsidRDefault="009D3FB5" w14:paraId="0B8AC24D" w14:textId="77777777">
            <w:pPr>
              <w:spacing w:before="120" w:after="120"/>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personas con que cuenta el despacho</w:t>
            </w:r>
          </w:p>
        </w:tc>
        <w:tc>
          <w:tcPr>
            <w:tcW w:w="1204" w:type="pct"/>
            <w:shd w:val="clear" w:color="auto" w:fill="auto"/>
            <w:noWrap/>
            <w:vAlign w:val="center"/>
            <w:hideMark/>
          </w:tcPr>
          <w:p w:rsidRPr="00AE1B2B" w:rsidR="009D3FB5" w:rsidP="00163B94" w:rsidRDefault="009D3FB5" w14:paraId="654CC5A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1149" w:type="pct"/>
            <w:shd w:val="clear" w:color="auto" w:fill="auto"/>
            <w:noWrap/>
            <w:vAlign w:val="center"/>
            <w:hideMark/>
          </w:tcPr>
          <w:p w:rsidRPr="00AE1B2B" w:rsidR="009D3FB5" w:rsidP="00163B94" w:rsidRDefault="009D3FB5" w14:paraId="4D48AFE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r>
      <w:tr w:rsidRPr="00AE1B2B" w:rsidR="00AE1B2B" w:rsidTr="009D3FB5" w14:paraId="0E10D39C" w14:textId="77777777">
        <w:trPr>
          <w:trHeight w:val="20"/>
          <w:jc w:val="center"/>
        </w:trPr>
        <w:tc>
          <w:tcPr>
            <w:tcW w:w="2647" w:type="pct"/>
            <w:shd w:val="clear" w:color="auto" w:fill="BFBFBF" w:themeFill="background1" w:themeFillShade="BF"/>
            <w:noWrap/>
            <w:vAlign w:val="center"/>
            <w:hideMark/>
          </w:tcPr>
          <w:p w:rsidRPr="00AE1B2B" w:rsidR="009D3FB5" w:rsidP="00163B94" w:rsidRDefault="009D3FB5" w14:paraId="4A6B2F5F" w14:textId="77777777">
            <w:pPr>
              <w:spacing w:before="120" w:after="120"/>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requerida de personas</w:t>
            </w:r>
          </w:p>
        </w:tc>
        <w:tc>
          <w:tcPr>
            <w:tcW w:w="1204" w:type="pct"/>
            <w:shd w:val="clear" w:color="auto" w:fill="auto"/>
            <w:noWrap/>
            <w:vAlign w:val="center"/>
            <w:hideMark/>
          </w:tcPr>
          <w:p w:rsidRPr="00AE1B2B" w:rsidR="009D3FB5" w:rsidP="00163B94" w:rsidRDefault="009D3FB5" w14:paraId="0D0530D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1149" w:type="pct"/>
            <w:shd w:val="clear" w:color="auto" w:fill="auto"/>
            <w:noWrap/>
            <w:vAlign w:val="center"/>
            <w:hideMark/>
          </w:tcPr>
          <w:p w:rsidRPr="00AE1B2B" w:rsidR="009D3FB5" w:rsidP="00163B94" w:rsidRDefault="009D3FB5" w14:paraId="1B2FA67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r>
      <w:tr w:rsidRPr="00AE1B2B" w:rsidR="00AE1B2B" w:rsidTr="009D3FB5" w14:paraId="6ACA417A" w14:textId="77777777">
        <w:trPr>
          <w:trHeight w:val="20"/>
          <w:jc w:val="center"/>
        </w:trPr>
        <w:tc>
          <w:tcPr>
            <w:tcW w:w="2647" w:type="pct"/>
            <w:shd w:val="clear" w:color="auto" w:fill="BFBFBF" w:themeFill="background1" w:themeFillShade="BF"/>
            <w:noWrap/>
            <w:vAlign w:val="center"/>
            <w:hideMark/>
          </w:tcPr>
          <w:p w:rsidRPr="00AE1B2B" w:rsidR="009D3FB5" w:rsidP="00163B94" w:rsidRDefault="009D3FB5" w14:paraId="3692AEA3" w14:textId="77777777">
            <w:pPr>
              <w:spacing w:before="120" w:after="120"/>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Variación</w:t>
            </w:r>
          </w:p>
        </w:tc>
        <w:tc>
          <w:tcPr>
            <w:tcW w:w="1204" w:type="pct"/>
            <w:shd w:val="clear" w:color="auto" w:fill="auto"/>
            <w:noWrap/>
            <w:vAlign w:val="center"/>
            <w:hideMark/>
          </w:tcPr>
          <w:p w:rsidRPr="00AE1B2B" w:rsidR="009D3FB5" w:rsidP="00163B94" w:rsidRDefault="009D3FB5" w14:paraId="3442681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1149" w:type="pct"/>
            <w:shd w:val="clear" w:color="auto" w:fill="auto"/>
            <w:noWrap/>
            <w:vAlign w:val="center"/>
            <w:hideMark/>
          </w:tcPr>
          <w:p w:rsidRPr="00AE1B2B" w:rsidR="009D3FB5" w:rsidP="00163B94" w:rsidRDefault="009D3FB5" w14:paraId="729F77F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r>
    </w:tbl>
    <w:p w:rsidRPr="00AE1B2B" w:rsidR="009D3FB5" w:rsidP="00163B94" w:rsidRDefault="009D3FB5" w14:paraId="6C3EE42C"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 con base en datos de Cuadros Estadísticos del Sub proceso de Estadística de la Dirección de Planificación.</w:t>
      </w:r>
    </w:p>
    <w:p w:rsidRPr="00AE1B2B" w:rsidR="009D3FB5" w:rsidP="00163B94" w:rsidRDefault="009D3FB5" w14:paraId="43C459C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EB41EFF" w14:textId="6C3C190C">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Los cálculos de la cantidad estimada de recurso humano requerido sugieren incluir una cuarta plaza de persona juzgadora y dos personas técnicas judiciales en este despacho para completar su estructura óptima conforme a la carga de trabajo proyectada. Situación que en el caso específico del Juzgado de Familia de Cartago y debido al </w:t>
      </w:r>
      <w:r w:rsidRPr="00AE1B2B" w:rsidDel="000A7C24">
        <w:rPr>
          <w:rFonts w:ascii="Times New Roman" w:hAnsi="Times New Roman" w:cs="Times New Roman"/>
          <w:sz w:val="26"/>
          <w:szCs w:val="26"/>
        </w:rPr>
        <w:t xml:space="preserve">excelente </w:t>
      </w:r>
      <w:r w:rsidRPr="00AE1B2B">
        <w:rPr>
          <w:rFonts w:ascii="Times New Roman" w:hAnsi="Times New Roman" w:cs="Times New Roman"/>
          <w:sz w:val="26"/>
          <w:szCs w:val="26"/>
        </w:rPr>
        <w:t>rendimiento de las personas juzgadoras a través del tiempo, registrando en promedio 139 casos terminados por Jueza o Juez, un 87% superior al valor promedio registrado por los demás despachos para las personas juzgadoras (75), razón por la que</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no se considera necesario la inclusión de este nuevo recurso. Lo anterior bajo el entendido que no se varíe el recurso humano (Juezas o Jueces) en este despacho, situación que, si se diera, entonces se requeriría una </w:t>
      </w:r>
      <w:r w:rsidRPr="00AE1B2B">
        <w:rPr>
          <w:rFonts w:ascii="Times New Roman" w:hAnsi="Times New Roman" w:cs="Times New Roman"/>
          <w:sz w:val="26"/>
          <w:szCs w:val="26"/>
        </w:rPr>
        <w:lastRenderedPageBreak/>
        <w:t>nueva valoración de condiciones para justificar o no la necesidad de incluir la persona juzgadora identificada anteriormente para completar la estructura de trabajo.</w:t>
      </w:r>
    </w:p>
    <w:p w:rsidRPr="00AE1B2B" w:rsidR="009D3FB5" w:rsidP="00163B94" w:rsidRDefault="009D3FB5" w14:paraId="3F160D5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compara la entrada mensual una vez que se desjudicialicen procesos y se divide contra 74 asuntos por plaza de Judicatura y 47 por persona Técnica Judicial, para obtener la cantidad de recurso humano que se necesita.</w:t>
      </w:r>
    </w:p>
    <w:p w:rsidRPr="00AE1B2B" w:rsidR="009D3FB5" w:rsidP="00163B94" w:rsidRDefault="009D3FB5" w14:paraId="4C0A308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DF54D5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caso de las personas técnicas judiciales se estima que por la cantidad de casos entrados al mes por este despacho se debe incluir dos plazas de personas técnicas judiciales, quedando de la siguiente forma:</w:t>
      </w:r>
    </w:p>
    <w:p w:rsidRPr="00AE1B2B" w:rsidR="009D3FB5" w:rsidP="00163B94" w:rsidRDefault="009D3FB5" w14:paraId="06A3E9D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94E35D8" w14:textId="68B35E85">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24</w:t>
      </w:r>
      <w:r w:rsidRPr="00AE1B2B">
        <w:rPr>
          <w:rFonts w:ascii="Times New Roman" w:hAnsi="Times New Roman" w:cs="Times New Roman"/>
          <w:sz w:val="26"/>
          <w:szCs w:val="26"/>
        </w:rPr>
        <w:fldChar w:fldCharType="end"/>
      </w:r>
    </w:p>
    <w:p w:rsidRPr="00AE1B2B" w:rsidR="009D3FB5" w:rsidP="00163B94" w:rsidRDefault="009D3FB5" w14:paraId="2874726B"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Estructura propuesta Juzgado de Familia de Cartago.</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979"/>
        <w:gridCol w:w="3120"/>
        <w:gridCol w:w="3729"/>
      </w:tblGrid>
      <w:tr w:rsidRPr="00AE1B2B" w:rsidR="00AE1B2B" w:rsidTr="009D3FB5" w14:paraId="5BCCBB3F" w14:textId="77777777">
        <w:trPr>
          <w:tblHeader/>
          <w:jc w:val="center"/>
        </w:trPr>
        <w:tc>
          <w:tcPr>
            <w:tcW w:w="1121" w:type="pct"/>
            <w:shd w:val="clear" w:color="auto" w:fill="002060"/>
            <w:vAlign w:val="center"/>
          </w:tcPr>
          <w:p w:rsidRPr="00AE1B2B" w:rsidR="009D3FB5" w:rsidP="00163B94" w:rsidRDefault="009D3FB5" w14:paraId="16562946" w14:textId="77777777">
            <w:pPr>
              <w:spacing w:before="120" w:after="120" w:line="276" w:lineRule="auto"/>
              <w:jc w:val="center"/>
              <w:rPr>
                <w:rFonts w:ascii="Times New Roman" w:hAnsi="Times New Roman" w:cs="Times New Roman"/>
                <w:b/>
                <w:bCs/>
              </w:rPr>
            </w:pPr>
            <w:r w:rsidRPr="00AE1B2B">
              <w:rPr>
                <w:rFonts w:ascii="Times New Roman" w:hAnsi="Times New Roman" w:cs="Times New Roman"/>
                <w:b/>
                <w:bCs/>
              </w:rPr>
              <w:t>Despacho</w:t>
            </w:r>
          </w:p>
        </w:tc>
        <w:tc>
          <w:tcPr>
            <w:tcW w:w="1767" w:type="pct"/>
            <w:shd w:val="clear" w:color="auto" w:fill="002060"/>
            <w:vAlign w:val="center"/>
          </w:tcPr>
          <w:p w:rsidRPr="00AE1B2B" w:rsidR="009D3FB5" w:rsidP="00163B94" w:rsidRDefault="009D3FB5" w14:paraId="027A10F7" w14:textId="77777777">
            <w:pPr>
              <w:spacing w:before="120" w:after="120" w:line="276" w:lineRule="auto"/>
              <w:jc w:val="center"/>
              <w:rPr>
                <w:rFonts w:ascii="Times New Roman" w:hAnsi="Times New Roman" w:cs="Times New Roman"/>
                <w:b/>
                <w:bCs/>
              </w:rPr>
            </w:pPr>
            <w:r w:rsidRPr="00AE1B2B">
              <w:rPr>
                <w:rFonts w:ascii="Times New Roman" w:hAnsi="Times New Roman" w:cs="Times New Roman"/>
                <w:b/>
                <w:bCs/>
              </w:rPr>
              <w:t>Estructura orgánica funcional actual del despacho</w:t>
            </w:r>
          </w:p>
        </w:tc>
        <w:tc>
          <w:tcPr>
            <w:tcW w:w="2113" w:type="pct"/>
            <w:shd w:val="clear" w:color="auto" w:fill="002060"/>
            <w:vAlign w:val="center"/>
          </w:tcPr>
          <w:p w:rsidRPr="00AE1B2B" w:rsidR="009D3FB5" w:rsidP="00163B94" w:rsidRDefault="009D3FB5" w14:paraId="1FE97F7E" w14:textId="77777777">
            <w:pPr>
              <w:spacing w:before="120" w:after="120" w:line="276" w:lineRule="auto"/>
              <w:jc w:val="center"/>
              <w:rPr>
                <w:rFonts w:ascii="Times New Roman" w:hAnsi="Times New Roman" w:cs="Times New Roman"/>
                <w:b/>
              </w:rPr>
            </w:pPr>
            <w:r w:rsidRPr="00AE1B2B">
              <w:rPr>
                <w:rFonts w:ascii="Times New Roman" w:hAnsi="Times New Roman" w:cs="Times New Roman"/>
                <w:b/>
              </w:rPr>
              <w:t>Estructura Propuesta</w:t>
            </w:r>
          </w:p>
        </w:tc>
      </w:tr>
      <w:tr w:rsidRPr="00AE1B2B" w:rsidR="00AE1B2B" w:rsidTr="009D3FB5" w14:paraId="05D0EBFC" w14:textId="77777777">
        <w:trPr>
          <w:jc w:val="center"/>
        </w:trPr>
        <w:tc>
          <w:tcPr>
            <w:tcW w:w="1121" w:type="pct"/>
            <w:shd w:val="clear" w:color="auto" w:fill="auto"/>
            <w:vAlign w:val="center"/>
          </w:tcPr>
          <w:p w:rsidRPr="00AE1B2B" w:rsidR="009D3FB5" w:rsidP="00163B94" w:rsidRDefault="009D3FB5" w14:paraId="583852C0" w14:textId="77777777">
            <w:pPr>
              <w:spacing w:before="120" w:after="120" w:line="276" w:lineRule="auto"/>
              <w:rPr>
                <w:rFonts w:ascii="Times New Roman" w:hAnsi="Times New Roman" w:cs="Times New Roman"/>
              </w:rPr>
            </w:pPr>
            <w:r w:rsidRPr="00AE1B2B">
              <w:rPr>
                <w:rFonts w:ascii="Times New Roman" w:hAnsi="Times New Roman" w:cs="Times New Roman"/>
              </w:rPr>
              <w:t>Juzgado de Familia de Cartago</w:t>
            </w:r>
          </w:p>
        </w:tc>
        <w:tc>
          <w:tcPr>
            <w:tcW w:w="1767" w:type="pct"/>
            <w:shd w:val="clear" w:color="auto" w:fill="auto"/>
            <w:vAlign w:val="center"/>
          </w:tcPr>
          <w:p w:rsidRPr="00AE1B2B" w:rsidR="009D3FB5" w:rsidP="00163B94" w:rsidRDefault="009D3FB5" w14:paraId="03CB7B0D" w14:textId="77777777">
            <w:pPr>
              <w:spacing w:before="120" w:after="120" w:line="276" w:lineRule="auto"/>
              <w:rPr>
                <w:rFonts w:ascii="Times New Roman" w:hAnsi="Times New Roman" w:cs="Times New Roman"/>
              </w:rPr>
            </w:pPr>
            <w:r w:rsidRPr="00AE1B2B">
              <w:rPr>
                <w:rFonts w:ascii="Times New Roman" w:hAnsi="Times New Roman" w:cs="Times New Roman"/>
              </w:rPr>
              <w:t>3 Juezas/ces 3</w:t>
            </w:r>
          </w:p>
          <w:p w:rsidRPr="00AE1B2B" w:rsidR="009D3FB5" w:rsidP="00163B94" w:rsidRDefault="009D3FB5" w14:paraId="303C5965" w14:textId="77777777">
            <w:pPr>
              <w:spacing w:before="120" w:after="120" w:line="276" w:lineRule="auto"/>
              <w:rPr>
                <w:rFonts w:ascii="Times New Roman" w:hAnsi="Times New Roman" w:cs="Times New Roman"/>
              </w:rPr>
            </w:pPr>
            <w:r w:rsidRPr="00AE1B2B">
              <w:rPr>
                <w:rFonts w:ascii="Times New Roman" w:hAnsi="Times New Roman" w:cs="Times New Roman"/>
              </w:rPr>
              <w:t>1 Coordinadora/or Judicial 2</w:t>
            </w:r>
          </w:p>
          <w:p w:rsidRPr="00AE1B2B" w:rsidR="009D3FB5" w:rsidP="00163B94" w:rsidRDefault="009D3FB5" w14:paraId="163E4FF6" w14:textId="77777777">
            <w:pPr>
              <w:spacing w:before="120" w:after="120" w:line="276" w:lineRule="auto"/>
              <w:rPr>
                <w:rFonts w:ascii="Times New Roman" w:hAnsi="Times New Roman" w:cs="Times New Roman"/>
              </w:rPr>
            </w:pPr>
            <w:r w:rsidRPr="00AE1B2B">
              <w:rPr>
                <w:rFonts w:ascii="Times New Roman" w:hAnsi="Times New Roman" w:cs="Times New Roman"/>
              </w:rPr>
              <w:t>6 Técnicas/os Judiciales 2</w:t>
            </w:r>
          </w:p>
        </w:tc>
        <w:tc>
          <w:tcPr>
            <w:tcW w:w="2113" w:type="pct"/>
            <w:vAlign w:val="center"/>
          </w:tcPr>
          <w:p w:rsidRPr="00AE1B2B" w:rsidR="009D3FB5" w:rsidP="00163B94" w:rsidRDefault="009D3FB5" w14:paraId="6F8E42CB" w14:textId="77777777">
            <w:pPr>
              <w:spacing w:before="120" w:after="120" w:line="276" w:lineRule="auto"/>
              <w:rPr>
                <w:rFonts w:ascii="Times New Roman" w:hAnsi="Times New Roman" w:cs="Times New Roman"/>
              </w:rPr>
            </w:pPr>
            <w:r w:rsidRPr="00AE1B2B">
              <w:rPr>
                <w:rFonts w:ascii="Times New Roman" w:hAnsi="Times New Roman" w:cs="Times New Roman"/>
              </w:rPr>
              <w:t>3 Juezas/ces 3</w:t>
            </w:r>
          </w:p>
          <w:p w:rsidRPr="00AE1B2B" w:rsidR="009D3FB5" w:rsidP="00163B94" w:rsidRDefault="009D3FB5" w14:paraId="3FA548F4" w14:textId="77777777">
            <w:pPr>
              <w:spacing w:before="120" w:after="120" w:line="276" w:lineRule="auto"/>
              <w:rPr>
                <w:rFonts w:ascii="Times New Roman" w:hAnsi="Times New Roman" w:cs="Times New Roman"/>
              </w:rPr>
            </w:pPr>
            <w:r w:rsidRPr="00AE1B2B">
              <w:rPr>
                <w:rFonts w:ascii="Times New Roman" w:hAnsi="Times New Roman" w:cs="Times New Roman"/>
              </w:rPr>
              <w:t>1 Coordinadora/or Judicial 2</w:t>
            </w:r>
          </w:p>
          <w:p w:rsidRPr="00AE1B2B" w:rsidR="009D3FB5" w:rsidP="00163B94" w:rsidRDefault="009D3FB5" w14:paraId="42EC7F00" w14:textId="77777777">
            <w:pPr>
              <w:spacing w:before="120" w:after="120" w:line="276" w:lineRule="auto"/>
              <w:rPr>
                <w:rFonts w:ascii="Times New Roman" w:hAnsi="Times New Roman" w:cs="Times New Roman"/>
              </w:rPr>
            </w:pPr>
            <w:r w:rsidRPr="00AE1B2B">
              <w:rPr>
                <w:rFonts w:ascii="Times New Roman" w:hAnsi="Times New Roman" w:cs="Times New Roman"/>
              </w:rPr>
              <w:t>8 Técnicas/os Judiciales 2 (</w:t>
            </w:r>
            <w:r w:rsidRPr="00AE1B2B">
              <w:rPr>
                <w:rFonts w:ascii="Times New Roman" w:hAnsi="Times New Roman" w:cs="Times New Roman"/>
                <w:i/>
              </w:rPr>
              <w:t xml:space="preserve">deben </w:t>
            </w:r>
            <w:r w:rsidRPr="00AE1B2B">
              <w:rPr>
                <w:rFonts w:ascii="Times New Roman" w:hAnsi="Times New Roman" w:cs="Times New Roman"/>
                <w:i/>
                <w:iCs/>
              </w:rPr>
              <w:t>crearse</w:t>
            </w:r>
            <w:r w:rsidRPr="00AE1B2B">
              <w:rPr>
                <w:rFonts w:ascii="Times New Roman" w:hAnsi="Times New Roman" w:cs="Times New Roman"/>
                <w:i/>
              </w:rPr>
              <w:t xml:space="preserve"> dos plazas </w:t>
            </w:r>
            <w:r w:rsidRPr="00AE1B2B">
              <w:rPr>
                <w:rFonts w:ascii="Times New Roman" w:hAnsi="Times New Roman" w:cs="Times New Roman"/>
                <w:i/>
                <w:iCs/>
              </w:rPr>
              <w:t>de técnicas o técnicos judiciales 2</w:t>
            </w:r>
            <w:r w:rsidRPr="00AE1B2B">
              <w:rPr>
                <w:rFonts w:ascii="Times New Roman" w:hAnsi="Times New Roman" w:cs="Times New Roman"/>
              </w:rPr>
              <w:t>)</w:t>
            </w:r>
          </w:p>
        </w:tc>
      </w:tr>
    </w:tbl>
    <w:p w:rsidRPr="00AE1B2B" w:rsidR="009D3FB5" w:rsidP="00163B94" w:rsidRDefault="009D3FB5" w14:paraId="3AF9D2E0"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w:t>
      </w:r>
    </w:p>
    <w:p w:rsidRPr="00AE1B2B" w:rsidR="009D3FB5" w:rsidP="00163B94" w:rsidRDefault="009D3FB5" w14:paraId="1D1BBB4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BECA62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Esta propuesta en el Juzgado de Familia de Cartago conlleva la creación de dos plazas extraordinarias de Técnicos Judiciales 2 para completar la estructura de trabajo de este despacho, su impacto económico se calcula en el siguiente cuadro.</w:t>
      </w:r>
    </w:p>
    <w:p w:rsidRPr="00AE1B2B" w:rsidR="009D3FB5" w:rsidP="00163B94" w:rsidRDefault="009D3FB5" w14:paraId="50AFF13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8C51E1A" w14:textId="5A68FEF9">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25</w:t>
      </w:r>
      <w:r w:rsidRPr="00AE1B2B">
        <w:rPr>
          <w:rFonts w:ascii="Times New Roman" w:hAnsi="Times New Roman" w:cs="Times New Roman"/>
          <w:sz w:val="26"/>
          <w:szCs w:val="26"/>
        </w:rPr>
        <w:fldChar w:fldCharType="end"/>
      </w:r>
    </w:p>
    <w:p w:rsidRPr="00AE1B2B" w:rsidR="009D3FB5" w:rsidP="00163B94" w:rsidRDefault="009D3FB5" w14:paraId="0D20867E"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Costo de estructura propuesta Juzgado de Familia de Cartago.</w:t>
      </w:r>
    </w:p>
    <w:tbl>
      <w:tblPr>
        <w:tblW w:w="5406" w:type="pct"/>
        <w:tblCellMar>
          <w:left w:w="70" w:type="dxa"/>
          <w:right w:w="70" w:type="dxa"/>
        </w:tblCellMar>
        <w:tblLook w:val="04A0" w:firstRow="1" w:lastRow="0" w:firstColumn="1" w:lastColumn="0" w:noHBand="0" w:noVBand="1"/>
      </w:tblPr>
      <w:tblGrid>
        <w:gridCol w:w="1907"/>
        <w:gridCol w:w="1274"/>
        <w:gridCol w:w="1276"/>
        <w:gridCol w:w="1236"/>
        <w:gridCol w:w="2512"/>
        <w:gridCol w:w="1345"/>
      </w:tblGrid>
      <w:tr w:rsidRPr="00AE1B2B" w:rsidR="00AE1B2B" w:rsidTr="009D3FB5" w14:paraId="458A3DF6" w14:textId="77777777">
        <w:trPr>
          <w:cantSplit/>
          <w:trHeight w:val="634"/>
          <w:tblHeader/>
        </w:trPr>
        <w:tc>
          <w:tcPr>
            <w:tcW w:w="999" w:type="pct"/>
            <w:tcBorders>
              <w:bottom w:val="single" w:color="auto" w:sz="4" w:space="0"/>
              <w:right w:val="single" w:color="auto" w:sz="4" w:space="0"/>
            </w:tcBorders>
            <w:shd w:val="clear" w:color="auto" w:fill="auto"/>
            <w:vAlign w:val="bottom"/>
            <w:hideMark/>
          </w:tcPr>
          <w:p w:rsidRPr="00AE1B2B" w:rsidR="009D3FB5" w:rsidP="00163B94" w:rsidRDefault="009D3FB5" w14:paraId="33D44858" w14:textId="77777777">
            <w:pPr>
              <w:spacing w:before="120" w:after="120" w:line="276" w:lineRule="auto"/>
              <w:rPr>
                <w:rFonts w:ascii="Times New Roman" w:hAnsi="Times New Roman" w:eastAsia="Times New Roman" w:cs="Times New Roman"/>
                <w:lang w:eastAsia="es-CR"/>
              </w:rPr>
            </w:pPr>
          </w:p>
        </w:tc>
        <w:tc>
          <w:tcPr>
            <w:tcW w:w="667" w:type="pct"/>
            <w:tcBorders>
              <w:bottom w:val="single" w:color="auto" w:sz="4" w:space="0"/>
              <w:right w:val="nil"/>
            </w:tcBorders>
            <w:shd w:val="clear" w:color="auto" w:fill="002060"/>
            <w:vAlign w:val="center"/>
          </w:tcPr>
          <w:p w:rsidRPr="00AE1B2B" w:rsidR="009D3FB5" w:rsidP="00163B94" w:rsidRDefault="009D3FB5" w14:paraId="71E83720" w14:textId="77777777">
            <w:pPr>
              <w:spacing w:before="120" w:after="120" w:line="276" w:lineRule="auto"/>
              <w:jc w:val="center"/>
              <w:rPr>
                <w:rFonts w:ascii="Times New Roman" w:hAnsi="Times New Roman" w:eastAsia="Times New Roman" w:cs="Times New Roman"/>
                <w:b/>
                <w:lang w:eastAsia="ar-SA"/>
              </w:rPr>
            </w:pPr>
            <w:r w:rsidRPr="00AE1B2B">
              <w:rPr>
                <w:rFonts w:ascii="Times New Roman" w:hAnsi="Times New Roman" w:eastAsia="Times New Roman" w:cs="Times New Roman"/>
                <w:b/>
                <w:bCs/>
                <w:lang w:eastAsia="ar-SA"/>
              </w:rPr>
              <w:t>Cantidad</w:t>
            </w:r>
          </w:p>
        </w:tc>
        <w:tc>
          <w:tcPr>
            <w:tcW w:w="668" w:type="pct"/>
            <w:tcBorders>
              <w:top w:val="single" w:color="auto" w:sz="4" w:space="0"/>
              <w:left w:val="nil"/>
              <w:bottom w:val="single" w:color="auto" w:sz="4" w:space="0"/>
              <w:right w:val="single" w:color="auto" w:sz="4" w:space="0"/>
            </w:tcBorders>
            <w:shd w:val="clear" w:color="auto" w:fill="002060"/>
            <w:vAlign w:val="center"/>
            <w:hideMark/>
          </w:tcPr>
          <w:p w:rsidRPr="00AE1B2B" w:rsidR="009D3FB5" w:rsidP="00163B94" w:rsidRDefault="009D3FB5" w14:paraId="7497BAB0"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ar-SA"/>
              </w:rPr>
              <w:t>Clase ancha</w:t>
            </w:r>
          </w:p>
        </w:tc>
        <w:tc>
          <w:tcPr>
            <w:tcW w:w="647" w:type="pct"/>
            <w:tcBorders>
              <w:top w:val="single" w:color="auto" w:sz="4" w:space="0"/>
              <w:left w:val="nil"/>
              <w:bottom w:val="single" w:color="auto" w:sz="4" w:space="0"/>
              <w:right w:val="single" w:color="auto" w:sz="4" w:space="0"/>
            </w:tcBorders>
            <w:shd w:val="clear" w:color="auto" w:fill="002060"/>
            <w:vAlign w:val="center"/>
            <w:hideMark/>
          </w:tcPr>
          <w:p w:rsidRPr="00AE1B2B" w:rsidR="009D3FB5" w:rsidP="00163B94" w:rsidRDefault="009D3FB5" w14:paraId="7BE1D9B6"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ar-SA"/>
              </w:rPr>
              <w:t>Clase angosta</w:t>
            </w:r>
          </w:p>
        </w:tc>
        <w:tc>
          <w:tcPr>
            <w:tcW w:w="1315" w:type="pct"/>
            <w:tcBorders>
              <w:top w:val="single" w:color="auto" w:sz="4" w:space="0"/>
              <w:left w:val="nil"/>
              <w:bottom w:val="single" w:color="auto" w:sz="4" w:space="0"/>
              <w:right w:val="single" w:color="auto" w:sz="4" w:space="0"/>
            </w:tcBorders>
            <w:shd w:val="clear" w:color="auto" w:fill="002060"/>
            <w:vAlign w:val="center"/>
            <w:hideMark/>
          </w:tcPr>
          <w:p w:rsidRPr="00AE1B2B" w:rsidR="009D3FB5" w:rsidP="00163B94" w:rsidRDefault="009D3FB5" w14:paraId="226A0AFD"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ar-SA"/>
              </w:rPr>
              <w:t>Costo del puesto anual</w:t>
            </w:r>
          </w:p>
        </w:tc>
        <w:tc>
          <w:tcPr>
            <w:tcW w:w="705" w:type="pct"/>
            <w:tcBorders>
              <w:top w:val="single" w:color="auto" w:sz="4" w:space="0"/>
              <w:left w:val="nil"/>
              <w:bottom w:val="single" w:color="auto" w:sz="4" w:space="0"/>
              <w:right w:val="single" w:color="auto" w:sz="4" w:space="0"/>
            </w:tcBorders>
            <w:shd w:val="clear" w:color="auto" w:fill="002060"/>
            <w:vAlign w:val="center"/>
            <w:hideMark/>
          </w:tcPr>
          <w:p w:rsidRPr="00AE1B2B" w:rsidR="009D3FB5" w:rsidP="00163B94" w:rsidRDefault="009D3FB5" w14:paraId="593446BA"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ar-SA"/>
              </w:rPr>
              <w:t>Costo total</w:t>
            </w:r>
          </w:p>
        </w:tc>
      </w:tr>
      <w:tr w:rsidRPr="00AE1B2B" w:rsidR="00AE1B2B" w:rsidTr="009D3FB5" w14:paraId="775D21DF" w14:textId="77777777">
        <w:trPr>
          <w:trHeight w:val="473"/>
        </w:trPr>
        <w:tc>
          <w:tcPr>
            <w:tcW w:w="999" w:type="pct"/>
            <w:tcBorders>
              <w:top w:val="nil"/>
              <w:left w:val="single" w:color="auto" w:sz="4" w:space="0"/>
              <w:bottom w:val="single" w:color="auto" w:sz="4" w:space="0"/>
              <w:right w:val="single" w:color="auto" w:sz="4" w:space="0"/>
            </w:tcBorders>
            <w:shd w:val="clear" w:color="auto" w:fill="002060"/>
            <w:vAlign w:val="center"/>
          </w:tcPr>
          <w:p w:rsidRPr="00AE1B2B" w:rsidR="009D3FB5" w:rsidP="00163B94" w:rsidRDefault="009D3FB5" w14:paraId="6377F1E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cs="Times New Roman"/>
                <w:b/>
              </w:rPr>
              <w:t>Plaza nueva extraordinaria</w:t>
            </w:r>
          </w:p>
        </w:tc>
        <w:tc>
          <w:tcPr>
            <w:tcW w:w="667" w:type="pct"/>
            <w:tcBorders>
              <w:top w:val="single" w:color="auto" w:sz="4" w:space="0"/>
              <w:left w:val="nil"/>
              <w:bottom w:val="single" w:color="auto" w:sz="4" w:space="0"/>
              <w:right w:val="single" w:color="auto" w:sz="4" w:space="0"/>
            </w:tcBorders>
            <w:vAlign w:val="center"/>
          </w:tcPr>
          <w:p w:rsidRPr="00AE1B2B" w:rsidR="009D3FB5" w:rsidP="00163B94" w:rsidRDefault="009D3FB5" w14:paraId="0B878469"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2</w:t>
            </w:r>
          </w:p>
        </w:tc>
        <w:tc>
          <w:tcPr>
            <w:tcW w:w="668" w:type="pct"/>
            <w:tcBorders>
              <w:top w:val="single" w:color="auto" w:sz="4" w:space="0"/>
              <w:left w:val="single" w:color="auto" w:sz="4" w:space="0"/>
              <w:bottom w:val="single" w:color="auto" w:sz="4" w:space="0"/>
              <w:right w:val="single" w:color="auto" w:sz="4" w:space="0"/>
            </w:tcBorders>
            <w:shd w:val="clear" w:color="auto" w:fill="auto"/>
            <w:vAlign w:val="center"/>
          </w:tcPr>
          <w:p w:rsidRPr="00AE1B2B" w:rsidR="009D3FB5" w:rsidP="00163B94" w:rsidRDefault="009D3FB5" w14:paraId="68EF55AE" w14:textId="77777777">
            <w:pPr>
              <w:spacing w:before="120" w:after="120" w:line="276" w:lineRule="auto"/>
              <w:jc w:val="center"/>
              <w:rPr>
                <w:rFonts w:ascii="Times New Roman" w:hAnsi="Times New Roman" w:eastAsia="Times New Roman" w:cs="Times New Roman"/>
                <w:lang w:eastAsia="ar-SA"/>
              </w:rPr>
            </w:pPr>
            <w:r w:rsidRPr="00AE1B2B">
              <w:rPr>
                <w:rFonts w:ascii="Times New Roman" w:hAnsi="Times New Roman" w:cs="Times New Roman"/>
              </w:rPr>
              <w:t>Técnico Judicial 2</w:t>
            </w:r>
          </w:p>
        </w:tc>
        <w:tc>
          <w:tcPr>
            <w:tcW w:w="647"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40B6F47D" w14:textId="77777777">
            <w:pPr>
              <w:spacing w:before="120" w:after="120" w:line="276" w:lineRule="auto"/>
              <w:jc w:val="center"/>
              <w:rPr>
                <w:rFonts w:ascii="Times New Roman" w:hAnsi="Times New Roman" w:eastAsia="Times New Roman" w:cs="Times New Roman"/>
                <w:lang w:eastAsia="ar-SA"/>
              </w:rPr>
            </w:pPr>
            <w:r w:rsidRPr="00AE1B2B">
              <w:rPr>
                <w:rFonts w:ascii="Times New Roman" w:hAnsi="Times New Roman" w:cs="Times New Roman"/>
              </w:rPr>
              <w:t>Técnico Judicial</w:t>
            </w:r>
          </w:p>
        </w:tc>
        <w:tc>
          <w:tcPr>
            <w:tcW w:w="131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45CE380D" w14:textId="77777777">
            <w:pPr>
              <w:spacing w:before="120" w:after="120" w:line="276" w:lineRule="auto"/>
              <w:jc w:val="center"/>
              <w:rPr>
                <w:rFonts w:ascii="Times New Roman" w:hAnsi="Times New Roman" w:eastAsia="Times New Roman" w:cs="Times New Roman"/>
                <w:lang w:eastAsia="ar-SA"/>
              </w:rPr>
            </w:pPr>
            <w:r w:rsidRPr="00AE1B2B">
              <w:rPr>
                <w:rFonts w:ascii="Times New Roman" w:hAnsi="Times New Roman" w:cs="Times New Roman"/>
              </w:rPr>
              <w:t>₡14.520.000</w:t>
            </w:r>
          </w:p>
        </w:tc>
        <w:tc>
          <w:tcPr>
            <w:tcW w:w="70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13491FF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₡29.040. 000</w:t>
            </w:r>
          </w:p>
        </w:tc>
      </w:tr>
    </w:tbl>
    <w:p w:rsidRPr="00AE1B2B" w:rsidR="009D3FB5" w:rsidP="00163B94" w:rsidRDefault="009D3FB5" w14:paraId="4AE9569B"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Modernización Institucional de la Dirección de Planificación. </w:t>
      </w:r>
    </w:p>
    <w:p w:rsidRPr="00AE1B2B" w:rsidR="009D3FB5" w:rsidP="00163B94" w:rsidRDefault="009D3FB5" w14:paraId="74AC560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26DC6C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costo anual para hacerle frente a la inclusión de los nuevos puestos extraordinarios es de ₡29.040.000.</w:t>
      </w:r>
    </w:p>
    <w:p w:rsidRPr="00AE1B2B" w:rsidR="009D3FB5" w:rsidP="00163B94" w:rsidRDefault="009D3FB5" w14:paraId="186E9D2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69090A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3093CB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 Familia del Segundo Circuito Judicial de Alajuela</w:t>
      </w:r>
    </w:p>
    <w:p w:rsidRPr="00AE1B2B" w:rsidR="009D3FB5" w:rsidP="00163B94" w:rsidRDefault="009D3FB5" w14:paraId="246A21BA" w14:textId="1D4A9E4B">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Juzgado Familia del Segundo Circuito Judicial de Alajuela, San Carlos, registra en promedio 61 casos terminados por Jueza o Juez , lo que representa un 10% inferior al promedio de los demás despachos especializados en materia Familia. En el caso de los técnicos, con una entrada mensual de 47 asuntos por plaza se ajustan al promedio nacional.</w:t>
      </w:r>
      <w:r w:rsidRPr="00AE1B2B" w:rsidR="00BB7720">
        <w:rPr>
          <w:rFonts w:ascii="Times New Roman" w:hAnsi="Times New Roman" w:cs="Times New Roman"/>
          <w:sz w:val="26"/>
          <w:szCs w:val="26"/>
        </w:rPr>
        <w:t xml:space="preserve"> </w:t>
      </w:r>
    </w:p>
    <w:p w:rsidRPr="00AE1B2B" w:rsidR="009D3FB5" w:rsidP="00163B94" w:rsidRDefault="009D3FB5" w14:paraId="169CA4B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compara la entrada mensual una vez que se desjudicialicen procesos y se divide contra 74 asuntos por plaza de Judicatura y 47 por persona Técnica Judicial, para obtener la cantidad de recurso humano que se necesita.</w:t>
      </w:r>
    </w:p>
    <w:p w:rsidRPr="00AE1B2B" w:rsidR="009D3FB5" w:rsidP="00163B94" w:rsidRDefault="009D3FB5" w14:paraId="12684A5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5F8AC1E" w14:textId="3D416825">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26</w:t>
      </w:r>
      <w:r w:rsidRPr="00AE1B2B">
        <w:rPr>
          <w:rFonts w:ascii="Times New Roman" w:hAnsi="Times New Roman" w:cs="Times New Roman"/>
          <w:sz w:val="26"/>
          <w:szCs w:val="26"/>
        </w:rPr>
        <w:fldChar w:fldCharType="end"/>
      </w:r>
    </w:p>
    <w:p w:rsidRPr="00AE1B2B" w:rsidR="009D3FB5" w:rsidP="00163B94" w:rsidRDefault="009D3FB5" w14:paraId="6FEFE3CC"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Análisis de carga de trabajo para el Juzgado Familia II Circuito Judicial de Alajuela</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4957"/>
        <w:gridCol w:w="1842"/>
        <w:gridCol w:w="2029"/>
      </w:tblGrid>
      <w:tr w:rsidRPr="00AE1B2B" w:rsidR="00AE1B2B" w:rsidTr="009D3FB5" w14:paraId="52688B0E" w14:textId="77777777">
        <w:trPr>
          <w:trHeight w:val="20"/>
          <w:tblHeader/>
          <w:jc w:val="center"/>
        </w:trPr>
        <w:tc>
          <w:tcPr>
            <w:tcW w:w="2808" w:type="pct"/>
            <w:shd w:val="clear" w:color="auto" w:fill="002060"/>
            <w:noWrap/>
            <w:vAlign w:val="center"/>
            <w:hideMark/>
          </w:tcPr>
          <w:p w:rsidRPr="00AE1B2B" w:rsidR="009D3FB5" w:rsidP="00163B94" w:rsidRDefault="009D3FB5" w14:paraId="6102EE5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II Circuito Judicial de Alajuela</w:t>
            </w:r>
          </w:p>
        </w:tc>
        <w:tc>
          <w:tcPr>
            <w:tcW w:w="1043" w:type="pct"/>
            <w:shd w:val="clear" w:color="auto" w:fill="002060"/>
            <w:vAlign w:val="center"/>
            <w:hideMark/>
          </w:tcPr>
          <w:p w:rsidRPr="00AE1B2B" w:rsidR="009D3FB5" w:rsidP="00163B94" w:rsidRDefault="009D3FB5" w14:paraId="487E425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Personas juzgadoras</w:t>
            </w:r>
          </w:p>
        </w:tc>
        <w:tc>
          <w:tcPr>
            <w:tcW w:w="1149" w:type="pct"/>
            <w:shd w:val="clear" w:color="auto" w:fill="002060"/>
            <w:vAlign w:val="center"/>
            <w:hideMark/>
          </w:tcPr>
          <w:p w:rsidRPr="00AE1B2B" w:rsidR="009D3FB5" w:rsidP="00163B94" w:rsidRDefault="009D3FB5" w14:paraId="2EC4E3E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Personas Técnicas Judiciales de trámite</w:t>
            </w:r>
          </w:p>
        </w:tc>
      </w:tr>
      <w:tr w:rsidRPr="00AE1B2B" w:rsidR="00AE1B2B" w:rsidTr="009D3FB5" w14:paraId="241934CF" w14:textId="77777777">
        <w:trPr>
          <w:trHeight w:val="20"/>
          <w:jc w:val="center"/>
        </w:trPr>
        <w:tc>
          <w:tcPr>
            <w:tcW w:w="2808" w:type="pct"/>
            <w:shd w:val="clear" w:color="auto" w:fill="BFBFBF" w:themeFill="background1" w:themeFillShade="BF"/>
            <w:noWrap/>
            <w:vAlign w:val="center"/>
            <w:hideMark/>
          </w:tcPr>
          <w:p w:rsidRPr="00AE1B2B" w:rsidR="009D3FB5" w:rsidP="00163B94" w:rsidRDefault="009D3FB5" w14:paraId="0FAB8C6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mensual de Entrada 2015-2019 (estimado con desjudicialización)</w:t>
            </w:r>
          </w:p>
        </w:tc>
        <w:tc>
          <w:tcPr>
            <w:tcW w:w="1043" w:type="pct"/>
            <w:tcBorders>
              <w:top w:val="single" w:color="auto" w:sz="4" w:space="0"/>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4335151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127/2=64</w:t>
            </w:r>
          </w:p>
        </w:tc>
        <w:tc>
          <w:tcPr>
            <w:tcW w:w="1149" w:type="pct"/>
            <w:tcBorders>
              <w:top w:val="single" w:color="auto" w:sz="4" w:space="0"/>
              <w:left w:val="nil"/>
              <w:bottom w:val="single" w:color="auto" w:sz="4" w:space="0"/>
              <w:right w:val="single" w:color="auto" w:sz="4" w:space="0"/>
            </w:tcBorders>
            <w:shd w:val="clear" w:color="auto" w:fill="auto"/>
            <w:noWrap/>
            <w:vAlign w:val="center"/>
          </w:tcPr>
          <w:p w:rsidRPr="00AE1B2B" w:rsidR="009D3FB5" w:rsidP="00163B94" w:rsidRDefault="009D3FB5" w14:paraId="6677FC5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127/2=64</w:t>
            </w:r>
          </w:p>
        </w:tc>
      </w:tr>
      <w:tr w:rsidRPr="00AE1B2B" w:rsidR="00AE1B2B" w:rsidTr="009D3FB5" w14:paraId="7748FA92" w14:textId="77777777">
        <w:trPr>
          <w:trHeight w:val="20"/>
          <w:jc w:val="center"/>
        </w:trPr>
        <w:tc>
          <w:tcPr>
            <w:tcW w:w="2808" w:type="pct"/>
            <w:shd w:val="clear" w:color="auto" w:fill="BFBFBF" w:themeFill="background1" w:themeFillShade="BF"/>
            <w:noWrap/>
            <w:vAlign w:val="center"/>
            <w:hideMark/>
          </w:tcPr>
          <w:p w:rsidRPr="00AE1B2B" w:rsidR="009D3FB5" w:rsidP="00163B94" w:rsidRDefault="009D3FB5" w14:paraId="760BA57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mensual de terminado 2015-2019</w:t>
            </w:r>
          </w:p>
        </w:tc>
        <w:tc>
          <w:tcPr>
            <w:tcW w:w="1043" w:type="pct"/>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37D6BB6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132/2=66</w:t>
            </w:r>
          </w:p>
        </w:tc>
        <w:tc>
          <w:tcPr>
            <w:tcW w:w="1149"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43DFAEF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132/2=66</w:t>
            </w:r>
          </w:p>
        </w:tc>
      </w:tr>
      <w:tr w:rsidRPr="00AE1B2B" w:rsidR="00AE1B2B" w:rsidTr="009D3FB5" w14:paraId="2B426E74" w14:textId="77777777">
        <w:trPr>
          <w:trHeight w:val="20"/>
          <w:jc w:val="center"/>
        </w:trPr>
        <w:tc>
          <w:tcPr>
            <w:tcW w:w="2808" w:type="pct"/>
            <w:shd w:val="clear" w:color="auto" w:fill="BFBFBF" w:themeFill="background1" w:themeFillShade="BF"/>
            <w:noWrap/>
            <w:vAlign w:val="center"/>
          </w:tcPr>
          <w:p w:rsidRPr="00AE1B2B" w:rsidR="009D3FB5" w:rsidP="00163B94" w:rsidRDefault="009D3FB5" w14:paraId="45C1AB0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Circulante al finalizar el 2019</w:t>
            </w:r>
          </w:p>
        </w:tc>
        <w:tc>
          <w:tcPr>
            <w:tcW w:w="2192" w:type="pct"/>
            <w:gridSpan w:val="2"/>
            <w:shd w:val="clear" w:color="auto" w:fill="auto"/>
            <w:noWrap/>
            <w:vAlign w:val="bottom"/>
          </w:tcPr>
          <w:p w:rsidRPr="00AE1B2B" w:rsidR="009D3FB5" w:rsidP="00163B94" w:rsidRDefault="009D3FB5" w14:paraId="31C9F17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456</w:t>
            </w:r>
          </w:p>
        </w:tc>
      </w:tr>
      <w:tr w:rsidRPr="00AE1B2B" w:rsidR="00AE1B2B" w:rsidTr="009D3FB5" w14:paraId="2E248511" w14:textId="77777777">
        <w:trPr>
          <w:trHeight w:val="20"/>
          <w:jc w:val="center"/>
        </w:trPr>
        <w:tc>
          <w:tcPr>
            <w:tcW w:w="2808" w:type="pct"/>
            <w:shd w:val="clear" w:color="auto" w:fill="BFBFBF" w:themeFill="background1" w:themeFillShade="BF"/>
            <w:noWrap/>
            <w:vAlign w:val="center"/>
            <w:hideMark/>
          </w:tcPr>
          <w:p w:rsidRPr="00AE1B2B" w:rsidR="009D3FB5" w:rsidP="00163B94" w:rsidRDefault="009D3FB5" w14:paraId="2E941F66" w14:textId="77777777">
            <w:pPr>
              <w:spacing w:before="120" w:after="120" w:line="276" w:lineRule="auto"/>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Relación Salida Entrada</w:t>
            </w:r>
          </w:p>
        </w:tc>
        <w:tc>
          <w:tcPr>
            <w:tcW w:w="2192" w:type="pct"/>
            <w:gridSpan w:val="2"/>
            <w:shd w:val="clear" w:color="auto" w:fill="auto"/>
            <w:noWrap/>
            <w:vAlign w:val="bottom"/>
            <w:hideMark/>
          </w:tcPr>
          <w:p w:rsidRPr="00AE1B2B" w:rsidR="009D3FB5" w:rsidP="00163B94" w:rsidRDefault="009D3FB5" w14:paraId="03855BEF"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104%</w:t>
            </w:r>
          </w:p>
        </w:tc>
      </w:tr>
      <w:tr w:rsidRPr="00AE1B2B" w:rsidR="00AE1B2B" w:rsidTr="009D3FB5" w14:paraId="6034B373" w14:textId="77777777">
        <w:trPr>
          <w:trHeight w:val="20"/>
          <w:jc w:val="center"/>
        </w:trPr>
        <w:tc>
          <w:tcPr>
            <w:tcW w:w="2808" w:type="pct"/>
            <w:shd w:val="clear" w:color="auto" w:fill="BFBFBF" w:themeFill="background1" w:themeFillShade="BF"/>
            <w:noWrap/>
            <w:vAlign w:val="center"/>
            <w:hideMark/>
          </w:tcPr>
          <w:p w:rsidRPr="00AE1B2B" w:rsidR="009D3FB5" w:rsidP="00163B94" w:rsidRDefault="009D3FB5" w14:paraId="4A119B3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Cantidad de personas con que cuenta el despacho (dedicando a una persona técnica judicial a la manifestación).</w:t>
            </w:r>
          </w:p>
        </w:tc>
        <w:tc>
          <w:tcPr>
            <w:tcW w:w="1043" w:type="pct"/>
            <w:shd w:val="clear" w:color="auto" w:fill="auto"/>
            <w:noWrap/>
            <w:vAlign w:val="center"/>
            <w:hideMark/>
          </w:tcPr>
          <w:p w:rsidRPr="00AE1B2B" w:rsidR="009D3FB5" w:rsidP="00163B94" w:rsidRDefault="009D3FB5" w14:paraId="207C761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1149" w:type="pct"/>
            <w:shd w:val="clear" w:color="auto" w:fill="auto"/>
            <w:noWrap/>
            <w:vAlign w:val="center"/>
            <w:hideMark/>
          </w:tcPr>
          <w:p w:rsidRPr="00AE1B2B" w:rsidR="009D3FB5" w:rsidP="00163B94" w:rsidRDefault="009D3FB5" w14:paraId="61CBBD9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r>
      <w:tr w:rsidRPr="00AE1B2B" w:rsidR="00AE1B2B" w:rsidTr="009D3FB5" w14:paraId="4326D26A" w14:textId="77777777">
        <w:trPr>
          <w:trHeight w:val="20"/>
          <w:jc w:val="center"/>
        </w:trPr>
        <w:tc>
          <w:tcPr>
            <w:tcW w:w="2808" w:type="pct"/>
            <w:shd w:val="clear" w:color="auto" w:fill="BFBFBF" w:themeFill="background1" w:themeFillShade="BF"/>
            <w:noWrap/>
            <w:vAlign w:val="center"/>
            <w:hideMark/>
          </w:tcPr>
          <w:p w:rsidRPr="00AE1B2B" w:rsidR="009D3FB5" w:rsidP="00163B94" w:rsidRDefault="009D3FB5" w14:paraId="60D5371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requerida de personas</w:t>
            </w:r>
          </w:p>
        </w:tc>
        <w:tc>
          <w:tcPr>
            <w:tcW w:w="1043" w:type="pct"/>
            <w:shd w:val="clear" w:color="auto" w:fill="auto"/>
            <w:noWrap/>
            <w:vAlign w:val="center"/>
            <w:hideMark/>
          </w:tcPr>
          <w:p w:rsidRPr="00AE1B2B" w:rsidR="009D3FB5" w:rsidP="00163B94" w:rsidRDefault="009D3FB5" w14:paraId="6EAE5D6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1149" w:type="pct"/>
            <w:shd w:val="clear" w:color="auto" w:fill="auto"/>
            <w:noWrap/>
            <w:vAlign w:val="center"/>
            <w:hideMark/>
          </w:tcPr>
          <w:p w:rsidRPr="00AE1B2B" w:rsidR="009D3FB5" w:rsidP="00163B94" w:rsidRDefault="009D3FB5" w14:paraId="3242AE5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r>
      <w:tr w:rsidRPr="00AE1B2B" w:rsidR="00AE1B2B" w:rsidTr="009D3FB5" w14:paraId="3A1F68F6" w14:textId="77777777">
        <w:trPr>
          <w:trHeight w:val="20"/>
          <w:jc w:val="center"/>
        </w:trPr>
        <w:tc>
          <w:tcPr>
            <w:tcW w:w="2808" w:type="pct"/>
            <w:shd w:val="clear" w:color="auto" w:fill="BFBFBF" w:themeFill="background1" w:themeFillShade="BF"/>
            <w:noWrap/>
            <w:vAlign w:val="center"/>
            <w:hideMark/>
          </w:tcPr>
          <w:p w:rsidRPr="00AE1B2B" w:rsidR="009D3FB5" w:rsidP="00163B94" w:rsidRDefault="009D3FB5" w14:paraId="4362F6B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Variación</w:t>
            </w:r>
          </w:p>
        </w:tc>
        <w:tc>
          <w:tcPr>
            <w:tcW w:w="1043" w:type="pct"/>
            <w:shd w:val="clear" w:color="auto" w:fill="auto"/>
            <w:noWrap/>
            <w:vAlign w:val="center"/>
            <w:hideMark/>
          </w:tcPr>
          <w:p w:rsidRPr="00AE1B2B" w:rsidR="009D3FB5" w:rsidP="00163B94" w:rsidRDefault="009D3FB5" w14:paraId="469E910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1149" w:type="pct"/>
            <w:shd w:val="clear" w:color="auto" w:fill="auto"/>
            <w:noWrap/>
            <w:vAlign w:val="center"/>
            <w:hideMark/>
          </w:tcPr>
          <w:p w:rsidRPr="00AE1B2B" w:rsidR="009D3FB5" w:rsidP="00163B94" w:rsidRDefault="009D3FB5" w14:paraId="4C2ECA9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r>
    </w:tbl>
    <w:p w:rsidRPr="00AE1B2B" w:rsidR="009D3FB5" w:rsidP="00163B94" w:rsidRDefault="009D3FB5" w14:paraId="620A783C"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Modernización Institucional de la Dirección de Planificación con base en datos de Cuadros Estadísticos del Subproceso de Estadística de la Dirección de Planificación. </w:t>
      </w:r>
    </w:p>
    <w:p w:rsidRPr="00AE1B2B" w:rsidR="009D3FB5" w:rsidP="00163B94" w:rsidRDefault="009D3FB5" w14:paraId="46B391F4" w14:textId="77777777">
      <w:pPr>
        <w:pStyle w:val="Fuentes"/>
        <w:spacing w:before="120" w:after="120" w:line="240" w:lineRule="auto"/>
        <w:ind w:left="851" w:right="851" w:firstLine="709"/>
        <w:rPr>
          <w:rFonts w:ascii="Times New Roman" w:hAnsi="Times New Roman" w:cs="Times New Roman"/>
          <w:sz w:val="26"/>
          <w:szCs w:val="26"/>
        </w:rPr>
      </w:pPr>
    </w:p>
    <w:p w:rsidRPr="00AE1B2B" w:rsidR="009D3FB5" w:rsidP="00163B94" w:rsidRDefault="009D3FB5" w14:paraId="71F316A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identifica la necesidad de una persona técnica judicial en este despacho, para completar la estructura propuesta. Ya que en la actualidad el despacho utiliza a la persona Auxiliar de Servicios Generales para atender entre otras funciones la manifestación. Es importante indicar que se planea continuar con una persona Auxiliar de Servicios Generales para que atienda las necesidades de limpieza de este despacho, ya que, si se considerara la recalificación o movimiento de estos puestos, se tendría que incluir el costo de contratación privada de servicio de limpieza, subpartida 1.04.06 “Servicios Generales”, la cual actualmente se encuentra restringida por el aumento del Impuesto Valor Agregado (IVA) en los servicios.</w:t>
      </w:r>
    </w:p>
    <w:p w:rsidRPr="00AE1B2B" w:rsidR="009D3FB5" w:rsidP="00163B94" w:rsidRDefault="009D3FB5" w14:paraId="15B8FCC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4C63EB9" w14:textId="25C60B59">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27</w:t>
      </w:r>
      <w:r w:rsidRPr="00AE1B2B">
        <w:rPr>
          <w:rFonts w:ascii="Times New Roman" w:hAnsi="Times New Roman" w:cs="Times New Roman"/>
          <w:sz w:val="26"/>
          <w:szCs w:val="26"/>
        </w:rPr>
        <w:fldChar w:fldCharType="end"/>
      </w:r>
    </w:p>
    <w:p w:rsidRPr="00AE1B2B" w:rsidR="009D3FB5" w:rsidP="00163B94" w:rsidRDefault="009D3FB5" w14:paraId="746136A4"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Estructura propuesta Juzgado Familia II Circuito Judicial de Alajuela.</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2123"/>
        <w:gridCol w:w="3402"/>
        <w:gridCol w:w="3303"/>
      </w:tblGrid>
      <w:tr w:rsidRPr="00AE1B2B" w:rsidR="00AE1B2B" w:rsidTr="009D3FB5" w14:paraId="2B38EEB2" w14:textId="77777777">
        <w:trPr>
          <w:trHeight w:val="283"/>
          <w:tblHeader/>
          <w:jc w:val="center"/>
        </w:trPr>
        <w:tc>
          <w:tcPr>
            <w:tcW w:w="1202" w:type="pct"/>
            <w:shd w:val="clear" w:color="auto" w:fill="002060"/>
            <w:vAlign w:val="center"/>
          </w:tcPr>
          <w:p w:rsidRPr="00AE1B2B" w:rsidR="009D3FB5" w:rsidP="00163B94" w:rsidRDefault="009D3FB5" w14:paraId="507A2019" w14:textId="77777777">
            <w:pPr>
              <w:spacing w:before="120" w:after="120" w:line="276" w:lineRule="auto"/>
              <w:jc w:val="center"/>
              <w:rPr>
                <w:rFonts w:ascii="Times New Roman" w:hAnsi="Times New Roman" w:cs="Times New Roman"/>
              </w:rPr>
            </w:pPr>
            <w:r w:rsidRPr="00AE1B2B">
              <w:rPr>
                <w:rFonts w:ascii="Times New Roman" w:hAnsi="Times New Roman" w:cs="Times New Roman"/>
                <w:b/>
                <w:bCs/>
              </w:rPr>
              <w:t>Juzgado Mixto</w:t>
            </w:r>
          </w:p>
        </w:tc>
        <w:tc>
          <w:tcPr>
            <w:tcW w:w="1927" w:type="pct"/>
            <w:shd w:val="clear" w:color="auto" w:fill="002060"/>
            <w:vAlign w:val="center"/>
          </w:tcPr>
          <w:p w:rsidRPr="00AE1B2B" w:rsidR="009D3FB5" w:rsidP="00163B94" w:rsidRDefault="009D3FB5" w14:paraId="782E35EC" w14:textId="77777777">
            <w:pPr>
              <w:spacing w:before="120" w:after="120" w:line="276" w:lineRule="auto"/>
              <w:jc w:val="center"/>
              <w:rPr>
                <w:rFonts w:ascii="Times New Roman" w:hAnsi="Times New Roman" w:cs="Times New Roman"/>
              </w:rPr>
            </w:pPr>
            <w:r w:rsidRPr="00AE1B2B">
              <w:rPr>
                <w:rFonts w:ascii="Times New Roman" w:hAnsi="Times New Roman" w:cs="Times New Roman"/>
                <w:b/>
                <w:bCs/>
              </w:rPr>
              <w:t>Estructura orgánica funcional actual del despacho</w:t>
            </w:r>
          </w:p>
        </w:tc>
        <w:tc>
          <w:tcPr>
            <w:tcW w:w="1871" w:type="pct"/>
            <w:shd w:val="clear" w:color="auto" w:fill="002060"/>
            <w:vAlign w:val="center"/>
          </w:tcPr>
          <w:p w:rsidRPr="00AE1B2B" w:rsidR="009D3FB5" w:rsidP="00163B94" w:rsidRDefault="009D3FB5" w14:paraId="1FD78C95" w14:textId="77777777">
            <w:pPr>
              <w:spacing w:before="120" w:after="120" w:line="276" w:lineRule="auto"/>
              <w:jc w:val="center"/>
              <w:rPr>
                <w:rFonts w:ascii="Times New Roman" w:hAnsi="Times New Roman" w:cs="Times New Roman"/>
                <w:b/>
              </w:rPr>
            </w:pPr>
            <w:r w:rsidRPr="00AE1B2B">
              <w:rPr>
                <w:rFonts w:ascii="Times New Roman" w:hAnsi="Times New Roman" w:cs="Times New Roman"/>
                <w:b/>
              </w:rPr>
              <w:t>Estructura Propuesta</w:t>
            </w:r>
          </w:p>
        </w:tc>
      </w:tr>
      <w:tr w:rsidRPr="00AE1B2B" w:rsidR="00AE1B2B" w:rsidTr="009D3FB5" w14:paraId="3F00CA01" w14:textId="77777777">
        <w:trPr>
          <w:jc w:val="center"/>
        </w:trPr>
        <w:tc>
          <w:tcPr>
            <w:tcW w:w="1202" w:type="pct"/>
            <w:shd w:val="clear" w:color="auto" w:fill="auto"/>
            <w:vAlign w:val="center"/>
          </w:tcPr>
          <w:p w:rsidRPr="00AE1B2B" w:rsidR="009D3FB5" w:rsidP="00163B94" w:rsidRDefault="009D3FB5" w14:paraId="4229EFD7" w14:textId="77777777">
            <w:pPr>
              <w:spacing w:before="120" w:after="120" w:line="276" w:lineRule="auto"/>
              <w:rPr>
                <w:rFonts w:ascii="Times New Roman" w:hAnsi="Times New Roman" w:cs="Times New Roman"/>
              </w:rPr>
            </w:pPr>
            <w:r w:rsidRPr="00AE1B2B">
              <w:rPr>
                <w:rFonts w:ascii="Times New Roman" w:hAnsi="Times New Roman" w:cs="Times New Roman"/>
              </w:rPr>
              <w:t>Juzgado Familia II Circuito Judicial de Alajuela</w:t>
            </w:r>
          </w:p>
        </w:tc>
        <w:tc>
          <w:tcPr>
            <w:tcW w:w="1927" w:type="pct"/>
            <w:shd w:val="clear" w:color="auto" w:fill="auto"/>
            <w:vAlign w:val="center"/>
          </w:tcPr>
          <w:p w:rsidRPr="00AE1B2B" w:rsidR="009D3FB5" w:rsidP="00163B94" w:rsidRDefault="009D3FB5" w14:paraId="5DE2E864" w14:textId="77777777">
            <w:pPr>
              <w:spacing w:before="120" w:after="120" w:line="276" w:lineRule="auto"/>
              <w:rPr>
                <w:rFonts w:ascii="Times New Roman" w:hAnsi="Times New Roman" w:cs="Times New Roman"/>
              </w:rPr>
            </w:pPr>
            <w:r w:rsidRPr="00AE1B2B">
              <w:rPr>
                <w:rFonts w:ascii="Times New Roman" w:hAnsi="Times New Roman" w:cs="Times New Roman"/>
              </w:rPr>
              <w:t>2 Juezas/ces 3</w:t>
            </w:r>
          </w:p>
          <w:p w:rsidRPr="00AE1B2B" w:rsidR="009D3FB5" w:rsidP="00163B94" w:rsidRDefault="009D3FB5" w14:paraId="64FA23A3" w14:textId="77777777">
            <w:pPr>
              <w:spacing w:before="120" w:after="120" w:line="276" w:lineRule="auto"/>
              <w:rPr>
                <w:rFonts w:ascii="Times New Roman" w:hAnsi="Times New Roman" w:cs="Times New Roman"/>
              </w:rPr>
            </w:pPr>
            <w:r w:rsidRPr="00AE1B2B">
              <w:rPr>
                <w:rFonts w:ascii="Times New Roman" w:hAnsi="Times New Roman" w:cs="Times New Roman"/>
              </w:rPr>
              <w:t>1 Coordinadora/or Judicial 2</w:t>
            </w:r>
          </w:p>
          <w:p w:rsidRPr="00AE1B2B" w:rsidR="009D3FB5" w:rsidP="00163B94" w:rsidRDefault="009D3FB5" w14:paraId="6B35FFDA" w14:textId="77777777">
            <w:pPr>
              <w:spacing w:before="120" w:after="120" w:line="276" w:lineRule="auto"/>
              <w:rPr>
                <w:rFonts w:ascii="Times New Roman" w:hAnsi="Times New Roman" w:cs="Times New Roman"/>
              </w:rPr>
            </w:pPr>
            <w:r w:rsidRPr="00AE1B2B">
              <w:rPr>
                <w:rFonts w:ascii="Times New Roman" w:hAnsi="Times New Roman" w:cs="Times New Roman"/>
              </w:rPr>
              <w:t>3 Técnicas/os Judiciales 2</w:t>
            </w:r>
          </w:p>
          <w:p w:rsidRPr="00AE1B2B" w:rsidR="009D3FB5" w:rsidP="00163B94" w:rsidRDefault="009D3FB5" w14:paraId="11A52DA8" w14:textId="77777777">
            <w:pPr>
              <w:spacing w:before="120" w:after="120" w:line="276" w:lineRule="auto"/>
              <w:rPr>
                <w:rFonts w:ascii="Times New Roman" w:hAnsi="Times New Roman" w:cs="Times New Roman"/>
              </w:rPr>
            </w:pPr>
            <w:r w:rsidRPr="00AE1B2B">
              <w:rPr>
                <w:rFonts w:ascii="Times New Roman" w:hAnsi="Times New Roman" w:cs="Times New Roman"/>
              </w:rPr>
              <w:t>1 Auxiliar de Servicios Generales 2</w:t>
            </w:r>
          </w:p>
        </w:tc>
        <w:tc>
          <w:tcPr>
            <w:tcW w:w="1871" w:type="pct"/>
            <w:vAlign w:val="center"/>
          </w:tcPr>
          <w:p w:rsidRPr="00AE1B2B" w:rsidR="009D3FB5" w:rsidP="00163B94" w:rsidRDefault="009D3FB5" w14:paraId="08D54965" w14:textId="77777777">
            <w:pPr>
              <w:spacing w:before="120" w:after="120" w:line="276" w:lineRule="auto"/>
              <w:rPr>
                <w:rFonts w:ascii="Times New Roman" w:hAnsi="Times New Roman" w:cs="Times New Roman"/>
              </w:rPr>
            </w:pPr>
            <w:r w:rsidRPr="00AE1B2B">
              <w:rPr>
                <w:rFonts w:ascii="Times New Roman" w:hAnsi="Times New Roman" w:cs="Times New Roman"/>
              </w:rPr>
              <w:t>2 Juezas/ces 3</w:t>
            </w:r>
          </w:p>
          <w:p w:rsidRPr="00AE1B2B" w:rsidR="009D3FB5" w:rsidP="00163B94" w:rsidRDefault="009D3FB5" w14:paraId="796D667A" w14:textId="77777777">
            <w:pPr>
              <w:spacing w:before="120" w:after="120" w:line="276" w:lineRule="auto"/>
              <w:rPr>
                <w:rFonts w:ascii="Times New Roman" w:hAnsi="Times New Roman" w:cs="Times New Roman"/>
              </w:rPr>
            </w:pPr>
            <w:r w:rsidRPr="00AE1B2B">
              <w:rPr>
                <w:rFonts w:ascii="Times New Roman" w:hAnsi="Times New Roman" w:cs="Times New Roman"/>
              </w:rPr>
              <w:t>1 Coordinadora/or Judicial 2</w:t>
            </w:r>
          </w:p>
          <w:p w:rsidRPr="00AE1B2B" w:rsidR="009D3FB5" w:rsidP="00163B94" w:rsidRDefault="009D3FB5" w14:paraId="75015EC3" w14:textId="77777777">
            <w:pPr>
              <w:spacing w:before="120" w:after="120" w:line="276" w:lineRule="auto"/>
              <w:rPr>
                <w:rFonts w:ascii="Times New Roman" w:hAnsi="Times New Roman" w:cs="Times New Roman"/>
              </w:rPr>
            </w:pPr>
            <w:r w:rsidRPr="00AE1B2B">
              <w:rPr>
                <w:rFonts w:ascii="Times New Roman" w:hAnsi="Times New Roman" w:cs="Times New Roman"/>
              </w:rPr>
              <w:t xml:space="preserve">4 Técnicas/os Judiciales 2 (crear una </w:t>
            </w:r>
            <w:r w:rsidRPr="00AE1B2B">
              <w:rPr>
                <w:rFonts w:ascii="Times New Roman" w:hAnsi="Times New Roman" w:cs="Times New Roman"/>
                <w:i/>
              </w:rPr>
              <w:t>plaza técnica o técnico Judicial 2</w:t>
            </w:r>
            <w:r w:rsidRPr="00AE1B2B">
              <w:rPr>
                <w:rFonts w:ascii="Times New Roman" w:hAnsi="Times New Roman" w:cs="Times New Roman"/>
              </w:rPr>
              <w:t>)</w:t>
            </w:r>
          </w:p>
          <w:p w:rsidRPr="00AE1B2B" w:rsidR="009D3FB5" w:rsidP="00163B94" w:rsidRDefault="009D3FB5" w14:paraId="509D5633" w14:textId="77777777">
            <w:pPr>
              <w:spacing w:before="120" w:after="120" w:line="276" w:lineRule="auto"/>
              <w:rPr>
                <w:rFonts w:ascii="Times New Roman" w:hAnsi="Times New Roman" w:cs="Times New Roman"/>
              </w:rPr>
            </w:pPr>
            <w:r w:rsidRPr="00AE1B2B">
              <w:rPr>
                <w:rFonts w:ascii="Times New Roman" w:hAnsi="Times New Roman" w:cs="Times New Roman"/>
              </w:rPr>
              <w:lastRenderedPageBreak/>
              <w:t>1 Auxiliar de Servicios Generales 2</w:t>
            </w:r>
          </w:p>
        </w:tc>
      </w:tr>
    </w:tbl>
    <w:p w:rsidRPr="00AE1B2B" w:rsidR="009D3FB5" w:rsidP="00163B94" w:rsidRDefault="009D3FB5" w14:paraId="1C525C49"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lastRenderedPageBreak/>
        <w:t>Fuente: Modernización Institucional de la Dirección de Planificación.</w:t>
      </w:r>
    </w:p>
    <w:p w:rsidRPr="00AE1B2B" w:rsidR="009D3FB5" w:rsidP="00163B94" w:rsidRDefault="009D3FB5" w14:paraId="1EAB20C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6155E5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Por lo que basado en los resultados anteriores se analiza el costo de la inclusión de la plaza de persona técnica judicial 2 para completar la estructura de trabajo de este despacho. El impacto económico de esta propuesta se calcula en el siguiente cuadro.</w:t>
      </w:r>
    </w:p>
    <w:p w:rsidRPr="00AE1B2B" w:rsidR="009D3FB5" w:rsidP="00163B94" w:rsidRDefault="009D3FB5" w14:paraId="1CD1069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9F6F101" w14:textId="15A0ECB4">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28</w:t>
      </w:r>
      <w:r w:rsidRPr="00AE1B2B">
        <w:rPr>
          <w:rFonts w:ascii="Times New Roman" w:hAnsi="Times New Roman" w:cs="Times New Roman"/>
          <w:sz w:val="26"/>
          <w:szCs w:val="26"/>
        </w:rPr>
        <w:fldChar w:fldCharType="end"/>
      </w:r>
    </w:p>
    <w:p w:rsidRPr="00AE1B2B" w:rsidR="009D3FB5" w:rsidP="00163B94" w:rsidRDefault="009D3FB5" w14:paraId="3188698A" w14:textId="59A581D1">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Costo por puesto anual según estructura propuesta</w:t>
      </w:r>
    </w:p>
    <w:p w:rsidRPr="00AE1B2B" w:rsidR="009D3FB5" w:rsidP="00163B94" w:rsidRDefault="009D3FB5" w14:paraId="5945931F"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para el Juzgado Familia del Segundo Circuito Judicial de Alajuela.</w:t>
      </w:r>
    </w:p>
    <w:tbl>
      <w:tblPr>
        <w:tblW w:w="5000" w:type="pct"/>
        <w:tblCellMar>
          <w:left w:w="70" w:type="dxa"/>
          <w:right w:w="70" w:type="dxa"/>
        </w:tblCellMar>
        <w:tblLook w:val="04A0" w:firstRow="1" w:lastRow="0" w:firstColumn="1" w:lastColumn="0" w:noHBand="0" w:noVBand="1"/>
      </w:tblPr>
      <w:tblGrid>
        <w:gridCol w:w="2012"/>
        <w:gridCol w:w="1351"/>
        <w:gridCol w:w="1311"/>
        <w:gridCol w:w="2401"/>
        <w:gridCol w:w="1758"/>
      </w:tblGrid>
      <w:tr w:rsidRPr="00AE1B2B" w:rsidR="00AE1B2B" w:rsidTr="002241C3" w14:paraId="6A914746" w14:textId="77777777">
        <w:trPr>
          <w:trHeight w:val="600"/>
          <w:tblHeader/>
        </w:trPr>
        <w:tc>
          <w:tcPr>
            <w:tcW w:w="1139" w:type="pct"/>
            <w:tcBorders>
              <w:bottom w:val="single" w:color="auto" w:sz="4" w:space="0"/>
              <w:right w:val="single" w:color="auto" w:sz="4" w:space="0"/>
            </w:tcBorders>
            <w:shd w:val="clear" w:color="auto" w:fill="auto"/>
            <w:vAlign w:val="center"/>
            <w:hideMark/>
          </w:tcPr>
          <w:p w:rsidRPr="00AE1B2B" w:rsidR="009D3FB5" w:rsidP="00163B94" w:rsidRDefault="009D3FB5" w14:paraId="5D29EAB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c>
          <w:tcPr>
            <w:tcW w:w="765"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2C1F7D1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Clase ancha</w:t>
            </w:r>
          </w:p>
        </w:tc>
        <w:tc>
          <w:tcPr>
            <w:tcW w:w="742"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4F0F0E82"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Clase angosta</w:t>
            </w:r>
          </w:p>
        </w:tc>
        <w:tc>
          <w:tcPr>
            <w:tcW w:w="1359"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0FAC76A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Costo del puesto anual</w:t>
            </w:r>
          </w:p>
        </w:tc>
        <w:tc>
          <w:tcPr>
            <w:tcW w:w="995" w:type="pct"/>
            <w:tcBorders>
              <w:top w:val="single" w:color="auto" w:sz="4" w:space="0"/>
              <w:left w:val="nil"/>
              <w:bottom w:val="single" w:color="auto" w:sz="4" w:space="0"/>
              <w:right w:val="single" w:color="auto" w:sz="4" w:space="0"/>
            </w:tcBorders>
            <w:shd w:val="clear" w:color="000000" w:fill="002060"/>
            <w:vAlign w:val="center"/>
          </w:tcPr>
          <w:p w:rsidRPr="00AE1B2B" w:rsidR="009D3FB5" w:rsidP="00163B94" w:rsidRDefault="009D3FB5" w14:paraId="6651C8CD" w14:textId="77777777">
            <w:pPr>
              <w:spacing w:before="120" w:after="120" w:line="276" w:lineRule="auto"/>
              <w:jc w:val="center"/>
              <w:rPr>
                <w:rFonts w:ascii="Times New Roman" w:hAnsi="Times New Roman" w:eastAsia="Times New Roman" w:cs="Times New Roman"/>
                <w:b/>
                <w:bCs/>
                <w:lang w:eastAsia="ar-SA"/>
              </w:rPr>
            </w:pPr>
            <w:r w:rsidRPr="00AE1B2B">
              <w:rPr>
                <w:rFonts w:ascii="Times New Roman" w:hAnsi="Times New Roman" w:eastAsia="Times New Roman" w:cs="Times New Roman"/>
                <w:b/>
                <w:bCs/>
                <w:lang w:eastAsia="ar-SA"/>
              </w:rPr>
              <w:t>Costo total</w:t>
            </w:r>
          </w:p>
        </w:tc>
      </w:tr>
      <w:tr w:rsidRPr="00AE1B2B" w:rsidR="00AE1B2B" w:rsidTr="002241C3" w14:paraId="4BF894DB" w14:textId="77777777">
        <w:trPr>
          <w:trHeight w:val="447"/>
        </w:trPr>
        <w:tc>
          <w:tcPr>
            <w:tcW w:w="1139"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62682A5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Situación actual del puesto</w:t>
            </w:r>
          </w:p>
        </w:tc>
        <w:tc>
          <w:tcPr>
            <w:tcW w:w="765" w:type="pct"/>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512DF4C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ar-SA"/>
              </w:rPr>
              <w:t>Técnico Judicial 2</w:t>
            </w:r>
          </w:p>
        </w:tc>
        <w:tc>
          <w:tcPr>
            <w:tcW w:w="742" w:type="pct"/>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6B14123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ar-SA"/>
              </w:rPr>
              <w:t>Técnico Judicial</w:t>
            </w:r>
          </w:p>
        </w:tc>
        <w:tc>
          <w:tcPr>
            <w:tcW w:w="1359" w:type="pct"/>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7C0CA4D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ar-SA"/>
              </w:rPr>
              <w:t>₡14.520.000</w:t>
            </w:r>
          </w:p>
        </w:tc>
        <w:tc>
          <w:tcPr>
            <w:tcW w:w="995" w:type="pct"/>
            <w:tcBorders>
              <w:top w:val="single" w:color="auto" w:sz="4" w:space="0"/>
              <w:left w:val="nil"/>
              <w:bottom w:val="single" w:color="auto" w:sz="4" w:space="0"/>
              <w:right w:val="single" w:color="auto" w:sz="4" w:space="0"/>
            </w:tcBorders>
            <w:vAlign w:val="center"/>
          </w:tcPr>
          <w:p w:rsidRPr="00AE1B2B" w:rsidR="009D3FB5" w:rsidP="00163B94" w:rsidRDefault="009D3FB5" w14:paraId="0C1CE7E3" w14:textId="77777777">
            <w:pPr>
              <w:spacing w:before="120" w:after="120" w:line="276" w:lineRule="auto"/>
              <w:jc w:val="center"/>
              <w:rPr>
                <w:rFonts w:ascii="Times New Roman" w:hAnsi="Times New Roman" w:eastAsia="Times New Roman" w:cs="Times New Roman"/>
                <w:lang w:eastAsia="ar-SA"/>
              </w:rPr>
            </w:pPr>
            <w:r w:rsidRPr="00AE1B2B">
              <w:rPr>
                <w:rFonts w:ascii="Times New Roman" w:hAnsi="Times New Roman" w:eastAsia="Times New Roman" w:cs="Times New Roman"/>
                <w:lang w:eastAsia="ar-SA"/>
              </w:rPr>
              <w:t>₡14.520.000</w:t>
            </w:r>
          </w:p>
        </w:tc>
      </w:tr>
    </w:tbl>
    <w:p w:rsidRPr="00AE1B2B" w:rsidR="009D3FB5" w:rsidP="00163B94" w:rsidRDefault="009D3FB5" w14:paraId="1A73618A"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Modernización Institucional de la Dirección de Planificación. </w:t>
      </w:r>
    </w:p>
    <w:p w:rsidRPr="00AE1B2B" w:rsidR="009D3FB5" w:rsidP="00163B94" w:rsidRDefault="009D3FB5" w14:paraId="5771A5A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DECCC3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costo anual para hacerle frente a la propuesta es de ₡14.520.000.</w:t>
      </w:r>
    </w:p>
    <w:p w:rsidRPr="00AE1B2B" w:rsidR="009D3FB5" w:rsidP="00163B94" w:rsidRDefault="009D3FB5" w14:paraId="4062231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FE8A7B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Juzgados Primero y Segundo de San José</w:t>
      </w:r>
    </w:p>
    <w:p w:rsidRPr="00AE1B2B" w:rsidR="009D3FB5" w:rsidP="00163B94" w:rsidRDefault="009D3FB5" w14:paraId="6B76A4BE" w14:textId="4F82995C">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caso del Juzgado Primero y Segundo de Familia de San José según la carga de trabajo estimada por mes se identifica que se podría modificar la cantidad de personas juzgadoras con que cuenta cada uno de estos despachos, por lo que se analiza el comportamiento de estos para concluir sobre estas variaciones.</w:t>
      </w:r>
    </w:p>
    <w:p w:rsidRPr="00AE1B2B" w:rsidR="002241C3" w:rsidP="00163B94" w:rsidRDefault="002241C3" w14:paraId="6042390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19AECA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Se compara la entrada mensual una vez que se desjudicialicen procesos y se divide contra 74 asuntos por plaza de Judicatura y 47 por persona Técnica Judicial, para obtener la cantidad de recurso humano que se necesita.</w:t>
      </w:r>
    </w:p>
    <w:p w:rsidRPr="00AE1B2B" w:rsidR="009D3FB5" w:rsidP="00163B94" w:rsidRDefault="009D3FB5" w14:paraId="6F74D3F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FF5D2F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4AB85AE" w14:textId="266A1A60">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29</w:t>
      </w:r>
      <w:r w:rsidRPr="00AE1B2B">
        <w:rPr>
          <w:rFonts w:ascii="Times New Roman" w:hAnsi="Times New Roman" w:cs="Times New Roman"/>
          <w:sz w:val="26"/>
          <w:szCs w:val="26"/>
        </w:rPr>
        <w:fldChar w:fldCharType="end"/>
      </w:r>
    </w:p>
    <w:p w:rsidRPr="00AE1B2B" w:rsidR="009D3FB5" w:rsidP="00163B94" w:rsidRDefault="009D3FB5" w14:paraId="03343B5B"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Análisis de carga de trabajo para el Juzgado Primero y Segundo de Familia de San José</w:t>
      </w:r>
    </w:p>
    <w:tbl>
      <w:tblPr>
        <w:tblW w:w="5000" w:type="pct"/>
        <w:tblCellMar>
          <w:left w:w="70" w:type="dxa"/>
          <w:right w:w="70" w:type="dxa"/>
        </w:tblCellMar>
        <w:tblLook w:val="04A0" w:firstRow="1" w:lastRow="0" w:firstColumn="1" w:lastColumn="0" w:noHBand="0" w:noVBand="1"/>
      </w:tblPr>
      <w:tblGrid>
        <w:gridCol w:w="4235"/>
        <w:gridCol w:w="1148"/>
        <w:gridCol w:w="1148"/>
        <w:gridCol w:w="1148"/>
        <w:gridCol w:w="1149"/>
      </w:tblGrid>
      <w:tr w:rsidRPr="00AE1B2B" w:rsidR="00AE1B2B" w:rsidTr="009D3FB5" w14:paraId="57E60563" w14:textId="77777777">
        <w:trPr>
          <w:trHeight w:val="20"/>
          <w:tblHeader/>
        </w:trPr>
        <w:tc>
          <w:tcPr>
            <w:tcW w:w="2399" w:type="pct"/>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05D5CF0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Carga de trabajo</w:t>
            </w:r>
          </w:p>
        </w:tc>
        <w:tc>
          <w:tcPr>
            <w:tcW w:w="1300" w:type="pct"/>
            <w:gridSpan w:val="2"/>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7674FA04"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Juzgado Primero de San José</w:t>
            </w:r>
          </w:p>
        </w:tc>
        <w:tc>
          <w:tcPr>
            <w:tcW w:w="1301" w:type="pct"/>
            <w:gridSpan w:val="2"/>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00A8698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Juzgado Segundo de San José</w:t>
            </w:r>
          </w:p>
        </w:tc>
      </w:tr>
      <w:tr w:rsidRPr="00AE1B2B" w:rsidR="00AE1B2B" w:rsidTr="009D3FB5" w14:paraId="70EEAA46" w14:textId="77777777">
        <w:trPr>
          <w:trHeight w:val="20"/>
          <w:tblHeader/>
        </w:trPr>
        <w:tc>
          <w:tcPr>
            <w:tcW w:w="2399" w:type="pct"/>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2E698587" w14:textId="77777777">
            <w:pPr>
              <w:spacing w:before="120" w:after="120" w:line="276" w:lineRule="auto"/>
              <w:rPr>
                <w:rFonts w:ascii="Times New Roman" w:hAnsi="Times New Roman" w:eastAsia="Times New Roman" w:cs="Times New Roman"/>
                <w:lang w:eastAsia="es-ES"/>
              </w:rPr>
            </w:pPr>
          </w:p>
        </w:tc>
        <w:tc>
          <w:tcPr>
            <w:tcW w:w="650" w:type="pct"/>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213453D4"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Personas juzgadoras</w:t>
            </w:r>
          </w:p>
        </w:tc>
        <w:tc>
          <w:tcPr>
            <w:tcW w:w="650" w:type="pct"/>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6F809FF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Personas Técnicas Judiciales de trámite</w:t>
            </w:r>
          </w:p>
        </w:tc>
        <w:tc>
          <w:tcPr>
            <w:tcW w:w="650" w:type="pct"/>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3484B5A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Personas juzgadoras</w:t>
            </w:r>
          </w:p>
        </w:tc>
        <w:tc>
          <w:tcPr>
            <w:tcW w:w="651" w:type="pct"/>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623A482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Personas Técnicas Judiciales de trámite</w:t>
            </w:r>
          </w:p>
        </w:tc>
      </w:tr>
      <w:tr w:rsidRPr="00AE1B2B" w:rsidR="00AE1B2B" w:rsidTr="009D3FB5" w14:paraId="6350A76B" w14:textId="77777777">
        <w:trPr>
          <w:trHeight w:val="20"/>
        </w:trPr>
        <w:tc>
          <w:tcPr>
            <w:tcW w:w="2399" w:type="pct"/>
            <w:tcBorders>
              <w:top w:val="nil"/>
              <w:left w:val="single" w:color="auto" w:sz="4" w:space="0"/>
              <w:bottom w:val="single" w:color="auto" w:sz="4" w:space="0"/>
              <w:right w:val="single" w:color="auto" w:sz="4" w:space="0"/>
            </w:tcBorders>
            <w:shd w:val="clear" w:color="000000" w:fill="BFBFBF"/>
            <w:vAlign w:val="center"/>
            <w:hideMark/>
          </w:tcPr>
          <w:p w:rsidRPr="00AE1B2B" w:rsidR="009D3FB5" w:rsidP="00163B94" w:rsidRDefault="009D3FB5" w14:paraId="0F0742C8"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Promedio mensual de Entrada 2015-1029 (estimado con desjudicialización)</w:t>
            </w:r>
          </w:p>
        </w:tc>
        <w:tc>
          <w:tcPr>
            <w:tcW w:w="65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499B62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145/3=48</w:t>
            </w:r>
          </w:p>
        </w:tc>
        <w:tc>
          <w:tcPr>
            <w:tcW w:w="65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7EE5C5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145/5=29</w:t>
            </w:r>
          </w:p>
        </w:tc>
        <w:tc>
          <w:tcPr>
            <w:tcW w:w="65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E599C2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139/3=46</w:t>
            </w:r>
          </w:p>
        </w:tc>
        <w:tc>
          <w:tcPr>
            <w:tcW w:w="651"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EC915A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139/5=28</w:t>
            </w:r>
          </w:p>
        </w:tc>
      </w:tr>
      <w:tr w:rsidRPr="00AE1B2B" w:rsidR="00AE1B2B" w:rsidTr="009D3FB5" w14:paraId="6F771C18" w14:textId="77777777">
        <w:trPr>
          <w:trHeight w:val="20"/>
        </w:trPr>
        <w:tc>
          <w:tcPr>
            <w:tcW w:w="2399" w:type="pct"/>
            <w:tcBorders>
              <w:top w:val="nil"/>
              <w:left w:val="single" w:color="auto" w:sz="4" w:space="0"/>
              <w:bottom w:val="single" w:color="auto" w:sz="4" w:space="0"/>
              <w:right w:val="single" w:color="auto" w:sz="4" w:space="0"/>
            </w:tcBorders>
            <w:shd w:val="clear" w:color="000000" w:fill="BFBFBF"/>
            <w:vAlign w:val="center"/>
            <w:hideMark/>
          </w:tcPr>
          <w:p w:rsidRPr="00AE1B2B" w:rsidR="009D3FB5" w:rsidP="00163B94" w:rsidRDefault="009D3FB5" w14:paraId="2833A876"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Promedio mensual de terminado</w:t>
            </w:r>
          </w:p>
        </w:tc>
        <w:tc>
          <w:tcPr>
            <w:tcW w:w="65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0D2829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165/3=55</w:t>
            </w:r>
          </w:p>
        </w:tc>
        <w:tc>
          <w:tcPr>
            <w:tcW w:w="65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6E9D9B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165/5=33</w:t>
            </w:r>
          </w:p>
        </w:tc>
        <w:tc>
          <w:tcPr>
            <w:tcW w:w="65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453088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168/3=56</w:t>
            </w:r>
          </w:p>
        </w:tc>
        <w:tc>
          <w:tcPr>
            <w:tcW w:w="651"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07B910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168/5=34</w:t>
            </w:r>
          </w:p>
        </w:tc>
      </w:tr>
      <w:tr w:rsidRPr="00AE1B2B" w:rsidR="00AE1B2B" w:rsidTr="009D3FB5" w14:paraId="2ED1900C" w14:textId="77777777">
        <w:trPr>
          <w:trHeight w:val="20"/>
        </w:trPr>
        <w:tc>
          <w:tcPr>
            <w:tcW w:w="2399" w:type="pct"/>
            <w:tcBorders>
              <w:top w:val="nil"/>
              <w:left w:val="single" w:color="auto" w:sz="4" w:space="0"/>
              <w:bottom w:val="single" w:color="auto" w:sz="4" w:space="0"/>
              <w:right w:val="single" w:color="auto" w:sz="4" w:space="0"/>
            </w:tcBorders>
            <w:shd w:val="clear" w:color="000000" w:fill="BFBFBF"/>
            <w:vAlign w:val="center"/>
            <w:hideMark/>
          </w:tcPr>
          <w:p w:rsidRPr="00AE1B2B" w:rsidR="009D3FB5" w:rsidP="00163B94" w:rsidRDefault="009D3FB5" w14:paraId="477DB629"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Circulante al finalizar el 2019</w:t>
            </w:r>
          </w:p>
        </w:tc>
        <w:tc>
          <w:tcPr>
            <w:tcW w:w="1300"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3CC21D0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1422</w:t>
            </w:r>
          </w:p>
        </w:tc>
        <w:tc>
          <w:tcPr>
            <w:tcW w:w="1301" w:type="pct"/>
            <w:gridSpan w:val="2"/>
            <w:tcBorders>
              <w:top w:val="single" w:color="auto" w:sz="4" w:space="0"/>
              <w:left w:val="nil"/>
              <w:bottom w:val="single" w:color="auto" w:sz="4" w:space="0"/>
              <w:right w:val="single" w:color="000000" w:sz="4" w:space="0"/>
            </w:tcBorders>
            <w:shd w:val="clear" w:color="auto" w:fill="auto"/>
            <w:vAlign w:val="center"/>
            <w:hideMark/>
          </w:tcPr>
          <w:p w:rsidRPr="00AE1B2B" w:rsidR="009D3FB5" w:rsidP="00163B94" w:rsidRDefault="009D3FB5" w14:paraId="7DE0A97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1215</w:t>
            </w:r>
          </w:p>
        </w:tc>
      </w:tr>
      <w:tr w:rsidRPr="00AE1B2B" w:rsidR="00AE1B2B" w:rsidTr="009D3FB5" w14:paraId="7F6BE76C" w14:textId="77777777">
        <w:trPr>
          <w:trHeight w:val="20"/>
        </w:trPr>
        <w:tc>
          <w:tcPr>
            <w:tcW w:w="2399" w:type="pct"/>
            <w:tcBorders>
              <w:top w:val="nil"/>
              <w:left w:val="single" w:color="auto" w:sz="4" w:space="0"/>
              <w:bottom w:val="single" w:color="auto" w:sz="4" w:space="0"/>
              <w:right w:val="single" w:color="auto" w:sz="4" w:space="0"/>
            </w:tcBorders>
            <w:shd w:val="clear" w:color="000000" w:fill="BFBFBF"/>
            <w:vAlign w:val="center"/>
            <w:hideMark/>
          </w:tcPr>
          <w:p w:rsidRPr="00AE1B2B" w:rsidR="009D3FB5" w:rsidP="00163B94" w:rsidRDefault="009D3FB5" w14:paraId="388FEC29"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Relación Salida Entrada</w:t>
            </w:r>
          </w:p>
        </w:tc>
        <w:tc>
          <w:tcPr>
            <w:tcW w:w="1300" w:type="pct"/>
            <w:gridSpan w:val="2"/>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0463A58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114%</w:t>
            </w:r>
          </w:p>
        </w:tc>
        <w:tc>
          <w:tcPr>
            <w:tcW w:w="1301" w:type="pct"/>
            <w:gridSpan w:val="2"/>
            <w:tcBorders>
              <w:top w:val="single" w:color="auto" w:sz="4" w:space="0"/>
              <w:left w:val="nil"/>
              <w:bottom w:val="single" w:color="auto" w:sz="4" w:space="0"/>
              <w:right w:val="single" w:color="000000" w:sz="4" w:space="0"/>
            </w:tcBorders>
            <w:shd w:val="clear" w:color="auto" w:fill="auto"/>
            <w:vAlign w:val="center"/>
            <w:hideMark/>
          </w:tcPr>
          <w:p w:rsidRPr="00AE1B2B" w:rsidR="009D3FB5" w:rsidP="00163B94" w:rsidRDefault="009D3FB5" w14:paraId="7DD2149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121%</w:t>
            </w:r>
          </w:p>
        </w:tc>
      </w:tr>
      <w:tr w:rsidRPr="00AE1B2B" w:rsidR="00AE1B2B" w:rsidTr="009D3FB5" w14:paraId="2E69290E" w14:textId="77777777">
        <w:trPr>
          <w:trHeight w:val="20"/>
        </w:trPr>
        <w:tc>
          <w:tcPr>
            <w:tcW w:w="2399" w:type="pct"/>
            <w:tcBorders>
              <w:top w:val="nil"/>
              <w:left w:val="single" w:color="auto" w:sz="4" w:space="0"/>
              <w:bottom w:val="single" w:color="auto" w:sz="4" w:space="0"/>
              <w:right w:val="single" w:color="auto" w:sz="4" w:space="0"/>
            </w:tcBorders>
            <w:shd w:val="clear" w:color="000000" w:fill="BFBFBF"/>
            <w:vAlign w:val="center"/>
            <w:hideMark/>
          </w:tcPr>
          <w:p w:rsidRPr="00AE1B2B" w:rsidR="009D3FB5" w:rsidP="00163B94" w:rsidRDefault="009D3FB5" w14:paraId="699A1809"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Cantidad de personas con que cuenta el despacho</w:t>
            </w:r>
          </w:p>
        </w:tc>
        <w:tc>
          <w:tcPr>
            <w:tcW w:w="65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799109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w:t>
            </w:r>
          </w:p>
        </w:tc>
        <w:tc>
          <w:tcPr>
            <w:tcW w:w="65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61DA22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5</w:t>
            </w:r>
          </w:p>
        </w:tc>
        <w:tc>
          <w:tcPr>
            <w:tcW w:w="65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9E3A33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w:t>
            </w:r>
          </w:p>
        </w:tc>
        <w:tc>
          <w:tcPr>
            <w:tcW w:w="651"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CF8588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5</w:t>
            </w:r>
          </w:p>
        </w:tc>
      </w:tr>
      <w:tr w:rsidRPr="00AE1B2B" w:rsidR="00AE1B2B" w:rsidTr="009D3FB5" w14:paraId="1E712465" w14:textId="77777777">
        <w:trPr>
          <w:trHeight w:val="20"/>
        </w:trPr>
        <w:tc>
          <w:tcPr>
            <w:tcW w:w="2399" w:type="pct"/>
            <w:tcBorders>
              <w:top w:val="nil"/>
              <w:left w:val="single" w:color="auto" w:sz="4" w:space="0"/>
              <w:bottom w:val="single" w:color="auto" w:sz="4" w:space="0"/>
              <w:right w:val="single" w:color="auto" w:sz="4" w:space="0"/>
            </w:tcBorders>
            <w:shd w:val="clear" w:color="000000" w:fill="BFBFBF"/>
            <w:vAlign w:val="center"/>
            <w:hideMark/>
          </w:tcPr>
          <w:p w:rsidRPr="00AE1B2B" w:rsidR="009D3FB5" w:rsidP="00163B94" w:rsidRDefault="009D3FB5" w14:paraId="1358DB26"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Cantidad requerida de personas</w:t>
            </w:r>
          </w:p>
        </w:tc>
        <w:tc>
          <w:tcPr>
            <w:tcW w:w="65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2DC0B3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c>
          <w:tcPr>
            <w:tcW w:w="65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EA6D84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w:t>
            </w:r>
          </w:p>
        </w:tc>
        <w:tc>
          <w:tcPr>
            <w:tcW w:w="65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1C313F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c>
          <w:tcPr>
            <w:tcW w:w="651"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3E11F0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w:t>
            </w:r>
          </w:p>
        </w:tc>
      </w:tr>
      <w:tr w:rsidRPr="00AE1B2B" w:rsidR="00AE1B2B" w:rsidTr="009D3FB5" w14:paraId="48417B27" w14:textId="77777777">
        <w:trPr>
          <w:trHeight w:val="20"/>
        </w:trPr>
        <w:tc>
          <w:tcPr>
            <w:tcW w:w="2399" w:type="pct"/>
            <w:tcBorders>
              <w:top w:val="nil"/>
              <w:left w:val="single" w:color="auto" w:sz="4" w:space="0"/>
              <w:bottom w:val="single" w:color="auto" w:sz="4" w:space="0"/>
              <w:right w:val="single" w:color="auto" w:sz="4" w:space="0"/>
            </w:tcBorders>
            <w:shd w:val="clear" w:color="000000" w:fill="BFBFBF"/>
            <w:vAlign w:val="center"/>
            <w:hideMark/>
          </w:tcPr>
          <w:p w:rsidRPr="00AE1B2B" w:rsidR="009D3FB5" w:rsidP="00163B94" w:rsidRDefault="009D3FB5" w14:paraId="758DF51B"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Variación</w:t>
            </w:r>
          </w:p>
        </w:tc>
        <w:tc>
          <w:tcPr>
            <w:tcW w:w="65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200F26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65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9608BA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c>
          <w:tcPr>
            <w:tcW w:w="65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7DB240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65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D029CA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r>
    </w:tbl>
    <w:p w:rsidRPr="00AE1B2B" w:rsidR="009D3FB5" w:rsidP="00163B94" w:rsidRDefault="009D3FB5" w14:paraId="131E6D00"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 con base en datos de Cuadros Estadísticos del Sub proceso de Estadística de la Dirección de Planificación.</w:t>
      </w:r>
    </w:p>
    <w:p w:rsidRPr="00AE1B2B" w:rsidR="009D3FB5" w:rsidP="00163B94" w:rsidRDefault="009D3FB5" w14:paraId="114846B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CCD5FF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Juzgado Primero de Familia de San José cuenta con un circulante de 1 422 expedientes al finalizar el 2019, además registra una entrada de 48 asuntos, un 35% por debajo de la carga de trabajo promedio de 74 asuntos al mes por persona juzgadora y de 29 asuntos un 32% menor de los 47 al mes por persona técnica judicial. En el </w:t>
      </w:r>
      <w:r w:rsidRPr="00AE1B2B">
        <w:rPr>
          <w:rFonts w:ascii="Times New Roman" w:hAnsi="Times New Roman" w:cs="Times New Roman"/>
          <w:sz w:val="26"/>
          <w:szCs w:val="26"/>
        </w:rPr>
        <w:lastRenderedPageBreak/>
        <w:t xml:space="preserve">caso del Juzgado Segundo de San José registra un circulante de 1215 expedientes, registrando un 38% debajo de la cuota de trabajo de las personas juzgadoras y un 40% inferior en el caso de los técnicas o técnicos judiciales de trámite. </w:t>
      </w:r>
    </w:p>
    <w:p w:rsidRPr="00AE1B2B" w:rsidR="009D3FB5" w:rsidP="00163B94" w:rsidRDefault="009D3FB5" w14:paraId="0DE6D11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resultados obtenidos con relación a la cuota de trabajo propuesta permiten identificar la posibilidad de reubicar 2 personas juzgadoras y 4 técnicas o técnicos judiciales, para ser trasladados a otras oficinas, por lo que basado en estos resultados se evalúan dos posibles escenarios.</w:t>
      </w:r>
    </w:p>
    <w:p w:rsidRPr="00AE1B2B" w:rsidR="009D3FB5" w:rsidP="00163B94" w:rsidRDefault="009D3FB5" w14:paraId="6AEFEA5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0FF0CE4" w14:textId="77777777">
      <w:pPr>
        <w:spacing w:before="120" w:after="120"/>
        <w:ind w:left="851" w:right="851" w:firstLine="709"/>
        <w:jc w:val="both"/>
        <w:rPr>
          <w:rFonts w:ascii="Times New Roman" w:hAnsi="Times New Roman" w:cs="Times New Roman"/>
          <w:b/>
          <w:bCs/>
          <w:sz w:val="26"/>
          <w:szCs w:val="26"/>
        </w:rPr>
      </w:pPr>
      <w:r w:rsidRPr="00AE1B2B">
        <w:rPr>
          <w:rFonts w:ascii="Times New Roman" w:hAnsi="Times New Roman" w:cs="Times New Roman"/>
          <w:b/>
          <w:bCs/>
          <w:sz w:val="26"/>
          <w:szCs w:val="26"/>
        </w:rPr>
        <w:t>Escenario 1: Unificación de estos despachos en el Juzgado de Familia de San José</w:t>
      </w:r>
    </w:p>
    <w:p w:rsidRPr="00AE1B2B" w:rsidR="009D3FB5" w:rsidP="00163B94" w:rsidRDefault="009D3FB5" w14:paraId="239E3A4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la provincia de San José se tiene dos despachos de Familia con las mismas competencias territoriales y materiales (Juzgado Primero y Segundo de San José), por lo que se analiza la posibilidad de modificar esa situación y unificar estos despachos en un único Juzgado de Familia de San José.</w:t>
      </w:r>
    </w:p>
    <w:p w:rsidRPr="00AE1B2B" w:rsidR="009D3FB5" w:rsidP="00163B94" w:rsidRDefault="009D3FB5" w14:paraId="082F940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44DEA1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analiza la cantidad de personas requeridas bajo el supuesto del nuevo Juzgado de Familia de San José, tomando en cuenta el volumen total de ingreso de casos al mes de los Juzgados Primero y Segundo de Familia unificado, y se evalúa en relación con las cuotas de trabajo.</w:t>
      </w:r>
    </w:p>
    <w:p w:rsidRPr="00AE1B2B" w:rsidR="009D3FB5" w:rsidP="00163B94" w:rsidRDefault="009D3FB5" w14:paraId="5C1B4F1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EB74A61" w14:textId="3083DC19">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30</w:t>
      </w:r>
      <w:r w:rsidRPr="00AE1B2B">
        <w:rPr>
          <w:rFonts w:ascii="Times New Roman" w:hAnsi="Times New Roman" w:cs="Times New Roman"/>
          <w:sz w:val="26"/>
          <w:szCs w:val="26"/>
        </w:rPr>
        <w:fldChar w:fldCharType="end"/>
      </w:r>
    </w:p>
    <w:p w:rsidRPr="00AE1B2B" w:rsidR="009D3FB5" w:rsidP="00163B94" w:rsidRDefault="009D3FB5" w14:paraId="78AD3736"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Cantidad de personas requeridas para el Juzgado de Familia de San José.</w:t>
      </w:r>
    </w:p>
    <w:tbl>
      <w:tblPr>
        <w:tblW w:w="0" w:type="auto"/>
        <w:jc w:val="center"/>
        <w:tblCellMar>
          <w:left w:w="70" w:type="dxa"/>
          <w:right w:w="70" w:type="dxa"/>
        </w:tblCellMar>
        <w:tblLook w:val="04A0" w:firstRow="1" w:lastRow="0" w:firstColumn="1" w:lastColumn="0" w:noHBand="0" w:noVBand="1"/>
      </w:tblPr>
      <w:tblGrid>
        <w:gridCol w:w="2830"/>
        <w:gridCol w:w="2432"/>
        <w:gridCol w:w="1679"/>
        <w:gridCol w:w="1887"/>
      </w:tblGrid>
      <w:tr w:rsidRPr="00AE1B2B" w:rsidR="00AE1B2B" w:rsidTr="009D3FB5" w14:paraId="0D1F86A8" w14:textId="77777777">
        <w:trPr>
          <w:trHeight w:val="60"/>
          <w:tblHeader/>
          <w:jc w:val="center"/>
        </w:trPr>
        <w:tc>
          <w:tcPr>
            <w:tcW w:w="2830" w:type="dxa"/>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282C19DD"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Despacho</w:t>
            </w:r>
          </w:p>
        </w:tc>
        <w:tc>
          <w:tcPr>
            <w:tcW w:w="2432" w:type="dxa"/>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3EE907E1"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Promedio mensual de Entrada estimada con desjudicialización</w:t>
            </w:r>
          </w:p>
        </w:tc>
        <w:tc>
          <w:tcPr>
            <w:tcW w:w="0" w:type="auto"/>
            <w:gridSpan w:val="2"/>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0CE01F5A"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Recurso humano requerido</w:t>
            </w:r>
          </w:p>
        </w:tc>
      </w:tr>
      <w:tr w:rsidRPr="00AE1B2B" w:rsidR="00AE1B2B" w:rsidTr="009D3FB5" w14:paraId="17D1D86B" w14:textId="77777777">
        <w:trPr>
          <w:trHeight w:val="114"/>
          <w:tblHeader/>
          <w:jc w:val="center"/>
        </w:trPr>
        <w:tc>
          <w:tcPr>
            <w:tcW w:w="2830" w:type="dxa"/>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0D7D8F09" w14:textId="77777777">
            <w:pPr>
              <w:spacing w:before="120" w:after="120" w:line="276" w:lineRule="auto"/>
              <w:rPr>
                <w:rFonts w:ascii="Times New Roman" w:hAnsi="Times New Roman" w:eastAsia="Times New Roman" w:cs="Times New Roman"/>
                <w:b/>
                <w:bCs/>
                <w:lang w:eastAsia="es-ES"/>
              </w:rPr>
            </w:pPr>
          </w:p>
        </w:tc>
        <w:tc>
          <w:tcPr>
            <w:tcW w:w="2432" w:type="dxa"/>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24E501FF" w14:textId="77777777">
            <w:pPr>
              <w:spacing w:before="120" w:after="120" w:line="276" w:lineRule="auto"/>
              <w:rPr>
                <w:rFonts w:ascii="Times New Roman" w:hAnsi="Times New Roman" w:eastAsia="Times New Roman" w:cs="Times New Roman"/>
                <w:b/>
                <w:bCs/>
                <w:lang w:eastAsia="es-ES"/>
              </w:rPr>
            </w:pPr>
          </w:p>
        </w:tc>
        <w:tc>
          <w:tcPr>
            <w:tcW w:w="1679" w:type="dxa"/>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008A502F"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Personas juzgadoras</w:t>
            </w:r>
          </w:p>
        </w:tc>
        <w:tc>
          <w:tcPr>
            <w:tcW w:w="1887" w:type="dxa"/>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5532C58F"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Personas Técnicas Judiciales de trámite</w:t>
            </w:r>
          </w:p>
        </w:tc>
      </w:tr>
      <w:tr w:rsidRPr="00AE1B2B" w:rsidR="00AE1B2B" w:rsidTr="009D3FB5" w14:paraId="35437FF1" w14:textId="77777777">
        <w:trPr>
          <w:trHeight w:val="330"/>
          <w:tblHeader/>
          <w:jc w:val="center"/>
        </w:trPr>
        <w:tc>
          <w:tcPr>
            <w:tcW w:w="2830"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8683B2A"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Juzgado de Familia de San José</w:t>
            </w:r>
          </w:p>
        </w:tc>
        <w:tc>
          <w:tcPr>
            <w:tcW w:w="2432"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1B2A03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284</w:t>
            </w:r>
          </w:p>
        </w:tc>
        <w:tc>
          <w:tcPr>
            <w:tcW w:w="1679" w:type="dxa"/>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3CB9FFC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3,8</w:t>
            </w:r>
          </w:p>
        </w:tc>
        <w:tc>
          <w:tcPr>
            <w:tcW w:w="1887" w:type="dxa"/>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46974BC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6,0</w:t>
            </w:r>
          </w:p>
        </w:tc>
      </w:tr>
    </w:tbl>
    <w:p w:rsidRPr="00AE1B2B" w:rsidR="009D3FB5" w:rsidP="00163B94" w:rsidRDefault="009D3FB5" w14:paraId="7990082E"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w:t>
      </w:r>
    </w:p>
    <w:p w:rsidRPr="00AE1B2B" w:rsidR="009D3FB5" w:rsidP="00163B94" w:rsidRDefault="009D3FB5" w14:paraId="2596BF6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33A960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Un Juzgado de Familia único en San José requeriría en su estructura ideal de al menos 4 personas juzgadoras y 6 técnicos judiciales de trámite, para asumir la entrada de casos mensuales promedio, adicional una persona técnica judicial para atender manifestación y una persona Auxiliar de servicios generales para atender la limpieza de este despacho, quedando para ser reubicados dos personas juzgadoras, un Coordinadores Judiciales 2, cinco Técnicos Judiciales 2 y un Auxiliar de Servicios Generales. Continuando, bajo el criterio de que no se realizarán movimientos de personal, esto con objetivo de fomentar la reducción del circulante e impactar en los tiempos de proceso de manera inmediata, es que se plantea no realizar reubicaciones de personal en este despacho, de igual manera se plantea la estructura para este nuevo despacho, quedando de la siguiente forma.</w:t>
      </w:r>
    </w:p>
    <w:p w:rsidRPr="00AE1B2B" w:rsidR="009D3FB5" w:rsidP="00163B94" w:rsidRDefault="009D3FB5" w14:paraId="199A9E2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BB21190" w14:textId="08005154">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31</w:t>
      </w:r>
      <w:r w:rsidRPr="00AE1B2B">
        <w:rPr>
          <w:rFonts w:ascii="Times New Roman" w:hAnsi="Times New Roman" w:cs="Times New Roman"/>
          <w:sz w:val="26"/>
          <w:szCs w:val="26"/>
        </w:rPr>
        <w:fldChar w:fldCharType="end"/>
      </w:r>
    </w:p>
    <w:p w:rsidRPr="00AE1B2B" w:rsidR="009D3FB5" w:rsidP="00163B94" w:rsidRDefault="009D3FB5" w14:paraId="5958A185"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Estructura propuesta para un nuevo Juzgado de Familia de San José</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2731"/>
        <w:gridCol w:w="2746"/>
        <w:gridCol w:w="3351"/>
      </w:tblGrid>
      <w:tr w:rsidRPr="00AE1B2B" w:rsidR="00AE1B2B" w:rsidTr="009D3FB5" w14:paraId="0BDF2CE8" w14:textId="77777777">
        <w:trPr>
          <w:trHeight w:val="283"/>
          <w:tblHeader/>
          <w:jc w:val="center"/>
        </w:trPr>
        <w:tc>
          <w:tcPr>
            <w:tcW w:w="1547" w:type="pct"/>
            <w:shd w:val="clear" w:color="auto" w:fill="002060"/>
            <w:vAlign w:val="center"/>
          </w:tcPr>
          <w:p w:rsidRPr="00AE1B2B" w:rsidR="009D3FB5" w:rsidP="00163B94" w:rsidRDefault="009D3FB5" w14:paraId="38394DD9" w14:textId="77777777">
            <w:pPr>
              <w:spacing w:before="120" w:after="120" w:line="276" w:lineRule="auto"/>
              <w:jc w:val="center"/>
              <w:rPr>
                <w:rFonts w:ascii="Times New Roman" w:hAnsi="Times New Roman" w:cs="Times New Roman"/>
                <w:b/>
                <w:bCs/>
              </w:rPr>
            </w:pPr>
            <w:r w:rsidRPr="00AE1B2B">
              <w:rPr>
                <w:rFonts w:ascii="Times New Roman" w:hAnsi="Times New Roman" w:cs="Times New Roman"/>
                <w:b/>
                <w:bCs/>
              </w:rPr>
              <w:t>Juzgado</w:t>
            </w:r>
          </w:p>
        </w:tc>
        <w:tc>
          <w:tcPr>
            <w:tcW w:w="1555" w:type="pct"/>
            <w:shd w:val="clear" w:color="auto" w:fill="002060"/>
            <w:vAlign w:val="center"/>
          </w:tcPr>
          <w:p w:rsidRPr="00AE1B2B" w:rsidR="009D3FB5" w:rsidP="00163B94" w:rsidRDefault="009D3FB5" w14:paraId="096C5234" w14:textId="77777777">
            <w:pPr>
              <w:spacing w:before="120" w:after="120" w:line="276" w:lineRule="auto"/>
              <w:jc w:val="center"/>
              <w:rPr>
                <w:rFonts w:ascii="Times New Roman" w:hAnsi="Times New Roman" w:cs="Times New Roman"/>
                <w:b/>
                <w:bCs/>
              </w:rPr>
            </w:pPr>
            <w:r w:rsidRPr="00AE1B2B">
              <w:rPr>
                <w:rFonts w:ascii="Times New Roman" w:hAnsi="Times New Roman" w:cs="Times New Roman"/>
                <w:b/>
                <w:bCs/>
              </w:rPr>
              <w:t>Estructura orgánica funcional actual de los despachos</w:t>
            </w:r>
          </w:p>
        </w:tc>
        <w:tc>
          <w:tcPr>
            <w:tcW w:w="1898" w:type="pct"/>
            <w:shd w:val="clear" w:color="auto" w:fill="002060"/>
            <w:vAlign w:val="center"/>
          </w:tcPr>
          <w:p w:rsidRPr="00AE1B2B" w:rsidR="009D3FB5" w:rsidP="00163B94" w:rsidRDefault="009D3FB5" w14:paraId="1B9A5C99" w14:textId="77777777">
            <w:pPr>
              <w:spacing w:before="120" w:after="120" w:line="276" w:lineRule="auto"/>
              <w:jc w:val="center"/>
              <w:rPr>
                <w:rFonts w:ascii="Times New Roman" w:hAnsi="Times New Roman" w:cs="Times New Roman"/>
                <w:b/>
              </w:rPr>
            </w:pPr>
            <w:r w:rsidRPr="00AE1B2B">
              <w:rPr>
                <w:rFonts w:ascii="Times New Roman" w:hAnsi="Times New Roman" w:cs="Times New Roman"/>
                <w:b/>
              </w:rPr>
              <w:t>Estructura Propuesta</w:t>
            </w:r>
          </w:p>
        </w:tc>
      </w:tr>
      <w:tr w:rsidRPr="00AE1B2B" w:rsidR="00AE1B2B" w:rsidTr="009D3FB5" w14:paraId="0D700F99" w14:textId="77777777">
        <w:trPr>
          <w:jc w:val="center"/>
        </w:trPr>
        <w:tc>
          <w:tcPr>
            <w:tcW w:w="1547" w:type="pct"/>
            <w:shd w:val="clear" w:color="auto" w:fill="auto"/>
            <w:vAlign w:val="center"/>
          </w:tcPr>
          <w:p w:rsidRPr="00AE1B2B" w:rsidR="009D3FB5" w:rsidP="00163B94" w:rsidRDefault="009D3FB5" w14:paraId="0BCA7329" w14:textId="77777777">
            <w:pPr>
              <w:spacing w:before="120" w:after="120" w:line="276" w:lineRule="auto"/>
              <w:rPr>
                <w:rFonts w:ascii="Times New Roman" w:hAnsi="Times New Roman" w:cs="Times New Roman"/>
              </w:rPr>
            </w:pPr>
            <w:r w:rsidRPr="00AE1B2B">
              <w:rPr>
                <w:rFonts w:ascii="Times New Roman" w:hAnsi="Times New Roman" w:cs="Times New Roman"/>
              </w:rPr>
              <w:t>Juzgados Primero de Familia de San José</w:t>
            </w:r>
          </w:p>
        </w:tc>
        <w:tc>
          <w:tcPr>
            <w:tcW w:w="1555" w:type="pct"/>
            <w:shd w:val="clear" w:color="auto" w:fill="auto"/>
            <w:vAlign w:val="center"/>
          </w:tcPr>
          <w:p w:rsidRPr="00AE1B2B" w:rsidR="009D3FB5" w:rsidP="00163B94" w:rsidRDefault="009D3FB5" w14:paraId="70B0AC2E" w14:textId="77777777">
            <w:pPr>
              <w:spacing w:before="120" w:after="120" w:line="276" w:lineRule="auto"/>
              <w:rPr>
                <w:rFonts w:ascii="Times New Roman" w:hAnsi="Times New Roman" w:cs="Times New Roman"/>
              </w:rPr>
            </w:pPr>
            <w:r w:rsidRPr="00AE1B2B">
              <w:rPr>
                <w:rFonts w:ascii="Times New Roman" w:hAnsi="Times New Roman" w:cs="Times New Roman"/>
              </w:rPr>
              <w:t>3 Juezas/ces 3</w:t>
            </w:r>
          </w:p>
          <w:p w:rsidRPr="00AE1B2B" w:rsidR="009D3FB5" w:rsidP="00163B94" w:rsidRDefault="009D3FB5" w14:paraId="44CA5B12" w14:textId="77777777">
            <w:pPr>
              <w:spacing w:before="120" w:after="120" w:line="276" w:lineRule="auto"/>
              <w:rPr>
                <w:rFonts w:ascii="Times New Roman" w:hAnsi="Times New Roman" w:cs="Times New Roman"/>
              </w:rPr>
            </w:pPr>
            <w:r w:rsidRPr="00AE1B2B">
              <w:rPr>
                <w:rFonts w:ascii="Times New Roman" w:hAnsi="Times New Roman" w:cs="Times New Roman"/>
              </w:rPr>
              <w:t>1 Coordinadora/or Judicial 2</w:t>
            </w:r>
          </w:p>
          <w:p w:rsidRPr="00AE1B2B" w:rsidR="009D3FB5" w:rsidP="00163B94" w:rsidRDefault="009D3FB5" w14:paraId="22148CD8" w14:textId="77777777">
            <w:pPr>
              <w:spacing w:before="120" w:after="120" w:line="276" w:lineRule="auto"/>
              <w:rPr>
                <w:rFonts w:ascii="Times New Roman" w:hAnsi="Times New Roman" w:cs="Times New Roman"/>
              </w:rPr>
            </w:pPr>
            <w:r w:rsidRPr="00AE1B2B">
              <w:rPr>
                <w:rFonts w:ascii="Times New Roman" w:hAnsi="Times New Roman" w:cs="Times New Roman"/>
              </w:rPr>
              <w:t>6 Técnicas/os Judiciales 2</w:t>
            </w:r>
          </w:p>
          <w:p w:rsidRPr="00AE1B2B" w:rsidR="009D3FB5" w:rsidP="00163B94" w:rsidRDefault="009D3FB5" w14:paraId="096C0301" w14:textId="77777777">
            <w:pPr>
              <w:spacing w:before="120" w:after="120" w:line="276" w:lineRule="auto"/>
              <w:rPr>
                <w:rFonts w:ascii="Times New Roman" w:hAnsi="Times New Roman" w:cs="Times New Roman"/>
              </w:rPr>
            </w:pPr>
            <w:r w:rsidRPr="00AE1B2B">
              <w:rPr>
                <w:rFonts w:ascii="Times New Roman" w:hAnsi="Times New Roman" w:cs="Times New Roman"/>
              </w:rPr>
              <w:t>1 Auxiliar de Servicios Generales</w:t>
            </w:r>
          </w:p>
        </w:tc>
        <w:tc>
          <w:tcPr>
            <w:tcW w:w="1898" w:type="pct"/>
            <w:vMerge w:val="restart"/>
            <w:vAlign w:val="center"/>
          </w:tcPr>
          <w:p w:rsidRPr="00AE1B2B" w:rsidR="009D3FB5" w:rsidP="00163B94" w:rsidRDefault="009D3FB5" w14:paraId="0FBBEA40" w14:textId="77777777">
            <w:pPr>
              <w:spacing w:before="120" w:after="120" w:line="276" w:lineRule="auto"/>
              <w:rPr>
                <w:rFonts w:ascii="Times New Roman" w:hAnsi="Times New Roman" w:cs="Times New Roman"/>
                <w:b/>
                <w:bCs/>
              </w:rPr>
            </w:pPr>
            <w:r w:rsidRPr="00AE1B2B">
              <w:rPr>
                <w:rFonts w:ascii="Times New Roman" w:hAnsi="Times New Roman" w:cs="Times New Roman"/>
                <w:b/>
                <w:bCs/>
              </w:rPr>
              <w:t>Nuevo Juzgado de Familia de San José</w:t>
            </w:r>
          </w:p>
          <w:p w:rsidRPr="00AE1B2B" w:rsidR="009D3FB5" w:rsidP="00163B94" w:rsidRDefault="009D3FB5" w14:paraId="37164529" w14:textId="77777777">
            <w:pPr>
              <w:spacing w:before="120" w:after="120" w:line="276" w:lineRule="auto"/>
              <w:rPr>
                <w:rFonts w:ascii="Times New Roman" w:hAnsi="Times New Roman" w:cs="Times New Roman"/>
              </w:rPr>
            </w:pPr>
          </w:p>
          <w:p w:rsidRPr="00AE1B2B" w:rsidR="009D3FB5" w:rsidP="00163B94" w:rsidRDefault="009D3FB5" w14:paraId="6C67FA4D" w14:textId="77777777">
            <w:pPr>
              <w:spacing w:before="120" w:after="120" w:line="276" w:lineRule="auto"/>
              <w:rPr>
                <w:rFonts w:ascii="Times New Roman" w:hAnsi="Times New Roman" w:cs="Times New Roman"/>
              </w:rPr>
            </w:pPr>
            <w:r w:rsidRPr="00AE1B2B">
              <w:rPr>
                <w:rFonts w:ascii="Times New Roman" w:hAnsi="Times New Roman" w:cs="Times New Roman"/>
              </w:rPr>
              <w:t>6 Juezas/ces 3</w:t>
            </w:r>
          </w:p>
          <w:p w:rsidRPr="00AE1B2B" w:rsidR="009D3FB5" w:rsidP="00163B94" w:rsidRDefault="009D3FB5" w14:paraId="6BFA55F4" w14:textId="77777777">
            <w:pPr>
              <w:spacing w:before="120" w:after="120" w:line="276" w:lineRule="auto"/>
              <w:rPr>
                <w:rFonts w:ascii="Times New Roman" w:hAnsi="Times New Roman" w:cs="Times New Roman"/>
              </w:rPr>
            </w:pPr>
            <w:r w:rsidRPr="00AE1B2B">
              <w:rPr>
                <w:rFonts w:ascii="Times New Roman" w:hAnsi="Times New Roman" w:cs="Times New Roman"/>
              </w:rPr>
              <w:t>2 Coordinadores Judiciales 2</w:t>
            </w:r>
          </w:p>
          <w:p w:rsidRPr="00AE1B2B" w:rsidR="009D3FB5" w:rsidP="00163B94" w:rsidRDefault="009D3FB5" w14:paraId="7DC066C0" w14:textId="77777777">
            <w:pPr>
              <w:spacing w:before="120" w:after="120" w:line="276" w:lineRule="auto"/>
              <w:rPr>
                <w:rFonts w:ascii="Times New Roman" w:hAnsi="Times New Roman" w:cs="Times New Roman"/>
              </w:rPr>
            </w:pPr>
            <w:r w:rsidRPr="00AE1B2B">
              <w:rPr>
                <w:rFonts w:ascii="Times New Roman" w:hAnsi="Times New Roman" w:cs="Times New Roman"/>
              </w:rPr>
              <w:t xml:space="preserve">12 Técnicas/os Judiciales 2 </w:t>
            </w:r>
          </w:p>
          <w:p w:rsidRPr="00AE1B2B" w:rsidR="009D3FB5" w:rsidP="00163B94" w:rsidRDefault="009D3FB5" w14:paraId="5932D05B" w14:textId="77777777">
            <w:pPr>
              <w:spacing w:before="120" w:after="120" w:line="276" w:lineRule="auto"/>
              <w:rPr>
                <w:rFonts w:ascii="Times New Roman" w:hAnsi="Times New Roman" w:cs="Times New Roman"/>
              </w:rPr>
            </w:pPr>
            <w:r w:rsidRPr="00AE1B2B">
              <w:rPr>
                <w:rFonts w:ascii="Times New Roman" w:hAnsi="Times New Roman" w:cs="Times New Roman"/>
              </w:rPr>
              <w:t>2 Auxiliar de Servicios Generales</w:t>
            </w:r>
          </w:p>
        </w:tc>
      </w:tr>
      <w:tr w:rsidRPr="00AE1B2B" w:rsidR="00AE1B2B" w:rsidTr="009D3FB5" w14:paraId="5F508794" w14:textId="77777777">
        <w:trPr>
          <w:jc w:val="center"/>
        </w:trPr>
        <w:tc>
          <w:tcPr>
            <w:tcW w:w="1547" w:type="pct"/>
            <w:shd w:val="clear" w:color="auto" w:fill="auto"/>
            <w:vAlign w:val="center"/>
          </w:tcPr>
          <w:p w:rsidRPr="00AE1B2B" w:rsidR="009D3FB5" w:rsidP="00163B94" w:rsidRDefault="009D3FB5" w14:paraId="1F132093" w14:textId="77777777">
            <w:pPr>
              <w:spacing w:before="120" w:after="120" w:line="276" w:lineRule="auto"/>
              <w:rPr>
                <w:rFonts w:ascii="Times New Roman" w:hAnsi="Times New Roman" w:cs="Times New Roman"/>
              </w:rPr>
            </w:pPr>
            <w:r w:rsidRPr="00AE1B2B">
              <w:rPr>
                <w:rFonts w:ascii="Times New Roman" w:hAnsi="Times New Roman" w:cs="Times New Roman"/>
              </w:rPr>
              <w:t>Juzgados Segundo de Familia de San José</w:t>
            </w:r>
          </w:p>
        </w:tc>
        <w:tc>
          <w:tcPr>
            <w:tcW w:w="1555" w:type="pct"/>
            <w:shd w:val="clear" w:color="auto" w:fill="auto"/>
            <w:vAlign w:val="center"/>
          </w:tcPr>
          <w:p w:rsidRPr="00AE1B2B" w:rsidR="009D3FB5" w:rsidP="00163B94" w:rsidRDefault="009D3FB5" w14:paraId="3BD55F86" w14:textId="77777777">
            <w:pPr>
              <w:spacing w:before="120" w:after="120" w:line="276" w:lineRule="auto"/>
              <w:rPr>
                <w:rFonts w:ascii="Times New Roman" w:hAnsi="Times New Roman" w:cs="Times New Roman"/>
              </w:rPr>
            </w:pPr>
            <w:r w:rsidRPr="00AE1B2B">
              <w:rPr>
                <w:rFonts w:ascii="Times New Roman" w:hAnsi="Times New Roman" w:cs="Times New Roman"/>
              </w:rPr>
              <w:t>3 Juezas/ces 3</w:t>
            </w:r>
          </w:p>
          <w:p w:rsidRPr="00AE1B2B" w:rsidR="009D3FB5" w:rsidP="00163B94" w:rsidRDefault="009D3FB5" w14:paraId="03BE7365" w14:textId="77777777">
            <w:pPr>
              <w:spacing w:before="120" w:after="120" w:line="276" w:lineRule="auto"/>
              <w:rPr>
                <w:rFonts w:ascii="Times New Roman" w:hAnsi="Times New Roman" w:cs="Times New Roman"/>
              </w:rPr>
            </w:pPr>
            <w:r w:rsidRPr="00AE1B2B">
              <w:rPr>
                <w:rFonts w:ascii="Times New Roman" w:hAnsi="Times New Roman" w:cs="Times New Roman"/>
              </w:rPr>
              <w:t>1 Coordinadora/or Judicial 2</w:t>
            </w:r>
          </w:p>
          <w:p w:rsidRPr="00AE1B2B" w:rsidR="009D3FB5" w:rsidP="00163B94" w:rsidRDefault="009D3FB5" w14:paraId="3C5DA9C1" w14:textId="77777777">
            <w:pPr>
              <w:spacing w:before="120" w:after="120" w:line="276" w:lineRule="auto"/>
              <w:rPr>
                <w:rFonts w:ascii="Times New Roman" w:hAnsi="Times New Roman" w:cs="Times New Roman"/>
              </w:rPr>
            </w:pPr>
            <w:r w:rsidRPr="00AE1B2B">
              <w:rPr>
                <w:rFonts w:ascii="Times New Roman" w:hAnsi="Times New Roman" w:cs="Times New Roman"/>
              </w:rPr>
              <w:t>6 Técnicas/os Judiciales 2</w:t>
            </w:r>
          </w:p>
          <w:p w:rsidRPr="00AE1B2B" w:rsidR="009D3FB5" w:rsidP="00163B94" w:rsidRDefault="009D3FB5" w14:paraId="70463690" w14:textId="77777777">
            <w:pPr>
              <w:spacing w:before="120" w:after="120" w:line="276" w:lineRule="auto"/>
              <w:rPr>
                <w:rFonts w:ascii="Times New Roman" w:hAnsi="Times New Roman" w:cs="Times New Roman"/>
              </w:rPr>
            </w:pPr>
            <w:r w:rsidRPr="00AE1B2B">
              <w:rPr>
                <w:rFonts w:ascii="Times New Roman" w:hAnsi="Times New Roman" w:cs="Times New Roman"/>
              </w:rPr>
              <w:t>1 Auxiliar de Servicios Generales</w:t>
            </w:r>
          </w:p>
        </w:tc>
        <w:tc>
          <w:tcPr>
            <w:tcW w:w="1898" w:type="pct"/>
            <w:vMerge/>
          </w:tcPr>
          <w:p w:rsidRPr="00AE1B2B" w:rsidR="009D3FB5" w:rsidP="00163B94" w:rsidRDefault="009D3FB5" w14:paraId="50A83044" w14:textId="77777777">
            <w:pPr>
              <w:spacing w:before="120" w:after="120" w:line="276" w:lineRule="auto"/>
              <w:rPr>
                <w:rFonts w:ascii="Times New Roman" w:hAnsi="Times New Roman" w:cs="Times New Roman"/>
              </w:rPr>
            </w:pPr>
          </w:p>
        </w:tc>
      </w:tr>
    </w:tbl>
    <w:p w:rsidRPr="00AE1B2B" w:rsidR="009D3FB5" w:rsidP="00163B94" w:rsidRDefault="009D3FB5" w14:paraId="2F6E21AB"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w:t>
      </w:r>
    </w:p>
    <w:p w:rsidRPr="00AE1B2B" w:rsidR="009D3FB5" w:rsidP="00163B94" w:rsidRDefault="009D3FB5" w14:paraId="2F0E5BF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4EBBB9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Este escenario permitiría aprovechar de mejor manera los recursos disponibles, y disponer de mayor cantidad de personas para </w:t>
      </w:r>
      <w:r w:rsidRPr="00AE1B2B">
        <w:rPr>
          <w:rFonts w:ascii="Times New Roman" w:hAnsi="Times New Roman" w:cs="Times New Roman"/>
          <w:sz w:val="26"/>
          <w:szCs w:val="26"/>
        </w:rPr>
        <w:lastRenderedPageBreak/>
        <w:t>cubrir necesidades en otras oficinas, si se decidiera reubicar las personas identificadas como fuera de la estructura ideal propuesta para este despacho. Es importante indicar que se planea dejar la figura de la persona Auxiliar de Servicios Generales para que atienda las necesidades de limpieza de este despacho, ya que si se considerara la recalificación o movimiento de estos puestos, se tendría que incluir el costo de contratación de Servicio de Limpieza, subpartida 1.04.06 “</w:t>
      </w:r>
      <w:r w:rsidRPr="00AE1B2B">
        <w:rPr>
          <w:rFonts w:ascii="Times New Roman" w:hAnsi="Times New Roman" w:cs="Times New Roman"/>
          <w:i/>
          <w:iCs/>
          <w:sz w:val="26"/>
          <w:szCs w:val="26"/>
        </w:rPr>
        <w:t>Servicios Generales</w:t>
      </w:r>
      <w:r w:rsidRPr="00AE1B2B">
        <w:rPr>
          <w:rFonts w:ascii="Times New Roman" w:hAnsi="Times New Roman" w:cs="Times New Roman"/>
          <w:sz w:val="26"/>
          <w:szCs w:val="26"/>
        </w:rPr>
        <w:t>”, la cual actualmente se encuentra restringida por el aumento del Impuesto Valor Agregado (IVA) en los servicios, ya que este despacho cuenta con la figura de Auxiliar de Servicios Generales para atender esta necesidad.</w:t>
      </w:r>
    </w:p>
    <w:p w:rsidRPr="00AE1B2B" w:rsidR="009D3FB5" w:rsidP="00163B94" w:rsidRDefault="009D3FB5" w14:paraId="7288A96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FD6F568" w14:textId="7AD6106F">
      <w:pPr>
        <w:tabs>
          <w:tab w:val="left" w:pos="2513"/>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Como se indica en líneas anteriores, se propone no realizar movimientos de personas con fomentar la reducción del circulante e impactar en los tiempos de proceso de manera inmediata, lo cual es una medida que permite a la Institución dar respuesta a lo indicado por la Contraloría General de Repúblicas</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en el oficio DFOE-PG-IF-00002-2020 relacionado con “</w:t>
      </w:r>
      <w:r w:rsidRPr="00AE1B2B">
        <w:rPr>
          <w:rFonts w:ascii="Times New Roman" w:hAnsi="Times New Roman" w:cs="Times New Roman"/>
          <w:i/>
          <w:iCs/>
          <w:sz w:val="26"/>
          <w:szCs w:val="26"/>
        </w:rPr>
        <w:t>Informe de la Auditoría Operativa sobre la Gestión del Poder Judicial en cuanto a la Oportunidad de la Prestación del Servicio Público de Administración de la Justicia de los Juzgados de Familia y de Pensiones Alimentarias”</w:t>
      </w:r>
      <w:r w:rsidRPr="00AE1B2B">
        <w:rPr>
          <w:rFonts w:ascii="Times New Roman" w:hAnsi="Times New Roman" w:cs="Times New Roman"/>
          <w:sz w:val="26"/>
          <w:szCs w:val="26"/>
        </w:rPr>
        <w:t xml:space="preserve"> sobre </w:t>
      </w:r>
      <w:r w:rsidRPr="00AE1B2B">
        <w:rPr>
          <w:rFonts w:ascii="Times New Roman" w:hAnsi="Times New Roman" w:cs="Times New Roman"/>
          <w:i/>
          <w:iCs/>
          <w:sz w:val="26"/>
          <w:szCs w:val="26"/>
        </w:rPr>
        <w:t>“…la duración excesiva y no justificada de los procesos judiciales…”.</w:t>
      </w:r>
    </w:p>
    <w:p w:rsidRPr="00AE1B2B" w:rsidR="009D3FB5" w:rsidP="00163B94" w:rsidRDefault="009D3FB5" w14:paraId="74918AB1" w14:textId="77777777">
      <w:pPr>
        <w:tabs>
          <w:tab w:val="left" w:pos="2513"/>
        </w:tabs>
        <w:spacing w:before="120" w:after="120"/>
        <w:ind w:left="851" w:right="851" w:firstLine="709"/>
        <w:jc w:val="both"/>
        <w:rPr>
          <w:rFonts w:ascii="Times New Roman" w:hAnsi="Times New Roman" w:cs="Times New Roman"/>
          <w:sz w:val="26"/>
          <w:szCs w:val="26"/>
        </w:rPr>
      </w:pPr>
    </w:p>
    <w:p w:rsidRPr="00AE1B2B" w:rsidR="009D3FB5" w:rsidP="00163B94" w:rsidRDefault="009D3FB5" w14:paraId="0E82A88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sz w:val="26"/>
          <w:szCs w:val="26"/>
        </w:rPr>
        <w:t>Escenario 2: Separación de competencia territorial de estos despachos</w:t>
      </w:r>
    </w:p>
    <w:p w:rsidRPr="00AE1B2B" w:rsidR="009D3FB5" w:rsidP="00163B94" w:rsidRDefault="009D3FB5" w14:paraId="45872E9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Al contar estos dos despachos con las mismas competencias territoriales, se plantea la posibilidad de separarlos con el objetivo de equiparar en cargas de trabajo y reubicar plazas para la creación de un nuevo despacho donde se determine que se requiere en mayor medida conforme a la demanda del servicio de la población. Para este análisis se requiere contar con la información de la procedencia de cada uno de los casos que entran a cada uno de los despachos, datos que en la actualidad no son completados por estos despachos y que a través de la información estadística disponible del último año es posible generar una inferencia sólida para la toma de decisiones, ya que estos despachos no incluyen la información de la procedencia de los casos de manera responsable</w:t>
      </w:r>
      <w:r w:rsidRPr="00AE1B2B">
        <w:rPr>
          <w:rFonts w:ascii="Times New Roman" w:hAnsi="Times New Roman" w:cs="Times New Roman"/>
          <w:b/>
          <w:i/>
          <w:sz w:val="26"/>
          <w:szCs w:val="26"/>
        </w:rPr>
        <w:t xml:space="preserve"> (anexo 16)</w:t>
      </w:r>
      <w:r w:rsidRPr="00AE1B2B">
        <w:rPr>
          <w:rFonts w:ascii="Times New Roman" w:hAnsi="Times New Roman" w:cs="Times New Roman"/>
          <w:sz w:val="26"/>
          <w:szCs w:val="26"/>
        </w:rPr>
        <w:t xml:space="preserve">. Debido a esto es que no se puede realizar este ejercicio, pero se provecha para recordar los oficios enviados por el Subproceso de Estadística de la Dirección de Planificación a los despachos solicitando completar la información </w:t>
      </w:r>
      <w:r w:rsidRPr="00AE1B2B">
        <w:rPr>
          <w:rFonts w:ascii="Times New Roman" w:hAnsi="Times New Roman" w:cs="Times New Roman"/>
          <w:sz w:val="26"/>
          <w:szCs w:val="26"/>
        </w:rPr>
        <w:lastRenderedPageBreak/>
        <w:t>de los expedientes y recordando la importancia de que la información incluida sea revisada (</w:t>
      </w:r>
      <w:r w:rsidRPr="00AE1B2B">
        <w:rPr>
          <w:rFonts w:ascii="Times New Roman" w:hAnsi="Times New Roman" w:cs="Times New Roman"/>
          <w:b/>
          <w:bCs/>
          <w:i/>
          <w:iCs/>
          <w:sz w:val="26"/>
          <w:szCs w:val="26"/>
        </w:rPr>
        <w:t>anexo</w:t>
      </w:r>
      <w:r w:rsidRPr="00AE1B2B">
        <w:rPr>
          <w:rFonts w:ascii="Times New Roman" w:hAnsi="Times New Roman" w:cs="Times New Roman"/>
          <w:b/>
          <w:i/>
          <w:sz w:val="26"/>
          <w:szCs w:val="26"/>
        </w:rPr>
        <w:t xml:space="preserve"> </w:t>
      </w:r>
      <w:r w:rsidRPr="00AE1B2B">
        <w:rPr>
          <w:rFonts w:ascii="Times New Roman" w:hAnsi="Times New Roman" w:cs="Times New Roman"/>
          <w:b/>
          <w:bCs/>
          <w:i/>
          <w:iCs/>
          <w:sz w:val="26"/>
          <w:szCs w:val="26"/>
        </w:rPr>
        <w:t>17</w:t>
      </w:r>
      <w:r w:rsidRPr="00AE1B2B">
        <w:rPr>
          <w:rFonts w:ascii="Times New Roman" w:hAnsi="Times New Roman" w:cs="Times New Roman"/>
          <w:b/>
          <w:i/>
          <w:sz w:val="26"/>
          <w:szCs w:val="26"/>
        </w:rPr>
        <w:t>)</w:t>
      </w:r>
      <w:r w:rsidRPr="00AE1B2B">
        <w:rPr>
          <w:rFonts w:ascii="Times New Roman" w:hAnsi="Times New Roman" w:cs="Times New Roman"/>
          <w:sz w:val="26"/>
          <w:szCs w:val="26"/>
        </w:rPr>
        <w:t xml:space="preserve">. </w:t>
      </w:r>
    </w:p>
    <w:p w:rsidRPr="00AE1B2B" w:rsidR="009D3FB5" w:rsidP="00163B94" w:rsidRDefault="009D3FB5" w14:paraId="6E13F70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EF8B803"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sz w:val="26"/>
          <w:szCs w:val="26"/>
        </w:rPr>
        <w:t xml:space="preserve">Lo anterior también de conformidad con la </w:t>
      </w:r>
      <w:r w:rsidRPr="00AE1B2B">
        <w:rPr>
          <w:rFonts w:ascii="Times New Roman" w:hAnsi="Times New Roman" w:cs="Times New Roman"/>
          <w:b/>
          <w:bCs/>
          <w:i/>
          <w:iCs/>
          <w:sz w:val="26"/>
          <w:szCs w:val="26"/>
        </w:rPr>
        <w:t>circular 190-20</w:t>
      </w:r>
      <w:r w:rsidRPr="00AE1B2B">
        <w:rPr>
          <w:rFonts w:ascii="Times New Roman" w:hAnsi="Times New Roman" w:cs="Times New Roman"/>
          <w:sz w:val="26"/>
          <w:szCs w:val="26"/>
        </w:rPr>
        <w:t xml:space="preserve"> </w:t>
      </w:r>
      <w:r w:rsidRPr="00AE1B2B">
        <w:rPr>
          <w:rFonts w:ascii="Times New Roman" w:hAnsi="Times New Roman" w:cs="Times New Roman"/>
          <w:i/>
          <w:iCs/>
          <w:sz w:val="26"/>
          <w:szCs w:val="26"/>
        </w:rPr>
        <w:t>“Reiteración de las circulares 87-15, 159-15, 27 y 28-16, 160-16, 89-18, 133-18 y 94-2019 con relación a la obligación de mantener todos los registros actualizados en el Sistema de Gestión y Escritorio Virtual.”</w:t>
      </w:r>
    </w:p>
    <w:p w:rsidRPr="00AE1B2B" w:rsidR="009D3FB5" w:rsidP="00163B94" w:rsidRDefault="009D3FB5" w14:paraId="76B8174A"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0F6267AC"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sz w:val="26"/>
          <w:szCs w:val="26"/>
        </w:rPr>
        <w:t>Y la circular 23-2021</w:t>
      </w:r>
      <w:r w:rsidRPr="00AE1B2B">
        <w:rPr>
          <w:rFonts w:ascii="Times New Roman" w:hAnsi="Times New Roman" w:cs="Times New Roman"/>
          <w:i/>
          <w:iCs/>
          <w:sz w:val="26"/>
          <w:szCs w:val="26"/>
        </w:rPr>
        <w:t xml:space="preserve"> “Reiteración de la circular N° 15-2019, sobre la importancia de mantener actualizado los sistemas informáticos y efectuar un registro diario y actualizado de la información de esos sistemas, entre ellos el Sistema Costarricense de Gestión de Despachos Judiciales (SCGDJ) y el de la Agenda “Cronos”, entre otros.”</w:t>
      </w:r>
    </w:p>
    <w:p w:rsidRPr="00AE1B2B" w:rsidR="009D3FB5" w:rsidP="00163B94" w:rsidRDefault="009D3FB5" w14:paraId="4D2FF9A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 por lo anterior que los escenarios planteados se analizaran con mayor detalle en el segundo semestre 2021-primer semestre 2022, una vez realizado al menos el seguimiento a ambas oficinas por seis meses conforme al Modelo de Sostenibilidad y Seguimiento Institucional y los inventarios en materia de Familia 2021.</w:t>
      </w:r>
    </w:p>
    <w:p w:rsidRPr="00AE1B2B" w:rsidR="009D3FB5" w:rsidP="00163B94" w:rsidRDefault="009D3FB5" w14:paraId="4488DF5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1ED19D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0055C5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8B5676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 de Familia, de Niñez y Adolescencia</w:t>
      </w:r>
    </w:p>
    <w:p w:rsidRPr="00AE1B2B" w:rsidR="009D3FB5" w:rsidP="00163B94" w:rsidRDefault="009D3FB5" w14:paraId="224BB6E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Un caso especial de los juzgados especializados es el de Familia, de Niñez y Adolescencia, el cual con el CPF se adiciona a la Ley 7333, Ley Orgánica del Poder Judicial el artículo 106 bis:</w:t>
      </w:r>
    </w:p>
    <w:p w:rsidRPr="00AE1B2B" w:rsidR="009D3FB5" w:rsidP="00163B94" w:rsidRDefault="009D3FB5" w14:paraId="4DB56EE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46C4E5D"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“Artículo 106 bis- Juzgados de Niñez y Adolescencia</w:t>
      </w:r>
    </w:p>
    <w:p w:rsidRPr="00AE1B2B" w:rsidR="009D3FB5" w:rsidP="00163B94" w:rsidRDefault="009D3FB5" w14:paraId="0A07135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Los juzgados de Niñez y Adolescencia conocerán de:</w:t>
      </w:r>
    </w:p>
    <w:p w:rsidRPr="00AE1B2B" w:rsidR="009D3FB5" w:rsidP="00163B94" w:rsidRDefault="009D3FB5" w14:paraId="4C7DA401"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rsidRPr="00AE1B2B" w:rsidR="009D3FB5" w:rsidP="00163B94" w:rsidRDefault="009D3FB5" w14:paraId="0B09AB6F"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2) Las diligencias de protección cautelar referidas a personas menores de edad.</w:t>
      </w:r>
    </w:p>
    <w:p w:rsidRPr="00AE1B2B" w:rsidR="009D3FB5" w:rsidP="00163B94" w:rsidRDefault="009D3FB5" w14:paraId="0D02787A"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3) Los procesos relativos a la adopción de personas menores de edad y su oposición.</w:t>
      </w:r>
    </w:p>
    <w:p w:rsidRPr="00AE1B2B" w:rsidR="009D3FB5" w:rsidP="00163B94" w:rsidRDefault="009D3FB5" w14:paraId="32D487CF"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4) Los asuntos de petición unilateral de nombramiento de personas depositarias para personas menores de edad y de nombramiento de personas tutoras para personas menores de edad.</w:t>
      </w:r>
    </w:p>
    <w:p w:rsidRPr="00AE1B2B" w:rsidR="009D3FB5" w:rsidP="00163B94" w:rsidRDefault="009D3FB5" w14:paraId="1E6ADF7A"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5) La diligencia de comunicación que establece el artículo 32 de la Ley N.º 7739, Código de la Niñez y la Adolescencia, de 6 de enero de 1998.</w:t>
      </w:r>
    </w:p>
    <w:p w:rsidRPr="00AE1B2B" w:rsidR="009D3FB5" w:rsidP="00163B94" w:rsidRDefault="009D3FB5" w14:paraId="050C058B"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6) Los procedimientos de restitución internacional de personas menores de edad, de adopción internacional y los demás de aplicación de convenios internacionales relativos a materia de niñez y adolescencia.</w:t>
      </w:r>
    </w:p>
    <w:p w:rsidRPr="00AE1B2B" w:rsidR="009D3FB5" w:rsidP="00163B94" w:rsidRDefault="009D3FB5" w14:paraId="393D5E2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Los procedimientos establecidos en el inciso 6) deberán ser conocidos, exclusivamente, en los juzgados de Niñez y Adolescencia del Primer Circuito Judicial de San José.</w:t>
      </w:r>
    </w:p>
    <w:p w:rsidRPr="00AE1B2B" w:rsidR="009D3FB5" w:rsidP="00163B94" w:rsidRDefault="009D3FB5" w14:paraId="0251713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i/>
          <w:iCs/>
          <w:sz w:val="26"/>
          <w:szCs w:val="26"/>
        </w:rPr>
        <w:t>En los lugares en los cuales no exista este despacho, la competencia de estas materias corresponderá al Juzgado de Familia.”</w:t>
      </w:r>
    </w:p>
    <w:p w:rsidRPr="00AE1B2B" w:rsidR="009D3FB5" w:rsidP="00163B94" w:rsidRDefault="009D3FB5" w14:paraId="0970C7D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6AF1E7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impacto directo esperado del CPF, en el Juzgado de Familia, de Niñez y Adolescencia se espera que sea mínimo, ya que este despacho a diferencia de los demás despachos especializados no tendría casos que se estarían desjudicializando, a excepción de las adopciones de personas mayores de edad, pero que actualmente no se registran específicamente en los datos estadísticos diferenciando el tipo de persona involucrada (mayor o menor de edad), lo que limita la posibilidad de utilizar datos específicos de ese segmento de población para estimar el impacto.</w:t>
      </w:r>
    </w:p>
    <w:p w:rsidRPr="00AE1B2B" w:rsidR="009D3FB5" w:rsidP="00163B94" w:rsidRDefault="009D3FB5" w14:paraId="4730447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1BE545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siguiente gráfico se detalla el circulante por fase en asuntos principales de los Juzgado de Familia, Niñez y Adolescencia, durante el periodo del 2015 al 2019.</w:t>
      </w:r>
    </w:p>
    <w:p w:rsidRPr="00AE1B2B" w:rsidR="009D3FB5" w:rsidP="00163B94" w:rsidRDefault="009D3FB5" w14:paraId="1DB6EE7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DE7290B" w14:textId="00F0067A">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32</w:t>
      </w:r>
      <w:r w:rsidRPr="00AE1B2B">
        <w:rPr>
          <w:rFonts w:ascii="Times New Roman" w:hAnsi="Times New Roman" w:cs="Times New Roman"/>
          <w:sz w:val="26"/>
          <w:szCs w:val="26"/>
        </w:rPr>
        <w:fldChar w:fldCharType="end"/>
      </w:r>
    </w:p>
    <w:p w:rsidRPr="00AE1B2B" w:rsidR="009D3FB5" w:rsidP="00163B94" w:rsidRDefault="009D3FB5" w14:paraId="781E4E5B" w14:textId="13351AAA">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Movimiento histórico del circulante por fase en el</w:t>
      </w:r>
    </w:p>
    <w:p w:rsidRPr="00AE1B2B" w:rsidR="009D3FB5" w:rsidP="00163B94" w:rsidRDefault="009D3FB5" w14:paraId="3DB0DE36"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lastRenderedPageBreak/>
        <w:t>Juzgado de Familia, Niñez y Adolescencia, del 2015 al 2019</w:t>
      </w:r>
    </w:p>
    <w:tbl>
      <w:tblPr>
        <w:tblW w:w="5000" w:type="pct"/>
        <w:tblCellMar>
          <w:left w:w="70" w:type="dxa"/>
          <w:right w:w="70" w:type="dxa"/>
        </w:tblCellMar>
        <w:tblLook w:val="04A0" w:firstRow="1" w:lastRow="0" w:firstColumn="1" w:lastColumn="0" w:noHBand="0" w:noVBand="1"/>
      </w:tblPr>
      <w:tblGrid>
        <w:gridCol w:w="3376"/>
        <w:gridCol w:w="859"/>
        <w:gridCol w:w="859"/>
        <w:gridCol w:w="860"/>
        <w:gridCol w:w="860"/>
        <w:gridCol w:w="860"/>
        <w:gridCol w:w="1154"/>
      </w:tblGrid>
      <w:tr w:rsidRPr="00AE1B2B" w:rsidR="00AE1B2B" w:rsidTr="009D3FB5" w14:paraId="7B58C647" w14:textId="77777777">
        <w:trPr>
          <w:trHeight w:val="113"/>
        </w:trPr>
        <w:tc>
          <w:tcPr>
            <w:tcW w:w="1918"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45499FD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Fase</w:t>
            </w:r>
          </w:p>
        </w:tc>
        <w:tc>
          <w:tcPr>
            <w:tcW w:w="492"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348626B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2015</w:t>
            </w:r>
          </w:p>
        </w:tc>
        <w:tc>
          <w:tcPr>
            <w:tcW w:w="492"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19872C7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2016</w:t>
            </w:r>
          </w:p>
        </w:tc>
        <w:tc>
          <w:tcPr>
            <w:tcW w:w="492"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71C2AF9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2017</w:t>
            </w:r>
          </w:p>
        </w:tc>
        <w:tc>
          <w:tcPr>
            <w:tcW w:w="492"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54D7418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2018</w:t>
            </w:r>
          </w:p>
        </w:tc>
        <w:tc>
          <w:tcPr>
            <w:tcW w:w="492"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60FA5DE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2019</w:t>
            </w:r>
          </w:p>
        </w:tc>
        <w:tc>
          <w:tcPr>
            <w:tcW w:w="621"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7FF1D3D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w:t>
            </w:r>
          </w:p>
        </w:tc>
      </w:tr>
      <w:tr w:rsidRPr="00AE1B2B" w:rsidR="00AE1B2B" w:rsidTr="009D3FB5" w14:paraId="2DC179B6" w14:textId="77777777">
        <w:trPr>
          <w:trHeight w:val="113"/>
        </w:trPr>
        <w:tc>
          <w:tcPr>
            <w:tcW w:w="1918" w:type="pct"/>
            <w:tcBorders>
              <w:top w:val="nil"/>
              <w:left w:val="single" w:color="auto" w:sz="4" w:space="0"/>
              <w:bottom w:val="single" w:color="auto" w:sz="4" w:space="0"/>
              <w:right w:val="single" w:color="auto" w:sz="4" w:space="0"/>
            </w:tcBorders>
            <w:shd w:val="clear" w:color="000000" w:fill="FFFFFF"/>
            <w:noWrap/>
            <w:vAlign w:val="center"/>
            <w:hideMark/>
          </w:tcPr>
          <w:p w:rsidRPr="00AE1B2B" w:rsidR="009D3FB5" w:rsidP="00163B94" w:rsidRDefault="009D3FB5" w14:paraId="17BB96A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Demanda</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128EED5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224</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1034F62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278</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5AD5240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483</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3DD491F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598</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1EF06DA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724</w:t>
            </w:r>
          </w:p>
        </w:tc>
        <w:tc>
          <w:tcPr>
            <w:tcW w:w="621" w:type="pct"/>
            <w:tcBorders>
              <w:top w:val="nil"/>
              <w:left w:val="nil"/>
              <w:bottom w:val="single" w:color="auto" w:sz="4" w:space="0"/>
              <w:right w:val="single" w:color="auto" w:sz="4" w:space="0"/>
            </w:tcBorders>
            <w:shd w:val="clear" w:color="000000" w:fill="F2F2F2"/>
            <w:noWrap/>
            <w:vAlign w:val="center"/>
            <w:hideMark/>
          </w:tcPr>
          <w:p w:rsidRPr="00AE1B2B" w:rsidR="009D3FB5" w:rsidP="00163B94" w:rsidRDefault="009D3FB5" w14:paraId="08AB46A2"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60%</w:t>
            </w:r>
          </w:p>
        </w:tc>
      </w:tr>
      <w:tr w:rsidRPr="00AE1B2B" w:rsidR="00AE1B2B" w:rsidTr="009D3FB5" w14:paraId="391F9CA0" w14:textId="77777777">
        <w:trPr>
          <w:trHeight w:val="113"/>
        </w:trPr>
        <w:tc>
          <w:tcPr>
            <w:tcW w:w="1918" w:type="pct"/>
            <w:tcBorders>
              <w:top w:val="nil"/>
              <w:left w:val="single" w:color="auto" w:sz="4" w:space="0"/>
              <w:bottom w:val="single" w:color="auto" w:sz="4" w:space="0"/>
              <w:right w:val="single" w:color="auto" w:sz="4" w:space="0"/>
            </w:tcBorders>
            <w:shd w:val="clear" w:color="000000" w:fill="FFFFFF"/>
            <w:noWrap/>
            <w:vAlign w:val="center"/>
            <w:hideMark/>
          </w:tcPr>
          <w:p w:rsidRPr="00AE1B2B" w:rsidR="009D3FB5" w:rsidP="00163B94" w:rsidRDefault="009D3FB5" w14:paraId="7267122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Demostrativa</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7731717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330</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3EDA945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245</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627A54D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310</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0A1526D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354</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687F566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400</w:t>
            </w:r>
          </w:p>
        </w:tc>
        <w:tc>
          <w:tcPr>
            <w:tcW w:w="621" w:type="pct"/>
            <w:tcBorders>
              <w:top w:val="nil"/>
              <w:left w:val="nil"/>
              <w:bottom w:val="single" w:color="auto" w:sz="4" w:space="0"/>
              <w:right w:val="single" w:color="auto" w:sz="4" w:space="0"/>
            </w:tcBorders>
            <w:shd w:val="clear" w:color="000000" w:fill="F2F2F2"/>
            <w:noWrap/>
            <w:vAlign w:val="center"/>
            <w:hideMark/>
          </w:tcPr>
          <w:p w:rsidRPr="00AE1B2B" w:rsidR="009D3FB5" w:rsidP="00163B94" w:rsidRDefault="009D3FB5" w14:paraId="7821860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33%</w:t>
            </w:r>
          </w:p>
        </w:tc>
      </w:tr>
      <w:tr w:rsidRPr="00AE1B2B" w:rsidR="00AE1B2B" w:rsidTr="009D3FB5" w14:paraId="2FC21FC4" w14:textId="77777777">
        <w:trPr>
          <w:trHeight w:val="113"/>
        </w:trPr>
        <w:tc>
          <w:tcPr>
            <w:tcW w:w="1918" w:type="pct"/>
            <w:tcBorders>
              <w:top w:val="nil"/>
              <w:left w:val="single" w:color="auto" w:sz="4" w:space="0"/>
              <w:bottom w:val="single" w:color="auto" w:sz="4" w:space="0"/>
              <w:right w:val="single" w:color="auto" w:sz="4" w:space="0"/>
            </w:tcBorders>
            <w:shd w:val="clear" w:color="000000" w:fill="FFFFFF"/>
            <w:noWrap/>
            <w:vAlign w:val="center"/>
            <w:hideMark/>
          </w:tcPr>
          <w:p w:rsidRPr="00AE1B2B" w:rsidR="009D3FB5" w:rsidP="00163B94" w:rsidRDefault="009D3FB5" w14:paraId="0CC8772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Conclusiva</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018EC7A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5D8E91B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4178BB8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47</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4FBDEE4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46</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446AC5E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79</w:t>
            </w:r>
          </w:p>
        </w:tc>
        <w:tc>
          <w:tcPr>
            <w:tcW w:w="621" w:type="pct"/>
            <w:tcBorders>
              <w:top w:val="nil"/>
              <w:left w:val="nil"/>
              <w:bottom w:val="single" w:color="auto" w:sz="4" w:space="0"/>
              <w:right w:val="single" w:color="auto" w:sz="4" w:space="0"/>
            </w:tcBorders>
            <w:shd w:val="clear" w:color="000000" w:fill="F2F2F2"/>
            <w:noWrap/>
            <w:vAlign w:val="center"/>
            <w:hideMark/>
          </w:tcPr>
          <w:p w:rsidRPr="00AE1B2B" w:rsidR="009D3FB5" w:rsidP="00163B94" w:rsidRDefault="009D3FB5" w14:paraId="4F37EE6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7%</w:t>
            </w:r>
          </w:p>
        </w:tc>
      </w:tr>
      <w:tr w:rsidRPr="00AE1B2B" w:rsidR="00AE1B2B" w:rsidTr="009D3FB5" w14:paraId="02E638D1" w14:textId="77777777">
        <w:trPr>
          <w:trHeight w:val="113"/>
        </w:trPr>
        <w:tc>
          <w:tcPr>
            <w:tcW w:w="1918" w:type="pct"/>
            <w:tcBorders>
              <w:top w:val="nil"/>
              <w:left w:val="single" w:color="auto" w:sz="4" w:space="0"/>
              <w:bottom w:val="single" w:color="auto" w:sz="4" w:space="0"/>
              <w:right w:val="single" w:color="auto" w:sz="4" w:space="0"/>
            </w:tcBorders>
            <w:shd w:val="clear" w:color="000000" w:fill="FFFFFF"/>
            <w:noWrap/>
            <w:vAlign w:val="center"/>
            <w:hideMark/>
          </w:tcPr>
          <w:p w:rsidRPr="00AE1B2B" w:rsidR="009D3FB5" w:rsidP="00163B94" w:rsidRDefault="009D3FB5" w14:paraId="4549721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Ejecución</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2DAA34D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75BB0D0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23F094D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5F8B1CA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492" w:type="pct"/>
            <w:tcBorders>
              <w:top w:val="nil"/>
              <w:left w:val="nil"/>
              <w:bottom w:val="single" w:color="auto" w:sz="4" w:space="0"/>
              <w:right w:val="single" w:color="auto" w:sz="4" w:space="0"/>
            </w:tcBorders>
            <w:shd w:val="clear" w:color="000000" w:fill="FFFFFF"/>
            <w:noWrap/>
            <w:vAlign w:val="center"/>
            <w:hideMark/>
          </w:tcPr>
          <w:p w:rsidRPr="00AE1B2B" w:rsidR="009D3FB5" w:rsidP="00163B94" w:rsidRDefault="009D3FB5" w14:paraId="76D7FC8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621" w:type="pct"/>
            <w:tcBorders>
              <w:top w:val="nil"/>
              <w:left w:val="nil"/>
              <w:bottom w:val="single" w:color="auto" w:sz="4" w:space="0"/>
              <w:right w:val="single" w:color="auto" w:sz="4" w:space="0"/>
            </w:tcBorders>
            <w:shd w:val="clear" w:color="000000" w:fill="F2F2F2"/>
            <w:noWrap/>
            <w:vAlign w:val="center"/>
            <w:hideMark/>
          </w:tcPr>
          <w:p w:rsidRPr="00AE1B2B" w:rsidR="009D3FB5" w:rsidP="00163B94" w:rsidRDefault="009D3FB5" w14:paraId="56FEAAA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0%</w:t>
            </w:r>
          </w:p>
        </w:tc>
      </w:tr>
      <w:tr w:rsidRPr="00AE1B2B" w:rsidR="00AE1B2B" w:rsidTr="009D3FB5" w14:paraId="795892FA" w14:textId="77777777">
        <w:trPr>
          <w:trHeight w:val="113"/>
        </w:trPr>
        <w:tc>
          <w:tcPr>
            <w:tcW w:w="1918" w:type="pct"/>
            <w:tcBorders>
              <w:top w:val="nil"/>
              <w:left w:val="single" w:color="auto" w:sz="4" w:space="0"/>
              <w:bottom w:val="single" w:color="auto" w:sz="4" w:space="0"/>
              <w:right w:val="single" w:color="auto" w:sz="4" w:space="0"/>
            </w:tcBorders>
            <w:shd w:val="clear" w:color="000000" w:fill="808080"/>
            <w:noWrap/>
            <w:vAlign w:val="center"/>
            <w:hideMark/>
          </w:tcPr>
          <w:p w:rsidRPr="00AE1B2B" w:rsidR="009D3FB5" w:rsidP="00163B94" w:rsidRDefault="009D3FB5" w14:paraId="551E6378" w14:textId="77777777">
            <w:pPr>
              <w:spacing w:before="120" w:after="120" w:line="276" w:lineRule="auto"/>
              <w:jc w:val="right"/>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Total </w:t>
            </w:r>
          </w:p>
        </w:tc>
        <w:tc>
          <w:tcPr>
            <w:tcW w:w="492"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09DADF9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604</w:t>
            </w:r>
          </w:p>
        </w:tc>
        <w:tc>
          <w:tcPr>
            <w:tcW w:w="492"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2CC185E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548</w:t>
            </w:r>
          </w:p>
        </w:tc>
        <w:tc>
          <w:tcPr>
            <w:tcW w:w="492"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173A5F5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840</w:t>
            </w:r>
          </w:p>
        </w:tc>
        <w:tc>
          <w:tcPr>
            <w:tcW w:w="492"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3568221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998</w:t>
            </w:r>
          </w:p>
        </w:tc>
        <w:tc>
          <w:tcPr>
            <w:tcW w:w="492"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76F16B0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1203</w:t>
            </w:r>
          </w:p>
        </w:tc>
        <w:tc>
          <w:tcPr>
            <w:tcW w:w="621"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26A3EA1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100%</w:t>
            </w:r>
          </w:p>
        </w:tc>
      </w:tr>
    </w:tbl>
    <w:p w:rsidRPr="00AE1B2B" w:rsidR="009D3FB5" w:rsidP="00163B94" w:rsidRDefault="009D3FB5" w14:paraId="560B6F1D"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Subproceso de Modernización Institucional, con datos del Subproceso de Estadística del 2015 al 2019. </w:t>
      </w:r>
    </w:p>
    <w:p w:rsidRPr="00AE1B2B" w:rsidR="009D3FB5" w:rsidP="00163B94" w:rsidRDefault="009D3FB5" w14:paraId="0FB293C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0DB6CB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CE6904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Como se observa en el cuadro anterior, durante los últimos cinco años, se ha dado un crecimiento paulatino en el circulante, pasando de 604 asuntos al finalizar 1015 a 1203 al finalizar 2019 (incremento del 50%). </w:t>
      </w:r>
    </w:p>
    <w:p w:rsidRPr="00AE1B2B" w:rsidR="009D3FB5" w:rsidP="00163B94" w:rsidRDefault="009D3FB5" w14:paraId="0438FD6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Al finalizar el 2020, la oficina reporto un circulante de 1187, logrando reducir la cantidad de casos activos en solo 16 asuntos respecto al año anterior.</w:t>
      </w:r>
    </w:p>
    <w:p w:rsidRPr="00AE1B2B" w:rsidR="009D3FB5" w:rsidP="00163B94" w:rsidRDefault="009D3FB5" w14:paraId="195E58E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3861CE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Al graficar en conjunto la entrada total de casos (entrados+ testimonio de piezas + reentrados), los terminados totales (terminados + inactivos) y el circulante en trámite al finalizar el periodo de 2015 a 2019 se obtiene que en el año 2019 se registra una mayor cantidad de casos entrados con 1190, y el circulante en trámite más alto de los últimos cinco años con 1203 expedientes. La cantidad de terminados se mantienen en crecimiento desde el 2017, pero registrando en 2019 una cantidad inferior a la registrada en 2015, como se muestra en el siguiente gráfico.</w:t>
      </w:r>
    </w:p>
    <w:p w:rsidRPr="00AE1B2B" w:rsidR="009D3FB5" w:rsidP="00163B94" w:rsidRDefault="009D3FB5" w14:paraId="5B102C4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67F6F85" w14:textId="23E861BA">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Gráfico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Gráfico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7</w:t>
      </w:r>
      <w:r w:rsidRPr="00AE1B2B">
        <w:rPr>
          <w:rFonts w:ascii="Times New Roman" w:hAnsi="Times New Roman" w:cs="Times New Roman"/>
          <w:sz w:val="26"/>
          <w:szCs w:val="26"/>
        </w:rPr>
        <w:fldChar w:fldCharType="end"/>
      </w:r>
    </w:p>
    <w:p w:rsidRPr="00AE1B2B" w:rsidR="009D3FB5" w:rsidP="00163B94" w:rsidRDefault="009D3FB5" w14:paraId="31E5FEFC" w14:textId="24F9D96A">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Entrado total, terminado total y circulante</w:t>
      </w:r>
    </w:p>
    <w:p w:rsidRPr="00AE1B2B" w:rsidR="009D3FB5" w:rsidP="00163B94" w:rsidRDefault="009D3FB5" w14:paraId="5F73CFD4" w14:textId="20167DDE">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Juzgado de Familia, Niñez y Adolescencia, del 2015 al </w:t>
      </w:r>
      <w:r w:rsidRPr="00AE1B2B">
        <w:rPr>
          <w:rFonts w:ascii="Times New Roman" w:hAnsi="Times New Roman" w:cs="Times New Roman"/>
          <w:sz w:val="26"/>
          <w:szCs w:val="26"/>
        </w:rPr>
        <w:lastRenderedPageBreak/>
        <w:t>2019</w:t>
      </w:r>
    </w:p>
    <w:p w:rsidRPr="00AE1B2B" w:rsidR="009D3FB5" w:rsidP="00163B94" w:rsidRDefault="009D3FB5" w14:paraId="78F8E063" w14:textId="77777777">
      <w:pPr>
        <w:spacing w:before="120" w:after="120"/>
        <w:jc w:val="center"/>
        <w:rPr>
          <w:rFonts w:ascii="Times New Roman" w:hAnsi="Times New Roman" w:cs="Times New Roman"/>
        </w:rPr>
      </w:pPr>
      <w:r w:rsidRPr="00AE1B2B">
        <w:rPr>
          <w:rFonts w:ascii="Times New Roman" w:hAnsi="Times New Roman" w:cs="Times New Roman"/>
          <w:noProof/>
          <w:lang w:val="en-US"/>
        </w:rPr>
        <w:drawing>
          <wp:inline distT="0" distB="0" distL="0" distR="0" wp14:anchorId="610551F0" wp14:editId="24253D0E">
            <wp:extent cx="4572000" cy="2743200"/>
            <wp:effectExtent l="0" t="0" r="0" b="0"/>
            <wp:docPr id="1263269094" name="Gráfico 1263269094">
              <a:extLst xmlns:a="http://schemas.openxmlformats.org/drawingml/2006/main">
                <a:ext uri="{FF2B5EF4-FFF2-40B4-BE49-F238E27FC236}">
                  <a16:creationId xmlns:a16="http://schemas.microsoft.com/office/drawing/2014/main" id="{E412197F-C3C2-4730-946E-B34E0EBA08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rsidRPr="00AE1B2B" w:rsidR="009D3FB5" w:rsidP="00163B94" w:rsidRDefault="009D3FB5" w14:paraId="7EC53723"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Subproceso de Modernización Institucional, con datos del Subproceso de Estadística del 2015 al 2019. </w:t>
      </w:r>
    </w:p>
    <w:p w:rsidRPr="00AE1B2B" w:rsidR="009D3FB5" w:rsidP="00163B94" w:rsidRDefault="009D3FB5" w14:paraId="6EE13F9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252344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Juzgado de Familia, Niñez y Adolescencia registra una entrada promedio de 90 casos al mes, y de 78 terminados de 2015 a 2019, para una carga de trabajo de 45 casos por persona juzgadora y 23 por persona técnica judicial.</w:t>
      </w:r>
    </w:p>
    <w:p w:rsidRPr="00AE1B2B" w:rsidR="009D3FB5" w:rsidP="00163B94" w:rsidRDefault="009D3FB5" w14:paraId="36ACD50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F750E5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Para el 2020, la entrada por plaza de persona juzgadora fue de 48 por Jueza o Juez y 24 por Técnica o Técnico judicial de trámite, por lo que se mantiene constante tanto la entrada como la salida de asuntos. </w:t>
      </w:r>
    </w:p>
    <w:p w:rsidRPr="00AE1B2B" w:rsidR="009D3FB5" w:rsidP="00163B94" w:rsidRDefault="009D3FB5" w14:paraId="68B4CEB0" w14:textId="77777777">
      <w:pPr>
        <w:spacing w:before="120" w:after="120"/>
        <w:ind w:left="851" w:right="851" w:firstLine="709"/>
        <w:jc w:val="center"/>
        <w:rPr>
          <w:rFonts w:ascii="Times New Roman" w:hAnsi="Times New Roman" w:cs="Times New Roman"/>
          <w:sz w:val="26"/>
          <w:szCs w:val="26"/>
        </w:rPr>
      </w:pPr>
    </w:p>
    <w:p w:rsidRPr="00AE1B2B" w:rsidR="009D3FB5" w:rsidP="00163B94" w:rsidRDefault="009D3FB5" w14:paraId="7B6A2C05" w14:textId="009FECBB">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33</w:t>
      </w:r>
      <w:r w:rsidRPr="00AE1B2B">
        <w:rPr>
          <w:rFonts w:ascii="Times New Roman" w:hAnsi="Times New Roman" w:cs="Times New Roman"/>
          <w:sz w:val="26"/>
          <w:szCs w:val="26"/>
        </w:rPr>
        <w:fldChar w:fldCharType="end"/>
      </w:r>
    </w:p>
    <w:p w:rsidRPr="00AE1B2B" w:rsidR="009D3FB5" w:rsidP="00163B94" w:rsidRDefault="009D3FB5" w14:paraId="3327C636"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Carga de trabajo Juzgado de Familia, de Niñez y Adolescencia.</w:t>
      </w:r>
    </w:p>
    <w:tbl>
      <w:tblPr>
        <w:tblW w:w="115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3307"/>
        <w:gridCol w:w="1335"/>
        <w:gridCol w:w="1335"/>
        <w:gridCol w:w="1335"/>
        <w:gridCol w:w="917"/>
        <w:gridCol w:w="1103"/>
        <w:gridCol w:w="1101"/>
        <w:gridCol w:w="1160"/>
      </w:tblGrid>
      <w:tr w:rsidRPr="00AE1B2B" w:rsidR="009D3FB5" w:rsidTr="009D3FB5" w14:paraId="7A20C2A9" w14:textId="77777777">
        <w:trPr>
          <w:trHeight w:val="16"/>
          <w:tblHeader/>
        </w:trPr>
        <w:tc>
          <w:tcPr>
            <w:tcW w:w="3307" w:type="dxa"/>
            <w:vMerge w:val="restart"/>
            <w:shd w:val="clear" w:color="auto" w:fill="002060"/>
            <w:vAlign w:val="center"/>
          </w:tcPr>
          <w:p w:rsidRPr="00AE1B2B" w:rsidR="009D3FB5" w:rsidP="00163B94" w:rsidRDefault="009D3FB5" w14:paraId="17EBCBF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Despacho</w:t>
            </w:r>
          </w:p>
        </w:tc>
        <w:tc>
          <w:tcPr>
            <w:tcW w:w="1335" w:type="dxa"/>
            <w:vMerge w:val="restart"/>
            <w:shd w:val="clear" w:color="auto" w:fill="002060"/>
            <w:vAlign w:val="center"/>
          </w:tcPr>
          <w:p w:rsidRPr="00AE1B2B" w:rsidR="009D3FB5" w:rsidP="00163B94" w:rsidRDefault="009D3FB5" w14:paraId="4BFCFEC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mensual Entrada 2015-2019</w:t>
            </w:r>
          </w:p>
        </w:tc>
        <w:tc>
          <w:tcPr>
            <w:tcW w:w="1335" w:type="dxa"/>
            <w:vMerge w:val="restart"/>
            <w:shd w:val="clear" w:color="auto" w:fill="002060"/>
            <w:vAlign w:val="center"/>
          </w:tcPr>
          <w:p w:rsidRPr="00AE1B2B" w:rsidR="009D3FB5" w:rsidP="00163B94" w:rsidRDefault="009D3FB5" w14:paraId="43C7D52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 mensual Terminados 2015-2019</w:t>
            </w:r>
          </w:p>
        </w:tc>
        <w:tc>
          <w:tcPr>
            <w:tcW w:w="1335" w:type="dxa"/>
            <w:vMerge w:val="restart"/>
            <w:shd w:val="clear" w:color="auto" w:fill="002060"/>
            <w:vAlign w:val="center"/>
          </w:tcPr>
          <w:p w:rsidRPr="00AE1B2B" w:rsidR="009D3FB5" w:rsidP="00163B94" w:rsidRDefault="009D3FB5" w14:paraId="64498C2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Circulante en trámite al 31 diciembre-2019</w:t>
            </w:r>
          </w:p>
        </w:tc>
        <w:tc>
          <w:tcPr>
            <w:tcW w:w="2020" w:type="dxa"/>
            <w:gridSpan w:val="2"/>
            <w:shd w:val="clear" w:color="auto" w:fill="002060"/>
            <w:vAlign w:val="center"/>
          </w:tcPr>
          <w:p w:rsidRPr="00AE1B2B" w:rsidR="009D3FB5" w:rsidP="00163B94" w:rsidRDefault="009D3FB5" w14:paraId="7493144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Recurso Humano</w:t>
            </w:r>
          </w:p>
        </w:tc>
        <w:tc>
          <w:tcPr>
            <w:tcW w:w="2261" w:type="dxa"/>
            <w:gridSpan w:val="2"/>
            <w:shd w:val="clear" w:color="auto" w:fill="002060"/>
            <w:vAlign w:val="center"/>
          </w:tcPr>
          <w:p w:rsidRPr="00AE1B2B" w:rsidR="009D3FB5" w:rsidP="00163B94" w:rsidRDefault="009D3FB5" w14:paraId="497DCCA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Carga de trabajo</w:t>
            </w:r>
          </w:p>
        </w:tc>
      </w:tr>
      <w:tr w:rsidRPr="00AE1B2B" w:rsidR="009D3FB5" w:rsidTr="009D3FB5" w14:paraId="0C35FAF7" w14:textId="77777777">
        <w:trPr>
          <w:trHeight w:val="16"/>
          <w:tblHeader/>
        </w:trPr>
        <w:tc>
          <w:tcPr>
            <w:tcW w:w="3307" w:type="dxa"/>
            <w:vMerge/>
            <w:shd w:val="clear" w:color="auto" w:fill="002060"/>
            <w:vAlign w:val="center"/>
            <w:hideMark/>
          </w:tcPr>
          <w:p w:rsidRPr="00AE1B2B" w:rsidR="009D3FB5" w:rsidP="00163B94" w:rsidRDefault="009D3FB5" w14:paraId="55D8BCBD" w14:textId="77777777">
            <w:pPr>
              <w:spacing w:before="120" w:after="120" w:line="276" w:lineRule="auto"/>
              <w:jc w:val="center"/>
              <w:rPr>
                <w:rFonts w:ascii="Times New Roman" w:hAnsi="Times New Roman" w:eastAsia="Times New Roman" w:cs="Times New Roman"/>
                <w:b/>
                <w:bCs/>
                <w:lang w:eastAsia="es-CR"/>
              </w:rPr>
            </w:pPr>
          </w:p>
        </w:tc>
        <w:tc>
          <w:tcPr>
            <w:tcW w:w="1335" w:type="dxa"/>
            <w:vMerge/>
            <w:shd w:val="clear" w:color="auto" w:fill="002060"/>
            <w:vAlign w:val="center"/>
            <w:hideMark/>
          </w:tcPr>
          <w:p w:rsidRPr="00AE1B2B" w:rsidR="009D3FB5" w:rsidP="00163B94" w:rsidRDefault="009D3FB5" w14:paraId="76CD7580" w14:textId="77777777">
            <w:pPr>
              <w:spacing w:before="120" w:after="120" w:line="276" w:lineRule="auto"/>
              <w:jc w:val="center"/>
              <w:rPr>
                <w:rFonts w:ascii="Times New Roman" w:hAnsi="Times New Roman" w:eastAsia="Times New Roman" w:cs="Times New Roman"/>
                <w:b/>
                <w:bCs/>
                <w:lang w:eastAsia="es-CR"/>
              </w:rPr>
            </w:pPr>
          </w:p>
        </w:tc>
        <w:tc>
          <w:tcPr>
            <w:tcW w:w="1335" w:type="dxa"/>
            <w:vMerge/>
            <w:shd w:val="clear" w:color="auto" w:fill="002060"/>
          </w:tcPr>
          <w:p w:rsidRPr="00AE1B2B" w:rsidR="009D3FB5" w:rsidP="00163B94" w:rsidRDefault="009D3FB5" w14:paraId="43219D58" w14:textId="77777777">
            <w:pPr>
              <w:spacing w:before="120" w:after="120" w:line="276" w:lineRule="auto"/>
              <w:jc w:val="center"/>
              <w:rPr>
                <w:rFonts w:ascii="Times New Roman" w:hAnsi="Times New Roman" w:eastAsia="Times New Roman" w:cs="Times New Roman"/>
                <w:b/>
                <w:bCs/>
                <w:lang w:eastAsia="es-CR"/>
              </w:rPr>
            </w:pPr>
          </w:p>
        </w:tc>
        <w:tc>
          <w:tcPr>
            <w:tcW w:w="1335" w:type="dxa"/>
            <w:vMerge/>
            <w:shd w:val="clear" w:color="auto" w:fill="002060"/>
            <w:vAlign w:val="center"/>
          </w:tcPr>
          <w:p w:rsidRPr="00AE1B2B" w:rsidR="009D3FB5" w:rsidP="00163B94" w:rsidRDefault="009D3FB5" w14:paraId="7B9E1DE5" w14:textId="77777777">
            <w:pPr>
              <w:spacing w:before="120" w:after="120" w:line="276" w:lineRule="auto"/>
              <w:jc w:val="center"/>
              <w:rPr>
                <w:rFonts w:ascii="Times New Roman" w:hAnsi="Times New Roman" w:eastAsia="Times New Roman" w:cs="Times New Roman"/>
                <w:b/>
                <w:bCs/>
                <w:lang w:eastAsia="es-CR"/>
              </w:rPr>
            </w:pPr>
          </w:p>
        </w:tc>
        <w:tc>
          <w:tcPr>
            <w:tcW w:w="917" w:type="dxa"/>
            <w:shd w:val="clear" w:color="auto" w:fill="002060"/>
            <w:vAlign w:val="center"/>
            <w:hideMark/>
          </w:tcPr>
          <w:p w:rsidRPr="00AE1B2B" w:rsidR="009D3FB5" w:rsidP="00163B94" w:rsidRDefault="009D3FB5" w14:paraId="7BEDCDB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Jueza o Juez</w:t>
            </w:r>
          </w:p>
        </w:tc>
        <w:tc>
          <w:tcPr>
            <w:tcW w:w="1103" w:type="dxa"/>
            <w:shd w:val="clear" w:color="auto" w:fill="002060"/>
            <w:vAlign w:val="center"/>
          </w:tcPr>
          <w:p w:rsidRPr="00AE1B2B" w:rsidR="009D3FB5" w:rsidP="00163B94" w:rsidRDefault="009D3FB5" w14:paraId="6CFA5C5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Técnica o Técnico de trámite</w:t>
            </w:r>
          </w:p>
        </w:tc>
        <w:tc>
          <w:tcPr>
            <w:tcW w:w="1101" w:type="dxa"/>
            <w:shd w:val="clear" w:color="auto" w:fill="002060"/>
            <w:vAlign w:val="center"/>
            <w:hideMark/>
          </w:tcPr>
          <w:p w:rsidRPr="00AE1B2B" w:rsidR="009D3FB5" w:rsidP="00163B94" w:rsidRDefault="009D3FB5" w14:paraId="5BB66F7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Jueza o Juez</w:t>
            </w:r>
          </w:p>
        </w:tc>
        <w:tc>
          <w:tcPr>
            <w:tcW w:w="1160" w:type="dxa"/>
            <w:shd w:val="clear" w:color="auto" w:fill="002060"/>
            <w:vAlign w:val="center"/>
            <w:hideMark/>
          </w:tcPr>
          <w:p w:rsidRPr="00AE1B2B" w:rsidR="009D3FB5" w:rsidP="00163B94" w:rsidRDefault="009D3FB5" w14:paraId="00DF290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Técnica o Técnico de trámite</w:t>
            </w:r>
          </w:p>
        </w:tc>
      </w:tr>
      <w:tr w:rsidRPr="00AE1B2B" w:rsidR="009D3FB5" w:rsidTr="009D3FB5" w14:paraId="06285691" w14:textId="77777777">
        <w:trPr>
          <w:trHeight w:val="16"/>
        </w:trPr>
        <w:tc>
          <w:tcPr>
            <w:tcW w:w="3307" w:type="dxa"/>
            <w:shd w:val="clear" w:color="auto" w:fill="auto"/>
            <w:noWrap/>
            <w:vAlign w:val="center"/>
            <w:hideMark/>
          </w:tcPr>
          <w:p w:rsidRPr="00AE1B2B" w:rsidR="009D3FB5" w:rsidP="00163B94" w:rsidRDefault="009D3FB5" w14:paraId="0DE98E2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de Familia, de Niñez y Adolescencia</w:t>
            </w:r>
          </w:p>
        </w:tc>
        <w:tc>
          <w:tcPr>
            <w:tcW w:w="1335" w:type="dxa"/>
            <w:shd w:val="clear" w:color="auto" w:fill="auto"/>
            <w:noWrap/>
            <w:vAlign w:val="center"/>
            <w:hideMark/>
          </w:tcPr>
          <w:p w:rsidRPr="00AE1B2B" w:rsidR="009D3FB5" w:rsidP="00163B94" w:rsidRDefault="009D3FB5" w14:paraId="53FF4AE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90</w:t>
            </w:r>
          </w:p>
        </w:tc>
        <w:tc>
          <w:tcPr>
            <w:tcW w:w="1335" w:type="dxa"/>
            <w:vAlign w:val="center"/>
          </w:tcPr>
          <w:p w:rsidRPr="00AE1B2B" w:rsidR="009D3FB5" w:rsidP="00163B94" w:rsidRDefault="009D3FB5" w14:paraId="03E8F16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81</w:t>
            </w:r>
          </w:p>
        </w:tc>
        <w:tc>
          <w:tcPr>
            <w:tcW w:w="1335" w:type="dxa"/>
            <w:vAlign w:val="center"/>
          </w:tcPr>
          <w:p w:rsidRPr="00AE1B2B" w:rsidR="009D3FB5" w:rsidP="00163B94" w:rsidRDefault="009D3FB5" w14:paraId="1A827D4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1203</w:t>
            </w:r>
          </w:p>
        </w:tc>
        <w:tc>
          <w:tcPr>
            <w:tcW w:w="917" w:type="dxa"/>
            <w:shd w:val="clear" w:color="auto" w:fill="auto"/>
            <w:noWrap/>
            <w:vAlign w:val="center"/>
            <w:hideMark/>
          </w:tcPr>
          <w:p w:rsidRPr="00AE1B2B" w:rsidR="009D3FB5" w:rsidP="00163B94" w:rsidRDefault="009D3FB5" w14:paraId="1B0CB36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1103" w:type="dxa"/>
            <w:vAlign w:val="center"/>
          </w:tcPr>
          <w:p w:rsidRPr="00AE1B2B" w:rsidR="009D3FB5" w:rsidP="00163B94" w:rsidRDefault="009D3FB5" w14:paraId="514A7EF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1101" w:type="dxa"/>
            <w:shd w:val="clear" w:color="auto" w:fill="auto"/>
            <w:noWrap/>
            <w:vAlign w:val="center"/>
            <w:hideMark/>
          </w:tcPr>
          <w:p w:rsidRPr="00AE1B2B" w:rsidR="009D3FB5" w:rsidP="00163B94" w:rsidRDefault="009D3FB5" w14:paraId="31F64ED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45</w:t>
            </w:r>
          </w:p>
        </w:tc>
        <w:tc>
          <w:tcPr>
            <w:tcW w:w="1160" w:type="dxa"/>
            <w:shd w:val="clear" w:color="auto" w:fill="auto"/>
            <w:noWrap/>
            <w:vAlign w:val="center"/>
            <w:hideMark/>
          </w:tcPr>
          <w:p w:rsidRPr="00AE1B2B" w:rsidR="009D3FB5" w:rsidP="00163B94" w:rsidRDefault="009D3FB5" w14:paraId="513C021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w:t>
            </w:r>
          </w:p>
        </w:tc>
      </w:tr>
    </w:tbl>
    <w:p w:rsidRPr="00AE1B2B" w:rsidR="009D3FB5" w:rsidP="00163B94" w:rsidRDefault="009D3FB5" w14:paraId="548DACFA"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 con base en datos de Cuadros Estadísticos del Subproceso de Estadística de la Dirección de Planificación.</w:t>
      </w:r>
    </w:p>
    <w:p w:rsidRPr="00AE1B2B" w:rsidR="009D3FB5" w:rsidP="00163B94" w:rsidRDefault="009D3FB5" w14:paraId="5A31C46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2490F4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relación con carga de trabajo por persona juzgadora calculada, este despacho en el caso de las personas juzgadoras registra 45 casos entrados al mes, lo que representa una carga de trabajo 40% inferior al promedio nacional y en el caso de las personas juzgadoras 23 casos, un 51% inferior a la carga promedio de las personas juzgadoras en otros despachos de Familia Especializados.</w:t>
      </w:r>
    </w:p>
    <w:p w:rsidRPr="00AE1B2B" w:rsidR="009D3FB5" w:rsidP="00163B94" w:rsidRDefault="009D3FB5" w14:paraId="07DC829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18ACC9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cuanto a la duración de los procesos en el Juzgado de Familia, de Niñez y Adolescencia, se registra una duración promedio por proceso de 19 meses, de los cuales el proceso de Adopción que registra una duración de 169 meses siendo el más extenso y Medida Cautelar (2 semanas) el que se ejecuta en menos tiempo.</w:t>
      </w:r>
    </w:p>
    <w:p w:rsidRPr="00AE1B2B" w:rsidR="009D3FB5" w:rsidP="00163B94" w:rsidRDefault="009D3FB5" w14:paraId="34D7D91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7AFC9C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Depósito Judicial es el proceso que más veces se completó en 2019 (219 casos) para una duración promedio de un año, seguido la Declaratoria Judicial Abandono con 164 casos y una duración promedio de 1,8 años y la Adopción Nacional con 108 casos en 2019 y una duración promedio de 1.7 años, como se muestra en el gráfico siguiente.</w:t>
      </w:r>
    </w:p>
    <w:p w:rsidRPr="00AE1B2B" w:rsidR="009D3FB5" w:rsidP="00163B94" w:rsidRDefault="009D3FB5" w14:paraId="0DDBC3C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2F1D0BA" w14:textId="2CC67BED">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34</w:t>
      </w:r>
      <w:r w:rsidRPr="00AE1B2B">
        <w:rPr>
          <w:rFonts w:ascii="Times New Roman" w:hAnsi="Times New Roman" w:cs="Times New Roman"/>
          <w:sz w:val="26"/>
          <w:szCs w:val="26"/>
        </w:rPr>
        <w:fldChar w:fldCharType="end"/>
      </w:r>
    </w:p>
    <w:p w:rsidRPr="00AE1B2B" w:rsidR="009D3FB5" w:rsidP="00163B94" w:rsidRDefault="009D3FB5" w14:paraId="51E154F3"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Duración promedio de casos Juzgado de Familia, de Niñez y Adolescencia 2019.</w:t>
      </w:r>
    </w:p>
    <w:tbl>
      <w:tblPr>
        <w:tblW w:w="5135" w:type="pct"/>
        <w:tblLayout w:type="fixed"/>
        <w:tblCellMar>
          <w:left w:w="70" w:type="dxa"/>
          <w:right w:w="70" w:type="dxa"/>
        </w:tblCellMar>
        <w:tblLook w:val="04A0" w:firstRow="1" w:lastRow="0" w:firstColumn="1" w:lastColumn="0" w:noHBand="0" w:noVBand="1"/>
      </w:tblPr>
      <w:tblGrid>
        <w:gridCol w:w="5523"/>
        <w:gridCol w:w="1559"/>
        <w:gridCol w:w="1984"/>
      </w:tblGrid>
      <w:tr w:rsidRPr="00AE1B2B" w:rsidR="00AE1B2B" w:rsidTr="009D3FB5" w14:paraId="542C0B3F" w14:textId="77777777">
        <w:trPr>
          <w:trHeight w:val="20"/>
          <w:tblHeader/>
        </w:trPr>
        <w:tc>
          <w:tcPr>
            <w:tcW w:w="3046"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4C84BEE6" w14:textId="77777777">
            <w:pPr>
              <w:spacing w:before="120" w:after="120" w:line="276" w:lineRule="auto"/>
              <w:jc w:val="center"/>
              <w:rPr>
                <w:rFonts w:ascii="Times New Roman" w:hAnsi="Times New Roman" w:eastAsia="Times New Roman" w:cs="Times New Roman"/>
                <w:b/>
                <w:sz w:val="20"/>
                <w:szCs w:val="20"/>
                <w:lang w:eastAsia="es-CR"/>
              </w:rPr>
            </w:pPr>
            <w:r w:rsidRPr="00AE1B2B">
              <w:rPr>
                <w:rFonts w:ascii="Times New Roman" w:hAnsi="Times New Roman" w:eastAsia="Times New Roman" w:cs="Times New Roman"/>
                <w:b/>
                <w:sz w:val="20"/>
                <w:szCs w:val="20"/>
                <w:lang w:eastAsia="es-CR"/>
              </w:rPr>
              <w:lastRenderedPageBreak/>
              <w:t>Tipo de Proceso</w:t>
            </w:r>
          </w:p>
        </w:tc>
        <w:tc>
          <w:tcPr>
            <w:tcW w:w="860"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1B9C687B" w14:textId="77777777">
            <w:pPr>
              <w:spacing w:before="120" w:after="120" w:line="276" w:lineRule="auto"/>
              <w:jc w:val="center"/>
              <w:rPr>
                <w:rFonts w:ascii="Times New Roman" w:hAnsi="Times New Roman" w:eastAsia="Times New Roman" w:cs="Times New Roman"/>
                <w:b/>
                <w:sz w:val="20"/>
                <w:szCs w:val="20"/>
                <w:lang w:eastAsia="es-CR"/>
              </w:rPr>
            </w:pPr>
            <w:r w:rsidRPr="00AE1B2B">
              <w:rPr>
                <w:rFonts w:ascii="Times New Roman" w:hAnsi="Times New Roman" w:eastAsia="Times New Roman" w:cs="Times New Roman"/>
                <w:b/>
                <w:sz w:val="20"/>
                <w:szCs w:val="20"/>
                <w:lang w:eastAsia="es-CR"/>
              </w:rPr>
              <w:t>Cantidad de casos terminados 2019</w:t>
            </w:r>
          </w:p>
        </w:tc>
        <w:tc>
          <w:tcPr>
            <w:tcW w:w="1094"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5A60F1E0" w14:textId="77777777">
            <w:pPr>
              <w:spacing w:before="120" w:after="120" w:line="276" w:lineRule="auto"/>
              <w:jc w:val="center"/>
              <w:rPr>
                <w:rFonts w:ascii="Times New Roman" w:hAnsi="Times New Roman" w:eastAsia="Times New Roman" w:cs="Times New Roman"/>
                <w:b/>
                <w:sz w:val="20"/>
                <w:szCs w:val="20"/>
                <w:lang w:eastAsia="es-CR"/>
              </w:rPr>
            </w:pPr>
            <w:r w:rsidRPr="00AE1B2B">
              <w:rPr>
                <w:rFonts w:ascii="Times New Roman" w:hAnsi="Times New Roman" w:eastAsia="Times New Roman" w:cs="Times New Roman"/>
                <w:b/>
                <w:sz w:val="20"/>
                <w:szCs w:val="20"/>
                <w:lang w:eastAsia="es-CR"/>
              </w:rPr>
              <w:t>Promedio de duración</w:t>
            </w:r>
            <w:r w:rsidRPr="00AE1B2B">
              <w:rPr>
                <w:rFonts w:ascii="Times New Roman" w:hAnsi="Times New Roman" w:eastAsia="Times New Roman" w:cs="Times New Roman"/>
                <w:b/>
                <w:bCs/>
                <w:sz w:val="20"/>
                <w:szCs w:val="20"/>
                <w:lang w:eastAsia="es-CR"/>
              </w:rPr>
              <w:t xml:space="preserve"> (meses)</w:t>
            </w:r>
          </w:p>
        </w:tc>
      </w:tr>
      <w:tr w:rsidRPr="00AE1B2B" w:rsidR="00AE1B2B" w:rsidTr="009D3FB5" w14:paraId="670DC453"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8B846CE"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Adopción</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0811B4A"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400A02D"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168,96</w:t>
            </w:r>
          </w:p>
        </w:tc>
      </w:tr>
      <w:tr w:rsidRPr="00AE1B2B" w:rsidR="00AE1B2B" w:rsidTr="009D3FB5" w14:paraId="176B47AA"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tcPr>
          <w:p w:rsidRPr="00AE1B2B" w:rsidR="009D3FB5" w:rsidP="00163B94" w:rsidRDefault="009D3FB5" w14:paraId="16318629"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Otros</w:t>
            </w:r>
          </w:p>
        </w:tc>
        <w:tc>
          <w:tcPr>
            <w:tcW w:w="860" w:type="pct"/>
            <w:tcBorders>
              <w:top w:val="nil"/>
              <w:left w:val="nil"/>
              <w:bottom w:val="single" w:color="auto" w:sz="4" w:space="0"/>
              <w:right w:val="single" w:color="auto" w:sz="4" w:space="0"/>
            </w:tcBorders>
            <w:shd w:val="clear" w:color="auto" w:fill="auto"/>
            <w:noWrap/>
            <w:vAlign w:val="bottom"/>
          </w:tcPr>
          <w:p w:rsidRPr="00AE1B2B" w:rsidR="009D3FB5" w:rsidP="00163B94" w:rsidRDefault="009D3FB5" w14:paraId="04F49CDA"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w:t>
            </w:r>
          </w:p>
        </w:tc>
        <w:tc>
          <w:tcPr>
            <w:tcW w:w="1094" w:type="pct"/>
            <w:tcBorders>
              <w:top w:val="nil"/>
              <w:left w:val="nil"/>
              <w:bottom w:val="single" w:color="auto" w:sz="4" w:space="0"/>
              <w:right w:val="single" w:color="auto" w:sz="4" w:space="0"/>
            </w:tcBorders>
            <w:shd w:val="clear" w:color="auto" w:fill="auto"/>
            <w:noWrap/>
            <w:vAlign w:val="bottom"/>
          </w:tcPr>
          <w:p w:rsidRPr="00AE1B2B" w:rsidR="009D3FB5" w:rsidP="00163B94" w:rsidRDefault="009D3FB5" w14:paraId="37321563"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47,41</w:t>
            </w:r>
          </w:p>
        </w:tc>
      </w:tr>
      <w:tr w:rsidRPr="00AE1B2B" w:rsidR="00AE1B2B" w:rsidTr="009D3FB5" w14:paraId="148D85DD"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tcPr>
          <w:p w:rsidRPr="00AE1B2B" w:rsidR="009D3FB5" w:rsidP="00163B94" w:rsidRDefault="009D3FB5" w14:paraId="09A9104A"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Diligencia utilidad y necesidad</w:t>
            </w:r>
          </w:p>
        </w:tc>
        <w:tc>
          <w:tcPr>
            <w:tcW w:w="860" w:type="pct"/>
            <w:tcBorders>
              <w:top w:val="nil"/>
              <w:left w:val="nil"/>
              <w:bottom w:val="single" w:color="auto" w:sz="4" w:space="0"/>
              <w:right w:val="single" w:color="auto" w:sz="4" w:space="0"/>
            </w:tcBorders>
            <w:shd w:val="clear" w:color="auto" w:fill="auto"/>
            <w:noWrap/>
          </w:tcPr>
          <w:p w:rsidRPr="00AE1B2B" w:rsidR="009D3FB5" w:rsidP="00163B94" w:rsidRDefault="009D3FB5" w14:paraId="35E29DF5"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104</w:t>
            </w:r>
          </w:p>
        </w:tc>
        <w:tc>
          <w:tcPr>
            <w:tcW w:w="1094" w:type="pct"/>
            <w:tcBorders>
              <w:top w:val="nil"/>
              <w:left w:val="nil"/>
              <w:bottom w:val="single" w:color="auto" w:sz="4" w:space="0"/>
              <w:right w:val="single" w:color="auto" w:sz="4" w:space="0"/>
            </w:tcBorders>
            <w:shd w:val="clear" w:color="auto" w:fill="auto"/>
            <w:noWrap/>
          </w:tcPr>
          <w:p w:rsidRPr="00AE1B2B" w:rsidR="009D3FB5" w:rsidP="00163B94" w:rsidRDefault="009D3FB5" w14:paraId="51D286E3"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28.75</w:t>
            </w:r>
          </w:p>
        </w:tc>
      </w:tr>
      <w:tr w:rsidRPr="00AE1B2B" w:rsidR="00AE1B2B" w:rsidTr="009D3FB5" w14:paraId="220EE2A5"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14552922"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Declaratoria Judicial Abandono</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217B985"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164</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334F7B1"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21,84</w:t>
            </w:r>
          </w:p>
        </w:tc>
      </w:tr>
      <w:tr w:rsidRPr="00AE1B2B" w:rsidR="00AE1B2B" w:rsidTr="009D3FB5" w14:paraId="11CB9B4D"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019A744" w14:textId="77777777">
            <w:pPr>
              <w:spacing w:before="120" w:after="120" w:line="276" w:lineRule="auto"/>
              <w:rPr>
                <w:rFonts w:ascii="Times New Roman" w:hAnsi="Times New Roman" w:eastAsia="Times New Roman" w:cs="Times New Roman"/>
                <w:sz w:val="20"/>
                <w:szCs w:val="20"/>
                <w:lang w:val="en-US" w:eastAsia="es-CR"/>
              </w:rPr>
            </w:pPr>
            <w:r w:rsidRPr="00AE1B2B">
              <w:rPr>
                <w:rFonts w:ascii="Times New Roman" w:hAnsi="Times New Roman" w:eastAsia="Times New Roman" w:cs="Times New Roman"/>
                <w:sz w:val="20"/>
                <w:szCs w:val="20"/>
                <w:lang w:val="en-US" w:eastAsia="es-CR"/>
              </w:rPr>
              <w:t>Comunic. Art.32 Cdna (P.A.N.I.)</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332A595"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26</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90722B7"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21,18</w:t>
            </w:r>
          </w:p>
        </w:tc>
      </w:tr>
      <w:tr w:rsidRPr="00AE1B2B" w:rsidR="00AE1B2B" w:rsidTr="009D3FB5" w14:paraId="3C3AD1FF"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B11A420"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Impugnación Reconocimiento</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ED24094"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3046F9D"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21,18</w:t>
            </w:r>
          </w:p>
        </w:tc>
      </w:tr>
      <w:tr w:rsidRPr="00AE1B2B" w:rsidR="00AE1B2B" w:rsidTr="009D3FB5" w14:paraId="3F327AE9"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3796F60F"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Adopción Nacional</w:t>
            </w:r>
          </w:p>
        </w:tc>
        <w:tc>
          <w:tcPr>
            <w:tcW w:w="860" w:type="pct"/>
            <w:tcBorders>
              <w:top w:val="nil"/>
              <w:left w:val="nil"/>
              <w:bottom w:val="single" w:color="auto" w:sz="4" w:space="0"/>
              <w:right w:val="single" w:color="auto" w:sz="4" w:space="0"/>
            </w:tcBorders>
            <w:shd w:val="clear" w:color="auto" w:fill="auto"/>
            <w:noWrap/>
            <w:vAlign w:val="bottom"/>
          </w:tcPr>
          <w:p w:rsidRPr="00AE1B2B" w:rsidR="009D3FB5" w:rsidP="00163B94" w:rsidRDefault="009D3FB5" w14:paraId="356A6FCC"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108</w:t>
            </w:r>
          </w:p>
        </w:tc>
        <w:tc>
          <w:tcPr>
            <w:tcW w:w="1094"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4F4FB07D"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20.47</w:t>
            </w:r>
          </w:p>
        </w:tc>
      </w:tr>
      <w:tr w:rsidRPr="00AE1B2B" w:rsidR="00AE1B2B" w:rsidTr="009D3FB5" w14:paraId="417BBF2D"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EA20BC6"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Tutela </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9AA5736"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14</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6E099DF"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18,52</w:t>
            </w:r>
          </w:p>
        </w:tc>
      </w:tr>
      <w:tr w:rsidRPr="00AE1B2B" w:rsidR="00AE1B2B" w:rsidTr="009D3FB5" w14:paraId="4BAC6050"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361FFE8"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Salvaguardia</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1A349F7"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05944AD"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18,18</w:t>
            </w:r>
          </w:p>
        </w:tc>
      </w:tr>
      <w:tr w:rsidRPr="00AE1B2B" w:rsidR="00AE1B2B" w:rsidTr="009D3FB5" w14:paraId="5E59267F"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EF7B122"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Interrelación familiar (régimen de visitas)</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F53378C"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62</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686D9A9"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17,26</w:t>
            </w:r>
          </w:p>
        </w:tc>
      </w:tr>
      <w:tr w:rsidRPr="00AE1B2B" w:rsidR="00AE1B2B" w:rsidTr="009D3FB5" w14:paraId="047C7448"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1D26CAE1"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Declar. Extramatrimonialidad</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441CD10"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B64C8EA"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17,13</w:t>
            </w:r>
          </w:p>
        </w:tc>
      </w:tr>
      <w:tr w:rsidRPr="00AE1B2B" w:rsidR="00AE1B2B" w:rsidTr="009D3FB5" w14:paraId="7866424E"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5859545"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Suspensión Patria Potestad</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0BC4ADC"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65</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290CF1C"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16,06</w:t>
            </w:r>
          </w:p>
        </w:tc>
      </w:tr>
      <w:tr w:rsidRPr="00AE1B2B" w:rsidR="00AE1B2B" w:rsidTr="009D3FB5" w14:paraId="3939CD2A"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60AA213"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Investigación Paternidad</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0F87091"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6035753"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15,56</w:t>
            </w:r>
          </w:p>
        </w:tc>
      </w:tr>
      <w:tr w:rsidRPr="00AE1B2B" w:rsidR="00AE1B2B" w:rsidTr="009D3FB5" w14:paraId="56B1CC98"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79809F11"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Proceso Especial Protección</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6635512"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57</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BC38428"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13,77</w:t>
            </w:r>
          </w:p>
        </w:tc>
      </w:tr>
      <w:tr w:rsidRPr="00AE1B2B" w:rsidR="00AE1B2B" w:rsidTr="009D3FB5" w14:paraId="27F8E75D"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7E02C9CB"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Reconocimiento de hija o de hijo de mujer casada no contencioso</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C046423"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F826210"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12,98</w:t>
            </w:r>
          </w:p>
        </w:tc>
      </w:tr>
      <w:tr w:rsidRPr="00AE1B2B" w:rsidR="00AE1B2B" w:rsidTr="009D3FB5" w14:paraId="4F6A25A3"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12D0B5AD"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Asuntos De Otras Jurisdicciones</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BD66DFC"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C4648F8"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12,46</w:t>
            </w:r>
          </w:p>
        </w:tc>
      </w:tr>
      <w:tr w:rsidRPr="00AE1B2B" w:rsidR="00AE1B2B" w:rsidTr="009D3FB5" w14:paraId="5E48AAD2"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632CC5C"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Declaratoria Paternidad</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5D6BFB6"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A857E3D"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12,39</w:t>
            </w:r>
          </w:p>
        </w:tc>
      </w:tr>
      <w:tr w:rsidRPr="00AE1B2B" w:rsidR="00AE1B2B" w:rsidTr="009D3FB5" w14:paraId="2D7DA6B7"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4CE3121"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Depósito Judicial</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53F759D"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219</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E8FCB79"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11,97</w:t>
            </w:r>
          </w:p>
        </w:tc>
      </w:tr>
      <w:tr w:rsidRPr="00AE1B2B" w:rsidR="00AE1B2B" w:rsidTr="009D3FB5" w14:paraId="49406C5B"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8719871"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Guarda Crianza Y Educación</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8F1F859"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28</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5D14B3F"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10,76</w:t>
            </w:r>
          </w:p>
        </w:tc>
      </w:tr>
      <w:tr w:rsidRPr="00AE1B2B" w:rsidR="00AE1B2B" w:rsidTr="009D3FB5" w14:paraId="4364CCE7"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789A8F0"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Impugnación Paternidad</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722DCC7"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7</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F7C6CBF"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9,16</w:t>
            </w:r>
          </w:p>
        </w:tc>
      </w:tr>
      <w:tr w:rsidRPr="00AE1B2B" w:rsidR="00AE1B2B" w:rsidTr="009D3FB5" w14:paraId="0D4071A8"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0D159AE1"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Autorización Salida País</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0E35EDE"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32</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DBB15CE"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8,79</w:t>
            </w:r>
          </w:p>
        </w:tc>
      </w:tr>
      <w:tr w:rsidRPr="00AE1B2B" w:rsidR="00AE1B2B" w:rsidTr="009D3FB5" w14:paraId="667165F5"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tcPr>
          <w:p w:rsidRPr="00AE1B2B" w:rsidR="009D3FB5" w:rsidP="00163B94" w:rsidRDefault="009D3FB5" w14:paraId="7C54EA35"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Otros abreviados</w:t>
            </w:r>
          </w:p>
        </w:tc>
        <w:tc>
          <w:tcPr>
            <w:tcW w:w="860" w:type="pct"/>
            <w:tcBorders>
              <w:top w:val="nil"/>
              <w:left w:val="nil"/>
              <w:bottom w:val="single" w:color="auto" w:sz="4" w:space="0"/>
              <w:right w:val="single" w:color="auto" w:sz="4" w:space="0"/>
            </w:tcBorders>
            <w:shd w:val="clear" w:color="auto" w:fill="auto"/>
            <w:noWrap/>
            <w:vAlign w:val="bottom"/>
          </w:tcPr>
          <w:p w:rsidRPr="00AE1B2B" w:rsidR="009D3FB5" w:rsidP="00163B94" w:rsidRDefault="009D3FB5" w14:paraId="60A9EB96"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w:t>
            </w:r>
          </w:p>
        </w:tc>
        <w:tc>
          <w:tcPr>
            <w:tcW w:w="1094" w:type="pct"/>
            <w:tcBorders>
              <w:top w:val="nil"/>
              <w:left w:val="nil"/>
              <w:bottom w:val="single" w:color="auto" w:sz="4" w:space="0"/>
              <w:right w:val="single" w:color="auto" w:sz="4" w:space="0"/>
            </w:tcBorders>
            <w:shd w:val="clear" w:color="auto" w:fill="auto"/>
            <w:noWrap/>
            <w:vAlign w:val="bottom"/>
          </w:tcPr>
          <w:p w:rsidRPr="00AE1B2B" w:rsidR="009D3FB5" w:rsidP="00163B94" w:rsidRDefault="009D3FB5" w14:paraId="71BFCEE7"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8,17</w:t>
            </w:r>
          </w:p>
        </w:tc>
      </w:tr>
      <w:tr w:rsidRPr="00AE1B2B" w:rsidR="00AE1B2B" w:rsidTr="009D3FB5" w14:paraId="05E634AD"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7615387"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Conflicto Autoridad Parental</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BCE2E9E"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FDF55AB"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6,59</w:t>
            </w:r>
          </w:p>
        </w:tc>
      </w:tr>
      <w:tr w:rsidRPr="00AE1B2B" w:rsidR="00AE1B2B" w:rsidTr="009D3FB5" w14:paraId="4EB565B8"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6B7F831F"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lastRenderedPageBreak/>
              <w:t xml:space="preserve">Rest. Internacional </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5D637E5"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36</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62B1AF1"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6,37</w:t>
            </w:r>
          </w:p>
        </w:tc>
      </w:tr>
      <w:tr w:rsidRPr="00AE1B2B" w:rsidR="00AE1B2B" w:rsidTr="009D3FB5" w14:paraId="598D5C42"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200C1957"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Sol. Allanamiento (art.36 L.O. P.A.N.I)</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B34DBC0"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5DF109F"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6,13</w:t>
            </w:r>
          </w:p>
        </w:tc>
      </w:tr>
      <w:tr w:rsidRPr="00AE1B2B" w:rsidR="00AE1B2B" w:rsidTr="009D3FB5" w14:paraId="150A7039"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tcPr>
          <w:p w:rsidRPr="00AE1B2B" w:rsidR="009D3FB5" w:rsidP="00163B94" w:rsidRDefault="009D3FB5" w14:paraId="1F19282B"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Adopciones internacionales</w:t>
            </w:r>
          </w:p>
        </w:tc>
        <w:tc>
          <w:tcPr>
            <w:tcW w:w="860" w:type="pct"/>
            <w:tcBorders>
              <w:top w:val="nil"/>
              <w:left w:val="nil"/>
              <w:bottom w:val="single" w:color="auto" w:sz="4" w:space="0"/>
              <w:right w:val="single" w:color="auto" w:sz="4" w:space="0"/>
            </w:tcBorders>
            <w:shd w:val="clear" w:color="auto" w:fill="auto"/>
            <w:noWrap/>
            <w:vAlign w:val="bottom"/>
          </w:tcPr>
          <w:p w:rsidRPr="00AE1B2B" w:rsidR="009D3FB5" w:rsidP="00163B94" w:rsidRDefault="009D3FB5" w14:paraId="2326CB72"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9</w:t>
            </w:r>
          </w:p>
        </w:tc>
        <w:tc>
          <w:tcPr>
            <w:tcW w:w="1094" w:type="pct"/>
            <w:tcBorders>
              <w:top w:val="nil"/>
              <w:left w:val="nil"/>
              <w:bottom w:val="single" w:color="auto" w:sz="4" w:space="0"/>
              <w:right w:val="single" w:color="auto" w:sz="4" w:space="0"/>
            </w:tcBorders>
            <w:shd w:val="clear" w:color="auto" w:fill="auto"/>
            <w:noWrap/>
            <w:vAlign w:val="bottom"/>
          </w:tcPr>
          <w:p w:rsidRPr="00AE1B2B" w:rsidR="009D3FB5" w:rsidP="00163B94" w:rsidRDefault="009D3FB5" w14:paraId="22579561"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4,58</w:t>
            </w:r>
          </w:p>
        </w:tc>
      </w:tr>
      <w:tr w:rsidRPr="00AE1B2B" w:rsidR="00AE1B2B" w:rsidTr="009D3FB5" w14:paraId="190F3E3F"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4C800735"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Recuperación Patria Potestad</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6A1678D"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90E6A42"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3,32</w:t>
            </w:r>
          </w:p>
        </w:tc>
      </w:tr>
      <w:tr w:rsidRPr="00AE1B2B" w:rsidR="00AE1B2B" w:rsidTr="009D3FB5" w14:paraId="27E2D4A8" w14:textId="77777777">
        <w:trPr>
          <w:trHeight w:val="20"/>
        </w:trPr>
        <w:tc>
          <w:tcPr>
            <w:tcW w:w="3046" w:type="pct"/>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78D3A94F" w14:textId="77777777">
            <w:pPr>
              <w:spacing w:before="120" w:after="120" w:line="276" w:lineRule="auto"/>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Medida Cautelar</w:t>
            </w:r>
          </w:p>
        </w:tc>
        <w:tc>
          <w:tcPr>
            <w:tcW w:w="860"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B134544"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w:t>
            </w:r>
          </w:p>
        </w:tc>
        <w:tc>
          <w:tcPr>
            <w:tcW w:w="1094" w:type="pct"/>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D552E6C" w14:textId="77777777">
            <w:pPr>
              <w:spacing w:before="120" w:after="120" w:line="276" w:lineRule="auto"/>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0,47</w:t>
            </w:r>
          </w:p>
        </w:tc>
      </w:tr>
      <w:tr w:rsidRPr="00AE1B2B" w:rsidR="00AE1B2B" w:rsidTr="009D3FB5" w14:paraId="14253C7C" w14:textId="77777777">
        <w:trPr>
          <w:trHeight w:val="20"/>
        </w:trPr>
        <w:tc>
          <w:tcPr>
            <w:tcW w:w="3046" w:type="pct"/>
            <w:tcBorders>
              <w:top w:val="nil"/>
              <w:left w:val="single" w:color="auto" w:sz="4" w:space="0"/>
              <w:bottom w:val="nil"/>
              <w:right w:val="single" w:color="auto" w:sz="4" w:space="0"/>
            </w:tcBorders>
            <w:shd w:val="clear" w:color="D9E1F2" w:fill="808080"/>
            <w:noWrap/>
            <w:vAlign w:val="bottom"/>
            <w:hideMark/>
          </w:tcPr>
          <w:p w:rsidRPr="00AE1B2B" w:rsidR="009D3FB5" w:rsidP="00163B94" w:rsidRDefault="009D3FB5" w14:paraId="4404E854" w14:textId="77777777">
            <w:pPr>
              <w:spacing w:before="120" w:after="120" w:line="276" w:lineRule="auto"/>
              <w:jc w:val="right"/>
              <w:rPr>
                <w:rFonts w:ascii="Times New Roman" w:hAnsi="Times New Roman" w:eastAsia="Times New Roman" w:cs="Times New Roman"/>
                <w:b/>
                <w:sz w:val="20"/>
                <w:szCs w:val="20"/>
                <w:lang w:eastAsia="es-CR"/>
              </w:rPr>
            </w:pPr>
            <w:r w:rsidRPr="00AE1B2B">
              <w:rPr>
                <w:rFonts w:ascii="Times New Roman" w:hAnsi="Times New Roman" w:eastAsia="Times New Roman" w:cs="Times New Roman"/>
                <w:b/>
                <w:sz w:val="20"/>
                <w:szCs w:val="20"/>
                <w:lang w:eastAsia="es-CR"/>
              </w:rPr>
              <w:t xml:space="preserve">Total </w:t>
            </w:r>
          </w:p>
        </w:tc>
        <w:tc>
          <w:tcPr>
            <w:tcW w:w="860" w:type="pct"/>
            <w:tcBorders>
              <w:top w:val="nil"/>
              <w:left w:val="nil"/>
              <w:bottom w:val="nil"/>
              <w:right w:val="single" w:color="auto" w:sz="4" w:space="0"/>
            </w:tcBorders>
            <w:shd w:val="clear" w:color="D9E1F2" w:fill="808080"/>
            <w:noWrap/>
            <w:vAlign w:val="bottom"/>
            <w:hideMark/>
          </w:tcPr>
          <w:p w:rsidRPr="00AE1B2B" w:rsidR="009D3FB5" w:rsidP="00163B94" w:rsidRDefault="009D3FB5" w14:paraId="0B51BA4E" w14:textId="77777777">
            <w:pPr>
              <w:spacing w:before="120" w:after="120" w:line="276" w:lineRule="auto"/>
              <w:jc w:val="center"/>
              <w:rPr>
                <w:rFonts w:ascii="Times New Roman" w:hAnsi="Times New Roman" w:eastAsia="Times New Roman" w:cs="Times New Roman"/>
                <w:b/>
                <w:sz w:val="20"/>
                <w:szCs w:val="20"/>
                <w:lang w:eastAsia="es-CR"/>
              </w:rPr>
            </w:pPr>
            <w:r w:rsidRPr="00AE1B2B">
              <w:rPr>
                <w:rFonts w:ascii="Times New Roman" w:hAnsi="Times New Roman" w:eastAsia="Times New Roman" w:cs="Times New Roman"/>
                <w:b/>
                <w:sz w:val="20"/>
                <w:szCs w:val="20"/>
                <w:lang w:eastAsia="es-CR"/>
              </w:rPr>
              <w:t>980</w:t>
            </w:r>
          </w:p>
        </w:tc>
        <w:tc>
          <w:tcPr>
            <w:tcW w:w="1094" w:type="pct"/>
            <w:tcBorders>
              <w:top w:val="nil"/>
              <w:left w:val="nil"/>
              <w:bottom w:val="nil"/>
              <w:right w:val="single" w:color="auto" w:sz="4" w:space="0"/>
            </w:tcBorders>
            <w:shd w:val="clear" w:color="D9E1F2" w:fill="808080"/>
            <w:noWrap/>
            <w:vAlign w:val="bottom"/>
            <w:hideMark/>
          </w:tcPr>
          <w:p w:rsidRPr="00AE1B2B" w:rsidR="009D3FB5" w:rsidP="00163B94" w:rsidRDefault="009D3FB5" w14:paraId="5965095E" w14:textId="77777777">
            <w:pPr>
              <w:spacing w:before="120" w:after="120" w:line="276" w:lineRule="auto"/>
              <w:jc w:val="center"/>
              <w:rPr>
                <w:rFonts w:ascii="Times New Roman" w:hAnsi="Times New Roman" w:eastAsia="Times New Roman" w:cs="Times New Roman"/>
                <w:b/>
                <w:sz w:val="20"/>
                <w:szCs w:val="20"/>
                <w:lang w:eastAsia="es-CR"/>
              </w:rPr>
            </w:pPr>
          </w:p>
        </w:tc>
      </w:tr>
      <w:tr w:rsidRPr="00AE1B2B" w:rsidR="00AE1B2B" w:rsidTr="009D3FB5" w14:paraId="77FD5D04" w14:textId="77777777">
        <w:trPr>
          <w:trHeight w:val="20"/>
        </w:trPr>
        <w:tc>
          <w:tcPr>
            <w:tcW w:w="3046" w:type="pct"/>
            <w:tcBorders>
              <w:top w:val="nil"/>
              <w:left w:val="single" w:color="auto" w:sz="4" w:space="0"/>
              <w:bottom w:val="single" w:color="auto" w:sz="4" w:space="0"/>
              <w:right w:val="single" w:color="auto" w:sz="4" w:space="0"/>
            </w:tcBorders>
            <w:shd w:val="clear" w:color="D9E1F2" w:fill="808080"/>
            <w:noWrap/>
            <w:vAlign w:val="bottom"/>
          </w:tcPr>
          <w:p w:rsidRPr="00AE1B2B" w:rsidR="009D3FB5" w:rsidP="00163B94" w:rsidRDefault="009D3FB5" w14:paraId="738E12A6" w14:textId="77777777">
            <w:pPr>
              <w:spacing w:before="120" w:after="120" w:line="276" w:lineRule="auto"/>
              <w:jc w:val="right"/>
              <w:rPr>
                <w:rFonts w:ascii="Times New Roman" w:hAnsi="Times New Roman" w:eastAsia="Times New Roman" w:cs="Times New Roman"/>
                <w:b/>
                <w:sz w:val="20"/>
                <w:szCs w:val="20"/>
                <w:lang w:eastAsia="es-CR"/>
              </w:rPr>
            </w:pPr>
            <w:r w:rsidRPr="00AE1B2B">
              <w:rPr>
                <w:rFonts w:ascii="Times New Roman" w:hAnsi="Times New Roman" w:eastAsia="Times New Roman" w:cs="Times New Roman"/>
                <w:b/>
                <w:sz w:val="20"/>
                <w:szCs w:val="20"/>
                <w:lang w:eastAsia="es-CR"/>
              </w:rPr>
              <w:t>Promedio</w:t>
            </w:r>
          </w:p>
        </w:tc>
        <w:tc>
          <w:tcPr>
            <w:tcW w:w="860" w:type="pct"/>
            <w:tcBorders>
              <w:top w:val="nil"/>
              <w:left w:val="nil"/>
              <w:bottom w:val="single" w:color="auto" w:sz="4" w:space="0"/>
              <w:right w:val="single" w:color="auto" w:sz="4" w:space="0"/>
            </w:tcBorders>
            <w:shd w:val="clear" w:color="D9E1F2" w:fill="808080"/>
            <w:noWrap/>
            <w:vAlign w:val="bottom"/>
          </w:tcPr>
          <w:p w:rsidRPr="00AE1B2B" w:rsidR="009D3FB5" w:rsidP="00163B94" w:rsidRDefault="009D3FB5" w14:paraId="2C6E4D96" w14:textId="77777777">
            <w:pPr>
              <w:spacing w:before="120" w:after="120" w:line="276" w:lineRule="auto"/>
              <w:jc w:val="center"/>
              <w:rPr>
                <w:rFonts w:ascii="Times New Roman" w:hAnsi="Times New Roman" w:eastAsia="Times New Roman" w:cs="Times New Roman"/>
                <w:b/>
                <w:sz w:val="20"/>
                <w:szCs w:val="20"/>
                <w:lang w:eastAsia="es-CR"/>
              </w:rPr>
            </w:pPr>
          </w:p>
        </w:tc>
        <w:tc>
          <w:tcPr>
            <w:tcW w:w="1094" w:type="pct"/>
            <w:tcBorders>
              <w:top w:val="nil"/>
              <w:left w:val="nil"/>
              <w:bottom w:val="single" w:color="auto" w:sz="4" w:space="0"/>
              <w:right w:val="single" w:color="auto" w:sz="4" w:space="0"/>
            </w:tcBorders>
            <w:shd w:val="clear" w:color="D9E1F2" w:fill="808080"/>
            <w:noWrap/>
            <w:vAlign w:val="bottom"/>
          </w:tcPr>
          <w:p w:rsidRPr="00AE1B2B" w:rsidR="009D3FB5" w:rsidP="00163B94" w:rsidRDefault="009D3FB5" w14:paraId="1EA340E5" w14:textId="77777777">
            <w:pPr>
              <w:spacing w:before="120" w:after="120" w:line="276" w:lineRule="auto"/>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20,02</w:t>
            </w:r>
          </w:p>
        </w:tc>
      </w:tr>
    </w:tbl>
    <w:p w:rsidRPr="00AE1B2B" w:rsidR="009D3FB5" w:rsidP="00163B94" w:rsidRDefault="009D3FB5" w14:paraId="4DE65BC3"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 con base en datos Estadísticos del Subproceso de Estadística.</w:t>
      </w:r>
    </w:p>
    <w:p w:rsidRPr="00AE1B2B" w:rsidR="009D3FB5" w:rsidP="00163B94" w:rsidRDefault="009D3FB5" w14:paraId="195B24A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89ADCB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Juzgados de Familia (mixtos de 2 materias)</w:t>
      </w:r>
    </w:p>
    <w:p w:rsidRPr="00AE1B2B" w:rsidR="009D3FB5" w:rsidP="00163B94" w:rsidRDefault="009D3FB5" w14:paraId="4812001E" w14:textId="00C15ED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este bloque de despachos se ubican ocho juzgados: de Familia y Violencia Doméstica del Primer</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Circuito Judicial Guanacaste, de Familia y Violencia Doméstica del Segundo Circuito Judicial Guanacaste (Nicoya), de Familia y Violencia Doméstica del Segundo</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Circuito Judicial Zona Sur, de Familia y Violencia Doméstica del Tercer Circuito Judicial Alajuela (San Ramón), de Familia y Violencia Doméstica Golfito, de Familia y Violencia Doméstica Santa Cruz, de Familia y Violencia Doméstica de Grecia y finalmente el Juzgado de Trabajo y Familia Hatillo, San Sebastián y Alajuelita.</w:t>
      </w:r>
    </w:p>
    <w:p w:rsidRPr="00AE1B2B" w:rsidR="009D3FB5" w:rsidP="00163B94" w:rsidRDefault="009D3FB5" w14:paraId="759B5C1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429768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despachos mixtos atienden Familia y Violencia Doméstica, a excepción del Juzgado de Trabajo y Familia de Hatillo, San Sebastián y Alajuelita que lleva materias Trabajo y Familia. Estos despachos cuentan con dos personas juzgadoras los cuales atienden cada materia en un 50%, a salvedad del Juzgado Familia y Violencia Doméstica de Golfito que solamente cuenta con una Jueza o Juez, como se muestra en el cuadro siguiente.</w:t>
      </w:r>
    </w:p>
    <w:p w:rsidRPr="00AE1B2B" w:rsidR="009D3FB5" w:rsidP="00163B94" w:rsidRDefault="009D3FB5" w14:paraId="25B45F6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3BD984A" w14:textId="1FB5CAA2">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lastRenderedPageBreak/>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35</w:t>
      </w:r>
      <w:r w:rsidRPr="00AE1B2B">
        <w:rPr>
          <w:rFonts w:ascii="Times New Roman" w:hAnsi="Times New Roman" w:cs="Times New Roman"/>
          <w:sz w:val="26"/>
          <w:szCs w:val="26"/>
        </w:rPr>
        <w:fldChar w:fldCharType="end"/>
      </w:r>
    </w:p>
    <w:p w:rsidRPr="00AE1B2B" w:rsidR="009D3FB5" w:rsidP="00163B94" w:rsidRDefault="009D3FB5" w14:paraId="6B88117E"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Carga de trabajo juzgado de Familia mixtos</w:t>
      </w:r>
    </w:p>
    <w:p w:rsidRPr="00AE1B2B" w:rsidR="009D3FB5" w:rsidP="00163B94" w:rsidRDefault="009D3FB5" w14:paraId="5E13FAF8" w14:textId="1C2B7030">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de Familia y Violencia Doméstica 2015 a 2019.</w:t>
      </w:r>
    </w:p>
    <w:tbl>
      <w:tblPr>
        <w:tblW w:w="5000" w:type="pct"/>
        <w:jc w:val="center"/>
        <w:tblCellMar>
          <w:left w:w="70" w:type="dxa"/>
          <w:right w:w="70" w:type="dxa"/>
        </w:tblCellMar>
        <w:tblLook w:val="04A0" w:firstRow="1" w:lastRow="0" w:firstColumn="1" w:lastColumn="0" w:noHBand="0" w:noVBand="1"/>
      </w:tblPr>
      <w:tblGrid>
        <w:gridCol w:w="1050"/>
        <w:gridCol w:w="950"/>
        <w:gridCol w:w="585"/>
        <w:gridCol w:w="717"/>
        <w:gridCol w:w="979"/>
        <w:gridCol w:w="859"/>
        <w:gridCol w:w="1081"/>
        <w:gridCol w:w="930"/>
        <w:gridCol w:w="859"/>
        <w:gridCol w:w="818"/>
      </w:tblGrid>
      <w:tr w:rsidRPr="00AE1B2B" w:rsidR="00AE1B2B" w:rsidTr="002241C3" w14:paraId="2ACDD1D0" w14:textId="77777777">
        <w:trPr>
          <w:trHeight w:val="479"/>
          <w:tblHeader/>
          <w:jc w:val="center"/>
        </w:trPr>
        <w:tc>
          <w:tcPr>
            <w:tcW w:w="598" w:type="pct"/>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3F8FE10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Despacho</w:t>
            </w:r>
          </w:p>
        </w:tc>
        <w:tc>
          <w:tcPr>
            <w:tcW w:w="539" w:type="pct"/>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0DB8705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Materia*</w:t>
            </w:r>
          </w:p>
        </w:tc>
        <w:tc>
          <w:tcPr>
            <w:tcW w:w="730" w:type="pct"/>
            <w:gridSpan w:val="2"/>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77BB305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Recurso humano</w:t>
            </w:r>
          </w:p>
        </w:tc>
        <w:tc>
          <w:tcPr>
            <w:tcW w:w="556" w:type="pct"/>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633A7F4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dedicado por materia por juez</w:t>
            </w:r>
          </w:p>
        </w:tc>
        <w:tc>
          <w:tcPr>
            <w:tcW w:w="1101" w:type="pct"/>
            <w:gridSpan w:val="2"/>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5631A26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Promedios totales mensual</w:t>
            </w:r>
          </w:p>
        </w:tc>
        <w:tc>
          <w:tcPr>
            <w:tcW w:w="527" w:type="pct"/>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4931356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 al mes por persona juzgadora</w:t>
            </w:r>
          </w:p>
        </w:tc>
        <w:tc>
          <w:tcPr>
            <w:tcW w:w="486" w:type="pct"/>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7FDB337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 al mes por persona Tec. Jud. Trámite</w:t>
            </w:r>
          </w:p>
        </w:tc>
        <w:tc>
          <w:tcPr>
            <w:tcW w:w="462" w:type="pct"/>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175173A2"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Relación salida entre entrada</w:t>
            </w:r>
          </w:p>
        </w:tc>
      </w:tr>
      <w:tr w:rsidRPr="00AE1B2B" w:rsidR="00AE1B2B" w:rsidTr="002241C3" w14:paraId="39930C2F" w14:textId="77777777">
        <w:trPr>
          <w:trHeight w:val="330"/>
          <w:jc w:val="center"/>
        </w:trPr>
        <w:tc>
          <w:tcPr>
            <w:tcW w:w="598" w:type="pct"/>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34F6E8BD" w14:textId="77777777">
            <w:pPr>
              <w:spacing w:before="120" w:after="120" w:line="276" w:lineRule="auto"/>
              <w:rPr>
                <w:rFonts w:ascii="Times New Roman" w:hAnsi="Times New Roman" w:eastAsia="Times New Roman" w:cs="Times New Roman"/>
                <w:b/>
                <w:bCs/>
                <w:lang w:eastAsia="es-CR"/>
              </w:rPr>
            </w:pPr>
          </w:p>
        </w:tc>
        <w:tc>
          <w:tcPr>
            <w:tcW w:w="539" w:type="pct"/>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7F4B5BC5" w14:textId="77777777">
            <w:pPr>
              <w:spacing w:before="120" w:after="120" w:line="276" w:lineRule="auto"/>
              <w:rPr>
                <w:rFonts w:ascii="Times New Roman" w:hAnsi="Times New Roman" w:eastAsia="Times New Roman" w:cs="Times New Roman"/>
                <w:b/>
                <w:bCs/>
                <w:lang w:eastAsia="es-CR"/>
              </w:rPr>
            </w:pPr>
          </w:p>
        </w:tc>
        <w:tc>
          <w:tcPr>
            <w:tcW w:w="327" w:type="pct"/>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090C8ED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Jueza o Juez</w:t>
            </w:r>
          </w:p>
        </w:tc>
        <w:tc>
          <w:tcPr>
            <w:tcW w:w="403" w:type="pct"/>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41D1057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Téc. Jud. de trámite</w:t>
            </w:r>
          </w:p>
        </w:tc>
        <w:tc>
          <w:tcPr>
            <w:tcW w:w="556" w:type="pct"/>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0ACB1F31" w14:textId="77777777">
            <w:pPr>
              <w:spacing w:before="120" w:after="120" w:line="276" w:lineRule="auto"/>
              <w:rPr>
                <w:rFonts w:ascii="Times New Roman" w:hAnsi="Times New Roman" w:eastAsia="Times New Roman" w:cs="Times New Roman"/>
                <w:b/>
                <w:bCs/>
                <w:lang w:eastAsia="es-CR"/>
              </w:rPr>
            </w:pPr>
          </w:p>
        </w:tc>
        <w:tc>
          <w:tcPr>
            <w:tcW w:w="486"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2D784B6E"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w:t>
            </w:r>
          </w:p>
        </w:tc>
        <w:tc>
          <w:tcPr>
            <w:tcW w:w="616"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7AF2906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Terminados</w:t>
            </w:r>
          </w:p>
        </w:tc>
        <w:tc>
          <w:tcPr>
            <w:tcW w:w="527" w:type="pct"/>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4699B5C6" w14:textId="77777777">
            <w:pPr>
              <w:spacing w:before="120" w:after="120" w:line="276" w:lineRule="auto"/>
              <w:rPr>
                <w:rFonts w:ascii="Times New Roman" w:hAnsi="Times New Roman" w:eastAsia="Times New Roman" w:cs="Times New Roman"/>
                <w:b/>
                <w:bCs/>
                <w:lang w:eastAsia="es-CR"/>
              </w:rPr>
            </w:pPr>
          </w:p>
        </w:tc>
        <w:tc>
          <w:tcPr>
            <w:tcW w:w="486" w:type="pct"/>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11DF535C" w14:textId="77777777">
            <w:pPr>
              <w:spacing w:before="120" w:after="120" w:line="276" w:lineRule="auto"/>
              <w:rPr>
                <w:rFonts w:ascii="Times New Roman" w:hAnsi="Times New Roman" w:eastAsia="Times New Roman" w:cs="Times New Roman"/>
                <w:b/>
                <w:bCs/>
                <w:lang w:eastAsia="es-CR"/>
              </w:rPr>
            </w:pPr>
          </w:p>
        </w:tc>
        <w:tc>
          <w:tcPr>
            <w:tcW w:w="462" w:type="pct"/>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3F8DAF83" w14:textId="77777777">
            <w:pPr>
              <w:spacing w:before="120" w:after="120" w:line="276" w:lineRule="auto"/>
              <w:rPr>
                <w:rFonts w:ascii="Times New Roman" w:hAnsi="Times New Roman" w:eastAsia="Times New Roman" w:cs="Times New Roman"/>
                <w:b/>
                <w:bCs/>
                <w:lang w:eastAsia="es-CR"/>
              </w:rPr>
            </w:pPr>
          </w:p>
        </w:tc>
      </w:tr>
      <w:tr w:rsidRPr="00AE1B2B" w:rsidR="00AE1B2B" w:rsidTr="002241C3" w14:paraId="73D5DDDC" w14:textId="77777777">
        <w:trPr>
          <w:trHeight w:val="685"/>
          <w:jc w:val="center"/>
        </w:trPr>
        <w:tc>
          <w:tcPr>
            <w:tcW w:w="598" w:type="pct"/>
            <w:vMerge w:val="restart"/>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5947278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Juzgado Familia y Viol. Dom. I Circ. Jud. Guanacaste </w:t>
            </w:r>
          </w:p>
        </w:tc>
        <w:tc>
          <w:tcPr>
            <w:tcW w:w="539"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19C3AE8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327" w:type="pct"/>
            <w:vMerge w:val="restart"/>
            <w:tcBorders>
              <w:top w:val="nil"/>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30B0DA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403" w:type="pct"/>
            <w:vMerge w:val="restart"/>
            <w:tcBorders>
              <w:top w:val="nil"/>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5A181B6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55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9E141A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6" w:type="pct"/>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1A0635C" w14:textId="77777777">
            <w:pPr>
              <w:spacing w:before="120" w:after="120" w:line="276" w:lineRule="auto"/>
              <w:jc w:val="center"/>
              <w:rPr>
                <w:rFonts w:ascii="Times New Roman" w:hAnsi="Times New Roman" w:eastAsia="Times New Roman" w:cs="Times New Roman"/>
                <w:u w:val="single"/>
                <w:lang w:eastAsia="es-CR"/>
              </w:rPr>
            </w:pPr>
            <w:r w:rsidRPr="00AE1B2B">
              <w:rPr>
                <w:rFonts w:ascii="Times New Roman" w:hAnsi="Times New Roman" w:cs="Times New Roman"/>
                <w:u w:val="single"/>
              </w:rPr>
              <w:t>96</w:t>
            </w:r>
          </w:p>
        </w:tc>
        <w:tc>
          <w:tcPr>
            <w:tcW w:w="616"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110830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91</w:t>
            </w:r>
          </w:p>
        </w:tc>
        <w:tc>
          <w:tcPr>
            <w:tcW w:w="527"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17FB61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48</w:t>
            </w:r>
          </w:p>
        </w:tc>
        <w:tc>
          <w:tcPr>
            <w:tcW w:w="48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B79F3D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24</w:t>
            </w:r>
          </w:p>
        </w:tc>
        <w:tc>
          <w:tcPr>
            <w:tcW w:w="462"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208D9D3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94%</w:t>
            </w:r>
          </w:p>
        </w:tc>
      </w:tr>
      <w:tr w:rsidRPr="00AE1B2B" w:rsidR="00AE1B2B" w:rsidTr="002241C3" w14:paraId="77ACE220" w14:textId="77777777">
        <w:trPr>
          <w:trHeight w:val="330"/>
          <w:jc w:val="center"/>
        </w:trPr>
        <w:tc>
          <w:tcPr>
            <w:tcW w:w="598"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6EAD43AB" w14:textId="77777777">
            <w:pPr>
              <w:spacing w:before="120" w:after="120" w:line="276" w:lineRule="auto"/>
              <w:rPr>
                <w:rFonts w:ascii="Times New Roman" w:hAnsi="Times New Roman" w:eastAsia="Times New Roman" w:cs="Times New Roman"/>
                <w:b/>
                <w:bCs/>
                <w:lang w:eastAsia="es-CR"/>
              </w:rPr>
            </w:pPr>
          </w:p>
        </w:tc>
        <w:tc>
          <w:tcPr>
            <w:tcW w:w="539"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0809F5FA"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 Doméstica</w:t>
            </w:r>
          </w:p>
        </w:tc>
        <w:tc>
          <w:tcPr>
            <w:tcW w:w="327"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012E3F3B" w14:textId="77777777">
            <w:pPr>
              <w:spacing w:before="120" w:after="120" w:line="276" w:lineRule="auto"/>
              <w:rPr>
                <w:rFonts w:ascii="Times New Roman" w:hAnsi="Times New Roman" w:eastAsia="Times New Roman" w:cs="Times New Roman"/>
                <w:lang w:eastAsia="es-CR"/>
              </w:rPr>
            </w:pPr>
          </w:p>
        </w:tc>
        <w:tc>
          <w:tcPr>
            <w:tcW w:w="403"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663C71E1" w14:textId="77777777">
            <w:pPr>
              <w:spacing w:before="120" w:after="120" w:line="276" w:lineRule="auto"/>
              <w:rPr>
                <w:rFonts w:ascii="Times New Roman" w:hAnsi="Times New Roman" w:eastAsia="Times New Roman" w:cs="Times New Roman"/>
                <w:lang w:eastAsia="es-CR"/>
              </w:rPr>
            </w:pPr>
          </w:p>
        </w:tc>
        <w:tc>
          <w:tcPr>
            <w:tcW w:w="55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7E9AE7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6" w:type="pct"/>
            <w:tcBorders>
              <w:top w:val="nil"/>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1AD6D57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117</w:t>
            </w:r>
          </w:p>
        </w:tc>
        <w:tc>
          <w:tcPr>
            <w:tcW w:w="61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EC8D01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115</w:t>
            </w:r>
          </w:p>
        </w:tc>
        <w:tc>
          <w:tcPr>
            <w:tcW w:w="527"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8E4A8C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59</w:t>
            </w:r>
          </w:p>
        </w:tc>
        <w:tc>
          <w:tcPr>
            <w:tcW w:w="48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72A9AC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w:t>
            </w:r>
          </w:p>
        </w:tc>
        <w:tc>
          <w:tcPr>
            <w:tcW w:w="462"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88093A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98%</w:t>
            </w:r>
          </w:p>
        </w:tc>
      </w:tr>
      <w:tr w:rsidRPr="00AE1B2B" w:rsidR="00AE1B2B" w:rsidTr="002241C3" w14:paraId="5E2E62A8" w14:textId="77777777">
        <w:trPr>
          <w:trHeight w:val="991"/>
          <w:jc w:val="center"/>
        </w:trPr>
        <w:tc>
          <w:tcPr>
            <w:tcW w:w="598" w:type="pct"/>
            <w:vMerge w:val="restar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E6BE70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y Viol. Dom. II Circ. Jud. Guanacaste (Nicoya)</w:t>
            </w:r>
          </w:p>
        </w:tc>
        <w:tc>
          <w:tcPr>
            <w:tcW w:w="539"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C8AC5B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327" w:type="pct"/>
            <w:vMerge w:val="restar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2CF027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403" w:type="pct"/>
            <w:vMerge w:val="restar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5A9DC5E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55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1BD02E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6"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7B24872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46</w:t>
            </w:r>
          </w:p>
        </w:tc>
        <w:tc>
          <w:tcPr>
            <w:tcW w:w="61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36177C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48</w:t>
            </w:r>
          </w:p>
        </w:tc>
        <w:tc>
          <w:tcPr>
            <w:tcW w:w="52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D3CBEF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w:t>
            </w:r>
          </w:p>
        </w:tc>
        <w:tc>
          <w:tcPr>
            <w:tcW w:w="48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E771A5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w:t>
            </w:r>
          </w:p>
        </w:tc>
        <w:tc>
          <w:tcPr>
            <w:tcW w:w="46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A3A6B2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105%</w:t>
            </w:r>
          </w:p>
        </w:tc>
      </w:tr>
      <w:tr w:rsidRPr="00AE1B2B" w:rsidR="00AE1B2B" w:rsidTr="002241C3" w14:paraId="56527E8F" w14:textId="77777777">
        <w:trPr>
          <w:trHeight w:val="330"/>
          <w:jc w:val="center"/>
        </w:trPr>
        <w:tc>
          <w:tcPr>
            <w:tcW w:w="598"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48BA18C" w14:textId="77777777">
            <w:pPr>
              <w:spacing w:before="120" w:after="120" w:line="276" w:lineRule="auto"/>
              <w:rPr>
                <w:rFonts w:ascii="Times New Roman" w:hAnsi="Times New Roman" w:eastAsia="Times New Roman" w:cs="Times New Roman"/>
                <w:b/>
                <w:bCs/>
                <w:lang w:eastAsia="es-CR"/>
              </w:rPr>
            </w:pPr>
          </w:p>
        </w:tc>
        <w:tc>
          <w:tcPr>
            <w:tcW w:w="539"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BC13B8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 Doméstica</w:t>
            </w:r>
          </w:p>
        </w:tc>
        <w:tc>
          <w:tcPr>
            <w:tcW w:w="327"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F1537FA" w14:textId="77777777">
            <w:pPr>
              <w:spacing w:before="120" w:after="120" w:line="276" w:lineRule="auto"/>
              <w:rPr>
                <w:rFonts w:ascii="Times New Roman" w:hAnsi="Times New Roman" w:eastAsia="Times New Roman" w:cs="Times New Roman"/>
                <w:lang w:eastAsia="es-CR"/>
              </w:rPr>
            </w:pPr>
          </w:p>
        </w:tc>
        <w:tc>
          <w:tcPr>
            <w:tcW w:w="403"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C1169EF" w14:textId="77777777">
            <w:pPr>
              <w:spacing w:before="120" w:after="120" w:line="276" w:lineRule="auto"/>
              <w:rPr>
                <w:rFonts w:ascii="Times New Roman" w:hAnsi="Times New Roman" w:eastAsia="Times New Roman" w:cs="Times New Roman"/>
                <w:lang w:eastAsia="es-CR"/>
              </w:rPr>
            </w:pPr>
          </w:p>
        </w:tc>
        <w:tc>
          <w:tcPr>
            <w:tcW w:w="55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319AFE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6"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6B7DB54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94</w:t>
            </w:r>
          </w:p>
        </w:tc>
        <w:tc>
          <w:tcPr>
            <w:tcW w:w="61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09FB9B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98</w:t>
            </w:r>
          </w:p>
        </w:tc>
        <w:tc>
          <w:tcPr>
            <w:tcW w:w="52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AA4440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47</w:t>
            </w:r>
          </w:p>
        </w:tc>
        <w:tc>
          <w:tcPr>
            <w:tcW w:w="48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AD269E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32</w:t>
            </w:r>
          </w:p>
        </w:tc>
        <w:tc>
          <w:tcPr>
            <w:tcW w:w="46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535A6F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103%</w:t>
            </w:r>
          </w:p>
        </w:tc>
      </w:tr>
      <w:tr w:rsidRPr="00AE1B2B" w:rsidR="00AE1B2B" w:rsidTr="002241C3" w14:paraId="22B96029" w14:textId="77777777">
        <w:trPr>
          <w:trHeight w:val="965"/>
          <w:jc w:val="center"/>
        </w:trPr>
        <w:tc>
          <w:tcPr>
            <w:tcW w:w="598" w:type="pct"/>
            <w:vMerge w:val="restart"/>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35CE1C5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y Viol. Dom. II Circ. Jud. Zona Sur</w:t>
            </w:r>
          </w:p>
        </w:tc>
        <w:tc>
          <w:tcPr>
            <w:tcW w:w="539"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3F2176F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327" w:type="pct"/>
            <w:vMerge w:val="restart"/>
            <w:tcBorders>
              <w:top w:val="nil"/>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1DDC14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403" w:type="pct"/>
            <w:vMerge w:val="restart"/>
            <w:tcBorders>
              <w:top w:val="nil"/>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34C17E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55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93D0C3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6" w:type="pct"/>
            <w:tcBorders>
              <w:top w:val="nil"/>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609DBDE" w14:textId="77777777">
            <w:pPr>
              <w:spacing w:before="120" w:after="120" w:line="276" w:lineRule="auto"/>
              <w:jc w:val="center"/>
              <w:rPr>
                <w:rFonts w:ascii="Times New Roman" w:hAnsi="Times New Roman" w:eastAsia="Times New Roman" w:cs="Times New Roman"/>
                <w:u w:val="single"/>
                <w:lang w:eastAsia="es-CR"/>
              </w:rPr>
            </w:pPr>
            <w:r w:rsidRPr="00AE1B2B">
              <w:rPr>
                <w:rFonts w:ascii="Times New Roman" w:hAnsi="Times New Roman" w:cs="Times New Roman"/>
                <w:u w:val="single"/>
              </w:rPr>
              <w:t>78</w:t>
            </w:r>
          </w:p>
        </w:tc>
        <w:tc>
          <w:tcPr>
            <w:tcW w:w="61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344973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75</w:t>
            </w:r>
          </w:p>
        </w:tc>
        <w:tc>
          <w:tcPr>
            <w:tcW w:w="527"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96AAC7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39</w:t>
            </w:r>
          </w:p>
        </w:tc>
        <w:tc>
          <w:tcPr>
            <w:tcW w:w="48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C68337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26</w:t>
            </w:r>
          </w:p>
        </w:tc>
        <w:tc>
          <w:tcPr>
            <w:tcW w:w="462"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548C3AD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97%</w:t>
            </w:r>
          </w:p>
        </w:tc>
      </w:tr>
      <w:tr w:rsidRPr="00AE1B2B" w:rsidR="00AE1B2B" w:rsidTr="002241C3" w14:paraId="069B05F9" w14:textId="77777777">
        <w:trPr>
          <w:trHeight w:val="330"/>
          <w:jc w:val="center"/>
        </w:trPr>
        <w:tc>
          <w:tcPr>
            <w:tcW w:w="598"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3CAABE84" w14:textId="77777777">
            <w:pPr>
              <w:spacing w:before="120" w:after="120" w:line="276" w:lineRule="auto"/>
              <w:rPr>
                <w:rFonts w:ascii="Times New Roman" w:hAnsi="Times New Roman" w:eastAsia="Times New Roman" w:cs="Times New Roman"/>
                <w:b/>
                <w:bCs/>
                <w:lang w:eastAsia="es-CR"/>
              </w:rPr>
            </w:pPr>
          </w:p>
        </w:tc>
        <w:tc>
          <w:tcPr>
            <w:tcW w:w="539"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7D5B9B9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 Doméstica</w:t>
            </w:r>
          </w:p>
        </w:tc>
        <w:tc>
          <w:tcPr>
            <w:tcW w:w="327"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3E6C5D80" w14:textId="77777777">
            <w:pPr>
              <w:spacing w:before="120" w:after="120" w:line="276" w:lineRule="auto"/>
              <w:rPr>
                <w:rFonts w:ascii="Times New Roman" w:hAnsi="Times New Roman" w:eastAsia="Times New Roman" w:cs="Times New Roman"/>
                <w:lang w:eastAsia="es-CR"/>
              </w:rPr>
            </w:pPr>
          </w:p>
        </w:tc>
        <w:tc>
          <w:tcPr>
            <w:tcW w:w="403"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5E4BBE28" w14:textId="77777777">
            <w:pPr>
              <w:spacing w:before="120" w:after="120" w:line="276" w:lineRule="auto"/>
              <w:rPr>
                <w:rFonts w:ascii="Times New Roman" w:hAnsi="Times New Roman" w:eastAsia="Times New Roman" w:cs="Times New Roman"/>
                <w:lang w:eastAsia="es-CR"/>
              </w:rPr>
            </w:pPr>
          </w:p>
        </w:tc>
        <w:tc>
          <w:tcPr>
            <w:tcW w:w="55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1ACAE96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6" w:type="pct"/>
            <w:tcBorders>
              <w:top w:val="nil"/>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568412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90</w:t>
            </w:r>
          </w:p>
        </w:tc>
        <w:tc>
          <w:tcPr>
            <w:tcW w:w="61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B99166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84</w:t>
            </w:r>
          </w:p>
        </w:tc>
        <w:tc>
          <w:tcPr>
            <w:tcW w:w="527"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AFCD94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45</w:t>
            </w:r>
          </w:p>
        </w:tc>
        <w:tc>
          <w:tcPr>
            <w:tcW w:w="48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5127BE8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30</w:t>
            </w:r>
          </w:p>
        </w:tc>
        <w:tc>
          <w:tcPr>
            <w:tcW w:w="462"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CC4025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93%</w:t>
            </w:r>
          </w:p>
        </w:tc>
      </w:tr>
      <w:tr w:rsidRPr="00AE1B2B" w:rsidR="00AE1B2B" w:rsidTr="002241C3" w14:paraId="4B1BBD56" w14:textId="77777777">
        <w:trPr>
          <w:trHeight w:val="1119"/>
          <w:jc w:val="center"/>
        </w:trPr>
        <w:tc>
          <w:tcPr>
            <w:tcW w:w="598" w:type="pct"/>
            <w:vMerge w:val="restar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0440DBD5"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Juzgado Familia y Viol. </w:t>
            </w:r>
            <w:r w:rsidRPr="00AE1B2B">
              <w:rPr>
                <w:rFonts w:ascii="Times New Roman" w:hAnsi="Times New Roman" w:eastAsia="Times New Roman" w:cs="Times New Roman"/>
                <w:b/>
                <w:bCs/>
                <w:lang w:eastAsia="es-CR"/>
              </w:rPr>
              <w:lastRenderedPageBreak/>
              <w:t>Dom. III Circ. Jud. Alajuela (San Ramón)*</w:t>
            </w:r>
          </w:p>
        </w:tc>
        <w:tc>
          <w:tcPr>
            <w:tcW w:w="539"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73E1A9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Familia</w:t>
            </w:r>
          </w:p>
        </w:tc>
        <w:tc>
          <w:tcPr>
            <w:tcW w:w="327" w:type="pct"/>
            <w:vMerge w:val="restar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48F3D7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403" w:type="pct"/>
            <w:vMerge w:val="restar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7635EEE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55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E1BB4C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6"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57F2A5BC" w14:textId="77777777">
            <w:pPr>
              <w:spacing w:before="120" w:after="120" w:line="276" w:lineRule="auto"/>
              <w:jc w:val="center"/>
              <w:rPr>
                <w:rFonts w:ascii="Times New Roman" w:hAnsi="Times New Roman" w:eastAsia="Times New Roman" w:cs="Times New Roman"/>
                <w:u w:val="single"/>
                <w:lang w:eastAsia="es-CR"/>
              </w:rPr>
            </w:pPr>
            <w:r w:rsidRPr="00AE1B2B">
              <w:rPr>
                <w:rFonts w:ascii="Times New Roman" w:hAnsi="Times New Roman" w:cs="Times New Roman"/>
                <w:u w:val="single"/>
              </w:rPr>
              <w:t>90</w:t>
            </w:r>
          </w:p>
        </w:tc>
        <w:tc>
          <w:tcPr>
            <w:tcW w:w="61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2CCF1A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90</w:t>
            </w:r>
          </w:p>
        </w:tc>
        <w:tc>
          <w:tcPr>
            <w:tcW w:w="52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B5FF4D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45</w:t>
            </w:r>
          </w:p>
        </w:tc>
        <w:tc>
          <w:tcPr>
            <w:tcW w:w="48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B403C5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30</w:t>
            </w:r>
          </w:p>
        </w:tc>
        <w:tc>
          <w:tcPr>
            <w:tcW w:w="46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A57887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r>
      <w:tr w:rsidRPr="00AE1B2B" w:rsidR="00AE1B2B" w:rsidTr="002241C3" w14:paraId="611DF9C4" w14:textId="77777777">
        <w:trPr>
          <w:trHeight w:val="330"/>
          <w:jc w:val="center"/>
        </w:trPr>
        <w:tc>
          <w:tcPr>
            <w:tcW w:w="598"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023B603E" w14:textId="77777777">
            <w:pPr>
              <w:spacing w:before="120" w:after="120" w:line="276" w:lineRule="auto"/>
              <w:rPr>
                <w:rFonts w:ascii="Times New Roman" w:hAnsi="Times New Roman" w:eastAsia="Times New Roman" w:cs="Times New Roman"/>
                <w:b/>
                <w:bCs/>
                <w:lang w:eastAsia="es-CR"/>
              </w:rPr>
            </w:pPr>
          </w:p>
        </w:tc>
        <w:tc>
          <w:tcPr>
            <w:tcW w:w="539"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AE7CF6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 Doméstica</w:t>
            </w:r>
          </w:p>
        </w:tc>
        <w:tc>
          <w:tcPr>
            <w:tcW w:w="327"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A0BF0E4" w14:textId="77777777">
            <w:pPr>
              <w:spacing w:before="120" w:after="120" w:line="276" w:lineRule="auto"/>
              <w:rPr>
                <w:rFonts w:ascii="Times New Roman" w:hAnsi="Times New Roman" w:eastAsia="Times New Roman" w:cs="Times New Roman"/>
                <w:lang w:eastAsia="es-CR"/>
              </w:rPr>
            </w:pPr>
          </w:p>
        </w:tc>
        <w:tc>
          <w:tcPr>
            <w:tcW w:w="403"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7254932" w14:textId="77777777">
            <w:pPr>
              <w:spacing w:before="120" w:after="120" w:line="276" w:lineRule="auto"/>
              <w:rPr>
                <w:rFonts w:ascii="Times New Roman" w:hAnsi="Times New Roman" w:eastAsia="Times New Roman" w:cs="Times New Roman"/>
                <w:lang w:eastAsia="es-CR"/>
              </w:rPr>
            </w:pPr>
          </w:p>
        </w:tc>
        <w:tc>
          <w:tcPr>
            <w:tcW w:w="55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C75F25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6"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73DF7C2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88</w:t>
            </w:r>
          </w:p>
        </w:tc>
        <w:tc>
          <w:tcPr>
            <w:tcW w:w="61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FABB27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97</w:t>
            </w:r>
          </w:p>
        </w:tc>
        <w:tc>
          <w:tcPr>
            <w:tcW w:w="52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8EB9E8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44</w:t>
            </w:r>
          </w:p>
        </w:tc>
        <w:tc>
          <w:tcPr>
            <w:tcW w:w="48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22EA76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w:t>
            </w:r>
          </w:p>
        </w:tc>
        <w:tc>
          <w:tcPr>
            <w:tcW w:w="46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2D99B0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110%</w:t>
            </w:r>
          </w:p>
        </w:tc>
      </w:tr>
      <w:tr w:rsidRPr="00AE1B2B" w:rsidR="00AE1B2B" w:rsidTr="002241C3" w14:paraId="07581626" w14:textId="77777777">
        <w:trPr>
          <w:trHeight w:val="1116"/>
          <w:jc w:val="center"/>
        </w:trPr>
        <w:tc>
          <w:tcPr>
            <w:tcW w:w="598" w:type="pct"/>
            <w:vMerge w:val="restart"/>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5603CF4F"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Penal Juv. y Viol. Dom. Doméstica de Golfito</w:t>
            </w:r>
          </w:p>
        </w:tc>
        <w:tc>
          <w:tcPr>
            <w:tcW w:w="539"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6B34F43F" w14:textId="77777777">
            <w:pPr>
              <w:spacing w:before="120" w:after="120" w:line="276" w:lineRule="auto"/>
              <w:rPr>
                <w:rFonts w:ascii="Times New Roman" w:hAnsi="Times New Roman" w:eastAsia="Times New Roman" w:cs="Times New Roman"/>
                <w:b/>
                <w:bCs/>
                <w:lang w:eastAsia="es-CR"/>
              </w:rPr>
            </w:pPr>
          </w:p>
          <w:p w:rsidRPr="00AE1B2B" w:rsidR="009D3FB5" w:rsidP="00163B94" w:rsidRDefault="009D3FB5" w14:paraId="698AF9F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327" w:type="pct"/>
            <w:vMerge w:val="restart"/>
            <w:tcBorders>
              <w:top w:val="nil"/>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13A453E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403" w:type="pct"/>
            <w:vMerge w:val="restart"/>
            <w:tcBorders>
              <w:top w:val="nil"/>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22343A6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55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8B09D8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486" w:type="pct"/>
            <w:tcBorders>
              <w:top w:val="nil"/>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A988C1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29</w:t>
            </w:r>
          </w:p>
        </w:tc>
        <w:tc>
          <w:tcPr>
            <w:tcW w:w="61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9439A8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30</w:t>
            </w:r>
          </w:p>
        </w:tc>
        <w:tc>
          <w:tcPr>
            <w:tcW w:w="527"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18C527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w:t>
            </w:r>
          </w:p>
        </w:tc>
        <w:tc>
          <w:tcPr>
            <w:tcW w:w="48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F453B4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w:t>
            </w:r>
          </w:p>
        </w:tc>
        <w:tc>
          <w:tcPr>
            <w:tcW w:w="462"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1E002A0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105%</w:t>
            </w:r>
          </w:p>
        </w:tc>
      </w:tr>
      <w:tr w:rsidRPr="00AE1B2B" w:rsidR="00AE1B2B" w:rsidTr="002241C3" w14:paraId="0B413A51" w14:textId="77777777">
        <w:trPr>
          <w:trHeight w:val="330"/>
          <w:jc w:val="center"/>
        </w:trPr>
        <w:tc>
          <w:tcPr>
            <w:tcW w:w="598"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5956629B" w14:textId="77777777">
            <w:pPr>
              <w:spacing w:before="120" w:after="120" w:line="276" w:lineRule="auto"/>
              <w:rPr>
                <w:rFonts w:ascii="Times New Roman" w:hAnsi="Times New Roman" w:eastAsia="Times New Roman" w:cs="Times New Roman"/>
                <w:b/>
                <w:bCs/>
                <w:lang w:eastAsia="es-CR"/>
              </w:rPr>
            </w:pPr>
          </w:p>
        </w:tc>
        <w:tc>
          <w:tcPr>
            <w:tcW w:w="539"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6211B3FE"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 Doméstica</w:t>
            </w:r>
          </w:p>
        </w:tc>
        <w:tc>
          <w:tcPr>
            <w:tcW w:w="327"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5C32EF63" w14:textId="77777777">
            <w:pPr>
              <w:spacing w:before="120" w:after="120" w:line="276" w:lineRule="auto"/>
              <w:rPr>
                <w:rFonts w:ascii="Times New Roman" w:hAnsi="Times New Roman" w:eastAsia="Times New Roman" w:cs="Times New Roman"/>
                <w:lang w:eastAsia="es-CR"/>
              </w:rPr>
            </w:pPr>
          </w:p>
        </w:tc>
        <w:tc>
          <w:tcPr>
            <w:tcW w:w="403"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29169A2F" w14:textId="77777777">
            <w:pPr>
              <w:spacing w:before="120" w:after="120" w:line="276" w:lineRule="auto"/>
              <w:rPr>
                <w:rFonts w:ascii="Times New Roman" w:hAnsi="Times New Roman" w:eastAsia="Times New Roman" w:cs="Times New Roman"/>
                <w:lang w:eastAsia="es-CR"/>
              </w:rPr>
            </w:pPr>
          </w:p>
        </w:tc>
        <w:tc>
          <w:tcPr>
            <w:tcW w:w="55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325C22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486" w:type="pct"/>
            <w:tcBorders>
              <w:top w:val="nil"/>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A96648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42</w:t>
            </w:r>
          </w:p>
        </w:tc>
        <w:tc>
          <w:tcPr>
            <w:tcW w:w="61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69A78E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53</w:t>
            </w:r>
          </w:p>
        </w:tc>
        <w:tc>
          <w:tcPr>
            <w:tcW w:w="527"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5F1C760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42</w:t>
            </w:r>
          </w:p>
        </w:tc>
        <w:tc>
          <w:tcPr>
            <w:tcW w:w="48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1E7E08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21</w:t>
            </w:r>
          </w:p>
        </w:tc>
        <w:tc>
          <w:tcPr>
            <w:tcW w:w="462"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179D5E8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127%</w:t>
            </w:r>
          </w:p>
        </w:tc>
      </w:tr>
      <w:tr w:rsidRPr="00AE1B2B" w:rsidR="00AE1B2B" w:rsidTr="002241C3" w14:paraId="0D58A532" w14:textId="77777777">
        <w:trPr>
          <w:trHeight w:val="859"/>
          <w:jc w:val="center"/>
        </w:trPr>
        <w:tc>
          <w:tcPr>
            <w:tcW w:w="598" w:type="pct"/>
            <w:vMerge w:val="restar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066E8E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Penal Juvenil y Viol. Dom. Santa Cruz</w:t>
            </w:r>
          </w:p>
        </w:tc>
        <w:tc>
          <w:tcPr>
            <w:tcW w:w="539"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701B79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327" w:type="pct"/>
            <w:vMerge w:val="restar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7ECF53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403" w:type="pct"/>
            <w:vMerge w:val="restar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6889401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55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46D644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6"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23AD36D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50</w:t>
            </w:r>
          </w:p>
        </w:tc>
        <w:tc>
          <w:tcPr>
            <w:tcW w:w="61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71E76F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50</w:t>
            </w:r>
          </w:p>
        </w:tc>
        <w:tc>
          <w:tcPr>
            <w:tcW w:w="52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6C6511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w:t>
            </w:r>
          </w:p>
        </w:tc>
        <w:tc>
          <w:tcPr>
            <w:tcW w:w="48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121F97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w:t>
            </w:r>
          </w:p>
        </w:tc>
        <w:tc>
          <w:tcPr>
            <w:tcW w:w="46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F6CD5F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r>
      <w:tr w:rsidRPr="00AE1B2B" w:rsidR="00AE1B2B" w:rsidTr="002241C3" w14:paraId="4530F414" w14:textId="77777777">
        <w:trPr>
          <w:trHeight w:val="330"/>
          <w:jc w:val="center"/>
        </w:trPr>
        <w:tc>
          <w:tcPr>
            <w:tcW w:w="598"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CC62172" w14:textId="77777777">
            <w:pPr>
              <w:spacing w:before="120" w:after="120" w:line="276" w:lineRule="auto"/>
              <w:rPr>
                <w:rFonts w:ascii="Times New Roman" w:hAnsi="Times New Roman" w:eastAsia="Times New Roman" w:cs="Times New Roman"/>
                <w:b/>
                <w:bCs/>
                <w:lang w:eastAsia="es-CR"/>
              </w:rPr>
            </w:pPr>
          </w:p>
        </w:tc>
        <w:tc>
          <w:tcPr>
            <w:tcW w:w="539"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7FDC15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 Doméstica</w:t>
            </w:r>
          </w:p>
        </w:tc>
        <w:tc>
          <w:tcPr>
            <w:tcW w:w="327"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CEE3563" w14:textId="77777777">
            <w:pPr>
              <w:spacing w:before="120" w:after="120" w:line="276" w:lineRule="auto"/>
              <w:rPr>
                <w:rFonts w:ascii="Times New Roman" w:hAnsi="Times New Roman" w:eastAsia="Times New Roman" w:cs="Times New Roman"/>
                <w:lang w:eastAsia="es-CR"/>
              </w:rPr>
            </w:pPr>
          </w:p>
        </w:tc>
        <w:tc>
          <w:tcPr>
            <w:tcW w:w="403"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98305A2" w14:textId="77777777">
            <w:pPr>
              <w:spacing w:before="120" w:after="120" w:line="276" w:lineRule="auto"/>
              <w:rPr>
                <w:rFonts w:ascii="Times New Roman" w:hAnsi="Times New Roman" w:eastAsia="Times New Roman" w:cs="Times New Roman"/>
                <w:lang w:eastAsia="es-CR"/>
              </w:rPr>
            </w:pPr>
          </w:p>
        </w:tc>
        <w:tc>
          <w:tcPr>
            <w:tcW w:w="55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27BFC8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6"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1994B23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138</w:t>
            </w:r>
          </w:p>
        </w:tc>
        <w:tc>
          <w:tcPr>
            <w:tcW w:w="61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885F81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136</w:t>
            </w:r>
          </w:p>
        </w:tc>
        <w:tc>
          <w:tcPr>
            <w:tcW w:w="52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68A895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69</w:t>
            </w:r>
          </w:p>
        </w:tc>
        <w:tc>
          <w:tcPr>
            <w:tcW w:w="48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BC33DB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46</w:t>
            </w:r>
          </w:p>
        </w:tc>
        <w:tc>
          <w:tcPr>
            <w:tcW w:w="46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C24A74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99%</w:t>
            </w:r>
          </w:p>
        </w:tc>
      </w:tr>
      <w:tr w:rsidRPr="00AE1B2B" w:rsidR="00AE1B2B" w:rsidTr="002241C3" w14:paraId="128567A6" w14:textId="77777777">
        <w:trPr>
          <w:trHeight w:val="587"/>
          <w:jc w:val="center"/>
        </w:trPr>
        <w:tc>
          <w:tcPr>
            <w:tcW w:w="598" w:type="pct"/>
            <w:vMerge w:val="restart"/>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0210751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y Viol. Dom. Grecia</w:t>
            </w:r>
          </w:p>
        </w:tc>
        <w:tc>
          <w:tcPr>
            <w:tcW w:w="539"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4C68B45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327" w:type="pct"/>
            <w:vMerge w:val="restart"/>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67DA73C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403" w:type="pct"/>
            <w:vMerge w:val="restart"/>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4298566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55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938C28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6" w:type="pct"/>
            <w:tcBorders>
              <w:top w:val="nil"/>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18CA072" w14:textId="77777777">
            <w:pPr>
              <w:spacing w:before="120" w:after="120" w:line="276" w:lineRule="auto"/>
              <w:jc w:val="center"/>
              <w:rPr>
                <w:rFonts w:ascii="Times New Roman" w:hAnsi="Times New Roman" w:eastAsia="Times New Roman" w:cs="Times New Roman"/>
                <w:u w:val="single"/>
                <w:lang w:eastAsia="es-CR"/>
              </w:rPr>
            </w:pPr>
            <w:r w:rsidRPr="00AE1B2B">
              <w:rPr>
                <w:rFonts w:ascii="Times New Roman" w:hAnsi="Times New Roman" w:cs="Times New Roman"/>
                <w:u w:val="single"/>
              </w:rPr>
              <w:t>104</w:t>
            </w:r>
          </w:p>
        </w:tc>
        <w:tc>
          <w:tcPr>
            <w:tcW w:w="61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AF40D9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102</w:t>
            </w:r>
          </w:p>
        </w:tc>
        <w:tc>
          <w:tcPr>
            <w:tcW w:w="527"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FBAC52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52</w:t>
            </w:r>
          </w:p>
        </w:tc>
        <w:tc>
          <w:tcPr>
            <w:tcW w:w="48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B296A5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35</w:t>
            </w:r>
          </w:p>
        </w:tc>
        <w:tc>
          <w:tcPr>
            <w:tcW w:w="462"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4EE06B6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98%</w:t>
            </w:r>
          </w:p>
        </w:tc>
      </w:tr>
      <w:tr w:rsidRPr="00AE1B2B" w:rsidR="00AE1B2B" w:rsidTr="002241C3" w14:paraId="0071BEF7" w14:textId="77777777">
        <w:trPr>
          <w:trHeight w:val="330"/>
          <w:jc w:val="center"/>
        </w:trPr>
        <w:tc>
          <w:tcPr>
            <w:tcW w:w="598"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22E6103E" w14:textId="77777777">
            <w:pPr>
              <w:spacing w:before="120" w:after="120" w:line="276" w:lineRule="auto"/>
              <w:rPr>
                <w:rFonts w:ascii="Times New Roman" w:hAnsi="Times New Roman" w:eastAsia="Times New Roman" w:cs="Times New Roman"/>
                <w:b/>
                <w:bCs/>
                <w:lang w:eastAsia="es-CR"/>
              </w:rPr>
            </w:pPr>
          </w:p>
        </w:tc>
        <w:tc>
          <w:tcPr>
            <w:tcW w:w="539"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6F09D23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 Doméstica</w:t>
            </w:r>
          </w:p>
        </w:tc>
        <w:tc>
          <w:tcPr>
            <w:tcW w:w="327"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66D1A06D" w14:textId="77777777">
            <w:pPr>
              <w:spacing w:before="120" w:after="120" w:line="276" w:lineRule="auto"/>
              <w:rPr>
                <w:rFonts w:ascii="Times New Roman" w:hAnsi="Times New Roman" w:eastAsia="Times New Roman" w:cs="Times New Roman"/>
                <w:lang w:eastAsia="es-CR"/>
              </w:rPr>
            </w:pPr>
          </w:p>
        </w:tc>
        <w:tc>
          <w:tcPr>
            <w:tcW w:w="403"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130474E7" w14:textId="77777777">
            <w:pPr>
              <w:spacing w:before="120" w:after="120" w:line="276" w:lineRule="auto"/>
              <w:rPr>
                <w:rFonts w:ascii="Times New Roman" w:hAnsi="Times New Roman" w:eastAsia="Times New Roman" w:cs="Times New Roman"/>
                <w:lang w:eastAsia="es-CR"/>
              </w:rPr>
            </w:pPr>
          </w:p>
        </w:tc>
        <w:tc>
          <w:tcPr>
            <w:tcW w:w="55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2D058CB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6" w:type="pct"/>
            <w:tcBorders>
              <w:top w:val="nil"/>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8F36D2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87</w:t>
            </w:r>
          </w:p>
        </w:tc>
        <w:tc>
          <w:tcPr>
            <w:tcW w:w="61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DAEEE2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83</w:t>
            </w:r>
          </w:p>
        </w:tc>
        <w:tc>
          <w:tcPr>
            <w:tcW w:w="527"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AF3DDA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44</w:t>
            </w:r>
          </w:p>
        </w:tc>
        <w:tc>
          <w:tcPr>
            <w:tcW w:w="486"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88A6CE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w:t>
            </w:r>
          </w:p>
        </w:tc>
        <w:tc>
          <w:tcPr>
            <w:tcW w:w="462"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7181178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95%</w:t>
            </w:r>
          </w:p>
        </w:tc>
      </w:tr>
    </w:tbl>
    <w:p w:rsidRPr="00AE1B2B" w:rsidR="009D3FB5" w:rsidP="00163B94" w:rsidRDefault="009D3FB5" w14:paraId="26B7C081"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Modernización Institucional de la Dirección de Planificación con base en datos de Cuadros Estadísticos del Subproceso de Estadística de la Dirección de Planificación. Los </w:t>
      </w:r>
      <w:r w:rsidRPr="00AE1B2B">
        <w:rPr>
          <w:rFonts w:ascii="Times New Roman" w:hAnsi="Times New Roman" w:cs="Times New Roman"/>
          <w:sz w:val="26"/>
          <w:szCs w:val="26"/>
        </w:rPr>
        <w:lastRenderedPageBreak/>
        <w:t xml:space="preserve">datos incluidos para materia Violencia Doméstica y Laboral corresponden a los registrados en 2019 definitivos. La entrada y terminados para materia Familia incluye Principales, reentrados, Incidentes y Segunda Instancia. Y la entrada en VD incluye nuevos, reentrados y testimonios. </w:t>
      </w:r>
    </w:p>
    <w:p w:rsidRPr="00AE1B2B" w:rsidR="009D3FB5" w:rsidP="00163B94" w:rsidRDefault="009D3FB5" w14:paraId="7260E63C"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Nota *: El Juzgado de Familia y Violencia Doméstica de San Ramon, tiene 3 técnicos que tramitan y manifiestan, adicionalmente comparte una plaza de Técnico con el Juzgado Civil y Trabajo de San Ramón. </w:t>
      </w:r>
    </w:p>
    <w:p w:rsidRPr="00AE1B2B" w:rsidR="009D3FB5" w:rsidP="00163B94" w:rsidRDefault="009D3FB5" w14:paraId="0A6D7B2E" w14:textId="77777777">
      <w:pPr>
        <w:spacing w:before="120" w:after="120"/>
        <w:ind w:left="851" w:right="851" w:firstLine="709"/>
        <w:rPr>
          <w:rFonts w:ascii="Times New Roman" w:hAnsi="Times New Roman" w:cs="Times New Roman"/>
          <w:sz w:val="26"/>
          <w:szCs w:val="26"/>
        </w:rPr>
      </w:pPr>
    </w:p>
    <w:p w:rsidRPr="00AE1B2B" w:rsidR="009D3FB5" w:rsidP="00163B94" w:rsidRDefault="009D3FB5" w14:paraId="251B5AD2" w14:textId="504160FA">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36</w:t>
      </w:r>
      <w:r w:rsidRPr="00AE1B2B">
        <w:rPr>
          <w:rFonts w:ascii="Times New Roman" w:hAnsi="Times New Roman" w:cs="Times New Roman"/>
          <w:sz w:val="26"/>
          <w:szCs w:val="26"/>
        </w:rPr>
        <w:fldChar w:fldCharType="end"/>
      </w:r>
    </w:p>
    <w:p w:rsidRPr="00AE1B2B" w:rsidR="009D3FB5" w:rsidP="00163B94" w:rsidRDefault="009D3FB5" w14:paraId="2577EC3A"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Carga de trabajo juzgado de Familia mixtos de Familia y Trabajo 2015 a 2019.</w:t>
      </w:r>
    </w:p>
    <w:tbl>
      <w:tblPr>
        <w:tblW w:w="9139" w:type="dxa"/>
        <w:jc w:val="center"/>
        <w:tblCellMar>
          <w:left w:w="70" w:type="dxa"/>
          <w:right w:w="70" w:type="dxa"/>
        </w:tblCellMar>
        <w:tblLook w:val="04A0" w:firstRow="1" w:lastRow="0" w:firstColumn="1" w:lastColumn="0" w:noHBand="0" w:noVBand="1"/>
      </w:tblPr>
      <w:tblGrid>
        <w:gridCol w:w="1045"/>
        <w:gridCol w:w="898"/>
        <w:gridCol w:w="678"/>
        <w:gridCol w:w="837"/>
        <w:gridCol w:w="1154"/>
        <w:gridCol w:w="1008"/>
        <w:gridCol w:w="1277"/>
        <w:gridCol w:w="1094"/>
        <w:gridCol w:w="1008"/>
        <w:gridCol w:w="959"/>
      </w:tblGrid>
      <w:tr w:rsidRPr="00AE1B2B" w:rsidR="00AE1B2B" w:rsidTr="009D3FB5" w14:paraId="2FBF7556" w14:textId="77777777">
        <w:trPr>
          <w:trHeight w:val="698"/>
          <w:tblHeader/>
          <w:jc w:val="center"/>
        </w:trPr>
        <w:tc>
          <w:tcPr>
            <w:tcW w:w="1271" w:type="dxa"/>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04AE40E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Despacho</w:t>
            </w:r>
          </w:p>
        </w:tc>
        <w:tc>
          <w:tcPr>
            <w:tcW w:w="788" w:type="dxa"/>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2BFD34A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Materia</w:t>
            </w:r>
          </w:p>
        </w:tc>
        <w:tc>
          <w:tcPr>
            <w:tcW w:w="0" w:type="auto"/>
            <w:gridSpan w:val="2"/>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2BDA279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Recurso humano</w:t>
            </w:r>
          </w:p>
        </w:tc>
        <w:tc>
          <w:tcPr>
            <w:tcW w:w="0" w:type="auto"/>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6B2C95E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dedicado por materia por juez</w:t>
            </w:r>
          </w:p>
        </w:tc>
        <w:tc>
          <w:tcPr>
            <w:tcW w:w="0" w:type="auto"/>
            <w:gridSpan w:val="2"/>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2880A46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Promedios totales mensual</w:t>
            </w:r>
          </w:p>
        </w:tc>
        <w:tc>
          <w:tcPr>
            <w:tcW w:w="0" w:type="auto"/>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6A2FCE4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 al mes por persona juzgadora</w:t>
            </w:r>
          </w:p>
        </w:tc>
        <w:tc>
          <w:tcPr>
            <w:tcW w:w="0" w:type="auto"/>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4709188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 al mes por persona Tec. Jud. Trámite</w:t>
            </w:r>
          </w:p>
        </w:tc>
        <w:tc>
          <w:tcPr>
            <w:tcW w:w="0" w:type="auto"/>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42FE459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Relación salida entre entrada</w:t>
            </w:r>
          </w:p>
        </w:tc>
      </w:tr>
      <w:tr w:rsidRPr="00AE1B2B" w:rsidR="00AE1B2B" w:rsidTr="009D3FB5" w14:paraId="1FA6DB09" w14:textId="77777777">
        <w:trPr>
          <w:trHeight w:val="330"/>
          <w:jc w:val="center"/>
        </w:trPr>
        <w:tc>
          <w:tcPr>
            <w:tcW w:w="1271" w:type="dxa"/>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5F053DC8" w14:textId="77777777">
            <w:pPr>
              <w:spacing w:before="120" w:after="120" w:line="276" w:lineRule="auto"/>
              <w:rPr>
                <w:rFonts w:ascii="Times New Roman" w:hAnsi="Times New Roman" w:eastAsia="Times New Roman" w:cs="Times New Roman"/>
                <w:b/>
                <w:bCs/>
                <w:lang w:eastAsia="es-CR"/>
              </w:rPr>
            </w:pPr>
          </w:p>
        </w:tc>
        <w:tc>
          <w:tcPr>
            <w:tcW w:w="788" w:type="dxa"/>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671FFDD1" w14:textId="77777777">
            <w:pPr>
              <w:spacing w:before="120" w:after="120" w:line="276" w:lineRule="auto"/>
              <w:rPr>
                <w:rFonts w:ascii="Times New Roman" w:hAnsi="Times New Roman" w:eastAsia="Times New Roman" w:cs="Times New Roman"/>
                <w:b/>
                <w:bCs/>
                <w:lang w:eastAsia="es-CR"/>
              </w:rPr>
            </w:pPr>
          </w:p>
        </w:tc>
        <w:tc>
          <w:tcPr>
            <w:tcW w:w="0" w:type="auto"/>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515924C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Jueza o Juez</w:t>
            </w:r>
          </w:p>
        </w:tc>
        <w:tc>
          <w:tcPr>
            <w:tcW w:w="0" w:type="auto"/>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63E5993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Téc. Jud. de trámite</w:t>
            </w:r>
          </w:p>
        </w:tc>
        <w:tc>
          <w:tcPr>
            <w:tcW w:w="0" w:type="auto"/>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7A33135D" w14:textId="77777777">
            <w:pPr>
              <w:spacing w:before="120" w:after="120" w:line="276" w:lineRule="auto"/>
              <w:rPr>
                <w:rFonts w:ascii="Times New Roman" w:hAnsi="Times New Roman" w:eastAsia="Times New Roman" w:cs="Times New Roman"/>
                <w:b/>
                <w:bCs/>
                <w:lang w:eastAsia="es-CR"/>
              </w:rPr>
            </w:pPr>
          </w:p>
        </w:tc>
        <w:tc>
          <w:tcPr>
            <w:tcW w:w="0" w:type="auto"/>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147ACED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w:t>
            </w:r>
          </w:p>
        </w:tc>
        <w:tc>
          <w:tcPr>
            <w:tcW w:w="0" w:type="auto"/>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465D27D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Terminados</w:t>
            </w:r>
          </w:p>
        </w:tc>
        <w:tc>
          <w:tcPr>
            <w:tcW w:w="0" w:type="auto"/>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7ECDCC2D" w14:textId="77777777">
            <w:pPr>
              <w:spacing w:before="120" w:after="120" w:line="276" w:lineRule="auto"/>
              <w:rPr>
                <w:rFonts w:ascii="Times New Roman" w:hAnsi="Times New Roman" w:eastAsia="Times New Roman" w:cs="Times New Roman"/>
                <w:b/>
                <w:bCs/>
                <w:lang w:eastAsia="es-CR"/>
              </w:rPr>
            </w:pPr>
          </w:p>
        </w:tc>
        <w:tc>
          <w:tcPr>
            <w:tcW w:w="0" w:type="auto"/>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381EC439" w14:textId="77777777">
            <w:pPr>
              <w:spacing w:before="120" w:after="120" w:line="276" w:lineRule="auto"/>
              <w:rPr>
                <w:rFonts w:ascii="Times New Roman" w:hAnsi="Times New Roman" w:eastAsia="Times New Roman" w:cs="Times New Roman"/>
                <w:b/>
                <w:bCs/>
                <w:lang w:eastAsia="es-CR"/>
              </w:rPr>
            </w:pPr>
          </w:p>
        </w:tc>
        <w:tc>
          <w:tcPr>
            <w:tcW w:w="0" w:type="auto"/>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0F5A8B83" w14:textId="77777777">
            <w:pPr>
              <w:spacing w:before="120" w:after="120" w:line="276" w:lineRule="auto"/>
              <w:rPr>
                <w:rFonts w:ascii="Times New Roman" w:hAnsi="Times New Roman" w:eastAsia="Times New Roman" w:cs="Times New Roman"/>
                <w:b/>
                <w:bCs/>
                <w:lang w:eastAsia="es-CR"/>
              </w:rPr>
            </w:pPr>
          </w:p>
        </w:tc>
      </w:tr>
      <w:tr w:rsidRPr="00AE1B2B" w:rsidR="00AE1B2B" w:rsidTr="009D3FB5" w14:paraId="2BA0CF63" w14:textId="77777777">
        <w:trPr>
          <w:trHeight w:val="1263"/>
          <w:jc w:val="center"/>
        </w:trPr>
        <w:tc>
          <w:tcPr>
            <w:tcW w:w="1271" w:type="dxa"/>
            <w:vMerge w:val="restar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F2DB5D2" w14:textId="77777777">
            <w:pPr>
              <w:spacing w:before="120" w:after="120" w:line="276" w:lineRule="auto"/>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Juzgado Trabajo y Familia Hatillo, San Sebastián y Alajuelita</w:t>
            </w:r>
          </w:p>
        </w:tc>
        <w:tc>
          <w:tcPr>
            <w:tcW w:w="788"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7A5130D" w14:textId="77777777">
            <w:pPr>
              <w:spacing w:before="120" w:after="120" w:line="276" w:lineRule="auto"/>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Laboral</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2D8CAC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vMerge w:val="restar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21E884F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041F2E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2D10C62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20</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78EF3E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230AD8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07EEE2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0828E7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42%</w:t>
            </w:r>
          </w:p>
        </w:tc>
      </w:tr>
      <w:tr w:rsidRPr="00AE1B2B" w:rsidR="00AE1B2B" w:rsidTr="009D3FB5" w14:paraId="11CF5E3C" w14:textId="77777777">
        <w:trPr>
          <w:trHeight w:val="330"/>
          <w:jc w:val="center"/>
        </w:trPr>
        <w:tc>
          <w:tcPr>
            <w:tcW w:w="1271" w:type="dxa"/>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340E67A" w14:textId="77777777">
            <w:pPr>
              <w:spacing w:before="120" w:after="120" w:line="276" w:lineRule="auto"/>
              <w:rPr>
                <w:rFonts w:ascii="Times New Roman" w:hAnsi="Times New Roman" w:eastAsia="Times New Roman" w:cs="Times New Roman"/>
                <w:b/>
                <w:bCs/>
                <w:sz w:val="20"/>
                <w:szCs w:val="20"/>
                <w:lang w:eastAsia="es-CR"/>
              </w:rPr>
            </w:pPr>
          </w:p>
        </w:tc>
        <w:tc>
          <w:tcPr>
            <w:tcW w:w="788"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BD6AFAB" w14:textId="77777777">
            <w:pPr>
              <w:spacing w:before="120" w:after="120" w:line="276" w:lineRule="auto"/>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Familia*</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61E377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0041E1DE"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A829FD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03B030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95</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2EFF86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88</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B1AB2C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95</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A4A9A6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32</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B12F86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93%</w:t>
            </w:r>
          </w:p>
        </w:tc>
      </w:tr>
    </w:tbl>
    <w:p w:rsidRPr="00AE1B2B" w:rsidR="009D3FB5" w:rsidP="00163B94" w:rsidRDefault="009D3FB5" w14:paraId="5B5ED1BA"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Modernización Institucional de la Dirección de Planificación con base en datos de Cuadros Estadísticos del Subproceso de Estadística de la Dirección de Planificación. </w:t>
      </w:r>
    </w:p>
    <w:p w:rsidRPr="00AE1B2B" w:rsidR="009D3FB5" w:rsidP="00163B94" w:rsidRDefault="009D3FB5" w14:paraId="5FA0B3AC"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*La entrada y terminados para materia Familia incluye Principales, reentrados, Incidentes y Segunda Instancia.</w:t>
      </w:r>
    </w:p>
    <w:p w:rsidRPr="00AE1B2B" w:rsidR="009D3FB5" w:rsidP="00163B94" w:rsidRDefault="009D3FB5" w14:paraId="3319A4E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9D8F0F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2A0F78B" w14:textId="0AF2BB1A">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entrada promedio en estas oficinas en materia de Familia es de 70 casos por mes y la salida de 69 para un 99% de rendimiento. Por persona juzgadora ingresan en promedio por mes 37 asuntos. Encontrándose por debajo del promedio de entrada por plaza los </w:t>
      </w:r>
      <w:r w:rsidRPr="00AE1B2B">
        <w:rPr>
          <w:rFonts w:ascii="Times New Roman" w:hAnsi="Times New Roman" w:cs="Times New Roman"/>
          <w:sz w:val="26"/>
          <w:szCs w:val="26"/>
        </w:rPr>
        <w:lastRenderedPageBreak/>
        <w:t>Juzgados de Familia y Violencia de Nicoya (23 nuevos por mes por plaza), Santa Cruz (25) y Golfito (29).</w:t>
      </w:r>
      <w:r w:rsidRPr="00AE1B2B" w:rsidR="00BB7720">
        <w:rPr>
          <w:rFonts w:ascii="Times New Roman" w:hAnsi="Times New Roman" w:cs="Times New Roman"/>
          <w:sz w:val="26"/>
          <w:szCs w:val="26"/>
        </w:rPr>
        <w:t xml:space="preserve"> </w:t>
      </w:r>
    </w:p>
    <w:p w:rsidRPr="00AE1B2B" w:rsidR="009D3FB5" w:rsidP="00163B94" w:rsidRDefault="009D3FB5" w14:paraId="444551C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Y superando la entrada mensual definida de 74 casos (37 para una persona dedicada el 50% de su tiempo a atender familia), se ubican los despachos del Segundo de la Zona Sur (39 nuevos por mes por plaza), Tercer Circuito Judicial de Alajuela-San Ramón (45), Primer Circuito Judicial de Liberia (48) y Grecia (52). </w:t>
      </w:r>
    </w:p>
    <w:p w:rsidRPr="00AE1B2B" w:rsidR="009D3FB5" w:rsidP="00163B94" w:rsidRDefault="009D3FB5" w14:paraId="3260428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1E4DDBB" w14:textId="74478A71">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Sin embargo, la diferencia no justifica la asignación de una plaza de persona juzgadora adicional.</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La entrada eventualmente disminuiría a partir de la desjudicialización de algunos procesos con la entrada en vigencia de la Ley 9747 a partir del 1 de octubre 2022-ver estimación en el siguiente cuadro.</w:t>
      </w:r>
      <w:r w:rsidRPr="00AE1B2B" w:rsidR="00BB7720">
        <w:rPr>
          <w:rFonts w:ascii="Times New Roman" w:hAnsi="Times New Roman" w:cs="Times New Roman"/>
          <w:sz w:val="26"/>
          <w:szCs w:val="26"/>
        </w:rPr>
        <w:t xml:space="preserve"> </w:t>
      </w:r>
    </w:p>
    <w:p w:rsidRPr="00AE1B2B" w:rsidR="009D3FB5" w:rsidP="00163B94" w:rsidRDefault="009D3FB5" w14:paraId="341B1A9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ED8BE0C" w14:textId="752DEE05">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entrada promedio en estas oficinas en materia de Violencia Doméstica es de 94 casos por mes y la salida de 95, lo que representa un 102% de rendimiento general. Por persona juzgadora ingresan en promedio 50 casos nuevos por mes. El caso más significativo es Santa Cruz que reporta una entrada de 69 nuevos por plaza, aun así, reporta un rendimiento del 99% respecto a la relación entrada/salida.</w:t>
      </w:r>
      <w:r w:rsidRPr="00AE1B2B" w:rsidR="00BB7720">
        <w:rPr>
          <w:rFonts w:ascii="Times New Roman" w:hAnsi="Times New Roman" w:cs="Times New Roman"/>
          <w:sz w:val="26"/>
          <w:szCs w:val="26"/>
        </w:rPr>
        <w:t xml:space="preserve"> </w:t>
      </w:r>
    </w:p>
    <w:p w:rsidRPr="00AE1B2B" w:rsidR="009D3FB5" w:rsidP="00163B94" w:rsidRDefault="009D3FB5" w14:paraId="2BFF910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66A8126" w14:textId="799B362A">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37</w:t>
      </w:r>
      <w:r w:rsidRPr="00AE1B2B">
        <w:rPr>
          <w:rFonts w:ascii="Times New Roman" w:hAnsi="Times New Roman" w:cs="Times New Roman"/>
          <w:sz w:val="26"/>
          <w:szCs w:val="26"/>
        </w:rPr>
        <w:fldChar w:fldCharType="end"/>
      </w:r>
    </w:p>
    <w:p w:rsidRPr="00AE1B2B" w:rsidR="009D3FB5" w:rsidP="00163B94" w:rsidRDefault="009D3FB5" w14:paraId="3EE9419B" w14:textId="5279DAEC">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Carga de trabajo por persona juzgadora y por</w:t>
      </w:r>
    </w:p>
    <w:p w:rsidRPr="00AE1B2B" w:rsidR="009D3FB5" w:rsidP="00163B94" w:rsidRDefault="009D3FB5" w14:paraId="1586B6FF"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persona técnica judicial con la desjudicialización.</w:t>
      </w:r>
    </w:p>
    <w:tbl>
      <w:tblPr>
        <w:tblW w:w="6176" w:type="pct"/>
        <w:tblInd w:w="-856" w:type="dxa"/>
        <w:tblCellMar>
          <w:left w:w="70" w:type="dxa"/>
          <w:right w:w="70" w:type="dxa"/>
        </w:tblCellMar>
        <w:tblLook w:val="04A0" w:firstRow="1" w:lastRow="0" w:firstColumn="1" w:lastColumn="0" w:noHBand="0" w:noVBand="1"/>
      </w:tblPr>
      <w:tblGrid>
        <w:gridCol w:w="1301"/>
        <w:gridCol w:w="1204"/>
        <w:gridCol w:w="1252"/>
        <w:gridCol w:w="1350"/>
        <w:gridCol w:w="1252"/>
        <w:gridCol w:w="1350"/>
        <w:gridCol w:w="1143"/>
        <w:gridCol w:w="1034"/>
        <w:gridCol w:w="1018"/>
      </w:tblGrid>
      <w:tr w:rsidRPr="00AE1B2B" w:rsidR="00AE1B2B" w:rsidTr="009D3FB5" w14:paraId="204DD0D4" w14:textId="77777777">
        <w:trPr>
          <w:trHeight w:val="20"/>
          <w:tblHeader/>
        </w:trPr>
        <w:tc>
          <w:tcPr>
            <w:tcW w:w="597"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6C270663" w14:textId="77777777">
            <w:pPr>
              <w:spacing w:before="120" w:after="120" w:line="276" w:lineRule="auto"/>
              <w:jc w:val="center"/>
              <w:rPr>
                <w:rFonts w:ascii="Times New Roman" w:hAnsi="Times New Roman" w:eastAsia="Times New Roman" w:cs="Times New Roman"/>
                <w:b/>
                <w:bCs/>
                <w:lang w:eastAsia="es-CR"/>
              </w:rPr>
            </w:pPr>
            <w:bookmarkStart w:name="_Hlk66920561" w:id="75"/>
            <w:r w:rsidRPr="00AE1B2B">
              <w:rPr>
                <w:rFonts w:ascii="Times New Roman" w:hAnsi="Times New Roman" w:eastAsia="Times New Roman" w:cs="Times New Roman"/>
                <w:b/>
                <w:bCs/>
                <w:lang w:eastAsia="es-CR"/>
              </w:rPr>
              <w:t>Despacho</w:t>
            </w:r>
          </w:p>
        </w:tc>
        <w:tc>
          <w:tcPr>
            <w:tcW w:w="552"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302CF52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Materia</w:t>
            </w:r>
          </w:p>
        </w:tc>
        <w:tc>
          <w:tcPr>
            <w:tcW w:w="574"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47C6D13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 totales anual estimados con desjudicia-lización</w:t>
            </w:r>
          </w:p>
        </w:tc>
        <w:tc>
          <w:tcPr>
            <w:tcW w:w="619"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3155B76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Terminados totales anual</w:t>
            </w:r>
          </w:p>
        </w:tc>
        <w:tc>
          <w:tcPr>
            <w:tcW w:w="574"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4068A9C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 al mes estimados con desjudicia-lización</w:t>
            </w:r>
          </w:p>
        </w:tc>
        <w:tc>
          <w:tcPr>
            <w:tcW w:w="619"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0A46113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Terminados al mes</w:t>
            </w:r>
          </w:p>
        </w:tc>
        <w:tc>
          <w:tcPr>
            <w:tcW w:w="524"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3D0EF6E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 al mes por persona juzgadora</w:t>
            </w:r>
          </w:p>
        </w:tc>
        <w:tc>
          <w:tcPr>
            <w:tcW w:w="474"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0222847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 al mes por persona Tec. Jud. trámite</w:t>
            </w:r>
          </w:p>
        </w:tc>
        <w:tc>
          <w:tcPr>
            <w:tcW w:w="468"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0140717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Relación salida entre entrada</w:t>
            </w:r>
          </w:p>
        </w:tc>
      </w:tr>
      <w:tr w:rsidRPr="00AE1B2B" w:rsidR="00AE1B2B" w:rsidTr="009D3FB5" w14:paraId="69D54093" w14:textId="77777777">
        <w:trPr>
          <w:trHeight w:val="761"/>
        </w:trPr>
        <w:tc>
          <w:tcPr>
            <w:tcW w:w="597" w:type="pct"/>
            <w:vMerge w:val="restart"/>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64512362"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Juzgado Familia y Viol. Dom. I Circ. Jud. Guanacaste </w:t>
            </w:r>
          </w:p>
        </w:tc>
        <w:tc>
          <w:tcPr>
            <w:tcW w:w="552"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17C7538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5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54DB8FC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952</w:t>
            </w:r>
          </w:p>
        </w:tc>
        <w:tc>
          <w:tcPr>
            <w:tcW w:w="61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62767D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1022</w:t>
            </w:r>
          </w:p>
        </w:tc>
        <w:tc>
          <w:tcPr>
            <w:tcW w:w="5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0C74C78" w14:textId="77777777">
            <w:pPr>
              <w:spacing w:before="120" w:after="120" w:line="276" w:lineRule="auto"/>
              <w:jc w:val="center"/>
              <w:rPr>
                <w:rFonts w:ascii="Times New Roman" w:hAnsi="Times New Roman" w:eastAsia="Times New Roman" w:cs="Times New Roman"/>
                <w:u w:val="single"/>
                <w:lang w:eastAsia="es-CR"/>
              </w:rPr>
            </w:pPr>
            <w:r w:rsidRPr="00AE1B2B">
              <w:rPr>
                <w:rFonts w:ascii="Times New Roman" w:hAnsi="Times New Roman" w:eastAsia="Times New Roman" w:cs="Times New Roman"/>
                <w:u w:val="single"/>
                <w:lang w:eastAsia="es-CR"/>
              </w:rPr>
              <w:t>85</w:t>
            </w:r>
          </w:p>
        </w:tc>
        <w:tc>
          <w:tcPr>
            <w:tcW w:w="61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8CD554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91</w:t>
            </w:r>
          </w:p>
        </w:tc>
        <w:tc>
          <w:tcPr>
            <w:tcW w:w="52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284CB1A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42</w:t>
            </w:r>
          </w:p>
        </w:tc>
        <w:tc>
          <w:tcPr>
            <w:tcW w:w="4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2147092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24</w:t>
            </w:r>
          </w:p>
        </w:tc>
        <w:tc>
          <w:tcPr>
            <w:tcW w:w="468"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D365E8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107%</w:t>
            </w:r>
          </w:p>
        </w:tc>
      </w:tr>
      <w:tr w:rsidRPr="00AE1B2B" w:rsidR="00AE1B2B" w:rsidTr="009D3FB5" w14:paraId="536B6426" w14:textId="77777777">
        <w:trPr>
          <w:trHeight w:val="321"/>
        </w:trPr>
        <w:tc>
          <w:tcPr>
            <w:tcW w:w="597"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351B37F2" w14:textId="77777777">
            <w:pPr>
              <w:spacing w:before="120" w:after="120" w:line="276" w:lineRule="auto"/>
              <w:rPr>
                <w:rFonts w:ascii="Times New Roman" w:hAnsi="Times New Roman" w:eastAsia="Times New Roman" w:cs="Times New Roman"/>
                <w:b/>
                <w:bCs/>
                <w:lang w:eastAsia="es-CR"/>
              </w:rPr>
            </w:pPr>
          </w:p>
        </w:tc>
        <w:tc>
          <w:tcPr>
            <w:tcW w:w="552"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703E1202"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Violencia Doméstica</w:t>
            </w:r>
          </w:p>
        </w:tc>
        <w:tc>
          <w:tcPr>
            <w:tcW w:w="5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1845C16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1318</w:t>
            </w:r>
          </w:p>
        </w:tc>
        <w:tc>
          <w:tcPr>
            <w:tcW w:w="61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71A3F4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1290</w:t>
            </w:r>
          </w:p>
        </w:tc>
        <w:tc>
          <w:tcPr>
            <w:tcW w:w="5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54F94D1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117</w:t>
            </w:r>
          </w:p>
        </w:tc>
        <w:tc>
          <w:tcPr>
            <w:tcW w:w="61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B10740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115</w:t>
            </w:r>
          </w:p>
        </w:tc>
        <w:tc>
          <w:tcPr>
            <w:tcW w:w="52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141161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59</w:t>
            </w:r>
          </w:p>
        </w:tc>
        <w:tc>
          <w:tcPr>
            <w:tcW w:w="4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8F9B53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w:t>
            </w:r>
          </w:p>
        </w:tc>
        <w:tc>
          <w:tcPr>
            <w:tcW w:w="468"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1EA8F92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98%</w:t>
            </w:r>
          </w:p>
        </w:tc>
      </w:tr>
      <w:tr w:rsidRPr="00AE1B2B" w:rsidR="00AE1B2B" w:rsidTr="009D3FB5" w14:paraId="1CDF2894" w14:textId="77777777">
        <w:trPr>
          <w:trHeight w:val="1066"/>
        </w:trPr>
        <w:tc>
          <w:tcPr>
            <w:tcW w:w="597" w:type="pct"/>
            <w:vMerge w:val="restar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9EDDFDE"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Juzgado Familia y Viol. Dom. II Circ. Jud. Guanacaste (Nicoya)</w:t>
            </w:r>
          </w:p>
        </w:tc>
        <w:tc>
          <w:tcPr>
            <w:tcW w:w="552"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5B22E3A"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5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FA4341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455</w:t>
            </w:r>
          </w:p>
        </w:tc>
        <w:tc>
          <w:tcPr>
            <w:tcW w:w="61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96F726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544</w:t>
            </w:r>
          </w:p>
        </w:tc>
        <w:tc>
          <w:tcPr>
            <w:tcW w:w="5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385CD9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40</w:t>
            </w:r>
          </w:p>
        </w:tc>
        <w:tc>
          <w:tcPr>
            <w:tcW w:w="61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F2CD55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48</w:t>
            </w:r>
          </w:p>
        </w:tc>
        <w:tc>
          <w:tcPr>
            <w:tcW w:w="52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60199B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w:t>
            </w:r>
          </w:p>
        </w:tc>
        <w:tc>
          <w:tcPr>
            <w:tcW w:w="4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672C7E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w:t>
            </w:r>
          </w:p>
        </w:tc>
        <w:tc>
          <w:tcPr>
            <w:tcW w:w="46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C6C2BF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120%</w:t>
            </w:r>
          </w:p>
        </w:tc>
      </w:tr>
      <w:tr w:rsidRPr="00AE1B2B" w:rsidR="00AE1B2B" w:rsidTr="009D3FB5" w14:paraId="046338EA" w14:textId="77777777">
        <w:trPr>
          <w:trHeight w:val="321"/>
        </w:trPr>
        <w:tc>
          <w:tcPr>
            <w:tcW w:w="597"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8246FB0" w14:textId="77777777">
            <w:pPr>
              <w:spacing w:before="120" w:after="120" w:line="276" w:lineRule="auto"/>
              <w:rPr>
                <w:rFonts w:ascii="Times New Roman" w:hAnsi="Times New Roman" w:eastAsia="Times New Roman" w:cs="Times New Roman"/>
                <w:b/>
                <w:bCs/>
                <w:lang w:eastAsia="es-CR"/>
              </w:rPr>
            </w:pPr>
          </w:p>
        </w:tc>
        <w:tc>
          <w:tcPr>
            <w:tcW w:w="552"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8DD7612"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Violencia Doméstica</w:t>
            </w:r>
          </w:p>
        </w:tc>
        <w:tc>
          <w:tcPr>
            <w:tcW w:w="5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307872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1066</w:t>
            </w:r>
          </w:p>
        </w:tc>
        <w:tc>
          <w:tcPr>
            <w:tcW w:w="61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2D8AB4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1100</w:t>
            </w:r>
          </w:p>
        </w:tc>
        <w:tc>
          <w:tcPr>
            <w:tcW w:w="5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D2E860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95</w:t>
            </w:r>
          </w:p>
        </w:tc>
        <w:tc>
          <w:tcPr>
            <w:tcW w:w="61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CD9655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98</w:t>
            </w:r>
          </w:p>
        </w:tc>
        <w:tc>
          <w:tcPr>
            <w:tcW w:w="52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B123C9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47</w:t>
            </w:r>
          </w:p>
        </w:tc>
        <w:tc>
          <w:tcPr>
            <w:tcW w:w="4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5AB08E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32</w:t>
            </w:r>
          </w:p>
        </w:tc>
        <w:tc>
          <w:tcPr>
            <w:tcW w:w="46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D80770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103%</w:t>
            </w:r>
          </w:p>
        </w:tc>
      </w:tr>
      <w:tr w:rsidRPr="00AE1B2B" w:rsidR="00AE1B2B" w:rsidTr="009D3FB5" w14:paraId="0236DAF6" w14:textId="77777777">
        <w:trPr>
          <w:trHeight w:val="913"/>
        </w:trPr>
        <w:tc>
          <w:tcPr>
            <w:tcW w:w="597" w:type="pct"/>
            <w:vMerge w:val="restart"/>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6D8B15AA"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y Viol. Dom. II Circ. Jud. Zona Sur</w:t>
            </w:r>
          </w:p>
        </w:tc>
        <w:tc>
          <w:tcPr>
            <w:tcW w:w="552"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0BCAFE7E"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5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591D24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768</w:t>
            </w:r>
          </w:p>
        </w:tc>
        <w:tc>
          <w:tcPr>
            <w:tcW w:w="61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63C077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845</w:t>
            </w:r>
          </w:p>
        </w:tc>
        <w:tc>
          <w:tcPr>
            <w:tcW w:w="5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7F64F3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68</w:t>
            </w:r>
          </w:p>
        </w:tc>
        <w:tc>
          <w:tcPr>
            <w:tcW w:w="61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F4AEB8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75</w:t>
            </w:r>
          </w:p>
        </w:tc>
        <w:tc>
          <w:tcPr>
            <w:tcW w:w="52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83A19A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34</w:t>
            </w:r>
          </w:p>
        </w:tc>
        <w:tc>
          <w:tcPr>
            <w:tcW w:w="4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7F7927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26</w:t>
            </w:r>
          </w:p>
        </w:tc>
        <w:tc>
          <w:tcPr>
            <w:tcW w:w="468"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FBB5EF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110%</w:t>
            </w:r>
          </w:p>
        </w:tc>
      </w:tr>
      <w:tr w:rsidRPr="00AE1B2B" w:rsidR="00AE1B2B" w:rsidTr="009D3FB5" w14:paraId="7FC5E609" w14:textId="77777777">
        <w:trPr>
          <w:trHeight w:val="321"/>
        </w:trPr>
        <w:tc>
          <w:tcPr>
            <w:tcW w:w="597"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0D7ACFE2" w14:textId="77777777">
            <w:pPr>
              <w:spacing w:before="120" w:after="120" w:line="276" w:lineRule="auto"/>
              <w:rPr>
                <w:rFonts w:ascii="Times New Roman" w:hAnsi="Times New Roman" w:eastAsia="Times New Roman" w:cs="Times New Roman"/>
                <w:b/>
                <w:bCs/>
                <w:lang w:eastAsia="es-CR"/>
              </w:rPr>
            </w:pPr>
          </w:p>
        </w:tc>
        <w:tc>
          <w:tcPr>
            <w:tcW w:w="552"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3B85D3A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Violencia Doméstica</w:t>
            </w:r>
          </w:p>
        </w:tc>
        <w:tc>
          <w:tcPr>
            <w:tcW w:w="5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1815107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1011</w:t>
            </w:r>
          </w:p>
        </w:tc>
        <w:tc>
          <w:tcPr>
            <w:tcW w:w="61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B24C56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941</w:t>
            </w:r>
          </w:p>
        </w:tc>
        <w:tc>
          <w:tcPr>
            <w:tcW w:w="5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CB5A7A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90</w:t>
            </w:r>
          </w:p>
        </w:tc>
        <w:tc>
          <w:tcPr>
            <w:tcW w:w="61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FEE9EF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84</w:t>
            </w:r>
          </w:p>
        </w:tc>
        <w:tc>
          <w:tcPr>
            <w:tcW w:w="52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054707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45</w:t>
            </w:r>
          </w:p>
        </w:tc>
        <w:tc>
          <w:tcPr>
            <w:tcW w:w="4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26C962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30</w:t>
            </w:r>
          </w:p>
        </w:tc>
        <w:tc>
          <w:tcPr>
            <w:tcW w:w="468"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AC9EE4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93%</w:t>
            </w:r>
          </w:p>
        </w:tc>
      </w:tr>
      <w:tr w:rsidRPr="00AE1B2B" w:rsidR="00AE1B2B" w:rsidTr="009D3FB5" w14:paraId="244F5A64" w14:textId="77777777">
        <w:trPr>
          <w:trHeight w:val="1194"/>
        </w:trPr>
        <w:tc>
          <w:tcPr>
            <w:tcW w:w="597" w:type="pct"/>
            <w:vMerge w:val="restar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616F0D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y Viol. Dom. III Circ. Jud. Alajuela (San Ramón)</w:t>
            </w:r>
          </w:p>
        </w:tc>
        <w:tc>
          <w:tcPr>
            <w:tcW w:w="552"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9222E7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5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F5D543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893</w:t>
            </w:r>
          </w:p>
        </w:tc>
        <w:tc>
          <w:tcPr>
            <w:tcW w:w="61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A74724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1018</w:t>
            </w:r>
          </w:p>
        </w:tc>
        <w:tc>
          <w:tcPr>
            <w:tcW w:w="5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052209B" w14:textId="77777777">
            <w:pPr>
              <w:spacing w:before="120" w:after="120" w:line="276" w:lineRule="auto"/>
              <w:jc w:val="center"/>
              <w:rPr>
                <w:rFonts w:ascii="Times New Roman" w:hAnsi="Times New Roman" w:eastAsia="Times New Roman" w:cs="Times New Roman"/>
                <w:u w:val="single"/>
                <w:lang w:eastAsia="es-CR"/>
              </w:rPr>
            </w:pPr>
            <w:r w:rsidRPr="00AE1B2B">
              <w:rPr>
                <w:rFonts w:ascii="Times New Roman" w:hAnsi="Times New Roman" w:eastAsia="Times New Roman" w:cs="Times New Roman"/>
                <w:u w:val="single"/>
                <w:lang w:eastAsia="es-CR"/>
              </w:rPr>
              <w:t>79</w:t>
            </w:r>
          </w:p>
        </w:tc>
        <w:tc>
          <w:tcPr>
            <w:tcW w:w="61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9B9C75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90</w:t>
            </w:r>
          </w:p>
        </w:tc>
        <w:tc>
          <w:tcPr>
            <w:tcW w:w="52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720C67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40</w:t>
            </w:r>
          </w:p>
        </w:tc>
        <w:tc>
          <w:tcPr>
            <w:tcW w:w="4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F69D09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30</w:t>
            </w:r>
          </w:p>
        </w:tc>
        <w:tc>
          <w:tcPr>
            <w:tcW w:w="46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9740E2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114%</w:t>
            </w:r>
          </w:p>
        </w:tc>
      </w:tr>
      <w:tr w:rsidRPr="00AE1B2B" w:rsidR="00AE1B2B" w:rsidTr="009D3FB5" w14:paraId="24F491AC" w14:textId="77777777">
        <w:trPr>
          <w:trHeight w:val="320"/>
        </w:trPr>
        <w:tc>
          <w:tcPr>
            <w:tcW w:w="597"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34B639B" w14:textId="77777777">
            <w:pPr>
              <w:spacing w:before="120" w:after="120" w:line="276" w:lineRule="auto"/>
              <w:rPr>
                <w:rFonts w:ascii="Times New Roman" w:hAnsi="Times New Roman" w:eastAsia="Times New Roman" w:cs="Times New Roman"/>
                <w:b/>
                <w:bCs/>
                <w:lang w:eastAsia="es-CR"/>
              </w:rPr>
            </w:pPr>
          </w:p>
        </w:tc>
        <w:tc>
          <w:tcPr>
            <w:tcW w:w="552"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E38EA6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Violencia Doméstica</w:t>
            </w:r>
          </w:p>
        </w:tc>
        <w:tc>
          <w:tcPr>
            <w:tcW w:w="5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8855AF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991</w:t>
            </w:r>
          </w:p>
        </w:tc>
        <w:tc>
          <w:tcPr>
            <w:tcW w:w="61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F00997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1095</w:t>
            </w:r>
          </w:p>
        </w:tc>
        <w:tc>
          <w:tcPr>
            <w:tcW w:w="5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50D3AB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88</w:t>
            </w:r>
          </w:p>
        </w:tc>
        <w:tc>
          <w:tcPr>
            <w:tcW w:w="61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7930E7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97</w:t>
            </w:r>
          </w:p>
        </w:tc>
        <w:tc>
          <w:tcPr>
            <w:tcW w:w="52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F9EF91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44</w:t>
            </w:r>
          </w:p>
        </w:tc>
        <w:tc>
          <w:tcPr>
            <w:tcW w:w="4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0C5FB7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w:t>
            </w:r>
          </w:p>
        </w:tc>
        <w:tc>
          <w:tcPr>
            <w:tcW w:w="46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64CA22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110%</w:t>
            </w:r>
          </w:p>
        </w:tc>
      </w:tr>
      <w:tr w:rsidRPr="00AE1B2B" w:rsidR="00AE1B2B" w:rsidTr="009D3FB5" w14:paraId="0A63C44C" w14:textId="77777777">
        <w:trPr>
          <w:trHeight w:val="1097"/>
        </w:trPr>
        <w:tc>
          <w:tcPr>
            <w:tcW w:w="597" w:type="pct"/>
            <w:vMerge w:val="restart"/>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55854A7A"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Penal Juv. y Viol. Dom. Doméstica Golfito</w:t>
            </w:r>
          </w:p>
        </w:tc>
        <w:tc>
          <w:tcPr>
            <w:tcW w:w="552"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7586FFB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5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570DD23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282</w:t>
            </w:r>
          </w:p>
        </w:tc>
        <w:tc>
          <w:tcPr>
            <w:tcW w:w="61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845AE9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337</w:t>
            </w:r>
          </w:p>
        </w:tc>
        <w:tc>
          <w:tcPr>
            <w:tcW w:w="5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447BC4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w:t>
            </w:r>
          </w:p>
        </w:tc>
        <w:tc>
          <w:tcPr>
            <w:tcW w:w="61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F0FFA4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30</w:t>
            </w:r>
          </w:p>
        </w:tc>
        <w:tc>
          <w:tcPr>
            <w:tcW w:w="52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301CFA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w:t>
            </w:r>
          </w:p>
        </w:tc>
        <w:tc>
          <w:tcPr>
            <w:tcW w:w="4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57894E8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w:t>
            </w:r>
          </w:p>
        </w:tc>
        <w:tc>
          <w:tcPr>
            <w:tcW w:w="468"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995943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119%</w:t>
            </w:r>
          </w:p>
        </w:tc>
      </w:tr>
      <w:tr w:rsidRPr="00AE1B2B" w:rsidR="00AE1B2B" w:rsidTr="009D3FB5" w14:paraId="76F87DE9" w14:textId="77777777">
        <w:trPr>
          <w:trHeight w:val="320"/>
        </w:trPr>
        <w:tc>
          <w:tcPr>
            <w:tcW w:w="597"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306E4192" w14:textId="77777777">
            <w:pPr>
              <w:spacing w:before="120" w:after="120" w:line="276" w:lineRule="auto"/>
              <w:rPr>
                <w:rFonts w:ascii="Times New Roman" w:hAnsi="Times New Roman" w:eastAsia="Times New Roman" w:cs="Times New Roman"/>
                <w:b/>
                <w:bCs/>
                <w:lang w:eastAsia="es-CR"/>
              </w:rPr>
            </w:pPr>
          </w:p>
        </w:tc>
        <w:tc>
          <w:tcPr>
            <w:tcW w:w="552"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10D64D1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Violencia Doméstica</w:t>
            </w:r>
          </w:p>
        </w:tc>
        <w:tc>
          <w:tcPr>
            <w:tcW w:w="5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858370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470</w:t>
            </w:r>
          </w:p>
        </w:tc>
        <w:tc>
          <w:tcPr>
            <w:tcW w:w="61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B44194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597</w:t>
            </w:r>
          </w:p>
        </w:tc>
        <w:tc>
          <w:tcPr>
            <w:tcW w:w="5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E8A9DC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42</w:t>
            </w:r>
          </w:p>
        </w:tc>
        <w:tc>
          <w:tcPr>
            <w:tcW w:w="61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6D46F4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53</w:t>
            </w:r>
          </w:p>
        </w:tc>
        <w:tc>
          <w:tcPr>
            <w:tcW w:w="52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EBCE9C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42</w:t>
            </w:r>
          </w:p>
        </w:tc>
        <w:tc>
          <w:tcPr>
            <w:tcW w:w="4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06156F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21</w:t>
            </w:r>
          </w:p>
        </w:tc>
        <w:tc>
          <w:tcPr>
            <w:tcW w:w="468"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21528D0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127%</w:t>
            </w:r>
          </w:p>
        </w:tc>
      </w:tr>
      <w:tr w:rsidRPr="00AE1B2B" w:rsidR="00AE1B2B" w:rsidTr="009D3FB5" w14:paraId="3BF0EFDF" w14:textId="77777777">
        <w:trPr>
          <w:trHeight w:val="929"/>
        </w:trPr>
        <w:tc>
          <w:tcPr>
            <w:tcW w:w="597" w:type="pct"/>
            <w:vMerge w:val="restar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6033AF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Juzgado Familia, Penal Juvenil y </w:t>
            </w:r>
            <w:r w:rsidRPr="00AE1B2B">
              <w:rPr>
                <w:rFonts w:ascii="Times New Roman" w:hAnsi="Times New Roman" w:eastAsia="Times New Roman" w:cs="Times New Roman"/>
                <w:b/>
                <w:bCs/>
                <w:lang w:eastAsia="es-CR"/>
              </w:rPr>
              <w:lastRenderedPageBreak/>
              <w:t>Viol. Dom. Santa Cruz</w:t>
            </w:r>
          </w:p>
        </w:tc>
        <w:tc>
          <w:tcPr>
            <w:tcW w:w="552"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4FA288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Familia</w:t>
            </w:r>
          </w:p>
        </w:tc>
        <w:tc>
          <w:tcPr>
            <w:tcW w:w="5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BF1236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495</w:t>
            </w:r>
          </w:p>
        </w:tc>
        <w:tc>
          <w:tcPr>
            <w:tcW w:w="61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CE8CD6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563</w:t>
            </w:r>
          </w:p>
        </w:tc>
        <w:tc>
          <w:tcPr>
            <w:tcW w:w="5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A1D13A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44</w:t>
            </w:r>
          </w:p>
        </w:tc>
        <w:tc>
          <w:tcPr>
            <w:tcW w:w="61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886E34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52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9C9E1D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22</w:t>
            </w:r>
          </w:p>
        </w:tc>
        <w:tc>
          <w:tcPr>
            <w:tcW w:w="4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0E93CF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w:t>
            </w:r>
          </w:p>
        </w:tc>
        <w:tc>
          <w:tcPr>
            <w:tcW w:w="46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ED5678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114%</w:t>
            </w:r>
          </w:p>
        </w:tc>
      </w:tr>
      <w:tr w:rsidRPr="00AE1B2B" w:rsidR="00AE1B2B" w:rsidTr="009D3FB5" w14:paraId="5F0E56EE" w14:textId="77777777">
        <w:trPr>
          <w:trHeight w:val="321"/>
        </w:trPr>
        <w:tc>
          <w:tcPr>
            <w:tcW w:w="597"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52F0B57" w14:textId="77777777">
            <w:pPr>
              <w:spacing w:before="120" w:after="120" w:line="276" w:lineRule="auto"/>
              <w:rPr>
                <w:rFonts w:ascii="Times New Roman" w:hAnsi="Times New Roman" w:eastAsia="Times New Roman" w:cs="Times New Roman"/>
                <w:b/>
                <w:bCs/>
                <w:lang w:eastAsia="es-CR"/>
              </w:rPr>
            </w:pPr>
          </w:p>
        </w:tc>
        <w:tc>
          <w:tcPr>
            <w:tcW w:w="552"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8D2CD7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Violencia Doméstica</w:t>
            </w:r>
          </w:p>
        </w:tc>
        <w:tc>
          <w:tcPr>
            <w:tcW w:w="5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A21254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1551</w:t>
            </w:r>
          </w:p>
        </w:tc>
        <w:tc>
          <w:tcPr>
            <w:tcW w:w="61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4A0B10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1534</w:t>
            </w:r>
          </w:p>
        </w:tc>
        <w:tc>
          <w:tcPr>
            <w:tcW w:w="5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3B2FF0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138</w:t>
            </w:r>
          </w:p>
        </w:tc>
        <w:tc>
          <w:tcPr>
            <w:tcW w:w="61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4EF7C7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136</w:t>
            </w:r>
          </w:p>
        </w:tc>
        <w:tc>
          <w:tcPr>
            <w:tcW w:w="52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28622D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69</w:t>
            </w:r>
          </w:p>
        </w:tc>
        <w:tc>
          <w:tcPr>
            <w:tcW w:w="4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EF27A0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46</w:t>
            </w:r>
          </w:p>
        </w:tc>
        <w:tc>
          <w:tcPr>
            <w:tcW w:w="46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73F362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99%</w:t>
            </w:r>
          </w:p>
        </w:tc>
      </w:tr>
      <w:tr w:rsidRPr="00AE1B2B" w:rsidR="00AE1B2B" w:rsidTr="009D3FB5" w14:paraId="3FC8B05E" w14:textId="77777777">
        <w:trPr>
          <w:trHeight w:val="657"/>
        </w:trPr>
        <w:tc>
          <w:tcPr>
            <w:tcW w:w="597" w:type="pct"/>
            <w:vMerge w:val="restart"/>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4429C89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y Viol. Dom. Grecia</w:t>
            </w:r>
          </w:p>
        </w:tc>
        <w:tc>
          <w:tcPr>
            <w:tcW w:w="552"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12014AC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5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569EB32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1031</w:t>
            </w:r>
          </w:p>
        </w:tc>
        <w:tc>
          <w:tcPr>
            <w:tcW w:w="61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214B802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1146</w:t>
            </w:r>
          </w:p>
        </w:tc>
        <w:tc>
          <w:tcPr>
            <w:tcW w:w="5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87F958E" w14:textId="77777777">
            <w:pPr>
              <w:spacing w:before="120" w:after="120" w:line="276" w:lineRule="auto"/>
              <w:jc w:val="center"/>
              <w:rPr>
                <w:rFonts w:ascii="Times New Roman" w:hAnsi="Times New Roman" w:eastAsia="Times New Roman" w:cs="Times New Roman"/>
                <w:u w:val="single"/>
                <w:lang w:eastAsia="es-CR"/>
              </w:rPr>
            </w:pPr>
            <w:r w:rsidRPr="00AE1B2B">
              <w:rPr>
                <w:rFonts w:ascii="Times New Roman" w:hAnsi="Times New Roman" w:eastAsia="Times New Roman" w:cs="Times New Roman"/>
                <w:u w:val="single"/>
                <w:lang w:eastAsia="es-CR"/>
              </w:rPr>
              <w:t>92</w:t>
            </w:r>
          </w:p>
        </w:tc>
        <w:tc>
          <w:tcPr>
            <w:tcW w:w="61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199566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102</w:t>
            </w:r>
          </w:p>
        </w:tc>
        <w:tc>
          <w:tcPr>
            <w:tcW w:w="52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2959EB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46</w:t>
            </w:r>
          </w:p>
        </w:tc>
        <w:tc>
          <w:tcPr>
            <w:tcW w:w="4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0F79E4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35</w:t>
            </w:r>
          </w:p>
        </w:tc>
        <w:tc>
          <w:tcPr>
            <w:tcW w:w="468"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667F616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111%</w:t>
            </w:r>
          </w:p>
        </w:tc>
      </w:tr>
      <w:tr w:rsidRPr="00AE1B2B" w:rsidR="00AE1B2B" w:rsidTr="009D3FB5" w14:paraId="165A640C" w14:textId="77777777">
        <w:trPr>
          <w:trHeight w:val="321"/>
        </w:trPr>
        <w:tc>
          <w:tcPr>
            <w:tcW w:w="597"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1122DAF8" w14:textId="77777777">
            <w:pPr>
              <w:spacing w:before="120" w:after="120" w:line="276" w:lineRule="auto"/>
              <w:rPr>
                <w:rFonts w:ascii="Times New Roman" w:hAnsi="Times New Roman" w:eastAsia="Times New Roman" w:cs="Times New Roman"/>
                <w:b/>
                <w:bCs/>
                <w:lang w:eastAsia="es-CR"/>
              </w:rPr>
            </w:pPr>
          </w:p>
        </w:tc>
        <w:tc>
          <w:tcPr>
            <w:tcW w:w="552"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0137274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Violencia Doméstica</w:t>
            </w:r>
          </w:p>
        </w:tc>
        <w:tc>
          <w:tcPr>
            <w:tcW w:w="5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BE97CD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982</w:t>
            </w:r>
          </w:p>
        </w:tc>
        <w:tc>
          <w:tcPr>
            <w:tcW w:w="61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76745F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934</w:t>
            </w:r>
          </w:p>
        </w:tc>
        <w:tc>
          <w:tcPr>
            <w:tcW w:w="5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1FF3A4F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87</w:t>
            </w:r>
          </w:p>
        </w:tc>
        <w:tc>
          <w:tcPr>
            <w:tcW w:w="61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10D67B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83</w:t>
            </w:r>
          </w:p>
        </w:tc>
        <w:tc>
          <w:tcPr>
            <w:tcW w:w="52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5A5076E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44</w:t>
            </w:r>
          </w:p>
        </w:tc>
        <w:tc>
          <w:tcPr>
            <w:tcW w:w="474"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5BED4D5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w:t>
            </w:r>
          </w:p>
        </w:tc>
        <w:tc>
          <w:tcPr>
            <w:tcW w:w="468"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39BCAD8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95%</w:t>
            </w:r>
          </w:p>
        </w:tc>
      </w:tr>
      <w:tr w:rsidRPr="00AE1B2B" w:rsidR="00AE1B2B" w:rsidTr="009D3FB5" w14:paraId="19C9B3A8" w14:textId="77777777">
        <w:trPr>
          <w:trHeight w:val="1072"/>
        </w:trPr>
        <w:tc>
          <w:tcPr>
            <w:tcW w:w="597" w:type="pct"/>
            <w:vMerge w:val="restar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4BCDCD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Trabajo y Familia Hatillo, San Sebastián y Alajuelita</w:t>
            </w:r>
          </w:p>
        </w:tc>
        <w:tc>
          <w:tcPr>
            <w:tcW w:w="552"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C707AE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Laboral</w:t>
            </w:r>
          </w:p>
        </w:tc>
        <w:tc>
          <w:tcPr>
            <w:tcW w:w="5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22780C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224</w:t>
            </w:r>
          </w:p>
        </w:tc>
        <w:tc>
          <w:tcPr>
            <w:tcW w:w="61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084273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94</w:t>
            </w:r>
          </w:p>
        </w:tc>
        <w:tc>
          <w:tcPr>
            <w:tcW w:w="5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8E02E9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w:t>
            </w:r>
          </w:p>
        </w:tc>
        <w:tc>
          <w:tcPr>
            <w:tcW w:w="61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B6717C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w:t>
            </w:r>
          </w:p>
        </w:tc>
        <w:tc>
          <w:tcPr>
            <w:tcW w:w="52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D08732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w:t>
            </w:r>
          </w:p>
        </w:tc>
        <w:tc>
          <w:tcPr>
            <w:tcW w:w="4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8377A8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46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364B6E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42%</w:t>
            </w:r>
          </w:p>
        </w:tc>
      </w:tr>
      <w:tr w:rsidRPr="00AE1B2B" w:rsidR="00AE1B2B" w:rsidTr="009D3FB5" w14:paraId="0C7D1CAC" w14:textId="77777777">
        <w:trPr>
          <w:trHeight w:val="321"/>
        </w:trPr>
        <w:tc>
          <w:tcPr>
            <w:tcW w:w="597"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9FDF18C" w14:textId="77777777">
            <w:pPr>
              <w:spacing w:before="120" w:after="120" w:line="276" w:lineRule="auto"/>
              <w:rPr>
                <w:rFonts w:ascii="Times New Roman" w:hAnsi="Times New Roman" w:eastAsia="Times New Roman" w:cs="Times New Roman"/>
                <w:b/>
                <w:bCs/>
                <w:lang w:eastAsia="es-CR"/>
              </w:rPr>
            </w:pPr>
          </w:p>
        </w:tc>
        <w:tc>
          <w:tcPr>
            <w:tcW w:w="552"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E28669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5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EF3B94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938</w:t>
            </w:r>
          </w:p>
        </w:tc>
        <w:tc>
          <w:tcPr>
            <w:tcW w:w="61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7184C4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987</w:t>
            </w:r>
          </w:p>
        </w:tc>
        <w:tc>
          <w:tcPr>
            <w:tcW w:w="5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A34596D" w14:textId="77777777">
            <w:pPr>
              <w:spacing w:before="120" w:after="120" w:line="276" w:lineRule="auto"/>
              <w:jc w:val="center"/>
              <w:rPr>
                <w:rFonts w:ascii="Times New Roman" w:hAnsi="Times New Roman" w:eastAsia="Times New Roman" w:cs="Times New Roman"/>
                <w:u w:val="single"/>
                <w:lang w:eastAsia="es-CR"/>
              </w:rPr>
            </w:pPr>
            <w:r w:rsidRPr="00AE1B2B">
              <w:rPr>
                <w:rFonts w:ascii="Times New Roman" w:hAnsi="Times New Roman" w:eastAsia="Times New Roman" w:cs="Times New Roman"/>
                <w:u w:val="single"/>
                <w:lang w:eastAsia="es-CR"/>
              </w:rPr>
              <w:t>83</w:t>
            </w:r>
          </w:p>
        </w:tc>
        <w:tc>
          <w:tcPr>
            <w:tcW w:w="61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557859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88</w:t>
            </w:r>
          </w:p>
        </w:tc>
        <w:tc>
          <w:tcPr>
            <w:tcW w:w="52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9ABAC6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83</w:t>
            </w:r>
          </w:p>
        </w:tc>
        <w:tc>
          <w:tcPr>
            <w:tcW w:w="474"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A026D2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32</w:t>
            </w:r>
          </w:p>
        </w:tc>
        <w:tc>
          <w:tcPr>
            <w:tcW w:w="46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A2304D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105%</w:t>
            </w:r>
          </w:p>
        </w:tc>
      </w:tr>
    </w:tbl>
    <w:bookmarkEnd w:id="75"/>
    <w:p w:rsidRPr="00AE1B2B" w:rsidR="009D3FB5" w:rsidP="00163B94" w:rsidRDefault="009D3FB5" w14:paraId="36C1BC4A"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 con base en datos de Cuadros Estadísticos del Sub proceso de Estadística de la Dirección de Planificación. Los datos del 2019 son preliminares.</w:t>
      </w:r>
    </w:p>
    <w:p w:rsidRPr="00AE1B2B" w:rsidR="009D3FB5" w:rsidP="00163B94" w:rsidRDefault="009D3FB5" w14:paraId="4161398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9E7BC71" w14:textId="1EE2BF84">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identifica que en el caso específico del Juzgado de Familia y Violencia Doméstica del Primer Circuito Judicial de Guanacaste (Liberia), Juzgado Familia y Violencia Doméstica del Tercer Circuito Judicial Alajuela (San Ramón), Juzgado Familia y Violencia Doméstica de Grecia y el Juzgado Trabajo</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y Fam. Hatillo, San Sebastián</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y Alajuelita, que presentan el promedio mensual de asuntos ingresados totales más altos, y se valora la posibilidad de especialización.</w:t>
      </w:r>
    </w:p>
    <w:p w:rsidRPr="00AE1B2B" w:rsidR="009D3FB5" w:rsidP="00163B94" w:rsidRDefault="009D3FB5" w14:paraId="5A3505D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F2D7A7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 de Familia y Violencia Doméstica del Primer Circuito Judicial de Guanacaste (Liberia)</w:t>
      </w:r>
    </w:p>
    <w:p w:rsidRPr="00AE1B2B" w:rsidR="009D3FB5" w:rsidP="00163B94" w:rsidRDefault="009D3FB5" w14:paraId="4EC123D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caso del Juzgado de Familia y Violencia Doméstica del Primer Circuito Judicial de Guanacaste (Liberia), este registra una entrada mensual promedio proyectada ya con desjudicialización de </w:t>
      </w:r>
      <w:r w:rsidRPr="00AE1B2B">
        <w:rPr>
          <w:rFonts w:ascii="Times New Roman" w:hAnsi="Times New Roman" w:cs="Times New Roman"/>
          <w:sz w:val="26"/>
          <w:szCs w:val="26"/>
        </w:rPr>
        <w:lastRenderedPageBreak/>
        <w:t>85 asuntos en materia de Familia, adicional registra una entrada promedio mensual de casos de Violencia Doméstica en Liberia de 117 asuntos, cantidad superior a la registrada de entrada promedio por persona juzgadora del 2017 al 2019 en los despachos especializados en Violencia Doméstica (107 asuntos).</w:t>
      </w:r>
    </w:p>
    <w:p w:rsidRPr="00AE1B2B" w:rsidR="009D3FB5" w:rsidP="00163B94" w:rsidRDefault="009D3FB5" w14:paraId="6289CB4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B48FFA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Esta situación ya antes se había identificado en el informe 34-PLA-EV-2017, sobre el </w:t>
      </w:r>
      <w:r w:rsidRPr="00AE1B2B">
        <w:rPr>
          <w:rFonts w:ascii="Times New Roman" w:hAnsi="Times New Roman" w:cs="Times New Roman"/>
          <w:i/>
          <w:iCs/>
          <w:sz w:val="26"/>
          <w:szCs w:val="26"/>
        </w:rPr>
        <w:t>“Impacto organizacional y presupuestario para el Poder Judicial en caso de aprobarse el proyecto de ley denominado “Código Procesal de Familia”,</w:t>
      </w:r>
      <w:r w:rsidRPr="00AE1B2B">
        <w:rPr>
          <w:rFonts w:ascii="Times New Roman" w:hAnsi="Times New Roman" w:cs="Times New Roman"/>
          <w:sz w:val="26"/>
          <w:szCs w:val="26"/>
        </w:rPr>
        <w:t xml:space="preserve"> donde se plantea la posibilidad de la conformación de dos despachos para separar las materias, los juzgados de Violencia Doméstica del I Circuito Judicial de Guanacaste y de Familia del I Circuito Judicial de Guanacaste, proponiéndose la siguiente estructura:</w:t>
      </w:r>
    </w:p>
    <w:p w:rsidRPr="00AE1B2B" w:rsidR="009D3FB5" w:rsidP="00163B94" w:rsidRDefault="009D3FB5" w14:paraId="1A8533E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3247378" w14:textId="0D01E2C5">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38</w:t>
      </w:r>
      <w:r w:rsidRPr="00AE1B2B">
        <w:rPr>
          <w:rFonts w:ascii="Times New Roman" w:hAnsi="Times New Roman" w:cs="Times New Roman"/>
          <w:sz w:val="26"/>
          <w:szCs w:val="26"/>
        </w:rPr>
        <w:fldChar w:fldCharType="end"/>
      </w:r>
    </w:p>
    <w:p w:rsidRPr="00AE1B2B" w:rsidR="009D3FB5" w:rsidP="00163B94" w:rsidRDefault="009D3FB5" w14:paraId="286E7A91" w14:textId="1C6559CA">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Estructura propuesta en el informe 34-PLA-EV-2017 para el Juzgado de Familia y</w:t>
      </w:r>
    </w:p>
    <w:p w:rsidRPr="00AE1B2B" w:rsidR="009D3FB5" w:rsidP="00163B94" w:rsidRDefault="009D3FB5" w14:paraId="3160DA74"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Violencia Doméstica I Circuito Judicial Guanacaste (Liberia).</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980"/>
        <w:gridCol w:w="1990"/>
        <w:gridCol w:w="2429"/>
        <w:gridCol w:w="2429"/>
      </w:tblGrid>
      <w:tr w:rsidRPr="00AE1B2B" w:rsidR="00AE1B2B" w:rsidTr="009D3FB5" w14:paraId="290F382D" w14:textId="77777777">
        <w:trPr>
          <w:trHeight w:val="283"/>
          <w:tblHeader/>
          <w:jc w:val="center"/>
        </w:trPr>
        <w:tc>
          <w:tcPr>
            <w:tcW w:w="1121" w:type="pct"/>
            <w:vMerge w:val="restart"/>
            <w:shd w:val="clear" w:color="auto" w:fill="002060"/>
            <w:vAlign w:val="center"/>
          </w:tcPr>
          <w:p w:rsidRPr="00AE1B2B" w:rsidR="009D3FB5" w:rsidP="00163B94" w:rsidRDefault="009D3FB5" w14:paraId="6BA97372" w14:textId="77777777">
            <w:pPr>
              <w:spacing w:before="120" w:after="120" w:line="276" w:lineRule="auto"/>
              <w:jc w:val="center"/>
              <w:rPr>
                <w:rFonts w:ascii="Times New Roman" w:hAnsi="Times New Roman" w:cs="Times New Roman"/>
                <w:b/>
                <w:bCs/>
              </w:rPr>
            </w:pPr>
            <w:bookmarkStart w:name="_Hlk35955397" w:id="76"/>
            <w:r w:rsidRPr="00AE1B2B">
              <w:rPr>
                <w:rFonts w:ascii="Times New Roman" w:hAnsi="Times New Roman" w:cs="Times New Roman"/>
                <w:b/>
                <w:bCs/>
              </w:rPr>
              <w:t>Juzgado Mixto</w:t>
            </w:r>
          </w:p>
        </w:tc>
        <w:tc>
          <w:tcPr>
            <w:tcW w:w="1127" w:type="pct"/>
            <w:vMerge w:val="restart"/>
            <w:shd w:val="clear" w:color="auto" w:fill="002060"/>
            <w:vAlign w:val="center"/>
          </w:tcPr>
          <w:p w:rsidRPr="00AE1B2B" w:rsidR="009D3FB5" w:rsidP="00163B94" w:rsidRDefault="009D3FB5" w14:paraId="5EBEDE6A" w14:textId="77777777">
            <w:pPr>
              <w:spacing w:before="120" w:after="120" w:line="276" w:lineRule="auto"/>
              <w:jc w:val="center"/>
              <w:rPr>
                <w:rFonts w:ascii="Times New Roman" w:hAnsi="Times New Roman" w:cs="Times New Roman"/>
                <w:b/>
                <w:bCs/>
              </w:rPr>
            </w:pPr>
            <w:r w:rsidRPr="00AE1B2B">
              <w:rPr>
                <w:rFonts w:ascii="Times New Roman" w:hAnsi="Times New Roman" w:cs="Times New Roman"/>
                <w:b/>
                <w:bCs/>
              </w:rPr>
              <w:t>Estructura orgánica funcional actual del despacho</w:t>
            </w:r>
          </w:p>
        </w:tc>
        <w:tc>
          <w:tcPr>
            <w:tcW w:w="2751" w:type="pct"/>
            <w:gridSpan w:val="2"/>
            <w:shd w:val="clear" w:color="auto" w:fill="002060"/>
            <w:vAlign w:val="center"/>
          </w:tcPr>
          <w:p w:rsidRPr="00AE1B2B" w:rsidR="009D3FB5" w:rsidP="00163B94" w:rsidRDefault="009D3FB5" w14:paraId="5B67680A" w14:textId="77777777">
            <w:pPr>
              <w:spacing w:before="120" w:after="120" w:line="276" w:lineRule="auto"/>
              <w:jc w:val="center"/>
              <w:rPr>
                <w:rFonts w:ascii="Times New Roman" w:hAnsi="Times New Roman" w:cs="Times New Roman"/>
                <w:b/>
              </w:rPr>
            </w:pPr>
            <w:r w:rsidRPr="00AE1B2B">
              <w:rPr>
                <w:rFonts w:ascii="Times New Roman" w:hAnsi="Times New Roman" w:cs="Times New Roman"/>
                <w:b/>
              </w:rPr>
              <w:t>Estructuras Propuestas</w:t>
            </w:r>
          </w:p>
        </w:tc>
      </w:tr>
      <w:tr w:rsidRPr="00AE1B2B" w:rsidR="00AE1B2B" w:rsidTr="009D3FB5" w14:paraId="2739FEAD" w14:textId="77777777">
        <w:trPr>
          <w:trHeight w:val="283"/>
          <w:tblHeader/>
          <w:jc w:val="center"/>
        </w:trPr>
        <w:tc>
          <w:tcPr>
            <w:tcW w:w="1121" w:type="pct"/>
            <w:vMerge/>
            <w:shd w:val="clear" w:color="auto" w:fill="002060"/>
            <w:vAlign w:val="center"/>
          </w:tcPr>
          <w:p w:rsidRPr="00AE1B2B" w:rsidR="009D3FB5" w:rsidP="00163B94" w:rsidRDefault="009D3FB5" w14:paraId="47EAE971" w14:textId="77777777">
            <w:pPr>
              <w:spacing w:before="120" w:after="120" w:line="276" w:lineRule="auto"/>
              <w:rPr>
                <w:rFonts w:ascii="Times New Roman" w:hAnsi="Times New Roman" w:cs="Times New Roman"/>
              </w:rPr>
            </w:pPr>
          </w:p>
        </w:tc>
        <w:tc>
          <w:tcPr>
            <w:tcW w:w="1127" w:type="pct"/>
            <w:vMerge/>
            <w:shd w:val="clear" w:color="auto" w:fill="002060"/>
            <w:vAlign w:val="center"/>
          </w:tcPr>
          <w:p w:rsidRPr="00AE1B2B" w:rsidR="009D3FB5" w:rsidP="00163B94" w:rsidRDefault="009D3FB5" w14:paraId="1A0A7EC0" w14:textId="77777777">
            <w:pPr>
              <w:spacing w:before="120" w:after="120" w:line="276" w:lineRule="auto"/>
              <w:rPr>
                <w:rFonts w:ascii="Times New Roman" w:hAnsi="Times New Roman" w:cs="Times New Roman"/>
              </w:rPr>
            </w:pPr>
          </w:p>
        </w:tc>
        <w:tc>
          <w:tcPr>
            <w:tcW w:w="1376" w:type="pct"/>
            <w:shd w:val="clear" w:color="auto" w:fill="44546A" w:themeFill="text2"/>
            <w:vAlign w:val="center"/>
          </w:tcPr>
          <w:p w:rsidRPr="00AE1B2B" w:rsidR="009D3FB5" w:rsidP="00163B94" w:rsidRDefault="009D3FB5" w14:paraId="1FAD5867" w14:textId="77777777">
            <w:pPr>
              <w:spacing w:before="120" w:after="120" w:line="276" w:lineRule="auto"/>
              <w:jc w:val="center"/>
              <w:rPr>
                <w:rFonts w:ascii="Times New Roman" w:hAnsi="Times New Roman" w:cs="Times New Roman"/>
                <w:b/>
              </w:rPr>
            </w:pPr>
            <w:r w:rsidRPr="00AE1B2B">
              <w:rPr>
                <w:rFonts w:ascii="Times New Roman" w:hAnsi="Times New Roman" w:cs="Times New Roman"/>
                <w:b/>
              </w:rPr>
              <w:t>Familia</w:t>
            </w:r>
          </w:p>
        </w:tc>
        <w:tc>
          <w:tcPr>
            <w:tcW w:w="1376" w:type="pct"/>
            <w:shd w:val="clear" w:color="auto" w:fill="44546A" w:themeFill="text2"/>
            <w:vAlign w:val="center"/>
          </w:tcPr>
          <w:p w:rsidRPr="00AE1B2B" w:rsidR="009D3FB5" w:rsidP="00163B94" w:rsidRDefault="009D3FB5" w14:paraId="58253A4A" w14:textId="77777777">
            <w:pPr>
              <w:spacing w:before="120" w:after="120" w:line="276" w:lineRule="auto"/>
              <w:jc w:val="center"/>
              <w:rPr>
                <w:rFonts w:ascii="Times New Roman" w:hAnsi="Times New Roman" w:cs="Times New Roman"/>
                <w:b/>
              </w:rPr>
            </w:pPr>
            <w:r w:rsidRPr="00AE1B2B">
              <w:rPr>
                <w:rFonts w:ascii="Times New Roman" w:hAnsi="Times New Roman" w:cs="Times New Roman"/>
                <w:b/>
              </w:rPr>
              <w:t>Violencia Doméstica</w:t>
            </w:r>
          </w:p>
        </w:tc>
      </w:tr>
      <w:tr w:rsidRPr="00AE1B2B" w:rsidR="00AE1B2B" w:rsidTr="009D3FB5" w14:paraId="7527A1C0" w14:textId="77777777">
        <w:trPr>
          <w:jc w:val="center"/>
        </w:trPr>
        <w:tc>
          <w:tcPr>
            <w:tcW w:w="1121" w:type="pct"/>
            <w:shd w:val="clear" w:color="auto" w:fill="auto"/>
            <w:vAlign w:val="center"/>
          </w:tcPr>
          <w:p w:rsidRPr="00AE1B2B" w:rsidR="009D3FB5" w:rsidP="00163B94" w:rsidRDefault="009D3FB5" w14:paraId="76EC0BDC" w14:textId="77777777">
            <w:pPr>
              <w:spacing w:before="120" w:after="120" w:line="276" w:lineRule="auto"/>
              <w:rPr>
                <w:rFonts w:ascii="Times New Roman" w:hAnsi="Times New Roman" w:cs="Times New Roman"/>
              </w:rPr>
            </w:pPr>
            <w:r w:rsidRPr="00AE1B2B">
              <w:rPr>
                <w:rFonts w:ascii="Times New Roman" w:hAnsi="Times New Roman" w:cs="Times New Roman"/>
              </w:rPr>
              <w:t>Juzgado de Familia y Violencia Doméstica I Circuito Judicial Guanacaste (Liberia)</w:t>
            </w:r>
          </w:p>
        </w:tc>
        <w:tc>
          <w:tcPr>
            <w:tcW w:w="1127" w:type="pct"/>
            <w:shd w:val="clear" w:color="auto" w:fill="auto"/>
            <w:vAlign w:val="center"/>
          </w:tcPr>
          <w:p w:rsidRPr="00AE1B2B" w:rsidR="009D3FB5" w:rsidP="00163B94" w:rsidRDefault="009D3FB5" w14:paraId="588FEF08" w14:textId="77777777">
            <w:pPr>
              <w:spacing w:before="120" w:after="120" w:line="276" w:lineRule="auto"/>
              <w:rPr>
                <w:rFonts w:ascii="Times New Roman" w:hAnsi="Times New Roman" w:cs="Times New Roman"/>
              </w:rPr>
            </w:pPr>
            <w:r w:rsidRPr="00AE1B2B">
              <w:rPr>
                <w:rFonts w:ascii="Times New Roman" w:hAnsi="Times New Roman" w:cs="Times New Roman"/>
              </w:rPr>
              <w:t>2 Juezas/ces 3</w:t>
            </w:r>
          </w:p>
          <w:p w:rsidRPr="00AE1B2B" w:rsidR="009D3FB5" w:rsidP="00163B94" w:rsidRDefault="009D3FB5" w14:paraId="24D1E657" w14:textId="77777777">
            <w:pPr>
              <w:spacing w:before="120" w:after="120" w:line="276" w:lineRule="auto"/>
              <w:rPr>
                <w:rFonts w:ascii="Times New Roman" w:hAnsi="Times New Roman" w:cs="Times New Roman"/>
              </w:rPr>
            </w:pPr>
            <w:r w:rsidRPr="00AE1B2B">
              <w:rPr>
                <w:rFonts w:ascii="Times New Roman" w:hAnsi="Times New Roman" w:cs="Times New Roman"/>
              </w:rPr>
              <w:t>1 Coordinador Judicial 2</w:t>
            </w:r>
          </w:p>
          <w:p w:rsidRPr="00AE1B2B" w:rsidR="009D3FB5" w:rsidP="00163B94" w:rsidRDefault="009D3FB5" w14:paraId="237E68AE" w14:textId="77777777">
            <w:pPr>
              <w:spacing w:before="120" w:after="120" w:line="276" w:lineRule="auto"/>
              <w:rPr>
                <w:rFonts w:ascii="Times New Roman" w:hAnsi="Times New Roman" w:cs="Times New Roman"/>
              </w:rPr>
            </w:pPr>
            <w:r w:rsidRPr="00AE1B2B">
              <w:rPr>
                <w:rFonts w:ascii="Times New Roman" w:hAnsi="Times New Roman" w:cs="Times New Roman"/>
              </w:rPr>
              <w:t>5 Técnicas/os Judiciales 2</w:t>
            </w:r>
          </w:p>
        </w:tc>
        <w:tc>
          <w:tcPr>
            <w:tcW w:w="1376" w:type="pct"/>
            <w:vAlign w:val="center"/>
          </w:tcPr>
          <w:p w:rsidRPr="00AE1B2B" w:rsidR="009D3FB5" w:rsidP="00163B94" w:rsidRDefault="009D3FB5" w14:paraId="4382A338" w14:textId="77777777">
            <w:pPr>
              <w:spacing w:before="120" w:after="120" w:line="276" w:lineRule="auto"/>
              <w:rPr>
                <w:rFonts w:ascii="Times New Roman" w:hAnsi="Times New Roman" w:cs="Times New Roman"/>
              </w:rPr>
            </w:pPr>
            <w:r w:rsidRPr="00AE1B2B">
              <w:rPr>
                <w:rFonts w:ascii="Times New Roman" w:hAnsi="Times New Roman" w:cs="Times New Roman"/>
              </w:rPr>
              <w:t>1 Jueza/ez 3</w:t>
            </w:r>
          </w:p>
          <w:p w:rsidRPr="00AE1B2B" w:rsidR="009D3FB5" w:rsidP="00163B94" w:rsidRDefault="009D3FB5" w14:paraId="05BC642E" w14:textId="77777777">
            <w:pPr>
              <w:spacing w:before="120" w:after="120" w:line="276" w:lineRule="auto"/>
              <w:rPr>
                <w:rFonts w:ascii="Times New Roman" w:hAnsi="Times New Roman" w:cs="Times New Roman"/>
              </w:rPr>
            </w:pPr>
            <w:r w:rsidRPr="00AE1B2B">
              <w:rPr>
                <w:rFonts w:ascii="Times New Roman" w:hAnsi="Times New Roman" w:cs="Times New Roman"/>
              </w:rPr>
              <w:t>1 Coordinadora/or Judicial 2</w:t>
            </w:r>
          </w:p>
          <w:p w:rsidRPr="00AE1B2B" w:rsidR="009D3FB5" w:rsidP="00163B94" w:rsidRDefault="009D3FB5" w14:paraId="275BDB1B" w14:textId="77777777">
            <w:pPr>
              <w:spacing w:before="120" w:after="120" w:line="276" w:lineRule="auto"/>
              <w:rPr>
                <w:rFonts w:ascii="Times New Roman" w:hAnsi="Times New Roman" w:cs="Times New Roman"/>
              </w:rPr>
            </w:pPr>
            <w:r w:rsidRPr="00AE1B2B">
              <w:rPr>
                <w:rFonts w:ascii="Times New Roman" w:hAnsi="Times New Roman" w:cs="Times New Roman"/>
              </w:rPr>
              <w:t>2 Técnicas/os Judiciales 2</w:t>
            </w:r>
          </w:p>
        </w:tc>
        <w:tc>
          <w:tcPr>
            <w:tcW w:w="1376" w:type="pct"/>
            <w:vAlign w:val="center"/>
          </w:tcPr>
          <w:p w:rsidRPr="00AE1B2B" w:rsidR="009D3FB5" w:rsidP="00163B94" w:rsidRDefault="009D3FB5" w14:paraId="09F15C99" w14:textId="77777777">
            <w:pPr>
              <w:spacing w:before="120" w:after="120" w:line="276" w:lineRule="auto"/>
              <w:rPr>
                <w:rFonts w:ascii="Times New Roman" w:hAnsi="Times New Roman" w:cs="Times New Roman"/>
              </w:rPr>
            </w:pPr>
            <w:r w:rsidRPr="00AE1B2B">
              <w:rPr>
                <w:rFonts w:ascii="Times New Roman" w:hAnsi="Times New Roman" w:cs="Times New Roman"/>
              </w:rPr>
              <w:t>1 Jueza/ez 3</w:t>
            </w:r>
          </w:p>
          <w:p w:rsidRPr="00AE1B2B" w:rsidR="009D3FB5" w:rsidP="00163B94" w:rsidRDefault="009D3FB5" w14:paraId="0B7A1F7E" w14:textId="77777777">
            <w:pPr>
              <w:spacing w:before="120" w:after="120" w:line="276" w:lineRule="auto"/>
              <w:rPr>
                <w:rFonts w:ascii="Times New Roman" w:hAnsi="Times New Roman" w:cs="Times New Roman"/>
              </w:rPr>
            </w:pPr>
            <w:r w:rsidRPr="00AE1B2B">
              <w:rPr>
                <w:rFonts w:ascii="Times New Roman" w:hAnsi="Times New Roman" w:cs="Times New Roman"/>
              </w:rPr>
              <w:t>1 Técnico Judicial 2 (</w:t>
            </w:r>
            <w:r w:rsidRPr="00AE1B2B">
              <w:rPr>
                <w:rFonts w:ascii="Times New Roman" w:hAnsi="Times New Roman" w:cs="Times New Roman"/>
                <w:i/>
              </w:rPr>
              <w:t>plaza actual reasignada a Coordinadora/or Judicial 2</w:t>
            </w:r>
            <w:r w:rsidRPr="00AE1B2B">
              <w:rPr>
                <w:rFonts w:ascii="Times New Roman" w:hAnsi="Times New Roman" w:cs="Times New Roman"/>
              </w:rPr>
              <w:t>)</w:t>
            </w:r>
          </w:p>
          <w:p w:rsidRPr="00AE1B2B" w:rsidR="009D3FB5" w:rsidP="00163B94" w:rsidRDefault="009D3FB5" w14:paraId="6716EA4E" w14:textId="77777777">
            <w:pPr>
              <w:spacing w:before="120" w:after="120" w:line="276" w:lineRule="auto"/>
              <w:rPr>
                <w:rFonts w:ascii="Times New Roman" w:hAnsi="Times New Roman" w:cs="Times New Roman"/>
              </w:rPr>
            </w:pPr>
            <w:r w:rsidRPr="00AE1B2B">
              <w:rPr>
                <w:rFonts w:ascii="Times New Roman" w:hAnsi="Times New Roman" w:cs="Times New Roman"/>
              </w:rPr>
              <w:t>3 Técnicas/os Judiciales 2 (</w:t>
            </w:r>
            <w:r w:rsidRPr="00AE1B2B">
              <w:rPr>
                <w:rFonts w:ascii="Times New Roman" w:hAnsi="Times New Roman" w:cs="Times New Roman"/>
                <w:i/>
                <w:iCs/>
              </w:rPr>
              <w:t>debe crearse una plaza nueva extraordinaria</w:t>
            </w:r>
            <w:r w:rsidRPr="00AE1B2B">
              <w:rPr>
                <w:rFonts w:ascii="Times New Roman" w:hAnsi="Times New Roman" w:cs="Times New Roman"/>
              </w:rPr>
              <w:t>)</w:t>
            </w:r>
          </w:p>
        </w:tc>
      </w:tr>
    </w:tbl>
    <w:bookmarkEnd w:id="76"/>
    <w:p w:rsidRPr="00AE1B2B" w:rsidR="009D3FB5" w:rsidP="00163B94" w:rsidRDefault="009D3FB5" w14:paraId="0C7546C7"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w:t>
      </w:r>
      <w:bookmarkStart w:name="_Hlk32935096" w:id="77"/>
      <w:r w:rsidRPr="00AE1B2B">
        <w:rPr>
          <w:rFonts w:ascii="Times New Roman" w:hAnsi="Times New Roman" w:cs="Times New Roman"/>
          <w:sz w:val="26"/>
          <w:szCs w:val="26"/>
        </w:rPr>
        <w:t>Modernización Institucional de la Dirección de Planificación</w:t>
      </w:r>
      <w:bookmarkEnd w:id="77"/>
      <w:r w:rsidRPr="00AE1B2B">
        <w:rPr>
          <w:rFonts w:ascii="Times New Roman" w:hAnsi="Times New Roman" w:cs="Times New Roman"/>
          <w:sz w:val="26"/>
          <w:szCs w:val="26"/>
        </w:rPr>
        <w:t>.</w:t>
      </w:r>
    </w:p>
    <w:p w:rsidRPr="00AE1B2B" w:rsidR="009D3FB5" w:rsidP="00163B94" w:rsidRDefault="009D3FB5" w14:paraId="0A28F5D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06D1A9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Por lo que basado en los resultados anteriores se analiza el costo de la conformación de los Juzgados Especializados de Familia y Violencia Doméstica del Primer Circuito Judicial de Guanacaste (Liberia). La propuesta de especialización de materias en el Juzgado de Familia y Violencia Doméstica del Primer Circuito Judicial Guanacaste (Liberia), conlleva recalificar una plaza Técnico Judicial 2 para que sea el coordinador judicial y la inclusión de una plaza de técnica o técnico judicial para el Juzgado de Violencia Doméstica del I Circuito Judicial de Guanacaste y completar la estructura de trabajo de este despacho. El impacto económico de esta propuesta se calcula en el siguiente cuadro.</w:t>
      </w:r>
    </w:p>
    <w:p w:rsidRPr="00AE1B2B" w:rsidR="009D3FB5" w:rsidP="00163B94" w:rsidRDefault="009D3FB5" w14:paraId="54A2F87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B23AC21" w14:textId="2ED9D9A9">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39</w:t>
      </w:r>
      <w:r w:rsidRPr="00AE1B2B">
        <w:rPr>
          <w:rFonts w:ascii="Times New Roman" w:hAnsi="Times New Roman" w:cs="Times New Roman"/>
          <w:sz w:val="26"/>
          <w:szCs w:val="26"/>
        </w:rPr>
        <w:fldChar w:fldCharType="end"/>
      </w:r>
    </w:p>
    <w:p w:rsidRPr="00AE1B2B" w:rsidR="009D3FB5" w:rsidP="00163B94" w:rsidRDefault="009D3FB5" w14:paraId="728F23DC" w14:textId="767FF26C">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Costo por puesto anual según estructura propuesta para</w:t>
      </w:r>
    </w:p>
    <w:p w:rsidRPr="00AE1B2B" w:rsidR="009D3FB5" w:rsidP="00163B94" w:rsidRDefault="009D3FB5" w14:paraId="785F9FC3" w14:textId="258404C2">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especializar la atención de las materias del Juzgado de Familia y</w:t>
      </w:r>
    </w:p>
    <w:p w:rsidRPr="00AE1B2B" w:rsidR="009D3FB5" w:rsidP="00163B94" w:rsidRDefault="009D3FB5" w14:paraId="0780EAF6"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Violencia Doméstica I Circuito Judicial Guanacaste (Liberia).</w:t>
      </w:r>
    </w:p>
    <w:tbl>
      <w:tblPr>
        <w:tblW w:w="5000" w:type="pct"/>
        <w:tblCellMar>
          <w:left w:w="70" w:type="dxa"/>
          <w:right w:w="70" w:type="dxa"/>
        </w:tblCellMar>
        <w:tblLook w:val="04A0" w:firstRow="1" w:lastRow="0" w:firstColumn="1" w:lastColumn="0" w:noHBand="0" w:noVBand="1"/>
      </w:tblPr>
      <w:tblGrid>
        <w:gridCol w:w="2480"/>
        <w:gridCol w:w="1775"/>
        <w:gridCol w:w="1730"/>
        <w:gridCol w:w="1424"/>
        <w:gridCol w:w="1424"/>
      </w:tblGrid>
      <w:tr w:rsidRPr="00AE1B2B" w:rsidR="00AE1B2B" w:rsidTr="009D3FB5" w14:paraId="1C2A0180" w14:textId="77777777">
        <w:trPr>
          <w:trHeight w:val="600"/>
          <w:tblHeader/>
        </w:trPr>
        <w:tc>
          <w:tcPr>
            <w:tcW w:w="1404" w:type="pct"/>
            <w:tcBorders>
              <w:bottom w:val="single" w:color="auto" w:sz="4" w:space="0"/>
              <w:right w:val="single" w:color="auto" w:sz="4" w:space="0"/>
            </w:tcBorders>
            <w:shd w:val="clear" w:color="auto" w:fill="auto"/>
            <w:vAlign w:val="bottom"/>
            <w:hideMark/>
          </w:tcPr>
          <w:p w:rsidRPr="00AE1B2B" w:rsidR="009D3FB5" w:rsidP="00163B94" w:rsidRDefault="009D3FB5" w14:paraId="77C2A13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c>
          <w:tcPr>
            <w:tcW w:w="1005"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00B0215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Clase ancha</w:t>
            </w:r>
          </w:p>
        </w:tc>
        <w:tc>
          <w:tcPr>
            <w:tcW w:w="979"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7FFABB9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Clase angosta</w:t>
            </w:r>
          </w:p>
        </w:tc>
        <w:tc>
          <w:tcPr>
            <w:tcW w:w="806"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50FCC07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Costo del puesto anual</w:t>
            </w:r>
          </w:p>
        </w:tc>
        <w:tc>
          <w:tcPr>
            <w:tcW w:w="806"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0B717F3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Diferencia</w:t>
            </w:r>
          </w:p>
        </w:tc>
      </w:tr>
      <w:tr w:rsidRPr="00AE1B2B" w:rsidR="00AE1B2B" w:rsidTr="009D3FB5" w14:paraId="55D53098" w14:textId="77777777">
        <w:trPr>
          <w:trHeight w:val="447"/>
        </w:trPr>
        <w:tc>
          <w:tcPr>
            <w:tcW w:w="1404"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12885EE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Situación actual del puesto</w:t>
            </w:r>
          </w:p>
        </w:tc>
        <w:tc>
          <w:tcPr>
            <w:tcW w:w="1005" w:type="pct"/>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14AD576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ar-SA"/>
              </w:rPr>
              <w:t>Técnico Judicial 2</w:t>
            </w:r>
          </w:p>
        </w:tc>
        <w:tc>
          <w:tcPr>
            <w:tcW w:w="979" w:type="pct"/>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58FEC69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ar-SA"/>
              </w:rPr>
              <w:t>Técnico Judicial</w:t>
            </w:r>
          </w:p>
        </w:tc>
        <w:tc>
          <w:tcPr>
            <w:tcW w:w="806" w:type="pct"/>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41153CD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ar-SA"/>
              </w:rPr>
              <w:t>₡14.520.000</w:t>
            </w:r>
          </w:p>
        </w:tc>
        <w:tc>
          <w:tcPr>
            <w:tcW w:w="806" w:type="pct"/>
            <w:vMerge w:val="restart"/>
            <w:tcBorders>
              <w:top w:val="single" w:color="auto" w:sz="4" w:space="0"/>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6CCB1F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ar-SA"/>
              </w:rPr>
              <w:t>₡2.691.000</w:t>
            </w:r>
          </w:p>
        </w:tc>
      </w:tr>
      <w:tr w:rsidRPr="00AE1B2B" w:rsidR="00AE1B2B" w:rsidTr="009D3FB5" w14:paraId="3B094D0C" w14:textId="77777777">
        <w:trPr>
          <w:trHeight w:val="447"/>
        </w:trPr>
        <w:tc>
          <w:tcPr>
            <w:tcW w:w="1404"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6EB61075"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Situación Propuesta</w:t>
            </w:r>
          </w:p>
        </w:tc>
        <w:tc>
          <w:tcPr>
            <w:tcW w:w="1005" w:type="pct"/>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59A23F2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ar-SA"/>
              </w:rPr>
              <w:t>Coordinador Judicial 2</w:t>
            </w:r>
          </w:p>
        </w:tc>
        <w:tc>
          <w:tcPr>
            <w:tcW w:w="979" w:type="pct"/>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405DB5A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ar-SA"/>
              </w:rPr>
              <w:t>Coordinador Judicial</w:t>
            </w:r>
          </w:p>
        </w:tc>
        <w:tc>
          <w:tcPr>
            <w:tcW w:w="806" w:type="pct"/>
            <w:tcBorders>
              <w:top w:val="single" w:color="auto" w:sz="4" w:space="0"/>
              <w:left w:val="nil"/>
              <w:bottom w:val="single" w:color="auto" w:sz="4" w:space="0"/>
              <w:right w:val="single" w:color="auto" w:sz="4" w:space="0"/>
            </w:tcBorders>
            <w:shd w:val="clear" w:color="auto" w:fill="auto"/>
            <w:vAlign w:val="center"/>
            <w:hideMark/>
          </w:tcPr>
          <w:p w:rsidRPr="00AE1B2B" w:rsidR="009D3FB5" w:rsidP="00163B94" w:rsidRDefault="009D3FB5" w14:paraId="660F870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ar-SA"/>
              </w:rPr>
              <w:t>₡17.211.000</w:t>
            </w:r>
          </w:p>
        </w:tc>
        <w:tc>
          <w:tcPr>
            <w:tcW w:w="806" w:type="pct"/>
            <w:vMerge/>
            <w:tcBorders>
              <w:top w:val="single" w:color="auto" w:sz="4" w:space="0"/>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7CBB5DC5" w14:textId="77777777">
            <w:pPr>
              <w:spacing w:before="120" w:after="120" w:line="276" w:lineRule="auto"/>
              <w:jc w:val="center"/>
              <w:rPr>
                <w:rFonts w:ascii="Times New Roman" w:hAnsi="Times New Roman" w:eastAsia="Times New Roman" w:cs="Times New Roman"/>
                <w:lang w:eastAsia="es-CR"/>
              </w:rPr>
            </w:pPr>
          </w:p>
        </w:tc>
      </w:tr>
      <w:tr w:rsidRPr="00AE1B2B" w:rsidR="00AE1B2B" w:rsidTr="009D3FB5" w14:paraId="5FD02656" w14:textId="77777777">
        <w:trPr>
          <w:trHeight w:val="447"/>
        </w:trPr>
        <w:tc>
          <w:tcPr>
            <w:tcW w:w="1404" w:type="pct"/>
            <w:tcBorders>
              <w:top w:val="single" w:color="auto" w:sz="4" w:space="0"/>
              <w:left w:val="single" w:color="auto" w:sz="4" w:space="0"/>
              <w:bottom w:val="single" w:color="auto" w:sz="4" w:space="0"/>
              <w:right w:val="single" w:color="auto" w:sz="4" w:space="0"/>
            </w:tcBorders>
            <w:shd w:val="clear" w:color="000000" w:fill="002060"/>
            <w:vAlign w:val="center"/>
          </w:tcPr>
          <w:p w:rsidRPr="00AE1B2B" w:rsidR="009D3FB5" w:rsidP="00163B94" w:rsidRDefault="009D3FB5" w14:paraId="6EDD9036" w14:textId="77777777">
            <w:pPr>
              <w:spacing w:before="120" w:after="120" w:line="276" w:lineRule="auto"/>
              <w:rPr>
                <w:rFonts w:ascii="Times New Roman" w:hAnsi="Times New Roman" w:eastAsia="Times New Roman" w:cs="Times New Roman"/>
                <w:b/>
                <w:bCs/>
                <w:lang w:eastAsia="ar-SA"/>
              </w:rPr>
            </w:pPr>
            <w:r w:rsidRPr="00AE1B2B">
              <w:rPr>
                <w:rFonts w:ascii="Times New Roman" w:hAnsi="Times New Roman" w:eastAsia="Times New Roman" w:cs="Times New Roman"/>
                <w:b/>
                <w:bCs/>
                <w:lang w:eastAsia="ar-SA"/>
              </w:rPr>
              <w:t>Situación Propuesta</w:t>
            </w:r>
          </w:p>
        </w:tc>
        <w:tc>
          <w:tcPr>
            <w:tcW w:w="1005" w:type="pct"/>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44F25310" w14:textId="77777777">
            <w:pPr>
              <w:spacing w:before="120" w:after="120" w:line="276" w:lineRule="auto"/>
              <w:jc w:val="center"/>
              <w:rPr>
                <w:rFonts w:ascii="Times New Roman" w:hAnsi="Times New Roman" w:eastAsia="Times New Roman" w:cs="Times New Roman"/>
                <w:lang w:eastAsia="ar-SA"/>
              </w:rPr>
            </w:pPr>
            <w:r w:rsidRPr="00AE1B2B">
              <w:rPr>
                <w:rFonts w:ascii="Times New Roman" w:hAnsi="Times New Roman" w:eastAsia="Times New Roman" w:cs="Times New Roman"/>
                <w:lang w:eastAsia="ar-SA"/>
              </w:rPr>
              <w:t>Técnico Judicial 2</w:t>
            </w:r>
          </w:p>
        </w:tc>
        <w:tc>
          <w:tcPr>
            <w:tcW w:w="979" w:type="pct"/>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1F6978F0" w14:textId="77777777">
            <w:pPr>
              <w:spacing w:before="120" w:after="120" w:line="276" w:lineRule="auto"/>
              <w:jc w:val="center"/>
              <w:rPr>
                <w:rFonts w:ascii="Times New Roman" w:hAnsi="Times New Roman" w:eastAsia="Times New Roman" w:cs="Times New Roman"/>
                <w:lang w:eastAsia="ar-SA"/>
              </w:rPr>
            </w:pPr>
            <w:r w:rsidRPr="00AE1B2B">
              <w:rPr>
                <w:rFonts w:ascii="Times New Roman" w:hAnsi="Times New Roman" w:eastAsia="Times New Roman" w:cs="Times New Roman"/>
                <w:lang w:eastAsia="ar-SA"/>
              </w:rPr>
              <w:t>Técnico Judicial</w:t>
            </w:r>
          </w:p>
        </w:tc>
        <w:tc>
          <w:tcPr>
            <w:tcW w:w="806" w:type="pct"/>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2C5146C9" w14:textId="77777777">
            <w:pPr>
              <w:spacing w:before="120" w:after="120" w:line="276" w:lineRule="auto"/>
              <w:jc w:val="center"/>
              <w:rPr>
                <w:rFonts w:ascii="Times New Roman" w:hAnsi="Times New Roman" w:eastAsia="Times New Roman" w:cs="Times New Roman"/>
                <w:lang w:eastAsia="ar-SA"/>
              </w:rPr>
            </w:pPr>
            <w:r w:rsidRPr="00AE1B2B">
              <w:rPr>
                <w:rFonts w:ascii="Times New Roman" w:hAnsi="Times New Roman" w:eastAsia="Times New Roman" w:cs="Times New Roman"/>
                <w:lang w:eastAsia="ar-SA"/>
              </w:rPr>
              <w:t>₡14.520.000</w:t>
            </w:r>
          </w:p>
        </w:tc>
        <w:tc>
          <w:tcPr>
            <w:tcW w:w="806" w:type="pct"/>
            <w:tcBorders>
              <w:top w:val="single" w:color="auto" w:sz="4" w:space="0"/>
              <w:left w:val="single" w:color="auto" w:sz="4" w:space="0"/>
              <w:bottom w:val="single" w:color="auto" w:sz="4" w:space="0"/>
              <w:right w:val="single" w:color="auto" w:sz="4" w:space="0"/>
            </w:tcBorders>
            <w:shd w:val="clear" w:color="auto" w:fill="auto"/>
            <w:vAlign w:val="center"/>
          </w:tcPr>
          <w:p w:rsidRPr="00AE1B2B" w:rsidR="009D3FB5" w:rsidP="00163B94" w:rsidRDefault="009D3FB5" w14:paraId="45155E5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₡14.520.000</w:t>
            </w:r>
          </w:p>
        </w:tc>
      </w:tr>
    </w:tbl>
    <w:p w:rsidRPr="00AE1B2B" w:rsidR="009D3FB5" w:rsidP="00163B94" w:rsidRDefault="009D3FB5" w14:paraId="4F5B9412"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Modernización Institucional de la Dirección de Planificación. </w:t>
      </w:r>
    </w:p>
    <w:p w:rsidRPr="00AE1B2B" w:rsidR="009D3FB5" w:rsidP="00163B94" w:rsidRDefault="009D3FB5" w14:paraId="074C66C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90FE43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costo anual para hacerle frente a la propuesta por la diferencia salarial entre el puesto de Técnico y Coordinador Judicial es de ₡2.691.000, y la creación de una plaza de Técnica o Técnico Judicial es de ₡14.520.000, para un costo total anual de ₡17.211.000, adicional a esto, se tiene que tomar en cuenta los gastos variables de equipos, suministros y alquileres de edificios (de ser requeridos).</w:t>
      </w:r>
    </w:p>
    <w:p w:rsidRPr="00AE1B2B" w:rsidR="009D3FB5" w:rsidP="00163B94" w:rsidRDefault="009D3FB5" w14:paraId="11B3F35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F8B421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Sin embargo, esta propuesta implica un crecimiento de plazas y un incremento en los gastos variables, por lo que no resulta viable generar una especialización en la atención de las materias, debido a la situación económica del país y las restricciones en los gastos; además según los resultados de los últimos años de este despacho, se registra un 107% y 98% en la relación de salida y entrada de casos, con lo que se estima que el despacho podría hacer frente a la carga de trabajo actual bajo una organización de despacho mixto.</w:t>
      </w:r>
    </w:p>
    <w:p w:rsidRPr="00AE1B2B" w:rsidR="009D3FB5" w:rsidP="00163B94" w:rsidRDefault="009D3FB5" w14:paraId="5C74803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C67BFD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 de Familia y Violencia Doméstica del Tercer Circuito Judicial Alajuela (San Ramón)</w:t>
      </w:r>
    </w:p>
    <w:p w:rsidRPr="00AE1B2B" w:rsidR="009D3FB5" w:rsidP="00163B94" w:rsidRDefault="009D3FB5" w14:paraId="33371FE7" w14:textId="7555B8A8">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Juzgado de Familia y Violencia Doméstica del Tercer Circuito Judicial de Alajuela registra una entrada mensual promedio de 79 asuntos en materia de Familia, superior</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por lo mínimo a la cuota (promedio nacional de 74 casos nuevos por plaza especializada) de trabajo calculada para esta materia para las personas juzgadoras, adicional registra una entrada promedio mensual de casos de Violencia Doméstica de 88 asuntos, cantidad inferior a la registrada de entrada promedio por persona juzgadora del 2017 al 2019 en los despachos especializados en Violencia Doméstica (107 asuntos), por lo que se puede completar la carga de trabajo con el exceso registrado para la materia Familia, siendo necesaria dos persona juzgadoras para este despacho. En el caso de las personas técnicas judiciales, se detecta la necesidad de una persona adicional, por la cantidad de casos entrados a este despacho.</w:t>
      </w:r>
    </w:p>
    <w:p w:rsidRPr="00AE1B2B" w:rsidR="009D3FB5" w:rsidP="00163B94" w:rsidRDefault="009D3FB5" w14:paraId="64CFAC5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E148EFB" w14:textId="4DD676E2">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40</w:t>
      </w:r>
      <w:r w:rsidRPr="00AE1B2B">
        <w:rPr>
          <w:rFonts w:ascii="Times New Roman" w:hAnsi="Times New Roman" w:cs="Times New Roman"/>
          <w:sz w:val="26"/>
          <w:szCs w:val="26"/>
        </w:rPr>
        <w:fldChar w:fldCharType="end"/>
      </w:r>
    </w:p>
    <w:p w:rsidRPr="00AE1B2B" w:rsidR="009D3FB5" w:rsidP="00163B94" w:rsidRDefault="009D3FB5" w14:paraId="45BDFE30" w14:textId="379B9C76">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Estructura propuesta Juzgado de Familia y</w:t>
      </w:r>
    </w:p>
    <w:p w:rsidRPr="00AE1B2B" w:rsidR="009D3FB5" w:rsidP="00163B94" w:rsidRDefault="009D3FB5" w14:paraId="24CD4A76"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Violencia Doméstica del Tercer Circuito Judicial Alajuela (San Ramón).</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2263"/>
        <w:gridCol w:w="3120"/>
        <w:gridCol w:w="3445"/>
      </w:tblGrid>
      <w:tr w:rsidRPr="00AE1B2B" w:rsidR="00AE1B2B" w:rsidTr="009D3FB5" w14:paraId="60E06BD3" w14:textId="77777777">
        <w:trPr>
          <w:tblHeader/>
          <w:jc w:val="center"/>
        </w:trPr>
        <w:tc>
          <w:tcPr>
            <w:tcW w:w="1282" w:type="pct"/>
            <w:shd w:val="clear" w:color="auto" w:fill="002060"/>
            <w:vAlign w:val="center"/>
          </w:tcPr>
          <w:p w:rsidRPr="00AE1B2B" w:rsidR="009D3FB5" w:rsidP="00163B94" w:rsidRDefault="009D3FB5" w14:paraId="72AE4E3B" w14:textId="77777777">
            <w:pPr>
              <w:spacing w:before="120" w:after="120" w:line="276" w:lineRule="auto"/>
              <w:jc w:val="center"/>
              <w:rPr>
                <w:rFonts w:ascii="Times New Roman" w:hAnsi="Times New Roman" w:cs="Times New Roman"/>
                <w:b/>
                <w:bCs/>
              </w:rPr>
            </w:pPr>
            <w:r w:rsidRPr="00AE1B2B">
              <w:rPr>
                <w:rFonts w:ascii="Times New Roman" w:hAnsi="Times New Roman" w:cs="Times New Roman"/>
                <w:b/>
                <w:bCs/>
              </w:rPr>
              <w:t>Juzgado Mixto</w:t>
            </w:r>
          </w:p>
        </w:tc>
        <w:tc>
          <w:tcPr>
            <w:tcW w:w="1767" w:type="pct"/>
            <w:shd w:val="clear" w:color="auto" w:fill="002060"/>
            <w:vAlign w:val="center"/>
          </w:tcPr>
          <w:p w:rsidRPr="00AE1B2B" w:rsidR="009D3FB5" w:rsidP="00163B94" w:rsidRDefault="009D3FB5" w14:paraId="23FC2492" w14:textId="77777777">
            <w:pPr>
              <w:spacing w:before="120" w:after="120" w:line="276" w:lineRule="auto"/>
              <w:jc w:val="center"/>
              <w:rPr>
                <w:rFonts w:ascii="Times New Roman" w:hAnsi="Times New Roman" w:cs="Times New Roman"/>
                <w:b/>
                <w:bCs/>
              </w:rPr>
            </w:pPr>
            <w:r w:rsidRPr="00AE1B2B">
              <w:rPr>
                <w:rFonts w:ascii="Times New Roman" w:hAnsi="Times New Roman" w:cs="Times New Roman"/>
                <w:b/>
                <w:bCs/>
              </w:rPr>
              <w:t>Estructura orgánica funcional actual del despacho</w:t>
            </w:r>
          </w:p>
        </w:tc>
        <w:tc>
          <w:tcPr>
            <w:tcW w:w="1952" w:type="pct"/>
            <w:shd w:val="clear" w:color="auto" w:fill="002060"/>
            <w:vAlign w:val="center"/>
          </w:tcPr>
          <w:p w:rsidRPr="00AE1B2B" w:rsidR="009D3FB5" w:rsidP="00163B94" w:rsidRDefault="009D3FB5" w14:paraId="1B13C7B0" w14:textId="77777777">
            <w:pPr>
              <w:spacing w:before="120" w:after="120" w:line="276" w:lineRule="auto"/>
              <w:jc w:val="center"/>
              <w:rPr>
                <w:rFonts w:ascii="Times New Roman" w:hAnsi="Times New Roman" w:cs="Times New Roman"/>
                <w:b/>
              </w:rPr>
            </w:pPr>
            <w:r w:rsidRPr="00AE1B2B">
              <w:rPr>
                <w:rFonts w:ascii="Times New Roman" w:hAnsi="Times New Roman" w:cs="Times New Roman"/>
                <w:b/>
              </w:rPr>
              <w:t>Estructura Propuesta</w:t>
            </w:r>
          </w:p>
        </w:tc>
      </w:tr>
      <w:tr w:rsidRPr="00AE1B2B" w:rsidR="00AE1B2B" w:rsidTr="009D3FB5" w14:paraId="5C9E42E7" w14:textId="77777777">
        <w:trPr>
          <w:jc w:val="center"/>
        </w:trPr>
        <w:tc>
          <w:tcPr>
            <w:tcW w:w="1282" w:type="pct"/>
            <w:shd w:val="clear" w:color="auto" w:fill="auto"/>
            <w:vAlign w:val="center"/>
          </w:tcPr>
          <w:p w:rsidRPr="00AE1B2B" w:rsidR="009D3FB5" w:rsidP="00163B94" w:rsidRDefault="009D3FB5" w14:paraId="1C956308" w14:textId="77777777">
            <w:pPr>
              <w:spacing w:before="120" w:after="120" w:line="276" w:lineRule="auto"/>
              <w:rPr>
                <w:rFonts w:ascii="Times New Roman" w:hAnsi="Times New Roman" w:cs="Times New Roman"/>
              </w:rPr>
            </w:pPr>
            <w:r w:rsidRPr="00AE1B2B">
              <w:rPr>
                <w:rFonts w:ascii="Times New Roman" w:hAnsi="Times New Roman" w:cs="Times New Roman"/>
              </w:rPr>
              <w:t>Juzgado de Familia y Violencia Doméstica Tercer Circuito Judicial Alajuela (San Ramón)</w:t>
            </w:r>
          </w:p>
        </w:tc>
        <w:tc>
          <w:tcPr>
            <w:tcW w:w="1767" w:type="pct"/>
            <w:shd w:val="clear" w:color="auto" w:fill="auto"/>
            <w:vAlign w:val="center"/>
          </w:tcPr>
          <w:p w:rsidRPr="00AE1B2B" w:rsidR="009D3FB5" w:rsidP="00163B94" w:rsidRDefault="009D3FB5" w14:paraId="2A04FA88" w14:textId="77777777">
            <w:pPr>
              <w:spacing w:before="120" w:after="120" w:line="276" w:lineRule="auto"/>
              <w:rPr>
                <w:rFonts w:ascii="Times New Roman" w:hAnsi="Times New Roman" w:cs="Times New Roman"/>
              </w:rPr>
            </w:pPr>
            <w:r w:rsidRPr="00AE1B2B">
              <w:rPr>
                <w:rFonts w:ascii="Times New Roman" w:hAnsi="Times New Roman" w:cs="Times New Roman"/>
              </w:rPr>
              <w:t>2 Juezas/ces 3</w:t>
            </w:r>
          </w:p>
          <w:p w:rsidRPr="00AE1B2B" w:rsidR="009D3FB5" w:rsidP="00163B94" w:rsidRDefault="009D3FB5" w14:paraId="1C0BF7F8" w14:textId="77777777">
            <w:pPr>
              <w:spacing w:before="120" w:after="120" w:line="276" w:lineRule="auto"/>
              <w:rPr>
                <w:rFonts w:ascii="Times New Roman" w:hAnsi="Times New Roman" w:cs="Times New Roman"/>
              </w:rPr>
            </w:pPr>
            <w:r w:rsidRPr="00AE1B2B">
              <w:rPr>
                <w:rFonts w:ascii="Times New Roman" w:hAnsi="Times New Roman" w:cs="Times New Roman"/>
              </w:rPr>
              <w:t>1 Coordinadora/or Judicial 2</w:t>
            </w:r>
          </w:p>
          <w:p w:rsidRPr="00AE1B2B" w:rsidR="009D3FB5" w:rsidP="00163B94" w:rsidRDefault="009D3FB5" w14:paraId="1234A04A" w14:textId="77777777">
            <w:pPr>
              <w:spacing w:before="120" w:after="120" w:line="276" w:lineRule="auto"/>
              <w:rPr>
                <w:rFonts w:ascii="Times New Roman" w:hAnsi="Times New Roman" w:cs="Times New Roman"/>
              </w:rPr>
            </w:pPr>
            <w:r w:rsidRPr="00AE1B2B">
              <w:rPr>
                <w:rFonts w:ascii="Times New Roman" w:hAnsi="Times New Roman" w:cs="Times New Roman"/>
              </w:rPr>
              <w:t>3 Técnicas/os Judiciales 2</w:t>
            </w:r>
          </w:p>
        </w:tc>
        <w:tc>
          <w:tcPr>
            <w:tcW w:w="1952" w:type="pct"/>
            <w:vAlign w:val="center"/>
          </w:tcPr>
          <w:p w:rsidRPr="00AE1B2B" w:rsidR="009D3FB5" w:rsidP="00163B94" w:rsidRDefault="009D3FB5" w14:paraId="07F5FD65" w14:textId="77777777">
            <w:pPr>
              <w:spacing w:before="120" w:after="120" w:line="276" w:lineRule="auto"/>
              <w:rPr>
                <w:rFonts w:ascii="Times New Roman" w:hAnsi="Times New Roman" w:cs="Times New Roman"/>
              </w:rPr>
            </w:pPr>
            <w:r w:rsidRPr="00AE1B2B">
              <w:rPr>
                <w:rFonts w:ascii="Times New Roman" w:hAnsi="Times New Roman" w:cs="Times New Roman"/>
              </w:rPr>
              <w:t>2 Juezas/ces 3.</w:t>
            </w:r>
          </w:p>
          <w:p w:rsidRPr="00AE1B2B" w:rsidR="009D3FB5" w:rsidP="00163B94" w:rsidRDefault="009D3FB5" w14:paraId="0306BC40" w14:textId="77777777">
            <w:pPr>
              <w:spacing w:before="120" w:after="120" w:line="276" w:lineRule="auto"/>
              <w:rPr>
                <w:rFonts w:ascii="Times New Roman" w:hAnsi="Times New Roman" w:cs="Times New Roman"/>
              </w:rPr>
            </w:pPr>
            <w:r w:rsidRPr="00AE1B2B">
              <w:rPr>
                <w:rFonts w:ascii="Times New Roman" w:hAnsi="Times New Roman" w:cs="Times New Roman"/>
              </w:rPr>
              <w:t>1 Coordinadora/or Judicial 2</w:t>
            </w:r>
          </w:p>
          <w:p w:rsidRPr="00AE1B2B" w:rsidR="009D3FB5" w:rsidP="00163B94" w:rsidRDefault="009D3FB5" w14:paraId="34708B56" w14:textId="77777777">
            <w:pPr>
              <w:spacing w:before="120" w:after="120" w:line="276" w:lineRule="auto"/>
              <w:rPr>
                <w:rFonts w:ascii="Times New Roman" w:hAnsi="Times New Roman" w:cs="Times New Roman"/>
              </w:rPr>
            </w:pPr>
            <w:r w:rsidRPr="00AE1B2B">
              <w:rPr>
                <w:rFonts w:ascii="Times New Roman" w:hAnsi="Times New Roman" w:cs="Times New Roman"/>
              </w:rPr>
              <w:t>4 Técnicas/os Judiciales 2 (</w:t>
            </w:r>
            <w:r w:rsidRPr="00AE1B2B">
              <w:rPr>
                <w:rFonts w:ascii="Times New Roman" w:hAnsi="Times New Roman" w:cs="Times New Roman"/>
                <w:i/>
              </w:rPr>
              <w:t xml:space="preserve">debe </w:t>
            </w:r>
            <w:r w:rsidRPr="00AE1B2B">
              <w:rPr>
                <w:rFonts w:ascii="Times New Roman" w:hAnsi="Times New Roman" w:cs="Times New Roman"/>
                <w:i/>
                <w:iCs/>
              </w:rPr>
              <w:t>crearse</w:t>
            </w:r>
            <w:r w:rsidRPr="00AE1B2B">
              <w:rPr>
                <w:rFonts w:ascii="Times New Roman" w:hAnsi="Times New Roman" w:cs="Times New Roman"/>
                <w:i/>
              </w:rPr>
              <w:t xml:space="preserve"> una plaza </w:t>
            </w:r>
            <w:r w:rsidRPr="00AE1B2B">
              <w:rPr>
                <w:rFonts w:ascii="Times New Roman" w:hAnsi="Times New Roman" w:cs="Times New Roman"/>
                <w:i/>
                <w:iCs/>
              </w:rPr>
              <w:t>técnica o técnico judicial</w:t>
            </w:r>
            <w:r w:rsidRPr="00AE1B2B">
              <w:rPr>
                <w:rFonts w:ascii="Times New Roman" w:hAnsi="Times New Roman" w:cs="Times New Roman"/>
              </w:rPr>
              <w:t>)</w:t>
            </w:r>
          </w:p>
        </w:tc>
      </w:tr>
    </w:tbl>
    <w:p w:rsidRPr="00AE1B2B" w:rsidR="009D3FB5" w:rsidP="00163B94" w:rsidRDefault="009D3FB5" w14:paraId="3E796E89"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lastRenderedPageBreak/>
        <w:t>Fuente: Modernización Institucional de la Dirección de Planificación.</w:t>
      </w:r>
    </w:p>
    <w:p w:rsidRPr="00AE1B2B" w:rsidR="009D3FB5" w:rsidP="00163B94" w:rsidRDefault="009D3FB5" w14:paraId="539256B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propuesta en el Juzgado de Familia y Violencia Doméstica del Tercer Circuito Judicial de Alajuela (San Ramón) conlleva la creación de una plaza extraordinaria de Técnico Judicial 2 para completar la estructura de trabajo de este despacho y poder mantener una plaza en manifestación, su impacto económico se calcula en el siguiente cuadro.</w:t>
      </w:r>
    </w:p>
    <w:p w:rsidRPr="00AE1B2B" w:rsidR="009D3FB5" w:rsidP="00163B94" w:rsidRDefault="009D3FB5" w14:paraId="30154EE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C808BAC" w14:textId="77777777">
      <w:pPr>
        <w:pStyle w:val="Descripcin"/>
        <w:spacing w:before="120" w:after="120"/>
        <w:ind w:left="851" w:right="851" w:firstLine="709"/>
        <w:jc w:val="both"/>
        <w:rPr>
          <w:rFonts w:ascii="Times New Roman" w:hAnsi="Times New Roman" w:cs="Times New Roman"/>
          <w:sz w:val="26"/>
          <w:szCs w:val="26"/>
        </w:rPr>
      </w:pPr>
    </w:p>
    <w:p w:rsidRPr="00AE1B2B" w:rsidR="009D3FB5" w:rsidP="00163B94" w:rsidRDefault="009D3FB5" w14:paraId="2A7B0F37" w14:textId="77777777">
      <w:pPr>
        <w:pStyle w:val="Descripcin"/>
        <w:spacing w:before="120" w:after="120"/>
        <w:ind w:left="851" w:right="851" w:firstLine="709"/>
        <w:jc w:val="both"/>
        <w:rPr>
          <w:rFonts w:ascii="Times New Roman" w:hAnsi="Times New Roman" w:cs="Times New Roman"/>
          <w:sz w:val="26"/>
          <w:szCs w:val="26"/>
        </w:rPr>
      </w:pPr>
    </w:p>
    <w:p w:rsidRPr="00AE1B2B" w:rsidR="009D3FB5" w:rsidP="00163B94" w:rsidRDefault="009D3FB5" w14:paraId="4E0380A1" w14:textId="50117E21">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41</w:t>
      </w:r>
      <w:r w:rsidRPr="00AE1B2B">
        <w:rPr>
          <w:rFonts w:ascii="Times New Roman" w:hAnsi="Times New Roman" w:cs="Times New Roman"/>
          <w:sz w:val="26"/>
          <w:szCs w:val="26"/>
        </w:rPr>
        <w:fldChar w:fldCharType="end"/>
      </w:r>
    </w:p>
    <w:p w:rsidRPr="00AE1B2B" w:rsidR="009D3FB5" w:rsidP="00163B94" w:rsidRDefault="009D3FB5" w14:paraId="776A7D8C"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Costo de estructura propuesta Juzgado de</w:t>
      </w:r>
    </w:p>
    <w:p w:rsidRPr="00AE1B2B" w:rsidR="009D3FB5" w:rsidP="00163B94" w:rsidRDefault="009D3FB5" w14:paraId="4B5F54A0" w14:textId="4A2089F6">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Familia y Violencia Doméstica Tercer Circuito Judicial Alajuela (San Ramón).</w:t>
      </w:r>
    </w:p>
    <w:tbl>
      <w:tblPr>
        <w:tblW w:w="4877" w:type="pct"/>
        <w:tblCellMar>
          <w:left w:w="70" w:type="dxa"/>
          <w:right w:w="70" w:type="dxa"/>
        </w:tblCellMar>
        <w:tblLook w:val="04A0" w:firstRow="1" w:lastRow="0" w:firstColumn="1" w:lastColumn="0" w:noHBand="0" w:noVBand="1"/>
      </w:tblPr>
      <w:tblGrid>
        <w:gridCol w:w="2492"/>
        <w:gridCol w:w="1642"/>
        <w:gridCol w:w="1589"/>
        <w:gridCol w:w="2893"/>
      </w:tblGrid>
      <w:tr w:rsidRPr="00AE1B2B" w:rsidR="00AE1B2B" w:rsidTr="009D3FB5" w14:paraId="095E5877" w14:textId="77777777">
        <w:trPr>
          <w:trHeight w:val="559"/>
        </w:trPr>
        <w:tc>
          <w:tcPr>
            <w:tcW w:w="1446" w:type="pct"/>
            <w:tcBorders>
              <w:bottom w:val="single" w:color="auto" w:sz="4" w:space="0"/>
              <w:right w:val="single" w:color="auto" w:sz="4" w:space="0"/>
            </w:tcBorders>
            <w:shd w:val="clear" w:color="auto" w:fill="auto"/>
            <w:vAlign w:val="bottom"/>
            <w:hideMark/>
          </w:tcPr>
          <w:p w:rsidRPr="00AE1B2B" w:rsidR="009D3FB5" w:rsidP="00163B94" w:rsidRDefault="009D3FB5" w14:paraId="233E6634" w14:textId="77777777">
            <w:pPr>
              <w:spacing w:before="120" w:after="120" w:line="276" w:lineRule="auto"/>
              <w:rPr>
                <w:rFonts w:ascii="Times New Roman" w:hAnsi="Times New Roman" w:eastAsia="Times New Roman" w:cs="Times New Roman"/>
                <w:lang w:eastAsia="es-CR"/>
              </w:rPr>
            </w:pPr>
          </w:p>
        </w:tc>
        <w:tc>
          <w:tcPr>
            <w:tcW w:w="953"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2BE397D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Clase ancha</w:t>
            </w:r>
          </w:p>
        </w:tc>
        <w:tc>
          <w:tcPr>
            <w:tcW w:w="922"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5544900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Clase angosta</w:t>
            </w:r>
          </w:p>
        </w:tc>
        <w:tc>
          <w:tcPr>
            <w:tcW w:w="1679"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425671F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Costo del puesto anual</w:t>
            </w:r>
          </w:p>
        </w:tc>
      </w:tr>
      <w:tr w:rsidRPr="00AE1B2B" w:rsidR="00AE1B2B" w:rsidTr="009D3FB5" w14:paraId="44C8B29C" w14:textId="77777777">
        <w:trPr>
          <w:trHeight w:val="417"/>
        </w:trPr>
        <w:tc>
          <w:tcPr>
            <w:tcW w:w="1446" w:type="pct"/>
            <w:tcBorders>
              <w:top w:val="single" w:color="auto" w:sz="4" w:space="0"/>
              <w:left w:val="single" w:color="auto" w:sz="4" w:space="0"/>
              <w:bottom w:val="single" w:color="auto" w:sz="4" w:space="0"/>
              <w:right w:val="single" w:color="auto" w:sz="4" w:space="0"/>
            </w:tcBorders>
            <w:shd w:val="clear" w:color="000000" w:fill="002060"/>
          </w:tcPr>
          <w:p w:rsidRPr="00AE1B2B" w:rsidR="009D3FB5" w:rsidP="00163B94" w:rsidRDefault="009D3FB5" w14:paraId="037470E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cs="Times New Roman"/>
              </w:rPr>
              <w:t>Plaza nueva extraordinaria</w:t>
            </w:r>
          </w:p>
        </w:tc>
        <w:tc>
          <w:tcPr>
            <w:tcW w:w="953" w:type="pct"/>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251BECB7" w14:textId="77777777">
            <w:pPr>
              <w:spacing w:before="120" w:after="120" w:line="276" w:lineRule="auto"/>
              <w:jc w:val="center"/>
              <w:rPr>
                <w:rFonts w:ascii="Times New Roman" w:hAnsi="Times New Roman" w:eastAsia="Times New Roman" w:cs="Times New Roman"/>
                <w:lang w:eastAsia="ar-SA"/>
              </w:rPr>
            </w:pPr>
            <w:r w:rsidRPr="00AE1B2B">
              <w:rPr>
                <w:rFonts w:ascii="Times New Roman" w:hAnsi="Times New Roman" w:cs="Times New Roman"/>
              </w:rPr>
              <w:t>Técnico Judicial 2</w:t>
            </w:r>
          </w:p>
        </w:tc>
        <w:tc>
          <w:tcPr>
            <w:tcW w:w="922" w:type="pct"/>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3B54F50F" w14:textId="77777777">
            <w:pPr>
              <w:spacing w:before="120" w:after="120" w:line="276" w:lineRule="auto"/>
              <w:jc w:val="center"/>
              <w:rPr>
                <w:rFonts w:ascii="Times New Roman" w:hAnsi="Times New Roman" w:eastAsia="Times New Roman" w:cs="Times New Roman"/>
                <w:lang w:eastAsia="ar-SA"/>
              </w:rPr>
            </w:pPr>
            <w:r w:rsidRPr="00AE1B2B">
              <w:rPr>
                <w:rFonts w:ascii="Times New Roman" w:hAnsi="Times New Roman" w:cs="Times New Roman"/>
              </w:rPr>
              <w:t>Técnico Judicial</w:t>
            </w:r>
          </w:p>
        </w:tc>
        <w:tc>
          <w:tcPr>
            <w:tcW w:w="1679" w:type="pct"/>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454A0C5A" w14:textId="77777777">
            <w:pPr>
              <w:spacing w:before="120" w:after="120" w:line="276" w:lineRule="auto"/>
              <w:jc w:val="center"/>
              <w:rPr>
                <w:rFonts w:ascii="Times New Roman" w:hAnsi="Times New Roman" w:eastAsia="Times New Roman" w:cs="Times New Roman"/>
                <w:lang w:eastAsia="ar-SA"/>
              </w:rPr>
            </w:pPr>
            <w:r w:rsidRPr="00AE1B2B">
              <w:rPr>
                <w:rFonts w:ascii="Times New Roman" w:hAnsi="Times New Roman" w:cs="Times New Roman"/>
              </w:rPr>
              <w:t>₡14.520.000</w:t>
            </w:r>
          </w:p>
        </w:tc>
      </w:tr>
    </w:tbl>
    <w:p w:rsidRPr="00AE1B2B" w:rsidR="009D3FB5" w:rsidP="00163B94" w:rsidRDefault="009D3FB5" w14:paraId="6278E34F"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Modernización Institucional de la Dirección de Planificación. </w:t>
      </w:r>
    </w:p>
    <w:p w:rsidRPr="00AE1B2B" w:rsidR="009D3FB5" w:rsidP="00163B94" w:rsidRDefault="009D3FB5" w14:paraId="52B5495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FCB107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costo anual para hacer frente a la propuesta es de ₡14.520.000.</w:t>
      </w:r>
    </w:p>
    <w:p w:rsidRPr="00AE1B2B" w:rsidR="009D3FB5" w:rsidP="00163B94" w:rsidRDefault="009D3FB5" w14:paraId="7C4406E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8CA1CB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 de Familia y Violencia Doméstica Grecia</w:t>
      </w:r>
    </w:p>
    <w:p w:rsidRPr="00AE1B2B" w:rsidR="009D3FB5" w:rsidP="00163B94" w:rsidRDefault="009D3FB5" w14:paraId="5CBD87D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Juzgado de Familia y Violencia Doméstica de Grecia es el despacho mixto que registra 92 asuntos nuevos por mes en materia de Familia y 87 casos de Violencia Doméstica, cantidad similar a la registrada de entrada promedio por persona juzgadora del 2017 al 2019 en los despachos especializados en Violencia Doméstica (107 asuntos), por lo que se puede completar la carga de trabajo con el exceso registrado para la materia Familia, siendo la cantidad necesario la inclusión de una persona técnica judicial, ya que se estima que por la cantidad de casos entrados registrados por este despacho, incluir una plaza para que tres personas técnicas judiciales se dediquen a atender el volumen de entrada y uno a manifestación.</w:t>
      </w:r>
    </w:p>
    <w:p w:rsidRPr="00AE1B2B" w:rsidR="009D3FB5" w:rsidP="00163B94" w:rsidRDefault="009D3FB5" w14:paraId="6E11A66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62AF446" w14:textId="13A0BF32">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42</w:t>
      </w:r>
      <w:r w:rsidRPr="00AE1B2B">
        <w:rPr>
          <w:rFonts w:ascii="Times New Roman" w:hAnsi="Times New Roman" w:cs="Times New Roman"/>
          <w:sz w:val="26"/>
          <w:szCs w:val="26"/>
        </w:rPr>
        <w:fldChar w:fldCharType="end"/>
      </w:r>
    </w:p>
    <w:p w:rsidRPr="00AE1B2B" w:rsidR="009D3FB5" w:rsidP="00163B94" w:rsidRDefault="009D3FB5" w14:paraId="28E9F653"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Estructura propuesta Juzgado de Familia y Violencia Doméstica de Grecia.</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979"/>
        <w:gridCol w:w="3120"/>
        <w:gridCol w:w="3729"/>
      </w:tblGrid>
      <w:tr w:rsidRPr="00AE1B2B" w:rsidR="00AE1B2B" w:rsidTr="009D3FB5" w14:paraId="791BAEAC" w14:textId="77777777">
        <w:trPr>
          <w:tblHeader/>
          <w:jc w:val="center"/>
        </w:trPr>
        <w:tc>
          <w:tcPr>
            <w:tcW w:w="1121" w:type="pct"/>
            <w:shd w:val="clear" w:color="auto" w:fill="002060"/>
            <w:vAlign w:val="center"/>
          </w:tcPr>
          <w:p w:rsidRPr="00AE1B2B" w:rsidR="002241C3" w:rsidP="00163B94" w:rsidRDefault="002241C3" w14:paraId="171ECCBA" w14:textId="77777777">
            <w:pPr>
              <w:spacing w:before="120" w:after="120" w:line="276" w:lineRule="auto"/>
              <w:jc w:val="center"/>
              <w:rPr>
                <w:rFonts w:ascii="Times New Roman" w:hAnsi="Times New Roman" w:cs="Times New Roman"/>
                <w:b/>
                <w:bCs/>
              </w:rPr>
            </w:pPr>
          </w:p>
          <w:p w:rsidRPr="00AE1B2B" w:rsidR="009D3FB5" w:rsidP="00163B94" w:rsidRDefault="009D3FB5" w14:paraId="329BA046" w14:textId="28C13519">
            <w:pPr>
              <w:spacing w:before="120" w:after="120" w:line="276" w:lineRule="auto"/>
              <w:jc w:val="center"/>
              <w:rPr>
                <w:rFonts w:ascii="Times New Roman" w:hAnsi="Times New Roman" w:cs="Times New Roman"/>
                <w:b/>
                <w:bCs/>
              </w:rPr>
            </w:pPr>
            <w:r w:rsidRPr="00AE1B2B">
              <w:rPr>
                <w:rFonts w:ascii="Times New Roman" w:hAnsi="Times New Roman" w:cs="Times New Roman"/>
                <w:b/>
                <w:bCs/>
              </w:rPr>
              <w:t>Juzgado Mixto</w:t>
            </w:r>
          </w:p>
        </w:tc>
        <w:tc>
          <w:tcPr>
            <w:tcW w:w="1767" w:type="pct"/>
            <w:shd w:val="clear" w:color="auto" w:fill="002060"/>
            <w:vAlign w:val="center"/>
          </w:tcPr>
          <w:p w:rsidRPr="00AE1B2B" w:rsidR="009D3FB5" w:rsidP="00163B94" w:rsidRDefault="009D3FB5" w14:paraId="17607A45" w14:textId="77777777">
            <w:pPr>
              <w:spacing w:before="120" w:after="120" w:line="276" w:lineRule="auto"/>
              <w:jc w:val="center"/>
              <w:rPr>
                <w:rFonts w:ascii="Times New Roman" w:hAnsi="Times New Roman" w:cs="Times New Roman"/>
                <w:b/>
                <w:bCs/>
              </w:rPr>
            </w:pPr>
            <w:r w:rsidRPr="00AE1B2B">
              <w:rPr>
                <w:rFonts w:ascii="Times New Roman" w:hAnsi="Times New Roman" w:cs="Times New Roman"/>
                <w:b/>
                <w:bCs/>
              </w:rPr>
              <w:t>Estructura orgánica funcional actual del despacho</w:t>
            </w:r>
          </w:p>
        </w:tc>
        <w:tc>
          <w:tcPr>
            <w:tcW w:w="2113" w:type="pct"/>
            <w:shd w:val="clear" w:color="auto" w:fill="002060"/>
            <w:vAlign w:val="center"/>
          </w:tcPr>
          <w:p w:rsidRPr="00AE1B2B" w:rsidR="009D3FB5" w:rsidP="00163B94" w:rsidRDefault="009D3FB5" w14:paraId="6B3F5E90" w14:textId="77777777">
            <w:pPr>
              <w:spacing w:before="120" w:after="120" w:line="276" w:lineRule="auto"/>
              <w:jc w:val="center"/>
              <w:rPr>
                <w:rFonts w:ascii="Times New Roman" w:hAnsi="Times New Roman" w:cs="Times New Roman"/>
                <w:b/>
              </w:rPr>
            </w:pPr>
            <w:r w:rsidRPr="00AE1B2B">
              <w:rPr>
                <w:rFonts w:ascii="Times New Roman" w:hAnsi="Times New Roman" w:cs="Times New Roman"/>
                <w:b/>
              </w:rPr>
              <w:t>Estructura Propuesta</w:t>
            </w:r>
          </w:p>
        </w:tc>
      </w:tr>
      <w:tr w:rsidRPr="00AE1B2B" w:rsidR="00AE1B2B" w:rsidTr="009D3FB5" w14:paraId="6B1CBE2F" w14:textId="77777777">
        <w:trPr>
          <w:jc w:val="center"/>
        </w:trPr>
        <w:tc>
          <w:tcPr>
            <w:tcW w:w="1121" w:type="pct"/>
            <w:shd w:val="clear" w:color="auto" w:fill="auto"/>
            <w:vAlign w:val="center"/>
          </w:tcPr>
          <w:p w:rsidRPr="00AE1B2B" w:rsidR="009D3FB5" w:rsidP="00163B94" w:rsidRDefault="009D3FB5" w14:paraId="36090022" w14:textId="77777777">
            <w:pPr>
              <w:spacing w:before="120" w:after="120" w:line="276" w:lineRule="auto"/>
              <w:rPr>
                <w:rFonts w:ascii="Times New Roman" w:hAnsi="Times New Roman" w:cs="Times New Roman"/>
              </w:rPr>
            </w:pPr>
            <w:r w:rsidRPr="00AE1B2B">
              <w:rPr>
                <w:rFonts w:ascii="Times New Roman" w:hAnsi="Times New Roman" w:cs="Times New Roman"/>
              </w:rPr>
              <w:t>Juzgado de Familia y Violencia Doméstica Grecia</w:t>
            </w:r>
          </w:p>
        </w:tc>
        <w:tc>
          <w:tcPr>
            <w:tcW w:w="1767" w:type="pct"/>
            <w:shd w:val="clear" w:color="auto" w:fill="auto"/>
            <w:vAlign w:val="center"/>
          </w:tcPr>
          <w:p w:rsidRPr="00AE1B2B" w:rsidR="009D3FB5" w:rsidP="00163B94" w:rsidRDefault="009D3FB5" w14:paraId="1256F7BD" w14:textId="77777777">
            <w:pPr>
              <w:spacing w:before="120" w:after="120" w:line="276" w:lineRule="auto"/>
              <w:rPr>
                <w:rFonts w:ascii="Times New Roman" w:hAnsi="Times New Roman" w:cs="Times New Roman"/>
              </w:rPr>
            </w:pPr>
            <w:r w:rsidRPr="00AE1B2B">
              <w:rPr>
                <w:rFonts w:ascii="Times New Roman" w:hAnsi="Times New Roman" w:cs="Times New Roman"/>
              </w:rPr>
              <w:t>2 Juezas/ces 3</w:t>
            </w:r>
          </w:p>
          <w:p w:rsidRPr="00AE1B2B" w:rsidR="009D3FB5" w:rsidP="00163B94" w:rsidRDefault="009D3FB5" w14:paraId="2D6AC9E7" w14:textId="77777777">
            <w:pPr>
              <w:spacing w:before="120" w:after="120" w:line="276" w:lineRule="auto"/>
              <w:rPr>
                <w:rFonts w:ascii="Times New Roman" w:hAnsi="Times New Roman" w:cs="Times New Roman"/>
              </w:rPr>
            </w:pPr>
            <w:r w:rsidRPr="00AE1B2B">
              <w:rPr>
                <w:rFonts w:ascii="Times New Roman" w:hAnsi="Times New Roman" w:cs="Times New Roman"/>
              </w:rPr>
              <w:t>1 Coordinadora/or Judicial 2</w:t>
            </w:r>
          </w:p>
          <w:p w:rsidRPr="00AE1B2B" w:rsidR="009D3FB5" w:rsidP="00163B94" w:rsidRDefault="009D3FB5" w14:paraId="74D07E41" w14:textId="77777777">
            <w:pPr>
              <w:spacing w:before="120" w:after="120" w:line="276" w:lineRule="auto"/>
              <w:rPr>
                <w:rFonts w:ascii="Times New Roman" w:hAnsi="Times New Roman" w:cs="Times New Roman"/>
              </w:rPr>
            </w:pPr>
            <w:r w:rsidRPr="00AE1B2B">
              <w:rPr>
                <w:rFonts w:ascii="Times New Roman" w:hAnsi="Times New Roman" w:cs="Times New Roman"/>
              </w:rPr>
              <w:t>3 Técnicas/os Judiciales 2</w:t>
            </w:r>
          </w:p>
        </w:tc>
        <w:tc>
          <w:tcPr>
            <w:tcW w:w="2113" w:type="pct"/>
            <w:vAlign w:val="center"/>
          </w:tcPr>
          <w:p w:rsidRPr="00AE1B2B" w:rsidR="009D3FB5" w:rsidP="00163B94" w:rsidRDefault="009D3FB5" w14:paraId="7D886D8F" w14:textId="77777777">
            <w:pPr>
              <w:spacing w:before="120" w:after="120" w:line="276" w:lineRule="auto"/>
              <w:rPr>
                <w:rFonts w:ascii="Times New Roman" w:hAnsi="Times New Roman" w:cs="Times New Roman"/>
              </w:rPr>
            </w:pPr>
            <w:r w:rsidRPr="00AE1B2B">
              <w:rPr>
                <w:rFonts w:ascii="Times New Roman" w:hAnsi="Times New Roman" w:cs="Times New Roman"/>
              </w:rPr>
              <w:t>2 Juezas/ces 3</w:t>
            </w:r>
          </w:p>
          <w:p w:rsidRPr="00AE1B2B" w:rsidR="009D3FB5" w:rsidP="00163B94" w:rsidRDefault="009D3FB5" w14:paraId="75E00128" w14:textId="77777777">
            <w:pPr>
              <w:spacing w:before="120" w:after="120" w:line="276" w:lineRule="auto"/>
              <w:rPr>
                <w:rFonts w:ascii="Times New Roman" w:hAnsi="Times New Roman" w:cs="Times New Roman"/>
              </w:rPr>
            </w:pPr>
            <w:r w:rsidRPr="00AE1B2B">
              <w:rPr>
                <w:rFonts w:ascii="Times New Roman" w:hAnsi="Times New Roman" w:cs="Times New Roman"/>
              </w:rPr>
              <w:t>1 Coordinadora/or Judicial 2</w:t>
            </w:r>
          </w:p>
          <w:p w:rsidRPr="00AE1B2B" w:rsidR="009D3FB5" w:rsidP="00163B94" w:rsidRDefault="009D3FB5" w14:paraId="2D993F43" w14:textId="77777777">
            <w:pPr>
              <w:spacing w:before="120" w:after="120" w:line="276" w:lineRule="auto"/>
              <w:rPr>
                <w:rFonts w:ascii="Times New Roman" w:hAnsi="Times New Roman" w:cs="Times New Roman"/>
              </w:rPr>
            </w:pPr>
            <w:r w:rsidRPr="00AE1B2B">
              <w:rPr>
                <w:rFonts w:ascii="Times New Roman" w:hAnsi="Times New Roman" w:cs="Times New Roman"/>
              </w:rPr>
              <w:t>4 Técnicas/os Judiciales 2 (</w:t>
            </w:r>
            <w:r w:rsidRPr="00AE1B2B">
              <w:rPr>
                <w:rFonts w:ascii="Times New Roman" w:hAnsi="Times New Roman" w:cs="Times New Roman"/>
                <w:i/>
              </w:rPr>
              <w:t xml:space="preserve">debe </w:t>
            </w:r>
            <w:r w:rsidRPr="00AE1B2B">
              <w:rPr>
                <w:rFonts w:ascii="Times New Roman" w:hAnsi="Times New Roman" w:cs="Times New Roman"/>
                <w:i/>
                <w:iCs/>
              </w:rPr>
              <w:t>crearse</w:t>
            </w:r>
            <w:r w:rsidRPr="00AE1B2B">
              <w:rPr>
                <w:rFonts w:ascii="Times New Roman" w:hAnsi="Times New Roman" w:cs="Times New Roman"/>
                <w:i/>
              </w:rPr>
              <w:t xml:space="preserve"> una plaza </w:t>
            </w:r>
            <w:r w:rsidRPr="00AE1B2B">
              <w:rPr>
                <w:rFonts w:ascii="Times New Roman" w:hAnsi="Times New Roman" w:cs="Times New Roman"/>
                <w:i/>
                <w:iCs/>
              </w:rPr>
              <w:t>de técnica o técnico judicial 2</w:t>
            </w:r>
            <w:r w:rsidRPr="00AE1B2B">
              <w:rPr>
                <w:rFonts w:ascii="Times New Roman" w:hAnsi="Times New Roman" w:cs="Times New Roman"/>
              </w:rPr>
              <w:t>)</w:t>
            </w:r>
          </w:p>
        </w:tc>
      </w:tr>
    </w:tbl>
    <w:p w:rsidRPr="00AE1B2B" w:rsidR="009D3FB5" w:rsidP="00163B94" w:rsidRDefault="009D3FB5" w14:paraId="48B910E7"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w:t>
      </w:r>
    </w:p>
    <w:p w:rsidRPr="00AE1B2B" w:rsidR="009D3FB5" w:rsidP="00163B94" w:rsidRDefault="009D3FB5" w14:paraId="7ECA434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propuesta en el Juzgado de Familia y Violencia Doméstica de Grecia conlleva la creación de una plaza extraordinaria de Técnico Judicial 2 para completar la estructura de trabajo de este despacho, su impacto económico se calcula en el siguiente cuadro.</w:t>
      </w:r>
    </w:p>
    <w:p w:rsidRPr="00AE1B2B" w:rsidR="009D3FB5" w:rsidP="00163B94" w:rsidRDefault="009D3FB5" w14:paraId="308336E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4DE4CE8" w14:textId="01E82575">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43</w:t>
      </w:r>
      <w:r w:rsidRPr="00AE1B2B">
        <w:rPr>
          <w:rFonts w:ascii="Times New Roman" w:hAnsi="Times New Roman" w:cs="Times New Roman"/>
          <w:sz w:val="26"/>
          <w:szCs w:val="26"/>
        </w:rPr>
        <w:fldChar w:fldCharType="end"/>
      </w:r>
    </w:p>
    <w:p w:rsidRPr="00AE1B2B" w:rsidR="009D3FB5" w:rsidP="00163B94" w:rsidRDefault="009D3FB5" w14:paraId="4F3925F7"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Costo de estructura propuesta Juzgado de Familia y Violencia Doméstica de Grecia.</w:t>
      </w:r>
    </w:p>
    <w:tbl>
      <w:tblPr>
        <w:tblW w:w="5000" w:type="pct"/>
        <w:tblCellMar>
          <w:left w:w="70" w:type="dxa"/>
          <w:right w:w="70" w:type="dxa"/>
        </w:tblCellMar>
        <w:tblLook w:val="04A0" w:firstRow="1" w:lastRow="0" w:firstColumn="1" w:lastColumn="0" w:noHBand="0" w:noVBand="1"/>
      </w:tblPr>
      <w:tblGrid>
        <w:gridCol w:w="2851"/>
        <w:gridCol w:w="1980"/>
        <w:gridCol w:w="1926"/>
        <w:gridCol w:w="2076"/>
      </w:tblGrid>
      <w:tr w:rsidRPr="00AE1B2B" w:rsidR="00AE1B2B" w:rsidTr="009D3FB5" w14:paraId="08A33A06" w14:textId="77777777">
        <w:trPr>
          <w:cantSplit/>
          <w:trHeight w:val="617"/>
          <w:tblHeader/>
        </w:trPr>
        <w:tc>
          <w:tcPr>
            <w:tcW w:w="1614" w:type="pct"/>
            <w:tcBorders>
              <w:bottom w:val="single" w:color="auto" w:sz="4" w:space="0"/>
              <w:right w:val="single" w:color="auto" w:sz="4" w:space="0"/>
            </w:tcBorders>
            <w:shd w:val="clear" w:color="auto" w:fill="auto"/>
            <w:vAlign w:val="bottom"/>
            <w:hideMark/>
          </w:tcPr>
          <w:p w:rsidRPr="00AE1B2B" w:rsidR="009D3FB5" w:rsidP="00163B94" w:rsidRDefault="009D3FB5" w14:paraId="5E724BB8" w14:textId="77777777">
            <w:pPr>
              <w:spacing w:before="120" w:after="120" w:line="276" w:lineRule="auto"/>
              <w:rPr>
                <w:rFonts w:ascii="Times New Roman" w:hAnsi="Times New Roman" w:eastAsia="Times New Roman" w:cs="Times New Roman"/>
                <w:lang w:eastAsia="es-CR"/>
              </w:rPr>
            </w:pPr>
          </w:p>
        </w:tc>
        <w:tc>
          <w:tcPr>
            <w:tcW w:w="1121"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61CFCDA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Clase ancha</w:t>
            </w:r>
          </w:p>
        </w:tc>
        <w:tc>
          <w:tcPr>
            <w:tcW w:w="1090"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7C104FA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Clase angosta</w:t>
            </w:r>
          </w:p>
        </w:tc>
        <w:tc>
          <w:tcPr>
            <w:tcW w:w="1175"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18CCECC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Costo del puesto anual</w:t>
            </w:r>
          </w:p>
        </w:tc>
      </w:tr>
      <w:tr w:rsidRPr="00AE1B2B" w:rsidR="00AE1B2B" w:rsidTr="009D3FB5" w14:paraId="26CDF79B" w14:textId="77777777">
        <w:trPr>
          <w:trHeight w:val="461"/>
        </w:trPr>
        <w:tc>
          <w:tcPr>
            <w:tcW w:w="1614" w:type="pct"/>
            <w:tcBorders>
              <w:top w:val="nil"/>
              <w:left w:val="single" w:color="auto" w:sz="4" w:space="0"/>
              <w:bottom w:val="single" w:color="auto" w:sz="4" w:space="0"/>
              <w:right w:val="single" w:color="auto" w:sz="4" w:space="0"/>
            </w:tcBorders>
            <w:shd w:val="clear" w:color="auto" w:fill="002060"/>
            <w:vAlign w:val="center"/>
          </w:tcPr>
          <w:p w:rsidRPr="00AE1B2B" w:rsidR="009D3FB5" w:rsidP="00163B94" w:rsidRDefault="009D3FB5" w14:paraId="78F5BB7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cs="Times New Roman"/>
                <w:b/>
              </w:rPr>
              <w:t>Plaza nueva extraordinaria</w:t>
            </w:r>
          </w:p>
        </w:tc>
        <w:tc>
          <w:tcPr>
            <w:tcW w:w="1121"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0625A26B" w14:textId="77777777">
            <w:pPr>
              <w:spacing w:before="120" w:after="120" w:line="276" w:lineRule="auto"/>
              <w:jc w:val="center"/>
              <w:rPr>
                <w:rFonts w:ascii="Times New Roman" w:hAnsi="Times New Roman" w:eastAsia="Times New Roman" w:cs="Times New Roman"/>
                <w:lang w:eastAsia="ar-SA"/>
              </w:rPr>
            </w:pPr>
            <w:r w:rsidRPr="00AE1B2B">
              <w:rPr>
                <w:rFonts w:ascii="Times New Roman" w:hAnsi="Times New Roman" w:cs="Times New Roman"/>
              </w:rPr>
              <w:t>Técnico Judicial 2</w:t>
            </w:r>
          </w:p>
        </w:tc>
        <w:tc>
          <w:tcPr>
            <w:tcW w:w="1090"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6CD4A2C8" w14:textId="77777777">
            <w:pPr>
              <w:spacing w:before="120" w:after="120" w:line="276" w:lineRule="auto"/>
              <w:jc w:val="center"/>
              <w:rPr>
                <w:rFonts w:ascii="Times New Roman" w:hAnsi="Times New Roman" w:eastAsia="Times New Roman" w:cs="Times New Roman"/>
                <w:lang w:eastAsia="ar-SA"/>
              </w:rPr>
            </w:pPr>
            <w:r w:rsidRPr="00AE1B2B">
              <w:rPr>
                <w:rFonts w:ascii="Times New Roman" w:hAnsi="Times New Roman" w:cs="Times New Roman"/>
              </w:rPr>
              <w:t>Técnico Judicial</w:t>
            </w:r>
          </w:p>
        </w:tc>
        <w:tc>
          <w:tcPr>
            <w:tcW w:w="1175"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3475D089" w14:textId="77777777">
            <w:pPr>
              <w:spacing w:before="120" w:after="120" w:line="276" w:lineRule="auto"/>
              <w:jc w:val="center"/>
              <w:rPr>
                <w:rFonts w:ascii="Times New Roman" w:hAnsi="Times New Roman" w:eastAsia="Times New Roman" w:cs="Times New Roman"/>
                <w:lang w:eastAsia="ar-SA"/>
              </w:rPr>
            </w:pPr>
            <w:r w:rsidRPr="00AE1B2B">
              <w:rPr>
                <w:rFonts w:ascii="Times New Roman" w:hAnsi="Times New Roman" w:cs="Times New Roman"/>
              </w:rPr>
              <w:t>₡14.520.000</w:t>
            </w:r>
          </w:p>
        </w:tc>
      </w:tr>
    </w:tbl>
    <w:p w:rsidRPr="00AE1B2B" w:rsidR="009D3FB5" w:rsidP="00163B94" w:rsidRDefault="009D3FB5" w14:paraId="46A0B4FF"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Modernización Institucional de la Dirección de Planificación. </w:t>
      </w:r>
    </w:p>
    <w:p w:rsidRPr="00AE1B2B" w:rsidR="009D3FB5" w:rsidP="00163B94" w:rsidRDefault="009D3FB5" w14:paraId="1E4C839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861E3D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costo anual para hacerle frente a la inclusión del nuevo puesto extraordinario es de ₡14.520.000.</w:t>
      </w:r>
    </w:p>
    <w:p w:rsidRPr="00AE1B2B" w:rsidR="009D3FB5" w:rsidP="00163B94" w:rsidRDefault="009D3FB5" w14:paraId="5E6FA09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B701B0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 de Trabajo y Familia de Hatillo, San Sebastián y Alajuelita</w:t>
      </w:r>
    </w:p>
    <w:p w:rsidRPr="00AE1B2B" w:rsidR="009D3FB5" w:rsidP="00163B94" w:rsidRDefault="009D3FB5" w14:paraId="16C94CB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El Juzgado de Trabajo y Familia de Hatillo, San Sebastián y Alajuelita registra una entrada mensual promedio de 83 asuntos en materia de Familia, en el caso de la materia Laboral registra una entrada promedio mensual de 20 casos.</w:t>
      </w:r>
    </w:p>
    <w:p w:rsidRPr="00AE1B2B" w:rsidR="009D3FB5" w:rsidP="00163B94" w:rsidRDefault="009D3FB5" w14:paraId="4390971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especialización de esta oficina representaría un crecimiento de plazas y de incremento en los gastos variables no resulta viable, debido a la situación económica del país y las restricciones en los gastos, por lo que la misma se descarta sin cambiar la estructura funcional del despacho. Además, la especialización de esta oficina fue analizada con detalle en las formulaciones presupuestarias del 2017-2019 con la entrada en vigencia de las reformas Civil y Trabajo, justificándose a partir de 2018 la especialización únicamente de la materia Civil.</w:t>
      </w:r>
    </w:p>
    <w:p w:rsidRPr="00AE1B2B" w:rsidR="009D3FB5" w:rsidP="00163B94" w:rsidRDefault="009D3FB5" w14:paraId="1D01374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2B37F0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Juzgados de Familia (mixtos de 3 materias)</w:t>
      </w:r>
    </w:p>
    <w:p w:rsidRPr="00AE1B2B" w:rsidR="009D3FB5" w:rsidP="00163B94" w:rsidRDefault="009D3FB5" w14:paraId="4B1D2BA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este bloque de despachos se ubican tres juzgados: Familia, Penal Juvenil y Violencia Doméstica de Cañas; Familia, Penal Juvenil y Violencia Doméstica Turrialba; y Familia, Penal Juvenil y Violencia Doméstica Quepos.</w:t>
      </w:r>
    </w:p>
    <w:p w:rsidRPr="00AE1B2B" w:rsidR="009D3FB5" w:rsidP="00163B94" w:rsidRDefault="009D3FB5" w14:paraId="391F6B2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55F4CDB" w14:textId="2DB0584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Al tratarse de despachos que conocen varias materias, los cálculos se realizaron sobre la carga laboral total, como se muestra en el siguiente cuadro.</w:t>
      </w:r>
    </w:p>
    <w:p w:rsidRPr="00AE1B2B" w:rsidR="002241C3" w:rsidP="00163B94" w:rsidRDefault="002241C3" w14:paraId="61376E83" w14:textId="269785D0">
      <w:pPr>
        <w:spacing w:before="120" w:after="120"/>
        <w:ind w:left="851" w:right="851" w:firstLine="709"/>
        <w:jc w:val="both"/>
        <w:rPr>
          <w:rFonts w:ascii="Times New Roman" w:hAnsi="Times New Roman" w:cs="Times New Roman"/>
          <w:sz w:val="26"/>
          <w:szCs w:val="26"/>
        </w:rPr>
      </w:pPr>
    </w:p>
    <w:p w:rsidRPr="00AE1B2B" w:rsidR="002241C3" w:rsidP="00163B94" w:rsidRDefault="002241C3" w14:paraId="1DF53775" w14:textId="635D5480">
      <w:pPr>
        <w:spacing w:before="120" w:after="120"/>
        <w:ind w:left="851" w:right="851" w:firstLine="709"/>
        <w:jc w:val="both"/>
        <w:rPr>
          <w:rFonts w:ascii="Times New Roman" w:hAnsi="Times New Roman" w:cs="Times New Roman"/>
          <w:sz w:val="26"/>
          <w:szCs w:val="26"/>
        </w:rPr>
      </w:pPr>
    </w:p>
    <w:p w:rsidRPr="00AE1B2B" w:rsidR="002241C3" w:rsidP="00163B94" w:rsidRDefault="002241C3" w14:paraId="0E7F99E8" w14:textId="503FFFDE">
      <w:pPr>
        <w:spacing w:before="120" w:after="120"/>
        <w:ind w:left="851" w:right="851" w:firstLine="709"/>
        <w:jc w:val="both"/>
        <w:rPr>
          <w:rFonts w:ascii="Times New Roman" w:hAnsi="Times New Roman" w:cs="Times New Roman"/>
          <w:sz w:val="26"/>
          <w:szCs w:val="26"/>
        </w:rPr>
      </w:pPr>
    </w:p>
    <w:p w:rsidRPr="00AE1B2B" w:rsidR="002241C3" w:rsidP="00163B94" w:rsidRDefault="002241C3" w14:paraId="4247D665" w14:textId="58F8A600">
      <w:pPr>
        <w:spacing w:before="120" w:after="120"/>
        <w:ind w:left="851" w:right="851" w:firstLine="709"/>
        <w:jc w:val="both"/>
        <w:rPr>
          <w:rFonts w:ascii="Times New Roman" w:hAnsi="Times New Roman" w:cs="Times New Roman"/>
          <w:sz w:val="26"/>
          <w:szCs w:val="26"/>
        </w:rPr>
      </w:pPr>
    </w:p>
    <w:p w:rsidRPr="00AE1B2B" w:rsidR="002241C3" w:rsidP="00163B94" w:rsidRDefault="002241C3" w14:paraId="56052883" w14:textId="1EF0139E">
      <w:pPr>
        <w:spacing w:before="120" w:after="120"/>
        <w:ind w:left="851" w:right="851" w:firstLine="709"/>
        <w:jc w:val="both"/>
        <w:rPr>
          <w:rFonts w:ascii="Times New Roman" w:hAnsi="Times New Roman" w:cs="Times New Roman"/>
          <w:sz w:val="26"/>
          <w:szCs w:val="26"/>
        </w:rPr>
      </w:pPr>
    </w:p>
    <w:p w:rsidRPr="00AE1B2B" w:rsidR="002241C3" w:rsidP="00163B94" w:rsidRDefault="002241C3" w14:paraId="7B2D48B2" w14:textId="134ACCA1">
      <w:pPr>
        <w:spacing w:before="120" w:after="120"/>
        <w:ind w:left="851" w:right="851" w:firstLine="709"/>
        <w:jc w:val="both"/>
        <w:rPr>
          <w:rFonts w:ascii="Times New Roman" w:hAnsi="Times New Roman" w:cs="Times New Roman"/>
          <w:sz w:val="26"/>
          <w:szCs w:val="26"/>
        </w:rPr>
      </w:pPr>
    </w:p>
    <w:p w:rsidRPr="00AE1B2B" w:rsidR="002241C3" w:rsidP="00163B94" w:rsidRDefault="002241C3" w14:paraId="3798E89F" w14:textId="0020F515">
      <w:pPr>
        <w:spacing w:before="120" w:after="120"/>
        <w:ind w:left="851" w:right="851" w:firstLine="709"/>
        <w:jc w:val="both"/>
        <w:rPr>
          <w:rFonts w:ascii="Times New Roman" w:hAnsi="Times New Roman" w:cs="Times New Roman"/>
          <w:sz w:val="26"/>
          <w:szCs w:val="26"/>
        </w:rPr>
      </w:pPr>
    </w:p>
    <w:p w:rsidRPr="00AE1B2B" w:rsidR="002241C3" w:rsidP="00163B94" w:rsidRDefault="002241C3" w14:paraId="0B66C78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414272E"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44</w:t>
      </w:r>
      <w:r w:rsidRPr="00AE1B2B">
        <w:rPr>
          <w:rFonts w:ascii="Times New Roman" w:hAnsi="Times New Roman" w:cs="Times New Roman"/>
          <w:sz w:val="26"/>
          <w:szCs w:val="26"/>
        </w:rPr>
        <w:fldChar w:fldCharType="end"/>
      </w:r>
    </w:p>
    <w:p w:rsidRPr="00AE1B2B" w:rsidR="009D3FB5" w:rsidP="00163B94" w:rsidRDefault="009D3FB5" w14:paraId="042FDD57"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Carga de trabajo juzgado de Familia mixtos de tres materias 2015 a 2019.</w:t>
      </w:r>
    </w:p>
    <w:tbl>
      <w:tblPr>
        <w:tblW w:w="6077" w:type="pct"/>
        <w:tblInd w:w="-856" w:type="dxa"/>
        <w:tblCellMar>
          <w:left w:w="70" w:type="dxa"/>
          <w:right w:w="70" w:type="dxa"/>
        </w:tblCellMar>
        <w:tblLook w:val="04A0" w:firstRow="1" w:lastRow="0" w:firstColumn="1" w:lastColumn="0" w:noHBand="0" w:noVBand="1"/>
      </w:tblPr>
      <w:tblGrid>
        <w:gridCol w:w="1204"/>
        <w:gridCol w:w="1204"/>
        <w:gridCol w:w="691"/>
        <w:gridCol w:w="863"/>
        <w:gridCol w:w="1191"/>
        <w:gridCol w:w="1032"/>
        <w:gridCol w:w="1350"/>
        <w:gridCol w:w="1144"/>
        <w:gridCol w:w="1032"/>
        <w:gridCol w:w="1019"/>
      </w:tblGrid>
      <w:tr w:rsidRPr="00AE1B2B" w:rsidR="00AE1B2B" w:rsidTr="009D3FB5" w14:paraId="100140AC" w14:textId="77777777">
        <w:trPr>
          <w:trHeight w:val="330"/>
          <w:tblHeader/>
        </w:trPr>
        <w:tc>
          <w:tcPr>
            <w:tcW w:w="561" w:type="pct"/>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3B4B0CF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Despacho</w:t>
            </w:r>
          </w:p>
        </w:tc>
        <w:tc>
          <w:tcPr>
            <w:tcW w:w="561" w:type="pct"/>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493D996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Materia</w:t>
            </w:r>
          </w:p>
        </w:tc>
        <w:tc>
          <w:tcPr>
            <w:tcW w:w="723" w:type="pct"/>
            <w:gridSpan w:val="2"/>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5B32E24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Recurso humano actual</w:t>
            </w:r>
          </w:p>
        </w:tc>
        <w:tc>
          <w:tcPr>
            <w:tcW w:w="555" w:type="pct"/>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4A2094A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dedicado por materia por juez</w:t>
            </w:r>
          </w:p>
        </w:tc>
        <w:tc>
          <w:tcPr>
            <w:tcW w:w="481" w:type="pct"/>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5EF41EC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 al mes</w:t>
            </w:r>
          </w:p>
        </w:tc>
        <w:tc>
          <w:tcPr>
            <w:tcW w:w="629" w:type="pct"/>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564E0DD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Terminados al mes</w:t>
            </w:r>
          </w:p>
        </w:tc>
        <w:tc>
          <w:tcPr>
            <w:tcW w:w="533" w:type="pct"/>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0B75BE8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 al mes por persona juzgadora</w:t>
            </w:r>
          </w:p>
        </w:tc>
        <w:tc>
          <w:tcPr>
            <w:tcW w:w="481" w:type="pct"/>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3F1A4D0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 al mes por persona Tec. Jud. Trámite</w:t>
            </w:r>
          </w:p>
        </w:tc>
        <w:tc>
          <w:tcPr>
            <w:tcW w:w="475" w:type="pct"/>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6F0AE50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Relación salida entre entrada</w:t>
            </w:r>
          </w:p>
        </w:tc>
      </w:tr>
      <w:tr w:rsidRPr="00AE1B2B" w:rsidR="00AE1B2B" w:rsidTr="009D3FB5" w14:paraId="505AB236" w14:textId="77777777">
        <w:trPr>
          <w:trHeight w:val="330"/>
        </w:trPr>
        <w:tc>
          <w:tcPr>
            <w:tcW w:w="561" w:type="pct"/>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1B1AB52B" w14:textId="77777777">
            <w:pPr>
              <w:spacing w:before="120" w:after="120" w:line="276" w:lineRule="auto"/>
              <w:rPr>
                <w:rFonts w:ascii="Times New Roman" w:hAnsi="Times New Roman" w:eastAsia="Times New Roman" w:cs="Times New Roman"/>
                <w:b/>
                <w:bCs/>
                <w:lang w:eastAsia="es-CR"/>
              </w:rPr>
            </w:pPr>
          </w:p>
        </w:tc>
        <w:tc>
          <w:tcPr>
            <w:tcW w:w="561" w:type="pct"/>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6AA4EC50" w14:textId="77777777">
            <w:pPr>
              <w:spacing w:before="120" w:after="120" w:line="276" w:lineRule="auto"/>
              <w:rPr>
                <w:rFonts w:ascii="Times New Roman" w:hAnsi="Times New Roman" w:eastAsia="Times New Roman" w:cs="Times New Roman"/>
                <w:b/>
                <w:bCs/>
                <w:lang w:eastAsia="es-CR"/>
              </w:rPr>
            </w:pPr>
          </w:p>
        </w:tc>
        <w:tc>
          <w:tcPr>
            <w:tcW w:w="322" w:type="pct"/>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540AB40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Jueza o Juez</w:t>
            </w:r>
          </w:p>
        </w:tc>
        <w:tc>
          <w:tcPr>
            <w:tcW w:w="402" w:type="pct"/>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39A9006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Téc. Jud. de trámite</w:t>
            </w:r>
          </w:p>
        </w:tc>
        <w:tc>
          <w:tcPr>
            <w:tcW w:w="555" w:type="pct"/>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238242EC" w14:textId="77777777">
            <w:pPr>
              <w:spacing w:before="120" w:after="120" w:line="276" w:lineRule="auto"/>
              <w:rPr>
                <w:rFonts w:ascii="Times New Roman" w:hAnsi="Times New Roman" w:eastAsia="Times New Roman" w:cs="Times New Roman"/>
                <w:b/>
                <w:bCs/>
                <w:lang w:eastAsia="es-CR"/>
              </w:rPr>
            </w:pPr>
          </w:p>
        </w:tc>
        <w:tc>
          <w:tcPr>
            <w:tcW w:w="481" w:type="pct"/>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574E0BBC" w14:textId="77777777">
            <w:pPr>
              <w:spacing w:before="120" w:after="120" w:line="276" w:lineRule="auto"/>
              <w:rPr>
                <w:rFonts w:ascii="Times New Roman" w:hAnsi="Times New Roman" w:eastAsia="Times New Roman" w:cs="Times New Roman"/>
                <w:b/>
                <w:bCs/>
                <w:lang w:eastAsia="es-CR"/>
              </w:rPr>
            </w:pPr>
          </w:p>
        </w:tc>
        <w:tc>
          <w:tcPr>
            <w:tcW w:w="629" w:type="pct"/>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68250762" w14:textId="77777777">
            <w:pPr>
              <w:spacing w:before="120" w:after="120" w:line="276" w:lineRule="auto"/>
              <w:rPr>
                <w:rFonts w:ascii="Times New Roman" w:hAnsi="Times New Roman" w:eastAsia="Times New Roman" w:cs="Times New Roman"/>
                <w:b/>
                <w:bCs/>
                <w:lang w:eastAsia="es-CR"/>
              </w:rPr>
            </w:pPr>
          </w:p>
        </w:tc>
        <w:tc>
          <w:tcPr>
            <w:tcW w:w="533" w:type="pct"/>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6F991D81" w14:textId="77777777">
            <w:pPr>
              <w:spacing w:before="120" w:after="120" w:line="276" w:lineRule="auto"/>
              <w:rPr>
                <w:rFonts w:ascii="Times New Roman" w:hAnsi="Times New Roman" w:eastAsia="Times New Roman" w:cs="Times New Roman"/>
                <w:b/>
                <w:bCs/>
                <w:lang w:eastAsia="es-CR"/>
              </w:rPr>
            </w:pPr>
          </w:p>
        </w:tc>
        <w:tc>
          <w:tcPr>
            <w:tcW w:w="481" w:type="pct"/>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600DD513" w14:textId="77777777">
            <w:pPr>
              <w:spacing w:before="120" w:after="120" w:line="276" w:lineRule="auto"/>
              <w:rPr>
                <w:rFonts w:ascii="Times New Roman" w:hAnsi="Times New Roman" w:eastAsia="Times New Roman" w:cs="Times New Roman"/>
                <w:b/>
                <w:bCs/>
                <w:lang w:eastAsia="es-CR"/>
              </w:rPr>
            </w:pPr>
          </w:p>
        </w:tc>
        <w:tc>
          <w:tcPr>
            <w:tcW w:w="475" w:type="pct"/>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0DB41372" w14:textId="77777777">
            <w:pPr>
              <w:spacing w:before="120" w:after="120" w:line="276" w:lineRule="auto"/>
              <w:rPr>
                <w:rFonts w:ascii="Times New Roman" w:hAnsi="Times New Roman" w:eastAsia="Times New Roman" w:cs="Times New Roman"/>
                <w:b/>
                <w:bCs/>
                <w:lang w:eastAsia="es-CR"/>
              </w:rPr>
            </w:pPr>
          </w:p>
        </w:tc>
      </w:tr>
      <w:tr w:rsidRPr="00AE1B2B" w:rsidR="00AE1B2B" w:rsidTr="009D3FB5" w14:paraId="6C8F57EB" w14:textId="77777777">
        <w:trPr>
          <w:trHeight w:val="677"/>
        </w:trPr>
        <w:tc>
          <w:tcPr>
            <w:tcW w:w="561" w:type="pct"/>
            <w:vMerge w:val="restart"/>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4273AB7E"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Penal Juvenil y Viol. Dom. Cañas</w:t>
            </w:r>
          </w:p>
        </w:tc>
        <w:tc>
          <w:tcPr>
            <w:tcW w:w="561"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6A86CD7F"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322" w:type="pct"/>
            <w:vMerge w:val="restart"/>
            <w:tcBorders>
              <w:top w:val="nil"/>
              <w:left w:val="nil"/>
              <w:right w:val="single" w:color="auto" w:sz="4" w:space="0"/>
            </w:tcBorders>
            <w:shd w:val="clear" w:color="auto" w:fill="D9D9D9" w:themeFill="background1" w:themeFillShade="D9"/>
            <w:noWrap/>
            <w:vAlign w:val="center"/>
            <w:hideMark/>
          </w:tcPr>
          <w:p w:rsidRPr="00AE1B2B" w:rsidR="009D3FB5" w:rsidP="00163B94" w:rsidRDefault="009D3FB5" w14:paraId="5086815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402" w:type="pct"/>
            <w:vMerge w:val="restart"/>
            <w:tcBorders>
              <w:top w:val="nil"/>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531CB84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555"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FD6553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1"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2C8EBA4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46</w:t>
            </w:r>
          </w:p>
        </w:tc>
        <w:tc>
          <w:tcPr>
            <w:tcW w:w="62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A8DE7B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43</w:t>
            </w:r>
          </w:p>
        </w:tc>
        <w:tc>
          <w:tcPr>
            <w:tcW w:w="533"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0FF968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w:t>
            </w:r>
          </w:p>
        </w:tc>
        <w:tc>
          <w:tcPr>
            <w:tcW w:w="481"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583F59E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22</w:t>
            </w:r>
          </w:p>
        </w:tc>
        <w:tc>
          <w:tcPr>
            <w:tcW w:w="475"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1168624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93%</w:t>
            </w:r>
          </w:p>
        </w:tc>
      </w:tr>
      <w:tr w:rsidRPr="00AE1B2B" w:rsidR="00AE1B2B" w:rsidTr="009D3FB5" w14:paraId="1D4B8E21" w14:textId="77777777">
        <w:trPr>
          <w:trHeight w:val="330"/>
        </w:trPr>
        <w:tc>
          <w:tcPr>
            <w:tcW w:w="561"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522CC490" w14:textId="77777777">
            <w:pPr>
              <w:spacing w:before="120" w:after="120" w:line="276" w:lineRule="auto"/>
              <w:rPr>
                <w:rFonts w:ascii="Times New Roman" w:hAnsi="Times New Roman" w:eastAsia="Times New Roman" w:cs="Times New Roman"/>
                <w:b/>
                <w:bCs/>
                <w:lang w:eastAsia="es-CR"/>
              </w:rPr>
            </w:pPr>
          </w:p>
        </w:tc>
        <w:tc>
          <w:tcPr>
            <w:tcW w:w="561"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1A7D9B4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 Doméstica</w:t>
            </w:r>
          </w:p>
        </w:tc>
        <w:tc>
          <w:tcPr>
            <w:tcW w:w="322" w:type="pct"/>
            <w:vMerge/>
            <w:tcBorders>
              <w:left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5FBA0FBC" w14:textId="77777777">
            <w:pPr>
              <w:spacing w:before="120" w:after="120" w:line="276" w:lineRule="auto"/>
              <w:jc w:val="center"/>
              <w:rPr>
                <w:rFonts w:ascii="Times New Roman" w:hAnsi="Times New Roman" w:eastAsia="Times New Roman" w:cs="Times New Roman"/>
                <w:lang w:eastAsia="es-CR"/>
              </w:rPr>
            </w:pPr>
          </w:p>
        </w:tc>
        <w:tc>
          <w:tcPr>
            <w:tcW w:w="402"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7FFA9A8D" w14:textId="77777777">
            <w:pPr>
              <w:spacing w:before="120" w:after="120" w:line="276" w:lineRule="auto"/>
              <w:rPr>
                <w:rFonts w:ascii="Times New Roman" w:hAnsi="Times New Roman" w:eastAsia="Times New Roman" w:cs="Times New Roman"/>
                <w:lang w:eastAsia="es-CR"/>
              </w:rPr>
            </w:pPr>
          </w:p>
        </w:tc>
        <w:tc>
          <w:tcPr>
            <w:tcW w:w="555"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C080BB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1"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BB5FB9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40</w:t>
            </w:r>
          </w:p>
        </w:tc>
        <w:tc>
          <w:tcPr>
            <w:tcW w:w="62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F81ABB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39</w:t>
            </w:r>
          </w:p>
        </w:tc>
        <w:tc>
          <w:tcPr>
            <w:tcW w:w="533"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CA57FF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w:t>
            </w:r>
          </w:p>
        </w:tc>
        <w:tc>
          <w:tcPr>
            <w:tcW w:w="481"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242C1E6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w:t>
            </w:r>
          </w:p>
        </w:tc>
        <w:tc>
          <w:tcPr>
            <w:tcW w:w="475"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B97E57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98%</w:t>
            </w:r>
          </w:p>
        </w:tc>
      </w:tr>
      <w:tr w:rsidRPr="00AE1B2B" w:rsidR="00AE1B2B" w:rsidTr="009D3FB5" w14:paraId="464B602B" w14:textId="77777777">
        <w:trPr>
          <w:trHeight w:val="330"/>
        </w:trPr>
        <w:tc>
          <w:tcPr>
            <w:tcW w:w="561"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769857C9" w14:textId="77777777">
            <w:pPr>
              <w:spacing w:before="120" w:after="120" w:line="276" w:lineRule="auto"/>
              <w:rPr>
                <w:rFonts w:ascii="Times New Roman" w:hAnsi="Times New Roman" w:eastAsia="Times New Roman" w:cs="Times New Roman"/>
                <w:b/>
                <w:bCs/>
                <w:lang w:eastAsia="es-CR"/>
              </w:rPr>
            </w:pPr>
          </w:p>
        </w:tc>
        <w:tc>
          <w:tcPr>
            <w:tcW w:w="561" w:type="pct"/>
            <w:tcBorders>
              <w:top w:val="nil"/>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4D6CA50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Penal Juvenil</w:t>
            </w:r>
          </w:p>
        </w:tc>
        <w:tc>
          <w:tcPr>
            <w:tcW w:w="322" w:type="pct"/>
            <w:vMerge/>
            <w:tcBorders>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5C0372FA" w14:textId="77777777">
            <w:pPr>
              <w:spacing w:before="120" w:after="120" w:line="276" w:lineRule="auto"/>
              <w:rPr>
                <w:rFonts w:ascii="Times New Roman" w:hAnsi="Times New Roman" w:eastAsia="Times New Roman" w:cs="Times New Roman"/>
                <w:lang w:eastAsia="es-CR"/>
              </w:rPr>
            </w:pPr>
          </w:p>
        </w:tc>
        <w:tc>
          <w:tcPr>
            <w:tcW w:w="402" w:type="pct"/>
            <w:vMerge/>
            <w:tcBorders>
              <w:top w:val="nil"/>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0B5EC993" w14:textId="77777777">
            <w:pPr>
              <w:spacing w:before="120" w:after="120" w:line="276" w:lineRule="auto"/>
              <w:rPr>
                <w:rFonts w:ascii="Times New Roman" w:hAnsi="Times New Roman" w:eastAsia="Times New Roman" w:cs="Times New Roman"/>
                <w:lang w:eastAsia="es-CR"/>
              </w:rPr>
            </w:pPr>
          </w:p>
        </w:tc>
        <w:tc>
          <w:tcPr>
            <w:tcW w:w="555"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E67BD5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1"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CD730C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w:t>
            </w:r>
          </w:p>
        </w:tc>
        <w:tc>
          <w:tcPr>
            <w:tcW w:w="629"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678414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w:t>
            </w:r>
          </w:p>
        </w:tc>
        <w:tc>
          <w:tcPr>
            <w:tcW w:w="533"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2E6C1C2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481"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481C1B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475"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00F15B6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120%</w:t>
            </w:r>
          </w:p>
        </w:tc>
      </w:tr>
      <w:tr w:rsidRPr="00AE1B2B" w:rsidR="00AE1B2B" w:rsidTr="009D3FB5" w14:paraId="10231628" w14:textId="77777777">
        <w:trPr>
          <w:trHeight w:val="722"/>
        </w:trPr>
        <w:tc>
          <w:tcPr>
            <w:tcW w:w="561" w:type="pct"/>
            <w:vMerge w:val="restar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4B539D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Familia, Penal Juvenil y Viol. Dom. Turrialba</w:t>
            </w:r>
          </w:p>
        </w:tc>
        <w:tc>
          <w:tcPr>
            <w:tcW w:w="561"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779122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322" w:type="pct"/>
            <w:vMerge w:val="restar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ABB01B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402" w:type="pct"/>
            <w:vMerge w:val="restar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33EB51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55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7B6B9E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806BEB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54</w:t>
            </w:r>
          </w:p>
        </w:tc>
        <w:tc>
          <w:tcPr>
            <w:tcW w:w="62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5D0411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54</w:t>
            </w:r>
          </w:p>
        </w:tc>
        <w:tc>
          <w:tcPr>
            <w:tcW w:w="53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15EB0F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27</w:t>
            </w:r>
          </w:p>
        </w:tc>
        <w:tc>
          <w:tcPr>
            <w:tcW w:w="48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8B75C0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w:t>
            </w:r>
          </w:p>
        </w:tc>
        <w:tc>
          <w:tcPr>
            <w:tcW w:w="47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D534FA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r>
      <w:tr w:rsidRPr="00AE1B2B" w:rsidR="00AE1B2B" w:rsidTr="009D3FB5" w14:paraId="37C2FF5A" w14:textId="77777777">
        <w:trPr>
          <w:trHeight w:val="330"/>
        </w:trPr>
        <w:tc>
          <w:tcPr>
            <w:tcW w:w="561"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D15AC43" w14:textId="77777777">
            <w:pPr>
              <w:spacing w:before="120" w:after="120" w:line="276" w:lineRule="auto"/>
              <w:rPr>
                <w:rFonts w:ascii="Times New Roman" w:hAnsi="Times New Roman" w:eastAsia="Times New Roman" w:cs="Times New Roman"/>
                <w:b/>
                <w:bCs/>
                <w:lang w:eastAsia="es-CR"/>
              </w:rPr>
            </w:pPr>
          </w:p>
        </w:tc>
        <w:tc>
          <w:tcPr>
            <w:tcW w:w="561"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37E54DE"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 Doméstica</w:t>
            </w:r>
          </w:p>
        </w:tc>
        <w:tc>
          <w:tcPr>
            <w:tcW w:w="322"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08A89EA" w14:textId="77777777">
            <w:pPr>
              <w:spacing w:before="120" w:after="120" w:line="276" w:lineRule="auto"/>
              <w:rPr>
                <w:rFonts w:ascii="Times New Roman" w:hAnsi="Times New Roman" w:eastAsia="Times New Roman" w:cs="Times New Roman"/>
                <w:lang w:eastAsia="es-CR"/>
              </w:rPr>
            </w:pPr>
          </w:p>
        </w:tc>
        <w:tc>
          <w:tcPr>
            <w:tcW w:w="402"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DD99181" w14:textId="77777777">
            <w:pPr>
              <w:spacing w:before="120" w:after="120" w:line="276" w:lineRule="auto"/>
              <w:rPr>
                <w:rFonts w:ascii="Times New Roman" w:hAnsi="Times New Roman" w:eastAsia="Times New Roman" w:cs="Times New Roman"/>
                <w:lang w:eastAsia="es-CR"/>
              </w:rPr>
            </w:pPr>
          </w:p>
        </w:tc>
        <w:tc>
          <w:tcPr>
            <w:tcW w:w="55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EAFBDE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7144D8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63</w:t>
            </w:r>
          </w:p>
        </w:tc>
        <w:tc>
          <w:tcPr>
            <w:tcW w:w="62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0EF50B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67</w:t>
            </w:r>
          </w:p>
        </w:tc>
        <w:tc>
          <w:tcPr>
            <w:tcW w:w="53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7F8756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31</w:t>
            </w:r>
          </w:p>
        </w:tc>
        <w:tc>
          <w:tcPr>
            <w:tcW w:w="48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1BD43C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22</w:t>
            </w:r>
          </w:p>
        </w:tc>
        <w:tc>
          <w:tcPr>
            <w:tcW w:w="47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4DE85E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107%</w:t>
            </w:r>
          </w:p>
        </w:tc>
      </w:tr>
      <w:tr w:rsidRPr="00AE1B2B" w:rsidR="00AE1B2B" w:rsidTr="009D3FB5" w14:paraId="375BCE63" w14:textId="77777777">
        <w:trPr>
          <w:trHeight w:val="330"/>
        </w:trPr>
        <w:tc>
          <w:tcPr>
            <w:tcW w:w="561"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ECAE7C7" w14:textId="77777777">
            <w:pPr>
              <w:spacing w:before="120" w:after="120" w:line="276" w:lineRule="auto"/>
              <w:rPr>
                <w:rFonts w:ascii="Times New Roman" w:hAnsi="Times New Roman" w:eastAsia="Times New Roman" w:cs="Times New Roman"/>
                <w:b/>
                <w:bCs/>
                <w:lang w:eastAsia="es-CR"/>
              </w:rPr>
            </w:pPr>
          </w:p>
        </w:tc>
        <w:tc>
          <w:tcPr>
            <w:tcW w:w="561"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92A8D1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Penal Juvenil</w:t>
            </w:r>
          </w:p>
        </w:tc>
        <w:tc>
          <w:tcPr>
            <w:tcW w:w="322"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073965A" w14:textId="77777777">
            <w:pPr>
              <w:spacing w:before="120" w:after="120" w:line="276" w:lineRule="auto"/>
              <w:rPr>
                <w:rFonts w:ascii="Times New Roman" w:hAnsi="Times New Roman" w:eastAsia="Times New Roman" w:cs="Times New Roman"/>
                <w:lang w:eastAsia="es-CR"/>
              </w:rPr>
            </w:pPr>
          </w:p>
        </w:tc>
        <w:tc>
          <w:tcPr>
            <w:tcW w:w="402" w:type="pct"/>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7D5BE338" w14:textId="77777777">
            <w:pPr>
              <w:spacing w:before="120" w:after="120" w:line="276" w:lineRule="auto"/>
              <w:rPr>
                <w:rFonts w:ascii="Times New Roman" w:hAnsi="Times New Roman" w:eastAsia="Times New Roman" w:cs="Times New Roman"/>
                <w:lang w:eastAsia="es-CR"/>
              </w:rPr>
            </w:pPr>
          </w:p>
        </w:tc>
        <w:tc>
          <w:tcPr>
            <w:tcW w:w="55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928C41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BF7A42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w:t>
            </w:r>
          </w:p>
        </w:tc>
        <w:tc>
          <w:tcPr>
            <w:tcW w:w="62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66191C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w:t>
            </w:r>
          </w:p>
        </w:tc>
        <w:tc>
          <w:tcPr>
            <w:tcW w:w="53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821A9A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48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E762DE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47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6CBE6A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124%</w:t>
            </w:r>
          </w:p>
        </w:tc>
      </w:tr>
      <w:tr w:rsidRPr="00AE1B2B" w:rsidR="00AE1B2B" w:rsidTr="009D3FB5" w14:paraId="4C16DFC3" w14:textId="77777777">
        <w:trPr>
          <w:trHeight w:val="799"/>
        </w:trPr>
        <w:tc>
          <w:tcPr>
            <w:tcW w:w="561" w:type="pct"/>
            <w:vMerge w:val="restart"/>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5809774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de Familia, Penal Juvenil y Viol. Doméstica de Quepos</w:t>
            </w:r>
          </w:p>
        </w:tc>
        <w:tc>
          <w:tcPr>
            <w:tcW w:w="561" w:type="pct"/>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7E315A9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322" w:type="pct"/>
            <w:vMerge w:val="restart"/>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66D72D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402" w:type="pct"/>
            <w:vMerge w:val="restart"/>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FDB015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555"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FD0182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1"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2D3BD2E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34</w:t>
            </w:r>
          </w:p>
        </w:tc>
        <w:tc>
          <w:tcPr>
            <w:tcW w:w="629"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B16EB5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39</w:t>
            </w:r>
          </w:p>
        </w:tc>
        <w:tc>
          <w:tcPr>
            <w:tcW w:w="533"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94F595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w:t>
            </w:r>
          </w:p>
        </w:tc>
        <w:tc>
          <w:tcPr>
            <w:tcW w:w="481"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2424799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w:t>
            </w:r>
          </w:p>
        </w:tc>
        <w:tc>
          <w:tcPr>
            <w:tcW w:w="475"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265954C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116%</w:t>
            </w:r>
          </w:p>
        </w:tc>
      </w:tr>
      <w:tr w:rsidRPr="00AE1B2B" w:rsidR="00AE1B2B" w:rsidTr="009D3FB5" w14:paraId="11A47DB0" w14:textId="77777777">
        <w:trPr>
          <w:trHeight w:val="840"/>
        </w:trPr>
        <w:tc>
          <w:tcPr>
            <w:tcW w:w="561" w:type="pct"/>
            <w:vMerge/>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24932AE3" w14:textId="77777777">
            <w:pPr>
              <w:spacing w:before="120" w:after="120" w:line="276" w:lineRule="auto"/>
              <w:rPr>
                <w:rFonts w:ascii="Times New Roman" w:hAnsi="Times New Roman" w:eastAsia="Times New Roman" w:cs="Times New Roman"/>
                <w:b/>
                <w:bCs/>
                <w:lang w:eastAsia="es-CR"/>
              </w:rPr>
            </w:pPr>
          </w:p>
        </w:tc>
        <w:tc>
          <w:tcPr>
            <w:tcW w:w="561" w:type="pct"/>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3CE1014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 Doméstica</w:t>
            </w:r>
          </w:p>
        </w:tc>
        <w:tc>
          <w:tcPr>
            <w:tcW w:w="322" w:type="pct"/>
            <w:vMerge/>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1EFB178D" w14:textId="77777777">
            <w:pPr>
              <w:spacing w:before="120" w:after="120" w:line="276" w:lineRule="auto"/>
              <w:rPr>
                <w:rFonts w:ascii="Times New Roman" w:hAnsi="Times New Roman" w:eastAsia="Times New Roman" w:cs="Times New Roman"/>
                <w:lang w:eastAsia="es-CR"/>
              </w:rPr>
            </w:pPr>
          </w:p>
        </w:tc>
        <w:tc>
          <w:tcPr>
            <w:tcW w:w="402" w:type="pct"/>
            <w:vMerge/>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21C34162" w14:textId="77777777">
            <w:pPr>
              <w:spacing w:before="120" w:after="120" w:line="276" w:lineRule="auto"/>
              <w:rPr>
                <w:rFonts w:ascii="Times New Roman" w:hAnsi="Times New Roman" w:eastAsia="Times New Roman" w:cs="Times New Roman"/>
                <w:lang w:eastAsia="es-CR"/>
              </w:rPr>
            </w:pPr>
          </w:p>
        </w:tc>
        <w:tc>
          <w:tcPr>
            <w:tcW w:w="555"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5AB0192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1"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0C2C59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629"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3B23F1F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58</w:t>
            </w:r>
          </w:p>
        </w:tc>
        <w:tc>
          <w:tcPr>
            <w:tcW w:w="533"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6D05CFE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w:t>
            </w:r>
          </w:p>
        </w:tc>
        <w:tc>
          <w:tcPr>
            <w:tcW w:w="481"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13063FA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w:t>
            </w:r>
          </w:p>
        </w:tc>
        <w:tc>
          <w:tcPr>
            <w:tcW w:w="475" w:type="pct"/>
            <w:tcBorders>
              <w:top w:val="nil"/>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1C4455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115%</w:t>
            </w:r>
          </w:p>
        </w:tc>
      </w:tr>
      <w:tr w:rsidRPr="00AE1B2B" w:rsidR="00AE1B2B" w:rsidTr="009D3FB5" w14:paraId="42501759" w14:textId="77777777">
        <w:trPr>
          <w:trHeight w:val="659"/>
        </w:trPr>
        <w:tc>
          <w:tcPr>
            <w:tcW w:w="561" w:type="pct"/>
            <w:vMerge/>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6E767837" w14:textId="77777777">
            <w:pPr>
              <w:spacing w:before="120" w:after="120" w:line="276" w:lineRule="auto"/>
              <w:rPr>
                <w:rFonts w:ascii="Times New Roman" w:hAnsi="Times New Roman" w:eastAsia="Times New Roman" w:cs="Times New Roman"/>
                <w:b/>
                <w:bCs/>
                <w:lang w:eastAsia="es-CR"/>
              </w:rPr>
            </w:pPr>
          </w:p>
        </w:tc>
        <w:tc>
          <w:tcPr>
            <w:tcW w:w="561" w:type="pct"/>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51EEC76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Penal Juvenil</w:t>
            </w:r>
          </w:p>
        </w:tc>
        <w:tc>
          <w:tcPr>
            <w:tcW w:w="322" w:type="pct"/>
            <w:vMerge/>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5065545F" w14:textId="77777777">
            <w:pPr>
              <w:spacing w:before="120" w:after="120" w:line="276" w:lineRule="auto"/>
              <w:rPr>
                <w:rFonts w:ascii="Times New Roman" w:hAnsi="Times New Roman" w:eastAsia="Times New Roman" w:cs="Times New Roman"/>
                <w:lang w:eastAsia="es-CR"/>
              </w:rPr>
            </w:pPr>
          </w:p>
        </w:tc>
        <w:tc>
          <w:tcPr>
            <w:tcW w:w="402" w:type="pct"/>
            <w:vMerge/>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AE1B2B" w:rsidR="009D3FB5" w:rsidP="00163B94" w:rsidRDefault="009D3FB5" w14:paraId="5A62AE0E" w14:textId="77777777">
            <w:pPr>
              <w:spacing w:before="120" w:after="120" w:line="276" w:lineRule="auto"/>
              <w:rPr>
                <w:rFonts w:ascii="Times New Roman" w:hAnsi="Times New Roman" w:eastAsia="Times New Roman" w:cs="Times New Roman"/>
                <w:lang w:eastAsia="es-CR"/>
              </w:rPr>
            </w:pPr>
          </w:p>
        </w:tc>
        <w:tc>
          <w:tcPr>
            <w:tcW w:w="555"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16BC3E5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481"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EB0F8C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w:t>
            </w:r>
          </w:p>
        </w:tc>
        <w:tc>
          <w:tcPr>
            <w:tcW w:w="629"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644F4A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w:t>
            </w:r>
          </w:p>
        </w:tc>
        <w:tc>
          <w:tcPr>
            <w:tcW w:w="533"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4E6BCA3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481"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1839AED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475"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AE1B2B" w:rsidR="009D3FB5" w:rsidP="00163B94" w:rsidRDefault="009D3FB5" w14:paraId="77F6636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118%</w:t>
            </w:r>
          </w:p>
        </w:tc>
      </w:tr>
    </w:tbl>
    <w:p w:rsidRPr="00AE1B2B" w:rsidR="009D3FB5" w:rsidP="00163B94" w:rsidRDefault="009D3FB5" w14:paraId="159C7C57"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Modernización Institucional de la Dirección de Planificación con base en datos de Cuadros Estadísticos del Sub proceso de Estadística de la Dirección de Planificación. Los datos incluidos para materia Violencia Doméstica, Penal Juvenil corresponden a los registrados como definitivos en 2019. </w:t>
      </w:r>
    </w:p>
    <w:p w:rsidRPr="00AE1B2B" w:rsidR="009D3FB5" w:rsidP="00163B94" w:rsidRDefault="009D3FB5" w14:paraId="2F5AC244" w14:textId="53D3200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Nota *En Cañas solo hay 2 plazas de Técnico que manifiestan por rol.</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Además, un Auxiliar de Servicios Generales pero compartido con el Juzgado Civil y Trabajo de Cañas. </w:t>
      </w:r>
    </w:p>
    <w:p w:rsidRPr="00AE1B2B" w:rsidR="009D3FB5" w:rsidP="00163B94" w:rsidRDefault="009D3FB5" w14:paraId="47DB6812"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Nota ***En Turrialba las 3 plazas de Técnico tramitan y manifiestan por rol. </w:t>
      </w:r>
    </w:p>
    <w:p w:rsidRPr="00AE1B2B" w:rsidR="009D3FB5" w:rsidP="00163B94" w:rsidRDefault="009D3FB5" w14:paraId="47344B50" w14:textId="0D34C059">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lastRenderedPageBreak/>
        <w:t>Nota *** En Quepos existe además de 3 tramitadores, una plaza de Técnico Judicial manifestador y una de Auxiliar de Servicios Generales. Funciona como juzgado competente en 3 materias desde octubre 2018, con la especialización del Juzgado Civil y de Trabajo.</w:t>
      </w:r>
      <w:r w:rsidRPr="00AE1B2B" w:rsidR="00BB7720">
        <w:rPr>
          <w:rFonts w:ascii="Times New Roman" w:hAnsi="Times New Roman" w:cs="Times New Roman"/>
          <w:sz w:val="26"/>
          <w:szCs w:val="26"/>
        </w:rPr>
        <w:t xml:space="preserve"> </w:t>
      </w:r>
    </w:p>
    <w:p w:rsidRPr="00AE1B2B" w:rsidR="009D3FB5" w:rsidP="00163B94" w:rsidRDefault="009D3FB5" w14:paraId="3C3A0E8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A4D5D44" w14:textId="77777777">
      <w:pPr>
        <w:spacing w:before="120" w:after="120"/>
        <w:ind w:left="851" w:right="851" w:firstLine="709"/>
        <w:jc w:val="both"/>
        <w:rPr>
          <w:rFonts w:ascii="Times New Roman" w:hAnsi="Times New Roman" w:cs="Times New Roman"/>
          <w:sz w:val="26"/>
          <w:szCs w:val="26"/>
        </w:rPr>
      </w:pPr>
      <w:bookmarkStart w:name="_Hlk32930676" w:id="78"/>
      <w:r w:rsidRPr="00AE1B2B">
        <w:rPr>
          <w:rFonts w:ascii="Times New Roman" w:hAnsi="Times New Roman" w:cs="Times New Roman"/>
          <w:sz w:val="26"/>
          <w:szCs w:val="26"/>
        </w:rPr>
        <w:t xml:space="preserve">Según los resultados obtenidos, la cantidad de casos entrados por persona juzgadora en las materias de Familia, Violencia Doméstica y Penal Juvenil en estos 3 despachos es de 54 asuntos (entre las 3 materias). Ese promedio solamente lo supera Turrialba con una entrada promedio por persona juzgadora de 64 asuntos por mes, sin embargo, no justifica la asignación de una plaza adicional. </w:t>
      </w:r>
    </w:p>
    <w:p w:rsidRPr="00AE1B2B" w:rsidR="009D3FB5" w:rsidP="00163B94" w:rsidRDefault="009D3FB5" w14:paraId="24FFC0F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Respecto al personal técnico, la entrada promedio por plaza es de 43 asuntos (37 en Quepos, 45 en Turrialba y 48 en Cañas). </w:t>
      </w:r>
    </w:p>
    <w:p w:rsidRPr="00AE1B2B" w:rsidR="009D3FB5" w:rsidP="00163B94" w:rsidRDefault="009D3FB5" w14:paraId="029A6D3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Como se observa la carga de asuntos nuevos en Turrialba y Cañas es superior a la de Quepos y adicionalmente estas plazas les corresponde atender la manifestación por rol. </w:t>
      </w:r>
    </w:p>
    <w:p w:rsidRPr="00AE1B2B" w:rsidR="009D3FB5" w:rsidP="00163B94" w:rsidRDefault="009D3FB5" w14:paraId="795DAF1F" w14:textId="1BE9D615">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Respecto a Cañas, la Administración Regional contrata el servicio de limpieza medio tiempo.</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Se recomienda realizar un estudio para analizar las implicaciones de asignar a tiempo completo la plaza de Auxiliar de Servicios Generales al Juzgado de Familia, Penal Juvenil y Violencia Doméstica de Cañas, valorando el impacto que pueda tener el Juzgado Civil y Trabajo de Cañas con quien comparte el recurso, ya que incluso ambas oficinas están en locales separados.</w:t>
      </w:r>
      <w:r w:rsidRPr="00AE1B2B" w:rsidR="00BB7720">
        <w:rPr>
          <w:rFonts w:ascii="Times New Roman" w:hAnsi="Times New Roman" w:cs="Times New Roman"/>
          <w:sz w:val="26"/>
          <w:szCs w:val="26"/>
        </w:rPr>
        <w:t xml:space="preserve"> </w:t>
      </w:r>
    </w:p>
    <w:p w:rsidRPr="00AE1B2B" w:rsidR="009D3FB5" w:rsidP="00163B94" w:rsidRDefault="009D3FB5" w14:paraId="1A14430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65C63C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Cabe mencionar que estaría pendiente conocer el impacto en estas oficinas con la creación de Juzgados de Familia por Ministerio de Ley, lo que será objeto de análisis a partir de la información obtenida en el inventario en Familia 2021.</w:t>
      </w:r>
    </w:p>
    <w:p w:rsidRPr="00AE1B2B" w:rsidR="009D3FB5" w:rsidP="00163B94" w:rsidRDefault="009D3FB5" w14:paraId="716B680E" w14:textId="77777777">
      <w:pPr>
        <w:spacing w:before="120" w:after="120"/>
        <w:ind w:left="851" w:right="851" w:firstLine="709"/>
        <w:jc w:val="both"/>
        <w:rPr>
          <w:rFonts w:ascii="Times New Roman" w:hAnsi="Times New Roman" w:cs="Times New Roman"/>
          <w:sz w:val="26"/>
          <w:szCs w:val="26"/>
        </w:rPr>
      </w:pPr>
    </w:p>
    <w:bookmarkEnd w:id="78"/>
    <w:p w:rsidRPr="00AE1B2B" w:rsidR="009D3FB5" w:rsidP="00163B94" w:rsidRDefault="009D3FB5" w14:paraId="4083E0D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9D3FB5" w14:paraId="1E55666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Juzgados de Familia (mixtos de 5 o más materias)</w:t>
      </w:r>
    </w:p>
    <w:p w:rsidRPr="00AE1B2B" w:rsidR="009D3FB5" w:rsidP="00163B94" w:rsidRDefault="009D3FB5" w14:paraId="4D46768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este bloque de despachos se ubican cinco juzgados: Civil, Trabajo y Familia Buenos Aires; Civil, Trabajo y Familia Puriscal; Civil y Trabajo del Segundo Circuito Judicial Alajuela, Sede Upala; Civil, Trabajo y Familia Osa; Civil, Trabajo, Familia, Penal Juvenil y Violencia Doméstica Sarapiquí. Está conformado de la siguiente manera.</w:t>
      </w:r>
    </w:p>
    <w:p w:rsidRPr="00AE1B2B" w:rsidR="009D3FB5" w:rsidP="00163B94" w:rsidRDefault="009D3FB5" w14:paraId="233CFAB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56B4619" w14:textId="14951835">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lastRenderedPageBreak/>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45</w:t>
      </w:r>
      <w:r w:rsidRPr="00AE1B2B">
        <w:rPr>
          <w:rFonts w:ascii="Times New Roman" w:hAnsi="Times New Roman" w:cs="Times New Roman"/>
          <w:sz w:val="26"/>
          <w:szCs w:val="26"/>
        </w:rPr>
        <w:fldChar w:fldCharType="end"/>
      </w:r>
    </w:p>
    <w:p w:rsidRPr="00AE1B2B" w:rsidR="009D3FB5" w:rsidP="00163B94" w:rsidRDefault="009D3FB5" w14:paraId="2F6D2472"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Carga de trabajo juzgado de Familia mixtos de cinco o más materias, 2019.</w:t>
      </w:r>
    </w:p>
    <w:tbl>
      <w:tblPr>
        <w:tblW w:w="10449" w:type="dxa"/>
        <w:jc w:val="center"/>
        <w:tblCellMar>
          <w:left w:w="70" w:type="dxa"/>
          <w:right w:w="70" w:type="dxa"/>
        </w:tblCellMar>
        <w:tblLook w:val="04A0" w:firstRow="1" w:lastRow="0" w:firstColumn="1" w:lastColumn="0" w:noHBand="0" w:noVBand="1"/>
      </w:tblPr>
      <w:tblGrid>
        <w:gridCol w:w="1203"/>
        <w:gridCol w:w="923"/>
        <w:gridCol w:w="692"/>
        <w:gridCol w:w="862"/>
        <w:gridCol w:w="1221"/>
        <w:gridCol w:w="1022"/>
        <w:gridCol w:w="1291"/>
        <w:gridCol w:w="1152"/>
        <w:gridCol w:w="1083"/>
        <w:gridCol w:w="1000"/>
      </w:tblGrid>
      <w:tr w:rsidRPr="00AE1B2B" w:rsidR="00AE1B2B" w:rsidTr="009D3FB5" w14:paraId="16EFEE88" w14:textId="77777777">
        <w:trPr>
          <w:trHeight w:val="113"/>
          <w:tblHeader/>
          <w:jc w:val="center"/>
        </w:trPr>
        <w:tc>
          <w:tcPr>
            <w:tcW w:w="1204" w:type="dxa"/>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091BEA8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Despacho</w:t>
            </w:r>
          </w:p>
        </w:tc>
        <w:tc>
          <w:tcPr>
            <w:tcW w:w="923" w:type="dxa"/>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0F0110F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Materia</w:t>
            </w:r>
          </w:p>
        </w:tc>
        <w:tc>
          <w:tcPr>
            <w:tcW w:w="0" w:type="auto"/>
            <w:gridSpan w:val="2"/>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36F497F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Recurso humano actual</w:t>
            </w:r>
          </w:p>
        </w:tc>
        <w:tc>
          <w:tcPr>
            <w:tcW w:w="0" w:type="auto"/>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6077B0F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dedicado por materia por juez</w:t>
            </w:r>
          </w:p>
        </w:tc>
        <w:tc>
          <w:tcPr>
            <w:tcW w:w="0" w:type="auto"/>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6ACC7DF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 al mes</w:t>
            </w:r>
          </w:p>
        </w:tc>
        <w:tc>
          <w:tcPr>
            <w:tcW w:w="0" w:type="auto"/>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420A750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Terminados al mes</w:t>
            </w:r>
          </w:p>
        </w:tc>
        <w:tc>
          <w:tcPr>
            <w:tcW w:w="0" w:type="auto"/>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263976A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 al mes por persona juzgadora</w:t>
            </w:r>
          </w:p>
        </w:tc>
        <w:tc>
          <w:tcPr>
            <w:tcW w:w="0" w:type="auto"/>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0588981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 al mes por persona Tec. Jud. Trámite</w:t>
            </w:r>
          </w:p>
        </w:tc>
        <w:tc>
          <w:tcPr>
            <w:tcW w:w="0" w:type="auto"/>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64406F0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Relación salida entre entrada</w:t>
            </w:r>
          </w:p>
        </w:tc>
      </w:tr>
      <w:tr w:rsidRPr="00AE1B2B" w:rsidR="00AE1B2B" w:rsidTr="009D3FB5" w14:paraId="2E613091" w14:textId="77777777">
        <w:trPr>
          <w:trHeight w:val="113"/>
          <w:jc w:val="center"/>
        </w:trPr>
        <w:tc>
          <w:tcPr>
            <w:tcW w:w="1204" w:type="dxa"/>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0D9E9779" w14:textId="77777777">
            <w:pPr>
              <w:spacing w:before="120" w:after="120" w:line="276" w:lineRule="auto"/>
              <w:rPr>
                <w:rFonts w:ascii="Times New Roman" w:hAnsi="Times New Roman" w:eastAsia="Times New Roman" w:cs="Times New Roman"/>
                <w:b/>
                <w:bCs/>
                <w:lang w:eastAsia="es-CR"/>
              </w:rPr>
            </w:pPr>
          </w:p>
        </w:tc>
        <w:tc>
          <w:tcPr>
            <w:tcW w:w="923" w:type="dxa"/>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1825BC0D" w14:textId="77777777">
            <w:pPr>
              <w:spacing w:before="120" w:after="120" w:line="276" w:lineRule="auto"/>
              <w:rPr>
                <w:rFonts w:ascii="Times New Roman" w:hAnsi="Times New Roman" w:eastAsia="Times New Roman" w:cs="Times New Roman"/>
                <w:b/>
                <w:bCs/>
                <w:lang w:eastAsia="es-CR"/>
              </w:rPr>
            </w:pPr>
          </w:p>
        </w:tc>
        <w:tc>
          <w:tcPr>
            <w:tcW w:w="0" w:type="auto"/>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7AABEFF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Jueza o Juez</w:t>
            </w:r>
          </w:p>
        </w:tc>
        <w:tc>
          <w:tcPr>
            <w:tcW w:w="0" w:type="auto"/>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3121241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Téc. Jud. de trámite</w:t>
            </w:r>
          </w:p>
        </w:tc>
        <w:tc>
          <w:tcPr>
            <w:tcW w:w="0" w:type="auto"/>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5F71F532" w14:textId="77777777">
            <w:pPr>
              <w:spacing w:before="120" w:after="120" w:line="276" w:lineRule="auto"/>
              <w:rPr>
                <w:rFonts w:ascii="Times New Roman" w:hAnsi="Times New Roman" w:eastAsia="Times New Roman" w:cs="Times New Roman"/>
                <w:b/>
                <w:bCs/>
                <w:lang w:eastAsia="es-CR"/>
              </w:rPr>
            </w:pPr>
          </w:p>
        </w:tc>
        <w:tc>
          <w:tcPr>
            <w:tcW w:w="0" w:type="auto"/>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31D86884" w14:textId="77777777">
            <w:pPr>
              <w:spacing w:before="120" w:after="120" w:line="276" w:lineRule="auto"/>
              <w:rPr>
                <w:rFonts w:ascii="Times New Roman" w:hAnsi="Times New Roman" w:eastAsia="Times New Roman" w:cs="Times New Roman"/>
                <w:b/>
                <w:bCs/>
                <w:lang w:eastAsia="es-CR"/>
              </w:rPr>
            </w:pPr>
          </w:p>
        </w:tc>
        <w:tc>
          <w:tcPr>
            <w:tcW w:w="0" w:type="auto"/>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562E5243" w14:textId="77777777">
            <w:pPr>
              <w:spacing w:before="120" w:after="120" w:line="276" w:lineRule="auto"/>
              <w:rPr>
                <w:rFonts w:ascii="Times New Roman" w:hAnsi="Times New Roman" w:eastAsia="Times New Roman" w:cs="Times New Roman"/>
                <w:b/>
                <w:bCs/>
                <w:lang w:eastAsia="es-CR"/>
              </w:rPr>
            </w:pPr>
          </w:p>
        </w:tc>
        <w:tc>
          <w:tcPr>
            <w:tcW w:w="0" w:type="auto"/>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4A16CB07" w14:textId="77777777">
            <w:pPr>
              <w:spacing w:before="120" w:after="120" w:line="276" w:lineRule="auto"/>
              <w:rPr>
                <w:rFonts w:ascii="Times New Roman" w:hAnsi="Times New Roman" w:eastAsia="Times New Roman" w:cs="Times New Roman"/>
                <w:b/>
                <w:bCs/>
                <w:lang w:eastAsia="es-CR"/>
              </w:rPr>
            </w:pPr>
          </w:p>
        </w:tc>
        <w:tc>
          <w:tcPr>
            <w:tcW w:w="0" w:type="auto"/>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67779A97" w14:textId="77777777">
            <w:pPr>
              <w:spacing w:before="120" w:after="120" w:line="276" w:lineRule="auto"/>
              <w:rPr>
                <w:rFonts w:ascii="Times New Roman" w:hAnsi="Times New Roman" w:eastAsia="Times New Roman" w:cs="Times New Roman"/>
                <w:b/>
                <w:bCs/>
                <w:lang w:eastAsia="es-CR"/>
              </w:rPr>
            </w:pPr>
          </w:p>
        </w:tc>
        <w:tc>
          <w:tcPr>
            <w:tcW w:w="0" w:type="auto"/>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727284E5" w14:textId="77777777">
            <w:pPr>
              <w:spacing w:before="120" w:after="120" w:line="276" w:lineRule="auto"/>
              <w:rPr>
                <w:rFonts w:ascii="Times New Roman" w:hAnsi="Times New Roman" w:eastAsia="Times New Roman" w:cs="Times New Roman"/>
                <w:b/>
                <w:bCs/>
                <w:lang w:eastAsia="es-CR"/>
              </w:rPr>
            </w:pPr>
          </w:p>
        </w:tc>
      </w:tr>
      <w:tr w:rsidRPr="00AE1B2B" w:rsidR="00AE1B2B" w:rsidTr="009D3FB5" w14:paraId="242B94C2" w14:textId="77777777">
        <w:trPr>
          <w:trHeight w:val="68"/>
          <w:jc w:val="center"/>
        </w:trPr>
        <w:tc>
          <w:tcPr>
            <w:tcW w:w="1204"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6190E96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Civil, Trabajo y Familia Buenos Aires*</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F567C72"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Civil</w:t>
            </w:r>
          </w:p>
        </w:tc>
        <w:tc>
          <w:tcPr>
            <w:tcW w:w="0" w:type="auto"/>
            <w:vMerge w:val="restart"/>
            <w:tcBorders>
              <w:top w:val="nil"/>
              <w:left w:val="single" w:color="auto" w:sz="4" w:space="0"/>
              <w:bottom w:val="single" w:color="000000" w:sz="4" w:space="0"/>
              <w:right w:val="single" w:color="auto" w:sz="4" w:space="0"/>
            </w:tcBorders>
            <w:shd w:val="clear" w:color="auto" w:fill="auto"/>
            <w:noWrap/>
            <w:vAlign w:val="center"/>
            <w:hideMark/>
          </w:tcPr>
          <w:p w:rsidRPr="00AE1B2B" w:rsidR="009D3FB5" w:rsidP="00163B94" w:rsidRDefault="009D3FB5" w14:paraId="03F0D01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vMerge w:val="restart"/>
            <w:tcBorders>
              <w:top w:val="nil"/>
              <w:left w:val="single" w:color="auto" w:sz="4" w:space="0"/>
              <w:bottom w:val="single" w:color="000000" w:sz="4" w:space="0"/>
              <w:right w:val="single" w:color="auto" w:sz="4" w:space="0"/>
            </w:tcBorders>
            <w:shd w:val="clear" w:color="auto" w:fill="auto"/>
            <w:noWrap/>
            <w:vAlign w:val="center"/>
            <w:hideMark/>
          </w:tcPr>
          <w:p w:rsidRPr="00AE1B2B" w:rsidR="009D3FB5" w:rsidP="00163B94" w:rsidRDefault="009D3FB5" w14:paraId="486C08C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3998EE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50B771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3E4013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D0FC21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09508A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078C50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61%</w:t>
            </w:r>
          </w:p>
        </w:tc>
      </w:tr>
      <w:tr w:rsidRPr="00AE1B2B" w:rsidR="00AE1B2B" w:rsidTr="009D3FB5" w14:paraId="7D93BEE1" w14:textId="77777777">
        <w:trPr>
          <w:trHeight w:val="113"/>
          <w:jc w:val="center"/>
        </w:trPr>
        <w:tc>
          <w:tcPr>
            <w:tcW w:w="1204" w:type="dxa"/>
            <w:vMerge/>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36F68994"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B08C7F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Trabajo</w:t>
            </w:r>
          </w:p>
        </w:tc>
        <w:tc>
          <w:tcPr>
            <w:tcW w:w="0" w:type="auto"/>
            <w:vMerge/>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0AEBF001" w14:textId="77777777">
            <w:pPr>
              <w:spacing w:before="120" w:after="120" w:line="276" w:lineRule="auto"/>
              <w:rPr>
                <w:rFonts w:ascii="Times New Roman" w:hAnsi="Times New Roman" w:eastAsia="Times New Roman" w:cs="Times New Roman"/>
                <w:lang w:eastAsia="es-CR"/>
              </w:rPr>
            </w:pPr>
          </w:p>
        </w:tc>
        <w:tc>
          <w:tcPr>
            <w:tcW w:w="0" w:type="auto"/>
            <w:vMerge/>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1862FC5B"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877E60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AC18D5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E59004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76D69C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B80E9E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B99927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84%</w:t>
            </w:r>
          </w:p>
        </w:tc>
      </w:tr>
      <w:tr w:rsidRPr="00AE1B2B" w:rsidR="00AE1B2B" w:rsidTr="009D3FB5" w14:paraId="2B36D77A" w14:textId="77777777">
        <w:trPr>
          <w:trHeight w:val="113"/>
          <w:jc w:val="center"/>
        </w:trPr>
        <w:tc>
          <w:tcPr>
            <w:tcW w:w="1204" w:type="dxa"/>
            <w:vMerge/>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280EC908"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A43052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Agrario</w:t>
            </w:r>
          </w:p>
        </w:tc>
        <w:tc>
          <w:tcPr>
            <w:tcW w:w="0" w:type="auto"/>
            <w:vMerge/>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5829B3C9" w14:textId="77777777">
            <w:pPr>
              <w:spacing w:before="120" w:after="120" w:line="276" w:lineRule="auto"/>
              <w:rPr>
                <w:rFonts w:ascii="Times New Roman" w:hAnsi="Times New Roman" w:eastAsia="Times New Roman" w:cs="Times New Roman"/>
                <w:lang w:eastAsia="es-CR"/>
              </w:rPr>
            </w:pPr>
          </w:p>
        </w:tc>
        <w:tc>
          <w:tcPr>
            <w:tcW w:w="0" w:type="auto"/>
            <w:vMerge/>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52E30135"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9B22A4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30C4EA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A31BE8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167DA1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826D7B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52F1B4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90%</w:t>
            </w:r>
          </w:p>
        </w:tc>
      </w:tr>
      <w:tr w:rsidRPr="00AE1B2B" w:rsidR="00AE1B2B" w:rsidTr="009D3FB5" w14:paraId="165C7143" w14:textId="77777777">
        <w:trPr>
          <w:trHeight w:val="113"/>
          <w:jc w:val="center"/>
        </w:trPr>
        <w:tc>
          <w:tcPr>
            <w:tcW w:w="1204" w:type="dxa"/>
            <w:vMerge/>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71F524E1"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494C97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0" w:type="auto"/>
            <w:vMerge w:val="restart"/>
            <w:tcBorders>
              <w:top w:val="nil"/>
              <w:left w:val="single" w:color="auto" w:sz="4" w:space="0"/>
              <w:bottom w:val="single" w:color="000000" w:sz="4" w:space="0"/>
              <w:right w:val="single" w:color="auto" w:sz="4" w:space="0"/>
            </w:tcBorders>
            <w:shd w:val="clear" w:color="auto" w:fill="auto"/>
            <w:noWrap/>
            <w:vAlign w:val="center"/>
            <w:hideMark/>
          </w:tcPr>
          <w:p w:rsidRPr="00AE1B2B" w:rsidR="009D3FB5" w:rsidP="00163B94" w:rsidRDefault="009D3FB5" w14:paraId="3B01D2A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vMerge/>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4FFAB372"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FC2FC6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659A2A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7C2CDF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21</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763838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FB87D0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3A1198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90%</w:t>
            </w:r>
          </w:p>
        </w:tc>
      </w:tr>
      <w:tr w:rsidRPr="00AE1B2B" w:rsidR="00AE1B2B" w:rsidTr="009D3FB5" w14:paraId="5685466A" w14:textId="77777777">
        <w:trPr>
          <w:trHeight w:val="113"/>
          <w:jc w:val="center"/>
        </w:trPr>
        <w:tc>
          <w:tcPr>
            <w:tcW w:w="1204" w:type="dxa"/>
            <w:vMerge/>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7371D36E"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0C916B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 Dom.</w:t>
            </w:r>
          </w:p>
        </w:tc>
        <w:tc>
          <w:tcPr>
            <w:tcW w:w="0" w:type="auto"/>
            <w:vMerge/>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6D79A978" w14:textId="77777777">
            <w:pPr>
              <w:spacing w:before="120" w:after="120" w:line="276" w:lineRule="auto"/>
              <w:rPr>
                <w:rFonts w:ascii="Times New Roman" w:hAnsi="Times New Roman" w:eastAsia="Times New Roman" w:cs="Times New Roman"/>
                <w:lang w:eastAsia="es-CR"/>
              </w:rPr>
            </w:pPr>
          </w:p>
        </w:tc>
        <w:tc>
          <w:tcPr>
            <w:tcW w:w="0" w:type="auto"/>
            <w:vMerge/>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6F6760F1"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BFF039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139DCC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47</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3D769D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39</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A03B1F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47</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ACE792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24</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E0A26F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83%</w:t>
            </w:r>
          </w:p>
        </w:tc>
      </w:tr>
      <w:tr w:rsidRPr="00AE1B2B" w:rsidR="00AE1B2B" w:rsidTr="009D3FB5" w14:paraId="3360288A" w14:textId="77777777">
        <w:trPr>
          <w:trHeight w:val="113"/>
          <w:jc w:val="center"/>
        </w:trPr>
        <w:tc>
          <w:tcPr>
            <w:tcW w:w="1204" w:type="dxa"/>
            <w:vMerge/>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51EB404D"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90EA41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Penal Juvenil</w:t>
            </w:r>
          </w:p>
        </w:tc>
        <w:tc>
          <w:tcPr>
            <w:tcW w:w="0" w:type="auto"/>
            <w:vMerge/>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51BAB3B7" w14:textId="77777777">
            <w:pPr>
              <w:spacing w:before="120" w:after="120" w:line="276" w:lineRule="auto"/>
              <w:rPr>
                <w:rFonts w:ascii="Times New Roman" w:hAnsi="Times New Roman" w:eastAsia="Times New Roman" w:cs="Times New Roman"/>
                <w:lang w:eastAsia="es-CR"/>
              </w:rPr>
            </w:pPr>
          </w:p>
        </w:tc>
        <w:tc>
          <w:tcPr>
            <w:tcW w:w="0" w:type="auto"/>
            <w:vMerge/>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028D62C1"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5122F7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5B418F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92F7F3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E2F247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1980C5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11E52E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143%</w:t>
            </w:r>
          </w:p>
        </w:tc>
      </w:tr>
      <w:tr w:rsidRPr="00AE1B2B" w:rsidR="00AE1B2B" w:rsidTr="009D3FB5" w14:paraId="3D1D99C9" w14:textId="77777777">
        <w:trPr>
          <w:trHeight w:val="244"/>
          <w:jc w:val="center"/>
        </w:trPr>
        <w:tc>
          <w:tcPr>
            <w:tcW w:w="1204" w:type="dxa"/>
            <w:vMerge w:val="restart"/>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0AFFF2E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Civil, Trabajo y Familia II Circ. Jud. de Alajuela sede Upala**</w:t>
            </w:r>
          </w:p>
        </w:tc>
        <w:tc>
          <w:tcPr>
            <w:tcW w:w="923" w:type="dxa"/>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1816474F"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Civil</w:t>
            </w:r>
          </w:p>
        </w:tc>
        <w:tc>
          <w:tcPr>
            <w:tcW w:w="0" w:type="auto"/>
            <w:vMerge w:val="restart"/>
            <w:tcBorders>
              <w:top w:val="nil"/>
              <w:left w:val="single" w:color="auto" w:sz="4" w:space="0"/>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29BA6EC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vMerge w:val="restart"/>
            <w:tcBorders>
              <w:top w:val="nil"/>
              <w:left w:val="single" w:color="auto" w:sz="4" w:space="0"/>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703984C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69A81CC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716632E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78BB8B8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4DE3A7B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31A5AE7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0" w:type="auto"/>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3C239BD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57%</w:t>
            </w:r>
          </w:p>
        </w:tc>
      </w:tr>
      <w:tr w:rsidRPr="00AE1B2B" w:rsidR="00AE1B2B" w:rsidTr="009D3FB5" w14:paraId="4FC6DF07" w14:textId="77777777">
        <w:trPr>
          <w:trHeight w:val="245"/>
          <w:jc w:val="center"/>
        </w:trPr>
        <w:tc>
          <w:tcPr>
            <w:tcW w:w="1204" w:type="dxa"/>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33A18D56"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57B7E37F"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0" w:type="auto"/>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449F7560" w14:textId="77777777">
            <w:pPr>
              <w:spacing w:before="120" w:after="120" w:line="276" w:lineRule="auto"/>
              <w:rPr>
                <w:rFonts w:ascii="Times New Roman" w:hAnsi="Times New Roman" w:eastAsia="Times New Roman" w:cs="Times New Roman"/>
                <w:lang w:eastAsia="es-CR"/>
              </w:rPr>
            </w:pPr>
          </w:p>
        </w:tc>
        <w:tc>
          <w:tcPr>
            <w:tcW w:w="0" w:type="auto"/>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3466AF7B"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6266BFB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1AD6055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34</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1F9761A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30</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0D89F9F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0148533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0" w:type="auto"/>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4EACA1C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88%</w:t>
            </w:r>
          </w:p>
        </w:tc>
      </w:tr>
      <w:tr w:rsidRPr="00AE1B2B" w:rsidR="00AE1B2B" w:rsidTr="009D3FB5" w14:paraId="1A5F6052" w14:textId="77777777">
        <w:trPr>
          <w:trHeight w:val="245"/>
          <w:jc w:val="center"/>
        </w:trPr>
        <w:tc>
          <w:tcPr>
            <w:tcW w:w="1204" w:type="dxa"/>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1B66FA65"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58A0A8EA"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Trabajo</w:t>
            </w:r>
          </w:p>
        </w:tc>
        <w:tc>
          <w:tcPr>
            <w:tcW w:w="0" w:type="auto"/>
            <w:tcBorders>
              <w:top w:val="nil"/>
              <w:left w:val="single" w:color="auto" w:sz="4" w:space="0"/>
              <w:bottom w:val="single" w:color="000000" w:sz="4" w:space="0"/>
              <w:right w:val="single" w:color="auto" w:sz="4" w:space="0"/>
            </w:tcBorders>
            <w:shd w:val="clear" w:color="auto" w:fill="D5DCE4" w:themeFill="text2" w:themeFillTint="33"/>
            <w:noWrap/>
            <w:vAlign w:val="center"/>
            <w:hideMark/>
          </w:tcPr>
          <w:p w:rsidRPr="00AE1B2B" w:rsidR="009D3FB5" w:rsidP="00163B94" w:rsidRDefault="009D3FB5" w14:paraId="267D0A0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25F5788B"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551E3E7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044F507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24</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71CFD5E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4D4CE5F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24</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1A1FFF3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0" w:type="auto"/>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588FA95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64%</w:t>
            </w:r>
          </w:p>
        </w:tc>
      </w:tr>
      <w:tr w:rsidRPr="00AE1B2B" w:rsidR="00AE1B2B" w:rsidTr="009D3FB5" w14:paraId="70D07113" w14:textId="77777777">
        <w:trPr>
          <w:trHeight w:val="245"/>
          <w:jc w:val="center"/>
        </w:trPr>
        <w:tc>
          <w:tcPr>
            <w:tcW w:w="1204" w:type="dxa"/>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57FEDFBC"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67DA271B"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 Dom.</w:t>
            </w:r>
          </w:p>
        </w:tc>
        <w:tc>
          <w:tcPr>
            <w:tcW w:w="0" w:type="auto"/>
            <w:vMerge w:val="restart"/>
            <w:tcBorders>
              <w:top w:val="nil"/>
              <w:left w:val="nil"/>
              <w:right w:val="single" w:color="auto" w:sz="4" w:space="0"/>
            </w:tcBorders>
            <w:shd w:val="clear" w:color="auto" w:fill="D5DCE4" w:themeFill="text2" w:themeFillTint="33"/>
            <w:noWrap/>
            <w:vAlign w:val="center"/>
            <w:hideMark/>
          </w:tcPr>
          <w:p w:rsidRPr="00AE1B2B" w:rsidR="009D3FB5" w:rsidP="00163B94" w:rsidRDefault="009D3FB5" w14:paraId="371B21A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26E7049F"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07A9126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7C335CD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59</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597EA8F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66</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6B259A9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59</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1CA8AB4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w:t>
            </w:r>
          </w:p>
        </w:tc>
        <w:tc>
          <w:tcPr>
            <w:tcW w:w="0" w:type="auto"/>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0DBEEE8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111%</w:t>
            </w:r>
          </w:p>
        </w:tc>
      </w:tr>
      <w:tr w:rsidRPr="00AE1B2B" w:rsidR="00AE1B2B" w:rsidTr="009D3FB5" w14:paraId="1E86D823" w14:textId="77777777">
        <w:trPr>
          <w:trHeight w:val="245"/>
          <w:jc w:val="center"/>
        </w:trPr>
        <w:tc>
          <w:tcPr>
            <w:tcW w:w="1204" w:type="dxa"/>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078ED82C"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0E07C39D"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Penal Juvenil</w:t>
            </w:r>
          </w:p>
        </w:tc>
        <w:tc>
          <w:tcPr>
            <w:tcW w:w="0" w:type="auto"/>
            <w:vMerge/>
            <w:tcBorders>
              <w:left w:val="single" w:color="auto" w:sz="4" w:space="0"/>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5AE81747" w14:textId="77777777">
            <w:pPr>
              <w:spacing w:before="120" w:after="120" w:line="276" w:lineRule="auto"/>
              <w:jc w:val="center"/>
              <w:rPr>
                <w:rFonts w:ascii="Times New Roman" w:hAnsi="Times New Roman" w:eastAsia="Times New Roman" w:cs="Times New Roman"/>
                <w:lang w:eastAsia="es-CR"/>
              </w:rPr>
            </w:pPr>
          </w:p>
        </w:tc>
        <w:tc>
          <w:tcPr>
            <w:tcW w:w="0" w:type="auto"/>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14D1F64E"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55E2DD4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7B510AC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6F17170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63DC7F1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1D03FA0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0" w:type="auto"/>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3C9AED1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70%</w:t>
            </w:r>
          </w:p>
        </w:tc>
      </w:tr>
      <w:tr w:rsidRPr="00AE1B2B" w:rsidR="00AE1B2B" w:rsidTr="009D3FB5" w14:paraId="379C8E6C" w14:textId="77777777">
        <w:trPr>
          <w:trHeight w:val="245"/>
          <w:jc w:val="center"/>
        </w:trPr>
        <w:tc>
          <w:tcPr>
            <w:tcW w:w="1204" w:type="dxa"/>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361E7A73"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4A4C6F6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Agrario</w:t>
            </w:r>
          </w:p>
        </w:tc>
        <w:tc>
          <w:tcPr>
            <w:tcW w:w="0" w:type="auto"/>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715ADC9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45CE928F"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20D946D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4A7FD6F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27</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2565827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4249E6F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27</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282D86B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0" w:type="auto"/>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7596DCA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41%</w:t>
            </w:r>
          </w:p>
        </w:tc>
      </w:tr>
      <w:tr w:rsidRPr="00AE1B2B" w:rsidR="00AE1B2B" w:rsidTr="009D3FB5" w14:paraId="1CF4FF29" w14:textId="77777777">
        <w:trPr>
          <w:trHeight w:val="113"/>
          <w:jc w:val="center"/>
        </w:trPr>
        <w:tc>
          <w:tcPr>
            <w:tcW w:w="1204" w:type="dxa"/>
            <w:vMerge w:val="restar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0C109A4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Juzgado Civil, Trabajo y </w:t>
            </w:r>
            <w:r w:rsidRPr="00AE1B2B">
              <w:rPr>
                <w:rFonts w:ascii="Times New Roman" w:hAnsi="Times New Roman" w:eastAsia="Times New Roman" w:cs="Times New Roman"/>
                <w:b/>
                <w:bCs/>
                <w:lang w:eastAsia="es-CR"/>
              </w:rPr>
              <w:lastRenderedPageBreak/>
              <w:t>Familia Osa</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3FB75D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Civil</w:t>
            </w:r>
          </w:p>
        </w:tc>
        <w:tc>
          <w:tcPr>
            <w:tcW w:w="0" w:type="auto"/>
            <w:vMerge w:val="restar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10E500C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0" w:type="auto"/>
            <w:vMerge w:val="restar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C5C221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593DA7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430DD7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1AD476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F99B34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67EA73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3E1EAA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64%</w:t>
            </w:r>
          </w:p>
        </w:tc>
      </w:tr>
      <w:tr w:rsidRPr="00AE1B2B" w:rsidR="00AE1B2B" w:rsidTr="009D3FB5" w14:paraId="5891C2E4" w14:textId="77777777">
        <w:trPr>
          <w:trHeight w:val="113"/>
          <w:jc w:val="center"/>
        </w:trPr>
        <w:tc>
          <w:tcPr>
            <w:tcW w:w="1204" w:type="dxa"/>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7DED9B96"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F76C59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Trabajo</w:t>
            </w:r>
          </w:p>
        </w:tc>
        <w:tc>
          <w:tcPr>
            <w:tcW w:w="0" w:type="auto"/>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A866A73" w14:textId="77777777">
            <w:pPr>
              <w:spacing w:before="120" w:after="120" w:line="276" w:lineRule="auto"/>
              <w:rPr>
                <w:rFonts w:ascii="Times New Roman" w:hAnsi="Times New Roman" w:eastAsia="Times New Roman" w:cs="Times New Roman"/>
                <w:lang w:eastAsia="es-CR"/>
              </w:rPr>
            </w:pPr>
          </w:p>
        </w:tc>
        <w:tc>
          <w:tcPr>
            <w:tcW w:w="0" w:type="auto"/>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01AE93A6"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16300E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E2751B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5771DF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5C48A9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0053C7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3EE507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78%</w:t>
            </w:r>
          </w:p>
        </w:tc>
      </w:tr>
      <w:tr w:rsidRPr="00AE1B2B" w:rsidR="00AE1B2B" w:rsidTr="009D3FB5" w14:paraId="6CD7BB7A" w14:textId="77777777">
        <w:trPr>
          <w:trHeight w:val="113"/>
          <w:jc w:val="center"/>
        </w:trPr>
        <w:tc>
          <w:tcPr>
            <w:tcW w:w="1204" w:type="dxa"/>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AEE809D"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AC8F46E"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0" w:type="auto"/>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A56014A" w14:textId="77777777">
            <w:pPr>
              <w:spacing w:before="120" w:after="120" w:line="276" w:lineRule="auto"/>
              <w:rPr>
                <w:rFonts w:ascii="Times New Roman" w:hAnsi="Times New Roman" w:eastAsia="Times New Roman" w:cs="Times New Roman"/>
                <w:lang w:eastAsia="es-CR"/>
              </w:rPr>
            </w:pPr>
          </w:p>
        </w:tc>
        <w:tc>
          <w:tcPr>
            <w:tcW w:w="0" w:type="auto"/>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007C7237"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13664E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EC998E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6FAE66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266B2A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8E0561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152496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99%</w:t>
            </w:r>
          </w:p>
        </w:tc>
      </w:tr>
      <w:tr w:rsidRPr="00AE1B2B" w:rsidR="00AE1B2B" w:rsidTr="009D3FB5" w14:paraId="7100935C" w14:textId="77777777">
        <w:trPr>
          <w:trHeight w:val="113"/>
          <w:jc w:val="center"/>
        </w:trPr>
        <w:tc>
          <w:tcPr>
            <w:tcW w:w="1204" w:type="dxa"/>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B403234"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8D2CA8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 Dom.</w:t>
            </w:r>
          </w:p>
        </w:tc>
        <w:tc>
          <w:tcPr>
            <w:tcW w:w="0" w:type="auto"/>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9B0B4D9" w14:textId="77777777">
            <w:pPr>
              <w:spacing w:before="120" w:after="120" w:line="276" w:lineRule="auto"/>
              <w:rPr>
                <w:rFonts w:ascii="Times New Roman" w:hAnsi="Times New Roman" w:eastAsia="Times New Roman" w:cs="Times New Roman"/>
                <w:lang w:eastAsia="es-CR"/>
              </w:rPr>
            </w:pPr>
          </w:p>
        </w:tc>
        <w:tc>
          <w:tcPr>
            <w:tcW w:w="0" w:type="auto"/>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7B16C2D1"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33CD1E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F4D35B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63</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012095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49</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EFE1FD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31</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619040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8BD4B5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78%</w:t>
            </w:r>
          </w:p>
        </w:tc>
      </w:tr>
      <w:tr w:rsidRPr="00AE1B2B" w:rsidR="00AE1B2B" w:rsidTr="009D3FB5" w14:paraId="0455616E" w14:textId="77777777">
        <w:trPr>
          <w:trHeight w:val="113"/>
          <w:jc w:val="center"/>
        </w:trPr>
        <w:tc>
          <w:tcPr>
            <w:tcW w:w="1204" w:type="dxa"/>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E221E31"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DED1BB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Penal Juvenil</w:t>
            </w:r>
          </w:p>
        </w:tc>
        <w:tc>
          <w:tcPr>
            <w:tcW w:w="0" w:type="auto"/>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C4BF944" w14:textId="77777777">
            <w:pPr>
              <w:spacing w:before="120" w:after="120" w:line="276" w:lineRule="auto"/>
              <w:rPr>
                <w:rFonts w:ascii="Times New Roman" w:hAnsi="Times New Roman" w:eastAsia="Times New Roman" w:cs="Times New Roman"/>
                <w:lang w:eastAsia="es-CR"/>
              </w:rPr>
            </w:pPr>
          </w:p>
        </w:tc>
        <w:tc>
          <w:tcPr>
            <w:tcW w:w="0" w:type="auto"/>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9A686BD"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48BBCC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FD5058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A4164C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9C41F9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3FD33B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3B57BA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98%</w:t>
            </w:r>
          </w:p>
        </w:tc>
      </w:tr>
      <w:tr w:rsidRPr="00AE1B2B" w:rsidR="00AE1B2B" w:rsidTr="009D3FB5" w14:paraId="1CA5DCE5" w14:textId="77777777">
        <w:trPr>
          <w:trHeight w:val="113"/>
          <w:jc w:val="center"/>
        </w:trPr>
        <w:tc>
          <w:tcPr>
            <w:tcW w:w="1204" w:type="dxa"/>
            <w:vMerge w:val="restart"/>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5A876F6F"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Civil, Trabajo y Familia de Puriscal</w:t>
            </w:r>
          </w:p>
        </w:tc>
        <w:tc>
          <w:tcPr>
            <w:tcW w:w="923" w:type="dxa"/>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18CAD13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Civil</w:t>
            </w:r>
          </w:p>
        </w:tc>
        <w:tc>
          <w:tcPr>
            <w:tcW w:w="0" w:type="auto"/>
            <w:tcBorders>
              <w:top w:val="nil"/>
              <w:left w:val="single" w:color="auto" w:sz="4" w:space="0"/>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37C7EC7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vMerge w:val="restart"/>
            <w:tcBorders>
              <w:top w:val="nil"/>
              <w:left w:val="single" w:color="auto" w:sz="4" w:space="0"/>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0BC661E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54A68CE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14780CF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33</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5C95A55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73F5A78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32285EC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w:t>
            </w:r>
          </w:p>
        </w:tc>
        <w:tc>
          <w:tcPr>
            <w:tcW w:w="0" w:type="auto"/>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51C8BA7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78%</w:t>
            </w:r>
          </w:p>
        </w:tc>
      </w:tr>
      <w:tr w:rsidRPr="00AE1B2B" w:rsidR="00AE1B2B" w:rsidTr="009D3FB5" w14:paraId="7F9D7FC3" w14:textId="77777777">
        <w:trPr>
          <w:trHeight w:val="113"/>
          <w:jc w:val="center"/>
        </w:trPr>
        <w:tc>
          <w:tcPr>
            <w:tcW w:w="1204" w:type="dxa"/>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2217EE1F"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0B16E632"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Trabajo</w:t>
            </w:r>
          </w:p>
        </w:tc>
        <w:tc>
          <w:tcPr>
            <w:tcW w:w="0" w:type="auto"/>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0889B1D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2578E00C"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2937FCC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63E8747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22</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67C9F3B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21</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4996B90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3645E2D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0" w:type="auto"/>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321C380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98%</w:t>
            </w:r>
          </w:p>
        </w:tc>
      </w:tr>
      <w:tr w:rsidRPr="00AE1B2B" w:rsidR="00AE1B2B" w:rsidTr="009D3FB5" w14:paraId="24512274" w14:textId="77777777">
        <w:trPr>
          <w:trHeight w:val="113"/>
          <w:jc w:val="center"/>
        </w:trPr>
        <w:tc>
          <w:tcPr>
            <w:tcW w:w="1204" w:type="dxa"/>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583B5047"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7683981E"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0" w:type="auto"/>
            <w:vMerge w:val="restart"/>
            <w:tcBorders>
              <w:top w:val="nil"/>
              <w:left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316FBF6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270F43EA"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0FAD2BE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0179B96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49</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35CA434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47</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2B84416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49</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0BCEEC3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w:t>
            </w:r>
          </w:p>
        </w:tc>
        <w:tc>
          <w:tcPr>
            <w:tcW w:w="0" w:type="auto"/>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1C487F8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96%</w:t>
            </w:r>
          </w:p>
        </w:tc>
      </w:tr>
      <w:tr w:rsidRPr="00AE1B2B" w:rsidR="00AE1B2B" w:rsidTr="009D3FB5" w14:paraId="558FF46E" w14:textId="77777777">
        <w:trPr>
          <w:trHeight w:val="113"/>
          <w:jc w:val="center"/>
        </w:trPr>
        <w:tc>
          <w:tcPr>
            <w:tcW w:w="1204" w:type="dxa"/>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57A38FC2"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38CEFA9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 Dom.</w:t>
            </w:r>
          </w:p>
        </w:tc>
        <w:tc>
          <w:tcPr>
            <w:tcW w:w="0" w:type="auto"/>
            <w:vMerge/>
            <w:tcBorders>
              <w:left w:val="single" w:color="auto" w:sz="4" w:space="0"/>
              <w:right w:val="single" w:color="auto" w:sz="4" w:space="0"/>
            </w:tcBorders>
            <w:shd w:val="clear" w:color="auto" w:fill="D5DCE4" w:themeFill="text2" w:themeFillTint="33"/>
            <w:vAlign w:val="center"/>
            <w:hideMark/>
          </w:tcPr>
          <w:p w:rsidRPr="00AE1B2B" w:rsidR="009D3FB5" w:rsidP="00163B94" w:rsidRDefault="009D3FB5" w14:paraId="77704905" w14:textId="77777777">
            <w:pPr>
              <w:spacing w:before="120" w:after="120" w:line="276" w:lineRule="auto"/>
              <w:jc w:val="center"/>
              <w:rPr>
                <w:rFonts w:ascii="Times New Roman" w:hAnsi="Times New Roman" w:eastAsia="Times New Roman" w:cs="Times New Roman"/>
                <w:lang w:eastAsia="es-CR"/>
              </w:rPr>
            </w:pPr>
          </w:p>
        </w:tc>
        <w:tc>
          <w:tcPr>
            <w:tcW w:w="0" w:type="auto"/>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29AE40AD"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1CF3EA1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5467510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38</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1A9BBAD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41</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635B2F9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38</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3C3D356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w:t>
            </w:r>
          </w:p>
        </w:tc>
        <w:tc>
          <w:tcPr>
            <w:tcW w:w="0" w:type="auto"/>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13378FA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107%</w:t>
            </w:r>
          </w:p>
        </w:tc>
      </w:tr>
      <w:tr w:rsidRPr="00AE1B2B" w:rsidR="00AE1B2B" w:rsidTr="009D3FB5" w14:paraId="2F608245" w14:textId="77777777">
        <w:trPr>
          <w:trHeight w:val="113"/>
          <w:jc w:val="center"/>
        </w:trPr>
        <w:tc>
          <w:tcPr>
            <w:tcW w:w="1204" w:type="dxa"/>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0EA10139"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51B8925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Penal Juvenil</w:t>
            </w:r>
          </w:p>
        </w:tc>
        <w:tc>
          <w:tcPr>
            <w:tcW w:w="0" w:type="auto"/>
            <w:vMerge/>
            <w:tcBorders>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30D2FB02" w14:textId="77777777">
            <w:pPr>
              <w:spacing w:before="120" w:after="120" w:line="276" w:lineRule="auto"/>
              <w:jc w:val="center"/>
              <w:rPr>
                <w:rFonts w:ascii="Times New Roman" w:hAnsi="Times New Roman" w:eastAsia="Times New Roman" w:cs="Times New Roman"/>
                <w:lang w:eastAsia="es-CR"/>
              </w:rPr>
            </w:pPr>
          </w:p>
        </w:tc>
        <w:tc>
          <w:tcPr>
            <w:tcW w:w="0" w:type="auto"/>
            <w:vMerge/>
            <w:tcBorders>
              <w:top w:val="nil"/>
              <w:left w:val="single" w:color="auto" w:sz="4" w:space="0"/>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28F448AE"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3E95039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75B7A38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21094C8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7CCACD9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0" w:type="auto"/>
            <w:tcBorders>
              <w:top w:val="nil"/>
              <w:left w:val="nil"/>
              <w:bottom w:val="single" w:color="auto" w:sz="4" w:space="0"/>
              <w:right w:val="single" w:color="auto" w:sz="4" w:space="0"/>
            </w:tcBorders>
            <w:shd w:val="clear" w:color="auto" w:fill="D5DCE4" w:themeFill="text2" w:themeFillTint="33"/>
            <w:noWrap/>
            <w:vAlign w:val="center"/>
            <w:hideMark/>
          </w:tcPr>
          <w:p w:rsidRPr="00AE1B2B" w:rsidR="009D3FB5" w:rsidP="00163B94" w:rsidRDefault="009D3FB5" w14:paraId="0B3EB45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0" w:type="auto"/>
            <w:tcBorders>
              <w:top w:val="nil"/>
              <w:left w:val="nil"/>
              <w:bottom w:val="single" w:color="auto" w:sz="4" w:space="0"/>
              <w:right w:val="single" w:color="auto" w:sz="4" w:space="0"/>
            </w:tcBorders>
            <w:shd w:val="clear" w:color="auto" w:fill="D5DCE4" w:themeFill="text2" w:themeFillTint="33"/>
            <w:vAlign w:val="center"/>
            <w:hideMark/>
          </w:tcPr>
          <w:p w:rsidRPr="00AE1B2B" w:rsidR="009D3FB5" w:rsidP="00163B94" w:rsidRDefault="009D3FB5" w14:paraId="7F9918F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116%</w:t>
            </w:r>
          </w:p>
        </w:tc>
      </w:tr>
      <w:tr w:rsidRPr="00AE1B2B" w:rsidR="00AE1B2B" w:rsidTr="009D3FB5" w14:paraId="63130AB7" w14:textId="77777777">
        <w:trPr>
          <w:trHeight w:val="252"/>
          <w:jc w:val="center"/>
        </w:trPr>
        <w:tc>
          <w:tcPr>
            <w:tcW w:w="1204" w:type="dxa"/>
            <w:vMerge w:val="restar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4725B5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Juzgado Civ., Trab., Fam. Penal Juv. y Viol. Doméstica Sarapiquí</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22632DA"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Civil</w:t>
            </w:r>
          </w:p>
        </w:tc>
        <w:tc>
          <w:tcPr>
            <w:tcW w:w="0" w:type="auto"/>
            <w:vMerge w:val="restar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1E79BBC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vMerge w:val="restar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F2567F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911F15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064F13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B87D8C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5940A6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B610A6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4D8251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78%</w:t>
            </w:r>
          </w:p>
        </w:tc>
      </w:tr>
      <w:tr w:rsidRPr="00AE1B2B" w:rsidR="00AE1B2B" w:rsidTr="009D3FB5" w14:paraId="080F85A5" w14:textId="77777777">
        <w:trPr>
          <w:trHeight w:val="252"/>
          <w:jc w:val="center"/>
        </w:trPr>
        <w:tc>
          <w:tcPr>
            <w:tcW w:w="1204" w:type="dxa"/>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C8EECE3"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222BB92"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Trabajo</w:t>
            </w:r>
          </w:p>
        </w:tc>
        <w:tc>
          <w:tcPr>
            <w:tcW w:w="0" w:type="auto"/>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982BAA9" w14:textId="77777777">
            <w:pPr>
              <w:spacing w:before="120" w:after="120" w:line="276" w:lineRule="auto"/>
              <w:rPr>
                <w:rFonts w:ascii="Times New Roman" w:hAnsi="Times New Roman" w:eastAsia="Times New Roman" w:cs="Times New Roman"/>
                <w:lang w:eastAsia="es-CR"/>
              </w:rPr>
            </w:pPr>
          </w:p>
        </w:tc>
        <w:tc>
          <w:tcPr>
            <w:tcW w:w="0" w:type="auto"/>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73FD171"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652B30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DAB826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26</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7B6F90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17D015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26</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3A991D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B4BDAA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94%</w:t>
            </w:r>
          </w:p>
        </w:tc>
      </w:tr>
      <w:tr w:rsidRPr="00AE1B2B" w:rsidR="00AE1B2B" w:rsidTr="009D3FB5" w14:paraId="0945D9C1" w14:textId="77777777">
        <w:trPr>
          <w:trHeight w:val="253"/>
          <w:jc w:val="center"/>
        </w:trPr>
        <w:tc>
          <w:tcPr>
            <w:tcW w:w="1204" w:type="dxa"/>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686CA08"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C016C8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Viol. Dom.</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DAC2AF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0F81B1E"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935374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995548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73</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0D9E8A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83</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2BE844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73</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1E4F06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6E6A49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114%</w:t>
            </w:r>
          </w:p>
        </w:tc>
      </w:tr>
      <w:tr w:rsidRPr="00AE1B2B" w:rsidR="00AE1B2B" w:rsidTr="009D3FB5" w14:paraId="0219B3E3" w14:textId="77777777">
        <w:trPr>
          <w:trHeight w:val="252"/>
          <w:jc w:val="center"/>
        </w:trPr>
        <w:tc>
          <w:tcPr>
            <w:tcW w:w="1204" w:type="dxa"/>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7BF75F0"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71C543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Familia</w:t>
            </w:r>
          </w:p>
        </w:tc>
        <w:tc>
          <w:tcPr>
            <w:tcW w:w="0" w:type="auto"/>
            <w:vMerge w:val="restar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4D7047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07D31E34"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93A639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00C7D1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38</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A289DC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37</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3397F6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38</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FD9A7C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C054AF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97%</w:t>
            </w:r>
          </w:p>
        </w:tc>
      </w:tr>
      <w:tr w:rsidRPr="00AE1B2B" w:rsidR="00AE1B2B" w:rsidTr="009D3FB5" w14:paraId="1A593FE5" w14:textId="77777777">
        <w:trPr>
          <w:trHeight w:val="253"/>
          <w:jc w:val="center"/>
        </w:trPr>
        <w:tc>
          <w:tcPr>
            <w:tcW w:w="1204" w:type="dxa"/>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F16A9E3" w14:textId="77777777">
            <w:pPr>
              <w:spacing w:before="120" w:after="120" w:line="276" w:lineRule="auto"/>
              <w:rPr>
                <w:rFonts w:ascii="Times New Roman" w:hAnsi="Times New Roman" w:eastAsia="Times New Roman" w:cs="Times New Roman"/>
                <w:b/>
                <w:bCs/>
                <w:lang w:eastAsia="es-CR"/>
              </w:rPr>
            </w:pP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3803992"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Penal Juvenil</w:t>
            </w:r>
          </w:p>
        </w:tc>
        <w:tc>
          <w:tcPr>
            <w:tcW w:w="0" w:type="auto"/>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92D40D3" w14:textId="77777777">
            <w:pPr>
              <w:spacing w:before="120" w:after="120" w:line="276" w:lineRule="auto"/>
              <w:rPr>
                <w:rFonts w:ascii="Times New Roman" w:hAnsi="Times New Roman" w:eastAsia="Times New Roman" w:cs="Times New Roman"/>
                <w:lang w:eastAsia="es-CR"/>
              </w:rPr>
            </w:pPr>
          </w:p>
        </w:tc>
        <w:tc>
          <w:tcPr>
            <w:tcW w:w="0" w:type="auto"/>
            <w:vMerge/>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81CADA1" w14:textId="77777777">
            <w:pPr>
              <w:spacing w:before="120" w:after="120" w:line="276" w:lineRule="auto"/>
              <w:rPr>
                <w:rFonts w:ascii="Times New Roman" w:hAnsi="Times New Roman" w:eastAsia="Times New Roman" w:cs="Times New Roman"/>
                <w:lang w:eastAsia="es-CR"/>
              </w:rPr>
            </w:pP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F3DBE3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EB673A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87FD8A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BA7A31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w:t>
            </w:r>
          </w:p>
        </w:tc>
        <w:tc>
          <w:tcPr>
            <w:tcW w:w="0" w:type="auto"/>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927643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73C962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94%</w:t>
            </w:r>
          </w:p>
        </w:tc>
      </w:tr>
    </w:tbl>
    <w:p w:rsidRPr="00AE1B2B" w:rsidR="009D3FB5" w:rsidP="00163B94" w:rsidRDefault="009D3FB5" w14:paraId="6CF4F2FB" w14:textId="36CE6606">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 con base en datos de Cuadros Estadísticos del Subproceso de Estadística de la Dirección de Planificación. Los datos en Civil, Trabajo y Penal Juvenil son del 2019.</w:t>
      </w:r>
    </w:p>
    <w:p w:rsidRPr="00AE1B2B" w:rsidR="009D3FB5" w:rsidP="00163B94" w:rsidRDefault="009D3FB5" w14:paraId="0C1A6945"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*El juez 2 del Juzgado Civil, Trabajo y Familia Buenos Aires atiende materias Familia, Viol. Dom. Y Penal Juvenil, además de Civil y Trabajo en un 50%.</w:t>
      </w:r>
    </w:p>
    <w:p w:rsidRPr="00AE1B2B" w:rsidR="009D3FB5" w:rsidP="00163B94" w:rsidRDefault="009D3FB5" w14:paraId="6C4526B3" w14:textId="272CB392">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lastRenderedPageBreak/>
        <w:t>**El Juez 3 del Juzgado Civil, Trabajo y Familia II Circuito Judicial de Alajuela sede Upala atiende materia Trabajo en un 100% y Familia en un 50%. Otro Juez 50% de Familia y 100 Civil, hay una plaza especializada en Agrario y una que atiende VD y Penal Juvenil. Esto a partir de enero 2020.</w:t>
      </w:r>
    </w:p>
    <w:p w:rsidRPr="00AE1B2B" w:rsidR="009D3FB5" w:rsidP="00163B94" w:rsidRDefault="009D3FB5" w14:paraId="33EA886E" w14:textId="78F1B523">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***Juzgado Civil, Trabajo y Familia de Puriscal atiende: Juez 1 Violencia Doméstica 100%, Penal Juvenil 100% y Familia 100%, Juez/a 02: Trabajo 100% y el Juez/a 03: Civil 100%. Se está proponiendo una distribución distinta en el informe 1831-PLA-EV-2020 informe en consulta (Jueza o Juez 1 se le asigna un 25,33% de esta V.D. y a cargo del 100% de las materias de Familia y Penal Juvenil, la Jueza o Juez 2 a cargo del 100% de la materia Laboral y un 37,33% de Violencia Doméstica y la Jueza o Juez 3 a cargo del 100% de la materia Civil y un 37,33% de Violencia Doméstica).</w:t>
      </w:r>
    </w:p>
    <w:p w:rsidRPr="00AE1B2B" w:rsidR="009D3FB5" w:rsidP="00163B94" w:rsidRDefault="009D3FB5" w14:paraId="4780B0E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F0FC964" w14:textId="6BBEFC65">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Del cuadro anterior se infiere, que por plaza de persona juzgadora hay una entrada promedio entre todas las materias de 119 casos por mes y por persona técnica de 35 asuntos. Los únicos despachos que superan ese promedio de entrada total son Sarapiquí con 158 casos nuevos por mes y Upala con 153; sin embargo, la diferencia de asuntos no justifica la creación de un recurso adicional de persona juzgadora.</w:t>
      </w:r>
    </w:p>
    <w:p w:rsidRPr="00AE1B2B" w:rsidR="009D3FB5" w:rsidP="00163B94" w:rsidRDefault="009D3FB5" w14:paraId="0BADC6A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4AA35B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continuación, se procede a analizar cada uno de estos despachos de forma individual.</w:t>
      </w:r>
    </w:p>
    <w:p w:rsidRPr="00AE1B2B" w:rsidR="009D3FB5" w:rsidP="00163B94" w:rsidRDefault="009D3FB5" w14:paraId="30DC0A9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48F43E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 Civil, Trabajo y Familia de Buenos Aires</w:t>
      </w:r>
    </w:p>
    <w:p w:rsidRPr="00AE1B2B" w:rsidR="009D3FB5" w:rsidP="00163B94" w:rsidRDefault="009D3FB5" w14:paraId="072C06B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Juzgado Civil, Trabajo y Familia de Buenos Aires registra 23 casos entrados en promedio mensual en materia de Familia por persona juzgadora, registrando un porcentaje en la relación de terminados entrados de 90%, producto del efecto estimado por la desjudicialización que plantea el CPF este porcentaje se incrementaría a 102%, pudiéndose cubrir con la entrada de casos en este despacho en esta materia. En relación con las demás materias se registran 15 expedientes en Civil, 12 en Laboral, 11 en Agrario, 7 en Penal Juvenil y 47 en Violencia Doméstica, para un promedio de entrada por mes por plaza entre todas las materias de 101 casos (5 diarios).</w:t>
      </w:r>
    </w:p>
    <w:p w:rsidRPr="00AE1B2B" w:rsidR="009D3FB5" w:rsidP="00163B94" w:rsidRDefault="009D3FB5" w14:paraId="3F09D37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Por lo que los resultados actuales no permitirían sugerir la especialización de alguna de estas materias o la incorporación de nuevas plazas de personas juzgadoras en este despacho.</w:t>
      </w:r>
    </w:p>
    <w:p w:rsidRPr="00AE1B2B" w:rsidR="009D3FB5" w:rsidP="00163B94" w:rsidRDefault="009D3FB5" w14:paraId="7701B51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78E580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cuanto a las personas técnicas judiciales, reportan una entrada promedio mensual de 58 asuntos entre todas las materias (el promedio de sus homólogos es de 34). Además para la atención de la materia Agraria, tramitación, giras, entre otros, conforme se analizó en el informe de impacto presupuestario en el Poder Judicial ante la entrada en vigencia del Código Procesal Agrario se recomienda la asignación de un recurso adicional.</w:t>
      </w:r>
    </w:p>
    <w:p w:rsidRPr="00AE1B2B" w:rsidR="009D3FB5" w:rsidP="00163B94" w:rsidRDefault="009D3FB5" w14:paraId="4AD2EE03" w14:textId="18E59220">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901C627" w14:textId="3A238A9A">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Esta persona técnica judicial es necesaria para completar la estructura de trabajo, bajo la justificación de que actualmente se tiene a una persona atendiendo la manifestación, y dos para atender la entrada de las seis materias del despacho, una de esas personas debe además participar de las audiencias en materia Agraria, por lo que cuando suceda esto se podría tener solamente una persona técnica judicial para el trámite de asuntos de todo el despacho. De asignarse un recurso adicional la carga de trabajo por persona técnica pasaría de 58 a 38 asuntos nuevos por mes.</w:t>
      </w:r>
    </w:p>
    <w:p w:rsidRPr="00AE1B2B" w:rsidR="009D3FB5" w:rsidP="00163B94" w:rsidRDefault="009D3FB5" w14:paraId="741B909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086190A" w14:textId="0088F989">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46</w:t>
      </w:r>
      <w:r w:rsidRPr="00AE1B2B">
        <w:rPr>
          <w:rFonts w:ascii="Times New Roman" w:hAnsi="Times New Roman" w:cs="Times New Roman"/>
          <w:sz w:val="26"/>
          <w:szCs w:val="26"/>
        </w:rPr>
        <w:fldChar w:fldCharType="end"/>
      </w:r>
    </w:p>
    <w:p w:rsidRPr="00AE1B2B" w:rsidR="009D3FB5" w:rsidP="00163B94" w:rsidRDefault="009D3FB5" w14:paraId="137B72F8"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Estructura propuesta Juzgado Civil, Trabajo y Familia de Buenos Aires.</w:t>
      </w:r>
    </w:p>
    <w:tbl>
      <w:tblPr>
        <w:tblW w:w="52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2067"/>
        <w:gridCol w:w="3112"/>
        <w:gridCol w:w="4043"/>
      </w:tblGrid>
      <w:tr w:rsidRPr="00AE1B2B" w:rsidR="00AE1B2B" w:rsidTr="009D3FB5" w14:paraId="22DEBFA1" w14:textId="77777777">
        <w:trPr>
          <w:trHeight w:val="951"/>
          <w:tblHeader/>
          <w:jc w:val="center"/>
        </w:trPr>
        <w:tc>
          <w:tcPr>
            <w:tcW w:w="1121" w:type="pct"/>
            <w:shd w:val="clear" w:color="auto" w:fill="002060"/>
            <w:vAlign w:val="center"/>
          </w:tcPr>
          <w:p w:rsidRPr="00AE1B2B" w:rsidR="009D3FB5" w:rsidP="00163B94" w:rsidRDefault="009D3FB5" w14:paraId="01F661E0" w14:textId="77777777">
            <w:pPr>
              <w:spacing w:before="120" w:after="120" w:line="276" w:lineRule="auto"/>
              <w:jc w:val="center"/>
              <w:rPr>
                <w:rFonts w:ascii="Times New Roman" w:hAnsi="Times New Roman" w:cs="Times New Roman"/>
                <w:b/>
                <w:bCs/>
              </w:rPr>
            </w:pPr>
            <w:r w:rsidRPr="00AE1B2B">
              <w:rPr>
                <w:rFonts w:ascii="Times New Roman" w:hAnsi="Times New Roman" w:cs="Times New Roman"/>
                <w:b/>
                <w:bCs/>
              </w:rPr>
              <w:t>Juzgado Mixto</w:t>
            </w:r>
          </w:p>
        </w:tc>
        <w:tc>
          <w:tcPr>
            <w:tcW w:w="1687" w:type="pct"/>
            <w:shd w:val="clear" w:color="auto" w:fill="002060"/>
            <w:vAlign w:val="center"/>
          </w:tcPr>
          <w:p w:rsidRPr="00AE1B2B" w:rsidR="009D3FB5" w:rsidP="00163B94" w:rsidRDefault="009D3FB5" w14:paraId="64157051" w14:textId="77777777">
            <w:pPr>
              <w:spacing w:before="120" w:after="120" w:line="276" w:lineRule="auto"/>
              <w:jc w:val="center"/>
              <w:rPr>
                <w:rFonts w:ascii="Times New Roman" w:hAnsi="Times New Roman" w:cs="Times New Roman"/>
                <w:b/>
                <w:bCs/>
              </w:rPr>
            </w:pPr>
            <w:r w:rsidRPr="00AE1B2B">
              <w:rPr>
                <w:rFonts w:ascii="Times New Roman" w:hAnsi="Times New Roman" w:cs="Times New Roman"/>
                <w:b/>
                <w:bCs/>
              </w:rPr>
              <w:t>Estructura orgánica funcional actual del despacho</w:t>
            </w:r>
          </w:p>
        </w:tc>
        <w:tc>
          <w:tcPr>
            <w:tcW w:w="2192" w:type="pct"/>
            <w:shd w:val="clear" w:color="auto" w:fill="002060"/>
            <w:vAlign w:val="center"/>
          </w:tcPr>
          <w:p w:rsidRPr="00AE1B2B" w:rsidR="009D3FB5" w:rsidP="00163B94" w:rsidRDefault="009D3FB5" w14:paraId="2582B822" w14:textId="77777777">
            <w:pPr>
              <w:spacing w:before="120" w:after="120" w:line="276" w:lineRule="auto"/>
              <w:jc w:val="center"/>
              <w:rPr>
                <w:rFonts w:ascii="Times New Roman" w:hAnsi="Times New Roman" w:cs="Times New Roman"/>
                <w:b/>
              </w:rPr>
            </w:pPr>
            <w:r w:rsidRPr="00AE1B2B">
              <w:rPr>
                <w:rFonts w:ascii="Times New Roman" w:hAnsi="Times New Roman" w:cs="Times New Roman"/>
                <w:b/>
              </w:rPr>
              <w:t>Estructura Propuesta</w:t>
            </w:r>
          </w:p>
        </w:tc>
      </w:tr>
      <w:tr w:rsidRPr="00AE1B2B" w:rsidR="00AE1B2B" w:rsidTr="009D3FB5" w14:paraId="259FB3C0" w14:textId="77777777">
        <w:trPr>
          <w:trHeight w:val="1315"/>
          <w:jc w:val="center"/>
        </w:trPr>
        <w:tc>
          <w:tcPr>
            <w:tcW w:w="1121" w:type="pct"/>
            <w:shd w:val="clear" w:color="auto" w:fill="auto"/>
            <w:vAlign w:val="center"/>
          </w:tcPr>
          <w:p w:rsidRPr="00AE1B2B" w:rsidR="009D3FB5" w:rsidP="00163B94" w:rsidRDefault="009D3FB5" w14:paraId="566A3DB5" w14:textId="77777777">
            <w:pPr>
              <w:spacing w:before="120" w:after="120" w:line="276" w:lineRule="auto"/>
              <w:rPr>
                <w:rFonts w:ascii="Times New Roman" w:hAnsi="Times New Roman" w:cs="Times New Roman"/>
              </w:rPr>
            </w:pPr>
            <w:r w:rsidRPr="00AE1B2B">
              <w:rPr>
                <w:rFonts w:ascii="Times New Roman" w:hAnsi="Times New Roman" w:cs="Times New Roman"/>
              </w:rPr>
              <w:t>Juzgado Civil, Trabajo y Familia de Buenos Aires</w:t>
            </w:r>
          </w:p>
        </w:tc>
        <w:tc>
          <w:tcPr>
            <w:tcW w:w="1687" w:type="pct"/>
            <w:shd w:val="clear" w:color="auto" w:fill="auto"/>
            <w:vAlign w:val="center"/>
          </w:tcPr>
          <w:p w:rsidRPr="00AE1B2B" w:rsidR="009D3FB5" w:rsidP="00163B94" w:rsidRDefault="009D3FB5" w14:paraId="44CE27C3" w14:textId="77777777">
            <w:pPr>
              <w:spacing w:before="120" w:after="120" w:line="276" w:lineRule="auto"/>
              <w:rPr>
                <w:rFonts w:ascii="Times New Roman" w:hAnsi="Times New Roman" w:cs="Times New Roman"/>
              </w:rPr>
            </w:pPr>
            <w:r w:rsidRPr="00AE1B2B">
              <w:rPr>
                <w:rFonts w:ascii="Times New Roman" w:hAnsi="Times New Roman" w:cs="Times New Roman"/>
              </w:rPr>
              <w:t>2 Juezas/ces 3</w:t>
            </w:r>
          </w:p>
          <w:p w:rsidRPr="00AE1B2B" w:rsidR="009D3FB5" w:rsidP="00163B94" w:rsidRDefault="009D3FB5" w14:paraId="33D849F8" w14:textId="77777777">
            <w:pPr>
              <w:spacing w:before="120" w:after="120" w:line="276" w:lineRule="auto"/>
              <w:rPr>
                <w:rFonts w:ascii="Times New Roman" w:hAnsi="Times New Roman" w:cs="Times New Roman"/>
              </w:rPr>
            </w:pPr>
            <w:r w:rsidRPr="00AE1B2B">
              <w:rPr>
                <w:rFonts w:ascii="Times New Roman" w:hAnsi="Times New Roman" w:cs="Times New Roman"/>
              </w:rPr>
              <w:t>1 Coordinadora/or Judicial 2</w:t>
            </w:r>
          </w:p>
          <w:p w:rsidRPr="00AE1B2B" w:rsidR="009D3FB5" w:rsidP="00163B94" w:rsidRDefault="009D3FB5" w14:paraId="0B9A78AD" w14:textId="77777777">
            <w:pPr>
              <w:spacing w:before="120" w:after="120" w:line="276" w:lineRule="auto"/>
              <w:rPr>
                <w:rFonts w:ascii="Times New Roman" w:hAnsi="Times New Roman" w:cs="Times New Roman"/>
              </w:rPr>
            </w:pPr>
            <w:r w:rsidRPr="00AE1B2B">
              <w:rPr>
                <w:rFonts w:ascii="Times New Roman" w:hAnsi="Times New Roman" w:cs="Times New Roman"/>
              </w:rPr>
              <w:t>3 Técnicas/os Judiciales 2</w:t>
            </w:r>
          </w:p>
        </w:tc>
        <w:tc>
          <w:tcPr>
            <w:tcW w:w="2192" w:type="pct"/>
            <w:vAlign w:val="center"/>
          </w:tcPr>
          <w:p w:rsidRPr="00AE1B2B" w:rsidR="009D3FB5" w:rsidP="00163B94" w:rsidRDefault="009D3FB5" w14:paraId="4014468F" w14:textId="77777777">
            <w:pPr>
              <w:spacing w:before="120" w:after="120" w:line="276" w:lineRule="auto"/>
              <w:rPr>
                <w:rFonts w:ascii="Times New Roman" w:hAnsi="Times New Roman" w:cs="Times New Roman"/>
              </w:rPr>
            </w:pPr>
            <w:r w:rsidRPr="00AE1B2B">
              <w:rPr>
                <w:rFonts w:ascii="Times New Roman" w:hAnsi="Times New Roman" w:cs="Times New Roman"/>
              </w:rPr>
              <w:t>2 Juezas/ces 3</w:t>
            </w:r>
          </w:p>
          <w:p w:rsidRPr="00AE1B2B" w:rsidR="009D3FB5" w:rsidP="00163B94" w:rsidRDefault="009D3FB5" w14:paraId="64E3C140" w14:textId="77777777">
            <w:pPr>
              <w:spacing w:before="120" w:after="120" w:line="276" w:lineRule="auto"/>
              <w:rPr>
                <w:rFonts w:ascii="Times New Roman" w:hAnsi="Times New Roman" w:cs="Times New Roman"/>
              </w:rPr>
            </w:pPr>
            <w:r w:rsidRPr="00AE1B2B">
              <w:rPr>
                <w:rFonts w:ascii="Times New Roman" w:hAnsi="Times New Roman" w:cs="Times New Roman"/>
              </w:rPr>
              <w:t>1 Coordinadora/or Judicial 2</w:t>
            </w:r>
          </w:p>
          <w:p w:rsidRPr="00AE1B2B" w:rsidR="009D3FB5" w:rsidP="00163B94" w:rsidRDefault="009D3FB5" w14:paraId="1079A445" w14:textId="77777777">
            <w:pPr>
              <w:spacing w:before="120" w:after="120" w:line="276" w:lineRule="auto"/>
              <w:rPr>
                <w:rFonts w:ascii="Times New Roman" w:hAnsi="Times New Roman" w:cs="Times New Roman"/>
              </w:rPr>
            </w:pPr>
            <w:r w:rsidRPr="00AE1B2B">
              <w:rPr>
                <w:rFonts w:ascii="Times New Roman" w:hAnsi="Times New Roman" w:cs="Times New Roman"/>
              </w:rPr>
              <w:t>4 Técnicas/os Judiciales 2 (</w:t>
            </w:r>
            <w:r w:rsidRPr="00AE1B2B">
              <w:rPr>
                <w:rFonts w:ascii="Times New Roman" w:hAnsi="Times New Roman" w:cs="Times New Roman"/>
                <w:i/>
              </w:rPr>
              <w:t xml:space="preserve">debe </w:t>
            </w:r>
            <w:r w:rsidRPr="00AE1B2B">
              <w:rPr>
                <w:rFonts w:ascii="Times New Roman" w:hAnsi="Times New Roman" w:cs="Times New Roman"/>
                <w:i/>
                <w:iCs/>
              </w:rPr>
              <w:t>crearse</w:t>
            </w:r>
            <w:r w:rsidRPr="00AE1B2B">
              <w:rPr>
                <w:rFonts w:ascii="Times New Roman" w:hAnsi="Times New Roman" w:cs="Times New Roman"/>
                <w:i/>
              </w:rPr>
              <w:t xml:space="preserve"> una plaza </w:t>
            </w:r>
            <w:r w:rsidRPr="00AE1B2B">
              <w:rPr>
                <w:rFonts w:ascii="Times New Roman" w:hAnsi="Times New Roman" w:cs="Times New Roman"/>
                <w:i/>
                <w:iCs/>
              </w:rPr>
              <w:t>de técnica o técnico judicial 2</w:t>
            </w:r>
            <w:r w:rsidRPr="00AE1B2B">
              <w:rPr>
                <w:rFonts w:ascii="Times New Roman" w:hAnsi="Times New Roman" w:cs="Times New Roman"/>
              </w:rPr>
              <w:t>)</w:t>
            </w:r>
          </w:p>
        </w:tc>
      </w:tr>
    </w:tbl>
    <w:p w:rsidRPr="00AE1B2B" w:rsidR="009D3FB5" w:rsidP="00163B94" w:rsidRDefault="009D3FB5" w14:paraId="7ABF8791"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w:t>
      </w:r>
    </w:p>
    <w:p w:rsidRPr="00AE1B2B" w:rsidR="009D3FB5" w:rsidP="00163B94" w:rsidRDefault="009D3FB5" w14:paraId="20C0B612" w14:textId="77777777">
      <w:pPr>
        <w:spacing w:before="120" w:after="120"/>
        <w:ind w:left="851" w:right="851" w:firstLine="709"/>
        <w:rPr>
          <w:rFonts w:ascii="Times New Roman" w:hAnsi="Times New Roman" w:cs="Times New Roman"/>
          <w:sz w:val="26"/>
          <w:szCs w:val="26"/>
        </w:rPr>
      </w:pPr>
    </w:p>
    <w:p w:rsidRPr="00AE1B2B" w:rsidR="009D3FB5" w:rsidP="00163B94" w:rsidRDefault="009D3FB5" w14:paraId="1C1595B3" w14:textId="77777777">
      <w:pPr>
        <w:spacing w:before="120" w:after="120"/>
        <w:ind w:left="851" w:right="851" w:firstLine="709"/>
        <w:rPr>
          <w:rFonts w:ascii="Times New Roman" w:hAnsi="Times New Roman" w:cs="Times New Roman"/>
          <w:sz w:val="26"/>
          <w:szCs w:val="26"/>
        </w:rPr>
      </w:pPr>
      <w:r w:rsidRPr="00AE1B2B">
        <w:rPr>
          <w:rFonts w:ascii="Times New Roman" w:hAnsi="Times New Roman" w:cs="Times New Roman"/>
          <w:sz w:val="26"/>
          <w:szCs w:val="26"/>
        </w:rPr>
        <w:t>La propuesta en el Juzgado Civil, Trabajo y Familia de Buenos Aires</w:t>
      </w:r>
      <w:r w:rsidRPr="00AE1B2B" w:rsidDel="00404D47">
        <w:rPr>
          <w:rFonts w:ascii="Times New Roman" w:hAnsi="Times New Roman" w:cs="Times New Roman"/>
          <w:sz w:val="26"/>
          <w:szCs w:val="26"/>
        </w:rPr>
        <w:t xml:space="preserve"> </w:t>
      </w:r>
      <w:r w:rsidRPr="00AE1B2B">
        <w:rPr>
          <w:rFonts w:ascii="Times New Roman" w:hAnsi="Times New Roman" w:cs="Times New Roman"/>
          <w:sz w:val="26"/>
          <w:szCs w:val="26"/>
        </w:rPr>
        <w:t xml:space="preserve">conlleva la creación de una plaza extraordinaria de </w:t>
      </w:r>
      <w:r w:rsidRPr="00AE1B2B">
        <w:rPr>
          <w:rFonts w:ascii="Times New Roman" w:hAnsi="Times New Roman" w:cs="Times New Roman"/>
          <w:sz w:val="26"/>
          <w:szCs w:val="26"/>
        </w:rPr>
        <w:lastRenderedPageBreak/>
        <w:t>Técnico Judicial 2 en 2022 para completar la estructura de trabajo de este despacho, su impacto económico se calcula en el siguiente cuadro.</w:t>
      </w:r>
    </w:p>
    <w:p w:rsidRPr="00AE1B2B" w:rsidR="009D3FB5" w:rsidP="00163B94" w:rsidRDefault="009D3FB5" w14:paraId="031CC09C" w14:textId="77777777">
      <w:pPr>
        <w:spacing w:before="120" w:after="120"/>
        <w:ind w:left="851" w:right="851" w:firstLine="709"/>
        <w:rPr>
          <w:rFonts w:ascii="Times New Roman" w:hAnsi="Times New Roman" w:cs="Times New Roman"/>
          <w:sz w:val="26"/>
          <w:szCs w:val="26"/>
        </w:rPr>
      </w:pPr>
    </w:p>
    <w:p w:rsidRPr="00AE1B2B" w:rsidR="009D3FB5" w:rsidP="00163B94" w:rsidRDefault="009D3FB5" w14:paraId="0115C637" w14:textId="6EF181EF">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47</w:t>
      </w:r>
      <w:r w:rsidRPr="00AE1B2B">
        <w:rPr>
          <w:rFonts w:ascii="Times New Roman" w:hAnsi="Times New Roman" w:cs="Times New Roman"/>
          <w:sz w:val="26"/>
          <w:szCs w:val="26"/>
        </w:rPr>
        <w:fldChar w:fldCharType="end"/>
      </w:r>
    </w:p>
    <w:p w:rsidRPr="00AE1B2B" w:rsidR="009D3FB5" w:rsidP="00163B94" w:rsidRDefault="009D3FB5" w14:paraId="3B61DF89"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Costo de estructura propuesta Juzgado Civil, Trabajo y Familia de Buenos Aires.</w:t>
      </w:r>
    </w:p>
    <w:tbl>
      <w:tblPr>
        <w:tblW w:w="4990" w:type="pct"/>
        <w:tblCellMar>
          <w:left w:w="70" w:type="dxa"/>
          <w:right w:w="70" w:type="dxa"/>
        </w:tblCellMar>
        <w:tblLook w:val="04A0" w:firstRow="1" w:lastRow="0" w:firstColumn="1" w:lastColumn="0" w:noHBand="0" w:noVBand="1"/>
      </w:tblPr>
      <w:tblGrid>
        <w:gridCol w:w="2523"/>
        <w:gridCol w:w="1657"/>
        <w:gridCol w:w="1601"/>
        <w:gridCol w:w="3034"/>
      </w:tblGrid>
      <w:tr w:rsidRPr="00AE1B2B" w:rsidR="00AE1B2B" w:rsidTr="009D3FB5" w14:paraId="273BFDFD" w14:textId="77777777">
        <w:trPr>
          <w:cantSplit/>
          <w:trHeight w:val="664"/>
          <w:tblHeader/>
        </w:trPr>
        <w:tc>
          <w:tcPr>
            <w:tcW w:w="1431" w:type="pct"/>
            <w:tcBorders>
              <w:bottom w:val="single" w:color="auto" w:sz="4" w:space="0"/>
              <w:right w:val="single" w:color="auto" w:sz="4" w:space="0"/>
            </w:tcBorders>
            <w:shd w:val="clear" w:color="auto" w:fill="auto"/>
            <w:vAlign w:val="bottom"/>
            <w:hideMark/>
          </w:tcPr>
          <w:p w:rsidRPr="00AE1B2B" w:rsidR="009D3FB5" w:rsidP="00163B94" w:rsidRDefault="009D3FB5" w14:paraId="34C9540B" w14:textId="77777777">
            <w:pPr>
              <w:spacing w:before="120" w:after="120" w:line="276" w:lineRule="auto"/>
              <w:rPr>
                <w:rFonts w:ascii="Times New Roman" w:hAnsi="Times New Roman" w:eastAsia="Times New Roman" w:cs="Times New Roman"/>
                <w:lang w:eastAsia="es-CR"/>
              </w:rPr>
            </w:pPr>
          </w:p>
        </w:tc>
        <w:tc>
          <w:tcPr>
            <w:tcW w:w="940"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2AAA097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Clase ancha</w:t>
            </w:r>
          </w:p>
        </w:tc>
        <w:tc>
          <w:tcPr>
            <w:tcW w:w="908"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583990B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Clase angosta</w:t>
            </w:r>
          </w:p>
        </w:tc>
        <w:tc>
          <w:tcPr>
            <w:tcW w:w="1721"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337193B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ar-SA"/>
              </w:rPr>
              <w:t>Costo del puesto anual</w:t>
            </w:r>
          </w:p>
        </w:tc>
      </w:tr>
      <w:tr w:rsidRPr="00AE1B2B" w:rsidR="00AE1B2B" w:rsidTr="009D3FB5" w14:paraId="18D110DA" w14:textId="77777777">
        <w:trPr>
          <w:trHeight w:val="495"/>
        </w:trPr>
        <w:tc>
          <w:tcPr>
            <w:tcW w:w="1431" w:type="pct"/>
            <w:tcBorders>
              <w:top w:val="nil"/>
              <w:left w:val="single" w:color="auto" w:sz="4" w:space="0"/>
              <w:bottom w:val="single" w:color="auto" w:sz="4" w:space="0"/>
              <w:right w:val="single" w:color="auto" w:sz="4" w:space="0"/>
            </w:tcBorders>
            <w:shd w:val="clear" w:color="auto" w:fill="002060"/>
            <w:vAlign w:val="center"/>
          </w:tcPr>
          <w:p w:rsidRPr="00AE1B2B" w:rsidR="009D3FB5" w:rsidP="00163B94" w:rsidRDefault="009D3FB5" w14:paraId="438BA315"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cs="Times New Roman"/>
                <w:b/>
              </w:rPr>
              <w:t>Plaza nueva extraordinaria</w:t>
            </w:r>
          </w:p>
        </w:tc>
        <w:tc>
          <w:tcPr>
            <w:tcW w:w="940"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5EFC441A" w14:textId="77777777">
            <w:pPr>
              <w:spacing w:before="120" w:after="120" w:line="276" w:lineRule="auto"/>
              <w:jc w:val="center"/>
              <w:rPr>
                <w:rFonts w:ascii="Times New Roman" w:hAnsi="Times New Roman" w:eastAsia="Times New Roman" w:cs="Times New Roman"/>
                <w:lang w:eastAsia="ar-SA"/>
              </w:rPr>
            </w:pPr>
            <w:r w:rsidRPr="00AE1B2B">
              <w:rPr>
                <w:rFonts w:ascii="Times New Roman" w:hAnsi="Times New Roman" w:cs="Times New Roman"/>
              </w:rPr>
              <w:t>Técnico Judicial 2</w:t>
            </w:r>
          </w:p>
        </w:tc>
        <w:tc>
          <w:tcPr>
            <w:tcW w:w="908"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0ECD93BB" w14:textId="77777777">
            <w:pPr>
              <w:spacing w:before="120" w:after="120" w:line="276" w:lineRule="auto"/>
              <w:jc w:val="center"/>
              <w:rPr>
                <w:rFonts w:ascii="Times New Roman" w:hAnsi="Times New Roman" w:eastAsia="Times New Roman" w:cs="Times New Roman"/>
                <w:lang w:eastAsia="ar-SA"/>
              </w:rPr>
            </w:pPr>
            <w:r w:rsidRPr="00AE1B2B">
              <w:rPr>
                <w:rFonts w:ascii="Times New Roman" w:hAnsi="Times New Roman" w:cs="Times New Roman"/>
              </w:rPr>
              <w:t>Técnico Judicial</w:t>
            </w:r>
          </w:p>
        </w:tc>
        <w:tc>
          <w:tcPr>
            <w:tcW w:w="1721"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7FA93131" w14:textId="77777777">
            <w:pPr>
              <w:spacing w:before="120" w:after="120" w:line="276" w:lineRule="auto"/>
              <w:jc w:val="center"/>
              <w:rPr>
                <w:rFonts w:ascii="Times New Roman" w:hAnsi="Times New Roman" w:eastAsia="Times New Roman" w:cs="Times New Roman"/>
                <w:lang w:eastAsia="ar-SA"/>
              </w:rPr>
            </w:pPr>
            <w:r w:rsidRPr="00AE1B2B">
              <w:rPr>
                <w:rFonts w:ascii="Times New Roman" w:hAnsi="Times New Roman" w:cs="Times New Roman"/>
              </w:rPr>
              <w:t>₡14.520.000</w:t>
            </w:r>
          </w:p>
        </w:tc>
      </w:tr>
    </w:tbl>
    <w:p w:rsidRPr="00AE1B2B" w:rsidR="009D3FB5" w:rsidP="00163B94" w:rsidRDefault="009D3FB5" w14:paraId="27802BFA"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Modernización Institucional de la Dirección de Planificación. </w:t>
      </w:r>
    </w:p>
    <w:p w:rsidRPr="00AE1B2B" w:rsidR="009D3FB5" w:rsidP="00163B94" w:rsidRDefault="009D3FB5" w14:paraId="7B23D2C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85B49D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costo anual para hacerle frente a la inclusión del nuevo puestos extraordinario es de ₡14.520.000. Es importante indicar que, por estar ubicado este despacho en una región con poblaciones aborígenes, la plaza extraordinaria propuesta debe de completarse exclusivamente con una persona que domine el dialecto aborigen de la zona, para así atender la necesidad de esta población vulnerable y tener licencia de conducir. </w:t>
      </w:r>
    </w:p>
    <w:p w:rsidRPr="00AE1B2B" w:rsidR="009D3FB5" w:rsidP="00163B94" w:rsidRDefault="009D3FB5" w14:paraId="512D3DB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incluye este requerimiento en el presupuesto para la implementación del Código Procesal de Familia, ya que el Código Procesal Agrario entrará en vigencia hasta el 2023 (Ley 9609 recientemente aprobada y que establece una nueva vacancia para la entrada en vigencia del Código Procesal Agrario, a partir del 28 de febrero 2023.). </w:t>
      </w:r>
    </w:p>
    <w:p w:rsidRPr="00AE1B2B" w:rsidR="009D3FB5" w:rsidP="00163B94" w:rsidRDefault="009D3FB5" w14:paraId="4FA633B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61A7B8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100A1B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 Civil, Trabajo y Familia del Segundo Circuito Judicial de Alajuela (sede Upala)</w:t>
      </w:r>
    </w:p>
    <w:p w:rsidRPr="00AE1B2B" w:rsidR="009D3FB5" w:rsidP="00163B94" w:rsidRDefault="009D3FB5" w14:paraId="00479BA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62B30C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lang w:val="es-ES"/>
        </w:rPr>
        <w:t xml:space="preserve">El Consejo Superior en sesión 59-2020 celebrada el 16 de </w:t>
      </w:r>
      <w:r w:rsidRPr="00AE1B2B">
        <w:rPr>
          <w:rFonts w:ascii="Times New Roman" w:hAnsi="Times New Roman" w:cs="Times New Roman"/>
          <w:sz w:val="26"/>
          <w:szCs w:val="26"/>
          <w:lang w:val="es-ES_tradnl"/>
        </w:rPr>
        <w:t xml:space="preserve">junio </w:t>
      </w:r>
      <w:r w:rsidRPr="00AE1B2B">
        <w:rPr>
          <w:rFonts w:ascii="Times New Roman" w:hAnsi="Times New Roman" w:cs="Times New Roman"/>
          <w:sz w:val="26"/>
          <w:szCs w:val="26"/>
          <w:lang w:val="es-ES"/>
        </w:rPr>
        <w:t xml:space="preserve">de 2020, </w:t>
      </w:r>
      <w:bookmarkStart w:name="_Toc42840729" w:id="79"/>
      <w:bookmarkStart w:name="_Toc43211013" w:id="80"/>
      <w:bookmarkEnd w:id="79"/>
      <w:r w:rsidRPr="00AE1B2B">
        <w:rPr>
          <w:rFonts w:ascii="Times New Roman" w:hAnsi="Times New Roman" w:cs="Times New Roman"/>
          <w:sz w:val="26"/>
          <w:szCs w:val="26"/>
          <w:lang w:val="es-ES"/>
        </w:rPr>
        <w:t xml:space="preserve">artículo </w:t>
      </w:r>
      <w:r w:rsidRPr="00AE1B2B">
        <w:rPr>
          <w:rFonts w:ascii="Times New Roman" w:hAnsi="Times New Roman" w:cs="Times New Roman"/>
          <w:sz w:val="26"/>
          <w:szCs w:val="26"/>
        </w:rPr>
        <w:t xml:space="preserve">XLIII, aprueba el informe 742-PLA-EV-2020 de la Dirección de Planificación con el seguimiento realizado en ese oficina como parte del Modelo de Sostenibilidad de los despachos rediseñados en el Segundo Circuito </w:t>
      </w:r>
      <w:bookmarkEnd w:id="80"/>
      <w:r w:rsidRPr="00AE1B2B">
        <w:rPr>
          <w:rFonts w:ascii="Times New Roman" w:hAnsi="Times New Roman" w:cs="Times New Roman"/>
          <w:sz w:val="26"/>
          <w:szCs w:val="26"/>
        </w:rPr>
        <w:t xml:space="preserve">Judicial de Alajuela, San Carlos. </w:t>
      </w:r>
    </w:p>
    <w:p w:rsidRPr="00AE1B2B" w:rsidR="009D3FB5" w:rsidP="00163B94" w:rsidRDefault="009D3FB5" w14:paraId="51FB3DB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E7AEA79" w14:textId="568F75D9">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r w:rsidRPr="00AE1B2B">
        <w:rPr>
          <w:rFonts w:ascii="Times New Roman" w:hAnsi="Times New Roman" w:cs="Times New Roman"/>
          <w:b/>
          <w:bCs/>
          <w:i/>
          <w:iCs/>
          <w:sz w:val="26"/>
          <w:szCs w:val="26"/>
        </w:rPr>
        <w:t>Se acordó: 1)</w:t>
      </w:r>
      <w:r w:rsidRPr="00AE1B2B">
        <w:rPr>
          <w:rFonts w:ascii="Times New Roman" w:hAnsi="Times New Roman" w:cs="Times New Roman"/>
          <w:i/>
          <w:iCs/>
          <w:sz w:val="26"/>
          <w:szCs w:val="26"/>
        </w:rPr>
        <w:t xml:space="preserve"> Tener por rendido el informe N°742-PLA-EV-2020 de la Dirección de Planificación, relacionado con el seguimiento al Juzgado Mixto de Upala, conforme al Modelo de Sostenibilidad del Segundo Circuito Judicial de Alajuela. </w:t>
      </w:r>
      <w:r w:rsidRPr="00AE1B2B">
        <w:rPr>
          <w:rFonts w:ascii="Times New Roman" w:hAnsi="Times New Roman" w:cs="Times New Roman"/>
          <w:b/>
          <w:bCs/>
          <w:i/>
          <w:iCs/>
          <w:sz w:val="26"/>
          <w:szCs w:val="26"/>
        </w:rPr>
        <w:t>2</w:t>
      </w:r>
      <w:r w:rsidRPr="00AE1B2B">
        <w:rPr>
          <w:rFonts w:ascii="Times New Roman" w:hAnsi="Times New Roman" w:cs="Times New Roman"/>
          <w:b/>
          <w:bCs/>
          <w:i/>
          <w:iCs/>
          <w:snapToGrid w:val="0"/>
          <w:sz w:val="26"/>
          <w:szCs w:val="26"/>
        </w:rPr>
        <w:t>)</w:t>
      </w:r>
      <w:r w:rsidRPr="00AE1B2B">
        <w:rPr>
          <w:rFonts w:ascii="Times New Roman" w:hAnsi="Times New Roman" w:cs="Times New Roman"/>
          <w:i/>
          <w:iCs/>
          <w:snapToGrid w:val="0"/>
          <w:sz w:val="26"/>
          <w:szCs w:val="26"/>
        </w:rPr>
        <w:t xml:space="preserve"> Aprobar las recomendaciones señaladas en el presente informe dirigidas a la Contraloría de Servicio del Segundo Circuito Judicial de Alajuela, Juzgado Civil y de Trabajo del Segundo Circuito Judicial de Alajuela y a la Dirección de Tecnología de la Información. </w:t>
      </w:r>
      <w:r w:rsidRPr="00AE1B2B">
        <w:rPr>
          <w:rFonts w:ascii="Times New Roman" w:hAnsi="Times New Roman" w:cs="Times New Roman"/>
          <w:b/>
          <w:bCs/>
          <w:i/>
          <w:iCs/>
          <w:snapToGrid w:val="0"/>
          <w:sz w:val="26"/>
          <w:szCs w:val="26"/>
        </w:rPr>
        <w:t>3)</w:t>
      </w:r>
      <w:r w:rsidRPr="00AE1B2B">
        <w:rPr>
          <w:rFonts w:ascii="Times New Roman" w:hAnsi="Times New Roman" w:cs="Times New Roman"/>
          <w:i/>
          <w:iCs/>
          <w:snapToGrid w:val="0"/>
          <w:sz w:val="26"/>
          <w:szCs w:val="26"/>
        </w:rPr>
        <w:t xml:space="preserve"> </w:t>
      </w:r>
      <w:r w:rsidRPr="00AE1B2B">
        <w:rPr>
          <w:rFonts w:ascii="Times New Roman" w:hAnsi="Times New Roman" w:cs="Times New Roman"/>
          <w:i/>
          <w:iCs/>
          <w:sz w:val="26"/>
          <w:szCs w:val="26"/>
        </w:rPr>
        <w:t>Avalar la continuidad de la distribución de la cuota de trabajo semanal según materia, la cual se establece en:</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Trabajo cuota semanal de 25 y cuota diaria de 5; Agrario cuota semanal de 20 y cuota diaria de 4; Familia cuota semanal de 10 y cuota diaria de 2; Civil cuota semanal de 10 y cuota diaria de 2; Violencia Doméstica cuota semanal de 5 y cuota diaria 1 y Penal Juvenil cuota semanal de 5 y cuota diaria de 1. Señalando que en la cuota diario al menos dos deben ser causas nuevas. Asimismo, se ordena al Juzgado Civil y Trabajo del Segundo Circuito Judicial de Alajuela (sede Upala), a mantener actualizados los sistemas de información del despacho de conformidad con lo establecido en la Circular N° 85-2015 emitida por el Consejo Superior en sesión No. 36-15 celebrada el 21 de abril de 2015, artículo LI; para efectos de dar seguimiento a su desempeño y tomar decisiones fundamentadas.</w:t>
      </w:r>
      <w:r w:rsidRPr="00AE1B2B">
        <w:rPr>
          <w:rFonts w:ascii="Times New Roman" w:hAnsi="Times New Roman" w:cs="Times New Roman"/>
          <w:b/>
          <w:bCs/>
          <w:i/>
          <w:iCs/>
          <w:snapToGrid w:val="0"/>
          <w:sz w:val="26"/>
          <w:szCs w:val="26"/>
        </w:rPr>
        <w:t>4</w:t>
      </w:r>
      <w:r w:rsidRPr="00AE1B2B">
        <w:rPr>
          <w:rFonts w:ascii="Times New Roman" w:hAnsi="Times New Roman" w:cs="Times New Roman"/>
          <w:b/>
          <w:bCs/>
          <w:i/>
          <w:iCs/>
          <w:sz w:val="26"/>
          <w:szCs w:val="26"/>
        </w:rPr>
        <w:t>)</w:t>
      </w:r>
      <w:r w:rsidRPr="00AE1B2B">
        <w:rPr>
          <w:rFonts w:ascii="Times New Roman" w:hAnsi="Times New Roman" w:cs="Times New Roman"/>
          <w:i/>
          <w:iCs/>
          <w:sz w:val="26"/>
          <w:szCs w:val="26"/>
        </w:rPr>
        <w:t xml:space="preserve"> Hacer este informe de conocimiento de la Dirección Ejecutiva, Contraloría de Servicios del Segundo Circuito Judicial de Alajuela, Juzgado Civil y Trabajo del Segundo Circuito Judicial de Alajuela y a la Dirección de Tecnologías de la Información.</w:t>
      </w:r>
      <w:r w:rsidRPr="00AE1B2B">
        <w:rPr>
          <w:rFonts w:ascii="Times New Roman" w:hAnsi="Times New Roman" w:cs="Times New Roman"/>
          <w:b/>
          <w:bCs/>
          <w:i/>
          <w:iCs/>
          <w:sz w:val="26"/>
          <w:szCs w:val="26"/>
        </w:rPr>
        <w:t>”</w:t>
      </w:r>
    </w:p>
    <w:p w:rsidRPr="00AE1B2B" w:rsidR="009D3FB5" w:rsidP="00163B94" w:rsidRDefault="009D3FB5" w14:paraId="3C81F3C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0711E1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Esta oficina cuenta a partir de enero de 2020 (fecha a partir de la cual se incorporó un recurso adicional de persona juzgadora) con la estructura necesaria para atender su carga de trabajo, tanto a nivel de personas juzgadoras como técnicas.</w:t>
      </w:r>
    </w:p>
    <w:p w:rsidRPr="00AE1B2B" w:rsidR="009D3FB5" w:rsidP="00163B94" w:rsidRDefault="009D3FB5" w14:paraId="6E9D00B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830956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AE0DAF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 Civil, Trabajo y Familia de Osa</w:t>
      </w:r>
    </w:p>
    <w:p w:rsidRPr="00AE1B2B" w:rsidR="009D3FB5" w:rsidP="00163B94" w:rsidRDefault="009D3FB5" w14:paraId="3F3C752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caso del Juzgado Civil, Trabajo y Familia de Osa, registra un promedio mensual de entrada de 62 por cada persona juzgadora (6 casos entrados en materia Civil, 9 en Laboral, 14 en Familia, 31 en Violencia Doméstica y 2 en Penal Juvenil). Registra una entrada menor a sus homólogos donde el promedio es de 119 </w:t>
      </w:r>
      <w:r w:rsidRPr="00AE1B2B">
        <w:rPr>
          <w:rFonts w:ascii="Times New Roman" w:hAnsi="Times New Roman" w:cs="Times New Roman"/>
          <w:sz w:val="26"/>
          <w:szCs w:val="26"/>
        </w:rPr>
        <w:lastRenderedPageBreak/>
        <w:t>asuntos nuevos por plaza) lo que no justifica especialización de alguna materia o la asignación de nuevo personal.</w:t>
      </w:r>
    </w:p>
    <w:p w:rsidRPr="00AE1B2B" w:rsidR="009D3FB5" w:rsidP="00163B94" w:rsidRDefault="009D3FB5" w14:paraId="0D66D04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Juzgados Civil, Trabajo, Familia, Penal Juvenil y Violencia Doméstica de Sarapiquí</w:t>
      </w:r>
    </w:p>
    <w:p w:rsidRPr="00AE1B2B" w:rsidR="009D3FB5" w:rsidP="00163B94" w:rsidRDefault="009D3FB5" w14:paraId="3C500FDA" w14:textId="622C4080">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entrada promedio por plaza de persona juzgadora en Sarapiquí (entre todas las materias) es de 158 asuntos, 8 casos por día.</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El promedio nacional es de 119 casos, sin embargo, la diferencia no justifica la asignación de recurso adicional.</w:t>
      </w:r>
      <w:r w:rsidRPr="00AE1B2B" w:rsidR="00BB7720">
        <w:rPr>
          <w:rFonts w:ascii="Times New Roman" w:hAnsi="Times New Roman" w:cs="Times New Roman"/>
          <w:sz w:val="26"/>
          <w:szCs w:val="26"/>
        </w:rPr>
        <w:t xml:space="preserve"> </w:t>
      </w:r>
    </w:p>
    <w:p w:rsidRPr="00AE1B2B" w:rsidR="009D3FB5" w:rsidP="00163B94" w:rsidRDefault="009D3FB5" w14:paraId="667CE78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Respecto al personal técnico, cada plaza tiene una entrada mensual de 32 asuntos, por debajo del promedio entre homólogos que es de 35. </w:t>
      </w:r>
    </w:p>
    <w:p w:rsidRPr="00AE1B2B" w:rsidR="009D3FB5" w:rsidP="00163B94" w:rsidRDefault="009D3FB5" w14:paraId="60CBDF6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845F10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E3B2F2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Juzgado Civil, Trabajo, Familia, Penal Juvenil y Violencia Doméstica de Puriscal</w:t>
      </w:r>
    </w:p>
    <w:p w:rsidRPr="00AE1B2B" w:rsidR="009D3FB5" w:rsidP="00163B94" w:rsidRDefault="009D3FB5" w14:paraId="3F8D57D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lo que respecta a los </w:t>
      </w:r>
      <w:bookmarkStart w:name="_Hlk35525717" w:id="81"/>
      <w:r w:rsidRPr="00AE1B2B">
        <w:rPr>
          <w:rFonts w:ascii="Times New Roman" w:hAnsi="Times New Roman" w:cs="Times New Roman"/>
          <w:sz w:val="26"/>
          <w:szCs w:val="26"/>
        </w:rPr>
        <w:t>Juzgados Civil, Trabajo, Familia, Penal Juvenil y Violencia Doméstica de Puriscal</w:t>
      </w:r>
      <w:bookmarkEnd w:id="81"/>
      <w:r w:rsidRPr="00AE1B2B">
        <w:rPr>
          <w:rFonts w:ascii="Times New Roman" w:hAnsi="Times New Roman" w:cs="Times New Roman"/>
          <w:sz w:val="26"/>
          <w:szCs w:val="26"/>
        </w:rPr>
        <w:t xml:space="preserve">, registra una entrada promedio por plaza de persona juzgadora y de técnica que se ajusta al promedio entre oficinas homologas, con una entrada mensual por Jueza o Juez de 120 casos y de 37 por Técnica o Técnico Judicial de trámite. </w:t>
      </w:r>
    </w:p>
    <w:p w:rsidRPr="00AE1B2B" w:rsidR="009D3FB5" w:rsidP="00163B94" w:rsidRDefault="009D3FB5" w14:paraId="2C70B1F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A694F0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Respecto a Puriscal es necesario realizar una distribución a lo interno de las materias que conoce cada plaza, ya que con la distribución actual la plaza que atiende la materia de Familia esta sobrecargada y debe solucionarse de previo a la entrada en vigencia de la nueva norma procesal en Familia. </w:t>
      </w:r>
    </w:p>
    <w:p w:rsidRPr="00AE1B2B" w:rsidR="009D3FB5" w:rsidP="00163B94" w:rsidRDefault="009D3FB5" w14:paraId="35091BF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9822ED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24BC7B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estima que con el CPF los despachos incluidos los mixtos de más de 5 materias registrarán una reducción en la cantidad de entrados en materia de Familia, mejorando el porcentaje de la relación de terminados y entrados, llegándose a registrar valores superiores al 100%, esto producto de la desjudicialización de procesos.</w:t>
      </w:r>
    </w:p>
    <w:p w:rsidRPr="00AE1B2B" w:rsidR="009D3FB5" w:rsidP="00163B94" w:rsidRDefault="009D3FB5" w14:paraId="4039C0F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2ACF63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06E42B8" w14:textId="3C51A512">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Adicional, en el caso de los despachos de Familia que además son competentes en</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Penal Juvenil, se mantiene la propuesta de mantener el personal actual para disminuir el circulante de estos despachos y brindar una respuesta ajustada a las necesidades de los menores de edad, dada la vulnerabilidad de la materia, que las Fiscalías que atienden dicha materia valoren la posibilidad de que algunos de los casos de materia Penal Juvenil sean atendidos mediante el Programa de</w:t>
      </w:r>
      <w:r w:rsidRPr="00AE1B2B" w:rsidDel="0007059A">
        <w:rPr>
          <w:rFonts w:ascii="Times New Roman" w:hAnsi="Times New Roman" w:cs="Times New Roman"/>
          <w:sz w:val="26"/>
          <w:szCs w:val="26"/>
        </w:rPr>
        <w:t xml:space="preserve"> </w:t>
      </w:r>
      <w:r w:rsidRPr="00AE1B2B">
        <w:rPr>
          <w:rFonts w:ascii="Times New Roman" w:hAnsi="Times New Roman" w:cs="Times New Roman"/>
          <w:sz w:val="26"/>
          <w:szCs w:val="26"/>
        </w:rPr>
        <w:t>Justicia Restaurativa de la región en que se cuenta cada uno de esos despachos. A la fecha existen un equipo de Justicia Restaurativa para atender el II y III Circuito Judicial de San José, I Circuito Judicial de Alajuela, Circuito Judicial de Heredia, Circuito Judicial de Cartago, I Circuito Judicial de la Zona Sur, II Circuito Judicial de la Zona Atlántica, Circuito Judicial de Puntarenas y I Circuito Judicial de Guanacaste.</w:t>
      </w:r>
    </w:p>
    <w:p w:rsidRPr="00AE1B2B" w:rsidR="009D3FB5" w:rsidP="00163B94" w:rsidRDefault="009D3FB5" w14:paraId="61026329" w14:textId="77777777">
      <w:pPr>
        <w:spacing w:before="120" w:after="120"/>
        <w:ind w:left="851" w:right="851" w:firstLine="709"/>
        <w:jc w:val="both"/>
        <w:rPr>
          <w:rFonts w:ascii="Times New Roman" w:hAnsi="Times New Roman" w:cs="Times New Roman"/>
          <w:sz w:val="26"/>
          <w:szCs w:val="26"/>
        </w:rPr>
      </w:pPr>
    </w:p>
    <w:p w:rsidRPr="00AE1B2B" w:rsidR="009D3FB5" w:rsidDel="00F801A8" w:rsidP="00163B94" w:rsidRDefault="009D3FB5" w14:paraId="33A3165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29C66B7" w14:textId="4B2713E4">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48</w:t>
      </w:r>
      <w:r w:rsidRPr="00AE1B2B">
        <w:rPr>
          <w:rFonts w:ascii="Times New Roman" w:hAnsi="Times New Roman" w:cs="Times New Roman"/>
          <w:sz w:val="26"/>
          <w:szCs w:val="26"/>
        </w:rPr>
        <w:fldChar w:fldCharType="end"/>
      </w:r>
    </w:p>
    <w:p w:rsidRPr="00AE1B2B" w:rsidR="009D3FB5" w:rsidP="00163B94" w:rsidRDefault="009D3FB5" w14:paraId="151D37ED"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Carga de trabajo para los Juzgados de Familia que atienden la materia Penal Juvenil.</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5207"/>
        <w:gridCol w:w="1134"/>
        <w:gridCol w:w="1351"/>
        <w:gridCol w:w="1136"/>
      </w:tblGrid>
      <w:tr w:rsidRPr="00AE1B2B" w:rsidR="00AE1B2B" w:rsidTr="009D3FB5" w14:paraId="65C62F60" w14:textId="77777777">
        <w:trPr>
          <w:trHeight w:val="20"/>
          <w:jc w:val="center"/>
        </w:trPr>
        <w:tc>
          <w:tcPr>
            <w:tcW w:w="5240" w:type="dxa"/>
            <w:shd w:val="clear" w:color="auto" w:fill="002060"/>
            <w:vAlign w:val="center"/>
            <w:hideMark/>
          </w:tcPr>
          <w:p w:rsidRPr="00AE1B2B" w:rsidR="009D3FB5" w:rsidP="00163B94" w:rsidRDefault="009D3FB5" w14:paraId="1CF7307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Despacho</w:t>
            </w:r>
          </w:p>
        </w:tc>
        <w:tc>
          <w:tcPr>
            <w:tcW w:w="1140" w:type="dxa"/>
            <w:shd w:val="clear" w:color="auto" w:fill="002060"/>
            <w:vAlign w:val="center"/>
            <w:hideMark/>
          </w:tcPr>
          <w:p w:rsidRPr="00AE1B2B" w:rsidR="009D3FB5" w:rsidP="00163B94" w:rsidRDefault="009D3FB5" w14:paraId="520B86B2"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Entrados totales 2019</w:t>
            </w:r>
          </w:p>
        </w:tc>
        <w:tc>
          <w:tcPr>
            <w:tcW w:w="1359" w:type="dxa"/>
            <w:shd w:val="clear" w:color="auto" w:fill="002060"/>
            <w:vAlign w:val="center"/>
            <w:hideMark/>
          </w:tcPr>
          <w:p w:rsidRPr="00AE1B2B" w:rsidR="009D3FB5" w:rsidP="00163B94" w:rsidRDefault="009D3FB5" w14:paraId="1F3B345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Terminados 2019</w:t>
            </w:r>
          </w:p>
        </w:tc>
        <w:tc>
          <w:tcPr>
            <w:tcW w:w="0" w:type="auto"/>
            <w:shd w:val="clear" w:color="auto" w:fill="002060"/>
            <w:vAlign w:val="center"/>
            <w:hideMark/>
          </w:tcPr>
          <w:p w:rsidRPr="00AE1B2B" w:rsidR="009D3FB5" w:rsidP="00163B94" w:rsidRDefault="009D3FB5" w14:paraId="3D544AC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Circulante al 31/12/2019</w:t>
            </w:r>
          </w:p>
        </w:tc>
      </w:tr>
      <w:tr w:rsidRPr="00AE1B2B" w:rsidR="00AE1B2B" w:rsidTr="009D3FB5" w14:paraId="70A65B08" w14:textId="77777777">
        <w:trPr>
          <w:trHeight w:val="20"/>
          <w:jc w:val="center"/>
        </w:trPr>
        <w:tc>
          <w:tcPr>
            <w:tcW w:w="5240" w:type="dxa"/>
            <w:shd w:val="clear" w:color="auto" w:fill="auto"/>
            <w:noWrap/>
            <w:vAlign w:val="bottom"/>
            <w:hideMark/>
          </w:tcPr>
          <w:p w:rsidRPr="00AE1B2B" w:rsidR="009D3FB5" w:rsidP="00163B94" w:rsidRDefault="009D3FB5" w14:paraId="7F1469B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Civil, Trabajo y Familia II Circuito Judicial de Alajuela sede Upala</w:t>
            </w:r>
          </w:p>
        </w:tc>
        <w:tc>
          <w:tcPr>
            <w:tcW w:w="1140" w:type="dxa"/>
            <w:shd w:val="clear" w:color="auto" w:fill="auto"/>
            <w:noWrap/>
            <w:vAlign w:val="center"/>
            <w:hideMark/>
          </w:tcPr>
          <w:p w:rsidRPr="00AE1B2B" w:rsidR="009D3FB5" w:rsidP="00163B94" w:rsidRDefault="009D3FB5" w14:paraId="4D28644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138</w:t>
            </w:r>
          </w:p>
        </w:tc>
        <w:tc>
          <w:tcPr>
            <w:tcW w:w="1359" w:type="dxa"/>
            <w:shd w:val="clear" w:color="auto" w:fill="auto"/>
            <w:noWrap/>
            <w:vAlign w:val="center"/>
            <w:hideMark/>
          </w:tcPr>
          <w:p w:rsidRPr="00AE1B2B" w:rsidR="009D3FB5" w:rsidP="00163B94" w:rsidRDefault="009D3FB5" w14:paraId="219BC6B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95</w:t>
            </w:r>
          </w:p>
        </w:tc>
        <w:tc>
          <w:tcPr>
            <w:tcW w:w="0" w:type="auto"/>
            <w:shd w:val="clear" w:color="auto" w:fill="auto"/>
            <w:noWrap/>
            <w:vAlign w:val="center"/>
            <w:hideMark/>
          </w:tcPr>
          <w:p w:rsidRPr="00AE1B2B" w:rsidR="009D3FB5" w:rsidP="00163B94" w:rsidRDefault="009D3FB5" w14:paraId="7022586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135</w:t>
            </w:r>
          </w:p>
        </w:tc>
      </w:tr>
      <w:tr w:rsidRPr="00AE1B2B" w:rsidR="00AE1B2B" w:rsidTr="009D3FB5" w14:paraId="2F65E67F" w14:textId="77777777">
        <w:trPr>
          <w:trHeight w:val="20"/>
          <w:jc w:val="center"/>
        </w:trPr>
        <w:tc>
          <w:tcPr>
            <w:tcW w:w="5240" w:type="dxa"/>
            <w:shd w:val="clear" w:color="auto" w:fill="auto"/>
            <w:noWrap/>
            <w:vAlign w:val="bottom"/>
          </w:tcPr>
          <w:p w:rsidRPr="00AE1B2B" w:rsidR="009D3FB5" w:rsidP="00163B94" w:rsidRDefault="009D3FB5" w14:paraId="38FF263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Civil, Trabajo, Familia, Penal Juvenil y Violencia Doméstica Sarapiquí</w:t>
            </w:r>
          </w:p>
        </w:tc>
        <w:tc>
          <w:tcPr>
            <w:tcW w:w="1140" w:type="dxa"/>
            <w:shd w:val="clear" w:color="auto" w:fill="auto"/>
            <w:noWrap/>
            <w:vAlign w:val="center"/>
          </w:tcPr>
          <w:p w:rsidRPr="00AE1B2B" w:rsidR="009D3FB5" w:rsidP="00163B94" w:rsidRDefault="009D3FB5" w14:paraId="2F6AAE0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137</w:t>
            </w:r>
          </w:p>
        </w:tc>
        <w:tc>
          <w:tcPr>
            <w:tcW w:w="1359" w:type="dxa"/>
            <w:shd w:val="clear" w:color="auto" w:fill="auto"/>
            <w:noWrap/>
            <w:vAlign w:val="center"/>
          </w:tcPr>
          <w:p w:rsidRPr="00AE1B2B" w:rsidR="009D3FB5" w:rsidP="00163B94" w:rsidRDefault="009D3FB5" w14:paraId="2AA3216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129</w:t>
            </w:r>
          </w:p>
        </w:tc>
        <w:tc>
          <w:tcPr>
            <w:tcW w:w="0" w:type="auto"/>
            <w:shd w:val="clear" w:color="auto" w:fill="auto"/>
            <w:noWrap/>
            <w:vAlign w:val="center"/>
          </w:tcPr>
          <w:p w:rsidRPr="00AE1B2B" w:rsidR="009D3FB5" w:rsidP="00163B94" w:rsidRDefault="009D3FB5" w14:paraId="4F45449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99</w:t>
            </w:r>
          </w:p>
        </w:tc>
      </w:tr>
      <w:tr w:rsidRPr="00AE1B2B" w:rsidR="00AE1B2B" w:rsidTr="009D3FB5" w14:paraId="13BAD514" w14:textId="77777777">
        <w:trPr>
          <w:trHeight w:val="20"/>
          <w:jc w:val="center"/>
        </w:trPr>
        <w:tc>
          <w:tcPr>
            <w:tcW w:w="5240" w:type="dxa"/>
            <w:shd w:val="clear" w:color="auto" w:fill="auto"/>
            <w:noWrap/>
            <w:vAlign w:val="bottom"/>
          </w:tcPr>
          <w:p w:rsidRPr="00AE1B2B" w:rsidR="009D3FB5" w:rsidP="00163B94" w:rsidRDefault="009D3FB5" w14:paraId="7348571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Penal Juvenil y Violencia Doméstica Cañas</w:t>
            </w:r>
          </w:p>
        </w:tc>
        <w:tc>
          <w:tcPr>
            <w:tcW w:w="1140" w:type="dxa"/>
            <w:shd w:val="clear" w:color="auto" w:fill="auto"/>
            <w:noWrap/>
            <w:vAlign w:val="center"/>
          </w:tcPr>
          <w:p w:rsidRPr="00AE1B2B" w:rsidR="009D3FB5" w:rsidP="00163B94" w:rsidRDefault="009D3FB5" w14:paraId="3942466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121</w:t>
            </w:r>
          </w:p>
        </w:tc>
        <w:tc>
          <w:tcPr>
            <w:tcW w:w="1359" w:type="dxa"/>
            <w:shd w:val="clear" w:color="auto" w:fill="auto"/>
            <w:noWrap/>
            <w:vAlign w:val="center"/>
          </w:tcPr>
          <w:p w:rsidRPr="00AE1B2B" w:rsidR="009D3FB5" w:rsidP="00163B94" w:rsidRDefault="009D3FB5" w14:paraId="3E94B69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145</w:t>
            </w:r>
          </w:p>
        </w:tc>
        <w:tc>
          <w:tcPr>
            <w:tcW w:w="0" w:type="auto"/>
            <w:shd w:val="clear" w:color="auto" w:fill="auto"/>
            <w:noWrap/>
            <w:vAlign w:val="center"/>
          </w:tcPr>
          <w:p w:rsidRPr="00AE1B2B" w:rsidR="009D3FB5" w:rsidP="00163B94" w:rsidRDefault="009D3FB5" w14:paraId="6A2E77E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98</w:t>
            </w:r>
          </w:p>
        </w:tc>
      </w:tr>
      <w:tr w:rsidRPr="00AE1B2B" w:rsidR="00AE1B2B" w:rsidTr="009D3FB5" w14:paraId="0702D9F2" w14:textId="77777777">
        <w:trPr>
          <w:trHeight w:val="20"/>
          <w:jc w:val="center"/>
        </w:trPr>
        <w:tc>
          <w:tcPr>
            <w:tcW w:w="5240" w:type="dxa"/>
            <w:shd w:val="clear" w:color="auto" w:fill="auto"/>
            <w:noWrap/>
            <w:vAlign w:val="bottom"/>
          </w:tcPr>
          <w:p w:rsidRPr="00AE1B2B" w:rsidR="009D3FB5" w:rsidP="00163B94" w:rsidRDefault="009D3FB5" w14:paraId="018D12E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Civil, Trabajo y Familia Buenos Aires</w:t>
            </w:r>
          </w:p>
        </w:tc>
        <w:tc>
          <w:tcPr>
            <w:tcW w:w="1140" w:type="dxa"/>
            <w:shd w:val="clear" w:color="auto" w:fill="auto"/>
            <w:noWrap/>
            <w:vAlign w:val="center"/>
          </w:tcPr>
          <w:p w:rsidRPr="00AE1B2B" w:rsidR="009D3FB5" w:rsidP="00163B94" w:rsidRDefault="009D3FB5" w14:paraId="1C1B931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75</w:t>
            </w:r>
          </w:p>
        </w:tc>
        <w:tc>
          <w:tcPr>
            <w:tcW w:w="1359" w:type="dxa"/>
            <w:shd w:val="clear" w:color="auto" w:fill="auto"/>
            <w:noWrap/>
            <w:vAlign w:val="center"/>
          </w:tcPr>
          <w:p w:rsidRPr="00AE1B2B" w:rsidR="009D3FB5" w:rsidP="00163B94" w:rsidRDefault="009D3FB5" w14:paraId="68E7C64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107</w:t>
            </w:r>
          </w:p>
        </w:tc>
        <w:tc>
          <w:tcPr>
            <w:tcW w:w="0" w:type="auto"/>
            <w:shd w:val="clear" w:color="auto" w:fill="auto"/>
            <w:noWrap/>
            <w:vAlign w:val="center"/>
          </w:tcPr>
          <w:p w:rsidRPr="00AE1B2B" w:rsidR="009D3FB5" w:rsidP="00163B94" w:rsidRDefault="009D3FB5" w14:paraId="1EADA79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92</w:t>
            </w:r>
          </w:p>
        </w:tc>
      </w:tr>
      <w:tr w:rsidRPr="00AE1B2B" w:rsidR="00AE1B2B" w:rsidTr="009D3FB5" w14:paraId="10165863" w14:textId="77777777">
        <w:trPr>
          <w:trHeight w:val="20"/>
          <w:jc w:val="center"/>
        </w:trPr>
        <w:tc>
          <w:tcPr>
            <w:tcW w:w="5240" w:type="dxa"/>
            <w:shd w:val="clear" w:color="auto" w:fill="auto"/>
            <w:noWrap/>
            <w:vAlign w:val="bottom"/>
          </w:tcPr>
          <w:p w:rsidRPr="00AE1B2B" w:rsidR="009D3FB5" w:rsidP="00163B94" w:rsidRDefault="009D3FB5" w14:paraId="136FD21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Penal Juvenil y Violencia Doméstica Turrialba</w:t>
            </w:r>
          </w:p>
        </w:tc>
        <w:tc>
          <w:tcPr>
            <w:tcW w:w="1140" w:type="dxa"/>
            <w:shd w:val="clear" w:color="auto" w:fill="auto"/>
            <w:noWrap/>
            <w:vAlign w:val="center"/>
          </w:tcPr>
          <w:p w:rsidRPr="00AE1B2B" w:rsidR="009D3FB5" w:rsidP="00163B94" w:rsidRDefault="009D3FB5" w14:paraId="43DB602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136</w:t>
            </w:r>
          </w:p>
        </w:tc>
        <w:tc>
          <w:tcPr>
            <w:tcW w:w="1359" w:type="dxa"/>
            <w:shd w:val="clear" w:color="auto" w:fill="auto"/>
            <w:noWrap/>
            <w:vAlign w:val="center"/>
          </w:tcPr>
          <w:p w:rsidRPr="00AE1B2B" w:rsidR="009D3FB5" w:rsidP="00163B94" w:rsidRDefault="009D3FB5" w14:paraId="52054B1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168</w:t>
            </w:r>
          </w:p>
        </w:tc>
        <w:tc>
          <w:tcPr>
            <w:tcW w:w="0" w:type="auto"/>
            <w:shd w:val="clear" w:color="auto" w:fill="auto"/>
            <w:noWrap/>
            <w:vAlign w:val="center"/>
          </w:tcPr>
          <w:p w:rsidRPr="00AE1B2B" w:rsidR="009D3FB5" w:rsidP="00163B94" w:rsidRDefault="009D3FB5" w14:paraId="301E28F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83</w:t>
            </w:r>
          </w:p>
        </w:tc>
      </w:tr>
      <w:tr w:rsidRPr="00AE1B2B" w:rsidR="00AE1B2B" w:rsidTr="009D3FB5" w14:paraId="099D35B7" w14:textId="77777777">
        <w:trPr>
          <w:trHeight w:val="20"/>
          <w:jc w:val="center"/>
        </w:trPr>
        <w:tc>
          <w:tcPr>
            <w:tcW w:w="5240" w:type="dxa"/>
            <w:shd w:val="clear" w:color="auto" w:fill="auto"/>
            <w:noWrap/>
            <w:vAlign w:val="bottom"/>
          </w:tcPr>
          <w:p w:rsidRPr="00AE1B2B" w:rsidR="009D3FB5" w:rsidP="00163B94" w:rsidRDefault="009D3FB5" w14:paraId="44497A7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Penal Juvenil y Violencia Doméstica de Quepos</w:t>
            </w:r>
          </w:p>
        </w:tc>
        <w:tc>
          <w:tcPr>
            <w:tcW w:w="1140" w:type="dxa"/>
            <w:shd w:val="clear" w:color="auto" w:fill="auto"/>
            <w:noWrap/>
            <w:vAlign w:val="center"/>
          </w:tcPr>
          <w:p w:rsidRPr="00AE1B2B" w:rsidR="009D3FB5" w:rsidP="00163B94" w:rsidRDefault="009D3FB5" w14:paraId="51EC49C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145</w:t>
            </w:r>
          </w:p>
        </w:tc>
        <w:tc>
          <w:tcPr>
            <w:tcW w:w="1359" w:type="dxa"/>
            <w:shd w:val="clear" w:color="auto" w:fill="auto"/>
            <w:noWrap/>
            <w:vAlign w:val="center"/>
          </w:tcPr>
          <w:p w:rsidRPr="00AE1B2B" w:rsidR="009D3FB5" w:rsidP="00163B94" w:rsidRDefault="009D3FB5" w14:paraId="70D623C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171</w:t>
            </w:r>
          </w:p>
        </w:tc>
        <w:tc>
          <w:tcPr>
            <w:tcW w:w="0" w:type="auto"/>
            <w:shd w:val="clear" w:color="auto" w:fill="auto"/>
            <w:noWrap/>
            <w:vAlign w:val="center"/>
          </w:tcPr>
          <w:p w:rsidRPr="00AE1B2B" w:rsidR="009D3FB5" w:rsidP="00163B94" w:rsidRDefault="009D3FB5" w14:paraId="6226E7F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76</w:t>
            </w:r>
          </w:p>
        </w:tc>
      </w:tr>
      <w:tr w:rsidRPr="00AE1B2B" w:rsidR="00AE1B2B" w:rsidTr="009D3FB5" w14:paraId="284C0570" w14:textId="77777777">
        <w:trPr>
          <w:trHeight w:val="20"/>
          <w:jc w:val="center"/>
        </w:trPr>
        <w:tc>
          <w:tcPr>
            <w:tcW w:w="5240" w:type="dxa"/>
            <w:shd w:val="clear" w:color="auto" w:fill="auto"/>
            <w:noWrap/>
            <w:vAlign w:val="bottom"/>
          </w:tcPr>
          <w:p w:rsidRPr="00AE1B2B" w:rsidR="009D3FB5" w:rsidP="00163B94" w:rsidRDefault="009D3FB5" w14:paraId="6F22583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Civil, Trabajo y Familia de Puriscal</w:t>
            </w:r>
          </w:p>
        </w:tc>
        <w:tc>
          <w:tcPr>
            <w:tcW w:w="1140" w:type="dxa"/>
            <w:shd w:val="clear" w:color="auto" w:fill="auto"/>
            <w:noWrap/>
            <w:vAlign w:val="center"/>
          </w:tcPr>
          <w:p w:rsidRPr="00AE1B2B" w:rsidR="009D3FB5" w:rsidP="00163B94" w:rsidRDefault="009D3FB5" w14:paraId="139E17C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68</w:t>
            </w:r>
          </w:p>
        </w:tc>
        <w:tc>
          <w:tcPr>
            <w:tcW w:w="1359" w:type="dxa"/>
            <w:shd w:val="clear" w:color="auto" w:fill="auto"/>
            <w:noWrap/>
            <w:vAlign w:val="center"/>
          </w:tcPr>
          <w:p w:rsidRPr="00AE1B2B" w:rsidR="009D3FB5" w:rsidP="00163B94" w:rsidRDefault="009D3FB5" w14:paraId="3304291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79</w:t>
            </w:r>
          </w:p>
        </w:tc>
        <w:tc>
          <w:tcPr>
            <w:tcW w:w="0" w:type="auto"/>
            <w:shd w:val="clear" w:color="auto" w:fill="auto"/>
            <w:noWrap/>
            <w:vAlign w:val="center"/>
          </w:tcPr>
          <w:p w:rsidRPr="00AE1B2B" w:rsidR="009D3FB5" w:rsidP="00163B94" w:rsidRDefault="009D3FB5" w14:paraId="41A9C08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28</w:t>
            </w:r>
          </w:p>
        </w:tc>
      </w:tr>
      <w:tr w:rsidRPr="00AE1B2B" w:rsidR="00AE1B2B" w:rsidTr="009D3FB5" w14:paraId="325B5D9B" w14:textId="77777777">
        <w:trPr>
          <w:trHeight w:val="20"/>
          <w:jc w:val="center"/>
        </w:trPr>
        <w:tc>
          <w:tcPr>
            <w:tcW w:w="5240" w:type="dxa"/>
            <w:shd w:val="clear" w:color="auto" w:fill="auto"/>
            <w:noWrap/>
            <w:vAlign w:val="bottom"/>
            <w:hideMark/>
          </w:tcPr>
          <w:p w:rsidRPr="00AE1B2B" w:rsidR="009D3FB5" w:rsidP="00163B94" w:rsidRDefault="009D3FB5" w14:paraId="07795FF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lastRenderedPageBreak/>
              <w:t>Juzgado Civil, Trabajo y Familia Osa</w:t>
            </w:r>
          </w:p>
        </w:tc>
        <w:tc>
          <w:tcPr>
            <w:tcW w:w="1140" w:type="dxa"/>
            <w:shd w:val="clear" w:color="auto" w:fill="auto"/>
            <w:noWrap/>
            <w:vAlign w:val="center"/>
            <w:hideMark/>
          </w:tcPr>
          <w:p w:rsidRPr="00AE1B2B" w:rsidR="009D3FB5" w:rsidP="00163B94" w:rsidRDefault="009D3FB5" w14:paraId="5663957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48</w:t>
            </w:r>
          </w:p>
        </w:tc>
        <w:tc>
          <w:tcPr>
            <w:tcW w:w="1359" w:type="dxa"/>
            <w:shd w:val="clear" w:color="auto" w:fill="auto"/>
            <w:noWrap/>
            <w:vAlign w:val="center"/>
            <w:hideMark/>
          </w:tcPr>
          <w:p w:rsidRPr="00AE1B2B" w:rsidR="009D3FB5" w:rsidP="00163B94" w:rsidRDefault="009D3FB5" w14:paraId="4569F76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47</w:t>
            </w:r>
          </w:p>
        </w:tc>
        <w:tc>
          <w:tcPr>
            <w:tcW w:w="0" w:type="auto"/>
            <w:shd w:val="clear" w:color="auto" w:fill="auto"/>
            <w:noWrap/>
            <w:vAlign w:val="center"/>
            <w:hideMark/>
          </w:tcPr>
          <w:p w:rsidRPr="00AE1B2B" w:rsidR="009D3FB5" w:rsidP="00163B94" w:rsidRDefault="009D3FB5" w14:paraId="0D45305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w:t>
            </w:r>
          </w:p>
        </w:tc>
      </w:tr>
    </w:tbl>
    <w:p w:rsidRPr="00AE1B2B" w:rsidR="009D3FB5" w:rsidP="00163B94" w:rsidRDefault="009D3FB5" w14:paraId="7622D667" w14:textId="7E494ED4">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 con base en datos de Cuadros Estadísticos 2019 del Subproceso de Estadística de la Dirección de Planificación.</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La entrada incluye entrados, reentrados y testimonios de piezas.</w:t>
      </w:r>
    </w:p>
    <w:p w:rsidRPr="00AE1B2B" w:rsidR="009D3FB5" w:rsidP="00163B94" w:rsidRDefault="009D3FB5" w14:paraId="3188181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D12038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71F0B1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Tribunal de Familia</w:t>
      </w:r>
    </w:p>
    <w:p w:rsidRPr="00AE1B2B" w:rsidR="009D3FB5" w:rsidP="00163B94" w:rsidRDefault="009D3FB5" w14:paraId="0CF96D8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Tribunal de Familia cuenta con la siguiente composición de recurso humano:</w:t>
      </w:r>
    </w:p>
    <w:p w:rsidRPr="00AE1B2B" w:rsidR="009D3FB5" w:rsidP="00163B94" w:rsidRDefault="009D3FB5" w14:paraId="57EB139B" w14:textId="77777777">
      <w:pPr>
        <w:pStyle w:val="Prrafodelista"/>
        <w:numPr>
          <w:ilvl w:val="0"/>
          <w:numId w:val="56"/>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6 Juezas o Jueces 4</w:t>
      </w:r>
    </w:p>
    <w:p w:rsidRPr="00AE1B2B" w:rsidR="009D3FB5" w:rsidP="00163B94" w:rsidRDefault="009D3FB5" w14:paraId="705BF30E" w14:textId="77777777">
      <w:pPr>
        <w:pStyle w:val="Prrafodelista"/>
        <w:numPr>
          <w:ilvl w:val="0"/>
          <w:numId w:val="56"/>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1 Jueza o Juez 1</w:t>
      </w:r>
    </w:p>
    <w:p w:rsidRPr="00AE1B2B" w:rsidR="009D3FB5" w:rsidP="00163B94" w:rsidRDefault="009D3FB5" w14:paraId="12884072" w14:textId="77777777">
      <w:pPr>
        <w:pStyle w:val="Prrafodelista"/>
        <w:numPr>
          <w:ilvl w:val="0"/>
          <w:numId w:val="56"/>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1 Coordinadora o Coordinador Judicial 3</w:t>
      </w:r>
    </w:p>
    <w:p w:rsidRPr="00AE1B2B" w:rsidR="009D3FB5" w:rsidP="00163B94" w:rsidRDefault="009D3FB5" w14:paraId="101D1FAC" w14:textId="77777777">
      <w:pPr>
        <w:pStyle w:val="Prrafodelista"/>
        <w:numPr>
          <w:ilvl w:val="0"/>
          <w:numId w:val="56"/>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4 Técnicas o Técnicos Judiciales 3</w:t>
      </w:r>
    </w:p>
    <w:p w:rsidRPr="00AE1B2B" w:rsidR="009D3FB5" w:rsidP="00163B94" w:rsidRDefault="009D3FB5" w14:paraId="4854BD2F" w14:textId="77777777">
      <w:pPr>
        <w:pStyle w:val="Prrafodelista"/>
        <w:numPr>
          <w:ilvl w:val="0"/>
          <w:numId w:val="56"/>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1 Auxiliar de Servicios Generales 2</w:t>
      </w:r>
    </w:p>
    <w:p w:rsidRPr="00AE1B2B" w:rsidR="009D3FB5" w:rsidP="00163B94" w:rsidRDefault="009D3FB5" w14:paraId="75EA9AA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43BC5B2" w14:textId="77777777">
      <w:pPr>
        <w:pStyle w:val="Descripcin"/>
        <w:spacing w:before="120" w:after="120"/>
        <w:ind w:left="851" w:right="851" w:firstLine="709"/>
        <w:jc w:val="center"/>
        <w:rPr>
          <w:rFonts w:ascii="Times New Roman" w:hAnsi="Times New Roman" w:cs="Times New Roman"/>
          <w:noProof/>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49</w:t>
      </w:r>
      <w:r w:rsidRPr="00AE1B2B">
        <w:rPr>
          <w:rFonts w:ascii="Times New Roman" w:hAnsi="Times New Roman" w:cs="Times New Roman"/>
          <w:sz w:val="26"/>
          <w:szCs w:val="26"/>
        </w:rPr>
        <w:fldChar w:fldCharType="end"/>
      </w:r>
    </w:p>
    <w:p w:rsidRPr="00AE1B2B" w:rsidR="009D3FB5" w:rsidP="00163B94" w:rsidRDefault="009D3FB5" w14:paraId="441C0D03" w14:textId="05EFA311">
      <w:pPr>
        <w:keepNext/>
        <w:numPr>
          <w:ilvl w:val="12"/>
          <w:numId w:val="0"/>
        </w:numPr>
        <w:spacing w:before="120" w:after="120"/>
        <w:ind w:left="851" w:right="851" w:firstLine="709"/>
        <w:jc w:val="center"/>
        <w:rPr>
          <w:rFonts w:ascii="Times New Roman" w:hAnsi="Times New Roman" w:eastAsia="Times New Roman" w:cs="Times New Roman"/>
          <w:b/>
          <w:bCs/>
          <w:sz w:val="26"/>
          <w:szCs w:val="26"/>
          <w:lang w:eastAsia="es-ES"/>
        </w:rPr>
      </w:pPr>
      <w:r w:rsidRPr="00AE1B2B">
        <w:rPr>
          <w:rFonts w:ascii="Times New Roman" w:hAnsi="Times New Roman" w:eastAsia="Times New Roman" w:cs="Times New Roman"/>
          <w:b/>
          <w:bCs/>
          <w:sz w:val="26"/>
          <w:szCs w:val="26"/>
          <w:lang w:eastAsia="es-ES"/>
        </w:rPr>
        <w:t>Movimiento histórico de la cantidad de apelaciones resueltas por el</w:t>
      </w:r>
    </w:p>
    <w:p w:rsidRPr="00AE1B2B" w:rsidR="009D3FB5" w:rsidP="00163B94" w:rsidRDefault="009D3FB5" w14:paraId="032C13A5" w14:textId="77777777">
      <w:pPr>
        <w:keepNext/>
        <w:spacing w:before="120" w:after="120"/>
        <w:ind w:left="851" w:right="851" w:firstLine="709"/>
        <w:jc w:val="center"/>
        <w:rPr>
          <w:rFonts w:ascii="Times New Roman" w:hAnsi="Times New Roman" w:eastAsia="Times New Roman" w:cs="Times New Roman"/>
          <w:b/>
          <w:sz w:val="26"/>
          <w:szCs w:val="26"/>
          <w:lang w:eastAsia="es-ES"/>
        </w:rPr>
      </w:pPr>
      <w:r w:rsidRPr="00AE1B2B">
        <w:rPr>
          <w:rFonts w:ascii="Times New Roman" w:hAnsi="Times New Roman" w:eastAsia="Times New Roman" w:cs="Times New Roman"/>
          <w:b/>
          <w:sz w:val="26"/>
          <w:szCs w:val="26"/>
          <w:lang w:eastAsia="es-ES"/>
        </w:rPr>
        <w:t>Tribunal de Familia</w:t>
      </w:r>
      <w:r w:rsidRPr="00AE1B2B">
        <w:rPr>
          <w:rFonts w:ascii="Times New Roman" w:hAnsi="Times New Roman" w:eastAsia="Times New Roman" w:cs="Times New Roman"/>
          <w:b/>
          <w:bCs/>
          <w:sz w:val="26"/>
          <w:szCs w:val="26"/>
          <w:lang w:eastAsia="es-ES"/>
        </w:rPr>
        <w:t xml:space="preserve"> </w:t>
      </w:r>
      <w:r w:rsidRPr="00AE1B2B">
        <w:rPr>
          <w:rFonts w:ascii="Times New Roman" w:hAnsi="Times New Roman" w:eastAsia="Times New Roman" w:cs="Times New Roman"/>
          <w:b/>
          <w:sz w:val="26"/>
          <w:szCs w:val="26"/>
          <w:lang w:eastAsia="es-ES"/>
        </w:rPr>
        <w:t>según Juzgado de procedencia, del 2018 al 2019</w:t>
      </w:r>
    </w:p>
    <w:tbl>
      <w:tblPr>
        <w:tblW w:w="10064" w:type="dxa"/>
        <w:jc w:val="center"/>
        <w:tblLayout w:type="fixed"/>
        <w:tblCellMar>
          <w:left w:w="70" w:type="dxa"/>
          <w:right w:w="70" w:type="dxa"/>
        </w:tblCellMar>
        <w:tblLook w:val="04A0" w:firstRow="1" w:lastRow="0" w:firstColumn="1" w:lastColumn="0" w:noHBand="0" w:noVBand="1"/>
      </w:tblPr>
      <w:tblGrid>
        <w:gridCol w:w="2188"/>
        <w:gridCol w:w="577"/>
        <w:gridCol w:w="577"/>
        <w:gridCol w:w="577"/>
        <w:gridCol w:w="577"/>
        <w:gridCol w:w="577"/>
        <w:gridCol w:w="577"/>
        <w:gridCol w:w="577"/>
        <w:gridCol w:w="577"/>
        <w:gridCol w:w="577"/>
        <w:gridCol w:w="577"/>
        <w:gridCol w:w="577"/>
        <w:gridCol w:w="577"/>
        <w:gridCol w:w="952"/>
      </w:tblGrid>
      <w:tr w:rsidRPr="00AE1B2B" w:rsidR="009D3FB5" w:rsidTr="009D3FB5" w14:paraId="38FD02C7" w14:textId="77777777">
        <w:trPr>
          <w:cantSplit/>
          <w:trHeight w:val="1684"/>
          <w:tblHeader/>
          <w:jc w:val="center"/>
        </w:trPr>
        <w:tc>
          <w:tcPr>
            <w:tcW w:w="2188" w:type="dxa"/>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4CFA5577"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Motivo</w:t>
            </w:r>
          </w:p>
        </w:tc>
        <w:tc>
          <w:tcPr>
            <w:tcW w:w="577" w:type="dxa"/>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3AAD9CBC" w14:textId="77777777">
            <w:pPr>
              <w:spacing w:before="120" w:after="120" w:line="276" w:lineRule="auto"/>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Juzgado Fam. Cartago</w:t>
            </w:r>
          </w:p>
        </w:tc>
        <w:tc>
          <w:tcPr>
            <w:tcW w:w="577" w:type="dxa"/>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3162B55C" w14:textId="77777777">
            <w:pPr>
              <w:spacing w:before="120" w:after="120" w:line="276" w:lineRule="auto"/>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Juzgado Fam. Heredia</w:t>
            </w:r>
          </w:p>
        </w:tc>
        <w:tc>
          <w:tcPr>
            <w:tcW w:w="577" w:type="dxa"/>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32D454D4" w14:textId="77777777">
            <w:pPr>
              <w:spacing w:before="120" w:after="120" w:line="276" w:lineRule="auto"/>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Juzgado Fam. Puntarenas</w:t>
            </w:r>
          </w:p>
        </w:tc>
        <w:tc>
          <w:tcPr>
            <w:tcW w:w="577" w:type="dxa"/>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16C70AA8" w14:textId="77777777">
            <w:pPr>
              <w:spacing w:before="120" w:after="120" w:line="276" w:lineRule="auto"/>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Juzgado Fam. I Circ. Jud. Alajuela</w:t>
            </w:r>
          </w:p>
        </w:tc>
        <w:tc>
          <w:tcPr>
            <w:tcW w:w="577" w:type="dxa"/>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6CF08700" w14:textId="77777777">
            <w:pPr>
              <w:spacing w:before="120" w:after="120" w:line="276" w:lineRule="auto"/>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Juzgado Fam. I Circ. Jud. Zona Atlántica</w:t>
            </w:r>
          </w:p>
        </w:tc>
        <w:tc>
          <w:tcPr>
            <w:tcW w:w="577" w:type="dxa"/>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6277FF23" w14:textId="77777777">
            <w:pPr>
              <w:spacing w:before="120" w:after="120" w:line="276" w:lineRule="auto"/>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Juzgado Fam. I Circ. Jud. Zona Sur</w:t>
            </w:r>
          </w:p>
        </w:tc>
        <w:tc>
          <w:tcPr>
            <w:tcW w:w="577" w:type="dxa"/>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3083D089" w14:textId="77777777">
            <w:pPr>
              <w:spacing w:before="120" w:after="120" w:line="276" w:lineRule="auto"/>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Juzgado Fam. II Circ. Jud. Alajuela</w:t>
            </w:r>
          </w:p>
        </w:tc>
        <w:tc>
          <w:tcPr>
            <w:tcW w:w="577" w:type="dxa"/>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4BE3E40C" w14:textId="77777777">
            <w:pPr>
              <w:spacing w:before="120" w:after="120" w:line="276" w:lineRule="auto"/>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Juzgado Fam. II Circ. Jud. Zona Atlántica</w:t>
            </w:r>
          </w:p>
        </w:tc>
        <w:tc>
          <w:tcPr>
            <w:tcW w:w="577" w:type="dxa"/>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00B076C2" w14:textId="77777777">
            <w:pPr>
              <w:spacing w:before="120" w:after="120" w:line="276" w:lineRule="auto"/>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Juzgado Fam. II Circ. Jud. San José</w:t>
            </w:r>
          </w:p>
        </w:tc>
        <w:tc>
          <w:tcPr>
            <w:tcW w:w="577" w:type="dxa"/>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0CC88E27" w14:textId="77777777">
            <w:pPr>
              <w:spacing w:before="120" w:after="120" w:line="276" w:lineRule="auto"/>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Juzgado Fam. III Circ. Jud. San José</w:t>
            </w:r>
          </w:p>
        </w:tc>
        <w:tc>
          <w:tcPr>
            <w:tcW w:w="577" w:type="dxa"/>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05021EF4" w14:textId="77777777">
            <w:pPr>
              <w:spacing w:before="120" w:after="120" w:line="276" w:lineRule="auto"/>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Juzgado Primero Fam. San José</w:t>
            </w:r>
          </w:p>
        </w:tc>
        <w:tc>
          <w:tcPr>
            <w:tcW w:w="577" w:type="dxa"/>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3D6A18C5" w14:textId="77777777">
            <w:pPr>
              <w:spacing w:before="120" w:after="120" w:line="276" w:lineRule="auto"/>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Juzgado Segundo Fam. San José</w:t>
            </w:r>
          </w:p>
        </w:tc>
        <w:tc>
          <w:tcPr>
            <w:tcW w:w="952" w:type="dxa"/>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2A452083" w14:textId="77777777">
            <w:pPr>
              <w:spacing w:before="120" w:after="120" w:line="276" w:lineRule="auto"/>
              <w:jc w:val="center"/>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Total general</w:t>
            </w:r>
          </w:p>
        </w:tc>
      </w:tr>
      <w:tr w:rsidRPr="00AE1B2B" w:rsidR="009D3FB5" w:rsidTr="009D3FB5" w14:paraId="3499A3B0"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D60672E"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Sentencia Dictada</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663363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1114</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723A20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1137</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D0C2D1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675</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72B25A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632</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D4F234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42</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008039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446</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E7EEB0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353</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60A912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344</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E7076F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1301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B8FBE5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674</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484D6D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506</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732861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357</w:t>
            </w: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84E081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7581</w:t>
            </w:r>
          </w:p>
        </w:tc>
      </w:tr>
      <w:tr w:rsidRPr="00AE1B2B" w:rsidR="009D3FB5" w:rsidTr="009D3FB5" w14:paraId="0CE463E1"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05297367"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Confirmada</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23CEF7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6BA7E4C"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B8BDE96"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FE6E415"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7C8A6F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401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7BA0116"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5C87B0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7250480"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22A827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3DC9CA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1735338"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04C51ED" w14:textId="77777777">
            <w:pPr>
              <w:spacing w:before="120" w:after="120" w:line="276" w:lineRule="auto"/>
              <w:jc w:val="center"/>
              <w:rPr>
                <w:rFonts w:ascii="Times New Roman" w:hAnsi="Times New Roman" w:eastAsia="Times New Roman" w:cs="Times New Roman"/>
                <w:lang w:eastAsia="es-ES"/>
              </w:rPr>
            </w:pP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AEFCEF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405</w:t>
            </w:r>
          </w:p>
        </w:tc>
      </w:tr>
      <w:tr w:rsidRPr="00AE1B2B" w:rsidR="009D3FB5" w:rsidTr="009D3FB5" w14:paraId="5C10D058"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0D86969"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Mal Admitida</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9509D3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91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4ACFA90"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B15323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73441E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35</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AD0C6D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23</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668AEA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4</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900E4E8"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25A608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13</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0355F54"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A96D5F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79BEE6D"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416A92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46544E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175</w:t>
            </w:r>
          </w:p>
        </w:tc>
      </w:tr>
      <w:tr w:rsidRPr="00AE1B2B" w:rsidR="009D3FB5" w:rsidTr="009D3FB5" w14:paraId="1311FC31"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0C15A0EE"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Anulada</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4CB7F96"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DEA6F03"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5B1B7E8"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DE915D3"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1F7119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113</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E6BF606"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ECA2848"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C7845C5"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D197AE6"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58C8559"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AE47F3A"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AF18A05" w14:textId="77777777">
            <w:pPr>
              <w:spacing w:before="120" w:after="120" w:line="276" w:lineRule="auto"/>
              <w:jc w:val="center"/>
              <w:rPr>
                <w:rFonts w:ascii="Times New Roman" w:hAnsi="Times New Roman" w:eastAsia="Times New Roman" w:cs="Times New Roman"/>
                <w:lang w:eastAsia="es-ES"/>
              </w:rPr>
            </w:pP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F48B344"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113</w:t>
            </w:r>
          </w:p>
        </w:tc>
      </w:tr>
      <w:tr w:rsidRPr="00AE1B2B" w:rsidR="009D3FB5" w:rsidTr="009D3FB5" w14:paraId="0B999853"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4049807"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Desinterés de la Parte</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F490F2C"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0D7E187"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4F3CA04"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799CA5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1F4C2C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30</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5E1FFB9"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A1C407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8E1CA3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9</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91716E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5D6E9A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0CF3D3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96CE0C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34</w:t>
            </w: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0F895D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89</w:t>
            </w:r>
          </w:p>
        </w:tc>
      </w:tr>
      <w:tr w:rsidRPr="00AE1B2B" w:rsidR="009D3FB5" w:rsidTr="009D3FB5" w14:paraId="3FA4853A"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E75709C"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lastRenderedPageBreak/>
              <w:t>Devuelto por Trámite Incompleto</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A6DDCF4"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3C22CA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B38868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28D737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79332D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45</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512F638"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37C831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9</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ABD941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4</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5E64F67"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F810C9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5</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4CCE58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38E62B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86E6EF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74</w:t>
            </w:r>
          </w:p>
        </w:tc>
      </w:tr>
      <w:tr w:rsidRPr="00AE1B2B" w:rsidR="009D3FB5" w:rsidTr="009D3FB5" w14:paraId="603E12DC"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597C73B"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Rechazado Ad Portas</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AC2EF0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32</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35811FE"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4B7173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F01651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38F8589"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402A75E"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4DBAFBF"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AF1E9C3"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DA19A3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BA6B2B5"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522AB7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E18A250" w14:textId="77777777">
            <w:pPr>
              <w:spacing w:before="120" w:after="120" w:line="276" w:lineRule="auto"/>
              <w:jc w:val="center"/>
              <w:rPr>
                <w:rFonts w:ascii="Times New Roman" w:hAnsi="Times New Roman" w:eastAsia="Times New Roman" w:cs="Times New Roman"/>
                <w:lang w:eastAsia="es-ES"/>
              </w:rPr>
            </w:pP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217A5B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39</w:t>
            </w:r>
          </w:p>
        </w:tc>
      </w:tr>
      <w:tr w:rsidRPr="00AE1B2B" w:rsidR="009D3FB5" w:rsidTr="009D3FB5" w14:paraId="7360E2FD"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8665B8A"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Acuerdo Homologado</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9D290E8"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E0DCA9B"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2226A3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D52560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ABB9A19"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A136A40"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5E009C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15</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EE483D7"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FA2B9C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0BEE07D"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5B6EE4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9</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5E015F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0B6E44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31</w:t>
            </w:r>
          </w:p>
        </w:tc>
      </w:tr>
      <w:tr w:rsidRPr="00AE1B2B" w:rsidR="009D3FB5" w:rsidTr="009D3FB5" w14:paraId="1477D8DC"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6F10AA1"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Sentencia por Conciliación</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831B31B"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5B0ECE0"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F7C0D96"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52226E2"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A3A7B73"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09ED254"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7F7BB8D"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5E304A9"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136AB94"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14</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960FAA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87B85E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5CC894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2BA69C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29</w:t>
            </w:r>
          </w:p>
        </w:tc>
      </w:tr>
      <w:tr w:rsidRPr="00AE1B2B" w:rsidR="009D3FB5" w:rsidTr="009D3FB5" w14:paraId="46526F79"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4C7338B"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Desistimiento</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91145D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6B1C95D"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D86B05B"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328560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5</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D79CCAC"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4ADB2D0"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6B1954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5</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5B7A13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0B0F3E7"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8</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F89C9D8"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411570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7</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843C52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AEFA324"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28</w:t>
            </w:r>
          </w:p>
        </w:tc>
      </w:tr>
      <w:tr w:rsidRPr="00AE1B2B" w:rsidR="009D3FB5" w:rsidTr="009D3FB5" w14:paraId="61B48EA0"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38B552A"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Auto Sentencia</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34F0EC9"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AF72FC1"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7EFC6F8"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4B0F95B"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45AC2B2"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8EBE7B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19</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D24B15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6</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3B4456C"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5D832E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22491C5"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FF8F69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D194917" w14:textId="77777777">
            <w:pPr>
              <w:spacing w:before="120" w:after="120" w:line="276" w:lineRule="auto"/>
              <w:jc w:val="center"/>
              <w:rPr>
                <w:rFonts w:ascii="Times New Roman" w:hAnsi="Times New Roman" w:eastAsia="Times New Roman" w:cs="Times New Roman"/>
                <w:lang w:eastAsia="es-ES"/>
              </w:rPr>
            </w:pP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E15B45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27</w:t>
            </w:r>
          </w:p>
        </w:tc>
      </w:tr>
      <w:tr w:rsidRPr="00AE1B2B" w:rsidR="009D3FB5" w:rsidTr="009D3FB5" w14:paraId="2A80FA17"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6D07739"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Por Solicitud de Partes</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67AC382"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EAB5175"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D60B95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2B21AA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5B5B51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6F1ECB6"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A12A70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89FB2F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1A21A6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2DCC03B"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9C7825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4</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5E0BEB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5</w:t>
            </w: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A0059C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21</w:t>
            </w:r>
          </w:p>
        </w:tc>
      </w:tr>
      <w:tr w:rsidRPr="00AE1B2B" w:rsidR="009D3FB5" w:rsidTr="009D3FB5" w14:paraId="3ED3CE4A"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107132E"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Incompetencia</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777A8D8"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4955E34"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14BD4EC"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5342804"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CF009D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FB5E4D5"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018788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5D58366"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B1ED98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98B6149"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320208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7</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28CFAB7"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57B1B5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14</w:t>
            </w:r>
          </w:p>
        </w:tc>
      </w:tr>
      <w:tr w:rsidRPr="00AE1B2B" w:rsidR="009D3FB5" w:rsidTr="009D3FB5" w14:paraId="3D2854C4"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E9DBAE2"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Autosentencia (Div o Sep. Mutuo)</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4174D4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CFDCE67"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FE4252D"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E730E95"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F033ECD"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A8CFBB1"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DA07822"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02DB175"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3FD87C8"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04ED8E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BE4CAB3"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340FD5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F438A9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7</w:t>
            </w:r>
          </w:p>
        </w:tc>
      </w:tr>
      <w:tr w:rsidRPr="00AE1B2B" w:rsidR="009D3FB5" w:rsidTr="009D3FB5" w14:paraId="3E177026"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F48A67D"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Res. por Cent. Conciliación</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127E79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2EC986B"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9A037C9"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288D79D"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6C46159"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6D77FD5"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44FD975"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656377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49BBC63"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596CCBF"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539B0B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13D9447" w14:textId="77777777">
            <w:pPr>
              <w:spacing w:before="120" w:after="120" w:line="276" w:lineRule="auto"/>
              <w:jc w:val="center"/>
              <w:rPr>
                <w:rFonts w:ascii="Times New Roman" w:hAnsi="Times New Roman" w:eastAsia="Times New Roman" w:cs="Times New Roman"/>
                <w:lang w:eastAsia="es-ES"/>
              </w:rPr>
            </w:pP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26E574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3</w:t>
            </w:r>
          </w:p>
        </w:tc>
      </w:tr>
      <w:tr w:rsidRPr="00AE1B2B" w:rsidR="009D3FB5" w:rsidTr="009D3FB5" w14:paraId="53C0FF76"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4363979"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Acumulación</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F479E5D"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9933399"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F2F37F1"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181FDB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2EEC49E"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CF9E69F"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A11457E"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3A3C38B"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C91A45A"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A5B1073"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292DA15"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6C503F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F36C8C4"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r>
      <w:tr w:rsidRPr="00AE1B2B" w:rsidR="009D3FB5" w:rsidTr="009D3FB5" w14:paraId="3CDAF4FD"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E15402A"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Matrimonios Realizados</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04B4D2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3DA6B23"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D4D057E"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ED88A97"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4499832"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660B218"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69D2D58"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6E14EA7"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C9333AA"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631AFD0"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B329B19"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F74F46E" w14:textId="77777777">
            <w:pPr>
              <w:spacing w:before="120" w:after="120" w:line="276" w:lineRule="auto"/>
              <w:jc w:val="center"/>
              <w:rPr>
                <w:rFonts w:ascii="Times New Roman" w:hAnsi="Times New Roman" w:eastAsia="Times New Roman" w:cs="Times New Roman"/>
                <w:lang w:eastAsia="es-ES"/>
              </w:rPr>
            </w:pP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4D224C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r>
      <w:tr w:rsidRPr="00AE1B2B" w:rsidR="009D3FB5" w:rsidTr="009D3FB5" w14:paraId="172E7440"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6F55505"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Demanda Inadmisible</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CCB62C0"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19859F6"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CBFEFBB"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A5CD012"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5A7152F"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5E49354"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CF4BCAE"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3F73DC5"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F09914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D160031"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0123DA0"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6D31D8F" w14:textId="77777777">
            <w:pPr>
              <w:spacing w:before="120" w:after="120" w:line="276" w:lineRule="auto"/>
              <w:jc w:val="center"/>
              <w:rPr>
                <w:rFonts w:ascii="Times New Roman" w:hAnsi="Times New Roman" w:eastAsia="Times New Roman" w:cs="Times New Roman"/>
                <w:lang w:eastAsia="es-ES"/>
              </w:rPr>
            </w:pP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C21C92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r>
      <w:tr w:rsidRPr="00AE1B2B" w:rsidR="009D3FB5" w:rsidTr="009D3FB5" w14:paraId="75642D2B"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C2E6CA0"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Muerte de Alguna de las Partes</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C0A2ADD"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D1B3A20"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891AF4C"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7FECFFF"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57E5E3A"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BF1A2D3"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00044A2"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555B55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41BD207"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A55528C"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64CB660"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7FD61D6" w14:textId="77777777">
            <w:pPr>
              <w:spacing w:before="120" w:after="120" w:line="276" w:lineRule="auto"/>
              <w:jc w:val="center"/>
              <w:rPr>
                <w:rFonts w:ascii="Times New Roman" w:hAnsi="Times New Roman" w:eastAsia="Times New Roman" w:cs="Times New Roman"/>
                <w:lang w:eastAsia="es-ES"/>
              </w:rPr>
            </w:pP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E9F03D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r>
      <w:tr w:rsidRPr="00AE1B2B" w:rsidR="009D3FB5" w:rsidTr="009D3FB5" w14:paraId="2EA89F7E"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F25BC71"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N/E</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5BAEB3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EDF0867"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D524CAD"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9549364"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CA737A0"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60DB5DD"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706B6B9"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79CD670"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6DB4A80"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5C5D2BD"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1326604"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5807AA0" w14:textId="77777777">
            <w:pPr>
              <w:spacing w:before="120" w:after="120" w:line="276" w:lineRule="auto"/>
              <w:jc w:val="center"/>
              <w:rPr>
                <w:rFonts w:ascii="Times New Roman" w:hAnsi="Times New Roman" w:eastAsia="Times New Roman" w:cs="Times New Roman"/>
                <w:lang w:eastAsia="es-ES"/>
              </w:rPr>
            </w:pP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CED176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r>
      <w:tr w:rsidRPr="00AE1B2B" w:rsidR="009D3FB5" w:rsidTr="009D3FB5" w14:paraId="2D159EED" w14:textId="77777777">
        <w:trPr>
          <w:trHeight w:val="20"/>
          <w:jc w:val="center"/>
        </w:trPr>
        <w:tc>
          <w:tcPr>
            <w:tcW w:w="2188"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5FB7806"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Ejecución Cumplida</w:t>
            </w: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B382A16"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4B378C3"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42CCAE6"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570AF46"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F00E279"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FFD3830"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061696B"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41621DC"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01DD5A8"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39A549D"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2ACE8EB" w14:textId="77777777">
            <w:pPr>
              <w:spacing w:before="120" w:after="120" w:line="276" w:lineRule="auto"/>
              <w:jc w:val="center"/>
              <w:rPr>
                <w:rFonts w:ascii="Times New Roman" w:hAnsi="Times New Roman" w:eastAsia="Times New Roman" w:cs="Times New Roman"/>
                <w:lang w:eastAsia="es-ES"/>
              </w:rPr>
            </w:pPr>
          </w:p>
        </w:tc>
        <w:tc>
          <w:tcPr>
            <w:tcW w:w="5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E70701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9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A87F6D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r>
      <w:tr w:rsidRPr="00AE1B2B" w:rsidR="009D3FB5" w:rsidTr="009D3FB5" w14:paraId="00ABEE5D" w14:textId="77777777">
        <w:trPr>
          <w:trHeight w:val="20"/>
          <w:jc w:val="center"/>
        </w:trPr>
        <w:tc>
          <w:tcPr>
            <w:tcW w:w="2188" w:type="dxa"/>
            <w:tcBorders>
              <w:top w:val="nil"/>
              <w:left w:val="single" w:color="auto" w:sz="4" w:space="0"/>
              <w:bottom w:val="single" w:color="auto" w:sz="4" w:space="0"/>
              <w:right w:val="single" w:color="auto" w:sz="4" w:space="0"/>
            </w:tcBorders>
            <w:shd w:val="clear" w:color="000000" w:fill="808080"/>
            <w:vAlign w:val="center"/>
            <w:hideMark/>
          </w:tcPr>
          <w:p w:rsidRPr="00AE1B2B" w:rsidR="009D3FB5" w:rsidP="00163B94" w:rsidRDefault="009D3FB5" w14:paraId="317EB780"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Total general</w:t>
            </w:r>
          </w:p>
        </w:tc>
        <w:tc>
          <w:tcPr>
            <w:tcW w:w="577" w:type="dxa"/>
            <w:tcBorders>
              <w:top w:val="nil"/>
              <w:left w:val="nil"/>
              <w:bottom w:val="single" w:color="auto" w:sz="4" w:space="0"/>
              <w:right w:val="single" w:color="auto" w:sz="4" w:space="0"/>
            </w:tcBorders>
            <w:shd w:val="clear" w:color="000000" w:fill="808080"/>
            <w:vAlign w:val="center"/>
            <w:hideMark/>
          </w:tcPr>
          <w:p w:rsidRPr="00AE1B2B" w:rsidR="009D3FB5" w:rsidP="00163B94" w:rsidRDefault="009D3FB5" w14:paraId="65527553"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1246</w:t>
            </w:r>
          </w:p>
        </w:tc>
        <w:tc>
          <w:tcPr>
            <w:tcW w:w="577" w:type="dxa"/>
            <w:tcBorders>
              <w:top w:val="nil"/>
              <w:left w:val="nil"/>
              <w:bottom w:val="single" w:color="auto" w:sz="4" w:space="0"/>
              <w:right w:val="single" w:color="auto" w:sz="4" w:space="0"/>
            </w:tcBorders>
            <w:shd w:val="clear" w:color="000000" w:fill="808080"/>
            <w:vAlign w:val="center"/>
            <w:hideMark/>
          </w:tcPr>
          <w:p w:rsidRPr="00AE1B2B" w:rsidR="009D3FB5" w:rsidP="00163B94" w:rsidRDefault="009D3FB5" w14:paraId="276BEA77"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1139</w:t>
            </w:r>
          </w:p>
        </w:tc>
        <w:tc>
          <w:tcPr>
            <w:tcW w:w="577" w:type="dxa"/>
            <w:tcBorders>
              <w:top w:val="nil"/>
              <w:left w:val="nil"/>
              <w:bottom w:val="single" w:color="auto" w:sz="4" w:space="0"/>
              <w:right w:val="single" w:color="auto" w:sz="4" w:space="0"/>
            </w:tcBorders>
            <w:shd w:val="clear" w:color="000000" w:fill="808080"/>
            <w:vAlign w:val="center"/>
            <w:hideMark/>
          </w:tcPr>
          <w:p w:rsidRPr="00AE1B2B" w:rsidR="009D3FB5" w:rsidP="00163B94" w:rsidRDefault="009D3FB5" w14:paraId="720E8DA0"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686</w:t>
            </w:r>
          </w:p>
        </w:tc>
        <w:tc>
          <w:tcPr>
            <w:tcW w:w="577" w:type="dxa"/>
            <w:tcBorders>
              <w:top w:val="nil"/>
              <w:left w:val="nil"/>
              <w:bottom w:val="single" w:color="auto" w:sz="4" w:space="0"/>
              <w:right w:val="single" w:color="auto" w:sz="4" w:space="0"/>
            </w:tcBorders>
            <w:shd w:val="clear" w:color="000000" w:fill="808080"/>
            <w:vAlign w:val="center"/>
            <w:hideMark/>
          </w:tcPr>
          <w:p w:rsidRPr="00AE1B2B" w:rsidR="009D3FB5" w:rsidP="00163B94" w:rsidRDefault="009D3FB5" w14:paraId="335C2E62"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695</w:t>
            </w:r>
          </w:p>
        </w:tc>
        <w:tc>
          <w:tcPr>
            <w:tcW w:w="577" w:type="dxa"/>
            <w:tcBorders>
              <w:top w:val="nil"/>
              <w:left w:val="nil"/>
              <w:bottom w:val="single" w:color="auto" w:sz="4" w:space="0"/>
              <w:right w:val="single" w:color="auto" w:sz="4" w:space="0"/>
            </w:tcBorders>
            <w:shd w:val="clear" w:color="000000" w:fill="808080"/>
            <w:vAlign w:val="center"/>
            <w:hideMark/>
          </w:tcPr>
          <w:p w:rsidRPr="00AE1B2B" w:rsidR="009D3FB5" w:rsidP="00163B94" w:rsidRDefault="009D3FB5" w14:paraId="726C37CC"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656</w:t>
            </w:r>
          </w:p>
        </w:tc>
        <w:tc>
          <w:tcPr>
            <w:tcW w:w="577" w:type="dxa"/>
            <w:tcBorders>
              <w:top w:val="nil"/>
              <w:left w:val="nil"/>
              <w:bottom w:val="single" w:color="auto" w:sz="4" w:space="0"/>
              <w:right w:val="single" w:color="auto" w:sz="4" w:space="0"/>
            </w:tcBorders>
            <w:shd w:val="clear" w:color="000000" w:fill="808080"/>
            <w:vAlign w:val="center"/>
            <w:hideMark/>
          </w:tcPr>
          <w:p w:rsidRPr="00AE1B2B" w:rsidR="009D3FB5" w:rsidP="00163B94" w:rsidRDefault="009D3FB5" w14:paraId="3CA570EA"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469</w:t>
            </w:r>
          </w:p>
        </w:tc>
        <w:tc>
          <w:tcPr>
            <w:tcW w:w="577" w:type="dxa"/>
            <w:tcBorders>
              <w:top w:val="nil"/>
              <w:left w:val="nil"/>
              <w:bottom w:val="single" w:color="auto" w:sz="4" w:space="0"/>
              <w:right w:val="single" w:color="auto" w:sz="4" w:space="0"/>
            </w:tcBorders>
            <w:shd w:val="clear" w:color="000000" w:fill="808080"/>
            <w:vAlign w:val="center"/>
            <w:hideMark/>
          </w:tcPr>
          <w:p w:rsidRPr="00AE1B2B" w:rsidR="009D3FB5" w:rsidP="00163B94" w:rsidRDefault="009D3FB5" w14:paraId="31E998C0"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393</w:t>
            </w:r>
          </w:p>
        </w:tc>
        <w:tc>
          <w:tcPr>
            <w:tcW w:w="577" w:type="dxa"/>
            <w:tcBorders>
              <w:top w:val="nil"/>
              <w:left w:val="nil"/>
              <w:bottom w:val="single" w:color="auto" w:sz="4" w:space="0"/>
              <w:right w:val="single" w:color="auto" w:sz="4" w:space="0"/>
            </w:tcBorders>
            <w:shd w:val="clear" w:color="000000" w:fill="808080"/>
            <w:vAlign w:val="center"/>
            <w:hideMark/>
          </w:tcPr>
          <w:p w:rsidRPr="00AE1B2B" w:rsidR="009D3FB5" w:rsidP="00163B94" w:rsidRDefault="009D3FB5" w14:paraId="6995CC1F"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376</w:t>
            </w:r>
          </w:p>
        </w:tc>
        <w:tc>
          <w:tcPr>
            <w:tcW w:w="577" w:type="dxa"/>
            <w:tcBorders>
              <w:top w:val="nil"/>
              <w:left w:val="nil"/>
              <w:bottom w:val="single" w:color="auto" w:sz="4" w:space="0"/>
              <w:right w:val="single" w:color="auto" w:sz="4" w:space="0"/>
            </w:tcBorders>
            <w:shd w:val="clear" w:color="000000" w:fill="808080"/>
            <w:vAlign w:val="center"/>
            <w:hideMark/>
          </w:tcPr>
          <w:p w:rsidRPr="00AE1B2B" w:rsidR="009D3FB5" w:rsidP="00163B94" w:rsidRDefault="009D3FB5" w14:paraId="32C4C151"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1335</w:t>
            </w:r>
          </w:p>
        </w:tc>
        <w:tc>
          <w:tcPr>
            <w:tcW w:w="577" w:type="dxa"/>
            <w:tcBorders>
              <w:top w:val="nil"/>
              <w:left w:val="nil"/>
              <w:bottom w:val="single" w:color="auto" w:sz="4" w:space="0"/>
              <w:right w:val="single" w:color="auto" w:sz="4" w:space="0"/>
            </w:tcBorders>
            <w:shd w:val="clear" w:color="000000" w:fill="808080"/>
            <w:vAlign w:val="center"/>
            <w:hideMark/>
          </w:tcPr>
          <w:p w:rsidRPr="00AE1B2B" w:rsidR="009D3FB5" w:rsidP="00163B94" w:rsidRDefault="009D3FB5" w14:paraId="41390429"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689</w:t>
            </w:r>
          </w:p>
        </w:tc>
        <w:tc>
          <w:tcPr>
            <w:tcW w:w="577" w:type="dxa"/>
            <w:tcBorders>
              <w:top w:val="nil"/>
              <w:left w:val="nil"/>
              <w:bottom w:val="single" w:color="auto" w:sz="4" w:space="0"/>
              <w:right w:val="single" w:color="auto" w:sz="4" w:space="0"/>
            </w:tcBorders>
            <w:shd w:val="clear" w:color="000000" w:fill="808080"/>
            <w:vAlign w:val="center"/>
            <w:hideMark/>
          </w:tcPr>
          <w:p w:rsidRPr="00AE1B2B" w:rsidR="009D3FB5" w:rsidP="00163B94" w:rsidRDefault="009D3FB5" w14:paraId="43617A87"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553</w:t>
            </w:r>
          </w:p>
        </w:tc>
        <w:tc>
          <w:tcPr>
            <w:tcW w:w="577" w:type="dxa"/>
            <w:tcBorders>
              <w:top w:val="nil"/>
              <w:left w:val="nil"/>
              <w:bottom w:val="single" w:color="auto" w:sz="4" w:space="0"/>
              <w:right w:val="single" w:color="auto" w:sz="4" w:space="0"/>
            </w:tcBorders>
            <w:shd w:val="clear" w:color="000000" w:fill="808080"/>
            <w:vAlign w:val="center"/>
            <w:hideMark/>
          </w:tcPr>
          <w:p w:rsidRPr="00AE1B2B" w:rsidR="009D3FB5" w:rsidP="00163B94" w:rsidRDefault="009D3FB5" w14:paraId="0DA65A86"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407</w:t>
            </w:r>
          </w:p>
        </w:tc>
        <w:tc>
          <w:tcPr>
            <w:tcW w:w="952" w:type="dxa"/>
            <w:tcBorders>
              <w:top w:val="nil"/>
              <w:left w:val="nil"/>
              <w:bottom w:val="single" w:color="auto" w:sz="4" w:space="0"/>
              <w:right w:val="single" w:color="auto" w:sz="4" w:space="0"/>
            </w:tcBorders>
            <w:shd w:val="clear" w:color="000000" w:fill="808080"/>
            <w:vAlign w:val="center"/>
            <w:hideMark/>
          </w:tcPr>
          <w:p w:rsidRPr="00AE1B2B" w:rsidR="009D3FB5" w:rsidP="00163B94" w:rsidRDefault="009D3FB5" w14:paraId="41EB731D"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8644</w:t>
            </w:r>
          </w:p>
        </w:tc>
      </w:tr>
    </w:tbl>
    <w:p w:rsidRPr="00AE1B2B" w:rsidR="009D3FB5" w:rsidP="00163B94" w:rsidRDefault="009D3FB5" w14:paraId="5EE41C8E"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lastRenderedPageBreak/>
        <w:t>Fuente: Subproceso de Modernización Institucional, con datos del Subproceso de Estadística, del 2018 al 2019.</w:t>
      </w:r>
    </w:p>
    <w:p w:rsidRPr="00AE1B2B" w:rsidR="009D3FB5" w:rsidP="00163B94" w:rsidRDefault="009D3FB5" w14:paraId="70286B5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9AA182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 la información del cuadro anterior, se desprende que el Tribunal de Familia conoció durante el periodo del 2018 al 2019 un total de 8 649 apelaciones procedentes de los Juzgados Especializados de Familia, los tres despachos a los que les presentaron más recursos durante este periodo fueron el Juzgado de Familia del Segundo Circuito Judicial de San José con 1 335 asuntos, seguido del Juzgado de Familia Cartago con 1 247 apelaciones y en tercer lugar el Juzgado de Familia de Heredia con 1 139 casos, en menor cantidad se tiene el Juzgado de Familia del Segundo Circuito Judicial de la Zona Atlántica con 376 apelaciones, seguido del Juzgado de Familia del Segundo Circuito Judicial de Alajuela con 393 casos y el Juzgado Segundo de Familia de San José con 408 asuntos. Es decir, en promedio en esos 2 años, resolvió 4325 apelaciones. </w:t>
      </w:r>
    </w:p>
    <w:p w:rsidRPr="00AE1B2B" w:rsidR="009D3FB5" w:rsidP="00163B94" w:rsidRDefault="009D3FB5" w14:paraId="6D6CA731" w14:textId="14BB878C">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Para el 2020, logró terminar 1742 recursos (1115 en Familia y 627 en Violencia Doméstica), lo que representa una baja en su rendimiento de un 40%. Finalizó el 2020 con un circulante en trámite de 273 asuntos (203 en Familia y 70 en Violencia Doméstica).</w:t>
      </w:r>
      <w:r w:rsidRPr="00AE1B2B" w:rsidR="00BB7720">
        <w:rPr>
          <w:rFonts w:ascii="Times New Roman" w:hAnsi="Times New Roman" w:cs="Times New Roman"/>
          <w:sz w:val="26"/>
          <w:szCs w:val="26"/>
        </w:rPr>
        <w:t xml:space="preserve"> </w:t>
      </w:r>
    </w:p>
    <w:p w:rsidRPr="00AE1B2B" w:rsidR="009D3FB5" w:rsidP="00163B94" w:rsidRDefault="009D3FB5" w14:paraId="7C56F0A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E5ACED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CBF0E43" w14:textId="77777777">
      <w:pPr>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Modelo de sostenibilidad y seguimiento</w:t>
      </w:r>
    </w:p>
    <w:p w:rsidRPr="00AE1B2B" w:rsidR="009D3FB5" w:rsidP="00163B94" w:rsidRDefault="009D3FB5" w14:paraId="7893049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Con la finalidad de brindar seguimiento al desempeño de Tribunal de Familia, como parte del Modelo de Sostenibilidad y Seguimiento implantado en la Jurisdición y del acatamiento de las recomendaciones de la Contraloría General de la República para esta Jurisdición, en 2020 se implantó el modelo en el Tribunal al que también se le diseñaron los respectivos indicadores de gestión:</w:t>
      </w:r>
    </w:p>
    <w:p w:rsidRPr="00AE1B2B" w:rsidR="009D3FB5" w:rsidP="00163B94" w:rsidRDefault="009D3FB5" w14:paraId="3B24168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2822F9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Solamente para los indicadores 1,2, 3, 4 y 7 se establecieron parámetros. Para los restantes se definirán a partir del histórico del primer semestre 2021, ya que esta oficina hasta finales del 2020 el Tribunal inició con el uso de la matriz.</w:t>
      </w:r>
    </w:p>
    <w:p w:rsidRPr="00AE1B2B" w:rsidR="009D3FB5" w:rsidP="00163B94" w:rsidRDefault="009D3FB5" w14:paraId="07694E57" w14:textId="77777777">
      <w:pPr>
        <w:spacing w:before="120" w:after="120"/>
        <w:ind w:left="851" w:right="851" w:firstLine="709"/>
        <w:jc w:val="both"/>
        <w:rPr>
          <w:rFonts w:ascii="Times New Roman" w:hAnsi="Times New Roman" w:cs="Times New Roman"/>
          <w:sz w:val="26"/>
          <w:szCs w:val="26"/>
          <w:highlight w:val="magenta"/>
        </w:rPr>
      </w:pPr>
    </w:p>
    <w:p w:rsidRPr="00AE1B2B" w:rsidR="009D3FB5" w:rsidP="00163B94" w:rsidRDefault="009D3FB5" w14:paraId="6DEF0AFD" w14:textId="77777777">
      <w:pPr>
        <w:spacing w:before="120" w:after="120"/>
        <w:ind w:left="851" w:right="851" w:firstLine="709"/>
        <w:jc w:val="both"/>
        <w:rPr>
          <w:rFonts w:ascii="Times New Roman" w:hAnsi="Times New Roman" w:cs="Times New Roman"/>
          <w:sz w:val="26"/>
          <w:szCs w:val="26"/>
          <w:highlight w:val="magenta"/>
        </w:rPr>
      </w:pPr>
    </w:p>
    <w:p w:rsidRPr="00AE1B2B" w:rsidR="009D3FB5" w:rsidP="00163B94" w:rsidRDefault="009D3FB5" w14:paraId="06856C46"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50</w:t>
      </w:r>
      <w:r w:rsidRPr="00AE1B2B">
        <w:rPr>
          <w:rFonts w:ascii="Times New Roman" w:hAnsi="Times New Roman" w:cs="Times New Roman"/>
          <w:sz w:val="26"/>
          <w:szCs w:val="26"/>
        </w:rPr>
        <w:fldChar w:fldCharType="end"/>
      </w:r>
    </w:p>
    <w:p w:rsidRPr="00AE1B2B" w:rsidR="009D3FB5" w:rsidP="00163B94" w:rsidRDefault="009D3FB5" w14:paraId="47975D52"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lastRenderedPageBreak/>
        <w:t>Matriz de Indicadores del Tribunal de Familia, 2021</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827"/>
        <w:gridCol w:w="501"/>
        <w:gridCol w:w="1522"/>
        <w:gridCol w:w="5978"/>
      </w:tblGrid>
      <w:tr w:rsidRPr="00AE1B2B" w:rsidR="00AE1B2B" w:rsidTr="009D3FB5" w14:paraId="731FCB51" w14:textId="77777777">
        <w:trPr>
          <w:cantSplit/>
          <w:trHeight w:val="386"/>
          <w:tblHeader/>
          <w:jc w:val="center"/>
        </w:trPr>
        <w:tc>
          <w:tcPr>
            <w:tcW w:w="468" w:type="pct"/>
            <w:shd w:val="clear" w:color="auto" w:fill="002060"/>
          </w:tcPr>
          <w:p w:rsidRPr="00AE1B2B" w:rsidR="009D3FB5" w:rsidP="00163B94" w:rsidRDefault="009D3FB5" w14:paraId="14E3ECD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Categ.</w:t>
            </w:r>
          </w:p>
        </w:tc>
        <w:tc>
          <w:tcPr>
            <w:tcW w:w="284" w:type="pct"/>
            <w:shd w:val="clear" w:color="auto" w:fill="002060"/>
            <w:noWrap/>
            <w:vAlign w:val="center"/>
            <w:hideMark/>
          </w:tcPr>
          <w:p w:rsidRPr="00AE1B2B" w:rsidR="009D3FB5" w:rsidP="00163B94" w:rsidRDefault="009D3FB5" w14:paraId="07024DC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N°</w:t>
            </w:r>
          </w:p>
        </w:tc>
        <w:tc>
          <w:tcPr>
            <w:tcW w:w="862" w:type="pct"/>
            <w:shd w:val="clear" w:color="auto" w:fill="002060"/>
            <w:noWrap/>
            <w:vAlign w:val="center"/>
            <w:hideMark/>
          </w:tcPr>
          <w:p w:rsidRPr="00AE1B2B" w:rsidR="009D3FB5" w:rsidP="00163B94" w:rsidRDefault="009D3FB5" w14:paraId="7E6E71F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Indicador</w:t>
            </w:r>
          </w:p>
        </w:tc>
        <w:tc>
          <w:tcPr>
            <w:tcW w:w="3386" w:type="pct"/>
            <w:shd w:val="clear" w:color="auto" w:fill="002060"/>
            <w:noWrap/>
            <w:vAlign w:val="center"/>
            <w:hideMark/>
          </w:tcPr>
          <w:p w:rsidRPr="00AE1B2B" w:rsidR="009D3FB5" w:rsidP="00163B94" w:rsidRDefault="009D3FB5" w14:paraId="6E16935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Detalle</w:t>
            </w:r>
          </w:p>
        </w:tc>
      </w:tr>
      <w:tr w:rsidRPr="00AE1B2B" w:rsidR="00AE1B2B" w:rsidTr="009D3FB5" w14:paraId="1FC1DD89" w14:textId="77777777">
        <w:trPr>
          <w:cantSplit/>
          <w:trHeight w:val="1134"/>
          <w:jc w:val="center"/>
        </w:trPr>
        <w:tc>
          <w:tcPr>
            <w:tcW w:w="468" w:type="pct"/>
            <w:vMerge w:val="restart"/>
            <w:shd w:val="clear" w:color="auto" w:fill="D5E2F9"/>
            <w:textDirection w:val="btLr"/>
          </w:tcPr>
          <w:p w:rsidRPr="00AE1B2B" w:rsidR="009D3FB5" w:rsidP="00163B94" w:rsidRDefault="009D3FB5" w14:paraId="25C7EAB9" w14:textId="77777777">
            <w:pPr>
              <w:spacing w:before="120" w:after="120" w:line="276" w:lineRule="auto"/>
              <w:ind w:left="113" w:right="113"/>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Rendimiento Estadístico</w:t>
            </w:r>
          </w:p>
        </w:tc>
        <w:tc>
          <w:tcPr>
            <w:tcW w:w="284" w:type="pct"/>
            <w:shd w:val="clear" w:color="auto" w:fill="FFFFFF" w:themeFill="background1"/>
            <w:vAlign w:val="center"/>
            <w:hideMark/>
          </w:tcPr>
          <w:p w:rsidRPr="00AE1B2B" w:rsidR="009D3FB5" w:rsidP="00163B94" w:rsidRDefault="009D3FB5" w14:paraId="01847E4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w:t>
            </w:r>
          </w:p>
        </w:tc>
        <w:tc>
          <w:tcPr>
            <w:tcW w:w="862" w:type="pct"/>
            <w:shd w:val="clear" w:color="auto" w:fill="FFFFFF" w:themeFill="background1"/>
            <w:vAlign w:val="center"/>
            <w:hideMark/>
          </w:tcPr>
          <w:p w:rsidRPr="00AE1B2B" w:rsidR="009D3FB5" w:rsidP="00163B94" w:rsidRDefault="009D3FB5" w14:paraId="52ECE65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Entrada total</w:t>
            </w:r>
          </w:p>
        </w:tc>
        <w:tc>
          <w:tcPr>
            <w:tcW w:w="3386" w:type="pct"/>
            <w:shd w:val="clear" w:color="auto" w:fill="auto"/>
            <w:vAlign w:val="center"/>
            <w:hideMark/>
          </w:tcPr>
          <w:p w:rsidRPr="00AE1B2B" w:rsidR="009D3FB5" w:rsidP="00163B94" w:rsidRDefault="009D3FB5" w14:paraId="654DB089"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Entrada total está conformada por el resultado de la sumatoria de la cantidad de asuntos nuevos ingresados y los casos reentrados en el mes. Este indicador esta subdividido por materia (Familia y Violencia Doméstica).</w:t>
            </w:r>
          </w:p>
          <w:p w:rsidRPr="00AE1B2B" w:rsidR="009D3FB5" w:rsidP="00163B94" w:rsidRDefault="009D3FB5" w14:paraId="707A52A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define del promedio del histórico del despacho del informe estadístico mensual de SIGMA.</w:t>
            </w:r>
          </w:p>
        </w:tc>
      </w:tr>
      <w:tr w:rsidRPr="00AE1B2B" w:rsidR="00AE1B2B" w:rsidTr="009D3FB5" w14:paraId="3E9C1888" w14:textId="77777777">
        <w:trPr>
          <w:cantSplit/>
          <w:trHeight w:val="20"/>
          <w:jc w:val="center"/>
        </w:trPr>
        <w:tc>
          <w:tcPr>
            <w:tcW w:w="468" w:type="pct"/>
            <w:vMerge/>
            <w:shd w:val="clear" w:color="auto" w:fill="D5E2F9"/>
          </w:tcPr>
          <w:p w:rsidRPr="00AE1B2B" w:rsidR="009D3FB5" w:rsidP="00163B94" w:rsidRDefault="009D3FB5" w14:paraId="6B5C96D3" w14:textId="77777777">
            <w:pPr>
              <w:spacing w:before="120" w:after="120" w:line="276" w:lineRule="auto"/>
              <w:jc w:val="center"/>
              <w:rPr>
                <w:rFonts w:ascii="Times New Roman" w:hAnsi="Times New Roman" w:eastAsia="Times New Roman" w:cs="Times New Roman"/>
                <w:b/>
                <w:bCs/>
                <w:lang w:eastAsia="es-CR"/>
              </w:rPr>
            </w:pPr>
          </w:p>
        </w:tc>
        <w:tc>
          <w:tcPr>
            <w:tcW w:w="284" w:type="pct"/>
            <w:shd w:val="clear" w:color="auto" w:fill="FFFFFF" w:themeFill="background1"/>
            <w:vAlign w:val="center"/>
            <w:hideMark/>
          </w:tcPr>
          <w:p w:rsidRPr="00AE1B2B" w:rsidR="009D3FB5" w:rsidP="00163B94" w:rsidRDefault="009D3FB5" w14:paraId="5A13167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w:t>
            </w:r>
          </w:p>
        </w:tc>
        <w:tc>
          <w:tcPr>
            <w:tcW w:w="862" w:type="pct"/>
            <w:shd w:val="clear" w:color="auto" w:fill="FFFFFF" w:themeFill="background1"/>
            <w:vAlign w:val="center"/>
            <w:hideMark/>
          </w:tcPr>
          <w:p w:rsidRPr="00AE1B2B" w:rsidR="009D3FB5" w:rsidP="00163B94" w:rsidRDefault="009D3FB5" w14:paraId="29527A6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Salida</w:t>
            </w:r>
          </w:p>
        </w:tc>
        <w:tc>
          <w:tcPr>
            <w:tcW w:w="3386" w:type="pct"/>
            <w:shd w:val="clear" w:color="auto" w:fill="auto"/>
            <w:vAlign w:val="center"/>
            <w:hideMark/>
          </w:tcPr>
          <w:p w:rsidRPr="00AE1B2B" w:rsidR="009D3FB5" w:rsidP="00163B94" w:rsidRDefault="009D3FB5" w14:paraId="5C2D7ADB" w14:textId="6CEBDD8E">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Salida total</w:t>
            </w:r>
            <w:r w:rsidRPr="00AE1B2B">
              <w:rPr>
                <w:rFonts w:ascii="Times New Roman" w:hAnsi="Times New Roman" w:eastAsia="Calibri" w:cs="Times New Roman"/>
              </w:rPr>
              <w:t xml:space="preserve"> </w:t>
            </w:r>
            <w:r w:rsidRPr="00AE1B2B">
              <w:rPr>
                <w:rFonts w:ascii="Times New Roman" w:hAnsi="Times New Roman" w:eastAsia="Times New Roman" w:cs="Times New Roman"/>
                <w:lang w:eastAsia="es-CR"/>
              </w:rPr>
              <w:t>está conformada por la suma de los casos terminados.</w:t>
            </w:r>
            <w:r w:rsidRPr="00AE1B2B" w:rsidR="00BB7720">
              <w:rPr>
                <w:rFonts w:ascii="Times New Roman" w:hAnsi="Times New Roman" w:eastAsia="Times New Roman" w:cs="Times New Roman"/>
                <w:lang w:eastAsia="es-CR"/>
              </w:rPr>
              <w:t xml:space="preserve"> </w:t>
            </w:r>
          </w:p>
          <w:p w:rsidRPr="00AE1B2B" w:rsidR="009D3FB5" w:rsidP="00163B94" w:rsidRDefault="009D3FB5" w14:paraId="57CF166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define del promedio del histórico del despacho del informe estadístico mensual de SIGMA.</w:t>
            </w:r>
          </w:p>
        </w:tc>
      </w:tr>
      <w:tr w:rsidRPr="00AE1B2B" w:rsidR="00AE1B2B" w:rsidTr="009D3FB5" w14:paraId="08B00233" w14:textId="77777777">
        <w:trPr>
          <w:cantSplit/>
          <w:trHeight w:val="20"/>
          <w:jc w:val="center"/>
        </w:trPr>
        <w:tc>
          <w:tcPr>
            <w:tcW w:w="468" w:type="pct"/>
            <w:vMerge/>
            <w:shd w:val="clear" w:color="auto" w:fill="D5E2F9"/>
          </w:tcPr>
          <w:p w:rsidRPr="00AE1B2B" w:rsidR="009D3FB5" w:rsidP="00163B94" w:rsidRDefault="009D3FB5" w14:paraId="0565F772" w14:textId="77777777">
            <w:pPr>
              <w:spacing w:before="120" w:after="120" w:line="276" w:lineRule="auto"/>
              <w:jc w:val="center"/>
              <w:rPr>
                <w:rFonts w:ascii="Times New Roman" w:hAnsi="Times New Roman" w:eastAsia="Times New Roman" w:cs="Times New Roman"/>
                <w:b/>
                <w:bCs/>
                <w:lang w:eastAsia="es-CR"/>
              </w:rPr>
            </w:pPr>
          </w:p>
        </w:tc>
        <w:tc>
          <w:tcPr>
            <w:tcW w:w="284" w:type="pct"/>
            <w:shd w:val="clear" w:color="auto" w:fill="FFFFFF" w:themeFill="background1"/>
            <w:vAlign w:val="center"/>
            <w:hideMark/>
          </w:tcPr>
          <w:p w:rsidRPr="00AE1B2B" w:rsidR="009D3FB5" w:rsidP="00163B94" w:rsidRDefault="009D3FB5" w14:paraId="33D2825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w:t>
            </w:r>
          </w:p>
        </w:tc>
        <w:tc>
          <w:tcPr>
            <w:tcW w:w="862" w:type="pct"/>
            <w:shd w:val="clear" w:color="auto" w:fill="FFFFFF" w:themeFill="background1"/>
            <w:vAlign w:val="center"/>
            <w:hideMark/>
          </w:tcPr>
          <w:p w:rsidRPr="00AE1B2B" w:rsidR="009D3FB5" w:rsidP="00163B94" w:rsidRDefault="009D3FB5" w14:paraId="2DDE363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Circulante</w:t>
            </w:r>
          </w:p>
        </w:tc>
        <w:tc>
          <w:tcPr>
            <w:tcW w:w="3386" w:type="pct"/>
            <w:shd w:val="clear" w:color="auto" w:fill="auto"/>
            <w:vAlign w:val="center"/>
            <w:hideMark/>
          </w:tcPr>
          <w:p w:rsidRPr="00AE1B2B" w:rsidR="009D3FB5" w:rsidP="00163B94" w:rsidRDefault="009D3FB5" w14:paraId="40D2BF30"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Circulante: </w:t>
            </w:r>
            <w:r w:rsidRPr="00AE1B2B">
              <w:rPr>
                <w:rFonts w:ascii="Times New Roman" w:hAnsi="Times New Roman" w:eastAsia="Times New Roman" w:cs="Times New Roman"/>
                <w:i/>
                <w:iCs/>
                <w:lang w:eastAsia="es-CR"/>
              </w:rPr>
              <w:t>(Circulante Inicial + Entradas + Reentrados – Terminados)</w:t>
            </w:r>
          </w:p>
          <w:p w:rsidRPr="00AE1B2B" w:rsidR="009D3FB5" w:rsidP="00163B94" w:rsidRDefault="009D3FB5" w14:paraId="6FFD5AC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El parámetro se define del circulante del despacho al momento del abordaje al despacho. </w:t>
            </w:r>
          </w:p>
          <w:p w:rsidRPr="00AE1B2B" w:rsidR="009D3FB5" w:rsidP="00163B94" w:rsidRDefault="009D3FB5" w14:paraId="65910D1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indicador se subdivide por materia.</w:t>
            </w:r>
          </w:p>
        </w:tc>
      </w:tr>
      <w:tr w:rsidRPr="00AE1B2B" w:rsidR="00AE1B2B" w:rsidTr="009D3FB5" w14:paraId="58F82419" w14:textId="77777777">
        <w:trPr>
          <w:cantSplit/>
          <w:trHeight w:val="20"/>
          <w:jc w:val="center"/>
        </w:trPr>
        <w:tc>
          <w:tcPr>
            <w:tcW w:w="468" w:type="pct"/>
            <w:vMerge/>
            <w:shd w:val="clear" w:color="auto" w:fill="D5E2F9"/>
          </w:tcPr>
          <w:p w:rsidRPr="00AE1B2B" w:rsidR="009D3FB5" w:rsidP="00163B94" w:rsidRDefault="009D3FB5" w14:paraId="63512602" w14:textId="77777777">
            <w:pPr>
              <w:spacing w:before="120" w:after="120" w:line="276" w:lineRule="auto"/>
              <w:jc w:val="center"/>
              <w:rPr>
                <w:rFonts w:ascii="Times New Roman" w:hAnsi="Times New Roman" w:eastAsia="Times New Roman" w:cs="Times New Roman"/>
                <w:b/>
                <w:bCs/>
                <w:lang w:eastAsia="es-CR"/>
              </w:rPr>
            </w:pPr>
          </w:p>
        </w:tc>
        <w:tc>
          <w:tcPr>
            <w:tcW w:w="284" w:type="pct"/>
            <w:shd w:val="clear" w:color="auto" w:fill="auto"/>
            <w:vAlign w:val="center"/>
            <w:hideMark/>
          </w:tcPr>
          <w:p w:rsidRPr="00AE1B2B" w:rsidR="009D3FB5" w:rsidP="00163B94" w:rsidRDefault="009D3FB5" w14:paraId="3B2BFF8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4</w:t>
            </w:r>
          </w:p>
        </w:tc>
        <w:tc>
          <w:tcPr>
            <w:tcW w:w="862" w:type="pct"/>
            <w:shd w:val="clear" w:color="auto" w:fill="auto"/>
            <w:vAlign w:val="center"/>
            <w:hideMark/>
          </w:tcPr>
          <w:p w:rsidRPr="00AE1B2B" w:rsidR="009D3FB5" w:rsidP="00163B94" w:rsidRDefault="009D3FB5" w14:paraId="21F5DD7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Relación salida Total / entrada total </w:t>
            </w:r>
          </w:p>
        </w:tc>
        <w:tc>
          <w:tcPr>
            <w:tcW w:w="3386" w:type="pct"/>
            <w:shd w:val="clear" w:color="auto" w:fill="auto"/>
            <w:vAlign w:val="center"/>
            <w:hideMark/>
          </w:tcPr>
          <w:p w:rsidRPr="00AE1B2B" w:rsidR="009D3FB5" w:rsidP="00163B94" w:rsidRDefault="009D3FB5" w14:paraId="703E03C1"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Cálculo: </w:t>
            </w:r>
            <w:r w:rsidRPr="00AE1B2B">
              <w:rPr>
                <w:rFonts w:ascii="Times New Roman" w:hAnsi="Times New Roman" w:eastAsia="Times New Roman" w:cs="Times New Roman"/>
                <w:i/>
                <w:iCs/>
                <w:lang w:eastAsia="es-CR"/>
              </w:rPr>
              <w:t>(Salidas/ Entradas) *100</w:t>
            </w:r>
          </w:p>
          <w:p w:rsidRPr="00AE1B2B" w:rsidR="009D3FB5" w:rsidP="00163B94" w:rsidRDefault="009D3FB5" w14:paraId="1623080A" w14:textId="77777777">
            <w:pPr>
              <w:spacing w:before="120" w:after="120" w:line="276" w:lineRule="auto"/>
              <w:rPr>
                <w:rFonts w:ascii="Times New Roman" w:hAnsi="Times New Roman" w:eastAsia="Times New Roman" w:cs="Times New Roman"/>
                <w:lang w:eastAsia="es-CR"/>
              </w:rPr>
            </w:pPr>
          </w:p>
        </w:tc>
      </w:tr>
      <w:tr w:rsidRPr="00AE1B2B" w:rsidR="00AE1B2B" w:rsidTr="009D3FB5" w14:paraId="095A8085" w14:textId="77777777">
        <w:trPr>
          <w:cantSplit/>
          <w:trHeight w:val="20"/>
          <w:jc w:val="center"/>
        </w:trPr>
        <w:tc>
          <w:tcPr>
            <w:tcW w:w="468" w:type="pct"/>
            <w:vMerge/>
            <w:shd w:val="clear" w:color="auto" w:fill="D5E2F9"/>
          </w:tcPr>
          <w:p w:rsidRPr="00AE1B2B" w:rsidR="009D3FB5" w:rsidP="00163B94" w:rsidRDefault="009D3FB5" w14:paraId="428DC353" w14:textId="77777777">
            <w:pPr>
              <w:spacing w:before="120" w:after="120" w:line="276" w:lineRule="auto"/>
              <w:jc w:val="center"/>
              <w:rPr>
                <w:rFonts w:ascii="Times New Roman" w:hAnsi="Times New Roman" w:eastAsia="Times New Roman" w:cs="Times New Roman"/>
                <w:b/>
                <w:bCs/>
                <w:lang w:eastAsia="es-CR"/>
              </w:rPr>
            </w:pPr>
          </w:p>
        </w:tc>
        <w:tc>
          <w:tcPr>
            <w:tcW w:w="284" w:type="pct"/>
            <w:shd w:val="clear" w:color="auto" w:fill="auto"/>
            <w:vAlign w:val="center"/>
            <w:hideMark/>
          </w:tcPr>
          <w:p w:rsidRPr="00AE1B2B" w:rsidR="009D3FB5" w:rsidP="00163B94" w:rsidRDefault="009D3FB5" w14:paraId="538B24B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5</w:t>
            </w:r>
          </w:p>
        </w:tc>
        <w:tc>
          <w:tcPr>
            <w:tcW w:w="862" w:type="pct"/>
            <w:shd w:val="clear" w:color="auto" w:fill="auto"/>
            <w:vAlign w:val="center"/>
            <w:hideMark/>
          </w:tcPr>
          <w:p w:rsidRPr="00AE1B2B" w:rsidR="009D3FB5" w:rsidP="00163B94" w:rsidRDefault="009D3FB5" w14:paraId="1C0D3B7B"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recursos confirmados</w:t>
            </w:r>
          </w:p>
        </w:tc>
        <w:tc>
          <w:tcPr>
            <w:tcW w:w="3386" w:type="pct"/>
            <w:shd w:val="clear" w:color="auto" w:fill="auto"/>
            <w:vAlign w:val="center"/>
            <w:hideMark/>
          </w:tcPr>
          <w:p w:rsidRPr="00AE1B2B" w:rsidR="009D3FB5" w:rsidP="00163B94" w:rsidRDefault="009D3FB5" w14:paraId="42AFA8D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Este indicador contabiliza la cantidad de recursos donde se confirma la resolución de primera instancia. </w:t>
            </w:r>
          </w:p>
          <w:p w:rsidRPr="00AE1B2B" w:rsidR="009D3FB5" w:rsidP="00163B94" w:rsidRDefault="009D3FB5" w14:paraId="67ECFAB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dato se obtiene del informe estadístico mensual de SIGMA.</w:t>
            </w:r>
          </w:p>
        </w:tc>
      </w:tr>
      <w:tr w:rsidRPr="00AE1B2B" w:rsidR="00AE1B2B" w:rsidTr="009D3FB5" w14:paraId="7371E949" w14:textId="77777777">
        <w:trPr>
          <w:cantSplit/>
          <w:trHeight w:val="20"/>
          <w:jc w:val="center"/>
        </w:trPr>
        <w:tc>
          <w:tcPr>
            <w:tcW w:w="468" w:type="pct"/>
            <w:vMerge/>
            <w:shd w:val="clear" w:color="auto" w:fill="D5E2F9"/>
          </w:tcPr>
          <w:p w:rsidRPr="00AE1B2B" w:rsidR="009D3FB5" w:rsidP="00163B94" w:rsidRDefault="009D3FB5" w14:paraId="70011979" w14:textId="77777777">
            <w:pPr>
              <w:spacing w:before="120" w:after="120" w:line="276" w:lineRule="auto"/>
              <w:jc w:val="center"/>
              <w:rPr>
                <w:rFonts w:ascii="Times New Roman" w:hAnsi="Times New Roman" w:eastAsia="Times New Roman" w:cs="Times New Roman"/>
                <w:b/>
                <w:bCs/>
                <w:lang w:eastAsia="es-CR"/>
              </w:rPr>
            </w:pPr>
          </w:p>
        </w:tc>
        <w:tc>
          <w:tcPr>
            <w:tcW w:w="284" w:type="pct"/>
            <w:shd w:val="clear" w:color="auto" w:fill="auto"/>
            <w:vAlign w:val="center"/>
            <w:hideMark/>
          </w:tcPr>
          <w:p w:rsidRPr="00AE1B2B" w:rsidR="009D3FB5" w:rsidP="00163B94" w:rsidRDefault="009D3FB5" w14:paraId="753B28C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6</w:t>
            </w:r>
          </w:p>
        </w:tc>
        <w:tc>
          <w:tcPr>
            <w:tcW w:w="862" w:type="pct"/>
            <w:shd w:val="clear" w:color="auto" w:fill="auto"/>
            <w:vAlign w:val="center"/>
            <w:hideMark/>
          </w:tcPr>
          <w:p w:rsidRPr="00AE1B2B" w:rsidR="009D3FB5" w:rsidP="00163B94" w:rsidRDefault="009D3FB5" w14:paraId="79980A7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recursos revocados</w:t>
            </w:r>
          </w:p>
        </w:tc>
        <w:tc>
          <w:tcPr>
            <w:tcW w:w="3386" w:type="pct"/>
            <w:shd w:val="clear" w:color="auto" w:fill="auto"/>
            <w:vAlign w:val="center"/>
            <w:hideMark/>
          </w:tcPr>
          <w:p w:rsidRPr="00AE1B2B" w:rsidR="009D3FB5" w:rsidP="00163B94" w:rsidRDefault="009D3FB5" w14:paraId="58D6960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Este indicador contabiliza la cantidad de recursos donde se revoca la resolución de primera instancia. </w:t>
            </w:r>
          </w:p>
          <w:p w:rsidRPr="00AE1B2B" w:rsidR="009D3FB5" w:rsidP="00163B94" w:rsidRDefault="009D3FB5" w14:paraId="3B457A4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dato se obtiene del informe estadístico mensual de SIGMA.</w:t>
            </w:r>
          </w:p>
        </w:tc>
      </w:tr>
      <w:tr w:rsidRPr="00AE1B2B" w:rsidR="00AE1B2B" w:rsidTr="009D3FB5" w14:paraId="61539B51" w14:textId="77777777">
        <w:trPr>
          <w:cantSplit/>
          <w:trHeight w:val="1134"/>
          <w:jc w:val="center"/>
        </w:trPr>
        <w:tc>
          <w:tcPr>
            <w:tcW w:w="468" w:type="pct"/>
            <w:vMerge w:val="restart"/>
            <w:shd w:val="clear" w:color="auto" w:fill="EDEDED" w:themeFill="accent3" w:themeFillTint="33"/>
            <w:textDirection w:val="btLr"/>
          </w:tcPr>
          <w:p w:rsidRPr="00AE1B2B" w:rsidR="009D3FB5" w:rsidP="00163B94" w:rsidRDefault="009D3FB5" w14:paraId="740F8562" w14:textId="77777777">
            <w:pPr>
              <w:spacing w:before="120" w:after="120" w:line="276" w:lineRule="auto"/>
              <w:ind w:left="113" w:right="113"/>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Plazos</w:t>
            </w:r>
          </w:p>
        </w:tc>
        <w:tc>
          <w:tcPr>
            <w:tcW w:w="284" w:type="pct"/>
            <w:shd w:val="clear" w:color="auto" w:fill="FFFFFF" w:themeFill="background1"/>
            <w:vAlign w:val="center"/>
            <w:hideMark/>
          </w:tcPr>
          <w:p w:rsidRPr="00AE1B2B" w:rsidR="009D3FB5" w:rsidP="00163B94" w:rsidRDefault="009D3FB5" w14:paraId="127D082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7</w:t>
            </w:r>
          </w:p>
        </w:tc>
        <w:tc>
          <w:tcPr>
            <w:tcW w:w="862" w:type="pct"/>
            <w:shd w:val="clear" w:color="auto" w:fill="FFFFFF" w:themeFill="background1"/>
            <w:vAlign w:val="center"/>
            <w:hideMark/>
          </w:tcPr>
          <w:p w:rsidRPr="00AE1B2B" w:rsidR="009D3FB5" w:rsidP="00163B94" w:rsidRDefault="009D3FB5" w14:paraId="61AE63E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espera de dictado de sentencia</w:t>
            </w:r>
          </w:p>
        </w:tc>
        <w:tc>
          <w:tcPr>
            <w:tcW w:w="3386" w:type="pct"/>
            <w:shd w:val="clear" w:color="auto" w:fill="auto"/>
            <w:vAlign w:val="center"/>
            <w:hideMark/>
          </w:tcPr>
          <w:p w:rsidRPr="00AE1B2B" w:rsidR="009D3FB5" w:rsidP="00163B94" w:rsidRDefault="009D3FB5" w14:paraId="7A3BADC5"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 xml:space="preserve">(Fecha actual - fecha del expediente más antiguo pendiente de fallar). </w:t>
            </w:r>
            <w:r w:rsidRPr="00AE1B2B">
              <w:rPr>
                <w:rFonts w:ascii="Times New Roman" w:hAnsi="Times New Roman" w:eastAsia="Times New Roman" w:cs="Times New Roman"/>
                <w:lang w:eastAsia="es-CR"/>
              </w:rPr>
              <w:t>Se cuenta con el promedio y con el detalle por persona juzgadora y por materia.</w:t>
            </w:r>
            <w:r w:rsidRPr="00AE1B2B">
              <w:rPr>
                <w:rFonts w:ascii="Times New Roman" w:hAnsi="Times New Roman" w:eastAsia="Times New Roman" w:cs="Times New Roman"/>
                <w:i/>
                <w:iCs/>
                <w:lang w:eastAsia="es-CR"/>
              </w:rPr>
              <w:t xml:space="preserve"> </w:t>
            </w:r>
          </w:p>
          <w:p w:rsidRPr="00AE1B2B" w:rsidR="009D3FB5" w:rsidP="00163B94" w:rsidRDefault="009D3FB5" w14:paraId="5E864D62" w14:textId="12975FC7">
            <w:pPr>
              <w:spacing w:before="120" w:after="120" w:line="276" w:lineRule="auto"/>
              <w:rPr>
                <w:rFonts w:ascii="Times New Roman" w:hAnsi="Times New Roman" w:cs="Times New Roman"/>
                <w:lang w:eastAsia="es-CR"/>
              </w:rPr>
            </w:pPr>
            <w:r w:rsidRPr="00AE1B2B">
              <w:rPr>
                <w:rFonts w:ascii="Times New Roman" w:hAnsi="Times New Roman" w:eastAsia="Times New Roman" w:cs="Times New Roman"/>
                <w:lang w:eastAsia="es-CR"/>
              </w:rPr>
              <w:t>Este dato es la fecha del expediente más antiguo pendiente de fallo registrada en el despacho, se obtiene del libro de pase a fallo y Módulo de pase a fallo del Escritorio Virtual.</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Los parámetros se definen según plazo legal para dictar sentencia en segunda instancia por materia. A saber 32 días hábiles (1,5 meses) para fallar asuntos de Familia de conformidad con el artículo 151 CPC de 1989. Y 15 días hábiles para fallo asuntos de Violencia Doméstica en segunda Instancia, de conformidad con el artículo 16 de la Ley Contra la Violencia Doméstica. </w:t>
            </w:r>
          </w:p>
        </w:tc>
      </w:tr>
      <w:tr w:rsidRPr="00AE1B2B" w:rsidR="00AE1B2B" w:rsidTr="009D3FB5" w14:paraId="63004BB0" w14:textId="77777777">
        <w:trPr>
          <w:cantSplit/>
          <w:trHeight w:val="1614"/>
          <w:jc w:val="center"/>
        </w:trPr>
        <w:tc>
          <w:tcPr>
            <w:tcW w:w="468" w:type="pct"/>
            <w:vMerge/>
            <w:shd w:val="clear" w:color="auto" w:fill="EDEDED" w:themeFill="accent3" w:themeFillTint="33"/>
          </w:tcPr>
          <w:p w:rsidRPr="00AE1B2B" w:rsidR="009D3FB5" w:rsidP="00163B94" w:rsidRDefault="009D3FB5" w14:paraId="5F7A4FC9" w14:textId="77777777">
            <w:pPr>
              <w:spacing w:before="120" w:after="120" w:line="276" w:lineRule="auto"/>
              <w:jc w:val="center"/>
              <w:rPr>
                <w:rFonts w:ascii="Times New Roman" w:hAnsi="Times New Roman" w:eastAsia="Times New Roman" w:cs="Times New Roman"/>
                <w:b/>
                <w:bCs/>
                <w:lang w:eastAsia="es-CR"/>
              </w:rPr>
            </w:pPr>
          </w:p>
        </w:tc>
        <w:tc>
          <w:tcPr>
            <w:tcW w:w="284" w:type="pct"/>
            <w:shd w:val="clear" w:color="auto" w:fill="FFFFFF" w:themeFill="background1"/>
            <w:vAlign w:val="center"/>
            <w:hideMark/>
          </w:tcPr>
          <w:p w:rsidRPr="00AE1B2B" w:rsidR="009D3FB5" w:rsidP="00163B94" w:rsidRDefault="009D3FB5" w14:paraId="7253B84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8</w:t>
            </w:r>
          </w:p>
        </w:tc>
        <w:tc>
          <w:tcPr>
            <w:tcW w:w="862" w:type="pct"/>
            <w:shd w:val="clear" w:color="auto" w:fill="FFFFFF" w:themeFill="background1"/>
            <w:vAlign w:val="center"/>
            <w:hideMark/>
          </w:tcPr>
          <w:p w:rsidRPr="00AE1B2B" w:rsidR="009D3FB5" w:rsidP="00163B94" w:rsidRDefault="009D3FB5" w14:paraId="10D2132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para resolver escritos</w:t>
            </w:r>
          </w:p>
        </w:tc>
        <w:tc>
          <w:tcPr>
            <w:tcW w:w="3386" w:type="pct"/>
            <w:shd w:val="clear" w:color="auto" w:fill="auto"/>
            <w:vAlign w:val="center"/>
            <w:hideMark/>
          </w:tcPr>
          <w:p w:rsidRPr="00AE1B2B" w:rsidR="009D3FB5" w:rsidP="00163B94" w:rsidRDefault="009D3FB5" w14:paraId="66349275"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Se calcula: (</w:t>
            </w:r>
            <w:r w:rsidRPr="00AE1B2B">
              <w:rPr>
                <w:rFonts w:ascii="Times New Roman" w:hAnsi="Times New Roman" w:eastAsia="Times New Roman" w:cs="Times New Roman"/>
                <w:i/>
                <w:iCs/>
                <w:lang w:eastAsia="es-CR"/>
              </w:rPr>
              <w:t xml:space="preserve">Fecha actual - fecha del escrito más antiguo pendiente de resolver). </w:t>
            </w:r>
          </w:p>
          <w:p w:rsidRPr="00AE1B2B" w:rsidR="009D3FB5" w:rsidP="00163B94" w:rsidRDefault="009D3FB5" w14:paraId="09E3788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bandeja de Escritos del Escritorio Virtual</w:t>
            </w:r>
          </w:p>
          <w:p w:rsidRPr="00AE1B2B" w:rsidR="009D3FB5" w:rsidP="00163B94" w:rsidRDefault="009D3FB5" w14:paraId="7694C88F"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lang w:eastAsia="es-CR"/>
              </w:rPr>
              <w:t xml:space="preserve">Se deben revisar todos los Escritos que se encuentran tramitándose, como los que se encuentran pendientes de distribuir, todas la ubicaciones, todos los Auxiliares, todas las materias, estado del escrito en trámite. </w:t>
            </w:r>
          </w:p>
          <w:p w:rsidRPr="00AE1B2B" w:rsidR="009D3FB5" w:rsidP="00163B94" w:rsidRDefault="009D3FB5" w14:paraId="44DF0225" w14:textId="77777777">
            <w:pPr>
              <w:spacing w:before="120" w:after="120" w:line="276" w:lineRule="auto"/>
              <w:rPr>
                <w:rFonts w:ascii="Times New Roman" w:hAnsi="Times New Roman" w:eastAsia="Times New Roman" w:cs="Times New Roman"/>
                <w:b/>
                <w:bCs/>
                <w:lang w:eastAsia="es-CR"/>
              </w:rPr>
            </w:pPr>
          </w:p>
          <w:p w:rsidRPr="00AE1B2B" w:rsidR="009D3FB5" w:rsidP="00163B94" w:rsidRDefault="009D3FB5" w14:paraId="3A622A5F" w14:textId="77777777">
            <w:pPr>
              <w:spacing w:before="120" w:after="120" w:line="276" w:lineRule="auto"/>
              <w:rPr>
                <w:rFonts w:ascii="Times New Roman" w:hAnsi="Times New Roman" w:eastAsia="Times New Roman" w:cs="Times New Roman"/>
                <w:lang w:eastAsia="es-CR"/>
              </w:rPr>
            </w:pPr>
          </w:p>
        </w:tc>
      </w:tr>
      <w:tr w:rsidRPr="00AE1B2B" w:rsidR="00AE1B2B" w:rsidTr="009D3FB5" w14:paraId="2705CC26" w14:textId="77777777">
        <w:trPr>
          <w:cantSplit/>
          <w:trHeight w:val="20"/>
          <w:jc w:val="center"/>
        </w:trPr>
        <w:tc>
          <w:tcPr>
            <w:tcW w:w="468" w:type="pct"/>
            <w:vMerge/>
            <w:shd w:val="clear" w:color="auto" w:fill="EDEDED" w:themeFill="accent3" w:themeFillTint="33"/>
          </w:tcPr>
          <w:p w:rsidRPr="00AE1B2B" w:rsidR="009D3FB5" w:rsidP="00163B94" w:rsidRDefault="009D3FB5" w14:paraId="1D647C3A" w14:textId="77777777">
            <w:pPr>
              <w:spacing w:before="120" w:after="120" w:line="276" w:lineRule="auto"/>
              <w:jc w:val="center"/>
              <w:rPr>
                <w:rFonts w:ascii="Times New Roman" w:hAnsi="Times New Roman" w:eastAsia="Times New Roman" w:cs="Times New Roman"/>
                <w:b/>
                <w:bCs/>
                <w:lang w:eastAsia="es-CR"/>
              </w:rPr>
            </w:pPr>
          </w:p>
        </w:tc>
        <w:tc>
          <w:tcPr>
            <w:tcW w:w="284" w:type="pct"/>
            <w:vAlign w:val="center"/>
          </w:tcPr>
          <w:p w:rsidRPr="00AE1B2B" w:rsidR="009D3FB5" w:rsidP="00163B94" w:rsidRDefault="009D3FB5" w14:paraId="32FE760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9</w:t>
            </w:r>
          </w:p>
        </w:tc>
        <w:tc>
          <w:tcPr>
            <w:tcW w:w="862" w:type="pct"/>
            <w:vAlign w:val="center"/>
          </w:tcPr>
          <w:p w:rsidRPr="00AE1B2B" w:rsidR="009D3FB5" w:rsidP="00163B94" w:rsidRDefault="009D3FB5" w14:paraId="6702531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de espera de expediente votado más antiguo pendiente de firmar sentencia</w:t>
            </w:r>
          </w:p>
        </w:tc>
        <w:tc>
          <w:tcPr>
            <w:tcW w:w="3386" w:type="pct"/>
            <w:shd w:val="clear" w:color="auto" w:fill="auto"/>
            <w:vAlign w:val="center"/>
          </w:tcPr>
          <w:p w:rsidRPr="00AE1B2B" w:rsidR="009D3FB5" w:rsidP="00163B94" w:rsidRDefault="009D3FB5" w14:paraId="5F3A78D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calcula: (</w:t>
            </w:r>
            <w:r w:rsidRPr="00AE1B2B">
              <w:rPr>
                <w:rFonts w:ascii="Times New Roman" w:hAnsi="Times New Roman" w:eastAsia="Times New Roman" w:cs="Times New Roman"/>
                <w:i/>
                <w:iCs/>
                <w:lang w:eastAsia="es-CR"/>
              </w:rPr>
              <w:t>Fecha de expediente votado más antiguo pendiente de firma- fecha actual).</w:t>
            </w:r>
          </w:p>
          <w:p w:rsidRPr="00AE1B2B" w:rsidR="009D3FB5" w:rsidP="00163B94" w:rsidRDefault="009D3FB5" w14:paraId="6139AD22" w14:textId="77777777">
            <w:pPr>
              <w:spacing w:before="120" w:after="120" w:line="276" w:lineRule="auto"/>
              <w:rPr>
                <w:rFonts w:ascii="Times New Roman" w:hAnsi="Times New Roman" w:eastAsia="Times New Roman" w:cs="Times New Roman"/>
                <w:lang w:eastAsia="es-CR"/>
              </w:rPr>
            </w:pPr>
          </w:p>
          <w:p w:rsidRPr="00AE1B2B" w:rsidR="009D3FB5" w:rsidP="00163B94" w:rsidRDefault="009D3FB5" w14:paraId="7CB3EEE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Este dato se obtiene del libro en el que se consigne las fechas de firmado de sentencia de los expedientes con número de voto asignados. </w:t>
            </w:r>
          </w:p>
          <w:p w:rsidRPr="00AE1B2B" w:rsidR="009D3FB5" w:rsidP="00163B94" w:rsidRDefault="009D3FB5" w14:paraId="1DE20AC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Permite conocer el dato del tiempo de firmado desde el momento que se vota el proyecto hasta la aplicación de la última firma de sentencia. </w:t>
            </w:r>
          </w:p>
          <w:p w:rsidRPr="00AE1B2B" w:rsidR="009D3FB5" w:rsidP="00163B94" w:rsidRDefault="009D3FB5" w14:paraId="03C4914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Se encuentra subdividido por persona juzgadora y por materia. </w:t>
            </w:r>
          </w:p>
        </w:tc>
      </w:tr>
      <w:tr w:rsidRPr="00AE1B2B" w:rsidR="00AE1B2B" w:rsidTr="009D3FB5" w14:paraId="77044F4B" w14:textId="77777777">
        <w:trPr>
          <w:cantSplit/>
          <w:trHeight w:val="20"/>
          <w:jc w:val="center"/>
        </w:trPr>
        <w:tc>
          <w:tcPr>
            <w:tcW w:w="468" w:type="pct"/>
            <w:vMerge w:val="restart"/>
            <w:shd w:val="clear" w:color="auto" w:fill="F9DDD5"/>
            <w:textDirection w:val="btLr"/>
          </w:tcPr>
          <w:p w:rsidRPr="00AE1B2B" w:rsidR="009D3FB5" w:rsidP="00163B94" w:rsidRDefault="009D3FB5" w14:paraId="24759D9B" w14:textId="77777777">
            <w:pPr>
              <w:spacing w:before="120" w:after="120" w:line="276" w:lineRule="auto"/>
              <w:ind w:left="113" w:right="113"/>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Operacional</w:t>
            </w:r>
          </w:p>
        </w:tc>
        <w:tc>
          <w:tcPr>
            <w:tcW w:w="284" w:type="pct"/>
            <w:shd w:val="clear" w:color="auto" w:fill="auto"/>
            <w:vAlign w:val="center"/>
            <w:hideMark/>
          </w:tcPr>
          <w:p w:rsidRPr="00AE1B2B" w:rsidR="009D3FB5" w:rsidP="00163B94" w:rsidRDefault="009D3FB5" w14:paraId="4F2C07F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10</w:t>
            </w:r>
          </w:p>
        </w:tc>
        <w:tc>
          <w:tcPr>
            <w:tcW w:w="862" w:type="pct"/>
            <w:shd w:val="clear" w:color="auto" w:fill="auto"/>
            <w:vAlign w:val="center"/>
            <w:hideMark/>
          </w:tcPr>
          <w:p w:rsidRPr="00AE1B2B" w:rsidR="009D3FB5" w:rsidP="00163B94" w:rsidRDefault="009D3FB5" w14:paraId="6739911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expedientes pendientes de fallo</w:t>
            </w:r>
          </w:p>
        </w:tc>
        <w:tc>
          <w:tcPr>
            <w:tcW w:w="3386" w:type="pct"/>
            <w:shd w:val="clear" w:color="auto" w:fill="auto"/>
            <w:vAlign w:val="center"/>
            <w:hideMark/>
          </w:tcPr>
          <w:p w:rsidRPr="00AE1B2B" w:rsidR="009D3FB5" w:rsidP="00163B94" w:rsidRDefault="009D3FB5" w14:paraId="267F6EA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Indicador subdividido por persona juzgadora. </w:t>
            </w:r>
          </w:p>
          <w:p w:rsidRPr="00AE1B2B" w:rsidR="009D3FB5" w:rsidP="00163B94" w:rsidRDefault="009D3FB5" w14:paraId="01C4D3F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del libro en el que se consigne las fechas de pase a fallo del expediente.</w:t>
            </w:r>
          </w:p>
        </w:tc>
      </w:tr>
      <w:tr w:rsidRPr="00AE1B2B" w:rsidR="00AE1B2B" w:rsidTr="009D3FB5" w14:paraId="0DF4CA94" w14:textId="77777777">
        <w:trPr>
          <w:cantSplit/>
          <w:trHeight w:val="20"/>
          <w:jc w:val="center"/>
        </w:trPr>
        <w:tc>
          <w:tcPr>
            <w:tcW w:w="468" w:type="pct"/>
            <w:vMerge/>
            <w:shd w:val="clear" w:color="auto" w:fill="F9DDD5"/>
          </w:tcPr>
          <w:p w:rsidRPr="00AE1B2B" w:rsidR="009D3FB5" w:rsidP="00163B94" w:rsidRDefault="009D3FB5" w14:paraId="7B62E2A9" w14:textId="77777777">
            <w:pPr>
              <w:spacing w:before="120" w:after="120" w:line="276" w:lineRule="auto"/>
              <w:jc w:val="center"/>
              <w:rPr>
                <w:rFonts w:ascii="Times New Roman" w:hAnsi="Times New Roman" w:eastAsia="Times New Roman" w:cs="Times New Roman"/>
                <w:b/>
                <w:bCs/>
                <w:lang w:eastAsia="es-CR"/>
              </w:rPr>
            </w:pPr>
          </w:p>
        </w:tc>
        <w:tc>
          <w:tcPr>
            <w:tcW w:w="284" w:type="pct"/>
            <w:shd w:val="clear" w:color="auto" w:fill="auto"/>
            <w:vAlign w:val="center"/>
            <w:hideMark/>
          </w:tcPr>
          <w:p w:rsidRPr="00AE1B2B" w:rsidR="009D3FB5" w:rsidP="00163B94" w:rsidRDefault="009D3FB5" w14:paraId="1B9E6C4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11</w:t>
            </w:r>
          </w:p>
        </w:tc>
        <w:tc>
          <w:tcPr>
            <w:tcW w:w="862" w:type="pct"/>
            <w:shd w:val="clear" w:color="auto" w:fill="auto"/>
            <w:vAlign w:val="center"/>
            <w:hideMark/>
          </w:tcPr>
          <w:p w:rsidRPr="00AE1B2B" w:rsidR="009D3FB5" w:rsidP="00163B94" w:rsidRDefault="009D3FB5" w14:paraId="27AB9AA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Expedientes pasados a firmar</w:t>
            </w:r>
          </w:p>
        </w:tc>
        <w:tc>
          <w:tcPr>
            <w:tcW w:w="3386" w:type="pct"/>
            <w:shd w:val="clear" w:color="auto" w:fill="auto"/>
            <w:vAlign w:val="center"/>
            <w:hideMark/>
          </w:tcPr>
          <w:p w:rsidRPr="00AE1B2B" w:rsidR="009D3FB5" w:rsidP="00163B94" w:rsidRDefault="009D3FB5" w14:paraId="7D58FCD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 la cantidad de expedientes pasados a firmar por cada persona técnica.</w:t>
            </w:r>
          </w:p>
          <w:p w:rsidRPr="00AE1B2B" w:rsidR="009D3FB5" w:rsidP="00163B94" w:rsidRDefault="009D3FB5" w14:paraId="59E8ADD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del Escritorio Virtual, cantidad de expedientes pasados a firmar a la persona juzgadora por persona técnica judicial, Estadística, Firmado/Proveído.</w:t>
            </w:r>
          </w:p>
          <w:p w:rsidRPr="00AE1B2B" w:rsidR="009D3FB5" w:rsidP="00163B94" w:rsidRDefault="009D3FB5" w14:paraId="4E61833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tomando en cuenta la cuota de proveído definida para cada persona técnica judicial.</w:t>
            </w:r>
          </w:p>
        </w:tc>
      </w:tr>
      <w:tr w:rsidRPr="00AE1B2B" w:rsidR="00AE1B2B" w:rsidTr="009D3FB5" w14:paraId="1E615EEE" w14:textId="77777777">
        <w:trPr>
          <w:cantSplit/>
          <w:trHeight w:val="20"/>
          <w:jc w:val="center"/>
        </w:trPr>
        <w:tc>
          <w:tcPr>
            <w:tcW w:w="468" w:type="pct"/>
            <w:vMerge/>
            <w:shd w:val="clear" w:color="auto" w:fill="F9DDD5"/>
          </w:tcPr>
          <w:p w:rsidRPr="00AE1B2B" w:rsidR="009D3FB5" w:rsidP="00163B94" w:rsidRDefault="009D3FB5" w14:paraId="030C3635" w14:textId="77777777">
            <w:pPr>
              <w:spacing w:before="120" w:after="120" w:line="276" w:lineRule="auto"/>
              <w:jc w:val="center"/>
              <w:rPr>
                <w:rFonts w:ascii="Times New Roman" w:hAnsi="Times New Roman" w:eastAsia="Times New Roman" w:cs="Times New Roman"/>
                <w:b/>
                <w:bCs/>
                <w:lang w:eastAsia="es-CR"/>
              </w:rPr>
            </w:pPr>
          </w:p>
        </w:tc>
        <w:tc>
          <w:tcPr>
            <w:tcW w:w="284" w:type="pct"/>
            <w:shd w:val="clear" w:color="auto" w:fill="FFFFFF" w:themeFill="background1"/>
            <w:vAlign w:val="center"/>
          </w:tcPr>
          <w:p w:rsidRPr="00AE1B2B" w:rsidR="009D3FB5" w:rsidP="00163B94" w:rsidRDefault="009D3FB5" w14:paraId="068849B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12</w:t>
            </w:r>
          </w:p>
        </w:tc>
        <w:tc>
          <w:tcPr>
            <w:tcW w:w="862" w:type="pct"/>
            <w:shd w:val="clear" w:color="auto" w:fill="FFFFFF" w:themeFill="background1"/>
            <w:vAlign w:val="center"/>
          </w:tcPr>
          <w:p w:rsidRPr="00AE1B2B" w:rsidR="009D3FB5" w:rsidP="00163B94" w:rsidRDefault="009D3FB5" w14:paraId="35802595"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efectividad en la firma por la persona juzgadora de trámite</w:t>
            </w:r>
          </w:p>
        </w:tc>
        <w:tc>
          <w:tcPr>
            <w:tcW w:w="3386" w:type="pct"/>
            <w:shd w:val="clear" w:color="auto" w:fill="auto"/>
            <w:vAlign w:val="center"/>
          </w:tcPr>
          <w:p w:rsidRPr="00AE1B2B" w:rsidR="009D3FB5" w:rsidP="00163B94" w:rsidRDefault="009D3FB5" w14:paraId="102E8F8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indicador mide la cantidad de resoluciones firmadas por la persona juzgadora de trámite entre la cantidad de resoluciones pasadas a firmar. Se obtiene de la consulta en el Escritorio Virtual.</w:t>
            </w:r>
          </w:p>
          <w:p w:rsidRPr="00AE1B2B" w:rsidR="009D3FB5" w:rsidP="00163B94" w:rsidRDefault="009D3FB5" w14:paraId="6544E06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El parámetro se obtiene de cada despacho tomando en cuenta la cuota de firmado definida para cada persona juzgadora, lo que equivale a la cantidad de expedientes que debe pasar a firmar las personas técnicas judiciales a cada persona juzgadora. </w:t>
            </w:r>
          </w:p>
        </w:tc>
      </w:tr>
      <w:tr w:rsidRPr="00AE1B2B" w:rsidR="00AE1B2B" w:rsidTr="009D3FB5" w14:paraId="13C3967A" w14:textId="77777777">
        <w:trPr>
          <w:cantSplit/>
          <w:trHeight w:val="20"/>
          <w:jc w:val="center"/>
        </w:trPr>
        <w:tc>
          <w:tcPr>
            <w:tcW w:w="468" w:type="pct"/>
            <w:vMerge/>
            <w:shd w:val="clear" w:color="auto" w:fill="F9DDD5"/>
          </w:tcPr>
          <w:p w:rsidRPr="00AE1B2B" w:rsidR="009D3FB5" w:rsidP="00163B94" w:rsidRDefault="009D3FB5" w14:paraId="18839AF1" w14:textId="77777777">
            <w:pPr>
              <w:spacing w:before="120" w:after="120" w:line="276" w:lineRule="auto"/>
              <w:jc w:val="center"/>
              <w:rPr>
                <w:rFonts w:ascii="Times New Roman" w:hAnsi="Times New Roman" w:eastAsia="Times New Roman" w:cs="Times New Roman"/>
                <w:b/>
                <w:bCs/>
                <w:lang w:eastAsia="es-CR"/>
              </w:rPr>
            </w:pPr>
          </w:p>
        </w:tc>
        <w:tc>
          <w:tcPr>
            <w:tcW w:w="284" w:type="pct"/>
            <w:shd w:val="clear" w:color="auto" w:fill="FFFFFF" w:themeFill="background1"/>
            <w:vAlign w:val="center"/>
          </w:tcPr>
          <w:p w:rsidRPr="00AE1B2B" w:rsidR="009D3FB5" w:rsidP="00163B94" w:rsidRDefault="009D3FB5" w14:paraId="0BDBD82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13</w:t>
            </w:r>
          </w:p>
        </w:tc>
        <w:tc>
          <w:tcPr>
            <w:tcW w:w="862" w:type="pct"/>
            <w:shd w:val="clear" w:color="auto" w:fill="auto"/>
            <w:vAlign w:val="center"/>
            <w:hideMark/>
          </w:tcPr>
          <w:p w:rsidRPr="00AE1B2B" w:rsidR="009D3FB5" w:rsidP="00163B94" w:rsidRDefault="009D3FB5" w14:paraId="0C0050C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sentencias dictadas por persona juzgadora</w:t>
            </w:r>
          </w:p>
        </w:tc>
        <w:tc>
          <w:tcPr>
            <w:tcW w:w="3386" w:type="pct"/>
            <w:shd w:val="clear" w:color="auto" w:fill="auto"/>
            <w:vAlign w:val="center"/>
            <w:hideMark/>
          </w:tcPr>
          <w:p w:rsidRPr="00AE1B2B" w:rsidR="009D3FB5" w:rsidP="00163B94" w:rsidRDefault="009D3FB5" w14:paraId="03267D8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Indicador contabiliza la cantidad global de sentencias dictadas por cada persona juzgadora y por materia. </w:t>
            </w:r>
          </w:p>
          <w:p w:rsidRPr="00AE1B2B" w:rsidR="009D3FB5" w:rsidP="00163B94" w:rsidRDefault="009D3FB5" w14:paraId="76AADBE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se obtiene del Módulo de pase a fallo del Escritorio Virtual o Libro de Pase a Fallo).</w:t>
            </w:r>
          </w:p>
        </w:tc>
      </w:tr>
      <w:tr w:rsidRPr="00AE1B2B" w:rsidR="00AE1B2B" w:rsidTr="009D3FB5" w14:paraId="1CC73B72" w14:textId="77777777">
        <w:trPr>
          <w:cantSplit/>
          <w:trHeight w:val="20"/>
          <w:jc w:val="center"/>
        </w:trPr>
        <w:tc>
          <w:tcPr>
            <w:tcW w:w="468" w:type="pct"/>
            <w:vMerge/>
            <w:shd w:val="clear" w:color="auto" w:fill="F9DDD5"/>
          </w:tcPr>
          <w:p w:rsidRPr="00AE1B2B" w:rsidR="009D3FB5" w:rsidP="00163B94" w:rsidRDefault="009D3FB5" w14:paraId="5170711B" w14:textId="77777777">
            <w:pPr>
              <w:spacing w:before="120" w:after="120" w:line="276" w:lineRule="auto"/>
              <w:jc w:val="center"/>
              <w:rPr>
                <w:rFonts w:ascii="Times New Roman" w:hAnsi="Times New Roman" w:eastAsia="Times New Roman" w:cs="Times New Roman"/>
                <w:b/>
                <w:bCs/>
                <w:lang w:eastAsia="es-CR"/>
              </w:rPr>
            </w:pPr>
          </w:p>
        </w:tc>
        <w:tc>
          <w:tcPr>
            <w:tcW w:w="284" w:type="pct"/>
            <w:shd w:val="clear" w:color="auto" w:fill="FFFFFF" w:themeFill="background1"/>
            <w:vAlign w:val="center"/>
          </w:tcPr>
          <w:p w:rsidRPr="00AE1B2B" w:rsidR="009D3FB5" w:rsidP="00163B94" w:rsidRDefault="009D3FB5" w14:paraId="61AFE7C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14</w:t>
            </w:r>
          </w:p>
        </w:tc>
        <w:tc>
          <w:tcPr>
            <w:tcW w:w="862" w:type="pct"/>
            <w:shd w:val="clear" w:color="auto" w:fill="FFFFFF" w:themeFill="background1"/>
            <w:vAlign w:val="center"/>
            <w:hideMark/>
          </w:tcPr>
          <w:p w:rsidRPr="00AE1B2B" w:rsidR="009D3FB5" w:rsidP="00163B94" w:rsidRDefault="009D3FB5" w14:paraId="345BCEBB"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sentencias dictadas debido a votos salvados</w:t>
            </w:r>
          </w:p>
        </w:tc>
        <w:tc>
          <w:tcPr>
            <w:tcW w:w="3386" w:type="pct"/>
            <w:shd w:val="clear" w:color="auto" w:fill="auto"/>
            <w:vAlign w:val="center"/>
            <w:hideMark/>
          </w:tcPr>
          <w:p w:rsidRPr="00AE1B2B" w:rsidR="009D3FB5" w:rsidP="00163B94" w:rsidRDefault="009D3FB5" w14:paraId="4116A51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Cantidad de sentencias dictadas debido a votos salvados por Jueza o Juez. Este dato se obtiene del Módulo de pase a fallo del Escritorio Virtual o Libro de Pase a Fallo).</w:t>
            </w:r>
          </w:p>
        </w:tc>
      </w:tr>
      <w:tr w:rsidRPr="00AE1B2B" w:rsidR="00AE1B2B" w:rsidTr="009D3FB5" w14:paraId="693D8ECB" w14:textId="77777777">
        <w:trPr>
          <w:cantSplit/>
          <w:trHeight w:val="20"/>
          <w:jc w:val="center"/>
        </w:trPr>
        <w:tc>
          <w:tcPr>
            <w:tcW w:w="468" w:type="pct"/>
            <w:vMerge/>
            <w:shd w:val="clear" w:color="auto" w:fill="F9DDD5"/>
          </w:tcPr>
          <w:p w:rsidRPr="00AE1B2B" w:rsidR="009D3FB5" w:rsidP="00163B94" w:rsidRDefault="009D3FB5" w14:paraId="224035B8" w14:textId="77777777">
            <w:pPr>
              <w:spacing w:before="120" w:after="120" w:line="276" w:lineRule="auto"/>
              <w:jc w:val="center"/>
              <w:rPr>
                <w:rFonts w:ascii="Times New Roman" w:hAnsi="Times New Roman" w:eastAsia="Times New Roman" w:cs="Times New Roman"/>
                <w:b/>
                <w:bCs/>
                <w:lang w:eastAsia="es-CR"/>
              </w:rPr>
            </w:pPr>
          </w:p>
        </w:tc>
        <w:tc>
          <w:tcPr>
            <w:tcW w:w="284" w:type="pct"/>
            <w:shd w:val="clear" w:color="auto" w:fill="auto"/>
            <w:vAlign w:val="center"/>
          </w:tcPr>
          <w:p w:rsidRPr="00AE1B2B" w:rsidR="009D3FB5" w:rsidP="00163B94" w:rsidRDefault="009D3FB5" w14:paraId="14599B4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15</w:t>
            </w:r>
          </w:p>
        </w:tc>
        <w:tc>
          <w:tcPr>
            <w:tcW w:w="862" w:type="pct"/>
            <w:shd w:val="clear" w:color="auto" w:fill="auto"/>
            <w:vAlign w:val="center"/>
          </w:tcPr>
          <w:p w:rsidRPr="00AE1B2B" w:rsidR="009D3FB5" w:rsidP="00163B94" w:rsidRDefault="009D3FB5" w14:paraId="4CA5C40F"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proyectos de resolución circulando pendiente de revisión</w:t>
            </w:r>
          </w:p>
        </w:tc>
        <w:tc>
          <w:tcPr>
            <w:tcW w:w="3386" w:type="pct"/>
            <w:shd w:val="clear" w:color="auto" w:fill="auto"/>
            <w:vAlign w:val="center"/>
          </w:tcPr>
          <w:p w:rsidRPr="00AE1B2B" w:rsidR="009D3FB5" w:rsidP="00163B94" w:rsidRDefault="009D3FB5" w14:paraId="0E5F5D2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Cantidad de Proyectos de Resolución Circulando por Jueza o Juez redactor pendientes de revisión por los integrantes del Tribunal.</w:t>
            </w:r>
          </w:p>
          <w:p w:rsidRPr="00AE1B2B" w:rsidR="009D3FB5" w:rsidP="00163B94" w:rsidRDefault="009D3FB5" w14:paraId="7B864622"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se obtiene del libro en el que se consigne las fechas de pase a fallo del expediente (Módulo de pase a fallo del Escritorio Virtual o Libro de Pase a Fallo) o sistema utilizado para esos efectos.</w:t>
            </w:r>
          </w:p>
        </w:tc>
      </w:tr>
      <w:tr w:rsidRPr="00AE1B2B" w:rsidR="00AE1B2B" w:rsidTr="009D3FB5" w14:paraId="3C9F66F4" w14:textId="77777777">
        <w:trPr>
          <w:cantSplit/>
          <w:trHeight w:val="20"/>
          <w:jc w:val="center"/>
        </w:trPr>
        <w:tc>
          <w:tcPr>
            <w:tcW w:w="468" w:type="pct"/>
            <w:vMerge/>
            <w:shd w:val="clear" w:color="auto" w:fill="F9DDD5"/>
          </w:tcPr>
          <w:p w:rsidRPr="00AE1B2B" w:rsidR="009D3FB5" w:rsidP="00163B94" w:rsidRDefault="009D3FB5" w14:paraId="799BF91B" w14:textId="77777777">
            <w:pPr>
              <w:spacing w:before="120" w:after="120" w:line="276" w:lineRule="auto"/>
              <w:jc w:val="center"/>
              <w:rPr>
                <w:rFonts w:ascii="Times New Roman" w:hAnsi="Times New Roman" w:eastAsia="Times New Roman" w:cs="Times New Roman"/>
                <w:b/>
                <w:bCs/>
                <w:lang w:eastAsia="es-CR"/>
              </w:rPr>
            </w:pPr>
          </w:p>
        </w:tc>
        <w:tc>
          <w:tcPr>
            <w:tcW w:w="284" w:type="pct"/>
            <w:shd w:val="clear" w:color="auto" w:fill="auto"/>
            <w:vAlign w:val="center"/>
          </w:tcPr>
          <w:p w:rsidRPr="00AE1B2B" w:rsidR="009D3FB5" w:rsidP="00163B94" w:rsidRDefault="009D3FB5" w14:paraId="6FB0683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16</w:t>
            </w:r>
          </w:p>
        </w:tc>
        <w:tc>
          <w:tcPr>
            <w:tcW w:w="862" w:type="pct"/>
            <w:shd w:val="clear" w:color="auto" w:fill="auto"/>
            <w:vAlign w:val="center"/>
          </w:tcPr>
          <w:p w:rsidRPr="00AE1B2B" w:rsidR="009D3FB5" w:rsidP="00163B94" w:rsidRDefault="009D3FB5" w14:paraId="5D9AAC9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escritos pendientes</w:t>
            </w:r>
          </w:p>
        </w:tc>
        <w:tc>
          <w:tcPr>
            <w:tcW w:w="3386" w:type="pct"/>
            <w:shd w:val="clear" w:color="auto" w:fill="auto"/>
            <w:vAlign w:val="center"/>
          </w:tcPr>
          <w:p w:rsidRPr="00AE1B2B" w:rsidR="009D3FB5" w:rsidP="00163B94" w:rsidRDefault="009D3FB5" w14:paraId="11DB257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Cantidad de escritos pendientes de resolver al finalizar el mes.</w:t>
            </w:r>
          </w:p>
          <w:p w:rsidRPr="00AE1B2B" w:rsidR="009D3FB5" w:rsidP="00163B94" w:rsidRDefault="009D3FB5" w14:paraId="1F3A456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bandeja de Escritos del Escritorio Virtual</w:t>
            </w:r>
          </w:p>
          <w:p w:rsidRPr="00AE1B2B" w:rsidR="009D3FB5" w:rsidP="00163B94" w:rsidRDefault="009D3FB5" w14:paraId="1985C9E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Se deben revisar todos los Escritos que se encuentran Tramitándose, como los que se encuentran pendientes de distribuir, todas la ubicaciones, todos los Auxiliares, estado del escrito en trámite. </w:t>
            </w:r>
          </w:p>
        </w:tc>
      </w:tr>
      <w:tr w:rsidRPr="00AE1B2B" w:rsidR="00AE1B2B" w:rsidTr="009D3FB5" w14:paraId="5E3EDED5" w14:textId="77777777">
        <w:trPr>
          <w:cantSplit/>
          <w:trHeight w:val="20"/>
          <w:jc w:val="center"/>
        </w:trPr>
        <w:tc>
          <w:tcPr>
            <w:tcW w:w="468" w:type="pct"/>
            <w:vMerge/>
            <w:shd w:val="clear" w:color="auto" w:fill="F9DDD5"/>
          </w:tcPr>
          <w:p w:rsidRPr="00AE1B2B" w:rsidR="009D3FB5" w:rsidP="00163B94" w:rsidRDefault="009D3FB5" w14:paraId="4A3D75C8" w14:textId="77777777">
            <w:pPr>
              <w:spacing w:before="120" w:after="120" w:line="276" w:lineRule="auto"/>
              <w:jc w:val="center"/>
              <w:rPr>
                <w:rFonts w:ascii="Times New Roman" w:hAnsi="Times New Roman" w:eastAsia="Times New Roman" w:cs="Times New Roman"/>
                <w:b/>
                <w:bCs/>
                <w:lang w:eastAsia="es-CR"/>
              </w:rPr>
            </w:pPr>
          </w:p>
        </w:tc>
        <w:tc>
          <w:tcPr>
            <w:tcW w:w="284" w:type="pct"/>
            <w:shd w:val="clear" w:color="auto" w:fill="auto"/>
            <w:vAlign w:val="center"/>
          </w:tcPr>
          <w:p w:rsidRPr="00AE1B2B" w:rsidR="009D3FB5" w:rsidP="00163B94" w:rsidRDefault="009D3FB5" w14:paraId="32DC5D0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17</w:t>
            </w:r>
          </w:p>
        </w:tc>
        <w:tc>
          <w:tcPr>
            <w:tcW w:w="862" w:type="pct"/>
            <w:shd w:val="clear" w:color="auto" w:fill="auto"/>
            <w:vAlign w:val="center"/>
            <w:hideMark/>
          </w:tcPr>
          <w:p w:rsidRPr="00AE1B2B" w:rsidR="009D3FB5" w:rsidP="00163B94" w:rsidRDefault="009D3FB5" w14:paraId="4AE91062"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expedientes devueltos a primera instancia por trámite incompleto</w:t>
            </w:r>
          </w:p>
        </w:tc>
        <w:tc>
          <w:tcPr>
            <w:tcW w:w="3386" w:type="pct"/>
            <w:shd w:val="clear" w:color="auto" w:fill="auto"/>
            <w:vAlign w:val="center"/>
            <w:hideMark/>
          </w:tcPr>
          <w:p w:rsidRPr="00AE1B2B" w:rsidR="009D3FB5" w:rsidP="00163B94" w:rsidRDefault="009D3FB5" w14:paraId="6A2666B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Este dato se obtiene del Sistema de Gestión. </w:t>
            </w:r>
          </w:p>
        </w:tc>
      </w:tr>
    </w:tbl>
    <w:p w:rsidRPr="00AE1B2B" w:rsidR="009D3FB5" w:rsidP="00163B94" w:rsidRDefault="009D3FB5" w14:paraId="2CF76A3F"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Fuente: Subproceso de Modernización Institucional de la Dirección de Planificación. </w:t>
      </w:r>
    </w:p>
    <w:p w:rsidRPr="00AE1B2B" w:rsidR="009D3FB5" w:rsidP="00163B94" w:rsidRDefault="009D3FB5" w14:paraId="2AB3B6B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B74B34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70E010F" w14:textId="77777777">
      <w:pPr>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Cambios en la Segunda Instancia de Familia a partir de la entrada en vigencia del CPF</w:t>
      </w:r>
    </w:p>
    <w:p w:rsidRPr="00AE1B2B" w:rsidR="009D3FB5" w:rsidP="00163B94" w:rsidRDefault="009D3FB5" w14:paraId="4F4B6F9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CPF incorpora a la Ley Orgánica del Poder Judicial, Ley 7333, específicamente el artículo 99, las competencias del Tribunal de Familia:</w:t>
      </w:r>
    </w:p>
    <w:p w:rsidRPr="00AE1B2B" w:rsidR="009D3FB5" w:rsidP="00163B94" w:rsidRDefault="009D3FB5" w14:paraId="1C05F21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B243EB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“Los Tribunales de Familia conocerán:</w:t>
      </w:r>
    </w:p>
    <w:p w:rsidRPr="00AE1B2B" w:rsidR="009D3FB5" w:rsidP="00163B94" w:rsidRDefault="009D3FB5" w14:paraId="28867900"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 De forma colegiada de tres jueces, lo siguiente:</w:t>
      </w:r>
    </w:p>
    <w:p w:rsidRPr="00AE1B2B" w:rsidR="009D3FB5" w:rsidP="00163B94" w:rsidRDefault="009D3FB5" w14:paraId="49DCC74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 Los recursos de apelación de sentencias definitivas de los procesos conocidos en los juzgados de Familia, juzgados de Niñez y Adolescencia y juzgados de Violencia Doméstica y Protección Cautelar, salvo las sentencias finales de los procesos de restitución internacional de personas menores de edad.</w:t>
      </w:r>
    </w:p>
    <w:p w:rsidRPr="00AE1B2B" w:rsidR="009D3FB5" w:rsidP="00163B94" w:rsidRDefault="009D3FB5" w14:paraId="35D58CD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b) Los conflictos de competencia material suscitados entre juzgados de Familia, juzgados de Niñez y Adolescencia o juzgados de Violencia Doméstica y Protección Cautelar.</w:t>
      </w:r>
    </w:p>
    <w:p w:rsidRPr="00AE1B2B" w:rsidR="009D3FB5" w:rsidP="00163B94" w:rsidRDefault="009D3FB5" w14:paraId="5C88E7B9"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 De forma unipersonal, lo siguiente:</w:t>
      </w:r>
    </w:p>
    <w:p w:rsidRPr="00AE1B2B" w:rsidR="009D3FB5" w:rsidP="00163B94" w:rsidRDefault="009D3FB5" w14:paraId="0B2E9953"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a) Los recursos de apelación de resoluciones interlocutorias de los procesos conocidos en los juzgados de Familia, juzgados de Niñez y Adolescencia o juzgados de Violencia Doméstica y Protección Cautelar.</w:t>
      </w:r>
    </w:p>
    <w:p w:rsidRPr="00AE1B2B" w:rsidR="009D3FB5" w:rsidP="00163B94" w:rsidRDefault="009D3FB5" w14:paraId="15BCB4F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b) Los conflictos de competencia territorial entre juzgados de Familia, entre juzgados de Niñez y Adolescencia o entre juzgados de Violencia Doméstica y Protección Cautelar.</w:t>
      </w:r>
    </w:p>
    <w:p w:rsidRPr="00AE1B2B" w:rsidR="009D3FB5" w:rsidP="00163B94" w:rsidRDefault="009D3FB5" w14:paraId="0376F080"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c) Los impedimentos, las excusas y las recusaciones de uno o varios de sus miembros propietarios o suplentes.</w:t>
      </w:r>
    </w:p>
    <w:p w:rsidRPr="00AE1B2B" w:rsidR="009D3FB5" w:rsidP="00163B94" w:rsidRDefault="009D3FB5" w14:paraId="04F51BA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i/>
          <w:iCs/>
          <w:sz w:val="26"/>
          <w:szCs w:val="26"/>
        </w:rPr>
        <w:t>d) Los demás asuntos que determine la ley.”</w:t>
      </w:r>
    </w:p>
    <w:p w:rsidRPr="00AE1B2B" w:rsidR="009D3FB5" w:rsidP="00163B94" w:rsidRDefault="009D3FB5" w14:paraId="4A3244C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cuanto a las implicaciones del CPF sobre la labor del Tribunal de Familia, se identificaron los siguientes efectos en su carga laboral:</w:t>
      </w:r>
    </w:p>
    <w:p w:rsidRPr="00AE1B2B" w:rsidR="009D3FB5" w:rsidP="00163B94" w:rsidRDefault="009D3FB5" w14:paraId="0586981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7844FA5" w14:textId="77777777">
      <w:pPr>
        <w:pStyle w:val="Prrafodelista"/>
        <w:numPr>
          <w:ilvl w:val="0"/>
          <w:numId w:val="57"/>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Una disminución en los recursos de apelación en los procesos de restitución internacional de personas menores de edad, los cuales en adelante pasarán a conocimiento de la Sala Segunda;</w:t>
      </w:r>
    </w:p>
    <w:p w:rsidRPr="00AE1B2B" w:rsidR="009D3FB5" w:rsidP="00163B94" w:rsidRDefault="009D3FB5" w14:paraId="49F01866" w14:textId="77777777">
      <w:pPr>
        <w:pStyle w:val="Prrafodelista"/>
        <w:numPr>
          <w:ilvl w:val="0"/>
          <w:numId w:val="57"/>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Un descenso en las apelaciones de los procesos que dejará de conocer el Poder Judicial (matrimonios civiles, los reconocimientos administrativos de la paternidad, hijo de mujer casada; los divorcios o separaciones judiciales por mutuo consentimiento sin hijos o hijas menores de edad y no existiera referencia a bienes; y las adopciones de personas mayores de edad a excepción de las personas con discapacidad cuya condición no les permita dar su consentimiento); y </w:t>
      </w:r>
    </w:p>
    <w:p w:rsidRPr="00AE1B2B" w:rsidR="009D3FB5" w:rsidP="00163B94" w:rsidRDefault="009D3FB5" w14:paraId="1AE4E862" w14:textId="77777777">
      <w:pPr>
        <w:pStyle w:val="Prrafodelista"/>
        <w:numPr>
          <w:ilvl w:val="0"/>
          <w:numId w:val="57"/>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Un eventual aumento en las apelaciones provenientes de las sentencias dictadas por los juzgados de violencia doméstica y protección cautelar, producto de la creación del proceso de protección cautelar para personas con discapacidad donde el presunto agresor no pertenece al núcleo intrafamiliar.</w:t>
      </w:r>
    </w:p>
    <w:p w:rsidRPr="00AE1B2B" w:rsidR="009D3FB5" w:rsidP="00163B94" w:rsidRDefault="009D3FB5" w14:paraId="5AB3BD9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C7CEFF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Para conocer el impacto que generaría lo descrito en los puntos anteriores se revisaron los datos estadísticos de los años 2015-2019, por lo que se determina que la incidencia de procesos de restitución internacional es mínima, ya que durante dicho período el Tribunal de Familia recibió 8 casos, cuatro ingresados en 2017 y cuatro en el 2018. Por consiguiente, se estima que el efecto sobre la carga laboral de la Sala Segunda sería muy bajo y podría ser asumido por el personal vigente.</w:t>
      </w:r>
    </w:p>
    <w:p w:rsidRPr="00AE1B2B" w:rsidR="009D3FB5" w:rsidP="00163B94" w:rsidRDefault="009D3FB5" w14:paraId="200FCE9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974951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cuanto a la desjudicialización de procesos, durante el período analizado el Tribunal de Familia acumuló un promedio mensual estimado de una apelación de proceso de este tipo, las cuales al año representaron un 0,4% de la entrada general. Este dato surge de la siguiente información:</w:t>
      </w:r>
    </w:p>
    <w:p w:rsidRPr="00AE1B2B" w:rsidR="009D3FB5" w:rsidP="00163B94" w:rsidRDefault="009D3FB5" w14:paraId="2887D22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D969468" w14:textId="77777777">
      <w:pPr>
        <w:pStyle w:val="Descripcin"/>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51</w:t>
      </w:r>
      <w:r w:rsidRPr="00AE1B2B">
        <w:rPr>
          <w:rFonts w:ascii="Times New Roman" w:hAnsi="Times New Roman" w:cs="Times New Roman"/>
          <w:sz w:val="26"/>
          <w:szCs w:val="26"/>
        </w:rPr>
        <w:fldChar w:fldCharType="end"/>
      </w:r>
      <w:r w:rsidRPr="00AE1B2B">
        <w:rPr>
          <w:rFonts w:ascii="Times New Roman" w:hAnsi="Times New Roman" w:cs="Times New Roman"/>
          <w:sz w:val="26"/>
          <w:szCs w:val="26"/>
        </w:rPr>
        <w:t xml:space="preserve"> </w:t>
      </w:r>
    </w:p>
    <w:p w:rsidRPr="00AE1B2B" w:rsidR="009D3FB5" w:rsidP="00163B94" w:rsidRDefault="009D3FB5" w14:paraId="14C8635A" w14:textId="77777777">
      <w:pPr>
        <w:pStyle w:val="Descripcin"/>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Movimiento de asuntos que se desjudicializan en el Tribunal de Familia 2015-2019</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4898"/>
        <w:gridCol w:w="775"/>
        <w:gridCol w:w="775"/>
        <w:gridCol w:w="775"/>
        <w:gridCol w:w="775"/>
        <w:gridCol w:w="830"/>
      </w:tblGrid>
      <w:tr w:rsidRPr="00AE1B2B" w:rsidR="00AE1B2B" w:rsidTr="009D3FB5" w14:paraId="5B5B06DE" w14:textId="77777777">
        <w:trPr>
          <w:trHeight w:val="20"/>
          <w:tblHeader/>
        </w:trPr>
        <w:tc>
          <w:tcPr>
            <w:tcW w:w="2774" w:type="pct"/>
            <w:vMerge w:val="restart"/>
            <w:shd w:val="clear" w:color="auto" w:fill="002060"/>
            <w:noWrap/>
            <w:vAlign w:val="center"/>
            <w:hideMark/>
          </w:tcPr>
          <w:p w:rsidRPr="00AE1B2B" w:rsidR="009D3FB5" w:rsidP="00163B94" w:rsidRDefault="009D3FB5" w14:paraId="66983A0D"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Variable</w:t>
            </w:r>
          </w:p>
        </w:tc>
        <w:tc>
          <w:tcPr>
            <w:tcW w:w="2226" w:type="pct"/>
            <w:gridSpan w:val="5"/>
            <w:shd w:val="clear" w:color="auto" w:fill="002060"/>
            <w:noWrap/>
            <w:vAlign w:val="center"/>
            <w:hideMark/>
          </w:tcPr>
          <w:p w:rsidRPr="00AE1B2B" w:rsidR="009D3FB5" w:rsidP="00163B94" w:rsidRDefault="009D3FB5" w14:paraId="78F7F410"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Año</w:t>
            </w:r>
          </w:p>
        </w:tc>
      </w:tr>
      <w:tr w:rsidRPr="00AE1B2B" w:rsidR="00AE1B2B" w:rsidTr="009D3FB5" w14:paraId="41019D1E" w14:textId="77777777">
        <w:trPr>
          <w:trHeight w:val="20"/>
          <w:tblHeader/>
        </w:trPr>
        <w:tc>
          <w:tcPr>
            <w:tcW w:w="2774" w:type="pct"/>
            <w:vMerge/>
            <w:shd w:val="clear" w:color="auto" w:fill="002060"/>
            <w:vAlign w:val="center"/>
            <w:hideMark/>
          </w:tcPr>
          <w:p w:rsidRPr="00AE1B2B" w:rsidR="009D3FB5" w:rsidP="00163B94" w:rsidRDefault="009D3FB5" w14:paraId="4E2352A2" w14:textId="77777777">
            <w:pPr>
              <w:spacing w:before="120" w:after="120" w:line="276" w:lineRule="auto"/>
              <w:rPr>
                <w:rFonts w:ascii="Times New Roman" w:hAnsi="Times New Roman" w:eastAsia="Times New Roman" w:cs="Times New Roman"/>
                <w:b/>
                <w:bCs/>
                <w:sz w:val="24"/>
                <w:szCs w:val="24"/>
                <w:lang w:eastAsia="es-CR"/>
              </w:rPr>
            </w:pPr>
          </w:p>
        </w:tc>
        <w:tc>
          <w:tcPr>
            <w:tcW w:w="439" w:type="pct"/>
            <w:shd w:val="clear" w:color="auto" w:fill="002060"/>
            <w:noWrap/>
            <w:vAlign w:val="center"/>
            <w:hideMark/>
          </w:tcPr>
          <w:p w:rsidRPr="00AE1B2B" w:rsidR="009D3FB5" w:rsidP="00163B94" w:rsidRDefault="009D3FB5" w14:paraId="3C25DE7A"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2015</w:t>
            </w:r>
          </w:p>
        </w:tc>
        <w:tc>
          <w:tcPr>
            <w:tcW w:w="439" w:type="pct"/>
            <w:shd w:val="clear" w:color="auto" w:fill="002060"/>
            <w:noWrap/>
            <w:vAlign w:val="center"/>
            <w:hideMark/>
          </w:tcPr>
          <w:p w:rsidRPr="00AE1B2B" w:rsidR="009D3FB5" w:rsidP="00163B94" w:rsidRDefault="009D3FB5" w14:paraId="13D4CF0E"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2016</w:t>
            </w:r>
          </w:p>
        </w:tc>
        <w:tc>
          <w:tcPr>
            <w:tcW w:w="439" w:type="pct"/>
            <w:shd w:val="clear" w:color="auto" w:fill="002060"/>
            <w:noWrap/>
            <w:vAlign w:val="center"/>
            <w:hideMark/>
          </w:tcPr>
          <w:p w:rsidRPr="00AE1B2B" w:rsidR="009D3FB5" w:rsidP="00163B94" w:rsidRDefault="009D3FB5" w14:paraId="661812AB"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2017</w:t>
            </w:r>
          </w:p>
        </w:tc>
        <w:tc>
          <w:tcPr>
            <w:tcW w:w="439" w:type="pct"/>
            <w:shd w:val="clear" w:color="auto" w:fill="002060"/>
            <w:noWrap/>
            <w:vAlign w:val="center"/>
            <w:hideMark/>
          </w:tcPr>
          <w:p w:rsidRPr="00AE1B2B" w:rsidR="009D3FB5" w:rsidP="00163B94" w:rsidRDefault="009D3FB5" w14:paraId="44910802"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2018</w:t>
            </w:r>
          </w:p>
        </w:tc>
        <w:tc>
          <w:tcPr>
            <w:tcW w:w="470" w:type="pct"/>
            <w:shd w:val="clear" w:color="auto" w:fill="002060"/>
            <w:noWrap/>
            <w:vAlign w:val="center"/>
            <w:hideMark/>
          </w:tcPr>
          <w:p w:rsidRPr="00AE1B2B" w:rsidR="009D3FB5" w:rsidP="00163B94" w:rsidRDefault="009D3FB5" w14:paraId="0AECFF0F"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2019</w:t>
            </w:r>
          </w:p>
        </w:tc>
      </w:tr>
      <w:tr w:rsidRPr="00AE1B2B" w:rsidR="00AE1B2B" w:rsidTr="009D3FB5" w14:paraId="44574CD6" w14:textId="77777777">
        <w:trPr>
          <w:trHeight w:val="20"/>
        </w:trPr>
        <w:tc>
          <w:tcPr>
            <w:tcW w:w="2774" w:type="pct"/>
            <w:shd w:val="clear" w:color="000000" w:fill="FFFFFF"/>
            <w:vAlign w:val="center"/>
            <w:hideMark/>
          </w:tcPr>
          <w:p w:rsidRPr="00AE1B2B" w:rsidR="009D3FB5" w:rsidP="00163B94" w:rsidRDefault="009D3FB5" w14:paraId="75F56A5A"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Total de asuntos entrados al Tribunal de Familia (incluye Violencia Doméstica)</w:t>
            </w:r>
          </w:p>
        </w:tc>
        <w:tc>
          <w:tcPr>
            <w:tcW w:w="439" w:type="pct"/>
            <w:shd w:val="clear" w:color="000000" w:fill="FFFFFF"/>
            <w:noWrap/>
            <w:vAlign w:val="center"/>
          </w:tcPr>
          <w:p w:rsidRPr="00AE1B2B" w:rsidR="009D3FB5" w:rsidP="00163B94" w:rsidRDefault="009D3FB5" w14:paraId="62FDF275"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1939</w:t>
            </w:r>
          </w:p>
        </w:tc>
        <w:tc>
          <w:tcPr>
            <w:tcW w:w="439" w:type="pct"/>
            <w:shd w:val="clear" w:color="000000" w:fill="FFFFFF"/>
            <w:noWrap/>
            <w:vAlign w:val="center"/>
          </w:tcPr>
          <w:p w:rsidRPr="00AE1B2B" w:rsidR="009D3FB5" w:rsidP="00163B94" w:rsidRDefault="009D3FB5" w14:paraId="434B64C5"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1875</w:t>
            </w:r>
          </w:p>
        </w:tc>
        <w:tc>
          <w:tcPr>
            <w:tcW w:w="439" w:type="pct"/>
            <w:shd w:val="clear" w:color="000000" w:fill="FFFFFF"/>
            <w:noWrap/>
            <w:vAlign w:val="center"/>
          </w:tcPr>
          <w:p w:rsidRPr="00AE1B2B" w:rsidR="009D3FB5" w:rsidP="00163B94" w:rsidRDefault="009D3FB5" w14:paraId="3E65B37B"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1837</w:t>
            </w:r>
          </w:p>
        </w:tc>
        <w:tc>
          <w:tcPr>
            <w:tcW w:w="439" w:type="pct"/>
            <w:shd w:val="clear" w:color="000000" w:fill="FFFFFF"/>
            <w:noWrap/>
            <w:vAlign w:val="center"/>
          </w:tcPr>
          <w:p w:rsidRPr="00AE1B2B" w:rsidR="009D3FB5" w:rsidP="00163B94" w:rsidRDefault="009D3FB5" w14:paraId="5EA34E52"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1772</w:t>
            </w:r>
          </w:p>
        </w:tc>
        <w:tc>
          <w:tcPr>
            <w:tcW w:w="470" w:type="pct"/>
            <w:shd w:val="clear" w:color="auto" w:fill="auto"/>
            <w:noWrap/>
            <w:vAlign w:val="center"/>
            <w:hideMark/>
          </w:tcPr>
          <w:p w:rsidRPr="00AE1B2B" w:rsidR="009D3FB5" w:rsidP="00163B94" w:rsidRDefault="009D3FB5" w14:paraId="3A009B6C"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1892</w:t>
            </w:r>
          </w:p>
        </w:tc>
      </w:tr>
      <w:tr w:rsidRPr="00AE1B2B" w:rsidR="00AE1B2B" w:rsidTr="009D3FB5" w14:paraId="777812C9" w14:textId="77777777">
        <w:trPr>
          <w:trHeight w:val="20"/>
        </w:trPr>
        <w:tc>
          <w:tcPr>
            <w:tcW w:w="2774" w:type="pct"/>
            <w:shd w:val="clear" w:color="000000" w:fill="FFFFFF"/>
            <w:vAlign w:val="center"/>
            <w:hideMark/>
          </w:tcPr>
          <w:p w:rsidRPr="00AE1B2B" w:rsidR="009D3FB5" w:rsidP="00163B94" w:rsidRDefault="009D3FB5" w14:paraId="642B75F9"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Total de apelaciones de procesos que se desjudicializan</w:t>
            </w:r>
          </w:p>
        </w:tc>
        <w:tc>
          <w:tcPr>
            <w:tcW w:w="439" w:type="pct"/>
            <w:shd w:val="clear" w:color="000000" w:fill="FFFFFF"/>
            <w:noWrap/>
            <w:vAlign w:val="center"/>
          </w:tcPr>
          <w:p w:rsidRPr="00AE1B2B" w:rsidR="009D3FB5" w:rsidP="00163B94" w:rsidRDefault="009D3FB5" w14:paraId="7259AF31"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8</w:t>
            </w:r>
          </w:p>
        </w:tc>
        <w:tc>
          <w:tcPr>
            <w:tcW w:w="439" w:type="pct"/>
            <w:shd w:val="clear" w:color="000000" w:fill="FFFFFF"/>
            <w:noWrap/>
            <w:vAlign w:val="center"/>
          </w:tcPr>
          <w:p w:rsidRPr="00AE1B2B" w:rsidR="009D3FB5" w:rsidP="00163B94" w:rsidRDefault="009D3FB5" w14:paraId="75A2CD8E"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9</w:t>
            </w:r>
          </w:p>
        </w:tc>
        <w:tc>
          <w:tcPr>
            <w:tcW w:w="439" w:type="pct"/>
            <w:shd w:val="clear" w:color="000000" w:fill="FFFFFF"/>
            <w:noWrap/>
            <w:vAlign w:val="center"/>
          </w:tcPr>
          <w:p w:rsidRPr="00AE1B2B" w:rsidR="009D3FB5" w:rsidP="00163B94" w:rsidRDefault="009D3FB5" w14:paraId="01B4AA04"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8</w:t>
            </w:r>
          </w:p>
        </w:tc>
        <w:tc>
          <w:tcPr>
            <w:tcW w:w="439" w:type="pct"/>
            <w:shd w:val="clear" w:color="000000" w:fill="FFFFFF"/>
            <w:noWrap/>
            <w:vAlign w:val="center"/>
          </w:tcPr>
          <w:p w:rsidRPr="00AE1B2B" w:rsidR="009D3FB5" w:rsidP="00163B94" w:rsidRDefault="009D3FB5" w14:paraId="0AEAFE73"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8</w:t>
            </w:r>
          </w:p>
        </w:tc>
        <w:tc>
          <w:tcPr>
            <w:tcW w:w="470" w:type="pct"/>
            <w:shd w:val="clear" w:color="auto" w:fill="auto"/>
            <w:noWrap/>
            <w:vAlign w:val="center"/>
            <w:hideMark/>
          </w:tcPr>
          <w:p w:rsidRPr="00AE1B2B" w:rsidR="009D3FB5" w:rsidP="00163B94" w:rsidRDefault="009D3FB5" w14:paraId="74302E95"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9</w:t>
            </w:r>
          </w:p>
        </w:tc>
      </w:tr>
      <w:tr w:rsidRPr="00AE1B2B" w:rsidR="00AE1B2B" w:rsidTr="009D3FB5" w14:paraId="72705B0B" w14:textId="77777777">
        <w:trPr>
          <w:trHeight w:val="20"/>
        </w:trPr>
        <w:tc>
          <w:tcPr>
            <w:tcW w:w="2774" w:type="pct"/>
            <w:shd w:val="clear" w:color="000000" w:fill="FFFFFF"/>
            <w:vAlign w:val="center"/>
            <w:hideMark/>
          </w:tcPr>
          <w:p w:rsidRPr="00AE1B2B" w:rsidR="009D3FB5" w:rsidP="00163B94" w:rsidRDefault="009D3FB5" w14:paraId="5475A613"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Promedio de entrada mensual de apelaciones de procesos que se desjudicializan</w:t>
            </w:r>
          </w:p>
        </w:tc>
        <w:tc>
          <w:tcPr>
            <w:tcW w:w="439" w:type="pct"/>
            <w:shd w:val="clear" w:color="000000" w:fill="FFFFFF"/>
            <w:noWrap/>
            <w:vAlign w:val="center"/>
          </w:tcPr>
          <w:p w:rsidRPr="00AE1B2B" w:rsidR="009D3FB5" w:rsidP="00163B94" w:rsidRDefault="009D3FB5" w14:paraId="407106E3"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1</w:t>
            </w:r>
          </w:p>
        </w:tc>
        <w:tc>
          <w:tcPr>
            <w:tcW w:w="439" w:type="pct"/>
            <w:shd w:val="clear" w:color="000000" w:fill="FFFFFF"/>
            <w:noWrap/>
            <w:vAlign w:val="center"/>
          </w:tcPr>
          <w:p w:rsidRPr="00AE1B2B" w:rsidR="009D3FB5" w:rsidP="00163B94" w:rsidRDefault="009D3FB5" w14:paraId="4B220017"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1</w:t>
            </w:r>
          </w:p>
        </w:tc>
        <w:tc>
          <w:tcPr>
            <w:tcW w:w="439" w:type="pct"/>
            <w:shd w:val="clear" w:color="000000" w:fill="FFFFFF"/>
            <w:noWrap/>
            <w:vAlign w:val="center"/>
          </w:tcPr>
          <w:p w:rsidRPr="00AE1B2B" w:rsidR="009D3FB5" w:rsidP="00163B94" w:rsidRDefault="009D3FB5" w14:paraId="726A5316"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1</w:t>
            </w:r>
          </w:p>
        </w:tc>
        <w:tc>
          <w:tcPr>
            <w:tcW w:w="439" w:type="pct"/>
            <w:shd w:val="clear" w:color="000000" w:fill="FFFFFF"/>
            <w:noWrap/>
            <w:vAlign w:val="center"/>
          </w:tcPr>
          <w:p w:rsidRPr="00AE1B2B" w:rsidR="009D3FB5" w:rsidP="00163B94" w:rsidRDefault="009D3FB5" w14:paraId="74025FEF"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1</w:t>
            </w:r>
          </w:p>
        </w:tc>
        <w:tc>
          <w:tcPr>
            <w:tcW w:w="470" w:type="pct"/>
            <w:shd w:val="clear" w:color="000000" w:fill="FFFFFF"/>
            <w:noWrap/>
            <w:vAlign w:val="center"/>
          </w:tcPr>
          <w:p w:rsidRPr="00AE1B2B" w:rsidR="009D3FB5" w:rsidP="00163B94" w:rsidRDefault="009D3FB5" w14:paraId="1A27583A"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1</w:t>
            </w:r>
          </w:p>
        </w:tc>
      </w:tr>
      <w:tr w:rsidRPr="00AE1B2B" w:rsidR="00AE1B2B" w:rsidTr="009D3FB5" w14:paraId="701FE605" w14:textId="77777777">
        <w:trPr>
          <w:trHeight w:val="20"/>
        </w:trPr>
        <w:tc>
          <w:tcPr>
            <w:tcW w:w="2774" w:type="pct"/>
            <w:shd w:val="clear" w:color="000000" w:fill="FFFFFF"/>
            <w:vAlign w:val="center"/>
            <w:hideMark/>
          </w:tcPr>
          <w:p w:rsidRPr="00AE1B2B" w:rsidR="009D3FB5" w:rsidP="00163B94" w:rsidRDefault="009D3FB5" w14:paraId="5B61BB1E"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Promedio mensual estimado de apelaciones de procesos que se desjudicializan</w:t>
            </w:r>
          </w:p>
        </w:tc>
        <w:tc>
          <w:tcPr>
            <w:tcW w:w="2226" w:type="pct"/>
            <w:gridSpan w:val="5"/>
            <w:shd w:val="clear" w:color="000000" w:fill="FFFFFF"/>
            <w:noWrap/>
            <w:vAlign w:val="center"/>
          </w:tcPr>
          <w:p w:rsidRPr="00AE1B2B" w:rsidR="009D3FB5" w:rsidP="00163B94" w:rsidRDefault="009D3FB5" w14:paraId="4F544D22"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1</w:t>
            </w:r>
          </w:p>
        </w:tc>
      </w:tr>
      <w:tr w:rsidRPr="00AE1B2B" w:rsidR="00AE1B2B" w:rsidTr="009D3FB5" w14:paraId="64CF3EA3" w14:textId="77777777">
        <w:trPr>
          <w:trHeight w:val="20"/>
        </w:trPr>
        <w:tc>
          <w:tcPr>
            <w:tcW w:w="2774" w:type="pct"/>
            <w:shd w:val="clear" w:color="000000" w:fill="FFFFFF"/>
            <w:vAlign w:val="center"/>
            <w:hideMark/>
          </w:tcPr>
          <w:p w:rsidRPr="00AE1B2B" w:rsidR="009D3FB5" w:rsidP="00163B94" w:rsidRDefault="009D3FB5" w14:paraId="12C83166"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Porcentaje anual de apelaciones de procesos que se desjudicializan</w:t>
            </w:r>
          </w:p>
        </w:tc>
        <w:tc>
          <w:tcPr>
            <w:tcW w:w="439" w:type="pct"/>
            <w:shd w:val="clear" w:color="000000" w:fill="FFFFFF"/>
            <w:noWrap/>
            <w:vAlign w:val="center"/>
          </w:tcPr>
          <w:p w:rsidRPr="00AE1B2B" w:rsidR="009D3FB5" w:rsidP="00163B94" w:rsidRDefault="009D3FB5" w14:paraId="251BD8F8"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0,4%</w:t>
            </w:r>
          </w:p>
        </w:tc>
        <w:tc>
          <w:tcPr>
            <w:tcW w:w="439" w:type="pct"/>
            <w:shd w:val="clear" w:color="000000" w:fill="FFFFFF"/>
            <w:noWrap/>
            <w:vAlign w:val="center"/>
          </w:tcPr>
          <w:p w:rsidRPr="00AE1B2B" w:rsidR="009D3FB5" w:rsidP="00163B94" w:rsidRDefault="009D3FB5" w14:paraId="385F5D70"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0,5%</w:t>
            </w:r>
          </w:p>
        </w:tc>
        <w:tc>
          <w:tcPr>
            <w:tcW w:w="439" w:type="pct"/>
            <w:shd w:val="clear" w:color="000000" w:fill="FFFFFF"/>
            <w:noWrap/>
            <w:vAlign w:val="center"/>
          </w:tcPr>
          <w:p w:rsidRPr="00AE1B2B" w:rsidR="009D3FB5" w:rsidP="00163B94" w:rsidRDefault="009D3FB5" w14:paraId="3D906622"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0,4%</w:t>
            </w:r>
          </w:p>
        </w:tc>
        <w:tc>
          <w:tcPr>
            <w:tcW w:w="439" w:type="pct"/>
            <w:shd w:val="clear" w:color="000000" w:fill="FFFFFF"/>
            <w:noWrap/>
            <w:vAlign w:val="center"/>
          </w:tcPr>
          <w:p w:rsidRPr="00AE1B2B" w:rsidR="009D3FB5" w:rsidP="00163B94" w:rsidRDefault="009D3FB5" w14:paraId="67AAF506"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0,4%</w:t>
            </w:r>
          </w:p>
        </w:tc>
        <w:tc>
          <w:tcPr>
            <w:tcW w:w="470" w:type="pct"/>
            <w:shd w:val="clear" w:color="000000" w:fill="FFFFFF"/>
            <w:noWrap/>
            <w:vAlign w:val="center"/>
          </w:tcPr>
          <w:p w:rsidRPr="00AE1B2B" w:rsidR="009D3FB5" w:rsidP="00163B94" w:rsidRDefault="009D3FB5" w14:paraId="2486DCBF" w14:textId="77777777">
            <w:pPr>
              <w:spacing w:before="120" w:after="120" w:line="276" w:lineRule="auto"/>
              <w:jc w:val="center"/>
              <w:rPr>
                <w:rFonts w:ascii="Times New Roman" w:hAnsi="Times New Roman" w:eastAsia="Times New Roman" w:cs="Times New Roman"/>
                <w:sz w:val="24"/>
                <w:szCs w:val="24"/>
                <w:lang w:eastAsia="es-CR"/>
              </w:rPr>
            </w:pPr>
            <w:r w:rsidRPr="00AE1B2B">
              <w:rPr>
                <w:rFonts w:ascii="Times New Roman" w:hAnsi="Times New Roman" w:cs="Times New Roman"/>
                <w:sz w:val="24"/>
                <w:szCs w:val="24"/>
              </w:rPr>
              <w:t>0,5%</w:t>
            </w:r>
          </w:p>
        </w:tc>
      </w:tr>
      <w:tr w:rsidRPr="00AE1B2B" w:rsidR="00AE1B2B" w:rsidTr="009D3FB5" w14:paraId="59982D75" w14:textId="77777777">
        <w:trPr>
          <w:trHeight w:val="20"/>
        </w:trPr>
        <w:tc>
          <w:tcPr>
            <w:tcW w:w="2774" w:type="pct"/>
            <w:shd w:val="clear" w:color="000000" w:fill="FFFFFF"/>
            <w:vAlign w:val="center"/>
            <w:hideMark/>
          </w:tcPr>
          <w:p w:rsidRPr="00AE1B2B" w:rsidR="009D3FB5" w:rsidP="00163B94" w:rsidRDefault="009D3FB5" w14:paraId="7DA2D657" w14:textId="77777777">
            <w:pPr>
              <w:spacing w:before="120" w:after="120" w:line="276" w:lineRule="auto"/>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Promedio de porcentaje anual de apelaciones de procesos que se desjudicializan</w:t>
            </w:r>
          </w:p>
        </w:tc>
        <w:tc>
          <w:tcPr>
            <w:tcW w:w="2226" w:type="pct"/>
            <w:gridSpan w:val="5"/>
            <w:shd w:val="clear" w:color="000000" w:fill="FFFFFF"/>
            <w:noWrap/>
            <w:vAlign w:val="center"/>
            <w:hideMark/>
          </w:tcPr>
          <w:p w:rsidRPr="00AE1B2B" w:rsidR="009D3FB5" w:rsidP="00163B94" w:rsidRDefault="009D3FB5" w14:paraId="6B05D3B8" w14:textId="77777777">
            <w:pPr>
              <w:spacing w:before="120" w:after="120" w:line="276" w:lineRule="auto"/>
              <w:jc w:val="center"/>
              <w:rPr>
                <w:rFonts w:ascii="Times New Roman" w:hAnsi="Times New Roman" w:eastAsia="Times New Roman" w:cs="Times New Roman"/>
                <w:b/>
                <w:bCs/>
                <w:sz w:val="24"/>
                <w:szCs w:val="24"/>
                <w:lang w:eastAsia="es-CR"/>
              </w:rPr>
            </w:pPr>
            <w:r w:rsidRPr="00AE1B2B">
              <w:rPr>
                <w:rFonts w:ascii="Times New Roman" w:hAnsi="Times New Roman" w:eastAsia="Times New Roman" w:cs="Times New Roman"/>
                <w:b/>
                <w:bCs/>
                <w:sz w:val="24"/>
                <w:szCs w:val="24"/>
                <w:lang w:eastAsia="es-CR"/>
              </w:rPr>
              <w:t>0,4%</w:t>
            </w:r>
          </w:p>
        </w:tc>
      </w:tr>
    </w:tbl>
    <w:p w:rsidRPr="00AE1B2B" w:rsidR="009D3FB5" w:rsidP="00163B94" w:rsidRDefault="009D3FB5" w14:paraId="3E14C5D5"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Modernización Institucional de la Dirección de Planificación con base en datos de Cuadros Estadísticos del Sub proceso de Estadística de la Dirección de Planificación. </w:t>
      </w:r>
    </w:p>
    <w:p w:rsidRPr="00AE1B2B" w:rsidR="009D3FB5" w:rsidP="00163B94" w:rsidRDefault="009D3FB5" w14:paraId="3DF65E8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F9585A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Sobre los procesos descritos en el punto c), de momento no existen datos estadísticos para estimar el comportamiento de las apelaciones por la creación del proceso de protección cautelar para personas con discapacidad, tanto en los juzgados de violencia </w:t>
      </w:r>
      <w:r w:rsidRPr="00AE1B2B">
        <w:rPr>
          <w:rFonts w:ascii="Times New Roman" w:hAnsi="Times New Roman" w:cs="Times New Roman"/>
          <w:sz w:val="26"/>
          <w:szCs w:val="26"/>
        </w:rPr>
        <w:lastRenderedPageBreak/>
        <w:t>doméstica y protección cautelar (primera instancia) como en el Tribunal de Familia (segunda instancia), por tratarse de un nuevo tipo de proceso dentro del Poder Judicial. Por su naturaleza, se estima que podrían tener una baja incidencia en esos despachos.</w:t>
      </w:r>
    </w:p>
    <w:p w:rsidRPr="00AE1B2B" w:rsidR="009D3FB5" w:rsidP="00163B94" w:rsidRDefault="009D3FB5" w14:paraId="163580B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D97713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Además de los cambios antes descritos, el Lic. Jiménez Mata considera que el Tribunal de Familia vea disminuida considerablemente su ingreso en virtud de las limitaciones de las apelaciones interlocutorias tanto por la cantidad de resoluciones apelables como por el efecto diferido que tendrá la admisión de muchas de las apelaciones que se interpondrán (las admitidas en audiencia).</w:t>
      </w:r>
    </w:p>
    <w:p w:rsidRPr="00AE1B2B" w:rsidR="009D3FB5" w:rsidP="00163B94" w:rsidRDefault="009D3FB5" w14:paraId="55DE9C6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821E97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Por tanto, se estima que la carga laboral actual del Tribunal de Familia presentará una disminución superior al 0,4% según los datos que refleja la información estadística, motivada principalmente por la desjudicialización de procesos, lo que no da razón suficiente para sugerir variaciones de plazas profesionales en esta oficina.</w:t>
      </w:r>
    </w:p>
    <w:p w:rsidRPr="00AE1B2B" w:rsidR="009D3FB5" w:rsidP="00163B94" w:rsidRDefault="009D3FB5" w14:paraId="280644D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38C827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3979DE" w14:paraId="1075E135" w14:textId="65ADB115">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7. </w:t>
      </w:r>
      <w:r w:rsidRPr="00AE1B2B" w:rsidR="009D3FB5">
        <w:rPr>
          <w:rFonts w:ascii="Times New Roman" w:hAnsi="Times New Roman" w:cs="Times New Roman"/>
          <w:sz w:val="26"/>
          <w:szCs w:val="26"/>
        </w:rPr>
        <w:t>Información relevante en materia de Violencia Doméstica</w:t>
      </w:r>
    </w:p>
    <w:p w:rsidRPr="00AE1B2B" w:rsidR="009D3FB5" w:rsidP="00163B94" w:rsidRDefault="009D3FB5" w14:paraId="154D56C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3979DE" w14:paraId="5307677C" w14:textId="31F7EE83">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7.1 </w:t>
      </w:r>
      <w:r w:rsidRPr="00AE1B2B" w:rsidR="009D3FB5">
        <w:rPr>
          <w:rFonts w:ascii="Times New Roman" w:hAnsi="Times New Roman" w:cs="Times New Roman"/>
          <w:sz w:val="26"/>
          <w:szCs w:val="26"/>
        </w:rPr>
        <w:t>Situación de los Juzgados de Violencia Doméstica (especializados y mixtos)</w:t>
      </w:r>
    </w:p>
    <w:p w:rsidRPr="00AE1B2B" w:rsidR="009D3FB5" w:rsidP="00163B94" w:rsidRDefault="009D3FB5" w14:paraId="5E19F3A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4A57EA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CPF incorpora una adición a la Ley Orgánica del Poder Judicial, Ley 7333, específicamente el artículo 121 bis, referente a la competencia material de los Juzgados de Violencia Doméstica, donde se establece que estos conocerán:</w:t>
      </w:r>
    </w:p>
    <w:p w:rsidRPr="00AE1B2B" w:rsidR="009D3FB5" w:rsidP="00163B94" w:rsidRDefault="009D3FB5" w14:paraId="7BF8817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78C9ACA"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 Todo lo relativo a los procesos de protección cautelar de violencia intrafamiliar, personas adultas mayores y personas con discapacidad.</w:t>
      </w:r>
    </w:p>
    <w:p w:rsidRPr="00AE1B2B" w:rsidR="009D3FB5" w:rsidP="00163B94" w:rsidRDefault="009D3FB5" w14:paraId="381AECF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 Los demás asuntos que estipule la ley.</w:t>
      </w:r>
    </w:p>
    <w:p w:rsidRPr="00AE1B2B" w:rsidR="009D3FB5" w:rsidP="00163B94" w:rsidRDefault="009D3FB5" w14:paraId="7C0147F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En los lugares en los cuales no existe juzgado de Violencia Doméstica, estos asuntos serán tramitados por los juzgados de Familia, y donde tampoco existen estos despachos, se conocerán en </w:t>
      </w:r>
      <w:r w:rsidRPr="00AE1B2B">
        <w:rPr>
          <w:rFonts w:ascii="Times New Roman" w:hAnsi="Times New Roman" w:cs="Times New Roman"/>
          <w:i/>
          <w:iCs/>
          <w:sz w:val="26"/>
          <w:szCs w:val="26"/>
        </w:rPr>
        <w:lastRenderedPageBreak/>
        <w:t>los juzgados contravencionales, salvo decisión específica de la Corte Suprema de Justicia.”</w:t>
      </w:r>
    </w:p>
    <w:p w:rsidRPr="00AE1B2B" w:rsidR="009D3FB5" w:rsidP="00163B94" w:rsidRDefault="009D3FB5" w14:paraId="5832F48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5DC77A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 importante aclarar que la actual Ley Contra la Violencia Doméstica continuaría vigente cuando entre en vigencia el CPF, siendo novedad la inclusión de los procesos de protección cautelar a favor de personas adultas mayores y personas con discapacidad (en aquellos casos donde el presunto agresor no pertenezca al núcleo intrafamiliar).</w:t>
      </w:r>
    </w:p>
    <w:p w:rsidRPr="00AE1B2B" w:rsidR="009D3FB5" w:rsidP="00163B94" w:rsidRDefault="009D3FB5" w14:paraId="65E6FE8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Lo que conlleva, que algunos asuntos actualmente ingresan en los Juzgados Contravencionales (en donde figura una persona adulta mayor por algún problema de violencia, pero sin lazo familiar) y podrían eventualmente ser de conocimiento de los Juzgados de Violencia Doméstica; se tiene que, en 2019, por género y edad un total de 1859 ofendidos reportan una edad superior a los 63 años (1071 hombres y 788 mujeres). Asumiendo que, se trata de un ofendido por caso, representaría 165 asuntos nuevos por mes, eso entre los 74 Juzgados competentes en Violencia Doméstica del país, representaría en promedio 2 casos nuevos por mes por oficina. </w:t>
      </w:r>
    </w:p>
    <w:p w:rsidRPr="00AE1B2B" w:rsidR="009D3FB5" w:rsidP="00163B94" w:rsidRDefault="009D3FB5" w14:paraId="69BEADF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3240C4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Por tanto, el impacto del CPF en los Juzgados de Violencia Doméstica radicaría principalmente en cambios a nivel de nomenclatura y en la nueva atribución conferida, estos procesos de protección cautelar a favor de personas adultas mayores y personas con discapacidad no está considerado como parte de la competencia material que tiene los juzgados de esta jurisdicción y por lo tanto, tampoco se tiene incluido actualmente en la fórmula estadística, por lo resulta difícil estimar su comportamiento futuro sobre la carga laboral por su carácter novedoso dentro del Poder Judicial. Sin embargo, se percibe que por su naturaleza los procesos de protección cautelar podrían tener una baja incidencia sobre el ingreso de casos en estos despachos.</w:t>
      </w:r>
    </w:p>
    <w:p w:rsidRPr="00AE1B2B" w:rsidR="009D3FB5" w:rsidP="00163B94" w:rsidRDefault="009D3FB5" w14:paraId="28F716A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A2D7E08" w14:textId="77777777">
      <w:pPr>
        <w:spacing w:before="120" w:after="120"/>
        <w:ind w:left="851" w:right="851" w:firstLine="709"/>
        <w:jc w:val="both"/>
        <w:rPr>
          <w:rFonts w:ascii="Times New Roman" w:hAnsi="Times New Roman" w:cs="Times New Roman"/>
          <w:iCs/>
          <w:spacing w:val="-3"/>
          <w:sz w:val="26"/>
          <w:szCs w:val="26"/>
        </w:rPr>
      </w:pPr>
      <w:r w:rsidRPr="00AE1B2B">
        <w:rPr>
          <w:rFonts w:ascii="Times New Roman" w:hAnsi="Times New Roman" w:cs="Times New Roman"/>
          <w:sz w:val="26"/>
          <w:szCs w:val="26"/>
        </w:rPr>
        <w:t xml:space="preserve">La Dirección de Planificación emitió el oficio </w:t>
      </w:r>
      <w:r w:rsidRPr="00AE1B2B">
        <w:rPr>
          <w:rFonts w:ascii="Times New Roman" w:hAnsi="Times New Roman" w:cs="Times New Roman"/>
          <w:b/>
          <w:bCs/>
          <w:i/>
          <w:iCs/>
          <w:sz w:val="26"/>
          <w:szCs w:val="26"/>
        </w:rPr>
        <w:t>124-PLA-PP-MI-2020</w:t>
      </w:r>
      <w:r w:rsidRPr="00AE1B2B">
        <w:rPr>
          <w:rFonts w:ascii="Times New Roman" w:hAnsi="Times New Roman" w:cs="Times New Roman"/>
          <w:sz w:val="26"/>
          <w:szCs w:val="26"/>
        </w:rPr>
        <w:t xml:space="preserve"> con la propuesta de variación de nombres de los juzgados competentes en materia de Violencia Doméstica a nivel nacional, atendiendo </w:t>
      </w:r>
      <w:r w:rsidRPr="00AE1B2B">
        <w:rPr>
          <w:rFonts w:ascii="Times New Roman" w:hAnsi="Times New Roman" w:cs="Times New Roman"/>
          <w:iCs/>
          <w:spacing w:val="-3"/>
          <w:sz w:val="26"/>
          <w:szCs w:val="26"/>
        </w:rPr>
        <w:t xml:space="preserve">lo establecido en la Ley 7586 Ley Contra la Violencia Doméstica, </w:t>
      </w:r>
      <w:r w:rsidRPr="00AE1B2B">
        <w:rPr>
          <w:rFonts w:ascii="Times New Roman" w:hAnsi="Times New Roman" w:cs="Times New Roman"/>
          <w:sz w:val="26"/>
          <w:szCs w:val="26"/>
        </w:rPr>
        <w:t xml:space="preserve">artículo 121 bis de la Ley Orgánica del Poder Judicial (incorporado por Ley 9747) </w:t>
      </w:r>
      <w:r w:rsidRPr="00AE1B2B">
        <w:rPr>
          <w:rFonts w:ascii="Times New Roman" w:hAnsi="Times New Roman" w:cs="Times New Roman"/>
          <w:iCs/>
          <w:spacing w:val="-3"/>
          <w:sz w:val="26"/>
          <w:szCs w:val="26"/>
        </w:rPr>
        <w:t xml:space="preserve">y el acuerdo de la Comisión de Familia </w:t>
      </w:r>
      <w:r w:rsidRPr="00AE1B2B">
        <w:rPr>
          <w:rFonts w:ascii="Times New Roman" w:hAnsi="Times New Roman" w:cs="Times New Roman"/>
          <w:iCs/>
          <w:spacing w:val="-3"/>
          <w:sz w:val="26"/>
          <w:szCs w:val="26"/>
        </w:rPr>
        <w:lastRenderedPageBreak/>
        <w:t>del primero de diciembre 2020, artículo III comunicado por oficio 079-JVA-2020 donde indican:</w:t>
      </w:r>
    </w:p>
    <w:p w:rsidRPr="00AE1B2B" w:rsidR="009D3FB5" w:rsidP="00163B94" w:rsidRDefault="009D3FB5" w14:paraId="2E48BF91" w14:textId="77777777">
      <w:pPr>
        <w:pStyle w:val="Default"/>
        <w:spacing w:before="120" w:after="120"/>
        <w:ind w:left="851" w:right="851" w:firstLine="709"/>
        <w:jc w:val="both"/>
        <w:rPr>
          <w:rFonts w:ascii="Times New Roman" w:hAnsi="Times New Roman" w:cs="Times New Roman"/>
          <w:iCs/>
          <w:color w:val="auto"/>
          <w:spacing w:val="-3"/>
          <w:sz w:val="26"/>
          <w:szCs w:val="26"/>
        </w:rPr>
      </w:pPr>
    </w:p>
    <w:p w:rsidRPr="00AE1B2B" w:rsidR="009D3FB5" w:rsidP="00163B94" w:rsidRDefault="009D3FB5" w14:paraId="37E9DC2B" w14:textId="77777777">
      <w:pPr>
        <w:spacing w:before="120" w:after="120"/>
        <w:ind w:left="851" w:right="851" w:firstLine="709"/>
        <w:jc w:val="both"/>
        <w:rPr>
          <w:rFonts w:ascii="Times New Roman" w:hAnsi="Times New Roman" w:cs="Times New Roman"/>
          <w:i/>
          <w:spacing w:val="-3"/>
          <w:sz w:val="26"/>
          <w:szCs w:val="26"/>
          <w:lang w:eastAsia="es-CR"/>
        </w:rPr>
      </w:pPr>
      <w:r w:rsidRPr="00AE1B2B">
        <w:rPr>
          <w:rFonts w:ascii="Times New Roman" w:hAnsi="Times New Roman" w:cs="Times New Roman"/>
          <w:i/>
          <w:spacing w:val="-3"/>
          <w:sz w:val="26"/>
          <w:szCs w:val="26"/>
          <w:lang w:eastAsia="es-CR"/>
        </w:rPr>
        <w:t>“</w:t>
      </w:r>
      <w:r w:rsidRPr="00AE1B2B">
        <w:rPr>
          <w:rFonts w:ascii="Times New Roman" w:hAnsi="Times New Roman" w:cs="Times New Roman"/>
          <w:b/>
          <w:bCs/>
          <w:i/>
          <w:spacing w:val="-3"/>
          <w:sz w:val="26"/>
          <w:szCs w:val="26"/>
          <w:lang w:eastAsia="es-CR"/>
        </w:rPr>
        <w:t>Se acuerda:</w:t>
      </w:r>
      <w:r w:rsidRPr="00AE1B2B">
        <w:rPr>
          <w:rFonts w:ascii="Times New Roman" w:hAnsi="Times New Roman" w:cs="Times New Roman"/>
          <w:i/>
          <w:spacing w:val="-3"/>
          <w:sz w:val="26"/>
          <w:szCs w:val="26"/>
          <w:lang w:eastAsia="es-CR"/>
        </w:rPr>
        <w:t xml:space="preserve"> 1) Solicitar a la Dirección de Planificación que se modifique el nombre de los despachos que actualmente se identifican como” Juzgados de Violencia Doméstica” para que a futuro se denominen “Juzgados contra la Violencia Doméstica y Protección Cautelar”, tal y como lo establece la Ley que los creó y consta en el Sistema de Información Jurídica. Que ese cambio se haga a partir del momento en que se cuente con presupuesto para esos efectos. 2) Solicitar a la Dirección de Planificación que a partir del primero de enero del año 2023 conste ese cambio en los formatos jurídicos (machotes). 3) Además, se solicita a la Dirección de Tecnología de la Información que proceda a realizar los cambios en ese sentido en el SISTEMA SIGA, para que se amplíe la cantidad de caracteres que se requieran para ese cambio. </w:t>
      </w:r>
    </w:p>
    <w:p w:rsidRPr="00AE1B2B" w:rsidR="009D3FB5" w:rsidP="00163B94" w:rsidRDefault="009D3FB5" w14:paraId="21B023D5" w14:textId="77777777">
      <w:pPr>
        <w:spacing w:before="120" w:after="120"/>
        <w:ind w:left="851" w:right="851" w:firstLine="709"/>
        <w:jc w:val="both"/>
        <w:rPr>
          <w:rFonts w:ascii="Times New Roman" w:hAnsi="Times New Roman" w:cs="Times New Roman"/>
          <w:i/>
          <w:spacing w:val="-3"/>
          <w:sz w:val="26"/>
          <w:szCs w:val="26"/>
          <w:lang w:eastAsia="es-CR"/>
        </w:rPr>
      </w:pPr>
    </w:p>
    <w:p w:rsidRPr="00AE1B2B" w:rsidR="009D3FB5" w:rsidP="00163B94" w:rsidRDefault="009D3FB5" w14:paraId="7D5B5D6B" w14:textId="77777777">
      <w:pPr>
        <w:spacing w:before="120" w:after="120"/>
        <w:ind w:left="851" w:right="851" w:firstLine="709"/>
        <w:jc w:val="both"/>
        <w:rPr>
          <w:rFonts w:ascii="Times New Roman" w:hAnsi="Times New Roman" w:cs="Times New Roman"/>
          <w:i/>
          <w:spacing w:val="-3"/>
          <w:sz w:val="26"/>
          <w:szCs w:val="26"/>
          <w:lang w:eastAsia="es-CR"/>
        </w:rPr>
      </w:pPr>
      <w:r w:rsidRPr="00AE1B2B">
        <w:rPr>
          <w:rFonts w:ascii="Times New Roman" w:hAnsi="Times New Roman" w:cs="Times New Roman"/>
          <w:i/>
          <w:spacing w:val="-3"/>
          <w:sz w:val="26"/>
          <w:szCs w:val="26"/>
          <w:lang w:eastAsia="es-CR"/>
        </w:rPr>
        <w:t>Se tiene como acuerdo firme.”</w:t>
      </w:r>
    </w:p>
    <w:p w:rsidRPr="00AE1B2B" w:rsidR="009D3FB5" w:rsidP="00163B94" w:rsidRDefault="009D3FB5" w14:paraId="351BD72B" w14:textId="381ABE07">
      <w:pPr>
        <w:pStyle w:val="Default"/>
        <w:spacing w:before="120" w:after="120"/>
        <w:ind w:left="851" w:right="851" w:firstLine="709"/>
        <w:jc w:val="both"/>
        <w:rPr>
          <w:rFonts w:ascii="Times New Roman" w:hAnsi="Times New Roman" w:cs="Times New Roman"/>
          <w:iCs/>
          <w:color w:val="auto"/>
          <w:spacing w:val="-3"/>
          <w:sz w:val="26"/>
          <w:szCs w:val="26"/>
        </w:rPr>
      </w:pPr>
      <w:r w:rsidRPr="00AE1B2B">
        <w:rPr>
          <w:rFonts w:ascii="Times New Roman" w:hAnsi="Times New Roman" w:cs="Times New Roman"/>
          <w:iCs/>
          <w:color w:val="auto"/>
          <w:spacing w:val="-3"/>
          <w:sz w:val="26"/>
          <w:szCs w:val="26"/>
        </w:rPr>
        <w:t>Cabe mencionar que para poder aplicar el cambio en los nombres de las oficinas en el sistema SIGA-PJ es necesaria una mejora en el sistema de parte de la Dirección de Tecnología de la Información que amplié la cantidad de caracteres, requerimiento presentado por la misma Comisión de Familia, Niñez y Adolescencia en la sesión del primero de diciembre del año en curso, artículo III.</w:t>
      </w:r>
      <w:r w:rsidRPr="00AE1B2B" w:rsidR="00BB7720">
        <w:rPr>
          <w:rFonts w:ascii="Times New Roman" w:hAnsi="Times New Roman" w:cs="Times New Roman"/>
          <w:iCs/>
          <w:color w:val="auto"/>
          <w:spacing w:val="-3"/>
          <w:sz w:val="26"/>
          <w:szCs w:val="26"/>
        </w:rPr>
        <w:t xml:space="preserve"> </w:t>
      </w:r>
      <w:r w:rsidRPr="00AE1B2B">
        <w:rPr>
          <w:rFonts w:ascii="Times New Roman" w:hAnsi="Times New Roman" w:cs="Times New Roman"/>
          <w:iCs/>
          <w:color w:val="auto"/>
          <w:spacing w:val="-3"/>
          <w:sz w:val="26"/>
          <w:szCs w:val="26"/>
        </w:rPr>
        <w:t>Por tal motivo, se destaca que los cambios no podrán ser aplicados hasta el tanto la citada mejora no se haya adicionado al sistema SIGA-PJ.</w:t>
      </w:r>
    </w:p>
    <w:p w:rsidRPr="00AE1B2B" w:rsidR="009D3FB5" w:rsidP="00163B94" w:rsidRDefault="009D3FB5" w14:paraId="081A6BDC" w14:textId="77777777">
      <w:pPr>
        <w:spacing w:before="120" w:after="120"/>
        <w:ind w:left="851" w:right="851" w:firstLine="709"/>
        <w:jc w:val="both"/>
        <w:rPr>
          <w:rFonts w:ascii="Times New Roman" w:hAnsi="Times New Roman" w:cs="Times New Roman"/>
          <w:b/>
          <w:bCs/>
          <w:i/>
          <w:iCs/>
          <w:sz w:val="26"/>
          <w:szCs w:val="26"/>
        </w:rPr>
      </w:pPr>
    </w:p>
    <w:p w:rsidRPr="00AE1B2B" w:rsidR="009D3FB5" w:rsidP="00163B94" w:rsidRDefault="009D3FB5" w14:paraId="78A88539" w14:textId="77777777">
      <w:pPr>
        <w:spacing w:before="120" w:after="120"/>
        <w:ind w:left="851" w:right="851" w:firstLine="709"/>
        <w:jc w:val="both"/>
        <w:rPr>
          <w:rFonts w:ascii="Times New Roman" w:hAnsi="Times New Roman" w:cs="Times New Roman"/>
          <w:i/>
          <w:spacing w:val="-3"/>
          <w:sz w:val="26"/>
          <w:szCs w:val="26"/>
          <w:lang w:eastAsia="es-CR"/>
        </w:rPr>
      </w:pPr>
    </w:p>
    <w:p w:rsidRPr="00AE1B2B" w:rsidR="009D3FB5" w:rsidP="00163B94" w:rsidRDefault="009D3FB5" w14:paraId="740BE5A6" w14:textId="77777777">
      <w:pPr>
        <w:pStyle w:val="Default"/>
        <w:spacing w:before="120" w:after="120"/>
        <w:ind w:left="851" w:right="851" w:firstLine="709"/>
        <w:jc w:val="both"/>
        <w:rPr>
          <w:rFonts w:ascii="Times New Roman" w:hAnsi="Times New Roman" w:cs="Times New Roman"/>
          <w:iCs/>
          <w:color w:val="auto"/>
          <w:spacing w:val="-3"/>
          <w:sz w:val="26"/>
          <w:szCs w:val="26"/>
        </w:rPr>
      </w:pPr>
    </w:p>
    <w:p w:rsidRPr="00AE1B2B" w:rsidR="009D3FB5" w:rsidP="00163B94" w:rsidRDefault="003979DE" w14:paraId="0775FA95" w14:textId="33ABE856">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7.2 </w:t>
      </w:r>
      <w:r w:rsidRPr="00AE1B2B" w:rsidR="009D3FB5">
        <w:rPr>
          <w:rFonts w:ascii="Times New Roman" w:hAnsi="Times New Roman" w:cs="Times New Roman"/>
          <w:sz w:val="26"/>
          <w:szCs w:val="26"/>
        </w:rPr>
        <w:t>Modelo de Juzgados de Violencia Doméstica-estructuras</w:t>
      </w:r>
    </w:p>
    <w:p w:rsidRPr="00AE1B2B" w:rsidR="009D3FB5" w:rsidP="00163B94" w:rsidRDefault="009D3FB5" w14:paraId="541AE18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64B9346" w14:textId="0C8B7D89">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Durante el segundo semestre de 2021 se revisará y ajustarán por parte de la Dirección de Planificación las estructuras de los 12 Juzgados de Violencia Doméstica Especializados.</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Los despachos mixtos que atienden Violencia junto con la materia de Familia ya fueron analizados en 2020. </w:t>
      </w:r>
    </w:p>
    <w:p w:rsidRPr="00AE1B2B" w:rsidR="009D3FB5" w:rsidP="00163B94" w:rsidRDefault="009D3FB5" w14:paraId="3C5DAEF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10EC91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3979DE" w14:paraId="5F46805A" w14:textId="2EF506A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7.3 </w:t>
      </w:r>
      <w:r w:rsidRPr="00AE1B2B" w:rsidR="009D3FB5">
        <w:rPr>
          <w:rFonts w:ascii="Times New Roman" w:hAnsi="Times New Roman" w:cs="Times New Roman"/>
          <w:sz w:val="26"/>
          <w:szCs w:val="26"/>
        </w:rPr>
        <w:t xml:space="preserve">Proceso de Tramitación General </w:t>
      </w:r>
    </w:p>
    <w:p w:rsidRPr="00AE1B2B" w:rsidR="009D3FB5" w:rsidP="00163B94" w:rsidRDefault="009D3FB5" w14:paraId="2EB6F1A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B61A8A0" w14:textId="77777777">
      <w:pPr>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Duración de los procesos</w:t>
      </w:r>
    </w:p>
    <w:p w:rsidRPr="00AE1B2B" w:rsidR="009D3FB5" w:rsidP="00163B94" w:rsidRDefault="009D3FB5" w14:paraId="2C8EDFD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Por parte de la Dirección de Planificación se diagramaron los principales procesos en materia de Violencia Doméstica con el apoyo del Lic. Cristian Martínez Hernández, Juez Gestor del Centro de Apoyo, Coordinación y Mejoramiento de la Función Jurisdiccional, con la duración por etapa (ver </w:t>
      </w:r>
      <w:r w:rsidRPr="00AE1B2B">
        <w:rPr>
          <w:rFonts w:ascii="Times New Roman" w:hAnsi="Times New Roman" w:cs="Times New Roman"/>
          <w:b/>
          <w:bCs/>
          <w:i/>
          <w:iCs/>
          <w:sz w:val="26"/>
          <w:szCs w:val="26"/>
        </w:rPr>
        <w:t>anexo 18</w:t>
      </w:r>
      <w:r w:rsidRPr="00AE1B2B">
        <w:rPr>
          <w:rFonts w:ascii="Times New Roman" w:hAnsi="Times New Roman" w:cs="Times New Roman"/>
          <w:sz w:val="26"/>
          <w:szCs w:val="26"/>
        </w:rPr>
        <w:t>), donde se destaca que una vez que la persona presunta agresora es notificada tiene plazo para oponerse a las medidas de protección, caso contrario el proceso pasa a la etapa de seguimiento.</w:t>
      </w:r>
    </w:p>
    <w:p w:rsidRPr="00AE1B2B" w:rsidR="009D3FB5" w:rsidP="00163B94" w:rsidRDefault="009D3FB5" w14:paraId="002EDDA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0FB1F2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CE5C9F8" w14:textId="77777777">
      <w:pPr>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Reparto de los procesos</w:t>
      </w:r>
    </w:p>
    <w:p w:rsidRPr="00AE1B2B" w:rsidR="009D3FB5" w:rsidP="00163B94" w:rsidRDefault="009D3FB5" w14:paraId="768211EC" w14:textId="4CF847D0">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Para esta materia, se tienen previsto para el segundo semestre 2021 la configuración la configuración del reparto automático por </w:t>
      </w:r>
      <w:r w:rsidRPr="00AE1B2B">
        <w:rPr>
          <w:rFonts w:ascii="Times New Roman" w:hAnsi="Times New Roman" w:cs="Times New Roman"/>
          <w:b/>
          <w:bCs/>
          <w:i/>
          <w:iCs/>
          <w:sz w:val="26"/>
          <w:szCs w:val="26"/>
        </w:rPr>
        <w:t xml:space="preserve">“clase de asunto” </w:t>
      </w:r>
      <w:r w:rsidRPr="00AE1B2B">
        <w:rPr>
          <w:rFonts w:ascii="Times New Roman" w:hAnsi="Times New Roman" w:cs="Times New Roman"/>
          <w:sz w:val="26"/>
          <w:szCs w:val="26"/>
        </w:rPr>
        <w:t>que es el tipo de reparto existente actualmente, y además considerando que en Violencia Doméstica por el momento solo existe un tipo de procedimiento.</w:t>
      </w:r>
      <w:r w:rsidRPr="00AE1B2B" w:rsidR="00BB7720">
        <w:rPr>
          <w:rFonts w:ascii="Times New Roman" w:hAnsi="Times New Roman" w:cs="Times New Roman"/>
          <w:sz w:val="26"/>
          <w:szCs w:val="26"/>
        </w:rPr>
        <w:t xml:space="preserve"> </w:t>
      </w:r>
    </w:p>
    <w:p w:rsidRPr="00AE1B2B" w:rsidR="009D3FB5" w:rsidP="00163B94" w:rsidRDefault="009D3FB5" w14:paraId="76F67AF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8D8A68E" w14:textId="357B04E1">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Sin embargo, a partir de 2022 con la entrada en vigencia del nuevo Código Procesal de Familia y al ampliarse la cantidad de procedimientos por la inclusión de los asuntos de protección cautelar, se coordinará con la Dirección de Tecnología de la Información para la aplicación del reparto por “</w:t>
      </w:r>
      <w:r w:rsidRPr="00AE1B2B">
        <w:rPr>
          <w:rFonts w:ascii="Times New Roman" w:hAnsi="Times New Roman" w:cs="Times New Roman"/>
          <w:b/>
          <w:bCs/>
          <w:i/>
          <w:iCs/>
          <w:sz w:val="26"/>
          <w:szCs w:val="26"/>
        </w:rPr>
        <w:t>procedimiento</w:t>
      </w:r>
      <w:r w:rsidRPr="00AE1B2B">
        <w:rPr>
          <w:rFonts w:ascii="Times New Roman" w:hAnsi="Times New Roman" w:cs="Times New Roman"/>
          <w:sz w:val="26"/>
          <w:szCs w:val="26"/>
        </w:rPr>
        <w:t>”.</w:t>
      </w:r>
      <w:r w:rsidRPr="00AE1B2B" w:rsidR="00BB7720">
        <w:rPr>
          <w:rFonts w:ascii="Times New Roman" w:hAnsi="Times New Roman" w:cs="Times New Roman"/>
          <w:sz w:val="26"/>
          <w:szCs w:val="26"/>
        </w:rPr>
        <w:t xml:space="preserve"> </w:t>
      </w:r>
    </w:p>
    <w:p w:rsidRPr="00AE1B2B" w:rsidR="009D3FB5" w:rsidP="00163B94" w:rsidRDefault="009D3FB5" w14:paraId="5A7A786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3979DE" w14:paraId="276A6AC1" w14:textId="6083AECF">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7.4 </w:t>
      </w:r>
      <w:r w:rsidRPr="00AE1B2B" w:rsidR="009D3FB5">
        <w:rPr>
          <w:rFonts w:ascii="Times New Roman" w:hAnsi="Times New Roman" w:cs="Times New Roman"/>
          <w:sz w:val="26"/>
          <w:szCs w:val="26"/>
        </w:rPr>
        <w:t>Estructura Organizacional y Funciones</w:t>
      </w:r>
    </w:p>
    <w:p w:rsidRPr="00AE1B2B" w:rsidR="009D3FB5" w:rsidP="00163B94" w:rsidRDefault="009D3FB5" w14:paraId="388E255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03B291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despachos especializados en la materia de Violencia Doméstica cuentan con una estructura funcional similar, con al menos dos técnicas o técnicos judiciales por cada Jueza o Juez en los despachos, y una persona Coordinadora Judicial, como se muestra en la tabla siguiente.</w:t>
      </w:r>
    </w:p>
    <w:p w:rsidRPr="00AE1B2B" w:rsidR="009D3FB5" w:rsidP="00163B94" w:rsidRDefault="009D3FB5" w14:paraId="38A315F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38E85B0" w14:textId="2BC20728">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52</w:t>
      </w:r>
      <w:r w:rsidRPr="00AE1B2B">
        <w:rPr>
          <w:rFonts w:ascii="Times New Roman" w:hAnsi="Times New Roman" w:cs="Times New Roman"/>
          <w:sz w:val="26"/>
          <w:szCs w:val="26"/>
        </w:rPr>
        <w:fldChar w:fldCharType="end"/>
      </w:r>
    </w:p>
    <w:p w:rsidRPr="00AE1B2B" w:rsidR="009D3FB5" w:rsidP="00163B94" w:rsidRDefault="009D3FB5" w14:paraId="6DAB8C6C"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Cantidad de personas en los juzgados especializados de Violencia Doméstica</w:t>
      </w:r>
    </w:p>
    <w:tbl>
      <w:tblPr>
        <w:tblW w:w="5000" w:type="pct"/>
        <w:tblCellMar>
          <w:left w:w="70" w:type="dxa"/>
          <w:right w:w="70" w:type="dxa"/>
        </w:tblCellMar>
        <w:tblLook w:val="04A0" w:firstRow="1" w:lastRow="0" w:firstColumn="1" w:lastColumn="0" w:noHBand="0" w:noVBand="1"/>
      </w:tblPr>
      <w:tblGrid>
        <w:gridCol w:w="5364"/>
        <w:gridCol w:w="548"/>
        <w:gridCol w:w="1217"/>
        <w:gridCol w:w="845"/>
        <w:gridCol w:w="854"/>
      </w:tblGrid>
      <w:tr w:rsidRPr="00AE1B2B" w:rsidR="00AE1B2B" w:rsidTr="009D3FB5" w14:paraId="60107CBA" w14:textId="77777777">
        <w:trPr>
          <w:trHeight w:val="20"/>
          <w:tblHeader/>
        </w:trPr>
        <w:tc>
          <w:tcPr>
            <w:tcW w:w="3004"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6937031E"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lastRenderedPageBreak/>
              <w:t>Despacho</w:t>
            </w:r>
          </w:p>
        </w:tc>
        <w:tc>
          <w:tcPr>
            <w:tcW w:w="91"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7E7F87B6"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Jueza o Juez</w:t>
            </w:r>
          </w:p>
        </w:tc>
        <w:tc>
          <w:tcPr>
            <w:tcW w:w="915"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7D864DF2"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Coordinadoras o Coordinadores judiciales</w:t>
            </w:r>
          </w:p>
        </w:tc>
        <w:tc>
          <w:tcPr>
            <w:tcW w:w="490"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24692E6F"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Técnicas o Técnicos Judiciales totales</w:t>
            </w:r>
          </w:p>
        </w:tc>
        <w:tc>
          <w:tcPr>
            <w:tcW w:w="500"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722712FE"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Auxiliar de Servicios Generales</w:t>
            </w:r>
          </w:p>
        </w:tc>
      </w:tr>
      <w:tr w:rsidRPr="00AE1B2B" w:rsidR="00AE1B2B" w:rsidTr="009D3FB5" w14:paraId="3C9426E0" w14:textId="77777777">
        <w:trPr>
          <w:trHeight w:val="20"/>
        </w:trPr>
        <w:tc>
          <w:tcPr>
            <w:tcW w:w="300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738DDF7B"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de Violencia Doméstica del I Circ. Jud. de la Zona Atlántica (Limón)</w:t>
            </w:r>
          </w:p>
        </w:tc>
        <w:tc>
          <w:tcPr>
            <w:tcW w:w="9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4C371D0"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915"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8F2036A"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49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779E4F4"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3</w:t>
            </w:r>
          </w:p>
        </w:tc>
        <w:tc>
          <w:tcPr>
            <w:tcW w:w="50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A5150C4"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0</w:t>
            </w:r>
          </w:p>
        </w:tc>
      </w:tr>
      <w:tr w:rsidRPr="00AE1B2B" w:rsidR="00AE1B2B" w:rsidTr="009D3FB5" w14:paraId="0B67D3E4" w14:textId="77777777">
        <w:trPr>
          <w:trHeight w:val="20"/>
        </w:trPr>
        <w:tc>
          <w:tcPr>
            <w:tcW w:w="3004" w:type="pct"/>
            <w:tcBorders>
              <w:top w:val="nil"/>
              <w:left w:val="single" w:color="auto" w:sz="4" w:space="0"/>
              <w:bottom w:val="single" w:color="auto" w:sz="4" w:space="0"/>
              <w:right w:val="single" w:color="auto" w:sz="4" w:space="0"/>
            </w:tcBorders>
            <w:shd w:val="clear" w:color="000000" w:fill="FFFFFF"/>
            <w:noWrap/>
            <w:vAlign w:val="center"/>
            <w:hideMark/>
          </w:tcPr>
          <w:p w:rsidRPr="00AE1B2B" w:rsidR="009D3FB5" w:rsidP="00163B94" w:rsidRDefault="009D3FB5" w14:paraId="1AA437A5"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Violencia Doméstica Cartago</w:t>
            </w:r>
          </w:p>
        </w:tc>
        <w:tc>
          <w:tcPr>
            <w:tcW w:w="9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8F7675F"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2</w:t>
            </w:r>
          </w:p>
        </w:tc>
        <w:tc>
          <w:tcPr>
            <w:tcW w:w="915"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645645B"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49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F27BD6B"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4</w:t>
            </w:r>
          </w:p>
        </w:tc>
        <w:tc>
          <w:tcPr>
            <w:tcW w:w="50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29A7ADA"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0</w:t>
            </w:r>
          </w:p>
        </w:tc>
      </w:tr>
      <w:tr w:rsidRPr="00AE1B2B" w:rsidR="00AE1B2B" w:rsidTr="009D3FB5" w14:paraId="3680A56B" w14:textId="77777777">
        <w:trPr>
          <w:trHeight w:val="20"/>
        </w:trPr>
        <w:tc>
          <w:tcPr>
            <w:tcW w:w="300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29388B60"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Violencia Doméstica Hatillo, San Sebas. y Alajuelita</w:t>
            </w:r>
          </w:p>
        </w:tc>
        <w:tc>
          <w:tcPr>
            <w:tcW w:w="9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947A887"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2</w:t>
            </w:r>
          </w:p>
        </w:tc>
        <w:tc>
          <w:tcPr>
            <w:tcW w:w="915"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D194E42"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49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EDC26B2"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3</w:t>
            </w:r>
          </w:p>
        </w:tc>
        <w:tc>
          <w:tcPr>
            <w:tcW w:w="50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EC56A02"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r>
      <w:tr w:rsidRPr="00AE1B2B" w:rsidR="00AE1B2B" w:rsidTr="009D3FB5" w14:paraId="2A1632ED" w14:textId="77777777">
        <w:trPr>
          <w:trHeight w:val="20"/>
        </w:trPr>
        <w:tc>
          <w:tcPr>
            <w:tcW w:w="300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056D9C9"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Violencia Doméstica Heredia</w:t>
            </w:r>
          </w:p>
        </w:tc>
        <w:tc>
          <w:tcPr>
            <w:tcW w:w="9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EED9451"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2</w:t>
            </w:r>
          </w:p>
        </w:tc>
        <w:tc>
          <w:tcPr>
            <w:tcW w:w="915"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B5FA5EC"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49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F6CFCF7"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4</w:t>
            </w:r>
          </w:p>
        </w:tc>
        <w:tc>
          <w:tcPr>
            <w:tcW w:w="50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3316C57"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0</w:t>
            </w:r>
          </w:p>
        </w:tc>
      </w:tr>
      <w:tr w:rsidRPr="00AE1B2B" w:rsidR="00AE1B2B" w:rsidTr="009D3FB5" w14:paraId="70D5E2AF" w14:textId="77777777">
        <w:trPr>
          <w:trHeight w:val="20"/>
        </w:trPr>
        <w:tc>
          <w:tcPr>
            <w:tcW w:w="300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0AC8876"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Violencia Doméstica I Circ. Jud. Alajuela</w:t>
            </w:r>
          </w:p>
        </w:tc>
        <w:tc>
          <w:tcPr>
            <w:tcW w:w="9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5FBF2F4"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3</w:t>
            </w:r>
          </w:p>
        </w:tc>
        <w:tc>
          <w:tcPr>
            <w:tcW w:w="915"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DA45D8D"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49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5A594B4"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6</w:t>
            </w:r>
          </w:p>
        </w:tc>
        <w:tc>
          <w:tcPr>
            <w:tcW w:w="50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C46BD37"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0</w:t>
            </w:r>
          </w:p>
        </w:tc>
      </w:tr>
      <w:tr w:rsidRPr="00AE1B2B" w:rsidR="00AE1B2B" w:rsidTr="009D3FB5" w14:paraId="0221DCD9" w14:textId="77777777">
        <w:trPr>
          <w:trHeight w:val="20"/>
        </w:trPr>
        <w:tc>
          <w:tcPr>
            <w:tcW w:w="300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58664F94"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Violencia Doméstica I Circ. Jud. San José</w:t>
            </w:r>
          </w:p>
        </w:tc>
        <w:tc>
          <w:tcPr>
            <w:tcW w:w="9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807D248"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2</w:t>
            </w:r>
          </w:p>
        </w:tc>
        <w:tc>
          <w:tcPr>
            <w:tcW w:w="915"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F1AF51E"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49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83A3506"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3</w:t>
            </w:r>
          </w:p>
        </w:tc>
        <w:tc>
          <w:tcPr>
            <w:tcW w:w="50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C10F8B5"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r>
      <w:tr w:rsidRPr="00AE1B2B" w:rsidR="00AE1B2B" w:rsidTr="009D3FB5" w14:paraId="51058CCC" w14:textId="77777777">
        <w:trPr>
          <w:trHeight w:val="20"/>
        </w:trPr>
        <w:tc>
          <w:tcPr>
            <w:tcW w:w="300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682220EF"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 xml:space="preserve">Juzgado Violencia Doméstica I Circ. Jud. Zona Sur (Pérez Zeledón) </w:t>
            </w:r>
          </w:p>
        </w:tc>
        <w:tc>
          <w:tcPr>
            <w:tcW w:w="9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0566233"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2</w:t>
            </w:r>
          </w:p>
        </w:tc>
        <w:tc>
          <w:tcPr>
            <w:tcW w:w="915"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D01DBD4"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49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B5B0852"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3</w:t>
            </w:r>
          </w:p>
        </w:tc>
        <w:tc>
          <w:tcPr>
            <w:tcW w:w="50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E5AEB67"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0</w:t>
            </w:r>
          </w:p>
        </w:tc>
      </w:tr>
      <w:tr w:rsidRPr="00AE1B2B" w:rsidR="00AE1B2B" w:rsidTr="009D3FB5" w14:paraId="77DA9265" w14:textId="77777777">
        <w:trPr>
          <w:trHeight w:val="20"/>
        </w:trPr>
        <w:tc>
          <w:tcPr>
            <w:tcW w:w="300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5CF73D0B"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Violencia Doméstica II Circ. Jud. Alajuela (San Carlos)</w:t>
            </w:r>
          </w:p>
        </w:tc>
        <w:tc>
          <w:tcPr>
            <w:tcW w:w="9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3EDC9BB"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915"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460D2A4"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49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17DB0E6"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2</w:t>
            </w:r>
          </w:p>
        </w:tc>
        <w:tc>
          <w:tcPr>
            <w:tcW w:w="50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DF840CB"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r>
      <w:tr w:rsidRPr="00AE1B2B" w:rsidR="00AE1B2B" w:rsidTr="009D3FB5" w14:paraId="191F25AE" w14:textId="77777777">
        <w:trPr>
          <w:trHeight w:val="20"/>
        </w:trPr>
        <w:tc>
          <w:tcPr>
            <w:tcW w:w="300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172F270D"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Violencia Doméstica II Circ. Jud. de la Zona Atlántica (Pococí)</w:t>
            </w:r>
          </w:p>
        </w:tc>
        <w:tc>
          <w:tcPr>
            <w:tcW w:w="9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6F9E908"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915"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C6D7A13"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49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EF0FE26"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3</w:t>
            </w:r>
          </w:p>
        </w:tc>
        <w:tc>
          <w:tcPr>
            <w:tcW w:w="50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E52CA14"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0</w:t>
            </w:r>
          </w:p>
        </w:tc>
      </w:tr>
      <w:tr w:rsidRPr="00AE1B2B" w:rsidR="00AE1B2B" w:rsidTr="009D3FB5" w14:paraId="37BE11B5" w14:textId="77777777">
        <w:trPr>
          <w:trHeight w:val="20"/>
        </w:trPr>
        <w:tc>
          <w:tcPr>
            <w:tcW w:w="300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5AF53177"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Violencia Doméstica II Circ. Jud. San José</w:t>
            </w:r>
          </w:p>
        </w:tc>
        <w:tc>
          <w:tcPr>
            <w:tcW w:w="9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B779759"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5</w:t>
            </w:r>
          </w:p>
        </w:tc>
        <w:tc>
          <w:tcPr>
            <w:tcW w:w="915"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5F5E124"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49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4CAD135"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7</w:t>
            </w:r>
          </w:p>
        </w:tc>
        <w:tc>
          <w:tcPr>
            <w:tcW w:w="50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3C8C1C2"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0</w:t>
            </w:r>
          </w:p>
        </w:tc>
      </w:tr>
      <w:tr w:rsidRPr="00AE1B2B" w:rsidR="00AE1B2B" w:rsidTr="009D3FB5" w14:paraId="411CD275" w14:textId="77777777">
        <w:trPr>
          <w:trHeight w:val="20"/>
        </w:trPr>
        <w:tc>
          <w:tcPr>
            <w:tcW w:w="300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11BA2B9E"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Violencia Doméstica III Circ. Jud. San José (Desamparados)</w:t>
            </w:r>
          </w:p>
        </w:tc>
        <w:tc>
          <w:tcPr>
            <w:tcW w:w="9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E27FE3A"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2</w:t>
            </w:r>
          </w:p>
        </w:tc>
        <w:tc>
          <w:tcPr>
            <w:tcW w:w="915"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F50C8E4"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49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937BA27"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3</w:t>
            </w:r>
          </w:p>
        </w:tc>
        <w:tc>
          <w:tcPr>
            <w:tcW w:w="50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9ED5684"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r>
      <w:tr w:rsidRPr="00AE1B2B" w:rsidR="00AE1B2B" w:rsidTr="009D3FB5" w14:paraId="71833793" w14:textId="77777777">
        <w:trPr>
          <w:trHeight w:val="20"/>
        </w:trPr>
        <w:tc>
          <w:tcPr>
            <w:tcW w:w="3004"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9C29771"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Violencia Doméstica Puntarenas</w:t>
            </w:r>
          </w:p>
        </w:tc>
        <w:tc>
          <w:tcPr>
            <w:tcW w:w="9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93881BA"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2</w:t>
            </w:r>
          </w:p>
        </w:tc>
        <w:tc>
          <w:tcPr>
            <w:tcW w:w="915"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7D56E79"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49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1FBF0C0"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4</w:t>
            </w:r>
          </w:p>
        </w:tc>
        <w:tc>
          <w:tcPr>
            <w:tcW w:w="50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94FB298"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0</w:t>
            </w:r>
          </w:p>
        </w:tc>
      </w:tr>
      <w:tr w:rsidRPr="00AE1B2B" w:rsidR="00AE1B2B" w:rsidTr="009D3FB5" w14:paraId="6D9B1349" w14:textId="77777777">
        <w:trPr>
          <w:trHeight w:val="20"/>
        </w:trPr>
        <w:tc>
          <w:tcPr>
            <w:tcW w:w="3004" w:type="pct"/>
            <w:tcBorders>
              <w:top w:val="nil"/>
              <w:left w:val="single" w:color="auto" w:sz="4" w:space="0"/>
              <w:bottom w:val="single" w:color="auto" w:sz="4" w:space="0"/>
              <w:right w:val="single" w:color="auto" w:sz="4" w:space="0"/>
            </w:tcBorders>
            <w:shd w:val="clear" w:color="000000" w:fill="808080"/>
            <w:noWrap/>
            <w:vAlign w:val="center"/>
            <w:hideMark/>
          </w:tcPr>
          <w:p w:rsidRPr="00AE1B2B" w:rsidR="009D3FB5" w:rsidP="00163B94" w:rsidRDefault="009D3FB5" w14:paraId="51F7F1BF" w14:textId="77777777">
            <w:pPr>
              <w:spacing w:before="120" w:after="120" w:line="276" w:lineRule="auto"/>
              <w:jc w:val="right"/>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Total general</w:t>
            </w:r>
          </w:p>
        </w:tc>
        <w:tc>
          <w:tcPr>
            <w:tcW w:w="91"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3002033B"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25</w:t>
            </w:r>
          </w:p>
        </w:tc>
        <w:tc>
          <w:tcPr>
            <w:tcW w:w="915"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5842B5EA"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12</w:t>
            </w:r>
          </w:p>
        </w:tc>
        <w:tc>
          <w:tcPr>
            <w:tcW w:w="490"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1249B6CA"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45</w:t>
            </w:r>
          </w:p>
        </w:tc>
        <w:tc>
          <w:tcPr>
            <w:tcW w:w="500" w:type="pct"/>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30F622A0"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4</w:t>
            </w:r>
          </w:p>
        </w:tc>
      </w:tr>
    </w:tbl>
    <w:p w:rsidRPr="00AE1B2B" w:rsidR="009D3FB5" w:rsidP="00163B94" w:rsidRDefault="009D3FB5" w14:paraId="713FDC71"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 en base a consultas a los despachos especializados en materia Violencia Doméstica.</w:t>
      </w:r>
    </w:p>
    <w:p w:rsidRPr="00AE1B2B" w:rsidR="009D3FB5" w:rsidP="00163B94" w:rsidRDefault="009D3FB5" w14:paraId="39F8BDE2"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Nota *: Plaza compartida entre el Juzgado de Violencia y el Juzgado de Niñez y Adolescencia. </w:t>
      </w:r>
    </w:p>
    <w:p w:rsidRPr="00AE1B2B" w:rsidR="009D3FB5" w:rsidP="00163B94" w:rsidRDefault="009D3FB5" w14:paraId="1699510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2C76AA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3979DE" w14:paraId="0752E648" w14:textId="1561D54C">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7.5 </w:t>
      </w:r>
      <w:r w:rsidRPr="00AE1B2B" w:rsidR="009D3FB5">
        <w:rPr>
          <w:rFonts w:ascii="Times New Roman" w:hAnsi="Times New Roman" w:cs="Times New Roman"/>
          <w:sz w:val="26"/>
          <w:szCs w:val="26"/>
        </w:rPr>
        <w:t xml:space="preserve">Coordinación con otras Instancias </w:t>
      </w:r>
    </w:p>
    <w:p w:rsidRPr="00AE1B2B" w:rsidR="009D3FB5" w:rsidP="00163B94" w:rsidRDefault="009D3FB5" w14:paraId="1258FD53" w14:textId="77777777">
      <w:pPr>
        <w:spacing w:before="120" w:after="120"/>
        <w:ind w:left="851" w:right="851" w:firstLine="709"/>
        <w:jc w:val="both"/>
        <w:rPr>
          <w:rFonts w:ascii="Times New Roman" w:hAnsi="Times New Roman" w:cs="Times New Roman"/>
          <w:sz w:val="26"/>
          <w:szCs w:val="26"/>
          <w:lang w:val="es-ES_tradnl"/>
        </w:rPr>
      </w:pPr>
    </w:p>
    <w:p w:rsidRPr="00AE1B2B" w:rsidR="009D3FB5" w:rsidP="00163B94" w:rsidRDefault="009D3FB5" w14:paraId="7AFB1039" w14:textId="77777777">
      <w:pPr>
        <w:spacing w:before="120" w:after="120"/>
        <w:ind w:left="851" w:right="851" w:firstLine="709"/>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A nivel de los Juzgados competentes en materia de Violencia Doméstica existen coordinación con:</w:t>
      </w:r>
    </w:p>
    <w:p w:rsidRPr="00AE1B2B" w:rsidR="009D3FB5" w:rsidP="00163B94" w:rsidRDefault="009D3FB5" w14:paraId="0CAA47F5" w14:textId="2CD0B676">
      <w:pPr>
        <w:pStyle w:val="Prrafodelista"/>
        <w:numPr>
          <w:ilvl w:val="0"/>
          <w:numId w:val="88"/>
        </w:numPr>
        <w:spacing w:before="120" w:after="120"/>
        <w:ind w:left="851" w:right="851" w:firstLine="709"/>
        <w:contextualSpacing/>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Departamento de Trabajo Social y Psicología (valoraciones en caso de personas adultas mayores que no se pueden presentar al Juzgado, soporte en audiencias complejas con estudios sociales, psicológicos para conocer la dinámica entre las partes, entre otros; atención en crisis de las presuntas víctimas). Acompañamiento en visitas domiciliarias. Seguimiento a las medidas de protección dictadas en causas donde figura una persona adulta mayor.</w:t>
      </w:r>
      <w:r w:rsidRPr="00AE1B2B" w:rsidR="00BB7720">
        <w:rPr>
          <w:rFonts w:ascii="Times New Roman" w:hAnsi="Times New Roman" w:cs="Times New Roman"/>
          <w:sz w:val="26"/>
          <w:szCs w:val="26"/>
          <w:lang w:val="es-ES_tradnl"/>
        </w:rPr>
        <w:t xml:space="preserve"> </w:t>
      </w:r>
    </w:p>
    <w:p w:rsidRPr="00AE1B2B" w:rsidR="009D3FB5" w:rsidP="00163B94" w:rsidRDefault="009D3FB5" w14:paraId="7B972F2F" w14:textId="77777777">
      <w:pPr>
        <w:pStyle w:val="Prrafodelista"/>
        <w:numPr>
          <w:ilvl w:val="0"/>
          <w:numId w:val="88"/>
        </w:numPr>
        <w:spacing w:before="120" w:after="120"/>
        <w:ind w:left="851" w:right="851" w:firstLine="709"/>
        <w:contextualSpacing/>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 xml:space="preserve">Oficinas de Atención y Protección a Víctimas y Testigos. En casos muy específicos en que existe un riesgo alto para la vida de la persona víctima. </w:t>
      </w:r>
    </w:p>
    <w:p w:rsidRPr="00AE1B2B" w:rsidR="009D3FB5" w:rsidP="00163B94" w:rsidRDefault="009D3FB5" w14:paraId="71FA0C37" w14:textId="77777777">
      <w:pPr>
        <w:pStyle w:val="Prrafodelista"/>
        <w:numPr>
          <w:ilvl w:val="0"/>
          <w:numId w:val="88"/>
        </w:numPr>
        <w:spacing w:before="120" w:after="120"/>
        <w:ind w:left="851" w:right="851" w:firstLine="709"/>
        <w:contextualSpacing/>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 xml:space="preserve">Patronato Nacional de la Infancia (cuando haya menores de edad involucrados). Seguimiento a las medidas de protección dictadas en causas donde figura una persona menor de edad. </w:t>
      </w:r>
    </w:p>
    <w:p w:rsidRPr="00AE1B2B" w:rsidR="009D3FB5" w:rsidP="00163B94" w:rsidRDefault="009D3FB5" w14:paraId="20B39AC9" w14:textId="0B33DBE2">
      <w:pPr>
        <w:pStyle w:val="Prrafodelista"/>
        <w:numPr>
          <w:ilvl w:val="0"/>
          <w:numId w:val="88"/>
        </w:numPr>
        <w:spacing w:before="120" w:after="120"/>
        <w:ind w:left="851" w:right="851" w:firstLine="709"/>
        <w:contextualSpacing/>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Medicatura Forense (solicitudes de valoración médica a las presuntas víctimas por la posible comisión de un delito).</w:t>
      </w:r>
      <w:r w:rsidRPr="00AE1B2B" w:rsidR="00BB7720">
        <w:rPr>
          <w:rFonts w:ascii="Times New Roman" w:hAnsi="Times New Roman" w:cs="Times New Roman"/>
          <w:sz w:val="26"/>
          <w:szCs w:val="26"/>
          <w:lang w:val="es-ES_tradnl"/>
        </w:rPr>
        <w:t xml:space="preserve"> </w:t>
      </w:r>
      <w:r w:rsidRPr="00AE1B2B">
        <w:rPr>
          <w:rFonts w:ascii="Times New Roman" w:hAnsi="Times New Roman" w:cs="Times New Roman"/>
          <w:sz w:val="26"/>
          <w:szCs w:val="26"/>
          <w:lang w:val="es-ES_tradnl"/>
        </w:rPr>
        <w:t xml:space="preserve">También pericias psicológicas o psiquiátricas para determinar capacidad persona para ser parte del proceso. </w:t>
      </w:r>
    </w:p>
    <w:p w:rsidRPr="00AE1B2B" w:rsidR="009D3FB5" w:rsidP="00163B94" w:rsidRDefault="009D3FB5" w14:paraId="2545CDCA" w14:textId="77777777">
      <w:pPr>
        <w:pStyle w:val="Prrafodelista"/>
        <w:numPr>
          <w:ilvl w:val="0"/>
          <w:numId w:val="88"/>
        </w:numPr>
        <w:spacing w:before="120" w:after="120"/>
        <w:ind w:left="851" w:right="851" w:firstLine="709"/>
        <w:contextualSpacing/>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 xml:space="preserve">Ministerio de Seguridad Pública (notificaciones, para acompañamientos de retiro de enseres personales, desalojos, decomiso de armas, realizar citaciones). Apoyo en situaciones de emergencia. </w:t>
      </w:r>
    </w:p>
    <w:p w:rsidRPr="00AE1B2B" w:rsidR="009D3FB5" w:rsidP="00163B94" w:rsidRDefault="009D3FB5" w14:paraId="01F47DC7" w14:textId="77777777">
      <w:pPr>
        <w:pStyle w:val="Prrafodelista"/>
        <w:numPr>
          <w:ilvl w:val="0"/>
          <w:numId w:val="88"/>
        </w:numPr>
        <w:spacing w:before="120" w:after="120"/>
        <w:ind w:left="851" w:right="851" w:firstLine="709"/>
        <w:contextualSpacing/>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Organismo de Investigación Judicial (localización de presuntos agresores, cuando ya se cuenta con actas de notificación de Fuerza Pública negativas o cuando la persona solicitante desconoce donde se ubica el presunto agresor).</w:t>
      </w:r>
    </w:p>
    <w:p w:rsidRPr="00AE1B2B" w:rsidR="009D3FB5" w:rsidP="00163B94" w:rsidRDefault="009D3FB5" w14:paraId="1B89E209" w14:textId="77777777">
      <w:pPr>
        <w:pStyle w:val="Prrafodelista"/>
        <w:numPr>
          <w:ilvl w:val="0"/>
          <w:numId w:val="88"/>
        </w:numPr>
        <w:spacing w:before="120" w:after="120"/>
        <w:ind w:left="851" w:right="851" w:firstLine="709"/>
        <w:contextualSpacing/>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Caja Costarricense del Seguro Social (con la oficina de Trabajo Social, que remiten al Juzgado la referencia para que inicie la causa a nivel judicial).</w:t>
      </w:r>
    </w:p>
    <w:p w:rsidRPr="00AE1B2B" w:rsidR="009D3FB5" w:rsidP="00163B94" w:rsidRDefault="009D3FB5" w14:paraId="13B1233B" w14:textId="77777777">
      <w:pPr>
        <w:pStyle w:val="Prrafodelista"/>
        <w:numPr>
          <w:ilvl w:val="0"/>
          <w:numId w:val="88"/>
        </w:numPr>
        <w:spacing w:before="120" w:after="120"/>
        <w:ind w:left="851" w:right="851" w:firstLine="709"/>
        <w:contextualSpacing/>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Juzgados de Pensiones Alimentarias: cuando deben realizar un testimonio de piezas o coordinación para otorgar una pensión alimentaria provisional.</w:t>
      </w:r>
    </w:p>
    <w:p w:rsidRPr="00AE1B2B" w:rsidR="009D3FB5" w:rsidP="00163B94" w:rsidRDefault="009D3FB5" w14:paraId="0DA13C25" w14:textId="77777777">
      <w:pPr>
        <w:spacing w:before="120" w:after="120"/>
        <w:ind w:left="851" w:right="851" w:firstLine="709"/>
        <w:jc w:val="both"/>
        <w:rPr>
          <w:rFonts w:ascii="Times New Roman" w:hAnsi="Times New Roman" w:cs="Times New Roman"/>
          <w:sz w:val="26"/>
          <w:szCs w:val="26"/>
          <w:lang w:val="es-ES_tradnl"/>
        </w:rPr>
      </w:pPr>
    </w:p>
    <w:p w:rsidRPr="00AE1B2B" w:rsidR="009D3FB5" w:rsidP="00163B94" w:rsidRDefault="009D3FB5" w14:paraId="7D8D0345" w14:textId="77777777">
      <w:pPr>
        <w:spacing w:before="120" w:after="120"/>
        <w:ind w:left="851" w:right="851" w:firstLine="709"/>
        <w:jc w:val="both"/>
        <w:rPr>
          <w:rFonts w:ascii="Times New Roman" w:hAnsi="Times New Roman" w:cs="Times New Roman"/>
          <w:sz w:val="26"/>
          <w:szCs w:val="26"/>
          <w:lang w:val="es-ES_tradnl"/>
        </w:rPr>
      </w:pPr>
    </w:p>
    <w:p w:rsidRPr="00AE1B2B" w:rsidR="009D3FB5" w:rsidP="00163B94" w:rsidRDefault="009D3FB5" w14:paraId="25C3783C" w14:textId="77777777">
      <w:pPr>
        <w:pStyle w:val="Fuentes"/>
        <w:spacing w:before="120" w:after="120" w:line="240" w:lineRule="auto"/>
        <w:ind w:left="851" w:right="851" w:firstLine="709"/>
        <w:rPr>
          <w:rFonts w:ascii="Times New Roman" w:hAnsi="Times New Roman" w:cs="Times New Roman"/>
          <w:sz w:val="26"/>
          <w:szCs w:val="26"/>
        </w:rPr>
      </w:pPr>
    </w:p>
    <w:p w:rsidRPr="00AE1B2B" w:rsidR="009D3FB5" w:rsidP="00163B94" w:rsidRDefault="003979DE" w14:paraId="56E86D89" w14:textId="704D27D8">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7.6 </w:t>
      </w:r>
      <w:r w:rsidRPr="00AE1B2B" w:rsidR="009D3FB5">
        <w:rPr>
          <w:rFonts w:ascii="Times New Roman" w:hAnsi="Times New Roman" w:cs="Times New Roman"/>
          <w:sz w:val="26"/>
          <w:szCs w:val="26"/>
        </w:rPr>
        <w:t>Sistemas Informáticos</w:t>
      </w:r>
    </w:p>
    <w:p w:rsidRPr="00AE1B2B" w:rsidR="009D3FB5" w:rsidP="00163B94" w:rsidRDefault="009D3FB5" w14:paraId="2DBF158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6A8F5E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todos los Juzgados competentes en materia de Violencia Doméstica están implementados los siguientes sistemas:</w:t>
      </w:r>
    </w:p>
    <w:p w:rsidRPr="00AE1B2B" w:rsidR="009D3FB5" w:rsidP="00163B94" w:rsidRDefault="009D3FB5" w14:paraId="6AEEFC1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D4A7970"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Sistema de Gestión en Línea </w:t>
      </w:r>
    </w:p>
    <w:p w:rsidRPr="00AE1B2B" w:rsidR="009D3FB5" w:rsidP="00163B94" w:rsidRDefault="009D3FB5" w14:paraId="5D21B19A"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Escritorio Virtual con la totalidad de las mejoras que competan a la materia incluyendo la mejora de pase a fallo y de reparto automático.</w:t>
      </w:r>
    </w:p>
    <w:p w:rsidRPr="00AE1B2B" w:rsidR="009D3FB5" w:rsidP="00163B94" w:rsidRDefault="009D3FB5" w14:paraId="70A73AC8"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Gestión de despachos judiciales</w:t>
      </w:r>
    </w:p>
    <w:p w:rsidRPr="00AE1B2B" w:rsidR="009D3FB5" w:rsidP="00163B94" w:rsidRDefault="009D3FB5" w14:paraId="5A8702B1"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Itineraciones</w:t>
      </w:r>
    </w:p>
    <w:p w:rsidRPr="00AE1B2B" w:rsidR="009D3FB5" w:rsidP="00163B94" w:rsidRDefault="009D3FB5" w14:paraId="087F19D8"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Rol de Peritos</w:t>
      </w:r>
    </w:p>
    <w:p w:rsidRPr="00AE1B2B" w:rsidR="009D3FB5" w:rsidP="00163B94" w:rsidRDefault="009D3FB5" w14:paraId="0F0F2945"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Agenda Cronos</w:t>
      </w:r>
    </w:p>
    <w:p w:rsidRPr="00AE1B2B" w:rsidR="009D3FB5" w:rsidP="00163B94" w:rsidRDefault="009D3FB5" w14:paraId="53AEFF93"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Mensajería Masiva CEMSMS</w:t>
      </w:r>
    </w:p>
    <w:p w:rsidRPr="00AE1B2B" w:rsidR="009D3FB5" w:rsidP="00163B94" w:rsidRDefault="009D3FB5" w14:paraId="7B8F9D7D"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Registro de Personas Agresoras</w:t>
      </w:r>
    </w:p>
    <w:p w:rsidRPr="00AE1B2B" w:rsidR="009D3FB5" w:rsidP="00163B94" w:rsidRDefault="009D3FB5" w14:paraId="4F99C49D"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59188CC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DDDB504" w14:textId="77777777">
      <w:pPr>
        <w:spacing w:before="120" w:after="120"/>
        <w:ind w:left="851" w:right="851" w:firstLine="709"/>
        <w:jc w:val="both"/>
        <w:rPr>
          <w:rFonts w:ascii="Times New Roman" w:hAnsi="Times New Roman" w:cs="Times New Roman"/>
          <w:sz w:val="26"/>
          <w:szCs w:val="26"/>
          <w:highlight w:val="yellow"/>
        </w:rPr>
      </w:pPr>
      <w:r w:rsidRPr="00AE1B2B">
        <w:rPr>
          <w:rFonts w:ascii="Times New Roman" w:hAnsi="Times New Roman" w:cs="Times New Roman"/>
          <w:sz w:val="26"/>
          <w:szCs w:val="26"/>
        </w:rPr>
        <w:t xml:space="preserve">Al finalizar 2020 todos Juzgados de Violencia Doméstica cuentan con los sistemas debidamente implementados por parte de la Dirección de Tecnología de la Información. La información se certificó como entregable dentro del Proyecto de implementación del CPF, </w:t>
      </w:r>
      <w:r w:rsidRPr="00AE1B2B">
        <w:rPr>
          <w:rFonts w:ascii="Times New Roman" w:hAnsi="Times New Roman" w:cs="Times New Roman"/>
          <w:b/>
          <w:bCs/>
          <w:i/>
          <w:iCs/>
          <w:sz w:val="26"/>
          <w:szCs w:val="26"/>
        </w:rPr>
        <w:t>anexo 9.</w:t>
      </w:r>
    </w:p>
    <w:p w:rsidRPr="00AE1B2B" w:rsidR="009D3FB5" w:rsidP="00163B94" w:rsidRDefault="009D3FB5" w14:paraId="5D76248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8654E1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1711DB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3979DE" w14:paraId="6B8E0E7B" w14:textId="7907D96B">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7.7 </w:t>
      </w:r>
      <w:r w:rsidRPr="00AE1B2B" w:rsidR="009D3FB5">
        <w:rPr>
          <w:rFonts w:ascii="Times New Roman" w:hAnsi="Times New Roman" w:cs="Times New Roman"/>
          <w:sz w:val="26"/>
          <w:szCs w:val="26"/>
        </w:rPr>
        <w:t xml:space="preserve">Libros de Control </w:t>
      </w:r>
    </w:p>
    <w:p w:rsidRPr="00AE1B2B" w:rsidR="009D3FB5" w:rsidP="00163B94" w:rsidRDefault="009D3FB5" w14:paraId="43CE817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4489BB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Juzgados de Violencia Doméstica deben llevar como mínimo los siguientes libros de control:</w:t>
      </w:r>
    </w:p>
    <w:p w:rsidRPr="00AE1B2B" w:rsidR="009D3FB5" w:rsidP="00163B94" w:rsidRDefault="009D3FB5" w14:paraId="5089FF1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90BDFC2" w14:textId="77777777">
      <w:pPr>
        <w:pStyle w:val="Prrafodelista"/>
        <w:numPr>
          <w:ilvl w:val="0"/>
          <w:numId w:val="6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Libro de pase a fallo y utilización módulo de pase a fallo en el Escritorio Virtual</w:t>
      </w:r>
    </w:p>
    <w:p w:rsidRPr="00AE1B2B" w:rsidR="009D3FB5" w:rsidP="00163B94" w:rsidRDefault="009D3FB5" w14:paraId="3793FD7A" w14:textId="77777777">
      <w:pPr>
        <w:pStyle w:val="Prrafodelista"/>
        <w:numPr>
          <w:ilvl w:val="0"/>
          <w:numId w:val="6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Libro de juramentaciones</w:t>
      </w:r>
    </w:p>
    <w:p w:rsidRPr="00AE1B2B" w:rsidR="009D3FB5" w:rsidP="00163B94" w:rsidRDefault="009D3FB5" w14:paraId="43700FA8" w14:textId="77777777">
      <w:pPr>
        <w:pStyle w:val="Prrafodelista"/>
        <w:numPr>
          <w:ilvl w:val="0"/>
          <w:numId w:val="6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Libro de remisión de recursos al Tribunal de Familia</w:t>
      </w:r>
    </w:p>
    <w:p w:rsidRPr="00AE1B2B" w:rsidR="009D3FB5" w:rsidP="00163B94" w:rsidRDefault="009D3FB5" w14:paraId="3D156DCF" w14:textId="77777777">
      <w:pPr>
        <w:pStyle w:val="Prrafodelista"/>
        <w:numPr>
          <w:ilvl w:val="0"/>
          <w:numId w:val="6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Libro de sustituciones</w:t>
      </w:r>
    </w:p>
    <w:p w:rsidRPr="00AE1B2B" w:rsidR="009D3FB5" w:rsidP="00163B94" w:rsidRDefault="009D3FB5" w14:paraId="7A226680" w14:textId="77777777">
      <w:pPr>
        <w:pStyle w:val="Prrafodelista"/>
        <w:numPr>
          <w:ilvl w:val="0"/>
          <w:numId w:val="6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lastRenderedPageBreak/>
        <w:t>Libro de Comisiones enviadas y recibidas</w:t>
      </w:r>
    </w:p>
    <w:p w:rsidRPr="00AE1B2B" w:rsidR="009D3FB5" w:rsidP="00163B94" w:rsidRDefault="009D3FB5" w14:paraId="14C34792" w14:textId="77777777">
      <w:pPr>
        <w:pStyle w:val="Prrafodelista"/>
        <w:numPr>
          <w:ilvl w:val="0"/>
          <w:numId w:val="6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Libro de control de atención al público</w:t>
      </w:r>
    </w:p>
    <w:p w:rsidRPr="00AE1B2B" w:rsidR="009D3FB5" w:rsidP="00163B94" w:rsidRDefault="009D3FB5" w14:paraId="229D645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B1E145A" w14:textId="77777777">
      <w:pPr>
        <w:pStyle w:val="Prrafodelista"/>
        <w:spacing w:before="120" w:after="120"/>
        <w:ind w:left="851" w:right="851" w:firstLine="709"/>
        <w:jc w:val="both"/>
        <w:rPr>
          <w:rFonts w:ascii="Times New Roman" w:hAnsi="Times New Roman" w:cs="Times New Roman"/>
          <w:sz w:val="26"/>
          <w:szCs w:val="26"/>
        </w:rPr>
      </w:pPr>
      <w:bookmarkStart w:name="_Hlk63412425" w:id="82"/>
      <w:r w:rsidRPr="00AE1B2B">
        <w:rPr>
          <w:rFonts w:ascii="Times New Roman" w:hAnsi="Times New Roman" w:cs="Times New Roman"/>
          <w:sz w:val="26"/>
          <w:szCs w:val="26"/>
        </w:rPr>
        <w:t>Actualmente llevan también un Libro de resoluciones de mantener medidas.</w:t>
      </w:r>
    </w:p>
    <w:p w:rsidRPr="00AE1B2B" w:rsidR="009D3FB5" w:rsidP="00163B94" w:rsidRDefault="009D3FB5" w14:paraId="1BFF7885"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32BF462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Respecto a la obligatoriedad en el uso del módulo de pase a fallo, reparto y voto automáticos, se coordinó a través de la figura de Juez Gestor del Licenciado Cristian Martínez Hernández para que la </w:t>
      </w:r>
      <w:r w:rsidRPr="00AE1B2B">
        <w:rPr>
          <w:rFonts w:ascii="Times New Roman" w:hAnsi="Times New Roman" w:cs="Times New Roman"/>
          <w:b/>
          <w:bCs/>
          <w:i/>
          <w:iCs/>
          <w:sz w:val="26"/>
          <w:szCs w:val="26"/>
        </w:rPr>
        <w:t>Comisión Permanente para el Seguimiento de la Atención y Prevención de la Violencia Intrafamiliar</w:t>
      </w:r>
      <w:r w:rsidRPr="00AE1B2B">
        <w:rPr>
          <w:rFonts w:ascii="Times New Roman" w:hAnsi="Times New Roman" w:cs="Times New Roman"/>
          <w:sz w:val="26"/>
          <w:szCs w:val="26"/>
        </w:rPr>
        <w:t xml:space="preserve"> emita un acuerdo en donde solicite al Consejo Superior una directriz similar a la circular 223-20 (materia de Familia y Pensiones Alimentarias)</w:t>
      </w:r>
      <w:r w:rsidRPr="00AE1B2B">
        <w:rPr>
          <w:rStyle w:val="Refdenotaalpie"/>
          <w:rFonts w:ascii="Times New Roman" w:hAnsi="Times New Roman"/>
          <w:sz w:val="26"/>
          <w:szCs w:val="26"/>
        </w:rPr>
        <w:footnoteReference w:id="18"/>
      </w:r>
      <w:r w:rsidRPr="00AE1B2B">
        <w:rPr>
          <w:rFonts w:ascii="Times New Roman" w:hAnsi="Times New Roman" w:cs="Times New Roman"/>
          <w:sz w:val="26"/>
          <w:szCs w:val="26"/>
        </w:rPr>
        <w:t>. También se incluye la recomendación respectiva en este informe.</w:t>
      </w:r>
    </w:p>
    <w:bookmarkEnd w:id="82"/>
    <w:p w:rsidRPr="00AE1B2B" w:rsidR="009D3FB5" w:rsidP="00163B94" w:rsidRDefault="009D3FB5" w14:paraId="6EF33D1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3979DE" w14:paraId="047B0C39" w14:textId="67264EE1">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7.8 </w:t>
      </w:r>
      <w:r w:rsidRPr="00AE1B2B" w:rsidR="009D3FB5">
        <w:rPr>
          <w:rFonts w:ascii="Times New Roman" w:hAnsi="Times New Roman" w:cs="Times New Roman"/>
          <w:sz w:val="26"/>
          <w:szCs w:val="26"/>
        </w:rPr>
        <w:t>Modelo de Sostenibilidad y Seguimiento de los proyectos de rediseño de oficinas en materia de Violencia Doméstica</w:t>
      </w:r>
    </w:p>
    <w:p w:rsidRPr="00AE1B2B" w:rsidR="009D3FB5" w:rsidP="00163B94" w:rsidRDefault="009D3FB5" w14:paraId="7F90A62B" w14:textId="77777777">
      <w:pPr>
        <w:spacing w:before="120" w:after="120"/>
        <w:ind w:left="851" w:right="851" w:firstLine="709"/>
        <w:jc w:val="both"/>
        <w:rPr>
          <w:rFonts w:ascii="Times New Roman" w:hAnsi="Times New Roman" w:cs="Times New Roman"/>
          <w:sz w:val="26"/>
          <w:szCs w:val="26"/>
          <w:lang w:val="es-ES"/>
        </w:rPr>
      </w:pPr>
    </w:p>
    <w:p w:rsidRPr="00AE1B2B" w:rsidR="009D3FB5" w:rsidP="00163B94" w:rsidRDefault="009D3FB5" w14:paraId="6B43BA0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diseño de la matriz de indicadores de gestión para los despachos competentes en materia de Violencia Doméstica tomo en consideración Rediseños en los Juzgados de Familia del Segundo Circuito Judicial de Alajuela y Cartago y fueron debidamente validados con el equipo gestor, en donde los indicadores se categorizan de la siguiente manera: </w:t>
      </w:r>
    </w:p>
    <w:p w:rsidRPr="00AE1B2B" w:rsidR="009D3FB5" w:rsidP="00163B94" w:rsidRDefault="009D3FB5" w14:paraId="20457D6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Rendimiento estadístico del despacho: en términos generales consisten en detallar una serie de variables estadísticas destinadas a calificar de manera general el movimiento de trabajo del despacho (entradas, salidas, circulante, etc.). </w:t>
      </w:r>
    </w:p>
    <w:p w:rsidRPr="00AE1B2B" w:rsidR="009D3FB5" w:rsidP="00163B94" w:rsidRDefault="009D3FB5" w14:paraId="24E9D6C7"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39E166C3"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Plazos: valoran cierta cantidad de actividades de acuerdo principalmente a la duración a lo interno del Despacho (dictado de sentencias, resolver demandas nuevas, resolver escritos, entre otros). </w:t>
      </w:r>
    </w:p>
    <w:p w:rsidRPr="00AE1B2B" w:rsidR="009D3FB5" w:rsidP="00163B94" w:rsidRDefault="009D3FB5" w14:paraId="173011D9"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2A295E7E"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Operacional: es el indicador que establecerá el rendimiento individualizado de los colaboradores del juzgado, aplicando una </w:t>
      </w:r>
      <w:r w:rsidRPr="00AE1B2B">
        <w:rPr>
          <w:rFonts w:ascii="Times New Roman" w:hAnsi="Times New Roman" w:cs="Times New Roman"/>
          <w:sz w:val="26"/>
          <w:szCs w:val="26"/>
        </w:rPr>
        <w:lastRenderedPageBreak/>
        <w:t>comparación entre la capacidad teórica versus la real de cada uno de ellos (porcentaje de rendimiento de las personas juzgadoras y técnicas judiciales, etc.).</w:t>
      </w:r>
    </w:p>
    <w:p w:rsidRPr="00AE1B2B" w:rsidR="009D3FB5" w:rsidP="00163B94" w:rsidRDefault="009D3FB5" w14:paraId="101AC52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E09C6D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Respecto a los indicadores y parámetros de estos, estos fueron sometidos a aprobación de Consejo Superior y Corte Plena mediante informe 656-PLA-RH-MI-2020 y aprobados por ambas instancia en sesiones sesión 45-2020 celebrada el 8 de mayo de 2020, artículo XIX y sesión 31-2020 del dos de junio del 2020, artículo I, respectivamente. </w:t>
      </w:r>
    </w:p>
    <w:p w:rsidRPr="00AE1B2B" w:rsidR="009D3FB5" w:rsidP="00163B94" w:rsidRDefault="009D3FB5" w14:paraId="081E6BB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2163EB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continuación, se presenta el detalle de la matriz de indicadores de las oficinas de Violencia Doméstica especializadas, que como se indicará adelante, serán abordadas por la Dirección de Planificación durante el segundo semestre 2021. </w:t>
      </w:r>
    </w:p>
    <w:p w:rsidRPr="00AE1B2B" w:rsidR="009D3FB5" w:rsidP="00163B94" w:rsidRDefault="009D3FB5" w14:paraId="7A6FDA8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01F38C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Indicadores en Despachos competentes en Violencia Doméstica</w:t>
      </w:r>
    </w:p>
    <w:p w:rsidRPr="00AE1B2B" w:rsidR="009D3FB5" w:rsidP="00163B94" w:rsidRDefault="009D3FB5" w14:paraId="38D2B62A" w14:textId="77777777">
      <w:pPr>
        <w:spacing w:before="120" w:after="120"/>
        <w:ind w:left="851" w:right="851" w:firstLine="709"/>
        <w:contextualSpacing/>
        <w:jc w:val="both"/>
        <w:rPr>
          <w:rFonts w:ascii="Times New Roman" w:hAnsi="Times New Roman" w:eastAsia="Times New Roman" w:cs="Times New Roman"/>
          <w:sz w:val="26"/>
          <w:szCs w:val="26"/>
          <w:lang w:eastAsia="es-ES"/>
        </w:rPr>
      </w:pPr>
      <w:r w:rsidRPr="00AE1B2B">
        <w:rPr>
          <w:rFonts w:ascii="Times New Roman" w:hAnsi="Times New Roman" w:eastAsia="Times New Roman" w:cs="Times New Roman"/>
          <w:sz w:val="26"/>
          <w:szCs w:val="26"/>
          <w:lang w:eastAsia="es-ES"/>
        </w:rPr>
        <w:t xml:space="preserve">Con el rediseño de los Circuitos de San Carlos y Cartago, se implementó el Modelo de Sostenibilidad y Seguimiento de los proyectos de rediseño en los Juzgados de Violencia Doméstica de esas zonas. </w:t>
      </w:r>
    </w:p>
    <w:p w:rsidRPr="00AE1B2B" w:rsidR="009D3FB5" w:rsidP="00163B94" w:rsidRDefault="009D3FB5" w14:paraId="06A32AC0" w14:textId="5BCBF886">
      <w:pPr>
        <w:spacing w:before="120" w:after="120"/>
        <w:ind w:left="851" w:right="851" w:firstLine="709"/>
        <w:contextualSpacing/>
        <w:jc w:val="both"/>
        <w:rPr>
          <w:rFonts w:ascii="Times New Roman" w:hAnsi="Times New Roman" w:eastAsia="Times New Roman" w:cs="Times New Roman"/>
          <w:sz w:val="26"/>
          <w:szCs w:val="26"/>
          <w:lang w:eastAsia="es-ES"/>
        </w:rPr>
      </w:pPr>
      <w:r w:rsidRPr="00AE1B2B">
        <w:rPr>
          <w:rFonts w:ascii="Times New Roman" w:hAnsi="Times New Roman" w:eastAsia="Times New Roman" w:cs="Times New Roman"/>
          <w:sz w:val="26"/>
          <w:szCs w:val="26"/>
          <w:lang w:eastAsia="es-ES"/>
        </w:rPr>
        <w:t>Con el proyecto de la Reforma al Código de Trabajo, se abordaron los Juzgados que conocían la materia de Trabajo y también Violencia Doméstica, por lo que desde el 2017 cuenta con la matriz de Indicadores de Gestión y el Modelo de Sostenibilidad.</w:t>
      </w:r>
      <w:r w:rsidRPr="00AE1B2B" w:rsidR="00BB7720">
        <w:rPr>
          <w:rFonts w:ascii="Times New Roman" w:hAnsi="Times New Roman" w:eastAsia="Times New Roman" w:cs="Times New Roman"/>
          <w:sz w:val="26"/>
          <w:szCs w:val="26"/>
          <w:lang w:eastAsia="es-ES"/>
        </w:rPr>
        <w:t xml:space="preserve"> </w:t>
      </w:r>
    </w:p>
    <w:p w:rsidRPr="00AE1B2B" w:rsidR="009D3FB5" w:rsidP="00163B94" w:rsidRDefault="009D3FB5" w14:paraId="3CABB1C9" w14:textId="77777777">
      <w:pPr>
        <w:spacing w:before="120" w:after="120"/>
        <w:ind w:left="851" w:right="851" w:firstLine="709"/>
        <w:contextualSpacing/>
        <w:jc w:val="both"/>
        <w:rPr>
          <w:rFonts w:ascii="Times New Roman" w:hAnsi="Times New Roman" w:eastAsia="Times New Roman" w:cs="Times New Roman"/>
          <w:sz w:val="26"/>
          <w:szCs w:val="26"/>
          <w:lang w:eastAsia="es-ES"/>
        </w:rPr>
      </w:pPr>
      <w:r w:rsidRPr="00AE1B2B">
        <w:rPr>
          <w:rFonts w:ascii="Times New Roman" w:hAnsi="Times New Roman" w:eastAsia="Times New Roman" w:cs="Times New Roman"/>
          <w:sz w:val="26"/>
          <w:szCs w:val="26"/>
          <w:lang w:eastAsia="es-ES"/>
        </w:rPr>
        <w:t xml:space="preserve">En 2020, se implementó el Modelo de Sostenibilidad y Seguimiento en los Juzgados que atienden materia de Familia y Violencia Doméstica. Y durante el segundo semestre 2021, se implementará en los doce Juzgados de Violencia Doméstica especializados. </w:t>
      </w:r>
    </w:p>
    <w:p w:rsidRPr="00AE1B2B" w:rsidR="009D3FB5" w:rsidP="00163B94" w:rsidRDefault="009D3FB5" w14:paraId="21D0420A" w14:textId="77777777">
      <w:pPr>
        <w:spacing w:before="120" w:after="120"/>
        <w:ind w:left="851" w:right="851" w:firstLine="709"/>
        <w:jc w:val="both"/>
        <w:rPr>
          <w:rFonts w:ascii="Times New Roman" w:hAnsi="Times New Roman" w:eastAsia="Times New Roman" w:cs="Times New Roman"/>
          <w:sz w:val="26"/>
          <w:szCs w:val="26"/>
          <w:lang w:eastAsia="es-ES"/>
        </w:rPr>
      </w:pPr>
    </w:p>
    <w:p w:rsidRPr="00AE1B2B" w:rsidR="009D3FB5" w:rsidP="00163B94" w:rsidRDefault="009D3FB5" w14:paraId="4D82413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Cabe mencionar que el Consejo Superior acuerda en sesión 82-2020 celebrada el 20 de agosto del 2020, artículo XLI emitir las circulares 193-2020 </w:t>
      </w:r>
      <w:r w:rsidRPr="00AE1B2B">
        <w:rPr>
          <w:rFonts w:ascii="Times New Roman" w:hAnsi="Times New Roman" w:cs="Times New Roman"/>
          <w:i/>
          <w:iCs/>
          <w:sz w:val="26"/>
          <w:szCs w:val="26"/>
        </w:rPr>
        <w:t>“Responsabilidades asociadas al Modelo de Sostenibilidad y Seguimientos de los proyectos de rediseño de oficinas”</w:t>
      </w:r>
      <w:r w:rsidRPr="00AE1B2B">
        <w:rPr>
          <w:rFonts w:ascii="Times New Roman" w:hAnsi="Times New Roman" w:cs="Times New Roman"/>
          <w:sz w:val="26"/>
          <w:szCs w:val="26"/>
        </w:rPr>
        <w:t xml:space="preserve"> y 194-2020 </w:t>
      </w:r>
      <w:r w:rsidRPr="00AE1B2B">
        <w:rPr>
          <w:rFonts w:ascii="Times New Roman" w:hAnsi="Times New Roman" w:cs="Times New Roman"/>
          <w:i/>
          <w:iCs/>
          <w:sz w:val="26"/>
          <w:szCs w:val="26"/>
        </w:rPr>
        <w:t xml:space="preserve">“Responsabilidades en el cumplimiento de las labores y el rendimiento de todos los servidores del despacho y el régimen disciplinario” </w:t>
      </w:r>
      <w:r w:rsidRPr="00AE1B2B">
        <w:rPr>
          <w:rFonts w:ascii="Times New Roman" w:hAnsi="Times New Roman" w:cs="Times New Roman"/>
          <w:sz w:val="26"/>
          <w:szCs w:val="26"/>
        </w:rPr>
        <w:t>como parte del compromiso institucional en la utilización del modelo de Sostenibilidad, mejora continua.</w:t>
      </w:r>
    </w:p>
    <w:p w:rsidRPr="00AE1B2B" w:rsidR="009D3FB5" w:rsidP="00163B94" w:rsidRDefault="009D3FB5" w14:paraId="190BBA30" w14:textId="77777777">
      <w:pPr>
        <w:spacing w:before="120" w:after="120"/>
        <w:ind w:left="851" w:right="851" w:firstLine="709"/>
        <w:contextualSpacing/>
        <w:jc w:val="both"/>
        <w:rPr>
          <w:rFonts w:ascii="Times New Roman" w:hAnsi="Times New Roman" w:eastAsia="Times New Roman" w:cs="Times New Roman"/>
          <w:sz w:val="26"/>
          <w:szCs w:val="26"/>
          <w:lang w:eastAsia="es-ES"/>
        </w:rPr>
      </w:pPr>
    </w:p>
    <w:p w:rsidRPr="00AE1B2B" w:rsidR="009D3FB5" w:rsidP="00163B94" w:rsidRDefault="009D3FB5" w14:paraId="71F27E8E" w14:textId="77777777">
      <w:pPr>
        <w:spacing w:before="120" w:after="120"/>
        <w:ind w:left="851" w:right="851" w:firstLine="709"/>
        <w:contextualSpacing/>
        <w:jc w:val="both"/>
        <w:rPr>
          <w:rFonts w:ascii="Times New Roman" w:hAnsi="Times New Roman" w:eastAsia="Times New Roman" w:cs="Times New Roman"/>
          <w:sz w:val="26"/>
          <w:szCs w:val="26"/>
          <w:lang w:eastAsia="es-ES"/>
        </w:rPr>
      </w:pPr>
      <w:r w:rsidRPr="00AE1B2B">
        <w:rPr>
          <w:rFonts w:ascii="Times New Roman" w:hAnsi="Times New Roman" w:eastAsia="Times New Roman" w:cs="Times New Roman"/>
          <w:sz w:val="26"/>
          <w:szCs w:val="26"/>
          <w:lang w:eastAsia="es-ES"/>
        </w:rPr>
        <w:t>A continuación, se incluye el resumen de los indicadores recomendados en el informe 656-PLA-RH-MI-2020 para los Juzgados Especializados en Violencia Doméstica.</w:t>
      </w:r>
    </w:p>
    <w:p w:rsidRPr="00AE1B2B" w:rsidR="009D3FB5" w:rsidP="00163B94" w:rsidRDefault="009D3FB5" w14:paraId="7EEDF37C" w14:textId="77777777">
      <w:pPr>
        <w:spacing w:before="120" w:after="120"/>
        <w:ind w:left="851" w:right="851" w:firstLine="709"/>
        <w:contextualSpacing/>
        <w:jc w:val="both"/>
        <w:rPr>
          <w:rFonts w:ascii="Times New Roman" w:hAnsi="Times New Roman" w:eastAsia="Times New Roman" w:cs="Times New Roman"/>
          <w:sz w:val="26"/>
          <w:szCs w:val="26"/>
          <w:highlight w:val="magenta"/>
          <w:lang w:eastAsia="es-ES"/>
        </w:rPr>
      </w:pPr>
    </w:p>
    <w:p w:rsidRPr="00AE1B2B" w:rsidR="009D3FB5" w:rsidP="00163B94" w:rsidRDefault="009D3FB5" w14:paraId="09A2DD74" w14:textId="77777777">
      <w:pPr>
        <w:pStyle w:val="Descripcin"/>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53</w:t>
      </w:r>
      <w:r w:rsidRPr="00AE1B2B">
        <w:rPr>
          <w:rFonts w:ascii="Times New Roman" w:hAnsi="Times New Roman" w:cs="Times New Roman"/>
          <w:sz w:val="26"/>
          <w:szCs w:val="26"/>
        </w:rPr>
        <w:fldChar w:fldCharType="end"/>
      </w:r>
    </w:p>
    <w:p w:rsidRPr="00AE1B2B" w:rsidR="009D3FB5" w:rsidP="00163B94" w:rsidRDefault="009D3FB5" w14:paraId="481652ED" w14:textId="77777777">
      <w:pPr>
        <w:pStyle w:val="Descripcin"/>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Matriz de Indicadores de los Juzgados Especializados en Violencia Doméstica, 2021</w:t>
      </w:r>
    </w:p>
    <w:tbl>
      <w:tblPr>
        <w:tblW w:w="487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827"/>
        <w:gridCol w:w="745"/>
        <w:gridCol w:w="1713"/>
        <w:gridCol w:w="5315"/>
      </w:tblGrid>
      <w:tr w:rsidRPr="00AE1B2B" w:rsidR="00AE1B2B" w:rsidTr="009D3FB5" w14:paraId="56A0CFDF" w14:textId="77777777">
        <w:trPr>
          <w:cantSplit/>
          <w:trHeight w:val="386"/>
          <w:tblHeader/>
          <w:jc w:val="center"/>
        </w:trPr>
        <w:tc>
          <w:tcPr>
            <w:tcW w:w="481" w:type="pct"/>
            <w:shd w:val="clear" w:color="auto" w:fill="002060"/>
            <w:vAlign w:val="center"/>
          </w:tcPr>
          <w:p w:rsidRPr="00AE1B2B" w:rsidR="009D3FB5" w:rsidP="00163B94" w:rsidRDefault="009D3FB5" w14:paraId="1B78393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Categ.</w:t>
            </w:r>
          </w:p>
        </w:tc>
        <w:tc>
          <w:tcPr>
            <w:tcW w:w="433" w:type="pct"/>
            <w:shd w:val="clear" w:color="auto" w:fill="002060"/>
            <w:noWrap/>
            <w:vAlign w:val="center"/>
            <w:hideMark/>
          </w:tcPr>
          <w:p w:rsidRPr="00AE1B2B" w:rsidR="009D3FB5" w:rsidP="00163B94" w:rsidRDefault="009D3FB5" w14:paraId="6E38F5F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N°</w:t>
            </w:r>
          </w:p>
        </w:tc>
        <w:tc>
          <w:tcPr>
            <w:tcW w:w="996" w:type="pct"/>
            <w:shd w:val="clear" w:color="auto" w:fill="002060"/>
            <w:noWrap/>
            <w:vAlign w:val="center"/>
            <w:hideMark/>
          </w:tcPr>
          <w:p w:rsidRPr="00AE1B2B" w:rsidR="009D3FB5" w:rsidP="00163B94" w:rsidRDefault="009D3FB5" w14:paraId="1A41A50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Indicadores</w:t>
            </w:r>
          </w:p>
        </w:tc>
        <w:tc>
          <w:tcPr>
            <w:tcW w:w="3090" w:type="pct"/>
            <w:shd w:val="clear" w:color="auto" w:fill="002060"/>
            <w:noWrap/>
            <w:vAlign w:val="center"/>
            <w:hideMark/>
          </w:tcPr>
          <w:p w:rsidRPr="00AE1B2B" w:rsidR="009D3FB5" w:rsidP="00163B94" w:rsidRDefault="009D3FB5" w14:paraId="6365E22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Detalle</w:t>
            </w:r>
          </w:p>
        </w:tc>
      </w:tr>
      <w:tr w:rsidRPr="00AE1B2B" w:rsidR="00AE1B2B" w:rsidTr="009D3FB5" w14:paraId="54A9CCB1" w14:textId="77777777">
        <w:trPr>
          <w:cantSplit/>
          <w:trHeight w:val="1134"/>
          <w:jc w:val="center"/>
        </w:trPr>
        <w:tc>
          <w:tcPr>
            <w:tcW w:w="481" w:type="pct"/>
            <w:vMerge w:val="restart"/>
            <w:shd w:val="clear" w:color="auto" w:fill="DEE7FE"/>
            <w:textDirection w:val="btLr"/>
          </w:tcPr>
          <w:p w:rsidRPr="00AE1B2B" w:rsidR="009D3FB5" w:rsidP="00163B94" w:rsidRDefault="009D3FB5" w14:paraId="72538D94" w14:textId="77777777">
            <w:pPr>
              <w:spacing w:before="120" w:after="120" w:line="276" w:lineRule="auto"/>
              <w:ind w:left="113" w:right="113"/>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Rendimiento Estadístico</w:t>
            </w:r>
          </w:p>
        </w:tc>
        <w:tc>
          <w:tcPr>
            <w:tcW w:w="433" w:type="pct"/>
            <w:shd w:val="clear" w:color="auto" w:fill="FFFFFF" w:themeFill="background1"/>
            <w:vAlign w:val="center"/>
            <w:hideMark/>
          </w:tcPr>
          <w:p w:rsidRPr="00AE1B2B" w:rsidR="009D3FB5" w:rsidP="00163B94" w:rsidRDefault="009D3FB5" w14:paraId="0A6B525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w:t>
            </w:r>
          </w:p>
        </w:tc>
        <w:tc>
          <w:tcPr>
            <w:tcW w:w="996" w:type="pct"/>
            <w:shd w:val="clear" w:color="auto" w:fill="FFFFFF" w:themeFill="background1"/>
            <w:vAlign w:val="center"/>
            <w:hideMark/>
          </w:tcPr>
          <w:p w:rsidRPr="00AE1B2B" w:rsidR="009D3FB5" w:rsidP="00163B94" w:rsidRDefault="009D3FB5" w14:paraId="52438D5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Entrada total</w:t>
            </w:r>
          </w:p>
        </w:tc>
        <w:tc>
          <w:tcPr>
            <w:tcW w:w="3090" w:type="pct"/>
            <w:shd w:val="clear" w:color="auto" w:fill="auto"/>
            <w:vAlign w:val="center"/>
            <w:hideMark/>
          </w:tcPr>
          <w:p w:rsidRPr="00AE1B2B" w:rsidR="009D3FB5" w:rsidP="00163B94" w:rsidRDefault="009D3FB5" w14:paraId="0491BDAA"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Entrada total está conformada por el resultado de la sumatoria de la cantidad de asuntos nuevos ingresados, los casos reentrados y los testimonios de piezas creados en el mes.</w:t>
            </w:r>
          </w:p>
          <w:p w:rsidRPr="00AE1B2B" w:rsidR="009D3FB5" w:rsidP="00163B94" w:rsidRDefault="009D3FB5" w14:paraId="6625D6A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define del promedio del histórico del despacho del informe estadístico mensual de SIGMA.</w:t>
            </w:r>
          </w:p>
        </w:tc>
      </w:tr>
      <w:tr w:rsidRPr="00AE1B2B" w:rsidR="00AE1B2B" w:rsidTr="009D3FB5" w14:paraId="648551DD" w14:textId="77777777">
        <w:trPr>
          <w:cantSplit/>
          <w:trHeight w:val="20"/>
          <w:jc w:val="center"/>
        </w:trPr>
        <w:tc>
          <w:tcPr>
            <w:tcW w:w="481" w:type="pct"/>
            <w:vMerge/>
            <w:shd w:val="clear" w:color="auto" w:fill="DEE7FE"/>
          </w:tcPr>
          <w:p w:rsidRPr="00AE1B2B" w:rsidR="009D3FB5" w:rsidP="00163B94" w:rsidRDefault="009D3FB5" w14:paraId="111E8955" w14:textId="77777777">
            <w:pPr>
              <w:spacing w:before="120" w:after="120" w:line="276" w:lineRule="auto"/>
              <w:jc w:val="center"/>
              <w:rPr>
                <w:rFonts w:ascii="Times New Roman" w:hAnsi="Times New Roman" w:eastAsia="Times New Roman" w:cs="Times New Roman"/>
                <w:b/>
                <w:bCs/>
                <w:lang w:eastAsia="es-CR"/>
              </w:rPr>
            </w:pPr>
          </w:p>
        </w:tc>
        <w:tc>
          <w:tcPr>
            <w:tcW w:w="433" w:type="pct"/>
            <w:shd w:val="clear" w:color="auto" w:fill="FFFFFF" w:themeFill="background1"/>
            <w:vAlign w:val="center"/>
            <w:hideMark/>
          </w:tcPr>
          <w:p w:rsidRPr="00AE1B2B" w:rsidR="009D3FB5" w:rsidP="00163B94" w:rsidRDefault="009D3FB5" w14:paraId="5B872BF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w:t>
            </w:r>
          </w:p>
        </w:tc>
        <w:tc>
          <w:tcPr>
            <w:tcW w:w="996" w:type="pct"/>
            <w:shd w:val="clear" w:color="auto" w:fill="FFFFFF" w:themeFill="background1"/>
            <w:vAlign w:val="center"/>
            <w:hideMark/>
          </w:tcPr>
          <w:p w:rsidRPr="00AE1B2B" w:rsidR="009D3FB5" w:rsidP="00163B94" w:rsidRDefault="009D3FB5" w14:paraId="6BAF65E5"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Salida</w:t>
            </w:r>
          </w:p>
        </w:tc>
        <w:tc>
          <w:tcPr>
            <w:tcW w:w="3090" w:type="pct"/>
            <w:shd w:val="clear" w:color="auto" w:fill="auto"/>
            <w:vAlign w:val="center"/>
            <w:hideMark/>
          </w:tcPr>
          <w:p w:rsidRPr="00AE1B2B" w:rsidR="009D3FB5" w:rsidP="00163B94" w:rsidRDefault="009D3FB5" w14:paraId="42E4EBFE"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Salida total</w:t>
            </w:r>
            <w:r w:rsidRPr="00AE1B2B">
              <w:rPr>
                <w:rFonts w:ascii="Times New Roman" w:hAnsi="Times New Roman" w:eastAsia="Calibri" w:cs="Times New Roman"/>
              </w:rPr>
              <w:t xml:space="preserve"> </w:t>
            </w:r>
            <w:r w:rsidRPr="00AE1B2B">
              <w:rPr>
                <w:rFonts w:ascii="Times New Roman" w:hAnsi="Times New Roman" w:eastAsia="Times New Roman" w:cs="Times New Roman"/>
                <w:lang w:eastAsia="es-CR"/>
              </w:rPr>
              <w:t xml:space="preserve">está conformada por el resultado de: </w:t>
            </w:r>
            <w:r w:rsidRPr="00AE1B2B">
              <w:rPr>
                <w:rFonts w:ascii="Times New Roman" w:hAnsi="Times New Roman" w:eastAsia="Times New Roman" w:cs="Times New Roman"/>
                <w:i/>
                <w:iCs/>
                <w:lang w:eastAsia="es-CR"/>
              </w:rPr>
              <w:t>Suma casos terminados principales y testimonios de piezas.</w:t>
            </w:r>
          </w:p>
          <w:p w:rsidRPr="00AE1B2B" w:rsidR="009D3FB5" w:rsidP="00163B94" w:rsidRDefault="009D3FB5" w14:paraId="633E350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define del promedio del histórico del despacho del informe estadístico mensual de SIGMA.</w:t>
            </w:r>
          </w:p>
        </w:tc>
      </w:tr>
      <w:tr w:rsidRPr="00AE1B2B" w:rsidR="00AE1B2B" w:rsidTr="009D3FB5" w14:paraId="52BBA5D8" w14:textId="77777777">
        <w:trPr>
          <w:cantSplit/>
          <w:trHeight w:val="20"/>
          <w:jc w:val="center"/>
        </w:trPr>
        <w:tc>
          <w:tcPr>
            <w:tcW w:w="481" w:type="pct"/>
            <w:vMerge/>
            <w:shd w:val="clear" w:color="auto" w:fill="DEE7FE"/>
          </w:tcPr>
          <w:p w:rsidRPr="00AE1B2B" w:rsidR="009D3FB5" w:rsidP="00163B94" w:rsidRDefault="009D3FB5" w14:paraId="69A282F2" w14:textId="77777777">
            <w:pPr>
              <w:spacing w:before="120" w:after="120" w:line="276" w:lineRule="auto"/>
              <w:jc w:val="center"/>
              <w:rPr>
                <w:rFonts w:ascii="Times New Roman" w:hAnsi="Times New Roman" w:eastAsia="Times New Roman" w:cs="Times New Roman"/>
                <w:b/>
                <w:bCs/>
                <w:lang w:eastAsia="es-CR"/>
              </w:rPr>
            </w:pPr>
          </w:p>
        </w:tc>
        <w:tc>
          <w:tcPr>
            <w:tcW w:w="433" w:type="pct"/>
            <w:shd w:val="clear" w:color="auto" w:fill="FFFFFF" w:themeFill="background1"/>
            <w:vAlign w:val="center"/>
            <w:hideMark/>
          </w:tcPr>
          <w:p w:rsidRPr="00AE1B2B" w:rsidR="009D3FB5" w:rsidP="00163B94" w:rsidRDefault="009D3FB5" w14:paraId="1A865AD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w:t>
            </w:r>
          </w:p>
        </w:tc>
        <w:tc>
          <w:tcPr>
            <w:tcW w:w="996" w:type="pct"/>
            <w:shd w:val="clear" w:color="auto" w:fill="FFFFFF" w:themeFill="background1"/>
            <w:vAlign w:val="center"/>
            <w:hideMark/>
          </w:tcPr>
          <w:p w:rsidRPr="00AE1B2B" w:rsidR="009D3FB5" w:rsidP="00163B94" w:rsidRDefault="009D3FB5" w14:paraId="2F57337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Circulante</w:t>
            </w:r>
          </w:p>
        </w:tc>
        <w:tc>
          <w:tcPr>
            <w:tcW w:w="3090" w:type="pct"/>
            <w:shd w:val="clear" w:color="auto" w:fill="auto"/>
            <w:vAlign w:val="center"/>
            <w:hideMark/>
          </w:tcPr>
          <w:p w:rsidRPr="00AE1B2B" w:rsidR="009D3FB5" w:rsidP="00163B94" w:rsidRDefault="009D3FB5" w14:paraId="3F5EE5ED"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Circulante: </w:t>
            </w:r>
            <w:r w:rsidRPr="00AE1B2B">
              <w:rPr>
                <w:rFonts w:ascii="Times New Roman" w:hAnsi="Times New Roman" w:eastAsia="Times New Roman" w:cs="Times New Roman"/>
                <w:i/>
                <w:iCs/>
                <w:lang w:eastAsia="es-CR"/>
              </w:rPr>
              <w:t>(Circulante Inicial + Entradas + Reentrados – Terminados)</w:t>
            </w:r>
          </w:p>
          <w:p w:rsidRPr="00AE1B2B" w:rsidR="009D3FB5" w:rsidP="00163B94" w:rsidRDefault="009D3FB5" w14:paraId="36A792A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El parámetro se define del circulante del despacho al momento del abordaje al despacho. </w:t>
            </w:r>
          </w:p>
          <w:p w:rsidRPr="00AE1B2B" w:rsidR="009D3FB5" w:rsidP="00163B94" w:rsidRDefault="009D3FB5" w14:paraId="55B3186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indicador se subdivide en circulante en trámite y en seguimiento.</w:t>
            </w:r>
          </w:p>
        </w:tc>
      </w:tr>
      <w:tr w:rsidRPr="00AE1B2B" w:rsidR="00AE1B2B" w:rsidTr="009D3FB5" w14:paraId="319B0B41" w14:textId="77777777">
        <w:trPr>
          <w:cantSplit/>
          <w:trHeight w:val="20"/>
          <w:jc w:val="center"/>
        </w:trPr>
        <w:tc>
          <w:tcPr>
            <w:tcW w:w="481" w:type="pct"/>
            <w:vMerge/>
            <w:shd w:val="clear" w:color="auto" w:fill="DEE7FE"/>
          </w:tcPr>
          <w:p w:rsidRPr="00AE1B2B" w:rsidR="009D3FB5" w:rsidP="00163B94" w:rsidRDefault="009D3FB5" w14:paraId="03D6306E" w14:textId="77777777">
            <w:pPr>
              <w:spacing w:before="120" w:after="120" w:line="276" w:lineRule="auto"/>
              <w:jc w:val="center"/>
              <w:rPr>
                <w:rFonts w:ascii="Times New Roman" w:hAnsi="Times New Roman" w:eastAsia="Times New Roman" w:cs="Times New Roman"/>
                <w:b/>
                <w:bCs/>
                <w:lang w:eastAsia="es-CR"/>
              </w:rPr>
            </w:pPr>
          </w:p>
        </w:tc>
        <w:tc>
          <w:tcPr>
            <w:tcW w:w="433" w:type="pct"/>
            <w:shd w:val="clear" w:color="auto" w:fill="auto"/>
            <w:vAlign w:val="center"/>
            <w:hideMark/>
          </w:tcPr>
          <w:p w:rsidRPr="00AE1B2B" w:rsidR="009D3FB5" w:rsidP="00163B94" w:rsidRDefault="009D3FB5" w14:paraId="4B0CA11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4</w:t>
            </w:r>
          </w:p>
        </w:tc>
        <w:tc>
          <w:tcPr>
            <w:tcW w:w="996" w:type="pct"/>
            <w:shd w:val="clear" w:color="auto" w:fill="auto"/>
            <w:vAlign w:val="center"/>
            <w:hideMark/>
          </w:tcPr>
          <w:p w:rsidRPr="00AE1B2B" w:rsidR="009D3FB5" w:rsidP="00163B94" w:rsidRDefault="009D3FB5" w14:paraId="3E8C9A8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Relación salida Total / entrada total </w:t>
            </w:r>
          </w:p>
        </w:tc>
        <w:tc>
          <w:tcPr>
            <w:tcW w:w="3090" w:type="pct"/>
            <w:shd w:val="clear" w:color="auto" w:fill="auto"/>
            <w:vAlign w:val="center"/>
            <w:hideMark/>
          </w:tcPr>
          <w:p w:rsidRPr="00AE1B2B" w:rsidR="009D3FB5" w:rsidP="00163B94" w:rsidRDefault="009D3FB5" w14:paraId="33108568"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Cálculo: </w:t>
            </w:r>
            <w:r w:rsidRPr="00AE1B2B">
              <w:rPr>
                <w:rFonts w:ascii="Times New Roman" w:hAnsi="Times New Roman" w:eastAsia="Times New Roman" w:cs="Times New Roman"/>
                <w:i/>
                <w:iCs/>
                <w:lang w:eastAsia="es-CR"/>
              </w:rPr>
              <w:t>(Salidas/ Entradas) *100</w:t>
            </w:r>
          </w:p>
          <w:p w:rsidRPr="00AE1B2B" w:rsidR="009D3FB5" w:rsidP="00163B94" w:rsidRDefault="009D3FB5" w14:paraId="1BDABD4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está definido en 90% a 100%</w:t>
            </w:r>
          </w:p>
        </w:tc>
      </w:tr>
      <w:tr w:rsidRPr="00AE1B2B" w:rsidR="00AE1B2B" w:rsidTr="009D3FB5" w14:paraId="3911BCEA" w14:textId="77777777">
        <w:trPr>
          <w:cantSplit/>
          <w:trHeight w:val="1134"/>
          <w:jc w:val="center"/>
        </w:trPr>
        <w:tc>
          <w:tcPr>
            <w:tcW w:w="481" w:type="pct"/>
            <w:vMerge w:val="restart"/>
            <w:shd w:val="clear" w:color="auto" w:fill="EDEDED" w:themeFill="accent3" w:themeFillTint="33"/>
            <w:textDirection w:val="btLr"/>
          </w:tcPr>
          <w:p w:rsidRPr="00AE1B2B" w:rsidR="009D3FB5" w:rsidP="00163B94" w:rsidRDefault="009D3FB5" w14:paraId="240B8FA3" w14:textId="77777777">
            <w:pPr>
              <w:spacing w:before="120" w:after="120" w:line="276" w:lineRule="auto"/>
              <w:ind w:left="113" w:right="113"/>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Plazos</w:t>
            </w:r>
          </w:p>
        </w:tc>
        <w:tc>
          <w:tcPr>
            <w:tcW w:w="433" w:type="pct"/>
            <w:shd w:val="clear" w:color="auto" w:fill="FFFFFF" w:themeFill="background1"/>
            <w:vAlign w:val="center"/>
          </w:tcPr>
          <w:p w:rsidRPr="00AE1B2B" w:rsidR="009D3FB5" w:rsidP="00163B94" w:rsidRDefault="009D3FB5" w14:paraId="6A921D9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5</w:t>
            </w:r>
          </w:p>
        </w:tc>
        <w:tc>
          <w:tcPr>
            <w:tcW w:w="996" w:type="pct"/>
            <w:shd w:val="clear" w:color="auto" w:fill="FFFFFF" w:themeFill="background1"/>
            <w:vAlign w:val="center"/>
          </w:tcPr>
          <w:p w:rsidRPr="00AE1B2B" w:rsidR="009D3FB5" w:rsidP="00163B94" w:rsidRDefault="009D3FB5" w14:paraId="0285ADE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para resolver demandas nuevas</w:t>
            </w:r>
          </w:p>
        </w:tc>
        <w:tc>
          <w:tcPr>
            <w:tcW w:w="3090" w:type="pct"/>
            <w:shd w:val="clear" w:color="auto" w:fill="auto"/>
            <w:vAlign w:val="center"/>
          </w:tcPr>
          <w:p w:rsidRPr="00AE1B2B" w:rsidR="009D3FB5" w:rsidP="00163B94" w:rsidRDefault="009D3FB5" w14:paraId="5D6D496A"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(Fecha actual - fecha de la demanda más antigua pendiente de la primera resolución)</w:t>
            </w:r>
          </w:p>
          <w:p w:rsidRPr="00AE1B2B" w:rsidR="009D3FB5" w:rsidP="00163B94" w:rsidRDefault="009D3FB5" w14:paraId="44A640D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tc>
      </w:tr>
      <w:tr w:rsidRPr="00AE1B2B" w:rsidR="00AE1B2B" w:rsidTr="009D3FB5" w14:paraId="48C6A384" w14:textId="77777777">
        <w:trPr>
          <w:cantSplit/>
          <w:trHeight w:val="1134"/>
          <w:jc w:val="center"/>
        </w:trPr>
        <w:tc>
          <w:tcPr>
            <w:tcW w:w="481" w:type="pct"/>
            <w:vMerge/>
            <w:shd w:val="clear" w:color="auto" w:fill="EDEDED" w:themeFill="accent3" w:themeFillTint="33"/>
            <w:textDirection w:val="btLr"/>
          </w:tcPr>
          <w:p w:rsidRPr="00AE1B2B" w:rsidR="009D3FB5" w:rsidP="00163B94" w:rsidRDefault="009D3FB5" w14:paraId="788923D0" w14:textId="77777777">
            <w:pPr>
              <w:spacing w:before="120" w:after="120" w:line="276" w:lineRule="auto"/>
              <w:ind w:left="113" w:right="113"/>
              <w:jc w:val="center"/>
              <w:rPr>
                <w:rFonts w:ascii="Times New Roman" w:hAnsi="Times New Roman" w:eastAsia="Times New Roman" w:cs="Times New Roman"/>
                <w:b/>
                <w:bCs/>
                <w:lang w:eastAsia="es-CR"/>
              </w:rPr>
            </w:pPr>
          </w:p>
        </w:tc>
        <w:tc>
          <w:tcPr>
            <w:tcW w:w="433" w:type="pct"/>
            <w:shd w:val="clear" w:color="auto" w:fill="FFFFFF" w:themeFill="background1"/>
            <w:vAlign w:val="center"/>
          </w:tcPr>
          <w:p w:rsidRPr="00AE1B2B" w:rsidR="009D3FB5" w:rsidP="00163B94" w:rsidRDefault="009D3FB5" w14:paraId="402FD55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6</w:t>
            </w:r>
          </w:p>
        </w:tc>
        <w:tc>
          <w:tcPr>
            <w:tcW w:w="996" w:type="pct"/>
            <w:shd w:val="clear" w:color="auto" w:fill="FFFFFF" w:themeFill="background1"/>
            <w:vAlign w:val="center"/>
          </w:tcPr>
          <w:p w:rsidRPr="00AE1B2B" w:rsidR="009D3FB5" w:rsidP="00163B94" w:rsidRDefault="009D3FB5" w14:paraId="0618C20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para resolver escritos</w:t>
            </w:r>
          </w:p>
        </w:tc>
        <w:tc>
          <w:tcPr>
            <w:tcW w:w="3090" w:type="pct"/>
            <w:shd w:val="clear" w:color="auto" w:fill="auto"/>
            <w:vAlign w:val="center"/>
          </w:tcPr>
          <w:p w:rsidRPr="00AE1B2B" w:rsidR="009D3FB5" w:rsidP="00163B94" w:rsidRDefault="009D3FB5" w14:paraId="7ED8425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Se subdivide en dos mediciones: </w:t>
            </w:r>
          </w:p>
          <w:p w:rsidRPr="00AE1B2B" w:rsidR="009D3FB5" w:rsidP="00163B94" w:rsidRDefault="009D3FB5" w14:paraId="4975B522" w14:textId="77777777">
            <w:pPr>
              <w:spacing w:before="120" w:after="120" w:line="276" w:lineRule="auto"/>
              <w:rPr>
                <w:rFonts w:ascii="Times New Roman" w:hAnsi="Times New Roman" w:eastAsia="Times New Roman" w:cs="Times New Roman"/>
                <w:lang w:eastAsia="es-CR"/>
              </w:rPr>
            </w:pPr>
          </w:p>
          <w:p w:rsidRPr="00AE1B2B" w:rsidR="009D3FB5" w:rsidP="00163B94" w:rsidRDefault="009D3FB5" w14:paraId="43B2B5BD"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Escritos donde el expediente se encuentra fuera del Despacho:</w:t>
            </w:r>
          </w:p>
          <w:p w:rsidRPr="00AE1B2B" w:rsidR="009D3FB5" w:rsidP="00163B94" w:rsidRDefault="009D3FB5" w14:paraId="39F2EC14" w14:textId="77777777">
            <w:pPr>
              <w:spacing w:before="120" w:after="120" w:line="276" w:lineRule="auto"/>
              <w:rPr>
                <w:rFonts w:ascii="Times New Roman" w:hAnsi="Times New Roman" w:eastAsia="Times New Roman" w:cs="Times New Roman"/>
                <w:b/>
                <w:bCs/>
                <w:lang w:eastAsia="es-CR"/>
              </w:rPr>
            </w:pPr>
          </w:p>
          <w:p w:rsidRPr="00AE1B2B" w:rsidR="009D3FB5" w:rsidP="00163B94" w:rsidRDefault="009D3FB5" w14:paraId="37577BA1"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1) Indicador nuevo, se calcula: (</w:t>
            </w:r>
            <w:r w:rsidRPr="00AE1B2B">
              <w:rPr>
                <w:rFonts w:ascii="Times New Roman" w:hAnsi="Times New Roman" w:eastAsia="Times New Roman" w:cs="Times New Roman"/>
                <w:i/>
                <w:iCs/>
                <w:lang w:eastAsia="es-CR"/>
              </w:rPr>
              <w:t>Fecha actual - fecha del escrito más antiguo pendiente de resolver de expedientes que se encuentran fuera del despacho)</w:t>
            </w:r>
          </w:p>
          <w:p w:rsidRPr="00AE1B2B" w:rsidR="009D3FB5" w:rsidP="00163B94" w:rsidRDefault="009D3FB5" w14:paraId="322EAA7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bandeja de Escritos del Escritorio Virtual</w:t>
            </w:r>
          </w:p>
          <w:p w:rsidRPr="00AE1B2B" w:rsidR="009D3FB5" w:rsidP="00163B94" w:rsidRDefault="009D3FB5" w14:paraId="434DEB3F"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lang w:eastAsia="es-CR"/>
              </w:rPr>
              <w:t xml:space="preserve">Se deben revisar todos los Escritos que se encuentran tramitándose, como los que se encuentran pendientes de distribuir, todas la ubicaciones, todos los Auxiliares, Estado de Expediente: </w:t>
            </w:r>
            <w:r w:rsidRPr="00AE1B2B">
              <w:rPr>
                <w:rFonts w:ascii="Times New Roman" w:hAnsi="Times New Roman" w:eastAsia="Times New Roman" w:cs="Times New Roman"/>
                <w:b/>
                <w:bCs/>
                <w:lang w:eastAsia="es-CR"/>
              </w:rPr>
              <w:t>En Alzada.</w:t>
            </w:r>
          </w:p>
          <w:p w:rsidRPr="00AE1B2B" w:rsidR="009D3FB5" w:rsidP="00163B94" w:rsidRDefault="009D3FB5" w14:paraId="1F46B830" w14:textId="77777777">
            <w:pPr>
              <w:spacing w:before="120" w:after="120" w:line="276" w:lineRule="auto"/>
              <w:rPr>
                <w:rFonts w:ascii="Times New Roman" w:hAnsi="Times New Roman" w:eastAsia="Times New Roman" w:cs="Times New Roman"/>
                <w:lang w:eastAsia="es-CR"/>
              </w:rPr>
            </w:pPr>
          </w:p>
          <w:p w:rsidRPr="00AE1B2B" w:rsidR="009D3FB5" w:rsidP="00163B94" w:rsidRDefault="009D3FB5" w14:paraId="7714DD4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Escritos donde el expediente se encuentra en el Despacho:</w:t>
            </w:r>
          </w:p>
          <w:p w:rsidRPr="00AE1B2B" w:rsidR="009D3FB5" w:rsidP="00163B94" w:rsidRDefault="009D3FB5" w14:paraId="7679F6CF"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2) Se calcula: </w:t>
            </w:r>
            <w:r w:rsidRPr="00AE1B2B">
              <w:rPr>
                <w:rFonts w:ascii="Times New Roman" w:hAnsi="Times New Roman" w:eastAsia="Times New Roman" w:cs="Times New Roman"/>
                <w:i/>
                <w:iCs/>
                <w:lang w:eastAsia="es-CR"/>
              </w:rPr>
              <w:t>(Fecha actual - fecha del escrito más antiguo pendiente de resolver de los que están en el despacho)</w:t>
            </w:r>
          </w:p>
          <w:p w:rsidRPr="00AE1B2B" w:rsidR="009D3FB5" w:rsidP="00163B94" w:rsidRDefault="009D3FB5" w14:paraId="3FFE538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bandeja de Escritos del Escritorio Virtual</w:t>
            </w:r>
          </w:p>
          <w:p w:rsidRPr="00AE1B2B" w:rsidR="009D3FB5" w:rsidP="00163B94" w:rsidRDefault="009D3FB5" w14:paraId="1AD6D39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lang w:eastAsia="es-CR"/>
              </w:rPr>
              <w:t xml:space="preserve">Se deben revisar todos los Escritos que se encuentran Tramitándose, como los que se encuentran pendientes de distribuir. Todas la Ubicaciones, todos los Auxiliares, estado de expediente: </w:t>
            </w:r>
            <w:r w:rsidRPr="00AE1B2B">
              <w:rPr>
                <w:rFonts w:ascii="Times New Roman" w:hAnsi="Times New Roman" w:eastAsia="Times New Roman" w:cs="Times New Roman"/>
                <w:b/>
                <w:bCs/>
                <w:lang w:eastAsia="es-CR"/>
              </w:rPr>
              <w:t>En Trámite, Inactivo, entre otros.</w:t>
            </w:r>
          </w:p>
          <w:p w:rsidRPr="00AE1B2B" w:rsidR="009D3FB5" w:rsidP="00163B94" w:rsidRDefault="009D3FB5" w14:paraId="3E7FD2CC" w14:textId="77777777">
            <w:pPr>
              <w:spacing w:before="120" w:after="120" w:line="276" w:lineRule="auto"/>
              <w:rPr>
                <w:rFonts w:ascii="Times New Roman" w:hAnsi="Times New Roman" w:eastAsia="Times New Roman" w:cs="Times New Roman"/>
                <w:lang w:eastAsia="es-CR"/>
              </w:rPr>
            </w:pPr>
          </w:p>
        </w:tc>
      </w:tr>
      <w:tr w:rsidRPr="00AE1B2B" w:rsidR="00AE1B2B" w:rsidTr="009D3FB5" w14:paraId="205E96FB" w14:textId="77777777">
        <w:trPr>
          <w:cantSplit/>
          <w:trHeight w:val="1134"/>
          <w:jc w:val="center"/>
        </w:trPr>
        <w:tc>
          <w:tcPr>
            <w:tcW w:w="481" w:type="pct"/>
            <w:vMerge/>
            <w:shd w:val="clear" w:color="auto" w:fill="EDEDED" w:themeFill="accent3" w:themeFillTint="33"/>
            <w:textDirection w:val="btLr"/>
          </w:tcPr>
          <w:p w:rsidRPr="00AE1B2B" w:rsidR="009D3FB5" w:rsidP="00163B94" w:rsidRDefault="009D3FB5" w14:paraId="077BDCC4" w14:textId="77777777">
            <w:pPr>
              <w:spacing w:before="120" w:after="120" w:line="276" w:lineRule="auto"/>
              <w:ind w:left="113" w:right="113"/>
              <w:jc w:val="center"/>
              <w:rPr>
                <w:rFonts w:ascii="Times New Roman" w:hAnsi="Times New Roman" w:eastAsia="Times New Roman" w:cs="Times New Roman"/>
                <w:b/>
                <w:bCs/>
                <w:lang w:eastAsia="es-CR"/>
              </w:rPr>
            </w:pPr>
          </w:p>
        </w:tc>
        <w:tc>
          <w:tcPr>
            <w:tcW w:w="433" w:type="pct"/>
            <w:shd w:val="clear" w:color="auto" w:fill="FFFFFF" w:themeFill="background1"/>
            <w:vAlign w:val="center"/>
            <w:hideMark/>
          </w:tcPr>
          <w:p w:rsidRPr="00AE1B2B" w:rsidR="009D3FB5" w:rsidP="00163B94" w:rsidRDefault="009D3FB5" w14:paraId="35D10E9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7</w:t>
            </w:r>
          </w:p>
        </w:tc>
        <w:tc>
          <w:tcPr>
            <w:tcW w:w="996" w:type="pct"/>
            <w:shd w:val="clear" w:color="auto" w:fill="FFFFFF" w:themeFill="background1"/>
            <w:vAlign w:val="center"/>
            <w:hideMark/>
          </w:tcPr>
          <w:p w:rsidRPr="00AE1B2B" w:rsidR="009D3FB5" w:rsidP="00163B94" w:rsidRDefault="009D3FB5" w14:paraId="30288F7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espera de dictado de sentencia</w:t>
            </w:r>
          </w:p>
        </w:tc>
        <w:tc>
          <w:tcPr>
            <w:tcW w:w="3090" w:type="pct"/>
            <w:shd w:val="clear" w:color="auto" w:fill="auto"/>
            <w:vAlign w:val="center"/>
            <w:hideMark/>
          </w:tcPr>
          <w:p w:rsidRPr="00AE1B2B" w:rsidR="009D3FB5" w:rsidP="00163B94" w:rsidRDefault="009D3FB5" w14:paraId="1F14AA5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es la fecha del expediente más antiguo pendiente de fallo registrada en el despacho, se obtiene del libro de pase a fallo y Mejora de Pase a Fallo.</w:t>
            </w:r>
          </w:p>
          <w:p w:rsidRPr="00AE1B2B" w:rsidR="009D3FB5" w:rsidP="00163B94" w:rsidRDefault="009D3FB5" w14:paraId="76D68FFB" w14:textId="77777777">
            <w:pPr>
              <w:spacing w:before="120" w:after="120" w:line="276" w:lineRule="auto"/>
              <w:rPr>
                <w:rFonts w:ascii="Times New Roman" w:hAnsi="Times New Roman" w:cs="Times New Roman"/>
                <w:lang w:eastAsia="es-CR"/>
              </w:rPr>
            </w:pPr>
            <w:r w:rsidRPr="00AE1B2B">
              <w:rPr>
                <w:rFonts w:ascii="Times New Roman" w:hAnsi="Times New Roman" w:eastAsia="Times New Roman" w:cs="Times New Roman"/>
                <w:lang w:eastAsia="es-CR"/>
              </w:rPr>
              <w:t xml:space="preserve">El parámetro establecido es el plazo mayor de ley, en este caso 5 días de conformidad con el artículo 14 de la Ley contra la Violencia. </w:t>
            </w:r>
          </w:p>
        </w:tc>
      </w:tr>
      <w:tr w:rsidRPr="00AE1B2B" w:rsidR="00AE1B2B" w:rsidTr="009D3FB5" w14:paraId="0538C411" w14:textId="77777777">
        <w:trPr>
          <w:cantSplit/>
          <w:trHeight w:val="20"/>
          <w:jc w:val="center"/>
        </w:trPr>
        <w:tc>
          <w:tcPr>
            <w:tcW w:w="481" w:type="pct"/>
            <w:vMerge/>
            <w:shd w:val="clear" w:color="auto" w:fill="EDEDED" w:themeFill="accent3" w:themeFillTint="33"/>
          </w:tcPr>
          <w:p w:rsidRPr="00AE1B2B" w:rsidR="009D3FB5" w:rsidP="00163B94" w:rsidRDefault="009D3FB5" w14:paraId="67D2EC54" w14:textId="77777777">
            <w:pPr>
              <w:spacing w:before="120" w:after="120" w:line="276" w:lineRule="auto"/>
              <w:jc w:val="center"/>
              <w:rPr>
                <w:rFonts w:ascii="Times New Roman" w:hAnsi="Times New Roman" w:eastAsia="Times New Roman" w:cs="Times New Roman"/>
                <w:b/>
                <w:bCs/>
                <w:lang w:eastAsia="es-CR"/>
              </w:rPr>
            </w:pPr>
          </w:p>
        </w:tc>
        <w:tc>
          <w:tcPr>
            <w:tcW w:w="433" w:type="pct"/>
            <w:shd w:val="clear" w:color="auto" w:fill="FFFFFF" w:themeFill="background1"/>
            <w:vAlign w:val="center"/>
            <w:hideMark/>
          </w:tcPr>
          <w:p w:rsidRPr="00AE1B2B" w:rsidR="009D3FB5" w:rsidP="00163B94" w:rsidRDefault="009D3FB5" w14:paraId="21C147D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8</w:t>
            </w:r>
          </w:p>
        </w:tc>
        <w:tc>
          <w:tcPr>
            <w:tcW w:w="996" w:type="pct"/>
            <w:shd w:val="clear" w:color="auto" w:fill="FFFFFF" w:themeFill="background1"/>
            <w:vAlign w:val="center"/>
            <w:hideMark/>
          </w:tcPr>
          <w:p w:rsidRPr="00AE1B2B" w:rsidR="009D3FB5" w:rsidP="00163B94" w:rsidRDefault="009D3FB5" w14:paraId="0EEE6145"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espera para realización de recepción de prueba o debates (días)</w:t>
            </w:r>
          </w:p>
        </w:tc>
        <w:tc>
          <w:tcPr>
            <w:tcW w:w="3090" w:type="pct"/>
            <w:shd w:val="clear" w:color="auto" w:fill="auto"/>
            <w:vAlign w:val="center"/>
            <w:hideMark/>
          </w:tcPr>
          <w:p w:rsidRPr="00AE1B2B" w:rsidR="009D3FB5" w:rsidP="00163B94" w:rsidRDefault="009D3FB5" w14:paraId="6A165D32"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(Fecha del ultimo señalamiento de audiencia - fecha actual)</w:t>
            </w:r>
          </w:p>
          <w:p w:rsidRPr="00AE1B2B" w:rsidR="009D3FB5" w:rsidP="00163B94" w:rsidRDefault="009D3FB5" w14:paraId="77022BC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Agenda Cronos, en “Buscar Apuntes”, búsqueda por criterio por rango de fecha y se obtiene el último señalamiento a Audiencia.</w:t>
            </w:r>
          </w:p>
          <w:p w:rsidRPr="00AE1B2B" w:rsidR="009D3FB5" w:rsidP="00163B94" w:rsidRDefault="009D3FB5" w14:paraId="2956E26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al momento del abordaje.</w:t>
            </w:r>
          </w:p>
        </w:tc>
      </w:tr>
      <w:tr w:rsidRPr="00AE1B2B" w:rsidR="00AE1B2B" w:rsidTr="009D3FB5" w14:paraId="3E3B900B" w14:textId="77777777">
        <w:trPr>
          <w:cantSplit/>
          <w:trHeight w:val="20"/>
          <w:jc w:val="center"/>
        </w:trPr>
        <w:tc>
          <w:tcPr>
            <w:tcW w:w="481" w:type="pct"/>
            <w:vMerge/>
            <w:shd w:val="clear" w:color="auto" w:fill="EDEDED" w:themeFill="accent3" w:themeFillTint="33"/>
          </w:tcPr>
          <w:p w:rsidRPr="00AE1B2B" w:rsidR="009D3FB5" w:rsidP="00163B94" w:rsidRDefault="009D3FB5" w14:paraId="6DC6858F" w14:textId="77777777">
            <w:pPr>
              <w:spacing w:before="120" w:after="120" w:line="276" w:lineRule="auto"/>
              <w:jc w:val="center"/>
              <w:rPr>
                <w:rFonts w:ascii="Times New Roman" w:hAnsi="Times New Roman" w:eastAsia="Times New Roman" w:cs="Times New Roman"/>
                <w:b/>
                <w:bCs/>
                <w:lang w:eastAsia="es-CR"/>
              </w:rPr>
            </w:pPr>
          </w:p>
        </w:tc>
        <w:tc>
          <w:tcPr>
            <w:tcW w:w="433" w:type="pct"/>
            <w:shd w:val="clear" w:color="auto" w:fill="FFFFFF" w:themeFill="background1"/>
            <w:vAlign w:val="center"/>
          </w:tcPr>
          <w:p w:rsidRPr="00AE1B2B" w:rsidR="009D3FB5" w:rsidP="00163B94" w:rsidRDefault="009D3FB5" w14:paraId="73FEA06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9</w:t>
            </w:r>
          </w:p>
        </w:tc>
        <w:tc>
          <w:tcPr>
            <w:tcW w:w="996" w:type="pct"/>
            <w:shd w:val="clear" w:color="auto" w:fill="FFFFFF" w:themeFill="background1"/>
            <w:vAlign w:val="center"/>
          </w:tcPr>
          <w:p w:rsidRPr="00AE1B2B" w:rsidR="009D3FB5" w:rsidP="00163B94" w:rsidRDefault="009D3FB5" w14:paraId="0A5D81F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de espera de firma de resoluciones</w:t>
            </w:r>
          </w:p>
        </w:tc>
        <w:tc>
          <w:tcPr>
            <w:tcW w:w="3090" w:type="pct"/>
            <w:shd w:val="clear" w:color="auto" w:fill="auto"/>
            <w:vAlign w:val="center"/>
          </w:tcPr>
          <w:p w:rsidRPr="00AE1B2B" w:rsidR="009D3FB5" w:rsidP="00163B94" w:rsidRDefault="009D3FB5" w14:paraId="404EB64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Plazo de Espera de Firma Resoluciones del Despacho</w:t>
            </w:r>
          </w:p>
          <w:p w:rsidRPr="00AE1B2B" w:rsidR="009D3FB5" w:rsidP="00163B94" w:rsidRDefault="009D3FB5" w14:paraId="26B345FE"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(Fecha actual- fecha de pase a firma más antigua del documento pendiente de firma)</w:t>
            </w:r>
          </w:p>
          <w:p w:rsidRPr="00AE1B2B" w:rsidR="009D3FB5" w:rsidP="00163B94" w:rsidRDefault="009D3FB5" w14:paraId="4690DB5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se obtiene con el resultado de la fecha actual menos la fecha del pase a firma más antigua del documento pendiente de firma</w:t>
            </w:r>
          </w:p>
        </w:tc>
      </w:tr>
      <w:tr w:rsidRPr="00AE1B2B" w:rsidR="00AE1B2B" w:rsidTr="009D3FB5" w14:paraId="19518F63" w14:textId="77777777">
        <w:trPr>
          <w:cantSplit/>
          <w:trHeight w:val="20"/>
          <w:jc w:val="center"/>
        </w:trPr>
        <w:tc>
          <w:tcPr>
            <w:tcW w:w="481" w:type="pct"/>
            <w:vMerge/>
            <w:shd w:val="clear" w:color="auto" w:fill="EDEDED" w:themeFill="accent3" w:themeFillTint="33"/>
          </w:tcPr>
          <w:p w:rsidRPr="00AE1B2B" w:rsidR="009D3FB5" w:rsidP="00163B94" w:rsidRDefault="009D3FB5" w14:paraId="0E11BE01" w14:textId="77777777">
            <w:pPr>
              <w:spacing w:before="120" w:after="120" w:line="276" w:lineRule="auto"/>
              <w:jc w:val="center"/>
              <w:rPr>
                <w:rFonts w:ascii="Times New Roman" w:hAnsi="Times New Roman" w:eastAsia="Times New Roman" w:cs="Times New Roman"/>
                <w:b/>
                <w:bCs/>
                <w:lang w:eastAsia="es-CR"/>
              </w:rPr>
            </w:pPr>
          </w:p>
        </w:tc>
        <w:tc>
          <w:tcPr>
            <w:tcW w:w="433" w:type="pct"/>
            <w:shd w:val="clear" w:color="auto" w:fill="FFFFFF" w:themeFill="background1"/>
            <w:vAlign w:val="center"/>
          </w:tcPr>
          <w:p w:rsidRPr="00AE1B2B" w:rsidR="009D3FB5" w:rsidP="00163B94" w:rsidRDefault="009D3FB5" w14:paraId="59B2F53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10</w:t>
            </w:r>
          </w:p>
        </w:tc>
        <w:tc>
          <w:tcPr>
            <w:tcW w:w="996" w:type="pct"/>
            <w:shd w:val="clear" w:color="auto" w:fill="FFFFFF" w:themeFill="background1"/>
            <w:vAlign w:val="center"/>
          </w:tcPr>
          <w:p w:rsidRPr="00AE1B2B" w:rsidR="009D3FB5" w:rsidP="00163B94" w:rsidRDefault="009D3FB5" w14:paraId="417547EB"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para resolución de mantener medidas de protección provisionales con oposición</w:t>
            </w:r>
          </w:p>
        </w:tc>
        <w:tc>
          <w:tcPr>
            <w:tcW w:w="3090" w:type="pct"/>
            <w:shd w:val="clear" w:color="auto" w:fill="auto"/>
            <w:vAlign w:val="center"/>
          </w:tcPr>
          <w:p w:rsidRPr="00AE1B2B" w:rsidR="009D3FB5" w:rsidP="00163B94" w:rsidRDefault="009D3FB5" w14:paraId="4B54EA8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Plazo entre la entrada de la causa y el dictado de la sentencia en casos donde hubo oposición. </w:t>
            </w:r>
          </w:p>
          <w:p w:rsidRPr="00AE1B2B" w:rsidR="009D3FB5" w:rsidP="00163B94" w:rsidRDefault="009D3FB5" w14:paraId="13B5DC97" w14:textId="77777777">
            <w:pPr>
              <w:spacing w:before="120" w:after="120" w:line="276" w:lineRule="auto"/>
              <w:rPr>
                <w:rFonts w:ascii="Times New Roman" w:hAnsi="Times New Roman" w:eastAsia="Times New Roman" w:cs="Times New Roman"/>
                <w:lang w:eastAsia="es-CR"/>
              </w:rPr>
            </w:pPr>
          </w:p>
          <w:p w:rsidRPr="00AE1B2B" w:rsidR="009D3FB5" w:rsidP="00163B94" w:rsidRDefault="009D3FB5" w14:paraId="42DC5264" w14:textId="0F6BB728">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dato se obtiene de la Módulo de pase a fallo del Escritorio Virtual o Libro de Pase a Fallo.</w:t>
            </w:r>
            <w:r w:rsidRPr="00AE1B2B" w:rsidR="00BB7720">
              <w:rPr>
                <w:rFonts w:ascii="Times New Roman" w:hAnsi="Times New Roman" w:eastAsia="Times New Roman" w:cs="Times New Roman"/>
                <w:lang w:eastAsia="es-CR"/>
              </w:rPr>
              <w:t xml:space="preserve"> </w:t>
            </w:r>
          </w:p>
        </w:tc>
      </w:tr>
      <w:tr w:rsidRPr="00AE1B2B" w:rsidR="00AE1B2B" w:rsidTr="009D3FB5" w14:paraId="3F1D79FF" w14:textId="77777777">
        <w:trPr>
          <w:cantSplit/>
          <w:trHeight w:val="1134"/>
          <w:jc w:val="center"/>
        </w:trPr>
        <w:tc>
          <w:tcPr>
            <w:tcW w:w="481" w:type="pct"/>
            <w:shd w:val="clear" w:color="auto" w:fill="C5E0B3" w:themeFill="accent6" w:themeFillTint="66"/>
            <w:textDirection w:val="btLr"/>
          </w:tcPr>
          <w:p w:rsidRPr="00AE1B2B" w:rsidR="009D3FB5" w:rsidP="00163B94" w:rsidRDefault="009D3FB5" w14:paraId="68F68042" w14:textId="77777777">
            <w:pPr>
              <w:spacing w:before="120" w:after="120" w:line="276" w:lineRule="auto"/>
              <w:ind w:left="113" w:right="113"/>
              <w:jc w:val="center"/>
              <w:rPr>
                <w:rFonts w:ascii="Times New Roman" w:hAnsi="Times New Roman" w:eastAsia="Times New Roman" w:cs="Times New Roman"/>
                <w:b/>
                <w:bCs/>
                <w:lang w:eastAsia="es-CR"/>
              </w:rPr>
            </w:pPr>
          </w:p>
        </w:tc>
        <w:tc>
          <w:tcPr>
            <w:tcW w:w="433" w:type="pct"/>
            <w:shd w:val="clear" w:color="auto" w:fill="auto"/>
            <w:vAlign w:val="center"/>
          </w:tcPr>
          <w:p w:rsidRPr="00AE1B2B" w:rsidR="009D3FB5" w:rsidP="00163B94" w:rsidRDefault="009D3FB5" w14:paraId="53A3662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11</w:t>
            </w:r>
          </w:p>
        </w:tc>
        <w:tc>
          <w:tcPr>
            <w:tcW w:w="996" w:type="pct"/>
            <w:shd w:val="clear" w:color="auto" w:fill="FFFFFF" w:themeFill="background1"/>
            <w:vAlign w:val="center"/>
          </w:tcPr>
          <w:p w:rsidRPr="00AE1B2B" w:rsidR="009D3FB5" w:rsidP="00163B94" w:rsidRDefault="009D3FB5" w14:paraId="3E91C705"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denuncias nuevas pendientes de tramitar</w:t>
            </w:r>
          </w:p>
        </w:tc>
        <w:tc>
          <w:tcPr>
            <w:tcW w:w="3090" w:type="pct"/>
            <w:shd w:val="clear" w:color="auto" w:fill="auto"/>
            <w:vAlign w:val="center"/>
          </w:tcPr>
          <w:p w:rsidRPr="00AE1B2B" w:rsidR="009D3FB5" w:rsidP="00163B94" w:rsidRDefault="009D3FB5" w14:paraId="798CEC2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Indicador se obtiene del Escritorio Virtual, se deben revisar todas las denuncias que se encuentran pendientes de tramitar por cada una de las personas técnicas judiciales.</w:t>
            </w:r>
          </w:p>
          <w:p w:rsidRPr="00AE1B2B" w:rsidR="009D3FB5" w:rsidP="00163B94" w:rsidRDefault="009D3FB5" w14:paraId="2E4C45C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al momento del abordaje, al revisar la cantidad de asuntos nuevos que ingresan por día y el plazo para resolver demandas nuevas.</w:t>
            </w:r>
          </w:p>
        </w:tc>
      </w:tr>
      <w:tr w:rsidRPr="00AE1B2B" w:rsidR="00AE1B2B" w:rsidTr="009D3FB5" w14:paraId="7D60AD14" w14:textId="77777777">
        <w:trPr>
          <w:cantSplit/>
          <w:trHeight w:val="8251"/>
          <w:jc w:val="center"/>
        </w:trPr>
        <w:tc>
          <w:tcPr>
            <w:tcW w:w="481" w:type="pct"/>
            <w:vMerge w:val="restart"/>
            <w:shd w:val="clear" w:color="auto" w:fill="C5E0B3" w:themeFill="accent6" w:themeFillTint="66"/>
            <w:textDirection w:val="btLr"/>
          </w:tcPr>
          <w:p w:rsidRPr="00AE1B2B" w:rsidR="009D3FB5" w:rsidP="00163B94" w:rsidRDefault="009D3FB5" w14:paraId="68DE06E6" w14:textId="77777777">
            <w:pPr>
              <w:spacing w:before="120" w:after="120" w:line="276" w:lineRule="auto"/>
              <w:ind w:left="113" w:right="113"/>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Operacional</w:t>
            </w:r>
          </w:p>
        </w:tc>
        <w:tc>
          <w:tcPr>
            <w:tcW w:w="433" w:type="pct"/>
            <w:shd w:val="clear" w:color="auto" w:fill="auto"/>
            <w:vAlign w:val="center"/>
            <w:hideMark/>
          </w:tcPr>
          <w:p w:rsidRPr="00AE1B2B" w:rsidR="009D3FB5" w:rsidP="00163B94" w:rsidRDefault="009D3FB5" w14:paraId="28BB8889" w14:textId="77777777">
            <w:pPr>
              <w:spacing w:before="120" w:after="120" w:line="276" w:lineRule="auto"/>
              <w:jc w:val="center"/>
              <w:rPr>
                <w:rFonts w:ascii="Times New Roman" w:hAnsi="Times New Roman" w:eastAsia="Times New Roman" w:cs="Times New Roman"/>
                <w:b/>
                <w:bCs/>
                <w:lang w:eastAsia="es-CR"/>
              </w:rPr>
            </w:pPr>
          </w:p>
          <w:p w:rsidRPr="00AE1B2B" w:rsidR="009D3FB5" w:rsidP="00163B94" w:rsidRDefault="009D3FB5" w14:paraId="3D71C79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12</w:t>
            </w:r>
          </w:p>
        </w:tc>
        <w:tc>
          <w:tcPr>
            <w:tcW w:w="996" w:type="pct"/>
            <w:shd w:val="clear" w:color="auto" w:fill="FFFFFF" w:themeFill="background1"/>
            <w:vAlign w:val="center"/>
            <w:hideMark/>
          </w:tcPr>
          <w:p w:rsidRPr="00AE1B2B" w:rsidR="009D3FB5" w:rsidP="00163B94" w:rsidRDefault="009D3FB5" w14:paraId="51029AD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escritos pendientes de tramitar</w:t>
            </w:r>
          </w:p>
        </w:tc>
        <w:tc>
          <w:tcPr>
            <w:tcW w:w="3090" w:type="pct"/>
            <w:shd w:val="clear" w:color="auto" w:fill="auto"/>
            <w:vAlign w:val="center"/>
            <w:hideMark/>
          </w:tcPr>
          <w:p w:rsidRPr="00AE1B2B" w:rsidR="009D3FB5" w:rsidP="00163B94" w:rsidRDefault="009D3FB5" w14:paraId="6BFAD94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Indicador se subdivide en:</w:t>
            </w:r>
          </w:p>
          <w:p w:rsidRPr="00AE1B2B" w:rsidR="009D3FB5" w:rsidP="00163B94" w:rsidRDefault="009D3FB5" w14:paraId="116F962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1) Lo conforman el total de Escritos pendientes de resolver: </w:t>
            </w:r>
            <w:r w:rsidRPr="00AE1B2B">
              <w:rPr>
                <w:rFonts w:ascii="Times New Roman" w:hAnsi="Times New Roman" w:eastAsia="Times New Roman" w:cs="Times New Roman"/>
                <w:i/>
                <w:iCs/>
                <w:lang w:eastAsia="es-CR"/>
              </w:rPr>
              <w:t>(consulta Tramitándose + consulta Pendiente de Distribuir + consulta Reservado)</w:t>
            </w:r>
          </w:p>
          <w:p w:rsidRPr="00AE1B2B" w:rsidR="009D3FB5" w:rsidP="00163B94" w:rsidRDefault="009D3FB5" w14:paraId="00E0F42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bandeja de Escritos del Escritorio Virtual</w:t>
            </w:r>
          </w:p>
          <w:p w:rsidRPr="00AE1B2B" w:rsidR="009D3FB5" w:rsidP="00163B94" w:rsidRDefault="009D3FB5" w14:paraId="5103FBD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deben revisar todos los Escritos que se encuentran Tramitándose, como los que se encuentran pendientes de distribuir. Todas la Ubicaciones, todos los Auxiliares.</w:t>
            </w:r>
          </w:p>
          <w:p w:rsidRPr="00AE1B2B" w:rsidR="009D3FB5" w:rsidP="00163B94" w:rsidRDefault="009D3FB5" w14:paraId="20E09E3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al momento del abordaje.</w:t>
            </w:r>
          </w:p>
          <w:p w:rsidRPr="00AE1B2B" w:rsidR="009D3FB5" w:rsidP="00163B94" w:rsidRDefault="009D3FB5" w14:paraId="6421F9F2" w14:textId="77777777">
            <w:pPr>
              <w:spacing w:before="120" w:after="120" w:line="276" w:lineRule="auto"/>
              <w:rPr>
                <w:rFonts w:ascii="Times New Roman" w:hAnsi="Times New Roman" w:eastAsia="Times New Roman" w:cs="Times New Roman"/>
                <w:lang w:eastAsia="es-CR"/>
              </w:rPr>
            </w:pPr>
          </w:p>
          <w:p w:rsidRPr="00AE1B2B" w:rsidR="009D3FB5" w:rsidP="00163B94" w:rsidRDefault="009D3FB5" w14:paraId="067E969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 Cantidad de Escritos pendientes de resolver en estado de Trámite</w:t>
            </w:r>
          </w:p>
          <w:p w:rsidRPr="00AE1B2B" w:rsidR="009D3FB5" w:rsidP="00163B94" w:rsidRDefault="009D3FB5" w14:paraId="4163613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bandeja de Escritos del Escritorio Virtual</w:t>
            </w:r>
          </w:p>
          <w:p w:rsidRPr="00AE1B2B" w:rsidR="009D3FB5" w:rsidP="00163B94" w:rsidRDefault="009D3FB5" w14:paraId="1C945BD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lang w:eastAsia="es-CR"/>
              </w:rPr>
              <w:t xml:space="preserve">Se deben revisar todos los Escritos que se encuentran Tramitándose, como los que se encuentran pendientes de distribuir. Todas la Ubicaciones, todos los Auxiliares, Estado de Expediente: </w:t>
            </w:r>
            <w:r w:rsidRPr="00AE1B2B">
              <w:rPr>
                <w:rFonts w:ascii="Times New Roman" w:hAnsi="Times New Roman" w:eastAsia="Times New Roman" w:cs="Times New Roman"/>
                <w:b/>
                <w:bCs/>
                <w:lang w:eastAsia="es-CR"/>
              </w:rPr>
              <w:t>En Trámite</w:t>
            </w:r>
          </w:p>
          <w:p w:rsidRPr="00AE1B2B" w:rsidR="009D3FB5" w:rsidP="00163B94" w:rsidRDefault="009D3FB5" w14:paraId="0293DBB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al momento del abordaje.</w:t>
            </w:r>
          </w:p>
        </w:tc>
      </w:tr>
      <w:tr w:rsidRPr="00AE1B2B" w:rsidR="00AE1B2B" w:rsidTr="009D3FB5" w14:paraId="26C82EC6" w14:textId="77777777">
        <w:trPr>
          <w:cantSplit/>
          <w:trHeight w:val="20"/>
          <w:jc w:val="center"/>
        </w:trPr>
        <w:tc>
          <w:tcPr>
            <w:tcW w:w="481" w:type="pct"/>
            <w:vMerge/>
            <w:shd w:val="clear" w:color="auto" w:fill="C5E0B3" w:themeFill="accent6" w:themeFillTint="66"/>
          </w:tcPr>
          <w:p w:rsidRPr="00AE1B2B" w:rsidR="009D3FB5" w:rsidP="00163B94" w:rsidRDefault="009D3FB5" w14:paraId="00DCE1EA" w14:textId="77777777">
            <w:pPr>
              <w:spacing w:before="120" w:after="120" w:line="276" w:lineRule="auto"/>
              <w:jc w:val="center"/>
              <w:rPr>
                <w:rFonts w:ascii="Times New Roman" w:hAnsi="Times New Roman" w:eastAsia="Times New Roman" w:cs="Times New Roman"/>
                <w:b/>
                <w:bCs/>
                <w:lang w:eastAsia="es-CR"/>
              </w:rPr>
            </w:pPr>
          </w:p>
        </w:tc>
        <w:tc>
          <w:tcPr>
            <w:tcW w:w="433" w:type="pct"/>
            <w:shd w:val="clear" w:color="auto" w:fill="auto"/>
            <w:vAlign w:val="center"/>
          </w:tcPr>
          <w:p w:rsidRPr="00AE1B2B" w:rsidR="009D3FB5" w:rsidP="00163B94" w:rsidRDefault="009D3FB5" w14:paraId="34D38BF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13</w:t>
            </w:r>
          </w:p>
        </w:tc>
        <w:tc>
          <w:tcPr>
            <w:tcW w:w="996" w:type="pct"/>
            <w:shd w:val="clear" w:color="auto" w:fill="auto"/>
            <w:vAlign w:val="center"/>
          </w:tcPr>
          <w:p w:rsidRPr="00AE1B2B" w:rsidR="009D3FB5" w:rsidP="00163B94" w:rsidRDefault="009D3FB5" w14:paraId="32ADB19E"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audiencias pendientes de realización</w:t>
            </w:r>
          </w:p>
        </w:tc>
        <w:tc>
          <w:tcPr>
            <w:tcW w:w="3090" w:type="pct"/>
            <w:shd w:val="clear" w:color="auto" w:fill="auto"/>
            <w:vAlign w:val="center"/>
          </w:tcPr>
          <w:p w:rsidRPr="00AE1B2B" w:rsidR="009D3FB5" w:rsidP="00163B94" w:rsidRDefault="009D3FB5" w14:paraId="4C83B76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Agenda Cronos, en Buscar Apuntes, búsqueda por criterio por rango de fecha y se obtiene la cantidad de señalamiento a Audiencia pendientes de realización</w:t>
            </w:r>
          </w:p>
          <w:p w:rsidRPr="00AE1B2B" w:rsidR="009D3FB5" w:rsidP="00163B94" w:rsidRDefault="009D3FB5" w14:paraId="7420BB8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No se incluyen los seguimientos de Violencia Doméstica</w:t>
            </w:r>
          </w:p>
        </w:tc>
      </w:tr>
      <w:tr w:rsidRPr="00AE1B2B" w:rsidR="00AE1B2B" w:rsidTr="009D3FB5" w14:paraId="30B7BB35" w14:textId="77777777">
        <w:trPr>
          <w:cantSplit/>
          <w:trHeight w:val="20"/>
          <w:jc w:val="center"/>
        </w:trPr>
        <w:tc>
          <w:tcPr>
            <w:tcW w:w="481" w:type="pct"/>
            <w:vMerge/>
            <w:shd w:val="clear" w:color="auto" w:fill="C5E0B3" w:themeFill="accent6" w:themeFillTint="66"/>
          </w:tcPr>
          <w:p w:rsidRPr="00AE1B2B" w:rsidR="009D3FB5" w:rsidP="00163B94" w:rsidRDefault="009D3FB5" w14:paraId="68B722E4" w14:textId="77777777">
            <w:pPr>
              <w:spacing w:before="120" w:after="120" w:line="276" w:lineRule="auto"/>
              <w:jc w:val="center"/>
              <w:rPr>
                <w:rFonts w:ascii="Times New Roman" w:hAnsi="Times New Roman" w:eastAsia="Times New Roman" w:cs="Times New Roman"/>
                <w:b/>
                <w:bCs/>
                <w:lang w:eastAsia="es-CR"/>
              </w:rPr>
            </w:pPr>
          </w:p>
        </w:tc>
        <w:tc>
          <w:tcPr>
            <w:tcW w:w="433" w:type="pct"/>
            <w:shd w:val="clear" w:color="auto" w:fill="auto"/>
            <w:vAlign w:val="center"/>
            <w:hideMark/>
          </w:tcPr>
          <w:p w:rsidRPr="00AE1B2B" w:rsidR="009D3FB5" w:rsidP="00163B94" w:rsidRDefault="009D3FB5" w14:paraId="54C2712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14</w:t>
            </w:r>
          </w:p>
        </w:tc>
        <w:tc>
          <w:tcPr>
            <w:tcW w:w="996" w:type="pct"/>
            <w:shd w:val="clear" w:color="auto" w:fill="auto"/>
            <w:vAlign w:val="center"/>
            <w:hideMark/>
          </w:tcPr>
          <w:p w:rsidRPr="00AE1B2B" w:rsidR="009D3FB5" w:rsidP="00163B94" w:rsidRDefault="009D3FB5" w14:paraId="427C97DA"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efectividad de recepción de prueba</w:t>
            </w:r>
          </w:p>
        </w:tc>
        <w:tc>
          <w:tcPr>
            <w:tcW w:w="3090" w:type="pct"/>
            <w:shd w:val="clear" w:color="auto" w:fill="auto"/>
            <w:vAlign w:val="center"/>
            <w:hideMark/>
          </w:tcPr>
          <w:p w:rsidRPr="00AE1B2B" w:rsidR="009D3FB5" w:rsidP="00163B94" w:rsidRDefault="009D3FB5" w14:paraId="40DA4B21"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(Audiencias realizadas / Audiencias programadas) *100</w:t>
            </w:r>
          </w:p>
          <w:p w:rsidRPr="00AE1B2B" w:rsidR="009D3FB5" w:rsidP="00163B94" w:rsidRDefault="009D3FB5" w14:paraId="11810F0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Agenda Cronos, en Buscar Apuntes, búsqueda por criterio por rango de fecha y se obtiene la cantidad de señalamiento a Audiencia programados.</w:t>
            </w:r>
          </w:p>
          <w:p w:rsidRPr="00AE1B2B" w:rsidR="009D3FB5" w:rsidP="00163B94" w:rsidRDefault="009D3FB5" w14:paraId="1F2A317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al momento del abordaje, para luego estandarizar un porcentaje de efectividad para todos los despachos.</w:t>
            </w:r>
          </w:p>
        </w:tc>
      </w:tr>
      <w:tr w:rsidRPr="00AE1B2B" w:rsidR="00AE1B2B" w:rsidTr="009D3FB5" w14:paraId="6551103B" w14:textId="77777777">
        <w:trPr>
          <w:cantSplit/>
          <w:trHeight w:val="20"/>
          <w:jc w:val="center"/>
        </w:trPr>
        <w:tc>
          <w:tcPr>
            <w:tcW w:w="481" w:type="pct"/>
            <w:vMerge/>
            <w:shd w:val="clear" w:color="auto" w:fill="C5E0B3" w:themeFill="accent6" w:themeFillTint="66"/>
          </w:tcPr>
          <w:p w:rsidRPr="00AE1B2B" w:rsidR="009D3FB5" w:rsidP="00163B94" w:rsidRDefault="009D3FB5" w14:paraId="13959D19" w14:textId="77777777">
            <w:pPr>
              <w:spacing w:before="120" w:after="120" w:line="276" w:lineRule="auto"/>
              <w:jc w:val="center"/>
              <w:rPr>
                <w:rFonts w:ascii="Times New Roman" w:hAnsi="Times New Roman" w:eastAsia="Times New Roman" w:cs="Times New Roman"/>
                <w:b/>
                <w:bCs/>
                <w:lang w:eastAsia="es-CR"/>
              </w:rPr>
            </w:pPr>
          </w:p>
        </w:tc>
        <w:tc>
          <w:tcPr>
            <w:tcW w:w="433" w:type="pct"/>
            <w:shd w:val="clear" w:color="auto" w:fill="auto"/>
            <w:vAlign w:val="center"/>
          </w:tcPr>
          <w:p w:rsidRPr="00AE1B2B" w:rsidR="009D3FB5" w:rsidP="00163B94" w:rsidRDefault="009D3FB5" w14:paraId="6DB88E7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15</w:t>
            </w:r>
          </w:p>
        </w:tc>
        <w:tc>
          <w:tcPr>
            <w:tcW w:w="996" w:type="pct"/>
            <w:shd w:val="clear" w:color="auto" w:fill="auto"/>
            <w:vAlign w:val="center"/>
          </w:tcPr>
          <w:p w:rsidRPr="00AE1B2B" w:rsidR="009D3FB5" w:rsidP="00163B94" w:rsidRDefault="009D3FB5" w14:paraId="5C3D4E0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audiencias de seguimiento</w:t>
            </w:r>
          </w:p>
        </w:tc>
        <w:tc>
          <w:tcPr>
            <w:tcW w:w="3090" w:type="pct"/>
            <w:shd w:val="clear" w:color="auto" w:fill="auto"/>
            <w:vAlign w:val="center"/>
          </w:tcPr>
          <w:p w:rsidRPr="00AE1B2B" w:rsidR="009D3FB5" w:rsidP="00163B94" w:rsidRDefault="009D3FB5" w14:paraId="36E75FC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Cantidad de audiencias de Seguimiento de Violencia Doméstica al mes</w:t>
            </w:r>
          </w:p>
        </w:tc>
      </w:tr>
      <w:tr w:rsidRPr="00AE1B2B" w:rsidR="00AE1B2B" w:rsidTr="009D3FB5" w14:paraId="7700ECA7" w14:textId="77777777">
        <w:trPr>
          <w:cantSplit/>
          <w:trHeight w:val="20"/>
          <w:jc w:val="center"/>
        </w:trPr>
        <w:tc>
          <w:tcPr>
            <w:tcW w:w="481" w:type="pct"/>
            <w:vMerge/>
            <w:shd w:val="clear" w:color="auto" w:fill="C5E0B3" w:themeFill="accent6" w:themeFillTint="66"/>
          </w:tcPr>
          <w:p w:rsidRPr="00AE1B2B" w:rsidR="009D3FB5" w:rsidP="00163B94" w:rsidRDefault="009D3FB5" w14:paraId="71E88C36" w14:textId="77777777">
            <w:pPr>
              <w:spacing w:before="120" w:after="120" w:line="276" w:lineRule="auto"/>
              <w:jc w:val="center"/>
              <w:rPr>
                <w:rFonts w:ascii="Times New Roman" w:hAnsi="Times New Roman" w:eastAsia="Times New Roman" w:cs="Times New Roman"/>
                <w:b/>
                <w:bCs/>
                <w:lang w:eastAsia="es-CR"/>
              </w:rPr>
            </w:pPr>
          </w:p>
        </w:tc>
        <w:tc>
          <w:tcPr>
            <w:tcW w:w="433" w:type="pct"/>
            <w:shd w:val="clear" w:color="auto" w:fill="auto"/>
            <w:vAlign w:val="center"/>
          </w:tcPr>
          <w:p w:rsidRPr="00AE1B2B" w:rsidR="009D3FB5" w:rsidP="00163B94" w:rsidRDefault="009D3FB5" w14:paraId="0157D93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16</w:t>
            </w:r>
          </w:p>
        </w:tc>
        <w:tc>
          <w:tcPr>
            <w:tcW w:w="996" w:type="pct"/>
            <w:shd w:val="clear" w:color="auto" w:fill="auto"/>
            <w:vAlign w:val="center"/>
          </w:tcPr>
          <w:p w:rsidRPr="00AE1B2B" w:rsidR="009D3FB5" w:rsidP="00163B94" w:rsidRDefault="009D3FB5" w14:paraId="22351EE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efectividad audiencias de seguimientos</w:t>
            </w:r>
          </w:p>
        </w:tc>
        <w:tc>
          <w:tcPr>
            <w:tcW w:w="3090" w:type="pct"/>
            <w:shd w:val="clear" w:color="auto" w:fill="auto"/>
            <w:vAlign w:val="center"/>
          </w:tcPr>
          <w:p w:rsidRPr="00AE1B2B" w:rsidR="009D3FB5" w:rsidP="00163B94" w:rsidRDefault="009D3FB5" w14:paraId="6AEE2F92"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(Audiencias de seguimiento individual realizadas / Audiencias de seguimiento programadas) *100</w:t>
            </w:r>
          </w:p>
          <w:p w:rsidRPr="00AE1B2B" w:rsidR="009D3FB5" w:rsidP="00163B94" w:rsidRDefault="009D3FB5" w14:paraId="4EA3E23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Agenda Cronos, en Buscar Apuntes, búsqueda por criterio por rango de fecha y se obtiene la cantidad de señalamiento a Audiencia de seguimiento programados.</w:t>
            </w:r>
          </w:p>
          <w:p w:rsidRPr="00AE1B2B" w:rsidR="009D3FB5" w:rsidP="00163B94" w:rsidRDefault="009D3FB5" w14:paraId="002A6F6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al momento del abordaje, para luego estandarizar un porcentaje de efectividad para todos los despachos.</w:t>
            </w:r>
          </w:p>
        </w:tc>
      </w:tr>
      <w:tr w:rsidRPr="00AE1B2B" w:rsidR="00AE1B2B" w:rsidTr="009D3FB5" w14:paraId="4AA107CB" w14:textId="77777777">
        <w:trPr>
          <w:cantSplit/>
          <w:trHeight w:val="20"/>
          <w:jc w:val="center"/>
        </w:trPr>
        <w:tc>
          <w:tcPr>
            <w:tcW w:w="481" w:type="pct"/>
            <w:vMerge/>
            <w:shd w:val="clear" w:color="auto" w:fill="C5E0B3" w:themeFill="accent6" w:themeFillTint="66"/>
          </w:tcPr>
          <w:p w:rsidRPr="00AE1B2B" w:rsidR="009D3FB5" w:rsidP="00163B94" w:rsidRDefault="009D3FB5" w14:paraId="7983B6E1" w14:textId="77777777">
            <w:pPr>
              <w:spacing w:before="120" w:after="120" w:line="276" w:lineRule="auto"/>
              <w:jc w:val="center"/>
              <w:rPr>
                <w:rFonts w:ascii="Times New Roman" w:hAnsi="Times New Roman" w:eastAsia="Times New Roman" w:cs="Times New Roman"/>
                <w:b/>
                <w:bCs/>
                <w:lang w:eastAsia="es-CR"/>
              </w:rPr>
            </w:pPr>
          </w:p>
        </w:tc>
        <w:tc>
          <w:tcPr>
            <w:tcW w:w="433" w:type="pct"/>
            <w:shd w:val="clear" w:color="auto" w:fill="auto"/>
            <w:vAlign w:val="center"/>
          </w:tcPr>
          <w:p w:rsidRPr="00AE1B2B" w:rsidR="009D3FB5" w:rsidP="00163B94" w:rsidRDefault="009D3FB5" w14:paraId="4D0BD9D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17</w:t>
            </w:r>
          </w:p>
        </w:tc>
        <w:tc>
          <w:tcPr>
            <w:tcW w:w="996" w:type="pct"/>
            <w:shd w:val="clear" w:color="auto" w:fill="auto"/>
            <w:vAlign w:val="center"/>
          </w:tcPr>
          <w:p w:rsidRPr="00AE1B2B" w:rsidR="009D3FB5" w:rsidP="00163B94" w:rsidRDefault="009D3FB5" w14:paraId="5AB0C992"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rendimiento por persona técnica judicial</w:t>
            </w:r>
          </w:p>
        </w:tc>
        <w:tc>
          <w:tcPr>
            <w:tcW w:w="3090" w:type="pct"/>
            <w:shd w:val="clear" w:color="auto" w:fill="auto"/>
            <w:vAlign w:val="center"/>
          </w:tcPr>
          <w:p w:rsidRPr="00AE1B2B" w:rsidR="009D3FB5" w:rsidP="00163B94" w:rsidRDefault="009D3FB5" w14:paraId="4B31D648"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(Cantidad de expedientes pasados a firmar / Cantidad de resoluciones a realizar según cuota de trabajo)</w:t>
            </w:r>
          </w:p>
          <w:p w:rsidRPr="00AE1B2B" w:rsidR="009D3FB5" w:rsidP="00163B94" w:rsidRDefault="009D3FB5" w14:paraId="51F665B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toma en cuenta los días laborados por cada una de las personas técnicas judiciales en el mes, según la cuota de trabajo diaria.</w:t>
            </w:r>
          </w:p>
          <w:p w:rsidRPr="00AE1B2B" w:rsidR="009D3FB5" w:rsidP="00163B94" w:rsidRDefault="009D3FB5" w14:paraId="74A9FED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está definido en 95% a 100%</w:t>
            </w:r>
          </w:p>
          <w:p w:rsidRPr="00AE1B2B" w:rsidR="009D3FB5" w:rsidP="00163B94" w:rsidRDefault="009D3FB5" w14:paraId="38A26F9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indicador se segrega para personas titulares y de apoyo.</w:t>
            </w:r>
          </w:p>
        </w:tc>
      </w:tr>
      <w:tr w:rsidRPr="00AE1B2B" w:rsidR="00AE1B2B" w:rsidTr="009D3FB5" w14:paraId="453598A8" w14:textId="77777777">
        <w:trPr>
          <w:cantSplit/>
          <w:trHeight w:val="20"/>
          <w:jc w:val="center"/>
        </w:trPr>
        <w:tc>
          <w:tcPr>
            <w:tcW w:w="481" w:type="pct"/>
            <w:vMerge/>
            <w:shd w:val="clear" w:color="auto" w:fill="C5E0B3" w:themeFill="accent6" w:themeFillTint="66"/>
          </w:tcPr>
          <w:p w:rsidRPr="00AE1B2B" w:rsidR="009D3FB5" w:rsidP="00163B94" w:rsidRDefault="009D3FB5" w14:paraId="1EB4D934" w14:textId="77777777">
            <w:pPr>
              <w:spacing w:before="120" w:after="120" w:line="276" w:lineRule="auto"/>
              <w:jc w:val="center"/>
              <w:rPr>
                <w:rFonts w:ascii="Times New Roman" w:hAnsi="Times New Roman" w:eastAsia="Times New Roman" w:cs="Times New Roman"/>
                <w:b/>
                <w:bCs/>
                <w:lang w:eastAsia="es-CR"/>
              </w:rPr>
            </w:pPr>
          </w:p>
        </w:tc>
        <w:tc>
          <w:tcPr>
            <w:tcW w:w="433" w:type="pct"/>
            <w:shd w:val="clear" w:color="auto" w:fill="auto"/>
            <w:vAlign w:val="center"/>
            <w:hideMark/>
          </w:tcPr>
          <w:p w:rsidRPr="00AE1B2B" w:rsidR="009D3FB5" w:rsidP="00163B94" w:rsidRDefault="009D3FB5" w14:paraId="1AFD6D4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18</w:t>
            </w:r>
          </w:p>
        </w:tc>
        <w:tc>
          <w:tcPr>
            <w:tcW w:w="996" w:type="pct"/>
            <w:shd w:val="clear" w:color="auto" w:fill="auto"/>
            <w:vAlign w:val="center"/>
            <w:hideMark/>
          </w:tcPr>
          <w:p w:rsidRPr="00AE1B2B" w:rsidR="009D3FB5" w:rsidP="00163B94" w:rsidRDefault="009D3FB5" w14:paraId="0756A21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Cantidad de expedientes pendientes de firma </w:t>
            </w:r>
          </w:p>
        </w:tc>
        <w:tc>
          <w:tcPr>
            <w:tcW w:w="3090" w:type="pct"/>
            <w:shd w:val="clear" w:color="auto" w:fill="auto"/>
            <w:vAlign w:val="center"/>
            <w:hideMark/>
          </w:tcPr>
          <w:p w:rsidRPr="00AE1B2B" w:rsidR="009D3FB5" w:rsidP="00163B94" w:rsidRDefault="009D3FB5" w14:paraId="219485D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 la cantidad de expedientes pendientes de firma por cada persona juzgadora.</w:t>
            </w:r>
          </w:p>
          <w:p w:rsidRPr="00AE1B2B" w:rsidR="009D3FB5" w:rsidP="00163B94" w:rsidRDefault="009D3FB5" w14:paraId="59DFB29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rsidRPr="00AE1B2B" w:rsidR="009D3FB5" w:rsidP="00163B94" w:rsidRDefault="009D3FB5" w14:paraId="75D3461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al momento del abordaje y corresponde a la cantidad de expedientes pasados a firmar por el equipo de personas técnicas judiciales a una persona juzgadora en el plazo de 3 días.</w:t>
            </w:r>
          </w:p>
        </w:tc>
      </w:tr>
      <w:tr w:rsidRPr="00AE1B2B" w:rsidR="00AE1B2B" w:rsidTr="009D3FB5" w14:paraId="62181C4B" w14:textId="77777777">
        <w:trPr>
          <w:cantSplit/>
          <w:trHeight w:val="20"/>
          <w:jc w:val="center"/>
        </w:trPr>
        <w:tc>
          <w:tcPr>
            <w:tcW w:w="481" w:type="pct"/>
            <w:vMerge/>
            <w:shd w:val="clear" w:color="auto" w:fill="C5E0B3" w:themeFill="accent6" w:themeFillTint="66"/>
          </w:tcPr>
          <w:p w:rsidRPr="00AE1B2B" w:rsidR="009D3FB5" w:rsidP="00163B94" w:rsidRDefault="009D3FB5" w14:paraId="342E41DE" w14:textId="77777777">
            <w:pPr>
              <w:spacing w:before="120" w:after="120" w:line="276" w:lineRule="auto"/>
              <w:jc w:val="center"/>
              <w:rPr>
                <w:rFonts w:ascii="Times New Roman" w:hAnsi="Times New Roman" w:eastAsia="Times New Roman" w:cs="Times New Roman"/>
                <w:b/>
                <w:bCs/>
                <w:lang w:eastAsia="es-CR"/>
              </w:rPr>
            </w:pPr>
          </w:p>
        </w:tc>
        <w:tc>
          <w:tcPr>
            <w:tcW w:w="433" w:type="pct"/>
            <w:shd w:val="clear" w:color="auto" w:fill="auto"/>
            <w:vAlign w:val="center"/>
          </w:tcPr>
          <w:p w:rsidRPr="00AE1B2B" w:rsidR="009D3FB5" w:rsidP="00163B94" w:rsidRDefault="009D3FB5" w14:paraId="6DA1BD82"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19</w:t>
            </w:r>
          </w:p>
        </w:tc>
        <w:tc>
          <w:tcPr>
            <w:tcW w:w="996" w:type="pct"/>
            <w:shd w:val="clear" w:color="auto" w:fill="auto"/>
            <w:vAlign w:val="center"/>
          </w:tcPr>
          <w:p w:rsidRPr="00AE1B2B" w:rsidR="009D3FB5" w:rsidP="00163B94" w:rsidRDefault="009D3FB5" w14:paraId="70F0189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expedientes firmados por persona juzgadora en el mes</w:t>
            </w:r>
          </w:p>
        </w:tc>
        <w:tc>
          <w:tcPr>
            <w:tcW w:w="3090" w:type="pct"/>
            <w:shd w:val="clear" w:color="auto" w:fill="auto"/>
            <w:vAlign w:val="center"/>
          </w:tcPr>
          <w:p w:rsidRPr="00AE1B2B" w:rsidR="009D3FB5" w:rsidP="00163B94" w:rsidRDefault="009D3FB5" w14:paraId="45EC362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 la cantidad de resoluciones firmadas por cada persona juzgadora.</w:t>
            </w:r>
          </w:p>
          <w:p w:rsidRPr="00AE1B2B" w:rsidR="009D3FB5" w:rsidP="00163B94" w:rsidRDefault="009D3FB5" w14:paraId="11E5E27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es el total de resoluciones firmadas por las personas juzgadoras del despacho, se obtiene de la consulta en el Escritorio Virtual, a las estadísticas de firmado de documentos y expedientes por cada una de las personas juzgadoras.</w:t>
            </w:r>
          </w:p>
          <w:p w:rsidRPr="00AE1B2B" w:rsidR="009D3FB5" w:rsidP="00163B94" w:rsidRDefault="009D3FB5" w14:paraId="3B2DAB7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Pr="00AE1B2B" w:rsidR="00AE1B2B" w:rsidTr="009D3FB5" w14:paraId="33AF407E" w14:textId="77777777">
        <w:trPr>
          <w:cantSplit/>
          <w:trHeight w:val="20"/>
          <w:jc w:val="center"/>
        </w:trPr>
        <w:tc>
          <w:tcPr>
            <w:tcW w:w="481" w:type="pct"/>
            <w:vMerge/>
            <w:shd w:val="clear" w:color="auto" w:fill="C5E0B3" w:themeFill="accent6" w:themeFillTint="66"/>
          </w:tcPr>
          <w:p w:rsidRPr="00AE1B2B" w:rsidR="009D3FB5" w:rsidP="00163B94" w:rsidRDefault="009D3FB5" w14:paraId="52025332" w14:textId="77777777">
            <w:pPr>
              <w:spacing w:before="120" w:after="120" w:line="276" w:lineRule="auto"/>
              <w:jc w:val="center"/>
              <w:rPr>
                <w:rFonts w:ascii="Times New Roman" w:hAnsi="Times New Roman" w:eastAsia="Times New Roman" w:cs="Times New Roman"/>
                <w:b/>
                <w:bCs/>
                <w:lang w:eastAsia="es-CR"/>
              </w:rPr>
            </w:pPr>
          </w:p>
        </w:tc>
        <w:tc>
          <w:tcPr>
            <w:tcW w:w="433" w:type="pct"/>
            <w:shd w:val="clear" w:color="auto" w:fill="auto"/>
            <w:vAlign w:val="center"/>
          </w:tcPr>
          <w:p w:rsidRPr="00AE1B2B" w:rsidR="009D3FB5" w:rsidP="00163B94" w:rsidRDefault="009D3FB5" w14:paraId="3E3E78D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20</w:t>
            </w:r>
          </w:p>
        </w:tc>
        <w:tc>
          <w:tcPr>
            <w:tcW w:w="996" w:type="pct"/>
            <w:shd w:val="clear" w:color="auto" w:fill="auto"/>
            <w:vAlign w:val="center"/>
          </w:tcPr>
          <w:p w:rsidRPr="00AE1B2B" w:rsidR="009D3FB5" w:rsidP="00163B94" w:rsidRDefault="009D3FB5" w14:paraId="7DAF65A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sentencias dictadas por persona juzgadora</w:t>
            </w:r>
          </w:p>
        </w:tc>
        <w:tc>
          <w:tcPr>
            <w:tcW w:w="3090" w:type="pct"/>
            <w:shd w:val="clear" w:color="auto" w:fill="auto"/>
            <w:vAlign w:val="center"/>
          </w:tcPr>
          <w:p w:rsidRPr="00AE1B2B" w:rsidR="009D3FB5" w:rsidP="00163B94" w:rsidRDefault="009D3FB5" w14:paraId="4CDB16A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Indicador mide la cantidad global de sentencias dictadas por cada persona juzgadora.</w:t>
            </w:r>
          </w:p>
          <w:p w:rsidRPr="00AE1B2B" w:rsidR="009D3FB5" w:rsidP="00163B94" w:rsidRDefault="009D3FB5" w14:paraId="0BFFCE12"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se obtiene del Módulo de pase a fallo del Escritorio Virtual o Libro de Pase a Fallo.</w:t>
            </w:r>
          </w:p>
          <w:p w:rsidRPr="00AE1B2B" w:rsidR="009D3FB5" w:rsidP="00163B94" w:rsidRDefault="009D3FB5" w14:paraId="6F91492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indicador se segrega para personas titulares y de apoyo.</w:t>
            </w:r>
          </w:p>
        </w:tc>
      </w:tr>
      <w:tr w:rsidRPr="00AE1B2B" w:rsidR="00AE1B2B" w:rsidTr="009D3FB5" w14:paraId="33C01728" w14:textId="77777777">
        <w:trPr>
          <w:cantSplit/>
          <w:trHeight w:val="20"/>
          <w:jc w:val="center"/>
        </w:trPr>
        <w:tc>
          <w:tcPr>
            <w:tcW w:w="481" w:type="pct"/>
            <w:vMerge/>
            <w:shd w:val="clear" w:color="auto" w:fill="C5E0B3" w:themeFill="accent6" w:themeFillTint="66"/>
          </w:tcPr>
          <w:p w:rsidRPr="00AE1B2B" w:rsidR="009D3FB5" w:rsidP="00163B94" w:rsidRDefault="009D3FB5" w14:paraId="654A02F4" w14:textId="77777777">
            <w:pPr>
              <w:spacing w:before="120" w:after="120" w:line="276" w:lineRule="auto"/>
              <w:jc w:val="center"/>
              <w:rPr>
                <w:rFonts w:ascii="Times New Roman" w:hAnsi="Times New Roman" w:eastAsia="Times New Roman" w:cs="Times New Roman"/>
                <w:b/>
                <w:bCs/>
                <w:lang w:eastAsia="es-CR"/>
              </w:rPr>
            </w:pPr>
          </w:p>
        </w:tc>
        <w:tc>
          <w:tcPr>
            <w:tcW w:w="433" w:type="pct"/>
            <w:shd w:val="clear" w:color="auto" w:fill="auto"/>
            <w:vAlign w:val="center"/>
          </w:tcPr>
          <w:p w:rsidRPr="00AE1B2B" w:rsidR="009D3FB5" w:rsidP="00163B94" w:rsidRDefault="009D3FB5" w14:paraId="63603B0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21</w:t>
            </w:r>
          </w:p>
        </w:tc>
        <w:tc>
          <w:tcPr>
            <w:tcW w:w="996" w:type="pct"/>
            <w:shd w:val="clear" w:color="auto" w:fill="auto"/>
            <w:vAlign w:val="center"/>
            <w:hideMark/>
          </w:tcPr>
          <w:p w:rsidRPr="00AE1B2B" w:rsidR="009D3FB5" w:rsidP="00163B94" w:rsidRDefault="009D3FB5" w14:paraId="7DC58D6D"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rendimiento por persona juzgadora</w:t>
            </w:r>
          </w:p>
        </w:tc>
        <w:tc>
          <w:tcPr>
            <w:tcW w:w="3090" w:type="pct"/>
            <w:shd w:val="clear" w:color="auto" w:fill="auto"/>
            <w:vAlign w:val="center"/>
            <w:hideMark/>
          </w:tcPr>
          <w:p w:rsidRPr="00AE1B2B" w:rsidR="009D3FB5" w:rsidP="00163B94" w:rsidRDefault="009D3FB5" w14:paraId="1ECF818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Se calcula para cada persona juzgadora: </w:t>
            </w:r>
            <w:r w:rsidRPr="00AE1B2B">
              <w:rPr>
                <w:rFonts w:ascii="Times New Roman" w:hAnsi="Times New Roman" w:eastAsia="Times New Roman" w:cs="Times New Roman"/>
                <w:i/>
                <w:iCs/>
                <w:lang w:eastAsia="es-CR"/>
              </w:rPr>
              <w:t>(Cantidad de Sentencias y Otras Resoluciones dictadas / Cantidad de Sentencias y Resoluciones a realizar según cuota de trabajo)</w:t>
            </w:r>
            <w:r w:rsidRPr="00AE1B2B">
              <w:rPr>
                <w:rFonts w:ascii="Times New Roman" w:hAnsi="Times New Roman" w:eastAsia="Times New Roman" w:cs="Times New Roman"/>
                <w:lang w:eastAsia="es-CR"/>
              </w:rPr>
              <w:t>.</w:t>
            </w:r>
          </w:p>
          <w:p w:rsidRPr="00AE1B2B" w:rsidR="009D3FB5" w:rsidP="00163B94" w:rsidRDefault="009D3FB5" w14:paraId="19A9573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toma en cuenta los días laborados por cada una de las personas juzgadora en el mes, según la cuota de trabajo diaria de sentencias definida.</w:t>
            </w:r>
          </w:p>
          <w:p w:rsidRPr="00AE1B2B" w:rsidR="009D3FB5" w:rsidP="00163B94" w:rsidRDefault="009D3FB5" w14:paraId="10828DE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está definido en 95% a 100%</w:t>
            </w:r>
          </w:p>
          <w:p w:rsidRPr="00AE1B2B" w:rsidR="009D3FB5" w:rsidP="00163B94" w:rsidRDefault="009D3FB5" w14:paraId="7B8B8D7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Este indicador se segrega para personas titulares y de apoyo. </w:t>
            </w:r>
          </w:p>
        </w:tc>
      </w:tr>
      <w:tr w:rsidRPr="00AE1B2B" w:rsidR="00AE1B2B" w:rsidTr="009D3FB5" w14:paraId="1A1E0601" w14:textId="77777777">
        <w:trPr>
          <w:cantSplit/>
          <w:trHeight w:val="20"/>
          <w:jc w:val="center"/>
        </w:trPr>
        <w:tc>
          <w:tcPr>
            <w:tcW w:w="481" w:type="pct"/>
            <w:vMerge/>
            <w:shd w:val="clear" w:color="auto" w:fill="C5E0B3" w:themeFill="accent6" w:themeFillTint="66"/>
          </w:tcPr>
          <w:p w:rsidRPr="00AE1B2B" w:rsidR="009D3FB5" w:rsidP="00163B94" w:rsidRDefault="009D3FB5" w14:paraId="6B452116" w14:textId="77777777">
            <w:pPr>
              <w:spacing w:before="120" w:after="120" w:line="276" w:lineRule="auto"/>
              <w:jc w:val="center"/>
              <w:rPr>
                <w:rFonts w:ascii="Times New Roman" w:hAnsi="Times New Roman" w:eastAsia="Times New Roman" w:cs="Times New Roman"/>
                <w:b/>
                <w:bCs/>
                <w:lang w:eastAsia="es-CR"/>
              </w:rPr>
            </w:pPr>
          </w:p>
        </w:tc>
        <w:tc>
          <w:tcPr>
            <w:tcW w:w="433" w:type="pct"/>
            <w:shd w:val="clear" w:color="auto" w:fill="auto"/>
            <w:vAlign w:val="center"/>
          </w:tcPr>
          <w:p w:rsidRPr="00AE1B2B" w:rsidR="009D3FB5" w:rsidP="00163B94" w:rsidRDefault="009D3FB5" w14:paraId="561334B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22</w:t>
            </w:r>
          </w:p>
        </w:tc>
        <w:tc>
          <w:tcPr>
            <w:tcW w:w="996" w:type="pct"/>
            <w:shd w:val="clear" w:color="auto" w:fill="auto"/>
            <w:vAlign w:val="center"/>
          </w:tcPr>
          <w:p w:rsidRPr="00AE1B2B" w:rsidR="009D3FB5" w:rsidP="00163B94" w:rsidRDefault="009D3FB5" w14:paraId="39DB184B"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personas usuarias atendidas (área de manifestación)</w:t>
            </w:r>
          </w:p>
        </w:tc>
        <w:tc>
          <w:tcPr>
            <w:tcW w:w="3090" w:type="pct"/>
            <w:shd w:val="clear" w:color="auto" w:fill="auto"/>
            <w:vAlign w:val="center"/>
          </w:tcPr>
          <w:p w:rsidRPr="00AE1B2B" w:rsidR="009D3FB5" w:rsidP="00163B94" w:rsidRDefault="009D3FB5" w14:paraId="253FC2B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Cantidad total de personas usuarias atendidas durante el mes</w:t>
            </w:r>
          </w:p>
        </w:tc>
      </w:tr>
    </w:tbl>
    <w:p w:rsidRPr="00AE1B2B" w:rsidR="009D3FB5" w:rsidP="00163B94" w:rsidRDefault="00BB7720" w14:paraId="0CD92331" w14:textId="7DE3C91B">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rPr>
        <w:t xml:space="preserve"> </w:t>
      </w:r>
      <w:r w:rsidRPr="00AE1B2B" w:rsidR="009D3FB5">
        <w:rPr>
          <w:rFonts w:ascii="Times New Roman" w:hAnsi="Times New Roman" w:cs="Times New Roman"/>
          <w:sz w:val="26"/>
          <w:szCs w:val="26"/>
        </w:rPr>
        <w:t>Fuente: Subproceso de Modernización Institucional</w:t>
      </w:r>
    </w:p>
    <w:p w:rsidRPr="00AE1B2B" w:rsidR="009D3FB5" w:rsidP="00163B94" w:rsidRDefault="009D3FB5" w14:paraId="0127C594" w14:textId="77777777">
      <w:pPr>
        <w:pStyle w:val="Fuentes"/>
        <w:spacing w:before="120" w:after="120" w:line="240" w:lineRule="auto"/>
        <w:ind w:left="851" w:right="851" w:firstLine="709"/>
        <w:rPr>
          <w:rFonts w:ascii="Times New Roman" w:hAnsi="Times New Roman" w:cs="Times New Roman"/>
          <w:sz w:val="26"/>
          <w:szCs w:val="26"/>
        </w:rPr>
      </w:pPr>
    </w:p>
    <w:p w:rsidRPr="00AE1B2B" w:rsidR="009D3FB5" w:rsidP="00163B94" w:rsidRDefault="003979DE" w14:paraId="6DD369C6" w14:textId="72B317C6">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7.9 </w:t>
      </w:r>
      <w:r w:rsidRPr="00AE1B2B" w:rsidR="009D3FB5">
        <w:rPr>
          <w:rFonts w:ascii="Times New Roman" w:hAnsi="Times New Roman" w:cs="Times New Roman"/>
          <w:sz w:val="26"/>
          <w:szCs w:val="26"/>
        </w:rPr>
        <w:t>Impacto del Código Procesal de Familia a partir del 1 de octubre de 2022 en materia de Violencia Doméstica</w:t>
      </w:r>
    </w:p>
    <w:p w:rsidRPr="00AE1B2B" w:rsidR="009D3FB5" w:rsidP="00163B94" w:rsidRDefault="009D3FB5" w14:paraId="628DB4C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Análisis de cargas de trabajo actual y proyectada</w:t>
      </w:r>
    </w:p>
    <w:p w:rsidRPr="00AE1B2B" w:rsidR="009D3FB5" w:rsidP="00163B94" w:rsidRDefault="009D3FB5" w14:paraId="715E5385" w14:textId="1F0F3C45">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 igual modo y con la finalidad de conocer el estado actual de los juzgados que atienden la materia de Violencia Doméstica, se analiza la carga de trabajo de los 12 despachos especializados que conocen esta materia en el país, en relación con la cantidad de casos entrados de 2017 a 2019, a fin de establecer los valores promedio mensual de asuntos entrados por cada persona juzgadora y técnica o técnico judicial, obteniendo el siguiente resultado:</w:t>
      </w:r>
    </w:p>
    <w:p w:rsidRPr="00AE1B2B" w:rsidR="002241C3" w:rsidP="00163B94" w:rsidRDefault="002241C3" w14:paraId="2687EB9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AB70BDA" w14:textId="4C2203A3">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54</w:t>
      </w:r>
      <w:r w:rsidRPr="00AE1B2B">
        <w:rPr>
          <w:rFonts w:ascii="Times New Roman" w:hAnsi="Times New Roman" w:cs="Times New Roman"/>
          <w:sz w:val="26"/>
          <w:szCs w:val="26"/>
        </w:rPr>
        <w:fldChar w:fldCharType="end"/>
      </w:r>
    </w:p>
    <w:p w:rsidRPr="00AE1B2B" w:rsidR="009D3FB5" w:rsidP="00163B94" w:rsidRDefault="009D3FB5" w14:paraId="6B4E91D2" w14:textId="4FF25762">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Movimiento histórico de los asuntos en los Juzgados</w:t>
      </w:r>
    </w:p>
    <w:p w:rsidRPr="00AE1B2B" w:rsidR="009D3FB5" w:rsidP="00163B94" w:rsidRDefault="009D3FB5" w14:paraId="403D0725"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Especializados de la materia de Violencia Doméstica, del 2017 al 2019.</w:t>
      </w:r>
    </w:p>
    <w:tbl>
      <w:tblPr>
        <w:tblW w:w="537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337"/>
        <w:gridCol w:w="1112"/>
        <w:gridCol w:w="887"/>
        <w:gridCol w:w="1373"/>
        <w:gridCol w:w="742"/>
        <w:gridCol w:w="591"/>
        <w:gridCol w:w="727"/>
        <w:gridCol w:w="725"/>
      </w:tblGrid>
      <w:tr w:rsidRPr="00AE1B2B" w:rsidR="00AE1B2B" w:rsidTr="009D3FB5" w14:paraId="108003E5" w14:textId="77777777">
        <w:trPr>
          <w:trHeight w:val="328"/>
          <w:tblHeader/>
          <w:jc w:val="center"/>
        </w:trPr>
        <w:tc>
          <w:tcPr>
            <w:tcW w:w="1757" w:type="pct"/>
            <w:vMerge w:val="restart"/>
            <w:shd w:val="clear" w:color="000000" w:fill="002060"/>
            <w:vAlign w:val="center"/>
            <w:hideMark/>
          </w:tcPr>
          <w:p w:rsidRPr="00AE1B2B" w:rsidR="009D3FB5" w:rsidP="00163B94" w:rsidRDefault="009D3FB5" w14:paraId="0047F8FA"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lastRenderedPageBreak/>
              <w:t>Despacho</w:t>
            </w:r>
          </w:p>
        </w:tc>
        <w:tc>
          <w:tcPr>
            <w:tcW w:w="1052" w:type="pct"/>
            <w:gridSpan w:val="2"/>
            <w:shd w:val="clear" w:color="000000" w:fill="002060"/>
            <w:vAlign w:val="center"/>
            <w:hideMark/>
          </w:tcPr>
          <w:p w:rsidRPr="00AE1B2B" w:rsidR="009D3FB5" w:rsidP="00163B94" w:rsidRDefault="009D3FB5" w14:paraId="64273CD3" w14:textId="77777777">
            <w:pPr>
              <w:spacing w:before="120" w:after="120" w:line="276" w:lineRule="auto"/>
              <w:jc w:val="center"/>
              <w:rPr>
                <w:rFonts w:ascii="Times New Roman" w:hAnsi="Times New Roman" w:eastAsia="Times New Roman" w:cs="Times New Roman"/>
                <w:b/>
                <w:bCs/>
                <w:sz w:val="20"/>
                <w:szCs w:val="20"/>
                <w:lang w:eastAsia="es-ES"/>
              </w:rPr>
            </w:pPr>
            <w:r w:rsidRPr="00AE1B2B">
              <w:rPr>
                <w:rFonts w:ascii="Times New Roman" w:hAnsi="Times New Roman" w:eastAsia="Times New Roman" w:cs="Times New Roman"/>
                <w:b/>
                <w:bCs/>
                <w:sz w:val="20"/>
                <w:szCs w:val="20"/>
                <w:lang w:eastAsia="es-ES"/>
              </w:rPr>
              <w:t>Promedio mensual 2017 a 2019</w:t>
            </w:r>
          </w:p>
        </w:tc>
        <w:tc>
          <w:tcPr>
            <w:tcW w:w="723" w:type="pct"/>
            <w:vMerge w:val="restart"/>
            <w:shd w:val="clear" w:color="000000" w:fill="002060"/>
            <w:vAlign w:val="center"/>
            <w:hideMark/>
          </w:tcPr>
          <w:p w:rsidRPr="00AE1B2B" w:rsidR="009D3FB5" w:rsidP="00163B94" w:rsidRDefault="009D3FB5" w14:paraId="505558B9" w14:textId="77777777">
            <w:pPr>
              <w:spacing w:before="120" w:after="120" w:line="276" w:lineRule="auto"/>
              <w:jc w:val="center"/>
              <w:rPr>
                <w:rFonts w:ascii="Times New Roman" w:hAnsi="Times New Roman" w:eastAsia="Times New Roman" w:cs="Times New Roman"/>
                <w:b/>
                <w:bCs/>
                <w:sz w:val="20"/>
                <w:szCs w:val="20"/>
                <w:lang w:eastAsia="es-ES"/>
              </w:rPr>
            </w:pPr>
            <w:r w:rsidRPr="00AE1B2B">
              <w:rPr>
                <w:rFonts w:ascii="Times New Roman" w:hAnsi="Times New Roman" w:eastAsia="Times New Roman" w:cs="Times New Roman"/>
                <w:b/>
                <w:bCs/>
                <w:sz w:val="20"/>
                <w:szCs w:val="20"/>
                <w:lang w:eastAsia="es-ES"/>
              </w:rPr>
              <w:t>Relación terminados / entrados totales</w:t>
            </w:r>
          </w:p>
        </w:tc>
        <w:tc>
          <w:tcPr>
            <w:tcW w:w="702" w:type="pct"/>
            <w:gridSpan w:val="2"/>
            <w:shd w:val="clear" w:color="000000" w:fill="002060"/>
            <w:vAlign w:val="center"/>
            <w:hideMark/>
          </w:tcPr>
          <w:p w:rsidRPr="00AE1B2B" w:rsidR="009D3FB5" w:rsidP="00163B94" w:rsidRDefault="009D3FB5" w14:paraId="753992E9" w14:textId="77777777">
            <w:pPr>
              <w:spacing w:before="120" w:after="120" w:line="276" w:lineRule="auto"/>
              <w:jc w:val="center"/>
              <w:rPr>
                <w:rFonts w:ascii="Times New Roman" w:hAnsi="Times New Roman" w:eastAsia="Times New Roman" w:cs="Times New Roman"/>
                <w:b/>
                <w:bCs/>
                <w:sz w:val="20"/>
                <w:szCs w:val="20"/>
                <w:lang w:eastAsia="es-ES"/>
              </w:rPr>
            </w:pPr>
            <w:r w:rsidRPr="00AE1B2B">
              <w:rPr>
                <w:rFonts w:ascii="Times New Roman" w:hAnsi="Times New Roman" w:eastAsia="Times New Roman" w:cs="Times New Roman"/>
                <w:b/>
                <w:bCs/>
                <w:sz w:val="20"/>
                <w:szCs w:val="20"/>
                <w:lang w:eastAsia="es-ES"/>
              </w:rPr>
              <w:t>Entrados mensuales</w:t>
            </w:r>
          </w:p>
        </w:tc>
        <w:tc>
          <w:tcPr>
            <w:tcW w:w="765" w:type="pct"/>
            <w:gridSpan w:val="2"/>
            <w:shd w:val="clear" w:color="000000" w:fill="002060"/>
            <w:vAlign w:val="center"/>
            <w:hideMark/>
          </w:tcPr>
          <w:p w:rsidRPr="00AE1B2B" w:rsidR="009D3FB5" w:rsidP="00163B94" w:rsidRDefault="009D3FB5" w14:paraId="3CC5EF74" w14:textId="77777777">
            <w:pPr>
              <w:spacing w:before="120" w:after="120" w:line="276" w:lineRule="auto"/>
              <w:jc w:val="center"/>
              <w:rPr>
                <w:rFonts w:ascii="Times New Roman" w:hAnsi="Times New Roman" w:eastAsia="Times New Roman" w:cs="Times New Roman"/>
                <w:b/>
                <w:bCs/>
                <w:sz w:val="20"/>
                <w:szCs w:val="20"/>
                <w:lang w:eastAsia="es-ES"/>
              </w:rPr>
            </w:pPr>
            <w:r w:rsidRPr="00AE1B2B">
              <w:rPr>
                <w:rFonts w:ascii="Times New Roman" w:hAnsi="Times New Roman" w:eastAsia="Times New Roman" w:cs="Times New Roman"/>
                <w:b/>
                <w:bCs/>
                <w:sz w:val="20"/>
                <w:szCs w:val="20"/>
                <w:lang w:eastAsia="es-ES"/>
              </w:rPr>
              <w:t>Terminados mensuales</w:t>
            </w:r>
          </w:p>
        </w:tc>
      </w:tr>
      <w:tr w:rsidRPr="00AE1B2B" w:rsidR="00AE1B2B" w:rsidTr="009D3FB5" w14:paraId="4E8176E0" w14:textId="77777777">
        <w:trPr>
          <w:trHeight w:val="328"/>
          <w:tblHeader/>
          <w:jc w:val="center"/>
        </w:trPr>
        <w:tc>
          <w:tcPr>
            <w:tcW w:w="1757" w:type="pct"/>
            <w:vMerge/>
            <w:vAlign w:val="center"/>
            <w:hideMark/>
          </w:tcPr>
          <w:p w:rsidRPr="00AE1B2B" w:rsidR="009D3FB5" w:rsidP="00163B94" w:rsidRDefault="009D3FB5" w14:paraId="1A221800" w14:textId="77777777">
            <w:pPr>
              <w:spacing w:before="120" w:after="120" w:line="276" w:lineRule="auto"/>
              <w:rPr>
                <w:rFonts w:ascii="Times New Roman" w:hAnsi="Times New Roman" w:eastAsia="Times New Roman" w:cs="Times New Roman"/>
                <w:b/>
                <w:bCs/>
                <w:lang w:eastAsia="es-ES"/>
              </w:rPr>
            </w:pPr>
          </w:p>
        </w:tc>
        <w:tc>
          <w:tcPr>
            <w:tcW w:w="585" w:type="pct"/>
            <w:shd w:val="clear" w:color="000000" w:fill="002060"/>
            <w:vAlign w:val="center"/>
            <w:hideMark/>
          </w:tcPr>
          <w:p w:rsidRPr="00AE1B2B" w:rsidR="009D3FB5" w:rsidP="00163B94" w:rsidRDefault="009D3FB5" w14:paraId="28FF6722"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Entrados totales</w:t>
            </w:r>
          </w:p>
        </w:tc>
        <w:tc>
          <w:tcPr>
            <w:tcW w:w="467" w:type="pct"/>
            <w:shd w:val="clear" w:color="000000" w:fill="002060"/>
            <w:vAlign w:val="center"/>
            <w:hideMark/>
          </w:tcPr>
          <w:p w:rsidRPr="00AE1B2B" w:rsidR="009D3FB5" w:rsidP="00163B94" w:rsidRDefault="009D3FB5" w14:paraId="6924407E" w14:textId="77777777">
            <w:pPr>
              <w:spacing w:before="120" w:after="120" w:line="276" w:lineRule="auto"/>
              <w:jc w:val="center"/>
              <w:rPr>
                <w:rFonts w:ascii="Times New Roman" w:hAnsi="Times New Roman" w:eastAsia="Times New Roman" w:cs="Times New Roman"/>
                <w:b/>
                <w:bCs/>
                <w:sz w:val="20"/>
                <w:szCs w:val="20"/>
                <w:lang w:eastAsia="es-ES"/>
              </w:rPr>
            </w:pPr>
            <w:r w:rsidRPr="00AE1B2B">
              <w:rPr>
                <w:rFonts w:ascii="Times New Roman" w:hAnsi="Times New Roman" w:eastAsia="Times New Roman" w:cs="Times New Roman"/>
                <w:b/>
                <w:bCs/>
                <w:sz w:val="20"/>
                <w:szCs w:val="20"/>
                <w:lang w:eastAsia="es-ES"/>
              </w:rPr>
              <w:t>Termi-nados</w:t>
            </w:r>
          </w:p>
        </w:tc>
        <w:tc>
          <w:tcPr>
            <w:tcW w:w="723" w:type="pct"/>
            <w:vMerge/>
            <w:vAlign w:val="center"/>
            <w:hideMark/>
          </w:tcPr>
          <w:p w:rsidRPr="00AE1B2B" w:rsidR="009D3FB5" w:rsidP="00163B94" w:rsidRDefault="009D3FB5" w14:paraId="2ECB0401" w14:textId="77777777">
            <w:pPr>
              <w:spacing w:before="120" w:after="120" w:line="276" w:lineRule="auto"/>
              <w:rPr>
                <w:rFonts w:ascii="Times New Roman" w:hAnsi="Times New Roman" w:eastAsia="Times New Roman" w:cs="Times New Roman"/>
                <w:b/>
                <w:bCs/>
                <w:sz w:val="20"/>
                <w:szCs w:val="20"/>
                <w:lang w:eastAsia="es-ES"/>
              </w:rPr>
            </w:pPr>
          </w:p>
        </w:tc>
        <w:tc>
          <w:tcPr>
            <w:tcW w:w="391" w:type="pct"/>
            <w:shd w:val="clear" w:color="000000" w:fill="002060"/>
            <w:vAlign w:val="center"/>
            <w:hideMark/>
          </w:tcPr>
          <w:p w:rsidRPr="00AE1B2B" w:rsidR="009D3FB5" w:rsidP="00163B94" w:rsidRDefault="009D3FB5" w14:paraId="3D657939" w14:textId="77777777">
            <w:pPr>
              <w:spacing w:before="120" w:after="120" w:line="276" w:lineRule="auto"/>
              <w:jc w:val="center"/>
              <w:rPr>
                <w:rFonts w:ascii="Times New Roman" w:hAnsi="Times New Roman" w:eastAsia="Times New Roman" w:cs="Times New Roman"/>
                <w:b/>
                <w:bCs/>
                <w:sz w:val="20"/>
                <w:szCs w:val="20"/>
                <w:lang w:eastAsia="es-ES"/>
              </w:rPr>
            </w:pPr>
            <w:r w:rsidRPr="00AE1B2B">
              <w:rPr>
                <w:rFonts w:ascii="Times New Roman" w:hAnsi="Times New Roman" w:eastAsia="Times New Roman" w:cs="Times New Roman"/>
                <w:b/>
                <w:bCs/>
                <w:sz w:val="20"/>
                <w:szCs w:val="20"/>
                <w:lang w:eastAsia="es-ES"/>
              </w:rPr>
              <w:t>Jueza o Juez</w:t>
            </w:r>
          </w:p>
        </w:tc>
        <w:tc>
          <w:tcPr>
            <w:tcW w:w="311" w:type="pct"/>
            <w:shd w:val="clear" w:color="000000" w:fill="002060"/>
            <w:vAlign w:val="center"/>
            <w:hideMark/>
          </w:tcPr>
          <w:p w:rsidRPr="00AE1B2B" w:rsidR="009D3FB5" w:rsidP="00163B94" w:rsidRDefault="009D3FB5" w14:paraId="78E857E5" w14:textId="77777777">
            <w:pPr>
              <w:spacing w:before="120" w:after="120" w:line="276" w:lineRule="auto"/>
              <w:jc w:val="center"/>
              <w:rPr>
                <w:rFonts w:ascii="Times New Roman" w:hAnsi="Times New Roman" w:eastAsia="Times New Roman" w:cs="Times New Roman"/>
                <w:b/>
                <w:bCs/>
                <w:sz w:val="20"/>
                <w:szCs w:val="20"/>
                <w:lang w:eastAsia="es-ES"/>
              </w:rPr>
            </w:pPr>
            <w:r w:rsidRPr="00AE1B2B">
              <w:rPr>
                <w:rFonts w:ascii="Times New Roman" w:hAnsi="Times New Roman" w:eastAsia="Times New Roman" w:cs="Times New Roman"/>
                <w:b/>
                <w:bCs/>
                <w:sz w:val="20"/>
                <w:szCs w:val="20"/>
                <w:lang w:eastAsia="es-ES"/>
              </w:rPr>
              <w:t>Téc. Jud.</w:t>
            </w:r>
          </w:p>
        </w:tc>
        <w:tc>
          <w:tcPr>
            <w:tcW w:w="383" w:type="pct"/>
            <w:shd w:val="clear" w:color="000000" w:fill="002060"/>
            <w:vAlign w:val="center"/>
            <w:hideMark/>
          </w:tcPr>
          <w:p w:rsidRPr="00AE1B2B" w:rsidR="009D3FB5" w:rsidP="00163B94" w:rsidRDefault="009D3FB5" w14:paraId="0480E461" w14:textId="77777777">
            <w:pPr>
              <w:spacing w:before="120" w:after="120" w:line="276" w:lineRule="auto"/>
              <w:jc w:val="center"/>
              <w:rPr>
                <w:rFonts w:ascii="Times New Roman" w:hAnsi="Times New Roman" w:eastAsia="Times New Roman" w:cs="Times New Roman"/>
                <w:sz w:val="20"/>
                <w:szCs w:val="20"/>
                <w:lang w:eastAsia="es-ES"/>
              </w:rPr>
            </w:pPr>
            <w:r w:rsidRPr="00AE1B2B">
              <w:rPr>
                <w:rFonts w:ascii="Times New Roman" w:hAnsi="Times New Roman" w:eastAsia="Times New Roman" w:cs="Times New Roman"/>
                <w:sz w:val="20"/>
                <w:szCs w:val="20"/>
                <w:lang w:eastAsia="es-ES"/>
              </w:rPr>
              <w:t>Jueza o Juez</w:t>
            </w:r>
          </w:p>
        </w:tc>
        <w:tc>
          <w:tcPr>
            <w:tcW w:w="382" w:type="pct"/>
            <w:shd w:val="clear" w:color="000000" w:fill="002060"/>
            <w:vAlign w:val="center"/>
            <w:hideMark/>
          </w:tcPr>
          <w:p w:rsidRPr="00AE1B2B" w:rsidR="009D3FB5" w:rsidP="00163B94" w:rsidRDefault="009D3FB5" w14:paraId="5FC61E33" w14:textId="77777777">
            <w:pPr>
              <w:spacing w:before="120" w:after="120" w:line="276" w:lineRule="auto"/>
              <w:jc w:val="center"/>
              <w:rPr>
                <w:rFonts w:ascii="Times New Roman" w:hAnsi="Times New Roman" w:eastAsia="Times New Roman" w:cs="Times New Roman"/>
                <w:sz w:val="20"/>
                <w:szCs w:val="20"/>
                <w:lang w:eastAsia="es-ES"/>
              </w:rPr>
            </w:pPr>
            <w:r w:rsidRPr="00AE1B2B">
              <w:rPr>
                <w:rFonts w:ascii="Times New Roman" w:hAnsi="Times New Roman" w:eastAsia="Times New Roman" w:cs="Times New Roman"/>
                <w:sz w:val="20"/>
                <w:szCs w:val="20"/>
                <w:lang w:eastAsia="es-ES"/>
              </w:rPr>
              <w:t>Téc. Jud.</w:t>
            </w:r>
          </w:p>
        </w:tc>
      </w:tr>
      <w:tr w:rsidRPr="00AE1B2B" w:rsidR="00AE1B2B" w:rsidTr="009D3FB5" w14:paraId="76383C36" w14:textId="77777777">
        <w:trPr>
          <w:trHeight w:val="538"/>
          <w:tblHeader/>
          <w:jc w:val="center"/>
        </w:trPr>
        <w:tc>
          <w:tcPr>
            <w:tcW w:w="1757" w:type="pct"/>
            <w:shd w:val="clear" w:color="auto" w:fill="auto"/>
            <w:vAlign w:val="center"/>
            <w:hideMark/>
          </w:tcPr>
          <w:p w:rsidRPr="00AE1B2B" w:rsidR="009D3FB5" w:rsidP="00163B94" w:rsidRDefault="009D3FB5" w14:paraId="57BA3BE0"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Juzgado de Violencia Doméstica del I Circ. Jud. de la Zona Atlántica</w:t>
            </w:r>
          </w:p>
        </w:tc>
        <w:tc>
          <w:tcPr>
            <w:tcW w:w="585" w:type="pct"/>
            <w:tcBorders>
              <w:top w:val="single" w:color="auto" w:sz="4" w:space="0"/>
              <w:left w:val="nil"/>
              <w:bottom w:val="single" w:color="auto" w:sz="4" w:space="0"/>
              <w:right w:val="single" w:color="auto" w:sz="4" w:space="0"/>
            </w:tcBorders>
            <w:shd w:val="clear" w:color="auto" w:fill="auto"/>
            <w:noWrap/>
            <w:vAlign w:val="center"/>
            <w:hideMark/>
          </w:tcPr>
          <w:p w:rsidRPr="00AE1B2B" w:rsidR="009D3FB5" w:rsidP="00163B94" w:rsidRDefault="009D3FB5" w14:paraId="1E97EBA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92</w:t>
            </w:r>
          </w:p>
        </w:tc>
        <w:tc>
          <w:tcPr>
            <w:tcW w:w="467" w:type="pct"/>
            <w:tcBorders>
              <w:top w:val="single" w:color="auto" w:sz="4" w:space="0"/>
              <w:left w:val="nil"/>
              <w:bottom w:val="single" w:color="auto" w:sz="4" w:space="0"/>
              <w:right w:val="single" w:color="auto" w:sz="4" w:space="0"/>
            </w:tcBorders>
            <w:shd w:val="clear" w:color="auto" w:fill="auto"/>
            <w:noWrap/>
            <w:vAlign w:val="center"/>
            <w:hideMark/>
          </w:tcPr>
          <w:p w:rsidRPr="00AE1B2B" w:rsidR="009D3FB5" w:rsidP="00163B94" w:rsidRDefault="009D3FB5" w14:paraId="4539038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88</w:t>
            </w:r>
          </w:p>
        </w:tc>
        <w:tc>
          <w:tcPr>
            <w:tcW w:w="723" w:type="pct"/>
            <w:tcBorders>
              <w:top w:val="single" w:color="auto" w:sz="4" w:space="0"/>
              <w:left w:val="nil"/>
              <w:bottom w:val="single" w:color="auto" w:sz="4" w:space="0"/>
              <w:right w:val="single" w:color="auto" w:sz="4" w:space="0"/>
            </w:tcBorders>
            <w:shd w:val="clear" w:color="auto" w:fill="auto"/>
            <w:noWrap/>
            <w:vAlign w:val="center"/>
            <w:hideMark/>
          </w:tcPr>
          <w:p w:rsidRPr="00AE1B2B" w:rsidR="009D3FB5" w:rsidP="00163B94" w:rsidRDefault="009D3FB5" w14:paraId="3748DD9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96%</w:t>
            </w:r>
          </w:p>
        </w:tc>
        <w:tc>
          <w:tcPr>
            <w:tcW w:w="391"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16975E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92</w:t>
            </w:r>
          </w:p>
        </w:tc>
        <w:tc>
          <w:tcPr>
            <w:tcW w:w="311" w:type="pct"/>
            <w:tcBorders>
              <w:top w:val="single" w:color="auto" w:sz="4" w:space="0"/>
              <w:left w:val="nil"/>
              <w:bottom w:val="single" w:color="auto" w:sz="4" w:space="0"/>
              <w:right w:val="single" w:color="auto" w:sz="4" w:space="0"/>
            </w:tcBorders>
            <w:shd w:val="clear" w:color="auto" w:fill="auto"/>
            <w:noWrap/>
            <w:vAlign w:val="center"/>
            <w:hideMark/>
          </w:tcPr>
          <w:p w:rsidRPr="00AE1B2B" w:rsidR="009D3FB5" w:rsidP="00163B94" w:rsidRDefault="009D3FB5" w14:paraId="45DD9B9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46</w:t>
            </w:r>
          </w:p>
        </w:tc>
        <w:tc>
          <w:tcPr>
            <w:tcW w:w="383" w:type="pct"/>
            <w:tcBorders>
              <w:top w:val="single" w:color="auto" w:sz="4" w:space="0"/>
              <w:left w:val="nil"/>
              <w:bottom w:val="single" w:color="auto" w:sz="4" w:space="0"/>
              <w:right w:val="single" w:color="auto" w:sz="4" w:space="0"/>
            </w:tcBorders>
            <w:shd w:val="clear" w:color="auto" w:fill="auto"/>
            <w:noWrap/>
            <w:vAlign w:val="center"/>
            <w:hideMark/>
          </w:tcPr>
          <w:p w:rsidRPr="00AE1B2B" w:rsidR="009D3FB5" w:rsidP="00163B94" w:rsidRDefault="009D3FB5" w14:paraId="61A6431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88</w:t>
            </w:r>
          </w:p>
        </w:tc>
        <w:tc>
          <w:tcPr>
            <w:tcW w:w="382" w:type="pct"/>
            <w:tcBorders>
              <w:top w:val="single" w:color="auto" w:sz="4" w:space="0"/>
              <w:left w:val="nil"/>
              <w:bottom w:val="single" w:color="auto" w:sz="4" w:space="0"/>
              <w:right w:val="single" w:color="auto" w:sz="4" w:space="0"/>
            </w:tcBorders>
            <w:shd w:val="clear" w:color="auto" w:fill="auto"/>
            <w:noWrap/>
            <w:vAlign w:val="center"/>
            <w:hideMark/>
          </w:tcPr>
          <w:p w:rsidRPr="00AE1B2B" w:rsidR="009D3FB5" w:rsidP="00163B94" w:rsidRDefault="009D3FB5" w14:paraId="4269F71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44</w:t>
            </w:r>
          </w:p>
        </w:tc>
      </w:tr>
      <w:tr w:rsidRPr="00AE1B2B" w:rsidR="00AE1B2B" w:rsidTr="009D3FB5" w14:paraId="71077120" w14:textId="77777777">
        <w:trPr>
          <w:trHeight w:val="328"/>
          <w:tblHeader/>
          <w:jc w:val="center"/>
        </w:trPr>
        <w:tc>
          <w:tcPr>
            <w:tcW w:w="1757" w:type="pct"/>
            <w:shd w:val="clear" w:color="auto" w:fill="auto"/>
            <w:vAlign w:val="center"/>
            <w:hideMark/>
          </w:tcPr>
          <w:p w:rsidRPr="00AE1B2B" w:rsidR="009D3FB5" w:rsidP="00163B94" w:rsidRDefault="009D3FB5" w14:paraId="666AD92D"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Juzgado Violencia Doméstica Cartago</w:t>
            </w:r>
          </w:p>
        </w:tc>
        <w:tc>
          <w:tcPr>
            <w:tcW w:w="58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C1A9367"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189</w:t>
            </w:r>
          </w:p>
        </w:tc>
        <w:tc>
          <w:tcPr>
            <w:tcW w:w="46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2959A2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177</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047ABC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94%</w:t>
            </w:r>
          </w:p>
        </w:tc>
        <w:tc>
          <w:tcPr>
            <w:tcW w:w="391"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2896A4F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94</w:t>
            </w:r>
          </w:p>
        </w:tc>
        <w:tc>
          <w:tcPr>
            <w:tcW w:w="3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642D11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63</w:t>
            </w:r>
          </w:p>
        </w:tc>
        <w:tc>
          <w:tcPr>
            <w:tcW w:w="38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C5B94B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89</w:t>
            </w:r>
          </w:p>
        </w:tc>
        <w:tc>
          <w:tcPr>
            <w:tcW w:w="38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06580B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59</w:t>
            </w:r>
          </w:p>
        </w:tc>
      </w:tr>
      <w:tr w:rsidRPr="00AE1B2B" w:rsidR="00AE1B2B" w:rsidTr="009D3FB5" w14:paraId="09895F1A" w14:textId="77777777">
        <w:trPr>
          <w:trHeight w:val="328"/>
          <w:tblHeader/>
          <w:jc w:val="center"/>
        </w:trPr>
        <w:tc>
          <w:tcPr>
            <w:tcW w:w="1757" w:type="pct"/>
            <w:shd w:val="clear" w:color="auto" w:fill="auto"/>
            <w:vAlign w:val="center"/>
            <w:hideMark/>
          </w:tcPr>
          <w:p w:rsidRPr="00AE1B2B" w:rsidR="009D3FB5" w:rsidP="00163B94" w:rsidRDefault="009D3FB5" w14:paraId="458BBC81"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Juzgado Violencia Doméstica Hatillo, San Sebas. y Alajuelita</w:t>
            </w:r>
          </w:p>
        </w:tc>
        <w:tc>
          <w:tcPr>
            <w:tcW w:w="58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CCB7FA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244</w:t>
            </w:r>
          </w:p>
        </w:tc>
        <w:tc>
          <w:tcPr>
            <w:tcW w:w="46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5ECD487"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234</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9A214F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96%</w:t>
            </w:r>
          </w:p>
        </w:tc>
        <w:tc>
          <w:tcPr>
            <w:tcW w:w="391"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A0BEE8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122</w:t>
            </w:r>
          </w:p>
        </w:tc>
        <w:tc>
          <w:tcPr>
            <w:tcW w:w="3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6C96E0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122</w:t>
            </w:r>
          </w:p>
        </w:tc>
        <w:tc>
          <w:tcPr>
            <w:tcW w:w="38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88DFD7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117</w:t>
            </w:r>
          </w:p>
        </w:tc>
        <w:tc>
          <w:tcPr>
            <w:tcW w:w="38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A41CE0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117</w:t>
            </w:r>
          </w:p>
        </w:tc>
      </w:tr>
      <w:tr w:rsidRPr="00AE1B2B" w:rsidR="00AE1B2B" w:rsidTr="009D3FB5" w14:paraId="7B3FC360" w14:textId="77777777">
        <w:trPr>
          <w:trHeight w:val="328"/>
          <w:tblHeader/>
          <w:jc w:val="center"/>
        </w:trPr>
        <w:tc>
          <w:tcPr>
            <w:tcW w:w="1757" w:type="pct"/>
            <w:shd w:val="clear" w:color="auto" w:fill="auto"/>
            <w:vAlign w:val="center"/>
            <w:hideMark/>
          </w:tcPr>
          <w:p w:rsidRPr="00AE1B2B" w:rsidR="009D3FB5" w:rsidP="00163B94" w:rsidRDefault="009D3FB5" w14:paraId="76120E48"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Juzgado Violencia Doméstica Heredia</w:t>
            </w:r>
          </w:p>
        </w:tc>
        <w:tc>
          <w:tcPr>
            <w:tcW w:w="58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DBAD5F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200</w:t>
            </w:r>
          </w:p>
        </w:tc>
        <w:tc>
          <w:tcPr>
            <w:tcW w:w="46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3AE6D1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203</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59B224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101%</w:t>
            </w:r>
          </w:p>
        </w:tc>
        <w:tc>
          <w:tcPr>
            <w:tcW w:w="391"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2B7FF15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100</w:t>
            </w:r>
          </w:p>
        </w:tc>
        <w:tc>
          <w:tcPr>
            <w:tcW w:w="3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65B4D4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67</w:t>
            </w:r>
          </w:p>
        </w:tc>
        <w:tc>
          <w:tcPr>
            <w:tcW w:w="38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7AFB9F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101</w:t>
            </w:r>
          </w:p>
        </w:tc>
        <w:tc>
          <w:tcPr>
            <w:tcW w:w="38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B7DFC2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68</w:t>
            </w:r>
          </w:p>
        </w:tc>
      </w:tr>
      <w:tr w:rsidRPr="00AE1B2B" w:rsidR="00AE1B2B" w:rsidTr="009D3FB5" w14:paraId="5F164D9E" w14:textId="77777777">
        <w:trPr>
          <w:trHeight w:val="328"/>
          <w:tblHeader/>
          <w:jc w:val="center"/>
        </w:trPr>
        <w:tc>
          <w:tcPr>
            <w:tcW w:w="1757" w:type="pct"/>
            <w:shd w:val="clear" w:color="auto" w:fill="auto"/>
            <w:vAlign w:val="center"/>
            <w:hideMark/>
          </w:tcPr>
          <w:p w:rsidRPr="00AE1B2B" w:rsidR="009D3FB5" w:rsidP="00163B94" w:rsidRDefault="009D3FB5" w14:paraId="58373E32"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Juzgado Violencia Doméstica I Circ. Jud. Alajuela</w:t>
            </w:r>
          </w:p>
        </w:tc>
        <w:tc>
          <w:tcPr>
            <w:tcW w:w="58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A59FBF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325</w:t>
            </w:r>
          </w:p>
        </w:tc>
        <w:tc>
          <w:tcPr>
            <w:tcW w:w="46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9246A4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325</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50F0CE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100%</w:t>
            </w:r>
          </w:p>
        </w:tc>
        <w:tc>
          <w:tcPr>
            <w:tcW w:w="391"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7D6FAAB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108</w:t>
            </w:r>
          </w:p>
        </w:tc>
        <w:tc>
          <w:tcPr>
            <w:tcW w:w="3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FF5781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65</w:t>
            </w:r>
          </w:p>
        </w:tc>
        <w:tc>
          <w:tcPr>
            <w:tcW w:w="38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70DC29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108</w:t>
            </w:r>
          </w:p>
        </w:tc>
        <w:tc>
          <w:tcPr>
            <w:tcW w:w="38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5EEA3F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65</w:t>
            </w:r>
          </w:p>
        </w:tc>
      </w:tr>
      <w:tr w:rsidRPr="00AE1B2B" w:rsidR="00AE1B2B" w:rsidTr="009D3FB5" w14:paraId="11F0F358" w14:textId="77777777">
        <w:trPr>
          <w:trHeight w:val="328"/>
          <w:tblHeader/>
          <w:jc w:val="center"/>
        </w:trPr>
        <w:tc>
          <w:tcPr>
            <w:tcW w:w="1757" w:type="pct"/>
            <w:shd w:val="clear" w:color="auto" w:fill="auto"/>
            <w:vAlign w:val="center"/>
            <w:hideMark/>
          </w:tcPr>
          <w:p w:rsidRPr="00AE1B2B" w:rsidR="009D3FB5" w:rsidP="00163B94" w:rsidRDefault="009D3FB5" w14:paraId="75AC9A76"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Juzgado Violencia Doméstica I Circ. Jud. San José</w:t>
            </w:r>
          </w:p>
        </w:tc>
        <w:tc>
          <w:tcPr>
            <w:tcW w:w="58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9AE889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176</w:t>
            </w:r>
          </w:p>
        </w:tc>
        <w:tc>
          <w:tcPr>
            <w:tcW w:w="46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7BA0B8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173</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7580BD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98%</w:t>
            </w:r>
          </w:p>
        </w:tc>
        <w:tc>
          <w:tcPr>
            <w:tcW w:w="391"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7CADE8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88</w:t>
            </w:r>
          </w:p>
        </w:tc>
        <w:tc>
          <w:tcPr>
            <w:tcW w:w="3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CC75CC7"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88</w:t>
            </w:r>
          </w:p>
        </w:tc>
        <w:tc>
          <w:tcPr>
            <w:tcW w:w="38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73EE43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87</w:t>
            </w:r>
          </w:p>
        </w:tc>
        <w:tc>
          <w:tcPr>
            <w:tcW w:w="38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2C59BA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87</w:t>
            </w:r>
          </w:p>
        </w:tc>
      </w:tr>
      <w:tr w:rsidRPr="00AE1B2B" w:rsidR="00AE1B2B" w:rsidTr="009D3FB5" w14:paraId="48BB5566" w14:textId="77777777">
        <w:trPr>
          <w:trHeight w:val="328"/>
          <w:tblHeader/>
          <w:jc w:val="center"/>
        </w:trPr>
        <w:tc>
          <w:tcPr>
            <w:tcW w:w="1757" w:type="pct"/>
            <w:shd w:val="clear" w:color="auto" w:fill="auto"/>
            <w:vAlign w:val="center"/>
            <w:hideMark/>
          </w:tcPr>
          <w:p w:rsidRPr="00AE1B2B" w:rsidR="009D3FB5" w:rsidP="00163B94" w:rsidRDefault="009D3FB5" w14:paraId="63B427BF"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Juzgado Violencia Doméstica I Circ. Jud. Zona Sur</w:t>
            </w:r>
          </w:p>
        </w:tc>
        <w:tc>
          <w:tcPr>
            <w:tcW w:w="58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165ADB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207</w:t>
            </w:r>
          </w:p>
        </w:tc>
        <w:tc>
          <w:tcPr>
            <w:tcW w:w="46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4C7265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201</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715D88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97%</w:t>
            </w:r>
          </w:p>
        </w:tc>
        <w:tc>
          <w:tcPr>
            <w:tcW w:w="391"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C208A7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103</w:t>
            </w:r>
          </w:p>
        </w:tc>
        <w:tc>
          <w:tcPr>
            <w:tcW w:w="3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76D8FE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103</w:t>
            </w:r>
          </w:p>
        </w:tc>
        <w:tc>
          <w:tcPr>
            <w:tcW w:w="38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136C7D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101</w:t>
            </w:r>
          </w:p>
        </w:tc>
        <w:tc>
          <w:tcPr>
            <w:tcW w:w="38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D9C8587"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101</w:t>
            </w:r>
          </w:p>
        </w:tc>
      </w:tr>
      <w:tr w:rsidRPr="00AE1B2B" w:rsidR="00AE1B2B" w:rsidTr="009D3FB5" w14:paraId="416F8B70" w14:textId="77777777">
        <w:trPr>
          <w:trHeight w:val="328"/>
          <w:tblHeader/>
          <w:jc w:val="center"/>
        </w:trPr>
        <w:tc>
          <w:tcPr>
            <w:tcW w:w="1757" w:type="pct"/>
            <w:shd w:val="clear" w:color="auto" w:fill="auto"/>
            <w:vAlign w:val="center"/>
            <w:hideMark/>
          </w:tcPr>
          <w:p w:rsidRPr="00AE1B2B" w:rsidR="009D3FB5" w:rsidP="00163B94" w:rsidRDefault="009D3FB5" w14:paraId="55C7FD39"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 xml:space="preserve">Juzgado Violencia Doméstica II Circ. Jud. Alajuela </w:t>
            </w:r>
          </w:p>
        </w:tc>
        <w:tc>
          <w:tcPr>
            <w:tcW w:w="58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44A655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138</w:t>
            </w:r>
          </w:p>
        </w:tc>
        <w:tc>
          <w:tcPr>
            <w:tcW w:w="46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51FDC67"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130</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257550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94%</w:t>
            </w:r>
          </w:p>
        </w:tc>
        <w:tc>
          <w:tcPr>
            <w:tcW w:w="391"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B65BFD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138</w:t>
            </w:r>
          </w:p>
        </w:tc>
        <w:tc>
          <w:tcPr>
            <w:tcW w:w="3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97C795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69</w:t>
            </w:r>
          </w:p>
        </w:tc>
        <w:tc>
          <w:tcPr>
            <w:tcW w:w="38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747ABD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130</w:t>
            </w:r>
          </w:p>
        </w:tc>
        <w:tc>
          <w:tcPr>
            <w:tcW w:w="38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3990C0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65</w:t>
            </w:r>
          </w:p>
        </w:tc>
      </w:tr>
      <w:tr w:rsidRPr="00AE1B2B" w:rsidR="00AE1B2B" w:rsidTr="009D3FB5" w14:paraId="38B1B20E" w14:textId="77777777">
        <w:trPr>
          <w:trHeight w:val="328"/>
          <w:tblHeader/>
          <w:jc w:val="center"/>
        </w:trPr>
        <w:tc>
          <w:tcPr>
            <w:tcW w:w="1757" w:type="pct"/>
            <w:shd w:val="clear" w:color="auto" w:fill="auto"/>
            <w:vAlign w:val="center"/>
            <w:hideMark/>
          </w:tcPr>
          <w:p w:rsidRPr="00AE1B2B" w:rsidR="009D3FB5" w:rsidP="00163B94" w:rsidRDefault="009D3FB5" w14:paraId="6F451D2E"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 xml:space="preserve">Juzgado Violencia Doméstica II Circ. Jud. de la Zona Atlántica </w:t>
            </w:r>
          </w:p>
        </w:tc>
        <w:tc>
          <w:tcPr>
            <w:tcW w:w="58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97D5137"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146</w:t>
            </w:r>
          </w:p>
        </w:tc>
        <w:tc>
          <w:tcPr>
            <w:tcW w:w="46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7A18D3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137</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BB32F7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94%</w:t>
            </w:r>
          </w:p>
        </w:tc>
        <w:tc>
          <w:tcPr>
            <w:tcW w:w="391"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6431338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146</w:t>
            </w:r>
          </w:p>
        </w:tc>
        <w:tc>
          <w:tcPr>
            <w:tcW w:w="3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E91FA6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73</w:t>
            </w:r>
          </w:p>
        </w:tc>
        <w:tc>
          <w:tcPr>
            <w:tcW w:w="38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140757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137</w:t>
            </w:r>
          </w:p>
        </w:tc>
        <w:tc>
          <w:tcPr>
            <w:tcW w:w="38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0E768F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68</w:t>
            </w:r>
          </w:p>
        </w:tc>
      </w:tr>
      <w:tr w:rsidRPr="00AE1B2B" w:rsidR="00AE1B2B" w:rsidTr="009D3FB5" w14:paraId="06A4D341" w14:textId="77777777">
        <w:trPr>
          <w:trHeight w:val="328"/>
          <w:tblHeader/>
          <w:jc w:val="center"/>
        </w:trPr>
        <w:tc>
          <w:tcPr>
            <w:tcW w:w="1757" w:type="pct"/>
            <w:shd w:val="clear" w:color="auto" w:fill="auto"/>
            <w:vAlign w:val="center"/>
            <w:hideMark/>
          </w:tcPr>
          <w:p w:rsidRPr="00AE1B2B" w:rsidR="009D3FB5" w:rsidP="00163B94" w:rsidRDefault="009D3FB5" w14:paraId="14088806"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Juzgado Violencia Doméstica II Circ. Jud. San José</w:t>
            </w:r>
          </w:p>
        </w:tc>
        <w:tc>
          <w:tcPr>
            <w:tcW w:w="58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65705D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476</w:t>
            </w:r>
          </w:p>
        </w:tc>
        <w:tc>
          <w:tcPr>
            <w:tcW w:w="46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388547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468</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01D0BA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98%</w:t>
            </w:r>
          </w:p>
        </w:tc>
        <w:tc>
          <w:tcPr>
            <w:tcW w:w="391"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5550F5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95</w:t>
            </w:r>
          </w:p>
        </w:tc>
        <w:tc>
          <w:tcPr>
            <w:tcW w:w="3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B393D64"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79</w:t>
            </w:r>
          </w:p>
        </w:tc>
        <w:tc>
          <w:tcPr>
            <w:tcW w:w="38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DF4EA3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94</w:t>
            </w:r>
          </w:p>
        </w:tc>
        <w:tc>
          <w:tcPr>
            <w:tcW w:w="38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7C90A8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78</w:t>
            </w:r>
          </w:p>
        </w:tc>
      </w:tr>
      <w:tr w:rsidRPr="00AE1B2B" w:rsidR="00AE1B2B" w:rsidTr="009D3FB5" w14:paraId="1987E4D5" w14:textId="77777777">
        <w:trPr>
          <w:trHeight w:val="328"/>
          <w:tblHeader/>
          <w:jc w:val="center"/>
        </w:trPr>
        <w:tc>
          <w:tcPr>
            <w:tcW w:w="1757" w:type="pct"/>
            <w:shd w:val="clear" w:color="auto" w:fill="auto"/>
            <w:vAlign w:val="center"/>
            <w:hideMark/>
          </w:tcPr>
          <w:p w:rsidRPr="00AE1B2B" w:rsidR="009D3FB5" w:rsidP="00163B94" w:rsidRDefault="009D3FB5" w14:paraId="7C4916A9"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 xml:space="preserve">Juzgado Violencia Doméstica III Circ. Jud. San José </w:t>
            </w:r>
          </w:p>
        </w:tc>
        <w:tc>
          <w:tcPr>
            <w:tcW w:w="585"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AF75E7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244</w:t>
            </w:r>
          </w:p>
        </w:tc>
        <w:tc>
          <w:tcPr>
            <w:tcW w:w="46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EF0961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220</w:t>
            </w:r>
          </w:p>
        </w:tc>
        <w:tc>
          <w:tcPr>
            <w:tcW w:w="72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EBA981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90%</w:t>
            </w:r>
          </w:p>
        </w:tc>
        <w:tc>
          <w:tcPr>
            <w:tcW w:w="391"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2768A85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122</w:t>
            </w:r>
          </w:p>
        </w:tc>
        <w:tc>
          <w:tcPr>
            <w:tcW w:w="31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50F7F4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122</w:t>
            </w:r>
          </w:p>
        </w:tc>
        <w:tc>
          <w:tcPr>
            <w:tcW w:w="383"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E92A6E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110</w:t>
            </w:r>
          </w:p>
        </w:tc>
        <w:tc>
          <w:tcPr>
            <w:tcW w:w="38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B1AADB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110</w:t>
            </w:r>
          </w:p>
        </w:tc>
      </w:tr>
      <w:tr w:rsidRPr="00AE1B2B" w:rsidR="00AE1B2B" w:rsidTr="009D3FB5" w14:paraId="32F4C4E6" w14:textId="77777777">
        <w:trPr>
          <w:trHeight w:val="328"/>
          <w:tblHeader/>
          <w:jc w:val="center"/>
        </w:trPr>
        <w:tc>
          <w:tcPr>
            <w:tcW w:w="1757" w:type="pct"/>
            <w:shd w:val="clear" w:color="auto" w:fill="auto"/>
            <w:vAlign w:val="center"/>
            <w:hideMark/>
          </w:tcPr>
          <w:p w:rsidRPr="00AE1B2B" w:rsidR="009D3FB5" w:rsidP="00163B94" w:rsidRDefault="009D3FB5" w14:paraId="0D628990"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Juzgado Violencia Doméstica Puntarenas</w:t>
            </w:r>
          </w:p>
        </w:tc>
        <w:tc>
          <w:tcPr>
            <w:tcW w:w="585" w:type="pct"/>
            <w:tcBorders>
              <w:top w:val="nil"/>
              <w:left w:val="nil"/>
              <w:bottom w:val="nil"/>
              <w:right w:val="single" w:color="auto" w:sz="4" w:space="0"/>
            </w:tcBorders>
            <w:shd w:val="clear" w:color="auto" w:fill="auto"/>
            <w:noWrap/>
            <w:vAlign w:val="center"/>
            <w:hideMark/>
          </w:tcPr>
          <w:p w:rsidRPr="00AE1B2B" w:rsidR="009D3FB5" w:rsidP="00163B94" w:rsidRDefault="009D3FB5" w14:paraId="1844060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153</w:t>
            </w:r>
          </w:p>
        </w:tc>
        <w:tc>
          <w:tcPr>
            <w:tcW w:w="467" w:type="pct"/>
            <w:tcBorders>
              <w:top w:val="nil"/>
              <w:left w:val="nil"/>
              <w:bottom w:val="nil"/>
              <w:right w:val="single" w:color="auto" w:sz="4" w:space="0"/>
            </w:tcBorders>
            <w:shd w:val="clear" w:color="auto" w:fill="auto"/>
            <w:noWrap/>
            <w:vAlign w:val="center"/>
            <w:hideMark/>
          </w:tcPr>
          <w:p w:rsidRPr="00AE1B2B" w:rsidR="009D3FB5" w:rsidP="00163B94" w:rsidRDefault="009D3FB5" w14:paraId="04A8BEB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154</w:t>
            </w:r>
          </w:p>
        </w:tc>
        <w:tc>
          <w:tcPr>
            <w:tcW w:w="723" w:type="pct"/>
            <w:tcBorders>
              <w:top w:val="nil"/>
              <w:left w:val="nil"/>
              <w:bottom w:val="nil"/>
              <w:right w:val="single" w:color="auto" w:sz="4" w:space="0"/>
            </w:tcBorders>
            <w:shd w:val="clear" w:color="auto" w:fill="auto"/>
            <w:noWrap/>
            <w:vAlign w:val="center"/>
            <w:hideMark/>
          </w:tcPr>
          <w:p w:rsidRPr="00AE1B2B" w:rsidR="009D3FB5" w:rsidP="00163B94" w:rsidRDefault="009D3FB5" w14:paraId="58A87F5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101%</w:t>
            </w:r>
          </w:p>
        </w:tc>
        <w:tc>
          <w:tcPr>
            <w:tcW w:w="391" w:type="pct"/>
            <w:tcBorders>
              <w:top w:val="nil"/>
              <w:left w:val="single" w:color="auto" w:sz="4" w:space="0"/>
              <w:bottom w:val="nil"/>
              <w:right w:val="single" w:color="auto" w:sz="4" w:space="0"/>
            </w:tcBorders>
            <w:shd w:val="clear" w:color="auto" w:fill="auto"/>
            <w:noWrap/>
            <w:vAlign w:val="center"/>
            <w:hideMark/>
          </w:tcPr>
          <w:p w:rsidRPr="00AE1B2B" w:rsidR="009D3FB5" w:rsidP="00163B94" w:rsidRDefault="009D3FB5" w14:paraId="5329194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76</w:t>
            </w:r>
          </w:p>
        </w:tc>
        <w:tc>
          <w:tcPr>
            <w:tcW w:w="311" w:type="pct"/>
            <w:tcBorders>
              <w:top w:val="nil"/>
              <w:left w:val="nil"/>
              <w:bottom w:val="nil"/>
              <w:right w:val="single" w:color="auto" w:sz="4" w:space="0"/>
            </w:tcBorders>
            <w:shd w:val="clear" w:color="auto" w:fill="auto"/>
            <w:noWrap/>
            <w:vAlign w:val="center"/>
            <w:hideMark/>
          </w:tcPr>
          <w:p w:rsidRPr="00AE1B2B" w:rsidR="009D3FB5" w:rsidP="00163B94" w:rsidRDefault="009D3FB5" w14:paraId="6ABC4E6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51</w:t>
            </w:r>
          </w:p>
        </w:tc>
        <w:tc>
          <w:tcPr>
            <w:tcW w:w="383" w:type="pct"/>
            <w:tcBorders>
              <w:top w:val="nil"/>
              <w:left w:val="nil"/>
              <w:bottom w:val="nil"/>
              <w:right w:val="single" w:color="auto" w:sz="4" w:space="0"/>
            </w:tcBorders>
            <w:shd w:val="clear" w:color="auto" w:fill="auto"/>
            <w:noWrap/>
            <w:vAlign w:val="center"/>
            <w:hideMark/>
          </w:tcPr>
          <w:p w:rsidRPr="00AE1B2B" w:rsidR="009D3FB5" w:rsidP="00163B94" w:rsidRDefault="009D3FB5" w14:paraId="55189E6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77</w:t>
            </w:r>
          </w:p>
        </w:tc>
        <w:tc>
          <w:tcPr>
            <w:tcW w:w="382" w:type="pct"/>
            <w:tcBorders>
              <w:top w:val="nil"/>
              <w:left w:val="nil"/>
              <w:bottom w:val="nil"/>
              <w:right w:val="single" w:color="auto" w:sz="4" w:space="0"/>
            </w:tcBorders>
            <w:shd w:val="clear" w:color="auto" w:fill="auto"/>
            <w:noWrap/>
            <w:vAlign w:val="center"/>
            <w:hideMark/>
          </w:tcPr>
          <w:p w:rsidRPr="00AE1B2B" w:rsidR="009D3FB5" w:rsidP="00163B94" w:rsidRDefault="009D3FB5" w14:paraId="2C82DA1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51</w:t>
            </w:r>
          </w:p>
        </w:tc>
      </w:tr>
      <w:tr w:rsidRPr="00AE1B2B" w:rsidR="00AE1B2B" w:rsidTr="009D3FB5" w14:paraId="68ACA24E" w14:textId="77777777">
        <w:trPr>
          <w:trHeight w:val="328"/>
          <w:tblHeader/>
          <w:jc w:val="center"/>
        </w:trPr>
        <w:tc>
          <w:tcPr>
            <w:tcW w:w="1757" w:type="pct"/>
            <w:tcBorders>
              <w:top w:val="single" w:color="auto" w:sz="4" w:space="0"/>
              <w:left w:val="single" w:color="auto" w:sz="4" w:space="0"/>
              <w:bottom w:val="single" w:color="auto" w:sz="4" w:space="0"/>
              <w:right w:val="single" w:color="auto" w:sz="4" w:space="0"/>
            </w:tcBorders>
            <w:shd w:val="clear" w:color="000000" w:fill="808080"/>
            <w:vAlign w:val="center"/>
          </w:tcPr>
          <w:p w:rsidRPr="00AE1B2B" w:rsidR="009D3FB5" w:rsidP="00163B94" w:rsidRDefault="009D3FB5" w14:paraId="733275A8" w14:textId="77777777">
            <w:pPr>
              <w:spacing w:before="120" w:after="120" w:line="276" w:lineRule="auto"/>
              <w:jc w:val="right"/>
              <w:rPr>
                <w:rFonts w:ascii="Times New Roman" w:hAnsi="Times New Roman" w:eastAsia="Times New Roman" w:cs="Times New Roman"/>
                <w:b/>
                <w:bCs/>
                <w:lang w:eastAsia="es-ES"/>
              </w:rPr>
            </w:pPr>
            <w:r w:rsidRPr="00AE1B2B">
              <w:rPr>
                <w:rFonts w:ascii="Times New Roman" w:hAnsi="Times New Roman" w:cs="Times New Roman"/>
                <w:b/>
                <w:bCs/>
              </w:rPr>
              <w:t>Total</w:t>
            </w:r>
          </w:p>
        </w:tc>
        <w:tc>
          <w:tcPr>
            <w:tcW w:w="585" w:type="pct"/>
            <w:tcBorders>
              <w:top w:val="single" w:color="auto" w:sz="4" w:space="0"/>
              <w:left w:val="nil"/>
              <w:bottom w:val="single" w:color="auto" w:sz="4" w:space="0"/>
              <w:right w:val="single" w:color="auto" w:sz="4" w:space="0"/>
            </w:tcBorders>
            <w:shd w:val="clear" w:color="000000" w:fill="808080"/>
            <w:noWrap/>
            <w:vAlign w:val="center"/>
          </w:tcPr>
          <w:p w:rsidRPr="00AE1B2B" w:rsidR="009D3FB5" w:rsidP="00163B94" w:rsidRDefault="009D3FB5" w14:paraId="71D8A085"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cs="Times New Roman"/>
                <w:b/>
                <w:bCs/>
              </w:rPr>
              <w:t>2590</w:t>
            </w:r>
          </w:p>
        </w:tc>
        <w:tc>
          <w:tcPr>
            <w:tcW w:w="467" w:type="pct"/>
            <w:tcBorders>
              <w:top w:val="single" w:color="auto" w:sz="4" w:space="0"/>
              <w:left w:val="nil"/>
              <w:bottom w:val="single" w:color="auto" w:sz="4" w:space="0"/>
              <w:right w:val="single" w:color="auto" w:sz="4" w:space="0"/>
            </w:tcBorders>
            <w:shd w:val="clear" w:color="000000" w:fill="808080"/>
            <w:noWrap/>
            <w:vAlign w:val="center"/>
          </w:tcPr>
          <w:p w:rsidRPr="00AE1B2B" w:rsidR="009D3FB5" w:rsidP="00163B94" w:rsidRDefault="009D3FB5" w14:paraId="1E92FD23"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cs="Times New Roman"/>
                <w:b/>
                <w:bCs/>
              </w:rPr>
              <w:t>2511</w:t>
            </w:r>
          </w:p>
        </w:tc>
        <w:tc>
          <w:tcPr>
            <w:tcW w:w="723" w:type="pct"/>
            <w:tcBorders>
              <w:top w:val="single" w:color="auto" w:sz="4" w:space="0"/>
              <w:left w:val="nil"/>
              <w:bottom w:val="single" w:color="auto" w:sz="4" w:space="0"/>
              <w:right w:val="single" w:color="auto" w:sz="4" w:space="0"/>
            </w:tcBorders>
            <w:shd w:val="clear" w:color="000000" w:fill="808080"/>
            <w:noWrap/>
            <w:vAlign w:val="center"/>
          </w:tcPr>
          <w:p w:rsidRPr="00AE1B2B" w:rsidR="009D3FB5" w:rsidP="00163B94" w:rsidRDefault="009D3FB5" w14:paraId="0805F412"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cs="Times New Roman"/>
                <w:b/>
                <w:bCs/>
              </w:rPr>
              <w:t>Prom</w:t>
            </w:r>
          </w:p>
        </w:tc>
        <w:tc>
          <w:tcPr>
            <w:tcW w:w="391" w:type="pct"/>
            <w:tcBorders>
              <w:top w:val="single" w:color="auto" w:sz="4" w:space="0"/>
              <w:left w:val="single" w:color="auto" w:sz="4" w:space="0"/>
              <w:bottom w:val="single" w:color="auto" w:sz="4" w:space="0"/>
              <w:right w:val="single" w:color="auto" w:sz="4" w:space="0"/>
            </w:tcBorders>
            <w:shd w:val="clear" w:color="000000" w:fill="808080"/>
            <w:noWrap/>
            <w:vAlign w:val="center"/>
          </w:tcPr>
          <w:p w:rsidRPr="00AE1B2B" w:rsidR="009D3FB5" w:rsidP="00163B94" w:rsidRDefault="009D3FB5" w14:paraId="67710D89"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cs="Times New Roman"/>
                <w:b/>
                <w:bCs/>
              </w:rPr>
              <w:t>107</w:t>
            </w:r>
          </w:p>
        </w:tc>
        <w:tc>
          <w:tcPr>
            <w:tcW w:w="311" w:type="pct"/>
            <w:tcBorders>
              <w:top w:val="single" w:color="auto" w:sz="4" w:space="0"/>
              <w:left w:val="nil"/>
              <w:bottom w:val="single" w:color="auto" w:sz="4" w:space="0"/>
              <w:right w:val="single" w:color="auto" w:sz="4" w:space="0"/>
            </w:tcBorders>
            <w:shd w:val="clear" w:color="000000" w:fill="808080"/>
            <w:noWrap/>
            <w:vAlign w:val="center"/>
          </w:tcPr>
          <w:p w:rsidRPr="00AE1B2B" w:rsidR="009D3FB5" w:rsidP="00163B94" w:rsidRDefault="009D3FB5" w14:paraId="7721270B"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cs="Times New Roman"/>
                <w:b/>
                <w:bCs/>
              </w:rPr>
              <w:t>79</w:t>
            </w:r>
          </w:p>
        </w:tc>
        <w:tc>
          <w:tcPr>
            <w:tcW w:w="383" w:type="pct"/>
            <w:tcBorders>
              <w:top w:val="single" w:color="auto" w:sz="4" w:space="0"/>
              <w:left w:val="nil"/>
              <w:bottom w:val="single" w:color="auto" w:sz="4" w:space="0"/>
              <w:right w:val="single" w:color="auto" w:sz="4" w:space="0"/>
            </w:tcBorders>
            <w:shd w:val="clear" w:color="000000" w:fill="808080"/>
            <w:noWrap/>
            <w:vAlign w:val="center"/>
          </w:tcPr>
          <w:p w:rsidRPr="00AE1B2B" w:rsidR="009D3FB5" w:rsidP="00163B94" w:rsidRDefault="009D3FB5" w14:paraId="4DE3CEE0"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cs="Times New Roman"/>
                <w:b/>
                <w:bCs/>
              </w:rPr>
              <w:t>103</w:t>
            </w:r>
          </w:p>
        </w:tc>
        <w:tc>
          <w:tcPr>
            <w:tcW w:w="382" w:type="pct"/>
            <w:tcBorders>
              <w:top w:val="single" w:color="auto" w:sz="4" w:space="0"/>
              <w:left w:val="nil"/>
              <w:bottom w:val="single" w:color="auto" w:sz="4" w:space="0"/>
              <w:right w:val="single" w:color="auto" w:sz="4" w:space="0"/>
            </w:tcBorders>
            <w:shd w:val="clear" w:color="000000" w:fill="808080"/>
            <w:noWrap/>
            <w:vAlign w:val="center"/>
          </w:tcPr>
          <w:p w:rsidRPr="00AE1B2B" w:rsidR="009D3FB5" w:rsidP="00163B94" w:rsidRDefault="009D3FB5" w14:paraId="37844736"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cs="Times New Roman"/>
                <w:b/>
                <w:bCs/>
              </w:rPr>
              <w:t>76</w:t>
            </w:r>
          </w:p>
        </w:tc>
      </w:tr>
    </w:tbl>
    <w:p w:rsidRPr="00AE1B2B" w:rsidR="009D3FB5" w:rsidP="00163B94" w:rsidRDefault="009D3FB5" w14:paraId="41DB7350"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lastRenderedPageBreak/>
        <w:t xml:space="preserve">Fuente: Subproceso de Modernización Institucional, con base en datos de Cuadros Estadísticos 2017 a 2019 del Subproceso de Estadística de la Dirección de Planificación. </w:t>
      </w:r>
    </w:p>
    <w:p w:rsidRPr="00AE1B2B" w:rsidR="009D3FB5" w:rsidP="00163B94" w:rsidRDefault="009D3FB5" w14:paraId="1AE389E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62DFB1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carga de trabajo de asuntos entrados es de 107 casos al mes por persona juzgadora y de 79 por persona técnica judicial.</w:t>
      </w:r>
    </w:p>
    <w:p w:rsidRPr="00AE1B2B" w:rsidR="009D3FB5" w:rsidP="00163B94" w:rsidRDefault="009D3FB5" w14:paraId="4D07A17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8C922F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Para 2020, se reportaron en los Juzgados Especializados en Violencia Doméstica una entrada total promedio de 2531 asuntos por mes y 2605 terminados, para un circulante final de 21271. Por lo que el promedio de entrada por plaza calculado en el cuadro anterior se mantiene. </w:t>
      </w:r>
    </w:p>
    <w:p w:rsidRPr="00AE1B2B" w:rsidR="009D3FB5" w:rsidP="00163B94" w:rsidRDefault="009D3FB5" w14:paraId="174F89C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164FFD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AB7BA90" w14:textId="10AA8F16">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Por otro lado, es importante traer a colación, que según los datos suministrados en el informe del Rediseño de Juzgado de Violencia Doméstica de San Carlos, la tarea de</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w:t>
      </w:r>
      <w:r w:rsidRPr="00AE1B2B">
        <w:rPr>
          <w:rFonts w:ascii="Times New Roman" w:hAnsi="Times New Roman" w:cs="Times New Roman"/>
          <w:bCs/>
          <w:i/>
          <w:iCs/>
          <w:sz w:val="26"/>
          <w:szCs w:val="26"/>
          <w:lang w:eastAsia="es-CR"/>
        </w:rPr>
        <w:t>Solicitud medidas de protección</w:t>
      </w:r>
      <w:r w:rsidRPr="00AE1B2B">
        <w:rPr>
          <w:rFonts w:ascii="Times New Roman" w:hAnsi="Times New Roman" w:cs="Times New Roman"/>
          <w:i/>
          <w:iCs/>
          <w:sz w:val="26"/>
          <w:szCs w:val="26"/>
        </w:rPr>
        <w:t>”</w:t>
      </w:r>
      <w:r w:rsidRPr="00AE1B2B">
        <w:rPr>
          <w:rFonts w:ascii="Times New Roman" w:hAnsi="Times New Roman" w:cs="Times New Roman"/>
          <w:sz w:val="26"/>
          <w:szCs w:val="26"/>
        </w:rPr>
        <w:t xml:space="preserve"> que incluye la atención de la persona usuaria, así como la toma de la solicitud que esta realice, cuenta con un tiempo de duración promedio de 40 minutos, por lo cual, estimando ese tiempo y proyectando la cantidad más alta de entrados</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por día por persona técnica judicial según el cuadro anterior (117 casos /21 días) que sería 5,6 casos se esperaría que se utilice en esa tarea al día 3,7 horas; lo cual evidencia que las personas técnicas judiciales presentan un margen para realizar otras tareas.</w:t>
      </w:r>
      <w:r w:rsidRPr="00AE1B2B" w:rsidR="00BB7720">
        <w:rPr>
          <w:rFonts w:ascii="Times New Roman" w:hAnsi="Times New Roman" w:cs="Times New Roman"/>
          <w:sz w:val="26"/>
          <w:szCs w:val="26"/>
        </w:rPr>
        <w:t xml:space="preserve"> </w:t>
      </w:r>
    </w:p>
    <w:p w:rsidRPr="00AE1B2B" w:rsidR="009D3FB5" w:rsidP="00163B94" w:rsidRDefault="009D3FB5" w14:paraId="757D0FE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9D74EC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Al momento de la entrada en vigencia del Código Procesal de Familia se espera un aumento de los casos debido a la incorporación del proceso de “</w:t>
      </w:r>
      <w:r w:rsidRPr="00AE1B2B">
        <w:rPr>
          <w:rFonts w:ascii="Times New Roman" w:hAnsi="Times New Roman" w:cs="Times New Roman"/>
          <w:i/>
          <w:iCs/>
          <w:sz w:val="26"/>
          <w:szCs w:val="26"/>
        </w:rPr>
        <w:t>protección cautelar</w:t>
      </w:r>
      <w:r w:rsidRPr="00AE1B2B">
        <w:rPr>
          <w:rFonts w:ascii="Times New Roman" w:hAnsi="Times New Roman" w:cs="Times New Roman"/>
          <w:sz w:val="26"/>
          <w:szCs w:val="26"/>
        </w:rPr>
        <w:t>” cuando se presente una agresión fuera del núcleo familiar, en perjuicio de personas adultas mayores y personas con discapacidad. Lo anterior provocará que se incorpore los siguientes tipos de procedimiento para el catálogo de Violencia Doméstica:</w:t>
      </w:r>
    </w:p>
    <w:p w:rsidRPr="00AE1B2B" w:rsidR="009D3FB5" w:rsidP="00163B94" w:rsidRDefault="009D3FB5" w14:paraId="33F5337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0C4C8B4" w14:textId="77777777">
      <w:pPr>
        <w:pStyle w:val="Prrafodelista"/>
        <w:numPr>
          <w:ilvl w:val="0"/>
          <w:numId w:val="74"/>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Medidas de protección en los casos de Violencia Doméstica. </w:t>
      </w:r>
    </w:p>
    <w:p w:rsidRPr="00AE1B2B" w:rsidR="009D3FB5" w:rsidP="00163B94" w:rsidRDefault="009D3FB5" w14:paraId="7854851E" w14:textId="77777777">
      <w:pPr>
        <w:pStyle w:val="Prrafodelista"/>
        <w:numPr>
          <w:ilvl w:val="0"/>
          <w:numId w:val="74"/>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Medidas de Protección Cautelar en los casos de Personas Adultas Mayores.</w:t>
      </w:r>
    </w:p>
    <w:p w:rsidRPr="00AE1B2B" w:rsidR="009D3FB5" w:rsidP="00163B94" w:rsidRDefault="009D3FB5" w14:paraId="5D83C708" w14:textId="77777777">
      <w:pPr>
        <w:pStyle w:val="Prrafodelista"/>
        <w:numPr>
          <w:ilvl w:val="0"/>
          <w:numId w:val="74"/>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lastRenderedPageBreak/>
        <w:t>Medidas de Protección Cautelar en los casos de Personas con discapacidad.</w:t>
      </w:r>
    </w:p>
    <w:p w:rsidRPr="00AE1B2B" w:rsidR="009D3FB5" w:rsidP="00163B94" w:rsidRDefault="009D3FB5" w14:paraId="237776E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919D64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Esta tarea corresponderá al equipo del Subproceso de Estadística de esta Dirección en conjunto con el Juez Gestor en la materia, como parte de las áreas de revisión y actualización de la fórmula estadística.</w:t>
      </w:r>
    </w:p>
    <w:p w:rsidRPr="00AE1B2B" w:rsidR="009D3FB5" w:rsidP="00163B94" w:rsidRDefault="009D3FB5" w14:paraId="2F3D875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67E7EA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circulante en los despachos de Violencia Doméstica es una variable donde se torna necesario su análisis, ya que; debido a la naturaleza del proceso y lo expedito de su trámite se espera que la mayor parte del circulante se encuentre en fase de seguimiento.</w:t>
      </w:r>
    </w:p>
    <w:p w:rsidRPr="00AE1B2B" w:rsidR="009D3FB5" w:rsidP="00163B94" w:rsidRDefault="009D3FB5" w14:paraId="1DCEC42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Los datos del circulante por fase para el mes de febrero del 2020 se encontraban 22518 asuntos en circulante (10015 en fase de demanda, 366 en demostrativa, 3629 en conclusiva, 8368 en seguimiento y 140 casos sin actualizar la fase), lo que representaba un 37% del circulante en seguimiento. </w:t>
      </w:r>
    </w:p>
    <w:p w:rsidRPr="00AE1B2B" w:rsidR="009D3FB5" w:rsidP="00163B94" w:rsidRDefault="009D3FB5" w14:paraId="20472DE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5B90A2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Al finalizar enero 2021 según la información obtenida del SIGMA, se reportan 20 659 asuntos en circulante, una reducción respecto a febrero del año anterior de 1859 casos, con el siguiente desglose por fase. </w:t>
      </w:r>
    </w:p>
    <w:p w:rsidRPr="00AE1B2B" w:rsidR="009D3FB5" w:rsidP="00163B94" w:rsidRDefault="009D3FB5" w14:paraId="06C7511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9D3FB5" w14:paraId="277E8772" w14:textId="60651865">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55</w:t>
      </w:r>
      <w:r w:rsidRPr="00AE1B2B">
        <w:rPr>
          <w:rFonts w:ascii="Times New Roman" w:hAnsi="Times New Roman" w:cs="Times New Roman"/>
          <w:sz w:val="26"/>
          <w:szCs w:val="26"/>
        </w:rPr>
        <w:fldChar w:fldCharType="end"/>
      </w:r>
    </w:p>
    <w:p w:rsidRPr="00AE1B2B" w:rsidR="009D3FB5" w:rsidP="00163B94" w:rsidRDefault="009D3FB5" w14:paraId="3C1EDAB5"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Circulante por fases en los Juzgados Especializados de Violencia Doméstica, al finalizar enero 2021</w:t>
      </w:r>
    </w:p>
    <w:tbl>
      <w:tblPr>
        <w:tblW w:w="5000" w:type="pct"/>
        <w:tblCellMar>
          <w:left w:w="70" w:type="dxa"/>
          <w:right w:w="70" w:type="dxa"/>
        </w:tblCellMar>
        <w:tblLook w:val="04A0" w:firstRow="1" w:lastRow="0" w:firstColumn="1" w:lastColumn="0" w:noHBand="0" w:noVBand="1"/>
      </w:tblPr>
      <w:tblGrid>
        <w:gridCol w:w="2847"/>
        <w:gridCol w:w="760"/>
        <w:gridCol w:w="760"/>
        <w:gridCol w:w="759"/>
        <w:gridCol w:w="759"/>
        <w:gridCol w:w="759"/>
        <w:gridCol w:w="863"/>
        <w:gridCol w:w="1321"/>
      </w:tblGrid>
      <w:tr w:rsidRPr="00AE1B2B" w:rsidR="00AE1B2B" w:rsidTr="009D3FB5" w14:paraId="5FE8DA6A" w14:textId="77777777">
        <w:trPr>
          <w:cantSplit/>
          <w:trHeight w:val="1377"/>
          <w:tblHeader/>
        </w:trPr>
        <w:tc>
          <w:tcPr>
            <w:tcW w:w="1612" w:type="pct"/>
            <w:tcBorders>
              <w:top w:val="single" w:color="auto" w:sz="4" w:space="0"/>
              <w:left w:val="single" w:color="auto" w:sz="4" w:space="0"/>
              <w:bottom w:val="single" w:color="auto" w:sz="4" w:space="0"/>
              <w:right w:val="single" w:color="auto" w:sz="4" w:space="0"/>
            </w:tcBorders>
            <w:shd w:val="clear" w:color="000000" w:fill="002060"/>
            <w:noWrap/>
            <w:vAlign w:val="center"/>
            <w:hideMark/>
          </w:tcPr>
          <w:p w:rsidRPr="00AE1B2B" w:rsidR="009D3FB5" w:rsidP="00163B94" w:rsidRDefault="009D3FB5" w14:paraId="06B937B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Despacho</w:t>
            </w:r>
          </w:p>
        </w:tc>
        <w:tc>
          <w:tcPr>
            <w:tcW w:w="430" w:type="pct"/>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0A9BE2F2"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Demanda</w:t>
            </w:r>
          </w:p>
        </w:tc>
        <w:tc>
          <w:tcPr>
            <w:tcW w:w="430" w:type="pct"/>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195E0182"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Demostrativa</w:t>
            </w:r>
          </w:p>
        </w:tc>
        <w:tc>
          <w:tcPr>
            <w:tcW w:w="430" w:type="pct"/>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466C966B"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Conclusiva</w:t>
            </w:r>
          </w:p>
        </w:tc>
        <w:tc>
          <w:tcPr>
            <w:tcW w:w="430" w:type="pct"/>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4ED35791"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Seguimiento</w:t>
            </w:r>
          </w:p>
        </w:tc>
        <w:tc>
          <w:tcPr>
            <w:tcW w:w="430" w:type="pct"/>
            <w:tcBorders>
              <w:top w:val="single" w:color="auto" w:sz="4" w:space="0"/>
              <w:left w:val="nil"/>
              <w:bottom w:val="single" w:color="auto" w:sz="4" w:space="0"/>
              <w:right w:val="single" w:color="auto" w:sz="4" w:space="0"/>
            </w:tcBorders>
            <w:shd w:val="clear" w:color="000000" w:fill="002060"/>
            <w:textDirection w:val="btLr"/>
            <w:vAlign w:val="center"/>
            <w:hideMark/>
          </w:tcPr>
          <w:p w:rsidRPr="00AE1B2B" w:rsidR="009D3FB5" w:rsidP="00163B94" w:rsidRDefault="009D3FB5" w14:paraId="1CD34792"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Itinerado (Actualizar)</w:t>
            </w:r>
          </w:p>
        </w:tc>
        <w:tc>
          <w:tcPr>
            <w:tcW w:w="489" w:type="pct"/>
            <w:tcBorders>
              <w:top w:val="single" w:color="auto" w:sz="4" w:space="0"/>
              <w:left w:val="nil"/>
              <w:bottom w:val="single" w:color="auto" w:sz="4" w:space="0"/>
              <w:right w:val="single" w:color="auto" w:sz="4" w:space="0"/>
            </w:tcBorders>
            <w:shd w:val="clear" w:color="000000" w:fill="002060"/>
            <w:noWrap/>
            <w:vAlign w:val="center"/>
            <w:hideMark/>
          </w:tcPr>
          <w:p w:rsidRPr="00AE1B2B" w:rsidR="009D3FB5" w:rsidP="00163B94" w:rsidRDefault="009D3FB5" w14:paraId="706D631C"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Total</w:t>
            </w:r>
          </w:p>
        </w:tc>
        <w:tc>
          <w:tcPr>
            <w:tcW w:w="748"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2F80166B"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 Circulante en Seguimiento</w:t>
            </w:r>
          </w:p>
        </w:tc>
      </w:tr>
      <w:tr w:rsidRPr="00AE1B2B" w:rsidR="00AE1B2B" w:rsidTr="009D3FB5" w14:paraId="10619218" w14:textId="77777777">
        <w:trPr>
          <w:trHeight w:val="410"/>
        </w:trPr>
        <w:tc>
          <w:tcPr>
            <w:tcW w:w="1612"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031002A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Juzgado Violencia Doméstica Heredia</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8429AF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99</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E3F7E2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53</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4D6694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09229A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771</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254C98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 </w:t>
            </w:r>
          </w:p>
        </w:tc>
        <w:tc>
          <w:tcPr>
            <w:tcW w:w="489"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69C516E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928</w:t>
            </w:r>
          </w:p>
        </w:tc>
        <w:tc>
          <w:tcPr>
            <w:tcW w:w="748"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490CF00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83%</w:t>
            </w:r>
          </w:p>
        </w:tc>
      </w:tr>
      <w:tr w:rsidRPr="00AE1B2B" w:rsidR="00AE1B2B" w:rsidTr="009D3FB5" w14:paraId="2A5A77A2" w14:textId="77777777">
        <w:trPr>
          <w:trHeight w:val="410"/>
        </w:trPr>
        <w:tc>
          <w:tcPr>
            <w:tcW w:w="1612"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0A2E49C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Juzgado Violencia Doméstica Puntarenas</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CD0634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505</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17E7A4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22</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C25F8E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7CB244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677</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73B16E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1 </w:t>
            </w:r>
          </w:p>
        </w:tc>
        <w:tc>
          <w:tcPr>
            <w:tcW w:w="489"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20EA595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1209</w:t>
            </w:r>
          </w:p>
        </w:tc>
        <w:tc>
          <w:tcPr>
            <w:tcW w:w="748"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5972F62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56%</w:t>
            </w:r>
          </w:p>
        </w:tc>
      </w:tr>
      <w:tr w:rsidRPr="00AE1B2B" w:rsidR="00AE1B2B" w:rsidTr="009D3FB5" w14:paraId="34E94B6C" w14:textId="77777777">
        <w:trPr>
          <w:trHeight w:val="410"/>
        </w:trPr>
        <w:tc>
          <w:tcPr>
            <w:tcW w:w="1612"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BAC5B8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lastRenderedPageBreak/>
              <w:t>Juzgado de Violencia Doméstica del I Circ. Jud. de la Zona Atlántica</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E40A73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401</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15C641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077ADA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 2</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A4DB27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297</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1C44E2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 </w:t>
            </w:r>
          </w:p>
        </w:tc>
        <w:tc>
          <w:tcPr>
            <w:tcW w:w="489"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72F62C1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701</w:t>
            </w:r>
          </w:p>
        </w:tc>
        <w:tc>
          <w:tcPr>
            <w:tcW w:w="748"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690661F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42%</w:t>
            </w:r>
          </w:p>
        </w:tc>
      </w:tr>
      <w:tr w:rsidRPr="00AE1B2B" w:rsidR="00AE1B2B" w:rsidTr="009D3FB5" w14:paraId="2F873443" w14:textId="77777777">
        <w:trPr>
          <w:trHeight w:val="410"/>
        </w:trPr>
        <w:tc>
          <w:tcPr>
            <w:tcW w:w="1612"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74FF506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Juzgado Violencia Doméstica I Circ. Jud. Zona Sur</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1BBE43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392</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02F14B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93B225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25</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CA1AE0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910</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19F6DB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 </w:t>
            </w:r>
          </w:p>
        </w:tc>
        <w:tc>
          <w:tcPr>
            <w:tcW w:w="489"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3C40A72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1328</w:t>
            </w:r>
          </w:p>
        </w:tc>
        <w:tc>
          <w:tcPr>
            <w:tcW w:w="748"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17583F7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69%</w:t>
            </w:r>
          </w:p>
        </w:tc>
      </w:tr>
      <w:tr w:rsidRPr="00AE1B2B" w:rsidR="00AE1B2B" w:rsidTr="009D3FB5" w14:paraId="54721468" w14:textId="77777777">
        <w:trPr>
          <w:trHeight w:val="410"/>
        </w:trPr>
        <w:tc>
          <w:tcPr>
            <w:tcW w:w="1612"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70ECB02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Juzgado Violencia Doméstica I Circ. Jud. San José</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32DA7E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253</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98EE82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68</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A6D634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3 </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1869AB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718</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3E97AD3" w14:textId="77777777">
            <w:pPr>
              <w:spacing w:before="120" w:after="120" w:line="276" w:lineRule="auto"/>
              <w:jc w:val="center"/>
              <w:rPr>
                <w:rFonts w:ascii="Times New Roman" w:hAnsi="Times New Roman" w:eastAsia="Times New Roman" w:cs="Times New Roman"/>
                <w:lang w:eastAsia="es-CR"/>
              </w:rPr>
            </w:pPr>
          </w:p>
        </w:tc>
        <w:tc>
          <w:tcPr>
            <w:tcW w:w="489"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6F19DA8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1027</w:t>
            </w:r>
          </w:p>
        </w:tc>
        <w:tc>
          <w:tcPr>
            <w:tcW w:w="748"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4DE139C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70%</w:t>
            </w:r>
          </w:p>
        </w:tc>
      </w:tr>
      <w:tr w:rsidRPr="00AE1B2B" w:rsidR="00AE1B2B" w:rsidTr="009D3FB5" w14:paraId="0300ABDE" w14:textId="77777777">
        <w:trPr>
          <w:trHeight w:val="410"/>
        </w:trPr>
        <w:tc>
          <w:tcPr>
            <w:tcW w:w="1612"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785AB7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Juzgado Violencia Doméstica Hatillo, San Sebas. y Alajuelita</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E0F5A8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807</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E10E1A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65</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8ACCF9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323</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8A5394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1027</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593868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 21</w:t>
            </w:r>
          </w:p>
        </w:tc>
        <w:tc>
          <w:tcPr>
            <w:tcW w:w="489"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579DB1A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2243</w:t>
            </w:r>
          </w:p>
        </w:tc>
        <w:tc>
          <w:tcPr>
            <w:tcW w:w="748"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57B62D9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46%</w:t>
            </w:r>
          </w:p>
        </w:tc>
      </w:tr>
      <w:tr w:rsidRPr="00AE1B2B" w:rsidR="00AE1B2B" w:rsidTr="009D3FB5" w14:paraId="40CA2991" w14:textId="77777777">
        <w:trPr>
          <w:trHeight w:val="554"/>
        </w:trPr>
        <w:tc>
          <w:tcPr>
            <w:tcW w:w="1612"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BCE103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 xml:space="preserve">Juzgado Violencia Doméstica II Circ. Jud. Alajuela </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B51843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565</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1495E1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6AA54D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28</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F86A64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573</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BA7007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1 </w:t>
            </w:r>
          </w:p>
        </w:tc>
        <w:tc>
          <w:tcPr>
            <w:tcW w:w="489"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40CA827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1174</w:t>
            </w:r>
          </w:p>
        </w:tc>
        <w:tc>
          <w:tcPr>
            <w:tcW w:w="748"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33FB0A6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49%</w:t>
            </w:r>
          </w:p>
        </w:tc>
      </w:tr>
      <w:tr w:rsidRPr="00AE1B2B" w:rsidR="00AE1B2B" w:rsidTr="009D3FB5" w14:paraId="6757650F" w14:textId="77777777">
        <w:trPr>
          <w:trHeight w:val="554"/>
        </w:trPr>
        <w:tc>
          <w:tcPr>
            <w:tcW w:w="1612"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6A982F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Juzgado Violencia Doméstica Cartago</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011BE5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780</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3BF87B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5C734B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63E9FF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899</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B8B527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39</w:t>
            </w:r>
          </w:p>
        </w:tc>
        <w:tc>
          <w:tcPr>
            <w:tcW w:w="489"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0AE8998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1719</w:t>
            </w:r>
          </w:p>
        </w:tc>
        <w:tc>
          <w:tcPr>
            <w:tcW w:w="748"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1857474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52%</w:t>
            </w:r>
          </w:p>
        </w:tc>
      </w:tr>
      <w:tr w:rsidRPr="00AE1B2B" w:rsidR="00AE1B2B" w:rsidTr="009D3FB5" w14:paraId="2E506254" w14:textId="77777777">
        <w:trPr>
          <w:trHeight w:val="554"/>
        </w:trPr>
        <w:tc>
          <w:tcPr>
            <w:tcW w:w="1612"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ECCD59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 xml:space="preserve">Juzgado Violencia Doméstica III Circ. Jud. San José </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32B570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1202</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0B6787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326</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3384DA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705</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20843D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329</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21F0A6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 2</w:t>
            </w:r>
          </w:p>
        </w:tc>
        <w:tc>
          <w:tcPr>
            <w:tcW w:w="489"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3BDE40D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2564</w:t>
            </w:r>
          </w:p>
        </w:tc>
        <w:tc>
          <w:tcPr>
            <w:tcW w:w="748"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586B7AB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13%</w:t>
            </w:r>
          </w:p>
        </w:tc>
      </w:tr>
      <w:tr w:rsidRPr="00AE1B2B" w:rsidR="00AE1B2B" w:rsidTr="009D3FB5" w14:paraId="297A3050" w14:textId="77777777">
        <w:trPr>
          <w:trHeight w:val="554"/>
        </w:trPr>
        <w:tc>
          <w:tcPr>
            <w:tcW w:w="1612"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CD8F6C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Juzgado Violencia Doméstica I Circ. Jud. Alajuela</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A80D87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1503</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BFDE7D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6B4C27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599</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F94CCA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272</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A7D28A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15</w:t>
            </w:r>
          </w:p>
        </w:tc>
        <w:tc>
          <w:tcPr>
            <w:tcW w:w="489"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7E8E12E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2391</w:t>
            </w:r>
          </w:p>
        </w:tc>
        <w:tc>
          <w:tcPr>
            <w:tcW w:w="748"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2B77AED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11%</w:t>
            </w:r>
          </w:p>
        </w:tc>
      </w:tr>
      <w:tr w:rsidRPr="00AE1B2B" w:rsidR="00AE1B2B" w:rsidTr="009D3FB5" w14:paraId="50AD479B" w14:textId="77777777">
        <w:trPr>
          <w:trHeight w:val="410"/>
        </w:trPr>
        <w:tc>
          <w:tcPr>
            <w:tcW w:w="1612"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F9C433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Juzgado Violencia Doméstica II Circ. Jud. San José</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8CC03E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2556</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5BF7E9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59</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E68BC2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898</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307E93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896</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18A6E7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72</w:t>
            </w:r>
          </w:p>
        </w:tc>
        <w:tc>
          <w:tcPr>
            <w:tcW w:w="489"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46BBDD3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4481</w:t>
            </w:r>
          </w:p>
        </w:tc>
        <w:tc>
          <w:tcPr>
            <w:tcW w:w="748"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30232E2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20%</w:t>
            </w:r>
          </w:p>
        </w:tc>
      </w:tr>
      <w:tr w:rsidRPr="00AE1B2B" w:rsidR="00AE1B2B" w:rsidTr="009D3FB5" w14:paraId="68E8FBCC" w14:textId="77777777">
        <w:trPr>
          <w:trHeight w:val="554"/>
        </w:trPr>
        <w:tc>
          <w:tcPr>
            <w:tcW w:w="1612"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2A0F82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cs="Times New Roman"/>
              </w:rPr>
              <w:t xml:space="preserve">Juzgado Violencia Doméstica II Circ. Jud. de la Zona Atlántica </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45D9B4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678</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61AF73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 </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389EB1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216</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D0BC3F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 </w:t>
            </w:r>
          </w:p>
        </w:tc>
        <w:tc>
          <w:tcPr>
            <w:tcW w:w="430"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769BDE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 </w:t>
            </w:r>
          </w:p>
        </w:tc>
        <w:tc>
          <w:tcPr>
            <w:tcW w:w="489"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0EA8668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894</w:t>
            </w:r>
          </w:p>
        </w:tc>
        <w:tc>
          <w:tcPr>
            <w:tcW w:w="748" w:type="pct"/>
            <w:tcBorders>
              <w:top w:val="nil"/>
              <w:left w:val="nil"/>
              <w:bottom w:val="single" w:color="auto" w:sz="4" w:space="0"/>
              <w:right w:val="single" w:color="auto" w:sz="4" w:space="0"/>
            </w:tcBorders>
            <w:shd w:val="clear" w:color="FFFFFF" w:fill="FFFFFF"/>
            <w:noWrap/>
            <w:vAlign w:val="center"/>
            <w:hideMark/>
          </w:tcPr>
          <w:p w:rsidRPr="00AE1B2B" w:rsidR="009D3FB5" w:rsidP="00163B94" w:rsidRDefault="009D3FB5" w14:paraId="6D72D1D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0%</w:t>
            </w:r>
          </w:p>
        </w:tc>
      </w:tr>
      <w:tr w:rsidRPr="00AE1B2B" w:rsidR="00AE1B2B" w:rsidTr="009D3FB5" w14:paraId="730894C3" w14:textId="77777777">
        <w:trPr>
          <w:trHeight w:val="194"/>
        </w:trPr>
        <w:tc>
          <w:tcPr>
            <w:tcW w:w="1612" w:type="pct"/>
            <w:tcBorders>
              <w:top w:val="single" w:color="auto" w:sz="4" w:space="0"/>
              <w:left w:val="single" w:color="auto" w:sz="4" w:space="0"/>
              <w:bottom w:val="single" w:color="auto" w:sz="4" w:space="0"/>
              <w:right w:val="single" w:color="auto" w:sz="4" w:space="0"/>
            </w:tcBorders>
            <w:shd w:val="clear" w:color="000000" w:fill="808080"/>
            <w:noWrap/>
            <w:vAlign w:val="bottom"/>
            <w:hideMark/>
          </w:tcPr>
          <w:p w:rsidRPr="00AE1B2B" w:rsidR="009D3FB5" w:rsidP="00163B94" w:rsidRDefault="009D3FB5" w14:paraId="4D10A118" w14:textId="77777777">
            <w:pPr>
              <w:spacing w:before="120" w:after="120" w:line="276" w:lineRule="auto"/>
              <w:jc w:val="right"/>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Total</w:t>
            </w:r>
          </w:p>
        </w:tc>
        <w:tc>
          <w:tcPr>
            <w:tcW w:w="430" w:type="pct"/>
            <w:tcBorders>
              <w:top w:val="single" w:color="auto" w:sz="4" w:space="0"/>
              <w:left w:val="nil"/>
              <w:bottom w:val="single" w:color="auto" w:sz="4" w:space="0"/>
              <w:right w:val="single" w:color="auto" w:sz="4" w:space="0"/>
            </w:tcBorders>
            <w:shd w:val="clear" w:color="000000" w:fill="808080"/>
            <w:noWrap/>
            <w:vAlign w:val="bottom"/>
            <w:hideMark/>
          </w:tcPr>
          <w:p w:rsidRPr="00AE1B2B" w:rsidR="009D3FB5" w:rsidP="00163B94" w:rsidRDefault="009D3FB5" w14:paraId="1200E359"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9741</w:t>
            </w:r>
          </w:p>
        </w:tc>
        <w:tc>
          <w:tcPr>
            <w:tcW w:w="430" w:type="pct"/>
            <w:tcBorders>
              <w:top w:val="single" w:color="auto" w:sz="4" w:space="0"/>
              <w:left w:val="nil"/>
              <w:bottom w:val="single" w:color="auto" w:sz="4" w:space="0"/>
              <w:right w:val="single" w:color="auto" w:sz="4" w:space="0"/>
            </w:tcBorders>
            <w:shd w:val="clear" w:color="000000" w:fill="808080"/>
            <w:noWrap/>
            <w:vAlign w:val="bottom"/>
            <w:hideMark/>
          </w:tcPr>
          <w:p w:rsidRPr="00AE1B2B" w:rsidR="009D3FB5" w:rsidP="00163B94" w:rsidRDefault="009D3FB5" w14:paraId="471E87B3"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602</w:t>
            </w:r>
          </w:p>
        </w:tc>
        <w:tc>
          <w:tcPr>
            <w:tcW w:w="430" w:type="pct"/>
            <w:tcBorders>
              <w:top w:val="single" w:color="auto" w:sz="4" w:space="0"/>
              <w:left w:val="nil"/>
              <w:bottom w:val="single" w:color="auto" w:sz="4" w:space="0"/>
              <w:right w:val="single" w:color="auto" w:sz="4" w:space="0"/>
            </w:tcBorders>
            <w:shd w:val="clear" w:color="000000" w:fill="808080"/>
            <w:noWrap/>
            <w:vAlign w:val="bottom"/>
            <w:hideMark/>
          </w:tcPr>
          <w:p w:rsidRPr="00AE1B2B" w:rsidR="009D3FB5" w:rsidP="00163B94" w:rsidRDefault="009D3FB5" w14:paraId="7948CAF8"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2804</w:t>
            </w:r>
          </w:p>
        </w:tc>
        <w:tc>
          <w:tcPr>
            <w:tcW w:w="430" w:type="pct"/>
            <w:tcBorders>
              <w:top w:val="single" w:color="auto" w:sz="4" w:space="0"/>
              <w:left w:val="nil"/>
              <w:bottom w:val="single" w:color="auto" w:sz="4" w:space="0"/>
              <w:right w:val="single" w:color="auto" w:sz="4" w:space="0"/>
            </w:tcBorders>
            <w:shd w:val="clear" w:color="000000" w:fill="808080"/>
            <w:noWrap/>
            <w:vAlign w:val="bottom"/>
            <w:hideMark/>
          </w:tcPr>
          <w:p w:rsidRPr="00AE1B2B" w:rsidR="009D3FB5" w:rsidP="00163B94" w:rsidRDefault="009D3FB5" w14:paraId="789F9057"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7369</w:t>
            </w:r>
          </w:p>
        </w:tc>
        <w:tc>
          <w:tcPr>
            <w:tcW w:w="430" w:type="pct"/>
            <w:tcBorders>
              <w:top w:val="single" w:color="auto" w:sz="4" w:space="0"/>
              <w:left w:val="nil"/>
              <w:bottom w:val="single" w:color="auto" w:sz="4" w:space="0"/>
              <w:right w:val="single" w:color="auto" w:sz="4" w:space="0"/>
            </w:tcBorders>
            <w:shd w:val="clear" w:color="000000" w:fill="808080"/>
            <w:noWrap/>
            <w:vAlign w:val="bottom"/>
            <w:hideMark/>
          </w:tcPr>
          <w:p w:rsidRPr="00AE1B2B" w:rsidR="009D3FB5" w:rsidP="00163B94" w:rsidRDefault="009D3FB5" w14:paraId="1C714A60"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140</w:t>
            </w:r>
          </w:p>
        </w:tc>
        <w:tc>
          <w:tcPr>
            <w:tcW w:w="489" w:type="pct"/>
            <w:tcBorders>
              <w:top w:val="single" w:color="auto" w:sz="4" w:space="0"/>
              <w:left w:val="nil"/>
              <w:bottom w:val="single" w:color="auto" w:sz="4" w:space="0"/>
              <w:right w:val="single" w:color="auto" w:sz="4" w:space="0"/>
            </w:tcBorders>
            <w:shd w:val="clear" w:color="000000" w:fill="808080"/>
            <w:noWrap/>
            <w:vAlign w:val="bottom"/>
            <w:hideMark/>
          </w:tcPr>
          <w:p w:rsidRPr="00AE1B2B" w:rsidR="009D3FB5" w:rsidP="00163B94" w:rsidRDefault="009D3FB5" w14:paraId="413F0696"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20659</w:t>
            </w:r>
          </w:p>
        </w:tc>
        <w:tc>
          <w:tcPr>
            <w:tcW w:w="748" w:type="pct"/>
            <w:tcBorders>
              <w:top w:val="single" w:color="auto" w:sz="4" w:space="0"/>
              <w:left w:val="nil"/>
              <w:bottom w:val="single" w:color="auto" w:sz="4" w:space="0"/>
              <w:right w:val="single" w:color="auto" w:sz="4" w:space="0"/>
            </w:tcBorders>
            <w:shd w:val="clear" w:color="FFFFFF" w:fill="808080"/>
            <w:noWrap/>
            <w:vAlign w:val="bottom"/>
            <w:hideMark/>
          </w:tcPr>
          <w:p w:rsidRPr="00AE1B2B" w:rsidR="009D3FB5" w:rsidP="00163B94" w:rsidRDefault="009D3FB5" w14:paraId="29EC8DCC" w14:textId="77777777">
            <w:pPr>
              <w:spacing w:before="120" w:after="120" w:line="276" w:lineRule="auto"/>
              <w:jc w:val="center"/>
              <w:rPr>
                <w:rFonts w:ascii="Times New Roman" w:hAnsi="Times New Roman" w:eastAsia="Times New Roman" w:cs="Times New Roman"/>
                <w:b/>
                <w:lang w:eastAsia="es-CR"/>
              </w:rPr>
            </w:pPr>
          </w:p>
        </w:tc>
      </w:tr>
      <w:tr w:rsidRPr="00AE1B2B" w:rsidR="00AE1B2B" w:rsidTr="009D3FB5" w14:paraId="25EC4440" w14:textId="77777777">
        <w:trPr>
          <w:trHeight w:val="194"/>
        </w:trPr>
        <w:tc>
          <w:tcPr>
            <w:tcW w:w="1612" w:type="pct"/>
            <w:tcBorders>
              <w:top w:val="single" w:color="auto" w:sz="4" w:space="0"/>
              <w:left w:val="single" w:color="auto" w:sz="4" w:space="0"/>
              <w:bottom w:val="single" w:color="auto" w:sz="4" w:space="0"/>
              <w:right w:val="single" w:color="auto" w:sz="4" w:space="0"/>
            </w:tcBorders>
            <w:shd w:val="clear" w:color="000000" w:fill="808080"/>
            <w:noWrap/>
            <w:vAlign w:val="bottom"/>
          </w:tcPr>
          <w:p w:rsidRPr="00AE1B2B" w:rsidR="009D3FB5" w:rsidP="00163B94" w:rsidRDefault="009D3FB5" w14:paraId="2B3FEBE3" w14:textId="77777777">
            <w:pPr>
              <w:spacing w:before="120" w:after="120" w:line="276" w:lineRule="auto"/>
              <w:jc w:val="right"/>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Promedio</w:t>
            </w:r>
          </w:p>
        </w:tc>
        <w:tc>
          <w:tcPr>
            <w:tcW w:w="430" w:type="pct"/>
            <w:tcBorders>
              <w:top w:val="single" w:color="auto" w:sz="4" w:space="0"/>
              <w:left w:val="nil"/>
              <w:bottom w:val="single" w:color="auto" w:sz="4" w:space="0"/>
              <w:right w:val="single" w:color="auto" w:sz="4" w:space="0"/>
            </w:tcBorders>
            <w:shd w:val="clear" w:color="000000" w:fill="808080"/>
            <w:noWrap/>
            <w:vAlign w:val="bottom"/>
          </w:tcPr>
          <w:p w:rsidRPr="00AE1B2B" w:rsidR="009D3FB5" w:rsidDel="00B30937" w:rsidP="00163B94" w:rsidRDefault="009D3FB5" w14:paraId="4E491E6F" w14:textId="77777777">
            <w:pPr>
              <w:spacing w:before="120" w:after="120" w:line="276" w:lineRule="auto"/>
              <w:jc w:val="center"/>
              <w:rPr>
                <w:rFonts w:ascii="Times New Roman" w:hAnsi="Times New Roman" w:eastAsia="Times New Roman" w:cs="Times New Roman"/>
                <w:b/>
                <w:lang w:eastAsia="es-CR"/>
              </w:rPr>
            </w:pPr>
          </w:p>
        </w:tc>
        <w:tc>
          <w:tcPr>
            <w:tcW w:w="430" w:type="pct"/>
            <w:tcBorders>
              <w:top w:val="single" w:color="auto" w:sz="4" w:space="0"/>
              <w:left w:val="nil"/>
              <w:bottom w:val="single" w:color="auto" w:sz="4" w:space="0"/>
              <w:right w:val="single" w:color="auto" w:sz="4" w:space="0"/>
            </w:tcBorders>
            <w:shd w:val="clear" w:color="000000" w:fill="808080"/>
            <w:noWrap/>
            <w:vAlign w:val="bottom"/>
          </w:tcPr>
          <w:p w:rsidRPr="00AE1B2B" w:rsidR="009D3FB5" w:rsidDel="00B30937" w:rsidP="00163B94" w:rsidRDefault="009D3FB5" w14:paraId="6621604A" w14:textId="77777777">
            <w:pPr>
              <w:spacing w:before="120" w:after="120" w:line="276" w:lineRule="auto"/>
              <w:jc w:val="center"/>
              <w:rPr>
                <w:rFonts w:ascii="Times New Roman" w:hAnsi="Times New Roman" w:eastAsia="Times New Roman" w:cs="Times New Roman"/>
                <w:b/>
                <w:lang w:eastAsia="es-CR"/>
              </w:rPr>
            </w:pPr>
          </w:p>
        </w:tc>
        <w:tc>
          <w:tcPr>
            <w:tcW w:w="430" w:type="pct"/>
            <w:tcBorders>
              <w:top w:val="single" w:color="auto" w:sz="4" w:space="0"/>
              <w:left w:val="nil"/>
              <w:bottom w:val="single" w:color="auto" w:sz="4" w:space="0"/>
              <w:right w:val="single" w:color="auto" w:sz="4" w:space="0"/>
            </w:tcBorders>
            <w:shd w:val="clear" w:color="000000" w:fill="808080"/>
            <w:noWrap/>
            <w:vAlign w:val="bottom"/>
          </w:tcPr>
          <w:p w:rsidRPr="00AE1B2B" w:rsidR="009D3FB5" w:rsidDel="00B30937" w:rsidP="00163B94" w:rsidRDefault="009D3FB5" w14:paraId="2977DA2A" w14:textId="77777777">
            <w:pPr>
              <w:spacing w:before="120" w:after="120" w:line="276" w:lineRule="auto"/>
              <w:jc w:val="center"/>
              <w:rPr>
                <w:rFonts w:ascii="Times New Roman" w:hAnsi="Times New Roman" w:eastAsia="Times New Roman" w:cs="Times New Roman"/>
                <w:b/>
                <w:lang w:eastAsia="es-CR"/>
              </w:rPr>
            </w:pPr>
          </w:p>
        </w:tc>
        <w:tc>
          <w:tcPr>
            <w:tcW w:w="430" w:type="pct"/>
            <w:tcBorders>
              <w:top w:val="single" w:color="auto" w:sz="4" w:space="0"/>
              <w:left w:val="nil"/>
              <w:bottom w:val="single" w:color="auto" w:sz="4" w:space="0"/>
              <w:right w:val="single" w:color="auto" w:sz="4" w:space="0"/>
            </w:tcBorders>
            <w:shd w:val="clear" w:color="000000" w:fill="808080"/>
            <w:noWrap/>
            <w:vAlign w:val="bottom"/>
          </w:tcPr>
          <w:p w:rsidRPr="00AE1B2B" w:rsidR="009D3FB5" w:rsidDel="00B30937" w:rsidP="00163B94" w:rsidRDefault="009D3FB5" w14:paraId="75F94A95" w14:textId="77777777">
            <w:pPr>
              <w:spacing w:before="120" w:after="120" w:line="276" w:lineRule="auto"/>
              <w:jc w:val="center"/>
              <w:rPr>
                <w:rFonts w:ascii="Times New Roman" w:hAnsi="Times New Roman" w:eastAsia="Times New Roman" w:cs="Times New Roman"/>
                <w:b/>
                <w:lang w:eastAsia="es-CR"/>
              </w:rPr>
            </w:pPr>
          </w:p>
        </w:tc>
        <w:tc>
          <w:tcPr>
            <w:tcW w:w="430" w:type="pct"/>
            <w:tcBorders>
              <w:top w:val="single" w:color="auto" w:sz="4" w:space="0"/>
              <w:left w:val="nil"/>
              <w:bottom w:val="single" w:color="auto" w:sz="4" w:space="0"/>
              <w:right w:val="single" w:color="auto" w:sz="4" w:space="0"/>
            </w:tcBorders>
            <w:shd w:val="clear" w:color="000000" w:fill="808080"/>
            <w:noWrap/>
            <w:vAlign w:val="bottom"/>
          </w:tcPr>
          <w:p w:rsidRPr="00AE1B2B" w:rsidR="009D3FB5" w:rsidP="00163B94" w:rsidRDefault="009D3FB5" w14:paraId="77AF2159" w14:textId="77777777">
            <w:pPr>
              <w:spacing w:before="120" w:after="120" w:line="276" w:lineRule="auto"/>
              <w:jc w:val="center"/>
              <w:rPr>
                <w:rFonts w:ascii="Times New Roman" w:hAnsi="Times New Roman" w:eastAsia="Times New Roman" w:cs="Times New Roman"/>
                <w:b/>
                <w:lang w:eastAsia="es-CR"/>
              </w:rPr>
            </w:pPr>
          </w:p>
        </w:tc>
        <w:tc>
          <w:tcPr>
            <w:tcW w:w="489" w:type="pct"/>
            <w:tcBorders>
              <w:top w:val="single" w:color="auto" w:sz="4" w:space="0"/>
              <w:left w:val="nil"/>
              <w:bottom w:val="single" w:color="auto" w:sz="4" w:space="0"/>
              <w:right w:val="single" w:color="auto" w:sz="4" w:space="0"/>
            </w:tcBorders>
            <w:shd w:val="clear" w:color="000000" w:fill="808080"/>
            <w:noWrap/>
            <w:vAlign w:val="bottom"/>
          </w:tcPr>
          <w:p w:rsidRPr="00AE1B2B" w:rsidR="009D3FB5" w:rsidDel="00B30937" w:rsidP="00163B94" w:rsidRDefault="009D3FB5" w14:paraId="149F50D7" w14:textId="77777777">
            <w:pPr>
              <w:spacing w:before="120" w:after="120" w:line="276" w:lineRule="auto"/>
              <w:jc w:val="center"/>
              <w:rPr>
                <w:rFonts w:ascii="Times New Roman" w:hAnsi="Times New Roman" w:eastAsia="Times New Roman" w:cs="Times New Roman"/>
                <w:b/>
                <w:lang w:eastAsia="es-CR"/>
              </w:rPr>
            </w:pPr>
          </w:p>
        </w:tc>
        <w:tc>
          <w:tcPr>
            <w:tcW w:w="748" w:type="pct"/>
            <w:tcBorders>
              <w:top w:val="single" w:color="auto" w:sz="4" w:space="0"/>
              <w:left w:val="nil"/>
              <w:bottom w:val="single" w:color="auto" w:sz="4" w:space="0"/>
              <w:right w:val="single" w:color="auto" w:sz="4" w:space="0"/>
            </w:tcBorders>
            <w:shd w:val="clear" w:color="FFFFFF" w:fill="808080"/>
            <w:noWrap/>
            <w:vAlign w:val="bottom"/>
          </w:tcPr>
          <w:p w:rsidRPr="00AE1B2B" w:rsidR="009D3FB5" w:rsidP="00163B94" w:rsidRDefault="009D3FB5" w14:paraId="3EED052C"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43%</w:t>
            </w:r>
          </w:p>
        </w:tc>
      </w:tr>
    </w:tbl>
    <w:p w:rsidRPr="00AE1B2B" w:rsidR="009D3FB5" w:rsidP="00163B94" w:rsidRDefault="009D3FB5" w14:paraId="740307DD"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Subproceso de Modernización Institucional, con base a la información del SIGMA, reporte circulante final enero 2021. </w:t>
      </w:r>
    </w:p>
    <w:p w:rsidRPr="00AE1B2B" w:rsidR="009D3FB5" w:rsidP="00163B94" w:rsidRDefault="009D3FB5" w14:paraId="3351A77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E925592" w14:textId="0214D978">
      <w:pPr>
        <w:spacing w:before="120" w:after="120"/>
        <w:ind w:left="851" w:right="851" w:firstLine="709"/>
        <w:jc w:val="both"/>
        <w:rPr>
          <w:rFonts w:ascii="Times New Roman" w:hAnsi="Times New Roman" w:cs="Times New Roman"/>
          <w:b/>
          <w:bCs/>
          <w:sz w:val="26"/>
          <w:szCs w:val="26"/>
        </w:rPr>
      </w:pPr>
      <w:r w:rsidRPr="00AE1B2B">
        <w:rPr>
          <w:rFonts w:ascii="Times New Roman" w:hAnsi="Times New Roman" w:cs="Times New Roman"/>
          <w:b/>
          <w:bCs/>
          <w:sz w:val="26"/>
          <w:szCs w:val="26"/>
        </w:rPr>
        <w:lastRenderedPageBreak/>
        <w:t>La información anterior permite inferir que la mayoría de los Despachos mantiene desactualizadas las fases de los procesos que se encuentran en el circulante, ya que; que sólo 5 de los juzgados presentan más del 50% del circulante en etapa de seguimiento y gran parte de los juzgados predomina el circulante en la etapa de “Demanda”, lo que implicaría que para esa cantidad de expedientes aún no se recibe el acta de notificación del presunto agresor; para ejemplificar se resalta la situación del Juzgado de</w:t>
      </w:r>
      <w:r w:rsidRPr="00AE1B2B" w:rsidR="00BB7720">
        <w:rPr>
          <w:rFonts w:ascii="Times New Roman" w:hAnsi="Times New Roman" w:cs="Times New Roman"/>
          <w:b/>
          <w:bCs/>
          <w:sz w:val="26"/>
          <w:szCs w:val="26"/>
        </w:rPr>
        <w:t xml:space="preserve"> </w:t>
      </w:r>
      <w:r w:rsidRPr="00AE1B2B">
        <w:rPr>
          <w:rFonts w:ascii="Times New Roman" w:hAnsi="Times New Roman" w:cs="Times New Roman"/>
          <w:b/>
          <w:bCs/>
          <w:sz w:val="26"/>
          <w:szCs w:val="26"/>
        </w:rPr>
        <w:t xml:space="preserve">Violencia Doméstica II Circuito Judicial de San José que presenta 2556 expedientes en fase de demanda y presenta una entrada promedio de 476 casos al mes, lo que implicaría que al menos tiene la entrada de más de 5 meses en etapa de demanda, situación que no es coincidente con lo expedito del proceso. </w:t>
      </w:r>
    </w:p>
    <w:p w:rsidRPr="00AE1B2B" w:rsidR="009D3FB5" w:rsidP="00163B94" w:rsidRDefault="009D3FB5" w14:paraId="2EE9BDF9" w14:textId="77777777">
      <w:pPr>
        <w:spacing w:before="120" w:after="120"/>
        <w:ind w:left="851" w:right="851" w:firstLine="709"/>
        <w:jc w:val="both"/>
        <w:rPr>
          <w:rFonts w:ascii="Times New Roman" w:hAnsi="Times New Roman" w:cs="Times New Roman"/>
          <w:b/>
          <w:bCs/>
          <w:sz w:val="26"/>
          <w:szCs w:val="26"/>
        </w:rPr>
      </w:pPr>
      <w:r w:rsidRPr="00AE1B2B">
        <w:rPr>
          <w:rFonts w:ascii="Times New Roman" w:hAnsi="Times New Roman" w:cs="Times New Roman"/>
          <w:b/>
          <w:bCs/>
          <w:sz w:val="26"/>
          <w:szCs w:val="26"/>
        </w:rPr>
        <w:t>Resalta también el Juzgado de Violencia Doméstica del Segundo Circuito Judicial de la Zona Atlántica, que al finalizar enero no reporta asuntos en fase de seguimiento.</w:t>
      </w:r>
    </w:p>
    <w:p w:rsidRPr="00AE1B2B" w:rsidR="009D3FB5" w:rsidP="00163B94" w:rsidRDefault="009D3FB5" w14:paraId="5829BD9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45A41C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 anterior recalca la necesidad de que se generar una actualización de las fases del circulante de los despachos, que se fortalezca la línea institucional sobre el procedimiento en la etapa se seguimiento, así como un monitoreo proactivo de la situación de los Despachos de Violencia Doméstica. Lo indicado sería lo esencial para lograr realizar un análisis real de la carga de trabajo de estos despachos y definir la necesidad de recurso humano.</w:t>
      </w:r>
    </w:p>
    <w:p w:rsidRPr="00AE1B2B" w:rsidR="009D3FB5" w:rsidP="00163B94" w:rsidRDefault="009D3FB5" w14:paraId="259A9B4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742E14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Con la finalidad de contar con información verás sobre el desempeño de los despachos se monitorearán por medio de SIGMA las siguientes variables:</w:t>
      </w:r>
    </w:p>
    <w:p w:rsidRPr="00AE1B2B" w:rsidR="009D3FB5" w:rsidP="00163B94" w:rsidRDefault="009D3FB5" w14:paraId="1BC96ABD" w14:textId="77777777">
      <w:pPr>
        <w:spacing w:before="120" w:after="120"/>
        <w:ind w:left="851" w:right="851" w:firstLine="709"/>
        <w:jc w:val="both"/>
        <w:rPr>
          <w:rFonts w:ascii="Times New Roman" w:hAnsi="Times New Roman" w:cs="Times New Roman"/>
          <w:sz w:val="26"/>
          <w:szCs w:val="26"/>
          <w:highlight w:val="green"/>
        </w:rPr>
      </w:pPr>
    </w:p>
    <w:p w:rsidRPr="00AE1B2B" w:rsidR="009D3FB5" w:rsidP="00163B94" w:rsidRDefault="009D3FB5" w14:paraId="19109780" w14:textId="77777777">
      <w:pPr>
        <w:pStyle w:val="Prrafodelista"/>
        <w:numPr>
          <w:ilvl w:val="0"/>
          <w:numId w:val="75"/>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Entrada de casos</w:t>
      </w:r>
    </w:p>
    <w:p w:rsidRPr="00AE1B2B" w:rsidR="009D3FB5" w:rsidP="00163B94" w:rsidRDefault="009D3FB5" w14:paraId="2C90BDE0" w14:textId="77777777">
      <w:pPr>
        <w:pStyle w:val="Prrafodelista"/>
        <w:numPr>
          <w:ilvl w:val="0"/>
          <w:numId w:val="75"/>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Casos terminados</w:t>
      </w:r>
    </w:p>
    <w:p w:rsidRPr="00AE1B2B" w:rsidR="009D3FB5" w:rsidP="00163B94" w:rsidRDefault="009D3FB5" w14:paraId="47D112F1" w14:textId="77777777">
      <w:pPr>
        <w:pStyle w:val="Prrafodelista"/>
        <w:numPr>
          <w:ilvl w:val="0"/>
          <w:numId w:val="75"/>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Cantidad de circulante</w:t>
      </w:r>
    </w:p>
    <w:p w:rsidRPr="00AE1B2B" w:rsidR="009D3FB5" w:rsidP="00163B94" w:rsidRDefault="009D3FB5" w14:paraId="3AD075DA" w14:textId="77777777">
      <w:pPr>
        <w:pStyle w:val="Prrafodelista"/>
        <w:numPr>
          <w:ilvl w:val="0"/>
          <w:numId w:val="75"/>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Distribución del circulante entre las fases</w:t>
      </w:r>
    </w:p>
    <w:p w:rsidRPr="00AE1B2B" w:rsidR="009D3FB5" w:rsidP="00163B94" w:rsidRDefault="009D3FB5" w14:paraId="6A45FEEA" w14:textId="77777777">
      <w:pPr>
        <w:pStyle w:val="Prrafodelista"/>
        <w:numPr>
          <w:ilvl w:val="0"/>
          <w:numId w:val="75"/>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Cantidad de resoluciones de fondo dictadas</w:t>
      </w:r>
    </w:p>
    <w:p w:rsidRPr="00AE1B2B" w:rsidR="009D3FB5" w:rsidP="00163B94" w:rsidRDefault="009D3FB5" w14:paraId="1A51453B" w14:textId="77777777">
      <w:pPr>
        <w:pStyle w:val="Prrafodelista"/>
        <w:numPr>
          <w:ilvl w:val="0"/>
          <w:numId w:val="75"/>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Cantidad de audiencias realizadas, no realizadas y pendientes de recepción de pruebas y de seguimiento.</w:t>
      </w:r>
    </w:p>
    <w:p w:rsidRPr="00AE1B2B" w:rsidR="009D3FB5" w:rsidP="00163B94" w:rsidRDefault="009D3FB5" w14:paraId="3AD9A35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A5B9E8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caso de los despachos mixtos que atienden dentro de sus materias Violencia Doméstica, no se tiene planeada la modificación </w:t>
      </w:r>
      <w:r w:rsidRPr="00AE1B2B">
        <w:rPr>
          <w:rFonts w:ascii="Times New Roman" w:hAnsi="Times New Roman" w:cs="Times New Roman"/>
          <w:sz w:val="26"/>
          <w:szCs w:val="26"/>
        </w:rPr>
        <w:lastRenderedPageBreak/>
        <w:t>en las estructuras de trabajo o la inclusión de nuevo recurso humano, esto ya que durante los abordajes realizados por la Dirección de Planificación para las materias de Trabajo y Civil, se realizaron los estudios pertinentes y se incluyeron las necesidades en los respectivos informes de presupuesto de estas materias.</w:t>
      </w:r>
    </w:p>
    <w:p w:rsidRPr="00AE1B2B" w:rsidR="009D3FB5" w:rsidP="00163B94" w:rsidRDefault="009D3FB5" w14:paraId="37DCEEF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1C9533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Durante el segundo semestre del 2021 se espera realizar un abordaje en los 12 Juzgados de Violencia Doméstica Especializados, donde se ejecutarán las siguientes tareas:</w:t>
      </w:r>
    </w:p>
    <w:p w:rsidRPr="00AE1B2B" w:rsidR="009D3FB5" w:rsidP="00163B94" w:rsidRDefault="009D3FB5" w14:paraId="138AA07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83A4773" w14:textId="77777777">
      <w:pPr>
        <w:numPr>
          <w:ilvl w:val="0"/>
          <w:numId w:val="89"/>
        </w:numPr>
        <w:tabs>
          <w:tab w:val="left" w:pos="28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Reunión inicial con el equipo de trabajo para mostrar la metodología de trabajo.</w:t>
      </w:r>
    </w:p>
    <w:p w:rsidRPr="00AE1B2B" w:rsidR="009D3FB5" w:rsidP="00163B94" w:rsidRDefault="009D3FB5" w14:paraId="7ED3E14A" w14:textId="77777777">
      <w:pPr>
        <w:numPr>
          <w:ilvl w:val="0"/>
          <w:numId w:val="89"/>
        </w:numPr>
        <w:tabs>
          <w:tab w:val="left" w:pos="28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Análisis de la estructura organizacional y funcional.</w:t>
      </w:r>
    </w:p>
    <w:p w:rsidRPr="00AE1B2B" w:rsidR="009D3FB5" w:rsidP="00163B94" w:rsidRDefault="009D3FB5" w14:paraId="2176BDE9" w14:textId="77777777">
      <w:pPr>
        <w:numPr>
          <w:ilvl w:val="0"/>
          <w:numId w:val="89"/>
        </w:numPr>
        <w:tabs>
          <w:tab w:val="left" w:pos="28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Análisis de la distribución de la carga de trabajo, desde el reparto inicial de casos como de la carga asignada actualmente por cada persona involucrada en el equipo (entrada y circulante).</w:t>
      </w:r>
    </w:p>
    <w:p w:rsidRPr="00AE1B2B" w:rsidR="009D3FB5" w:rsidP="00163B94" w:rsidRDefault="009D3FB5" w14:paraId="63604804" w14:textId="77777777">
      <w:pPr>
        <w:numPr>
          <w:ilvl w:val="0"/>
          <w:numId w:val="89"/>
        </w:numPr>
        <w:tabs>
          <w:tab w:val="left" w:pos="28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Definición del diseño del reparto de causas nuevas para la implementación o ajuste de la herramienta de reparto automático de casos, así como diseño de herramienta de reparto en Excel, en los casos que corresponda. </w:t>
      </w:r>
    </w:p>
    <w:p w:rsidRPr="00AE1B2B" w:rsidR="009D3FB5" w:rsidP="00163B94" w:rsidRDefault="009D3FB5" w14:paraId="7FB7C061" w14:textId="77777777">
      <w:pPr>
        <w:numPr>
          <w:ilvl w:val="0"/>
          <w:numId w:val="89"/>
        </w:numPr>
        <w:tabs>
          <w:tab w:val="left" w:pos="28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Implementación de la herramienta de pase a fallo en el Escritorio Virtual e implementación de libro de pase a fallo según los lineamientos establecidos. </w:t>
      </w:r>
    </w:p>
    <w:p w:rsidRPr="00AE1B2B" w:rsidR="009D3FB5" w:rsidP="00163B94" w:rsidRDefault="009D3FB5" w14:paraId="475C3DE7" w14:textId="77777777">
      <w:pPr>
        <w:numPr>
          <w:ilvl w:val="0"/>
          <w:numId w:val="89"/>
        </w:numPr>
        <w:tabs>
          <w:tab w:val="left" w:pos="28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Conformación del Equipo de Mejora en el Despacho. </w:t>
      </w:r>
    </w:p>
    <w:p w:rsidRPr="00AE1B2B" w:rsidR="009D3FB5" w:rsidP="00163B94" w:rsidRDefault="009D3FB5" w14:paraId="38BF99B7" w14:textId="77777777">
      <w:pPr>
        <w:numPr>
          <w:ilvl w:val="0"/>
          <w:numId w:val="89"/>
        </w:numPr>
        <w:tabs>
          <w:tab w:val="left" w:pos="28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Implementación del Modelo de Sostenibilidad en cada uno de los despachos involucrados. </w:t>
      </w:r>
    </w:p>
    <w:p w:rsidRPr="00AE1B2B" w:rsidR="009D3FB5" w:rsidP="00163B94" w:rsidRDefault="009D3FB5" w14:paraId="2978D04F" w14:textId="77777777">
      <w:pPr>
        <w:numPr>
          <w:ilvl w:val="0"/>
          <w:numId w:val="89"/>
        </w:numPr>
        <w:tabs>
          <w:tab w:val="left" w:pos="28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Capacitación e implementación de los Indicadores de Gestión.</w:t>
      </w:r>
    </w:p>
    <w:p w:rsidRPr="00AE1B2B" w:rsidR="009D3FB5" w:rsidP="00163B94" w:rsidRDefault="009D3FB5" w14:paraId="1ADC1D79" w14:textId="77777777">
      <w:pPr>
        <w:tabs>
          <w:tab w:val="left" w:pos="284"/>
        </w:tabs>
        <w:spacing w:before="120" w:after="120"/>
        <w:ind w:left="851" w:right="851" w:firstLine="709"/>
        <w:jc w:val="both"/>
        <w:rPr>
          <w:rFonts w:ascii="Times New Roman" w:hAnsi="Times New Roman" w:cs="Times New Roman"/>
          <w:sz w:val="26"/>
          <w:szCs w:val="26"/>
        </w:rPr>
      </w:pPr>
    </w:p>
    <w:p w:rsidRPr="00AE1B2B" w:rsidR="009D3FB5" w:rsidP="00163B94" w:rsidRDefault="009D3FB5" w14:paraId="09637C5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8A5866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121AF6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452CCAC" w14:textId="0660D286">
      <w:pPr>
        <w:pStyle w:val="Prrafodelista"/>
        <w:numPr>
          <w:ilvl w:val="0"/>
          <w:numId w:val="144"/>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Información relevante materia de Pensiones Alimentarias</w:t>
      </w:r>
    </w:p>
    <w:p w:rsidRPr="00AE1B2B" w:rsidR="009D3FB5" w:rsidP="00163B94" w:rsidRDefault="009D3FB5" w14:paraId="0782BC8D" w14:textId="77777777">
      <w:pPr>
        <w:spacing w:before="120" w:after="120"/>
        <w:ind w:left="851" w:right="851" w:firstLine="709"/>
        <w:jc w:val="both"/>
        <w:rPr>
          <w:rFonts w:ascii="Times New Roman" w:hAnsi="Times New Roman" w:cs="Times New Roman"/>
          <w:sz w:val="26"/>
          <w:szCs w:val="26"/>
          <w:lang w:val="es-ES"/>
        </w:rPr>
      </w:pPr>
    </w:p>
    <w:p w:rsidRPr="00AE1B2B" w:rsidR="009D3FB5" w:rsidP="00163B94" w:rsidRDefault="003979DE" w14:paraId="3D882D70" w14:textId="0B738E70">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8.1 </w:t>
      </w:r>
      <w:r w:rsidRPr="00AE1B2B" w:rsidR="009D3FB5">
        <w:rPr>
          <w:rFonts w:ascii="Times New Roman" w:hAnsi="Times New Roman" w:cs="Times New Roman"/>
          <w:sz w:val="26"/>
          <w:szCs w:val="26"/>
        </w:rPr>
        <w:t>Situación de los Juzgados de Pensiones Alimentarias (especializados y mixtos)</w:t>
      </w:r>
    </w:p>
    <w:p w:rsidRPr="00AE1B2B" w:rsidR="009D3FB5" w:rsidP="00163B94" w:rsidRDefault="009D3FB5" w14:paraId="2C43EEB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529B1D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Código Procesal de Familia establece la derogación de la Ley 7654 del 19 de diciembre de 1996 (la actual Ley de Pensiones Alimentarias). La materia de Pensiones Alimentarias es atendida actualmente en el Poder Judicial bajo tres modalidades: juzgados especializados, juzgados que operan bajo la Plataforma Integrada de Servicios de Atención a las Víctimas (PISAV) y juzgados mixtos.</w:t>
      </w:r>
    </w:p>
    <w:p w:rsidRPr="00AE1B2B" w:rsidR="009D3FB5" w:rsidP="00163B94" w:rsidRDefault="009D3FB5" w14:paraId="6B97F99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04E0A9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Debido a que no hay cambios o inclusión de nuevas funciones a los Juzgados que atienden la materia de Pensiones Alimentarias, no se registraría un impacto significativo con el CPF, por lo que se analizará la situación actual de los juzgados de Pensiones Alimentarias para identificar si se necesita asignar puestos específicos de Jueza o Juez y de Técnica o Técnico Judicial en cada uno de esos despachos judiciales.</w:t>
      </w:r>
    </w:p>
    <w:p w:rsidRPr="00AE1B2B" w:rsidR="009D3FB5" w:rsidP="00163B94" w:rsidRDefault="009D3FB5" w14:paraId="0CF81CE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57923D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Institución realiza esfuerzos importantes en la implementación del Modelo Oral-Electrónico en los Juzgados Especializados en Pensiones Alimentario, iniciativa que implica el trámite de electrónico de los expedientes, la implementación de un esquema de audiencias tempranas, indicadores de gestión, asignación personas juzgadoras conciliadoras, fondo y trámite, asignación de personal en las manifestaciones, entre otros lineamientos. Adicionalmente, dicho modelo busca es especializar la mayor cantidad de despachos posibles, conforme la carga de trabajo y el presupuesto que asigna a través de los años. A diciembre de 2020, los despachos especializados en Pensiones (salvo Nicoya y Sarapiquí) trabajan con una estructura con personal juzgador de conciliación, de trámite y de fondo. </w:t>
      </w:r>
    </w:p>
    <w:p w:rsidRPr="00AE1B2B" w:rsidR="009D3FB5" w:rsidP="00163B94" w:rsidRDefault="009D3FB5" w14:paraId="336157E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3979DE" w14:paraId="387646D5" w14:textId="31AD5419">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8.2 </w:t>
      </w:r>
      <w:r w:rsidRPr="00AE1B2B" w:rsidR="009D3FB5">
        <w:rPr>
          <w:rFonts w:ascii="Times New Roman" w:hAnsi="Times New Roman" w:cs="Times New Roman"/>
          <w:sz w:val="26"/>
          <w:szCs w:val="26"/>
        </w:rPr>
        <w:t>Modelo de Juzgados de Pensiones Alimentarias-estructuras</w:t>
      </w:r>
    </w:p>
    <w:p w:rsidRPr="00AE1B2B" w:rsidR="009D3FB5" w:rsidP="00163B94" w:rsidRDefault="009D3FB5" w14:paraId="2C883445" w14:textId="77777777">
      <w:pPr>
        <w:spacing w:before="120" w:after="120"/>
        <w:ind w:left="851" w:right="851" w:firstLine="709"/>
        <w:jc w:val="both"/>
        <w:rPr>
          <w:rFonts w:ascii="Times New Roman" w:hAnsi="Times New Roman" w:cs="Times New Roman"/>
          <w:sz w:val="26"/>
          <w:szCs w:val="26"/>
          <w:lang w:val="es-ES"/>
        </w:rPr>
      </w:pPr>
    </w:p>
    <w:p w:rsidRPr="00AE1B2B" w:rsidR="009D3FB5" w:rsidP="00163B94" w:rsidRDefault="009D3FB5" w14:paraId="0049FB3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despachos especializados en la materia de Pensiones Alimentarias cuentan con una estructura funcional similar, con al menos 3 técnicas o técnicos judiciales por cada Jueza o juez en los despachos, y un coordinador judicial.</w:t>
      </w:r>
    </w:p>
    <w:p w:rsidRPr="00AE1B2B" w:rsidR="009D3FB5" w:rsidP="00163B94" w:rsidRDefault="009D3FB5" w14:paraId="3136E65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22E5E89" w14:textId="61E4EDA6">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56</w:t>
      </w:r>
      <w:r w:rsidRPr="00AE1B2B">
        <w:rPr>
          <w:rFonts w:ascii="Times New Roman" w:hAnsi="Times New Roman" w:cs="Times New Roman"/>
          <w:sz w:val="26"/>
          <w:szCs w:val="26"/>
        </w:rPr>
        <w:fldChar w:fldCharType="end"/>
      </w:r>
    </w:p>
    <w:p w:rsidRPr="00AE1B2B" w:rsidR="009D3FB5" w:rsidP="00163B94" w:rsidRDefault="009D3FB5" w14:paraId="67ED7CF7" w14:textId="267DD8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Cantidad de personas en los juzgados</w:t>
      </w:r>
    </w:p>
    <w:p w:rsidRPr="00AE1B2B" w:rsidR="009D3FB5" w:rsidP="00163B94" w:rsidRDefault="009D3FB5" w14:paraId="1CE00FB6"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especializados de materia de Pensiones Alimentarias</w:t>
      </w:r>
    </w:p>
    <w:tbl>
      <w:tblPr>
        <w:tblW w:w="8673" w:type="dxa"/>
        <w:jc w:val="center"/>
        <w:tblLayout w:type="fixed"/>
        <w:tblCellMar>
          <w:left w:w="70" w:type="dxa"/>
          <w:right w:w="70" w:type="dxa"/>
        </w:tblCellMar>
        <w:tblLook w:val="04A0" w:firstRow="1" w:lastRow="0" w:firstColumn="1" w:lastColumn="0" w:noHBand="0" w:noVBand="1"/>
      </w:tblPr>
      <w:tblGrid>
        <w:gridCol w:w="3685"/>
        <w:gridCol w:w="1247"/>
        <w:gridCol w:w="1247"/>
        <w:gridCol w:w="1247"/>
        <w:gridCol w:w="1247"/>
      </w:tblGrid>
      <w:tr w:rsidRPr="00AE1B2B" w:rsidR="009D3FB5" w:rsidTr="009D3FB5" w14:paraId="5493861F" w14:textId="77777777">
        <w:trPr>
          <w:trHeight w:val="540"/>
          <w:tblHeader/>
          <w:jc w:val="center"/>
        </w:trPr>
        <w:tc>
          <w:tcPr>
            <w:tcW w:w="3685" w:type="dxa"/>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5AC775E2"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Despacho</w:t>
            </w:r>
          </w:p>
        </w:tc>
        <w:tc>
          <w:tcPr>
            <w:tcW w:w="1247" w:type="dxa"/>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310244DB"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Jueza o Juez</w:t>
            </w:r>
          </w:p>
        </w:tc>
        <w:tc>
          <w:tcPr>
            <w:tcW w:w="1247" w:type="dxa"/>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3F1852A9"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Coordinadoras o Coordinadores judiciales</w:t>
            </w:r>
          </w:p>
        </w:tc>
        <w:tc>
          <w:tcPr>
            <w:tcW w:w="1247" w:type="dxa"/>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2327F3B7"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Técnicas o Técnicos Judiciales totales</w:t>
            </w:r>
          </w:p>
        </w:tc>
        <w:tc>
          <w:tcPr>
            <w:tcW w:w="1247" w:type="dxa"/>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4EBD708C"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Auxiliar de Servicios Generales</w:t>
            </w:r>
          </w:p>
        </w:tc>
      </w:tr>
      <w:tr w:rsidRPr="00AE1B2B" w:rsidR="009D3FB5" w:rsidTr="009D3FB5" w14:paraId="0195B0AA" w14:textId="77777777">
        <w:trPr>
          <w:trHeight w:val="497"/>
          <w:jc w:val="center"/>
        </w:trPr>
        <w:tc>
          <w:tcPr>
            <w:tcW w:w="3685" w:type="dxa"/>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A8D363E"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Pensiones Alimentarias Cartago</w:t>
            </w:r>
          </w:p>
        </w:tc>
        <w:tc>
          <w:tcPr>
            <w:tcW w:w="124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666C057"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5</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EED9EF3"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CF7A5D9"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14</w:t>
            </w:r>
          </w:p>
        </w:tc>
        <w:tc>
          <w:tcPr>
            <w:tcW w:w="1247"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03A239F2" w14:textId="77777777">
            <w:pPr>
              <w:spacing w:before="120" w:after="120" w:line="276" w:lineRule="auto"/>
              <w:jc w:val="center"/>
              <w:rPr>
                <w:rFonts w:ascii="Times New Roman" w:hAnsi="Times New Roman" w:eastAsia="Times New Roman" w:cs="Times New Roman"/>
                <w:lang w:val="es-ES" w:eastAsia="es-ES"/>
              </w:rPr>
            </w:pPr>
          </w:p>
        </w:tc>
      </w:tr>
      <w:tr w:rsidRPr="00AE1B2B" w:rsidR="009D3FB5" w:rsidTr="009D3FB5" w14:paraId="0FB0D5D7" w14:textId="77777777">
        <w:trPr>
          <w:trHeight w:val="497"/>
          <w:jc w:val="center"/>
        </w:trPr>
        <w:tc>
          <w:tcPr>
            <w:tcW w:w="3685" w:type="dxa"/>
            <w:tcBorders>
              <w:top w:val="nil"/>
              <w:left w:val="single" w:color="auto" w:sz="4" w:space="0"/>
              <w:bottom w:val="single" w:color="auto" w:sz="4" w:space="0"/>
              <w:right w:val="single" w:color="auto" w:sz="4" w:space="0"/>
            </w:tcBorders>
            <w:shd w:val="clear" w:color="000000" w:fill="FFFFFF"/>
            <w:noWrap/>
            <w:vAlign w:val="center"/>
            <w:hideMark/>
          </w:tcPr>
          <w:p w:rsidRPr="00AE1B2B" w:rsidR="009D3FB5" w:rsidP="00163B94" w:rsidRDefault="009D3FB5" w14:paraId="66A722A0"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Pensiones Alimentarias Heredia</w:t>
            </w:r>
          </w:p>
        </w:tc>
        <w:tc>
          <w:tcPr>
            <w:tcW w:w="124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4E84F29"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5</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F31A093"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DEA0896"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15</w:t>
            </w:r>
          </w:p>
        </w:tc>
        <w:tc>
          <w:tcPr>
            <w:tcW w:w="1247"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56582C85" w14:textId="77777777">
            <w:pPr>
              <w:spacing w:before="120" w:after="120" w:line="276" w:lineRule="auto"/>
              <w:jc w:val="center"/>
              <w:rPr>
                <w:rFonts w:ascii="Times New Roman" w:hAnsi="Times New Roman" w:eastAsia="Times New Roman" w:cs="Times New Roman"/>
                <w:lang w:val="es-ES" w:eastAsia="es-ES"/>
              </w:rPr>
            </w:pPr>
          </w:p>
        </w:tc>
      </w:tr>
      <w:tr w:rsidRPr="00AE1B2B" w:rsidR="009D3FB5" w:rsidTr="009D3FB5" w14:paraId="135FD49B" w14:textId="77777777">
        <w:trPr>
          <w:trHeight w:val="497"/>
          <w:jc w:val="center"/>
        </w:trPr>
        <w:tc>
          <w:tcPr>
            <w:tcW w:w="3685" w:type="dxa"/>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E0865B0"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 xml:space="preserve">Juzgado Pensiones Alimentarias I Circ. Jud. Alajuela </w:t>
            </w:r>
          </w:p>
        </w:tc>
        <w:tc>
          <w:tcPr>
            <w:tcW w:w="124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331B679"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6</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532403C"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3D71671"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16</w:t>
            </w:r>
          </w:p>
        </w:tc>
        <w:tc>
          <w:tcPr>
            <w:tcW w:w="1247"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6D849BF4" w14:textId="77777777">
            <w:pPr>
              <w:spacing w:before="120" w:after="120" w:line="276" w:lineRule="auto"/>
              <w:jc w:val="center"/>
              <w:rPr>
                <w:rFonts w:ascii="Times New Roman" w:hAnsi="Times New Roman" w:eastAsia="Times New Roman" w:cs="Times New Roman"/>
                <w:lang w:val="es-ES" w:eastAsia="es-ES"/>
              </w:rPr>
            </w:pPr>
          </w:p>
        </w:tc>
      </w:tr>
      <w:tr w:rsidRPr="00AE1B2B" w:rsidR="009D3FB5" w:rsidTr="009D3FB5" w14:paraId="79CB79F7" w14:textId="77777777">
        <w:trPr>
          <w:trHeight w:val="497"/>
          <w:jc w:val="center"/>
        </w:trPr>
        <w:tc>
          <w:tcPr>
            <w:tcW w:w="3685" w:type="dxa"/>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5E6C069D"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 xml:space="preserve">Juzgado Pensiones Alimentarias I Circ. Jud. San José </w:t>
            </w:r>
          </w:p>
        </w:tc>
        <w:tc>
          <w:tcPr>
            <w:tcW w:w="124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14699BC"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4</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C84C64C"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CB814F8"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13</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D09533F"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r>
      <w:tr w:rsidRPr="00AE1B2B" w:rsidR="009D3FB5" w:rsidTr="009D3FB5" w14:paraId="0DA4D467" w14:textId="77777777">
        <w:trPr>
          <w:trHeight w:val="497"/>
          <w:jc w:val="center"/>
        </w:trPr>
        <w:tc>
          <w:tcPr>
            <w:tcW w:w="3685" w:type="dxa"/>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E12F005"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 xml:space="preserve">Juzgado Pensiones Alimentarias I Circ. Jud. Zona Atlántica (Limón) </w:t>
            </w:r>
          </w:p>
        </w:tc>
        <w:tc>
          <w:tcPr>
            <w:tcW w:w="124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78EA9E4"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3</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7183A8B"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78A8824"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11</w:t>
            </w:r>
          </w:p>
        </w:tc>
        <w:tc>
          <w:tcPr>
            <w:tcW w:w="1247"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289595E9" w14:textId="77777777">
            <w:pPr>
              <w:spacing w:before="120" w:after="120" w:line="276" w:lineRule="auto"/>
              <w:jc w:val="center"/>
              <w:rPr>
                <w:rFonts w:ascii="Times New Roman" w:hAnsi="Times New Roman" w:eastAsia="Times New Roman" w:cs="Times New Roman"/>
                <w:lang w:val="es-ES" w:eastAsia="es-ES"/>
              </w:rPr>
            </w:pPr>
          </w:p>
        </w:tc>
      </w:tr>
      <w:tr w:rsidRPr="00AE1B2B" w:rsidR="009D3FB5" w:rsidTr="009D3FB5" w14:paraId="6655EE02" w14:textId="77777777">
        <w:trPr>
          <w:trHeight w:val="497"/>
          <w:jc w:val="center"/>
        </w:trPr>
        <w:tc>
          <w:tcPr>
            <w:tcW w:w="3685" w:type="dxa"/>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7753535"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Pensiones Alimentarias I Circ. Jud. Zona Sur (Pérez Zeledón)</w:t>
            </w:r>
          </w:p>
        </w:tc>
        <w:tc>
          <w:tcPr>
            <w:tcW w:w="124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686F82A"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3</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2EB28CA"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288BCCD"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9</w:t>
            </w:r>
          </w:p>
        </w:tc>
        <w:tc>
          <w:tcPr>
            <w:tcW w:w="1247"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12BFE236"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r>
      <w:tr w:rsidRPr="00AE1B2B" w:rsidR="009D3FB5" w:rsidTr="009D3FB5" w14:paraId="507CF9B6" w14:textId="77777777">
        <w:trPr>
          <w:trHeight w:val="497"/>
          <w:jc w:val="center"/>
        </w:trPr>
        <w:tc>
          <w:tcPr>
            <w:tcW w:w="3685" w:type="dxa"/>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0998AC01"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Pensiones Alimentarias II Circ. Jud. San José (Goicoechea)*</w:t>
            </w:r>
          </w:p>
        </w:tc>
        <w:tc>
          <w:tcPr>
            <w:tcW w:w="124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10B5DB5"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12</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C16BD32"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2</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F651C34"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27</w:t>
            </w:r>
          </w:p>
        </w:tc>
        <w:tc>
          <w:tcPr>
            <w:tcW w:w="1247"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24F7C63E" w14:textId="77777777">
            <w:pPr>
              <w:spacing w:before="120" w:after="120" w:line="276" w:lineRule="auto"/>
              <w:jc w:val="center"/>
              <w:rPr>
                <w:rFonts w:ascii="Times New Roman" w:hAnsi="Times New Roman" w:eastAsia="Times New Roman" w:cs="Times New Roman"/>
                <w:lang w:val="es-ES" w:eastAsia="es-ES"/>
              </w:rPr>
            </w:pPr>
          </w:p>
        </w:tc>
      </w:tr>
      <w:tr w:rsidRPr="00AE1B2B" w:rsidR="009D3FB5" w:rsidTr="009D3FB5" w14:paraId="1F9B7083" w14:textId="77777777">
        <w:trPr>
          <w:trHeight w:val="497"/>
          <w:jc w:val="center"/>
        </w:trPr>
        <w:tc>
          <w:tcPr>
            <w:tcW w:w="3685" w:type="dxa"/>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65849601"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Pensiones Alimentarias II Circ. Jud. Zona Atlántica (Pococí)</w:t>
            </w:r>
          </w:p>
        </w:tc>
        <w:tc>
          <w:tcPr>
            <w:tcW w:w="124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A7B8ADE"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3</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08B2CB4"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63EEF39"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11</w:t>
            </w:r>
          </w:p>
        </w:tc>
        <w:tc>
          <w:tcPr>
            <w:tcW w:w="1247"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476C44E2" w14:textId="77777777">
            <w:pPr>
              <w:spacing w:before="120" w:after="120" w:line="276" w:lineRule="auto"/>
              <w:jc w:val="center"/>
              <w:rPr>
                <w:rFonts w:ascii="Times New Roman" w:hAnsi="Times New Roman" w:eastAsia="Times New Roman" w:cs="Times New Roman"/>
                <w:lang w:val="es-ES" w:eastAsia="es-ES"/>
              </w:rPr>
            </w:pPr>
          </w:p>
        </w:tc>
      </w:tr>
      <w:tr w:rsidRPr="00AE1B2B" w:rsidR="009D3FB5" w:rsidTr="009D3FB5" w14:paraId="7DDB2C33" w14:textId="77777777">
        <w:trPr>
          <w:trHeight w:val="497"/>
          <w:jc w:val="center"/>
        </w:trPr>
        <w:tc>
          <w:tcPr>
            <w:tcW w:w="3685" w:type="dxa"/>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29382656"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Pensiones Alimentarias III Circ. Jud. San José (Desamparados)</w:t>
            </w:r>
          </w:p>
        </w:tc>
        <w:tc>
          <w:tcPr>
            <w:tcW w:w="124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A23756D"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5</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D5CBBAC"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998B6F7"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19</w:t>
            </w:r>
          </w:p>
        </w:tc>
        <w:tc>
          <w:tcPr>
            <w:tcW w:w="1247"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12AFD06A" w14:textId="77777777">
            <w:pPr>
              <w:spacing w:before="120" w:after="120" w:line="276" w:lineRule="auto"/>
              <w:jc w:val="center"/>
              <w:rPr>
                <w:rFonts w:ascii="Times New Roman" w:hAnsi="Times New Roman" w:eastAsia="Times New Roman" w:cs="Times New Roman"/>
                <w:lang w:val="es-ES" w:eastAsia="es-ES"/>
              </w:rPr>
            </w:pPr>
          </w:p>
        </w:tc>
      </w:tr>
      <w:tr w:rsidRPr="00AE1B2B" w:rsidR="009D3FB5" w:rsidTr="009D3FB5" w14:paraId="7F5DA231" w14:textId="77777777">
        <w:trPr>
          <w:trHeight w:val="497"/>
          <w:jc w:val="center"/>
        </w:trPr>
        <w:tc>
          <w:tcPr>
            <w:tcW w:w="3685" w:type="dxa"/>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5C3B9B7C"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Pensiones Alimentarias Puntarenas</w:t>
            </w:r>
          </w:p>
        </w:tc>
        <w:tc>
          <w:tcPr>
            <w:tcW w:w="124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5C8C0BB"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3</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196BA39"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E72F2F2"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10</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ADF30BE"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r>
      <w:tr w:rsidRPr="00AE1B2B" w:rsidR="009D3FB5" w:rsidTr="009D3FB5" w14:paraId="6D99BEDF" w14:textId="77777777">
        <w:trPr>
          <w:trHeight w:val="498"/>
          <w:jc w:val="center"/>
        </w:trPr>
        <w:tc>
          <w:tcPr>
            <w:tcW w:w="3685" w:type="dxa"/>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6242258"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Juzgado Pensiones Alimentarias Sarapiquí</w:t>
            </w:r>
          </w:p>
        </w:tc>
        <w:tc>
          <w:tcPr>
            <w:tcW w:w="1247"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3465D36"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D72D940"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A05572C"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3</w:t>
            </w:r>
          </w:p>
        </w:tc>
        <w:tc>
          <w:tcPr>
            <w:tcW w:w="124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9EE149D"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r>
      <w:tr w:rsidRPr="00AE1B2B" w:rsidR="009D3FB5" w:rsidTr="009D3FB5" w14:paraId="39EB6F16" w14:textId="77777777">
        <w:trPr>
          <w:trHeight w:val="498"/>
          <w:jc w:val="center"/>
        </w:trPr>
        <w:tc>
          <w:tcPr>
            <w:tcW w:w="3685" w:type="dxa"/>
            <w:tcBorders>
              <w:top w:val="nil"/>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3E3C6A2C" w14:textId="77777777">
            <w:pPr>
              <w:spacing w:before="120" w:after="120" w:line="276" w:lineRule="auto"/>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lastRenderedPageBreak/>
              <w:t>Juzgado Pensiones Alimentarias Nicoya**</w:t>
            </w:r>
          </w:p>
        </w:tc>
        <w:tc>
          <w:tcPr>
            <w:tcW w:w="1247" w:type="dxa"/>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2EC1E8E3"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2</w:t>
            </w:r>
          </w:p>
        </w:tc>
        <w:tc>
          <w:tcPr>
            <w:tcW w:w="1247"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60100A34"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1</w:t>
            </w:r>
          </w:p>
        </w:tc>
        <w:tc>
          <w:tcPr>
            <w:tcW w:w="1247"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62646081" w14:textId="77777777">
            <w:pPr>
              <w:spacing w:before="120" w:after="120" w:line="276" w:lineRule="auto"/>
              <w:jc w:val="center"/>
              <w:rPr>
                <w:rFonts w:ascii="Times New Roman" w:hAnsi="Times New Roman" w:eastAsia="Times New Roman" w:cs="Times New Roman"/>
                <w:lang w:val="es-ES" w:eastAsia="es-ES"/>
              </w:rPr>
            </w:pPr>
            <w:r w:rsidRPr="00AE1B2B">
              <w:rPr>
                <w:rFonts w:ascii="Times New Roman" w:hAnsi="Times New Roman" w:eastAsia="Times New Roman" w:cs="Times New Roman"/>
                <w:lang w:val="es-ES" w:eastAsia="es-ES"/>
              </w:rPr>
              <w:t>4</w:t>
            </w:r>
          </w:p>
        </w:tc>
        <w:tc>
          <w:tcPr>
            <w:tcW w:w="1247"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3FD7191E" w14:textId="77777777">
            <w:pPr>
              <w:spacing w:before="120" w:after="120" w:line="276" w:lineRule="auto"/>
              <w:jc w:val="center"/>
              <w:rPr>
                <w:rFonts w:ascii="Times New Roman" w:hAnsi="Times New Roman" w:eastAsia="Times New Roman" w:cs="Times New Roman"/>
                <w:lang w:val="es-ES" w:eastAsia="es-ES"/>
              </w:rPr>
            </w:pPr>
          </w:p>
        </w:tc>
      </w:tr>
      <w:tr w:rsidRPr="00AE1B2B" w:rsidR="009D3FB5" w:rsidTr="009D3FB5" w14:paraId="40308623" w14:textId="77777777">
        <w:trPr>
          <w:trHeight w:val="330"/>
          <w:jc w:val="center"/>
        </w:trPr>
        <w:tc>
          <w:tcPr>
            <w:tcW w:w="3685" w:type="dxa"/>
            <w:tcBorders>
              <w:top w:val="nil"/>
              <w:left w:val="single" w:color="auto" w:sz="4" w:space="0"/>
              <w:bottom w:val="single" w:color="auto" w:sz="4" w:space="0"/>
              <w:right w:val="single" w:color="auto" w:sz="4" w:space="0"/>
            </w:tcBorders>
            <w:shd w:val="clear" w:color="000000" w:fill="808080"/>
            <w:noWrap/>
            <w:vAlign w:val="center"/>
            <w:hideMark/>
          </w:tcPr>
          <w:p w:rsidRPr="00AE1B2B" w:rsidR="009D3FB5" w:rsidP="00163B94" w:rsidRDefault="009D3FB5" w14:paraId="18117B02" w14:textId="77777777">
            <w:pPr>
              <w:spacing w:before="120" w:after="120" w:line="276" w:lineRule="auto"/>
              <w:jc w:val="right"/>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Total general</w:t>
            </w:r>
          </w:p>
        </w:tc>
        <w:tc>
          <w:tcPr>
            <w:tcW w:w="1247" w:type="dxa"/>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71A8B14C"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52</w:t>
            </w:r>
          </w:p>
        </w:tc>
        <w:tc>
          <w:tcPr>
            <w:tcW w:w="1247" w:type="dxa"/>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6FA6ABF0"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13</w:t>
            </w:r>
          </w:p>
        </w:tc>
        <w:tc>
          <w:tcPr>
            <w:tcW w:w="1247" w:type="dxa"/>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681F15CA"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152</w:t>
            </w:r>
          </w:p>
        </w:tc>
        <w:tc>
          <w:tcPr>
            <w:tcW w:w="1247" w:type="dxa"/>
            <w:tcBorders>
              <w:top w:val="nil"/>
              <w:left w:val="nil"/>
              <w:bottom w:val="single" w:color="auto" w:sz="4" w:space="0"/>
              <w:right w:val="single" w:color="auto" w:sz="4" w:space="0"/>
            </w:tcBorders>
            <w:shd w:val="clear" w:color="000000" w:fill="808080"/>
            <w:noWrap/>
            <w:vAlign w:val="center"/>
            <w:hideMark/>
          </w:tcPr>
          <w:p w:rsidRPr="00AE1B2B" w:rsidR="009D3FB5" w:rsidP="00163B94" w:rsidRDefault="009D3FB5" w14:paraId="0B93CD1D" w14:textId="77777777">
            <w:pPr>
              <w:spacing w:before="120" w:after="120" w:line="276" w:lineRule="auto"/>
              <w:jc w:val="center"/>
              <w:rPr>
                <w:rFonts w:ascii="Times New Roman" w:hAnsi="Times New Roman" w:eastAsia="Times New Roman" w:cs="Times New Roman"/>
                <w:b/>
                <w:bCs/>
                <w:lang w:val="es-ES" w:eastAsia="es-ES"/>
              </w:rPr>
            </w:pPr>
            <w:r w:rsidRPr="00AE1B2B">
              <w:rPr>
                <w:rFonts w:ascii="Times New Roman" w:hAnsi="Times New Roman" w:eastAsia="Times New Roman" w:cs="Times New Roman"/>
                <w:b/>
                <w:bCs/>
                <w:lang w:val="es-ES" w:eastAsia="es-ES"/>
              </w:rPr>
              <w:t>4</w:t>
            </w:r>
          </w:p>
        </w:tc>
      </w:tr>
    </w:tbl>
    <w:p w:rsidRPr="00AE1B2B" w:rsidR="009D3FB5" w:rsidP="00163B94" w:rsidRDefault="009D3FB5" w14:paraId="2096B3D3"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 en base a</w:t>
      </w:r>
      <w:r w:rsidRPr="00AE1B2B" w:rsidDel="004D34E6">
        <w:rPr>
          <w:rFonts w:ascii="Times New Roman" w:hAnsi="Times New Roman" w:cs="Times New Roman"/>
          <w:sz w:val="26"/>
          <w:szCs w:val="26"/>
        </w:rPr>
        <w:t xml:space="preserve"> </w:t>
      </w:r>
      <w:r w:rsidRPr="00AE1B2B">
        <w:rPr>
          <w:rFonts w:ascii="Times New Roman" w:hAnsi="Times New Roman" w:cs="Times New Roman"/>
          <w:sz w:val="26"/>
          <w:szCs w:val="26"/>
        </w:rPr>
        <w:t>la relación de puestos del 2020.</w:t>
      </w:r>
    </w:p>
    <w:p w:rsidRPr="00AE1B2B" w:rsidR="009D3FB5" w:rsidP="00163B94" w:rsidRDefault="009D3FB5" w14:paraId="507D6797" w14:textId="77777777">
      <w:pPr>
        <w:spacing w:before="120" w:after="120"/>
        <w:ind w:left="851" w:right="851" w:firstLine="709"/>
        <w:jc w:val="both"/>
        <w:rPr>
          <w:rFonts w:ascii="Times New Roman" w:hAnsi="Times New Roman" w:cs="Times New Roman"/>
          <w:bCs/>
          <w:i/>
          <w:sz w:val="26"/>
          <w:szCs w:val="26"/>
        </w:rPr>
      </w:pPr>
      <w:r w:rsidRPr="00AE1B2B">
        <w:rPr>
          <w:rFonts w:ascii="Times New Roman" w:hAnsi="Times New Roman" w:cs="Times New Roman"/>
          <w:bCs/>
          <w:i/>
          <w:sz w:val="26"/>
          <w:szCs w:val="26"/>
        </w:rPr>
        <w:t xml:space="preserve">Nota *: El Juzgado de PA del II CJ San José, cuenta desde el 2011 con una plaza adicional de Jueza o Juez del CACMFJ, para un total de 13 recursos de persona juzgadora, además de un técnico Supernumerario de la Administración Regional (para un total de 28 plazas). </w:t>
      </w:r>
    </w:p>
    <w:p w:rsidRPr="00AE1B2B" w:rsidR="009D3FB5" w:rsidP="00163B94" w:rsidRDefault="009D3FB5" w14:paraId="75FBDFB2" w14:textId="77777777">
      <w:pPr>
        <w:spacing w:before="120" w:after="120"/>
        <w:ind w:left="851" w:right="851" w:firstLine="709"/>
        <w:jc w:val="both"/>
        <w:rPr>
          <w:rFonts w:ascii="Times New Roman" w:hAnsi="Times New Roman" w:cs="Times New Roman"/>
          <w:bCs/>
          <w:i/>
          <w:sz w:val="26"/>
          <w:szCs w:val="26"/>
        </w:rPr>
      </w:pPr>
      <w:r w:rsidRPr="00AE1B2B">
        <w:rPr>
          <w:rFonts w:ascii="Times New Roman" w:hAnsi="Times New Roman" w:cs="Times New Roman"/>
          <w:bCs/>
          <w:i/>
          <w:sz w:val="26"/>
          <w:szCs w:val="26"/>
        </w:rPr>
        <w:t xml:space="preserve">Nota**: Juzgado especializado a partir del acuerdo del Consejo Superior en sesión 34-19 celebrada el 19 de agosto de 2019, Artículo XIX, se incluye la información estadística del 2019. </w:t>
      </w:r>
    </w:p>
    <w:p w:rsidRPr="00AE1B2B" w:rsidR="009D3FB5" w:rsidP="00163B94" w:rsidRDefault="009D3FB5" w14:paraId="5AC1B9AE" w14:textId="6FB4445E">
      <w:pPr>
        <w:spacing w:before="120" w:after="120"/>
        <w:ind w:left="851" w:right="851" w:firstLine="709"/>
        <w:jc w:val="both"/>
        <w:rPr>
          <w:rFonts w:ascii="Times New Roman" w:hAnsi="Times New Roman" w:cs="Times New Roman"/>
          <w:bCs/>
          <w:i/>
          <w:sz w:val="26"/>
          <w:szCs w:val="26"/>
        </w:rPr>
      </w:pPr>
      <w:r w:rsidRPr="00AE1B2B">
        <w:rPr>
          <w:rFonts w:ascii="Times New Roman" w:hAnsi="Times New Roman" w:cs="Times New Roman"/>
          <w:bCs/>
          <w:i/>
          <w:sz w:val="26"/>
          <w:szCs w:val="26"/>
        </w:rPr>
        <w:t>Nota ***: La plaza es compartida con el Juzgado Contravencional de Sarapiquí.</w:t>
      </w:r>
      <w:r w:rsidRPr="00AE1B2B" w:rsidR="00BB7720">
        <w:rPr>
          <w:rFonts w:ascii="Times New Roman" w:hAnsi="Times New Roman" w:cs="Times New Roman"/>
          <w:bCs/>
          <w:i/>
          <w:sz w:val="26"/>
          <w:szCs w:val="26"/>
        </w:rPr>
        <w:t xml:space="preserve"> </w:t>
      </w:r>
      <w:r w:rsidRPr="00AE1B2B">
        <w:rPr>
          <w:rFonts w:ascii="Times New Roman" w:hAnsi="Times New Roman" w:cs="Times New Roman"/>
          <w:bCs/>
          <w:i/>
          <w:sz w:val="26"/>
          <w:szCs w:val="26"/>
        </w:rPr>
        <w:t>Solo permanece una audiencia en el sitio, quien debe realizar las funciones a fines a su puesto, por no contar con servicios de limpieza en la zona.</w:t>
      </w:r>
    </w:p>
    <w:p w:rsidRPr="00AE1B2B" w:rsidR="009D3FB5" w:rsidP="00163B94" w:rsidRDefault="009D3FB5" w14:paraId="54FD388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16E779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Estos despachos asignan a lo interno en promedio dos personas técnicas judiciales a la atención de la manifestación, adicional se reconoce que en el caso de Juzgado de Pensiones Alimentarias del Segundo Circuito Judicial de San José (Goicoechea) cuentan con un servicio de jornada ampliada que se atiende después de las 16:30 con una persona juzgadora y cuatro técnicas o técnicos judiciales.</w:t>
      </w:r>
    </w:p>
    <w:p w:rsidRPr="00AE1B2B" w:rsidR="009D3FB5" w:rsidP="00163B94" w:rsidRDefault="009D3FB5" w14:paraId="55EEF94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3979DE" w14:paraId="4BDE0AAF" w14:textId="6F8F2F74">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8.3 </w:t>
      </w:r>
      <w:r w:rsidRPr="00AE1B2B" w:rsidR="009D3FB5">
        <w:rPr>
          <w:rFonts w:ascii="Times New Roman" w:hAnsi="Times New Roman" w:cs="Times New Roman"/>
          <w:sz w:val="26"/>
          <w:szCs w:val="26"/>
        </w:rPr>
        <w:t xml:space="preserve">Proceso de Tramitación General </w:t>
      </w:r>
    </w:p>
    <w:p w:rsidRPr="00AE1B2B" w:rsidR="009D3FB5" w:rsidP="00163B94" w:rsidRDefault="009D3FB5" w14:paraId="204CB90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A626EF9" w14:textId="77777777">
      <w:pPr>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Duración de los procesos</w:t>
      </w:r>
    </w:p>
    <w:p w:rsidRPr="00AE1B2B" w:rsidR="009D3FB5" w:rsidP="00163B94" w:rsidRDefault="009D3FB5" w14:paraId="6D4819D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atención a la recomendación 4.4 el informe DFOE-PG-0098 (2683)-2020, relacionado con el informe DFOE-PG-IF-00002-</w:t>
      </w:r>
      <w:r w:rsidRPr="00AE1B2B">
        <w:rPr>
          <w:rFonts w:ascii="Times New Roman" w:hAnsi="Times New Roman" w:cs="Times New Roman"/>
          <w:sz w:val="26"/>
          <w:szCs w:val="26"/>
        </w:rPr>
        <w:lastRenderedPageBreak/>
        <w:t xml:space="preserve">2020 de la Contraloría General de la República, la Dirección de Planificación emitió el oficio 1212-PLA-EV-2020 aprobado por el Consejo Superior en sesión 82-2020 celebrada el 20 de agosto del 2020, artículo XLI; donde se establecen las duraciones según rango legal y según el criterio experto del Juez Gestor en materia de Pensiones Alimentarias. </w:t>
      </w:r>
    </w:p>
    <w:p w:rsidRPr="00AE1B2B" w:rsidR="009D3FB5" w:rsidP="00163B94" w:rsidRDefault="009D3FB5" w14:paraId="0214A06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Adicionalmente, se diagraman los principales procesos en materia de Familia con el apoyo del Lic. Cristian Martínez Hernández, Juez Gestor de Familia del Centro de Apoyo, Coordinación y Mejoramiento de la Función Jurisdiccional con la duración por tarea (</w:t>
      </w:r>
      <w:r w:rsidRPr="00AE1B2B">
        <w:rPr>
          <w:rFonts w:ascii="Times New Roman" w:hAnsi="Times New Roman" w:cs="Times New Roman"/>
          <w:b/>
          <w:bCs/>
          <w:i/>
          <w:iCs/>
          <w:sz w:val="26"/>
          <w:szCs w:val="26"/>
        </w:rPr>
        <w:t>anexo 19</w:t>
      </w:r>
      <w:r w:rsidRPr="00AE1B2B">
        <w:rPr>
          <w:rFonts w:ascii="Times New Roman" w:hAnsi="Times New Roman" w:cs="Times New Roman"/>
          <w:sz w:val="26"/>
          <w:szCs w:val="26"/>
        </w:rPr>
        <w:t xml:space="preserve">). </w:t>
      </w:r>
    </w:p>
    <w:p w:rsidRPr="00AE1B2B" w:rsidR="009D3FB5" w:rsidP="00163B94" w:rsidRDefault="009D3FB5" w14:paraId="6C5A71F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4D24BA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2ACFE1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19C8993" w14:textId="77777777">
      <w:pPr>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Reparto de los procesos</w:t>
      </w:r>
    </w:p>
    <w:p w:rsidRPr="00AE1B2B" w:rsidR="009D3FB5" w:rsidP="00163B94" w:rsidRDefault="009D3FB5" w14:paraId="1D56C8B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atención a la recomendación 4.6 de la Contraloría General de la República, se tiene programado para el primer semestre 2021, la configuración del reparto automático en los Juzgados de Pensiones Alimentarias a nivel nacional por “clase de asunto”. Considerando también la estructura funcional de los despachos en el caso de los especializados, en donde se tendrá una primera asignación para la audiencia temprana y después para su tramitación respectiva.</w:t>
      </w:r>
    </w:p>
    <w:p w:rsidRPr="00AE1B2B" w:rsidR="009D3FB5" w:rsidP="00163B94" w:rsidRDefault="009D3FB5" w14:paraId="255EAEC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C63FF21" w14:textId="7E26C521">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Sin embargo, a partir de 2022 con la entrada en vigencia de la Ley y la creación de nuevos procedimientos en Violencia Doméstica, se coordinará con la Dirección de Tecnología de la Información para la aplicación del reparto por “</w:t>
      </w:r>
      <w:r w:rsidRPr="00AE1B2B">
        <w:rPr>
          <w:rFonts w:ascii="Times New Roman" w:hAnsi="Times New Roman" w:cs="Times New Roman"/>
          <w:b/>
          <w:bCs/>
          <w:i/>
          <w:iCs/>
          <w:sz w:val="26"/>
          <w:szCs w:val="26"/>
        </w:rPr>
        <w:t>procedimiento</w:t>
      </w:r>
      <w:r w:rsidRPr="00AE1B2B">
        <w:rPr>
          <w:rFonts w:ascii="Times New Roman" w:hAnsi="Times New Roman" w:cs="Times New Roman"/>
          <w:sz w:val="26"/>
          <w:szCs w:val="26"/>
        </w:rPr>
        <w:t>”.</w:t>
      </w:r>
      <w:r w:rsidRPr="00AE1B2B" w:rsidR="00BB7720">
        <w:rPr>
          <w:rFonts w:ascii="Times New Roman" w:hAnsi="Times New Roman" w:cs="Times New Roman"/>
          <w:sz w:val="26"/>
          <w:szCs w:val="26"/>
        </w:rPr>
        <w:t xml:space="preserve"> </w:t>
      </w:r>
    </w:p>
    <w:p w:rsidRPr="00AE1B2B" w:rsidR="009D3FB5" w:rsidP="00163B94" w:rsidRDefault="009D3FB5" w14:paraId="633F71F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Cabe mencionar que actualmente se está coordinando por parte de la Dirección de Planificación con la Dirección de Tecnología de la Información una mejora al “</w:t>
      </w:r>
      <w:r w:rsidRPr="00AE1B2B">
        <w:rPr>
          <w:rFonts w:ascii="Times New Roman" w:hAnsi="Times New Roman" w:cs="Times New Roman"/>
          <w:i/>
          <w:iCs/>
          <w:sz w:val="26"/>
          <w:szCs w:val="26"/>
        </w:rPr>
        <w:t>reparto por procedimiento”</w:t>
      </w:r>
      <w:r w:rsidRPr="00AE1B2B">
        <w:rPr>
          <w:rFonts w:ascii="Times New Roman" w:hAnsi="Times New Roman" w:cs="Times New Roman"/>
          <w:sz w:val="26"/>
          <w:szCs w:val="26"/>
        </w:rPr>
        <w:t xml:space="preserve"> (para que los reentrados no ingresen al rol de reparto o variaciones por cambios de procedimientos posteriores. </w:t>
      </w:r>
    </w:p>
    <w:p w:rsidRPr="00AE1B2B" w:rsidR="009D3FB5" w:rsidP="00163B94" w:rsidRDefault="009D3FB5" w14:paraId="1404474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requerimiento de mejora fue presentado por la Gestora en materia Civil la Licenciada Adriana Sequeira Muñoz y la Dirección de Planificación mediante correo electrónico del 15 de diciembre de 2020 (</w:t>
      </w:r>
      <w:r w:rsidRPr="00AE1B2B">
        <w:rPr>
          <w:rFonts w:ascii="Times New Roman" w:hAnsi="Times New Roman" w:cs="Times New Roman"/>
          <w:b/>
          <w:bCs/>
          <w:i/>
          <w:iCs/>
          <w:sz w:val="26"/>
          <w:szCs w:val="26"/>
        </w:rPr>
        <w:t>anexo 18</w:t>
      </w:r>
      <w:r w:rsidRPr="00AE1B2B">
        <w:rPr>
          <w:rFonts w:ascii="Times New Roman" w:hAnsi="Times New Roman" w:cs="Times New Roman"/>
          <w:sz w:val="26"/>
          <w:szCs w:val="26"/>
        </w:rPr>
        <w:t>).</w:t>
      </w:r>
    </w:p>
    <w:p w:rsidRPr="00AE1B2B" w:rsidR="009D3FB5" w:rsidP="00163B94" w:rsidRDefault="009D3FB5" w14:paraId="032E74B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8412E4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sz w:val="26"/>
          <w:szCs w:val="26"/>
        </w:rPr>
        <w:lastRenderedPageBreak/>
        <w:t>Lo anterior, una vez se cuente con la mejora correspondiente y considerando lo acordado por la Comisión de Familia, Niñez y Adolescencia, oficio 80-JVA-2020, sesión del 01 de diciembre del presente año, artículo IV</w:t>
      </w:r>
      <w:r w:rsidRPr="00AE1B2B">
        <w:rPr>
          <w:rFonts w:ascii="Times New Roman" w:hAnsi="Times New Roman" w:cs="Times New Roman"/>
          <w:b/>
          <w:bCs/>
          <w:sz w:val="26"/>
          <w:szCs w:val="26"/>
        </w:rPr>
        <w:t xml:space="preserve"> (</w:t>
      </w:r>
      <w:r w:rsidRPr="00AE1B2B">
        <w:rPr>
          <w:rFonts w:ascii="Times New Roman" w:hAnsi="Times New Roman" w:cs="Times New Roman"/>
          <w:i/>
          <w:iCs/>
          <w:sz w:val="26"/>
          <w:szCs w:val="26"/>
        </w:rPr>
        <w:t>referencia interna</w:t>
      </w:r>
      <w:r w:rsidRPr="00AE1B2B">
        <w:rPr>
          <w:rFonts w:ascii="Times New Roman" w:hAnsi="Times New Roman" w:cs="Times New Roman"/>
          <w:b/>
          <w:bCs/>
          <w:i/>
          <w:iCs/>
          <w:sz w:val="26"/>
          <w:szCs w:val="26"/>
        </w:rPr>
        <w:t xml:space="preserve"> 2154-2020 y 196-2021).</w:t>
      </w:r>
    </w:p>
    <w:p w:rsidRPr="00AE1B2B" w:rsidR="009D3FB5" w:rsidP="00163B94" w:rsidRDefault="009D3FB5" w14:paraId="67986B4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D58505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00F19BC" w14:textId="4377A8C0">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b/>
          <w:bCs/>
          <w:i/>
          <w:iCs/>
          <w:sz w:val="26"/>
          <w:szCs w:val="26"/>
        </w:rPr>
        <w:t>Se acuerda:</w:t>
      </w:r>
      <w:r w:rsidRPr="00AE1B2B" w:rsidR="00BB7720">
        <w:rPr>
          <w:rFonts w:ascii="Times New Roman" w:hAnsi="Times New Roman" w:cs="Times New Roman"/>
          <w:b/>
          <w:bCs/>
          <w:i/>
          <w:iCs/>
          <w:sz w:val="26"/>
          <w:szCs w:val="26"/>
        </w:rPr>
        <w:t xml:space="preserve"> </w:t>
      </w:r>
      <w:r w:rsidRPr="00AE1B2B">
        <w:rPr>
          <w:rFonts w:ascii="Times New Roman" w:hAnsi="Times New Roman" w:cs="Times New Roman"/>
          <w:b/>
          <w:bCs/>
          <w:i/>
          <w:iCs/>
          <w:sz w:val="26"/>
          <w:szCs w:val="26"/>
        </w:rPr>
        <w:t>1)</w:t>
      </w:r>
      <w:r w:rsidRPr="00AE1B2B">
        <w:rPr>
          <w:rFonts w:ascii="Times New Roman" w:hAnsi="Times New Roman" w:cs="Times New Roman"/>
          <w:i/>
          <w:iCs/>
          <w:sz w:val="26"/>
          <w:szCs w:val="26"/>
        </w:rPr>
        <w:t xml:space="preserve"> Avalar el acuerdo de la mayoría de los juzgadores y las juzgadoras de Pensiones Alimentarias, para que la distribución de las cargas de trabajo en los procesos de modificación de la cuota alimentaria se realice por tipo de procedimiento, de manera tal que se aplique para todos los despachos del país. </w:t>
      </w:r>
      <w:r w:rsidRPr="00AE1B2B">
        <w:rPr>
          <w:rFonts w:ascii="Times New Roman" w:hAnsi="Times New Roman" w:cs="Times New Roman"/>
          <w:b/>
          <w:bCs/>
          <w:i/>
          <w:iCs/>
          <w:sz w:val="26"/>
          <w:szCs w:val="26"/>
        </w:rPr>
        <w:t>2)</w:t>
      </w:r>
      <w:r w:rsidRPr="00AE1B2B">
        <w:rPr>
          <w:rFonts w:ascii="Times New Roman" w:hAnsi="Times New Roman" w:cs="Times New Roman"/>
          <w:i/>
          <w:iCs/>
          <w:sz w:val="26"/>
          <w:szCs w:val="26"/>
        </w:rPr>
        <w:t xml:space="preserve"> Solicitar al Consejo Superior que autorice a los Departamentos de Planificación y de Tecnología de la Información para que se proceda al trámite correspondiente para ejecutar esa propuesta y que la misma sea evaluada cada año, para determinar así si se cumple el objetivo propuesto.</w:t>
      </w:r>
    </w:p>
    <w:p w:rsidRPr="00AE1B2B" w:rsidR="009D3FB5" w:rsidP="00163B94" w:rsidRDefault="009D3FB5" w14:paraId="7E5B0BFF"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05E83984"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Se tiene como acuerdo firme”.</w:t>
      </w:r>
    </w:p>
    <w:p w:rsidRPr="00AE1B2B" w:rsidR="009D3FB5" w:rsidP="00163B94" w:rsidRDefault="009D3FB5" w14:paraId="38F3247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2C9D25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3969AB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También, el acuerdo del Consejo Superior en sesión 120-2020 celebrada el 17 de diciembre de 2020, artículo XXXIII donde acordó:</w:t>
      </w:r>
    </w:p>
    <w:p w:rsidRPr="00AE1B2B" w:rsidR="009D3FB5" w:rsidP="00163B94" w:rsidRDefault="009D3FB5" w14:paraId="73BAFD4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7947F76" w14:textId="77777777">
      <w:pPr>
        <w:spacing w:before="120" w:after="120"/>
        <w:ind w:left="851" w:right="851" w:firstLine="709"/>
        <w:jc w:val="both"/>
        <w:rPr>
          <w:rFonts w:ascii="Times New Roman" w:hAnsi="Times New Roman" w:cs="Times New Roman"/>
          <w:i/>
          <w:iCs/>
          <w:sz w:val="26"/>
          <w:szCs w:val="26"/>
          <w:lang w:eastAsia="es-CR"/>
        </w:rPr>
      </w:pPr>
      <w:r w:rsidRPr="00AE1B2B">
        <w:rPr>
          <w:rFonts w:ascii="Times New Roman" w:hAnsi="Times New Roman" w:cs="Times New Roman"/>
          <w:b/>
          <w:bCs/>
          <w:i/>
          <w:iCs/>
          <w:sz w:val="26"/>
          <w:szCs w:val="26"/>
          <w:lang w:eastAsia="es-CR"/>
        </w:rPr>
        <w:t>“Se acordó:</w:t>
      </w:r>
      <w:r w:rsidRPr="00AE1B2B">
        <w:rPr>
          <w:rFonts w:ascii="Times New Roman" w:hAnsi="Times New Roman" w:cs="Times New Roman"/>
          <w:i/>
          <w:iCs/>
          <w:sz w:val="26"/>
          <w:szCs w:val="26"/>
          <w:lang w:eastAsia="es-CR"/>
        </w:rPr>
        <w:t xml:space="preserve"> Tomar nota del acuerdo de la Comisión de la Jurisdicción de Familia, Niñez y Adolescencia, en </w:t>
      </w:r>
      <w:r w:rsidRPr="00AE1B2B">
        <w:rPr>
          <w:rFonts w:ascii="Times New Roman" w:hAnsi="Times New Roman" w:cs="Times New Roman"/>
          <w:i/>
          <w:iCs/>
          <w:sz w:val="26"/>
          <w:szCs w:val="26"/>
        </w:rPr>
        <w:t>sesión virtual, celebrada por sus integrantes el día 01 de diciembre del 2020, artículo IV</w:t>
      </w:r>
      <w:r w:rsidRPr="00AE1B2B">
        <w:rPr>
          <w:rFonts w:ascii="Times New Roman" w:hAnsi="Times New Roman" w:cs="Times New Roman"/>
          <w:i/>
          <w:iCs/>
          <w:sz w:val="26"/>
          <w:szCs w:val="26"/>
          <w:lang w:eastAsia="es-CR"/>
        </w:rPr>
        <w:t xml:space="preserve"> y hacerlo de conocimiento de la Dirección de Planificación para su valoración.</w:t>
      </w:r>
      <w:r w:rsidRPr="00AE1B2B">
        <w:rPr>
          <w:rFonts w:ascii="Times New Roman" w:hAnsi="Times New Roman" w:cs="Times New Roman"/>
          <w:b/>
          <w:bCs/>
          <w:i/>
          <w:iCs/>
          <w:sz w:val="26"/>
          <w:szCs w:val="26"/>
          <w:lang w:val="es-ES"/>
        </w:rPr>
        <w:t>”</w:t>
      </w:r>
    </w:p>
    <w:p w:rsidRPr="00AE1B2B" w:rsidR="009D3FB5" w:rsidP="00163B94" w:rsidRDefault="009D3FB5" w14:paraId="46EAC1E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71CEA2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Y las manifestaciones de la Dirección de Tecnología de la Información mediante oficios 215 y 235-DTI-2021 (referencia interna </w:t>
      </w:r>
      <w:r w:rsidRPr="00AE1B2B">
        <w:rPr>
          <w:rFonts w:ascii="Times New Roman" w:hAnsi="Times New Roman" w:cs="Times New Roman"/>
          <w:b/>
          <w:bCs/>
          <w:i/>
          <w:iCs/>
          <w:sz w:val="26"/>
          <w:szCs w:val="26"/>
        </w:rPr>
        <w:t>240-2021</w:t>
      </w:r>
      <w:r w:rsidRPr="00AE1B2B">
        <w:rPr>
          <w:rFonts w:ascii="Times New Roman" w:hAnsi="Times New Roman" w:cs="Times New Roman"/>
          <w:sz w:val="26"/>
          <w:szCs w:val="26"/>
        </w:rPr>
        <w:t xml:space="preserve">). </w:t>
      </w:r>
    </w:p>
    <w:p w:rsidRPr="00AE1B2B" w:rsidR="009D3FB5" w:rsidP="00163B94" w:rsidRDefault="009D3FB5" w14:paraId="6B4F6E9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3979DE" w14:paraId="6153BA27" w14:textId="43A0996D">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8.4 </w:t>
      </w:r>
      <w:r w:rsidRPr="00AE1B2B" w:rsidR="009D3FB5">
        <w:rPr>
          <w:rFonts w:ascii="Times New Roman" w:hAnsi="Times New Roman" w:cs="Times New Roman"/>
          <w:sz w:val="26"/>
          <w:szCs w:val="26"/>
        </w:rPr>
        <w:t>Estructura Organizacional y Funciones</w:t>
      </w:r>
    </w:p>
    <w:p w:rsidRPr="00AE1B2B" w:rsidR="009D3FB5" w:rsidP="00163B94" w:rsidRDefault="009D3FB5" w14:paraId="641955B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AF933E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Como parte de la atención a las recomendaciones de la Contraloría General de la República, se realizó una revisión y </w:t>
      </w:r>
      <w:r w:rsidRPr="00AE1B2B">
        <w:rPr>
          <w:rFonts w:ascii="Times New Roman" w:hAnsi="Times New Roman" w:cs="Times New Roman"/>
          <w:sz w:val="26"/>
          <w:szCs w:val="26"/>
        </w:rPr>
        <w:lastRenderedPageBreak/>
        <w:t xml:space="preserve">propuestas de modificación cuando corresponda de las estructuras de trabajo de todas las oficinas competentes en materia de Pensiones Alimentarias a nivel nacional. </w:t>
      </w:r>
    </w:p>
    <w:p w:rsidRPr="00AE1B2B" w:rsidR="009D3FB5" w:rsidP="00163B94" w:rsidRDefault="009D3FB5" w14:paraId="05480AA5" w14:textId="512A22C2">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siguiente cuadro se adjunta un resumen de los oficios remitidos por la Dirección de Planificación.</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Algunos de ellos ya cuentan con la aprobación de parte del Consejo Superior del Poder Judicial. </w:t>
      </w:r>
    </w:p>
    <w:p w:rsidRPr="00AE1B2B" w:rsidR="009D3FB5" w:rsidP="00163B94" w:rsidRDefault="009D3FB5" w14:paraId="37CD0F7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0D82D6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05310C8"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57</w:t>
      </w:r>
      <w:r w:rsidRPr="00AE1B2B">
        <w:rPr>
          <w:rFonts w:ascii="Times New Roman" w:hAnsi="Times New Roman" w:cs="Times New Roman"/>
          <w:sz w:val="26"/>
          <w:szCs w:val="26"/>
        </w:rPr>
        <w:fldChar w:fldCharType="end"/>
      </w:r>
    </w:p>
    <w:p w:rsidRPr="00AE1B2B" w:rsidR="009D3FB5" w:rsidP="00163B94" w:rsidRDefault="009D3FB5" w14:paraId="5DB770E4" w14:textId="77777777">
      <w:pPr>
        <w:spacing w:before="120" w:after="120"/>
        <w:ind w:left="851" w:right="851" w:firstLine="709"/>
        <w:jc w:val="center"/>
        <w:rPr>
          <w:rFonts w:ascii="Times New Roman" w:hAnsi="Times New Roman" w:cs="Times New Roman"/>
          <w:b/>
          <w:bCs/>
          <w:sz w:val="26"/>
          <w:szCs w:val="26"/>
          <w:lang w:val="es-ES" w:eastAsia="es-ES"/>
        </w:rPr>
      </w:pPr>
      <w:r w:rsidRPr="00AE1B2B">
        <w:rPr>
          <w:rFonts w:ascii="Times New Roman" w:hAnsi="Times New Roman" w:cs="Times New Roman"/>
          <w:b/>
          <w:bCs/>
          <w:sz w:val="26"/>
          <w:szCs w:val="26"/>
          <w:lang w:val="es-ES" w:eastAsia="es-ES"/>
        </w:rPr>
        <w:t>Resumen de oficios preliminares, definitivos y acuerdos del CS sobre las estructuras de los Juzgados competentes en Pensiones Alimentarias a nivel nacional, 18 de marzo 2021</w:t>
      </w:r>
    </w:p>
    <w:tbl>
      <w:tblPr>
        <w:tblW w:w="10795" w:type="dxa"/>
        <w:tblInd w:w="-85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119"/>
        <w:gridCol w:w="2627"/>
        <w:gridCol w:w="2508"/>
        <w:gridCol w:w="2541"/>
      </w:tblGrid>
      <w:tr w:rsidRPr="00AE1B2B" w:rsidR="00AE1B2B" w:rsidTr="009D3FB5" w14:paraId="7493A496" w14:textId="77777777">
        <w:trPr>
          <w:trHeight w:val="900"/>
        </w:trPr>
        <w:tc>
          <w:tcPr>
            <w:tcW w:w="3119" w:type="dxa"/>
            <w:shd w:val="clear" w:color="auto" w:fill="44546A" w:themeFill="text2"/>
            <w:vAlign w:val="center"/>
          </w:tcPr>
          <w:p w:rsidRPr="00AE1B2B" w:rsidR="009D3FB5" w:rsidP="00163B94" w:rsidRDefault="009D3FB5" w14:paraId="6172C96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Nombre del Despacho</w:t>
            </w:r>
          </w:p>
        </w:tc>
        <w:tc>
          <w:tcPr>
            <w:tcW w:w="2627" w:type="dxa"/>
            <w:shd w:val="clear" w:color="auto" w:fill="44546A" w:themeFill="text2"/>
            <w:vAlign w:val="center"/>
          </w:tcPr>
          <w:p w:rsidRPr="00AE1B2B" w:rsidR="009D3FB5" w:rsidP="00163B94" w:rsidRDefault="009D3FB5" w14:paraId="0BA611F9"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Oficio preliminar remitido por la D. de Planificación</w:t>
            </w:r>
          </w:p>
        </w:tc>
        <w:tc>
          <w:tcPr>
            <w:tcW w:w="2508" w:type="dxa"/>
            <w:shd w:val="clear" w:color="auto" w:fill="44546A" w:themeFill="text2"/>
            <w:vAlign w:val="center"/>
          </w:tcPr>
          <w:p w:rsidRPr="00AE1B2B" w:rsidR="009D3FB5" w:rsidP="00163B94" w:rsidRDefault="009D3FB5" w14:paraId="7D0C39D9"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Oficio Definitivo</w:t>
            </w:r>
          </w:p>
        </w:tc>
        <w:tc>
          <w:tcPr>
            <w:tcW w:w="2541" w:type="dxa"/>
            <w:shd w:val="clear" w:color="auto" w:fill="44546A" w:themeFill="text2"/>
            <w:vAlign w:val="center"/>
          </w:tcPr>
          <w:p w:rsidRPr="00AE1B2B" w:rsidR="009D3FB5" w:rsidP="00163B94" w:rsidRDefault="009D3FB5" w14:paraId="5914231B"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Acuerdo del Consejo Superior</w:t>
            </w:r>
          </w:p>
        </w:tc>
      </w:tr>
      <w:tr w:rsidRPr="00AE1B2B" w:rsidR="00AE1B2B" w:rsidTr="009D3FB5" w14:paraId="4A3996C4" w14:textId="77777777">
        <w:trPr>
          <w:trHeight w:val="555"/>
        </w:trPr>
        <w:tc>
          <w:tcPr>
            <w:tcW w:w="3119" w:type="dxa"/>
            <w:shd w:val="clear" w:color="auto" w:fill="auto"/>
            <w:vAlign w:val="center"/>
            <w:hideMark/>
          </w:tcPr>
          <w:p w:rsidRPr="00AE1B2B" w:rsidR="009D3FB5" w:rsidP="00163B94" w:rsidRDefault="009D3FB5" w14:paraId="5F1E104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Pensiones Alimentarias Puntarenas </w:t>
            </w:r>
          </w:p>
        </w:tc>
        <w:tc>
          <w:tcPr>
            <w:tcW w:w="2627" w:type="dxa"/>
            <w:shd w:val="clear" w:color="auto" w:fill="auto"/>
            <w:vAlign w:val="center"/>
            <w:hideMark/>
          </w:tcPr>
          <w:p w:rsidRPr="00AE1B2B" w:rsidR="009D3FB5" w:rsidP="00163B94" w:rsidRDefault="009D3FB5" w14:paraId="1F62F19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1709-PLA-2020</w:t>
            </w:r>
          </w:p>
        </w:tc>
        <w:tc>
          <w:tcPr>
            <w:tcW w:w="2508" w:type="dxa"/>
            <w:shd w:val="clear" w:color="auto" w:fill="auto"/>
            <w:vAlign w:val="center"/>
            <w:hideMark/>
          </w:tcPr>
          <w:p w:rsidRPr="00AE1B2B" w:rsidR="009D3FB5" w:rsidP="00163B94" w:rsidRDefault="009D3FB5" w14:paraId="31DC305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1844-PLA-EV-20</w:t>
            </w:r>
          </w:p>
        </w:tc>
        <w:tc>
          <w:tcPr>
            <w:tcW w:w="2541" w:type="dxa"/>
            <w:shd w:val="clear" w:color="auto" w:fill="auto"/>
            <w:vAlign w:val="center"/>
            <w:hideMark/>
          </w:tcPr>
          <w:p w:rsidRPr="00AE1B2B" w:rsidR="009D3FB5" w:rsidP="00163B94" w:rsidRDefault="009D3FB5" w14:paraId="6737295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117-2020 del 8-12-2020, artículo XXXIII</w:t>
            </w:r>
          </w:p>
        </w:tc>
      </w:tr>
      <w:tr w:rsidRPr="00AE1B2B" w:rsidR="00AE1B2B" w:rsidTr="009D3FB5" w14:paraId="32B5D785" w14:textId="77777777">
        <w:trPr>
          <w:trHeight w:val="828"/>
        </w:trPr>
        <w:tc>
          <w:tcPr>
            <w:tcW w:w="3119" w:type="dxa"/>
            <w:shd w:val="clear" w:color="auto" w:fill="auto"/>
            <w:vAlign w:val="center"/>
            <w:hideMark/>
          </w:tcPr>
          <w:p w:rsidRPr="00AE1B2B" w:rsidR="009D3FB5" w:rsidP="00163B94" w:rsidRDefault="009D3FB5" w14:paraId="1E59C4D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Pensiones Alimentarias I Circ. Jud. Alajuela </w:t>
            </w:r>
          </w:p>
        </w:tc>
        <w:tc>
          <w:tcPr>
            <w:tcW w:w="2627" w:type="dxa"/>
            <w:shd w:val="clear" w:color="auto" w:fill="auto"/>
            <w:vAlign w:val="center"/>
            <w:hideMark/>
          </w:tcPr>
          <w:p w:rsidRPr="00AE1B2B" w:rsidR="009D3FB5" w:rsidP="00163B94" w:rsidRDefault="009D3FB5" w14:paraId="74E0DAD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1748-PLA-EV-2020</w:t>
            </w:r>
          </w:p>
        </w:tc>
        <w:tc>
          <w:tcPr>
            <w:tcW w:w="2508" w:type="dxa"/>
            <w:shd w:val="clear" w:color="auto" w:fill="auto"/>
            <w:vAlign w:val="center"/>
            <w:hideMark/>
          </w:tcPr>
          <w:p w:rsidRPr="00AE1B2B" w:rsidR="009D3FB5" w:rsidP="00163B94" w:rsidRDefault="009D3FB5" w14:paraId="71397F6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61-PLA-EV-2021</w:t>
            </w:r>
          </w:p>
        </w:tc>
        <w:tc>
          <w:tcPr>
            <w:tcW w:w="2541" w:type="dxa"/>
            <w:shd w:val="clear" w:color="auto" w:fill="auto"/>
            <w:vAlign w:val="center"/>
            <w:hideMark/>
          </w:tcPr>
          <w:p w:rsidRPr="00AE1B2B" w:rsidR="009D3FB5" w:rsidP="00163B94" w:rsidRDefault="009D3FB5" w14:paraId="45D90C3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9D3FB5" w14:paraId="66CA3795" w14:textId="77777777">
        <w:trPr>
          <w:trHeight w:val="471"/>
        </w:trPr>
        <w:tc>
          <w:tcPr>
            <w:tcW w:w="3119" w:type="dxa"/>
            <w:shd w:val="clear" w:color="auto" w:fill="auto"/>
            <w:vAlign w:val="center"/>
            <w:hideMark/>
          </w:tcPr>
          <w:p w:rsidRPr="00AE1B2B" w:rsidR="009D3FB5" w:rsidP="00163B94" w:rsidRDefault="009D3FB5" w14:paraId="0519DEB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Pensiones Alimentarias I Circ. Jud. Zona Atlántica (Limón) </w:t>
            </w:r>
          </w:p>
        </w:tc>
        <w:tc>
          <w:tcPr>
            <w:tcW w:w="2627" w:type="dxa"/>
            <w:shd w:val="clear" w:color="auto" w:fill="auto"/>
            <w:vAlign w:val="center"/>
            <w:hideMark/>
          </w:tcPr>
          <w:p w:rsidRPr="00AE1B2B" w:rsidR="009D3FB5" w:rsidP="00163B94" w:rsidRDefault="009D3FB5" w14:paraId="4C82AED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1758-PLA-MI-2020</w:t>
            </w:r>
          </w:p>
        </w:tc>
        <w:tc>
          <w:tcPr>
            <w:tcW w:w="2508" w:type="dxa"/>
            <w:shd w:val="clear" w:color="auto" w:fill="auto"/>
            <w:vAlign w:val="center"/>
            <w:hideMark/>
          </w:tcPr>
          <w:p w:rsidRPr="00AE1B2B" w:rsidR="009D3FB5" w:rsidP="00163B94" w:rsidRDefault="009D3FB5" w14:paraId="4C7A07B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174-PLA-MI-2021</w:t>
            </w:r>
          </w:p>
        </w:tc>
        <w:tc>
          <w:tcPr>
            <w:tcW w:w="2541" w:type="dxa"/>
            <w:shd w:val="clear" w:color="auto" w:fill="auto"/>
            <w:vAlign w:val="center"/>
            <w:hideMark/>
          </w:tcPr>
          <w:p w:rsidRPr="00AE1B2B" w:rsidR="009D3FB5" w:rsidP="00163B94" w:rsidRDefault="009D3FB5" w14:paraId="00876F6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9D3FB5" w14:paraId="36943839" w14:textId="77777777">
        <w:trPr>
          <w:trHeight w:val="450"/>
        </w:trPr>
        <w:tc>
          <w:tcPr>
            <w:tcW w:w="3119" w:type="dxa"/>
            <w:shd w:val="clear" w:color="auto" w:fill="auto"/>
            <w:vAlign w:val="center"/>
            <w:hideMark/>
          </w:tcPr>
          <w:p w:rsidRPr="00AE1B2B" w:rsidR="009D3FB5" w:rsidP="00163B94" w:rsidRDefault="009D3FB5" w14:paraId="76C3358E"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de Pensiones Alimentarias de Heredia </w:t>
            </w:r>
          </w:p>
        </w:tc>
        <w:tc>
          <w:tcPr>
            <w:tcW w:w="2627" w:type="dxa"/>
            <w:shd w:val="clear" w:color="auto" w:fill="auto"/>
            <w:vAlign w:val="center"/>
            <w:hideMark/>
          </w:tcPr>
          <w:p w:rsidRPr="00AE1B2B" w:rsidR="009D3FB5" w:rsidP="00163B94" w:rsidRDefault="009D3FB5" w14:paraId="39EA798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1752-PLA-EV-2020</w:t>
            </w:r>
          </w:p>
        </w:tc>
        <w:tc>
          <w:tcPr>
            <w:tcW w:w="2508" w:type="dxa"/>
            <w:shd w:val="clear" w:color="auto" w:fill="auto"/>
            <w:vAlign w:val="center"/>
            <w:hideMark/>
          </w:tcPr>
          <w:p w:rsidRPr="00AE1B2B" w:rsidR="009D3FB5" w:rsidP="00163B94" w:rsidRDefault="009D3FB5" w14:paraId="7344198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1884-PLA-EV-2020</w:t>
            </w:r>
          </w:p>
        </w:tc>
        <w:tc>
          <w:tcPr>
            <w:tcW w:w="2541" w:type="dxa"/>
            <w:shd w:val="clear" w:color="auto" w:fill="auto"/>
            <w:vAlign w:val="center"/>
            <w:hideMark/>
          </w:tcPr>
          <w:p w:rsidRPr="00AE1B2B" w:rsidR="009D3FB5" w:rsidP="00163B94" w:rsidRDefault="009D3FB5" w14:paraId="169393A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119-2020 del 15-12-2020, artículo LIV</w:t>
            </w:r>
          </w:p>
        </w:tc>
      </w:tr>
      <w:tr w:rsidRPr="00AE1B2B" w:rsidR="00AE1B2B" w:rsidTr="009D3FB5" w14:paraId="224AB956" w14:textId="77777777">
        <w:trPr>
          <w:trHeight w:val="927"/>
        </w:trPr>
        <w:tc>
          <w:tcPr>
            <w:tcW w:w="3119" w:type="dxa"/>
            <w:shd w:val="clear" w:color="auto" w:fill="auto"/>
            <w:vAlign w:val="center"/>
            <w:hideMark/>
          </w:tcPr>
          <w:p w:rsidRPr="00AE1B2B" w:rsidR="009D3FB5" w:rsidP="00163B94" w:rsidRDefault="009D3FB5" w14:paraId="6F3DB24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y Pensiones Alimentarias I Circ. Jud. Guanacaste (Liberia)</w:t>
            </w:r>
          </w:p>
        </w:tc>
        <w:tc>
          <w:tcPr>
            <w:tcW w:w="2627" w:type="dxa"/>
            <w:shd w:val="clear" w:color="auto" w:fill="auto"/>
            <w:vAlign w:val="center"/>
            <w:hideMark/>
          </w:tcPr>
          <w:p w:rsidRPr="00AE1B2B" w:rsidR="009D3FB5" w:rsidP="00163B94" w:rsidRDefault="009D3FB5" w14:paraId="2CED4A4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1679-PLA-EV-2020</w:t>
            </w:r>
          </w:p>
        </w:tc>
        <w:tc>
          <w:tcPr>
            <w:tcW w:w="2508" w:type="dxa"/>
            <w:shd w:val="clear" w:color="auto" w:fill="auto"/>
            <w:vAlign w:val="center"/>
            <w:hideMark/>
          </w:tcPr>
          <w:p w:rsidRPr="00AE1B2B" w:rsidR="009D3FB5" w:rsidP="00163B94" w:rsidRDefault="009D3FB5" w14:paraId="264647D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1980-PLA-EV-2020</w:t>
            </w:r>
          </w:p>
        </w:tc>
        <w:tc>
          <w:tcPr>
            <w:tcW w:w="2541" w:type="dxa"/>
            <w:shd w:val="clear" w:color="auto" w:fill="auto"/>
            <w:vAlign w:val="center"/>
            <w:hideMark/>
          </w:tcPr>
          <w:p w:rsidRPr="00AE1B2B" w:rsidR="009D3FB5" w:rsidP="00163B94" w:rsidRDefault="009D3FB5" w14:paraId="713F3E6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120-2020 del 17-12-2020, artículo LXIX</w:t>
            </w:r>
          </w:p>
        </w:tc>
      </w:tr>
      <w:tr w:rsidRPr="00AE1B2B" w:rsidR="00AE1B2B" w:rsidTr="009D3FB5" w14:paraId="774A9C31" w14:textId="77777777">
        <w:trPr>
          <w:trHeight w:val="828"/>
        </w:trPr>
        <w:tc>
          <w:tcPr>
            <w:tcW w:w="3119" w:type="dxa"/>
            <w:shd w:val="clear" w:color="auto" w:fill="auto"/>
            <w:vAlign w:val="center"/>
            <w:hideMark/>
          </w:tcPr>
          <w:p w:rsidRPr="00AE1B2B" w:rsidR="009D3FB5" w:rsidP="00163B94" w:rsidRDefault="009D3FB5" w14:paraId="27B4D4B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II Circ. Jud. Zona Atlántica (Pococí)</w:t>
            </w:r>
          </w:p>
        </w:tc>
        <w:tc>
          <w:tcPr>
            <w:tcW w:w="2627" w:type="dxa"/>
            <w:shd w:val="clear" w:color="auto" w:fill="auto"/>
            <w:vAlign w:val="center"/>
            <w:hideMark/>
          </w:tcPr>
          <w:p w:rsidRPr="00AE1B2B" w:rsidR="009D3FB5" w:rsidP="00163B94" w:rsidRDefault="009D3FB5" w14:paraId="5F5113F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1756-PLA-EV-2020</w:t>
            </w:r>
          </w:p>
        </w:tc>
        <w:tc>
          <w:tcPr>
            <w:tcW w:w="2508" w:type="dxa"/>
            <w:shd w:val="clear" w:color="auto" w:fill="auto"/>
            <w:vAlign w:val="center"/>
            <w:hideMark/>
          </w:tcPr>
          <w:p w:rsidRPr="00AE1B2B" w:rsidR="009D3FB5" w:rsidP="00163B94" w:rsidRDefault="009D3FB5" w14:paraId="4478FB3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53-PLA-EV2021</w:t>
            </w:r>
          </w:p>
        </w:tc>
        <w:tc>
          <w:tcPr>
            <w:tcW w:w="2541" w:type="dxa"/>
            <w:shd w:val="clear" w:color="auto" w:fill="auto"/>
            <w:vAlign w:val="center"/>
            <w:hideMark/>
          </w:tcPr>
          <w:p w:rsidRPr="00AE1B2B" w:rsidR="009D3FB5" w:rsidP="00163B94" w:rsidRDefault="009D3FB5" w14:paraId="704A8E8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9-2021 del 2-2-21, artículo XXXVII</w:t>
            </w:r>
          </w:p>
        </w:tc>
      </w:tr>
      <w:tr w:rsidRPr="00AE1B2B" w:rsidR="00AE1B2B" w:rsidTr="009D3FB5" w14:paraId="46380E24" w14:textId="77777777">
        <w:trPr>
          <w:trHeight w:val="651"/>
        </w:trPr>
        <w:tc>
          <w:tcPr>
            <w:tcW w:w="3119" w:type="dxa"/>
            <w:shd w:val="clear" w:color="auto" w:fill="auto"/>
            <w:vAlign w:val="center"/>
            <w:hideMark/>
          </w:tcPr>
          <w:p w:rsidRPr="00AE1B2B" w:rsidR="009D3FB5" w:rsidP="00163B94" w:rsidRDefault="009D3FB5" w14:paraId="04570B3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I Circ. Jud. Zona Sur (Pérez Zeledón)</w:t>
            </w:r>
          </w:p>
        </w:tc>
        <w:tc>
          <w:tcPr>
            <w:tcW w:w="2627" w:type="dxa"/>
            <w:shd w:val="clear" w:color="auto" w:fill="auto"/>
            <w:vAlign w:val="center"/>
            <w:hideMark/>
          </w:tcPr>
          <w:p w:rsidRPr="00AE1B2B" w:rsidR="009D3FB5" w:rsidP="00163B94" w:rsidRDefault="009D3FB5" w14:paraId="1A555FB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1750-PLA-EV-2020</w:t>
            </w:r>
          </w:p>
        </w:tc>
        <w:tc>
          <w:tcPr>
            <w:tcW w:w="2508" w:type="dxa"/>
            <w:shd w:val="clear" w:color="auto" w:fill="auto"/>
            <w:vAlign w:val="center"/>
            <w:hideMark/>
          </w:tcPr>
          <w:p w:rsidRPr="00AE1B2B" w:rsidR="009D3FB5" w:rsidP="00163B94" w:rsidRDefault="009D3FB5" w14:paraId="5845040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51-PLA-EV-2021</w:t>
            </w:r>
          </w:p>
        </w:tc>
        <w:tc>
          <w:tcPr>
            <w:tcW w:w="2541" w:type="dxa"/>
            <w:shd w:val="clear" w:color="auto" w:fill="auto"/>
            <w:vAlign w:val="center"/>
            <w:hideMark/>
          </w:tcPr>
          <w:p w:rsidRPr="00AE1B2B" w:rsidR="009D3FB5" w:rsidP="00163B94" w:rsidRDefault="009D3FB5" w14:paraId="6AB894F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9-2021 del 2-2-21, artículo XXXII</w:t>
            </w:r>
          </w:p>
        </w:tc>
      </w:tr>
      <w:tr w:rsidRPr="00AE1B2B" w:rsidR="00AE1B2B" w:rsidTr="009D3FB5" w14:paraId="441D4862" w14:textId="77777777">
        <w:trPr>
          <w:trHeight w:val="450"/>
        </w:trPr>
        <w:tc>
          <w:tcPr>
            <w:tcW w:w="3119" w:type="dxa"/>
            <w:shd w:val="clear" w:color="auto" w:fill="auto"/>
            <w:vAlign w:val="center"/>
            <w:hideMark/>
          </w:tcPr>
          <w:p w:rsidRPr="00AE1B2B" w:rsidR="009D3FB5" w:rsidP="00163B94" w:rsidRDefault="009D3FB5" w14:paraId="6F83545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y Violencia Doméstica Escazú</w:t>
            </w:r>
          </w:p>
        </w:tc>
        <w:tc>
          <w:tcPr>
            <w:tcW w:w="2627" w:type="dxa"/>
            <w:shd w:val="clear" w:color="auto" w:fill="auto"/>
            <w:vAlign w:val="center"/>
            <w:hideMark/>
          </w:tcPr>
          <w:p w:rsidRPr="00AE1B2B" w:rsidR="009D3FB5" w:rsidP="00163B94" w:rsidRDefault="009D3FB5" w14:paraId="1C468E1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1757-PLA-MI-2020</w:t>
            </w:r>
          </w:p>
        </w:tc>
        <w:tc>
          <w:tcPr>
            <w:tcW w:w="2508" w:type="dxa"/>
            <w:shd w:val="clear" w:color="auto" w:fill="auto"/>
            <w:vAlign w:val="center"/>
            <w:hideMark/>
          </w:tcPr>
          <w:p w:rsidRPr="00AE1B2B" w:rsidR="009D3FB5" w:rsidP="00163B94" w:rsidRDefault="009D3FB5" w14:paraId="59C5696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1849-PLA-MI-2020</w:t>
            </w:r>
          </w:p>
        </w:tc>
        <w:tc>
          <w:tcPr>
            <w:tcW w:w="2541" w:type="dxa"/>
            <w:shd w:val="clear" w:color="auto" w:fill="auto"/>
            <w:vAlign w:val="center"/>
            <w:hideMark/>
          </w:tcPr>
          <w:p w:rsidRPr="00AE1B2B" w:rsidR="009D3FB5" w:rsidP="00163B94" w:rsidRDefault="009D3FB5" w14:paraId="0569BA5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9D3FB5" w14:paraId="3C444977" w14:textId="77777777">
        <w:trPr>
          <w:trHeight w:val="828"/>
        </w:trPr>
        <w:tc>
          <w:tcPr>
            <w:tcW w:w="3119" w:type="dxa"/>
            <w:shd w:val="clear" w:color="auto" w:fill="auto"/>
            <w:vAlign w:val="center"/>
            <w:hideMark/>
          </w:tcPr>
          <w:p w:rsidRPr="00AE1B2B" w:rsidR="009D3FB5" w:rsidP="00163B94" w:rsidRDefault="009D3FB5" w14:paraId="326EAFB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lastRenderedPageBreak/>
              <w:t xml:space="preserve">Juzgado Pensiones Alimentarias I Circ. Jud. San José </w:t>
            </w:r>
          </w:p>
        </w:tc>
        <w:tc>
          <w:tcPr>
            <w:tcW w:w="2627" w:type="dxa"/>
            <w:shd w:val="clear" w:color="auto" w:fill="auto"/>
            <w:vAlign w:val="center"/>
            <w:hideMark/>
          </w:tcPr>
          <w:p w:rsidRPr="00AE1B2B" w:rsidR="009D3FB5" w:rsidP="00163B94" w:rsidRDefault="009D3FB5" w14:paraId="5B57F0B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1760-PLA-EV-2020</w:t>
            </w:r>
          </w:p>
        </w:tc>
        <w:tc>
          <w:tcPr>
            <w:tcW w:w="2508" w:type="dxa"/>
            <w:shd w:val="clear" w:color="auto" w:fill="auto"/>
            <w:vAlign w:val="center"/>
            <w:hideMark/>
          </w:tcPr>
          <w:p w:rsidRPr="00AE1B2B" w:rsidR="009D3FB5" w:rsidP="00163B94" w:rsidRDefault="009D3FB5" w14:paraId="57B9C81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1987-PLA-EV-2020</w:t>
            </w:r>
          </w:p>
        </w:tc>
        <w:tc>
          <w:tcPr>
            <w:tcW w:w="2541" w:type="dxa"/>
            <w:shd w:val="clear" w:color="auto" w:fill="auto"/>
            <w:vAlign w:val="center"/>
            <w:hideMark/>
          </w:tcPr>
          <w:p w:rsidRPr="00AE1B2B" w:rsidR="009D3FB5" w:rsidP="00163B94" w:rsidRDefault="009D3FB5" w14:paraId="0D3EC62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120-2020 del 17-12-2020, artículo LXVI</w:t>
            </w:r>
          </w:p>
        </w:tc>
      </w:tr>
      <w:tr w:rsidRPr="00AE1B2B" w:rsidR="00AE1B2B" w:rsidTr="009D3FB5" w14:paraId="2C61B1EB" w14:textId="77777777">
        <w:trPr>
          <w:trHeight w:val="828"/>
        </w:trPr>
        <w:tc>
          <w:tcPr>
            <w:tcW w:w="3119" w:type="dxa"/>
            <w:shd w:val="clear" w:color="auto" w:fill="auto"/>
            <w:vAlign w:val="center"/>
            <w:hideMark/>
          </w:tcPr>
          <w:p w:rsidRPr="00AE1B2B" w:rsidR="009D3FB5" w:rsidP="00163B94" w:rsidRDefault="009D3FB5" w14:paraId="22C333C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de Pensiones Alimentarias y Violencia Doméstica de Siquirres</w:t>
            </w:r>
          </w:p>
        </w:tc>
        <w:tc>
          <w:tcPr>
            <w:tcW w:w="2627" w:type="dxa"/>
            <w:shd w:val="clear" w:color="auto" w:fill="auto"/>
            <w:noWrap/>
            <w:vAlign w:val="center"/>
            <w:hideMark/>
          </w:tcPr>
          <w:p w:rsidRPr="00AE1B2B" w:rsidR="009D3FB5" w:rsidP="00163B94" w:rsidRDefault="009D3FB5" w14:paraId="35A5E8B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1747-PLA-EV-2020</w:t>
            </w:r>
          </w:p>
        </w:tc>
        <w:tc>
          <w:tcPr>
            <w:tcW w:w="2508" w:type="dxa"/>
            <w:shd w:val="clear" w:color="auto" w:fill="auto"/>
            <w:vAlign w:val="center"/>
            <w:hideMark/>
          </w:tcPr>
          <w:p w:rsidRPr="00AE1B2B" w:rsidR="009D3FB5" w:rsidP="00163B94" w:rsidRDefault="009D3FB5" w14:paraId="38DE117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c>
          <w:tcPr>
            <w:tcW w:w="2541" w:type="dxa"/>
            <w:shd w:val="clear" w:color="auto" w:fill="auto"/>
            <w:vAlign w:val="center"/>
            <w:hideMark/>
          </w:tcPr>
          <w:p w:rsidRPr="00AE1B2B" w:rsidR="009D3FB5" w:rsidP="00163B94" w:rsidRDefault="009D3FB5" w14:paraId="3A500F2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9D3FB5" w14:paraId="4B303F90" w14:textId="77777777">
        <w:trPr>
          <w:trHeight w:val="450"/>
        </w:trPr>
        <w:tc>
          <w:tcPr>
            <w:tcW w:w="3119" w:type="dxa"/>
            <w:shd w:val="clear" w:color="auto" w:fill="auto"/>
            <w:vAlign w:val="center"/>
            <w:hideMark/>
          </w:tcPr>
          <w:p w:rsidRPr="00AE1B2B" w:rsidR="009D3FB5" w:rsidP="00163B94" w:rsidRDefault="009D3FB5" w14:paraId="3AF3560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III Circ. Jud. San José (Desamparados)</w:t>
            </w:r>
          </w:p>
        </w:tc>
        <w:tc>
          <w:tcPr>
            <w:tcW w:w="2627" w:type="dxa"/>
            <w:shd w:val="clear" w:color="auto" w:fill="auto"/>
            <w:vAlign w:val="center"/>
            <w:hideMark/>
          </w:tcPr>
          <w:p w:rsidRPr="00AE1B2B" w:rsidR="009D3FB5" w:rsidP="00163B94" w:rsidRDefault="009D3FB5" w14:paraId="2438BD6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1761-PLA-MI-2020</w:t>
            </w:r>
          </w:p>
        </w:tc>
        <w:tc>
          <w:tcPr>
            <w:tcW w:w="2508" w:type="dxa"/>
            <w:shd w:val="clear" w:color="auto" w:fill="auto"/>
            <w:vAlign w:val="center"/>
            <w:hideMark/>
          </w:tcPr>
          <w:p w:rsidRPr="00AE1B2B" w:rsidR="009D3FB5" w:rsidP="00163B94" w:rsidRDefault="009D3FB5" w14:paraId="2FC64D3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97-PLA-EV-2021</w:t>
            </w:r>
          </w:p>
        </w:tc>
        <w:tc>
          <w:tcPr>
            <w:tcW w:w="2541" w:type="dxa"/>
            <w:shd w:val="clear" w:color="auto" w:fill="auto"/>
            <w:vAlign w:val="center"/>
            <w:hideMark/>
          </w:tcPr>
          <w:p w:rsidRPr="00AE1B2B" w:rsidR="009D3FB5" w:rsidP="00163B94" w:rsidRDefault="009D3FB5" w14:paraId="658C1C8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9D3FB5" w14:paraId="6D1F5539" w14:textId="77777777">
        <w:trPr>
          <w:trHeight w:val="590"/>
        </w:trPr>
        <w:tc>
          <w:tcPr>
            <w:tcW w:w="3119" w:type="dxa"/>
            <w:shd w:val="clear" w:color="auto" w:fill="auto"/>
            <w:vAlign w:val="center"/>
            <w:hideMark/>
          </w:tcPr>
          <w:p w:rsidRPr="00AE1B2B" w:rsidR="009D3FB5" w:rsidP="00163B94" w:rsidRDefault="009D3FB5" w14:paraId="1503583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II Circ. Jud. San José (Goicoechea) /Turno Extraordinario</w:t>
            </w:r>
          </w:p>
        </w:tc>
        <w:tc>
          <w:tcPr>
            <w:tcW w:w="2627" w:type="dxa"/>
            <w:shd w:val="clear" w:color="auto" w:fill="auto"/>
            <w:vAlign w:val="center"/>
            <w:hideMark/>
          </w:tcPr>
          <w:p w:rsidRPr="00AE1B2B" w:rsidR="009D3FB5" w:rsidP="00163B94" w:rsidRDefault="009D3FB5" w14:paraId="3C5B4AA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1744-PLA-EV-2020</w:t>
            </w:r>
          </w:p>
        </w:tc>
        <w:tc>
          <w:tcPr>
            <w:tcW w:w="2508" w:type="dxa"/>
            <w:shd w:val="clear" w:color="auto" w:fill="auto"/>
            <w:vAlign w:val="center"/>
            <w:hideMark/>
          </w:tcPr>
          <w:p w:rsidRPr="00AE1B2B" w:rsidR="009D3FB5" w:rsidP="00163B94" w:rsidRDefault="009D3FB5" w14:paraId="154CF13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194-PLA-MI-2021</w:t>
            </w:r>
          </w:p>
        </w:tc>
        <w:tc>
          <w:tcPr>
            <w:tcW w:w="2541" w:type="dxa"/>
            <w:shd w:val="clear" w:color="auto" w:fill="auto"/>
            <w:vAlign w:val="center"/>
            <w:hideMark/>
          </w:tcPr>
          <w:p w:rsidRPr="00AE1B2B" w:rsidR="009D3FB5" w:rsidP="00163B94" w:rsidRDefault="009D3FB5" w14:paraId="43CEBC6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16-2021 del 25-2-21, Art. LIII</w:t>
            </w:r>
          </w:p>
        </w:tc>
      </w:tr>
      <w:tr w:rsidRPr="00AE1B2B" w:rsidR="00AE1B2B" w:rsidTr="009D3FB5" w14:paraId="1C8E317C" w14:textId="77777777">
        <w:trPr>
          <w:trHeight w:val="771"/>
        </w:trPr>
        <w:tc>
          <w:tcPr>
            <w:tcW w:w="3119" w:type="dxa"/>
            <w:shd w:val="clear" w:color="auto" w:fill="auto"/>
            <w:vAlign w:val="center"/>
            <w:hideMark/>
          </w:tcPr>
          <w:p w:rsidRPr="00AE1B2B" w:rsidR="009D3FB5" w:rsidP="00163B94" w:rsidRDefault="009D3FB5" w14:paraId="66154B5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y de Pensiones Alimentarias II Circuito Alajuela (San Carlos) </w:t>
            </w:r>
          </w:p>
        </w:tc>
        <w:tc>
          <w:tcPr>
            <w:tcW w:w="2627" w:type="dxa"/>
            <w:shd w:val="clear" w:color="auto" w:fill="auto"/>
            <w:vAlign w:val="center"/>
            <w:hideMark/>
          </w:tcPr>
          <w:p w:rsidRPr="00AE1B2B" w:rsidR="009D3FB5" w:rsidP="00163B94" w:rsidRDefault="009D3FB5" w14:paraId="59F7339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1721-PLA-EV-2020</w:t>
            </w:r>
          </w:p>
        </w:tc>
        <w:tc>
          <w:tcPr>
            <w:tcW w:w="2508" w:type="dxa"/>
            <w:shd w:val="clear" w:color="auto" w:fill="auto"/>
            <w:vAlign w:val="center"/>
            <w:hideMark/>
          </w:tcPr>
          <w:p w:rsidRPr="00AE1B2B" w:rsidR="009D3FB5" w:rsidP="00163B94" w:rsidRDefault="009D3FB5" w14:paraId="7B825D6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59-PLA-EV-2021</w:t>
            </w:r>
          </w:p>
        </w:tc>
        <w:tc>
          <w:tcPr>
            <w:tcW w:w="2541" w:type="dxa"/>
            <w:shd w:val="clear" w:color="auto" w:fill="auto"/>
            <w:vAlign w:val="center"/>
            <w:hideMark/>
          </w:tcPr>
          <w:p w:rsidRPr="00AE1B2B" w:rsidR="009D3FB5" w:rsidP="00163B94" w:rsidRDefault="009D3FB5" w14:paraId="534516F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10-2021 del 4-2-21, Art. LVII</w:t>
            </w:r>
          </w:p>
        </w:tc>
      </w:tr>
      <w:tr w:rsidRPr="00AE1B2B" w:rsidR="00AE1B2B" w:rsidTr="009D3FB5" w14:paraId="0B532D8D" w14:textId="77777777">
        <w:trPr>
          <w:trHeight w:val="450"/>
        </w:trPr>
        <w:tc>
          <w:tcPr>
            <w:tcW w:w="3119" w:type="dxa"/>
            <w:shd w:val="clear" w:color="auto" w:fill="auto"/>
            <w:vAlign w:val="center"/>
            <w:hideMark/>
          </w:tcPr>
          <w:p w:rsidRPr="00AE1B2B" w:rsidR="009D3FB5" w:rsidP="00163B94" w:rsidRDefault="009D3FB5" w14:paraId="160D274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de Pensiones Alimentarias de Cartago </w:t>
            </w:r>
          </w:p>
        </w:tc>
        <w:tc>
          <w:tcPr>
            <w:tcW w:w="2627" w:type="dxa"/>
            <w:shd w:val="clear" w:color="auto" w:fill="auto"/>
            <w:vAlign w:val="center"/>
            <w:hideMark/>
          </w:tcPr>
          <w:p w:rsidRPr="00AE1B2B" w:rsidR="009D3FB5" w:rsidP="00163B94" w:rsidRDefault="009D3FB5" w14:paraId="11A8C8B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1773-PLA-EV-2020</w:t>
            </w:r>
          </w:p>
        </w:tc>
        <w:tc>
          <w:tcPr>
            <w:tcW w:w="2508" w:type="dxa"/>
            <w:shd w:val="clear" w:color="auto" w:fill="auto"/>
            <w:vAlign w:val="center"/>
            <w:hideMark/>
          </w:tcPr>
          <w:p w:rsidRPr="00AE1B2B" w:rsidR="009D3FB5" w:rsidP="00163B94" w:rsidRDefault="009D3FB5" w14:paraId="1328692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1861-PLA-EV-2020</w:t>
            </w:r>
          </w:p>
        </w:tc>
        <w:tc>
          <w:tcPr>
            <w:tcW w:w="2541" w:type="dxa"/>
            <w:shd w:val="clear" w:color="auto" w:fill="auto"/>
            <w:vAlign w:val="center"/>
            <w:hideMark/>
          </w:tcPr>
          <w:p w:rsidRPr="00AE1B2B" w:rsidR="009D3FB5" w:rsidP="00163B94" w:rsidRDefault="009D3FB5" w14:paraId="1057974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116-2020, del 3-12-2020, Art. XXXVII</w:t>
            </w:r>
          </w:p>
        </w:tc>
      </w:tr>
      <w:tr w:rsidRPr="00AE1B2B" w:rsidR="00AE1B2B" w:rsidTr="009D3FB5" w14:paraId="5107B3C7" w14:textId="77777777">
        <w:trPr>
          <w:trHeight w:val="590"/>
        </w:trPr>
        <w:tc>
          <w:tcPr>
            <w:tcW w:w="3119" w:type="dxa"/>
            <w:shd w:val="clear" w:color="auto" w:fill="auto"/>
            <w:vAlign w:val="center"/>
            <w:hideMark/>
          </w:tcPr>
          <w:p w:rsidRPr="00AE1B2B" w:rsidR="009D3FB5" w:rsidP="00163B94" w:rsidRDefault="009D3FB5" w14:paraId="11073AE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Poás</w:t>
            </w:r>
          </w:p>
        </w:tc>
        <w:tc>
          <w:tcPr>
            <w:tcW w:w="2627" w:type="dxa"/>
            <w:shd w:val="clear" w:color="auto" w:fill="auto"/>
            <w:vAlign w:val="center"/>
            <w:hideMark/>
          </w:tcPr>
          <w:p w:rsidRPr="00AE1B2B" w:rsidR="009D3FB5" w:rsidP="00163B94" w:rsidRDefault="009D3FB5" w14:paraId="5D6AE6F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1702-PLA-EV-2020</w:t>
            </w:r>
          </w:p>
        </w:tc>
        <w:tc>
          <w:tcPr>
            <w:tcW w:w="2508" w:type="dxa"/>
            <w:shd w:val="clear" w:color="auto" w:fill="auto"/>
            <w:vAlign w:val="center"/>
            <w:hideMark/>
          </w:tcPr>
          <w:p w:rsidRPr="00AE1B2B" w:rsidR="009D3FB5" w:rsidP="00163B94" w:rsidRDefault="009D3FB5" w14:paraId="692A622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1989-PLA-EV-2020</w:t>
            </w:r>
          </w:p>
        </w:tc>
        <w:tc>
          <w:tcPr>
            <w:tcW w:w="2541" w:type="dxa"/>
            <w:shd w:val="clear" w:color="auto" w:fill="auto"/>
            <w:vAlign w:val="center"/>
            <w:hideMark/>
          </w:tcPr>
          <w:p w:rsidRPr="00AE1B2B" w:rsidR="009D3FB5" w:rsidP="00163B94" w:rsidRDefault="009D3FB5" w14:paraId="1A051BC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Sesión 01-21, del 5-1-21, Art. XXXII </w:t>
            </w:r>
          </w:p>
        </w:tc>
      </w:tr>
      <w:tr w:rsidRPr="00AE1B2B" w:rsidR="00AE1B2B" w:rsidTr="009D3FB5" w14:paraId="00CF80C1" w14:textId="77777777">
        <w:trPr>
          <w:trHeight w:val="450"/>
        </w:trPr>
        <w:tc>
          <w:tcPr>
            <w:tcW w:w="3119" w:type="dxa"/>
            <w:shd w:val="clear" w:color="auto" w:fill="auto"/>
            <w:vAlign w:val="center"/>
            <w:hideMark/>
          </w:tcPr>
          <w:p w:rsidRPr="00AE1B2B" w:rsidR="009D3FB5" w:rsidP="00163B94" w:rsidRDefault="009D3FB5" w14:paraId="2F88B74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y Violencia Doméstica de Flores (PISAV)</w:t>
            </w:r>
          </w:p>
        </w:tc>
        <w:tc>
          <w:tcPr>
            <w:tcW w:w="2627" w:type="dxa"/>
            <w:shd w:val="clear" w:color="auto" w:fill="auto"/>
            <w:vAlign w:val="center"/>
            <w:hideMark/>
          </w:tcPr>
          <w:p w:rsidRPr="00AE1B2B" w:rsidR="009D3FB5" w:rsidP="00163B94" w:rsidRDefault="009D3FB5" w14:paraId="2AEB09E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1810-PLA-EV-2020</w:t>
            </w:r>
          </w:p>
        </w:tc>
        <w:tc>
          <w:tcPr>
            <w:tcW w:w="2508" w:type="dxa"/>
            <w:shd w:val="clear" w:color="auto" w:fill="auto"/>
            <w:vAlign w:val="center"/>
            <w:hideMark/>
          </w:tcPr>
          <w:p w:rsidRPr="00AE1B2B" w:rsidR="009D3FB5" w:rsidP="00163B94" w:rsidRDefault="009D3FB5" w14:paraId="15E80C8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c>
          <w:tcPr>
            <w:tcW w:w="2541" w:type="dxa"/>
            <w:shd w:val="clear" w:color="auto" w:fill="auto"/>
            <w:vAlign w:val="center"/>
            <w:hideMark/>
          </w:tcPr>
          <w:p w:rsidRPr="00AE1B2B" w:rsidR="009D3FB5" w:rsidP="00163B94" w:rsidRDefault="009D3FB5" w14:paraId="0236866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9D3FB5" w14:paraId="38D6F166" w14:textId="77777777">
        <w:trPr>
          <w:trHeight w:val="828"/>
        </w:trPr>
        <w:tc>
          <w:tcPr>
            <w:tcW w:w="3119" w:type="dxa"/>
            <w:shd w:val="clear" w:color="auto" w:fill="auto"/>
            <w:vAlign w:val="center"/>
            <w:hideMark/>
          </w:tcPr>
          <w:p w:rsidRPr="00AE1B2B" w:rsidR="009D3FB5" w:rsidP="00163B94" w:rsidRDefault="009D3FB5" w14:paraId="338B235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y Violencia Doméstica Pavas (PISAV)</w:t>
            </w:r>
          </w:p>
        </w:tc>
        <w:tc>
          <w:tcPr>
            <w:tcW w:w="2627" w:type="dxa"/>
            <w:shd w:val="clear" w:color="auto" w:fill="auto"/>
            <w:vAlign w:val="center"/>
            <w:hideMark/>
          </w:tcPr>
          <w:p w:rsidRPr="00AE1B2B" w:rsidR="009D3FB5" w:rsidP="00163B94" w:rsidRDefault="009D3FB5" w14:paraId="7BD7860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1759-PLA-EV-20</w:t>
            </w:r>
          </w:p>
        </w:tc>
        <w:tc>
          <w:tcPr>
            <w:tcW w:w="2508" w:type="dxa"/>
            <w:shd w:val="clear" w:color="auto" w:fill="auto"/>
            <w:vAlign w:val="center"/>
            <w:hideMark/>
          </w:tcPr>
          <w:p w:rsidRPr="00AE1B2B" w:rsidR="009D3FB5" w:rsidP="00163B94" w:rsidRDefault="009D3FB5" w14:paraId="163EC2C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15-PLA-EV-2021</w:t>
            </w:r>
          </w:p>
        </w:tc>
        <w:tc>
          <w:tcPr>
            <w:tcW w:w="2541" w:type="dxa"/>
            <w:shd w:val="clear" w:color="auto" w:fill="auto"/>
            <w:vAlign w:val="center"/>
            <w:hideMark/>
          </w:tcPr>
          <w:p w:rsidRPr="00AE1B2B" w:rsidR="009D3FB5" w:rsidP="00163B94" w:rsidRDefault="009D3FB5" w14:paraId="00C24B7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7-2021 del 26-1-21, Art. XLVI</w:t>
            </w:r>
          </w:p>
        </w:tc>
      </w:tr>
      <w:tr w:rsidRPr="00AE1B2B" w:rsidR="00AE1B2B" w:rsidTr="009D3FB5" w14:paraId="3F9D0DE2" w14:textId="77777777">
        <w:trPr>
          <w:trHeight w:val="312"/>
        </w:trPr>
        <w:tc>
          <w:tcPr>
            <w:tcW w:w="3119" w:type="dxa"/>
            <w:shd w:val="clear" w:color="auto" w:fill="auto"/>
            <w:vAlign w:val="center"/>
            <w:hideMark/>
          </w:tcPr>
          <w:p w:rsidRPr="00AE1B2B" w:rsidR="009D3FB5" w:rsidP="00163B94" w:rsidRDefault="009D3FB5" w14:paraId="28F79A9E"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Buenos Aires</w:t>
            </w:r>
          </w:p>
        </w:tc>
        <w:tc>
          <w:tcPr>
            <w:tcW w:w="2627" w:type="dxa"/>
            <w:shd w:val="clear" w:color="auto" w:fill="auto"/>
            <w:vAlign w:val="center"/>
            <w:hideMark/>
          </w:tcPr>
          <w:p w:rsidRPr="00AE1B2B" w:rsidR="009D3FB5" w:rsidP="00163B94" w:rsidRDefault="009D3FB5" w14:paraId="3DF3660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1681-PLA-EV-2020</w:t>
            </w:r>
          </w:p>
        </w:tc>
        <w:tc>
          <w:tcPr>
            <w:tcW w:w="2508" w:type="dxa"/>
            <w:shd w:val="clear" w:color="auto" w:fill="auto"/>
            <w:vAlign w:val="center"/>
            <w:hideMark/>
          </w:tcPr>
          <w:p w:rsidRPr="00AE1B2B" w:rsidR="009D3FB5" w:rsidP="00163B94" w:rsidRDefault="009D3FB5" w14:paraId="3D9F0BF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76-PLA-EV-2021</w:t>
            </w:r>
          </w:p>
        </w:tc>
        <w:tc>
          <w:tcPr>
            <w:tcW w:w="2541" w:type="dxa"/>
            <w:shd w:val="clear" w:color="auto" w:fill="auto"/>
            <w:vAlign w:val="center"/>
            <w:hideMark/>
          </w:tcPr>
          <w:p w:rsidRPr="00AE1B2B" w:rsidR="009D3FB5" w:rsidP="00163B94" w:rsidRDefault="009D3FB5" w14:paraId="1999E2C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10-2021 del 4-2-21, Art. LI</w:t>
            </w:r>
          </w:p>
        </w:tc>
      </w:tr>
      <w:tr w:rsidRPr="00AE1B2B" w:rsidR="00AE1B2B" w:rsidTr="009D3FB5" w14:paraId="7EC4C68B" w14:textId="77777777">
        <w:trPr>
          <w:trHeight w:val="450"/>
        </w:trPr>
        <w:tc>
          <w:tcPr>
            <w:tcW w:w="3119" w:type="dxa"/>
            <w:shd w:val="clear" w:color="auto" w:fill="auto"/>
            <w:vAlign w:val="center"/>
            <w:hideMark/>
          </w:tcPr>
          <w:p w:rsidRPr="00AE1B2B" w:rsidR="009D3FB5" w:rsidP="00163B94" w:rsidRDefault="009D3FB5" w14:paraId="072A760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Santa Ana </w:t>
            </w:r>
          </w:p>
        </w:tc>
        <w:tc>
          <w:tcPr>
            <w:tcW w:w="2627" w:type="dxa"/>
            <w:shd w:val="clear" w:color="auto" w:fill="auto"/>
            <w:vAlign w:val="center"/>
            <w:hideMark/>
          </w:tcPr>
          <w:p w:rsidRPr="00AE1B2B" w:rsidR="009D3FB5" w:rsidP="00163B94" w:rsidRDefault="009D3FB5" w14:paraId="02FF166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1667-PLA-MI-2020</w:t>
            </w:r>
          </w:p>
        </w:tc>
        <w:tc>
          <w:tcPr>
            <w:tcW w:w="2508" w:type="dxa"/>
            <w:shd w:val="clear" w:color="auto" w:fill="auto"/>
            <w:vAlign w:val="center"/>
            <w:hideMark/>
          </w:tcPr>
          <w:p w:rsidRPr="00AE1B2B" w:rsidR="009D3FB5" w:rsidP="00163B94" w:rsidRDefault="009D3FB5" w14:paraId="0F0C47A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1852-PLA-MI-2020</w:t>
            </w:r>
          </w:p>
        </w:tc>
        <w:tc>
          <w:tcPr>
            <w:tcW w:w="2541" w:type="dxa"/>
            <w:shd w:val="clear" w:color="auto" w:fill="auto"/>
            <w:vAlign w:val="center"/>
            <w:hideMark/>
          </w:tcPr>
          <w:p w:rsidRPr="00AE1B2B" w:rsidR="009D3FB5" w:rsidP="00163B94" w:rsidRDefault="009D3FB5" w14:paraId="6526061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119-2020, del 15-12-20, Art. XLIX</w:t>
            </w:r>
          </w:p>
        </w:tc>
      </w:tr>
      <w:tr w:rsidRPr="00AE1B2B" w:rsidR="00AE1B2B" w:rsidTr="009D3FB5" w14:paraId="75526F3B" w14:textId="77777777">
        <w:trPr>
          <w:trHeight w:val="450"/>
        </w:trPr>
        <w:tc>
          <w:tcPr>
            <w:tcW w:w="3119" w:type="dxa"/>
            <w:shd w:val="clear" w:color="auto" w:fill="auto"/>
            <w:vAlign w:val="center"/>
            <w:hideMark/>
          </w:tcPr>
          <w:p w:rsidRPr="00AE1B2B" w:rsidR="009D3FB5" w:rsidP="00163B94" w:rsidRDefault="009D3FB5" w14:paraId="5E01BE0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Valverde Vega</w:t>
            </w:r>
          </w:p>
        </w:tc>
        <w:tc>
          <w:tcPr>
            <w:tcW w:w="2627" w:type="dxa"/>
            <w:shd w:val="clear" w:color="auto" w:fill="auto"/>
            <w:vAlign w:val="center"/>
            <w:hideMark/>
          </w:tcPr>
          <w:p w:rsidRPr="00AE1B2B" w:rsidR="009D3FB5" w:rsidP="00163B94" w:rsidRDefault="009D3FB5" w14:paraId="03E4E6C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1676-PLA-MI-2020</w:t>
            </w:r>
          </w:p>
        </w:tc>
        <w:tc>
          <w:tcPr>
            <w:tcW w:w="2508" w:type="dxa"/>
            <w:shd w:val="clear" w:color="auto" w:fill="auto"/>
            <w:vAlign w:val="center"/>
            <w:hideMark/>
          </w:tcPr>
          <w:p w:rsidRPr="00AE1B2B" w:rsidR="009D3FB5" w:rsidP="00163B94" w:rsidRDefault="009D3FB5" w14:paraId="7F76CD1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1850-PLA-MI-2020</w:t>
            </w:r>
          </w:p>
        </w:tc>
        <w:tc>
          <w:tcPr>
            <w:tcW w:w="2541" w:type="dxa"/>
            <w:shd w:val="clear" w:color="auto" w:fill="auto"/>
            <w:vAlign w:val="center"/>
            <w:hideMark/>
          </w:tcPr>
          <w:p w:rsidRPr="00AE1B2B" w:rsidR="009D3FB5" w:rsidP="00163B94" w:rsidRDefault="009D3FB5" w14:paraId="0BA5DE6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118-2020, del 10-12-20, Art.LVII</w:t>
            </w:r>
          </w:p>
        </w:tc>
      </w:tr>
      <w:tr w:rsidRPr="00AE1B2B" w:rsidR="00AE1B2B" w:rsidTr="009D3FB5" w14:paraId="05EF3B8D" w14:textId="77777777">
        <w:trPr>
          <w:trHeight w:val="450"/>
        </w:trPr>
        <w:tc>
          <w:tcPr>
            <w:tcW w:w="3119" w:type="dxa"/>
            <w:shd w:val="clear" w:color="auto" w:fill="auto"/>
            <w:vAlign w:val="center"/>
            <w:hideMark/>
          </w:tcPr>
          <w:p w:rsidRPr="00AE1B2B" w:rsidR="009D3FB5" w:rsidP="00163B94" w:rsidRDefault="009D3FB5" w14:paraId="76822BC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Atenas</w:t>
            </w:r>
          </w:p>
        </w:tc>
        <w:tc>
          <w:tcPr>
            <w:tcW w:w="2627" w:type="dxa"/>
            <w:shd w:val="clear" w:color="auto" w:fill="auto"/>
            <w:vAlign w:val="center"/>
            <w:hideMark/>
          </w:tcPr>
          <w:p w:rsidRPr="00AE1B2B" w:rsidR="009D3FB5" w:rsidP="00163B94" w:rsidRDefault="009D3FB5" w14:paraId="7AD59F1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1834-PLA-MI-2020</w:t>
            </w:r>
          </w:p>
        </w:tc>
        <w:tc>
          <w:tcPr>
            <w:tcW w:w="2508" w:type="dxa"/>
            <w:shd w:val="clear" w:color="auto" w:fill="auto"/>
            <w:vAlign w:val="center"/>
            <w:hideMark/>
          </w:tcPr>
          <w:p w:rsidRPr="00AE1B2B" w:rsidR="009D3FB5" w:rsidP="00163B94" w:rsidRDefault="009D3FB5" w14:paraId="7045520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75-PLA-EV-2021</w:t>
            </w:r>
          </w:p>
        </w:tc>
        <w:tc>
          <w:tcPr>
            <w:tcW w:w="2541" w:type="dxa"/>
            <w:shd w:val="clear" w:color="auto" w:fill="auto"/>
            <w:vAlign w:val="center"/>
            <w:hideMark/>
          </w:tcPr>
          <w:p w:rsidRPr="00AE1B2B" w:rsidR="009D3FB5" w:rsidP="00163B94" w:rsidRDefault="009D3FB5" w14:paraId="2E68CF8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9D3FB5" w14:paraId="486464FA" w14:textId="77777777">
        <w:trPr>
          <w:trHeight w:val="450"/>
        </w:trPr>
        <w:tc>
          <w:tcPr>
            <w:tcW w:w="3119" w:type="dxa"/>
            <w:shd w:val="clear" w:color="auto" w:fill="auto"/>
            <w:vAlign w:val="center"/>
            <w:hideMark/>
          </w:tcPr>
          <w:p w:rsidRPr="00AE1B2B" w:rsidR="009D3FB5" w:rsidP="00163B94" w:rsidRDefault="009D3FB5" w14:paraId="45CC563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Naranjo</w:t>
            </w:r>
          </w:p>
        </w:tc>
        <w:tc>
          <w:tcPr>
            <w:tcW w:w="2627" w:type="dxa"/>
            <w:shd w:val="clear" w:color="auto" w:fill="auto"/>
            <w:vAlign w:val="center"/>
            <w:hideMark/>
          </w:tcPr>
          <w:p w:rsidRPr="00AE1B2B" w:rsidR="009D3FB5" w:rsidP="00163B94" w:rsidRDefault="009D3FB5" w14:paraId="4B13FBC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1680-PLA-MI-2020</w:t>
            </w:r>
          </w:p>
        </w:tc>
        <w:tc>
          <w:tcPr>
            <w:tcW w:w="2508" w:type="dxa"/>
            <w:shd w:val="clear" w:color="auto" w:fill="auto"/>
            <w:vAlign w:val="center"/>
            <w:hideMark/>
          </w:tcPr>
          <w:p w:rsidRPr="00AE1B2B" w:rsidR="009D3FB5" w:rsidP="00163B94" w:rsidRDefault="009D3FB5" w14:paraId="58AE066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1865-PLA-MI-2020</w:t>
            </w:r>
          </w:p>
        </w:tc>
        <w:tc>
          <w:tcPr>
            <w:tcW w:w="2541" w:type="dxa"/>
            <w:shd w:val="clear" w:color="auto" w:fill="auto"/>
            <w:vAlign w:val="center"/>
            <w:hideMark/>
          </w:tcPr>
          <w:p w:rsidRPr="00AE1B2B" w:rsidR="009D3FB5" w:rsidP="00163B94" w:rsidRDefault="009D3FB5" w14:paraId="2738C82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119-2020, del 15-12-20, Art. XLVII</w:t>
            </w:r>
          </w:p>
        </w:tc>
      </w:tr>
      <w:tr w:rsidRPr="00AE1B2B" w:rsidR="00AE1B2B" w:rsidTr="009D3FB5" w14:paraId="2E10F482" w14:textId="77777777">
        <w:trPr>
          <w:trHeight w:val="450"/>
        </w:trPr>
        <w:tc>
          <w:tcPr>
            <w:tcW w:w="3119" w:type="dxa"/>
            <w:shd w:val="clear" w:color="auto" w:fill="auto"/>
            <w:vAlign w:val="center"/>
            <w:hideMark/>
          </w:tcPr>
          <w:p w:rsidRPr="00AE1B2B" w:rsidR="009D3FB5" w:rsidP="00163B94" w:rsidRDefault="009D3FB5" w14:paraId="4E82A39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Palmares</w:t>
            </w:r>
          </w:p>
        </w:tc>
        <w:tc>
          <w:tcPr>
            <w:tcW w:w="2627" w:type="dxa"/>
            <w:shd w:val="clear" w:color="auto" w:fill="auto"/>
            <w:vAlign w:val="center"/>
            <w:hideMark/>
          </w:tcPr>
          <w:p w:rsidRPr="00AE1B2B" w:rsidR="009D3FB5" w:rsidP="00163B94" w:rsidRDefault="009D3FB5" w14:paraId="04CB7AE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1662-PLA-MI-2020</w:t>
            </w:r>
          </w:p>
        </w:tc>
        <w:tc>
          <w:tcPr>
            <w:tcW w:w="2508" w:type="dxa"/>
            <w:shd w:val="clear" w:color="auto" w:fill="auto"/>
            <w:vAlign w:val="center"/>
            <w:hideMark/>
          </w:tcPr>
          <w:p w:rsidRPr="00AE1B2B" w:rsidR="009D3FB5" w:rsidP="00163B94" w:rsidRDefault="009D3FB5" w14:paraId="0D35D01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1883-PLA-EV-2020</w:t>
            </w:r>
          </w:p>
        </w:tc>
        <w:tc>
          <w:tcPr>
            <w:tcW w:w="2541" w:type="dxa"/>
            <w:shd w:val="clear" w:color="auto" w:fill="auto"/>
            <w:vAlign w:val="center"/>
            <w:hideMark/>
          </w:tcPr>
          <w:p w:rsidRPr="00AE1B2B" w:rsidR="009D3FB5" w:rsidP="00163B94" w:rsidRDefault="009D3FB5" w14:paraId="647D180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119-2020, del 15-12-20, Art. LV</w:t>
            </w:r>
          </w:p>
        </w:tc>
      </w:tr>
      <w:tr w:rsidRPr="00AE1B2B" w:rsidR="00AE1B2B" w:rsidTr="009D3FB5" w14:paraId="52B0A448" w14:textId="77777777">
        <w:trPr>
          <w:trHeight w:val="651"/>
        </w:trPr>
        <w:tc>
          <w:tcPr>
            <w:tcW w:w="3119" w:type="dxa"/>
            <w:shd w:val="clear" w:color="auto" w:fill="auto"/>
            <w:vAlign w:val="center"/>
            <w:hideMark/>
          </w:tcPr>
          <w:p w:rsidRPr="00AE1B2B" w:rsidR="009D3FB5" w:rsidP="00163B94" w:rsidRDefault="009D3FB5" w14:paraId="5B80D8C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lastRenderedPageBreak/>
              <w:t>Juzgado Contravencional Puriscal</w:t>
            </w:r>
          </w:p>
        </w:tc>
        <w:tc>
          <w:tcPr>
            <w:tcW w:w="2627" w:type="dxa"/>
            <w:shd w:val="clear" w:color="auto" w:fill="auto"/>
            <w:vAlign w:val="center"/>
            <w:hideMark/>
          </w:tcPr>
          <w:p w:rsidRPr="00AE1B2B" w:rsidR="009D3FB5" w:rsidP="00163B94" w:rsidRDefault="00BB7720" w14:paraId="7908EA95" w14:textId="22120576">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1669-PLA-EV-2020</w:t>
            </w:r>
          </w:p>
        </w:tc>
        <w:tc>
          <w:tcPr>
            <w:tcW w:w="2508" w:type="dxa"/>
            <w:shd w:val="clear" w:color="auto" w:fill="auto"/>
            <w:vAlign w:val="center"/>
            <w:hideMark/>
          </w:tcPr>
          <w:p w:rsidRPr="00AE1B2B" w:rsidR="009D3FB5" w:rsidP="00163B94" w:rsidRDefault="009D3FB5" w14:paraId="661C615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1889-PLA-EV-2020</w:t>
            </w:r>
          </w:p>
        </w:tc>
        <w:tc>
          <w:tcPr>
            <w:tcW w:w="2541" w:type="dxa"/>
            <w:shd w:val="clear" w:color="auto" w:fill="auto"/>
            <w:vAlign w:val="center"/>
            <w:hideMark/>
          </w:tcPr>
          <w:p w:rsidRPr="00AE1B2B" w:rsidR="009D3FB5" w:rsidP="00163B94" w:rsidRDefault="009D3FB5" w14:paraId="69CF59B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119-2020 del 15-12-2020, artículo XLVI</w:t>
            </w:r>
          </w:p>
        </w:tc>
      </w:tr>
      <w:tr w:rsidRPr="00AE1B2B" w:rsidR="00AE1B2B" w:rsidTr="009D3FB5" w14:paraId="50914962" w14:textId="77777777">
        <w:trPr>
          <w:trHeight w:val="450"/>
        </w:trPr>
        <w:tc>
          <w:tcPr>
            <w:tcW w:w="3119" w:type="dxa"/>
            <w:shd w:val="clear" w:color="auto" w:fill="auto"/>
            <w:vAlign w:val="center"/>
            <w:hideMark/>
          </w:tcPr>
          <w:p w:rsidRPr="00AE1B2B" w:rsidR="009D3FB5" w:rsidP="00163B94" w:rsidRDefault="009D3FB5" w14:paraId="5D9B34D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Jiménez</w:t>
            </w:r>
          </w:p>
        </w:tc>
        <w:tc>
          <w:tcPr>
            <w:tcW w:w="2627" w:type="dxa"/>
            <w:shd w:val="clear" w:color="auto" w:fill="auto"/>
            <w:vAlign w:val="center"/>
            <w:hideMark/>
          </w:tcPr>
          <w:p w:rsidRPr="00AE1B2B" w:rsidR="009D3FB5" w:rsidP="00163B94" w:rsidRDefault="009D3FB5" w14:paraId="264748B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1723-PLA-EV-2020</w:t>
            </w:r>
          </w:p>
        </w:tc>
        <w:tc>
          <w:tcPr>
            <w:tcW w:w="2508" w:type="dxa"/>
            <w:shd w:val="clear" w:color="auto" w:fill="auto"/>
            <w:vAlign w:val="center"/>
            <w:hideMark/>
          </w:tcPr>
          <w:p w:rsidRPr="00AE1B2B" w:rsidR="009D3FB5" w:rsidP="00163B94" w:rsidRDefault="009D3FB5" w14:paraId="17BE67A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1855-PLA-EV-2020</w:t>
            </w:r>
          </w:p>
        </w:tc>
        <w:tc>
          <w:tcPr>
            <w:tcW w:w="2541" w:type="dxa"/>
            <w:shd w:val="clear" w:color="auto" w:fill="auto"/>
            <w:vAlign w:val="center"/>
            <w:hideMark/>
          </w:tcPr>
          <w:p w:rsidRPr="00AE1B2B" w:rsidR="009D3FB5" w:rsidP="00163B94" w:rsidRDefault="009D3FB5" w14:paraId="7E9C631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115-2020, del 1-12-20, Art. XLIX</w:t>
            </w:r>
          </w:p>
        </w:tc>
      </w:tr>
      <w:tr w:rsidRPr="00AE1B2B" w:rsidR="00AE1B2B" w:rsidTr="009D3FB5" w14:paraId="5EEE5F96" w14:textId="77777777">
        <w:trPr>
          <w:trHeight w:val="731"/>
        </w:trPr>
        <w:tc>
          <w:tcPr>
            <w:tcW w:w="3119" w:type="dxa"/>
            <w:shd w:val="clear" w:color="auto" w:fill="auto"/>
            <w:vAlign w:val="center"/>
            <w:hideMark/>
          </w:tcPr>
          <w:p w:rsidRPr="00AE1B2B" w:rsidR="009D3FB5" w:rsidP="00163B94" w:rsidRDefault="009D3FB5" w14:paraId="70B9161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Quepos</w:t>
            </w:r>
          </w:p>
        </w:tc>
        <w:tc>
          <w:tcPr>
            <w:tcW w:w="2627" w:type="dxa"/>
            <w:shd w:val="clear" w:color="auto" w:fill="auto"/>
            <w:vAlign w:val="center"/>
            <w:hideMark/>
          </w:tcPr>
          <w:p w:rsidRPr="00AE1B2B" w:rsidR="009D3FB5" w:rsidP="00163B94" w:rsidRDefault="009D3FB5" w14:paraId="0791098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1677-PLA-EV-2020</w:t>
            </w:r>
          </w:p>
        </w:tc>
        <w:tc>
          <w:tcPr>
            <w:tcW w:w="2508" w:type="dxa"/>
            <w:shd w:val="clear" w:color="auto" w:fill="auto"/>
            <w:vAlign w:val="center"/>
            <w:hideMark/>
          </w:tcPr>
          <w:p w:rsidRPr="00AE1B2B" w:rsidR="009D3FB5" w:rsidP="00163B94" w:rsidRDefault="009D3FB5" w14:paraId="6227817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1979-PLA-EV-2020</w:t>
            </w:r>
          </w:p>
        </w:tc>
        <w:tc>
          <w:tcPr>
            <w:tcW w:w="2541" w:type="dxa"/>
            <w:shd w:val="clear" w:color="auto" w:fill="auto"/>
            <w:vAlign w:val="center"/>
            <w:hideMark/>
          </w:tcPr>
          <w:p w:rsidRPr="00AE1B2B" w:rsidR="009D3FB5" w:rsidP="00163B94" w:rsidRDefault="009D3FB5" w14:paraId="209DC07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120-2020, del 17-12-20, Art. XLIX</w:t>
            </w:r>
          </w:p>
        </w:tc>
      </w:tr>
      <w:tr w:rsidRPr="00AE1B2B" w:rsidR="00AE1B2B" w:rsidTr="009D3FB5" w14:paraId="6D825C62" w14:textId="77777777">
        <w:trPr>
          <w:trHeight w:val="450"/>
        </w:trPr>
        <w:tc>
          <w:tcPr>
            <w:tcW w:w="3119" w:type="dxa"/>
            <w:shd w:val="clear" w:color="auto" w:fill="auto"/>
            <w:vAlign w:val="center"/>
            <w:hideMark/>
          </w:tcPr>
          <w:p w:rsidRPr="00AE1B2B" w:rsidR="009D3FB5" w:rsidP="00163B94" w:rsidRDefault="009D3FB5" w14:paraId="79D5F81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Hojancha</w:t>
            </w:r>
          </w:p>
        </w:tc>
        <w:tc>
          <w:tcPr>
            <w:tcW w:w="2627" w:type="dxa"/>
            <w:shd w:val="clear" w:color="auto" w:fill="auto"/>
            <w:vAlign w:val="center"/>
            <w:hideMark/>
          </w:tcPr>
          <w:p w:rsidRPr="00AE1B2B" w:rsidR="009D3FB5" w:rsidP="00163B94" w:rsidRDefault="009D3FB5" w14:paraId="209AD10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1722-PLA-EV-2020</w:t>
            </w:r>
          </w:p>
        </w:tc>
        <w:tc>
          <w:tcPr>
            <w:tcW w:w="2508" w:type="dxa"/>
            <w:shd w:val="clear" w:color="auto" w:fill="auto"/>
            <w:vAlign w:val="center"/>
            <w:hideMark/>
          </w:tcPr>
          <w:p w:rsidRPr="00AE1B2B" w:rsidR="009D3FB5" w:rsidP="00163B94" w:rsidRDefault="009D3FB5" w14:paraId="6E5221E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1845-PLA-EV-2020</w:t>
            </w:r>
          </w:p>
        </w:tc>
        <w:tc>
          <w:tcPr>
            <w:tcW w:w="2541" w:type="dxa"/>
            <w:shd w:val="clear" w:color="auto" w:fill="auto"/>
            <w:vAlign w:val="center"/>
            <w:hideMark/>
          </w:tcPr>
          <w:p w:rsidRPr="00AE1B2B" w:rsidR="009D3FB5" w:rsidP="00163B94" w:rsidRDefault="009D3FB5" w14:paraId="5FEBA0B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116-2020, del 3-12-2020, Art. XXXVIII</w:t>
            </w:r>
          </w:p>
        </w:tc>
      </w:tr>
      <w:tr w:rsidRPr="00AE1B2B" w:rsidR="00AE1B2B" w:rsidTr="009D3FB5" w14:paraId="6972D013" w14:textId="77777777">
        <w:trPr>
          <w:trHeight w:val="450"/>
        </w:trPr>
        <w:tc>
          <w:tcPr>
            <w:tcW w:w="3119" w:type="dxa"/>
            <w:shd w:val="clear" w:color="auto" w:fill="auto"/>
            <w:vAlign w:val="center"/>
            <w:hideMark/>
          </w:tcPr>
          <w:p w:rsidRPr="00AE1B2B" w:rsidR="009D3FB5" w:rsidP="00163B94" w:rsidRDefault="009D3FB5" w14:paraId="3D1F00C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Alvarado</w:t>
            </w:r>
          </w:p>
        </w:tc>
        <w:tc>
          <w:tcPr>
            <w:tcW w:w="2627" w:type="dxa"/>
            <w:shd w:val="clear" w:color="auto" w:fill="auto"/>
            <w:vAlign w:val="center"/>
            <w:hideMark/>
          </w:tcPr>
          <w:p w:rsidRPr="00AE1B2B" w:rsidR="009D3FB5" w:rsidP="00163B94" w:rsidRDefault="009D3FB5" w14:paraId="696CCE5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1726-PLA-EV-2020</w:t>
            </w:r>
          </w:p>
        </w:tc>
        <w:tc>
          <w:tcPr>
            <w:tcW w:w="2508" w:type="dxa"/>
            <w:shd w:val="clear" w:color="auto" w:fill="auto"/>
            <w:vAlign w:val="center"/>
            <w:hideMark/>
          </w:tcPr>
          <w:p w:rsidRPr="00AE1B2B" w:rsidR="009D3FB5" w:rsidP="00163B94" w:rsidRDefault="009D3FB5" w14:paraId="0E34E4D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1876-PLA-EV-2020</w:t>
            </w:r>
          </w:p>
        </w:tc>
        <w:tc>
          <w:tcPr>
            <w:tcW w:w="2541" w:type="dxa"/>
            <w:shd w:val="clear" w:color="auto" w:fill="auto"/>
            <w:vAlign w:val="center"/>
            <w:hideMark/>
          </w:tcPr>
          <w:p w:rsidRPr="00AE1B2B" w:rsidR="009D3FB5" w:rsidP="00163B94" w:rsidRDefault="009D3FB5" w14:paraId="1E3B713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118-2020 del 10-12-2020, artículo LVI</w:t>
            </w:r>
          </w:p>
        </w:tc>
      </w:tr>
      <w:tr w:rsidRPr="00AE1B2B" w:rsidR="00AE1B2B" w:rsidTr="009D3FB5" w14:paraId="657E802A" w14:textId="77777777">
        <w:trPr>
          <w:trHeight w:val="828"/>
        </w:trPr>
        <w:tc>
          <w:tcPr>
            <w:tcW w:w="3119" w:type="dxa"/>
            <w:shd w:val="clear" w:color="auto" w:fill="auto"/>
            <w:vAlign w:val="center"/>
            <w:hideMark/>
          </w:tcPr>
          <w:p w:rsidRPr="00AE1B2B" w:rsidR="009D3FB5" w:rsidP="00163B94" w:rsidRDefault="009D3FB5" w14:paraId="74A5503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Hatillo</w:t>
            </w:r>
          </w:p>
        </w:tc>
        <w:tc>
          <w:tcPr>
            <w:tcW w:w="2627" w:type="dxa"/>
            <w:shd w:val="clear" w:color="auto" w:fill="auto"/>
            <w:vAlign w:val="center"/>
            <w:hideMark/>
          </w:tcPr>
          <w:p w:rsidRPr="00AE1B2B" w:rsidR="009D3FB5" w:rsidP="00163B94" w:rsidRDefault="009D3FB5" w14:paraId="0503AD6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1685-PLA-EV-2020</w:t>
            </w:r>
          </w:p>
        </w:tc>
        <w:tc>
          <w:tcPr>
            <w:tcW w:w="2508" w:type="dxa"/>
            <w:shd w:val="clear" w:color="auto" w:fill="auto"/>
            <w:vAlign w:val="center"/>
            <w:hideMark/>
          </w:tcPr>
          <w:p w:rsidRPr="00AE1B2B" w:rsidR="009D3FB5" w:rsidP="00163B94" w:rsidRDefault="009D3FB5" w14:paraId="7920AE8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1882-PLA-EV-2020</w:t>
            </w:r>
          </w:p>
        </w:tc>
        <w:tc>
          <w:tcPr>
            <w:tcW w:w="2541" w:type="dxa"/>
            <w:shd w:val="clear" w:color="auto" w:fill="auto"/>
            <w:vAlign w:val="center"/>
            <w:hideMark/>
          </w:tcPr>
          <w:p w:rsidRPr="00AE1B2B" w:rsidR="009D3FB5" w:rsidP="00163B94" w:rsidRDefault="009D3FB5" w14:paraId="75D41D8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119-2020 del 15-12-2020, artículo LVI</w:t>
            </w:r>
          </w:p>
        </w:tc>
      </w:tr>
      <w:tr w:rsidRPr="00AE1B2B" w:rsidR="00AE1B2B" w:rsidTr="009D3FB5" w14:paraId="6133380D" w14:textId="77777777">
        <w:trPr>
          <w:trHeight w:val="300"/>
        </w:trPr>
        <w:tc>
          <w:tcPr>
            <w:tcW w:w="3119" w:type="dxa"/>
            <w:shd w:val="clear" w:color="auto" w:fill="auto"/>
            <w:vAlign w:val="center"/>
            <w:hideMark/>
          </w:tcPr>
          <w:p w:rsidRPr="00AE1B2B" w:rsidR="009D3FB5" w:rsidP="00163B94" w:rsidRDefault="009D3FB5" w14:paraId="4107B24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San Sebastián</w:t>
            </w:r>
          </w:p>
        </w:tc>
        <w:tc>
          <w:tcPr>
            <w:tcW w:w="2627" w:type="dxa"/>
            <w:shd w:val="clear" w:color="auto" w:fill="auto"/>
            <w:vAlign w:val="center"/>
            <w:hideMark/>
          </w:tcPr>
          <w:p w:rsidRPr="00AE1B2B" w:rsidR="009D3FB5" w:rsidP="00163B94" w:rsidRDefault="009D3FB5" w14:paraId="5F4F6AF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1736-PLA-MI-2020</w:t>
            </w:r>
          </w:p>
        </w:tc>
        <w:tc>
          <w:tcPr>
            <w:tcW w:w="2508" w:type="dxa"/>
            <w:shd w:val="clear" w:color="auto" w:fill="auto"/>
            <w:vAlign w:val="center"/>
            <w:hideMark/>
          </w:tcPr>
          <w:p w:rsidRPr="00AE1B2B" w:rsidR="009D3FB5" w:rsidP="00163B94" w:rsidRDefault="009D3FB5" w14:paraId="04C86F4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c>
          <w:tcPr>
            <w:tcW w:w="2541" w:type="dxa"/>
            <w:shd w:val="clear" w:color="auto" w:fill="auto"/>
            <w:vAlign w:val="center"/>
            <w:hideMark/>
          </w:tcPr>
          <w:p w:rsidRPr="00AE1B2B" w:rsidR="009D3FB5" w:rsidP="00163B94" w:rsidRDefault="009D3FB5" w14:paraId="186120C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9D3FB5" w14:paraId="1BD05D8F" w14:textId="77777777">
        <w:trPr>
          <w:trHeight w:val="612"/>
        </w:trPr>
        <w:tc>
          <w:tcPr>
            <w:tcW w:w="3119" w:type="dxa"/>
            <w:shd w:val="clear" w:color="auto" w:fill="auto"/>
            <w:vAlign w:val="center"/>
            <w:hideMark/>
          </w:tcPr>
          <w:p w:rsidRPr="00AE1B2B" w:rsidR="009D3FB5" w:rsidP="00163B94" w:rsidRDefault="009D3FB5" w14:paraId="04FA28B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de San Rafael</w:t>
            </w:r>
          </w:p>
        </w:tc>
        <w:tc>
          <w:tcPr>
            <w:tcW w:w="2627" w:type="dxa"/>
            <w:shd w:val="clear" w:color="auto" w:fill="auto"/>
            <w:vAlign w:val="center"/>
            <w:hideMark/>
          </w:tcPr>
          <w:p w:rsidRPr="00AE1B2B" w:rsidR="009D3FB5" w:rsidP="00163B94" w:rsidRDefault="009D3FB5" w14:paraId="0BF792E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1727-PLA-EV-2020</w:t>
            </w:r>
          </w:p>
        </w:tc>
        <w:tc>
          <w:tcPr>
            <w:tcW w:w="2508" w:type="dxa"/>
            <w:shd w:val="clear" w:color="auto" w:fill="auto"/>
            <w:vAlign w:val="center"/>
            <w:hideMark/>
          </w:tcPr>
          <w:p w:rsidRPr="00AE1B2B" w:rsidR="009D3FB5" w:rsidP="00163B94" w:rsidRDefault="009D3FB5" w14:paraId="33CA51E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1856-PLA-EV-2020</w:t>
            </w:r>
          </w:p>
        </w:tc>
        <w:tc>
          <w:tcPr>
            <w:tcW w:w="2541" w:type="dxa"/>
            <w:shd w:val="clear" w:color="auto" w:fill="auto"/>
            <w:vAlign w:val="center"/>
            <w:hideMark/>
          </w:tcPr>
          <w:p w:rsidRPr="00AE1B2B" w:rsidR="009D3FB5" w:rsidP="00163B94" w:rsidRDefault="009D3FB5" w14:paraId="73B5AD9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118-2020 del 10-12-2020, artículo LIX</w:t>
            </w:r>
          </w:p>
        </w:tc>
      </w:tr>
      <w:tr w:rsidRPr="00AE1B2B" w:rsidR="00AE1B2B" w:rsidTr="009D3FB5" w14:paraId="71A24BDF" w14:textId="77777777">
        <w:trPr>
          <w:trHeight w:val="624"/>
        </w:trPr>
        <w:tc>
          <w:tcPr>
            <w:tcW w:w="3119" w:type="dxa"/>
            <w:shd w:val="clear" w:color="auto" w:fill="auto"/>
            <w:vAlign w:val="center"/>
            <w:hideMark/>
          </w:tcPr>
          <w:p w:rsidRPr="00AE1B2B" w:rsidR="009D3FB5" w:rsidP="00163B94" w:rsidRDefault="009D3FB5" w14:paraId="23A1EE5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Alajuelita</w:t>
            </w:r>
          </w:p>
        </w:tc>
        <w:tc>
          <w:tcPr>
            <w:tcW w:w="2627" w:type="dxa"/>
            <w:shd w:val="clear" w:color="auto" w:fill="auto"/>
            <w:vAlign w:val="center"/>
            <w:hideMark/>
          </w:tcPr>
          <w:p w:rsidRPr="00AE1B2B" w:rsidR="009D3FB5" w:rsidP="00163B94" w:rsidRDefault="009D3FB5" w14:paraId="1640A28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1686-PLA-EV-2020</w:t>
            </w:r>
          </w:p>
        </w:tc>
        <w:tc>
          <w:tcPr>
            <w:tcW w:w="2508" w:type="dxa"/>
            <w:shd w:val="clear" w:color="auto" w:fill="auto"/>
            <w:vAlign w:val="center"/>
            <w:hideMark/>
          </w:tcPr>
          <w:p w:rsidRPr="00AE1B2B" w:rsidR="009D3FB5" w:rsidP="00163B94" w:rsidRDefault="009D3FB5" w14:paraId="48A897C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1879-PLA-EV-2020</w:t>
            </w:r>
          </w:p>
        </w:tc>
        <w:tc>
          <w:tcPr>
            <w:tcW w:w="2541" w:type="dxa"/>
            <w:shd w:val="clear" w:color="auto" w:fill="auto"/>
            <w:vAlign w:val="center"/>
            <w:hideMark/>
          </w:tcPr>
          <w:p w:rsidRPr="00AE1B2B" w:rsidR="009D3FB5" w:rsidP="00163B94" w:rsidRDefault="009D3FB5" w14:paraId="06D3424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118-2020 del 10-12-2020, artículo LXII</w:t>
            </w:r>
          </w:p>
        </w:tc>
      </w:tr>
      <w:tr w:rsidRPr="00AE1B2B" w:rsidR="00AE1B2B" w:rsidTr="009D3FB5" w14:paraId="1E5216EB" w14:textId="77777777">
        <w:trPr>
          <w:trHeight w:val="689"/>
        </w:trPr>
        <w:tc>
          <w:tcPr>
            <w:tcW w:w="3119" w:type="dxa"/>
            <w:shd w:val="clear" w:color="auto" w:fill="auto"/>
            <w:vAlign w:val="center"/>
            <w:hideMark/>
          </w:tcPr>
          <w:p w:rsidRPr="00AE1B2B" w:rsidR="009D3FB5" w:rsidP="00163B94" w:rsidRDefault="009D3FB5" w14:paraId="7A459F0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Aserrí</w:t>
            </w:r>
          </w:p>
        </w:tc>
        <w:tc>
          <w:tcPr>
            <w:tcW w:w="2627" w:type="dxa"/>
            <w:shd w:val="clear" w:color="auto" w:fill="auto"/>
            <w:vAlign w:val="center"/>
            <w:hideMark/>
          </w:tcPr>
          <w:p w:rsidRPr="00AE1B2B" w:rsidR="009D3FB5" w:rsidP="00163B94" w:rsidRDefault="009D3FB5" w14:paraId="5BF3851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1738-PLA-MI-2020</w:t>
            </w:r>
          </w:p>
        </w:tc>
        <w:tc>
          <w:tcPr>
            <w:tcW w:w="2508" w:type="dxa"/>
            <w:shd w:val="clear" w:color="auto" w:fill="auto"/>
            <w:vAlign w:val="center"/>
            <w:hideMark/>
          </w:tcPr>
          <w:p w:rsidRPr="00AE1B2B" w:rsidR="009D3FB5" w:rsidP="00163B94" w:rsidRDefault="009D3FB5" w14:paraId="2844EB2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1853-PLA-MI-2020</w:t>
            </w:r>
          </w:p>
        </w:tc>
        <w:tc>
          <w:tcPr>
            <w:tcW w:w="2541" w:type="dxa"/>
            <w:shd w:val="clear" w:color="auto" w:fill="auto"/>
            <w:vAlign w:val="center"/>
            <w:hideMark/>
          </w:tcPr>
          <w:p w:rsidRPr="00AE1B2B" w:rsidR="009D3FB5" w:rsidP="00163B94" w:rsidRDefault="009D3FB5" w14:paraId="76FE8C1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9D3FB5" w14:paraId="1B4F4675" w14:textId="77777777">
        <w:trPr>
          <w:trHeight w:val="648"/>
        </w:trPr>
        <w:tc>
          <w:tcPr>
            <w:tcW w:w="3119" w:type="dxa"/>
            <w:shd w:val="clear" w:color="auto" w:fill="auto"/>
            <w:vAlign w:val="center"/>
            <w:hideMark/>
          </w:tcPr>
          <w:p w:rsidRPr="00AE1B2B" w:rsidR="009D3FB5" w:rsidP="00163B94" w:rsidRDefault="009D3FB5" w14:paraId="4E45FBE1" w14:textId="01EAC2AB">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w:t>
            </w:r>
            <w:r w:rsidRPr="00AE1B2B" w:rsidR="00BB7720">
              <w:rPr>
                <w:rFonts w:ascii="Times New Roman" w:hAnsi="Times New Roman" w:eastAsia="Times New Roman" w:cs="Times New Roman"/>
                <w:lang w:eastAsia="es-CR"/>
              </w:rPr>
              <w:t xml:space="preserve"> </w:t>
            </w:r>
            <w:r w:rsidRPr="00AE1B2B">
              <w:rPr>
                <w:rFonts w:ascii="Times New Roman" w:hAnsi="Times New Roman" w:eastAsia="Times New Roman" w:cs="Times New Roman"/>
                <w:lang w:eastAsia="es-CR"/>
              </w:rPr>
              <w:t>Acosta</w:t>
            </w:r>
          </w:p>
        </w:tc>
        <w:tc>
          <w:tcPr>
            <w:tcW w:w="2627" w:type="dxa"/>
            <w:shd w:val="clear" w:color="auto" w:fill="auto"/>
            <w:vAlign w:val="center"/>
            <w:hideMark/>
          </w:tcPr>
          <w:p w:rsidRPr="00AE1B2B" w:rsidR="009D3FB5" w:rsidP="00163B94" w:rsidRDefault="009D3FB5" w14:paraId="6DDCBDA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1745-PLA-MI-2020</w:t>
            </w:r>
          </w:p>
        </w:tc>
        <w:tc>
          <w:tcPr>
            <w:tcW w:w="2508" w:type="dxa"/>
            <w:shd w:val="clear" w:color="auto" w:fill="auto"/>
            <w:vAlign w:val="center"/>
            <w:hideMark/>
          </w:tcPr>
          <w:p w:rsidRPr="00AE1B2B" w:rsidR="009D3FB5" w:rsidP="00163B94" w:rsidRDefault="009D3FB5" w14:paraId="4864A47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197-PLA-MI-2021 </w:t>
            </w:r>
          </w:p>
        </w:tc>
        <w:tc>
          <w:tcPr>
            <w:tcW w:w="2541" w:type="dxa"/>
            <w:shd w:val="clear" w:color="auto" w:fill="auto"/>
            <w:vAlign w:val="center"/>
            <w:hideMark/>
          </w:tcPr>
          <w:p w:rsidRPr="00AE1B2B" w:rsidR="009D3FB5" w:rsidP="00163B94" w:rsidRDefault="009D3FB5" w14:paraId="5806E36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16-2021 del 25-2-2021, artículo XLXL</w:t>
            </w:r>
          </w:p>
        </w:tc>
      </w:tr>
      <w:tr w:rsidRPr="00AE1B2B" w:rsidR="00AE1B2B" w:rsidTr="009D3FB5" w14:paraId="6CBE7F8A" w14:textId="77777777">
        <w:trPr>
          <w:trHeight w:val="686"/>
        </w:trPr>
        <w:tc>
          <w:tcPr>
            <w:tcW w:w="3119" w:type="dxa"/>
            <w:shd w:val="clear" w:color="auto" w:fill="auto"/>
            <w:vAlign w:val="center"/>
            <w:hideMark/>
          </w:tcPr>
          <w:p w:rsidRPr="00AE1B2B" w:rsidR="009D3FB5" w:rsidP="00163B94" w:rsidRDefault="009D3FB5" w14:paraId="4B4EAE0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Upala</w:t>
            </w:r>
          </w:p>
        </w:tc>
        <w:tc>
          <w:tcPr>
            <w:tcW w:w="2627" w:type="dxa"/>
            <w:shd w:val="clear" w:color="auto" w:fill="auto"/>
            <w:vAlign w:val="center"/>
            <w:hideMark/>
          </w:tcPr>
          <w:p w:rsidRPr="00AE1B2B" w:rsidR="009D3FB5" w:rsidP="00163B94" w:rsidRDefault="009D3FB5" w14:paraId="24770CE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1675-PLA-EV-2020</w:t>
            </w:r>
          </w:p>
        </w:tc>
        <w:tc>
          <w:tcPr>
            <w:tcW w:w="2508" w:type="dxa"/>
            <w:shd w:val="clear" w:color="auto" w:fill="auto"/>
            <w:vAlign w:val="center"/>
            <w:hideMark/>
          </w:tcPr>
          <w:p w:rsidRPr="00AE1B2B" w:rsidR="009D3FB5" w:rsidP="00163B94" w:rsidRDefault="009D3FB5" w14:paraId="0635A80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55-PLA-EV-2021</w:t>
            </w:r>
          </w:p>
        </w:tc>
        <w:tc>
          <w:tcPr>
            <w:tcW w:w="2541" w:type="dxa"/>
            <w:shd w:val="clear" w:color="auto" w:fill="auto"/>
            <w:vAlign w:val="center"/>
            <w:hideMark/>
          </w:tcPr>
          <w:p w:rsidRPr="00AE1B2B" w:rsidR="009D3FB5" w:rsidP="00163B94" w:rsidRDefault="009D3FB5" w14:paraId="537C907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9-2021 del 2-2-2021, artículo XXXIII</w:t>
            </w:r>
          </w:p>
        </w:tc>
      </w:tr>
      <w:tr w:rsidRPr="00AE1B2B" w:rsidR="00AE1B2B" w:rsidTr="009D3FB5" w14:paraId="65DA7DE8" w14:textId="77777777">
        <w:trPr>
          <w:trHeight w:val="701"/>
        </w:trPr>
        <w:tc>
          <w:tcPr>
            <w:tcW w:w="3119" w:type="dxa"/>
            <w:shd w:val="clear" w:color="auto" w:fill="auto"/>
            <w:vAlign w:val="center"/>
            <w:hideMark/>
          </w:tcPr>
          <w:p w:rsidRPr="00AE1B2B" w:rsidR="009D3FB5" w:rsidP="00163B94" w:rsidRDefault="009D3FB5" w14:paraId="632FC35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de Santo Domingo</w:t>
            </w:r>
          </w:p>
        </w:tc>
        <w:tc>
          <w:tcPr>
            <w:tcW w:w="2627" w:type="dxa"/>
            <w:shd w:val="clear" w:color="auto" w:fill="auto"/>
            <w:vAlign w:val="center"/>
            <w:hideMark/>
          </w:tcPr>
          <w:p w:rsidRPr="00AE1B2B" w:rsidR="009D3FB5" w:rsidP="00163B94" w:rsidRDefault="009D3FB5" w14:paraId="3A651A1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1731-PLA-EV-2020</w:t>
            </w:r>
          </w:p>
        </w:tc>
        <w:tc>
          <w:tcPr>
            <w:tcW w:w="2508" w:type="dxa"/>
            <w:shd w:val="clear" w:color="auto" w:fill="auto"/>
            <w:vAlign w:val="center"/>
            <w:hideMark/>
          </w:tcPr>
          <w:p w:rsidRPr="00AE1B2B" w:rsidR="009D3FB5" w:rsidP="00163B94" w:rsidRDefault="009D3FB5" w14:paraId="53A70DD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1858-PLA-EV-2020</w:t>
            </w:r>
          </w:p>
        </w:tc>
        <w:tc>
          <w:tcPr>
            <w:tcW w:w="2541" w:type="dxa"/>
            <w:shd w:val="clear" w:color="auto" w:fill="auto"/>
            <w:vAlign w:val="center"/>
            <w:hideMark/>
          </w:tcPr>
          <w:p w:rsidRPr="00AE1B2B" w:rsidR="009D3FB5" w:rsidP="00163B94" w:rsidRDefault="009D3FB5" w14:paraId="4ACAEC5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118-2020, del 10-12-20, Art. LV</w:t>
            </w:r>
          </w:p>
        </w:tc>
      </w:tr>
      <w:tr w:rsidRPr="00AE1B2B" w:rsidR="00AE1B2B" w:rsidTr="009D3FB5" w14:paraId="74663EC3" w14:textId="77777777">
        <w:trPr>
          <w:trHeight w:val="644"/>
        </w:trPr>
        <w:tc>
          <w:tcPr>
            <w:tcW w:w="3119" w:type="dxa"/>
            <w:shd w:val="clear" w:color="auto" w:fill="auto"/>
            <w:vAlign w:val="center"/>
            <w:hideMark/>
          </w:tcPr>
          <w:p w:rsidRPr="00AE1B2B" w:rsidR="009D3FB5" w:rsidP="00163B94" w:rsidRDefault="009D3FB5" w14:paraId="0A1D0A1F"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Grecia</w:t>
            </w:r>
          </w:p>
        </w:tc>
        <w:tc>
          <w:tcPr>
            <w:tcW w:w="2627" w:type="dxa"/>
            <w:shd w:val="clear" w:color="auto" w:fill="auto"/>
            <w:vAlign w:val="center"/>
            <w:hideMark/>
          </w:tcPr>
          <w:p w:rsidRPr="00AE1B2B" w:rsidR="009D3FB5" w:rsidP="00163B94" w:rsidRDefault="009D3FB5" w14:paraId="1719FCC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1790-PLA-MI-2020</w:t>
            </w:r>
          </w:p>
        </w:tc>
        <w:tc>
          <w:tcPr>
            <w:tcW w:w="2508" w:type="dxa"/>
            <w:shd w:val="clear" w:color="auto" w:fill="auto"/>
            <w:vAlign w:val="center"/>
            <w:hideMark/>
          </w:tcPr>
          <w:p w:rsidRPr="00AE1B2B" w:rsidR="009D3FB5" w:rsidP="00163B94" w:rsidRDefault="009D3FB5" w14:paraId="5B0292D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176-PLA-MI-2021</w:t>
            </w:r>
          </w:p>
        </w:tc>
        <w:tc>
          <w:tcPr>
            <w:tcW w:w="2541" w:type="dxa"/>
            <w:shd w:val="clear" w:color="auto" w:fill="auto"/>
            <w:vAlign w:val="center"/>
            <w:hideMark/>
          </w:tcPr>
          <w:p w:rsidRPr="00AE1B2B" w:rsidR="009D3FB5" w:rsidP="00163B94" w:rsidRDefault="009D3FB5" w14:paraId="0CC81F5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9D3FB5" w14:paraId="080ACA3D" w14:textId="77777777">
        <w:trPr>
          <w:trHeight w:val="828"/>
        </w:trPr>
        <w:tc>
          <w:tcPr>
            <w:tcW w:w="3119" w:type="dxa"/>
            <w:shd w:val="clear" w:color="auto" w:fill="auto"/>
            <w:vAlign w:val="center"/>
            <w:hideMark/>
          </w:tcPr>
          <w:p w:rsidRPr="00AE1B2B" w:rsidR="009D3FB5" w:rsidP="00163B94" w:rsidRDefault="009D3FB5" w14:paraId="1182C4F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 y Pens. Alimen. III Circ. Jud. Alajuela (San Ramón) </w:t>
            </w:r>
          </w:p>
        </w:tc>
        <w:tc>
          <w:tcPr>
            <w:tcW w:w="2627" w:type="dxa"/>
            <w:shd w:val="clear" w:color="auto" w:fill="auto"/>
            <w:vAlign w:val="center"/>
            <w:hideMark/>
          </w:tcPr>
          <w:p w:rsidRPr="00AE1B2B" w:rsidR="009D3FB5" w:rsidP="00163B94" w:rsidRDefault="009D3FB5" w14:paraId="60CAF09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1755-PLA-MI-2020</w:t>
            </w:r>
          </w:p>
        </w:tc>
        <w:tc>
          <w:tcPr>
            <w:tcW w:w="2508" w:type="dxa"/>
            <w:shd w:val="clear" w:color="auto" w:fill="auto"/>
            <w:vAlign w:val="center"/>
            <w:hideMark/>
          </w:tcPr>
          <w:p w:rsidRPr="00AE1B2B" w:rsidR="009D3FB5" w:rsidP="00163B94" w:rsidRDefault="009D3FB5" w14:paraId="647D189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En Proceso</w:t>
            </w:r>
          </w:p>
        </w:tc>
        <w:tc>
          <w:tcPr>
            <w:tcW w:w="2541" w:type="dxa"/>
            <w:shd w:val="clear" w:color="auto" w:fill="auto"/>
            <w:vAlign w:val="center"/>
            <w:hideMark/>
          </w:tcPr>
          <w:p w:rsidRPr="00AE1B2B" w:rsidR="009D3FB5" w:rsidP="00163B94" w:rsidRDefault="009D3FB5" w14:paraId="2E26229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9D3FB5" w14:paraId="0EAB0A34" w14:textId="77777777">
        <w:trPr>
          <w:trHeight w:val="635"/>
        </w:trPr>
        <w:tc>
          <w:tcPr>
            <w:tcW w:w="3119" w:type="dxa"/>
            <w:shd w:val="clear" w:color="auto" w:fill="auto"/>
            <w:vAlign w:val="center"/>
            <w:hideMark/>
          </w:tcPr>
          <w:p w:rsidRPr="00AE1B2B" w:rsidR="009D3FB5" w:rsidP="00163B94" w:rsidRDefault="009D3FB5" w14:paraId="20FD3A8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Turrialba</w:t>
            </w:r>
          </w:p>
        </w:tc>
        <w:tc>
          <w:tcPr>
            <w:tcW w:w="2627" w:type="dxa"/>
            <w:shd w:val="clear" w:color="auto" w:fill="auto"/>
            <w:vAlign w:val="center"/>
            <w:hideMark/>
          </w:tcPr>
          <w:p w:rsidRPr="00AE1B2B" w:rsidR="009D3FB5" w:rsidP="00163B94" w:rsidRDefault="009D3FB5" w14:paraId="2DBB725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1735-PLA-EV-2020</w:t>
            </w:r>
          </w:p>
        </w:tc>
        <w:tc>
          <w:tcPr>
            <w:tcW w:w="2508" w:type="dxa"/>
            <w:shd w:val="clear" w:color="auto" w:fill="auto"/>
            <w:vAlign w:val="center"/>
            <w:hideMark/>
          </w:tcPr>
          <w:p w:rsidRPr="00AE1B2B" w:rsidR="009D3FB5" w:rsidP="00163B94" w:rsidRDefault="009D3FB5" w14:paraId="0B1E1B8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1890-PLA-EV-2020</w:t>
            </w:r>
          </w:p>
        </w:tc>
        <w:tc>
          <w:tcPr>
            <w:tcW w:w="2541" w:type="dxa"/>
            <w:shd w:val="clear" w:color="auto" w:fill="auto"/>
            <w:vAlign w:val="center"/>
            <w:hideMark/>
          </w:tcPr>
          <w:p w:rsidRPr="00AE1B2B" w:rsidR="009D3FB5" w:rsidP="00163B94" w:rsidRDefault="009D3FB5" w14:paraId="1D13763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119-2020 del 15-12-2020, artículo LIII</w:t>
            </w:r>
          </w:p>
        </w:tc>
      </w:tr>
      <w:tr w:rsidRPr="00AE1B2B" w:rsidR="00AE1B2B" w:rsidTr="009D3FB5" w14:paraId="518AD6F8" w14:textId="77777777">
        <w:trPr>
          <w:trHeight w:val="552"/>
        </w:trPr>
        <w:tc>
          <w:tcPr>
            <w:tcW w:w="3119" w:type="dxa"/>
            <w:shd w:val="clear" w:color="auto" w:fill="auto"/>
            <w:vAlign w:val="center"/>
            <w:hideMark/>
          </w:tcPr>
          <w:p w:rsidRPr="00AE1B2B" w:rsidR="009D3FB5" w:rsidP="00163B94" w:rsidRDefault="009D3FB5" w14:paraId="52B327C9" w14:textId="56EA9D10">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lastRenderedPageBreak/>
              <w:t>Juzgado</w:t>
            </w:r>
            <w:r w:rsidRPr="00AE1B2B" w:rsidR="00BB7720">
              <w:rPr>
                <w:rFonts w:ascii="Times New Roman" w:hAnsi="Times New Roman" w:eastAsia="Times New Roman" w:cs="Times New Roman"/>
                <w:lang w:eastAsia="es-CR"/>
              </w:rPr>
              <w:t xml:space="preserve"> </w:t>
            </w:r>
            <w:r w:rsidRPr="00AE1B2B">
              <w:rPr>
                <w:rFonts w:ascii="Times New Roman" w:hAnsi="Times New Roman" w:eastAsia="Times New Roman" w:cs="Times New Roman"/>
                <w:lang w:eastAsia="es-CR"/>
              </w:rPr>
              <w:t>Pens. Alimen.II Circ. Jud. Guanacaste (Nicoya)</w:t>
            </w:r>
          </w:p>
        </w:tc>
        <w:tc>
          <w:tcPr>
            <w:tcW w:w="2627" w:type="dxa"/>
            <w:shd w:val="clear" w:color="auto" w:fill="auto"/>
            <w:vAlign w:val="center"/>
            <w:hideMark/>
          </w:tcPr>
          <w:p w:rsidRPr="00AE1B2B" w:rsidR="009D3FB5" w:rsidP="00163B94" w:rsidRDefault="009D3FB5" w14:paraId="3E0A1B0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1754-PLA-EV-2020</w:t>
            </w:r>
          </w:p>
        </w:tc>
        <w:tc>
          <w:tcPr>
            <w:tcW w:w="2508" w:type="dxa"/>
            <w:shd w:val="clear" w:color="auto" w:fill="auto"/>
            <w:vAlign w:val="center"/>
            <w:hideMark/>
          </w:tcPr>
          <w:p w:rsidRPr="00AE1B2B" w:rsidR="009D3FB5" w:rsidP="00163B94" w:rsidRDefault="009D3FB5" w14:paraId="24BB4FD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60-PLA-EV-2021</w:t>
            </w:r>
          </w:p>
        </w:tc>
        <w:tc>
          <w:tcPr>
            <w:tcW w:w="2541" w:type="dxa"/>
            <w:shd w:val="clear" w:color="auto" w:fill="auto"/>
            <w:vAlign w:val="center"/>
            <w:hideMark/>
          </w:tcPr>
          <w:p w:rsidRPr="00AE1B2B" w:rsidR="009D3FB5" w:rsidP="00163B94" w:rsidRDefault="009D3FB5" w14:paraId="40F3518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6-2021 del 21-1-2021, artículo XXXIX</w:t>
            </w:r>
          </w:p>
        </w:tc>
      </w:tr>
      <w:tr w:rsidRPr="00AE1B2B" w:rsidR="00AE1B2B" w:rsidTr="009D3FB5" w14:paraId="615705A3" w14:textId="77777777">
        <w:trPr>
          <w:trHeight w:val="728"/>
        </w:trPr>
        <w:tc>
          <w:tcPr>
            <w:tcW w:w="3119" w:type="dxa"/>
            <w:shd w:val="clear" w:color="auto" w:fill="auto"/>
            <w:vAlign w:val="center"/>
            <w:hideMark/>
          </w:tcPr>
          <w:p w:rsidRPr="00AE1B2B" w:rsidR="009D3FB5" w:rsidP="00163B94" w:rsidRDefault="009D3FB5" w14:paraId="5665D3C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Parrita</w:t>
            </w:r>
          </w:p>
        </w:tc>
        <w:tc>
          <w:tcPr>
            <w:tcW w:w="2627" w:type="dxa"/>
            <w:shd w:val="clear" w:color="auto" w:fill="auto"/>
            <w:vAlign w:val="center"/>
            <w:hideMark/>
          </w:tcPr>
          <w:p w:rsidRPr="00AE1B2B" w:rsidR="009D3FB5" w:rsidP="00163B94" w:rsidRDefault="009D3FB5" w14:paraId="1B79E0B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1684-PLA-EV-2020</w:t>
            </w:r>
          </w:p>
        </w:tc>
        <w:tc>
          <w:tcPr>
            <w:tcW w:w="2508" w:type="dxa"/>
            <w:shd w:val="clear" w:color="auto" w:fill="auto"/>
            <w:vAlign w:val="center"/>
            <w:hideMark/>
          </w:tcPr>
          <w:p w:rsidRPr="00AE1B2B" w:rsidR="009D3FB5" w:rsidP="00163B94" w:rsidRDefault="009D3FB5" w14:paraId="2DAEB68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56-PLA-EV-2021</w:t>
            </w:r>
          </w:p>
        </w:tc>
        <w:tc>
          <w:tcPr>
            <w:tcW w:w="2541" w:type="dxa"/>
            <w:shd w:val="clear" w:color="auto" w:fill="auto"/>
            <w:vAlign w:val="center"/>
            <w:hideMark/>
          </w:tcPr>
          <w:p w:rsidRPr="00AE1B2B" w:rsidR="009D3FB5" w:rsidP="00163B94" w:rsidRDefault="009D3FB5" w14:paraId="229C4D8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9-2021 del 2-2-2021, artículo XXXIV</w:t>
            </w:r>
          </w:p>
        </w:tc>
      </w:tr>
      <w:tr w:rsidRPr="00AE1B2B" w:rsidR="00AE1B2B" w:rsidTr="009D3FB5" w14:paraId="1ED6C744" w14:textId="77777777">
        <w:trPr>
          <w:trHeight w:val="561"/>
        </w:trPr>
        <w:tc>
          <w:tcPr>
            <w:tcW w:w="3119" w:type="dxa"/>
            <w:shd w:val="clear" w:color="auto" w:fill="auto"/>
            <w:vAlign w:val="center"/>
            <w:hideMark/>
          </w:tcPr>
          <w:p w:rsidRPr="00AE1B2B" w:rsidR="009D3FB5" w:rsidP="00163B94" w:rsidRDefault="009D3FB5" w14:paraId="628036FF"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y Pensiones Alimentarias Santa Cruz</w:t>
            </w:r>
          </w:p>
        </w:tc>
        <w:tc>
          <w:tcPr>
            <w:tcW w:w="2627" w:type="dxa"/>
            <w:shd w:val="clear" w:color="auto" w:fill="auto"/>
            <w:vAlign w:val="center"/>
            <w:hideMark/>
          </w:tcPr>
          <w:p w:rsidRPr="00AE1B2B" w:rsidR="009D3FB5" w:rsidP="00163B94" w:rsidRDefault="009D3FB5" w14:paraId="6BCACD5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1670-PLA-EV-2020</w:t>
            </w:r>
          </w:p>
        </w:tc>
        <w:tc>
          <w:tcPr>
            <w:tcW w:w="2508" w:type="dxa"/>
            <w:shd w:val="clear" w:color="auto" w:fill="auto"/>
            <w:vAlign w:val="center"/>
            <w:hideMark/>
          </w:tcPr>
          <w:p w:rsidRPr="00AE1B2B" w:rsidR="009D3FB5" w:rsidP="00163B94" w:rsidRDefault="009D3FB5" w14:paraId="5E349AB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1857-PLA-EV-2020</w:t>
            </w:r>
          </w:p>
        </w:tc>
        <w:tc>
          <w:tcPr>
            <w:tcW w:w="2541" w:type="dxa"/>
            <w:shd w:val="clear" w:color="auto" w:fill="auto"/>
            <w:vAlign w:val="center"/>
            <w:hideMark/>
          </w:tcPr>
          <w:p w:rsidRPr="00AE1B2B" w:rsidR="009D3FB5" w:rsidP="00163B94" w:rsidRDefault="009D3FB5" w14:paraId="232007C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116-2020 del 3-12-2020, artículo XXXIV</w:t>
            </w:r>
          </w:p>
        </w:tc>
      </w:tr>
      <w:tr w:rsidRPr="00AE1B2B" w:rsidR="00AE1B2B" w:rsidTr="009D3FB5" w14:paraId="55CEC42A" w14:textId="77777777">
        <w:trPr>
          <w:trHeight w:val="863"/>
        </w:trPr>
        <w:tc>
          <w:tcPr>
            <w:tcW w:w="3119" w:type="dxa"/>
            <w:shd w:val="clear" w:color="auto" w:fill="auto"/>
            <w:vAlign w:val="center"/>
            <w:hideMark/>
          </w:tcPr>
          <w:p w:rsidRPr="00AE1B2B" w:rsidR="009D3FB5" w:rsidP="00163B94" w:rsidRDefault="009D3FB5" w14:paraId="30A7461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de Cobro, Menor Cuantía y Contravencional Golfito</w:t>
            </w:r>
          </w:p>
        </w:tc>
        <w:tc>
          <w:tcPr>
            <w:tcW w:w="2627" w:type="dxa"/>
            <w:shd w:val="clear" w:color="auto" w:fill="auto"/>
            <w:vAlign w:val="center"/>
            <w:hideMark/>
          </w:tcPr>
          <w:p w:rsidRPr="00AE1B2B" w:rsidR="009D3FB5" w:rsidP="00163B94" w:rsidRDefault="009D3FB5" w14:paraId="1C3961D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1703-PLA-EV-2020</w:t>
            </w:r>
          </w:p>
        </w:tc>
        <w:tc>
          <w:tcPr>
            <w:tcW w:w="2508" w:type="dxa"/>
            <w:shd w:val="clear" w:color="auto" w:fill="auto"/>
            <w:vAlign w:val="center"/>
            <w:hideMark/>
          </w:tcPr>
          <w:p w:rsidRPr="00AE1B2B" w:rsidR="009D3FB5" w:rsidP="00163B94" w:rsidRDefault="009D3FB5" w14:paraId="606A208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73-PLA-EV-2021</w:t>
            </w:r>
          </w:p>
        </w:tc>
        <w:tc>
          <w:tcPr>
            <w:tcW w:w="2541" w:type="dxa"/>
            <w:shd w:val="clear" w:color="auto" w:fill="auto"/>
            <w:vAlign w:val="center"/>
            <w:hideMark/>
          </w:tcPr>
          <w:p w:rsidRPr="00AE1B2B" w:rsidR="009D3FB5" w:rsidP="00163B94" w:rsidRDefault="009D3FB5" w14:paraId="626EF58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10-2021 del 4-2-2021, artículo XLVIII</w:t>
            </w:r>
          </w:p>
        </w:tc>
      </w:tr>
      <w:tr w:rsidRPr="00AE1B2B" w:rsidR="00AE1B2B" w:rsidTr="009D3FB5" w14:paraId="263E8181" w14:textId="77777777">
        <w:trPr>
          <w:trHeight w:val="732"/>
        </w:trPr>
        <w:tc>
          <w:tcPr>
            <w:tcW w:w="3119" w:type="dxa"/>
            <w:shd w:val="clear" w:color="auto" w:fill="auto"/>
            <w:vAlign w:val="center"/>
            <w:hideMark/>
          </w:tcPr>
          <w:p w:rsidRPr="00AE1B2B" w:rsidR="009D3FB5" w:rsidP="00163B94" w:rsidRDefault="009D3FB5" w14:paraId="784863F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de Osa</w:t>
            </w:r>
          </w:p>
        </w:tc>
        <w:tc>
          <w:tcPr>
            <w:tcW w:w="2627" w:type="dxa"/>
            <w:shd w:val="clear" w:color="auto" w:fill="auto"/>
            <w:vAlign w:val="center"/>
            <w:hideMark/>
          </w:tcPr>
          <w:p w:rsidRPr="00AE1B2B" w:rsidR="009D3FB5" w:rsidP="00163B94" w:rsidRDefault="009D3FB5" w14:paraId="0C2FB30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1737-PLA-EV-2020</w:t>
            </w:r>
          </w:p>
        </w:tc>
        <w:tc>
          <w:tcPr>
            <w:tcW w:w="2508" w:type="dxa"/>
            <w:shd w:val="clear" w:color="auto" w:fill="auto"/>
            <w:vAlign w:val="center"/>
            <w:hideMark/>
          </w:tcPr>
          <w:p w:rsidRPr="00AE1B2B" w:rsidR="009D3FB5" w:rsidP="00163B94" w:rsidRDefault="009D3FB5" w14:paraId="1CF2F0B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67-PLA-EV-2021</w:t>
            </w:r>
          </w:p>
        </w:tc>
        <w:tc>
          <w:tcPr>
            <w:tcW w:w="2541" w:type="dxa"/>
            <w:shd w:val="clear" w:color="auto" w:fill="auto"/>
            <w:vAlign w:val="center"/>
            <w:hideMark/>
          </w:tcPr>
          <w:p w:rsidRPr="00AE1B2B" w:rsidR="009D3FB5" w:rsidP="00163B94" w:rsidRDefault="009D3FB5" w14:paraId="2F09CE5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10-2021 del 4-2-2021, artículo XLIX</w:t>
            </w:r>
          </w:p>
        </w:tc>
      </w:tr>
      <w:tr w:rsidRPr="00AE1B2B" w:rsidR="00AE1B2B" w:rsidTr="009D3FB5" w14:paraId="30BA2BBE" w14:textId="77777777">
        <w:trPr>
          <w:trHeight w:val="312"/>
        </w:trPr>
        <w:tc>
          <w:tcPr>
            <w:tcW w:w="3119" w:type="dxa"/>
            <w:shd w:val="clear" w:color="auto" w:fill="auto"/>
            <w:vAlign w:val="center"/>
            <w:hideMark/>
          </w:tcPr>
          <w:p w:rsidRPr="00AE1B2B" w:rsidR="009D3FB5" w:rsidP="00163B94" w:rsidRDefault="009D3FB5" w14:paraId="46FB02C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II Circ. Jud. Zona Sur (Corredores)</w:t>
            </w:r>
          </w:p>
        </w:tc>
        <w:tc>
          <w:tcPr>
            <w:tcW w:w="2627" w:type="dxa"/>
            <w:shd w:val="clear" w:color="auto" w:fill="auto"/>
            <w:vAlign w:val="center"/>
            <w:hideMark/>
          </w:tcPr>
          <w:p w:rsidRPr="00AE1B2B" w:rsidR="009D3FB5" w:rsidP="00163B94" w:rsidRDefault="009D3FB5" w14:paraId="26A6B97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1688-PLA-EV-2020</w:t>
            </w:r>
          </w:p>
        </w:tc>
        <w:tc>
          <w:tcPr>
            <w:tcW w:w="2508" w:type="dxa"/>
            <w:shd w:val="clear" w:color="auto" w:fill="auto"/>
            <w:vAlign w:val="center"/>
            <w:hideMark/>
          </w:tcPr>
          <w:p w:rsidRPr="00AE1B2B" w:rsidR="009D3FB5" w:rsidP="00163B94" w:rsidRDefault="009D3FB5" w14:paraId="6525683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68-PLA-EV-2021</w:t>
            </w:r>
          </w:p>
        </w:tc>
        <w:tc>
          <w:tcPr>
            <w:tcW w:w="2541" w:type="dxa"/>
            <w:shd w:val="clear" w:color="auto" w:fill="auto"/>
            <w:vAlign w:val="center"/>
            <w:hideMark/>
          </w:tcPr>
          <w:p w:rsidRPr="00AE1B2B" w:rsidR="009D3FB5" w:rsidP="00163B94" w:rsidRDefault="009D3FB5" w14:paraId="671BCDF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10-2021 del 4-2-2021, artículo LVIII</w:t>
            </w:r>
          </w:p>
        </w:tc>
      </w:tr>
      <w:tr w:rsidRPr="00AE1B2B" w:rsidR="00AE1B2B" w:rsidTr="009D3FB5" w14:paraId="72C2B2EC" w14:textId="77777777">
        <w:trPr>
          <w:trHeight w:val="616"/>
        </w:trPr>
        <w:tc>
          <w:tcPr>
            <w:tcW w:w="3119" w:type="dxa"/>
            <w:shd w:val="clear" w:color="auto" w:fill="auto"/>
            <w:vAlign w:val="center"/>
            <w:hideMark/>
          </w:tcPr>
          <w:p w:rsidRPr="00AE1B2B" w:rsidR="009D3FB5" w:rsidP="00163B94" w:rsidRDefault="009D3FB5" w14:paraId="712CE0C7" w14:textId="3A78068A">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w:t>
            </w:r>
            <w:r w:rsidRPr="00AE1B2B" w:rsidR="00BB7720">
              <w:rPr>
                <w:rFonts w:ascii="Times New Roman" w:hAnsi="Times New Roman" w:eastAsia="Times New Roman" w:cs="Times New Roman"/>
                <w:lang w:eastAsia="es-CR"/>
              </w:rPr>
              <w:t xml:space="preserve"> </w:t>
            </w:r>
            <w:r w:rsidRPr="00AE1B2B">
              <w:rPr>
                <w:rFonts w:ascii="Times New Roman" w:hAnsi="Times New Roman" w:eastAsia="Times New Roman" w:cs="Times New Roman"/>
                <w:lang w:eastAsia="es-CR"/>
              </w:rPr>
              <w:t xml:space="preserve">Mora </w:t>
            </w:r>
          </w:p>
        </w:tc>
        <w:tc>
          <w:tcPr>
            <w:tcW w:w="2627" w:type="dxa"/>
            <w:shd w:val="clear" w:color="auto" w:fill="auto"/>
            <w:vAlign w:val="center"/>
            <w:hideMark/>
          </w:tcPr>
          <w:p w:rsidRPr="00AE1B2B" w:rsidR="009D3FB5" w:rsidP="00163B94" w:rsidRDefault="009D3FB5" w14:paraId="61B81A7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1687-PLA-EV-2020</w:t>
            </w:r>
          </w:p>
        </w:tc>
        <w:tc>
          <w:tcPr>
            <w:tcW w:w="2508" w:type="dxa"/>
            <w:shd w:val="clear" w:color="auto" w:fill="auto"/>
            <w:vAlign w:val="center"/>
            <w:hideMark/>
          </w:tcPr>
          <w:p w:rsidRPr="00AE1B2B" w:rsidR="009D3FB5" w:rsidP="00163B94" w:rsidRDefault="009D3FB5" w14:paraId="6EDB4D7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1977-PLA-EV-2020</w:t>
            </w:r>
          </w:p>
        </w:tc>
        <w:tc>
          <w:tcPr>
            <w:tcW w:w="2541" w:type="dxa"/>
            <w:shd w:val="clear" w:color="auto" w:fill="auto"/>
            <w:vAlign w:val="center"/>
            <w:hideMark/>
          </w:tcPr>
          <w:p w:rsidRPr="00AE1B2B" w:rsidR="009D3FB5" w:rsidP="00163B94" w:rsidRDefault="009D3FB5" w14:paraId="6E37EE6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120-20 del 17-12-2020, artículo LXX</w:t>
            </w:r>
          </w:p>
        </w:tc>
      </w:tr>
      <w:tr w:rsidRPr="00AE1B2B" w:rsidR="00AE1B2B" w:rsidTr="009D3FB5" w14:paraId="6101906C" w14:textId="77777777">
        <w:trPr>
          <w:trHeight w:val="695"/>
        </w:trPr>
        <w:tc>
          <w:tcPr>
            <w:tcW w:w="3119" w:type="dxa"/>
            <w:shd w:val="clear" w:color="auto" w:fill="auto"/>
            <w:vAlign w:val="center"/>
            <w:hideMark/>
          </w:tcPr>
          <w:p w:rsidRPr="00AE1B2B" w:rsidR="009D3FB5" w:rsidP="00163B94" w:rsidRDefault="009D3FB5" w14:paraId="3256F42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Turrubares</w:t>
            </w:r>
          </w:p>
        </w:tc>
        <w:tc>
          <w:tcPr>
            <w:tcW w:w="2627" w:type="dxa"/>
            <w:shd w:val="clear" w:color="auto" w:fill="auto"/>
            <w:vAlign w:val="center"/>
            <w:hideMark/>
          </w:tcPr>
          <w:p w:rsidRPr="00AE1B2B" w:rsidR="009D3FB5" w:rsidP="00163B94" w:rsidRDefault="009D3FB5" w14:paraId="4CE1761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1719-PLA-EV-2020</w:t>
            </w:r>
          </w:p>
        </w:tc>
        <w:tc>
          <w:tcPr>
            <w:tcW w:w="2508" w:type="dxa"/>
            <w:shd w:val="clear" w:color="auto" w:fill="auto"/>
            <w:vAlign w:val="center"/>
            <w:hideMark/>
          </w:tcPr>
          <w:p w:rsidRPr="00AE1B2B" w:rsidR="009D3FB5" w:rsidP="00163B94" w:rsidRDefault="009D3FB5" w14:paraId="007BA50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1848-PLA-EV-2020</w:t>
            </w:r>
          </w:p>
        </w:tc>
        <w:tc>
          <w:tcPr>
            <w:tcW w:w="2541" w:type="dxa"/>
            <w:shd w:val="clear" w:color="auto" w:fill="auto"/>
            <w:vAlign w:val="center"/>
            <w:hideMark/>
          </w:tcPr>
          <w:p w:rsidRPr="00AE1B2B" w:rsidR="009D3FB5" w:rsidP="00163B94" w:rsidRDefault="009D3FB5" w14:paraId="227797A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117-20 del 8-12-2020, artículo XL</w:t>
            </w:r>
          </w:p>
        </w:tc>
      </w:tr>
      <w:tr w:rsidRPr="00AE1B2B" w:rsidR="00AE1B2B" w:rsidTr="009D3FB5" w14:paraId="036D0866" w14:textId="77777777">
        <w:trPr>
          <w:trHeight w:val="828"/>
        </w:trPr>
        <w:tc>
          <w:tcPr>
            <w:tcW w:w="3119" w:type="dxa"/>
            <w:shd w:val="clear" w:color="auto" w:fill="auto"/>
            <w:vAlign w:val="center"/>
            <w:hideMark/>
          </w:tcPr>
          <w:p w:rsidRPr="00AE1B2B" w:rsidR="009D3FB5" w:rsidP="00163B94" w:rsidRDefault="009D3FB5" w14:paraId="140E71C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Esparza</w:t>
            </w:r>
          </w:p>
        </w:tc>
        <w:tc>
          <w:tcPr>
            <w:tcW w:w="2627" w:type="dxa"/>
            <w:shd w:val="clear" w:color="auto" w:fill="auto"/>
            <w:vAlign w:val="center"/>
            <w:hideMark/>
          </w:tcPr>
          <w:p w:rsidRPr="00AE1B2B" w:rsidR="009D3FB5" w:rsidP="00163B94" w:rsidRDefault="009D3FB5" w14:paraId="092F250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1697-PLA-EV-2020</w:t>
            </w:r>
          </w:p>
        </w:tc>
        <w:tc>
          <w:tcPr>
            <w:tcW w:w="2508" w:type="dxa"/>
            <w:shd w:val="clear" w:color="auto" w:fill="auto"/>
            <w:vAlign w:val="center"/>
            <w:hideMark/>
          </w:tcPr>
          <w:p w:rsidRPr="00AE1B2B" w:rsidR="009D3FB5" w:rsidP="00163B94" w:rsidRDefault="009D3FB5" w14:paraId="70AB3EB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65-PLA-EV-2021</w:t>
            </w:r>
          </w:p>
        </w:tc>
        <w:tc>
          <w:tcPr>
            <w:tcW w:w="2541" w:type="dxa"/>
            <w:shd w:val="clear" w:color="auto" w:fill="auto"/>
            <w:vAlign w:val="center"/>
            <w:hideMark/>
          </w:tcPr>
          <w:p w:rsidRPr="00AE1B2B" w:rsidR="009D3FB5" w:rsidP="00163B94" w:rsidRDefault="009D3FB5" w14:paraId="749140B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10-2021 del 4-2-2021, artículo XL</w:t>
            </w:r>
          </w:p>
        </w:tc>
      </w:tr>
      <w:tr w:rsidRPr="00AE1B2B" w:rsidR="00AE1B2B" w:rsidTr="009D3FB5" w14:paraId="554B13DE" w14:textId="77777777">
        <w:trPr>
          <w:trHeight w:val="717"/>
        </w:trPr>
        <w:tc>
          <w:tcPr>
            <w:tcW w:w="3119" w:type="dxa"/>
            <w:shd w:val="clear" w:color="auto" w:fill="auto"/>
            <w:vAlign w:val="center"/>
            <w:hideMark/>
          </w:tcPr>
          <w:p w:rsidRPr="00AE1B2B" w:rsidR="009D3FB5" w:rsidP="00163B94" w:rsidRDefault="009D3FB5" w14:paraId="08E7E90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Montes de Oro</w:t>
            </w:r>
          </w:p>
        </w:tc>
        <w:tc>
          <w:tcPr>
            <w:tcW w:w="2627" w:type="dxa"/>
            <w:shd w:val="clear" w:color="auto" w:fill="auto"/>
            <w:vAlign w:val="center"/>
            <w:hideMark/>
          </w:tcPr>
          <w:p w:rsidRPr="00AE1B2B" w:rsidR="009D3FB5" w:rsidP="00163B94" w:rsidRDefault="009D3FB5" w14:paraId="43E37F5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1729-PLA-EV-2020</w:t>
            </w:r>
          </w:p>
        </w:tc>
        <w:tc>
          <w:tcPr>
            <w:tcW w:w="2508" w:type="dxa"/>
            <w:shd w:val="clear" w:color="auto" w:fill="auto"/>
            <w:vAlign w:val="center"/>
            <w:hideMark/>
          </w:tcPr>
          <w:p w:rsidRPr="00AE1B2B" w:rsidR="009D3FB5" w:rsidP="00163B94" w:rsidRDefault="009D3FB5" w14:paraId="0998351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1851-PLA-EV-2020</w:t>
            </w:r>
          </w:p>
        </w:tc>
        <w:tc>
          <w:tcPr>
            <w:tcW w:w="2541" w:type="dxa"/>
            <w:shd w:val="clear" w:color="auto" w:fill="auto"/>
            <w:vAlign w:val="center"/>
            <w:hideMark/>
          </w:tcPr>
          <w:p w:rsidRPr="00AE1B2B" w:rsidR="009D3FB5" w:rsidP="00163B94" w:rsidRDefault="009D3FB5" w14:paraId="2F39BE6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115-2020 del 1-12-2020, artículo LII</w:t>
            </w:r>
          </w:p>
        </w:tc>
      </w:tr>
      <w:tr w:rsidRPr="00AE1B2B" w:rsidR="00AE1B2B" w:rsidTr="009D3FB5" w14:paraId="1E65979C" w14:textId="77777777">
        <w:trPr>
          <w:trHeight w:val="585"/>
        </w:trPr>
        <w:tc>
          <w:tcPr>
            <w:tcW w:w="3119" w:type="dxa"/>
            <w:shd w:val="clear" w:color="auto" w:fill="auto"/>
            <w:vAlign w:val="center"/>
            <w:hideMark/>
          </w:tcPr>
          <w:p w:rsidRPr="00AE1B2B" w:rsidR="009D3FB5" w:rsidP="00163B94" w:rsidRDefault="009D3FB5" w14:paraId="3C46154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de San Mateo </w:t>
            </w:r>
          </w:p>
        </w:tc>
        <w:tc>
          <w:tcPr>
            <w:tcW w:w="2627" w:type="dxa"/>
            <w:shd w:val="clear" w:color="auto" w:fill="auto"/>
            <w:vAlign w:val="center"/>
            <w:hideMark/>
          </w:tcPr>
          <w:p w:rsidRPr="00AE1B2B" w:rsidR="009D3FB5" w:rsidP="00163B94" w:rsidRDefault="009D3FB5" w14:paraId="67ABE2C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1720-PLA-EV-2020</w:t>
            </w:r>
          </w:p>
        </w:tc>
        <w:tc>
          <w:tcPr>
            <w:tcW w:w="2508" w:type="dxa"/>
            <w:shd w:val="clear" w:color="auto" w:fill="auto"/>
            <w:vAlign w:val="center"/>
            <w:hideMark/>
          </w:tcPr>
          <w:p w:rsidRPr="00AE1B2B" w:rsidR="009D3FB5" w:rsidP="00163B94" w:rsidRDefault="009D3FB5" w14:paraId="48286BF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64-PLA-EV-2021</w:t>
            </w:r>
          </w:p>
        </w:tc>
        <w:tc>
          <w:tcPr>
            <w:tcW w:w="2541" w:type="dxa"/>
            <w:shd w:val="clear" w:color="auto" w:fill="auto"/>
            <w:vAlign w:val="center"/>
            <w:hideMark/>
          </w:tcPr>
          <w:p w:rsidRPr="00AE1B2B" w:rsidR="009D3FB5" w:rsidP="00163B94" w:rsidRDefault="009D3FB5" w14:paraId="51C219D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10-2021 del 4-2-2021, artículo L</w:t>
            </w:r>
          </w:p>
        </w:tc>
      </w:tr>
      <w:tr w:rsidRPr="00AE1B2B" w:rsidR="00AE1B2B" w:rsidTr="009D3FB5" w14:paraId="6CD9C305" w14:textId="77777777">
        <w:trPr>
          <w:trHeight w:val="807"/>
        </w:trPr>
        <w:tc>
          <w:tcPr>
            <w:tcW w:w="3119" w:type="dxa"/>
            <w:shd w:val="clear" w:color="auto" w:fill="auto"/>
            <w:vAlign w:val="center"/>
            <w:hideMark/>
          </w:tcPr>
          <w:p w:rsidRPr="00AE1B2B" w:rsidR="009D3FB5" w:rsidP="00163B94" w:rsidRDefault="009D3FB5" w14:paraId="3A75FAF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de Orotina </w:t>
            </w:r>
          </w:p>
        </w:tc>
        <w:tc>
          <w:tcPr>
            <w:tcW w:w="2627" w:type="dxa"/>
            <w:shd w:val="clear" w:color="auto" w:fill="auto"/>
            <w:vAlign w:val="center"/>
            <w:hideMark/>
          </w:tcPr>
          <w:p w:rsidRPr="00AE1B2B" w:rsidR="009D3FB5" w:rsidP="00163B94" w:rsidRDefault="009D3FB5" w14:paraId="5B2A820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1659-PLA-EV-2020</w:t>
            </w:r>
          </w:p>
        </w:tc>
        <w:tc>
          <w:tcPr>
            <w:tcW w:w="2508" w:type="dxa"/>
            <w:shd w:val="clear" w:color="auto" w:fill="auto"/>
            <w:vAlign w:val="center"/>
            <w:hideMark/>
          </w:tcPr>
          <w:p w:rsidRPr="00AE1B2B" w:rsidR="009D3FB5" w:rsidP="00163B94" w:rsidRDefault="009D3FB5" w14:paraId="08CBBA7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1886-PLA-EV-2020</w:t>
            </w:r>
          </w:p>
        </w:tc>
        <w:tc>
          <w:tcPr>
            <w:tcW w:w="2541" w:type="dxa"/>
            <w:shd w:val="clear" w:color="auto" w:fill="auto"/>
            <w:vAlign w:val="center"/>
            <w:hideMark/>
          </w:tcPr>
          <w:p w:rsidRPr="00AE1B2B" w:rsidR="009D3FB5" w:rsidP="00163B94" w:rsidRDefault="009D3FB5" w14:paraId="0ABC176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117-2020, del 8-12-2020, Art. XXXVIII</w:t>
            </w:r>
          </w:p>
        </w:tc>
      </w:tr>
      <w:tr w:rsidRPr="00AE1B2B" w:rsidR="00AE1B2B" w:rsidTr="009D3FB5" w14:paraId="68C3473C" w14:textId="77777777">
        <w:trPr>
          <w:trHeight w:val="450"/>
        </w:trPr>
        <w:tc>
          <w:tcPr>
            <w:tcW w:w="3119" w:type="dxa"/>
            <w:shd w:val="clear" w:color="auto" w:fill="auto"/>
            <w:vAlign w:val="center"/>
            <w:hideMark/>
          </w:tcPr>
          <w:p w:rsidRPr="00AE1B2B" w:rsidR="009D3FB5" w:rsidP="00163B94" w:rsidRDefault="009D3FB5" w14:paraId="791B8E6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de Los Chiles</w:t>
            </w:r>
          </w:p>
        </w:tc>
        <w:tc>
          <w:tcPr>
            <w:tcW w:w="2627" w:type="dxa"/>
            <w:shd w:val="clear" w:color="auto" w:fill="auto"/>
            <w:vAlign w:val="center"/>
            <w:hideMark/>
          </w:tcPr>
          <w:p w:rsidRPr="00AE1B2B" w:rsidR="009D3FB5" w:rsidP="00163B94" w:rsidRDefault="009D3FB5" w14:paraId="3132DB5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1652-PLA-EV-2020</w:t>
            </w:r>
          </w:p>
        </w:tc>
        <w:tc>
          <w:tcPr>
            <w:tcW w:w="2508" w:type="dxa"/>
            <w:shd w:val="clear" w:color="auto" w:fill="auto"/>
            <w:vAlign w:val="center"/>
            <w:hideMark/>
          </w:tcPr>
          <w:p w:rsidRPr="00AE1B2B" w:rsidR="009D3FB5" w:rsidP="00163B94" w:rsidRDefault="009D3FB5" w14:paraId="07163F7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1888-PLA-EV-2020</w:t>
            </w:r>
          </w:p>
        </w:tc>
        <w:tc>
          <w:tcPr>
            <w:tcW w:w="2541" w:type="dxa"/>
            <w:shd w:val="clear" w:color="auto" w:fill="auto"/>
            <w:vAlign w:val="center"/>
            <w:hideMark/>
          </w:tcPr>
          <w:p w:rsidRPr="00AE1B2B" w:rsidR="009D3FB5" w:rsidP="00163B94" w:rsidRDefault="009D3FB5" w14:paraId="7B8CEF3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118-2020, del 10-12-2020, Art. LVIII</w:t>
            </w:r>
          </w:p>
        </w:tc>
      </w:tr>
      <w:tr w:rsidRPr="00AE1B2B" w:rsidR="00AE1B2B" w:rsidTr="009D3FB5" w14:paraId="462CB3BD" w14:textId="77777777">
        <w:trPr>
          <w:trHeight w:val="450"/>
        </w:trPr>
        <w:tc>
          <w:tcPr>
            <w:tcW w:w="3119" w:type="dxa"/>
            <w:shd w:val="clear" w:color="auto" w:fill="auto"/>
            <w:vAlign w:val="center"/>
            <w:hideMark/>
          </w:tcPr>
          <w:p w:rsidRPr="00AE1B2B" w:rsidR="009D3FB5" w:rsidP="00163B94" w:rsidRDefault="009D3FB5" w14:paraId="2690B2A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de Guatuso</w:t>
            </w:r>
          </w:p>
        </w:tc>
        <w:tc>
          <w:tcPr>
            <w:tcW w:w="2627" w:type="dxa"/>
            <w:shd w:val="clear" w:color="auto" w:fill="auto"/>
            <w:vAlign w:val="center"/>
            <w:hideMark/>
          </w:tcPr>
          <w:p w:rsidRPr="00AE1B2B" w:rsidR="009D3FB5" w:rsidP="00163B94" w:rsidRDefault="009D3FB5" w14:paraId="18233D3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1646-PLA-EV-2020</w:t>
            </w:r>
          </w:p>
        </w:tc>
        <w:tc>
          <w:tcPr>
            <w:tcW w:w="2508" w:type="dxa"/>
            <w:shd w:val="clear" w:color="auto" w:fill="auto"/>
            <w:vAlign w:val="center"/>
            <w:hideMark/>
          </w:tcPr>
          <w:p w:rsidRPr="00AE1B2B" w:rsidR="009D3FB5" w:rsidP="00163B94" w:rsidRDefault="009D3FB5" w14:paraId="1AF01A7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1880-PLA-EV-2020</w:t>
            </w:r>
          </w:p>
        </w:tc>
        <w:tc>
          <w:tcPr>
            <w:tcW w:w="2541" w:type="dxa"/>
            <w:shd w:val="clear" w:color="auto" w:fill="auto"/>
            <w:vAlign w:val="center"/>
            <w:hideMark/>
          </w:tcPr>
          <w:p w:rsidRPr="00AE1B2B" w:rsidR="009D3FB5" w:rsidP="00163B94" w:rsidRDefault="009D3FB5" w14:paraId="0833CC2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119-2020, del 15-12-2020, Art. LVII</w:t>
            </w:r>
          </w:p>
        </w:tc>
      </w:tr>
      <w:tr w:rsidRPr="00AE1B2B" w:rsidR="00AE1B2B" w:rsidTr="009D3FB5" w14:paraId="1F4C7401" w14:textId="77777777">
        <w:trPr>
          <w:trHeight w:val="579"/>
        </w:trPr>
        <w:tc>
          <w:tcPr>
            <w:tcW w:w="3119" w:type="dxa"/>
            <w:shd w:val="clear" w:color="auto" w:fill="auto"/>
            <w:vAlign w:val="center"/>
            <w:hideMark/>
          </w:tcPr>
          <w:p w:rsidRPr="00AE1B2B" w:rsidR="009D3FB5" w:rsidP="00163B94" w:rsidRDefault="009D3FB5" w14:paraId="3BF827E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de La Fortuna</w:t>
            </w:r>
          </w:p>
        </w:tc>
        <w:tc>
          <w:tcPr>
            <w:tcW w:w="2627" w:type="dxa"/>
            <w:shd w:val="clear" w:color="auto" w:fill="auto"/>
            <w:vAlign w:val="center"/>
            <w:hideMark/>
          </w:tcPr>
          <w:p w:rsidRPr="00AE1B2B" w:rsidR="009D3FB5" w:rsidP="00163B94" w:rsidRDefault="009D3FB5" w14:paraId="3A1EFB3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1649-PLA-EV-2020</w:t>
            </w:r>
          </w:p>
        </w:tc>
        <w:tc>
          <w:tcPr>
            <w:tcW w:w="2508" w:type="dxa"/>
            <w:shd w:val="clear" w:color="auto" w:fill="auto"/>
            <w:vAlign w:val="center"/>
            <w:hideMark/>
          </w:tcPr>
          <w:p w:rsidRPr="00AE1B2B" w:rsidR="009D3FB5" w:rsidP="00163B94" w:rsidRDefault="009D3FB5" w14:paraId="51985F5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1878-PLA-EV-2020</w:t>
            </w:r>
          </w:p>
        </w:tc>
        <w:tc>
          <w:tcPr>
            <w:tcW w:w="2541" w:type="dxa"/>
            <w:shd w:val="clear" w:color="auto" w:fill="auto"/>
            <w:vAlign w:val="center"/>
            <w:hideMark/>
          </w:tcPr>
          <w:p w:rsidRPr="00AE1B2B" w:rsidR="009D3FB5" w:rsidP="00163B94" w:rsidRDefault="009D3FB5" w14:paraId="5D8DADA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119-2020, del 15-12-2020, Art. LVIII</w:t>
            </w:r>
          </w:p>
        </w:tc>
      </w:tr>
      <w:tr w:rsidRPr="00AE1B2B" w:rsidR="00AE1B2B" w:rsidTr="009D3FB5" w14:paraId="75518C5B" w14:textId="77777777">
        <w:trPr>
          <w:trHeight w:val="450"/>
        </w:trPr>
        <w:tc>
          <w:tcPr>
            <w:tcW w:w="3119" w:type="dxa"/>
            <w:shd w:val="clear" w:color="auto" w:fill="auto"/>
            <w:vAlign w:val="center"/>
            <w:hideMark/>
          </w:tcPr>
          <w:p w:rsidRPr="00AE1B2B" w:rsidR="009D3FB5" w:rsidP="00163B94" w:rsidRDefault="009D3FB5" w14:paraId="530B200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de Zarcero </w:t>
            </w:r>
          </w:p>
        </w:tc>
        <w:tc>
          <w:tcPr>
            <w:tcW w:w="2627" w:type="dxa"/>
            <w:shd w:val="clear" w:color="auto" w:fill="auto"/>
            <w:vAlign w:val="center"/>
            <w:hideMark/>
          </w:tcPr>
          <w:p w:rsidRPr="00AE1B2B" w:rsidR="009D3FB5" w:rsidP="00163B94" w:rsidRDefault="009D3FB5" w14:paraId="6CD7B7C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1651-PLA-EV-2020</w:t>
            </w:r>
          </w:p>
        </w:tc>
        <w:tc>
          <w:tcPr>
            <w:tcW w:w="2508" w:type="dxa"/>
            <w:shd w:val="clear" w:color="auto" w:fill="auto"/>
            <w:vAlign w:val="center"/>
            <w:hideMark/>
          </w:tcPr>
          <w:p w:rsidRPr="00AE1B2B" w:rsidR="009D3FB5" w:rsidP="00163B94" w:rsidRDefault="009D3FB5" w14:paraId="2AB333D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1873-PLA-EV-2020</w:t>
            </w:r>
          </w:p>
        </w:tc>
        <w:tc>
          <w:tcPr>
            <w:tcW w:w="2541" w:type="dxa"/>
            <w:shd w:val="clear" w:color="auto" w:fill="auto"/>
            <w:vAlign w:val="center"/>
            <w:hideMark/>
          </w:tcPr>
          <w:p w:rsidRPr="00AE1B2B" w:rsidR="009D3FB5" w:rsidP="00163B94" w:rsidRDefault="009D3FB5" w14:paraId="37D8055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9D3FB5" w14:paraId="479637CD" w14:textId="77777777">
        <w:trPr>
          <w:trHeight w:val="828"/>
        </w:trPr>
        <w:tc>
          <w:tcPr>
            <w:tcW w:w="3119" w:type="dxa"/>
            <w:shd w:val="clear" w:color="auto" w:fill="auto"/>
            <w:vAlign w:val="center"/>
            <w:hideMark/>
          </w:tcPr>
          <w:p w:rsidRPr="00AE1B2B" w:rsidR="009D3FB5" w:rsidP="00163B94" w:rsidRDefault="009D3FB5" w14:paraId="5482704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lastRenderedPageBreak/>
              <w:t xml:space="preserve">Juzgado Contravencional de Paraíso </w:t>
            </w:r>
          </w:p>
        </w:tc>
        <w:tc>
          <w:tcPr>
            <w:tcW w:w="2627" w:type="dxa"/>
            <w:shd w:val="clear" w:color="auto" w:fill="auto"/>
            <w:vAlign w:val="center"/>
            <w:hideMark/>
          </w:tcPr>
          <w:p w:rsidRPr="00AE1B2B" w:rsidR="009D3FB5" w:rsidP="00163B94" w:rsidRDefault="009D3FB5" w14:paraId="2B1A18F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1734-PLA-EV-2020</w:t>
            </w:r>
          </w:p>
        </w:tc>
        <w:tc>
          <w:tcPr>
            <w:tcW w:w="2508" w:type="dxa"/>
            <w:shd w:val="clear" w:color="auto" w:fill="auto"/>
            <w:vAlign w:val="center"/>
            <w:hideMark/>
          </w:tcPr>
          <w:p w:rsidRPr="00AE1B2B" w:rsidR="009D3FB5" w:rsidP="00163B94" w:rsidRDefault="009D3FB5" w14:paraId="233C153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1881-PLA-EV-2020</w:t>
            </w:r>
          </w:p>
        </w:tc>
        <w:tc>
          <w:tcPr>
            <w:tcW w:w="2541" w:type="dxa"/>
            <w:shd w:val="clear" w:color="auto" w:fill="auto"/>
            <w:vAlign w:val="center"/>
            <w:hideMark/>
          </w:tcPr>
          <w:p w:rsidRPr="00AE1B2B" w:rsidR="009D3FB5" w:rsidP="00163B94" w:rsidRDefault="009D3FB5" w14:paraId="5306D13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119-2020, del 15-12-2020, Art. LXVII</w:t>
            </w:r>
          </w:p>
        </w:tc>
      </w:tr>
      <w:tr w:rsidRPr="00AE1B2B" w:rsidR="00AE1B2B" w:rsidTr="009D3FB5" w14:paraId="5D7C5990" w14:textId="77777777">
        <w:trPr>
          <w:trHeight w:val="722"/>
        </w:trPr>
        <w:tc>
          <w:tcPr>
            <w:tcW w:w="3119" w:type="dxa"/>
            <w:shd w:val="clear" w:color="auto" w:fill="auto"/>
            <w:vAlign w:val="center"/>
            <w:hideMark/>
          </w:tcPr>
          <w:p w:rsidRPr="00AE1B2B" w:rsidR="009D3FB5" w:rsidP="00163B94" w:rsidRDefault="009D3FB5" w14:paraId="68E78C1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de Tarrazú, Dota y León Cortés </w:t>
            </w:r>
          </w:p>
        </w:tc>
        <w:tc>
          <w:tcPr>
            <w:tcW w:w="2627" w:type="dxa"/>
            <w:shd w:val="clear" w:color="auto" w:fill="auto"/>
            <w:vAlign w:val="center"/>
            <w:hideMark/>
          </w:tcPr>
          <w:p w:rsidRPr="00AE1B2B" w:rsidR="009D3FB5" w:rsidP="00163B94" w:rsidRDefault="009D3FB5" w14:paraId="15F709C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1671-PLA-EV-2020</w:t>
            </w:r>
          </w:p>
        </w:tc>
        <w:tc>
          <w:tcPr>
            <w:tcW w:w="2508" w:type="dxa"/>
            <w:shd w:val="clear" w:color="auto" w:fill="auto"/>
            <w:vAlign w:val="center"/>
            <w:hideMark/>
          </w:tcPr>
          <w:p w:rsidRPr="00AE1B2B" w:rsidR="009D3FB5" w:rsidP="00163B94" w:rsidRDefault="009D3FB5" w14:paraId="413FF27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En Proceso</w:t>
            </w:r>
          </w:p>
          <w:p w:rsidRPr="00AE1B2B" w:rsidR="009D3FB5" w:rsidP="00163B94" w:rsidRDefault="009D3FB5" w14:paraId="4D447AEB" w14:textId="77777777">
            <w:pPr>
              <w:spacing w:before="120" w:after="120"/>
              <w:rPr>
                <w:rFonts w:ascii="Times New Roman" w:hAnsi="Times New Roman" w:eastAsia="Times New Roman" w:cs="Times New Roman"/>
                <w:lang w:eastAsia="es-CR"/>
              </w:rPr>
            </w:pPr>
          </w:p>
        </w:tc>
        <w:tc>
          <w:tcPr>
            <w:tcW w:w="2541" w:type="dxa"/>
            <w:shd w:val="clear" w:color="auto" w:fill="auto"/>
            <w:vAlign w:val="center"/>
            <w:hideMark/>
          </w:tcPr>
          <w:p w:rsidRPr="00AE1B2B" w:rsidR="009D3FB5" w:rsidP="00163B94" w:rsidRDefault="009D3FB5" w14:paraId="572C671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9D3FB5" w14:paraId="5309A08D" w14:textId="77777777">
        <w:trPr>
          <w:trHeight w:val="828"/>
        </w:trPr>
        <w:tc>
          <w:tcPr>
            <w:tcW w:w="3119" w:type="dxa"/>
            <w:shd w:val="clear" w:color="auto" w:fill="auto"/>
            <w:vAlign w:val="center"/>
            <w:hideMark/>
          </w:tcPr>
          <w:p w:rsidRPr="00AE1B2B" w:rsidR="009D3FB5" w:rsidP="00163B94" w:rsidRDefault="009D3FB5" w14:paraId="0684D29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de Tilarán </w:t>
            </w:r>
          </w:p>
        </w:tc>
        <w:tc>
          <w:tcPr>
            <w:tcW w:w="2627" w:type="dxa"/>
            <w:shd w:val="clear" w:color="auto" w:fill="auto"/>
            <w:vAlign w:val="center"/>
            <w:hideMark/>
          </w:tcPr>
          <w:p w:rsidRPr="00AE1B2B" w:rsidR="009D3FB5" w:rsidP="00163B94" w:rsidRDefault="009D3FB5" w14:paraId="308FA63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1700-PLA-EV-2020</w:t>
            </w:r>
          </w:p>
        </w:tc>
        <w:tc>
          <w:tcPr>
            <w:tcW w:w="2508" w:type="dxa"/>
            <w:shd w:val="clear" w:color="auto" w:fill="auto"/>
            <w:vAlign w:val="center"/>
            <w:hideMark/>
          </w:tcPr>
          <w:p w:rsidRPr="00AE1B2B" w:rsidR="009D3FB5" w:rsidP="00163B94" w:rsidRDefault="009D3FB5" w14:paraId="11E7C6F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71-PLA-EV-2021</w:t>
            </w:r>
          </w:p>
        </w:tc>
        <w:tc>
          <w:tcPr>
            <w:tcW w:w="2541" w:type="dxa"/>
            <w:shd w:val="clear" w:color="auto" w:fill="auto"/>
            <w:vAlign w:val="center"/>
            <w:hideMark/>
          </w:tcPr>
          <w:p w:rsidRPr="00AE1B2B" w:rsidR="009D3FB5" w:rsidP="00163B94" w:rsidRDefault="009D3FB5" w14:paraId="03C90D2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10-2021 del 4-2-2021, artículo LV</w:t>
            </w:r>
          </w:p>
        </w:tc>
      </w:tr>
      <w:tr w:rsidRPr="00AE1B2B" w:rsidR="00AE1B2B" w:rsidTr="009D3FB5" w14:paraId="7A9C50A6" w14:textId="77777777">
        <w:trPr>
          <w:trHeight w:val="715"/>
        </w:trPr>
        <w:tc>
          <w:tcPr>
            <w:tcW w:w="3119" w:type="dxa"/>
            <w:shd w:val="clear" w:color="auto" w:fill="auto"/>
            <w:vAlign w:val="center"/>
            <w:hideMark/>
          </w:tcPr>
          <w:p w:rsidRPr="00AE1B2B" w:rsidR="009D3FB5" w:rsidP="00163B94" w:rsidRDefault="009D3FB5" w14:paraId="33611AD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de Abangares </w:t>
            </w:r>
          </w:p>
        </w:tc>
        <w:tc>
          <w:tcPr>
            <w:tcW w:w="2627" w:type="dxa"/>
            <w:shd w:val="clear" w:color="auto" w:fill="auto"/>
            <w:vAlign w:val="center"/>
            <w:hideMark/>
          </w:tcPr>
          <w:p w:rsidRPr="00AE1B2B" w:rsidR="009D3FB5" w:rsidP="00163B94" w:rsidRDefault="009D3FB5" w14:paraId="2F4F66E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1642-PLA-EV-2020</w:t>
            </w:r>
          </w:p>
        </w:tc>
        <w:tc>
          <w:tcPr>
            <w:tcW w:w="2508" w:type="dxa"/>
            <w:shd w:val="clear" w:color="auto" w:fill="auto"/>
            <w:vAlign w:val="center"/>
            <w:hideMark/>
          </w:tcPr>
          <w:p w:rsidRPr="00AE1B2B" w:rsidR="009D3FB5" w:rsidP="00163B94" w:rsidRDefault="009D3FB5" w14:paraId="142A5EC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1990-PLA-EV-2020</w:t>
            </w:r>
          </w:p>
        </w:tc>
        <w:tc>
          <w:tcPr>
            <w:tcW w:w="2541" w:type="dxa"/>
            <w:shd w:val="clear" w:color="auto" w:fill="auto"/>
            <w:vAlign w:val="center"/>
            <w:hideMark/>
          </w:tcPr>
          <w:p w:rsidRPr="00AE1B2B" w:rsidR="009D3FB5" w:rsidP="00163B94" w:rsidRDefault="009D3FB5" w14:paraId="3882524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9D3FB5" w14:paraId="0A08B603" w14:textId="77777777">
        <w:trPr>
          <w:trHeight w:val="450"/>
        </w:trPr>
        <w:tc>
          <w:tcPr>
            <w:tcW w:w="3119" w:type="dxa"/>
            <w:shd w:val="clear" w:color="auto" w:fill="auto"/>
            <w:vAlign w:val="center"/>
            <w:hideMark/>
          </w:tcPr>
          <w:p w:rsidRPr="00AE1B2B" w:rsidR="009D3FB5" w:rsidP="00163B94" w:rsidRDefault="009D3FB5" w14:paraId="59CEFA1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de Bagaces </w:t>
            </w:r>
          </w:p>
        </w:tc>
        <w:tc>
          <w:tcPr>
            <w:tcW w:w="2627" w:type="dxa"/>
            <w:shd w:val="clear" w:color="auto" w:fill="auto"/>
            <w:vAlign w:val="center"/>
            <w:hideMark/>
          </w:tcPr>
          <w:p w:rsidRPr="00AE1B2B" w:rsidR="009D3FB5" w:rsidP="00163B94" w:rsidRDefault="009D3FB5" w14:paraId="745D6C6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1647-PLA-EV-2020</w:t>
            </w:r>
          </w:p>
        </w:tc>
        <w:tc>
          <w:tcPr>
            <w:tcW w:w="2508" w:type="dxa"/>
            <w:shd w:val="clear" w:color="auto" w:fill="auto"/>
            <w:vAlign w:val="center"/>
            <w:hideMark/>
          </w:tcPr>
          <w:p w:rsidRPr="00AE1B2B" w:rsidR="009D3FB5" w:rsidP="00163B94" w:rsidRDefault="009D3FB5" w14:paraId="3F152ED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1867-PLA-EV-2020</w:t>
            </w:r>
          </w:p>
        </w:tc>
        <w:tc>
          <w:tcPr>
            <w:tcW w:w="2541" w:type="dxa"/>
            <w:shd w:val="clear" w:color="auto" w:fill="auto"/>
            <w:vAlign w:val="center"/>
            <w:hideMark/>
          </w:tcPr>
          <w:p w:rsidRPr="00AE1B2B" w:rsidR="009D3FB5" w:rsidP="00163B94" w:rsidRDefault="009D3FB5" w14:paraId="2AB2022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118-2020, del 10-12-2020, Art. LX</w:t>
            </w:r>
          </w:p>
        </w:tc>
      </w:tr>
      <w:tr w:rsidRPr="00AE1B2B" w:rsidR="00AE1B2B" w:rsidTr="009D3FB5" w14:paraId="0C7C76FC" w14:textId="77777777">
        <w:trPr>
          <w:trHeight w:val="450"/>
        </w:trPr>
        <w:tc>
          <w:tcPr>
            <w:tcW w:w="3119" w:type="dxa"/>
            <w:shd w:val="clear" w:color="auto" w:fill="auto"/>
            <w:vAlign w:val="center"/>
            <w:hideMark/>
          </w:tcPr>
          <w:p w:rsidRPr="00AE1B2B" w:rsidR="009D3FB5" w:rsidP="00163B94" w:rsidRDefault="009D3FB5" w14:paraId="0B3B348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La Cruz </w:t>
            </w:r>
          </w:p>
        </w:tc>
        <w:tc>
          <w:tcPr>
            <w:tcW w:w="2627" w:type="dxa"/>
            <w:shd w:val="clear" w:color="auto" w:fill="auto"/>
            <w:vAlign w:val="center"/>
            <w:hideMark/>
          </w:tcPr>
          <w:p w:rsidRPr="00AE1B2B" w:rsidR="009D3FB5" w:rsidP="00163B94" w:rsidRDefault="009D3FB5" w14:paraId="795B1C0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1650-PLA-EV-2020</w:t>
            </w:r>
          </w:p>
        </w:tc>
        <w:tc>
          <w:tcPr>
            <w:tcW w:w="2508" w:type="dxa"/>
            <w:shd w:val="clear" w:color="auto" w:fill="auto"/>
            <w:vAlign w:val="center"/>
            <w:hideMark/>
          </w:tcPr>
          <w:p w:rsidRPr="00AE1B2B" w:rsidR="009D3FB5" w:rsidP="00163B94" w:rsidRDefault="009D3FB5" w14:paraId="374EEB1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1981-PLA-EV-2020</w:t>
            </w:r>
          </w:p>
        </w:tc>
        <w:tc>
          <w:tcPr>
            <w:tcW w:w="2541" w:type="dxa"/>
            <w:shd w:val="clear" w:color="auto" w:fill="auto"/>
            <w:vAlign w:val="center"/>
            <w:hideMark/>
          </w:tcPr>
          <w:p w:rsidRPr="00AE1B2B" w:rsidR="009D3FB5" w:rsidP="00163B94" w:rsidRDefault="009D3FB5" w14:paraId="699ECF1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Sesión 01-21 del 05-1-21, Art. XXXIII </w:t>
            </w:r>
          </w:p>
        </w:tc>
      </w:tr>
      <w:tr w:rsidRPr="00AE1B2B" w:rsidR="00AE1B2B" w:rsidTr="009D3FB5" w14:paraId="0417B9E6" w14:textId="77777777">
        <w:trPr>
          <w:trHeight w:val="450"/>
        </w:trPr>
        <w:tc>
          <w:tcPr>
            <w:tcW w:w="3119" w:type="dxa"/>
            <w:shd w:val="clear" w:color="auto" w:fill="auto"/>
            <w:vAlign w:val="center"/>
            <w:hideMark/>
          </w:tcPr>
          <w:p w:rsidRPr="00AE1B2B" w:rsidR="009D3FB5" w:rsidP="00163B94" w:rsidRDefault="009D3FB5" w14:paraId="1DED672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de Nandayure </w:t>
            </w:r>
          </w:p>
        </w:tc>
        <w:tc>
          <w:tcPr>
            <w:tcW w:w="2627" w:type="dxa"/>
            <w:shd w:val="clear" w:color="auto" w:fill="auto"/>
            <w:vAlign w:val="center"/>
            <w:hideMark/>
          </w:tcPr>
          <w:p w:rsidRPr="00AE1B2B" w:rsidR="009D3FB5" w:rsidP="00163B94" w:rsidRDefault="009D3FB5" w14:paraId="379B398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1733-PLA-EV-2020</w:t>
            </w:r>
          </w:p>
        </w:tc>
        <w:tc>
          <w:tcPr>
            <w:tcW w:w="2508" w:type="dxa"/>
            <w:shd w:val="clear" w:color="auto" w:fill="auto"/>
            <w:vAlign w:val="center"/>
            <w:hideMark/>
          </w:tcPr>
          <w:p w:rsidRPr="00AE1B2B" w:rsidR="009D3FB5" w:rsidP="00163B94" w:rsidRDefault="009D3FB5" w14:paraId="58FBD62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1864-PLA-EV-2020</w:t>
            </w:r>
          </w:p>
        </w:tc>
        <w:tc>
          <w:tcPr>
            <w:tcW w:w="2541" w:type="dxa"/>
            <w:shd w:val="clear" w:color="auto" w:fill="auto"/>
            <w:vAlign w:val="center"/>
            <w:hideMark/>
          </w:tcPr>
          <w:p w:rsidRPr="00AE1B2B" w:rsidR="009D3FB5" w:rsidP="00163B94" w:rsidRDefault="009D3FB5" w14:paraId="505265C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116-2020, del 3-12-2020, Art. XXXIV</w:t>
            </w:r>
          </w:p>
        </w:tc>
      </w:tr>
      <w:tr w:rsidRPr="00AE1B2B" w:rsidR="00AE1B2B" w:rsidTr="009D3FB5" w14:paraId="5D05B3BA" w14:textId="77777777">
        <w:trPr>
          <w:trHeight w:val="619"/>
        </w:trPr>
        <w:tc>
          <w:tcPr>
            <w:tcW w:w="3119" w:type="dxa"/>
            <w:shd w:val="clear" w:color="auto" w:fill="auto"/>
            <w:vAlign w:val="center"/>
            <w:hideMark/>
          </w:tcPr>
          <w:p w:rsidRPr="00AE1B2B" w:rsidR="009D3FB5" w:rsidP="00163B94" w:rsidRDefault="009D3FB5" w14:paraId="1D4352E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de Carrillo </w:t>
            </w:r>
          </w:p>
        </w:tc>
        <w:tc>
          <w:tcPr>
            <w:tcW w:w="2627" w:type="dxa"/>
            <w:shd w:val="clear" w:color="auto" w:fill="auto"/>
            <w:vAlign w:val="center"/>
            <w:hideMark/>
          </w:tcPr>
          <w:p w:rsidRPr="00AE1B2B" w:rsidR="009D3FB5" w:rsidP="00163B94" w:rsidRDefault="009D3FB5" w14:paraId="3AD0DB3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1728-PLA-EV-2020</w:t>
            </w:r>
          </w:p>
        </w:tc>
        <w:tc>
          <w:tcPr>
            <w:tcW w:w="2508" w:type="dxa"/>
            <w:shd w:val="clear" w:color="auto" w:fill="auto"/>
            <w:vAlign w:val="center"/>
            <w:hideMark/>
          </w:tcPr>
          <w:p w:rsidRPr="00AE1B2B" w:rsidR="009D3FB5" w:rsidP="00163B94" w:rsidRDefault="009D3FB5" w14:paraId="7976784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1877-PLA-EV-2020</w:t>
            </w:r>
          </w:p>
        </w:tc>
        <w:tc>
          <w:tcPr>
            <w:tcW w:w="2541" w:type="dxa"/>
            <w:shd w:val="clear" w:color="auto" w:fill="auto"/>
            <w:vAlign w:val="center"/>
            <w:hideMark/>
          </w:tcPr>
          <w:p w:rsidRPr="00AE1B2B" w:rsidR="009D3FB5" w:rsidP="00163B94" w:rsidRDefault="009D3FB5" w14:paraId="50F1884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119-2020, del 15-12-2020, Art. L</w:t>
            </w:r>
          </w:p>
        </w:tc>
      </w:tr>
      <w:tr w:rsidRPr="00AE1B2B" w:rsidR="00AE1B2B" w:rsidTr="009D3FB5" w14:paraId="2C86744B" w14:textId="77777777">
        <w:trPr>
          <w:trHeight w:val="618"/>
        </w:trPr>
        <w:tc>
          <w:tcPr>
            <w:tcW w:w="3119" w:type="dxa"/>
            <w:shd w:val="clear" w:color="auto" w:fill="auto"/>
            <w:vAlign w:val="center"/>
            <w:hideMark/>
          </w:tcPr>
          <w:p w:rsidRPr="00AE1B2B" w:rsidR="009D3FB5" w:rsidP="00163B94" w:rsidRDefault="009D3FB5" w14:paraId="3ECCDFA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de Jicaral </w:t>
            </w:r>
          </w:p>
        </w:tc>
        <w:tc>
          <w:tcPr>
            <w:tcW w:w="2627" w:type="dxa"/>
            <w:shd w:val="clear" w:color="auto" w:fill="auto"/>
            <w:vAlign w:val="center"/>
            <w:hideMark/>
          </w:tcPr>
          <w:p w:rsidRPr="00AE1B2B" w:rsidR="009D3FB5" w:rsidP="00163B94" w:rsidRDefault="009D3FB5" w14:paraId="54ACF7E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1730-PLA-EV-2020</w:t>
            </w:r>
          </w:p>
        </w:tc>
        <w:tc>
          <w:tcPr>
            <w:tcW w:w="2508" w:type="dxa"/>
            <w:shd w:val="clear" w:color="auto" w:fill="auto"/>
            <w:vAlign w:val="center"/>
            <w:hideMark/>
          </w:tcPr>
          <w:p w:rsidRPr="00AE1B2B" w:rsidR="009D3FB5" w:rsidP="00163B94" w:rsidRDefault="009D3FB5" w14:paraId="0AAEA0B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1854-PLA-EV-2020</w:t>
            </w:r>
          </w:p>
        </w:tc>
        <w:tc>
          <w:tcPr>
            <w:tcW w:w="2541" w:type="dxa"/>
            <w:shd w:val="clear" w:color="auto" w:fill="auto"/>
            <w:vAlign w:val="center"/>
            <w:hideMark/>
          </w:tcPr>
          <w:p w:rsidRPr="00AE1B2B" w:rsidR="009D3FB5" w:rsidP="00163B94" w:rsidRDefault="009D3FB5" w14:paraId="6858AA3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115-2020, del 1-12-2020, Art. LI</w:t>
            </w:r>
          </w:p>
        </w:tc>
      </w:tr>
      <w:tr w:rsidRPr="00AE1B2B" w:rsidR="00AE1B2B" w:rsidTr="009D3FB5" w14:paraId="47A1B231" w14:textId="77777777">
        <w:trPr>
          <w:trHeight w:val="623"/>
        </w:trPr>
        <w:tc>
          <w:tcPr>
            <w:tcW w:w="3119" w:type="dxa"/>
            <w:shd w:val="clear" w:color="auto" w:fill="auto"/>
            <w:vAlign w:val="center"/>
            <w:hideMark/>
          </w:tcPr>
          <w:p w:rsidRPr="00AE1B2B" w:rsidR="009D3FB5" w:rsidP="00163B94" w:rsidRDefault="009D3FB5" w14:paraId="3D282E3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de Garabito </w:t>
            </w:r>
          </w:p>
        </w:tc>
        <w:tc>
          <w:tcPr>
            <w:tcW w:w="2627" w:type="dxa"/>
            <w:shd w:val="clear" w:color="auto" w:fill="auto"/>
            <w:vAlign w:val="center"/>
            <w:hideMark/>
          </w:tcPr>
          <w:p w:rsidRPr="00AE1B2B" w:rsidR="009D3FB5" w:rsidP="00163B94" w:rsidRDefault="009D3FB5" w14:paraId="498122E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1732-PLA-EV-2020</w:t>
            </w:r>
          </w:p>
        </w:tc>
        <w:tc>
          <w:tcPr>
            <w:tcW w:w="2508" w:type="dxa"/>
            <w:shd w:val="clear" w:color="auto" w:fill="auto"/>
            <w:vAlign w:val="center"/>
            <w:hideMark/>
          </w:tcPr>
          <w:p w:rsidRPr="00AE1B2B" w:rsidR="009D3FB5" w:rsidP="00163B94" w:rsidRDefault="009D3FB5" w14:paraId="7A2509F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54-PLA-EV-2021</w:t>
            </w:r>
          </w:p>
        </w:tc>
        <w:tc>
          <w:tcPr>
            <w:tcW w:w="2541" w:type="dxa"/>
            <w:shd w:val="clear" w:color="auto" w:fill="auto"/>
            <w:vAlign w:val="center"/>
            <w:hideMark/>
          </w:tcPr>
          <w:p w:rsidRPr="00AE1B2B" w:rsidR="009D3FB5" w:rsidP="00163B94" w:rsidRDefault="009D3FB5" w14:paraId="79FBB02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9-2021 del 2-2-2021, artículo XXXVI</w:t>
            </w:r>
          </w:p>
        </w:tc>
      </w:tr>
      <w:tr w:rsidRPr="00AE1B2B" w:rsidR="00AE1B2B" w:rsidTr="009D3FB5" w14:paraId="1D3DB405" w14:textId="77777777">
        <w:trPr>
          <w:trHeight w:val="575"/>
        </w:trPr>
        <w:tc>
          <w:tcPr>
            <w:tcW w:w="3119" w:type="dxa"/>
            <w:shd w:val="clear" w:color="auto" w:fill="auto"/>
            <w:vAlign w:val="center"/>
            <w:hideMark/>
          </w:tcPr>
          <w:p w:rsidRPr="00AE1B2B" w:rsidR="009D3FB5" w:rsidP="00163B94" w:rsidRDefault="009D3FB5" w14:paraId="213DDC8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de Cóbano </w:t>
            </w:r>
          </w:p>
        </w:tc>
        <w:tc>
          <w:tcPr>
            <w:tcW w:w="2627" w:type="dxa"/>
            <w:shd w:val="clear" w:color="auto" w:fill="auto"/>
            <w:vAlign w:val="center"/>
            <w:hideMark/>
          </w:tcPr>
          <w:p w:rsidRPr="00AE1B2B" w:rsidR="009D3FB5" w:rsidP="00163B94" w:rsidRDefault="009D3FB5" w14:paraId="5D4272B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1749-PLA-EV-2020</w:t>
            </w:r>
          </w:p>
        </w:tc>
        <w:tc>
          <w:tcPr>
            <w:tcW w:w="2508" w:type="dxa"/>
            <w:shd w:val="clear" w:color="auto" w:fill="auto"/>
            <w:vAlign w:val="center"/>
            <w:hideMark/>
          </w:tcPr>
          <w:p w:rsidRPr="00AE1B2B" w:rsidR="009D3FB5" w:rsidP="00163B94" w:rsidRDefault="009D3FB5" w14:paraId="59370B5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270-PLA-EV-2021</w:t>
            </w:r>
          </w:p>
        </w:tc>
        <w:tc>
          <w:tcPr>
            <w:tcW w:w="2541" w:type="dxa"/>
            <w:shd w:val="clear" w:color="auto" w:fill="auto"/>
            <w:vAlign w:val="center"/>
            <w:hideMark/>
          </w:tcPr>
          <w:p w:rsidRPr="00AE1B2B" w:rsidR="009D3FB5" w:rsidP="00163B94" w:rsidRDefault="009D3FB5" w14:paraId="2FBA683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9D3FB5" w14:paraId="01158977" w14:textId="77777777">
        <w:trPr>
          <w:trHeight w:val="698"/>
        </w:trPr>
        <w:tc>
          <w:tcPr>
            <w:tcW w:w="3119" w:type="dxa"/>
            <w:shd w:val="clear" w:color="auto" w:fill="auto"/>
            <w:vAlign w:val="center"/>
            <w:hideMark/>
          </w:tcPr>
          <w:p w:rsidRPr="00AE1B2B" w:rsidR="009D3FB5" w:rsidP="00163B94" w:rsidRDefault="009D3FB5" w14:paraId="632FDEB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de Monteverde</w:t>
            </w:r>
          </w:p>
        </w:tc>
        <w:tc>
          <w:tcPr>
            <w:tcW w:w="2627" w:type="dxa"/>
            <w:shd w:val="clear" w:color="auto" w:fill="auto"/>
            <w:vAlign w:val="center"/>
            <w:hideMark/>
          </w:tcPr>
          <w:p w:rsidRPr="00AE1B2B" w:rsidR="009D3FB5" w:rsidP="00163B94" w:rsidRDefault="009D3FB5" w14:paraId="3E7FBD1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1753-PLA-EV-2020</w:t>
            </w:r>
          </w:p>
        </w:tc>
        <w:tc>
          <w:tcPr>
            <w:tcW w:w="2508" w:type="dxa"/>
            <w:shd w:val="clear" w:color="auto" w:fill="auto"/>
            <w:vAlign w:val="center"/>
            <w:hideMark/>
          </w:tcPr>
          <w:p w:rsidRPr="00AE1B2B" w:rsidR="009D3FB5" w:rsidP="00163B94" w:rsidRDefault="009D3FB5" w14:paraId="4586E8F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173-PLA-EV-2021</w:t>
            </w:r>
          </w:p>
        </w:tc>
        <w:tc>
          <w:tcPr>
            <w:tcW w:w="2541" w:type="dxa"/>
            <w:shd w:val="clear" w:color="auto" w:fill="auto"/>
            <w:vAlign w:val="center"/>
            <w:hideMark/>
          </w:tcPr>
          <w:p w:rsidRPr="00AE1B2B" w:rsidR="009D3FB5" w:rsidP="00163B94" w:rsidRDefault="009D3FB5" w14:paraId="63A30C2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14-2021 del 18-2-2021, artículo XLIII </w:t>
            </w:r>
          </w:p>
        </w:tc>
      </w:tr>
      <w:tr w:rsidRPr="00AE1B2B" w:rsidR="00AE1B2B" w:rsidTr="009D3FB5" w14:paraId="6D04DD75" w14:textId="77777777">
        <w:trPr>
          <w:trHeight w:val="693"/>
        </w:trPr>
        <w:tc>
          <w:tcPr>
            <w:tcW w:w="3119" w:type="dxa"/>
            <w:shd w:val="clear" w:color="auto" w:fill="auto"/>
            <w:vAlign w:val="center"/>
            <w:hideMark/>
          </w:tcPr>
          <w:p w:rsidRPr="00AE1B2B" w:rsidR="009D3FB5" w:rsidP="00163B94" w:rsidRDefault="009D3FB5" w14:paraId="3247392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de Coto Brus</w:t>
            </w:r>
          </w:p>
        </w:tc>
        <w:tc>
          <w:tcPr>
            <w:tcW w:w="2627" w:type="dxa"/>
            <w:shd w:val="clear" w:color="auto" w:fill="auto"/>
            <w:vAlign w:val="center"/>
            <w:hideMark/>
          </w:tcPr>
          <w:p w:rsidRPr="00AE1B2B" w:rsidR="009D3FB5" w:rsidP="00163B94" w:rsidRDefault="009D3FB5" w14:paraId="71694DD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1666-PLA-EV-2020</w:t>
            </w:r>
          </w:p>
        </w:tc>
        <w:tc>
          <w:tcPr>
            <w:tcW w:w="2508" w:type="dxa"/>
            <w:shd w:val="clear" w:color="auto" w:fill="auto"/>
            <w:vAlign w:val="center"/>
            <w:hideMark/>
          </w:tcPr>
          <w:p w:rsidRPr="00AE1B2B" w:rsidR="009D3FB5" w:rsidP="00163B94" w:rsidRDefault="009D3FB5" w14:paraId="6FDCE67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1887-PLA-EV-2020</w:t>
            </w:r>
          </w:p>
        </w:tc>
        <w:tc>
          <w:tcPr>
            <w:tcW w:w="2541" w:type="dxa"/>
            <w:shd w:val="clear" w:color="auto" w:fill="auto"/>
            <w:vAlign w:val="center"/>
            <w:hideMark/>
          </w:tcPr>
          <w:p w:rsidRPr="00AE1B2B" w:rsidR="009D3FB5" w:rsidP="00163B94" w:rsidRDefault="009D3FB5" w14:paraId="08818CD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116-2020, del 3-12-20, Art XXXVII</w:t>
            </w:r>
          </w:p>
        </w:tc>
      </w:tr>
      <w:tr w:rsidRPr="00AE1B2B" w:rsidR="00AE1B2B" w:rsidTr="009D3FB5" w14:paraId="53238112" w14:textId="77777777">
        <w:trPr>
          <w:trHeight w:val="577"/>
        </w:trPr>
        <w:tc>
          <w:tcPr>
            <w:tcW w:w="3119" w:type="dxa"/>
            <w:shd w:val="clear" w:color="auto" w:fill="auto"/>
            <w:vAlign w:val="center"/>
            <w:hideMark/>
          </w:tcPr>
          <w:p w:rsidRPr="00AE1B2B" w:rsidR="009D3FB5" w:rsidP="00163B94" w:rsidRDefault="009D3FB5" w14:paraId="6EB0CB09" w14:textId="358D953D">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de Golfito, Sede Puerto Jiménez</w:t>
            </w:r>
            <w:r w:rsidRPr="00AE1B2B" w:rsidR="00BB7720">
              <w:rPr>
                <w:rFonts w:ascii="Times New Roman" w:hAnsi="Times New Roman" w:eastAsia="Times New Roman" w:cs="Times New Roman"/>
                <w:lang w:eastAsia="es-CR"/>
              </w:rPr>
              <w:t xml:space="preserve"> </w:t>
            </w:r>
          </w:p>
        </w:tc>
        <w:tc>
          <w:tcPr>
            <w:tcW w:w="2627" w:type="dxa"/>
            <w:shd w:val="clear" w:color="auto" w:fill="auto"/>
            <w:vAlign w:val="center"/>
            <w:hideMark/>
          </w:tcPr>
          <w:p w:rsidRPr="00AE1B2B" w:rsidR="009D3FB5" w:rsidP="00163B94" w:rsidRDefault="009D3FB5" w14:paraId="0F6A0A1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1658-PLA-EV-2020</w:t>
            </w:r>
          </w:p>
        </w:tc>
        <w:tc>
          <w:tcPr>
            <w:tcW w:w="2508" w:type="dxa"/>
            <w:shd w:val="clear" w:color="auto" w:fill="auto"/>
            <w:vAlign w:val="center"/>
            <w:hideMark/>
          </w:tcPr>
          <w:p w:rsidRPr="00AE1B2B" w:rsidR="009D3FB5" w:rsidP="00163B94" w:rsidRDefault="009D3FB5" w14:paraId="7211C48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1988-PLA-EV-2020</w:t>
            </w:r>
          </w:p>
        </w:tc>
        <w:tc>
          <w:tcPr>
            <w:tcW w:w="2541" w:type="dxa"/>
            <w:shd w:val="clear" w:color="auto" w:fill="auto"/>
            <w:vAlign w:val="center"/>
            <w:hideMark/>
          </w:tcPr>
          <w:p w:rsidRPr="00AE1B2B" w:rsidR="009D3FB5" w:rsidP="00163B94" w:rsidRDefault="009D3FB5" w14:paraId="2EAD8DB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120-2020, del 17-12-20, Art LXVII</w:t>
            </w:r>
          </w:p>
        </w:tc>
      </w:tr>
      <w:tr w:rsidRPr="00AE1B2B" w:rsidR="00AE1B2B" w:rsidTr="009D3FB5" w14:paraId="63AB1A13" w14:textId="77777777">
        <w:trPr>
          <w:trHeight w:val="300"/>
        </w:trPr>
        <w:tc>
          <w:tcPr>
            <w:tcW w:w="3119" w:type="dxa"/>
            <w:shd w:val="clear" w:color="auto" w:fill="auto"/>
            <w:vAlign w:val="center"/>
            <w:hideMark/>
          </w:tcPr>
          <w:p w:rsidRPr="00AE1B2B" w:rsidR="009D3FB5" w:rsidP="00163B94" w:rsidRDefault="009D3FB5" w14:paraId="141B819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de Bribri </w:t>
            </w:r>
          </w:p>
        </w:tc>
        <w:tc>
          <w:tcPr>
            <w:tcW w:w="2627" w:type="dxa"/>
            <w:shd w:val="clear" w:color="auto" w:fill="auto"/>
            <w:vAlign w:val="center"/>
            <w:hideMark/>
          </w:tcPr>
          <w:p w:rsidRPr="00AE1B2B" w:rsidR="009D3FB5" w:rsidP="00163B94" w:rsidRDefault="009D3FB5" w14:paraId="7E46F62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1746-PLA-MI-2020</w:t>
            </w:r>
          </w:p>
        </w:tc>
        <w:tc>
          <w:tcPr>
            <w:tcW w:w="2508" w:type="dxa"/>
            <w:shd w:val="clear" w:color="auto" w:fill="auto"/>
            <w:vAlign w:val="center"/>
            <w:hideMark/>
          </w:tcPr>
          <w:p w:rsidRPr="00AE1B2B" w:rsidR="009D3FB5" w:rsidP="00163B94" w:rsidRDefault="009D3FB5" w14:paraId="035D81B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1985-PLA-EV-2020</w:t>
            </w:r>
          </w:p>
        </w:tc>
        <w:tc>
          <w:tcPr>
            <w:tcW w:w="2541" w:type="dxa"/>
            <w:shd w:val="clear" w:color="auto" w:fill="auto"/>
            <w:vAlign w:val="center"/>
            <w:hideMark/>
          </w:tcPr>
          <w:p w:rsidRPr="00AE1B2B" w:rsidR="009D3FB5" w:rsidP="00163B94" w:rsidRDefault="009D3FB5" w14:paraId="354643F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120-2020, del 17-12-20, Art LXXI</w:t>
            </w:r>
          </w:p>
        </w:tc>
      </w:tr>
      <w:tr w:rsidRPr="00AE1B2B" w:rsidR="00AE1B2B" w:rsidTr="009D3FB5" w14:paraId="2D505E99" w14:textId="77777777">
        <w:trPr>
          <w:trHeight w:val="300"/>
        </w:trPr>
        <w:tc>
          <w:tcPr>
            <w:tcW w:w="3119" w:type="dxa"/>
            <w:shd w:val="clear" w:color="auto" w:fill="auto"/>
            <w:vAlign w:val="center"/>
            <w:hideMark/>
          </w:tcPr>
          <w:p w:rsidRPr="00AE1B2B" w:rsidR="009D3FB5" w:rsidP="00163B94" w:rsidRDefault="009D3FB5" w14:paraId="36142A9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de Matina </w:t>
            </w:r>
          </w:p>
        </w:tc>
        <w:tc>
          <w:tcPr>
            <w:tcW w:w="2627" w:type="dxa"/>
            <w:shd w:val="clear" w:color="auto" w:fill="auto"/>
            <w:vAlign w:val="center"/>
            <w:hideMark/>
          </w:tcPr>
          <w:p w:rsidRPr="00AE1B2B" w:rsidR="009D3FB5" w:rsidP="00163B94" w:rsidRDefault="009D3FB5" w14:paraId="3EB2949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1751-PLA-MI-2020</w:t>
            </w:r>
          </w:p>
        </w:tc>
        <w:tc>
          <w:tcPr>
            <w:tcW w:w="2508" w:type="dxa"/>
            <w:shd w:val="clear" w:color="auto" w:fill="auto"/>
            <w:vAlign w:val="center"/>
            <w:hideMark/>
          </w:tcPr>
          <w:p w:rsidRPr="00AE1B2B" w:rsidR="009D3FB5" w:rsidP="00163B94" w:rsidRDefault="009D3FB5" w14:paraId="63FBEF8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En Proceso</w:t>
            </w:r>
          </w:p>
        </w:tc>
        <w:tc>
          <w:tcPr>
            <w:tcW w:w="2541" w:type="dxa"/>
            <w:shd w:val="clear" w:color="auto" w:fill="auto"/>
            <w:vAlign w:val="center"/>
            <w:hideMark/>
          </w:tcPr>
          <w:p w:rsidRPr="00AE1B2B" w:rsidR="009D3FB5" w:rsidP="00163B94" w:rsidRDefault="009D3FB5" w14:paraId="5320D32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r w:rsidRPr="00AE1B2B" w:rsidR="00AE1B2B" w:rsidTr="009D3FB5" w14:paraId="57ADCC6C" w14:textId="77777777">
        <w:trPr>
          <w:trHeight w:val="567"/>
        </w:trPr>
        <w:tc>
          <w:tcPr>
            <w:tcW w:w="3119" w:type="dxa"/>
            <w:shd w:val="clear" w:color="auto" w:fill="auto"/>
            <w:vAlign w:val="center"/>
            <w:hideMark/>
          </w:tcPr>
          <w:p w:rsidRPr="00AE1B2B" w:rsidR="009D3FB5" w:rsidP="00163B94" w:rsidRDefault="009D3FB5" w14:paraId="7F49E39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lastRenderedPageBreak/>
              <w:t>Juzgado Contravencional de Guácimo</w:t>
            </w:r>
          </w:p>
        </w:tc>
        <w:tc>
          <w:tcPr>
            <w:tcW w:w="2627" w:type="dxa"/>
            <w:shd w:val="clear" w:color="auto" w:fill="auto"/>
            <w:vAlign w:val="center"/>
            <w:hideMark/>
          </w:tcPr>
          <w:p w:rsidRPr="00AE1B2B" w:rsidR="009D3FB5" w:rsidP="00163B94" w:rsidRDefault="009D3FB5" w14:paraId="50AD8AD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1656-PLA-EV-2020</w:t>
            </w:r>
          </w:p>
        </w:tc>
        <w:tc>
          <w:tcPr>
            <w:tcW w:w="2508" w:type="dxa"/>
            <w:shd w:val="clear" w:color="auto" w:fill="auto"/>
            <w:vAlign w:val="center"/>
            <w:hideMark/>
          </w:tcPr>
          <w:p w:rsidRPr="00AE1B2B" w:rsidR="009D3FB5" w:rsidP="00163B94" w:rsidRDefault="009D3FB5" w14:paraId="2CB4831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1866-PLA-EV-2020</w:t>
            </w:r>
          </w:p>
        </w:tc>
        <w:tc>
          <w:tcPr>
            <w:tcW w:w="2541" w:type="dxa"/>
            <w:shd w:val="clear" w:color="auto" w:fill="auto"/>
            <w:vAlign w:val="center"/>
            <w:hideMark/>
          </w:tcPr>
          <w:p w:rsidRPr="00AE1B2B" w:rsidR="009D3FB5" w:rsidP="00163B94" w:rsidRDefault="009D3FB5" w14:paraId="2415140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119-2020, del 15-12-2020, Art. XLVIII</w:t>
            </w:r>
          </w:p>
        </w:tc>
      </w:tr>
      <w:tr w:rsidRPr="00AE1B2B" w:rsidR="00AE1B2B" w:rsidTr="009D3FB5" w14:paraId="7C696D20" w14:textId="77777777">
        <w:trPr>
          <w:trHeight w:val="567"/>
        </w:trPr>
        <w:tc>
          <w:tcPr>
            <w:tcW w:w="3119" w:type="dxa"/>
            <w:shd w:val="clear" w:color="auto" w:fill="auto"/>
            <w:vAlign w:val="center"/>
            <w:hideMark/>
          </w:tcPr>
          <w:p w:rsidRPr="00AE1B2B" w:rsidR="009D3FB5" w:rsidP="00163B94" w:rsidRDefault="009D3FB5" w14:paraId="4188257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Contravencional de San Isidro </w:t>
            </w:r>
          </w:p>
        </w:tc>
        <w:tc>
          <w:tcPr>
            <w:tcW w:w="2627" w:type="dxa"/>
            <w:shd w:val="clear" w:color="auto" w:fill="auto"/>
            <w:vAlign w:val="center"/>
            <w:hideMark/>
          </w:tcPr>
          <w:p w:rsidRPr="00AE1B2B" w:rsidR="009D3FB5" w:rsidP="00163B94" w:rsidRDefault="009D3FB5" w14:paraId="1F117AE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1839-PLA-EV-2020</w:t>
            </w:r>
          </w:p>
        </w:tc>
        <w:tc>
          <w:tcPr>
            <w:tcW w:w="2508" w:type="dxa"/>
            <w:shd w:val="clear" w:color="auto" w:fill="auto"/>
            <w:vAlign w:val="center"/>
            <w:hideMark/>
          </w:tcPr>
          <w:p w:rsidRPr="00AE1B2B" w:rsidR="009D3FB5" w:rsidP="00163B94" w:rsidRDefault="009D3FB5" w14:paraId="7CA5C13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58-PLA-EV-2021 </w:t>
            </w:r>
          </w:p>
        </w:tc>
        <w:tc>
          <w:tcPr>
            <w:tcW w:w="2541" w:type="dxa"/>
            <w:shd w:val="clear" w:color="auto" w:fill="auto"/>
            <w:vAlign w:val="center"/>
            <w:hideMark/>
          </w:tcPr>
          <w:p w:rsidRPr="00AE1B2B" w:rsidR="009D3FB5" w:rsidP="00163B94" w:rsidRDefault="009D3FB5" w14:paraId="7DF35DF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10-2021 del 4-2-2021, artículo XLIV</w:t>
            </w:r>
          </w:p>
        </w:tc>
      </w:tr>
      <w:tr w:rsidRPr="00AE1B2B" w:rsidR="00AE1B2B" w:rsidTr="009D3FB5" w14:paraId="18946993" w14:textId="77777777">
        <w:trPr>
          <w:trHeight w:val="689"/>
        </w:trPr>
        <w:tc>
          <w:tcPr>
            <w:tcW w:w="3119" w:type="dxa"/>
            <w:shd w:val="clear" w:color="auto" w:fill="auto"/>
            <w:vAlign w:val="center"/>
            <w:hideMark/>
          </w:tcPr>
          <w:p w:rsidRPr="00AE1B2B" w:rsidR="009D3FB5" w:rsidP="00163B94" w:rsidRDefault="009D3FB5" w14:paraId="738C6A1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de Pensiones Alimentarias de Sarapiquí</w:t>
            </w:r>
          </w:p>
        </w:tc>
        <w:tc>
          <w:tcPr>
            <w:tcW w:w="2627" w:type="dxa"/>
            <w:shd w:val="clear" w:color="auto" w:fill="auto"/>
            <w:vAlign w:val="center"/>
            <w:hideMark/>
          </w:tcPr>
          <w:p w:rsidRPr="00AE1B2B" w:rsidR="009D3FB5" w:rsidP="00163B94" w:rsidRDefault="009D3FB5" w14:paraId="6CCE21B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1756-PLA-MI-2020</w:t>
            </w:r>
          </w:p>
        </w:tc>
        <w:tc>
          <w:tcPr>
            <w:tcW w:w="2508" w:type="dxa"/>
            <w:shd w:val="clear" w:color="auto" w:fill="auto"/>
            <w:vAlign w:val="center"/>
            <w:hideMark/>
          </w:tcPr>
          <w:p w:rsidRPr="00AE1B2B" w:rsidR="009D3FB5" w:rsidP="00163B94" w:rsidRDefault="009D3FB5" w14:paraId="3AF00F9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63-PLA-EV-2021</w:t>
            </w:r>
          </w:p>
        </w:tc>
        <w:tc>
          <w:tcPr>
            <w:tcW w:w="2541" w:type="dxa"/>
            <w:shd w:val="clear" w:color="auto" w:fill="auto"/>
            <w:vAlign w:val="center"/>
            <w:hideMark/>
          </w:tcPr>
          <w:p w:rsidRPr="00AE1B2B" w:rsidR="009D3FB5" w:rsidP="00163B94" w:rsidRDefault="009D3FB5" w14:paraId="26940BC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10-2021 del 4-2-2021, artículo LVI</w:t>
            </w:r>
          </w:p>
        </w:tc>
      </w:tr>
      <w:tr w:rsidRPr="00AE1B2B" w:rsidR="00AE1B2B" w:rsidTr="009D3FB5" w14:paraId="4A40AC58" w14:textId="77777777">
        <w:trPr>
          <w:trHeight w:val="555"/>
        </w:trPr>
        <w:tc>
          <w:tcPr>
            <w:tcW w:w="3119" w:type="dxa"/>
            <w:shd w:val="clear" w:color="auto" w:fill="auto"/>
            <w:vAlign w:val="center"/>
            <w:hideMark/>
          </w:tcPr>
          <w:p w:rsidRPr="00AE1B2B" w:rsidR="009D3FB5" w:rsidP="00163B94" w:rsidRDefault="009D3FB5" w14:paraId="10A2DA3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de Cañas</w:t>
            </w:r>
          </w:p>
        </w:tc>
        <w:tc>
          <w:tcPr>
            <w:tcW w:w="2627" w:type="dxa"/>
            <w:shd w:val="clear" w:color="auto" w:fill="auto"/>
            <w:vAlign w:val="center"/>
            <w:hideMark/>
          </w:tcPr>
          <w:p w:rsidRPr="00AE1B2B" w:rsidR="009D3FB5" w:rsidP="00163B94" w:rsidRDefault="009D3FB5" w14:paraId="5299163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1806-PLA-EV-2020</w:t>
            </w:r>
          </w:p>
        </w:tc>
        <w:tc>
          <w:tcPr>
            <w:tcW w:w="2508" w:type="dxa"/>
            <w:shd w:val="clear" w:color="auto" w:fill="auto"/>
            <w:vAlign w:val="center"/>
            <w:hideMark/>
          </w:tcPr>
          <w:p w:rsidRPr="00AE1B2B" w:rsidR="009D3FB5" w:rsidP="00163B94" w:rsidRDefault="009D3FB5" w14:paraId="55F701D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70-PLA-EV-2021</w:t>
            </w:r>
          </w:p>
        </w:tc>
        <w:tc>
          <w:tcPr>
            <w:tcW w:w="2541" w:type="dxa"/>
            <w:shd w:val="clear" w:color="auto" w:fill="auto"/>
            <w:vAlign w:val="center"/>
            <w:hideMark/>
          </w:tcPr>
          <w:p w:rsidRPr="00AE1B2B" w:rsidR="009D3FB5" w:rsidP="00163B94" w:rsidRDefault="009D3FB5" w14:paraId="000E939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Sesión 10-2021 del 4-2-2021, artículo XLIII</w:t>
            </w:r>
          </w:p>
        </w:tc>
      </w:tr>
      <w:tr w:rsidRPr="00AE1B2B" w:rsidR="00AE1B2B" w:rsidTr="009D3FB5" w14:paraId="55FE8E4F" w14:textId="77777777">
        <w:trPr>
          <w:trHeight w:val="432"/>
        </w:trPr>
        <w:tc>
          <w:tcPr>
            <w:tcW w:w="3119" w:type="dxa"/>
            <w:shd w:val="clear" w:color="auto" w:fill="auto"/>
            <w:vAlign w:val="center"/>
            <w:hideMark/>
          </w:tcPr>
          <w:p w:rsidRPr="00AE1B2B" w:rsidR="009D3FB5" w:rsidP="00163B94" w:rsidRDefault="009D3FB5" w14:paraId="2E20976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y Violencia Doméstica La Unión (PISAV)</w:t>
            </w:r>
          </w:p>
        </w:tc>
        <w:tc>
          <w:tcPr>
            <w:tcW w:w="2627" w:type="dxa"/>
            <w:shd w:val="clear" w:color="auto" w:fill="auto"/>
            <w:vAlign w:val="center"/>
            <w:hideMark/>
          </w:tcPr>
          <w:p w:rsidRPr="00AE1B2B" w:rsidR="009D3FB5" w:rsidP="00163B94" w:rsidRDefault="009D3FB5" w14:paraId="335DB71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1741-PLA-EV-2020</w:t>
            </w:r>
          </w:p>
        </w:tc>
        <w:tc>
          <w:tcPr>
            <w:tcW w:w="2508" w:type="dxa"/>
            <w:shd w:val="clear" w:color="auto" w:fill="auto"/>
            <w:vAlign w:val="center"/>
            <w:hideMark/>
          </w:tcPr>
          <w:p w:rsidRPr="00AE1B2B" w:rsidR="009D3FB5" w:rsidP="00163B94" w:rsidRDefault="009D3FB5" w14:paraId="2D46CC2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En Proceso</w:t>
            </w:r>
          </w:p>
        </w:tc>
        <w:tc>
          <w:tcPr>
            <w:tcW w:w="2541" w:type="dxa"/>
            <w:shd w:val="clear" w:color="auto" w:fill="auto"/>
            <w:vAlign w:val="center"/>
            <w:hideMark/>
          </w:tcPr>
          <w:p w:rsidRPr="00AE1B2B" w:rsidR="009D3FB5" w:rsidP="00163B94" w:rsidRDefault="009D3FB5" w14:paraId="1013786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w:t>
            </w:r>
          </w:p>
        </w:tc>
      </w:tr>
    </w:tbl>
    <w:p w:rsidRPr="00AE1B2B" w:rsidR="009D3FB5" w:rsidP="00163B94" w:rsidRDefault="009D3FB5" w14:paraId="21A661D0" w14:textId="77777777">
      <w:pPr>
        <w:spacing w:before="120" w:after="120"/>
        <w:ind w:left="851" w:right="851" w:firstLine="709"/>
        <w:jc w:val="both"/>
        <w:rPr>
          <w:rFonts w:ascii="Times New Roman" w:hAnsi="Times New Roman" w:cs="Times New Roman"/>
          <w:i/>
          <w:iCs/>
          <w:sz w:val="26"/>
          <w:szCs w:val="26"/>
          <w:lang w:val="es-ES_tradnl"/>
        </w:rPr>
      </w:pPr>
      <w:r w:rsidRPr="00AE1B2B">
        <w:rPr>
          <w:rFonts w:ascii="Times New Roman" w:hAnsi="Times New Roman" w:cs="Times New Roman"/>
          <w:i/>
          <w:iCs/>
          <w:sz w:val="26"/>
          <w:szCs w:val="26"/>
          <w:lang w:val="es-ES_tradnl"/>
        </w:rPr>
        <w:t>Fuente: Subproceso de Modernización Institucional de la Dirección de Planificación</w:t>
      </w:r>
    </w:p>
    <w:p w:rsidRPr="00AE1B2B" w:rsidR="009D3FB5" w:rsidP="00163B94" w:rsidRDefault="009D3FB5" w14:paraId="07033EBC" w14:textId="77777777">
      <w:pPr>
        <w:spacing w:before="120" w:after="120"/>
        <w:ind w:left="851" w:right="851" w:firstLine="709"/>
        <w:jc w:val="both"/>
        <w:rPr>
          <w:rFonts w:ascii="Times New Roman" w:hAnsi="Times New Roman" w:cs="Times New Roman"/>
          <w:sz w:val="26"/>
          <w:szCs w:val="26"/>
          <w:lang w:val="es-ES_tradnl"/>
        </w:rPr>
      </w:pPr>
    </w:p>
    <w:p w:rsidRPr="00AE1B2B" w:rsidR="009D3FB5" w:rsidP="00163B94" w:rsidRDefault="003979DE" w14:paraId="228A616E" w14:textId="045BB1B3">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8.5 </w:t>
      </w:r>
      <w:r w:rsidRPr="00AE1B2B" w:rsidR="009D3FB5">
        <w:rPr>
          <w:rFonts w:ascii="Times New Roman" w:hAnsi="Times New Roman" w:cs="Times New Roman"/>
          <w:sz w:val="26"/>
          <w:szCs w:val="26"/>
        </w:rPr>
        <w:t xml:space="preserve">Coordinación con otras Instancias </w:t>
      </w:r>
    </w:p>
    <w:p w:rsidRPr="00AE1B2B" w:rsidR="009D3FB5" w:rsidP="00163B94" w:rsidRDefault="009D3FB5" w14:paraId="31C8761B" w14:textId="77777777">
      <w:pPr>
        <w:spacing w:before="120" w:after="120"/>
        <w:ind w:left="851" w:right="851" w:firstLine="709"/>
        <w:jc w:val="both"/>
        <w:rPr>
          <w:rFonts w:ascii="Times New Roman" w:hAnsi="Times New Roman" w:cs="Times New Roman"/>
          <w:sz w:val="26"/>
          <w:szCs w:val="26"/>
          <w:lang w:val="es-ES_tradnl"/>
        </w:rPr>
      </w:pPr>
    </w:p>
    <w:p w:rsidRPr="00AE1B2B" w:rsidR="009D3FB5" w:rsidP="00163B94" w:rsidRDefault="009D3FB5" w14:paraId="7267A5AC" w14:textId="77777777">
      <w:pPr>
        <w:pStyle w:val="Fuentes"/>
        <w:spacing w:before="120" w:after="120" w:line="240" w:lineRule="auto"/>
        <w:ind w:left="851" w:right="851" w:firstLine="709"/>
        <w:rPr>
          <w:rFonts w:ascii="Times New Roman" w:hAnsi="Times New Roman" w:cs="Times New Roman"/>
          <w:sz w:val="26"/>
          <w:szCs w:val="26"/>
        </w:rPr>
      </w:pPr>
    </w:p>
    <w:p w:rsidRPr="00AE1B2B" w:rsidR="009D3FB5" w:rsidP="00163B94" w:rsidRDefault="003979DE" w14:paraId="0D4BBCB6" w14:textId="26CE7C92">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8.6 </w:t>
      </w:r>
      <w:r w:rsidRPr="00AE1B2B" w:rsidR="009D3FB5">
        <w:rPr>
          <w:rFonts w:ascii="Times New Roman" w:hAnsi="Times New Roman" w:cs="Times New Roman"/>
          <w:sz w:val="26"/>
          <w:szCs w:val="26"/>
        </w:rPr>
        <w:t>Sistemas Informáticos</w:t>
      </w:r>
    </w:p>
    <w:p w:rsidRPr="00AE1B2B" w:rsidR="009D3FB5" w:rsidP="00163B94" w:rsidRDefault="009D3FB5" w14:paraId="2D93441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5A82C7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todos los Juzgados competentes en Pensiones Alimentarias están implementados los siguientes sistemas:</w:t>
      </w:r>
    </w:p>
    <w:p w:rsidRPr="00AE1B2B" w:rsidR="009D3FB5" w:rsidP="00163B94" w:rsidRDefault="009D3FB5" w14:paraId="1FBF236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2BE1385"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Sistema de Gestión en Línea </w:t>
      </w:r>
    </w:p>
    <w:p w:rsidRPr="00AE1B2B" w:rsidR="009D3FB5" w:rsidP="00163B94" w:rsidRDefault="009D3FB5" w14:paraId="50FF7469"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Escritorio Virtual con la totalidad de las mejoras que competan a la materia incluyendo la mejora de pase a fallo y de reparto automático.</w:t>
      </w:r>
    </w:p>
    <w:p w:rsidRPr="00AE1B2B" w:rsidR="009D3FB5" w:rsidP="00163B94" w:rsidRDefault="009D3FB5" w14:paraId="7321C898"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Gestión de Despachos Judiciales</w:t>
      </w:r>
    </w:p>
    <w:p w:rsidRPr="00AE1B2B" w:rsidR="009D3FB5" w:rsidP="00163B94" w:rsidRDefault="009D3FB5" w14:paraId="72196800"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Itineraciones</w:t>
      </w:r>
    </w:p>
    <w:p w:rsidRPr="00AE1B2B" w:rsidR="009D3FB5" w:rsidP="00163B94" w:rsidRDefault="009D3FB5" w14:paraId="53B7C0B5"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Depósitos Judiciales</w:t>
      </w:r>
    </w:p>
    <w:p w:rsidRPr="00AE1B2B" w:rsidR="009D3FB5" w:rsidP="00163B94" w:rsidRDefault="009D3FB5" w14:paraId="4B68D192"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Rol de Peritos</w:t>
      </w:r>
    </w:p>
    <w:p w:rsidRPr="00AE1B2B" w:rsidR="009D3FB5" w:rsidP="00163B94" w:rsidRDefault="009D3FB5" w14:paraId="0F3CA482"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Electrónico de Mandamientos</w:t>
      </w:r>
    </w:p>
    <w:p w:rsidRPr="00AE1B2B" w:rsidR="009D3FB5" w:rsidP="00163B94" w:rsidRDefault="009D3FB5" w14:paraId="247FDA3B"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Obligados Alimentarios y Penal-PA</w:t>
      </w:r>
    </w:p>
    <w:p w:rsidRPr="00AE1B2B" w:rsidR="009D3FB5" w:rsidP="00163B94" w:rsidRDefault="009D3FB5" w14:paraId="57E3DC74"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Sistema de Obligados Alimentarios y Penal-ME </w:t>
      </w:r>
    </w:p>
    <w:p w:rsidRPr="00AE1B2B" w:rsidR="009D3FB5" w:rsidP="00163B94" w:rsidRDefault="009D3FB5" w14:paraId="5B8D31DE"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Agenda Cronos</w:t>
      </w:r>
    </w:p>
    <w:p w:rsidRPr="00AE1B2B" w:rsidR="009D3FB5" w:rsidP="00163B94" w:rsidRDefault="009D3FB5" w14:paraId="52BF08C9" w14:textId="77777777">
      <w:pPr>
        <w:pStyle w:val="Prrafodelista"/>
        <w:numPr>
          <w:ilvl w:val="0"/>
          <w:numId w:val="6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 de envíos archivo FTP (edictos)</w:t>
      </w:r>
    </w:p>
    <w:p w:rsidRPr="00AE1B2B" w:rsidR="009D3FB5" w:rsidP="00163B94" w:rsidRDefault="009D3FB5" w14:paraId="05C0D98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2657644" w14:textId="77777777">
      <w:pPr>
        <w:spacing w:before="120" w:after="120"/>
        <w:ind w:left="851" w:right="851" w:firstLine="709"/>
        <w:jc w:val="both"/>
        <w:rPr>
          <w:rFonts w:ascii="Times New Roman" w:hAnsi="Times New Roman" w:cs="Times New Roman"/>
          <w:sz w:val="26"/>
          <w:szCs w:val="26"/>
          <w:highlight w:val="yellow"/>
        </w:rPr>
      </w:pPr>
      <w:r w:rsidRPr="00AE1B2B">
        <w:rPr>
          <w:rFonts w:ascii="Times New Roman" w:hAnsi="Times New Roman" w:cs="Times New Roman"/>
          <w:sz w:val="26"/>
          <w:szCs w:val="26"/>
        </w:rPr>
        <w:lastRenderedPageBreak/>
        <w:t xml:space="preserve">Al finalizar 2020 todos Juzgados que atienden la materia de Pensiones cuentan con los sistemas debidamente implementados por parte de la Dirección de Tecnología de la Información. La información se certificó como entregable dentro del Proyecto de implementación del CPF, </w:t>
      </w:r>
      <w:r w:rsidRPr="00AE1B2B">
        <w:rPr>
          <w:rFonts w:ascii="Times New Roman" w:hAnsi="Times New Roman" w:cs="Times New Roman"/>
          <w:b/>
          <w:bCs/>
          <w:i/>
          <w:iCs/>
          <w:sz w:val="26"/>
          <w:szCs w:val="26"/>
        </w:rPr>
        <w:t>anexo 9.</w:t>
      </w:r>
    </w:p>
    <w:p w:rsidRPr="00AE1B2B" w:rsidR="009D3FB5" w:rsidP="00163B94" w:rsidRDefault="009D3FB5" w14:paraId="1976FC5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3979DE" w14:paraId="04BACC08" w14:textId="6A33E48E">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8.7 </w:t>
      </w:r>
      <w:r w:rsidRPr="00AE1B2B" w:rsidR="009D3FB5">
        <w:rPr>
          <w:rFonts w:ascii="Times New Roman" w:hAnsi="Times New Roman" w:cs="Times New Roman"/>
          <w:sz w:val="26"/>
          <w:szCs w:val="26"/>
        </w:rPr>
        <w:t xml:space="preserve">Libros de Control </w:t>
      </w:r>
    </w:p>
    <w:p w:rsidRPr="00AE1B2B" w:rsidR="009D3FB5" w:rsidP="00163B94" w:rsidRDefault="009D3FB5" w14:paraId="0D31F42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Juzgados de Pensiones Alimentarias deberán llevar como mínimo los siguientes libros de control:</w:t>
      </w:r>
    </w:p>
    <w:p w:rsidRPr="00AE1B2B" w:rsidR="009D3FB5" w:rsidP="00163B94" w:rsidRDefault="009D3FB5" w14:paraId="507013D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6B62E97" w14:textId="77777777">
      <w:pPr>
        <w:pStyle w:val="Prrafodelista"/>
        <w:numPr>
          <w:ilvl w:val="0"/>
          <w:numId w:val="6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Libro de pase a fallo y utilización módulo de pase a fallo en el Escritorio Virtual</w:t>
      </w:r>
    </w:p>
    <w:p w:rsidRPr="00AE1B2B" w:rsidR="009D3FB5" w:rsidP="00163B94" w:rsidRDefault="009D3FB5" w14:paraId="462650FD" w14:textId="77777777">
      <w:pPr>
        <w:pStyle w:val="Prrafodelista"/>
        <w:numPr>
          <w:ilvl w:val="0"/>
          <w:numId w:val="6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Libro de juramentaciones</w:t>
      </w:r>
    </w:p>
    <w:p w:rsidRPr="00AE1B2B" w:rsidR="009D3FB5" w:rsidP="00163B94" w:rsidRDefault="009D3FB5" w14:paraId="46FDD6BF" w14:textId="77777777">
      <w:pPr>
        <w:pStyle w:val="Prrafodelista"/>
        <w:numPr>
          <w:ilvl w:val="0"/>
          <w:numId w:val="6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Libro de remisión de recursos al Juzgado de Familia </w:t>
      </w:r>
    </w:p>
    <w:p w:rsidRPr="00AE1B2B" w:rsidR="009D3FB5" w:rsidP="00163B94" w:rsidRDefault="009D3FB5" w14:paraId="1324394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FB51A3F" w14:textId="77777777">
      <w:pPr>
        <w:pStyle w:val="xmsonormal"/>
        <w:spacing w:before="120" w:after="120"/>
        <w:ind w:left="851" w:right="851" w:firstLine="709"/>
        <w:jc w:val="both"/>
        <w:rPr>
          <w:sz w:val="26"/>
          <w:szCs w:val="26"/>
        </w:rPr>
      </w:pPr>
      <w:r w:rsidRPr="00AE1B2B">
        <w:rPr>
          <w:sz w:val="26"/>
          <w:szCs w:val="26"/>
        </w:rPr>
        <w:t xml:space="preserve">De conformidad con la circular 223-2020 </w:t>
      </w:r>
      <w:r w:rsidRPr="00AE1B2B">
        <w:rPr>
          <w:i/>
          <w:iCs/>
          <w:sz w:val="26"/>
          <w:szCs w:val="26"/>
        </w:rPr>
        <w:t>“</w:t>
      </w:r>
      <w:r w:rsidRPr="00AE1B2B">
        <w:rPr>
          <w:i/>
          <w:iCs/>
          <w:sz w:val="26"/>
          <w:szCs w:val="26"/>
          <w:shd w:val="clear" w:color="auto" w:fill="FFFFFF"/>
        </w:rPr>
        <w:t>Obligación de uso del libro de pase a fallo y de reparto automático de asuntos en materias de Familia y Pensiones Alimentarias</w:t>
      </w:r>
      <w:r w:rsidRPr="00AE1B2B">
        <w:rPr>
          <w:i/>
          <w:iCs/>
          <w:sz w:val="26"/>
          <w:szCs w:val="26"/>
        </w:rPr>
        <w:t xml:space="preserve">” </w:t>
      </w:r>
      <w:r w:rsidRPr="00AE1B2B">
        <w:rPr>
          <w:sz w:val="26"/>
          <w:szCs w:val="26"/>
        </w:rPr>
        <w:t>comunicada el 7 de octubre de 2020, todas las oficinas competentes en materia de Familia y Pensiones Alimentarias deben hacer uso del módulo de pase a fallo en Escritorio Virtual. Para ello fueron configuradas por parte de la Dirección de Tecnología de la Información las tareas y plazos definidos con el Juez Gestor en la materia y validadas por la Comisión de Familia, Niñez y Adolescencia; y también se brindó la respectiva capacitación a las oficinas en el uso de la herramienta por parte de DTI (oficio 2374-DTI-2020).</w:t>
      </w:r>
    </w:p>
    <w:p w:rsidRPr="00AE1B2B" w:rsidR="009D3FB5" w:rsidP="00163B94" w:rsidRDefault="009D3FB5" w14:paraId="11BCE677" w14:textId="73BDF69C">
      <w:pPr>
        <w:pStyle w:val="xmsonormal"/>
        <w:spacing w:before="120" w:after="120"/>
        <w:ind w:left="851" w:right="851" w:firstLine="709"/>
        <w:jc w:val="both"/>
        <w:rPr>
          <w:sz w:val="26"/>
          <w:szCs w:val="26"/>
        </w:rPr>
      </w:pPr>
      <w:r w:rsidRPr="00AE1B2B">
        <w:rPr>
          <w:sz w:val="26"/>
          <w:szCs w:val="26"/>
        </w:rPr>
        <w:t>Adicionalmente, de conformidad con lo acordado por el Consejo Superior en sesión 97-2020 celebrada el 08 de octubre del 2020, artículo LI, las oficinas de Familia y Pensiones a nivel nacional deben llevar tanto el libro de pase a fallo “</w:t>
      </w:r>
      <w:r w:rsidRPr="00AE1B2B">
        <w:rPr>
          <w:i/>
          <w:iCs/>
          <w:sz w:val="26"/>
          <w:szCs w:val="26"/>
        </w:rPr>
        <w:t>Excel</w:t>
      </w:r>
      <w:r w:rsidRPr="00AE1B2B">
        <w:rPr>
          <w:sz w:val="26"/>
          <w:szCs w:val="26"/>
        </w:rPr>
        <w:t>” como el registro en el módulo de Escritorio Virtual de forma paralela por al menos 6 meses, así como el correspondiente registro que se obtiene de SIGMA.</w:t>
      </w:r>
      <w:r w:rsidRPr="00AE1B2B" w:rsidR="00BB7720">
        <w:rPr>
          <w:sz w:val="26"/>
          <w:szCs w:val="26"/>
        </w:rPr>
        <w:t xml:space="preserve"> </w:t>
      </w:r>
    </w:p>
    <w:p w:rsidRPr="00AE1B2B" w:rsidR="009D3FB5" w:rsidP="00163B94" w:rsidRDefault="009D3FB5" w14:paraId="16E21536" w14:textId="77777777">
      <w:pPr>
        <w:pStyle w:val="xmsonormal"/>
        <w:spacing w:before="120" w:after="120"/>
        <w:ind w:left="851" w:right="851" w:firstLine="709"/>
        <w:jc w:val="both"/>
        <w:rPr>
          <w:i/>
          <w:iCs/>
          <w:sz w:val="26"/>
          <w:szCs w:val="26"/>
        </w:rPr>
      </w:pPr>
    </w:p>
    <w:p w:rsidRPr="00AE1B2B" w:rsidR="009D3FB5" w:rsidP="00163B94" w:rsidRDefault="009D3FB5" w14:paraId="7A547202" w14:textId="041C23B6">
      <w:pPr>
        <w:spacing w:before="120" w:after="120"/>
        <w:ind w:left="851" w:right="851" w:firstLine="709"/>
        <w:jc w:val="both"/>
        <w:rPr>
          <w:rFonts w:ascii="Times New Roman" w:hAnsi="Times New Roman" w:cs="Times New Roman"/>
          <w:i/>
          <w:iCs/>
          <w:sz w:val="26"/>
          <w:szCs w:val="26"/>
          <w:lang w:val="es-419"/>
        </w:rPr>
      </w:pPr>
      <w:r w:rsidRPr="00AE1B2B">
        <w:rPr>
          <w:rFonts w:ascii="Times New Roman" w:hAnsi="Times New Roman" w:cs="Times New Roman"/>
          <w:b/>
          <w:i/>
          <w:iCs/>
          <w:sz w:val="26"/>
          <w:szCs w:val="26"/>
          <w:lang w:val="es-419"/>
        </w:rPr>
        <w:t xml:space="preserve">Se acordó: 1.) </w:t>
      </w:r>
      <w:r w:rsidRPr="00AE1B2B">
        <w:rPr>
          <w:rFonts w:ascii="Times New Roman" w:hAnsi="Times New Roman" w:cs="Times New Roman"/>
          <w:i/>
          <w:iCs/>
          <w:sz w:val="26"/>
          <w:szCs w:val="26"/>
          <w:lang w:val="es-419"/>
        </w:rPr>
        <w:t xml:space="preserve">Acoger en todos sus extremos el oficio N° 1534-PLA-EV-2020, así como el informe de la Contraloría General de la República N° DFOE-PG-0098 (2683)-2020, sobre el oficio DFOE-PG-IF-00002-2020 “Informe de Auditoría Operativa sobre la gestión del Poder Judicial en cuanto a la oportunidad de la </w:t>
      </w:r>
      <w:r w:rsidRPr="00AE1B2B">
        <w:rPr>
          <w:rFonts w:ascii="Times New Roman" w:hAnsi="Times New Roman" w:cs="Times New Roman"/>
          <w:i/>
          <w:iCs/>
          <w:sz w:val="26"/>
          <w:szCs w:val="26"/>
          <w:lang w:val="es-419"/>
        </w:rPr>
        <w:lastRenderedPageBreak/>
        <w:t>prestación del servicio público de administración de la justicia de los juzgados de Familia y de Pensiones alimentarias</w:t>
      </w:r>
      <w:r w:rsidRPr="00AE1B2B">
        <w:rPr>
          <w:rFonts w:ascii="Times New Roman" w:hAnsi="Times New Roman" w:cs="Times New Roman"/>
          <w:b/>
          <w:i/>
          <w:iCs/>
          <w:sz w:val="26"/>
          <w:szCs w:val="26"/>
          <w:lang w:val="es-419"/>
        </w:rPr>
        <w:t>. 2.)</w:t>
      </w:r>
      <w:r w:rsidRPr="00AE1B2B">
        <w:rPr>
          <w:rFonts w:ascii="Times New Roman" w:hAnsi="Times New Roman" w:cs="Times New Roman"/>
          <w:i/>
          <w:iCs/>
          <w:sz w:val="26"/>
          <w:szCs w:val="26"/>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en lo que respecta </w:t>
      </w:r>
      <w:r w:rsidRPr="00AE1B2B">
        <w:rPr>
          <w:rFonts w:ascii="Times New Roman" w:hAnsi="Times New Roman" w:cs="Times New Roman"/>
          <w:b/>
          <w:i/>
          <w:iCs/>
          <w:sz w:val="26"/>
          <w:szCs w:val="26"/>
          <w:u w:val="single"/>
          <w:lang w:val="es-419"/>
        </w:rPr>
        <w:t>al diseño y establecimiento formal de la herramienta de “pase a fallo”.</w:t>
      </w:r>
      <w:r w:rsidRPr="00AE1B2B">
        <w:rPr>
          <w:rFonts w:ascii="Times New Roman" w:hAnsi="Times New Roman" w:cs="Times New Roman"/>
          <w:b/>
          <w:i/>
          <w:iCs/>
          <w:sz w:val="26"/>
          <w:szCs w:val="26"/>
          <w:lang w:val="es-419"/>
        </w:rPr>
        <w:t xml:space="preserve"> 3.) </w:t>
      </w:r>
      <w:r w:rsidRPr="00AE1B2B">
        <w:rPr>
          <w:rFonts w:ascii="Times New Roman" w:hAnsi="Times New Roman" w:cs="Times New Roman"/>
          <w:i/>
          <w:iCs/>
          <w:sz w:val="26"/>
          <w:szCs w:val="26"/>
          <w:lang w:val="es-419"/>
        </w:rPr>
        <w:t>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w:t>
      </w:r>
      <w:r w:rsidRPr="00AE1B2B" w:rsidR="00BB7720">
        <w:rPr>
          <w:rFonts w:ascii="Times New Roman" w:hAnsi="Times New Roman" w:cs="Times New Roman"/>
          <w:i/>
          <w:iCs/>
          <w:sz w:val="26"/>
          <w:szCs w:val="26"/>
          <w:lang w:val="es-419"/>
        </w:rPr>
        <w:t xml:space="preserve"> </w:t>
      </w:r>
      <w:r w:rsidRPr="00AE1B2B">
        <w:rPr>
          <w:rFonts w:ascii="Times New Roman" w:hAnsi="Times New Roman" w:cs="Times New Roman"/>
          <w:i/>
          <w:iCs/>
          <w:sz w:val="26"/>
          <w:szCs w:val="26"/>
          <w:lang w:val="es-419"/>
        </w:rPr>
        <w:t>Las oficinas remitirán adicionalmente el control del libro en Excel, el cual servirá de respaldo para validar que el registro es el mismo en ambos controles. Esto fungirá como un control paralelo para determinar el uso de la herramienta automatizada. 4.) El Subproceso de Estadística de la Dirección de Planificación, remitirá posteriormente los contactos electrónicos a donde remitir la información, validada por el Juez o Jueza coordinadora del despacho judicial. 5.) El Subproceso de Estadística de la Dirección de Planificación, informará el resultado de ese seguimiento al Consejo Superior y a la Comisión de Familia para lo que corresponda. 6.) Hacer este acuerdo de conocimiento del Despacho de la Presidencia para que comunique a la Contraloría General de la República lo que corresponda.</w:t>
      </w:r>
    </w:p>
    <w:p w:rsidRPr="00AE1B2B" w:rsidR="009D3FB5" w:rsidP="00163B94" w:rsidRDefault="009D3FB5" w14:paraId="14A6BC2D" w14:textId="77777777">
      <w:pPr>
        <w:spacing w:before="120" w:after="120"/>
        <w:ind w:left="851" w:right="851" w:firstLine="709"/>
        <w:jc w:val="both"/>
        <w:rPr>
          <w:rFonts w:ascii="Times New Roman" w:hAnsi="Times New Roman" w:cs="Times New Roman"/>
          <w:i/>
          <w:iCs/>
          <w:sz w:val="26"/>
          <w:szCs w:val="26"/>
          <w:lang w:val="es-419"/>
        </w:rPr>
      </w:pPr>
    </w:p>
    <w:p w:rsidRPr="00AE1B2B" w:rsidR="009D3FB5" w:rsidP="00163B94" w:rsidRDefault="009D3FB5" w14:paraId="5B8DD127" w14:textId="77777777">
      <w:pPr>
        <w:spacing w:before="120" w:after="120"/>
        <w:ind w:left="851" w:right="851" w:firstLine="709"/>
        <w:jc w:val="both"/>
        <w:rPr>
          <w:rFonts w:ascii="Times New Roman" w:hAnsi="Times New Roman" w:cs="Times New Roman"/>
          <w:i/>
          <w:iCs/>
          <w:sz w:val="26"/>
          <w:szCs w:val="26"/>
          <w:lang w:val="es-419"/>
        </w:rPr>
      </w:pPr>
      <w:r w:rsidRPr="00AE1B2B">
        <w:rPr>
          <w:rFonts w:ascii="Times New Roman" w:hAnsi="Times New Roman" w:cs="Times New Roman"/>
          <w:i/>
          <w:iCs/>
          <w:sz w:val="26"/>
          <w:szCs w:val="26"/>
          <w:lang w:val="es-419"/>
        </w:rPr>
        <w:t>La Comisión de la Jurisdicción de Familia y la Dirección de Planificación, tomarán nota para lo que corresponda. Se declara acuerdo firme.”</w:t>
      </w:r>
    </w:p>
    <w:p w:rsidRPr="00AE1B2B" w:rsidR="009D3FB5" w:rsidP="00163B94" w:rsidRDefault="00BB7720" w14:paraId="6A9DB7F5" w14:textId="06B29031">
      <w:pPr>
        <w:spacing w:before="120" w:after="120"/>
        <w:ind w:left="851" w:right="851" w:firstLine="709"/>
        <w:jc w:val="both"/>
        <w:rPr>
          <w:rFonts w:ascii="Times New Roman" w:hAnsi="Times New Roman" w:cs="Times New Roman"/>
          <w:sz w:val="26"/>
          <w:szCs w:val="26"/>
          <w:lang w:val="es-419"/>
        </w:rPr>
      </w:pPr>
      <w:r w:rsidRPr="00AE1B2B">
        <w:rPr>
          <w:rFonts w:ascii="Times New Roman" w:hAnsi="Times New Roman" w:cs="Times New Roman"/>
          <w:sz w:val="26"/>
          <w:szCs w:val="26"/>
          <w:lang w:val="es-419"/>
        </w:rPr>
        <w:t xml:space="preserve"> </w:t>
      </w:r>
    </w:p>
    <w:p w:rsidRPr="00AE1B2B" w:rsidR="009D3FB5" w:rsidP="00163B94" w:rsidRDefault="009D3FB5" w14:paraId="3FA71655" w14:textId="7439454B">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Respecto a reporte en SIGMA del módulo de pase a fallo se emitió también la circular externa 4-2021 donde se les solicita a las oficinas hacer uso del reporte, certificar al Subproceso de Estadística de la Dirección de Planificación que la información es consistente con el registro en Excel.</w:t>
      </w:r>
      <w:r w:rsidRPr="00AE1B2B" w:rsidR="00BB7720">
        <w:rPr>
          <w:rFonts w:ascii="Times New Roman" w:hAnsi="Times New Roman" w:cs="Times New Roman"/>
          <w:sz w:val="26"/>
          <w:szCs w:val="26"/>
        </w:rPr>
        <w:t xml:space="preserve"> </w:t>
      </w:r>
    </w:p>
    <w:p w:rsidRPr="00AE1B2B" w:rsidR="009D3FB5" w:rsidP="00163B94" w:rsidRDefault="009D3FB5" w14:paraId="08109D0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aclara que para que la información que se visualice correctamente en el reporte en SIGMA debe hacerse el registro adecuado por parte de las oficinas.</w:t>
      </w:r>
    </w:p>
    <w:p w:rsidRPr="00AE1B2B" w:rsidR="009D3FB5" w:rsidP="00163B94" w:rsidRDefault="009D3FB5" w14:paraId="00653A2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675133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De forma adicional se emitió el oficio 45-PLA-MI-2021 con un explicativo para las oficinas sobre el uso de la herramienta.</w:t>
      </w:r>
    </w:p>
    <w:p w:rsidRPr="00AE1B2B" w:rsidR="009D3FB5" w:rsidP="00163B94" w:rsidRDefault="00BB7720" w14:paraId="146EA9B5" w14:textId="1074FD02">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9D3FB5" w14:paraId="7471314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57BAD2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4ADCA70" w14:textId="77777777">
      <w:pPr>
        <w:autoSpaceDE w:val="0"/>
        <w:autoSpaceDN w:val="0"/>
        <w:adjustRightInd w:val="0"/>
        <w:spacing w:before="120" w:after="120"/>
        <w:ind w:left="851" w:right="851" w:firstLine="709"/>
        <w:jc w:val="both"/>
        <w:rPr>
          <w:rFonts w:ascii="Times New Roman" w:hAnsi="Times New Roman" w:cs="Times New Roman"/>
          <w:sz w:val="26"/>
          <w:szCs w:val="26"/>
        </w:rPr>
      </w:pPr>
    </w:p>
    <w:p w:rsidRPr="00AE1B2B" w:rsidR="009D3FB5" w:rsidP="00163B94" w:rsidRDefault="003979DE" w14:paraId="7A3C29C3" w14:textId="538B6EC9">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8.8 </w:t>
      </w:r>
      <w:r w:rsidRPr="00AE1B2B" w:rsidR="009D3FB5">
        <w:rPr>
          <w:rFonts w:ascii="Times New Roman" w:hAnsi="Times New Roman" w:cs="Times New Roman"/>
          <w:sz w:val="26"/>
          <w:szCs w:val="26"/>
        </w:rPr>
        <w:t>Modelo de Sostenibilidad y Seguimiento de los proyectos de rediseño de oficinas en materia de Pensiones Alimentarias</w:t>
      </w:r>
    </w:p>
    <w:p w:rsidRPr="00AE1B2B" w:rsidR="009D3FB5" w:rsidP="00163B94" w:rsidRDefault="009D3FB5" w14:paraId="711B207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8B8599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establecimiento de cuotas de trabajo a las personas juzgadoras y técnicas judiciales así como la implementación del Modelo de Sostenibilidad y Rediseño de despachos rediseñados institucional en los despachos de Familia, permitieron que a diciembre 2020, la totalidad de los despachos competentes en materia de Familia en primera instancia, cuenten con el Modelo implementado donde interactúan los equipos de mejora de los despachos, la Administración Regional, el Consejo de Administración, la Dirección de Planificación y el Centro de Apoyo, Coordinación y Mejoramiento de la Función Jurisdiccional.</w:t>
      </w:r>
    </w:p>
    <w:p w:rsidRPr="00AE1B2B" w:rsidR="009D3FB5" w:rsidP="00163B94" w:rsidRDefault="009D3FB5" w14:paraId="13525EF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A11BA1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acuerdo del Consejo Superior en sesión 82-2020 celebrada el 20 de agosto del 2020, artículo XLI donde acoge en todos sus extremos el informe 1213-PLA-EV-2020, donde se reiteran las responsabilidades de las personas juzgadoras coordinadoras de oficinas y del Consejo de Administración como participantes de este modelo. </w:t>
      </w:r>
    </w:p>
    <w:p w:rsidRPr="00AE1B2B" w:rsidR="009D3FB5" w:rsidP="00163B94" w:rsidRDefault="009D3FB5" w14:paraId="751BE89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AB65DC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138068A"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“5.3.</w:t>
      </w:r>
      <w:r w:rsidRPr="00AE1B2B">
        <w:rPr>
          <w:rFonts w:ascii="Times New Roman" w:hAnsi="Times New Roman" w:cs="Times New Roman"/>
          <w:i/>
          <w:iCs/>
          <w:sz w:val="26"/>
          <w:szCs w:val="26"/>
        </w:rPr>
        <w:tab/>
      </w:r>
      <w:r w:rsidRPr="00AE1B2B">
        <w:rPr>
          <w:rFonts w:ascii="Times New Roman" w:hAnsi="Times New Roman" w:cs="Times New Roman"/>
          <w:i/>
          <w:iCs/>
          <w:sz w:val="26"/>
          <w:szCs w:val="26"/>
        </w:rPr>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rsidRPr="00AE1B2B" w:rsidR="009D3FB5" w:rsidP="00163B94" w:rsidRDefault="009D3FB5" w14:paraId="6D5FA9E8"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0A0617F4"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5.4.</w:t>
      </w:r>
      <w:r w:rsidRPr="00AE1B2B">
        <w:rPr>
          <w:rFonts w:ascii="Times New Roman" w:hAnsi="Times New Roman" w:cs="Times New Roman"/>
          <w:i/>
          <w:iCs/>
          <w:sz w:val="26"/>
          <w:szCs w:val="26"/>
        </w:rPr>
        <w:tab/>
      </w:r>
      <w:r w:rsidRPr="00AE1B2B">
        <w:rPr>
          <w:rFonts w:ascii="Times New Roman" w:hAnsi="Times New Roman" w:cs="Times New Roman"/>
          <w:i/>
          <w:iCs/>
          <w:sz w:val="26"/>
          <w:szCs w:val="26"/>
        </w:rPr>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p>
    <w:p w:rsidRPr="00AE1B2B" w:rsidR="009D3FB5" w:rsidP="00163B94" w:rsidRDefault="009D3FB5" w14:paraId="26D1AA0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475C0B0" w14:textId="69B669F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Cada Juzgado cuenta con su equipo de mejora conformado y además cuenta con la matriz de indicadores que se les diseño y para lo cual fueron capacitados por la Dirección de Planificación sobre la forma de completar esa matriz.</w:t>
      </w:r>
      <w:r w:rsidRPr="00AE1B2B" w:rsidR="00BB7720">
        <w:rPr>
          <w:rFonts w:ascii="Times New Roman" w:hAnsi="Times New Roman" w:cs="Times New Roman"/>
          <w:sz w:val="26"/>
          <w:szCs w:val="26"/>
        </w:rPr>
        <w:t xml:space="preserve"> </w:t>
      </w:r>
    </w:p>
    <w:p w:rsidRPr="00AE1B2B" w:rsidR="009D3FB5" w:rsidP="00163B94" w:rsidRDefault="009D3FB5" w14:paraId="446E057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BD484CA" w14:textId="6B62EC4E">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 anterior, también como parte de un proceso de retroalimentación en atención de la recomendación 4.7 de informe</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DFOE-PG-0098 (2683)-2020, relacionado con el informe DFOE-PG-IF-00002-2020 “</w:t>
      </w:r>
      <w:r w:rsidRPr="00AE1B2B">
        <w:rPr>
          <w:rFonts w:ascii="Times New Roman" w:hAnsi="Times New Roman" w:cs="Times New Roman"/>
          <w:i/>
          <w:iCs/>
          <w:sz w:val="26"/>
          <w:szCs w:val="26"/>
        </w:rPr>
        <w:t xml:space="preserve">Informe de Auditoría Operativa sobre la gestión del Poder Judicial en cuanto a la oportunidad de la prestación del servicio público de administración de la justicia de los juzgados de Familia y de Pensiones alimentarias” </w:t>
      </w:r>
      <w:r w:rsidRPr="00AE1B2B">
        <w:rPr>
          <w:rFonts w:ascii="Times New Roman" w:hAnsi="Times New Roman" w:cs="Times New Roman"/>
          <w:sz w:val="26"/>
          <w:szCs w:val="26"/>
        </w:rPr>
        <w:t>y donde el Consejo Superior aprueba el oficio 2058-PLA-EV-2020 en sesión 2-2021 celebrada el 07 de enero del 2021, artículo XXXIX y dispuso:</w:t>
      </w:r>
    </w:p>
    <w:p w:rsidRPr="00AE1B2B" w:rsidR="009D3FB5" w:rsidP="00163B94" w:rsidRDefault="009D3FB5" w14:paraId="32F71C11"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4CFC741E" w14:textId="77777777">
      <w:pPr>
        <w:pStyle w:val="xmsonormal"/>
        <w:spacing w:before="120" w:after="120"/>
        <w:ind w:left="851" w:right="851" w:firstLine="709"/>
        <w:jc w:val="both"/>
        <w:rPr>
          <w:i/>
          <w:iCs/>
          <w:sz w:val="26"/>
          <w:szCs w:val="26"/>
        </w:rPr>
      </w:pPr>
      <w:r w:rsidRPr="00AE1B2B">
        <w:rPr>
          <w:i/>
          <w:iCs/>
          <w:sz w:val="26"/>
          <w:szCs w:val="26"/>
        </w:rPr>
        <w:t>“</w:t>
      </w:r>
      <w:r w:rsidRPr="00AE1B2B">
        <w:rPr>
          <w:b/>
          <w:bCs/>
          <w:i/>
          <w:iCs/>
          <w:sz w:val="26"/>
          <w:szCs w:val="26"/>
        </w:rPr>
        <w:t xml:space="preserve">Se acordó: 1.) </w:t>
      </w:r>
      <w:r w:rsidRPr="00AE1B2B">
        <w:rPr>
          <w:i/>
          <w:iCs/>
          <w:sz w:val="26"/>
          <w:szCs w:val="26"/>
        </w:rPr>
        <w:t xml:space="preserve">Tener por rendido el informe N° 2058-PLA-EV-2020 de 18 de diciembre de 2020, suscrito por el licenciado Erick Antonio Mora Leiva, Jefe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AE1B2B">
        <w:rPr>
          <w:b/>
          <w:bCs/>
          <w:i/>
          <w:iCs/>
          <w:sz w:val="26"/>
          <w:szCs w:val="26"/>
        </w:rPr>
        <w:t xml:space="preserve">2.) </w:t>
      </w:r>
      <w:r w:rsidRPr="00AE1B2B">
        <w:rPr>
          <w:i/>
          <w:iCs/>
          <w:sz w:val="26"/>
          <w:szCs w:val="26"/>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w:t>
      </w:r>
      <w:r w:rsidRPr="00AE1B2B">
        <w:rPr>
          <w:i/>
          <w:iCs/>
          <w:sz w:val="26"/>
          <w:szCs w:val="26"/>
        </w:rPr>
        <w:lastRenderedPageBreak/>
        <w:t xml:space="preserve">a nivel nacional, cuyas responsabilidades fueron reiteradas a cada uno de los responsables mediante circulares N° 193-2020 y 194-2020. </w:t>
      </w:r>
      <w:r w:rsidRPr="00AE1B2B">
        <w:rPr>
          <w:b/>
          <w:bCs/>
          <w:i/>
          <w:iCs/>
          <w:sz w:val="26"/>
          <w:szCs w:val="26"/>
        </w:rPr>
        <w:t>3.)</w:t>
      </w:r>
      <w:r w:rsidRPr="00AE1B2B">
        <w:rPr>
          <w:i/>
          <w:iCs/>
          <w:sz w:val="26"/>
          <w:szCs w:val="26"/>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AE1B2B">
        <w:rPr>
          <w:b/>
          <w:bCs/>
          <w:i/>
          <w:iCs/>
          <w:sz w:val="26"/>
          <w:szCs w:val="26"/>
        </w:rPr>
        <w:t xml:space="preserve">4.) </w:t>
      </w:r>
      <w:r w:rsidRPr="00AE1B2B">
        <w:rPr>
          <w:i/>
          <w:iCs/>
          <w:sz w:val="26"/>
          <w:szCs w:val="26"/>
        </w:rPr>
        <w:t>Comisionar a la Secretaría General de la Corte para que tramite la remisión del contenido completo del informe N° 2058-PLA-EV-2020 de 18 de diciembre de 2020, a la Contraloría General de la República.</w:t>
      </w:r>
    </w:p>
    <w:p w:rsidRPr="00AE1B2B" w:rsidR="009D3FB5" w:rsidP="00163B94" w:rsidRDefault="009D3FB5" w14:paraId="0BFF88BB" w14:textId="77777777">
      <w:pPr>
        <w:pStyle w:val="xmsonormal"/>
        <w:spacing w:before="120" w:after="120"/>
        <w:ind w:left="851" w:right="851" w:firstLine="709"/>
        <w:jc w:val="both"/>
        <w:rPr>
          <w:i/>
          <w:iCs/>
          <w:sz w:val="26"/>
          <w:szCs w:val="26"/>
        </w:rPr>
      </w:pPr>
      <w:r w:rsidRPr="00AE1B2B">
        <w:rPr>
          <w:i/>
          <w:iCs/>
          <w:sz w:val="26"/>
          <w:szCs w:val="26"/>
          <w:lang w:val="es-ES"/>
        </w:rPr>
        <w:t> </w:t>
      </w:r>
    </w:p>
    <w:p w:rsidRPr="00AE1B2B" w:rsidR="009D3FB5" w:rsidP="00163B94" w:rsidRDefault="009D3FB5" w14:paraId="652D1BA3" w14:textId="77777777">
      <w:pPr>
        <w:pStyle w:val="xmsonormal"/>
        <w:spacing w:before="120" w:after="120"/>
        <w:ind w:left="851" w:right="851" w:firstLine="709"/>
        <w:jc w:val="both"/>
        <w:rPr>
          <w:i/>
          <w:iCs/>
          <w:sz w:val="26"/>
          <w:szCs w:val="26"/>
        </w:rPr>
      </w:pPr>
      <w:r w:rsidRPr="00AE1B2B">
        <w:rPr>
          <w:i/>
          <w:iCs/>
          <w:sz w:val="26"/>
          <w:szCs w:val="26"/>
        </w:rPr>
        <w:t xml:space="preserve">La Dirección de Planificación tomará nota para los fines consiguientes. </w:t>
      </w:r>
      <w:r w:rsidRPr="00AE1B2B">
        <w:rPr>
          <w:b/>
          <w:bCs/>
          <w:i/>
          <w:iCs/>
          <w:sz w:val="26"/>
          <w:szCs w:val="26"/>
        </w:rPr>
        <w:t>Se declara acuerdo firme.</w:t>
      </w:r>
      <w:r w:rsidRPr="00AE1B2B">
        <w:rPr>
          <w:i/>
          <w:iCs/>
          <w:sz w:val="26"/>
          <w:szCs w:val="26"/>
          <w:lang w:val="es-ES"/>
        </w:rPr>
        <w:t>”</w:t>
      </w:r>
    </w:p>
    <w:p w:rsidRPr="00AE1B2B" w:rsidR="009D3FB5" w:rsidP="00163B94" w:rsidRDefault="009D3FB5" w14:paraId="0E8A34C7" w14:textId="77777777">
      <w:pPr>
        <w:pStyle w:val="xmsonormal"/>
        <w:spacing w:before="120" w:after="120"/>
        <w:ind w:left="851" w:right="851" w:firstLine="709"/>
        <w:jc w:val="both"/>
        <w:rPr>
          <w:sz w:val="26"/>
          <w:szCs w:val="26"/>
        </w:rPr>
      </w:pPr>
      <w:r w:rsidRPr="00AE1B2B">
        <w:rPr>
          <w:sz w:val="26"/>
          <w:szCs w:val="26"/>
          <w:lang w:val="es-ES"/>
        </w:rPr>
        <w:t> </w:t>
      </w:r>
    </w:p>
    <w:p w:rsidRPr="00AE1B2B" w:rsidR="009D3FB5" w:rsidP="00163B94" w:rsidRDefault="009D3FB5" w14:paraId="671773B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Adicionalmente el Consejo Superior acuerda en sesión 82-2020 celebrada el 20 de agosto del 2020, artículo XLI emitir las circulares 193-2020 </w:t>
      </w:r>
      <w:r w:rsidRPr="00AE1B2B">
        <w:rPr>
          <w:rFonts w:ascii="Times New Roman" w:hAnsi="Times New Roman" w:cs="Times New Roman"/>
          <w:i/>
          <w:iCs/>
          <w:sz w:val="26"/>
          <w:szCs w:val="26"/>
        </w:rPr>
        <w:t>“Responsabilidades asociadas al Modelo de Sostenibilidad y Seguimientos de los proyectos de rediseño de oficinas”</w:t>
      </w:r>
      <w:r w:rsidRPr="00AE1B2B">
        <w:rPr>
          <w:rFonts w:ascii="Times New Roman" w:hAnsi="Times New Roman" w:cs="Times New Roman"/>
          <w:sz w:val="26"/>
          <w:szCs w:val="26"/>
        </w:rPr>
        <w:t xml:space="preserve"> y 194-2020 </w:t>
      </w:r>
      <w:r w:rsidRPr="00AE1B2B">
        <w:rPr>
          <w:rFonts w:ascii="Times New Roman" w:hAnsi="Times New Roman" w:cs="Times New Roman"/>
          <w:i/>
          <w:iCs/>
          <w:sz w:val="26"/>
          <w:szCs w:val="26"/>
        </w:rPr>
        <w:t xml:space="preserve">“Responsabilidades en el cumplimiento de las labores y el rendimiento de todos los servidores del despacho y el régimen disciplinario” </w:t>
      </w:r>
      <w:r w:rsidRPr="00AE1B2B">
        <w:rPr>
          <w:rFonts w:ascii="Times New Roman" w:hAnsi="Times New Roman" w:cs="Times New Roman"/>
          <w:sz w:val="26"/>
          <w:szCs w:val="26"/>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AE1B2B">
        <w:rPr>
          <w:rFonts w:ascii="Times New Roman" w:hAnsi="Times New Roman" w:cs="Times New Roman"/>
          <w:i/>
          <w:iCs/>
          <w:sz w:val="26"/>
          <w:szCs w:val="26"/>
        </w:rPr>
        <w:t>“Informe de Auditoría Operativa sobre la gestión del Poder Judicial en cuanto a la oportunidad de la prestación del servicio público de administración de la justicia de los juzgados de Familia y de Pensiones alimentarias”.</w:t>
      </w:r>
    </w:p>
    <w:p w:rsidRPr="00AE1B2B" w:rsidR="009D3FB5" w:rsidP="00163B94" w:rsidRDefault="009D3FB5" w14:paraId="09BFCB0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DDD0D0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448DF6A" w14:textId="77777777">
      <w:pPr>
        <w:spacing w:before="120" w:after="120"/>
        <w:ind w:left="851" w:right="851" w:firstLine="709"/>
        <w:jc w:val="both"/>
        <w:rPr>
          <w:rFonts w:ascii="Times New Roman" w:hAnsi="Times New Roman" w:cs="Times New Roman"/>
          <w:snapToGrid w:val="0"/>
          <w:sz w:val="26"/>
          <w:szCs w:val="26"/>
        </w:rPr>
      </w:pPr>
      <w:r w:rsidRPr="00AE1B2B">
        <w:rPr>
          <w:rFonts w:ascii="Times New Roman" w:hAnsi="Times New Roman" w:cs="Times New Roman"/>
          <w:sz w:val="26"/>
          <w:szCs w:val="26"/>
        </w:rPr>
        <w:t>Indicadores de Gestión</w:t>
      </w:r>
      <w:r w:rsidRPr="00AE1B2B">
        <w:rPr>
          <w:rFonts w:ascii="Times New Roman" w:hAnsi="Times New Roman" w:cs="Times New Roman"/>
          <w:snapToGrid w:val="0"/>
          <w:sz w:val="26"/>
          <w:szCs w:val="26"/>
        </w:rPr>
        <w:t xml:space="preserve"> en Despachos Rediseñados</w:t>
      </w:r>
    </w:p>
    <w:p w:rsidRPr="00AE1B2B" w:rsidR="009D3FB5" w:rsidP="00163B94" w:rsidRDefault="009D3FB5" w14:paraId="3AAFCF9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diseño de la matriz de indicadores de gestión para los despachos competentes en materia de Pensiones Alimentarias se categoriza de la siguiente manera: </w:t>
      </w:r>
    </w:p>
    <w:p w:rsidRPr="00AE1B2B" w:rsidR="009D3FB5" w:rsidP="00163B94" w:rsidRDefault="009D3FB5" w14:paraId="05BC4EF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42D410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Rendimiento estadístico del despacho: en términos generales consisten en detallar una serie de variables estadísticas destinadas a </w:t>
      </w:r>
      <w:r w:rsidRPr="00AE1B2B">
        <w:rPr>
          <w:rFonts w:ascii="Times New Roman" w:hAnsi="Times New Roman" w:cs="Times New Roman"/>
          <w:sz w:val="26"/>
          <w:szCs w:val="26"/>
        </w:rPr>
        <w:lastRenderedPageBreak/>
        <w:t xml:space="preserve">calificar de manera general el movimiento de trabajo del despacho (entradas, salidas, circulante, etc.). </w:t>
      </w:r>
    </w:p>
    <w:p w:rsidRPr="00AE1B2B" w:rsidR="009D3FB5" w:rsidP="00163B94" w:rsidRDefault="009D3FB5" w14:paraId="77247C56"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4DC2E46E"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Plazos: valoran cierta cantidad de actividades de acuerdo principalmente a la duración a lo interno del Despacho (dictado de sentencias, resolver demandas nuevas, resolver escritos, entre otros). </w:t>
      </w:r>
    </w:p>
    <w:p w:rsidRPr="00AE1B2B" w:rsidR="009D3FB5" w:rsidP="00163B94" w:rsidRDefault="009D3FB5" w14:paraId="48C22D19"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5C48E974"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rsidRPr="00AE1B2B" w:rsidR="009D3FB5" w:rsidP="00163B94" w:rsidRDefault="009D3FB5" w14:paraId="7430EB04"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13B4FD87"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matriz fue aprobada por el Consejo Superior en sesión 10, del 4 de febrero, artículo XL, oficio 47-PLA-EV-2021.</w:t>
      </w:r>
    </w:p>
    <w:p w:rsidRPr="00AE1B2B" w:rsidR="009D3FB5" w:rsidP="00163B94" w:rsidRDefault="009D3FB5" w14:paraId="216EEE4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7B8B3AD"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58</w:t>
      </w:r>
      <w:r w:rsidRPr="00AE1B2B">
        <w:rPr>
          <w:rFonts w:ascii="Times New Roman" w:hAnsi="Times New Roman" w:cs="Times New Roman"/>
          <w:sz w:val="26"/>
          <w:szCs w:val="26"/>
        </w:rPr>
        <w:fldChar w:fldCharType="end"/>
      </w:r>
    </w:p>
    <w:p w:rsidRPr="00AE1B2B" w:rsidR="009D3FB5" w:rsidP="00163B94" w:rsidRDefault="009D3FB5" w14:paraId="43D1B410"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Matriz de Indicadores de los Juzgados Especializados en Pensiones Alimentarias, 2021</w:t>
      </w:r>
    </w:p>
    <w:tbl>
      <w:tblPr>
        <w:tblW w:w="462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768"/>
        <w:gridCol w:w="704"/>
        <w:gridCol w:w="1714"/>
        <w:gridCol w:w="4982"/>
      </w:tblGrid>
      <w:tr w:rsidRPr="00AE1B2B" w:rsidR="00AE1B2B" w:rsidTr="009D3FB5" w14:paraId="7EA73F03" w14:textId="77777777">
        <w:trPr>
          <w:cantSplit/>
          <w:trHeight w:val="386"/>
          <w:tblHeader/>
          <w:jc w:val="center"/>
        </w:trPr>
        <w:tc>
          <w:tcPr>
            <w:tcW w:w="470" w:type="pct"/>
            <w:shd w:val="clear" w:color="auto" w:fill="002060"/>
          </w:tcPr>
          <w:p w:rsidRPr="00AE1B2B" w:rsidR="009D3FB5" w:rsidP="00163B94" w:rsidRDefault="009D3FB5" w14:paraId="5EF596D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Categ</w:t>
            </w:r>
          </w:p>
        </w:tc>
        <w:tc>
          <w:tcPr>
            <w:tcW w:w="431" w:type="pct"/>
            <w:shd w:val="clear" w:color="auto" w:fill="002060"/>
            <w:noWrap/>
            <w:vAlign w:val="center"/>
            <w:hideMark/>
          </w:tcPr>
          <w:p w:rsidRPr="00AE1B2B" w:rsidR="009D3FB5" w:rsidP="00163B94" w:rsidRDefault="009D3FB5" w14:paraId="0EA88575"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N°</w:t>
            </w:r>
          </w:p>
        </w:tc>
        <w:tc>
          <w:tcPr>
            <w:tcW w:w="1049" w:type="pct"/>
            <w:shd w:val="clear" w:color="auto" w:fill="002060"/>
            <w:noWrap/>
            <w:vAlign w:val="center"/>
            <w:hideMark/>
          </w:tcPr>
          <w:p w:rsidRPr="00AE1B2B" w:rsidR="009D3FB5" w:rsidP="00163B94" w:rsidRDefault="009D3FB5" w14:paraId="72149AB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Indicadores</w:t>
            </w:r>
          </w:p>
        </w:tc>
        <w:tc>
          <w:tcPr>
            <w:tcW w:w="3050" w:type="pct"/>
            <w:shd w:val="clear" w:color="auto" w:fill="002060"/>
            <w:noWrap/>
            <w:vAlign w:val="center"/>
            <w:hideMark/>
          </w:tcPr>
          <w:p w:rsidRPr="00AE1B2B" w:rsidR="009D3FB5" w:rsidP="00163B94" w:rsidRDefault="009D3FB5" w14:paraId="1B7F533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Detalle</w:t>
            </w:r>
          </w:p>
        </w:tc>
      </w:tr>
      <w:tr w:rsidRPr="00AE1B2B" w:rsidR="00AE1B2B" w:rsidTr="009D3FB5" w14:paraId="54F78BA4" w14:textId="77777777">
        <w:trPr>
          <w:cantSplit/>
          <w:trHeight w:val="1134"/>
          <w:jc w:val="center"/>
        </w:trPr>
        <w:tc>
          <w:tcPr>
            <w:tcW w:w="470" w:type="pct"/>
            <w:vMerge w:val="restart"/>
            <w:shd w:val="clear" w:color="auto" w:fill="FFFFFF" w:themeFill="background1"/>
            <w:textDirection w:val="btLr"/>
          </w:tcPr>
          <w:p w:rsidRPr="00AE1B2B" w:rsidR="009D3FB5" w:rsidP="00163B94" w:rsidRDefault="009D3FB5" w14:paraId="7129497A" w14:textId="77777777">
            <w:pPr>
              <w:spacing w:before="120" w:after="120" w:line="276" w:lineRule="auto"/>
              <w:ind w:left="113" w:right="113"/>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Balance General</w:t>
            </w:r>
          </w:p>
        </w:tc>
        <w:tc>
          <w:tcPr>
            <w:tcW w:w="431" w:type="pct"/>
            <w:shd w:val="clear" w:color="auto" w:fill="FFFFFF" w:themeFill="background1"/>
            <w:vAlign w:val="center"/>
            <w:hideMark/>
          </w:tcPr>
          <w:p w:rsidRPr="00AE1B2B" w:rsidR="009D3FB5" w:rsidP="00163B94" w:rsidRDefault="009D3FB5" w14:paraId="57F4C30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w:t>
            </w:r>
          </w:p>
        </w:tc>
        <w:tc>
          <w:tcPr>
            <w:tcW w:w="1049" w:type="pct"/>
            <w:shd w:val="clear" w:color="auto" w:fill="FFFFFF" w:themeFill="background1"/>
            <w:vAlign w:val="center"/>
            <w:hideMark/>
          </w:tcPr>
          <w:p w:rsidRPr="00AE1B2B" w:rsidR="009D3FB5" w:rsidP="00163B94" w:rsidRDefault="009D3FB5" w14:paraId="63EAF18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Entrada total</w:t>
            </w:r>
          </w:p>
        </w:tc>
        <w:tc>
          <w:tcPr>
            <w:tcW w:w="3050" w:type="pct"/>
            <w:shd w:val="clear" w:color="auto" w:fill="auto"/>
            <w:vAlign w:val="center"/>
            <w:hideMark/>
          </w:tcPr>
          <w:p w:rsidRPr="00AE1B2B" w:rsidR="009D3FB5" w:rsidP="00163B94" w:rsidRDefault="009D3FB5" w14:paraId="4740D043"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Entrada total está conformada por el resultado de la sumatoria de la cantidad de asuntos nuevos ingresados y los casos reentrados en el mes.</w:t>
            </w:r>
          </w:p>
          <w:p w:rsidRPr="00AE1B2B" w:rsidR="009D3FB5" w:rsidP="00163B94" w:rsidRDefault="009D3FB5" w14:paraId="1C827CB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define del promedio del histórico del despacho del informe estadístico mensual de SIGMA.</w:t>
            </w:r>
          </w:p>
        </w:tc>
      </w:tr>
      <w:tr w:rsidRPr="00AE1B2B" w:rsidR="00AE1B2B" w:rsidTr="009D3FB5" w14:paraId="5478E87D" w14:textId="77777777">
        <w:trPr>
          <w:cantSplit/>
          <w:trHeight w:val="20"/>
          <w:jc w:val="center"/>
        </w:trPr>
        <w:tc>
          <w:tcPr>
            <w:tcW w:w="470" w:type="pct"/>
            <w:vMerge/>
            <w:shd w:val="clear" w:color="auto" w:fill="FFFFFF" w:themeFill="background1"/>
          </w:tcPr>
          <w:p w:rsidRPr="00AE1B2B" w:rsidR="009D3FB5" w:rsidP="00163B94" w:rsidRDefault="009D3FB5" w14:paraId="37B4E287"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hideMark/>
          </w:tcPr>
          <w:p w:rsidRPr="00AE1B2B" w:rsidR="009D3FB5" w:rsidP="00163B94" w:rsidRDefault="009D3FB5" w14:paraId="3163279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w:t>
            </w:r>
          </w:p>
        </w:tc>
        <w:tc>
          <w:tcPr>
            <w:tcW w:w="1049" w:type="pct"/>
            <w:shd w:val="clear" w:color="auto" w:fill="FFFFFF" w:themeFill="background1"/>
            <w:vAlign w:val="center"/>
            <w:hideMark/>
          </w:tcPr>
          <w:p w:rsidRPr="00AE1B2B" w:rsidR="009D3FB5" w:rsidP="00163B94" w:rsidRDefault="009D3FB5" w14:paraId="43F3925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Salida</w:t>
            </w:r>
          </w:p>
        </w:tc>
        <w:tc>
          <w:tcPr>
            <w:tcW w:w="3050" w:type="pct"/>
            <w:shd w:val="clear" w:color="auto" w:fill="auto"/>
            <w:vAlign w:val="center"/>
            <w:hideMark/>
          </w:tcPr>
          <w:p w:rsidRPr="00AE1B2B" w:rsidR="009D3FB5" w:rsidP="00163B94" w:rsidRDefault="009D3FB5" w14:paraId="724116EC"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Salida Total</w:t>
            </w:r>
            <w:r w:rsidRPr="00AE1B2B">
              <w:rPr>
                <w:rFonts w:ascii="Times New Roman" w:hAnsi="Times New Roman" w:eastAsia="Calibri" w:cs="Times New Roman"/>
              </w:rPr>
              <w:t xml:space="preserve"> </w:t>
            </w:r>
            <w:r w:rsidRPr="00AE1B2B">
              <w:rPr>
                <w:rFonts w:ascii="Times New Roman" w:hAnsi="Times New Roman" w:eastAsia="Times New Roman" w:cs="Times New Roman"/>
                <w:lang w:eastAsia="es-CR"/>
              </w:rPr>
              <w:t xml:space="preserve">está conformada por el resultado de: </w:t>
            </w:r>
            <w:r w:rsidRPr="00AE1B2B">
              <w:rPr>
                <w:rFonts w:ascii="Times New Roman" w:hAnsi="Times New Roman" w:eastAsia="Times New Roman" w:cs="Times New Roman"/>
                <w:i/>
                <w:iCs/>
                <w:lang w:eastAsia="es-CR"/>
              </w:rPr>
              <w:t>Suma casos terminado + casos inactivos</w:t>
            </w:r>
          </w:p>
          <w:p w:rsidRPr="00AE1B2B" w:rsidR="009D3FB5" w:rsidP="00163B94" w:rsidRDefault="009D3FB5" w14:paraId="4619525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define del promedio del histórico del despacho del informe estadístico mensual de SIGMA.</w:t>
            </w:r>
          </w:p>
        </w:tc>
      </w:tr>
      <w:tr w:rsidRPr="00AE1B2B" w:rsidR="00AE1B2B" w:rsidTr="009D3FB5" w14:paraId="0C9CDD2B" w14:textId="77777777">
        <w:trPr>
          <w:cantSplit/>
          <w:trHeight w:val="20"/>
          <w:jc w:val="center"/>
        </w:trPr>
        <w:tc>
          <w:tcPr>
            <w:tcW w:w="470" w:type="pct"/>
            <w:vMerge/>
            <w:shd w:val="clear" w:color="auto" w:fill="FFFFFF" w:themeFill="background1"/>
          </w:tcPr>
          <w:p w:rsidRPr="00AE1B2B" w:rsidR="009D3FB5" w:rsidP="00163B94" w:rsidRDefault="009D3FB5" w14:paraId="3D7BDA2D"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hideMark/>
          </w:tcPr>
          <w:p w:rsidRPr="00AE1B2B" w:rsidR="009D3FB5" w:rsidP="00163B94" w:rsidRDefault="009D3FB5" w14:paraId="536DD73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w:t>
            </w:r>
          </w:p>
        </w:tc>
        <w:tc>
          <w:tcPr>
            <w:tcW w:w="1049" w:type="pct"/>
            <w:shd w:val="clear" w:color="auto" w:fill="FFFFFF" w:themeFill="background1"/>
            <w:vAlign w:val="center"/>
            <w:hideMark/>
          </w:tcPr>
          <w:p w:rsidRPr="00AE1B2B" w:rsidR="009D3FB5" w:rsidP="00163B94" w:rsidRDefault="009D3FB5" w14:paraId="37E68E9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Circulante del despacho</w:t>
            </w:r>
          </w:p>
        </w:tc>
        <w:tc>
          <w:tcPr>
            <w:tcW w:w="3050" w:type="pct"/>
            <w:shd w:val="clear" w:color="auto" w:fill="auto"/>
            <w:vAlign w:val="center"/>
            <w:hideMark/>
          </w:tcPr>
          <w:p w:rsidRPr="00AE1B2B" w:rsidR="009D3FB5" w:rsidP="00163B94" w:rsidRDefault="009D3FB5" w14:paraId="22F9B58A"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Circulante: </w:t>
            </w:r>
            <w:r w:rsidRPr="00AE1B2B">
              <w:rPr>
                <w:rFonts w:ascii="Times New Roman" w:hAnsi="Times New Roman" w:eastAsia="Times New Roman" w:cs="Times New Roman"/>
                <w:i/>
                <w:iCs/>
                <w:lang w:eastAsia="es-CR"/>
              </w:rPr>
              <w:t>(Circulante Inicial + Entradas + Reentrados – Terminados -Inactivos)</w:t>
            </w:r>
          </w:p>
          <w:p w:rsidRPr="00AE1B2B" w:rsidR="009D3FB5" w:rsidP="00163B94" w:rsidRDefault="009D3FB5" w14:paraId="60B631D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El parámetro se define del circulante del despacho al momento del abordaje al despacho. </w:t>
            </w:r>
          </w:p>
          <w:p w:rsidRPr="00AE1B2B" w:rsidR="009D3FB5" w:rsidP="00163B94" w:rsidRDefault="009D3FB5" w14:paraId="48A2121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indicador se subdivide en circulante en trámite y circulante en ejecución y en etapa pasiva.</w:t>
            </w:r>
          </w:p>
        </w:tc>
      </w:tr>
      <w:tr w:rsidRPr="00AE1B2B" w:rsidR="00AE1B2B" w:rsidTr="009D3FB5" w14:paraId="324901F9" w14:textId="77777777">
        <w:trPr>
          <w:cantSplit/>
          <w:trHeight w:val="20"/>
          <w:jc w:val="center"/>
        </w:trPr>
        <w:tc>
          <w:tcPr>
            <w:tcW w:w="470" w:type="pct"/>
            <w:vMerge/>
          </w:tcPr>
          <w:p w:rsidRPr="00AE1B2B" w:rsidR="009D3FB5" w:rsidP="00163B94" w:rsidRDefault="009D3FB5" w14:paraId="78DD61CE"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auto"/>
            <w:vAlign w:val="center"/>
            <w:hideMark/>
          </w:tcPr>
          <w:p w:rsidRPr="00AE1B2B" w:rsidR="009D3FB5" w:rsidP="00163B94" w:rsidRDefault="009D3FB5" w14:paraId="5FFE1BF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4</w:t>
            </w:r>
          </w:p>
        </w:tc>
        <w:tc>
          <w:tcPr>
            <w:tcW w:w="1049" w:type="pct"/>
            <w:shd w:val="clear" w:color="auto" w:fill="auto"/>
            <w:vAlign w:val="center"/>
            <w:hideMark/>
          </w:tcPr>
          <w:p w:rsidRPr="00AE1B2B" w:rsidR="009D3FB5" w:rsidP="00163B94" w:rsidRDefault="009D3FB5" w14:paraId="32839D9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Relación salida Total / entrada total </w:t>
            </w:r>
          </w:p>
        </w:tc>
        <w:tc>
          <w:tcPr>
            <w:tcW w:w="3050" w:type="pct"/>
            <w:shd w:val="clear" w:color="auto" w:fill="auto"/>
            <w:vAlign w:val="center"/>
            <w:hideMark/>
          </w:tcPr>
          <w:p w:rsidRPr="00AE1B2B" w:rsidR="009D3FB5" w:rsidP="00163B94" w:rsidRDefault="009D3FB5" w14:paraId="7E414893"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Cálculo: </w:t>
            </w:r>
            <w:r w:rsidRPr="00AE1B2B">
              <w:rPr>
                <w:rFonts w:ascii="Times New Roman" w:hAnsi="Times New Roman" w:eastAsia="Times New Roman" w:cs="Times New Roman"/>
                <w:i/>
                <w:iCs/>
                <w:lang w:eastAsia="es-CR"/>
              </w:rPr>
              <w:t>(Salidas/ Entradas) *100</w:t>
            </w:r>
          </w:p>
          <w:p w:rsidRPr="00AE1B2B" w:rsidR="009D3FB5" w:rsidP="00163B94" w:rsidRDefault="009D3FB5" w14:paraId="298A1B6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está definido en 90% a 100%</w:t>
            </w:r>
          </w:p>
        </w:tc>
      </w:tr>
      <w:tr w:rsidRPr="00AE1B2B" w:rsidR="00AE1B2B" w:rsidTr="009D3FB5" w14:paraId="390A37A9" w14:textId="77777777">
        <w:trPr>
          <w:cantSplit/>
          <w:trHeight w:val="20"/>
          <w:jc w:val="center"/>
        </w:trPr>
        <w:tc>
          <w:tcPr>
            <w:tcW w:w="470" w:type="pct"/>
            <w:vMerge w:val="restart"/>
            <w:shd w:val="clear" w:color="auto" w:fill="auto"/>
            <w:textDirection w:val="btLr"/>
          </w:tcPr>
          <w:p w:rsidRPr="00AE1B2B" w:rsidR="009D3FB5" w:rsidP="00163B94" w:rsidRDefault="009D3FB5" w14:paraId="35DD8DF7" w14:textId="77777777">
            <w:pPr>
              <w:spacing w:before="120" w:after="120" w:line="276" w:lineRule="auto"/>
              <w:ind w:left="113" w:right="113"/>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Balance de procesos de modificación</w:t>
            </w:r>
          </w:p>
        </w:tc>
        <w:tc>
          <w:tcPr>
            <w:tcW w:w="431" w:type="pct"/>
            <w:shd w:val="clear" w:color="auto" w:fill="auto"/>
            <w:vAlign w:val="center"/>
            <w:hideMark/>
          </w:tcPr>
          <w:p w:rsidRPr="00AE1B2B" w:rsidR="009D3FB5" w:rsidP="00163B94" w:rsidRDefault="009D3FB5" w14:paraId="0F9C14C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5</w:t>
            </w:r>
          </w:p>
        </w:tc>
        <w:tc>
          <w:tcPr>
            <w:tcW w:w="1049" w:type="pct"/>
            <w:shd w:val="clear" w:color="auto" w:fill="auto"/>
            <w:vAlign w:val="center"/>
            <w:hideMark/>
          </w:tcPr>
          <w:p w:rsidRPr="00AE1B2B" w:rsidR="009D3FB5" w:rsidP="00163B94" w:rsidRDefault="009D3FB5" w14:paraId="71D5B3D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Entrada total de procesos de modificación</w:t>
            </w:r>
          </w:p>
        </w:tc>
        <w:tc>
          <w:tcPr>
            <w:tcW w:w="3050" w:type="pct"/>
            <w:shd w:val="clear" w:color="auto" w:fill="auto"/>
            <w:vAlign w:val="center"/>
            <w:hideMark/>
          </w:tcPr>
          <w:p w:rsidRPr="00AE1B2B" w:rsidR="009D3FB5" w:rsidP="00163B94" w:rsidRDefault="009D3FB5" w14:paraId="2E602222" w14:textId="07355D82">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Indicador contabiliza la cantidad de procesos de modificación durante el mes y los reentrados de este tipo de proceso.</w:t>
            </w:r>
            <w:r w:rsidRPr="00AE1B2B" w:rsidR="00BB7720">
              <w:rPr>
                <w:rFonts w:ascii="Times New Roman" w:hAnsi="Times New Roman" w:eastAsia="Times New Roman" w:cs="Times New Roman"/>
                <w:lang w:eastAsia="es-CR"/>
              </w:rPr>
              <w:t xml:space="preserve"> </w:t>
            </w:r>
            <w:r w:rsidRPr="00AE1B2B">
              <w:rPr>
                <w:rFonts w:ascii="Times New Roman" w:hAnsi="Times New Roman" w:eastAsia="Times New Roman" w:cs="Times New Roman"/>
                <w:lang w:eastAsia="es-CR"/>
              </w:rPr>
              <w:t>El parámetro se obtiene del promedio del histórico del despacho del informe estadístico mensual de SIGMA.</w:t>
            </w:r>
          </w:p>
        </w:tc>
      </w:tr>
      <w:tr w:rsidRPr="00AE1B2B" w:rsidR="00AE1B2B" w:rsidTr="009D3FB5" w14:paraId="5D8872A4" w14:textId="77777777">
        <w:trPr>
          <w:cantSplit/>
          <w:trHeight w:val="20"/>
          <w:jc w:val="center"/>
        </w:trPr>
        <w:tc>
          <w:tcPr>
            <w:tcW w:w="470" w:type="pct"/>
            <w:vMerge/>
            <w:shd w:val="clear" w:color="auto" w:fill="auto"/>
          </w:tcPr>
          <w:p w:rsidRPr="00AE1B2B" w:rsidR="009D3FB5" w:rsidP="00163B94" w:rsidRDefault="009D3FB5" w14:paraId="580628E8"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auto"/>
            <w:vAlign w:val="center"/>
            <w:hideMark/>
          </w:tcPr>
          <w:p w:rsidRPr="00AE1B2B" w:rsidR="009D3FB5" w:rsidP="00163B94" w:rsidRDefault="009D3FB5" w14:paraId="7F5C364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7</w:t>
            </w:r>
          </w:p>
        </w:tc>
        <w:tc>
          <w:tcPr>
            <w:tcW w:w="1049" w:type="pct"/>
            <w:shd w:val="clear" w:color="auto" w:fill="auto"/>
            <w:vAlign w:val="center"/>
            <w:hideMark/>
          </w:tcPr>
          <w:p w:rsidRPr="00AE1B2B" w:rsidR="009D3FB5" w:rsidP="00163B94" w:rsidRDefault="009D3FB5" w14:paraId="0F9C290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Salida de procesos de modificación</w:t>
            </w:r>
          </w:p>
        </w:tc>
        <w:tc>
          <w:tcPr>
            <w:tcW w:w="3050" w:type="pct"/>
            <w:shd w:val="clear" w:color="auto" w:fill="auto"/>
            <w:vAlign w:val="center"/>
            <w:hideMark/>
          </w:tcPr>
          <w:p w:rsidRPr="00AE1B2B" w:rsidR="009D3FB5" w:rsidP="00163B94" w:rsidRDefault="009D3FB5" w14:paraId="74DDB6B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Indicador contabiliza la cantidad de procesos de modificación terminados durante el mes.</w:t>
            </w:r>
          </w:p>
          <w:p w:rsidRPr="00AE1B2B" w:rsidR="009D3FB5" w:rsidP="00163B94" w:rsidRDefault="009D3FB5" w14:paraId="78B89DB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del promedio del histórico del despacho del informe estadístico mensual de SIGMA.</w:t>
            </w:r>
          </w:p>
        </w:tc>
      </w:tr>
      <w:tr w:rsidRPr="00AE1B2B" w:rsidR="00AE1B2B" w:rsidTr="009D3FB5" w14:paraId="5FA302B0" w14:textId="77777777">
        <w:trPr>
          <w:cantSplit/>
          <w:trHeight w:val="20"/>
          <w:jc w:val="center"/>
        </w:trPr>
        <w:tc>
          <w:tcPr>
            <w:tcW w:w="470" w:type="pct"/>
            <w:vMerge/>
            <w:shd w:val="clear" w:color="auto" w:fill="auto"/>
          </w:tcPr>
          <w:p w:rsidRPr="00AE1B2B" w:rsidR="009D3FB5" w:rsidP="00163B94" w:rsidRDefault="009D3FB5" w14:paraId="56A2D7B7"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auto"/>
            <w:vAlign w:val="center"/>
            <w:hideMark/>
          </w:tcPr>
          <w:p w:rsidRPr="00AE1B2B" w:rsidR="009D3FB5" w:rsidP="00163B94" w:rsidRDefault="009D3FB5" w14:paraId="403A750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8</w:t>
            </w:r>
          </w:p>
        </w:tc>
        <w:tc>
          <w:tcPr>
            <w:tcW w:w="1049" w:type="pct"/>
            <w:shd w:val="clear" w:color="auto" w:fill="auto"/>
            <w:vAlign w:val="center"/>
            <w:hideMark/>
          </w:tcPr>
          <w:p w:rsidRPr="00AE1B2B" w:rsidR="009D3FB5" w:rsidP="00163B94" w:rsidRDefault="009D3FB5" w14:paraId="1DA8567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Circulante de procesos de modificación </w:t>
            </w:r>
          </w:p>
        </w:tc>
        <w:tc>
          <w:tcPr>
            <w:tcW w:w="3050" w:type="pct"/>
            <w:shd w:val="clear" w:color="auto" w:fill="auto"/>
            <w:vAlign w:val="center"/>
            <w:hideMark/>
          </w:tcPr>
          <w:p w:rsidRPr="00AE1B2B" w:rsidR="009D3FB5" w:rsidP="00163B94" w:rsidRDefault="009D3FB5" w14:paraId="5E094980"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Indicador para circulante de procesos de modificación: </w:t>
            </w:r>
            <w:r w:rsidRPr="00AE1B2B">
              <w:rPr>
                <w:rFonts w:ascii="Times New Roman" w:hAnsi="Times New Roman" w:eastAsia="Times New Roman" w:cs="Times New Roman"/>
                <w:i/>
                <w:iCs/>
                <w:lang w:eastAsia="es-CR"/>
              </w:rPr>
              <w:t>(Circulante Inicial + Entradas+ reentrados – salidas)</w:t>
            </w:r>
          </w:p>
          <w:p w:rsidRPr="00AE1B2B" w:rsidR="009D3FB5" w:rsidP="00163B94" w:rsidRDefault="009D3FB5" w14:paraId="2555978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El parámetro se obtiene del circulante del despacho al momento del abordaje al despacho. </w:t>
            </w:r>
          </w:p>
        </w:tc>
      </w:tr>
      <w:tr w:rsidRPr="00AE1B2B" w:rsidR="00AE1B2B" w:rsidTr="009D3FB5" w14:paraId="4B667C16" w14:textId="77777777">
        <w:trPr>
          <w:cantSplit/>
          <w:trHeight w:val="20"/>
          <w:jc w:val="center"/>
        </w:trPr>
        <w:tc>
          <w:tcPr>
            <w:tcW w:w="470" w:type="pct"/>
            <w:vMerge/>
            <w:shd w:val="clear" w:color="auto" w:fill="auto"/>
          </w:tcPr>
          <w:p w:rsidRPr="00AE1B2B" w:rsidR="009D3FB5" w:rsidP="00163B94" w:rsidRDefault="009D3FB5" w14:paraId="0BAB0251"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auto"/>
            <w:vAlign w:val="center"/>
            <w:hideMark/>
          </w:tcPr>
          <w:p w:rsidRPr="00AE1B2B" w:rsidR="009D3FB5" w:rsidP="00163B94" w:rsidRDefault="009D3FB5" w14:paraId="3A8491E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9</w:t>
            </w:r>
          </w:p>
        </w:tc>
        <w:tc>
          <w:tcPr>
            <w:tcW w:w="1049" w:type="pct"/>
            <w:shd w:val="clear" w:color="auto" w:fill="auto"/>
            <w:vAlign w:val="center"/>
            <w:hideMark/>
          </w:tcPr>
          <w:p w:rsidRPr="00AE1B2B" w:rsidR="009D3FB5" w:rsidP="00163B94" w:rsidRDefault="009D3FB5" w14:paraId="0ADD1DEA"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resolución de procesos de modificación</w:t>
            </w:r>
          </w:p>
        </w:tc>
        <w:tc>
          <w:tcPr>
            <w:tcW w:w="3050" w:type="pct"/>
            <w:shd w:val="clear" w:color="auto" w:fill="auto"/>
            <w:vAlign w:val="center"/>
            <w:hideMark/>
          </w:tcPr>
          <w:p w:rsidRPr="00AE1B2B" w:rsidR="009D3FB5" w:rsidP="00163B94" w:rsidRDefault="009D3FB5" w14:paraId="5FD13DD2"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Para el cálculo: </w:t>
            </w:r>
            <w:r w:rsidRPr="00AE1B2B">
              <w:rPr>
                <w:rFonts w:ascii="Times New Roman" w:hAnsi="Times New Roman" w:eastAsia="Times New Roman" w:cs="Times New Roman"/>
                <w:i/>
                <w:iCs/>
                <w:lang w:eastAsia="es-CR"/>
              </w:rPr>
              <w:t>Cantidad de procesos de modificación resueltos / Cantidad de procesos de modificación ingresados.</w:t>
            </w:r>
          </w:p>
          <w:p w:rsidRPr="00AE1B2B" w:rsidR="009D3FB5" w:rsidP="00163B94" w:rsidRDefault="009D3FB5" w14:paraId="793D9AB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está definido en 90% a 100%</w:t>
            </w:r>
          </w:p>
        </w:tc>
      </w:tr>
      <w:tr w:rsidRPr="00AE1B2B" w:rsidR="00AE1B2B" w:rsidTr="009D3FB5" w14:paraId="5A5183A9" w14:textId="77777777">
        <w:trPr>
          <w:cantSplit/>
          <w:trHeight w:val="20"/>
          <w:jc w:val="center"/>
        </w:trPr>
        <w:tc>
          <w:tcPr>
            <w:tcW w:w="470" w:type="pct"/>
            <w:vMerge w:val="restart"/>
            <w:shd w:val="clear" w:color="auto" w:fill="FFFFFF" w:themeFill="background1"/>
            <w:textDirection w:val="btLr"/>
          </w:tcPr>
          <w:p w:rsidRPr="00AE1B2B" w:rsidR="009D3FB5" w:rsidP="00163B94" w:rsidRDefault="009D3FB5" w14:paraId="35B324A5" w14:textId="77777777">
            <w:pPr>
              <w:spacing w:before="120" w:after="120" w:line="276" w:lineRule="auto"/>
              <w:ind w:left="113" w:right="113"/>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Balance general de apremios</w:t>
            </w:r>
          </w:p>
        </w:tc>
        <w:tc>
          <w:tcPr>
            <w:tcW w:w="431" w:type="pct"/>
            <w:shd w:val="clear" w:color="auto" w:fill="FFFFFF" w:themeFill="background1"/>
            <w:vAlign w:val="center"/>
            <w:hideMark/>
          </w:tcPr>
          <w:p w:rsidRPr="00AE1B2B" w:rsidR="009D3FB5" w:rsidP="00163B94" w:rsidRDefault="009D3FB5" w14:paraId="3491A0D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10</w:t>
            </w:r>
          </w:p>
        </w:tc>
        <w:tc>
          <w:tcPr>
            <w:tcW w:w="1049" w:type="pct"/>
            <w:shd w:val="clear" w:color="auto" w:fill="FFFFFF" w:themeFill="background1"/>
            <w:vAlign w:val="center"/>
            <w:hideMark/>
          </w:tcPr>
          <w:p w:rsidRPr="00AE1B2B" w:rsidR="009D3FB5" w:rsidP="00163B94" w:rsidRDefault="009D3FB5" w14:paraId="51D3215B"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Entrada de apremios corporales</w:t>
            </w:r>
          </w:p>
        </w:tc>
        <w:tc>
          <w:tcPr>
            <w:tcW w:w="3050" w:type="pct"/>
            <w:shd w:val="clear" w:color="auto" w:fill="auto"/>
            <w:vAlign w:val="center"/>
            <w:hideMark/>
          </w:tcPr>
          <w:p w:rsidRPr="00AE1B2B" w:rsidR="009D3FB5" w:rsidP="00163B94" w:rsidRDefault="009D3FB5" w14:paraId="2BB3791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Cantidad de apremios corporales ingresados durante el mes.</w:t>
            </w:r>
          </w:p>
          <w:p w:rsidRPr="00AE1B2B" w:rsidR="009D3FB5" w:rsidP="00163B94" w:rsidRDefault="009D3FB5" w14:paraId="1F389FA7" w14:textId="6E572BA9">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Estos datos se obtienen del módulo de apremios del Escritorio Virtual.</w:t>
            </w:r>
            <w:r w:rsidRPr="00AE1B2B" w:rsidR="00BB7720">
              <w:rPr>
                <w:rFonts w:ascii="Times New Roman" w:hAnsi="Times New Roman" w:eastAsia="Times New Roman" w:cs="Times New Roman"/>
                <w:lang w:eastAsia="es-CR"/>
              </w:rPr>
              <w:t xml:space="preserve"> </w:t>
            </w:r>
          </w:p>
        </w:tc>
      </w:tr>
      <w:tr w:rsidRPr="00AE1B2B" w:rsidR="00AE1B2B" w:rsidTr="009D3FB5" w14:paraId="7603082F" w14:textId="77777777">
        <w:trPr>
          <w:cantSplit/>
          <w:trHeight w:val="20"/>
          <w:jc w:val="center"/>
        </w:trPr>
        <w:tc>
          <w:tcPr>
            <w:tcW w:w="470" w:type="pct"/>
            <w:vMerge/>
            <w:shd w:val="clear" w:color="auto" w:fill="FFFFFF" w:themeFill="background1"/>
          </w:tcPr>
          <w:p w:rsidRPr="00AE1B2B" w:rsidR="009D3FB5" w:rsidP="00163B94" w:rsidRDefault="009D3FB5" w14:paraId="0434DADE"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hideMark/>
          </w:tcPr>
          <w:p w:rsidRPr="00AE1B2B" w:rsidR="009D3FB5" w:rsidP="00163B94" w:rsidRDefault="009D3FB5" w14:paraId="7ABD1C6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11</w:t>
            </w:r>
          </w:p>
        </w:tc>
        <w:tc>
          <w:tcPr>
            <w:tcW w:w="1049" w:type="pct"/>
            <w:shd w:val="clear" w:color="auto" w:fill="FFFFFF" w:themeFill="background1"/>
            <w:vAlign w:val="center"/>
            <w:hideMark/>
          </w:tcPr>
          <w:p w:rsidRPr="00AE1B2B" w:rsidR="009D3FB5" w:rsidP="00163B94" w:rsidRDefault="009D3FB5" w14:paraId="43F7D6F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Salida Segunda Instancia</w:t>
            </w:r>
          </w:p>
        </w:tc>
        <w:tc>
          <w:tcPr>
            <w:tcW w:w="3050" w:type="pct"/>
            <w:shd w:val="clear" w:color="auto" w:fill="auto"/>
            <w:vAlign w:val="center"/>
            <w:hideMark/>
          </w:tcPr>
          <w:p w:rsidRPr="00AE1B2B" w:rsidR="009D3FB5" w:rsidP="00163B94" w:rsidRDefault="009D3FB5" w14:paraId="15FE8E1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Cantidad de apremios corporales terminados durante el mes.</w:t>
            </w:r>
          </w:p>
          <w:p w:rsidRPr="00AE1B2B" w:rsidR="009D3FB5" w:rsidP="00163B94" w:rsidRDefault="009D3FB5" w14:paraId="619D98FD" w14:textId="13D6AC76">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Estos datos se obtienen del módulo de apremios del Escritorio Virtual.</w:t>
            </w:r>
            <w:r w:rsidRPr="00AE1B2B" w:rsidR="00BB7720">
              <w:rPr>
                <w:rFonts w:ascii="Times New Roman" w:hAnsi="Times New Roman" w:eastAsia="Times New Roman" w:cs="Times New Roman"/>
                <w:lang w:eastAsia="es-CR"/>
              </w:rPr>
              <w:t xml:space="preserve"> </w:t>
            </w:r>
          </w:p>
        </w:tc>
      </w:tr>
      <w:tr w:rsidRPr="00AE1B2B" w:rsidR="00AE1B2B" w:rsidTr="009D3FB5" w14:paraId="3C2A87D7" w14:textId="77777777">
        <w:trPr>
          <w:cantSplit/>
          <w:trHeight w:val="20"/>
          <w:jc w:val="center"/>
        </w:trPr>
        <w:tc>
          <w:tcPr>
            <w:tcW w:w="470" w:type="pct"/>
            <w:vMerge/>
            <w:shd w:val="clear" w:color="auto" w:fill="FFFFFF" w:themeFill="background1"/>
          </w:tcPr>
          <w:p w:rsidRPr="00AE1B2B" w:rsidR="009D3FB5" w:rsidP="00163B94" w:rsidRDefault="009D3FB5" w14:paraId="6D5DF0F4"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47F1A07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12</w:t>
            </w:r>
          </w:p>
        </w:tc>
        <w:tc>
          <w:tcPr>
            <w:tcW w:w="1049" w:type="pct"/>
            <w:shd w:val="clear" w:color="auto" w:fill="FFFFFF" w:themeFill="background1"/>
            <w:vAlign w:val="center"/>
          </w:tcPr>
          <w:p w:rsidRPr="00AE1B2B" w:rsidR="009D3FB5" w:rsidP="00163B94" w:rsidRDefault="009D3FB5" w14:paraId="1BA6281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resolución de apremios corporales</w:t>
            </w:r>
          </w:p>
        </w:tc>
        <w:tc>
          <w:tcPr>
            <w:tcW w:w="3050" w:type="pct"/>
            <w:shd w:val="clear" w:color="auto" w:fill="auto"/>
            <w:vAlign w:val="center"/>
          </w:tcPr>
          <w:p w:rsidRPr="00AE1B2B" w:rsidR="009D3FB5" w:rsidP="00163B94" w:rsidRDefault="009D3FB5" w14:paraId="505C9D92"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Para el cálculo: </w:t>
            </w:r>
            <w:r w:rsidRPr="00AE1B2B">
              <w:rPr>
                <w:rFonts w:ascii="Times New Roman" w:hAnsi="Times New Roman" w:eastAsia="Times New Roman" w:cs="Times New Roman"/>
                <w:i/>
                <w:iCs/>
                <w:lang w:eastAsia="es-CR"/>
              </w:rPr>
              <w:t>Cantidad de apremios corporales resueltos / Cantidad de apremios corporales ingresados</w:t>
            </w:r>
          </w:p>
          <w:p w:rsidRPr="00AE1B2B" w:rsidR="009D3FB5" w:rsidP="00163B94" w:rsidRDefault="009D3FB5" w14:paraId="0C15D21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está definido en 90% a 100%</w:t>
            </w:r>
          </w:p>
        </w:tc>
      </w:tr>
      <w:tr w:rsidRPr="00AE1B2B" w:rsidR="00AE1B2B" w:rsidTr="009D3FB5" w14:paraId="3E4E0541" w14:textId="77777777">
        <w:trPr>
          <w:cantSplit/>
          <w:trHeight w:val="20"/>
          <w:jc w:val="center"/>
        </w:trPr>
        <w:tc>
          <w:tcPr>
            <w:tcW w:w="470" w:type="pct"/>
            <w:vMerge/>
            <w:shd w:val="clear" w:color="auto" w:fill="FFFFFF" w:themeFill="background1"/>
          </w:tcPr>
          <w:p w:rsidRPr="00AE1B2B" w:rsidR="009D3FB5" w:rsidP="00163B94" w:rsidRDefault="009D3FB5" w14:paraId="46AA0CC3"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hideMark/>
          </w:tcPr>
          <w:p w:rsidRPr="00AE1B2B" w:rsidR="009D3FB5" w:rsidP="00163B94" w:rsidRDefault="009D3FB5" w14:paraId="04B85D8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13</w:t>
            </w:r>
          </w:p>
        </w:tc>
        <w:tc>
          <w:tcPr>
            <w:tcW w:w="1049" w:type="pct"/>
            <w:shd w:val="clear" w:color="auto" w:fill="FFFFFF" w:themeFill="background1"/>
            <w:vAlign w:val="center"/>
            <w:hideMark/>
          </w:tcPr>
          <w:p w:rsidRPr="00AE1B2B" w:rsidR="009D3FB5" w:rsidP="00163B94" w:rsidRDefault="009D3FB5" w14:paraId="2FE8988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apremios corporales pendientes</w:t>
            </w:r>
          </w:p>
        </w:tc>
        <w:tc>
          <w:tcPr>
            <w:tcW w:w="3050" w:type="pct"/>
            <w:shd w:val="clear" w:color="auto" w:fill="auto"/>
            <w:vAlign w:val="center"/>
            <w:hideMark/>
          </w:tcPr>
          <w:p w:rsidRPr="00AE1B2B" w:rsidR="009D3FB5" w:rsidP="00163B94" w:rsidRDefault="009D3FB5" w14:paraId="092F308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Cantidad de apremios corporales pendientes de resolver.</w:t>
            </w:r>
          </w:p>
          <w:p w:rsidRPr="00AE1B2B" w:rsidR="009D3FB5" w:rsidP="00163B94" w:rsidRDefault="009D3FB5" w14:paraId="72659690" w14:textId="5BF0CADF">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Estos datos se obtienen del módulo de apremios del Escritorio Virtual.</w:t>
            </w:r>
            <w:r w:rsidRPr="00AE1B2B" w:rsidR="00BB7720">
              <w:rPr>
                <w:rFonts w:ascii="Times New Roman" w:hAnsi="Times New Roman" w:eastAsia="Times New Roman" w:cs="Times New Roman"/>
                <w:lang w:eastAsia="es-CR"/>
              </w:rPr>
              <w:t xml:space="preserve"> </w:t>
            </w:r>
          </w:p>
        </w:tc>
      </w:tr>
      <w:tr w:rsidRPr="00AE1B2B" w:rsidR="00AE1B2B" w:rsidTr="009D3FB5" w14:paraId="79817581" w14:textId="77777777">
        <w:trPr>
          <w:cantSplit/>
          <w:trHeight w:val="20"/>
          <w:jc w:val="center"/>
        </w:trPr>
        <w:tc>
          <w:tcPr>
            <w:tcW w:w="470" w:type="pct"/>
            <w:vMerge w:val="restart"/>
            <w:textDirection w:val="btLr"/>
          </w:tcPr>
          <w:p w:rsidRPr="00AE1B2B" w:rsidR="009D3FB5" w:rsidP="00163B94" w:rsidRDefault="009D3FB5" w14:paraId="522C5AAA" w14:textId="77777777">
            <w:pPr>
              <w:spacing w:before="120" w:after="120" w:line="276" w:lineRule="auto"/>
              <w:ind w:left="113" w:right="113"/>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Rendimiento estadístico</w:t>
            </w:r>
          </w:p>
        </w:tc>
        <w:tc>
          <w:tcPr>
            <w:tcW w:w="431" w:type="pct"/>
            <w:shd w:val="clear" w:color="auto" w:fill="auto"/>
            <w:hideMark/>
          </w:tcPr>
          <w:p w:rsidRPr="00AE1B2B" w:rsidR="009D3FB5" w:rsidP="00163B94" w:rsidRDefault="009D3FB5" w14:paraId="0A9F139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14</w:t>
            </w:r>
          </w:p>
        </w:tc>
        <w:tc>
          <w:tcPr>
            <w:tcW w:w="1049" w:type="pct"/>
            <w:shd w:val="clear" w:color="auto" w:fill="auto"/>
            <w:hideMark/>
          </w:tcPr>
          <w:p w:rsidRPr="00AE1B2B" w:rsidR="009D3FB5" w:rsidP="00163B94" w:rsidRDefault="009D3FB5" w14:paraId="13C0181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expedientes pendientes de fallo</w:t>
            </w:r>
          </w:p>
        </w:tc>
        <w:tc>
          <w:tcPr>
            <w:tcW w:w="3050" w:type="pct"/>
            <w:shd w:val="clear" w:color="auto" w:fill="auto"/>
            <w:hideMark/>
          </w:tcPr>
          <w:p w:rsidRPr="00AE1B2B" w:rsidR="009D3FB5" w:rsidP="00163B94" w:rsidRDefault="009D3FB5" w14:paraId="4B68408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Total de expedientes pasados a la tarea de fallo durante el mes. Se obtienen el dato del Módulo de Pase a Fallo del Escritorio Virtual o Libro de Pase a Fallo.</w:t>
            </w:r>
          </w:p>
        </w:tc>
      </w:tr>
      <w:tr w:rsidRPr="00AE1B2B" w:rsidR="00AE1B2B" w:rsidTr="009D3FB5" w14:paraId="15F432ED" w14:textId="77777777">
        <w:trPr>
          <w:cantSplit/>
          <w:trHeight w:val="1134"/>
          <w:jc w:val="center"/>
        </w:trPr>
        <w:tc>
          <w:tcPr>
            <w:tcW w:w="470" w:type="pct"/>
            <w:vMerge/>
            <w:shd w:val="clear" w:color="auto" w:fill="FFFFFF" w:themeFill="background1"/>
          </w:tcPr>
          <w:p w:rsidRPr="00AE1B2B" w:rsidR="009D3FB5" w:rsidP="00163B94" w:rsidRDefault="009D3FB5" w14:paraId="7685C19B"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auto"/>
            <w:vAlign w:val="center"/>
          </w:tcPr>
          <w:p w:rsidRPr="00AE1B2B" w:rsidR="009D3FB5" w:rsidP="00163B94" w:rsidRDefault="009D3FB5" w14:paraId="04615F4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15</w:t>
            </w:r>
          </w:p>
        </w:tc>
        <w:tc>
          <w:tcPr>
            <w:tcW w:w="1049" w:type="pct"/>
            <w:shd w:val="clear" w:color="auto" w:fill="auto"/>
            <w:vAlign w:val="center"/>
          </w:tcPr>
          <w:p w:rsidRPr="00AE1B2B" w:rsidR="009D3FB5" w:rsidP="00163B94" w:rsidRDefault="009D3FB5" w14:paraId="269200E3"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escritos pendientes de resolver</w:t>
            </w:r>
          </w:p>
        </w:tc>
        <w:tc>
          <w:tcPr>
            <w:tcW w:w="3050" w:type="pct"/>
            <w:shd w:val="clear" w:color="auto" w:fill="auto"/>
            <w:vAlign w:val="center"/>
          </w:tcPr>
          <w:p w:rsidRPr="00AE1B2B" w:rsidR="009D3FB5" w:rsidP="00163B94" w:rsidRDefault="009D3FB5" w14:paraId="4A38DE3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Cantidad de escritos pendientes por resolver durante el mes. </w:t>
            </w:r>
          </w:p>
          <w:p w:rsidRPr="00AE1B2B" w:rsidR="009D3FB5" w:rsidP="00163B94" w:rsidRDefault="009D3FB5" w14:paraId="02B2482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bandeja de Escritos del Escritorio Virtual</w:t>
            </w:r>
          </w:p>
          <w:p w:rsidRPr="00AE1B2B" w:rsidR="009D3FB5" w:rsidP="00163B94" w:rsidRDefault="009D3FB5" w14:paraId="0C86443B"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lang w:eastAsia="es-CR"/>
              </w:rPr>
              <w:t xml:space="preserve">Se deben revisar todos los Escritos que se encuentran Tramitándose, como los que se encuentran pendientes de distribuir, todas la Ubicaciones, todos los Auxiliares, todos los estados de expediente. </w:t>
            </w:r>
          </w:p>
        </w:tc>
      </w:tr>
      <w:tr w:rsidRPr="00AE1B2B" w:rsidR="00AE1B2B" w:rsidTr="009D3FB5" w14:paraId="53C227D4" w14:textId="77777777">
        <w:trPr>
          <w:cantSplit/>
          <w:trHeight w:val="1134"/>
          <w:jc w:val="center"/>
        </w:trPr>
        <w:tc>
          <w:tcPr>
            <w:tcW w:w="470" w:type="pct"/>
            <w:vMerge/>
            <w:shd w:val="clear" w:color="auto" w:fill="FFFFFF" w:themeFill="background1"/>
          </w:tcPr>
          <w:p w:rsidRPr="00AE1B2B" w:rsidR="009D3FB5" w:rsidP="00163B94" w:rsidRDefault="009D3FB5" w14:paraId="54526E00"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7952E4A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16</w:t>
            </w:r>
          </w:p>
        </w:tc>
        <w:tc>
          <w:tcPr>
            <w:tcW w:w="1049" w:type="pct"/>
            <w:shd w:val="clear" w:color="auto" w:fill="FFFFFF" w:themeFill="background1"/>
            <w:vAlign w:val="center"/>
          </w:tcPr>
          <w:p w:rsidRPr="00AE1B2B" w:rsidR="009D3FB5" w:rsidP="00163B94" w:rsidRDefault="009D3FB5" w14:paraId="7C19E8E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resolución de escritos</w:t>
            </w:r>
          </w:p>
        </w:tc>
        <w:tc>
          <w:tcPr>
            <w:tcW w:w="3050" w:type="pct"/>
            <w:shd w:val="clear" w:color="auto" w:fill="auto"/>
            <w:vAlign w:val="center"/>
          </w:tcPr>
          <w:p w:rsidRPr="00AE1B2B" w:rsidR="009D3FB5" w:rsidP="00163B94" w:rsidRDefault="009D3FB5" w14:paraId="0909B06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Cantidad de escritos resueltos / Cantidad de escritos ingresados.</w:t>
            </w:r>
          </w:p>
        </w:tc>
      </w:tr>
      <w:tr w:rsidRPr="00AE1B2B" w:rsidR="00AE1B2B" w:rsidTr="009D3FB5" w14:paraId="72069536" w14:textId="77777777">
        <w:trPr>
          <w:cantSplit/>
          <w:trHeight w:val="1134"/>
          <w:jc w:val="center"/>
        </w:trPr>
        <w:tc>
          <w:tcPr>
            <w:tcW w:w="470" w:type="pct"/>
            <w:vMerge/>
            <w:shd w:val="clear" w:color="auto" w:fill="FFFFFF" w:themeFill="background1"/>
          </w:tcPr>
          <w:p w:rsidRPr="00AE1B2B" w:rsidR="009D3FB5" w:rsidP="00163B94" w:rsidRDefault="009D3FB5" w14:paraId="5A7ECEE0"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4DD33F9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17</w:t>
            </w:r>
          </w:p>
        </w:tc>
        <w:tc>
          <w:tcPr>
            <w:tcW w:w="1049" w:type="pct"/>
            <w:shd w:val="clear" w:color="auto" w:fill="FFFFFF" w:themeFill="background1"/>
            <w:vAlign w:val="center"/>
          </w:tcPr>
          <w:p w:rsidRPr="00AE1B2B" w:rsidR="009D3FB5" w:rsidP="00163B94" w:rsidRDefault="009D3FB5" w14:paraId="3C3A6F7F"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personas atendidas</w:t>
            </w:r>
          </w:p>
        </w:tc>
        <w:tc>
          <w:tcPr>
            <w:tcW w:w="3050" w:type="pct"/>
            <w:shd w:val="clear" w:color="auto" w:fill="auto"/>
            <w:vAlign w:val="center"/>
          </w:tcPr>
          <w:p w:rsidRPr="00AE1B2B" w:rsidR="009D3FB5" w:rsidP="00163B94" w:rsidRDefault="009D3FB5" w14:paraId="28D4427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Cantidad total de personas usuarias atendidas durante el mes</w:t>
            </w:r>
          </w:p>
        </w:tc>
      </w:tr>
      <w:tr w:rsidRPr="00AE1B2B" w:rsidR="00AE1B2B" w:rsidTr="009D3FB5" w14:paraId="2390979F" w14:textId="77777777">
        <w:trPr>
          <w:cantSplit/>
          <w:trHeight w:val="1134"/>
          <w:jc w:val="center"/>
        </w:trPr>
        <w:tc>
          <w:tcPr>
            <w:tcW w:w="470" w:type="pct"/>
            <w:vMerge w:val="restart"/>
            <w:shd w:val="clear" w:color="auto" w:fill="FFFFFF" w:themeFill="background1"/>
            <w:textDirection w:val="btLr"/>
          </w:tcPr>
          <w:p w:rsidRPr="00AE1B2B" w:rsidR="009D3FB5" w:rsidP="00163B94" w:rsidRDefault="009D3FB5" w14:paraId="01972B7D" w14:textId="77777777">
            <w:pPr>
              <w:spacing w:before="120" w:after="120" w:line="276" w:lineRule="auto"/>
              <w:ind w:left="113" w:right="113"/>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lastRenderedPageBreak/>
              <w:t>Audiencias tempranas</w:t>
            </w:r>
          </w:p>
        </w:tc>
        <w:tc>
          <w:tcPr>
            <w:tcW w:w="431" w:type="pct"/>
            <w:shd w:val="clear" w:color="auto" w:fill="FFFFFF" w:themeFill="background1"/>
            <w:vAlign w:val="center"/>
          </w:tcPr>
          <w:p w:rsidRPr="00AE1B2B" w:rsidR="009D3FB5" w:rsidP="00163B94" w:rsidRDefault="009D3FB5" w14:paraId="1F6BF90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18</w:t>
            </w:r>
          </w:p>
        </w:tc>
        <w:tc>
          <w:tcPr>
            <w:tcW w:w="1049" w:type="pct"/>
            <w:shd w:val="clear" w:color="auto" w:fill="FFFFFF" w:themeFill="background1"/>
            <w:vAlign w:val="center"/>
          </w:tcPr>
          <w:p w:rsidRPr="00AE1B2B" w:rsidR="009D3FB5" w:rsidP="00163B94" w:rsidRDefault="009D3FB5" w14:paraId="0C3E731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Porcentaje de conciliación en audiencias tempranas </w:t>
            </w:r>
          </w:p>
        </w:tc>
        <w:tc>
          <w:tcPr>
            <w:tcW w:w="3050" w:type="pct"/>
            <w:shd w:val="clear" w:color="auto" w:fill="auto"/>
            <w:vAlign w:val="center"/>
          </w:tcPr>
          <w:p w:rsidRPr="00AE1B2B" w:rsidR="009D3FB5" w:rsidP="00163B94" w:rsidRDefault="009D3FB5" w14:paraId="52D2190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Indicador se calcula: </w:t>
            </w:r>
            <w:r w:rsidRPr="00AE1B2B">
              <w:rPr>
                <w:rFonts w:ascii="Times New Roman" w:hAnsi="Times New Roman" w:eastAsia="Times New Roman" w:cs="Times New Roman"/>
                <w:i/>
                <w:iCs/>
                <w:lang w:eastAsia="es-CR"/>
              </w:rPr>
              <w:t>(Cantidad de audiencias tempranas conciliadas / Cantidad de audiencias tempranas realizadas).</w:t>
            </w:r>
          </w:p>
          <w:p w:rsidRPr="00AE1B2B" w:rsidR="009D3FB5" w:rsidP="00163B94" w:rsidRDefault="009D3FB5" w14:paraId="6115FCD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 la Agenda Cronos, en Buscar Apuntes, búsqueda por criterio por rango de fecha y se obtiene la cantidad de señalamiento a Audiencia conciliadas.</w:t>
            </w:r>
          </w:p>
        </w:tc>
      </w:tr>
      <w:tr w:rsidRPr="00AE1B2B" w:rsidR="00AE1B2B" w:rsidTr="009D3FB5" w14:paraId="21523821" w14:textId="77777777">
        <w:trPr>
          <w:cantSplit/>
          <w:trHeight w:val="1134"/>
          <w:jc w:val="center"/>
        </w:trPr>
        <w:tc>
          <w:tcPr>
            <w:tcW w:w="470" w:type="pct"/>
            <w:vMerge/>
            <w:shd w:val="clear" w:color="auto" w:fill="FFFFFF" w:themeFill="background1"/>
          </w:tcPr>
          <w:p w:rsidRPr="00AE1B2B" w:rsidR="009D3FB5" w:rsidP="00163B94" w:rsidRDefault="009D3FB5" w14:paraId="7D15835A"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3D5D16A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19</w:t>
            </w:r>
          </w:p>
        </w:tc>
        <w:tc>
          <w:tcPr>
            <w:tcW w:w="1049" w:type="pct"/>
            <w:shd w:val="clear" w:color="auto" w:fill="FFFFFF" w:themeFill="background1"/>
            <w:vAlign w:val="center"/>
          </w:tcPr>
          <w:p w:rsidRPr="00AE1B2B" w:rsidR="009D3FB5" w:rsidP="00163B94" w:rsidRDefault="009D3FB5" w14:paraId="373B8B71"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Porcentaje de efectividad de audiencias tempranas. </w:t>
            </w:r>
          </w:p>
        </w:tc>
        <w:tc>
          <w:tcPr>
            <w:tcW w:w="3050" w:type="pct"/>
            <w:shd w:val="clear" w:color="auto" w:fill="auto"/>
            <w:vAlign w:val="center"/>
          </w:tcPr>
          <w:p w:rsidRPr="00AE1B2B" w:rsidR="009D3FB5" w:rsidP="00163B94" w:rsidRDefault="009D3FB5" w14:paraId="0261486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Indicador se calcula: </w:t>
            </w:r>
            <w:r w:rsidRPr="00AE1B2B">
              <w:rPr>
                <w:rFonts w:ascii="Times New Roman" w:hAnsi="Times New Roman" w:eastAsia="Times New Roman" w:cs="Times New Roman"/>
                <w:i/>
                <w:iCs/>
                <w:lang w:eastAsia="es-CR"/>
              </w:rPr>
              <w:t>(Cantidad de audiencias tempranas señaladas / Cantidad de audiencias tempranas realizadas).</w:t>
            </w:r>
          </w:p>
          <w:p w:rsidRPr="00AE1B2B" w:rsidR="009D3FB5" w:rsidP="00163B94" w:rsidRDefault="009D3FB5" w14:paraId="6923E69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indicador esta subdividido por persona juzgadora.</w:t>
            </w:r>
          </w:p>
        </w:tc>
      </w:tr>
      <w:tr w:rsidRPr="00AE1B2B" w:rsidR="00AE1B2B" w:rsidTr="009D3FB5" w14:paraId="1954BF8D" w14:textId="77777777">
        <w:trPr>
          <w:cantSplit/>
          <w:trHeight w:val="1134"/>
          <w:jc w:val="center"/>
        </w:trPr>
        <w:tc>
          <w:tcPr>
            <w:tcW w:w="470" w:type="pct"/>
            <w:vMerge w:val="restart"/>
            <w:shd w:val="clear" w:color="auto" w:fill="FFFFFF" w:themeFill="background1"/>
            <w:textDirection w:val="btLr"/>
          </w:tcPr>
          <w:p w:rsidRPr="00AE1B2B" w:rsidR="009D3FB5" w:rsidP="00163B94" w:rsidRDefault="009D3FB5" w14:paraId="6A400B79" w14:textId="77777777">
            <w:pPr>
              <w:spacing w:before="120" w:after="120" w:line="276" w:lineRule="auto"/>
              <w:ind w:left="113" w:right="113"/>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Audiencias de recepción de prueba</w:t>
            </w:r>
          </w:p>
        </w:tc>
        <w:tc>
          <w:tcPr>
            <w:tcW w:w="431" w:type="pct"/>
            <w:shd w:val="clear" w:color="auto" w:fill="FFFFFF" w:themeFill="background1"/>
            <w:vAlign w:val="center"/>
          </w:tcPr>
          <w:p w:rsidRPr="00AE1B2B" w:rsidR="009D3FB5" w:rsidP="00163B94" w:rsidRDefault="009D3FB5" w14:paraId="360517B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20</w:t>
            </w:r>
          </w:p>
        </w:tc>
        <w:tc>
          <w:tcPr>
            <w:tcW w:w="1049" w:type="pct"/>
            <w:shd w:val="clear" w:color="auto" w:fill="FFFFFF" w:themeFill="background1"/>
            <w:vAlign w:val="center"/>
          </w:tcPr>
          <w:p w:rsidRPr="00AE1B2B" w:rsidR="009D3FB5" w:rsidP="00163B94" w:rsidRDefault="009D3FB5" w14:paraId="7C6BC3D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conciliación en audiencias de recepción de prueba</w:t>
            </w:r>
          </w:p>
        </w:tc>
        <w:tc>
          <w:tcPr>
            <w:tcW w:w="3050" w:type="pct"/>
            <w:shd w:val="clear" w:color="auto" w:fill="auto"/>
            <w:vAlign w:val="center"/>
          </w:tcPr>
          <w:p w:rsidRPr="00AE1B2B" w:rsidR="009D3FB5" w:rsidP="00163B94" w:rsidRDefault="009D3FB5" w14:paraId="4D45BCD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Indicador se calcula: </w:t>
            </w:r>
            <w:r w:rsidRPr="00AE1B2B">
              <w:rPr>
                <w:rFonts w:ascii="Times New Roman" w:hAnsi="Times New Roman" w:eastAsia="Times New Roman" w:cs="Times New Roman"/>
                <w:i/>
                <w:iCs/>
                <w:lang w:eastAsia="es-CR"/>
              </w:rPr>
              <w:t>(Cantidad de audiencias de recepción de prueba conciliada / Cantidad de audiencias de recepción de prueba realizadas).</w:t>
            </w:r>
          </w:p>
          <w:p w:rsidRPr="00AE1B2B" w:rsidR="009D3FB5" w:rsidP="00163B94" w:rsidRDefault="009D3FB5" w14:paraId="076A6FEE" w14:textId="77777777">
            <w:pPr>
              <w:spacing w:before="120" w:after="120" w:line="276" w:lineRule="auto"/>
              <w:rPr>
                <w:rFonts w:ascii="Times New Roman" w:hAnsi="Times New Roman" w:eastAsia="Times New Roman" w:cs="Times New Roman"/>
                <w:lang w:eastAsia="es-CR"/>
              </w:rPr>
            </w:pPr>
          </w:p>
        </w:tc>
      </w:tr>
      <w:tr w:rsidRPr="00AE1B2B" w:rsidR="00AE1B2B" w:rsidTr="009D3FB5" w14:paraId="50A017B1" w14:textId="77777777">
        <w:trPr>
          <w:cantSplit/>
          <w:trHeight w:val="1134"/>
          <w:jc w:val="center"/>
        </w:trPr>
        <w:tc>
          <w:tcPr>
            <w:tcW w:w="470" w:type="pct"/>
            <w:vMerge/>
            <w:shd w:val="clear" w:color="auto" w:fill="FFFFFF" w:themeFill="background1"/>
          </w:tcPr>
          <w:p w:rsidRPr="00AE1B2B" w:rsidR="009D3FB5" w:rsidP="00163B94" w:rsidRDefault="009D3FB5" w14:paraId="63453FA4"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72A751F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21</w:t>
            </w:r>
          </w:p>
        </w:tc>
        <w:tc>
          <w:tcPr>
            <w:tcW w:w="1049" w:type="pct"/>
            <w:shd w:val="clear" w:color="auto" w:fill="FFFFFF" w:themeFill="background1"/>
            <w:vAlign w:val="center"/>
          </w:tcPr>
          <w:p w:rsidRPr="00AE1B2B" w:rsidR="009D3FB5" w:rsidP="00163B94" w:rsidRDefault="009D3FB5" w14:paraId="180147D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Porcentaje de efectividad de audiencias de recepción de prueba. </w:t>
            </w:r>
          </w:p>
        </w:tc>
        <w:tc>
          <w:tcPr>
            <w:tcW w:w="3050" w:type="pct"/>
            <w:shd w:val="clear" w:color="auto" w:fill="auto"/>
            <w:vAlign w:val="center"/>
          </w:tcPr>
          <w:p w:rsidRPr="00AE1B2B" w:rsidR="009D3FB5" w:rsidP="00163B94" w:rsidRDefault="009D3FB5" w14:paraId="042D5FA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Indicador se calcula: </w:t>
            </w:r>
            <w:r w:rsidRPr="00AE1B2B">
              <w:rPr>
                <w:rFonts w:ascii="Times New Roman" w:hAnsi="Times New Roman" w:eastAsia="Times New Roman" w:cs="Times New Roman"/>
                <w:i/>
                <w:iCs/>
                <w:lang w:eastAsia="es-CR"/>
              </w:rPr>
              <w:t>(Cantidad de audiencias de recepción de prueba señaladas / Cantidad de audiencias de recepción de prueba realizadas).</w:t>
            </w:r>
          </w:p>
          <w:p w:rsidRPr="00AE1B2B" w:rsidR="009D3FB5" w:rsidP="00163B94" w:rsidRDefault="009D3FB5" w14:paraId="5BBBD9D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indicador esta subdividido por persona juzgadora.</w:t>
            </w:r>
          </w:p>
        </w:tc>
      </w:tr>
      <w:tr w:rsidRPr="00AE1B2B" w:rsidR="00AE1B2B" w:rsidTr="009D3FB5" w14:paraId="55865392" w14:textId="77777777">
        <w:trPr>
          <w:cantSplit/>
          <w:trHeight w:val="1134"/>
          <w:jc w:val="center"/>
        </w:trPr>
        <w:tc>
          <w:tcPr>
            <w:tcW w:w="470" w:type="pct"/>
            <w:vMerge w:val="restart"/>
            <w:shd w:val="clear" w:color="auto" w:fill="FFFFFF" w:themeFill="background1"/>
            <w:textDirection w:val="btLr"/>
          </w:tcPr>
          <w:p w:rsidRPr="00AE1B2B" w:rsidR="009D3FB5" w:rsidP="00163B94" w:rsidRDefault="009D3FB5" w14:paraId="28B9C94E" w14:textId="77777777">
            <w:pPr>
              <w:spacing w:before="120" w:after="120" w:line="276" w:lineRule="auto"/>
              <w:ind w:left="113" w:right="113"/>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Plazos</w:t>
            </w:r>
          </w:p>
        </w:tc>
        <w:tc>
          <w:tcPr>
            <w:tcW w:w="431" w:type="pct"/>
            <w:shd w:val="clear" w:color="auto" w:fill="FFFFFF" w:themeFill="background1"/>
            <w:vAlign w:val="center"/>
          </w:tcPr>
          <w:p w:rsidRPr="00AE1B2B" w:rsidR="009D3FB5" w:rsidP="00163B94" w:rsidRDefault="009D3FB5" w14:paraId="7A6C6D4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22</w:t>
            </w:r>
          </w:p>
        </w:tc>
        <w:tc>
          <w:tcPr>
            <w:tcW w:w="1049" w:type="pct"/>
            <w:shd w:val="clear" w:color="auto" w:fill="FFFFFF" w:themeFill="background1"/>
            <w:vAlign w:val="center"/>
          </w:tcPr>
          <w:p w:rsidRPr="00AE1B2B" w:rsidR="009D3FB5" w:rsidP="00163B94" w:rsidRDefault="009D3FB5" w14:paraId="2CAA3D7A"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señalamientos de audiencias tempranas</w:t>
            </w:r>
          </w:p>
        </w:tc>
        <w:tc>
          <w:tcPr>
            <w:tcW w:w="3050" w:type="pct"/>
            <w:shd w:val="clear" w:color="auto" w:fill="auto"/>
            <w:vAlign w:val="center"/>
          </w:tcPr>
          <w:p w:rsidRPr="00AE1B2B" w:rsidR="009D3FB5" w:rsidP="00163B94" w:rsidRDefault="009D3FB5" w14:paraId="1A0539C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Indicador se calcula: </w:t>
            </w:r>
            <w:r w:rsidRPr="00AE1B2B">
              <w:rPr>
                <w:rFonts w:ascii="Times New Roman" w:hAnsi="Times New Roman" w:eastAsia="Times New Roman" w:cs="Times New Roman"/>
                <w:i/>
                <w:iCs/>
                <w:lang w:eastAsia="es-CR"/>
              </w:rPr>
              <w:t>Fecha de último señalamiento de audiencia temprana- fecha actual</w:t>
            </w:r>
          </w:p>
        </w:tc>
      </w:tr>
      <w:tr w:rsidRPr="00AE1B2B" w:rsidR="00AE1B2B" w:rsidTr="009D3FB5" w14:paraId="30E78B6B" w14:textId="77777777">
        <w:trPr>
          <w:cantSplit/>
          <w:trHeight w:val="1134"/>
          <w:jc w:val="center"/>
        </w:trPr>
        <w:tc>
          <w:tcPr>
            <w:tcW w:w="470" w:type="pct"/>
            <w:vMerge/>
            <w:shd w:val="clear" w:color="auto" w:fill="FFFFFF" w:themeFill="background1"/>
          </w:tcPr>
          <w:p w:rsidRPr="00AE1B2B" w:rsidR="009D3FB5" w:rsidP="00163B94" w:rsidRDefault="009D3FB5" w14:paraId="1D40DE6F"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5CA20C5C"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23</w:t>
            </w:r>
          </w:p>
        </w:tc>
        <w:tc>
          <w:tcPr>
            <w:tcW w:w="1049" w:type="pct"/>
            <w:shd w:val="clear" w:color="auto" w:fill="FFFFFF" w:themeFill="background1"/>
            <w:vAlign w:val="center"/>
          </w:tcPr>
          <w:p w:rsidRPr="00AE1B2B" w:rsidR="009D3FB5" w:rsidP="00163B94" w:rsidRDefault="009D3FB5" w14:paraId="4FC0FC9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de resolución de apremios corporales</w:t>
            </w:r>
          </w:p>
        </w:tc>
        <w:tc>
          <w:tcPr>
            <w:tcW w:w="3050" w:type="pct"/>
            <w:shd w:val="clear" w:color="auto" w:fill="auto"/>
            <w:vAlign w:val="center"/>
          </w:tcPr>
          <w:p w:rsidRPr="00AE1B2B" w:rsidR="009D3FB5" w:rsidP="00163B94" w:rsidRDefault="009D3FB5" w14:paraId="39A603A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Indicador se calcula: </w:t>
            </w:r>
            <w:r w:rsidRPr="00AE1B2B">
              <w:rPr>
                <w:rFonts w:ascii="Times New Roman" w:hAnsi="Times New Roman" w:eastAsia="Times New Roman" w:cs="Times New Roman"/>
                <w:i/>
                <w:iCs/>
                <w:lang w:eastAsia="es-CR"/>
              </w:rPr>
              <w:t>Fecha actual - fecha de apremio corporal más antiguo pendiente de resolver</w:t>
            </w:r>
          </w:p>
        </w:tc>
      </w:tr>
      <w:tr w:rsidRPr="00AE1B2B" w:rsidR="00AE1B2B" w:rsidTr="009D3FB5" w14:paraId="41D679AC" w14:textId="77777777">
        <w:trPr>
          <w:cantSplit/>
          <w:trHeight w:val="1134"/>
          <w:jc w:val="center"/>
        </w:trPr>
        <w:tc>
          <w:tcPr>
            <w:tcW w:w="470" w:type="pct"/>
            <w:vMerge/>
            <w:shd w:val="clear" w:color="auto" w:fill="FFFFFF" w:themeFill="background1"/>
          </w:tcPr>
          <w:p w:rsidRPr="00AE1B2B" w:rsidR="009D3FB5" w:rsidP="00163B94" w:rsidRDefault="009D3FB5" w14:paraId="3DDC489C"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46DA601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24</w:t>
            </w:r>
          </w:p>
        </w:tc>
        <w:tc>
          <w:tcPr>
            <w:tcW w:w="1049" w:type="pct"/>
            <w:shd w:val="clear" w:color="auto" w:fill="FFFFFF" w:themeFill="background1"/>
            <w:vAlign w:val="center"/>
          </w:tcPr>
          <w:p w:rsidRPr="00AE1B2B" w:rsidR="009D3FB5" w:rsidP="00163B94" w:rsidRDefault="009D3FB5" w14:paraId="42A61166"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para resolver escritos</w:t>
            </w:r>
          </w:p>
        </w:tc>
        <w:tc>
          <w:tcPr>
            <w:tcW w:w="3050" w:type="pct"/>
            <w:shd w:val="clear" w:color="auto" w:fill="auto"/>
            <w:vAlign w:val="center"/>
          </w:tcPr>
          <w:p w:rsidRPr="00AE1B2B" w:rsidR="009D3FB5" w:rsidP="00163B94" w:rsidRDefault="009D3FB5" w14:paraId="77F6603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Indicador se calcula: </w:t>
            </w:r>
            <w:r w:rsidRPr="00AE1B2B">
              <w:rPr>
                <w:rFonts w:ascii="Times New Roman" w:hAnsi="Times New Roman" w:eastAsia="Times New Roman" w:cs="Times New Roman"/>
                <w:i/>
                <w:iCs/>
                <w:lang w:eastAsia="es-CR"/>
              </w:rPr>
              <w:t>Fecha actual - fecha del escrito más antiguo pendiente de resolver</w:t>
            </w:r>
          </w:p>
        </w:tc>
      </w:tr>
      <w:tr w:rsidRPr="00AE1B2B" w:rsidR="00AE1B2B" w:rsidTr="009D3FB5" w14:paraId="53D9D8C8" w14:textId="77777777">
        <w:trPr>
          <w:cantSplit/>
          <w:trHeight w:val="1134"/>
          <w:jc w:val="center"/>
        </w:trPr>
        <w:tc>
          <w:tcPr>
            <w:tcW w:w="470" w:type="pct"/>
            <w:vMerge/>
            <w:shd w:val="clear" w:color="auto" w:fill="FFFFFF" w:themeFill="background1"/>
          </w:tcPr>
          <w:p w:rsidRPr="00AE1B2B" w:rsidR="009D3FB5" w:rsidP="00163B94" w:rsidRDefault="009D3FB5" w14:paraId="5C0684D6"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hideMark/>
          </w:tcPr>
          <w:p w:rsidRPr="00AE1B2B" w:rsidR="009D3FB5" w:rsidP="00163B94" w:rsidRDefault="009D3FB5" w14:paraId="0122FF4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25</w:t>
            </w:r>
          </w:p>
        </w:tc>
        <w:tc>
          <w:tcPr>
            <w:tcW w:w="1049" w:type="pct"/>
            <w:shd w:val="clear" w:color="auto" w:fill="FFFFFF" w:themeFill="background1"/>
            <w:vAlign w:val="center"/>
            <w:hideMark/>
          </w:tcPr>
          <w:p w:rsidRPr="00AE1B2B" w:rsidR="009D3FB5" w:rsidP="00163B94" w:rsidRDefault="009D3FB5" w14:paraId="36A8121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espera de dictado de sentencia</w:t>
            </w:r>
          </w:p>
        </w:tc>
        <w:tc>
          <w:tcPr>
            <w:tcW w:w="3050" w:type="pct"/>
            <w:shd w:val="clear" w:color="auto" w:fill="auto"/>
            <w:vAlign w:val="center"/>
            <w:hideMark/>
          </w:tcPr>
          <w:p w:rsidRPr="00AE1B2B" w:rsidR="009D3FB5" w:rsidP="00163B94" w:rsidRDefault="009D3FB5" w14:paraId="68CB119D"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(Fecha actual - fecha del expediente más antiguo pendiente de fallar)</w:t>
            </w:r>
          </w:p>
          <w:p w:rsidRPr="00AE1B2B" w:rsidR="009D3FB5" w:rsidP="00163B94" w:rsidRDefault="009D3FB5" w14:paraId="516F92B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es la fecha del expediente más antiguo pendiente de fallo registrada en el Módulo de pase a fallo del Escritorio Virtual o Libro de Pase a Fallo.</w:t>
            </w:r>
          </w:p>
          <w:p w:rsidRPr="00AE1B2B" w:rsidR="009D3FB5" w:rsidP="00163B94" w:rsidRDefault="009D3FB5" w14:paraId="405D73A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detalle de los plazos de la legislación actual es:</w:t>
            </w:r>
          </w:p>
          <w:p w:rsidRPr="00AE1B2B" w:rsidR="009D3FB5" w:rsidP="00163B94" w:rsidRDefault="009D3FB5" w14:paraId="5C2A34A4" w14:textId="77777777">
            <w:pPr>
              <w:pStyle w:val="Textocomentario"/>
              <w:numPr>
                <w:ilvl w:val="0"/>
                <w:numId w:val="66"/>
              </w:numPr>
              <w:spacing w:before="120" w:after="120" w:line="276" w:lineRule="auto"/>
              <w:ind w:left="0" w:firstLine="0"/>
              <w:jc w:val="both"/>
              <w:rPr>
                <w:sz w:val="22"/>
                <w:szCs w:val="22"/>
                <w:lang w:eastAsia="es-CR"/>
              </w:rPr>
            </w:pPr>
            <w:r w:rsidRPr="00AE1B2B">
              <w:rPr>
                <w:sz w:val="22"/>
                <w:szCs w:val="22"/>
                <w:lang w:eastAsia="es-CR"/>
              </w:rPr>
              <w:t>Sentencia: 10 días hábiles Art. 45 de la Ley de Pensiones.</w:t>
            </w:r>
          </w:p>
          <w:p w:rsidRPr="00AE1B2B" w:rsidR="009D3FB5" w:rsidP="00163B94" w:rsidRDefault="009D3FB5" w14:paraId="5A325E27" w14:textId="77777777">
            <w:pPr>
              <w:pStyle w:val="Textocomentario"/>
              <w:numPr>
                <w:ilvl w:val="0"/>
                <w:numId w:val="66"/>
              </w:numPr>
              <w:spacing w:before="120" w:after="120" w:line="276" w:lineRule="auto"/>
              <w:ind w:left="0" w:firstLine="0"/>
              <w:jc w:val="both"/>
              <w:rPr>
                <w:sz w:val="22"/>
                <w:szCs w:val="22"/>
                <w:lang w:eastAsia="es-CR"/>
              </w:rPr>
            </w:pPr>
            <w:r w:rsidRPr="00AE1B2B">
              <w:rPr>
                <w:sz w:val="22"/>
                <w:szCs w:val="22"/>
                <w:lang w:eastAsia="es-CR"/>
              </w:rPr>
              <w:t xml:space="preserve">Procesos de Modificación de Fallo: 5 días. Art. 58 y 59 de la Ley de Pensiones. </w:t>
            </w:r>
          </w:p>
          <w:p w:rsidRPr="00AE1B2B" w:rsidR="009D3FB5" w:rsidP="00163B94" w:rsidRDefault="009D3FB5" w14:paraId="5952F18E" w14:textId="77777777">
            <w:pPr>
              <w:pStyle w:val="Textocomentario"/>
              <w:numPr>
                <w:ilvl w:val="0"/>
                <w:numId w:val="66"/>
              </w:numPr>
              <w:spacing w:before="120" w:after="120" w:line="276" w:lineRule="auto"/>
              <w:ind w:left="0" w:firstLine="0"/>
              <w:jc w:val="both"/>
              <w:rPr>
                <w:sz w:val="22"/>
                <w:szCs w:val="22"/>
                <w:lang w:eastAsia="es-CR"/>
              </w:rPr>
            </w:pPr>
            <w:r w:rsidRPr="00AE1B2B">
              <w:rPr>
                <w:sz w:val="22"/>
                <w:szCs w:val="22"/>
                <w:lang w:eastAsia="es-CR"/>
              </w:rPr>
              <w:t xml:space="preserve">Incidente de restitución de cuotas: 5 días Art. 23 de la Ley de Pensiones y 48 del PC de 1989. </w:t>
            </w:r>
          </w:p>
          <w:p w:rsidRPr="00AE1B2B" w:rsidR="009D3FB5" w:rsidP="00163B94" w:rsidRDefault="009D3FB5" w14:paraId="5E09CA4C" w14:textId="77777777">
            <w:pPr>
              <w:pStyle w:val="Textocomentario"/>
              <w:numPr>
                <w:ilvl w:val="0"/>
                <w:numId w:val="66"/>
              </w:numPr>
              <w:spacing w:before="120" w:after="120" w:line="276" w:lineRule="auto"/>
              <w:ind w:left="0" w:firstLine="0"/>
              <w:jc w:val="both"/>
              <w:rPr>
                <w:sz w:val="22"/>
                <w:szCs w:val="22"/>
                <w:lang w:eastAsia="es-CR"/>
              </w:rPr>
            </w:pPr>
            <w:r w:rsidRPr="00AE1B2B">
              <w:rPr>
                <w:sz w:val="22"/>
                <w:szCs w:val="22"/>
                <w:lang w:eastAsia="es-CR"/>
              </w:rPr>
              <w:t xml:space="preserve">Ejecución de sentencia: 8 días. Art. 693 del CPC de 1989. </w:t>
            </w:r>
          </w:p>
          <w:p w:rsidRPr="00AE1B2B" w:rsidR="009D3FB5" w:rsidP="00163B94" w:rsidRDefault="009D3FB5" w14:paraId="38A2AD29" w14:textId="77777777">
            <w:pPr>
              <w:pStyle w:val="Textocomentario"/>
              <w:numPr>
                <w:ilvl w:val="0"/>
                <w:numId w:val="66"/>
              </w:numPr>
              <w:spacing w:before="120" w:after="120" w:line="276" w:lineRule="auto"/>
              <w:ind w:left="0" w:firstLine="0"/>
              <w:jc w:val="both"/>
              <w:rPr>
                <w:sz w:val="22"/>
                <w:szCs w:val="22"/>
                <w:lang w:eastAsia="es-CR"/>
              </w:rPr>
            </w:pPr>
            <w:r w:rsidRPr="00AE1B2B">
              <w:rPr>
                <w:sz w:val="22"/>
                <w:szCs w:val="22"/>
                <w:lang w:eastAsia="es-CR"/>
              </w:rPr>
              <w:t xml:space="preserve">Sentencia de homologación: 3 días hábiles. </w:t>
            </w:r>
          </w:p>
        </w:tc>
      </w:tr>
      <w:tr w:rsidRPr="00AE1B2B" w:rsidR="00AE1B2B" w:rsidTr="009D3FB5" w14:paraId="4BD666D1" w14:textId="77777777">
        <w:trPr>
          <w:cantSplit/>
          <w:trHeight w:val="20"/>
          <w:jc w:val="center"/>
        </w:trPr>
        <w:tc>
          <w:tcPr>
            <w:tcW w:w="470" w:type="pct"/>
            <w:vMerge/>
            <w:shd w:val="clear" w:color="auto" w:fill="FFFFFF" w:themeFill="background1"/>
          </w:tcPr>
          <w:p w:rsidRPr="00AE1B2B" w:rsidR="009D3FB5" w:rsidP="00163B94" w:rsidRDefault="009D3FB5" w14:paraId="675E5728"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294285F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26</w:t>
            </w:r>
          </w:p>
        </w:tc>
        <w:tc>
          <w:tcPr>
            <w:tcW w:w="1049" w:type="pct"/>
            <w:shd w:val="clear" w:color="auto" w:fill="FFFFFF" w:themeFill="background1"/>
            <w:vAlign w:val="center"/>
          </w:tcPr>
          <w:p w:rsidRPr="00AE1B2B" w:rsidR="009D3FB5" w:rsidP="00163B94" w:rsidRDefault="009D3FB5" w14:paraId="7819B51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espera para dictado de sentencia de segunda instancia-Familia</w:t>
            </w:r>
          </w:p>
        </w:tc>
        <w:tc>
          <w:tcPr>
            <w:tcW w:w="3050" w:type="pct"/>
            <w:shd w:val="clear" w:color="auto" w:fill="auto"/>
            <w:vAlign w:val="center"/>
          </w:tcPr>
          <w:p w:rsidRPr="00AE1B2B" w:rsidR="009D3FB5" w:rsidP="00163B94" w:rsidRDefault="009D3FB5" w14:paraId="0D45DA5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Indicador se calcula: </w:t>
            </w:r>
            <w:r w:rsidRPr="00AE1B2B">
              <w:rPr>
                <w:rFonts w:ascii="Times New Roman" w:hAnsi="Times New Roman" w:eastAsia="Times New Roman" w:cs="Times New Roman"/>
                <w:i/>
                <w:iCs/>
                <w:lang w:eastAsia="es-CR"/>
              </w:rPr>
              <w:t>Fecha actual -Fecha del expediente más antiguo pendiente de fallo</w:t>
            </w:r>
          </w:p>
        </w:tc>
      </w:tr>
      <w:tr w:rsidRPr="00AE1B2B" w:rsidR="00AE1B2B" w:rsidTr="009D3FB5" w14:paraId="5FE2A5B3" w14:textId="77777777">
        <w:trPr>
          <w:cantSplit/>
          <w:trHeight w:val="20"/>
          <w:jc w:val="center"/>
        </w:trPr>
        <w:tc>
          <w:tcPr>
            <w:tcW w:w="470" w:type="pct"/>
            <w:vMerge/>
            <w:shd w:val="clear" w:color="auto" w:fill="FFFFFF" w:themeFill="background1"/>
          </w:tcPr>
          <w:p w:rsidRPr="00AE1B2B" w:rsidR="009D3FB5" w:rsidP="00163B94" w:rsidRDefault="009D3FB5" w14:paraId="7B333BA2"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7783C2A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27</w:t>
            </w:r>
          </w:p>
        </w:tc>
        <w:tc>
          <w:tcPr>
            <w:tcW w:w="1049" w:type="pct"/>
            <w:shd w:val="clear" w:color="auto" w:fill="FFFFFF" w:themeFill="background1"/>
            <w:vAlign w:val="center"/>
          </w:tcPr>
          <w:p w:rsidRPr="00AE1B2B" w:rsidR="009D3FB5" w:rsidP="00163B94" w:rsidRDefault="009D3FB5" w14:paraId="14CEF31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de fijación de provisionales</w:t>
            </w:r>
          </w:p>
        </w:tc>
        <w:tc>
          <w:tcPr>
            <w:tcW w:w="3050" w:type="pct"/>
            <w:shd w:val="clear" w:color="auto" w:fill="auto"/>
            <w:vAlign w:val="center"/>
          </w:tcPr>
          <w:p w:rsidRPr="00AE1B2B" w:rsidR="009D3FB5" w:rsidP="00163B94" w:rsidRDefault="009D3FB5" w14:paraId="6251317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Indicador se calcula: </w:t>
            </w:r>
            <w:r w:rsidRPr="00AE1B2B">
              <w:rPr>
                <w:rFonts w:ascii="Times New Roman" w:hAnsi="Times New Roman" w:eastAsia="Times New Roman" w:cs="Times New Roman"/>
                <w:i/>
                <w:iCs/>
                <w:lang w:eastAsia="es-CR"/>
              </w:rPr>
              <w:t>Fecha actual - fecha del expediente más antiguo colocado en la tarea de fijación de provisional (desde que se pasó al Juez para la fijación de provisional)</w:t>
            </w:r>
          </w:p>
        </w:tc>
      </w:tr>
      <w:tr w:rsidRPr="00AE1B2B" w:rsidR="00AE1B2B" w:rsidTr="009D3FB5" w14:paraId="79754E57" w14:textId="77777777">
        <w:trPr>
          <w:cantSplit/>
          <w:trHeight w:val="20"/>
          <w:jc w:val="center"/>
        </w:trPr>
        <w:tc>
          <w:tcPr>
            <w:tcW w:w="470" w:type="pct"/>
            <w:vMerge/>
            <w:shd w:val="clear" w:color="auto" w:fill="FFFFFF" w:themeFill="background1"/>
          </w:tcPr>
          <w:p w:rsidRPr="00AE1B2B" w:rsidR="009D3FB5" w:rsidP="00163B94" w:rsidRDefault="009D3FB5" w14:paraId="14FBA237"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148AD7D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28</w:t>
            </w:r>
          </w:p>
        </w:tc>
        <w:tc>
          <w:tcPr>
            <w:tcW w:w="1049" w:type="pct"/>
            <w:shd w:val="clear" w:color="auto" w:fill="FFFFFF" w:themeFill="background1"/>
            <w:vAlign w:val="center"/>
          </w:tcPr>
          <w:p w:rsidRPr="00AE1B2B" w:rsidR="009D3FB5" w:rsidP="00163B94" w:rsidRDefault="009D3FB5" w14:paraId="2D8663D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de resolución de beneficios</w:t>
            </w:r>
          </w:p>
        </w:tc>
        <w:tc>
          <w:tcPr>
            <w:tcW w:w="3050" w:type="pct"/>
            <w:shd w:val="clear" w:color="auto" w:fill="auto"/>
            <w:vAlign w:val="center"/>
          </w:tcPr>
          <w:p w:rsidRPr="00AE1B2B" w:rsidR="009D3FB5" w:rsidP="00163B94" w:rsidRDefault="009D3FB5" w14:paraId="17B0ECB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Indicador se calcula: </w:t>
            </w:r>
            <w:r w:rsidRPr="00AE1B2B">
              <w:rPr>
                <w:rFonts w:ascii="Times New Roman" w:hAnsi="Times New Roman" w:eastAsia="Times New Roman" w:cs="Times New Roman"/>
                <w:i/>
                <w:iCs/>
                <w:lang w:eastAsia="es-CR"/>
              </w:rPr>
              <w:t>Fecha actual - fecha del expediente más antiguo colocado en la tarea de resolver de beneficios</w:t>
            </w:r>
          </w:p>
        </w:tc>
      </w:tr>
      <w:tr w:rsidRPr="00AE1B2B" w:rsidR="00AE1B2B" w:rsidTr="009D3FB5" w14:paraId="0F924D65" w14:textId="77777777">
        <w:trPr>
          <w:cantSplit/>
          <w:trHeight w:val="20"/>
          <w:jc w:val="center"/>
        </w:trPr>
        <w:tc>
          <w:tcPr>
            <w:tcW w:w="470" w:type="pct"/>
            <w:vMerge/>
            <w:shd w:val="clear" w:color="auto" w:fill="FFFFFF" w:themeFill="background1"/>
          </w:tcPr>
          <w:p w:rsidRPr="00AE1B2B" w:rsidR="009D3FB5" w:rsidP="00163B94" w:rsidRDefault="009D3FB5" w14:paraId="244B4C1B"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77B35BE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29</w:t>
            </w:r>
          </w:p>
        </w:tc>
        <w:tc>
          <w:tcPr>
            <w:tcW w:w="1049" w:type="pct"/>
            <w:shd w:val="clear" w:color="auto" w:fill="FFFFFF" w:themeFill="background1"/>
            <w:vAlign w:val="center"/>
          </w:tcPr>
          <w:p w:rsidRPr="00AE1B2B" w:rsidR="009D3FB5" w:rsidP="00163B94" w:rsidRDefault="009D3FB5" w14:paraId="36D8D028"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de resolución de recursos</w:t>
            </w:r>
          </w:p>
        </w:tc>
        <w:tc>
          <w:tcPr>
            <w:tcW w:w="3050" w:type="pct"/>
            <w:shd w:val="clear" w:color="auto" w:fill="auto"/>
            <w:vAlign w:val="center"/>
          </w:tcPr>
          <w:p w:rsidRPr="00AE1B2B" w:rsidR="009D3FB5" w:rsidP="00163B94" w:rsidRDefault="009D3FB5" w14:paraId="36B66D7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Indicador se calcula: </w:t>
            </w:r>
            <w:r w:rsidRPr="00AE1B2B">
              <w:rPr>
                <w:rFonts w:ascii="Times New Roman" w:hAnsi="Times New Roman" w:eastAsia="Times New Roman" w:cs="Times New Roman"/>
                <w:i/>
                <w:iCs/>
                <w:lang w:eastAsia="es-CR"/>
              </w:rPr>
              <w:t>Fecha actual - fecha del expediente más antiguo colocado en la tarea de resolver recurso</w:t>
            </w:r>
          </w:p>
        </w:tc>
      </w:tr>
      <w:tr w:rsidRPr="00AE1B2B" w:rsidR="00AE1B2B" w:rsidTr="009D3FB5" w14:paraId="23DF0378" w14:textId="77777777">
        <w:trPr>
          <w:cantSplit/>
          <w:trHeight w:val="20"/>
          <w:jc w:val="center"/>
        </w:trPr>
        <w:tc>
          <w:tcPr>
            <w:tcW w:w="470" w:type="pct"/>
            <w:vMerge/>
            <w:shd w:val="clear" w:color="auto" w:fill="FFFFFF" w:themeFill="background1"/>
          </w:tcPr>
          <w:p w:rsidRPr="00AE1B2B" w:rsidR="009D3FB5" w:rsidP="00163B94" w:rsidRDefault="009D3FB5" w14:paraId="7AAFC307"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43D9CB3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30</w:t>
            </w:r>
          </w:p>
        </w:tc>
        <w:tc>
          <w:tcPr>
            <w:tcW w:w="1049" w:type="pct"/>
            <w:shd w:val="clear" w:color="auto" w:fill="FFFFFF" w:themeFill="background1"/>
            <w:vAlign w:val="center"/>
          </w:tcPr>
          <w:p w:rsidRPr="00AE1B2B" w:rsidR="009D3FB5" w:rsidP="00163B94" w:rsidRDefault="009D3FB5" w14:paraId="1556F25A"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Plazo de espera de firma expedientes por persona juzgadora</w:t>
            </w:r>
          </w:p>
        </w:tc>
        <w:tc>
          <w:tcPr>
            <w:tcW w:w="3050" w:type="pct"/>
            <w:shd w:val="clear" w:color="auto" w:fill="auto"/>
            <w:vAlign w:val="center"/>
          </w:tcPr>
          <w:p w:rsidRPr="00AE1B2B" w:rsidR="009D3FB5" w:rsidP="00163B94" w:rsidRDefault="009D3FB5" w14:paraId="439C1E98"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(Fecha actual- fecha de pase a firma más antigua del documento pendiente de firma en la tarea para firmar).</w:t>
            </w:r>
          </w:p>
          <w:p w:rsidRPr="00AE1B2B" w:rsidR="009D3FB5" w:rsidP="00163B94" w:rsidRDefault="009D3FB5" w14:paraId="574E7406" w14:textId="77777777">
            <w:pPr>
              <w:spacing w:before="120" w:after="120" w:line="276" w:lineRule="auto"/>
              <w:rPr>
                <w:rFonts w:ascii="Times New Roman" w:hAnsi="Times New Roman" w:eastAsia="Times New Roman" w:cs="Times New Roman"/>
                <w:lang w:eastAsia="es-CR"/>
              </w:rPr>
            </w:pPr>
          </w:p>
          <w:p w:rsidRPr="00AE1B2B" w:rsidR="009D3FB5" w:rsidP="00163B94" w:rsidRDefault="009D3FB5" w14:paraId="77C5FCF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se obtiene con el resultado de la fecha actual menos la fecha del pase a firma más antigua del documento pendiente de firma</w:t>
            </w:r>
          </w:p>
          <w:p w:rsidRPr="00AE1B2B" w:rsidR="009D3FB5" w:rsidP="00163B94" w:rsidRDefault="009D3FB5" w14:paraId="01869A6D" w14:textId="77777777">
            <w:pPr>
              <w:spacing w:before="120" w:after="120" w:line="276" w:lineRule="auto"/>
              <w:rPr>
                <w:rFonts w:ascii="Times New Roman" w:hAnsi="Times New Roman" w:eastAsia="Times New Roman" w:cs="Times New Roman"/>
                <w:lang w:eastAsia="es-CR"/>
              </w:rPr>
            </w:pPr>
          </w:p>
        </w:tc>
      </w:tr>
      <w:tr w:rsidRPr="00AE1B2B" w:rsidR="00AE1B2B" w:rsidTr="009D3FB5" w14:paraId="72B2D43F" w14:textId="77777777">
        <w:trPr>
          <w:cantSplit/>
          <w:trHeight w:val="20"/>
          <w:jc w:val="center"/>
        </w:trPr>
        <w:tc>
          <w:tcPr>
            <w:tcW w:w="470" w:type="pct"/>
            <w:vMerge w:val="restart"/>
            <w:shd w:val="clear" w:color="auto" w:fill="FFFFFF" w:themeFill="background1"/>
            <w:textDirection w:val="btLr"/>
          </w:tcPr>
          <w:p w:rsidRPr="00AE1B2B" w:rsidR="009D3FB5" w:rsidP="00163B94" w:rsidRDefault="009D3FB5" w14:paraId="3D94CB17" w14:textId="77777777">
            <w:pPr>
              <w:spacing w:before="120" w:after="120" w:line="276" w:lineRule="auto"/>
              <w:ind w:left="113" w:right="113"/>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Operacional</w:t>
            </w:r>
          </w:p>
        </w:tc>
        <w:tc>
          <w:tcPr>
            <w:tcW w:w="431" w:type="pct"/>
            <w:shd w:val="clear" w:color="auto" w:fill="FFFFFF" w:themeFill="background1"/>
            <w:vAlign w:val="center"/>
          </w:tcPr>
          <w:p w:rsidRPr="00AE1B2B" w:rsidR="009D3FB5" w:rsidP="00163B94" w:rsidRDefault="009D3FB5" w14:paraId="1040150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31</w:t>
            </w:r>
          </w:p>
        </w:tc>
        <w:tc>
          <w:tcPr>
            <w:tcW w:w="1049" w:type="pct"/>
            <w:shd w:val="clear" w:color="auto" w:fill="FFFFFF" w:themeFill="background1"/>
            <w:vAlign w:val="center"/>
          </w:tcPr>
          <w:p w:rsidRPr="00AE1B2B" w:rsidR="009D3FB5" w:rsidP="00163B94" w:rsidRDefault="009D3FB5" w14:paraId="05744DDF"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expedientes pasados a firmar por Técnico o Técnica</w:t>
            </w:r>
          </w:p>
        </w:tc>
        <w:tc>
          <w:tcPr>
            <w:tcW w:w="3050" w:type="pct"/>
            <w:shd w:val="clear" w:color="auto" w:fill="auto"/>
            <w:vAlign w:val="center"/>
          </w:tcPr>
          <w:p w:rsidRPr="00AE1B2B" w:rsidR="009D3FB5" w:rsidP="00163B94" w:rsidRDefault="009D3FB5" w14:paraId="59DC15B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 la cantidad de Expedientes pasados a firmar por cada persona juzgadora.</w:t>
            </w:r>
          </w:p>
          <w:p w:rsidRPr="00AE1B2B" w:rsidR="009D3FB5" w:rsidP="00163B94" w:rsidRDefault="009D3FB5" w14:paraId="6B38EB2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obtiene del Escritorio Virtual, cantidad de Expedientes pasados a firmar a la persona juzgadora por persona técnica judicial, Estadística, Firmado/Proveído.</w:t>
            </w:r>
          </w:p>
          <w:p w:rsidRPr="00AE1B2B" w:rsidR="009D3FB5" w:rsidP="00163B94" w:rsidRDefault="009D3FB5" w14:paraId="01A359A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tomando en cuenta la cuota de proveído definida para cada persona técnica judicial.</w:t>
            </w:r>
          </w:p>
        </w:tc>
      </w:tr>
      <w:tr w:rsidRPr="00AE1B2B" w:rsidR="00AE1B2B" w:rsidTr="009D3FB5" w14:paraId="6E54F905" w14:textId="77777777">
        <w:trPr>
          <w:cantSplit/>
          <w:trHeight w:val="20"/>
          <w:jc w:val="center"/>
        </w:trPr>
        <w:tc>
          <w:tcPr>
            <w:tcW w:w="470" w:type="pct"/>
            <w:vMerge/>
            <w:shd w:val="clear" w:color="auto" w:fill="FFFFFF" w:themeFill="background1"/>
          </w:tcPr>
          <w:p w:rsidRPr="00AE1B2B" w:rsidR="009D3FB5" w:rsidP="00163B94" w:rsidRDefault="009D3FB5" w14:paraId="518575C4"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0803AF6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32</w:t>
            </w:r>
          </w:p>
        </w:tc>
        <w:tc>
          <w:tcPr>
            <w:tcW w:w="1049" w:type="pct"/>
            <w:shd w:val="clear" w:color="auto" w:fill="FFFFFF" w:themeFill="background1"/>
            <w:vAlign w:val="center"/>
          </w:tcPr>
          <w:p w:rsidRPr="00AE1B2B" w:rsidR="009D3FB5" w:rsidP="00163B94" w:rsidRDefault="009D3FB5" w14:paraId="106CDC0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giros aprobados</w:t>
            </w:r>
          </w:p>
        </w:tc>
        <w:tc>
          <w:tcPr>
            <w:tcW w:w="3050" w:type="pct"/>
            <w:shd w:val="clear" w:color="auto" w:fill="auto"/>
            <w:vAlign w:val="center"/>
          </w:tcPr>
          <w:p w:rsidRPr="00AE1B2B" w:rsidR="009D3FB5" w:rsidP="00163B94" w:rsidRDefault="009D3FB5" w14:paraId="3B42020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Este dato se obtiene del Sistema de Depósitos Judiciales. </w:t>
            </w:r>
          </w:p>
        </w:tc>
      </w:tr>
      <w:tr w:rsidRPr="00AE1B2B" w:rsidR="00AE1B2B" w:rsidTr="009D3FB5" w14:paraId="1FF3E641" w14:textId="77777777">
        <w:trPr>
          <w:cantSplit/>
          <w:trHeight w:val="20"/>
          <w:jc w:val="center"/>
        </w:trPr>
        <w:tc>
          <w:tcPr>
            <w:tcW w:w="470" w:type="pct"/>
            <w:vMerge/>
            <w:shd w:val="clear" w:color="auto" w:fill="FFFFFF" w:themeFill="background1"/>
          </w:tcPr>
          <w:p w:rsidRPr="00AE1B2B" w:rsidR="009D3FB5" w:rsidP="00163B94" w:rsidRDefault="009D3FB5" w14:paraId="4CE22848"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1B30288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33</w:t>
            </w:r>
          </w:p>
        </w:tc>
        <w:tc>
          <w:tcPr>
            <w:tcW w:w="1049" w:type="pct"/>
            <w:shd w:val="clear" w:color="auto" w:fill="FFFFFF" w:themeFill="background1"/>
            <w:vAlign w:val="center"/>
          </w:tcPr>
          <w:p w:rsidRPr="00AE1B2B" w:rsidR="009D3FB5" w:rsidP="00163B94" w:rsidRDefault="009D3FB5" w14:paraId="21906D42"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apremios resueltos por persona técnica</w:t>
            </w:r>
          </w:p>
        </w:tc>
        <w:tc>
          <w:tcPr>
            <w:tcW w:w="3050" w:type="pct"/>
            <w:shd w:val="clear" w:color="auto" w:fill="auto"/>
            <w:vAlign w:val="center"/>
          </w:tcPr>
          <w:p w:rsidRPr="00AE1B2B" w:rsidR="009D3FB5" w:rsidP="00163B94" w:rsidRDefault="009D3FB5" w14:paraId="3CBC541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Este dato se obtiene del Escritorio Virtual. </w:t>
            </w:r>
          </w:p>
        </w:tc>
      </w:tr>
      <w:tr w:rsidRPr="00AE1B2B" w:rsidR="00AE1B2B" w:rsidTr="009D3FB5" w14:paraId="786B4D18" w14:textId="77777777">
        <w:trPr>
          <w:cantSplit/>
          <w:trHeight w:val="20"/>
          <w:jc w:val="center"/>
        </w:trPr>
        <w:tc>
          <w:tcPr>
            <w:tcW w:w="470" w:type="pct"/>
            <w:vMerge/>
            <w:shd w:val="clear" w:color="auto" w:fill="FFFFFF" w:themeFill="background1"/>
          </w:tcPr>
          <w:p w:rsidRPr="00AE1B2B" w:rsidR="009D3FB5" w:rsidP="00163B94" w:rsidRDefault="009D3FB5" w14:paraId="6AD51FE8"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0D35EE6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34</w:t>
            </w:r>
          </w:p>
        </w:tc>
        <w:tc>
          <w:tcPr>
            <w:tcW w:w="1049" w:type="pct"/>
            <w:shd w:val="clear" w:color="auto" w:fill="FFFFFF" w:themeFill="background1"/>
            <w:vAlign w:val="center"/>
          </w:tcPr>
          <w:p w:rsidRPr="00AE1B2B" w:rsidR="009D3FB5" w:rsidP="00163B94" w:rsidRDefault="009D3FB5" w14:paraId="6906FD0A"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demandas nuevas pasadas a firmar por persona técnica</w:t>
            </w:r>
          </w:p>
        </w:tc>
        <w:tc>
          <w:tcPr>
            <w:tcW w:w="3050" w:type="pct"/>
            <w:shd w:val="clear" w:color="auto" w:fill="auto"/>
            <w:vAlign w:val="center"/>
          </w:tcPr>
          <w:p w:rsidRPr="00AE1B2B" w:rsidR="009D3FB5" w:rsidP="00163B94" w:rsidRDefault="009D3FB5" w14:paraId="4C2667D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Este indicador es específico del técnico de audiencias tempranas. </w:t>
            </w:r>
          </w:p>
        </w:tc>
      </w:tr>
      <w:tr w:rsidRPr="00AE1B2B" w:rsidR="00AE1B2B" w:rsidTr="009D3FB5" w14:paraId="1239ED16" w14:textId="77777777">
        <w:trPr>
          <w:cantSplit/>
          <w:trHeight w:val="20"/>
          <w:jc w:val="center"/>
        </w:trPr>
        <w:tc>
          <w:tcPr>
            <w:tcW w:w="470" w:type="pct"/>
            <w:vMerge/>
            <w:shd w:val="clear" w:color="auto" w:fill="FFFFFF" w:themeFill="background1"/>
          </w:tcPr>
          <w:p w:rsidRPr="00AE1B2B" w:rsidR="009D3FB5" w:rsidP="00163B94" w:rsidRDefault="009D3FB5" w14:paraId="47797A52"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1A56652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35</w:t>
            </w:r>
          </w:p>
        </w:tc>
        <w:tc>
          <w:tcPr>
            <w:tcW w:w="1049" w:type="pct"/>
            <w:shd w:val="clear" w:color="auto" w:fill="FFFFFF" w:themeFill="background1"/>
            <w:vAlign w:val="center"/>
          </w:tcPr>
          <w:p w:rsidRPr="00AE1B2B" w:rsidR="009D3FB5" w:rsidP="00163B94" w:rsidRDefault="009D3FB5" w14:paraId="7F730F9C"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rendimiento por persona técnica judicial</w:t>
            </w:r>
          </w:p>
        </w:tc>
        <w:tc>
          <w:tcPr>
            <w:tcW w:w="3050" w:type="pct"/>
            <w:shd w:val="clear" w:color="auto" w:fill="auto"/>
            <w:vAlign w:val="center"/>
          </w:tcPr>
          <w:p w:rsidRPr="00AE1B2B" w:rsidR="009D3FB5" w:rsidP="00163B94" w:rsidRDefault="009D3FB5" w14:paraId="7C2AC556"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(Cantidad de expedientes pasados a firmar / Cantidad de resoluciones a realizar según cuota de trabajo)</w:t>
            </w:r>
          </w:p>
          <w:p w:rsidRPr="00AE1B2B" w:rsidR="009D3FB5" w:rsidP="00163B94" w:rsidRDefault="009D3FB5" w14:paraId="0FE1633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toma en cuenta los días laborados por cada una de las personas técnicas judiciales en el mes, según la cuota de trabajo diaria.</w:t>
            </w:r>
          </w:p>
          <w:p w:rsidRPr="00AE1B2B" w:rsidR="009D3FB5" w:rsidP="00163B94" w:rsidRDefault="009D3FB5" w14:paraId="54A7E8E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Incluida la persona técnica cajera (</w:t>
            </w:r>
            <w:r w:rsidRPr="00AE1B2B">
              <w:rPr>
                <w:rFonts w:ascii="Times New Roman" w:hAnsi="Times New Roman" w:eastAsia="Times New Roman" w:cs="Times New Roman"/>
                <w:i/>
                <w:iCs/>
                <w:lang w:eastAsia="es-CR"/>
              </w:rPr>
              <w:t>Cantidad de giros a realizar / Cantidad de giros aprobados</w:t>
            </w:r>
            <w:r w:rsidRPr="00AE1B2B">
              <w:rPr>
                <w:rFonts w:ascii="Times New Roman" w:hAnsi="Times New Roman" w:eastAsia="Times New Roman" w:cs="Times New Roman"/>
                <w:lang w:eastAsia="es-CR"/>
              </w:rPr>
              <w:t>)</w:t>
            </w:r>
          </w:p>
          <w:p w:rsidRPr="00AE1B2B" w:rsidR="009D3FB5" w:rsidP="00163B94" w:rsidRDefault="009D3FB5" w14:paraId="489EE16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está definido en 90 a 100%</w:t>
            </w:r>
          </w:p>
        </w:tc>
      </w:tr>
      <w:tr w:rsidRPr="00AE1B2B" w:rsidR="00AE1B2B" w:rsidTr="009D3FB5" w14:paraId="65A3F0A9" w14:textId="77777777">
        <w:trPr>
          <w:cantSplit/>
          <w:trHeight w:val="20"/>
          <w:jc w:val="center"/>
        </w:trPr>
        <w:tc>
          <w:tcPr>
            <w:tcW w:w="470" w:type="pct"/>
            <w:vMerge/>
            <w:shd w:val="clear" w:color="auto" w:fill="FFFFFF" w:themeFill="background1"/>
          </w:tcPr>
          <w:p w:rsidRPr="00AE1B2B" w:rsidR="009D3FB5" w:rsidP="00163B94" w:rsidRDefault="009D3FB5" w14:paraId="53490F1A"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34D5356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36</w:t>
            </w:r>
          </w:p>
        </w:tc>
        <w:tc>
          <w:tcPr>
            <w:tcW w:w="1049" w:type="pct"/>
            <w:shd w:val="clear" w:color="auto" w:fill="FFFFFF" w:themeFill="background1"/>
            <w:vAlign w:val="center"/>
          </w:tcPr>
          <w:p w:rsidRPr="00AE1B2B" w:rsidR="009D3FB5" w:rsidP="00163B94" w:rsidRDefault="009D3FB5" w14:paraId="726FA6C2"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rendimiento por persona técnica judicial de apremio</w:t>
            </w:r>
          </w:p>
        </w:tc>
        <w:tc>
          <w:tcPr>
            <w:tcW w:w="3050" w:type="pct"/>
            <w:shd w:val="clear" w:color="auto" w:fill="auto"/>
            <w:vAlign w:val="center"/>
          </w:tcPr>
          <w:p w:rsidRPr="00AE1B2B" w:rsidR="009D3FB5" w:rsidP="00163B94" w:rsidRDefault="009D3FB5" w14:paraId="405D4C99"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(Cantidad de apremios resueltos / Cantidad de apremios a realizar)</w:t>
            </w:r>
          </w:p>
          <w:p w:rsidRPr="00AE1B2B" w:rsidR="009D3FB5" w:rsidP="00163B94" w:rsidRDefault="009D3FB5" w14:paraId="5650679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El parámetro está definido en 95% a 100% </w:t>
            </w:r>
          </w:p>
        </w:tc>
      </w:tr>
      <w:tr w:rsidRPr="00AE1B2B" w:rsidR="00AE1B2B" w:rsidTr="009D3FB5" w14:paraId="2AA47CF6" w14:textId="77777777">
        <w:trPr>
          <w:cantSplit/>
          <w:trHeight w:val="20"/>
          <w:jc w:val="center"/>
        </w:trPr>
        <w:tc>
          <w:tcPr>
            <w:tcW w:w="470" w:type="pct"/>
            <w:vMerge/>
            <w:shd w:val="clear" w:color="auto" w:fill="FFFFFF" w:themeFill="background1"/>
          </w:tcPr>
          <w:p w:rsidRPr="00AE1B2B" w:rsidR="009D3FB5" w:rsidP="00163B94" w:rsidRDefault="009D3FB5" w14:paraId="5D54828C"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0E21181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37</w:t>
            </w:r>
          </w:p>
        </w:tc>
        <w:tc>
          <w:tcPr>
            <w:tcW w:w="1049" w:type="pct"/>
            <w:shd w:val="clear" w:color="auto" w:fill="FFFFFF" w:themeFill="background1"/>
            <w:vAlign w:val="center"/>
          </w:tcPr>
          <w:p w:rsidRPr="00AE1B2B" w:rsidR="009D3FB5" w:rsidP="00163B94" w:rsidRDefault="009D3FB5" w14:paraId="26A50A8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rendimiento por persona técnica judicial de demanda nueva</w:t>
            </w:r>
          </w:p>
        </w:tc>
        <w:tc>
          <w:tcPr>
            <w:tcW w:w="3050" w:type="pct"/>
            <w:shd w:val="clear" w:color="auto" w:fill="auto"/>
            <w:vAlign w:val="center"/>
          </w:tcPr>
          <w:p w:rsidRPr="00AE1B2B" w:rsidR="009D3FB5" w:rsidP="00163B94" w:rsidRDefault="009D3FB5" w14:paraId="2491F2C0" w14:textId="77777777">
            <w:pPr>
              <w:spacing w:before="120" w:after="120" w:line="276" w:lineRule="auto"/>
              <w:rPr>
                <w:rFonts w:ascii="Times New Roman" w:hAnsi="Times New Roman" w:eastAsia="Times New Roman" w:cs="Times New Roman"/>
                <w:i/>
                <w:iCs/>
                <w:lang w:eastAsia="es-CR"/>
              </w:rPr>
            </w:pPr>
            <w:r w:rsidRPr="00AE1B2B">
              <w:rPr>
                <w:rFonts w:ascii="Times New Roman" w:hAnsi="Times New Roman" w:eastAsia="Times New Roman" w:cs="Times New Roman"/>
                <w:lang w:eastAsia="es-CR"/>
              </w:rPr>
              <w:t xml:space="preserve">Se calcula: </w:t>
            </w:r>
            <w:r w:rsidRPr="00AE1B2B">
              <w:rPr>
                <w:rFonts w:ascii="Times New Roman" w:hAnsi="Times New Roman" w:eastAsia="Times New Roman" w:cs="Times New Roman"/>
                <w:i/>
                <w:iCs/>
                <w:lang w:eastAsia="es-CR"/>
              </w:rPr>
              <w:t>(Cantidad de demandas nuevas pasadas a firmar / Cantidad de demandas a realizar)</w:t>
            </w:r>
          </w:p>
          <w:p w:rsidRPr="00AE1B2B" w:rsidR="009D3FB5" w:rsidP="00163B94" w:rsidRDefault="009D3FB5" w14:paraId="0E1A8672"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está definido en 90% a 100%</w:t>
            </w:r>
          </w:p>
        </w:tc>
      </w:tr>
      <w:tr w:rsidRPr="00AE1B2B" w:rsidR="00AE1B2B" w:rsidTr="009D3FB5" w14:paraId="5C80B105" w14:textId="77777777">
        <w:trPr>
          <w:cantSplit/>
          <w:trHeight w:val="20"/>
          <w:jc w:val="center"/>
        </w:trPr>
        <w:tc>
          <w:tcPr>
            <w:tcW w:w="470" w:type="pct"/>
            <w:vMerge/>
            <w:shd w:val="clear" w:color="auto" w:fill="FFFFFF" w:themeFill="background1"/>
          </w:tcPr>
          <w:p w:rsidRPr="00AE1B2B" w:rsidR="009D3FB5" w:rsidP="00163B94" w:rsidRDefault="009D3FB5" w14:paraId="035AB007"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491FBB0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38</w:t>
            </w:r>
          </w:p>
        </w:tc>
        <w:tc>
          <w:tcPr>
            <w:tcW w:w="1049" w:type="pct"/>
            <w:shd w:val="clear" w:color="auto" w:fill="FFFFFF" w:themeFill="background1"/>
            <w:vAlign w:val="center"/>
          </w:tcPr>
          <w:p w:rsidRPr="00AE1B2B" w:rsidR="009D3FB5" w:rsidP="00163B94" w:rsidRDefault="009D3FB5" w14:paraId="61570E7A"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expedientes pendientes de fallo</w:t>
            </w:r>
          </w:p>
        </w:tc>
        <w:tc>
          <w:tcPr>
            <w:tcW w:w="3050" w:type="pct"/>
            <w:shd w:val="clear" w:color="auto" w:fill="auto"/>
            <w:vAlign w:val="center"/>
          </w:tcPr>
          <w:p w:rsidRPr="00AE1B2B" w:rsidR="009D3FB5" w:rsidP="00163B94" w:rsidRDefault="009D3FB5" w14:paraId="63D33FB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se obtiene del Módulo de pase a fallo del Escritorio Virtual o Libro de Pase a Fallo.</w:t>
            </w:r>
          </w:p>
          <w:p w:rsidRPr="00AE1B2B" w:rsidR="009D3FB5" w:rsidP="00163B94" w:rsidRDefault="009D3FB5" w14:paraId="3A40A18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corresponde a la cantidad que debe resolver en un mes una persona juzgadora.</w:t>
            </w:r>
          </w:p>
        </w:tc>
      </w:tr>
      <w:tr w:rsidRPr="00AE1B2B" w:rsidR="00AE1B2B" w:rsidTr="009D3FB5" w14:paraId="24D6A4A9" w14:textId="77777777">
        <w:trPr>
          <w:cantSplit/>
          <w:trHeight w:val="20"/>
          <w:jc w:val="center"/>
        </w:trPr>
        <w:tc>
          <w:tcPr>
            <w:tcW w:w="470" w:type="pct"/>
            <w:vMerge/>
            <w:shd w:val="clear" w:color="auto" w:fill="FFFFFF" w:themeFill="background1"/>
          </w:tcPr>
          <w:p w:rsidRPr="00AE1B2B" w:rsidR="009D3FB5" w:rsidP="00163B94" w:rsidRDefault="009D3FB5" w14:paraId="501400E1"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2A729F71"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39</w:t>
            </w:r>
          </w:p>
        </w:tc>
        <w:tc>
          <w:tcPr>
            <w:tcW w:w="1049" w:type="pct"/>
            <w:shd w:val="clear" w:color="auto" w:fill="FFFFFF" w:themeFill="background1"/>
            <w:vAlign w:val="center"/>
          </w:tcPr>
          <w:p w:rsidRPr="00AE1B2B" w:rsidR="009D3FB5" w:rsidP="00163B94" w:rsidRDefault="009D3FB5" w14:paraId="0A5B7484"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sentencias dictadas por persona juzgadora</w:t>
            </w:r>
          </w:p>
        </w:tc>
        <w:tc>
          <w:tcPr>
            <w:tcW w:w="3050" w:type="pct"/>
            <w:shd w:val="clear" w:color="auto" w:fill="auto"/>
            <w:vAlign w:val="center"/>
          </w:tcPr>
          <w:p w:rsidRPr="00AE1B2B" w:rsidR="009D3FB5" w:rsidP="00163B94" w:rsidRDefault="009D3FB5" w14:paraId="7191A3D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Contabiliza la cantidad global de sentencias dictadas por cada persona juzgadora, según la división del tipo: </w:t>
            </w:r>
            <w:r w:rsidRPr="00AE1B2B">
              <w:rPr>
                <w:rFonts w:ascii="Times New Roman" w:hAnsi="Times New Roman" w:eastAsia="Times New Roman" w:cs="Times New Roman"/>
                <w:i/>
                <w:iCs/>
                <w:lang w:eastAsia="es-CR"/>
              </w:rPr>
              <w:t>Sentencias Principal, procesos de modificación, incidente de restitución de cuotas, conciliación.</w:t>
            </w:r>
          </w:p>
          <w:p w:rsidRPr="00AE1B2B" w:rsidR="009D3FB5" w:rsidP="00163B94" w:rsidRDefault="009D3FB5" w14:paraId="7B47A90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se obtiene Módulo de pase a fallo del Escritorio Virtual o Libro de Pase a Fallo.</w:t>
            </w:r>
          </w:p>
          <w:p w:rsidRPr="00AE1B2B" w:rsidR="009D3FB5" w:rsidP="00163B94" w:rsidRDefault="009D3FB5" w14:paraId="072B57D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define luego de la aprobación de la cuota de trabajo para el terminado por cada tipo.</w:t>
            </w:r>
          </w:p>
        </w:tc>
      </w:tr>
      <w:tr w:rsidRPr="00AE1B2B" w:rsidR="00AE1B2B" w:rsidTr="009D3FB5" w14:paraId="518B98ED" w14:textId="77777777">
        <w:trPr>
          <w:cantSplit/>
          <w:trHeight w:val="20"/>
          <w:jc w:val="center"/>
        </w:trPr>
        <w:tc>
          <w:tcPr>
            <w:tcW w:w="470" w:type="pct"/>
            <w:vMerge/>
            <w:shd w:val="clear" w:color="auto" w:fill="FFFFFF" w:themeFill="background1"/>
          </w:tcPr>
          <w:p w:rsidRPr="00AE1B2B" w:rsidR="009D3FB5" w:rsidP="00163B94" w:rsidRDefault="009D3FB5" w14:paraId="5977A609"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5E297B6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40</w:t>
            </w:r>
          </w:p>
        </w:tc>
        <w:tc>
          <w:tcPr>
            <w:tcW w:w="1049" w:type="pct"/>
            <w:shd w:val="clear" w:color="auto" w:fill="FFFFFF" w:themeFill="background1"/>
            <w:vAlign w:val="center"/>
          </w:tcPr>
          <w:p w:rsidRPr="00AE1B2B" w:rsidR="009D3FB5" w:rsidP="00163B94" w:rsidRDefault="009D3FB5" w14:paraId="78706AAB"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resoluciones realizadas por persona juzgadora de conciliación</w:t>
            </w:r>
          </w:p>
        </w:tc>
        <w:tc>
          <w:tcPr>
            <w:tcW w:w="3050" w:type="pct"/>
            <w:shd w:val="clear" w:color="auto" w:fill="auto"/>
            <w:vAlign w:val="center"/>
          </w:tcPr>
          <w:p w:rsidRPr="00AE1B2B" w:rsidR="009D3FB5" w:rsidP="00163B94" w:rsidRDefault="009D3FB5" w14:paraId="0BB9282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Contabiliza la cantidad global de resoluciones dictadas por cada persona juzgadora de etapa de conciliación, según la división del tipo: </w:t>
            </w:r>
            <w:r w:rsidRPr="00AE1B2B">
              <w:rPr>
                <w:rFonts w:ascii="Times New Roman" w:hAnsi="Times New Roman" w:eastAsia="Times New Roman" w:cs="Times New Roman"/>
                <w:i/>
                <w:iCs/>
                <w:lang w:eastAsia="es-CR"/>
              </w:rPr>
              <w:t>fijaciones provisionales, recursos de revocatoria, beneficios, sentencias en conciliación.</w:t>
            </w:r>
          </w:p>
          <w:p w:rsidRPr="00AE1B2B" w:rsidR="009D3FB5" w:rsidP="00163B94" w:rsidRDefault="009D3FB5" w14:paraId="5946D1C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se obtiene del Módulo de pase a fallo del Escritorio Virtual o Libro de Pase a Fallo.</w:t>
            </w:r>
          </w:p>
          <w:p w:rsidRPr="00AE1B2B" w:rsidR="009D3FB5" w:rsidP="00163B94" w:rsidRDefault="009D3FB5" w14:paraId="0CEBEA63"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define luego de la aprobación de la cuota de trabajo para el terminado por cada tipo.</w:t>
            </w:r>
          </w:p>
        </w:tc>
      </w:tr>
      <w:tr w:rsidRPr="00AE1B2B" w:rsidR="00AE1B2B" w:rsidTr="009D3FB5" w14:paraId="3990EA34" w14:textId="77777777">
        <w:trPr>
          <w:cantSplit/>
          <w:trHeight w:val="20"/>
          <w:jc w:val="center"/>
        </w:trPr>
        <w:tc>
          <w:tcPr>
            <w:tcW w:w="470" w:type="pct"/>
            <w:vMerge/>
            <w:shd w:val="clear" w:color="auto" w:fill="FFFFFF" w:themeFill="background1"/>
          </w:tcPr>
          <w:p w:rsidRPr="00AE1B2B" w:rsidR="009D3FB5" w:rsidP="00163B94" w:rsidRDefault="009D3FB5" w14:paraId="7376A871"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2A28E9E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41</w:t>
            </w:r>
          </w:p>
        </w:tc>
        <w:tc>
          <w:tcPr>
            <w:tcW w:w="1049" w:type="pct"/>
            <w:shd w:val="clear" w:color="auto" w:fill="FFFFFF" w:themeFill="background1"/>
            <w:vAlign w:val="center"/>
          </w:tcPr>
          <w:p w:rsidRPr="00AE1B2B" w:rsidR="009D3FB5" w:rsidP="00163B94" w:rsidRDefault="009D3FB5" w14:paraId="7EA2A160"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Cantidad de resoluciones firmadas por persona juzgadora</w:t>
            </w:r>
          </w:p>
        </w:tc>
        <w:tc>
          <w:tcPr>
            <w:tcW w:w="3050" w:type="pct"/>
            <w:shd w:val="clear" w:color="auto" w:fill="auto"/>
            <w:vAlign w:val="center"/>
          </w:tcPr>
          <w:p w:rsidRPr="00AE1B2B" w:rsidR="009D3FB5" w:rsidP="00163B94" w:rsidRDefault="009D3FB5" w14:paraId="4015EB3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 la cantidad de resoluciones firmadas por cada persona juzgadora.</w:t>
            </w:r>
          </w:p>
          <w:p w:rsidRPr="00AE1B2B" w:rsidR="009D3FB5" w:rsidP="00163B94" w:rsidRDefault="009D3FB5" w14:paraId="23EE7DAC"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Este dato es el total de resoluciones firmadas por las personas juzgadoras del despacho, se obtiene de la consulta en el Escritorio Virtual, a las estadísticas de firmado de documentos y expedientes por cada una de las personas juzgadoras.</w:t>
            </w:r>
          </w:p>
          <w:p w:rsidRPr="00AE1B2B" w:rsidR="009D3FB5" w:rsidP="00163B94" w:rsidRDefault="009D3FB5" w14:paraId="0F57E24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Pr="00AE1B2B" w:rsidR="00AE1B2B" w:rsidTr="009D3FB5" w14:paraId="1211FCF5" w14:textId="77777777">
        <w:trPr>
          <w:cantSplit/>
          <w:trHeight w:val="20"/>
          <w:jc w:val="center"/>
        </w:trPr>
        <w:tc>
          <w:tcPr>
            <w:tcW w:w="470" w:type="pct"/>
            <w:shd w:val="clear" w:color="auto" w:fill="FFFFFF" w:themeFill="background1"/>
          </w:tcPr>
          <w:p w:rsidRPr="00AE1B2B" w:rsidR="009D3FB5" w:rsidP="00163B94" w:rsidRDefault="009D3FB5" w14:paraId="0775A503" w14:textId="77777777">
            <w:pPr>
              <w:spacing w:before="120" w:after="120" w:line="276" w:lineRule="auto"/>
              <w:jc w:val="center"/>
              <w:rPr>
                <w:rFonts w:ascii="Times New Roman" w:hAnsi="Times New Roman" w:eastAsia="Times New Roman" w:cs="Times New Roman"/>
                <w:b/>
                <w:bCs/>
                <w:lang w:eastAsia="es-CR"/>
              </w:rPr>
            </w:pPr>
          </w:p>
        </w:tc>
        <w:tc>
          <w:tcPr>
            <w:tcW w:w="431" w:type="pct"/>
            <w:shd w:val="clear" w:color="auto" w:fill="FFFFFF" w:themeFill="background1"/>
            <w:vAlign w:val="center"/>
          </w:tcPr>
          <w:p w:rsidRPr="00AE1B2B" w:rsidR="009D3FB5" w:rsidP="00163B94" w:rsidRDefault="009D3FB5" w14:paraId="4748089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42</w:t>
            </w:r>
          </w:p>
        </w:tc>
        <w:tc>
          <w:tcPr>
            <w:tcW w:w="1049" w:type="pct"/>
            <w:shd w:val="clear" w:color="auto" w:fill="auto"/>
            <w:vAlign w:val="center"/>
          </w:tcPr>
          <w:p w:rsidRPr="00AE1B2B" w:rsidR="009D3FB5" w:rsidP="00163B94" w:rsidRDefault="009D3FB5" w14:paraId="317E0137"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Porcentaje de rendimiento por persona juzgadora</w:t>
            </w:r>
          </w:p>
        </w:tc>
        <w:tc>
          <w:tcPr>
            <w:tcW w:w="3050" w:type="pct"/>
            <w:shd w:val="clear" w:color="auto" w:fill="auto"/>
            <w:vAlign w:val="center"/>
          </w:tcPr>
          <w:p w:rsidRPr="00AE1B2B" w:rsidR="009D3FB5" w:rsidP="00163B94" w:rsidRDefault="009D3FB5" w14:paraId="4A01609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Se calcula para cada persona juzgadora (fondo-conciliación y trámite): </w:t>
            </w:r>
            <w:r w:rsidRPr="00AE1B2B">
              <w:rPr>
                <w:rFonts w:ascii="Times New Roman" w:hAnsi="Times New Roman" w:eastAsia="Times New Roman" w:cs="Times New Roman"/>
                <w:i/>
                <w:iCs/>
                <w:lang w:eastAsia="es-CR"/>
              </w:rPr>
              <w:t>(cuota realizada / cuota establecida)</w:t>
            </w:r>
            <w:r w:rsidRPr="00AE1B2B">
              <w:rPr>
                <w:rFonts w:ascii="Times New Roman" w:hAnsi="Times New Roman" w:eastAsia="Times New Roman" w:cs="Times New Roman"/>
                <w:lang w:eastAsia="es-CR"/>
              </w:rPr>
              <w:t xml:space="preserve">. </w:t>
            </w:r>
          </w:p>
          <w:p w:rsidRPr="00AE1B2B" w:rsidR="009D3FB5" w:rsidP="00163B94" w:rsidRDefault="009D3FB5" w14:paraId="31E350E1"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Se toma en cuenta los días laborados por cada una de las personas juzgadora en el mes, según la cuota de trabajo diaria de sentencias definida.</w:t>
            </w:r>
          </w:p>
          <w:p w:rsidRPr="00AE1B2B" w:rsidR="009D3FB5" w:rsidP="00163B94" w:rsidRDefault="009D3FB5" w14:paraId="78A2A14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El parámetro está definido en 95% a 100%</w:t>
            </w:r>
          </w:p>
        </w:tc>
      </w:tr>
    </w:tbl>
    <w:p w:rsidRPr="00AE1B2B" w:rsidR="009D3FB5" w:rsidP="00163B94" w:rsidRDefault="009D3FB5" w14:paraId="572206AA" w14:textId="77777777">
      <w:pPr>
        <w:spacing w:before="120" w:after="120" w:line="276" w:lineRule="auto"/>
        <w:rPr>
          <w:rFonts w:ascii="Times New Roman" w:hAnsi="Times New Roman" w:cs="Times New Roman"/>
          <w:sz w:val="24"/>
          <w:szCs w:val="24"/>
        </w:rPr>
      </w:pPr>
    </w:p>
    <w:p w:rsidRPr="00AE1B2B" w:rsidR="009D3FB5" w:rsidP="00163B94" w:rsidRDefault="009D3FB5" w14:paraId="4F66826C" w14:textId="77777777">
      <w:pPr>
        <w:spacing w:before="120" w:after="120" w:line="276" w:lineRule="auto"/>
        <w:rPr>
          <w:rFonts w:ascii="Times New Roman" w:hAnsi="Times New Roman" w:cs="Times New Roman"/>
          <w:sz w:val="24"/>
          <w:szCs w:val="24"/>
        </w:rPr>
      </w:pPr>
    </w:p>
    <w:p w:rsidRPr="00AE1B2B" w:rsidR="009D3FB5" w:rsidP="00163B94" w:rsidRDefault="009D3FB5" w14:paraId="2AA63AD5" w14:textId="77777777">
      <w:pPr>
        <w:spacing w:before="120" w:after="120" w:line="276" w:lineRule="auto"/>
        <w:rPr>
          <w:rFonts w:ascii="Times New Roman" w:hAnsi="Times New Roman" w:cs="Times New Roman"/>
          <w:sz w:val="24"/>
          <w:szCs w:val="24"/>
        </w:rPr>
      </w:pPr>
    </w:p>
    <w:p w:rsidRPr="00AE1B2B" w:rsidR="009D3FB5" w:rsidP="00163B94" w:rsidRDefault="009D3FB5" w14:paraId="462BCFCD" w14:textId="77777777">
      <w:pPr>
        <w:spacing w:before="120" w:after="120" w:line="276" w:lineRule="auto"/>
        <w:rPr>
          <w:rFonts w:ascii="Times New Roman" w:hAnsi="Times New Roman" w:cs="Times New Roman"/>
          <w:sz w:val="24"/>
          <w:szCs w:val="24"/>
        </w:rPr>
      </w:pPr>
    </w:p>
    <w:p w:rsidRPr="00AE1B2B" w:rsidR="009D3FB5" w:rsidP="00163B94" w:rsidRDefault="003979DE" w14:paraId="19CFBDD2" w14:textId="1C130946">
      <w:pPr>
        <w:spacing w:before="120" w:after="120"/>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8.9 </w:t>
      </w:r>
      <w:r w:rsidRPr="00AE1B2B" w:rsidR="009D3FB5">
        <w:rPr>
          <w:rFonts w:ascii="Times New Roman" w:hAnsi="Times New Roman" w:cs="Times New Roman"/>
          <w:sz w:val="26"/>
          <w:szCs w:val="26"/>
        </w:rPr>
        <w:t>Impacto del Código Procesal de Familia a partir del 22 de octubre de 2022 en materia de Pensiones Alimentarias</w:t>
      </w:r>
    </w:p>
    <w:p w:rsidRPr="00AE1B2B" w:rsidR="009D3FB5" w:rsidP="00163B94" w:rsidRDefault="009D3FB5" w14:paraId="51B1ECAB" w14:textId="77777777">
      <w:pPr>
        <w:spacing w:before="120" w:after="120"/>
        <w:ind w:left="851" w:right="851" w:firstLine="709"/>
        <w:rPr>
          <w:rFonts w:ascii="Times New Roman" w:hAnsi="Times New Roman" w:cs="Times New Roman"/>
          <w:sz w:val="26"/>
          <w:szCs w:val="26"/>
        </w:rPr>
      </w:pPr>
    </w:p>
    <w:p w:rsidRPr="00AE1B2B" w:rsidR="009D3FB5" w:rsidP="00163B94" w:rsidRDefault="009D3FB5" w14:paraId="31D12B9F" w14:textId="77777777">
      <w:pPr>
        <w:spacing w:before="120" w:after="120"/>
        <w:ind w:left="851" w:right="851" w:firstLine="709"/>
        <w:rPr>
          <w:rFonts w:ascii="Times New Roman" w:hAnsi="Times New Roman" w:cs="Times New Roman"/>
          <w:sz w:val="26"/>
          <w:szCs w:val="26"/>
        </w:rPr>
      </w:pPr>
      <w:r w:rsidRPr="00AE1B2B">
        <w:rPr>
          <w:rFonts w:ascii="Times New Roman" w:hAnsi="Times New Roman" w:cs="Times New Roman"/>
          <w:sz w:val="26"/>
          <w:szCs w:val="26"/>
        </w:rPr>
        <w:t>Análisis de cargas de trabajo actual y proyectada</w:t>
      </w:r>
    </w:p>
    <w:p w:rsidRPr="00AE1B2B" w:rsidR="009D3FB5" w:rsidP="00163B94" w:rsidRDefault="009D3FB5" w14:paraId="408341E3" w14:textId="77777777">
      <w:pPr>
        <w:spacing w:before="120" w:after="120"/>
        <w:ind w:left="851" w:right="851" w:firstLine="709"/>
        <w:rPr>
          <w:rFonts w:ascii="Times New Roman" w:hAnsi="Times New Roman" w:cs="Times New Roman"/>
          <w:sz w:val="26"/>
          <w:szCs w:val="26"/>
        </w:rPr>
      </w:pPr>
      <w:r w:rsidRPr="00AE1B2B">
        <w:rPr>
          <w:rFonts w:ascii="Times New Roman" w:hAnsi="Times New Roman" w:cs="Times New Roman"/>
          <w:sz w:val="26"/>
          <w:szCs w:val="26"/>
        </w:rPr>
        <w:t>Con la finalidad de conocer el estado actual de los juzgados que atienden la materia de Pensiones Alimentarias, se analiza el comportamiento de los 12 despachos especializados que conocen esta materia, según los datos de 2017 a 2019, a fin de establecer los valores promedio mensual de asuntos entrados.</w:t>
      </w:r>
    </w:p>
    <w:p w:rsidRPr="00AE1B2B" w:rsidR="009D3FB5" w:rsidP="00163B94" w:rsidRDefault="009D3FB5" w14:paraId="0683741D" w14:textId="77777777">
      <w:pPr>
        <w:spacing w:before="120" w:after="120"/>
        <w:ind w:left="851" w:right="851" w:firstLine="709"/>
        <w:rPr>
          <w:rFonts w:ascii="Times New Roman" w:hAnsi="Times New Roman" w:cs="Times New Roman"/>
          <w:sz w:val="26"/>
          <w:szCs w:val="26"/>
        </w:rPr>
      </w:pPr>
    </w:p>
    <w:p w:rsidRPr="00AE1B2B" w:rsidR="009D3FB5" w:rsidP="00163B94" w:rsidRDefault="009D3FB5" w14:paraId="7C0A3D6B" w14:textId="0BC8041A">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59</w:t>
      </w:r>
      <w:r w:rsidRPr="00AE1B2B">
        <w:rPr>
          <w:rFonts w:ascii="Times New Roman" w:hAnsi="Times New Roman" w:cs="Times New Roman"/>
          <w:sz w:val="26"/>
          <w:szCs w:val="26"/>
        </w:rPr>
        <w:fldChar w:fldCharType="end"/>
      </w:r>
    </w:p>
    <w:p w:rsidRPr="00AE1B2B" w:rsidR="009D3FB5" w:rsidP="00163B94" w:rsidRDefault="009D3FB5" w14:paraId="2FE33D9D" w14:textId="135209C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Movimiento histórico de los asuntos en los Juzgados</w:t>
      </w:r>
    </w:p>
    <w:p w:rsidRPr="00AE1B2B" w:rsidR="009D3FB5" w:rsidP="00163B94" w:rsidRDefault="009D3FB5" w14:paraId="3BBF80BC"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Especializados de la materia de Pensiones Alimentarias, del 2017 al 2019.</w:t>
      </w:r>
    </w:p>
    <w:tbl>
      <w:tblPr>
        <w:tblW w:w="5000" w:type="pct"/>
        <w:tblLayout w:type="fixed"/>
        <w:tblCellMar>
          <w:left w:w="70" w:type="dxa"/>
          <w:right w:w="70" w:type="dxa"/>
        </w:tblCellMar>
        <w:tblLook w:val="04A0" w:firstRow="1" w:lastRow="0" w:firstColumn="1" w:lastColumn="0" w:noHBand="0" w:noVBand="1"/>
      </w:tblPr>
      <w:tblGrid>
        <w:gridCol w:w="2548"/>
        <w:gridCol w:w="1216"/>
        <w:gridCol w:w="1194"/>
        <w:gridCol w:w="920"/>
        <w:gridCol w:w="1056"/>
        <w:gridCol w:w="948"/>
        <w:gridCol w:w="946"/>
      </w:tblGrid>
      <w:tr w:rsidRPr="00AE1B2B" w:rsidR="00AE1B2B" w:rsidTr="009D3FB5" w14:paraId="66BA343C" w14:textId="77777777">
        <w:trPr>
          <w:trHeight w:val="330"/>
          <w:tblHeader/>
        </w:trPr>
        <w:tc>
          <w:tcPr>
            <w:tcW w:w="1443" w:type="pct"/>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3CBA77D3" w14:textId="77777777">
            <w:pPr>
              <w:spacing w:before="120" w:after="120" w:line="276" w:lineRule="auto"/>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Despacho</w:t>
            </w:r>
          </w:p>
        </w:tc>
        <w:tc>
          <w:tcPr>
            <w:tcW w:w="689" w:type="pct"/>
            <w:vMerge w:val="restart"/>
            <w:tcBorders>
              <w:top w:val="single" w:color="auto" w:sz="4" w:space="0"/>
              <w:left w:val="single" w:color="auto" w:sz="4" w:space="0"/>
              <w:bottom w:val="single" w:color="000000" w:sz="4" w:space="0"/>
              <w:right w:val="single" w:color="auto" w:sz="4" w:space="0"/>
            </w:tcBorders>
            <w:shd w:val="clear" w:color="000000" w:fill="002060"/>
            <w:vAlign w:val="center"/>
            <w:hideMark/>
          </w:tcPr>
          <w:p w:rsidRPr="00AE1B2B" w:rsidR="009D3FB5" w:rsidP="00163B94" w:rsidRDefault="009D3FB5" w14:paraId="5893B716" w14:textId="77777777">
            <w:pPr>
              <w:spacing w:before="120" w:after="120" w:line="276" w:lineRule="auto"/>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Promedio de Entrados totales 2017 a 2019 (A)</w:t>
            </w:r>
          </w:p>
        </w:tc>
        <w:tc>
          <w:tcPr>
            <w:tcW w:w="676" w:type="pct"/>
            <w:vMerge w:val="restart"/>
            <w:tcBorders>
              <w:top w:val="single" w:color="auto" w:sz="4" w:space="0"/>
              <w:left w:val="single" w:color="auto" w:sz="4" w:space="0"/>
              <w:bottom w:val="single" w:color="000000" w:sz="4" w:space="0"/>
              <w:right w:val="single" w:color="auto" w:sz="4" w:space="0"/>
            </w:tcBorders>
            <w:shd w:val="clear" w:color="000000" w:fill="002060"/>
            <w:vAlign w:val="center"/>
            <w:hideMark/>
          </w:tcPr>
          <w:p w:rsidRPr="00AE1B2B" w:rsidR="009D3FB5" w:rsidP="00163B94" w:rsidRDefault="009D3FB5" w14:paraId="35E3B43D" w14:textId="77777777">
            <w:pPr>
              <w:spacing w:before="120" w:after="120" w:line="276" w:lineRule="auto"/>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Promedio de procesos de modificación de fallo entrados 2017 a 2019 (B)</w:t>
            </w:r>
          </w:p>
        </w:tc>
        <w:tc>
          <w:tcPr>
            <w:tcW w:w="521" w:type="pct"/>
            <w:vMerge w:val="restart"/>
            <w:tcBorders>
              <w:top w:val="single" w:color="auto" w:sz="4" w:space="0"/>
              <w:left w:val="single" w:color="auto" w:sz="4" w:space="0"/>
              <w:bottom w:val="single" w:color="000000" w:sz="4" w:space="0"/>
              <w:right w:val="single" w:color="auto" w:sz="4" w:space="0"/>
            </w:tcBorders>
            <w:shd w:val="clear" w:color="000000" w:fill="002060"/>
            <w:vAlign w:val="center"/>
            <w:hideMark/>
          </w:tcPr>
          <w:p w:rsidRPr="00AE1B2B" w:rsidR="009D3FB5" w:rsidP="00163B94" w:rsidRDefault="009D3FB5" w14:paraId="7B865B8D" w14:textId="77777777">
            <w:pPr>
              <w:spacing w:before="120" w:after="120" w:line="276" w:lineRule="auto"/>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Apremios 2019 (C)</w:t>
            </w:r>
          </w:p>
        </w:tc>
        <w:tc>
          <w:tcPr>
            <w:tcW w:w="598" w:type="pct"/>
            <w:vMerge w:val="restart"/>
            <w:tcBorders>
              <w:top w:val="single" w:color="auto" w:sz="4" w:space="0"/>
              <w:left w:val="single" w:color="auto" w:sz="4" w:space="0"/>
              <w:bottom w:val="single" w:color="000000" w:sz="4" w:space="0"/>
              <w:right w:val="single" w:color="auto" w:sz="4" w:space="0"/>
            </w:tcBorders>
            <w:shd w:val="clear" w:color="000000" w:fill="002060"/>
            <w:vAlign w:val="center"/>
            <w:hideMark/>
          </w:tcPr>
          <w:p w:rsidRPr="00AE1B2B" w:rsidR="009D3FB5" w:rsidP="00163B94" w:rsidRDefault="009D3FB5" w14:paraId="6C7336CB" w14:textId="77777777">
            <w:pPr>
              <w:spacing w:before="120" w:after="120" w:line="276" w:lineRule="auto"/>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Entrados Mensuales promedio (A+B+C)</w:t>
            </w:r>
          </w:p>
        </w:tc>
        <w:tc>
          <w:tcPr>
            <w:tcW w:w="1073" w:type="pct"/>
            <w:gridSpan w:val="2"/>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1B09EC48" w14:textId="77777777">
            <w:pPr>
              <w:spacing w:before="120" w:after="120" w:line="276" w:lineRule="auto"/>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Entrados mensuales</w:t>
            </w:r>
          </w:p>
        </w:tc>
      </w:tr>
      <w:tr w:rsidRPr="00AE1B2B" w:rsidR="00AE1B2B" w:rsidTr="009D3FB5" w14:paraId="7A476223" w14:textId="77777777">
        <w:trPr>
          <w:trHeight w:val="563"/>
          <w:tblHeader/>
        </w:trPr>
        <w:tc>
          <w:tcPr>
            <w:tcW w:w="1443" w:type="pct"/>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1072D6D7" w14:textId="77777777">
            <w:pPr>
              <w:spacing w:before="120" w:after="120" w:line="276" w:lineRule="auto"/>
              <w:rPr>
                <w:rFonts w:ascii="Times New Roman" w:hAnsi="Times New Roman" w:eastAsia="Times New Roman" w:cs="Times New Roman"/>
                <w:b/>
                <w:bCs/>
                <w:sz w:val="18"/>
                <w:szCs w:val="18"/>
                <w:lang w:eastAsia="es-CR"/>
              </w:rPr>
            </w:pPr>
          </w:p>
        </w:tc>
        <w:tc>
          <w:tcPr>
            <w:tcW w:w="689" w:type="pct"/>
            <w:vMerge/>
            <w:tcBorders>
              <w:top w:val="single" w:color="auto" w:sz="4" w:space="0"/>
              <w:left w:val="single" w:color="auto" w:sz="4" w:space="0"/>
              <w:bottom w:val="single" w:color="000000" w:sz="4" w:space="0"/>
              <w:right w:val="single" w:color="auto" w:sz="4" w:space="0"/>
            </w:tcBorders>
            <w:vAlign w:val="center"/>
            <w:hideMark/>
          </w:tcPr>
          <w:p w:rsidRPr="00AE1B2B" w:rsidR="009D3FB5" w:rsidP="00163B94" w:rsidRDefault="009D3FB5" w14:paraId="20A89EF2" w14:textId="77777777">
            <w:pPr>
              <w:spacing w:before="120" w:after="120" w:line="276" w:lineRule="auto"/>
              <w:rPr>
                <w:rFonts w:ascii="Times New Roman" w:hAnsi="Times New Roman" w:eastAsia="Times New Roman" w:cs="Times New Roman"/>
                <w:b/>
                <w:bCs/>
                <w:sz w:val="18"/>
                <w:szCs w:val="18"/>
                <w:lang w:eastAsia="es-CR"/>
              </w:rPr>
            </w:pPr>
          </w:p>
        </w:tc>
        <w:tc>
          <w:tcPr>
            <w:tcW w:w="676" w:type="pct"/>
            <w:vMerge/>
            <w:tcBorders>
              <w:top w:val="single" w:color="auto" w:sz="4" w:space="0"/>
              <w:left w:val="single" w:color="auto" w:sz="4" w:space="0"/>
              <w:bottom w:val="single" w:color="000000" w:sz="4" w:space="0"/>
              <w:right w:val="single" w:color="auto" w:sz="4" w:space="0"/>
            </w:tcBorders>
            <w:vAlign w:val="center"/>
            <w:hideMark/>
          </w:tcPr>
          <w:p w:rsidRPr="00AE1B2B" w:rsidR="009D3FB5" w:rsidP="00163B94" w:rsidRDefault="009D3FB5" w14:paraId="7FE65D29" w14:textId="77777777">
            <w:pPr>
              <w:spacing w:before="120" w:after="120" w:line="276" w:lineRule="auto"/>
              <w:rPr>
                <w:rFonts w:ascii="Times New Roman" w:hAnsi="Times New Roman" w:eastAsia="Times New Roman" w:cs="Times New Roman"/>
                <w:b/>
                <w:bCs/>
                <w:sz w:val="18"/>
                <w:szCs w:val="18"/>
                <w:lang w:eastAsia="es-CR"/>
              </w:rPr>
            </w:pPr>
          </w:p>
        </w:tc>
        <w:tc>
          <w:tcPr>
            <w:tcW w:w="521" w:type="pct"/>
            <w:vMerge/>
            <w:tcBorders>
              <w:top w:val="single" w:color="auto" w:sz="4" w:space="0"/>
              <w:left w:val="single" w:color="auto" w:sz="4" w:space="0"/>
              <w:bottom w:val="single" w:color="000000" w:sz="4" w:space="0"/>
              <w:right w:val="single" w:color="auto" w:sz="4" w:space="0"/>
            </w:tcBorders>
            <w:vAlign w:val="center"/>
            <w:hideMark/>
          </w:tcPr>
          <w:p w:rsidRPr="00AE1B2B" w:rsidR="009D3FB5" w:rsidP="00163B94" w:rsidRDefault="009D3FB5" w14:paraId="4390F763" w14:textId="77777777">
            <w:pPr>
              <w:spacing w:before="120" w:after="120" w:line="276" w:lineRule="auto"/>
              <w:rPr>
                <w:rFonts w:ascii="Times New Roman" w:hAnsi="Times New Roman" w:eastAsia="Times New Roman" w:cs="Times New Roman"/>
                <w:b/>
                <w:bCs/>
                <w:sz w:val="18"/>
                <w:szCs w:val="18"/>
                <w:lang w:eastAsia="es-CR"/>
              </w:rPr>
            </w:pPr>
          </w:p>
        </w:tc>
        <w:tc>
          <w:tcPr>
            <w:tcW w:w="598" w:type="pct"/>
            <w:vMerge/>
            <w:tcBorders>
              <w:top w:val="single" w:color="auto" w:sz="4" w:space="0"/>
              <w:left w:val="single" w:color="auto" w:sz="4" w:space="0"/>
              <w:bottom w:val="single" w:color="000000" w:sz="4" w:space="0"/>
              <w:right w:val="single" w:color="auto" w:sz="4" w:space="0"/>
            </w:tcBorders>
            <w:vAlign w:val="center"/>
            <w:hideMark/>
          </w:tcPr>
          <w:p w:rsidRPr="00AE1B2B" w:rsidR="009D3FB5" w:rsidP="00163B94" w:rsidRDefault="009D3FB5" w14:paraId="2B6F76CB" w14:textId="77777777">
            <w:pPr>
              <w:spacing w:before="120" w:after="120" w:line="276" w:lineRule="auto"/>
              <w:rPr>
                <w:rFonts w:ascii="Times New Roman" w:hAnsi="Times New Roman" w:eastAsia="Times New Roman" w:cs="Times New Roman"/>
                <w:b/>
                <w:bCs/>
                <w:sz w:val="18"/>
                <w:szCs w:val="18"/>
                <w:lang w:eastAsia="es-CR"/>
              </w:rPr>
            </w:pPr>
          </w:p>
        </w:tc>
        <w:tc>
          <w:tcPr>
            <w:tcW w:w="537" w:type="pct"/>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6E2D1DD0" w14:textId="77777777">
            <w:pPr>
              <w:spacing w:before="120" w:after="120" w:line="276" w:lineRule="auto"/>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Jueza o Juez</w:t>
            </w:r>
          </w:p>
        </w:tc>
        <w:tc>
          <w:tcPr>
            <w:tcW w:w="536" w:type="pct"/>
            <w:tcBorders>
              <w:top w:val="nil"/>
              <w:left w:val="nil"/>
              <w:bottom w:val="single" w:color="auto" w:sz="4" w:space="0"/>
              <w:right w:val="single" w:color="auto" w:sz="4" w:space="0"/>
            </w:tcBorders>
            <w:shd w:val="clear" w:color="000000" w:fill="002060"/>
            <w:vAlign w:val="center"/>
            <w:hideMark/>
          </w:tcPr>
          <w:p w:rsidRPr="00AE1B2B" w:rsidR="009D3FB5" w:rsidP="00163B94" w:rsidRDefault="009D3FB5" w14:paraId="53DDAD1F" w14:textId="77777777">
            <w:pPr>
              <w:spacing w:before="120" w:after="120" w:line="276" w:lineRule="auto"/>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Técnicas o Técnicos Judiciales</w:t>
            </w:r>
          </w:p>
        </w:tc>
      </w:tr>
      <w:tr w:rsidRPr="00AE1B2B" w:rsidR="00AE1B2B" w:rsidTr="009D3FB5" w14:paraId="1C2B146D" w14:textId="77777777">
        <w:trPr>
          <w:trHeight w:val="330"/>
        </w:trPr>
        <w:tc>
          <w:tcPr>
            <w:tcW w:w="1443"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F8CDDC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Cartago</w:t>
            </w:r>
          </w:p>
        </w:tc>
        <w:tc>
          <w:tcPr>
            <w:tcW w:w="6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A2558A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2543</w:t>
            </w:r>
          </w:p>
        </w:tc>
        <w:tc>
          <w:tcPr>
            <w:tcW w:w="6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5C63F4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771</w:t>
            </w:r>
          </w:p>
        </w:tc>
        <w:tc>
          <w:tcPr>
            <w:tcW w:w="52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1766D8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1143</w:t>
            </w:r>
          </w:p>
        </w:tc>
        <w:tc>
          <w:tcPr>
            <w:tcW w:w="59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754624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396</w:t>
            </w:r>
          </w:p>
        </w:tc>
        <w:tc>
          <w:tcPr>
            <w:tcW w:w="53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B4B2B4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59</w:t>
            </w:r>
          </w:p>
        </w:tc>
        <w:tc>
          <w:tcPr>
            <w:tcW w:w="53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DC791A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33</w:t>
            </w:r>
          </w:p>
        </w:tc>
      </w:tr>
      <w:tr w:rsidRPr="00AE1B2B" w:rsidR="00AE1B2B" w:rsidTr="009D3FB5" w14:paraId="43F1F0B4" w14:textId="77777777">
        <w:trPr>
          <w:trHeight w:val="330"/>
        </w:trPr>
        <w:tc>
          <w:tcPr>
            <w:tcW w:w="1443"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BBB56F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Heredia</w:t>
            </w:r>
          </w:p>
        </w:tc>
        <w:tc>
          <w:tcPr>
            <w:tcW w:w="6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D04128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2390</w:t>
            </w:r>
          </w:p>
        </w:tc>
        <w:tc>
          <w:tcPr>
            <w:tcW w:w="6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046B15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822</w:t>
            </w:r>
          </w:p>
        </w:tc>
        <w:tc>
          <w:tcPr>
            <w:tcW w:w="52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30EEFB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1529</w:t>
            </w:r>
          </w:p>
        </w:tc>
        <w:tc>
          <w:tcPr>
            <w:tcW w:w="59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F0FECE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421</w:t>
            </w:r>
          </w:p>
        </w:tc>
        <w:tc>
          <w:tcPr>
            <w:tcW w:w="53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100C35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57</w:t>
            </w:r>
          </w:p>
        </w:tc>
        <w:tc>
          <w:tcPr>
            <w:tcW w:w="53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551F35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32</w:t>
            </w:r>
          </w:p>
        </w:tc>
      </w:tr>
      <w:tr w:rsidRPr="00AE1B2B" w:rsidR="00AE1B2B" w:rsidTr="009D3FB5" w14:paraId="14EB91DC" w14:textId="77777777">
        <w:trPr>
          <w:trHeight w:val="330"/>
        </w:trPr>
        <w:tc>
          <w:tcPr>
            <w:tcW w:w="1443"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3AC12E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Pensiones Alimentarias I Circ. Jud. Alajuela </w:t>
            </w:r>
          </w:p>
        </w:tc>
        <w:tc>
          <w:tcPr>
            <w:tcW w:w="6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B5D851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3439</w:t>
            </w:r>
          </w:p>
        </w:tc>
        <w:tc>
          <w:tcPr>
            <w:tcW w:w="6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DC7185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710</w:t>
            </w:r>
          </w:p>
        </w:tc>
        <w:tc>
          <w:tcPr>
            <w:tcW w:w="52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9FDDE4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1074</w:t>
            </w:r>
          </w:p>
        </w:tc>
        <w:tc>
          <w:tcPr>
            <w:tcW w:w="59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B4542C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464</w:t>
            </w:r>
          </w:p>
        </w:tc>
        <w:tc>
          <w:tcPr>
            <w:tcW w:w="53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B2099B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61</w:t>
            </w:r>
          </w:p>
        </w:tc>
        <w:tc>
          <w:tcPr>
            <w:tcW w:w="53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CB633B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33</w:t>
            </w:r>
          </w:p>
        </w:tc>
      </w:tr>
      <w:tr w:rsidRPr="00AE1B2B" w:rsidR="00AE1B2B" w:rsidTr="009D3FB5" w14:paraId="224B9CB4" w14:textId="77777777">
        <w:trPr>
          <w:trHeight w:val="330"/>
        </w:trPr>
        <w:tc>
          <w:tcPr>
            <w:tcW w:w="1443"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C47613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Pensiones Alimentarias I Circ. Jud. San José </w:t>
            </w:r>
          </w:p>
        </w:tc>
        <w:tc>
          <w:tcPr>
            <w:tcW w:w="6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96A437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2747</w:t>
            </w:r>
          </w:p>
        </w:tc>
        <w:tc>
          <w:tcPr>
            <w:tcW w:w="6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CAB121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330</w:t>
            </w:r>
          </w:p>
        </w:tc>
        <w:tc>
          <w:tcPr>
            <w:tcW w:w="52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9E09D8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707</w:t>
            </w:r>
          </w:p>
        </w:tc>
        <w:tc>
          <w:tcPr>
            <w:tcW w:w="59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907C98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336</w:t>
            </w:r>
          </w:p>
        </w:tc>
        <w:tc>
          <w:tcPr>
            <w:tcW w:w="53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ACA8A6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68</w:t>
            </w:r>
          </w:p>
        </w:tc>
        <w:tc>
          <w:tcPr>
            <w:tcW w:w="53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72C1C6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31</w:t>
            </w:r>
          </w:p>
        </w:tc>
      </w:tr>
      <w:tr w:rsidRPr="00AE1B2B" w:rsidR="00AE1B2B" w:rsidTr="009D3FB5" w14:paraId="59387723" w14:textId="77777777">
        <w:trPr>
          <w:trHeight w:val="330"/>
        </w:trPr>
        <w:tc>
          <w:tcPr>
            <w:tcW w:w="1443"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9C758B7"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Pensiones Alimentarias I Circ. Jud. Zona Atlántica (Limón) </w:t>
            </w:r>
          </w:p>
        </w:tc>
        <w:tc>
          <w:tcPr>
            <w:tcW w:w="6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FA34E9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1594</w:t>
            </w:r>
          </w:p>
        </w:tc>
        <w:tc>
          <w:tcPr>
            <w:tcW w:w="6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70A656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428</w:t>
            </w:r>
          </w:p>
        </w:tc>
        <w:tc>
          <w:tcPr>
            <w:tcW w:w="52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4E0C79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631</w:t>
            </w:r>
          </w:p>
        </w:tc>
        <w:tc>
          <w:tcPr>
            <w:tcW w:w="59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E565F1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236</w:t>
            </w:r>
          </w:p>
        </w:tc>
        <w:tc>
          <w:tcPr>
            <w:tcW w:w="53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28A269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60</w:t>
            </w:r>
          </w:p>
        </w:tc>
        <w:tc>
          <w:tcPr>
            <w:tcW w:w="53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8F7E5D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26</w:t>
            </w:r>
          </w:p>
        </w:tc>
      </w:tr>
      <w:tr w:rsidRPr="00AE1B2B" w:rsidR="00AE1B2B" w:rsidTr="009D3FB5" w14:paraId="5FB22172" w14:textId="77777777">
        <w:trPr>
          <w:trHeight w:val="330"/>
        </w:trPr>
        <w:tc>
          <w:tcPr>
            <w:tcW w:w="1443"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63F6F6D"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I Circ. Jud. Zona Sur (Pérez Zeledón)</w:t>
            </w:r>
          </w:p>
        </w:tc>
        <w:tc>
          <w:tcPr>
            <w:tcW w:w="6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AA2902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1537</w:t>
            </w:r>
          </w:p>
        </w:tc>
        <w:tc>
          <w:tcPr>
            <w:tcW w:w="6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980DCB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284</w:t>
            </w:r>
          </w:p>
        </w:tc>
        <w:tc>
          <w:tcPr>
            <w:tcW w:w="52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F9F58C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604</w:t>
            </w:r>
          </w:p>
        </w:tc>
        <w:tc>
          <w:tcPr>
            <w:tcW w:w="59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F1E9CE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216</w:t>
            </w:r>
          </w:p>
        </w:tc>
        <w:tc>
          <w:tcPr>
            <w:tcW w:w="53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475D0A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54</w:t>
            </w:r>
          </w:p>
        </w:tc>
        <w:tc>
          <w:tcPr>
            <w:tcW w:w="53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6D2CA9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27</w:t>
            </w:r>
          </w:p>
        </w:tc>
      </w:tr>
      <w:tr w:rsidRPr="00AE1B2B" w:rsidR="00AE1B2B" w:rsidTr="009D3FB5" w14:paraId="7CC88798" w14:textId="77777777">
        <w:trPr>
          <w:trHeight w:val="330"/>
        </w:trPr>
        <w:tc>
          <w:tcPr>
            <w:tcW w:w="1443"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FBA0D8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lastRenderedPageBreak/>
              <w:t>Juzgado Pensiones Alimentarias II Circ. Jud. San José (Goicoechea)</w:t>
            </w:r>
          </w:p>
        </w:tc>
        <w:tc>
          <w:tcPr>
            <w:tcW w:w="6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FA591D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5192</w:t>
            </w:r>
          </w:p>
        </w:tc>
        <w:tc>
          <w:tcPr>
            <w:tcW w:w="6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DD9B05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1153</w:t>
            </w:r>
          </w:p>
        </w:tc>
        <w:tc>
          <w:tcPr>
            <w:tcW w:w="52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34FBAE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2275</w:t>
            </w:r>
          </w:p>
        </w:tc>
        <w:tc>
          <w:tcPr>
            <w:tcW w:w="59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4C1DE9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766</w:t>
            </w:r>
          </w:p>
        </w:tc>
        <w:tc>
          <w:tcPr>
            <w:tcW w:w="53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C8573A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47</w:t>
            </w:r>
          </w:p>
        </w:tc>
        <w:tc>
          <w:tcPr>
            <w:tcW w:w="53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6B22F2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w:t>
            </w:r>
          </w:p>
        </w:tc>
      </w:tr>
      <w:tr w:rsidRPr="00AE1B2B" w:rsidR="00AE1B2B" w:rsidTr="009D3FB5" w14:paraId="479F39CA" w14:textId="77777777">
        <w:trPr>
          <w:trHeight w:val="330"/>
        </w:trPr>
        <w:tc>
          <w:tcPr>
            <w:tcW w:w="1443"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3406BF8A"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II Circ. Jud. Zona Atlántica (Pococí)</w:t>
            </w:r>
          </w:p>
        </w:tc>
        <w:tc>
          <w:tcPr>
            <w:tcW w:w="6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1EEEB9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2435</w:t>
            </w:r>
          </w:p>
        </w:tc>
        <w:tc>
          <w:tcPr>
            <w:tcW w:w="6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5D0231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390</w:t>
            </w:r>
          </w:p>
        </w:tc>
        <w:tc>
          <w:tcPr>
            <w:tcW w:w="52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CDF2E8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806</w:t>
            </w:r>
          </w:p>
        </w:tc>
        <w:tc>
          <w:tcPr>
            <w:tcW w:w="59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907F31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323</w:t>
            </w:r>
          </w:p>
        </w:tc>
        <w:tc>
          <w:tcPr>
            <w:tcW w:w="53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105863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84</w:t>
            </w:r>
          </w:p>
        </w:tc>
        <w:tc>
          <w:tcPr>
            <w:tcW w:w="53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BFB6D5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40</w:t>
            </w:r>
          </w:p>
        </w:tc>
      </w:tr>
      <w:tr w:rsidRPr="00AE1B2B" w:rsidR="00AE1B2B" w:rsidTr="009D3FB5" w14:paraId="4059933C" w14:textId="77777777">
        <w:trPr>
          <w:trHeight w:val="330"/>
        </w:trPr>
        <w:tc>
          <w:tcPr>
            <w:tcW w:w="1443"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278CC4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III Circ. Jud. San José (Desamparados)</w:t>
            </w:r>
          </w:p>
        </w:tc>
        <w:tc>
          <w:tcPr>
            <w:tcW w:w="6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F41AE1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2923</w:t>
            </w:r>
          </w:p>
        </w:tc>
        <w:tc>
          <w:tcPr>
            <w:tcW w:w="6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5C06A3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602</w:t>
            </w:r>
          </w:p>
        </w:tc>
        <w:tc>
          <w:tcPr>
            <w:tcW w:w="52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1B7B33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1036</w:t>
            </w:r>
          </w:p>
        </w:tc>
        <w:tc>
          <w:tcPr>
            <w:tcW w:w="59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F63531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405</w:t>
            </w:r>
          </w:p>
        </w:tc>
        <w:tc>
          <w:tcPr>
            <w:tcW w:w="53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607895B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63</w:t>
            </w:r>
          </w:p>
        </w:tc>
        <w:tc>
          <w:tcPr>
            <w:tcW w:w="53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D13817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24</w:t>
            </w:r>
          </w:p>
        </w:tc>
      </w:tr>
      <w:tr w:rsidRPr="00AE1B2B" w:rsidR="00AE1B2B" w:rsidTr="009D3FB5" w14:paraId="14D4035A" w14:textId="77777777">
        <w:trPr>
          <w:trHeight w:val="330"/>
        </w:trPr>
        <w:tc>
          <w:tcPr>
            <w:tcW w:w="1443"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7722DB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Puntarenas</w:t>
            </w:r>
          </w:p>
        </w:tc>
        <w:tc>
          <w:tcPr>
            <w:tcW w:w="6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250221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1866</w:t>
            </w:r>
          </w:p>
        </w:tc>
        <w:tc>
          <w:tcPr>
            <w:tcW w:w="6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739969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415</w:t>
            </w:r>
          </w:p>
        </w:tc>
        <w:tc>
          <w:tcPr>
            <w:tcW w:w="52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751FEF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570</w:t>
            </w:r>
          </w:p>
        </w:tc>
        <w:tc>
          <w:tcPr>
            <w:tcW w:w="59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FAEFC6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253</w:t>
            </w:r>
          </w:p>
        </w:tc>
        <w:tc>
          <w:tcPr>
            <w:tcW w:w="53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7150D5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68</w:t>
            </w:r>
          </w:p>
        </w:tc>
        <w:tc>
          <w:tcPr>
            <w:tcW w:w="53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DADEFC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32</w:t>
            </w:r>
          </w:p>
        </w:tc>
      </w:tr>
      <w:tr w:rsidRPr="00AE1B2B" w:rsidR="00AE1B2B" w:rsidTr="009D3FB5" w14:paraId="3DFB033D" w14:textId="77777777">
        <w:trPr>
          <w:trHeight w:val="330"/>
        </w:trPr>
        <w:tc>
          <w:tcPr>
            <w:tcW w:w="1443"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49162B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Sarapiquí</w:t>
            </w:r>
          </w:p>
        </w:tc>
        <w:tc>
          <w:tcPr>
            <w:tcW w:w="689"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886051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1074</w:t>
            </w:r>
          </w:p>
        </w:tc>
        <w:tc>
          <w:tcPr>
            <w:tcW w:w="67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87D222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112</w:t>
            </w:r>
          </w:p>
        </w:tc>
        <w:tc>
          <w:tcPr>
            <w:tcW w:w="521"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3954A2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445</w:t>
            </w:r>
          </w:p>
        </w:tc>
        <w:tc>
          <w:tcPr>
            <w:tcW w:w="598"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14A954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145</w:t>
            </w:r>
          </w:p>
        </w:tc>
        <w:tc>
          <w:tcPr>
            <w:tcW w:w="537"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54DC03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105</w:t>
            </w:r>
          </w:p>
        </w:tc>
        <w:tc>
          <w:tcPr>
            <w:tcW w:w="536"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2D3449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48</w:t>
            </w:r>
          </w:p>
        </w:tc>
      </w:tr>
      <w:tr w:rsidRPr="00AE1B2B" w:rsidR="00AE1B2B" w:rsidTr="009D3FB5" w14:paraId="6FD2AFA0" w14:textId="77777777">
        <w:trPr>
          <w:trHeight w:val="330"/>
        </w:trPr>
        <w:tc>
          <w:tcPr>
            <w:tcW w:w="1443" w:type="pct"/>
            <w:tcBorders>
              <w:top w:val="nil"/>
              <w:left w:val="single" w:color="auto" w:sz="4" w:space="0"/>
              <w:bottom w:val="single" w:color="auto" w:sz="4" w:space="0"/>
              <w:right w:val="single" w:color="auto" w:sz="4" w:space="0"/>
            </w:tcBorders>
            <w:shd w:val="clear" w:color="auto" w:fill="auto"/>
            <w:vAlign w:val="center"/>
          </w:tcPr>
          <w:p w:rsidRPr="00AE1B2B" w:rsidR="009D3FB5" w:rsidP="00163B94" w:rsidRDefault="009D3FB5" w14:paraId="61B7FF5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Nicoya*</w:t>
            </w:r>
          </w:p>
        </w:tc>
        <w:tc>
          <w:tcPr>
            <w:tcW w:w="689"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6ACBB80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776</w:t>
            </w:r>
          </w:p>
        </w:tc>
        <w:tc>
          <w:tcPr>
            <w:tcW w:w="676"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24607F7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148</w:t>
            </w:r>
          </w:p>
        </w:tc>
        <w:tc>
          <w:tcPr>
            <w:tcW w:w="521"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25071A0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258</w:t>
            </w:r>
          </w:p>
        </w:tc>
        <w:tc>
          <w:tcPr>
            <w:tcW w:w="598"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1C7D521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105</w:t>
            </w:r>
          </w:p>
        </w:tc>
        <w:tc>
          <w:tcPr>
            <w:tcW w:w="537"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0EC1DE0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53</w:t>
            </w:r>
          </w:p>
        </w:tc>
        <w:tc>
          <w:tcPr>
            <w:tcW w:w="536" w:type="pct"/>
            <w:tcBorders>
              <w:top w:val="nil"/>
              <w:left w:val="nil"/>
              <w:bottom w:val="single" w:color="auto" w:sz="4" w:space="0"/>
              <w:right w:val="single" w:color="auto" w:sz="4" w:space="0"/>
            </w:tcBorders>
            <w:shd w:val="clear" w:color="auto" w:fill="auto"/>
            <w:noWrap/>
            <w:vAlign w:val="center"/>
          </w:tcPr>
          <w:p w:rsidRPr="00AE1B2B" w:rsidR="009D3FB5" w:rsidP="00163B94" w:rsidRDefault="009D3FB5" w14:paraId="3E70289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27</w:t>
            </w:r>
          </w:p>
        </w:tc>
      </w:tr>
      <w:tr w:rsidRPr="00AE1B2B" w:rsidR="00AE1B2B" w:rsidTr="009D3FB5" w14:paraId="0318A387" w14:textId="77777777">
        <w:trPr>
          <w:trHeight w:val="330"/>
        </w:trPr>
        <w:tc>
          <w:tcPr>
            <w:tcW w:w="1443" w:type="pct"/>
            <w:tcBorders>
              <w:top w:val="single" w:color="auto" w:sz="4" w:space="0"/>
              <w:left w:val="single" w:color="auto" w:sz="4" w:space="0"/>
              <w:bottom w:val="single" w:color="auto" w:sz="4" w:space="0"/>
              <w:right w:val="single" w:color="auto" w:sz="4" w:space="0"/>
            </w:tcBorders>
            <w:shd w:val="clear" w:color="000000" w:fill="808080"/>
            <w:vAlign w:val="center"/>
            <w:hideMark/>
          </w:tcPr>
          <w:p w:rsidRPr="00AE1B2B" w:rsidR="009D3FB5" w:rsidP="00163B94" w:rsidRDefault="009D3FB5" w14:paraId="00A88DDB" w14:textId="77777777">
            <w:pPr>
              <w:spacing w:before="120" w:after="120" w:line="276" w:lineRule="auto"/>
              <w:jc w:val="right"/>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Total</w:t>
            </w:r>
          </w:p>
        </w:tc>
        <w:tc>
          <w:tcPr>
            <w:tcW w:w="689" w:type="pct"/>
            <w:tcBorders>
              <w:top w:val="single" w:color="auto" w:sz="4" w:space="0"/>
              <w:left w:val="nil"/>
              <w:bottom w:val="single" w:color="auto" w:sz="4" w:space="0"/>
              <w:right w:val="single" w:color="auto" w:sz="4" w:space="0"/>
            </w:tcBorders>
            <w:shd w:val="clear" w:color="000000" w:fill="808080"/>
            <w:noWrap/>
            <w:vAlign w:val="center"/>
            <w:hideMark/>
          </w:tcPr>
          <w:p w:rsidRPr="00AE1B2B" w:rsidR="009D3FB5" w:rsidP="00163B94" w:rsidRDefault="009D3FB5" w14:paraId="5D56C06E"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28516</w:t>
            </w:r>
          </w:p>
        </w:tc>
        <w:tc>
          <w:tcPr>
            <w:tcW w:w="676" w:type="pct"/>
            <w:tcBorders>
              <w:top w:val="single" w:color="auto" w:sz="4" w:space="0"/>
              <w:left w:val="nil"/>
              <w:bottom w:val="single" w:color="auto" w:sz="4" w:space="0"/>
              <w:right w:val="single" w:color="auto" w:sz="4" w:space="0"/>
            </w:tcBorders>
            <w:shd w:val="clear" w:color="000000" w:fill="808080"/>
            <w:noWrap/>
            <w:vAlign w:val="center"/>
            <w:hideMark/>
          </w:tcPr>
          <w:p w:rsidRPr="00AE1B2B" w:rsidR="009D3FB5" w:rsidP="00163B94" w:rsidRDefault="009D3FB5" w14:paraId="64212CC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6165</w:t>
            </w:r>
          </w:p>
        </w:tc>
        <w:tc>
          <w:tcPr>
            <w:tcW w:w="521" w:type="pct"/>
            <w:tcBorders>
              <w:top w:val="single" w:color="auto" w:sz="4" w:space="0"/>
              <w:left w:val="nil"/>
              <w:bottom w:val="single" w:color="auto" w:sz="4" w:space="0"/>
              <w:right w:val="single" w:color="auto" w:sz="4" w:space="0"/>
            </w:tcBorders>
            <w:shd w:val="clear" w:color="000000" w:fill="808080"/>
            <w:noWrap/>
            <w:vAlign w:val="center"/>
            <w:hideMark/>
          </w:tcPr>
          <w:p w:rsidRPr="00AE1B2B" w:rsidR="009D3FB5" w:rsidP="00163B94" w:rsidRDefault="009D3FB5" w14:paraId="67C0AEE7"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11078</w:t>
            </w:r>
          </w:p>
        </w:tc>
        <w:tc>
          <w:tcPr>
            <w:tcW w:w="598" w:type="pct"/>
            <w:tcBorders>
              <w:top w:val="single" w:color="auto" w:sz="4" w:space="0"/>
              <w:left w:val="nil"/>
              <w:bottom w:val="single" w:color="auto" w:sz="4" w:space="0"/>
              <w:right w:val="single" w:color="auto" w:sz="4" w:space="0"/>
            </w:tcBorders>
            <w:shd w:val="clear" w:color="000000" w:fill="808080"/>
            <w:noWrap/>
            <w:vAlign w:val="center"/>
            <w:hideMark/>
          </w:tcPr>
          <w:p w:rsidRPr="00AE1B2B" w:rsidR="009D3FB5" w:rsidP="00163B94" w:rsidRDefault="009D3FB5" w14:paraId="6602CC7A"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4066</w:t>
            </w:r>
          </w:p>
        </w:tc>
        <w:tc>
          <w:tcPr>
            <w:tcW w:w="537" w:type="pct"/>
            <w:tcBorders>
              <w:top w:val="single" w:color="auto" w:sz="4" w:space="0"/>
              <w:left w:val="nil"/>
              <w:bottom w:val="single" w:color="auto" w:sz="4" w:space="0"/>
              <w:right w:val="single" w:color="auto" w:sz="4" w:space="0"/>
            </w:tcBorders>
            <w:shd w:val="clear" w:color="000000" w:fill="808080"/>
            <w:noWrap/>
            <w:vAlign w:val="center"/>
            <w:hideMark/>
          </w:tcPr>
          <w:p w:rsidRPr="00AE1B2B" w:rsidR="009D3FB5" w:rsidP="00163B94" w:rsidRDefault="009D3FB5" w14:paraId="146B4821" w14:textId="77777777">
            <w:pPr>
              <w:spacing w:before="120" w:after="120" w:line="276" w:lineRule="auto"/>
              <w:jc w:val="center"/>
              <w:rPr>
                <w:rFonts w:ascii="Times New Roman" w:hAnsi="Times New Roman" w:eastAsia="Times New Roman" w:cs="Times New Roman"/>
                <w:b/>
                <w:bCs/>
                <w:lang w:eastAsia="es-CR"/>
              </w:rPr>
            </w:pPr>
          </w:p>
        </w:tc>
        <w:tc>
          <w:tcPr>
            <w:tcW w:w="536" w:type="pct"/>
            <w:tcBorders>
              <w:top w:val="single" w:color="auto" w:sz="4" w:space="0"/>
              <w:left w:val="nil"/>
              <w:bottom w:val="single" w:color="auto" w:sz="4" w:space="0"/>
              <w:right w:val="single" w:color="auto" w:sz="4" w:space="0"/>
            </w:tcBorders>
            <w:shd w:val="clear" w:color="000000" w:fill="808080"/>
            <w:noWrap/>
            <w:vAlign w:val="center"/>
            <w:hideMark/>
          </w:tcPr>
          <w:p w:rsidRPr="00AE1B2B" w:rsidR="009D3FB5" w:rsidP="00163B94" w:rsidRDefault="009D3FB5" w14:paraId="72BACB5D" w14:textId="77777777">
            <w:pPr>
              <w:spacing w:before="120" w:after="120" w:line="276" w:lineRule="auto"/>
              <w:jc w:val="center"/>
              <w:rPr>
                <w:rFonts w:ascii="Times New Roman" w:hAnsi="Times New Roman" w:eastAsia="Times New Roman" w:cs="Times New Roman"/>
                <w:b/>
                <w:bCs/>
                <w:lang w:eastAsia="es-CR"/>
              </w:rPr>
            </w:pPr>
          </w:p>
        </w:tc>
      </w:tr>
      <w:tr w:rsidRPr="00AE1B2B" w:rsidR="00AE1B2B" w:rsidTr="009D3FB5" w14:paraId="06678899" w14:textId="77777777">
        <w:trPr>
          <w:trHeight w:val="330"/>
        </w:trPr>
        <w:tc>
          <w:tcPr>
            <w:tcW w:w="1443" w:type="pct"/>
            <w:tcBorders>
              <w:top w:val="single" w:color="auto" w:sz="4" w:space="0"/>
              <w:left w:val="single" w:color="auto" w:sz="4" w:space="0"/>
              <w:bottom w:val="single" w:color="auto" w:sz="4" w:space="0"/>
              <w:right w:val="single" w:color="auto" w:sz="4" w:space="0"/>
            </w:tcBorders>
            <w:shd w:val="clear" w:color="000000" w:fill="808080"/>
            <w:vAlign w:val="center"/>
          </w:tcPr>
          <w:p w:rsidRPr="00AE1B2B" w:rsidR="009D3FB5" w:rsidP="00163B94" w:rsidRDefault="009D3FB5" w14:paraId="63462584" w14:textId="77777777">
            <w:pPr>
              <w:spacing w:before="120" w:after="120" w:line="276" w:lineRule="auto"/>
              <w:jc w:val="right"/>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Promedio</w:t>
            </w:r>
          </w:p>
        </w:tc>
        <w:tc>
          <w:tcPr>
            <w:tcW w:w="689" w:type="pct"/>
            <w:tcBorders>
              <w:top w:val="single" w:color="auto" w:sz="4" w:space="0"/>
              <w:left w:val="nil"/>
              <w:bottom w:val="single" w:color="auto" w:sz="4" w:space="0"/>
              <w:right w:val="single" w:color="auto" w:sz="4" w:space="0"/>
            </w:tcBorders>
            <w:shd w:val="clear" w:color="000000" w:fill="808080"/>
            <w:noWrap/>
            <w:vAlign w:val="center"/>
          </w:tcPr>
          <w:p w:rsidRPr="00AE1B2B" w:rsidR="009D3FB5" w:rsidP="00163B94" w:rsidRDefault="009D3FB5" w14:paraId="151A30FE" w14:textId="77777777">
            <w:pPr>
              <w:spacing w:before="120" w:after="120" w:line="276" w:lineRule="auto"/>
              <w:jc w:val="center"/>
              <w:rPr>
                <w:rFonts w:ascii="Times New Roman" w:hAnsi="Times New Roman" w:eastAsia="Times New Roman" w:cs="Times New Roman"/>
                <w:b/>
                <w:bCs/>
                <w:lang w:eastAsia="es-CR"/>
              </w:rPr>
            </w:pPr>
          </w:p>
        </w:tc>
        <w:tc>
          <w:tcPr>
            <w:tcW w:w="676" w:type="pct"/>
            <w:tcBorders>
              <w:top w:val="single" w:color="auto" w:sz="4" w:space="0"/>
              <w:left w:val="nil"/>
              <w:bottom w:val="single" w:color="auto" w:sz="4" w:space="0"/>
              <w:right w:val="single" w:color="auto" w:sz="4" w:space="0"/>
            </w:tcBorders>
            <w:shd w:val="clear" w:color="000000" w:fill="808080"/>
            <w:noWrap/>
            <w:vAlign w:val="center"/>
          </w:tcPr>
          <w:p w:rsidRPr="00AE1B2B" w:rsidR="009D3FB5" w:rsidP="00163B94" w:rsidRDefault="009D3FB5" w14:paraId="28D64A4E" w14:textId="77777777">
            <w:pPr>
              <w:spacing w:before="120" w:after="120" w:line="276" w:lineRule="auto"/>
              <w:jc w:val="center"/>
              <w:rPr>
                <w:rFonts w:ascii="Times New Roman" w:hAnsi="Times New Roman" w:eastAsia="Times New Roman" w:cs="Times New Roman"/>
                <w:b/>
                <w:bCs/>
                <w:lang w:eastAsia="es-CR"/>
              </w:rPr>
            </w:pPr>
          </w:p>
        </w:tc>
        <w:tc>
          <w:tcPr>
            <w:tcW w:w="521" w:type="pct"/>
            <w:tcBorders>
              <w:top w:val="single" w:color="auto" w:sz="4" w:space="0"/>
              <w:left w:val="nil"/>
              <w:bottom w:val="single" w:color="auto" w:sz="4" w:space="0"/>
              <w:right w:val="single" w:color="auto" w:sz="4" w:space="0"/>
            </w:tcBorders>
            <w:shd w:val="clear" w:color="000000" w:fill="808080"/>
            <w:noWrap/>
            <w:vAlign w:val="center"/>
          </w:tcPr>
          <w:p w:rsidRPr="00AE1B2B" w:rsidR="009D3FB5" w:rsidP="00163B94" w:rsidRDefault="009D3FB5" w14:paraId="3FED577F" w14:textId="77777777">
            <w:pPr>
              <w:spacing w:before="120" w:after="120" w:line="276" w:lineRule="auto"/>
              <w:jc w:val="center"/>
              <w:rPr>
                <w:rFonts w:ascii="Times New Roman" w:hAnsi="Times New Roman" w:eastAsia="Times New Roman" w:cs="Times New Roman"/>
                <w:b/>
                <w:bCs/>
                <w:lang w:eastAsia="es-CR"/>
              </w:rPr>
            </w:pPr>
          </w:p>
        </w:tc>
        <w:tc>
          <w:tcPr>
            <w:tcW w:w="598" w:type="pct"/>
            <w:tcBorders>
              <w:top w:val="single" w:color="auto" w:sz="4" w:space="0"/>
              <w:left w:val="nil"/>
              <w:bottom w:val="single" w:color="auto" w:sz="4" w:space="0"/>
              <w:right w:val="single" w:color="auto" w:sz="4" w:space="0"/>
            </w:tcBorders>
            <w:shd w:val="clear" w:color="000000" w:fill="808080"/>
            <w:noWrap/>
            <w:vAlign w:val="center"/>
          </w:tcPr>
          <w:p w:rsidRPr="00AE1B2B" w:rsidR="009D3FB5" w:rsidP="00163B94" w:rsidRDefault="009D3FB5" w14:paraId="0F426FB7" w14:textId="77777777">
            <w:pPr>
              <w:spacing w:before="120" w:after="120" w:line="276" w:lineRule="auto"/>
              <w:jc w:val="center"/>
              <w:rPr>
                <w:rFonts w:ascii="Times New Roman" w:hAnsi="Times New Roman" w:eastAsia="Times New Roman" w:cs="Times New Roman"/>
                <w:b/>
                <w:bCs/>
                <w:lang w:eastAsia="es-CR"/>
              </w:rPr>
            </w:pPr>
          </w:p>
        </w:tc>
        <w:tc>
          <w:tcPr>
            <w:tcW w:w="537" w:type="pct"/>
            <w:tcBorders>
              <w:top w:val="single" w:color="auto" w:sz="4" w:space="0"/>
              <w:left w:val="nil"/>
              <w:bottom w:val="single" w:color="auto" w:sz="4" w:space="0"/>
              <w:right w:val="single" w:color="auto" w:sz="4" w:space="0"/>
            </w:tcBorders>
            <w:shd w:val="clear" w:color="000000" w:fill="808080"/>
            <w:noWrap/>
            <w:vAlign w:val="center"/>
          </w:tcPr>
          <w:p w:rsidRPr="00AE1B2B" w:rsidR="009D3FB5" w:rsidP="00163B94" w:rsidRDefault="009D3FB5" w14:paraId="02C48B63"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66</w:t>
            </w:r>
          </w:p>
        </w:tc>
        <w:tc>
          <w:tcPr>
            <w:tcW w:w="536" w:type="pct"/>
            <w:tcBorders>
              <w:top w:val="single" w:color="auto" w:sz="4" w:space="0"/>
              <w:left w:val="nil"/>
              <w:bottom w:val="single" w:color="auto" w:sz="4" w:space="0"/>
              <w:right w:val="single" w:color="auto" w:sz="4" w:space="0"/>
            </w:tcBorders>
            <w:shd w:val="clear" w:color="000000" w:fill="808080"/>
            <w:noWrap/>
            <w:vAlign w:val="center"/>
          </w:tcPr>
          <w:p w:rsidRPr="00AE1B2B" w:rsidR="009D3FB5" w:rsidP="00163B94" w:rsidRDefault="009D3FB5" w14:paraId="49240884"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32</w:t>
            </w:r>
          </w:p>
        </w:tc>
      </w:tr>
    </w:tbl>
    <w:p w:rsidRPr="00AE1B2B" w:rsidR="009D3FB5" w:rsidP="00163B94" w:rsidRDefault="009D3FB5" w14:paraId="4CF01B7D"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Subproceso de Modernización Institucional, con base en datos de Cuadros Estadísticos 2017 a 2019 del Sub proceso de Estadística de la Dirección de Planificación. </w:t>
      </w:r>
    </w:p>
    <w:p w:rsidRPr="00AE1B2B" w:rsidR="009D3FB5" w:rsidP="00163B94" w:rsidRDefault="009D3FB5" w14:paraId="325B764F" w14:textId="77777777">
      <w:pPr>
        <w:pStyle w:val="Fuentes"/>
        <w:spacing w:before="120" w:after="120" w:line="240" w:lineRule="auto"/>
        <w:ind w:left="851" w:right="851" w:firstLine="709"/>
        <w:rPr>
          <w:rFonts w:ascii="Times New Roman" w:hAnsi="Times New Roman" w:cs="Times New Roman"/>
          <w:sz w:val="26"/>
          <w:szCs w:val="26"/>
          <w:lang w:eastAsia="es-ES"/>
        </w:rPr>
      </w:pPr>
      <w:r w:rsidRPr="00AE1B2B">
        <w:rPr>
          <w:rFonts w:ascii="Times New Roman" w:hAnsi="Times New Roman" w:cs="Times New Roman"/>
          <w:sz w:val="26"/>
          <w:szCs w:val="26"/>
          <w:lang w:eastAsia="es-ES"/>
        </w:rPr>
        <w:t>La información de la cantidad de casos entrados de 2017 a 2019 incluye: Principales, Reentrados, Procesos de Modificación de Fallo y Apremios (solo 2019) para las personas técnicas judiciales.</w:t>
      </w:r>
    </w:p>
    <w:p w:rsidRPr="00AE1B2B" w:rsidR="009D3FB5" w:rsidP="00163B94" w:rsidRDefault="009D3FB5" w14:paraId="79D67DC0" w14:textId="08247E41">
      <w:pPr>
        <w:pStyle w:val="Fuentes"/>
        <w:spacing w:before="120" w:after="120" w:line="240" w:lineRule="auto"/>
        <w:ind w:left="851" w:right="851" w:firstLine="709"/>
        <w:rPr>
          <w:rFonts w:ascii="Times New Roman" w:hAnsi="Times New Roman" w:cs="Times New Roman"/>
          <w:sz w:val="26"/>
          <w:szCs w:val="26"/>
          <w:lang w:eastAsia="es-ES"/>
        </w:rPr>
      </w:pPr>
      <w:r w:rsidRPr="00AE1B2B">
        <w:rPr>
          <w:rFonts w:ascii="Times New Roman" w:hAnsi="Times New Roman" w:cs="Times New Roman"/>
          <w:sz w:val="26"/>
          <w:szCs w:val="26"/>
          <w:lang w:eastAsia="es-ES"/>
        </w:rPr>
        <w:t xml:space="preserve">Nota *: </w:t>
      </w:r>
      <w:r w:rsidRPr="00AE1B2B">
        <w:rPr>
          <w:rFonts w:ascii="Times New Roman" w:hAnsi="Times New Roman" w:cs="Times New Roman"/>
          <w:sz w:val="26"/>
          <w:szCs w:val="26"/>
        </w:rPr>
        <w:t>Juzgado especializado a partir del acuerdo del Consejo Superior en sesión 34-19 celebrada el 19 de agosto de 2019, Artículo XIX, se incluye la información estadística del 2019.</w:t>
      </w:r>
      <w:r w:rsidRPr="00AE1B2B" w:rsidR="00BB7720">
        <w:rPr>
          <w:rFonts w:ascii="Times New Roman" w:hAnsi="Times New Roman" w:cs="Times New Roman"/>
          <w:sz w:val="26"/>
          <w:szCs w:val="26"/>
        </w:rPr>
        <w:t xml:space="preserve"> </w:t>
      </w:r>
    </w:p>
    <w:p w:rsidRPr="00AE1B2B" w:rsidR="009D3FB5" w:rsidP="00163B94" w:rsidRDefault="009D3FB5" w14:paraId="34A332C6" w14:textId="77777777">
      <w:pPr>
        <w:spacing w:before="120" w:after="120"/>
        <w:ind w:left="851" w:right="851" w:firstLine="709"/>
        <w:jc w:val="both"/>
        <w:rPr>
          <w:rFonts w:ascii="Times New Roman" w:hAnsi="Times New Roman" w:cs="Times New Roman"/>
          <w:sz w:val="26"/>
          <w:szCs w:val="26"/>
          <w:lang w:eastAsia="es-ES"/>
        </w:rPr>
      </w:pPr>
    </w:p>
    <w:p w:rsidRPr="00AE1B2B" w:rsidR="009D3FB5" w:rsidP="00163B94" w:rsidRDefault="009D3FB5" w14:paraId="73DFB1D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En relación con la información del cuadro anterior, se destaca que la carga de trabajo de asuntos entrados es de 66 al mes por persona juzgadora, contabilizando los casos entrados y las modificaciones de fallo, y de 32 al mes por persona técnica judicial de trámite, contabilizando los casos entrados y las modificaciones de fallo.</w:t>
      </w:r>
    </w:p>
    <w:p w:rsidRPr="00AE1B2B" w:rsidR="009D3FB5" w:rsidP="00163B94" w:rsidRDefault="009D3FB5" w14:paraId="67B7669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1E894A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Al analizar el movimiento histórico de la entrada y la salida de los juzgados se hace necesario revisar el comportamiento del circulante distribuido entre las fases de trámite que corresponde a demanda, demostrativa y conclusiva, es decir, cuando la persona usuaria no cuenta aún con solución a su conflicto debido a que </w:t>
      </w:r>
      <w:r w:rsidRPr="00AE1B2B" w:rsidDel="00BB5E63">
        <w:rPr>
          <w:rFonts w:ascii="Times New Roman" w:hAnsi="Times New Roman" w:cs="Times New Roman"/>
          <w:sz w:val="26"/>
          <w:szCs w:val="26"/>
        </w:rPr>
        <w:t xml:space="preserve">no se </w:t>
      </w:r>
      <w:r w:rsidRPr="00AE1B2B">
        <w:rPr>
          <w:rFonts w:ascii="Times New Roman" w:hAnsi="Times New Roman" w:cs="Times New Roman"/>
          <w:sz w:val="26"/>
          <w:szCs w:val="26"/>
        </w:rPr>
        <w:t xml:space="preserve">ha logrado llegar un acuerdo conciliatorio homologado o al dictado de una sentencia; y la fase de Ejecución, que contempla la ejecución pasiva y la ejecución activa, en la cual se ejecutará los dispuesto en la sentencia o acuerdo homologado. </w:t>
      </w:r>
    </w:p>
    <w:p w:rsidRPr="00AE1B2B" w:rsidR="009D3FB5" w:rsidP="00163B94" w:rsidRDefault="009D3FB5" w14:paraId="529B17D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2EF73A6"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Gráfico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Gráfico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8</w:t>
      </w:r>
      <w:r w:rsidRPr="00AE1B2B">
        <w:rPr>
          <w:rFonts w:ascii="Times New Roman" w:hAnsi="Times New Roman" w:cs="Times New Roman"/>
          <w:sz w:val="26"/>
          <w:szCs w:val="26"/>
        </w:rPr>
        <w:fldChar w:fldCharType="end"/>
      </w:r>
    </w:p>
    <w:p w:rsidRPr="00AE1B2B" w:rsidR="009D3FB5" w:rsidP="00163B94" w:rsidRDefault="009D3FB5" w14:paraId="5734632C"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Movimiento histórico del circulante en los Juzgados</w:t>
      </w:r>
    </w:p>
    <w:p w:rsidRPr="00AE1B2B" w:rsidR="009D3FB5" w:rsidP="00163B94" w:rsidRDefault="009D3FB5" w14:paraId="0FCD6DD9" w14:textId="77777777">
      <w:pPr>
        <w:spacing w:before="120" w:after="120"/>
        <w:ind w:left="851" w:right="851" w:firstLine="709"/>
        <w:jc w:val="center"/>
        <w:rPr>
          <w:rFonts w:ascii="Times New Roman" w:hAnsi="Times New Roman" w:cs="Times New Roman"/>
          <w:b/>
          <w:sz w:val="26"/>
          <w:szCs w:val="26"/>
          <w:lang w:val="es-ES" w:eastAsia="es-ES"/>
        </w:rPr>
      </w:pPr>
      <w:r w:rsidRPr="00AE1B2B">
        <w:rPr>
          <w:rFonts w:ascii="Times New Roman" w:hAnsi="Times New Roman" w:cs="Times New Roman"/>
          <w:b/>
          <w:sz w:val="26"/>
          <w:szCs w:val="26"/>
          <w:lang w:val="es-ES" w:eastAsia="es-ES"/>
        </w:rPr>
        <w:t>Especializados de la materia de Pensiones Alimentarias, del 201</w:t>
      </w:r>
      <w:r w:rsidRPr="00AE1B2B">
        <w:rPr>
          <w:rFonts w:ascii="Times New Roman" w:hAnsi="Times New Roman" w:cs="Times New Roman"/>
          <w:b/>
          <w:bCs/>
          <w:sz w:val="26"/>
          <w:szCs w:val="26"/>
          <w:lang w:val="es-ES" w:eastAsia="es-ES"/>
        </w:rPr>
        <w:t>5</w:t>
      </w:r>
      <w:r w:rsidRPr="00AE1B2B">
        <w:rPr>
          <w:rFonts w:ascii="Times New Roman" w:hAnsi="Times New Roman" w:cs="Times New Roman"/>
          <w:b/>
          <w:sz w:val="26"/>
          <w:szCs w:val="26"/>
          <w:lang w:val="es-ES" w:eastAsia="es-ES"/>
        </w:rPr>
        <w:t xml:space="preserve"> al 2019</w:t>
      </w:r>
    </w:p>
    <w:p w:rsidRPr="00AE1B2B" w:rsidR="009D3FB5" w:rsidP="00163B94" w:rsidRDefault="009D3FB5" w14:paraId="56FBCFA9" w14:textId="77777777">
      <w:pPr>
        <w:spacing w:before="120" w:after="120" w:line="276" w:lineRule="auto"/>
        <w:jc w:val="center"/>
        <w:rPr>
          <w:rFonts w:ascii="Times New Roman" w:hAnsi="Times New Roman" w:cs="Times New Roman"/>
          <w:sz w:val="24"/>
          <w:szCs w:val="24"/>
        </w:rPr>
      </w:pPr>
      <w:r w:rsidRPr="00AE1B2B">
        <w:rPr>
          <w:rFonts w:ascii="Times New Roman" w:hAnsi="Times New Roman" w:cs="Times New Roman"/>
          <w:noProof/>
        </w:rPr>
        <w:t xml:space="preserve"> </w:t>
      </w:r>
      <w:r w:rsidRPr="00AE1B2B">
        <w:rPr>
          <w:rFonts w:ascii="Times New Roman" w:hAnsi="Times New Roman" w:cs="Times New Roman"/>
          <w:noProof/>
          <w:lang w:val="en-US"/>
        </w:rPr>
        <w:drawing>
          <wp:inline distT="0" distB="0" distL="0" distR="0" wp14:anchorId="43A405E5" wp14:editId="06830ACC">
            <wp:extent cx="4572000" cy="2743200"/>
            <wp:effectExtent l="0" t="0" r="0" b="0"/>
            <wp:docPr id="1263269098" name="Gráfico 1263269098">
              <a:extLst xmlns:a="http://schemas.openxmlformats.org/drawingml/2006/main">
                <a:ext uri="{FF2B5EF4-FFF2-40B4-BE49-F238E27FC236}">
                  <a16:creationId xmlns:a16="http://schemas.microsoft.com/office/drawing/2014/main" id="{F4DD8588-713D-4D7D-91E0-4B285FD5E1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rsidRPr="00AE1B2B" w:rsidR="009D3FB5" w:rsidP="00163B94" w:rsidRDefault="009D3FB5" w14:paraId="155A5838"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Subproceso de Modernización Institucional, con base en datos de Cuadros Estadísticos 2017 a 2019 del Sub proceso de Estadística de la Dirección de Planificación. *No incluye Nicoya, oficina que se especializa a finales del 2019. </w:t>
      </w:r>
    </w:p>
    <w:p w:rsidRPr="00AE1B2B" w:rsidR="009D3FB5" w:rsidP="00163B94" w:rsidRDefault="009D3FB5" w14:paraId="45F71D4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42C25AF" w14:textId="1E3FE3D1">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través de los años en estudio se identifica que el circulante en fase de ejecución presenta una tendencia creciente, con un aumento de un 14% para el 2019 respecto al 2015; mientras que el circulante en trámite (demanda + demostrativa + conclusiva) presenta un aumento de únicamente un 1% en el mismo período, sin embargo, se visualiza en la gráfica un crecimiento en circulante en 2019.</w:t>
      </w:r>
      <w:r w:rsidRPr="00AE1B2B" w:rsidR="00BB7720">
        <w:rPr>
          <w:rFonts w:ascii="Times New Roman" w:hAnsi="Times New Roman" w:cs="Times New Roman"/>
          <w:sz w:val="26"/>
          <w:szCs w:val="26"/>
        </w:rPr>
        <w:t xml:space="preserve"> </w:t>
      </w:r>
    </w:p>
    <w:p w:rsidRPr="00AE1B2B" w:rsidR="009D3FB5" w:rsidP="00163B94" w:rsidRDefault="009D3FB5" w14:paraId="1CAE771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C1AFF3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línea con el análisis de las fases del proceso, se presenta a continuación el resumen de las distribuciones del circulante al finalizar el 2020 por fase:</w:t>
      </w:r>
    </w:p>
    <w:p w:rsidRPr="00AE1B2B" w:rsidR="009D3FB5" w:rsidP="00163B94" w:rsidRDefault="009D3FB5" w14:paraId="62BD259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D56DDA8"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60</w:t>
      </w:r>
      <w:r w:rsidRPr="00AE1B2B">
        <w:rPr>
          <w:rFonts w:ascii="Times New Roman" w:hAnsi="Times New Roman" w:cs="Times New Roman"/>
          <w:sz w:val="26"/>
          <w:szCs w:val="26"/>
        </w:rPr>
        <w:fldChar w:fldCharType="end"/>
      </w:r>
    </w:p>
    <w:p w:rsidRPr="00AE1B2B" w:rsidR="009D3FB5" w:rsidP="00163B94" w:rsidRDefault="009D3FB5" w14:paraId="58822F6D"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Circulante por Fases en los Juzgados</w:t>
      </w:r>
    </w:p>
    <w:p w:rsidRPr="00AE1B2B" w:rsidR="009D3FB5" w:rsidP="00163B94" w:rsidRDefault="009D3FB5" w14:paraId="156247AF" w14:textId="77777777">
      <w:pPr>
        <w:spacing w:before="120" w:after="120"/>
        <w:ind w:left="851" w:right="851" w:firstLine="709"/>
        <w:jc w:val="center"/>
        <w:rPr>
          <w:rFonts w:ascii="Times New Roman" w:hAnsi="Times New Roman" w:cs="Times New Roman"/>
          <w:b/>
          <w:bCs/>
          <w:sz w:val="26"/>
          <w:szCs w:val="26"/>
          <w:lang w:val="es-ES" w:eastAsia="es-ES"/>
        </w:rPr>
      </w:pPr>
      <w:r w:rsidRPr="00AE1B2B">
        <w:rPr>
          <w:rFonts w:ascii="Times New Roman" w:hAnsi="Times New Roman" w:cs="Times New Roman"/>
          <w:b/>
          <w:bCs/>
          <w:sz w:val="26"/>
          <w:szCs w:val="26"/>
          <w:lang w:val="es-ES" w:eastAsia="es-ES"/>
        </w:rPr>
        <w:t>Especializados de la materia de Pensiones Alimentarias al finalizar el 2020</w:t>
      </w:r>
    </w:p>
    <w:tbl>
      <w:tblPr>
        <w:tblW w:w="9660" w:type="dxa"/>
        <w:jc w:val="center"/>
        <w:tblLayout w:type="fixed"/>
        <w:tblCellMar>
          <w:left w:w="70" w:type="dxa"/>
          <w:right w:w="70" w:type="dxa"/>
        </w:tblCellMar>
        <w:tblLook w:val="04A0" w:firstRow="1" w:lastRow="0" w:firstColumn="1" w:lastColumn="0" w:noHBand="0" w:noVBand="1"/>
      </w:tblPr>
      <w:tblGrid>
        <w:gridCol w:w="2969"/>
        <w:gridCol w:w="706"/>
        <w:gridCol w:w="726"/>
        <w:gridCol w:w="709"/>
        <w:gridCol w:w="868"/>
        <w:gridCol w:w="840"/>
        <w:gridCol w:w="711"/>
        <w:gridCol w:w="830"/>
        <w:gridCol w:w="734"/>
        <w:gridCol w:w="567"/>
      </w:tblGrid>
      <w:tr w:rsidRPr="00AE1B2B" w:rsidR="009D3FB5" w:rsidTr="009D3FB5" w14:paraId="391E8CA7" w14:textId="77777777">
        <w:trPr>
          <w:cantSplit/>
          <w:trHeight w:val="2022"/>
          <w:tblHeader/>
          <w:jc w:val="center"/>
        </w:trPr>
        <w:tc>
          <w:tcPr>
            <w:tcW w:w="2969" w:type="dxa"/>
            <w:tcBorders>
              <w:top w:val="single" w:color="auto" w:sz="4" w:space="0"/>
              <w:left w:val="single" w:color="auto" w:sz="4" w:space="0"/>
              <w:bottom w:val="single" w:color="auto" w:sz="4" w:space="0"/>
              <w:right w:val="single" w:color="auto" w:sz="4" w:space="0"/>
            </w:tcBorders>
            <w:shd w:val="clear" w:color="auto" w:fill="002060"/>
            <w:vAlign w:val="center"/>
            <w:hideMark/>
          </w:tcPr>
          <w:p w:rsidRPr="00AE1B2B" w:rsidR="009D3FB5" w:rsidP="00163B94" w:rsidRDefault="009D3FB5" w14:paraId="7664CB4E" w14:textId="77777777">
            <w:pPr>
              <w:spacing w:before="120" w:after="120" w:line="276" w:lineRule="auto"/>
              <w:jc w:val="center"/>
              <w:rPr>
                <w:rFonts w:ascii="Times New Roman" w:hAnsi="Times New Roman" w:eastAsia="Times New Roman" w:cs="Times New Roman"/>
                <w:b/>
                <w:sz w:val="20"/>
                <w:szCs w:val="20"/>
                <w:lang w:eastAsia="es-CR"/>
              </w:rPr>
            </w:pPr>
            <w:r w:rsidRPr="00AE1B2B">
              <w:rPr>
                <w:rFonts w:ascii="Times New Roman" w:hAnsi="Times New Roman" w:eastAsia="Times New Roman" w:cs="Times New Roman"/>
                <w:b/>
                <w:bCs/>
                <w:sz w:val="20"/>
                <w:szCs w:val="20"/>
                <w:lang w:eastAsia="es-CR"/>
              </w:rPr>
              <w:lastRenderedPageBreak/>
              <w:t>Despacho</w:t>
            </w:r>
          </w:p>
        </w:tc>
        <w:tc>
          <w:tcPr>
            <w:tcW w:w="706" w:type="dxa"/>
            <w:tcBorders>
              <w:top w:val="single" w:color="auto" w:sz="4" w:space="0"/>
              <w:left w:val="nil"/>
              <w:bottom w:val="single" w:color="auto" w:sz="4" w:space="0"/>
              <w:right w:val="single" w:color="auto" w:sz="4" w:space="0"/>
            </w:tcBorders>
            <w:shd w:val="clear" w:color="auto" w:fill="002060"/>
            <w:textDirection w:val="btLr"/>
            <w:vAlign w:val="center"/>
            <w:hideMark/>
          </w:tcPr>
          <w:p w:rsidRPr="00AE1B2B" w:rsidR="009D3FB5" w:rsidP="00163B94" w:rsidRDefault="009D3FB5" w14:paraId="13D85B29" w14:textId="77777777">
            <w:pPr>
              <w:spacing w:before="120" w:after="120" w:line="276" w:lineRule="auto"/>
              <w:jc w:val="center"/>
              <w:rPr>
                <w:rFonts w:ascii="Times New Roman" w:hAnsi="Times New Roman" w:eastAsia="Times New Roman" w:cs="Times New Roman"/>
                <w:b/>
                <w:sz w:val="16"/>
                <w:szCs w:val="16"/>
                <w:lang w:eastAsia="es-CR"/>
              </w:rPr>
            </w:pPr>
            <w:r w:rsidRPr="00AE1B2B">
              <w:rPr>
                <w:rFonts w:ascii="Times New Roman" w:hAnsi="Times New Roman" w:eastAsia="Times New Roman" w:cs="Times New Roman"/>
                <w:b/>
                <w:sz w:val="16"/>
                <w:szCs w:val="16"/>
                <w:lang w:eastAsia="es-CR"/>
              </w:rPr>
              <w:t>Demanda</w:t>
            </w:r>
          </w:p>
        </w:tc>
        <w:tc>
          <w:tcPr>
            <w:tcW w:w="726" w:type="dxa"/>
            <w:tcBorders>
              <w:top w:val="single" w:color="auto" w:sz="4" w:space="0"/>
              <w:left w:val="nil"/>
              <w:bottom w:val="single" w:color="auto" w:sz="4" w:space="0"/>
              <w:right w:val="single" w:color="auto" w:sz="4" w:space="0"/>
            </w:tcBorders>
            <w:shd w:val="clear" w:color="auto" w:fill="002060"/>
            <w:textDirection w:val="btLr"/>
            <w:vAlign w:val="center"/>
            <w:hideMark/>
          </w:tcPr>
          <w:p w:rsidRPr="00AE1B2B" w:rsidR="009D3FB5" w:rsidP="00163B94" w:rsidRDefault="009D3FB5" w14:paraId="6E2DF60E" w14:textId="77777777">
            <w:pPr>
              <w:spacing w:before="120" w:after="120" w:line="276" w:lineRule="auto"/>
              <w:jc w:val="center"/>
              <w:rPr>
                <w:rFonts w:ascii="Times New Roman" w:hAnsi="Times New Roman" w:eastAsia="Times New Roman" w:cs="Times New Roman"/>
                <w:b/>
                <w:sz w:val="16"/>
                <w:szCs w:val="16"/>
                <w:lang w:eastAsia="es-CR"/>
              </w:rPr>
            </w:pPr>
            <w:r w:rsidRPr="00AE1B2B">
              <w:rPr>
                <w:rFonts w:ascii="Times New Roman" w:hAnsi="Times New Roman" w:eastAsia="Times New Roman" w:cs="Times New Roman"/>
                <w:b/>
                <w:sz w:val="16"/>
                <w:szCs w:val="16"/>
                <w:lang w:eastAsia="es-CR"/>
              </w:rPr>
              <w:t>Demostrativa</w:t>
            </w:r>
          </w:p>
        </w:tc>
        <w:tc>
          <w:tcPr>
            <w:tcW w:w="709" w:type="dxa"/>
            <w:tcBorders>
              <w:top w:val="single" w:color="auto" w:sz="4" w:space="0"/>
              <w:left w:val="nil"/>
              <w:bottom w:val="single" w:color="auto" w:sz="4" w:space="0"/>
              <w:right w:val="single" w:color="auto" w:sz="4" w:space="0"/>
            </w:tcBorders>
            <w:shd w:val="clear" w:color="auto" w:fill="002060"/>
            <w:textDirection w:val="btLr"/>
            <w:vAlign w:val="center"/>
            <w:hideMark/>
          </w:tcPr>
          <w:p w:rsidRPr="00AE1B2B" w:rsidR="009D3FB5" w:rsidP="00163B94" w:rsidRDefault="009D3FB5" w14:paraId="74455FD5" w14:textId="77777777">
            <w:pPr>
              <w:spacing w:before="120" w:after="120" w:line="276" w:lineRule="auto"/>
              <w:jc w:val="center"/>
              <w:rPr>
                <w:rFonts w:ascii="Times New Roman" w:hAnsi="Times New Roman" w:eastAsia="Times New Roman" w:cs="Times New Roman"/>
                <w:b/>
                <w:sz w:val="16"/>
                <w:szCs w:val="16"/>
                <w:lang w:eastAsia="es-CR"/>
              </w:rPr>
            </w:pPr>
            <w:r w:rsidRPr="00AE1B2B">
              <w:rPr>
                <w:rFonts w:ascii="Times New Roman" w:hAnsi="Times New Roman" w:eastAsia="Times New Roman" w:cs="Times New Roman"/>
                <w:b/>
                <w:sz w:val="16"/>
                <w:szCs w:val="16"/>
                <w:lang w:eastAsia="es-CR"/>
              </w:rPr>
              <w:t>Conclusiva</w:t>
            </w:r>
          </w:p>
        </w:tc>
        <w:tc>
          <w:tcPr>
            <w:tcW w:w="868" w:type="dxa"/>
            <w:tcBorders>
              <w:top w:val="single" w:color="auto" w:sz="4" w:space="0"/>
              <w:left w:val="nil"/>
              <w:bottom w:val="single" w:color="auto" w:sz="4" w:space="0"/>
              <w:right w:val="single" w:color="auto" w:sz="4" w:space="0"/>
            </w:tcBorders>
            <w:shd w:val="clear" w:color="auto" w:fill="002060"/>
            <w:textDirection w:val="btLr"/>
            <w:vAlign w:val="center"/>
            <w:hideMark/>
          </w:tcPr>
          <w:p w:rsidRPr="00AE1B2B" w:rsidR="009D3FB5" w:rsidP="00163B94" w:rsidRDefault="009D3FB5" w14:paraId="247A6C2F" w14:textId="77777777">
            <w:pPr>
              <w:spacing w:before="120" w:after="120" w:line="276" w:lineRule="auto"/>
              <w:jc w:val="center"/>
              <w:rPr>
                <w:rFonts w:ascii="Times New Roman" w:hAnsi="Times New Roman" w:eastAsia="Times New Roman" w:cs="Times New Roman"/>
                <w:b/>
                <w:sz w:val="16"/>
                <w:szCs w:val="16"/>
                <w:lang w:eastAsia="es-CR"/>
              </w:rPr>
            </w:pPr>
            <w:r w:rsidRPr="00AE1B2B">
              <w:rPr>
                <w:rFonts w:ascii="Times New Roman" w:hAnsi="Times New Roman" w:eastAsia="Times New Roman" w:cs="Times New Roman"/>
                <w:b/>
                <w:sz w:val="16"/>
                <w:szCs w:val="16"/>
                <w:lang w:eastAsia="es-CR"/>
              </w:rPr>
              <w:t>Ejecución activa</w:t>
            </w:r>
          </w:p>
        </w:tc>
        <w:tc>
          <w:tcPr>
            <w:tcW w:w="840" w:type="dxa"/>
            <w:tcBorders>
              <w:top w:val="single" w:color="auto" w:sz="4" w:space="0"/>
              <w:left w:val="nil"/>
              <w:bottom w:val="single" w:color="auto" w:sz="4" w:space="0"/>
              <w:right w:val="single" w:color="auto" w:sz="4" w:space="0"/>
            </w:tcBorders>
            <w:shd w:val="clear" w:color="auto" w:fill="002060"/>
            <w:textDirection w:val="btLr"/>
            <w:vAlign w:val="center"/>
            <w:hideMark/>
          </w:tcPr>
          <w:p w:rsidRPr="00AE1B2B" w:rsidR="009D3FB5" w:rsidP="00163B94" w:rsidRDefault="009D3FB5" w14:paraId="07952005" w14:textId="77777777">
            <w:pPr>
              <w:spacing w:before="120" w:after="120" w:line="276" w:lineRule="auto"/>
              <w:jc w:val="center"/>
              <w:rPr>
                <w:rFonts w:ascii="Times New Roman" w:hAnsi="Times New Roman" w:eastAsia="Times New Roman" w:cs="Times New Roman"/>
                <w:b/>
                <w:sz w:val="16"/>
                <w:szCs w:val="16"/>
                <w:lang w:eastAsia="es-CR"/>
              </w:rPr>
            </w:pPr>
            <w:r w:rsidRPr="00AE1B2B">
              <w:rPr>
                <w:rFonts w:ascii="Times New Roman" w:hAnsi="Times New Roman" w:eastAsia="Times New Roman" w:cs="Times New Roman"/>
                <w:b/>
                <w:sz w:val="16"/>
                <w:szCs w:val="16"/>
                <w:lang w:eastAsia="es-CR"/>
              </w:rPr>
              <w:t>Ejecución pasiva</w:t>
            </w:r>
          </w:p>
        </w:tc>
        <w:tc>
          <w:tcPr>
            <w:tcW w:w="711" w:type="dxa"/>
            <w:tcBorders>
              <w:top w:val="single" w:color="auto" w:sz="4" w:space="0"/>
              <w:left w:val="nil"/>
              <w:bottom w:val="single" w:color="auto" w:sz="4" w:space="0"/>
              <w:right w:val="single" w:color="auto" w:sz="4" w:space="0"/>
            </w:tcBorders>
            <w:shd w:val="clear" w:color="auto" w:fill="002060"/>
            <w:textDirection w:val="btLr"/>
            <w:vAlign w:val="center"/>
            <w:hideMark/>
          </w:tcPr>
          <w:p w:rsidRPr="00AE1B2B" w:rsidR="009D3FB5" w:rsidP="00163B94" w:rsidRDefault="009D3FB5" w14:paraId="7EFA043A" w14:textId="77777777">
            <w:pPr>
              <w:spacing w:before="120" w:after="120" w:line="276" w:lineRule="auto"/>
              <w:jc w:val="center"/>
              <w:rPr>
                <w:rFonts w:ascii="Times New Roman" w:hAnsi="Times New Roman" w:eastAsia="Times New Roman" w:cs="Times New Roman"/>
                <w:b/>
                <w:sz w:val="16"/>
                <w:szCs w:val="16"/>
                <w:lang w:eastAsia="es-CR"/>
              </w:rPr>
            </w:pPr>
            <w:r w:rsidRPr="00AE1B2B">
              <w:rPr>
                <w:rFonts w:ascii="Times New Roman" w:hAnsi="Times New Roman" w:eastAsia="Times New Roman" w:cs="Times New Roman"/>
                <w:b/>
                <w:sz w:val="16"/>
                <w:szCs w:val="16"/>
                <w:lang w:eastAsia="es-CR"/>
              </w:rPr>
              <w:t xml:space="preserve">Sin fase </w:t>
            </w:r>
            <w:r w:rsidRPr="00AE1B2B">
              <w:rPr>
                <w:rFonts w:ascii="Times New Roman" w:hAnsi="Times New Roman" w:eastAsia="Times New Roman" w:cs="Times New Roman"/>
                <w:b/>
                <w:sz w:val="16"/>
                <w:szCs w:val="16"/>
                <w:vertAlign w:val="superscript"/>
                <w:lang w:eastAsia="es-CR"/>
              </w:rPr>
              <w:t>(1)</w:t>
            </w:r>
          </w:p>
        </w:tc>
        <w:tc>
          <w:tcPr>
            <w:tcW w:w="830" w:type="dxa"/>
            <w:tcBorders>
              <w:top w:val="single" w:color="auto" w:sz="4" w:space="0"/>
              <w:left w:val="nil"/>
              <w:bottom w:val="single" w:color="auto" w:sz="4" w:space="0"/>
              <w:right w:val="single" w:color="auto" w:sz="4" w:space="0"/>
            </w:tcBorders>
            <w:shd w:val="clear" w:color="auto" w:fill="002060"/>
            <w:textDirection w:val="btLr"/>
            <w:vAlign w:val="center"/>
            <w:hideMark/>
          </w:tcPr>
          <w:p w:rsidRPr="00AE1B2B" w:rsidR="009D3FB5" w:rsidP="00163B94" w:rsidRDefault="009D3FB5" w14:paraId="58812FE9" w14:textId="77777777">
            <w:pPr>
              <w:spacing w:before="120" w:after="120" w:line="276" w:lineRule="auto"/>
              <w:jc w:val="center"/>
              <w:rPr>
                <w:rFonts w:ascii="Times New Roman" w:hAnsi="Times New Roman" w:eastAsia="Times New Roman" w:cs="Times New Roman"/>
                <w:b/>
                <w:sz w:val="16"/>
                <w:szCs w:val="16"/>
                <w:lang w:eastAsia="es-CR"/>
              </w:rPr>
            </w:pPr>
            <w:r w:rsidRPr="00AE1B2B">
              <w:rPr>
                <w:rFonts w:ascii="Times New Roman" w:hAnsi="Times New Roman" w:eastAsia="Times New Roman" w:cs="Times New Roman"/>
                <w:b/>
                <w:sz w:val="16"/>
                <w:szCs w:val="16"/>
                <w:lang w:eastAsia="es-CR"/>
              </w:rPr>
              <w:t>Circulante Total</w:t>
            </w:r>
          </w:p>
        </w:tc>
        <w:tc>
          <w:tcPr>
            <w:tcW w:w="734" w:type="dxa"/>
            <w:tcBorders>
              <w:top w:val="single" w:color="auto" w:sz="4" w:space="0"/>
              <w:left w:val="nil"/>
              <w:bottom w:val="single" w:color="auto" w:sz="4" w:space="0"/>
              <w:right w:val="single" w:color="auto" w:sz="4" w:space="0"/>
            </w:tcBorders>
            <w:shd w:val="clear" w:color="auto" w:fill="002060"/>
            <w:textDirection w:val="btLr"/>
            <w:vAlign w:val="center"/>
            <w:hideMark/>
          </w:tcPr>
          <w:p w:rsidRPr="00AE1B2B" w:rsidR="009D3FB5" w:rsidP="00163B94" w:rsidRDefault="009D3FB5" w14:paraId="6F17EDCF" w14:textId="77777777">
            <w:pPr>
              <w:spacing w:before="120" w:after="120" w:line="276" w:lineRule="auto"/>
              <w:jc w:val="center"/>
              <w:rPr>
                <w:rFonts w:ascii="Times New Roman" w:hAnsi="Times New Roman" w:eastAsia="Times New Roman" w:cs="Times New Roman"/>
                <w:b/>
                <w:sz w:val="16"/>
                <w:szCs w:val="16"/>
                <w:lang w:eastAsia="es-CR"/>
              </w:rPr>
            </w:pPr>
            <w:r w:rsidRPr="00AE1B2B">
              <w:rPr>
                <w:rFonts w:ascii="Times New Roman" w:hAnsi="Times New Roman" w:eastAsia="Times New Roman" w:cs="Times New Roman"/>
                <w:b/>
                <w:sz w:val="16"/>
                <w:szCs w:val="16"/>
                <w:lang w:eastAsia="es-CR"/>
              </w:rPr>
              <w:t>% Circulante Trámite (Demanda+</w:t>
            </w:r>
            <w:r w:rsidRPr="00AE1B2B">
              <w:rPr>
                <w:rFonts w:ascii="Times New Roman" w:hAnsi="Times New Roman" w:eastAsia="Times New Roman" w:cs="Times New Roman"/>
                <w:b/>
                <w:bCs/>
                <w:sz w:val="16"/>
                <w:szCs w:val="16"/>
                <w:lang w:eastAsia="es-CR"/>
              </w:rPr>
              <w:t xml:space="preserve"> </w:t>
            </w:r>
            <w:r w:rsidRPr="00AE1B2B">
              <w:rPr>
                <w:rFonts w:ascii="Times New Roman" w:hAnsi="Times New Roman" w:eastAsia="Times New Roman" w:cs="Times New Roman"/>
                <w:b/>
                <w:sz w:val="16"/>
                <w:szCs w:val="16"/>
                <w:lang w:eastAsia="es-CR"/>
              </w:rPr>
              <w:t>Demostrativa+Conclusiva+Sin Fase)</w:t>
            </w:r>
          </w:p>
        </w:tc>
        <w:tc>
          <w:tcPr>
            <w:tcW w:w="567" w:type="dxa"/>
            <w:tcBorders>
              <w:top w:val="single" w:color="auto" w:sz="4" w:space="0"/>
              <w:left w:val="nil"/>
              <w:bottom w:val="single" w:color="auto" w:sz="4" w:space="0"/>
              <w:right w:val="single" w:color="auto" w:sz="4" w:space="0"/>
            </w:tcBorders>
            <w:shd w:val="clear" w:color="auto" w:fill="002060"/>
            <w:textDirection w:val="btLr"/>
            <w:vAlign w:val="center"/>
            <w:hideMark/>
          </w:tcPr>
          <w:p w:rsidRPr="00AE1B2B" w:rsidR="009D3FB5" w:rsidP="00163B94" w:rsidRDefault="009D3FB5" w14:paraId="040B1B2F" w14:textId="77777777">
            <w:pPr>
              <w:spacing w:before="120" w:after="120" w:line="276" w:lineRule="auto"/>
              <w:jc w:val="center"/>
              <w:rPr>
                <w:rFonts w:ascii="Times New Roman" w:hAnsi="Times New Roman" w:eastAsia="Times New Roman" w:cs="Times New Roman"/>
                <w:b/>
                <w:sz w:val="16"/>
                <w:szCs w:val="16"/>
                <w:lang w:eastAsia="es-CR"/>
              </w:rPr>
            </w:pPr>
            <w:r w:rsidRPr="00AE1B2B">
              <w:rPr>
                <w:rFonts w:ascii="Times New Roman" w:hAnsi="Times New Roman" w:eastAsia="Times New Roman" w:cs="Times New Roman"/>
                <w:b/>
                <w:sz w:val="16"/>
                <w:szCs w:val="16"/>
                <w:lang w:eastAsia="es-CR"/>
              </w:rPr>
              <w:t>% Circulante Ejecución</w:t>
            </w:r>
          </w:p>
        </w:tc>
      </w:tr>
      <w:tr w:rsidRPr="00AE1B2B" w:rsidR="009D3FB5" w:rsidTr="009D3FB5" w14:paraId="1FB022FC"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tblHeader/>
          <w:jc w:val="center"/>
        </w:trPr>
        <w:tc>
          <w:tcPr>
            <w:tcW w:w="2969" w:type="dxa"/>
            <w:shd w:val="clear" w:color="auto" w:fill="auto"/>
            <w:noWrap/>
            <w:vAlign w:val="center"/>
            <w:hideMark/>
          </w:tcPr>
          <w:p w:rsidRPr="00AE1B2B" w:rsidR="009D3FB5" w:rsidP="00163B94" w:rsidRDefault="009D3FB5" w14:paraId="6406AD72"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II Circ. Jud. San José (Goicoechea)</w:t>
            </w:r>
          </w:p>
        </w:tc>
        <w:tc>
          <w:tcPr>
            <w:tcW w:w="706" w:type="dxa"/>
            <w:shd w:val="clear" w:color="auto" w:fill="auto"/>
            <w:noWrap/>
            <w:vAlign w:val="center"/>
            <w:hideMark/>
          </w:tcPr>
          <w:p w:rsidRPr="00AE1B2B" w:rsidR="009D3FB5" w:rsidP="00163B94" w:rsidRDefault="009D3FB5" w14:paraId="6F38D2E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1022</w:t>
            </w:r>
          </w:p>
        </w:tc>
        <w:tc>
          <w:tcPr>
            <w:tcW w:w="726" w:type="dxa"/>
            <w:shd w:val="clear" w:color="auto" w:fill="auto"/>
            <w:noWrap/>
            <w:vAlign w:val="center"/>
            <w:hideMark/>
          </w:tcPr>
          <w:p w:rsidRPr="00AE1B2B" w:rsidR="009D3FB5" w:rsidP="00163B94" w:rsidRDefault="009D3FB5" w14:paraId="71FF64E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156</w:t>
            </w:r>
          </w:p>
        </w:tc>
        <w:tc>
          <w:tcPr>
            <w:tcW w:w="709" w:type="dxa"/>
            <w:shd w:val="clear" w:color="auto" w:fill="auto"/>
            <w:noWrap/>
            <w:vAlign w:val="center"/>
            <w:hideMark/>
          </w:tcPr>
          <w:p w:rsidRPr="00AE1B2B" w:rsidR="009D3FB5" w:rsidP="00163B94" w:rsidRDefault="009D3FB5" w14:paraId="6DCF816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102</w:t>
            </w:r>
          </w:p>
        </w:tc>
        <w:tc>
          <w:tcPr>
            <w:tcW w:w="868" w:type="dxa"/>
            <w:shd w:val="clear" w:color="auto" w:fill="auto"/>
            <w:noWrap/>
            <w:vAlign w:val="center"/>
            <w:hideMark/>
          </w:tcPr>
          <w:p w:rsidRPr="00AE1B2B" w:rsidR="009D3FB5" w:rsidP="00163B94" w:rsidRDefault="009D3FB5" w14:paraId="4CA369B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10751</w:t>
            </w:r>
          </w:p>
        </w:tc>
        <w:tc>
          <w:tcPr>
            <w:tcW w:w="840" w:type="dxa"/>
            <w:shd w:val="clear" w:color="auto" w:fill="auto"/>
            <w:noWrap/>
            <w:vAlign w:val="center"/>
            <w:hideMark/>
          </w:tcPr>
          <w:p w:rsidRPr="00AE1B2B" w:rsidR="009D3FB5" w:rsidP="00163B94" w:rsidRDefault="009D3FB5" w14:paraId="341C491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4575</w:t>
            </w:r>
          </w:p>
        </w:tc>
        <w:tc>
          <w:tcPr>
            <w:tcW w:w="711" w:type="dxa"/>
            <w:shd w:val="clear" w:color="auto" w:fill="auto"/>
            <w:noWrap/>
            <w:vAlign w:val="center"/>
            <w:hideMark/>
          </w:tcPr>
          <w:p w:rsidRPr="00AE1B2B" w:rsidR="009D3FB5" w:rsidP="00163B94" w:rsidRDefault="009D3FB5" w14:paraId="3C2D7BA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830" w:type="dxa"/>
            <w:shd w:val="clear" w:color="auto" w:fill="auto"/>
            <w:noWrap/>
            <w:vAlign w:val="center"/>
            <w:hideMark/>
          </w:tcPr>
          <w:p w:rsidRPr="00AE1B2B" w:rsidR="009D3FB5" w:rsidP="00163B94" w:rsidRDefault="009D3FB5" w14:paraId="37EDB69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16610</w:t>
            </w:r>
          </w:p>
        </w:tc>
        <w:tc>
          <w:tcPr>
            <w:tcW w:w="734" w:type="dxa"/>
            <w:shd w:val="clear" w:color="auto" w:fill="DEEAF6" w:themeFill="accent1" w:themeFillTint="33"/>
            <w:noWrap/>
            <w:vAlign w:val="center"/>
            <w:hideMark/>
          </w:tcPr>
          <w:p w:rsidRPr="00AE1B2B" w:rsidR="009D3FB5" w:rsidP="00163B94" w:rsidRDefault="009D3FB5" w14:paraId="3583BC6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w:t>
            </w:r>
          </w:p>
        </w:tc>
        <w:tc>
          <w:tcPr>
            <w:tcW w:w="567" w:type="dxa"/>
            <w:shd w:val="clear" w:color="auto" w:fill="E2EFD9" w:themeFill="accent6" w:themeFillTint="33"/>
            <w:noWrap/>
            <w:vAlign w:val="center"/>
            <w:hideMark/>
          </w:tcPr>
          <w:p w:rsidRPr="00AE1B2B" w:rsidR="009D3FB5" w:rsidP="00163B94" w:rsidRDefault="009D3FB5" w14:paraId="19DF1ED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92%</w:t>
            </w:r>
          </w:p>
        </w:tc>
      </w:tr>
      <w:tr w:rsidRPr="00AE1B2B" w:rsidR="009D3FB5" w:rsidTr="009D3FB5" w14:paraId="3524F88C"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tblHeader/>
          <w:jc w:val="center"/>
        </w:trPr>
        <w:tc>
          <w:tcPr>
            <w:tcW w:w="2969" w:type="dxa"/>
            <w:shd w:val="clear" w:color="auto" w:fill="auto"/>
            <w:noWrap/>
            <w:vAlign w:val="center"/>
            <w:hideMark/>
          </w:tcPr>
          <w:p w:rsidRPr="00AE1B2B" w:rsidR="009D3FB5" w:rsidP="00163B94" w:rsidRDefault="009D3FB5" w14:paraId="433AEC72"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I Circ. Jud. Alajuela</w:t>
            </w:r>
          </w:p>
        </w:tc>
        <w:tc>
          <w:tcPr>
            <w:tcW w:w="706" w:type="dxa"/>
            <w:shd w:val="clear" w:color="auto" w:fill="auto"/>
            <w:noWrap/>
            <w:vAlign w:val="center"/>
            <w:hideMark/>
          </w:tcPr>
          <w:p w:rsidRPr="00AE1B2B" w:rsidR="009D3FB5" w:rsidP="00163B94" w:rsidRDefault="009D3FB5" w14:paraId="468DB58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388</w:t>
            </w:r>
          </w:p>
        </w:tc>
        <w:tc>
          <w:tcPr>
            <w:tcW w:w="726" w:type="dxa"/>
            <w:shd w:val="clear" w:color="auto" w:fill="auto"/>
            <w:noWrap/>
            <w:vAlign w:val="center"/>
            <w:hideMark/>
          </w:tcPr>
          <w:p w:rsidRPr="00AE1B2B" w:rsidR="009D3FB5" w:rsidP="00163B94" w:rsidRDefault="009D3FB5" w14:paraId="45797C9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93</w:t>
            </w:r>
          </w:p>
        </w:tc>
        <w:tc>
          <w:tcPr>
            <w:tcW w:w="709" w:type="dxa"/>
            <w:shd w:val="clear" w:color="auto" w:fill="auto"/>
            <w:noWrap/>
            <w:vAlign w:val="center"/>
            <w:hideMark/>
          </w:tcPr>
          <w:p w:rsidRPr="00AE1B2B" w:rsidR="009D3FB5" w:rsidP="00163B94" w:rsidRDefault="009D3FB5" w14:paraId="60ACAAE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w:t>
            </w:r>
          </w:p>
        </w:tc>
        <w:tc>
          <w:tcPr>
            <w:tcW w:w="868" w:type="dxa"/>
            <w:shd w:val="clear" w:color="auto" w:fill="auto"/>
            <w:noWrap/>
            <w:vAlign w:val="center"/>
            <w:hideMark/>
          </w:tcPr>
          <w:p w:rsidRPr="00AE1B2B" w:rsidR="009D3FB5" w:rsidP="00163B94" w:rsidRDefault="009D3FB5" w14:paraId="5B2647A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4055</w:t>
            </w:r>
          </w:p>
        </w:tc>
        <w:tc>
          <w:tcPr>
            <w:tcW w:w="840" w:type="dxa"/>
            <w:shd w:val="clear" w:color="auto" w:fill="auto"/>
            <w:noWrap/>
            <w:vAlign w:val="center"/>
            <w:hideMark/>
          </w:tcPr>
          <w:p w:rsidRPr="00AE1B2B" w:rsidR="009D3FB5" w:rsidP="00163B94" w:rsidRDefault="009D3FB5" w14:paraId="6697875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783</w:t>
            </w:r>
          </w:p>
        </w:tc>
        <w:tc>
          <w:tcPr>
            <w:tcW w:w="711" w:type="dxa"/>
            <w:shd w:val="clear" w:color="auto" w:fill="auto"/>
            <w:noWrap/>
            <w:vAlign w:val="center"/>
            <w:hideMark/>
          </w:tcPr>
          <w:p w:rsidRPr="00AE1B2B" w:rsidR="009D3FB5" w:rsidP="00163B94" w:rsidRDefault="009D3FB5" w14:paraId="5E2F0A5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w:t>
            </w:r>
          </w:p>
        </w:tc>
        <w:tc>
          <w:tcPr>
            <w:tcW w:w="830" w:type="dxa"/>
            <w:shd w:val="clear" w:color="auto" w:fill="auto"/>
            <w:noWrap/>
            <w:vAlign w:val="center"/>
            <w:hideMark/>
          </w:tcPr>
          <w:p w:rsidRPr="00AE1B2B" w:rsidR="009D3FB5" w:rsidP="00163B94" w:rsidRDefault="009D3FB5" w14:paraId="4DAD66C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5340</w:t>
            </w:r>
          </w:p>
        </w:tc>
        <w:tc>
          <w:tcPr>
            <w:tcW w:w="734" w:type="dxa"/>
            <w:shd w:val="clear" w:color="auto" w:fill="DEEAF6" w:themeFill="accent1" w:themeFillTint="33"/>
            <w:noWrap/>
            <w:vAlign w:val="center"/>
            <w:hideMark/>
          </w:tcPr>
          <w:p w:rsidRPr="00AE1B2B" w:rsidR="009D3FB5" w:rsidP="00163B94" w:rsidRDefault="009D3FB5" w14:paraId="104BD33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w:t>
            </w:r>
          </w:p>
        </w:tc>
        <w:tc>
          <w:tcPr>
            <w:tcW w:w="567" w:type="dxa"/>
            <w:shd w:val="clear" w:color="auto" w:fill="E2EFD9" w:themeFill="accent6" w:themeFillTint="33"/>
            <w:noWrap/>
            <w:vAlign w:val="center"/>
            <w:hideMark/>
          </w:tcPr>
          <w:p w:rsidRPr="00AE1B2B" w:rsidR="009D3FB5" w:rsidP="00163B94" w:rsidRDefault="009D3FB5" w14:paraId="47F24A9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91%</w:t>
            </w:r>
          </w:p>
        </w:tc>
      </w:tr>
      <w:tr w:rsidRPr="00AE1B2B" w:rsidR="009D3FB5" w:rsidTr="009D3FB5" w14:paraId="02D30300"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tblHeader/>
          <w:jc w:val="center"/>
        </w:trPr>
        <w:tc>
          <w:tcPr>
            <w:tcW w:w="2969" w:type="dxa"/>
            <w:shd w:val="clear" w:color="auto" w:fill="auto"/>
            <w:noWrap/>
            <w:vAlign w:val="center"/>
            <w:hideMark/>
          </w:tcPr>
          <w:p w:rsidRPr="00AE1B2B" w:rsidR="009D3FB5" w:rsidP="00163B94" w:rsidRDefault="009D3FB5" w14:paraId="665FDD56"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III Circ. Jud. San José (Desamparados)</w:t>
            </w:r>
          </w:p>
        </w:tc>
        <w:tc>
          <w:tcPr>
            <w:tcW w:w="706" w:type="dxa"/>
            <w:shd w:val="clear" w:color="auto" w:fill="auto"/>
            <w:noWrap/>
            <w:vAlign w:val="center"/>
            <w:hideMark/>
          </w:tcPr>
          <w:p w:rsidRPr="00AE1B2B" w:rsidR="009D3FB5" w:rsidP="00163B94" w:rsidRDefault="009D3FB5" w14:paraId="06BB1B3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41</w:t>
            </w:r>
          </w:p>
        </w:tc>
        <w:tc>
          <w:tcPr>
            <w:tcW w:w="726" w:type="dxa"/>
            <w:shd w:val="clear" w:color="auto" w:fill="auto"/>
            <w:noWrap/>
            <w:vAlign w:val="center"/>
            <w:hideMark/>
          </w:tcPr>
          <w:p w:rsidRPr="00AE1B2B" w:rsidR="009D3FB5" w:rsidP="00163B94" w:rsidRDefault="009D3FB5" w14:paraId="530FC0D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242</w:t>
            </w:r>
          </w:p>
        </w:tc>
        <w:tc>
          <w:tcPr>
            <w:tcW w:w="709" w:type="dxa"/>
            <w:shd w:val="clear" w:color="auto" w:fill="auto"/>
            <w:noWrap/>
            <w:vAlign w:val="center"/>
            <w:hideMark/>
          </w:tcPr>
          <w:p w:rsidRPr="00AE1B2B" w:rsidR="009D3FB5" w:rsidP="00163B94" w:rsidRDefault="009D3FB5" w14:paraId="1E65798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77</w:t>
            </w:r>
          </w:p>
        </w:tc>
        <w:tc>
          <w:tcPr>
            <w:tcW w:w="868" w:type="dxa"/>
            <w:shd w:val="clear" w:color="auto" w:fill="auto"/>
            <w:noWrap/>
            <w:vAlign w:val="center"/>
            <w:hideMark/>
          </w:tcPr>
          <w:p w:rsidRPr="00AE1B2B" w:rsidR="009D3FB5" w:rsidP="00163B94" w:rsidRDefault="009D3FB5" w14:paraId="35F41B3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5256</w:t>
            </w:r>
          </w:p>
        </w:tc>
        <w:tc>
          <w:tcPr>
            <w:tcW w:w="840" w:type="dxa"/>
            <w:shd w:val="clear" w:color="auto" w:fill="auto"/>
            <w:noWrap/>
            <w:vAlign w:val="center"/>
            <w:hideMark/>
          </w:tcPr>
          <w:p w:rsidRPr="00AE1B2B" w:rsidR="009D3FB5" w:rsidP="00163B94" w:rsidRDefault="009D3FB5" w14:paraId="70C3F6E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2775</w:t>
            </w:r>
          </w:p>
        </w:tc>
        <w:tc>
          <w:tcPr>
            <w:tcW w:w="711" w:type="dxa"/>
            <w:shd w:val="clear" w:color="auto" w:fill="auto"/>
            <w:noWrap/>
            <w:vAlign w:val="center"/>
            <w:hideMark/>
          </w:tcPr>
          <w:p w:rsidRPr="00AE1B2B" w:rsidR="009D3FB5" w:rsidP="00163B94" w:rsidRDefault="009D3FB5" w14:paraId="28E3B61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830" w:type="dxa"/>
            <w:shd w:val="clear" w:color="auto" w:fill="auto"/>
            <w:noWrap/>
            <w:vAlign w:val="center"/>
            <w:hideMark/>
          </w:tcPr>
          <w:p w:rsidRPr="00AE1B2B" w:rsidR="009D3FB5" w:rsidP="00163B94" w:rsidRDefault="009D3FB5" w14:paraId="42CC5BD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8492</w:t>
            </w:r>
          </w:p>
        </w:tc>
        <w:tc>
          <w:tcPr>
            <w:tcW w:w="734" w:type="dxa"/>
            <w:shd w:val="clear" w:color="auto" w:fill="DEEAF6" w:themeFill="accent1" w:themeFillTint="33"/>
            <w:noWrap/>
            <w:vAlign w:val="center"/>
            <w:hideMark/>
          </w:tcPr>
          <w:p w:rsidRPr="00AE1B2B" w:rsidR="009D3FB5" w:rsidP="00163B94" w:rsidRDefault="009D3FB5" w14:paraId="34ECA47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567" w:type="dxa"/>
            <w:shd w:val="clear" w:color="auto" w:fill="E2EFD9" w:themeFill="accent6" w:themeFillTint="33"/>
            <w:noWrap/>
            <w:vAlign w:val="center"/>
            <w:hideMark/>
          </w:tcPr>
          <w:p w:rsidRPr="00AE1B2B" w:rsidR="009D3FB5" w:rsidP="00163B94" w:rsidRDefault="009D3FB5" w14:paraId="756D729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96%</w:t>
            </w:r>
          </w:p>
        </w:tc>
      </w:tr>
      <w:tr w:rsidRPr="00AE1B2B" w:rsidR="009D3FB5" w:rsidTr="009D3FB5" w14:paraId="7C7FAD12"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tblHeader/>
          <w:jc w:val="center"/>
        </w:trPr>
        <w:tc>
          <w:tcPr>
            <w:tcW w:w="2969" w:type="dxa"/>
            <w:shd w:val="clear" w:color="auto" w:fill="auto"/>
            <w:noWrap/>
            <w:vAlign w:val="center"/>
            <w:hideMark/>
          </w:tcPr>
          <w:p w:rsidRPr="00AE1B2B" w:rsidR="009D3FB5" w:rsidP="00163B94" w:rsidRDefault="009D3FB5" w14:paraId="7426C42E"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Cartago</w:t>
            </w:r>
          </w:p>
        </w:tc>
        <w:tc>
          <w:tcPr>
            <w:tcW w:w="706" w:type="dxa"/>
            <w:shd w:val="clear" w:color="auto" w:fill="auto"/>
            <w:noWrap/>
            <w:vAlign w:val="center"/>
            <w:hideMark/>
          </w:tcPr>
          <w:p w:rsidRPr="00AE1B2B" w:rsidR="009D3FB5" w:rsidP="00163B94" w:rsidRDefault="009D3FB5" w14:paraId="0E4106D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766</w:t>
            </w:r>
          </w:p>
        </w:tc>
        <w:tc>
          <w:tcPr>
            <w:tcW w:w="726" w:type="dxa"/>
            <w:shd w:val="clear" w:color="auto" w:fill="auto"/>
            <w:noWrap/>
            <w:vAlign w:val="center"/>
            <w:hideMark/>
          </w:tcPr>
          <w:p w:rsidRPr="00AE1B2B" w:rsidR="009D3FB5" w:rsidP="00163B94" w:rsidRDefault="009D3FB5" w14:paraId="6FB0F0E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35</w:t>
            </w:r>
          </w:p>
        </w:tc>
        <w:tc>
          <w:tcPr>
            <w:tcW w:w="709" w:type="dxa"/>
            <w:shd w:val="clear" w:color="auto" w:fill="auto"/>
            <w:noWrap/>
            <w:vAlign w:val="center"/>
            <w:hideMark/>
          </w:tcPr>
          <w:p w:rsidRPr="00AE1B2B" w:rsidR="009D3FB5" w:rsidP="00163B94" w:rsidRDefault="009D3FB5" w14:paraId="7217871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97</w:t>
            </w:r>
          </w:p>
        </w:tc>
        <w:tc>
          <w:tcPr>
            <w:tcW w:w="868" w:type="dxa"/>
            <w:shd w:val="clear" w:color="auto" w:fill="auto"/>
            <w:noWrap/>
            <w:vAlign w:val="center"/>
            <w:hideMark/>
          </w:tcPr>
          <w:p w:rsidRPr="00AE1B2B" w:rsidR="009D3FB5" w:rsidP="00163B94" w:rsidRDefault="009D3FB5" w14:paraId="0BA76DA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2822</w:t>
            </w:r>
          </w:p>
        </w:tc>
        <w:tc>
          <w:tcPr>
            <w:tcW w:w="840" w:type="dxa"/>
            <w:shd w:val="clear" w:color="auto" w:fill="auto"/>
            <w:noWrap/>
            <w:vAlign w:val="center"/>
            <w:hideMark/>
          </w:tcPr>
          <w:p w:rsidRPr="00AE1B2B" w:rsidR="009D3FB5" w:rsidP="00163B94" w:rsidRDefault="009D3FB5" w14:paraId="31258A5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4518</w:t>
            </w:r>
          </w:p>
        </w:tc>
        <w:tc>
          <w:tcPr>
            <w:tcW w:w="711" w:type="dxa"/>
            <w:shd w:val="clear" w:color="auto" w:fill="auto"/>
            <w:noWrap/>
            <w:vAlign w:val="center"/>
            <w:hideMark/>
          </w:tcPr>
          <w:p w:rsidRPr="00AE1B2B" w:rsidR="009D3FB5" w:rsidP="00163B94" w:rsidRDefault="009D3FB5" w14:paraId="0838DEB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46</w:t>
            </w:r>
          </w:p>
        </w:tc>
        <w:tc>
          <w:tcPr>
            <w:tcW w:w="830" w:type="dxa"/>
            <w:shd w:val="clear" w:color="auto" w:fill="auto"/>
            <w:noWrap/>
            <w:vAlign w:val="center"/>
            <w:hideMark/>
          </w:tcPr>
          <w:p w:rsidRPr="00AE1B2B" w:rsidR="009D3FB5" w:rsidP="00163B94" w:rsidRDefault="009D3FB5" w14:paraId="08C49AF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8284</w:t>
            </w:r>
          </w:p>
        </w:tc>
        <w:tc>
          <w:tcPr>
            <w:tcW w:w="734" w:type="dxa"/>
            <w:shd w:val="clear" w:color="auto" w:fill="DEEAF6" w:themeFill="accent1" w:themeFillTint="33"/>
            <w:noWrap/>
            <w:vAlign w:val="center"/>
            <w:hideMark/>
          </w:tcPr>
          <w:p w:rsidRPr="00AE1B2B" w:rsidR="009D3FB5" w:rsidP="00163B94" w:rsidRDefault="009D3FB5" w14:paraId="797923E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w:t>
            </w:r>
          </w:p>
        </w:tc>
        <w:tc>
          <w:tcPr>
            <w:tcW w:w="567" w:type="dxa"/>
            <w:shd w:val="clear" w:color="auto" w:fill="E2EFD9" w:themeFill="accent6" w:themeFillTint="33"/>
            <w:noWrap/>
            <w:vAlign w:val="center"/>
            <w:hideMark/>
          </w:tcPr>
          <w:p w:rsidRPr="00AE1B2B" w:rsidR="009D3FB5" w:rsidP="00163B94" w:rsidRDefault="009D3FB5" w14:paraId="37636DF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89%</w:t>
            </w:r>
          </w:p>
        </w:tc>
      </w:tr>
      <w:tr w:rsidRPr="00AE1B2B" w:rsidR="009D3FB5" w:rsidTr="009D3FB5" w14:paraId="279A3892"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tblHeader/>
          <w:jc w:val="center"/>
        </w:trPr>
        <w:tc>
          <w:tcPr>
            <w:tcW w:w="2969" w:type="dxa"/>
            <w:shd w:val="clear" w:color="auto" w:fill="auto"/>
            <w:noWrap/>
            <w:vAlign w:val="center"/>
            <w:hideMark/>
          </w:tcPr>
          <w:p w:rsidRPr="00AE1B2B" w:rsidR="009D3FB5" w:rsidP="00163B94" w:rsidRDefault="009D3FB5" w14:paraId="491F78C9"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Heredia</w:t>
            </w:r>
          </w:p>
        </w:tc>
        <w:tc>
          <w:tcPr>
            <w:tcW w:w="706" w:type="dxa"/>
            <w:shd w:val="clear" w:color="auto" w:fill="auto"/>
            <w:noWrap/>
            <w:vAlign w:val="center"/>
            <w:hideMark/>
          </w:tcPr>
          <w:p w:rsidRPr="00AE1B2B" w:rsidR="009D3FB5" w:rsidP="00163B94" w:rsidRDefault="009D3FB5" w14:paraId="57698A9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139</w:t>
            </w:r>
          </w:p>
        </w:tc>
        <w:tc>
          <w:tcPr>
            <w:tcW w:w="726" w:type="dxa"/>
            <w:shd w:val="clear" w:color="auto" w:fill="auto"/>
            <w:noWrap/>
            <w:vAlign w:val="center"/>
            <w:hideMark/>
          </w:tcPr>
          <w:p w:rsidRPr="00AE1B2B" w:rsidR="009D3FB5" w:rsidP="00163B94" w:rsidRDefault="009D3FB5" w14:paraId="06F5A47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55</w:t>
            </w:r>
          </w:p>
        </w:tc>
        <w:tc>
          <w:tcPr>
            <w:tcW w:w="709" w:type="dxa"/>
            <w:shd w:val="clear" w:color="auto" w:fill="auto"/>
            <w:noWrap/>
            <w:vAlign w:val="center"/>
            <w:hideMark/>
          </w:tcPr>
          <w:p w:rsidRPr="00AE1B2B" w:rsidR="009D3FB5" w:rsidP="00163B94" w:rsidRDefault="009D3FB5" w14:paraId="18B2F6C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w:t>
            </w:r>
          </w:p>
        </w:tc>
        <w:tc>
          <w:tcPr>
            <w:tcW w:w="868" w:type="dxa"/>
            <w:shd w:val="clear" w:color="auto" w:fill="auto"/>
            <w:noWrap/>
            <w:vAlign w:val="center"/>
            <w:hideMark/>
          </w:tcPr>
          <w:p w:rsidRPr="00AE1B2B" w:rsidR="009D3FB5" w:rsidP="00163B94" w:rsidRDefault="009D3FB5" w14:paraId="24B29ED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7097</w:t>
            </w:r>
          </w:p>
        </w:tc>
        <w:tc>
          <w:tcPr>
            <w:tcW w:w="840" w:type="dxa"/>
            <w:shd w:val="clear" w:color="auto" w:fill="auto"/>
            <w:noWrap/>
            <w:vAlign w:val="center"/>
            <w:hideMark/>
          </w:tcPr>
          <w:p w:rsidRPr="00AE1B2B" w:rsidR="009D3FB5" w:rsidP="00163B94" w:rsidRDefault="009D3FB5" w14:paraId="73856B4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548</w:t>
            </w:r>
          </w:p>
        </w:tc>
        <w:tc>
          <w:tcPr>
            <w:tcW w:w="711" w:type="dxa"/>
            <w:shd w:val="clear" w:color="auto" w:fill="auto"/>
            <w:noWrap/>
            <w:vAlign w:val="center"/>
            <w:hideMark/>
          </w:tcPr>
          <w:p w:rsidRPr="00AE1B2B" w:rsidR="009D3FB5" w:rsidP="00163B94" w:rsidRDefault="009D3FB5" w14:paraId="6072AC8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830" w:type="dxa"/>
            <w:shd w:val="clear" w:color="auto" w:fill="auto"/>
            <w:noWrap/>
            <w:vAlign w:val="center"/>
            <w:hideMark/>
          </w:tcPr>
          <w:p w:rsidRPr="00AE1B2B" w:rsidR="009D3FB5" w:rsidP="00163B94" w:rsidRDefault="009D3FB5" w14:paraId="2A51E0E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7871</w:t>
            </w:r>
          </w:p>
        </w:tc>
        <w:tc>
          <w:tcPr>
            <w:tcW w:w="734" w:type="dxa"/>
            <w:shd w:val="clear" w:color="auto" w:fill="DEEAF6" w:themeFill="accent1" w:themeFillTint="33"/>
            <w:noWrap/>
            <w:vAlign w:val="center"/>
            <w:hideMark/>
          </w:tcPr>
          <w:p w:rsidRPr="00AE1B2B" w:rsidR="009D3FB5" w:rsidP="00163B94" w:rsidRDefault="009D3FB5" w14:paraId="222DF5A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w:t>
            </w:r>
          </w:p>
        </w:tc>
        <w:tc>
          <w:tcPr>
            <w:tcW w:w="567" w:type="dxa"/>
            <w:shd w:val="clear" w:color="auto" w:fill="E2EFD9" w:themeFill="accent6" w:themeFillTint="33"/>
            <w:noWrap/>
            <w:vAlign w:val="center"/>
            <w:hideMark/>
          </w:tcPr>
          <w:p w:rsidRPr="00AE1B2B" w:rsidR="009D3FB5" w:rsidP="00163B94" w:rsidRDefault="009D3FB5" w14:paraId="5835EB8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97%</w:t>
            </w:r>
          </w:p>
        </w:tc>
      </w:tr>
      <w:tr w:rsidRPr="00AE1B2B" w:rsidR="009D3FB5" w:rsidTr="009D3FB5" w14:paraId="60174AD8"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tblHeader/>
          <w:jc w:val="center"/>
        </w:trPr>
        <w:tc>
          <w:tcPr>
            <w:tcW w:w="2969" w:type="dxa"/>
            <w:shd w:val="clear" w:color="auto" w:fill="auto"/>
            <w:noWrap/>
            <w:vAlign w:val="center"/>
            <w:hideMark/>
          </w:tcPr>
          <w:p w:rsidRPr="00AE1B2B" w:rsidR="009D3FB5" w:rsidP="00163B94" w:rsidRDefault="009D3FB5" w14:paraId="6279034B"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II Circ. Jud. Zona Atlántica (Pococí)</w:t>
            </w:r>
          </w:p>
        </w:tc>
        <w:tc>
          <w:tcPr>
            <w:tcW w:w="706" w:type="dxa"/>
            <w:shd w:val="clear" w:color="auto" w:fill="auto"/>
            <w:noWrap/>
            <w:vAlign w:val="center"/>
            <w:hideMark/>
          </w:tcPr>
          <w:p w:rsidRPr="00AE1B2B" w:rsidR="009D3FB5" w:rsidP="00163B94" w:rsidRDefault="009D3FB5" w14:paraId="57802E4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428</w:t>
            </w:r>
          </w:p>
        </w:tc>
        <w:tc>
          <w:tcPr>
            <w:tcW w:w="726" w:type="dxa"/>
            <w:shd w:val="clear" w:color="auto" w:fill="auto"/>
            <w:noWrap/>
            <w:vAlign w:val="center"/>
            <w:hideMark/>
          </w:tcPr>
          <w:p w:rsidRPr="00AE1B2B" w:rsidR="009D3FB5" w:rsidP="00163B94" w:rsidRDefault="009D3FB5" w14:paraId="6B7D734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24</w:t>
            </w:r>
          </w:p>
        </w:tc>
        <w:tc>
          <w:tcPr>
            <w:tcW w:w="709" w:type="dxa"/>
            <w:shd w:val="clear" w:color="auto" w:fill="auto"/>
            <w:noWrap/>
            <w:vAlign w:val="center"/>
            <w:hideMark/>
          </w:tcPr>
          <w:p w:rsidRPr="00AE1B2B" w:rsidR="009D3FB5" w:rsidP="00163B94" w:rsidRDefault="009D3FB5" w14:paraId="46BC37D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w:t>
            </w:r>
          </w:p>
        </w:tc>
        <w:tc>
          <w:tcPr>
            <w:tcW w:w="868" w:type="dxa"/>
            <w:shd w:val="clear" w:color="auto" w:fill="auto"/>
            <w:noWrap/>
            <w:vAlign w:val="center"/>
            <w:hideMark/>
          </w:tcPr>
          <w:p w:rsidRPr="00AE1B2B" w:rsidR="009D3FB5" w:rsidP="00163B94" w:rsidRDefault="009D3FB5" w14:paraId="3DB642A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5011</w:t>
            </w:r>
          </w:p>
        </w:tc>
        <w:tc>
          <w:tcPr>
            <w:tcW w:w="840" w:type="dxa"/>
            <w:shd w:val="clear" w:color="auto" w:fill="auto"/>
            <w:noWrap/>
            <w:vAlign w:val="center"/>
            <w:hideMark/>
          </w:tcPr>
          <w:p w:rsidRPr="00AE1B2B" w:rsidR="009D3FB5" w:rsidP="00163B94" w:rsidRDefault="009D3FB5" w14:paraId="14274EC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1960</w:t>
            </w:r>
          </w:p>
        </w:tc>
        <w:tc>
          <w:tcPr>
            <w:tcW w:w="711" w:type="dxa"/>
            <w:shd w:val="clear" w:color="auto" w:fill="auto"/>
            <w:noWrap/>
            <w:vAlign w:val="center"/>
            <w:hideMark/>
          </w:tcPr>
          <w:p w:rsidRPr="00AE1B2B" w:rsidR="009D3FB5" w:rsidP="00163B94" w:rsidRDefault="009D3FB5" w14:paraId="4305901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830" w:type="dxa"/>
            <w:shd w:val="clear" w:color="auto" w:fill="auto"/>
            <w:noWrap/>
            <w:vAlign w:val="center"/>
            <w:hideMark/>
          </w:tcPr>
          <w:p w:rsidRPr="00AE1B2B" w:rsidR="009D3FB5" w:rsidP="00163B94" w:rsidRDefault="009D3FB5" w14:paraId="4775A8D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7448</w:t>
            </w:r>
          </w:p>
        </w:tc>
        <w:tc>
          <w:tcPr>
            <w:tcW w:w="734" w:type="dxa"/>
            <w:shd w:val="clear" w:color="auto" w:fill="DEEAF6" w:themeFill="accent1" w:themeFillTint="33"/>
            <w:noWrap/>
            <w:vAlign w:val="center"/>
            <w:hideMark/>
          </w:tcPr>
          <w:p w:rsidRPr="00AE1B2B" w:rsidR="009D3FB5" w:rsidP="00163B94" w:rsidRDefault="009D3FB5" w14:paraId="07DBC5F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567" w:type="dxa"/>
            <w:shd w:val="clear" w:color="auto" w:fill="E2EFD9" w:themeFill="accent6" w:themeFillTint="33"/>
            <w:noWrap/>
            <w:vAlign w:val="center"/>
            <w:hideMark/>
          </w:tcPr>
          <w:p w:rsidRPr="00AE1B2B" w:rsidR="009D3FB5" w:rsidP="00163B94" w:rsidRDefault="009D3FB5" w14:paraId="154701A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94%</w:t>
            </w:r>
          </w:p>
        </w:tc>
      </w:tr>
      <w:tr w:rsidRPr="00AE1B2B" w:rsidR="009D3FB5" w:rsidTr="009D3FB5" w14:paraId="66CA5C75"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tblHeader/>
          <w:jc w:val="center"/>
        </w:trPr>
        <w:tc>
          <w:tcPr>
            <w:tcW w:w="2969" w:type="dxa"/>
            <w:shd w:val="clear" w:color="auto" w:fill="auto"/>
            <w:noWrap/>
            <w:vAlign w:val="center"/>
            <w:hideMark/>
          </w:tcPr>
          <w:p w:rsidRPr="00AE1B2B" w:rsidR="009D3FB5" w:rsidP="00163B94" w:rsidRDefault="009D3FB5" w14:paraId="789F1EE0"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I Circ. Jud. Zona Sur (Pérez Zeledón)</w:t>
            </w:r>
          </w:p>
        </w:tc>
        <w:tc>
          <w:tcPr>
            <w:tcW w:w="706" w:type="dxa"/>
            <w:shd w:val="clear" w:color="auto" w:fill="auto"/>
            <w:noWrap/>
            <w:vAlign w:val="center"/>
            <w:hideMark/>
          </w:tcPr>
          <w:p w:rsidRPr="00AE1B2B" w:rsidR="009D3FB5" w:rsidP="00163B94" w:rsidRDefault="009D3FB5" w14:paraId="0B70727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216</w:t>
            </w:r>
          </w:p>
        </w:tc>
        <w:tc>
          <w:tcPr>
            <w:tcW w:w="726" w:type="dxa"/>
            <w:shd w:val="clear" w:color="auto" w:fill="auto"/>
            <w:noWrap/>
            <w:vAlign w:val="center"/>
            <w:hideMark/>
          </w:tcPr>
          <w:p w:rsidRPr="00AE1B2B" w:rsidR="009D3FB5" w:rsidP="00163B94" w:rsidRDefault="009D3FB5" w14:paraId="73E4C34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709" w:type="dxa"/>
            <w:shd w:val="clear" w:color="auto" w:fill="auto"/>
            <w:noWrap/>
            <w:vAlign w:val="center"/>
            <w:hideMark/>
          </w:tcPr>
          <w:p w:rsidRPr="00AE1B2B" w:rsidR="009D3FB5" w:rsidP="00163B94" w:rsidRDefault="009D3FB5" w14:paraId="2A25736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366</w:t>
            </w:r>
          </w:p>
        </w:tc>
        <w:tc>
          <w:tcPr>
            <w:tcW w:w="868" w:type="dxa"/>
            <w:shd w:val="clear" w:color="auto" w:fill="auto"/>
            <w:noWrap/>
            <w:vAlign w:val="center"/>
            <w:hideMark/>
          </w:tcPr>
          <w:p w:rsidRPr="00AE1B2B" w:rsidR="009D3FB5" w:rsidP="00163B94" w:rsidRDefault="009D3FB5" w14:paraId="79C84DB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4399</w:t>
            </w:r>
          </w:p>
        </w:tc>
        <w:tc>
          <w:tcPr>
            <w:tcW w:w="840" w:type="dxa"/>
            <w:shd w:val="clear" w:color="auto" w:fill="auto"/>
            <w:noWrap/>
            <w:vAlign w:val="center"/>
            <w:hideMark/>
          </w:tcPr>
          <w:p w:rsidRPr="00AE1B2B" w:rsidR="009D3FB5" w:rsidP="00163B94" w:rsidRDefault="009D3FB5" w14:paraId="145B556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339</w:t>
            </w:r>
          </w:p>
        </w:tc>
        <w:tc>
          <w:tcPr>
            <w:tcW w:w="711" w:type="dxa"/>
            <w:shd w:val="clear" w:color="auto" w:fill="auto"/>
            <w:noWrap/>
            <w:vAlign w:val="center"/>
            <w:hideMark/>
          </w:tcPr>
          <w:p w:rsidRPr="00AE1B2B" w:rsidR="009D3FB5" w:rsidP="00163B94" w:rsidRDefault="009D3FB5" w14:paraId="0EE73EB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830" w:type="dxa"/>
            <w:shd w:val="clear" w:color="auto" w:fill="auto"/>
            <w:noWrap/>
            <w:vAlign w:val="center"/>
            <w:hideMark/>
          </w:tcPr>
          <w:p w:rsidRPr="00AE1B2B" w:rsidR="009D3FB5" w:rsidP="00163B94" w:rsidRDefault="009D3FB5" w14:paraId="585C8E3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5321</w:t>
            </w:r>
          </w:p>
        </w:tc>
        <w:tc>
          <w:tcPr>
            <w:tcW w:w="734" w:type="dxa"/>
            <w:shd w:val="clear" w:color="auto" w:fill="DEEAF6" w:themeFill="accent1" w:themeFillTint="33"/>
            <w:noWrap/>
            <w:vAlign w:val="center"/>
            <w:hideMark/>
          </w:tcPr>
          <w:p w:rsidRPr="00AE1B2B" w:rsidR="009D3FB5" w:rsidP="00163B94" w:rsidRDefault="009D3FB5" w14:paraId="71C9FC7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w:t>
            </w:r>
          </w:p>
        </w:tc>
        <w:tc>
          <w:tcPr>
            <w:tcW w:w="567" w:type="dxa"/>
            <w:shd w:val="clear" w:color="auto" w:fill="E2EFD9" w:themeFill="accent6" w:themeFillTint="33"/>
            <w:noWrap/>
            <w:vAlign w:val="center"/>
            <w:hideMark/>
          </w:tcPr>
          <w:p w:rsidRPr="00AE1B2B" w:rsidR="009D3FB5" w:rsidP="00163B94" w:rsidRDefault="009D3FB5" w14:paraId="6CE6A16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89%</w:t>
            </w:r>
          </w:p>
        </w:tc>
      </w:tr>
      <w:tr w:rsidRPr="00AE1B2B" w:rsidR="009D3FB5" w:rsidTr="009D3FB5" w14:paraId="22535600"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tblHeader/>
          <w:jc w:val="center"/>
        </w:trPr>
        <w:tc>
          <w:tcPr>
            <w:tcW w:w="2969" w:type="dxa"/>
            <w:shd w:val="clear" w:color="auto" w:fill="auto"/>
            <w:noWrap/>
            <w:vAlign w:val="center"/>
            <w:hideMark/>
          </w:tcPr>
          <w:p w:rsidRPr="00AE1B2B" w:rsidR="009D3FB5" w:rsidP="00163B94" w:rsidRDefault="009D3FB5" w14:paraId="7C49DA54"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I Circ. Jud. Zona Atlántica (Limón)</w:t>
            </w:r>
          </w:p>
        </w:tc>
        <w:tc>
          <w:tcPr>
            <w:tcW w:w="706" w:type="dxa"/>
            <w:shd w:val="clear" w:color="auto" w:fill="auto"/>
            <w:noWrap/>
            <w:vAlign w:val="center"/>
            <w:hideMark/>
          </w:tcPr>
          <w:p w:rsidRPr="00AE1B2B" w:rsidR="009D3FB5" w:rsidP="00163B94" w:rsidRDefault="009D3FB5" w14:paraId="3849C2F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237</w:t>
            </w:r>
          </w:p>
        </w:tc>
        <w:tc>
          <w:tcPr>
            <w:tcW w:w="726" w:type="dxa"/>
            <w:shd w:val="clear" w:color="auto" w:fill="auto"/>
            <w:noWrap/>
            <w:vAlign w:val="center"/>
            <w:hideMark/>
          </w:tcPr>
          <w:p w:rsidRPr="00AE1B2B" w:rsidR="009D3FB5" w:rsidP="00163B94" w:rsidRDefault="009D3FB5" w14:paraId="00C8B6A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37</w:t>
            </w:r>
          </w:p>
        </w:tc>
        <w:tc>
          <w:tcPr>
            <w:tcW w:w="709" w:type="dxa"/>
            <w:shd w:val="clear" w:color="auto" w:fill="auto"/>
            <w:noWrap/>
            <w:vAlign w:val="center"/>
            <w:hideMark/>
          </w:tcPr>
          <w:p w:rsidRPr="00AE1B2B" w:rsidR="009D3FB5" w:rsidP="00163B94" w:rsidRDefault="009D3FB5" w14:paraId="2F12E38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91</w:t>
            </w:r>
          </w:p>
        </w:tc>
        <w:tc>
          <w:tcPr>
            <w:tcW w:w="868" w:type="dxa"/>
            <w:shd w:val="clear" w:color="auto" w:fill="auto"/>
            <w:noWrap/>
            <w:vAlign w:val="center"/>
            <w:hideMark/>
          </w:tcPr>
          <w:p w:rsidRPr="00AE1B2B" w:rsidR="009D3FB5" w:rsidP="00163B94" w:rsidRDefault="009D3FB5" w14:paraId="02AE9B5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2159</w:t>
            </w:r>
          </w:p>
        </w:tc>
        <w:tc>
          <w:tcPr>
            <w:tcW w:w="840" w:type="dxa"/>
            <w:shd w:val="clear" w:color="auto" w:fill="auto"/>
            <w:noWrap/>
            <w:vAlign w:val="center"/>
            <w:hideMark/>
          </w:tcPr>
          <w:p w:rsidRPr="00AE1B2B" w:rsidR="009D3FB5" w:rsidP="00163B94" w:rsidRDefault="009D3FB5" w14:paraId="7F8B196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2028</w:t>
            </w:r>
          </w:p>
        </w:tc>
        <w:tc>
          <w:tcPr>
            <w:tcW w:w="711" w:type="dxa"/>
            <w:shd w:val="clear" w:color="auto" w:fill="auto"/>
            <w:noWrap/>
            <w:vAlign w:val="center"/>
            <w:hideMark/>
          </w:tcPr>
          <w:p w:rsidRPr="00AE1B2B" w:rsidR="009D3FB5" w:rsidP="00163B94" w:rsidRDefault="009D3FB5" w14:paraId="165AB27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w:t>
            </w:r>
          </w:p>
        </w:tc>
        <w:tc>
          <w:tcPr>
            <w:tcW w:w="830" w:type="dxa"/>
            <w:shd w:val="clear" w:color="auto" w:fill="auto"/>
            <w:noWrap/>
            <w:vAlign w:val="center"/>
            <w:hideMark/>
          </w:tcPr>
          <w:p w:rsidRPr="00AE1B2B" w:rsidR="009D3FB5" w:rsidP="00163B94" w:rsidRDefault="009D3FB5" w14:paraId="307C716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4560</w:t>
            </w:r>
          </w:p>
        </w:tc>
        <w:tc>
          <w:tcPr>
            <w:tcW w:w="734" w:type="dxa"/>
            <w:shd w:val="clear" w:color="auto" w:fill="DEEAF6" w:themeFill="accent1" w:themeFillTint="33"/>
            <w:noWrap/>
            <w:vAlign w:val="center"/>
            <w:hideMark/>
          </w:tcPr>
          <w:p w:rsidRPr="00AE1B2B" w:rsidR="009D3FB5" w:rsidP="00163B94" w:rsidRDefault="009D3FB5" w14:paraId="3116E91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w:t>
            </w:r>
          </w:p>
        </w:tc>
        <w:tc>
          <w:tcPr>
            <w:tcW w:w="567" w:type="dxa"/>
            <w:shd w:val="clear" w:color="auto" w:fill="E2EFD9" w:themeFill="accent6" w:themeFillTint="33"/>
            <w:noWrap/>
            <w:vAlign w:val="center"/>
            <w:hideMark/>
          </w:tcPr>
          <w:p w:rsidRPr="00AE1B2B" w:rsidR="009D3FB5" w:rsidP="00163B94" w:rsidRDefault="009D3FB5" w14:paraId="56F8D01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92%</w:t>
            </w:r>
          </w:p>
        </w:tc>
      </w:tr>
      <w:tr w:rsidRPr="00AE1B2B" w:rsidR="009D3FB5" w:rsidTr="009D3FB5" w14:paraId="4840E53D"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tblHeader/>
          <w:jc w:val="center"/>
        </w:trPr>
        <w:tc>
          <w:tcPr>
            <w:tcW w:w="2969" w:type="dxa"/>
            <w:shd w:val="clear" w:color="auto" w:fill="auto"/>
            <w:noWrap/>
            <w:vAlign w:val="center"/>
            <w:hideMark/>
          </w:tcPr>
          <w:p w:rsidRPr="00AE1B2B" w:rsidR="009D3FB5" w:rsidP="00163B94" w:rsidRDefault="009D3FB5" w14:paraId="72170375"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Pensiones Alimentarias Puntarenas </w:t>
            </w:r>
          </w:p>
        </w:tc>
        <w:tc>
          <w:tcPr>
            <w:tcW w:w="706" w:type="dxa"/>
            <w:shd w:val="clear" w:color="auto" w:fill="auto"/>
            <w:noWrap/>
            <w:vAlign w:val="center"/>
            <w:hideMark/>
          </w:tcPr>
          <w:p w:rsidRPr="00AE1B2B" w:rsidR="009D3FB5" w:rsidP="00163B94" w:rsidRDefault="009D3FB5" w14:paraId="77EC87F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95</w:t>
            </w:r>
          </w:p>
        </w:tc>
        <w:tc>
          <w:tcPr>
            <w:tcW w:w="726" w:type="dxa"/>
            <w:shd w:val="clear" w:color="auto" w:fill="auto"/>
            <w:noWrap/>
            <w:vAlign w:val="center"/>
            <w:hideMark/>
          </w:tcPr>
          <w:p w:rsidRPr="00AE1B2B" w:rsidR="009D3FB5" w:rsidP="00163B94" w:rsidRDefault="009D3FB5" w14:paraId="48287D9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74</w:t>
            </w:r>
          </w:p>
        </w:tc>
        <w:tc>
          <w:tcPr>
            <w:tcW w:w="709" w:type="dxa"/>
            <w:shd w:val="clear" w:color="auto" w:fill="auto"/>
            <w:noWrap/>
            <w:vAlign w:val="center"/>
            <w:hideMark/>
          </w:tcPr>
          <w:p w:rsidRPr="00AE1B2B" w:rsidR="009D3FB5" w:rsidP="00163B94" w:rsidRDefault="009D3FB5" w14:paraId="5466337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233</w:t>
            </w:r>
          </w:p>
        </w:tc>
        <w:tc>
          <w:tcPr>
            <w:tcW w:w="868" w:type="dxa"/>
            <w:shd w:val="clear" w:color="auto" w:fill="auto"/>
            <w:noWrap/>
            <w:vAlign w:val="center"/>
            <w:hideMark/>
          </w:tcPr>
          <w:p w:rsidRPr="00AE1B2B" w:rsidR="009D3FB5" w:rsidP="00163B94" w:rsidRDefault="009D3FB5" w14:paraId="6FD1258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1513</w:t>
            </w:r>
          </w:p>
        </w:tc>
        <w:tc>
          <w:tcPr>
            <w:tcW w:w="840" w:type="dxa"/>
            <w:shd w:val="clear" w:color="auto" w:fill="auto"/>
            <w:noWrap/>
            <w:vAlign w:val="center"/>
            <w:hideMark/>
          </w:tcPr>
          <w:p w:rsidRPr="00AE1B2B" w:rsidR="009D3FB5" w:rsidP="00163B94" w:rsidRDefault="009D3FB5" w14:paraId="4598DEC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3702</w:t>
            </w:r>
          </w:p>
        </w:tc>
        <w:tc>
          <w:tcPr>
            <w:tcW w:w="711" w:type="dxa"/>
            <w:shd w:val="clear" w:color="auto" w:fill="auto"/>
            <w:noWrap/>
            <w:vAlign w:val="center"/>
            <w:hideMark/>
          </w:tcPr>
          <w:p w:rsidRPr="00AE1B2B" w:rsidR="009D3FB5" w:rsidP="00163B94" w:rsidRDefault="009D3FB5" w14:paraId="14A7E13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830" w:type="dxa"/>
            <w:shd w:val="clear" w:color="auto" w:fill="auto"/>
            <w:noWrap/>
            <w:vAlign w:val="center"/>
            <w:hideMark/>
          </w:tcPr>
          <w:p w:rsidRPr="00AE1B2B" w:rsidR="009D3FB5" w:rsidP="00163B94" w:rsidRDefault="009D3FB5" w14:paraId="0778FD0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5617</w:t>
            </w:r>
          </w:p>
        </w:tc>
        <w:tc>
          <w:tcPr>
            <w:tcW w:w="734" w:type="dxa"/>
            <w:shd w:val="clear" w:color="auto" w:fill="DEEAF6" w:themeFill="accent1" w:themeFillTint="33"/>
            <w:noWrap/>
            <w:vAlign w:val="center"/>
            <w:hideMark/>
          </w:tcPr>
          <w:p w:rsidRPr="00AE1B2B" w:rsidR="009D3FB5" w:rsidP="00163B94" w:rsidRDefault="009D3FB5" w14:paraId="478F2EB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c>
          <w:tcPr>
            <w:tcW w:w="567" w:type="dxa"/>
            <w:shd w:val="clear" w:color="auto" w:fill="E2EFD9" w:themeFill="accent6" w:themeFillTint="33"/>
            <w:noWrap/>
            <w:vAlign w:val="center"/>
            <w:hideMark/>
          </w:tcPr>
          <w:p w:rsidRPr="00AE1B2B" w:rsidR="009D3FB5" w:rsidP="00163B94" w:rsidRDefault="009D3FB5" w14:paraId="5B00C98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93%</w:t>
            </w:r>
          </w:p>
        </w:tc>
      </w:tr>
      <w:tr w:rsidRPr="00AE1B2B" w:rsidR="009D3FB5" w:rsidTr="009D3FB5" w14:paraId="361087AA"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tblHeader/>
          <w:jc w:val="center"/>
        </w:trPr>
        <w:tc>
          <w:tcPr>
            <w:tcW w:w="2969" w:type="dxa"/>
            <w:shd w:val="clear" w:color="auto" w:fill="auto"/>
            <w:noWrap/>
            <w:vAlign w:val="center"/>
            <w:hideMark/>
          </w:tcPr>
          <w:p w:rsidRPr="00AE1B2B" w:rsidR="009D3FB5" w:rsidP="00163B94" w:rsidRDefault="009D3FB5" w14:paraId="7CA725C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Pensiones Alimentarias I Circ. Jud. San José </w:t>
            </w:r>
          </w:p>
        </w:tc>
        <w:tc>
          <w:tcPr>
            <w:tcW w:w="706" w:type="dxa"/>
            <w:shd w:val="clear" w:color="auto" w:fill="auto"/>
            <w:noWrap/>
            <w:vAlign w:val="center"/>
            <w:hideMark/>
          </w:tcPr>
          <w:p w:rsidRPr="00AE1B2B" w:rsidR="009D3FB5" w:rsidP="00163B94" w:rsidRDefault="009D3FB5" w14:paraId="3361549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116</w:t>
            </w:r>
          </w:p>
        </w:tc>
        <w:tc>
          <w:tcPr>
            <w:tcW w:w="726" w:type="dxa"/>
            <w:shd w:val="clear" w:color="auto" w:fill="auto"/>
            <w:noWrap/>
            <w:vAlign w:val="center"/>
            <w:hideMark/>
          </w:tcPr>
          <w:p w:rsidRPr="00AE1B2B" w:rsidR="009D3FB5" w:rsidP="00163B94" w:rsidRDefault="009D3FB5" w14:paraId="37F6936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w:t>
            </w:r>
          </w:p>
        </w:tc>
        <w:tc>
          <w:tcPr>
            <w:tcW w:w="709" w:type="dxa"/>
            <w:shd w:val="clear" w:color="auto" w:fill="auto"/>
            <w:noWrap/>
            <w:vAlign w:val="center"/>
            <w:hideMark/>
          </w:tcPr>
          <w:p w:rsidRPr="00AE1B2B" w:rsidR="009D3FB5" w:rsidP="00163B94" w:rsidRDefault="009D3FB5" w14:paraId="09817D8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101</w:t>
            </w:r>
          </w:p>
        </w:tc>
        <w:tc>
          <w:tcPr>
            <w:tcW w:w="868" w:type="dxa"/>
            <w:shd w:val="clear" w:color="auto" w:fill="auto"/>
            <w:noWrap/>
            <w:vAlign w:val="center"/>
            <w:hideMark/>
          </w:tcPr>
          <w:p w:rsidRPr="00AE1B2B" w:rsidR="009D3FB5" w:rsidP="00163B94" w:rsidRDefault="009D3FB5" w14:paraId="47B99D3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3164</w:t>
            </w:r>
          </w:p>
        </w:tc>
        <w:tc>
          <w:tcPr>
            <w:tcW w:w="840" w:type="dxa"/>
            <w:shd w:val="clear" w:color="auto" w:fill="auto"/>
            <w:noWrap/>
            <w:vAlign w:val="center"/>
            <w:hideMark/>
          </w:tcPr>
          <w:p w:rsidRPr="00AE1B2B" w:rsidR="009D3FB5" w:rsidP="00163B94" w:rsidRDefault="009D3FB5" w14:paraId="36D0A2B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945</w:t>
            </w:r>
          </w:p>
        </w:tc>
        <w:tc>
          <w:tcPr>
            <w:tcW w:w="711" w:type="dxa"/>
            <w:shd w:val="clear" w:color="auto" w:fill="auto"/>
            <w:noWrap/>
            <w:vAlign w:val="center"/>
            <w:hideMark/>
          </w:tcPr>
          <w:p w:rsidRPr="00AE1B2B" w:rsidR="009D3FB5" w:rsidP="00163B94" w:rsidRDefault="009D3FB5" w14:paraId="7CFF239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c>
          <w:tcPr>
            <w:tcW w:w="830" w:type="dxa"/>
            <w:shd w:val="clear" w:color="auto" w:fill="auto"/>
            <w:noWrap/>
            <w:vAlign w:val="center"/>
            <w:hideMark/>
          </w:tcPr>
          <w:p w:rsidRPr="00AE1B2B" w:rsidR="009D3FB5" w:rsidP="00163B94" w:rsidRDefault="009D3FB5" w14:paraId="630635C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4376</w:t>
            </w:r>
          </w:p>
        </w:tc>
        <w:tc>
          <w:tcPr>
            <w:tcW w:w="734" w:type="dxa"/>
            <w:shd w:val="clear" w:color="auto" w:fill="DEEAF6" w:themeFill="accent1" w:themeFillTint="33"/>
            <w:noWrap/>
            <w:vAlign w:val="center"/>
            <w:hideMark/>
          </w:tcPr>
          <w:p w:rsidRPr="00AE1B2B" w:rsidR="009D3FB5" w:rsidP="00163B94" w:rsidRDefault="009D3FB5" w14:paraId="0049AA9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w:t>
            </w:r>
          </w:p>
        </w:tc>
        <w:tc>
          <w:tcPr>
            <w:tcW w:w="567" w:type="dxa"/>
            <w:shd w:val="clear" w:color="auto" w:fill="E2EFD9" w:themeFill="accent6" w:themeFillTint="33"/>
            <w:noWrap/>
            <w:vAlign w:val="center"/>
            <w:hideMark/>
          </w:tcPr>
          <w:p w:rsidRPr="00AE1B2B" w:rsidR="009D3FB5" w:rsidP="00163B94" w:rsidRDefault="009D3FB5" w14:paraId="252275D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94%</w:t>
            </w:r>
          </w:p>
        </w:tc>
      </w:tr>
      <w:tr w:rsidRPr="00AE1B2B" w:rsidR="009D3FB5" w:rsidTr="009D3FB5" w14:paraId="3FF295C8"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tblHeader/>
          <w:jc w:val="center"/>
        </w:trPr>
        <w:tc>
          <w:tcPr>
            <w:tcW w:w="2969" w:type="dxa"/>
            <w:shd w:val="clear" w:color="auto" w:fill="auto"/>
            <w:noWrap/>
            <w:vAlign w:val="center"/>
            <w:hideMark/>
          </w:tcPr>
          <w:p w:rsidRPr="00AE1B2B" w:rsidR="009D3FB5" w:rsidP="00163B94" w:rsidRDefault="009D3FB5" w14:paraId="33314798"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lastRenderedPageBreak/>
              <w:t>Juzgado Pensiones Alimentarias Sarapiquí</w:t>
            </w:r>
          </w:p>
        </w:tc>
        <w:tc>
          <w:tcPr>
            <w:tcW w:w="706" w:type="dxa"/>
            <w:shd w:val="clear" w:color="auto" w:fill="auto"/>
            <w:noWrap/>
            <w:vAlign w:val="center"/>
            <w:hideMark/>
          </w:tcPr>
          <w:p w:rsidRPr="00AE1B2B" w:rsidR="009D3FB5" w:rsidP="00163B94" w:rsidRDefault="009D3FB5" w14:paraId="04946CF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481</w:t>
            </w:r>
          </w:p>
        </w:tc>
        <w:tc>
          <w:tcPr>
            <w:tcW w:w="726" w:type="dxa"/>
            <w:shd w:val="clear" w:color="auto" w:fill="auto"/>
            <w:noWrap/>
            <w:vAlign w:val="center"/>
            <w:hideMark/>
          </w:tcPr>
          <w:p w:rsidRPr="00AE1B2B" w:rsidR="009D3FB5" w:rsidP="00163B94" w:rsidRDefault="009D3FB5" w14:paraId="4D24CB9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w:t>
            </w:r>
          </w:p>
        </w:tc>
        <w:tc>
          <w:tcPr>
            <w:tcW w:w="709" w:type="dxa"/>
            <w:shd w:val="clear" w:color="auto" w:fill="auto"/>
            <w:noWrap/>
            <w:vAlign w:val="center"/>
            <w:hideMark/>
          </w:tcPr>
          <w:p w:rsidRPr="00AE1B2B" w:rsidR="009D3FB5" w:rsidP="00163B94" w:rsidRDefault="009D3FB5" w14:paraId="17A26E5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14</w:t>
            </w:r>
          </w:p>
        </w:tc>
        <w:tc>
          <w:tcPr>
            <w:tcW w:w="868" w:type="dxa"/>
            <w:shd w:val="clear" w:color="auto" w:fill="auto"/>
            <w:noWrap/>
            <w:vAlign w:val="center"/>
            <w:hideMark/>
          </w:tcPr>
          <w:p w:rsidRPr="00AE1B2B" w:rsidR="009D3FB5" w:rsidP="00163B94" w:rsidRDefault="009D3FB5" w14:paraId="4D6FD25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409</w:t>
            </w:r>
          </w:p>
        </w:tc>
        <w:tc>
          <w:tcPr>
            <w:tcW w:w="840" w:type="dxa"/>
            <w:shd w:val="clear" w:color="auto" w:fill="auto"/>
            <w:noWrap/>
            <w:vAlign w:val="center"/>
            <w:hideMark/>
          </w:tcPr>
          <w:p w:rsidRPr="00AE1B2B" w:rsidR="009D3FB5" w:rsidP="00163B94" w:rsidRDefault="009D3FB5" w14:paraId="55E4A85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2347</w:t>
            </w:r>
          </w:p>
        </w:tc>
        <w:tc>
          <w:tcPr>
            <w:tcW w:w="711" w:type="dxa"/>
            <w:shd w:val="clear" w:color="auto" w:fill="auto"/>
            <w:noWrap/>
            <w:vAlign w:val="center"/>
            <w:hideMark/>
          </w:tcPr>
          <w:p w:rsidRPr="00AE1B2B" w:rsidR="009D3FB5" w:rsidP="00163B94" w:rsidRDefault="009D3FB5" w14:paraId="401C25C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830" w:type="dxa"/>
            <w:shd w:val="clear" w:color="auto" w:fill="auto"/>
            <w:noWrap/>
            <w:vAlign w:val="center"/>
            <w:hideMark/>
          </w:tcPr>
          <w:p w:rsidRPr="00AE1B2B" w:rsidR="009D3FB5" w:rsidP="00163B94" w:rsidRDefault="009D3FB5" w14:paraId="12E1C79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3270</w:t>
            </w:r>
          </w:p>
        </w:tc>
        <w:tc>
          <w:tcPr>
            <w:tcW w:w="734" w:type="dxa"/>
            <w:shd w:val="clear" w:color="auto" w:fill="DEEAF6" w:themeFill="accent1" w:themeFillTint="33"/>
            <w:noWrap/>
            <w:vAlign w:val="center"/>
            <w:hideMark/>
          </w:tcPr>
          <w:p w:rsidRPr="00AE1B2B" w:rsidR="009D3FB5" w:rsidP="00163B94" w:rsidRDefault="009D3FB5" w14:paraId="7AB1C6B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w:t>
            </w:r>
          </w:p>
        </w:tc>
        <w:tc>
          <w:tcPr>
            <w:tcW w:w="567" w:type="dxa"/>
            <w:shd w:val="clear" w:color="auto" w:fill="E2EFD9" w:themeFill="accent6" w:themeFillTint="33"/>
            <w:noWrap/>
            <w:vAlign w:val="center"/>
            <w:hideMark/>
          </w:tcPr>
          <w:p w:rsidRPr="00AE1B2B" w:rsidR="009D3FB5" w:rsidP="00163B94" w:rsidRDefault="009D3FB5" w14:paraId="1121276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84%</w:t>
            </w:r>
          </w:p>
        </w:tc>
      </w:tr>
      <w:tr w:rsidRPr="00AE1B2B" w:rsidR="009D3FB5" w:rsidTr="009D3FB5" w14:paraId="6C4137B4"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tblHeader/>
          <w:jc w:val="center"/>
        </w:trPr>
        <w:tc>
          <w:tcPr>
            <w:tcW w:w="2969" w:type="dxa"/>
            <w:shd w:val="clear" w:color="auto" w:fill="auto"/>
            <w:noWrap/>
            <w:vAlign w:val="center"/>
          </w:tcPr>
          <w:p w:rsidRPr="00AE1B2B" w:rsidR="009D3FB5" w:rsidP="00163B94" w:rsidRDefault="009D3FB5" w14:paraId="5868E5EF" w14:textId="77777777">
            <w:pPr>
              <w:spacing w:before="120" w:after="120" w:line="276" w:lineRule="auto"/>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de Pensiones Alimentarias de Nicoya*</w:t>
            </w:r>
          </w:p>
        </w:tc>
        <w:tc>
          <w:tcPr>
            <w:tcW w:w="706" w:type="dxa"/>
            <w:shd w:val="clear" w:color="auto" w:fill="auto"/>
            <w:noWrap/>
            <w:vAlign w:val="center"/>
          </w:tcPr>
          <w:p w:rsidRPr="00AE1B2B" w:rsidR="009D3FB5" w:rsidP="00163B94" w:rsidRDefault="009D3FB5" w14:paraId="4B49D83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625</w:t>
            </w:r>
          </w:p>
        </w:tc>
        <w:tc>
          <w:tcPr>
            <w:tcW w:w="726" w:type="dxa"/>
            <w:shd w:val="clear" w:color="auto" w:fill="auto"/>
            <w:noWrap/>
            <w:vAlign w:val="center"/>
          </w:tcPr>
          <w:p w:rsidRPr="00AE1B2B" w:rsidR="009D3FB5" w:rsidP="00163B94" w:rsidRDefault="009D3FB5" w14:paraId="6AF8A06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154</w:t>
            </w:r>
          </w:p>
        </w:tc>
        <w:tc>
          <w:tcPr>
            <w:tcW w:w="709" w:type="dxa"/>
            <w:shd w:val="clear" w:color="auto" w:fill="auto"/>
            <w:noWrap/>
            <w:vAlign w:val="center"/>
          </w:tcPr>
          <w:p w:rsidRPr="00AE1B2B" w:rsidR="009D3FB5" w:rsidP="00163B94" w:rsidRDefault="009D3FB5" w14:paraId="5F2D806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204</w:t>
            </w:r>
          </w:p>
        </w:tc>
        <w:tc>
          <w:tcPr>
            <w:tcW w:w="868" w:type="dxa"/>
            <w:shd w:val="clear" w:color="auto" w:fill="auto"/>
            <w:noWrap/>
            <w:vAlign w:val="center"/>
          </w:tcPr>
          <w:p w:rsidRPr="00AE1B2B" w:rsidR="009D3FB5" w:rsidP="00163B94" w:rsidRDefault="009D3FB5" w14:paraId="6FA2ECA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2543</w:t>
            </w:r>
          </w:p>
        </w:tc>
        <w:tc>
          <w:tcPr>
            <w:tcW w:w="840" w:type="dxa"/>
            <w:shd w:val="clear" w:color="auto" w:fill="auto"/>
            <w:noWrap/>
            <w:vAlign w:val="center"/>
          </w:tcPr>
          <w:p w:rsidRPr="00AE1B2B" w:rsidR="009D3FB5" w:rsidP="00163B94" w:rsidRDefault="009D3FB5" w14:paraId="585E376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453</w:t>
            </w:r>
          </w:p>
        </w:tc>
        <w:tc>
          <w:tcPr>
            <w:tcW w:w="711" w:type="dxa"/>
            <w:shd w:val="clear" w:color="auto" w:fill="auto"/>
            <w:noWrap/>
            <w:vAlign w:val="center"/>
          </w:tcPr>
          <w:p w:rsidRPr="00AE1B2B" w:rsidR="009D3FB5" w:rsidP="00163B94" w:rsidRDefault="009D3FB5" w14:paraId="317F8DB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w:t>
            </w:r>
          </w:p>
        </w:tc>
        <w:tc>
          <w:tcPr>
            <w:tcW w:w="830" w:type="dxa"/>
            <w:shd w:val="clear" w:color="auto" w:fill="auto"/>
            <w:noWrap/>
            <w:vAlign w:val="center"/>
          </w:tcPr>
          <w:p w:rsidRPr="00AE1B2B" w:rsidR="009D3FB5" w:rsidP="00163B94" w:rsidRDefault="009D3FB5" w14:paraId="056D24B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4004</w:t>
            </w:r>
          </w:p>
        </w:tc>
        <w:tc>
          <w:tcPr>
            <w:tcW w:w="734" w:type="dxa"/>
            <w:shd w:val="clear" w:color="auto" w:fill="DEEAF6" w:themeFill="accent1" w:themeFillTint="33"/>
            <w:noWrap/>
            <w:vAlign w:val="center"/>
          </w:tcPr>
          <w:p w:rsidRPr="00AE1B2B" w:rsidR="009D3FB5" w:rsidP="00163B94" w:rsidRDefault="009D3FB5" w14:paraId="4725410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34%</w:t>
            </w:r>
          </w:p>
        </w:tc>
        <w:tc>
          <w:tcPr>
            <w:tcW w:w="567" w:type="dxa"/>
            <w:shd w:val="clear" w:color="auto" w:fill="E2EFD9" w:themeFill="accent6" w:themeFillTint="33"/>
            <w:noWrap/>
            <w:vAlign w:val="center"/>
          </w:tcPr>
          <w:p w:rsidRPr="00AE1B2B" w:rsidR="009D3FB5" w:rsidP="00163B94" w:rsidRDefault="009D3FB5" w14:paraId="7B3CF2F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66%</w:t>
            </w:r>
          </w:p>
        </w:tc>
      </w:tr>
      <w:tr w:rsidRPr="00AE1B2B" w:rsidR="009D3FB5" w:rsidTr="009D3FB5" w14:paraId="28DDE1F7"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tblHeader/>
          <w:jc w:val="center"/>
        </w:trPr>
        <w:tc>
          <w:tcPr>
            <w:tcW w:w="2969" w:type="dxa"/>
            <w:shd w:val="clear" w:color="auto" w:fill="808080" w:themeFill="background1" w:themeFillShade="80"/>
            <w:noWrap/>
            <w:vAlign w:val="center"/>
          </w:tcPr>
          <w:p w:rsidRPr="00AE1B2B" w:rsidR="009D3FB5" w:rsidP="00163B94" w:rsidRDefault="009D3FB5" w14:paraId="1D02F618" w14:textId="77777777">
            <w:pPr>
              <w:spacing w:before="120" w:after="120" w:line="276" w:lineRule="auto"/>
              <w:jc w:val="right"/>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Total</w:t>
            </w:r>
          </w:p>
        </w:tc>
        <w:tc>
          <w:tcPr>
            <w:tcW w:w="706" w:type="dxa"/>
            <w:shd w:val="clear" w:color="auto" w:fill="808080" w:themeFill="background1" w:themeFillShade="80"/>
            <w:noWrap/>
            <w:vAlign w:val="center"/>
          </w:tcPr>
          <w:p w:rsidRPr="00AE1B2B" w:rsidR="009D3FB5" w:rsidP="00163B94" w:rsidRDefault="009D3FB5" w14:paraId="15A7BA62"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cs="Times New Roman"/>
                <w:b/>
              </w:rPr>
              <w:t>4554</w:t>
            </w:r>
          </w:p>
        </w:tc>
        <w:tc>
          <w:tcPr>
            <w:tcW w:w="726" w:type="dxa"/>
            <w:shd w:val="clear" w:color="auto" w:fill="808080" w:themeFill="background1" w:themeFillShade="80"/>
            <w:noWrap/>
            <w:vAlign w:val="center"/>
          </w:tcPr>
          <w:p w:rsidRPr="00AE1B2B" w:rsidR="009D3FB5" w:rsidP="00163B94" w:rsidRDefault="009D3FB5" w14:paraId="5EA5F5E6"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cs="Times New Roman"/>
                <w:b/>
              </w:rPr>
              <w:t>938</w:t>
            </w:r>
          </w:p>
        </w:tc>
        <w:tc>
          <w:tcPr>
            <w:tcW w:w="709" w:type="dxa"/>
            <w:shd w:val="clear" w:color="auto" w:fill="808080" w:themeFill="background1" w:themeFillShade="80"/>
            <w:noWrap/>
            <w:vAlign w:val="center"/>
          </w:tcPr>
          <w:p w:rsidRPr="00AE1B2B" w:rsidR="009D3FB5" w:rsidP="00163B94" w:rsidRDefault="009D3FB5" w14:paraId="1FD77084"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cs="Times New Roman"/>
                <w:b/>
              </w:rPr>
              <w:t>1346</w:t>
            </w:r>
          </w:p>
        </w:tc>
        <w:tc>
          <w:tcPr>
            <w:tcW w:w="868" w:type="dxa"/>
            <w:shd w:val="clear" w:color="auto" w:fill="808080" w:themeFill="background1" w:themeFillShade="80"/>
            <w:noWrap/>
            <w:vAlign w:val="center"/>
          </w:tcPr>
          <w:p w:rsidRPr="00AE1B2B" w:rsidR="009D3FB5" w:rsidP="00163B94" w:rsidRDefault="009D3FB5" w14:paraId="27044A60"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cs="Times New Roman"/>
                <w:b/>
              </w:rPr>
              <w:t>49179</w:t>
            </w:r>
          </w:p>
        </w:tc>
        <w:tc>
          <w:tcPr>
            <w:tcW w:w="840" w:type="dxa"/>
            <w:shd w:val="clear" w:color="auto" w:fill="808080" w:themeFill="background1" w:themeFillShade="80"/>
            <w:noWrap/>
            <w:vAlign w:val="center"/>
          </w:tcPr>
          <w:p w:rsidRPr="00AE1B2B" w:rsidR="009D3FB5" w:rsidP="00163B94" w:rsidRDefault="009D3FB5" w14:paraId="6AA61738"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cs="Times New Roman"/>
                <w:b/>
              </w:rPr>
              <w:t>25073</w:t>
            </w:r>
          </w:p>
        </w:tc>
        <w:tc>
          <w:tcPr>
            <w:tcW w:w="711" w:type="dxa"/>
            <w:shd w:val="clear" w:color="auto" w:fill="808080" w:themeFill="background1" w:themeFillShade="80"/>
            <w:noWrap/>
            <w:vAlign w:val="center"/>
          </w:tcPr>
          <w:p w:rsidRPr="00AE1B2B" w:rsidR="009D3FB5" w:rsidP="00163B94" w:rsidRDefault="009D3FB5" w14:paraId="00D5B117"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cs="Times New Roman"/>
                <w:b/>
              </w:rPr>
              <w:t>103</w:t>
            </w:r>
          </w:p>
        </w:tc>
        <w:tc>
          <w:tcPr>
            <w:tcW w:w="830" w:type="dxa"/>
            <w:shd w:val="clear" w:color="auto" w:fill="808080" w:themeFill="background1" w:themeFillShade="80"/>
            <w:noWrap/>
            <w:vAlign w:val="center"/>
          </w:tcPr>
          <w:p w:rsidRPr="00AE1B2B" w:rsidR="009D3FB5" w:rsidP="00163B94" w:rsidRDefault="009D3FB5" w14:paraId="20F7687E"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cs="Times New Roman"/>
                <w:b/>
              </w:rPr>
              <w:t>81193</w:t>
            </w:r>
          </w:p>
        </w:tc>
        <w:tc>
          <w:tcPr>
            <w:tcW w:w="734" w:type="dxa"/>
            <w:shd w:val="clear" w:color="auto" w:fill="808080" w:themeFill="background1" w:themeFillShade="80"/>
            <w:noWrap/>
            <w:vAlign w:val="center"/>
          </w:tcPr>
          <w:p w:rsidRPr="00AE1B2B" w:rsidR="009D3FB5" w:rsidP="00163B94" w:rsidRDefault="009D3FB5" w14:paraId="4E7078E6" w14:textId="77777777">
            <w:pPr>
              <w:spacing w:before="120" w:after="120" w:line="276" w:lineRule="auto"/>
              <w:rPr>
                <w:rFonts w:ascii="Times New Roman" w:hAnsi="Times New Roman" w:eastAsia="Times New Roman" w:cs="Times New Roman"/>
                <w:b/>
                <w:lang w:eastAsia="es-CR"/>
              </w:rPr>
            </w:pPr>
          </w:p>
        </w:tc>
        <w:tc>
          <w:tcPr>
            <w:tcW w:w="567" w:type="dxa"/>
            <w:shd w:val="clear" w:color="auto" w:fill="808080" w:themeFill="background1" w:themeFillShade="80"/>
            <w:noWrap/>
            <w:vAlign w:val="center"/>
          </w:tcPr>
          <w:p w:rsidRPr="00AE1B2B" w:rsidR="009D3FB5" w:rsidP="00163B94" w:rsidRDefault="009D3FB5" w14:paraId="4BDAEDB4" w14:textId="77777777">
            <w:pPr>
              <w:spacing w:before="120" w:after="120" w:line="276" w:lineRule="auto"/>
              <w:jc w:val="center"/>
              <w:rPr>
                <w:rFonts w:ascii="Times New Roman" w:hAnsi="Times New Roman" w:eastAsia="Times New Roman" w:cs="Times New Roman"/>
                <w:b/>
                <w:lang w:eastAsia="es-CR"/>
              </w:rPr>
            </w:pPr>
          </w:p>
        </w:tc>
      </w:tr>
      <w:tr w:rsidRPr="00AE1B2B" w:rsidR="009D3FB5" w:rsidTr="009D3FB5" w14:paraId="11C5E46A"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tblHeader/>
          <w:jc w:val="center"/>
        </w:trPr>
        <w:tc>
          <w:tcPr>
            <w:tcW w:w="2969" w:type="dxa"/>
            <w:shd w:val="clear" w:color="auto" w:fill="808080" w:themeFill="background1" w:themeFillShade="80"/>
            <w:noWrap/>
            <w:vAlign w:val="center"/>
          </w:tcPr>
          <w:p w:rsidRPr="00AE1B2B" w:rsidR="009D3FB5" w:rsidP="00163B94" w:rsidRDefault="009D3FB5" w14:paraId="633296D2" w14:textId="77777777">
            <w:pPr>
              <w:spacing w:before="120" w:after="120" w:line="276" w:lineRule="auto"/>
              <w:jc w:val="right"/>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Promedio</w:t>
            </w:r>
          </w:p>
        </w:tc>
        <w:tc>
          <w:tcPr>
            <w:tcW w:w="706" w:type="dxa"/>
            <w:shd w:val="clear" w:color="auto" w:fill="808080" w:themeFill="background1" w:themeFillShade="80"/>
            <w:noWrap/>
            <w:vAlign w:val="center"/>
          </w:tcPr>
          <w:p w:rsidRPr="00AE1B2B" w:rsidR="009D3FB5" w:rsidDel="002875C9" w:rsidP="00163B94" w:rsidRDefault="009D3FB5" w14:paraId="26D0EB2E" w14:textId="77777777">
            <w:pPr>
              <w:spacing w:before="120" w:after="120" w:line="276" w:lineRule="auto"/>
              <w:jc w:val="center"/>
              <w:rPr>
                <w:rFonts w:ascii="Times New Roman" w:hAnsi="Times New Roman" w:cs="Times New Roman"/>
                <w:b/>
              </w:rPr>
            </w:pPr>
          </w:p>
        </w:tc>
        <w:tc>
          <w:tcPr>
            <w:tcW w:w="726" w:type="dxa"/>
            <w:shd w:val="clear" w:color="auto" w:fill="808080" w:themeFill="background1" w:themeFillShade="80"/>
            <w:noWrap/>
            <w:vAlign w:val="center"/>
          </w:tcPr>
          <w:p w:rsidRPr="00AE1B2B" w:rsidR="009D3FB5" w:rsidP="00163B94" w:rsidRDefault="009D3FB5" w14:paraId="37DB04F9" w14:textId="77777777">
            <w:pPr>
              <w:spacing w:before="120" w:after="120" w:line="276" w:lineRule="auto"/>
              <w:jc w:val="center"/>
              <w:rPr>
                <w:rFonts w:ascii="Times New Roman" w:hAnsi="Times New Roman" w:cs="Times New Roman"/>
                <w:b/>
              </w:rPr>
            </w:pPr>
          </w:p>
        </w:tc>
        <w:tc>
          <w:tcPr>
            <w:tcW w:w="709" w:type="dxa"/>
            <w:shd w:val="clear" w:color="auto" w:fill="808080" w:themeFill="background1" w:themeFillShade="80"/>
            <w:noWrap/>
            <w:vAlign w:val="center"/>
          </w:tcPr>
          <w:p w:rsidRPr="00AE1B2B" w:rsidR="009D3FB5" w:rsidDel="002875C9" w:rsidP="00163B94" w:rsidRDefault="009D3FB5" w14:paraId="685AA650" w14:textId="77777777">
            <w:pPr>
              <w:spacing w:before="120" w:after="120" w:line="276" w:lineRule="auto"/>
              <w:jc w:val="center"/>
              <w:rPr>
                <w:rFonts w:ascii="Times New Roman" w:hAnsi="Times New Roman" w:cs="Times New Roman"/>
                <w:b/>
              </w:rPr>
            </w:pPr>
          </w:p>
        </w:tc>
        <w:tc>
          <w:tcPr>
            <w:tcW w:w="868" w:type="dxa"/>
            <w:shd w:val="clear" w:color="auto" w:fill="808080" w:themeFill="background1" w:themeFillShade="80"/>
            <w:noWrap/>
            <w:vAlign w:val="center"/>
          </w:tcPr>
          <w:p w:rsidRPr="00AE1B2B" w:rsidR="009D3FB5" w:rsidDel="002875C9" w:rsidP="00163B94" w:rsidRDefault="009D3FB5" w14:paraId="78AB2D71" w14:textId="77777777">
            <w:pPr>
              <w:spacing w:before="120" w:after="120" w:line="276" w:lineRule="auto"/>
              <w:jc w:val="center"/>
              <w:rPr>
                <w:rFonts w:ascii="Times New Roman" w:hAnsi="Times New Roman" w:cs="Times New Roman"/>
                <w:b/>
              </w:rPr>
            </w:pPr>
          </w:p>
        </w:tc>
        <w:tc>
          <w:tcPr>
            <w:tcW w:w="840" w:type="dxa"/>
            <w:shd w:val="clear" w:color="auto" w:fill="808080" w:themeFill="background1" w:themeFillShade="80"/>
            <w:noWrap/>
            <w:vAlign w:val="center"/>
          </w:tcPr>
          <w:p w:rsidRPr="00AE1B2B" w:rsidR="009D3FB5" w:rsidDel="002875C9" w:rsidP="00163B94" w:rsidRDefault="009D3FB5" w14:paraId="59FB34D8" w14:textId="77777777">
            <w:pPr>
              <w:spacing w:before="120" w:after="120" w:line="276" w:lineRule="auto"/>
              <w:jc w:val="center"/>
              <w:rPr>
                <w:rFonts w:ascii="Times New Roman" w:hAnsi="Times New Roman" w:cs="Times New Roman"/>
                <w:b/>
              </w:rPr>
            </w:pPr>
          </w:p>
        </w:tc>
        <w:tc>
          <w:tcPr>
            <w:tcW w:w="711" w:type="dxa"/>
            <w:shd w:val="clear" w:color="auto" w:fill="808080" w:themeFill="background1" w:themeFillShade="80"/>
            <w:noWrap/>
            <w:vAlign w:val="center"/>
          </w:tcPr>
          <w:p w:rsidRPr="00AE1B2B" w:rsidR="009D3FB5" w:rsidP="00163B94" w:rsidRDefault="009D3FB5" w14:paraId="152738C9" w14:textId="77777777">
            <w:pPr>
              <w:spacing w:before="120" w:after="120" w:line="276" w:lineRule="auto"/>
              <w:jc w:val="center"/>
              <w:rPr>
                <w:rFonts w:ascii="Times New Roman" w:hAnsi="Times New Roman" w:cs="Times New Roman"/>
                <w:b/>
              </w:rPr>
            </w:pPr>
          </w:p>
        </w:tc>
        <w:tc>
          <w:tcPr>
            <w:tcW w:w="830" w:type="dxa"/>
            <w:shd w:val="clear" w:color="auto" w:fill="808080" w:themeFill="background1" w:themeFillShade="80"/>
            <w:noWrap/>
            <w:vAlign w:val="center"/>
          </w:tcPr>
          <w:p w:rsidRPr="00AE1B2B" w:rsidR="009D3FB5" w:rsidDel="002875C9" w:rsidP="00163B94" w:rsidRDefault="009D3FB5" w14:paraId="1CBA233B" w14:textId="77777777">
            <w:pPr>
              <w:spacing w:before="120" w:after="120" w:line="276" w:lineRule="auto"/>
              <w:jc w:val="center"/>
              <w:rPr>
                <w:rFonts w:ascii="Times New Roman" w:hAnsi="Times New Roman" w:cs="Times New Roman"/>
                <w:b/>
              </w:rPr>
            </w:pPr>
          </w:p>
        </w:tc>
        <w:tc>
          <w:tcPr>
            <w:tcW w:w="734" w:type="dxa"/>
            <w:shd w:val="clear" w:color="auto" w:fill="808080" w:themeFill="background1" w:themeFillShade="80"/>
            <w:noWrap/>
            <w:vAlign w:val="center"/>
          </w:tcPr>
          <w:p w:rsidRPr="00AE1B2B" w:rsidR="009D3FB5" w:rsidP="00163B94" w:rsidRDefault="009D3FB5" w14:paraId="2BE6485B" w14:textId="77777777">
            <w:pPr>
              <w:spacing w:before="120" w:after="120" w:line="276" w:lineRule="auto"/>
              <w:jc w:val="center"/>
              <w:rPr>
                <w:rFonts w:ascii="Times New Roman" w:hAnsi="Times New Roman" w:cs="Times New Roman"/>
                <w:b/>
              </w:rPr>
            </w:pPr>
            <w:r w:rsidRPr="00AE1B2B">
              <w:rPr>
                <w:rFonts w:ascii="Times New Roman" w:hAnsi="Times New Roman" w:cs="Times New Roman"/>
                <w:b/>
              </w:rPr>
              <w:t>10%</w:t>
            </w:r>
          </w:p>
        </w:tc>
        <w:tc>
          <w:tcPr>
            <w:tcW w:w="567" w:type="dxa"/>
            <w:shd w:val="clear" w:color="auto" w:fill="808080" w:themeFill="background1" w:themeFillShade="80"/>
            <w:noWrap/>
            <w:vAlign w:val="center"/>
          </w:tcPr>
          <w:p w:rsidRPr="00AE1B2B" w:rsidR="009D3FB5" w:rsidP="00163B94" w:rsidRDefault="009D3FB5" w14:paraId="3C728E32" w14:textId="77777777">
            <w:pPr>
              <w:spacing w:before="120" w:after="120" w:line="276" w:lineRule="auto"/>
              <w:jc w:val="center"/>
              <w:rPr>
                <w:rFonts w:ascii="Times New Roman" w:hAnsi="Times New Roman" w:cs="Times New Roman"/>
                <w:b/>
              </w:rPr>
            </w:pPr>
            <w:r w:rsidRPr="00AE1B2B">
              <w:rPr>
                <w:rFonts w:ascii="Times New Roman" w:hAnsi="Times New Roman" w:cs="Times New Roman"/>
                <w:b/>
              </w:rPr>
              <w:t>90%</w:t>
            </w:r>
          </w:p>
        </w:tc>
      </w:tr>
    </w:tbl>
    <w:p w:rsidRPr="00AE1B2B" w:rsidR="009D3FB5" w:rsidP="00163B94" w:rsidRDefault="009D3FB5" w14:paraId="6FD87E96"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Subproceso de Modernización Institucional, con base en datos de Cuadros Estadísticos 2020 preliminares del Subproceso de Estadística de la Dirección de Planificación. </w:t>
      </w:r>
    </w:p>
    <w:p w:rsidRPr="00AE1B2B" w:rsidR="009D3FB5" w:rsidP="00163B94" w:rsidRDefault="009D3FB5" w14:paraId="5F7D36A7" w14:textId="4A648F6B">
      <w:pPr>
        <w:spacing w:before="120" w:after="120"/>
        <w:ind w:left="851" w:right="851" w:firstLine="709"/>
        <w:jc w:val="both"/>
        <w:rPr>
          <w:rFonts w:ascii="Times New Roman" w:hAnsi="Times New Roman" w:cs="Times New Roman"/>
          <w:bCs/>
          <w:i/>
          <w:sz w:val="26"/>
          <w:szCs w:val="26"/>
        </w:rPr>
      </w:pPr>
      <w:r w:rsidRPr="00AE1B2B">
        <w:rPr>
          <w:rFonts w:ascii="Times New Roman" w:hAnsi="Times New Roman" w:cs="Times New Roman"/>
          <w:bCs/>
          <w:i/>
          <w:sz w:val="26"/>
          <w:szCs w:val="26"/>
        </w:rPr>
        <w:t>Nota *: Juzgado Especializado a partir del acuerdo del Consejo Superior en sesión 34-19 celebrada el 19 de agosto de 2019, artículo XIX.</w:t>
      </w:r>
      <w:r w:rsidRPr="00AE1B2B" w:rsidR="00BB7720">
        <w:rPr>
          <w:rFonts w:ascii="Times New Roman" w:hAnsi="Times New Roman" w:cs="Times New Roman"/>
          <w:bCs/>
          <w:i/>
          <w:sz w:val="26"/>
          <w:szCs w:val="26"/>
        </w:rPr>
        <w:t xml:space="preserve"> </w:t>
      </w:r>
    </w:p>
    <w:p w:rsidRPr="00AE1B2B" w:rsidR="009D3FB5" w:rsidP="00163B94" w:rsidRDefault="009D3FB5" w14:paraId="61A68FB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DE5352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D34FDC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Los datos del circulante al finalizar el 2019 fue de 88573 (5466 en demanda, 1019 en demostrativa, 2136 en conclusiva, 55794 en fase de ejecución activa, 23923 en ejecución pasiva y 235 sin fase actualizada), lo que representó para ese año un promedio el 11% del circulante de los Juzgados Especializados de Pensiones Alimentarias se encuentra en fases de demanda, demostrativa y conclusiva, muestra que el 88% se encuentra en fase de ejecución; por lo cual un 88% de los casos ya cuenta con sentencia o acuerdo homologatorio. Es importante indicar que el circulante en ejecución activa genera trabajo para el juzgado en mayor grado que para el circulante en ejecución pasiva. </w:t>
      </w:r>
    </w:p>
    <w:p w:rsidRPr="00AE1B2B" w:rsidR="009D3FB5" w:rsidP="00163B94" w:rsidRDefault="009D3FB5" w14:paraId="24F952C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BE963DA" w14:textId="15467DF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Al finalizar el 2020, el circulante fue de 81193 asuntos, lo que representa una disminución de un 8% en el circulante de los Juzgados Especializados de Pensiones.</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Debe considerarse que estas oficinas a nivel nacional iniciaron con inventarios en noviembre 2020 y se estima finalicen en marzo 2021. Lo anterior como parte del inventario anual en la materia y además como una de las tareas asociadas a la depuración de la información en los sistemas de conformidad con las recomendaciones emitidas por la Contraloría General de la República. </w:t>
      </w:r>
    </w:p>
    <w:p w:rsidRPr="00AE1B2B" w:rsidR="009D3FB5" w:rsidP="00163B94" w:rsidRDefault="009D3FB5" w14:paraId="13A8679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Cabe mencionar que como parte de las acciones institucionales para garantizar la depuración de la información se incluyó en el informe de inconsistencias mensual de los despachos, 5 variables adicionales (comunicado mediante circular 191-2020).</w:t>
      </w:r>
    </w:p>
    <w:p w:rsidRPr="00AE1B2B" w:rsidR="009D3FB5" w:rsidP="00163B94" w:rsidRDefault="009D3FB5" w14:paraId="3E9A7A3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9D3FB5" w14:paraId="4750A8CA" w14:textId="3B04A428">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Expedientes con fecha de entrada mayor a la fecha de término.</w:t>
      </w:r>
    </w:p>
    <w:p w:rsidRPr="00AE1B2B" w:rsidR="009D3FB5" w:rsidP="00163B94" w:rsidRDefault="009D3FB5" w14:paraId="7C68286B" w14:textId="6E53023D">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Expedientes donde la clase de asunto asignada no corresponde a las aprobadas por la Comisión de Familia, Niñez y Adolescencia. </w:t>
      </w:r>
    </w:p>
    <w:p w:rsidRPr="00AE1B2B" w:rsidR="009D3FB5" w:rsidP="00163B94" w:rsidRDefault="009D3FB5" w14:paraId="42E3854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9D3FB5" w14:paraId="2D7E0C0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Expedientes donde el procedimiento asignado no corresponde a los aprobados por la Comisión de Familia, Niñez y Adolescencia.</w:t>
      </w:r>
    </w:p>
    <w:p w:rsidRPr="00AE1B2B" w:rsidR="009D3FB5" w:rsidP="00163B94" w:rsidRDefault="009D3FB5" w14:paraId="57A04AB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Expedientes donde el principal se encuentra cerrado estadísticamente, pero tiene un incidente o legajo de apremio que se está tramitando.</w:t>
      </w:r>
    </w:p>
    <w:p w:rsidRPr="00AE1B2B" w:rsidR="009D3FB5" w:rsidP="00163B94" w:rsidRDefault="009D3FB5" w14:paraId="3B5E8CE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Expedientes donde la fecha de pase a fallo sea menor a la fecha de dictado de sentencia.”</w:t>
      </w:r>
    </w:p>
    <w:p w:rsidRPr="00AE1B2B" w:rsidR="009D3FB5" w:rsidP="00163B94" w:rsidRDefault="009D3FB5" w14:paraId="3550EFA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D07DE0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Para monitorear con mayor detalle la materia, se creó el reporte “Informe de Inconsistencias para Familia y Pensiones Alimentarias” en la plataforma SIGMA; además de un cambio en la fórmula estadística (comunicado mediante circular 207-2020.</w:t>
      </w:r>
    </w:p>
    <w:p w:rsidRPr="00AE1B2B" w:rsidR="009D3FB5" w:rsidP="00163B94" w:rsidRDefault="009D3FB5" w14:paraId="31DD50A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26C6480"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Ilustración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Ilustración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3</w:t>
      </w:r>
      <w:r w:rsidRPr="00AE1B2B">
        <w:rPr>
          <w:rFonts w:ascii="Times New Roman" w:hAnsi="Times New Roman" w:cs="Times New Roman"/>
          <w:sz w:val="26"/>
          <w:szCs w:val="26"/>
        </w:rPr>
        <w:fldChar w:fldCharType="end"/>
      </w:r>
    </w:p>
    <w:p w:rsidRPr="00AE1B2B" w:rsidR="009D3FB5" w:rsidP="00163B94" w:rsidRDefault="009D3FB5" w14:paraId="635834B3"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Contenido del reporte “Informe de Inconsistencias para Familia y Pensiones Alimentarias”, 2020</w:t>
      </w:r>
    </w:p>
    <w:p w:rsidRPr="00AE1B2B" w:rsidR="009D3FB5" w:rsidP="00163B94" w:rsidRDefault="009D3FB5" w14:paraId="49EAABB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AC97805" w14:textId="77777777">
      <w:pPr>
        <w:spacing w:before="120" w:after="120" w:line="276" w:lineRule="auto"/>
        <w:jc w:val="center"/>
        <w:rPr>
          <w:rFonts w:ascii="Times New Roman" w:hAnsi="Times New Roman" w:cs="Times New Roman"/>
          <w:sz w:val="24"/>
          <w:szCs w:val="24"/>
        </w:rPr>
      </w:pPr>
      <w:r w:rsidRPr="00AE1B2B">
        <w:rPr>
          <w:rFonts w:ascii="Times New Roman" w:hAnsi="Times New Roman" w:cs="Times New Roman"/>
          <w:noProof/>
          <w:lang w:val="en-US"/>
        </w:rPr>
        <w:lastRenderedPageBreak/>
        <w:drawing>
          <wp:inline distT="0" distB="0" distL="0" distR="0" wp14:anchorId="6C41D719" wp14:editId="34E5D39E">
            <wp:extent cx="2816768" cy="2918129"/>
            <wp:effectExtent l="0" t="0" r="3175" b="0"/>
            <wp:docPr id="1263269099" name="Imagen 126326909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69099" name="Imagen 1263269099" descr="Tabla&#10;&#10;Descripción generada automáticamente"/>
                    <pic:cNvPicPr/>
                  </pic:nvPicPr>
                  <pic:blipFill>
                    <a:blip r:embed="rId218"/>
                    <a:stretch>
                      <a:fillRect/>
                    </a:stretch>
                  </pic:blipFill>
                  <pic:spPr>
                    <a:xfrm>
                      <a:off x="0" y="0"/>
                      <a:ext cx="2825901" cy="2927590"/>
                    </a:xfrm>
                    <a:prstGeom prst="rect">
                      <a:avLst/>
                    </a:prstGeom>
                  </pic:spPr>
                </pic:pic>
              </a:graphicData>
            </a:graphic>
          </wp:inline>
        </w:drawing>
      </w:r>
    </w:p>
    <w:p w:rsidRPr="00AE1B2B" w:rsidR="009D3FB5" w:rsidP="00163B94" w:rsidRDefault="009D3FB5" w14:paraId="2E0E460A" w14:textId="77777777">
      <w:pPr>
        <w:spacing w:before="120" w:after="120" w:line="276" w:lineRule="auto"/>
        <w:ind w:firstLine="2268"/>
        <w:rPr>
          <w:rFonts w:ascii="Times New Roman" w:hAnsi="Times New Roman" w:cs="Times New Roman"/>
          <w:i/>
          <w:iCs/>
          <w:sz w:val="20"/>
          <w:szCs w:val="20"/>
        </w:rPr>
      </w:pPr>
      <w:r w:rsidRPr="00AE1B2B">
        <w:rPr>
          <w:rFonts w:ascii="Times New Roman" w:hAnsi="Times New Roman" w:cs="Times New Roman"/>
          <w:i/>
          <w:iCs/>
          <w:sz w:val="20"/>
          <w:szCs w:val="20"/>
        </w:rPr>
        <w:t>Fuente: SIGMA.</w:t>
      </w:r>
    </w:p>
    <w:p w:rsidRPr="00AE1B2B" w:rsidR="009D3FB5" w:rsidP="00163B94" w:rsidRDefault="009D3FB5" w14:paraId="74A1A886" w14:textId="77777777">
      <w:pPr>
        <w:spacing w:before="120" w:after="120" w:line="276" w:lineRule="auto"/>
        <w:rPr>
          <w:rFonts w:ascii="Times New Roman" w:hAnsi="Times New Roman" w:cs="Times New Roman"/>
          <w:sz w:val="24"/>
          <w:szCs w:val="24"/>
        </w:rPr>
      </w:pPr>
    </w:p>
    <w:p w:rsidRPr="00AE1B2B" w:rsidR="009D3FB5" w:rsidP="00163B94" w:rsidRDefault="009D3FB5" w14:paraId="78CB140A" w14:textId="77777777">
      <w:pPr>
        <w:spacing w:before="120" w:after="120" w:line="276" w:lineRule="auto"/>
        <w:rPr>
          <w:rFonts w:ascii="Times New Roman" w:hAnsi="Times New Roman" w:cs="Times New Roman"/>
          <w:sz w:val="24"/>
          <w:szCs w:val="24"/>
        </w:rPr>
      </w:pPr>
    </w:p>
    <w:p w:rsidRPr="00AE1B2B" w:rsidR="009D3FB5" w:rsidP="00163B94" w:rsidRDefault="009D3FB5" w14:paraId="21CCAB1C" w14:textId="77777777">
      <w:pPr>
        <w:spacing w:before="120" w:after="120" w:line="276" w:lineRule="auto"/>
        <w:rPr>
          <w:rFonts w:ascii="Times New Roman" w:hAnsi="Times New Roman" w:cs="Times New Roman"/>
          <w:sz w:val="24"/>
          <w:szCs w:val="24"/>
        </w:rPr>
      </w:pPr>
    </w:p>
    <w:p w:rsidRPr="00AE1B2B" w:rsidR="009D3FB5" w:rsidP="00163B94" w:rsidRDefault="009D3FB5" w14:paraId="43CD252B" w14:textId="77777777">
      <w:pPr>
        <w:spacing w:before="120" w:after="120" w:line="276" w:lineRule="auto"/>
        <w:rPr>
          <w:rFonts w:ascii="Times New Roman" w:hAnsi="Times New Roman" w:cs="Times New Roman"/>
          <w:sz w:val="24"/>
          <w:szCs w:val="24"/>
        </w:rPr>
      </w:pPr>
    </w:p>
    <w:p w:rsidRPr="00AE1B2B" w:rsidR="009D3FB5" w:rsidP="00163B94" w:rsidRDefault="009D3FB5" w14:paraId="3017ADDA" w14:textId="77777777">
      <w:pPr>
        <w:spacing w:before="120" w:after="120"/>
        <w:ind w:left="1560" w:right="851" w:hanging="709"/>
        <w:jc w:val="both"/>
        <w:rPr>
          <w:rFonts w:ascii="Times New Roman" w:hAnsi="Times New Roman" w:cs="Times New Roman"/>
          <w:sz w:val="26"/>
          <w:szCs w:val="26"/>
        </w:rPr>
      </w:pPr>
      <w:r w:rsidRPr="00AE1B2B">
        <w:rPr>
          <w:rFonts w:ascii="Times New Roman" w:hAnsi="Times New Roman" w:cs="Times New Roman"/>
          <w:sz w:val="26"/>
          <w:szCs w:val="26"/>
        </w:rPr>
        <w:t>Utilizando los resultados de carga de trabajo calculada, se puede realizar la comparación con la cantidad de puestos que deberían tener cada despacho especializados según los niveles de entrada mensual, tomando en cuenta que al menos se requieren de 2 personas técnicas judicial en la manifestación, comparando contra los valores promedio de entrada de personal juzgador y personal técnico judicial, que tienen un promedio país de 66 y 32 asuntos de entrada mensual.</w:t>
      </w:r>
    </w:p>
    <w:p w:rsidRPr="00AE1B2B" w:rsidR="009D3FB5" w:rsidP="00163B94" w:rsidRDefault="009D3FB5" w14:paraId="177545C3" w14:textId="77777777">
      <w:pPr>
        <w:spacing w:before="120" w:after="120"/>
        <w:ind w:left="1560" w:right="851" w:hanging="709"/>
        <w:jc w:val="both"/>
        <w:rPr>
          <w:rFonts w:ascii="Times New Roman" w:hAnsi="Times New Roman" w:cs="Times New Roman"/>
          <w:sz w:val="26"/>
          <w:szCs w:val="26"/>
        </w:rPr>
      </w:pPr>
    </w:p>
    <w:p w:rsidRPr="00AE1B2B" w:rsidR="009D3FB5" w:rsidP="00163B94" w:rsidRDefault="009D3FB5" w14:paraId="0901FAD9" w14:textId="77777777">
      <w:pPr>
        <w:pStyle w:val="Descripcin"/>
        <w:spacing w:before="120" w:after="120"/>
        <w:ind w:left="1560" w:right="851" w:hanging="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61</w:t>
      </w:r>
      <w:r w:rsidRPr="00AE1B2B">
        <w:rPr>
          <w:rFonts w:ascii="Times New Roman" w:hAnsi="Times New Roman" w:cs="Times New Roman"/>
          <w:sz w:val="26"/>
          <w:szCs w:val="26"/>
        </w:rPr>
        <w:fldChar w:fldCharType="end"/>
      </w:r>
    </w:p>
    <w:p w:rsidRPr="00AE1B2B" w:rsidR="009D3FB5" w:rsidP="00163B94" w:rsidRDefault="009D3FB5" w14:paraId="2C01025E" w14:textId="77777777">
      <w:pPr>
        <w:pStyle w:val="Descripcin"/>
        <w:spacing w:before="120" w:after="120"/>
        <w:ind w:left="1560" w:right="851" w:hanging="709"/>
        <w:jc w:val="center"/>
        <w:rPr>
          <w:rFonts w:ascii="Times New Roman" w:hAnsi="Times New Roman" w:cs="Times New Roman"/>
          <w:sz w:val="26"/>
          <w:szCs w:val="26"/>
        </w:rPr>
      </w:pPr>
      <w:r w:rsidRPr="00AE1B2B">
        <w:rPr>
          <w:rFonts w:ascii="Times New Roman" w:hAnsi="Times New Roman" w:cs="Times New Roman"/>
          <w:sz w:val="26"/>
          <w:szCs w:val="26"/>
        </w:rPr>
        <w:t>Cantidad de persona juzgadora y persona técnica judicial requeridas según promedio de entrada de casos.</w:t>
      </w:r>
    </w:p>
    <w:tbl>
      <w:tblPr>
        <w:tblW w:w="5164" w:type="pct"/>
        <w:tblInd w:w="-2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2035"/>
        <w:gridCol w:w="890"/>
        <w:gridCol w:w="1510"/>
        <w:gridCol w:w="901"/>
        <w:gridCol w:w="990"/>
        <w:gridCol w:w="901"/>
        <w:gridCol w:w="990"/>
        <w:gridCol w:w="901"/>
      </w:tblGrid>
      <w:tr w:rsidRPr="00AE1B2B" w:rsidR="00AE1B2B" w:rsidTr="009D3FB5" w14:paraId="28C0A997" w14:textId="77777777">
        <w:trPr>
          <w:trHeight w:val="20"/>
          <w:tblHeader/>
        </w:trPr>
        <w:tc>
          <w:tcPr>
            <w:tcW w:w="1108" w:type="pct"/>
            <w:vMerge w:val="restart"/>
            <w:shd w:val="clear" w:color="000000" w:fill="002060"/>
            <w:vAlign w:val="center"/>
            <w:hideMark/>
          </w:tcPr>
          <w:p w:rsidRPr="00AE1B2B" w:rsidR="009D3FB5" w:rsidP="00163B94" w:rsidRDefault="009D3FB5" w14:paraId="3DC49814" w14:textId="77777777">
            <w:pPr>
              <w:spacing w:before="120" w:after="120" w:line="276" w:lineRule="auto"/>
              <w:jc w:val="center"/>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lastRenderedPageBreak/>
              <w:t>Despacho</w:t>
            </w:r>
          </w:p>
        </w:tc>
        <w:tc>
          <w:tcPr>
            <w:tcW w:w="418" w:type="pct"/>
            <w:vMerge w:val="restart"/>
            <w:shd w:val="clear" w:color="000000" w:fill="002060"/>
            <w:vAlign w:val="center"/>
            <w:hideMark/>
          </w:tcPr>
          <w:p w:rsidRPr="00AE1B2B" w:rsidR="009D3FB5" w:rsidP="00163B94" w:rsidRDefault="009D3FB5" w14:paraId="3A0B1F7E" w14:textId="77777777">
            <w:pPr>
              <w:spacing w:before="120" w:after="120" w:line="276" w:lineRule="auto"/>
              <w:jc w:val="center"/>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Promedio mensual de Entrada</w:t>
            </w:r>
          </w:p>
        </w:tc>
        <w:tc>
          <w:tcPr>
            <w:tcW w:w="1267" w:type="pct"/>
            <w:gridSpan w:val="2"/>
            <w:shd w:val="clear" w:color="000000" w:fill="002060"/>
            <w:vAlign w:val="center"/>
            <w:hideMark/>
          </w:tcPr>
          <w:p w:rsidRPr="00AE1B2B" w:rsidR="009D3FB5" w:rsidP="00163B94" w:rsidRDefault="009D3FB5" w14:paraId="57C3F1A6" w14:textId="77777777">
            <w:pPr>
              <w:spacing w:before="120" w:after="120" w:line="276" w:lineRule="auto"/>
              <w:jc w:val="center"/>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Recurso humano actual</w:t>
            </w:r>
          </w:p>
        </w:tc>
        <w:tc>
          <w:tcPr>
            <w:tcW w:w="883" w:type="pct"/>
            <w:gridSpan w:val="2"/>
            <w:shd w:val="clear" w:color="000000" w:fill="002060"/>
            <w:vAlign w:val="center"/>
            <w:hideMark/>
          </w:tcPr>
          <w:p w:rsidRPr="00AE1B2B" w:rsidR="009D3FB5" w:rsidP="00163B94" w:rsidRDefault="009D3FB5" w14:paraId="131A5515" w14:textId="77777777">
            <w:pPr>
              <w:spacing w:before="120" w:after="120" w:line="276" w:lineRule="auto"/>
              <w:jc w:val="center"/>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Recurso humano requerido</w:t>
            </w:r>
          </w:p>
        </w:tc>
        <w:tc>
          <w:tcPr>
            <w:tcW w:w="883" w:type="pct"/>
            <w:gridSpan w:val="2"/>
            <w:shd w:val="clear" w:color="000000" w:fill="002060"/>
            <w:vAlign w:val="center"/>
            <w:hideMark/>
          </w:tcPr>
          <w:p w:rsidRPr="00AE1B2B" w:rsidR="009D3FB5" w:rsidP="00163B94" w:rsidRDefault="009D3FB5" w14:paraId="743ED00E" w14:textId="77777777">
            <w:pPr>
              <w:spacing w:before="120" w:after="120" w:line="276" w:lineRule="auto"/>
              <w:jc w:val="center"/>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Variación</w:t>
            </w:r>
          </w:p>
        </w:tc>
      </w:tr>
      <w:tr w:rsidRPr="00AE1B2B" w:rsidR="00AE1B2B" w:rsidTr="009D3FB5" w14:paraId="243EC7FC" w14:textId="77777777">
        <w:trPr>
          <w:trHeight w:val="20"/>
          <w:tblHeader/>
        </w:trPr>
        <w:tc>
          <w:tcPr>
            <w:tcW w:w="1108" w:type="pct"/>
            <w:vMerge/>
            <w:vAlign w:val="center"/>
            <w:hideMark/>
          </w:tcPr>
          <w:p w:rsidRPr="00AE1B2B" w:rsidR="009D3FB5" w:rsidP="00163B94" w:rsidRDefault="009D3FB5" w14:paraId="0236CD1E" w14:textId="77777777">
            <w:pPr>
              <w:spacing w:before="120" w:after="120" w:line="276" w:lineRule="auto"/>
              <w:rPr>
                <w:rFonts w:ascii="Times New Roman" w:hAnsi="Times New Roman" w:eastAsia="Times New Roman" w:cs="Times New Roman"/>
                <w:b/>
                <w:bCs/>
                <w:sz w:val="18"/>
                <w:szCs w:val="18"/>
                <w:lang w:eastAsia="es-ES"/>
              </w:rPr>
            </w:pPr>
          </w:p>
        </w:tc>
        <w:tc>
          <w:tcPr>
            <w:tcW w:w="418" w:type="pct"/>
            <w:vMerge/>
            <w:vAlign w:val="center"/>
            <w:hideMark/>
          </w:tcPr>
          <w:p w:rsidRPr="00AE1B2B" w:rsidR="009D3FB5" w:rsidP="00163B94" w:rsidRDefault="009D3FB5" w14:paraId="0B67A16A" w14:textId="77777777">
            <w:pPr>
              <w:spacing w:before="120" w:after="120" w:line="276" w:lineRule="auto"/>
              <w:rPr>
                <w:rFonts w:ascii="Times New Roman" w:hAnsi="Times New Roman" w:eastAsia="Times New Roman" w:cs="Times New Roman"/>
                <w:b/>
                <w:bCs/>
                <w:sz w:val="18"/>
                <w:szCs w:val="18"/>
                <w:lang w:eastAsia="es-ES"/>
              </w:rPr>
            </w:pPr>
          </w:p>
        </w:tc>
        <w:tc>
          <w:tcPr>
            <w:tcW w:w="845" w:type="pct"/>
            <w:shd w:val="clear" w:color="000000" w:fill="002060"/>
            <w:vAlign w:val="center"/>
            <w:hideMark/>
          </w:tcPr>
          <w:p w:rsidRPr="00AE1B2B" w:rsidR="009D3FB5" w:rsidP="00163B94" w:rsidRDefault="009D3FB5" w14:paraId="21A804C0" w14:textId="77777777">
            <w:pPr>
              <w:spacing w:before="120" w:after="120" w:line="276" w:lineRule="auto"/>
              <w:jc w:val="center"/>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Personas juzgadoras</w:t>
            </w:r>
          </w:p>
        </w:tc>
        <w:tc>
          <w:tcPr>
            <w:tcW w:w="422" w:type="pct"/>
            <w:shd w:val="clear" w:color="000000" w:fill="002060"/>
            <w:vAlign w:val="center"/>
            <w:hideMark/>
          </w:tcPr>
          <w:p w:rsidRPr="00AE1B2B" w:rsidR="009D3FB5" w:rsidP="00163B94" w:rsidRDefault="009D3FB5" w14:paraId="45CB0EC9" w14:textId="77777777">
            <w:pPr>
              <w:spacing w:before="120" w:after="120" w:line="276" w:lineRule="auto"/>
              <w:jc w:val="center"/>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Personas Técnicas Judiciales de trámite</w:t>
            </w:r>
          </w:p>
        </w:tc>
        <w:tc>
          <w:tcPr>
            <w:tcW w:w="461" w:type="pct"/>
            <w:shd w:val="clear" w:color="000000" w:fill="002060"/>
            <w:vAlign w:val="center"/>
            <w:hideMark/>
          </w:tcPr>
          <w:p w:rsidRPr="00AE1B2B" w:rsidR="009D3FB5" w:rsidP="00163B94" w:rsidRDefault="009D3FB5" w14:paraId="1A0305D5" w14:textId="77777777">
            <w:pPr>
              <w:spacing w:before="120" w:after="120" w:line="276" w:lineRule="auto"/>
              <w:jc w:val="center"/>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Personas juzgadoras</w:t>
            </w:r>
          </w:p>
        </w:tc>
        <w:tc>
          <w:tcPr>
            <w:tcW w:w="422" w:type="pct"/>
            <w:shd w:val="clear" w:color="000000" w:fill="002060"/>
            <w:vAlign w:val="center"/>
            <w:hideMark/>
          </w:tcPr>
          <w:p w:rsidRPr="00AE1B2B" w:rsidR="009D3FB5" w:rsidP="00163B94" w:rsidRDefault="009D3FB5" w14:paraId="01037F38" w14:textId="77777777">
            <w:pPr>
              <w:spacing w:before="120" w:after="120" w:line="276" w:lineRule="auto"/>
              <w:jc w:val="center"/>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Personas Técnicas Judiciales de trámite</w:t>
            </w:r>
          </w:p>
        </w:tc>
        <w:tc>
          <w:tcPr>
            <w:tcW w:w="461" w:type="pct"/>
            <w:shd w:val="clear" w:color="000000" w:fill="002060"/>
            <w:vAlign w:val="center"/>
            <w:hideMark/>
          </w:tcPr>
          <w:p w:rsidRPr="00AE1B2B" w:rsidR="009D3FB5" w:rsidP="00163B94" w:rsidRDefault="009D3FB5" w14:paraId="7E343BB7" w14:textId="77777777">
            <w:pPr>
              <w:spacing w:before="120" w:after="120" w:line="276" w:lineRule="auto"/>
              <w:jc w:val="center"/>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Personas juzgadoras</w:t>
            </w:r>
          </w:p>
        </w:tc>
        <w:tc>
          <w:tcPr>
            <w:tcW w:w="422" w:type="pct"/>
            <w:shd w:val="clear" w:color="000000" w:fill="002060"/>
            <w:vAlign w:val="center"/>
            <w:hideMark/>
          </w:tcPr>
          <w:p w:rsidRPr="00AE1B2B" w:rsidR="009D3FB5" w:rsidP="00163B94" w:rsidRDefault="009D3FB5" w14:paraId="34E3DA69" w14:textId="77777777">
            <w:pPr>
              <w:spacing w:before="120" w:after="120" w:line="276" w:lineRule="auto"/>
              <w:jc w:val="center"/>
              <w:rPr>
                <w:rFonts w:ascii="Times New Roman" w:hAnsi="Times New Roman" w:eastAsia="Times New Roman" w:cs="Times New Roman"/>
                <w:b/>
                <w:bCs/>
                <w:sz w:val="18"/>
                <w:szCs w:val="18"/>
                <w:lang w:eastAsia="es-ES"/>
              </w:rPr>
            </w:pPr>
            <w:r w:rsidRPr="00AE1B2B">
              <w:rPr>
                <w:rFonts w:ascii="Times New Roman" w:hAnsi="Times New Roman" w:eastAsia="Times New Roman" w:cs="Times New Roman"/>
                <w:b/>
                <w:bCs/>
                <w:sz w:val="18"/>
                <w:szCs w:val="18"/>
                <w:lang w:eastAsia="es-ES"/>
              </w:rPr>
              <w:t>Personas Técnicas Judiciales</w:t>
            </w:r>
          </w:p>
        </w:tc>
      </w:tr>
      <w:tr w:rsidRPr="00AE1B2B" w:rsidR="00AE1B2B" w:rsidTr="009D3FB5" w14:paraId="46A0E47C" w14:textId="77777777">
        <w:trPr>
          <w:trHeight w:val="20"/>
        </w:trPr>
        <w:tc>
          <w:tcPr>
            <w:tcW w:w="1108" w:type="pct"/>
            <w:shd w:val="clear" w:color="auto" w:fill="auto"/>
            <w:vAlign w:val="center"/>
            <w:hideMark/>
          </w:tcPr>
          <w:p w:rsidRPr="00AE1B2B" w:rsidR="009D3FB5" w:rsidP="00163B94" w:rsidRDefault="009D3FB5" w14:paraId="178AE039"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Juzgado Pensiones Alimentarias Cartago</w:t>
            </w:r>
          </w:p>
        </w:tc>
        <w:tc>
          <w:tcPr>
            <w:tcW w:w="418" w:type="pct"/>
            <w:shd w:val="clear" w:color="auto" w:fill="auto"/>
            <w:noWrap/>
            <w:vAlign w:val="center"/>
            <w:hideMark/>
          </w:tcPr>
          <w:p w:rsidRPr="00AE1B2B" w:rsidR="009D3FB5" w:rsidP="00163B94" w:rsidRDefault="009D3FB5" w14:paraId="45C89DB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396</w:t>
            </w:r>
          </w:p>
        </w:tc>
        <w:tc>
          <w:tcPr>
            <w:tcW w:w="845"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C58038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5</w:t>
            </w:r>
          </w:p>
        </w:tc>
        <w:tc>
          <w:tcPr>
            <w:tcW w:w="422" w:type="pct"/>
            <w:tcBorders>
              <w:top w:val="single" w:color="auto" w:sz="4" w:space="0"/>
              <w:left w:val="nil"/>
              <w:bottom w:val="single" w:color="auto" w:sz="4" w:space="0"/>
              <w:right w:val="single" w:color="auto" w:sz="4" w:space="0"/>
            </w:tcBorders>
            <w:shd w:val="clear" w:color="auto" w:fill="auto"/>
            <w:noWrap/>
            <w:vAlign w:val="center"/>
            <w:hideMark/>
          </w:tcPr>
          <w:p w:rsidRPr="00AE1B2B" w:rsidR="009D3FB5" w:rsidP="00163B94" w:rsidRDefault="009D3FB5" w14:paraId="178BF76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12</w:t>
            </w:r>
          </w:p>
        </w:tc>
        <w:tc>
          <w:tcPr>
            <w:tcW w:w="461" w:type="pct"/>
            <w:tcBorders>
              <w:top w:val="single" w:color="auto" w:sz="4" w:space="0"/>
              <w:left w:val="single" w:color="auto" w:sz="4" w:space="0"/>
              <w:bottom w:val="single" w:color="auto" w:sz="4" w:space="0"/>
              <w:right w:val="single" w:color="auto" w:sz="4" w:space="0"/>
            </w:tcBorders>
            <w:shd w:val="clear" w:color="000000" w:fill="DBE5F1"/>
            <w:noWrap/>
            <w:vAlign w:val="center"/>
            <w:hideMark/>
          </w:tcPr>
          <w:p w:rsidRPr="00AE1B2B" w:rsidR="009D3FB5" w:rsidP="00163B94" w:rsidRDefault="009D3FB5" w14:paraId="6FA0294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5</w:t>
            </w:r>
          </w:p>
        </w:tc>
        <w:tc>
          <w:tcPr>
            <w:tcW w:w="422" w:type="pct"/>
            <w:tcBorders>
              <w:top w:val="single" w:color="auto" w:sz="4" w:space="0"/>
              <w:left w:val="nil"/>
              <w:bottom w:val="single" w:color="auto" w:sz="4" w:space="0"/>
              <w:right w:val="single" w:color="auto" w:sz="4" w:space="0"/>
            </w:tcBorders>
            <w:shd w:val="clear" w:color="000000" w:fill="DBE5F1"/>
            <w:noWrap/>
            <w:vAlign w:val="center"/>
            <w:hideMark/>
          </w:tcPr>
          <w:p w:rsidRPr="00AE1B2B" w:rsidR="009D3FB5" w:rsidP="00163B94" w:rsidRDefault="009D3FB5" w14:paraId="6E5D4FD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12</w:t>
            </w:r>
          </w:p>
        </w:tc>
        <w:tc>
          <w:tcPr>
            <w:tcW w:w="461"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0CCD592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0</w:t>
            </w:r>
          </w:p>
        </w:tc>
        <w:tc>
          <w:tcPr>
            <w:tcW w:w="422"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3CE209D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0</w:t>
            </w:r>
          </w:p>
        </w:tc>
      </w:tr>
      <w:tr w:rsidRPr="00AE1B2B" w:rsidR="00AE1B2B" w:rsidTr="009D3FB5" w14:paraId="133A498B" w14:textId="77777777">
        <w:trPr>
          <w:trHeight w:val="20"/>
        </w:trPr>
        <w:tc>
          <w:tcPr>
            <w:tcW w:w="1108" w:type="pct"/>
            <w:shd w:val="clear" w:color="auto" w:fill="auto"/>
            <w:vAlign w:val="center"/>
            <w:hideMark/>
          </w:tcPr>
          <w:p w:rsidRPr="00AE1B2B" w:rsidR="009D3FB5" w:rsidP="00163B94" w:rsidRDefault="009D3FB5" w14:paraId="256A3F4B"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Juzgado Pensiones Alimentarias Heredia</w:t>
            </w:r>
          </w:p>
        </w:tc>
        <w:tc>
          <w:tcPr>
            <w:tcW w:w="418" w:type="pct"/>
            <w:shd w:val="clear" w:color="auto" w:fill="auto"/>
            <w:noWrap/>
            <w:vAlign w:val="center"/>
            <w:hideMark/>
          </w:tcPr>
          <w:p w:rsidRPr="00AE1B2B" w:rsidR="009D3FB5" w:rsidP="00163B94" w:rsidRDefault="009D3FB5" w14:paraId="780AD657"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421</w:t>
            </w:r>
          </w:p>
        </w:tc>
        <w:tc>
          <w:tcPr>
            <w:tcW w:w="845"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52CDCD5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5</w:t>
            </w:r>
          </w:p>
        </w:tc>
        <w:tc>
          <w:tcPr>
            <w:tcW w:w="42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C4BD86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13</w:t>
            </w:r>
          </w:p>
        </w:tc>
        <w:tc>
          <w:tcPr>
            <w:tcW w:w="461" w:type="pct"/>
            <w:tcBorders>
              <w:top w:val="nil"/>
              <w:left w:val="single" w:color="auto" w:sz="4" w:space="0"/>
              <w:bottom w:val="single" w:color="auto" w:sz="4" w:space="0"/>
              <w:right w:val="single" w:color="auto" w:sz="4" w:space="0"/>
            </w:tcBorders>
            <w:shd w:val="clear" w:color="000000" w:fill="DBE5F1"/>
            <w:noWrap/>
            <w:vAlign w:val="center"/>
            <w:hideMark/>
          </w:tcPr>
          <w:p w:rsidRPr="00AE1B2B" w:rsidR="009D3FB5" w:rsidP="00163B94" w:rsidRDefault="009D3FB5" w14:paraId="44B8BD2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5</w:t>
            </w:r>
          </w:p>
        </w:tc>
        <w:tc>
          <w:tcPr>
            <w:tcW w:w="422"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7E3E738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13</w:t>
            </w:r>
          </w:p>
        </w:tc>
        <w:tc>
          <w:tcPr>
            <w:tcW w:w="461"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3CE34934"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0</w:t>
            </w:r>
          </w:p>
        </w:tc>
        <w:tc>
          <w:tcPr>
            <w:tcW w:w="422"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767C223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0</w:t>
            </w:r>
          </w:p>
        </w:tc>
      </w:tr>
      <w:tr w:rsidRPr="00AE1B2B" w:rsidR="00AE1B2B" w:rsidTr="009D3FB5" w14:paraId="25E2D064" w14:textId="77777777">
        <w:trPr>
          <w:trHeight w:val="20"/>
        </w:trPr>
        <w:tc>
          <w:tcPr>
            <w:tcW w:w="1108" w:type="pct"/>
            <w:shd w:val="clear" w:color="auto" w:fill="auto"/>
            <w:vAlign w:val="center"/>
            <w:hideMark/>
          </w:tcPr>
          <w:p w:rsidRPr="00AE1B2B" w:rsidR="009D3FB5" w:rsidP="00163B94" w:rsidRDefault="009D3FB5" w14:paraId="3E2402C8"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 xml:space="preserve">Juzgado Pensiones Alimentarias I Circ. Jud. Alajuela </w:t>
            </w:r>
          </w:p>
        </w:tc>
        <w:tc>
          <w:tcPr>
            <w:tcW w:w="418" w:type="pct"/>
            <w:shd w:val="clear" w:color="auto" w:fill="auto"/>
            <w:noWrap/>
            <w:vAlign w:val="center"/>
            <w:hideMark/>
          </w:tcPr>
          <w:p w:rsidRPr="00AE1B2B" w:rsidR="009D3FB5" w:rsidP="00163B94" w:rsidRDefault="009D3FB5" w14:paraId="068B8FB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464</w:t>
            </w:r>
          </w:p>
        </w:tc>
        <w:tc>
          <w:tcPr>
            <w:tcW w:w="845"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315504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6</w:t>
            </w:r>
          </w:p>
        </w:tc>
        <w:tc>
          <w:tcPr>
            <w:tcW w:w="42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3B468E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14</w:t>
            </w:r>
          </w:p>
        </w:tc>
        <w:tc>
          <w:tcPr>
            <w:tcW w:w="461" w:type="pct"/>
            <w:tcBorders>
              <w:top w:val="nil"/>
              <w:left w:val="single" w:color="auto" w:sz="4" w:space="0"/>
              <w:bottom w:val="single" w:color="auto" w:sz="4" w:space="0"/>
              <w:right w:val="single" w:color="auto" w:sz="4" w:space="0"/>
            </w:tcBorders>
            <w:shd w:val="clear" w:color="000000" w:fill="DBE5F1"/>
            <w:noWrap/>
            <w:vAlign w:val="center"/>
            <w:hideMark/>
          </w:tcPr>
          <w:p w:rsidRPr="00AE1B2B" w:rsidR="009D3FB5" w:rsidP="00163B94" w:rsidRDefault="009D3FB5" w14:paraId="4B28AAC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6</w:t>
            </w:r>
          </w:p>
        </w:tc>
        <w:tc>
          <w:tcPr>
            <w:tcW w:w="422"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722D483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14</w:t>
            </w:r>
          </w:p>
        </w:tc>
        <w:tc>
          <w:tcPr>
            <w:tcW w:w="461"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4E39878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0</w:t>
            </w:r>
          </w:p>
        </w:tc>
        <w:tc>
          <w:tcPr>
            <w:tcW w:w="422"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1012375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0</w:t>
            </w:r>
          </w:p>
        </w:tc>
      </w:tr>
      <w:tr w:rsidRPr="00AE1B2B" w:rsidR="00AE1B2B" w:rsidTr="009D3FB5" w14:paraId="23AA006C" w14:textId="77777777">
        <w:trPr>
          <w:trHeight w:val="20"/>
        </w:trPr>
        <w:tc>
          <w:tcPr>
            <w:tcW w:w="1108" w:type="pct"/>
            <w:shd w:val="clear" w:color="auto" w:fill="auto"/>
            <w:vAlign w:val="center"/>
            <w:hideMark/>
          </w:tcPr>
          <w:p w:rsidRPr="00AE1B2B" w:rsidR="009D3FB5" w:rsidP="00163B94" w:rsidRDefault="009D3FB5" w14:paraId="09614B7F"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 xml:space="preserve">Juzgado Pensiones Alimentarias I Circ. Jud. San José </w:t>
            </w:r>
          </w:p>
        </w:tc>
        <w:tc>
          <w:tcPr>
            <w:tcW w:w="418" w:type="pct"/>
            <w:shd w:val="clear" w:color="auto" w:fill="auto"/>
            <w:noWrap/>
            <w:vAlign w:val="center"/>
            <w:hideMark/>
          </w:tcPr>
          <w:p w:rsidRPr="00AE1B2B" w:rsidR="009D3FB5" w:rsidP="00163B94" w:rsidRDefault="009D3FB5" w14:paraId="7499FF54"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336</w:t>
            </w:r>
          </w:p>
        </w:tc>
        <w:tc>
          <w:tcPr>
            <w:tcW w:w="845"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52E5428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4</w:t>
            </w:r>
          </w:p>
        </w:tc>
        <w:tc>
          <w:tcPr>
            <w:tcW w:w="42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0374A5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11</w:t>
            </w:r>
          </w:p>
        </w:tc>
        <w:tc>
          <w:tcPr>
            <w:tcW w:w="461" w:type="pct"/>
            <w:tcBorders>
              <w:top w:val="nil"/>
              <w:left w:val="single" w:color="auto" w:sz="4" w:space="0"/>
              <w:bottom w:val="single" w:color="auto" w:sz="4" w:space="0"/>
              <w:right w:val="single" w:color="auto" w:sz="4" w:space="0"/>
            </w:tcBorders>
            <w:shd w:val="clear" w:color="000000" w:fill="DBE5F1"/>
            <w:noWrap/>
            <w:vAlign w:val="center"/>
            <w:hideMark/>
          </w:tcPr>
          <w:p w:rsidRPr="00AE1B2B" w:rsidR="009D3FB5" w:rsidP="00163B94" w:rsidRDefault="009D3FB5" w14:paraId="242B655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4</w:t>
            </w:r>
          </w:p>
        </w:tc>
        <w:tc>
          <w:tcPr>
            <w:tcW w:w="422"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2FDA7E0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11</w:t>
            </w:r>
          </w:p>
        </w:tc>
        <w:tc>
          <w:tcPr>
            <w:tcW w:w="461"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6C210BA9"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0</w:t>
            </w:r>
          </w:p>
        </w:tc>
        <w:tc>
          <w:tcPr>
            <w:tcW w:w="422"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4AC932A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0</w:t>
            </w:r>
          </w:p>
        </w:tc>
      </w:tr>
      <w:tr w:rsidRPr="00AE1B2B" w:rsidR="00AE1B2B" w:rsidTr="009D3FB5" w14:paraId="74E4D630" w14:textId="77777777">
        <w:trPr>
          <w:trHeight w:val="20"/>
        </w:trPr>
        <w:tc>
          <w:tcPr>
            <w:tcW w:w="1108" w:type="pct"/>
            <w:shd w:val="clear" w:color="auto" w:fill="auto"/>
            <w:vAlign w:val="center"/>
            <w:hideMark/>
          </w:tcPr>
          <w:p w:rsidRPr="00AE1B2B" w:rsidR="009D3FB5" w:rsidP="00163B94" w:rsidRDefault="009D3FB5" w14:paraId="4BDF0673"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 xml:space="preserve">Juzgado Pensiones Alimentarias I Circ. Jud. Zona Atlántica (Limón) </w:t>
            </w:r>
          </w:p>
        </w:tc>
        <w:tc>
          <w:tcPr>
            <w:tcW w:w="418" w:type="pct"/>
            <w:shd w:val="clear" w:color="auto" w:fill="auto"/>
            <w:noWrap/>
            <w:vAlign w:val="center"/>
            <w:hideMark/>
          </w:tcPr>
          <w:p w:rsidRPr="00AE1B2B" w:rsidR="009D3FB5" w:rsidP="00163B94" w:rsidRDefault="009D3FB5" w14:paraId="4607541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236</w:t>
            </w:r>
          </w:p>
        </w:tc>
        <w:tc>
          <w:tcPr>
            <w:tcW w:w="845"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2232399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3</w:t>
            </w:r>
          </w:p>
        </w:tc>
        <w:tc>
          <w:tcPr>
            <w:tcW w:w="42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BD949D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9</w:t>
            </w:r>
          </w:p>
        </w:tc>
        <w:tc>
          <w:tcPr>
            <w:tcW w:w="461" w:type="pct"/>
            <w:tcBorders>
              <w:top w:val="nil"/>
              <w:left w:val="single" w:color="auto" w:sz="4" w:space="0"/>
              <w:bottom w:val="single" w:color="auto" w:sz="4" w:space="0"/>
              <w:right w:val="single" w:color="auto" w:sz="4" w:space="0"/>
            </w:tcBorders>
            <w:shd w:val="clear" w:color="000000" w:fill="DBE5F1"/>
            <w:noWrap/>
            <w:vAlign w:val="center"/>
            <w:hideMark/>
          </w:tcPr>
          <w:p w:rsidRPr="00AE1B2B" w:rsidR="009D3FB5" w:rsidP="00163B94" w:rsidRDefault="009D3FB5" w14:paraId="59F3EA4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3</w:t>
            </w:r>
          </w:p>
        </w:tc>
        <w:tc>
          <w:tcPr>
            <w:tcW w:w="422"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7D7029D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8</w:t>
            </w:r>
          </w:p>
        </w:tc>
        <w:tc>
          <w:tcPr>
            <w:tcW w:w="461"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530315B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0</w:t>
            </w:r>
          </w:p>
        </w:tc>
        <w:tc>
          <w:tcPr>
            <w:tcW w:w="422"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386424C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w:t>
            </w:r>
          </w:p>
        </w:tc>
      </w:tr>
      <w:tr w:rsidRPr="00AE1B2B" w:rsidR="00AE1B2B" w:rsidTr="009D3FB5" w14:paraId="093EBADC" w14:textId="77777777">
        <w:trPr>
          <w:trHeight w:val="20"/>
        </w:trPr>
        <w:tc>
          <w:tcPr>
            <w:tcW w:w="1108" w:type="pct"/>
            <w:shd w:val="clear" w:color="auto" w:fill="auto"/>
            <w:vAlign w:val="center"/>
            <w:hideMark/>
          </w:tcPr>
          <w:p w:rsidRPr="00AE1B2B" w:rsidR="009D3FB5" w:rsidP="00163B94" w:rsidRDefault="009D3FB5" w14:paraId="09F9EA19"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 xml:space="preserve">Juzgado Pensiones Alimentarias I Circ. Jud. Zona Sur </w:t>
            </w:r>
          </w:p>
        </w:tc>
        <w:tc>
          <w:tcPr>
            <w:tcW w:w="418" w:type="pct"/>
            <w:shd w:val="clear" w:color="auto" w:fill="auto"/>
            <w:noWrap/>
            <w:vAlign w:val="center"/>
            <w:hideMark/>
          </w:tcPr>
          <w:p w:rsidRPr="00AE1B2B" w:rsidR="009D3FB5" w:rsidP="00163B94" w:rsidRDefault="009D3FB5" w14:paraId="539681E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216</w:t>
            </w:r>
          </w:p>
        </w:tc>
        <w:tc>
          <w:tcPr>
            <w:tcW w:w="845"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50020C9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3</w:t>
            </w:r>
          </w:p>
        </w:tc>
        <w:tc>
          <w:tcPr>
            <w:tcW w:w="42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9AA44B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8</w:t>
            </w:r>
          </w:p>
        </w:tc>
        <w:tc>
          <w:tcPr>
            <w:tcW w:w="461" w:type="pct"/>
            <w:tcBorders>
              <w:top w:val="nil"/>
              <w:left w:val="single" w:color="auto" w:sz="4" w:space="0"/>
              <w:bottom w:val="single" w:color="auto" w:sz="4" w:space="0"/>
              <w:right w:val="single" w:color="auto" w:sz="4" w:space="0"/>
            </w:tcBorders>
            <w:shd w:val="clear" w:color="000000" w:fill="DBE5F1"/>
            <w:noWrap/>
            <w:vAlign w:val="center"/>
            <w:hideMark/>
          </w:tcPr>
          <w:p w:rsidRPr="00AE1B2B" w:rsidR="009D3FB5" w:rsidP="00163B94" w:rsidRDefault="009D3FB5" w14:paraId="1419FE7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3</w:t>
            </w:r>
          </w:p>
        </w:tc>
        <w:tc>
          <w:tcPr>
            <w:tcW w:w="422"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4444C04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7</w:t>
            </w:r>
          </w:p>
        </w:tc>
        <w:tc>
          <w:tcPr>
            <w:tcW w:w="461"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1C91267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0</w:t>
            </w:r>
          </w:p>
        </w:tc>
        <w:tc>
          <w:tcPr>
            <w:tcW w:w="422"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077E097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w:t>
            </w:r>
          </w:p>
        </w:tc>
      </w:tr>
      <w:tr w:rsidRPr="00AE1B2B" w:rsidR="00AE1B2B" w:rsidTr="009D3FB5" w14:paraId="23653ABB" w14:textId="77777777">
        <w:trPr>
          <w:trHeight w:val="20"/>
        </w:trPr>
        <w:tc>
          <w:tcPr>
            <w:tcW w:w="1108" w:type="pct"/>
            <w:shd w:val="clear" w:color="auto" w:fill="auto"/>
            <w:vAlign w:val="center"/>
            <w:hideMark/>
          </w:tcPr>
          <w:p w:rsidRPr="00AE1B2B" w:rsidR="009D3FB5" w:rsidP="00163B94" w:rsidRDefault="009D3FB5" w14:paraId="4693311C"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 xml:space="preserve">Juzgado Pensiones Alimentarias II Circ. Jud. San José </w:t>
            </w:r>
          </w:p>
        </w:tc>
        <w:tc>
          <w:tcPr>
            <w:tcW w:w="418" w:type="pct"/>
            <w:shd w:val="clear" w:color="auto" w:fill="auto"/>
            <w:noWrap/>
            <w:vAlign w:val="center"/>
            <w:hideMark/>
          </w:tcPr>
          <w:p w:rsidRPr="00AE1B2B" w:rsidR="009D3FB5" w:rsidP="00163B94" w:rsidRDefault="009D3FB5" w14:paraId="17CFD8F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766</w:t>
            </w:r>
          </w:p>
        </w:tc>
        <w:tc>
          <w:tcPr>
            <w:tcW w:w="845"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1BC239E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12</w:t>
            </w:r>
          </w:p>
        </w:tc>
        <w:tc>
          <w:tcPr>
            <w:tcW w:w="42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0533BD5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26</w:t>
            </w:r>
          </w:p>
        </w:tc>
        <w:tc>
          <w:tcPr>
            <w:tcW w:w="461" w:type="pct"/>
            <w:tcBorders>
              <w:top w:val="nil"/>
              <w:left w:val="single" w:color="auto" w:sz="4" w:space="0"/>
              <w:bottom w:val="single" w:color="auto" w:sz="4" w:space="0"/>
              <w:right w:val="single" w:color="auto" w:sz="4" w:space="0"/>
            </w:tcBorders>
            <w:shd w:val="clear" w:color="000000" w:fill="DBE5F1"/>
            <w:noWrap/>
            <w:vAlign w:val="center"/>
            <w:hideMark/>
          </w:tcPr>
          <w:p w:rsidRPr="00AE1B2B" w:rsidR="009D3FB5" w:rsidP="00163B94" w:rsidRDefault="009D3FB5" w14:paraId="2CF3807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9</w:t>
            </w:r>
          </w:p>
        </w:tc>
        <w:tc>
          <w:tcPr>
            <w:tcW w:w="422"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1493D7C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24</w:t>
            </w:r>
          </w:p>
        </w:tc>
        <w:tc>
          <w:tcPr>
            <w:tcW w:w="461"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06C9CDE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-3</w:t>
            </w:r>
          </w:p>
        </w:tc>
        <w:tc>
          <w:tcPr>
            <w:tcW w:w="422"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06EBE96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w:t>
            </w:r>
          </w:p>
        </w:tc>
      </w:tr>
      <w:tr w:rsidRPr="00AE1B2B" w:rsidR="00AE1B2B" w:rsidTr="009D3FB5" w14:paraId="7E0A5044" w14:textId="77777777">
        <w:trPr>
          <w:trHeight w:val="20"/>
        </w:trPr>
        <w:tc>
          <w:tcPr>
            <w:tcW w:w="1108" w:type="pct"/>
            <w:shd w:val="clear" w:color="auto" w:fill="auto"/>
            <w:vAlign w:val="center"/>
            <w:hideMark/>
          </w:tcPr>
          <w:p w:rsidRPr="00AE1B2B" w:rsidR="009D3FB5" w:rsidP="00163B94" w:rsidRDefault="009D3FB5" w14:paraId="7D8AE182"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 xml:space="preserve">Juzgado Pensiones Alimentarias II Circ. Jud. Zona Atlántica </w:t>
            </w:r>
          </w:p>
        </w:tc>
        <w:tc>
          <w:tcPr>
            <w:tcW w:w="418" w:type="pct"/>
            <w:shd w:val="clear" w:color="auto" w:fill="auto"/>
            <w:noWrap/>
            <w:vAlign w:val="center"/>
            <w:hideMark/>
          </w:tcPr>
          <w:p w:rsidRPr="00AE1B2B" w:rsidR="009D3FB5" w:rsidP="00163B94" w:rsidRDefault="009D3FB5" w14:paraId="53FA46A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323</w:t>
            </w:r>
          </w:p>
        </w:tc>
        <w:tc>
          <w:tcPr>
            <w:tcW w:w="845"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375CD2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3</w:t>
            </w:r>
          </w:p>
        </w:tc>
        <w:tc>
          <w:tcPr>
            <w:tcW w:w="42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194B8857"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8</w:t>
            </w:r>
          </w:p>
        </w:tc>
        <w:tc>
          <w:tcPr>
            <w:tcW w:w="461" w:type="pct"/>
            <w:tcBorders>
              <w:top w:val="nil"/>
              <w:left w:val="single" w:color="auto" w:sz="4" w:space="0"/>
              <w:bottom w:val="single" w:color="auto" w:sz="4" w:space="0"/>
              <w:right w:val="single" w:color="auto" w:sz="4" w:space="0"/>
            </w:tcBorders>
            <w:shd w:val="clear" w:color="000000" w:fill="DBE5F1"/>
            <w:noWrap/>
            <w:vAlign w:val="center"/>
            <w:hideMark/>
          </w:tcPr>
          <w:p w:rsidRPr="00AE1B2B" w:rsidR="009D3FB5" w:rsidP="00163B94" w:rsidRDefault="009D3FB5" w14:paraId="01BA362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4</w:t>
            </w:r>
          </w:p>
        </w:tc>
        <w:tc>
          <w:tcPr>
            <w:tcW w:w="422"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5FBCCAD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10</w:t>
            </w:r>
          </w:p>
        </w:tc>
        <w:tc>
          <w:tcPr>
            <w:tcW w:w="461"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68BD7A6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w:t>
            </w:r>
          </w:p>
        </w:tc>
        <w:tc>
          <w:tcPr>
            <w:tcW w:w="422"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480EE23E"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w:t>
            </w:r>
          </w:p>
        </w:tc>
      </w:tr>
      <w:tr w:rsidRPr="00AE1B2B" w:rsidR="00AE1B2B" w:rsidTr="009D3FB5" w14:paraId="3A89A2FD" w14:textId="77777777">
        <w:trPr>
          <w:trHeight w:val="20"/>
        </w:trPr>
        <w:tc>
          <w:tcPr>
            <w:tcW w:w="1108" w:type="pct"/>
            <w:shd w:val="clear" w:color="auto" w:fill="auto"/>
            <w:vAlign w:val="center"/>
            <w:hideMark/>
          </w:tcPr>
          <w:p w:rsidRPr="00AE1B2B" w:rsidR="009D3FB5" w:rsidP="00163B94" w:rsidRDefault="009D3FB5" w14:paraId="6CB6488C"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 xml:space="preserve">Juzgado Pensiones Alimentarias III Circ. Jud. San José </w:t>
            </w:r>
          </w:p>
        </w:tc>
        <w:tc>
          <w:tcPr>
            <w:tcW w:w="418" w:type="pct"/>
            <w:shd w:val="clear" w:color="auto" w:fill="auto"/>
            <w:noWrap/>
            <w:vAlign w:val="center"/>
            <w:hideMark/>
          </w:tcPr>
          <w:p w:rsidRPr="00AE1B2B" w:rsidR="009D3FB5" w:rsidP="00163B94" w:rsidRDefault="009D3FB5" w14:paraId="280A08D7"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405</w:t>
            </w:r>
          </w:p>
        </w:tc>
        <w:tc>
          <w:tcPr>
            <w:tcW w:w="845"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2401DBD3"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5</w:t>
            </w:r>
          </w:p>
        </w:tc>
        <w:tc>
          <w:tcPr>
            <w:tcW w:w="42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65AFE9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17</w:t>
            </w:r>
          </w:p>
        </w:tc>
        <w:tc>
          <w:tcPr>
            <w:tcW w:w="461" w:type="pct"/>
            <w:tcBorders>
              <w:top w:val="nil"/>
              <w:left w:val="single" w:color="auto" w:sz="4" w:space="0"/>
              <w:bottom w:val="single" w:color="auto" w:sz="4" w:space="0"/>
              <w:right w:val="single" w:color="auto" w:sz="4" w:space="0"/>
            </w:tcBorders>
            <w:shd w:val="clear" w:color="000000" w:fill="DBE5F1"/>
            <w:noWrap/>
            <w:vAlign w:val="center"/>
            <w:hideMark/>
          </w:tcPr>
          <w:p w:rsidRPr="00AE1B2B" w:rsidR="009D3FB5" w:rsidP="00163B94" w:rsidRDefault="009D3FB5" w14:paraId="1BE52DD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5</w:t>
            </w:r>
          </w:p>
        </w:tc>
        <w:tc>
          <w:tcPr>
            <w:tcW w:w="422"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421C3BE4"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13</w:t>
            </w:r>
          </w:p>
        </w:tc>
        <w:tc>
          <w:tcPr>
            <w:tcW w:w="461"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503268C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0</w:t>
            </w:r>
          </w:p>
        </w:tc>
        <w:tc>
          <w:tcPr>
            <w:tcW w:w="422" w:type="pct"/>
            <w:tcBorders>
              <w:top w:val="single" w:color="auto" w:sz="4" w:space="0"/>
              <w:left w:val="single" w:color="auto" w:sz="4" w:space="0"/>
              <w:bottom w:val="single" w:color="auto" w:sz="4" w:space="0"/>
              <w:right w:val="single" w:color="auto" w:sz="4" w:space="0"/>
            </w:tcBorders>
            <w:shd w:val="clear" w:color="000000" w:fill="FDE9D9"/>
            <w:noWrap/>
            <w:vAlign w:val="center"/>
            <w:hideMark/>
          </w:tcPr>
          <w:p w:rsidRPr="00AE1B2B" w:rsidR="009D3FB5" w:rsidP="00163B94" w:rsidRDefault="009D3FB5" w14:paraId="38EB6B8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-4</w:t>
            </w:r>
          </w:p>
        </w:tc>
      </w:tr>
      <w:tr w:rsidRPr="00AE1B2B" w:rsidR="00AE1B2B" w:rsidTr="009D3FB5" w14:paraId="6BF33FB5" w14:textId="77777777">
        <w:trPr>
          <w:trHeight w:val="20"/>
        </w:trPr>
        <w:tc>
          <w:tcPr>
            <w:tcW w:w="1108" w:type="pct"/>
            <w:shd w:val="clear" w:color="auto" w:fill="auto"/>
            <w:vAlign w:val="center"/>
            <w:hideMark/>
          </w:tcPr>
          <w:p w:rsidRPr="00AE1B2B" w:rsidR="009D3FB5" w:rsidP="00163B94" w:rsidRDefault="009D3FB5" w14:paraId="4D3EA88A"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lastRenderedPageBreak/>
              <w:t>Juzgado Pensiones Alimentarias Puntarenas</w:t>
            </w:r>
          </w:p>
        </w:tc>
        <w:tc>
          <w:tcPr>
            <w:tcW w:w="418" w:type="pct"/>
            <w:shd w:val="clear" w:color="auto" w:fill="auto"/>
            <w:noWrap/>
            <w:vAlign w:val="center"/>
            <w:hideMark/>
          </w:tcPr>
          <w:p w:rsidRPr="00AE1B2B" w:rsidR="009D3FB5" w:rsidP="00163B94" w:rsidRDefault="009D3FB5" w14:paraId="77D48DC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253</w:t>
            </w:r>
          </w:p>
        </w:tc>
        <w:tc>
          <w:tcPr>
            <w:tcW w:w="845"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3050B8E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3</w:t>
            </w:r>
          </w:p>
        </w:tc>
        <w:tc>
          <w:tcPr>
            <w:tcW w:w="42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23D16DA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8</w:t>
            </w:r>
          </w:p>
        </w:tc>
        <w:tc>
          <w:tcPr>
            <w:tcW w:w="461" w:type="pct"/>
            <w:tcBorders>
              <w:top w:val="nil"/>
              <w:left w:val="single" w:color="auto" w:sz="4" w:space="0"/>
              <w:bottom w:val="single" w:color="auto" w:sz="4" w:space="0"/>
              <w:right w:val="single" w:color="auto" w:sz="4" w:space="0"/>
            </w:tcBorders>
            <w:shd w:val="clear" w:color="000000" w:fill="DBE5F1"/>
            <w:noWrap/>
            <w:vAlign w:val="center"/>
            <w:hideMark/>
          </w:tcPr>
          <w:p w:rsidRPr="00AE1B2B" w:rsidR="009D3FB5" w:rsidP="00163B94" w:rsidRDefault="009D3FB5" w14:paraId="34675D74"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3</w:t>
            </w:r>
          </w:p>
        </w:tc>
        <w:tc>
          <w:tcPr>
            <w:tcW w:w="422"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7C790C2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8</w:t>
            </w:r>
          </w:p>
        </w:tc>
        <w:tc>
          <w:tcPr>
            <w:tcW w:w="461"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4AD4D67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0</w:t>
            </w:r>
          </w:p>
        </w:tc>
        <w:tc>
          <w:tcPr>
            <w:tcW w:w="422"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62337A9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0</w:t>
            </w:r>
          </w:p>
        </w:tc>
      </w:tr>
      <w:tr w:rsidRPr="00AE1B2B" w:rsidR="00AE1B2B" w:rsidTr="009D3FB5" w14:paraId="25FC4635" w14:textId="77777777">
        <w:trPr>
          <w:trHeight w:val="20"/>
        </w:trPr>
        <w:tc>
          <w:tcPr>
            <w:tcW w:w="1108" w:type="pct"/>
            <w:tcBorders>
              <w:bottom w:val="single" w:color="auto" w:sz="4" w:space="0"/>
            </w:tcBorders>
            <w:shd w:val="clear" w:color="auto" w:fill="auto"/>
            <w:vAlign w:val="center"/>
            <w:hideMark/>
          </w:tcPr>
          <w:p w:rsidRPr="00AE1B2B" w:rsidR="009D3FB5" w:rsidP="00163B94" w:rsidRDefault="009D3FB5" w14:paraId="6DDFF3D1"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Juzgado Pensiones Alimentarias Sarapiquí</w:t>
            </w:r>
          </w:p>
        </w:tc>
        <w:tc>
          <w:tcPr>
            <w:tcW w:w="418" w:type="pct"/>
            <w:tcBorders>
              <w:bottom w:val="single" w:color="auto" w:sz="4" w:space="0"/>
            </w:tcBorders>
            <w:shd w:val="clear" w:color="auto" w:fill="auto"/>
            <w:noWrap/>
            <w:vAlign w:val="center"/>
            <w:hideMark/>
          </w:tcPr>
          <w:p w:rsidRPr="00AE1B2B" w:rsidR="009D3FB5" w:rsidP="00163B94" w:rsidRDefault="009D3FB5" w14:paraId="43999CE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145</w:t>
            </w:r>
          </w:p>
        </w:tc>
        <w:tc>
          <w:tcPr>
            <w:tcW w:w="845" w:type="pct"/>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77241244"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w:t>
            </w:r>
          </w:p>
        </w:tc>
        <w:tc>
          <w:tcPr>
            <w:tcW w:w="422" w:type="pct"/>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DDDB33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w:t>
            </w:r>
          </w:p>
        </w:tc>
        <w:tc>
          <w:tcPr>
            <w:tcW w:w="461" w:type="pct"/>
            <w:tcBorders>
              <w:top w:val="nil"/>
              <w:left w:val="single" w:color="auto" w:sz="4" w:space="0"/>
              <w:bottom w:val="single" w:color="auto" w:sz="4" w:space="0"/>
              <w:right w:val="single" w:color="auto" w:sz="4" w:space="0"/>
            </w:tcBorders>
            <w:shd w:val="clear" w:color="000000" w:fill="DBE5F1"/>
            <w:noWrap/>
            <w:vAlign w:val="center"/>
            <w:hideMark/>
          </w:tcPr>
          <w:p w:rsidRPr="00AE1B2B" w:rsidR="009D3FB5" w:rsidP="00163B94" w:rsidRDefault="009D3FB5" w14:paraId="7D30154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2</w:t>
            </w:r>
          </w:p>
        </w:tc>
        <w:tc>
          <w:tcPr>
            <w:tcW w:w="422" w:type="pct"/>
            <w:tcBorders>
              <w:top w:val="nil"/>
              <w:left w:val="nil"/>
              <w:bottom w:val="single" w:color="auto" w:sz="4" w:space="0"/>
              <w:right w:val="single" w:color="auto" w:sz="4" w:space="0"/>
            </w:tcBorders>
            <w:shd w:val="clear" w:color="000000" w:fill="DBE5F1"/>
            <w:noWrap/>
            <w:vAlign w:val="center"/>
            <w:hideMark/>
          </w:tcPr>
          <w:p w:rsidRPr="00AE1B2B" w:rsidR="009D3FB5" w:rsidP="00163B94" w:rsidRDefault="009D3FB5" w14:paraId="38ACFA4B"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5</w:t>
            </w:r>
          </w:p>
        </w:tc>
        <w:tc>
          <w:tcPr>
            <w:tcW w:w="461"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5F0ADD6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+1</w:t>
            </w:r>
          </w:p>
        </w:tc>
        <w:tc>
          <w:tcPr>
            <w:tcW w:w="422" w:type="pct"/>
            <w:tcBorders>
              <w:top w:val="nil"/>
              <w:left w:val="nil"/>
              <w:bottom w:val="single" w:color="auto" w:sz="4" w:space="0"/>
              <w:right w:val="single" w:color="auto" w:sz="4" w:space="0"/>
            </w:tcBorders>
            <w:shd w:val="clear" w:color="000000" w:fill="FDE9D9"/>
            <w:noWrap/>
            <w:vAlign w:val="center"/>
            <w:hideMark/>
          </w:tcPr>
          <w:p w:rsidRPr="00AE1B2B" w:rsidR="009D3FB5" w:rsidP="00163B94" w:rsidRDefault="009D3FB5" w14:paraId="3EDC56D7"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+3</w:t>
            </w:r>
          </w:p>
        </w:tc>
      </w:tr>
      <w:tr w:rsidRPr="00AE1B2B" w:rsidR="00AE1B2B" w:rsidTr="009D3FB5" w14:paraId="1B11381D" w14:textId="77777777">
        <w:trPr>
          <w:trHeight w:val="20"/>
        </w:trPr>
        <w:tc>
          <w:tcPr>
            <w:tcW w:w="1108" w:type="pct"/>
            <w:tcBorders>
              <w:top w:val="single" w:color="auto" w:sz="4" w:space="0"/>
            </w:tcBorders>
            <w:shd w:val="clear" w:color="auto" w:fill="auto"/>
            <w:vAlign w:val="center"/>
          </w:tcPr>
          <w:p w:rsidRPr="00AE1B2B" w:rsidR="009D3FB5" w:rsidDel="003F3840" w:rsidP="00163B94" w:rsidRDefault="009D3FB5" w14:paraId="5A1E1966"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Juzgado Pensiones Alimentarias Nicoya</w:t>
            </w:r>
          </w:p>
        </w:tc>
        <w:tc>
          <w:tcPr>
            <w:tcW w:w="418" w:type="pct"/>
            <w:tcBorders>
              <w:top w:val="single" w:color="auto" w:sz="4" w:space="0"/>
            </w:tcBorders>
            <w:shd w:val="clear" w:color="auto" w:fill="auto"/>
            <w:noWrap/>
            <w:vAlign w:val="center"/>
          </w:tcPr>
          <w:p w:rsidRPr="00AE1B2B" w:rsidR="009D3FB5" w:rsidP="00163B94" w:rsidRDefault="009D3FB5" w14:paraId="4FC13618"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105</w:t>
            </w:r>
          </w:p>
        </w:tc>
        <w:tc>
          <w:tcPr>
            <w:tcW w:w="845" w:type="pct"/>
            <w:tcBorders>
              <w:top w:val="single" w:color="auto" w:sz="4" w:space="0"/>
              <w:left w:val="single" w:color="auto" w:sz="4" w:space="0"/>
              <w:bottom w:val="single" w:color="auto" w:sz="4" w:space="0"/>
              <w:right w:val="single" w:color="auto" w:sz="4" w:space="0"/>
            </w:tcBorders>
            <w:shd w:val="clear" w:color="auto" w:fill="auto"/>
            <w:noWrap/>
            <w:vAlign w:val="center"/>
          </w:tcPr>
          <w:p w:rsidRPr="00AE1B2B" w:rsidR="009D3FB5" w:rsidP="00163B94" w:rsidRDefault="009D3FB5" w14:paraId="424520F8"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2</w:t>
            </w:r>
          </w:p>
        </w:tc>
        <w:tc>
          <w:tcPr>
            <w:tcW w:w="422" w:type="pct"/>
            <w:tcBorders>
              <w:top w:val="single" w:color="auto" w:sz="4" w:space="0"/>
              <w:left w:val="nil"/>
              <w:bottom w:val="single" w:color="auto" w:sz="4" w:space="0"/>
              <w:right w:val="single" w:color="auto" w:sz="4" w:space="0"/>
            </w:tcBorders>
            <w:shd w:val="clear" w:color="auto" w:fill="auto"/>
            <w:noWrap/>
            <w:vAlign w:val="center"/>
          </w:tcPr>
          <w:p w:rsidRPr="00AE1B2B" w:rsidR="009D3FB5" w:rsidP="00163B94" w:rsidRDefault="009D3FB5" w14:paraId="710E934C"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3</w:t>
            </w:r>
          </w:p>
        </w:tc>
        <w:tc>
          <w:tcPr>
            <w:tcW w:w="461" w:type="pct"/>
            <w:tcBorders>
              <w:top w:val="single" w:color="auto" w:sz="4" w:space="0"/>
              <w:left w:val="single" w:color="auto" w:sz="4" w:space="0"/>
              <w:bottom w:val="single" w:color="auto" w:sz="4" w:space="0"/>
              <w:right w:val="single" w:color="auto" w:sz="4" w:space="0"/>
            </w:tcBorders>
            <w:shd w:val="clear" w:color="000000" w:fill="DBE5F1"/>
            <w:noWrap/>
            <w:vAlign w:val="center"/>
          </w:tcPr>
          <w:p w:rsidRPr="00AE1B2B" w:rsidR="009D3FB5" w:rsidP="00163B94" w:rsidRDefault="009D3FB5" w14:paraId="5735B635"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2</w:t>
            </w:r>
          </w:p>
        </w:tc>
        <w:tc>
          <w:tcPr>
            <w:tcW w:w="422" w:type="pct"/>
            <w:tcBorders>
              <w:top w:val="single" w:color="auto" w:sz="4" w:space="0"/>
              <w:left w:val="nil"/>
              <w:bottom w:val="single" w:color="auto" w:sz="4" w:space="0"/>
              <w:right w:val="single" w:color="auto" w:sz="4" w:space="0"/>
            </w:tcBorders>
            <w:shd w:val="clear" w:color="000000" w:fill="DBE5F1"/>
            <w:noWrap/>
            <w:vAlign w:val="center"/>
          </w:tcPr>
          <w:p w:rsidRPr="00AE1B2B" w:rsidR="009D3FB5" w:rsidP="00163B94" w:rsidRDefault="009D3FB5" w14:paraId="429BE2CD"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3</w:t>
            </w:r>
          </w:p>
        </w:tc>
        <w:tc>
          <w:tcPr>
            <w:tcW w:w="461" w:type="pct"/>
            <w:tcBorders>
              <w:top w:val="single" w:color="auto" w:sz="4" w:space="0"/>
              <w:left w:val="nil"/>
              <w:bottom w:val="single" w:color="auto" w:sz="4" w:space="0"/>
              <w:right w:val="single" w:color="auto" w:sz="4" w:space="0"/>
            </w:tcBorders>
            <w:shd w:val="clear" w:color="000000" w:fill="FDE9D9"/>
            <w:noWrap/>
            <w:vAlign w:val="center"/>
          </w:tcPr>
          <w:p w:rsidRPr="00AE1B2B" w:rsidR="009D3FB5" w:rsidP="00163B94" w:rsidRDefault="009D3FB5" w14:paraId="71589A40"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0</w:t>
            </w:r>
          </w:p>
        </w:tc>
        <w:tc>
          <w:tcPr>
            <w:tcW w:w="422" w:type="pct"/>
            <w:tcBorders>
              <w:top w:val="single" w:color="auto" w:sz="4" w:space="0"/>
              <w:left w:val="nil"/>
              <w:bottom w:val="single" w:color="auto" w:sz="4" w:space="0"/>
              <w:right w:val="single" w:color="auto" w:sz="4" w:space="0"/>
            </w:tcBorders>
            <w:shd w:val="clear" w:color="000000" w:fill="FDE9D9"/>
            <w:noWrap/>
            <w:vAlign w:val="center"/>
          </w:tcPr>
          <w:p w:rsidRPr="00AE1B2B" w:rsidR="009D3FB5" w:rsidP="00163B94" w:rsidRDefault="009D3FB5" w14:paraId="6F2289E6"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0</w:t>
            </w:r>
          </w:p>
        </w:tc>
      </w:tr>
    </w:tbl>
    <w:p w:rsidRPr="00AE1B2B" w:rsidR="009D3FB5" w:rsidP="00163B94" w:rsidRDefault="009D3FB5" w14:paraId="7EA2783D"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w:t>
      </w:r>
    </w:p>
    <w:p w:rsidRPr="00AE1B2B" w:rsidR="009D3FB5" w:rsidP="00163B94" w:rsidRDefault="009D3FB5" w14:paraId="39EBB5D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2ABF8B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 los resultados anteriores se identifica que los Juzgados de Pensiones Alimentarias del II Circuito Judicial Zona Atlántica (Pococí) y el de Sarapiquí, registran la necesidad de personas juzgadoras o técnicas judiciales. Es importante señalar que para efectos de este informe no se planteará la reubicación de personas juzgadoras o técnicas judiciales, bajo el entendido que al mantener estas personas es sus despachos se estarían contribuyendo a la disminución de tiempos en los procesos en sus despachos. Además, no se plantea la inclusión de recurso humano en el Juzgado Pensiones Alimentarias Sarapiquí, ya que se analiza esta oficina con mayor detalle, en el informe por parte de la plaza de Sostenibilidad del Circuito, informe que actualmente está en revisión por parte de la jefatura del Subproceso de Evaluación de la Dirección de Planificación. </w:t>
      </w:r>
    </w:p>
    <w:p w:rsidRPr="00AE1B2B" w:rsidR="009D3FB5" w:rsidP="00163B94" w:rsidRDefault="009D3FB5" w14:paraId="3A711E6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0A84FC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plantea la creación de dos plazas nuevas extraordinarias de persona juzgadora y dos plazas nuevas extraordinarias de Técnico Judicial 1, para completar la estructura de trabajo calculada del Juzgado de Pensiones Alimentarias del Segundo Circuito Judicial de </w:t>
      </w:r>
      <w:r w:rsidRPr="00AE1B2B">
        <w:rPr>
          <w:rFonts w:ascii="Times New Roman" w:hAnsi="Times New Roman" w:cs="Times New Roman"/>
          <w:sz w:val="26"/>
          <w:szCs w:val="26"/>
        </w:rPr>
        <w:lastRenderedPageBreak/>
        <w:t>la Zona Atlántica, donde se identificó necesidad de personal. El cambio en la estructura se plantea en el siguiente cuadro.</w:t>
      </w:r>
    </w:p>
    <w:p w:rsidRPr="00AE1B2B" w:rsidR="009D3FB5" w:rsidP="00163B94" w:rsidRDefault="009D3FB5" w14:paraId="7409508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462E63E" w14:textId="62E1EEF1">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62</w:t>
      </w:r>
      <w:r w:rsidRPr="00AE1B2B">
        <w:rPr>
          <w:rFonts w:ascii="Times New Roman" w:hAnsi="Times New Roman" w:cs="Times New Roman"/>
          <w:sz w:val="26"/>
          <w:szCs w:val="26"/>
        </w:rPr>
        <w:fldChar w:fldCharType="end"/>
      </w:r>
    </w:p>
    <w:p w:rsidRPr="00AE1B2B" w:rsidR="009D3FB5" w:rsidP="00163B94" w:rsidRDefault="009D3FB5" w14:paraId="0127AFF8" w14:textId="109874F6">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Cambios en estructura propuesta de juzgados</w:t>
      </w:r>
    </w:p>
    <w:p w:rsidRPr="00AE1B2B" w:rsidR="009D3FB5" w:rsidP="00163B94" w:rsidRDefault="009D3FB5" w14:paraId="6A966F98"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de Pensiones Alimentarias especializados.</w:t>
      </w:r>
    </w:p>
    <w:tbl>
      <w:tblPr>
        <w:tblW w:w="532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2411"/>
        <w:gridCol w:w="3114"/>
        <w:gridCol w:w="3877"/>
      </w:tblGrid>
      <w:tr w:rsidRPr="00AE1B2B" w:rsidR="00AE1B2B" w:rsidTr="009D3FB5" w14:paraId="499B4D5E" w14:textId="77777777">
        <w:trPr>
          <w:trHeight w:val="925"/>
          <w:tblHeader/>
          <w:jc w:val="center"/>
        </w:trPr>
        <w:tc>
          <w:tcPr>
            <w:tcW w:w="1282" w:type="pct"/>
            <w:shd w:val="clear" w:color="auto" w:fill="002060"/>
            <w:vAlign w:val="center"/>
          </w:tcPr>
          <w:p w:rsidRPr="00AE1B2B" w:rsidR="009D3FB5" w:rsidP="00163B94" w:rsidRDefault="009D3FB5" w14:paraId="28440465" w14:textId="77777777">
            <w:pPr>
              <w:spacing w:before="120" w:after="120" w:line="276" w:lineRule="auto"/>
              <w:jc w:val="center"/>
              <w:rPr>
                <w:rFonts w:ascii="Times New Roman" w:hAnsi="Times New Roman" w:cs="Times New Roman"/>
                <w:b/>
                <w:bCs/>
              </w:rPr>
            </w:pPr>
            <w:r w:rsidRPr="00AE1B2B">
              <w:rPr>
                <w:rFonts w:ascii="Times New Roman" w:hAnsi="Times New Roman" w:cs="Times New Roman"/>
                <w:b/>
                <w:bCs/>
              </w:rPr>
              <w:t>Despacho</w:t>
            </w:r>
          </w:p>
        </w:tc>
        <w:tc>
          <w:tcPr>
            <w:tcW w:w="1656" w:type="pct"/>
            <w:shd w:val="clear" w:color="auto" w:fill="002060"/>
            <w:vAlign w:val="center"/>
          </w:tcPr>
          <w:p w:rsidRPr="00AE1B2B" w:rsidR="009D3FB5" w:rsidP="00163B94" w:rsidRDefault="009D3FB5" w14:paraId="54696464" w14:textId="77777777">
            <w:pPr>
              <w:spacing w:before="120" w:after="120" w:line="276" w:lineRule="auto"/>
              <w:jc w:val="center"/>
              <w:rPr>
                <w:rFonts w:ascii="Times New Roman" w:hAnsi="Times New Roman" w:cs="Times New Roman"/>
                <w:b/>
                <w:bCs/>
              </w:rPr>
            </w:pPr>
            <w:r w:rsidRPr="00AE1B2B">
              <w:rPr>
                <w:rFonts w:ascii="Times New Roman" w:hAnsi="Times New Roman" w:cs="Times New Roman"/>
                <w:b/>
                <w:bCs/>
              </w:rPr>
              <w:t>Estructura orgánica funcional actual del despacho</w:t>
            </w:r>
          </w:p>
        </w:tc>
        <w:tc>
          <w:tcPr>
            <w:tcW w:w="2062" w:type="pct"/>
            <w:shd w:val="clear" w:color="auto" w:fill="002060"/>
            <w:vAlign w:val="center"/>
          </w:tcPr>
          <w:p w:rsidRPr="00AE1B2B" w:rsidR="009D3FB5" w:rsidP="00163B94" w:rsidRDefault="009D3FB5" w14:paraId="6A3D3807" w14:textId="77777777">
            <w:pPr>
              <w:spacing w:before="120" w:after="120" w:line="276" w:lineRule="auto"/>
              <w:jc w:val="center"/>
              <w:rPr>
                <w:rFonts w:ascii="Times New Roman" w:hAnsi="Times New Roman" w:cs="Times New Roman"/>
                <w:b/>
              </w:rPr>
            </w:pPr>
            <w:r w:rsidRPr="00AE1B2B">
              <w:rPr>
                <w:rFonts w:ascii="Times New Roman" w:hAnsi="Times New Roman" w:cs="Times New Roman"/>
                <w:b/>
              </w:rPr>
              <w:t>Estructura Propuesta</w:t>
            </w:r>
          </w:p>
        </w:tc>
      </w:tr>
      <w:tr w:rsidRPr="00AE1B2B" w:rsidR="00AE1B2B" w:rsidTr="009D3FB5" w14:paraId="4BF5379F" w14:textId="77777777">
        <w:trPr>
          <w:trHeight w:val="1594"/>
          <w:jc w:val="center"/>
        </w:trPr>
        <w:tc>
          <w:tcPr>
            <w:tcW w:w="1282" w:type="pct"/>
            <w:shd w:val="clear" w:color="auto" w:fill="auto"/>
            <w:vAlign w:val="center"/>
          </w:tcPr>
          <w:p w:rsidRPr="00AE1B2B" w:rsidR="009D3FB5" w:rsidP="00163B94" w:rsidRDefault="009D3FB5" w14:paraId="65F3ED68" w14:textId="77777777">
            <w:pPr>
              <w:spacing w:before="120" w:after="120" w:line="276" w:lineRule="auto"/>
              <w:rPr>
                <w:rFonts w:ascii="Times New Roman" w:hAnsi="Times New Roman" w:cs="Times New Roman"/>
              </w:rPr>
            </w:pPr>
            <w:r w:rsidRPr="00AE1B2B">
              <w:rPr>
                <w:rFonts w:ascii="Times New Roman" w:hAnsi="Times New Roman" w:cs="Times New Roman"/>
              </w:rPr>
              <w:t>Juzgado Pensiones Alimentarias II Circuito Judicial Zona Atlántica (Pococí)</w:t>
            </w:r>
          </w:p>
        </w:tc>
        <w:tc>
          <w:tcPr>
            <w:tcW w:w="1656" w:type="pct"/>
            <w:shd w:val="clear" w:color="auto" w:fill="auto"/>
            <w:vAlign w:val="center"/>
          </w:tcPr>
          <w:p w:rsidRPr="00AE1B2B" w:rsidR="009D3FB5" w:rsidP="00163B94" w:rsidRDefault="009D3FB5" w14:paraId="59E79BF3" w14:textId="77777777">
            <w:pPr>
              <w:spacing w:before="120" w:after="120" w:line="276" w:lineRule="auto"/>
              <w:rPr>
                <w:rFonts w:ascii="Times New Roman" w:hAnsi="Times New Roman" w:cs="Times New Roman"/>
              </w:rPr>
            </w:pPr>
            <w:r w:rsidRPr="00AE1B2B">
              <w:rPr>
                <w:rFonts w:ascii="Times New Roman" w:hAnsi="Times New Roman" w:cs="Times New Roman"/>
              </w:rPr>
              <w:t>3 Juezas/ces 1</w:t>
            </w:r>
          </w:p>
          <w:p w:rsidRPr="00AE1B2B" w:rsidR="009D3FB5" w:rsidP="00163B94" w:rsidRDefault="009D3FB5" w14:paraId="2556AC12" w14:textId="77777777">
            <w:pPr>
              <w:spacing w:before="120" w:after="120" w:line="276" w:lineRule="auto"/>
              <w:rPr>
                <w:rFonts w:ascii="Times New Roman" w:hAnsi="Times New Roman" w:cs="Times New Roman"/>
              </w:rPr>
            </w:pPr>
            <w:r w:rsidRPr="00AE1B2B">
              <w:rPr>
                <w:rFonts w:ascii="Times New Roman" w:hAnsi="Times New Roman" w:cs="Times New Roman"/>
              </w:rPr>
              <w:t>1 Coordinadora/or Judicial 1</w:t>
            </w:r>
          </w:p>
          <w:p w:rsidRPr="00AE1B2B" w:rsidR="009D3FB5" w:rsidP="00163B94" w:rsidRDefault="009D3FB5" w14:paraId="0913EC82" w14:textId="77777777">
            <w:pPr>
              <w:spacing w:before="120" w:after="120" w:line="276" w:lineRule="auto"/>
              <w:rPr>
                <w:rFonts w:ascii="Times New Roman" w:hAnsi="Times New Roman" w:cs="Times New Roman"/>
              </w:rPr>
            </w:pPr>
            <w:r w:rsidRPr="00AE1B2B">
              <w:rPr>
                <w:rFonts w:ascii="Times New Roman" w:hAnsi="Times New Roman" w:cs="Times New Roman"/>
              </w:rPr>
              <w:t>10 Técnicas/os Judiciales 1</w:t>
            </w:r>
          </w:p>
        </w:tc>
        <w:tc>
          <w:tcPr>
            <w:tcW w:w="2062" w:type="pct"/>
            <w:vAlign w:val="center"/>
          </w:tcPr>
          <w:p w:rsidRPr="00AE1B2B" w:rsidR="009D3FB5" w:rsidP="00163B94" w:rsidRDefault="009D3FB5" w14:paraId="5C64F305" w14:textId="77777777">
            <w:pPr>
              <w:spacing w:before="120" w:after="120" w:line="276" w:lineRule="auto"/>
              <w:rPr>
                <w:rFonts w:ascii="Times New Roman" w:hAnsi="Times New Roman" w:cs="Times New Roman"/>
              </w:rPr>
            </w:pPr>
            <w:r w:rsidRPr="00AE1B2B">
              <w:rPr>
                <w:rFonts w:ascii="Times New Roman" w:hAnsi="Times New Roman" w:cs="Times New Roman"/>
              </w:rPr>
              <w:t>4 Juezas/ces 1 (</w:t>
            </w:r>
            <w:r w:rsidRPr="00AE1B2B">
              <w:rPr>
                <w:rFonts w:ascii="Times New Roman" w:hAnsi="Times New Roman" w:cs="Times New Roman"/>
                <w:i/>
              </w:rPr>
              <w:t>debe crearse una plaza nueva extraordinaria</w:t>
            </w:r>
            <w:r w:rsidRPr="00AE1B2B">
              <w:rPr>
                <w:rFonts w:ascii="Times New Roman" w:hAnsi="Times New Roman" w:cs="Times New Roman"/>
              </w:rPr>
              <w:t>)</w:t>
            </w:r>
          </w:p>
          <w:p w:rsidRPr="00AE1B2B" w:rsidR="009D3FB5" w:rsidP="00163B94" w:rsidRDefault="009D3FB5" w14:paraId="27CBDEB6" w14:textId="77777777">
            <w:pPr>
              <w:spacing w:before="120" w:after="120" w:line="276" w:lineRule="auto"/>
              <w:rPr>
                <w:rFonts w:ascii="Times New Roman" w:hAnsi="Times New Roman" w:cs="Times New Roman"/>
              </w:rPr>
            </w:pPr>
            <w:r w:rsidRPr="00AE1B2B">
              <w:rPr>
                <w:rFonts w:ascii="Times New Roman" w:hAnsi="Times New Roman" w:cs="Times New Roman"/>
              </w:rPr>
              <w:t>1 Coordinadora/or Judicial 1</w:t>
            </w:r>
          </w:p>
          <w:p w:rsidRPr="00AE1B2B" w:rsidR="009D3FB5" w:rsidP="00163B94" w:rsidRDefault="009D3FB5" w14:paraId="532BA211" w14:textId="77777777">
            <w:pPr>
              <w:spacing w:before="120" w:after="120" w:line="276" w:lineRule="auto"/>
              <w:rPr>
                <w:rFonts w:ascii="Times New Roman" w:hAnsi="Times New Roman" w:cs="Times New Roman"/>
              </w:rPr>
            </w:pPr>
            <w:r w:rsidRPr="00AE1B2B">
              <w:rPr>
                <w:rFonts w:ascii="Times New Roman" w:hAnsi="Times New Roman" w:cs="Times New Roman"/>
              </w:rPr>
              <w:t>12 Técnicas/os Judiciales 1 (debe crearse dos plazas nuevas extraordinarias)</w:t>
            </w:r>
          </w:p>
        </w:tc>
      </w:tr>
    </w:tbl>
    <w:p w:rsidRPr="00AE1B2B" w:rsidR="009D3FB5" w:rsidP="00163B94" w:rsidRDefault="009D3FB5" w14:paraId="1963B99D"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Modernización Institucional de la Dirección de Planificación.</w:t>
      </w:r>
    </w:p>
    <w:p w:rsidRPr="00AE1B2B" w:rsidR="009D3FB5" w:rsidP="00163B94" w:rsidRDefault="009D3FB5" w14:paraId="21D4704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DE384F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propuesta conlleva la creación de una plaza de persona juzgadora 1 y dos plazas de Técnico Judicial 1, para completar la estructura de trabajo de este despacho, su impacto económico se calcula en el siguiente cuadro.</w:t>
      </w:r>
    </w:p>
    <w:p w:rsidRPr="00AE1B2B" w:rsidR="009D3FB5" w:rsidP="00163B94" w:rsidRDefault="009D3FB5" w14:paraId="4C70F4A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465E343" w14:textId="7921F000">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63</w:t>
      </w:r>
      <w:r w:rsidRPr="00AE1B2B">
        <w:rPr>
          <w:rFonts w:ascii="Times New Roman" w:hAnsi="Times New Roman" w:cs="Times New Roman"/>
          <w:sz w:val="26"/>
          <w:szCs w:val="26"/>
        </w:rPr>
        <w:fldChar w:fldCharType="end"/>
      </w:r>
    </w:p>
    <w:p w:rsidRPr="00AE1B2B" w:rsidR="009D3FB5" w:rsidP="00163B94" w:rsidRDefault="009D3FB5" w14:paraId="73CC5734" w14:textId="26013081">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Costo de estructura propuesta para los</w:t>
      </w:r>
    </w:p>
    <w:p w:rsidRPr="00AE1B2B" w:rsidR="009D3FB5" w:rsidP="00163B94" w:rsidRDefault="009D3FB5" w14:paraId="013A6C3E"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juzgados de Pensiones Alimentarias especializados.</w:t>
      </w:r>
    </w:p>
    <w:tbl>
      <w:tblPr>
        <w:tblW w:w="5994" w:type="pct"/>
        <w:jc w:val="center"/>
        <w:tblCellMar>
          <w:left w:w="70" w:type="dxa"/>
          <w:right w:w="70" w:type="dxa"/>
        </w:tblCellMar>
        <w:tblLook w:val="04A0" w:firstRow="1" w:lastRow="0" w:firstColumn="1" w:lastColumn="0" w:noHBand="0" w:noVBand="1"/>
      </w:tblPr>
      <w:tblGrid>
        <w:gridCol w:w="1403"/>
        <w:gridCol w:w="1143"/>
        <w:gridCol w:w="1118"/>
        <w:gridCol w:w="889"/>
        <w:gridCol w:w="910"/>
        <w:gridCol w:w="2432"/>
        <w:gridCol w:w="2688"/>
      </w:tblGrid>
      <w:tr w:rsidRPr="00AE1B2B" w:rsidR="00AE1B2B" w:rsidTr="009D3FB5" w14:paraId="3E335E6B" w14:textId="77777777">
        <w:trPr>
          <w:trHeight w:val="20"/>
          <w:tblHeader/>
          <w:jc w:val="center"/>
        </w:trPr>
        <w:tc>
          <w:tcPr>
            <w:tcW w:w="663"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39572DDD"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Despacho</w:t>
            </w:r>
          </w:p>
        </w:tc>
        <w:tc>
          <w:tcPr>
            <w:tcW w:w="540"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6087389F"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Situación</w:t>
            </w:r>
          </w:p>
        </w:tc>
        <w:tc>
          <w:tcPr>
            <w:tcW w:w="528"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3E94200D"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Cantidad requerida</w:t>
            </w:r>
          </w:p>
        </w:tc>
        <w:tc>
          <w:tcPr>
            <w:tcW w:w="420"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539E68F7"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Clase ancha</w:t>
            </w:r>
          </w:p>
        </w:tc>
        <w:tc>
          <w:tcPr>
            <w:tcW w:w="430"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7F2DA830"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Clase angosta</w:t>
            </w:r>
          </w:p>
        </w:tc>
        <w:tc>
          <w:tcPr>
            <w:tcW w:w="1149"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159A3F30"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Costo del puesto anual</w:t>
            </w:r>
          </w:p>
        </w:tc>
        <w:tc>
          <w:tcPr>
            <w:tcW w:w="1270"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5976D0C1"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Costo total anual</w:t>
            </w:r>
          </w:p>
        </w:tc>
      </w:tr>
      <w:tr w:rsidRPr="00AE1B2B" w:rsidR="00AE1B2B" w:rsidTr="009D3FB5" w14:paraId="0BB4E1C7" w14:textId="77777777">
        <w:trPr>
          <w:trHeight w:val="553"/>
          <w:jc w:val="center"/>
        </w:trPr>
        <w:tc>
          <w:tcPr>
            <w:tcW w:w="663" w:type="pct"/>
            <w:vMerge w:val="restar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3BA14B3" w14:textId="77777777">
            <w:pPr>
              <w:spacing w:before="120" w:after="120" w:line="276" w:lineRule="auto"/>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Juzgado Pensiones Alimentarias II Circuito Judicial Zona Atlántica (Pococí)</w:t>
            </w:r>
          </w:p>
        </w:tc>
        <w:tc>
          <w:tcPr>
            <w:tcW w:w="540" w:type="pct"/>
            <w:tcBorders>
              <w:top w:val="nil"/>
              <w:left w:val="nil"/>
              <w:bottom w:val="single" w:color="auto" w:sz="4" w:space="0"/>
              <w:right w:val="single" w:color="auto" w:sz="4" w:space="0"/>
            </w:tcBorders>
            <w:shd w:val="clear" w:color="000000" w:fill="44546A"/>
            <w:vAlign w:val="center"/>
            <w:hideMark/>
          </w:tcPr>
          <w:p w:rsidRPr="00AE1B2B" w:rsidR="009D3FB5" w:rsidP="00163B94" w:rsidRDefault="009D3FB5" w14:paraId="24B8EB19"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Propuesta</w:t>
            </w:r>
          </w:p>
        </w:tc>
        <w:tc>
          <w:tcPr>
            <w:tcW w:w="5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51FF047"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42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551B79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Juez(a) 1</w:t>
            </w:r>
          </w:p>
        </w:tc>
        <w:tc>
          <w:tcPr>
            <w:tcW w:w="43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AFD405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Juez o Jueza</w:t>
            </w:r>
          </w:p>
        </w:tc>
        <w:tc>
          <w:tcPr>
            <w:tcW w:w="1149"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0997E87"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₡51.473.000</w:t>
            </w:r>
          </w:p>
        </w:tc>
        <w:tc>
          <w:tcPr>
            <w:tcW w:w="1023"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B97DAE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₡51.473.000</w:t>
            </w:r>
          </w:p>
        </w:tc>
      </w:tr>
      <w:tr w:rsidRPr="00AE1B2B" w:rsidR="00AE1B2B" w:rsidTr="009D3FB5" w14:paraId="18D908A3" w14:textId="77777777">
        <w:trPr>
          <w:trHeight w:val="554"/>
          <w:jc w:val="center"/>
        </w:trPr>
        <w:tc>
          <w:tcPr>
            <w:tcW w:w="663" w:type="pct"/>
            <w:vMerge/>
            <w:tcBorders>
              <w:top w:val="nil"/>
              <w:left w:val="single" w:color="auto" w:sz="4" w:space="0"/>
              <w:bottom w:val="single" w:color="auto" w:sz="4" w:space="0"/>
              <w:right w:val="single" w:color="auto" w:sz="4" w:space="0"/>
            </w:tcBorders>
            <w:vAlign w:val="center"/>
            <w:hideMark/>
          </w:tcPr>
          <w:p w:rsidRPr="00AE1B2B" w:rsidR="009D3FB5" w:rsidP="00163B94" w:rsidRDefault="009D3FB5" w14:paraId="35464278" w14:textId="77777777">
            <w:pPr>
              <w:spacing w:before="120" w:after="120" w:line="276" w:lineRule="auto"/>
              <w:rPr>
                <w:rFonts w:ascii="Times New Roman" w:hAnsi="Times New Roman" w:eastAsia="Times New Roman" w:cs="Times New Roman"/>
                <w:lang w:eastAsia="es-ES"/>
              </w:rPr>
            </w:pPr>
          </w:p>
        </w:tc>
        <w:tc>
          <w:tcPr>
            <w:tcW w:w="540" w:type="pct"/>
            <w:tcBorders>
              <w:top w:val="nil"/>
              <w:left w:val="nil"/>
              <w:bottom w:val="single" w:color="auto" w:sz="4" w:space="0"/>
              <w:right w:val="single" w:color="auto" w:sz="4" w:space="0"/>
            </w:tcBorders>
            <w:shd w:val="clear" w:color="000000" w:fill="44546A"/>
            <w:vAlign w:val="center"/>
            <w:hideMark/>
          </w:tcPr>
          <w:p w:rsidRPr="00AE1B2B" w:rsidR="009D3FB5" w:rsidP="00163B94" w:rsidRDefault="009D3FB5" w14:paraId="6370D1C1" w14:textId="77777777">
            <w:pPr>
              <w:spacing w:before="120" w:after="120" w:line="276" w:lineRule="auto"/>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Propuesta</w:t>
            </w:r>
          </w:p>
        </w:tc>
        <w:tc>
          <w:tcPr>
            <w:tcW w:w="52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A2BC2F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w:t>
            </w:r>
          </w:p>
        </w:tc>
        <w:tc>
          <w:tcPr>
            <w:tcW w:w="42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BE430A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Técnico Judicial 1</w:t>
            </w:r>
          </w:p>
        </w:tc>
        <w:tc>
          <w:tcPr>
            <w:tcW w:w="430"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C2AB70D"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Técnico Judicial</w:t>
            </w:r>
          </w:p>
        </w:tc>
        <w:tc>
          <w:tcPr>
            <w:tcW w:w="1149"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DBD65D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₡14.005.000</w:t>
            </w:r>
          </w:p>
        </w:tc>
        <w:tc>
          <w:tcPr>
            <w:tcW w:w="1023"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5F87CD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₡28.010.000</w:t>
            </w:r>
          </w:p>
        </w:tc>
      </w:tr>
      <w:tr w:rsidRPr="00AE1B2B" w:rsidR="00AE1B2B" w:rsidTr="009D3FB5" w14:paraId="120762E4" w14:textId="77777777">
        <w:trPr>
          <w:trHeight w:val="20"/>
          <w:jc w:val="center"/>
        </w:trPr>
        <w:tc>
          <w:tcPr>
            <w:tcW w:w="3730" w:type="pct"/>
            <w:gridSpan w:val="6"/>
            <w:tcBorders>
              <w:top w:val="single" w:color="auto" w:sz="4" w:space="0"/>
              <w:left w:val="single" w:color="auto" w:sz="4" w:space="0"/>
              <w:bottom w:val="single" w:color="auto" w:sz="4" w:space="0"/>
              <w:right w:val="single" w:color="auto" w:sz="4" w:space="0"/>
            </w:tcBorders>
            <w:shd w:val="clear" w:color="000000" w:fill="808080"/>
            <w:vAlign w:val="bottom"/>
            <w:hideMark/>
          </w:tcPr>
          <w:p w:rsidRPr="00AE1B2B" w:rsidR="009D3FB5" w:rsidP="00163B94" w:rsidRDefault="009D3FB5" w14:paraId="592D1D38" w14:textId="77777777">
            <w:pPr>
              <w:spacing w:before="120" w:after="120" w:line="276" w:lineRule="auto"/>
              <w:jc w:val="right"/>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lastRenderedPageBreak/>
              <w:t>Total</w:t>
            </w:r>
          </w:p>
        </w:tc>
        <w:tc>
          <w:tcPr>
            <w:tcW w:w="1270" w:type="pct"/>
            <w:tcBorders>
              <w:top w:val="nil"/>
              <w:left w:val="nil"/>
              <w:bottom w:val="single" w:color="auto" w:sz="4" w:space="0"/>
              <w:right w:val="single" w:color="auto" w:sz="4" w:space="0"/>
            </w:tcBorders>
            <w:shd w:val="clear" w:color="000000" w:fill="808080"/>
            <w:vAlign w:val="bottom"/>
            <w:hideMark/>
          </w:tcPr>
          <w:p w:rsidRPr="00AE1B2B" w:rsidR="009D3FB5" w:rsidP="00163B94" w:rsidRDefault="009D3FB5" w14:paraId="32C6DC8A"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₡79.483.000</w:t>
            </w:r>
          </w:p>
        </w:tc>
      </w:tr>
    </w:tbl>
    <w:p w:rsidRPr="00AE1B2B" w:rsidR="009D3FB5" w:rsidP="00163B94" w:rsidRDefault="009D3FB5" w14:paraId="4069869E"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Modernización Institucional de la Dirección de Planificación. </w:t>
      </w:r>
    </w:p>
    <w:p w:rsidRPr="00AE1B2B" w:rsidR="009D3FB5" w:rsidP="00163B94" w:rsidRDefault="009D3FB5" w14:paraId="2B5E214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530993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costo anual para hacerle frente a la propuesta de creación de una plaza de persona juzgadora 1 y dos plazas de Técnico Judicial 1 es de ₡79.483.000. No se plantea la recalificación del puesto de Auxiliar de Servicios Generales ya que hacer esto significaría la inclusión del Servicio de Limpieza contratada, subpartida 1.04.06 “Servicios Generales”, la cual se encuentra restringida por el aumento del IVA en los servicios, ya que actualmente este despacho cuenta con la figura de Auxiliar de Servicios Generales para atender esta necesidad.</w:t>
      </w:r>
    </w:p>
    <w:p w:rsidRPr="00AE1B2B" w:rsidR="009D3FB5" w:rsidP="00163B94" w:rsidRDefault="009D3FB5" w14:paraId="44735BD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89797D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caso de los despachos mixtos que atienden dentro de sus materias Pensiones Alimentarias, no se tiene planeada la modificación en las estructuras de trabajo o la inclusión de nuevo recurso humano, esto ya que durante los abordajes realizados por la Dirección de Planificación para las materias de Laboral y Civil, se realizaron los estudios pertinentes y se incluyeron las necesidades en los respectivos informes de presupuesto de estas materias.</w:t>
      </w:r>
    </w:p>
    <w:p w:rsidRPr="00AE1B2B" w:rsidR="009D3FB5" w:rsidP="00163B94" w:rsidRDefault="009D3FB5" w14:paraId="0AA9885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4E0855E" w14:textId="06751A3E">
      <w:pPr>
        <w:pStyle w:val="Prrafodelista"/>
        <w:numPr>
          <w:ilvl w:val="0"/>
          <w:numId w:val="144"/>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Otras consideraciones</w:t>
      </w:r>
    </w:p>
    <w:p w:rsidRPr="00AE1B2B" w:rsidR="009D3FB5" w:rsidP="00163B94" w:rsidRDefault="009D3FB5" w14:paraId="5469221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partir del análisis realizado en 2020 mediante el informe 656-PLA-RH-2020, se solicitó a las distintas dependencias administrativas actualizar para 2022 los requerimientos de presupuesto de cada una. </w:t>
      </w:r>
    </w:p>
    <w:p w:rsidRPr="00AE1B2B" w:rsidR="009D3FB5" w:rsidP="00163B94" w:rsidRDefault="009D3FB5" w14:paraId="604EB0D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3979DE" w14:paraId="45E3F191" w14:textId="286BD152">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9</w:t>
      </w:r>
      <w:r w:rsidRPr="00AE1B2B" w:rsidR="009D3FB5">
        <w:rPr>
          <w:rFonts w:ascii="Times New Roman" w:hAnsi="Times New Roman" w:cs="Times New Roman"/>
          <w:sz w:val="26"/>
          <w:szCs w:val="26"/>
        </w:rPr>
        <w:t>.1. Dirección Ejecutiva</w:t>
      </w:r>
    </w:p>
    <w:p w:rsidRPr="00AE1B2B" w:rsidR="009D3FB5" w:rsidP="00163B94" w:rsidRDefault="009D3FB5" w14:paraId="54B71500" w14:textId="77777777">
      <w:pPr>
        <w:spacing w:before="120" w:after="120"/>
        <w:ind w:left="851" w:right="851" w:firstLine="709"/>
        <w:jc w:val="both"/>
        <w:rPr>
          <w:rFonts w:ascii="Times New Roman" w:hAnsi="Times New Roman" w:cs="Times New Roman"/>
          <w:sz w:val="26"/>
          <w:szCs w:val="26"/>
        </w:rPr>
      </w:pPr>
      <w:bookmarkStart w:name="_Hlk34724863" w:id="83"/>
      <w:r w:rsidRPr="00AE1B2B">
        <w:rPr>
          <w:rFonts w:ascii="Times New Roman" w:hAnsi="Times New Roman" w:cs="Times New Roman"/>
          <w:sz w:val="26"/>
          <w:szCs w:val="26"/>
        </w:rPr>
        <w:t>La Dirección Ejecutiva mediante oficio 361-DE-2021 (</w:t>
      </w:r>
      <w:r w:rsidRPr="00AE1B2B">
        <w:rPr>
          <w:rFonts w:ascii="Times New Roman" w:hAnsi="Times New Roman" w:cs="Times New Roman"/>
          <w:b/>
          <w:bCs/>
          <w:i/>
          <w:iCs/>
          <w:sz w:val="26"/>
          <w:szCs w:val="26"/>
        </w:rPr>
        <w:t>anexo 20)</w:t>
      </w:r>
      <w:r w:rsidRPr="00AE1B2B">
        <w:rPr>
          <w:rFonts w:ascii="Times New Roman" w:hAnsi="Times New Roman" w:cs="Times New Roman"/>
          <w:sz w:val="26"/>
          <w:szCs w:val="26"/>
        </w:rPr>
        <w:t xml:space="preserve"> indica:</w:t>
      </w:r>
    </w:p>
    <w:p w:rsidRPr="00AE1B2B" w:rsidR="009D3FB5" w:rsidP="00163B94" w:rsidRDefault="009D3FB5" w14:paraId="0EAD8C3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2E93DC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p>
    <w:p w:rsidRPr="00AE1B2B" w:rsidR="009D3FB5" w:rsidP="00163B94" w:rsidRDefault="009D3FB5" w14:paraId="38F3B151"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 xml:space="preserve">para actualizar el informe 656-PLA-RH-MI-2020 he iniciar con la formulación presupuestaria para la implementación del Código Procesal de Familia para 2022, me permito adjuntar el presupuesto para los programas 926 y 927. </w:t>
      </w:r>
    </w:p>
    <w:p w:rsidRPr="00AE1B2B" w:rsidR="009D3FB5" w:rsidP="00163B94" w:rsidRDefault="009D3FB5" w14:paraId="77E648D7" w14:textId="77777777">
      <w:pPr>
        <w:spacing w:before="120" w:after="120"/>
        <w:ind w:left="567" w:right="616"/>
        <w:rPr>
          <w:rFonts w:ascii="Times New Roman" w:hAnsi="Times New Roman" w:cs="Times New Roman"/>
          <w:i/>
          <w:iCs/>
        </w:rPr>
      </w:pPr>
    </w:p>
    <w:p w:rsidRPr="00AE1B2B" w:rsidR="009D3FB5" w:rsidP="00163B94" w:rsidRDefault="009D3FB5" w14:paraId="588546D5" w14:textId="77777777">
      <w:pPr>
        <w:spacing w:before="120" w:after="120"/>
        <w:ind w:left="567" w:right="616"/>
        <w:jc w:val="center"/>
        <w:rPr>
          <w:rFonts w:ascii="Times New Roman" w:hAnsi="Times New Roman" w:cs="Times New Roman"/>
          <w:i/>
          <w:iCs/>
        </w:rPr>
      </w:pPr>
      <w:r w:rsidRPr="00AE1B2B">
        <w:rPr>
          <w:rFonts w:ascii="Times New Roman" w:hAnsi="Times New Roman" w:cs="Times New Roman"/>
          <w:noProof/>
          <w:lang w:val="en-US"/>
        </w:rPr>
        <w:drawing>
          <wp:inline distT="0" distB="0" distL="0" distR="0" wp14:anchorId="6FF41FD9" wp14:editId="0376C4AB">
            <wp:extent cx="4892040" cy="589915"/>
            <wp:effectExtent l="0" t="0" r="3810" b="635"/>
            <wp:docPr id="1212768277" name="Imagen 121276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892040" cy="589915"/>
                    </a:xfrm>
                    <a:prstGeom prst="rect">
                      <a:avLst/>
                    </a:prstGeom>
                  </pic:spPr>
                </pic:pic>
              </a:graphicData>
            </a:graphic>
          </wp:inline>
        </w:drawing>
      </w:r>
    </w:p>
    <w:p w:rsidRPr="00AE1B2B" w:rsidR="009D3FB5" w:rsidP="00163B94" w:rsidRDefault="009D3FB5" w14:paraId="0BFB346C" w14:textId="77777777">
      <w:pPr>
        <w:spacing w:before="120" w:after="120"/>
        <w:ind w:left="567" w:right="616"/>
        <w:rPr>
          <w:rFonts w:ascii="Times New Roman" w:hAnsi="Times New Roman" w:cs="Times New Roman"/>
          <w:i/>
          <w:iCs/>
        </w:rPr>
      </w:pPr>
    </w:p>
    <w:p w:rsidRPr="00AE1B2B" w:rsidR="009D3FB5" w:rsidP="00163B94" w:rsidRDefault="009D3FB5" w14:paraId="3F16BAF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Es importante indicar que se tuvo un atraso en la presentación de los requerimientos debido a una reunión solicitada por el Centro de Apoyo, Coordinación y Mejoramiento de la Función Jurisdiccional y la Gestoría de la reforma, para evaluar proyectos y su debida formulación, reunión que fue realizada el 2 de febrero y que permitió esclarecer dudas sobre la formulación presupuestaria.</w:t>
      </w:r>
    </w:p>
    <w:p w:rsidRPr="00AE1B2B" w:rsidR="009D3FB5" w:rsidP="00163B94" w:rsidRDefault="009D3FB5" w14:paraId="660EBA17"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5E05FEF0"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En cuanto al acuerdo del Consejo Superior tomado en la sesión 45-2020, artículo XIX, en la que se determinó disponer de ₡60.000.000 para el pago de peritajes solicitados por órdenes judiciales en virtud de tratarse de una Ley Especial, esta Dirección Ejecutiva aclara que para el periodo 2022 el monto total deberá ser contemplado en el presupuesto especial de la Ley, dentro de las necesidades al Departamento de Trabajo Social y Psicología del Programa 926, como responsable de la administración de esos recursos y del contrato que se suscriba para el servicio de peritajes.</w:t>
      </w:r>
    </w:p>
    <w:p w:rsidRPr="00AE1B2B" w:rsidR="009D3FB5" w:rsidP="00163B94" w:rsidRDefault="009D3FB5" w14:paraId="27121D53"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7CFBAE59"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Finalmente, y en relación con el</w:t>
      </w:r>
      <w:r w:rsidRPr="00AE1B2B">
        <w:rPr>
          <w:rFonts w:ascii="Times New Roman" w:hAnsi="Times New Roman" w:cs="Times New Roman"/>
          <w:b/>
          <w:bCs/>
          <w:i/>
          <w:iCs/>
          <w:sz w:val="26"/>
          <w:szCs w:val="26"/>
        </w:rPr>
        <w:t xml:space="preserve"> artículo 286 </w:t>
      </w:r>
      <w:r w:rsidRPr="00AE1B2B">
        <w:rPr>
          <w:rFonts w:ascii="Times New Roman" w:hAnsi="Times New Roman" w:cs="Times New Roman"/>
          <w:i/>
          <w:iCs/>
          <w:sz w:val="26"/>
          <w:szCs w:val="26"/>
        </w:rPr>
        <w:t>de la</w:t>
      </w:r>
      <w:r w:rsidRPr="00AE1B2B">
        <w:rPr>
          <w:rFonts w:ascii="Times New Roman" w:hAnsi="Times New Roman" w:cs="Times New Roman"/>
          <w:b/>
          <w:bCs/>
          <w:i/>
          <w:iCs/>
          <w:sz w:val="26"/>
          <w:szCs w:val="26"/>
        </w:rPr>
        <w:t xml:space="preserve"> Ley 9747</w:t>
      </w:r>
      <w:r w:rsidRPr="00AE1B2B">
        <w:rPr>
          <w:rFonts w:ascii="Times New Roman" w:hAnsi="Times New Roman" w:cs="Times New Roman"/>
          <w:i/>
          <w:iCs/>
          <w:sz w:val="26"/>
          <w:szCs w:val="26"/>
        </w:rPr>
        <w:t xml:space="preserve">, el cual crea el </w:t>
      </w:r>
      <w:r w:rsidRPr="00AE1B2B">
        <w:rPr>
          <w:rFonts w:ascii="Times New Roman" w:hAnsi="Times New Roman" w:cs="Times New Roman"/>
          <w:b/>
          <w:bCs/>
          <w:i/>
          <w:iCs/>
          <w:sz w:val="26"/>
          <w:szCs w:val="26"/>
        </w:rPr>
        <w:t>Fondo de Pensiones Alimentarias</w:t>
      </w:r>
      <w:r w:rsidRPr="00AE1B2B">
        <w:rPr>
          <w:rFonts w:ascii="Times New Roman" w:hAnsi="Times New Roman" w:cs="Times New Roman"/>
          <w:i/>
          <w:iCs/>
          <w:sz w:val="26"/>
          <w:szCs w:val="26"/>
        </w:rPr>
        <w:t xml:space="preserve"> para cubrir cualquiera de las obligaciones alimentaria que se encuentran pendientes de pago, total o parcialmente y el cual establece a la Corte Suprema de Justicia designar un órgano competente para su administración; según el acuerdo tomado por el Consejo Superior en sesión </w:t>
      </w:r>
      <w:r w:rsidRPr="00AE1B2B">
        <w:rPr>
          <w:rFonts w:ascii="Times New Roman" w:hAnsi="Times New Roman" w:cs="Times New Roman"/>
          <w:b/>
          <w:bCs/>
          <w:i/>
          <w:iCs/>
          <w:sz w:val="26"/>
          <w:szCs w:val="26"/>
        </w:rPr>
        <w:t xml:space="preserve">N° 119-2020 </w:t>
      </w:r>
      <w:r w:rsidRPr="00AE1B2B">
        <w:rPr>
          <w:rFonts w:ascii="Times New Roman" w:hAnsi="Times New Roman" w:cs="Times New Roman"/>
          <w:bCs/>
          <w:i/>
          <w:iCs/>
          <w:sz w:val="26"/>
          <w:szCs w:val="26"/>
        </w:rPr>
        <w:t>c</w:t>
      </w:r>
      <w:r w:rsidRPr="00AE1B2B">
        <w:rPr>
          <w:rFonts w:ascii="Times New Roman" w:hAnsi="Times New Roman" w:cs="Times New Roman"/>
          <w:i/>
          <w:iCs/>
          <w:sz w:val="26"/>
          <w:szCs w:val="26"/>
        </w:rPr>
        <w:t>elebrada el</w:t>
      </w:r>
      <w:r w:rsidRPr="00AE1B2B">
        <w:rPr>
          <w:rFonts w:ascii="Times New Roman" w:hAnsi="Times New Roman" w:cs="Times New Roman"/>
          <w:b/>
          <w:bCs/>
          <w:i/>
          <w:iCs/>
          <w:sz w:val="26"/>
          <w:szCs w:val="26"/>
        </w:rPr>
        <w:t xml:space="preserve"> 15 </w:t>
      </w:r>
      <w:r w:rsidRPr="00AE1B2B">
        <w:rPr>
          <w:rFonts w:ascii="Times New Roman" w:hAnsi="Times New Roman" w:cs="Times New Roman"/>
          <w:b/>
          <w:i/>
          <w:iCs/>
          <w:sz w:val="26"/>
          <w:szCs w:val="26"/>
        </w:rPr>
        <w:t>de diciembre de 2020</w:t>
      </w:r>
      <w:r w:rsidRPr="00AE1B2B">
        <w:rPr>
          <w:rFonts w:ascii="Times New Roman" w:hAnsi="Times New Roman" w:cs="Times New Roman"/>
          <w:b/>
          <w:bCs/>
          <w:i/>
          <w:iCs/>
          <w:sz w:val="26"/>
          <w:szCs w:val="26"/>
        </w:rPr>
        <w:t>,</w:t>
      </w:r>
      <w:r w:rsidRPr="00AE1B2B">
        <w:rPr>
          <w:rFonts w:ascii="Times New Roman" w:hAnsi="Times New Roman" w:cs="Times New Roman"/>
          <w:i/>
          <w:iCs/>
          <w:sz w:val="26"/>
          <w:szCs w:val="26"/>
        </w:rPr>
        <w:t xml:space="preserve"> me permito indicarle que, esta Dirección se encuentra analizando el esfuerzo que demandará dicha tarea y se está considerando con el Departamento Financiero Contable los requerimientos de recursos para realizar dicha tarea; por lo anterior, y debido a que este análisis requerirá de más tiempo por las consideraciones particulares de la Ley, de considerarse la necesidad de un recurso adicional para que </w:t>
      </w:r>
      <w:r w:rsidRPr="00AE1B2B">
        <w:rPr>
          <w:rFonts w:ascii="Times New Roman" w:hAnsi="Times New Roman" w:cs="Times New Roman"/>
          <w:i/>
          <w:iCs/>
          <w:sz w:val="26"/>
          <w:szCs w:val="26"/>
        </w:rPr>
        <w:lastRenderedPageBreak/>
        <w:t>sea presupuestado para el año 2022, se informará mediante un anexo a este oficio.</w:t>
      </w:r>
    </w:p>
    <w:p w:rsidRPr="00AE1B2B" w:rsidR="009D3FB5" w:rsidP="00163B94" w:rsidRDefault="009D3FB5" w14:paraId="5E5C8B2F"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1F5477D9"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p>
    <w:bookmarkEnd w:id="83"/>
    <w:p w:rsidRPr="00AE1B2B" w:rsidR="009D3FB5" w:rsidP="00163B94" w:rsidRDefault="009D3FB5" w14:paraId="0686774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Y adjuntan también el detalle por partida y subpartida presupuestaria</w:t>
      </w:r>
    </w:p>
    <w:p w:rsidRPr="00AE1B2B" w:rsidR="009D3FB5" w:rsidP="00163B94" w:rsidRDefault="009D3FB5" w14:paraId="6F9AC884" w14:textId="77777777">
      <w:pPr>
        <w:spacing w:before="120" w:after="120" w:line="276" w:lineRule="auto"/>
        <w:rPr>
          <w:rFonts w:ascii="Times New Roman" w:hAnsi="Times New Roman" w:cs="Times New Roman"/>
          <w:sz w:val="24"/>
          <w:szCs w:val="24"/>
        </w:rPr>
      </w:pPr>
    </w:p>
    <w:tbl>
      <w:tblPr>
        <w:tblW w:w="9356" w:type="dxa"/>
        <w:jc w:val="center"/>
        <w:tblCellMar>
          <w:left w:w="70" w:type="dxa"/>
          <w:right w:w="70" w:type="dxa"/>
        </w:tblCellMar>
        <w:tblLook w:val="04A0" w:firstRow="1" w:lastRow="0" w:firstColumn="1" w:lastColumn="0" w:noHBand="0" w:noVBand="1"/>
      </w:tblPr>
      <w:tblGrid>
        <w:gridCol w:w="920"/>
        <w:gridCol w:w="4042"/>
        <w:gridCol w:w="1417"/>
        <w:gridCol w:w="1680"/>
        <w:gridCol w:w="1297"/>
      </w:tblGrid>
      <w:tr w:rsidRPr="00AE1B2B" w:rsidR="00AE1B2B" w:rsidTr="009D3FB5" w14:paraId="231A537B" w14:textId="77777777">
        <w:trPr>
          <w:trHeight w:val="315"/>
          <w:jc w:val="center"/>
        </w:trPr>
        <w:tc>
          <w:tcPr>
            <w:tcW w:w="920" w:type="dxa"/>
            <w:vMerge w:val="restart"/>
            <w:tcBorders>
              <w:top w:val="single" w:color="auto" w:sz="8" w:space="0"/>
              <w:left w:val="nil"/>
              <w:bottom w:val="single" w:color="000000" w:sz="8" w:space="0"/>
              <w:right w:val="single" w:color="auto" w:sz="8" w:space="0"/>
            </w:tcBorders>
            <w:shd w:val="clear" w:color="000000" w:fill="C0C0C0"/>
            <w:noWrap/>
            <w:vAlign w:val="center"/>
            <w:hideMark/>
          </w:tcPr>
          <w:p w:rsidRPr="00AE1B2B" w:rsidR="009D3FB5" w:rsidP="00163B94" w:rsidRDefault="009D3FB5" w14:paraId="200B551C" w14:textId="77777777">
            <w:pPr>
              <w:spacing w:before="120" w:after="120"/>
              <w:jc w:val="center"/>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CÓD.</w:t>
            </w:r>
          </w:p>
        </w:tc>
        <w:tc>
          <w:tcPr>
            <w:tcW w:w="4042" w:type="dxa"/>
            <w:vMerge w:val="restart"/>
            <w:tcBorders>
              <w:top w:val="single" w:color="auto" w:sz="8" w:space="0"/>
              <w:left w:val="single" w:color="auto" w:sz="8" w:space="0"/>
              <w:bottom w:val="single" w:color="000000" w:sz="8" w:space="0"/>
              <w:right w:val="single" w:color="auto" w:sz="8" w:space="0"/>
            </w:tcBorders>
            <w:shd w:val="clear" w:color="000000" w:fill="C0C0C0"/>
            <w:noWrap/>
            <w:vAlign w:val="center"/>
            <w:hideMark/>
          </w:tcPr>
          <w:p w:rsidRPr="00AE1B2B" w:rsidR="009D3FB5" w:rsidP="00163B94" w:rsidRDefault="009D3FB5" w14:paraId="6DCCCF0A" w14:textId="77777777">
            <w:pPr>
              <w:spacing w:before="120" w:after="120"/>
              <w:jc w:val="center"/>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Concepto</w:t>
            </w:r>
          </w:p>
        </w:tc>
        <w:tc>
          <w:tcPr>
            <w:tcW w:w="1417" w:type="dxa"/>
            <w:tcBorders>
              <w:top w:val="single" w:color="auto" w:sz="8" w:space="0"/>
              <w:left w:val="nil"/>
              <w:bottom w:val="nil"/>
              <w:right w:val="single" w:color="auto" w:sz="8" w:space="0"/>
            </w:tcBorders>
            <w:shd w:val="clear" w:color="000000" w:fill="BFBFBF"/>
            <w:noWrap/>
            <w:vAlign w:val="bottom"/>
            <w:hideMark/>
          </w:tcPr>
          <w:p w:rsidRPr="00AE1B2B" w:rsidR="009D3FB5" w:rsidP="00163B94" w:rsidRDefault="009D3FB5" w14:paraId="652F917D" w14:textId="77777777">
            <w:pPr>
              <w:spacing w:before="120" w:after="120"/>
              <w:jc w:val="center"/>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Prog. 926</w:t>
            </w:r>
          </w:p>
        </w:tc>
        <w:tc>
          <w:tcPr>
            <w:tcW w:w="1680" w:type="dxa"/>
            <w:tcBorders>
              <w:top w:val="single" w:color="auto" w:sz="8" w:space="0"/>
              <w:left w:val="nil"/>
              <w:bottom w:val="nil"/>
              <w:right w:val="single" w:color="auto" w:sz="8" w:space="0"/>
            </w:tcBorders>
            <w:shd w:val="clear" w:color="000000" w:fill="BFBFBF"/>
            <w:noWrap/>
            <w:vAlign w:val="bottom"/>
            <w:hideMark/>
          </w:tcPr>
          <w:p w:rsidRPr="00AE1B2B" w:rsidR="009D3FB5" w:rsidP="00163B94" w:rsidRDefault="009D3FB5" w14:paraId="6CED671D" w14:textId="77777777">
            <w:pPr>
              <w:spacing w:before="120" w:after="120"/>
              <w:jc w:val="center"/>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Prog. 927</w:t>
            </w:r>
          </w:p>
        </w:tc>
        <w:tc>
          <w:tcPr>
            <w:tcW w:w="1297" w:type="dxa"/>
            <w:vMerge w:val="restart"/>
            <w:tcBorders>
              <w:top w:val="single" w:color="auto" w:sz="8" w:space="0"/>
              <w:left w:val="single" w:color="auto" w:sz="8" w:space="0"/>
              <w:bottom w:val="single" w:color="000000" w:sz="8" w:space="0"/>
              <w:right w:val="nil"/>
            </w:tcBorders>
            <w:shd w:val="clear" w:color="000000" w:fill="C0C0C0"/>
            <w:vAlign w:val="center"/>
            <w:hideMark/>
          </w:tcPr>
          <w:p w:rsidRPr="00AE1B2B" w:rsidR="009D3FB5" w:rsidP="00163B94" w:rsidRDefault="009D3FB5" w14:paraId="6A99A34B" w14:textId="77777777">
            <w:pPr>
              <w:spacing w:before="120" w:after="120"/>
              <w:jc w:val="center"/>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TOTAL</w:t>
            </w:r>
          </w:p>
        </w:tc>
      </w:tr>
      <w:tr w:rsidRPr="00AE1B2B" w:rsidR="00AE1B2B" w:rsidTr="009D3FB5" w14:paraId="301A9384" w14:textId="77777777">
        <w:trPr>
          <w:trHeight w:val="288"/>
          <w:jc w:val="center"/>
        </w:trPr>
        <w:tc>
          <w:tcPr>
            <w:tcW w:w="920" w:type="dxa"/>
            <w:vMerge/>
            <w:tcBorders>
              <w:top w:val="single" w:color="auto" w:sz="8" w:space="0"/>
              <w:left w:val="nil"/>
              <w:bottom w:val="single" w:color="000000" w:sz="8" w:space="0"/>
              <w:right w:val="single" w:color="auto" w:sz="8" w:space="0"/>
            </w:tcBorders>
            <w:vAlign w:val="center"/>
            <w:hideMark/>
          </w:tcPr>
          <w:p w:rsidRPr="00AE1B2B" w:rsidR="009D3FB5" w:rsidP="00163B94" w:rsidRDefault="009D3FB5" w14:paraId="44016A5A" w14:textId="77777777">
            <w:pPr>
              <w:spacing w:before="120" w:after="120"/>
              <w:rPr>
                <w:rFonts w:ascii="Times New Roman" w:hAnsi="Times New Roman" w:eastAsia="Times New Roman" w:cs="Times New Roman"/>
                <w:b/>
                <w:bCs/>
                <w:i/>
                <w:iCs/>
                <w:lang w:eastAsia="es-CR"/>
              </w:rPr>
            </w:pPr>
          </w:p>
        </w:tc>
        <w:tc>
          <w:tcPr>
            <w:tcW w:w="4042" w:type="dxa"/>
            <w:vMerge/>
            <w:tcBorders>
              <w:top w:val="single" w:color="auto" w:sz="8" w:space="0"/>
              <w:left w:val="single" w:color="auto" w:sz="8" w:space="0"/>
              <w:bottom w:val="single" w:color="000000" w:sz="8" w:space="0"/>
              <w:right w:val="single" w:color="auto" w:sz="8" w:space="0"/>
            </w:tcBorders>
            <w:vAlign w:val="center"/>
            <w:hideMark/>
          </w:tcPr>
          <w:p w:rsidRPr="00AE1B2B" w:rsidR="009D3FB5" w:rsidP="00163B94" w:rsidRDefault="009D3FB5" w14:paraId="0559E247" w14:textId="77777777">
            <w:pPr>
              <w:spacing w:before="120" w:after="120"/>
              <w:rPr>
                <w:rFonts w:ascii="Times New Roman" w:hAnsi="Times New Roman" w:eastAsia="Times New Roman" w:cs="Times New Roman"/>
                <w:b/>
                <w:bCs/>
                <w:i/>
                <w:iCs/>
                <w:lang w:eastAsia="es-CR"/>
              </w:rPr>
            </w:pPr>
          </w:p>
        </w:tc>
        <w:tc>
          <w:tcPr>
            <w:tcW w:w="1417" w:type="dxa"/>
            <w:tcBorders>
              <w:top w:val="nil"/>
              <w:left w:val="nil"/>
              <w:bottom w:val="single" w:color="auto" w:sz="8" w:space="0"/>
              <w:right w:val="single" w:color="auto" w:sz="8" w:space="0"/>
            </w:tcBorders>
            <w:shd w:val="clear" w:color="000000" w:fill="BFBFBF"/>
            <w:noWrap/>
            <w:vAlign w:val="bottom"/>
            <w:hideMark/>
          </w:tcPr>
          <w:p w:rsidRPr="00AE1B2B" w:rsidR="009D3FB5" w:rsidP="00163B94" w:rsidRDefault="009D3FB5" w14:paraId="644A80A1" w14:textId="77777777">
            <w:pPr>
              <w:spacing w:before="120" w:after="120"/>
              <w:jc w:val="center"/>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Admi</w:t>
            </w:r>
          </w:p>
        </w:tc>
        <w:tc>
          <w:tcPr>
            <w:tcW w:w="1680" w:type="dxa"/>
            <w:tcBorders>
              <w:top w:val="nil"/>
              <w:left w:val="nil"/>
              <w:bottom w:val="single" w:color="auto" w:sz="8" w:space="0"/>
              <w:right w:val="single" w:color="auto" w:sz="8" w:space="0"/>
            </w:tcBorders>
            <w:shd w:val="clear" w:color="000000" w:fill="BFBFBF"/>
            <w:noWrap/>
            <w:vAlign w:val="bottom"/>
            <w:hideMark/>
          </w:tcPr>
          <w:p w:rsidRPr="00AE1B2B" w:rsidR="009D3FB5" w:rsidP="00163B94" w:rsidRDefault="009D3FB5" w14:paraId="19357B3B" w14:textId="77777777">
            <w:pPr>
              <w:spacing w:before="120" w:after="120"/>
              <w:jc w:val="center"/>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Serv. Jurisdicc.</w:t>
            </w:r>
          </w:p>
        </w:tc>
        <w:tc>
          <w:tcPr>
            <w:tcW w:w="1297" w:type="dxa"/>
            <w:vMerge/>
            <w:tcBorders>
              <w:top w:val="single" w:color="auto" w:sz="8" w:space="0"/>
              <w:left w:val="single" w:color="auto" w:sz="8" w:space="0"/>
              <w:bottom w:val="single" w:color="000000" w:sz="8" w:space="0"/>
              <w:right w:val="nil"/>
            </w:tcBorders>
            <w:vAlign w:val="center"/>
            <w:hideMark/>
          </w:tcPr>
          <w:p w:rsidRPr="00AE1B2B" w:rsidR="009D3FB5" w:rsidP="00163B94" w:rsidRDefault="009D3FB5" w14:paraId="33C538A3" w14:textId="77777777">
            <w:pPr>
              <w:spacing w:before="120" w:after="120"/>
              <w:rPr>
                <w:rFonts w:ascii="Times New Roman" w:hAnsi="Times New Roman" w:eastAsia="Times New Roman" w:cs="Times New Roman"/>
                <w:b/>
                <w:bCs/>
                <w:i/>
                <w:iCs/>
                <w:lang w:eastAsia="es-CR"/>
              </w:rPr>
            </w:pPr>
          </w:p>
        </w:tc>
      </w:tr>
      <w:tr w:rsidRPr="00AE1B2B" w:rsidR="00AE1B2B" w:rsidTr="009D3FB5" w14:paraId="3F7258D4" w14:textId="77777777">
        <w:trPr>
          <w:trHeight w:val="264"/>
          <w:jc w:val="center"/>
        </w:trPr>
        <w:tc>
          <w:tcPr>
            <w:tcW w:w="920" w:type="dxa"/>
            <w:tcBorders>
              <w:top w:val="nil"/>
              <w:left w:val="nil"/>
              <w:bottom w:val="nil"/>
              <w:right w:val="nil"/>
            </w:tcBorders>
            <w:shd w:val="clear" w:color="auto" w:fill="auto"/>
            <w:noWrap/>
            <w:vAlign w:val="bottom"/>
            <w:hideMark/>
          </w:tcPr>
          <w:p w:rsidRPr="00AE1B2B" w:rsidR="009D3FB5" w:rsidP="00163B94" w:rsidRDefault="009D3FB5" w14:paraId="069A01AE" w14:textId="77777777">
            <w:pPr>
              <w:spacing w:before="120" w:after="120"/>
              <w:jc w:val="center"/>
              <w:rPr>
                <w:rFonts w:ascii="Times New Roman" w:hAnsi="Times New Roman" w:eastAsia="Times New Roman" w:cs="Times New Roman"/>
                <w:b/>
                <w:bCs/>
                <w:i/>
                <w:iCs/>
                <w:lang w:eastAsia="es-CR"/>
              </w:rPr>
            </w:pPr>
          </w:p>
        </w:tc>
        <w:tc>
          <w:tcPr>
            <w:tcW w:w="4042" w:type="dxa"/>
            <w:tcBorders>
              <w:top w:val="nil"/>
              <w:left w:val="nil"/>
              <w:bottom w:val="nil"/>
              <w:right w:val="nil"/>
            </w:tcBorders>
            <w:shd w:val="clear" w:color="auto" w:fill="auto"/>
            <w:noWrap/>
            <w:vAlign w:val="bottom"/>
            <w:hideMark/>
          </w:tcPr>
          <w:p w:rsidRPr="00AE1B2B" w:rsidR="009D3FB5" w:rsidP="00163B94" w:rsidRDefault="009D3FB5" w14:paraId="5D3F11B4" w14:textId="77777777">
            <w:pPr>
              <w:spacing w:before="120" w:after="120"/>
              <w:rPr>
                <w:rFonts w:ascii="Times New Roman" w:hAnsi="Times New Roman"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rsidRPr="00AE1B2B" w:rsidR="009D3FB5" w:rsidP="00163B94" w:rsidRDefault="009D3FB5" w14:paraId="579707A5" w14:textId="77777777">
            <w:pPr>
              <w:spacing w:before="120" w:after="120"/>
              <w:rPr>
                <w:rFonts w:ascii="Times New Roman" w:hAnsi="Times New Roman"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rsidRPr="00AE1B2B" w:rsidR="009D3FB5" w:rsidP="00163B94" w:rsidRDefault="009D3FB5" w14:paraId="580D3C4D" w14:textId="77777777">
            <w:pPr>
              <w:spacing w:before="120" w:after="120"/>
              <w:rPr>
                <w:rFonts w:ascii="Times New Roman" w:hAnsi="Times New Roman"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rsidRPr="00AE1B2B" w:rsidR="009D3FB5" w:rsidP="00163B94" w:rsidRDefault="009D3FB5" w14:paraId="0ECF3D61" w14:textId="77777777">
            <w:pPr>
              <w:spacing w:before="120" w:after="120"/>
              <w:rPr>
                <w:rFonts w:ascii="Times New Roman" w:hAnsi="Times New Roman" w:eastAsia="Times New Roman" w:cs="Times New Roman"/>
                <w:i/>
                <w:iCs/>
                <w:lang w:eastAsia="es-CR"/>
              </w:rPr>
            </w:pPr>
          </w:p>
        </w:tc>
      </w:tr>
      <w:tr w:rsidRPr="00AE1B2B" w:rsidR="00AE1B2B" w:rsidTr="009D3FB5" w14:paraId="11A38F85" w14:textId="77777777">
        <w:trPr>
          <w:trHeight w:val="276"/>
          <w:jc w:val="center"/>
        </w:trPr>
        <w:tc>
          <w:tcPr>
            <w:tcW w:w="4962" w:type="dxa"/>
            <w:gridSpan w:val="2"/>
            <w:tcBorders>
              <w:top w:val="nil"/>
              <w:left w:val="nil"/>
              <w:bottom w:val="nil"/>
              <w:right w:val="nil"/>
            </w:tcBorders>
            <w:shd w:val="clear" w:color="000000" w:fill="C0C0C0"/>
            <w:noWrap/>
            <w:vAlign w:val="bottom"/>
            <w:hideMark/>
          </w:tcPr>
          <w:p w:rsidRPr="00AE1B2B" w:rsidR="009D3FB5" w:rsidP="00163B94" w:rsidRDefault="009D3FB5" w14:paraId="20C68566" w14:textId="77777777">
            <w:pPr>
              <w:spacing w:before="120" w:after="120"/>
              <w:jc w:val="center"/>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TOTAL GENERAL</w:t>
            </w:r>
          </w:p>
        </w:tc>
        <w:tc>
          <w:tcPr>
            <w:tcW w:w="1417" w:type="dxa"/>
            <w:tcBorders>
              <w:top w:val="nil"/>
              <w:left w:val="nil"/>
              <w:bottom w:val="nil"/>
              <w:right w:val="nil"/>
            </w:tcBorders>
            <w:shd w:val="clear" w:color="000000" w:fill="BFBFBF"/>
            <w:noWrap/>
            <w:vAlign w:val="bottom"/>
            <w:hideMark/>
          </w:tcPr>
          <w:p w:rsidRPr="00AE1B2B" w:rsidR="009D3FB5" w:rsidP="00163B94" w:rsidRDefault="009D3FB5" w14:paraId="7AF85F5C" w14:textId="77777777">
            <w:pPr>
              <w:spacing w:before="120" w:after="120"/>
              <w:jc w:val="right"/>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642,250</w:t>
            </w:r>
          </w:p>
        </w:tc>
        <w:tc>
          <w:tcPr>
            <w:tcW w:w="1680" w:type="dxa"/>
            <w:tcBorders>
              <w:top w:val="nil"/>
              <w:left w:val="nil"/>
              <w:bottom w:val="nil"/>
              <w:right w:val="nil"/>
            </w:tcBorders>
            <w:shd w:val="clear" w:color="000000" w:fill="BFBFBF"/>
            <w:noWrap/>
            <w:vAlign w:val="bottom"/>
            <w:hideMark/>
          </w:tcPr>
          <w:p w:rsidRPr="00AE1B2B" w:rsidR="009D3FB5" w:rsidP="00163B94" w:rsidRDefault="009D3FB5" w14:paraId="256F4D4D" w14:textId="77777777">
            <w:pPr>
              <w:spacing w:before="120" w:after="120"/>
              <w:jc w:val="center"/>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3,507,664</w:t>
            </w:r>
          </w:p>
        </w:tc>
        <w:tc>
          <w:tcPr>
            <w:tcW w:w="1297" w:type="dxa"/>
            <w:tcBorders>
              <w:top w:val="nil"/>
              <w:left w:val="nil"/>
              <w:bottom w:val="nil"/>
              <w:right w:val="nil"/>
            </w:tcBorders>
            <w:shd w:val="clear" w:color="000000" w:fill="BFBFBF"/>
            <w:noWrap/>
            <w:vAlign w:val="bottom"/>
            <w:hideMark/>
          </w:tcPr>
          <w:p w:rsidRPr="00AE1B2B" w:rsidR="009D3FB5" w:rsidP="00163B94" w:rsidRDefault="009D3FB5" w14:paraId="39F546A2" w14:textId="77777777">
            <w:pPr>
              <w:spacing w:before="120" w:after="120"/>
              <w:jc w:val="center"/>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4,149,914</w:t>
            </w:r>
          </w:p>
        </w:tc>
      </w:tr>
      <w:tr w:rsidRPr="00AE1B2B" w:rsidR="00AE1B2B" w:rsidTr="009D3FB5" w14:paraId="4095203C" w14:textId="77777777">
        <w:trPr>
          <w:trHeight w:val="276"/>
          <w:jc w:val="center"/>
        </w:trPr>
        <w:tc>
          <w:tcPr>
            <w:tcW w:w="920" w:type="dxa"/>
            <w:tcBorders>
              <w:top w:val="nil"/>
              <w:left w:val="nil"/>
              <w:bottom w:val="nil"/>
              <w:right w:val="nil"/>
            </w:tcBorders>
            <w:shd w:val="clear" w:color="000000" w:fill="C0C0C0"/>
            <w:noWrap/>
            <w:vAlign w:val="bottom"/>
            <w:hideMark/>
          </w:tcPr>
          <w:p w:rsidRPr="00AE1B2B" w:rsidR="009D3FB5" w:rsidP="00163B94" w:rsidRDefault="009D3FB5" w14:paraId="4AC58C8D" w14:textId="77777777">
            <w:pPr>
              <w:spacing w:before="120" w:after="120"/>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2</w:t>
            </w:r>
          </w:p>
        </w:tc>
        <w:tc>
          <w:tcPr>
            <w:tcW w:w="4042" w:type="dxa"/>
            <w:tcBorders>
              <w:top w:val="nil"/>
              <w:left w:val="nil"/>
              <w:bottom w:val="nil"/>
              <w:right w:val="nil"/>
            </w:tcBorders>
            <w:shd w:val="clear" w:color="000000" w:fill="C0C0C0"/>
            <w:noWrap/>
            <w:vAlign w:val="bottom"/>
            <w:hideMark/>
          </w:tcPr>
          <w:p w:rsidRPr="00AE1B2B" w:rsidR="009D3FB5" w:rsidP="00163B94" w:rsidRDefault="009D3FB5" w14:paraId="17ADCFA6" w14:textId="77777777">
            <w:pPr>
              <w:spacing w:before="120" w:after="120"/>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MATERIALES Y SUMINISTROS</w:t>
            </w:r>
          </w:p>
        </w:tc>
        <w:tc>
          <w:tcPr>
            <w:tcW w:w="1417" w:type="dxa"/>
            <w:tcBorders>
              <w:top w:val="nil"/>
              <w:left w:val="nil"/>
              <w:bottom w:val="nil"/>
              <w:right w:val="nil"/>
            </w:tcBorders>
            <w:shd w:val="clear" w:color="000000" w:fill="BFBFBF"/>
            <w:noWrap/>
            <w:vAlign w:val="bottom"/>
            <w:hideMark/>
          </w:tcPr>
          <w:p w:rsidRPr="00AE1B2B" w:rsidR="009D3FB5" w:rsidP="00163B94" w:rsidRDefault="009D3FB5" w14:paraId="0203BF4B" w14:textId="77777777">
            <w:pPr>
              <w:spacing w:before="120" w:after="120"/>
              <w:jc w:val="right"/>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642,250</w:t>
            </w:r>
          </w:p>
        </w:tc>
        <w:tc>
          <w:tcPr>
            <w:tcW w:w="1680" w:type="dxa"/>
            <w:tcBorders>
              <w:top w:val="nil"/>
              <w:left w:val="nil"/>
              <w:bottom w:val="nil"/>
              <w:right w:val="nil"/>
            </w:tcBorders>
            <w:shd w:val="clear" w:color="000000" w:fill="BFBFBF"/>
            <w:noWrap/>
            <w:vAlign w:val="bottom"/>
            <w:hideMark/>
          </w:tcPr>
          <w:p w:rsidRPr="00AE1B2B" w:rsidR="009D3FB5" w:rsidP="00163B94" w:rsidRDefault="009D3FB5" w14:paraId="64CE4542" w14:textId="77777777">
            <w:pPr>
              <w:spacing w:before="120" w:after="120"/>
              <w:jc w:val="right"/>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0</w:t>
            </w:r>
          </w:p>
        </w:tc>
        <w:tc>
          <w:tcPr>
            <w:tcW w:w="1297" w:type="dxa"/>
            <w:tcBorders>
              <w:top w:val="nil"/>
              <w:left w:val="nil"/>
              <w:bottom w:val="nil"/>
              <w:right w:val="nil"/>
            </w:tcBorders>
            <w:shd w:val="clear" w:color="000000" w:fill="BFBFBF"/>
            <w:noWrap/>
            <w:vAlign w:val="bottom"/>
            <w:hideMark/>
          </w:tcPr>
          <w:p w:rsidRPr="00AE1B2B" w:rsidR="009D3FB5" w:rsidP="00163B94" w:rsidRDefault="009D3FB5" w14:paraId="5843EAD7" w14:textId="77777777">
            <w:pPr>
              <w:spacing w:before="120" w:after="120"/>
              <w:jc w:val="center"/>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642,250</w:t>
            </w:r>
          </w:p>
        </w:tc>
      </w:tr>
      <w:tr w:rsidRPr="00AE1B2B" w:rsidR="00AE1B2B" w:rsidTr="009D3FB5" w14:paraId="289E9415" w14:textId="77777777">
        <w:trPr>
          <w:trHeight w:val="276"/>
          <w:jc w:val="center"/>
        </w:trPr>
        <w:tc>
          <w:tcPr>
            <w:tcW w:w="920" w:type="dxa"/>
            <w:tcBorders>
              <w:top w:val="nil"/>
              <w:left w:val="nil"/>
              <w:bottom w:val="nil"/>
              <w:right w:val="nil"/>
            </w:tcBorders>
            <w:shd w:val="clear" w:color="000000" w:fill="FFFFFF"/>
            <w:noWrap/>
            <w:vAlign w:val="bottom"/>
            <w:hideMark/>
          </w:tcPr>
          <w:p w:rsidRPr="00AE1B2B" w:rsidR="009D3FB5" w:rsidP="00163B94" w:rsidRDefault="009D3FB5" w14:paraId="34026761" w14:textId="77777777">
            <w:pPr>
              <w:spacing w:before="120" w:after="120"/>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 </w:t>
            </w:r>
          </w:p>
        </w:tc>
        <w:tc>
          <w:tcPr>
            <w:tcW w:w="4042" w:type="dxa"/>
            <w:tcBorders>
              <w:top w:val="nil"/>
              <w:left w:val="nil"/>
              <w:bottom w:val="nil"/>
              <w:right w:val="nil"/>
            </w:tcBorders>
            <w:shd w:val="clear" w:color="000000" w:fill="FFFFFF"/>
            <w:noWrap/>
            <w:vAlign w:val="bottom"/>
            <w:hideMark/>
          </w:tcPr>
          <w:p w:rsidRPr="00AE1B2B" w:rsidR="009D3FB5" w:rsidP="00163B94" w:rsidRDefault="009D3FB5" w14:paraId="5B44B5F3" w14:textId="77777777">
            <w:pPr>
              <w:spacing w:before="120" w:after="120"/>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 </w:t>
            </w:r>
          </w:p>
        </w:tc>
        <w:tc>
          <w:tcPr>
            <w:tcW w:w="1417" w:type="dxa"/>
            <w:tcBorders>
              <w:top w:val="nil"/>
              <w:left w:val="nil"/>
              <w:bottom w:val="nil"/>
              <w:right w:val="nil"/>
            </w:tcBorders>
            <w:shd w:val="clear" w:color="000000" w:fill="FFFFFF"/>
            <w:noWrap/>
            <w:vAlign w:val="bottom"/>
            <w:hideMark/>
          </w:tcPr>
          <w:p w:rsidRPr="00AE1B2B" w:rsidR="009D3FB5" w:rsidP="00163B94" w:rsidRDefault="009D3FB5" w14:paraId="76051094" w14:textId="77777777">
            <w:pPr>
              <w:spacing w:before="120" w:after="120"/>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 </w:t>
            </w:r>
          </w:p>
        </w:tc>
        <w:tc>
          <w:tcPr>
            <w:tcW w:w="1680" w:type="dxa"/>
            <w:tcBorders>
              <w:top w:val="nil"/>
              <w:left w:val="nil"/>
              <w:bottom w:val="nil"/>
              <w:right w:val="nil"/>
            </w:tcBorders>
            <w:shd w:val="clear" w:color="000000" w:fill="FFFFFF"/>
            <w:noWrap/>
            <w:vAlign w:val="bottom"/>
            <w:hideMark/>
          </w:tcPr>
          <w:p w:rsidRPr="00AE1B2B" w:rsidR="009D3FB5" w:rsidP="00163B94" w:rsidRDefault="009D3FB5" w14:paraId="3B59EDC9" w14:textId="77777777">
            <w:pPr>
              <w:spacing w:before="120" w:after="120"/>
              <w:jc w:val="center"/>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 </w:t>
            </w:r>
          </w:p>
        </w:tc>
        <w:tc>
          <w:tcPr>
            <w:tcW w:w="1297" w:type="dxa"/>
            <w:tcBorders>
              <w:top w:val="nil"/>
              <w:left w:val="nil"/>
              <w:bottom w:val="nil"/>
              <w:right w:val="nil"/>
            </w:tcBorders>
            <w:shd w:val="clear" w:color="000000" w:fill="FFFFFF"/>
            <w:noWrap/>
            <w:vAlign w:val="bottom"/>
            <w:hideMark/>
          </w:tcPr>
          <w:p w:rsidRPr="00AE1B2B" w:rsidR="009D3FB5" w:rsidP="00163B94" w:rsidRDefault="009D3FB5" w14:paraId="040400C7" w14:textId="77777777">
            <w:pPr>
              <w:spacing w:before="120" w:after="120"/>
              <w:jc w:val="center"/>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 </w:t>
            </w:r>
          </w:p>
        </w:tc>
      </w:tr>
      <w:tr w:rsidRPr="00AE1B2B" w:rsidR="00AE1B2B" w:rsidTr="009D3FB5" w14:paraId="3FD845BA" w14:textId="77777777">
        <w:trPr>
          <w:trHeight w:val="276"/>
          <w:jc w:val="center"/>
        </w:trPr>
        <w:tc>
          <w:tcPr>
            <w:tcW w:w="920" w:type="dxa"/>
            <w:tcBorders>
              <w:top w:val="nil"/>
              <w:left w:val="nil"/>
              <w:bottom w:val="nil"/>
              <w:right w:val="nil"/>
            </w:tcBorders>
            <w:shd w:val="clear" w:color="000000" w:fill="FFFFFF"/>
            <w:noWrap/>
            <w:vAlign w:val="bottom"/>
            <w:hideMark/>
          </w:tcPr>
          <w:p w:rsidRPr="00AE1B2B" w:rsidR="009D3FB5" w:rsidP="00163B94" w:rsidRDefault="009D3FB5" w14:paraId="66A3AF89" w14:textId="77777777">
            <w:pPr>
              <w:spacing w:before="120" w:after="120"/>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2.99</w:t>
            </w:r>
          </w:p>
        </w:tc>
        <w:tc>
          <w:tcPr>
            <w:tcW w:w="4042" w:type="dxa"/>
            <w:tcBorders>
              <w:top w:val="nil"/>
              <w:left w:val="nil"/>
              <w:bottom w:val="nil"/>
              <w:right w:val="nil"/>
            </w:tcBorders>
            <w:shd w:val="clear" w:color="000000" w:fill="FFFFFF"/>
            <w:noWrap/>
            <w:vAlign w:val="bottom"/>
            <w:hideMark/>
          </w:tcPr>
          <w:p w:rsidRPr="00AE1B2B" w:rsidR="009D3FB5" w:rsidP="00163B94" w:rsidRDefault="009D3FB5" w14:paraId="309206AB" w14:textId="77777777">
            <w:pPr>
              <w:spacing w:before="120" w:after="120"/>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Útiles, materiales y suministros diversos</w:t>
            </w:r>
          </w:p>
        </w:tc>
        <w:tc>
          <w:tcPr>
            <w:tcW w:w="1417" w:type="dxa"/>
            <w:tcBorders>
              <w:top w:val="nil"/>
              <w:left w:val="nil"/>
              <w:bottom w:val="nil"/>
              <w:right w:val="nil"/>
            </w:tcBorders>
            <w:shd w:val="clear" w:color="auto" w:fill="auto"/>
            <w:noWrap/>
            <w:vAlign w:val="bottom"/>
            <w:hideMark/>
          </w:tcPr>
          <w:p w:rsidRPr="00AE1B2B" w:rsidR="009D3FB5" w:rsidP="00163B94" w:rsidRDefault="009D3FB5" w14:paraId="6D16972C" w14:textId="77777777">
            <w:pPr>
              <w:spacing w:before="120" w:after="120"/>
              <w:jc w:val="right"/>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642,250</w:t>
            </w:r>
          </w:p>
        </w:tc>
        <w:tc>
          <w:tcPr>
            <w:tcW w:w="1680" w:type="dxa"/>
            <w:tcBorders>
              <w:top w:val="nil"/>
              <w:left w:val="nil"/>
              <w:bottom w:val="nil"/>
              <w:right w:val="nil"/>
            </w:tcBorders>
            <w:shd w:val="clear" w:color="auto" w:fill="auto"/>
            <w:noWrap/>
            <w:vAlign w:val="bottom"/>
            <w:hideMark/>
          </w:tcPr>
          <w:p w:rsidRPr="00AE1B2B" w:rsidR="009D3FB5" w:rsidP="00163B94" w:rsidRDefault="009D3FB5" w14:paraId="16B27703" w14:textId="77777777">
            <w:pPr>
              <w:spacing w:before="120" w:after="120"/>
              <w:jc w:val="right"/>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0</w:t>
            </w:r>
          </w:p>
        </w:tc>
        <w:tc>
          <w:tcPr>
            <w:tcW w:w="1297" w:type="dxa"/>
            <w:tcBorders>
              <w:top w:val="nil"/>
              <w:left w:val="nil"/>
              <w:bottom w:val="nil"/>
              <w:right w:val="nil"/>
            </w:tcBorders>
            <w:shd w:val="clear" w:color="auto" w:fill="auto"/>
            <w:noWrap/>
            <w:vAlign w:val="bottom"/>
            <w:hideMark/>
          </w:tcPr>
          <w:p w:rsidRPr="00AE1B2B" w:rsidR="009D3FB5" w:rsidP="00163B94" w:rsidRDefault="009D3FB5" w14:paraId="578C63AA" w14:textId="77777777">
            <w:pPr>
              <w:spacing w:before="120" w:after="120"/>
              <w:jc w:val="right"/>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642,250</w:t>
            </w:r>
          </w:p>
        </w:tc>
      </w:tr>
      <w:tr w:rsidRPr="00AE1B2B" w:rsidR="00AE1B2B" w:rsidTr="009D3FB5" w14:paraId="11C6D727" w14:textId="77777777">
        <w:trPr>
          <w:trHeight w:val="276"/>
          <w:jc w:val="center"/>
        </w:trPr>
        <w:tc>
          <w:tcPr>
            <w:tcW w:w="920" w:type="dxa"/>
            <w:tcBorders>
              <w:top w:val="nil"/>
              <w:left w:val="nil"/>
              <w:bottom w:val="nil"/>
              <w:right w:val="nil"/>
            </w:tcBorders>
            <w:shd w:val="clear" w:color="auto" w:fill="auto"/>
            <w:noWrap/>
            <w:vAlign w:val="bottom"/>
            <w:hideMark/>
          </w:tcPr>
          <w:p w:rsidRPr="00AE1B2B" w:rsidR="009D3FB5" w:rsidP="00163B94" w:rsidRDefault="009D3FB5" w14:paraId="66F7C9A8" w14:textId="77777777">
            <w:pPr>
              <w:spacing w:before="120" w:after="120"/>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2.99.03</w:t>
            </w:r>
          </w:p>
        </w:tc>
        <w:tc>
          <w:tcPr>
            <w:tcW w:w="4042" w:type="dxa"/>
            <w:tcBorders>
              <w:top w:val="nil"/>
              <w:left w:val="nil"/>
              <w:bottom w:val="nil"/>
              <w:right w:val="nil"/>
            </w:tcBorders>
            <w:shd w:val="clear" w:color="auto" w:fill="auto"/>
            <w:noWrap/>
            <w:vAlign w:val="bottom"/>
            <w:hideMark/>
          </w:tcPr>
          <w:p w:rsidRPr="00AE1B2B" w:rsidR="009D3FB5" w:rsidP="00163B94" w:rsidRDefault="009D3FB5" w14:paraId="4B00311C" w14:textId="77777777">
            <w:pPr>
              <w:spacing w:before="120" w:after="120"/>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Productos de papel, cartón e impresos</w:t>
            </w:r>
          </w:p>
        </w:tc>
        <w:tc>
          <w:tcPr>
            <w:tcW w:w="1417" w:type="dxa"/>
            <w:tcBorders>
              <w:top w:val="nil"/>
              <w:left w:val="nil"/>
              <w:bottom w:val="nil"/>
              <w:right w:val="nil"/>
            </w:tcBorders>
            <w:shd w:val="clear" w:color="000000" w:fill="FFFFFF"/>
            <w:noWrap/>
            <w:vAlign w:val="bottom"/>
            <w:hideMark/>
          </w:tcPr>
          <w:p w:rsidRPr="00AE1B2B" w:rsidR="009D3FB5" w:rsidP="00163B94" w:rsidRDefault="009D3FB5" w14:paraId="6168DB68" w14:textId="77777777">
            <w:pPr>
              <w:spacing w:before="120" w:after="120"/>
              <w:jc w:val="right"/>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70,000</w:t>
            </w:r>
          </w:p>
        </w:tc>
        <w:tc>
          <w:tcPr>
            <w:tcW w:w="1680" w:type="dxa"/>
            <w:tcBorders>
              <w:top w:val="nil"/>
              <w:left w:val="nil"/>
              <w:bottom w:val="nil"/>
              <w:right w:val="nil"/>
            </w:tcBorders>
            <w:shd w:val="clear" w:color="000000" w:fill="FFFFFF"/>
            <w:noWrap/>
            <w:vAlign w:val="bottom"/>
            <w:hideMark/>
          </w:tcPr>
          <w:p w:rsidRPr="00AE1B2B" w:rsidR="009D3FB5" w:rsidP="00163B94" w:rsidRDefault="009D3FB5" w14:paraId="0EB615A0" w14:textId="77777777">
            <w:pPr>
              <w:spacing w:before="120" w:after="120"/>
              <w:jc w:val="right"/>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0</w:t>
            </w:r>
          </w:p>
        </w:tc>
        <w:tc>
          <w:tcPr>
            <w:tcW w:w="1297" w:type="dxa"/>
            <w:tcBorders>
              <w:top w:val="nil"/>
              <w:left w:val="nil"/>
              <w:bottom w:val="nil"/>
              <w:right w:val="nil"/>
            </w:tcBorders>
            <w:shd w:val="clear" w:color="auto" w:fill="auto"/>
            <w:noWrap/>
            <w:vAlign w:val="bottom"/>
            <w:hideMark/>
          </w:tcPr>
          <w:p w:rsidRPr="00AE1B2B" w:rsidR="009D3FB5" w:rsidP="00163B94" w:rsidRDefault="009D3FB5" w14:paraId="7A6863BA" w14:textId="77777777">
            <w:pPr>
              <w:spacing w:before="120" w:after="120"/>
              <w:jc w:val="right"/>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70,000</w:t>
            </w:r>
          </w:p>
        </w:tc>
      </w:tr>
      <w:tr w:rsidRPr="00AE1B2B" w:rsidR="00AE1B2B" w:rsidTr="009D3FB5" w14:paraId="3B04A25B" w14:textId="77777777">
        <w:trPr>
          <w:trHeight w:val="276"/>
          <w:jc w:val="center"/>
        </w:trPr>
        <w:tc>
          <w:tcPr>
            <w:tcW w:w="920" w:type="dxa"/>
            <w:tcBorders>
              <w:top w:val="nil"/>
              <w:left w:val="nil"/>
              <w:bottom w:val="nil"/>
              <w:right w:val="nil"/>
            </w:tcBorders>
            <w:shd w:val="clear" w:color="auto" w:fill="auto"/>
            <w:noWrap/>
            <w:vAlign w:val="bottom"/>
            <w:hideMark/>
          </w:tcPr>
          <w:p w:rsidRPr="00AE1B2B" w:rsidR="009D3FB5" w:rsidP="00163B94" w:rsidRDefault="009D3FB5" w14:paraId="14389AF5" w14:textId="77777777">
            <w:pPr>
              <w:spacing w:before="120" w:after="120"/>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2.99.99</w:t>
            </w:r>
          </w:p>
        </w:tc>
        <w:tc>
          <w:tcPr>
            <w:tcW w:w="4042" w:type="dxa"/>
            <w:tcBorders>
              <w:top w:val="nil"/>
              <w:left w:val="nil"/>
              <w:bottom w:val="nil"/>
              <w:right w:val="nil"/>
            </w:tcBorders>
            <w:shd w:val="clear" w:color="auto" w:fill="auto"/>
            <w:noWrap/>
            <w:vAlign w:val="bottom"/>
            <w:hideMark/>
          </w:tcPr>
          <w:p w:rsidRPr="00AE1B2B" w:rsidR="009D3FB5" w:rsidP="00163B94" w:rsidRDefault="009D3FB5" w14:paraId="5A9D6DC9" w14:textId="77777777">
            <w:pPr>
              <w:spacing w:before="120" w:after="120"/>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Otros útiles, materiales y suministros diversos</w:t>
            </w:r>
          </w:p>
        </w:tc>
        <w:tc>
          <w:tcPr>
            <w:tcW w:w="1417" w:type="dxa"/>
            <w:tcBorders>
              <w:top w:val="nil"/>
              <w:left w:val="nil"/>
              <w:bottom w:val="nil"/>
              <w:right w:val="nil"/>
            </w:tcBorders>
            <w:shd w:val="clear" w:color="000000" w:fill="FFFFFF"/>
            <w:noWrap/>
            <w:vAlign w:val="bottom"/>
            <w:hideMark/>
          </w:tcPr>
          <w:p w:rsidRPr="00AE1B2B" w:rsidR="009D3FB5" w:rsidP="00163B94" w:rsidRDefault="009D3FB5" w14:paraId="6489AE7B" w14:textId="77777777">
            <w:pPr>
              <w:spacing w:before="120" w:after="120"/>
              <w:jc w:val="right"/>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572,250</w:t>
            </w:r>
          </w:p>
        </w:tc>
        <w:tc>
          <w:tcPr>
            <w:tcW w:w="1680" w:type="dxa"/>
            <w:tcBorders>
              <w:top w:val="nil"/>
              <w:left w:val="nil"/>
              <w:bottom w:val="nil"/>
              <w:right w:val="nil"/>
            </w:tcBorders>
            <w:shd w:val="clear" w:color="000000" w:fill="FFFFFF"/>
            <w:noWrap/>
            <w:vAlign w:val="bottom"/>
            <w:hideMark/>
          </w:tcPr>
          <w:p w:rsidRPr="00AE1B2B" w:rsidR="009D3FB5" w:rsidP="00163B94" w:rsidRDefault="009D3FB5" w14:paraId="10F78532" w14:textId="77777777">
            <w:pPr>
              <w:spacing w:before="120" w:after="120"/>
              <w:jc w:val="right"/>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0</w:t>
            </w:r>
          </w:p>
        </w:tc>
        <w:tc>
          <w:tcPr>
            <w:tcW w:w="1297" w:type="dxa"/>
            <w:tcBorders>
              <w:top w:val="nil"/>
              <w:left w:val="nil"/>
              <w:bottom w:val="nil"/>
              <w:right w:val="nil"/>
            </w:tcBorders>
            <w:shd w:val="clear" w:color="auto" w:fill="auto"/>
            <w:noWrap/>
            <w:vAlign w:val="bottom"/>
            <w:hideMark/>
          </w:tcPr>
          <w:p w:rsidRPr="00AE1B2B" w:rsidR="009D3FB5" w:rsidP="00163B94" w:rsidRDefault="009D3FB5" w14:paraId="02BD80D8" w14:textId="77777777">
            <w:pPr>
              <w:spacing w:before="120" w:after="120"/>
              <w:jc w:val="right"/>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572,250</w:t>
            </w:r>
          </w:p>
        </w:tc>
      </w:tr>
      <w:tr w:rsidRPr="00AE1B2B" w:rsidR="00AE1B2B" w:rsidTr="009D3FB5" w14:paraId="6AC364EA" w14:textId="77777777">
        <w:trPr>
          <w:trHeight w:val="276"/>
          <w:jc w:val="center"/>
        </w:trPr>
        <w:tc>
          <w:tcPr>
            <w:tcW w:w="920" w:type="dxa"/>
            <w:tcBorders>
              <w:top w:val="nil"/>
              <w:left w:val="nil"/>
              <w:bottom w:val="nil"/>
              <w:right w:val="nil"/>
            </w:tcBorders>
            <w:shd w:val="clear" w:color="auto" w:fill="auto"/>
            <w:noWrap/>
            <w:vAlign w:val="bottom"/>
            <w:hideMark/>
          </w:tcPr>
          <w:p w:rsidRPr="00AE1B2B" w:rsidR="009D3FB5" w:rsidP="00163B94" w:rsidRDefault="009D3FB5" w14:paraId="3BD54644" w14:textId="77777777">
            <w:pPr>
              <w:spacing w:before="120" w:after="120"/>
              <w:jc w:val="right"/>
              <w:rPr>
                <w:rFonts w:ascii="Times New Roman" w:hAnsi="Times New Roman" w:eastAsia="Times New Roman" w:cs="Times New Roman"/>
                <w:i/>
                <w:iCs/>
                <w:lang w:eastAsia="es-CR"/>
              </w:rPr>
            </w:pPr>
          </w:p>
        </w:tc>
        <w:tc>
          <w:tcPr>
            <w:tcW w:w="4042" w:type="dxa"/>
            <w:tcBorders>
              <w:top w:val="nil"/>
              <w:left w:val="nil"/>
              <w:bottom w:val="nil"/>
              <w:right w:val="nil"/>
            </w:tcBorders>
            <w:shd w:val="clear" w:color="auto" w:fill="auto"/>
            <w:noWrap/>
            <w:vAlign w:val="bottom"/>
            <w:hideMark/>
          </w:tcPr>
          <w:p w:rsidRPr="00AE1B2B" w:rsidR="009D3FB5" w:rsidP="00163B94" w:rsidRDefault="009D3FB5" w14:paraId="7FF57AF0" w14:textId="77777777">
            <w:pPr>
              <w:spacing w:before="120" w:after="120"/>
              <w:rPr>
                <w:rFonts w:ascii="Times New Roman" w:hAnsi="Times New Roman"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rsidRPr="00AE1B2B" w:rsidR="009D3FB5" w:rsidP="00163B94" w:rsidRDefault="009D3FB5" w14:paraId="077A3A09" w14:textId="77777777">
            <w:pPr>
              <w:spacing w:before="120" w:after="120"/>
              <w:rPr>
                <w:rFonts w:ascii="Times New Roman" w:hAnsi="Times New Roman"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rsidRPr="00AE1B2B" w:rsidR="009D3FB5" w:rsidP="00163B94" w:rsidRDefault="009D3FB5" w14:paraId="77110DA9" w14:textId="77777777">
            <w:pPr>
              <w:spacing w:before="120" w:after="120"/>
              <w:rPr>
                <w:rFonts w:ascii="Times New Roman" w:hAnsi="Times New Roman"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rsidRPr="00AE1B2B" w:rsidR="009D3FB5" w:rsidP="00163B94" w:rsidRDefault="009D3FB5" w14:paraId="6445F48B" w14:textId="77777777">
            <w:pPr>
              <w:spacing w:before="120" w:after="120"/>
              <w:rPr>
                <w:rFonts w:ascii="Times New Roman" w:hAnsi="Times New Roman" w:eastAsia="Times New Roman" w:cs="Times New Roman"/>
                <w:i/>
                <w:iCs/>
                <w:lang w:eastAsia="es-CR"/>
              </w:rPr>
            </w:pPr>
          </w:p>
        </w:tc>
      </w:tr>
      <w:tr w:rsidRPr="00AE1B2B" w:rsidR="00AE1B2B" w:rsidTr="009D3FB5" w14:paraId="569418F3" w14:textId="77777777">
        <w:trPr>
          <w:trHeight w:val="276"/>
          <w:jc w:val="center"/>
        </w:trPr>
        <w:tc>
          <w:tcPr>
            <w:tcW w:w="920" w:type="dxa"/>
            <w:tcBorders>
              <w:top w:val="nil"/>
              <w:left w:val="nil"/>
              <w:bottom w:val="nil"/>
              <w:right w:val="nil"/>
            </w:tcBorders>
            <w:shd w:val="clear" w:color="000000" w:fill="C0C0C0"/>
            <w:noWrap/>
            <w:vAlign w:val="bottom"/>
            <w:hideMark/>
          </w:tcPr>
          <w:p w:rsidRPr="00AE1B2B" w:rsidR="009D3FB5" w:rsidP="00163B94" w:rsidRDefault="009D3FB5" w14:paraId="65035ED7" w14:textId="77777777">
            <w:pPr>
              <w:spacing w:before="120" w:after="120"/>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5</w:t>
            </w:r>
          </w:p>
        </w:tc>
        <w:tc>
          <w:tcPr>
            <w:tcW w:w="4042" w:type="dxa"/>
            <w:tcBorders>
              <w:top w:val="nil"/>
              <w:left w:val="nil"/>
              <w:bottom w:val="nil"/>
              <w:right w:val="nil"/>
            </w:tcBorders>
            <w:shd w:val="clear" w:color="000000" w:fill="C0C0C0"/>
            <w:noWrap/>
            <w:vAlign w:val="bottom"/>
            <w:hideMark/>
          </w:tcPr>
          <w:p w:rsidRPr="00AE1B2B" w:rsidR="009D3FB5" w:rsidP="00163B94" w:rsidRDefault="009D3FB5" w14:paraId="4D5A4548" w14:textId="77777777">
            <w:pPr>
              <w:spacing w:before="120" w:after="120"/>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BIENES DURADEROS</w:t>
            </w:r>
          </w:p>
        </w:tc>
        <w:tc>
          <w:tcPr>
            <w:tcW w:w="1417" w:type="dxa"/>
            <w:tcBorders>
              <w:top w:val="nil"/>
              <w:left w:val="nil"/>
              <w:bottom w:val="nil"/>
              <w:right w:val="nil"/>
            </w:tcBorders>
            <w:shd w:val="clear" w:color="000000" w:fill="BFBFBF"/>
            <w:noWrap/>
            <w:vAlign w:val="bottom"/>
            <w:hideMark/>
          </w:tcPr>
          <w:p w:rsidRPr="00AE1B2B" w:rsidR="009D3FB5" w:rsidP="00163B94" w:rsidRDefault="009D3FB5" w14:paraId="1B20B992" w14:textId="77777777">
            <w:pPr>
              <w:spacing w:before="120" w:after="120"/>
              <w:jc w:val="right"/>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0</w:t>
            </w:r>
          </w:p>
        </w:tc>
        <w:tc>
          <w:tcPr>
            <w:tcW w:w="1680" w:type="dxa"/>
            <w:tcBorders>
              <w:top w:val="nil"/>
              <w:left w:val="nil"/>
              <w:bottom w:val="nil"/>
              <w:right w:val="nil"/>
            </w:tcBorders>
            <w:shd w:val="clear" w:color="000000" w:fill="BFBFBF"/>
            <w:noWrap/>
            <w:vAlign w:val="bottom"/>
            <w:hideMark/>
          </w:tcPr>
          <w:p w:rsidRPr="00AE1B2B" w:rsidR="009D3FB5" w:rsidP="00163B94" w:rsidRDefault="009D3FB5" w14:paraId="517BC46B" w14:textId="77777777">
            <w:pPr>
              <w:spacing w:before="120" w:after="120"/>
              <w:jc w:val="right"/>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3,507,664</w:t>
            </w:r>
          </w:p>
        </w:tc>
        <w:tc>
          <w:tcPr>
            <w:tcW w:w="1297" w:type="dxa"/>
            <w:tcBorders>
              <w:top w:val="nil"/>
              <w:left w:val="nil"/>
              <w:bottom w:val="nil"/>
              <w:right w:val="nil"/>
            </w:tcBorders>
            <w:shd w:val="clear" w:color="000000" w:fill="BFBFBF"/>
            <w:noWrap/>
            <w:vAlign w:val="bottom"/>
            <w:hideMark/>
          </w:tcPr>
          <w:p w:rsidRPr="00AE1B2B" w:rsidR="009D3FB5" w:rsidP="00163B94" w:rsidRDefault="009D3FB5" w14:paraId="142B276C" w14:textId="77777777">
            <w:pPr>
              <w:spacing w:before="120" w:after="120"/>
              <w:jc w:val="right"/>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3,507,664</w:t>
            </w:r>
          </w:p>
        </w:tc>
      </w:tr>
      <w:tr w:rsidRPr="00AE1B2B" w:rsidR="00AE1B2B" w:rsidTr="009D3FB5" w14:paraId="3125B60F" w14:textId="77777777">
        <w:trPr>
          <w:trHeight w:val="276"/>
          <w:jc w:val="center"/>
        </w:trPr>
        <w:tc>
          <w:tcPr>
            <w:tcW w:w="920" w:type="dxa"/>
            <w:tcBorders>
              <w:top w:val="nil"/>
              <w:left w:val="nil"/>
              <w:bottom w:val="nil"/>
              <w:right w:val="nil"/>
            </w:tcBorders>
            <w:shd w:val="clear" w:color="auto" w:fill="auto"/>
            <w:noWrap/>
            <w:vAlign w:val="bottom"/>
            <w:hideMark/>
          </w:tcPr>
          <w:p w:rsidRPr="00AE1B2B" w:rsidR="009D3FB5" w:rsidP="00163B94" w:rsidRDefault="009D3FB5" w14:paraId="0A8DFD65" w14:textId="77777777">
            <w:pPr>
              <w:spacing w:before="120" w:after="120"/>
              <w:jc w:val="right"/>
              <w:rPr>
                <w:rFonts w:ascii="Times New Roman" w:hAnsi="Times New Roman" w:eastAsia="Times New Roman" w:cs="Times New Roman"/>
                <w:b/>
                <w:bCs/>
                <w:i/>
                <w:iCs/>
                <w:lang w:eastAsia="es-CR"/>
              </w:rPr>
            </w:pPr>
          </w:p>
        </w:tc>
        <w:tc>
          <w:tcPr>
            <w:tcW w:w="4042" w:type="dxa"/>
            <w:tcBorders>
              <w:top w:val="nil"/>
              <w:left w:val="nil"/>
              <w:bottom w:val="nil"/>
              <w:right w:val="nil"/>
            </w:tcBorders>
            <w:shd w:val="clear" w:color="auto" w:fill="auto"/>
            <w:noWrap/>
            <w:vAlign w:val="bottom"/>
            <w:hideMark/>
          </w:tcPr>
          <w:p w:rsidRPr="00AE1B2B" w:rsidR="009D3FB5" w:rsidP="00163B94" w:rsidRDefault="009D3FB5" w14:paraId="043EBA60" w14:textId="77777777">
            <w:pPr>
              <w:spacing w:before="120" w:after="120"/>
              <w:rPr>
                <w:rFonts w:ascii="Times New Roman" w:hAnsi="Times New Roman"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rsidRPr="00AE1B2B" w:rsidR="009D3FB5" w:rsidP="00163B94" w:rsidRDefault="009D3FB5" w14:paraId="7580AE91" w14:textId="77777777">
            <w:pPr>
              <w:spacing w:before="120" w:after="120"/>
              <w:rPr>
                <w:rFonts w:ascii="Times New Roman" w:hAnsi="Times New Roman"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rsidRPr="00AE1B2B" w:rsidR="009D3FB5" w:rsidP="00163B94" w:rsidRDefault="009D3FB5" w14:paraId="64B5EBA2" w14:textId="77777777">
            <w:pPr>
              <w:spacing w:before="120" w:after="120"/>
              <w:rPr>
                <w:rFonts w:ascii="Times New Roman" w:hAnsi="Times New Roman"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rsidRPr="00AE1B2B" w:rsidR="009D3FB5" w:rsidP="00163B94" w:rsidRDefault="009D3FB5" w14:paraId="321D828A" w14:textId="77777777">
            <w:pPr>
              <w:spacing w:before="120" w:after="120"/>
              <w:rPr>
                <w:rFonts w:ascii="Times New Roman" w:hAnsi="Times New Roman" w:eastAsia="Times New Roman" w:cs="Times New Roman"/>
                <w:i/>
                <w:iCs/>
                <w:lang w:eastAsia="es-CR"/>
              </w:rPr>
            </w:pPr>
          </w:p>
        </w:tc>
      </w:tr>
      <w:tr w:rsidRPr="00AE1B2B" w:rsidR="00AE1B2B" w:rsidTr="009D3FB5" w14:paraId="6696F100" w14:textId="77777777">
        <w:trPr>
          <w:trHeight w:val="276"/>
          <w:jc w:val="center"/>
        </w:trPr>
        <w:tc>
          <w:tcPr>
            <w:tcW w:w="920" w:type="dxa"/>
            <w:tcBorders>
              <w:top w:val="nil"/>
              <w:left w:val="nil"/>
              <w:bottom w:val="nil"/>
              <w:right w:val="nil"/>
            </w:tcBorders>
            <w:shd w:val="clear" w:color="auto" w:fill="auto"/>
            <w:noWrap/>
            <w:vAlign w:val="bottom"/>
            <w:hideMark/>
          </w:tcPr>
          <w:p w:rsidRPr="00AE1B2B" w:rsidR="009D3FB5" w:rsidP="00163B94" w:rsidRDefault="009D3FB5" w14:paraId="0EC633B2" w14:textId="77777777">
            <w:pPr>
              <w:spacing w:before="120" w:after="120"/>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5.01</w:t>
            </w:r>
          </w:p>
        </w:tc>
        <w:tc>
          <w:tcPr>
            <w:tcW w:w="4042" w:type="dxa"/>
            <w:tcBorders>
              <w:top w:val="nil"/>
              <w:left w:val="nil"/>
              <w:bottom w:val="nil"/>
              <w:right w:val="nil"/>
            </w:tcBorders>
            <w:shd w:val="clear" w:color="auto" w:fill="auto"/>
            <w:noWrap/>
            <w:vAlign w:val="bottom"/>
            <w:hideMark/>
          </w:tcPr>
          <w:p w:rsidRPr="00AE1B2B" w:rsidR="009D3FB5" w:rsidP="00163B94" w:rsidRDefault="009D3FB5" w14:paraId="64B9E9C3" w14:textId="77777777">
            <w:pPr>
              <w:spacing w:before="120" w:after="120"/>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Maquinaria, Equipo y Mobiliario</w:t>
            </w:r>
          </w:p>
        </w:tc>
        <w:tc>
          <w:tcPr>
            <w:tcW w:w="1417" w:type="dxa"/>
            <w:tcBorders>
              <w:top w:val="nil"/>
              <w:left w:val="nil"/>
              <w:bottom w:val="nil"/>
              <w:right w:val="nil"/>
            </w:tcBorders>
            <w:shd w:val="clear" w:color="auto" w:fill="auto"/>
            <w:noWrap/>
            <w:vAlign w:val="bottom"/>
            <w:hideMark/>
          </w:tcPr>
          <w:p w:rsidRPr="00AE1B2B" w:rsidR="009D3FB5" w:rsidP="00163B94" w:rsidRDefault="009D3FB5" w14:paraId="4B49BD39" w14:textId="77777777">
            <w:pPr>
              <w:spacing w:before="120" w:after="120"/>
              <w:jc w:val="right"/>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0</w:t>
            </w:r>
          </w:p>
        </w:tc>
        <w:tc>
          <w:tcPr>
            <w:tcW w:w="1680" w:type="dxa"/>
            <w:tcBorders>
              <w:top w:val="nil"/>
              <w:left w:val="nil"/>
              <w:bottom w:val="nil"/>
              <w:right w:val="nil"/>
            </w:tcBorders>
            <w:shd w:val="clear" w:color="auto" w:fill="auto"/>
            <w:noWrap/>
            <w:vAlign w:val="bottom"/>
            <w:hideMark/>
          </w:tcPr>
          <w:p w:rsidRPr="00AE1B2B" w:rsidR="009D3FB5" w:rsidP="00163B94" w:rsidRDefault="009D3FB5" w14:paraId="66ED1650" w14:textId="77777777">
            <w:pPr>
              <w:spacing w:before="120" w:after="120"/>
              <w:jc w:val="right"/>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3,507,664</w:t>
            </w:r>
          </w:p>
        </w:tc>
        <w:tc>
          <w:tcPr>
            <w:tcW w:w="1297" w:type="dxa"/>
            <w:tcBorders>
              <w:top w:val="nil"/>
              <w:left w:val="nil"/>
              <w:bottom w:val="nil"/>
              <w:right w:val="nil"/>
            </w:tcBorders>
            <w:shd w:val="clear" w:color="auto" w:fill="auto"/>
            <w:noWrap/>
            <w:vAlign w:val="bottom"/>
            <w:hideMark/>
          </w:tcPr>
          <w:p w:rsidRPr="00AE1B2B" w:rsidR="009D3FB5" w:rsidP="00163B94" w:rsidRDefault="009D3FB5" w14:paraId="307DD667" w14:textId="77777777">
            <w:pPr>
              <w:spacing w:before="120" w:after="120"/>
              <w:jc w:val="right"/>
              <w:rPr>
                <w:rFonts w:ascii="Times New Roman" w:hAnsi="Times New Roman" w:eastAsia="Times New Roman" w:cs="Times New Roman"/>
                <w:b/>
                <w:bCs/>
                <w:i/>
                <w:iCs/>
                <w:lang w:eastAsia="es-CR"/>
              </w:rPr>
            </w:pPr>
            <w:r w:rsidRPr="00AE1B2B">
              <w:rPr>
                <w:rFonts w:ascii="Times New Roman" w:hAnsi="Times New Roman" w:eastAsia="Times New Roman" w:cs="Times New Roman"/>
                <w:b/>
                <w:bCs/>
                <w:i/>
                <w:iCs/>
                <w:lang w:eastAsia="es-CR"/>
              </w:rPr>
              <w:t>3,507,664</w:t>
            </w:r>
          </w:p>
        </w:tc>
      </w:tr>
      <w:tr w:rsidRPr="00AE1B2B" w:rsidR="00AE1B2B" w:rsidTr="009D3FB5" w14:paraId="78AF6FD0" w14:textId="77777777">
        <w:trPr>
          <w:trHeight w:val="276"/>
          <w:jc w:val="center"/>
        </w:trPr>
        <w:tc>
          <w:tcPr>
            <w:tcW w:w="920" w:type="dxa"/>
            <w:tcBorders>
              <w:top w:val="nil"/>
              <w:left w:val="nil"/>
              <w:bottom w:val="nil"/>
              <w:right w:val="nil"/>
            </w:tcBorders>
            <w:shd w:val="clear" w:color="000000" w:fill="FFFFFF"/>
            <w:noWrap/>
            <w:vAlign w:val="bottom"/>
            <w:hideMark/>
          </w:tcPr>
          <w:p w:rsidRPr="00AE1B2B" w:rsidR="009D3FB5" w:rsidP="00163B94" w:rsidRDefault="009D3FB5" w14:paraId="47A8870F" w14:textId="77777777">
            <w:pPr>
              <w:spacing w:before="120" w:after="120"/>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5.01.04</w:t>
            </w:r>
          </w:p>
        </w:tc>
        <w:tc>
          <w:tcPr>
            <w:tcW w:w="4042" w:type="dxa"/>
            <w:tcBorders>
              <w:top w:val="nil"/>
              <w:left w:val="nil"/>
              <w:bottom w:val="nil"/>
              <w:right w:val="nil"/>
            </w:tcBorders>
            <w:shd w:val="clear" w:color="auto" w:fill="auto"/>
            <w:noWrap/>
            <w:vAlign w:val="bottom"/>
            <w:hideMark/>
          </w:tcPr>
          <w:p w:rsidRPr="00AE1B2B" w:rsidR="009D3FB5" w:rsidP="00163B94" w:rsidRDefault="009D3FB5" w14:paraId="2752202B" w14:textId="77777777">
            <w:pPr>
              <w:spacing w:before="120" w:after="120"/>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Equipo y mobiliario de oficina</w:t>
            </w:r>
          </w:p>
        </w:tc>
        <w:tc>
          <w:tcPr>
            <w:tcW w:w="1417" w:type="dxa"/>
            <w:tcBorders>
              <w:top w:val="nil"/>
              <w:left w:val="nil"/>
              <w:bottom w:val="nil"/>
              <w:right w:val="nil"/>
            </w:tcBorders>
            <w:shd w:val="clear" w:color="auto" w:fill="auto"/>
            <w:noWrap/>
            <w:vAlign w:val="bottom"/>
            <w:hideMark/>
          </w:tcPr>
          <w:p w:rsidRPr="00AE1B2B" w:rsidR="009D3FB5" w:rsidP="00163B94" w:rsidRDefault="009D3FB5" w14:paraId="14A8E3AC" w14:textId="77777777">
            <w:pPr>
              <w:spacing w:before="120" w:after="120"/>
              <w:rPr>
                <w:rFonts w:ascii="Times New Roman" w:hAnsi="Times New Roman"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rsidRPr="00AE1B2B" w:rsidR="009D3FB5" w:rsidP="00163B94" w:rsidRDefault="009D3FB5" w14:paraId="2E32ECFE" w14:textId="77777777">
            <w:pPr>
              <w:spacing w:before="120" w:after="120"/>
              <w:jc w:val="right"/>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3,507,664</w:t>
            </w:r>
          </w:p>
        </w:tc>
        <w:tc>
          <w:tcPr>
            <w:tcW w:w="1297" w:type="dxa"/>
            <w:tcBorders>
              <w:top w:val="nil"/>
              <w:left w:val="nil"/>
              <w:bottom w:val="nil"/>
              <w:right w:val="nil"/>
            </w:tcBorders>
            <w:shd w:val="clear" w:color="auto" w:fill="auto"/>
            <w:noWrap/>
            <w:vAlign w:val="bottom"/>
            <w:hideMark/>
          </w:tcPr>
          <w:p w:rsidRPr="00AE1B2B" w:rsidR="009D3FB5" w:rsidP="00163B94" w:rsidRDefault="009D3FB5" w14:paraId="72BA85E4" w14:textId="77777777">
            <w:pPr>
              <w:spacing w:before="120" w:after="120"/>
              <w:jc w:val="right"/>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3,507,664</w:t>
            </w:r>
          </w:p>
        </w:tc>
      </w:tr>
      <w:tr w:rsidRPr="00AE1B2B" w:rsidR="00AE1B2B" w:rsidTr="009D3FB5" w14:paraId="059B736D" w14:textId="77777777">
        <w:trPr>
          <w:trHeight w:val="276"/>
          <w:jc w:val="center"/>
        </w:trPr>
        <w:tc>
          <w:tcPr>
            <w:tcW w:w="920" w:type="dxa"/>
            <w:tcBorders>
              <w:top w:val="nil"/>
              <w:left w:val="nil"/>
              <w:bottom w:val="nil"/>
              <w:right w:val="nil"/>
            </w:tcBorders>
            <w:shd w:val="clear" w:color="000000" w:fill="FFFFFF"/>
            <w:noWrap/>
            <w:vAlign w:val="bottom"/>
            <w:hideMark/>
          </w:tcPr>
          <w:p w:rsidRPr="00AE1B2B" w:rsidR="009D3FB5" w:rsidP="00163B94" w:rsidRDefault="009D3FB5" w14:paraId="7D6185A8" w14:textId="77777777">
            <w:pPr>
              <w:spacing w:before="120" w:after="120"/>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5.01.05</w:t>
            </w:r>
          </w:p>
        </w:tc>
        <w:tc>
          <w:tcPr>
            <w:tcW w:w="4042" w:type="dxa"/>
            <w:tcBorders>
              <w:top w:val="nil"/>
              <w:left w:val="nil"/>
              <w:bottom w:val="nil"/>
              <w:right w:val="nil"/>
            </w:tcBorders>
            <w:shd w:val="clear" w:color="auto" w:fill="auto"/>
            <w:noWrap/>
            <w:vAlign w:val="bottom"/>
            <w:hideMark/>
          </w:tcPr>
          <w:p w:rsidRPr="00AE1B2B" w:rsidR="009D3FB5" w:rsidP="00163B94" w:rsidRDefault="009D3FB5" w14:paraId="21516B0E" w14:textId="77777777">
            <w:pPr>
              <w:spacing w:before="120" w:after="120"/>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Equipo de cómputo</w:t>
            </w:r>
          </w:p>
        </w:tc>
        <w:tc>
          <w:tcPr>
            <w:tcW w:w="1417" w:type="dxa"/>
            <w:tcBorders>
              <w:top w:val="nil"/>
              <w:left w:val="nil"/>
              <w:bottom w:val="nil"/>
              <w:right w:val="nil"/>
            </w:tcBorders>
            <w:shd w:val="clear" w:color="auto" w:fill="auto"/>
            <w:noWrap/>
            <w:vAlign w:val="bottom"/>
            <w:hideMark/>
          </w:tcPr>
          <w:p w:rsidRPr="00AE1B2B" w:rsidR="009D3FB5" w:rsidP="00163B94" w:rsidRDefault="009D3FB5" w14:paraId="4B84B6A7" w14:textId="77777777">
            <w:pPr>
              <w:spacing w:before="120" w:after="120"/>
              <w:rPr>
                <w:rFonts w:ascii="Times New Roman" w:hAnsi="Times New Roman"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rsidRPr="00AE1B2B" w:rsidR="009D3FB5" w:rsidP="00163B94" w:rsidRDefault="009D3FB5" w14:paraId="3D5FF1D8" w14:textId="77777777">
            <w:pPr>
              <w:spacing w:before="120" w:after="120"/>
              <w:jc w:val="right"/>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0</w:t>
            </w:r>
          </w:p>
        </w:tc>
        <w:tc>
          <w:tcPr>
            <w:tcW w:w="1297" w:type="dxa"/>
            <w:tcBorders>
              <w:top w:val="nil"/>
              <w:left w:val="nil"/>
              <w:bottom w:val="nil"/>
              <w:right w:val="nil"/>
            </w:tcBorders>
            <w:shd w:val="clear" w:color="auto" w:fill="auto"/>
            <w:noWrap/>
            <w:vAlign w:val="bottom"/>
            <w:hideMark/>
          </w:tcPr>
          <w:p w:rsidRPr="00AE1B2B" w:rsidR="009D3FB5" w:rsidP="00163B94" w:rsidRDefault="009D3FB5" w14:paraId="24CDC8C2" w14:textId="77777777">
            <w:pPr>
              <w:spacing w:before="120" w:after="120"/>
              <w:jc w:val="right"/>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0</w:t>
            </w:r>
          </w:p>
        </w:tc>
      </w:tr>
      <w:tr w:rsidRPr="00AE1B2B" w:rsidR="00AE1B2B" w:rsidTr="009D3FB5" w14:paraId="2A05D05A" w14:textId="77777777">
        <w:trPr>
          <w:trHeight w:val="276"/>
          <w:jc w:val="center"/>
        </w:trPr>
        <w:tc>
          <w:tcPr>
            <w:tcW w:w="920" w:type="dxa"/>
            <w:tcBorders>
              <w:top w:val="nil"/>
              <w:left w:val="nil"/>
              <w:bottom w:val="nil"/>
              <w:right w:val="nil"/>
            </w:tcBorders>
            <w:shd w:val="clear" w:color="000000" w:fill="FFFFFF"/>
            <w:noWrap/>
            <w:vAlign w:val="bottom"/>
            <w:hideMark/>
          </w:tcPr>
          <w:p w:rsidRPr="00AE1B2B" w:rsidR="009D3FB5" w:rsidP="00163B94" w:rsidRDefault="009D3FB5" w14:paraId="37A7D1DF" w14:textId="77777777">
            <w:pPr>
              <w:spacing w:before="120" w:after="120"/>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5.01.07</w:t>
            </w:r>
          </w:p>
        </w:tc>
        <w:tc>
          <w:tcPr>
            <w:tcW w:w="4042" w:type="dxa"/>
            <w:tcBorders>
              <w:top w:val="nil"/>
              <w:left w:val="nil"/>
              <w:bottom w:val="nil"/>
              <w:right w:val="nil"/>
            </w:tcBorders>
            <w:shd w:val="clear" w:color="auto" w:fill="auto"/>
            <w:noWrap/>
            <w:vAlign w:val="bottom"/>
            <w:hideMark/>
          </w:tcPr>
          <w:p w:rsidRPr="00AE1B2B" w:rsidR="009D3FB5" w:rsidP="00163B94" w:rsidRDefault="009D3FB5" w14:paraId="3C2B3779" w14:textId="77777777">
            <w:pPr>
              <w:spacing w:before="120" w:after="120"/>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Equipo y mobiliario educacional, deportivo y recreativo</w:t>
            </w:r>
          </w:p>
        </w:tc>
        <w:tc>
          <w:tcPr>
            <w:tcW w:w="1417" w:type="dxa"/>
            <w:tcBorders>
              <w:top w:val="nil"/>
              <w:left w:val="nil"/>
              <w:bottom w:val="nil"/>
              <w:right w:val="nil"/>
            </w:tcBorders>
            <w:shd w:val="clear" w:color="auto" w:fill="auto"/>
            <w:noWrap/>
            <w:vAlign w:val="bottom"/>
            <w:hideMark/>
          </w:tcPr>
          <w:p w:rsidRPr="00AE1B2B" w:rsidR="009D3FB5" w:rsidP="00163B94" w:rsidRDefault="009D3FB5" w14:paraId="60FBE02B" w14:textId="77777777">
            <w:pPr>
              <w:spacing w:before="120" w:after="120"/>
              <w:rPr>
                <w:rFonts w:ascii="Times New Roman" w:hAnsi="Times New Roman"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rsidRPr="00AE1B2B" w:rsidR="009D3FB5" w:rsidP="00163B94" w:rsidRDefault="009D3FB5" w14:paraId="39D3A8D7" w14:textId="77777777">
            <w:pPr>
              <w:spacing w:before="120" w:after="120"/>
              <w:jc w:val="right"/>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0</w:t>
            </w:r>
          </w:p>
        </w:tc>
        <w:tc>
          <w:tcPr>
            <w:tcW w:w="1297" w:type="dxa"/>
            <w:tcBorders>
              <w:top w:val="nil"/>
              <w:left w:val="nil"/>
              <w:bottom w:val="nil"/>
              <w:right w:val="nil"/>
            </w:tcBorders>
            <w:shd w:val="clear" w:color="auto" w:fill="auto"/>
            <w:noWrap/>
            <w:vAlign w:val="bottom"/>
            <w:hideMark/>
          </w:tcPr>
          <w:p w:rsidRPr="00AE1B2B" w:rsidR="009D3FB5" w:rsidP="00163B94" w:rsidRDefault="009D3FB5" w14:paraId="08010412" w14:textId="77777777">
            <w:pPr>
              <w:spacing w:before="120" w:after="120"/>
              <w:jc w:val="right"/>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0</w:t>
            </w:r>
          </w:p>
        </w:tc>
      </w:tr>
      <w:tr w:rsidRPr="00AE1B2B" w:rsidR="00AE1B2B" w:rsidTr="009D3FB5" w14:paraId="762D7E73" w14:textId="77777777">
        <w:trPr>
          <w:trHeight w:val="276"/>
          <w:jc w:val="center"/>
        </w:trPr>
        <w:tc>
          <w:tcPr>
            <w:tcW w:w="920" w:type="dxa"/>
            <w:tcBorders>
              <w:top w:val="nil"/>
              <w:left w:val="nil"/>
              <w:bottom w:val="nil"/>
              <w:right w:val="nil"/>
            </w:tcBorders>
            <w:shd w:val="clear" w:color="000000" w:fill="FFFFFF"/>
            <w:noWrap/>
            <w:vAlign w:val="bottom"/>
            <w:hideMark/>
          </w:tcPr>
          <w:p w:rsidRPr="00AE1B2B" w:rsidR="009D3FB5" w:rsidP="00163B94" w:rsidRDefault="009D3FB5" w14:paraId="3C16CDCF" w14:textId="77777777">
            <w:pPr>
              <w:spacing w:before="120" w:after="120"/>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5.01.99</w:t>
            </w:r>
          </w:p>
        </w:tc>
        <w:tc>
          <w:tcPr>
            <w:tcW w:w="4042" w:type="dxa"/>
            <w:tcBorders>
              <w:top w:val="nil"/>
              <w:left w:val="nil"/>
              <w:bottom w:val="nil"/>
              <w:right w:val="nil"/>
            </w:tcBorders>
            <w:shd w:val="clear" w:color="auto" w:fill="auto"/>
            <w:noWrap/>
            <w:vAlign w:val="bottom"/>
            <w:hideMark/>
          </w:tcPr>
          <w:p w:rsidRPr="00AE1B2B" w:rsidR="009D3FB5" w:rsidP="00163B94" w:rsidRDefault="009D3FB5" w14:paraId="51E2521E" w14:textId="77777777">
            <w:pPr>
              <w:spacing w:before="120" w:after="120"/>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Maquinaria, equipo y mobiliario diverso</w:t>
            </w:r>
          </w:p>
        </w:tc>
        <w:tc>
          <w:tcPr>
            <w:tcW w:w="1417" w:type="dxa"/>
            <w:tcBorders>
              <w:top w:val="nil"/>
              <w:left w:val="nil"/>
              <w:bottom w:val="nil"/>
              <w:right w:val="nil"/>
            </w:tcBorders>
            <w:shd w:val="clear" w:color="auto" w:fill="auto"/>
            <w:noWrap/>
            <w:vAlign w:val="bottom"/>
            <w:hideMark/>
          </w:tcPr>
          <w:p w:rsidRPr="00AE1B2B" w:rsidR="009D3FB5" w:rsidP="00163B94" w:rsidRDefault="009D3FB5" w14:paraId="72753385" w14:textId="77777777">
            <w:pPr>
              <w:spacing w:before="120" w:after="120"/>
              <w:rPr>
                <w:rFonts w:ascii="Times New Roman" w:hAnsi="Times New Roman"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rsidRPr="00AE1B2B" w:rsidR="009D3FB5" w:rsidP="00163B94" w:rsidRDefault="009D3FB5" w14:paraId="1546615E" w14:textId="77777777">
            <w:pPr>
              <w:spacing w:before="120" w:after="120"/>
              <w:jc w:val="right"/>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0</w:t>
            </w:r>
          </w:p>
        </w:tc>
        <w:tc>
          <w:tcPr>
            <w:tcW w:w="1297" w:type="dxa"/>
            <w:tcBorders>
              <w:top w:val="nil"/>
              <w:left w:val="nil"/>
              <w:bottom w:val="nil"/>
              <w:right w:val="nil"/>
            </w:tcBorders>
            <w:shd w:val="clear" w:color="auto" w:fill="auto"/>
            <w:noWrap/>
            <w:vAlign w:val="bottom"/>
            <w:hideMark/>
          </w:tcPr>
          <w:p w:rsidRPr="00AE1B2B" w:rsidR="009D3FB5" w:rsidP="00163B94" w:rsidRDefault="009D3FB5" w14:paraId="481203ED" w14:textId="77777777">
            <w:pPr>
              <w:spacing w:before="120" w:after="120"/>
              <w:jc w:val="right"/>
              <w:rPr>
                <w:rFonts w:ascii="Times New Roman" w:hAnsi="Times New Roman" w:eastAsia="Times New Roman" w:cs="Times New Roman"/>
                <w:i/>
                <w:iCs/>
                <w:lang w:eastAsia="es-CR"/>
              </w:rPr>
            </w:pPr>
            <w:r w:rsidRPr="00AE1B2B">
              <w:rPr>
                <w:rFonts w:ascii="Times New Roman" w:hAnsi="Times New Roman" w:eastAsia="Times New Roman" w:cs="Times New Roman"/>
                <w:i/>
                <w:iCs/>
                <w:lang w:eastAsia="es-CR"/>
              </w:rPr>
              <w:t>0</w:t>
            </w:r>
          </w:p>
        </w:tc>
      </w:tr>
      <w:tr w:rsidRPr="00AE1B2B" w:rsidR="009D3FB5" w:rsidTr="009D3FB5" w14:paraId="3BE57E8A" w14:textId="77777777">
        <w:trPr>
          <w:trHeight w:val="276"/>
          <w:jc w:val="center"/>
        </w:trPr>
        <w:tc>
          <w:tcPr>
            <w:tcW w:w="920" w:type="dxa"/>
            <w:tcBorders>
              <w:top w:val="nil"/>
              <w:left w:val="nil"/>
              <w:bottom w:val="nil"/>
              <w:right w:val="nil"/>
            </w:tcBorders>
            <w:shd w:val="clear" w:color="auto" w:fill="auto"/>
            <w:noWrap/>
            <w:vAlign w:val="bottom"/>
            <w:hideMark/>
          </w:tcPr>
          <w:p w:rsidRPr="00AE1B2B" w:rsidR="009D3FB5" w:rsidP="00163B94" w:rsidRDefault="009D3FB5" w14:paraId="4A58FC6F" w14:textId="77777777">
            <w:pPr>
              <w:spacing w:before="120" w:after="120"/>
              <w:jc w:val="right"/>
              <w:rPr>
                <w:rFonts w:ascii="Times New Roman" w:hAnsi="Times New Roman" w:eastAsia="Times New Roman" w:cs="Times New Roman"/>
                <w:i/>
                <w:iCs/>
                <w:lang w:eastAsia="es-CR"/>
              </w:rPr>
            </w:pPr>
          </w:p>
        </w:tc>
        <w:tc>
          <w:tcPr>
            <w:tcW w:w="4042" w:type="dxa"/>
            <w:tcBorders>
              <w:top w:val="nil"/>
              <w:left w:val="nil"/>
              <w:bottom w:val="nil"/>
              <w:right w:val="nil"/>
            </w:tcBorders>
            <w:shd w:val="clear" w:color="auto" w:fill="auto"/>
            <w:noWrap/>
            <w:vAlign w:val="bottom"/>
            <w:hideMark/>
          </w:tcPr>
          <w:p w:rsidRPr="00AE1B2B" w:rsidR="009D3FB5" w:rsidP="00163B94" w:rsidRDefault="009D3FB5" w14:paraId="52D91580" w14:textId="77777777">
            <w:pPr>
              <w:spacing w:before="120" w:after="120"/>
              <w:rPr>
                <w:rFonts w:ascii="Times New Roman" w:hAnsi="Times New Roman"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rsidRPr="00AE1B2B" w:rsidR="009D3FB5" w:rsidP="00163B94" w:rsidRDefault="009D3FB5" w14:paraId="6D1AADE8" w14:textId="77777777">
            <w:pPr>
              <w:spacing w:before="120" w:after="120"/>
              <w:rPr>
                <w:rFonts w:ascii="Times New Roman" w:hAnsi="Times New Roman"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rsidRPr="00AE1B2B" w:rsidR="009D3FB5" w:rsidP="00163B94" w:rsidRDefault="009D3FB5" w14:paraId="338E9864" w14:textId="77777777">
            <w:pPr>
              <w:spacing w:before="120" w:after="120"/>
              <w:rPr>
                <w:rFonts w:ascii="Times New Roman" w:hAnsi="Times New Roman"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rsidRPr="00AE1B2B" w:rsidR="009D3FB5" w:rsidP="00163B94" w:rsidRDefault="009D3FB5" w14:paraId="0078F898" w14:textId="77777777">
            <w:pPr>
              <w:spacing w:before="120" w:after="120"/>
              <w:rPr>
                <w:rFonts w:ascii="Times New Roman" w:hAnsi="Times New Roman" w:eastAsia="Times New Roman" w:cs="Times New Roman"/>
                <w:i/>
                <w:iCs/>
                <w:lang w:eastAsia="es-CR"/>
              </w:rPr>
            </w:pPr>
          </w:p>
        </w:tc>
      </w:tr>
    </w:tbl>
    <w:p w:rsidRPr="00AE1B2B" w:rsidR="009D3FB5" w:rsidP="00163B94" w:rsidRDefault="009D3FB5" w14:paraId="6E344B20" w14:textId="77777777">
      <w:pPr>
        <w:spacing w:before="120" w:after="120" w:line="276" w:lineRule="auto"/>
        <w:rPr>
          <w:rFonts w:ascii="Times New Roman" w:hAnsi="Times New Roman" w:cs="Times New Roman"/>
          <w:sz w:val="24"/>
          <w:szCs w:val="24"/>
        </w:rPr>
      </w:pPr>
    </w:p>
    <w:p w:rsidRPr="00AE1B2B" w:rsidR="009D3FB5" w:rsidP="00163B94" w:rsidRDefault="009D3FB5" w14:paraId="6732EB8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Nota: Se aclara que el monto para </w:t>
      </w:r>
      <w:r w:rsidRPr="00AE1B2B">
        <w:rPr>
          <w:rFonts w:ascii="Times New Roman" w:hAnsi="Times New Roman" w:cs="Times New Roman"/>
          <w:i/>
          <w:iCs/>
          <w:sz w:val="26"/>
          <w:szCs w:val="26"/>
        </w:rPr>
        <w:t>“equipo y mobiliario”</w:t>
      </w:r>
      <w:r w:rsidRPr="00AE1B2B">
        <w:rPr>
          <w:rFonts w:ascii="Times New Roman" w:hAnsi="Times New Roman" w:cs="Times New Roman"/>
          <w:sz w:val="26"/>
          <w:szCs w:val="26"/>
        </w:rPr>
        <w:t xml:space="preserve"> (no incluye el equipo de cómputo que es presupuestado por la Dirección de Tecnología de la Información).</w:t>
      </w:r>
    </w:p>
    <w:p w:rsidRPr="00AE1B2B" w:rsidR="009D3FB5" w:rsidP="00163B94" w:rsidRDefault="009D3FB5" w14:paraId="2781AED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3979DE" w14:paraId="351C8AE7" w14:textId="73220585">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9</w:t>
      </w:r>
      <w:r w:rsidRPr="00AE1B2B" w:rsidR="009D3FB5">
        <w:rPr>
          <w:rFonts w:ascii="Times New Roman" w:hAnsi="Times New Roman" w:cs="Times New Roman"/>
          <w:sz w:val="26"/>
          <w:szCs w:val="26"/>
        </w:rPr>
        <w:t xml:space="preserve">.2. Centro de Apoyo, Coordinación y Mejoramiento de la Función Jurisdiccional </w:t>
      </w:r>
    </w:p>
    <w:p w:rsidRPr="00AE1B2B" w:rsidR="009D3FB5" w:rsidP="00163B94" w:rsidRDefault="009D3FB5" w14:paraId="230986E1" w14:textId="1CB7DA7D">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Mediante oficio 62-CACMFJ-JEF-2021 del 12 de febrero 2021 (</w:t>
      </w:r>
      <w:r w:rsidRPr="00AE1B2B">
        <w:rPr>
          <w:rFonts w:ascii="Times New Roman" w:hAnsi="Times New Roman" w:cs="Times New Roman"/>
          <w:b/>
          <w:bCs/>
          <w:i/>
          <w:iCs/>
          <w:sz w:val="26"/>
          <w:szCs w:val="26"/>
        </w:rPr>
        <w:t>anexo 21</w:t>
      </w:r>
      <w:r w:rsidRPr="00AE1B2B">
        <w:rPr>
          <w:rFonts w:ascii="Times New Roman" w:hAnsi="Times New Roman" w:cs="Times New Roman"/>
          <w:sz w:val="26"/>
          <w:szCs w:val="26"/>
        </w:rPr>
        <w:t>) se confirma por parte del CACMFJ la necesidad planteada en el informe 656-PLA-RH-MI-2020</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conforme a lo recomendado en ese momento por la Dirección de Planificación, de crear 7 plazas para atención de la materia de Familia, apoyo a las labores de la gestoría, planes de trabajo, coordinaciones entre otras tareas. </w:t>
      </w:r>
    </w:p>
    <w:p w:rsidRPr="00AE1B2B" w:rsidR="009D3FB5" w:rsidP="00163B94" w:rsidRDefault="009D3FB5" w14:paraId="3F8819B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35043BF" w14:textId="77777777">
      <w:pPr>
        <w:spacing w:before="120" w:after="120"/>
        <w:ind w:left="851" w:right="851" w:firstLine="709"/>
        <w:jc w:val="center"/>
        <w:rPr>
          <w:rFonts w:ascii="Times New Roman" w:hAnsi="Times New Roman" w:cs="Times New Roman"/>
          <w:sz w:val="26"/>
          <w:szCs w:val="26"/>
        </w:rPr>
      </w:pPr>
      <w:bookmarkStart w:name="_Hlk63858796" w:id="84"/>
    </w:p>
    <w:p w:rsidRPr="00AE1B2B" w:rsidR="009D3FB5" w:rsidP="00163B94" w:rsidRDefault="009D3FB5" w14:paraId="1943D94B" w14:textId="21C29ADA">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64</w:t>
      </w:r>
      <w:r w:rsidRPr="00AE1B2B">
        <w:rPr>
          <w:rFonts w:ascii="Times New Roman" w:hAnsi="Times New Roman" w:cs="Times New Roman"/>
          <w:sz w:val="26"/>
          <w:szCs w:val="26"/>
        </w:rPr>
        <w:fldChar w:fldCharType="end"/>
      </w:r>
    </w:p>
    <w:p w:rsidRPr="00AE1B2B" w:rsidR="009D3FB5" w:rsidP="00163B94" w:rsidRDefault="009D3FB5" w14:paraId="5AF3E318"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Propuesta del recurso humano para el CACMFJ-atención Reforma CPF, 2022</w:t>
      </w:r>
    </w:p>
    <w:tbl>
      <w:tblPr>
        <w:tblW w:w="5000" w:type="pct"/>
        <w:tblCellMar>
          <w:left w:w="70" w:type="dxa"/>
          <w:right w:w="70" w:type="dxa"/>
        </w:tblCellMar>
        <w:tblLook w:val="04A0" w:firstRow="1" w:lastRow="0" w:firstColumn="1" w:lastColumn="0" w:noHBand="0" w:noVBand="1"/>
      </w:tblPr>
      <w:tblGrid>
        <w:gridCol w:w="1209"/>
        <w:gridCol w:w="1428"/>
        <w:gridCol w:w="1550"/>
        <w:gridCol w:w="2761"/>
        <w:gridCol w:w="1880"/>
      </w:tblGrid>
      <w:tr w:rsidRPr="00AE1B2B" w:rsidR="00AE1B2B" w:rsidTr="009D3FB5" w14:paraId="3B2AE3DC" w14:textId="77777777">
        <w:trPr>
          <w:trHeight w:val="285"/>
          <w:tblHeader/>
        </w:trPr>
        <w:tc>
          <w:tcPr>
            <w:tcW w:w="684" w:type="pc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595BE92F"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Cantidad requerida</w:t>
            </w:r>
          </w:p>
        </w:tc>
        <w:tc>
          <w:tcPr>
            <w:tcW w:w="809"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360D8545"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Clase ancha</w:t>
            </w:r>
          </w:p>
        </w:tc>
        <w:tc>
          <w:tcPr>
            <w:tcW w:w="878"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3FBE6FB3"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Clase angosta</w:t>
            </w:r>
          </w:p>
        </w:tc>
        <w:tc>
          <w:tcPr>
            <w:tcW w:w="1564"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07CFF262"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Costo del puesto anual</w:t>
            </w:r>
          </w:p>
        </w:tc>
        <w:tc>
          <w:tcPr>
            <w:tcW w:w="1065" w:type="pct"/>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4F925099"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Costo total anual</w:t>
            </w:r>
          </w:p>
        </w:tc>
      </w:tr>
      <w:tr w:rsidRPr="00AE1B2B" w:rsidR="00AE1B2B" w:rsidTr="009D3FB5" w14:paraId="0FE6BBA3" w14:textId="77777777">
        <w:trPr>
          <w:trHeight w:val="270"/>
        </w:trPr>
        <w:tc>
          <w:tcPr>
            <w:tcW w:w="684"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7774466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809" w:type="pct"/>
            <w:tcBorders>
              <w:top w:val="nil"/>
              <w:left w:val="nil"/>
              <w:bottom w:val="single" w:color="auto" w:sz="4" w:space="0"/>
              <w:right w:val="single" w:color="auto" w:sz="4" w:space="0"/>
            </w:tcBorders>
            <w:shd w:val="clear" w:color="auto" w:fill="auto"/>
            <w:vAlign w:val="bottom"/>
            <w:hideMark/>
          </w:tcPr>
          <w:p w:rsidRPr="00AE1B2B" w:rsidR="009D3FB5" w:rsidP="00163B94" w:rsidRDefault="009D3FB5" w14:paraId="42BF168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Jueza o Juez 4 Gestor</w:t>
            </w:r>
          </w:p>
        </w:tc>
        <w:tc>
          <w:tcPr>
            <w:tcW w:w="87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7CFD272"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Juez o Jueza</w:t>
            </w:r>
          </w:p>
        </w:tc>
        <w:tc>
          <w:tcPr>
            <w:tcW w:w="1564" w:type="pct"/>
            <w:tcBorders>
              <w:top w:val="nil"/>
              <w:left w:val="nil"/>
              <w:bottom w:val="single" w:color="auto" w:sz="4" w:space="0"/>
              <w:right w:val="single" w:color="auto" w:sz="4" w:space="0"/>
            </w:tcBorders>
            <w:shd w:val="clear" w:color="auto" w:fill="auto"/>
            <w:vAlign w:val="bottom"/>
            <w:hideMark/>
          </w:tcPr>
          <w:p w:rsidRPr="00AE1B2B" w:rsidR="009D3FB5" w:rsidP="00163B94" w:rsidRDefault="009D3FB5" w14:paraId="3AC928FF" w14:textId="77777777">
            <w:pPr>
              <w:spacing w:before="120" w:after="120" w:line="276" w:lineRule="auto"/>
              <w:jc w:val="right"/>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 xml:space="preserve">₡59.053.000 </w:t>
            </w:r>
          </w:p>
        </w:tc>
        <w:tc>
          <w:tcPr>
            <w:tcW w:w="1065" w:type="pct"/>
            <w:tcBorders>
              <w:top w:val="single" w:color="auto" w:sz="4" w:space="0"/>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2368059" w14:textId="77777777">
            <w:pPr>
              <w:spacing w:before="120" w:after="120" w:line="276" w:lineRule="auto"/>
              <w:jc w:val="right"/>
              <w:rPr>
                <w:rFonts w:ascii="Times New Roman" w:hAnsi="Times New Roman" w:eastAsia="Times New Roman" w:cs="Times New Roman"/>
                <w:lang w:eastAsia="es-ES"/>
              </w:rPr>
            </w:pPr>
            <w:r w:rsidRPr="00AE1B2B">
              <w:rPr>
                <w:rFonts w:ascii="Times New Roman" w:hAnsi="Times New Roman" w:cs="Times New Roman"/>
              </w:rPr>
              <w:t>₡59.053.000</w:t>
            </w:r>
          </w:p>
        </w:tc>
      </w:tr>
      <w:tr w:rsidRPr="00AE1B2B" w:rsidR="00AE1B2B" w:rsidTr="009D3FB5" w14:paraId="4EC0D42C" w14:textId="77777777">
        <w:trPr>
          <w:trHeight w:val="270"/>
        </w:trPr>
        <w:tc>
          <w:tcPr>
            <w:tcW w:w="684"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1B925DF"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809"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6EEA4B1"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Técnica o Técnico Judicial 2</w:t>
            </w:r>
          </w:p>
        </w:tc>
        <w:tc>
          <w:tcPr>
            <w:tcW w:w="87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C30FB7C"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Técnico Judicial</w:t>
            </w:r>
          </w:p>
        </w:tc>
        <w:tc>
          <w:tcPr>
            <w:tcW w:w="1564"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E2C8E14" w14:textId="77777777">
            <w:pPr>
              <w:spacing w:before="120" w:after="120" w:line="276" w:lineRule="auto"/>
              <w:jc w:val="right"/>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 xml:space="preserve">₡14.520.000 </w:t>
            </w:r>
          </w:p>
        </w:tc>
        <w:tc>
          <w:tcPr>
            <w:tcW w:w="1065"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E535A6D" w14:textId="77777777">
            <w:pPr>
              <w:spacing w:before="120" w:after="120" w:line="276" w:lineRule="auto"/>
              <w:jc w:val="right"/>
              <w:rPr>
                <w:rFonts w:ascii="Times New Roman" w:hAnsi="Times New Roman" w:eastAsia="Times New Roman" w:cs="Times New Roman"/>
                <w:lang w:eastAsia="es-ES"/>
              </w:rPr>
            </w:pPr>
            <w:r w:rsidRPr="00AE1B2B">
              <w:rPr>
                <w:rFonts w:ascii="Times New Roman" w:hAnsi="Times New Roman" w:cs="Times New Roman"/>
              </w:rPr>
              <w:t>₡14.520.000</w:t>
            </w:r>
          </w:p>
        </w:tc>
      </w:tr>
      <w:tr w:rsidRPr="00AE1B2B" w:rsidR="00AE1B2B" w:rsidTr="009D3FB5" w14:paraId="59AB30D8" w14:textId="77777777">
        <w:trPr>
          <w:trHeight w:val="270"/>
        </w:trPr>
        <w:tc>
          <w:tcPr>
            <w:tcW w:w="684"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6988E40"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1</w:t>
            </w:r>
          </w:p>
        </w:tc>
        <w:tc>
          <w:tcPr>
            <w:tcW w:w="809"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596072A"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Profesional 2</w:t>
            </w:r>
          </w:p>
        </w:tc>
        <w:tc>
          <w:tcPr>
            <w:tcW w:w="878" w:type="pct"/>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79DAEE6"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Profesional</w:t>
            </w:r>
          </w:p>
        </w:tc>
        <w:tc>
          <w:tcPr>
            <w:tcW w:w="1564" w:type="pct"/>
            <w:tcBorders>
              <w:top w:val="nil"/>
              <w:left w:val="nil"/>
              <w:bottom w:val="single" w:color="auto" w:sz="4" w:space="0"/>
              <w:right w:val="single" w:color="auto" w:sz="4" w:space="0"/>
            </w:tcBorders>
            <w:shd w:val="clear" w:color="auto" w:fill="auto"/>
            <w:vAlign w:val="bottom"/>
            <w:hideMark/>
          </w:tcPr>
          <w:p w:rsidRPr="00AE1B2B" w:rsidR="009D3FB5" w:rsidP="00163B94" w:rsidRDefault="009D3FB5" w14:paraId="574B82D2" w14:textId="77777777">
            <w:pPr>
              <w:spacing w:before="120" w:after="120" w:line="276" w:lineRule="auto"/>
              <w:jc w:val="right"/>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 xml:space="preserve">₡35.314.000 </w:t>
            </w:r>
          </w:p>
        </w:tc>
        <w:tc>
          <w:tcPr>
            <w:tcW w:w="1065" w:type="pc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06E6A742" w14:textId="77777777">
            <w:pPr>
              <w:spacing w:before="120" w:after="120" w:line="276" w:lineRule="auto"/>
              <w:jc w:val="right"/>
              <w:rPr>
                <w:rFonts w:ascii="Times New Roman" w:hAnsi="Times New Roman" w:eastAsia="Times New Roman" w:cs="Times New Roman"/>
                <w:lang w:eastAsia="es-ES"/>
              </w:rPr>
            </w:pPr>
            <w:r w:rsidRPr="00AE1B2B">
              <w:rPr>
                <w:rFonts w:ascii="Times New Roman" w:hAnsi="Times New Roman" w:cs="Times New Roman"/>
              </w:rPr>
              <w:t>₡35.314.000</w:t>
            </w:r>
          </w:p>
        </w:tc>
      </w:tr>
      <w:tr w:rsidRPr="00AE1B2B" w:rsidR="00AE1B2B" w:rsidTr="009D3FB5" w14:paraId="0DC26148" w14:textId="77777777">
        <w:trPr>
          <w:trHeight w:val="270"/>
        </w:trPr>
        <w:tc>
          <w:tcPr>
            <w:tcW w:w="684" w:type="pct"/>
            <w:tcBorders>
              <w:top w:val="nil"/>
              <w:left w:val="single" w:color="auto" w:sz="4" w:space="0"/>
              <w:bottom w:val="single" w:color="auto" w:sz="4" w:space="0"/>
              <w:right w:val="single" w:color="auto" w:sz="4" w:space="0"/>
            </w:tcBorders>
            <w:shd w:val="clear" w:color="auto" w:fill="auto"/>
            <w:vAlign w:val="center"/>
          </w:tcPr>
          <w:p w:rsidRPr="00AE1B2B" w:rsidR="009D3FB5" w:rsidDel="006C6307" w:rsidP="00163B94" w:rsidRDefault="009D3FB5" w14:paraId="177DAC3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4</w:t>
            </w:r>
          </w:p>
        </w:tc>
        <w:tc>
          <w:tcPr>
            <w:tcW w:w="809"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4B4429A5"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cs="Times New Roman"/>
              </w:rPr>
              <w:t>Jueza o Juez 3</w:t>
            </w:r>
          </w:p>
        </w:tc>
        <w:tc>
          <w:tcPr>
            <w:tcW w:w="878"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10FE8838" w14:textId="77777777">
            <w:pPr>
              <w:spacing w:before="120" w:after="120" w:line="276" w:lineRule="auto"/>
              <w:jc w:val="center"/>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Juez o Jueza</w:t>
            </w:r>
          </w:p>
        </w:tc>
        <w:tc>
          <w:tcPr>
            <w:tcW w:w="1564" w:type="pct"/>
            <w:tcBorders>
              <w:top w:val="nil"/>
              <w:left w:val="nil"/>
              <w:bottom w:val="single" w:color="auto" w:sz="4" w:space="0"/>
              <w:right w:val="single" w:color="auto" w:sz="4" w:space="0"/>
            </w:tcBorders>
            <w:shd w:val="clear" w:color="auto" w:fill="auto"/>
            <w:vAlign w:val="center"/>
          </w:tcPr>
          <w:p w:rsidRPr="00AE1B2B" w:rsidR="009D3FB5" w:rsidP="00163B94" w:rsidRDefault="009D3FB5" w14:paraId="0FBC87B1" w14:textId="77777777">
            <w:pPr>
              <w:spacing w:before="120" w:after="120" w:line="276" w:lineRule="auto"/>
              <w:jc w:val="right"/>
              <w:rPr>
                <w:rFonts w:ascii="Times New Roman" w:hAnsi="Times New Roman" w:eastAsia="Times New Roman" w:cs="Times New Roman"/>
                <w:lang w:eastAsia="es-ES"/>
              </w:rPr>
            </w:pPr>
            <w:r w:rsidRPr="00AE1B2B">
              <w:rPr>
                <w:rFonts w:ascii="Times New Roman" w:hAnsi="Times New Roman" w:eastAsia="Times New Roman" w:cs="Times New Roman"/>
                <w:lang w:eastAsia="es-ES"/>
              </w:rPr>
              <w:t xml:space="preserve">₡54.716.000 </w:t>
            </w:r>
          </w:p>
        </w:tc>
        <w:tc>
          <w:tcPr>
            <w:tcW w:w="1065" w:type="pct"/>
            <w:tcBorders>
              <w:top w:val="nil"/>
              <w:left w:val="single" w:color="auto" w:sz="4" w:space="0"/>
              <w:bottom w:val="single" w:color="auto" w:sz="4" w:space="0"/>
              <w:right w:val="single" w:color="auto" w:sz="4" w:space="0"/>
            </w:tcBorders>
            <w:shd w:val="clear" w:color="auto" w:fill="auto"/>
            <w:vAlign w:val="center"/>
          </w:tcPr>
          <w:p w:rsidRPr="00AE1B2B" w:rsidR="009D3FB5" w:rsidP="00163B94" w:rsidRDefault="009D3FB5" w14:paraId="4EAE3F62" w14:textId="77777777">
            <w:pPr>
              <w:spacing w:before="120" w:after="120" w:line="276" w:lineRule="auto"/>
              <w:jc w:val="right"/>
              <w:rPr>
                <w:rFonts w:ascii="Times New Roman" w:hAnsi="Times New Roman" w:eastAsia="Times New Roman" w:cs="Times New Roman"/>
                <w:lang w:eastAsia="es-ES"/>
              </w:rPr>
            </w:pPr>
            <w:r w:rsidRPr="00AE1B2B">
              <w:rPr>
                <w:rFonts w:ascii="Times New Roman" w:hAnsi="Times New Roman" w:cs="Times New Roman"/>
              </w:rPr>
              <w:t>₡218.864.000</w:t>
            </w:r>
          </w:p>
        </w:tc>
      </w:tr>
      <w:bookmarkEnd w:id="84"/>
      <w:tr w:rsidRPr="00AE1B2B" w:rsidR="00AE1B2B" w:rsidTr="009D3FB5" w14:paraId="4169F398" w14:textId="77777777">
        <w:trPr>
          <w:trHeight w:val="285"/>
        </w:trPr>
        <w:tc>
          <w:tcPr>
            <w:tcW w:w="3935" w:type="pct"/>
            <w:gridSpan w:val="4"/>
            <w:tcBorders>
              <w:top w:val="single" w:color="auto" w:sz="4" w:space="0"/>
              <w:left w:val="single" w:color="auto" w:sz="4" w:space="0"/>
              <w:bottom w:val="single" w:color="auto" w:sz="4" w:space="0"/>
              <w:right w:val="single" w:color="000000" w:sz="4" w:space="0"/>
            </w:tcBorders>
            <w:shd w:val="clear" w:color="000000" w:fill="808080"/>
            <w:vAlign w:val="bottom"/>
            <w:hideMark/>
          </w:tcPr>
          <w:p w:rsidRPr="00AE1B2B" w:rsidR="009D3FB5" w:rsidP="00163B94" w:rsidRDefault="009D3FB5" w14:paraId="751AAFFD"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Total</w:t>
            </w:r>
          </w:p>
        </w:tc>
        <w:tc>
          <w:tcPr>
            <w:tcW w:w="1065" w:type="pct"/>
            <w:tcBorders>
              <w:top w:val="nil"/>
              <w:left w:val="nil"/>
              <w:bottom w:val="single" w:color="auto" w:sz="4" w:space="0"/>
              <w:right w:val="single" w:color="auto" w:sz="4" w:space="0"/>
            </w:tcBorders>
            <w:shd w:val="clear" w:color="000000" w:fill="808080"/>
            <w:vAlign w:val="bottom"/>
            <w:hideMark/>
          </w:tcPr>
          <w:p w:rsidRPr="00AE1B2B" w:rsidR="009D3FB5" w:rsidP="00163B94" w:rsidRDefault="009D3FB5" w14:paraId="1BDE7CE4" w14:textId="77777777">
            <w:pPr>
              <w:spacing w:before="120" w:after="120" w:line="276" w:lineRule="auto"/>
              <w:jc w:val="center"/>
              <w:rPr>
                <w:rFonts w:ascii="Times New Roman" w:hAnsi="Times New Roman" w:eastAsia="Times New Roman" w:cs="Times New Roman"/>
                <w:b/>
                <w:bCs/>
                <w:lang w:eastAsia="es-ES"/>
              </w:rPr>
            </w:pPr>
            <w:r w:rsidRPr="00AE1B2B">
              <w:rPr>
                <w:rFonts w:ascii="Times New Roman" w:hAnsi="Times New Roman" w:eastAsia="Times New Roman" w:cs="Times New Roman"/>
                <w:b/>
                <w:bCs/>
                <w:lang w:eastAsia="es-ES"/>
              </w:rPr>
              <w:t>₡327.751.000,00</w:t>
            </w:r>
          </w:p>
        </w:tc>
      </w:tr>
    </w:tbl>
    <w:p w:rsidRPr="00AE1B2B" w:rsidR="009D3FB5" w:rsidP="00163B94" w:rsidRDefault="009D3FB5" w14:paraId="18B2F3F9" w14:textId="77777777">
      <w:pPr>
        <w:pStyle w:val="Fuentes"/>
        <w:spacing w:before="120" w:after="120"/>
        <w:rPr>
          <w:rFonts w:ascii="Times New Roman" w:hAnsi="Times New Roman" w:cs="Times New Roman"/>
        </w:rPr>
      </w:pPr>
    </w:p>
    <w:p w:rsidRPr="00AE1B2B" w:rsidR="009D3FB5" w:rsidP="00163B94" w:rsidRDefault="009D3FB5" w14:paraId="2446648F" w14:textId="77777777">
      <w:pPr>
        <w:spacing w:before="120" w:after="120" w:line="276" w:lineRule="auto"/>
        <w:rPr>
          <w:rFonts w:ascii="Times New Roman" w:hAnsi="Times New Roman" w:cs="Times New Roman"/>
          <w:sz w:val="24"/>
          <w:szCs w:val="24"/>
        </w:rPr>
      </w:pPr>
    </w:p>
    <w:p w:rsidRPr="00AE1B2B" w:rsidR="009D3FB5" w:rsidP="00163B94" w:rsidRDefault="009D3FB5" w14:paraId="3B8C984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plaza de Jueza o Juez Gestor tiene no solo la responsabilidad de brindar asesoría a las distintas instancias administrativas en el Proyecto de Implementación de la Reforma, dar seguimiento a las distintas labores necesarias para que el Poder </w:t>
      </w:r>
      <w:r w:rsidRPr="00AE1B2B">
        <w:rPr>
          <w:rFonts w:ascii="Times New Roman" w:hAnsi="Times New Roman" w:cs="Times New Roman"/>
          <w:sz w:val="26"/>
          <w:szCs w:val="26"/>
        </w:rPr>
        <w:lastRenderedPageBreak/>
        <w:t xml:space="preserve">Judicial esté listo para implementar el Código Procesal de Familia a partir del 1 de octubre de 2022, debe dar cumplimiento a las tareas asignadas conforme al cronograma de trabajo del Proyecto y responsabilidades asociadas a los entregables a su cargo, además es un canal de comunicación directo con la Comisión de Familia, Niñez y Adolescencia y debe estar en capacidad también de brindar colaboración con el fallo de asuntos de ser necesario por su categoría de Juez 4. </w:t>
      </w:r>
    </w:p>
    <w:p w:rsidRPr="00AE1B2B" w:rsidR="009D3FB5" w:rsidP="00163B94" w:rsidRDefault="009D3FB5" w14:paraId="1BBA4C2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5078F9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plaza de profesional 2 debe estar a cargo del seguimiento de las oficinas en materia de Familia, Pensiones Alimentarias y Violencia Doméstica a nivel nacional, así como enfocada en el diseño de propuesta, planes de trabajo y remediales conforme al seguimiento realizado. También esta plaza da apoyo a la figura de Jueza o Juez Gestor en la materia. </w:t>
      </w:r>
    </w:p>
    <w:p w:rsidRPr="00AE1B2B" w:rsidR="009D3FB5" w:rsidP="00163B94" w:rsidRDefault="009D3FB5" w14:paraId="1E1D5D0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7863A4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Cabe mencionar que las plazas de Jueza o Juez 3 son plazas para utilizar en planes de descongestionamiento a nivel nacional, por lo que deben tener competencia en todo el país. Esta necesidad en 2019, 2020 y 2021 se ha cubierto con permisos con goce de salario y sustitución de conformidad con el artículo 44 de la Ley Orgánica del Poder Judicial, y la plaza de Técnico Judicial 2 colabora con la plaza de Juez Gestor en labores de coordinación de los planes de trabajo entre otras labores de apoyo temporal a esta figura. </w:t>
      </w:r>
    </w:p>
    <w:p w:rsidRPr="00AE1B2B" w:rsidR="009D3FB5" w:rsidP="00163B94" w:rsidRDefault="009D3FB5" w14:paraId="23763E6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estima que los costos totales anuales del requerimiento del Centro de Apoyo, Coordinación y Mejoramiento de la Función Jurisdiccional en ₡327.751.000,00.</w:t>
      </w:r>
    </w:p>
    <w:p w:rsidRPr="00AE1B2B" w:rsidR="009D3FB5" w:rsidP="00163B94" w:rsidRDefault="009D3FB5" w14:paraId="0A4517B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7AB8B9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B16FDF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Planes de descongestionamiento en los Juzgados de materia Familia</w:t>
      </w:r>
    </w:p>
    <w:p w:rsidRPr="00AE1B2B" w:rsidR="009D3FB5" w:rsidP="00163B94" w:rsidRDefault="009D3FB5" w14:paraId="2C19CBF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4B2976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diseño de los planes descongestionamiento se basan en la cantidad de pendiente de fallo tanto en primera como en segunda instancia (PA) en los juzgados de Familia, los circulantes de los despachos y el rendimiento de las personas juzgadoras de los Despachos, de forma de que se orienten los esfuerzos a los Juzgados con mayor retraso pero que presentan un adecuado rendimiento por parte de las personas juzgadoras. </w:t>
      </w:r>
    </w:p>
    <w:p w:rsidRPr="00AE1B2B" w:rsidR="009D3FB5" w:rsidP="00163B94" w:rsidRDefault="009D3FB5" w14:paraId="026707A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59CBB20" w14:textId="77777777">
      <w:pPr>
        <w:spacing w:before="120" w:after="120"/>
        <w:ind w:left="851" w:right="851" w:firstLine="709"/>
        <w:jc w:val="both"/>
        <w:rPr>
          <w:rFonts w:ascii="Times New Roman" w:hAnsi="Times New Roman" w:cs="Times New Roman"/>
          <w:sz w:val="26"/>
          <w:szCs w:val="26"/>
          <w:lang w:eastAsia="ko-KR"/>
        </w:rPr>
      </w:pPr>
      <w:r w:rsidRPr="00AE1B2B">
        <w:rPr>
          <w:rFonts w:ascii="Times New Roman" w:hAnsi="Times New Roman" w:cs="Times New Roman"/>
          <w:sz w:val="26"/>
          <w:szCs w:val="26"/>
          <w:lang w:eastAsia="ko-KR"/>
        </w:rPr>
        <w:t>El plan de Descongestionamiento en los Juzgados de Familia inició el 19 de agosto del 2019, con 4 plazas de Jueza o Juez 3 destacadas en los despachos de Familia conforme a las prioridades indicadas por la Dirección de Planificación, según informe 1113-PLA-MI-2019, aprobado por el Consejo Superior en la sesión 67-19 celebrada el 30 de julio de 2019,</w:t>
      </w:r>
      <w:bookmarkStart w:name="_Toc15033089" w:id="85"/>
      <w:bookmarkEnd w:id="85"/>
      <w:r w:rsidRPr="00AE1B2B">
        <w:rPr>
          <w:rFonts w:ascii="Times New Roman" w:hAnsi="Times New Roman" w:cs="Times New Roman"/>
          <w:sz w:val="26"/>
          <w:szCs w:val="26"/>
          <w:lang w:eastAsia="ko-KR"/>
        </w:rPr>
        <w:t xml:space="preserve"> articulo LXIV.</w:t>
      </w:r>
    </w:p>
    <w:p w:rsidRPr="00AE1B2B" w:rsidR="009D3FB5" w:rsidP="00163B94" w:rsidRDefault="009D3FB5" w14:paraId="28C39C56" w14:textId="77777777">
      <w:pPr>
        <w:spacing w:before="120" w:after="120"/>
        <w:ind w:left="851" w:right="851" w:firstLine="709"/>
        <w:jc w:val="both"/>
        <w:rPr>
          <w:rFonts w:ascii="Times New Roman" w:hAnsi="Times New Roman" w:cs="Times New Roman"/>
          <w:sz w:val="26"/>
          <w:szCs w:val="26"/>
          <w:lang w:eastAsia="ko-KR"/>
        </w:rPr>
      </w:pPr>
    </w:p>
    <w:p w:rsidRPr="00AE1B2B" w:rsidR="009D3FB5" w:rsidP="00163B94" w:rsidRDefault="009D3FB5" w14:paraId="73515453" w14:textId="77777777">
      <w:pPr>
        <w:spacing w:before="120" w:after="120"/>
        <w:ind w:left="851" w:right="851" w:firstLine="709"/>
        <w:jc w:val="both"/>
        <w:rPr>
          <w:rFonts w:ascii="Times New Roman" w:hAnsi="Times New Roman" w:cs="Times New Roman"/>
          <w:sz w:val="26"/>
          <w:szCs w:val="26"/>
          <w:lang w:eastAsia="ko-KR"/>
        </w:rPr>
      </w:pPr>
      <w:r w:rsidRPr="00AE1B2B">
        <w:rPr>
          <w:rFonts w:ascii="Times New Roman" w:hAnsi="Times New Roman" w:cs="Times New Roman"/>
          <w:sz w:val="26"/>
          <w:szCs w:val="26"/>
        </w:rPr>
        <w:t xml:space="preserve">El inicio del plan se aprobó por el Consejo Superior en sesión 71-2019 del 13 de agosto de 2019, artículo LXXVI, conoció el oficio 321-CACMFJ-JEF-2019 presentado por el Centro de Apoyo, Coordinación y Mejoramiento de la Función Jurisdiccional, en el que se informó los números de plazas de las cuatro personas Juzgadoras con categoría 3 que asumirán el plan de descongestionamiento de Familia, por el periodo del </w:t>
      </w:r>
      <w:r w:rsidRPr="00AE1B2B">
        <w:rPr>
          <w:rFonts w:ascii="Times New Roman" w:hAnsi="Times New Roman" w:cs="Times New Roman"/>
          <w:sz w:val="26"/>
          <w:szCs w:val="26"/>
          <w:shd w:val="clear" w:color="auto" w:fill="FFFFFF"/>
        </w:rPr>
        <w:t>12 de agosto al 30 de septiembre del 2019</w:t>
      </w:r>
      <w:r w:rsidRPr="00AE1B2B">
        <w:rPr>
          <w:rFonts w:ascii="Times New Roman" w:hAnsi="Times New Roman" w:cs="Times New Roman"/>
          <w:sz w:val="26"/>
          <w:szCs w:val="26"/>
        </w:rPr>
        <w:t>.</w:t>
      </w:r>
    </w:p>
    <w:p w:rsidRPr="00AE1B2B" w:rsidR="009D3FB5" w:rsidP="00163B94" w:rsidRDefault="009D3FB5" w14:paraId="121CE021" w14:textId="77777777">
      <w:pPr>
        <w:spacing w:before="120" w:after="120"/>
        <w:ind w:left="851" w:right="851" w:firstLine="709"/>
        <w:jc w:val="both"/>
        <w:rPr>
          <w:rFonts w:ascii="Times New Roman" w:hAnsi="Times New Roman" w:cs="Times New Roman"/>
          <w:sz w:val="26"/>
          <w:szCs w:val="26"/>
          <w:lang w:eastAsia="ko-KR"/>
        </w:rPr>
      </w:pPr>
    </w:p>
    <w:p w:rsidRPr="00AE1B2B" w:rsidR="009D3FB5" w:rsidP="00163B94" w:rsidRDefault="009D3FB5" w14:paraId="78CEFBB8" w14:textId="77777777">
      <w:pPr>
        <w:spacing w:before="120" w:after="120"/>
        <w:ind w:left="851" w:right="851" w:firstLine="709"/>
        <w:jc w:val="both"/>
        <w:rPr>
          <w:rFonts w:ascii="Times New Roman" w:hAnsi="Times New Roman" w:cs="Times New Roman"/>
          <w:sz w:val="26"/>
          <w:szCs w:val="26"/>
          <w:lang w:eastAsia="ko-KR"/>
        </w:rPr>
      </w:pPr>
      <w:r w:rsidRPr="00AE1B2B">
        <w:rPr>
          <w:rFonts w:ascii="Times New Roman" w:hAnsi="Times New Roman" w:cs="Times New Roman"/>
          <w:sz w:val="26"/>
          <w:szCs w:val="26"/>
          <w:shd w:val="clear" w:color="auto" w:fill="FFFFFF"/>
        </w:rPr>
        <w:t xml:space="preserve">El Consejo Superior en sesión 84-19, del 26 de setiembre del 2019, artículo </w:t>
      </w:r>
      <w:r w:rsidRPr="00AE1B2B">
        <w:rPr>
          <w:rFonts w:ascii="Times New Roman" w:hAnsi="Times New Roman" w:cs="Times New Roman"/>
          <w:sz w:val="26"/>
          <w:szCs w:val="26"/>
        </w:rPr>
        <w:t xml:space="preserve">LXXXIV, aprueba la prórroga de 4 permisos de persona juzgadora para el plan de descongestionamiento en materia de Familia del 1 de </w:t>
      </w:r>
      <w:r w:rsidRPr="00AE1B2B">
        <w:rPr>
          <w:rFonts w:ascii="Times New Roman" w:hAnsi="Times New Roman" w:cs="Times New Roman"/>
          <w:sz w:val="26"/>
          <w:szCs w:val="26"/>
          <w:shd w:val="clear" w:color="auto" w:fill="FFFFFF"/>
        </w:rPr>
        <w:t>octubre </w:t>
      </w:r>
      <w:r w:rsidRPr="00AE1B2B">
        <w:rPr>
          <w:rFonts w:ascii="Times New Roman" w:hAnsi="Times New Roman" w:cs="Times New Roman"/>
          <w:sz w:val="26"/>
          <w:szCs w:val="26"/>
        </w:rPr>
        <w:t>y</w:t>
      </w:r>
      <w:r w:rsidRPr="00AE1B2B">
        <w:rPr>
          <w:rFonts w:ascii="Times New Roman" w:hAnsi="Times New Roman" w:cs="Times New Roman"/>
          <w:sz w:val="26"/>
          <w:szCs w:val="26"/>
          <w:shd w:val="clear" w:color="auto" w:fill="FFFFFF"/>
        </w:rPr>
        <w:t xml:space="preserve"> hasta el último día laboral 2019. </w:t>
      </w:r>
    </w:p>
    <w:p w:rsidRPr="00AE1B2B" w:rsidR="009D3FB5" w:rsidP="00163B94" w:rsidRDefault="009D3FB5" w14:paraId="379BC8B7" w14:textId="77777777">
      <w:pPr>
        <w:spacing w:before="120" w:after="120"/>
        <w:ind w:left="851" w:right="851" w:firstLine="709"/>
        <w:jc w:val="both"/>
        <w:rPr>
          <w:rFonts w:ascii="Times New Roman" w:hAnsi="Times New Roman" w:cs="Times New Roman"/>
          <w:sz w:val="26"/>
          <w:szCs w:val="26"/>
          <w:lang w:eastAsia="ko-KR"/>
        </w:rPr>
      </w:pPr>
    </w:p>
    <w:p w:rsidRPr="00AE1B2B" w:rsidR="009D3FB5" w:rsidP="00163B94" w:rsidRDefault="009D3FB5" w14:paraId="6E6FEC85" w14:textId="77777777">
      <w:pPr>
        <w:spacing w:before="120" w:after="120"/>
        <w:ind w:left="851" w:right="851" w:firstLine="709"/>
        <w:jc w:val="both"/>
        <w:rPr>
          <w:rFonts w:ascii="Times New Roman" w:hAnsi="Times New Roman" w:cs="Times New Roman"/>
          <w:b/>
          <w:bCs/>
          <w:i/>
          <w:iCs/>
          <w:sz w:val="26"/>
          <w:szCs w:val="26"/>
          <w:lang w:eastAsia="ko-KR"/>
        </w:rPr>
      </w:pPr>
      <w:r w:rsidRPr="00AE1B2B">
        <w:rPr>
          <w:rFonts w:ascii="Times New Roman" w:hAnsi="Times New Roman" w:cs="Times New Roman"/>
          <w:b/>
          <w:bCs/>
          <w:i/>
          <w:iCs/>
          <w:sz w:val="26"/>
          <w:szCs w:val="26"/>
          <w:lang w:eastAsia="ko-KR"/>
        </w:rPr>
        <w:t>Plan 2020:</w:t>
      </w:r>
    </w:p>
    <w:p w:rsidRPr="00AE1B2B" w:rsidR="009D3FB5" w:rsidP="00163B94" w:rsidRDefault="009D3FB5" w14:paraId="56D19490" w14:textId="77777777">
      <w:pPr>
        <w:spacing w:before="120" w:after="120"/>
        <w:ind w:left="851" w:right="851" w:firstLine="709"/>
        <w:jc w:val="both"/>
        <w:rPr>
          <w:rFonts w:ascii="Times New Roman" w:hAnsi="Times New Roman" w:cs="Times New Roman"/>
          <w:b/>
          <w:bCs/>
          <w:i/>
          <w:iCs/>
          <w:sz w:val="26"/>
          <w:szCs w:val="26"/>
          <w:lang w:eastAsia="ko-KR"/>
        </w:rPr>
      </w:pPr>
    </w:p>
    <w:p w:rsidRPr="00AE1B2B" w:rsidR="009D3FB5" w:rsidP="00163B94" w:rsidRDefault="009D3FB5" w14:paraId="413D480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Respecto a los planes de descongestionamiento en materia de Familia 2020, se trabajó en dos etapas: una primera etapa de enero a junio y la segunda de octubre a diciembre 2020.</w:t>
      </w:r>
    </w:p>
    <w:p w:rsidRPr="00AE1B2B" w:rsidR="009D3FB5" w:rsidP="00163B94" w:rsidRDefault="009D3FB5" w14:paraId="67012E13" w14:textId="77777777">
      <w:pPr>
        <w:spacing w:before="120" w:after="120"/>
        <w:ind w:left="851" w:right="851" w:firstLine="709"/>
        <w:jc w:val="both"/>
        <w:rPr>
          <w:rFonts w:ascii="Times New Roman" w:hAnsi="Times New Roman" w:cs="Times New Roman"/>
          <w:sz w:val="26"/>
          <w:szCs w:val="26"/>
          <w:lang w:eastAsia="ko-KR"/>
        </w:rPr>
      </w:pPr>
    </w:p>
    <w:p w:rsidRPr="00AE1B2B" w:rsidR="009D3FB5" w:rsidP="00163B94" w:rsidRDefault="009D3FB5" w14:paraId="33518092" w14:textId="77777777">
      <w:pPr>
        <w:spacing w:before="120" w:after="120"/>
        <w:ind w:left="851" w:right="851" w:firstLine="709"/>
        <w:jc w:val="both"/>
        <w:rPr>
          <w:rFonts w:ascii="Times New Roman" w:hAnsi="Times New Roman" w:cs="Times New Roman"/>
          <w:sz w:val="26"/>
          <w:szCs w:val="26"/>
          <w:lang w:eastAsia="ko-KR"/>
        </w:rPr>
      </w:pPr>
      <w:r w:rsidRPr="00AE1B2B">
        <w:rPr>
          <w:rFonts w:ascii="Times New Roman" w:hAnsi="Times New Roman" w:cs="Times New Roman"/>
          <w:sz w:val="26"/>
          <w:szCs w:val="26"/>
        </w:rPr>
        <w:t>En informe 2130-PLA-PP-PE-2019 de la Dirección de Planificación referente a la propuesta de los permisos con goce de salario para los proyectos y labores operativas del año 2020, conocido y aprobado por el Consejo Superior en sesión 108-19, celebrada el 12 de diciembre del 2019, artículo LXXI, incorporó nuevamente las cuatro plazas de persona juzgadora 3 para la atención de los planes de descongestionamiento asociados al proyecto estratégico denominado “Implementación Código Procesal de Familia (planes de descongestionamiento)“.</w:t>
      </w:r>
    </w:p>
    <w:p w:rsidRPr="00AE1B2B" w:rsidR="009D3FB5" w:rsidP="00163B94" w:rsidRDefault="009D3FB5" w14:paraId="58BE2992" w14:textId="77777777">
      <w:pPr>
        <w:spacing w:before="120" w:after="120"/>
        <w:ind w:left="851" w:right="851" w:firstLine="709"/>
        <w:jc w:val="both"/>
        <w:rPr>
          <w:rFonts w:ascii="Times New Roman" w:hAnsi="Times New Roman" w:cs="Times New Roman"/>
          <w:sz w:val="26"/>
          <w:szCs w:val="26"/>
          <w:lang w:eastAsia="ko-KR"/>
        </w:rPr>
      </w:pPr>
    </w:p>
    <w:p w:rsidRPr="00AE1B2B" w:rsidR="009D3FB5" w:rsidP="00163B94" w:rsidRDefault="009D3FB5" w14:paraId="124D994A" w14:textId="77777777">
      <w:pPr>
        <w:spacing w:before="120" w:after="120"/>
        <w:ind w:left="851" w:right="851" w:firstLine="709"/>
        <w:jc w:val="both"/>
        <w:rPr>
          <w:rFonts w:ascii="Times New Roman" w:hAnsi="Times New Roman" w:cs="Times New Roman"/>
          <w:sz w:val="26"/>
          <w:szCs w:val="26"/>
          <w:lang w:eastAsia="ko-KR"/>
        </w:rPr>
      </w:pPr>
      <w:r w:rsidRPr="00AE1B2B">
        <w:rPr>
          <w:rFonts w:ascii="Times New Roman" w:hAnsi="Times New Roman" w:cs="Times New Roman"/>
          <w:sz w:val="26"/>
          <w:szCs w:val="26"/>
        </w:rPr>
        <w:lastRenderedPageBreak/>
        <w:t>Mediante oficio 38-PLA-EV-2020 del 14 de enero de 2020, relacionado con el plan de descongestionamiento de la materia de Familia, se estableció y aprobó el plan de trabajo para las cuatro plazas durante el primer trimestre del 2020, el cual fue conocido por el Consejo Superior en sesión 07-2020 celebrada el 07 de enero del 2020, artículo L.</w:t>
      </w:r>
    </w:p>
    <w:p w:rsidRPr="00AE1B2B" w:rsidR="009D3FB5" w:rsidP="00163B94" w:rsidRDefault="009D3FB5" w14:paraId="45FE57CA" w14:textId="77777777">
      <w:pPr>
        <w:spacing w:before="120" w:after="120"/>
        <w:ind w:left="851" w:right="851" w:firstLine="709"/>
        <w:jc w:val="both"/>
        <w:rPr>
          <w:rFonts w:ascii="Times New Roman" w:hAnsi="Times New Roman" w:cs="Times New Roman"/>
          <w:sz w:val="26"/>
          <w:szCs w:val="26"/>
          <w:lang w:eastAsia="ko-KR"/>
        </w:rPr>
      </w:pPr>
      <w:r w:rsidRPr="00AE1B2B">
        <w:rPr>
          <w:rFonts w:ascii="Times New Roman" w:hAnsi="Times New Roman" w:cs="Times New Roman"/>
          <w:sz w:val="26"/>
          <w:szCs w:val="26"/>
          <w:lang w:eastAsia="es-CR"/>
        </w:rPr>
        <w:t xml:space="preserve">En sesión 46-20 de Consejo Superior, celebrada el 12 de mayo de 2020, artículo LVII, se conoció el informe 688-PLA-2020 del 12 de mayo de 2020 de la Dirección de Planificación, sobre las gestiones para la valoración de prórroga de permisos con goce de salario y sustitución -entre ellos-, los planes de trabajo de las materias Familia. En relación con lo anterior, el licenciado Erick Monge Sandí, Director interino del Centro de Apoyo, Coordinación y Mejoramiento de la Función Jurisdiccional, remitió el oficio 125-CACMFJ-JEF-2020, y finalmente se aprueban los permisos </w:t>
      </w:r>
      <w:r w:rsidRPr="00AE1B2B">
        <w:rPr>
          <w:rFonts w:ascii="Times New Roman" w:hAnsi="Times New Roman" w:cs="Times New Roman"/>
          <w:sz w:val="26"/>
          <w:szCs w:val="26"/>
        </w:rPr>
        <w:t xml:space="preserve">del 16 mayo hasta el 30 de junio de 2020, por acuerdo del Consejo Superior en sesión 47-2020 celebrada el 14 de mayo del 2020, artículo LVII. </w:t>
      </w:r>
    </w:p>
    <w:p w:rsidRPr="00AE1B2B" w:rsidR="009D3FB5" w:rsidP="00163B94" w:rsidRDefault="009D3FB5" w14:paraId="497ACB28" w14:textId="77777777">
      <w:pPr>
        <w:spacing w:before="120" w:after="120"/>
        <w:ind w:left="851" w:right="851" w:firstLine="709"/>
        <w:jc w:val="both"/>
        <w:rPr>
          <w:rFonts w:ascii="Times New Roman" w:hAnsi="Times New Roman" w:cs="Times New Roman"/>
          <w:sz w:val="26"/>
          <w:szCs w:val="26"/>
          <w:lang w:eastAsia="ko-KR"/>
        </w:rPr>
      </w:pPr>
    </w:p>
    <w:p w:rsidRPr="00AE1B2B" w:rsidR="009D3FB5" w:rsidP="00163B94" w:rsidRDefault="009D3FB5" w14:paraId="06D0912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Mediante oficio 1400-PLA-EV-2020 se diseñó el plan de trabajo para octubre A diciembre 2020, informe aprobado por el Consejo Superior en sesión 91-2020 celebrada el 17 de setiembre del 2020, artículo XXIV.</w:t>
      </w:r>
    </w:p>
    <w:p w:rsidRPr="00AE1B2B" w:rsidR="009D3FB5" w:rsidP="00163B94" w:rsidRDefault="009D3FB5" w14:paraId="0A5D53E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969348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resultado de los planes de descongestionamiento 2020, se encuentran actualizados en el entregable 3.11 del proyecto de Implementación del Código Procesal de Familia (</w:t>
      </w:r>
      <w:r w:rsidRPr="00AE1B2B">
        <w:rPr>
          <w:rFonts w:ascii="Times New Roman" w:hAnsi="Times New Roman" w:cs="Times New Roman"/>
          <w:b/>
          <w:bCs/>
          <w:i/>
          <w:iCs/>
          <w:sz w:val="26"/>
          <w:szCs w:val="26"/>
        </w:rPr>
        <w:t>anexo 22</w:t>
      </w:r>
      <w:r w:rsidRPr="00AE1B2B">
        <w:rPr>
          <w:rFonts w:ascii="Times New Roman" w:hAnsi="Times New Roman" w:cs="Times New Roman"/>
          <w:sz w:val="26"/>
          <w:szCs w:val="26"/>
        </w:rPr>
        <w:t>), en donde se fallaron 891 expedientes para un rendimiento global del 76%.</w:t>
      </w:r>
    </w:p>
    <w:p w:rsidRPr="00AE1B2B" w:rsidR="009D3FB5" w:rsidP="00163B94" w:rsidRDefault="009D3FB5" w14:paraId="141167A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AC148A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40C2AB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w:t>
      </w:r>
    </w:p>
    <w:p w:rsidRPr="00AE1B2B" w:rsidR="009D3FB5" w:rsidP="00163B94" w:rsidRDefault="009D3FB5" w14:paraId="41CFB3C7" w14:textId="77777777">
      <w:pPr>
        <w:spacing w:before="120" w:after="120" w:line="276" w:lineRule="auto"/>
        <w:jc w:val="center"/>
        <w:rPr>
          <w:rFonts w:ascii="Times New Roman" w:hAnsi="Times New Roman" w:cs="Times New Roman"/>
          <w:b/>
          <w:bCs/>
          <w:i/>
          <w:iCs/>
          <w:sz w:val="24"/>
          <w:szCs w:val="24"/>
        </w:rPr>
      </w:pPr>
      <w:r w:rsidRPr="00AE1B2B">
        <w:rPr>
          <w:rFonts w:ascii="Times New Roman" w:hAnsi="Times New Roman" w:cs="Times New Roman"/>
          <w:noProof/>
          <w:lang w:val="en-US"/>
        </w:rPr>
        <w:lastRenderedPageBreak/>
        <w:drawing>
          <wp:inline distT="0" distB="0" distL="0" distR="0" wp14:anchorId="7E6378E8" wp14:editId="4922639A">
            <wp:extent cx="4157246" cy="3462020"/>
            <wp:effectExtent l="0" t="0" r="0" b="5080"/>
            <wp:docPr id="1263269089" name="Imagen 126326908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69089" name="Imagen 1263269089" descr="Tabla&#10;&#10;Descripción generada automáticamente"/>
                    <pic:cNvPicPr/>
                  </pic:nvPicPr>
                  <pic:blipFill>
                    <a:blip r:embed="rId242"/>
                    <a:stretch>
                      <a:fillRect/>
                    </a:stretch>
                  </pic:blipFill>
                  <pic:spPr>
                    <a:xfrm>
                      <a:off x="0" y="0"/>
                      <a:ext cx="4164255" cy="3467857"/>
                    </a:xfrm>
                    <a:prstGeom prst="rect">
                      <a:avLst/>
                    </a:prstGeom>
                  </pic:spPr>
                </pic:pic>
              </a:graphicData>
            </a:graphic>
          </wp:inline>
        </w:drawing>
      </w:r>
    </w:p>
    <w:p w:rsidRPr="00AE1B2B" w:rsidR="009D3FB5" w:rsidP="00163B94" w:rsidRDefault="009D3FB5" w14:paraId="5830B873" w14:textId="77777777">
      <w:pPr>
        <w:spacing w:before="120" w:after="120" w:line="276" w:lineRule="auto"/>
        <w:ind w:right="616"/>
        <w:jc w:val="right"/>
        <w:rPr>
          <w:rFonts w:ascii="Times New Roman" w:hAnsi="Times New Roman" w:cs="Times New Roman"/>
          <w:i/>
          <w:iCs/>
          <w:sz w:val="24"/>
          <w:szCs w:val="24"/>
        </w:rPr>
      </w:pPr>
      <w:r w:rsidRPr="00AE1B2B">
        <w:rPr>
          <w:rFonts w:ascii="Times New Roman" w:hAnsi="Times New Roman" w:cs="Times New Roman"/>
          <w:i/>
          <w:iCs/>
          <w:sz w:val="24"/>
          <w:szCs w:val="24"/>
        </w:rPr>
        <w:t>…”</w:t>
      </w:r>
    </w:p>
    <w:p w:rsidRPr="00AE1B2B" w:rsidR="009D3FB5" w:rsidP="00163B94" w:rsidRDefault="009D3FB5" w14:paraId="602107D7" w14:textId="77777777">
      <w:pPr>
        <w:spacing w:before="120" w:after="120" w:line="276" w:lineRule="auto"/>
        <w:rPr>
          <w:rFonts w:ascii="Times New Roman" w:hAnsi="Times New Roman" w:cs="Times New Roman"/>
          <w:sz w:val="24"/>
          <w:szCs w:val="24"/>
        </w:rPr>
      </w:pPr>
    </w:p>
    <w:p w:rsidRPr="00AE1B2B" w:rsidR="009D3FB5" w:rsidP="00163B94" w:rsidRDefault="009D3FB5" w14:paraId="6E36AACE" w14:textId="77777777">
      <w:pPr>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Plan 2021</w:t>
      </w:r>
    </w:p>
    <w:p w:rsidRPr="00AE1B2B" w:rsidR="009D3FB5" w:rsidP="00163B94" w:rsidRDefault="009D3FB5" w14:paraId="424389A9" w14:textId="111140EC">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Consejo Superior aprobó por 3 meses, 4 plazas de persona Juzgadora para descongestionamiento en materia de Familia, de conformidad con la sesión 120-2020 celebrada el 17 de diciembre del 2020, artículo XCI.</w:t>
      </w:r>
      <w:r w:rsidRPr="00AE1B2B" w:rsidR="00BB7720">
        <w:rPr>
          <w:rFonts w:ascii="Times New Roman" w:hAnsi="Times New Roman" w:cs="Times New Roman"/>
          <w:sz w:val="26"/>
          <w:szCs w:val="26"/>
        </w:rPr>
        <w:t xml:space="preserve"> </w:t>
      </w:r>
    </w:p>
    <w:p w:rsidRPr="00AE1B2B" w:rsidR="009D3FB5" w:rsidP="00163B94" w:rsidRDefault="009D3FB5" w14:paraId="3404F6B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D7A31B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Durante estos 3 meses, las plazas se avocaron a fallar asuntos pendientes conforme al plan del año anterior y a colaborar con los despachos especializados, según necesidades identificadas por el CAMCFJ. </w:t>
      </w:r>
    </w:p>
    <w:p w:rsidRPr="00AE1B2B" w:rsidR="009D3FB5" w:rsidP="00163B94" w:rsidRDefault="009D3FB5" w14:paraId="13D1DB6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4DBA2E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3979DE" w14:paraId="2906AFD3" w14:textId="65FAD12F">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9</w:t>
      </w:r>
      <w:r w:rsidRPr="00AE1B2B" w:rsidR="009D3FB5">
        <w:rPr>
          <w:rFonts w:ascii="Times New Roman" w:hAnsi="Times New Roman" w:cs="Times New Roman"/>
          <w:sz w:val="26"/>
          <w:szCs w:val="26"/>
        </w:rPr>
        <w:t>.3. Escuela Judicial</w:t>
      </w:r>
    </w:p>
    <w:p w:rsidRPr="00AE1B2B" w:rsidR="009D3FB5" w:rsidP="00163B94" w:rsidRDefault="009D3FB5" w14:paraId="0093F50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72B593E" w14:textId="5BCA101D">
      <w:pPr>
        <w:spacing w:before="120" w:after="120"/>
        <w:ind w:left="851" w:right="851" w:firstLine="709"/>
        <w:jc w:val="both"/>
        <w:rPr>
          <w:rFonts w:ascii="Times New Roman" w:hAnsi="Times New Roman" w:cs="Times New Roman"/>
          <w:sz w:val="26"/>
          <w:szCs w:val="26"/>
        </w:rPr>
      </w:pPr>
      <w:bookmarkStart w:name="_Hlk34658396" w:id="86"/>
      <w:r w:rsidRPr="00AE1B2B">
        <w:rPr>
          <w:rFonts w:ascii="Times New Roman" w:hAnsi="Times New Roman" w:cs="Times New Roman"/>
          <w:sz w:val="26"/>
          <w:szCs w:val="26"/>
        </w:rPr>
        <w:t>Como parte del proyecto de implementación del Código Procesal de Familia, la Escuela Judicial junto con el Juez Gestor del Centro de Apoyo, Coordinación y Mejoramiento de la función Jurisdiccional remitieron el entregable 3.13 (</w:t>
      </w:r>
      <w:r w:rsidRPr="00AE1B2B">
        <w:rPr>
          <w:rFonts w:ascii="Times New Roman" w:hAnsi="Times New Roman" w:cs="Times New Roman"/>
          <w:b/>
          <w:bCs/>
          <w:i/>
          <w:iCs/>
          <w:sz w:val="26"/>
          <w:szCs w:val="26"/>
        </w:rPr>
        <w:t>anexo 23</w:t>
      </w:r>
      <w:r w:rsidRPr="00AE1B2B">
        <w:rPr>
          <w:rFonts w:ascii="Times New Roman" w:hAnsi="Times New Roman" w:cs="Times New Roman"/>
          <w:sz w:val="26"/>
          <w:szCs w:val="26"/>
        </w:rPr>
        <w:t>)</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que detalla el </w:t>
      </w:r>
      <w:r w:rsidRPr="00AE1B2B">
        <w:rPr>
          <w:rFonts w:ascii="Times New Roman" w:hAnsi="Times New Roman" w:cs="Times New Roman"/>
          <w:sz w:val="26"/>
          <w:szCs w:val="26"/>
        </w:rPr>
        <w:lastRenderedPageBreak/>
        <w:t>alcance la capacitación impartida en 2020 con recursos propios de la Escuela Judicial</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y que abarcó:</w:t>
      </w:r>
    </w:p>
    <w:p w:rsidRPr="00AE1B2B" w:rsidR="009D3FB5" w:rsidP="00163B94" w:rsidRDefault="009D3FB5" w14:paraId="650B819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577F3B3" w14:textId="77777777">
      <w:pPr>
        <w:pStyle w:val="Prrafodelista"/>
        <w:numPr>
          <w:ilvl w:val="0"/>
          <w:numId w:val="84"/>
        </w:numPr>
        <w:autoSpaceDE w:val="0"/>
        <w:autoSpaceDN w:val="0"/>
        <w:adjustRightInd w:val="0"/>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lang w:eastAsia="en-US"/>
        </w:rPr>
        <w:t xml:space="preserve">Curso Principales Implicaciones de la Reforma Procesal Familiar: 16 grupos para un total de 240 matriculados. </w:t>
      </w:r>
    </w:p>
    <w:p w:rsidRPr="00AE1B2B" w:rsidR="009D3FB5" w:rsidP="00163B94" w:rsidRDefault="009D3FB5" w14:paraId="65CCCC14" w14:textId="77777777">
      <w:pPr>
        <w:pStyle w:val="Prrafodelista"/>
        <w:numPr>
          <w:ilvl w:val="0"/>
          <w:numId w:val="84"/>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lang w:eastAsia="en-US"/>
        </w:rPr>
        <w:t>Primer acercamiento de la Reforma Procesal Familiarista para la persona técnico judicial: 26 grupos para un total de 685 matriculados</w:t>
      </w:r>
      <w:r w:rsidRPr="00AE1B2B">
        <w:rPr>
          <w:rFonts w:ascii="Times New Roman" w:hAnsi="Times New Roman" w:cs="Times New Roman"/>
          <w:sz w:val="26"/>
          <w:szCs w:val="26"/>
        </w:rPr>
        <w:t xml:space="preserve">. </w:t>
      </w:r>
    </w:p>
    <w:p w:rsidRPr="00AE1B2B" w:rsidR="009D3FB5" w:rsidP="00163B94" w:rsidRDefault="009D3FB5" w14:paraId="7CBE01F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263136C" w14:textId="1A8F9B0C">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Para el 2022, la Escuela Judicial remite el oficio EJ-DIR-029-2021 del 10 de febrero 2021 (</w:t>
      </w:r>
      <w:r w:rsidRPr="00AE1B2B">
        <w:rPr>
          <w:rFonts w:ascii="Times New Roman" w:hAnsi="Times New Roman" w:cs="Times New Roman"/>
          <w:b/>
          <w:bCs/>
          <w:i/>
          <w:iCs/>
          <w:sz w:val="26"/>
          <w:szCs w:val="26"/>
        </w:rPr>
        <w:t>anexo 24</w:t>
      </w:r>
      <w:r w:rsidRPr="00AE1B2B">
        <w:rPr>
          <w:rFonts w:ascii="Times New Roman" w:hAnsi="Times New Roman" w:cs="Times New Roman"/>
          <w:sz w:val="26"/>
          <w:szCs w:val="26"/>
        </w:rPr>
        <w:t>) con el plan de capacitación y presupuesto requerido, todo para la partida de sustituciones del programa 927 por un monto de ₡</w:t>
      </w:r>
      <w:r w:rsidRPr="00AE1B2B" w:rsidR="00A46837">
        <w:rPr>
          <w:rFonts w:ascii="Times New Roman" w:hAnsi="Times New Roman" w:cs="Times New Roman"/>
          <w:sz w:val="26"/>
          <w:szCs w:val="26"/>
        </w:rPr>
        <w:t>84,250,000.00.</w:t>
      </w:r>
    </w:p>
    <w:p w:rsidRPr="00AE1B2B" w:rsidR="009D3FB5" w:rsidP="00163B94" w:rsidRDefault="009D3FB5" w14:paraId="6E84CDFD" w14:textId="7343C6F7">
      <w:pPr>
        <w:spacing w:before="120" w:after="120" w:line="276" w:lineRule="auto"/>
        <w:rPr>
          <w:rFonts w:ascii="Times New Roman" w:hAnsi="Times New Roman" w:cs="Times New Roman"/>
          <w:sz w:val="24"/>
          <w:szCs w:val="24"/>
        </w:rPr>
      </w:pPr>
      <w:r w:rsidRPr="00AE1B2B">
        <w:rPr>
          <w:rFonts w:ascii="Times New Roman" w:hAnsi="Times New Roman" w:cs="Times New Roman"/>
          <w:noProof/>
          <w:sz w:val="24"/>
          <w:szCs w:val="24"/>
          <w:lang w:val="en-US"/>
        </w:rPr>
        <w:lastRenderedPageBreak/>
        <mc:AlternateContent>
          <mc:Choice Requires="wpg">
            <w:drawing>
              <wp:anchor distT="0" distB="0" distL="114300" distR="114300" simplePos="0" relativeHeight="251665408" behindDoc="0" locked="0" layoutInCell="1" allowOverlap="1" wp14:anchorId="4753E695" wp14:editId="78C1C196">
                <wp:simplePos x="0" y="0"/>
                <wp:positionH relativeFrom="column">
                  <wp:posOffset>491490</wp:posOffset>
                </wp:positionH>
                <wp:positionV relativeFrom="paragraph">
                  <wp:posOffset>176530</wp:posOffset>
                </wp:positionV>
                <wp:extent cx="5010150" cy="5468620"/>
                <wp:effectExtent l="0" t="0" r="0" b="0"/>
                <wp:wrapSquare wrapText="bothSides"/>
                <wp:docPr id="1263269095" name="Grupo 1263269095"/>
                <wp:cNvGraphicFramePr/>
                <a:graphic xmlns:a="http://schemas.openxmlformats.org/drawingml/2006/main">
                  <a:graphicData uri="http://schemas.microsoft.com/office/word/2010/wordprocessingGroup">
                    <wpg:wgp>
                      <wpg:cNvGrpSpPr/>
                      <wpg:grpSpPr>
                        <a:xfrm>
                          <a:off x="0" y="0"/>
                          <a:ext cx="5010150" cy="5468620"/>
                          <a:chOff x="0" y="0"/>
                          <a:chExt cx="5539740" cy="6973570"/>
                        </a:xfrm>
                      </wpg:grpSpPr>
                      <pic:pic xmlns:pic="http://schemas.openxmlformats.org/drawingml/2006/picture">
                        <pic:nvPicPr>
                          <pic:cNvPr id="1263269096" name="Imagen 1263269096"/>
                          <pic:cNvPicPr>
                            <a:picLocks noChangeAspect="1"/>
                          </pic:cNvPicPr>
                        </pic:nvPicPr>
                        <pic:blipFill>
                          <a:blip r:embed="rId243">
                            <a:extLst>
                              <a:ext uri="{28A0092B-C50C-407E-A947-70E740481C1C}">
                                <a14:useLocalDpi xmlns:a14="http://schemas.microsoft.com/office/drawing/2010/main" val="0"/>
                              </a:ext>
                            </a:extLst>
                          </a:blip>
                          <a:stretch>
                            <a:fillRect/>
                          </a:stretch>
                        </pic:blipFill>
                        <pic:spPr>
                          <a:xfrm>
                            <a:off x="0" y="0"/>
                            <a:ext cx="5539740" cy="2275205"/>
                          </a:xfrm>
                          <a:prstGeom prst="rect">
                            <a:avLst/>
                          </a:prstGeom>
                        </pic:spPr>
                      </pic:pic>
                      <pic:pic xmlns:pic="http://schemas.openxmlformats.org/drawingml/2006/picture">
                        <pic:nvPicPr>
                          <pic:cNvPr id="1263269097" name="Imagen 1263269097"/>
                          <pic:cNvPicPr>
                            <a:picLocks noChangeAspect="1"/>
                          </pic:cNvPicPr>
                        </pic:nvPicPr>
                        <pic:blipFill rotWithShape="1">
                          <a:blip r:embed="rId244">
                            <a:extLst>
                              <a:ext uri="{28A0092B-C50C-407E-A947-70E740481C1C}">
                                <a14:useLocalDpi xmlns:a14="http://schemas.microsoft.com/office/drawing/2010/main" val="0"/>
                              </a:ext>
                            </a:extLst>
                          </a:blip>
                          <a:srcRect t="8608"/>
                          <a:stretch/>
                        </pic:blipFill>
                        <pic:spPr bwMode="auto">
                          <a:xfrm>
                            <a:off x="47625" y="2200275"/>
                            <a:ext cx="5486400" cy="477329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w14:anchorId="019366F8">
              <v:group id="Grupo 1263269095" style="position:absolute;margin-left:38.7pt;margin-top:13.9pt;width:394.5pt;height:430.6pt;z-index:251665408;mso-width-relative:margin;mso-height-relative:margin" coordsize="55397,69735" o:spid="_x0000_s1026" w14:anchorId="538F27A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">
                <v:shape id="Imagen 1263269096" style="position:absolute;width:55397;height:2275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">
                  <v:imagedata o:title="" r:id="rId245"/>
                </v:shape>
                <v:shape id="Imagen 1263269097" style="position:absolute;left:476;top:22002;width:54864;height:4773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">
                  <v:imagedata croptop="5641f" o:title="" r:id="rId246"/>
                </v:shape>
                <w10:wrap type="square"/>
              </v:group>
            </w:pict>
          </mc:Fallback>
        </mc:AlternateContent>
      </w:r>
    </w:p>
    <w:p w:rsidRPr="00AE1B2B" w:rsidR="009D3FB5" w:rsidP="00163B94" w:rsidRDefault="009D3FB5" w14:paraId="77DF5E50" w14:textId="77777777">
      <w:pPr>
        <w:spacing w:before="120" w:after="120" w:line="276" w:lineRule="auto"/>
        <w:rPr>
          <w:rFonts w:ascii="Times New Roman" w:hAnsi="Times New Roman" w:cs="Times New Roman"/>
          <w:sz w:val="24"/>
          <w:szCs w:val="24"/>
        </w:rPr>
      </w:pPr>
    </w:p>
    <w:p w:rsidRPr="00AE1B2B" w:rsidR="009D3FB5" w:rsidP="00163B94" w:rsidRDefault="009D3FB5" w14:paraId="4F32298F" w14:textId="77777777">
      <w:pPr>
        <w:spacing w:before="120" w:after="120" w:line="276" w:lineRule="auto"/>
        <w:rPr>
          <w:rFonts w:ascii="Times New Roman" w:hAnsi="Times New Roman" w:cs="Times New Roman"/>
          <w:sz w:val="24"/>
          <w:szCs w:val="24"/>
        </w:rPr>
      </w:pPr>
    </w:p>
    <w:p w:rsidRPr="00AE1B2B" w:rsidR="009D3FB5" w:rsidP="00163B94" w:rsidRDefault="009D3FB5" w14:paraId="52712E96" w14:textId="77777777">
      <w:pPr>
        <w:spacing w:before="120" w:after="120" w:line="276" w:lineRule="auto"/>
        <w:rPr>
          <w:rFonts w:ascii="Times New Roman" w:hAnsi="Times New Roman" w:cs="Times New Roman"/>
          <w:sz w:val="24"/>
          <w:szCs w:val="24"/>
        </w:rPr>
      </w:pPr>
    </w:p>
    <w:p w:rsidRPr="00AE1B2B" w:rsidR="009D3FB5" w:rsidP="00163B94" w:rsidRDefault="009D3FB5" w14:paraId="5B150FF3" w14:textId="77777777">
      <w:pPr>
        <w:spacing w:before="120" w:after="120" w:line="276" w:lineRule="auto"/>
        <w:rPr>
          <w:rFonts w:ascii="Times New Roman" w:hAnsi="Times New Roman" w:cs="Times New Roman"/>
          <w:sz w:val="24"/>
          <w:szCs w:val="24"/>
        </w:rPr>
      </w:pPr>
    </w:p>
    <w:p w:rsidRPr="00AE1B2B" w:rsidR="009D3FB5" w:rsidP="00163B94" w:rsidRDefault="009D3FB5" w14:paraId="5211C6DA" w14:textId="77777777">
      <w:pPr>
        <w:spacing w:before="120" w:after="120" w:line="276" w:lineRule="auto"/>
        <w:rPr>
          <w:rFonts w:ascii="Times New Roman" w:hAnsi="Times New Roman" w:cs="Times New Roman"/>
          <w:sz w:val="24"/>
          <w:szCs w:val="24"/>
        </w:rPr>
      </w:pPr>
    </w:p>
    <w:p w:rsidRPr="00AE1B2B" w:rsidR="009D3FB5" w:rsidP="00163B94" w:rsidRDefault="009D3FB5" w14:paraId="0F06706A" w14:textId="77777777">
      <w:pPr>
        <w:spacing w:before="120" w:after="120" w:line="276" w:lineRule="auto"/>
        <w:rPr>
          <w:rFonts w:ascii="Times New Roman" w:hAnsi="Times New Roman" w:cs="Times New Roman"/>
          <w:sz w:val="24"/>
          <w:szCs w:val="24"/>
        </w:rPr>
      </w:pPr>
    </w:p>
    <w:p w:rsidRPr="00AE1B2B" w:rsidR="009D3FB5" w:rsidP="00163B94" w:rsidRDefault="009D3FB5" w14:paraId="05135679" w14:textId="77777777">
      <w:pPr>
        <w:spacing w:before="120" w:after="120" w:line="276" w:lineRule="auto"/>
        <w:rPr>
          <w:rFonts w:ascii="Times New Roman" w:hAnsi="Times New Roman" w:cs="Times New Roman"/>
          <w:sz w:val="24"/>
          <w:szCs w:val="24"/>
        </w:rPr>
      </w:pPr>
    </w:p>
    <w:p w:rsidRPr="00AE1B2B" w:rsidR="009D3FB5" w:rsidP="00163B94" w:rsidRDefault="009D3FB5" w14:paraId="51E909C4" w14:textId="77777777">
      <w:pPr>
        <w:spacing w:before="120" w:after="120" w:line="276" w:lineRule="auto"/>
        <w:rPr>
          <w:rFonts w:ascii="Times New Roman" w:hAnsi="Times New Roman" w:cs="Times New Roman"/>
          <w:sz w:val="24"/>
          <w:szCs w:val="24"/>
        </w:rPr>
      </w:pPr>
    </w:p>
    <w:p w:rsidRPr="00AE1B2B" w:rsidR="009D3FB5" w:rsidP="00163B94" w:rsidRDefault="009D3FB5" w14:paraId="74288BAD" w14:textId="77777777">
      <w:pPr>
        <w:spacing w:before="120" w:after="120" w:line="276" w:lineRule="auto"/>
        <w:rPr>
          <w:rFonts w:ascii="Times New Roman" w:hAnsi="Times New Roman" w:cs="Times New Roman"/>
          <w:sz w:val="24"/>
          <w:szCs w:val="24"/>
        </w:rPr>
      </w:pPr>
    </w:p>
    <w:p w:rsidRPr="00AE1B2B" w:rsidR="009D3FB5" w:rsidP="00163B94" w:rsidRDefault="009D3FB5" w14:paraId="52836621" w14:textId="77777777">
      <w:pPr>
        <w:spacing w:before="120" w:after="120" w:line="276" w:lineRule="auto"/>
        <w:rPr>
          <w:rFonts w:ascii="Times New Roman" w:hAnsi="Times New Roman" w:cs="Times New Roman"/>
          <w:sz w:val="24"/>
          <w:szCs w:val="24"/>
        </w:rPr>
      </w:pPr>
    </w:p>
    <w:p w:rsidRPr="00AE1B2B" w:rsidR="009D3FB5" w:rsidP="00163B94" w:rsidRDefault="009D3FB5" w14:paraId="15F1EA9D" w14:textId="77777777">
      <w:pPr>
        <w:spacing w:before="120" w:after="120" w:line="276" w:lineRule="auto"/>
        <w:rPr>
          <w:rFonts w:ascii="Times New Roman" w:hAnsi="Times New Roman" w:cs="Times New Roman"/>
          <w:sz w:val="24"/>
          <w:szCs w:val="24"/>
        </w:rPr>
      </w:pPr>
    </w:p>
    <w:p w:rsidRPr="00AE1B2B" w:rsidR="009D3FB5" w:rsidP="00163B94" w:rsidRDefault="009D3FB5" w14:paraId="7CC24EB7" w14:textId="77777777">
      <w:pPr>
        <w:spacing w:before="120" w:after="120" w:line="276" w:lineRule="auto"/>
        <w:rPr>
          <w:rFonts w:ascii="Times New Roman" w:hAnsi="Times New Roman" w:cs="Times New Roman"/>
          <w:sz w:val="24"/>
          <w:szCs w:val="24"/>
        </w:rPr>
      </w:pPr>
    </w:p>
    <w:p w:rsidRPr="00AE1B2B" w:rsidR="009D3FB5" w:rsidP="00163B94" w:rsidRDefault="009D3FB5" w14:paraId="4552BFD6" w14:textId="77777777">
      <w:pPr>
        <w:spacing w:before="120" w:after="120" w:line="276" w:lineRule="auto"/>
        <w:rPr>
          <w:rFonts w:ascii="Times New Roman" w:hAnsi="Times New Roman" w:cs="Times New Roman"/>
          <w:sz w:val="24"/>
          <w:szCs w:val="24"/>
        </w:rPr>
      </w:pPr>
    </w:p>
    <w:p w:rsidRPr="00AE1B2B" w:rsidR="009D3FB5" w:rsidP="00163B94" w:rsidRDefault="009D3FB5" w14:paraId="12964A3D" w14:textId="77777777">
      <w:pPr>
        <w:spacing w:before="120" w:after="120" w:line="276" w:lineRule="auto"/>
        <w:rPr>
          <w:rFonts w:ascii="Times New Roman" w:hAnsi="Times New Roman" w:cs="Times New Roman"/>
          <w:sz w:val="24"/>
          <w:szCs w:val="24"/>
        </w:rPr>
      </w:pPr>
    </w:p>
    <w:p w:rsidRPr="00AE1B2B" w:rsidR="009D3FB5" w:rsidP="00163B94" w:rsidRDefault="009D3FB5" w14:paraId="2AAAC34E" w14:textId="77777777">
      <w:pPr>
        <w:spacing w:before="120" w:after="120" w:line="276" w:lineRule="auto"/>
        <w:rPr>
          <w:rFonts w:ascii="Times New Roman" w:hAnsi="Times New Roman" w:cs="Times New Roman"/>
          <w:sz w:val="24"/>
          <w:szCs w:val="24"/>
        </w:rPr>
      </w:pPr>
    </w:p>
    <w:p w:rsidRPr="00AE1B2B" w:rsidR="009D3FB5" w:rsidP="00163B94" w:rsidRDefault="009D3FB5" w14:paraId="74134333" w14:textId="77777777">
      <w:pPr>
        <w:spacing w:before="120" w:after="120" w:line="276" w:lineRule="auto"/>
        <w:rPr>
          <w:rFonts w:ascii="Times New Roman" w:hAnsi="Times New Roman" w:cs="Times New Roman"/>
          <w:sz w:val="24"/>
          <w:szCs w:val="24"/>
        </w:rPr>
      </w:pPr>
    </w:p>
    <w:p w:rsidRPr="00AE1B2B" w:rsidR="009D3FB5" w:rsidP="00163B94" w:rsidRDefault="009D3FB5" w14:paraId="220600C1" w14:textId="77777777">
      <w:pPr>
        <w:spacing w:before="120" w:after="120" w:line="276" w:lineRule="auto"/>
        <w:rPr>
          <w:rFonts w:ascii="Times New Roman" w:hAnsi="Times New Roman" w:cs="Times New Roman"/>
          <w:sz w:val="24"/>
          <w:szCs w:val="24"/>
        </w:rPr>
      </w:pPr>
    </w:p>
    <w:p w:rsidRPr="00AE1B2B" w:rsidR="009D3FB5" w:rsidP="00163B94" w:rsidRDefault="009D3FB5" w14:paraId="5B579E17" w14:textId="77777777">
      <w:pPr>
        <w:spacing w:before="120" w:after="120" w:line="276" w:lineRule="auto"/>
        <w:rPr>
          <w:rFonts w:ascii="Times New Roman" w:hAnsi="Times New Roman" w:cs="Times New Roman"/>
          <w:sz w:val="24"/>
          <w:szCs w:val="24"/>
        </w:rPr>
      </w:pPr>
    </w:p>
    <w:p w:rsidRPr="00AE1B2B" w:rsidR="009D3FB5" w:rsidP="00163B94" w:rsidRDefault="009D3FB5" w14:paraId="4B58B81D" w14:textId="77777777">
      <w:pPr>
        <w:spacing w:before="120" w:after="120" w:line="276" w:lineRule="auto"/>
        <w:rPr>
          <w:rFonts w:ascii="Times New Roman" w:hAnsi="Times New Roman" w:cs="Times New Roman"/>
          <w:sz w:val="24"/>
          <w:szCs w:val="24"/>
        </w:rPr>
      </w:pPr>
    </w:p>
    <w:p w:rsidRPr="00AE1B2B" w:rsidR="009D3FB5" w:rsidP="00163B94" w:rsidRDefault="009D3FB5" w14:paraId="259C0F9F" w14:textId="77777777">
      <w:pPr>
        <w:spacing w:before="120" w:after="120" w:line="276" w:lineRule="auto"/>
        <w:rPr>
          <w:rFonts w:ascii="Times New Roman" w:hAnsi="Times New Roman" w:cs="Times New Roman"/>
          <w:sz w:val="24"/>
          <w:szCs w:val="24"/>
        </w:rPr>
      </w:pPr>
    </w:p>
    <w:p w:rsidRPr="00AE1B2B" w:rsidR="009D3FB5" w:rsidP="00163B94" w:rsidRDefault="009D3FB5" w14:paraId="6F100D7E" w14:textId="77777777">
      <w:pPr>
        <w:spacing w:before="120" w:after="120" w:line="276" w:lineRule="auto"/>
        <w:rPr>
          <w:rFonts w:ascii="Times New Roman" w:hAnsi="Times New Roman" w:cs="Times New Roman"/>
          <w:sz w:val="24"/>
          <w:szCs w:val="24"/>
        </w:rPr>
      </w:pPr>
    </w:p>
    <w:p w:rsidRPr="00AE1B2B" w:rsidR="009D3FB5" w:rsidP="00163B94" w:rsidRDefault="009D3FB5" w14:paraId="55E28698" w14:textId="77777777">
      <w:pPr>
        <w:spacing w:before="120" w:after="120" w:line="276" w:lineRule="auto"/>
        <w:rPr>
          <w:rFonts w:ascii="Times New Roman" w:hAnsi="Times New Roman" w:cs="Times New Roman"/>
          <w:sz w:val="24"/>
          <w:szCs w:val="24"/>
        </w:rPr>
      </w:pPr>
    </w:p>
    <w:p w:rsidRPr="00AE1B2B" w:rsidR="009D3FB5" w:rsidP="00163B94" w:rsidRDefault="009D3FB5" w14:paraId="6E525DBE" w14:textId="77777777">
      <w:pPr>
        <w:spacing w:before="120" w:after="120" w:line="276" w:lineRule="auto"/>
        <w:rPr>
          <w:rFonts w:ascii="Times New Roman" w:hAnsi="Times New Roman" w:cs="Times New Roman"/>
          <w:b/>
          <w:bCs/>
          <w:sz w:val="24"/>
          <w:szCs w:val="24"/>
        </w:rPr>
      </w:pPr>
    </w:p>
    <w:p w:rsidRPr="00AE1B2B" w:rsidR="009D3FB5" w:rsidP="00163B94" w:rsidRDefault="009D3FB5" w14:paraId="68E32AC5" w14:textId="77777777">
      <w:pPr>
        <w:spacing w:before="120" w:after="120"/>
        <w:rPr>
          <w:rFonts w:ascii="Times New Roman" w:hAnsi="Times New Roman" w:cs="Times New Roman"/>
          <w:lang w:val="es-ES_tradnl"/>
        </w:rPr>
      </w:pPr>
    </w:p>
    <w:p w:rsidRPr="00AE1B2B" w:rsidR="009D3FB5" w:rsidP="00163B94" w:rsidRDefault="009D3FB5" w14:paraId="6DECC55E" w14:textId="77777777">
      <w:pPr>
        <w:spacing w:before="120" w:after="120"/>
        <w:rPr>
          <w:rFonts w:ascii="Times New Roman" w:hAnsi="Times New Roman" w:cs="Times New Roman"/>
          <w:lang w:val="es-ES_tradnl"/>
        </w:rPr>
      </w:pPr>
    </w:p>
    <w:p w:rsidRPr="00AE1B2B" w:rsidR="009D3FB5" w:rsidP="00163B94" w:rsidRDefault="009D3FB5" w14:paraId="2F5CA661" w14:textId="77777777">
      <w:pPr>
        <w:spacing w:before="120" w:after="120" w:line="259" w:lineRule="auto"/>
        <w:rPr>
          <w:rFonts w:ascii="Times New Roman" w:hAnsi="Times New Roman" w:cs="Times New Roman"/>
          <w:lang w:val="es-ES_tradnl"/>
        </w:rPr>
      </w:pPr>
      <w:r w:rsidRPr="00AE1B2B">
        <w:rPr>
          <w:rFonts w:ascii="Times New Roman" w:hAnsi="Times New Roman" w:cs="Times New Roman"/>
          <w:lang w:val="es-ES_tradnl"/>
        </w:rPr>
        <w:br w:type="page"/>
      </w:r>
    </w:p>
    <w:bookmarkEnd w:id="86"/>
    <w:p w:rsidRPr="00AE1B2B" w:rsidR="009D3FB5" w:rsidP="00163B94" w:rsidRDefault="003979DE" w14:paraId="10679B34" w14:textId="12FB49FE">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9</w:t>
      </w:r>
      <w:r w:rsidRPr="00AE1B2B" w:rsidR="009D3FB5">
        <w:rPr>
          <w:rFonts w:ascii="Times New Roman" w:hAnsi="Times New Roman" w:cs="Times New Roman"/>
          <w:sz w:val="26"/>
          <w:szCs w:val="26"/>
        </w:rPr>
        <w:t>.4. Dirección de Tecnología de Información</w:t>
      </w:r>
    </w:p>
    <w:p w:rsidRPr="00AE1B2B" w:rsidR="009D3FB5" w:rsidP="00163B94" w:rsidRDefault="009D3FB5" w14:paraId="71B9C3B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E95918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Dirección de Tecnología de la Información remite mediante oficio 390-DTI-2021 el requerimiento presupuestario 2022 para la Reforma de Familia (</w:t>
      </w:r>
      <w:r w:rsidRPr="00AE1B2B">
        <w:rPr>
          <w:rFonts w:ascii="Times New Roman" w:hAnsi="Times New Roman" w:cs="Times New Roman"/>
          <w:b/>
          <w:bCs/>
          <w:i/>
          <w:iCs/>
          <w:sz w:val="26"/>
          <w:szCs w:val="26"/>
        </w:rPr>
        <w:t>anexo 25</w:t>
      </w:r>
      <w:r w:rsidRPr="00AE1B2B">
        <w:rPr>
          <w:rFonts w:ascii="Times New Roman" w:hAnsi="Times New Roman" w:cs="Times New Roman"/>
          <w:sz w:val="26"/>
          <w:szCs w:val="26"/>
        </w:rPr>
        <w:t xml:space="preserve">). </w:t>
      </w:r>
    </w:p>
    <w:p w:rsidRPr="00AE1B2B" w:rsidR="009D3FB5" w:rsidP="00163B94" w:rsidRDefault="009D3FB5" w14:paraId="4AFBD5D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A48243A"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p>
    <w:p w:rsidRPr="00AE1B2B" w:rsidR="009D3FB5" w:rsidP="00163B94" w:rsidRDefault="009D3FB5" w14:paraId="7CA28D99" w14:textId="65C6B95D">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Sobre los requerimientos, según lo indicado en el correo adjunto al presente oficio, se tiene un costo de </w:t>
      </w:r>
      <w:r w:rsidRPr="00AE1B2B">
        <w:rPr>
          <w:rFonts w:ascii="Times New Roman" w:hAnsi="Times New Roman" w:cs="Times New Roman"/>
          <w:b/>
          <w:bCs/>
          <w:i/>
          <w:iCs/>
          <w:sz w:val="26"/>
          <w:szCs w:val="26"/>
        </w:rPr>
        <w:t>5 886 644,6 colones</w:t>
      </w:r>
      <w:r w:rsidRPr="00AE1B2B">
        <w:rPr>
          <w:rFonts w:ascii="Times New Roman" w:hAnsi="Times New Roman" w:cs="Times New Roman"/>
          <w:i/>
          <w:iCs/>
          <w:sz w:val="26"/>
          <w:szCs w:val="26"/>
        </w:rPr>
        <w:t xml:space="preserve"> por concepto de aprovisionamiento de equipo de cómputo y licencias para el correo online a 8 plazas de técnicos(as) judiciales y 1 licencia de Microsoft 365 (E3) para una plaza de juez(a), dicho monto se encuentra desglosado en el siguiente cuadro:</w:t>
      </w:r>
    </w:p>
    <w:p w:rsidRPr="00AE1B2B" w:rsidR="00A46837" w:rsidP="00163B94" w:rsidRDefault="00A46837" w14:paraId="13C20928"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031F2032" w14:textId="77777777">
      <w:pPr>
        <w:spacing w:before="120" w:after="120" w:line="360" w:lineRule="auto"/>
        <w:ind w:left="567" w:right="616"/>
        <w:jc w:val="center"/>
        <w:rPr>
          <w:rFonts w:ascii="Times New Roman" w:hAnsi="Times New Roman" w:cs="Times New Roman"/>
          <w:i/>
          <w:iCs/>
        </w:rPr>
      </w:pPr>
      <w:r w:rsidRPr="00AE1B2B">
        <w:rPr>
          <w:rFonts w:ascii="Times New Roman" w:hAnsi="Times New Roman" w:cs="Times New Roman"/>
          <w:i/>
          <w:iCs/>
          <w:noProof/>
          <w:lang w:val="en-US"/>
        </w:rPr>
        <w:drawing>
          <wp:inline distT="0" distB="0" distL="0" distR="0" wp14:anchorId="3C2C8111" wp14:editId="12604078">
            <wp:extent cx="4899406" cy="2741295"/>
            <wp:effectExtent l="0" t="0" r="0" b="1905"/>
            <wp:docPr id="1263269101" name="Imagen 126326910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69101" name="Imagen 1263269101" descr="Tabla&#10;&#10;Descripción generada automáticamente"/>
                    <pic:cNvPicPr/>
                  </pic:nvPicPr>
                  <pic:blipFill>
                    <a:blip r:embed="rId247"/>
                    <a:stretch>
                      <a:fillRect/>
                    </a:stretch>
                  </pic:blipFill>
                  <pic:spPr>
                    <a:xfrm>
                      <a:off x="0" y="0"/>
                      <a:ext cx="4913446" cy="2749151"/>
                    </a:xfrm>
                    <a:prstGeom prst="rect">
                      <a:avLst/>
                    </a:prstGeom>
                  </pic:spPr>
                </pic:pic>
              </a:graphicData>
            </a:graphic>
          </wp:inline>
        </w:drawing>
      </w:r>
    </w:p>
    <w:p w:rsidRPr="00AE1B2B" w:rsidR="009D3FB5" w:rsidP="00163B94" w:rsidRDefault="009D3FB5" w14:paraId="5C22CA2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Sobre mejoras solicitadas, se tiene una solicitud de mejora en el Sistema Escritorio Virtual relacionada a los repartos por procedimiento, la cual será asumida por el recurso ordinario del Subproceso de Sistemas Jurisdiccionales.</w:t>
      </w:r>
    </w:p>
    <w:p w:rsidRPr="00AE1B2B" w:rsidR="009D3FB5" w:rsidP="00163B94" w:rsidRDefault="009D3FB5" w14:paraId="3DB1DF2F"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En cuanto a la atención del requerimiento de una página web para la Reforma Procesal de Familia, considerando que no se tienen definidos los requisitos para el diseño y desarrollo del sitio, la Dirección de Tecnología de la Información se basó en la experiencia con otros sitos que se han desarrollado, por lo que se estima que se requiere alrededor de 15 000 000,00 colones.</w:t>
      </w:r>
    </w:p>
    <w:p w:rsidRPr="00AE1B2B" w:rsidR="009D3FB5" w:rsidP="00163B94" w:rsidRDefault="009D3FB5" w14:paraId="6BCBF493"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b/>
          <w:bCs/>
          <w:i/>
          <w:iCs/>
          <w:sz w:val="26"/>
          <w:szCs w:val="26"/>
        </w:rPr>
        <w:lastRenderedPageBreak/>
        <w:t>El presupuesto final es de 20 886 644,6 colones</w:t>
      </w:r>
      <w:r w:rsidRPr="00AE1B2B">
        <w:rPr>
          <w:rFonts w:ascii="Times New Roman" w:hAnsi="Times New Roman" w:cs="Times New Roman"/>
          <w:i/>
          <w:iCs/>
          <w:sz w:val="26"/>
          <w:szCs w:val="26"/>
        </w:rPr>
        <w:t>. Es importante señalar que en caso de cambiar el escenario o varíen los requerimientos indicados en el correo adjunto, se debe realizar nuevamente el cálculo de los costos de tecnología con las nuevas especificaciones</w:t>
      </w:r>
    </w:p>
    <w:p w:rsidRPr="00AE1B2B" w:rsidR="009D3FB5" w:rsidP="00163B94" w:rsidRDefault="009D3FB5" w14:paraId="0A7297D4"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p>
    <w:p w:rsidRPr="00AE1B2B" w:rsidR="009D3FB5" w:rsidP="00163B94" w:rsidRDefault="009D3FB5" w14:paraId="69374D3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3979DE" w14:paraId="09996550" w14:textId="6A3EEE1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9</w:t>
      </w:r>
      <w:r w:rsidRPr="00AE1B2B" w:rsidR="009D3FB5">
        <w:rPr>
          <w:rFonts w:ascii="Times New Roman" w:hAnsi="Times New Roman" w:cs="Times New Roman"/>
          <w:sz w:val="26"/>
          <w:szCs w:val="26"/>
        </w:rPr>
        <w:t>.5. Dirección de Gestión Humana</w:t>
      </w:r>
    </w:p>
    <w:p w:rsidRPr="00AE1B2B" w:rsidR="009D3FB5" w:rsidP="00163B94" w:rsidRDefault="009D3FB5" w14:paraId="5CD061F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Para 2021 esta dependencia no formuló presupuesto para la reforma al Código de Familia, por lo que se mantiene así para 2022, y las acciones necesarias para la realización del entregable </w:t>
      </w:r>
      <w:r w:rsidRPr="00AE1B2B">
        <w:rPr>
          <w:rFonts w:ascii="Times New Roman" w:hAnsi="Times New Roman" w:cs="Times New Roman"/>
          <w:i/>
          <w:iCs/>
          <w:sz w:val="26"/>
          <w:szCs w:val="26"/>
        </w:rPr>
        <w:t>“3.10. Informe de readecuación perfiles y gestión del cambio y evaluación DGH”</w:t>
      </w:r>
      <w:r w:rsidRPr="00AE1B2B">
        <w:rPr>
          <w:rFonts w:ascii="Times New Roman" w:hAnsi="Times New Roman" w:cs="Times New Roman"/>
          <w:sz w:val="26"/>
          <w:szCs w:val="26"/>
        </w:rPr>
        <w:t xml:space="preserve"> deberán ser asumidas con recursos propios-ordinarios en coordinación con la Gestoría como hasta la fecha. </w:t>
      </w:r>
    </w:p>
    <w:p w:rsidRPr="00AE1B2B" w:rsidR="009D3FB5" w:rsidP="00163B94" w:rsidRDefault="009D3FB5" w14:paraId="414BFC07" w14:textId="77777777">
      <w:pPr>
        <w:spacing w:before="120" w:after="120"/>
        <w:ind w:left="851" w:right="851" w:firstLine="709"/>
        <w:jc w:val="both"/>
        <w:rPr>
          <w:rFonts w:ascii="Times New Roman" w:hAnsi="Times New Roman" w:cs="Times New Roman"/>
          <w:sz w:val="26"/>
          <w:szCs w:val="26"/>
        </w:rPr>
      </w:pPr>
    </w:p>
    <w:p w:rsidRPr="00AE1B2B" w:rsidR="009D3FB5" w:rsidDel="00B554F7" w:rsidP="00163B94" w:rsidRDefault="009D3FB5" w14:paraId="1B107F92" w14:textId="77777777">
      <w:pPr>
        <w:spacing w:before="120" w:after="120" w:line="276" w:lineRule="auto"/>
        <w:rPr>
          <w:rFonts w:ascii="Times New Roman" w:hAnsi="Times New Roman" w:cs="Times New Roman"/>
          <w:sz w:val="24"/>
          <w:szCs w:val="24"/>
        </w:rPr>
      </w:pPr>
      <w:r w:rsidRPr="00AE1B2B">
        <w:rPr>
          <w:rFonts w:ascii="Times New Roman" w:hAnsi="Times New Roman" w:cs="Times New Roman"/>
          <w:sz w:val="24"/>
          <w:szCs w:val="24"/>
        </w:rPr>
        <w:t xml:space="preserve"> </w:t>
      </w:r>
    </w:p>
    <w:tbl>
      <w:tblPr>
        <w:tblW w:w="0" w:type="auto"/>
        <w:jc w:val="center"/>
        <w:tblBorders>
          <w:top w:val="single" w:color="B1BBCC" w:sz="4" w:space="0"/>
          <w:left w:val="single" w:color="B1BBCC" w:sz="4" w:space="0"/>
          <w:bottom w:val="single" w:color="B1BBCC" w:sz="4" w:space="0"/>
          <w:right w:val="single" w:color="B1BBCC" w:sz="4" w:space="0"/>
        </w:tblBorders>
        <w:tblCellMar>
          <w:top w:w="12" w:type="dxa"/>
          <w:left w:w="12" w:type="dxa"/>
          <w:bottom w:w="12" w:type="dxa"/>
          <w:right w:w="12" w:type="dxa"/>
        </w:tblCellMar>
        <w:tblLook w:val="04A0" w:firstRow="1" w:lastRow="0" w:firstColumn="1" w:lastColumn="0" w:noHBand="0" w:noVBand="1"/>
      </w:tblPr>
      <w:tblGrid>
        <w:gridCol w:w="3327"/>
        <w:gridCol w:w="1183"/>
        <w:gridCol w:w="1402"/>
        <w:gridCol w:w="1228"/>
        <w:gridCol w:w="1688"/>
      </w:tblGrid>
      <w:tr w:rsidRPr="00AE1B2B" w:rsidR="00AE1B2B" w:rsidTr="009D3FB5" w14:paraId="508BEF00" w14:textId="77777777">
        <w:trPr>
          <w:jc w:val="center"/>
        </w:trPr>
        <w:tc>
          <w:tcPr>
            <w:tcW w:w="736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62FAD483"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shd w:val="clear" w:color="auto" w:fill="DFE3E8"/>
                <w:lang w:eastAsia="es-CR"/>
              </w:rPr>
              <w:t>Nombre de tarea</w:t>
            </w:r>
          </w:p>
        </w:tc>
        <w:tc>
          <w:tcPr>
            <w:tcW w:w="160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4BB78293"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shd w:val="clear" w:color="auto" w:fill="DFE3E8"/>
                <w:lang w:eastAsia="es-CR"/>
              </w:rPr>
              <w:t>Duración</w:t>
            </w:r>
          </w:p>
        </w:tc>
        <w:tc>
          <w:tcPr>
            <w:tcW w:w="20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5A192B33"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shd w:val="clear" w:color="auto" w:fill="DFE3E8"/>
                <w:lang w:eastAsia="es-CR"/>
              </w:rPr>
              <w:t>Comienzo</w:t>
            </w:r>
          </w:p>
        </w:tc>
        <w:tc>
          <w:tcPr>
            <w:tcW w:w="184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129B2FA7"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shd w:val="clear" w:color="auto" w:fill="DFE3E8"/>
                <w:lang w:eastAsia="es-CR"/>
              </w:rPr>
              <w:t>Fin</w:t>
            </w:r>
          </w:p>
        </w:tc>
        <w:tc>
          <w:tcPr>
            <w:tcW w:w="26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667FD143"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shd w:val="clear" w:color="auto" w:fill="DFE3E8"/>
                <w:lang w:eastAsia="es-CR"/>
              </w:rPr>
              <w:t>% completado</w:t>
            </w:r>
          </w:p>
        </w:tc>
      </w:tr>
      <w:tr w:rsidRPr="00AE1B2B" w:rsidR="00AE1B2B" w:rsidTr="009D3FB5" w14:paraId="52989336" w14:textId="77777777">
        <w:trPr>
          <w:jc w:val="center"/>
        </w:trPr>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35CAFEA"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b/>
                <w:bCs/>
                <w:sz w:val="26"/>
                <w:szCs w:val="26"/>
                <w:lang w:eastAsia="es-CR"/>
              </w:rPr>
              <w:t>3.10. Informe de readecuación perfiles y gestión del cambio y evaluación DGH</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5D5607A"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b/>
                <w:bCs/>
                <w:sz w:val="26"/>
                <w:szCs w:val="26"/>
                <w:lang w:eastAsia="es-CR"/>
              </w:rPr>
              <w:t>379.81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5E2F233"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b/>
                <w:bCs/>
                <w:sz w:val="26"/>
                <w:szCs w:val="26"/>
                <w:lang w:eastAsia="es-CR"/>
              </w:rPr>
              <w:t>lun 13/01/20</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E726C1C"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b/>
                <w:bCs/>
                <w:sz w:val="26"/>
                <w:szCs w:val="26"/>
                <w:lang w:eastAsia="es-CR"/>
              </w:rPr>
              <w:t>vie 30/07/21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6AA695C"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b/>
                <w:bCs/>
                <w:sz w:val="26"/>
                <w:szCs w:val="26"/>
                <w:lang w:eastAsia="es-CR"/>
              </w:rPr>
              <w:t>47%</w:t>
            </w:r>
          </w:p>
        </w:tc>
      </w:tr>
      <w:tr w:rsidRPr="00AE1B2B" w:rsidR="00AE1B2B" w:rsidTr="009D3FB5" w14:paraId="68E0996E" w14:textId="77777777">
        <w:trPr>
          <w:jc w:val="center"/>
        </w:trPr>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42545F93" w14:textId="40D458D4">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 xml:space="preserve"> </w:t>
            </w:r>
            <w:r w:rsidRPr="00AE1B2B" w:rsidR="009D3FB5">
              <w:rPr>
                <w:rFonts w:ascii="Times New Roman" w:hAnsi="Times New Roman" w:eastAsia="Times New Roman" w:cs="Times New Roman"/>
                <w:sz w:val="26"/>
                <w:szCs w:val="26"/>
                <w:lang w:eastAsia="es-CR"/>
              </w:rPr>
              <w:t xml:space="preserve">Diseño de Perfiles </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9E365E4"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379.81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3C8AD59"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lun 13/01/20</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4AF2126"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vie 30/07/21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D978545"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60%</w:t>
            </w:r>
          </w:p>
        </w:tc>
      </w:tr>
      <w:tr w:rsidRPr="00AE1B2B" w:rsidR="00AE1B2B" w:rsidTr="009D3FB5" w14:paraId="70AE2B4E" w14:textId="77777777">
        <w:trPr>
          <w:jc w:val="center"/>
        </w:trPr>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0B6B0A6C" w14:textId="6B323C21">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 xml:space="preserve"> </w:t>
            </w:r>
            <w:r w:rsidRPr="00AE1B2B" w:rsidR="009D3FB5">
              <w:rPr>
                <w:rFonts w:ascii="Times New Roman" w:hAnsi="Times New Roman" w:eastAsia="Times New Roman" w:cs="Times New Roman"/>
                <w:sz w:val="26"/>
                <w:szCs w:val="26"/>
                <w:lang w:eastAsia="es-CR"/>
              </w:rPr>
              <w:t>Preparación para el cambio</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47B9592"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100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425CEB1"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lun 13/04/20</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9772F2C"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lun 31/08/20</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C5980C7"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100%</w:t>
            </w:r>
          </w:p>
        </w:tc>
      </w:tr>
      <w:tr w:rsidRPr="00AE1B2B" w:rsidR="00AE1B2B" w:rsidTr="009D3FB5" w14:paraId="731A6D1B" w14:textId="77777777">
        <w:trPr>
          <w:jc w:val="center"/>
        </w:trPr>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64C04772" w14:textId="1B6B1BC8">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 xml:space="preserve"> </w:t>
            </w:r>
            <w:r w:rsidRPr="00AE1B2B" w:rsidR="009D3FB5">
              <w:rPr>
                <w:rFonts w:ascii="Times New Roman" w:hAnsi="Times New Roman" w:eastAsia="Times New Roman" w:cs="Times New Roman"/>
                <w:sz w:val="26"/>
                <w:szCs w:val="26"/>
                <w:lang w:eastAsia="es-CR"/>
              </w:rPr>
              <w:t>Abordaje de Ambiente Laboral</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F81C0D9"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90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FD015E7"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mar 01/09/20</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CE52D4A"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vie 22/01/21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F0738CA"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0%</w:t>
            </w:r>
          </w:p>
        </w:tc>
      </w:tr>
      <w:tr w:rsidRPr="00AE1B2B" w:rsidR="00AE1B2B" w:rsidTr="009D3FB5" w14:paraId="65965F33" w14:textId="77777777">
        <w:trPr>
          <w:jc w:val="center"/>
        </w:trPr>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57D888D6" w14:textId="0D9A8A9B">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 xml:space="preserve"> </w:t>
            </w:r>
            <w:r w:rsidRPr="00AE1B2B" w:rsidR="009D3FB5">
              <w:rPr>
                <w:rFonts w:ascii="Times New Roman" w:hAnsi="Times New Roman" w:eastAsia="Times New Roman" w:cs="Times New Roman"/>
                <w:sz w:val="26"/>
                <w:szCs w:val="26"/>
                <w:lang w:eastAsia="es-CR"/>
              </w:rPr>
              <w:t>Elaboración de nuevos contenidos e ítems de examen de judicatura</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9066677"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95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595AC35"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jue 01/10/20</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9FC6A50"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lun 01/03/21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38738AF"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0%</w:t>
            </w:r>
          </w:p>
        </w:tc>
      </w:tr>
      <w:tr w:rsidRPr="00AE1B2B" w:rsidR="00AE1B2B" w:rsidTr="009D3FB5" w14:paraId="36A54C7F" w14:textId="77777777">
        <w:trPr>
          <w:jc w:val="center"/>
        </w:trPr>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54CF0842" w14:textId="0B0B47C3">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 xml:space="preserve"> </w:t>
            </w:r>
            <w:r w:rsidRPr="00AE1B2B" w:rsidR="009D3FB5">
              <w:rPr>
                <w:rFonts w:ascii="Times New Roman" w:hAnsi="Times New Roman" w:eastAsia="Times New Roman" w:cs="Times New Roman"/>
                <w:sz w:val="26"/>
                <w:szCs w:val="26"/>
                <w:lang w:eastAsia="es-CR"/>
              </w:rPr>
              <w:t>Capacitación Virtual (Capacítate)</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57CB8ED"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95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CCF139F"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lun 24/08/20</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F308517"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jue 21/01/21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36EA464" w14:textId="77777777">
            <w:pPr>
              <w:spacing w:before="120" w:after="120"/>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28%</w:t>
            </w:r>
          </w:p>
        </w:tc>
      </w:tr>
    </w:tbl>
    <w:p w:rsidRPr="00AE1B2B" w:rsidR="009D3FB5" w:rsidP="00163B94" w:rsidRDefault="009D3FB5" w14:paraId="7E747881" w14:textId="77777777">
      <w:pPr>
        <w:spacing w:before="120" w:after="120" w:line="276" w:lineRule="auto"/>
        <w:rPr>
          <w:rFonts w:ascii="Times New Roman" w:hAnsi="Times New Roman" w:cs="Times New Roman"/>
          <w:sz w:val="24"/>
          <w:szCs w:val="24"/>
        </w:rPr>
      </w:pPr>
    </w:p>
    <w:p w:rsidRPr="00AE1B2B" w:rsidR="009D3FB5" w:rsidP="00163B94" w:rsidRDefault="009D3FB5" w14:paraId="553FDAEF" w14:textId="77777777">
      <w:pPr>
        <w:spacing w:before="120" w:after="120" w:line="276" w:lineRule="auto"/>
        <w:rPr>
          <w:rFonts w:ascii="Times New Roman" w:hAnsi="Times New Roman" w:cs="Times New Roman"/>
          <w:sz w:val="24"/>
          <w:szCs w:val="24"/>
        </w:rPr>
      </w:pPr>
    </w:p>
    <w:p w:rsidRPr="00AE1B2B" w:rsidR="009D3FB5" w:rsidP="00163B94" w:rsidRDefault="003979DE" w14:paraId="0DBED639" w14:textId="51D0A285">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9</w:t>
      </w:r>
      <w:r w:rsidRPr="00AE1B2B" w:rsidR="009D3FB5">
        <w:rPr>
          <w:rFonts w:ascii="Times New Roman" w:hAnsi="Times New Roman" w:cs="Times New Roman"/>
          <w:sz w:val="26"/>
          <w:szCs w:val="26"/>
        </w:rPr>
        <w:t>.6. Dirección de Planificación</w:t>
      </w:r>
    </w:p>
    <w:p w:rsidRPr="00AE1B2B" w:rsidR="009D3FB5" w:rsidP="00163B94" w:rsidRDefault="009D3FB5" w14:paraId="6D2D028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Auditoría Judicial mediante informe 60-08-SAO-2017, destaca en la recomendación 4.1. la siguiente solicitud a la Dirección de Planificación:</w:t>
      </w:r>
    </w:p>
    <w:p w:rsidRPr="00AE1B2B" w:rsidR="009D3FB5" w:rsidP="00163B94" w:rsidRDefault="009D3FB5" w14:paraId="72C7BDC0"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p>
    <w:p w:rsidRPr="00AE1B2B" w:rsidR="009D3FB5" w:rsidP="00163B94" w:rsidRDefault="009D3FB5" w14:paraId="73C7698E"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4.1. Realizar un estudio de las cargas de trabajo, plazas asignadas y rendimiento en los juzgados especializados de Familia del país, en aras de determinar si en la actualidad existe o no una distribución equitativa de las labores encomendadas en función del recurso existente, maximizar y orientar los recursos instituciones, se ajusten los modelos de trabajo, según sea necesario, para mejorar la efectividad de los procesos bajo su responsabilidad. Lo anterior, de conformidad con los cambios que se implementen en la jurisdicción de familia con la reforma procesal que se implementará. </w:t>
      </w:r>
    </w:p>
    <w:p w:rsidRPr="00AE1B2B" w:rsidR="009D3FB5" w:rsidP="00163B94" w:rsidRDefault="009D3FB5" w14:paraId="442961B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i/>
          <w:iCs/>
          <w:sz w:val="26"/>
          <w:szCs w:val="26"/>
        </w:rPr>
        <w:t>…”</w:t>
      </w:r>
    </w:p>
    <w:p w:rsidRPr="00AE1B2B" w:rsidR="009D3FB5" w:rsidP="00163B94" w:rsidRDefault="009D3FB5" w14:paraId="0295E64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BAFC18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línea con lo anterior, es importante agregar que, para el exitoso proceso de implementación de la Reforma Procesal de Familia, una de las acciones prioritarias a ejecutar la constituye el proceso previo de diagnóstico de las oficinas judiciales que conocen de esas materias a nivel nacional, lo que concuerda con la solicitud de estudio recomendado por la Auditoría Judicial, donde a partir de esa etapa, se abordará toda la Jurisdicción a nivel nacional. Básicamente la línea de acción es la que se ha venido ejecutando desde la implementación de la Reforma al Código de Trabajo, Reforma Procesal Civil y Código Procesal Agrario.</w:t>
      </w:r>
    </w:p>
    <w:p w:rsidRPr="00AE1B2B" w:rsidR="009D3FB5" w:rsidP="00163B94" w:rsidRDefault="009D3FB5" w14:paraId="30A0376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D7B4A36" w14:textId="2245CEE6">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particularidad en Familia fue que la implementación de este proyecto ha tenido que desarrollarse en forma simultánea con la atención de las recomendaciones emitidas por la Contraloría General de la República y los plazos establecidos por el órgano contralor para el cumplimiento de cada una de ellas; lo que implicado ajustes en el cronograma del proyecto tal y como está debidamente documentado en el sitio del proyecto.</w:t>
      </w:r>
      <w:r w:rsidRPr="00AE1B2B" w:rsidR="00BB7720">
        <w:rPr>
          <w:rFonts w:ascii="Times New Roman" w:hAnsi="Times New Roman" w:cs="Times New Roman"/>
          <w:sz w:val="26"/>
          <w:szCs w:val="26"/>
        </w:rPr>
        <w:t xml:space="preserve"> </w:t>
      </w:r>
    </w:p>
    <w:p w:rsidRPr="00AE1B2B" w:rsidR="009D3FB5" w:rsidP="00163B94" w:rsidRDefault="009D3FB5" w14:paraId="4DDAA58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80CF07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Durante el diagnóstico se busca detectar diferentes oportunidades a nivel estructural o de metodología de trabajo, bajo el modelo de sostenibilidad, con el establecimiento de cuotas de trabajo, </w:t>
      </w:r>
      <w:r w:rsidRPr="00AE1B2B">
        <w:rPr>
          <w:rFonts w:ascii="Times New Roman" w:hAnsi="Times New Roman" w:cs="Times New Roman"/>
          <w:sz w:val="26"/>
          <w:szCs w:val="26"/>
        </w:rPr>
        <w:lastRenderedPageBreak/>
        <w:t>indicadores de Gestión entre otras medidas a implementar y que permita e involucrar a la oficina en el proceso de autogestión y modelo de sostenibilidad aplicado a los despachos que han sido diagnosticados por la Dirección de Planificación.</w:t>
      </w:r>
    </w:p>
    <w:p w:rsidRPr="00AE1B2B" w:rsidR="009D3FB5" w:rsidP="00163B94" w:rsidRDefault="009D3FB5" w14:paraId="037165C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059B897" w14:textId="2342F5DE">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Sin embargo, para el caso particular de los Juzgados de Familia, Pensiones y Violencia Doméstica y con la coyuntura de cumplimiento de recomendaciones emitidas por la Contraloría General de la República en el informe DFOE-PG-0098 (2683)-2020, relacionado con el informe DFOE-PG-IF-00002-2020 </w:t>
      </w:r>
      <w:r w:rsidRPr="00AE1B2B">
        <w:rPr>
          <w:rFonts w:ascii="Times New Roman" w:hAnsi="Times New Roman" w:cs="Times New Roman"/>
          <w:i/>
          <w:iCs/>
          <w:sz w:val="26"/>
          <w:szCs w:val="26"/>
        </w:rPr>
        <w:t>“Informe de Auditoría Operativa sobre la gestión del Poder Judicial en cuanto a la oportunidad de la prestación del servicio público de administración de la justicia de los juzgados de Familia y de Pensiones alimentarias</w:t>
      </w:r>
      <w:r w:rsidRPr="00AE1B2B">
        <w:rPr>
          <w:rFonts w:ascii="Times New Roman" w:hAnsi="Times New Roman" w:cs="Times New Roman"/>
          <w:sz w:val="26"/>
          <w:szCs w:val="26"/>
        </w:rPr>
        <w:t>” y únicamente en las oficinas competentes en materia de Familia y Pensiones Alimentarias.</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Esta situación implicó una variación en la metodología, y estas oficinas no fueron rediseñadas propiamente, sino que fueron abordadas revisando las siguientes tares conforme a lo aprobado por el Consejo Superior en sesión 70-2020 celebrada el 09 de julio del 2020, artículo LVIII:</w:t>
      </w:r>
    </w:p>
    <w:p w:rsidRPr="00AE1B2B" w:rsidR="009D3FB5" w:rsidP="00163B94" w:rsidRDefault="009D3FB5" w14:paraId="7D0B4F0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5E36EAC" w14:textId="77777777">
      <w:pPr>
        <w:numPr>
          <w:ilvl w:val="0"/>
          <w:numId w:val="89"/>
        </w:numPr>
        <w:tabs>
          <w:tab w:val="left" w:pos="28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Reunión inicial con el equipo de trabajo para mostrar la metodología de trabajo.</w:t>
      </w:r>
    </w:p>
    <w:p w:rsidRPr="00AE1B2B" w:rsidR="009D3FB5" w:rsidP="00163B94" w:rsidRDefault="009D3FB5" w14:paraId="7119A010" w14:textId="77777777">
      <w:pPr>
        <w:numPr>
          <w:ilvl w:val="0"/>
          <w:numId w:val="89"/>
        </w:numPr>
        <w:tabs>
          <w:tab w:val="left" w:pos="28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Análisis de la estructura organizacional y funcional.</w:t>
      </w:r>
    </w:p>
    <w:p w:rsidRPr="00AE1B2B" w:rsidR="009D3FB5" w:rsidP="00163B94" w:rsidRDefault="009D3FB5" w14:paraId="7F1E6F02" w14:textId="77777777">
      <w:pPr>
        <w:numPr>
          <w:ilvl w:val="0"/>
          <w:numId w:val="89"/>
        </w:numPr>
        <w:tabs>
          <w:tab w:val="left" w:pos="28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Análisis de la distribución de la carga de trabajo, desde el reparto inicial de casos como de la carga asignada actualmente por cada persona involucrada en el equipo (entrada y circulante).</w:t>
      </w:r>
    </w:p>
    <w:p w:rsidRPr="00AE1B2B" w:rsidR="009D3FB5" w:rsidP="00163B94" w:rsidRDefault="009D3FB5" w14:paraId="4D95A0D4" w14:textId="77777777">
      <w:pPr>
        <w:numPr>
          <w:ilvl w:val="0"/>
          <w:numId w:val="89"/>
        </w:numPr>
        <w:tabs>
          <w:tab w:val="left" w:pos="28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Definición del diseño del reparto de causas nuevas para la implementación o ajuste de la herramienta de reparto automático de casos, así como diseño de herramienta de reparto en Excel, en los casos que corresponda. </w:t>
      </w:r>
    </w:p>
    <w:p w:rsidRPr="00AE1B2B" w:rsidR="009D3FB5" w:rsidP="00163B94" w:rsidRDefault="009D3FB5" w14:paraId="0047BDA9" w14:textId="77777777">
      <w:pPr>
        <w:numPr>
          <w:ilvl w:val="0"/>
          <w:numId w:val="89"/>
        </w:numPr>
        <w:tabs>
          <w:tab w:val="left" w:pos="28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Implementación de la herramienta de pase a fallo en el Escritorio Virtual e implementación de libro de pase a fallo según los lineamientos establecidos. </w:t>
      </w:r>
    </w:p>
    <w:p w:rsidRPr="00AE1B2B" w:rsidR="009D3FB5" w:rsidP="00163B94" w:rsidRDefault="009D3FB5" w14:paraId="5B43AB4C" w14:textId="77777777">
      <w:pPr>
        <w:numPr>
          <w:ilvl w:val="0"/>
          <w:numId w:val="89"/>
        </w:numPr>
        <w:tabs>
          <w:tab w:val="left" w:pos="28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Conformación del Equipo de Mejora en el Despacho. </w:t>
      </w:r>
    </w:p>
    <w:p w:rsidRPr="00AE1B2B" w:rsidR="009D3FB5" w:rsidP="00163B94" w:rsidRDefault="009D3FB5" w14:paraId="4E0F7793" w14:textId="77777777">
      <w:pPr>
        <w:numPr>
          <w:ilvl w:val="0"/>
          <w:numId w:val="89"/>
        </w:numPr>
        <w:tabs>
          <w:tab w:val="left" w:pos="28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Implementación del Modelo de Sostenibilidad en cada uno de los despachos involucrados. </w:t>
      </w:r>
    </w:p>
    <w:p w:rsidRPr="00AE1B2B" w:rsidR="009D3FB5" w:rsidP="00163B94" w:rsidRDefault="009D3FB5" w14:paraId="426B1905" w14:textId="77777777">
      <w:pPr>
        <w:numPr>
          <w:ilvl w:val="0"/>
          <w:numId w:val="89"/>
        </w:numPr>
        <w:tabs>
          <w:tab w:val="left" w:pos="28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Capacitación e implementación de los Indicadores de Gestión.</w:t>
      </w:r>
    </w:p>
    <w:p w:rsidRPr="00AE1B2B" w:rsidR="009D3FB5" w:rsidP="00163B94" w:rsidRDefault="009D3FB5" w14:paraId="21ABADC2" w14:textId="77777777">
      <w:pPr>
        <w:tabs>
          <w:tab w:val="left" w:pos="284"/>
        </w:tabs>
        <w:spacing w:before="120" w:after="120"/>
        <w:ind w:left="851" w:right="851" w:firstLine="709"/>
        <w:jc w:val="both"/>
        <w:rPr>
          <w:rFonts w:ascii="Times New Roman" w:hAnsi="Times New Roman" w:cs="Times New Roman"/>
          <w:sz w:val="26"/>
          <w:szCs w:val="26"/>
        </w:rPr>
      </w:pPr>
    </w:p>
    <w:p w:rsidRPr="00AE1B2B" w:rsidR="009D3FB5" w:rsidP="00163B94" w:rsidRDefault="009D3FB5" w14:paraId="5235B641"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Adicional a las tareas descritas anteriormente, de forma inmediata a la conclusión del abordaje, los profesionales encargados del estudio y durante el primer semestre 2021 se dan a la tarea de realizar el seguimiento a la implementación de Equipo de Mejora y de las tareas relacionadas al Modelo de Sostenibilidad que contemplan la elaboración de los Indicadores de Gestión, realización de reunión mensual del equipo, la generación de la minuta de la reunión y el diseño de los planes remediales; con lo cual se garantice que se realice el análisis adecuado de la información, se identifiquen las oportunidades de mejora y se diseñen los planes remediales que darán solución a la situación crítica detectada, estas tareas serán revisadas de manera bimensual.</w:t>
      </w:r>
    </w:p>
    <w:p w:rsidRPr="00AE1B2B" w:rsidR="009D3FB5" w:rsidP="00163B94" w:rsidRDefault="009D3FB5" w14:paraId="719DC017"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4BDF2273"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 descrito en el párrafo anterior, va en línea con la disposición 4.7 indicada en el informe DFOE-PG-IF-00002-2020 relacionado con</w:t>
      </w:r>
      <w:r w:rsidRPr="00AE1B2B">
        <w:rPr>
          <w:rFonts w:ascii="Times New Roman" w:hAnsi="Times New Roman" w:cs="Times New Roman"/>
          <w:i/>
          <w:iCs/>
          <w:sz w:val="26"/>
          <w:szCs w:val="26"/>
        </w:rPr>
        <w:t xml:space="preserve"> “Informe de la Auditoría Operativa sobre la Gestión del Poder Judicial en cuanto a la Oportunidad de la Prestación del Servicio Público de Administración de la Justicia de los Juzgados de Familia y de Pensiones Alimentarias</w:t>
      </w:r>
      <w:r w:rsidRPr="00AE1B2B">
        <w:rPr>
          <w:rFonts w:ascii="Times New Roman" w:hAnsi="Times New Roman" w:cs="Times New Roman"/>
          <w:sz w:val="26"/>
          <w:szCs w:val="26"/>
        </w:rPr>
        <w:t>” de la Contraloría General de la República.</w:t>
      </w:r>
    </w:p>
    <w:p w:rsidRPr="00AE1B2B" w:rsidR="009D3FB5" w:rsidP="00163B94" w:rsidRDefault="009D3FB5" w14:paraId="4A39656D"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Debido a que el Código Procesal de Familia presenta implicaciones en Violencia Doméstica, la Dirección de Planificación se dará a la tarea de realizar el abordaje de los Despachos que atiendan esas materias. </w:t>
      </w:r>
    </w:p>
    <w:p w:rsidRPr="00AE1B2B" w:rsidR="009D3FB5" w:rsidP="00163B94" w:rsidRDefault="009D3FB5" w14:paraId="16F4E3A9"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4BCE94CC" w14:textId="3AF0654B">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Dicho planteamiento será realizado en los Juzgados Especializados de Violencia Doméstica por parte de los</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profesionales 2 de la Dirección de Planificación asignados al Subproceso de Modernización Institucional y con la colaboración de los profesionales responsables de los Modelos de Sostenibilidad en el Primer Circuito Judicial de Alajuela, Circuito Judicial de Puntarenas, Circuito de Heredia, Primer Circuito Judicial de la Zona Atlántica y el Primer Circuito Judicial de Guanacaste. </w:t>
      </w:r>
    </w:p>
    <w:p w:rsidRPr="00AE1B2B" w:rsidR="009D3FB5" w:rsidP="00163B94" w:rsidRDefault="009D3FB5" w14:paraId="4F2F3E1C"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626E9681"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Adicionalmente en 2020, la Dirección de Planificación con colaboración del Juez Gestor en la materia; se avocó a: </w:t>
      </w:r>
    </w:p>
    <w:p w:rsidRPr="00AE1B2B" w:rsidR="009D3FB5" w:rsidP="00163B94" w:rsidRDefault="009D3FB5" w14:paraId="4790C701"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182F39AC" w14:textId="77777777">
      <w:pPr>
        <w:pStyle w:val="Prrafodelista"/>
        <w:numPr>
          <w:ilvl w:val="0"/>
          <w:numId w:val="7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lastRenderedPageBreak/>
        <w:t>Revisión y ajustes de las estructuras de trabajo de los Despachos que atienden las materias involucradas con las modificaciones en entrada que surjan a partir de la nueva legislación.</w:t>
      </w:r>
    </w:p>
    <w:p w:rsidRPr="00AE1B2B" w:rsidR="009D3FB5" w:rsidP="00163B94" w:rsidRDefault="009D3FB5" w14:paraId="66C439D3" w14:textId="1B7F0B13">
      <w:pPr>
        <w:pStyle w:val="Prrafodelista"/>
        <w:numPr>
          <w:ilvl w:val="0"/>
          <w:numId w:val="7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Realización inventarios, y distribución equitativa de circulantes, así como la configuración reparto automático para distribuir equitativamente los asuntos nuevos.</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Todo lo anterior también en atención a las recomendaciones de la Contraloría General de la República.</w:t>
      </w:r>
      <w:r w:rsidRPr="00AE1B2B" w:rsidR="00BB7720">
        <w:rPr>
          <w:rFonts w:ascii="Times New Roman" w:hAnsi="Times New Roman" w:cs="Times New Roman"/>
          <w:sz w:val="26"/>
          <w:szCs w:val="26"/>
        </w:rPr>
        <w:t xml:space="preserve"> </w:t>
      </w:r>
    </w:p>
    <w:p w:rsidRPr="00AE1B2B" w:rsidR="009D3FB5" w:rsidP="00163B94" w:rsidRDefault="009D3FB5" w14:paraId="10EB324A" w14:textId="77777777">
      <w:pPr>
        <w:pStyle w:val="Prrafodelista"/>
        <w:numPr>
          <w:ilvl w:val="0"/>
          <w:numId w:val="7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Estandarización de la lista de tareas y ubicaciones entre los juzgados especializados de Pensiones Alimentarias.</w:t>
      </w:r>
    </w:p>
    <w:p w:rsidRPr="00AE1B2B" w:rsidR="009D3FB5" w:rsidP="00163B94" w:rsidRDefault="009D3FB5" w14:paraId="29F5042C"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37ADC3CF"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203D9C0A"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7697FC2D"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3FB254AA" w14:textId="77777777">
      <w:pPr>
        <w:pStyle w:val="Prrafodelista"/>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Primer semestre 2021</w:t>
      </w:r>
    </w:p>
    <w:p w:rsidRPr="00AE1B2B" w:rsidR="009D3FB5" w:rsidP="00163B94" w:rsidRDefault="009D3FB5" w14:paraId="3766E396"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Durante el primer semestre 2021 se les está dando seguimiento a cada una de las 106 oficinas competentes en materia de Familia y Pensiones Alimentarias.</w:t>
      </w:r>
    </w:p>
    <w:p w:rsidRPr="00AE1B2B" w:rsidR="009D3FB5" w:rsidP="00163B94" w:rsidRDefault="009D3FB5" w14:paraId="0135C591"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06E8F783" w14:textId="566A8E45">
      <w:pPr>
        <w:pStyle w:val="Prrafodelista"/>
        <w:spacing w:before="120" w:after="120"/>
        <w:ind w:left="851" w:right="851" w:firstLine="709"/>
        <w:jc w:val="both"/>
        <w:rPr>
          <w:rFonts w:ascii="Times New Roman" w:hAnsi="Times New Roman" w:cs="Times New Roman"/>
          <w:i/>
          <w:iCs/>
          <w:sz w:val="26"/>
          <w:szCs w:val="26"/>
          <w:lang w:eastAsia="en-US"/>
        </w:rPr>
      </w:pPr>
      <w:r w:rsidRPr="00AE1B2B">
        <w:rPr>
          <w:rFonts w:ascii="Times New Roman" w:hAnsi="Times New Roman" w:cs="Times New Roman"/>
          <w:sz w:val="26"/>
          <w:szCs w:val="26"/>
          <w:lang w:eastAsia="en-US"/>
        </w:rPr>
        <w:t>Mejoras y modificaciones al diseño de la fórmula estadística en Familia, Pensiones y Violencia Doméstica a utilizar una vez entre en vigencia el CPF y a nivel de los informes informáticos dentro de la herramienta tecnológica SIGMA (Sistema de Inteligencia de Negocios).</w:t>
      </w:r>
      <w:r w:rsidRPr="00AE1B2B" w:rsidR="00BB7720">
        <w:rPr>
          <w:rFonts w:ascii="Times New Roman" w:hAnsi="Times New Roman" w:cs="Times New Roman"/>
          <w:sz w:val="26"/>
          <w:szCs w:val="26"/>
          <w:lang w:eastAsia="en-US"/>
        </w:rPr>
        <w:t xml:space="preserve"> </w:t>
      </w:r>
      <w:r w:rsidRPr="00AE1B2B">
        <w:rPr>
          <w:rFonts w:ascii="Times New Roman" w:hAnsi="Times New Roman" w:cs="Times New Roman"/>
          <w:sz w:val="26"/>
          <w:szCs w:val="26"/>
          <w:lang w:eastAsia="en-US"/>
        </w:rPr>
        <w:t xml:space="preserve">Esta tarea está incluida en el cronograma del Proyecto, entregable </w:t>
      </w:r>
      <w:r w:rsidRPr="00AE1B2B">
        <w:rPr>
          <w:rFonts w:ascii="Times New Roman" w:hAnsi="Times New Roman" w:cs="Times New Roman"/>
          <w:i/>
          <w:iCs/>
          <w:sz w:val="26"/>
          <w:szCs w:val="26"/>
          <w:lang w:eastAsia="en-US"/>
        </w:rPr>
        <w:t>“3.3. Fórmulas estadísticas, tareas y ubicaciones a utilizar con el CPF “.</w:t>
      </w:r>
    </w:p>
    <w:p w:rsidRPr="00AE1B2B" w:rsidR="009D3FB5" w:rsidP="00163B94" w:rsidRDefault="009D3FB5" w14:paraId="326C1A09" w14:textId="77777777">
      <w:pPr>
        <w:pStyle w:val="Prrafodelista"/>
        <w:spacing w:before="120" w:after="120" w:line="276" w:lineRule="auto"/>
        <w:ind w:left="0"/>
        <w:rPr>
          <w:rFonts w:ascii="Times New Roman" w:hAnsi="Times New Roman" w:cs="Times New Roman"/>
          <w:lang w:eastAsia="en-US"/>
        </w:rPr>
      </w:pPr>
    </w:p>
    <w:tbl>
      <w:tblPr>
        <w:tblW w:w="0" w:type="auto"/>
        <w:jc w:val="center"/>
        <w:tblBorders>
          <w:top w:val="single" w:color="B1BBCC" w:sz="4" w:space="0"/>
          <w:left w:val="single" w:color="B1BBCC" w:sz="4" w:space="0"/>
          <w:bottom w:val="single" w:color="B1BBCC" w:sz="4" w:space="0"/>
          <w:right w:val="single" w:color="B1BBCC" w:sz="4" w:space="0"/>
        </w:tblBorders>
        <w:tblCellMar>
          <w:top w:w="12" w:type="dxa"/>
          <w:left w:w="12" w:type="dxa"/>
          <w:bottom w:w="12" w:type="dxa"/>
          <w:right w:w="12" w:type="dxa"/>
        </w:tblCellMar>
        <w:tblLook w:val="04A0" w:firstRow="1" w:lastRow="0" w:firstColumn="1" w:lastColumn="0" w:noHBand="0" w:noVBand="1"/>
      </w:tblPr>
      <w:tblGrid>
        <w:gridCol w:w="3634"/>
        <w:gridCol w:w="1059"/>
        <w:gridCol w:w="1319"/>
        <w:gridCol w:w="1223"/>
        <w:gridCol w:w="1593"/>
      </w:tblGrid>
      <w:tr w:rsidRPr="00AE1B2B" w:rsidR="00AE1B2B" w:rsidTr="009D3FB5" w14:paraId="670284B0" w14:textId="77777777">
        <w:trPr>
          <w:jc w:val="center"/>
        </w:trPr>
        <w:tc>
          <w:tcPr>
            <w:tcW w:w="736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782F8825"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Nombre de tarea</w:t>
            </w:r>
          </w:p>
        </w:tc>
        <w:tc>
          <w:tcPr>
            <w:tcW w:w="160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5286F6D4"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Duración</w:t>
            </w:r>
          </w:p>
        </w:tc>
        <w:tc>
          <w:tcPr>
            <w:tcW w:w="20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1EB7FD28"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Comienzo</w:t>
            </w:r>
          </w:p>
        </w:tc>
        <w:tc>
          <w:tcPr>
            <w:tcW w:w="184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1377AEB7"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Fin</w:t>
            </w:r>
          </w:p>
        </w:tc>
        <w:tc>
          <w:tcPr>
            <w:tcW w:w="26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71766B62"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 completado</w:t>
            </w:r>
          </w:p>
        </w:tc>
      </w:tr>
      <w:tr w:rsidRPr="00AE1B2B" w:rsidR="00AE1B2B" w:rsidTr="009D3FB5" w14:paraId="402F0583" w14:textId="77777777">
        <w:trPr>
          <w:jc w:val="center"/>
        </w:trPr>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6A937F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3.3. Fórmulas estadísticas, tareas y ubicaciones a utilizar con el CPF</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4D4EB6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120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756AA3F"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lun 11/01/21</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2CE341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mar 06/07/21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BB0295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0%</w:t>
            </w:r>
          </w:p>
        </w:tc>
      </w:tr>
    </w:tbl>
    <w:p w:rsidRPr="00AE1B2B" w:rsidR="009D3FB5" w:rsidP="00163B94" w:rsidRDefault="009D3FB5" w14:paraId="66F345AF"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1DC53546" w14:textId="77777777">
      <w:pPr>
        <w:pStyle w:val="Prrafodelista"/>
        <w:numPr>
          <w:ilvl w:val="0"/>
          <w:numId w:val="7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Establecer el Impacto de Ley a nivel presupuestario de la entrada en vigencia del Código Procesal de Familia y revisar anualmente las plazas extraordinarias creadas a partir de 2022. </w:t>
      </w:r>
    </w:p>
    <w:p w:rsidRPr="00AE1B2B" w:rsidR="009D3FB5" w:rsidP="00163B94" w:rsidRDefault="009D3FB5" w14:paraId="31998B15" w14:textId="77777777">
      <w:pPr>
        <w:pStyle w:val="Prrafodelista"/>
        <w:numPr>
          <w:ilvl w:val="0"/>
          <w:numId w:val="7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Dar seguimiento a las recomendaciones de la Contraloría General de la República que deben ser implementadas y documentadas durante este primer semestre.</w:t>
      </w:r>
    </w:p>
    <w:p w:rsidRPr="00AE1B2B" w:rsidR="009D3FB5" w:rsidP="00163B94" w:rsidRDefault="009D3FB5" w14:paraId="6A79777F"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50EA3F4B"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458AF943" w14:textId="77777777">
      <w:pPr>
        <w:pStyle w:val="Prrafodelista"/>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Segundo Semestre 2021</w:t>
      </w:r>
    </w:p>
    <w:p w:rsidRPr="00AE1B2B" w:rsidR="009D3FB5" w:rsidP="00163B94" w:rsidRDefault="009D3FB5" w14:paraId="7F895115"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Durante el segundo semestre 2021 se realizan estudios de fondo en aquellas que lo requieran y se logre identificar a partir del seguimiento entre ellas:</w:t>
      </w:r>
    </w:p>
    <w:p w:rsidRPr="00AE1B2B" w:rsidR="009D3FB5" w:rsidP="00163B94" w:rsidRDefault="009D3FB5" w14:paraId="51F89959" w14:textId="5C12EEBE">
      <w:pPr>
        <w:pStyle w:val="Prrafodelista"/>
        <w:numPr>
          <w:ilvl w:val="0"/>
          <w:numId w:val="6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Análisis de carga de trabajo de los Juzgados de Familia del Primer Circuito Judicial de San José.</w:t>
      </w:r>
      <w:r w:rsidRPr="00AE1B2B" w:rsidR="00BB7720">
        <w:rPr>
          <w:rFonts w:ascii="Times New Roman" w:hAnsi="Times New Roman" w:cs="Times New Roman"/>
          <w:sz w:val="26"/>
          <w:szCs w:val="26"/>
        </w:rPr>
        <w:t xml:space="preserve"> </w:t>
      </w:r>
    </w:p>
    <w:p w:rsidRPr="00AE1B2B" w:rsidR="009D3FB5" w:rsidP="00163B94" w:rsidRDefault="009D3FB5" w14:paraId="491FDBF3" w14:textId="77777777">
      <w:pPr>
        <w:pStyle w:val="Prrafodelista"/>
        <w:numPr>
          <w:ilvl w:val="0"/>
          <w:numId w:val="6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Estudio de factibilidad de creación Juzgado Especializado para atender las apelaciones de asuntos en segunda instancia (pensiones alimentarias).</w:t>
      </w:r>
    </w:p>
    <w:p w:rsidRPr="00AE1B2B" w:rsidR="009D3FB5" w:rsidP="00163B94" w:rsidRDefault="009D3FB5" w14:paraId="6645D357" w14:textId="7411BF62">
      <w:pPr>
        <w:pStyle w:val="Prrafodelista"/>
        <w:numPr>
          <w:ilvl w:val="0"/>
          <w:numId w:val="6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Revisión general de competencias actuales en materia de Familia</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a partir de los cambios de la ley 9747 y las propuestas de cambio planteadas por el Juez Gestor en la materia (crear un Juzgado en Aguas Zarcas; trasladar los asuntos de Pensiones de Tucurrique, El Humo y Pejibaye (ahora competencia del Contravencional de Jiménez) y pasarlo al Contravencional de Turrialba (baja carga de trabajo perdió disponibilidad en Penal, perdió competencia en Civil y Trabajo); asuntos de Trabajo de Paraíso se vean en Cartago y se libere a la plaza del Contravencional). Minuta 2-2021 del CACMFJ (</w:t>
      </w:r>
      <w:r w:rsidRPr="00AE1B2B">
        <w:rPr>
          <w:rFonts w:ascii="Times New Roman" w:hAnsi="Times New Roman" w:cs="Times New Roman"/>
          <w:b/>
          <w:bCs/>
          <w:i/>
          <w:iCs/>
          <w:sz w:val="26"/>
          <w:szCs w:val="26"/>
        </w:rPr>
        <w:t>anexo 26</w:t>
      </w:r>
      <w:r w:rsidRPr="00AE1B2B">
        <w:rPr>
          <w:rFonts w:ascii="Times New Roman" w:hAnsi="Times New Roman" w:cs="Times New Roman"/>
          <w:sz w:val="26"/>
          <w:szCs w:val="26"/>
        </w:rPr>
        <w:t>).</w:t>
      </w:r>
    </w:p>
    <w:p w:rsidRPr="00AE1B2B" w:rsidR="009D3FB5" w:rsidP="00163B94" w:rsidRDefault="009D3FB5" w14:paraId="1FC9972F" w14:textId="77777777">
      <w:pPr>
        <w:pStyle w:val="Prrafodelista"/>
        <w:numPr>
          <w:ilvl w:val="0"/>
          <w:numId w:val="6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Análisis de cuota de audiencias para personas juzgadoras de Familia. </w:t>
      </w:r>
    </w:p>
    <w:p w:rsidRPr="00AE1B2B" w:rsidR="009D3FB5" w:rsidP="00163B94" w:rsidRDefault="009D3FB5" w14:paraId="13B9B31B" w14:textId="77777777">
      <w:pPr>
        <w:pStyle w:val="Prrafodelista"/>
        <w:numPr>
          <w:ilvl w:val="0"/>
          <w:numId w:val="6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Análisis de carga de trabajo y necesidad de incluir en estructura ordinaria plazas supernumerarias en el Juzgado de Pensiones del Segundo Circuito Judicial de San José (revisión necesidad de 3 plazas de audiencias tempranas). </w:t>
      </w:r>
    </w:p>
    <w:p w:rsidRPr="00AE1B2B" w:rsidR="009D3FB5" w:rsidP="00163B94" w:rsidRDefault="009D3FB5" w14:paraId="5618BBCB" w14:textId="77777777">
      <w:pPr>
        <w:pStyle w:val="Prrafodelista"/>
        <w:numPr>
          <w:ilvl w:val="0"/>
          <w:numId w:val="6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Factibilidad de asignar definitivamente plaza de Auxiliar de Servicios Generales actualmente compartida entre el Juzgado Civil y Trabajo y el Juzgado de Familia y Violencia de Cañas.</w:t>
      </w:r>
    </w:p>
    <w:p w:rsidRPr="00AE1B2B" w:rsidR="009D3FB5" w:rsidP="00163B94" w:rsidRDefault="009D3FB5" w14:paraId="0DE9424D" w14:textId="77777777">
      <w:pPr>
        <w:pStyle w:val="Prrafodelista"/>
        <w:numPr>
          <w:ilvl w:val="0"/>
          <w:numId w:val="6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 Factibilidad de asignar definitivamente plaza de Auxiliar de Servicios Generales actualmente compartida entre el Juzgado Contravencional y Juzgado de Pensiones Alimentarias de Sarapiquí. </w:t>
      </w:r>
    </w:p>
    <w:p w:rsidRPr="00AE1B2B" w:rsidR="009D3FB5" w:rsidP="00163B94" w:rsidRDefault="009D3FB5" w14:paraId="48A1387F" w14:textId="77777777">
      <w:pPr>
        <w:pStyle w:val="Prrafodelista"/>
        <w:numPr>
          <w:ilvl w:val="0"/>
          <w:numId w:val="6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Análisis de carga de trabajo y factibilidad de asignación definitiva de la plaza de persona juzgadora actualmente compartida entre los Juzgados Contravencionales de Golfito y Corredores. </w:t>
      </w:r>
    </w:p>
    <w:p w:rsidRPr="00AE1B2B" w:rsidR="009D3FB5" w:rsidP="00163B94" w:rsidRDefault="009D3FB5" w14:paraId="6C0146A3" w14:textId="77777777">
      <w:pPr>
        <w:pStyle w:val="Prrafodelista"/>
        <w:numPr>
          <w:ilvl w:val="0"/>
          <w:numId w:val="6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Análisis de carga de trabajo y factibilidad de asignación definitiva de la plaza de Auxiliar de Servicios Generales compartida entre el Juzgado de Violencia del I CJ San José y el Juzgado de Niñez y Adolescencia.</w:t>
      </w:r>
    </w:p>
    <w:p w:rsidRPr="00AE1B2B" w:rsidR="009D3FB5" w:rsidP="00163B94" w:rsidRDefault="009D3FB5" w14:paraId="07FFC7A4" w14:textId="296AFE11">
      <w:pPr>
        <w:pStyle w:val="Prrafodelista"/>
        <w:numPr>
          <w:ilvl w:val="0"/>
          <w:numId w:val="6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lastRenderedPageBreak/>
        <w:t>Análisis de carga de trabajo a partir hallazgos en los oficios de estructuras en las siguientes oficinas:</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Juzgado Contravencional de Turrialba, Juzgado de Pensiones de Nicoya, Juzgado Contravencional de Alajuelita, Juzgado Contravencional de Corredores, Juzgado Contravencional de Santa Ana, Juzgado Contravencional de Palmares y Juzgado Contravencional de San Ramón.</w:t>
      </w:r>
    </w:p>
    <w:p w:rsidRPr="00AE1B2B" w:rsidR="009D3FB5" w:rsidP="00163B94" w:rsidRDefault="009D3FB5" w14:paraId="7A9A8BC2" w14:textId="77777777">
      <w:pPr>
        <w:pStyle w:val="Prrafodelista"/>
        <w:numPr>
          <w:ilvl w:val="0"/>
          <w:numId w:val="6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Análisis competencia actual del Juzgado de Niñez y Adolescencia, respecto casos de Pérez Zeledón.</w:t>
      </w:r>
    </w:p>
    <w:p w:rsidRPr="00AE1B2B" w:rsidR="009D3FB5" w:rsidP="00163B94" w:rsidRDefault="009D3FB5" w14:paraId="15F07FA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65CD133"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71D27494"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31CF56EA"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También se revisarán también los 12 Juzgados de Violencia Doméstica Especializados, se realizarán los inventarios en estas oficinas con acompañamiento por parte del Subproceso de Estadística de la Dirección de Planificación. </w:t>
      </w:r>
    </w:p>
    <w:p w:rsidRPr="00AE1B2B" w:rsidR="009D3FB5" w:rsidP="00163B94" w:rsidRDefault="009D3FB5" w14:paraId="7A46204D"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6F522D3F"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3E9EACB8"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6854D8CC" w14:textId="77777777">
      <w:pPr>
        <w:pStyle w:val="Prrafodelista"/>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Primer Semestre 2022</w:t>
      </w:r>
    </w:p>
    <w:p w:rsidRPr="00AE1B2B" w:rsidR="009D3FB5" w:rsidP="00163B94" w:rsidRDefault="009D3FB5" w14:paraId="1A0DEEAA"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Para el primer semestre 2022 se deberán analizar los Juzgados de Familia y proponer a Corte Plena la creación de Juzgados de Familia por Ministerio de Ley de conformidad con el artículo 119 bis de la Ley 9747. </w:t>
      </w:r>
    </w:p>
    <w:p w:rsidRPr="00AE1B2B" w:rsidR="009D3FB5" w:rsidP="00163B94" w:rsidRDefault="009D3FB5" w14:paraId="2389C075"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76A91407"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Esta tarea consta en el cronograma del Proyecto 1374-CF-P01</w:t>
      </w:r>
      <w:r w:rsidRPr="00AE1B2B">
        <w:rPr>
          <w:rFonts w:ascii="Times New Roman" w:hAnsi="Times New Roman" w:cs="Times New Roman"/>
          <w:i/>
          <w:iCs/>
          <w:sz w:val="26"/>
          <w:szCs w:val="26"/>
        </w:rPr>
        <w:t xml:space="preserve"> “Implementación del Código Procesal de Familia”</w:t>
      </w:r>
    </w:p>
    <w:p w:rsidRPr="00AE1B2B" w:rsidR="009D3FB5" w:rsidP="00163B94" w:rsidRDefault="009D3FB5" w14:paraId="4F725457" w14:textId="77777777">
      <w:pPr>
        <w:spacing w:before="120" w:after="120"/>
        <w:ind w:left="851" w:right="851" w:firstLine="709"/>
        <w:jc w:val="both"/>
        <w:rPr>
          <w:rFonts w:ascii="Times New Roman" w:hAnsi="Times New Roman" w:cs="Times New Roman"/>
          <w:sz w:val="26"/>
          <w:szCs w:val="26"/>
        </w:rPr>
      </w:pPr>
    </w:p>
    <w:tbl>
      <w:tblPr>
        <w:tblW w:w="0" w:type="auto"/>
        <w:jc w:val="center"/>
        <w:tblBorders>
          <w:top w:val="single" w:color="B1BBCC" w:sz="4" w:space="0"/>
          <w:left w:val="single" w:color="B1BBCC" w:sz="4" w:space="0"/>
          <w:bottom w:val="single" w:color="B1BBCC" w:sz="4" w:space="0"/>
          <w:right w:val="single" w:color="B1BBCC" w:sz="4" w:space="0"/>
        </w:tblBorders>
        <w:tblCellMar>
          <w:top w:w="12" w:type="dxa"/>
          <w:left w:w="12" w:type="dxa"/>
          <w:bottom w:w="12" w:type="dxa"/>
          <w:right w:w="12" w:type="dxa"/>
        </w:tblCellMar>
        <w:tblLook w:val="04A0" w:firstRow="1" w:lastRow="0" w:firstColumn="1" w:lastColumn="0" w:noHBand="0" w:noVBand="1"/>
      </w:tblPr>
      <w:tblGrid>
        <w:gridCol w:w="3260"/>
        <w:gridCol w:w="1193"/>
        <w:gridCol w:w="1419"/>
        <w:gridCol w:w="1243"/>
        <w:gridCol w:w="1713"/>
      </w:tblGrid>
      <w:tr w:rsidRPr="00AE1B2B" w:rsidR="00AE1B2B" w:rsidTr="009D3FB5" w14:paraId="59B6059F" w14:textId="77777777">
        <w:trPr>
          <w:jc w:val="center"/>
        </w:trPr>
        <w:tc>
          <w:tcPr>
            <w:tcW w:w="736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701A7AEC" w14:textId="77777777">
            <w:pPr>
              <w:spacing w:before="120" w:after="120"/>
              <w:jc w:val="both"/>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shd w:val="clear" w:color="auto" w:fill="DFE3E8"/>
                <w:lang w:eastAsia="es-CR"/>
              </w:rPr>
              <w:t>Nombre de tarea</w:t>
            </w:r>
          </w:p>
        </w:tc>
        <w:tc>
          <w:tcPr>
            <w:tcW w:w="160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42EAB076" w14:textId="77777777">
            <w:pPr>
              <w:spacing w:before="120" w:after="120"/>
              <w:jc w:val="both"/>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shd w:val="clear" w:color="auto" w:fill="DFE3E8"/>
                <w:lang w:eastAsia="es-CR"/>
              </w:rPr>
              <w:t>Duración</w:t>
            </w:r>
          </w:p>
        </w:tc>
        <w:tc>
          <w:tcPr>
            <w:tcW w:w="20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40807B1B" w14:textId="77777777">
            <w:pPr>
              <w:spacing w:before="120" w:after="120"/>
              <w:jc w:val="both"/>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shd w:val="clear" w:color="auto" w:fill="DFE3E8"/>
                <w:lang w:eastAsia="es-CR"/>
              </w:rPr>
              <w:t>Comienzo</w:t>
            </w:r>
          </w:p>
        </w:tc>
        <w:tc>
          <w:tcPr>
            <w:tcW w:w="184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1BFF854A" w14:textId="77777777">
            <w:pPr>
              <w:spacing w:before="120" w:after="120"/>
              <w:jc w:val="both"/>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shd w:val="clear" w:color="auto" w:fill="DFE3E8"/>
                <w:lang w:eastAsia="es-CR"/>
              </w:rPr>
              <w:t>Fin</w:t>
            </w:r>
          </w:p>
        </w:tc>
        <w:tc>
          <w:tcPr>
            <w:tcW w:w="26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34A9307D" w14:textId="77777777">
            <w:pPr>
              <w:spacing w:before="120" w:after="120"/>
              <w:jc w:val="both"/>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shd w:val="clear" w:color="auto" w:fill="DFE3E8"/>
                <w:lang w:eastAsia="es-CR"/>
              </w:rPr>
              <w:t>% completado</w:t>
            </w:r>
          </w:p>
        </w:tc>
      </w:tr>
      <w:tr w:rsidRPr="00AE1B2B" w:rsidR="00AE1B2B" w:rsidTr="009D3FB5" w14:paraId="62CBB629" w14:textId="77777777">
        <w:trPr>
          <w:jc w:val="center"/>
        </w:trPr>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7029947" w14:textId="77777777">
            <w:pPr>
              <w:spacing w:before="120" w:after="120"/>
              <w:jc w:val="both"/>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3.4.Informe con propuesta de Juzgados de asuntos sumarios por Ministerio de Ley</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9BEFD93" w14:textId="77777777">
            <w:pPr>
              <w:spacing w:before="120" w:after="120"/>
              <w:jc w:val="both"/>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124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F12E6DE" w14:textId="77777777">
            <w:pPr>
              <w:spacing w:before="120" w:after="120"/>
              <w:jc w:val="both"/>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lun 04/04/22</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32F8CDF" w14:textId="77777777">
            <w:pPr>
              <w:spacing w:before="120" w:after="120"/>
              <w:jc w:val="both"/>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vie 30/09/22</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23BFFA8" w14:textId="77777777">
            <w:pPr>
              <w:spacing w:before="120" w:after="120"/>
              <w:jc w:val="both"/>
              <w:rPr>
                <w:rFonts w:ascii="Times New Roman" w:hAnsi="Times New Roman" w:eastAsia="Times New Roman" w:cs="Times New Roman"/>
                <w:sz w:val="26"/>
                <w:szCs w:val="26"/>
                <w:lang w:eastAsia="es-CR"/>
              </w:rPr>
            </w:pPr>
            <w:r w:rsidRPr="00AE1B2B">
              <w:rPr>
                <w:rFonts w:ascii="Times New Roman" w:hAnsi="Times New Roman" w:eastAsia="Times New Roman" w:cs="Times New Roman"/>
                <w:sz w:val="26"/>
                <w:szCs w:val="26"/>
                <w:lang w:eastAsia="es-CR"/>
              </w:rPr>
              <w:t>0%</w:t>
            </w:r>
          </w:p>
        </w:tc>
      </w:tr>
    </w:tbl>
    <w:p w:rsidRPr="00AE1B2B" w:rsidR="009D3FB5" w:rsidP="00163B94" w:rsidRDefault="009D3FB5" w14:paraId="3C18237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515DE5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2FF22A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Para ello, en el inventario 2021 de la Jurisdicción de Familia, los Juzgados Especializados deberán completar una información adicional que sirva insumo a la Dirección de Planificación para plantear la propuesta definitiva a Corte Plena y que contemple el análisis de las propuestas presentadas por el Juez Gestor en la materia (La Cruz, Cóbano, Monteverde, Puerto Jiménez, Coto Brus, Bribrí, los Chiles).</w:t>
      </w:r>
    </w:p>
    <w:p w:rsidRPr="00AE1B2B" w:rsidR="009D3FB5" w:rsidP="00163B94" w:rsidRDefault="009D3FB5" w14:paraId="00E0DD8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D9F1F64" w14:textId="77777777">
      <w:pPr>
        <w:pStyle w:val="Prrafodelista"/>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Variables para incluir en el inventario</w:t>
      </w:r>
    </w:p>
    <w:p w:rsidRPr="00AE1B2B" w:rsidR="009D3FB5" w:rsidP="00163B94" w:rsidRDefault="009D3FB5" w14:paraId="6C8424A1" w14:textId="77777777">
      <w:pPr>
        <w:pStyle w:val="Prrafodelista"/>
        <w:spacing w:before="120" w:after="120"/>
        <w:ind w:left="851" w:right="851" w:firstLine="709"/>
        <w:jc w:val="both"/>
        <w:rPr>
          <w:rFonts w:ascii="Times New Roman" w:hAnsi="Times New Roman" w:cs="Times New Roman"/>
          <w:b/>
          <w:bCs/>
          <w:i/>
          <w:iCs/>
          <w:sz w:val="26"/>
          <w:szCs w:val="26"/>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4320"/>
        <w:gridCol w:w="4320"/>
      </w:tblGrid>
      <w:tr w:rsidRPr="00AE1B2B" w:rsidR="00AE1B2B" w:rsidTr="009D3FB5" w14:paraId="4B8D89BC" w14:textId="77777777">
        <w:trPr>
          <w:jc w:val="center"/>
        </w:trPr>
        <w:tc>
          <w:tcPr>
            <w:tcW w:w="4320" w:type="dxa"/>
          </w:tcPr>
          <w:p w:rsidRPr="00AE1B2B" w:rsidR="009D3FB5" w:rsidP="00163B94" w:rsidRDefault="009D3FB5" w14:paraId="247E2FF9" w14:textId="77777777">
            <w:pPr>
              <w:spacing w:before="120" w:after="120"/>
              <w:jc w:val="center"/>
              <w:rPr>
                <w:rFonts w:ascii="Times New Roman" w:hAnsi="Times New Roman" w:cs="Times New Roman"/>
                <w:b/>
              </w:rPr>
            </w:pPr>
            <w:r w:rsidRPr="00AE1B2B">
              <w:rPr>
                <w:rFonts w:ascii="Times New Roman" w:hAnsi="Times New Roman" w:cs="Times New Roman"/>
                <w:b/>
                <w:lang w:val="es-ES_tradnl"/>
              </w:rPr>
              <w:t xml:space="preserve">Tipo de Proceso en Familia </w:t>
            </w:r>
            <w:r w:rsidRPr="00AE1B2B">
              <w:rPr>
                <w:rFonts w:ascii="Times New Roman" w:hAnsi="Times New Roman" w:cs="Times New Roman"/>
              </w:rPr>
              <w:t>(sumarios)</w:t>
            </w:r>
          </w:p>
        </w:tc>
        <w:tc>
          <w:tcPr>
            <w:tcW w:w="4320" w:type="dxa"/>
          </w:tcPr>
          <w:p w:rsidRPr="00AE1B2B" w:rsidR="009D3FB5" w:rsidP="00163B94" w:rsidRDefault="009D3FB5" w14:paraId="1803241F" w14:textId="77777777">
            <w:pPr>
              <w:spacing w:before="120" w:after="120"/>
              <w:jc w:val="center"/>
              <w:rPr>
                <w:rFonts w:ascii="Times New Roman" w:hAnsi="Times New Roman" w:cs="Times New Roman"/>
                <w:b/>
              </w:rPr>
            </w:pPr>
            <w:r w:rsidRPr="00AE1B2B">
              <w:rPr>
                <w:rFonts w:ascii="Times New Roman" w:hAnsi="Times New Roman" w:cs="Times New Roman"/>
                <w:b/>
              </w:rPr>
              <w:t>Variable para revisar en el inventario</w:t>
            </w:r>
          </w:p>
        </w:tc>
      </w:tr>
      <w:tr w:rsidRPr="00AE1B2B" w:rsidR="00AE1B2B" w:rsidTr="009D3FB5" w14:paraId="450841C3" w14:textId="77777777">
        <w:trPr>
          <w:jc w:val="center"/>
        </w:trPr>
        <w:tc>
          <w:tcPr>
            <w:tcW w:w="4320" w:type="dxa"/>
          </w:tcPr>
          <w:p w:rsidRPr="00AE1B2B" w:rsidR="009D3FB5" w:rsidP="00163B94" w:rsidRDefault="009D3FB5" w14:paraId="0FE9CE49" w14:textId="77777777">
            <w:pPr>
              <w:spacing w:before="120" w:after="120"/>
              <w:rPr>
                <w:rFonts w:ascii="Times New Roman" w:hAnsi="Times New Roman" w:cs="Times New Roman"/>
                <w:lang w:val="es-ES_tradnl"/>
              </w:rPr>
            </w:pPr>
            <w:r w:rsidRPr="00AE1B2B">
              <w:rPr>
                <w:rFonts w:ascii="Times New Roman" w:hAnsi="Times New Roman" w:cs="Times New Roman"/>
              </w:rPr>
              <w:t>Guarda crianza y educación</w:t>
            </w:r>
          </w:p>
        </w:tc>
        <w:tc>
          <w:tcPr>
            <w:tcW w:w="4320" w:type="dxa"/>
          </w:tcPr>
          <w:p w:rsidRPr="00AE1B2B" w:rsidR="009D3FB5" w:rsidP="00163B94" w:rsidRDefault="009D3FB5" w14:paraId="179B89F5" w14:textId="77777777">
            <w:pPr>
              <w:spacing w:before="120" w:after="120"/>
              <w:rPr>
                <w:rFonts w:ascii="Times New Roman" w:hAnsi="Times New Roman" w:cs="Times New Roman"/>
                <w:lang w:val="es-ES_tradnl"/>
              </w:rPr>
            </w:pPr>
            <w:r w:rsidRPr="00AE1B2B">
              <w:rPr>
                <w:rFonts w:ascii="Times New Roman" w:hAnsi="Times New Roman" w:cs="Times New Roman"/>
              </w:rPr>
              <w:t>Residencia de la persona menor</w:t>
            </w:r>
          </w:p>
        </w:tc>
      </w:tr>
      <w:tr w:rsidRPr="00AE1B2B" w:rsidR="00AE1B2B" w:rsidTr="009D3FB5" w14:paraId="1F8BB27B" w14:textId="77777777">
        <w:trPr>
          <w:jc w:val="center"/>
        </w:trPr>
        <w:tc>
          <w:tcPr>
            <w:tcW w:w="4320" w:type="dxa"/>
          </w:tcPr>
          <w:p w:rsidRPr="00AE1B2B" w:rsidR="009D3FB5" w:rsidP="00163B94" w:rsidRDefault="009D3FB5" w14:paraId="68CFB3CC" w14:textId="77777777">
            <w:pPr>
              <w:spacing w:before="120" w:after="120"/>
              <w:rPr>
                <w:rFonts w:ascii="Times New Roman" w:hAnsi="Times New Roman" w:cs="Times New Roman"/>
                <w:lang w:val="es-ES_tradnl"/>
              </w:rPr>
            </w:pPr>
            <w:r w:rsidRPr="00AE1B2B">
              <w:rPr>
                <w:rFonts w:ascii="Times New Roman" w:hAnsi="Times New Roman" w:cs="Times New Roman"/>
              </w:rPr>
              <w:t>Régimen de visitas</w:t>
            </w:r>
          </w:p>
        </w:tc>
        <w:tc>
          <w:tcPr>
            <w:tcW w:w="4320" w:type="dxa"/>
          </w:tcPr>
          <w:p w:rsidRPr="00AE1B2B" w:rsidR="009D3FB5" w:rsidP="00163B94" w:rsidRDefault="009D3FB5" w14:paraId="033190C6" w14:textId="77777777">
            <w:pPr>
              <w:spacing w:before="120" w:after="120"/>
              <w:rPr>
                <w:rFonts w:ascii="Times New Roman" w:hAnsi="Times New Roman" w:cs="Times New Roman"/>
                <w:lang w:val="es-ES_tradnl"/>
              </w:rPr>
            </w:pPr>
            <w:r w:rsidRPr="00AE1B2B">
              <w:rPr>
                <w:rFonts w:ascii="Times New Roman" w:hAnsi="Times New Roman" w:cs="Times New Roman"/>
              </w:rPr>
              <w:t>Residencia de la persona menor</w:t>
            </w:r>
          </w:p>
        </w:tc>
      </w:tr>
      <w:tr w:rsidRPr="00AE1B2B" w:rsidR="00AE1B2B" w:rsidTr="009D3FB5" w14:paraId="1254393F" w14:textId="77777777">
        <w:trPr>
          <w:jc w:val="center"/>
        </w:trPr>
        <w:tc>
          <w:tcPr>
            <w:tcW w:w="4320" w:type="dxa"/>
          </w:tcPr>
          <w:p w:rsidRPr="00AE1B2B" w:rsidR="009D3FB5" w:rsidP="00163B94" w:rsidRDefault="009D3FB5" w14:paraId="4D4AD527" w14:textId="77777777">
            <w:pPr>
              <w:spacing w:before="120" w:after="120"/>
              <w:rPr>
                <w:rFonts w:ascii="Times New Roman" w:hAnsi="Times New Roman" w:cs="Times New Roman"/>
                <w:lang w:val="es-ES_tradnl"/>
              </w:rPr>
            </w:pPr>
            <w:r w:rsidRPr="00AE1B2B">
              <w:rPr>
                <w:rFonts w:ascii="Times New Roman" w:hAnsi="Times New Roman" w:cs="Times New Roman"/>
              </w:rPr>
              <w:t>Desafectación al régimen de habitación familiar</w:t>
            </w:r>
          </w:p>
        </w:tc>
        <w:tc>
          <w:tcPr>
            <w:tcW w:w="4320" w:type="dxa"/>
          </w:tcPr>
          <w:p w:rsidRPr="00AE1B2B" w:rsidR="009D3FB5" w:rsidP="00163B94" w:rsidRDefault="009D3FB5" w14:paraId="4AE01A0D" w14:textId="77777777">
            <w:pPr>
              <w:spacing w:before="120" w:after="120"/>
              <w:rPr>
                <w:rFonts w:ascii="Times New Roman" w:hAnsi="Times New Roman" w:cs="Times New Roman"/>
                <w:lang w:val="es-ES_tradnl"/>
              </w:rPr>
            </w:pPr>
            <w:r w:rsidRPr="00AE1B2B">
              <w:rPr>
                <w:rFonts w:ascii="Times New Roman" w:hAnsi="Times New Roman" w:cs="Times New Roman"/>
              </w:rPr>
              <w:t>Ubicación del inmueble</w:t>
            </w:r>
          </w:p>
        </w:tc>
      </w:tr>
      <w:tr w:rsidRPr="00AE1B2B" w:rsidR="00AE1B2B" w:rsidTr="009D3FB5" w14:paraId="6938B604" w14:textId="77777777">
        <w:trPr>
          <w:jc w:val="center"/>
        </w:trPr>
        <w:tc>
          <w:tcPr>
            <w:tcW w:w="4320" w:type="dxa"/>
          </w:tcPr>
          <w:p w:rsidRPr="00AE1B2B" w:rsidR="009D3FB5" w:rsidP="00163B94" w:rsidRDefault="009D3FB5" w14:paraId="4424D52B" w14:textId="77777777">
            <w:pPr>
              <w:spacing w:before="120" w:after="120"/>
              <w:rPr>
                <w:rFonts w:ascii="Times New Roman" w:hAnsi="Times New Roman" w:cs="Times New Roman"/>
                <w:lang w:val="es-ES_tradnl"/>
              </w:rPr>
            </w:pPr>
            <w:r w:rsidRPr="00AE1B2B">
              <w:rPr>
                <w:rFonts w:ascii="Times New Roman" w:hAnsi="Times New Roman" w:cs="Times New Roman"/>
              </w:rPr>
              <w:t xml:space="preserve">Autorizaciones de salida del país </w:t>
            </w:r>
          </w:p>
        </w:tc>
        <w:tc>
          <w:tcPr>
            <w:tcW w:w="4320" w:type="dxa"/>
          </w:tcPr>
          <w:p w:rsidRPr="00AE1B2B" w:rsidR="009D3FB5" w:rsidP="00163B94" w:rsidRDefault="009D3FB5" w14:paraId="54129DB3" w14:textId="77777777">
            <w:pPr>
              <w:spacing w:before="120" w:after="120"/>
              <w:rPr>
                <w:rFonts w:ascii="Times New Roman" w:hAnsi="Times New Roman" w:cs="Times New Roman"/>
                <w:lang w:val="es-ES_tradnl"/>
              </w:rPr>
            </w:pPr>
            <w:r w:rsidRPr="00AE1B2B">
              <w:rPr>
                <w:rFonts w:ascii="Times New Roman" w:hAnsi="Times New Roman" w:cs="Times New Roman"/>
              </w:rPr>
              <w:t>Residencia de la persona menor</w:t>
            </w:r>
          </w:p>
        </w:tc>
      </w:tr>
      <w:tr w:rsidRPr="00AE1B2B" w:rsidR="00AE1B2B" w:rsidTr="009D3FB5" w14:paraId="06F0D958" w14:textId="77777777">
        <w:trPr>
          <w:jc w:val="center"/>
        </w:trPr>
        <w:tc>
          <w:tcPr>
            <w:tcW w:w="4320" w:type="dxa"/>
          </w:tcPr>
          <w:p w:rsidRPr="00AE1B2B" w:rsidR="009D3FB5" w:rsidP="00163B94" w:rsidRDefault="009D3FB5" w14:paraId="3FAB9710" w14:textId="77777777">
            <w:pPr>
              <w:spacing w:before="120" w:after="120"/>
              <w:rPr>
                <w:rFonts w:ascii="Times New Roman" w:hAnsi="Times New Roman" w:cs="Times New Roman"/>
                <w:lang w:val="es-ES_tradnl"/>
              </w:rPr>
            </w:pPr>
            <w:r w:rsidRPr="00AE1B2B">
              <w:rPr>
                <w:rFonts w:ascii="Times New Roman" w:hAnsi="Times New Roman" w:cs="Times New Roman"/>
              </w:rPr>
              <w:t>Conflictos de autoridad parental</w:t>
            </w:r>
          </w:p>
        </w:tc>
        <w:tc>
          <w:tcPr>
            <w:tcW w:w="4320" w:type="dxa"/>
          </w:tcPr>
          <w:p w:rsidRPr="00AE1B2B" w:rsidR="009D3FB5" w:rsidP="00163B94" w:rsidRDefault="009D3FB5" w14:paraId="34CF11F6" w14:textId="77777777">
            <w:pPr>
              <w:spacing w:before="120" w:after="120"/>
              <w:rPr>
                <w:rFonts w:ascii="Times New Roman" w:hAnsi="Times New Roman" w:cs="Times New Roman"/>
                <w:lang w:val="es-ES_tradnl"/>
              </w:rPr>
            </w:pPr>
            <w:r w:rsidRPr="00AE1B2B">
              <w:rPr>
                <w:rFonts w:ascii="Times New Roman" w:hAnsi="Times New Roman" w:cs="Times New Roman"/>
              </w:rPr>
              <w:t>Residencia de la persona menor</w:t>
            </w:r>
          </w:p>
        </w:tc>
      </w:tr>
      <w:tr w:rsidRPr="00AE1B2B" w:rsidR="00AE1B2B" w:rsidTr="009D3FB5" w14:paraId="60A0AB3C" w14:textId="77777777">
        <w:trPr>
          <w:jc w:val="center"/>
        </w:trPr>
        <w:tc>
          <w:tcPr>
            <w:tcW w:w="4320" w:type="dxa"/>
          </w:tcPr>
          <w:p w:rsidRPr="00AE1B2B" w:rsidR="009D3FB5" w:rsidP="00163B94" w:rsidRDefault="009D3FB5" w14:paraId="60CEC9AD" w14:textId="77777777">
            <w:pPr>
              <w:spacing w:before="120" w:after="120"/>
              <w:rPr>
                <w:rFonts w:ascii="Times New Roman" w:hAnsi="Times New Roman" w:cs="Times New Roman"/>
              </w:rPr>
            </w:pPr>
            <w:r w:rsidRPr="00AE1B2B">
              <w:rPr>
                <w:rFonts w:ascii="Times New Roman" w:hAnsi="Times New Roman" w:cs="Times New Roman"/>
              </w:rPr>
              <w:t>Depósitos de menores de edad</w:t>
            </w:r>
          </w:p>
        </w:tc>
        <w:tc>
          <w:tcPr>
            <w:tcW w:w="4320" w:type="dxa"/>
          </w:tcPr>
          <w:p w:rsidRPr="00AE1B2B" w:rsidR="009D3FB5" w:rsidP="00163B94" w:rsidRDefault="009D3FB5" w14:paraId="781BE156" w14:textId="77777777">
            <w:pPr>
              <w:spacing w:before="120" w:after="120"/>
              <w:rPr>
                <w:rFonts w:ascii="Times New Roman" w:hAnsi="Times New Roman" w:cs="Times New Roman"/>
                <w:lang w:val="es-ES_tradnl"/>
              </w:rPr>
            </w:pPr>
            <w:r w:rsidRPr="00AE1B2B">
              <w:rPr>
                <w:rFonts w:ascii="Times New Roman" w:hAnsi="Times New Roman" w:cs="Times New Roman"/>
              </w:rPr>
              <w:t>Residencia de la persona menor</w:t>
            </w:r>
          </w:p>
        </w:tc>
      </w:tr>
      <w:tr w:rsidRPr="00AE1B2B" w:rsidR="00AE1B2B" w:rsidTr="009D3FB5" w14:paraId="15D2F4EB" w14:textId="77777777">
        <w:trPr>
          <w:jc w:val="center"/>
        </w:trPr>
        <w:tc>
          <w:tcPr>
            <w:tcW w:w="4320" w:type="dxa"/>
          </w:tcPr>
          <w:p w:rsidRPr="00AE1B2B" w:rsidR="009D3FB5" w:rsidP="00163B94" w:rsidRDefault="009D3FB5" w14:paraId="0ED5F48B" w14:textId="77777777">
            <w:pPr>
              <w:spacing w:before="120" w:after="120"/>
              <w:rPr>
                <w:rFonts w:ascii="Times New Roman" w:hAnsi="Times New Roman" w:cs="Times New Roman"/>
              </w:rPr>
            </w:pPr>
            <w:r w:rsidRPr="00AE1B2B">
              <w:rPr>
                <w:rFonts w:ascii="Times New Roman" w:hAnsi="Times New Roman" w:cs="Times New Roman"/>
              </w:rPr>
              <w:t>Tutelas</w:t>
            </w:r>
          </w:p>
        </w:tc>
        <w:tc>
          <w:tcPr>
            <w:tcW w:w="4320" w:type="dxa"/>
          </w:tcPr>
          <w:p w:rsidRPr="00AE1B2B" w:rsidR="009D3FB5" w:rsidP="00163B94" w:rsidRDefault="009D3FB5" w14:paraId="41132082" w14:textId="77777777">
            <w:pPr>
              <w:spacing w:before="120" w:after="120"/>
              <w:rPr>
                <w:rFonts w:ascii="Times New Roman" w:hAnsi="Times New Roman" w:cs="Times New Roman"/>
              </w:rPr>
            </w:pPr>
            <w:r w:rsidRPr="00AE1B2B">
              <w:rPr>
                <w:rFonts w:ascii="Times New Roman" w:hAnsi="Times New Roman" w:cs="Times New Roman"/>
              </w:rPr>
              <w:t>Residencia de la persona menor</w:t>
            </w:r>
          </w:p>
        </w:tc>
      </w:tr>
      <w:tr w:rsidRPr="00AE1B2B" w:rsidR="00AE1B2B" w:rsidTr="009D3FB5" w14:paraId="552BAC87" w14:textId="77777777">
        <w:trPr>
          <w:jc w:val="center"/>
        </w:trPr>
        <w:tc>
          <w:tcPr>
            <w:tcW w:w="4320" w:type="dxa"/>
          </w:tcPr>
          <w:p w:rsidRPr="00AE1B2B" w:rsidR="009D3FB5" w:rsidP="00163B94" w:rsidRDefault="009D3FB5" w14:paraId="590A9F1B" w14:textId="77777777">
            <w:pPr>
              <w:spacing w:before="120" w:after="120"/>
              <w:rPr>
                <w:rFonts w:ascii="Times New Roman" w:hAnsi="Times New Roman" w:cs="Times New Roman"/>
              </w:rPr>
            </w:pPr>
            <w:r w:rsidRPr="00AE1B2B">
              <w:rPr>
                <w:rFonts w:ascii="Times New Roman" w:hAnsi="Times New Roman" w:cs="Times New Roman"/>
              </w:rPr>
              <w:t>Curatelas/salvaguardia</w:t>
            </w:r>
          </w:p>
        </w:tc>
        <w:tc>
          <w:tcPr>
            <w:tcW w:w="4320" w:type="dxa"/>
          </w:tcPr>
          <w:p w:rsidRPr="00AE1B2B" w:rsidR="009D3FB5" w:rsidP="00163B94" w:rsidRDefault="009D3FB5" w14:paraId="0786B072" w14:textId="77777777">
            <w:pPr>
              <w:spacing w:before="120" w:after="120"/>
              <w:rPr>
                <w:rFonts w:ascii="Times New Roman" w:hAnsi="Times New Roman" w:cs="Times New Roman"/>
              </w:rPr>
            </w:pPr>
            <w:r w:rsidRPr="00AE1B2B">
              <w:rPr>
                <w:rFonts w:ascii="Times New Roman" w:hAnsi="Times New Roman" w:cs="Times New Roman"/>
              </w:rPr>
              <w:t>Residencia de la persona sujeta a la salvaguardia (menor, con discapacidad)</w:t>
            </w:r>
          </w:p>
        </w:tc>
      </w:tr>
      <w:tr w:rsidRPr="00AE1B2B" w:rsidR="009D3FB5" w:rsidTr="009D3FB5" w14:paraId="1C364699" w14:textId="77777777">
        <w:trPr>
          <w:jc w:val="center"/>
        </w:trPr>
        <w:tc>
          <w:tcPr>
            <w:tcW w:w="4320" w:type="dxa"/>
          </w:tcPr>
          <w:p w:rsidRPr="00AE1B2B" w:rsidR="009D3FB5" w:rsidP="00163B94" w:rsidRDefault="009D3FB5" w14:paraId="078689D8" w14:textId="77777777">
            <w:pPr>
              <w:spacing w:before="120" w:after="120"/>
              <w:rPr>
                <w:rFonts w:ascii="Times New Roman" w:hAnsi="Times New Roman" w:cs="Times New Roman"/>
              </w:rPr>
            </w:pPr>
            <w:r w:rsidRPr="00AE1B2B">
              <w:rPr>
                <w:rFonts w:ascii="Times New Roman" w:hAnsi="Times New Roman" w:cs="Times New Roman"/>
              </w:rPr>
              <w:t>Diligencias de utilidad y necesidad</w:t>
            </w:r>
          </w:p>
        </w:tc>
        <w:tc>
          <w:tcPr>
            <w:tcW w:w="4320" w:type="dxa"/>
          </w:tcPr>
          <w:p w:rsidRPr="00AE1B2B" w:rsidR="009D3FB5" w:rsidP="00163B94" w:rsidRDefault="009D3FB5" w14:paraId="4F62CBEE" w14:textId="77777777">
            <w:pPr>
              <w:spacing w:before="120" w:after="120"/>
              <w:rPr>
                <w:rFonts w:ascii="Times New Roman" w:hAnsi="Times New Roman" w:cs="Times New Roman"/>
              </w:rPr>
            </w:pPr>
            <w:r w:rsidRPr="00AE1B2B">
              <w:rPr>
                <w:rFonts w:ascii="Times New Roman" w:hAnsi="Times New Roman" w:cs="Times New Roman"/>
              </w:rPr>
              <w:t xml:space="preserve">Residencia de la persona menor </w:t>
            </w:r>
          </w:p>
        </w:tc>
      </w:tr>
    </w:tbl>
    <w:p w:rsidRPr="00AE1B2B" w:rsidR="009D3FB5" w:rsidP="00163B94" w:rsidRDefault="009D3FB5" w14:paraId="693F2CF4" w14:textId="77777777">
      <w:pPr>
        <w:pStyle w:val="Prrafodelista"/>
        <w:spacing w:before="120" w:after="120" w:line="276" w:lineRule="auto"/>
        <w:ind w:left="0"/>
        <w:rPr>
          <w:rFonts w:ascii="Times New Roman" w:hAnsi="Times New Roman" w:cs="Times New Roman"/>
        </w:rPr>
      </w:pPr>
    </w:p>
    <w:p w:rsidRPr="00AE1B2B" w:rsidR="009D3FB5" w:rsidP="00163B94" w:rsidRDefault="009D3FB5" w14:paraId="37AC7085" w14:textId="77777777">
      <w:pPr>
        <w:pStyle w:val="Prrafodelista"/>
        <w:spacing w:before="120" w:after="120" w:line="276" w:lineRule="auto"/>
        <w:ind w:left="0"/>
        <w:rPr>
          <w:rFonts w:ascii="Times New Roman" w:hAnsi="Times New Roman" w:cs="Times New Roman"/>
        </w:rPr>
      </w:pPr>
    </w:p>
    <w:p w:rsidRPr="00AE1B2B" w:rsidR="009D3FB5" w:rsidP="00163B94" w:rsidRDefault="009D3FB5" w14:paraId="6D657D0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Actividades durante y post entrada en vigencia del CPF</w:t>
      </w:r>
    </w:p>
    <w:p w:rsidRPr="00AE1B2B" w:rsidR="009D3FB5" w:rsidP="00163B94" w:rsidRDefault="009D3FB5" w14:paraId="697A3FC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1EE4F4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raíz de las experiencias suscitadas con la entrada en vigencia de la Reforma al Código de Trabajo, en el 2017, y el Nuevo Código Procesal Civil en el 2018, se describen a continuación algunas de las actividades que se prevé que se realizarán al momento de la entrada en vigencia del Código Procesal de Familia: </w:t>
      </w:r>
    </w:p>
    <w:p w:rsidRPr="00AE1B2B" w:rsidR="009D3FB5" w:rsidP="00163B94" w:rsidRDefault="009D3FB5" w14:paraId="7E63116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9A0983B" w14:textId="77777777">
      <w:pPr>
        <w:pStyle w:val="Prrafodelista"/>
        <w:numPr>
          <w:ilvl w:val="0"/>
          <w:numId w:val="7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Con la finalidad de utilizar las herramientas tecnológicas con cuenta la Institución y en la línea de la inteligencia de negocios, el equipo del Subproceso de Evaluación se da a la tarea del diseño de Indicadores de Gestión en SIGMA, lo que automatiza la generación de los indicadores. Dicho trabajo implica el involucramiento del Equipo de la Dirección Tecnología de la Información y de la validación de la información que suministre cada uno de los indicadores diseñados. </w:t>
      </w:r>
    </w:p>
    <w:p w:rsidRPr="00AE1B2B" w:rsidR="009D3FB5" w:rsidP="00163B94" w:rsidRDefault="009D3FB5" w14:paraId="60FCDF3B"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600CC56E" w14:textId="7A1347B7">
      <w:pPr>
        <w:pStyle w:val="Prrafodelista"/>
        <w:numPr>
          <w:ilvl w:val="0"/>
          <w:numId w:val="7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Acompañamiento durante la entrada en vigencia del Código Procesal de Familia, se cual se prevé brindar con la finalidad de estabilizar a los despachos en caso de ser necesario a raíz de las modificaciones en la conformación de personas que se podría realizar, cambios en las competencias, en los lineamientos del trabajo, entre otros.</w:t>
      </w:r>
      <w:r w:rsidRPr="00AE1B2B" w:rsidR="00BB7720">
        <w:rPr>
          <w:rFonts w:ascii="Times New Roman" w:hAnsi="Times New Roman" w:cs="Times New Roman"/>
          <w:sz w:val="26"/>
          <w:szCs w:val="26"/>
        </w:rPr>
        <w:t xml:space="preserve"> </w:t>
      </w:r>
    </w:p>
    <w:p w:rsidRPr="00AE1B2B" w:rsidR="009D3FB5" w:rsidP="00163B94" w:rsidRDefault="009D3FB5" w14:paraId="64FEF57C"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241C7ECC" w14:textId="77777777">
      <w:pPr>
        <w:pStyle w:val="Prrafodelista"/>
        <w:numPr>
          <w:ilvl w:val="0"/>
          <w:numId w:val="7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Seguimiento de Indicadores de Gestión por parte del equipo de la Dirección de Planificación, de forma de empoderar a los equipos de trabajo de los Juzgados en el Modelo de Sostenibilidad promoviendo la autogestión en miras del crecimiento y mejora de cada uno de los Despachos involucrados. El trabajo que provoca esta acción corresponde al seguimiento mensual, revisión de la calidad del dato, análisis del comportamiento de los indicadores, revisión del diseño de planes remediales y minutas de trabajo, así como la retroalimentación al Despacho.</w:t>
      </w:r>
    </w:p>
    <w:p w:rsidRPr="00AE1B2B" w:rsidR="009D3FB5" w:rsidP="00163B94" w:rsidRDefault="009D3FB5" w14:paraId="74392F66"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50DC4D58" w14:textId="77777777">
      <w:pPr>
        <w:pStyle w:val="Prrafodelista"/>
        <w:numPr>
          <w:ilvl w:val="0"/>
          <w:numId w:val="7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Informe de Cierre de Proyecto, elaborado conforme a lo indicado por la metodología de Administración de Proyectos, con la finalidad de evidenciar el progreso en las tareas realizadas, las lecciones aprendidas, los pendientes entre otros. Información que será insumo para nuevos proyectos de la misma índole. </w:t>
      </w:r>
    </w:p>
    <w:p w:rsidRPr="00AE1B2B" w:rsidR="009D3FB5" w:rsidP="00163B94" w:rsidRDefault="009D3FB5" w14:paraId="2E901B63"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69776673" w14:textId="77777777">
      <w:pPr>
        <w:pStyle w:val="Prrafodelista"/>
        <w:numPr>
          <w:ilvl w:val="0"/>
          <w:numId w:val="7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Informe de Evaluación de resultados, conforme a la metodología de Proyectos institucional, de 6-12 meses posterior a la entrada en vigencia de la Ley. </w:t>
      </w:r>
    </w:p>
    <w:p w:rsidRPr="00AE1B2B" w:rsidR="009D3FB5" w:rsidP="00163B94" w:rsidRDefault="009D3FB5" w14:paraId="24A2408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F92C42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3979DE" w14:paraId="3C7BD3BA" w14:textId="77FD543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9</w:t>
      </w:r>
      <w:r w:rsidRPr="00AE1B2B" w:rsidR="009D3FB5">
        <w:rPr>
          <w:rFonts w:ascii="Times New Roman" w:hAnsi="Times New Roman" w:cs="Times New Roman"/>
          <w:sz w:val="26"/>
          <w:szCs w:val="26"/>
        </w:rPr>
        <w:t>.7. Comisión de Familia, Niñez y Adolescencia</w:t>
      </w:r>
    </w:p>
    <w:p w:rsidRPr="00AE1B2B" w:rsidR="009D3FB5" w:rsidP="00163B94" w:rsidRDefault="009D3FB5" w14:paraId="75764C0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64F90FE"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rPr>
        <w:lastRenderedPageBreak/>
        <w:t>Conforme a lo presentado a la Comisión de Familia en sesión de Trabajo del pasado 25 de febrero de 2021, según solicitudes realizadas al juez gestor en sesiones de seguimiento, o</w:t>
      </w:r>
      <w:r w:rsidRPr="00AE1B2B">
        <w:rPr>
          <w:rFonts w:ascii="Times New Roman" w:hAnsi="Times New Roman" w:cs="Times New Roman"/>
          <w:sz w:val="26"/>
          <w:szCs w:val="26"/>
          <w:lang w:val="es-MX"/>
        </w:rPr>
        <w:t>ficio 1091-PLA-ES-EV-2020, acuerdos de la sesión de trabajo con la Comisión del pasado 1 de octubre 2020 y el oficio 1678-PLA-EV-2020;actualmente se encuentran pendientes estas tareas de parte de la Comisión y la Gestoría</w:t>
      </w:r>
      <w:r w:rsidRPr="00AE1B2B">
        <w:rPr>
          <w:rFonts w:ascii="Times New Roman" w:hAnsi="Times New Roman" w:cs="Times New Roman"/>
          <w:sz w:val="26"/>
          <w:szCs w:val="26"/>
        </w:rPr>
        <w:t>:</w:t>
      </w:r>
    </w:p>
    <w:p w:rsidRPr="00AE1B2B" w:rsidR="009D3FB5" w:rsidP="00163B94" w:rsidRDefault="009D3FB5" w14:paraId="457A4234" w14:textId="77777777">
      <w:pPr>
        <w:spacing w:before="120" w:after="120"/>
        <w:rPr>
          <w:rFonts w:ascii="Times New Roman" w:hAnsi="Times New Roman" w:cs="Times New Roman"/>
          <w:lang w:val="es-MX"/>
        </w:r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1550"/>
        <w:gridCol w:w="2617"/>
        <w:gridCol w:w="1238"/>
        <w:gridCol w:w="1633"/>
        <w:gridCol w:w="1790"/>
      </w:tblGrid>
      <w:tr w:rsidRPr="00AE1B2B" w:rsidR="00AE1B2B" w:rsidTr="00A46837" w14:paraId="0118A5F7" w14:textId="77777777">
        <w:trPr>
          <w:trHeight w:val="523"/>
        </w:trPr>
        <w:tc>
          <w:tcPr>
            <w:tcW w:w="878" w:type="pct"/>
            <w:shd w:val="clear" w:color="auto" w:fill="4F81BD"/>
            <w:tcMar>
              <w:top w:w="15" w:type="dxa"/>
              <w:left w:w="25" w:type="dxa"/>
              <w:bottom w:w="0" w:type="dxa"/>
              <w:right w:w="25" w:type="dxa"/>
            </w:tcMar>
            <w:vAlign w:val="center"/>
            <w:hideMark/>
          </w:tcPr>
          <w:p w:rsidRPr="00AE1B2B" w:rsidR="009D3FB5" w:rsidP="00163B94" w:rsidRDefault="009D3FB5" w14:paraId="7E4AAE3C" w14:textId="77777777">
            <w:pPr>
              <w:spacing w:before="120" w:after="120"/>
              <w:rPr>
                <w:rFonts w:ascii="Times New Roman" w:hAnsi="Times New Roman" w:cs="Times New Roman"/>
              </w:rPr>
            </w:pPr>
            <w:r w:rsidRPr="00AE1B2B">
              <w:rPr>
                <w:rFonts w:ascii="Times New Roman" w:hAnsi="Times New Roman" w:cs="Times New Roman"/>
                <w:b/>
                <w:bCs/>
                <w:lang w:val="es-ES"/>
              </w:rPr>
              <w:t>Tarea incluida en el oficio 1091-PLA-EV-2020</w:t>
            </w:r>
          </w:p>
        </w:tc>
        <w:tc>
          <w:tcPr>
            <w:tcW w:w="1482" w:type="pct"/>
            <w:shd w:val="clear" w:color="auto" w:fill="4F81BD"/>
            <w:tcMar>
              <w:top w:w="15" w:type="dxa"/>
              <w:left w:w="25" w:type="dxa"/>
              <w:bottom w:w="0" w:type="dxa"/>
              <w:right w:w="25" w:type="dxa"/>
            </w:tcMar>
            <w:vAlign w:val="center"/>
            <w:hideMark/>
          </w:tcPr>
          <w:p w:rsidRPr="00AE1B2B" w:rsidR="009D3FB5" w:rsidP="00163B94" w:rsidRDefault="009D3FB5" w14:paraId="120B42D7" w14:textId="77777777">
            <w:pPr>
              <w:spacing w:before="120" w:after="120"/>
              <w:rPr>
                <w:rFonts w:ascii="Times New Roman" w:hAnsi="Times New Roman" w:cs="Times New Roman"/>
              </w:rPr>
            </w:pPr>
            <w:r w:rsidRPr="00AE1B2B">
              <w:rPr>
                <w:rFonts w:ascii="Times New Roman" w:hAnsi="Times New Roman" w:cs="Times New Roman"/>
                <w:b/>
                <w:bCs/>
                <w:lang w:val="es-ES"/>
              </w:rPr>
              <w:t>Detalle</w:t>
            </w:r>
          </w:p>
        </w:tc>
        <w:tc>
          <w:tcPr>
            <w:tcW w:w="701" w:type="pct"/>
            <w:shd w:val="clear" w:color="auto" w:fill="4F81BD"/>
            <w:tcMar>
              <w:top w:w="15" w:type="dxa"/>
              <w:left w:w="25" w:type="dxa"/>
              <w:bottom w:w="0" w:type="dxa"/>
              <w:right w:w="25" w:type="dxa"/>
            </w:tcMar>
            <w:vAlign w:val="center"/>
            <w:hideMark/>
          </w:tcPr>
          <w:p w:rsidRPr="00AE1B2B" w:rsidR="009D3FB5" w:rsidP="00163B94" w:rsidRDefault="009D3FB5" w14:paraId="550FDC24" w14:textId="77777777">
            <w:pPr>
              <w:spacing w:before="120" w:after="120"/>
              <w:rPr>
                <w:rFonts w:ascii="Times New Roman" w:hAnsi="Times New Roman" w:cs="Times New Roman"/>
              </w:rPr>
            </w:pPr>
            <w:r w:rsidRPr="00AE1B2B">
              <w:rPr>
                <w:rFonts w:ascii="Times New Roman" w:hAnsi="Times New Roman" w:cs="Times New Roman"/>
                <w:b/>
                <w:bCs/>
                <w:lang w:val="es-ES"/>
              </w:rPr>
              <w:t>Estado</w:t>
            </w:r>
          </w:p>
        </w:tc>
        <w:tc>
          <w:tcPr>
            <w:tcW w:w="925" w:type="pct"/>
            <w:shd w:val="clear" w:color="auto" w:fill="4F81BD"/>
            <w:tcMar>
              <w:top w:w="15" w:type="dxa"/>
              <w:left w:w="25" w:type="dxa"/>
              <w:bottom w:w="0" w:type="dxa"/>
              <w:right w:w="25" w:type="dxa"/>
            </w:tcMar>
            <w:vAlign w:val="center"/>
            <w:hideMark/>
          </w:tcPr>
          <w:p w:rsidRPr="00AE1B2B" w:rsidR="009D3FB5" w:rsidP="00163B94" w:rsidRDefault="009D3FB5" w14:paraId="5C7D2718" w14:textId="77777777">
            <w:pPr>
              <w:spacing w:before="120" w:after="120"/>
              <w:rPr>
                <w:rFonts w:ascii="Times New Roman" w:hAnsi="Times New Roman" w:cs="Times New Roman"/>
              </w:rPr>
            </w:pPr>
            <w:r w:rsidRPr="00AE1B2B">
              <w:rPr>
                <w:rFonts w:ascii="Times New Roman" w:hAnsi="Times New Roman" w:cs="Times New Roman"/>
                <w:b/>
                <w:bCs/>
                <w:lang w:val="es-ES"/>
              </w:rPr>
              <w:t>Fecha de cumplimiento</w:t>
            </w:r>
          </w:p>
        </w:tc>
        <w:tc>
          <w:tcPr>
            <w:tcW w:w="1014" w:type="pct"/>
            <w:shd w:val="clear" w:color="auto" w:fill="4F81BD"/>
            <w:tcMar>
              <w:top w:w="15" w:type="dxa"/>
              <w:left w:w="25" w:type="dxa"/>
              <w:bottom w:w="0" w:type="dxa"/>
              <w:right w:w="25" w:type="dxa"/>
            </w:tcMar>
            <w:vAlign w:val="center"/>
            <w:hideMark/>
          </w:tcPr>
          <w:p w:rsidRPr="00AE1B2B" w:rsidR="009D3FB5" w:rsidP="00163B94" w:rsidRDefault="009D3FB5" w14:paraId="4851B1A3" w14:textId="77777777">
            <w:pPr>
              <w:spacing w:before="120" w:after="120"/>
              <w:rPr>
                <w:rFonts w:ascii="Times New Roman" w:hAnsi="Times New Roman" w:cs="Times New Roman"/>
              </w:rPr>
            </w:pPr>
            <w:r w:rsidRPr="00AE1B2B">
              <w:rPr>
                <w:rFonts w:ascii="Times New Roman" w:hAnsi="Times New Roman" w:cs="Times New Roman"/>
                <w:b/>
                <w:bCs/>
                <w:lang w:val="es-ES"/>
              </w:rPr>
              <w:t>Coordinaciones</w:t>
            </w:r>
          </w:p>
        </w:tc>
      </w:tr>
      <w:tr w:rsidRPr="00AE1B2B" w:rsidR="00AE1B2B" w:rsidTr="00A46837" w14:paraId="1E94014F" w14:textId="77777777">
        <w:trPr>
          <w:trHeight w:val="1052"/>
        </w:trPr>
        <w:tc>
          <w:tcPr>
            <w:tcW w:w="878" w:type="pct"/>
            <w:shd w:val="clear" w:color="auto" w:fill="4F81BD"/>
            <w:tcMar>
              <w:top w:w="15" w:type="dxa"/>
              <w:left w:w="25" w:type="dxa"/>
              <w:bottom w:w="0" w:type="dxa"/>
              <w:right w:w="25" w:type="dxa"/>
            </w:tcMar>
            <w:vAlign w:val="center"/>
            <w:hideMark/>
          </w:tcPr>
          <w:p w:rsidRPr="00AE1B2B" w:rsidR="009D3FB5" w:rsidP="00163B94" w:rsidRDefault="009D3FB5" w14:paraId="29A3AFDA" w14:textId="77777777">
            <w:pPr>
              <w:spacing w:before="120" w:after="120"/>
              <w:rPr>
                <w:rFonts w:ascii="Times New Roman" w:hAnsi="Times New Roman" w:cs="Times New Roman"/>
              </w:rPr>
            </w:pPr>
            <w:r w:rsidRPr="00AE1B2B">
              <w:rPr>
                <w:rFonts w:ascii="Times New Roman" w:hAnsi="Times New Roman" w:cs="Times New Roman"/>
                <w:b/>
                <w:bCs/>
                <w:lang w:val="es-ES"/>
              </w:rPr>
              <w:t xml:space="preserve">Diseño de los </w:t>
            </w:r>
            <w:r w:rsidRPr="00AE1B2B">
              <w:rPr>
                <w:rFonts w:ascii="Times New Roman" w:hAnsi="Times New Roman" w:cs="Times New Roman"/>
                <w:b/>
                <w:bCs/>
                <w:u w:val="single"/>
                <w:lang w:val="es-ES"/>
              </w:rPr>
              <w:t>nuevos</w:t>
            </w:r>
            <w:r w:rsidRPr="00AE1B2B">
              <w:rPr>
                <w:rFonts w:ascii="Times New Roman" w:hAnsi="Times New Roman" w:cs="Times New Roman"/>
                <w:b/>
                <w:bCs/>
                <w:lang w:val="es-ES"/>
              </w:rPr>
              <w:t xml:space="preserve"> formatos jurídicos (machotes).</w:t>
            </w:r>
          </w:p>
        </w:tc>
        <w:tc>
          <w:tcPr>
            <w:tcW w:w="1482" w:type="pct"/>
            <w:shd w:val="clear" w:color="auto" w:fill="D0D8E8"/>
            <w:tcMar>
              <w:top w:w="15" w:type="dxa"/>
              <w:left w:w="25" w:type="dxa"/>
              <w:bottom w:w="0" w:type="dxa"/>
              <w:right w:w="25" w:type="dxa"/>
            </w:tcMar>
            <w:vAlign w:val="center"/>
            <w:hideMark/>
          </w:tcPr>
          <w:p w:rsidRPr="00AE1B2B" w:rsidR="009D3FB5" w:rsidP="00163B94" w:rsidRDefault="009D3FB5" w14:paraId="079DFDBD" w14:textId="77777777">
            <w:pPr>
              <w:spacing w:before="120" w:after="120"/>
              <w:rPr>
                <w:rFonts w:ascii="Times New Roman" w:hAnsi="Times New Roman" w:cs="Times New Roman"/>
              </w:rPr>
            </w:pPr>
            <w:r w:rsidRPr="00AE1B2B">
              <w:rPr>
                <w:rFonts w:ascii="Times New Roman" w:hAnsi="Times New Roman" w:cs="Times New Roman"/>
                <w:lang w:val="es-ES"/>
              </w:rPr>
              <w:t xml:space="preserve">Los </w:t>
            </w:r>
            <w:r w:rsidRPr="00AE1B2B">
              <w:rPr>
                <w:rFonts w:ascii="Times New Roman" w:hAnsi="Times New Roman" w:cs="Times New Roman"/>
                <w:u w:val="single"/>
                <w:lang w:val="es-ES"/>
              </w:rPr>
              <w:t>nuevos</w:t>
            </w:r>
            <w:r w:rsidRPr="00AE1B2B">
              <w:rPr>
                <w:rFonts w:ascii="Times New Roman" w:hAnsi="Times New Roman" w:cs="Times New Roman"/>
                <w:lang w:val="es-ES"/>
              </w:rPr>
              <w:t xml:space="preserve"> formatos jurídicos, con la indicación además de cuales están asociados a cambios de fase o estados para las materias de Familia, Pensiones Alimentarias y Violencia Doméstica.</w:t>
            </w:r>
          </w:p>
        </w:tc>
        <w:tc>
          <w:tcPr>
            <w:tcW w:w="701" w:type="pct"/>
            <w:shd w:val="clear" w:color="auto" w:fill="FFFF00"/>
            <w:tcMar>
              <w:top w:w="15" w:type="dxa"/>
              <w:left w:w="25" w:type="dxa"/>
              <w:bottom w:w="0" w:type="dxa"/>
              <w:right w:w="25" w:type="dxa"/>
            </w:tcMar>
            <w:vAlign w:val="center"/>
            <w:hideMark/>
          </w:tcPr>
          <w:p w:rsidRPr="00AE1B2B" w:rsidR="009D3FB5" w:rsidP="00163B94" w:rsidRDefault="009D3FB5" w14:paraId="531BFBD6" w14:textId="77777777">
            <w:pPr>
              <w:spacing w:before="120" w:after="120"/>
              <w:rPr>
                <w:rFonts w:ascii="Times New Roman" w:hAnsi="Times New Roman" w:cs="Times New Roman"/>
              </w:rPr>
            </w:pPr>
            <w:r w:rsidRPr="00AE1B2B">
              <w:rPr>
                <w:rFonts w:ascii="Times New Roman" w:hAnsi="Times New Roman" w:cs="Times New Roman"/>
                <w:lang w:val="es-ES"/>
              </w:rPr>
              <w:t>Demorada en progreso</w:t>
            </w:r>
          </w:p>
          <w:p w:rsidRPr="00AE1B2B" w:rsidR="009D3FB5" w:rsidP="00163B94" w:rsidRDefault="009D3FB5" w14:paraId="73991D77" w14:textId="77777777">
            <w:pPr>
              <w:spacing w:before="120" w:after="120"/>
              <w:rPr>
                <w:rFonts w:ascii="Times New Roman" w:hAnsi="Times New Roman" w:cs="Times New Roman"/>
              </w:rPr>
            </w:pPr>
            <w:r w:rsidRPr="00AE1B2B">
              <w:rPr>
                <w:rFonts w:ascii="Times New Roman" w:hAnsi="Times New Roman" w:cs="Times New Roman"/>
                <w:lang w:val="es-ES"/>
              </w:rPr>
              <w:t> </w:t>
            </w:r>
          </w:p>
        </w:tc>
        <w:tc>
          <w:tcPr>
            <w:tcW w:w="925" w:type="pct"/>
            <w:shd w:val="clear" w:color="auto" w:fill="D0D8E8"/>
            <w:tcMar>
              <w:top w:w="15" w:type="dxa"/>
              <w:left w:w="25" w:type="dxa"/>
              <w:bottom w:w="0" w:type="dxa"/>
              <w:right w:w="25" w:type="dxa"/>
            </w:tcMar>
            <w:vAlign w:val="center"/>
            <w:hideMark/>
          </w:tcPr>
          <w:p w:rsidRPr="00AE1B2B" w:rsidR="009D3FB5" w:rsidP="00163B94" w:rsidRDefault="009D3FB5" w14:paraId="540C42C9" w14:textId="77777777">
            <w:pPr>
              <w:spacing w:before="120" w:after="120"/>
              <w:rPr>
                <w:rFonts w:ascii="Times New Roman" w:hAnsi="Times New Roman" w:cs="Times New Roman"/>
              </w:rPr>
            </w:pPr>
            <w:r w:rsidRPr="00AE1B2B">
              <w:rPr>
                <w:rFonts w:ascii="Times New Roman" w:hAnsi="Times New Roman" w:cs="Times New Roman"/>
                <w:lang w:val="es-ES"/>
              </w:rPr>
              <w:t>Noviembre 2020</w:t>
            </w:r>
          </w:p>
          <w:p w:rsidRPr="00AE1B2B" w:rsidR="009D3FB5" w:rsidP="00163B94" w:rsidRDefault="009D3FB5" w14:paraId="756AE9DD" w14:textId="77777777">
            <w:pPr>
              <w:spacing w:before="120" w:after="120"/>
              <w:rPr>
                <w:rFonts w:ascii="Times New Roman" w:hAnsi="Times New Roman" w:cs="Times New Roman"/>
              </w:rPr>
            </w:pPr>
            <w:r w:rsidRPr="00AE1B2B">
              <w:rPr>
                <w:rFonts w:ascii="Times New Roman" w:hAnsi="Times New Roman" w:cs="Times New Roman"/>
                <w:lang w:val="es-ES"/>
              </w:rPr>
              <w:t> </w:t>
            </w:r>
          </w:p>
        </w:tc>
        <w:tc>
          <w:tcPr>
            <w:tcW w:w="1014" w:type="pct"/>
            <w:shd w:val="clear" w:color="auto" w:fill="D0D8E8"/>
            <w:tcMar>
              <w:top w:w="15" w:type="dxa"/>
              <w:left w:w="25" w:type="dxa"/>
              <w:bottom w:w="0" w:type="dxa"/>
              <w:right w:w="25" w:type="dxa"/>
            </w:tcMar>
            <w:vAlign w:val="center"/>
            <w:hideMark/>
          </w:tcPr>
          <w:p w:rsidRPr="00AE1B2B" w:rsidR="009D3FB5" w:rsidP="00163B94" w:rsidRDefault="009D3FB5" w14:paraId="219AC31D" w14:textId="77777777">
            <w:pPr>
              <w:spacing w:before="120" w:after="120"/>
              <w:rPr>
                <w:rFonts w:ascii="Times New Roman" w:hAnsi="Times New Roman" w:cs="Times New Roman"/>
                <w:lang w:val="es-ES"/>
              </w:rPr>
            </w:pPr>
            <w:r w:rsidRPr="00AE1B2B">
              <w:rPr>
                <w:rFonts w:ascii="Times New Roman" w:hAnsi="Times New Roman" w:cs="Times New Roman"/>
                <w:lang w:val="es-ES"/>
              </w:rPr>
              <w:t>Comisión Familia-DTI. Plaza asignada a esta labor inicia PCGS el 16-10-2020, acuerdo CS sesión 91-10, artículo XXIV.</w:t>
            </w:r>
          </w:p>
          <w:p w:rsidRPr="00AE1B2B" w:rsidR="009D3FB5" w:rsidP="00163B94" w:rsidRDefault="009D3FB5" w14:paraId="493C04E1" w14:textId="77777777">
            <w:pPr>
              <w:spacing w:before="120" w:after="120"/>
              <w:rPr>
                <w:rFonts w:ascii="Times New Roman" w:hAnsi="Times New Roman" w:cs="Times New Roman"/>
              </w:rPr>
            </w:pPr>
            <w:r w:rsidRPr="00AE1B2B">
              <w:rPr>
                <w:rFonts w:ascii="Times New Roman" w:hAnsi="Times New Roman" w:cs="Times New Roman"/>
                <w:lang w:val="es-ES"/>
              </w:rPr>
              <w:t>Pendiente VB Comisión</w:t>
            </w:r>
          </w:p>
        </w:tc>
      </w:tr>
      <w:tr w:rsidRPr="00AE1B2B" w:rsidR="00AE1B2B" w:rsidTr="00A46837" w14:paraId="5B150AE5" w14:textId="77777777">
        <w:trPr>
          <w:trHeight w:val="964"/>
        </w:trPr>
        <w:tc>
          <w:tcPr>
            <w:tcW w:w="878" w:type="pct"/>
            <w:shd w:val="clear" w:color="auto" w:fill="4F81BD"/>
            <w:tcMar>
              <w:top w:w="15" w:type="dxa"/>
              <w:left w:w="25" w:type="dxa"/>
              <w:bottom w:w="0" w:type="dxa"/>
              <w:right w:w="25" w:type="dxa"/>
            </w:tcMar>
            <w:vAlign w:val="center"/>
            <w:hideMark/>
          </w:tcPr>
          <w:p w:rsidRPr="00AE1B2B" w:rsidR="009D3FB5" w:rsidP="00163B94" w:rsidRDefault="009D3FB5" w14:paraId="2F02F7CF" w14:textId="77777777">
            <w:pPr>
              <w:spacing w:before="120" w:after="120"/>
              <w:rPr>
                <w:rFonts w:ascii="Times New Roman" w:hAnsi="Times New Roman" w:cs="Times New Roman"/>
              </w:rPr>
            </w:pPr>
            <w:r w:rsidRPr="00AE1B2B">
              <w:rPr>
                <w:rFonts w:ascii="Times New Roman" w:hAnsi="Times New Roman" w:cs="Times New Roman"/>
                <w:b/>
                <w:bCs/>
                <w:lang w:val="es-ES"/>
              </w:rPr>
              <w:t>Definir los formatos jurídicos actuales que estarán asociados a los cambios de fase y estado.</w:t>
            </w:r>
          </w:p>
        </w:tc>
        <w:tc>
          <w:tcPr>
            <w:tcW w:w="1482" w:type="pct"/>
            <w:shd w:val="clear" w:color="auto" w:fill="E9EDF4"/>
            <w:tcMar>
              <w:top w:w="15" w:type="dxa"/>
              <w:left w:w="25" w:type="dxa"/>
              <w:bottom w:w="0" w:type="dxa"/>
              <w:right w:w="25" w:type="dxa"/>
            </w:tcMar>
            <w:vAlign w:val="center"/>
            <w:hideMark/>
          </w:tcPr>
          <w:p w:rsidRPr="00AE1B2B" w:rsidR="009D3FB5" w:rsidP="00163B94" w:rsidRDefault="009D3FB5" w14:paraId="1FE99E50" w14:textId="77777777">
            <w:pPr>
              <w:spacing w:before="120" w:after="120"/>
              <w:rPr>
                <w:rFonts w:ascii="Times New Roman" w:hAnsi="Times New Roman" w:cs="Times New Roman"/>
              </w:rPr>
            </w:pPr>
            <w:r w:rsidRPr="00AE1B2B">
              <w:rPr>
                <w:rFonts w:ascii="Times New Roman" w:hAnsi="Times New Roman" w:cs="Times New Roman"/>
                <w:lang w:val="es-ES"/>
              </w:rPr>
              <w:t xml:space="preserve">Como parte de las acciones para evitar inconsistencias y dar cumplimiento a la recomendación 4.8 de la CGR se solicitó a la plaza de Juez Gestor establecer cuáles de los formatos actuales implican cambio de estado o fase a finde que se configure así en el sistema. </w:t>
            </w:r>
          </w:p>
        </w:tc>
        <w:tc>
          <w:tcPr>
            <w:tcW w:w="701" w:type="pct"/>
            <w:shd w:val="clear" w:color="auto" w:fill="C00000"/>
            <w:tcMar>
              <w:top w:w="15" w:type="dxa"/>
              <w:left w:w="25" w:type="dxa"/>
              <w:bottom w:w="0" w:type="dxa"/>
              <w:right w:w="25" w:type="dxa"/>
            </w:tcMar>
            <w:vAlign w:val="center"/>
            <w:hideMark/>
          </w:tcPr>
          <w:p w:rsidRPr="00AE1B2B" w:rsidR="009D3FB5" w:rsidP="00163B94" w:rsidRDefault="009D3FB5" w14:paraId="606B1BEE" w14:textId="77777777">
            <w:pPr>
              <w:spacing w:before="120" w:after="120"/>
              <w:rPr>
                <w:rFonts w:ascii="Times New Roman" w:hAnsi="Times New Roman" w:cs="Times New Roman"/>
              </w:rPr>
            </w:pPr>
            <w:r w:rsidRPr="00AE1B2B">
              <w:rPr>
                <w:rFonts w:ascii="Times New Roman" w:hAnsi="Times New Roman" w:cs="Times New Roman"/>
                <w:lang w:val="es-ES"/>
              </w:rPr>
              <w:t>Demorada</w:t>
            </w:r>
          </w:p>
        </w:tc>
        <w:tc>
          <w:tcPr>
            <w:tcW w:w="925" w:type="pct"/>
            <w:shd w:val="clear" w:color="auto" w:fill="E9EDF4"/>
            <w:tcMar>
              <w:top w:w="15" w:type="dxa"/>
              <w:left w:w="25" w:type="dxa"/>
              <w:bottom w:w="0" w:type="dxa"/>
              <w:right w:w="25" w:type="dxa"/>
            </w:tcMar>
            <w:vAlign w:val="center"/>
            <w:hideMark/>
          </w:tcPr>
          <w:p w:rsidRPr="00AE1B2B" w:rsidR="009D3FB5" w:rsidP="00163B94" w:rsidRDefault="009D3FB5" w14:paraId="081B747F" w14:textId="77777777">
            <w:pPr>
              <w:spacing w:before="120" w:after="120"/>
              <w:rPr>
                <w:rFonts w:ascii="Times New Roman" w:hAnsi="Times New Roman" w:cs="Times New Roman"/>
              </w:rPr>
            </w:pPr>
            <w:r w:rsidRPr="00AE1B2B">
              <w:rPr>
                <w:rFonts w:ascii="Times New Roman" w:hAnsi="Times New Roman" w:cs="Times New Roman"/>
                <w:lang w:val="es-ES"/>
              </w:rPr>
              <w:t>Julio 2020</w:t>
            </w:r>
          </w:p>
        </w:tc>
        <w:tc>
          <w:tcPr>
            <w:tcW w:w="1014" w:type="pct"/>
            <w:shd w:val="clear" w:color="auto" w:fill="E9EDF4"/>
            <w:tcMar>
              <w:top w:w="15" w:type="dxa"/>
              <w:left w:w="25" w:type="dxa"/>
              <w:bottom w:w="0" w:type="dxa"/>
              <w:right w:w="25" w:type="dxa"/>
            </w:tcMar>
            <w:vAlign w:val="center"/>
            <w:hideMark/>
          </w:tcPr>
          <w:p w:rsidRPr="00AE1B2B" w:rsidR="009D3FB5" w:rsidP="00163B94" w:rsidRDefault="009D3FB5" w14:paraId="2050E95B" w14:textId="77777777">
            <w:pPr>
              <w:spacing w:before="120" w:after="120"/>
              <w:rPr>
                <w:rFonts w:ascii="Times New Roman" w:hAnsi="Times New Roman" w:cs="Times New Roman"/>
              </w:rPr>
            </w:pPr>
            <w:r w:rsidRPr="00AE1B2B">
              <w:rPr>
                <w:rFonts w:ascii="Times New Roman" w:hAnsi="Times New Roman" w:cs="Times New Roman"/>
                <w:lang w:val="es-ES"/>
              </w:rPr>
              <w:t>Gestor CACMFJ-DTI</w:t>
            </w:r>
          </w:p>
        </w:tc>
      </w:tr>
      <w:tr w:rsidRPr="00AE1B2B" w:rsidR="00AE1B2B" w:rsidTr="00A46837" w14:paraId="7550322D" w14:textId="77777777">
        <w:trPr>
          <w:trHeight w:val="876"/>
        </w:trPr>
        <w:tc>
          <w:tcPr>
            <w:tcW w:w="878" w:type="pct"/>
            <w:shd w:val="clear" w:color="auto" w:fill="4F81BD"/>
            <w:tcMar>
              <w:top w:w="15" w:type="dxa"/>
              <w:left w:w="25" w:type="dxa"/>
              <w:bottom w:w="0" w:type="dxa"/>
              <w:right w:w="25" w:type="dxa"/>
            </w:tcMar>
            <w:vAlign w:val="center"/>
            <w:hideMark/>
          </w:tcPr>
          <w:p w:rsidRPr="00AE1B2B" w:rsidR="009D3FB5" w:rsidP="00163B94" w:rsidRDefault="009D3FB5" w14:paraId="514FCDEE" w14:textId="77777777">
            <w:pPr>
              <w:spacing w:before="120" w:after="120"/>
              <w:rPr>
                <w:rFonts w:ascii="Times New Roman" w:hAnsi="Times New Roman" w:cs="Times New Roman"/>
              </w:rPr>
            </w:pPr>
            <w:r w:rsidRPr="00AE1B2B">
              <w:rPr>
                <w:rFonts w:ascii="Times New Roman" w:hAnsi="Times New Roman" w:cs="Times New Roman"/>
                <w:b/>
                <w:bCs/>
                <w:lang w:val="es-ES"/>
              </w:rPr>
              <w:t>Emitir circular.</w:t>
            </w:r>
          </w:p>
        </w:tc>
        <w:tc>
          <w:tcPr>
            <w:tcW w:w="1482" w:type="pct"/>
            <w:shd w:val="clear" w:color="auto" w:fill="D0D8E8"/>
            <w:tcMar>
              <w:top w:w="15" w:type="dxa"/>
              <w:left w:w="25" w:type="dxa"/>
              <w:bottom w:w="0" w:type="dxa"/>
              <w:right w:w="25" w:type="dxa"/>
            </w:tcMar>
            <w:vAlign w:val="center"/>
            <w:hideMark/>
          </w:tcPr>
          <w:p w:rsidRPr="00AE1B2B" w:rsidR="009D3FB5" w:rsidP="00163B94" w:rsidRDefault="009D3FB5" w14:paraId="7D9BFC06" w14:textId="77777777">
            <w:pPr>
              <w:spacing w:before="120" w:after="120"/>
              <w:rPr>
                <w:rFonts w:ascii="Times New Roman" w:hAnsi="Times New Roman" w:cs="Times New Roman"/>
              </w:rPr>
            </w:pPr>
            <w:r w:rsidRPr="00AE1B2B">
              <w:rPr>
                <w:rFonts w:ascii="Times New Roman" w:hAnsi="Times New Roman" w:cs="Times New Roman"/>
                <w:lang w:val="es-ES"/>
              </w:rPr>
              <w:t>Una vez definidos los formatos jurídicos actuales que estarán asociados a los cambios de fase y estado, y configurado así en los sistemas, comunicar a los despachos emitir circular de la obligatoriedad utilizar los formatos jurídicos, para que el cambio se dé automáticamente y reducir inconsistencias.</w:t>
            </w:r>
          </w:p>
        </w:tc>
        <w:tc>
          <w:tcPr>
            <w:tcW w:w="701" w:type="pct"/>
            <w:shd w:val="clear" w:color="auto" w:fill="C00000"/>
            <w:tcMar>
              <w:top w:w="15" w:type="dxa"/>
              <w:left w:w="25" w:type="dxa"/>
              <w:bottom w:w="0" w:type="dxa"/>
              <w:right w:w="25" w:type="dxa"/>
            </w:tcMar>
            <w:vAlign w:val="center"/>
            <w:hideMark/>
          </w:tcPr>
          <w:p w:rsidRPr="00AE1B2B" w:rsidR="009D3FB5" w:rsidP="00163B94" w:rsidRDefault="009D3FB5" w14:paraId="642066D7" w14:textId="77777777">
            <w:pPr>
              <w:spacing w:before="120" w:after="120"/>
              <w:rPr>
                <w:rFonts w:ascii="Times New Roman" w:hAnsi="Times New Roman" w:cs="Times New Roman"/>
              </w:rPr>
            </w:pPr>
            <w:r w:rsidRPr="00AE1B2B">
              <w:rPr>
                <w:rFonts w:ascii="Times New Roman" w:hAnsi="Times New Roman" w:cs="Times New Roman"/>
                <w:lang w:val="es-ES"/>
              </w:rPr>
              <w:t>Demorada</w:t>
            </w:r>
          </w:p>
        </w:tc>
        <w:tc>
          <w:tcPr>
            <w:tcW w:w="925" w:type="pct"/>
            <w:shd w:val="clear" w:color="auto" w:fill="D0D8E8"/>
            <w:tcMar>
              <w:top w:w="15" w:type="dxa"/>
              <w:left w:w="25" w:type="dxa"/>
              <w:bottom w:w="0" w:type="dxa"/>
              <w:right w:w="25" w:type="dxa"/>
            </w:tcMar>
            <w:vAlign w:val="center"/>
            <w:hideMark/>
          </w:tcPr>
          <w:p w:rsidRPr="00AE1B2B" w:rsidR="009D3FB5" w:rsidP="00163B94" w:rsidRDefault="009D3FB5" w14:paraId="4A163F44" w14:textId="77777777">
            <w:pPr>
              <w:spacing w:before="120" w:after="120"/>
              <w:rPr>
                <w:rFonts w:ascii="Times New Roman" w:hAnsi="Times New Roman" w:cs="Times New Roman"/>
              </w:rPr>
            </w:pPr>
            <w:r w:rsidRPr="00AE1B2B">
              <w:rPr>
                <w:rFonts w:ascii="Times New Roman" w:hAnsi="Times New Roman" w:cs="Times New Roman"/>
                <w:lang w:val="es-ES"/>
              </w:rPr>
              <w:t>Julio-agosto 2020</w:t>
            </w:r>
          </w:p>
        </w:tc>
        <w:tc>
          <w:tcPr>
            <w:tcW w:w="1014" w:type="pct"/>
            <w:shd w:val="clear" w:color="auto" w:fill="D0D8E8"/>
            <w:tcMar>
              <w:top w:w="15" w:type="dxa"/>
              <w:left w:w="25" w:type="dxa"/>
              <w:bottom w:w="0" w:type="dxa"/>
              <w:right w:w="25" w:type="dxa"/>
            </w:tcMar>
            <w:vAlign w:val="center"/>
            <w:hideMark/>
          </w:tcPr>
          <w:p w:rsidRPr="00AE1B2B" w:rsidR="009D3FB5" w:rsidP="00163B94" w:rsidRDefault="009D3FB5" w14:paraId="5285E287" w14:textId="77777777">
            <w:pPr>
              <w:spacing w:before="120" w:after="120"/>
              <w:rPr>
                <w:rFonts w:ascii="Times New Roman" w:hAnsi="Times New Roman" w:cs="Times New Roman"/>
              </w:rPr>
            </w:pPr>
            <w:r w:rsidRPr="00AE1B2B">
              <w:rPr>
                <w:rFonts w:ascii="Times New Roman" w:hAnsi="Times New Roman" w:cs="Times New Roman"/>
                <w:lang w:val="es-ES"/>
              </w:rPr>
              <w:t>Comisión Familia-Gestor CACMFJ</w:t>
            </w:r>
          </w:p>
        </w:tc>
      </w:tr>
      <w:tr w:rsidRPr="00AE1B2B" w:rsidR="00AE1B2B" w:rsidTr="00A46837" w14:paraId="4B88C5A2" w14:textId="77777777">
        <w:trPr>
          <w:trHeight w:val="876"/>
        </w:trPr>
        <w:tc>
          <w:tcPr>
            <w:tcW w:w="878" w:type="pct"/>
            <w:shd w:val="clear" w:color="auto" w:fill="4F81BD"/>
            <w:tcMar>
              <w:top w:w="15" w:type="dxa"/>
              <w:left w:w="25" w:type="dxa"/>
              <w:bottom w:w="0" w:type="dxa"/>
              <w:right w:w="25" w:type="dxa"/>
            </w:tcMar>
            <w:vAlign w:val="center"/>
          </w:tcPr>
          <w:p w:rsidRPr="00AE1B2B" w:rsidR="009D3FB5" w:rsidP="00163B94" w:rsidRDefault="009D3FB5" w14:paraId="20A1E016" w14:textId="77777777">
            <w:pPr>
              <w:spacing w:before="120" w:after="120"/>
              <w:rPr>
                <w:rFonts w:ascii="Times New Roman" w:hAnsi="Times New Roman" w:cs="Times New Roman"/>
                <w:b/>
                <w:bCs/>
                <w:lang w:val="es-ES"/>
              </w:rPr>
            </w:pPr>
            <w:r w:rsidRPr="00AE1B2B">
              <w:rPr>
                <w:rFonts w:ascii="Times New Roman" w:hAnsi="Times New Roman" w:cs="Times New Roman"/>
                <w:b/>
                <w:bCs/>
                <w:lang w:val="es-ES"/>
              </w:rPr>
              <w:lastRenderedPageBreak/>
              <w:t>Diseño de la nueva fórmula estadística a partir de la entrada en vigencia del CPF.</w:t>
            </w:r>
          </w:p>
        </w:tc>
        <w:tc>
          <w:tcPr>
            <w:tcW w:w="1482" w:type="pct"/>
            <w:shd w:val="clear" w:color="auto" w:fill="D0D8E8"/>
            <w:tcMar>
              <w:top w:w="15" w:type="dxa"/>
              <w:left w:w="25" w:type="dxa"/>
              <w:bottom w:w="0" w:type="dxa"/>
              <w:right w:w="25" w:type="dxa"/>
            </w:tcMar>
            <w:vAlign w:val="center"/>
          </w:tcPr>
          <w:p w:rsidRPr="00AE1B2B" w:rsidR="009D3FB5" w:rsidP="00163B94" w:rsidRDefault="009D3FB5" w14:paraId="7D1E69A8" w14:textId="77777777">
            <w:pPr>
              <w:spacing w:before="120" w:after="120"/>
              <w:rPr>
                <w:rFonts w:ascii="Times New Roman" w:hAnsi="Times New Roman" w:cs="Times New Roman"/>
                <w:lang w:val="es-ES"/>
              </w:rPr>
            </w:pPr>
            <w:r w:rsidRPr="00AE1B2B">
              <w:rPr>
                <w:rFonts w:ascii="Times New Roman" w:hAnsi="Times New Roman" w:cs="Times New Roman"/>
                <w:lang w:val="es-ES"/>
              </w:rPr>
              <w:t>Diseñar las fórmulas estadísticas, tareas y ubicaciones en Familia, Pensiones y Violencia Doméstica a partir de octubre 2020.</w:t>
            </w:r>
          </w:p>
        </w:tc>
        <w:tc>
          <w:tcPr>
            <w:tcW w:w="701" w:type="pct"/>
            <w:shd w:val="clear" w:color="auto" w:fill="C00000"/>
            <w:tcMar>
              <w:top w:w="15" w:type="dxa"/>
              <w:left w:w="25" w:type="dxa"/>
              <w:bottom w:w="0" w:type="dxa"/>
              <w:right w:w="25" w:type="dxa"/>
            </w:tcMar>
            <w:vAlign w:val="center"/>
          </w:tcPr>
          <w:p w:rsidRPr="00AE1B2B" w:rsidR="009D3FB5" w:rsidP="00163B94" w:rsidRDefault="009D3FB5" w14:paraId="12C83EAE" w14:textId="77777777">
            <w:pPr>
              <w:spacing w:before="120" w:after="120"/>
              <w:rPr>
                <w:rFonts w:ascii="Times New Roman" w:hAnsi="Times New Roman" w:cs="Times New Roman"/>
                <w:lang w:val="es-ES"/>
              </w:rPr>
            </w:pPr>
            <w:r w:rsidRPr="00AE1B2B">
              <w:rPr>
                <w:rFonts w:ascii="Times New Roman" w:hAnsi="Times New Roman" w:cs="Times New Roman"/>
                <w:lang w:val="es-ES"/>
              </w:rPr>
              <w:t xml:space="preserve">En progreso (Marlen y don Cristian están coordinando agendas) </w:t>
            </w:r>
          </w:p>
        </w:tc>
        <w:tc>
          <w:tcPr>
            <w:tcW w:w="925" w:type="pct"/>
            <w:shd w:val="clear" w:color="auto" w:fill="D0D8E8"/>
            <w:tcMar>
              <w:top w:w="15" w:type="dxa"/>
              <w:left w:w="25" w:type="dxa"/>
              <w:bottom w:w="0" w:type="dxa"/>
              <w:right w:w="25" w:type="dxa"/>
            </w:tcMar>
            <w:vAlign w:val="center"/>
          </w:tcPr>
          <w:p w:rsidRPr="00AE1B2B" w:rsidR="009D3FB5" w:rsidP="00163B94" w:rsidRDefault="009D3FB5" w14:paraId="27195B60" w14:textId="77777777">
            <w:pPr>
              <w:spacing w:before="120" w:after="120"/>
              <w:rPr>
                <w:rFonts w:ascii="Times New Roman" w:hAnsi="Times New Roman" w:cs="Times New Roman"/>
                <w:lang w:val="es-ES"/>
              </w:rPr>
            </w:pPr>
            <w:r w:rsidRPr="00AE1B2B">
              <w:rPr>
                <w:rFonts w:ascii="Times New Roman" w:hAnsi="Times New Roman" w:cs="Times New Roman"/>
                <w:lang w:val="es-ES"/>
              </w:rPr>
              <w:t xml:space="preserve">Noviembre 2021 </w:t>
            </w:r>
          </w:p>
        </w:tc>
        <w:tc>
          <w:tcPr>
            <w:tcW w:w="1014" w:type="pct"/>
            <w:shd w:val="clear" w:color="auto" w:fill="D0D8E8"/>
            <w:tcMar>
              <w:top w:w="15" w:type="dxa"/>
              <w:left w:w="25" w:type="dxa"/>
              <w:bottom w:w="0" w:type="dxa"/>
              <w:right w:w="25" w:type="dxa"/>
            </w:tcMar>
            <w:vAlign w:val="center"/>
          </w:tcPr>
          <w:p w:rsidRPr="00AE1B2B" w:rsidR="009D3FB5" w:rsidP="00163B94" w:rsidRDefault="009D3FB5" w14:paraId="12D33444" w14:textId="77777777">
            <w:pPr>
              <w:spacing w:before="120" w:after="120"/>
              <w:rPr>
                <w:rFonts w:ascii="Times New Roman" w:hAnsi="Times New Roman" w:cs="Times New Roman"/>
                <w:lang w:val="es-ES"/>
              </w:rPr>
            </w:pPr>
            <w:r w:rsidRPr="00AE1B2B">
              <w:rPr>
                <w:rFonts w:ascii="Times New Roman" w:hAnsi="Times New Roman" w:cs="Times New Roman"/>
                <w:lang w:val="es-ES"/>
              </w:rPr>
              <w:t>Gestor CACMFJ, Comisión Familia-D. Planificación</w:t>
            </w:r>
          </w:p>
        </w:tc>
      </w:tr>
      <w:tr w:rsidRPr="00AE1B2B" w:rsidR="00AE1B2B" w:rsidTr="00A46837" w14:paraId="7DF86F7C" w14:textId="77777777">
        <w:trPr>
          <w:trHeight w:val="876"/>
        </w:trPr>
        <w:tc>
          <w:tcPr>
            <w:tcW w:w="878" w:type="pct"/>
            <w:shd w:val="clear" w:color="auto" w:fill="4F81BD"/>
            <w:tcMar>
              <w:top w:w="15" w:type="dxa"/>
              <w:left w:w="25" w:type="dxa"/>
              <w:bottom w:w="0" w:type="dxa"/>
              <w:right w:w="25" w:type="dxa"/>
            </w:tcMar>
            <w:vAlign w:val="center"/>
          </w:tcPr>
          <w:p w:rsidRPr="00AE1B2B" w:rsidR="009D3FB5" w:rsidP="00163B94" w:rsidRDefault="009D3FB5" w14:paraId="5912A2C7" w14:textId="77777777">
            <w:pPr>
              <w:spacing w:before="120" w:after="120"/>
              <w:rPr>
                <w:rFonts w:ascii="Times New Roman" w:hAnsi="Times New Roman" w:cs="Times New Roman"/>
                <w:b/>
                <w:bCs/>
                <w:lang w:val="es-ES"/>
              </w:rPr>
            </w:pPr>
            <w:r w:rsidRPr="00AE1B2B">
              <w:rPr>
                <w:rFonts w:ascii="Times New Roman" w:hAnsi="Times New Roman" w:cs="Times New Roman"/>
                <w:b/>
                <w:bCs/>
                <w:lang w:val="es-ES"/>
              </w:rPr>
              <w:t>Emitir circular.</w:t>
            </w:r>
          </w:p>
        </w:tc>
        <w:tc>
          <w:tcPr>
            <w:tcW w:w="1482" w:type="pct"/>
            <w:shd w:val="clear" w:color="auto" w:fill="D0D8E8"/>
            <w:tcMar>
              <w:top w:w="15" w:type="dxa"/>
              <w:left w:w="25" w:type="dxa"/>
              <w:bottom w:w="0" w:type="dxa"/>
              <w:right w:w="25" w:type="dxa"/>
            </w:tcMar>
            <w:vAlign w:val="center"/>
          </w:tcPr>
          <w:p w:rsidRPr="00AE1B2B" w:rsidR="009D3FB5" w:rsidP="00163B94" w:rsidRDefault="009D3FB5" w14:paraId="3AFB9EB6" w14:textId="0361094C">
            <w:pPr>
              <w:spacing w:before="120" w:after="120"/>
              <w:rPr>
                <w:rFonts w:ascii="Times New Roman" w:hAnsi="Times New Roman" w:cs="Times New Roman"/>
                <w:lang w:val="es-ES"/>
              </w:rPr>
            </w:pPr>
            <w:r w:rsidRPr="00AE1B2B">
              <w:rPr>
                <w:rFonts w:ascii="Times New Roman" w:hAnsi="Times New Roman" w:cs="Times New Roman"/>
                <w:lang w:val="es-ES"/>
              </w:rPr>
              <w:t>Elaborar una circular con las directrices en la materia de Familia, de forma inmediata para el actual código y luego para el Código Procesal de Familia, similar al realizado por el equipo Civil en la Circular 113-18“Cambios administrativos y operativos que se deberán implementar al entrar en vigencia el nuevo Código Procesal Civil”.</w:t>
            </w:r>
            <w:r w:rsidRPr="00AE1B2B" w:rsidR="00BB7720">
              <w:rPr>
                <w:rFonts w:ascii="Times New Roman" w:hAnsi="Times New Roman" w:cs="Times New Roman"/>
                <w:lang w:val="es-ES"/>
              </w:rPr>
              <w:t xml:space="preserve"> </w:t>
            </w:r>
            <w:r w:rsidRPr="00AE1B2B">
              <w:rPr>
                <w:rFonts w:ascii="Times New Roman" w:hAnsi="Times New Roman" w:cs="Times New Roman"/>
                <w:lang w:val="es-ES"/>
              </w:rPr>
              <w:t>Readecuación de los procesos, voto automático, entre otros. Podría incluir aspectos contemplados en el cronograma del proyecto (reglas prácticas, procedimiento grabación audiencias orales).</w:t>
            </w:r>
          </w:p>
        </w:tc>
        <w:tc>
          <w:tcPr>
            <w:tcW w:w="701" w:type="pct"/>
            <w:shd w:val="clear" w:color="auto" w:fill="C00000"/>
            <w:tcMar>
              <w:top w:w="15" w:type="dxa"/>
              <w:left w:w="25" w:type="dxa"/>
              <w:bottom w:w="0" w:type="dxa"/>
              <w:right w:w="25" w:type="dxa"/>
            </w:tcMar>
            <w:vAlign w:val="center"/>
          </w:tcPr>
          <w:p w:rsidRPr="00AE1B2B" w:rsidR="009D3FB5" w:rsidP="00163B94" w:rsidRDefault="009D3FB5" w14:paraId="62046D9A" w14:textId="77777777">
            <w:pPr>
              <w:spacing w:before="120" w:after="120"/>
              <w:rPr>
                <w:rFonts w:ascii="Times New Roman" w:hAnsi="Times New Roman" w:cs="Times New Roman"/>
                <w:lang w:val="es-ES"/>
              </w:rPr>
            </w:pPr>
            <w:r w:rsidRPr="00AE1B2B">
              <w:rPr>
                <w:rFonts w:ascii="Times New Roman" w:hAnsi="Times New Roman" w:cs="Times New Roman"/>
                <w:lang w:val="es-ES"/>
              </w:rPr>
              <w:t>Demorada en progreso</w:t>
            </w:r>
          </w:p>
        </w:tc>
        <w:tc>
          <w:tcPr>
            <w:tcW w:w="925" w:type="pct"/>
            <w:shd w:val="clear" w:color="auto" w:fill="D0D8E8"/>
            <w:tcMar>
              <w:top w:w="15" w:type="dxa"/>
              <w:left w:w="25" w:type="dxa"/>
              <w:bottom w:w="0" w:type="dxa"/>
              <w:right w:w="25" w:type="dxa"/>
            </w:tcMar>
            <w:vAlign w:val="center"/>
          </w:tcPr>
          <w:p w:rsidRPr="00AE1B2B" w:rsidR="009D3FB5" w:rsidP="00163B94" w:rsidRDefault="009D3FB5" w14:paraId="5EEDA3B5" w14:textId="77777777">
            <w:pPr>
              <w:spacing w:before="120" w:after="120"/>
              <w:rPr>
                <w:rFonts w:ascii="Times New Roman" w:hAnsi="Times New Roman" w:cs="Times New Roman"/>
                <w:lang w:val="es-ES"/>
              </w:rPr>
            </w:pPr>
            <w:r w:rsidRPr="00AE1B2B">
              <w:rPr>
                <w:rFonts w:ascii="Times New Roman" w:hAnsi="Times New Roman" w:cs="Times New Roman"/>
                <w:lang w:val="es-ES"/>
              </w:rPr>
              <w:t>Noviembre 2020</w:t>
            </w:r>
          </w:p>
        </w:tc>
        <w:tc>
          <w:tcPr>
            <w:tcW w:w="1014" w:type="pct"/>
            <w:shd w:val="clear" w:color="auto" w:fill="D0D8E8"/>
            <w:tcMar>
              <w:top w:w="15" w:type="dxa"/>
              <w:left w:w="25" w:type="dxa"/>
              <w:bottom w:w="0" w:type="dxa"/>
              <w:right w:w="25" w:type="dxa"/>
            </w:tcMar>
            <w:vAlign w:val="center"/>
          </w:tcPr>
          <w:p w:rsidRPr="00AE1B2B" w:rsidR="009D3FB5" w:rsidP="00163B94" w:rsidRDefault="009D3FB5" w14:paraId="5DAE2CC5" w14:textId="77777777">
            <w:pPr>
              <w:spacing w:before="120" w:after="120"/>
              <w:rPr>
                <w:rFonts w:ascii="Times New Roman" w:hAnsi="Times New Roman" w:cs="Times New Roman"/>
                <w:lang w:val="es-ES"/>
              </w:rPr>
            </w:pPr>
            <w:r w:rsidRPr="00AE1B2B">
              <w:rPr>
                <w:rFonts w:ascii="Times New Roman" w:hAnsi="Times New Roman" w:cs="Times New Roman"/>
                <w:lang w:val="es-ES"/>
              </w:rPr>
              <w:t>Comisión de Familia. Plaza asignada a esta labor inicia PCGS el 16-10-2020, acuerdo CS sesión 91-10, artículo XXIV.</w:t>
            </w:r>
          </w:p>
        </w:tc>
      </w:tr>
      <w:tr w:rsidRPr="00AE1B2B" w:rsidR="00AE1B2B" w:rsidTr="00A46837" w14:paraId="70FAF714" w14:textId="77777777">
        <w:trPr>
          <w:trHeight w:val="876"/>
        </w:trPr>
        <w:tc>
          <w:tcPr>
            <w:tcW w:w="878" w:type="pct"/>
            <w:shd w:val="clear" w:color="auto" w:fill="4F81BD"/>
            <w:tcMar>
              <w:top w:w="15" w:type="dxa"/>
              <w:left w:w="25" w:type="dxa"/>
              <w:bottom w:w="0" w:type="dxa"/>
              <w:right w:w="25" w:type="dxa"/>
            </w:tcMar>
            <w:vAlign w:val="center"/>
          </w:tcPr>
          <w:p w:rsidRPr="00AE1B2B" w:rsidR="009D3FB5" w:rsidP="00163B94" w:rsidRDefault="009D3FB5" w14:paraId="3ED9D3CB" w14:textId="77777777">
            <w:pPr>
              <w:spacing w:before="120" w:after="120"/>
              <w:rPr>
                <w:rFonts w:ascii="Times New Roman" w:hAnsi="Times New Roman" w:cs="Times New Roman"/>
                <w:b/>
                <w:bCs/>
                <w:lang w:val="es-ES"/>
              </w:rPr>
            </w:pPr>
            <w:r w:rsidRPr="00AE1B2B">
              <w:rPr>
                <w:rFonts w:ascii="Times New Roman" w:hAnsi="Times New Roman" w:cs="Times New Roman"/>
                <w:b/>
                <w:bCs/>
                <w:lang w:val="es-ES"/>
              </w:rPr>
              <w:t>Solicitar al Consejo Superior emitir circular.</w:t>
            </w:r>
          </w:p>
        </w:tc>
        <w:tc>
          <w:tcPr>
            <w:tcW w:w="1482" w:type="pct"/>
            <w:shd w:val="clear" w:color="auto" w:fill="D0D8E8"/>
            <w:tcMar>
              <w:top w:w="15" w:type="dxa"/>
              <w:left w:w="25" w:type="dxa"/>
              <w:bottom w:w="0" w:type="dxa"/>
              <w:right w:w="25" w:type="dxa"/>
            </w:tcMar>
            <w:vAlign w:val="center"/>
          </w:tcPr>
          <w:p w:rsidRPr="00AE1B2B" w:rsidR="009D3FB5" w:rsidP="00163B94" w:rsidRDefault="009D3FB5" w14:paraId="459EF461" w14:textId="77777777">
            <w:pPr>
              <w:spacing w:before="120" w:after="120"/>
              <w:rPr>
                <w:rFonts w:ascii="Times New Roman" w:hAnsi="Times New Roman" w:cs="Times New Roman"/>
                <w:lang w:val="es-ES"/>
              </w:rPr>
            </w:pPr>
            <w:r w:rsidRPr="00AE1B2B">
              <w:rPr>
                <w:rFonts w:ascii="Times New Roman" w:hAnsi="Times New Roman" w:cs="Times New Roman"/>
                <w:lang w:val="es-ES"/>
              </w:rPr>
              <w:t>En atención punto 2.37. del informe de la CGR, una vez se identifiquen los expedientes con mayor duración en trámite (fase demanda-demostrativa-conclusiva), solicitar que se giren instrucciones para que se atiendan - y dar seguimiento al cumplimiento por parte de las oficinas.</w:t>
            </w:r>
          </w:p>
        </w:tc>
        <w:tc>
          <w:tcPr>
            <w:tcW w:w="701" w:type="pct"/>
            <w:shd w:val="clear" w:color="auto" w:fill="C00000"/>
            <w:tcMar>
              <w:top w:w="15" w:type="dxa"/>
              <w:left w:w="25" w:type="dxa"/>
              <w:bottom w:w="0" w:type="dxa"/>
              <w:right w:w="25" w:type="dxa"/>
            </w:tcMar>
            <w:vAlign w:val="center"/>
          </w:tcPr>
          <w:p w:rsidRPr="00AE1B2B" w:rsidR="009D3FB5" w:rsidP="00163B94" w:rsidRDefault="009D3FB5" w14:paraId="7E11FAB6" w14:textId="77777777">
            <w:pPr>
              <w:spacing w:before="120" w:after="120"/>
              <w:rPr>
                <w:rFonts w:ascii="Times New Roman" w:hAnsi="Times New Roman" w:cs="Times New Roman"/>
                <w:lang w:val="es-ES"/>
              </w:rPr>
            </w:pPr>
            <w:r w:rsidRPr="00AE1B2B">
              <w:rPr>
                <w:rFonts w:ascii="Times New Roman" w:hAnsi="Times New Roman" w:cs="Times New Roman"/>
                <w:lang w:val="es-ES"/>
              </w:rPr>
              <w:t xml:space="preserve">Demorada </w:t>
            </w:r>
          </w:p>
        </w:tc>
        <w:tc>
          <w:tcPr>
            <w:tcW w:w="925" w:type="pct"/>
            <w:shd w:val="clear" w:color="auto" w:fill="D0D8E8"/>
            <w:tcMar>
              <w:top w:w="15" w:type="dxa"/>
              <w:left w:w="25" w:type="dxa"/>
              <w:bottom w:w="0" w:type="dxa"/>
              <w:right w:w="25" w:type="dxa"/>
            </w:tcMar>
            <w:vAlign w:val="center"/>
          </w:tcPr>
          <w:p w:rsidRPr="00AE1B2B" w:rsidR="009D3FB5" w:rsidP="00163B94" w:rsidRDefault="009D3FB5" w14:paraId="12CC1148" w14:textId="77777777">
            <w:pPr>
              <w:spacing w:before="120" w:after="120"/>
              <w:rPr>
                <w:rFonts w:ascii="Times New Roman" w:hAnsi="Times New Roman" w:cs="Times New Roman"/>
                <w:lang w:val="es-ES"/>
              </w:rPr>
            </w:pPr>
            <w:r w:rsidRPr="00AE1B2B">
              <w:rPr>
                <w:rFonts w:ascii="Times New Roman" w:hAnsi="Times New Roman" w:cs="Times New Roman"/>
                <w:lang w:val="es-ES"/>
              </w:rPr>
              <w:t>Setiembre 2020</w:t>
            </w:r>
          </w:p>
        </w:tc>
        <w:tc>
          <w:tcPr>
            <w:tcW w:w="1014" w:type="pct"/>
            <w:shd w:val="clear" w:color="auto" w:fill="D0D8E8"/>
            <w:tcMar>
              <w:top w:w="15" w:type="dxa"/>
              <w:left w:w="25" w:type="dxa"/>
              <w:bottom w:w="0" w:type="dxa"/>
              <w:right w:w="25" w:type="dxa"/>
            </w:tcMar>
            <w:vAlign w:val="center"/>
          </w:tcPr>
          <w:p w:rsidRPr="00AE1B2B" w:rsidR="009D3FB5" w:rsidP="00163B94" w:rsidRDefault="009D3FB5" w14:paraId="39BF9FB1" w14:textId="77777777">
            <w:pPr>
              <w:spacing w:before="120" w:after="120"/>
              <w:rPr>
                <w:rFonts w:ascii="Times New Roman" w:hAnsi="Times New Roman" w:cs="Times New Roman"/>
              </w:rPr>
            </w:pPr>
            <w:r w:rsidRPr="00AE1B2B">
              <w:rPr>
                <w:rFonts w:ascii="Times New Roman" w:hAnsi="Times New Roman" w:cs="Times New Roman"/>
                <w:lang w:val="es-ES"/>
              </w:rPr>
              <w:t xml:space="preserve">Comisión de Familia-CACMFJ-Consejo Superior. </w:t>
            </w:r>
          </w:p>
          <w:p w:rsidRPr="00AE1B2B" w:rsidR="009D3FB5" w:rsidP="00163B94" w:rsidRDefault="009D3FB5" w14:paraId="075E2D69" w14:textId="77777777">
            <w:pPr>
              <w:spacing w:before="120" w:after="120"/>
              <w:rPr>
                <w:rFonts w:ascii="Times New Roman" w:hAnsi="Times New Roman" w:cs="Times New Roman"/>
              </w:rPr>
            </w:pPr>
            <w:r w:rsidRPr="00AE1B2B">
              <w:rPr>
                <w:rFonts w:ascii="Times New Roman" w:hAnsi="Times New Roman" w:cs="Times New Roman"/>
                <w:lang w:val="es-ES"/>
              </w:rPr>
              <w:t> </w:t>
            </w:r>
          </w:p>
          <w:p w:rsidRPr="00AE1B2B" w:rsidR="009D3FB5" w:rsidP="00163B94" w:rsidRDefault="009D3FB5" w14:paraId="4300BC08" w14:textId="77777777">
            <w:pPr>
              <w:spacing w:before="120" w:after="120"/>
              <w:rPr>
                <w:rFonts w:ascii="Times New Roman" w:hAnsi="Times New Roman" w:cs="Times New Roman"/>
                <w:lang w:val="es-ES"/>
              </w:rPr>
            </w:pPr>
            <w:r w:rsidRPr="00AE1B2B">
              <w:rPr>
                <w:rFonts w:ascii="Times New Roman" w:hAnsi="Times New Roman" w:cs="Times New Roman"/>
                <w:lang w:val="es-ES"/>
              </w:rPr>
              <w:t>Subproceso de Estadística solicitó mejora al reporte.</w:t>
            </w:r>
          </w:p>
          <w:p w:rsidRPr="00AE1B2B" w:rsidR="009D3FB5" w:rsidP="00163B94" w:rsidRDefault="009D3FB5" w14:paraId="0E3A632A" w14:textId="77777777">
            <w:pPr>
              <w:spacing w:before="120" w:after="120"/>
              <w:rPr>
                <w:rFonts w:ascii="Times New Roman" w:hAnsi="Times New Roman" w:cs="Times New Roman"/>
                <w:lang w:val="es-ES"/>
              </w:rPr>
            </w:pPr>
            <w:r w:rsidRPr="00AE1B2B">
              <w:rPr>
                <w:rFonts w:ascii="Times New Roman" w:hAnsi="Times New Roman" w:cs="Times New Roman"/>
              </w:rPr>
              <w:t xml:space="preserve">En reunión del 25 de febrero 2021, se acordó con la Comisión que la revisión de las oficinas sea trimestral. </w:t>
            </w:r>
          </w:p>
        </w:tc>
      </w:tr>
    </w:tbl>
    <w:p w:rsidRPr="00AE1B2B" w:rsidR="009D3FB5" w:rsidP="00163B94" w:rsidRDefault="009D3FB5" w14:paraId="66E5BCA4" w14:textId="77777777">
      <w:pPr>
        <w:spacing w:before="120" w:after="120"/>
        <w:rPr>
          <w:rFonts w:ascii="Times New Roman" w:hAnsi="Times New Roman" w:cs="Times New Roman"/>
        </w:rPr>
      </w:pPr>
    </w:p>
    <w:p w:rsidRPr="00AE1B2B" w:rsidR="009D3FB5" w:rsidP="00163B94" w:rsidRDefault="009D3FB5" w14:paraId="1682BB85" w14:textId="77777777">
      <w:pPr>
        <w:spacing w:before="120" w:after="120"/>
        <w:rPr>
          <w:rFonts w:ascii="Times New Roman" w:hAnsi="Times New Roman" w:cs="Times New Roman"/>
        </w:rPr>
      </w:pPr>
    </w:p>
    <w:p w:rsidRPr="00AE1B2B" w:rsidR="009D3FB5" w:rsidP="00163B94" w:rsidRDefault="009D3FB5" w14:paraId="30608BEC" w14:textId="77777777">
      <w:pPr>
        <w:spacing w:before="120" w:after="120"/>
        <w:rPr>
          <w:rFonts w:ascii="Times New Roman" w:hAnsi="Times New Roman" w:cs="Times New Roman"/>
        </w:rPr>
      </w:pPr>
    </w:p>
    <w:p w:rsidRPr="00AE1B2B" w:rsidR="009D3FB5" w:rsidP="00163B94" w:rsidRDefault="009D3FB5" w14:paraId="02E4B5D4" w14:textId="77777777">
      <w:pPr>
        <w:spacing w:before="120" w:after="120"/>
        <w:rPr>
          <w:rFonts w:ascii="Times New Roman" w:hAnsi="Times New Roman" w:cs="Times New Roman"/>
        </w:rPr>
      </w:pPr>
    </w:p>
    <w:p w:rsidRPr="00AE1B2B" w:rsidR="009D3FB5" w:rsidP="00163B94" w:rsidRDefault="009D3FB5" w14:paraId="1B20385F" w14:textId="77777777">
      <w:pPr>
        <w:spacing w:before="120" w:after="120"/>
        <w:rPr>
          <w:rFonts w:ascii="Times New Roman" w:hAnsi="Times New Roman" w:cs="Times New Roman"/>
        </w:r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1479"/>
        <w:gridCol w:w="2665"/>
        <w:gridCol w:w="1388"/>
        <w:gridCol w:w="1564"/>
        <w:gridCol w:w="1732"/>
      </w:tblGrid>
      <w:tr w:rsidRPr="00AE1B2B" w:rsidR="00AE1B2B" w:rsidTr="00A46837" w14:paraId="03D00985" w14:textId="77777777">
        <w:trPr>
          <w:trHeight w:val="428"/>
        </w:trPr>
        <w:tc>
          <w:tcPr>
            <w:tcW w:w="866" w:type="pct"/>
            <w:shd w:val="clear" w:color="auto" w:fill="4F81BD"/>
            <w:tcMar>
              <w:top w:w="15" w:type="dxa"/>
              <w:left w:w="31" w:type="dxa"/>
              <w:bottom w:w="0" w:type="dxa"/>
              <w:right w:w="31" w:type="dxa"/>
            </w:tcMar>
            <w:vAlign w:val="center"/>
            <w:hideMark/>
          </w:tcPr>
          <w:p w:rsidRPr="00AE1B2B" w:rsidR="009D3FB5" w:rsidP="00163B94" w:rsidRDefault="009D3FB5" w14:paraId="3E1F4A63" w14:textId="77777777">
            <w:pPr>
              <w:spacing w:before="120" w:after="120"/>
              <w:rPr>
                <w:rFonts w:ascii="Times New Roman" w:hAnsi="Times New Roman" w:cs="Times New Roman"/>
              </w:rPr>
            </w:pPr>
            <w:r w:rsidRPr="00AE1B2B">
              <w:rPr>
                <w:rFonts w:ascii="Times New Roman" w:hAnsi="Times New Roman" w:cs="Times New Roman"/>
                <w:b/>
                <w:bCs/>
                <w:lang w:val="es-ES"/>
              </w:rPr>
              <w:t>Tarea solicitada en el oficio 1678-PLA-EV-2020</w:t>
            </w:r>
          </w:p>
        </w:tc>
        <w:tc>
          <w:tcPr>
            <w:tcW w:w="1538" w:type="pct"/>
            <w:shd w:val="clear" w:color="auto" w:fill="4F81BD"/>
            <w:tcMar>
              <w:top w:w="15" w:type="dxa"/>
              <w:left w:w="31" w:type="dxa"/>
              <w:bottom w:w="0" w:type="dxa"/>
              <w:right w:w="31" w:type="dxa"/>
            </w:tcMar>
            <w:vAlign w:val="center"/>
            <w:hideMark/>
          </w:tcPr>
          <w:p w:rsidRPr="00AE1B2B" w:rsidR="009D3FB5" w:rsidP="00163B94" w:rsidRDefault="009D3FB5" w14:paraId="51759972" w14:textId="77777777">
            <w:pPr>
              <w:spacing w:before="120" w:after="120"/>
              <w:rPr>
                <w:rFonts w:ascii="Times New Roman" w:hAnsi="Times New Roman" w:cs="Times New Roman"/>
              </w:rPr>
            </w:pPr>
            <w:r w:rsidRPr="00AE1B2B">
              <w:rPr>
                <w:rFonts w:ascii="Times New Roman" w:hAnsi="Times New Roman" w:cs="Times New Roman"/>
                <w:b/>
                <w:bCs/>
                <w:lang w:val="es-ES"/>
              </w:rPr>
              <w:t>Detalle</w:t>
            </w:r>
          </w:p>
        </w:tc>
        <w:tc>
          <w:tcPr>
            <w:tcW w:w="673" w:type="pct"/>
            <w:shd w:val="clear" w:color="auto" w:fill="4F81BD"/>
            <w:tcMar>
              <w:top w:w="15" w:type="dxa"/>
              <w:left w:w="31" w:type="dxa"/>
              <w:bottom w:w="0" w:type="dxa"/>
              <w:right w:w="31" w:type="dxa"/>
            </w:tcMar>
            <w:vAlign w:val="center"/>
            <w:hideMark/>
          </w:tcPr>
          <w:p w:rsidRPr="00AE1B2B" w:rsidR="009D3FB5" w:rsidP="00163B94" w:rsidRDefault="009D3FB5" w14:paraId="278C9051" w14:textId="77777777">
            <w:pPr>
              <w:spacing w:before="120" w:after="120"/>
              <w:rPr>
                <w:rFonts w:ascii="Times New Roman" w:hAnsi="Times New Roman" w:cs="Times New Roman"/>
              </w:rPr>
            </w:pPr>
            <w:r w:rsidRPr="00AE1B2B">
              <w:rPr>
                <w:rFonts w:ascii="Times New Roman" w:hAnsi="Times New Roman" w:cs="Times New Roman"/>
                <w:b/>
                <w:bCs/>
                <w:lang w:val="es-ES"/>
              </w:rPr>
              <w:t>Estado</w:t>
            </w:r>
          </w:p>
        </w:tc>
        <w:tc>
          <w:tcPr>
            <w:tcW w:w="914" w:type="pct"/>
            <w:shd w:val="clear" w:color="auto" w:fill="4F81BD"/>
            <w:tcMar>
              <w:top w:w="15" w:type="dxa"/>
              <w:left w:w="31" w:type="dxa"/>
              <w:bottom w:w="0" w:type="dxa"/>
              <w:right w:w="31" w:type="dxa"/>
            </w:tcMar>
            <w:vAlign w:val="center"/>
            <w:hideMark/>
          </w:tcPr>
          <w:p w:rsidRPr="00AE1B2B" w:rsidR="009D3FB5" w:rsidP="00163B94" w:rsidRDefault="009D3FB5" w14:paraId="56894E76" w14:textId="77777777">
            <w:pPr>
              <w:spacing w:before="120" w:after="120"/>
              <w:rPr>
                <w:rFonts w:ascii="Times New Roman" w:hAnsi="Times New Roman" w:cs="Times New Roman"/>
              </w:rPr>
            </w:pPr>
            <w:r w:rsidRPr="00AE1B2B">
              <w:rPr>
                <w:rFonts w:ascii="Times New Roman" w:hAnsi="Times New Roman" w:cs="Times New Roman"/>
                <w:b/>
                <w:bCs/>
                <w:lang w:val="es-ES"/>
              </w:rPr>
              <w:t>Fecha de cumplimiento</w:t>
            </w:r>
          </w:p>
        </w:tc>
        <w:tc>
          <w:tcPr>
            <w:tcW w:w="1009" w:type="pct"/>
            <w:shd w:val="clear" w:color="auto" w:fill="4F81BD"/>
            <w:tcMar>
              <w:top w:w="15" w:type="dxa"/>
              <w:left w:w="31" w:type="dxa"/>
              <w:bottom w:w="0" w:type="dxa"/>
              <w:right w:w="31" w:type="dxa"/>
            </w:tcMar>
            <w:vAlign w:val="center"/>
            <w:hideMark/>
          </w:tcPr>
          <w:p w:rsidRPr="00AE1B2B" w:rsidR="009D3FB5" w:rsidP="00163B94" w:rsidRDefault="009D3FB5" w14:paraId="6C93F94E" w14:textId="77777777">
            <w:pPr>
              <w:spacing w:before="120" w:after="120"/>
              <w:rPr>
                <w:rFonts w:ascii="Times New Roman" w:hAnsi="Times New Roman" w:cs="Times New Roman"/>
              </w:rPr>
            </w:pPr>
            <w:r w:rsidRPr="00AE1B2B">
              <w:rPr>
                <w:rFonts w:ascii="Times New Roman" w:hAnsi="Times New Roman" w:cs="Times New Roman"/>
                <w:b/>
                <w:bCs/>
                <w:lang w:val="es-ES"/>
              </w:rPr>
              <w:t>Coordinaciones</w:t>
            </w:r>
          </w:p>
        </w:tc>
      </w:tr>
      <w:tr w:rsidRPr="00AE1B2B" w:rsidR="00AE1B2B" w:rsidTr="00A46837" w14:paraId="0E75EAA6" w14:textId="77777777">
        <w:trPr>
          <w:trHeight w:val="4813"/>
        </w:trPr>
        <w:tc>
          <w:tcPr>
            <w:tcW w:w="866" w:type="pct"/>
            <w:shd w:val="clear" w:color="auto" w:fill="4F81BD"/>
            <w:tcMar>
              <w:top w:w="15" w:type="dxa"/>
              <w:left w:w="31" w:type="dxa"/>
              <w:bottom w:w="0" w:type="dxa"/>
              <w:right w:w="31" w:type="dxa"/>
            </w:tcMar>
            <w:vAlign w:val="center"/>
            <w:hideMark/>
          </w:tcPr>
          <w:p w:rsidRPr="00AE1B2B" w:rsidR="009D3FB5" w:rsidP="00163B94" w:rsidRDefault="009D3FB5" w14:paraId="5F09E13F" w14:textId="77777777">
            <w:pPr>
              <w:spacing w:before="120" w:after="120"/>
              <w:rPr>
                <w:rFonts w:ascii="Times New Roman" w:hAnsi="Times New Roman" w:cs="Times New Roman"/>
              </w:rPr>
            </w:pPr>
            <w:r w:rsidRPr="00AE1B2B">
              <w:rPr>
                <w:rFonts w:ascii="Times New Roman" w:hAnsi="Times New Roman" w:cs="Times New Roman"/>
                <w:b/>
                <w:bCs/>
                <w:lang w:val="es-ES"/>
              </w:rPr>
              <w:t>Definición fecha inicio actualización de los asuntos nuevos EV y SOAP (mamá como representante y menores como beneficiarios).</w:t>
            </w:r>
          </w:p>
          <w:p w:rsidRPr="00AE1B2B" w:rsidR="009D3FB5" w:rsidP="00163B94" w:rsidRDefault="009D3FB5" w14:paraId="191314FE" w14:textId="77777777">
            <w:pPr>
              <w:spacing w:before="120" w:after="120"/>
              <w:rPr>
                <w:rFonts w:ascii="Times New Roman" w:hAnsi="Times New Roman" w:cs="Times New Roman"/>
              </w:rPr>
            </w:pPr>
            <w:r w:rsidRPr="00AE1B2B">
              <w:rPr>
                <w:rFonts w:ascii="Times New Roman" w:hAnsi="Times New Roman" w:cs="Times New Roman"/>
                <w:b/>
                <w:bCs/>
              </w:rPr>
              <w:t>Definición fecha inicio actualización de los asuntos en circulante EV y SOAP (mamá como represéntate y menores como beneficiarios).</w:t>
            </w:r>
          </w:p>
        </w:tc>
        <w:tc>
          <w:tcPr>
            <w:tcW w:w="1538" w:type="pct"/>
            <w:shd w:val="clear" w:color="auto" w:fill="E9EDF4"/>
            <w:tcMar>
              <w:top w:w="15" w:type="dxa"/>
              <w:left w:w="31" w:type="dxa"/>
              <w:bottom w:w="0" w:type="dxa"/>
              <w:right w:w="31" w:type="dxa"/>
            </w:tcMar>
            <w:vAlign w:val="center"/>
            <w:hideMark/>
          </w:tcPr>
          <w:p w:rsidRPr="00AE1B2B" w:rsidR="009D3FB5" w:rsidP="00163B94" w:rsidRDefault="009D3FB5" w14:paraId="0C19055B" w14:textId="77777777">
            <w:pPr>
              <w:spacing w:before="120" w:after="120"/>
              <w:rPr>
                <w:rFonts w:ascii="Times New Roman" w:hAnsi="Times New Roman" w:cs="Times New Roman"/>
              </w:rPr>
            </w:pPr>
            <w:r w:rsidRPr="00AE1B2B">
              <w:rPr>
                <w:rFonts w:ascii="Times New Roman" w:hAnsi="Times New Roman" w:cs="Times New Roman"/>
                <w:lang w:val="es-ES"/>
              </w:rPr>
              <w:t>Los jueces de PA solicitaron esta definición por escrito por parte de la Comisión.</w:t>
            </w:r>
          </w:p>
          <w:p w:rsidRPr="00AE1B2B" w:rsidR="009D3FB5" w:rsidP="00163B94" w:rsidRDefault="009D3FB5" w14:paraId="36EF2690" w14:textId="77777777">
            <w:pPr>
              <w:spacing w:before="120" w:after="120"/>
              <w:rPr>
                <w:rFonts w:ascii="Times New Roman" w:hAnsi="Times New Roman" w:cs="Times New Roman"/>
              </w:rPr>
            </w:pPr>
            <w:r w:rsidRPr="00AE1B2B">
              <w:rPr>
                <w:rFonts w:ascii="Times New Roman" w:hAnsi="Times New Roman" w:cs="Times New Roman"/>
                <w:lang w:val="es-ES"/>
              </w:rPr>
              <w:t> </w:t>
            </w:r>
          </w:p>
          <w:p w:rsidRPr="00AE1B2B" w:rsidR="009D3FB5" w:rsidP="00163B94" w:rsidRDefault="009D3FB5" w14:paraId="0FA72620" w14:textId="77777777">
            <w:pPr>
              <w:spacing w:before="120" w:after="120"/>
              <w:rPr>
                <w:rFonts w:ascii="Times New Roman" w:hAnsi="Times New Roman" w:cs="Times New Roman"/>
              </w:rPr>
            </w:pPr>
            <w:r w:rsidRPr="00AE1B2B">
              <w:rPr>
                <w:rFonts w:ascii="Times New Roman" w:hAnsi="Times New Roman" w:cs="Times New Roman"/>
                <w:lang w:val="es-ES"/>
              </w:rPr>
              <w:t>Acuerdo 6 de la reunión de seguimiento del 5 de octubre de 2020:</w:t>
            </w:r>
          </w:p>
          <w:p w:rsidRPr="00AE1B2B" w:rsidR="009D3FB5" w:rsidP="00163B94" w:rsidRDefault="009D3FB5" w14:paraId="1A6E5BDD" w14:textId="77777777">
            <w:pPr>
              <w:spacing w:before="120" w:after="120"/>
              <w:rPr>
                <w:rFonts w:ascii="Times New Roman" w:hAnsi="Times New Roman" w:cs="Times New Roman"/>
              </w:rPr>
            </w:pPr>
            <w:r w:rsidRPr="00AE1B2B">
              <w:rPr>
                <w:rFonts w:ascii="Times New Roman" w:hAnsi="Times New Roman" w:cs="Times New Roman"/>
                <w:lang w:val="es-ES"/>
              </w:rPr>
              <w:t> </w:t>
            </w:r>
          </w:p>
          <w:p w:rsidRPr="00AE1B2B" w:rsidR="009D3FB5" w:rsidP="00163B94" w:rsidRDefault="009D3FB5" w14:paraId="16C6F6A5" w14:textId="53DC325F">
            <w:pPr>
              <w:spacing w:before="120" w:after="120"/>
              <w:rPr>
                <w:rFonts w:ascii="Times New Roman" w:hAnsi="Times New Roman" w:cs="Times New Roman"/>
              </w:rPr>
            </w:pPr>
            <w:r w:rsidRPr="00AE1B2B">
              <w:rPr>
                <w:rFonts w:ascii="Times New Roman" w:hAnsi="Times New Roman" w:cs="Times New Roman"/>
                <w:lang w:val="es-ES"/>
              </w:rPr>
              <w:t>“6.No se incluye en el inventario por acuerdo de la Comisión de Familia del 1 de octubre de 2020 la actualización de los intervinientes (parte actora, beneficiarios y representante legal) por disposición de la Comisión debido al trabajo que implica esta actualización en el sistema de gestión y en el SOAP y el plazo de menos de 2 meses para finalizar el inventario conforme al cronograma de atención de las recomendaciones de la Contraloría General de la República, pero si deben verificar que todas las partes estén incorporadas.</w:t>
            </w:r>
            <w:r w:rsidRPr="00AE1B2B" w:rsidR="00BB7720">
              <w:rPr>
                <w:rFonts w:ascii="Times New Roman" w:hAnsi="Times New Roman" w:cs="Times New Roman"/>
                <w:lang w:val="es-ES"/>
              </w:rPr>
              <w:t xml:space="preserve"> </w:t>
            </w:r>
            <w:r w:rsidRPr="00AE1B2B">
              <w:rPr>
                <w:rFonts w:ascii="Times New Roman" w:hAnsi="Times New Roman" w:cs="Times New Roman"/>
                <w:lang w:val="es-ES"/>
              </w:rPr>
              <w:t xml:space="preserve">Está pendiente el envió del acuerdo de la Comisión, pero se debe acordar la fecha de inicio para que se comience a corregir la información en los sistemas de los asuntos en circulante (don Cristian recomienda que no se reserve a un próximo inventario, sino que se estructure un plan de trabajo para que inicien antes </w:t>
            </w:r>
            <w:r w:rsidRPr="00AE1B2B">
              <w:rPr>
                <w:rFonts w:ascii="Times New Roman" w:hAnsi="Times New Roman" w:cs="Times New Roman"/>
                <w:lang w:val="es-ES"/>
              </w:rPr>
              <w:lastRenderedPageBreak/>
              <w:t>las oficinas, y no de forma simultánea a un inventario). Y también que se defina y se comunique el acuerdo de la Comisión sobre la fecha a partir de la cual debe empezar a ingresar los intervinientes de los casos nuevos en la forma correcta (beneficiarios, representante legal, parte actora).</w:t>
            </w:r>
            <w:r w:rsidRPr="00AE1B2B" w:rsidR="00BB7720">
              <w:rPr>
                <w:rFonts w:ascii="Times New Roman" w:hAnsi="Times New Roman" w:cs="Times New Roman"/>
                <w:lang w:val="es-ES"/>
              </w:rPr>
              <w:t xml:space="preserve"> </w:t>
            </w:r>
            <w:r w:rsidRPr="00AE1B2B">
              <w:rPr>
                <w:rFonts w:ascii="Times New Roman" w:hAnsi="Times New Roman" w:cs="Times New Roman"/>
                <w:lang w:val="es-ES"/>
              </w:rPr>
              <w:t>Se solicita a don Cristian definir a la brevedad estos puntos con la Comisión”.</w:t>
            </w:r>
          </w:p>
        </w:tc>
        <w:tc>
          <w:tcPr>
            <w:tcW w:w="673" w:type="pct"/>
            <w:shd w:val="clear" w:color="auto" w:fill="FFFFFF"/>
            <w:tcMar>
              <w:top w:w="15" w:type="dxa"/>
              <w:left w:w="31" w:type="dxa"/>
              <w:bottom w:w="0" w:type="dxa"/>
              <w:right w:w="31" w:type="dxa"/>
            </w:tcMar>
            <w:vAlign w:val="center"/>
            <w:hideMark/>
          </w:tcPr>
          <w:p w:rsidRPr="00AE1B2B" w:rsidR="009D3FB5" w:rsidP="00163B94" w:rsidRDefault="009D3FB5" w14:paraId="69F0C4BF" w14:textId="77777777">
            <w:pPr>
              <w:spacing w:before="120" w:after="120"/>
              <w:rPr>
                <w:rFonts w:ascii="Times New Roman" w:hAnsi="Times New Roman" w:cs="Times New Roman"/>
              </w:rPr>
            </w:pPr>
            <w:r w:rsidRPr="00AE1B2B">
              <w:rPr>
                <w:rFonts w:ascii="Times New Roman" w:hAnsi="Times New Roman" w:cs="Times New Roman"/>
                <w:b/>
                <w:bCs/>
                <w:lang w:val="es-ES"/>
              </w:rPr>
              <w:lastRenderedPageBreak/>
              <w:t>Listo. Circular. Suspendió la actualización</w:t>
            </w:r>
          </w:p>
        </w:tc>
        <w:tc>
          <w:tcPr>
            <w:tcW w:w="914" w:type="pct"/>
            <w:shd w:val="clear" w:color="auto" w:fill="E9EDF4"/>
            <w:tcMar>
              <w:top w:w="15" w:type="dxa"/>
              <w:left w:w="31" w:type="dxa"/>
              <w:bottom w:w="0" w:type="dxa"/>
              <w:right w:w="31" w:type="dxa"/>
            </w:tcMar>
            <w:vAlign w:val="center"/>
            <w:hideMark/>
          </w:tcPr>
          <w:p w:rsidRPr="00AE1B2B" w:rsidR="009D3FB5" w:rsidP="00163B94" w:rsidRDefault="009D3FB5" w14:paraId="54B8C50D" w14:textId="77777777">
            <w:pPr>
              <w:spacing w:before="120" w:after="120"/>
              <w:rPr>
                <w:rFonts w:ascii="Times New Roman" w:hAnsi="Times New Roman" w:cs="Times New Roman"/>
              </w:rPr>
            </w:pPr>
            <w:r w:rsidRPr="00AE1B2B">
              <w:rPr>
                <w:rFonts w:ascii="Times New Roman" w:hAnsi="Times New Roman" w:cs="Times New Roman"/>
                <w:lang w:val="es-ES"/>
              </w:rPr>
              <w:t>Octubre 2020</w:t>
            </w:r>
          </w:p>
        </w:tc>
        <w:tc>
          <w:tcPr>
            <w:tcW w:w="1009" w:type="pct"/>
            <w:shd w:val="clear" w:color="auto" w:fill="E9EDF4"/>
            <w:tcMar>
              <w:top w:w="15" w:type="dxa"/>
              <w:left w:w="31" w:type="dxa"/>
              <w:bottom w:w="0" w:type="dxa"/>
              <w:right w:w="31" w:type="dxa"/>
            </w:tcMar>
            <w:vAlign w:val="center"/>
            <w:hideMark/>
          </w:tcPr>
          <w:p w:rsidRPr="00AE1B2B" w:rsidR="009D3FB5" w:rsidP="00163B94" w:rsidRDefault="009D3FB5" w14:paraId="4F6C729E" w14:textId="77777777">
            <w:pPr>
              <w:spacing w:before="120" w:after="120"/>
              <w:rPr>
                <w:rFonts w:ascii="Times New Roman" w:hAnsi="Times New Roman" w:cs="Times New Roman"/>
              </w:rPr>
            </w:pPr>
            <w:r w:rsidRPr="00AE1B2B">
              <w:rPr>
                <w:rFonts w:ascii="Times New Roman" w:hAnsi="Times New Roman" w:cs="Times New Roman"/>
                <w:lang w:val="es-ES"/>
              </w:rPr>
              <w:t>Comisión Familia</w:t>
            </w:r>
          </w:p>
        </w:tc>
      </w:tr>
      <w:tr w:rsidRPr="00AE1B2B" w:rsidR="00AE1B2B" w:rsidTr="00A46837" w14:paraId="0AE8199D" w14:textId="77777777">
        <w:trPr>
          <w:trHeight w:val="1267"/>
        </w:trPr>
        <w:tc>
          <w:tcPr>
            <w:tcW w:w="866" w:type="pct"/>
            <w:shd w:val="clear" w:color="auto" w:fill="4F81BD"/>
            <w:tcMar>
              <w:top w:w="15" w:type="dxa"/>
              <w:left w:w="31" w:type="dxa"/>
              <w:bottom w:w="0" w:type="dxa"/>
              <w:right w:w="31" w:type="dxa"/>
            </w:tcMar>
            <w:vAlign w:val="center"/>
          </w:tcPr>
          <w:p w:rsidRPr="00AE1B2B" w:rsidR="009D3FB5" w:rsidP="00163B94" w:rsidRDefault="009D3FB5" w14:paraId="5CB78E36" w14:textId="77777777">
            <w:pPr>
              <w:spacing w:before="120" w:after="120"/>
              <w:rPr>
                <w:rFonts w:ascii="Times New Roman" w:hAnsi="Times New Roman" w:cs="Times New Roman"/>
                <w:b/>
                <w:bCs/>
                <w:lang w:val="es-ES"/>
              </w:rPr>
            </w:pPr>
            <w:r w:rsidRPr="00AE1B2B">
              <w:rPr>
                <w:rFonts w:ascii="Times New Roman" w:hAnsi="Times New Roman" w:cs="Times New Roman"/>
                <w:b/>
                <w:bCs/>
                <w:lang w:val="es-ES"/>
              </w:rPr>
              <w:t>Reporte en SIGMA solicitudes de apremio recibidas y realizadas.</w:t>
            </w:r>
          </w:p>
        </w:tc>
        <w:tc>
          <w:tcPr>
            <w:tcW w:w="1538" w:type="pct"/>
            <w:shd w:val="clear" w:color="auto" w:fill="E9EDF4"/>
            <w:tcMar>
              <w:top w:w="15" w:type="dxa"/>
              <w:left w:w="31" w:type="dxa"/>
              <w:bottom w:w="0" w:type="dxa"/>
              <w:right w:w="31" w:type="dxa"/>
            </w:tcMar>
            <w:vAlign w:val="center"/>
          </w:tcPr>
          <w:p w:rsidRPr="00AE1B2B" w:rsidR="009D3FB5" w:rsidP="00163B94" w:rsidRDefault="009D3FB5" w14:paraId="08D79865" w14:textId="2FBAB19A">
            <w:pPr>
              <w:spacing w:before="120" w:after="120"/>
              <w:rPr>
                <w:rFonts w:ascii="Times New Roman" w:hAnsi="Times New Roman" w:cs="Times New Roman"/>
                <w:lang w:val="es-ES"/>
              </w:rPr>
            </w:pPr>
            <w:r w:rsidRPr="00AE1B2B">
              <w:rPr>
                <w:rFonts w:ascii="Times New Roman" w:hAnsi="Times New Roman" w:cs="Times New Roman"/>
                <w:lang w:val="es-ES"/>
              </w:rPr>
              <w:t xml:space="preserve">Don Cristian indicó </w:t>
            </w:r>
            <w:r w:rsidRPr="00AE1B2B">
              <w:rPr>
                <w:rFonts w:ascii="Times New Roman" w:hAnsi="Times New Roman" w:cs="Times New Roman"/>
                <w:lang w:val="es-MX"/>
              </w:rPr>
              <w:t xml:space="preserve">que debe </w:t>
            </w:r>
            <w:r w:rsidRPr="00AE1B2B">
              <w:rPr>
                <w:rFonts w:ascii="Times New Roman" w:hAnsi="Times New Roman" w:cs="Times New Roman"/>
              </w:rPr>
              <w:t>revisar el tema con los Jueces de los despachos especializados sobre si es necesario solicitar una mejora a DTI para que incorpore en los resultados “conservación del derecho”.</w:t>
            </w:r>
            <w:r w:rsidRPr="00AE1B2B" w:rsidR="00BB7720">
              <w:rPr>
                <w:rFonts w:ascii="Times New Roman" w:hAnsi="Times New Roman" w:cs="Times New Roman"/>
              </w:rPr>
              <w:t xml:space="preserve"> </w:t>
            </w:r>
          </w:p>
        </w:tc>
        <w:tc>
          <w:tcPr>
            <w:tcW w:w="673" w:type="pct"/>
            <w:shd w:val="clear" w:color="auto" w:fill="FFFFFF"/>
            <w:tcMar>
              <w:top w:w="15" w:type="dxa"/>
              <w:left w:w="31" w:type="dxa"/>
              <w:bottom w:w="0" w:type="dxa"/>
              <w:right w:w="31" w:type="dxa"/>
            </w:tcMar>
            <w:vAlign w:val="center"/>
          </w:tcPr>
          <w:p w:rsidRPr="00AE1B2B" w:rsidR="009D3FB5" w:rsidP="00163B94" w:rsidRDefault="009D3FB5" w14:paraId="51FE07F3" w14:textId="77777777">
            <w:pPr>
              <w:spacing w:before="120" w:after="120"/>
              <w:rPr>
                <w:rFonts w:ascii="Times New Roman" w:hAnsi="Times New Roman" w:cs="Times New Roman"/>
                <w:b/>
                <w:bCs/>
                <w:lang w:val="es-ES"/>
              </w:rPr>
            </w:pPr>
            <w:r w:rsidRPr="00AE1B2B">
              <w:rPr>
                <w:rFonts w:ascii="Times New Roman" w:hAnsi="Times New Roman" w:cs="Times New Roman"/>
                <w:lang w:val="es-ES"/>
              </w:rPr>
              <w:t>Demorada</w:t>
            </w:r>
          </w:p>
        </w:tc>
        <w:tc>
          <w:tcPr>
            <w:tcW w:w="914" w:type="pct"/>
            <w:shd w:val="clear" w:color="auto" w:fill="E9EDF4"/>
            <w:tcMar>
              <w:top w:w="15" w:type="dxa"/>
              <w:left w:w="31" w:type="dxa"/>
              <w:bottom w:w="0" w:type="dxa"/>
              <w:right w:w="31" w:type="dxa"/>
            </w:tcMar>
            <w:vAlign w:val="center"/>
          </w:tcPr>
          <w:p w:rsidRPr="00AE1B2B" w:rsidR="009D3FB5" w:rsidP="00163B94" w:rsidRDefault="009D3FB5" w14:paraId="1983C408" w14:textId="77777777">
            <w:pPr>
              <w:spacing w:before="120" w:after="120"/>
              <w:rPr>
                <w:rFonts w:ascii="Times New Roman" w:hAnsi="Times New Roman" w:cs="Times New Roman"/>
                <w:lang w:val="es-ES"/>
              </w:rPr>
            </w:pPr>
            <w:r w:rsidRPr="00AE1B2B">
              <w:rPr>
                <w:rFonts w:ascii="Times New Roman" w:hAnsi="Times New Roman" w:cs="Times New Roman"/>
                <w:lang w:val="es-ES"/>
              </w:rPr>
              <w:t>Febrero 2021</w:t>
            </w:r>
          </w:p>
        </w:tc>
        <w:tc>
          <w:tcPr>
            <w:tcW w:w="1009" w:type="pct"/>
            <w:shd w:val="clear" w:color="auto" w:fill="E9EDF4"/>
            <w:tcMar>
              <w:top w:w="15" w:type="dxa"/>
              <w:left w:w="31" w:type="dxa"/>
              <w:bottom w:w="0" w:type="dxa"/>
              <w:right w:w="31" w:type="dxa"/>
            </w:tcMar>
            <w:vAlign w:val="center"/>
          </w:tcPr>
          <w:p w:rsidRPr="00AE1B2B" w:rsidR="009D3FB5" w:rsidP="00163B94" w:rsidRDefault="009D3FB5" w14:paraId="6F0416B5" w14:textId="77777777">
            <w:pPr>
              <w:spacing w:before="120" w:after="120"/>
              <w:rPr>
                <w:rFonts w:ascii="Times New Roman" w:hAnsi="Times New Roman" w:cs="Times New Roman"/>
                <w:lang w:val="es-ES"/>
              </w:rPr>
            </w:pPr>
            <w:r w:rsidRPr="00AE1B2B">
              <w:rPr>
                <w:rFonts w:ascii="Times New Roman" w:hAnsi="Times New Roman" w:cs="Times New Roman"/>
                <w:lang w:val="es-ES"/>
              </w:rPr>
              <w:t>Juez Gestor</w:t>
            </w:r>
          </w:p>
        </w:tc>
      </w:tr>
      <w:tr w:rsidRPr="00AE1B2B" w:rsidR="00AE1B2B" w:rsidTr="00A46837" w14:paraId="75172902" w14:textId="77777777">
        <w:trPr>
          <w:trHeight w:val="832"/>
        </w:trPr>
        <w:tc>
          <w:tcPr>
            <w:tcW w:w="866" w:type="pct"/>
            <w:shd w:val="clear" w:color="auto" w:fill="4F81BD"/>
            <w:tcMar>
              <w:top w:w="15" w:type="dxa"/>
              <w:left w:w="31" w:type="dxa"/>
              <w:bottom w:w="0" w:type="dxa"/>
              <w:right w:w="31" w:type="dxa"/>
            </w:tcMar>
            <w:vAlign w:val="center"/>
          </w:tcPr>
          <w:p w:rsidRPr="00AE1B2B" w:rsidR="009D3FB5" w:rsidP="00163B94" w:rsidRDefault="009D3FB5" w14:paraId="052B5941" w14:textId="77777777">
            <w:pPr>
              <w:spacing w:before="120" w:after="120"/>
              <w:rPr>
                <w:rFonts w:ascii="Times New Roman" w:hAnsi="Times New Roman" w:cs="Times New Roman"/>
                <w:b/>
                <w:bCs/>
                <w:lang w:val="es-ES"/>
              </w:rPr>
            </w:pPr>
            <w:r w:rsidRPr="00AE1B2B">
              <w:rPr>
                <w:rFonts w:ascii="Times New Roman" w:hAnsi="Times New Roman" w:cs="Times New Roman"/>
                <w:b/>
                <w:bCs/>
              </w:rPr>
              <w:t>Circular, sobre cómo se va a tramitar apremios en el sistema, que en Legajo y que en Principal</w:t>
            </w:r>
          </w:p>
        </w:tc>
        <w:tc>
          <w:tcPr>
            <w:tcW w:w="1538" w:type="pct"/>
            <w:shd w:val="clear" w:color="auto" w:fill="E9EDF4"/>
            <w:tcMar>
              <w:top w:w="15" w:type="dxa"/>
              <w:left w:w="31" w:type="dxa"/>
              <w:bottom w:w="0" w:type="dxa"/>
              <w:right w:w="31" w:type="dxa"/>
            </w:tcMar>
            <w:vAlign w:val="center"/>
          </w:tcPr>
          <w:p w:rsidRPr="00AE1B2B" w:rsidR="009D3FB5" w:rsidP="00163B94" w:rsidRDefault="009D3FB5" w14:paraId="6B0BD572" w14:textId="77777777">
            <w:pPr>
              <w:spacing w:before="120" w:after="120"/>
              <w:rPr>
                <w:rFonts w:ascii="Times New Roman" w:hAnsi="Times New Roman" w:cs="Times New Roman"/>
                <w:lang w:val="es-ES"/>
              </w:rPr>
            </w:pPr>
            <w:r w:rsidRPr="00AE1B2B">
              <w:rPr>
                <w:rFonts w:ascii="Times New Roman" w:hAnsi="Times New Roman" w:cs="Times New Roman"/>
              </w:rPr>
              <w:t>Aclararía también de que resultado utilizar si se trata de una conservación de derecho, dependiendo de lo que se acuerde con los jueces</w:t>
            </w:r>
          </w:p>
        </w:tc>
        <w:tc>
          <w:tcPr>
            <w:tcW w:w="673" w:type="pct"/>
            <w:shd w:val="clear" w:color="auto" w:fill="FFFFFF"/>
            <w:tcMar>
              <w:top w:w="15" w:type="dxa"/>
              <w:left w:w="31" w:type="dxa"/>
              <w:bottom w:w="0" w:type="dxa"/>
              <w:right w:w="31" w:type="dxa"/>
            </w:tcMar>
            <w:vAlign w:val="center"/>
          </w:tcPr>
          <w:p w:rsidRPr="00AE1B2B" w:rsidR="009D3FB5" w:rsidP="00163B94" w:rsidRDefault="009D3FB5" w14:paraId="40087784" w14:textId="77777777">
            <w:pPr>
              <w:spacing w:before="120" w:after="120"/>
              <w:rPr>
                <w:rFonts w:ascii="Times New Roman" w:hAnsi="Times New Roman" w:cs="Times New Roman"/>
                <w:b/>
                <w:bCs/>
                <w:lang w:val="es-ES"/>
              </w:rPr>
            </w:pPr>
            <w:r w:rsidRPr="00AE1B2B">
              <w:rPr>
                <w:rFonts w:ascii="Times New Roman" w:hAnsi="Times New Roman" w:cs="Times New Roman"/>
              </w:rPr>
              <w:t>Demorada</w:t>
            </w:r>
          </w:p>
        </w:tc>
        <w:tc>
          <w:tcPr>
            <w:tcW w:w="914" w:type="pct"/>
            <w:shd w:val="clear" w:color="auto" w:fill="E9EDF4"/>
            <w:tcMar>
              <w:top w:w="15" w:type="dxa"/>
              <w:left w:w="31" w:type="dxa"/>
              <w:bottom w:w="0" w:type="dxa"/>
              <w:right w:w="31" w:type="dxa"/>
            </w:tcMar>
            <w:vAlign w:val="center"/>
          </w:tcPr>
          <w:p w:rsidRPr="00AE1B2B" w:rsidR="009D3FB5" w:rsidP="00163B94" w:rsidRDefault="009D3FB5" w14:paraId="1FDDDB98" w14:textId="77777777">
            <w:pPr>
              <w:spacing w:before="120" w:after="120"/>
              <w:rPr>
                <w:rFonts w:ascii="Times New Roman" w:hAnsi="Times New Roman" w:cs="Times New Roman"/>
                <w:lang w:val="es-ES"/>
              </w:rPr>
            </w:pPr>
            <w:r w:rsidRPr="00AE1B2B">
              <w:rPr>
                <w:rFonts w:ascii="Times New Roman" w:hAnsi="Times New Roman" w:cs="Times New Roman"/>
                <w:lang w:val="es-ES"/>
              </w:rPr>
              <w:t>Febrero 2021</w:t>
            </w:r>
          </w:p>
        </w:tc>
        <w:tc>
          <w:tcPr>
            <w:tcW w:w="1009" w:type="pct"/>
            <w:shd w:val="clear" w:color="auto" w:fill="E9EDF4"/>
            <w:tcMar>
              <w:top w:w="15" w:type="dxa"/>
              <w:left w:w="31" w:type="dxa"/>
              <w:bottom w:w="0" w:type="dxa"/>
              <w:right w:w="31" w:type="dxa"/>
            </w:tcMar>
            <w:vAlign w:val="center"/>
          </w:tcPr>
          <w:p w:rsidRPr="00AE1B2B" w:rsidR="009D3FB5" w:rsidP="00163B94" w:rsidRDefault="009D3FB5" w14:paraId="1D3E2B7D" w14:textId="77777777">
            <w:pPr>
              <w:spacing w:before="120" w:after="120"/>
              <w:rPr>
                <w:rFonts w:ascii="Times New Roman" w:hAnsi="Times New Roman" w:cs="Times New Roman"/>
                <w:lang w:val="es-ES"/>
              </w:rPr>
            </w:pPr>
            <w:r w:rsidRPr="00AE1B2B">
              <w:rPr>
                <w:rFonts w:ascii="Times New Roman" w:hAnsi="Times New Roman" w:cs="Times New Roman"/>
                <w:lang w:val="es-ES"/>
              </w:rPr>
              <w:t>Comisión de Familia-Juez Gestor</w:t>
            </w:r>
          </w:p>
        </w:tc>
      </w:tr>
      <w:tr w:rsidRPr="00AE1B2B" w:rsidR="00AE1B2B" w:rsidTr="00A46837" w14:paraId="4D74C85C" w14:textId="77777777">
        <w:trPr>
          <w:trHeight w:val="832"/>
        </w:trPr>
        <w:tc>
          <w:tcPr>
            <w:tcW w:w="866" w:type="pct"/>
            <w:shd w:val="clear" w:color="auto" w:fill="4F81BD"/>
            <w:tcMar>
              <w:top w:w="15" w:type="dxa"/>
              <w:left w:w="31" w:type="dxa"/>
              <w:bottom w:w="0" w:type="dxa"/>
              <w:right w:w="31" w:type="dxa"/>
            </w:tcMar>
            <w:vAlign w:val="center"/>
          </w:tcPr>
          <w:p w:rsidRPr="00AE1B2B" w:rsidR="009D3FB5" w:rsidP="00163B94" w:rsidRDefault="009D3FB5" w14:paraId="148D2053" w14:textId="77777777">
            <w:pPr>
              <w:spacing w:before="120" w:after="120"/>
              <w:rPr>
                <w:rFonts w:ascii="Times New Roman" w:hAnsi="Times New Roman" w:cs="Times New Roman"/>
                <w:b/>
                <w:bCs/>
                <w:lang w:val="es-ES"/>
              </w:rPr>
            </w:pPr>
            <w:r w:rsidRPr="00AE1B2B">
              <w:rPr>
                <w:rFonts w:ascii="Times New Roman" w:hAnsi="Times New Roman" w:cs="Times New Roman"/>
                <w:b/>
                <w:bCs/>
              </w:rPr>
              <w:t>Circular, sobre cómo se va a tramitar los allanamientos</w:t>
            </w:r>
          </w:p>
        </w:tc>
        <w:tc>
          <w:tcPr>
            <w:tcW w:w="1538" w:type="pct"/>
            <w:shd w:val="clear" w:color="auto" w:fill="E9EDF4"/>
            <w:tcMar>
              <w:top w:w="15" w:type="dxa"/>
              <w:left w:w="31" w:type="dxa"/>
              <w:bottom w:w="0" w:type="dxa"/>
              <w:right w:w="31" w:type="dxa"/>
            </w:tcMar>
            <w:vAlign w:val="center"/>
          </w:tcPr>
          <w:p w:rsidRPr="00AE1B2B" w:rsidR="009D3FB5" w:rsidP="00163B94" w:rsidRDefault="009D3FB5" w14:paraId="051DC787" w14:textId="77777777">
            <w:pPr>
              <w:spacing w:before="120" w:after="120"/>
              <w:rPr>
                <w:rFonts w:ascii="Times New Roman" w:hAnsi="Times New Roman" w:cs="Times New Roman"/>
              </w:rPr>
            </w:pPr>
            <w:r w:rsidRPr="00AE1B2B">
              <w:rPr>
                <w:rFonts w:ascii="Times New Roman" w:hAnsi="Times New Roman" w:cs="Times New Roman"/>
              </w:rPr>
              <w:t xml:space="preserve">Respecto a la consulta, sobre como tramitar los allanamientos, se acuerda comunicar mediante instructivo de la fórmula, que la solicitud de tramita dentro del Legajo de Apremio que corresponda. Ahí se dicta la resolución que ordena el allanamiento, se firma por la persona juzgadora e inmediatamente se pasa el documento a borrador </w:t>
            </w:r>
            <w:r w:rsidRPr="00AE1B2B">
              <w:rPr>
                <w:rFonts w:ascii="Times New Roman" w:hAnsi="Times New Roman" w:cs="Times New Roman"/>
              </w:rPr>
              <w:lastRenderedPageBreak/>
              <w:t>público, a fin de que las partes no lo vean en el sistema. Se realiza la diligencia y se pasa nuevamente la resolución a terminado.</w:t>
            </w:r>
          </w:p>
          <w:p w:rsidRPr="00AE1B2B" w:rsidR="009D3FB5" w:rsidP="00163B94" w:rsidRDefault="009D3FB5" w14:paraId="627C426F" w14:textId="77777777">
            <w:pPr>
              <w:spacing w:before="120" w:after="120"/>
              <w:rPr>
                <w:rFonts w:ascii="Times New Roman" w:hAnsi="Times New Roman" w:cs="Times New Roman"/>
              </w:rPr>
            </w:pPr>
            <w:r w:rsidRPr="00AE1B2B">
              <w:rPr>
                <w:rFonts w:ascii="Times New Roman" w:hAnsi="Times New Roman" w:cs="Times New Roman"/>
              </w:rPr>
              <w:t>De esta forma se registra la firma de la persona juzgadora y consta en el expediente la resolución previo a la diligencia (aunque las partes externas no puedan verla para no darse por alertados).</w:t>
            </w:r>
          </w:p>
          <w:p w:rsidRPr="00AE1B2B" w:rsidR="009D3FB5" w:rsidP="00163B94" w:rsidRDefault="009D3FB5" w14:paraId="540D8599" w14:textId="77777777">
            <w:pPr>
              <w:spacing w:before="120" w:after="120"/>
              <w:rPr>
                <w:rFonts w:ascii="Times New Roman" w:hAnsi="Times New Roman" w:cs="Times New Roman"/>
                <w:lang w:val="es-ES"/>
              </w:rPr>
            </w:pPr>
            <w:r w:rsidRPr="00AE1B2B">
              <w:rPr>
                <w:rFonts w:ascii="Times New Roman" w:hAnsi="Times New Roman" w:cs="Times New Roman"/>
              </w:rPr>
              <w:t>Existe un permiso para poder cambiar el estado de los documentos ya firmados que pueden tenerlo los jueces o coordinadores judiciales.</w:t>
            </w:r>
          </w:p>
        </w:tc>
        <w:tc>
          <w:tcPr>
            <w:tcW w:w="673" w:type="pct"/>
            <w:shd w:val="clear" w:color="auto" w:fill="FFFFFF"/>
            <w:tcMar>
              <w:top w:w="15" w:type="dxa"/>
              <w:left w:w="31" w:type="dxa"/>
              <w:bottom w:w="0" w:type="dxa"/>
              <w:right w:w="31" w:type="dxa"/>
            </w:tcMar>
            <w:vAlign w:val="center"/>
          </w:tcPr>
          <w:p w:rsidRPr="00AE1B2B" w:rsidR="009D3FB5" w:rsidP="00163B94" w:rsidRDefault="009D3FB5" w14:paraId="25CB204A" w14:textId="77777777">
            <w:pPr>
              <w:spacing w:before="120" w:after="120"/>
              <w:rPr>
                <w:rFonts w:ascii="Times New Roman" w:hAnsi="Times New Roman" w:cs="Times New Roman"/>
                <w:lang w:val="es-MX"/>
              </w:rPr>
            </w:pPr>
            <w:r w:rsidRPr="00AE1B2B">
              <w:rPr>
                <w:rFonts w:ascii="Times New Roman" w:hAnsi="Times New Roman" w:cs="Times New Roman"/>
                <w:lang w:val="es-MX"/>
              </w:rPr>
              <w:lastRenderedPageBreak/>
              <w:t>Demorada.</w:t>
            </w:r>
          </w:p>
          <w:p w:rsidRPr="00AE1B2B" w:rsidR="009D3FB5" w:rsidP="00163B94" w:rsidRDefault="009D3FB5" w14:paraId="7CA28B53" w14:textId="77777777">
            <w:pPr>
              <w:spacing w:before="120" w:after="120"/>
              <w:rPr>
                <w:rFonts w:ascii="Times New Roman" w:hAnsi="Times New Roman" w:cs="Times New Roman"/>
                <w:b/>
                <w:bCs/>
                <w:lang w:val="es-ES"/>
              </w:rPr>
            </w:pPr>
            <w:r w:rsidRPr="00AE1B2B">
              <w:rPr>
                <w:rFonts w:ascii="Times New Roman" w:hAnsi="Times New Roman" w:cs="Times New Roman"/>
                <w:lang w:val="es-MX"/>
              </w:rPr>
              <w:t>Listo el procedimiento, pendiente la circular</w:t>
            </w:r>
          </w:p>
        </w:tc>
        <w:tc>
          <w:tcPr>
            <w:tcW w:w="914" w:type="pct"/>
            <w:shd w:val="clear" w:color="auto" w:fill="E9EDF4"/>
            <w:tcMar>
              <w:top w:w="15" w:type="dxa"/>
              <w:left w:w="31" w:type="dxa"/>
              <w:bottom w:w="0" w:type="dxa"/>
              <w:right w:w="31" w:type="dxa"/>
            </w:tcMar>
            <w:vAlign w:val="center"/>
          </w:tcPr>
          <w:p w:rsidRPr="00AE1B2B" w:rsidR="009D3FB5" w:rsidP="00163B94" w:rsidRDefault="009D3FB5" w14:paraId="02C7E432" w14:textId="77777777">
            <w:pPr>
              <w:spacing w:before="120" w:after="120"/>
              <w:rPr>
                <w:rFonts w:ascii="Times New Roman" w:hAnsi="Times New Roman" w:cs="Times New Roman"/>
                <w:lang w:val="es-ES"/>
              </w:rPr>
            </w:pPr>
            <w:r w:rsidRPr="00AE1B2B">
              <w:rPr>
                <w:rFonts w:ascii="Times New Roman" w:hAnsi="Times New Roman" w:cs="Times New Roman"/>
                <w:lang w:val="es-ES"/>
              </w:rPr>
              <w:t>Febrero 2021</w:t>
            </w:r>
          </w:p>
        </w:tc>
        <w:tc>
          <w:tcPr>
            <w:tcW w:w="1009" w:type="pct"/>
            <w:shd w:val="clear" w:color="auto" w:fill="E9EDF4"/>
            <w:tcMar>
              <w:top w:w="15" w:type="dxa"/>
              <w:left w:w="31" w:type="dxa"/>
              <w:bottom w:w="0" w:type="dxa"/>
              <w:right w:w="31" w:type="dxa"/>
            </w:tcMar>
            <w:vAlign w:val="center"/>
          </w:tcPr>
          <w:p w:rsidRPr="00AE1B2B" w:rsidR="009D3FB5" w:rsidP="00163B94" w:rsidRDefault="009D3FB5" w14:paraId="4989FB26" w14:textId="77777777">
            <w:pPr>
              <w:spacing w:before="120" w:after="120"/>
              <w:rPr>
                <w:rFonts w:ascii="Times New Roman" w:hAnsi="Times New Roman" w:cs="Times New Roman"/>
                <w:lang w:val="es-ES"/>
              </w:rPr>
            </w:pPr>
            <w:r w:rsidRPr="00AE1B2B">
              <w:rPr>
                <w:rFonts w:ascii="Times New Roman" w:hAnsi="Times New Roman" w:cs="Times New Roman"/>
                <w:lang w:val="es-ES"/>
              </w:rPr>
              <w:t>Comisión Familia-Juez Gestor</w:t>
            </w:r>
          </w:p>
        </w:tc>
      </w:tr>
      <w:tr w:rsidRPr="00AE1B2B" w:rsidR="00AE1B2B" w:rsidTr="00A46837" w14:paraId="4EA1116F" w14:textId="77777777">
        <w:trPr>
          <w:trHeight w:val="832"/>
        </w:trPr>
        <w:tc>
          <w:tcPr>
            <w:tcW w:w="866" w:type="pct"/>
            <w:shd w:val="clear" w:color="auto" w:fill="4F81BD"/>
            <w:tcMar>
              <w:top w:w="15" w:type="dxa"/>
              <w:left w:w="31" w:type="dxa"/>
              <w:bottom w:w="0" w:type="dxa"/>
              <w:right w:w="31" w:type="dxa"/>
            </w:tcMar>
            <w:vAlign w:val="center"/>
          </w:tcPr>
          <w:p w:rsidRPr="00AE1B2B" w:rsidR="009D3FB5" w:rsidP="00163B94" w:rsidRDefault="009D3FB5" w14:paraId="14373CF4" w14:textId="77777777">
            <w:pPr>
              <w:spacing w:before="120" w:after="120"/>
              <w:rPr>
                <w:rFonts w:ascii="Times New Roman" w:hAnsi="Times New Roman" w:cs="Times New Roman"/>
                <w:b/>
                <w:bCs/>
              </w:rPr>
            </w:pPr>
            <w:r w:rsidRPr="00AE1B2B">
              <w:rPr>
                <w:rFonts w:ascii="Times New Roman" w:hAnsi="Times New Roman" w:cs="Times New Roman"/>
                <w:b/>
                <w:bCs/>
                <w:lang w:val="es-ES"/>
              </w:rPr>
              <w:t>Definir prioridades estadísticas.</w:t>
            </w:r>
          </w:p>
        </w:tc>
        <w:tc>
          <w:tcPr>
            <w:tcW w:w="1538" w:type="pct"/>
            <w:shd w:val="clear" w:color="auto" w:fill="E9EDF4"/>
            <w:tcMar>
              <w:top w:w="15" w:type="dxa"/>
              <w:left w:w="31" w:type="dxa"/>
              <w:bottom w:w="0" w:type="dxa"/>
              <w:right w:w="31" w:type="dxa"/>
            </w:tcMar>
            <w:vAlign w:val="center"/>
          </w:tcPr>
          <w:p w:rsidRPr="00AE1B2B" w:rsidR="009D3FB5" w:rsidP="00163B94" w:rsidRDefault="009D3FB5" w14:paraId="262A13B7" w14:textId="77777777">
            <w:pPr>
              <w:spacing w:before="120" w:after="120"/>
              <w:rPr>
                <w:rFonts w:ascii="Times New Roman" w:hAnsi="Times New Roman" w:cs="Times New Roman"/>
              </w:rPr>
            </w:pPr>
            <w:r w:rsidRPr="00AE1B2B">
              <w:rPr>
                <w:rFonts w:ascii="Times New Roman" w:hAnsi="Times New Roman" w:cs="Times New Roman"/>
              </w:rPr>
              <w:t xml:space="preserve">Las prioridades a nivel estadísticos identifican es que carpetas atender primero. Deber ser categorías exhaustivas y excluyentes. </w:t>
            </w:r>
          </w:p>
          <w:p w:rsidRPr="00AE1B2B" w:rsidR="009D3FB5" w:rsidP="00163B94" w:rsidRDefault="009D3FB5" w14:paraId="37431A5D" w14:textId="77777777">
            <w:pPr>
              <w:spacing w:before="120" w:after="120"/>
              <w:rPr>
                <w:rFonts w:ascii="Times New Roman" w:hAnsi="Times New Roman" w:cs="Times New Roman"/>
              </w:rPr>
            </w:pPr>
            <w:r w:rsidRPr="00AE1B2B">
              <w:rPr>
                <w:rFonts w:ascii="Times New Roman" w:hAnsi="Times New Roman" w:cs="Times New Roman"/>
              </w:rPr>
              <w:t> </w:t>
            </w:r>
          </w:p>
          <w:p w:rsidRPr="00AE1B2B" w:rsidR="009D3FB5" w:rsidP="00163B94" w:rsidRDefault="009D3FB5" w14:paraId="2457352F" w14:textId="77777777">
            <w:pPr>
              <w:spacing w:before="120" w:after="120"/>
              <w:rPr>
                <w:rFonts w:ascii="Times New Roman" w:hAnsi="Times New Roman" w:cs="Times New Roman"/>
              </w:rPr>
            </w:pPr>
            <w:r w:rsidRPr="00AE1B2B">
              <w:rPr>
                <w:rFonts w:ascii="Times New Roman" w:hAnsi="Times New Roman" w:cs="Times New Roman"/>
              </w:rPr>
              <w:t xml:space="preserve">No es una distribución del circulante (expediente con o sin sentencia) no es una prioridad. </w:t>
            </w:r>
          </w:p>
          <w:p w:rsidRPr="00AE1B2B" w:rsidR="009D3FB5" w:rsidP="00163B94" w:rsidRDefault="009D3FB5" w14:paraId="40A005EB" w14:textId="77777777">
            <w:pPr>
              <w:spacing w:before="120" w:after="120"/>
              <w:rPr>
                <w:rFonts w:ascii="Times New Roman" w:hAnsi="Times New Roman" w:cs="Times New Roman"/>
              </w:rPr>
            </w:pPr>
            <w:r w:rsidRPr="00AE1B2B">
              <w:rPr>
                <w:rFonts w:ascii="Times New Roman" w:hAnsi="Times New Roman" w:cs="Times New Roman"/>
              </w:rPr>
              <w:t> </w:t>
            </w:r>
          </w:p>
          <w:p w:rsidRPr="00AE1B2B" w:rsidR="009D3FB5" w:rsidP="00163B94" w:rsidRDefault="009D3FB5" w14:paraId="560FEAE7" w14:textId="77777777">
            <w:pPr>
              <w:spacing w:before="120" w:after="120"/>
              <w:rPr>
                <w:rFonts w:ascii="Times New Roman" w:hAnsi="Times New Roman" w:cs="Times New Roman"/>
              </w:rPr>
            </w:pPr>
            <w:r w:rsidRPr="00AE1B2B">
              <w:rPr>
                <w:rFonts w:ascii="Times New Roman" w:hAnsi="Times New Roman" w:cs="Times New Roman"/>
              </w:rPr>
              <w:t>Las prioridades definidas previo a inventario en materia de Pensiones fueron:</w:t>
            </w:r>
          </w:p>
          <w:p w:rsidRPr="00AE1B2B" w:rsidR="009D3FB5" w:rsidP="00163B94" w:rsidRDefault="009D3FB5" w14:paraId="3BB3744A" w14:textId="77777777">
            <w:pPr>
              <w:spacing w:before="120" w:after="120"/>
              <w:rPr>
                <w:rFonts w:ascii="Times New Roman" w:hAnsi="Times New Roman" w:cs="Times New Roman"/>
              </w:rPr>
            </w:pPr>
            <w:r w:rsidRPr="00AE1B2B">
              <w:rPr>
                <w:rFonts w:ascii="Times New Roman" w:hAnsi="Times New Roman" w:cs="Times New Roman"/>
              </w:rPr>
              <w:t xml:space="preserve">Don Cristian recomienda que se coordine con DTI para que las prioridades se asocien a los colores del expediente y que sirvan a su vez de alerta, como en el caso de “persona adulta mayor”, para que efectivamente se use como prioridad. </w:t>
            </w:r>
          </w:p>
          <w:p w:rsidRPr="00AE1B2B" w:rsidR="009D3FB5" w:rsidP="00163B94" w:rsidRDefault="009D3FB5" w14:paraId="6E810296" w14:textId="77777777">
            <w:pPr>
              <w:spacing w:before="120" w:after="120"/>
              <w:rPr>
                <w:rFonts w:ascii="Times New Roman" w:hAnsi="Times New Roman" w:cs="Times New Roman"/>
              </w:rPr>
            </w:pPr>
            <w:r w:rsidRPr="00AE1B2B">
              <w:rPr>
                <w:rFonts w:ascii="Times New Roman" w:hAnsi="Times New Roman" w:cs="Times New Roman"/>
                <w:lang w:val="es-ES"/>
              </w:rPr>
              <w:t> </w:t>
            </w:r>
          </w:p>
        </w:tc>
        <w:tc>
          <w:tcPr>
            <w:tcW w:w="673" w:type="pct"/>
            <w:shd w:val="clear" w:color="auto" w:fill="FFFFFF"/>
            <w:tcMar>
              <w:top w:w="15" w:type="dxa"/>
              <w:left w:w="31" w:type="dxa"/>
              <w:bottom w:w="0" w:type="dxa"/>
              <w:right w:w="31" w:type="dxa"/>
            </w:tcMar>
            <w:vAlign w:val="center"/>
          </w:tcPr>
          <w:p w:rsidRPr="00AE1B2B" w:rsidR="009D3FB5" w:rsidP="00163B94" w:rsidRDefault="009D3FB5" w14:paraId="664D2E2C" w14:textId="77777777">
            <w:pPr>
              <w:spacing w:before="120" w:after="120"/>
              <w:rPr>
                <w:rFonts w:ascii="Times New Roman" w:hAnsi="Times New Roman" w:cs="Times New Roman"/>
                <w:lang w:val="es-MX"/>
              </w:rPr>
            </w:pPr>
            <w:r w:rsidRPr="00AE1B2B">
              <w:rPr>
                <w:rFonts w:ascii="Times New Roman" w:hAnsi="Times New Roman" w:cs="Times New Roman"/>
                <w:lang w:val="es-ES"/>
              </w:rPr>
              <w:t>Demorada</w:t>
            </w:r>
          </w:p>
        </w:tc>
        <w:tc>
          <w:tcPr>
            <w:tcW w:w="914" w:type="pct"/>
            <w:shd w:val="clear" w:color="auto" w:fill="E9EDF4"/>
            <w:tcMar>
              <w:top w:w="15" w:type="dxa"/>
              <w:left w:w="31" w:type="dxa"/>
              <w:bottom w:w="0" w:type="dxa"/>
              <w:right w:w="31" w:type="dxa"/>
            </w:tcMar>
            <w:vAlign w:val="center"/>
          </w:tcPr>
          <w:p w:rsidRPr="00AE1B2B" w:rsidR="009D3FB5" w:rsidP="00163B94" w:rsidRDefault="009D3FB5" w14:paraId="39F14D97" w14:textId="77777777">
            <w:pPr>
              <w:spacing w:before="120" w:after="120"/>
              <w:rPr>
                <w:rFonts w:ascii="Times New Roman" w:hAnsi="Times New Roman" w:cs="Times New Roman"/>
                <w:lang w:val="es-ES"/>
              </w:rPr>
            </w:pPr>
            <w:r w:rsidRPr="00AE1B2B">
              <w:rPr>
                <w:rFonts w:ascii="Times New Roman" w:hAnsi="Times New Roman" w:cs="Times New Roman"/>
                <w:lang w:val="es-ES"/>
              </w:rPr>
              <w:t>Octubre 2020</w:t>
            </w:r>
          </w:p>
        </w:tc>
        <w:tc>
          <w:tcPr>
            <w:tcW w:w="1009" w:type="pct"/>
            <w:shd w:val="clear" w:color="auto" w:fill="E9EDF4"/>
            <w:tcMar>
              <w:top w:w="15" w:type="dxa"/>
              <w:left w:w="31" w:type="dxa"/>
              <w:bottom w:w="0" w:type="dxa"/>
              <w:right w:w="31" w:type="dxa"/>
            </w:tcMar>
            <w:vAlign w:val="center"/>
          </w:tcPr>
          <w:p w:rsidRPr="00AE1B2B" w:rsidR="009D3FB5" w:rsidP="00163B94" w:rsidRDefault="009D3FB5" w14:paraId="793A5A24" w14:textId="77777777">
            <w:pPr>
              <w:spacing w:before="120" w:after="120"/>
              <w:rPr>
                <w:rFonts w:ascii="Times New Roman" w:hAnsi="Times New Roman" w:cs="Times New Roman"/>
                <w:lang w:val="es-ES"/>
              </w:rPr>
            </w:pPr>
            <w:r w:rsidRPr="00AE1B2B">
              <w:rPr>
                <w:rFonts w:ascii="Times New Roman" w:hAnsi="Times New Roman" w:cs="Times New Roman"/>
                <w:lang w:val="es-ES"/>
              </w:rPr>
              <w:t>Comisión Familia</w:t>
            </w:r>
          </w:p>
        </w:tc>
      </w:tr>
    </w:tbl>
    <w:p w:rsidRPr="00AE1B2B" w:rsidR="009D3FB5" w:rsidP="00163B94" w:rsidRDefault="009D3FB5" w14:paraId="1426C0FE" w14:textId="77777777">
      <w:pPr>
        <w:spacing w:before="120" w:after="120"/>
        <w:rPr>
          <w:rFonts w:ascii="Times New Roman" w:hAnsi="Times New Roman" w:cs="Times New Roman"/>
        </w:rPr>
      </w:pPr>
    </w:p>
    <w:p w:rsidRPr="00AE1B2B" w:rsidR="009D3FB5" w:rsidP="00163B94" w:rsidRDefault="009D3FB5" w14:paraId="2DC698CE" w14:textId="77777777">
      <w:pPr>
        <w:spacing w:before="120" w:after="120"/>
        <w:rPr>
          <w:rFonts w:ascii="Times New Roman" w:hAnsi="Times New Roman" w:cs="Times New Roman"/>
        </w:rPr>
      </w:pPr>
    </w:p>
    <w:p w:rsidRPr="00AE1B2B" w:rsidR="009D3FB5" w:rsidP="00163B94" w:rsidRDefault="009D3FB5" w14:paraId="36E0EA15" w14:textId="77777777">
      <w:pPr>
        <w:spacing w:before="120" w:after="120"/>
        <w:rPr>
          <w:rFonts w:ascii="Times New Roman" w:hAnsi="Times New Roman" w:cs="Times New Roman"/>
        </w:r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1530"/>
        <w:gridCol w:w="2715"/>
        <w:gridCol w:w="1188"/>
        <w:gridCol w:w="1614"/>
        <w:gridCol w:w="1781"/>
      </w:tblGrid>
      <w:tr w:rsidRPr="00AE1B2B" w:rsidR="00AE1B2B" w:rsidTr="00A46837" w14:paraId="65625BC0" w14:textId="77777777">
        <w:trPr>
          <w:trHeight w:val="428"/>
        </w:trPr>
        <w:tc>
          <w:tcPr>
            <w:tcW w:w="866" w:type="pct"/>
            <w:shd w:val="clear" w:color="auto" w:fill="4F81BD"/>
            <w:tcMar>
              <w:top w:w="15" w:type="dxa"/>
              <w:left w:w="31" w:type="dxa"/>
              <w:bottom w:w="0" w:type="dxa"/>
              <w:right w:w="31" w:type="dxa"/>
            </w:tcMar>
            <w:vAlign w:val="center"/>
            <w:hideMark/>
          </w:tcPr>
          <w:p w:rsidRPr="00AE1B2B" w:rsidR="009D3FB5" w:rsidP="00163B94" w:rsidRDefault="009D3FB5" w14:paraId="6D80F9E6" w14:textId="77777777">
            <w:pPr>
              <w:spacing w:before="120" w:after="120"/>
              <w:rPr>
                <w:rFonts w:ascii="Times New Roman" w:hAnsi="Times New Roman" w:cs="Times New Roman"/>
              </w:rPr>
            </w:pPr>
            <w:r w:rsidRPr="00AE1B2B">
              <w:rPr>
                <w:rFonts w:ascii="Times New Roman" w:hAnsi="Times New Roman" w:cs="Times New Roman"/>
                <w:b/>
                <w:bCs/>
                <w:lang w:val="es-ES"/>
              </w:rPr>
              <w:t xml:space="preserve">Tarea </w:t>
            </w:r>
          </w:p>
        </w:tc>
        <w:tc>
          <w:tcPr>
            <w:tcW w:w="1538" w:type="pct"/>
            <w:shd w:val="clear" w:color="auto" w:fill="4F81BD"/>
            <w:tcMar>
              <w:top w:w="15" w:type="dxa"/>
              <w:left w:w="31" w:type="dxa"/>
              <w:bottom w:w="0" w:type="dxa"/>
              <w:right w:w="31" w:type="dxa"/>
            </w:tcMar>
            <w:vAlign w:val="center"/>
            <w:hideMark/>
          </w:tcPr>
          <w:p w:rsidRPr="00AE1B2B" w:rsidR="009D3FB5" w:rsidP="00163B94" w:rsidRDefault="009D3FB5" w14:paraId="07FFD755" w14:textId="77777777">
            <w:pPr>
              <w:spacing w:before="120" w:after="120"/>
              <w:rPr>
                <w:rFonts w:ascii="Times New Roman" w:hAnsi="Times New Roman" w:cs="Times New Roman"/>
              </w:rPr>
            </w:pPr>
            <w:r w:rsidRPr="00AE1B2B">
              <w:rPr>
                <w:rFonts w:ascii="Times New Roman" w:hAnsi="Times New Roman" w:cs="Times New Roman"/>
                <w:b/>
                <w:bCs/>
                <w:lang w:val="es-ES"/>
              </w:rPr>
              <w:t>Detalle</w:t>
            </w:r>
          </w:p>
        </w:tc>
        <w:tc>
          <w:tcPr>
            <w:tcW w:w="673" w:type="pct"/>
            <w:shd w:val="clear" w:color="auto" w:fill="4F81BD"/>
            <w:tcMar>
              <w:top w:w="15" w:type="dxa"/>
              <w:left w:w="31" w:type="dxa"/>
              <w:bottom w:w="0" w:type="dxa"/>
              <w:right w:w="31" w:type="dxa"/>
            </w:tcMar>
            <w:vAlign w:val="center"/>
            <w:hideMark/>
          </w:tcPr>
          <w:p w:rsidRPr="00AE1B2B" w:rsidR="009D3FB5" w:rsidP="00163B94" w:rsidRDefault="009D3FB5" w14:paraId="7CF48535" w14:textId="77777777">
            <w:pPr>
              <w:spacing w:before="120" w:after="120"/>
              <w:rPr>
                <w:rFonts w:ascii="Times New Roman" w:hAnsi="Times New Roman" w:cs="Times New Roman"/>
              </w:rPr>
            </w:pPr>
            <w:r w:rsidRPr="00AE1B2B">
              <w:rPr>
                <w:rFonts w:ascii="Times New Roman" w:hAnsi="Times New Roman" w:cs="Times New Roman"/>
                <w:b/>
                <w:bCs/>
                <w:lang w:val="es-ES"/>
              </w:rPr>
              <w:t>Estado</w:t>
            </w:r>
          </w:p>
        </w:tc>
        <w:tc>
          <w:tcPr>
            <w:tcW w:w="914" w:type="pct"/>
            <w:shd w:val="clear" w:color="auto" w:fill="4F81BD"/>
            <w:tcMar>
              <w:top w:w="15" w:type="dxa"/>
              <w:left w:w="31" w:type="dxa"/>
              <w:bottom w:w="0" w:type="dxa"/>
              <w:right w:w="31" w:type="dxa"/>
            </w:tcMar>
            <w:vAlign w:val="center"/>
            <w:hideMark/>
          </w:tcPr>
          <w:p w:rsidRPr="00AE1B2B" w:rsidR="009D3FB5" w:rsidP="00163B94" w:rsidRDefault="009D3FB5" w14:paraId="4BA73E56" w14:textId="77777777">
            <w:pPr>
              <w:spacing w:before="120" w:after="120"/>
              <w:rPr>
                <w:rFonts w:ascii="Times New Roman" w:hAnsi="Times New Roman" w:cs="Times New Roman"/>
              </w:rPr>
            </w:pPr>
            <w:r w:rsidRPr="00AE1B2B">
              <w:rPr>
                <w:rFonts w:ascii="Times New Roman" w:hAnsi="Times New Roman" w:cs="Times New Roman"/>
                <w:b/>
                <w:bCs/>
                <w:lang w:val="es-ES"/>
              </w:rPr>
              <w:t>Fecha de cumplimiento</w:t>
            </w:r>
          </w:p>
        </w:tc>
        <w:tc>
          <w:tcPr>
            <w:tcW w:w="1009" w:type="pct"/>
            <w:shd w:val="clear" w:color="auto" w:fill="4F81BD"/>
            <w:tcMar>
              <w:top w:w="15" w:type="dxa"/>
              <w:left w:w="31" w:type="dxa"/>
              <w:bottom w:w="0" w:type="dxa"/>
              <w:right w:w="31" w:type="dxa"/>
            </w:tcMar>
            <w:vAlign w:val="center"/>
            <w:hideMark/>
          </w:tcPr>
          <w:p w:rsidRPr="00AE1B2B" w:rsidR="009D3FB5" w:rsidP="00163B94" w:rsidRDefault="009D3FB5" w14:paraId="6A0F3B49" w14:textId="77777777">
            <w:pPr>
              <w:spacing w:before="120" w:after="120"/>
              <w:rPr>
                <w:rFonts w:ascii="Times New Roman" w:hAnsi="Times New Roman" w:cs="Times New Roman"/>
              </w:rPr>
            </w:pPr>
            <w:r w:rsidRPr="00AE1B2B">
              <w:rPr>
                <w:rFonts w:ascii="Times New Roman" w:hAnsi="Times New Roman" w:cs="Times New Roman"/>
                <w:b/>
                <w:bCs/>
                <w:lang w:val="es-ES"/>
              </w:rPr>
              <w:t>Coordinaciones</w:t>
            </w:r>
          </w:p>
        </w:tc>
      </w:tr>
      <w:tr w:rsidRPr="00AE1B2B" w:rsidR="00AE1B2B" w:rsidTr="00A46837" w14:paraId="79CD51A8" w14:textId="77777777">
        <w:trPr>
          <w:trHeight w:val="2148"/>
        </w:trPr>
        <w:tc>
          <w:tcPr>
            <w:tcW w:w="866" w:type="pct"/>
            <w:shd w:val="clear" w:color="auto" w:fill="4F81BD"/>
            <w:tcMar>
              <w:top w:w="15" w:type="dxa"/>
              <w:left w:w="31" w:type="dxa"/>
              <w:bottom w:w="0" w:type="dxa"/>
              <w:right w:w="31" w:type="dxa"/>
            </w:tcMar>
            <w:vAlign w:val="center"/>
            <w:hideMark/>
          </w:tcPr>
          <w:p w:rsidRPr="00AE1B2B" w:rsidR="009D3FB5" w:rsidP="00163B94" w:rsidRDefault="009D3FB5" w14:paraId="0966B4BD" w14:textId="77777777">
            <w:pPr>
              <w:spacing w:before="120" w:after="120"/>
              <w:rPr>
                <w:rFonts w:ascii="Times New Roman" w:hAnsi="Times New Roman" w:cs="Times New Roman"/>
                <w:b/>
                <w:bCs/>
              </w:rPr>
            </w:pPr>
            <w:r w:rsidRPr="00AE1B2B">
              <w:rPr>
                <w:rFonts w:ascii="Times New Roman" w:hAnsi="Times New Roman" w:cs="Times New Roman"/>
                <w:b/>
                <w:bCs/>
              </w:rPr>
              <w:t>Aportar cronograma y alcance</w:t>
            </w:r>
          </w:p>
        </w:tc>
        <w:tc>
          <w:tcPr>
            <w:tcW w:w="1538" w:type="pct"/>
            <w:shd w:val="clear" w:color="auto" w:fill="E9EDF4"/>
            <w:tcMar>
              <w:top w:w="15" w:type="dxa"/>
              <w:left w:w="31" w:type="dxa"/>
              <w:bottom w:w="0" w:type="dxa"/>
              <w:right w:w="31" w:type="dxa"/>
            </w:tcMar>
            <w:vAlign w:val="center"/>
            <w:hideMark/>
          </w:tcPr>
          <w:p w:rsidRPr="00AE1B2B" w:rsidR="009D3FB5" w:rsidP="00163B94" w:rsidRDefault="009D3FB5" w14:paraId="44305DEC" w14:textId="77777777">
            <w:pPr>
              <w:pStyle w:val="Default"/>
              <w:adjustRightInd/>
              <w:spacing w:before="120" w:after="120" w:line="276" w:lineRule="auto"/>
              <w:jc w:val="both"/>
              <w:rPr>
                <w:rFonts w:ascii="Times New Roman" w:hAnsi="Times New Roman" w:cs="Times New Roman"/>
                <w:color w:val="auto"/>
                <w:spacing w:val="-3"/>
                <w:sz w:val="22"/>
                <w:szCs w:val="22"/>
              </w:rPr>
            </w:pPr>
            <w:r w:rsidRPr="00AE1B2B">
              <w:rPr>
                <w:rFonts w:ascii="Times New Roman" w:hAnsi="Times New Roman" w:cs="Times New Roman"/>
                <w:color w:val="auto"/>
                <w:spacing w:val="-3"/>
                <w:sz w:val="22"/>
                <w:szCs w:val="22"/>
              </w:rPr>
              <w:t xml:space="preserve">Aportar el cronograma y alcance actualizado de las sesiones de trabajo que se programaran por bloques con las distintas instituciones para dar cumplimiento al entregable </w:t>
            </w:r>
            <w:r w:rsidRPr="00AE1B2B">
              <w:rPr>
                <w:rFonts w:ascii="Times New Roman" w:hAnsi="Times New Roman" w:cs="Times New Roman"/>
                <w:b/>
                <w:bCs/>
                <w:i/>
                <w:iCs/>
                <w:color w:val="auto"/>
                <w:spacing w:val="-3"/>
                <w:sz w:val="22"/>
                <w:szCs w:val="22"/>
              </w:rPr>
              <w:t>3.8 “</w:t>
            </w:r>
            <w:r w:rsidRPr="00AE1B2B">
              <w:rPr>
                <w:rFonts w:ascii="Times New Roman" w:hAnsi="Times New Roman" w:cs="Times New Roman"/>
                <w:b/>
                <w:bCs/>
                <w:i/>
                <w:iCs/>
                <w:color w:val="auto"/>
                <w:sz w:val="22"/>
                <w:szCs w:val="22"/>
              </w:rPr>
              <w:t>Minuta de acuerdo-enlaces con instituciones participes procesos CPF</w:t>
            </w:r>
            <w:r w:rsidRPr="00AE1B2B">
              <w:rPr>
                <w:rFonts w:ascii="Times New Roman" w:hAnsi="Times New Roman" w:cs="Times New Roman"/>
                <w:b/>
                <w:bCs/>
                <w:i/>
                <w:iCs/>
                <w:color w:val="auto"/>
                <w:spacing w:val="-3"/>
                <w:sz w:val="22"/>
                <w:szCs w:val="22"/>
              </w:rPr>
              <w:t>”.</w:t>
            </w:r>
          </w:p>
          <w:p w:rsidRPr="00AE1B2B" w:rsidR="009D3FB5" w:rsidP="00163B94" w:rsidRDefault="009D3FB5" w14:paraId="0E900778" w14:textId="77777777">
            <w:pPr>
              <w:spacing w:before="120" w:after="120"/>
              <w:rPr>
                <w:rFonts w:ascii="Times New Roman" w:hAnsi="Times New Roman" w:cs="Times New Roman"/>
              </w:rPr>
            </w:pPr>
          </w:p>
        </w:tc>
        <w:tc>
          <w:tcPr>
            <w:tcW w:w="673" w:type="pct"/>
            <w:shd w:val="clear" w:color="auto" w:fill="FFFFFF"/>
            <w:tcMar>
              <w:top w:w="15" w:type="dxa"/>
              <w:left w:w="31" w:type="dxa"/>
              <w:bottom w:w="0" w:type="dxa"/>
              <w:right w:w="31" w:type="dxa"/>
            </w:tcMar>
            <w:vAlign w:val="center"/>
            <w:hideMark/>
          </w:tcPr>
          <w:p w:rsidRPr="00AE1B2B" w:rsidR="009D3FB5" w:rsidP="00163B94" w:rsidRDefault="009D3FB5" w14:paraId="467B4D2D" w14:textId="77777777">
            <w:pPr>
              <w:spacing w:before="120" w:after="120"/>
              <w:rPr>
                <w:rFonts w:ascii="Times New Roman" w:hAnsi="Times New Roman" w:cs="Times New Roman"/>
              </w:rPr>
            </w:pPr>
            <w:r w:rsidRPr="00AE1B2B">
              <w:rPr>
                <w:rFonts w:ascii="Times New Roman" w:hAnsi="Times New Roman" w:cs="Times New Roman"/>
              </w:rPr>
              <w:t>Pendiente</w:t>
            </w:r>
          </w:p>
        </w:tc>
        <w:tc>
          <w:tcPr>
            <w:tcW w:w="914" w:type="pct"/>
            <w:shd w:val="clear" w:color="auto" w:fill="E9EDF4"/>
            <w:tcMar>
              <w:top w:w="15" w:type="dxa"/>
              <w:left w:w="31" w:type="dxa"/>
              <w:bottom w:w="0" w:type="dxa"/>
              <w:right w:w="31" w:type="dxa"/>
            </w:tcMar>
            <w:vAlign w:val="center"/>
            <w:hideMark/>
          </w:tcPr>
          <w:p w:rsidRPr="00AE1B2B" w:rsidR="009D3FB5" w:rsidP="00163B94" w:rsidRDefault="009D3FB5" w14:paraId="034C953D" w14:textId="77777777">
            <w:pPr>
              <w:spacing w:before="120" w:after="120"/>
              <w:rPr>
                <w:rFonts w:ascii="Times New Roman" w:hAnsi="Times New Roman" w:cs="Times New Roman"/>
              </w:rPr>
            </w:pPr>
            <w:r w:rsidRPr="00AE1B2B">
              <w:rPr>
                <w:rFonts w:ascii="Times New Roman" w:hAnsi="Times New Roman" w:cs="Times New Roman"/>
              </w:rPr>
              <w:t>Marzo 2021</w:t>
            </w:r>
          </w:p>
        </w:tc>
        <w:tc>
          <w:tcPr>
            <w:tcW w:w="1009" w:type="pct"/>
            <w:shd w:val="clear" w:color="auto" w:fill="E9EDF4"/>
            <w:tcMar>
              <w:top w:w="15" w:type="dxa"/>
              <w:left w:w="31" w:type="dxa"/>
              <w:bottom w:w="0" w:type="dxa"/>
              <w:right w:w="31" w:type="dxa"/>
            </w:tcMar>
            <w:vAlign w:val="center"/>
            <w:hideMark/>
          </w:tcPr>
          <w:p w:rsidRPr="00AE1B2B" w:rsidR="009D3FB5" w:rsidP="00163B94" w:rsidRDefault="009D3FB5" w14:paraId="2C05E921" w14:textId="77777777">
            <w:pPr>
              <w:spacing w:before="120" w:after="120"/>
              <w:rPr>
                <w:rFonts w:ascii="Times New Roman" w:hAnsi="Times New Roman" w:cs="Times New Roman"/>
              </w:rPr>
            </w:pPr>
            <w:r w:rsidRPr="00AE1B2B">
              <w:rPr>
                <w:rFonts w:ascii="Times New Roman" w:hAnsi="Times New Roman" w:cs="Times New Roman"/>
              </w:rPr>
              <w:t>Juez Gestor</w:t>
            </w:r>
          </w:p>
        </w:tc>
      </w:tr>
      <w:tr w:rsidRPr="00AE1B2B" w:rsidR="00AE1B2B" w:rsidTr="00A46837" w14:paraId="046B8D1D" w14:textId="77777777">
        <w:trPr>
          <w:trHeight w:val="2148"/>
        </w:trPr>
        <w:tc>
          <w:tcPr>
            <w:tcW w:w="866" w:type="pct"/>
            <w:shd w:val="clear" w:color="auto" w:fill="4F81BD"/>
            <w:tcMar>
              <w:top w:w="15" w:type="dxa"/>
              <w:left w:w="31" w:type="dxa"/>
              <w:bottom w:w="0" w:type="dxa"/>
              <w:right w:w="31" w:type="dxa"/>
            </w:tcMar>
            <w:vAlign w:val="center"/>
          </w:tcPr>
          <w:p w:rsidRPr="00AE1B2B" w:rsidR="009D3FB5" w:rsidP="00163B94" w:rsidRDefault="009D3FB5" w14:paraId="54C2937D" w14:textId="77777777">
            <w:pPr>
              <w:spacing w:before="120" w:after="120"/>
              <w:rPr>
                <w:rFonts w:ascii="Times New Roman" w:hAnsi="Times New Roman" w:cs="Times New Roman"/>
                <w:b/>
                <w:bCs/>
              </w:rPr>
            </w:pPr>
            <w:r w:rsidRPr="00AE1B2B">
              <w:rPr>
                <w:rFonts w:ascii="Times New Roman" w:hAnsi="Times New Roman" w:cs="Times New Roman"/>
                <w:b/>
                <w:bCs/>
              </w:rPr>
              <w:t>Emitir circular</w:t>
            </w:r>
          </w:p>
        </w:tc>
        <w:tc>
          <w:tcPr>
            <w:tcW w:w="1538" w:type="pct"/>
            <w:shd w:val="clear" w:color="auto" w:fill="E9EDF4"/>
            <w:tcMar>
              <w:top w:w="15" w:type="dxa"/>
              <w:left w:w="31" w:type="dxa"/>
              <w:bottom w:w="0" w:type="dxa"/>
              <w:right w:w="31" w:type="dxa"/>
            </w:tcMar>
            <w:vAlign w:val="center"/>
          </w:tcPr>
          <w:p w:rsidRPr="00AE1B2B" w:rsidR="009D3FB5" w:rsidP="00163B94" w:rsidRDefault="009D3FB5" w14:paraId="47A10D2F" w14:textId="27C7F84A">
            <w:pPr>
              <w:pStyle w:val="Default"/>
              <w:adjustRightInd/>
              <w:spacing w:before="120" w:after="120" w:line="276" w:lineRule="auto"/>
              <w:jc w:val="both"/>
              <w:rPr>
                <w:rFonts w:ascii="Times New Roman" w:hAnsi="Times New Roman" w:cs="Times New Roman"/>
                <w:color w:val="auto"/>
                <w:spacing w:val="-3"/>
                <w:sz w:val="22"/>
                <w:szCs w:val="22"/>
              </w:rPr>
            </w:pPr>
            <w:r w:rsidRPr="00AE1B2B">
              <w:rPr>
                <w:rFonts w:ascii="Times New Roman" w:hAnsi="Times New Roman" w:cs="Times New Roman"/>
                <w:color w:val="auto"/>
                <w:spacing w:val="-3"/>
                <w:sz w:val="22"/>
                <w:szCs w:val="22"/>
              </w:rPr>
              <w:t>Se reitera necesidad expuesta en la sesión de octubre 2020 también en la sesión del 25 de febrro 2021, de e</w:t>
            </w:r>
            <w:r w:rsidRPr="00AE1B2B">
              <w:rPr>
                <w:rFonts w:ascii="Times New Roman" w:hAnsi="Times New Roman" w:cs="Times New Roman"/>
                <w:color w:val="auto"/>
                <w:sz w:val="22"/>
                <w:szCs w:val="22"/>
              </w:rPr>
              <w:t>mitir una directriz o circular en carácter urgente en donde por cada clase de asunto se identifique los posibles tipos de resolución y resultados que puedan utilizarse conforme al diseño de la fórmula estadística y la circular 260-2020, a fin de estandarizar la información estadística que incluyen las oficinas y que permita completar adecuadamente las matrices de indicadores.</w:t>
            </w:r>
            <w:r w:rsidRPr="00AE1B2B" w:rsidR="00BB7720">
              <w:rPr>
                <w:rFonts w:ascii="Times New Roman" w:hAnsi="Times New Roman" w:cs="Times New Roman"/>
                <w:color w:val="auto"/>
                <w:sz w:val="22"/>
                <w:szCs w:val="22"/>
              </w:rPr>
              <w:t xml:space="preserve"> </w:t>
            </w:r>
            <w:r w:rsidRPr="00AE1B2B">
              <w:rPr>
                <w:rFonts w:ascii="Times New Roman" w:hAnsi="Times New Roman" w:cs="Times New Roman"/>
                <w:color w:val="auto"/>
                <w:sz w:val="22"/>
                <w:szCs w:val="22"/>
              </w:rPr>
              <w:t xml:space="preserve">Lo anterior también en atención a las recomendaciones emitidas por la Contraloría General de la República. </w:t>
            </w:r>
          </w:p>
          <w:p w:rsidRPr="00AE1B2B" w:rsidR="009D3FB5" w:rsidP="00163B94" w:rsidRDefault="009D3FB5" w14:paraId="088397B3" w14:textId="77777777">
            <w:pPr>
              <w:pStyle w:val="Default"/>
              <w:adjustRightInd/>
              <w:spacing w:before="120" w:after="120" w:line="276" w:lineRule="auto"/>
              <w:jc w:val="both"/>
              <w:rPr>
                <w:rFonts w:ascii="Times New Roman" w:hAnsi="Times New Roman" w:cs="Times New Roman"/>
                <w:color w:val="auto"/>
                <w:spacing w:val="-3"/>
                <w:sz w:val="22"/>
                <w:szCs w:val="22"/>
              </w:rPr>
            </w:pPr>
          </w:p>
        </w:tc>
        <w:tc>
          <w:tcPr>
            <w:tcW w:w="673" w:type="pct"/>
            <w:shd w:val="clear" w:color="auto" w:fill="FFFFFF"/>
            <w:tcMar>
              <w:top w:w="15" w:type="dxa"/>
              <w:left w:w="31" w:type="dxa"/>
              <w:bottom w:w="0" w:type="dxa"/>
              <w:right w:w="31" w:type="dxa"/>
            </w:tcMar>
            <w:vAlign w:val="center"/>
          </w:tcPr>
          <w:p w:rsidRPr="00AE1B2B" w:rsidR="009D3FB5" w:rsidP="00163B94" w:rsidRDefault="009D3FB5" w14:paraId="3B5F566A" w14:textId="77777777">
            <w:pPr>
              <w:spacing w:before="120" w:after="120"/>
              <w:rPr>
                <w:rFonts w:ascii="Times New Roman" w:hAnsi="Times New Roman" w:cs="Times New Roman"/>
              </w:rPr>
            </w:pPr>
            <w:r w:rsidRPr="00AE1B2B">
              <w:rPr>
                <w:rFonts w:ascii="Times New Roman" w:hAnsi="Times New Roman" w:cs="Times New Roman"/>
              </w:rPr>
              <w:t>Pendiente</w:t>
            </w:r>
          </w:p>
        </w:tc>
        <w:tc>
          <w:tcPr>
            <w:tcW w:w="914" w:type="pct"/>
            <w:shd w:val="clear" w:color="auto" w:fill="E9EDF4"/>
            <w:tcMar>
              <w:top w:w="15" w:type="dxa"/>
              <w:left w:w="31" w:type="dxa"/>
              <w:bottom w:w="0" w:type="dxa"/>
              <w:right w:w="31" w:type="dxa"/>
            </w:tcMar>
            <w:vAlign w:val="center"/>
          </w:tcPr>
          <w:p w:rsidRPr="00AE1B2B" w:rsidR="009D3FB5" w:rsidP="00163B94" w:rsidRDefault="009D3FB5" w14:paraId="5382F6AD" w14:textId="77777777">
            <w:pPr>
              <w:spacing w:before="120" w:after="120"/>
              <w:rPr>
                <w:rFonts w:ascii="Times New Roman" w:hAnsi="Times New Roman" w:cs="Times New Roman"/>
              </w:rPr>
            </w:pPr>
            <w:r w:rsidRPr="00AE1B2B">
              <w:rPr>
                <w:rFonts w:ascii="Times New Roman" w:hAnsi="Times New Roman" w:cs="Times New Roman"/>
              </w:rPr>
              <w:t>Marzo 2021</w:t>
            </w:r>
          </w:p>
        </w:tc>
        <w:tc>
          <w:tcPr>
            <w:tcW w:w="1009" w:type="pct"/>
            <w:shd w:val="clear" w:color="auto" w:fill="E9EDF4"/>
            <w:tcMar>
              <w:top w:w="15" w:type="dxa"/>
              <w:left w:w="31" w:type="dxa"/>
              <w:bottom w:w="0" w:type="dxa"/>
              <w:right w:w="31" w:type="dxa"/>
            </w:tcMar>
            <w:vAlign w:val="center"/>
          </w:tcPr>
          <w:p w:rsidRPr="00AE1B2B" w:rsidR="009D3FB5" w:rsidP="00163B94" w:rsidRDefault="009D3FB5" w14:paraId="623E2057" w14:textId="77777777">
            <w:pPr>
              <w:spacing w:before="120" w:after="120"/>
              <w:rPr>
                <w:rFonts w:ascii="Times New Roman" w:hAnsi="Times New Roman" w:cs="Times New Roman"/>
              </w:rPr>
            </w:pPr>
            <w:r w:rsidRPr="00AE1B2B">
              <w:rPr>
                <w:rFonts w:ascii="Times New Roman" w:hAnsi="Times New Roman" w:cs="Times New Roman"/>
              </w:rPr>
              <w:t>Comisión de Familia</w:t>
            </w:r>
          </w:p>
        </w:tc>
      </w:tr>
      <w:tr w:rsidRPr="00AE1B2B" w:rsidR="00AE1B2B" w:rsidTr="00A46837" w14:paraId="323846D7" w14:textId="77777777">
        <w:trPr>
          <w:trHeight w:val="2148"/>
        </w:trPr>
        <w:tc>
          <w:tcPr>
            <w:tcW w:w="866" w:type="pct"/>
            <w:shd w:val="clear" w:color="auto" w:fill="4F81BD"/>
            <w:tcMar>
              <w:top w:w="15" w:type="dxa"/>
              <w:left w:w="31" w:type="dxa"/>
              <w:bottom w:w="0" w:type="dxa"/>
              <w:right w:w="31" w:type="dxa"/>
            </w:tcMar>
            <w:vAlign w:val="center"/>
          </w:tcPr>
          <w:p w:rsidRPr="00AE1B2B" w:rsidR="009D3FB5" w:rsidP="00163B94" w:rsidRDefault="009D3FB5" w14:paraId="2D114D68" w14:textId="77777777">
            <w:pPr>
              <w:spacing w:before="120" w:after="120"/>
              <w:rPr>
                <w:rFonts w:ascii="Times New Roman" w:hAnsi="Times New Roman" w:cs="Times New Roman"/>
                <w:b/>
                <w:bCs/>
              </w:rPr>
            </w:pPr>
            <w:r w:rsidRPr="00AE1B2B">
              <w:rPr>
                <w:rFonts w:ascii="Times New Roman" w:hAnsi="Times New Roman" w:cs="Times New Roman"/>
                <w:b/>
                <w:bCs/>
              </w:rPr>
              <w:lastRenderedPageBreak/>
              <w:t>Criterio experto del Juez Gestor</w:t>
            </w:r>
          </w:p>
        </w:tc>
        <w:tc>
          <w:tcPr>
            <w:tcW w:w="1538" w:type="pct"/>
            <w:shd w:val="clear" w:color="auto" w:fill="E9EDF4"/>
            <w:tcMar>
              <w:top w:w="15" w:type="dxa"/>
              <w:left w:w="31" w:type="dxa"/>
              <w:bottom w:w="0" w:type="dxa"/>
              <w:right w:w="31" w:type="dxa"/>
            </w:tcMar>
            <w:vAlign w:val="center"/>
          </w:tcPr>
          <w:p w:rsidRPr="00AE1B2B" w:rsidR="009D3FB5" w:rsidP="00163B94" w:rsidRDefault="009D3FB5" w14:paraId="0BD34748" w14:textId="77777777">
            <w:pPr>
              <w:pStyle w:val="Default"/>
              <w:adjustRightInd/>
              <w:spacing w:before="120" w:after="120" w:line="276" w:lineRule="auto"/>
              <w:jc w:val="both"/>
              <w:rPr>
                <w:rFonts w:ascii="Times New Roman" w:hAnsi="Times New Roman" w:cs="Times New Roman"/>
                <w:color w:val="auto"/>
                <w:spacing w:val="-3"/>
                <w:sz w:val="22"/>
                <w:szCs w:val="22"/>
              </w:rPr>
            </w:pPr>
            <w:r w:rsidRPr="00AE1B2B">
              <w:rPr>
                <w:rFonts w:ascii="Times New Roman" w:hAnsi="Times New Roman" w:cs="Times New Roman"/>
                <w:color w:val="auto"/>
                <w:spacing w:val="-3"/>
                <w:sz w:val="22"/>
                <w:szCs w:val="22"/>
              </w:rPr>
              <w:t>en reunión sobre el tema de los Juzgados por Ministerio de Ley con el Juez Gestor se solicitó el criterio experto del juez y de la Comisión de Familia, Niñez y Adolescencia sobre la cantidad de asuntos que puede conocer mensualmente una plaza que solo conozca asuntos sumarios de este tipo, lo anterior para efectos de proyecciones de traslado de cargas de trabajo</w:t>
            </w:r>
          </w:p>
          <w:p w:rsidRPr="00AE1B2B" w:rsidR="009D3FB5" w:rsidP="00163B94" w:rsidRDefault="009D3FB5" w14:paraId="436246FC" w14:textId="77777777">
            <w:pPr>
              <w:pStyle w:val="Default"/>
              <w:adjustRightInd/>
              <w:spacing w:before="120" w:after="120" w:line="276" w:lineRule="auto"/>
              <w:jc w:val="both"/>
              <w:rPr>
                <w:rFonts w:ascii="Times New Roman" w:hAnsi="Times New Roman" w:cs="Times New Roman"/>
                <w:color w:val="auto"/>
                <w:spacing w:val="-3"/>
                <w:sz w:val="22"/>
                <w:szCs w:val="22"/>
              </w:rPr>
            </w:pPr>
          </w:p>
        </w:tc>
        <w:tc>
          <w:tcPr>
            <w:tcW w:w="673" w:type="pct"/>
            <w:shd w:val="clear" w:color="auto" w:fill="FFFFFF"/>
            <w:tcMar>
              <w:top w:w="15" w:type="dxa"/>
              <w:left w:w="31" w:type="dxa"/>
              <w:bottom w:w="0" w:type="dxa"/>
              <w:right w:w="31" w:type="dxa"/>
            </w:tcMar>
            <w:vAlign w:val="center"/>
          </w:tcPr>
          <w:p w:rsidRPr="00AE1B2B" w:rsidR="009D3FB5" w:rsidP="00163B94" w:rsidRDefault="009D3FB5" w14:paraId="2C4A035F" w14:textId="77777777">
            <w:pPr>
              <w:spacing w:before="120" w:after="120"/>
              <w:rPr>
                <w:rFonts w:ascii="Times New Roman" w:hAnsi="Times New Roman" w:cs="Times New Roman"/>
              </w:rPr>
            </w:pPr>
            <w:r w:rsidRPr="00AE1B2B">
              <w:rPr>
                <w:rFonts w:ascii="Times New Roman" w:hAnsi="Times New Roman" w:cs="Times New Roman"/>
              </w:rPr>
              <w:t>Pendiente</w:t>
            </w:r>
          </w:p>
        </w:tc>
        <w:tc>
          <w:tcPr>
            <w:tcW w:w="914" w:type="pct"/>
            <w:shd w:val="clear" w:color="auto" w:fill="E9EDF4"/>
            <w:tcMar>
              <w:top w:w="15" w:type="dxa"/>
              <w:left w:w="31" w:type="dxa"/>
              <w:bottom w:w="0" w:type="dxa"/>
              <w:right w:w="31" w:type="dxa"/>
            </w:tcMar>
            <w:vAlign w:val="center"/>
          </w:tcPr>
          <w:p w:rsidRPr="00AE1B2B" w:rsidR="009D3FB5" w:rsidP="00163B94" w:rsidRDefault="009D3FB5" w14:paraId="2E70147A" w14:textId="77777777">
            <w:pPr>
              <w:spacing w:before="120" w:after="120"/>
              <w:rPr>
                <w:rFonts w:ascii="Times New Roman" w:hAnsi="Times New Roman" w:cs="Times New Roman"/>
              </w:rPr>
            </w:pPr>
            <w:r w:rsidRPr="00AE1B2B">
              <w:rPr>
                <w:rFonts w:ascii="Times New Roman" w:hAnsi="Times New Roman" w:cs="Times New Roman"/>
              </w:rPr>
              <w:t>Marzo 2021</w:t>
            </w:r>
          </w:p>
        </w:tc>
        <w:tc>
          <w:tcPr>
            <w:tcW w:w="1009" w:type="pct"/>
            <w:shd w:val="clear" w:color="auto" w:fill="E9EDF4"/>
            <w:tcMar>
              <w:top w:w="15" w:type="dxa"/>
              <w:left w:w="31" w:type="dxa"/>
              <w:bottom w:w="0" w:type="dxa"/>
              <w:right w:w="31" w:type="dxa"/>
            </w:tcMar>
            <w:vAlign w:val="center"/>
          </w:tcPr>
          <w:p w:rsidRPr="00AE1B2B" w:rsidR="009D3FB5" w:rsidP="00163B94" w:rsidRDefault="009D3FB5" w14:paraId="1CCE524E" w14:textId="77777777">
            <w:pPr>
              <w:spacing w:before="120" w:after="120"/>
              <w:rPr>
                <w:rFonts w:ascii="Times New Roman" w:hAnsi="Times New Roman" w:cs="Times New Roman"/>
              </w:rPr>
            </w:pPr>
            <w:r w:rsidRPr="00AE1B2B">
              <w:rPr>
                <w:rFonts w:ascii="Times New Roman" w:hAnsi="Times New Roman" w:cs="Times New Roman"/>
              </w:rPr>
              <w:t>Juez Gestor-Comisión de Familia</w:t>
            </w:r>
          </w:p>
        </w:tc>
      </w:tr>
    </w:tbl>
    <w:p w:rsidRPr="00AE1B2B" w:rsidR="009D3FB5" w:rsidP="00163B94" w:rsidRDefault="009D3FB5" w14:paraId="34026B0A" w14:textId="77777777">
      <w:pPr>
        <w:spacing w:before="120" w:after="120"/>
        <w:rPr>
          <w:rFonts w:ascii="Times New Roman" w:hAnsi="Times New Roman" w:cs="Times New Roman"/>
        </w:rPr>
      </w:pPr>
    </w:p>
    <w:p w:rsidRPr="00AE1B2B" w:rsidR="009D3FB5" w:rsidP="00163B94" w:rsidRDefault="009D3FB5" w14:paraId="5BD13CAB" w14:textId="77777777">
      <w:pPr>
        <w:spacing w:before="120" w:after="120"/>
        <w:rPr>
          <w:rFonts w:ascii="Times New Roman" w:hAnsi="Times New Roman" w:cs="Times New Roman"/>
        </w:rPr>
      </w:pPr>
    </w:p>
    <w:p w:rsidRPr="00AE1B2B" w:rsidR="009D3FB5" w:rsidP="00163B94" w:rsidRDefault="009D3FB5" w14:paraId="05114464" w14:textId="77777777">
      <w:pPr>
        <w:spacing w:before="120" w:after="120"/>
        <w:rPr>
          <w:rFonts w:ascii="Times New Roman" w:hAnsi="Times New Roman" w:cs="Times New Roman"/>
        </w:rPr>
      </w:pPr>
    </w:p>
    <w:p w:rsidRPr="00AE1B2B" w:rsidR="009D3FB5" w:rsidP="00163B94" w:rsidRDefault="009D3FB5" w14:paraId="027962C2" w14:textId="77777777">
      <w:pPr>
        <w:spacing w:before="120" w:after="120"/>
        <w:rPr>
          <w:rFonts w:ascii="Times New Roman" w:hAnsi="Times New Roman" w:cs="Times New Roman"/>
        </w:rPr>
      </w:pPr>
    </w:p>
    <w:p w:rsidRPr="00AE1B2B" w:rsidR="009D3FB5" w:rsidP="00163B94" w:rsidRDefault="009D3FB5" w14:paraId="05CE6952" w14:textId="3FAB140F">
      <w:pPr>
        <w:pStyle w:val="Prrafodelista"/>
        <w:numPr>
          <w:ilvl w:val="0"/>
          <w:numId w:val="144"/>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Estimación de los costos presupuestarios asociados con el Código Procesal de Familia</w:t>
      </w:r>
    </w:p>
    <w:p w:rsidRPr="00AE1B2B" w:rsidR="009D3FB5" w:rsidP="00163B94" w:rsidRDefault="009D3FB5" w14:paraId="5AAB3526" w14:textId="77777777">
      <w:pPr>
        <w:spacing w:before="120" w:after="120"/>
        <w:ind w:left="851" w:right="851" w:firstLine="709"/>
        <w:jc w:val="both"/>
        <w:rPr>
          <w:rFonts w:ascii="Times New Roman" w:hAnsi="Times New Roman" w:cs="Times New Roman"/>
          <w:sz w:val="26"/>
          <w:szCs w:val="26"/>
          <w:lang w:eastAsia="es-ES"/>
        </w:rPr>
      </w:pPr>
    </w:p>
    <w:p w:rsidRPr="00AE1B2B" w:rsidR="009D3FB5" w:rsidP="00163B94" w:rsidRDefault="009D3FB5" w14:paraId="7522D2C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Costos Programa 926</w:t>
      </w:r>
    </w:p>
    <w:p w:rsidRPr="00AE1B2B" w:rsidR="009D3FB5" w:rsidP="00163B94" w:rsidRDefault="009D3FB5" w14:paraId="53FD00FF" w14:textId="77777777">
      <w:pPr>
        <w:spacing w:before="120" w:after="120"/>
        <w:ind w:left="851" w:right="851" w:firstLine="709"/>
        <w:jc w:val="both"/>
        <w:rPr>
          <w:rFonts w:ascii="Times New Roman" w:hAnsi="Times New Roman" w:cs="Times New Roman"/>
          <w:sz w:val="26"/>
          <w:szCs w:val="26"/>
          <w:lang w:val="es-ES_tradnl"/>
        </w:rPr>
      </w:pPr>
    </w:p>
    <w:p w:rsidRPr="00AE1B2B" w:rsidR="009D3FB5" w:rsidP="00163B94" w:rsidRDefault="009D3FB5" w14:paraId="2C1C154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b/>
          <w:bCs/>
          <w:i/>
          <w:iCs/>
          <w:sz w:val="26"/>
          <w:szCs w:val="26"/>
          <w:lang w:val="es-ES_tradnl"/>
        </w:rPr>
        <w:t>Recurso Humano</w:t>
      </w:r>
    </w:p>
    <w:p w:rsidRPr="00AE1B2B" w:rsidR="009D3FB5" w:rsidP="00163B94" w:rsidRDefault="009D3FB5" w14:paraId="4C68E1B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implementación no esta reforma no implica la creación de plazas en el programa 926. </w:t>
      </w:r>
    </w:p>
    <w:p w:rsidRPr="00AE1B2B" w:rsidR="009D3FB5" w:rsidP="00163B94" w:rsidRDefault="009D3FB5" w14:paraId="6EA807AA" w14:textId="77777777">
      <w:pPr>
        <w:spacing w:before="120" w:after="120"/>
        <w:ind w:left="851" w:right="851" w:firstLine="709"/>
        <w:jc w:val="both"/>
        <w:rPr>
          <w:rFonts w:ascii="Times New Roman" w:hAnsi="Times New Roman" w:cs="Times New Roman"/>
          <w:b/>
          <w:bCs/>
          <w:i/>
          <w:iCs/>
          <w:sz w:val="26"/>
          <w:szCs w:val="26"/>
        </w:rPr>
      </w:pPr>
    </w:p>
    <w:p w:rsidRPr="00AE1B2B" w:rsidR="009D3FB5" w:rsidP="00163B94" w:rsidRDefault="009D3FB5" w14:paraId="3F3AEAF6" w14:textId="77777777">
      <w:pPr>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Gastos variables programa 926:</w:t>
      </w:r>
    </w:p>
    <w:p w:rsidRPr="00AE1B2B" w:rsidR="009D3FB5" w:rsidP="00163B94" w:rsidRDefault="009D3FB5" w14:paraId="5254AFEA" w14:textId="662A17A9">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Dirección Ejecutiva estima los gastos variables (suministros) del programa 926 en </w:t>
      </w:r>
      <w:r w:rsidRPr="00AE1B2B">
        <w:rPr>
          <w:rFonts w:ascii="Times New Roman" w:hAnsi="Times New Roman" w:eastAsia="Times New Roman" w:cs="Times New Roman"/>
          <w:sz w:val="26"/>
          <w:szCs w:val="26"/>
          <w:lang w:eastAsia="es-CR"/>
        </w:rPr>
        <w:t>₡</w:t>
      </w:r>
      <w:r w:rsidRPr="00AE1B2B">
        <w:rPr>
          <w:rFonts w:ascii="Times New Roman" w:hAnsi="Times New Roman" w:cs="Times New Roman"/>
          <w:sz w:val="26"/>
          <w:szCs w:val="26"/>
        </w:rPr>
        <w:t xml:space="preserve"> 642,250.00</w:t>
      </w:r>
      <w:r w:rsidRPr="00AE1B2B" w:rsidR="00BB7720">
        <w:rPr>
          <w:rFonts w:ascii="Times New Roman" w:hAnsi="Times New Roman" w:cs="Times New Roman"/>
          <w:sz w:val="26"/>
          <w:szCs w:val="26"/>
        </w:rPr>
        <w:t xml:space="preserve"> </w:t>
      </w:r>
    </w:p>
    <w:p w:rsidRPr="00AE1B2B" w:rsidR="009D3FB5" w:rsidP="00163B94" w:rsidRDefault="009D3FB5" w14:paraId="15ED87F7" w14:textId="1B3257B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incorporan </w:t>
      </w:r>
      <w:r w:rsidRPr="00AE1B2B">
        <w:rPr>
          <w:rFonts w:ascii="Times New Roman" w:hAnsi="Times New Roman" w:eastAsia="Times New Roman" w:cs="Times New Roman"/>
          <w:sz w:val="26"/>
          <w:szCs w:val="26"/>
          <w:lang w:eastAsia="es-CR"/>
        </w:rPr>
        <w:t>₡</w:t>
      </w:r>
      <w:r w:rsidRPr="00AE1B2B">
        <w:rPr>
          <w:rFonts w:ascii="Times New Roman" w:hAnsi="Times New Roman" w:cs="Times New Roman"/>
          <w:sz w:val="26"/>
          <w:szCs w:val="26"/>
        </w:rPr>
        <w:t xml:space="preserve"> 30,000,000.00 para el pago de peritajes por parte del Departamento de Trabajo Social y Psicología para reducir su circulante y dar trámite a las solicitudes de valoración de Juzgados de Familia a nivel nacional que se encuentren pendientes.</w:t>
      </w:r>
      <w:r w:rsidRPr="00AE1B2B" w:rsidR="00BB7720">
        <w:rPr>
          <w:rFonts w:ascii="Times New Roman" w:hAnsi="Times New Roman" w:cs="Times New Roman"/>
          <w:sz w:val="26"/>
          <w:szCs w:val="26"/>
        </w:rPr>
        <w:t xml:space="preserve"> </w:t>
      </w:r>
    </w:p>
    <w:p w:rsidRPr="00AE1B2B" w:rsidR="009D3FB5" w:rsidP="00163B94" w:rsidRDefault="009D3FB5" w14:paraId="5485CE0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9D3FB5" w14:paraId="2C3E687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13B8436" w14:textId="77777777">
      <w:pPr>
        <w:spacing w:before="120" w:after="120"/>
        <w:ind w:left="851" w:right="851" w:firstLine="709"/>
        <w:jc w:val="both"/>
        <w:rPr>
          <w:rFonts w:ascii="Times New Roman" w:hAnsi="Times New Roman" w:cs="Times New Roman"/>
          <w:sz w:val="26"/>
          <w:szCs w:val="26"/>
        </w:rPr>
      </w:pPr>
      <w:bookmarkStart w:name="_Hlk34403189" w:id="87"/>
      <w:r w:rsidRPr="00AE1B2B">
        <w:rPr>
          <w:rFonts w:ascii="Times New Roman" w:hAnsi="Times New Roman" w:cs="Times New Roman"/>
          <w:sz w:val="26"/>
          <w:szCs w:val="26"/>
        </w:rPr>
        <w:t>Costos del Programa 927</w:t>
      </w:r>
    </w:p>
    <w:p w:rsidRPr="00AE1B2B" w:rsidR="009D3FB5" w:rsidP="00163B94" w:rsidRDefault="009D3FB5" w14:paraId="134BEEAD" w14:textId="77777777">
      <w:pPr>
        <w:spacing w:before="120" w:after="120"/>
        <w:ind w:left="851" w:right="851" w:firstLine="709"/>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lastRenderedPageBreak/>
        <w:t>Recurso humano estimado para Juzgados de materia Familia, Violencia Doméstica y Pensiones Alimentarias</w:t>
      </w:r>
    </w:p>
    <w:p w:rsidRPr="00AE1B2B" w:rsidR="009D3FB5" w:rsidP="00163B94" w:rsidRDefault="009D3FB5" w14:paraId="63101B6B" w14:textId="77777777">
      <w:pPr>
        <w:spacing w:before="120" w:after="120"/>
        <w:ind w:left="851" w:right="851" w:firstLine="709"/>
        <w:jc w:val="both"/>
        <w:rPr>
          <w:rFonts w:ascii="Times New Roman" w:hAnsi="Times New Roman" w:cs="Times New Roman"/>
          <w:sz w:val="26"/>
          <w:szCs w:val="26"/>
        </w:rPr>
      </w:pPr>
    </w:p>
    <w:bookmarkEnd w:id="87"/>
    <w:p w:rsidRPr="00AE1B2B" w:rsidR="009D3FB5" w:rsidP="00163B94" w:rsidRDefault="009D3FB5" w14:paraId="7BF8B70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cuadro siguiente se detalla la cantidad de recursos humanos requeridos en los despachos que atienden materias de Familia, Violencia Doméstica y Pensiones Alimentarias.</w:t>
      </w:r>
    </w:p>
    <w:p w:rsidRPr="00AE1B2B" w:rsidR="009D3FB5" w:rsidP="00163B94" w:rsidRDefault="009D3FB5" w14:paraId="0F927B9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19CD117" w14:textId="1D261FD3">
      <w:pPr>
        <w:pStyle w:val="Descripcin"/>
        <w:spacing w:before="120" w:after="120"/>
        <w:ind w:left="851" w:right="851" w:firstLine="709"/>
        <w:jc w:val="center"/>
        <w:rPr>
          <w:rFonts w:ascii="Times New Roman" w:hAnsi="Times New Roman" w:cs="Times New Roman"/>
          <w:sz w:val="26"/>
          <w:szCs w:val="26"/>
        </w:rPr>
      </w:pPr>
      <w:bookmarkStart w:name="_Hlk40873941" w:id="88"/>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66</w:t>
      </w:r>
      <w:r w:rsidRPr="00AE1B2B">
        <w:rPr>
          <w:rFonts w:ascii="Times New Roman" w:hAnsi="Times New Roman" w:cs="Times New Roman"/>
          <w:sz w:val="26"/>
          <w:szCs w:val="26"/>
        </w:rPr>
        <w:fldChar w:fldCharType="end"/>
      </w:r>
    </w:p>
    <w:p w:rsidRPr="00AE1B2B" w:rsidR="009D3FB5" w:rsidP="00163B94" w:rsidRDefault="009D3FB5" w14:paraId="780E026B" w14:textId="77777777">
      <w:pPr>
        <w:pStyle w:val="Descripcin"/>
        <w:spacing w:before="120" w:after="120"/>
        <w:ind w:left="851" w:right="851" w:firstLine="709"/>
        <w:jc w:val="center"/>
        <w:rPr>
          <w:rFonts w:ascii="Times New Roman" w:hAnsi="Times New Roman" w:cs="Times New Roman"/>
          <w:sz w:val="26"/>
          <w:szCs w:val="26"/>
        </w:rPr>
      </w:pPr>
      <w:r w:rsidRPr="00AE1B2B">
        <w:rPr>
          <w:rFonts w:ascii="Times New Roman" w:hAnsi="Times New Roman" w:cs="Times New Roman"/>
          <w:sz w:val="26"/>
          <w:szCs w:val="26"/>
        </w:rPr>
        <w:t>Cantidad de recurso humano necesario y costo estimado de recursos en los juzgados de materias Familia, Violencia Doméstica y Pensiones Alimentarias con el CPF.</w:t>
      </w:r>
    </w:p>
    <w:tbl>
      <w:tblPr>
        <w:tblW w:w="9810" w:type="dxa"/>
        <w:jc w:val="center"/>
        <w:tblCellMar>
          <w:left w:w="70" w:type="dxa"/>
          <w:right w:w="70" w:type="dxa"/>
        </w:tblCellMar>
        <w:tblLook w:val="04A0" w:firstRow="1" w:lastRow="0" w:firstColumn="1" w:lastColumn="0" w:noHBand="0" w:noVBand="1"/>
      </w:tblPr>
      <w:tblGrid>
        <w:gridCol w:w="1403"/>
        <w:gridCol w:w="617"/>
        <w:gridCol w:w="909"/>
        <w:gridCol w:w="1127"/>
        <w:gridCol w:w="1631"/>
        <w:gridCol w:w="874"/>
        <w:gridCol w:w="1625"/>
        <w:gridCol w:w="1624"/>
      </w:tblGrid>
      <w:tr w:rsidRPr="00AE1B2B" w:rsidR="00AE1B2B" w:rsidTr="009D3FB5" w14:paraId="4988C5A5" w14:textId="77777777">
        <w:trPr>
          <w:trHeight w:val="20"/>
          <w:tblHeader/>
          <w:jc w:val="center"/>
        </w:trPr>
        <w:tc>
          <w:tcPr>
            <w:tcW w:w="1403" w:type="dxa"/>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4C7FC360"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Despacho</w:t>
            </w:r>
          </w:p>
        </w:tc>
        <w:tc>
          <w:tcPr>
            <w:tcW w:w="617" w:type="dxa"/>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5C770CA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w:t>
            </w:r>
          </w:p>
        </w:tc>
        <w:tc>
          <w:tcPr>
            <w:tcW w:w="0" w:type="auto"/>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5E2DF14F"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Tipo de plaza</w:t>
            </w:r>
          </w:p>
        </w:tc>
        <w:tc>
          <w:tcPr>
            <w:tcW w:w="0" w:type="auto"/>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238F40D6"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Condición actual</w:t>
            </w:r>
          </w:p>
        </w:tc>
        <w:tc>
          <w:tcPr>
            <w:tcW w:w="1283" w:type="dxa"/>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49B7231D"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Recomendación</w:t>
            </w:r>
          </w:p>
        </w:tc>
        <w:tc>
          <w:tcPr>
            <w:tcW w:w="0" w:type="auto"/>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11CAF36B"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Periodo</w:t>
            </w:r>
          </w:p>
        </w:tc>
        <w:tc>
          <w:tcPr>
            <w:tcW w:w="1625" w:type="dxa"/>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31E90838"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Costo estimado</w:t>
            </w:r>
          </w:p>
        </w:tc>
        <w:tc>
          <w:tcPr>
            <w:tcW w:w="1619" w:type="dxa"/>
            <w:tcBorders>
              <w:top w:val="single" w:color="auto" w:sz="4" w:space="0"/>
              <w:left w:val="nil"/>
              <w:bottom w:val="single" w:color="auto" w:sz="4" w:space="0"/>
              <w:right w:val="single" w:color="auto" w:sz="4" w:space="0"/>
            </w:tcBorders>
            <w:shd w:val="clear" w:color="000000" w:fill="002060"/>
            <w:vAlign w:val="center"/>
            <w:hideMark/>
          </w:tcPr>
          <w:p w:rsidRPr="00AE1B2B" w:rsidR="009D3FB5" w:rsidP="00163B94" w:rsidRDefault="009D3FB5" w14:paraId="53ED1699" w14:textId="77777777">
            <w:pPr>
              <w:spacing w:before="120" w:after="120" w:line="276" w:lineRule="auto"/>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Observaciones</w:t>
            </w:r>
          </w:p>
        </w:tc>
      </w:tr>
      <w:tr w:rsidRPr="00AE1B2B" w:rsidR="00AE1B2B" w:rsidTr="009D3FB5" w14:paraId="5C97EE93" w14:textId="77777777">
        <w:trPr>
          <w:trHeight w:val="20"/>
          <w:jc w:val="center"/>
        </w:trPr>
        <w:tc>
          <w:tcPr>
            <w:tcW w:w="1403" w:type="dxa"/>
            <w:tcBorders>
              <w:top w:val="single" w:color="auto" w:sz="4" w:space="0"/>
              <w:left w:val="single" w:color="auto" w:sz="4" w:space="0"/>
              <w:bottom w:val="single" w:color="auto" w:sz="4" w:space="0"/>
              <w:right w:val="single" w:color="auto" w:sz="4" w:space="0"/>
            </w:tcBorders>
            <w:shd w:val="clear" w:color="auto" w:fill="auto"/>
            <w:vAlign w:val="center"/>
          </w:tcPr>
          <w:p w:rsidRPr="00AE1B2B" w:rsidR="009D3FB5" w:rsidP="00163B94" w:rsidRDefault="009D3FB5" w14:paraId="1F13318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Juzgado de Familia de Cartago</w:t>
            </w:r>
          </w:p>
        </w:tc>
        <w:tc>
          <w:tcPr>
            <w:tcW w:w="617" w:type="dxa"/>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3E5F885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2</w:t>
            </w:r>
          </w:p>
        </w:tc>
        <w:tc>
          <w:tcPr>
            <w:tcW w:w="0" w:type="auto"/>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71FE675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Técnica o Técnico Judicial 2</w:t>
            </w:r>
          </w:p>
        </w:tc>
        <w:tc>
          <w:tcPr>
            <w:tcW w:w="0" w:type="auto"/>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47CE75F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 xml:space="preserve"> -</w:t>
            </w:r>
          </w:p>
        </w:tc>
        <w:tc>
          <w:tcPr>
            <w:tcW w:w="1283" w:type="dxa"/>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5690D2DB"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Extraordinaria</w:t>
            </w:r>
          </w:p>
        </w:tc>
        <w:tc>
          <w:tcPr>
            <w:tcW w:w="0" w:type="auto"/>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0CF61000"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3 meses</w:t>
            </w:r>
          </w:p>
        </w:tc>
        <w:tc>
          <w:tcPr>
            <w:tcW w:w="1625"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56D08DD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₡7,260,000.00</w:t>
            </w:r>
          </w:p>
        </w:tc>
        <w:tc>
          <w:tcPr>
            <w:tcW w:w="1619" w:type="dxa"/>
            <w:tcBorders>
              <w:top w:val="single" w:color="auto" w:sz="4" w:space="0"/>
              <w:left w:val="nil"/>
              <w:bottom w:val="single" w:color="auto" w:sz="4" w:space="0"/>
              <w:right w:val="single" w:color="auto" w:sz="4" w:space="0"/>
            </w:tcBorders>
            <w:shd w:val="clear" w:color="auto" w:fill="auto"/>
            <w:vAlign w:val="center"/>
          </w:tcPr>
          <w:p w:rsidRPr="00AE1B2B" w:rsidR="009D3FB5" w:rsidP="00163B94" w:rsidRDefault="009D3FB5" w14:paraId="19DD5F26" w14:textId="77777777">
            <w:pPr>
              <w:spacing w:before="120" w:after="120" w:line="276" w:lineRule="auto"/>
              <w:rPr>
                <w:rFonts w:ascii="Times New Roman" w:hAnsi="Times New Roman" w:eastAsia="Times New Roman" w:cs="Times New Roman"/>
                <w:lang w:eastAsia="es-CR"/>
              </w:rPr>
            </w:pPr>
          </w:p>
        </w:tc>
      </w:tr>
      <w:tr w:rsidRPr="00AE1B2B" w:rsidR="00AE1B2B" w:rsidTr="009D3FB5" w14:paraId="1A05382D" w14:textId="77777777">
        <w:trPr>
          <w:trHeight w:val="20"/>
          <w:jc w:val="center"/>
        </w:trPr>
        <w:tc>
          <w:tcPr>
            <w:tcW w:w="1403"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BA858F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Familia II Circuito Judicial de Alajuela</w:t>
            </w:r>
          </w:p>
        </w:tc>
        <w:tc>
          <w:tcPr>
            <w:tcW w:w="61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469D43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AFF560A"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Técnica o Técnico Judicial 2</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094947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p>
        </w:tc>
        <w:tc>
          <w:tcPr>
            <w:tcW w:w="128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F10D3C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Extraordinaria </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39A446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 meses</w:t>
            </w:r>
          </w:p>
        </w:tc>
        <w:tc>
          <w:tcPr>
            <w:tcW w:w="1625"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03EF09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₡3,360,000.00</w:t>
            </w:r>
          </w:p>
        </w:tc>
        <w:tc>
          <w:tcPr>
            <w:tcW w:w="1619"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9A0D482" w14:textId="77777777">
            <w:pPr>
              <w:spacing w:before="120" w:after="120" w:line="276" w:lineRule="auto"/>
              <w:rPr>
                <w:rFonts w:ascii="Times New Roman" w:hAnsi="Times New Roman" w:eastAsia="Times New Roman" w:cs="Times New Roman"/>
                <w:lang w:eastAsia="es-CR"/>
              </w:rPr>
            </w:pPr>
          </w:p>
        </w:tc>
      </w:tr>
      <w:tr w:rsidRPr="00AE1B2B" w:rsidR="00AE1B2B" w:rsidTr="009D3FB5" w14:paraId="7B2C4545" w14:textId="77777777">
        <w:trPr>
          <w:trHeight w:val="20"/>
          <w:jc w:val="center"/>
        </w:trPr>
        <w:tc>
          <w:tcPr>
            <w:tcW w:w="1403"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548CB9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de Familia y Violencia Doméstica III Circ. Jud. Alajuela (San Ramón)</w:t>
            </w:r>
          </w:p>
        </w:tc>
        <w:tc>
          <w:tcPr>
            <w:tcW w:w="61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4B87238"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302B7E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Técnica o Técnico Judicial 2</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A56899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p>
        </w:tc>
        <w:tc>
          <w:tcPr>
            <w:tcW w:w="128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4E929D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Extraordinaria </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FF60719"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 meses</w:t>
            </w:r>
          </w:p>
        </w:tc>
        <w:tc>
          <w:tcPr>
            <w:tcW w:w="1625"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C7B318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₡3,360,000.00</w:t>
            </w:r>
          </w:p>
        </w:tc>
        <w:tc>
          <w:tcPr>
            <w:tcW w:w="1619"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D290EDF" w14:textId="77777777">
            <w:pPr>
              <w:spacing w:before="120" w:after="120" w:line="276" w:lineRule="auto"/>
              <w:rPr>
                <w:rFonts w:ascii="Times New Roman" w:hAnsi="Times New Roman" w:eastAsia="Times New Roman" w:cs="Times New Roman"/>
                <w:lang w:eastAsia="es-CR"/>
              </w:rPr>
            </w:pPr>
          </w:p>
        </w:tc>
      </w:tr>
      <w:tr w:rsidRPr="00AE1B2B" w:rsidR="00AE1B2B" w:rsidTr="009D3FB5" w14:paraId="77843233" w14:textId="77777777">
        <w:trPr>
          <w:trHeight w:val="20"/>
          <w:jc w:val="center"/>
        </w:trPr>
        <w:tc>
          <w:tcPr>
            <w:tcW w:w="1403"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C6A541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de Familia y Violencia Doméstica de Grecia</w:t>
            </w:r>
          </w:p>
        </w:tc>
        <w:tc>
          <w:tcPr>
            <w:tcW w:w="61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629B3AD"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8DED74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Técnica o Técnico Judicial 2</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7F59A0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p>
        </w:tc>
        <w:tc>
          <w:tcPr>
            <w:tcW w:w="128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423EE1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Extraordinaria </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170D9F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 meses</w:t>
            </w:r>
          </w:p>
        </w:tc>
        <w:tc>
          <w:tcPr>
            <w:tcW w:w="1625"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167BA9E"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₡3,360,000.00</w:t>
            </w:r>
          </w:p>
        </w:tc>
        <w:tc>
          <w:tcPr>
            <w:tcW w:w="1619"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36F14F8" w14:textId="77777777">
            <w:pPr>
              <w:spacing w:before="120" w:after="120" w:line="276" w:lineRule="auto"/>
              <w:rPr>
                <w:rFonts w:ascii="Times New Roman" w:hAnsi="Times New Roman" w:eastAsia="Times New Roman" w:cs="Times New Roman"/>
                <w:lang w:eastAsia="es-CR"/>
              </w:rPr>
            </w:pPr>
          </w:p>
        </w:tc>
      </w:tr>
      <w:tr w:rsidRPr="00AE1B2B" w:rsidR="00AE1B2B" w:rsidTr="009D3FB5" w14:paraId="36F2BA82" w14:textId="77777777">
        <w:trPr>
          <w:trHeight w:val="20"/>
          <w:jc w:val="center"/>
        </w:trPr>
        <w:tc>
          <w:tcPr>
            <w:tcW w:w="1403"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586D30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Juzgado Civil, Trabajo </w:t>
            </w:r>
            <w:r w:rsidRPr="00AE1B2B">
              <w:rPr>
                <w:rFonts w:ascii="Times New Roman" w:hAnsi="Times New Roman" w:eastAsia="Times New Roman" w:cs="Times New Roman"/>
                <w:lang w:eastAsia="es-CR"/>
              </w:rPr>
              <w:lastRenderedPageBreak/>
              <w:t>y Familia de Buenos Aires</w:t>
            </w:r>
          </w:p>
        </w:tc>
        <w:tc>
          <w:tcPr>
            <w:tcW w:w="61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059863C"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lastRenderedPageBreak/>
              <w:t>1</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57F8077"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Técnica o </w:t>
            </w:r>
            <w:r w:rsidRPr="00AE1B2B">
              <w:rPr>
                <w:rFonts w:ascii="Times New Roman" w:hAnsi="Times New Roman" w:eastAsia="Times New Roman" w:cs="Times New Roman"/>
                <w:lang w:eastAsia="es-CR"/>
              </w:rPr>
              <w:lastRenderedPageBreak/>
              <w:t>Técnico Judicial 2</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77038C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lastRenderedPageBreak/>
              <w:t xml:space="preserve"> -</w:t>
            </w:r>
          </w:p>
        </w:tc>
        <w:tc>
          <w:tcPr>
            <w:tcW w:w="128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7404666" w14:textId="77777777">
            <w:pPr>
              <w:spacing w:before="120" w:after="120" w:line="276" w:lineRule="auto"/>
              <w:jc w:val="center"/>
              <w:rPr>
                <w:rFonts w:ascii="Times New Roman" w:hAnsi="Times New Roman" w:eastAsia="Times New Roman" w:cs="Times New Roman"/>
                <w:highlight w:val="cyan"/>
                <w:lang w:eastAsia="es-CR"/>
              </w:rPr>
            </w:pPr>
            <w:r w:rsidRPr="00AE1B2B">
              <w:rPr>
                <w:rFonts w:ascii="Times New Roman" w:hAnsi="Times New Roman" w:eastAsia="Times New Roman" w:cs="Times New Roman"/>
                <w:lang w:eastAsia="es-CR"/>
              </w:rPr>
              <w:t xml:space="preserve">Extraordinaria </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7D991CB" w14:textId="77777777">
            <w:pPr>
              <w:spacing w:before="120" w:after="120" w:line="276" w:lineRule="auto"/>
              <w:jc w:val="center"/>
              <w:rPr>
                <w:rFonts w:ascii="Times New Roman" w:hAnsi="Times New Roman" w:eastAsia="Times New Roman" w:cs="Times New Roman"/>
                <w:highlight w:val="cyan"/>
                <w:lang w:eastAsia="es-CR"/>
              </w:rPr>
            </w:pPr>
            <w:r w:rsidRPr="00AE1B2B">
              <w:rPr>
                <w:rFonts w:ascii="Times New Roman" w:hAnsi="Times New Roman" w:eastAsia="Times New Roman" w:cs="Times New Roman"/>
                <w:lang w:eastAsia="es-CR"/>
              </w:rPr>
              <w:t>3 meses</w:t>
            </w:r>
          </w:p>
        </w:tc>
        <w:tc>
          <w:tcPr>
            <w:tcW w:w="1625"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0BAF150" w14:textId="77777777">
            <w:pPr>
              <w:spacing w:before="120" w:after="120" w:line="276" w:lineRule="auto"/>
              <w:jc w:val="center"/>
              <w:rPr>
                <w:rFonts w:ascii="Times New Roman" w:hAnsi="Times New Roman" w:eastAsia="Times New Roman" w:cs="Times New Roman"/>
                <w:highlight w:val="cyan"/>
                <w:lang w:eastAsia="es-CR"/>
              </w:rPr>
            </w:pPr>
            <w:r w:rsidRPr="00AE1B2B">
              <w:rPr>
                <w:rFonts w:ascii="Times New Roman" w:hAnsi="Times New Roman" w:eastAsia="Times New Roman" w:cs="Times New Roman"/>
                <w:lang w:eastAsia="es-CR"/>
              </w:rPr>
              <w:t>₡3,360,000.00</w:t>
            </w:r>
          </w:p>
        </w:tc>
        <w:tc>
          <w:tcPr>
            <w:tcW w:w="1619"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EC8585E" w14:textId="77777777">
            <w:pPr>
              <w:spacing w:before="120" w:after="120" w:line="276" w:lineRule="auto"/>
              <w:rPr>
                <w:rFonts w:ascii="Times New Roman" w:hAnsi="Times New Roman" w:eastAsia="Times New Roman" w:cs="Times New Roman"/>
                <w:lang w:eastAsia="es-CR"/>
              </w:rPr>
            </w:pPr>
          </w:p>
        </w:tc>
      </w:tr>
      <w:tr w:rsidRPr="00AE1B2B" w:rsidR="00AE1B2B" w:rsidTr="009D3FB5" w14:paraId="00ECFEA4" w14:textId="77777777">
        <w:trPr>
          <w:trHeight w:val="20"/>
          <w:jc w:val="center"/>
        </w:trPr>
        <w:tc>
          <w:tcPr>
            <w:tcW w:w="1403"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18E9D51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Pensiones Alimentarias II Circuito Judicial Zona Atlántica (Pococí)</w:t>
            </w:r>
          </w:p>
        </w:tc>
        <w:tc>
          <w:tcPr>
            <w:tcW w:w="61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DA067E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DBE407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Jueza o Juez 1</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6BBD64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p>
        </w:tc>
        <w:tc>
          <w:tcPr>
            <w:tcW w:w="128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F17E204"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Extraordinaria </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246A233"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 meses</w:t>
            </w:r>
          </w:p>
        </w:tc>
        <w:tc>
          <w:tcPr>
            <w:tcW w:w="1625"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AC943D6"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₡12,868,250.00</w:t>
            </w:r>
          </w:p>
        </w:tc>
        <w:tc>
          <w:tcPr>
            <w:tcW w:w="1619"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63C4341" w14:textId="77777777">
            <w:pPr>
              <w:spacing w:before="120" w:after="120" w:line="276" w:lineRule="auto"/>
              <w:rPr>
                <w:rFonts w:ascii="Times New Roman" w:hAnsi="Times New Roman" w:eastAsia="Times New Roman" w:cs="Times New Roman"/>
                <w:lang w:eastAsia="es-CR"/>
              </w:rPr>
            </w:pPr>
          </w:p>
        </w:tc>
      </w:tr>
      <w:tr w:rsidRPr="00AE1B2B" w:rsidR="00AE1B2B" w:rsidTr="009D3FB5" w14:paraId="7E582343" w14:textId="77777777">
        <w:trPr>
          <w:trHeight w:val="20"/>
          <w:jc w:val="center"/>
        </w:trPr>
        <w:tc>
          <w:tcPr>
            <w:tcW w:w="1403"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1EF18DF5" w14:textId="77777777">
            <w:pPr>
              <w:spacing w:before="120" w:after="120" w:line="276" w:lineRule="auto"/>
              <w:rPr>
                <w:rFonts w:ascii="Times New Roman" w:hAnsi="Times New Roman" w:eastAsia="Times New Roman" w:cs="Times New Roman"/>
                <w:lang w:eastAsia="es-CR"/>
              </w:rPr>
            </w:pPr>
          </w:p>
        </w:tc>
        <w:tc>
          <w:tcPr>
            <w:tcW w:w="61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3DFA23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55EA50F"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Técnica o Técnico Judicial 1</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AEEEB7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p>
        </w:tc>
        <w:tc>
          <w:tcPr>
            <w:tcW w:w="128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ACBAFC5"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Extraordinaria </w:t>
            </w:r>
          </w:p>
        </w:tc>
        <w:tc>
          <w:tcPr>
            <w:tcW w:w="0" w:type="auto"/>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3230D01"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 meses</w:t>
            </w:r>
          </w:p>
        </w:tc>
        <w:tc>
          <w:tcPr>
            <w:tcW w:w="1625"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2B6C3B2" w14:textId="77777777">
            <w:pPr>
              <w:spacing w:before="120" w:after="120" w:line="276" w:lineRule="auto"/>
              <w:jc w:val="center"/>
              <w:rPr>
                <w:rFonts w:ascii="Times New Roman" w:hAnsi="Times New Roman" w:eastAsia="Times New Roman" w:cs="Times New Roman"/>
                <w:lang w:eastAsia="es-CR"/>
              </w:rPr>
            </w:pPr>
            <w:r w:rsidRPr="00AE1B2B">
              <w:rPr>
                <w:rFonts w:ascii="Times New Roman" w:hAnsi="Times New Roman" w:cs="Times New Roman"/>
              </w:rPr>
              <w:t>₡7,002,500.00</w:t>
            </w:r>
          </w:p>
        </w:tc>
        <w:tc>
          <w:tcPr>
            <w:tcW w:w="1619"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87E3F88" w14:textId="77777777">
            <w:pPr>
              <w:spacing w:before="120" w:after="120" w:line="276" w:lineRule="auto"/>
              <w:rPr>
                <w:rFonts w:ascii="Times New Roman" w:hAnsi="Times New Roman" w:eastAsia="Times New Roman" w:cs="Times New Roman"/>
                <w:lang w:eastAsia="es-CR"/>
              </w:rPr>
            </w:pPr>
          </w:p>
        </w:tc>
      </w:tr>
      <w:tr w:rsidRPr="00AE1B2B" w:rsidR="00AE1B2B" w:rsidTr="009D3FB5" w14:paraId="0F080C44" w14:textId="77777777">
        <w:trPr>
          <w:trHeight w:val="20"/>
          <w:jc w:val="center"/>
        </w:trPr>
        <w:tc>
          <w:tcPr>
            <w:tcW w:w="1403" w:type="dxa"/>
            <w:tcBorders>
              <w:top w:val="single" w:color="auto" w:sz="4" w:space="0"/>
              <w:left w:val="single" w:color="auto" w:sz="4" w:space="0"/>
              <w:bottom w:val="single" w:color="auto" w:sz="4" w:space="0"/>
              <w:right w:val="single" w:color="auto" w:sz="4" w:space="0"/>
            </w:tcBorders>
            <w:shd w:val="clear" w:color="000000" w:fill="808080"/>
            <w:vAlign w:val="center"/>
            <w:hideMark/>
          </w:tcPr>
          <w:p w:rsidRPr="00AE1B2B" w:rsidR="009D3FB5" w:rsidP="00163B94" w:rsidRDefault="009D3FB5" w14:paraId="164DBFE6"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 xml:space="preserve">Total </w:t>
            </w:r>
          </w:p>
        </w:tc>
        <w:tc>
          <w:tcPr>
            <w:tcW w:w="617" w:type="dxa"/>
            <w:tcBorders>
              <w:top w:val="single" w:color="auto" w:sz="4" w:space="0"/>
              <w:left w:val="nil"/>
              <w:bottom w:val="single" w:color="auto" w:sz="4" w:space="0"/>
              <w:right w:val="single" w:color="auto" w:sz="4" w:space="0"/>
            </w:tcBorders>
            <w:shd w:val="clear" w:color="000000" w:fill="808080"/>
            <w:vAlign w:val="center"/>
            <w:hideMark/>
          </w:tcPr>
          <w:p w:rsidRPr="00AE1B2B" w:rsidR="009D3FB5" w:rsidP="00163B94" w:rsidRDefault="009D3FB5" w14:paraId="3FC78617" w14:textId="77777777">
            <w:pPr>
              <w:spacing w:before="120" w:after="120" w:line="276" w:lineRule="auto"/>
              <w:jc w:val="center"/>
              <w:rPr>
                <w:rFonts w:ascii="Times New Roman" w:hAnsi="Times New Roman" w:eastAsia="Times New Roman" w:cs="Times New Roman"/>
                <w:b/>
                <w:lang w:eastAsia="es-CR"/>
              </w:rPr>
            </w:pPr>
            <w:r w:rsidRPr="00AE1B2B">
              <w:rPr>
                <w:rFonts w:ascii="Times New Roman" w:hAnsi="Times New Roman" w:eastAsia="Times New Roman" w:cs="Times New Roman"/>
                <w:b/>
                <w:lang w:eastAsia="es-CR"/>
              </w:rPr>
              <w:t>9</w:t>
            </w:r>
          </w:p>
        </w:tc>
        <w:tc>
          <w:tcPr>
            <w:tcW w:w="4541" w:type="dxa"/>
            <w:gridSpan w:val="4"/>
            <w:tcBorders>
              <w:top w:val="single" w:color="auto" w:sz="4" w:space="0"/>
              <w:left w:val="nil"/>
              <w:bottom w:val="single" w:color="auto" w:sz="4" w:space="0"/>
              <w:right w:val="single" w:color="auto" w:sz="4" w:space="0"/>
            </w:tcBorders>
            <w:shd w:val="clear" w:color="000000" w:fill="808080"/>
            <w:vAlign w:val="center"/>
          </w:tcPr>
          <w:p w:rsidRPr="00AE1B2B" w:rsidR="009D3FB5" w:rsidP="00163B94" w:rsidRDefault="009D3FB5" w14:paraId="646FE849"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Plazas para cubrir necesidades según cargas de trabajo calculadas.</w:t>
            </w:r>
          </w:p>
        </w:tc>
        <w:tc>
          <w:tcPr>
            <w:tcW w:w="3249" w:type="dxa"/>
            <w:gridSpan w:val="2"/>
            <w:tcBorders>
              <w:top w:val="single" w:color="auto" w:sz="4" w:space="0"/>
              <w:left w:val="nil"/>
              <w:bottom w:val="single" w:color="auto" w:sz="4" w:space="0"/>
              <w:right w:val="single" w:color="auto" w:sz="4" w:space="0"/>
            </w:tcBorders>
            <w:shd w:val="clear" w:color="000000" w:fill="808080"/>
            <w:vAlign w:val="center"/>
            <w:hideMark/>
          </w:tcPr>
          <w:p w:rsidRPr="00AE1B2B" w:rsidR="009D3FB5" w:rsidP="00163B94" w:rsidRDefault="009D3FB5" w14:paraId="342F20BF" w14:textId="77777777">
            <w:pPr>
              <w:spacing w:before="120" w:after="120" w:line="276" w:lineRule="auto"/>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₡41,650,750.00</w:t>
            </w:r>
          </w:p>
        </w:tc>
      </w:tr>
    </w:tbl>
    <w:p w:rsidRPr="00AE1B2B" w:rsidR="009D3FB5" w:rsidP="00163B94" w:rsidRDefault="009D3FB5" w14:paraId="42CB4E1E"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 xml:space="preserve">Fuente: Modernización Institucional de la Dirección de Planificación. </w:t>
      </w:r>
    </w:p>
    <w:bookmarkEnd w:id="88"/>
    <w:p w:rsidRPr="00AE1B2B" w:rsidR="009D3FB5" w:rsidP="00163B94" w:rsidRDefault="009D3FB5" w14:paraId="0C809E5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D46D6A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presente propuesta registra la incorporación de 9 recursos nuevos en total (6 nuevas plazas extraordinarias de Técnica o Técnico Judicial 2</w:t>
      </w:r>
      <w:r w:rsidRPr="00AE1B2B" w:rsidDel="00C759FE">
        <w:rPr>
          <w:rFonts w:ascii="Times New Roman" w:hAnsi="Times New Roman" w:cs="Times New Roman"/>
          <w:sz w:val="26"/>
          <w:szCs w:val="26"/>
        </w:rPr>
        <w:t>,</w:t>
      </w:r>
      <w:r w:rsidRPr="00AE1B2B">
        <w:rPr>
          <w:rFonts w:ascii="Times New Roman" w:hAnsi="Times New Roman" w:cs="Times New Roman"/>
          <w:sz w:val="26"/>
          <w:szCs w:val="26"/>
        </w:rPr>
        <w:t xml:space="preserve"> 2 plazas extraordinarias de Técnica o Técnico Judicial 1</w:t>
      </w:r>
      <w:r w:rsidRPr="00AE1B2B" w:rsidDel="00C759FE">
        <w:rPr>
          <w:rFonts w:ascii="Times New Roman" w:hAnsi="Times New Roman" w:cs="Times New Roman"/>
          <w:sz w:val="26"/>
          <w:szCs w:val="26"/>
        </w:rPr>
        <w:t xml:space="preserve"> </w:t>
      </w:r>
      <w:r w:rsidRPr="00AE1B2B">
        <w:rPr>
          <w:rFonts w:ascii="Times New Roman" w:hAnsi="Times New Roman" w:cs="Times New Roman"/>
          <w:sz w:val="26"/>
          <w:szCs w:val="26"/>
        </w:rPr>
        <w:t>y</w:t>
      </w:r>
      <w:r w:rsidRPr="00AE1B2B" w:rsidDel="00C759FE">
        <w:rPr>
          <w:rFonts w:ascii="Times New Roman" w:hAnsi="Times New Roman" w:cs="Times New Roman"/>
          <w:sz w:val="26"/>
          <w:szCs w:val="26"/>
        </w:rPr>
        <w:t xml:space="preserve"> </w:t>
      </w:r>
      <w:r w:rsidRPr="00AE1B2B">
        <w:rPr>
          <w:rFonts w:ascii="Times New Roman" w:hAnsi="Times New Roman" w:cs="Times New Roman"/>
          <w:sz w:val="26"/>
          <w:szCs w:val="26"/>
        </w:rPr>
        <w:t>1 nueva plaza extraordinaria persona juzgadora 1), para un costo estimado total de ₡41,650,750.00 por concepto de necesidad de recurso humano producto de la entrada en vigencia del Código Procesal Familia (por 3 meses).</w:t>
      </w:r>
    </w:p>
    <w:p w:rsidRPr="00AE1B2B" w:rsidR="009D3FB5" w:rsidP="00163B94" w:rsidRDefault="009D3FB5" w14:paraId="61A5B23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CB2B0E3" w14:textId="5B4E189B">
      <w:pPr>
        <w:spacing w:before="120" w:after="120"/>
        <w:ind w:left="851" w:right="851" w:firstLine="709"/>
        <w:jc w:val="both"/>
        <w:rPr>
          <w:rFonts w:ascii="Times New Roman" w:hAnsi="Times New Roman" w:eastAsia="Times New Roman" w:cs="Times New Roman"/>
          <w:sz w:val="26"/>
          <w:szCs w:val="26"/>
          <w:lang w:eastAsia="es-CR"/>
        </w:rPr>
      </w:pPr>
      <w:r w:rsidRPr="00AE1B2B">
        <w:rPr>
          <w:rFonts w:ascii="Times New Roman" w:hAnsi="Times New Roman" w:cs="Times New Roman"/>
          <w:sz w:val="26"/>
          <w:szCs w:val="26"/>
        </w:rPr>
        <w:t>Las plazas se espera que inicien funciones el primero de octubre de 2022.</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Los costos asociados por concepto de mobiliario y equipo para las 9 plazas nuevas (1 profesional y 8 no profesionales) fue estimado como parte del requerimiento de la Dirección Ejecutiva y Dirección de Tecnología de la Información (</w:t>
      </w:r>
      <w:r w:rsidRPr="00AE1B2B">
        <w:rPr>
          <w:rFonts w:ascii="Times New Roman" w:hAnsi="Times New Roman" w:eastAsia="Times New Roman" w:cs="Times New Roman"/>
          <w:sz w:val="26"/>
          <w:szCs w:val="26"/>
          <w:lang w:eastAsia="es-CR"/>
        </w:rPr>
        <w:t>₡3,507,664.00 p</w:t>
      </w:r>
      <w:r w:rsidRPr="00AE1B2B">
        <w:rPr>
          <w:rFonts w:ascii="Times New Roman" w:hAnsi="Times New Roman" w:cs="Times New Roman"/>
          <w:sz w:val="26"/>
          <w:szCs w:val="26"/>
        </w:rPr>
        <w:t xml:space="preserve">ara mobiliario y </w:t>
      </w:r>
      <w:r w:rsidRPr="00AE1B2B">
        <w:rPr>
          <w:rFonts w:ascii="Times New Roman" w:hAnsi="Times New Roman" w:eastAsia="Times New Roman" w:cs="Times New Roman"/>
          <w:sz w:val="26"/>
          <w:szCs w:val="26"/>
          <w:lang w:eastAsia="es-CR"/>
        </w:rPr>
        <w:t xml:space="preserve">₡ 5,886,644.60 por concepto de equipo de cómputo y licencias). </w:t>
      </w:r>
    </w:p>
    <w:p w:rsidRPr="00AE1B2B" w:rsidR="009D3FB5" w:rsidP="00163B94" w:rsidRDefault="009D3FB5" w14:paraId="5E38C43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Cabe mencionar además la inclusión en el presupuesto de la Dirección de Tecnología de la Información de 15 millones de colones para la elaboración sitio web de la Comisión de Familia, plataforma para ser utilizada como informativa entre otros aspectos para la reforma. </w:t>
      </w:r>
    </w:p>
    <w:p w:rsidRPr="00AE1B2B" w:rsidR="009D3FB5" w:rsidP="00163B94" w:rsidRDefault="009D3FB5" w14:paraId="42CB497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BCE46E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381E7C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9A48B9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88AF2D9" w14:textId="77777777">
      <w:pPr>
        <w:spacing w:before="120" w:after="120"/>
        <w:ind w:left="851" w:right="851" w:firstLine="709"/>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Costo recurso humano estimado para el Centro de Apoyo, Coordinación y Mejoramiento de la Función Jurisdiccional-Programa 927</w:t>
      </w:r>
    </w:p>
    <w:p w:rsidRPr="00AE1B2B" w:rsidR="009D3FB5" w:rsidP="00163B94" w:rsidRDefault="009D3FB5" w14:paraId="7593390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BFEFB3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detalle del costo de recurso humano requerido del presupuesto para 2022 para el CACMFJ es el siguiente:</w:t>
      </w:r>
    </w:p>
    <w:p w:rsidRPr="00AE1B2B" w:rsidR="009D3FB5" w:rsidP="00163B94" w:rsidRDefault="009D3FB5" w14:paraId="6FF724D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74D6C7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0466CE3" w14:textId="77777777">
      <w:pPr>
        <w:pStyle w:val="Descripcin"/>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67</w:t>
      </w:r>
      <w:r w:rsidRPr="00AE1B2B">
        <w:rPr>
          <w:rFonts w:ascii="Times New Roman" w:hAnsi="Times New Roman" w:cs="Times New Roman"/>
          <w:sz w:val="26"/>
          <w:szCs w:val="26"/>
        </w:rPr>
        <w:fldChar w:fldCharType="end"/>
      </w:r>
      <w:r w:rsidRPr="00AE1B2B">
        <w:rPr>
          <w:rFonts w:ascii="Times New Roman" w:hAnsi="Times New Roman" w:cs="Times New Roman"/>
          <w:sz w:val="26"/>
          <w:szCs w:val="26"/>
        </w:rPr>
        <w:t xml:space="preserve"> </w:t>
      </w:r>
    </w:p>
    <w:p w:rsidRPr="00AE1B2B" w:rsidR="009D3FB5" w:rsidP="00163B94" w:rsidRDefault="009D3FB5" w14:paraId="58CC3D12" w14:textId="77777777">
      <w:pPr>
        <w:pStyle w:val="Descripcin"/>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Costos económicos recurso humano CACMFJ, 2022</w:t>
      </w:r>
    </w:p>
    <w:tbl>
      <w:tblPr>
        <w:tblW w:w="5377" w:type="pct"/>
        <w:tblCellMar>
          <w:left w:w="70" w:type="dxa"/>
          <w:right w:w="70" w:type="dxa"/>
        </w:tblCellMar>
        <w:tblLook w:val="04A0" w:firstRow="1" w:lastRow="0" w:firstColumn="1" w:lastColumn="0" w:noHBand="0" w:noVBand="1"/>
      </w:tblPr>
      <w:tblGrid>
        <w:gridCol w:w="1130"/>
        <w:gridCol w:w="928"/>
        <w:gridCol w:w="1455"/>
        <w:gridCol w:w="1106"/>
        <w:gridCol w:w="1497"/>
        <w:gridCol w:w="874"/>
        <w:gridCol w:w="2723"/>
      </w:tblGrid>
      <w:tr w:rsidRPr="00AE1B2B" w:rsidR="00AE1B2B" w:rsidTr="009D3FB5" w14:paraId="07274E99" w14:textId="77777777">
        <w:trPr>
          <w:trHeight w:val="455"/>
        </w:trPr>
        <w:tc>
          <w:tcPr>
            <w:tcW w:w="1130" w:type="dxa"/>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2E4FB814"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Despacho</w:t>
            </w:r>
          </w:p>
        </w:tc>
        <w:tc>
          <w:tcPr>
            <w:tcW w:w="928" w:type="dxa"/>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43559741"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Cant</w:t>
            </w:r>
          </w:p>
        </w:tc>
        <w:tc>
          <w:tcPr>
            <w:tcW w:w="1455" w:type="dxa"/>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45987719"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Tipo de plaza</w:t>
            </w:r>
          </w:p>
        </w:tc>
        <w:tc>
          <w:tcPr>
            <w:tcW w:w="1191" w:type="dxa"/>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051DD5CC"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Condición actual</w:t>
            </w:r>
          </w:p>
        </w:tc>
        <w:tc>
          <w:tcPr>
            <w:tcW w:w="1143" w:type="dxa"/>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649FB32C"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Recomen-dación</w:t>
            </w:r>
          </w:p>
        </w:tc>
        <w:tc>
          <w:tcPr>
            <w:tcW w:w="923" w:type="dxa"/>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5DA98470"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Periodo</w:t>
            </w:r>
          </w:p>
        </w:tc>
        <w:tc>
          <w:tcPr>
            <w:tcW w:w="2723" w:type="dxa"/>
            <w:vMerge w:val="restart"/>
            <w:tcBorders>
              <w:top w:val="single" w:color="auto" w:sz="4" w:space="0"/>
              <w:left w:val="single" w:color="auto" w:sz="4" w:space="0"/>
              <w:bottom w:val="single" w:color="auto" w:sz="4" w:space="0"/>
              <w:right w:val="single" w:color="auto" w:sz="4" w:space="0"/>
            </w:tcBorders>
            <w:shd w:val="clear" w:color="000000" w:fill="002060"/>
            <w:vAlign w:val="center"/>
            <w:hideMark/>
          </w:tcPr>
          <w:p w:rsidRPr="00AE1B2B" w:rsidR="009D3FB5" w:rsidP="00163B94" w:rsidRDefault="009D3FB5" w14:paraId="4B4A9447"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Costo total para 2022</w:t>
            </w:r>
          </w:p>
        </w:tc>
      </w:tr>
      <w:tr w:rsidRPr="00AE1B2B" w:rsidR="00AE1B2B" w:rsidTr="009D3FB5" w14:paraId="617E5017" w14:textId="77777777">
        <w:trPr>
          <w:trHeight w:val="455"/>
        </w:trPr>
        <w:tc>
          <w:tcPr>
            <w:tcW w:w="1130" w:type="dxa"/>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09FEFF27" w14:textId="77777777">
            <w:pPr>
              <w:spacing w:before="120" w:after="120"/>
              <w:rPr>
                <w:rFonts w:ascii="Times New Roman" w:hAnsi="Times New Roman" w:eastAsia="Times New Roman" w:cs="Times New Roman"/>
                <w:b/>
                <w:bCs/>
                <w:lang w:eastAsia="es-CR"/>
              </w:rPr>
            </w:pPr>
          </w:p>
        </w:tc>
        <w:tc>
          <w:tcPr>
            <w:tcW w:w="928" w:type="dxa"/>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168F3E28" w14:textId="77777777">
            <w:pPr>
              <w:spacing w:before="120" w:after="120"/>
              <w:rPr>
                <w:rFonts w:ascii="Times New Roman" w:hAnsi="Times New Roman" w:eastAsia="Times New Roman" w:cs="Times New Roman"/>
                <w:b/>
                <w:bCs/>
                <w:lang w:eastAsia="es-CR"/>
              </w:rPr>
            </w:pPr>
          </w:p>
        </w:tc>
        <w:tc>
          <w:tcPr>
            <w:tcW w:w="1455" w:type="dxa"/>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105046D9" w14:textId="77777777">
            <w:pPr>
              <w:spacing w:before="120" w:after="120"/>
              <w:rPr>
                <w:rFonts w:ascii="Times New Roman" w:hAnsi="Times New Roman" w:eastAsia="Times New Roman" w:cs="Times New Roman"/>
                <w:b/>
                <w:bCs/>
                <w:lang w:eastAsia="es-CR"/>
              </w:rPr>
            </w:pPr>
          </w:p>
        </w:tc>
        <w:tc>
          <w:tcPr>
            <w:tcW w:w="1191" w:type="dxa"/>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72BA9CCA" w14:textId="77777777">
            <w:pPr>
              <w:spacing w:before="120" w:after="120"/>
              <w:rPr>
                <w:rFonts w:ascii="Times New Roman" w:hAnsi="Times New Roman" w:eastAsia="Times New Roman" w:cs="Times New Roman"/>
                <w:b/>
                <w:bCs/>
                <w:lang w:eastAsia="es-CR"/>
              </w:rPr>
            </w:pPr>
          </w:p>
        </w:tc>
        <w:tc>
          <w:tcPr>
            <w:tcW w:w="1143" w:type="dxa"/>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7C1DE6CB" w14:textId="77777777">
            <w:pPr>
              <w:spacing w:before="120" w:after="120"/>
              <w:rPr>
                <w:rFonts w:ascii="Times New Roman" w:hAnsi="Times New Roman" w:eastAsia="Times New Roman" w:cs="Times New Roman"/>
                <w:b/>
                <w:bCs/>
                <w:lang w:eastAsia="es-CR"/>
              </w:rPr>
            </w:pPr>
          </w:p>
        </w:tc>
        <w:tc>
          <w:tcPr>
            <w:tcW w:w="923" w:type="dxa"/>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222BEBDD" w14:textId="77777777">
            <w:pPr>
              <w:spacing w:before="120" w:after="120"/>
              <w:rPr>
                <w:rFonts w:ascii="Times New Roman" w:hAnsi="Times New Roman" w:eastAsia="Times New Roman" w:cs="Times New Roman"/>
                <w:b/>
                <w:bCs/>
                <w:lang w:eastAsia="es-CR"/>
              </w:rPr>
            </w:pPr>
          </w:p>
        </w:tc>
        <w:tc>
          <w:tcPr>
            <w:tcW w:w="2723" w:type="dxa"/>
            <w:vMerge/>
            <w:tcBorders>
              <w:top w:val="single" w:color="auto" w:sz="4" w:space="0"/>
              <w:left w:val="single" w:color="auto" w:sz="4" w:space="0"/>
              <w:bottom w:val="single" w:color="auto" w:sz="4" w:space="0"/>
              <w:right w:val="single" w:color="auto" w:sz="4" w:space="0"/>
            </w:tcBorders>
            <w:vAlign w:val="center"/>
            <w:hideMark/>
          </w:tcPr>
          <w:p w:rsidRPr="00AE1B2B" w:rsidR="009D3FB5" w:rsidP="00163B94" w:rsidRDefault="009D3FB5" w14:paraId="0A044957" w14:textId="77777777">
            <w:pPr>
              <w:spacing w:before="120" w:after="120"/>
              <w:rPr>
                <w:rFonts w:ascii="Times New Roman" w:hAnsi="Times New Roman" w:eastAsia="Times New Roman" w:cs="Times New Roman"/>
                <w:b/>
                <w:bCs/>
                <w:lang w:eastAsia="es-CR"/>
              </w:rPr>
            </w:pPr>
          </w:p>
        </w:tc>
      </w:tr>
      <w:tr w:rsidRPr="00AE1B2B" w:rsidR="00AE1B2B" w:rsidTr="009D3FB5" w14:paraId="165CE7D4" w14:textId="77777777">
        <w:trPr>
          <w:trHeight w:val="576"/>
        </w:trPr>
        <w:tc>
          <w:tcPr>
            <w:tcW w:w="1130" w:type="dxa"/>
            <w:vMerge w:val="restart"/>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5D3791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CACMFJ</w:t>
            </w:r>
          </w:p>
        </w:tc>
        <w:tc>
          <w:tcPr>
            <w:tcW w:w="928"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5CDA49E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1455"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3D5283EE"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Jueza o Juez 4 Gestor</w:t>
            </w:r>
          </w:p>
        </w:tc>
        <w:tc>
          <w:tcPr>
            <w:tcW w:w="1191"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19C06D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p>
        </w:tc>
        <w:tc>
          <w:tcPr>
            <w:tcW w:w="114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9BF6DF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Extraordinarias</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FE9E92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2022</w:t>
            </w:r>
          </w:p>
        </w:tc>
        <w:tc>
          <w:tcPr>
            <w:tcW w:w="27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BA364C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 59,053,000.00</w:t>
            </w:r>
          </w:p>
        </w:tc>
      </w:tr>
      <w:tr w:rsidRPr="00AE1B2B" w:rsidR="00AE1B2B" w:rsidTr="009D3FB5" w14:paraId="738D7021" w14:textId="77777777">
        <w:trPr>
          <w:trHeight w:val="864"/>
        </w:trPr>
        <w:tc>
          <w:tcPr>
            <w:tcW w:w="1130" w:type="dxa"/>
            <w:vMerge/>
            <w:tcBorders>
              <w:top w:val="nil"/>
              <w:left w:val="single" w:color="auto" w:sz="4" w:space="0"/>
              <w:bottom w:val="single" w:color="auto" w:sz="4" w:space="0"/>
              <w:right w:val="single" w:color="auto" w:sz="4" w:space="0"/>
            </w:tcBorders>
            <w:vAlign w:val="center"/>
            <w:hideMark/>
          </w:tcPr>
          <w:p w:rsidRPr="00AE1B2B" w:rsidR="009D3FB5" w:rsidP="00163B94" w:rsidRDefault="009D3FB5" w14:paraId="05366DD6" w14:textId="77777777">
            <w:pPr>
              <w:spacing w:before="120" w:after="120"/>
              <w:rPr>
                <w:rFonts w:ascii="Times New Roman" w:hAnsi="Times New Roman" w:eastAsia="Times New Roman" w:cs="Times New Roman"/>
                <w:lang w:eastAsia="es-CR"/>
              </w:rPr>
            </w:pPr>
          </w:p>
        </w:tc>
        <w:tc>
          <w:tcPr>
            <w:tcW w:w="928"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420589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1455"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7F3C5B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Técnica o Técnico Judicial 2</w:t>
            </w:r>
          </w:p>
        </w:tc>
        <w:tc>
          <w:tcPr>
            <w:tcW w:w="1191"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DF4D90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p>
        </w:tc>
        <w:tc>
          <w:tcPr>
            <w:tcW w:w="114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537537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Extraordinarias</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68AA9B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2022</w:t>
            </w:r>
          </w:p>
        </w:tc>
        <w:tc>
          <w:tcPr>
            <w:tcW w:w="27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09EB4D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 14,520,000.00</w:t>
            </w:r>
          </w:p>
        </w:tc>
      </w:tr>
      <w:tr w:rsidRPr="00AE1B2B" w:rsidR="00AE1B2B" w:rsidTr="009D3FB5" w14:paraId="2AC520BA" w14:textId="77777777">
        <w:trPr>
          <w:trHeight w:val="576"/>
        </w:trPr>
        <w:tc>
          <w:tcPr>
            <w:tcW w:w="1130" w:type="dxa"/>
            <w:vMerge/>
            <w:tcBorders>
              <w:top w:val="nil"/>
              <w:left w:val="single" w:color="auto" w:sz="4" w:space="0"/>
              <w:bottom w:val="single" w:color="auto" w:sz="4" w:space="0"/>
              <w:right w:val="single" w:color="auto" w:sz="4" w:space="0"/>
            </w:tcBorders>
            <w:vAlign w:val="center"/>
            <w:hideMark/>
          </w:tcPr>
          <w:p w:rsidRPr="00AE1B2B" w:rsidR="009D3FB5" w:rsidP="00163B94" w:rsidRDefault="009D3FB5" w14:paraId="141386C5" w14:textId="77777777">
            <w:pPr>
              <w:spacing w:before="120" w:after="120"/>
              <w:rPr>
                <w:rFonts w:ascii="Times New Roman" w:hAnsi="Times New Roman" w:eastAsia="Times New Roman" w:cs="Times New Roman"/>
                <w:lang w:eastAsia="es-CR"/>
              </w:rPr>
            </w:pPr>
          </w:p>
        </w:tc>
        <w:tc>
          <w:tcPr>
            <w:tcW w:w="928"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C25F2E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w:t>
            </w:r>
          </w:p>
        </w:tc>
        <w:tc>
          <w:tcPr>
            <w:tcW w:w="1455"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6E38E3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Profesional 2</w:t>
            </w:r>
          </w:p>
        </w:tc>
        <w:tc>
          <w:tcPr>
            <w:tcW w:w="1191"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2D46E3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p>
        </w:tc>
        <w:tc>
          <w:tcPr>
            <w:tcW w:w="114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A95D6D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Extraordinarias</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16047F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2022</w:t>
            </w:r>
          </w:p>
        </w:tc>
        <w:tc>
          <w:tcPr>
            <w:tcW w:w="27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5B6396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 35,314,000.00</w:t>
            </w:r>
          </w:p>
        </w:tc>
      </w:tr>
      <w:tr w:rsidRPr="00AE1B2B" w:rsidR="00AE1B2B" w:rsidTr="009D3FB5" w14:paraId="345546EF" w14:textId="77777777">
        <w:trPr>
          <w:trHeight w:val="576"/>
        </w:trPr>
        <w:tc>
          <w:tcPr>
            <w:tcW w:w="1130" w:type="dxa"/>
            <w:vMerge/>
            <w:tcBorders>
              <w:top w:val="nil"/>
              <w:left w:val="single" w:color="auto" w:sz="4" w:space="0"/>
              <w:bottom w:val="single" w:color="auto" w:sz="4" w:space="0"/>
              <w:right w:val="single" w:color="auto" w:sz="4" w:space="0"/>
            </w:tcBorders>
            <w:vAlign w:val="center"/>
            <w:hideMark/>
          </w:tcPr>
          <w:p w:rsidRPr="00AE1B2B" w:rsidR="009D3FB5" w:rsidP="00163B94" w:rsidRDefault="009D3FB5" w14:paraId="67854028" w14:textId="77777777">
            <w:pPr>
              <w:spacing w:before="120" w:after="120"/>
              <w:rPr>
                <w:rFonts w:ascii="Times New Roman" w:hAnsi="Times New Roman" w:eastAsia="Times New Roman" w:cs="Times New Roman"/>
                <w:lang w:eastAsia="es-CR"/>
              </w:rPr>
            </w:pPr>
          </w:p>
        </w:tc>
        <w:tc>
          <w:tcPr>
            <w:tcW w:w="928"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DFB2E6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4</w:t>
            </w:r>
          </w:p>
        </w:tc>
        <w:tc>
          <w:tcPr>
            <w:tcW w:w="1455"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82FE02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Jueza o Juez 3</w:t>
            </w:r>
          </w:p>
        </w:tc>
        <w:tc>
          <w:tcPr>
            <w:tcW w:w="1191"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FB76E5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p>
        </w:tc>
        <w:tc>
          <w:tcPr>
            <w:tcW w:w="114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B10091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Extraordinarias</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138C3BE"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2022</w:t>
            </w:r>
          </w:p>
        </w:tc>
        <w:tc>
          <w:tcPr>
            <w:tcW w:w="27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9BA1F7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 218,864,000.00</w:t>
            </w:r>
          </w:p>
        </w:tc>
      </w:tr>
      <w:tr w:rsidRPr="00AE1B2B" w:rsidR="00AE1B2B" w:rsidTr="009D3FB5" w14:paraId="18915970" w14:textId="77777777">
        <w:trPr>
          <w:trHeight w:val="288"/>
        </w:trPr>
        <w:tc>
          <w:tcPr>
            <w:tcW w:w="1130" w:type="dxa"/>
            <w:tcBorders>
              <w:top w:val="nil"/>
              <w:left w:val="single" w:color="auto" w:sz="4" w:space="0"/>
              <w:bottom w:val="single" w:color="auto" w:sz="4" w:space="0"/>
              <w:right w:val="single" w:color="auto" w:sz="4" w:space="0"/>
            </w:tcBorders>
            <w:shd w:val="clear" w:color="auto" w:fill="auto"/>
            <w:noWrap/>
            <w:vAlign w:val="center"/>
            <w:hideMark/>
          </w:tcPr>
          <w:p w:rsidRPr="00AE1B2B" w:rsidR="009D3FB5" w:rsidP="00163B94" w:rsidRDefault="009D3FB5" w14:paraId="468F1597"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Total</w:t>
            </w:r>
          </w:p>
        </w:tc>
        <w:tc>
          <w:tcPr>
            <w:tcW w:w="928"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7A3C28BB"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7</w:t>
            </w:r>
          </w:p>
        </w:tc>
        <w:tc>
          <w:tcPr>
            <w:tcW w:w="4712" w:type="dxa"/>
            <w:gridSpan w:val="4"/>
            <w:tcBorders>
              <w:top w:val="single" w:color="auto" w:sz="4" w:space="0"/>
              <w:left w:val="nil"/>
              <w:bottom w:val="single" w:color="auto" w:sz="4" w:space="0"/>
              <w:right w:val="single" w:color="auto" w:sz="4" w:space="0"/>
            </w:tcBorders>
            <w:shd w:val="clear" w:color="auto" w:fill="auto"/>
            <w:noWrap/>
            <w:vAlign w:val="center"/>
            <w:hideMark/>
          </w:tcPr>
          <w:p w:rsidRPr="00AE1B2B" w:rsidR="009D3FB5" w:rsidP="00163B94" w:rsidRDefault="009D3FB5" w14:paraId="70F376D5"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w:t>
            </w:r>
          </w:p>
        </w:tc>
        <w:tc>
          <w:tcPr>
            <w:tcW w:w="2723" w:type="dxa"/>
            <w:tcBorders>
              <w:top w:val="nil"/>
              <w:left w:val="nil"/>
              <w:bottom w:val="single" w:color="auto" w:sz="4" w:space="0"/>
              <w:right w:val="single" w:color="auto" w:sz="4" w:space="0"/>
            </w:tcBorders>
            <w:shd w:val="clear" w:color="auto" w:fill="auto"/>
            <w:noWrap/>
            <w:vAlign w:val="center"/>
            <w:hideMark/>
          </w:tcPr>
          <w:p w:rsidRPr="00AE1B2B" w:rsidR="009D3FB5" w:rsidP="00163B94" w:rsidRDefault="009D3FB5" w14:paraId="4722AE9B"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xml:space="preserve"> ₡ 327,751,000.00</w:t>
            </w:r>
          </w:p>
        </w:tc>
      </w:tr>
    </w:tbl>
    <w:p w:rsidRPr="00AE1B2B" w:rsidR="009D3FB5" w:rsidP="00163B94" w:rsidRDefault="009D3FB5" w14:paraId="1B20CB19"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t>Fuente: Subproceso de Modernización Institucional.</w:t>
      </w:r>
    </w:p>
    <w:p w:rsidRPr="00AE1B2B" w:rsidR="009D3FB5" w:rsidP="00163B94" w:rsidRDefault="009D3FB5" w14:paraId="541C346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91347B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costos totales estimados por concepto de recurso humano para el CACMFJ por 22 es de ₡ 327,751,000.00</w:t>
      </w:r>
    </w:p>
    <w:p w:rsidRPr="00AE1B2B" w:rsidR="009D3FB5" w:rsidP="00163B94" w:rsidRDefault="009D3FB5" w14:paraId="53B2C0F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BA2D31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0894578" w14:textId="77777777">
      <w:pPr>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Gastos variables programa 927:</w:t>
      </w:r>
    </w:p>
    <w:p w:rsidRPr="00AE1B2B" w:rsidR="009D3FB5" w:rsidP="00163B94" w:rsidRDefault="009D3FB5" w14:paraId="2D3AC8D6" w14:textId="77777777">
      <w:pPr>
        <w:spacing w:before="120" w:after="120"/>
        <w:ind w:left="851" w:right="851" w:firstLine="709"/>
        <w:jc w:val="both"/>
        <w:rPr>
          <w:rFonts w:ascii="Times New Roman" w:hAnsi="Times New Roman" w:eastAsia="Times New Roman" w:cs="Times New Roman"/>
          <w:sz w:val="26"/>
          <w:szCs w:val="26"/>
          <w:lang w:eastAsia="es-CR"/>
        </w:rPr>
      </w:pPr>
      <w:r w:rsidRPr="00AE1B2B">
        <w:rPr>
          <w:rFonts w:ascii="Times New Roman" w:hAnsi="Times New Roman" w:cs="Times New Roman"/>
          <w:sz w:val="26"/>
          <w:szCs w:val="26"/>
        </w:rPr>
        <w:lastRenderedPageBreak/>
        <w:t xml:space="preserve">La Dirección Ejecutiva estima el gasto variable (equipo y mobiliario de oficina) para las plazas nuevas en </w:t>
      </w:r>
      <w:r w:rsidRPr="00AE1B2B">
        <w:rPr>
          <w:rFonts w:ascii="Times New Roman" w:hAnsi="Times New Roman" w:eastAsia="Times New Roman" w:cs="Times New Roman"/>
          <w:sz w:val="26"/>
          <w:szCs w:val="26"/>
          <w:lang w:eastAsia="es-CR"/>
        </w:rPr>
        <w:t>₡</w:t>
      </w:r>
      <w:r w:rsidRPr="00AE1B2B">
        <w:rPr>
          <w:rFonts w:ascii="Times New Roman" w:hAnsi="Times New Roman" w:cs="Times New Roman"/>
          <w:sz w:val="26"/>
          <w:szCs w:val="26"/>
        </w:rPr>
        <w:t xml:space="preserve"> 3,507,664.00</w:t>
      </w:r>
    </w:p>
    <w:p w:rsidRPr="00AE1B2B" w:rsidR="009D3FB5" w:rsidP="00163B94" w:rsidRDefault="009D3FB5" w14:paraId="4337951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65F15B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Capacitación-Programa 927</w:t>
      </w:r>
    </w:p>
    <w:p w:rsidRPr="00AE1B2B" w:rsidR="009D3FB5" w:rsidP="00163B94" w:rsidRDefault="009D3FB5" w14:paraId="48D0EFC9" w14:textId="77777777">
      <w:pPr>
        <w:spacing w:before="120" w:after="120"/>
        <w:ind w:left="851" w:right="851" w:firstLine="709"/>
        <w:jc w:val="both"/>
        <w:rPr>
          <w:rFonts w:ascii="Times New Roman" w:hAnsi="Times New Roman" w:eastAsia="Times New Roman" w:cs="Times New Roman"/>
          <w:sz w:val="26"/>
          <w:szCs w:val="26"/>
          <w:lang w:eastAsia="es-CR"/>
        </w:rPr>
      </w:pPr>
      <w:r w:rsidRPr="00AE1B2B">
        <w:rPr>
          <w:rFonts w:ascii="Times New Roman" w:hAnsi="Times New Roman" w:cs="Times New Roman"/>
          <w:sz w:val="26"/>
          <w:szCs w:val="26"/>
        </w:rPr>
        <w:t>En la partida de suplencias la Escuela Judicial estimó el costo el ₡ 84,250,000.00</w:t>
      </w:r>
    </w:p>
    <w:p w:rsidRPr="00AE1B2B" w:rsidR="009D3FB5" w:rsidP="00163B94" w:rsidRDefault="009D3FB5" w14:paraId="128BD7D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9E473E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C3F371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032375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Resumen de costos para el 2022 de la implementación del Código Procesal de Familia</w:t>
      </w:r>
    </w:p>
    <w:p w:rsidRPr="00AE1B2B" w:rsidR="009D3FB5" w:rsidP="00163B94" w:rsidRDefault="009D3FB5" w14:paraId="3181DC5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DEF10B5" w14:textId="77777777">
      <w:pPr>
        <w:pStyle w:val="Descripcin"/>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68</w:t>
      </w:r>
      <w:r w:rsidRPr="00AE1B2B">
        <w:rPr>
          <w:rFonts w:ascii="Times New Roman" w:hAnsi="Times New Roman" w:cs="Times New Roman"/>
          <w:sz w:val="26"/>
          <w:szCs w:val="26"/>
        </w:rPr>
        <w:fldChar w:fldCharType="end"/>
      </w:r>
      <w:r w:rsidRPr="00AE1B2B">
        <w:rPr>
          <w:rFonts w:ascii="Times New Roman" w:hAnsi="Times New Roman" w:cs="Times New Roman"/>
          <w:sz w:val="26"/>
          <w:szCs w:val="26"/>
        </w:rPr>
        <w:t xml:space="preserve"> </w:t>
      </w:r>
    </w:p>
    <w:p w:rsidRPr="00AE1B2B" w:rsidR="009D3FB5" w:rsidP="00163B94" w:rsidRDefault="009D3FB5" w14:paraId="3760C972" w14:textId="77777777">
      <w:pPr>
        <w:pStyle w:val="Descripcin"/>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Costos económicos asociados al CPF, 2022</w:t>
      </w:r>
    </w:p>
    <w:p w:rsidRPr="00AE1B2B" w:rsidR="009D3FB5" w:rsidP="00163B94" w:rsidRDefault="009D3FB5" w14:paraId="171CDE27" w14:textId="77777777">
      <w:pPr>
        <w:pStyle w:val="Fuentes"/>
        <w:spacing w:before="120" w:after="120"/>
        <w:rPr>
          <w:rFonts w:ascii="Times New Roman" w:hAnsi="Times New Roman" w:cs="Times New Roman"/>
        </w:rPr>
      </w:pPr>
    </w:p>
    <w:tbl>
      <w:tblPr>
        <w:tblW w:w="9871" w:type="dxa"/>
        <w:jc w:val="center"/>
        <w:tblCellMar>
          <w:left w:w="70" w:type="dxa"/>
          <w:right w:w="70" w:type="dxa"/>
        </w:tblCellMar>
        <w:tblLook w:val="04A0" w:firstRow="1" w:lastRow="0" w:firstColumn="1" w:lastColumn="0" w:noHBand="0" w:noVBand="1"/>
      </w:tblPr>
      <w:tblGrid>
        <w:gridCol w:w="4531"/>
        <w:gridCol w:w="1780"/>
        <w:gridCol w:w="1780"/>
        <w:gridCol w:w="1780"/>
      </w:tblGrid>
      <w:tr w:rsidRPr="00AE1B2B" w:rsidR="00AE1B2B" w:rsidTr="009D3FB5" w14:paraId="1DE0B7C8" w14:textId="77777777">
        <w:trPr>
          <w:trHeight w:val="288"/>
          <w:jc w:val="center"/>
        </w:trPr>
        <w:tc>
          <w:tcPr>
            <w:tcW w:w="4531" w:type="dxa"/>
            <w:tcBorders>
              <w:top w:val="single" w:color="auto" w:sz="4" w:space="0"/>
              <w:left w:val="single" w:color="auto" w:sz="4" w:space="0"/>
              <w:bottom w:val="single" w:color="auto" w:sz="4" w:space="0"/>
              <w:right w:val="single" w:color="auto" w:sz="4" w:space="0"/>
            </w:tcBorders>
            <w:shd w:val="clear" w:color="000000" w:fill="0070C0"/>
            <w:noWrap/>
            <w:vAlign w:val="bottom"/>
            <w:hideMark/>
          </w:tcPr>
          <w:p w:rsidRPr="00AE1B2B" w:rsidR="009D3FB5" w:rsidP="00163B94" w:rsidRDefault="009D3FB5" w14:paraId="49833970"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Requerimiento</w:t>
            </w:r>
          </w:p>
        </w:tc>
        <w:tc>
          <w:tcPr>
            <w:tcW w:w="1780" w:type="dxa"/>
            <w:tcBorders>
              <w:top w:val="single" w:color="auto" w:sz="4" w:space="0"/>
              <w:left w:val="nil"/>
              <w:bottom w:val="single" w:color="auto" w:sz="4" w:space="0"/>
              <w:right w:val="single" w:color="auto" w:sz="4" w:space="0"/>
            </w:tcBorders>
            <w:shd w:val="clear" w:color="000000" w:fill="0070C0"/>
            <w:vAlign w:val="center"/>
            <w:hideMark/>
          </w:tcPr>
          <w:p w:rsidRPr="00AE1B2B" w:rsidR="009D3FB5" w:rsidP="00163B94" w:rsidRDefault="009D3FB5" w14:paraId="4A3F4B2A"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Programa 926</w:t>
            </w:r>
          </w:p>
        </w:tc>
        <w:tc>
          <w:tcPr>
            <w:tcW w:w="1780" w:type="dxa"/>
            <w:tcBorders>
              <w:top w:val="single" w:color="auto" w:sz="4" w:space="0"/>
              <w:left w:val="nil"/>
              <w:bottom w:val="single" w:color="auto" w:sz="4" w:space="0"/>
              <w:right w:val="single" w:color="auto" w:sz="4" w:space="0"/>
            </w:tcBorders>
            <w:shd w:val="clear" w:color="000000" w:fill="0070C0"/>
            <w:vAlign w:val="center"/>
            <w:hideMark/>
          </w:tcPr>
          <w:p w:rsidRPr="00AE1B2B" w:rsidR="009D3FB5" w:rsidP="00163B94" w:rsidRDefault="009D3FB5" w14:paraId="79335D0D"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Programa 927</w:t>
            </w:r>
          </w:p>
        </w:tc>
        <w:tc>
          <w:tcPr>
            <w:tcW w:w="1780" w:type="dxa"/>
            <w:tcBorders>
              <w:top w:val="single" w:color="auto" w:sz="4" w:space="0"/>
              <w:left w:val="nil"/>
              <w:bottom w:val="single" w:color="auto" w:sz="4" w:space="0"/>
              <w:right w:val="single" w:color="auto" w:sz="4" w:space="0"/>
            </w:tcBorders>
            <w:shd w:val="clear" w:color="000000" w:fill="0070C0"/>
            <w:noWrap/>
            <w:vAlign w:val="bottom"/>
            <w:hideMark/>
          </w:tcPr>
          <w:p w:rsidRPr="00AE1B2B" w:rsidR="009D3FB5" w:rsidP="00163B94" w:rsidRDefault="009D3FB5" w14:paraId="4285B0E9"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Subtotal</w:t>
            </w:r>
          </w:p>
        </w:tc>
      </w:tr>
      <w:tr w:rsidRPr="00AE1B2B" w:rsidR="00AE1B2B" w:rsidTr="009D3FB5" w14:paraId="24C99BB0" w14:textId="77777777">
        <w:trPr>
          <w:trHeight w:val="444"/>
          <w:jc w:val="center"/>
        </w:trPr>
        <w:tc>
          <w:tcPr>
            <w:tcW w:w="4531"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50F7450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Recurso humano plazas extraordinarias</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920016C" w14:textId="77777777">
            <w:pPr>
              <w:spacing w:before="120" w:after="120"/>
              <w:jc w:val="center"/>
              <w:rPr>
                <w:rFonts w:ascii="Times New Roman" w:hAnsi="Times New Roman" w:eastAsia="Times New Roman" w:cs="Times New Roman"/>
                <w:lang w:eastAsia="es-CR"/>
              </w:rPr>
            </w:pP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BE36AF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369,401,750.00</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E8A902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369,401,750.00</w:t>
            </w:r>
          </w:p>
        </w:tc>
      </w:tr>
      <w:tr w:rsidRPr="00AE1B2B" w:rsidR="00AE1B2B" w:rsidTr="009D3FB5" w14:paraId="00D400B5" w14:textId="77777777">
        <w:trPr>
          <w:trHeight w:val="564"/>
          <w:jc w:val="center"/>
        </w:trPr>
        <w:tc>
          <w:tcPr>
            <w:tcW w:w="4531"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5666F4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Suplencias para capacitación-Escuela Judicial</w:t>
            </w:r>
          </w:p>
        </w:tc>
        <w:tc>
          <w:tcPr>
            <w:tcW w:w="1780"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5C8B7F0" w14:textId="77777777">
            <w:pPr>
              <w:spacing w:before="120" w:after="120"/>
              <w:jc w:val="center"/>
              <w:rPr>
                <w:rFonts w:ascii="Times New Roman" w:hAnsi="Times New Roman" w:eastAsia="Times New Roman" w:cs="Times New Roman"/>
                <w:lang w:eastAsia="es-CR"/>
              </w:rPr>
            </w:pPr>
          </w:p>
        </w:tc>
        <w:tc>
          <w:tcPr>
            <w:tcW w:w="1780"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045394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84,250,000.00</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AB3DA8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84,250,000.00</w:t>
            </w:r>
          </w:p>
        </w:tc>
      </w:tr>
      <w:tr w:rsidRPr="00AE1B2B" w:rsidR="00AE1B2B" w:rsidTr="009D3FB5" w14:paraId="1F5BFD7A" w14:textId="77777777">
        <w:trPr>
          <w:trHeight w:val="576"/>
          <w:jc w:val="center"/>
        </w:trPr>
        <w:tc>
          <w:tcPr>
            <w:tcW w:w="4531"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02BDD0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2.99.03 Productos de papel, cartón e impresos-Dirección Ejecutiva</w:t>
            </w:r>
          </w:p>
        </w:tc>
        <w:tc>
          <w:tcPr>
            <w:tcW w:w="1780"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DCBDF2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70,000.00</w:t>
            </w:r>
          </w:p>
        </w:tc>
        <w:tc>
          <w:tcPr>
            <w:tcW w:w="1780"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13D3056" w14:textId="77777777">
            <w:pPr>
              <w:spacing w:before="120" w:after="120"/>
              <w:jc w:val="center"/>
              <w:rPr>
                <w:rFonts w:ascii="Times New Roman" w:hAnsi="Times New Roman" w:eastAsia="Times New Roman" w:cs="Times New Roman"/>
                <w:lang w:eastAsia="es-CR"/>
              </w:rPr>
            </w:pP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3744A8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70,000.00</w:t>
            </w:r>
          </w:p>
        </w:tc>
      </w:tr>
      <w:tr w:rsidRPr="00AE1B2B" w:rsidR="00AE1B2B" w:rsidTr="009D3FB5" w14:paraId="01907C01" w14:textId="77777777">
        <w:trPr>
          <w:trHeight w:val="576"/>
          <w:jc w:val="center"/>
        </w:trPr>
        <w:tc>
          <w:tcPr>
            <w:tcW w:w="4531"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2718026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2.99.99 Otros útiles, materiales y suministros diversos-Dirección Ejecutiva</w:t>
            </w:r>
          </w:p>
        </w:tc>
        <w:tc>
          <w:tcPr>
            <w:tcW w:w="1780"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F20A4B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572,250.00</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25B2FDD" w14:textId="77777777">
            <w:pPr>
              <w:spacing w:before="120" w:after="120"/>
              <w:jc w:val="center"/>
              <w:rPr>
                <w:rFonts w:ascii="Times New Roman" w:hAnsi="Times New Roman" w:eastAsia="Times New Roman" w:cs="Times New Roman"/>
                <w:lang w:eastAsia="es-CR"/>
              </w:rPr>
            </w:pP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F47D3A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572,250.00</w:t>
            </w:r>
          </w:p>
        </w:tc>
      </w:tr>
      <w:tr w:rsidRPr="00AE1B2B" w:rsidR="00AE1B2B" w:rsidTr="009D3FB5" w14:paraId="3B47B807" w14:textId="77777777">
        <w:trPr>
          <w:trHeight w:val="576"/>
          <w:jc w:val="center"/>
        </w:trPr>
        <w:tc>
          <w:tcPr>
            <w:tcW w:w="4531"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EF1E8F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5.01.04 Equipo y mobiliario de oficina -Dirección Ejecutiva</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183F559" w14:textId="77777777">
            <w:pPr>
              <w:spacing w:before="120" w:after="120"/>
              <w:jc w:val="center"/>
              <w:rPr>
                <w:rFonts w:ascii="Times New Roman" w:hAnsi="Times New Roman" w:eastAsia="Times New Roman" w:cs="Times New Roman"/>
                <w:lang w:eastAsia="es-CR"/>
              </w:rPr>
            </w:pP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E68289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3,507,664.00</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CEA158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3,507,664.00</w:t>
            </w:r>
          </w:p>
        </w:tc>
      </w:tr>
      <w:tr w:rsidRPr="00AE1B2B" w:rsidR="00AE1B2B" w:rsidTr="009D3FB5" w14:paraId="041DAF95" w14:textId="77777777">
        <w:trPr>
          <w:trHeight w:val="576"/>
          <w:jc w:val="center"/>
        </w:trPr>
        <w:tc>
          <w:tcPr>
            <w:tcW w:w="4531"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96BA70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Equipo de cómputo y licencias -Dirección de Tecnología de la Información </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1F2AFA0" w14:textId="77777777">
            <w:pPr>
              <w:spacing w:before="120" w:after="120"/>
              <w:jc w:val="center"/>
              <w:rPr>
                <w:rFonts w:ascii="Times New Roman" w:hAnsi="Times New Roman" w:eastAsia="Times New Roman" w:cs="Times New Roman"/>
                <w:lang w:eastAsia="es-CR"/>
              </w:rPr>
            </w:pP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64853E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5,886,644.60</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FC8C44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5,886,644.60</w:t>
            </w:r>
          </w:p>
        </w:tc>
      </w:tr>
      <w:tr w:rsidRPr="00AE1B2B" w:rsidR="00AE1B2B" w:rsidTr="009D3FB5" w14:paraId="20AC95F1" w14:textId="77777777">
        <w:trPr>
          <w:trHeight w:val="576"/>
          <w:jc w:val="center"/>
        </w:trPr>
        <w:tc>
          <w:tcPr>
            <w:tcW w:w="4531"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01E5A30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Desarrollo página web de la Comisión de Familia -Dirección de Tecnología de la Información</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1AAEF7F" w14:textId="77777777">
            <w:pPr>
              <w:spacing w:before="120" w:after="120"/>
              <w:jc w:val="center"/>
              <w:rPr>
                <w:rFonts w:ascii="Times New Roman" w:hAnsi="Times New Roman" w:eastAsia="Times New Roman" w:cs="Times New Roman"/>
                <w:lang w:eastAsia="es-CR"/>
              </w:rPr>
            </w:pP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5B2B35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15,000,000.00</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396865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15,000,000.00</w:t>
            </w:r>
          </w:p>
        </w:tc>
      </w:tr>
      <w:tr w:rsidRPr="00AE1B2B" w:rsidR="00AE1B2B" w:rsidTr="009D3FB5" w14:paraId="1D6201EF" w14:textId="77777777">
        <w:trPr>
          <w:trHeight w:val="492"/>
          <w:jc w:val="center"/>
        </w:trPr>
        <w:tc>
          <w:tcPr>
            <w:tcW w:w="4531"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8010C5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Pago de peritajes-Departamento de Trabajo Social</w:t>
            </w:r>
          </w:p>
        </w:tc>
        <w:tc>
          <w:tcPr>
            <w:tcW w:w="1780"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B42BAD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30,000,000.00</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A05EEFE" w14:textId="77777777">
            <w:pPr>
              <w:spacing w:before="120" w:after="120"/>
              <w:jc w:val="center"/>
              <w:rPr>
                <w:rFonts w:ascii="Times New Roman" w:hAnsi="Times New Roman" w:eastAsia="Times New Roman" w:cs="Times New Roman"/>
                <w:lang w:eastAsia="es-CR"/>
              </w:rPr>
            </w:pP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0AE64E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30,000,000.00</w:t>
            </w:r>
          </w:p>
        </w:tc>
      </w:tr>
      <w:tr w:rsidRPr="00AE1B2B" w:rsidR="00AE1B2B" w:rsidTr="009D3FB5" w14:paraId="1B3304F7" w14:textId="77777777">
        <w:trPr>
          <w:trHeight w:val="288"/>
          <w:jc w:val="center"/>
        </w:trPr>
        <w:tc>
          <w:tcPr>
            <w:tcW w:w="4531" w:type="dxa"/>
            <w:tcBorders>
              <w:top w:val="nil"/>
              <w:left w:val="single" w:color="auto" w:sz="4" w:space="0"/>
              <w:bottom w:val="single" w:color="auto" w:sz="4" w:space="0"/>
              <w:right w:val="single" w:color="auto" w:sz="4" w:space="0"/>
            </w:tcBorders>
            <w:shd w:val="clear" w:color="000000" w:fill="DDEBF7"/>
            <w:vAlign w:val="center"/>
            <w:hideMark/>
          </w:tcPr>
          <w:p w:rsidRPr="00AE1B2B" w:rsidR="009D3FB5" w:rsidP="00163B94" w:rsidRDefault="009D3FB5" w14:paraId="53F0E5A5"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Total</w:t>
            </w:r>
          </w:p>
        </w:tc>
        <w:tc>
          <w:tcPr>
            <w:tcW w:w="1780" w:type="dxa"/>
            <w:tcBorders>
              <w:top w:val="nil"/>
              <w:left w:val="nil"/>
              <w:bottom w:val="single" w:color="auto" w:sz="4" w:space="0"/>
              <w:right w:val="single" w:color="auto" w:sz="4" w:space="0"/>
            </w:tcBorders>
            <w:shd w:val="clear" w:color="000000" w:fill="DDEBF7"/>
            <w:vAlign w:val="center"/>
            <w:hideMark/>
          </w:tcPr>
          <w:p w:rsidRPr="00AE1B2B" w:rsidR="009D3FB5" w:rsidP="00163B94" w:rsidRDefault="009D3FB5" w14:paraId="5BA6D124"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30,642,250.00</w:t>
            </w:r>
          </w:p>
        </w:tc>
        <w:tc>
          <w:tcPr>
            <w:tcW w:w="1780" w:type="dxa"/>
            <w:tcBorders>
              <w:top w:val="nil"/>
              <w:left w:val="nil"/>
              <w:bottom w:val="single" w:color="auto" w:sz="4" w:space="0"/>
              <w:right w:val="single" w:color="auto" w:sz="4" w:space="0"/>
            </w:tcBorders>
            <w:shd w:val="clear" w:color="000000" w:fill="DDEBF7"/>
            <w:vAlign w:val="center"/>
            <w:hideMark/>
          </w:tcPr>
          <w:p w:rsidRPr="00AE1B2B" w:rsidR="009D3FB5" w:rsidP="00163B94" w:rsidRDefault="009D3FB5" w14:paraId="29B248FE"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₡478,046,058.60</w:t>
            </w:r>
          </w:p>
        </w:tc>
        <w:tc>
          <w:tcPr>
            <w:tcW w:w="1780" w:type="dxa"/>
            <w:tcBorders>
              <w:top w:val="nil"/>
              <w:left w:val="nil"/>
              <w:bottom w:val="single" w:color="auto" w:sz="4" w:space="0"/>
              <w:right w:val="single" w:color="auto" w:sz="4" w:space="0"/>
            </w:tcBorders>
            <w:shd w:val="clear" w:color="000000" w:fill="DDEBF7"/>
            <w:vAlign w:val="center"/>
            <w:hideMark/>
          </w:tcPr>
          <w:p w:rsidRPr="00AE1B2B" w:rsidR="009D3FB5" w:rsidP="00163B94" w:rsidRDefault="009D3FB5" w14:paraId="37A6F5DE"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₡508,688,308.60</w:t>
            </w:r>
          </w:p>
        </w:tc>
      </w:tr>
    </w:tbl>
    <w:p w:rsidRPr="00AE1B2B" w:rsidR="009D3FB5" w:rsidP="00163B94" w:rsidRDefault="009D3FB5" w14:paraId="0F523DDE" w14:textId="77777777">
      <w:pPr>
        <w:pStyle w:val="Fuentes"/>
        <w:spacing w:before="120" w:after="120"/>
        <w:rPr>
          <w:rFonts w:ascii="Times New Roman" w:hAnsi="Times New Roman" w:cs="Times New Roman"/>
        </w:rPr>
      </w:pPr>
    </w:p>
    <w:p w:rsidRPr="00AE1B2B" w:rsidR="009D3FB5" w:rsidP="00163B94" w:rsidRDefault="009D3FB5" w14:paraId="611C21B9"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sz w:val="26"/>
          <w:szCs w:val="26"/>
        </w:rPr>
        <w:lastRenderedPageBreak/>
        <w:t xml:space="preserve"> Fuente: Subproceso de Modernización Institucional.</w:t>
      </w:r>
    </w:p>
    <w:p w:rsidRPr="00AE1B2B" w:rsidR="009D3FB5" w:rsidP="00163B94" w:rsidRDefault="009D3FB5" w14:paraId="0F46994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2727E2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Como se observa del cuadro anterior, e costo total para el 2022 de implementar la Ley 9747 es de ₡508,688,308.60.</w:t>
      </w:r>
    </w:p>
    <w:p w:rsidRPr="00AE1B2B" w:rsidR="009D3FB5" w:rsidP="00163B94" w:rsidRDefault="009D3FB5" w14:paraId="1D5D62D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2A5F4C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3AC36E1" w14:textId="5F7D7687">
      <w:pPr>
        <w:pStyle w:val="Prrafodelista"/>
        <w:numPr>
          <w:ilvl w:val="0"/>
          <w:numId w:val="144"/>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Limitaciones</w:t>
      </w:r>
    </w:p>
    <w:p w:rsidRPr="00AE1B2B" w:rsidR="009D3FB5" w:rsidP="00163B94" w:rsidRDefault="009D3FB5" w14:paraId="10C2459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7F52C6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continuación, se presentan las principales limitaciones identificadas durante el estudio del impacto del Código Procesal de Familia:</w:t>
      </w:r>
    </w:p>
    <w:p w:rsidRPr="00AE1B2B" w:rsidR="009D3FB5" w:rsidP="00163B94" w:rsidRDefault="009D3FB5" w14:paraId="63B5C7E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FC3E51A" w14:textId="77777777">
      <w:pPr>
        <w:pStyle w:val="Prrafodelista"/>
        <w:numPr>
          <w:ilvl w:val="0"/>
          <w:numId w:val="67"/>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Aunque se estima el posible impacto de la desjudicialización de procesos con el CPF sobre los despachos judiciales competentes en la materia, actualmente no se cuentan con datos exactos a nivel estadístico para determinar la cantidad de caso de los divorcios o separaciones judiciales por mutuo consentimiento (para aquellos casos donde no existan hijos o hijas menores de edad y no existiera referencia a bienes), de igual forma, las adopciones registradas en los datos estadísticos no especifican el tipo de persona involucrada (mayor o menor de edad).</w:t>
      </w:r>
    </w:p>
    <w:p w:rsidRPr="00AE1B2B" w:rsidR="009D3FB5" w:rsidP="00163B94" w:rsidRDefault="009D3FB5" w14:paraId="29390903" w14:textId="77777777">
      <w:pPr>
        <w:pStyle w:val="Prrafodelista"/>
        <w:numPr>
          <w:ilvl w:val="0"/>
          <w:numId w:val="67"/>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La recalificación de plazas de Auxiliar de Servicios Generales a Técnica o Técnico Judicial es una limitante, ya que, según criterio de la Dirección Ejecutiva, para poder realizar esto se debe considerar la contratación de Servicios de Limpieza, de la subpartida 1.04.06 “Servicios Generales”, la cual de momento se encuentra restringida por el aumento del Impuesto al Valor Agregado (IVA) en estos servicios.</w:t>
      </w:r>
    </w:p>
    <w:p w:rsidRPr="00AE1B2B" w:rsidR="009D3FB5" w:rsidP="00163B94" w:rsidRDefault="009D3FB5" w14:paraId="0C1B8784" w14:textId="77777777">
      <w:pPr>
        <w:pStyle w:val="Prrafodelista"/>
        <w:numPr>
          <w:ilvl w:val="0"/>
          <w:numId w:val="67"/>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Se prevé que con la entrada del nuevo Código Procesal de Familia se reduzca la intervención en el trámite de los expedientes que actualmente tienen el personal técnico judicial debido a que, con el sistema por audiencias, muchas de las gestiones actualmente resueltas por medio de resolución interlocutoria, se resolverán en la audiencia inicial por la persona juzgadora. Esta situación disminuirá también la cantidad de notificaciones que se realicen, pero con la información disponible a la fecha no se puede estimar esta disminución. </w:t>
      </w:r>
    </w:p>
    <w:p w:rsidRPr="00AE1B2B" w:rsidR="009D3FB5" w:rsidP="00163B94" w:rsidRDefault="009D3FB5" w14:paraId="172A9B1D" w14:textId="77777777">
      <w:pPr>
        <w:pStyle w:val="Prrafodelista"/>
        <w:numPr>
          <w:ilvl w:val="0"/>
          <w:numId w:val="67"/>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Dentro de los costos identificados del Código Procesal de Familia, no se incluye ninguna suma para la creación de plazas de </w:t>
      </w:r>
      <w:r w:rsidRPr="00AE1B2B">
        <w:rPr>
          <w:rFonts w:ascii="Times New Roman" w:hAnsi="Times New Roman" w:cs="Times New Roman"/>
          <w:sz w:val="26"/>
          <w:szCs w:val="26"/>
        </w:rPr>
        <w:lastRenderedPageBreak/>
        <w:t xml:space="preserve">asistencia letrada de la Defensa Pública ya que dan cobertura nacional a la atención en Pensión Alimentaria a la parte beneficiaria que no cuente con recursos económicos para contratar patrocinio letrado conforme lo establece el artículo 56 del Código Procesal de Familia, salvo que así lo apruebe Corte Plena. </w:t>
      </w:r>
    </w:p>
    <w:p w:rsidRPr="00AE1B2B" w:rsidR="009D3FB5" w:rsidP="00163B94" w:rsidRDefault="009D3FB5" w14:paraId="588D57F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173791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5F843B7" w14:textId="4D16C377">
      <w:pPr>
        <w:pStyle w:val="Prrafodelista"/>
        <w:numPr>
          <w:ilvl w:val="0"/>
          <w:numId w:val="144"/>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Conclusiones</w:t>
      </w:r>
    </w:p>
    <w:p w:rsidRPr="00AE1B2B" w:rsidR="009D3FB5" w:rsidP="00163B94" w:rsidRDefault="009D3FB5" w14:paraId="204A8259" w14:textId="77777777">
      <w:pPr>
        <w:widowControl w:val="0"/>
        <w:spacing w:before="120" w:after="120"/>
        <w:ind w:left="851" w:right="851" w:firstLine="709"/>
        <w:jc w:val="both"/>
        <w:rPr>
          <w:rFonts w:ascii="Times New Roman" w:hAnsi="Times New Roman" w:cs="Times New Roman"/>
          <w:b/>
          <w:snapToGrid w:val="0"/>
          <w:sz w:val="26"/>
          <w:szCs w:val="26"/>
        </w:rPr>
      </w:pPr>
    </w:p>
    <w:p w:rsidRPr="00AE1B2B" w:rsidR="009D3FB5" w:rsidP="00163B94" w:rsidRDefault="009D3FB5" w14:paraId="65775304" w14:textId="77777777">
      <w:pPr>
        <w:pStyle w:val="Prrafodelista"/>
        <w:numPr>
          <w:ilvl w:val="1"/>
          <w:numId w:val="91"/>
        </w:numPr>
        <w:tabs>
          <w:tab w:val="left" w:pos="426"/>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A nivel institucional dentro del Proyecto 1374-CF-P01 </w:t>
      </w:r>
      <w:r w:rsidRPr="00AE1B2B">
        <w:rPr>
          <w:rFonts w:ascii="Times New Roman" w:hAnsi="Times New Roman" w:cs="Times New Roman"/>
          <w:i/>
          <w:iCs/>
          <w:sz w:val="26"/>
          <w:szCs w:val="26"/>
        </w:rPr>
        <w:t>“Implementación del Código Procesal de Familia”</w:t>
      </w:r>
      <w:r w:rsidRPr="00AE1B2B">
        <w:rPr>
          <w:rFonts w:ascii="Times New Roman" w:hAnsi="Times New Roman" w:cs="Times New Roman"/>
          <w:sz w:val="26"/>
          <w:szCs w:val="26"/>
        </w:rPr>
        <w:t xml:space="preserve"> se incorporó la atención de las recomendaciones emitidas por la Contraloría General de la República (CGR) número DFOE-PG-0098 (2683)-2020, relacionado con el informe DFOE-PG-IF-00002-2020 </w:t>
      </w:r>
      <w:r w:rsidRPr="00AE1B2B">
        <w:rPr>
          <w:rFonts w:ascii="Times New Roman" w:hAnsi="Times New Roman" w:cs="Times New Roman"/>
          <w:i/>
          <w:iCs/>
          <w:sz w:val="26"/>
          <w:szCs w:val="26"/>
        </w:rPr>
        <w:t xml:space="preserve">“Informe de Auditoría Operativa sobre la gestión del Poder Judicial en cuanto a la oportunidad de la prestación del servicio público de administración de la justicia de los juzgados de Familia y de Pensiones alimentarias” </w:t>
      </w:r>
      <w:r w:rsidRPr="00AE1B2B">
        <w:rPr>
          <w:rFonts w:ascii="Times New Roman" w:hAnsi="Times New Roman" w:cs="Times New Roman"/>
          <w:sz w:val="26"/>
          <w:szCs w:val="26"/>
        </w:rPr>
        <w:t xml:space="preserve">de conformidad con el acuerdo del Consejo Superior en sesión 19-2020 celebrada el 10 de marzo del 2020, artículo LI así como las distintas labores asociadas a la preparación de la Jurisdición de Familia (incluida materias de Pensiones Alimentarias y Violencias Doméstica) para la entrada en vigencia de la Ley 9747 el 1 de octubre 2022. </w:t>
      </w:r>
    </w:p>
    <w:p w:rsidRPr="00AE1B2B" w:rsidR="009D3FB5" w:rsidP="00163B94" w:rsidRDefault="009D3FB5" w14:paraId="2DB8B39F" w14:textId="77777777">
      <w:pPr>
        <w:pStyle w:val="Prrafodelista"/>
        <w:tabs>
          <w:tab w:val="left" w:pos="426"/>
        </w:tabs>
        <w:spacing w:before="120" w:after="120"/>
        <w:ind w:left="851" w:right="851" w:firstLine="709"/>
        <w:jc w:val="both"/>
        <w:rPr>
          <w:rFonts w:ascii="Times New Roman" w:hAnsi="Times New Roman" w:cs="Times New Roman"/>
          <w:sz w:val="26"/>
          <w:szCs w:val="26"/>
        </w:rPr>
      </w:pPr>
    </w:p>
    <w:p w:rsidRPr="00AE1B2B" w:rsidR="009D3FB5" w:rsidP="00163B94" w:rsidRDefault="009D3FB5" w14:paraId="21CF9535" w14:textId="77777777">
      <w:pPr>
        <w:pStyle w:val="Prrafodelista"/>
        <w:numPr>
          <w:ilvl w:val="1"/>
          <w:numId w:val="91"/>
        </w:numPr>
        <w:tabs>
          <w:tab w:val="left" w:pos="426"/>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Al finalizar el 2020 se cuenta con un análisis por parte de la Dirección de Planificación de las estructuras funcionales y organizativas de los 106 despachos competentes en materia de Familia y Pensiones a nivel nacional los cuales cuentan con estandarización en lo referente a:</w:t>
      </w:r>
    </w:p>
    <w:p w:rsidRPr="00AE1B2B" w:rsidR="009D3FB5" w:rsidP="00163B94" w:rsidRDefault="009D3FB5" w14:paraId="339BDFCE" w14:textId="77777777">
      <w:pPr>
        <w:pStyle w:val="Prrafodelista"/>
        <w:numPr>
          <w:ilvl w:val="0"/>
          <w:numId w:val="87"/>
        </w:numPr>
        <w:tabs>
          <w:tab w:val="left" w:pos="426"/>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Tareas y ubicaciones.</w:t>
      </w:r>
    </w:p>
    <w:p w:rsidRPr="00AE1B2B" w:rsidR="009D3FB5" w:rsidP="00163B94" w:rsidRDefault="009D3FB5" w14:paraId="7DE5BB99" w14:textId="77777777">
      <w:pPr>
        <w:pStyle w:val="Prrafodelista"/>
        <w:numPr>
          <w:ilvl w:val="0"/>
          <w:numId w:val="87"/>
        </w:numPr>
        <w:tabs>
          <w:tab w:val="left" w:pos="426"/>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Libros de control.</w:t>
      </w:r>
    </w:p>
    <w:p w:rsidRPr="00AE1B2B" w:rsidR="009D3FB5" w:rsidP="00163B94" w:rsidRDefault="009D3FB5" w14:paraId="715ACDA5" w14:textId="77777777">
      <w:pPr>
        <w:pStyle w:val="Prrafodelista"/>
        <w:numPr>
          <w:ilvl w:val="0"/>
          <w:numId w:val="87"/>
        </w:numPr>
        <w:tabs>
          <w:tab w:val="left" w:pos="426"/>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Sistemas informáticos (Escritorio Virtual, módulo de pase a fallo, y mejoras asociadas).</w:t>
      </w:r>
    </w:p>
    <w:p w:rsidRPr="00AE1B2B" w:rsidR="009D3FB5" w:rsidP="00163B94" w:rsidRDefault="009D3FB5" w14:paraId="439036E4" w14:textId="77777777">
      <w:pPr>
        <w:pStyle w:val="Prrafodelista"/>
        <w:numPr>
          <w:ilvl w:val="0"/>
          <w:numId w:val="87"/>
        </w:numPr>
        <w:tabs>
          <w:tab w:val="left" w:pos="426"/>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Modelo de sostenibilidad y seguimiento (equipo de mejora, indicadores de gestión, entre otros).</w:t>
      </w:r>
    </w:p>
    <w:p w:rsidRPr="00AE1B2B" w:rsidR="009D3FB5" w:rsidP="00163B94" w:rsidRDefault="009D3FB5" w14:paraId="0E969DBA" w14:textId="77777777">
      <w:pPr>
        <w:pStyle w:val="Prrafodelista"/>
        <w:numPr>
          <w:ilvl w:val="0"/>
          <w:numId w:val="87"/>
        </w:numPr>
        <w:tabs>
          <w:tab w:val="left" w:pos="426"/>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Cargas de trabajo equitativas (a más tardar marzo 2021, las oficinas de Familia deberán realizar la distribución equitativa de sus circulantes conforme a la estructura de oficina aprobada, y a más tardar junio 2021 se configurará por parte de la Dirección de Tecnología de la información el reparto por </w:t>
      </w:r>
      <w:r w:rsidRPr="00AE1B2B">
        <w:rPr>
          <w:rFonts w:ascii="Times New Roman" w:hAnsi="Times New Roman" w:cs="Times New Roman"/>
          <w:i/>
          <w:iCs/>
          <w:sz w:val="26"/>
          <w:szCs w:val="26"/>
        </w:rPr>
        <w:t xml:space="preserve">“clase de asunto” </w:t>
      </w:r>
      <w:r w:rsidRPr="00AE1B2B">
        <w:rPr>
          <w:rFonts w:ascii="Times New Roman" w:hAnsi="Times New Roman" w:cs="Times New Roman"/>
          <w:sz w:val="26"/>
          <w:szCs w:val="26"/>
        </w:rPr>
        <w:t xml:space="preserve">en las </w:t>
      </w:r>
      <w:r w:rsidRPr="00AE1B2B">
        <w:rPr>
          <w:rFonts w:ascii="Times New Roman" w:hAnsi="Times New Roman" w:cs="Times New Roman"/>
          <w:sz w:val="26"/>
          <w:szCs w:val="26"/>
        </w:rPr>
        <w:lastRenderedPageBreak/>
        <w:t xml:space="preserve">oficinas de Familia y Pensiones Alimentarias a nivel nacional para garantizar también la distribución por igual de los asuntos nuevos. </w:t>
      </w:r>
    </w:p>
    <w:p w:rsidRPr="00AE1B2B" w:rsidR="009D3FB5" w:rsidP="00163B94" w:rsidRDefault="009D3FB5" w14:paraId="432D9454" w14:textId="77777777">
      <w:pPr>
        <w:tabs>
          <w:tab w:val="left" w:pos="426"/>
        </w:tabs>
        <w:spacing w:before="120" w:after="120"/>
        <w:ind w:left="851" w:right="851" w:firstLine="709"/>
        <w:jc w:val="both"/>
        <w:rPr>
          <w:rFonts w:ascii="Times New Roman" w:hAnsi="Times New Roman" w:cs="Times New Roman"/>
          <w:sz w:val="26"/>
          <w:szCs w:val="26"/>
        </w:rPr>
      </w:pPr>
    </w:p>
    <w:p w:rsidRPr="00AE1B2B" w:rsidR="009D3FB5" w:rsidP="00163B94" w:rsidRDefault="009D3FB5" w14:paraId="46A0375A" w14:textId="77777777">
      <w:pPr>
        <w:pStyle w:val="Prrafodelista"/>
        <w:numPr>
          <w:ilvl w:val="1"/>
          <w:numId w:val="91"/>
        </w:numPr>
        <w:tabs>
          <w:tab w:val="left" w:pos="426"/>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En 2020 se realiza una depuración de la información en los sistemas mediante inventario en materia de Familia que incluyó la revisión por parte de las oficinas de las carpetas principales, incidentes y legajos por primera vez. Además, se inició con el inventario en Pensiones Alimentarias a nivel nacional el cual se estima finalice en marzo 2021. </w:t>
      </w:r>
    </w:p>
    <w:p w:rsidRPr="00AE1B2B" w:rsidR="009D3FB5" w:rsidP="00163B94" w:rsidRDefault="009D3FB5" w14:paraId="0B785390" w14:textId="77777777">
      <w:pPr>
        <w:pStyle w:val="Prrafodelista"/>
        <w:tabs>
          <w:tab w:val="left" w:pos="426"/>
        </w:tabs>
        <w:spacing w:before="120" w:after="120"/>
        <w:ind w:left="851" w:right="851" w:firstLine="709"/>
        <w:jc w:val="both"/>
        <w:rPr>
          <w:rFonts w:ascii="Times New Roman" w:hAnsi="Times New Roman" w:cs="Times New Roman"/>
          <w:sz w:val="26"/>
          <w:szCs w:val="26"/>
        </w:rPr>
      </w:pPr>
    </w:p>
    <w:p w:rsidRPr="00AE1B2B" w:rsidR="009D3FB5" w:rsidP="00163B94" w:rsidRDefault="009D3FB5" w14:paraId="222A62F4" w14:textId="77777777">
      <w:pPr>
        <w:pStyle w:val="Prrafodelista"/>
        <w:numPr>
          <w:ilvl w:val="1"/>
          <w:numId w:val="91"/>
        </w:numPr>
        <w:tabs>
          <w:tab w:val="left" w:pos="426"/>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Las oficinas de Familia y Pensiones Alimentarias cuentan con un reporte en la Plataforma SIGMA que les permite monitorear la duración de los procesos por fase, y con ello dar prioridad a la resolución de aquellos asuntos que sobrepasen el rango legal de plazos o el criterio experto.</w:t>
      </w:r>
    </w:p>
    <w:p w:rsidRPr="00AE1B2B" w:rsidR="009D3FB5" w:rsidP="00163B94" w:rsidRDefault="009D3FB5" w14:paraId="4F22E17D"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083150C1" w14:textId="77777777">
      <w:pPr>
        <w:pStyle w:val="Prrafodelista"/>
        <w:numPr>
          <w:ilvl w:val="1"/>
          <w:numId w:val="91"/>
        </w:numPr>
        <w:tabs>
          <w:tab w:val="left" w:pos="426"/>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Respeto al Modelo de Sostenibilidad y Seguimiento y a fin de mantener en los logros obtenidos en la Jurisdición, es fundamental el cumplimiento de responsabilidades de cada uno de los partícipes del proceso de mejora continua de las oficinas (Juzgados, Equipo de mejora, Administración Regional, Consejo de Administración, Centro de Apoyo, Coordinación y Mejoramiento de la Función Jurisdiccional, Dirección de Planificación, Consejo Superior). </w:t>
      </w:r>
    </w:p>
    <w:p w:rsidRPr="00AE1B2B" w:rsidR="009D3FB5" w:rsidP="00163B94" w:rsidRDefault="009D3FB5" w14:paraId="66F3B582" w14:textId="77777777">
      <w:pPr>
        <w:tabs>
          <w:tab w:val="left" w:pos="426"/>
        </w:tabs>
        <w:spacing w:before="120" w:after="120"/>
        <w:ind w:left="851" w:right="851" w:firstLine="709"/>
        <w:jc w:val="both"/>
        <w:rPr>
          <w:rFonts w:ascii="Times New Roman" w:hAnsi="Times New Roman" w:cs="Times New Roman"/>
          <w:sz w:val="26"/>
          <w:szCs w:val="26"/>
        </w:rPr>
      </w:pPr>
    </w:p>
    <w:p w:rsidRPr="00AE1B2B" w:rsidR="009D3FB5" w:rsidP="00163B94" w:rsidRDefault="009D3FB5" w14:paraId="2E871B50" w14:textId="77777777">
      <w:pPr>
        <w:tabs>
          <w:tab w:val="left" w:pos="426"/>
        </w:tabs>
        <w:spacing w:before="120" w:after="120"/>
        <w:ind w:left="851" w:right="851" w:firstLine="709"/>
        <w:jc w:val="both"/>
        <w:rPr>
          <w:rFonts w:ascii="Times New Roman" w:hAnsi="Times New Roman" w:cs="Times New Roman"/>
          <w:sz w:val="26"/>
          <w:szCs w:val="26"/>
        </w:rPr>
      </w:pPr>
    </w:p>
    <w:p w:rsidRPr="00AE1B2B" w:rsidR="009D3FB5" w:rsidP="00163B94" w:rsidRDefault="009D3FB5" w14:paraId="102F92CC" w14:textId="77777777">
      <w:pPr>
        <w:pStyle w:val="Prrafodelista"/>
        <w:numPr>
          <w:ilvl w:val="1"/>
          <w:numId w:val="9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Sobre el análisis estadístico se concluye que:</w:t>
      </w:r>
    </w:p>
    <w:p w:rsidRPr="00AE1B2B" w:rsidR="009D3FB5" w:rsidP="00163B94" w:rsidRDefault="009D3FB5" w14:paraId="0C1F6192" w14:textId="77777777">
      <w:pPr>
        <w:pStyle w:val="Prrafodelista"/>
        <w:numPr>
          <w:ilvl w:val="0"/>
          <w:numId w:val="6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El promedio de ingreso por persona juzgadora de Familia es de 74 expedientes por mes y 47 por plaza de persona técnica Judicial. </w:t>
      </w:r>
    </w:p>
    <w:p w:rsidRPr="00AE1B2B" w:rsidR="009D3FB5" w:rsidP="00163B94" w:rsidRDefault="009D3FB5" w14:paraId="2AEEE021" w14:textId="13C10D60">
      <w:pPr>
        <w:pStyle w:val="Prrafodelista"/>
        <w:numPr>
          <w:ilvl w:val="0"/>
          <w:numId w:val="6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El tipo de proceso con mayor ingreso durante el periodo del 2015 al 2019, es el Divorcio o separación judicial por mutuo acuerdo con 8828 lo que representa un 37,6 del ingreso total en las oficinas especializadas, seguido del Divorcio con 2499 expedientes equivalentes a un 110,6% los cuales en alguna proporción dejaran de ser competencia de los Juzgados de Familia</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a partir del 1 de octubre del 2022. En tercer lugar están los asuntos de Interrelación familiar (régimen de visitas) con 1718 expedientes para un 7,3%, proceso sumario que será objeto de modificaciones a nivel de competencia </w:t>
      </w:r>
      <w:r w:rsidRPr="00AE1B2B">
        <w:rPr>
          <w:rFonts w:ascii="Times New Roman" w:hAnsi="Times New Roman" w:cs="Times New Roman"/>
          <w:sz w:val="26"/>
          <w:szCs w:val="26"/>
        </w:rPr>
        <w:lastRenderedPageBreak/>
        <w:t xml:space="preserve">conforme la propuesta que se presente por parte de la Dirección de Planificación en 2022 a Corte Plena. </w:t>
      </w:r>
    </w:p>
    <w:p w:rsidRPr="00AE1B2B" w:rsidR="009D3FB5" w:rsidP="00163B94" w:rsidRDefault="009D3FB5" w14:paraId="29190D68" w14:textId="77777777">
      <w:pPr>
        <w:pStyle w:val="Prrafodelista"/>
        <w:numPr>
          <w:ilvl w:val="0"/>
          <w:numId w:val="6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Es importante indicar que con la desjudicialización que prevé el código de Familia, se estima una disminución de un 12,5% en la entrada de asuntos nuevos, según las estimaciones realizadas, por ejemplo, en los procesos de Divorcio, solicitud de matrimonio, adopción, entre otros.</w:t>
      </w:r>
    </w:p>
    <w:p w:rsidRPr="00AE1B2B" w:rsidR="009D3FB5" w:rsidP="00163B94" w:rsidRDefault="009D3FB5" w14:paraId="41242A32" w14:textId="77777777">
      <w:pPr>
        <w:pStyle w:val="Prrafodelista"/>
        <w:numPr>
          <w:ilvl w:val="0"/>
          <w:numId w:val="6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La salida de asuntos de los juzgados de la materia de Familia, durante los últimos cinco años, está conformada por un 8% de casos inactivos y un 92% de asuntos terminados, siendo el 2019 el año en que se finalizaron más expedientes 24 908 y el menor el 2018 con 21273 asuntos.</w:t>
      </w:r>
    </w:p>
    <w:p w:rsidRPr="00AE1B2B" w:rsidR="009D3FB5" w:rsidP="00163B94" w:rsidRDefault="009D3FB5" w14:paraId="23738AB8" w14:textId="77777777">
      <w:pPr>
        <w:pStyle w:val="Prrafodelista"/>
        <w:numPr>
          <w:ilvl w:val="0"/>
          <w:numId w:val="6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En cuanto a los inactivos el 2015 fue el año donde se inactivaron más asuntos 2 276 y el menor fue el 2018 con 1 725 expedientes, lo que refleja que los despachos durante este año inactivaron menos casos en las depuraciones de expedientes; es importante realizar la revisión de los expedientes que tienen más de 6 meses sin movimiento ya que la inactivación contribuye en la disminución del circulante activo.</w:t>
      </w:r>
    </w:p>
    <w:p w:rsidRPr="00AE1B2B" w:rsidR="009D3FB5" w:rsidP="00163B94" w:rsidRDefault="009D3FB5" w14:paraId="229D846B" w14:textId="77777777">
      <w:pPr>
        <w:pStyle w:val="Prrafodelista"/>
        <w:numPr>
          <w:ilvl w:val="0"/>
          <w:numId w:val="6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La cantidad de asuntos finalizados en segunda instancia para el periodo 2018 al 2019 fue de un 7% más en el 2019 que su antecesor el 2018, y en cuanto a los casos fenecidos de incidentes se terminó más del 90% en el 2019 en comparación con el 2018.</w:t>
      </w:r>
    </w:p>
    <w:p w:rsidRPr="00AE1B2B" w:rsidR="009D3FB5" w:rsidP="00163B94" w:rsidRDefault="009D3FB5" w14:paraId="0FEDD2F8" w14:textId="77777777">
      <w:pPr>
        <w:pStyle w:val="Prrafodelista"/>
        <w:numPr>
          <w:ilvl w:val="0"/>
          <w:numId w:val="6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En promedio una persona juzgadora finaliza 75 expedientes mensuales, y con una entrada promedio por mes de 74 asuntos, se evidencia una reducción de un 1% mensual del circulante ya se está logrando terminar lo que ingresa.</w:t>
      </w:r>
    </w:p>
    <w:p w:rsidRPr="00AE1B2B" w:rsidR="009D3FB5" w:rsidP="00163B94" w:rsidRDefault="009D3FB5" w14:paraId="31C31C42" w14:textId="3516C4BB">
      <w:pPr>
        <w:pStyle w:val="Prrafodelista"/>
        <w:numPr>
          <w:ilvl w:val="0"/>
          <w:numId w:val="6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Durante los últimos cinco años se ha dado un crecimiento en el circulante de las oficinas especializadas en materia de Familia, pasando de 13 483 casos activos al finalizar el 2015 a 15 647 en 2019.</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Al finalizar 2020, se reportan en los Juzgados Especializados un circulante de 15 631.</w:t>
      </w:r>
    </w:p>
    <w:p w:rsidRPr="00AE1B2B" w:rsidR="009D3FB5" w:rsidP="00163B94" w:rsidRDefault="009D3FB5" w14:paraId="251FD13E" w14:textId="77777777">
      <w:pPr>
        <w:pStyle w:val="Prrafodelista"/>
        <w:numPr>
          <w:ilvl w:val="0"/>
          <w:numId w:val="6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Un 80% de los expedientes están en fase de Demanda, 13% en Demostrativa, % en Conclusiva y 1% en Ejecución; además, para el periodo del 2015 al 2016, en 2015 y 2016 se identificó un grupo de expedientes que no tenían fase, es importante mantener la información actualizada de los expedientes porque es insumo para la toma de decisiones por lo que debe ser veraz y confiable.</w:t>
      </w:r>
    </w:p>
    <w:p w:rsidRPr="00AE1B2B" w:rsidR="009D3FB5" w:rsidP="00163B94" w:rsidRDefault="009D3FB5" w14:paraId="50AAF304" w14:textId="77777777">
      <w:pPr>
        <w:pStyle w:val="Prrafodelista"/>
        <w:numPr>
          <w:ilvl w:val="0"/>
          <w:numId w:val="6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Según el periodo analizado del 2015 al 2019, a nivel nacional para el 2019 se registra un promedio mensual de efectividad en los señalamientos de las audiencias de un 62% y el menor en el 2015 con un 53%, lo que refleja un aumento del 9%; sin embargo, para el 2015 no todos los despachos contaban con la Agenda Cronos; </w:t>
      </w:r>
      <w:r w:rsidRPr="00AE1B2B">
        <w:rPr>
          <w:rFonts w:ascii="Times New Roman" w:hAnsi="Times New Roman" w:cs="Times New Roman"/>
          <w:sz w:val="26"/>
          <w:szCs w:val="26"/>
        </w:rPr>
        <w:lastRenderedPageBreak/>
        <w:t>por otra parte, existen más de 5 000 señalamientos en estado “Pendiente” lo que evidencia que los despachos no están actualizando la información en la Agenda Cronos.</w:t>
      </w:r>
    </w:p>
    <w:p w:rsidRPr="00AE1B2B" w:rsidR="009D3FB5" w:rsidP="00163B94" w:rsidRDefault="009D3FB5" w14:paraId="4939C2D5" w14:textId="77777777">
      <w:pPr>
        <w:pStyle w:val="Prrafodelista"/>
        <w:numPr>
          <w:ilvl w:val="0"/>
          <w:numId w:val="63"/>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El Tribunal de Familia conoció en total 8 649 apelaciones durante el periodo 2018 a 2019, procedente de los Juzgados Especializados en Familia, siendo el Juzgado de Familia de II Circuito Judicial de San José el que mayor cantidad de apelaciones remite a este Tribunal, con 1335 asuntos el 15% del total recibido procedente de los Juzgados Especializados en Familia.</w:t>
      </w:r>
    </w:p>
    <w:p w:rsidRPr="00AE1B2B" w:rsidR="009D3FB5" w:rsidP="00163B94" w:rsidRDefault="009D3FB5" w14:paraId="47F4522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301584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5A52E2E" w14:textId="77777777">
      <w:pPr>
        <w:pStyle w:val="Prrafodelista"/>
        <w:numPr>
          <w:ilvl w:val="1"/>
          <w:numId w:val="91"/>
        </w:numPr>
        <w:tabs>
          <w:tab w:val="left" w:pos="426"/>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A nivel de los sistemas se identifica la necesidad de que la Dirección de Tecnología de la Información trabaje con carácter urgente en las siguientes mejoras:</w:t>
      </w:r>
    </w:p>
    <w:p w:rsidRPr="00AE1B2B" w:rsidR="009D3FB5" w:rsidP="00163B94" w:rsidRDefault="009D3FB5" w14:paraId="0CE97B00" w14:textId="77777777">
      <w:pPr>
        <w:tabs>
          <w:tab w:val="left" w:pos="426"/>
        </w:tabs>
        <w:spacing w:before="120" w:after="120"/>
        <w:ind w:left="851" w:right="851" w:firstLine="709"/>
        <w:jc w:val="both"/>
        <w:rPr>
          <w:rFonts w:ascii="Times New Roman" w:hAnsi="Times New Roman" w:cs="Times New Roman"/>
          <w:sz w:val="26"/>
          <w:szCs w:val="26"/>
        </w:rPr>
      </w:pPr>
    </w:p>
    <w:p w:rsidRPr="00AE1B2B" w:rsidR="009D3FB5" w:rsidP="00163B94" w:rsidRDefault="009D3FB5" w14:paraId="742062C6" w14:textId="77777777">
      <w:pPr>
        <w:pStyle w:val="Default"/>
        <w:numPr>
          <w:ilvl w:val="0"/>
          <w:numId w:val="90"/>
        </w:numPr>
        <w:tabs>
          <w:tab w:val="left" w:pos="426"/>
        </w:tabs>
        <w:spacing w:before="120" w:after="120"/>
        <w:ind w:left="851" w:right="851" w:firstLine="709"/>
        <w:jc w:val="both"/>
        <w:rPr>
          <w:rFonts w:ascii="Times New Roman" w:hAnsi="Times New Roman" w:cs="Times New Roman"/>
          <w:iCs/>
          <w:color w:val="auto"/>
          <w:spacing w:val="-3"/>
          <w:sz w:val="26"/>
          <w:szCs w:val="26"/>
        </w:rPr>
      </w:pPr>
      <w:r w:rsidRPr="00AE1B2B">
        <w:rPr>
          <w:rFonts w:ascii="Times New Roman" w:hAnsi="Times New Roman" w:cs="Times New Roman"/>
          <w:iCs/>
          <w:color w:val="auto"/>
          <w:spacing w:val="-3"/>
          <w:sz w:val="26"/>
          <w:szCs w:val="26"/>
        </w:rPr>
        <w:t xml:space="preserve">Mejora en </w:t>
      </w:r>
      <w:r w:rsidRPr="00AE1B2B">
        <w:rPr>
          <w:rFonts w:ascii="Times New Roman" w:hAnsi="Times New Roman" w:cs="Times New Roman"/>
          <w:color w:val="auto"/>
          <w:sz w:val="26"/>
          <w:szCs w:val="26"/>
        </w:rPr>
        <w:t xml:space="preserve">el reparto por procedimiento, de forma que se puedan excluir los asuntos reentrados del rol de reparto conforme al requerimiento realizado el 15 de diciembre 2020 (ver </w:t>
      </w:r>
      <w:r w:rsidRPr="00AE1B2B">
        <w:rPr>
          <w:rFonts w:ascii="Times New Roman" w:hAnsi="Times New Roman" w:cs="Times New Roman"/>
          <w:b/>
          <w:bCs/>
          <w:i/>
          <w:iCs/>
          <w:color w:val="auto"/>
          <w:sz w:val="26"/>
          <w:szCs w:val="26"/>
        </w:rPr>
        <w:t>anexo 5</w:t>
      </w:r>
      <w:r w:rsidRPr="00AE1B2B">
        <w:rPr>
          <w:rFonts w:ascii="Times New Roman" w:hAnsi="Times New Roman" w:cs="Times New Roman"/>
          <w:color w:val="auto"/>
          <w:sz w:val="26"/>
          <w:szCs w:val="26"/>
        </w:rPr>
        <w:t>).</w:t>
      </w:r>
      <w:r w:rsidRPr="00AE1B2B">
        <w:rPr>
          <w:rFonts w:ascii="Times New Roman" w:hAnsi="Times New Roman" w:cs="Times New Roman"/>
          <w:iCs/>
          <w:color w:val="auto"/>
          <w:sz w:val="26"/>
          <w:szCs w:val="26"/>
        </w:rPr>
        <w:t xml:space="preserve"> </w:t>
      </w:r>
    </w:p>
    <w:p w:rsidRPr="00AE1B2B" w:rsidR="009D3FB5" w:rsidP="00163B94" w:rsidRDefault="009D3FB5" w14:paraId="197A337A" w14:textId="77777777">
      <w:pPr>
        <w:pStyle w:val="Default"/>
        <w:tabs>
          <w:tab w:val="left" w:pos="426"/>
        </w:tabs>
        <w:spacing w:before="120" w:after="120"/>
        <w:ind w:left="851" w:right="851" w:firstLine="709"/>
        <w:jc w:val="both"/>
        <w:rPr>
          <w:rFonts w:ascii="Times New Roman" w:hAnsi="Times New Roman" w:cs="Times New Roman"/>
          <w:iCs/>
          <w:color w:val="auto"/>
          <w:spacing w:val="-3"/>
          <w:sz w:val="26"/>
          <w:szCs w:val="26"/>
        </w:rPr>
      </w:pPr>
    </w:p>
    <w:p w:rsidRPr="00AE1B2B" w:rsidR="009D3FB5" w:rsidP="00163B94" w:rsidRDefault="009D3FB5" w14:paraId="00159861" w14:textId="77777777">
      <w:pPr>
        <w:pStyle w:val="Default"/>
        <w:numPr>
          <w:ilvl w:val="0"/>
          <w:numId w:val="90"/>
        </w:numPr>
        <w:tabs>
          <w:tab w:val="left" w:pos="426"/>
        </w:tabs>
        <w:spacing w:before="120" w:after="120"/>
        <w:ind w:left="851" w:right="851" w:firstLine="709"/>
        <w:jc w:val="both"/>
        <w:rPr>
          <w:rFonts w:ascii="Times New Roman" w:hAnsi="Times New Roman" w:cs="Times New Roman"/>
          <w:iCs/>
          <w:color w:val="auto"/>
          <w:spacing w:val="-3"/>
          <w:sz w:val="26"/>
          <w:szCs w:val="26"/>
        </w:rPr>
      </w:pPr>
      <w:r w:rsidRPr="00AE1B2B">
        <w:rPr>
          <w:rFonts w:ascii="Times New Roman" w:hAnsi="Times New Roman" w:cs="Times New Roman"/>
          <w:iCs/>
          <w:color w:val="auto"/>
          <w:sz w:val="26"/>
          <w:szCs w:val="26"/>
        </w:rPr>
        <w:t>Mejora solicitada (reporte GIS RF-1009915-3-118986) de forma que se pueda cruzar la información entre la clase de asunto y el resultado de las resoluciones, a fin de lograr obtener directamente del SIGMA la cantidad de resoluciones de aprobación o improbación de divorcios por mutuo consentimiento y poder incluirlo así en la matriz.</w:t>
      </w:r>
    </w:p>
    <w:p w:rsidRPr="00AE1B2B" w:rsidR="009D3FB5" w:rsidP="00163B94" w:rsidRDefault="009D3FB5" w14:paraId="57837889" w14:textId="77777777">
      <w:pPr>
        <w:pStyle w:val="Default"/>
        <w:tabs>
          <w:tab w:val="left" w:pos="426"/>
        </w:tabs>
        <w:spacing w:before="120" w:after="120"/>
        <w:ind w:left="851" w:right="851" w:firstLine="709"/>
        <w:jc w:val="both"/>
        <w:rPr>
          <w:rFonts w:ascii="Times New Roman" w:hAnsi="Times New Roman" w:cs="Times New Roman"/>
          <w:iCs/>
          <w:color w:val="auto"/>
          <w:spacing w:val="-3"/>
          <w:sz w:val="26"/>
          <w:szCs w:val="26"/>
        </w:rPr>
      </w:pPr>
    </w:p>
    <w:p w:rsidRPr="00AE1B2B" w:rsidR="009D3FB5" w:rsidP="00163B94" w:rsidRDefault="009D3FB5" w14:paraId="69B3FB8E" w14:textId="77777777">
      <w:pPr>
        <w:pStyle w:val="Default"/>
        <w:numPr>
          <w:ilvl w:val="0"/>
          <w:numId w:val="90"/>
        </w:numPr>
        <w:tabs>
          <w:tab w:val="left" w:pos="426"/>
        </w:tabs>
        <w:spacing w:before="120" w:after="120"/>
        <w:ind w:left="851" w:right="851" w:firstLine="709"/>
        <w:jc w:val="both"/>
        <w:rPr>
          <w:rFonts w:ascii="Times New Roman" w:hAnsi="Times New Roman" w:cs="Times New Roman"/>
          <w:iCs/>
          <w:color w:val="auto"/>
          <w:spacing w:val="-3"/>
          <w:sz w:val="26"/>
          <w:szCs w:val="26"/>
        </w:rPr>
      </w:pPr>
      <w:r w:rsidRPr="00AE1B2B">
        <w:rPr>
          <w:rFonts w:ascii="Times New Roman" w:hAnsi="Times New Roman" w:cs="Times New Roman"/>
          <w:iCs/>
          <w:color w:val="auto"/>
          <w:spacing w:val="-3"/>
          <w:sz w:val="26"/>
          <w:szCs w:val="26"/>
        </w:rPr>
        <w:t xml:space="preserve">Mejora en el sistema SIGA PJ que amplié la cantidad de caracteres para incluir los nombres correctos de las oficinas, incluidos los nuevos nombres se las oficinas competentes en Violencia Doméstica y Protección Cautelar, requerimiento presentado por la misma Comisión de Familia, Niñez y Adolescencia en la sesión del primero de diciembre del año en curso, artículo III y mediante oficio 124-PLA-PP-MI-2021. </w:t>
      </w:r>
    </w:p>
    <w:p w:rsidRPr="00AE1B2B" w:rsidR="009D3FB5" w:rsidP="00163B94" w:rsidRDefault="009D3FB5" w14:paraId="38C6719E" w14:textId="77777777">
      <w:pPr>
        <w:pStyle w:val="Default"/>
        <w:tabs>
          <w:tab w:val="left" w:pos="426"/>
        </w:tabs>
        <w:spacing w:before="120" w:after="120"/>
        <w:ind w:left="851" w:right="851" w:firstLine="709"/>
        <w:jc w:val="both"/>
        <w:rPr>
          <w:rFonts w:ascii="Times New Roman" w:hAnsi="Times New Roman" w:cs="Times New Roman"/>
          <w:iCs/>
          <w:color w:val="auto"/>
          <w:spacing w:val="-3"/>
          <w:sz w:val="26"/>
          <w:szCs w:val="26"/>
        </w:rPr>
      </w:pPr>
    </w:p>
    <w:p w:rsidRPr="00AE1B2B" w:rsidR="009D3FB5" w:rsidP="00163B94" w:rsidRDefault="009D3FB5" w14:paraId="30019DFB" w14:textId="77777777">
      <w:pPr>
        <w:pStyle w:val="Default"/>
        <w:numPr>
          <w:ilvl w:val="0"/>
          <w:numId w:val="90"/>
        </w:numPr>
        <w:tabs>
          <w:tab w:val="left" w:pos="426"/>
        </w:tabs>
        <w:spacing w:before="120" w:after="120"/>
        <w:ind w:left="851" w:right="851" w:firstLine="709"/>
        <w:jc w:val="both"/>
        <w:rPr>
          <w:rFonts w:ascii="Times New Roman" w:hAnsi="Times New Roman" w:cs="Times New Roman"/>
          <w:iCs/>
          <w:color w:val="auto"/>
          <w:spacing w:val="-3"/>
          <w:sz w:val="26"/>
          <w:szCs w:val="26"/>
        </w:rPr>
      </w:pPr>
      <w:r w:rsidRPr="00AE1B2B">
        <w:rPr>
          <w:rFonts w:ascii="Times New Roman" w:hAnsi="Times New Roman" w:cs="Times New Roman"/>
          <w:iCs/>
          <w:color w:val="auto"/>
          <w:spacing w:val="-3"/>
          <w:sz w:val="26"/>
          <w:szCs w:val="26"/>
        </w:rPr>
        <w:t xml:space="preserve">Mejora solicitada (reporte GIS </w:t>
      </w:r>
      <w:r w:rsidRPr="00AE1B2B">
        <w:rPr>
          <w:rFonts w:ascii="Times New Roman" w:hAnsi="Times New Roman" w:cs="Times New Roman"/>
          <w:color w:val="auto"/>
          <w:sz w:val="26"/>
          <w:szCs w:val="26"/>
        </w:rPr>
        <w:t xml:space="preserve">932499-3-81114 del 9 de noviembre 2020) </w:t>
      </w:r>
      <w:r w:rsidRPr="00AE1B2B">
        <w:rPr>
          <w:rFonts w:ascii="Times New Roman" w:hAnsi="Times New Roman" w:cs="Times New Roman"/>
          <w:iCs/>
          <w:color w:val="auto"/>
          <w:spacing w:val="-3"/>
          <w:sz w:val="26"/>
          <w:szCs w:val="26"/>
        </w:rPr>
        <w:t xml:space="preserve">para visualizar en el reporte correspondiente, por código de colores aquellos rangos de duración que sobrepasen los parámetros legales o de criterio experto, de forma que las mismas </w:t>
      </w:r>
      <w:r w:rsidRPr="00AE1B2B">
        <w:rPr>
          <w:rFonts w:ascii="Times New Roman" w:hAnsi="Times New Roman" w:cs="Times New Roman"/>
          <w:iCs/>
          <w:color w:val="auto"/>
          <w:spacing w:val="-3"/>
          <w:sz w:val="26"/>
          <w:szCs w:val="26"/>
        </w:rPr>
        <w:lastRenderedPageBreak/>
        <w:t>oficinas se autogestionen y puedan dar atención a aquellas causas que superen los rangos estándar; tanto para la cejilla de duración de casos activos como la cejilla de duraciones de casos terminados.</w:t>
      </w:r>
    </w:p>
    <w:p w:rsidRPr="00AE1B2B" w:rsidR="009D3FB5" w:rsidP="00163B94" w:rsidRDefault="009D3FB5" w14:paraId="49166905" w14:textId="77777777">
      <w:pPr>
        <w:pStyle w:val="Default"/>
        <w:tabs>
          <w:tab w:val="left" w:pos="426"/>
        </w:tabs>
        <w:spacing w:before="120" w:after="120"/>
        <w:ind w:left="851" w:right="851" w:firstLine="709"/>
        <w:jc w:val="both"/>
        <w:rPr>
          <w:rFonts w:ascii="Times New Roman" w:hAnsi="Times New Roman" w:cs="Times New Roman"/>
          <w:iCs/>
          <w:color w:val="auto"/>
          <w:spacing w:val="-3"/>
          <w:sz w:val="26"/>
          <w:szCs w:val="26"/>
        </w:rPr>
      </w:pPr>
    </w:p>
    <w:p w:rsidRPr="00AE1B2B" w:rsidR="009D3FB5" w:rsidP="00163B94" w:rsidRDefault="009D3FB5" w14:paraId="7BC7BF8D" w14:textId="77777777">
      <w:pPr>
        <w:pStyle w:val="Default"/>
        <w:numPr>
          <w:ilvl w:val="1"/>
          <w:numId w:val="91"/>
        </w:numPr>
        <w:tabs>
          <w:tab w:val="left" w:pos="426"/>
        </w:tabs>
        <w:spacing w:before="120" w:after="120"/>
        <w:ind w:left="851" w:right="851" w:firstLine="709"/>
        <w:jc w:val="both"/>
        <w:rPr>
          <w:rFonts w:ascii="Times New Roman" w:hAnsi="Times New Roman" w:cs="Times New Roman"/>
          <w:iCs/>
          <w:color w:val="auto"/>
          <w:spacing w:val="-3"/>
          <w:sz w:val="26"/>
          <w:szCs w:val="26"/>
        </w:rPr>
      </w:pPr>
      <w:r w:rsidRPr="00AE1B2B">
        <w:rPr>
          <w:rFonts w:ascii="Times New Roman" w:hAnsi="Times New Roman" w:cs="Times New Roman"/>
          <w:iCs/>
          <w:color w:val="auto"/>
          <w:spacing w:val="-3"/>
          <w:sz w:val="26"/>
          <w:szCs w:val="26"/>
        </w:rPr>
        <w:t xml:space="preserve">Con el fin de elaborar una propuesta para Corte Plena de creación de Juzgados de Familia por Ministerio de Ley, se requiere como insumo algunas variables a identificar por los Juzgados Especializados de Familia en el inventario 2021, y el criterio experto del Juez Gestor en la materia y la Comisión de Familia, Niñez y Adolescencia sobre la cantidad de asuntos que puede conocer mensualmente una plaza que solo conozca asuntos sumarios de este tipo, lo anterior para efectos de proyecciones de traslado de cargas de trabajo. </w:t>
      </w:r>
    </w:p>
    <w:p w:rsidRPr="00AE1B2B" w:rsidR="009D3FB5" w:rsidP="00163B94" w:rsidRDefault="009D3FB5" w14:paraId="390C8327" w14:textId="77777777">
      <w:pPr>
        <w:pStyle w:val="Default"/>
        <w:tabs>
          <w:tab w:val="left" w:pos="426"/>
        </w:tabs>
        <w:spacing w:before="120" w:after="120"/>
        <w:ind w:left="851" w:right="851" w:firstLine="709"/>
        <w:jc w:val="both"/>
        <w:rPr>
          <w:rFonts w:ascii="Times New Roman" w:hAnsi="Times New Roman" w:cs="Times New Roman"/>
          <w:iCs/>
          <w:color w:val="auto"/>
          <w:spacing w:val="-3"/>
          <w:sz w:val="26"/>
          <w:szCs w:val="26"/>
        </w:rPr>
      </w:pPr>
    </w:p>
    <w:p w:rsidRPr="00AE1B2B" w:rsidR="009D3FB5" w:rsidP="00163B94" w:rsidRDefault="009D3FB5" w14:paraId="30103D9F" w14:textId="77777777">
      <w:pPr>
        <w:pStyle w:val="Default"/>
        <w:numPr>
          <w:ilvl w:val="1"/>
          <w:numId w:val="91"/>
        </w:numPr>
        <w:tabs>
          <w:tab w:val="left" w:pos="426"/>
        </w:tabs>
        <w:spacing w:before="120" w:after="120"/>
        <w:ind w:left="851" w:right="851" w:firstLine="709"/>
        <w:jc w:val="both"/>
        <w:rPr>
          <w:rFonts w:ascii="Times New Roman" w:hAnsi="Times New Roman" w:cs="Times New Roman"/>
          <w:iCs/>
          <w:color w:val="auto"/>
          <w:spacing w:val="-3"/>
          <w:sz w:val="26"/>
          <w:szCs w:val="26"/>
        </w:rPr>
      </w:pPr>
      <w:r w:rsidRPr="00AE1B2B">
        <w:rPr>
          <w:rFonts w:ascii="Times New Roman" w:hAnsi="Times New Roman" w:cs="Times New Roman"/>
          <w:color w:val="auto"/>
          <w:sz w:val="26"/>
          <w:szCs w:val="26"/>
        </w:rPr>
        <w:t xml:space="preserve">Para lograr la estandarización de la información estadística, así como facilitar la contabilización de los procesos conforme a la cuota de trabajo establecida y lo dispuesto en la circular 260-2020, es necesario que de parte de la Comisión de Familia Niñez y Adolescencia se emita una directriz sobre los tipos de resolución y resultados que pueden dictarse por cada clase de asunto conforme a la fórmula estadística aprobada. </w:t>
      </w:r>
    </w:p>
    <w:p w:rsidRPr="00AE1B2B" w:rsidR="009D3FB5" w:rsidP="00163B94" w:rsidRDefault="009D3FB5" w14:paraId="7A18B70D" w14:textId="77777777">
      <w:pPr>
        <w:pStyle w:val="Prrafodelista"/>
        <w:spacing w:before="120" w:after="120"/>
        <w:ind w:left="851" w:right="851" w:firstLine="709"/>
        <w:jc w:val="both"/>
        <w:rPr>
          <w:rFonts w:ascii="Times New Roman" w:hAnsi="Times New Roman" w:cs="Times New Roman"/>
          <w:iCs/>
          <w:spacing w:val="-3"/>
          <w:sz w:val="26"/>
          <w:szCs w:val="26"/>
        </w:rPr>
      </w:pPr>
    </w:p>
    <w:p w:rsidRPr="00AE1B2B" w:rsidR="009D3FB5" w:rsidP="00163B94" w:rsidRDefault="009D3FB5" w14:paraId="21337A11" w14:textId="426F7316">
      <w:pPr>
        <w:pStyle w:val="Default"/>
        <w:numPr>
          <w:ilvl w:val="1"/>
          <w:numId w:val="91"/>
        </w:numPr>
        <w:tabs>
          <w:tab w:val="left" w:pos="426"/>
        </w:tabs>
        <w:spacing w:before="120" w:after="120"/>
        <w:ind w:left="851" w:right="851" w:firstLine="709"/>
        <w:jc w:val="both"/>
        <w:rPr>
          <w:rFonts w:ascii="Times New Roman" w:hAnsi="Times New Roman" w:cs="Times New Roman"/>
          <w:iCs/>
          <w:color w:val="auto"/>
          <w:spacing w:val="-3"/>
          <w:sz w:val="26"/>
          <w:szCs w:val="26"/>
        </w:rPr>
      </w:pPr>
      <w:r w:rsidRPr="00AE1B2B">
        <w:rPr>
          <w:rFonts w:ascii="Times New Roman" w:hAnsi="Times New Roman" w:cs="Times New Roman"/>
          <w:iCs/>
          <w:color w:val="auto"/>
          <w:spacing w:val="-3"/>
          <w:sz w:val="26"/>
          <w:szCs w:val="26"/>
        </w:rPr>
        <w:t>Para 2021 se incluyó en el presupuesto ordinario de la Institución un monto de 30 millones de colones a fin de que el Departamento De Trabajo Social y Psicología, gestione el plan de trabajo necesario para que distintas pericias sean asumidas por peritos externos al departamento y contratados con el presupuesto disponible para esos efectos.</w:t>
      </w:r>
      <w:r w:rsidRPr="00AE1B2B" w:rsidR="00BB7720">
        <w:rPr>
          <w:rFonts w:ascii="Times New Roman" w:hAnsi="Times New Roman" w:cs="Times New Roman"/>
          <w:iCs/>
          <w:color w:val="auto"/>
          <w:spacing w:val="-3"/>
          <w:sz w:val="26"/>
          <w:szCs w:val="26"/>
        </w:rPr>
        <w:t xml:space="preserve"> </w:t>
      </w:r>
      <w:r w:rsidRPr="00AE1B2B">
        <w:rPr>
          <w:rFonts w:ascii="Times New Roman" w:hAnsi="Times New Roman" w:cs="Times New Roman"/>
          <w:iCs/>
          <w:color w:val="auto"/>
          <w:spacing w:val="-3"/>
          <w:sz w:val="26"/>
          <w:szCs w:val="26"/>
        </w:rPr>
        <w:t xml:space="preserve">Para 2022, se incluye en el presupuesto un monto de 30 millones de colones para garantizar la atención célere de los dictámenes solicitados por los distintos juzgados de familia a nivel nacional y permitir que el Departamento de Trabajo Social y Psicología </w:t>
      </w:r>
      <w:r w:rsidRPr="00AE1B2B">
        <w:rPr>
          <w:rFonts w:ascii="Times New Roman" w:hAnsi="Times New Roman" w:cs="Times New Roman"/>
          <w:color w:val="auto"/>
          <w:sz w:val="26"/>
          <w:szCs w:val="26"/>
        </w:rPr>
        <w:t>pueda reducir al mínimo los plazos de respuesta para la realización de las valoraciones solicitadas en adelante.</w:t>
      </w:r>
    </w:p>
    <w:p w:rsidRPr="00AE1B2B" w:rsidR="009D3FB5" w:rsidP="00163B94" w:rsidRDefault="00BB7720" w14:paraId="4EDE99E5" w14:textId="140D37C3">
      <w:pPr>
        <w:pStyle w:val="Default"/>
        <w:tabs>
          <w:tab w:val="left" w:pos="426"/>
        </w:tabs>
        <w:spacing w:before="120" w:after="120"/>
        <w:ind w:left="851" w:right="851" w:firstLine="709"/>
        <w:jc w:val="both"/>
        <w:rPr>
          <w:rFonts w:ascii="Times New Roman" w:hAnsi="Times New Roman" w:cs="Times New Roman"/>
          <w:iCs/>
          <w:color w:val="auto"/>
          <w:spacing w:val="-3"/>
          <w:sz w:val="26"/>
          <w:szCs w:val="26"/>
        </w:rPr>
      </w:pPr>
      <w:r w:rsidRPr="00AE1B2B">
        <w:rPr>
          <w:rFonts w:ascii="Times New Roman" w:hAnsi="Times New Roman" w:cs="Times New Roman"/>
          <w:color w:val="auto"/>
          <w:sz w:val="26"/>
          <w:szCs w:val="26"/>
        </w:rPr>
        <w:t xml:space="preserve"> </w:t>
      </w:r>
    </w:p>
    <w:p w:rsidRPr="00AE1B2B" w:rsidR="009D3FB5" w:rsidP="00163B94" w:rsidRDefault="009D3FB5" w14:paraId="4CC2B71D" w14:textId="77777777">
      <w:pPr>
        <w:pStyle w:val="Default"/>
        <w:numPr>
          <w:ilvl w:val="1"/>
          <w:numId w:val="91"/>
        </w:numPr>
        <w:tabs>
          <w:tab w:val="left" w:pos="426"/>
        </w:tabs>
        <w:spacing w:before="120" w:after="120"/>
        <w:ind w:left="851" w:right="851" w:firstLine="709"/>
        <w:jc w:val="both"/>
        <w:rPr>
          <w:rFonts w:ascii="Times New Roman" w:hAnsi="Times New Roman" w:cs="Times New Roman"/>
          <w:iCs/>
          <w:color w:val="auto"/>
          <w:spacing w:val="-3"/>
          <w:sz w:val="26"/>
          <w:szCs w:val="26"/>
        </w:rPr>
      </w:pPr>
      <w:r w:rsidRPr="00AE1B2B">
        <w:rPr>
          <w:rFonts w:ascii="Times New Roman" w:hAnsi="Times New Roman" w:cs="Times New Roman"/>
          <w:color w:val="auto"/>
          <w:sz w:val="26"/>
          <w:szCs w:val="26"/>
        </w:rPr>
        <w:t>Costos presupuestarios asociados con el Código Procesal de Familia</w:t>
      </w:r>
    </w:p>
    <w:p w:rsidRPr="00AE1B2B" w:rsidR="009D3FB5" w:rsidP="00163B94" w:rsidRDefault="009D3FB5" w14:paraId="64F7B3F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DC0022B" w14:textId="3AD865CA">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Para el 2022, se mantiene el requerimiento contemplado en el informe 656-PLA-RH-MI-2020, y se incorporan</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9 recursos nuevos </w:t>
      </w:r>
      <w:r w:rsidRPr="00AE1B2B">
        <w:rPr>
          <w:rFonts w:ascii="Times New Roman" w:hAnsi="Times New Roman" w:cs="Times New Roman"/>
          <w:sz w:val="26"/>
          <w:szCs w:val="26"/>
        </w:rPr>
        <w:lastRenderedPageBreak/>
        <w:t>en total, 6 nuevas plazas extraordinarias de Técnica o Técnico Judicial 2, 2 nuevas plazas extraordinarias de Técnica o Técnico Judicial 1 y 1 nueva plaza extraordinaria de Jueza o Juez 1, para un costo estimado total de ₡41,650,750.00 por concepto de recurso humano necesario para la entrada en vigencia del Código Procesal Familia por los meses de octubre a diciembre 2022.</w:t>
      </w:r>
    </w:p>
    <w:p w:rsidRPr="00AE1B2B" w:rsidR="009D3FB5" w:rsidP="00163B94" w:rsidRDefault="009D3FB5" w14:paraId="1A1FF3A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6D23051" w14:textId="302E3F43">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detalle del presupuesto para 2021 solicitado por la Dirección Ejecutiva asciende a</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₡4,149,914.00, por concepto de gastos variables por suministros, mobiliario y equipo (no contempla equipo de cómputo que es presupuestado por la Dirección de Tecnología de la Información) .</w:t>
      </w:r>
    </w:p>
    <w:p w:rsidRPr="00AE1B2B" w:rsidR="009D3FB5" w:rsidP="00163B94" w:rsidRDefault="009D3FB5" w14:paraId="5894828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460F6A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detalle del presupuesto requerido por la Dirección de Tecnología de la Información para la adquisición equipo de cómputo de las plazas nuevas, licencias y diseño sitio web de la Comisión de Familia asciende a ₡20,886,644.60. </w:t>
      </w:r>
    </w:p>
    <w:p w:rsidRPr="00AE1B2B" w:rsidR="009D3FB5" w:rsidP="00163B94" w:rsidRDefault="009D3FB5" w14:paraId="26E3043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E25778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proceso de capacitación, implementación y seguimiento de la aplicación de la nueva ley por parte de la Escuela Judicial se estima en ₡84,250,000.00 según el requerimiento y plan de capacitación de la Escuela Judicial en modalidad virtual-presencial para 2022.</w:t>
      </w:r>
    </w:p>
    <w:p w:rsidRPr="00AE1B2B" w:rsidR="009D3FB5" w:rsidP="00163B94" w:rsidRDefault="009D3FB5" w14:paraId="2E66CC0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8AD467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Centro de Apoyo, Coordinación y Mejoramiento de la Función Jurisdiccional estima la necesidad de incluir 12 persona juzgadora 4, 1 técnico judicial 2, 1 profesionales 2 y 4 personas juzgadoras 3 todo esto para un costo total anual de ₡327,751,000.00 conforme a lo recomendado por la Dirección de Planificación en el informe 656-PLARH-MI-2020. </w:t>
      </w:r>
    </w:p>
    <w:p w:rsidRPr="00AE1B2B" w:rsidR="009D3FB5" w:rsidP="00163B94" w:rsidRDefault="009D3FB5" w14:paraId="6A74FF9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57F600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incorporan adicionalmente ₡30,000,000.00 para el pago de peritajes por parte del Departamento de Trabajo Social y Psicología. </w:t>
      </w:r>
    </w:p>
    <w:p w:rsidRPr="00AE1B2B" w:rsidR="009D3FB5" w:rsidP="00163B94" w:rsidRDefault="009D3FB5" w14:paraId="22941AF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6DBBD4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Los costos correspondientes a la implementación del Código Procesal de Familia tomando en cuenta los costos de recurso humano y gastos variables, para 2022 ascienden a un total de </w:t>
      </w:r>
      <w:r w:rsidRPr="00AE1B2B">
        <w:rPr>
          <w:rFonts w:ascii="Times New Roman" w:hAnsi="Times New Roman" w:cs="Times New Roman"/>
          <w:b/>
          <w:bCs/>
          <w:sz w:val="26"/>
          <w:szCs w:val="26"/>
        </w:rPr>
        <w:t xml:space="preserve">₡508,688,308.60 </w:t>
      </w:r>
    </w:p>
    <w:p w:rsidRPr="00AE1B2B" w:rsidR="009D3FB5" w:rsidP="00163B94" w:rsidRDefault="009D3FB5" w14:paraId="56F8A86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C60607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860824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973A71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4DE763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5694FA1" w14:textId="0F26825F">
      <w:pPr>
        <w:pStyle w:val="Prrafodelista"/>
        <w:numPr>
          <w:ilvl w:val="0"/>
          <w:numId w:val="144"/>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Recomendaciones</w:t>
      </w:r>
    </w:p>
    <w:p w:rsidRPr="00AE1B2B" w:rsidR="009D3FB5" w:rsidP="00163B94" w:rsidRDefault="009D3FB5" w14:paraId="2420A9C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41F274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continuación, se presentan las recomendaciones del informe:</w:t>
      </w:r>
    </w:p>
    <w:p w:rsidRPr="00AE1B2B" w:rsidR="009D3FB5" w:rsidP="00163B94" w:rsidRDefault="009D3FB5" w14:paraId="0A3236F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37384B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Corte Plena</w:t>
      </w:r>
    </w:p>
    <w:p w:rsidRPr="00AE1B2B" w:rsidR="009D3FB5" w:rsidP="00163B94" w:rsidRDefault="009D3FB5" w14:paraId="41B711EF" w14:textId="77777777">
      <w:pPr>
        <w:pStyle w:val="Prrafodelista"/>
        <w:numPr>
          <w:ilvl w:val="1"/>
          <w:numId w:val="9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Aprobar la propuesta de incorporar los siguientes rubros a nivel del presupuesto para la implementación del Código Procesal de Familia, para remitirlo en forma separada del presupuesto ordinario institucional al Ministerio de Hacienda para el 2022:</w:t>
      </w:r>
    </w:p>
    <w:p w:rsidRPr="00AE1B2B" w:rsidR="009D3FB5" w:rsidP="00163B94" w:rsidRDefault="009D3FB5" w14:paraId="2737D32B"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23ACEE31" w14:textId="502C171C">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nivel de recurso humano para las oficinas jurisdiccionales, la creación de 9 recursos nuevos en total, 6 nuevas plazas extraordinarias de Técnica o Técnico Judicial 2, 2 nuevas plazas extraordinarias de Técnica o Técnico Judicial 1 y 1 nueva plaza extraordinaria de Jueza o Juez 1, por un monto de</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₡41,650,750.00 en el presupuesto 2022, por concepto de necesidad de recurso humano producto de la entrada en vigencia del Código Procesal Familia por 3 meses (octubre – diciembre 2022).</w:t>
      </w:r>
    </w:p>
    <w:p w:rsidRPr="00AE1B2B" w:rsidR="009D3FB5" w:rsidP="00163B94" w:rsidRDefault="009D3FB5" w14:paraId="3C3A91E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DFC75C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Aprobar la creación en condición extraordinaria de 7 plazas adscritas a CACMFJ ( 1 plaza de Juez o Juez 4 Gestor, 1 técnico Judicial 2 y una plaza de Profesional 2 para apoyo administrativo del Gestor, seguimiento de las oficinas, diseño de planes de trabajo, coordinaciones asociadas a la implementación de planes de Trabajo, así como 4 personas juzgadoras categoría 3 con competencia a nivel nacional para colaborar con el descongestionamiento de los despachos de Familia a nivel nacional previo a la entrada en vigencia de la Ley 9747). Todo lo anterior con un costo anual de ₡327,751,000.</w:t>
      </w:r>
    </w:p>
    <w:p w:rsidRPr="00AE1B2B" w:rsidR="009D3FB5" w:rsidP="00163B94" w:rsidRDefault="009D3FB5" w14:paraId="493E4C5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603C6FF" w14:textId="3AF54249">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Así como la propuesta de la Dirección Ejecutiva por ₡4,149,914.00 para gastos variables (suministros, equipo y mobiliario) asociado a las nuevas plazas aquí recomendadas.</w:t>
      </w:r>
      <w:r w:rsidRPr="00AE1B2B" w:rsidR="00BB7720">
        <w:rPr>
          <w:rFonts w:ascii="Times New Roman" w:hAnsi="Times New Roman" w:cs="Times New Roman"/>
          <w:sz w:val="26"/>
          <w:szCs w:val="26"/>
        </w:rPr>
        <w:t xml:space="preserve"> </w:t>
      </w:r>
    </w:p>
    <w:p w:rsidRPr="00AE1B2B" w:rsidR="009D3FB5" w:rsidP="00163B94" w:rsidRDefault="009D3FB5" w14:paraId="09F62E9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465CD0A" w14:textId="126AED1A">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Para la Dirección de Tecnología de la Información se requiere un monto de</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₡20,886,644.60 para equipo de cómputo de las plazas nuevas, licencias y construcción del sitio web de la Comisión de Familia. </w:t>
      </w:r>
    </w:p>
    <w:p w:rsidRPr="00AE1B2B" w:rsidR="009D3FB5" w:rsidP="00163B94" w:rsidRDefault="009D3FB5" w14:paraId="1077DA5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100100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Aprobar la propuesta de capacitación de la Escuela Judicial, por un monto de ₡84,250,000 para la capacitación en 2022 en modalidad presencial-virtual conforme al diseño de capacitación incluido en el apartado 8.3 de este informe.</w:t>
      </w:r>
    </w:p>
    <w:p w:rsidRPr="00AE1B2B" w:rsidR="009D3FB5" w:rsidP="00163B94" w:rsidRDefault="009D3FB5" w14:paraId="5A74916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4FAC54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Aprobar la incorporación en el presupuesto de este proyecto ₡30,000,000 para garantizar la atención célere de los dictámenes solicitados por los distintos juzgados de familia a nivel nacional y permitir que el Departamento de Trabajo Social y Psicología pueda reducir al mínimo los plazos de respuesta para la realización de las valoraciones solicitadas en adelante.</w:t>
      </w:r>
    </w:p>
    <w:p w:rsidRPr="00AE1B2B" w:rsidR="009D3FB5" w:rsidP="00163B94" w:rsidRDefault="009D3FB5" w14:paraId="636E283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9D3FB5" w14:paraId="140A1C3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costo de la implementación inicial del Código Procesal de Familia para el 2022, se estima en ₡508,668,308.60 con el siguiente detalle por programa.</w:t>
      </w:r>
    </w:p>
    <w:p w:rsidRPr="00AE1B2B" w:rsidR="009D3FB5" w:rsidP="00163B94" w:rsidRDefault="009D3FB5" w14:paraId="62E8B64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4A5B543" w14:textId="77777777">
      <w:pPr>
        <w:pStyle w:val="Descripcin"/>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Cuadro </w:t>
      </w:r>
      <w:r w:rsidRPr="00AE1B2B">
        <w:rPr>
          <w:rFonts w:ascii="Times New Roman" w:hAnsi="Times New Roman" w:cs="Times New Roman"/>
          <w:sz w:val="26"/>
          <w:szCs w:val="26"/>
        </w:rPr>
        <w:fldChar w:fldCharType="begin"/>
      </w:r>
      <w:r w:rsidRPr="00AE1B2B">
        <w:rPr>
          <w:rFonts w:ascii="Times New Roman" w:hAnsi="Times New Roman" w:cs="Times New Roman"/>
          <w:sz w:val="26"/>
          <w:szCs w:val="26"/>
        </w:rPr>
        <w:instrText xml:space="preserve"> SEQ Cuadro \* ARABIC </w:instrText>
      </w:r>
      <w:r w:rsidRPr="00AE1B2B">
        <w:rPr>
          <w:rFonts w:ascii="Times New Roman" w:hAnsi="Times New Roman" w:cs="Times New Roman"/>
          <w:sz w:val="26"/>
          <w:szCs w:val="26"/>
        </w:rPr>
        <w:fldChar w:fldCharType="separate"/>
      </w:r>
      <w:r w:rsidRPr="00AE1B2B">
        <w:rPr>
          <w:rFonts w:ascii="Times New Roman" w:hAnsi="Times New Roman" w:cs="Times New Roman"/>
          <w:noProof/>
          <w:sz w:val="26"/>
          <w:szCs w:val="26"/>
        </w:rPr>
        <w:t>69</w:t>
      </w:r>
      <w:r w:rsidRPr="00AE1B2B">
        <w:rPr>
          <w:rFonts w:ascii="Times New Roman" w:hAnsi="Times New Roman" w:cs="Times New Roman"/>
          <w:sz w:val="26"/>
          <w:szCs w:val="26"/>
        </w:rPr>
        <w:fldChar w:fldCharType="end"/>
      </w:r>
      <w:r w:rsidRPr="00AE1B2B">
        <w:rPr>
          <w:rFonts w:ascii="Times New Roman" w:hAnsi="Times New Roman" w:cs="Times New Roman"/>
          <w:sz w:val="26"/>
          <w:szCs w:val="26"/>
        </w:rPr>
        <w:t xml:space="preserve"> </w:t>
      </w:r>
    </w:p>
    <w:p w:rsidRPr="00AE1B2B" w:rsidR="009D3FB5" w:rsidP="00163B94" w:rsidRDefault="009D3FB5" w14:paraId="34277B4C" w14:textId="77777777">
      <w:pPr>
        <w:pStyle w:val="Descripcin"/>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Costos económicos asociados al CPF, 2022</w:t>
      </w:r>
    </w:p>
    <w:tbl>
      <w:tblPr>
        <w:tblW w:w="9871" w:type="dxa"/>
        <w:jc w:val="center"/>
        <w:tblCellMar>
          <w:left w:w="70" w:type="dxa"/>
          <w:right w:w="70" w:type="dxa"/>
        </w:tblCellMar>
        <w:tblLook w:val="04A0" w:firstRow="1" w:lastRow="0" w:firstColumn="1" w:lastColumn="0" w:noHBand="0" w:noVBand="1"/>
      </w:tblPr>
      <w:tblGrid>
        <w:gridCol w:w="4531"/>
        <w:gridCol w:w="1780"/>
        <w:gridCol w:w="1780"/>
        <w:gridCol w:w="1780"/>
      </w:tblGrid>
      <w:tr w:rsidRPr="00AE1B2B" w:rsidR="00AE1B2B" w:rsidTr="009D3FB5" w14:paraId="1F558FE4" w14:textId="77777777">
        <w:trPr>
          <w:trHeight w:val="288"/>
          <w:jc w:val="center"/>
        </w:trPr>
        <w:tc>
          <w:tcPr>
            <w:tcW w:w="4531" w:type="dxa"/>
            <w:tcBorders>
              <w:top w:val="single" w:color="auto" w:sz="4" w:space="0"/>
              <w:left w:val="single" w:color="auto" w:sz="4" w:space="0"/>
              <w:bottom w:val="single" w:color="auto" w:sz="4" w:space="0"/>
              <w:right w:val="single" w:color="auto" w:sz="4" w:space="0"/>
            </w:tcBorders>
            <w:shd w:val="clear" w:color="000000" w:fill="0070C0"/>
            <w:noWrap/>
            <w:vAlign w:val="bottom"/>
            <w:hideMark/>
          </w:tcPr>
          <w:p w:rsidRPr="00AE1B2B" w:rsidR="009D3FB5" w:rsidP="00163B94" w:rsidRDefault="009D3FB5" w14:paraId="69B1CFAC"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Requerimiento</w:t>
            </w:r>
          </w:p>
        </w:tc>
        <w:tc>
          <w:tcPr>
            <w:tcW w:w="1780" w:type="dxa"/>
            <w:tcBorders>
              <w:top w:val="single" w:color="auto" w:sz="4" w:space="0"/>
              <w:left w:val="nil"/>
              <w:bottom w:val="single" w:color="auto" w:sz="4" w:space="0"/>
              <w:right w:val="single" w:color="auto" w:sz="4" w:space="0"/>
            </w:tcBorders>
            <w:shd w:val="clear" w:color="000000" w:fill="0070C0"/>
            <w:vAlign w:val="center"/>
            <w:hideMark/>
          </w:tcPr>
          <w:p w:rsidRPr="00AE1B2B" w:rsidR="009D3FB5" w:rsidP="00163B94" w:rsidRDefault="009D3FB5" w14:paraId="6578FB1C"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Programa 926</w:t>
            </w:r>
          </w:p>
        </w:tc>
        <w:tc>
          <w:tcPr>
            <w:tcW w:w="1780" w:type="dxa"/>
            <w:tcBorders>
              <w:top w:val="single" w:color="auto" w:sz="4" w:space="0"/>
              <w:left w:val="nil"/>
              <w:bottom w:val="single" w:color="auto" w:sz="4" w:space="0"/>
              <w:right w:val="single" w:color="auto" w:sz="4" w:space="0"/>
            </w:tcBorders>
            <w:shd w:val="clear" w:color="000000" w:fill="0070C0"/>
            <w:vAlign w:val="center"/>
            <w:hideMark/>
          </w:tcPr>
          <w:p w:rsidRPr="00AE1B2B" w:rsidR="009D3FB5" w:rsidP="00163B94" w:rsidRDefault="009D3FB5" w14:paraId="6D464426"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Programa 927</w:t>
            </w:r>
          </w:p>
        </w:tc>
        <w:tc>
          <w:tcPr>
            <w:tcW w:w="1780" w:type="dxa"/>
            <w:tcBorders>
              <w:top w:val="single" w:color="auto" w:sz="4" w:space="0"/>
              <w:left w:val="nil"/>
              <w:bottom w:val="single" w:color="auto" w:sz="4" w:space="0"/>
              <w:right w:val="single" w:color="auto" w:sz="4" w:space="0"/>
            </w:tcBorders>
            <w:shd w:val="clear" w:color="000000" w:fill="0070C0"/>
            <w:noWrap/>
            <w:vAlign w:val="bottom"/>
            <w:hideMark/>
          </w:tcPr>
          <w:p w:rsidRPr="00AE1B2B" w:rsidR="009D3FB5" w:rsidP="00163B94" w:rsidRDefault="009D3FB5" w14:paraId="3BB163FC"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Subtotal</w:t>
            </w:r>
          </w:p>
        </w:tc>
      </w:tr>
      <w:tr w:rsidRPr="00AE1B2B" w:rsidR="00AE1B2B" w:rsidTr="009D3FB5" w14:paraId="3EE15A59" w14:textId="77777777">
        <w:trPr>
          <w:trHeight w:val="444"/>
          <w:jc w:val="center"/>
        </w:trPr>
        <w:tc>
          <w:tcPr>
            <w:tcW w:w="4531" w:type="dxa"/>
            <w:tcBorders>
              <w:top w:val="nil"/>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07DF36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Recurso humano plazas extraordinarias</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AEF542A" w14:textId="77777777">
            <w:pPr>
              <w:spacing w:before="120" w:after="120"/>
              <w:jc w:val="center"/>
              <w:rPr>
                <w:rFonts w:ascii="Times New Roman" w:hAnsi="Times New Roman" w:eastAsia="Times New Roman" w:cs="Times New Roman"/>
                <w:lang w:eastAsia="es-CR"/>
              </w:rPr>
            </w:pP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7A7CAD5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369,401,750.00</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C13CE6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369,401,750.00</w:t>
            </w:r>
          </w:p>
        </w:tc>
      </w:tr>
      <w:tr w:rsidRPr="00AE1B2B" w:rsidR="00AE1B2B" w:rsidTr="009D3FB5" w14:paraId="6ABC86FA" w14:textId="77777777">
        <w:trPr>
          <w:trHeight w:val="564"/>
          <w:jc w:val="center"/>
        </w:trPr>
        <w:tc>
          <w:tcPr>
            <w:tcW w:w="4531"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653CC8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Suplencias para capacitación-Escuela Judicial</w:t>
            </w:r>
          </w:p>
        </w:tc>
        <w:tc>
          <w:tcPr>
            <w:tcW w:w="1780"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7D9C908" w14:textId="77777777">
            <w:pPr>
              <w:spacing w:before="120" w:after="120"/>
              <w:jc w:val="center"/>
              <w:rPr>
                <w:rFonts w:ascii="Times New Roman" w:hAnsi="Times New Roman" w:eastAsia="Times New Roman" w:cs="Times New Roman"/>
                <w:lang w:eastAsia="es-CR"/>
              </w:rPr>
            </w:pPr>
          </w:p>
        </w:tc>
        <w:tc>
          <w:tcPr>
            <w:tcW w:w="1780"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902130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84,250,000.00</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FA07BD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84,250,000.00</w:t>
            </w:r>
          </w:p>
        </w:tc>
      </w:tr>
      <w:tr w:rsidRPr="00AE1B2B" w:rsidR="00AE1B2B" w:rsidTr="009D3FB5" w14:paraId="1D22EEA4" w14:textId="77777777">
        <w:trPr>
          <w:trHeight w:val="576"/>
          <w:jc w:val="center"/>
        </w:trPr>
        <w:tc>
          <w:tcPr>
            <w:tcW w:w="4531"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5D931FC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2.99.03 Productos de papel, cartón e impresos-Dirección Ejecutiva</w:t>
            </w:r>
          </w:p>
        </w:tc>
        <w:tc>
          <w:tcPr>
            <w:tcW w:w="1780"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036F1E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70,000.00</w:t>
            </w:r>
          </w:p>
        </w:tc>
        <w:tc>
          <w:tcPr>
            <w:tcW w:w="1780"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6EB183E" w14:textId="77777777">
            <w:pPr>
              <w:spacing w:before="120" w:after="120"/>
              <w:jc w:val="center"/>
              <w:rPr>
                <w:rFonts w:ascii="Times New Roman" w:hAnsi="Times New Roman" w:eastAsia="Times New Roman" w:cs="Times New Roman"/>
                <w:lang w:eastAsia="es-CR"/>
              </w:rPr>
            </w:pP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040DB69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70,000.00</w:t>
            </w:r>
          </w:p>
        </w:tc>
      </w:tr>
      <w:tr w:rsidRPr="00AE1B2B" w:rsidR="00AE1B2B" w:rsidTr="009D3FB5" w14:paraId="1BAFCF7C" w14:textId="77777777">
        <w:trPr>
          <w:trHeight w:val="576"/>
          <w:jc w:val="center"/>
        </w:trPr>
        <w:tc>
          <w:tcPr>
            <w:tcW w:w="4531"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029C1FF"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2.99.99 Otros útiles, materiales y suministros diversos-Dirección Ejecutiva</w:t>
            </w:r>
          </w:p>
        </w:tc>
        <w:tc>
          <w:tcPr>
            <w:tcW w:w="1780"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D044B3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572,250.00</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8C69FA6" w14:textId="77777777">
            <w:pPr>
              <w:spacing w:before="120" w:after="120"/>
              <w:jc w:val="center"/>
              <w:rPr>
                <w:rFonts w:ascii="Times New Roman" w:hAnsi="Times New Roman" w:eastAsia="Times New Roman" w:cs="Times New Roman"/>
                <w:lang w:eastAsia="es-CR"/>
              </w:rPr>
            </w:pP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6E78A4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572,250.00</w:t>
            </w:r>
          </w:p>
        </w:tc>
      </w:tr>
      <w:tr w:rsidRPr="00AE1B2B" w:rsidR="00AE1B2B" w:rsidTr="009D3FB5" w14:paraId="3184ABE4" w14:textId="77777777">
        <w:trPr>
          <w:trHeight w:val="576"/>
          <w:jc w:val="center"/>
        </w:trPr>
        <w:tc>
          <w:tcPr>
            <w:tcW w:w="4531"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2B782C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lastRenderedPageBreak/>
              <w:t>5.01.04 Equipo y mobiliario de oficina -Dirección Ejecutiva</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52168CF" w14:textId="77777777">
            <w:pPr>
              <w:spacing w:before="120" w:after="120"/>
              <w:jc w:val="center"/>
              <w:rPr>
                <w:rFonts w:ascii="Times New Roman" w:hAnsi="Times New Roman" w:eastAsia="Times New Roman" w:cs="Times New Roman"/>
                <w:lang w:eastAsia="es-CR"/>
              </w:rPr>
            </w:pP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3DBE967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3,507,664.00</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39FB8E3"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3,507,664.00</w:t>
            </w:r>
          </w:p>
        </w:tc>
      </w:tr>
      <w:tr w:rsidRPr="00AE1B2B" w:rsidR="00AE1B2B" w:rsidTr="009D3FB5" w14:paraId="1297AF39" w14:textId="77777777">
        <w:trPr>
          <w:trHeight w:val="576"/>
          <w:jc w:val="center"/>
        </w:trPr>
        <w:tc>
          <w:tcPr>
            <w:tcW w:w="4531"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9C311F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Equipo de cómputo y licencias -Dirección de Tecnología de la Información </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5B95C750" w14:textId="77777777">
            <w:pPr>
              <w:spacing w:before="120" w:after="120"/>
              <w:jc w:val="center"/>
              <w:rPr>
                <w:rFonts w:ascii="Times New Roman" w:hAnsi="Times New Roman" w:eastAsia="Times New Roman" w:cs="Times New Roman"/>
                <w:lang w:eastAsia="es-CR"/>
              </w:rPr>
            </w:pP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C0C2EF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5,886,644.60</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A71961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5,886,644.60</w:t>
            </w:r>
          </w:p>
        </w:tc>
      </w:tr>
      <w:tr w:rsidRPr="00AE1B2B" w:rsidR="00AE1B2B" w:rsidTr="009D3FB5" w14:paraId="5C8CC6F9" w14:textId="77777777">
        <w:trPr>
          <w:trHeight w:val="576"/>
          <w:jc w:val="center"/>
        </w:trPr>
        <w:tc>
          <w:tcPr>
            <w:tcW w:w="4531"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6029E06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Desarrollo página web de la Comisión de Familia -Dirección de Tecnología de la Información</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1924F7E" w14:textId="77777777">
            <w:pPr>
              <w:spacing w:before="120" w:after="120"/>
              <w:jc w:val="center"/>
              <w:rPr>
                <w:rFonts w:ascii="Times New Roman" w:hAnsi="Times New Roman" w:eastAsia="Times New Roman" w:cs="Times New Roman"/>
                <w:lang w:eastAsia="es-CR"/>
              </w:rPr>
            </w:pP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2500759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15,000,000.00</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1DABA2A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15,000,000.00</w:t>
            </w:r>
          </w:p>
        </w:tc>
      </w:tr>
      <w:tr w:rsidRPr="00AE1B2B" w:rsidR="00AE1B2B" w:rsidTr="009D3FB5" w14:paraId="3D4D8522" w14:textId="77777777">
        <w:trPr>
          <w:trHeight w:val="492"/>
          <w:jc w:val="center"/>
        </w:trPr>
        <w:tc>
          <w:tcPr>
            <w:tcW w:w="4531"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FBA2F8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Pago de peritajes-Departamento de Trabajo Social</w:t>
            </w:r>
          </w:p>
        </w:tc>
        <w:tc>
          <w:tcPr>
            <w:tcW w:w="1780"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4BE053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30,000,000.00</w:t>
            </w: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48D9F6A7" w14:textId="77777777">
            <w:pPr>
              <w:spacing w:before="120" w:after="120"/>
              <w:jc w:val="center"/>
              <w:rPr>
                <w:rFonts w:ascii="Times New Roman" w:hAnsi="Times New Roman" w:eastAsia="Times New Roman" w:cs="Times New Roman"/>
                <w:lang w:eastAsia="es-CR"/>
              </w:rPr>
            </w:pPr>
          </w:p>
        </w:tc>
        <w:tc>
          <w:tcPr>
            <w:tcW w:w="1780" w:type="dxa"/>
            <w:tcBorders>
              <w:top w:val="nil"/>
              <w:left w:val="nil"/>
              <w:bottom w:val="single" w:color="auto" w:sz="4" w:space="0"/>
              <w:right w:val="single" w:color="auto" w:sz="4" w:space="0"/>
            </w:tcBorders>
            <w:shd w:val="clear" w:color="auto" w:fill="auto"/>
            <w:noWrap/>
            <w:vAlign w:val="bottom"/>
            <w:hideMark/>
          </w:tcPr>
          <w:p w:rsidRPr="00AE1B2B" w:rsidR="009D3FB5" w:rsidP="00163B94" w:rsidRDefault="009D3FB5" w14:paraId="6CD833F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30,000,000.00</w:t>
            </w:r>
          </w:p>
        </w:tc>
      </w:tr>
      <w:tr w:rsidRPr="00AE1B2B" w:rsidR="00AE1B2B" w:rsidTr="009D3FB5" w14:paraId="4D77C488" w14:textId="77777777">
        <w:trPr>
          <w:trHeight w:val="288"/>
          <w:jc w:val="center"/>
        </w:trPr>
        <w:tc>
          <w:tcPr>
            <w:tcW w:w="4531" w:type="dxa"/>
            <w:tcBorders>
              <w:top w:val="nil"/>
              <w:left w:val="single" w:color="auto" w:sz="4" w:space="0"/>
              <w:bottom w:val="single" w:color="auto" w:sz="4" w:space="0"/>
              <w:right w:val="single" w:color="auto" w:sz="4" w:space="0"/>
            </w:tcBorders>
            <w:shd w:val="clear" w:color="000000" w:fill="DDEBF7"/>
            <w:vAlign w:val="center"/>
            <w:hideMark/>
          </w:tcPr>
          <w:p w:rsidRPr="00AE1B2B" w:rsidR="009D3FB5" w:rsidP="00163B94" w:rsidRDefault="009D3FB5" w14:paraId="61F9486F"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Total</w:t>
            </w:r>
          </w:p>
        </w:tc>
        <w:tc>
          <w:tcPr>
            <w:tcW w:w="1780" w:type="dxa"/>
            <w:tcBorders>
              <w:top w:val="nil"/>
              <w:left w:val="nil"/>
              <w:bottom w:val="single" w:color="auto" w:sz="4" w:space="0"/>
              <w:right w:val="single" w:color="auto" w:sz="4" w:space="0"/>
            </w:tcBorders>
            <w:shd w:val="clear" w:color="000000" w:fill="DDEBF7"/>
            <w:vAlign w:val="center"/>
            <w:hideMark/>
          </w:tcPr>
          <w:p w:rsidRPr="00AE1B2B" w:rsidR="009D3FB5" w:rsidP="00163B94" w:rsidRDefault="009D3FB5" w14:paraId="335CB76C"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 30,642,250.00</w:t>
            </w:r>
          </w:p>
        </w:tc>
        <w:tc>
          <w:tcPr>
            <w:tcW w:w="1780" w:type="dxa"/>
            <w:tcBorders>
              <w:top w:val="nil"/>
              <w:left w:val="nil"/>
              <w:bottom w:val="single" w:color="auto" w:sz="4" w:space="0"/>
              <w:right w:val="single" w:color="auto" w:sz="4" w:space="0"/>
            </w:tcBorders>
            <w:shd w:val="clear" w:color="000000" w:fill="DDEBF7"/>
            <w:vAlign w:val="center"/>
            <w:hideMark/>
          </w:tcPr>
          <w:p w:rsidRPr="00AE1B2B" w:rsidR="009D3FB5" w:rsidP="00163B94" w:rsidRDefault="009D3FB5" w14:paraId="06F56FB2"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₡478,046,058.60</w:t>
            </w:r>
          </w:p>
        </w:tc>
        <w:tc>
          <w:tcPr>
            <w:tcW w:w="1780" w:type="dxa"/>
            <w:tcBorders>
              <w:top w:val="nil"/>
              <w:left w:val="nil"/>
              <w:bottom w:val="single" w:color="auto" w:sz="4" w:space="0"/>
              <w:right w:val="single" w:color="auto" w:sz="4" w:space="0"/>
            </w:tcBorders>
            <w:shd w:val="clear" w:color="000000" w:fill="DDEBF7"/>
            <w:vAlign w:val="center"/>
            <w:hideMark/>
          </w:tcPr>
          <w:p w:rsidRPr="00AE1B2B" w:rsidR="009D3FB5" w:rsidP="00163B94" w:rsidRDefault="009D3FB5" w14:paraId="10CAC1C1" w14:textId="77777777">
            <w:pPr>
              <w:spacing w:before="120" w:after="120"/>
              <w:jc w:val="center"/>
              <w:rPr>
                <w:rFonts w:ascii="Times New Roman" w:hAnsi="Times New Roman" w:eastAsia="Times New Roman" w:cs="Times New Roman"/>
                <w:b/>
                <w:bCs/>
                <w:lang w:eastAsia="es-CR"/>
              </w:rPr>
            </w:pPr>
            <w:r w:rsidRPr="00AE1B2B">
              <w:rPr>
                <w:rFonts w:ascii="Times New Roman" w:hAnsi="Times New Roman" w:eastAsia="Times New Roman" w:cs="Times New Roman"/>
                <w:b/>
                <w:bCs/>
                <w:lang w:eastAsia="es-CR"/>
              </w:rPr>
              <w:t>₡508,688,308.60</w:t>
            </w:r>
          </w:p>
        </w:tc>
      </w:tr>
    </w:tbl>
    <w:p w:rsidRPr="00AE1B2B" w:rsidR="009D3FB5" w:rsidP="00163B94" w:rsidRDefault="009D3FB5" w14:paraId="06BB70D3" w14:textId="77777777">
      <w:pPr>
        <w:pStyle w:val="Fuentes"/>
        <w:spacing w:before="120" w:after="120" w:line="240" w:lineRule="auto"/>
        <w:ind w:left="851" w:right="851" w:firstLine="709"/>
        <w:rPr>
          <w:rFonts w:ascii="Times New Roman" w:hAnsi="Times New Roman" w:cs="Times New Roman"/>
          <w:sz w:val="26"/>
          <w:szCs w:val="26"/>
        </w:rPr>
      </w:pPr>
      <w:r w:rsidRPr="00AE1B2B">
        <w:rPr>
          <w:rFonts w:ascii="Times New Roman" w:hAnsi="Times New Roman" w:cs="Times New Roman"/>
        </w:rPr>
        <w:t xml:space="preserve"> </w:t>
      </w:r>
      <w:r w:rsidRPr="00AE1B2B">
        <w:rPr>
          <w:rFonts w:ascii="Times New Roman" w:hAnsi="Times New Roman" w:cs="Times New Roman"/>
          <w:sz w:val="26"/>
          <w:szCs w:val="26"/>
        </w:rPr>
        <w:t>Fuente: Subproceso de Modernización Institucional.</w:t>
      </w:r>
    </w:p>
    <w:p w:rsidRPr="00AE1B2B" w:rsidR="009D3FB5" w:rsidP="00163B94" w:rsidRDefault="009D3FB5" w14:paraId="50EF3417" w14:textId="5C157CFE">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3AE24E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la Comisión de la Jurisdicción Familia Niñez y Adolescencia</w:t>
      </w:r>
    </w:p>
    <w:p w:rsidRPr="00AE1B2B" w:rsidR="009D3FB5" w:rsidP="00163B94" w:rsidRDefault="009D3FB5" w14:paraId="4AC9B35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6F2D8A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12.2. La Comisión de la Jurisdicción Familia Niñez y Adolescencia debe velar por el cumplimiento y seguimiento de las recomendaciones planteadas en este informe y la atención de las recomendaciones emitidas por la Contraloría General de la República, las cuales deben quedar documentadas y comunicadas a las partes involucradas. </w:t>
      </w:r>
    </w:p>
    <w:p w:rsidRPr="00AE1B2B" w:rsidR="009D3FB5" w:rsidP="00163B94" w:rsidRDefault="009D3FB5" w14:paraId="1D6DEDF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D4EBCC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12.3. Deberá solicitar y brindar seguimiento a los despachos que atienden materia de Familia y Pensiones Alimentarias que realicen la actualización de la información en los sistemas de información con que cuenta la Institución de forma que las consultas que se realicen brinden información certera. </w:t>
      </w:r>
    </w:p>
    <w:p w:rsidRPr="00AE1B2B" w:rsidR="009D3FB5" w:rsidP="00163B94" w:rsidRDefault="009D3FB5" w14:paraId="70ADD46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7BB05CE" w14:textId="1FFBC0EA">
      <w:pPr>
        <w:pStyle w:val="Fuentes"/>
        <w:spacing w:before="120" w:after="120" w:line="240" w:lineRule="auto"/>
        <w:ind w:left="851" w:right="851" w:firstLine="709"/>
        <w:rPr>
          <w:rFonts w:ascii="Times New Roman" w:hAnsi="Times New Roman" w:cs="Times New Roman"/>
          <w:bCs w:val="0"/>
          <w:i w:val="0"/>
          <w:sz w:val="26"/>
          <w:szCs w:val="26"/>
          <w:lang w:eastAsia="es-CR"/>
        </w:rPr>
      </w:pPr>
      <w:r w:rsidRPr="00AE1B2B">
        <w:rPr>
          <w:rFonts w:ascii="Times New Roman" w:hAnsi="Times New Roman" w:cs="Times New Roman"/>
          <w:bCs w:val="0"/>
          <w:i w:val="0"/>
          <w:sz w:val="26"/>
          <w:szCs w:val="26"/>
          <w:lang w:eastAsia="es-CR"/>
        </w:rPr>
        <w:t>12.4. Proponer emitir una directriz o circular en carácter urgente en donde por cada clase de asunto se identifique los posibles tipos de resolución y resultados que puedan utilizarse conforme al diseño de la fórmula estadística y la circular 260-2020, a fin de estandarizar la información estadística que incluyen las oficinas y que permita completar adecuadamente las matrices de indicadores.</w:t>
      </w:r>
      <w:r w:rsidRPr="00AE1B2B" w:rsidR="00BB7720">
        <w:rPr>
          <w:rFonts w:ascii="Times New Roman" w:hAnsi="Times New Roman" w:cs="Times New Roman"/>
          <w:bCs w:val="0"/>
          <w:i w:val="0"/>
          <w:sz w:val="26"/>
          <w:szCs w:val="26"/>
          <w:lang w:eastAsia="es-CR"/>
        </w:rPr>
        <w:t xml:space="preserve"> </w:t>
      </w:r>
      <w:r w:rsidRPr="00AE1B2B">
        <w:rPr>
          <w:rFonts w:ascii="Times New Roman" w:hAnsi="Times New Roman" w:cs="Times New Roman"/>
          <w:bCs w:val="0"/>
          <w:i w:val="0"/>
          <w:sz w:val="26"/>
          <w:szCs w:val="26"/>
          <w:lang w:eastAsia="es-CR"/>
        </w:rPr>
        <w:t xml:space="preserve">Lo anterior también en atención a las recomendaciones emitidas por la Contraloría General de la República. </w:t>
      </w:r>
    </w:p>
    <w:p w:rsidRPr="00AE1B2B" w:rsidR="009D3FB5" w:rsidP="00163B94" w:rsidRDefault="009D3FB5" w14:paraId="3CDA9045" w14:textId="77777777">
      <w:pPr>
        <w:pStyle w:val="Fuentes"/>
        <w:spacing w:before="120" w:after="120" w:line="240" w:lineRule="auto"/>
        <w:ind w:left="851" w:right="851" w:firstLine="709"/>
        <w:rPr>
          <w:rFonts w:ascii="Times New Roman" w:hAnsi="Times New Roman" w:cs="Times New Roman"/>
          <w:bCs w:val="0"/>
          <w:i w:val="0"/>
          <w:sz w:val="26"/>
          <w:szCs w:val="26"/>
          <w:lang w:eastAsia="es-CR"/>
        </w:rPr>
      </w:pPr>
    </w:p>
    <w:p w:rsidRPr="00AE1B2B" w:rsidR="009D3FB5" w:rsidP="00163B94" w:rsidRDefault="009D3FB5" w14:paraId="27DD7824" w14:textId="4CE7101D">
      <w:pPr>
        <w:widowControl w:val="0"/>
        <w:spacing w:before="120" w:after="120"/>
        <w:ind w:left="851" w:right="851" w:firstLine="709"/>
        <w:contextualSpacing/>
        <w:jc w:val="both"/>
        <w:rPr>
          <w:rFonts w:ascii="Times New Roman" w:hAnsi="Times New Roman" w:cs="Times New Roman"/>
          <w:sz w:val="26"/>
          <w:szCs w:val="26"/>
          <w:lang w:eastAsia="es-CR"/>
        </w:rPr>
      </w:pPr>
      <w:r w:rsidRPr="00AE1B2B">
        <w:rPr>
          <w:rFonts w:ascii="Times New Roman" w:hAnsi="Times New Roman" w:cs="Times New Roman"/>
          <w:sz w:val="26"/>
          <w:szCs w:val="26"/>
          <w:lang w:eastAsia="es-CR"/>
        </w:rPr>
        <w:lastRenderedPageBreak/>
        <w:t>12.5. Coordinar con la Dirección Ejecutiva para que en la realización inventarios en materia de Familia 2021 los Juzgados Especializados (salvo Niñez y Adolescencia) incluyan las siguientes variables que servirán de insumo para propuestas posteriores de creación de Juzgados de Familia por Ministerio de Ley. Para ello mediante circular 32-2021 de la Dirección Ejecutiva se les facilitó la plantilla respectiva.</w:t>
      </w:r>
      <w:r w:rsidRPr="00AE1B2B" w:rsidR="00BB7720">
        <w:rPr>
          <w:rFonts w:ascii="Times New Roman" w:hAnsi="Times New Roman" w:cs="Times New Roman"/>
          <w:sz w:val="26"/>
          <w:szCs w:val="26"/>
          <w:lang w:eastAsia="es-CR"/>
        </w:rPr>
        <w:t xml:space="preserve"> </w:t>
      </w:r>
    </w:p>
    <w:p w:rsidRPr="00AE1B2B" w:rsidR="009D3FB5" w:rsidP="00163B94" w:rsidRDefault="009D3FB5" w14:paraId="7656C515" w14:textId="77777777">
      <w:pPr>
        <w:widowControl w:val="0"/>
        <w:spacing w:before="120" w:after="120" w:line="276" w:lineRule="auto"/>
        <w:contextualSpacing/>
        <w:rPr>
          <w:rFonts w:ascii="Times New Roman" w:hAnsi="Times New Roman" w:cs="Times New Roman"/>
          <w:sz w:val="24"/>
          <w:szCs w:val="24"/>
          <w:lang w:eastAsia="es-CR"/>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4320"/>
        <w:gridCol w:w="4320"/>
      </w:tblGrid>
      <w:tr w:rsidRPr="00AE1B2B" w:rsidR="00AE1B2B" w:rsidTr="009D3FB5" w14:paraId="14857602" w14:textId="77777777">
        <w:trPr>
          <w:jc w:val="center"/>
        </w:trPr>
        <w:tc>
          <w:tcPr>
            <w:tcW w:w="4320" w:type="dxa"/>
          </w:tcPr>
          <w:p w:rsidRPr="00AE1B2B" w:rsidR="009D3FB5" w:rsidP="00163B94" w:rsidRDefault="009D3FB5" w14:paraId="79D3A5D2" w14:textId="77777777">
            <w:pPr>
              <w:spacing w:before="120" w:after="120"/>
              <w:jc w:val="center"/>
              <w:rPr>
                <w:rFonts w:ascii="Times New Roman" w:hAnsi="Times New Roman" w:cs="Times New Roman"/>
                <w:b/>
              </w:rPr>
            </w:pPr>
            <w:r w:rsidRPr="00AE1B2B">
              <w:rPr>
                <w:rFonts w:ascii="Times New Roman" w:hAnsi="Times New Roman" w:cs="Times New Roman"/>
                <w:b/>
                <w:lang w:val="es-ES_tradnl"/>
              </w:rPr>
              <w:t xml:space="preserve">Tipo de Proceso en Familia </w:t>
            </w:r>
            <w:r w:rsidRPr="00AE1B2B">
              <w:rPr>
                <w:rFonts w:ascii="Times New Roman" w:hAnsi="Times New Roman" w:cs="Times New Roman"/>
              </w:rPr>
              <w:t>(sumarios)</w:t>
            </w:r>
          </w:p>
        </w:tc>
        <w:tc>
          <w:tcPr>
            <w:tcW w:w="4320" w:type="dxa"/>
          </w:tcPr>
          <w:p w:rsidRPr="00AE1B2B" w:rsidR="009D3FB5" w:rsidP="00163B94" w:rsidRDefault="009D3FB5" w14:paraId="478D5868" w14:textId="77777777">
            <w:pPr>
              <w:spacing w:before="120" w:after="120"/>
              <w:jc w:val="center"/>
              <w:rPr>
                <w:rFonts w:ascii="Times New Roman" w:hAnsi="Times New Roman" w:cs="Times New Roman"/>
                <w:b/>
              </w:rPr>
            </w:pPr>
            <w:r w:rsidRPr="00AE1B2B">
              <w:rPr>
                <w:rFonts w:ascii="Times New Roman" w:hAnsi="Times New Roman" w:cs="Times New Roman"/>
                <w:b/>
              </w:rPr>
              <w:t>Variable para revisar en el inventario</w:t>
            </w:r>
          </w:p>
        </w:tc>
      </w:tr>
      <w:tr w:rsidRPr="00AE1B2B" w:rsidR="00AE1B2B" w:rsidTr="009D3FB5" w14:paraId="4B05A0A3" w14:textId="77777777">
        <w:trPr>
          <w:jc w:val="center"/>
        </w:trPr>
        <w:tc>
          <w:tcPr>
            <w:tcW w:w="4320" w:type="dxa"/>
          </w:tcPr>
          <w:p w:rsidRPr="00AE1B2B" w:rsidR="009D3FB5" w:rsidP="00163B94" w:rsidRDefault="009D3FB5" w14:paraId="5F0CF79A" w14:textId="77777777">
            <w:pPr>
              <w:spacing w:before="120" w:after="120"/>
              <w:rPr>
                <w:rFonts w:ascii="Times New Roman" w:hAnsi="Times New Roman" w:cs="Times New Roman"/>
                <w:lang w:val="es-ES_tradnl"/>
              </w:rPr>
            </w:pPr>
            <w:r w:rsidRPr="00AE1B2B">
              <w:rPr>
                <w:rFonts w:ascii="Times New Roman" w:hAnsi="Times New Roman" w:cs="Times New Roman"/>
              </w:rPr>
              <w:t>Guarda crianza y educación</w:t>
            </w:r>
          </w:p>
        </w:tc>
        <w:tc>
          <w:tcPr>
            <w:tcW w:w="4320" w:type="dxa"/>
          </w:tcPr>
          <w:p w:rsidRPr="00AE1B2B" w:rsidR="009D3FB5" w:rsidP="00163B94" w:rsidRDefault="009D3FB5" w14:paraId="0F83B6B9" w14:textId="77777777">
            <w:pPr>
              <w:spacing w:before="120" w:after="120"/>
              <w:rPr>
                <w:rFonts w:ascii="Times New Roman" w:hAnsi="Times New Roman" w:cs="Times New Roman"/>
                <w:lang w:val="es-ES_tradnl"/>
              </w:rPr>
            </w:pPr>
            <w:r w:rsidRPr="00AE1B2B">
              <w:rPr>
                <w:rFonts w:ascii="Times New Roman" w:hAnsi="Times New Roman" w:cs="Times New Roman"/>
              </w:rPr>
              <w:t>Residencia de la persona menor</w:t>
            </w:r>
          </w:p>
        </w:tc>
      </w:tr>
      <w:tr w:rsidRPr="00AE1B2B" w:rsidR="00AE1B2B" w:rsidTr="009D3FB5" w14:paraId="6A36746D" w14:textId="77777777">
        <w:trPr>
          <w:jc w:val="center"/>
        </w:trPr>
        <w:tc>
          <w:tcPr>
            <w:tcW w:w="4320" w:type="dxa"/>
          </w:tcPr>
          <w:p w:rsidRPr="00AE1B2B" w:rsidR="009D3FB5" w:rsidP="00163B94" w:rsidRDefault="009D3FB5" w14:paraId="31F0675B" w14:textId="77777777">
            <w:pPr>
              <w:spacing w:before="120" w:after="120"/>
              <w:rPr>
                <w:rFonts w:ascii="Times New Roman" w:hAnsi="Times New Roman" w:cs="Times New Roman"/>
                <w:lang w:val="es-ES_tradnl"/>
              </w:rPr>
            </w:pPr>
            <w:r w:rsidRPr="00AE1B2B">
              <w:rPr>
                <w:rFonts w:ascii="Times New Roman" w:hAnsi="Times New Roman" w:cs="Times New Roman"/>
              </w:rPr>
              <w:t>Régimen de visitas</w:t>
            </w:r>
          </w:p>
        </w:tc>
        <w:tc>
          <w:tcPr>
            <w:tcW w:w="4320" w:type="dxa"/>
          </w:tcPr>
          <w:p w:rsidRPr="00AE1B2B" w:rsidR="009D3FB5" w:rsidP="00163B94" w:rsidRDefault="009D3FB5" w14:paraId="6EB9D53D" w14:textId="77777777">
            <w:pPr>
              <w:spacing w:before="120" w:after="120"/>
              <w:rPr>
                <w:rFonts w:ascii="Times New Roman" w:hAnsi="Times New Roman" w:cs="Times New Roman"/>
                <w:lang w:val="es-ES_tradnl"/>
              </w:rPr>
            </w:pPr>
            <w:r w:rsidRPr="00AE1B2B">
              <w:rPr>
                <w:rFonts w:ascii="Times New Roman" w:hAnsi="Times New Roman" w:cs="Times New Roman"/>
              </w:rPr>
              <w:t>Residencia de la persona menor</w:t>
            </w:r>
          </w:p>
        </w:tc>
      </w:tr>
      <w:tr w:rsidRPr="00AE1B2B" w:rsidR="00AE1B2B" w:rsidTr="009D3FB5" w14:paraId="4DFD1A7B" w14:textId="77777777">
        <w:trPr>
          <w:jc w:val="center"/>
        </w:trPr>
        <w:tc>
          <w:tcPr>
            <w:tcW w:w="4320" w:type="dxa"/>
          </w:tcPr>
          <w:p w:rsidRPr="00AE1B2B" w:rsidR="009D3FB5" w:rsidP="00163B94" w:rsidRDefault="009D3FB5" w14:paraId="461D6FC2" w14:textId="77777777">
            <w:pPr>
              <w:spacing w:before="120" w:after="120"/>
              <w:rPr>
                <w:rFonts w:ascii="Times New Roman" w:hAnsi="Times New Roman" w:cs="Times New Roman"/>
                <w:lang w:val="es-ES_tradnl"/>
              </w:rPr>
            </w:pPr>
            <w:r w:rsidRPr="00AE1B2B">
              <w:rPr>
                <w:rFonts w:ascii="Times New Roman" w:hAnsi="Times New Roman" w:cs="Times New Roman"/>
              </w:rPr>
              <w:t>Desafectación al régimen de habitación familiar</w:t>
            </w:r>
          </w:p>
        </w:tc>
        <w:tc>
          <w:tcPr>
            <w:tcW w:w="4320" w:type="dxa"/>
          </w:tcPr>
          <w:p w:rsidRPr="00AE1B2B" w:rsidR="009D3FB5" w:rsidP="00163B94" w:rsidRDefault="009D3FB5" w14:paraId="72555079" w14:textId="77777777">
            <w:pPr>
              <w:spacing w:before="120" w:after="120"/>
              <w:rPr>
                <w:rFonts w:ascii="Times New Roman" w:hAnsi="Times New Roman" w:cs="Times New Roman"/>
                <w:lang w:val="es-ES_tradnl"/>
              </w:rPr>
            </w:pPr>
            <w:r w:rsidRPr="00AE1B2B">
              <w:rPr>
                <w:rFonts w:ascii="Times New Roman" w:hAnsi="Times New Roman" w:cs="Times New Roman"/>
              </w:rPr>
              <w:t>Ubicación del inmueble</w:t>
            </w:r>
          </w:p>
        </w:tc>
      </w:tr>
      <w:tr w:rsidRPr="00AE1B2B" w:rsidR="00AE1B2B" w:rsidTr="009D3FB5" w14:paraId="4B2DA838" w14:textId="77777777">
        <w:trPr>
          <w:jc w:val="center"/>
        </w:trPr>
        <w:tc>
          <w:tcPr>
            <w:tcW w:w="4320" w:type="dxa"/>
          </w:tcPr>
          <w:p w:rsidRPr="00AE1B2B" w:rsidR="009D3FB5" w:rsidP="00163B94" w:rsidRDefault="009D3FB5" w14:paraId="01EDC983" w14:textId="77777777">
            <w:pPr>
              <w:spacing w:before="120" w:after="120"/>
              <w:rPr>
                <w:rFonts w:ascii="Times New Roman" w:hAnsi="Times New Roman" w:cs="Times New Roman"/>
                <w:lang w:val="es-ES_tradnl"/>
              </w:rPr>
            </w:pPr>
            <w:r w:rsidRPr="00AE1B2B">
              <w:rPr>
                <w:rFonts w:ascii="Times New Roman" w:hAnsi="Times New Roman" w:cs="Times New Roman"/>
              </w:rPr>
              <w:t xml:space="preserve">Autorizaciones de salida del país </w:t>
            </w:r>
          </w:p>
        </w:tc>
        <w:tc>
          <w:tcPr>
            <w:tcW w:w="4320" w:type="dxa"/>
          </w:tcPr>
          <w:p w:rsidRPr="00AE1B2B" w:rsidR="009D3FB5" w:rsidP="00163B94" w:rsidRDefault="009D3FB5" w14:paraId="1A585E7D" w14:textId="77777777">
            <w:pPr>
              <w:spacing w:before="120" w:after="120"/>
              <w:rPr>
                <w:rFonts w:ascii="Times New Roman" w:hAnsi="Times New Roman" w:cs="Times New Roman"/>
                <w:lang w:val="es-ES_tradnl"/>
              </w:rPr>
            </w:pPr>
            <w:r w:rsidRPr="00AE1B2B">
              <w:rPr>
                <w:rFonts w:ascii="Times New Roman" w:hAnsi="Times New Roman" w:cs="Times New Roman"/>
              </w:rPr>
              <w:t>Residencia de la persona menor</w:t>
            </w:r>
          </w:p>
        </w:tc>
      </w:tr>
      <w:tr w:rsidRPr="00AE1B2B" w:rsidR="00AE1B2B" w:rsidTr="009D3FB5" w14:paraId="56D54CC8" w14:textId="77777777">
        <w:trPr>
          <w:jc w:val="center"/>
        </w:trPr>
        <w:tc>
          <w:tcPr>
            <w:tcW w:w="4320" w:type="dxa"/>
          </w:tcPr>
          <w:p w:rsidRPr="00AE1B2B" w:rsidR="009D3FB5" w:rsidP="00163B94" w:rsidRDefault="009D3FB5" w14:paraId="319B4FC6" w14:textId="77777777">
            <w:pPr>
              <w:spacing w:before="120" w:after="120"/>
              <w:rPr>
                <w:rFonts w:ascii="Times New Roman" w:hAnsi="Times New Roman" w:cs="Times New Roman"/>
                <w:lang w:val="es-ES_tradnl"/>
              </w:rPr>
            </w:pPr>
            <w:r w:rsidRPr="00AE1B2B">
              <w:rPr>
                <w:rFonts w:ascii="Times New Roman" w:hAnsi="Times New Roman" w:cs="Times New Roman"/>
              </w:rPr>
              <w:t>Conflictos de autoridad parental</w:t>
            </w:r>
          </w:p>
        </w:tc>
        <w:tc>
          <w:tcPr>
            <w:tcW w:w="4320" w:type="dxa"/>
          </w:tcPr>
          <w:p w:rsidRPr="00AE1B2B" w:rsidR="009D3FB5" w:rsidP="00163B94" w:rsidRDefault="009D3FB5" w14:paraId="2E503A32" w14:textId="77777777">
            <w:pPr>
              <w:spacing w:before="120" w:after="120"/>
              <w:rPr>
                <w:rFonts w:ascii="Times New Roman" w:hAnsi="Times New Roman" w:cs="Times New Roman"/>
                <w:lang w:val="es-ES_tradnl"/>
              </w:rPr>
            </w:pPr>
            <w:r w:rsidRPr="00AE1B2B">
              <w:rPr>
                <w:rFonts w:ascii="Times New Roman" w:hAnsi="Times New Roman" w:cs="Times New Roman"/>
              </w:rPr>
              <w:t>Residencia de la persona menor</w:t>
            </w:r>
          </w:p>
        </w:tc>
      </w:tr>
      <w:tr w:rsidRPr="00AE1B2B" w:rsidR="00AE1B2B" w:rsidTr="009D3FB5" w14:paraId="27B9E68B" w14:textId="77777777">
        <w:trPr>
          <w:jc w:val="center"/>
        </w:trPr>
        <w:tc>
          <w:tcPr>
            <w:tcW w:w="4320" w:type="dxa"/>
          </w:tcPr>
          <w:p w:rsidRPr="00AE1B2B" w:rsidR="009D3FB5" w:rsidP="00163B94" w:rsidRDefault="009D3FB5" w14:paraId="4FEF6C79" w14:textId="77777777">
            <w:pPr>
              <w:spacing w:before="120" w:after="120"/>
              <w:rPr>
                <w:rFonts w:ascii="Times New Roman" w:hAnsi="Times New Roman" w:cs="Times New Roman"/>
              </w:rPr>
            </w:pPr>
            <w:r w:rsidRPr="00AE1B2B">
              <w:rPr>
                <w:rFonts w:ascii="Times New Roman" w:hAnsi="Times New Roman" w:cs="Times New Roman"/>
              </w:rPr>
              <w:t>Depósitos de menores de edad</w:t>
            </w:r>
          </w:p>
        </w:tc>
        <w:tc>
          <w:tcPr>
            <w:tcW w:w="4320" w:type="dxa"/>
          </w:tcPr>
          <w:p w:rsidRPr="00AE1B2B" w:rsidR="009D3FB5" w:rsidP="00163B94" w:rsidRDefault="009D3FB5" w14:paraId="2F21334D" w14:textId="77777777">
            <w:pPr>
              <w:spacing w:before="120" w:after="120"/>
              <w:rPr>
                <w:rFonts w:ascii="Times New Roman" w:hAnsi="Times New Roman" w:cs="Times New Roman"/>
                <w:lang w:val="es-ES_tradnl"/>
              </w:rPr>
            </w:pPr>
            <w:r w:rsidRPr="00AE1B2B">
              <w:rPr>
                <w:rFonts w:ascii="Times New Roman" w:hAnsi="Times New Roman" w:cs="Times New Roman"/>
              </w:rPr>
              <w:t>Residencia de la persona menor</w:t>
            </w:r>
          </w:p>
        </w:tc>
      </w:tr>
      <w:tr w:rsidRPr="00AE1B2B" w:rsidR="00AE1B2B" w:rsidTr="009D3FB5" w14:paraId="69B3761A" w14:textId="77777777">
        <w:trPr>
          <w:jc w:val="center"/>
        </w:trPr>
        <w:tc>
          <w:tcPr>
            <w:tcW w:w="4320" w:type="dxa"/>
          </w:tcPr>
          <w:p w:rsidRPr="00AE1B2B" w:rsidR="009D3FB5" w:rsidP="00163B94" w:rsidRDefault="009D3FB5" w14:paraId="21CE269C" w14:textId="77777777">
            <w:pPr>
              <w:spacing w:before="120" w:after="120"/>
              <w:rPr>
                <w:rFonts w:ascii="Times New Roman" w:hAnsi="Times New Roman" w:cs="Times New Roman"/>
              </w:rPr>
            </w:pPr>
            <w:r w:rsidRPr="00AE1B2B">
              <w:rPr>
                <w:rFonts w:ascii="Times New Roman" w:hAnsi="Times New Roman" w:cs="Times New Roman"/>
              </w:rPr>
              <w:t>Tutelas</w:t>
            </w:r>
          </w:p>
        </w:tc>
        <w:tc>
          <w:tcPr>
            <w:tcW w:w="4320" w:type="dxa"/>
          </w:tcPr>
          <w:p w:rsidRPr="00AE1B2B" w:rsidR="009D3FB5" w:rsidP="00163B94" w:rsidRDefault="009D3FB5" w14:paraId="7CABE66A" w14:textId="77777777">
            <w:pPr>
              <w:spacing w:before="120" w:after="120"/>
              <w:rPr>
                <w:rFonts w:ascii="Times New Roman" w:hAnsi="Times New Roman" w:cs="Times New Roman"/>
              </w:rPr>
            </w:pPr>
            <w:r w:rsidRPr="00AE1B2B">
              <w:rPr>
                <w:rFonts w:ascii="Times New Roman" w:hAnsi="Times New Roman" w:cs="Times New Roman"/>
              </w:rPr>
              <w:t>Residencia de la persona menor</w:t>
            </w:r>
          </w:p>
        </w:tc>
      </w:tr>
      <w:tr w:rsidRPr="00AE1B2B" w:rsidR="00AE1B2B" w:rsidTr="009D3FB5" w14:paraId="607B97A5" w14:textId="77777777">
        <w:trPr>
          <w:jc w:val="center"/>
        </w:trPr>
        <w:tc>
          <w:tcPr>
            <w:tcW w:w="4320" w:type="dxa"/>
          </w:tcPr>
          <w:p w:rsidRPr="00AE1B2B" w:rsidR="009D3FB5" w:rsidP="00163B94" w:rsidRDefault="009D3FB5" w14:paraId="24C6BE8E" w14:textId="77777777">
            <w:pPr>
              <w:spacing w:before="120" w:after="120"/>
              <w:rPr>
                <w:rFonts w:ascii="Times New Roman" w:hAnsi="Times New Roman" w:cs="Times New Roman"/>
              </w:rPr>
            </w:pPr>
            <w:r w:rsidRPr="00AE1B2B">
              <w:rPr>
                <w:rFonts w:ascii="Times New Roman" w:hAnsi="Times New Roman" w:cs="Times New Roman"/>
              </w:rPr>
              <w:t>Curatelas/salvaguardia</w:t>
            </w:r>
          </w:p>
        </w:tc>
        <w:tc>
          <w:tcPr>
            <w:tcW w:w="4320" w:type="dxa"/>
          </w:tcPr>
          <w:p w:rsidRPr="00AE1B2B" w:rsidR="009D3FB5" w:rsidP="00163B94" w:rsidRDefault="009D3FB5" w14:paraId="778911C5" w14:textId="77777777">
            <w:pPr>
              <w:spacing w:before="120" w:after="120"/>
              <w:rPr>
                <w:rFonts w:ascii="Times New Roman" w:hAnsi="Times New Roman" w:cs="Times New Roman"/>
              </w:rPr>
            </w:pPr>
            <w:r w:rsidRPr="00AE1B2B">
              <w:rPr>
                <w:rFonts w:ascii="Times New Roman" w:hAnsi="Times New Roman" w:cs="Times New Roman"/>
              </w:rPr>
              <w:t>Residencia de la persona sujeta a la salvaguardia (menor, con discapacidad)</w:t>
            </w:r>
          </w:p>
        </w:tc>
      </w:tr>
      <w:tr w:rsidRPr="00AE1B2B" w:rsidR="009D3FB5" w:rsidTr="009D3FB5" w14:paraId="34FDA1F0" w14:textId="77777777">
        <w:trPr>
          <w:jc w:val="center"/>
        </w:trPr>
        <w:tc>
          <w:tcPr>
            <w:tcW w:w="4320" w:type="dxa"/>
          </w:tcPr>
          <w:p w:rsidRPr="00AE1B2B" w:rsidR="009D3FB5" w:rsidP="00163B94" w:rsidRDefault="009D3FB5" w14:paraId="00757022" w14:textId="77777777">
            <w:pPr>
              <w:spacing w:before="120" w:after="120"/>
              <w:rPr>
                <w:rFonts w:ascii="Times New Roman" w:hAnsi="Times New Roman" w:cs="Times New Roman"/>
              </w:rPr>
            </w:pPr>
            <w:r w:rsidRPr="00AE1B2B">
              <w:rPr>
                <w:rFonts w:ascii="Times New Roman" w:hAnsi="Times New Roman" w:cs="Times New Roman"/>
              </w:rPr>
              <w:t>Diligencias de utilidad y necesidad</w:t>
            </w:r>
          </w:p>
        </w:tc>
        <w:tc>
          <w:tcPr>
            <w:tcW w:w="4320" w:type="dxa"/>
          </w:tcPr>
          <w:p w:rsidRPr="00AE1B2B" w:rsidR="009D3FB5" w:rsidP="00163B94" w:rsidRDefault="009D3FB5" w14:paraId="345B7E00" w14:textId="77777777">
            <w:pPr>
              <w:spacing w:before="120" w:after="120"/>
              <w:rPr>
                <w:rFonts w:ascii="Times New Roman" w:hAnsi="Times New Roman" w:cs="Times New Roman"/>
              </w:rPr>
            </w:pPr>
            <w:r w:rsidRPr="00AE1B2B">
              <w:rPr>
                <w:rFonts w:ascii="Times New Roman" w:hAnsi="Times New Roman" w:cs="Times New Roman"/>
              </w:rPr>
              <w:t xml:space="preserve">Residencia de la persona menor </w:t>
            </w:r>
          </w:p>
        </w:tc>
      </w:tr>
    </w:tbl>
    <w:p w:rsidRPr="00AE1B2B" w:rsidR="009D3FB5" w:rsidP="00163B94" w:rsidRDefault="009D3FB5" w14:paraId="013A54A9" w14:textId="77777777">
      <w:pPr>
        <w:pStyle w:val="Default"/>
        <w:tabs>
          <w:tab w:val="left" w:pos="426"/>
        </w:tabs>
        <w:spacing w:before="120" w:after="120" w:line="276" w:lineRule="auto"/>
        <w:jc w:val="both"/>
        <w:rPr>
          <w:rFonts w:ascii="Times New Roman" w:hAnsi="Times New Roman" w:cs="Times New Roman"/>
          <w:iCs/>
          <w:color w:val="auto"/>
          <w:spacing w:val="-3"/>
        </w:rPr>
      </w:pPr>
    </w:p>
    <w:p w:rsidRPr="00AE1B2B" w:rsidR="009D3FB5" w:rsidP="00163B94" w:rsidRDefault="009D3FB5" w14:paraId="35CE98C5" w14:textId="77777777">
      <w:pPr>
        <w:pStyle w:val="Default"/>
        <w:tabs>
          <w:tab w:val="left" w:pos="426"/>
        </w:tabs>
        <w:spacing w:before="120" w:after="120"/>
        <w:ind w:left="851" w:right="851" w:firstLine="709"/>
        <w:jc w:val="both"/>
        <w:rPr>
          <w:rFonts w:ascii="Times New Roman" w:hAnsi="Times New Roman" w:cs="Times New Roman"/>
          <w:iCs/>
          <w:color w:val="auto"/>
          <w:spacing w:val="-3"/>
          <w:sz w:val="26"/>
          <w:szCs w:val="26"/>
        </w:rPr>
      </w:pPr>
      <w:r w:rsidRPr="00AE1B2B">
        <w:rPr>
          <w:rFonts w:ascii="Times New Roman" w:hAnsi="Times New Roman" w:cs="Times New Roman"/>
          <w:iCs/>
          <w:color w:val="auto"/>
          <w:spacing w:val="-3"/>
          <w:sz w:val="26"/>
          <w:szCs w:val="26"/>
        </w:rPr>
        <w:t xml:space="preserve">12.6. Facilitar a la Dirección de Planificación el criterio experto del Juez Gestor en la materia y la Comisión de Familia, Niñez y Adolescencia sobre la cantidad de asuntos que puede conocer mensualmente una plaza que solo conozca asuntos sumarios de este tipo, lo anterior para efectos de proyecciones de traslado de cargas de trabajo. </w:t>
      </w:r>
    </w:p>
    <w:p w:rsidRPr="00AE1B2B" w:rsidR="009D3FB5" w:rsidP="00163B94" w:rsidRDefault="009D3FB5" w14:paraId="51C796B2" w14:textId="77777777">
      <w:pPr>
        <w:pStyle w:val="Default"/>
        <w:tabs>
          <w:tab w:val="left" w:pos="426"/>
        </w:tabs>
        <w:spacing w:before="120" w:after="120"/>
        <w:ind w:left="851" w:right="851" w:firstLine="709"/>
        <w:jc w:val="both"/>
        <w:rPr>
          <w:rFonts w:ascii="Times New Roman" w:hAnsi="Times New Roman" w:cs="Times New Roman"/>
          <w:iCs/>
          <w:color w:val="auto"/>
          <w:spacing w:val="-3"/>
          <w:sz w:val="26"/>
          <w:szCs w:val="26"/>
        </w:rPr>
      </w:pPr>
    </w:p>
    <w:p w:rsidRPr="00AE1B2B" w:rsidR="009D3FB5" w:rsidP="00163B94" w:rsidRDefault="009D3FB5" w14:paraId="70ECFF2E" w14:textId="77777777">
      <w:pPr>
        <w:pStyle w:val="Default"/>
        <w:tabs>
          <w:tab w:val="left" w:pos="426"/>
        </w:tabs>
        <w:spacing w:before="120" w:after="120"/>
        <w:ind w:left="851" w:right="851" w:firstLine="709"/>
        <w:jc w:val="both"/>
        <w:rPr>
          <w:rFonts w:ascii="Times New Roman" w:hAnsi="Times New Roman" w:cs="Times New Roman"/>
          <w:iCs/>
          <w:color w:val="auto"/>
          <w:spacing w:val="-3"/>
          <w:sz w:val="26"/>
          <w:szCs w:val="26"/>
        </w:rPr>
      </w:pPr>
      <w:r w:rsidRPr="00AE1B2B">
        <w:rPr>
          <w:rFonts w:ascii="Times New Roman" w:hAnsi="Times New Roman" w:cs="Times New Roman"/>
          <w:iCs/>
          <w:color w:val="auto"/>
          <w:spacing w:val="-3"/>
          <w:sz w:val="26"/>
          <w:szCs w:val="26"/>
        </w:rPr>
        <w:t xml:space="preserve">12.7. Dar seguimiento al cumplimiento de los entregables que se encuentran a su cargo junto con el Juez Gestor en la materia del Centro de Apoyo, Coordinación y Mejoramiento de la Función Jurisdiccional a saber: </w:t>
      </w:r>
    </w:p>
    <w:p w:rsidRPr="00AE1B2B" w:rsidR="009D3FB5" w:rsidP="00163B94" w:rsidRDefault="009D3FB5" w14:paraId="4F0683B7" w14:textId="77777777">
      <w:pPr>
        <w:pStyle w:val="Default"/>
        <w:tabs>
          <w:tab w:val="left" w:pos="426"/>
        </w:tabs>
        <w:spacing w:before="120" w:after="120" w:line="276" w:lineRule="auto"/>
        <w:jc w:val="both"/>
        <w:rPr>
          <w:rFonts w:ascii="Times New Roman" w:hAnsi="Times New Roman" w:cs="Times New Roman"/>
          <w:iCs/>
          <w:color w:val="auto"/>
          <w:spacing w:val="-3"/>
        </w:rPr>
      </w:pPr>
    </w:p>
    <w:p w:rsidRPr="00AE1B2B" w:rsidR="009D3FB5" w:rsidP="00163B94" w:rsidRDefault="009D3FB5" w14:paraId="47F7F4FF" w14:textId="77777777">
      <w:pPr>
        <w:spacing w:before="120" w:after="120" w:line="276" w:lineRule="auto"/>
        <w:rPr>
          <w:rFonts w:ascii="Times New Roman" w:hAnsi="Times New Roman" w:cs="Times New Roman"/>
          <w:i/>
          <w:iCs/>
          <w:sz w:val="24"/>
          <w:szCs w:val="24"/>
        </w:rPr>
      </w:pPr>
    </w:p>
    <w:p w:rsidRPr="00AE1B2B" w:rsidR="009D3FB5" w:rsidP="00163B94" w:rsidRDefault="009D3FB5" w14:paraId="0E7EBB99" w14:textId="77777777">
      <w:pPr>
        <w:spacing w:before="120" w:after="120" w:line="276" w:lineRule="auto"/>
        <w:rPr>
          <w:rFonts w:ascii="Times New Roman" w:hAnsi="Times New Roman" w:cs="Times New Roman"/>
          <w:sz w:val="24"/>
          <w:szCs w:val="24"/>
        </w:rPr>
      </w:pPr>
    </w:p>
    <w:p w:rsidRPr="00AE1B2B" w:rsidR="009D3FB5" w:rsidP="00163B94" w:rsidRDefault="009D3FB5" w14:paraId="2EEF91B5" w14:textId="77777777">
      <w:pPr>
        <w:spacing w:before="120" w:after="120" w:line="276" w:lineRule="auto"/>
        <w:rPr>
          <w:rFonts w:ascii="Times New Roman" w:hAnsi="Times New Roman" w:cs="Times New Roman"/>
          <w:sz w:val="24"/>
          <w:szCs w:val="24"/>
        </w:rPr>
      </w:pPr>
    </w:p>
    <w:tbl>
      <w:tblPr>
        <w:tblW w:w="0" w:type="auto"/>
        <w:tblBorders>
          <w:top w:val="single" w:color="B1BBCC" w:sz="4" w:space="0"/>
          <w:left w:val="single" w:color="B1BBCC" w:sz="4" w:space="0"/>
          <w:bottom w:val="single" w:color="B1BBCC" w:sz="4" w:space="0"/>
          <w:right w:val="single" w:color="B1BBCC" w:sz="4" w:space="0"/>
        </w:tblBorders>
        <w:tblCellMar>
          <w:top w:w="12" w:type="dxa"/>
          <w:left w:w="12" w:type="dxa"/>
          <w:bottom w:w="12" w:type="dxa"/>
          <w:right w:w="12" w:type="dxa"/>
        </w:tblCellMar>
        <w:tblLook w:val="04A0" w:firstRow="1" w:lastRow="0" w:firstColumn="1" w:lastColumn="0" w:noHBand="0" w:noVBand="1"/>
      </w:tblPr>
      <w:tblGrid>
        <w:gridCol w:w="3668"/>
        <w:gridCol w:w="1053"/>
        <w:gridCol w:w="1310"/>
        <w:gridCol w:w="1216"/>
        <w:gridCol w:w="1581"/>
      </w:tblGrid>
      <w:tr w:rsidRPr="00AE1B2B" w:rsidR="00AE1B2B" w:rsidTr="009D3FB5" w14:paraId="45D7CD1C" w14:textId="77777777">
        <w:tc>
          <w:tcPr>
            <w:tcW w:w="736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37B59E47"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Nombre de tarea</w:t>
            </w:r>
          </w:p>
        </w:tc>
        <w:tc>
          <w:tcPr>
            <w:tcW w:w="160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4D85D53F"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Duración</w:t>
            </w:r>
          </w:p>
        </w:tc>
        <w:tc>
          <w:tcPr>
            <w:tcW w:w="20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2252A85B"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Comienzo</w:t>
            </w:r>
          </w:p>
        </w:tc>
        <w:tc>
          <w:tcPr>
            <w:tcW w:w="184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58117610"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Fin</w:t>
            </w:r>
          </w:p>
        </w:tc>
        <w:tc>
          <w:tcPr>
            <w:tcW w:w="26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30EB16D6"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 completado</w:t>
            </w:r>
          </w:p>
        </w:tc>
      </w:tr>
      <w:tr w:rsidRPr="00AE1B2B" w:rsidR="00AE1B2B" w:rsidTr="009D3FB5" w14:paraId="0DC46948"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2E47BF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3.2. Formatos jurídicos, asociados a cada fase y estado a utilizar con el nuevo CPC</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273C56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250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E69267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lun 13/04/20</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2F55B2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vie 23/04/21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9B5C7F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90%</w:t>
            </w:r>
          </w:p>
        </w:tc>
      </w:tr>
      <w:tr w:rsidRPr="00AE1B2B" w:rsidR="00AE1B2B" w:rsidTr="009D3FB5" w14:paraId="2EF4542D"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4307A4E1" w14:textId="20360219">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Definición, diseño y modificación de formatos Jurídicos.</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74D2EA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250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70340C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13/04/20</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2D95ED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vie 23/04/21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818800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90%</w:t>
            </w:r>
          </w:p>
        </w:tc>
      </w:tr>
      <w:tr w:rsidRPr="00AE1B2B" w:rsidR="00AE1B2B" w:rsidTr="009D3FB5" w14:paraId="4FB0E2B0"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6E4E0EB2" w14:textId="0D054C4B">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Revisión de las boletas de solicitudes del Departamento de Trabajo Social y Psicología</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396C66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249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A45AA6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13/04/20</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DA6A3C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vie 23/04/21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CE6073F"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90%</w:t>
            </w:r>
          </w:p>
        </w:tc>
      </w:tr>
    </w:tbl>
    <w:p w:rsidRPr="00AE1B2B" w:rsidR="009D3FB5" w:rsidP="00163B94" w:rsidRDefault="009D3FB5" w14:paraId="4FF55BDE" w14:textId="77777777">
      <w:pPr>
        <w:pStyle w:val="Default"/>
        <w:tabs>
          <w:tab w:val="left" w:pos="426"/>
        </w:tabs>
        <w:spacing w:before="120" w:after="120" w:line="276" w:lineRule="auto"/>
        <w:jc w:val="both"/>
        <w:rPr>
          <w:rFonts w:ascii="Times New Roman" w:hAnsi="Times New Roman" w:cs="Times New Roman"/>
          <w:iCs/>
          <w:color w:val="auto"/>
          <w:spacing w:val="-3"/>
        </w:rPr>
      </w:pPr>
    </w:p>
    <w:p w:rsidRPr="00AE1B2B" w:rsidR="009D3FB5" w:rsidP="00163B94" w:rsidRDefault="009D3FB5" w14:paraId="12D23D00" w14:textId="77777777">
      <w:pPr>
        <w:pStyle w:val="Default"/>
        <w:tabs>
          <w:tab w:val="left" w:pos="426"/>
        </w:tabs>
        <w:spacing w:before="120" w:after="120" w:line="276" w:lineRule="auto"/>
        <w:jc w:val="both"/>
        <w:rPr>
          <w:rFonts w:ascii="Times New Roman" w:hAnsi="Times New Roman" w:cs="Times New Roman"/>
          <w:iCs/>
          <w:color w:val="auto"/>
          <w:spacing w:val="-3"/>
        </w:rPr>
      </w:pPr>
    </w:p>
    <w:tbl>
      <w:tblPr>
        <w:tblW w:w="0" w:type="auto"/>
        <w:tblBorders>
          <w:top w:val="single" w:color="B1BBCC" w:sz="4" w:space="0"/>
          <w:left w:val="single" w:color="B1BBCC" w:sz="4" w:space="0"/>
          <w:bottom w:val="single" w:color="B1BBCC" w:sz="4" w:space="0"/>
          <w:right w:val="single" w:color="B1BBCC" w:sz="4" w:space="0"/>
        </w:tblBorders>
        <w:tblCellMar>
          <w:top w:w="12" w:type="dxa"/>
          <w:left w:w="12" w:type="dxa"/>
          <w:bottom w:w="12" w:type="dxa"/>
          <w:right w:w="12" w:type="dxa"/>
        </w:tblCellMar>
        <w:tblLook w:val="04A0" w:firstRow="1" w:lastRow="0" w:firstColumn="1" w:lastColumn="0" w:noHBand="0" w:noVBand="1"/>
      </w:tblPr>
      <w:tblGrid>
        <w:gridCol w:w="3627"/>
        <w:gridCol w:w="1060"/>
        <w:gridCol w:w="1321"/>
        <w:gridCol w:w="1224"/>
        <w:gridCol w:w="1596"/>
      </w:tblGrid>
      <w:tr w:rsidRPr="00AE1B2B" w:rsidR="00AE1B2B" w:rsidTr="009D3FB5" w14:paraId="0B0D292C" w14:textId="77777777">
        <w:tc>
          <w:tcPr>
            <w:tcW w:w="736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267AEB50"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Nombre de tarea</w:t>
            </w:r>
          </w:p>
        </w:tc>
        <w:tc>
          <w:tcPr>
            <w:tcW w:w="160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54A22C62"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Duración</w:t>
            </w:r>
          </w:p>
        </w:tc>
        <w:tc>
          <w:tcPr>
            <w:tcW w:w="20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6C8DA103"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Comienzo</w:t>
            </w:r>
          </w:p>
        </w:tc>
        <w:tc>
          <w:tcPr>
            <w:tcW w:w="184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1066E222"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Fin</w:t>
            </w:r>
          </w:p>
        </w:tc>
        <w:tc>
          <w:tcPr>
            <w:tcW w:w="26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55FDF782"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 completado</w:t>
            </w:r>
          </w:p>
        </w:tc>
      </w:tr>
      <w:tr w:rsidRPr="00AE1B2B" w:rsidR="00AE1B2B" w:rsidTr="009D3FB5" w14:paraId="5223DDA6"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2F1228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3.3. Fórmulas estadísticas FA, PA, VD tareas y ubicaciones a utilizar con el CPF</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7C6489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180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CDBC7D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lun 08/03/21</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68F183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vie 26/11/21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A9FDE6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0%</w:t>
            </w:r>
          </w:p>
        </w:tc>
      </w:tr>
      <w:tr w:rsidRPr="00AE1B2B" w:rsidR="00AE1B2B" w:rsidTr="009D3FB5" w14:paraId="3B3F0B49"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44FB070A" w14:textId="54DC7C9B">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Diseño de Agenda CRONOS otras mejoras de los Sistemas actuales (nuevos motivos suspensión de la Ley)</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D49ED6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180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824D83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08/03/21</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8887DF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vie 26/11/21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75461F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4F307132"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7CA0BF17" w14:textId="3F02E126">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 xml:space="preserve">Revisión y ajuste de la fórmula Estadística </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DCFD1D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180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8B0E72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08/03/21</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5A0FE7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vie 26/11/21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C4FDF2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bl>
    <w:p w:rsidRPr="00AE1B2B" w:rsidR="009D3FB5" w:rsidP="00163B94" w:rsidRDefault="009D3FB5" w14:paraId="10737497" w14:textId="77777777">
      <w:pPr>
        <w:pStyle w:val="Default"/>
        <w:tabs>
          <w:tab w:val="left" w:pos="426"/>
        </w:tabs>
        <w:spacing w:before="120" w:after="120" w:line="276" w:lineRule="auto"/>
        <w:jc w:val="both"/>
        <w:rPr>
          <w:rFonts w:ascii="Times New Roman" w:hAnsi="Times New Roman" w:cs="Times New Roman"/>
          <w:iCs/>
          <w:color w:val="auto"/>
          <w:spacing w:val="-3"/>
        </w:rPr>
      </w:pPr>
    </w:p>
    <w:p w:rsidRPr="00AE1B2B" w:rsidR="009D3FB5" w:rsidP="00163B94" w:rsidRDefault="009D3FB5" w14:paraId="384C8E23" w14:textId="77777777">
      <w:pPr>
        <w:pStyle w:val="Fuentes"/>
        <w:spacing w:before="120" w:after="120"/>
        <w:rPr>
          <w:rFonts w:ascii="Times New Roman" w:hAnsi="Times New Roman" w:cs="Times New Roman"/>
        </w:rPr>
      </w:pPr>
    </w:p>
    <w:tbl>
      <w:tblPr>
        <w:tblW w:w="0" w:type="auto"/>
        <w:tblBorders>
          <w:top w:val="single" w:color="B1BBCC" w:sz="4" w:space="0"/>
          <w:left w:val="single" w:color="B1BBCC" w:sz="4" w:space="0"/>
          <w:bottom w:val="single" w:color="B1BBCC" w:sz="4" w:space="0"/>
          <w:right w:val="single" w:color="B1BBCC" w:sz="4" w:space="0"/>
        </w:tblBorders>
        <w:tblCellMar>
          <w:top w:w="12" w:type="dxa"/>
          <w:left w:w="12" w:type="dxa"/>
          <w:bottom w:w="12" w:type="dxa"/>
          <w:right w:w="12" w:type="dxa"/>
        </w:tblCellMar>
        <w:tblLook w:val="04A0" w:firstRow="1" w:lastRow="0" w:firstColumn="1" w:lastColumn="0" w:noHBand="0" w:noVBand="1"/>
      </w:tblPr>
      <w:tblGrid>
        <w:gridCol w:w="3646"/>
        <w:gridCol w:w="1057"/>
        <w:gridCol w:w="1316"/>
        <w:gridCol w:w="1220"/>
        <w:gridCol w:w="1589"/>
      </w:tblGrid>
      <w:tr w:rsidRPr="00AE1B2B" w:rsidR="00AE1B2B" w:rsidTr="009D3FB5" w14:paraId="75CF457E" w14:textId="77777777">
        <w:tc>
          <w:tcPr>
            <w:tcW w:w="736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6BF5A0EA"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Nombre de tarea</w:t>
            </w:r>
          </w:p>
        </w:tc>
        <w:tc>
          <w:tcPr>
            <w:tcW w:w="160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492B26CB"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Duración</w:t>
            </w:r>
          </w:p>
        </w:tc>
        <w:tc>
          <w:tcPr>
            <w:tcW w:w="20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177C2845"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Comienzo</w:t>
            </w:r>
          </w:p>
        </w:tc>
        <w:tc>
          <w:tcPr>
            <w:tcW w:w="184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11218F79"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Fin</w:t>
            </w:r>
          </w:p>
        </w:tc>
        <w:tc>
          <w:tcPr>
            <w:tcW w:w="26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4F89D578"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 completado</w:t>
            </w:r>
          </w:p>
        </w:tc>
      </w:tr>
      <w:tr w:rsidRPr="00AE1B2B" w:rsidR="00AE1B2B" w:rsidTr="009D3FB5" w14:paraId="6EE03F7F"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BA9D80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3.7.Emisión directrices de readecuación procesos, reglas prácticas y nueva forma de tramitación con el CPF</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DD0612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118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E2ADC6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vie 16/10/20</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D55EB6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vie 23/04/21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433B62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90%</w:t>
            </w:r>
          </w:p>
        </w:tc>
      </w:tr>
    </w:tbl>
    <w:p w:rsidRPr="00AE1B2B" w:rsidR="009D3FB5" w:rsidP="00163B94" w:rsidRDefault="009D3FB5" w14:paraId="2BF0EDF7" w14:textId="77777777">
      <w:pPr>
        <w:pStyle w:val="Fuentes"/>
        <w:spacing w:before="120" w:after="120"/>
        <w:rPr>
          <w:rFonts w:ascii="Times New Roman" w:hAnsi="Times New Roman" w:cs="Times New Roman"/>
        </w:rPr>
      </w:pPr>
    </w:p>
    <w:tbl>
      <w:tblPr>
        <w:tblW w:w="8952" w:type="dxa"/>
        <w:tblBorders>
          <w:top w:val="single" w:color="B1BBCC" w:sz="4" w:space="0"/>
          <w:left w:val="single" w:color="B1BBCC" w:sz="4" w:space="0"/>
          <w:bottom w:val="single" w:color="B1BBCC" w:sz="4" w:space="0"/>
          <w:right w:val="single" w:color="B1BBCC" w:sz="4" w:space="0"/>
        </w:tblBorders>
        <w:tblCellMar>
          <w:top w:w="12" w:type="dxa"/>
          <w:left w:w="12" w:type="dxa"/>
          <w:bottom w:w="12" w:type="dxa"/>
          <w:right w:w="12" w:type="dxa"/>
        </w:tblCellMar>
        <w:tblLook w:val="04A0" w:firstRow="1" w:lastRow="0" w:firstColumn="1" w:lastColumn="0" w:noHBand="0" w:noVBand="1"/>
      </w:tblPr>
      <w:tblGrid>
        <w:gridCol w:w="3653"/>
        <w:gridCol w:w="1050"/>
        <w:gridCol w:w="1312"/>
        <w:gridCol w:w="1351"/>
        <w:gridCol w:w="1586"/>
      </w:tblGrid>
      <w:tr w:rsidRPr="00AE1B2B" w:rsidR="00AE1B2B" w:rsidTr="009D3FB5" w14:paraId="32667EF6" w14:textId="77777777">
        <w:tc>
          <w:tcPr>
            <w:tcW w:w="3653"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54E5D5E6"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Nombre de tarea</w:t>
            </w:r>
          </w:p>
        </w:tc>
        <w:tc>
          <w:tcPr>
            <w:tcW w:w="1050"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104BC91A"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Duración</w:t>
            </w:r>
          </w:p>
        </w:tc>
        <w:tc>
          <w:tcPr>
            <w:tcW w:w="1312"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466E972D"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Comienzo</w:t>
            </w:r>
          </w:p>
        </w:tc>
        <w:tc>
          <w:tcPr>
            <w:tcW w:w="1351"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1BAA840C"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Fin</w:t>
            </w:r>
          </w:p>
        </w:tc>
        <w:tc>
          <w:tcPr>
            <w:tcW w:w="1586"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77988D02"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 completado</w:t>
            </w:r>
          </w:p>
        </w:tc>
      </w:tr>
      <w:tr w:rsidRPr="00AE1B2B" w:rsidR="00AE1B2B" w:rsidTr="009D3FB5" w14:paraId="7B9033EF"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121795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3.8. Minuta de acuerdo-enlaces con instituciones participes procesos CPF</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C37B2A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190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FCD7A2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mié 26/08/20</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8D4CB1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6801AC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7%</w:t>
            </w:r>
          </w:p>
        </w:tc>
      </w:tr>
      <w:tr w:rsidRPr="00AE1B2B" w:rsidR="00AE1B2B" w:rsidTr="009D3FB5" w14:paraId="0442DE09"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66254A63" w14:textId="2A342FFE">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lastRenderedPageBreak/>
              <w:t xml:space="preserve"> </w:t>
            </w:r>
            <w:r w:rsidRPr="00AE1B2B" w:rsidR="009D3FB5">
              <w:rPr>
                <w:rFonts w:ascii="Times New Roman" w:hAnsi="Times New Roman" w:eastAsia="Times New Roman" w:cs="Times New Roman"/>
                <w:lang w:eastAsia="es-CR"/>
              </w:rPr>
              <w:t>Ministerio de Seguridad Pública</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FA3ADD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5506D2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977D0B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48F307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499E2AEF"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144CB778" w14:textId="45E1143E">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Migración y Extranjería</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E2732E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0D8F6F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E86AE1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FD215E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11FDA8F2"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53E1F6A1" w14:textId="301A538C">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Registro Público</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EBF563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D5BE3CF"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93F55E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DCECF9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4FF05168"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4B471964" w14:textId="19387D9A">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Centros de Mediación</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1A5E42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42D6E7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DF30EE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09003D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590AFB49"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516FD7C0" w14:textId="0FDE3C25">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Universidades</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AB4B9D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24A45D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665658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AF4B68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4087ADB6"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1556F9BC" w14:textId="72B9606F">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CONAPDIS</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4B76F7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C3B539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B018B6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54E1BA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7444C83B"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301FE301" w14:textId="6B65BAE4">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PANI</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254669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AEFB44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8E3B4F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2A2A29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1F544696"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0DC27AEB" w14:textId="2AAA7CEF">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INAMU</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8F24A0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20F0BBF"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642552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9C9D74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6C1A476A"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7F24BE22" w14:textId="13F0A688">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CONAPAM</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F9F0FC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42DB8E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91AA3A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E04E03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1A0D4BC2"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47329881" w14:textId="0C941F4D">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Colegio de Abogadas y Abogados</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B11756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7D13FB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18626E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290049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7E993A1C"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0B2013CB" w14:textId="69D01A70">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Dirección de Notariado</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8A3FCB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6227AC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3CDFC8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05D191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14F0FCA7"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57573670" w14:textId="79A9A3A6">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Registro Civil</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7D040A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B4E0C7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mié 26/08/20</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C40B5A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98596A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80%</w:t>
            </w:r>
          </w:p>
        </w:tc>
      </w:tr>
      <w:tr w:rsidRPr="00AE1B2B" w:rsidR="00AE1B2B" w:rsidTr="009D3FB5" w14:paraId="54894604"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7C195BDF" w14:textId="78799EA9">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Colegio de Profesionales de Psicólogos</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3E6659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8D4E53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A6A5D3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D864EC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5275EC27"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314FEEEE" w14:textId="68491993">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Colegio de Profesionales de Trabajadores Sociales</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28DF46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AE517D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1D13EF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369873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3374EDC8"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10F16877" w14:textId="24A272F4">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Asamblea Legislativa</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8415DF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EBECA8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86CC2A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F73AB0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3801BE2A"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27D2DB03" w14:textId="115C062B">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Contraloría General de la República</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F28D54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C8A36A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D5F207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56D953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439E77E8"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35E915AB" w14:textId="5706172A">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CONAI- Delegado presidencial</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9F114BE"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0B58BC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FC0011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3F6F19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21CF6A1E"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316AE183" w14:textId="43CD5630">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Delegado Presidencial LGTBIQ+</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C5A3D7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CF43CF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0D3C7FE"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7AC233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37B84E12"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2D26CDDA" w14:textId="66D81B92">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Procuraduría General de la República</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4B3EC9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587AF1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154466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91E3A8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67D68EEB"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3497E5A3" w14:textId="11D2EE15">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Adaptación Social</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2517F5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B8E563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E8E454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303E78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0B80C854" w14:textId="77777777">
        <w:tc>
          <w:tcPr>
            <w:tcW w:w="3653"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2D35BBE4" w14:textId="151F07B0">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Organizaciones Sociales no gubernamentales</w:t>
            </w:r>
          </w:p>
        </w:tc>
        <w:tc>
          <w:tcPr>
            <w:tcW w:w="1050"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175F09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1312"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49BDE1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18/01/21</w:t>
            </w:r>
          </w:p>
        </w:tc>
        <w:tc>
          <w:tcPr>
            <w:tcW w:w="1351"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AA427A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15/06/21</w:t>
            </w:r>
          </w:p>
        </w:tc>
        <w:tc>
          <w:tcPr>
            <w:tcW w:w="1586"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690C92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bl>
    <w:p w:rsidRPr="00AE1B2B" w:rsidR="009D3FB5" w:rsidP="00163B94" w:rsidRDefault="009D3FB5" w14:paraId="6691E554" w14:textId="77777777">
      <w:pPr>
        <w:pStyle w:val="Fuentes"/>
        <w:spacing w:before="120" w:after="120"/>
        <w:rPr>
          <w:rFonts w:ascii="Times New Roman" w:hAnsi="Times New Roman" w:cs="Times New Roman"/>
        </w:rPr>
      </w:pPr>
    </w:p>
    <w:p w:rsidRPr="00AE1B2B" w:rsidR="009D3FB5" w:rsidP="00163B94" w:rsidRDefault="009D3FB5" w14:paraId="0617A4CE" w14:textId="77777777">
      <w:pPr>
        <w:pStyle w:val="Fuentes"/>
        <w:spacing w:before="120" w:after="120"/>
        <w:rPr>
          <w:rFonts w:ascii="Times New Roman" w:hAnsi="Times New Roman" w:cs="Times New Roman"/>
        </w:rPr>
      </w:pPr>
    </w:p>
    <w:p w:rsidRPr="00AE1B2B" w:rsidR="009D3FB5" w:rsidP="00163B94" w:rsidRDefault="009D3FB5" w14:paraId="541A2BC8" w14:textId="77777777">
      <w:pPr>
        <w:pStyle w:val="Default"/>
        <w:tabs>
          <w:tab w:val="left" w:pos="426"/>
        </w:tabs>
        <w:spacing w:before="120" w:after="120"/>
        <w:ind w:left="851" w:right="851" w:firstLine="709"/>
        <w:jc w:val="both"/>
        <w:rPr>
          <w:rFonts w:ascii="Times New Roman" w:hAnsi="Times New Roman" w:cs="Times New Roman"/>
          <w:iCs/>
          <w:color w:val="auto"/>
          <w:spacing w:val="-3"/>
          <w:sz w:val="26"/>
          <w:szCs w:val="26"/>
        </w:rPr>
      </w:pPr>
      <w:r w:rsidRPr="00AE1B2B">
        <w:rPr>
          <w:rFonts w:ascii="Times New Roman" w:hAnsi="Times New Roman" w:cs="Times New Roman"/>
          <w:iCs/>
          <w:color w:val="auto"/>
          <w:spacing w:val="-3"/>
          <w:sz w:val="26"/>
          <w:szCs w:val="26"/>
        </w:rPr>
        <w:lastRenderedPageBreak/>
        <w:t xml:space="preserve">12.8. Aportar el cronograma y alcance actualizado de las sesiones de trabajo que se programaran por bloques con las distintas instituciones para dar cumplimiento al entregable </w:t>
      </w:r>
      <w:r w:rsidRPr="00AE1B2B">
        <w:rPr>
          <w:rFonts w:ascii="Times New Roman" w:hAnsi="Times New Roman" w:cs="Times New Roman"/>
          <w:b/>
          <w:bCs/>
          <w:i/>
          <w:color w:val="auto"/>
          <w:spacing w:val="-3"/>
          <w:sz w:val="26"/>
          <w:szCs w:val="26"/>
        </w:rPr>
        <w:t>3.8 “</w:t>
      </w:r>
      <w:r w:rsidRPr="00AE1B2B">
        <w:rPr>
          <w:rFonts w:ascii="Times New Roman" w:hAnsi="Times New Roman" w:cs="Times New Roman"/>
          <w:b/>
          <w:bCs/>
          <w:i/>
          <w:color w:val="auto"/>
          <w:sz w:val="26"/>
          <w:szCs w:val="26"/>
        </w:rPr>
        <w:t>Minuta de acuerdo-enlaces con instituciones participes procesos CPF</w:t>
      </w:r>
      <w:r w:rsidRPr="00AE1B2B">
        <w:rPr>
          <w:rFonts w:ascii="Times New Roman" w:hAnsi="Times New Roman" w:cs="Times New Roman"/>
          <w:b/>
          <w:bCs/>
          <w:i/>
          <w:color w:val="auto"/>
          <w:spacing w:val="-3"/>
          <w:sz w:val="26"/>
          <w:szCs w:val="26"/>
        </w:rPr>
        <w:t>”,</w:t>
      </w:r>
      <w:r w:rsidRPr="00AE1B2B">
        <w:rPr>
          <w:rFonts w:ascii="Times New Roman" w:hAnsi="Times New Roman" w:cs="Times New Roman"/>
          <w:iCs/>
          <w:color w:val="auto"/>
          <w:spacing w:val="-3"/>
          <w:sz w:val="26"/>
          <w:szCs w:val="26"/>
        </w:rPr>
        <w:t xml:space="preserve"> según compromiso adoptado en sesión de trabajo del pasado 25 de febrero de 2021. </w:t>
      </w:r>
    </w:p>
    <w:p w:rsidRPr="00AE1B2B" w:rsidR="009D3FB5" w:rsidP="00163B94" w:rsidRDefault="009D3FB5" w14:paraId="0B0E734C" w14:textId="77777777">
      <w:pPr>
        <w:pStyle w:val="Default"/>
        <w:tabs>
          <w:tab w:val="left" w:pos="426"/>
        </w:tabs>
        <w:spacing w:before="120" w:after="120"/>
        <w:ind w:left="851" w:right="851" w:firstLine="709"/>
        <w:jc w:val="both"/>
        <w:rPr>
          <w:rFonts w:ascii="Times New Roman" w:hAnsi="Times New Roman" w:cs="Times New Roman"/>
          <w:iCs/>
          <w:color w:val="auto"/>
          <w:spacing w:val="-3"/>
          <w:sz w:val="26"/>
          <w:szCs w:val="26"/>
        </w:rPr>
      </w:pPr>
    </w:p>
    <w:p w:rsidRPr="00AE1B2B" w:rsidR="009D3FB5" w:rsidP="00163B94" w:rsidRDefault="009D3FB5" w14:paraId="4469E3B4" w14:textId="6937EEFC">
      <w:pPr>
        <w:pStyle w:val="Default"/>
        <w:tabs>
          <w:tab w:val="left" w:pos="426"/>
        </w:tabs>
        <w:spacing w:before="120" w:after="120"/>
        <w:ind w:left="851" w:right="851" w:firstLine="709"/>
        <w:jc w:val="both"/>
        <w:rPr>
          <w:rFonts w:ascii="Times New Roman" w:hAnsi="Times New Roman" w:cs="Times New Roman"/>
          <w:iCs/>
          <w:color w:val="auto"/>
          <w:spacing w:val="-3"/>
          <w:sz w:val="26"/>
          <w:szCs w:val="26"/>
        </w:rPr>
      </w:pPr>
      <w:r w:rsidRPr="00AE1B2B">
        <w:rPr>
          <w:rFonts w:ascii="Times New Roman" w:hAnsi="Times New Roman" w:cs="Times New Roman"/>
          <w:iCs/>
          <w:color w:val="auto"/>
          <w:spacing w:val="-3"/>
          <w:sz w:val="26"/>
          <w:szCs w:val="26"/>
        </w:rPr>
        <w:t>12.9.</w:t>
      </w:r>
      <w:r w:rsidRPr="00AE1B2B" w:rsidR="00BB7720">
        <w:rPr>
          <w:rFonts w:ascii="Times New Roman" w:hAnsi="Times New Roman" w:cs="Times New Roman"/>
          <w:iCs/>
          <w:color w:val="auto"/>
          <w:spacing w:val="-3"/>
          <w:sz w:val="26"/>
          <w:szCs w:val="26"/>
        </w:rPr>
        <w:t xml:space="preserve"> </w:t>
      </w:r>
      <w:r w:rsidRPr="00AE1B2B">
        <w:rPr>
          <w:rFonts w:ascii="Times New Roman" w:hAnsi="Times New Roman" w:cs="Times New Roman"/>
          <w:iCs/>
          <w:color w:val="auto"/>
          <w:spacing w:val="-3"/>
          <w:sz w:val="26"/>
          <w:szCs w:val="26"/>
        </w:rPr>
        <w:t>Suministrar a la Dirección de Tecnología de la Información el listado con los formatos jurídicos actuales que están asociados a un cambio de fase o estado a fin de que se configure automáticamente en el sistema y solicitar una vez definido lo anterior una circular que establezca la obligatoriedad del uso de esos formatos a fin de reducir inconsistencias.</w:t>
      </w:r>
      <w:r w:rsidRPr="00AE1B2B" w:rsidR="00BB7720">
        <w:rPr>
          <w:rFonts w:ascii="Times New Roman" w:hAnsi="Times New Roman" w:cs="Times New Roman"/>
          <w:iCs/>
          <w:color w:val="auto"/>
          <w:spacing w:val="-3"/>
          <w:sz w:val="26"/>
          <w:szCs w:val="26"/>
        </w:rPr>
        <w:t xml:space="preserve"> </w:t>
      </w:r>
      <w:r w:rsidRPr="00AE1B2B">
        <w:rPr>
          <w:rFonts w:ascii="Times New Roman" w:hAnsi="Times New Roman" w:cs="Times New Roman"/>
          <w:iCs/>
          <w:color w:val="auto"/>
          <w:spacing w:val="-3"/>
          <w:sz w:val="26"/>
          <w:szCs w:val="26"/>
        </w:rPr>
        <w:t>Esta recomendación aplica también para los nuevos formatos jurídicos que desarrollen para ser utilizados a partir de la entrada en vigencia del nuevo Código Procesal de Familia.</w:t>
      </w:r>
      <w:r w:rsidRPr="00AE1B2B" w:rsidR="00BB7720">
        <w:rPr>
          <w:rFonts w:ascii="Times New Roman" w:hAnsi="Times New Roman" w:cs="Times New Roman"/>
          <w:iCs/>
          <w:color w:val="auto"/>
          <w:spacing w:val="-3"/>
          <w:sz w:val="26"/>
          <w:szCs w:val="26"/>
        </w:rPr>
        <w:t xml:space="preserve"> </w:t>
      </w:r>
      <w:r w:rsidRPr="00AE1B2B">
        <w:rPr>
          <w:rFonts w:ascii="Times New Roman" w:hAnsi="Times New Roman" w:cs="Times New Roman"/>
          <w:iCs/>
          <w:color w:val="auto"/>
          <w:spacing w:val="-3"/>
          <w:sz w:val="26"/>
          <w:szCs w:val="26"/>
        </w:rPr>
        <w:t>(Solicitud reiterada mediante oficio 1091-PLA-ES-EV-2020).</w:t>
      </w:r>
    </w:p>
    <w:p w:rsidRPr="00AE1B2B" w:rsidR="009D3FB5" w:rsidP="00163B94" w:rsidRDefault="009D3FB5" w14:paraId="2D5159F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4F52FF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12.10. Solicitar al Consejo Superior la emisión de una circular, en atención punto 2.37. del informe de la CGR donde se establezca la obligatoriedad de hacer uso del reporte en SIGMA de las duraciones de los procesos, y una vez se identifiquen los expedientes con mayor duración en trámite (fase demanda-demostrativa-conclusiva), solicitar que se giren instrucciones para que se atiendan - y dar seguimiento al cumplimiento por parte de las oficinas.</w:t>
      </w:r>
    </w:p>
    <w:p w:rsidRPr="00AE1B2B" w:rsidR="009D3FB5" w:rsidP="00163B94" w:rsidRDefault="009D3FB5" w14:paraId="6D3D413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1FC915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12.11. Revisar y actualizar junto con el Subproceso de estadística las prioridad a nivel estadístico, que deben de ser categorías exhaustivas y excluyentes. </w:t>
      </w:r>
    </w:p>
    <w:p w:rsidRPr="00AE1B2B" w:rsidR="009D3FB5" w:rsidP="00163B94" w:rsidRDefault="009D3FB5" w14:paraId="3160518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723A3B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12.12. Revisar junto con el Juez Gestor, el reporte actual que genera SIGMA de los apremios, para contabilizar la cantidad de solicitud y las que finalmente se emiten, y si aplica o no adicionar la categoría de “conservación de derecho”.</w:t>
      </w:r>
    </w:p>
    <w:p w:rsidRPr="00AE1B2B" w:rsidR="009D3FB5" w:rsidP="00163B94" w:rsidRDefault="009D3FB5" w14:paraId="0D4CAC3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177F38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12.13. Solicitar al Consejo Superior la emisión de una circular con el procedimiento acordado en las reuniones de seguimiento para la emisión de apremios en el sistema, y cuales solicitudes se resuelven en el principal y cuales en el legajo a fin de estandarizar el tema a nivel nacional en los Juzgados competentes en materia de Pensiones. </w:t>
      </w:r>
    </w:p>
    <w:p w:rsidRPr="00AE1B2B" w:rsidR="009D3FB5" w:rsidP="00163B94" w:rsidRDefault="009D3FB5" w14:paraId="01C56BD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DC5DD2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12.14. Solicitar al Consejo Superior la emisión de una circular con el procedimiento acordado en las reuniones de seguimiento para la tramitación de allanamientos a fin de estandarizar el tema a nivel nacional en los Juzgados competentes en materia de Pensiones.</w:t>
      </w:r>
    </w:p>
    <w:p w:rsidRPr="00AE1B2B" w:rsidR="009D3FB5" w:rsidP="00163B94" w:rsidRDefault="009D3FB5" w14:paraId="7AC141A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2FFE45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DE83E5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la </w:t>
      </w:r>
      <w:bookmarkStart w:name="_Hlk65240192" w:id="89"/>
      <w:r w:rsidRPr="00AE1B2B">
        <w:rPr>
          <w:rFonts w:ascii="Times New Roman" w:hAnsi="Times New Roman" w:cs="Times New Roman"/>
          <w:sz w:val="26"/>
          <w:szCs w:val="26"/>
        </w:rPr>
        <w:t>Comisión Permanente para el Seguimiento de la Atención y Prevención de la Violencia Intrafamiliar</w:t>
      </w:r>
      <w:bookmarkEnd w:id="89"/>
    </w:p>
    <w:p w:rsidRPr="00AE1B2B" w:rsidR="009D3FB5" w:rsidP="00163B94" w:rsidRDefault="009D3FB5" w14:paraId="21AB794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A594A9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12.15. Deberá solicitar y brindar seguimiento a los despachos que atienden materia de Violencia Doméstica que realicen la actualización de la información en los sistemas de información con que cuenta la Institución de forma que las consultas que se realicen brinden información certera así mismo que se den cumplimiento a las recomendaciones emitidas en este informe. </w:t>
      </w:r>
    </w:p>
    <w:p w:rsidRPr="00AE1B2B" w:rsidR="009D3FB5" w:rsidP="00163B94" w:rsidRDefault="009D3FB5" w14:paraId="5E8ECDC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77A40F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12.16. Dar seguimiento a los Despachos de Violencia Doméstica de forma que se identifiquen las razones por las cuales los expedientes se acumulan en las fases de demanda demostrativa y conclusiva, y no llegan a la fase de seguimiento, para luego definir acciones institucionales que ayuden a mitigar dicha situación y se brinda a la persona usuaria el servicio expedito que se espera en este proceso. </w:t>
      </w:r>
    </w:p>
    <w:p w:rsidRPr="00AE1B2B" w:rsidR="009D3FB5" w:rsidP="00163B94" w:rsidRDefault="009D3FB5" w14:paraId="181AF12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CA1A86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12.17. Diseñar y comunicar lineamientos institucionales para la ejecución de la fase de seguimiento en los procesos con la finalidad de estandarizar la respuesta de los juzgados en lo posible, lo que facilita la organización de las funciones para los próximos abordajes que se esperan realizar en esos despachos. </w:t>
      </w:r>
    </w:p>
    <w:p w:rsidRPr="00AE1B2B" w:rsidR="009D3FB5" w:rsidP="00163B94" w:rsidRDefault="009D3FB5" w14:paraId="40C6455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15F173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12.18. Coordinar la emisión por parte del Consejo Superior de una directriz que establezca para los Juzgados competentes en Violencia Doméstica la obligatoriedad del uso del módulo de pase a fallo, reporte en SIGMA y reparto automático (similar a la circular 223-20 en materia de Familia y Pensiones Alimentarias). </w:t>
      </w:r>
    </w:p>
    <w:p w:rsidRPr="00AE1B2B" w:rsidR="009D3FB5" w:rsidP="00163B94" w:rsidRDefault="009D3FB5" w14:paraId="080A4F1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E8891A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A las Fiscalías que atienden materia Penal Juvenil</w:t>
      </w:r>
    </w:p>
    <w:p w:rsidRPr="00AE1B2B" w:rsidR="009D3FB5" w:rsidP="00163B94" w:rsidRDefault="009D3FB5" w14:paraId="28486FE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DFA18F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12.19. Se solicita a las Fiscalías que atienden materia Penal Juvenil como medida para ayudar a disminuir el circulante de los despachos de materia Familia mixtos que entre sus materias atienden Penal Juvenil, valoren la posibilidad de trasladar algunos de los casos de materia Penal Juvenil de esos despachos para que sean atendidos mediante el Programa de Justicia Restaurativa de la región. </w:t>
      </w:r>
    </w:p>
    <w:p w:rsidRPr="00AE1B2B" w:rsidR="009D3FB5" w:rsidP="00163B94" w:rsidRDefault="009D3FB5" w14:paraId="7E9D3F2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18BCF3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la Dirección de Gestión Humana</w:t>
      </w:r>
    </w:p>
    <w:p w:rsidRPr="00AE1B2B" w:rsidR="009D3FB5" w:rsidP="00163B94" w:rsidRDefault="009D3FB5" w14:paraId="1B9894E5" w14:textId="77777777">
      <w:pPr>
        <w:spacing w:before="120" w:after="120"/>
        <w:ind w:left="851" w:right="851" w:firstLine="709"/>
        <w:contextualSpacing/>
        <w:jc w:val="both"/>
        <w:rPr>
          <w:rFonts w:ascii="Times New Roman" w:hAnsi="Times New Roman" w:cs="Times New Roman"/>
          <w:sz w:val="26"/>
          <w:szCs w:val="26"/>
          <w:lang w:eastAsia="es-CR"/>
        </w:rPr>
      </w:pPr>
    </w:p>
    <w:p w:rsidRPr="00AE1B2B" w:rsidR="009D3FB5" w:rsidP="00163B94" w:rsidRDefault="009D3FB5" w14:paraId="4794E60A" w14:textId="77777777">
      <w:pPr>
        <w:widowControl w:val="0"/>
        <w:spacing w:before="120" w:after="120"/>
        <w:ind w:left="851" w:right="851" w:firstLine="709"/>
        <w:contextualSpacing/>
        <w:jc w:val="both"/>
        <w:rPr>
          <w:rFonts w:ascii="Times New Roman" w:hAnsi="Times New Roman" w:cs="Times New Roman"/>
          <w:sz w:val="26"/>
          <w:szCs w:val="26"/>
          <w:lang w:eastAsia="es-CR"/>
        </w:rPr>
      </w:pPr>
      <w:r w:rsidRPr="00AE1B2B">
        <w:rPr>
          <w:rFonts w:ascii="Times New Roman" w:hAnsi="Times New Roman" w:cs="Times New Roman"/>
          <w:sz w:val="26"/>
          <w:szCs w:val="26"/>
          <w:lang w:eastAsia="es-CR"/>
        </w:rPr>
        <w:t xml:space="preserve">12.20. Dar cumplimiento a sus tareas dentro del </w:t>
      </w:r>
      <w:r w:rsidRPr="00AE1B2B">
        <w:rPr>
          <w:rFonts w:ascii="Times New Roman" w:hAnsi="Times New Roman" w:cs="Times New Roman"/>
          <w:sz w:val="26"/>
          <w:szCs w:val="26"/>
        </w:rPr>
        <w:t>Proyecto 1374-CF-P01</w:t>
      </w:r>
      <w:r w:rsidRPr="00AE1B2B">
        <w:rPr>
          <w:rFonts w:ascii="Times New Roman" w:hAnsi="Times New Roman" w:cs="Times New Roman"/>
          <w:i/>
          <w:iCs/>
          <w:sz w:val="26"/>
          <w:szCs w:val="26"/>
        </w:rPr>
        <w:t xml:space="preserve"> “Implementación del Código Procesal de Familia” </w:t>
      </w:r>
      <w:r w:rsidRPr="00AE1B2B">
        <w:rPr>
          <w:rFonts w:ascii="Times New Roman" w:hAnsi="Times New Roman" w:cs="Times New Roman"/>
          <w:sz w:val="26"/>
          <w:szCs w:val="26"/>
          <w:lang w:eastAsia="es-CR"/>
        </w:rPr>
        <w:t xml:space="preserve">y remitir el entregable correspondiente conforme al cronograma y metodología de proyectos institucional en coordinación con el Juez Gestor en la materia y la Comisión de Familia, Niñez y Adolescencia. </w:t>
      </w:r>
    </w:p>
    <w:p w:rsidRPr="00AE1B2B" w:rsidR="009D3FB5" w:rsidP="00163B94" w:rsidRDefault="009D3FB5" w14:paraId="3649E719" w14:textId="77777777">
      <w:pPr>
        <w:widowControl w:val="0"/>
        <w:spacing w:before="120" w:after="120" w:line="276" w:lineRule="auto"/>
        <w:contextualSpacing/>
        <w:rPr>
          <w:rFonts w:ascii="Times New Roman" w:hAnsi="Times New Roman" w:cs="Times New Roman"/>
          <w:sz w:val="24"/>
          <w:szCs w:val="24"/>
          <w:lang w:eastAsia="es-CR"/>
        </w:rPr>
      </w:pPr>
    </w:p>
    <w:tbl>
      <w:tblPr>
        <w:tblW w:w="0" w:type="auto"/>
        <w:tblBorders>
          <w:top w:val="single" w:color="B1BBCC" w:sz="4" w:space="0"/>
          <w:left w:val="single" w:color="B1BBCC" w:sz="4" w:space="0"/>
          <w:bottom w:val="single" w:color="B1BBCC" w:sz="4" w:space="0"/>
          <w:right w:val="single" w:color="B1BBCC" w:sz="4" w:space="0"/>
        </w:tblBorders>
        <w:tblCellMar>
          <w:top w:w="12" w:type="dxa"/>
          <w:left w:w="12" w:type="dxa"/>
          <w:bottom w:w="12" w:type="dxa"/>
          <w:right w:w="12" w:type="dxa"/>
        </w:tblCellMar>
        <w:tblLook w:val="04A0" w:firstRow="1" w:lastRow="0" w:firstColumn="1" w:lastColumn="0" w:noHBand="0" w:noVBand="1"/>
      </w:tblPr>
      <w:tblGrid>
        <w:gridCol w:w="3668"/>
        <w:gridCol w:w="1053"/>
        <w:gridCol w:w="1310"/>
        <w:gridCol w:w="1216"/>
        <w:gridCol w:w="1581"/>
      </w:tblGrid>
      <w:tr w:rsidRPr="00AE1B2B" w:rsidR="00AE1B2B" w:rsidTr="009D3FB5" w14:paraId="39D89C2E" w14:textId="77777777">
        <w:tc>
          <w:tcPr>
            <w:tcW w:w="736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4C337F46"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Nombre de tarea</w:t>
            </w:r>
          </w:p>
        </w:tc>
        <w:tc>
          <w:tcPr>
            <w:tcW w:w="160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6EA68E6C"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Duración</w:t>
            </w:r>
          </w:p>
        </w:tc>
        <w:tc>
          <w:tcPr>
            <w:tcW w:w="20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06B2B7F4"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Comienzo</w:t>
            </w:r>
          </w:p>
        </w:tc>
        <w:tc>
          <w:tcPr>
            <w:tcW w:w="184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1147C2B7"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Fin</w:t>
            </w:r>
          </w:p>
        </w:tc>
        <w:tc>
          <w:tcPr>
            <w:tcW w:w="26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0905AD5E"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 completado</w:t>
            </w:r>
          </w:p>
        </w:tc>
      </w:tr>
      <w:tr w:rsidRPr="00AE1B2B" w:rsidR="00AE1B2B" w:rsidTr="009D3FB5" w14:paraId="7A445C96"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5EC70E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3.10. Informe de readecuación perfiles y gestión del cambio y evaluación DGH</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AB4C9E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475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4B2774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lun 13/01/20</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D97199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vie 17/12/21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8BD892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63%</w:t>
            </w:r>
          </w:p>
        </w:tc>
      </w:tr>
      <w:tr w:rsidRPr="00AE1B2B" w:rsidR="00AE1B2B" w:rsidTr="009D3FB5" w14:paraId="06C2CF70"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2BA0CD25" w14:textId="21A4586F">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 xml:space="preserve">Diseño de Perfiles </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2EAD89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379.81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683CBA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13/01/20</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928CBB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vie 30/07/21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D1C039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75%</w:t>
            </w:r>
          </w:p>
        </w:tc>
      </w:tr>
      <w:tr w:rsidRPr="00AE1B2B" w:rsidR="00AE1B2B" w:rsidTr="009D3FB5" w14:paraId="22C4B21C"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7A9CC0C5" w14:textId="3A29F85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Preparación para el cambio</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A9C318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5254B3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13/04/20</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2C3F6F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31/08/20</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2E5539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r>
      <w:tr w:rsidRPr="00AE1B2B" w:rsidR="00AE1B2B" w:rsidTr="009D3FB5" w14:paraId="4E906102"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6EF19604" w14:textId="76FE9BB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Diseño de estrategia de abordaje de Ambiente Laboral</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514F9F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30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0C70CFE"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01/11/21</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F4A3AF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14/12/21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DC44B7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570154F1"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13E673D4" w14:textId="05A4E9C5">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Elaboración de nuevos contenidos e items de examen de judicatura</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AF6474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155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51988FF"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10/05/21</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FA9716E"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vie 17/12/21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2717E27"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3E765E70"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692472EC" w14:textId="45C521DD">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Capacitación Virtual (Capacítate)</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659C29E"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95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C8BFD0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24/08/20</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1775A1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jue 21/01/21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AC764E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r>
    </w:tbl>
    <w:p w:rsidRPr="00AE1B2B" w:rsidR="009D3FB5" w:rsidP="00163B94" w:rsidRDefault="009D3FB5" w14:paraId="5E11BFD5" w14:textId="77777777">
      <w:pPr>
        <w:widowControl w:val="0"/>
        <w:spacing w:before="120" w:after="120" w:line="276" w:lineRule="auto"/>
        <w:contextualSpacing/>
        <w:rPr>
          <w:rFonts w:ascii="Times New Roman" w:hAnsi="Times New Roman" w:cs="Times New Roman"/>
          <w:sz w:val="24"/>
          <w:szCs w:val="24"/>
          <w:lang w:eastAsia="es-CR"/>
        </w:rPr>
      </w:pPr>
    </w:p>
    <w:p w:rsidRPr="00AE1B2B" w:rsidR="009D3FB5" w:rsidP="00163B94" w:rsidRDefault="009D3FB5" w14:paraId="69F943B7" w14:textId="77777777">
      <w:pPr>
        <w:widowControl w:val="0"/>
        <w:spacing w:before="120" w:after="120"/>
        <w:ind w:left="851" w:right="851" w:firstLine="709"/>
        <w:contextualSpacing/>
        <w:jc w:val="both"/>
        <w:rPr>
          <w:rFonts w:ascii="Times New Roman" w:hAnsi="Times New Roman" w:cs="Times New Roman"/>
          <w:sz w:val="26"/>
          <w:szCs w:val="26"/>
          <w:lang w:eastAsia="es-CR"/>
        </w:rPr>
      </w:pPr>
    </w:p>
    <w:p w:rsidRPr="00AE1B2B" w:rsidR="009D3FB5" w:rsidP="00163B94" w:rsidRDefault="009D3FB5" w14:paraId="1AA7AE8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DE046B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las Contralorías de Servicios a nivel nacional</w:t>
      </w:r>
    </w:p>
    <w:p w:rsidRPr="00AE1B2B" w:rsidR="009D3FB5" w:rsidP="00163B94" w:rsidRDefault="009D3FB5" w14:paraId="1005BF1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7816CD6" w14:textId="77777777">
      <w:pPr>
        <w:widowControl w:val="0"/>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12.21. Coordinar y realizar, en conjunto con las Administraciones Regionales y las unidades Regionales de </w:t>
      </w:r>
      <w:r w:rsidRPr="00AE1B2B">
        <w:rPr>
          <w:rFonts w:ascii="Times New Roman" w:hAnsi="Times New Roman" w:cs="Times New Roman"/>
          <w:sz w:val="26"/>
          <w:szCs w:val="26"/>
        </w:rPr>
        <w:lastRenderedPageBreak/>
        <w:t>Tecnología de la Información, un acercamiento con la Comisión de Usuarios y las personas usuarias relacionadas con los Juzgados Especializados de Familia, con el objetivo de determinar si requieren apoyo en cuanto a presentar y explicar el nuevo método de trabajo mediante el expediente electrónico, indicando las ventajas y el procedimiento; así como, exponer y potenciar el uso de las herramientas web que tiene la institución, las cuales facilitan la experiencia de obtener un servicio en la Institución.</w:t>
      </w:r>
    </w:p>
    <w:p w:rsidRPr="00AE1B2B" w:rsidR="009D3FB5" w:rsidP="00163B94" w:rsidRDefault="009D3FB5" w14:paraId="4B393B83" w14:textId="77777777">
      <w:pPr>
        <w:widowControl w:val="0"/>
        <w:spacing w:before="120" w:after="120"/>
        <w:ind w:left="851" w:right="851" w:firstLine="709"/>
        <w:jc w:val="both"/>
        <w:rPr>
          <w:rFonts w:ascii="Times New Roman" w:hAnsi="Times New Roman" w:cs="Times New Roman"/>
          <w:sz w:val="26"/>
          <w:szCs w:val="26"/>
        </w:rPr>
      </w:pPr>
    </w:p>
    <w:p w:rsidRPr="00AE1B2B" w:rsidR="009D3FB5" w:rsidP="00163B94" w:rsidRDefault="009D3FB5" w14:paraId="6DACEE66" w14:textId="77777777">
      <w:pPr>
        <w:widowControl w:val="0"/>
        <w:spacing w:before="120" w:after="120"/>
        <w:ind w:left="851" w:right="851" w:firstLine="709"/>
        <w:jc w:val="both"/>
        <w:rPr>
          <w:rFonts w:ascii="Times New Roman" w:hAnsi="Times New Roman" w:cs="Times New Roman"/>
          <w:sz w:val="26"/>
          <w:szCs w:val="26"/>
          <w:lang w:eastAsia="es-CR"/>
        </w:rPr>
      </w:pPr>
      <w:r w:rsidRPr="00AE1B2B">
        <w:rPr>
          <w:rFonts w:ascii="Times New Roman" w:hAnsi="Times New Roman" w:cs="Times New Roman"/>
          <w:sz w:val="26"/>
          <w:szCs w:val="26"/>
          <w:lang w:eastAsia="es-CR"/>
        </w:rPr>
        <w:t xml:space="preserve">12.22. Dar cumplimiento a su tarea dentro del </w:t>
      </w:r>
      <w:r w:rsidRPr="00AE1B2B">
        <w:rPr>
          <w:rFonts w:ascii="Times New Roman" w:hAnsi="Times New Roman" w:cs="Times New Roman"/>
          <w:sz w:val="26"/>
          <w:szCs w:val="26"/>
        </w:rPr>
        <w:t>Proyecto 1374-CF-P01</w:t>
      </w:r>
      <w:r w:rsidRPr="00AE1B2B">
        <w:rPr>
          <w:rFonts w:ascii="Times New Roman" w:hAnsi="Times New Roman" w:cs="Times New Roman"/>
          <w:i/>
          <w:iCs/>
          <w:sz w:val="26"/>
          <w:szCs w:val="26"/>
        </w:rPr>
        <w:t xml:space="preserve"> “Implementación del Código Procesal de Familia” </w:t>
      </w:r>
      <w:r w:rsidRPr="00AE1B2B">
        <w:rPr>
          <w:rFonts w:ascii="Times New Roman" w:hAnsi="Times New Roman" w:cs="Times New Roman"/>
          <w:sz w:val="26"/>
          <w:szCs w:val="26"/>
          <w:lang w:eastAsia="es-CR"/>
        </w:rPr>
        <w:t>y remitir el entregable correspondiente conforme al cronograma y metodología de proyectos institucional en coordinación con el Juez Gestor en la materia y la Comisión de Familia, Niñez y Adolescencia.</w:t>
      </w:r>
    </w:p>
    <w:p w:rsidRPr="00AE1B2B" w:rsidR="009D3FB5" w:rsidP="00163B94" w:rsidRDefault="009D3FB5" w14:paraId="1E42A8C8" w14:textId="77777777">
      <w:pPr>
        <w:widowControl w:val="0"/>
        <w:spacing w:before="120" w:after="120" w:line="276" w:lineRule="auto"/>
        <w:rPr>
          <w:rFonts w:ascii="Times New Roman" w:hAnsi="Times New Roman" w:cs="Times New Roman"/>
          <w:sz w:val="24"/>
          <w:szCs w:val="24"/>
        </w:rPr>
      </w:pPr>
    </w:p>
    <w:tbl>
      <w:tblPr>
        <w:tblW w:w="0" w:type="auto"/>
        <w:tblBorders>
          <w:top w:val="single" w:color="B1BBCC" w:sz="4" w:space="0"/>
          <w:left w:val="single" w:color="B1BBCC" w:sz="4" w:space="0"/>
          <w:bottom w:val="single" w:color="B1BBCC" w:sz="4" w:space="0"/>
          <w:right w:val="single" w:color="B1BBCC" w:sz="4" w:space="0"/>
        </w:tblBorders>
        <w:tblCellMar>
          <w:top w:w="12" w:type="dxa"/>
          <w:left w:w="12" w:type="dxa"/>
          <w:bottom w:w="12" w:type="dxa"/>
          <w:right w:w="12" w:type="dxa"/>
        </w:tblCellMar>
        <w:tblLook w:val="04A0" w:firstRow="1" w:lastRow="0" w:firstColumn="1" w:lastColumn="0" w:noHBand="0" w:noVBand="1"/>
      </w:tblPr>
      <w:tblGrid>
        <w:gridCol w:w="3673"/>
        <w:gridCol w:w="1052"/>
        <w:gridCol w:w="1309"/>
        <w:gridCol w:w="1215"/>
        <w:gridCol w:w="1579"/>
      </w:tblGrid>
      <w:tr w:rsidRPr="00AE1B2B" w:rsidR="00AE1B2B" w:rsidTr="009D3FB5" w14:paraId="63B50AAA" w14:textId="77777777">
        <w:tc>
          <w:tcPr>
            <w:tcW w:w="736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7E51BF85"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Nombre de tarea</w:t>
            </w:r>
          </w:p>
        </w:tc>
        <w:tc>
          <w:tcPr>
            <w:tcW w:w="160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212D3A5E"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Duración</w:t>
            </w:r>
          </w:p>
        </w:tc>
        <w:tc>
          <w:tcPr>
            <w:tcW w:w="20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5F24F519"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Comienzo</w:t>
            </w:r>
          </w:p>
        </w:tc>
        <w:tc>
          <w:tcPr>
            <w:tcW w:w="184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27DBAED4"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Fin</w:t>
            </w:r>
          </w:p>
        </w:tc>
        <w:tc>
          <w:tcPr>
            <w:tcW w:w="26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31CEC053"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 completado</w:t>
            </w:r>
          </w:p>
        </w:tc>
      </w:tr>
      <w:tr w:rsidRPr="00AE1B2B" w:rsidR="00AE1B2B" w:rsidTr="009D3FB5" w14:paraId="6D502370"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36705C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3.15. Informe Contraloría, afiches y acercamiento CPU</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255A45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292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A8DAF6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lun 04/10/21</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88E3B6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mar 13/12/22</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389174F"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0%</w:t>
            </w:r>
          </w:p>
        </w:tc>
      </w:tr>
      <w:tr w:rsidRPr="00AE1B2B" w:rsidR="00AE1B2B" w:rsidTr="009D3FB5" w14:paraId="2B8ECAE8"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366C75B3" w14:textId="3D1A8569">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Diagnóstico previo</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9EC312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50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526E9A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04/10/21</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0DDA98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mié 15/12/21</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2BD19AE"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226FA01E"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200ADD95" w14:textId="7B1DCA12">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Encuestas, acercamiento Personal Usuarios</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BE3698E"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60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E5550E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17/01/22</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A0E032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11/04/22</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69C3A2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79354287"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2F5E7059" w14:textId="20FA03C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Aplicación encuesta para medición de impacto</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508CAD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D598E83"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07/11/22</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FBD2894"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13/12/22</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6CAB2AD"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bl>
    <w:p w:rsidRPr="00AE1B2B" w:rsidR="009D3FB5" w:rsidP="00163B94" w:rsidRDefault="009D3FB5" w14:paraId="0B463147" w14:textId="77777777">
      <w:pPr>
        <w:widowControl w:val="0"/>
        <w:spacing w:before="120" w:after="120" w:line="276" w:lineRule="auto"/>
        <w:rPr>
          <w:rFonts w:ascii="Times New Roman" w:hAnsi="Times New Roman" w:cs="Times New Roman"/>
          <w:sz w:val="24"/>
          <w:szCs w:val="24"/>
        </w:rPr>
      </w:pPr>
    </w:p>
    <w:p w:rsidRPr="00AE1B2B" w:rsidR="009D3FB5" w:rsidP="00163B94" w:rsidRDefault="009D3FB5" w14:paraId="1EDD2A91" w14:textId="77777777">
      <w:pPr>
        <w:widowControl w:val="0"/>
        <w:spacing w:before="120" w:after="120" w:line="276" w:lineRule="auto"/>
        <w:rPr>
          <w:rFonts w:ascii="Times New Roman" w:hAnsi="Times New Roman" w:cs="Times New Roman"/>
          <w:sz w:val="24"/>
          <w:szCs w:val="24"/>
        </w:rPr>
      </w:pPr>
    </w:p>
    <w:p w:rsidRPr="00AE1B2B" w:rsidR="009D3FB5" w:rsidP="00163B94" w:rsidRDefault="009D3FB5" w14:paraId="25B6B1E0" w14:textId="77777777">
      <w:pPr>
        <w:widowControl w:val="0"/>
        <w:spacing w:before="120" w:after="120" w:line="276" w:lineRule="auto"/>
        <w:rPr>
          <w:rFonts w:ascii="Times New Roman" w:hAnsi="Times New Roman" w:cs="Times New Roman"/>
          <w:sz w:val="24"/>
          <w:szCs w:val="24"/>
        </w:rPr>
      </w:pPr>
    </w:p>
    <w:p w:rsidRPr="00AE1B2B" w:rsidR="009D3FB5" w:rsidP="00163B94" w:rsidRDefault="009D3FB5" w14:paraId="6CD2B6D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la Dirección de Tecnología de la Información y sus sedes Regionales a nivel nacional</w:t>
      </w:r>
    </w:p>
    <w:p w:rsidRPr="00AE1B2B" w:rsidR="009D3FB5" w:rsidP="00163B94" w:rsidRDefault="009D3FB5" w14:paraId="6ABE29F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C5D5907" w14:textId="77777777">
      <w:pPr>
        <w:widowControl w:val="0"/>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12.23. Efectuarán un monitoreo trimestral con el fin de verificar el uso de las mejoras informáticas por parte de los despachos judiciales y deberá recapacitar a todo el personal del Despacho en el uso de estas cuando las oficinas así lo ameriten.</w:t>
      </w:r>
    </w:p>
    <w:p w:rsidRPr="00AE1B2B" w:rsidR="009D3FB5" w:rsidP="00163B94" w:rsidRDefault="009D3FB5" w14:paraId="442D290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38BAFF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12.24. Realizar con carácter urgente la mejora en el reparto por procedimiento, de forma que se puedan excluir los asuntos reentrados del rol de reparto conforme al requerimiento realizado el 15 de diciembre 2020 (ver </w:t>
      </w:r>
      <w:r w:rsidRPr="00AE1B2B">
        <w:rPr>
          <w:rFonts w:ascii="Times New Roman" w:hAnsi="Times New Roman" w:cs="Times New Roman"/>
          <w:b/>
          <w:bCs/>
          <w:i/>
          <w:iCs/>
          <w:sz w:val="26"/>
          <w:szCs w:val="26"/>
        </w:rPr>
        <w:t>anexo 5</w:t>
      </w:r>
      <w:r w:rsidRPr="00AE1B2B">
        <w:rPr>
          <w:rFonts w:ascii="Times New Roman" w:hAnsi="Times New Roman" w:cs="Times New Roman"/>
          <w:sz w:val="26"/>
          <w:szCs w:val="26"/>
        </w:rPr>
        <w:t xml:space="preserve">). Una vez validado su uso, proceder a la implementación de este tipo de reparto en la Jurisdición de Familia, Pensiones y Violencia Doméstica a nivel nacional. </w:t>
      </w:r>
    </w:p>
    <w:p w:rsidRPr="00AE1B2B" w:rsidR="009D3FB5" w:rsidP="00163B94" w:rsidRDefault="009D3FB5" w14:paraId="70EA2F9B" w14:textId="77777777">
      <w:pPr>
        <w:spacing w:before="120" w:after="120"/>
        <w:ind w:left="851" w:right="851" w:firstLine="709"/>
        <w:jc w:val="both"/>
        <w:rPr>
          <w:rFonts w:ascii="Times New Roman" w:hAnsi="Times New Roman" w:cs="Times New Roman"/>
          <w:iCs/>
          <w:sz w:val="26"/>
          <w:szCs w:val="26"/>
        </w:rPr>
      </w:pPr>
    </w:p>
    <w:p w:rsidRPr="00AE1B2B" w:rsidR="009D3FB5" w:rsidP="00163B94" w:rsidRDefault="009D3FB5" w14:paraId="633132D6" w14:textId="4C95371F">
      <w:pPr>
        <w:pStyle w:val="Fuentes"/>
        <w:spacing w:before="120" w:after="120" w:line="240" w:lineRule="auto"/>
        <w:ind w:left="851" w:right="851" w:firstLine="709"/>
        <w:rPr>
          <w:rFonts w:ascii="Times New Roman" w:hAnsi="Times New Roman" w:cs="Times New Roman"/>
          <w:i w:val="0"/>
          <w:iCs/>
          <w:sz w:val="26"/>
          <w:szCs w:val="26"/>
        </w:rPr>
      </w:pPr>
      <w:r w:rsidRPr="00AE1B2B">
        <w:rPr>
          <w:rFonts w:ascii="Times New Roman" w:hAnsi="Times New Roman" w:cs="Times New Roman"/>
          <w:i w:val="0"/>
          <w:iCs/>
          <w:sz w:val="26"/>
          <w:szCs w:val="26"/>
        </w:rPr>
        <w:t>12.25. Realizar con carácter de urgente, la mejora solicitada mediante reporte GIS RF-1009915-3-118986 de forma que se pueda cruzar la información entre la clase de asunto y el resultado de las resoluciones, a fin de lograr obtener directamente del SIGMA la cantidad de resoluciones de aprobación o improbación de divorcios por mutuo consentimiento y poder incluirlo así en la matriz.</w:t>
      </w:r>
      <w:r w:rsidRPr="00AE1B2B" w:rsidR="00BB7720">
        <w:rPr>
          <w:rFonts w:ascii="Times New Roman" w:hAnsi="Times New Roman" w:cs="Times New Roman"/>
          <w:i w:val="0"/>
          <w:iCs/>
          <w:sz w:val="26"/>
          <w:szCs w:val="26"/>
        </w:rPr>
        <w:t xml:space="preserve"> </w:t>
      </w:r>
    </w:p>
    <w:p w:rsidRPr="00AE1B2B" w:rsidR="009D3FB5" w:rsidP="00163B94" w:rsidRDefault="009D3FB5" w14:paraId="71781A60" w14:textId="77777777">
      <w:pPr>
        <w:pStyle w:val="Fuentes"/>
        <w:spacing w:before="120" w:after="120" w:line="240" w:lineRule="auto"/>
        <w:ind w:left="851" w:right="851" w:firstLine="709"/>
        <w:rPr>
          <w:rFonts w:ascii="Times New Roman" w:hAnsi="Times New Roman" w:cs="Times New Roman"/>
          <w:i w:val="0"/>
          <w:iCs/>
          <w:sz w:val="26"/>
          <w:szCs w:val="26"/>
        </w:rPr>
      </w:pPr>
      <w:r w:rsidRPr="00AE1B2B">
        <w:rPr>
          <w:rFonts w:ascii="Times New Roman" w:hAnsi="Times New Roman" w:cs="Times New Roman"/>
          <w:i w:val="0"/>
          <w:iCs/>
          <w:sz w:val="26"/>
          <w:szCs w:val="26"/>
        </w:rPr>
        <w:t>De manera temporal y hasta tanto este lista la mejora, se definió con el Juez Gestor que sean las personas técnicas judiciales quiénes hagan el pase a fallo de estos expedientes, de manera que se registre así en el libro de pase a fallo y puedan contabilizarse desde ahí. La comunicación de la medida temporal a las oficinas está a cargo del Juez Gestor.</w:t>
      </w:r>
    </w:p>
    <w:p w:rsidRPr="00AE1B2B" w:rsidR="009D3FB5" w:rsidP="00163B94" w:rsidRDefault="009D3FB5" w14:paraId="2798BE87" w14:textId="77777777">
      <w:pPr>
        <w:pStyle w:val="Fuentes"/>
        <w:spacing w:before="120" w:after="120" w:line="240" w:lineRule="auto"/>
        <w:ind w:left="851" w:right="851" w:firstLine="709"/>
        <w:rPr>
          <w:rFonts w:ascii="Times New Roman" w:hAnsi="Times New Roman" w:cs="Times New Roman"/>
          <w:sz w:val="26"/>
          <w:szCs w:val="26"/>
        </w:rPr>
      </w:pPr>
    </w:p>
    <w:p w:rsidRPr="00AE1B2B" w:rsidR="009D3FB5" w:rsidP="00163B94" w:rsidRDefault="009D3FB5" w14:paraId="29D1F904" w14:textId="77777777">
      <w:pPr>
        <w:pStyle w:val="Default"/>
        <w:tabs>
          <w:tab w:val="left" w:pos="426"/>
        </w:tabs>
        <w:spacing w:before="120" w:after="120"/>
        <w:ind w:left="851" w:right="851" w:firstLine="709"/>
        <w:jc w:val="both"/>
        <w:rPr>
          <w:rFonts w:ascii="Times New Roman" w:hAnsi="Times New Roman" w:cs="Times New Roman"/>
          <w:iCs/>
          <w:color w:val="auto"/>
          <w:spacing w:val="-3"/>
          <w:sz w:val="26"/>
          <w:szCs w:val="26"/>
        </w:rPr>
      </w:pPr>
      <w:r w:rsidRPr="00AE1B2B">
        <w:rPr>
          <w:rFonts w:ascii="Times New Roman" w:hAnsi="Times New Roman" w:cs="Times New Roman"/>
          <w:iCs/>
          <w:color w:val="auto"/>
          <w:spacing w:val="-3"/>
          <w:sz w:val="26"/>
          <w:szCs w:val="26"/>
        </w:rPr>
        <w:t>12.26. Realizar con carácter urgente, mejora en el sistema SIGA PJ que amplié la cantidad de caracteres para incluir los nombres correctos de las oficinas, incluidos los nuevos nombres se las oficinas competentes en Violencia Doméstica y Protección Cautelar, requerimiento presentado por la misma Comisión de Familia, Niñez y Adolescencia en la sesión del primero de diciembre del año en curso, artículo III y mediante oficio 124-PLA-PP-MI-2021.</w:t>
      </w:r>
    </w:p>
    <w:p w:rsidRPr="00AE1B2B" w:rsidR="009D3FB5" w:rsidP="00163B94" w:rsidRDefault="009D3FB5" w14:paraId="774ADC3A" w14:textId="77777777">
      <w:pPr>
        <w:pStyle w:val="Default"/>
        <w:tabs>
          <w:tab w:val="left" w:pos="426"/>
        </w:tabs>
        <w:spacing w:before="120" w:after="120"/>
        <w:ind w:left="851" w:right="851" w:firstLine="709"/>
        <w:jc w:val="both"/>
        <w:rPr>
          <w:rFonts w:ascii="Times New Roman" w:hAnsi="Times New Roman" w:cs="Times New Roman"/>
          <w:iCs/>
          <w:color w:val="auto"/>
          <w:spacing w:val="-3"/>
          <w:sz w:val="26"/>
          <w:szCs w:val="26"/>
        </w:rPr>
      </w:pPr>
    </w:p>
    <w:p w:rsidRPr="00AE1B2B" w:rsidR="009D3FB5" w:rsidP="00163B94" w:rsidRDefault="009D3FB5" w14:paraId="0DEF8BBE" w14:textId="77777777">
      <w:pPr>
        <w:pStyle w:val="Default"/>
        <w:tabs>
          <w:tab w:val="left" w:pos="426"/>
        </w:tabs>
        <w:spacing w:before="120" w:after="120"/>
        <w:ind w:left="851" w:right="851" w:firstLine="709"/>
        <w:jc w:val="both"/>
        <w:rPr>
          <w:rFonts w:ascii="Times New Roman" w:hAnsi="Times New Roman" w:cs="Times New Roman"/>
          <w:iCs/>
          <w:color w:val="auto"/>
          <w:spacing w:val="-3"/>
          <w:sz w:val="26"/>
          <w:szCs w:val="26"/>
        </w:rPr>
      </w:pPr>
      <w:r w:rsidRPr="00AE1B2B">
        <w:rPr>
          <w:rFonts w:ascii="Times New Roman" w:hAnsi="Times New Roman" w:cs="Times New Roman"/>
          <w:iCs/>
          <w:color w:val="auto"/>
          <w:spacing w:val="-3"/>
          <w:sz w:val="26"/>
          <w:szCs w:val="26"/>
        </w:rPr>
        <w:t xml:space="preserve">12.27. Realizar la mejora solicitado (reporte GIS </w:t>
      </w:r>
      <w:r w:rsidRPr="00AE1B2B">
        <w:rPr>
          <w:rFonts w:ascii="Times New Roman" w:hAnsi="Times New Roman" w:cs="Times New Roman"/>
          <w:color w:val="auto"/>
          <w:sz w:val="26"/>
          <w:szCs w:val="26"/>
        </w:rPr>
        <w:t xml:space="preserve">932499-3-81114 del 9 de noviembre 2020) </w:t>
      </w:r>
      <w:r w:rsidRPr="00AE1B2B">
        <w:rPr>
          <w:rFonts w:ascii="Times New Roman" w:hAnsi="Times New Roman" w:cs="Times New Roman"/>
          <w:iCs/>
          <w:color w:val="auto"/>
          <w:spacing w:val="-3"/>
          <w:sz w:val="26"/>
          <w:szCs w:val="26"/>
        </w:rPr>
        <w:t>para visualizar por código de colores 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rsidRPr="00AE1B2B" w:rsidR="009D3FB5" w:rsidP="00163B94" w:rsidRDefault="009D3FB5" w14:paraId="39D0B670" w14:textId="77777777">
      <w:pPr>
        <w:pStyle w:val="Default"/>
        <w:tabs>
          <w:tab w:val="left" w:pos="426"/>
        </w:tabs>
        <w:spacing w:before="120" w:after="120"/>
        <w:ind w:left="851" w:right="851" w:firstLine="709"/>
        <w:jc w:val="both"/>
        <w:rPr>
          <w:rFonts w:ascii="Times New Roman" w:hAnsi="Times New Roman" w:cs="Times New Roman"/>
          <w:iCs/>
          <w:color w:val="auto"/>
          <w:spacing w:val="-3"/>
          <w:sz w:val="26"/>
          <w:szCs w:val="26"/>
        </w:rPr>
      </w:pPr>
    </w:p>
    <w:p w:rsidRPr="00AE1B2B" w:rsidR="009D3FB5" w:rsidP="00163B94" w:rsidRDefault="00BB7720" w14:paraId="16F3CC4B" w14:textId="5C511165">
      <w:pPr>
        <w:pStyle w:val="Default"/>
        <w:tabs>
          <w:tab w:val="left" w:pos="426"/>
        </w:tabs>
        <w:spacing w:before="120" w:after="120"/>
        <w:ind w:left="851" w:right="851" w:firstLine="709"/>
        <w:jc w:val="both"/>
        <w:rPr>
          <w:rFonts w:ascii="Times New Roman" w:hAnsi="Times New Roman" w:cs="Times New Roman"/>
          <w:color w:val="auto"/>
          <w:sz w:val="26"/>
          <w:szCs w:val="26"/>
        </w:rPr>
      </w:pPr>
      <w:r w:rsidRPr="00AE1B2B">
        <w:rPr>
          <w:rFonts w:ascii="Times New Roman" w:hAnsi="Times New Roman" w:cs="Times New Roman"/>
          <w:iCs/>
          <w:color w:val="auto"/>
          <w:spacing w:val="-3"/>
          <w:sz w:val="26"/>
          <w:szCs w:val="26"/>
        </w:rPr>
        <w:t xml:space="preserve"> </w:t>
      </w:r>
    </w:p>
    <w:p w:rsidRPr="00AE1B2B" w:rsidR="009D3FB5" w:rsidP="00163B94" w:rsidRDefault="009D3FB5" w14:paraId="21F1186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las Administraciones Regionales a nivel nacional</w:t>
      </w:r>
    </w:p>
    <w:p w:rsidRPr="00AE1B2B" w:rsidR="009D3FB5" w:rsidP="00163B94" w:rsidRDefault="009D3FB5" w14:paraId="394252B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06BA61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12.28. Dar cumplimiento a lo establecido en el “</w:t>
      </w:r>
      <w:r w:rsidRPr="00AE1B2B">
        <w:rPr>
          <w:rFonts w:ascii="Times New Roman" w:hAnsi="Times New Roman" w:cs="Times New Roman"/>
          <w:i/>
          <w:iCs/>
          <w:sz w:val="26"/>
          <w:szCs w:val="26"/>
        </w:rPr>
        <w:t>Reglamento sobre Expediente Electrónico ante el Poder Judicial”,</w:t>
      </w:r>
      <w:r w:rsidRPr="00AE1B2B">
        <w:rPr>
          <w:rFonts w:ascii="Times New Roman" w:hAnsi="Times New Roman" w:cs="Times New Roman"/>
          <w:sz w:val="26"/>
          <w:szCs w:val="26"/>
        </w:rPr>
        <w:t xml:space="preserve"> circular 139-11, cita artículo 5 y otros referidos al tema que enfatiza a la política de cero papel y Capítulo III en relación con las “</w:t>
      </w:r>
      <w:r w:rsidRPr="00AE1B2B">
        <w:rPr>
          <w:rFonts w:ascii="Times New Roman" w:hAnsi="Times New Roman" w:cs="Times New Roman"/>
          <w:i/>
          <w:iCs/>
          <w:sz w:val="26"/>
          <w:szCs w:val="26"/>
        </w:rPr>
        <w:t>Gestiones de partes en procesos ante el Poder Judicial por medios electrónicos, informáticos, telemáticos o semejantes”;</w:t>
      </w:r>
      <w:r w:rsidRPr="00AE1B2B">
        <w:rPr>
          <w:rFonts w:ascii="Times New Roman" w:hAnsi="Times New Roman" w:cs="Times New Roman"/>
          <w:sz w:val="26"/>
          <w:szCs w:val="26"/>
        </w:rPr>
        <w:t xml:space="preserve"> cuando se trate de despachos judiciales de trámite electrónico.</w:t>
      </w:r>
    </w:p>
    <w:p w:rsidRPr="00AE1B2B" w:rsidR="009D3FB5" w:rsidP="00163B94" w:rsidRDefault="009D3FB5" w14:paraId="7CCEE2D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7E15E4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los Consejos de Administración a nivel nacional</w:t>
      </w:r>
    </w:p>
    <w:p w:rsidRPr="00AE1B2B" w:rsidR="009D3FB5" w:rsidP="00163B94" w:rsidRDefault="009D3FB5" w14:paraId="0BEB5DC2" w14:textId="77777777">
      <w:pPr>
        <w:widowControl w:val="0"/>
        <w:spacing w:before="120" w:after="120"/>
        <w:ind w:left="851" w:right="851" w:firstLine="709"/>
        <w:jc w:val="both"/>
        <w:rPr>
          <w:rFonts w:ascii="Times New Roman" w:hAnsi="Times New Roman" w:cs="Times New Roman"/>
          <w:sz w:val="26"/>
          <w:szCs w:val="26"/>
        </w:rPr>
      </w:pPr>
    </w:p>
    <w:p w:rsidRPr="00AE1B2B" w:rsidR="009D3FB5" w:rsidP="00163B94" w:rsidRDefault="009D3FB5" w14:paraId="5F788E47" w14:textId="77777777">
      <w:pPr>
        <w:widowControl w:val="0"/>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12.29. Conocerán los resultados del seguimiento y tomarán las medidas de apoyo requeridas para darle sostenibilidad al proceso, según sus competencias.</w:t>
      </w:r>
    </w:p>
    <w:p w:rsidRPr="00AE1B2B" w:rsidR="009D3FB5" w:rsidP="00163B94" w:rsidRDefault="009D3FB5" w14:paraId="2EF7197A" w14:textId="77777777">
      <w:pPr>
        <w:widowControl w:val="0"/>
        <w:spacing w:before="120" w:after="120"/>
        <w:ind w:left="851" w:right="851" w:firstLine="709"/>
        <w:jc w:val="both"/>
        <w:rPr>
          <w:rFonts w:ascii="Times New Roman" w:hAnsi="Times New Roman" w:cs="Times New Roman"/>
          <w:sz w:val="26"/>
          <w:szCs w:val="26"/>
        </w:rPr>
      </w:pPr>
    </w:p>
    <w:p w:rsidRPr="00AE1B2B" w:rsidR="009D3FB5" w:rsidP="00163B94" w:rsidRDefault="009D3FB5" w14:paraId="5899356F" w14:textId="77777777">
      <w:pPr>
        <w:widowControl w:val="0"/>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12.30. Se le reiteran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 Lo anterior conforme al acuerdo del Consejo Superior en sesión 82-2020 celebrada el 20 de agosto del 2020, artículo XLI.</w:t>
      </w:r>
    </w:p>
    <w:p w:rsidRPr="00AE1B2B" w:rsidR="009D3FB5" w:rsidP="00163B94" w:rsidRDefault="009D3FB5" w14:paraId="08A3D48B" w14:textId="77777777">
      <w:pPr>
        <w:widowControl w:val="0"/>
        <w:spacing w:before="120" w:after="120"/>
        <w:ind w:left="851" w:right="851" w:firstLine="709"/>
        <w:jc w:val="both"/>
        <w:rPr>
          <w:rFonts w:ascii="Times New Roman" w:hAnsi="Times New Roman" w:cs="Times New Roman"/>
          <w:sz w:val="26"/>
          <w:szCs w:val="26"/>
        </w:rPr>
      </w:pPr>
    </w:p>
    <w:p w:rsidRPr="00AE1B2B" w:rsidR="009D3FB5" w:rsidP="00163B94" w:rsidRDefault="009D3FB5" w14:paraId="101D9D9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los Juzgados competentes en materia de Familia a nivel nacional</w:t>
      </w:r>
    </w:p>
    <w:p w:rsidRPr="00AE1B2B" w:rsidR="009D3FB5" w:rsidP="00163B94" w:rsidRDefault="009D3FB5" w14:paraId="5B3322BC" w14:textId="77777777">
      <w:pPr>
        <w:widowControl w:val="0"/>
        <w:spacing w:before="120" w:after="120"/>
        <w:ind w:left="851" w:right="851" w:firstLine="709"/>
        <w:jc w:val="both"/>
        <w:rPr>
          <w:rFonts w:ascii="Times New Roman" w:hAnsi="Times New Roman" w:cs="Times New Roman"/>
          <w:sz w:val="26"/>
          <w:szCs w:val="26"/>
        </w:rPr>
      </w:pPr>
    </w:p>
    <w:p w:rsidRPr="00AE1B2B" w:rsidR="009D3FB5" w:rsidP="00163B94" w:rsidRDefault="009D3FB5" w14:paraId="53C87CAF" w14:textId="77777777">
      <w:pPr>
        <w:widowControl w:val="0"/>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12.31. Mantener actualizada la información de la Agenda Cronos, por lo que las personas juzgadoras serán las responsables de incluir el resultado de la audiencia y las personas técnicas judiciales encargadas de los expedientes deben de realizar los señalamientos; en acatamiento de las directrices institucionales, principalmente a las circulares 47-14, 261-14-17 y 15-17 de la Secretaría General de la Corte (ver </w:t>
      </w:r>
      <w:r w:rsidRPr="00AE1B2B">
        <w:rPr>
          <w:rFonts w:ascii="Times New Roman" w:hAnsi="Times New Roman" w:cs="Times New Roman"/>
          <w:b/>
          <w:bCs/>
          <w:i/>
          <w:iCs/>
          <w:sz w:val="26"/>
          <w:szCs w:val="26"/>
        </w:rPr>
        <w:t>apéndice 32</w:t>
      </w:r>
      <w:r w:rsidRPr="00AE1B2B">
        <w:rPr>
          <w:rFonts w:ascii="Times New Roman" w:hAnsi="Times New Roman" w:cs="Times New Roman"/>
          <w:sz w:val="26"/>
          <w:szCs w:val="26"/>
        </w:rPr>
        <w:t>).</w:t>
      </w:r>
    </w:p>
    <w:p w:rsidRPr="00AE1B2B" w:rsidR="009D3FB5" w:rsidP="00163B94" w:rsidRDefault="009D3FB5" w14:paraId="4D641F1D" w14:textId="77777777">
      <w:pPr>
        <w:widowControl w:val="0"/>
        <w:spacing w:before="120" w:after="120"/>
        <w:ind w:left="851" w:right="851" w:firstLine="709"/>
        <w:jc w:val="both"/>
        <w:rPr>
          <w:rFonts w:ascii="Times New Roman" w:hAnsi="Times New Roman" w:cs="Times New Roman"/>
          <w:sz w:val="26"/>
          <w:szCs w:val="26"/>
        </w:rPr>
      </w:pPr>
    </w:p>
    <w:p w:rsidRPr="00AE1B2B" w:rsidR="009D3FB5" w:rsidP="00163B94" w:rsidRDefault="009D3FB5" w14:paraId="150A77B3" w14:textId="77777777">
      <w:pPr>
        <w:widowControl w:val="0"/>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12.32. Realizar las depuraciones de expedientes (con más de seis meses sin movimiento), mínimo dos veces al año; ya que la inactivación contribuye con la disminución del circulante en los </w:t>
      </w:r>
      <w:r w:rsidRPr="00AE1B2B">
        <w:rPr>
          <w:rFonts w:ascii="Times New Roman" w:hAnsi="Times New Roman" w:cs="Times New Roman"/>
          <w:sz w:val="26"/>
          <w:szCs w:val="26"/>
        </w:rPr>
        <w:lastRenderedPageBreak/>
        <w:t xml:space="preserve">Despachos. </w:t>
      </w:r>
    </w:p>
    <w:p w:rsidRPr="00AE1B2B" w:rsidR="009D3FB5" w:rsidP="00163B94" w:rsidRDefault="009D3FB5" w14:paraId="4D9ED18A" w14:textId="77777777">
      <w:pPr>
        <w:widowControl w:val="0"/>
        <w:spacing w:before="120" w:after="120"/>
        <w:ind w:left="851" w:right="851" w:firstLine="709"/>
        <w:jc w:val="both"/>
        <w:rPr>
          <w:rFonts w:ascii="Times New Roman" w:hAnsi="Times New Roman" w:cs="Times New Roman"/>
          <w:sz w:val="26"/>
          <w:szCs w:val="26"/>
        </w:rPr>
      </w:pPr>
    </w:p>
    <w:p w:rsidRPr="00AE1B2B" w:rsidR="009D3FB5" w:rsidP="00163B94" w:rsidRDefault="009D3FB5" w14:paraId="60D967DC" w14:textId="77777777">
      <w:pPr>
        <w:widowControl w:val="0"/>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12.33. Realizar de forma trimestral la generación reporte en SIGMA de duraciones y revisar aquellos asuntos que superen la duración según criterio experto. Tomar las medidas necesarias para atender los asuntos si corresponde a causas propias de la oficina. </w:t>
      </w:r>
    </w:p>
    <w:p w:rsidRPr="00AE1B2B" w:rsidR="009D3FB5" w:rsidP="00163B94" w:rsidRDefault="009D3FB5" w14:paraId="0F723CC4" w14:textId="77777777">
      <w:pPr>
        <w:widowControl w:val="0"/>
        <w:spacing w:before="120" w:after="120" w:line="276" w:lineRule="auto"/>
        <w:rPr>
          <w:rFonts w:ascii="Times New Roman" w:hAnsi="Times New Roman" w:cs="Times New Roman"/>
          <w:sz w:val="24"/>
          <w:szCs w:val="24"/>
        </w:rPr>
      </w:pPr>
      <w:r w:rsidRPr="00AE1B2B">
        <w:rPr>
          <w:rFonts w:ascii="Times New Roman" w:hAnsi="Times New Roman" w:cs="Times New Roman"/>
          <w:sz w:val="24"/>
          <w:szCs w:val="24"/>
        </w:rPr>
        <w:t xml:space="preserve"> </w:t>
      </w:r>
    </w:p>
    <w:p w:rsidRPr="00AE1B2B" w:rsidR="009D3FB5" w:rsidP="00163B94" w:rsidRDefault="009D3FB5" w14:paraId="2C91D683" w14:textId="77777777">
      <w:pPr>
        <w:widowControl w:val="0"/>
        <w:spacing w:before="120" w:after="120" w:line="276" w:lineRule="auto"/>
        <w:jc w:val="center"/>
        <w:rPr>
          <w:rFonts w:ascii="Times New Roman" w:hAnsi="Times New Roman" w:cs="Times New Roman"/>
          <w:sz w:val="24"/>
          <w:szCs w:val="24"/>
        </w:rPr>
      </w:pPr>
      <w:r w:rsidRPr="00AE1B2B">
        <w:rPr>
          <w:rFonts w:ascii="Times New Roman" w:hAnsi="Times New Roman" w:cs="Times New Roman"/>
          <w:noProof/>
          <w:lang w:val="en-US"/>
        </w:rPr>
        <w:drawing>
          <wp:inline distT="0" distB="0" distL="0" distR="0" wp14:anchorId="11960686" wp14:editId="43850EBB">
            <wp:extent cx="4587240" cy="1008878"/>
            <wp:effectExtent l="0" t="0" r="3810" b="1270"/>
            <wp:docPr id="1263269088" name="Imagen 126326908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69088" name="Imagen 1263269088" descr="Tabla&#10;&#10;Descripción generada automáticamente"/>
                    <pic:cNvPicPr>
                      <a:picLocks noChangeAspect="1" noChangeArrowheads="1"/>
                    </pic:cNvPicPr>
                  </pic:nvPicPr>
                  <pic:blipFill rotWithShape="1">
                    <a:blip r:embed="rId223">
                      <a:extLst>
                        <a:ext uri="{28A0092B-C50C-407E-A947-70E740481C1C}">
                          <a14:useLocalDpi xmlns:a14="http://schemas.microsoft.com/office/drawing/2010/main" val="0"/>
                        </a:ext>
                      </a:extLst>
                    </a:blip>
                    <a:srcRect l="1209" t="7359" r="1141" b="27223"/>
                    <a:stretch/>
                  </pic:blipFill>
                  <pic:spPr bwMode="auto">
                    <a:xfrm>
                      <a:off x="0" y="0"/>
                      <a:ext cx="4597662" cy="1011170"/>
                    </a:xfrm>
                    <a:prstGeom prst="rect">
                      <a:avLst/>
                    </a:prstGeom>
                    <a:noFill/>
                    <a:ln>
                      <a:noFill/>
                    </a:ln>
                    <a:extLst>
                      <a:ext uri="{53640926-AAD7-44D8-BBD7-CCE9431645EC}">
                        <a14:shadowObscured xmlns:a14="http://schemas.microsoft.com/office/drawing/2010/main"/>
                      </a:ext>
                    </a:extLst>
                  </pic:spPr>
                </pic:pic>
              </a:graphicData>
            </a:graphic>
          </wp:inline>
        </w:drawing>
      </w:r>
    </w:p>
    <w:p w:rsidRPr="00AE1B2B" w:rsidR="009D3FB5" w:rsidP="00163B94" w:rsidRDefault="009D3FB5" w14:paraId="71DF38FA" w14:textId="77777777">
      <w:pPr>
        <w:widowControl w:val="0"/>
        <w:spacing w:before="120" w:after="120" w:line="276" w:lineRule="auto"/>
        <w:rPr>
          <w:rFonts w:ascii="Times New Roman" w:hAnsi="Times New Roman" w:cs="Times New Roman"/>
          <w:sz w:val="24"/>
          <w:szCs w:val="24"/>
        </w:rPr>
      </w:pPr>
    </w:p>
    <w:p w:rsidRPr="00AE1B2B" w:rsidR="009D3FB5" w:rsidP="00163B94" w:rsidRDefault="009D3FB5" w14:paraId="1B99C369" w14:textId="77777777">
      <w:pPr>
        <w:widowControl w:val="0"/>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12.34. Verificar que la información incluida en los expedientes sea la correcta, que se actualice la información de la fase, tarea, ubicación, estado; entre otras, ya que es insumo para la toma de decisiones, por lo que debe ser confiable.</w:t>
      </w:r>
    </w:p>
    <w:p w:rsidRPr="00AE1B2B" w:rsidR="009D3FB5" w:rsidP="00163B94" w:rsidRDefault="009D3FB5" w14:paraId="74EA5EE5" w14:textId="77777777">
      <w:pPr>
        <w:widowControl w:val="0"/>
        <w:spacing w:before="120" w:after="120"/>
        <w:ind w:left="851" w:right="851" w:firstLine="709"/>
        <w:jc w:val="both"/>
        <w:rPr>
          <w:rFonts w:ascii="Times New Roman" w:hAnsi="Times New Roman" w:cs="Times New Roman"/>
          <w:sz w:val="26"/>
          <w:szCs w:val="26"/>
        </w:rPr>
      </w:pPr>
    </w:p>
    <w:p w:rsidRPr="00AE1B2B" w:rsidR="009D3FB5" w:rsidP="00163B94" w:rsidRDefault="009D3FB5" w14:paraId="5E476988" w14:textId="77777777">
      <w:pPr>
        <w:widowControl w:val="0"/>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12.35. Revisar el Banco de Buenas Prácticas con el fin de valorar la idoneidad y replicar en los Despachos las que correspondan con el fin de mejorar la gestión de sus labores con las experiencias de otras oficinas.</w:t>
      </w:r>
    </w:p>
    <w:p w:rsidRPr="00AE1B2B" w:rsidR="009D3FB5" w:rsidP="00163B94" w:rsidRDefault="009D3FB5" w14:paraId="74A8676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B95162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12.36. Dar cumplimiento a las circulares 87-15, 159-15, 27 y 28-16, 160-16, 89-18, 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rsidRPr="00AE1B2B" w:rsidR="009D3FB5" w:rsidP="00163B94" w:rsidRDefault="009D3FB5" w14:paraId="217F56F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D39281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12.37. Actualizar la información dentro del Sistema de Gestión de Despachos Judiciales de las variables sociodemográficas de los distintos intervinientes en los procesos, con el objetivo de que </w:t>
      </w:r>
      <w:r w:rsidRPr="00AE1B2B">
        <w:rPr>
          <w:rFonts w:ascii="Times New Roman" w:hAnsi="Times New Roman" w:cs="Times New Roman"/>
          <w:sz w:val="26"/>
          <w:szCs w:val="26"/>
        </w:rPr>
        <w:lastRenderedPageBreak/>
        <w:t>se información útil y necesaria para el análisis de mejoras en el servicio que se presta a las personas usuarias.</w:t>
      </w:r>
    </w:p>
    <w:p w:rsidRPr="00AE1B2B" w:rsidR="009D3FB5" w:rsidP="00163B94" w:rsidRDefault="009D3FB5" w14:paraId="04C4B23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8F574A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12.38. Se reitera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rsidRPr="00AE1B2B" w:rsidR="009D3FB5" w:rsidP="00163B94" w:rsidRDefault="009D3FB5" w14:paraId="4B88AC2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541B95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los Juzgados que atienden materia de Pensiones Alimentarias a nivel nacional</w:t>
      </w:r>
    </w:p>
    <w:p w:rsidRPr="00AE1B2B" w:rsidR="009D3FB5" w:rsidP="00163B94" w:rsidRDefault="009D3FB5" w14:paraId="557163D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A10831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12.39. Dar cumplimiento a las circulares 87-15, 159-15, 27 y 28-16, 160-16, 89-18, 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rsidRPr="00AE1B2B" w:rsidR="009D3FB5" w:rsidP="00163B94" w:rsidRDefault="009D3FB5" w14:paraId="66816AC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DEA76A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12.40. Actualizar la información dentro del Sistema de Gestión de Despachos Judiciales de las variables sociodemográficas de los distintos intervinientes en los procesos, con el objetivo de que se información útil y necesaria para el análisis de mejoras en el servicio que se presta a las personas usuarias.</w:t>
      </w:r>
    </w:p>
    <w:p w:rsidRPr="00AE1B2B" w:rsidR="009D3FB5" w:rsidP="00163B94" w:rsidRDefault="009D3FB5" w14:paraId="76D722D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66045B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12.41. Se reitera a las Juezas y Jueces Coordinadores y Consejos de Jueces sus funciones respecto a sus responsabilidades en el cumplimiento de las labores y el rendimiento de todos los </w:t>
      </w:r>
      <w:r w:rsidRPr="00AE1B2B">
        <w:rPr>
          <w:rFonts w:ascii="Times New Roman" w:hAnsi="Times New Roman" w:cs="Times New Roman"/>
          <w:sz w:val="26"/>
          <w:szCs w:val="26"/>
        </w:rPr>
        <w:lastRenderedPageBreak/>
        <w:t>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rsidRPr="00AE1B2B" w:rsidR="009D3FB5" w:rsidP="00163B94" w:rsidRDefault="009D3FB5" w14:paraId="265FF69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A84E38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los Juzgados que atienden materia de Violencia Doméstica a nivel nacional</w:t>
      </w:r>
    </w:p>
    <w:p w:rsidRPr="00AE1B2B" w:rsidR="009D3FB5" w:rsidP="00163B94" w:rsidRDefault="009D3FB5" w14:paraId="671909C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69A0F4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12.42. Dar cumplimiento a las circulares 87-15, 159-15, 27 y 28-16, 160-16, 89-18, 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rsidRPr="00AE1B2B" w:rsidR="009D3FB5" w:rsidP="00163B94" w:rsidRDefault="009D3FB5" w14:paraId="1F49292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4BBA70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12.43. Apoyados en el proceso de inventarios y en la actualización diaria que se le debe realizar a cada uno de los expedientes durante la tramitación, realizar la actualización de las fases de los expedientes de forma que se genere información verás sobre la carga de trabajo de cada una de las oficinas; actividad que debe ser sostenida en el tiempo para próximos ejercicios presupuestarios. </w:t>
      </w:r>
    </w:p>
    <w:p w:rsidRPr="00AE1B2B" w:rsidR="009D3FB5" w:rsidP="00163B94" w:rsidRDefault="009D3FB5" w14:paraId="3E02F7A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2E2B7A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12.44. Actualizar la información dentro del Sistema de Gestión de Despachos Judiciales de las variables sociodemográficas de los distintos intervinientes en los procesos, con el objetivo de que se información útil y necesaria para el análisis de mejoras en el servicio que se presta a las personas usuarias.</w:t>
      </w:r>
    </w:p>
    <w:p w:rsidRPr="00AE1B2B" w:rsidR="009D3FB5" w:rsidP="00163B94" w:rsidRDefault="009D3FB5" w14:paraId="1EAC452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1E6C27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12.45. Implementar de forma inmediata el uso del módulo de pase a fallo en el Escritorio Virtual y el correspondiente reporte en SIGMA de manera paralela al libro en </w:t>
      </w:r>
      <w:r w:rsidRPr="00AE1B2B">
        <w:rPr>
          <w:rFonts w:ascii="Times New Roman" w:hAnsi="Times New Roman" w:cs="Times New Roman"/>
          <w:i/>
          <w:iCs/>
          <w:sz w:val="26"/>
          <w:szCs w:val="26"/>
        </w:rPr>
        <w:t>“Excel”.</w:t>
      </w:r>
      <w:r w:rsidRPr="00AE1B2B">
        <w:rPr>
          <w:rFonts w:ascii="Times New Roman" w:hAnsi="Times New Roman" w:cs="Times New Roman"/>
          <w:sz w:val="26"/>
          <w:szCs w:val="26"/>
        </w:rPr>
        <w:t xml:space="preserve"> La persona Juzgadora Coordinadora de cada despacho debe validar e informar dentro de los primeros cinco días del mes junto con el </w:t>
      </w:r>
      <w:r w:rsidRPr="00AE1B2B">
        <w:rPr>
          <w:rFonts w:ascii="Times New Roman" w:hAnsi="Times New Roman" w:cs="Times New Roman"/>
          <w:i/>
          <w:iCs/>
          <w:sz w:val="26"/>
          <w:szCs w:val="26"/>
        </w:rPr>
        <w:t>“informe de inconsistencias”;</w:t>
      </w:r>
      <w:r w:rsidRPr="00AE1B2B">
        <w:rPr>
          <w:rFonts w:ascii="Times New Roman" w:hAnsi="Times New Roman" w:cs="Times New Roman"/>
          <w:sz w:val="26"/>
          <w:szCs w:val="26"/>
        </w:rPr>
        <w:t xml:space="preserve"> que la información del reporte del módulo de pase a fallo es consistente, es decir, que la información que se genera en el Sigma es idéntica a la que registran en el libro de pase a fallo de “Excel” y remitir la certificación que lo acredite al Subproceso de Estadística de la Dirección de Planificación al correo </w:t>
      </w:r>
      <w:hyperlink w:history="1" r:id="rId248">
        <w:r w:rsidRPr="00AE1B2B">
          <w:rPr>
            <w:rStyle w:val="Hipervnculo"/>
            <w:rFonts w:ascii="Times New Roman" w:hAnsi="Times New Roman"/>
            <w:color w:val="auto"/>
            <w:sz w:val="26"/>
            <w:szCs w:val="26"/>
          </w:rPr>
          <w:t>planiestadisticanp@poder-judicial.go.cr</w:t>
        </w:r>
      </w:hyperlink>
      <w:r w:rsidRPr="00AE1B2B">
        <w:rPr>
          <w:rFonts w:ascii="Times New Roman" w:hAnsi="Times New Roman" w:cs="Times New Roman"/>
          <w:sz w:val="26"/>
          <w:szCs w:val="26"/>
        </w:rPr>
        <w:t xml:space="preserve">. </w:t>
      </w:r>
    </w:p>
    <w:p w:rsidRPr="00AE1B2B" w:rsidR="009D3FB5" w:rsidP="00163B94" w:rsidRDefault="009D3FB5" w14:paraId="1CBE1C8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45938B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12.46. 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rsidRPr="00AE1B2B" w:rsidR="009D3FB5" w:rsidP="00163B94" w:rsidRDefault="00BB7720" w14:paraId="2DE19DDF" w14:textId="1F1DE122">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9D3FB5" w14:paraId="4372423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163E9E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la Centro de Apoyo, Coordinación y Mejoramiento de Función Jurisdiccional </w:t>
      </w:r>
    </w:p>
    <w:p w:rsidRPr="00AE1B2B" w:rsidR="009D3FB5" w:rsidP="00163B94" w:rsidRDefault="009D3FB5" w14:paraId="411181F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7B4816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12.47. El Centro de Apoyo, Coordinación y Mejoramiento de Función Jurisdiccional deberá velar por el cumplimiento y seguimiento de las recomendaciones planteadas en este informe, las cuales deben quedar documentadas y comunicadas a las partes involucradas.</w:t>
      </w:r>
    </w:p>
    <w:p w:rsidRPr="00AE1B2B" w:rsidR="009D3FB5" w:rsidP="00163B94" w:rsidRDefault="009D3FB5" w14:paraId="42D62D7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D9B9D5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12.48. En Centro de Apoyo, Coordinación y Mejoramiento a la Función Jurisdiccional deberá velar por el cumplimiento de las cuotas del personal juzgador establecidos en los Planes de Descongestionamiento que se diseñen en materia de Familia, de </w:t>
      </w:r>
      <w:r w:rsidRPr="00AE1B2B">
        <w:rPr>
          <w:rFonts w:ascii="Times New Roman" w:hAnsi="Times New Roman" w:cs="Times New Roman"/>
          <w:sz w:val="26"/>
          <w:szCs w:val="26"/>
        </w:rPr>
        <w:lastRenderedPageBreak/>
        <w:t xml:space="preserve">forma que se brinde seguimiento adecuado y se permita identificar las necesidades de modificaciones pertinentes; a la vez deberá realizar el seguimiento de la cantidad de sentencias dictadas por las personas juzgadoras de la Jurisdicción de Familia de forma que sea insumo para la definición de la orientación de la colaboración que se pueda brindar. Dicho Centro tendrá que informar de forma bimensual el seguimiento realizado, lo cual no va en detrimento de tener que realizar alguna revisión adicional en caso del que el ente Técnico lo solicite. </w:t>
      </w:r>
    </w:p>
    <w:p w:rsidRPr="00AE1B2B" w:rsidR="009D3FB5" w:rsidP="00163B94" w:rsidRDefault="009D3FB5" w14:paraId="45EF6A9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CD9233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12.49. El Centro de Apoyo, junto con la figura del Juez Gestor en la materia deben dar seguimiento al cumplimiento de las tareas asociadas el Proyecto 1374-CF-P01</w:t>
      </w:r>
      <w:r w:rsidRPr="00AE1B2B">
        <w:rPr>
          <w:rFonts w:ascii="Times New Roman" w:hAnsi="Times New Roman" w:cs="Times New Roman"/>
          <w:i/>
          <w:iCs/>
          <w:sz w:val="26"/>
          <w:szCs w:val="26"/>
        </w:rPr>
        <w:t xml:space="preserve"> “Implementación del Código Procesal de Familia”, </w:t>
      </w:r>
      <w:r w:rsidRPr="00AE1B2B">
        <w:rPr>
          <w:rFonts w:ascii="Times New Roman" w:hAnsi="Times New Roman" w:cs="Times New Roman"/>
          <w:sz w:val="26"/>
          <w:szCs w:val="26"/>
        </w:rPr>
        <w:t>principalmente en cuanto a los entregables que son de su responsabilidad junto con la Comisión de Familia, Niñez y Adolescencia.</w:t>
      </w:r>
      <w:r w:rsidRPr="00AE1B2B" w:rsidDel="003656ED">
        <w:rPr>
          <w:rFonts w:ascii="Times New Roman" w:hAnsi="Times New Roman" w:cs="Times New Roman"/>
          <w:sz w:val="26"/>
          <w:szCs w:val="26"/>
        </w:rPr>
        <w:t xml:space="preserve"> </w:t>
      </w:r>
    </w:p>
    <w:p w:rsidRPr="00AE1B2B" w:rsidR="009D3FB5" w:rsidP="00163B94" w:rsidRDefault="009D3FB5" w14:paraId="012887D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AF0FA7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9C4434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Departamento de Prensa y Comunicación</w:t>
      </w:r>
    </w:p>
    <w:p w:rsidRPr="00AE1B2B" w:rsidR="009D3FB5" w:rsidP="00163B94" w:rsidRDefault="009D3FB5" w14:paraId="5956B12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DD82FE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lang w:eastAsia="es-CR"/>
        </w:rPr>
        <w:t xml:space="preserve">12.50. Dar cumplimiento a sus tareas dentro del </w:t>
      </w:r>
      <w:r w:rsidRPr="00AE1B2B">
        <w:rPr>
          <w:rFonts w:ascii="Times New Roman" w:hAnsi="Times New Roman" w:cs="Times New Roman"/>
          <w:sz w:val="26"/>
          <w:szCs w:val="26"/>
        </w:rPr>
        <w:t>Proyecto 1374-CF-P01</w:t>
      </w:r>
      <w:r w:rsidRPr="00AE1B2B">
        <w:rPr>
          <w:rFonts w:ascii="Times New Roman" w:hAnsi="Times New Roman" w:cs="Times New Roman"/>
          <w:i/>
          <w:iCs/>
          <w:sz w:val="26"/>
          <w:szCs w:val="26"/>
        </w:rPr>
        <w:t xml:space="preserve"> “Implementación del Código Procesal de Familia” </w:t>
      </w:r>
      <w:r w:rsidRPr="00AE1B2B">
        <w:rPr>
          <w:rFonts w:ascii="Times New Roman" w:hAnsi="Times New Roman" w:cs="Times New Roman"/>
          <w:sz w:val="26"/>
          <w:szCs w:val="26"/>
          <w:lang w:eastAsia="es-CR"/>
        </w:rPr>
        <w:t xml:space="preserve">y remitir el entregable correspondiente conforme al cronograma y metodología de proyectos institucional en coordinación con el Juez Gestor en la materia y la Comisión de Familia, Niñez y Adolescencia. </w:t>
      </w:r>
    </w:p>
    <w:p w:rsidRPr="00AE1B2B" w:rsidR="009D3FB5" w:rsidP="00163B94" w:rsidRDefault="009D3FB5" w14:paraId="19B2132D" w14:textId="77777777">
      <w:pPr>
        <w:spacing w:before="120" w:after="120" w:line="276" w:lineRule="auto"/>
        <w:rPr>
          <w:rFonts w:ascii="Times New Roman" w:hAnsi="Times New Roman" w:cs="Times New Roman"/>
          <w:sz w:val="24"/>
          <w:szCs w:val="24"/>
        </w:rPr>
      </w:pPr>
    </w:p>
    <w:tbl>
      <w:tblPr>
        <w:tblW w:w="0" w:type="auto"/>
        <w:tblBorders>
          <w:top w:val="single" w:color="B1BBCC" w:sz="4" w:space="0"/>
          <w:left w:val="single" w:color="B1BBCC" w:sz="4" w:space="0"/>
          <w:bottom w:val="single" w:color="B1BBCC" w:sz="4" w:space="0"/>
          <w:right w:val="single" w:color="B1BBCC" w:sz="4" w:space="0"/>
        </w:tblBorders>
        <w:tblCellMar>
          <w:top w:w="12" w:type="dxa"/>
          <w:left w:w="12" w:type="dxa"/>
          <w:bottom w:w="12" w:type="dxa"/>
          <w:right w:w="12" w:type="dxa"/>
        </w:tblCellMar>
        <w:tblLook w:val="04A0" w:firstRow="1" w:lastRow="0" w:firstColumn="1" w:lastColumn="0" w:noHBand="0" w:noVBand="1"/>
      </w:tblPr>
      <w:tblGrid>
        <w:gridCol w:w="3680"/>
        <w:gridCol w:w="1051"/>
        <w:gridCol w:w="1307"/>
        <w:gridCol w:w="1213"/>
        <w:gridCol w:w="1577"/>
      </w:tblGrid>
      <w:tr w:rsidRPr="00AE1B2B" w:rsidR="00AE1B2B" w:rsidTr="009D3FB5" w14:paraId="60D28195" w14:textId="77777777">
        <w:tc>
          <w:tcPr>
            <w:tcW w:w="736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5F9654A0"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Nombre de tarea</w:t>
            </w:r>
          </w:p>
        </w:tc>
        <w:tc>
          <w:tcPr>
            <w:tcW w:w="160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25396F92"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Duración</w:t>
            </w:r>
          </w:p>
        </w:tc>
        <w:tc>
          <w:tcPr>
            <w:tcW w:w="20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2779E7AB"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Comienzo</w:t>
            </w:r>
          </w:p>
        </w:tc>
        <w:tc>
          <w:tcPr>
            <w:tcW w:w="184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0AB9445F"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Fin</w:t>
            </w:r>
          </w:p>
        </w:tc>
        <w:tc>
          <w:tcPr>
            <w:tcW w:w="2685" w:type="dxa"/>
            <w:tcBorders>
              <w:top w:val="single" w:color="B1BBCC" w:sz="4" w:space="0"/>
              <w:left w:val="single" w:color="B1BBCC" w:sz="4" w:space="0"/>
              <w:bottom w:val="single" w:color="B1BBCC" w:sz="4" w:space="0"/>
              <w:right w:val="single" w:color="B1BBCC" w:sz="4" w:space="0"/>
            </w:tcBorders>
            <w:shd w:val="clear" w:color="auto" w:fill="DFE3E8"/>
            <w:vAlign w:val="center"/>
            <w:hideMark/>
          </w:tcPr>
          <w:p w:rsidRPr="00AE1B2B" w:rsidR="009D3FB5" w:rsidP="00163B94" w:rsidRDefault="009D3FB5" w14:paraId="00809B4D"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shd w:val="clear" w:color="auto" w:fill="DFE3E8"/>
                <w:lang w:eastAsia="es-CR"/>
              </w:rPr>
              <w:t>% completado</w:t>
            </w:r>
          </w:p>
        </w:tc>
      </w:tr>
      <w:tr w:rsidRPr="00AE1B2B" w:rsidR="00AE1B2B" w:rsidTr="009D3FB5" w14:paraId="0D9F278B"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6C21C3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3.14. Campaña de divulgación de los principales cambios (Prensa).</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FC0CB7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490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024B30AA"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jue 01/10/20</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9968A5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lun 10/10/22</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F46791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b/>
                <w:bCs/>
                <w:lang w:eastAsia="es-CR"/>
              </w:rPr>
              <w:t>12%</w:t>
            </w:r>
          </w:p>
        </w:tc>
      </w:tr>
      <w:tr w:rsidRPr="00AE1B2B" w:rsidR="00AE1B2B" w:rsidTr="009D3FB5" w14:paraId="26BA8187"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2DBCB2F9" w14:textId="01BB0244">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Comunicación de los cambios a partir de la entrada en vigencia del Código Procesal de Familia</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B2ACC2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95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3E5E76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17/01/22</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5EA427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31/05/22</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17049AFC"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78FB9C56"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5C07D290" w14:textId="40381728">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Impresión de ejemplares del Código</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325B2D5"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484A6B0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jue 01/10/20</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9F89041"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mar 27/10/20</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7FC30DF6"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100%</w:t>
            </w:r>
          </w:p>
        </w:tc>
      </w:tr>
      <w:tr w:rsidRPr="00AE1B2B" w:rsidR="00AE1B2B" w:rsidTr="009D3FB5" w14:paraId="6100D38C"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67A986C0" w14:textId="3A05E0D3">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Desplegables e impresión de afiches</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DA36929"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22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31063BF0"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04/07/22</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7362B5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vie 05/08/22</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5429C1E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r w:rsidRPr="00AE1B2B" w:rsidR="00AE1B2B" w:rsidTr="009D3FB5" w14:paraId="67C280D4" w14:textId="77777777">
        <w:tc>
          <w:tcPr>
            <w:tcW w:w="736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BB7720" w14:paraId="77C07BC5" w14:textId="171A4236">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 xml:space="preserve"> </w:t>
            </w:r>
            <w:r w:rsidRPr="00AE1B2B" w:rsidR="009D3FB5">
              <w:rPr>
                <w:rFonts w:ascii="Times New Roman" w:hAnsi="Times New Roman" w:eastAsia="Times New Roman" w:cs="Times New Roman"/>
                <w:lang w:eastAsia="es-CR"/>
              </w:rPr>
              <w:t>Realización de eventos y protocolo</w:t>
            </w:r>
          </w:p>
        </w:tc>
        <w:tc>
          <w:tcPr>
            <w:tcW w:w="160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E59339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 días</w:t>
            </w:r>
          </w:p>
        </w:tc>
        <w:tc>
          <w:tcPr>
            <w:tcW w:w="20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2F1C3D62"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03/10/22</w:t>
            </w:r>
          </w:p>
        </w:tc>
        <w:tc>
          <w:tcPr>
            <w:tcW w:w="184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96BAE2B"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lun 10/10/22</w:t>
            </w:r>
          </w:p>
        </w:tc>
        <w:tc>
          <w:tcPr>
            <w:tcW w:w="2685" w:type="dxa"/>
            <w:tcBorders>
              <w:top w:val="single" w:color="B1BBCC" w:sz="4" w:space="0"/>
              <w:left w:val="single" w:color="B1BBCC" w:sz="4" w:space="0"/>
              <w:bottom w:val="single" w:color="B1BBCC" w:sz="4" w:space="0"/>
              <w:right w:val="single" w:color="B1BBCC" w:sz="4" w:space="0"/>
            </w:tcBorders>
            <w:shd w:val="clear" w:color="auto" w:fill="FFFFFF"/>
            <w:vAlign w:val="center"/>
            <w:hideMark/>
          </w:tcPr>
          <w:p w:rsidRPr="00AE1B2B" w:rsidR="009D3FB5" w:rsidP="00163B94" w:rsidRDefault="009D3FB5" w14:paraId="63059218"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0%</w:t>
            </w:r>
          </w:p>
        </w:tc>
      </w:tr>
    </w:tbl>
    <w:p w:rsidRPr="00AE1B2B" w:rsidR="009D3FB5" w:rsidP="00163B94" w:rsidRDefault="009D3FB5" w14:paraId="2BD52440" w14:textId="77777777">
      <w:pPr>
        <w:spacing w:before="120" w:after="120" w:line="276" w:lineRule="auto"/>
        <w:rPr>
          <w:rFonts w:ascii="Times New Roman" w:hAnsi="Times New Roman" w:cs="Times New Roman"/>
          <w:sz w:val="24"/>
          <w:szCs w:val="24"/>
        </w:rPr>
      </w:pPr>
    </w:p>
    <w:p w:rsidRPr="00AE1B2B" w:rsidR="009D3FB5" w:rsidP="00163B94" w:rsidRDefault="009D3FB5" w14:paraId="2ADC7FE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Al Departamento de Trabajo Social y Psicología</w:t>
      </w:r>
    </w:p>
    <w:p w:rsidRPr="00AE1B2B" w:rsidR="009D3FB5" w:rsidP="00163B94" w:rsidRDefault="009D3FB5" w14:paraId="68243DF3" w14:textId="77777777">
      <w:pPr>
        <w:spacing w:before="120" w:after="120"/>
        <w:ind w:left="851" w:right="851" w:firstLine="709"/>
        <w:jc w:val="both"/>
        <w:rPr>
          <w:rFonts w:ascii="Times New Roman" w:hAnsi="Times New Roman" w:cs="Times New Roman"/>
          <w:sz w:val="26"/>
          <w:szCs w:val="26"/>
          <w:lang w:val="es-ES" w:eastAsia="es-ES"/>
        </w:rPr>
      </w:pPr>
    </w:p>
    <w:p w:rsidRPr="00AE1B2B" w:rsidR="009D3FB5" w:rsidP="00163B94" w:rsidRDefault="009D3FB5" w14:paraId="51697C7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12.51. Diseñar los planes de trabajo de manera que identifiquen a nivel nacional las pericias que puedan llevar a cabo mediante la contratación de peritos y hagan uso del presupuesto disponible con el fin de reducir los plazos de entrega de las pericias solicitadas por los Juzgados de Familia a nivel nacional. </w:t>
      </w:r>
    </w:p>
    <w:p w:rsidRPr="00AE1B2B" w:rsidR="009D3FB5" w:rsidP="00163B94" w:rsidRDefault="009D3FB5" w14:paraId="56D92F0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4EF2B03" w14:textId="1DA3D651">
      <w:pPr>
        <w:pStyle w:val="Prrafodelista"/>
        <w:numPr>
          <w:ilvl w:val="0"/>
          <w:numId w:val="144"/>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Anexos</w:t>
      </w:r>
    </w:p>
    <w:p w:rsidRPr="00AE1B2B" w:rsidR="009D3FB5" w:rsidP="00163B94" w:rsidRDefault="009D3FB5" w14:paraId="465206C1" w14:textId="77777777">
      <w:pPr>
        <w:spacing w:before="120" w:after="120" w:line="276" w:lineRule="auto"/>
        <w:rPr>
          <w:rFonts w:ascii="Times New Roman" w:hAnsi="Times New Roman" w:cs="Times New Roman"/>
          <w:sz w:val="24"/>
          <w:szCs w:val="24"/>
        </w:rPr>
      </w:pPr>
    </w:p>
    <w:tbl>
      <w:tblPr>
        <w:tblW w:w="5000" w:type="pct"/>
        <w:tblCellSpacing w:w="1440" w:type="nil"/>
        <w:tblBorders>
          <w:top w:val="outset" w:color="365F91" w:sz="6" w:space="0"/>
          <w:left w:val="outset" w:color="365F91" w:sz="6" w:space="0"/>
          <w:bottom w:val="inset" w:color="365F91" w:sz="6" w:space="0"/>
          <w:right w:val="inset" w:color="365F91" w:sz="6" w:space="0"/>
          <w:insideH w:val="single" w:color="365F91" w:sz="6" w:space="0"/>
          <w:insideV w:val="single" w:color="365F91" w:sz="6" w:space="0"/>
        </w:tblBorders>
        <w:tblLook w:val="04A0" w:firstRow="1" w:lastRow="0" w:firstColumn="1" w:lastColumn="0" w:noHBand="0" w:noVBand="1"/>
      </w:tblPr>
      <w:tblGrid>
        <w:gridCol w:w="1935"/>
        <w:gridCol w:w="4870"/>
        <w:gridCol w:w="2017"/>
      </w:tblGrid>
      <w:tr w:rsidRPr="00AE1B2B" w:rsidR="00AE1B2B" w:rsidTr="009D3FB5" w14:paraId="08CFDC1B" w14:textId="77777777">
        <w:trPr>
          <w:trHeight w:val="227"/>
          <w:tblHeader/>
          <w:tblCellSpacing w:w="1440" w:type="nil"/>
        </w:trPr>
        <w:tc>
          <w:tcPr>
            <w:tcW w:w="1097" w:type="pct"/>
            <w:shd w:val="clear" w:color="auto" w:fill="002060"/>
            <w:vAlign w:val="center"/>
          </w:tcPr>
          <w:p w:rsidRPr="00AE1B2B" w:rsidR="009D3FB5" w:rsidP="00163B94" w:rsidRDefault="009D3FB5" w14:paraId="53D9ECD5"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w:t>
            </w:r>
          </w:p>
        </w:tc>
        <w:tc>
          <w:tcPr>
            <w:tcW w:w="2760" w:type="pct"/>
            <w:shd w:val="clear" w:color="auto" w:fill="002060"/>
            <w:vAlign w:val="center"/>
          </w:tcPr>
          <w:p w:rsidRPr="00AE1B2B" w:rsidR="009D3FB5" w:rsidP="00163B94" w:rsidRDefault="009D3FB5" w14:paraId="6A5F9599"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Nombre</w:t>
            </w:r>
          </w:p>
        </w:tc>
        <w:tc>
          <w:tcPr>
            <w:tcW w:w="1143" w:type="pct"/>
            <w:shd w:val="clear" w:color="auto" w:fill="002060"/>
            <w:vAlign w:val="center"/>
          </w:tcPr>
          <w:p w:rsidRPr="00AE1B2B" w:rsidR="009D3FB5" w:rsidP="00163B94" w:rsidRDefault="009D3FB5" w14:paraId="6FFAEFD6"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Documento</w:t>
            </w:r>
          </w:p>
        </w:tc>
      </w:tr>
      <w:tr w:rsidRPr="00AE1B2B" w:rsidR="00AE1B2B" w:rsidTr="009D3FB5" w14:paraId="3394A101" w14:textId="77777777">
        <w:trPr>
          <w:trHeight w:val="227"/>
          <w:tblCellSpacing w:w="1440" w:type="nil"/>
        </w:trPr>
        <w:tc>
          <w:tcPr>
            <w:tcW w:w="1097" w:type="pct"/>
            <w:shd w:val="clear" w:color="auto" w:fill="auto"/>
            <w:vAlign w:val="center"/>
          </w:tcPr>
          <w:p w:rsidRPr="00AE1B2B" w:rsidR="009D3FB5" w:rsidP="00163B94" w:rsidRDefault="009D3FB5" w14:paraId="293BB8EC"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1</w:t>
            </w:r>
          </w:p>
        </w:tc>
        <w:tc>
          <w:tcPr>
            <w:tcW w:w="2760" w:type="pct"/>
            <w:shd w:val="clear" w:color="auto" w:fill="auto"/>
            <w:vAlign w:val="center"/>
          </w:tcPr>
          <w:p w:rsidRPr="00AE1B2B" w:rsidR="009D3FB5" w:rsidP="00163B94" w:rsidRDefault="009D3FB5" w14:paraId="733209A7" w14:textId="77777777">
            <w:pPr>
              <w:spacing w:before="120" w:after="120" w:line="276" w:lineRule="auto"/>
              <w:rPr>
                <w:rFonts w:ascii="Times New Roman" w:hAnsi="Times New Roman" w:cs="Times New Roman"/>
              </w:rPr>
            </w:pPr>
            <w:r w:rsidRPr="00AE1B2B">
              <w:rPr>
                <w:rFonts w:ascii="Times New Roman" w:hAnsi="Times New Roman" w:cs="Times New Roman"/>
              </w:rPr>
              <w:t>Instructivo y fórmula estadística materia de Familia</w:t>
            </w:r>
          </w:p>
        </w:tc>
        <w:bookmarkStart w:name="_MON_1673686082" w:id="90"/>
        <w:bookmarkEnd w:id="90"/>
        <w:tc>
          <w:tcPr>
            <w:tcW w:w="1143" w:type="pct"/>
            <w:shd w:val="clear" w:color="auto" w:fill="auto"/>
            <w:vAlign w:val="center"/>
          </w:tcPr>
          <w:p w:rsidRPr="00AE1B2B" w:rsidR="009D3FB5" w:rsidP="00163B94" w:rsidRDefault="009D3FB5" w14:paraId="61A9364A"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393E7CCF">
                <v:shape id="_x0000_i1061" style="width:77.65pt;height:48.85pt" o:ole="" type="#_x0000_t75">
                  <v:imagedata o:title="" r:id="rId249"/>
                </v:shape>
                <o:OLEObject Type="Embed" ProgID="Word.Document.12" ShapeID="_x0000_i1061" DrawAspect="Icon" ObjectID="_1681900487" r:id="rId250">
                  <o:FieldCodes>\s</o:FieldCodes>
                </o:OLEObject>
              </w:object>
            </w:r>
            <w:r w:rsidRPr="00AE1B2B">
              <w:rPr>
                <w:rFonts w:ascii="Times New Roman" w:hAnsi="Times New Roman" w:cs="Times New Roman"/>
              </w:rPr>
              <w:object w:dxaOrig="1513" w:dyaOrig="984" w14:anchorId="2D46F36F">
                <v:shape id="_x0000_i1062" style="width:77.65pt;height:48.85pt" o:ole="" type="#_x0000_t75">
                  <v:imagedata o:title="" r:id="rId251"/>
                </v:shape>
                <o:OLEObject Type="Embed" ProgID="Excel.Sheet.12" ShapeID="_x0000_i1062" DrawAspect="Icon" ObjectID="_1681900488" r:id="rId252"/>
              </w:object>
            </w:r>
            <w:bookmarkStart w:name="_MON_1651473557" w:id="91"/>
            <w:bookmarkEnd w:id="91"/>
          </w:p>
        </w:tc>
      </w:tr>
      <w:tr w:rsidRPr="00AE1B2B" w:rsidR="00AE1B2B" w:rsidTr="009D3FB5" w14:paraId="5EF688C4" w14:textId="77777777">
        <w:trPr>
          <w:trHeight w:val="227"/>
          <w:tblCellSpacing w:w="1440" w:type="nil"/>
        </w:trPr>
        <w:tc>
          <w:tcPr>
            <w:tcW w:w="1097" w:type="pct"/>
            <w:shd w:val="clear" w:color="auto" w:fill="auto"/>
            <w:vAlign w:val="center"/>
          </w:tcPr>
          <w:p w:rsidRPr="00AE1B2B" w:rsidR="009D3FB5" w:rsidP="00163B94" w:rsidRDefault="009D3FB5" w14:paraId="67F18152"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2</w:t>
            </w:r>
          </w:p>
        </w:tc>
        <w:tc>
          <w:tcPr>
            <w:tcW w:w="2760" w:type="pct"/>
            <w:shd w:val="clear" w:color="auto" w:fill="auto"/>
            <w:vAlign w:val="center"/>
          </w:tcPr>
          <w:p w:rsidRPr="00AE1B2B" w:rsidR="009D3FB5" w:rsidP="00163B94" w:rsidRDefault="009D3FB5" w14:paraId="36FB1E73" w14:textId="77777777">
            <w:pPr>
              <w:spacing w:before="120" w:after="120" w:line="276" w:lineRule="auto"/>
              <w:rPr>
                <w:rFonts w:ascii="Times New Roman" w:hAnsi="Times New Roman" w:cs="Times New Roman"/>
              </w:rPr>
            </w:pPr>
            <w:r w:rsidRPr="00AE1B2B">
              <w:rPr>
                <w:rFonts w:ascii="Times New Roman" w:hAnsi="Times New Roman" w:cs="Times New Roman"/>
              </w:rPr>
              <w:t>Diagramas de procesos materia Familia.</w:t>
            </w:r>
          </w:p>
        </w:tc>
        <w:bookmarkStart w:name="_MON_1673684621" w:id="92"/>
        <w:bookmarkEnd w:id="92"/>
        <w:tc>
          <w:tcPr>
            <w:tcW w:w="1143" w:type="pct"/>
            <w:shd w:val="clear" w:color="auto" w:fill="auto"/>
            <w:vAlign w:val="center"/>
          </w:tcPr>
          <w:p w:rsidRPr="00AE1B2B" w:rsidR="009D3FB5" w:rsidP="00163B94" w:rsidRDefault="009D3FB5" w14:paraId="5ACBFEB0"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224" w:dyaOrig="792" w14:anchorId="15F5A1D3">
                <v:shape id="_x0000_i1063" style="width:60.1pt;height:41.95pt" o:ole="" type="#_x0000_t75">
                  <v:imagedata o:title="" r:id="rId253"/>
                </v:shape>
                <o:OLEObject Type="Embed" ProgID="Excel.Sheet.12" ShapeID="_x0000_i1063" DrawAspect="Icon" ObjectID="_1681900489" r:id="rId254"/>
              </w:object>
            </w:r>
          </w:p>
        </w:tc>
      </w:tr>
      <w:tr w:rsidRPr="00AE1B2B" w:rsidR="00AE1B2B" w:rsidTr="009D3FB5" w14:paraId="74C0A570" w14:textId="77777777">
        <w:trPr>
          <w:trHeight w:val="227"/>
          <w:tblCellSpacing w:w="1440" w:type="nil"/>
        </w:trPr>
        <w:tc>
          <w:tcPr>
            <w:tcW w:w="1097" w:type="pct"/>
            <w:shd w:val="clear" w:color="auto" w:fill="auto"/>
            <w:vAlign w:val="center"/>
          </w:tcPr>
          <w:p w:rsidRPr="00AE1B2B" w:rsidR="009D3FB5" w:rsidP="00163B94" w:rsidRDefault="009D3FB5" w14:paraId="32E9B772"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3</w:t>
            </w:r>
          </w:p>
        </w:tc>
        <w:tc>
          <w:tcPr>
            <w:tcW w:w="2760" w:type="pct"/>
            <w:shd w:val="clear" w:color="auto" w:fill="auto"/>
            <w:vAlign w:val="center"/>
          </w:tcPr>
          <w:p w:rsidRPr="00AE1B2B" w:rsidR="009D3FB5" w:rsidP="00163B94" w:rsidRDefault="009D3FB5" w14:paraId="4B2F6E00" w14:textId="77777777">
            <w:pPr>
              <w:spacing w:before="120" w:after="120" w:line="276" w:lineRule="auto"/>
              <w:rPr>
                <w:rFonts w:ascii="Times New Roman" w:hAnsi="Times New Roman" w:cs="Times New Roman"/>
              </w:rPr>
            </w:pPr>
            <w:r w:rsidRPr="00AE1B2B">
              <w:rPr>
                <w:rFonts w:ascii="Times New Roman" w:hAnsi="Times New Roman" w:cs="Times New Roman"/>
              </w:rPr>
              <w:t>Diagramas de proceso materia Familia desarrollado por La Comisión de la Jurisdicción Familia Niñez y Adolescencia.</w:t>
            </w:r>
          </w:p>
        </w:tc>
        <w:tc>
          <w:tcPr>
            <w:tcW w:w="1143" w:type="pct"/>
            <w:shd w:val="clear" w:color="auto" w:fill="auto"/>
            <w:vAlign w:val="center"/>
          </w:tcPr>
          <w:p w:rsidRPr="00AE1B2B" w:rsidR="009D3FB5" w:rsidP="00163B94" w:rsidRDefault="009D3FB5" w14:paraId="759BCAD1"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45" w:dyaOrig="995" w14:anchorId="0B4DCD7C">
                <v:shape id="_x0000_i1064" style="width:78.9pt;height:53.2pt" o:ole="" type="#_x0000_t75">
                  <v:imagedata o:title="" r:id="rId255"/>
                </v:shape>
                <o:OLEObject Type="Embed" ProgID="PowerPoint.Show.12" ShapeID="_x0000_i1064" DrawAspect="Icon" ObjectID="_1681900490" r:id="rId256"/>
              </w:object>
            </w:r>
          </w:p>
        </w:tc>
      </w:tr>
      <w:tr w:rsidRPr="00AE1B2B" w:rsidR="00AE1B2B" w:rsidTr="009D3FB5" w14:paraId="052E7A6A" w14:textId="77777777">
        <w:trPr>
          <w:trHeight w:val="227"/>
          <w:tblCellSpacing w:w="1440" w:type="nil"/>
        </w:trPr>
        <w:tc>
          <w:tcPr>
            <w:tcW w:w="1097" w:type="pct"/>
            <w:shd w:val="clear" w:color="auto" w:fill="auto"/>
            <w:vAlign w:val="center"/>
          </w:tcPr>
          <w:p w:rsidRPr="00AE1B2B" w:rsidR="009D3FB5" w:rsidP="00163B94" w:rsidRDefault="009D3FB5" w14:paraId="1D97C116"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4</w:t>
            </w:r>
          </w:p>
        </w:tc>
        <w:tc>
          <w:tcPr>
            <w:tcW w:w="2760" w:type="pct"/>
            <w:shd w:val="clear" w:color="auto" w:fill="auto"/>
            <w:vAlign w:val="center"/>
          </w:tcPr>
          <w:p w:rsidRPr="00AE1B2B" w:rsidR="009D3FB5" w:rsidP="00163B94" w:rsidRDefault="009D3FB5" w14:paraId="61D72528" w14:textId="77777777">
            <w:pPr>
              <w:spacing w:before="120" w:after="120" w:line="276" w:lineRule="auto"/>
              <w:rPr>
                <w:rFonts w:ascii="Times New Roman" w:hAnsi="Times New Roman" w:cs="Times New Roman"/>
              </w:rPr>
            </w:pPr>
            <w:r w:rsidRPr="00AE1B2B">
              <w:rPr>
                <w:rFonts w:ascii="Times New Roman" w:hAnsi="Times New Roman" w:cs="Times New Roman"/>
              </w:rPr>
              <w:t xml:space="preserve">Diagrama procesos Familia con duración </w:t>
            </w:r>
          </w:p>
        </w:tc>
        <w:tc>
          <w:tcPr>
            <w:tcW w:w="1143" w:type="pct"/>
            <w:shd w:val="clear" w:color="auto" w:fill="auto"/>
            <w:vAlign w:val="center"/>
          </w:tcPr>
          <w:p w:rsidRPr="00AE1B2B" w:rsidR="009D3FB5" w:rsidP="00163B94" w:rsidRDefault="009D3FB5" w14:paraId="15B96A44"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42D0B981">
                <v:shape id="_x0000_i1065" style="width:77.65pt;height:48.85pt" o:ole="" type="#_x0000_t75">
                  <v:imagedata o:title="" r:id="rId257"/>
                </v:shape>
                <o:OLEObject Type="Embed" ProgID="Excel.Sheet.12" ShapeID="_x0000_i1065" DrawAspect="Icon" ObjectID="_1681900491" r:id="rId258"/>
              </w:object>
            </w:r>
          </w:p>
        </w:tc>
      </w:tr>
      <w:tr w:rsidRPr="00AE1B2B" w:rsidR="00AE1B2B" w:rsidTr="009D3FB5" w14:paraId="30B561E2" w14:textId="77777777">
        <w:trPr>
          <w:trHeight w:val="227"/>
          <w:tblCellSpacing w:w="1440" w:type="nil"/>
        </w:trPr>
        <w:tc>
          <w:tcPr>
            <w:tcW w:w="1097" w:type="pct"/>
            <w:shd w:val="clear" w:color="auto" w:fill="auto"/>
            <w:vAlign w:val="center"/>
          </w:tcPr>
          <w:p w:rsidRPr="00AE1B2B" w:rsidR="009D3FB5" w:rsidP="00163B94" w:rsidRDefault="009D3FB5" w14:paraId="631AE177"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5</w:t>
            </w:r>
          </w:p>
        </w:tc>
        <w:tc>
          <w:tcPr>
            <w:tcW w:w="2760" w:type="pct"/>
            <w:shd w:val="clear" w:color="auto" w:fill="auto"/>
            <w:vAlign w:val="center"/>
          </w:tcPr>
          <w:p w:rsidRPr="00AE1B2B" w:rsidR="009D3FB5" w:rsidP="00163B94" w:rsidRDefault="009D3FB5" w14:paraId="19486B79" w14:textId="77777777">
            <w:pPr>
              <w:spacing w:before="120" w:after="120" w:line="276" w:lineRule="auto"/>
              <w:rPr>
                <w:rFonts w:ascii="Times New Roman" w:hAnsi="Times New Roman" w:cs="Times New Roman"/>
              </w:rPr>
            </w:pPr>
            <w:r w:rsidRPr="00AE1B2B">
              <w:rPr>
                <w:rFonts w:ascii="Times New Roman" w:hAnsi="Times New Roman" w:cs="Times New Roman"/>
              </w:rPr>
              <w:t>Requerimiento DTI- mejora reparto por procedimiento</w:t>
            </w:r>
          </w:p>
        </w:tc>
        <w:tc>
          <w:tcPr>
            <w:tcW w:w="1143" w:type="pct"/>
            <w:shd w:val="clear" w:color="auto" w:fill="auto"/>
            <w:vAlign w:val="center"/>
          </w:tcPr>
          <w:p w:rsidRPr="00AE1B2B" w:rsidR="009D3FB5" w:rsidDel="009018AC" w:rsidP="00163B94" w:rsidRDefault="009D3FB5" w14:paraId="0A4FC140"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5C697130">
                <v:shape id="_x0000_i1066" style="width:77.65pt;height:48.85pt" o:ole="" type="#_x0000_t75">
                  <v:imagedata o:title="" r:id="rId259"/>
                </v:shape>
                <o:OLEObject Type="Embed" ProgID="Package" ShapeID="_x0000_i1066" DrawAspect="Icon" ObjectID="_1681900492" r:id="rId260"/>
              </w:object>
            </w:r>
          </w:p>
        </w:tc>
      </w:tr>
      <w:tr w:rsidRPr="00AE1B2B" w:rsidR="00AE1B2B" w:rsidTr="009D3FB5" w14:paraId="206834EB" w14:textId="77777777">
        <w:trPr>
          <w:trHeight w:val="227"/>
          <w:tblCellSpacing w:w="1440" w:type="nil"/>
        </w:trPr>
        <w:tc>
          <w:tcPr>
            <w:tcW w:w="1097" w:type="pct"/>
            <w:shd w:val="clear" w:color="auto" w:fill="auto"/>
            <w:vAlign w:val="center"/>
          </w:tcPr>
          <w:p w:rsidRPr="00AE1B2B" w:rsidR="009D3FB5" w:rsidDel="002E0A4D" w:rsidP="00163B94" w:rsidRDefault="009D3FB5" w14:paraId="3978E655"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lastRenderedPageBreak/>
              <w:t>Anexo 6</w:t>
            </w:r>
          </w:p>
        </w:tc>
        <w:tc>
          <w:tcPr>
            <w:tcW w:w="2760" w:type="pct"/>
            <w:shd w:val="clear" w:color="auto" w:fill="auto"/>
            <w:vAlign w:val="center"/>
          </w:tcPr>
          <w:p w:rsidRPr="00AE1B2B" w:rsidR="009D3FB5" w:rsidP="00163B94" w:rsidRDefault="009D3FB5" w14:paraId="6E290C70" w14:textId="77777777">
            <w:pPr>
              <w:spacing w:before="120" w:after="120" w:line="276" w:lineRule="auto"/>
              <w:rPr>
                <w:rFonts w:ascii="Times New Roman" w:hAnsi="Times New Roman" w:cs="Times New Roman"/>
              </w:rPr>
            </w:pPr>
            <w:r w:rsidRPr="00AE1B2B">
              <w:rPr>
                <w:rFonts w:ascii="Times New Roman" w:hAnsi="Times New Roman" w:cs="Times New Roman"/>
              </w:rPr>
              <w:t>Correo del Departamento de Trabajo Social y Psicología-Circular 29-2020</w:t>
            </w:r>
          </w:p>
        </w:tc>
        <w:bookmarkStart w:name="_MON_1674629638" w:id="93"/>
        <w:bookmarkEnd w:id="93"/>
        <w:tc>
          <w:tcPr>
            <w:tcW w:w="1143" w:type="pct"/>
            <w:shd w:val="clear" w:color="auto" w:fill="auto"/>
            <w:vAlign w:val="center"/>
          </w:tcPr>
          <w:p w:rsidRPr="00AE1B2B" w:rsidR="009D3FB5" w:rsidP="00163B94" w:rsidRDefault="009D3FB5" w14:paraId="37CF226B"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54282AC8">
                <v:shape id="_x0000_i1067" style="width:77.65pt;height:48.85pt" o:ole="" type="#_x0000_t75">
                  <v:imagedata o:title="" r:id="rId261"/>
                </v:shape>
                <o:OLEObject Type="Embed" ProgID="Word.Document.8" ShapeID="_x0000_i1067" DrawAspect="Icon" ObjectID="_1681900493" r:id="rId262">
                  <o:FieldCodes>\s</o:FieldCodes>
                </o:OLEObject>
              </w:object>
            </w:r>
          </w:p>
        </w:tc>
      </w:tr>
      <w:tr w:rsidRPr="00AE1B2B" w:rsidR="00AE1B2B" w:rsidTr="009D3FB5" w14:paraId="7A9AA339" w14:textId="77777777">
        <w:trPr>
          <w:trHeight w:val="227"/>
          <w:tblCellSpacing w:w="1440" w:type="nil"/>
        </w:trPr>
        <w:tc>
          <w:tcPr>
            <w:tcW w:w="1097" w:type="pct"/>
            <w:shd w:val="clear" w:color="auto" w:fill="auto"/>
            <w:vAlign w:val="center"/>
          </w:tcPr>
          <w:p w:rsidRPr="00AE1B2B" w:rsidR="009D3FB5" w:rsidDel="002E0A4D" w:rsidP="00163B94" w:rsidRDefault="009D3FB5" w14:paraId="58C2F13D"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7</w:t>
            </w:r>
          </w:p>
        </w:tc>
        <w:tc>
          <w:tcPr>
            <w:tcW w:w="2760" w:type="pct"/>
            <w:shd w:val="clear" w:color="auto" w:fill="auto"/>
            <w:vAlign w:val="center"/>
          </w:tcPr>
          <w:p w:rsidRPr="00AE1B2B" w:rsidR="009D3FB5" w:rsidP="00163B94" w:rsidRDefault="009D3FB5" w14:paraId="49AD9125" w14:textId="77777777">
            <w:pPr>
              <w:spacing w:before="120" w:after="120" w:line="276" w:lineRule="auto"/>
              <w:rPr>
                <w:rFonts w:ascii="Times New Roman" w:hAnsi="Times New Roman" w:cs="Times New Roman"/>
              </w:rPr>
            </w:pPr>
            <w:r w:rsidRPr="00AE1B2B">
              <w:rPr>
                <w:rFonts w:ascii="Times New Roman" w:hAnsi="Times New Roman" w:cs="Times New Roman"/>
              </w:rPr>
              <w:t>Circular 08-2018-DTSP y correo del Departamento de Trabajo Social y Psicología</w:t>
            </w:r>
          </w:p>
        </w:tc>
        <w:tc>
          <w:tcPr>
            <w:tcW w:w="1143" w:type="pct"/>
            <w:shd w:val="clear" w:color="auto" w:fill="auto"/>
            <w:vAlign w:val="center"/>
          </w:tcPr>
          <w:p w:rsidRPr="00AE1B2B" w:rsidR="009D3FB5" w:rsidP="00163B94" w:rsidRDefault="009D3FB5" w14:paraId="22A60612"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08" w:dyaOrig="983" w14:anchorId="23FE2D86">
                <v:shape id="_x0000_i1068" style="width:77.65pt;height:55.1pt" o:ole="" type="#_x0000_t75">
                  <v:imagedata o:title="" r:id="rId263"/>
                </v:shape>
                <o:OLEObject Type="Embed" ProgID="Package" ShapeID="_x0000_i1068" DrawAspect="Icon" ObjectID="_1681900494" r:id="rId264"/>
              </w:object>
            </w:r>
          </w:p>
          <w:p w:rsidRPr="00AE1B2B" w:rsidR="009D3FB5" w:rsidP="00163B94" w:rsidRDefault="009D3FB5" w14:paraId="56439AE8"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08" w:dyaOrig="983" w14:anchorId="6925329D">
                <v:shape id="_x0000_i1069" style="width:1in;height:55.1pt" o:ole="" type="#_x0000_t75">
                  <v:imagedata o:title="" r:id="rId265"/>
                </v:shape>
                <o:OLEObject Type="Embed" ProgID="Package" ShapeID="_x0000_i1069" DrawAspect="Icon" ObjectID="_1681900495" r:id="rId266"/>
              </w:object>
            </w:r>
          </w:p>
        </w:tc>
      </w:tr>
      <w:tr w:rsidRPr="00AE1B2B" w:rsidR="00AE1B2B" w:rsidTr="009D3FB5" w14:paraId="6C5D61FD" w14:textId="77777777">
        <w:trPr>
          <w:trHeight w:val="227"/>
          <w:tblCellSpacing w:w="1440" w:type="nil"/>
        </w:trPr>
        <w:tc>
          <w:tcPr>
            <w:tcW w:w="1097" w:type="pct"/>
            <w:shd w:val="clear" w:color="auto" w:fill="auto"/>
            <w:vAlign w:val="center"/>
          </w:tcPr>
          <w:p w:rsidRPr="00AE1B2B" w:rsidR="009D3FB5" w:rsidP="00163B94" w:rsidRDefault="009D3FB5" w14:paraId="1974C5F5"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8</w:t>
            </w:r>
          </w:p>
        </w:tc>
        <w:tc>
          <w:tcPr>
            <w:tcW w:w="2760" w:type="pct"/>
            <w:shd w:val="clear" w:color="auto" w:fill="auto"/>
            <w:vAlign w:val="center"/>
          </w:tcPr>
          <w:p w:rsidRPr="00AE1B2B" w:rsidR="009D3FB5" w:rsidP="00163B94" w:rsidRDefault="009D3FB5" w14:paraId="2FDB1269" w14:textId="77777777">
            <w:pPr>
              <w:spacing w:before="120" w:after="120" w:line="276" w:lineRule="auto"/>
              <w:rPr>
                <w:rFonts w:ascii="Times New Roman" w:hAnsi="Times New Roman" w:cs="Times New Roman"/>
              </w:rPr>
            </w:pPr>
            <w:r w:rsidRPr="00AE1B2B">
              <w:rPr>
                <w:rFonts w:ascii="Times New Roman" w:hAnsi="Times New Roman" w:cs="Times New Roman"/>
              </w:rPr>
              <w:t>Minuta 49-PLA-MI-MNTA-2021 DTSP, sesión de trabajo 29-1-21</w:t>
            </w:r>
          </w:p>
        </w:tc>
        <w:tc>
          <w:tcPr>
            <w:tcW w:w="1143" w:type="pct"/>
            <w:shd w:val="clear" w:color="auto" w:fill="auto"/>
            <w:vAlign w:val="center"/>
          </w:tcPr>
          <w:p w:rsidRPr="00AE1B2B" w:rsidR="009D3FB5" w:rsidP="00163B94" w:rsidRDefault="009D3FB5" w14:paraId="025E07C9"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53138F12">
                <v:shape id="_x0000_i1070" style="width:77.65pt;height:48.85pt" o:ole="" type="#_x0000_t75">
                  <v:imagedata o:title="" r:id="rId267"/>
                </v:shape>
                <o:OLEObject Type="Embed" ProgID="Package" ShapeID="_x0000_i1070" DrawAspect="Icon" ObjectID="_1681900496" r:id="rId268"/>
              </w:object>
            </w:r>
          </w:p>
        </w:tc>
      </w:tr>
      <w:tr w:rsidRPr="00AE1B2B" w:rsidR="00AE1B2B" w:rsidTr="009D3FB5" w14:paraId="3AF59CD9" w14:textId="77777777">
        <w:trPr>
          <w:trHeight w:val="227"/>
          <w:tblCellSpacing w:w="1440" w:type="nil"/>
        </w:trPr>
        <w:tc>
          <w:tcPr>
            <w:tcW w:w="1097" w:type="pct"/>
            <w:shd w:val="clear" w:color="auto" w:fill="auto"/>
            <w:vAlign w:val="center"/>
          </w:tcPr>
          <w:p w:rsidRPr="00AE1B2B" w:rsidR="009D3FB5" w:rsidP="00163B94" w:rsidRDefault="009D3FB5" w14:paraId="55851B0D"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9</w:t>
            </w:r>
          </w:p>
        </w:tc>
        <w:tc>
          <w:tcPr>
            <w:tcW w:w="2760" w:type="pct"/>
            <w:shd w:val="clear" w:color="auto" w:fill="auto"/>
            <w:vAlign w:val="center"/>
          </w:tcPr>
          <w:p w:rsidRPr="00AE1B2B" w:rsidR="009D3FB5" w:rsidP="00163B94" w:rsidRDefault="009D3FB5" w14:paraId="6E6BA11B" w14:textId="77777777">
            <w:pPr>
              <w:spacing w:before="120" w:after="120" w:line="276" w:lineRule="auto"/>
              <w:rPr>
                <w:rFonts w:ascii="Times New Roman" w:hAnsi="Times New Roman" w:cs="Times New Roman"/>
              </w:rPr>
            </w:pPr>
            <w:r w:rsidRPr="00AE1B2B">
              <w:rPr>
                <w:rFonts w:ascii="Times New Roman" w:hAnsi="Times New Roman" w:cs="Times New Roman"/>
              </w:rPr>
              <w:t>Entregable 3.9. Informe de la Implantación de EV y mejoras a nivel de sistemas para CPF</w:t>
            </w:r>
          </w:p>
        </w:tc>
        <w:tc>
          <w:tcPr>
            <w:tcW w:w="1143" w:type="pct"/>
            <w:shd w:val="clear" w:color="auto" w:fill="auto"/>
            <w:vAlign w:val="center"/>
          </w:tcPr>
          <w:p w:rsidRPr="00AE1B2B" w:rsidR="009D3FB5" w:rsidP="00163B94" w:rsidRDefault="009D3FB5" w14:paraId="32106B6A"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30647DCE">
                <v:shape id="_x0000_i1071" style="width:77.65pt;height:48.85pt" o:ole="" type="#_x0000_t75">
                  <v:imagedata o:title="" r:id="rId269"/>
                </v:shape>
                <o:OLEObject Type="Embed" ProgID="Package" ShapeID="_x0000_i1071" DrawAspect="Icon" ObjectID="_1681900497" r:id="rId270"/>
              </w:object>
            </w:r>
          </w:p>
        </w:tc>
      </w:tr>
      <w:tr w:rsidRPr="00AE1B2B" w:rsidR="00AE1B2B" w:rsidTr="009D3FB5" w14:paraId="088CA49D" w14:textId="77777777">
        <w:trPr>
          <w:trHeight w:val="227"/>
          <w:tblCellSpacing w:w="1440" w:type="nil"/>
        </w:trPr>
        <w:tc>
          <w:tcPr>
            <w:tcW w:w="1097" w:type="pct"/>
            <w:shd w:val="clear" w:color="auto" w:fill="auto"/>
            <w:vAlign w:val="center"/>
          </w:tcPr>
          <w:p w:rsidRPr="00AE1B2B" w:rsidR="009D3FB5" w:rsidP="00163B94" w:rsidRDefault="009D3FB5" w14:paraId="7B8EF46A"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10</w:t>
            </w:r>
          </w:p>
        </w:tc>
        <w:tc>
          <w:tcPr>
            <w:tcW w:w="2760" w:type="pct"/>
            <w:shd w:val="clear" w:color="auto" w:fill="auto"/>
            <w:vAlign w:val="center"/>
          </w:tcPr>
          <w:p w:rsidRPr="00AE1B2B" w:rsidR="009D3FB5" w:rsidP="00163B94" w:rsidRDefault="009D3FB5" w14:paraId="36438091" w14:textId="77777777">
            <w:pPr>
              <w:spacing w:before="120" w:after="120" w:line="276" w:lineRule="auto"/>
              <w:rPr>
                <w:rFonts w:ascii="Times New Roman" w:hAnsi="Times New Roman" w:cs="Times New Roman"/>
              </w:rPr>
            </w:pPr>
            <w:r w:rsidRPr="00AE1B2B">
              <w:rPr>
                <w:rFonts w:ascii="Times New Roman" w:hAnsi="Times New Roman" w:cs="Times New Roman"/>
              </w:rPr>
              <w:t>Circular 223-20</w:t>
            </w:r>
          </w:p>
        </w:tc>
        <w:tc>
          <w:tcPr>
            <w:tcW w:w="1143" w:type="pct"/>
            <w:shd w:val="clear" w:color="auto" w:fill="auto"/>
            <w:vAlign w:val="center"/>
          </w:tcPr>
          <w:p w:rsidRPr="00AE1B2B" w:rsidR="009D3FB5" w:rsidP="00163B94" w:rsidRDefault="009D3FB5" w14:paraId="56A81078"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1A3B20A1">
                <v:shape id="_x0000_i1072" style="width:77.65pt;height:48.85pt" o:ole="" type="#_x0000_t75">
                  <v:imagedata o:title="" r:id="rId271"/>
                </v:shape>
                <o:OLEObject Type="Embed" ProgID="Package" ShapeID="_x0000_i1072" DrawAspect="Icon" ObjectID="_1681900498" r:id="rId272"/>
              </w:object>
            </w:r>
          </w:p>
        </w:tc>
      </w:tr>
      <w:tr w:rsidRPr="00AE1B2B" w:rsidR="00AE1B2B" w:rsidTr="009D3FB5" w14:paraId="362DC643" w14:textId="77777777">
        <w:trPr>
          <w:trHeight w:val="227"/>
          <w:tblCellSpacing w:w="1440" w:type="nil"/>
        </w:trPr>
        <w:tc>
          <w:tcPr>
            <w:tcW w:w="1097" w:type="pct"/>
            <w:shd w:val="clear" w:color="auto" w:fill="auto"/>
            <w:vAlign w:val="center"/>
          </w:tcPr>
          <w:p w:rsidRPr="00AE1B2B" w:rsidR="009D3FB5" w:rsidP="00163B94" w:rsidRDefault="009D3FB5" w14:paraId="1693C66C"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11</w:t>
            </w:r>
          </w:p>
        </w:tc>
        <w:tc>
          <w:tcPr>
            <w:tcW w:w="2760" w:type="pct"/>
            <w:shd w:val="clear" w:color="auto" w:fill="auto"/>
            <w:vAlign w:val="center"/>
          </w:tcPr>
          <w:p w:rsidRPr="00AE1B2B" w:rsidR="009D3FB5" w:rsidP="00163B94" w:rsidRDefault="009D3FB5" w14:paraId="3E2FD73B" w14:textId="77777777">
            <w:pPr>
              <w:spacing w:before="120" w:after="120" w:line="276" w:lineRule="auto"/>
              <w:rPr>
                <w:rFonts w:ascii="Times New Roman" w:hAnsi="Times New Roman" w:cs="Times New Roman"/>
              </w:rPr>
            </w:pPr>
            <w:r w:rsidRPr="00AE1B2B">
              <w:rPr>
                <w:rFonts w:ascii="Times New Roman" w:hAnsi="Times New Roman" w:cs="Times New Roman"/>
              </w:rPr>
              <w:t>Oficio 2374-DTI-2020</w:t>
            </w:r>
          </w:p>
        </w:tc>
        <w:bookmarkStart w:name="_MON_1674630175" w:id="94"/>
        <w:bookmarkEnd w:id="94"/>
        <w:tc>
          <w:tcPr>
            <w:tcW w:w="1143" w:type="pct"/>
            <w:shd w:val="clear" w:color="auto" w:fill="auto"/>
            <w:vAlign w:val="center"/>
          </w:tcPr>
          <w:p w:rsidRPr="00AE1B2B" w:rsidR="009D3FB5" w:rsidP="00163B94" w:rsidRDefault="009D3FB5" w14:paraId="4C60BC8A"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695F7D54">
                <v:shape id="_x0000_i1073" style="width:77.65pt;height:48.85pt" o:ole="" type="#_x0000_t75">
                  <v:imagedata o:title="" r:id="rId273"/>
                </v:shape>
                <o:OLEObject Type="Embed" ProgID="Word.Document.12" ShapeID="_x0000_i1073" DrawAspect="Icon" ObjectID="_1681900499" r:id="rId274">
                  <o:FieldCodes>\s</o:FieldCodes>
                </o:OLEObject>
              </w:object>
            </w:r>
          </w:p>
        </w:tc>
      </w:tr>
      <w:tr w:rsidRPr="00AE1B2B" w:rsidR="00AE1B2B" w:rsidTr="009D3FB5" w14:paraId="62AD9774" w14:textId="77777777">
        <w:trPr>
          <w:trHeight w:val="227"/>
          <w:tblCellSpacing w:w="1440" w:type="nil"/>
        </w:trPr>
        <w:tc>
          <w:tcPr>
            <w:tcW w:w="1097" w:type="pct"/>
            <w:shd w:val="clear" w:color="auto" w:fill="auto"/>
            <w:vAlign w:val="center"/>
          </w:tcPr>
          <w:p w:rsidRPr="00AE1B2B" w:rsidR="009D3FB5" w:rsidP="00163B94" w:rsidRDefault="009D3FB5" w14:paraId="151BC0CC"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12</w:t>
            </w:r>
          </w:p>
        </w:tc>
        <w:tc>
          <w:tcPr>
            <w:tcW w:w="2760" w:type="pct"/>
            <w:shd w:val="clear" w:color="auto" w:fill="auto"/>
            <w:vAlign w:val="center"/>
          </w:tcPr>
          <w:p w:rsidRPr="00AE1B2B" w:rsidR="009D3FB5" w:rsidP="00163B94" w:rsidRDefault="009D3FB5" w14:paraId="64C01E62" w14:textId="77777777">
            <w:pPr>
              <w:spacing w:before="120" w:after="120" w:line="276" w:lineRule="auto"/>
              <w:rPr>
                <w:rFonts w:ascii="Times New Roman" w:hAnsi="Times New Roman" w:cs="Times New Roman"/>
              </w:rPr>
            </w:pPr>
            <w:r w:rsidRPr="00AE1B2B">
              <w:rPr>
                <w:rFonts w:ascii="Times New Roman" w:hAnsi="Times New Roman" w:cs="Times New Roman"/>
              </w:rPr>
              <w:t>Circular 4-2021</w:t>
            </w:r>
          </w:p>
        </w:tc>
        <w:bookmarkStart w:name="_MON_1674629183" w:id="95"/>
        <w:bookmarkEnd w:id="95"/>
        <w:tc>
          <w:tcPr>
            <w:tcW w:w="1143" w:type="pct"/>
            <w:shd w:val="clear" w:color="auto" w:fill="auto"/>
            <w:vAlign w:val="center"/>
          </w:tcPr>
          <w:p w:rsidRPr="00AE1B2B" w:rsidR="009D3FB5" w:rsidP="00163B94" w:rsidRDefault="009D3FB5" w14:paraId="395A925C"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0F57EC3D">
                <v:shape id="_x0000_i1074" style="width:77.65pt;height:48.85pt" o:ole="" type="#_x0000_t75">
                  <v:imagedata o:title="" r:id="rId275"/>
                </v:shape>
                <o:OLEObject Type="Embed" ProgID="Word.Document.12" ShapeID="_x0000_i1074" DrawAspect="Icon" ObjectID="_1681900500" r:id="rId276">
                  <o:FieldCodes>\s</o:FieldCodes>
                </o:OLEObject>
              </w:object>
            </w:r>
          </w:p>
        </w:tc>
      </w:tr>
      <w:tr w:rsidRPr="00AE1B2B" w:rsidR="00AE1B2B" w:rsidTr="009D3FB5" w14:paraId="19DFE706" w14:textId="77777777">
        <w:trPr>
          <w:trHeight w:val="227"/>
          <w:tblCellSpacing w:w="1440" w:type="nil"/>
        </w:trPr>
        <w:tc>
          <w:tcPr>
            <w:tcW w:w="1097" w:type="pct"/>
            <w:shd w:val="clear" w:color="auto" w:fill="auto"/>
            <w:vAlign w:val="center"/>
          </w:tcPr>
          <w:p w:rsidRPr="00AE1B2B" w:rsidR="009D3FB5" w:rsidP="00163B94" w:rsidRDefault="009D3FB5" w14:paraId="38983AA5"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13</w:t>
            </w:r>
          </w:p>
        </w:tc>
        <w:tc>
          <w:tcPr>
            <w:tcW w:w="2760" w:type="pct"/>
            <w:shd w:val="clear" w:color="auto" w:fill="auto"/>
            <w:vAlign w:val="center"/>
          </w:tcPr>
          <w:p w:rsidRPr="00AE1B2B" w:rsidR="009D3FB5" w:rsidP="00163B94" w:rsidRDefault="009D3FB5" w14:paraId="430EAF4C" w14:textId="77777777">
            <w:pPr>
              <w:spacing w:before="120" w:after="120" w:line="276" w:lineRule="auto"/>
              <w:rPr>
                <w:rFonts w:ascii="Times New Roman" w:hAnsi="Times New Roman" w:cs="Times New Roman"/>
              </w:rPr>
            </w:pPr>
            <w:r w:rsidRPr="00AE1B2B">
              <w:rPr>
                <w:rFonts w:ascii="Times New Roman" w:hAnsi="Times New Roman" w:cs="Times New Roman"/>
              </w:rPr>
              <w:t>Circular 260-2020</w:t>
            </w:r>
          </w:p>
        </w:tc>
        <w:tc>
          <w:tcPr>
            <w:tcW w:w="1143" w:type="pct"/>
            <w:shd w:val="clear" w:color="auto" w:fill="auto"/>
            <w:vAlign w:val="center"/>
          </w:tcPr>
          <w:p w:rsidRPr="00AE1B2B" w:rsidR="009D3FB5" w:rsidP="00163B94" w:rsidRDefault="009D3FB5" w14:paraId="2567CAE8"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3B0EA924">
                <v:shape id="_x0000_i1075" style="width:77.65pt;height:48.85pt" o:ole="" type="#_x0000_t75">
                  <v:imagedata o:title="" r:id="rId277"/>
                </v:shape>
                <o:OLEObject Type="Embed" ProgID="Package" ShapeID="_x0000_i1075" DrawAspect="Icon" ObjectID="_1681900501" r:id="rId278"/>
              </w:object>
            </w:r>
          </w:p>
        </w:tc>
      </w:tr>
      <w:tr w:rsidRPr="00AE1B2B" w:rsidR="00AE1B2B" w:rsidTr="009D3FB5" w14:paraId="2F270C78" w14:textId="77777777">
        <w:trPr>
          <w:trHeight w:val="227"/>
          <w:tblCellSpacing w:w="1440" w:type="nil"/>
        </w:trPr>
        <w:tc>
          <w:tcPr>
            <w:tcW w:w="1097" w:type="pct"/>
            <w:shd w:val="clear" w:color="auto" w:fill="auto"/>
            <w:vAlign w:val="center"/>
          </w:tcPr>
          <w:p w:rsidRPr="00AE1B2B" w:rsidR="009D3FB5" w:rsidP="00163B94" w:rsidRDefault="009D3FB5" w14:paraId="3DAE8242"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lastRenderedPageBreak/>
              <w:t>Anexo 14</w:t>
            </w:r>
          </w:p>
        </w:tc>
        <w:tc>
          <w:tcPr>
            <w:tcW w:w="2760" w:type="pct"/>
            <w:shd w:val="clear" w:color="auto" w:fill="auto"/>
            <w:vAlign w:val="center"/>
          </w:tcPr>
          <w:p w:rsidRPr="00AE1B2B" w:rsidR="009D3FB5" w:rsidP="00163B94" w:rsidRDefault="009D3FB5" w14:paraId="6AC7F6D7" w14:textId="77777777">
            <w:pPr>
              <w:spacing w:before="120" w:after="120" w:line="276" w:lineRule="auto"/>
              <w:rPr>
                <w:rFonts w:ascii="Times New Roman" w:hAnsi="Times New Roman" w:cs="Times New Roman"/>
              </w:rPr>
            </w:pPr>
            <w:r w:rsidRPr="00AE1B2B">
              <w:rPr>
                <w:rFonts w:ascii="Times New Roman" w:hAnsi="Times New Roman" w:cs="Times New Roman"/>
              </w:rPr>
              <w:t>Minuta 42-PLA-MI-MNTA-2021</w:t>
            </w:r>
          </w:p>
        </w:tc>
        <w:tc>
          <w:tcPr>
            <w:tcW w:w="1143" w:type="pct"/>
            <w:shd w:val="clear" w:color="auto" w:fill="auto"/>
            <w:vAlign w:val="center"/>
          </w:tcPr>
          <w:p w:rsidRPr="00AE1B2B" w:rsidR="009D3FB5" w:rsidP="00163B94" w:rsidRDefault="009D3FB5" w14:paraId="14558048"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3C7BA0C5">
                <v:shape id="_x0000_i1076" style="width:77.65pt;height:48.85pt" o:ole="" type="#_x0000_t75">
                  <v:imagedata o:title="" r:id="rId279"/>
                </v:shape>
                <o:OLEObject Type="Embed" ProgID="Package" ShapeID="_x0000_i1076" DrawAspect="Icon" ObjectID="_1681900502" r:id="rId280"/>
              </w:object>
            </w:r>
          </w:p>
        </w:tc>
      </w:tr>
      <w:tr w:rsidRPr="00AE1B2B" w:rsidR="00AE1B2B" w:rsidTr="009D3FB5" w14:paraId="24DC2105" w14:textId="77777777">
        <w:trPr>
          <w:trHeight w:val="227"/>
          <w:tblCellSpacing w:w="1440" w:type="nil"/>
        </w:trPr>
        <w:tc>
          <w:tcPr>
            <w:tcW w:w="1097" w:type="pct"/>
            <w:shd w:val="clear" w:color="auto" w:fill="auto"/>
            <w:vAlign w:val="center"/>
          </w:tcPr>
          <w:p w:rsidRPr="00AE1B2B" w:rsidR="009D3FB5" w:rsidP="00163B94" w:rsidRDefault="009D3FB5" w14:paraId="081627EC"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15</w:t>
            </w:r>
          </w:p>
        </w:tc>
        <w:tc>
          <w:tcPr>
            <w:tcW w:w="2760" w:type="pct"/>
            <w:shd w:val="clear" w:color="auto" w:fill="auto"/>
            <w:vAlign w:val="center"/>
          </w:tcPr>
          <w:p w:rsidRPr="00AE1B2B" w:rsidR="009D3FB5" w:rsidP="00163B94" w:rsidRDefault="009D3FB5" w14:paraId="5506316B" w14:textId="77777777">
            <w:pPr>
              <w:spacing w:before="120" w:after="120" w:line="276" w:lineRule="auto"/>
              <w:rPr>
                <w:rFonts w:ascii="Times New Roman" w:hAnsi="Times New Roman" w:cs="Times New Roman"/>
              </w:rPr>
            </w:pPr>
            <w:r w:rsidRPr="00AE1B2B">
              <w:rPr>
                <w:rFonts w:ascii="Times New Roman" w:hAnsi="Times New Roman" w:cs="Times New Roman"/>
              </w:rPr>
              <w:t>Detalle de cantidad de casos que se desjudicializan con el CPF.</w:t>
            </w:r>
          </w:p>
        </w:tc>
        <w:tc>
          <w:tcPr>
            <w:tcW w:w="1143" w:type="pct"/>
            <w:shd w:val="clear" w:color="auto" w:fill="auto"/>
            <w:vAlign w:val="center"/>
          </w:tcPr>
          <w:p w:rsidRPr="00AE1B2B" w:rsidR="009D3FB5" w:rsidP="00163B94" w:rsidRDefault="009D3FB5" w14:paraId="69A2C7E9"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224" w:dyaOrig="792" w14:anchorId="6DD38579">
                <v:shape id="_x0000_i1077" style="width:53.2pt;height:30.05pt" o:ole="" type="#_x0000_t75">
                  <v:imagedata o:title="" r:id="rId281"/>
                </v:shape>
                <o:OLEObject Type="Embed" ProgID="Excel.Sheet.12" ShapeID="_x0000_i1077" DrawAspect="Icon" ObjectID="_1681900503" r:id="rId282"/>
              </w:object>
            </w:r>
          </w:p>
        </w:tc>
      </w:tr>
      <w:tr w:rsidRPr="00AE1B2B" w:rsidR="00AE1B2B" w:rsidTr="009D3FB5" w14:paraId="1EBCB348" w14:textId="77777777">
        <w:trPr>
          <w:trHeight w:val="227"/>
          <w:tblCellSpacing w:w="1440" w:type="nil"/>
        </w:trPr>
        <w:tc>
          <w:tcPr>
            <w:tcW w:w="1097" w:type="pct"/>
            <w:shd w:val="clear" w:color="auto" w:fill="auto"/>
            <w:vAlign w:val="center"/>
          </w:tcPr>
          <w:p w:rsidRPr="00AE1B2B" w:rsidR="009D3FB5" w:rsidP="00163B94" w:rsidRDefault="009D3FB5" w14:paraId="2BEB7B75"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16</w:t>
            </w:r>
          </w:p>
        </w:tc>
        <w:tc>
          <w:tcPr>
            <w:tcW w:w="2760" w:type="pct"/>
            <w:shd w:val="clear" w:color="auto" w:fill="auto"/>
            <w:vAlign w:val="center"/>
          </w:tcPr>
          <w:p w:rsidRPr="00AE1B2B" w:rsidR="009D3FB5" w:rsidP="00163B94" w:rsidRDefault="009D3FB5" w14:paraId="03EC0BA7" w14:textId="77777777">
            <w:pPr>
              <w:spacing w:before="120" w:after="120" w:line="276" w:lineRule="auto"/>
              <w:rPr>
                <w:rFonts w:ascii="Times New Roman" w:hAnsi="Times New Roman" w:cs="Times New Roman"/>
              </w:rPr>
            </w:pPr>
            <w:r w:rsidRPr="00AE1B2B">
              <w:rPr>
                <w:rFonts w:ascii="Times New Roman" w:hAnsi="Times New Roman" w:cs="Times New Roman"/>
              </w:rPr>
              <w:t>Información de procedencia de los expedientes para los Juzgados Primero y Segundo de Familia de San José.</w:t>
            </w:r>
          </w:p>
        </w:tc>
        <w:tc>
          <w:tcPr>
            <w:tcW w:w="1143" w:type="pct"/>
            <w:shd w:val="clear" w:color="auto" w:fill="auto"/>
            <w:vAlign w:val="center"/>
          </w:tcPr>
          <w:p w:rsidRPr="00AE1B2B" w:rsidR="009D3FB5" w:rsidP="00163B94" w:rsidRDefault="009D3FB5" w14:paraId="1187B879"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3497" w:dyaOrig="2263" w14:anchorId="66B45FFA">
                <v:shape id="_x0000_i1078" style="width:85.15pt;height:59.5pt" o:ole="" type="#_x0000_t75">
                  <v:imagedata o:title="" r:id="rId283"/>
                </v:shape>
                <o:OLEObject Type="Embed" ProgID="Package" ShapeID="_x0000_i1078" DrawAspect="Icon" ObjectID="_1681900504" r:id="rId284"/>
              </w:object>
            </w:r>
          </w:p>
        </w:tc>
      </w:tr>
      <w:tr w:rsidRPr="00AE1B2B" w:rsidR="00AE1B2B" w:rsidTr="009D3FB5" w14:paraId="74872E3F" w14:textId="77777777">
        <w:trPr>
          <w:trHeight w:val="227"/>
          <w:tblCellSpacing w:w="1440" w:type="nil"/>
        </w:trPr>
        <w:tc>
          <w:tcPr>
            <w:tcW w:w="1097" w:type="pct"/>
            <w:shd w:val="clear" w:color="auto" w:fill="auto"/>
            <w:vAlign w:val="center"/>
          </w:tcPr>
          <w:p w:rsidRPr="00AE1B2B" w:rsidR="009D3FB5" w:rsidP="00163B94" w:rsidRDefault="009D3FB5" w14:paraId="483682E9"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17</w:t>
            </w:r>
          </w:p>
        </w:tc>
        <w:tc>
          <w:tcPr>
            <w:tcW w:w="2760" w:type="pct"/>
            <w:shd w:val="clear" w:color="auto" w:fill="auto"/>
            <w:vAlign w:val="center"/>
          </w:tcPr>
          <w:p w:rsidRPr="00AE1B2B" w:rsidR="009D3FB5" w:rsidP="00163B94" w:rsidRDefault="009D3FB5" w14:paraId="6E48EF7F" w14:textId="77777777">
            <w:pPr>
              <w:spacing w:before="120" w:after="120" w:line="276" w:lineRule="auto"/>
              <w:rPr>
                <w:rFonts w:ascii="Times New Roman" w:hAnsi="Times New Roman" w:cs="Times New Roman"/>
              </w:rPr>
            </w:pPr>
            <w:r w:rsidRPr="00AE1B2B">
              <w:rPr>
                <w:rFonts w:ascii="Times New Roman" w:hAnsi="Times New Roman" w:cs="Times New Roman"/>
              </w:rPr>
              <w:t>Oficios enviados por Unidad Estadística de la Dirección de Planificación.</w:t>
            </w:r>
          </w:p>
        </w:tc>
        <w:tc>
          <w:tcPr>
            <w:tcW w:w="1143" w:type="pct"/>
            <w:shd w:val="clear" w:color="auto" w:fill="auto"/>
            <w:vAlign w:val="center"/>
          </w:tcPr>
          <w:p w:rsidRPr="00AE1B2B" w:rsidR="009D3FB5" w:rsidP="00163B94" w:rsidRDefault="009D3FB5" w14:paraId="7F18C695"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45" w:dyaOrig="995" w14:anchorId="30D2DEC0">
                <v:shape id="_x0000_i1079" style="width:78.9pt;height:53.2pt" o:ole="" type="#_x0000_t75">
                  <v:imagedata o:title="" r:id="rId285"/>
                </v:shape>
                <o:OLEObject Type="Embed" ProgID="Package" ShapeID="_x0000_i1079" DrawAspect="Icon" ObjectID="_1681900505" r:id="rId286"/>
              </w:object>
            </w:r>
          </w:p>
        </w:tc>
      </w:tr>
      <w:tr w:rsidRPr="00AE1B2B" w:rsidR="00AE1B2B" w:rsidTr="009D3FB5" w14:paraId="1CC2F7C3" w14:textId="77777777">
        <w:trPr>
          <w:trHeight w:val="227"/>
          <w:tblCellSpacing w:w="1440" w:type="nil"/>
        </w:trPr>
        <w:tc>
          <w:tcPr>
            <w:tcW w:w="1097" w:type="pct"/>
            <w:shd w:val="clear" w:color="auto" w:fill="auto"/>
            <w:vAlign w:val="center"/>
          </w:tcPr>
          <w:p w:rsidRPr="00AE1B2B" w:rsidR="009D3FB5" w:rsidP="00163B94" w:rsidRDefault="009D3FB5" w14:paraId="01062B4A"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18</w:t>
            </w:r>
          </w:p>
        </w:tc>
        <w:tc>
          <w:tcPr>
            <w:tcW w:w="2760" w:type="pct"/>
            <w:shd w:val="clear" w:color="auto" w:fill="auto"/>
            <w:vAlign w:val="center"/>
          </w:tcPr>
          <w:p w:rsidRPr="00AE1B2B" w:rsidR="009D3FB5" w:rsidP="00163B94" w:rsidRDefault="009D3FB5" w14:paraId="64B767DC" w14:textId="77777777">
            <w:pPr>
              <w:spacing w:before="120" w:after="120" w:line="276" w:lineRule="auto"/>
              <w:rPr>
                <w:rFonts w:ascii="Times New Roman" w:hAnsi="Times New Roman" w:cs="Times New Roman"/>
              </w:rPr>
            </w:pPr>
            <w:r w:rsidRPr="00AE1B2B">
              <w:rPr>
                <w:rFonts w:ascii="Times New Roman" w:hAnsi="Times New Roman" w:cs="Times New Roman"/>
              </w:rPr>
              <w:t xml:space="preserve">Diagrama procesos Violencia Doméstica con duración </w:t>
            </w:r>
          </w:p>
        </w:tc>
        <w:tc>
          <w:tcPr>
            <w:tcW w:w="1143" w:type="pct"/>
            <w:shd w:val="clear" w:color="auto" w:fill="auto"/>
            <w:vAlign w:val="center"/>
          </w:tcPr>
          <w:p w:rsidRPr="00AE1B2B" w:rsidR="009D3FB5" w:rsidP="00163B94" w:rsidRDefault="009D3FB5" w14:paraId="6B1842AE"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24B838EE">
                <v:shape id="_x0000_i1080" style="width:77.65pt;height:48.85pt" o:ole="" type="#_x0000_t75">
                  <v:imagedata o:title="" r:id="rId287"/>
                </v:shape>
                <o:OLEObject Type="Embed" ProgID="Excel.Sheet.12" ShapeID="_x0000_i1080" DrawAspect="Icon" ObjectID="_1681900506" r:id="rId288"/>
              </w:object>
            </w:r>
          </w:p>
        </w:tc>
      </w:tr>
      <w:tr w:rsidRPr="00AE1B2B" w:rsidR="00AE1B2B" w:rsidTr="009D3FB5" w14:paraId="734326BE" w14:textId="77777777">
        <w:trPr>
          <w:trHeight w:val="227"/>
          <w:tblCellSpacing w:w="1440" w:type="nil"/>
        </w:trPr>
        <w:tc>
          <w:tcPr>
            <w:tcW w:w="1097" w:type="pct"/>
            <w:shd w:val="clear" w:color="auto" w:fill="auto"/>
            <w:vAlign w:val="center"/>
          </w:tcPr>
          <w:p w:rsidRPr="00AE1B2B" w:rsidR="009D3FB5" w:rsidP="00163B94" w:rsidRDefault="009D3FB5" w14:paraId="7EA7B2B4"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19</w:t>
            </w:r>
          </w:p>
        </w:tc>
        <w:tc>
          <w:tcPr>
            <w:tcW w:w="2760" w:type="pct"/>
            <w:shd w:val="clear" w:color="auto" w:fill="auto"/>
            <w:vAlign w:val="center"/>
          </w:tcPr>
          <w:p w:rsidRPr="00AE1B2B" w:rsidR="009D3FB5" w:rsidP="00163B94" w:rsidRDefault="009D3FB5" w14:paraId="027F8C72" w14:textId="77777777">
            <w:pPr>
              <w:spacing w:before="120" w:after="120" w:line="276" w:lineRule="auto"/>
              <w:rPr>
                <w:rFonts w:ascii="Times New Roman" w:hAnsi="Times New Roman" w:cs="Times New Roman"/>
              </w:rPr>
            </w:pPr>
            <w:r w:rsidRPr="00AE1B2B">
              <w:rPr>
                <w:rFonts w:ascii="Times New Roman" w:hAnsi="Times New Roman" w:cs="Times New Roman"/>
              </w:rPr>
              <w:t>Diagrama procesos de Pensiones Alimentarias con duración</w:t>
            </w:r>
          </w:p>
        </w:tc>
        <w:tc>
          <w:tcPr>
            <w:tcW w:w="1143" w:type="pct"/>
            <w:shd w:val="clear" w:color="auto" w:fill="auto"/>
            <w:vAlign w:val="center"/>
          </w:tcPr>
          <w:p w:rsidRPr="00AE1B2B" w:rsidR="009D3FB5" w:rsidP="00163B94" w:rsidRDefault="009D3FB5" w14:paraId="723B9800"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4A6CB962">
                <v:shape id="_x0000_i1081" style="width:77.65pt;height:48.85pt" o:ole="" type="#_x0000_t75">
                  <v:imagedata o:title="" r:id="rId289"/>
                </v:shape>
                <o:OLEObject Type="Embed" ProgID="Excel.Sheet.12" ShapeID="_x0000_i1081" DrawAspect="Icon" ObjectID="_1681900507" r:id="rId290"/>
              </w:object>
            </w:r>
          </w:p>
        </w:tc>
      </w:tr>
      <w:tr w:rsidRPr="00AE1B2B" w:rsidR="00AE1B2B" w:rsidTr="009D3FB5" w14:paraId="2407E064" w14:textId="77777777">
        <w:trPr>
          <w:trHeight w:val="227"/>
          <w:tblCellSpacing w:w="1440" w:type="nil"/>
        </w:trPr>
        <w:tc>
          <w:tcPr>
            <w:tcW w:w="1097" w:type="pct"/>
            <w:shd w:val="clear" w:color="auto" w:fill="auto"/>
            <w:vAlign w:val="center"/>
          </w:tcPr>
          <w:p w:rsidRPr="00AE1B2B" w:rsidR="009D3FB5" w:rsidDel="007808F2" w:rsidP="00163B94" w:rsidRDefault="009D3FB5" w14:paraId="723249C5"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20</w:t>
            </w:r>
          </w:p>
        </w:tc>
        <w:tc>
          <w:tcPr>
            <w:tcW w:w="2760" w:type="pct"/>
            <w:shd w:val="clear" w:color="auto" w:fill="auto"/>
            <w:vAlign w:val="center"/>
          </w:tcPr>
          <w:p w:rsidRPr="00AE1B2B" w:rsidR="009D3FB5" w:rsidP="00163B94" w:rsidRDefault="009D3FB5" w14:paraId="0E45096C" w14:textId="77777777">
            <w:pPr>
              <w:spacing w:before="120" w:after="120" w:line="276" w:lineRule="auto"/>
              <w:rPr>
                <w:rFonts w:ascii="Times New Roman" w:hAnsi="Times New Roman" w:cs="Times New Roman"/>
              </w:rPr>
            </w:pPr>
            <w:r w:rsidRPr="00AE1B2B">
              <w:rPr>
                <w:rFonts w:ascii="Times New Roman" w:hAnsi="Times New Roman" w:cs="Times New Roman"/>
              </w:rPr>
              <w:t xml:space="preserve">Oficio 361-DE-2021 </w:t>
            </w:r>
          </w:p>
        </w:tc>
        <w:tc>
          <w:tcPr>
            <w:tcW w:w="1143" w:type="pct"/>
            <w:shd w:val="clear" w:color="auto" w:fill="auto"/>
            <w:vAlign w:val="center"/>
          </w:tcPr>
          <w:p w:rsidRPr="00AE1B2B" w:rsidR="009D3FB5" w:rsidP="00163B94" w:rsidRDefault="009D3FB5" w14:paraId="09873BA5"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4810C3E9">
                <v:shape id="_x0000_i1082" style="width:77.65pt;height:48.85pt" o:ole="" type="#_x0000_t75">
                  <v:imagedata o:title="" r:id="rId291"/>
                </v:shape>
                <o:OLEObject Type="Embed" ProgID="Package" ShapeID="_x0000_i1082" DrawAspect="Icon" ObjectID="_1681900508" r:id="rId292"/>
              </w:object>
            </w:r>
            <w:r w:rsidRPr="00AE1B2B">
              <w:rPr>
                <w:rFonts w:ascii="Times New Roman" w:hAnsi="Times New Roman" w:cs="Times New Roman"/>
              </w:rPr>
              <w:object w:dxaOrig="1513" w:dyaOrig="984" w14:anchorId="46389D48">
                <v:shape id="_x0000_i1083" style="width:77.65pt;height:48.85pt" o:ole="" type="#_x0000_t75">
                  <v:imagedata o:title="" r:id="rId293"/>
                </v:shape>
                <o:OLEObject Type="Embed" ProgID="Excel.Sheet.12" ShapeID="_x0000_i1083" DrawAspect="Icon" ObjectID="_1681900509" r:id="rId294"/>
              </w:object>
            </w:r>
          </w:p>
        </w:tc>
      </w:tr>
      <w:tr w:rsidRPr="00AE1B2B" w:rsidR="00AE1B2B" w:rsidTr="009D3FB5" w14:paraId="5E9AE59C" w14:textId="77777777">
        <w:trPr>
          <w:trHeight w:val="227"/>
          <w:tblCellSpacing w:w="1440" w:type="nil"/>
        </w:trPr>
        <w:tc>
          <w:tcPr>
            <w:tcW w:w="1097" w:type="pct"/>
            <w:shd w:val="clear" w:color="auto" w:fill="auto"/>
            <w:vAlign w:val="center"/>
          </w:tcPr>
          <w:p w:rsidRPr="00AE1B2B" w:rsidR="009D3FB5" w:rsidP="00163B94" w:rsidRDefault="009D3FB5" w14:paraId="5D381FB0"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21</w:t>
            </w:r>
          </w:p>
        </w:tc>
        <w:tc>
          <w:tcPr>
            <w:tcW w:w="2760" w:type="pct"/>
            <w:shd w:val="clear" w:color="auto" w:fill="auto"/>
            <w:vAlign w:val="center"/>
          </w:tcPr>
          <w:p w:rsidRPr="00AE1B2B" w:rsidR="009D3FB5" w:rsidP="00163B94" w:rsidRDefault="009D3FB5" w14:paraId="4D248817" w14:textId="77777777">
            <w:pPr>
              <w:spacing w:before="120" w:after="120" w:line="276" w:lineRule="auto"/>
              <w:rPr>
                <w:rFonts w:ascii="Times New Roman" w:hAnsi="Times New Roman" w:cs="Times New Roman"/>
              </w:rPr>
            </w:pPr>
            <w:r w:rsidRPr="00AE1B2B">
              <w:rPr>
                <w:rFonts w:ascii="Times New Roman" w:hAnsi="Times New Roman" w:cs="Times New Roman"/>
              </w:rPr>
              <w:t>Oficio 62-CACMFJ-JEF-2021</w:t>
            </w:r>
          </w:p>
        </w:tc>
        <w:tc>
          <w:tcPr>
            <w:tcW w:w="1143" w:type="pct"/>
            <w:shd w:val="clear" w:color="auto" w:fill="auto"/>
            <w:vAlign w:val="center"/>
          </w:tcPr>
          <w:p w:rsidRPr="00AE1B2B" w:rsidR="009D3FB5" w:rsidP="00163B94" w:rsidRDefault="009D3FB5" w14:paraId="0D85BC71"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04F6B29E">
                <v:shape id="_x0000_i1084" style="width:77.65pt;height:48.85pt" o:ole="" type="#_x0000_t75">
                  <v:imagedata o:title="" r:id="rId295"/>
                </v:shape>
                <o:OLEObject Type="Embed" ProgID="Package" ShapeID="_x0000_i1084" DrawAspect="Icon" ObjectID="_1681900510" r:id="rId296"/>
              </w:object>
            </w:r>
          </w:p>
        </w:tc>
      </w:tr>
      <w:tr w:rsidRPr="00AE1B2B" w:rsidR="00AE1B2B" w:rsidTr="009D3FB5" w14:paraId="5A6AFEBE" w14:textId="77777777">
        <w:trPr>
          <w:trHeight w:val="227"/>
          <w:tblCellSpacing w:w="1440" w:type="nil"/>
        </w:trPr>
        <w:tc>
          <w:tcPr>
            <w:tcW w:w="1097" w:type="pct"/>
            <w:shd w:val="clear" w:color="auto" w:fill="auto"/>
            <w:vAlign w:val="center"/>
          </w:tcPr>
          <w:p w:rsidRPr="00AE1B2B" w:rsidR="009D3FB5" w:rsidP="00163B94" w:rsidRDefault="009D3FB5" w14:paraId="7767721A"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22</w:t>
            </w:r>
          </w:p>
        </w:tc>
        <w:tc>
          <w:tcPr>
            <w:tcW w:w="2760" w:type="pct"/>
            <w:shd w:val="clear" w:color="auto" w:fill="auto"/>
            <w:vAlign w:val="center"/>
          </w:tcPr>
          <w:p w:rsidRPr="00AE1B2B" w:rsidR="009D3FB5" w:rsidP="00163B94" w:rsidRDefault="009D3FB5" w14:paraId="569146E1" w14:textId="77777777">
            <w:pPr>
              <w:spacing w:before="120" w:after="120" w:line="276" w:lineRule="auto"/>
              <w:rPr>
                <w:rFonts w:ascii="Times New Roman" w:hAnsi="Times New Roman" w:cs="Times New Roman"/>
              </w:rPr>
            </w:pPr>
            <w:r w:rsidRPr="00AE1B2B">
              <w:rPr>
                <w:rFonts w:ascii="Times New Roman" w:hAnsi="Times New Roman" w:cs="Times New Roman"/>
              </w:rPr>
              <w:t>Entregable 3.11 Plan de descongestionamiento 2020</w:t>
            </w:r>
          </w:p>
        </w:tc>
        <w:tc>
          <w:tcPr>
            <w:tcW w:w="1143" w:type="pct"/>
            <w:shd w:val="clear" w:color="auto" w:fill="auto"/>
            <w:vAlign w:val="center"/>
          </w:tcPr>
          <w:p w:rsidRPr="00AE1B2B" w:rsidR="009D3FB5" w:rsidP="00163B94" w:rsidRDefault="009D3FB5" w14:paraId="1E591443"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072F1A9D">
                <v:shape id="_x0000_i1085" style="width:77.65pt;height:48.85pt" o:ole="" type="#_x0000_t75">
                  <v:imagedata o:title="" r:id="rId297"/>
                </v:shape>
                <o:OLEObject Type="Embed" ProgID="Package" ShapeID="_x0000_i1085" DrawAspect="Icon" ObjectID="_1681900511" r:id="rId298"/>
              </w:object>
            </w:r>
          </w:p>
        </w:tc>
      </w:tr>
      <w:tr w:rsidRPr="00AE1B2B" w:rsidR="00AE1B2B" w:rsidTr="009D3FB5" w14:paraId="2A496333" w14:textId="77777777">
        <w:trPr>
          <w:trHeight w:val="227"/>
          <w:tblCellSpacing w:w="1440" w:type="nil"/>
        </w:trPr>
        <w:tc>
          <w:tcPr>
            <w:tcW w:w="1097" w:type="pct"/>
            <w:shd w:val="clear" w:color="auto" w:fill="auto"/>
            <w:vAlign w:val="center"/>
          </w:tcPr>
          <w:p w:rsidRPr="00AE1B2B" w:rsidR="009D3FB5" w:rsidDel="007808F2" w:rsidP="00163B94" w:rsidRDefault="009D3FB5" w14:paraId="55BBA5E6"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lastRenderedPageBreak/>
              <w:t>Anexo 23</w:t>
            </w:r>
          </w:p>
        </w:tc>
        <w:tc>
          <w:tcPr>
            <w:tcW w:w="2760" w:type="pct"/>
            <w:shd w:val="clear" w:color="auto" w:fill="auto"/>
            <w:vAlign w:val="center"/>
          </w:tcPr>
          <w:p w:rsidRPr="00AE1B2B" w:rsidR="009D3FB5" w:rsidP="00163B94" w:rsidRDefault="009D3FB5" w14:paraId="1AD85175" w14:textId="77777777">
            <w:pPr>
              <w:spacing w:before="120" w:after="120" w:line="276" w:lineRule="auto"/>
              <w:rPr>
                <w:rFonts w:ascii="Times New Roman" w:hAnsi="Times New Roman" w:cs="Times New Roman"/>
              </w:rPr>
            </w:pPr>
            <w:r w:rsidRPr="00AE1B2B">
              <w:rPr>
                <w:rFonts w:ascii="Times New Roman" w:hAnsi="Times New Roman" w:cs="Times New Roman"/>
              </w:rPr>
              <w:t>Entregable 3.13 Capacitación 2020 Escuela Judicial</w:t>
            </w:r>
          </w:p>
        </w:tc>
        <w:tc>
          <w:tcPr>
            <w:tcW w:w="1143" w:type="pct"/>
            <w:shd w:val="clear" w:color="auto" w:fill="auto"/>
            <w:vAlign w:val="center"/>
          </w:tcPr>
          <w:p w:rsidRPr="00AE1B2B" w:rsidR="009D3FB5" w:rsidP="00163B94" w:rsidRDefault="009D3FB5" w14:paraId="77B9B45E"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351CA9E4">
                <v:shape id="_x0000_i1086" style="width:77.65pt;height:48.85pt" o:ole="" type="#_x0000_t75">
                  <v:imagedata o:title="" r:id="rId299"/>
                </v:shape>
                <o:OLEObject Type="Embed" ProgID="Package" ShapeID="_x0000_i1086" DrawAspect="Icon" ObjectID="_1681900512" r:id="rId300"/>
              </w:object>
            </w:r>
          </w:p>
        </w:tc>
      </w:tr>
      <w:tr w:rsidRPr="00AE1B2B" w:rsidR="00AE1B2B" w:rsidTr="009D3FB5" w14:paraId="25401390" w14:textId="77777777">
        <w:trPr>
          <w:trHeight w:val="227"/>
          <w:tblCellSpacing w:w="1440" w:type="nil"/>
        </w:trPr>
        <w:tc>
          <w:tcPr>
            <w:tcW w:w="1097" w:type="pct"/>
            <w:shd w:val="clear" w:color="auto" w:fill="auto"/>
            <w:vAlign w:val="center"/>
          </w:tcPr>
          <w:p w:rsidRPr="00AE1B2B" w:rsidR="009D3FB5" w:rsidP="00163B94" w:rsidRDefault="009D3FB5" w14:paraId="5C6F687A"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24</w:t>
            </w:r>
          </w:p>
        </w:tc>
        <w:tc>
          <w:tcPr>
            <w:tcW w:w="2760" w:type="pct"/>
            <w:shd w:val="clear" w:color="auto" w:fill="auto"/>
            <w:vAlign w:val="center"/>
          </w:tcPr>
          <w:p w:rsidRPr="00AE1B2B" w:rsidR="009D3FB5" w:rsidP="00163B94" w:rsidRDefault="009D3FB5" w14:paraId="3907FF11" w14:textId="77777777">
            <w:pPr>
              <w:spacing w:before="120" w:after="120" w:line="276" w:lineRule="auto"/>
              <w:rPr>
                <w:rFonts w:ascii="Times New Roman" w:hAnsi="Times New Roman" w:cs="Times New Roman"/>
              </w:rPr>
            </w:pPr>
            <w:r w:rsidRPr="00AE1B2B">
              <w:rPr>
                <w:rFonts w:ascii="Times New Roman" w:hAnsi="Times New Roman" w:cs="Times New Roman"/>
              </w:rPr>
              <w:t>Oficio EJ-DIR-029-2021</w:t>
            </w:r>
          </w:p>
        </w:tc>
        <w:tc>
          <w:tcPr>
            <w:tcW w:w="1143" w:type="pct"/>
            <w:shd w:val="clear" w:color="auto" w:fill="auto"/>
            <w:vAlign w:val="center"/>
          </w:tcPr>
          <w:p w:rsidRPr="00AE1B2B" w:rsidR="009D3FB5" w:rsidP="00163B94" w:rsidRDefault="009D3FB5" w14:paraId="02D0F47D"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27AE53CA">
                <v:shape id="_x0000_i1087" style="width:77.65pt;height:48.85pt" o:ole="" type="#_x0000_t75">
                  <v:imagedata o:title="" r:id="rId301"/>
                </v:shape>
                <o:OLEObject Type="Embed" ProgID="Package" ShapeID="_x0000_i1087" DrawAspect="Icon" ObjectID="_1681900513" r:id="rId302"/>
              </w:object>
            </w:r>
          </w:p>
        </w:tc>
      </w:tr>
      <w:tr w:rsidRPr="00AE1B2B" w:rsidR="00AE1B2B" w:rsidTr="009D3FB5" w14:paraId="61359DC6" w14:textId="77777777">
        <w:trPr>
          <w:trHeight w:val="227"/>
          <w:tblCellSpacing w:w="1440" w:type="nil"/>
        </w:trPr>
        <w:tc>
          <w:tcPr>
            <w:tcW w:w="1097" w:type="pct"/>
            <w:shd w:val="clear" w:color="auto" w:fill="auto"/>
            <w:vAlign w:val="center"/>
          </w:tcPr>
          <w:p w:rsidRPr="00AE1B2B" w:rsidR="009D3FB5" w:rsidP="00163B94" w:rsidRDefault="009D3FB5" w14:paraId="263B3EFA"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25</w:t>
            </w:r>
          </w:p>
        </w:tc>
        <w:tc>
          <w:tcPr>
            <w:tcW w:w="2760" w:type="pct"/>
            <w:shd w:val="clear" w:color="auto" w:fill="auto"/>
            <w:vAlign w:val="center"/>
          </w:tcPr>
          <w:p w:rsidRPr="00AE1B2B" w:rsidR="009D3FB5" w:rsidP="00163B94" w:rsidRDefault="009D3FB5" w14:paraId="49EBC81F" w14:textId="77777777">
            <w:pPr>
              <w:spacing w:before="120" w:after="120" w:line="276" w:lineRule="auto"/>
              <w:rPr>
                <w:rFonts w:ascii="Times New Roman" w:hAnsi="Times New Roman" w:cs="Times New Roman"/>
              </w:rPr>
            </w:pPr>
            <w:r w:rsidRPr="00AE1B2B">
              <w:rPr>
                <w:rFonts w:ascii="Times New Roman" w:hAnsi="Times New Roman" w:cs="Times New Roman"/>
              </w:rPr>
              <w:t>Oficio 390-DTI-2021</w:t>
            </w:r>
          </w:p>
        </w:tc>
        <w:tc>
          <w:tcPr>
            <w:tcW w:w="1143" w:type="pct"/>
            <w:shd w:val="clear" w:color="auto" w:fill="auto"/>
            <w:vAlign w:val="center"/>
          </w:tcPr>
          <w:p w:rsidRPr="00AE1B2B" w:rsidR="009D3FB5" w:rsidP="00163B94" w:rsidRDefault="009D3FB5" w14:paraId="75693C27"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65D13C8E">
                <v:shape id="_x0000_i1088" style="width:77.65pt;height:48.85pt" o:ole="" type="#_x0000_t75">
                  <v:imagedata o:title="" r:id="rId303"/>
                </v:shape>
                <o:OLEObject Type="Embed" ProgID="Package" ShapeID="_x0000_i1088" DrawAspect="Icon" ObjectID="_1681900514" r:id="rId304"/>
              </w:object>
            </w:r>
          </w:p>
        </w:tc>
      </w:tr>
      <w:tr w:rsidRPr="00AE1B2B" w:rsidR="009D3FB5" w:rsidTr="009D3FB5" w14:paraId="71A400FC" w14:textId="77777777">
        <w:trPr>
          <w:trHeight w:val="227"/>
          <w:tblCellSpacing w:w="1440" w:type="nil"/>
        </w:trPr>
        <w:tc>
          <w:tcPr>
            <w:tcW w:w="1097" w:type="pct"/>
            <w:shd w:val="clear" w:color="auto" w:fill="auto"/>
            <w:vAlign w:val="center"/>
          </w:tcPr>
          <w:p w:rsidRPr="00AE1B2B" w:rsidR="009D3FB5" w:rsidP="00163B94" w:rsidRDefault="009D3FB5" w14:paraId="60F2ADA3"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t>Anexo 26</w:t>
            </w:r>
          </w:p>
        </w:tc>
        <w:tc>
          <w:tcPr>
            <w:tcW w:w="2760" w:type="pct"/>
            <w:shd w:val="clear" w:color="auto" w:fill="auto"/>
            <w:vAlign w:val="center"/>
          </w:tcPr>
          <w:p w:rsidRPr="00AE1B2B" w:rsidR="009D3FB5" w:rsidP="00163B94" w:rsidRDefault="009D3FB5" w14:paraId="58FC37F4" w14:textId="77777777">
            <w:pPr>
              <w:spacing w:before="120" w:after="120" w:line="276" w:lineRule="auto"/>
              <w:rPr>
                <w:rFonts w:ascii="Times New Roman" w:hAnsi="Times New Roman" w:cs="Times New Roman"/>
              </w:rPr>
            </w:pPr>
            <w:r w:rsidRPr="00AE1B2B">
              <w:rPr>
                <w:rFonts w:ascii="Times New Roman" w:hAnsi="Times New Roman" w:cs="Times New Roman"/>
              </w:rPr>
              <w:t>Minuta 2-2021 del CACMFJ</w:t>
            </w:r>
          </w:p>
        </w:tc>
        <w:tc>
          <w:tcPr>
            <w:tcW w:w="1143" w:type="pct"/>
            <w:shd w:val="clear" w:color="auto" w:fill="auto"/>
            <w:vAlign w:val="center"/>
          </w:tcPr>
          <w:p w:rsidRPr="00AE1B2B" w:rsidR="009D3FB5" w:rsidP="00163B94" w:rsidRDefault="009D3FB5" w14:paraId="5EFB8180" w14:textId="77777777">
            <w:pPr>
              <w:spacing w:before="120" w:after="120" w:line="276" w:lineRule="auto"/>
              <w:jc w:val="center"/>
              <w:rPr>
                <w:rFonts w:ascii="Times New Roman" w:hAnsi="Times New Roman" w:cs="Times New Roman"/>
              </w:rPr>
            </w:pPr>
            <w:r w:rsidRPr="00AE1B2B">
              <w:rPr>
                <w:rFonts w:ascii="Times New Roman" w:hAnsi="Times New Roman" w:cs="Times New Roman"/>
              </w:rPr>
              <w:object w:dxaOrig="1513" w:dyaOrig="984" w14:anchorId="270CFB10">
                <v:shape id="_x0000_i1089" style="width:77.65pt;height:48.85pt" o:ole="" type="#_x0000_t75">
                  <v:imagedata o:title="" r:id="rId305"/>
                </v:shape>
                <o:OLEObject Type="Embed" ProgID="Package" ShapeID="_x0000_i1089" DrawAspect="Icon" ObjectID="_1681900515" r:id="rId306"/>
              </w:object>
            </w:r>
          </w:p>
        </w:tc>
      </w:tr>
    </w:tbl>
    <w:p w:rsidRPr="00AE1B2B" w:rsidR="009D3FB5" w:rsidP="00163B94" w:rsidRDefault="009D3FB5" w14:paraId="3BC6BC8F" w14:textId="77777777">
      <w:pPr>
        <w:spacing w:before="120" w:after="120" w:line="276" w:lineRule="auto"/>
        <w:rPr>
          <w:rFonts w:ascii="Times New Roman" w:hAnsi="Times New Roman" w:cs="Times New Roman"/>
          <w:sz w:val="24"/>
          <w:szCs w:val="24"/>
        </w:rPr>
      </w:pPr>
    </w:p>
    <w:p w:rsidRPr="00AE1B2B" w:rsidR="009D3FB5" w:rsidP="00163B94" w:rsidRDefault="009D3FB5" w14:paraId="523C7AE9" w14:textId="6A156FF3">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Con este informe se atienden las referencias internas</w:t>
      </w:r>
      <w:r w:rsidRPr="00AE1B2B">
        <w:rPr>
          <w:rFonts w:ascii="Times New Roman" w:hAnsi="Times New Roman" w:cs="Times New Roman"/>
          <w:b/>
          <w:bCs/>
          <w:sz w:val="26"/>
          <w:szCs w:val="26"/>
        </w:rPr>
        <w:t xml:space="preserve"> 295-21, </w:t>
      </w:r>
      <w:r w:rsidRPr="00AE1B2B">
        <w:rPr>
          <w:rFonts w:ascii="Times New Roman" w:hAnsi="Times New Roman" w:cs="Times New Roman"/>
          <w:sz w:val="26"/>
          <w:szCs w:val="26"/>
        </w:rPr>
        <w:t>2154-2020, 53-2020,</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196-2021, 236-2021 y 240-2021.</w:t>
      </w:r>
    </w:p>
    <w:p w:rsidRPr="00AE1B2B" w:rsidR="009D3FB5" w:rsidP="00163B94" w:rsidRDefault="009D3FB5" w14:paraId="754428FD" w14:textId="77777777">
      <w:pPr>
        <w:spacing w:before="120" w:after="120" w:line="276" w:lineRule="auto"/>
        <w:rPr>
          <w:rFonts w:ascii="Times New Roman" w:hAnsi="Times New Roman" w:cs="Times New Roman"/>
          <w:sz w:val="24"/>
          <w:szCs w:val="24"/>
        </w:rPr>
      </w:pPr>
    </w:p>
    <w:p w:rsidRPr="00AE1B2B" w:rsidR="009D3FB5" w:rsidP="00163B94" w:rsidRDefault="009D3FB5" w14:paraId="52E564C6" w14:textId="77777777">
      <w:pPr>
        <w:spacing w:before="120" w:after="120" w:line="276" w:lineRule="auto"/>
        <w:rPr>
          <w:rFonts w:ascii="Times New Roman" w:hAnsi="Times New Roman" w:cs="Times New Roman"/>
          <w:sz w:val="24"/>
          <w:szCs w:val="24"/>
        </w:rPr>
      </w:pPr>
    </w:p>
    <w:tbl>
      <w:tblPr>
        <w:tblStyle w:val="Tablaconcuadrcula"/>
        <w:tblW w:w="0" w:type="auto"/>
        <w:jc w:val="center"/>
        <w:tblLook w:val="04A0" w:firstRow="1" w:lastRow="0" w:firstColumn="1" w:lastColumn="0" w:noHBand="0" w:noVBand="1"/>
      </w:tblPr>
      <w:tblGrid>
        <w:gridCol w:w="2053"/>
        <w:gridCol w:w="6775"/>
      </w:tblGrid>
      <w:tr w:rsidRPr="00AE1B2B" w:rsidR="00AE1B2B" w:rsidTr="009D3FB5" w14:paraId="42ECC3F7" w14:textId="77777777">
        <w:trPr>
          <w:trHeight w:val="697"/>
          <w:jc w:val="center"/>
        </w:trPr>
        <w:tc>
          <w:tcPr>
            <w:tcW w:w="2404" w:type="dxa"/>
            <w:vAlign w:val="center"/>
          </w:tcPr>
          <w:p w:rsidRPr="00AE1B2B" w:rsidR="009D3FB5" w:rsidP="00163B94" w:rsidRDefault="009D3FB5" w14:paraId="4557EB4D" w14:textId="77777777">
            <w:pPr>
              <w:spacing w:before="120" w:after="120" w:line="276" w:lineRule="auto"/>
              <w:rPr>
                <w:rFonts w:ascii="Times New Roman" w:hAnsi="Times New Roman" w:cs="Times New Roman"/>
                <w:sz w:val="24"/>
                <w:szCs w:val="24"/>
              </w:rPr>
            </w:pPr>
            <w:r w:rsidRPr="00AE1B2B">
              <w:rPr>
                <w:rFonts w:ascii="Times New Roman" w:hAnsi="Times New Roman" w:cs="Times New Roman"/>
                <w:sz w:val="24"/>
                <w:szCs w:val="24"/>
              </w:rPr>
              <w:t xml:space="preserve">Elaborado </w:t>
            </w:r>
          </w:p>
        </w:tc>
        <w:tc>
          <w:tcPr>
            <w:tcW w:w="9145" w:type="dxa"/>
            <w:vAlign w:val="center"/>
          </w:tcPr>
          <w:p w:rsidRPr="00AE1B2B" w:rsidR="009D3FB5" w:rsidP="00163B94" w:rsidRDefault="009D3FB5" w14:paraId="58EACDFA" w14:textId="77777777">
            <w:pPr>
              <w:spacing w:before="120" w:after="120" w:line="276" w:lineRule="auto"/>
              <w:rPr>
                <w:rFonts w:ascii="Times New Roman" w:hAnsi="Times New Roman" w:cs="Times New Roman"/>
                <w:sz w:val="24"/>
                <w:szCs w:val="24"/>
              </w:rPr>
            </w:pPr>
            <w:r w:rsidRPr="00AE1B2B">
              <w:rPr>
                <w:rFonts w:ascii="Times New Roman" w:hAnsi="Times New Roman" w:cs="Times New Roman"/>
                <w:sz w:val="24"/>
                <w:szCs w:val="24"/>
              </w:rPr>
              <w:t>Licda. Melissa Durán Gamboa, Profesional 2 del Subproceso de Modernización Institucional</w:t>
            </w:r>
          </w:p>
        </w:tc>
      </w:tr>
      <w:tr w:rsidRPr="00AE1B2B" w:rsidR="00AE1B2B" w:rsidTr="009D3FB5" w14:paraId="49FC647E" w14:textId="77777777">
        <w:trPr>
          <w:trHeight w:val="697"/>
          <w:jc w:val="center"/>
        </w:trPr>
        <w:tc>
          <w:tcPr>
            <w:tcW w:w="2404" w:type="dxa"/>
            <w:vAlign w:val="center"/>
          </w:tcPr>
          <w:p w:rsidRPr="00AE1B2B" w:rsidR="009D3FB5" w:rsidP="00163B94" w:rsidRDefault="009D3FB5" w14:paraId="1026B3E6" w14:textId="77777777">
            <w:pPr>
              <w:spacing w:before="120" w:after="120" w:line="276" w:lineRule="auto"/>
              <w:rPr>
                <w:rFonts w:ascii="Times New Roman" w:hAnsi="Times New Roman" w:cs="Times New Roman"/>
                <w:sz w:val="24"/>
                <w:szCs w:val="24"/>
              </w:rPr>
            </w:pPr>
            <w:r w:rsidRPr="00AE1B2B">
              <w:rPr>
                <w:rFonts w:ascii="Times New Roman" w:hAnsi="Times New Roman" w:cs="Times New Roman"/>
                <w:sz w:val="24"/>
                <w:szCs w:val="24"/>
              </w:rPr>
              <w:t xml:space="preserve">Revisado </w:t>
            </w:r>
          </w:p>
        </w:tc>
        <w:tc>
          <w:tcPr>
            <w:tcW w:w="9145" w:type="dxa"/>
            <w:vAlign w:val="center"/>
          </w:tcPr>
          <w:p w:rsidRPr="00AE1B2B" w:rsidR="009D3FB5" w:rsidP="00163B94" w:rsidRDefault="009D3FB5" w14:paraId="37D037E0" w14:textId="77777777">
            <w:pPr>
              <w:spacing w:before="120" w:after="120" w:line="276" w:lineRule="auto"/>
              <w:rPr>
                <w:rFonts w:ascii="Times New Roman" w:hAnsi="Times New Roman" w:cs="Times New Roman"/>
                <w:sz w:val="24"/>
                <w:szCs w:val="24"/>
              </w:rPr>
            </w:pPr>
            <w:r w:rsidRPr="00AE1B2B">
              <w:rPr>
                <w:rFonts w:ascii="Times New Roman" w:hAnsi="Times New Roman" w:cs="Times New Roman"/>
                <w:sz w:val="24"/>
                <w:szCs w:val="24"/>
              </w:rPr>
              <w:t>Ing. Jorge Fernando Rodríguez Salazar, Jefe a.í del Subproceso de Modernización Institucional</w:t>
            </w:r>
          </w:p>
        </w:tc>
      </w:tr>
      <w:tr w:rsidRPr="00AE1B2B" w:rsidR="00AE1B2B" w:rsidTr="009D3FB5" w14:paraId="7F6FFE28" w14:textId="77777777">
        <w:trPr>
          <w:trHeight w:val="697"/>
          <w:jc w:val="center"/>
        </w:trPr>
        <w:tc>
          <w:tcPr>
            <w:tcW w:w="2404" w:type="dxa"/>
            <w:vAlign w:val="center"/>
          </w:tcPr>
          <w:p w:rsidRPr="00AE1B2B" w:rsidR="009D3FB5" w:rsidP="00163B94" w:rsidRDefault="009D3FB5" w14:paraId="72A800A0" w14:textId="77777777">
            <w:pPr>
              <w:spacing w:before="120" w:after="120" w:line="276" w:lineRule="auto"/>
              <w:rPr>
                <w:rFonts w:ascii="Times New Roman" w:hAnsi="Times New Roman" w:cs="Times New Roman"/>
                <w:sz w:val="24"/>
                <w:szCs w:val="24"/>
              </w:rPr>
            </w:pPr>
            <w:r w:rsidRPr="00AE1B2B">
              <w:rPr>
                <w:rFonts w:ascii="Times New Roman" w:hAnsi="Times New Roman" w:cs="Times New Roman"/>
                <w:sz w:val="24"/>
                <w:szCs w:val="24"/>
              </w:rPr>
              <w:t>Aprobado</w:t>
            </w:r>
          </w:p>
        </w:tc>
        <w:tc>
          <w:tcPr>
            <w:tcW w:w="9145" w:type="dxa"/>
            <w:vAlign w:val="center"/>
          </w:tcPr>
          <w:p w:rsidRPr="00AE1B2B" w:rsidR="009D3FB5" w:rsidP="00163B94" w:rsidRDefault="009D3FB5" w14:paraId="322CE593" w14:textId="77777777">
            <w:pPr>
              <w:spacing w:before="120" w:after="120" w:line="276" w:lineRule="auto"/>
              <w:rPr>
                <w:rFonts w:ascii="Times New Roman" w:hAnsi="Times New Roman" w:cs="Times New Roman"/>
                <w:sz w:val="24"/>
                <w:szCs w:val="24"/>
              </w:rPr>
            </w:pPr>
            <w:bookmarkStart w:name="_Hlk55401263" w:id="96"/>
            <w:r w:rsidRPr="00AE1B2B">
              <w:rPr>
                <w:rFonts w:ascii="Times New Roman" w:hAnsi="Times New Roman" w:cs="Times New Roman"/>
                <w:sz w:val="24"/>
                <w:szCs w:val="24"/>
              </w:rPr>
              <w:t xml:space="preserve">Ing. </w:t>
            </w:r>
            <w:bookmarkEnd w:id="96"/>
            <w:r w:rsidRPr="00AE1B2B">
              <w:rPr>
                <w:rFonts w:ascii="Times New Roman" w:hAnsi="Times New Roman" w:cs="Times New Roman"/>
                <w:sz w:val="24"/>
                <w:szCs w:val="24"/>
              </w:rPr>
              <w:t>Dixon Li Morales, Jefe a.i del Proceso de Ejecución de las Operaciones</w:t>
            </w:r>
          </w:p>
        </w:tc>
      </w:tr>
      <w:tr w:rsidRPr="00AE1B2B" w:rsidR="009D3FB5" w:rsidTr="009D3FB5" w14:paraId="5ED9D036" w14:textId="77777777">
        <w:trPr>
          <w:trHeight w:val="342"/>
          <w:jc w:val="center"/>
        </w:trPr>
        <w:tc>
          <w:tcPr>
            <w:tcW w:w="2404" w:type="dxa"/>
            <w:vAlign w:val="center"/>
          </w:tcPr>
          <w:p w:rsidRPr="00AE1B2B" w:rsidR="009D3FB5" w:rsidP="00163B94" w:rsidRDefault="009D3FB5" w14:paraId="067648DC" w14:textId="77777777">
            <w:pPr>
              <w:spacing w:before="120" w:after="120" w:line="276" w:lineRule="auto"/>
              <w:rPr>
                <w:rFonts w:ascii="Times New Roman" w:hAnsi="Times New Roman" w:cs="Times New Roman"/>
                <w:sz w:val="24"/>
                <w:szCs w:val="24"/>
              </w:rPr>
            </w:pPr>
            <w:r w:rsidRPr="00AE1B2B">
              <w:rPr>
                <w:rFonts w:ascii="Times New Roman" w:hAnsi="Times New Roman" w:cs="Times New Roman"/>
                <w:sz w:val="24"/>
                <w:szCs w:val="24"/>
              </w:rPr>
              <w:t xml:space="preserve">Autorizado </w:t>
            </w:r>
          </w:p>
        </w:tc>
        <w:tc>
          <w:tcPr>
            <w:tcW w:w="9145" w:type="dxa"/>
            <w:vAlign w:val="center"/>
          </w:tcPr>
          <w:p w:rsidRPr="00AE1B2B" w:rsidR="009D3FB5" w:rsidP="00163B94" w:rsidRDefault="009D3FB5" w14:paraId="02D5CB02" w14:textId="77777777">
            <w:pPr>
              <w:spacing w:before="120" w:after="120" w:line="276" w:lineRule="auto"/>
              <w:rPr>
                <w:rFonts w:ascii="Times New Roman" w:hAnsi="Times New Roman" w:cs="Times New Roman"/>
                <w:sz w:val="24"/>
                <w:szCs w:val="24"/>
              </w:rPr>
            </w:pPr>
            <w:r w:rsidRPr="00AE1B2B">
              <w:rPr>
                <w:rFonts w:ascii="Times New Roman" w:hAnsi="Times New Roman" w:cs="Times New Roman"/>
                <w:sz w:val="24"/>
                <w:szCs w:val="24"/>
              </w:rPr>
              <w:t>Licda. Nacira Valverde Bermúdez, Directora a.i de Planificación</w:t>
            </w:r>
          </w:p>
        </w:tc>
      </w:tr>
    </w:tbl>
    <w:p w:rsidRPr="00AE1B2B" w:rsidR="009D3FB5" w:rsidP="00163B94" w:rsidRDefault="009D3FB5" w14:paraId="65158235" w14:textId="77777777">
      <w:pPr>
        <w:spacing w:before="120" w:after="120" w:line="276" w:lineRule="auto"/>
        <w:rPr>
          <w:rFonts w:ascii="Times New Roman" w:hAnsi="Times New Roman" w:cs="Times New Roman"/>
          <w:b/>
          <w:bCs/>
          <w:sz w:val="24"/>
          <w:szCs w:val="24"/>
        </w:rPr>
      </w:pPr>
    </w:p>
    <w:p w:rsidRPr="00AE1B2B" w:rsidR="009D3FB5" w:rsidP="00163B94" w:rsidRDefault="009D3FB5" w14:paraId="05310CE4" w14:textId="77777777">
      <w:pPr>
        <w:spacing w:before="120" w:after="120"/>
        <w:rPr>
          <w:rFonts w:ascii="Times New Roman" w:hAnsi="Times New Roman" w:eastAsia="Times New Roman" w:cs="Times New Roman"/>
          <w:kern w:val="36"/>
        </w:rPr>
      </w:pPr>
    </w:p>
    <w:p w:rsidRPr="00AE1B2B" w:rsidR="000458B6" w:rsidP="00163B94" w:rsidRDefault="000458B6" w14:paraId="19DF2221" w14:textId="77777777">
      <w:pPr>
        <w:spacing w:before="120" w:after="120" w:line="480" w:lineRule="auto"/>
        <w:jc w:val="center"/>
        <w:rPr>
          <w:rFonts w:ascii="Times New Roman" w:hAnsi="Times New Roman"/>
          <w:bCs/>
          <w:sz w:val="28"/>
          <w:szCs w:val="28"/>
          <w:lang w:val="es-ES"/>
        </w:rPr>
      </w:pPr>
      <w:r w:rsidRPr="00AE1B2B">
        <w:rPr>
          <w:rFonts w:ascii="Times New Roman" w:hAnsi="Times New Roman"/>
          <w:bCs/>
          <w:spacing w:val="2"/>
          <w:sz w:val="28"/>
          <w:szCs w:val="28"/>
          <w:lang w:val="es-ES"/>
        </w:rPr>
        <w:t>- 0 -</w:t>
      </w:r>
    </w:p>
    <w:p w:rsidRPr="00AE1B2B" w:rsidR="009D3FB5" w:rsidP="00163B94" w:rsidRDefault="009D3FB5" w14:paraId="23567A7F" w14:textId="384C6903">
      <w:pPr>
        <w:spacing w:before="120" w:after="120" w:line="480" w:lineRule="auto"/>
        <w:ind w:firstLine="709"/>
        <w:jc w:val="both"/>
        <w:rPr>
          <w:rFonts w:ascii="Times New Roman" w:hAnsi="Times New Roman" w:cs="Times New Roman"/>
          <w:sz w:val="28"/>
          <w:szCs w:val="28"/>
        </w:rPr>
      </w:pPr>
      <w:r w:rsidRPr="00AE1B2B">
        <w:rPr>
          <w:rFonts w:ascii="Times New Roman" w:hAnsi="Times New Roman" w:cs="Times New Roman"/>
          <w:b/>
          <w:bCs/>
          <w:sz w:val="28"/>
          <w:szCs w:val="28"/>
        </w:rPr>
        <w:lastRenderedPageBreak/>
        <w:t>Se acordó</w:t>
      </w:r>
      <w:r w:rsidRPr="00AE1B2B">
        <w:rPr>
          <w:rFonts w:ascii="Times New Roman" w:hAnsi="Times New Roman" w:cs="Times New Roman"/>
          <w:sz w:val="28"/>
          <w:szCs w:val="28"/>
        </w:rPr>
        <w:t xml:space="preserve">: </w:t>
      </w:r>
      <w:r w:rsidRPr="00AE1B2B">
        <w:rPr>
          <w:rFonts w:ascii="Times New Roman" w:hAnsi="Times New Roman" w:cs="Times New Roman"/>
          <w:b/>
          <w:bCs/>
          <w:sz w:val="28"/>
          <w:szCs w:val="28"/>
        </w:rPr>
        <w:t>1)</w:t>
      </w:r>
      <w:r w:rsidRPr="00AE1B2B">
        <w:rPr>
          <w:rFonts w:ascii="Times New Roman" w:hAnsi="Times New Roman" w:cs="Times New Roman"/>
          <w:sz w:val="28"/>
          <w:szCs w:val="28"/>
        </w:rPr>
        <w:t xml:space="preserve"> Aprobar el Informe 389-PLA-RH-MI-2021, estudio de Requerimiento Humano sobre el Impacto organizacional y presupuestario en el Poder Judicial a partir de la promulgación del Código Procesal de Familia para el 2022 y sus recomendaciones.</w:t>
      </w:r>
      <w:r w:rsidRPr="00AE1B2B" w:rsidR="00BB7720">
        <w:rPr>
          <w:rFonts w:ascii="Times New Roman" w:hAnsi="Times New Roman" w:cs="Times New Roman"/>
          <w:sz w:val="28"/>
          <w:szCs w:val="28"/>
        </w:rPr>
        <w:t xml:space="preserve"> </w:t>
      </w:r>
      <w:r w:rsidRPr="00AE1B2B">
        <w:rPr>
          <w:rFonts w:ascii="Times New Roman" w:hAnsi="Times New Roman" w:cs="Times New Roman"/>
          <w:b/>
          <w:bCs/>
          <w:sz w:val="28"/>
          <w:szCs w:val="28"/>
        </w:rPr>
        <w:t>2)</w:t>
      </w:r>
      <w:r w:rsidRPr="00AE1B2B">
        <w:rPr>
          <w:rFonts w:ascii="Times New Roman" w:hAnsi="Times New Roman" w:cs="Times New Roman"/>
          <w:sz w:val="28"/>
          <w:szCs w:val="28"/>
        </w:rPr>
        <w:t xml:space="preserve"> El contenido económico requerido se remitirá de forma independiente al presupuesto ordinario ya que responde a una necesidad producto de una ley especial.</w:t>
      </w:r>
      <w:r w:rsidRPr="00AE1B2B" w:rsidR="00BB7720">
        <w:rPr>
          <w:rFonts w:ascii="Times New Roman" w:hAnsi="Times New Roman" w:cs="Times New Roman"/>
          <w:sz w:val="28"/>
          <w:szCs w:val="28"/>
        </w:rPr>
        <w:t xml:space="preserve"> </w:t>
      </w:r>
      <w:r w:rsidRPr="00AE1B2B" w:rsidR="00163B94">
        <w:rPr>
          <w:rFonts w:ascii="Times New Roman" w:hAnsi="Times New Roman" w:cs="Times New Roman"/>
          <w:b/>
          <w:bCs/>
          <w:sz w:val="28"/>
          <w:szCs w:val="28"/>
        </w:rPr>
        <w:t>Se declara acuerdo firme</w:t>
      </w:r>
      <w:r w:rsidRPr="00AE1B2B" w:rsidR="00163B94">
        <w:rPr>
          <w:rFonts w:ascii="Times New Roman" w:hAnsi="Times New Roman" w:cs="Times New Roman"/>
          <w:sz w:val="28"/>
          <w:szCs w:val="28"/>
        </w:rPr>
        <w:t>.</w:t>
      </w:r>
    </w:p>
    <w:p w:rsidRPr="00AE1B2B" w:rsidR="009D3FB5" w:rsidP="00163B94" w:rsidRDefault="009D3FB5" w14:paraId="2140937F" w14:textId="77777777">
      <w:pPr>
        <w:pStyle w:val="Ttulo1"/>
        <w:spacing w:before="120" w:after="120" w:line="360" w:lineRule="auto"/>
        <w:jc w:val="center"/>
        <w:rPr>
          <w:rFonts w:ascii="Times New Roman" w:hAnsi="Times New Roman" w:eastAsia="Times New Roman" w:cs="Times New Roman"/>
          <w:b/>
          <w:bCs/>
          <w:kern w:val="36"/>
          <w:u w:val="single"/>
        </w:rPr>
      </w:pPr>
      <w:r w:rsidRPr="00AE1B2B">
        <w:rPr>
          <w:rFonts w:ascii="Times New Roman" w:hAnsi="Times New Roman" w:eastAsia="Times New Roman" w:cs="Times New Roman"/>
          <w:b/>
          <w:bCs/>
          <w:kern w:val="36"/>
          <w:sz w:val="32"/>
          <w:szCs w:val="32"/>
          <w:u w:val="single"/>
        </w:rPr>
        <w:t>ARTÍCULO XXI</w:t>
      </w:r>
    </w:p>
    <w:p w:rsidRPr="00AE1B2B" w:rsidR="00580F94" w:rsidP="00163B94" w:rsidRDefault="00580F94" w14:paraId="4F3B272E" w14:textId="0AE1FF29">
      <w:pPr>
        <w:spacing w:before="120" w:after="120"/>
        <w:rPr>
          <w:rFonts w:ascii="Times New Roman" w:hAnsi="Times New Roman" w:eastAsia="Times New Roman" w:cs="Times New Roman"/>
          <w:b/>
          <w:bCs/>
          <w:kern w:val="36"/>
          <w:sz w:val="28"/>
          <w:szCs w:val="28"/>
          <w:lang w:eastAsia="es-ES"/>
        </w:rPr>
      </w:pPr>
      <w:r w:rsidRPr="00AE1B2B">
        <w:rPr>
          <w:rFonts w:ascii="Times New Roman" w:hAnsi="Times New Roman" w:eastAsia="Times New Roman" w:cs="Times New Roman"/>
          <w:b/>
          <w:bCs/>
          <w:kern w:val="36"/>
          <w:sz w:val="28"/>
          <w:szCs w:val="28"/>
          <w:lang w:eastAsia="es-ES"/>
        </w:rPr>
        <w:t>Documento</w:t>
      </w:r>
      <w:r w:rsidRPr="00AE1B2B" w:rsidR="00163B94">
        <w:rPr>
          <w:rFonts w:ascii="Times New Roman" w:hAnsi="Times New Roman" w:eastAsia="Times New Roman" w:cs="Times New Roman"/>
          <w:b/>
          <w:bCs/>
          <w:kern w:val="36"/>
          <w:sz w:val="28"/>
          <w:szCs w:val="28"/>
          <w:lang w:eastAsia="es-ES"/>
        </w:rPr>
        <w:t xml:space="preserve"> N°</w:t>
      </w:r>
      <w:r w:rsidRPr="00AE1B2B">
        <w:rPr>
          <w:rFonts w:ascii="Times New Roman" w:hAnsi="Times New Roman" w:eastAsia="Times New Roman" w:cs="Times New Roman"/>
          <w:b/>
          <w:bCs/>
          <w:kern w:val="36"/>
          <w:sz w:val="28"/>
          <w:szCs w:val="28"/>
          <w:lang w:eastAsia="es-ES"/>
        </w:rPr>
        <w:t xml:space="preserve"> </w:t>
      </w:r>
      <w:r w:rsidRPr="00AE1B2B" w:rsidR="003527C8">
        <w:rPr>
          <w:rFonts w:ascii="Times New Roman" w:hAnsi="Times New Roman" w:eastAsia="Times New Roman" w:cs="Times New Roman"/>
          <w:b/>
          <w:bCs/>
          <w:kern w:val="36"/>
          <w:sz w:val="28"/>
          <w:szCs w:val="28"/>
          <w:lang w:eastAsia="es-ES"/>
        </w:rPr>
        <w:t>3971-2021</w:t>
      </w:r>
    </w:p>
    <w:p w:rsidRPr="00AE1B2B" w:rsidR="00163B94" w:rsidP="00163B94" w:rsidRDefault="00163B94" w14:paraId="4968C86F" w14:textId="77777777">
      <w:pPr>
        <w:spacing w:before="120" w:after="120"/>
        <w:rPr>
          <w:rFonts w:ascii="Times New Roman" w:hAnsi="Times New Roman" w:cs="Times New Roman"/>
          <w:b/>
          <w:bCs/>
          <w:sz w:val="28"/>
          <w:szCs w:val="28"/>
        </w:rPr>
      </w:pPr>
    </w:p>
    <w:p w:rsidRPr="00AE1B2B" w:rsidR="009D3FB5" w:rsidP="00163B94" w:rsidRDefault="009D3FB5" w14:paraId="20B05252" w14:textId="77A97438">
      <w:pPr>
        <w:spacing w:before="120" w:after="120" w:line="480" w:lineRule="auto"/>
        <w:ind w:firstLine="709"/>
        <w:jc w:val="both"/>
        <w:rPr>
          <w:rFonts w:ascii="Times New Roman" w:hAnsi="Times New Roman" w:cs="Times New Roman"/>
          <w:sz w:val="28"/>
          <w:szCs w:val="28"/>
        </w:rPr>
      </w:pPr>
      <w:r w:rsidRPr="00AE1B2B">
        <w:rPr>
          <w:rFonts w:ascii="Times New Roman" w:hAnsi="Times New Roman" w:cs="Times New Roman"/>
          <w:sz w:val="28"/>
          <w:szCs w:val="28"/>
        </w:rPr>
        <w:t>En reunión de trabajo de este 16 de abril, la licenciada Nacira Valverde Bermúdez,</w:t>
      </w:r>
      <w:r w:rsidRPr="00AE1B2B">
        <w:rPr>
          <w:rFonts w:ascii="Times New Roman" w:hAnsi="Times New Roman" w:cs="Times New Roman"/>
          <w:sz w:val="28"/>
          <w:szCs w:val="28"/>
          <w:shd w:val="clear" w:color="auto" w:fill="FFFFFF"/>
        </w:rPr>
        <w:t xml:space="preserve"> </w:t>
      </w:r>
      <w:r w:rsidRPr="00AE1B2B">
        <w:rPr>
          <w:rFonts w:ascii="Times New Roman" w:hAnsi="Times New Roman" w:cs="Times New Roman"/>
          <w:sz w:val="28"/>
          <w:szCs w:val="28"/>
        </w:rPr>
        <w:t>Directora de Planificación presentó el Informe 390-PLA-RH-MI-2021, relacionado con los antecedentes y situación actual respecto a las plazas de Custodias y Custodios de personas detenidas.</w:t>
      </w:r>
    </w:p>
    <w:p w:rsidRPr="00AE1B2B" w:rsidR="009D3FB5" w:rsidP="00163B94" w:rsidRDefault="009D3FB5" w14:paraId="2752E0D1" w14:textId="77777777">
      <w:pPr>
        <w:spacing w:before="120" w:after="120" w:line="360" w:lineRule="auto"/>
        <w:jc w:val="both"/>
        <w:rPr>
          <w:rFonts w:ascii="Times New Roman" w:hAnsi="Times New Roman" w:eastAsia="Times New Roman" w:cs="Times New Roman"/>
          <w:b/>
          <w:bCs/>
          <w:kern w:val="36"/>
          <w:sz w:val="28"/>
          <w:szCs w:val="28"/>
          <w:u w:val="single"/>
          <w:lang w:eastAsia="es-ES"/>
        </w:rPr>
      </w:pPr>
    </w:p>
    <w:p w:rsidRPr="00AE1B2B" w:rsidR="009D3FB5" w:rsidP="00163B94" w:rsidRDefault="009D3FB5" w14:paraId="31878147" w14:textId="77777777">
      <w:pPr>
        <w:spacing w:before="120" w:after="120"/>
        <w:ind w:left="851" w:right="851" w:firstLine="709"/>
        <w:jc w:val="both"/>
        <w:rPr>
          <w:rFonts w:ascii="Times New Roman" w:hAnsi="Times New Roman" w:cs="Times New Roman"/>
          <w:i/>
          <w:iCs/>
          <w:snapToGrid w:val="0"/>
          <w:sz w:val="26"/>
          <w:szCs w:val="26"/>
        </w:rPr>
      </w:pPr>
      <w:r w:rsidRPr="00AE1B2B">
        <w:rPr>
          <w:rFonts w:ascii="Times New Roman" w:hAnsi="Times New Roman" w:cs="Times New Roman"/>
          <w:i/>
          <w:iCs/>
          <w:snapToGrid w:val="0"/>
          <w:sz w:val="26"/>
          <w:szCs w:val="26"/>
        </w:rPr>
        <w:t>“(…)</w:t>
      </w:r>
    </w:p>
    <w:p w:rsidRPr="00AE1B2B" w:rsidR="009D3FB5" w:rsidP="00163B94" w:rsidRDefault="009D3FB5" w14:paraId="367741FB"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En atención al oficio 9979-2020 del 29 de octubre de 2020 donde se transcribe el acuerdo tomado por Consejo Superior en sesión 97-2020 del 8 de octubre del 2020, artículo XLIX, sobre el oficio 1490-PLA-MI-2020 del 23 de septiembre de 2020, relacionado con el resumen de los antecedentes y situación actual respecto a las plazas de Custodias y Custodios de personas detenidas para analizar el movimiento de estas plazas, se remitió el informe suscrito por la Inga. Elena Gabriela Picado González, Jefa a.i. en su momento del Subproceso de Modernización Institucional, relacionado con lo acordado en esa sesión, sea: </w:t>
      </w:r>
    </w:p>
    <w:p w:rsidRPr="00AE1B2B" w:rsidR="009D3FB5" w:rsidP="00163B94" w:rsidRDefault="009D3FB5" w14:paraId="182B1513"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47D43A0A" w14:textId="6E4311CD">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b/>
          <w:bCs/>
          <w:i/>
          <w:iCs/>
          <w:sz w:val="26"/>
          <w:szCs w:val="26"/>
        </w:rPr>
        <w:lastRenderedPageBreak/>
        <w:t>“</w:t>
      </w:r>
      <w:r w:rsidRPr="00AE1B2B">
        <w:rPr>
          <w:rFonts w:ascii="Times New Roman" w:hAnsi="Times New Roman" w:eastAsia="Calibri" w:cs="Times New Roman"/>
          <w:b/>
          <w:i/>
          <w:iCs/>
          <w:sz w:val="26"/>
          <w:szCs w:val="26"/>
          <w:lang w:val="es-419"/>
        </w:rPr>
        <w:t>1)</w:t>
      </w:r>
      <w:r w:rsidRPr="00AE1B2B">
        <w:rPr>
          <w:rFonts w:ascii="Times New Roman" w:hAnsi="Times New Roman" w:eastAsia="Calibri" w:cs="Times New Roman"/>
          <w:i/>
          <w:iCs/>
          <w:sz w:val="26"/>
          <w:szCs w:val="26"/>
          <w:lang w:val="es-419"/>
        </w:rPr>
        <w:t xml:space="preserve"> Tener por rendido el informe</w:t>
      </w:r>
      <w:r w:rsidRPr="00AE1B2B">
        <w:rPr>
          <w:rFonts w:ascii="Times New Roman" w:hAnsi="Times New Roman" w:eastAsia="Calibri" w:cs="Times New Roman"/>
          <w:bCs/>
          <w:i/>
          <w:iCs/>
          <w:sz w:val="26"/>
          <w:szCs w:val="26"/>
          <w:lang w:val="es-419"/>
        </w:rPr>
        <w:t xml:space="preserve"> N° </w:t>
      </w:r>
      <w:r w:rsidRPr="00AE1B2B">
        <w:rPr>
          <w:rFonts w:ascii="Times New Roman" w:hAnsi="Times New Roman" w:eastAsia="Calibri" w:cs="Times New Roman"/>
          <w:i/>
          <w:iCs/>
          <w:sz w:val="26"/>
          <w:szCs w:val="26"/>
          <w:lang w:val="es-419"/>
        </w:rPr>
        <w:t xml:space="preserve">1490-PLA-MI-2020 de la Dirección de Planificación, relacionado con “el resumen de los antecedentes y situación actual respecto a las plazas de Custodias y Custodios de personas detenidas para analizar su movimiento.” </w:t>
      </w:r>
      <w:r w:rsidRPr="00AE1B2B">
        <w:rPr>
          <w:rFonts w:ascii="Times New Roman" w:hAnsi="Times New Roman" w:eastAsia="Calibri" w:cs="Times New Roman"/>
          <w:b/>
          <w:i/>
          <w:iCs/>
          <w:sz w:val="26"/>
          <w:szCs w:val="26"/>
          <w:lang w:val="es-419"/>
        </w:rPr>
        <w:t>2)</w:t>
      </w:r>
      <w:r w:rsidRPr="00AE1B2B">
        <w:rPr>
          <w:rFonts w:ascii="Times New Roman" w:hAnsi="Times New Roman" w:eastAsia="Calibri" w:cs="Times New Roman"/>
          <w:i/>
          <w:iCs/>
          <w:sz w:val="26"/>
          <w:szCs w:val="26"/>
          <w:lang w:val="es-419"/>
        </w:rPr>
        <w:t xml:space="preserve"> Tomar nota de los elementos conclusivos a los que se arribó en este informe, entre las más importantes se encuentran: </w:t>
      </w:r>
      <w:r w:rsidRPr="00AE1B2B">
        <w:rPr>
          <w:rFonts w:ascii="Times New Roman" w:hAnsi="Times New Roman" w:eastAsia="Calibri" w:cs="Times New Roman"/>
          <w:b/>
          <w:i/>
          <w:iCs/>
          <w:sz w:val="26"/>
          <w:szCs w:val="26"/>
          <w:lang w:val="es-419"/>
        </w:rPr>
        <w:t>a)</w:t>
      </w:r>
      <w:r w:rsidRPr="00AE1B2B">
        <w:rPr>
          <w:rFonts w:ascii="Times New Roman" w:hAnsi="Times New Roman" w:eastAsia="Calibri" w:cs="Times New Roman"/>
          <w:i/>
          <w:iCs/>
          <w:sz w:val="26"/>
          <w:szCs w:val="26"/>
          <w:lang w:val="es-419"/>
        </w:rPr>
        <w:t xml:space="preserve"> El Organismo de Investigación Judicial, cuenta con un total de 436 plazas de personas custodias, distribuidas en 27 unidades de cárceles y dos secciones de cárceles (Secciones del Primer y Segundo Circuito Judicial de San José). </w:t>
      </w:r>
      <w:r w:rsidRPr="00AE1B2B">
        <w:rPr>
          <w:rFonts w:ascii="Times New Roman" w:hAnsi="Times New Roman" w:eastAsia="Calibri" w:cs="Times New Roman"/>
          <w:b/>
          <w:i/>
          <w:iCs/>
          <w:sz w:val="26"/>
          <w:szCs w:val="26"/>
          <w:lang w:val="es-419"/>
        </w:rPr>
        <w:t>b)</w:t>
      </w:r>
      <w:r w:rsidRPr="00AE1B2B">
        <w:rPr>
          <w:rFonts w:ascii="Times New Roman" w:hAnsi="Times New Roman" w:eastAsia="Calibri" w:cs="Times New Roman"/>
          <w:i/>
          <w:iCs/>
          <w:sz w:val="26"/>
          <w:szCs w:val="26"/>
          <w:lang w:val="es-419"/>
        </w:rPr>
        <w:t xml:space="preserve"> Producto de los planes de descongestionamiento implementados por el “Proyecto de Mejora Integral del proceso Penal”, en los Tribunales Penales identificados como críticos del país, este Consejo aprobó 18 plazas de personas Custodias para el 2020, para que conformaran equipos de trabajo en conjunto con los Tribunales Penales, Ministerio Público y Defensa Pública, para garantizar la efectiva realización de los juicios y audiencias y lograr una disminución de circulante de causas pendientes de juicio. Este plan se ha afectado producto de la pandemia del COVIT-19, ante la cual en sesión 30-2020 celebrada el 31 de marzo de 2020, artículo XLI,</w:t>
      </w:r>
      <w:r w:rsidRPr="00AE1B2B" w:rsidR="00BB7720">
        <w:rPr>
          <w:rFonts w:ascii="Times New Roman" w:hAnsi="Times New Roman" w:eastAsia="Calibri" w:cs="Times New Roman"/>
          <w:i/>
          <w:iCs/>
          <w:sz w:val="26"/>
          <w:szCs w:val="26"/>
          <w:lang w:val="es-419"/>
        </w:rPr>
        <w:t xml:space="preserve"> </w:t>
      </w:r>
      <w:r w:rsidRPr="00AE1B2B">
        <w:rPr>
          <w:rFonts w:ascii="Times New Roman" w:hAnsi="Times New Roman" w:eastAsia="Calibri" w:cs="Times New Roman"/>
          <w:i/>
          <w:iCs/>
          <w:sz w:val="26"/>
          <w:szCs w:val="26"/>
          <w:lang w:val="es-419"/>
        </w:rPr>
        <w:t xml:space="preserve">se aprobó un escenario en el cual se otorgan permisos con goce de salario solamente en aquellas oficinas de Tribunales Penales que no tienen la estructura mínima para poder hacer juicios colegiados destacados en la zona para atender casos de personas privadas de libertad, como es el caso de Quepos, Sarapiquí, Siquirres, Turrialba y Santa Cruz; por lo que actualmente se cuenta con ocho plazas con permiso con goce salarial de personas Custodias de Detenidos para cubrir los lugares indicados. </w:t>
      </w:r>
      <w:r w:rsidRPr="00AE1B2B">
        <w:rPr>
          <w:rFonts w:ascii="Times New Roman" w:hAnsi="Times New Roman" w:eastAsia="Calibri" w:cs="Times New Roman"/>
          <w:b/>
          <w:i/>
          <w:iCs/>
          <w:sz w:val="26"/>
          <w:szCs w:val="26"/>
          <w:lang w:val="es-419"/>
        </w:rPr>
        <w:t>c)</w:t>
      </w:r>
      <w:r w:rsidRPr="00AE1B2B">
        <w:rPr>
          <w:rFonts w:ascii="Times New Roman" w:hAnsi="Times New Roman" w:eastAsia="Calibri" w:cs="Times New Roman"/>
          <w:i/>
          <w:iCs/>
          <w:sz w:val="26"/>
          <w:szCs w:val="26"/>
          <w:lang w:val="es-419"/>
        </w:rPr>
        <w:t xml:space="preserve"> La Unidad de Cárceles de Heredia, proyecta una demanda de 17 custodios por día para el 2020, uno menos del que mantuvo por día durante el año 2019, sin embargo, la carga de trabajo actual se asume con cuatro plazas menos, al no continuar el plan de descongestionamiento en Tribunales Penales en el Circuito de Heredia, es decir, se pasa de 24 a 20 plazas, por lo que al considerar la distribución de las plazas en los diferentes roles de trabajo, esta Unidad no estaría en la capacidad operacional para asumir la proyección de la demanda para el año 2020, en condiciones normales. </w:t>
      </w:r>
      <w:r w:rsidRPr="00AE1B2B">
        <w:rPr>
          <w:rFonts w:ascii="Times New Roman" w:hAnsi="Times New Roman" w:eastAsia="Calibri" w:cs="Times New Roman"/>
          <w:b/>
          <w:i/>
          <w:iCs/>
          <w:sz w:val="26"/>
          <w:szCs w:val="26"/>
          <w:lang w:val="es-419"/>
        </w:rPr>
        <w:t>d)</w:t>
      </w:r>
      <w:r w:rsidRPr="00AE1B2B">
        <w:rPr>
          <w:rFonts w:ascii="Times New Roman" w:hAnsi="Times New Roman" w:eastAsia="Calibri" w:cs="Times New Roman"/>
          <w:i/>
          <w:iCs/>
          <w:sz w:val="26"/>
          <w:szCs w:val="26"/>
          <w:lang w:val="es-419"/>
        </w:rPr>
        <w:t xml:space="preserve"> Las Unidades de Cárceles de Limón, Puntarenas, Liberia, Quepos, Cañas, Garabito y Cóbano, de acuerdo con la proyección de la demanda que generarían los despachos judiciales de cada localidad en el año 2020 y de acuerdo con la cantidad de personal custodio con que cuentan, estarían en la capacidad operativa de asumir la carga de trabajo. </w:t>
      </w:r>
      <w:r w:rsidRPr="00AE1B2B">
        <w:rPr>
          <w:rFonts w:ascii="Times New Roman" w:hAnsi="Times New Roman" w:eastAsia="Calibri" w:cs="Times New Roman"/>
          <w:b/>
          <w:i/>
          <w:iCs/>
          <w:sz w:val="26"/>
          <w:szCs w:val="26"/>
          <w:lang w:val="es-419"/>
        </w:rPr>
        <w:t>e)</w:t>
      </w:r>
      <w:r w:rsidRPr="00AE1B2B">
        <w:rPr>
          <w:rFonts w:ascii="Times New Roman" w:hAnsi="Times New Roman" w:eastAsia="Calibri" w:cs="Times New Roman"/>
          <w:i/>
          <w:iCs/>
          <w:sz w:val="26"/>
          <w:szCs w:val="26"/>
          <w:lang w:val="es-419"/>
        </w:rPr>
        <w:t xml:space="preserve"> Las Unidades de Cárceles de Bribri y Bataán cuentan con dos plazas para atender </w:t>
      </w:r>
      <w:r w:rsidRPr="00AE1B2B">
        <w:rPr>
          <w:rFonts w:ascii="Times New Roman" w:hAnsi="Times New Roman" w:eastAsia="Calibri" w:cs="Times New Roman"/>
          <w:i/>
          <w:iCs/>
          <w:sz w:val="26"/>
          <w:szCs w:val="26"/>
          <w:lang w:val="es-419"/>
        </w:rPr>
        <w:lastRenderedPageBreak/>
        <w:t xml:space="preserve">los ingresos de personas detenidas y prácticas judiciales, por lo que se visualiza la necesidad de que al menos se cuente con una plaza más de persona detenida en cada Unidad de Cárceles. </w:t>
      </w:r>
      <w:r w:rsidRPr="00AE1B2B">
        <w:rPr>
          <w:rFonts w:ascii="Times New Roman" w:hAnsi="Times New Roman" w:eastAsia="Calibri" w:cs="Times New Roman"/>
          <w:b/>
          <w:i/>
          <w:iCs/>
          <w:sz w:val="26"/>
          <w:szCs w:val="26"/>
          <w:lang w:val="es-419"/>
        </w:rPr>
        <w:t>f)</w:t>
      </w:r>
      <w:r w:rsidRPr="00AE1B2B">
        <w:rPr>
          <w:rFonts w:ascii="Times New Roman" w:hAnsi="Times New Roman" w:eastAsia="Calibri" w:cs="Times New Roman"/>
          <w:i/>
          <w:iCs/>
          <w:sz w:val="26"/>
          <w:szCs w:val="26"/>
          <w:lang w:val="es-419"/>
        </w:rPr>
        <w:t xml:space="preserve"> Las Unidades de Cárceles de La Unión y Osa, solo cuenta con dos plazas de personas custodias, en el caso de la zona de La Unión es la Subdelegación que cuenta con la menor cantidad de plazas de personal custodio con respecto a todas las demás Subdelegaciones y que, por ende, es importante que como parte del “Proyecto de Mejora Integral del Proceso Penal” se analicen las cargas de trabajo que permitan identificar si es requerido fortalecer la estructura de la Unidad de Cárceles de La Unión, de igual forma, para las Unidades de Cárceles de Osa y Puriscal. </w:t>
      </w:r>
      <w:r w:rsidRPr="00AE1B2B">
        <w:rPr>
          <w:rFonts w:ascii="Times New Roman" w:hAnsi="Times New Roman" w:eastAsia="Calibri" w:cs="Times New Roman"/>
          <w:b/>
          <w:i/>
          <w:iCs/>
          <w:sz w:val="26"/>
          <w:szCs w:val="26"/>
          <w:lang w:val="es-419"/>
        </w:rPr>
        <w:t>g)</w:t>
      </w:r>
      <w:r w:rsidRPr="00AE1B2B">
        <w:rPr>
          <w:rFonts w:ascii="Times New Roman" w:hAnsi="Times New Roman" w:eastAsia="Calibri" w:cs="Times New Roman"/>
          <w:i/>
          <w:iCs/>
          <w:sz w:val="26"/>
          <w:szCs w:val="26"/>
          <w:lang w:val="es-419"/>
        </w:rPr>
        <w:t xml:space="preserve"> A marzo del 2020, existen 63 plazas del personal Custodio de Detenidos que se encuentran pendientes de completar el curso de armas y defensa (representa un 14,45% del total de plazas de personas custodias), según la información recibida por las oficinas del Organismo de Investigación Judicial, esto impide que este personal pueda salir a realizar traslados de personas privadas de libertad, por lo que reduce la capacidad operacional de las Unidades de Cárceles, por tanto, esto es un tema critico de reforzar. </w:t>
      </w:r>
      <w:r w:rsidRPr="00AE1B2B">
        <w:rPr>
          <w:rFonts w:ascii="Times New Roman" w:hAnsi="Times New Roman" w:eastAsia="Calibri" w:cs="Times New Roman"/>
          <w:b/>
          <w:i/>
          <w:iCs/>
          <w:sz w:val="26"/>
          <w:szCs w:val="26"/>
          <w:lang w:val="es-419"/>
        </w:rPr>
        <w:t>h)</w:t>
      </w:r>
      <w:r w:rsidRPr="00AE1B2B">
        <w:rPr>
          <w:rFonts w:ascii="Times New Roman" w:hAnsi="Times New Roman" w:eastAsia="Calibri" w:cs="Times New Roman"/>
          <w:i/>
          <w:iCs/>
          <w:sz w:val="26"/>
          <w:szCs w:val="26"/>
          <w:lang w:val="es-419"/>
        </w:rPr>
        <w:t xml:space="preserve"> Durante el 2019, un total de 807 personas en puestos ordinarios de Custodias o Custodios de Detenidos, disfrutaron en diferentes momentos del año, de un total de 13355 días de vacaciones e incapacidades (sin contar incapacidades por maternidad), y solamente se dieron sustituciones en 8105 días de los anteriormente indicados, es decir que solamente el 61% de las ocasiones donde se dieron vacaciones o incapacidades, se pudo realizar una sustitución; lo anterior según indican las propias Unidades de Cárceles hasta el día abordadas por el Proyecto de Mejora Integral del Proceso Penal, se debe a la naturaleza de estos puestos, los cuales requieren de una serie de requisitos indispensables y que aún en la actualidad, existe personal interino de custodios de detenidos, que no puede ejercer de manera total e integral sus funciones por tener pendiente la aprobación de los cursos de armas y defensa personal. </w:t>
      </w:r>
      <w:r w:rsidRPr="00AE1B2B">
        <w:rPr>
          <w:rFonts w:ascii="Times New Roman" w:hAnsi="Times New Roman" w:eastAsia="Calibri" w:cs="Times New Roman"/>
          <w:b/>
          <w:i/>
          <w:iCs/>
          <w:sz w:val="26"/>
          <w:szCs w:val="26"/>
          <w:lang w:val="es-419"/>
        </w:rPr>
        <w:t>i)</w:t>
      </w:r>
      <w:r w:rsidRPr="00AE1B2B">
        <w:rPr>
          <w:rFonts w:ascii="Times New Roman" w:hAnsi="Times New Roman" w:eastAsia="Calibri" w:cs="Times New Roman"/>
          <w:i/>
          <w:iCs/>
          <w:sz w:val="26"/>
          <w:szCs w:val="26"/>
          <w:lang w:val="es-419"/>
        </w:rPr>
        <w:t xml:space="preserve"> Se ha solicitado en dos ocasiones recalificar plazas de Custodia o Custodio de Personas Detenidas a otros puestos para que asuman otras funciones; lo que resta capacidad operativa a las Secciones de Cárceles del I y II Circuito Judicial de San José a las que pertenecían dichas plazas. </w:t>
      </w:r>
      <w:r w:rsidRPr="00AE1B2B">
        <w:rPr>
          <w:rFonts w:ascii="Times New Roman" w:hAnsi="Times New Roman" w:eastAsia="Calibri" w:cs="Times New Roman"/>
          <w:b/>
          <w:i/>
          <w:iCs/>
          <w:sz w:val="26"/>
          <w:szCs w:val="26"/>
          <w:lang w:val="es-419"/>
        </w:rPr>
        <w:t>j)</w:t>
      </w:r>
      <w:r w:rsidRPr="00AE1B2B">
        <w:rPr>
          <w:rFonts w:ascii="Times New Roman" w:hAnsi="Times New Roman" w:eastAsia="Calibri" w:cs="Times New Roman"/>
          <w:i/>
          <w:iCs/>
          <w:sz w:val="26"/>
          <w:szCs w:val="26"/>
          <w:lang w:val="es-419"/>
        </w:rPr>
        <w:t xml:space="preserve"> Ante la alta demanda y necesidades de mejora de las diferentes oficinas encargadas de custodiar personas detenidas a lo largo y ancho del territorio nacional, mediante estudio y como resultado del Proyecto de Mejora Integral del Proceso Penal, se recomendó y</w:t>
      </w:r>
      <w:r w:rsidRPr="00AE1B2B" w:rsidR="00BB7720">
        <w:rPr>
          <w:rFonts w:ascii="Times New Roman" w:hAnsi="Times New Roman" w:eastAsia="Calibri" w:cs="Times New Roman"/>
          <w:i/>
          <w:iCs/>
          <w:sz w:val="26"/>
          <w:szCs w:val="26"/>
          <w:lang w:val="es-419"/>
        </w:rPr>
        <w:t xml:space="preserve"> </w:t>
      </w:r>
      <w:r w:rsidRPr="00AE1B2B">
        <w:rPr>
          <w:rFonts w:ascii="Times New Roman" w:hAnsi="Times New Roman" w:eastAsia="Calibri" w:cs="Times New Roman"/>
          <w:i/>
          <w:iCs/>
          <w:sz w:val="26"/>
          <w:szCs w:val="26"/>
          <w:lang w:val="es-419"/>
        </w:rPr>
        <w:t xml:space="preserve">aprobó por este Consejo el otorgamiento de permisos con goce de </w:t>
      </w:r>
      <w:r w:rsidRPr="00AE1B2B">
        <w:rPr>
          <w:rFonts w:ascii="Times New Roman" w:hAnsi="Times New Roman" w:eastAsia="Calibri" w:cs="Times New Roman"/>
          <w:i/>
          <w:iCs/>
          <w:sz w:val="26"/>
          <w:szCs w:val="26"/>
          <w:lang w:val="es-419"/>
        </w:rPr>
        <w:lastRenderedPageBreak/>
        <w:t xml:space="preserve">salario (14 para el 2018, 26 para el 2019 y 18 para el 2020, al día de hoy afectados por la pandemia del COVID-19, se mantienen ocho permisos con goce de salario de personas Custodias o Custodios de detenidas como se indicó. </w:t>
      </w:r>
      <w:r w:rsidRPr="00AE1B2B">
        <w:rPr>
          <w:rFonts w:ascii="Times New Roman" w:hAnsi="Times New Roman" w:eastAsia="Calibri" w:cs="Times New Roman"/>
          <w:b/>
          <w:i/>
          <w:iCs/>
          <w:sz w:val="26"/>
          <w:szCs w:val="26"/>
          <w:lang w:val="es-419"/>
        </w:rPr>
        <w:t>k)</w:t>
      </w:r>
      <w:r w:rsidRPr="00AE1B2B">
        <w:rPr>
          <w:rFonts w:ascii="Times New Roman" w:hAnsi="Times New Roman" w:eastAsia="Calibri" w:cs="Times New Roman"/>
          <w:i/>
          <w:iCs/>
          <w:sz w:val="26"/>
          <w:szCs w:val="26"/>
          <w:lang w:val="es-419"/>
        </w:rPr>
        <w:t xml:space="preserve"> La Unidad Regional de Atenas, cuenta con el apoyo de la Unidad de Cárceles de Alajuela para realizar las custodias cuando se programen audiencias en el Juzgado Penal de Atenas, localidad en la que existe Juzgado Penal y oficinas del Ministerio Público y la Defensa Pública, además de contar con celdas para el resguardo de personas detenidas, por lo cual, se recomienda valorar la dotación de una estructura mínima de personal custodio para la atención de asuntos de esta zona, así como los provenientes de Orotina, esto debido a que en el caso de la Unidad Regional de Orotina no cuenta con celdas para personas detenidas, contemplado además que , toda persona detenida en Orotina es atendida en la zona de Atenas que es donde se encuentra el Ministerio Público y el Juzgado Penal que tienen la competencia territorial. </w:t>
      </w:r>
      <w:r w:rsidRPr="00AE1B2B">
        <w:rPr>
          <w:rFonts w:ascii="Times New Roman" w:hAnsi="Times New Roman" w:eastAsia="Calibri" w:cs="Times New Roman"/>
          <w:b/>
          <w:i/>
          <w:iCs/>
          <w:sz w:val="26"/>
          <w:szCs w:val="26"/>
          <w:lang w:val="es-419"/>
        </w:rPr>
        <w:t>l)</w:t>
      </w:r>
      <w:r w:rsidRPr="00AE1B2B">
        <w:rPr>
          <w:rFonts w:ascii="Times New Roman" w:hAnsi="Times New Roman" w:eastAsia="Calibri" w:cs="Times New Roman"/>
          <w:i/>
          <w:iCs/>
          <w:sz w:val="26"/>
          <w:szCs w:val="26"/>
          <w:lang w:val="es-419"/>
        </w:rPr>
        <w:t xml:space="preserve"> La Unidad Regional de Buenos Aires cuenta con una plaza de persona custodia, lo que ocasiona que cuando se requiere un traslado de personas detenidas, deba recurrir a la colaboración de un investigador, lo cual evidencia la necesidad de una plaza de persona custodia de detenida para poder cumplir con el protocolo de seguridad que implican las custodias. </w:t>
      </w:r>
      <w:r w:rsidRPr="00AE1B2B">
        <w:rPr>
          <w:rFonts w:ascii="Times New Roman" w:hAnsi="Times New Roman" w:eastAsia="Calibri" w:cs="Times New Roman"/>
          <w:b/>
          <w:i/>
          <w:iCs/>
          <w:sz w:val="26"/>
          <w:szCs w:val="26"/>
          <w:lang w:val="es-419"/>
        </w:rPr>
        <w:t>m)</w:t>
      </w:r>
      <w:r w:rsidRPr="00AE1B2B">
        <w:rPr>
          <w:rFonts w:ascii="Times New Roman" w:hAnsi="Times New Roman" w:eastAsia="Calibri" w:cs="Times New Roman"/>
          <w:i/>
          <w:iCs/>
          <w:sz w:val="26"/>
          <w:szCs w:val="26"/>
          <w:lang w:val="es-419"/>
        </w:rPr>
        <w:t xml:space="preserve"> El Tribunal Penal de Corredores y el Tribunal Penal de Golfito están integrados por cuatro Juezas o Jueces y tres personas juzgadoras respectivamente, donde se estima que con las 10 plazas de custodios de detenidos asignadas a las Unidad de Cárceles de Corredores se puede asumir la carga de trabajo, sin embargo, por las distancias en que se ubican los Centros de Atención Integral donde se encuentran las personas privadas de libertad y tomando en consideración que la Delegación de Corredores debe atender los traslados y custodias de personas detenidas para cinco localidades de la región sur, a saber: Puerto Jiménez, Ciudad Cortés, Golfito, Coto Brus y Corredores; resulta necesaria la dotación de mayor personal para poder cubrir adecuadamente la demanda que se presenta debida a los altos tiempos de traslado. </w:t>
      </w:r>
      <w:r w:rsidRPr="00AE1B2B">
        <w:rPr>
          <w:rFonts w:ascii="Times New Roman" w:hAnsi="Times New Roman" w:eastAsia="Calibri" w:cs="Times New Roman"/>
          <w:b/>
          <w:i/>
          <w:iCs/>
          <w:sz w:val="26"/>
          <w:szCs w:val="26"/>
          <w:lang w:val="es-419"/>
        </w:rPr>
        <w:t>n)</w:t>
      </w:r>
      <w:r w:rsidRPr="00AE1B2B">
        <w:rPr>
          <w:rFonts w:ascii="Times New Roman" w:hAnsi="Times New Roman" w:eastAsia="Calibri" w:cs="Times New Roman"/>
          <w:i/>
          <w:iCs/>
          <w:sz w:val="26"/>
          <w:szCs w:val="26"/>
          <w:lang w:val="es-419"/>
        </w:rPr>
        <w:t xml:space="preserve"> Con respecto a los estudios de cargas de trabajo de las Unidades de Cárceles que no están contempladas en este informe, entre estas la solicitud realizada en oficio 2543-2020 de la Secretaría General de la Corte para la creación de una Unidad de Cárceles en la zona de Los Chiles, se indica que la Unidad Regional de Los Chiles dispone de celdas para personas detenidas, así como también en la localidad hay oficinas del Juzgado Penal, el Ministerio Público y la Defensa Pública, por lo que se recomienda valorar la dotación de una estructura mínima de personal custodio </w:t>
      </w:r>
      <w:r w:rsidRPr="00AE1B2B">
        <w:rPr>
          <w:rFonts w:ascii="Times New Roman" w:hAnsi="Times New Roman" w:eastAsia="Calibri" w:cs="Times New Roman"/>
          <w:i/>
          <w:iCs/>
          <w:sz w:val="26"/>
          <w:szCs w:val="26"/>
          <w:lang w:val="es-419"/>
        </w:rPr>
        <w:lastRenderedPageBreak/>
        <w:t xml:space="preserve">para la atención de asuntos de esta zona. Además, según cronograma del Proyecto de Mejora Integral del Proceso Penal, se realizará un abordaje integral de la Oficina, que permita analizar los datos y la carga de trabajo que está demandando la zona de Los Chiles. </w:t>
      </w:r>
      <w:r w:rsidRPr="00AE1B2B">
        <w:rPr>
          <w:rFonts w:ascii="Times New Roman" w:hAnsi="Times New Roman" w:eastAsia="Calibri" w:cs="Times New Roman"/>
          <w:b/>
          <w:i/>
          <w:iCs/>
          <w:sz w:val="26"/>
          <w:szCs w:val="26"/>
          <w:lang w:val="es-419"/>
        </w:rPr>
        <w:t xml:space="preserve">3) </w:t>
      </w:r>
      <w:r w:rsidRPr="00AE1B2B">
        <w:rPr>
          <w:rFonts w:ascii="Times New Roman" w:hAnsi="Times New Roman" w:eastAsia="Calibri" w:cs="Times New Roman"/>
          <w:i/>
          <w:iCs/>
          <w:sz w:val="26"/>
          <w:szCs w:val="26"/>
          <w:lang w:val="es-419"/>
        </w:rPr>
        <w:t>Este Consejo avala las recomendaciones técnicas referentes a la necesidad de recurso humano que se extraen de este informe, sin embargo, las limitaciones presupuestarias institucionales actuales, impiden que se pueda dotar dentro de las estructuras de trabajo en (la Delegación Regional de Heredia, Delegación Regional del Organismo de Investigación Judicial de Corredores, Oficina Regional del Organismo de Investigación Judicial de Bribrí, Oficina Regional del Organismo de Investigación Judicial de Bataán, Oficina Regional del Organismo de Investigación Judicial de Puriscal, Unidad Regional del Organismo de Investigación Judicial de Los Chiles, Unidad Regional del Organismo de Investigación Judicial de Buenos Aires y Unidad Regional del Organismo de Investigación Judicial de Atenas) las plazas de personas custodias de detenidos sugeridas por la Dirección de Planificación en este informe.</w:t>
      </w:r>
      <w:r w:rsidRPr="00AE1B2B">
        <w:rPr>
          <w:rFonts w:ascii="Times New Roman" w:hAnsi="Times New Roman" w:eastAsia="Calibri" w:cs="Times New Roman"/>
          <w:bCs/>
          <w:i/>
          <w:iCs/>
          <w:sz w:val="26"/>
          <w:szCs w:val="26"/>
          <w:lang w:val="es-419"/>
        </w:rPr>
        <w:t xml:space="preserve"> </w:t>
      </w:r>
      <w:r w:rsidRPr="00AE1B2B">
        <w:rPr>
          <w:rFonts w:ascii="Times New Roman" w:hAnsi="Times New Roman" w:eastAsia="Calibri" w:cs="Times New Roman"/>
          <w:b/>
          <w:bCs/>
          <w:i/>
          <w:iCs/>
          <w:sz w:val="26"/>
          <w:szCs w:val="26"/>
          <w:lang w:val="es-419"/>
        </w:rPr>
        <w:t>b)</w:t>
      </w:r>
      <w:r w:rsidRPr="00AE1B2B">
        <w:rPr>
          <w:rFonts w:ascii="Times New Roman" w:hAnsi="Times New Roman" w:eastAsia="Calibri" w:cs="Times New Roman"/>
          <w:bCs/>
          <w:i/>
          <w:iCs/>
          <w:sz w:val="26"/>
          <w:szCs w:val="26"/>
          <w:lang w:val="es-419"/>
        </w:rPr>
        <w:t xml:space="preserve"> En atención a la solicitud comunicada en oficio 2543-20 de la Secretaría General de la Corte, sobre la creación de una Unidad de Cárceles y la atención 24/7 en la zona de Los Chiles, la Dirección de Planificación analizará según el cronograma de abordaje, de forma que estos estudios permitan identificar si se requiere fortalecer la estructura de las Unidades de Cárceles del país pendientes de abordar al momento del presente estudio, tomando en consideración variables cualitativas y cuantitativas. Es así como, en el caso de la Unidad Regional de Los Chiles, será al momento del abordaje cuando se pueda realizar el estudio de cargas de trabajo y el análisis de </w:t>
      </w:r>
      <w:bookmarkStart w:name="_Hlk46409400" w:id="97"/>
      <w:r w:rsidRPr="00AE1B2B">
        <w:rPr>
          <w:rFonts w:ascii="Times New Roman" w:hAnsi="Times New Roman" w:eastAsia="Calibri" w:cs="Times New Roman"/>
          <w:bCs/>
          <w:i/>
          <w:iCs/>
          <w:sz w:val="26"/>
          <w:szCs w:val="26"/>
          <w:lang w:val="es-419"/>
        </w:rPr>
        <w:t xml:space="preserve">ampliación de cobertura 24/7, para valorar la necesidad de dotación de mayor cantidad </w:t>
      </w:r>
      <w:bookmarkEnd w:id="97"/>
      <w:r w:rsidRPr="00AE1B2B">
        <w:rPr>
          <w:rFonts w:ascii="Times New Roman" w:hAnsi="Times New Roman" w:eastAsia="Calibri" w:cs="Times New Roman"/>
          <w:bCs/>
          <w:i/>
          <w:iCs/>
          <w:sz w:val="26"/>
          <w:szCs w:val="26"/>
          <w:lang w:val="es-419"/>
        </w:rPr>
        <w:t xml:space="preserve">de personal custodio bajo el análisis integral y comparativo con el Modelo de Atención del Organismo de Investigación Judicial, aprobado por el Consejo Superior, en sesión 27-2020 celebrada el 24 de marzo de 2020, artículo LXIX. </w:t>
      </w:r>
      <w:r w:rsidRPr="00AE1B2B">
        <w:rPr>
          <w:rFonts w:ascii="Times New Roman" w:hAnsi="Times New Roman" w:eastAsia="Calibri" w:cs="Times New Roman"/>
          <w:b/>
          <w:bCs/>
          <w:i/>
          <w:iCs/>
          <w:sz w:val="26"/>
          <w:szCs w:val="26"/>
          <w:lang w:val="es-419"/>
        </w:rPr>
        <w:t>c)</w:t>
      </w:r>
      <w:r w:rsidRPr="00AE1B2B">
        <w:rPr>
          <w:rFonts w:ascii="Times New Roman" w:hAnsi="Times New Roman" w:eastAsia="Calibri" w:cs="Times New Roman"/>
          <w:bCs/>
          <w:i/>
          <w:iCs/>
          <w:sz w:val="26"/>
          <w:szCs w:val="26"/>
          <w:lang w:val="es-419"/>
        </w:rPr>
        <w:t xml:space="preserve"> La</w:t>
      </w:r>
      <w:r w:rsidRPr="00AE1B2B">
        <w:rPr>
          <w:rFonts w:ascii="Times New Roman" w:hAnsi="Times New Roman" w:eastAsia="Calibri" w:cs="Times New Roman"/>
          <w:i/>
          <w:iCs/>
          <w:sz w:val="26"/>
          <w:szCs w:val="26"/>
          <w:lang w:val="es-419"/>
        </w:rPr>
        <w:t xml:space="preserve"> Comisión de la Jurisdicción Penal y Presidencia de la Corte Suprema de Justicia coordinarán las acciones pertinentes con el Ministerio de Justicia y Paz, en cuanto al ingreso de las personas privadas de libertad de asuntos complejos o con máxima seguridad, en centros penales cercanos a las jurisdicciones que están realizando audiencias y se encuentran en zonas alejadas a los centros penales donde de forma oficial están recluidos estos privados de libertad. También se recomienda en el eventual caso de que una persona detenida cuente con varias causas, analizar bajo un criterio de mayoría sobre competencia territorial de las causas, para </w:t>
      </w:r>
      <w:r w:rsidRPr="00AE1B2B">
        <w:rPr>
          <w:rFonts w:ascii="Times New Roman" w:hAnsi="Times New Roman" w:eastAsia="Calibri" w:cs="Times New Roman"/>
          <w:i/>
          <w:iCs/>
          <w:sz w:val="26"/>
          <w:szCs w:val="26"/>
          <w:lang w:val="es-419"/>
        </w:rPr>
        <w:lastRenderedPageBreak/>
        <w:t xml:space="preserve">determinar el Centro Penal al cual se le debe trasladar definitivamente. </w:t>
      </w:r>
      <w:r w:rsidRPr="00AE1B2B">
        <w:rPr>
          <w:rFonts w:ascii="Times New Roman" w:hAnsi="Times New Roman" w:eastAsia="Calibri" w:cs="Times New Roman"/>
          <w:b/>
          <w:i/>
          <w:iCs/>
          <w:sz w:val="26"/>
          <w:szCs w:val="26"/>
          <w:lang w:val="es-419"/>
        </w:rPr>
        <w:t>d)</w:t>
      </w:r>
      <w:r w:rsidRPr="00AE1B2B">
        <w:rPr>
          <w:rFonts w:ascii="Times New Roman" w:hAnsi="Times New Roman" w:eastAsia="Calibri" w:cs="Times New Roman"/>
          <w:i/>
          <w:iCs/>
          <w:sz w:val="26"/>
          <w:szCs w:val="26"/>
          <w:lang w:val="es-419"/>
        </w:rPr>
        <w:t xml:space="preserve"> La Comisión de la Jurisdicción Penal valorará</w:t>
      </w:r>
      <w:r w:rsidRPr="00AE1B2B">
        <w:rPr>
          <w:rFonts w:ascii="Times New Roman" w:hAnsi="Times New Roman" w:eastAsia="Calibri" w:cs="Times New Roman"/>
          <w:b/>
          <w:i/>
          <w:iCs/>
          <w:sz w:val="26"/>
          <w:szCs w:val="26"/>
          <w:lang w:val="es-419"/>
        </w:rPr>
        <w:t xml:space="preserve"> </w:t>
      </w:r>
      <w:r w:rsidRPr="00AE1B2B">
        <w:rPr>
          <w:rFonts w:ascii="Times New Roman" w:hAnsi="Times New Roman" w:eastAsia="Calibri" w:cs="Times New Roman"/>
          <w:i/>
          <w:iCs/>
          <w:sz w:val="26"/>
          <w:szCs w:val="26"/>
          <w:lang w:val="es-419"/>
        </w:rPr>
        <w:t>la divulgación e implementación de las consideraciones</w:t>
      </w:r>
      <w:r w:rsidRPr="00AE1B2B">
        <w:rPr>
          <w:rFonts w:ascii="Times New Roman" w:hAnsi="Times New Roman" w:eastAsia="Calibri" w:cs="Times New Roman"/>
          <w:b/>
          <w:bCs/>
          <w:i/>
          <w:iCs/>
          <w:sz w:val="26"/>
          <w:szCs w:val="26"/>
          <w:lang w:val="es-419"/>
        </w:rPr>
        <w:t xml:space="preserve"> </w:t>
      </w:r>
      <w:r w:rsidRPr="00AE1B2B">
        <w:rPr>
          <w:rFonts w:ascii="Times New Roman" w:hAnsi="Times New Roman" w:eastAsia="Calibri" w:cs="Times New Roman"/>
          <w:bCs/>
          <w:i/>
          <w:iCs/>
          <w:sz w:val="26"/>
          <w:szCs w:val="26"/>
          <w:lang w:val="es-419"/>
        </w:rPr>
        <w:t>esgrimidas en la recomendación 10.3 de este informe</w:t>
      </w:r>
      <w:r w:rsidRPr="00AE1B2B">
        <w:rPr>
          <w:rFonts w:ascii="Times New Roman" w:hAnsi="Times New Roman" w:eastAsia="Calibri" w:cs="Times New Roman"/>
          <w:i/>
          <w:iCs/>
          <w:sz w:val="26"/>
          <w:szCs w:val="26"/>
          <w:lang w:val="es-419"/>
        </w:rPr>
        <w:t xml:space="preserve"> a las autoridades judiciales, cuando se requiera realizar un señalamiento para una práctica judicial con persona detenida, con la finalidad de que las Unidades de Cárceles brinden un mejor servicio a cada uno de los despachos judiciales. </w:t>
      </w:r>
      <w:r w:rsidRPr="00AE1B2B">
        <w:rPr>
          <w:rFonts w:ascii="Times New Roman" w:hAnsi="Times New Roman" w:eastAsia="Calibri" w:cs="Times New Roman"/>
          <w:b/>
          <w:i/>
          <w:iCs/>
          <w:sz w:val="26"/>
          <w:szCs w:val="26"/>
          <w:lang w:val="es-419"/>
        </w:rPr>
        <w:t>e)</w:t>
      </w:r>
      <w:r w:rsidRPr="00AE1B2B">
        <w:rPr>
          <w:rFonts w:ascii="Times New Roman" w:hAnsi="Times New Roman" w:eastAsia="Calibri" w:cs="Times New Roman"/>
          <w:i/>
          <w:iCs/>
          <w:sz w:val="26"/>
          <w:szCs w:val="26"/>
          <w:lang w:val="es-419"/>
        </w:rPr>
        <w:t xml:space="preserve"> El Ministerio Público deberá: </w:t>
      </w:r>
      <w:r w:rsidRPr="00AE1B2B">
        <w:rPr>
          <w:rFonts w:ascii="Times New Roman" w:hAnsi="Times New Roman" w:eastAsia="Calibri" w:cs="Times New Roman"/>
          <w:b/>
          <w:i/>
          <w:iCs/>
          <w:sz w:val="26"/>
          <w:szCs w:val="26"/>
          <w:lang w:val="es-419"/>
        </w:rPr>
        <w:t>e.1)</w:t>
      </w:r>
      <w:r w:rsidRPr="00AE1B2B">
        <w:rPr>
          <w:rFonts w:ascii="Times New Roman" w:hAnsi="Times New Roman" w:eastAsia="Calibri" w:cs="Times New Roman"/>
          <w:i/>
          <w:iCs/>
          <w:sz w:val="26"/>
          <w:szCs w:val="26"/>
          <w:lang w:val="es-419"/>
        </w:rPr>
        <w:t xml:space="preserve">Valorar cuales diligencias con persona privada de libertad y recluida en un Centro de Atención Institucional, se pueden realizar mediante el uso de medios digitales como la videoconferencia, videollamada (Teams) u otros, lo anterior con la finalidad de hacer un uso más efectivo del personal y servicios que brindan las Unidades de Cárceles. </w:t>
      </w:r>
      <w:r w:rsidRPr="00AE1B2B">
        <w:rPr>
          <w:rFonts w:ascii="Times New Roman" w:hAnsi="Times New Roman" w:eastAsia="Calibri" w:cs="Times New Roman"/>
          <w:b/>
          <w:i/>
          <w:iCs/>
          <w:sz w:val="26"/>
          <w:szCs w:val="26"/>
          <w:lang w:val="es-419"/>
        </w:rPr>
        <w:t>e.2)</w:t>
      </w:r>
      <w:r w:rsidRPr="00AE1B2B">
        <w:rPr>
          <w:rFonts w:ascii="Times New Roman" w:hAnsi="Times New Roman" w:eastAsia="Calibri" w:cs="Times New Roman"/>
          <w:i/>
          <w:iCs/>
          <w:sz w:val="26"/>
          <w:szCs w:val="26"/>
          <w:lang w:val="es-419"/>
        </w:rPr>
        <w:t xml:space="preserve"> Valorar, tomando en consideración el recurso humano con que cuentan las Unidades de Cárceles del país que, cuando una persona detenida sea presentada por la Policía Administrativa (municipal, fiscal, fuerza pública o PCD), se brinde en la medida de lo posible, prioridad para toma de los datos y la indagatoria, y con esto aprovechar la presencia de la Policía Administrativa, de esta manera, se reducen los tiempos de atención de la persona detenida, se maximiza el recurso de la Policía Administrativa y se optimiza la utilización del talento humano de las Unidades de Cárceles. </w:t>
      </w:r>
      <w:r w:rsidRPr="00AE1B2B">
        <w:rPr>
          <w:rFonts w:ascii="Times New Roman" w:hAnsi="Times New Roman" w:eastAsia="Calibri" w:cs="Times New Roman"/>
          <w:b/>
          <w:i/>
          <w:iCs/>
          <w:sz w:val="26"/>
          <w:szCs w:val="26"/>
          <w:lang w:val="es-419"/>
        </w:rPr>
        <w:t>f)</w:t>
      </w:r>
      <w:r w:rsidRPr="00AE1B2B">
        <w:rPr>
          <w:rFonts w:ascii="Times New Roman" w:hAnsi="Times New Roman" w:eastAsia="Calibri" w:cs="Times New Roman"/>
          <w:i/>
          <w:iCs/>
          <w:sz w:val="26"/>
          <w:szCs w:val="26"/>
          <w:lang w:val="es-419"/>
        </w:rPr>
        <w:t xml:space="preserve"> La Escuela Judicial y Unidad de Capacitación del OIJ deberá: </w:t>
      </w:r>
      <w:r w:rsidRPr="00AE1B2B">
        <w:rPr>
          <w:rFonts w:ascii="Times New Roman" w:hAnsi="Times New Roman" w:eastAsia="Calibri" w:cs="Times New Roman"/>
          <w:b/>
          <w:i/>
          <w:iCs/>
          <w:sz w:val="26"/>
          <w:szCs w:val="26"/>
          <w:lang w:val="es-419"/>
        </w:rPr>
        <w:t>f.1)</w:t>
      </w:r>
      <w:r w:rsidRPr="00AE1B2B">
        <w:rPr>
          <w:rFonts w:ascii="Times New Roman" w:hAnsi="Times New Roman" w:eastAsia="Calibri" w:cs="Times New Roman"/>
          <w:i/>
          <w:iCs/>
          <w:sz w:val="26"/>
          <w:szCs w:val="26"/>
          <w:lang w:val="es-419"/>
        </w:rPr>
        <w:t xml:space="preserve"> Valorar la programación de los cursos de armas y defensa personal requeridos, de manera que el personal Custodio de Detenidos pendiente de realizar el curso de portación de armas y defensa esté capacitado a la brevedad posible y pueda sumarse a la capacidad operativa de las Unidades de Cárceles en labores como el traslado de personas detenidas, para las que el curso señalado resulta indispensable, ya que este punto resulta de necesidad urgente para el Organismo de Investigación Judicial. </w:t>
      </w:r>
      <w:r w:rsidRPr="00AE1B2B">
        <w:rPr>
          <w:rFonts w:ascii="Times New Roman" w:hAnsi="Times New Roman" w:eastAsia="Calibri" w:cs="Times New Roman"/>
          <w:b/>
          <w:i/>
          <w:iCs/>
          <w:sz w:val="26"/>
          <w:szCs w:val="26"/>
          <w:lang w:val="es-419"/>
        </w:rPr>
        <w:t>f.2)</w:t>
      </w:r>
      <w:r w:rsidRPr="00AE1B2B">
        <w:rPr>
          <w:rFonts w:ascii="Times New Roman" w:hAnsi="Times New Roman" w:eastAsia="Calibri" w:cs="Times New Roman"/>
          <w:i/>
          <w:iCs/>
          <w:sz w:val="26"/>
          <w:szCs w:val="26"/>
          <w:lang w:val="es-419"/>
        </w:rPr>
        <w:t xml:space="preserve"> Valorar la posibilidad de incrementar la periodicidad y cantidad de cursos de armas y defensa personal obligatorios que anualmente se imparten para el personal Custodio de Detenidos de todo el país, en función de la demanda que se presenta de personas pendientes de realizar los cursos; con la finalidad de contar con un banco de personas disponibles para ocupar (ya sea por sustitución o por nombramiento en una plaza) puestos de personas Custodias o Custodios de Detenidos, al momento que se requiera. </w:t>
      </w:r>
      <w:r w:rsidRPr="00AE1B2B">
        <w:rPr>
          <w:rFonts w:ascii="Times New Roman" w:hAnsi="Times New Roman" w:eastAsia="Calibri" w:cs="Times New Roman"/>
          <w:b/>
          <w:i/>
          <w:iCs/>
          <w:sz w:val="26"/>
          <w:szCs w:val="26"/>
          <w:lang w:val="es-419"/>
        </w:rPr>
        <w:t>g)</w:t>
      </w:r>
      <w:r w:rsidRPr="00AE1B2B">
        <w:rPr>
          <w:rFonts w:ascii="Times New Roman" w:hAnsi="Times New Roman" w:eastAsia="Calibri" w:cs="Times New Roman"/>
          <w:i/>
          <w:iCs/>
          <w:sz w:val="26"/>
          <w:szCs w:val="26"/>
          <w:lang w:val="es-419"/>
        </w:rPr>
        <w:t xml:space="preserve"> El Organismo de Investigación Judicial procederá a: </w:t>
      </w:r>
      <w:r w:rsidRPr="00AE1B2B">
        <w:rPr>
          <w:rFonts w:ascii="Times New Roman" w:hAnsi="Times New Roman" w:eastAsia="Calibri" w:cs="Times New Roman"/>
          <w:b/>
          <w:i/>
          <w:iCs/>
          <w:sz w:val="26"/>
          <w:szCs w:val="26"/>
          <w:lang w:val="es-419"/>
        </w:rPr>
        <w:t>g.1)</w:t>
      </w:r>
      <w:r w:rsidRPr="00AE1B2B">
        <w:rPr>
          <w:rFonts w:ascii="Times New Roman" w:hAnsi="Times New Roman" w:eastAsia="Calibri" w:cs="Times New Roman"/>
          <w:i/>
          <w:iCs/>
          <w:sz w:val="26"/>
          <w:szCs w:val="26"/>
          <w:lang w:val="es-419"/>
        </w:rPr>
        <w:t xml:space="preserve"> Impulsar el proyecto mencionado por el señor Flavio Quesada Sánchez, Secretario General del Organismo de Investigación Judicial (ver apéndice 21), relacionado con la capacitación de los custodios policiales de </w:t>
      </w:r>
      <w:r w:rsidRPr="00AE1B2B">
        <w:rPr>
          <w:rFonts w:ascii="Times New Roman" w:hAnsi="Times New Roman" w:eastAsia="Calibri" w:cs="Times New Roman"/>
          <w:i/>
          <w:iCs/>
          <w:sz w:val="26"/>
          <w:szCs w:val="26"/>
          <w:lang w:val="es-419"/>
        </w:rPr>
        <w:lastRenderedPageBreak/>
        <w:t xml:space="preserve">detenidos, de manera que, dos o tres funcionarios de la Sección de Cárceles del Primer Circuito Judicial de San José que trabajan en la actualización del manual de contención de personas detenidas a remitir al Consejo Superior por parte del OIJ, sean los que instruyan o brinden dirección funcional a los demás funcionarios a nivel nacional, con el fin de que todas las Unidades de Cárceles del país trabajen de forma estandarizada. </w:t>
      </w:r>
      <w:r w:rsidRPr="00AE1B2B">
        <w:rPr>
          <w:rFonts w:ascii="Times New Roman" w:hAnsi="Times New Roman" w:eastAsia="Calibri" w:cs="Times New Roman"/>
          <w:b/>
          <w:i/>
          <w:iCs/>
          <w:sz w:val="26"/>
          <w:szCs w:val="26"/>
          <w:lang w:val="es-419"/>
        </w:rPr>
        <w:t>g.2)</w:t>
      </w:r>
      <w:r w:rsidRPr="00AE1B2B">
        <w:rPr>
          <w:rFonts w:ascii="Times New Roman" w:hAnsi="Times New Roman" w:eastAsia="Calibri" w:cs="Times New Roman"/>
          <w:i/>
          <w:iCs/>
          <w:sz w:val="26"/>
          <w:szCs w:val="26"/>
          <w:lang w:val="es-419"/>
        </w:rPr>
        <w:t xml:space="preserve"> Valorar no realizar propuestas futuras de recalificación de puestos utilizando las plazas de custodios de detenidos, ya que como se visibiliza es una necesidad el recurso en esta función primordial en el Organismo de Investigación Judicial y hacer estas solicitudes resta capacidad operativa a las Secciones de Cárceles del país, limitando aún más los grupos de trabajo con los que se cuenta. </w:t>
      </w:r>
      <w:r w:rsidRPr="00AE1B2B">
        <w:rPr>
          <w:rFonts w:ascii="Times New Roman" w:hAnsi="Times New Roman" w:eastAsia="Calibri" w:cs="Times New Roman"/>
          <w:b/>
          <w:i/>
          <w:iCs/>
          <w:sz w:val="26"/>
          <w:szCs w:val="26"/>
          <w:lang w:val="es-419"/>
        </w:rPr>
        <w:t xml:space="preserve">g.3) </w:t>
      </w:r>
      <w:r w:rsidRPr="00AE1B2B">
        <w:rPr>
          <w:rFonts w:ascii="Times New Roman" w:hAnsi="Times New Roman" w:eastAsia="Calibri" w:cs="Times New Roman"/>
          <w:i/>
          <w:iCs/>
          <w:sz w:val="26"/>
          <w:szCs w:val="26"/>
          <w:lang w:val="es-419"/>
        </w:rPr>
        <w:t xml:space="preserve">Valorar la posibilidad de maximizar el recurso humano con que cuenta ese Organismo (plazas vacantes), con la finalidad de reasignarlo para las necesidades que se denotan en el presente informe. </w:t>
      </w:r>
      <w:r w:rsidRPr="00AE1B2B">
        <w:rPr>
          <w:rFonts w:ascii="Times New Roman" w:hAnsi="Times New Roman" w:eastAsia="Calibri" w:cs="Times New Roman"/>
          <w:b/>
          <w:i/>
          <w:iCs/>
          <w:sz w:val="26"/>
          <w:szCs w:val="26"/>
          <w:lang w:val="es-419"/>
        </w:rPr>
        <w:t>h)</w:t>
      </w:r>
      <w:r w:rsidRPr="00AE1B2B">
        <w:rPr>
          <w:rFonts w:ascii="Times New Roman" w:hAnsi="Times New Roman" w:eastAsia="Calibri" w:cs="Times New Roman"/>
          <w:i/>
          <w:iCs/>
          <w:sz w:val="26"/>
          <w:szCs w:val="26"/>
          <w:lang w:val="es-419"/>
        </w:rPr>
        <w:t xml:space="preserve"> La Dirección de Gestión Humana realizará una valoración de los perfiles competenciales y de los componentes salariales (disponibilidad y variación de jornada) de las plazas de Coordinador o Coordinadora de las Unidades de Cárceles, las cuales se encuentran realizando labores de Custodias o Custodios de Detenidos. </w:t>
      </w:r>
      <w:r w:rsidRPr="00AE1B2B">
        <w:rPr>
          <w:rFonts w:ascii="Times New Roman" w:hAnsi="Times New Roman" w:eastAsia="Calibri" w:cs="Times New Roman"/>
          <w:b/>
          <w:i/>
          <w:iCs/>
          <w:sz w:val="26"/>
          <w:szCs w:val="26"/>
          <w:lang w:val="es-419"/>
        </w:rPr>
        <w:t>i)</w:t>
      </w:r>
      <w:r w:rsidRPr="00AE1B2B">
        <w:rPr>
          <w:rFonts w:ascii="Times New Roman" w:hAnsi="Times New Roman" w:eastAsia="Calibri" w:cs="Times New Roman"/>
          <w:i/>
          <w:iCs/>
          <w:sz w:val="26"/>
          <w:szCs w:val="26"/>
          <w:lang w:val="es-419"/>
        </w:rPr>
        <w:t xml:space="preserve"> La Unidad de Potencial Interno (UPI) de la Administración del Organismo de Investigación Judicial mantendrá actualizado el banco de personas custodias que cumplan con todos los requisitos (curso de armas y curso de defensa personal), que permita a las Unidades de Cárceles del país, poder realizar sustituciones por vacaciones o incapacidades. </w:t>
      </w:r>
      <w:r w:rsidRPr="00AE1B2B">
        <w:rPr>
          <w:rFonts w:ascii="Times New Roman" w:hAnsi="Times New Roman" w:eastAsia="Calibri" w:cs="Times New Roman"/>
          <w:b/>
          <w:i/>
          <w:iCs/>
          <w:sz w:val="26"/>
          <w:szCs w:val="26"/>
          <w:lang w:val="es-419"/>
        </w:rPr>
        <w:t>j)</w:t>
      </w:r>
      <w:r w:rsidRPr="00AE1B2B">
        <w:rPr>
          <w:rFonts w:ascii="Times New Roman" w:hAnsi="Times New Roman" w:eastAsia="Calibri" w:cs="Times New Roman"/>
          <w:i/>
          <w:iCs/>
          <w:sz w:val="26"/>
          <w:szCs w:val="26"/>
          <w:lang w:val="es-419"/>
        </w:rPr>
        <w:t xml:space="preserve"> La Dirección de Planificación, como parte del “Proyecto de Mejora Integral del Proceso Penal” analizará según el cronograma de abordaje, las cargas de trabajo que permitan identificar de forma particular si se requiere fortalecer la estructura de las Unidades de Cárceles del país pendientes de abordar al momento del presente estudio, ya que este informe constituye un primer avance y atiende las necesidades planteadas partiendo de la información disponible al momento de realizar el estudio. </w:t>
      </w:r>
      <w:r w:rsidRPr="00AE1B2B">
        <w:rPr>
          <w:rFonts w:ascii="Times New Roman" w:hAnsi="Times New Roman" w:eastAsia="Calibri" w:cs="Times New Roman"/>
          <w:b/>
          <w:i/>
          <w:iCs/>
          <w:sz w:val="26"/>
          <w:szCs w:val="26"/>
          <w:lang w:val="es-419"/>
        </w:rPr>
        <w:t>4)</w:t>
      </w:r>
      <w:r w:rsidRPr="00AE1B2B">
        <w:rPr>
          <w:rFonts w:ascii="Times New Roman" w:hAnsi="Times New Roman" w:eastAsia="Calibri" w:cs="Times New Roman"/>
          <w:i/>
          <w:iCs/>
          <w:sz w:val="26"/>
          <w:szCs w:val="26"/>
          <w:lang w:val="es-419"/>
        </w:rPr>
        <w:t xml:space="preserve"> Comunicar el presente acuerdo al Ministerio Público, Comisión de la Jurisdicción Penal, Dirección General del Organismo de Investigación Judicial, Escuela Judicial, Unidad de Capacitación del Organismo de Investigación Judicial, Dirección de Gestión Humana, Unidad de Potencial Interno de la Administración del Organismo de Investigación Judicial y Dirección de Planificación.</w:t>
      </w:r>
      <w:r w:rsidRPr="00AE1B2B">
        <w:rPr>
          <w:rFonts w:ascii="Times New Roman" w:hAnsi="Times New Roman" w:cs="Times New Roman"/>
          <w:i/>
          <w:iCs/>
          <w:sz w:val="26"/>
          <w:szCs w:val="26"/>
        </w:rPr>
        <w:t>”.</w:t>
      </w:r>
    </w:p>
    <w:p w:rsidRPr="00AE1B2B" w:rsidR="009D3FB5" w:rsidP="00163B94" w:rsidRDefault="009D3FB5" w14:paraId="33C37E0E"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6DC7B28E" w14:textId="77777777">
      <w:pPr>
        <w:spacing w:before="120" w:after="120"/>
        <w:ind w:left="851" w:right="851" w:firstLine="709"/>
        <w:jc w:val="both"/>
        <w:rPr>
          <w:rFonts w:ascii="Times New Roman" w:hAnsi="Times New Roman" w:cs="Times New Roman"/>
          <w:i/>
          <w:iCs/>
          <w:sz w:val="26"/>
          <w:szCs w:val="26"/>
          <w:lang w:eastAsia="es-CR"/>
        </w:rPr>
      </w:pPr>
      <w:r w:rsidRPr="00AE1B2B">
        <w:rPr>
          <w:rFonts w:ascii="Times New Roman" w:hAnsi="Times New Roman" w:cs="Times New Roman"/>
          <w:i/>
          <w:iCs/>
          <w:sz w:val="26"/>
          <w:szCs w:val="26"/>
        </w:rPr>
        <w:lastRenderedPageBreak/>
        <w:t>Relacionado con lo anterior, y c</w:t>
      </w:r>
      <w:r w:rsidRPr="00AE1B2B">
        <w:rPr>
          <w:rFonts w:ascii="Times New Roman" w:hAnsi="Times New Roman" w:cs="Times New Roman"/>
          <w:i/>
          <w:iCs/>
          <w:sz w:val="26"/>
          <w:szCs w:val="26"/>
          <w:lang w:eastAsia="es-CR"/>
        </w:rPr>
        <w:t xml:space="preserve">onsiderando lo indicado por el Ministerio de Hacienda, mediante oficio DM-0436-2020 del 15 de abril del 2020, en el cual se señala el Título IV de la Ley 9635 “Fortalecimiento de las Finanzas Públicas” donde se establecen la regla fiscal y los criterios que deben considerarse para la formulación del presupuesto 2022 y conociendo las limitaciones presupuestarias institucionales; a continuación, se muestra la necesidad de presupuestar para el 2022 el recurso identificado en el estudio 1490-PLA-MI-2020 realizado por esta Dirección. </w:t>
      </w:r>
    </w:p>
    <w:p w:rsidRPr="00AE1B2B" w:rsidR="009D3FB5" w:rsidP="00163B94" w:rsidRDefault="009D3FB5" w14:paraId="2119D8C4" w14:textId="77777777">
      <w:pPr>
        <w:spacing w:before="120" w:after="120"/>
        <w:ind w:left="851" w:right="851" w:firstLine="709"/>
        <w:jc w:val="both"/>
        <w:rPr>
          <w:rFonts w:ascii="Times New Roman" w:hAnsi="Times New Roman" w:cs="Times New Roman"/>
          <w:i/>
          <w:iCs/>
          <w:sz w:val="26"/>
          <w:szCs w:val="26"/>
          <w:lang w:eastAsia="es-CR"/>
        </w:rPr>
      </w:pPr>
    </w:p>
    <w:p w:rsidRPr="00AE1B2B" w:rsidR="009D3FB5" w:rsidP="00163B94" w:rsidRDefault="009D3FB5" w14:paraId="779D8F52" w14:textId="2C74CC15">
      <w:pPr>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i/>
          <w:iCs/>
          <w:sz w:val="26"/>
          <w:szCs w:val="26"/>
        </w:rPr>
        <w:t>De acuerdo con el análisis de cargas de trabajo realizado en las Unidades de Cárceles abordadas</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producto del Proyecto de Mejora Integral del Proceso Penal,</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se visualiza la necesidad</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 xml:space="preserve">de dotar dentro de sus estructuras de trabajo de dos plazas de personas custodias en la Delegación Regional del Organismo de Investigación Judicial de Heredia, dos plazas de personas custodias en la Delegación Regional del Organismo de Investigación Judicial de Corredores, una plaza de persona custodia en la Oficina Regional del Organismo de Investigación Judicial de Bribri, una plaza de persona custodia en la Oficina Regional del Organismo de Investigación Judicial de Bataán, una plaza de persona custodia en la Oficina Regional del Organismo de Investigación Judicial de Puriscal (quienes cuentan en la actualidad con una plaza a modo de préstamo por parte del I Circuito Judicial de San José, de Custodia o Custodio de persona detenida), dos plazas de persona custodia en la Unidad Regional del Organismo de Investigación Judicial de Los Chiles, una plaza de persona custodia en la Unidad Regional del Organismo de Investigación Judicial de Buenos Aires, dos plazas de persona custodia en la Unidad Regional del Organismo de Investigación Judicial de Atenas. En el transcurso del 2020 la Dirección de Planificación abordó el Segundo Circuito Judicial de la Zona Atlántica y el Segundo Circuito Judicial de Guanacaste, por lo tanto, se incorporó las necesidades de dos plazas de personas custodias en la Subdelegación Regional del Organismo de Investigación Judicial de Santa Cruz, dos plazas de personas custodias en la Subdelegación Regional del Organismo de Investigación Judicial de Siquirres, dos plazas en Turrialba, Sarapiquí y Cañas debido a que también se analizó los resultados del proyecto de mejora integral del proceso penal en planes remediales donde se han revisado estructuras mínimas de oficinas y se ha visto la necesidad de poder establecer estructuras ordinarias que permitan </w:t>
      </w:r>
      <w:r w:rsidRPr="00AE1B2B">
        <w:rPr>
          <w:rFonts w:ascii="Times New Roman" w:hAnsi="Times New Roman" w:cs="Times New Roman"/>
          <w:i/>
          <w:iCs/>
          <w:sz w:val="26"/>
          <w:szCs w:val="26"/>
        </w:rPr>
        <w:lastRenderedPageBreak/>
        <w:t>disminuir tiempos de traslado, maximizar recurso humano y mejorar el servicio público.</w:t>
      </w:r>
    </w:p>
    <w:p w:rsidRPr="00AE1B2B" w:rsidR="009D3FB5" w:rsidP="00163B94" w:rsidRDefault="009D3FB5" w14:paraId="72903EDD"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22C88AB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De acuerdo con la recomendación anteriormente descrita, se procedió a realizar la actualización de la estimación de costos asociados a los requerimientos de personal Custodio de Detenidos en las oficinas del Organismo de Investigación Judicial de Heredia, Corredores, Bribri, Bataán, Puriscal, Los Chiles, Buenos Aires, Atenas, Santa Cruz, Turrialba, Sarapiquí, Cañas y Siquirres. A continuación, se muestra la estimación de costos respecto al recurso humano sugerido.</w:t>
      </w:r>
    </w:p>
    <w:p w:rsidRPr="00AE1B2B" w:rsidR="009D3FB5" w:rsidP="00163B94" w:rsidRDefault="009D3FB5" w14:paraId="027E4DA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Cuadro 1. Costos estimados de las plazas propuestas de Custodios de Detenidos</w:t>
      </w:r>
    </w:p>
    <w:p w:rsidRPr="00AE1B2B" w:rsidR="009D3FB5" w:rsidP="00163B94" w:rsidRDefault="009D3FB5" w14:paraId="42759180" w14:textId="77777777">
      <w:pPr>
        <w:spacing w:before="120" w:after="120"/>
        <w:ind w:left="708"/>
        <w:jc w:val="center"/>
        <w:rPr>
          <w:rFonts w:ascii="Times New Roman" w:hAnsi="Times New Roman" w:cs="Times New Roman"/>
          <w:i/>
          <w:iCs/>
          <w:sz w:val="24"/>
          <w:szCs w:val="24"/>
        </w:rPr>
      </w:pPr>
    </w:p>
    <w:tbl>
      <w:tblPr>
        <w:tblW w:w="9862" w:type="dxa"/>
        <w:jc w:val="center"/>
        <w:tblCellMar>
          <w:left w:w="70" w:type="dxa"/>
          <w:right w:w="70" w:type="dxa"/>
        </w:tblCellMar>
        <w:tblLook w:val="04A0" w:firstRow="1" w:lastRow="0" w:firstColumn="1" w:lastColumn="0" w:noHBand="0" w:noVBand="1"/>
      </w:tblPr>
      <w:tblGrid>
        <w:gridCol w:w="1497"/>
        <w:gridCol w:w="1991"/>
        <w:gridCol w:w="1069"/>
        <w:gridCol w:w="1278"/>
        <w:gridCol w:w="1552"/>
        <w:gridCol w:w="923"/>
        <w:gridCol w:w="1552"/>
      </w:tblGrid>
      <w:tr w:rsidRPr="00AE1B2B" w:rsidR="00AE1B2B" w:rsidTr="009D3FB5" w14:paraId="2B0AEAD6" w14:textId="77777777">
        <w:trPr>
          <w:trHeight w:val="737"/>
          <w:jc w:val="center"/>
        </w:trPr>
        <w:tc>
          <w:tcPr>
            <w:tcW w:w="1497" w:type="dxa"/>
            <w:tcBorders>
              <w:top w:val="single" w:color="auto" w:sz="4" w:space="0"/>
              <w:left w:val="single" w:color="auto" w:sz="4" w:space="0"/>
              <w:bottom w:val="single" w:color="auto" w:sz="4" w:space="0"/>
              <w:right w:val="single" w:color="auto" w:sz="4" w:space="0"/>
            </w:tcBorders>
            <w:shd w:val="clear" w:color="000000" w:fill="C0C0C0"/>
            <w:vAlign w:val="center"/>
            <w:hideMark/>
          </w:tcPr>
          <w:p w:rsidRPr="00AE1B2B" w:rsidR="009D3FB5" w:rsidP="00163B94" w:rsidRDefault="009D3FB5" w14:paraId="335BBE2F"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Programa</w:t>
            </w:r>
          </w:p>
        </w:tc>
        <w:tc>
          <w:tcPr>
            <w:tcW w:w="1991" w:type="dxa"/>
            <w:tcBorders>
              <w:top w:val="single" w:color="auto" w:sz="4" w:space="0"/>
              <w:left w:val="nil"/>
              <w:bottom w:val="single" w:color="auto" w:sz="4" w:space="0"/>
              <w:right w:val="single" w:color="auto" w:sz="4" w:space="0"/>
            </w:tcBorders>
            <w:shd w:val="clear" w:color="000000" w:fill="C0C0C0"/>
            <w:vAlign w:val="center"/>
            <w:hideMark/>
          </w:tcPr>
          <w:p w:rsidRPr="00AE1B2B" w:rsidR="009D3FB5" w:rsidP="00163B94" w:rsidRDefault="009D3FB5" w14:paraId="619BE405"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Oficina</w:t>
            </w:r>
          </w:p>
        </w:tc>
        <w:tc>
          <w:tcPr>
            <w:tcW w:w="1069" w:type="dxa"/>
            <w:tcBorders>
              <w:top w:val="single" w:color="auto" w:sz="4" w:space="0"/>
              <w:left w:val="nil"/>
              <w:bottom w:val="single" w:color="auto" w:sz="4" w:space="0"/>
              <w:right w:val="single" w:color="auto" w:sz="4" w:space="0"/>
            </w:tcBorders>
            <w:shd w:val="clear" w:color="000000" w:fill="C0C0C0"/>
            <w:vAlign w:val="center"/>
            <w:hideMark/>
          </w:tcPr>
          <w:p w:rsidRPr="00AE1B2B" w:rsidR="009D3FB5" w:rsidP="00163B94" w:rsidRDefault="009D3FB5" w14:paraId="34877094"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Cantidad</w:t>
            </w:r>
          </w:p>
        </w:tc>
        <w:tc>
          <w:tcPr>
            <w:tcW w:w="1278" w:type="dxa"/>
            <w:tcBorders>
              <w:top w:val="single" w:color="auto" w:sz="4" w:space="0"/>
              <w:left w:val="nil"/>
              <w:bottom w:val="single" w:color="auto" w:sz="4" w:space="0"/>
              <w:right w:val="single" w:color="auto" w:sz="4" w:space="0"/>
            </w:tcBorders>
            <w:shd w:val="clear" w:color="000000" w:fill="C0C0C0"/>
            <w:vAlign w:val="center"/>
            <w:hideMark/>
          </w:tcPr>
          <w:p w:rsidRPr="00AE1B2B" w:rsidR="009D3FB5" w:rsidP="00163B94" w:rsidRDefault="009D3FB5" w14:paraId="4AF6B2A9"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Tipo de plaza</w:t>
            </w:r>
          </w:p>
        </w:tc>
        <w:tc>
          <w:tcPr>
            <w:tcW w:w="1552" w:type="dxa"/>
            <w:tcBorders>
              <w:top w:val="single" w:color="auto" w:sz="4" w:space="0"/>
              <w:left w:val="nil"/>
              <w:bottom w:val="single" w:color="auto" w:sz="4" w:space="0"/>
              <w:right w:val="single" w:color="auto" w:sz="4" w:space="0"/>
            </w:tcBorders>
            <w:shd w:val="clear" w:color="000000" w:fill="C0C0C0"/>
            <w:vAlign w:val="center"/>
            <w:hideMark/>
          </w:tcPr>
          <w:p w:rsidRPr="00AE1B2B" w:rsidR="009D3FB5" w:rsidP="00163B94" w:rsidRDefault="009D3FB5" w14:paraId="7530CF83" w14:textId="2363DB6F">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 xml:space="preserve"> Costo Unitario</w:t>
            </w:r>
            <w:r w:rsidRPr="00AE1B2B" w:rsidR="00BB7720">
              <w:rPr>
                <w:rFonts w:ascii="Times New Roman" w:hAnsi="Times New Roman" w:cs="Times New Roman"/>
                <w:b/>
                <w:bCs/>
                <w:i/>
                <w:iCs/>
                <w:lang w:eastAsia="es-CR"/>
              </w:rPr>
              <w:t xml:space="preserve"> </w:t>
            </w:r>
          </w:p>
        </w:tc>
        <w:tc>
          <w:tcPr>
            <w:tcW w:w="923" w:type="dxa"/>
            <w:tcBorders>
              <w:top w:val="single" w:color="auto" w:sz="4" w:space="0"/>
              <w:left w:val="nil"/>
              <w:bottom w:val="single" w:color="auto" w:sz="4" w:space="0"/>
              <w:right w:val="single" w:color="auto" w:sz="4" w:space="0"/>
            </w:tcBorders>
            <w:shd w:val="clear" w:color="000000" w:fill="C0C0C0"/>
            <w:vAlign w:val="center"/>
            <w:hideMark/>
          </w:tcPr>
          <w:p w:rsidRPr="00AE1B2B" w:rsidR="009D3FB5" w:rsidP="00163B94" w:rsidRDefault="009D3FB5" w14:paraId="6C95D7C9"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Período</w:t>
            </w:r>
          </w:p>
        </w:tc>
        <w:tc>
          <w:tcPr>
            <w:tcW w:w="1552" w:type="dxa"/>
            <w:tcBorders>
              <w:top w:val="single" w:color="auto" w:sz="4" w:space="0"/>
              <w:left w:val="nil"/>
              <w:bottom w:val="single" w:color="auto" w:sz="4" w:space="0"/>
              <w:right w:val="single" w:color="auto" w:sz="4" w:space="0"/>
            </w:tcBorders>
            <w:shd w:val="clear" w:color="000000" w:fill="C0C0C0"/>
            <w:vAlign w:val="center"/>
            <w:hideMark/>
          </w:tcPr>
          <w:p w:rsidRPr="00AE1B2B" w:rsidR="009D3FB5" w:rsidP="00163B94" w:rsidRDefault="009D3FB5" w14:paraId="4B843C52"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Costo Estimado</w:t>
            </w:r>
          </w:p>
        </w:tc>
      </w:tr>
      <w:tr w:rsidRPr="00AE1B2B" w:rsidR="00AE1B2B" w:rsidTr="009D3FB5" w14:paraId="74272DD1" w14:textId="77777777">
        <w:trPr>
          <w:trHeight w:val="829"/>
          <w:jc w:val="center"/>
        </w:trPr>
        <w:tc>
          <w:tcPr>
            <w:tcW w:w="1497"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5CDFCD6F"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Organismo de Investigación Judicial (928)</w:t>
            </w:r>
          </w:p>
        </w:tc>
        <w:tc>
          <w:tcPr>
            <w:tcW w:w="1991"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0D91649"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Delegación Regional del Organismo de Investigación Judicial de Heredia</w:t>
            </w:r>
          </w:p>
        </w:tc>
        <w:tc>
          <w:tcPr>
            <w:tcW w:w="1069"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338A4C4"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2</w:t>
            </w:r>
          </w:p>
        </w:tc>
        <w:tc>
          <w:tcPr>
            <w:tcW w:w="1278"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F15E086"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Custodio de detenidos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5534F1E"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80F14F4"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12 meses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5A3B36E"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₡36.462.000,00 </w:t>
            </w:r>
          </w:p>
        </w:tc>
      </w:tr>
      <w:tr w:rsidRPr="00AE1B2B" w:rsidR="00AE1B2B" w:rsidTr="009D3FB5" w14:paraId="16EC0645" w14:textId="77777777">
        <w:trPr>
          <w:trHeight w:val="829"/>
          <w:jc w:val="center"/>
        </w:trPr>
        <w:tc>
          <w:tcPr>
            <w:tcW w:w="149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1E15A73C" w14:textId="77777777">
            <w:pPr>
              <w:spacing w:before="120" w:after="120"/>
              <w:rPr>
                <w:rFonts w:ascii="Times New Roman" w:hAnsi="Times New Roman" w:cs="Times New Roman"/>
                <w:b/>
                <w:bCs/>
                <w:i/>
                <w:iCs/>
                <w:lang w:eastAsia="es-CR"/>
              </w:rPr>
            </w:pPr>
          </w:p>
        </w:tc>
        <w:tc>
          <w:tcPr>
            <w:tcW w:w="1991"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FBD6976"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Delegación Regional del Organismo de Investigación Judicial de Corredores</w:t>
            </w:r>
          </w:p>
        </w:tc>
        <w:tc>
          <w:tcPr>
            <w:tcW w:w="1069"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083A457"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2</w:t>
            </w:r>
          </w:p>
        </w:tc>
        <w:tc>
          <w:tcPr>
            <w:tcW w:w="1278"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5447A98"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Custodio de detenidos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F1FDCA8"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460DECB"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12 meses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34FC958"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₡36.462.000,00 </w:t>
            </w:r>
          </w:p>
        </w:tc>
      </w:tr>
      <w:tr w:rsidRPr="00AE1B2B" w:rsidR="00AE1B2B" w:rsidTr="009D3FB5" w14:paraId="2AFDAA90" w14:textId="77777777">
        <w:trPr>
          <w:trHeight w:val="829"/>
          <w:jc w:val="center"/>
        </w:trPr>
        <w:tc>
          <w:tcPr>
            <w:tcW w:w="149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77B93B9C" w14:textId="77777777">
            <w:pPr>
              <w:spacing w:before="120" w:after="120"/>
              <w:rPr>
                <w:rFonts w:ascii="Times New Roman" w:hAnsi="Times New Roman" w:cs="Times New Roman"/>
                <w:b/>
                <w:bCs/>
                <w:i/>
                <w:iCs/>
                <w:lang w:eastAsia="es-CR"/>
              </w:rPr>
            </w:pPr>
          </w:p>
        </w:tc>
        <w:tc>
          <w:tcPr>
            <w:tcW w:w="1991"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830D8DE"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Oficina Regional del Organismo de Investigación Judicial de Bribri</w:t>
            </w:r>
          </w:p>
        </w:tc>
        <w:tc>
          <w:tcPr>
            <w:tcW w:w="1069"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4FC869B"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1</w:t>
            </w:r>
          </w:p>
        </w:tc>
        <w:tc>
          <w:tcPr>
            <w:tcW w:w="1278"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6C4A681"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Custodio de detenidos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1344D33"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E82690F"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12 meses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C051B86"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r>
      <w:tr w:rsidRPr="00AE1B2B" w:rsidR="00AE1B2B" w:rsidTr="009D3FB5" w14:paraId="0095E997" w14:textId="77777777">
        <w:trPr>
          <w:trHeight w:val="829"/>
          <w:jc w:val="center"/>
        </w:trPr>
        <w:tc>
          <w:tcPr>
            <w:tcW w:w="149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608529B5" w14:textId="77777777">
            <w:pPr>
              <w:spacing w:before="120" w:after="120"/>
              <w:rPr>
                <w:rFonts w:ascii="Times New Roman" w:hAnsi="Times New Roman" w:cs="Times New Roman"/>
                <w:b/>
                <w:bCs/>
                <w:i/>
                <w:iCs/>
                <w:lang w:eastAsia="es-CR"/>
              </w:rPr>
            </w:pPr>
          </w:p>
        </w:tc>
        <w:tc>
          <w:tcPr>
            <w:tcW w:w="1991"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F9DE4F6"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Oficina Regional del Organismo de Investigación Judicial de Bataán</w:t>
            </w:r>
          </w:p>
        </w:tc>
        <w:tc>
          <w:tcPr>
            <w:tcW w:w="1069"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76593E7"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1</w:t>
            </w:r>
          </w:p>
        </w:tc>
        <w:tc>
          <w:tcPr>
            <w:tcW w:w="1278"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EE7B300"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Custodio de detenidos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9CAD5AE"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5741D0C"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12 meses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28B2EFA"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r>
      <w:tr w:rsidRPr="00AE1B2B" w:rsidR="00AE1B2B" w:rsidTr="009D3FB5" w14:paraId="5982437C" w14:textId="77777777">
        <w:trPr>
          <w:trHeight w:val="829"/>
          <w:jc w:val="center"/>
        </w:trPr>
        <w:tc>
          <w:tcPr>
            <w:tcW w:w="149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122F053F" w14:textId="77777777">
            <w:pPr>
              <w:spacing w:before="120" w:after="120"/>
              <w:rPr>
                <w:rFonts w:ascii="Times New Roman" w:hAnsi="Times New Roman" w:cs="Times New Roman"/>
                <w:b/>
                <w:bCs/>
                <w:i/>
                <w:iCs/>
                <w:lang w:eastAsia="es-CR"/>
              </w:rPr>
            </w:pPr>
          </w:p>
        </w:tc>
        <w:tc>
          <w:tcPr>
            <w:tcW w:w="1991"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0E90EFE"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Oficina Regional del Organismo de Investigación Judicial de Puriscal</w:t>
            </w:r>
          </w:p>
        </w:tc>
        <w:tc>
          <w:tcPr>
            <w:tcW w:w="1069"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7F0E1BA"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1</w:t>
            </w:r>
          </w:p>
        </w:tc>
        <w:tc>
          <w:tcPr>
            <w:tcW w:w="1278"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F108EA5"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Custodio de detenidos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93D5217"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08329D3"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12 meses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2E86BF3"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r>
      <w:tr w:rsidRPr="00AE1B2B" w:rsidR="00AE1B2B" w:rsidTr="009D3FB5" w14:paraId="569225B0" w14:textId="77777777">
        <w:trPr>
          <w:trHeight w:val="829"/>
          <w:jc w:val="center"/>
        </w:trPr>
        <w:tc>
          <w:tcPr>
            <w:tcW w:w="149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7563CFC6" w14:textId="77777777">
            <w:pPr>
              <w:spacing w:before="120" w:after="120"/>
              <w:rPr>
                <w:rFonts w:ascii="Times New Roman" w:hAnsi="Times New Roman" w:cs="Times New Roman"/>
                <w:b/>
                <w:bCs/>
                <w:i/>
                <w:iCs/>
                <w:lang w:eastAsia="es-CR"/>
              </w:rPr>
            </w:pPr>
          </w:p>
        </w:tc>
        <w:tc>
          <w:tcPr>
            <w:tcW w:w="1991"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126D612"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Unidad Regional del Organismo de Investigación Judicial de Los Chiles</w:t>
            </w:r>
          </w:p>
        </w:tc>
        <w:tc>
          <w:tcPr>
            <w:tcW w:w="1069"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9EF1CD3"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2</w:t>
            </w:r>
          </w:p>
        </w:tc>
        <w:tc>
          <w:tcPr>
            <w:tcW w:w="1278"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5318B8B"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Custodio de detenidos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8C31282"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EA9FC36"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12 meses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A3D8E8A"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₡36.462.000,00 </w:t>
            </w:r>
          </w:p>
        </w:tc>
      </w:tr>
      <w:tr w:rsidRPr="00AE1B2B" w:rsidR="00AE1B2B" w:rsidTr="009D3FB5" w14:paraId="092B2B34" w14:textId="77777777">
        <w:trPr>
          <w:trHeight w:val="829"/>
          <w:jc w:val="center"/>
        </w:trPr>
        <w:tc>
          <w:tcPr>
            <w:tcW w:w="149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3FBCBDCF" w14:textId="77777777">
            <w:pPr>
              <w:spacing w:before="120" w:after="120"/>
              <w:rPr>
                <w:rFonts w:ascii="Times New Roman" w:hAnsi="Times New Roman" w:cs="Times New Roman"/>
                <w:b/>
                <w:bCs/>
                <w:i/>
                <w:iCs/>
                <w:lang w:eastAsia="es-CR"/>
              </w:rPr>
            </w:pPr>
          </w:p>
        </w:tc>
        <w:tc>
          <w:tcPr>
            <w:tcW w:w="1991"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6CA851E"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Unidad Regional del Organismo de Investigación Judicial de Buenos Aires</w:t>
            </w:r>
          </w:p>
        </w:tc>
        <w:tc>
          <w:tcPr>
            <w:tcW w:w="1069"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2619E59"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1</w:t>
            </w:r>
          </w:p>
        </w:tc>
        <w:tc>
          <w:tcPr>
            <w:tcW w:w="1278"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6049CFD"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Custodio de detenidos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A077BE4"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C289578"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12 meses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BFB0CEA"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r>
      <w:tr w:rsidRPr="00AE1B2B" w:rsidR="00AE1B2B" w:rsidTr="009D3FB5" w14:paraId="00932F81" w14:textId="77777777">
        <w:trPr>
          <w:trHeight w:val="829"/>
          <w:jc w:val="center"/>
        </w:trPr>
        <w:tc>
          <w:tcPr>
            <w:tcW w:w="149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58251439" w14:textId="77777777">
            <w:pPr>
              <w:spacing w:before="120" w:after="120"/>
              <w:rPr>
                <w:rFonts w:ascii="Times New Roman" w:hAnsi="Times New Roman" w:cs="Times New Roman"/>
                <w:b/>
                <w:bCs/>
                <w:i/>
                <w:iCs/>
                <w:lang w:eastAsia="es-CR"/>
              </w:rPr>
            </w:pPr>
          </w:p>
        </w:tc>
        <w:tc>
          <w:tcPr>
            <w:tcW w:w="1991"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185C09A"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Unidad Regional del Organismo de Investigación Judicial de Atenas</w:t>
            </w:r>
          </w:p>
        </w:tc>
        <w:tc>
          <w:tcPr>
            <w:tcW w:w="1069"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33A8B05"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2</w:t>
            </w:r>
          </w:p>
        </w:tc>
        <w:tc>
          <w:tcPr>
            <w:tcW w:w="1278"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7F405B4"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Custodio de detenidos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78B776D"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C714A72"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12 meses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141B394"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₡36.462.000,00 </w:t>
            </w:r>
          </w:p>
        </w:tc>
      </w:tr>
      <w:tr w:rsidRPr="00AE1B2B" w:rsidR="00AE1B2B" w:rsidTr="009D3FB5" w14:paraId="01CBBC4A" w14:textId="77777777">
        <w:trPr>
          <w:trHeight w:val="829"/>
          <w:jc w:val="center"/>
        </w:trPr>
        <w:tc>
          <w:tcPr>
            <w:tcW w:w="149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2992095C" w14:textId="77777777">
            <w:pPr>
              <w:spacing w:before="120" w:after="120"/>
              <w:rPr>
                <w:rFonts w:ascii="Times New Roman" w:hAnsi="Times New Roman" w:cs="Times New Roman"/>
                <w:b/>
                <w:bCs/>
                <w:i/>
                <w:iCs/>
                <w:lang w:eastAsia="es-CR"/>
              </w:rPr>
            </w:pPr>
          </w:p>
        </w:tc>
        <w:tc>
          <w:tcPr>
            <w:tcW w:w="1991"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27DC951"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Subdelegación Regional del Organismo de Investigación Judicial de Santa Cruz</w:t>
            </w:r>
          </w:p>
        </w:tc>
        <w:tc>
          <w:tcPr>
            <w:tcW w:w="1069"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EA104EE"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2</w:t>
            </w:r>
          </w:p>
        </w:tc>
        <w:tc>
          <w:tcPr>
            <w:tcW w:w="1278"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246C7D2"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Custodio de detenidos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06CA753"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35BBB12"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12 meses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12489EA"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₡36.462.000,00 </w:t>
            </w:r>
          </w:p>
        </w:tc>
      </w:tr>
      <w:tr w:rsidRPr="00AE1B2B" w:rsidR="00AE1B2B" w:rsidTr="009D3FB5" w14:paraId="65688308" w14:textId="77777777">
        <w:trPr>
          <w:trHeight w:val="829"/>
          <w:jc w:val="center"/>
        </w:trPr>
        <w:tc>
          <w:tcPr>
            <w:tcW w:w="149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0003140A" w14:textId="77777777">
            <w:pPr>
              <w:spacing w:before="120" w:after="120"/>
              <w:rPr>
                <w:rFonts w:ascii="Times New Roman" w:hAnsi="Times New Roman" w:cs="Times New Roman"/>
                <w:b/>
                <w:bCs/>
                <w:i/>
                <w:iCs/>
                <w:lang w:eastAsia="es-CR"/>
              </w:rPr>
            </w:pPr>
          </w:p>
        </w:tc>
        <w:tc>
          <w:tcPr>
            <w:tcW w:w="1991"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1247D1C"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Subdelegación Regional del Organismo de Investigación Judicial de Siquirres</w:t>
            </w:r>
          </w:p>
        </w:tc>
        <w:tc>
          <w:tcPr>
            <w:tcW w:w="1069"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FE04B7F"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2</w:t>
            </w:r>
          </w:p>
        </w:tc>
        <w:tc>
          <w:tcPr>
            <w:tcW w:w="1278"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ABD1643"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Custodio de detenidos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30BDAFC"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c>
          <w:tcPr>
            <w:tcW w:w="92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8DCDCCC"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12 meses</w:t>
            </w:r>
          </w:p>
        </w:tc>
        <w:tc>
          <w:tcPr>
            <w:tcW w:w="155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C0F637D"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₡36.462.000,00 </w:t>
            </w:r>
          </w:p>
        </w:tc>
      </w:tr>
      <w:tr w:rsidRPr="00AE1B2B" w:rsidR="00AE1B2B" w:rsidTr="009D3FB5" w14:paraId="07FC11CB" w14:textId="77777777">
        <w:trPr>
          <w:trHeight w:val="829"/>
          <w:jc w:val="center"/>
        </w:trPr>
        <w:tc>
          <w:tcPr>
            <w:tcW w:w="1497" w:type="dxa"/>
            <w:tcBorders>
              <w:top w:val="nil"/>
              <w:left w:val="single" w:color="auto" w:sz="4" w:space="0"/>
              <w:bottom w:val="single" w:color="000000" w:sz="4" w:space="0"/>
              <w:right w:val="single" w:color="auto" w:sz="4" w:space="0"/>
            </w:tcBorders>
            <w:vAlign w:val="center"/>
          </w:tcPr>
          <w:p w:rsidRPr="00AE1B2B" w:rsidR="009D3FB5" w:rsidP="00163B94" w:rsidRDefault="009D3FB5" w14:paraId="7577B4D3" w14:textId="77777777">
            <w:pPr>
              <w:spacing w:before="120" w:after="120"/>
              <w:rPr>
                <w:rFonts w:ascii="Times New Roman" w:hAnsi="Times New Roman" w:cs="Times New Roman"/>
                <w:b/>
                <w:bCs/>
                <w:i/>
                <w:iCs/>
                <w:lang w:eastAsia="es-CR"/>
              </w:rPr>
            </w:pPr>
          </w:p>
        </w:tc>
        <w:tc>
          <w:tcPr>
            <w:tcW w:w="1991"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0C610A93"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Subdelegación Regional de Turrialba</w:t>
            </w:r>
          </w:p>
        </w:tc>
        <w:tc>
          <w:tcPr>
            <w:tcW w:w="1069"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01DF7010"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2</w:t>
            </w:r>
          </w:p>
        </w:tc>
        <w:tc>
          <w:tcPr>
            <w:tcW w:w="1278"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73DAD44D"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Custodio de detenidos</w:t>
            </w:r>
          </w:p>
        </w:tc>
        <w:tc>
          <w:tcPr>
            <w:tcW w:w="1552"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2D0F7A8C"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c>
          <w:tcPr>
            <w:tcW w:w="923"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45DD1EE8"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12 meses</w:t>
            </w:r>
          </w:p>
        </w:tc>
        <w:tc>
          <w:tcPr>
            <w:tcW w:w="1552"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4EF78026"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₡36.462.000,00 </w:t>
            </w:r>
          </w:p>
        </w:tc>
      </w:tr>
      <w:tr w:rsidRPr="00AE1B2B" w:rsidR="00AE1B2B" w:rsidTr="009D3FB5" w14:paraId="1E13D8AD" w14:textId="77777777">
        <w:trPr>
          <w:trHeight w:val="829"/>
          <w:jc w:val="center"/>
        </w:trPr>
        <w:tc>
          <w:tcPr>
            <w:tcW w:w="1497" w:type="dxa"/>
            <w:tcBorders>
              <w:top w:val="nil"/>
              <w:left w:val="single" w:color="auto" w:sz="4" w:space="0"/>
              <w:bottom w:val="single" w:color="000000" w:sz="4" w:space="0"/>
              <w:right w:val="single" w:color="auto" w:sz="4" w:space="0"/>
            </w:tcBorders>
            <w:vAlign w:val="center"/>
          </w:tcPr>
          <w:p w:rsidRPr="00AE1B2B" w:rsidR="009D3FB5" w:rsidP="00163B94" w:rsidRDefault="009D3FB5" w14:paraId="6C434002" w14:textId="77777777">
            <w:pPr>
              <w:spacing w:before="120" w:after="120"/>
              <w:rPr>
                <w:rFonts w:ascii="Times New Roman" w:hAnsi="Times New Roman" w:cs="Times New Roman"/>
                <w:b/>
                <w:bCs/>
                <w:i/>
                <w:iCs/>
                <w:lang w:eastAsia="es-CR"/>
              </w:rPr>
            </w:pPr>
          </w:p>
        </w:tc>
        <w:tc>
          <w:tcPr>
            <w:tcW w:w="1991"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6AFB6D75"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Subdelegación Regional de Sarapiquí</w:t>
            </w:r>
          </w:p>
        </w:tc>
        <w:tc>
          <w:tcPr>
            <w:tcW w:w="1069"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4AA30E86"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2</w:t>
            </w:r>
          </w:p>
        </w:tc>
        <w:tc>
          <w:tcPr>
            <w:tcW w:w="1278"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6C710F9B"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Custodio de detenidos</w:t>
            </w:r>
          </w:p>
        </w:tc>
        <w:tc>
          <w:tcPr>
            <w:tcW w:w="1552"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4870A0D9"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c>
          <w:tcPr>
            <w:tcW w:w="923"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23D78245"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12 meses</w:t>
            </w:r>
          </w:p>
        </w:tc>
        <w:tc>
          <w:tcPr>
            <w:tcW w:w="1552"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1DAD57F3"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₡36.462.000,00 </w:t>
            </w:r>
          </w:p>
        </w:tc>
      </w:tr>
      <w:tr w:rsidRPr="00AE1B2B" w:rsidR="00AE1B2B" w:rsidTr="009D3FB5" w14:paraId="696A7695" w14:textId="77777777">
        <w:trPr>
          <w:trHeight w:val="829"/>
          <w:jc w:val="center"/>
        </w:trPr>
        <w:tc>
          <w:tcPr>
            <w:tcW w:w="1497" w:type="dxa"/>
            <w:tcBorders>
              <w:top w:val="nil"/>
              <w:left w:val="single" w:color="auto" w:sz="4" w:space="0"/>
              <w:bottom w:val="single" w:color="000000" w:sz="4" w:space="0"/>
              <w:right w:val="single" w:color="auto" w:sz="4" w:space="0"/>
            </w:tcBorders>
            <w:vAlign w:val="center"/>
          </w:tcPr>
          <w:p w:rsidRPr="00AE1B2B" w:rsidR="009D3FB5" w:rsidP="00163B94" w:rsidRDefault="009D3FB5" w14:paraId="7A6C1EB0" w14:textId="77777777">
            <w:pPr>
              <w:spacing w:before="120" w:after="120"/>
              <w:rPr>
                <w:rFonts w:ascii="Times New Roman" w:hAnsi="Times New Roman" w:cs="Times New Roman"/>
                <w:b/>
                <w:bCs/>
                <w:i/>
                <w:iCs/>
                <w:lang w:eastAsia="es-CR"/>
              </w:rPr>
            </w:pPr>
          </w:p>
        </w:tc>
        <w:tc>
          <w:tcPr>
            <w:tcW w:w="1991"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20E24ED5"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Subdelegación Regional de Cañas</w:t>
            </w:r>
          </w:p>
        </w:tc>
        <w:tc>
          <w:tcPr>
            <w:tcW w:w="1069"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24F715D3"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2</w:t>
            </w:r>
          </w:p>
        </w:tc>
        <w:tc>
          <w:tcPr>
            <w:tcW w:w="1278"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360D0E54"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Custodio de detenidos</w:t>
            </w:r>
          </w:p>
        </w:tc>
        <w:tc>
          <w:tcPr>
            <w:tcW w:w="1552"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2DEB7BB7"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₡18.231.000,00 </w:t>
            </w:r>
          </w:p>
        </w:tc>
        <w:tc>
          <w:tcPr>
            <w:tcW w:w="923"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3DF5F518"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12 meses</w:t>
            </w:r>
          </w:p>
        </w:tc>
        <w:tc>
          <w:tcPr>
            <w:tcW w:w="1552" w:type="dxa"/>
            <w:tcBorders>
              <w:top w:val="nil"/>
              <w:left w:val="nil"/>
              <w:bottom w:val="single" w:color="auto" w:sz="4" w:space="0"/>
              <w:right w:val="single" w:color="auto" w:sz="4" w:space="0"/>
            </w:tcBorders>
            <w:shd w:val="clear" w:color="auto" w:fill="auto"/>
            <w:vAlign w:val="center"/>
          </w:tcPr>
          <w:p w:rsidRPr="00AE1B2B" w:rsidR="009D3FB5" w:rsidP="00163B94" w:rsidRDefault="009D3FB5" w14:paraId="1FC87CDA" w14:textId="77777777">
            <w:pPr>
              <w:spacing w:before="120" w:after="120"/>
              <w:jc w:val="center"/>
              <w:rPr>
                <w:rFonts w:ascii="Times New Roman" w:hAnsi="Times New Roman" w:cs="Times New Roman"/>
                <w:i/>
                <w:iCs/>
                <w:lang w:eastAsia="es-CR"/>
              </w:rPr>
            </w:pPr>
            <w:r w:rsidRPr="00AE1B2B">
              <w:rPr>
                <w:rFonts w:ascii="Times New Roman" w:hAnsi="Times New Roman" w:cs="Times New Roman"/>
                <w:i/>
                <w:iCs/>
                <w:lang w:eastAsia="es-CR"/>
              </w:rPr>
              <w:t xml:space="preserve">₡36.462.000,00 </w:t>
            </w:r>
          </w:p>
        </w:tc>
      </w:tr>
      <w:tr w:rsidRPr="00AE1B2B" w:rsidR="00AE1B2B" w:rsidTr="009D3FB5" w14:paraId="6A865CCA" w14:textId="77777777">
        <w:trPr>
          <w:trHeight w:val="276"/>
          <w:jc w:val="center"/>
        </w:trPr>
        <w:tc>
          <w:tcPr>
            <w:tcW w:w="3488" w:type="dxa"/>
            <w:gridSpan w:val="2"/>
            <w:tcBorders>
              <w:top w:val="single" w:color="auto" w:sz="4" w:space="0"/>
              <w:left w:val="single" w:color="auto" w:sz="4" w:space="0"/>
              <w:bottom w:val="single" w:color="auto" w:sz="4" w:space="0"/>
              <w:right w:val="single" w:color="auto" w:sz="4" w:space="0"/>
            </w:tcBorders>
            <w:shd w:val="clear" w:color="000000" w:fill="C0C0C0"/>
            <w:vAlign w:val="center"/>
            <w:hideMark/>
          </w:tcPr>
          <w:p w:rsidRPr="00AE1B2B" w:rsidR="009D3FB5" w:rsidP="00163B94" w:rsidRDefault="009D3FB5" w14:paraId="34542598" w14:textId="77777777">
            <w:pPr>
              <w:spacing w:before="120" w:after="120"/>
              <w:jc w:val="right"/>
              <w:rPr>
                <w:rFonts w:ascii="Times New Roman" w:hAnsi="Times New Roman" w:cs="Times New Roman"/>
                <w:b/>
                <w:bCs/>
                <w:i/>
                <w:iCs/>
                <w:lang w:eastAsia="es-CR"/>
              </w:rPr>
            </w:pPr>
            <w:r w:rsidRPr="00AE1B2B">
              <w:rPr>
                <w:rFonts w:ascii="Times New Roman" w:hAnsi="Times New Roman" w:cs="Times New Roman"/>
                <w:b/>
                <w:bCs/>
                <w:i/>
                <w:iCs/>
                <w:lang w:eastAsia="es-CR"/>
              </w:rPr>
              <w:t>Total</w:t>
            </w:r>
          </w:p>
        </w:tc>
        <w:tc>
          <w:tcPr>
            <w:tcW w:w="1069" w:type="dxa"/>
            <w:tcBorders>
              <w:top w:val="nil"/>
              <w:left w:val="nil"/>
              <w:bottom w:val="single" w:color="auto" w:sz="4" w:space="0"/>
              <w:right w:val="single" w:color="auto" w:sz="4" w:space="0"/>
            </w:tcBorders>
            <w:shd w:val="clear" w:color="000000" w:fill="C0C0C0"/>
            <w:vAlign w:val="center"/>
            <w:hideMark/>
          </w:tcPr>
          <w:p w:rsidRPr="00AE1B2B" w:rsidR="009D3FB5" w:rsidP="00163B94" w:rsidRDefault="009D3FB5" w14:paraId="1B330E8A"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22</w:t>
            </w:r>
          </w:p>
        </w:tc>
        <w:tc>
          <w:tcPr>
            <w:tcW w:w="5305" w:type="dxa"/>
            <w:gridSpan w:val="4"/>
            <w:tcBorders>
              <w:top w:val="single" w:color="auto" w:sz="4" w:space="0"/>
              <w:left w:val="nil"/>
              <w:bottom w:val="single" w:color="auto" w:sz="4" w:space="0"/>
              <w:right w:val="single" w:color="auto" w:sz="4" w:space="0"/>
            </w:tcBorders>
            <w:shd w:val="clear" w:color="000000" w:fill="C0C0C0"/>
            <w:vAlign w:val="center"/>
            <w:hideMark/>
          </w:tcPr>
          <w:p w:rsidRPr="00AE1B2B" w:rsidR="009D3FB5" w:rsidP="00163B94" w:rsidRDefault="009D3FB5" w14:paraId="10C18134" w14:textId="77777777">
            <w:pPr>
              <w:spacing w:before="120" w:after="120"/>
              <w:jc w:val="right"/>
              <w:rPr>
                <w:rFonts w:ascii="Times New Roman" w:hAnsi="Times New Roman" w:cs="Times New Roman"/>
                <w:b/>
                <w:bCs/>
                <w:i/>
                <w:iCs/>
                <w:lang w:eastAsia="es-CR"/>
              </w:rPr>
            </w:pPr>
            <w:r w:rsidRPr="00AE1B2B">
              <w:rPr>
                <w:rFonts w:ascii="Times New Roman" w:hAnsi="Times New Roman" w:cs="Times New Roman"/>
                <w:b/>
                <w:bCs/>
                <w:i/>
                <w:iCs/>
                <w:lang w:eastAsia="es-CR"/>
              </w:rPr>
              <w:t xml:space="preserve">₡401.082.000,00 </w:t>
            </w:r>
          </w:p>
        </w:tc>
      </w:tr>
    </w:tbl>
    <w:p w:rsidRPr="00AE1B2B" w:rsidR="009D3FB5" w:rsidP="00163B94" w:rsidRDefault="009D3FB5" w14:paraId="3FA2945D" w14:textId="77777777">
      <w:pPr>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i/>
          <w:iCs/>
        </w:rPr>
        <w:t xml:space="preserve">Fuente: Dirección de Planificación de acuerdo con información suministrada por el </w:t>
      </w:r>
      <w:r w:rsidRPr="00AE1B2B">
        <w:rPr>
          <w:rFonts w:ascii="Times New Roman" w:hAnsi="Times New Roman" w:cs="Times New Roman"/>
          <w:i/>
          <w:iCs/>
          <w:sz w:val="26"/>
          <w:szCs w:val="26"/>
        </w:rPr>
        <w:t>Subproceso de Formulación de Presupuesto y Portafolio de Proyectos</w:t>
      </w:r>
    </w:p>
    <w:p w:rsidRPr="00AE1B2B" w:rsidR="009D3FB5" w:rsidP="00163B94" w:rsidRDefault="009D3FB5" w14:paraId="5B228B9A"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5752684A"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Las veintidos plazas de Custodio de Detenidos requeridos para las oficinas del OIJ de Heredia, Corredores, Bribri, Bataán, Puriscal (quienes cuentan en la actualidad con una plaza a modo de préstamo por parte del I Circuito Judicial de San José, de Custodia o Custodio de persona detenida), Los Chiles, Buenos Aires, Atenas, Santa Cruz, Turrialba, Sarapiquí, Cañas y Siquirres implicarían un costo total anual de ₡ 401.082.000,00 en lo que respecta al rubro de Recurso Humano. Aunado a lo anterior, a continuación, se muestran los costos asociados a los requerimientos de equipo básico para el personal custodio de detenidos, tomando en consideración que una plaza de Custodio de Detenidos requiere del siguiente equipo:</w:t>
      </w:r>
    </w:p>
    <w:p w:rsidRPr="00AE1B2B" w:rsidR="009D3FB5" w:rsidP="00163B94" w:rsidRDefault="009D3FB5" w14:paraId="0F77B474" w14:textId="77777777">
      <w:pPr>
        <w:pStyle w:val="Descripcin"/>
        <w:keepNext/>
        <w:spacing w:before="120" w:after="120"/>
        <w:ind w:left="851" w:right="851" w:firstLine="709"/>
        <w:jc w:val="both"/>
        <w:rPr>
          <w:rFonts w:ascii="Times New Roman" w:hAnsi="Times New Roman" w:cs="Times New Roman"/>
          <w:b w:val="0"/>
          <w:bCs w:val="0"/>
          <w:i/>
          <w:iCs/>
          <w:sz w:val="26"/>
          <w:szCs w:val="26"/>
          <w:lang w:val="es-CR"/>
        </w:rPr>
      </w:pPr>
    </w:p>
    <w:p w:rsidRPr="00AE1B2B" w:rsidR="009D3FB5" w:rsidP="00163B94" w:rsidRDefault="009D3FB5" w14:paraId="7E528A3F"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3F8E975C"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5C5183A8"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3E3498B3" w14:textId="77777777">
      <w:pPr>
        <w:pStyle w:val="Descripcin"/>
        <w:keepNext/>
        <w:spacing w:before="120" w:after="120"/>
        <w:ind w:left="851" w:right="851" w:firstLine="709"/>
        <w:jc w:val="center"/>
        <w:rPr>
          <w:rFonts w:ascii="Times New Roman" w:hAnsi="Times New Roman" w:cs="Times New Roman"/>
          <w:bCs w:val="0"/>
          <w:i/>
          <w:iCs/>
          <w:sz w:val="26"/>
          <w:szCs w:val="26"/>
          <w:lang w:val="es-CR"/>
        </w:rPr>
      </w:pPr>
      <w:r w:rsidRPr="00AE1B2B">
        <w:rPr>
          <w:rFonts w:ascii="Times New Roman" w:hAnsi="Times New Roman" w:cs="Times New Roman"/>
          <w:bCs w:val="0"/>
          <w:i/>
          <w:iCs/>
          <w:sz w:val="26"/>
          <w:szCs w:val="26"/>
          <w:lang w:val="es-CR"/>
        </w:rPr>
        <w:t>Cuadro 2. Equipamiento básico para una plaza de Custodio de Detenidos (Detalle y Costo 2021)</w:t>
      </w:r>
    </w:p>
    <w:p w:rsidRPr="00AE1B2B" w:rsidR="009D3FB5" w:rsidP="00163B94" w:rsidRDefault="009D3FB5" w14:paraId="02D2EE9C" w14:textId="77777777">
      <w:pPr>
        <w:spacing w:before="120" w:after="120"/>
        <w:ind w:left="708"/>
        <w:rPr>
          <w:rFonts w:ascii="Times New Roman" w:hAnsi="Times New Roman" w:cs="Times New Roman"/>
          <w:i/>
          <w:iCs/>
        </w:rPr>
      </w:pPr>
      <w:r w:rsidRPr="00AE1B2B">
        <w:rPr>
          <w:rFonts w:ascii="Times New Roman" w:hAnsi="Times New Roman" w:cs="Times New Roman"/>
          <w:i/>
          <w:iCs/>
          <w:noProof/>
          <w:lang w:val="en-US"/>
        </w:rPr>
        <w:drawing>
          <wp:anchor distT="0" distB="0" distL="114300" distR="114300" simplePos="0" relativeHeight="251670528" behindDoc="0" locked="0" layoutInCell="1" allowOverlap="1" wp14:anchorId="629303C8" wp14:editId="3D05066B">
            <wp:simplePos x="0" y="0"/>
            <wp:positionH relativeFrom="margin">
              <wp:align>center</wp:align>
            </wp:positionH>
            <wp:positionV relativeFrom="paragraph">
              <wp:posOffset>185420</wp:posOffset>
            </wp:positionV>
            <wp:extent cx="6303491" cy="2262554"/>
            <wp:effectExtent l="0" t="0" r="2540" b="444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303491" cy="2262554"/>
                    </a:xfrm>
                    <a:prstGeom prst="rect">
                      <a:avLst/>
                    </a:prstGeom>
                    <a:noFill/>
                    <a:ln>
                      <a:noFill/>
                    </a:ln>
                  </pic:spPr>
                </pic:pic>
              </a:graphicData>
            </a:graphic>
          </wp:anchor>
        </w:drawing>
      </w:r>
    </w:p>
    <w:p w:rsidRPr="00AE1B2B" w:rsidR="009D3FB5" w:rsidP="00163B94" w:rsidRDefault="009D3FB5" w14:paraId="71189981" w14:textId="77777777">
      <w:pPr>
        <w:pStyle w:val="Descripcin"/>
        <w:keepNext/>
        <w:spacing w:before="120" w:after="120"/>
        <w:ind w:left="708"/>
        <w:rPr>
          <w:rFonts w:ascii="Times New Roman" w:hAnsi="Times New Roman" w:cs="Times New Roman"/>
          <w:i/>
          <w:iCs/>
          <w:sz w:val="24"/>
          <w:szCs w:val="24"/>
        </w:rPr>
      </w:pPr>
    </w:p>
    <w:p w:rsidRPr="00AE1B2B" w:rsidR="009D3FB5" w:rsidP="00163B94" w:rsidRDefault="009D3FB5" w14:paraId="57C5EAF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De acuerdo con la información mostrada en los cuadros 1 y 2, a continuación, se muestran los requerimientos y costos totales asociados a la dotación de veintidós plazas de Custodio de Detenidos, no se cargaron costos de equipamiento para aquellas zonas en las cuales se cuenta con plan remedial porque ya tienen el equipo.</w:t>
      </w:r>
    </w:p>
    <w:p w:rsidRPr="00AE1B2B" w:rsidR="009D3FB5" w:rsidP="00163B94" w:rsidRDefault="009D3FB5" w14:paraId="5ED3F54C" w14:textId="77777777">
      <w:pPr>
        <w:pStyle w:val="Descripcin"/>
        <w:keepNext/>
        <w:spacing w:before="120" w:after="120"/>
        <w:ind w:left="851" w:right="851" w:firstLine="709"/>
        <w:jc w:val="center"/>
        <w:rPr>
          <w:rFonts w:ascii="Times New Roman" w:hAnsi="Times New Roman" w:cs="Times New Roman"/>
          <w:b w:val="0"/>
          <w:bCs w:val="0"/>
          <w:i/>
          <w:iCs/>
          <w:sz w:val="26"/>
          <w:szCs w:val="26"/>
          <w:lang w:val="es-CR"/>
        </w:rPr>
      </w:pPr>
      <w:r w:rsidRPr="00AE1B2B">
        <w:rPr>
          <w:rFonts w:ascii="Times New Roman" w:hAnsi="Times New Roman" w:cs="Times New Roman"/>
          <w:b w:val="0"/>
          <w:bCs w:val="0"/>
          <w:i/>
          <w:iCs/>
          <w:sz w:val="26"/>
          <w:szCs w:val="26"/>
          <w:lang w:val="es-CR"/>
        </w:rPr>
        <w:t xml:space="preserve">Cuadro </w:t>
      </w:r>
      <w:r w:rsidRPr="00AE1B2B">
        <w:rPr>
          <w:rFonts w:ascii="Times New Roman" w:hAnsi="Times New Roman" w:cs="Times New Roman"/>
          <w:b w:val="0"/>
          <w:bCs w:val="0"/>
          <w:i/>
          <w:iCs/>
          <w:sz w:val="26"/>
          <w:szCs w:val="26"/>
          <w:lang w:val="es-CR"/>
        </w:rPr>
        <w:fldChar w:fldCharType="begin"/>
      </w:r>
      <w:r w:rsidRPr="00AE1B2B">
        <w:rPr>
          <w:rFonts w:ascii="Times New Roman" w:hAnsi="Times New Roman" w:cs="Times New Roman"/>
          <w:b w:val="0"/>
          <w:bCs w:val="0"/>
          <w:i/>
          <w:iCs/>
          <w:sz w:val="26"/>
          <w:szCs w:val="26"/>
          <w:lang w:val="es-CR"/>
        </w:rPr>
        <w:instrText xml:space="preserve"> SEQ Cuadro \* ARABIC </w:instrText>
      </w:r>
      <w:r w:rsidRPr="00AE1B2B">
        <w:rPr>
          <w:rFonts w:ascii="Times New Roman" w:hAnsi="Times New Roman" w:cs="Times New Roman"/>
          <w:b w:val="0"/>
          <w:bCs w:val="0"/>
          <w:i/>
          <w:iCs/>
          <w:sz w:val="26"/>
          <w:szCs w:val="26"/>
          <w:lang w:val="es-CR"/>
        </w:rPr>
        <w:fldChar w:fldCharType="separate"/>
      </w:r>
      <w:r w:rsidRPr="00AE1B2B">
        <w:rPr>
          <w:rFonts w:ascii="Times New Roman" w:hAnsi="Times New Roman" w:cs="Times New Roman"/>
          <w:b w:val="0"/>
          <w:bCs w:val="0"/>
          <w:i/>
          <w:iCs/>
          <w:sz w:val="26"/>
          <w:szCs w:val="26"/>
          <w:lang w:val="es-CR"/>
        </w:rPr>
        <w:t>3</w:t>
      </w:r>
      <w:r w:rsidRPr="00AE1B2B">
        <w:rPr>
          <w:rFonts w:ascii="Times New Roman" w:hAnsi="Times New Roman" w:cs="Times New Roman"/>
          <w:b w:val="0"/>
          <w:bCs w:val="0"/>
          <w:i/>
          <w:iCs/>
          <w:sz w:val="26"/>
          <w:szCs w:val="26"/>
          <w:lang w:val="es-CR"/>
        </w:rPr>
        <w:fldChar w:fldCharType="end"/>
      </w:r>
      <w:r w:rsidRPr="00AE1B2B">
        <w:rPr>
          <w:rFonts w:ascii="Times New Roman" w:hAnsi="Times New Roman" w:cs="Times New Roman"/>
          <w:b w:val="0"/>
          <w:bCs w:val="0"/>
          <w:i/>
          <w:iCs/>
          <w:sz w:val="26"/>
          <w:szCs w:val="26"/>
          <w:lang w:val="es-CR"/>
        </w:rPr>
        <w:t xml:space="preserve">. Requerimientos y Costos Asociados a la dotación de veintidós plazas de Custodio de Detenidos </w:t>
      </w:r>
    </w:p>
    <w:p w:rsidRPr="00AE1B2B" w:rsidR="009D3FB5" w:rsidP="00163B94" w:rsidRDefault="009D3FB5" w14:paraId="04765036" w14:textId="77777777">
      <w:pPr>
        <w:spacing w:before="120" w:after="120"/>
        <w:ind w:left="708"/>
        <w:rPr>
          <w:rFonts w:ascii="Times New Roman" w:hAnsi="Times New Roman" w:cs="Times New Roman"/>
          <w:i/>
          <w:iCs/>
        </w:rPr>
      </w:pPr>
    </w:p>
    <w:tbl>
      <w:tblPr>
        <w:tblW w:w="7928" w:type="dxa"/>
        <w:jc w:val="center"/>
        <w:tblCellMar>
          <w:left w:w="70" w:type="dxa"/>
          <w:right w:w="70" w:type="dxa"/>
        </w:tblCellMar>
        <w:tblLook w:val="04A0" w:firstRow="1" w:lastRow="0" w:firstColumn="1" w:lastColumn="0" w:noHBand="0" w:noVBand="1"/>
      </w:tblPr>
      <w:tblGrid>
        <w:gridCol w:w="4000"/>
        <w:gridCol w:w="1740"/>
        <w:gridCol w:w="2188"/>
      </w:tblGrid>
      <w:tr w:rsidRPr="00AE1B2B" w:rsidR="00AE1B2B" w:rsidTr="009D3FB5" w14:paraId="4AC4F209" w14:textId="77777777">
        <w:trPr>
          <w:trHeight w:val="300"/>
          <w:jc w:val="center"/>
        </w:trPr>
        <w:tc>
          <w:tcPr>
            <w:tcW w:w="4000" w:type="dxa"/>
            <w:vMerge w:val="restart"/>
            <w:tcBorders>
              <w:top w:val="single" w:color="auto" w:sz="8" w:space="0"/>
              <w:left w:val="single" w:color="auto" w:sz="8" w:space="0"/>
              <w:bottom w:val="single" w:color="000000" w:sz="8" w:space="0"/>
              <w:right w:val="single" w:color="auto" w:sz="8" w:space="0"/>
            </w:tcBorders>
            <w:shd w:val="clear" w:color="auto" w:fill="auto"/>
            <w:noWrap/>
            <w:vAlign w:val="center"/>
            <w:hideMark/>
          </w:tcPr>
          <w:p w:rsidRPr="00AE1B2B" w:rsidR="009D3FB5" w:rsidP="00163B94" w:rsidRDefault="009D3FB5" w14:paraId="49EFD4CC"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lastRenderedPageBreak/>
              <w:t>REQUERIMIENTO</w:t>
            </w:r>
          </w:p>
        </w:tc>
        <w:tc>
          <w:tcPr>
            <w:tcW w:w="1740" w:type="dxa"/>
            <w:tcBorders>
              <w:top w:val="single" w:color="auto" w:sz="8" w:space="0"/>
              <w:left w:val="nil"/>
              <w:bottom w:val="single" w:color="auto" w:sz="8" w:space="0"/>
              <w:right w:val="nil"/>
            </w:tcBorders>
            <w:shd w:val="clear" w:color="auto" w:fill="auto"/>
            <w:noWrap/>
            <w:vAlign w:val="center"/>
            <w:hideMark/>
          </w:tcPr>
          <w:p w:rsidRPr="00AE1B2B" w:rsidR="009D3FB5" w:rsidP="00163B94" w:rsidRDefault="009D3FB5" w14:paraId="10C38442"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Programa</w:t>
            </w:r>
          </w:p>
        </w:tc>
        <w:tc>
          <w:tcPr>
            <w:tcW w:w="2188" w:type="dxa"/>
            <w:tcBorders>
              <w:top w:val="single" w:color="auto" w:sz="8" w:space="0"/>
              <w:left w:val="nil"/>
              <w:bottom w:val="single" w:color="auto" w:sz="8" w:space="0"/>
              <w:right w:val="single" w:color="auto" w:sz="8" w:space="0"/>
            </w:tcBorders>
            <w:shd w:val="clear" w:color="auto" w:fill="auto"/>
            <w:noWrap/>
            <w:vAlign w:val="center"/>
            <w:hideMark/>
          </w:tcPr>
          <w:p w:rsidRPr="00AE1B2B" w:rsidR="009D3FB5" w:rsidP="00163B94" w:rsidRDefault="009D3FB5" w14:paraId="37B58BE7" w14:textId="77777777">
            <w:pPr>
              <w:spacing w:before="120" w:after="120"/>
              <w:rPr>
                <w:rFonts w:ascii="Times New Roman" w:hAnsi="Times New Roman" w:cs="Times New Roman"/>
                <w:b/>
                <w:bCs/>
                <w:i/>
                <w:iCs/>
                <w:lang w:eastAsia="es-CR"/>
              </w:rPr>
            </w:pPr>
            <w:r w:rsidRPr="00AE1B2B">
              <w:rPr>
                <w:rFonts w:ascii="Times New Roman" w:hAnsi="Times New Roman" w:cs="Times New Roman"/>
                <w:b/>
                <w:bCs/>
                <w:i/>
                <w:iCs/>
                <w:lang w:eastAsia="es-CR"/>
              </w:rPr>
              <w:t> </w:t>
            </w:r>
          </w:p>
        </w:tc>
      </w:tr>
      <w:tr w:rsidRPr="00AE1B2B" w:rsidR="00AE1B2B" w:rsidTr="009D3FB5" w14:paraId="3214DC4D" w14:textId="77777777">
        <w:trPr>
          <w:trHeight w:val="300"/>
          <w:jc w:val="center"/>
        </w:trPr>
        <w:tc>
          <w:tcPr>
            <w:tcW w:w="4000" w:type="dxa"/>
            <w:vMerge/>
            <w:tcBorders>
              <w:top w:val="single" w:color="auto" w:sz="8" w:space="0"/>
              <w:left w:val="single" w:color="auto" w:sz="8" w:space="0"/>
              <w:bottom w:val="single" w:color="000000" w:sz="8" w:space="0"/>
              <w:right w:val="single" w:color="auto" w:sz="8" w:space="0"/>
            </w:tcBorders>
            <w:vAlign w:val="center"/>
            <w:hideMark/>
          </w:tcPr>
          <w:p w:rsidRPr="00AE1B2B" w:rsidR="009D3FB5" w:rsidP="00163B94" w:rsidRDefault="009D3FB5" w14:paraId="00862A4D" w14:textId="77777777">
            <w:pPr>
              <w:spacing w:before="120" w:after="120"/>
              <w:rPr>
                <w:rFonts w:ascii="Times New Roman" w:hAnsi="Times New Roman" w:cs="Times New Roman"/>
                <w:b/>
                <w:bCs/>
                <w:i/>
                <w:iCs/>
                <w:lang w:eastAsia="es-CR"/>
              </w:rPr>
            </w:pPr>
          </w:p>
        </w:tc>
        <w:tc>
          <w:tcPr>
            <w:tcW w:w="1740"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36117615"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928</w:t>
            </w:r>
          </w:p>
        </w:tc>
        <w:tc>
          <w:tcPr>
            <w:tcW w:w="2188"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56EBE09D"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Costo total</w:t>
            </w:r>
          </w:p>
        </w:tc>
      </w:tr>
      <w:tr w:rsidRPr="00AE1B2B" w:rsidR="00AE1B2B" w:rsidTr="009D3FB5" w14:paraId="62D3CEA0" w14:textId="77777777">
        <w:trPr>
          <w:trHeight w:val="288"/>
          <w:jc w:val="center"/>
        </w:trPr>
        <w:tc>
          <w:tcPr>
            <w:tcW w:w="4000" w:type="dxa"/>
            <w:tcBorders>
              <w:top w:val="nil"/>
              <w:left w:val="single" w:color="auto" w:sz="8" w:space="0"/>
              <w:bottom w:val="nil"/>
              <w:right w:val="single" w:color="auto" w:sz="8" w:space="0"/>
            </w:tcBorders>
            <w:shd w:val="clear" w:color="auto" w:fill="auto"/>
            <w:noWrap/>
            <w:vAlign w:val="center"/>
            <w:hideMark/>
          </w:tcPr>
          <w:p w:rsidRPr="00AE1B2B" w:rsidR="009D3FB5" w:rsidP="00163B94" w:rsidRDefault="009D3FB5" w14:paraId="655433B6"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Recurso humano</w:t>
            </w:r>
          </w:p>
        </w:tc>
        <w:tc>
          <w:tcPr>
            <w:tcW w:w="1740" w:type="dxa"/>
            <w:tcBorders>
              <w:top w:val="nil"/>
              <w:left w:val="nil"/>
              <w:bottom w:val="nil"/>
              <w:right w:val="single" w:color="auto" w:sz="8" w:space="0"/>
            </w:tcBorders>
            <w:shd w:val="clear" w:color="auto" w:fill="auto"/>
            <w:noWrap/>
            <w:vAlign w:val="center"/>
            <w:hideMark/>
          </w:tcPr>
          <w:p w:rsidRPr="00AE1B2B" w:rsidR="009D3FB5" w:rsidP="00163B94" w:rsidRDefault="009D3FB5" w14:paraId="6A50C0BB" w14:textId="77777777">
            <w:pPr>
              <w:spacing w:before="120" w:after="120"/>
              <w:jc w:val="right"/>
              <w:rPr>
                <w:rFonts w:ascii="Times New Roman" w:hAnsi="Times New Roman" w:cs="Times New Roman"/>
                <w:i/>
                <w:iCs/>
                <w:lang w:eastAsia="es-CR"/>
              </w:rPr>
            </w:pPr>
            <w:r w:rsidRPr="00AE1B2B">
              <w:rPr>
                <w:rFonts w:ascii="Times New Roman" w:hAnsi="Times New Roman" w:cs="Times New Roman"/>
                <w:i/>
                <w:iCs/>
                <w:lang w:eastAsia="es-CR"/>
              </w:rPr>
              <w:t>₡</w:t>
            </w:r>
            <w:r w:rsidRPr="00AE1B2B">
              <w:rPr>
                <w:rFonts w:ascii="Times New Roman" w:hAnsi="Times New Roman" w:cs="Times New Roman"/>
                <w:b/>
                <w:bCs/>
                <w:i/>
                <w:iCs/>
                <w:lang w:eastAsia="es-CR"/>
              </w:rPr>
              <w:t>401.082.000,00</w:t>
            </w:r>
          </w:p>
        </w:tc>
        <w:tc>
          <w:tcPr>
            <w:tcW w:w="2188" w:type="dxa"/>
            <w:tcBorders>
              <w:top w:val="nil"/>
              <w:left w:val="nil"/>
              <w:bottom w:val="nil"/>
              <w:right w:val="single" w:color="auto" w:sz="8" w:space="0"/>
            </w:tcBorders>
            <w:shd w:val="clear" w:color="auto" w:fill="auto"/>
            <w:noWrap/>
            <w:vAlign w:val="center"/>
            <w:hideMark/>
          </w:tcPr>
          <w:p w:rsidRPr="00AE1B2B" w:rsidR="009D3FB5" w:rsidP="00163B94" w:rsidRDefault="009D3FB5" w14:paraId="36FEAA30"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 xml:space="preserve"> ₡ </w:t>
            </w:r>
            <w:r w:rsidRPr="00AE1B2B">
              <w:rPr>
                <w:rFonts w:ascii="Times New Roman" w:hAnsi="Times New Roman" w:cs="Times New Roman"/>
                <w:b/>
                <w:bCs/>
                <w:i/>
                <w:iCs/>
                <w:lang w:eastAsia="es-CR"/>
              </w:rPr>
              <w:t>401.082.000,00</w:t>
            </w:r>
          </w:p>
        </w:tc>
      </w:tr>
      <w:tr w:rsidRPr="00AE1B2B" w:rsidR="00AE1B2B" w:rsidTr="009D3FB5" w14:paraId="72887B2C" w14:textId="77777777">
        <w:trPr>
          <w:trHeight w:val="300"/>
          <w:jc w:val="center"/>
        </w:trPr>
        <w:tc>
          <w:tcPr>
            <w:tcW w:w="4000" w:type="dxa"/>
            <w:tcBorders>
              <w:top w:val="nil"/>
              <w:left w:val="single" w:color="auto" w:sz="8" w:space="0"/>
              <w:bottom w:val="nil"/>
              <w:right w:val="single" w:color="auto" w:sz="8" w:space="0"/>
            </w:tcBorders>
            <w:shd w:val="clear" w:color="auto" w:fill="auto"/>
            <w:noWrap/>
            <w:vAlign w:val="center"/>
            <w:hideMark/>
          </w:tcPr>
          <w:p w:rsidRPr="00AE1B2B" w:rsidR="009D3FB5" w:rsidP="00163B94" w:rsidRDefault="009D3FB5" w14:paraId="72AAAC22"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Útiles y materiales de resguardo y seguridad</w:t>
            </w:r>
          </w:p>
        </w:tc>
        <w:tc>
          <w:tcPr>
            <w:tcW w:w="1740" w:type="dxa"/>
            <w:tcBorders>
              <w:top w:val="nil"/>
              <w:left w:val="nil"/>
              <w:bottom w:val="nil"/>
              <w:right w:val="single" w:color="auto" w:sz="8" w:space="0"/>
            </w:tcBorders>
            <w:shd w:val="clear" w:color="auto" w:fill="auto"/>
            <w:noWrap/>
            <w:vAlign w:val="center"/>
            <w:hideMark/>
          </w:tcPr>
          <w:p w:rsidRPr="00AE1B2B" w:rsidR="009D3FB5" w:rsidP="00163B94" w:rsidRDefault="009D3FB5" w14:paraId="189A96A8" w14:textId="77777777">
            <w:pPr>
              <w:spacing w:before="120" w:after="120"/>
              <w:jc w:val="right"/>
              <w:rPr>
                <w:rFonts w:ascii="Times New Roman" w:hAnsi="Times New Roman" w:cs="Times New Roman"/>
                <w:i/>
                <w:iCs/>
                <w:lang w:eastAsia="es-CR"/>
              </w:rPr>
            </w:pPr>
            <w:r w:rsidRPr="00AE1B2B">
              <w:rPr>
                <w:rFonts w:ascii="Times New Roman" w:hAnsi="Times New Roman" w:cs="Times New Roman"/>
                <w:i/>
                <w:iCs/>
                <w:lang w:eastAsia="es-CR"/>
              </w:rPr>
              <w:t>₡11.686.912,00</w:t>
            </w:r>
          </w:p>
        </w:tc>
        <w:tc>
          <w:tcPr>
            <w:tcW w:w="2188" w:type="dxa"/>
            <w:tcBorders>
              <w:top w:val="nil"/>
              <w:left w:val="nil"/>
              <w:bottom w:val="nil"/>
              <w:right w:val="single" w:color="auto" w:sz="8" w:space="0"/>
            </w:tcBorders>
            <w:shd w:val="clear" w:color="auto" w:fill="auto"/>
            <w:noWrap/>
            <w:vAlign w:val="center"/>
            <w:hideMark/>
          </w:tcPr>
          <w:p w:rsidRPr="00AE1B2B" w:rsidR="009D3FB5" w:rsidP="00163B94" w:rsidRDefault="009D3FB5" w14:paraId="7D9259B5" w14:textId="4B7CC260">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 xml:space="preserve"> ₡</w:t>
            </w:r>
            <w:r w:rsidRPr="00AE1B2B" w:rsidR="00BB7720">
              <w:rPr>
                <w:rFonts w:ascii="Times New Roman" w:hAnsi="Times New Roman" w:cs="Times New Roman"/>
                <w:i/>
                <w:iCs/>
                <w:lang w:eastAsia="es-CR"/>
              </w:rPr>
              <w:t xml:space="preserve"> </w:t>
            </w:r>
            <w:r w:rsidRPr="00AE1B2B">
              <w:rPr>
                <w:rFonts w:ascii="Times New Roman" w:hAnsi="Times New Roman" w:cs="Times New Roman"/>
                <w:i/>
                <w:iCs/>
                <w:lang w:eastAsia="es-CR"/>
              </w:rPr>
              <w:t xml:space="preserve">11.686.912,00 </w:t>
            </w:r>
          </w:p>
        </w:tc>
      </w:tr>
      <w:tr w:rsidRPr="00AE1B2B" w:rsidR="00AE1B2B" w:rsidTr="009D3FB5" w14:paraId="34F21B83" w14:textId="77777777">
        <w:trPr>
          <w:trHeight w:val="288"/>
          <w:jc w:val="center"/>
        </w:trPr>
        <w:tc>
          <w:tcPr>
            <w:tcW w:w="4000" w:type="dxa"/>
            <w:tcBorders>
              <w:top w:val="nil"/>
              <w:left w:val="single" w:color="auto" w:sz="8" w:space="0"/>
              <w:bottom w:val="nil"/>
              <w:right w:val="single" w:color="auto" w:sz="8" w:space="0"/>
            </w:tcBorders>
            <w:shd w:val="clear" w:color="auto" w:fill="auto"/>
            <w:noWrap/>
            <w:vAlign w:val="center"/>
            <w:hideMark/>
          </w:tcPr>
          <w:p w:rsidRPr="00AE1B2B" w:rsidR="009D3FB5" w:rsidP="00163B94" w:rsidRDefault="009D3FB5" w14:paraId="78EA4217"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Equipo de transporte terrestre</w:t>
            </w:r>
          </w:p>
        </w:tc>
        <w:tc>
          <w:tcPr>
            <w:tcW w:w="1740" w:type="dxa"/>
            <w:tcBorders>
              <w:top w:val="nil"/>
              <w:left w:val="nil"/>
              <w:bottom w:val="nil"/>
              <w:right w:val="single" w:color="auto" w:sz="8" w:space="0"/>
            </w:tcBorders>
            <w:shd w:val="clear" w:color="auto" w:fill="auto"/>
            <w:noWrap/>
            <w:vAlign w:val="center"/>
            <w:hideMark/>
          </w:tcPr>
          <w:p w:rsidRPr="00AE1B2B" w:rsidR="009D3FB5" w:rsidP="00163B94" w:rsidRDefault="009D3FB5" w14:paraId="4DF656FA" w14:textId="77777777">
            <w:pPr>
              <w:spacing w:before="120" w:after="120"/>
              <w:jc w:val="right"/>
              <w:rPr>
                <w:rFonts w:ascii="Times New Roman" w:hAnsi="Times New Roman" w:cs="Times New Roman"/>
                <w:i/>
                <w:iCs/>
                <w:lang w:eastAsia="es-CR"/>
              </w:rPr>
            </w:pPr>
            <w:r w:rsidRPr="00AE1B2B">
              <w:rPr>
                <w:rFonts w:ascii="Times New Roman" w:hAnsi="Times New Roman" w:cs="Times New Roman"/>
                <w:i/>
                <w:iCs/>
                <w:lang w:eastAsia="es-CR"/>
              </w:rPr>
              <w:t>₡118.650.000,00</w:t>
            </w:r>
          </w:p>
        </w:tc>
        <w:tc>
          <w:tcPr>
            <w:tcW w:w="2188" w:type="dxa"/>
            <w:tcBorders>
              <w:top w:val="nil"/>
              <w:left w:val="nil"/>
              <w:bottom w:val="nil"/>
              <w:right w:val="single" w:color="auto" w:sz="8" w:space="0"/>
            </w:tcBorders>
            <w:shd w:val="clear" w:color="auto" w:fill="auto"/>
            <w:noWrap/>
            <w:vAlign w:val="center"/>
            <w:hideMark/>
          </w:tcPr>
          <w:p w:rsidRPr="00AE1B2B" w:rsidR="009D3FB5" w:rsidP="00163B94" w:rsidRDefault="009D3FB5" w14:paraId="7E73A0F0"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 xml:space="preserve"> ₡ 118.650.000,00 </w:t>
            </w:r>
          </w:p>
        </w:tc>
      </w:tr>
      <w:tr w:rsidRPr="00AE1B2B" w:rsidR="00AE1B2B" w:rsidTr="009D3FB5" w14:paraId="3309890A" w14:textId="77777777">
        <w:trPr>
          <w:trHeight w:val="288"/>
          <w:jc w:val="center"/>
        </w:trPr>
        <w:tc>
          <w:tcPr>
            <w:tcW w:w="4000" w:type="dxa"/>
            <w:tcBorders>
              <w:top w:val="nil"/>
              <w:left w:val="single" w:color="auto" w:sz="8" w:space="0"/>
              <w:bottom w:val="nil"/>
              <w:right w:val="single" w:color="auto" w:sz="8" w:space="0"/>
            </w:tcBorders>
            <w:shd w:val="clear" w:color="auto" w:fill="auto"/>
            <w:noWrap/>
            <w:vAlign w:val="center"/>
            <w:hideMark/>
          </w:tcPr>
          <w:p w:rsidRPr="00AE1B2B" w:rsidR="009D3FB5" w:rsidP="00163B94" w:rsidRDefault="009D3FB5" w14:paraId="47164209"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Maquinaria y equipo diverso</w:t>
            </w:r>
          </w:p>
        </w:tc>
        <w:tc>
          <w:tcPr>
            <w:tcW w:w="1740" w:type="dxa"/>
            <w:tcBorders>
              <w:top w:val="nil"/>
              <w:left w:val="nil"/>
              <w:bottom w:val="nil"/>
              <w:right w:val="single" w:color="auto" w:sz="8" w:space="0"/>
            </w:tcBorders>
            <w:shd w:val="clear" w:color="auto" w:fill="auto"/>
            <w:noWrap/>
            <w:vAlign w:val="center"/>
            <w:hideMark/>
          </w:tcPr>
          <w:p w:rsidRPr="00AE1B2B" w:rsidR="009D3FB5" w:rsidP="00163B94" w:rsidRDefault="009D3FB5" w14:paraId="3BF03E1E" w14:textId="77777777">
            <w:pPr>
              <w:spacing w:before="120" w:after="120"/>
              <w:jc w:val="right"/>
              <w:rPr>
                <w:rFonts w:ascii="Times New Roman" w:hAnsi="Times New Roman" w:cs="Times New Roman"/>
                <w:i/>
                <w:iCs/>
                <w:lang w:eastAsia="es-CR"/>
              </w:rPr>
            </w:pPr>
            <w:r w:rsidRPr="00AE1B2B">
              <w:rPr>
                <w:rFonts w:ascii="Times New Roman" w:hAnsi="Times New Roman" w:cs="Times New Roman"/>
                <w:i/>
                <w:iCs/>
                <w:lang w:eastAsia="es-CR"/>
              </w:rPr>
              <w:t>₡13.846.414,24</w:t>
            </w:r>
          </w:p>
        </w:tc>
        <w:tc>
          <w:tcPr>
            <w:tcW w:w="2188" w:type="dxa"/>
            <w:tcBorders>
              <w:top w:val="nil"/>
              <w:left w:val="nil"/>
              <w:bottom w:val="nil"/>
              <w:right w:val="single" w:color="auto" w:sz="8" w:space="0"/>
            </w:tcBorders>
            <w:shd w:val="clear" w:color="auto" w:fill="auto"/>
            <w:noWrap/>
            <w:vAlign w:val="center"/>
            <w:hideMark/>
          </w:tcPr>
          <w:p w:rsidRPr="00AE1B2B" w:rsidR="009D3FB5" w:rsidP="00163B94" w:rsidRDefault="009D3FB5" w14:paraId="0A8BDF7E" w14:textId="1BECEA1F">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 xml:space="preserve"> ₡</w:t>
            </w:r>
            <w:r w:rsidRPr="00AE1B2B" w:rsidR="00BB7720">
              <w:rPr>
                <w:rFonts w:ascii="Times New Roman" w:hAnsi="Times New Roman" w:cs="Times New Roman"/>
                <w:i/>
                <w:iCs/>
                <w:lang w:eastAsia="es-CR"/>
              </w:rPr>
              <w:t xml:space="preserve"> </w:t>
            </w:r>
            <w:r w:rsidRPr="00AE1B2B">
              <w:rPr>
                <w:rFonts w:ascii="Times New Roman" w:hAnsi="Times New Roman" w:cs="Times New Roman"/>
                <w:i/>
                <w:iCs/>
                <w:lang w:eastAsia="es-CR"/>
              </w:rPr>
              <w:t xml:space="preserve">13.846.414,24 </w:t>
            </w:r>
          </w:p>
        </w:tc>
      </w:tr>
      <w:tr w:rsidRPr="00AE1B2B" w:rsidR="00AE1B2B" w:rsidTr="009D3FB5" w14:paraId="0DE0930C" w14:textId="77777777">
        <w:trPr>
          <w:trHeight w:val="300"/>
          <w:jc w:val="center"/>
        </w:trPr>
        <w:tc>
          <w:tcPr>
            <w:tcW w:w="4000" w:type="dxa"/>
            <w:tcBorders>
              <w:top w:val="nil"/>
              <w:left w:val="single" w:color="auto" w:sz="8" w:space="0"/>
              <w:bottom w:val="nil"/>
              <w:right w:val="single" w:color="auto" w:sz="8" w:space="0"/>
            </w:tcBorders>
            <w:shd w:val="clear" w:color="auto" w:fill="auto"/>
            <w:noWrap/>
            <w:vAlign w:val="center"/>
            <w:hideMark/>
          </w:tcPr>
          <w:p w:rsidRPr="00AE1B2B" w:rsidR="009D3FB5" w:rsidP="00163B94" w:rsidRDefault="009D3FB5" w14:paraId="0FDB1B2E"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 xml:space="preserve">Textiles y vestuario </w:t>
            </w:r>
          </w:p>
        </w:tc>
        <w:tc>
          <w:tcPr>
            <w:tcW w:w="1740" w:type="dxa"/>
            <w:tcBorders>
              <w:top w:val="nil"/>
              <w:left w:val="nil"/>
              <w:bottom w:val="nil"/>
              <w:right w:val="single" w:color="auto" w:sz="8" w:space="0"/>
            </w:tcBorders>
            <w:shd w:val="clear" w:color="auto" w:fill="auto"/>
            <w:noWrap/>
            <w:vAlign w:val="center"/>
            <w:hideMark/>
          </w:tcPr>
          <w:p w:rsidRPr="00AE1B2B" w:rsidR="009D3FB5" w:rsidP="00163B94" w:rsidRDefault="009D3FB5" w14:paraId="63AE5F51" w14:textId="77777777">
            <w:pPr>
              <w:spacing w:before="120" w:after="120"/>
              <w:jc w:val="right"/>
              <w:rPr>
                <w:rFonts w:ascii="Times New Roman" w:hAnsi="Times New Roman" w:cs="Times New Roman"/>
                <w:i/>
                <w:iCs/>
                <w:lang w:eastAsia="es-CR"/>
              </w:rPr>
            </w:pPr>
            <w:r w:rsidRPr="00AE1B2B">
              <w:rPr>
                <w:rFonts w:ascii="Times New Roman" w:hAnsi="Times New Roman" w:cs="Times New Roman"/>
                <w:i/>
                <w:iCs/>
                <w:lang w:eastAsia="es-CR"/>
              </w:rPr>
              <w:t>₡1.168.951,36</w:t>
            </w:r>
          </w:p>
        </w:tc>
        <w:tc>
          <w:tcPr>
            <w:tcW w:w="2188" w:type="dxa"/>
            <w:tcBorders>
              <w:top w:val="nil"/>
              <w:left w:val="nil"/>
              <w:bottom w:val="nil"/>
              <w:right w:val="single" w:color="auto" w:sz="8" w:space="0"/>
            </w:tcBorders>
            <w:shd w:val="clear" w:color="auto" w:fill="auto"/>
            <w:noWrap/>
            <w:vAlign w:val="center"/>
            <w:hideMark/>
          </w:tcPr>
          <w:p w:rsidRPr="00AE1B2B" w:rsidR="009D3FB5" w:rsidP="00163B94" w:rsidRDefault="009D3FB5" w14:paraId="338B9BB1" w14:textId="7CC807F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 xml:space="preserve"> ₡</w:t>
            </w:r>
            <w:r w:rsidRPr="00AE1B2B" w:rsidR="00BB7720">
              <w:rPr>
                <w:rFonts w:ascii="Times New Roman" w:hAnsi="Times New Roman" w:cs="Times New Roman"/>
                <w:i/>
                <w:iCs/>
                <w:lang w:eastAsia="es-CR"/>
              </w:rPr>
              <w:t xml:space="preserve"> </w:t>
            </w:r>
            <w:r w:rsidRPr="00AE1B2B">
              <w:rPr>
                <w:rFonts w:ascii="Times New Roman" w:hAnsi="Times New Roman" w:cs="Times New Roman"/>
                <w:i/>
                <w:iCs/>
                <w:lang w:eastAsia="es-CR"/>
              </w:rPr>
              <w:t xml:space="preserve">1.168.951,36 </w:t>
            </w:r>
          </w:p>
        </w:tc>
      </w:tr>
      <w:tr w:rsidRPr="00AE1B2B" w:rsidR="00AE1B2B" w:rsidTr="009D3FB5" w14:paraId="7C250B87" w14:textId="77777777">
        <w:trPr>
          <w:trHeight w:val="288"/>
          <w:jc w:val="center"/>
        </w:trPr>
        <w:tc>
          <w:tcPr>
            <w:tcW w:w="4000" w:type="dxa"/>
            <w:tcBorders>
              <w:top w:val="nil"/>
              <w:left w:val="single" w:color="auto" w:sz="8" w:space="0"/>
              <w:bottom w:val="nil"/>
              <w:right w:val="single" w:color="auto" w:sz="8" w:space="0"/>
            </w:tcBorders>
            <w:shd w:val="clear" w:color="auto" w:fill="auto"/>
            <w:noWrap/>
            <w:vAlign w:val="center"/>
            <w:hideMark/>
          </w:tcPr>
          <w:p w:rsidRPr="00AE1B2B" w:rsidR="009D3FB5" w:rsidP="00163B94" w:rsidRDefault="009D3FB5" w14:paraId="7B75DA3E"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 xml:space="preserve">Otros útiles materiales y suministros </w:t>
            </w:r>
          </w:p>
        </w:tc>
        <w:tc>
          <w:tcPr>
            <w:tcW w:w="1740" w:type="dxa"/>
            <w:tcBorders>
              <w:top w:val="nil"/>
              <w:left w:val="nil"/>
              <w:bottom w:val="nil"/>
              <w:right w:val="single" w:color="auto" w:sz="8" w:space="0"/>
            </w:tcBorders>
            <w:shd w:val="clear" w:color="auto" w:fill="auto"/>
            <w:noWrap/>
            <w:vAlign w:val="center"/>
            <w:hideMark/>
          </w:tcPr>
          <w:p w:rsidRPr="00AE1B2B" w:rsidR="009D3FB5" w:rsidP="00163B94" w:rsidRDefault="009D3FB5" w14:paraId="73428723" w14:textId="77777777">
            <w:pPr>
              <w:spacing w:before="120" w:after="120"/>
              <w:jc w:val="right"/>
              <w:rPr>
                <w:rFonts w:ascii="Times New Roman" w:hAnsi="Times New Roman" w:cs="Times New Roman"/>
                <w:i/>
                <w:iCs/>
                <w:lang w:eastAsia="es-CR"/>
              </w:rPr>
            </w:pPr>
            <w:r w:rsidRPr="00AE1B2B">
              <w:rPr>
                <w:rFonts w:ascii="Times New Roman" w:hAnsi="Times New Roman" w:cs="Times New Roman"/>
                <w:i/>
                <w:iCs/>
                <w:lang w:eastAsia="es-CR"/>
              </w:rPr>
              <w:t>₡448.986,56</w:t>
            </w:r>
          </w:p>
        </w:tc>
        <w:tc>
          <w:tcPr>
            <w:tcW w:w="2188" w:type="dxa"/>
            <w:tcBorders>
              <w:top w:val="nil"/>
              <w:left w:val="nil"/>
              <w:bottom w:val="nil"/>
              <w:right w:val="single" w:color="auto" w:sz="8" w:space="0"/>
            </w:tcBorders>
            <w:shd w:val="clear" w:color="auto" w:fill="auto"/>
            <w:noWrap/>
            <w:vAlign w:val="center"/>
            <w:hideMark/>
          </w:tcPr>
          <w:p w:rsidRPr="00AE1B2B" w:rsidR="009D3FB5" w:rsidP="00163B94" w:rsidRDefault="009D3FB5" w14:paraId="5A474B6A" w14:textId="3070DC29">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 xml:space="preserve"> ₡</w:t>
            </w:r>
            <w:r w:rsidRPr="00AE1B2B" w:rsidR="00BB7720">
              <w:rPr>
                <w:rFonts w:ascii="Times New Roman" w:hAnsi="Times New Roman" w:cs="Times New Roman"/>
                <w:i/>
                <w:iCs/>
                <w:lang w:eastAsia="es-CR"/>
              </w:rPr>
              <w:t xml:space="preserve"> </w:t>
            </w:r>
            <w:r w:rsidRPr="00AE1B2B">
              <w:rPr>
                <w:rFonts w:ascii="Times New Roman" w:hAnsi="Times New Roman" w:cs="Times New Roman"/>
                <w:i/>
                <w:iCs/>
                <w:lang w:eastAsia="es-CR"/>
              </w:rPr>
              <w:t xml:space="preserve">448.986,56 </w:t>
            </w:r>
          </w:p>
        </w:tc>
      </w:tr>
      <w:tr w:rsidRPr="00AE1B2B" w:rsidR="00AE1B2B" w:rsidTr="009D3FB5" w14:paraId="3F88DCFE" w14:textId="77777777">
        <w:trPr>
          <w:trHeight w:val="300"/>
          <w:jc w:val="center"/>
        </w:trPr>
        <w:tc>
          <w:tcPr>
            <w:tcW w:w="4000" w:type="dxa"/>
            <w:tcBorders>
              <w:top w:val="nil"/>
              <w:left w:val="single" w:color="auto" w:sz="8" w:space="0"/>
              <w:bottom w:val="nil"/>
              <w:right w:val="single" w:color="auto" w:sz="8" w:space="0"/>
            </w:tcBorders>
            <w:shd w:val="clear" w:color="auto" w:fill="auto"/>
            <w:noWrap/>
            <w:vAlign w:val="center"/>
            <w:hideMark/>
          </w:tcPr>
          <w:p w:rsidRPr="00AE1B2B" w:rsidR="009D3FB5" w:rsidP="00163B94" w:rsidRDefault="009D3FB5" w14:paraId="34383B12"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Equipo y mobiliario de plazas nuevas</w:t>
            </w:r>
          </w:p>
        </w:tc>
        <w:tc>
          <w:tcPr>
            <w:tcW w:w="1740" w:type="dxa"/>
            <w:tcBorders>
              <w:top w:val="nil"/>
              <w:left w:val="nil"/>
              <w:bottom w:val="nil"/>
              <w:right w:val="single" w:color="auto" w:sz="8" w:space="0"/>
            </w:tcBorders>
            <w:shd w:val="clear" w:color="auto" w:fill="auto"/>
            <w:noWrap/>
            <w:vAlign w:val="center"/>
            <w:hideMark/>
          </w:tcPr>
          <w:p w:rsidRPr="00AE1B2B" w:rsidR="009D3FB5" w:rsidP="00163B94" w:rsidRDefault="009D3FB5" w14:paraId="6C3EF349" w14:textId="77777777">
            <w:pPr>
              <w:spacing w:before="120" w:after="120"/>
              <w:jc w:val="right"/>
              <w:rPr>
                <w:rFonts w:ascii="Times New Roman" w:hAnsi="Times New Roman" w:cs="Times New Roman"/>
                <w:i/>
                <w:iCs/>
                <w:lang w:eastAsia="es-CR"/>
              </w:rPr>
            </w:pPr>
            <w:r w:rsidRPr="00AE1B2B">
              <w:rPr>
                <w:rFonts w:ascii="Times New Roman" w:hAnsi="Times New Roman" w:cs="Times New Roman"/>
                <w:i/>
                <w:iCs/>
                <w:lang w:eastAsia="es-CR"/>
              </w:rPr>
              <w:t>₡2.369.020,14</w:t>
            </w:r>
          </w:p>
        </w:tc>
        <w:tc>
          <w:tcPr>
            <w:tcW w:w="2188" w:type="dxa"/>
            <w:tcBorders>
              <w:top w:val="nil"/>
              <w:left w:val="nil"/>
              <w:bottom w:val="nil"/>
              <w:right w:val="single" w:color="auto" w:sz="8" w:space="0"/>
            </w:tcBorders>
            <w:shd w:val="clear" w:color="auto" w:fill="auto"/>
            <w:noWrap/>
            <w:vAlign w:val="center"/>
            <w:hideMark/>
          </w:tcPr>
          <w:p w:rsidRPr="00AE1B2B" w:rsidR="009D3FB5" w:rsidP="00163B94" w:rsidRDefault="009D3FB5" w14:paraId="460817E1" w14:textId="405CC0AF">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 xml:space="preserve"> ₡</w:t>
            </w:r>
            <w:r w:rsidRPr="00AE1B2B" w:rsidR="00BB7720">
              <w:rPr>
                <w:rFonts w:ascii="Times New Roman" w:hAnsi="Times New Roman" w:cs="Times New Roman"/>
                <w:i/>
                <w:iCs/>
                <w:lang w:eastAsia="es-CR"/>
              </w:rPr>
              <w:t xml:space="preserve"> </w:t>
            </w:r>
            <w:r w:rsidRPr="00AE1B2B">
              <w:rPr>
                <w:rFonts w:ascii="Times New Roman" w:hAnsi="Times New Roman" w:cs="Times New Roman"/>
                <w:i/>
                <w:iCs/>
                <w:lang w:eastAsia="es-CR"/>
              </w:rPr>
              <w:t xml:space="preserve">2.369.020,14 </w:t>
            </w:r>
          </w:p>
        </w:tc>
      </w:tr>
      <w:tr w:rsidRPr="00AE1B2B" w:rsidR="009D3FB5" w:rsidTr="009D3FB5" w14:paraId="701E0E46" w14:textId="77777777">
        <w:trPr>
          <w:trHeight w:val="300"/>
          <w:jc w:val="center"/>
        </w:trPr>
        <w:tc>
          <w:tcPr>
            <w:tcW w:w="4000" w:type="dxa"/>
            <w:tcBorders>
              <w:top w:val="single" w:color="auto" w:sz="8" w:space="0"/>
              <w:left w:val="single" w:color="auto" w:sz="8" w:space="0"/>
              <w:bottom w:val="single" w:color="auto" w:sz="8" w:space="0"/>
              <w:right w:val="nil"/>
            </w:tcBorders>
            <w:shd w:val="clear" w:color="auto" w:fill="auto"/>
            <w:noWrap/>
            <w:vAlign w:val="center"/>
            <w:hideMark/>
          </w:tcPr>
          <w:p w:rsidRPr="00AE1B2B" w:rsidR="009D3FB5" w:rsidP="00163B94" w:rsidRDefault="009D3FB5" w14:paraId="0092D657" w14:textId="77777777">
            <w:pPr>
              <w:spacing w:before="120" w:after="120"/>
              <w:jc w:val="right"/>
              <w:rPr>
                <w:rFonts w:ascii="Times New Roman" w:hAnsi="Times New Roman" w:cs="Times New Roman"/>
                <w:b/>
                <w:bCs/>
                <w:i/>
                <w:iCs/>
                <w:lang w:eastAsia="es-CR"/>
              </w:rPr>
            </w:pPr>
            <w:r w:rsidRPr="00AE1B2B">
              <w:rPr>
                <w:rFonts w:ascii="Times New Roman" w:hAnsi="Times New Roman" w:cs="Times New Roman"/>
                <w:b/>
                <w:bCs/>
                <w:i/>
                <w:iCs/>
                <w:lang w:eastAsia="es-CR"/>
              </w:rPr>
              <w:t>TOTAL</w:t>
            </w:r>
          </w:p>
        </w:tc>
        <w:tc>
          <w:tcPr>
            <w:tcW w:w="1740" w:type="dxa"/>
            <w:tcBorders>
              <w:top w:val="single" w:color="auto" w:sz="8" w:space="0"/>
              <w:left w:val="single" w:color="auto" w:sz="8" w:space="0"/>
              <w:bottom w:val="single" w:color="auto" w:sz="8" w:space="0"/>
              <w:right w:val="nil"/>
            </w:tcBorders>
            <w:shd w:val="clear" w:color="auto" w:fill="auto"/>
            <w:noWrap/>
            <w:vAlign w:val="center"/>
            <w:hideMark/>
          </w:tcPr>
          <w:p w:rsidRPr="00AE1B2B" w:rsidR="009D3FB5" w:rsidP="00163B94" w:rsidRDefault="009D3FB5" w14:paraId="1C3587D2" w14:textId="77777777">
            <w:pPr>
              <w:spacing w:before="120" w:after="120"/>
              <w:jc w:val="right"/>
              <w:rPr>
                <w:rFonts w:ascii="Times New Roman" w:hAnsi="Times New Roman" w:cs="Times New Roman"/>
                <w:b/>
                <w:bCs/>
                <w:i/>
                <w:iCs/>
                <w:lang w:eastAsia="es-CR"/>
              </w:rPr>
            </w:pPr>
            <w:r w:rsidRPr="00AE1B2B">
              <w:rPr>
                <w:rFonts w:ascii="Times New Roman" w:hAnsi="Times New Roman" w:cs="Times New Roman"/>
                <w:b/>
                <w:bCs/>
                <w:i/>
                <w:iCs/>
                <w:lang w:eastAsia="es-CR"/>
              </w:rPr>
              <w:t xml:space="preserve"> ₡ 549.252.284,3 </w:t>
            </w:r>
          </w:p>
        </w:tc>
        <w:tc>
          <w:tcPr>
            <w:tcW w:w="2188" w:type="dxa"/>
            <w:tcBorders>
              <w:top w:val="single" w:color="auto" w:sz="8" w:space="0"/>
              <w:left w:val="single" w:color="auto" w:sz="8" w:space="0"/>
              <w:bottom w:val="single" w:color="auto" w:sz="8" w:space="0"/>
              <w:right w:val="single" w:color="auto" w:sz="8" w:space="0"/>
            </w:tcBorders>
            <w:shd w:val="clear" w:color="auto" w:fill="auto"/>
            <w:noWrap/>
            <w:vAlign w:val="center"/>
            <w:hideMark/>
          </w:tcPr>
          <w:p w:rsidRPr="00AE1B2B" w:rsidR="009D3FB5" w:rsidP="00163B94" w:rsidRDefault="00BB7720" w14:paraId="4CA85051" w14:textId="67A09F0C">
            <w:pPr>
              <w:spacing w:before="120" w:after="120"/>
              <w:jc w:val="right"/>
              <w:rPr>
                <w:rFonts w:ascii="Times New Roman" w:hAnsi="Times New Roman" w:cs="Times New Roman"/>
                <w:b/>
                <w:bCs/>
                <w:i/>
                <w:iCs/>
                <w:lang w:eastAsia="es-CR"/>
              </w:rPr>
            </w:pPr>
            <w:r w:rsidRPr="00AE1B2B">
              <w:rPr>
                <w:rFonts w:ascii="Times New Roman" w:hAnsi="Times New Roman" w:cs="Times New Roman"/>
                <w:b/>
                <w:bCs/>
                <w:i/>
                <w:iCs/>
                <w:lang w:eastAsia="es-CR"/>
              </w:rPr>
              <w:t xml:space="preserve"> </w:t>
            </w:r>
            <w:r w:rsidRPr="00AE1B2B" w:rsidR="009D3FB5">
              <w:rPr>
                <w:rFonts w:ascii="Times New Roman" w:hAnsi="Times New Roman" w:cs="Times New Roman"/>
                <w:b/>
                <w:bCs/>
                <w:i/>
                <w:iCs/>
                <w:lang w:eastAsia="es-CR"/>
              </w:rPr>
              <w:t>₡ 549.252.284,3</w:t>
            </w:r>
          </w:p>
        </w:tc>
      </w:tr>
    </w:tbl>
    <w:p w:rsidRPr="00AE1B2B" w:rsidR="009D3FB5" w:rsidP="00163B94" w:rsidRDefault="009D3FB5" w14:paraId="4C1689AB" w14:textId="77777777">
      <w:pPr>
        <w:spacing w:before="120" w:after="120"/>
        <w:ind w:left="708"/>
        <w:rPr>
          <w:rFonts w:ascii="Times New Roman" w:hAnsi="Times New Roman" w:cs="Times New Roman"/>
          <w:i/>
          <w:iCs/>
        </w:rPr>
      </w:pPr>
    </w:p>
    <w:p w:rsidRPr="00AE1B2B" w:rsidR="009D3FB5" w:rsidP="00163B94" w:rsidRDefault="009D3FB5" w14:paraId="17AC30E0" w14:textId="77777777">
      <w:pPr>
        <w:spacing w:before="120" w:after="120"/>
        <w:ind w:left="708"/>
        <w:rPr>
          <w:rFonts w:ascii="Times New Roman" w:hAnsi="Times New Roman" w:cs="Times New Roman"/>
          <w:i/>
          <w:iCs/>
        </w:rPr>
      </w:pPr>
    </w:p>
    <w:p w:rsidRPr="00AE1B2B" w:rsidR="009D3FB5" w:rsidP="00163B94" w:rsidRDefault="009D3FB5" w14:paraId="43DBCD5A" w14:textId="77777777">
      <w:pPr>
        <w:spacing w:before="120" w:after="120"/>
        <w:ind w:left="708"/>
        <w:rPr>
          <w:rFonts w:ascii="Times New Roman" w:hAnsi="Times New Roman" w:cs="Times New Roman"/>
          <w:i/>
          <w:iCs/>
        </w:rPr>
      </w:pPr>
    </w:p>
    <w:p w:rsidRPr="00AE1B2B" w:rsidR="009D3FB5" w:rsidP="00163B94" w:rsidRDefault="009D3FB5" w14:paraId="6261D693" w14:textId="77777777">
      <w:pPr>
        <w:spacing w:before="120" w:after="120"/>
        <w:ind w:left="708"/>
        <w:rPr>
          <w:rFonts w:ascii="Times New Roman" w:hAnsi="Times New Roman" w:cs="Times New Roman"/>
          <w:i/>
          <w:iCs/>
        </w:rPr>
      </w:pPr>
    </w:p>
    <w:p w:rsidRPr="00AE1B2B" w:rsidR="009D3FB5" w:rsidP="00163B94" w:rsidRDefault="009D3FB5" w14:paraId="5E71C049"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De esta manera, la dotación de veintidós plazas de Custodio de Detenidos para dotar de los recursos requeridos a las oficinas del OIJ de Heredia, Corredores, Bribri, Bataán, Puriscal, Los Chiles, Buenos Aires, Atenas, Santa Cruz, Cañas, Turrialba, Sarapiquí y Siquirres, así como, el costo de tres vehículos para trasladar personas detenidas para las zonas de Los Chiles, Buenos Aires y Atenas. Tienen un costo presupuestado de ₡ 549.252.284,30.</w:t>
      </w:r>
    </w:p>
    <w:p w:rsidRPr="00AE1B2B" w:rsidR="009D3FB5" w:rsidP="00163B94" w:rsidRDefault="009D3FB5" w14:paraId="4CEA8629"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Es importante indicar, que se incluyen dentro de la propuesta de presupuesto las Subdelegaciones Regionales del OIJ de Santa Cruz y Siquirres, producto del abordaje en el 2020 del Proyecto de Mejora Integral del Proceso Penal, donde se analizó la carga de trabajo de esas unidades de cárceles.</w:t>
      </w:r>
    </w:p>
    <w:p w:rsidRPr="00AE1B2B" w:rsidR="009D3FB5" w:rsidP="00163B94" w:rsidRDefault="009D3FB5" w14:paraId="5C29C45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En el caso de la Unidad de Cárceles de Santa Cruz, se proyecta un aumento de custodias que deben atenderse durante el año 2021. Se estima que en promedio por día atiendan 12 custodias, dato que implica un crecimiento con respecto al 2019, donde se tuvo un promedio diario de 10, esto permite concluir que el actual personal de la Unidad de Cárceles (7 personas custodias de detenidas) no estaría en la capacidad operativa para atender la </w:t>
      </w:r>
      <w:r w:rsidRPr="00AE1B2B">
        <w:rPr>
          <w:rFonts w:ascii="Times New Roman" w:hAnsi="Times New Roman" w:cs="Times New Roman"/>
          <w:i/>
          <w:iCs/>
          <w:sz w:val="26"/>
          <w:szCs w:val="26"/>
        </w:rPr>
        <w:lastRenderedPageBreak/>
        <w:t>proyección de la demanda que generarán las autoridades judiciales, además, otro factor que afecta es que tan sólo el 58% de los traslados se realizan de Santa Cruz a Liberia, el restante 42% son traslados fuera del área de Guanacaste, en promedio por día se deben de trasladar 4 personas privadas de libertad, lo que representa realizar un viaje por día a zonas fuera de Guanacaste, implicando mayores tiempos de duración.</w:t>
      </w:r>
    </w:p>
    <w:p w:rsidRPr="00AE1B2B" w:rsidR="009D3FB5" w:rsidP="00163B94" w:rsidRDefault="009D3FB5" w14:paraId="495DF13B" w14:textId="3181A492">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Para la Unidad de Cárceles de Siquirres, se proyecta un aumento de custodias que deben atender durante el año 2021. Se estima que en promedio por día atiendan 9 custodias, dato que durante el año 2019 promedió por día fueron 7 custodias, con esa estimación con el personal custodio con que cuenta la Unidad de Cárceles (3 personas custodias de detenidas) no se estaría en la capacidad operativa para atender la proyección de la demanda que generarán las autoridades judiciales, también se debe considerar que el 39,6% de los traslados se realizan al Centro de Atención Institucional (CAI) Marcos Garvey (Antiguo SANDOVAL) ubicado en el cantón de Limón, lo que representa un desplazamiento de 104 kilómetros en promedio con una duración de dos horas ida y vuelta, un 28,3% de los traslados que se realizan son al Centro de Atención Institucional Carlos Luis Fallas (Antiguo LA LETICIA) ubicado en el cantón de Pococí, para llegar a este CAI, el personal de la Unidad de Cárceles, debe de recorrer un total de 74 kilómetros en promedio con una duración en tiempo de una hora y 45 minutos, el restante 32,1% de los traslados se realizan a otros Centros de Atención Institucionales en su mayoría ubicados en San José y Alajuela, en promedio por mes se deben de trasladar 11,3 personas privadas de libertad de esos CAI, lo que representa realizar 0,5 viajes en un día a zonas como San José y Alajuela, recorriendo en promedio 246 kilómetros con una duración de cinco horas.</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Se debe de indicar que en cada traslado se requiere como mínimo dos personas custodias, y actualmente la Subdelegación cuenta solo con tres plazas de custodio, esto genera que mientras se realizan los traslados, las custodias que surjan las deben de atender el personal de investigación que se encuentre en la Subdelegación, generando que los tiempos para investigación de causas sea utilizado en otras actividades como custodiar personas detenidas, lo cual reduce la capacidad de respuesta en las investigaciones.</w:t>
      </w:r>
    </w:p>
    <w:p w:rsidRPr="00AE1B2B" w:rsidR="009D3FB5" w:rsidP="00163B94" w:rsidRDefault="009D3FB5" w14:paraId="33FC440B" w14:textId="06A7D71C">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También se considera importante poder completar las estructuras de Tribunales regionales en donde se ha aplicado el proyecto de mejora integral del proceso penal con planes remediales y se ha determinado la necesidad de contar con estructuras </w:t>
      </w:r>
      <w:r w:rsidRPr="00AE1B2B">
        <w:rPr>
          <w:rFonts w:ascii="Times New Roman" w:hAnsi="Times New Roman" w:cs="Times New Roman"/>
          <w:i/>
          <w:iCs/>
          <w:sz w:val="26"/>
          <w:szCs w:val="26"/>
        </w:rPr>
        <w:lastRenderedPageBreak/>
        <w:t xml:space="preserve">ordinarias formales para disminuir los tiempos de traslado de los tribunales cabecera, el desarrollo de juicios unipersonales simultáneos en la zona, mejorar el servicio </w:t>
      </w:r>
      <w:r w:rsidRPr="00AE1B2B" w:rsidR="00163B94">
        <w:rPr>
          <w:rFonts w:ascii="Times New Roman" w:hAnsi="Times New Roman" w:cs="Times New Roman"/>
          <w:i/>
          <w:iCs/>
          <w:sz w:val="26"/>
          <w:szCs w:val="26"/>
        </w:rPr>
        <w:t>público</w:t>
      </w:r>
      <w:r w:rsidRPr="00AE1B2B">
        <w:rPr>
          <w:rFonts w:ascii="Times New Roman" w:hAnsi="Times New Roman" w:cs="Times New Roman"/>
          <w:i/>
          <w:iCs/>
          <w:sz w:val="26"/>
          <w:szCs w:val="26"/>
        </w:rPr>
        <w:t xml:space="preserve"> y descongestionar a las oficinas, lo cual implicó dotar de recursos a las Subdelegaciones de Turrialba, Sarapiquí y Cañas.</w:t>
      </w:r>
    </w:p>
    <w:p w:rsidRPr="00AE1B2B" w:rsidR="009D3FB5" w:rsidP="00163B94" w:rsidRDefault="009D3FB5" w14:paraId="6FCB2B24" w14:textId="3FDEA60A">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Por esas razones, se determinó la necesidad de contar con personal custodio para mejorar el servicio que prestan estas unidades de cárceles a los diferentes despachos judiciales de la zona.”</w:t>
      </w:r>
    </w:p>
    <w:p w:rsidRPr="00AE1B2B" w:rsidR="00163B94" w:rsidP="00163B94" w:rsidRDefault="00163B94" w14:paraId="5B949736" w14:textId="77777777">
      <w:pPr>
        <w:spacing w:before="120" w:after="120"/>
        <w:ind w:left="851" w:right="851" w:firstLine="709"/>
        <w:jc w:val="both"/>
        <w:rPr>
          <w:rFonts w:ascii="Times New Roman" w:hAnsi="Times New Roman" w:cs="Times New Roman"/>
          <w:i/>
          <w:iCs/>
          <w:sz w:val="26"/>
          <w:szCs w:val="26"/>
        </w:rPr>
      </w:pPr>
    </w:p>
    <w:p w:rsidRPr="00AE1B2B" w:rsidR="00163B94" w:rsidP="00163B94" w:rsidRDefault="00163B94" w14:paraId="0631CEFE" w14:textId="77777777">
      <w:pPr>
        <w:spacing w:before="120" w:after="120" w:line="480" w:lineRule="auto"/>
        <w:jc w:val="center"/>
        <w:rPr>
          <w:rFonts w:ascii="Times New Roman" w:hAnsi="Times New Roman"/>
          <w:bCs/>
          <w:sz w:val="28"/>
          <w:szCs w:val="28"/>
          <w:lang w:val="es-ES"/>
        </w:rPr>
      </w:pPr>
      <w:r w:rsidRPr="00AE1B2B">
        <w:rPr>
          <w:rFonts w:ascii="Times New Roman" w:hAnsi="Times New Roman"/>
          <w:bCs/>
          <w:spacing w:val="2"/>
          <w:sz w:val="28"/>
          <w:szCs w:val="28"/>
          <w:lang w:val="es-ES"/>
        </w:rPr>
        <w:t>- 0 -</w:t>
      </w:r>
    </w:p>
    <w:p w:rsidRPr="00AE1B2B" w:rsidR="009D3FB5" w:rsidP="00163B94" w:rsidRDefault="009D3FB5" w14:paraId="046742BC" w14:textId="4E6A89D9">
      <w:pPr>
        <w:spacing w:before="120" w:after="120" w:line="480" w:lineRule="auto"/>
        <w:ind w:firstLine="709"/>
        <w:jc w:val="both"/>
        <w:rPr>
          <w:rFonts w:ascii="Times New Roman" w:hAnsi="Times New Roman" w:cs="Times New Roman"/>
          <w:sz w:val="28"/>
          <w:szCs w:val="28"/>
        </w:rPr>
      </w:pPr>
      <w:r w:rsidRPr="00AE1B2B">
        <w:rPr>
          <w:rFonts w:ascii="Times New Roman" w:hAnsi="Times New Roman" w:cs="Times New Roman"/>
          <w:b/>
          <w:bCs/>
          <w:sz w:val="28"/>
          <w:szCs w:val="28"/>
        </w:rPr>
        <w:t>Se acordó</w:t>
      </w:r>
      <w:r w:rsidRPr="00AE1B2B" w:rsidR="0094719C">
        <w:rPr>
          <w:rFonts w:ascii="Times New Roman" w:hAnsi="Times New Roman" w:cs="Times New Roman"/>
          <w:sz w:val="28"/>
          <w:szCs w:val="28"/>
        </w:rPr>
        <w:t>:</w:t>
      </w:r>
      <w:r w:rsidRPr="00AE1B2B" w:rsidR="00BB7720">
        <w:rPr>
          <w:rFonts w:ascii="Times New Roman" w:hAnsi="Times New Roman" w:cs="Times New Roman"/>
          <w:sz w:val="28"/>
          <w:szCs w:val="28"/>
        </w:rPr>
        <w:t xml:space="preserve"> </w:t>
      </w:r>
      <w:r w:rsidRPr="00AE1B2B">
        <w:rPr>
          <w:rFonts w:ascii="Times New Roman" w:hAnsi="Times New Roman" w:cs="Times New Roman"/>
          <w:sz w:val="28"/>
          <w:szCs w:val="28"/>
        </w:rPr>
        <w:t>Aprobar el informe 390-PLA-RH-MI-2021, relacionado con los antecedentes y situación actual respecto a las plazas de Custodias y Custodios de personas detenidas.</w:t>
      </w:r>
      <w:r w:rsidRPr="00AE1B2B" w:rsidR="00BB7720">
        <w:rPr>
          <w:rFonts w:ascii="Times New Roman" w:hAnsi="Times New Roman" w:cs="Times New Roman"/>
          <w:sz w:val="28"/>
          <w:szCs w:val="28"/>
        </w:rPr>
        <w:t xml:space="preserve"> </w:t>
      </w:r>
      <w:r w:rsidRPr="00AE1B2B" w:rsidR="00163B94">
        <w:rPr>
          <w:rFonts w:ascii="Times New Roman" w:hAnsi="Times New Roman" w:cs="Times New Roman"/>
          <w:b/>
          <w:bCs/>
          <w:sz w:val="28"/>
          <w:szCs w:val="28"/>
        </w:rPr>
        <w:t>Se declara acuerdo firme</w:t>
      </w:r>
      <w:r w:rsidRPr="00AE1B2B" w:rsidR="00163B94">
        <w:rPr>
          <w:rFonts w:ascii="Times New Roman" w:hAnsi="Times New Roman" w:cs="Times New Roman"/>
          <w:sz w:val="28"/>
          <w:szCs w:val="28"/>
        </w:rPr>
        <w:t>.</w:t>
      </w:r>
    </w:p>
    <w:p w:rsidRPr="00AE1B2B" w:rsidR="009D3FB5" w:rsidP="00163B94" w:rsidRDefault="009D3FB5" w14:paraId="60426961" w14:textId="341EF1F1">
      <w:pPr>
        <w:spacing w:before="120" w:after="120"/>
        <w:rPr>
          <w:rFonts w:ascii="Times New Roman" w:hAnsi="Times New Roman" w:eastAsia="Times New Roman" w:cs="Times New Roman"/>
          <w:b/>
          <w:bCs/>
          <w:kern w:val="36"/>
          <w:sz w:val="28"/>
          <w:szCs w:val="28"/>
          <w:u w:val="single"/>
          <w:lang w:eastAsia="es-ES"/>
        </w:rPr>
      </w:pPr>
    </w:p>
    <w:p w:rsidRPr="00AE1B2B" w:rsidR="009D3FB5" w:rsidP="00163B94" w:rsidRDefault="009D3FB5" w14:paraId="6ED194F6" w14:textId="77777777">
      <w:pPr>
        <w:spacing w:before="120" w:after="120"/>
        <w:rPr>
          <w:rFonts w:ascii="Times New Roman" w:hAnsi="Times New Roman" w:eastAsia="Times New Roman" w:cs="Times New Roman"/>
          <w:b/>
          <w:bCs/>
          <w:kern w:val="36"/>
          <w:sz w:val="28"/>
          <w:szCs w:val="28"/>
          <w:u w:val="single"/>
          <w:lang w:eastAsia="es-ES"/>
        </w:rPr>
      </w:pPr>
    </w:p>
    <w:p w:rsidRPr="00AE1B2B" w:rsidR="009D3FB5" w:rsidP="00163B94" w:rsidRDefault="009D3FB5" w14:paraId="794CA2B1" w14:textId="77777777">
      <w:pPr>
        <w:spacing w:before="120" w:after="120"/>
        <w:rPr>
          <w:rFonts w:ascii="Times New Roman" w:hAnsi="Times New Roman" w:eastAsia="Times New Roman" w:cs="Times New Roman"/>
          <w:b/>
          <w:bCs/>
          <w:kern w:val="36"/>
          <w:sz w:val="28"/>
          <w:szCs w:val="28"/>
          <w:u w:val="single"/>
          <w:lang w:eastAsia="es-ES"/>
        </w:rPr>
      </w:pPr>
    </w:p>
    <w:p w:rsidRPr="00AE1B2B" w:rsidR="002745AF" w:rsidP="00163B94" w:rsidRDefault="009D3FB5" w14:paraId="1811D078" w14:textId="43813BC2">
      <w:pPr>
        <w:keepNext/>
        <w:shd w:val="clear" w:color="auto" w:fill="FFFFFF"/>
        <w:autoSpaceDE w:val="0"/>
        <w:autoSpaceDN w:val="0"/>
        <w:spacing w:before="120" w:after="120" w:line="360" w:lineRule="auto"/>
        <w:jc w:val="center"/>
        <w:outlineLvl w:val="0"/>
        <w:rPr>
          <w:rFonts w:ascii="Times New Roman" w:hAnsi="Times New Roman" w:eastAsia="Times New Roman" w:cs="Times New Roman"/>
          <w:b/>
          <w:bCs/>
          <w:kern w:val="36"/>
          <w:sz w:val="28"/>
          <w:szCs w:val="28"/>
          <w:u w:val="single"/>
          <w:lang w:eastAsia="es-ES"/>
        </w:rPr>
      </w:pPr>
      <w:r w:rsidRPr="00AE1B2B">
        <w:rPr>
          <w:rFonts w:ascii="Times New Roman" w:hAnsi="Times New Roman" w:eastAsia="Times New Roman" w:cs="Times New Roman"/>
          <w:b/>
          <w:bCs/>
          <w:kern w:val="36"/>
          <w:sz w:val="28"/>
          <w:szCs w:val="28"/>
          <w:u w:val="single"/>
          <w:lang w:eastAsia="es-ES"/>
        </w:rPr>
        <w:t>ARTÍCULO XXII</w:t>
      </w:r>
    </w:p>
    <w:p w:rsidRPr="00AE1B2B" w:rsidR="002745AF" w:rsidP="00163B94" w:rsidRDefault="002745AF" w14:paraId="14F2FDD8" w14:textId="197D118D">
      <w:pPr>
        <w:spacing w:before="120" w:after="120"/>
        <w:rPr>
          <w:rFonts w:ascii="Times New Roman" w:hAnsi="Times New Roman" w:cs="Times New Roman"/>
          <w:b/>
          <w:sz w:val="28"/>
          <w:szCs w:val="28"/>
        </w:rPr>
      </w:pPr>
      <w:r w:rsidRPr="00AE1B2B">
        <w:rPr>
          <w:rFonts w:ascii="Times New Roman" w:hAnsi="Times New Roman" w:eastAsia="Times New Roman" w:cs="Times New Roman"/>
          <w:b/>
          <w:bCs/>
          <w:kern w:val="36"/>
          <w:sz w:val="28"/>
          <w:szCs w:val="28"/>
          <w:lang w:eastAsia="es-ES"/>
        </w:rPr>
        <w:t>Documento</w:t>
      </w:r>
      <w:r w:rsidRPr="00AE1B2B">
        <w:rPr>
          <w:rFonts w:ascii="Times New Roman" w:hAnsi="Times New Roman" w:cs="Times New Roman"/>
          <w:b/>
          <w:sz w:val="28"/>
          <w:szCs w:val="28"/>
        </w:rPr>
        <w:t xml:space="preserve"> </w:t>
      </w:r>
      <w:r w:rsidRPr="00AE1B2B" w:rsidR="00163B94">
        <w:rPr>
          <w:rFonts w:ascii="Times New Roman" w:hAnsi="Times New Roman" w:cs="Times New Roman"/>
          <w:b/>
          <w:sz w:val="28"/>
          <w:szCs w:val="28"/>
        </w:rPr>
        <w:t xml:space="preserve">N° </w:t>
      </w:r>
      <w:r w:rsidRPr="00AE1B2B">
        <w:rPr>
          <w:rFonts w:ascii="Times New Roman" w:hAnsi="Times New Roman" w:cs="Times New Roman"/>
          <w:b/>
          <w:sz w:val="28"/>
          <w:szCs w:val="28"/>
        </w:rPr>
        <w:t>2960-2021</w:t>
      </w:r>
    </w:p>
    <w:p w:rsidRPr="00AE1B2B" w:rsidR="002745AF" w:rsidP="00163B94" w:rsidRDefault="002745AF" w14:paraId="48DB22BA" w14:textId="77777777">
      <w:pPr>
        <w:spacing w:before="120" w:after="120"/>
        <w:ind w:firstLine="708"/>
        <w:jc w:val="both"/>
        <w:rPr>
          <w:rFonts w:ascii="Times New Roman" w:hAnsi="Times New Roman" w:cs="Times New Roman"/>
          <w:b/>
          <w:sz w:val="28"/>
          <w:szCs w:val="28"/>
        </w:rPr>
      </w:pPr>
    </w:p>
    <w:p w:rsidRPr="00AE1B2B" w:rsidR="009D3FB5" w:rsidP="00163B94" w:rsidRDefault="009D3FB5" w14:paraId="025C26B0" w14:textId="04F68A29">
      <w:pPr>
        <w:spacing w:before="120" w:after="120" w:line="480" w:lineRule="auto"/>
        <w:ind w:firstLine="708"/>
        <w:jc w:val="both"/>
        <w:rPr>
          <w:rFonts w:ascii="Times New Roman" w:hAnsi="Times New Roman" w:cs="Times New Roman"/>
          <w:sz w:val="28"/>
          <w:szCs w:val="28"/>
        </w:rPr>
      </w:pPr>
      <w:r w:rsidRPr="00AE1B2B">
        <w:rPr>
          <w:rFonts w:ascii="Times New Roman" w:hAnsi="Times New Roman" w:cs="Times New Roman"/>
          <w:sz w:val="28"/>
          <w:szCs w:val="28"/>
        </w:rPr>
        <w:t>En reunión de trabajo de este 16 de abril, la licenciada Nacira Valverde Bermúdez,</w:t>
      </w:r>
      <w:r w:rsidRPr="00AE1B2B">
        <w:rPr>
          <w:rFonts w:ascii="Times New Roman" w:hAnsi="Times New Roman" w:cs="Times New Roman"/>
          <w:sz w:val="28"/>
          <w:szCs w:val="28"/>
          <w:shd w:val="clear" w:color="auto" w:fill="FFFFFF"/>
        </w:rPr>
        <w:t xml:space="preserve"> </w:t>
      </w:r>
      <w:r w:rsidRPr="00AE1B2B">
        <w:rPr>
          <w:rFonts w:ascii="Times New Roman" w:hAnsi="Times New Roman" w:cs="Times New Roman"/>
          <w:sz w:val="28"/>
          <w:szCs w:val="28"/>
        </w:rPr>
        <w:t xml:space="preserve">Directora de Planificación presentó el </w:t>
      </w:r>
      <w:r w:rsidRPr="00AE1B2B">
        <w:rPr>
          <w:rFonts w:ascii="Times New Roman" w:hAnsi="Times New Roman" w:cs="Times New Roman"/>
          <w:b/>
          <w:bCs/>
          <w:sz w:val="28"/>
          <w:szCs w:val="28"/>
        </w:rPr>
        <w:t>Informe 428-PLA-RH-MI-2021</w:t>
      </w:r>
      <w:r w:rsidRPr="00AE1B2B">
        <w:rPr>
          <w:rFonts w:ascii="Times New Roman" w:hAnsi="Times New Roman" w:cs="Times New Roman"/>
          <w:sz w:val="28"/>
          <w:szCs w:val="28"/>
        </w:rPr>
        <w:t>, estudio de Requerimiento Humano sobre el Impacto organizacional y presupuestario en el Poder Judicial a partir de la promulgación del Nuevo Código Procesal Agrario para el 2022, Ley 9609.</w:t>
      </w:r>
    </w:p>
    <w:p w:rsidRPr="00AE1B2B" w:rsidR="009D3FB5" w:rsidP="00163B94" w:rsidRDefault="009D3FB5" w14:paraId="71AE6170" w14:textId="77777777">
      <w:pPr>
        <w:spacing w:before="120" w:after="120"/>
        <w:ind w:left="851" w:right="851" w:firstLine="709"/>
        <w:jc w:val="both"/>
        <w:rPr>
          <w:rFonts w:ascii="Times New Roman" w:hAnsi="Times New Roman" w:cs="Times New Roman"/>
          <w:sz w:val="26"/>
          <w:szCs w:val="26"/>
        </w:rPr>
      </w:pPr>
      <w:bookmarkStart w:name="_Toc37670444" w:id="98"/>
      <w:bookmarkStart w:name="_Toc68688511" w:id="99"/>
      <w:r w:rsidRPr="00AE1B2B">
        <w:rPr>
          <w:rFonts w:ascii="Times New Roman" w:hAnsi="Times New Roman" w:cs="Times New Roman"/>
          <w:sz w:val="26"/>
          <w:szCs w:val="26"/>
        </w:rPr>
        <w:t>Antecedentes</w:t>
      </w:r>
      <w:bookmarkEnd w:id="98"/>
      <w:bookmarkEnd w:id="99"/>
    </w:p>
    <w:p w:rsidRPr="00AE1B2B" w:rsidR="009D3FB5" w:rsidP="00163B94" w:rsidRDefault="009D3FB5" w14:paraId="49DCF209"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lastRenderedPageBreak/>
        <w:t xml:space="preserve">El proyecto de Ley que contempla la creación del “Código Procesal Agrario”, el cual fue aprobado bajo Decreto Legislativo 9609 el 27 de febrero del 2019, el cual entra en vigencia un año después de su publicación en el Diario Oficial La Gaceta. </w:t>
      </w:r>
    </w:p>
    <w:p w:rsidRPr="00AE1B2B" w:rsidR="009D3FB5" w:rsidP="00163B94" w:rsidRDefault="009D3FB5" w14:paraId="3C3E0FEC"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El proyecto se tramitó en la Asamblea Legislativa bajo el expediente legislativo 15.887, fue dictaminado por la Comisión Permanente de Asuntos Jurídicos el 11 de junio del 2013.</w:t>
      </w:r>
    </w:p>
    <w:p w:rsidRPr="00AE1B2B" w:rsidR="009D3FB5" w:rsidP="00163B94" w:rsidRDefault="009D3FB5" w14:paraId="33F5A39B"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El Código Procesal Agrario impulsa una reforma basada en la oralidad por audiencias que elimina las limitaciones actuales de la Ley de Jurisdicción Agraria, la cual establece un modelo procesal verbal y no desecha los beneficios de la escritura en etapas en las que ésta es fundamental, como lo son la interposición de la demanda, la contestación, la contrademanda y la réplica, en los supuestos en los que estas dos últimas proceden. Sin embargo, no mantiene el sistema tradicional, sino que facilita el trámite virtual de tales gestiones y la gestión en línea para que las personas usuarias tengan acceso a sistemas informáticos, garantizando así, economía y celeridad a las partes.</w:t>
      </w:r>
    </w:p>
    <w:p w:rsidRPr="00AE1B2B" w:rsidR="009D3FB5" w:rsidP="00163B94" w:rsidRDefault="009D3FB5" w14:paraId="71924719"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bookmarkStart w:name="_Hlk3994674" w:id="100"/>
      <w:r w:rsidRPr="00AE1B2B">
        <w:rPr>
          <w:rFonts w:ascii="Times New Roman" w:hAnsi="Times New Roman" w:cs="Times New Roman"/>
          <w:sz w:val="26"/>
          <w:szCs w:val="26"/>
          <w:lang w:val="es-ES" w:eastAsia="zh-CN"/>
        </w:rPr>
        <w:t xml:space="preserve">Por lo anterior, </w:t>
      </w:r>
      <w:bookmarkEnd w:id="100"/>
      <w:r w:rsidRPr="00AE1B2B">
        <w:rPr>
          <w:rFonts w:ascii="Times New Roman" w:hAnsi="Times New Roman" w:cs="Times New Roman"/>
          <w:sz w:val="26"/>
          <w:szCs w:val="26"/>
          <w:lang w:val="es-ES" w:eastAsia="zh-CN"/>
        </w:rPr>
        <w:t>surge la necesidad de analizar los posibles cambios que implicaría a nivel de estructura organizativa de los despachos y oficinas del Poder Judicial, así como los costos presupuestarios en 2021 para su debida implementación.</w:t>
      </w:r>
    </w:p>
    <w:p w:rsidRPr="00AE1B2B" w:rsidR="009D3FB5" w:rsidP="00163B94" w:rsidRDefault="009D3FB5" w14:paraId="13BE8977"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bookmarkStart w:name="_Hlk518567303" w:id="101"/>
      <w:r w:rsidRPr="00AE1B2B">
        <w:rPr>
          <w:rFonts w:ascii="Times New Roman" w:hAnsi="Times New Roman" w:cs="Times New Roman"/>
          <w:sz w:val="26"/>
          <w:szCs w:val="26"/>
          <w:lang w:val="es-ES" w:eastAsia="zh-CN"/>
        </w:rPr>
        <w:t>El estudio 27-PLA-MI-2017, el cual fue remitido al Consejo Superior, conocido y aprobado en la sesión 39-17 (Presupuesto 2018), celebrada el 26 de abril de 2017, artículo IV, así como las reconsideraciones planteadas en la sesión extraordinaria 43-17, celebrada el 05 de mayo de 2017 del Consejo Superior del Poder Judicial, que se citan a continuación:</w:t>
      </w:r>
    </w:p>
    <w:p w:rsidRPr="00AE1B2B" w:rsidR="009D3FB5" w:rsidP="00163B94" w:rsidRDefault="009D3FB5" w14:paraId="0FAC459E" w14:textId="77777777">
      <w:pPr>
        <w:numPr>
          <w:ilvl w:val="0"/>
          <w:numId w:val="93"/>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sz w:val="26"/>
          <w:szCs w:val="26"/>
        </w:rPr>
        <w:t xml:space="preserve">Artículo VIII: </w:t>
      </w:r>
      <w:r w:rsidRPr="00AE1B2B">
        <w:rPr>
          <w:rFonts w:ascii="Times New Roman" w:hAnsi="Times New Roman" w:cs="Times New Roman"/>
          <w:sz w:val="26"/>
          <w:szCs w:val="26"/>
        </w:rPr>
        <w:t xml:space="preserve">se acoge la reconsideración presentada y, en consecuencia, se modifica la recomendación “13.4”, del informe 27-PLA-MI-2017 del Proyecto de Ley denominado Código Procesal Agrario, por lo tanto, se contará con cinco plazas extraordinarias de Defensora o Defensor Público, para que realice las funciones de suplencia, contraparte y de curador procesal, según las nuevas labores que le delega el Código Procesal Agrario. </w:t>
      </w:r>
    </w:p>
    <w:p w:rsidRPr="00AE1B2B" w:rsidR="009D3FB5" w:rsidP="00163B94" w:rsidRDefault="009D3FB5" w14:paraId="5EF77864" w14:textId="77777777">
      <w:pPr>
        <w:numPr>
          <w:ilvl w:val="0"/>
          <w:numId w:val="93"/>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sz w:val="26"/>
          <w:szCs w:val="26"/>
        </w:rPr>
        <w:t>Artículo IX:</w:t>
      </w:r>
      <w:r w:rsidRPr="00AE1B2B">
        <w:rPr>
          <w:rFonts w:ascii="Times New Roman" w:hAnsi="Times New Roman" w:cs="Times New Roman"/>
          <w:sz w:val="26"/>
          <w:szCs w:val="26"/>
        </w:rPr>
        <w:t xml:space="preserve"> se acoge la reconsideración presentada y se modifica lo dispuesto en la sesión extraordinaria 39-17 (Presupuesto 2018) celebrada el 26 de abril de 2017, artículo IV, en consecuencia, la plaza aprobada en forma extraordinaria para el Tribunal Agrario de Técnica o Técnico Judicial 2 será de categoría “3”.</w:t>
      </w:r>
    </w:p>
    <w:p w:rsidRPr="00AE1B2B" w:rsidR="009D3FB5" w:rsidP="00163B94" w:rsidRDefault="009D3FB5" w14:paraId="56D284CB" w14:textId="77777777">
      <w:pPr>
        <w:numPr>
          <w:ilvl w:val="0"/>
          <w:numId w:val="93"/>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sz w:val="26"/>
          <w:szCs w:val="26"/>
        </w:rPr>
        <w:lastRenderedPageBreak/>
        <w:t>Artículo XI:</w:t>
      </w:r>
      <w:r w:rsidRPr="00AE1B2B">
        <w:rPr>
          <w:rFonts w:ascii="Times New Roman" w:hAnsi="Times New Roman" w:cs="Times New Roman"/>
          <w:sz w:val="26"/>
          <w:szCs w:val="26"/>
        </w:rPr>
        <w:t xml:space="preserve"> se autoriza la creación de dos plazas extraordinarias de juez o jueza categoría 3 del escalafón de agrario para la atención en forma itinerante de la etapa de ejecución de los procesos agrarios ubicadas en el Centro de Apoyo a la Función Jurisdiccional, debiendo ser utilizadas en otras necesidades para cubrir su carga de trabajo si se llegará a requerir.</w:t>
      </w:r>
    </w:p>
    <w:p w:rsidRPr="00AE1B2B" w:rsidR="009D3FB5" w:rsidP="00163B94" w:rsidRDefault="009D3FB5" w14:paraId="653D523C"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Sin embargo, en ese momento al no considerarse como Ley aprobada, la Corte Plena dispuso no incluir recursos como parte del anteproyecto de presupuesto del Poder Judicial para el 2018.</w:t>
      </w:r>
    </w:p>
    <w:p w:rsidRPr="00AE1B2B" w:rsidR="009D3FB5" w:rsidP="00163B94" w:rsidRDefault="009D3FB5" w14:paraId="7C88B69D"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En el Informe 27-PLA-MI-2017, del 26 de abril del 2017, relacionado con el Impacto organizacional y presupuestario en el Poder Judicial ante la posible aprobación en ese momento del Proyecto de Ley denominado Código Procesal de Agrario, en el cual se determina la necesidad de asignar 7 plazas ordinarias de Defensora o Defensor Público para garantizar al menos un profesional por cada Juzgado Agrario y 5 plazas extraordinarias de Defensora o Defensor Público, para que realice las funciones de suplencia, contraparte y de curador procesal, según las nuevas labores que le delega el Código Procesal Agrario. Estas últimas plazas destacadas, en Liberia, San Ramón, San José, Pococí y Corredores.</w:t>
      </w:r>
    </w:p>
    <w:p w:rsidRPr="00AE1B2B" w:rsidR="009D3FB5" w:rsidP="00163B94" w:rsidRDefault="009D3FB5" w14:paraId="23D297AD"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El oficio 7550-17 acuerdo tomado por la Corte Plena, en la sesión N° 15-17 celebrada el 31 de mayo del año 2017, se adiciona dos recursos extraordinarios para materia Agraria, quedando un total de siete plazas extraordinarias de Defensora o Defensor Público</w:t>
      </w:r>
    </w:p>
    <w:p w:rsidRPr="00AE1B2B" w:rsidR="009D3FB5" w:rsidP="00163B94" w:rsidRDefault="009D3FB5" w14:paraId="61119E63"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En el informe 20-PLA-OI-2018 realizado por la Dirección de Planificación el 16 de marzo del 2018, relacionado con el Análisis de las Plazas Nuevas aprobadas por Corte Plena para apoyar la Materia Agraria (Tribunal y Defesa Pública Agraria), se emite la recomendación de las 7 plazas extraordinarias para la Atención de materia Agraria, por todo el período 2018 en apoyo del plan de descongestionamiento del Tribunal Agrario. Se estima la continuidad de las plazas de Defensores para el período 2019.</w:t>
      </w:r>
    </w:p>
    <w:bookmarkEnd w:id="101"/>
    <w:p w:rsidRPr="00AE1B2B" w:rsidR="009D3FB5" w:rsidP="00163B94" w:rsidRDefault="009D3FB5" w14:paraId="7BF6344C"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Posteriormente, se tiene el informe 820-PLA-2018, de la Dirección de Planificación que contienen el informe 193-MI-2018-B que contiene el estudio y estimación del posible costo que representa la implementación del Código Procesal Agrario, así como de las posibles fuentes de financiamiento; enviado a la Magistrada Carmen María Escoto Fernández, Presidenta en Ejercicio de la Corte Suprema de Justicia, el 19 de julio del 2018.</w:t>
      </w:r>
    </w:p>
    <w:p w:rsidRPr="00AE1B2B" w:rsidR="009D3FB5" w:rsidP="00163B94" w:rsidRDefault="009D3FB5" w14:paraId="2F413CE0"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En el oficio 0292-P-2018, de la Presidencia de la Corte Suprema de Justicia relacionado con el informe emitido por la </w:t>
      </w:r>
      <w:r w:rsidRPr="00AE1B2B">
        <w:rPr>
          <w:rFonts w:ascii="Times New Roman" w:hAnsi="Times New Roman" w:cs="Times New Roman"/>
          <w:sz w:val="26"/>
          <w:szCs w:val="26"/>
          <w:lang w:val="es-ES" w:eastAsia="zh-CN"/>
        </w:rPr>
        <w:lastRenderedPageBreak/>
        <w:t>Dirección de Planificación respecto a los escenarios sobre la posible implementación del Código Procesal Agrario; enviado a la Señora Carolina Hidalgo Herrera, Presidenta de la Asamblea Legislativa el 19 de julio de 2018.</w:t>
      </w:r>
    </w:p>
    <w:p w:rsidRPr="00AE1B2B" w:rsidR="009D3FB5" w:rsidP="00163B94" w:rsidRDefault="009D3FB5" w14:paraId="74C91B30"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u w:val="single"/>
          <w:lang w:val="es-ES" w:eastAsia="zh-CN"/>
        </w:rPr>
      </w:pPr>
      <w:r w:rsidRPr="00AE1B2B">
        <w:rPr>
          <w:rFonts w:ascii="Times New Roman" w:hAnsi="Times New Roman" w:cs="Times New Roman"/>
          <w:sz w:val="26"/>
          <w:szCs w:val="26"/>
          <w:lang w:val="es-ES" w:eastAsia="zh-CN"/>
        </w:rPr>
        <w:t>En la sesión extraordinaria 47-19 (Presupuesto 2020), celebrada el 23 de mayo del año 2020, “artículo VIII, oficio 102-</w:t>
      </w:r>
      <w:r w:rsidRPr="00AE1B2B">
        <w:rPr>
          <w:rFonts w:ascii="Times New Roman" w:hAnsi="Times New Roman" w:cs="Times New Roman"/>
          <w:sz w:val="26"/>
          <w:szCs w:val="26"/>
          <w:lang w:val="es-ES" w:eastAsia="zh-CN"/>
        </w:rPr>
        <w:softHyphen/>
        <w:t xml:space="preserve">CSP-19, se conoce el consolidado de las plazas aprobadas para el 2020 por el Consejo Superior, propuestas en el informe 634-PLA-RH-MI-2019, donde las plazas extraordinarias de Defensora o Defensor Público se trasladan a plazas Ordinarias. </w:t>
      </w:r>
    </w:p>
    <w:p w:rsidRPr="00AE1B2B" w:rsidR="009D3FB5" w:rsidP="00163B94" w:rsidRDefault="009D3FB5" w14:paraId="6224FB05"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En sesión extraordinaria del Consejo Superior 44-19 (Presupuesto 2019), celebrada el 16 de mayo del 2019, se conoce el informe 630-PLA-RH-MI-2019 y se acuerda:</w:t>
      </w:r>
    </w:p>
    <w:p w:rsidRPr="00AE1B2B" w:rsidR="009D3FB5" w:rsidP="00163B94" w:rsidRDefault="009D3FB5" w14:paraId="3FBECEF3" w14:textId="77777777">
      <w:pPr>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“…1) Aprobar el informe 630-PLA-RH-MI-2019 y sus recomendaciones, excepto la recomendación 5.1 que corresponde a una plaza de Técnico Administrativo 2, ya que se deberá atender la labor con recursos ordinarios de la Defensa Pública, específicamente con recurso que se brindó para administrar los recursos del Fondo de Materia Laboral para lo cual también deberá contar con la colaboración del Departamento de Financiero Contable. Lo anterior, ya que es necesario esperar a visibilizar el impacto real de la carga de trabajo; producto de la entrada en vigencia de la reforma procesal agraria. 2) Adicionar en el anteproyecto de presupuesto para los temas de capacitación: a) 100millones para sustituciones, b) los recursos que se requieran para el pago viáticos a las personas que se capacitan, c) el recurso humano necesario administrativo que se requiera para organizar la capacitación lo deberá cubrir la Escuela Judicial con su personal ordinario…”.</w:t>
      </w:r>
    </w:p>
    <w:p w:rsidRPr="00AE1B2B" w:rsidR="009D3FB5" w:rsidP="00163B94" w:rsidRDefault="009D3FB5" w14:paraId="16161BD8"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6936DF98" w14:textId="24D0C122">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El acuerdo anterior fue comunicado mediante oficio 73-CSP-19, del 17 de mayo del 2019 de la Secretaría de la Corte.</w:t>
      </w:r>
      <w:r w:rsidRPr="00AE1B2B" w:rsidR="00BB7720">
        <w:rPr>
          <w:rFonts w:ascii="Times New Roman" w:hAnsi="Times New Roman" w:cs="Times New Roman"/>
          <w:sz w:val="26"/>
          <w:szCs w:val="26"/>
          <w:lang w:val="es-ES" w:eastAsia="zh-CN"/>
        </w:rPr>
        <w:t xml:space="preserve"> </w:t>
      </w:r>
    </w:p>
    <w:p w:rsidRPr="00AE1B2B" w:rsidR="009D3FB5" w:rsidP="00163B94" w:rsidRDefault="009D3FB5" w14:paraId="792CB7E9" w14:textId="1F73C1C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De lo anterior se recibieron reconsideraciones, por parte del Tribunal Agrario, mediante correo electrónico del 21 de mayo del 2019, del Centro de Apoyo Coordinación y Mejoramiento de la Función Jurisdiccional mediante oficio 229-CACMFJ-JEF-2019, por parte de un equipo de Juezas y Jueces Agrarios mediante correo electrónico del 22 de mayo del 2019 y la Escuela Judicial mediante oficio 040-CD-2019.</w:t>
      </w:r>
      <w:r w:rsidRPr="00AE1B2B" w:rsidR="00BB7720">
        <w:rPr>
          <w:rFonts w:ascii="Times New Roman" w:hAnsi="Times New Roman" w:cs="Times New Roman"/>
          <w:sz w:val="26"/>
          <w:szCs w:val="26"/>
          <w:lang w:val="es-ES" w:eastAsia="zh-CN"/>
        </w:rPr>
        <w:t xml:space="preserve"> </w:t>
      </w:r>
    </w:p>
    <w:p w:rsidRPr="00AE1B2B" w:rsidR="009D3FB5" w:rsidP="00163B94" w:rsidRDefault="009D3FB5" w14:paraId="439862DA"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La Dirección de Planificación emite oficio de respuestas a las </w:t>
      </w:r>
      <w:r w:rsidRPr="00AE1B2B">
        <w:rPr>
          <w:rFonts w:ascii="Times New Roman" w:hAnsi="Times New Roman" w:cs="Times New Roman"/>
          <w:sz w:val="26"/>
          <w:szCs w:val="26"/>
          <w:lang w:val="es-ES" w:eastAsia="zh-CN"/>
        </w:rPr>
        <w:lastRenderedPageBreak/>
        <w:t xml:space="preserve">reconsideraciones planteadas por el Tribunal Agrario, el Centro de Apoyo Coordinación y Mejoramiento de la Función Jurisdiccional, el equipo de Juezas y Jueces Agrarios y la Escuela Judicial. </w:t>
      </w:r>
    </w:p>
    <w:p w:rsidRPr="00AE1B2B" w:rsidR="009D3FB5" w:rsidP="00163B94" w:rsidRDefault="009D3FB5" w14:paraId="48150CC0"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bookmarkStart w:name="_Hlk31016348" w:id="102"/>
      <w:r w:rsidRPr="00AE1B2B">
        <w:rPr>
          <w:rFonts w:ascii="Times New Roman" w:hAnsi="Times New Roman" w:cs="Times New Roman"/>
          <w:sz w:val="26"/>
          <w:szCs w:val="26"/>
          <w:lang w:val="es-ES" w:eastAsia="zh-CN"/>
        </w:rPr>
        <w:t xml:space="preserve">En sesión extraordinaria del Consejo Superior 47-19 (Presupuesto 2020) artículo XX, celebrada el 23 de mayo del </w:t>
      </w:r>
      <w:bookmarkEnd w:id="102"/>
      <w:r w:rsidRPr="00AE1B2B">
        <w:rPr>
          <w:rFonts w:ascii="Times New Roman" w:hAnsi="Times New Roman" w:cs="Times New Roman"/>
          <w:sz w:val="26"/>
          <w:szCs w:val="26"/>
          <w:lang w:val="es-ES" w:eastAsia="zh-CN"/>
        </w:rPr>
        <w:t xml:space="preserve">2019, se conoce la reconsideración planteada mediante correo electrónico del 21 mayo de 2019, Antonio Darcia Carranza, Juez Coordinador del Tribunal Agrario, se dispuso: </w:t>
      </w:r>
    </w:p>
    <w:p w:rsidRPr="00AE1B2B" w:rsidR="009D3FB5" w:rsidP="00163B94" w:rsidRDefault="009D3FB5" w14:paraId="6A970D7F"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“…Se acordó: Aprobar las recomendaciones de la Dirección de Planificación y en consecuencia mantener lo dispuesto por el Consejo Superior en la sesión extraordinaria 44-19 (Presupuesto 2020) celebrada el 16 de mayo de 2019, artículo I…”.</w:t>
      </w:r>
    </w:p>
    <w:p w:rsidRPr="00AE1B2B" w:rsidR="009D3FB5" w:rsidP="00163B94" w:rsidRDefault="009D3FB5" w14:paraId="3FEDA29E"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p>
    <w:p w:rsidRPr="00AE1B2B" w:rsidR="009D3FB5" w:rsidP="00163B94" w:rsidRDefault="009D3FB5" w14:paraId="1A846D4E"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Las reconsideraciones y respuestas de la Dirección de Planificación, en sesión extraordinaria del Consejo Superior 47-19 artículo XXII, celebrada el 24 de mayo del 2019, donde se aprobó:</w:t>
      </w:r>
    </w:p>
    <w:p w:rsidRPr="00AE1B2B" w:rsidR="009D3FB5" w:rsidP="00163B94" w:rsidRDefault="009D3FB5" w14:paraId="6561FE02"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 xml:space="preserve">“…Se acordó:1) Tener por rendidos los argumentos expuestos por la Dirección de Planificación en relación a las reconsideraciones presentadas por las personas Juzgadoras en materia Agraria y el Centro de Apoyo, Coordinación y Mejoramiento de la Función Jurisdicción (CACMFJ). Se aprueba: a- Se debe incorporar en el informe, en la parte de estructura organizacional, la siguiente aclaración: “17 varones y 15 mujeres”, b-La propuesta de cargas de trabajo realizada por las Juezas o Jueces agrarios, en donde se considere la variable género, se deberá remitir directamente al Consejo Superior, por parte del grupo de personas juzgadoras para su análisis respectivo, dentro de las sesiones ordinarias de este Consejo Superior, esto debido al impacto a nivel institucional que pudiese representar la propuesta. c-Las funciones y metodología de trabajo de las Juezas o Jueces agrarios actuales del CACMFJ, deberán mantenerse según su condición laboral, esto por cuanto el traslado de estas plazas al CACMFJ, contemplaba condiciones laborales específicas, por lo que, para reforzar la materia Agraria en planes de descongestionamiento de los diferentes despachos, se debe incorporar al anteproyecto de presupuesto dos plazas de Juez 3 itinerantes con competencia a nivel nacional, de forma extraordinaria, adscritos al CACMFJ, con el perfil competencial dado para este tipo de plaza (Juez 3 Agrario), por un monto adicional de ₵118.078.0968,76. d- La propuesta de equilibrio de cargas de trabajo a nivel nacional, en donde se plantea una posible ampliación de competencia territorial, para los despachos </w:t>
      </w:r>
      <w:r w:rsidRPr="00AE1B2B">
        <w:rPr>
          <w:rFonts w:ascii="Times New Roman" w:hAnsi="Times New Roman" w:cs="Times New Roman"/>
          <w:i/>
          <w:iCs/>
          <w:sz w:val="26"/>
          <w:szCs w:val="26"/>
          <w:lang w:val="es-ES" w:eastAsia="zh-CN"/>
        </w:rPr>
        <w:lastRenderedPageBreak/>
        <w:t>que mantienen mayor capacidad instalada en materia agraria, se remite a Corte Plena, como parte del anteproyecto de presupuesto, quién en última instancia es quién tiene la potestad de aprobarlo, se aclara que dicha propuesta para su debida ejecución en caso de aprobarse por Corte Plena deberá proponerse ejecutar mediante un plan de trabajo que deberá contener todas las variables necesarias para su implementación .e- En otros ejercicios presupuestarios de análisis de contenido de impacto de reformas legales no se contempló el rubro de recalificación de puestos a nivel de judicatura, sin embargo, deberá la Dirección de Gestión Humana, como ente técnico responsable realizar el estudio para posteriormente incorporar los recursos en caso de requerirse…”.</w:t>
      </w:r>
    </w:p>
    <w:p w:rsidRPr="00AE1B2B" w:rsidR="009D3FB5" w:rsidP="00163B94" w:rsidRDefault="009D3FB5" w14:paraId="7B5A8729"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5B003A70"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Finalmente, en la sesión de Corte Plena 22-19 celebrada el 6 de junio del 2019, artículo VI, se dispuso:</w:t>
      </w:r>
    </w:p>
    <w:p w:rsidRPr="00AE1B2B" w:rsidR="009D3FB5" w:rsidP="00163B94" w:rsidRDefault="009D3FB5" w14:paraId="32CEAEFC"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3E1BBA49"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“…Aprobar por separado del Presupuesto del Poder Judicial, el costo de la implementación del Nuevo Código Procesal Agrario en los términos señalados. Así votaron las magistradas y los magistrados Cruz, Solís, Molinari, Aguirre, Sánchez, Olaso, Chacón, Ramírez, Solano, Hernández, Salazar Alvarado, Araya, Aragón Cambronero, León Díaz, Blanco González, Zúñiga Morales, Segura Bonilla, Alfaro Vargas y Chacón Jiménez…”.</w:t>
      </w:r>
    </w:p>
    <w:p w:rsidRPr="00AE1B2B" w:rsidR="009D3FB5" w:rsidP="00163B94" w:rsidRDefault="009D3FB5" w14:paraId="48C659F6"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p>
    <w:p w:rsidRPr="00AE1B2B" w:rsidR="009D3FB5" w:rsidP="00163B94" w:rsidRDefault="009D3FB5" w14:paraId="7C760B3B"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En sesión de Corte Plena 39-2019 celebrada el 16 de septiembre de 2019, artículo X, se acordó: </w:t>
      </w:r>
    </w:p>
    <w:p w:rsidRPr="00AE1B2B" w:rsidR="009D3FB5" w:rsidP="00163B94" w:rsidRDefault="009D3FB5" w14:paraId="5799C09B"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407EE2FC"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“…3) Aprobar la solicitud al Poder Ejecutivo en la persona del señor Presidente de la República y de la señora Ministra de Justicia, para que envíe a sesiones extraordinarias de la Asamblea Legislativa, la propuesta de reforma a la ley en que se contemple una vacatio legis de 24 meses para la implementación del Código Procesal Agrario y que su entrada en vigor rija a partir del 27 de febrero de 2021…”.</w:t>
      </w:r>
    </w:p>
    <w:p w:rsidRPr="00AE1B2B" w:rsidR="009D3FB5" w:rsidP="00163B94" w:rsidRDefault="009D3FB5" w14:paraId="5ED6ADDE"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p>
    <w:p w:rsidRPr="00AE1B2B" w:rsidR="009D3FB5" w:rsidP="00163B94" w:rsidRDefault="009D3FB5" w14:paraId="6CD9130F"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En la sesión 6-2020 celebrada el 10 de febrero del 2020, de Corte Plena, artículo XIII, se acordó: </w:t>
      </w:r>
    </w:p>
    <w:p w:rsidRPr="00AE1B2B" w:rsidR="009D3FB5" w:rsidP="00163B94" w:rsidRDefault="009D3FB5" w14:paraId="5EBD187D"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lang w:val="es-ES"/>
        </w:rPr>
        <w:t xml:space="preserve">“…Tener por rendido el informe de la magistrada Vargas, y hacerlo de conocimiento del Departamento de Secretaría del </w:t>
      </w:r>
      <w:r w:rsidRPr="00AE1B2B">
        <w:rPr>
          <w:rFonts w:ascii="Times New Roman" w:hAnsi="Times New Roman" w:cs="Times New Roman"/>
          <w:i/>
          <w:iCs/>
          <w:sz w:val="26"/>
          <w:szCs w:val="26"/>
          <w:lang w:val="es-ES"/>
        </w:rPr>
        <w:lastRenderedPageBreak/>
        <w:t xml:space="preserve">Directorio de la Asamblea Legislativa, en respuesta a la consulta formulada, con la indicación expresa de que el proyecto de ley consultado </w:t>
      </w:r>
      <w:r w:rsidRPr="00AE1B2B">
        <w:rPr>
          <w:rFonts w:ascii="Times New Roman" w:hAnsi="Times New Roman" w:cs="Times New Roman"/>
          <w:i/>
          <w:iCs/>
          <w:sz w:val="26"/>
          <w:szCs w:val="26"/>
        </w:rPr>
        <w:t>incide positivamente en la organización y funcionamiento del Poder Judicial.</w:t>
      </w:r>
    </w:p>
    <w:p w:rsidRPr="00AE1B2B" w:rsidR="009D3FB5" w:rsidP="00163B94" w:rsidRDefault="009D3FB5" w14:paraId="17615EEF" w14:textId="77777777">
      <w:pPr>
        <w:spacing w:before="120" w:after="120"/>
        <w:ind w:left="851" w:right="851" w:firstLine="709"/>
        <w:jc w:val="both"/>
        <w:rPr>
          <w:rFonts w:ascii="Times New Roman" w:hAnsi="Times New Roman" w:cs="Times New Roman"/>
          <w:i/>
          <w:iCs/>
          <w:sz w:val="26"/>
          <w:szCs w:val="26"/>
          <w:lang w:val="es-ES"/>
        </w:rPr>
      </w:pPr>
    </w:p>
    <w:p w:rsidRPr="00AE1B2B" w:rsidR="009D3FB5" w:rsidP="00163B94" w:rsidRDefault="009D3FB5" w14:paraId="0D83C368" w14:textId="77777777">
      <w:pPr>
        <w:spacing w:before="120" w:after="120"/>
        <w:ind w:left="851" w:right="851" w:firstLine="709"/>
        <w:jc w:val="both"/>
        <w:rPr>
          <w:rFonts w:ascii="Times New Roman" w:hAnsi="Times New Roman" w:cs="Times New Roman"/>
          <w:i/>
          <w:iCs/>
          <w:sz w:val="26"/>
          <w:szCs w:val="26"/>
          <w:lang w:val="es-ES"/>
        </w:rPr>
      </w:pPr>
      <w:r w:rsidRPr="00AE1B2B">
        <w:rPr>
          <w:rFonts w:ascii="Times New Roman" w:hAnsi="Times New Roman" w:cs="Times New Roman"/>
          <w:i/>
          <w:iCs/>
          <w:sz w:val="26"/>
          <w:szCs w:val="26"/>
          <w:lang w:val="es-ES"/>
        </w:rPr>
        <w:t xml:space="preserve">El informe es el siguiente: </w:t>
      </w:r>
    </w:p>
    <w:p w:rsidRPr="00AE1B2B" w:rsidR="009D3FB5" w:rsidP="00163B94" w:rsidRDefault="009D3FB5" w14:paraId="12EC1253" w14:textId="77777777">
      <w:pPr>
        <w:spacing w:before="120" w:after="120"/>
        <w:ind w:left="851" w:right="851" w:firstLine="709"/>
        <w:jc w:val="both"/>
        <w:rPr>
          <w:rFonts w:ascii="Times New Roman" w:hAnsi="Times New Roman" w:cs="Times New Roman"/>
          <w:i/>
          <w:iCs/>
          <w:sz w:val="26"/>
          <w:szCs w:val="26"/>
          <w:lang w:val="es-ES"/>
        </w:rPr>
      </w:pPr>
      <w:r w:rsidRPr="00AE1B2B">
        <w:rPr>
          <w:rFonts w:ascii="Times New Roman" w:hAnsi="Times New Roman" w:cs="Times New Roman"/>
          <w:i/>
          <w:iCs/>
          <w:sz w:val="26"/>
          <w:szCs w:val="26"/>
          <w:lang w:val="es-ES"/>
        </w:rPr>
        <w:t>“(…)</w:t>
      </w:r>
    </w:p>
    <w:p w:rsidRPr="00AE1B2B" w:rsidR="009D3FB5" w:rsidP="00163B94" w:rsidRDefault="009D3FB5" w14:paraId="0587ADB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“El informe está asociado al texto base del Proyecto de Ley denominado: “Ley para modificar el párrafo segundo del transitorio VI del Código Procesal Agrario Ley No. 9609 de 27 de setiembre de 2018”, Expediente Legislativo N.º 21.746…”.</w:t>
      </w:r>
    </w:p>
    <w:p w:rsidRPr="00AE1B2B" w:rsidR="009D3FB5" w:rsidP="00163B94" w:rsidRDefault="009D3FB5" w14:paraId="411FAB08"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76F1272C"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En el segundo período de sesiones extraordinarias, Asamblea Legislativa de la República de Costa Rica, redacción final el 03 de febrero del 2020, de la Ley para ampliar la entrada en vigencia de la ley 9609, Código Procesal Agrario, de 27 de setiembre de 2018:</w:t>
      </w:r>
    </w:p>
    <w:p w:rsidRPr="00AE1B2B" w:rsidR="009D3FB5" w:rsidP="00163B94" w:rsidRDefault="009D3FB5" w14:paraId="1C78B7F3"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5E35AD95"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“…ARTÍCULO ÚNICO- Se amplía el plazo de entrada en vigencia de la Ley 9609, Código Procesal Agrario, de 27 de setiembre de 2018. El texto es el siguiente:</w:t>
      </w:r>
    </w:p>
    <w:p w:rsidRPr="00AE1B2B" w:rsidR="009D3FB5" w:rsidP="00163B94" w:rsidRDefault="009D3FB5" w14:paraId="4C5111D5"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Rige a partir del 28 de febrero del año 2021…”.</w:t>
      </w:r>
    </w:p>
    <w:p w:rsidRPr="00AE1B2B" w:rsidR="009D3FB5" w:rsidP="00163B94" w:rsidRDefault="009D3FB5" w14:paraId="5D25F703"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p>
    <w:p w:rsidRPr="00AE1B2B" w:rsidR="009D3FB5" w:rsidP="00163B94" w:rsidRDefault="009D3FB5" w14:paraId="148217BE"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Se envía a consulta por parte de la Dirección de Planificación a la Comisión de la Jurisdicción Agraria y a la Comisión de la Jurisdicción Civil, el 13 de marzo del 2020 el oficio 151-PLA-MI-2019 referente a los acuerdos tomados en la reunión del 20 de noviembre del año 2019 realizada con el Equipo Gestor en Materia Agraria, de las cuales se indica la necesidad de generar un tipo de muestreo que permita exponer el impacto a nivel de competencias materiales que la Jurisdicción Agraria va a conocer, como son los casos Sucesorios y Cobratorios.</w:t>
      </w:r>
    </w:p>
    <w:p w:rsidRPr="00AE1B2B" w:rsidR="009D3FB5" w:rsidP="00163B94" w:rsidRDefault="009D3FB5" w14:paraId="5DD58BD8"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Se reciben observaciones de la Comisión de la Jurisdicción Civil mediante oficio</w:t>
      </w:r>
      <w:r w:rsidRPr="00AE1B2B">
        <w:rPr>
          <w:rFonts w:ascii="Times New Roman" w:hAnsi="Times New Roman" w:cs="Times New Roman"/>
          <w:sz w:val="26"/>
          <w:szCs w:val="26"/>
        </w:rPr>
        <w:t xml:space="preserve"> </w:t>
      </w:r>
      <w:r w:rsidRPr="00AE1B2B">
        <w:rPr>
          <w:rFonts w:ascii="Times New Roman" w:hAnsi="Times New Roman" w:cs="Times New Roman"/>
          <w:sz w:val="26"/>
          <w:szCs w:val="26"/>
          <w:lang w:val="es-ES" w:eastAsia="zh-CN"/>
        </w:rPr>
        <w:t>0006-CJC-2020, en el artículo III, de la sesión 1-2020, celebrada el 5 de febrero de 2020, donde plantean su disconformidad al oficio 151-PLA-MI-2020.</w:t>
      </w:r>
    </w:p>
    <w:p w:rsidRPr="00AE1B2B" w:rsidR="009D3FB5" w:rsidP="00163B94" w:rsidRDefault="009D3FB5" w14:paraId="6462C3AB" w14:textId="71FED71D">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Posterior, la Dirección de Planificación remite el oficio preliminar 471-PLA-MI-2020 el 19 de marzo de 2020, relacionado con las respuestas y aclaraciones sobre la disconformidad planteada </w:t>
      </w:r>
      <w:r w:rsidRPr="00AE1B2B">
        <w:rPr>
          <w:rFonts w:ascii="Times New Roman" w:hAnsi="Times New Roman" w:cs="Times New Roman"/>
          <w:sz w:val="26"/>
          <w:szCs w:val="26"/>
          <w:lang w:val="es-ES" w:eastAsia="zh-CN"/>
        </w:rPr>
        <w:lastRenderedPageBreak/>
        <w:t>en el oficio 0006-CJC-2020, referente con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 se puso en conocimiento el preliminar de este documento al Magistrado Luis Guillermo Rivas Loáiciga, a las Magistradas y los Magistrados de la Sala Primera, al Centro de Apoyo, Coordinación y Mejoramiento de la Función Jurisdiccional y a la Dirección de Tecnología de Información. Como respuesta se recibieron observaciones de la Dirección de Tecnología de Información, suscrito por la Msc. Kattia Morales Navarro, Directora, por medio del oficio 643-DTI-2020 del 25 de marzo 2020 en el cual hace referencia sobre el oficio 642-DTI-2020, remitido por la Msc. Vivian Rímola Soto, Jefa a.í. del Subproceso Sistemas Jurisdiccionales.</w:t>
      </w:r>
      <w:r w:rsidRPr="00AE1B2B" w:rsidR="00BB7720">
        <w:rPr>
          <w:rFonts w:ascii="Times New Roman" w:hAnsi="Times New Roman" w:cs="Times New Roman"/>
          <w:sz w:val="26"/>
          <w:szCs w:val="26"/>
          <w:lang w:val="es-ES" w:eastAsia="zh-CN"/>
        </w:rPr>
        <w:t xml:space="preserve"> </w:t>
      </w:r>
    </w:p>
    <w:p w:rsidRPr="00AE1B2B" w:rsidR="009D3FB5" w:rsidP="00163B94" w:rsidRDefault="009D3FB5" w14:paraId="3BF96E08"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El oficio definitivo 816-PLA-MI-2020 de la Dirección de Planificación remitido el 1 de junio del 2020, fue aprobado en sesión del Consejo Superior 64-2020 del 23 de junio del 2020, artículo LI:</w:t>
      </w:r>
    </w:p>
    <w:p w:rsidRPr="00AE1B2B" w:rsidR="009D3FB5" w:rsidP="00163B94" w:rsidRDefault="009D3FB5" w14:paraId="6AFF0CDC"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559D3999" w14:textId="0E419A7C">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 xml:space="preserve">“(…)se acordó: 1.) Tener por rendido el Informe N° 816-PLA-MI-2020 de la Dirección de Planificación, relacionado con “la imposibilidad de contar con un muestreo de los asuntos ingresados en despachos civiles, que puedan servir como insumo para proyectar de alguna manera los posibles asuntos que puedan ingresar a la jurisdicción agraria producto de la entrada en vigencia del nuevo Código Procesal Agrario.” 2.) Avalar las recomendaciones que fueron emitidas en este informe, por consiguiente se debe: a) Solicitar a la Sala Primera como líder de los temas civiles y agrarios, realicen en consenso entre los Equipos Gestores representantes de la Comisión de la Jurisdicción Agraria en conjunto con la Dirección de Tecnología de Información y el Equipo Gestor representante de la 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b) Para el desarrollo de la mejora indicada se adjunta al presente informe la herramienta del apéndice 4, la cual deberá ser analizada en forma conjunta por parte de los Gestores Agrarios y Gestores Civiles, quienes deberán </w:t>
      </w:r>
      <w:r w:rsidRPr="00AE1B2B">
        <w:rPr>
          <w:rFonts w:ascii="Times New Roman" w:hAnsi="Times New Roman" w:cs="Times New Roman"/>
          <w:i/>
          <w:iCs/>
          <w:sz w:val="26"/>
          <w:szCs w:val="26"/>
          <w:lang w:val="es-ES" w:eastAsia="zh-CN"/>
        </w:rPr>
        <w:lastRenderedPageBreak/>
        <w:t>dar su visto bueno final, según el producto obtenido en la recomendación anterior. c) 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d) La Dirección de Tecnología dará prioridad en implementar la mejora informática una vez que se cuente con la misma. e) 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despachos agrarios partiendo de la implementación. 3.) Comuníquese el presente acuerdo a los Magistrados integrantes de la Sala Primera, a la Dirección de Tecnología de la Información, a los Equipos Gestores de la Comisión de la Jurisdicción Civil y a la Comisión de la Jurisdicción Agraria.”.</w:t>
      </w:r>
      <w:r w:rsidRPr="00AE1B2B" w:rsidR="00BB7720">
        <w:rPr>
          <w:rFonts w:ascii="Times New Roman" w:hAnsi="Times New Roman" w:cs="Times New Roman"/>
          <w:i/>
          <w:iCs/>
          <w:sz w:val="26"/>
          <w:szCs w:val="26"/>
          <w:lang w:val="es-ES" w:eastAsia="zh-CN"/>
        </w:rPr>
        <w:t xml:space="preserve"> </w:t>
      </w:r>
    </w:p>
    <w:p w:rsidRPr="00AE1B2B" w:rsidR="009D3FB5" w:rsidP="00163B94" w:rsidRDefault="009D3FB5" w14:paraId="0BB78F28"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1BFBAC94"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 </w:t>
      </w:r>
    </w:p>
    <w:p w:rsidRPr="00AE1B2B" w:rsidR="009D3FB5" w:rsidP="00163B94" w:rsidRDefault="009D3FB5" w14:paraId="21186257"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p>
    <w:p w:rsidRPr="00AE1B2B" w:rsidR="009D3FB5" w:rsidP="00163B94" w:rsidRDefault="009D3FB5" w14:paraId="3F815C67"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p>
    <w:p w:rsidRPr="00AE1B2B" w:rsidR="009D3FB5" w:rsidP="00163B94" w:rsidRDefault="009D3FB5" w14:paraId="60C2A91E"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26DECB9A"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Posteriormente mediante oficio DM-0945-2019, de fecha 11 de junio del 2019, la señora Ministra de Hacienda y en alusión a lo indicado en el oficio 101-P-2019, comunica al presidente de la Corte Suprema de Justicia: </w:t>
      </w:r>
    </w:p>
    <w:p w:rsidRPr="00AE1B2B" w:rsidR="009D3FB5" w:rsidP="00163B94" w:rsidRDefault="009D3FB5" w14:paraId="4C359568"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 Finalmente, en relación con las solicitudes complementarias al Anteproyecto de presupuesto de la institución a que se hace alusión en su oficio, le informo que el cumplimiento de la regla fiscal no da espacio para el financiamiento de nuevos gastos”.</w:t>
      </w:r>
    </w:p>
    <w:p w:rsidRPr="00AE1B2B" w:rsidR="009D3FB5" w:rsidP="00163B94" w:rsidRDefault="009D3FB5" w14:paraId="3EB1950B"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3DAF8DCE"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rsidRPr="00AE1B2B" w:rsidR="009D3FB5" w:rsidP="00163B94" w:rsidRDefault="009D3FB5" w14:paraId="12DFE444"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w:t>
      </w:r>
    </w:p>
    <w:p w:rsidRPr="00AE1B2B" w:rsidR="009D3FB5" w:rsidP="00163B94" w:rsidRDefault="009D3FB5" w14:paraId="3244C2AC"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 </w:t>
      </w:r>
    </w:p>
    <w:p w:rsidRPr="00AE1B2B" w:rsidR="009D3FB5" w:rsidP="00163B94" w:rsidRDefault="009D3FB5" w14:paraId="12ECFC48"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 No fueron incorporados por el Ministerio de Hacienda al presupuesto ordinario, ni tampoco se remitieron como requerimiento adicional a la Asamblea Legislativa”.</w:t>
      </w:r>
    </w:p>
    <w:p w:rsidRPr="00AE1B2B" w:rsidR="009D3FB5" w:rsidP="00163B94" w:rsidRDefault="009D3FB5" w14:paraId="289707B0"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p>
    <w:p w:rsidRPr="00AE1B2B" w:rsidR="009D3FB5" w:rsidP="00163B94" w:rsidRDefault="009D3FB5" w14:paraId="450EA0E3"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Este oficio mencionado anteriormente fue conocido por Corte Plena en sesión 41-2019, de fecha 30 de setiembre de 2019, artículo XV.</w:t>
      </w:r>
    </w:p>
    <w:p w:rsidRPr="00AE1B2B" w:rsidR="009D3FB5" w:rsidP="00163B94" w:rsidRDefault="009D3FB5" w14:paraId="5D3EF5E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sesión del Consejo Superior 45-2020 (Presupuesto 2021) artículo XVIII, celebrada el 8 de mayo del 2020, se acordó:</w:t>
      </w:r>
    </w:p>
    <w:p w:rsidRPr="00AE1B2B" w:rsidR="009D3FB5" w:rsidP="00163B94" w:rsidRDefault="009D3FB5" w14:paraId="536CD67E" w14:textId="46B6DF34">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 Aprobar técnicamente el informe 555-PLA-RH-MI-2020 de la Dirección de “…e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Corte Plena, se deberá crear este Juzgado durante el 2020, con una estructura de un Juez, un Coordinador Judicial y un técnico Judicial, con las siguientes consideraciones en relación a los requerimientos:</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 xml:space="preserve">El Centro de Apoyo, Coordinación y Mejoramiento de la Función Jurisdiccional, debe otorgar con su personal ordinario y por la importancia que reviste este tema, dos plazas para crear la oficina en Jicaral. Al menos un Juez y un técnico supernumerario, </w:t>
      </w:r>
      <w:r w:rsidRPr="00AE1B2B">
        <w:rPr>
          <w:rFonts w:ascii="Times New Roman" w:hAnsi="Times New Roman" w:cs="Times New Roman"/>
          <w:i/>
          <w:iCs/>
          <w:sz w:val="26"/>
          <w:szCs w:val="26"/>
        </w:rPr>
        <w:lastRenderedPageBreak/>
        <w:t>las plazas deben ser vacantes, para recalificarlas a los perfiles necesarios, y ambos con licencia para conducir vehículos institucionales, como requisito en su nombramiento. La Dirección de 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 Se mantiene el requerimiento para el 2021 de plazas extraordinarias para planes descongestionamiento, sin embargo, se plantea la necesidad de gestar un Plan de Trabajo para la implementación de estos planes a partir del año 2020, para ir brindando apoyo a los Juzgados. Se debe revisar el ahorro de recursos en sustituciones para ver que redireccionamiento se puede brindar, para estos recursos para materia Agrario. 2) Incluir el costo relativo a la remodelación del Juzgado Agrario de Jicaral indicado por la Dirección Ejecutiva por la suma de ¢19.350.000, como parte del presupuesto ordinario del Poder Judicial para el 2021.</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3.) Remitir a la Corte Plena para que valore el cambio de la competencia propuesto desde el año 2020, a partir de que exista el recurso humano disponible. 4.) Solicitar al Departamento de Proveeduría, valorar que el automóvil asignado al Consejo Superior se utilice por la Comisión de la Jurisdicción Agraria en coordinación con la Dirección Ejecutiva y cuando corresponda el cambio se considere cambiar por un vehículo 4x4. Se declara este acuerdo firme.”.</w:t>
      </w:r>
    </w:p>
    <w:p w:rsidRPr="00AE1B2B" w:rsidR="009D3FB5" w:rsidP="00163B94" w:rsidRDefault="009D3FB5" w14:paraId="116D7A5D"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2FFC0C6A"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7375150C" w14:textId="6D240C7D">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Las observaciones realizadas al informe 555-PLA-RH-MI-2020, puesto en consulta mediante el oficio 572-PLA-RH-MI-2020, contestadas en el oficio 693-PLA-RH-MI-2020, fueron aprobadas en sesión 48-2020 del 14 de mayo del 2020.</w:t>
      </w:r>
      <w:r w:rsidRPr="00AE1B2B" w:rsidR="00BB7720">
        <w:rPr>
          <w:rFonts w:ascii="Times New Roman" w:hAnsi="Times New Roman" w:cs="Times New Roman"/>
          <w:sz w:val="26"/>
          <w:szCs w:val="26"/>
          <w:lang w:val="es-ES" w:eastAsia="zh-CN"/>
        </w:rPr>
        <w:t xml:space="preserve"> </w:t>
      </w:r>
      <w:r w:rsidRPr="00AE1B2B">
        <w:rPr>
          <w:rFonts w:ascii="Times New Roman" w:hAnsi="Times New Roman" w:cs="Times New Roman"/>
          <w:sz w:val="26"/>
          <w:szCs w:val="26"/>
          <w:lang w:val="es-ES" w:eastAsia="zh-CN"/>
        </w:rPr>
        <w:t xml:space="preserve">Se recibieron observaciones de la Secretaría de la Defensa Pública del I Circuito Judicial de San José, Gestión Humana y Dirección Ejecutiva. Importante mencionar que, el Centro de Apoyo, Coordinación y Mejoramiento de la Función Jurisdiccional (CACMFJ), la Comisión Agraria y la Escuela Judicial, no tuvieron observaciones del informe. </w:t>
      </w:r>
    </w:p>
    <w:p w:rsidRPr="00AE1B2B" w:rsidR="009D3FB5" w:rsidP="00163B94" w:rsidRDefault="009D3FB5" w14:paraId="6DB565B1"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En sesión de Corte Plena 31-2020 </w:t>
      </w:r>
      <w:r w:rsidRPr="00AE1B2B">
        <w:rPr>
          <w:rFonts w:ascii="Times New Roman" w:hAnsi="Times New Roman" w:cs="Times New Roman"/>
          <w:sz w:val="26"/>
          <w:szCs w:val="26"/>
        </w:rPr>
        <w:t>(Presupuesto 2021) artículo II, celebrada el 2 de junio del 2020, se acordó:</w:t>
      </w:r>
    </w:p>
    <w:p w:rsidRPr="00AE1B2B" w:rsidR="009D3FB5" w:rsidP="00163B94" w:rsidRDefault="009D3FB5" w14:paraId="630B2CB6"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lang w:val="es-ES" w:eastAsia="zh-CN"/>
        </w:rPr>
        <w:t xml:space="preserve">“(…) </w:t>
      </w:r>
      <w:r w:rsidRPr="00AE1B2B">
        <w:rPr>
          <w:rFonts w:ascii="Times New Roman" w:hAnsi="Times New Roman" w:cs="Times New Roman"/>
          <w:i/>
          <w:iCs/>
          <w:sz w:val="26"/>
          <w:szCs w:val="26"/>
        </w:rPr>
        <w:t xml:space="preserve">Aprobar por separado del Presupuesto ordinario del </w:t>
      </w:r>
      <w:r w:rsidRPr="00AE1B2B">
        <w:rPr>
          <w:rFonts w:ascii="Times New Roman" w:hAnsi="Times New Roman" w:cs="Times New Roman"/>
          <w:i/>
          <w:iCs/>
          <w:sz w:val="26"/>
          <w:szCs w:val="26"/>
        </w:rPr>
        <w:lastRenderedPageBreak/>
        <w:t>Poder Judicial, los requerimientos correspondientes a la Ley de Jurisdicción Especializada en Delincuencia Organizada, la Reforma Procesal Agraria, la Ley de Acceso a la Justicia de los Pueblos Indígenas de Costa Rica, la Reforma Procesal de Familia, Ley de Bienestar Animal y la propuesta para Anticorrupción, en la forma expuesta…”.</w:t>
      </w:r>
    </w:p>
    <w:p w:rsidRPr="00AE1B2B" w:rsidR="009D3FB5" w:rsidP="00163B94" w:rsidRDefault="009D3FB5" w14:paraId="3EBF343C"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4843ADC6"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En sesión de Corte Plena 53-2020, celebrada el 21 de setiembre de 2020, artículo XV acogió la propuesta de la Dirección de Planificación contenida en el estudio 555-PLA-RH-MI-2020 denominado “Impacto organizacional y presupuestario en el Poder Judicial a partir de la promulgación del Nuevo Código Procesal Agrario para el 2021. Ley 9609”, en consecuencia, se aprobó la creación del Juzgado Agrario de Jicaral, así como el cambio de competencias territoriales del Juzgado Agrario de Puntarenas y del Juzgado Agrario del Segundo Circuito Judicial de Guanacaste, sede Santa Cruz.</w:t>
      </w:r>
    </w:p>
    <w:p w:rsidRPr="00AE1B2B" w:rsidR="009D3FB5" w:rsidP="00163B94" w:rsidRDefault="009D3FB5" w14:paraId="676E65CF"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p>
    <w:p w:rsidRPr="00AE1B2B" w:rsidR="009D3FB5" w:rsidP="00163B94" w:rsidRDefault="009D3FB5" w14:paraId="1144B116"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En el oficio PJ-DGH-RS-008-2021 remitido por la Dirección de Gestión Humana, se menciona la solicitud realizada por el Consejo Superior, en sesión</w:t>
      </w:r>
      <w:r w:rsidRPr="00AE1B2B">
        <w:rPr>
          <w:rFonts w:ascii="Times New Roman" w:hAnsi="Times New Roman" w:cs="Times New Roman"/>
          <w:sz w:val="26"/>
          <w:szCs w:val="26"/>
        </w:rPr>
        <w:t xml:space="preserve"> </w:t>
      </w:r>
      <w:r w:rsidRPr="00AE1B2B">
        <w:rPr>
          <w:rFonts w:ascii="Times New Roman" w:hAnsi="Times New Roman" w:cs="Times New Roman"/>
          <w:sz w:val="26"/>
          <w:szCs w:val="26"/>
          <w:lang w:val="es-ES" w:eastAsia="zh-CN"/>
        </w:rPr>
        <w:t xml:space="preserve">113-2020 celebrada el pasado 24 de noviembre, artículo XLIV : </w:t>
      </w:r>
    </w:p>
    <w:p w:rsidRPr="00AE1B2B" w:rsidR="009D3FB5" w:rsidP="00163B94" w:rsidRDefault="009D3FB5" w14:paraId="134A4846"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 xml:space="preserve">“(…) 2.) Estar a la espera de que la Dirección de Gestión Humana remita, (…) el informe solicitado en sesión del Consejo Superior número 110-2020, del 12 de noviembre de 2020, artículo XLVIII, en cuanto a la consulta de permuta de una persona técnica judicial para el Juzgado Agrario de Jicaral. </w:t>
      </w:r>
      <w:r w:rsidRPr="00AE1B2B">
        <w:rPr>
          <w:rFonts w:ascii="Times New Roman" w:hAnsi="Times New Roman" w:cs="Times New Roman"/>
          <w:b/>
          <w:bCs/>
          <w:i/>
          <w:iCs/>
          <w:sz w:val="26"/>
          <w:szCs w:val="26"/>
          <w:lang w:val="es-ES" w:eastAsia="zh-CN"/>
        </w:rPr>
        <w:t>3.) En cuanto a la plaza faltante que deberá ser asignada al Juzgado Agrario de Jicaral, tomando en consideración que el Centro de Apoyo no cuenta con ese recurso, deberá la Dirección de Gestión Humana coordinar con la Oficina de Cumplimiento (…)”</w:t>
      </w:r>
      <w:r w:rsidRPr="00AE1B2B">
        <w:rPr>
          <w:rFonts w:ascii="Times New Roman" w:hAnsi="Times New Roman" w:cs="Times New Roman"/>
          <w:i/>
          <w:iCs/>
          <w:sz w:val="26"/>
          <w:szCs w:val="26"/>
          <w:lang w:val="es-ES" w:eastAsia="zh-CN"/>
        </w:rPr>
        <w:t xml:space="preserve"> </w:t>
      </w:r>
      <w:r w:rsidRPr="00AE1B2B">
        <w:rPr>
          <w:rFonts w:ascii="Times New Roman" w:hAnsi="Times New Roman" w:cs="Times New Roman"/>
          <w:b/>
          <w:bCs/>
          <w:sz w:val="26"/>
          <w:szCs w:val="26"/>
          <w:lang w:val="es-ES" w:eastAsia="zh-CN"/>
        </w:rPr>
        <w:t>(Énfasis agregado).</w:t>
      </w:r>
    </w:p>
    <w:p w:rsidRPr="00AE1B2B" w:rsidR="009D3FB5" w:rsidP="00163B94" w:rsidRDefault="009D3FB5" w14:paraId="23C37083"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Mediante el mismo oficio, la Dirección de Gestión Humana, realiza la siguiente recomendación a la Dirección de Planificación: </w:t>
      </w:r>
    </w:p>
    <w:p w:rsidRPr="00AE1B2B" w:rsidR="009D3FB5" w:rsidP="00163B94" w:rsidRDefault="009D3FB5" w14:paraId="1BC00538"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i/>
          <w:iCs/>
          <w:sz w:val="26"/>
          <w:szCs w:val="26"/>
          <w:lang w:val="es-ES" w:eastAsia="zh-CN"/>
        </w:rPr>
      </w:pPr>
      <w:r w:rsidRPr="00AE1B2B">
        <w:rPr>
          <w:rFonts w:ascii="Times New Roman" w:hAnsi="Times New Roman" w:cs="Times New Roman"/>
          <w:i/>
          <w:iCs/>
          <w:sz w:val="26"/>
          <w:szCs w:val="26"/>
          <w:lang w:val="es-ES" w:eastAsia="zh-CN"/>
        </w:rPr>
        <w:t>“(…) 5.2 Para completar la estructura requerida, solicitar a la Dirección de Planificación la plaza a trasladar que ocupará el puesto de Coordinador o Coordinadora Judicial 2 en el Juzgado Agrario de Jicaral (…)”.</w:t>
      </w:r>
    </w:p>
    <w:p w:rsidRPr="00AE1B2B" w:rsidR="009D3FB5" w:rsidP="00163B94" w:rsidRDefault="009D3FB5" w14:paraId="3094EE97"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Lo anterior se da porque, la plaza de persona técnica judicial destinada a ocupar el puesto de Coordinadora o Coordinador Judicial en el nuevo Juzgado de Jicaral, de acuerdo con los acuerdos del </w:t>
      </w:r>
      <w:r w:rsidRPr="00AE1B2B">
        <w:rPr>
          <w:rFonts w:ascii="Times New Roman" w:hAnsi="Times New Roman" w:cs="Times New Roman"/>
          <w:sz w:val="26"/>
          <w:szCs w:val="26"/>
          <w:lang w:val="es-ES" w:eastAsia="zh-CN"/>
        </w:rPr>
        <w:lastRenderedPageBreak/>
        <w:t xml:space="preserve">Consejo Superior en las sesiones 87-2020 del 8 de setiembre de 2020, artículo XXXI y 102-2020 del 22 de octubre de 2020, artículo XXVIII, donde se conocieron los informes 1346-PLA-2020 y 1600-PLA-2020 , se dejó sin efecto el traslado de una plaza de Técnico Judicial 1 del Juzgado de Tránsito del Segundo Circuito Judicial de San José a la Oficina de Cumplimiento, y en su lugar se traslada ese recurso al Tribunal de Juicio del Segundo Circuito Judicial de San José para su estructura mínima de trabajo. </w:t>
      </w:r>
    </w:p>
    <w:p w:rsidRPr="00AE1B2B" w:rsidR="009D3FB5" w:rsidP="00163B94" w:rsidRDefault="009D3FB5" w14:paraId="5C91E800"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En sesión 15-2021 del Consejo Superior celebrada el 23 de febrero del 2021, se conoció y aprobó el oficio 159-PLA-MI-2020, relacionado con la estructura y recurso humano del nuevo Juzgado Agrario de Jicaral y dispuso, en lo que interesa comunicar que el inicio de funciones del Juzgado Agrario de Jicaral, será a partir del 3 de mayo de 2021 y se definía la estructura final que tendría esa oficina con una Jueza o Juez, una Coordinadora o Coordinador Judicial y una Técnica o Técnico Judicial los cuales saldrían de traslados de recursos entre despachos.</w:t>
      </w:r>
    </w:p>
    <w:p w:rsidRPr="00AE1B2B" w:rsidR="009D3FB5" w:rsidP="00163B94" w:rsidRDefault="009D3FB5" w14:paraId="647E3D56" w14:textId="77777777">
      <w:pPr>
        <w:spacing w:before="120" w:after="120"/>
        <w:ind w:left="851" w:right="851" w:firstLine="709"/>
        <w:jc w:val="both"/>
        <w:rPr>
          <w:rFonts w:ascii="Times New Roman" w:hAnsi="Times New Roman" w:cs="Times New Roman"/>
          <w:sz w:val="26"/>
          <w:szCs w:val="26"/>
          <w:lang w:val="es-ES"/>
        </w:rPr>
      </w:pPr>
      <w:bookmarkStart w:name="_Toc37670445" w:id="103"/>
      <w:bookmarkStart w:name="_Toc68688512" w:id="104"/>
      <w:r w:rsidRPr="00AE1B2B">
        <w:rPr>
          <w:rFonts w:ascii="Times New Roman" w:hAnsi="Times New Roman" w:cs="Times New Roman"/>
          <w:sz w:val="26"/>
          <w:szCs w:val="26"/>
          <w:lang w:val="es-ES"/>
        </w:rPr>
        <w:t>Metodología</w:t>
      </w:r>
      <w:bookmarkEnd w:id="103"/>
      <w:bookmarkEnd w:id="104"/>
    </w:p>
    <w:p w:rsidRPr="00AE1B2B" w:rsidR="009D3FB5" w:rsidP="00163B94" w:rsidRDefault="009D3FB5" w14:paraId="5A03F75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Para la confección del presente informe se utilizó como documento de referencia, el informe 555-PLA-RH-MI-2020, realizado en abril del 2020 por la Dirección de Planificación, relacionado “</w:t>
      </w:r>
      <w:r w:rsidRPr="00AE1B2B">
        <w:rPr>
          <w:rFonts w:ascii="Times New Roman" w:hAnsi="Times New Roman" w:cs="Times New Roman"/>
          <w:b/>
          <w:bCs/>
          <w:i/>
          <w:iCs/>
          <w:sz w:val="26"/>
          <w:szCs w:val="26"/>
        </w:rPr>
        <w:t>Impacto organizacional y presupuestario en el Poder Judicial a partir de la promulgación del Nuevo Código Procesal Agrario para el 2021 Ley 9609”</w:t>
      </w:r>
      <w:r w:rsidRPr="00AE1B2B">
        <w:rPr>
          <w:rFonts w:ascii="Times New Roman" w:hAnsi="Times New Roman" w:cs="Times New Roman"/>
          <w:sz w:val="26"/>
          <w:szCs w:val="26"/>
        </w:rPr>
        <w:t>, aprobado por el Consejo Superior en Consejo Superior en la Sesión 45-2020 (Presupuesto 2021), Artículo XVIII, celebrada el 8 de mayo del 2020 y en la sesión 48-2020 del 14 de mayo del 202014. Corte Plena sesión 31-2020 (Presupuesto 2021) artículo II, celebrada el 2 de junio del 2020</w:t>
      </w:r>
    </w:p>
    <w:p w:rsidRPr="00AE1B2B" w:rsidR="009D3FB5" w:rsidP="00163B94" w:rsidRDefault="009D3FB5" w14:paraId="6533A78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realizan consultas directas con, la Licda. Liliana Saborío y la Licda. Paula Campos del Centro de Apoyo, Coordinación y Mejoramiento de la Función Jurisdiccional, el Lic. Melvin Obando de la Dirección Ejecutiva, con respecto a la disposición de espacio para albergar una nueva plaza en el Juzgado Mixto de Upala. También se realizaron consultas a la Licda. Rebeca Salazar Alcócer, Gestora del Proyecto de Implementación del Código Procesal Agrario, sobre los temas pendientes por tratar en el cronograma de trabajo del proyecto, el Lic. Josué Alberto González Granados, Administrador Regional de la Defensa Pública y el Lic. Mario Alberto Rosales Vargas, Coordinador de la Unidad de Defensa Pública Agraria. </w:t>
      </w:r>
    </w:p>
    <w:p w:rsidRPr="00AE1B2B" w:rsidR="009D3FB5" w:rsidP="00163B94" w:rsidRDefault="009D3FB5" w14:paraId="09AFD738" w14:textId="77777777">
      <w:pPr>
        <w:spacing w:before="120" w:after="120"/>
        <w:ind w:left="851" w:right="851" w:firstLine="709"/>
        <w:jc w:val="both"/>
        <w:rPr>
          <w:rFonts w:ascii="Times New Roman" w:hAnsi="Times New Roman" w:cs="Times New Roman"/>
          <w:sz w:val="26"/>
          <w:szCs w:val="26"/>
          <w:lang w:val="es-ES"/>
        </w:rPr>
      </w:pPr>
      <w:bookmarkStart w:name="_Toc37670446" w:id="105"/>
      <w:bookmarkStart w:name="_Toc68688513" w:id="106"/>
      <w:r w:rsidRPr="00AE1B2B">
        <w:rPr>
          <w:rFonts w:ascii="Times New Roman" w:hAnsi="Times New Roman" w:cs="Times New Roman"/>
          <w:sz w:val="26"/>
          <w:szCs w:val="26"/>
          <w:lang w:val="es-ES"/>
        </w:rPr>
        <w:t>Información relevante</w:t>
      </w:r>
      <w:bookmarkEnd w:id="105"/>
      <w:bookmarkEnd w:id="106"/>
      <w:r w:rsidRPr="00AE1B2B">
        <w:rPr>
          <w:rFonts w:ascii="Times New Roman" w:hAnsi="Times New Roman" w:cs="Times New Roman"/>
          <w:sz w:val="26"/>
          <w:szCs w:val="26"/>
          <w:lang w:val="es-ES"/>
        </w:rPr>
        <w:t xml:space="preserve"> </w:t>
      </w:r>
    </w:p>
    <w:p w:rsidRPr="00AE1B2B" w:rsidR="009D3FB5" w:rsidP="00163B94" w:rsidRDefault="009D3FB5" w14:paraId="39E030A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A continuación, se presenta la conformación actual de los Juzgados y Oficinas que conocen la materia Agraria.</w:t>
      </w:r>
    </w:p>
    <w:p w:rsidRPr="00AE1B2B" w:rsidR="009D3FB5" w:rsidP="00163B94" w:rsidRDefault="009D3FB5" w14:paraId="68B717B6" w14:textId="77777777">
      <w:pPr>
        <w:pStyle w:val="Prrafodelista"/>
        <w:keepNext/>
        <w:keepLines/>
        <w:numPr>
          <w:ilvl w:val="0"/>
          <w:numId w:val="94"/>
        </w:numPr>
        <w:spacing w:before="120" w:after="120"/>
        <w:ind w:left="851" w:right="851" w:firstLine="709"/>
        <w:jc w:val="both"/>
        <w:outlineLvl w:val="2"/>
        <w:rPr>
          <w:rFonts w:ascii="Times New Roman" w:hAnsi="Times New Roman" w:cs="Times New Roman" w:eastAsiaTheme="majorEastAsia"/>
          <w:b/>
          <w:vanish/>
          <w:sz w:val="26"/>
          <w:szCs w:val="26"/>
        </w:rPr>
      </w:pPr>
      <w:bookmarkStart w:name="_Toc34639067" w:id="107"/>
      <w:bookmarkStart w:name="_Toc34727187" w:id="108"/>
      <w:bookmarkStart w:name="_Toc34830114" w:id="109"/>
      <w:bookmarkStart w:name="_Toc34903257" w:id="110"/>
      <w:bookmarkStart w:name="_Toc34912949" w:id="111"/>
      <w:bookmarkStart w:name="_Toc34914042" w:id="112"/>
      <w:bookmarkStart w:name="_Toc34639068" w:id="113"/>
      <w:bookmarkStart w:name="_Toc34727188" w:id="114"/>
      <w:bookmarkStart w:name="_Toc34830115" w:id="115"/>
      <w:bookmarkStart w:name="_Toc34903258" w:id="116"/>
      <w:bookmarkStart w:name="_Toc34912950" w:id="117"/>
      <w:bookmarkStart w:name="_Toc34914043" w:id="118"/>
      <w:bookmarkStart w:name="_Toc36214341" w:id="119"/>
      <w:bookmarkStart w:name="_Toc37668860" w:id="120"/>
      <w:bookmarkStart w:name="_Toc37670345" w:id="121"/>
      <w:bookmarkStart w:name="_Toc37670447" w:id="122"/>
      <w:bookmarkStart w:name="_Toc64355585" w:id="123"/>
      <w:bookmarkStart w:name="_Toc64355659" w:id="124"/>
      <w:bookmarkStart w:name="_Toc64355733" w:id="125"/>
      <w:bookmarkStart w:name="_Toc64356109" w:id="126"/>
      <w:bookmarkStart w:name="_Toc65768225" w:id="127"/>
      <w:bookmarkStart w:name="_Toc67301315" w:id="128"/>
      <w:bookmarkStart w:name="_Toc67304717" w:id="129"/>
      <w:bookmarkStart w:name="_Toc67398009" w:id="130"/>
      <w:bookmarkStart w:name="_Toc68688514" w:id="131"/>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p>
    <w:p w:rsidRPr="00AE1B2B" w:rsidR="009D3FB5" w:rsidP="00163B94" w:rsidRDefault="009D3FB5" w14:paraId="53157EED" w14:textId="77777777">
      <w:pPr>
        <w:pStyle w:val="Prrafodelista"/>
        <w:keepNext/>
        <w:keepLines/>
        <w:widowControl w:val="0"/>
        <w:spacing w:before="120" w:after="120"/>
        <w:ind w:left="851" w:right="851" w:firstLine="709"/>
        <w:jc w:val="both"/>
        <w:outlineLvl w:val="2"/>
        <w:rPr>
          <w:rFonts w:ascii="Times New Roman" w:hAnsi="Times New Roman" w:cs="Times New Roman" w:eastAsiaTheme="majorEastAsia"/>
          <w:b/>
          <w:vanish/>
          <w:sz w:val="26"/>
          <w:szCs w:val="26"/>
        </w:rPr>
      </w:pPr>
      <w:bookmarkStart w:name="_Toc34639069" w:id="132"/>
      <w:bookmarkStart w:name="_Toc34727189" w:id="133"/>
      <w:bookmarkStart w:name="_Toc34830116" w:id="134"/>
      <w:bookmarkStart w:name="_Toc34903259" w:id="135"/>
      <w:bookmarkStart w:name="_Toc34912951" w:id="136"/>
      <w:bookmarkStart w:name="_Toc34914044" w:id="137"/>
      <w:bookmarkEnd w:id="132"/>
      <w:bookmarkEnd w:id="133"/>
      <w:bookmarkEnd w:id="134"/>
      <w:bookmarkEnd w:id="135"/>
      <w:bookmarkEnd w:id="136"/>
      <w:bookmarkEnd w:id="137"/>
    </w:p>
    <w:p w:rsidRPr="00AE1B2B" w:rsidR="009D3FB5" w:rsidP="00163B94" w:rsidRDefault="009D3FB5" w14:paraId="7AB333D1" w14:textId="77777777">
      <w:pPr>
        <w:spacing w:before="120" w:after="120"/>
        <w:ind w:left="851" w:right="851" w:firstLine="709"/>
        <w:jc w:val="both"/>
        <w:rPr>
          <w:rFonts w:ascii="Times New Roman" w:hAnsi="Times New Roman" w:cs="Times New Roman"/>
          <w:sz w:val="26"/>
          <w:szCs w:val="26"/>
        </w:rPr>
      </w:pPr>
      <w:bookmarkStart w:name="_Toc34639070" w:id="138"/>
      <w:bookmarkStart w:name="_Toc34727190" w:id="139"/>
      <w:bookmarkStart w:name="_Toc34830117" w:id="140"/>
      <w:bookmarkStart w:name="_Toc34903260" w:id="141"/>
      <w:bookmarkStart w:name="_Toc34912952" w:id="142"/>
      <w:bookmarkStart w:name="_Toc34914045" w:id="143"/>
      <w:bookmarkStart w:name="_Toc36214342" w:id="144"/>
      <w:bookmarkStart w:name="_Toc34639071" w:id="145"/>
      <w:bookmarkStart w:name="_Toc34727191" w:id="146"/>
      <w:bookmarkStart w:name="_Toc34830118" w:id="147"/>
      <w:bookmarkStart w:name="_Toc34903261" w:id="148"/>
      <w:bookmarkStart w:name="_Toc34912953" w:id="149"/>
      <w:bookmarkStart w:name="_Toc34914046" w:id="150"/>
      <w:bookmarkStart w:name="_Toc36214343" w:id="151"/>
      <w:bookmarkStart w:name="_Toc34639072" w:id="152"/>
      <w:bookmarkStart w:name="_Toc36214344" w:id="153"/>
      <w:bookmarkStart w:name="_Toc34639073" w:id="154"/>
      <w:bookmarkStart w:name="_Toc34727193" w:id="155"/>
      <w:bookmarkStart w:name="_Toc34830120" w:id="156"/>
      <w:bookmarkStart w:name="_Toc34903263" w:id="157"/>
      <w:bookmarkStart w:name="_Toc34912955" w:id="158"/>
      <w:bookmarkStart w:name="_Toc34914048" w:id="159"/>
      <w:bookmarkStart w:name="_Toc36214345" w:id="160"/>
      <w:bookmarkStart w:name="_Toc34639074" w:id="161"/>
      <w:bookmarkStart w:name="_Toc34727194" w:id="162"/>
      <w:bookmarkStart w:name="_Toc34830121" w:id="163"/>
      <w:bookmarkStart w:name="_Toc34903264" w:id="164"/>
      <w:bookmarkStart w:name="_Toc34912956" w:id="165"/>
      <w:bookmarkStart w:name="_Toc34914049" w:id="166"/>
      <w:bookmarkStart w:name="_Toc36214346" w:id="167"/>
      <w:bookmarkStart w:name="_Toc34639075" w:id="168"/>
      <w:bookmarkStart w:name="_Toc34727195" w:id="169"/>
      <w:bookmarkStart w:name="_Toc34830122" w:id="170"/>
      <w:bookmarkStart w:name="_Toc34903265" w:id="171"/>
      <w:bookmarkStart w:name="_Toc34912957" w:id="172"/>
      <w:bookmarkStart w:name="_Toc34914050" w:id="173"/>
      <w:bookmarkStart w:name="_Toc36214347" w:id="174"/>
      <w:bookmarkStart w:name="_Toc34639076" w:id="175"/>
      <w:bookmarkStart w:name="_Toc34727196" w:id="176"/>
      <w:bookmarkStart w:name="_Toc34830123" w:id="177"/>
      <w:bookmarkStart w:name="_Toc34903266" w:id="178"/>
      <w:bookmarkStart w:name="_Toc34912958" w:id="179"/>
      <w:bookmarkStart w:name="_Toc34914051" w:id="180"/>
      <w:bookmarkStart w:name="_Toc37670448" w:id="181"/>
      <w:bookmarkStart w:name="_Toc68688515" w:id="182"/>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AE1B2B">
        <w:rPr>
          <w:rFonts w:ascii="Times New Roman" w:hAnsi="Times New Roman" w:cs="Times New Roman"/>
          <w:sz w:val="26"/>
          <w:szCs w:val="26"/>
        </w:rPr>
        <w:t>Ámbito Jurisdiccional</w:t>
      </w:r>
      <w:bookmarkEnd w:id="181"/>
      <w:bookmarkEnd w:id="182"/>
    </w:p>
    <w:p w:rsidRPr="00AE1B2B" w:rsidR="009D3FB5" w:rsidP="00163B94" w:rsidRDefault="009D3FB5" w14:paraId="47D7E471" w14:textId="77777777">
      <w:pPr>
        <w:pStyle w:val="Ttulo"/>
        <w:spacing w:before="120" w:after="120"/>
        <w:ind w:left="851" w:right="851" w:firstLine="709"/>
        <w:jc w:val="both"/>
        <w:rPr>
          <w:rFonts w:ascii="Times New Roman" w:hAnsi="Times New Roman"/>
          <w:iCs/>
          <w:sz w:val="26"/>
          <w:szCs w:val="26"/>
        </w:rPr>
      </w:pPr>
      <w:bookmarkStart w:name="_Toc36214349" w:id="183"/>
      <w:bookmarkStart w:name="_Hlk39734794" w:id="184"/>
      <w:bookmarkEnd w:id="183"/>
      <w:r w:rsidRPr="00AE1B2B">
        <w:rPr>
          <w:rFonts w:ascii="Times New Roman" w:hAnsi="Times New Roman"/>
          <w:iCs/>
          <w:sz w:val="26"/>
          <w:szCs w:val="26"/>
        </w:rPr>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w:t>
      </w:r>
      <w:r w:rsidRPr="00AE1B2B">
        <w:rPr>
          <w:rFonts w:ascii="Times New Roman" w:hAnsi="Times New Roman"/>
          <w:iCs/>
          <w:sz w:val="26"/>
          <w:szCs w:val="26"/>
        </w:rPr>
        <w:fldChar w:fldCharType="end"/>
      </w:r>
    </w:p>
    <w:p w:rsidRPr="00AE1B2B" w:rsidR="009D3FB5" w:rsidP="00163B94" w:rsidRDefault="009D3FB5" w14:paraId="4063A548"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Despachos que conforman la Jurisdicción Agraria</w:t>
      </w:r>
    </w:p>
    <w:tbl>
      <w:tblPr>
        <w:tblW w:w="9000" w:type="dxa"/>
        <w:tblCellMar>
          <w:left w:w="70" w:type="dxa"/>
          <w:right w:w="70" w:type="dxa"/>
        </w:tblCellMar>
        <w:tblLook w:val="04A0" w:firstRow="1" w:lastRow="0" w:firstColumn="1" w:lastColumn="0" w:noHBand="0" w:noVBand="1"/>
      </w:tblPr>
      <w:tblGrid>
        <w:gridCol w:w="1940"/>
        <w:gridCol w:w="1940"/>
        <w:gridCol w:w="1940"/>
        <w:gridCol w:w="1940"/>
        <w:gridCol w:w="1240"/>
      </w:tblGrid>
      <w:tr w:rsidRPr="00AE1B2B" w:rsidR="00AE1B2B" w:rsidTr="009D3FB5" w14:paraId="708EABCF" w14:textId="77777777">
        <w:trPr>
          <w:trHeight w:val="888"/>
          <w:tblHeader/>
        </w:trPr>
        <w:tc>
          <w:tcPr>
            <w:tcW w:w="1940" w:type="dxa"/>
            <w:tcBorders>
              <w:top w:val="double" w:color="1F497D" w:sz="6" w:space="0"/>
              <w:left w:val="double" w:color="1F497D" w:sz="6" w:space="0"/>
              <w:bottom w:val="double" w:color="1F497D" w:sz="6" w:space="0"/>
              <w:right w:val="double" w:color="1F497D" w:sz="6" w:space="0"/>
            </w:tcBorders>
            <w:shd w:val="clear" w:color="000000" w:fill="0673A5"/>
            <w:vAlign w:val="center"/>
            <w:hideMark/>
          </w:tcPr>
          <w:bookmarkEnd w:id="184"/>
          <w:p w:rsidRPr="00AE1B2B" w:rsidR="009D3FB5" w:rsidP="00163B94" w:rsidRDefault="009D3FB5" w14:paraId="49C89A0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Juzgados Especializados</w:t>
            </w:r>
          </w:p>
        </w:tc>
        <w:tc>
          <w:tcPr>
            <w:tcW w:w="1940"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2FC963A5"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Juzgados Mixtos </w:t>
            </w:r>
          </w:p>
        </w:tc>
        <w:tc>
          <w:tcPr>
            <w:tcW w:w="1940"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5C0082C3"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Tribunal (segunda instancia)</w:t>
            </w:r>
          </w:p>
        </w:tc>
        <w:tc>
          <w:tcPr>
            <w:tcW w:w="1940"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1AA55A2B"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Sala Primera (última instancia)</w:t>
            </w:r>
          </w:p>
        </w:tc>
        <w:tc>
          <w:tcPr>
            <w:tcW w:w="1240"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5480E99A"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Total</w:t>
            </w:r>
          </w:p>
        </w:tc>
      </w:tr>
      <w:tr w:rsidRPr="00AE1B2B" w:rsidR="00AE1B2B" w:rsidTr="009D3FB5" w14:paraId="04826178" w14:textId="77777777">
        <w:trPr>
          <w:trHeight w:val="312"/>
        </w:trPr>
        <w:tc>
          <w:tcPr>
            <w:tcW w:w="1940"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2C620F80" w14:textId="77777777">
            <w:pPr>
              <w:spacing w:before="120" w:after="120"/>
              <w:jc w:val="center"/>
              <w:rPr>
                <w:rFonts w:ascii="Times New Roman" w:hAnsi="Times New Roman" w:cs="Times New Roman"/>
              </w:rPr>
            </w:pPr>
            <w:r w:rsidRPr="00AE1B2B">
              <w:rPr>
                <w:rFonts w:ascii="Times New Roman" w:hAnsi="Times New Roman" w:cs="Times New Roman"/>
              </w:rPr>
              <w:t>13</w:t>
            </w:r>
          </w:p>
        </w:tc>
        <w:tc>
          <w:tcPr>
            <w:tcW w:w="194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8F9592C" w14:textId="77777777">
            <w:pPr>
              <w:spacing w:before="120" w:after="120"/>
              <w:jc w:val="center"/>
              <w:rPr>
                <w:rFonts w:ascii="Times New Roman" w:hAnsi="Times New Roman" w:cs="Times New Roman"/>
              </w:rPr>
            </w:pPr>
            <w:r w:rsidRPr="00AE1B2B">
              <w:rPr>
                <w:rFonts w:ascii="Times New Roman" w:hAnsi="Times New Roman" w:cs="Times New Roman"/>
              </w:rPr>
              <w:t>3</w:t>
            </w:r>
          </w:p>
        </w:tc>
        <w:tc>
          <w:tcPr>
            <w:tcW w:w="194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0DEC541" w14:textId="77777777">
            <w:pPr>
              <w:spacing w:before="120" w:after="120"/>
              <w:jc w:val="center"/>
              <w:rPr>
                <w:rFonts w:ascii="Times New Roman" w:hAnsi="Times New Roman" w:cs="Times New Roman"/>
              </w:rPr>
            </w:pPr>
            <w:r w:rsidRPr="00AE1B2B">
              <w:rPr>
                <w:rFonts w:ascii="Times New Roman" w:hAnsi="Times New Roman" w:cs="Times New Roman"/>
              </w:rPr>
              <w:t>1</w:t>
            </w:r>
          </w:p>
        </w:tc>
        <w:tc>
          <w:tcPr>
            <w:tcW w:w="194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D42010B" w14:textId="77777777">
            <w:pPr>
              <w:spacing w:before="120" w:after="120"/>
              <w:jc w:val="center"/>
              <w:rPr>
                <w:rFonts w:ascii="Times New Roman" w:hAnsi="Times New Roman" w:cs="Times New Roman"/>
              </w:rPr>
            </w:pPr>
            <w:r w:rsidRPr="00AE1B2B">
              <w:rPr>
                <w:rFonts w:ascii="Times New Roman" w:hAnsi="Times New Roman" w:cs="Times New Roman"/>
              </w:rPr>
              <w:t>1</w:t>
            </w:r>
          </w:p>
        </w:tc>
        <w:tc>
          <w:tcPr>
            <w:tcW w:w="124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82EBFD7" w14:textId="77777777">
            <w:pPr>
              <w:spacing w:before="120" w:after="120"/>
              <w:jc w:val="center"/>
              <w:rPr>
                <w:rFonts w:ascii="Times New Roman" w:hAnsi="Times New Roman" w:cs="Times New Roman"/>
              </w:rPr>
            </w:pPr>
            <w:r w:rsidRPr="00AE1B2B">
              <w:rPr>
                <w:rFonts w:ascii="Times New Roman" w:hAnsi="Times New Roman" w:cs="Times New Roman"/>
              </w:rPr>
              <w:t>18</w:t>
            </w:r>
          </w:p>
        </w:tc>
      </w:tr>
    </w:tbl>
    <w:p w:rsidRPr="00AE1B2B" w:rsidR="009D3FB5" w:rsidP="00163B94" w:rsidRDefault="009D3FB5" w14:paraId="18E1DB37"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de acuerdo con la relación de Puestos SIGA-GH 2020.</w:t>
      </w:r>
    </w:p>
    <w:p w:rsidRPr="00AE1B2B" w:rsidR="009D3FB5" w:rsidP="00163B94" w:rsidRDefault="009D3FB5" w14:paraId="2BA37D5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Del cuadro anterior se observa que la Jurisdicción Agraria está conformada por una cantidad mayor de despachos jurisdiccionales especializados (72%), quedando en una condición mixta tres Juzgados (en las zonas de Buenos Aires, Upala y Turrialba) y existe un único Tribunal Agrario con sede en San Jose, Goicoechea que tiene la competencia en segunda instancia a nivel nacional, todos estos Despachos trabajan bajo la modalidad electrónica, además de que la última instancia en materia Agraria le corresponde a la Sala Primera.</w:t>
      </w:r>
    </w:p>
    <w:p w:rsidRPr="00AE1B2B" w:rsidR="009D3FB5" w:rsidP="00163B94" w:rsidRDefault="009D3FB5" w14:paraId="3A0B1F9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Para el 2021, se incorpora el Juzgado Agrario de Jicaral, el cual se aprobó su creación en de Corte Plena 53-2020, celebrada el 21 de setiembre de 2020, artículo XV acogió la propuesta de la Dirección de Planificación contenida en el estudio 555-PLA-RH-MI-2020 denominado “Impacto organizacional y presupuestario en el Poder Judicial a partir de la promulgación del Nuevo Código Procesal Agrario para el 2021. Ley 9609”. Este Juzgado adquiere competencia territorial de los Circuitos Judiciales de Puntarenas y II Circuito Judicial de Guanacaste, sede Santa Cruz de la siguiente manera: </w:t>
      </w:r>
    </w:p>
    <w:p w:rsidRPr="00AE1B2B" w:rsidR="009D3FB5" w:rsidP="00163B94" w:rsidRDefault="009D3FB5" w14:paraId="57C86A54" w14:textId="77777777">
      <w:pPr>
        <w:pStyle w:val="Prrafodelista"/>
        <w:numPr>
          <w:ilvl w:val="0"/>
          <w:numId w:val="95"/>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sz w:val="26"/>
          <w:szCs w:val="26"/>
        </w:rPr>
        <w:t>Del Segundo Circuito Judicial de Guanacaste, sede Santa Cruz, adquiere:</w:t>
      </w:r>
      <w:r w:rsidRPr="00AE1B2B">
        <w:rPr>
          <w:rFonts w:ascii="Times New Roman" w:hAnsi="Times New Roman" w:cs="Times New Roman"/>
          <w:sz w:val="26"/>
          <w:szCs w:val="26"/>
        </w:rPr>
        <w:t xml:space="preserve"> Mansión, San Antonio, Quebrada Honda, Carmona, Santa Rita, Zapotal, San Pablo, Porvenir, Bejuco, Hojancha, Monte Romo, Huacas y Matambú. </w:t>
      </w:r>
    </w:p>
    <w:p w:rsidRPr="00AE1B2B" w:rsidR="009D3FB5" w:rsidP="00163B94" w:rsidRDefault="009D3FB5" w14:paraId="3EA3FD5F" w14:textId="77777777">
      <w:pPr>
        <w:pStyle w:val="Prrafodelista"/>
        <w:numPr>
          <w:ilvl w:val="0"/>
          <w:numId w:val="95"/>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bCs/>
          <w:sz w:val="26"/>
          <w:szCs w:val="26"/>
        </w:rPr>
        <w:t>Del Circuito Judicial de Puntarenas adquiere:</w:t>
      </w:r>
      <w:r w:rsidRPr="00AE1B2B">
        <w:rPr>
          <w:rFonts w:ascii="Times New Roman" w:hAnsi="Times New Roman" w:cs="Times New Roman"/>
          <w:sz w:val="26"/>
          <w:szCs w:val="26"/>
        </w:rPr>
        <w:t xml:space="preserve"> Lepanto, Cóbano, Paquera y Chira. </w:t>
      </w:r>
    </w:p>
    <w:p w:rsidRPr="00AE1B2B" w:rsidR="009D3FB5" w:rsidP="00163B94" w:rsidRDefault="009D3FB5" w14:paraId="343BEBB8" w14:textId="77777777">
      <w:pPr>
        <w:spacing w:before="120" w:after="120"/>
        <w:ind w:left="851" w:right="851" w:firstLine="709"/>
        <w:jc w:val="both"/>
        <w:rPr>
          <w:rFonts w:ascii="Times New Roman" w:hAnsi="Times New Roman" w:cs="Times New Roman"/>
          <w:sz w:val="26"/>
          <w:szCs w:val="26"/>
          <w:lang w:val="es-ES"/>
        </w:rPr>
      </w:pPr>
    </w:p>
    <w:p w:rsidRPr="00AE1B2B" w:rsidR="009D3FB5" w:rsidP="00163B94" w:rsidRDefault="009D3FB5" w14:paraId="79CED33F" w14:textId="77777777">
      <w:pPr>
        <w:spacing w:before="120" w:after="120"/>
        <w:ind w:left="851" w:right="851" w:firstLine="709"/>
        <w:jc w:val="both"/>
        <w:rPr>
          <w:rFonts w:ascii="Times New Roman" w:hAnsi="Times New Roman" w:cs="Times New Roman"/>
          <w:sz w:val="26"/>
          <w:szCs w:val="26"/>
          <w:lang w:val="es-ES"/>
        </w:rPr>
      </w:pPr>
    </w:p>
    <w:p w:rsidRPr="00AE1B2B" w:rsidR="009D3FB5" w:rsidP="00163B94" w:rsidRDefault="009D3FB5" w14:paraId="0E8B1D30" w14:textId="77777777">
      <w:pPr>
        <w:spacing w:before="120" w:after="120"/>
        <w:ind w:left="851" w:right="851" w:firstLine="709"/>
        <w:jc w:val="both"/>
        <w:rPr>
          <w:rFonts w:ascii="Times New Roman" w:hAnsi="Times New Roman" w:cs="Times New Roman"/>
          <w:sz w:val="26"/>
          <w:szCs w:val="26"/>
          <w:lang w:val="es-ES"/>
        </w:rPr>
      </w:pPr>
    </w:p>
    <w:p w:rsidRPr="00AE1B2B" w:rsidR="009D3FB5" w:rsidP="00163B94" w:rsidRDefault="009D3FB5" w14:paraId="09EB7350"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La Jurisdicción Agraria está conformada de la siguiente manera:</w:t>
      </w:r>
    </w:p>
    <w:p w:rsidRPr="00AE1B2B" w:rsidR="009D3FB5" w:rsidP="00163B94" w:rsidRDefault="009D3FB5" w14:paraId="28B3725F" w14:textId="77777777">
      <w:pPr>
        <w:spacing w:before="120" w:after="120"/>
        <w:ind w:left="851" w:right="851" w:firstLine="709"/>
        <w:jc w:val="both"/>
        <w:rPr>
          <w:rFonts w:ascii="Times New Roman" w:hAnsi="Times New Roman" w:cs="Times New Roman"/>
          <w:sz w:val="26"/>
          <w:szCs w:val="26"/>
          <w:lang w:val="es-ES"/>
        </w:rPr>
      </w:pPr>
    </w:p>
    <w:p w:rsidRPr="00AE1B2B" w:rsidR="009D3FB5" w:rsidP="00163B94" w:rsidRDefault="009D3FB5" w14:paraId="073763BB"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2</w:t>
      </w:r>
      <w:r w:rsidRPr="00AE1B2B">
        <w:rPr>
          <w:rFonts w:ascii="Times New Roman" w:hAnsi="Times New Roman"/>
          <w:iCs/>
          <w:sz w:val="26"/>
          <w:szCs w:val="26"/>
        </w:rPr>
        <w:fldChar w:fldCharType="end"/>
      </w:r>
    </w:p>
    <w:p w:rsidRPr="00AE1B2B" w:rsidR="009D3FB5" w:rsidP="00163B94" w:rsidRDefault="009D3FB5" w14:paraId="72F9BFC4" w14:textId="77777777">
      <w:pPr>
        <w:pStyle w:val="Ttulo"/>
        <w:spacing w:before="120" w:after="120"/>
        <w:ind w:left="851" w:right="851" w:firstLine="709"/>
        <w:jc w:val="both"/>
        <w:rPr>
          <w:rFonts w:ascii="Times New Roman" w:hAnsi="Times New Roman"/>
          <w:iCs/>
          <w:szCs w:val="28"/>
        </w:rPr>
      </w:pPr>
      <w:r w:rsidRPr="00AE1B2B">
        <w:rPr>
          <w:rFonts w:ascii="Times New Roman" w:hAnsi="Times New Roman"/>
          <w:iCs/>
          <w:sz w:val="26"/>
          <w:szCs w:val="26"/>
        </w:rPr>
        <w:t>Despachos y Recurso Humano que conforman la Jurisdicción Agraria a enero 2021</w:t>
      </w:r>
    </w:p>
    <w:tbl>
      <w:tblPr>
        <w:tblW w:w="11008" w:type="dxa"/>
        <w:jc w:val="center"/>
        <w:tblCellMar>
          <w:left w:w="70" w:type="dxa"/>
          <w:right w:w="70" w:type="dxa"/>
        </w:tblCellMar>
        <w:tblLook w:val="04A0" w:firstRow="1" w:lastRow="0" w:firstColumn="1" w:lastColumn="0" w:noHBand="0" w:noVBand="1"/>
      </w:tblPr>
      <w:tblGrid>
        <w:gridCol w:w="6858"/>
        <w:gridCol w:w="690"/>
        <w:gridCol w:w="816"/>
        <w:gridCol w:w="850"/>
        <w:gridCol w:w="851"/>
        <w:gridCol w:w="943"/>
      </w:tblGrid>
      <w:tr w:rsidRPr="00AE1B2B" w:rsidR="00AE1B2B" w:rsidTr="009D3FB5" w14:paraId="493CF0BC" w14:textId="77777777">
        <w:trPr>
          <w:trHeight w:val="312"/>
          <w:tblHeader/>
          <w:jc w:val="center"/>
        </w:trPr>
        <w:tc>
          <w:tcPr>
            <w:tcW w:w="6858" w:type="dxa"/>
            <w:tcBorders>
              <w:top w:val="double" w:color="1F497D" w:sz="6" w:space="0"/>
              <w:left w:val="double" w:color="1F497D" w:sz="6" w:space="0"/>
              <w:bottom w:val="double" w:color="1F497D" w:sz="6" w:space="0"/>
              <w:right w:val="double" w:color="1F497D" w:sz="6" w:space="0"/>
            </w:tcBorders>
            <w:shd w:val="clear" w:color="000000" w:fill="0673A5"/>
            <w:vAlign w:val="center"/>
            <w:hideMark/>
          </w:tcPr>
          <w:p w:rsidRPr="00AE1B2B" w:rsidR="009D3FB5" w:rsidP="00163B94" w:rsidRDefault="009D3FB5" w14:paraId="723EC34D"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Despacho</w:t>
            </w:r>
          </w:p>
        </w:tc>
        <w:tc>
          <w:tcPr>
            <w:tcW w:w="0" w:type="auto"/>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6CD75FF9"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Jueza o Juez</w:t>
            </w:r>
          </w:p>
        </w:tc>
        <w:tc>
          <w:tcPr>
            <w:tcW w:w="816"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1D89CF2B"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Téc Jud</w:t>
            </w:r>
          </w:p>
        </w:tc>
        <w:tc>
          <w:tcPr>
            <w:tcW w:w="850"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4ADD53E7"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Coord Jud</w:t>
            </w:r>
          </w:p>
        </w:tc>
        <w:tc>
          <w:tcPr>
            <w:tcW w:w="851"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27E88FF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Aux Serv Gen</w:t>
            </w:r>
          </w:p>
        </w:tc>
        <w:tc>
          <w:tcPr>
            <w:tcW w:w="943"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1FE903A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Total</w:t>
            </w:r>
          </w:p>
        </w:tc>
      </w:tr>
      <w:tr w:rsidRPr="00AE1B2B" w:rsidR="00AE1B2B" w:rsidTr="009D3FB5" w14:paraId="46AB8F9E" w14:textId="77777777">
        <w:trPr>
          <w:trHeight w:val="312"/>
          <w:jc w:val="center"/>
        </w:trPr>
        <w:tc>
          <w:tcPr>
            <w:tcW w:w="68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41EC2D72"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Tribunal Agrario</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C983D6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w:t>
            </w:r>
          </w:p>
        </w:tc>
        <w:tc>
          <w:tcPr>
            <w:tcW w:w="81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777EA0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E5A4AC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8F2FF7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4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D3F765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11</w:t>
            </w:r>
          </w:p>
        </w:tc>
      </w:tr>
      <w:tr w:rsidRPr="00AE1B2B" w:rsidR="00AE1B2B" w:rsidTr="009D3FB5" w14:paraId="260107E5" w14:textId="77777777">
        <w:trPr>
          <w:trHeight w:val="312"/>
          <w:jc w:val="center"/>
        </w:trPr>
        <w:tc>
          <w:tcPr>
            <w:tcW w:w="68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3EB17A17"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del Segundo Circuito Judicial de San José</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9A5881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1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E62BBF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CD2A66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845F6C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4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F1865A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w:t>
            </w:r>
          </w:p>
        </w:tc>
      </w:tr>
      <w:tr w:rsidRPr="00AE1B2B" w:rsidR="00AE1B2B" w:rsidTr="009D3FB5" w14:paraId="7CA83D50" w14:textId="77777777">
        <w:trPr>
          <w:trHeight w:val="312"/>
          <w:jc w:val="center"/>
        </w:trPr>
        <w:tc>
          <w:tcPr>
            <w:tcW w:w="68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098AD91"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del Primer Circuito Judicial de Alajuela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C47513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1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702A38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B47A2D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63F128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4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CB6D22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w:t>
            </w:r>
          </w:p>
        </w:tc>
      </w:tr>
      <w:tr w:rsidRPr="00AE1B2B" w:rsidR="00AE1B2B" w:rsidTr="009D3FB5" w14:paraId="1E21A141" w14:textId="77777777">
        <w:trPr>
          <w:trHeight w:val="312"/>
          <w:jc w:val="center"/>
        </w:trPr>
        <w:tc>
          <w:tcPr>
            <w:tcW w:w="68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5D451388"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del Segundo Circuito Judicial de Alajuela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E0B30C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1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E5B437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E38322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CE7E62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94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775D2B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w:t>
            </w:r>
          </w:p>
        </w:tc>
      </w:tr>
      <w:tr w:rsidRPr="00AE1B2B" w:rsidR="00AE1B2B" w:rsidTr="009D3FB5" w14:paraId="3D10FAC1" w14:textId="77777777">
        <w:trPr>
          <w:trHeight w:val="312"/>
          <w:jc w:val="center"/>
        </w:trPr>
        <w:tc>
          <w:tcPr>
            <w:tcW w:w="68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B340E3D"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del Tercer Circuito Judicial de Alajuela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712E28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1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A89EB0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80A410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C6DD9C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4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D48632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w:t>
            </w:r>
          </w:p>
        </w:tc>
      </w:tr>
      <w:tr w:rsidRPr="00AE1B2B" w:rsidR="00AE1B2B" w:rsidTr="009D3FB5" w14:paraId="13D06F76" w14:textId="77777777">
        <w:trPr>
          <w:trHeight w:val="312"/>
          <w:jc w:val="center"/>
        </w:trPr>
        <w:tc>
          <w:tcPr>
            <w:tcW w:w="68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4F70964E"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del Circuito Judicial de Cartago</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D43002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1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E69E5D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FA3EEE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F1106F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4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B43D1B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w:t>
            </w:r>
          </w:p>
        </w:tc>
      </w:tr>
      <w:tr w:rsidRPr="00AE1B2B" w:rsidR="00AE1B2B" w:rsidTr="009D3FB5" w14:paraId="61DFFC23" w14:textId="77777777">
        <w:trPr>
          <w:trHeight w:val="312"/>
          <w:jc w:val="center"/>
        </w:trPr>
        <w:tc>
          <w:tcPr>
            <w:tcW w:w="68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3E50B48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Puntarenas</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92A241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1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0B65A2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EAE141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745827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4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0AB978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w:t>
            </w:r>
          </w:p>
        </w:tc>
      </w:tr>
      <w:tr w:rsidRPr="00AE1B2B" w:rsidR="00AE1B2B" w:rsidTr="009D3FB5" w14:paraId="203D21F6" w14:textId="77777777">
        <w:trPr>
          <w:trHeight w:val="312"/>
          <w:jc w:val="center"/>
        </w:trPr>
        <w:tc>
          <w:tcPr>
            <w:tcW w:w="68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8D8C778"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del Primer Circuito Judicial de la Zona Sur</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F6930F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1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189576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CEB60D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CEFD29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4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76E5EF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w:t>
            </w:r>
          </w:p>
        </w:tc>
      </w:tr>
      <w:tr w:rsidRPr="00AE1B2B" w:rsidR="00AE1B2B" w:rsidTr="009D3FB5" w14:paraId="770DF71E" w14:textId="77777777">
        <w:trPr>
          <w:trHeight w:val="312"/>
          <w:jc w:val="center"/>
        </w:trPr>
        <w:tc>
          <w:tcPr>
            <w:tcW w:w="68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44CAF1C"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del Segundo Circuito Judicial de la Zona Sur</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CE6AFB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1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8F00AE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BDFDAE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5DE6BB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94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0D85A5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w:t>
            </w:r>
          </w:p>
        </w:tc>
      </w:tr>
      <w:tr w:rsidRPr="00AE1B2B" w:rsidR="00AE1B2B" w:rsidTr="009D3FB5" w14:paraId="5BE57904" w14:textId="77777777">
        <w:trPr>
          <w:trHeight w:val="312"/>
          <w:jc w:val="center"/>
        </w:trPr>
        <w:tc>
          <w:tcPr>
            <w:tcW w:w="68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DCE3959"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del Primer Circuito Judicial de Guanacaste</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B7B0A7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1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A4E1A5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154D5D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E9C845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4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58D619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w:t>
            </w:r>
          </w:p>
        </w:tc>
      </w:tr>
      <w:tr w:rsidRPr="00AE1B2B" w:rsidR="00AE1B2B" w:rsidTr="009D3FB5" w14:paraId="5B4A02E8" w14:textId="77777777">
        <w:trPr>
          <w:trHeight w:val="312"/>
          <w:jc w:val="center"/>
        </w:trPr>
        <w:tc>
          <w:tcPr>
            <w:tcW w:w="68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D60758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del Segundo Circuito Judicial de Guanacaste</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88AA00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1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92A056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C1E50F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214893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4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8E1D8E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w:t>
            </w:r>
          </w:p>
        </w:tc>
      </w:tr>
      <w:tr w:rsidRPr="00AE1B2B" w:rsidR="00AE1B2B" w:rsidTr="009D3FB5" w14:paraId="158492C8" w14:textId="77777777">
        <w:trPr>
          <w:trHeight w:val="312"/>
          <w:jc w:val="center"/>
        </w:trPr>
        <w:tc>
          <w:tcPr>
            <w:tcW w:w="68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415E6FF3"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del Primer Circuito Judicial de la Zona Atlántica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EF985C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1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58F297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035CCB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AFA405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4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D8369F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w:t>
            </w:r>
          </w:p>
        </w:tc>
      </w:tr>
      <w:tr w:rsidRPr="00AE1B2B" w:rsidR="00AE1B2B" w:rsidTr="009D3FB5" w14:paraId="455DE962" w14:textId="77777777">
        <w:trPr>
          <w:trHeight w:val="312"/>
          <w:jc w:val="center"/>
        </w:trPr>
        <w:tc>
          <w:tcPr>
            <w:tcW w:w="6858" w:type="dxa"/>
            <w:tcBorders>
              <w:top w:val="nil"/>
              <w:left w:val="double" w:color="1F497D" w:sz="6" w:space="0"/>
              <w:bottom w:val="double" w:color="1F497D" w:sz="6" w:space="0"/>
              <w:right w:val="double" w:color="1F497D" w:sz="6" w:space="0"/>
            </w:tcBorders>
            <w:shd w:val="clear" w:color="auto" w:fill="auto"/>
            <w:noWrap/>
            <w:vAlign w:val="bottom"/>
            <w:hideMark/>
          </w:tcPr>
          <w:p w:rsidRPr="00AE1B2B" w:rsidR="009D3FB5" w:rsidP="00163B94" w:rsidRDefault="009D3FB5" w14:paraId="19FFADAB"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del Segundo Circuito Judicial de la Zona Atlántica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0B636A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1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95AE9E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FCCF35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4A0A93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94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288CE4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w:t>
            </w:r>
          </w:p>
        </w:tc>
      </w:tr>
      <w:tr w:rsidRPr="00AE1B2B" w:rsidR="00AE1B2B" w:rsidTr="009D3FB5" w14:paraId="24A832BD" w14:textId="77777777">
        <w:trPr>
          <w:trHeight w:val="312"/>
          <w:jc w:val="center"/>
        </w:trPr>
        <w:tc>
          <w:tcPr>
            <w:tcW w:w="68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3ECF36E8" w14:textId="6B690CDE">
            <w:pPr>
              <w:spacing w:before="120" w:after="120"/>
              <w:rPr>
                <w:rFonts w:ascii="Times New Roman" w:hAnsi="Times New Roman" w:cs="Times New Roman"/>
                <w:lang w:eastAsia="es-CR"/>
              </w:rPr>
            </w:pPr>
            <w:r w:rsidRPr="00AE1B2B">
              <w:rPr>
                <w:rFonts w:ascii="Times New Roman" w:hAnsi="Times New Roman" w:cs="Times New Roman"/>
                <w:lang w:eastAsia="es-CR"/>
              </w:rPr>
              <w:t>Juzgado Civil, Trabajo, Agrario, Familia, Penal Juvenil, Contra la Violencia Doméstica y Protección Cautelar II Circuito Judicial de Alajuela, sede Upala</w:t>
            </w:r>
            <w:r w:rsidRPr="00AE1B2B" w:rsidR="00BB7720">
              <w:rPr>
                <w:rFonts w:ascii="Times New Roman" w:hAnsi="Times New Roman" w:cs="Times New Roman"/>
                <w:lang w:eastAsia="es-CR"/>
              </w:rPr>
              <w:t xml:space="preserve"> </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E7A481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1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42D2E3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453D2B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EC7C0A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94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036780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w:t>
            </w:r>
          </w:p>
        </w:tc>
      </w:tr>
      <w:tr w:rsidRPr="00AE1B2B" w:rsidR="00AE1B2B" w:rsidTr="009D3FB5" w14:paraId="2F138B3A" w14:textId="77777777">
        <w:trPr>
          <w:trHeight w:val="312"/>
          <w:jc w:val="center"/>
        </w:trPr>
        <w:tc>
          <w:tcPr>
            <w:tcW w:w="68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3AF2FFC"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lastRenderedPageBreak/>
              <w:t>Juzgado Civil, Trabajo, Familia, Agrario, Penal Juvenil, Contra la Violencia Doméstica y Protección Cautelar Buenos Aires</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2D0C0A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1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D7B5B9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074E3E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F57018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4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7E2B3A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w:t>
            </w:r>
          </w:p>
        </w:tc>
      </w:tr>
      <w:tr w:rsidRPr="00AE1B2B" w:rsidR="00AE1B2B" w:rsidTr="009D3FB5" w14:paraId="47B9360D" w14:textId="77777777">
        <w:trPr>
          <w:trHeight w:val="312"/>
          <w:jc w:val="center"/>
        </w:trPr>
        <w:tc>
          <w:tcPr>
            <w:tcW w:w="68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BD0FD53"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Civil, Trabajo y Agrario de Turrialba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B93170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1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4E7DC3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DF6D31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10CCEE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4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36B556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w:t>
            </w:r>
          </w:p>
        </w:tc>
      </w:tr>
      <w:tr w:rsidRPr="00AE1B2B" w:rsidR="00AE1B2B" w:rsidTr="009D3FB5" w14:paraId="3786CE66" w14:textId="77777777">
        <w:trPr>
          <w:trHeight w:val="312"/>
          <w:jc w:val="center"/>
        </w:trPr>
        <w:tc>
          <w:tcPr>
            <w:tcW w:w="6858" w:type="dxa"/>
            <w:tcBorders>
              <w:top w:val="double" w:color="0673A5" w:sz="6" w:space="0"/>
              <w:left w:val="double" w:color="0673A5" w:sz="6" w:space="0"/>
              <w:bottom w:val="double" w:color="0673A5" w:sz="6" w:space="0"/>
              <w:right w:val="double" w:color="0673A5" w:sz="6" w:space="0"/>
            </w:tcBorders>
            <w:shd w:val="clear" w:color="DCE6F1" w:fill="DCE6F1"/>
            <w:noWrap/>
            <w:vAlign w:val="bottom"/>
            <w:hideMark/>
          </w:tcPr>
          <w:p w:rsidRPr="00AE1B2B" w:rsidR="009D3FB5" w:rsidP="00163B94" w:rsidRDefault="009D3FB5" w14:paraId="275B6971" w14:textId="77777777">
            <w:pPr>
              <w:spacing w:before="120" w:after="120"/>
              <w:jc w:val="right"/>
              <w:rPr>
                <w:rFonts w:ascii="Times New Roman" w:hAnsi="Times New Roman" w:cs="Times New Roman"/>
                <w:b/>
                <w:bCs/>
                <w:lang w:eastAsia="es-CR"/>
              </w:rPr>
            </w:pPr>
            <w:r w:rsidRPr="00AE1B2B">
              <w:rPr>
                <w:rFonts w:ascii="Times New Roman" w:hAnsi="Times New Roman" w:cs="Times New Roman"/>
                <w:b/>
                <w:bCs/>
                <w:lang w:eastAsia="es-CR"/>
              </w:rPr>
              <w:t>Total general</w:t>
            </w:r>
          </w:p>
        </w:tc>
        <w:tc>
          <w:tcPr>
            <w:tcW w:w="0" w:type="auto"/>
            <w:tcBorders>
              <w:top w:val="double" w:color="0673A5" w:sz="6" w:space="0"/>
              <w:left w:val="nil"/>
              <w:bottom w:val="double" w:color="0673A5" w:sz="6" w:space="0"/>
              <w:right w:val="double" w:color="0673A5" w:sz="6" w:space="0"/>
            </w:tcBorders>
            <w:shd w:val="clear" w:color="DCE6F1" w:fill="DCE6F1"/>
            <w:noWrap/>
            <w:vAlign w:val="bottom"/>
            <w:hideMark/>
          </w:tcPr>
          <w:p w:rsidRPr="00AE1B2B" w:rsidR="009D3FB5" w:rsidP="00163B94" w:rsidRDefault="009D3FB5" w14:paraId="78E8C9EC"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33</w:t>
            </w:r>
          </w:p>
        </w:tc>
        <w:tc>
          <w:tcPr>
            <w:tcW w:w="816" w:type="dxa"/>
            <w:tcBorders>
              <w:top w:val="double" w:color="0673A5" w:sz="6" w:space="0"/>
              <w:left w:val="nil"/>
              <w:bottom w:val="double" w:color="0673A5" w:sz="6" w:space="0"/>
              <w:right w:val="double" w:color="0673A5" w:sz="6" w:space="0"/>
            </w:tcBorders>
            <w:shd w:val="clear" w:color="DCE6F1" w:fill="DCE6F1"/>
            <w:noWrap/>
            <w:vAlign w:val="bottom"/>
            <w:hideMark/>
          </w:tcPr>
          <w:p w:rsidRPr="00AE1B2B" w:rsidR="009D3FB5" w:rsidP="00163B94" w:rsidRDefault="009D3FB5" w14:paraId="1597539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49</w:t>
            </w:r>
          </w:p>
        </w:tc>
        <w:tc>
          <w:tcPr>
            <w:tcW w:w="850" w:type="dxa"/>
            <w:tcBorders>
              <w:top w:val="double" w:color="0673A5" w:sz="6" w:space="0"/>
              <w:left w:val="nil"/>
              <w:bottom w:val="double" w:color="0673A5" w:sz="6" w:space="0"/>
              <w:right w:val="double" w:color="0673A5" w:sz="6" w:space="0"/>
            </w:tcBorders>
            <w:shd w:val="clear" w:color="DCE6F1" w:fill="DCE6F1"/>
            <w:noWrap/>
            <w:vAlign w:val="bottom"/>
            <w:hideMark/>
          </w:tcPr>
          <w:p w:rsidRPr="00AE1B2B" w:rsidR="009D3FB5" w:rsidP="00163B94" w:rsidRDefault="009D3FB5" w14:paraId="696E1D85"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16</w:t>
            </w:r>
          </w:p>
        </w:tc>
        <w:tc>
          <w:tcPr>
            <w:tcW w:w="851" w:type="dxa"/>
            <w:tcBorders>
              <w:top w:val="double" w:color="0673A5" w:sz="6" w:space="0"/>
              <w:left w:val="nil"/>
              <w:bottom w:val="double" w:color="0673A5" w:sz="6" w:space="0"/>
              <w:right w:val="double" w:color="0673A5" w:sz="6" w:space="0"/>
            </w:tcBorders>
            <w:shd w:val="clear" w:color="DCE6F1" w:fill="DCE6F1"/>
            <w:noWrap/>
            <w:vAlign w:val="bottom"/>
            <w:hideMark/>
          </w:tcPr>
          <w:p w:rsidRPr="00AE1B2B" w:rsidR="009D3FB5" w:rsidP="00163B94" w:rsidRDefault="009D3FB5" w14:paraId="406F5F78"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4</w:t>
            </w:r>
          </w:p>
        </w:tc>
        <w:tc>
          <w:tcPr>
            <w:tcW w:w="943" w:type="dxa"/>
            <w:tcBorders>
              <w:top w:val="double" w:color="0673A5" w:sz="6" w:space="0"/>
              <w:left w:val="nil"/>
              <w:bottom w:val="double" w:color="0673A5" w:sz="6" w:space="0"/>
              <w:right w:val="double" w:color="0673A5" w:sz="6" w:space="0"/>
            </w:tcBorders>
            <w:shd w:val="clear" w:color="DCE6F1" w:fill="DCE6F1"/>
            <w:noWrap/>
            <w:vAlign w:val="bottom"/>
            <w:hideMark/>
          </w:tcPr>
          <w:p w:rsidRPr="00AE1B2B" w:rsidR="009D3FB5" w:rsidP="00163B94" w:rsidRDefault="009D3FB5" w14:paraId="0BAE448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102</w:t>
            </w:r>
          </w:p>
        </w:tc>
      </w:tr>
    </w:tbl>
    <w:p w:rsidRPr="00AE1B2B" w:rsidR="009D3FB5" w:rsidP="00163B94" w:rsidRDefault="009D3FB5" w14:paraId="49A8E81C"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 xml:space="preserve">Fuente: Subproceso de Modernización Institucional de acuerdo con la relación de Puestos SIGA-GH 2020. </w:t>
      </w:r>
    </w:p>
    <w:p w:rsidRPr="00AE1B2B" w:rsidR="009D3FB5" w:rsidP="00163B94" w:rsidRDefault="009D3FB5" w14:paraId="6FDD57D4"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Nota: Se debe realizar un análisis para determinar la plaza del Coordinador Judicial para el Juzgado Agrario de Jicaral, la cual debe salir de la misma judicatura, por lo que el total de las plazas de técnica o técnico judicial, se debe descontar un recurso del total (49) y posterior sumar ese recurso al total de personas coordinadoras judiciales.</w:t>
      </w:r>
    </w:p>
    <w:p w:rsidRPr="00AE1B2B" w:rsidR="009D3FB5" w:rsidP="00163B94" w:rsidRDefault="009D3FB5" w14:paraId="197F622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jurisdicción Agraria está conformada por 33 personas juzgadoras, de las cuales 15 plazas son ocupadas por mujeres y 18 por varones.</w:t>
      </w:r>
    </w:p>
    <w:p w:rsidRPr="00AE1B2B" w:rsidR="009D3FB5" w:rsidP="00163B94" w:rsidRDefault="009D3FB5" w14:paraId="46E5D2BA" w14:textId="77777777">
      <w:pPr>
        <w:widowControl w:val="0"/>
        <w:suppressAutoHyphens/>
        <w:autoSpaceDE w:val="0"/>
        <w:autoSpaceDN w:val="0"/>
        <w:adjustRightInd w:val="0"/>
        <w:spacing w:before="120" w:after="120"/>
        <w:ind w:left="851" w:right="851" w:firstLine="709"/>
        <w:jc w:val="both"/>
        <w:rPr>
          <w:rFonts w:ascii="Times New Roman" w:hAnsi="Times New Roman" w:cs="Times New Roman"/>
          <w:i/>
          <w:iCs/>
          <w:sz w:val="26"/>
          <w:szCs w:val="26"/>
          <w:lang w:eastAsia="zh-CN"/>
        </w:rPr>
      </w:pPr>
      <w:r w:rsidRPr="00AE1B2B">
        <w:rPr>
          <w:rFonts w:ascii="Times New Roman" w:hAnsi="Times New Roman" w:cs="Times New Roman"/>
          <w:sz w:val="26"/>
          <w:szCs w:val="26"/>
          <w:lang w:eastAsia="zh-CN"/>
        </w:rPr>
        <w:t xml:space="preserve">En el caso de los Juzgados mixtos, a pesar de contar con una persona juzgadora destinada para la atención de la materia Agraria, también deben conocer otras materias, lo cual obedece que no disponen del 100% de su tiempo para tramitar dicha materia y además la carga de trabajo no cumple con la mínima esperada para la especialización de la materia Agraria, , por lo que es necesario conocer la proporción de atención según carga de trabajo por persona juzgadora de los Juzgados mixtos, la cual se conocerá en el apartado </w:t>
      </w:r>
      <w:r w:rsidRPr="00AE1B2B">
        <w:rPr>
          <w:rFonts w:ascii="Times New Roman" w:hAnsi="Times New Roman" w:cs="Times New Roman"/>
          <w:i/>
          <w:iCs/>
          <w:sz w:val="26"/>
          <w:szCs w:val="26"/>
          <w:lang w:eastAsia="zh-CN"/>
        </w:rPr>
        <w:t>3.5 Análisis de Carga de Trabajo Juzgados Mixtos con Competencia en la Materia Agraria</w:t>
      </w:r>
    </w:p>
    <w:p w:rsidRPr="00AE1B2B" w:rsidR="009D3FB5" w:rsidP="00163B94" w:rsidRDefault="009D3FB5" w14:paraId="79D211D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Cabe indicar que, el Juzgado Agrario de Puntarenas, sede Jicaral, se aprobó con una estructura mínima funcional de una (1) persona juzgadora, una (1) persona coordinadora judicial y una (1) persona técnica judicial. De estas plazas, dos (2) de ellas deben ser otorgadas por el Centro de Apoyo Coordinación y Mejoramiento de la Función Jurisdiccional (una persona juzgadora y una persona técnica judicial) y la otra plaza de persona técnica judicial se traslada del Juzgado Agrario del II Circuito Judicial de Guanacaste, sede Santa Cruz, de acuerdo con el acuerdo del Consejo Superior 45-2020 del 08 de mayo de 2020, artículo XVIII. </w:t>
      </w:r>
    </w:p>
    <w:p w:rsidRPr="00AE1B2B" w:rsidR="009D3FB5" w:rsidP="00163B94" w:rsidRDefault="009D3FB5" w14:paraId="0B046BDC" w14:textId="77777777">
      <w:pPr>
        <w:spacing w:before="120" w:after="120"/>
        <w:ind w:left="851" w:right="851" w:firstLine="709"/>
        <w:jc w:val="both"/>
        <w:rPr>
          <w:rFonts w:ascii="Times New Roman" w:hAnsi="Times New Roman" w:cs="Times New Roman"/>
          <w:sz w:val="26"/>
          <w:szCs w:val="26"/>
        </w:rPr>
      </w:pPr>
      <w:bookmarkStart w:name="_Toc37670449" w:id="185"/>
      <w:bookmarkStart w:name="_Toc68688516" w:id="186"/>
      <w:r w:rsidRPr="00AE1B2B">
        <w:rPr>
          <w:rFonts w:ascii="Times New Roman" w:hAnsi="Times New Roman" w:cs="Times New Roman"/>
          <w:sz w:val="26"/>
          <w:szCs w:val="26"/>
        </w:rPr>
        <w:lastRenderedPageBreak/>
        <w:t>Ámbito Auxiliar de la Justicia</w:t>
      </w:r>
      <w:bookmarkEnd w:id="185"/>
      <w:bookmarkEnd w:id="186"/>
    </w:p>
    <w:p w:rsidRPr="00AE1B2B" w:rsidR="009D3FB5" w:rsidP="00163B94" w:rsidRDefault="009D3FB5" w14:paraId="43AA944A" w14:textId="77777777">
      <w:pPr>
        <w:spacing w:before="120" w:after="120"/>
        <w:ind w:left="851" w:right="851" w:firstLine="709"/>
        <w:jc w:val="both"/>
        <w:rPr>
          <w:rFonts w:ascii="Times New Roman" w:hAnsi="Times New Roman" w:cs="Times New Roman"/>
          <w:sz w:val="26"/>
          <w:szCs w:val="26"/>
          <w:lang w:val="es-ES" w:eastAsia="zh-CN"/>
        </w:rPr>
      </w:pPr>
      <w:r w:rsidRPr="00AE1B2B">
        <w:rPr>
          <w:rFonts w:ascii="Times New Roman" w:hAnsi="Times New Roman" w:cs="Times New Roman"/>
          <w:sz w:val="26"/>
          <w:szCs w:val="26"/>
          <w:lang w:val="es-ES" w:eastAsia="zh-CN"/>
        </w:rPr>
        <w:t xml:space="preserve">Con base en la información aportada por la Administración de la Defensa Pública y el Lic. Frank Alvarez Hernández, Coordinador de la Unidad de Defensa Pública Agraria </w:t>
      </w:r>
      <w:r w:rsidRPr="00AE1B2B">
        <w:rPr>
          <w:rFonts w:ascii="Times New Roman" w:hAnsi="Times New Roman" w:cs="Times New Roman"/>
          <w:i/>
          <w:iCs/>
          <w:sz w:val="26"/>
          <w:szCs w:val="26"/>
          <w:lang w:val="es-ES" w:eastAsia="zh-CN"/>
        </w:rPr>
        <w:t xml:space="preserve">(ver anexo 1 Correo de la Administración de la Defensa Pública y anexo 2 </w:t>
      </w:r>
      <w:r w:rsidRPr="00AE1B2B">
        <w:rPr>
          <w:rFonts w:ascii="Times New Roman" w:hAnsi="Times New Roman" w:cs="Times New Roman"/>
          <w:i/>
          <w:iCs/>
          <w:sz w:val="26"/>
          <w:szCs w:val="26"/>
          <w:lang w:eastAsia="es-CR"/>
        </w:rPr>
        <w:t xml:space="preserve">Correo del Lic. Frank Alvarez, </w:t>
      </w:r>
      <w:r w:rsidRPr="00AE1B2B">
        <w:rPr>
          <w:rFonts w:ascii="Times New Roman" w:hAnsi="Times New Roman" w:cs="Times New Roman"/>
          <w:i/>
          <w:iCs/>
          <w:sz w:val="26"/>
          <w:szCs w:val="26"/>
          <w:lang w:val="es-ES" w:eastAsia="zh-CN"/>
        </w:rPr>
        <w:t>Coordinador de la Unidad de Defensa Pública Agraria</w:t>
      </w:r>
      <w:r w:rsidRPr="00AE1B2B">
        <w:rPr>
          <w:rFonts w:ascii="Times New Roman" w:hAnsi="Times New Roman" w:cs="Times New Roman"/>
          <w:i/>
          <w:iCs/>
          <w:sz w:val="26"/>
          <w:szCs w:val="26"/>
          <w:lang w:val="es-ES" w:eastAsia="es-CR"/>
        </w:rPr>
        <w:t>)</w:t>
      </w:r>
      <w:r w:rsidRPr="00AE1B2B">
        <w:rPr>
          <w:rFonts w:ascii="Times New Roman" w:hAnsi="Times New Roman" w:cs="Times New Roman"/>
          <w:i/>
          <w:iCs/>
          <w:sz w:val="26"/>
          <w:szCs w:val="26"/>
          <w:lang w:val="es-ES" w:eastAsia="zh-CN"/>
        </w:rPr>
        <w:t xml:space="preserve">, </w:t>
      </w:r>
      <w:r w:rsidRPr="00AE1B2B">
        <w:rPr>
          <w:rFonts w:ascii="Times New Roman" w:hAnsi="Times New Roman" w:cs="Times New Roman"/>
          <w:sz w:val="26"/>
          <w:szCs w:val="26"/>
          <w:lang w:val="es-ES" w:eastAsia="zh-CN"/>
        </w:rPr>
        <w:t>se determina que, a la fecha, la Defensa Pública cuenta con 16 plazas de Defensora o Defensor Público en materia Agraria, distribuidas en 14 Circuitos Judiciales del país, según el siguiente detalle:</w:t>
      </w:r>
    </w:p>
    <w:p w:rsidRPr="00AE1B2B" w:rsidR="009D3FB5" w:rsidP="00163B94" w:rsidRDefault="009D3FB5" w14:paraId="0207ABA9" w14:textId="77777777">
      <w:pPr>
        <w:pStyle w:val="Ttulo"/>
        <w:spacing w:before="120" w:after="120"/>
        <w:ind w:left="851" w:right="851" w:firstLine="709"/>
        <w:jc w:val="both"/>
        <w:rPr>
          <w:rFonts w:ascii="Times New Roman" w:hAnsi="Times New Roman"/>
          <w:sz w:val="26"/>
          <w:szCs w:val="26"/>
        </w:rPr>
      </w:pPr>
      <w:r w:rsidRPr="00AE1B2B">
        <w:rPr>
          <w:rFonts w:ascii="Times New Roman" w:hAnsi="Times New Roman"/>
          <w:iCs/>
          <w:sz w:val="26"/>
          <w:szCs w:val="26"/>
        </w:rPr>
        <w:t xml:space="preserve">Cuadro </w:t>
      </w:r>
      <w:r w:rsidRPr="00AE1B2B">
        <w:rPr>
          <w:rFonts w:ascii="Times New Roman" w:hAnsi="Times New Roman"/>
          <w:sz w:val="26"/>
          <w:szCs w:val="26"/>
        </w:rPr>
        <w:fldChar w:fldCharType="begin"/>
      </w:r>
      <w:r w:rsidRPr="00AE1B2B">
        <w:rPr>
          <w:rFonts w:ascii="Times New Roman" w:hAnsi="Times New Roman"/>
          <w:sz w:val="26"/>
          <w:szCs w:val="26"/>
        </w:rPr>
        <w:instrText xml:space="preserve"> SEQ Cuadro \* ARABIC </w:instrText>
      </w:r>
      <w:r w:rsidRPr="00AE1B2B">
        <w:rPr>
          <w:rFonts w:ascii="Times New Roman" w:hAnsi="Times New Roman"/>
          <w:sz w:val="26"/>
          <w:szCs w:val="26"/>
        </w:rPr>
        <w:fldChar w:fldCharType="separate"/>
      </w:r>
      <w:r w:rsidRPr="00AE1B2B">
        <w:rPr>
          <w:rFonts w:ascii="Times New Roman" w:hAnsi="Times New Roman"/>
          <w:noProof/>
          <w:sz w:val="26"/>
          <w:szCs w:val="26"/>
        </w:rPr>
        <w:t>3</w:t>
      </w:r>
      <w:r w:rsidRPr="00AE1B2B">
        <w:rPr>
          <w:rFonts w:ascii="Times New Roman" w:hAnsi="Times New Roman"/>
          <w:sz w:val="26"/>
          <w:szCs w:val="26"/>
        </w:rPr>
        <w:fldChar w:fldCharType="end"/>
      </w:r>
    </w:p>
    <w:p w:rsidRPr="00AE1B2B" w:rsidR="009D3FB5" w:rsidP="00163B94" w:rsidRDefault="009D3FB5" w14:paraId="7B511E86"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Ubicación de las plazas de Defensora o Defensor Público de acuerdo con condición y Circuito Judicial a enero del 2020</w:t>
      </w:r>
    </w:p>
    <w:tbl>
      <w:tblPr>
        <w:tblW w:w="10348" w:type="dxa"/>
        <w:tblInd w:w="-732" w:type="dxa"/>
        <w:tblCellMar>
          <w:left w:w="70" w:type="dxa"/>
          <w:right w:w="70" w:type="dxa"/>
        </w:tblCellMar>
        <w:tblLook w:val="04A0" w:firstRow="1" w:lastRow="0" w:firstColumn="1" w:lastColumn="0" w:noHBand="0" w:noVBand="1"/>
      </w:tblPr>
      <w:tblGrid>
        <w:gridCol w:w="4896"/>
        <w:gridCol w:w="2635"/>
        <w:gridCol w:w="2817"/>
      </w:tblGrid>
      <w:tr w:rsidRPr="00AE1B2B" w:rsidR="00AE1B2B" w:rsidTr="009D3FB5" w14:paraId="2A58C6DE" w14:textId="77777777">
        <w:trPr>
          <w:trHeight w:val="600"/>
          <w:tblHeader/>
        </w:trPr>
        <w:tc>
          <w:tcPr>
            <w:tcW w:w="4896" w:type="dxa"/>
            <w:tcBorders>
              <w:top w:val="double" w:color="1F497D" w:sz="6" w:space="0"/>
              <w:left w:val="double" w:color="1F497D" w:sz="6" w:space="0"/>
              <w:bottom w:val="double" w:color="1F497D" w:sz="6" w:space="0"/>
              <w:right w:val="double" w:color="1F497D" w:sz="6" w:space="0"/>
            </w:tcBorders>
            <w:shd w:val="clear" w:color="000000" w:fill="0673A5"/>
            <w:vAlign w:val="center"/>
            <w:hideMark/>
          </w:tcPr>
          <w:p w:rsidRPr="00AE1B2B" w:rsidR="009D3FB5" w:rsidP="00163B94" w:rsidRDefault="009D3FB5" w14:paraId="720CFA5B"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Destacada en:</w:t>
            </w:r>
          </w:p>
        </w:tc>
        <w:tc>
          <w:tcPr>
            <w:tcW w:w="0" w:type="auto"/>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76ED79C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Cantidad de Plazas de Defensor</w:t>
            </w:r>
          </w:p>
        </w:tc>
        <w:tc>
          <w:tcPr>
            <w:tcW w:w="2817"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0F64D555"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Condición de la Plaza</w:t>
            </w:r>
            <w:r w:rsidRPr="00AE1B2B">
              <w:rPr>
                <w:rStyle w:val="Refdenotaalpie"/>
                <w:rFonts w:ascii="Times New Roman" w:hAnsi="Times New Roman"/>
                <w:b/>
                <w:bCs/>
                <w:lang w:eastAsia="es-CR"/>
              </w:rPr>
              <w:footnoteReference w:id="19"/>
            </w:r>
          </w:p>
        </w:tc>
      </w:tr>
      <w:tr w:rsidRPr="00AE1B2B" w:rsidR="00AE1B2B" w:rsidTr="009D3FB5" w14:paraId="2FFD0F55" w14:textId="77777777">
        <w:trPr>
          <w:trHeight w:val="312"/>
        </w:trPr>
        <w:tc>
          <w:tcPr>
            <w:tcW w:w="4896"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2AD1F3D6"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Defensa Pública en el Primer Circuito Judicial de San José</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38433A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 Coordinador</w:t>
            </w:r>
          </w:p>
        </w:tc>
        <w:tc>
          <w:tcPr>
            <w:tcW w:w="28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1BD8DFE" w14:textId="77777777">
            <w:pPr>
              <w:spacing w:before="120" w:after="120"/>
              <w:jc w:val="center"/>
              <w:rPr>
                <w:rFonts w:ascii="Times New Roman" w:hAnsi="Times New Roman" w:cs="Times New Roman"/>
                <w:lang w:eastAsia="es-CR"/>
              </w:rPr>
            </w:pPr>
            <w:r w:rsidRPr="00AE1B2B">
              <w:rPr>
                <w:rFonts w:ascii="Times New Roman" w:hAnsi="Times New Roman" w:cs="Times New Roman"/>
                <w:lang w:val="es-ES" w:eastAsia="es-CR"/>
              </w:rPr>
              <w:t>Ordinaria vacante</w:t>
            </w:r>
          </w:p>
        </w:tc>
      </w:tr>
      <w:tr w:rsidRPr="00AE1B2B" w:rsidR="00AE1B2B" w:rsidTr="009D3FB5" w14:paraId="7B608AF5" w14:textId="77777777">
        <w:trPr>
          <w:trHeight w:val="312"/>
        </w:trPr>
        <w:tc>
          <w:tcPr>
            <w:tcW w:w="4896"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1A42035A"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Defensa Pública en Guápiles</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187548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w:t>
            </w:r>
          </w:p>
        </w:tc>
        <w:tc>
          <w:tcPr>
            <w:tcW w:w="28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FC1DDA2" w14:textId="77777777">
            <w:pPr>
              <w:spacing w:before="120" w:after="120"/>
              <w:jc w:val="center"/>
              <w:rPr>
                <w:rFonts w:ascii="Times New Roman" w:hAnsi="Times New Roman" w:cs="Times New Roman"/>
                <w:lang w:eastAsia="es-CR"/>
              </w:rPr>
            </w:pPr>
            <w:r w:rsidRPr="00AE1B2B">
              <w:rPr>
                <w:rFonts w:ascii="Times New Roman" w:hAnsi="Times New Roman" w:cs="Times New Roman"/>
                <w:lang w:val="es-ES" w:eastAsia="es-CR"/>
              </w:rPr>
              <w:t>Ordinaria vacante</w:t>
            </w:r>
          </w:p>
        </w:tc>
      </w:tr>
      <w:tr w:rsidRPr="00AE1B2B" w:rsidR="00AE1B2B" w:rsidTr="009D3FB5" w14:paraId="3BB91148" w14:textId="77777777">
        <w:trPr>
          <w:trHeight w:val="312"/>
        </w:trPr>
        <w:tc>
          <w:tcPr>
            <w:tcW w:w="4896"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41BFC3A1"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Defensa Pública en Limón</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4C0BD3E"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2</w:t>
            </w:r>
          </w:p>
        </w:tc>
        <w:tc>
          <w:tcPr>
            <w:tcW w:w="28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128F7D9" w14:textId="77777777">
            <w:pPr>
              <w:spacing w:before="120" w:after="120"/>
              <w:jc w:val="center"/>
              <w:rPr>
                <w:rFonts w:ascii="Times New Roman" w:hAnsi="Times New Roman" w:cs="Times New Roman"/>
                <w:lang w:eastAsia="es-CR"/>
              </w:rPr>
            </w:pPr>
            <w:r w:rsidRPr="00AE1B2B">
              <w:rPr>
                <w:rFonts w:ascii="Times New Roman" w:hAnsi="Times New Roman" w:cs="Times New Roman"/>
                <w:lang w:val="es-ES" w:eastAsia="es-CR"/>
              </w:rPr>
              <w:t>Ordinaria en propiedad</w:t>
            </w:r>
          </w:p>
        </w:tc>
      </w:tr>
      <w:tr w:rsidRPr="00AE1B2B" w:rsidR="00AE1B2B" w:rsidTr="009D3FB5" w14:paraId="20E83ECB" w14:textId="77777777">
        <w:trPr>
          <w:trHeight w:val="312"/>
        </w:trPr>
        <w:tc>
          <w:tcPr>
            <w:tcW w:w="4896"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45D8BBA4"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Defensa Pública en Pérez Zeledón</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6A35D2B"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w:t>
            </w:r>
          </w:p>
        </w:tc>
        <w:tc>
          <w:tcPr>
            <w:tcW w:w="28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43A053F" w14:textId="77777777">
            <w:pPr>
              <w:spacing w:before="120" w:after="120"/>
              <w:jc w:val="center"/>
              <w:rPr>
                <w:rFonts w:ascii="Times New Roman" w:hAnsi="Times New Roman" w:cs="Times New Roman"/>
                <w:lang w:eastAsia="es-CR"/>
              </w:rPr>
            </w:pPr>
            <w:r w:rsidRPr="00AE1B2B">
              <w:rPr>
                <w:rFonts w:ascii="Times New Roman" w:hAnsi="Times New Roman" w:cs="Times New Roman"/>
                <w:lang w:val="es-ES" w:eastAsia="es-CR"/>
              </w:rPr>
              <w:t>Ordinaria en propiedad</w:t>
            </w:r>
          </w:p>
        </w:tc>
      </w:tr>
      <w:tr w:rsidRPr="00AE1B2B" w:rsidR="00AE1B2B" w:rsidTr="009D3FB5" w14:paraId="4344803D" w14:textId="77777777">
        <w:trPr>
          <w:trHeight w:val="312"/>
        </w:trPr>
        <w:tc>
          <w:tcPr>
            <w:tcW w:w="4896"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08BDC3B9"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Defensa Pública en Ciudad Neily</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30A38BE"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w:t>
            </w:r>
          </w:p>
        </w:tc>
        <w:tc>
          <w:tcPr>
            <w:tcW w:w="28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A2FB520" w14:textId="77777777">
            <w:pPr>
              <w:spacing w:before="120" w:after="120"/>
              <w:jc w:val="center"/>
              <w:rPr>
                <w:rFonts w:ascii="Times New Roman" w:hAnsi="Times New Roman" w:cs="Times New Roman"/>
                <w:lang w:eastAsia="es-CR"/>
              </w:rPr>
            </w:pPr>
            <w:r w:rsidRPr="00AE1B2B">
              <w:rPr>
                <w:rFonts w:ascii="Times New Roman" w:hAnsi="Times New Roman" w:cs="Times New Roman"/>
                <w:lang w:val="es-ES" w:eastAsia="es-CR"/>
              </w:rPr>
              <w:t>Ordinaria en propiedad</w:t>
            </w:r>
          </w:p>
        </w:tc>
      </w:tr>
      <w:tr w:rsidRPr="00AE1B2B" w:rsidR="00AE1B2B" w:rsidTr="009D3FB5" w14:paraId="2AE73DC9" w14:textId="77777777">
        <w:trPr>
          <w:trHeight w:val="312"/>
        </w:trPr>
        <w:tc>
          <w:tcPr>
            <w:tcW w:w="4896"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35F8886A"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Defensa Pública en Liberia</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A9625B3"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w:t>
            </w:r>
          </w:p>
        </w:tc>
        <w:tc>
          <w:tcPr>
            <w:tcW w:w="28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D30F9AE" w14:textId="77777777">
            <w:pPr>
              <w:spacing w:before="120" w:after="120"/>
              <w:jc w:val="center"/>
              <w:rPr>
                <w:rFonts w:ascii="Times New Roman" w:hAnsi="Times New Roman" w:cs="Times New Roman"/>
                <w:lang w:eastAsia="es-CR"/>
              </w:rPr>
            </w:pPr>
            <w:r w:rsidRPr="00AE1B2B">
              <w:rPr>
                <w:rFonts w:ascii="Times New Roman" w:hAnsi="Times New Roman" w:cs="Times New Roman"/>
                <w:lang w:val="es-ES" w:eastAsia="es-CR"/>
              </w:rPr>
              <w:t>Ordinaria en propiedad</w:t>
            </w:r>
          </w:p>
        </w:tc>
      </w:tr>
      <w:tr w:rsidRPr="00AE1B2B" w:rsidR="00AE1B2B" w:rsidTr="009D3FB5" w14:paraId="37B767B8" w14:textId="77777777">
        <w:trPr>
          <w:trHeight w:val="312"/>
        </w:trPr>
        <w:tc>
          <w:tcPr>
            <w:tcW w:w="4896"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043A1CFE"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Defensa Pública en Nicoya (adscrita a Santa Cruz)</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476EF00"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w:t>
            </w:r>
          </w:p>
        </w:tc>
        <w:tc>
          <w:tcPr>
            <w:tcW w:w="28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1BBABB8" w14:textId="77777777">
            <w:pPr>
              <w:spacing w:before="120" w:after="120"/>
              <w:jc w:val="center"/>
              <w:rPr>
                <w:rFonts w:ascii="Times New Roman" w:hAnsi="Times New Roman" w:cs="Times New Roman"/>
                <w:lang w:eastAsia="es-CR"/>
              </w:rPr>
            </w:pPr>
            <w:r w:rsidRPr="00AE1B2B">
              <w:rPr>
                <w:rFonts w:ascii="Times New Roman" w:hAnsi="Times New Roman" w:cs="Times New Roman"/>
                <w:lang w:val="es-ES" w:eastAsia="es-CR"/>
              </w:rPr>
              <w:t>Ordinaria en propiedad</w:t>
            </w:r>
          </w:p>
        </w:tc>
      </w:tr>
      <w:tr w:rsidRPr="00AE1B2B" w:rsidR="00AE1B2B" w:rsidTr="009D3FB5" w14:paraId="3E2CF074" w14:textId="77777777">
        <w:trPr>
          <w:trHeight w:val="312"/>
        </w:trPr>
        <w:tc>
          <w:tcPr>
            <w:tcW w:w="4896"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1212C853"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Defensa Pública en Buenos Aires</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59BE0C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w:t>
            </w:r>
          </w:p>
        </w:tc>
        <w:tc>
          <w:tcPr>
            <w:tcW w:w="28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80A4CB0" w14:textId="77777777">
            <w:pPr>
              <w:spacing w:before="120" w:after="120"/>
              <w:jc w:val="center"/>
              <w:rPr>
                <w:rFonts w:ascii="Times New Roman" w:hAnsi="Times New Roman" w:cs="Times New Roman"/>
                <w:lang w:eastAsia="es-CR"/>
              </w:rPr>
            </w:pPr>
            <w:r w:rsidRPr="00AE1B2B">
              <w:rPr>
                <w:rFonts w:ascii="Times New Roman" w:hAnsi="Times New Roman" w:cs="Times New Roman"/>
                <w:lang w:val="es-ES" w:eastAsia="es-CR"/>
              </w:rPr>
              <w:t>Ordinaria vacante</w:t>
            </w:r>
          </w:p>
        </w:tc>
      </w:tr>
      <w:tr w:rsidRPr="00AE1B2B" w:rsidR="00AE1B2B" w:rsidTr="009D3FB5" w14:paraId="6C49B6CD" w14:textId="77777777">
        <w:trPr>
          <w:trHeight w:val="312"/>
        </w:trPr>
        <w:tc>
          <w:tcPr>
            <w:tcW w:w="4896"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5D115700"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Defensa Pública en el Primer Circuito Judicial de San José</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D437210"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w:t>
            </w:r>
          </w:p>
        </w:tc>
        <w:tc>
          <w:tcPr>
            <w:tcW w:w="28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F7BD29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Ordinaria vacante</w:t>
            </w:r>
          </w:p>
        </w:tc>
      </w:tr>
      <w:tr w:rsidRPr="00AE1B2B" w:rsidR="00AE1B2B" w:rsidTr="009D3FB5" w14:paraId="7AAC32E4" w14:textId="77777777">
        <w:trPr>
          <w:trHeight w:val="312"/>
        </w:trPr>
        <w:tc>
          <w:tcPr>
            <w:tcW w:w="4896"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62F6C42A"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Defensa Pública en Turrialba</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FD07C77"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w:t>
            </w:r>
          </w:p>
        </w:tc>
        <w:tc>
          <w:tcPr>
            <w:tcW w:w="28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C43A8B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Ordinaria vacante</w:t>
            </w:r>
          </w:p>
        </w:tc>
      </w:tr>
      <w:tr w:rsidRPr="00AE1B2B" w:rsidR="00AE1B2B" w:rsidTr="009D3FB5" w14:paraId="35620EAF" w14:textId="77777777">
        <w:trPr>
          <w:trHeight w:val="312"/>
        </w:trPr>
        <w:tc>
          <w:tcPr>
            <w:tcW w:w="4896"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3B2960D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Defensa Pública en Cartago</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D761138"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w:t>
            </w:r>
          </w:p>
        </w:tc>
        <w:tc>
          <w:tcPr>
            <w:tcW w:w="28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57F72B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Ordinaria vacante</w:t>
            </w:r>
          </w:p>
        </w:tc>
      </w:tr>
      <w:tr w:rsidRPr="00AE1B2B" w:rsidR="00AE1B2B" w:rsidTr="009D3FB5" w14:paraId="139F6946" w14:textId="77777777">
        <w:trPr>
          <w:trHeight w:val="312"/>
        </w:trPr>
        <w:tc>
          <w:tcPr>
            <w:tcW w:w="4896"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0DDA2ED0"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lastRenderedPageBreak/>
              <w:t>Defensa Pública en Alajuela</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6428FD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w:t>
            </w:r>
          </w:p>
        </w:tc>
        <w:tc>
          <w:tcPr>
            <w:tcW w:w="28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2961B3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Ordinaria vacante</w:t>
            </w:r>
          </w:p>
        </w:tc>
      </w:tr>
      <w:tr w:rsidRPr="00AE1B2B" w:rsidR="00AE1B2B" w:rsidTr="009D3FB5" w14:paraId="1B05EB91" w14:textId="77777777">
        <w:trPr>
          <w:trHeight w:val="312"/>
        </w:trPr>
        <w:tc>
          <w:tcPr>
            <w:tcW w:w="4896"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659656CD"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Defensa Pública en San Ramón</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38CF566"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w:t>
            </w:r>
          </w:p>
        </w:tc>
        <w:tc>
          <w:tcPr>
            <w:tcW w:w="28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1AF3EB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Ordinaria vacante</w:t>
            </w:r>
          </w:p>
        </w:tc>
      </w:tr>
      <w:tr w:rsidRPr="00AE1B2B" w:rsidR="00AE1B2B" w:rsidTr="009D3FB5" w14:paraId="3483EC84" w14:textId="77777777">
        <w:trPr>
          <w:trHeight w:val="312"/>
        </w:trPr>
        <w:tc>
          <w:tcPr>
            <w:tcW w:w="4896"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4D2AE188"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Defensa Pública en Upala</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11AFFAB"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w:t>
            </w:r>
          </w:p>
        </w:tc>
        <w:tc>
          <w:tcPr>
            <w:tcW w:w="28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3CEEDC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Ordinaria vacante</w:t>
            </w:r>
          </w:p>
        </w:tc>
      </w:tr>
      <w:tr w:rsidRPr="00AE1B2B" w:rsidR="00AE1B2B" w:rsidTr="009D3FB5" w14:paraId="34487404" w14:textId="77777777">
        <w:trPr>
          <w:trHeight w:val="312"/>
        </w:trPr>
        <w:tc>
          <w:tcPr>
            <w:tcW w:w="4896"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44155C67"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Defensa Pública en Puntarenas</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286AAC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w:t>
            </w:r>
          </w:p>
        </w:tc>
        <w:tc>
          <w:tcPr>
            <w:tcW w:w="28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35378A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Ordinaria vacante</w:t>
            </w:r>
          </w:p>
        </w:tc>
      </w:tr>
      <w:tr w:rsidRPr="00AE1B2B" w:rsidR="00AE1B2B" w:rsidTr="009D3FB5" w14:paraId="632ABA13" w14:textId="77777777">
        <w:trPr>
          <w:trHeight w:val="312"/>
        </w:trPr>
        <w:tc>
          <w:tcPr>
            <w:tcW w:w="4896" w:type="dxa"/>
            <w:tcBorders>
              <w:top w:val="double" w:color="0673A5" w:sz="6" w:space="0"/>
              <w:left w:val="double" w:color="0673A5" w:sz="6" w:space="0"/>
              <w:bottom w:val="double" w:color="0673A5" w:sz="6" w:space="0"/>
              <w:right w:val="double" w:color="0673A5" w:sz="6" w:space="0"/>
            </w:tcBorders>
            <w:shd w:val="clear" w:color="DCE6F1" w:fill="DCE6F1"/>
            <w:noWrap/>
            <w:vAlign w:val="bottom"/>
            <w:hideMark/>
          </w:tcPr>
          <w:p w:rsidRPr="00AE1B2B" w:rsidR="009D3FB5" w:rsidP="00163B94" w:rsidRDefault="009D3FB5" w14:paraId="5A9783A8" w14:textId="77777777">
            <w:pPr>
              <w:spacing w:before="120" w:after="120"/>
              <w:jc w:val="right"/>
              <w:rPr>
                <w:rFonts w:ascii="Times New Roman" w:hAnsi="Times New Roman" w:cs="Times New Roman"/>
                <w:b/>
                <w:bCs/>
                <w:lang w:eastAsia="es-CR"/>
              </w:rPr>
            </w:pPr>
            <w:r w:rsidRPr="00AE1B2B">
              <w:rPr>
                <w:rFonts w:ascii="Times New Roman" w:hAnsi="Times New Roman" w:cs="Times New Roman"/>
                <w:b/>
                <w:bCs/>
                <w:lang w:eastAsia="es-CR"/>
              </w:rPr>
              <w:t>Total, general</w:t>
            </w:r>
          </w:p>
        </w:tc>
        <w:tc>
          <w:tcPr>
            <w:tcW w:w="0" w:type="auto"/>
            <w:tcBorders>
              <w:top w:val="double" w:color="0673A5" w:sz="6" w:space="0"/>
              <w:left w:val="nil"/>
              <w:bottom w:val="double" w:color="0673A5" w:sz="6" w:space="0"/>
              <w:right w:val="double" w:color="0673A5" w:sz="6" w:space="0"/>
            </w:tcBorders>
            <w:shd w:val="clear" w:color="DCE6F1" w:fill="DCE6F1"/>
            <w:noWrap/>
            <w:vAlign w:val="bottom"/>
            <w:hideMark/>
          </w:tcPr>
          <w:p w:rsidRPr="00AE1B2B" w:rsidR="009D3FB5" w:rsidP="00163B94" w:rsidRDefault="009D3FB5" w14:paraId="01A29DCD"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16</w:t>
            </w:r>
          </w:p>
        </w:tc>
        <w:tc>
          <w:tcPr>
            <w:tcW w:w="2817" w:type="dxa"/>
            <w:tcBorders>
              <w:top w:val="double" w:color="0673A5" w:sz="6" w:space="0"/>
              <w:left w:val="nil"/>
              <w:bottom w:val="double" w:color="0673A5" w:sz="6" w:space="0"/>
              <w:right w:val="double" w:color="0673A5" w:sz="6" w:space="0"/>
            </w:tcBorders>
            <w:shd w:val="clear" w:color="DCE6F1" w:fill="DCE6F1"/>
            <w:noWrap/>
            <w:vAlign w:val="bottom"/>
            <w:hideMark/>
          </w:tcPr>
          <w:p w:rsidRPr="00AE1B2B" w:rsidR="009D3FB5" w:rsidP="00163B94" w:rsidRDefault="009D3FB5" w14:paraId="568C65D0" w14:textId="77777777">
            <w:pPr>
              <w:spacing w:before="120" w:after="120"/>
              <w:jc w:val="right"/>
              <w:rPr>
                <w:rFonts w:ascii="Times New Roman" w:hAnsi="Times New Roman" w:cs="Times New Roman"/>
                <w:b/>
                <w:bCs/>
                <w:lang w:eastAsia="es-CR"/>
              </w:rPr>
            </w:pPr>
            <w:r w:rsidRPr="00AE1B2B">
              <w:rPr>
                <w:rFonts w:ascii="Times New Roman" w:hAnsi="Times New Roman" w:cs="Times New Roman"/>
                <w:b/>
                <w:bCs/>
                <w:lang w:eastAsia="es-CR"/>
              </w:rPr>
              <w:t> </w:t>
            </w:r>
          </w:p>
        </w:tc>
      </w:tr>
    </w:tbl>
    <w:p w:rsidRPr="00AE1B2B" w:rsidR="009D3FB5" w:rsidP="00163B94" w:rsidRDefault="009D3FB5" w14:paraId="79314437" w14:textId="33CFD2D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Defensa Pública, Lic. Frank Alvarez, Coordinador de la Unidad de Defensa Pública Agraria y Administración de la Defensa Publica.</w:t>
      </w:r>
      <w:r w:rsidRPr="00AE1B2B" w:rsidR="00BB7720">
        <w:rPr>
          <w:rFonts w:ascii="Times New Roman" w:hAnsi="Times New Roman" w:cs="Times New Roman"/>
          <w:b/>
          <w:i/>
          <w:sz w:val="26"/>
          <w:szCs w:val="26"/>
        </w:rPr>
        <w:t xml:space="preserve"> </w:t>
      </w:r>
    </w:p>
    <w:p w:rsidRPr="00AE1B2B" w:rsidR="009D3FB5" w:rsidP="00163B94" w:rsidRDefault="009D3FB5" w14:paraId="7212DF9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Para atender a las personas usuarias, de los casos tramitados en cada Juzgado Agrario, es necesario que se asigne a varios Defensoras y Defensores Públicas Agrarias.</w:t>
      </w:r>
    </w:p>
    <w:p w:rsidRPr="00AE1B2B" w:rsidR="009D3FB5" w:rsidP="00163B94" w:rsidRDefault="009D3FB5" w14:paraId="5918E6E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r w:rsidRPr="00AE1B2B">
        <w:rPr>
          <w:rFonts w:ascii="Times New Roman" w:hAnsi="Times New Roman" w:cs="Times New Roman"/>
          <w:b/>
          <w:i/>
          <w:sz w:val="26"/>
          <w:szCs w:val="26"/>
        </w:rPr>
        <w:t xml:space="preserve"> </w:t>
      </w:r>
    </w:p>
    <w:p w:rsidRPr="00AE1B2B" w:rsidR="009D3FB5" w:rsidP="00163B94" w:rsidRDefault="009D3FB5" w14:paraId="2B5EB1D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Las plazas existentes deben asumir los casos de personas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w:t>
      </w:r>
    </w:p>
    <w:p w:rsidRPr="00AE1B2B" w:rsidR="009D3FB5" w:rsidP="00163B94" w:rsidRDefault="009D3FB5" w14:paraId="6AD945F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continuación, se explica cómo se atienden los casos en los que existan intereses contrapuestos en una causa: </w:t>
      </w:r>
    </w:p>
    <w:p w:rsidRPr="00AE1B2B" w:rsidR="009D3FB5" w:rsidP="00163B94" w:rsidRDefault="009D3FB5" w14:paraId="2C5F06A7" w14:textId="77777777">
      <w:pPr>
        <w:pStyle w:val="Prrafodelista"/>
        <w:keepNext/>
        <w:keepLines/>
        <w:numPr>
          <w:ilvl w:val="0"/>
          <w:numId w:val="115"/>
        </w:numPr>
        <w:pBdr>
          <w:top w:val="single" w:color="323E4F" w:themeColor="text2" w:themeShade="BF" w:sz="2" w:space="1"/>
          <w:left w:val="single" w:color="323E4F" w:themeColor="text2" w:themeShade="BF" w:sz="2" w:space="4"/>
          <w:bottom w:val="single" w:color="323E4F" w:themeColor="text2" w:themeShade="BF" w:sz="2" w:space="1"/>
          <w:right w:val="single" w:color="323E4F" w:themeColor="text2" w:themeShade="BF" w:sz="2" w:space="4"/>
        </w:pBdr>
        <w:shd w:val="clear" w:color="auto" w:fill="BDD6EE" w:themeFill="accent1" w:themeFillTint="66"/>
        <w:spacing w:before="120" w:after="120"/>
        <w:ind w:left="851" w:right="851" w:firstLine="709"/>
        <w:jc w:val="both"/>
        <w:outlineLvl w:val="0"/>
        <w:rPr>
          <w:rFonts w:ascii="Times New Roman" w:hAnsi="Times New Roman" w:cs="Times New Roman" w:eastAsiaTheme="majorEastAsia"/>
          <w:b/>
          <w:vanish/>
          <w:sz w:val="26"/>
          <w:szCs w:val="26"/>
          <w:lang w:eastAsia="en-US"/>
        </w:rPr>
      </w:pPr>
      <w:bookmarkStart w:name="_Toc34639078" w:id="187"/>
      <w:bookmarkStart w:name="_Toc34727198" w:id="188"/>
      <w:bookmarkStart w:name="_Toc34830125" w:id="189"/>
      <w:bookmarkStart w:name="_Toc34903268" w:id="190"/>
      <w:bookmarkStart w:name="_Toc34912960" w:id="191"/>
      <w:bookmarkStart w:name="_Toc34914053" w:id="192"/>
      <w:bookmarkStart w:name="_Toc36214351" w:id="193"/>
      <w:bookmarkStart w:name="_Toc37668863" w:id="194"/>
      <w:bookmarkStart w:name="_Toc37670348" w:id="195"/>
      <w:bookmarkStart w:name="_Toc37670450" w:id="196"/>
      <w:bookmarkStart w:name="_Toc64355588" w:id="197"/>
      <w:bookmarkStart w:name="_Toc64355662" w:id="198"/>
      <w:bookmarkStart w:name="_Toc64355736" w:id="199"/>
      <w:bookmarkStart w:name="_Toc64356112" w:id="200"/>
      <w:bookmarkStart w:name="_Toc65768228" w:id="201"/>
      <w:bookmarkStart w:name="_Toc67301318" w:id="202"/>
      <w:bookmarkStart w:name="_Toc67304720" w:id="203"/>
      <w:bookmarkStart w:name="_Toc67398012" w:id="204"/>
      <w:bookmarkStart w:name="_Toc68688517" w:id="205"/>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p>
    <w:p w:rsidRPr="00AE1B2B" w:rsidR="009D3FB5" w:rsidP="00163B94" w:rsidRDefault="009D3FB5" w14:paraId="548F055D" w14:textId="77777777">
      <w:pPr>
        <w:spacing w:before="120" w:after="120"/>
        <w:ind w:left="851" w:right="851" w:firstLine="709"/>
        <w:jc w:val="both"/>
        <w:rPr>
          <w:rFonts w:ascii="Times New Roman" w:hAnsi="Times New Roman" w:cs="Times New Roman"/>
          <w:sz w:val="26"/>
          <w:szCs w:val="26"/>
        </w:rPr>
      </w:pPr>
      <w:bookmarkStart w:name="_Toc37670451" w:id="206"/>
      <w:bookmarkStart w:name="_Toc68688518" w:id="207"/>
      <w:r w:rsidRPr="00AE1B2B">
        <w:rPr>
          <w:rFonts w:ascii="Times New Roman" w:hAnsi="Times New Roman" w:cs="Times New Roman"/>
          <w:sz w:val="26"/>
          <w:szCs w:val="26"/>
        </w:rPr>
        <w:t>Juzgado Agrario del I Circuito Judicial de Guanacaste (Liberia)</w:t>
      </w:r>
      <w:bookmarkEnd w:id="206"/>
      <w:bookmarkEnd w:id="207"/>
      <w:r w:rsidRPr="00AE1B2B">
        <w:rPr>
          <w:rFonts w:ascii="Times New Roman" w:hAnsi="Times New Roman" w:cs="Times New Roman"/>
          <w:sz w:val="26"/>
          <w:szCs w:val="26"/>
        </w:rPr>
        <w:t xml:space="preserve"> </w:t>
      </w:r>
    </w:p>
    <w:p w:rsidRPr="00AE1B2B" w:rsidR="009D3FB5" w:rsidP="00163B94" w:rsidRDefault="009D3FB5" w14:paraId="0DCDB2A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atención de las personas usuarias cuyos casos se tramitan en el Juzgado Agrario de Liberia, las realiza la plaza de Defensor Público Agrario o Defensora Pública Agraria destacada en la Oficina Regional de la Defensa Pública de Liberia. En caso de que una persona usuaria contraparte requiera de los servicios de la Defensa Pública, aquélla es atendida por recargo por la plaza de Defensor </w:t>
      </w:r>
      <w:r w:rsidRPr="00AE1B2B">
        <w:rPr>
          <w:rFonts w:ascii="Times New Roman" w:hAnsi="Times New Roman" w:cs="Times New Roman"/>
          <w:sz w:val="26"/>
          <w:szCs w:val="26"/>
        </w:rPr>
        <w:lastRenderedPageBreak/>
        <w:t>Público Agrario o Defensora Pública Agraria destacada en la Oficina Regional de la Defensa Pública de Nicoya.</w:t>
      </w:r>
    </w:p>
    <w:p w:rsidRPr="00AE1B2B" w:rsidR="009D3FB5" w:rsidP="00163B94" w:rsidRDefault="009D3FB5" w14:paraId="274C744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caso de que sean más de dos personas usuarias (actora, demanda y terceras interesadas) las que intervengan en un proceso agrario tramitado en el Juzgado Agrario de Liberia, se procede de la siguiente forma:</w:t>
      </w:r>
    </w:p>
    <w:p w:rsidRPr="00AE1B2B" w:rsidR="009D3FB5" w:rsidP="00163B94" w:rsidRDefault="009D3FB5" w14:paraId="3B15DB67" w14:textId="77777777">
      <w:pPr>
        <w:pStyle w:val="Prrafodelista"/>
        <w:numPr>
          <w:ilvl w:val="0"/>
          <w:numId w:val="104"/>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Una de ellas es atendida por la plaza de Defensor Público Agrario o Defensora Pública Agraria destacada en la Oficina de la Defensa Pública de Liberia.</w:t>
      </w:r>
    </w:p>
    <w:p w:rsidRPr="00AE1B2B" w:rsidR="009D3FB5" w:rsidP="00163B94" w:rsidRDefault="009D3FB5" w14:paraId="508ED1D0" w14:textId="77777777">
      <w:pPr>
        <w:pStyle w:val="Prrafodelista"/>
        <w:numPr>
          <w:ilvl w:val="0"/>
          <w:numId w:val="104"/>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Otra es atendida por la plaza de Defensor Público Agrario o Defensora Pública Agraria destacada en la Oficina Regional de la Defensa Pública de Nicoya.</w:t>
      </w:r>
    </w:p>
    <w:p w:rsidRPr="00AE1B2B" w:rsidR="009D3FB5" w:rsidP="00163B94" w:rsidRDefault="009D3FB5" w14:paraId="1213F8C6" w14:textId="77777777">
      <w:pPr>
        <w:pStyle w:val="Prrafodelista"/>
        <w:numPr>
          <w:ilvl w:val="0"/>
          <w:numId w:val="104"/>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Las otras personas usuarias son atendidas por alguna o algunas de las otras plazas de Defensor Público Agrario o Defensora Pública Agraria destacadas en otras oficinas regionales de la Defensa Pública (Puntarenas, San Ramón) o por la plaza de Coordinación, según lo disponga con criterio técnico el Defensor Público Agrario Coordinador de la Unidad de Defensa Agraria.</w:t>
      </w:r>
    </w:p>
    <w:p w:rsidRPr="00AE1B2B" w:rsidR="009D3FB5" w:rsidP="00163B94" w:rsidRDefault="009D3FB5" w14:paraId="233B8019" w14:textId="77777777">
      <w:pPr>
        <w:spacing w:before="120" w:after="120"/>
        <w:ind w:left="851" w:right="851" w:firstLine="709"/>
        <w:jc w:val="both"/>
        <w:rPr>
          <w:rFonts w:ascii="Times New Roman" w:hAnsi="Times New Roman" w:cs="Times New Roman"/>
          <w:sz w:val="26"/>
          <w:szCs w:val="26"/>
        </w:rPr>
      </w:pPr>
      <w:bookmarkStart w:name="_Toc37670452" w:id="208"/>
      <w:bookmarkStart w:name="_Toc68688519" w:id="209"/>
      <w:r w:rsidRPr="00AE1B2B">
        <w:rPr>
          <w:rFonts w:ascii="Times New Roman" w:hAnsi="Times New Roman" w:cs="Times New Roman"/>
          <w:sz w:val="26"/>
          <w:szCs w:val="26"/>
        </w:rPr>
        <w:t>Juzgado Agrario del II Circuito Judicial de Guanacaste (Santa Cruz)</w:t>
      </w:r>
      <w:bookmarkEnd w:id="208"/>
      <w:bookmarkEnd w:id="209"/>
      <w:r w:rsidRPr="00AE1B2B">
        <w:rPr>
          <w:rFonts w:ascii="Times New Roman" w:hAnsi="Times New Roman" w:cs="Times New Roman"/>
          <w:sz w:val="26"/>
          <w:szCs w:val="26"/>
        </w:rPr>
        <w:t xml:space="preserve"> </w:t>
      </w:r>
    </w:p>
    <w:p w:rsidRPr="00AE1B2B" w:rsidR="009D3FB5" w:rsidP="00163B94" w:rsidRDefault="009D3FB5" w14:paraId="3CAE137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atención de las personas usuarias cuyos casos se tramitan en el Juzgado Agrario de Santa Cruz la realiza la plaza de Defensor Público Agrario o Defensora Pública Agraria destacada en la Oficina Regional de la Defensa Pública de Nicoya. En caso de que una persona usuaria contraparte requiera de los servicios de la Defensa Pública, aquélla es atendida por recargo por la plaza de Defensor Público Agrario o Defensora Pública Agraria destacada en la Oficina Regional de la Defensa Pública de Liberia.</w:t>
      </w:r>
    </w:p>
    <w:p w:rsidRPr="00AE1B2B" w:rsidR="009D3FB5" w:rsidP="00163B94" w:rsidRDefault="009D3FB5" w14:paraId="7D2D10D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caso de que sean más de dos personas usuarias (actora, demanda y terceras interesadas) las que intervengan en un proceso agrario tramitado en el Juzgado Agrario de Santa Cruz, se procede de la siguiente forma:</w:t>
      </w:r>
    </w:p>
    <w:p w:rsidRPr="00AE1B2B" w:rsidR="009D3FB5" w:rsidP="00163B94" w:rsidRDefault="009D3FB5" w14:paraId="44EC2827" w14:textId="77777777">
      <w:pPr>
        <w:numPr>
          <w:ilvl w:val="0"/>
          <w:numId w:val="105"/>
        </w:numPr>
        <w:tabs>
          <w:tab w:val="clear" w:pos="375"/>
          <w:tab w:val="left" w:pos="851"/>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Una de ellas es atendida por la plaza de Defensor Público Agrario o Defensora Pública Agraria destacada en la oficina de la Defensa Pública de Nicoya.</w:t>
      </w:r>
    </w:p>
    <w:p w:rsidRPr="00AE1B2B" w:rsidR="009D3FB5" w:rsidP="00163B94" w:rsidRDefault="009D3FB5" w14:paraId="32CD3969" w14:textId="77777777">
      <w:pPr>
        <w:tabs>
          <w:tab w:val="left" w:pos="851"/>
        </w:tabs>
        <w:spacing w:before="120" w:after="120"/>
        <w:ind w:left="851" w:right="851" w:firstLine="709"/>
        <w:jc w:val="both"/>
        <w:rPr>
          <w:rFonts w:ascii="Times New Roman" w:hAnsi="Times New Roman" w:cs="Times New Roman"/>
          <w:sz w:val="26"/>
          <w:szCs w:val="26"/>
        </w:rPr>
      </w:pPr>
    </w:p>
    <w:p w:rsidRPr="00AE1B2B" w:rsidR="009D3FB5" w:rsidP="00163B94" w:rsidRDefault="009D3FB5" w14:paraId="06203170" w14:textId="77777777">
      <w:pPr>
        <w:numPr>
          <w:ilvl w:val="0"/>
          <w:numId w:val="105"/>
        </w:numPr>
        <w:tabs>
          <w:tab w:val="clear" w:pos="375"/>
          <w:tab w:val="left" w:pos="851"/>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Otra es atendida por la plaza de Defensor Público Agrario o Defensora Pública Agraria destacada en la oficina regional de la Defensa Pública de Liberia.</w:t>
      </w:r>
    </w:p>
    <w:p w:rsidRPr="00AE1B2B" w:rsidR="009D3FB5" w:rsidP="00163B94" w:rsidRDefault="009D3FB5" w14:paraId="1C154352" w14:textId="77777777">
      <w:pPr>
        <w:tabs>
          <w:tab w:val="left" w:pos="851"/>
        </w:tabs>
        <w:spacing w:before="120" w:after="120"/>
        <w:ind w:left="851" w:right="851" w:firstLine="709"/>
        <w:jc w:val="both"/>
        <w:rPr>
          <w:rFonts w:ascii="Times New Roman" w:hAnsi="Times New Roman" w:cs="Times New Roman"/>
          <w:sz w:val="26"/>
          <w:szCs w:val="26"/>
        </w:rPr>
      </w:pPr>
    </w:p>
    <w:p w:rsidRPr="00AE1B2B" w:rsidR="009D3FB5" w:rsidP="00163B94" w:rsidRDefault="009D3FB5" w14:paraId="76C46C04" w14:textId="77777777">
      <w:pPr>
        <w:numPr>
          <w:ilvl w:val="0"/>
          <w:numId w:val="105"/>
        </w:numPr>
        <w:tabs>
          <w:tab w:val="clear" w:pos="375"/>
          <w:tab w:val="left" w:pos="851"/>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Las otras personas usuarias son atendidas por alguna o algunas de las otras plazas de Defensor Público Agrario o Defensora Pública Agraria destacadas en otras oficinas regionales de la Defensa Pública (Puntarenas, San Ramón) o por la plaza de Coordinación, según lo disponga con criterio técnico el Defensor Público Agrario Coordinador de la Unidad de Defensa Agraria.</w:t>
      </w:r>
    </w:p>
    <w:p w:rsidRPr="00AE1B2B" w:rsidR="009D3FB5" w:rsidP="00163B94" w:rsidRDefault="009D3FB5" w14:paraId="6870BD60" w14:textId="77777777">
      <w:pPr>
        <w:spacing w:before="120" w:after="120"/>
        <w:ind w:left="851" w:right="851" w:firstLine="709"/>
        <w:jc w:val="both"/>
        <w:rPr>
          <w:rFonts w:ascii="Times New Roman" w:hAnsi="Times New Roman" w:cs="Times New Roman"/>
          <w:sz w:val="26"/>
          <w:szCs w:val="26"/>
        </w:rPr>
      </w:pPr>
      <w:bookmarkStart w:name="_Toc37670453" w:id="210"/>
      <w:bookmarkStart w:name="_Toc68688520" w:id="211"/>
      <w:r w:rsidRPr="00AE1B2B">
        <w:rPr>
          <w:rFonts w:ascii="Times New Roman" w:hAnsi="Times New Roman" w:cs="Times New Roman"/>
          <w:sz w:val="26"/>
          <w:szCs w:val="26"/>
        </w:rPr>
        <w:t>Juzgado Agrario de Puntarenas</w:t>
      </w:r>
      <w:bookmarkEnd w:id="210"/>
      <w:bookmarkEnd w:id="211"/>
    </w:p>
    <w:p w:rsidRPr="00AE1B2B" w:rsidR="009D3FB5" w:rsidP="00163B94" w:rsidRDefault="009D3FB5" w14:paraId="481E09A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atención de las personas usuarias cuyos casos se tramitan en el Juzgado Agrario de Puntarenas la realiza la plaza de Defensor Público Agrario o Defensora Pública Agraria destacada en la oficina regional de la Defensa Pública de Puntarenas. En caso de que una persona usuaria contraparte requiera de los servicios de la Defensa Pública, aquélla es atendida por recargo por la plaza de Defensor Público Agrario o Defensora Pública Agraria destacada en la oficina regional de la Defensa Pública de San Ramón.</w:t>
      </w:r>
    </w:p>
    <w:p w:rsidRPr="00AE1B2B" w:rsidR="009D3FB5" w:rsidP="00163B94" w:rsidRDefault="009D3FB5" w14:paraId="4366311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caso de que sean más de dos personas usuarias (actora, demanda y terceras interesadas) las que intervengan en un proceso agrario tramitado en el Juzgado Agrario de Puntarenas, se procede de la siguiente forma:</w:t>
      </w:r>
    </w:p>
    <w:p w:rsidRPr="00AE1B2B" w:rsidR="009D3FB5" w:rsidP="00163B94" w:rsidRDefault="009D3FB5" w14:paraId="42759013" w14:textId="77777777">
      <w:pPr>
        <w:pStyle w:val="Prrafodelista"/>
        <w:numPr>
          <w:ilvl w:val="0"/>
          <w:numId w:val="106"/>
        </w:numPr>
        <w:tabs>
          <w:tab w:val="left" w:pos="980"/>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Una de ellas es atendida por la plaza de Defensor Público Agrario o Defensora Pública Agraria destacada en la oficina de la Defensa Pública de Puntarenas.</w:t>
      </w:r>
    </w:p>
    <w:p w:rsidRPr="00AE1B2B" w:rsidR="009D3FB5" w:rsidP="00163B94" w:rsidRDefault="009D3FB5" w14:paraId="33251181" w14:textId="77777777">
      <w:pPr>
        <w:numPr>
          <w:ilvl w:val="0"/>
          <w:numId w:val="106"/>
        </w:numPr>
        <w:tabs>
          <w:tab w:val="left" w:pos="980"/>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Otra es atendida por la plaza de Defensor Público Agrario o Defensora Pública Agraria destacada en la oficina regional de la Defensa Pública de San Ramón.</w:t>
      </w:r>
    </w:p>
    <w:p w:rsidRPr="00AE1B2B" w:rsidR="009D3FB5" w:rsidP="00163B94" w:rsidRDefault="009D3FB5" w14:paraId="301D4B38" w14:textId="77777777">
      <w:pPr>
        <w:numPr>
          <w:ilvl w:val="0"/>
          <w:numId w:val="106"/>
        </w:numPr>
        <w:tabs>
          <w:tab w:val="left" w:pos="980"/>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Las otras personas usuarias son atendidas por alguna o algunas de las otras plazas de Defensor Público Agrario o Defensora Pública Agraria destacadas en otras oficinas regionales de la Defensa Pública (Alajuela, San José) o por la plaza de Coordinación, según lo disponga con criterio técnico el Defensor Público Agrario Coordinador de la Unidad de Defensa Agraria.</w:t>
      </w:r>
    </w:p>
    <w:p w:rsidRPr="00AE1B2B" w:rsidR="009D3FB5" w:rsidP="00163B94" w:rsidRDefault="009D3FB5" w14:paraId="6EDB7683" w14:textId="77777777">
      <w:pPr>
        <w:spacing w:before="120" w:after="120"/>
        <w:ind w:left="851" w:right="851" w:firstLine="709"/>
        <w:jc w:val="both"/>
        <w:rPr>
          <w:rFonts w:ascii="Times New Roman" w:hAnsi="Times New Roman" w:cs="Times New Roman"/>
          <w:sz w:val="26"/>
          <w:szCs w:val="26"/>
        </w:rPr>
      </w:pPr>
      <w:bookmarkStart w:name="_Toc37670454" w:id="212"/>
      <w:bookmarkStart w:name="_Toc68688521" w:id="213"/>
      <w:r w:rsidRPr="00AE1B2B">
        <w:rPr>
          <w:rFonts w:ascii="Times New Roman" w:hAnsi="Times New Roman" w:cs="Times New Roman"/>
          <w:sz w:val="26"/>
          <w:szCs w:val="26"/>
        </w:rPr>
        <w:t>Juzgado Agrario del Tercer Circuito Judicial de Alajuela (San Ramón)</w:t>
      </w:r>
      <w:bookmarkEnd w:id="212"/>
      <w:bookmarkEnd w:id="213"/>
    </w:p>
    <w:p w:rsidRPr="00AE1B2B" w:rsidR="009D3FB5" w:rsidP="00163B94" w:rsidRDefault="009D3FB5" w14:paraId="745E714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atención de las personas usuarias cuyos casos se tramitan en el Juzgado Agrario de San Ramón la realiza la plaza de Defensor Público Agrario o Defensora Pública Agraria destacada en la oficina regional de la Defensa Pública de San Ramón. En caso de que una persona usuaria contraparte requiera de los servicios de la Defensa </w:t>
      </w:r>
      <w:r w:rsidRPr="00AE1B2B">
        <w:rPr>
          <w:rFonts w:ascii="Times New Roman" w:hAnsi="Times New Roman" w:cs="Times New Roman"/>
          <w:sz w:val="26"/>
          <w:szCs w:val="26"/>
        </w:rPr>
        <w:lastRenderedPageBreak/>
        <w:t>Pública, aquélla es atendida por recargo por la plaza de Defensor Público Agrario o Defensora Pública Agraria destacada en la oficina regional de la Defensa Pública de Puntarenas.</w:t>
      </w:r>
    </w:p>
    <w:p w:rsidRPr="00AE1B2B" w:rsidR="009D3FB5" w:rsidP="00163B94" w:rsidRDefault="009D3FB5" w14:paraId="662BB99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caso de que sean más de dos personas usuarias (actora, demanda y terceras interesadas) las que intervengan en un proceso agrario tramitado en el Juzgado Agrario de San Ramón, se procede de la siguiente forma:</w:t>
      </w:r>
    </w:p>
    <w:p w:rsidRPr="00AE1B2B" w:rsidR="009D3FB5" w:rsidP="00163B94" w:rsidRDefault="009D3FB5" w14:paraId="367B636B" w14:textId="77777777">
      <w:pPr>
        <w:numPr>
          <w:ilvl w:val="0"/>
          <w:numId w:val="107"/>
        </w:numPr>
        <w:tabs>
          <w:tab w:val="left" w:pos="851"/>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Una de ellas es atendida por la plaza de Defensor Público Agrario o Defensora Pública Agraria destacada en la oficina de la Defensa Pública de San Ramón;</w:t>
      </w:r>
    </w:p>
    <w:p w:rsidRPr="00AE1B2B" w:rsidR="009D3FB5" w:rsidP="00163B94" w:rsidRDefault="009D3FB5" w14:paraId="36A1D4FE" w14:textId="77777777">
      <w:pPr>
        <w:tabs>
          <w:tab w:val="left" w:pos="851"/>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Otra es atendida por la plaza de Defensor Público Agrario o Defensora Pública Agraria destacada en la oficina regional de la Defensa Pública de Puntarenas.</w:t>
      </w:r>
    </w:p>
    <w:p w:rsidRPr="00AE1B2B" w:rsidR="009D3FB5" w:rsidP="00163B94" w:rsidRDefault="009D3FB5" w14:paraId="7974D4EF" w14:textId="77777777">
      <w:pPr>
        <w:numPr>
          <w:ilvl w:val="0"/>
          <w:numId w:val="107"/>
        </w:numPr>
        <w:tabs>
          <w:tab w:val="left" w:pos="851"/>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Las otras personas usuarias son atendidas por alguna o algunas de las otras plazas de Defensor Público Agrario o Defensora Pública Agraria destacadas en otras oficinas regionales de la Defensa Pública (Alajuela, San José, San Carlos) o por la plaza de Coordinación, según lo disponga con criterio técnico el Defensor Público Agrario Coordinador de la Unidad de Defensa Agraria.</w:t>
      </w:r>
    </w:p>
    <w:p w:rsidRPr="00AE1B2B" w:rsidR="009D3FB5" w:rsidP="00163B94" w:rsidRDefault="009D3FB5" w14:paraId="1219CBAA" w14:textId="77777777">
      <w:pPr>
        <w:spacing w:before="120" w:after="120"/>
        <w:ind w:left="851" w:right="851" w:firstLine="709"/>
        <w:jc w:val="both"/>
        <w:rPr>
          <w:rFonts w:ascii="Times New Roman" w:hAnsi="Times New Roman" w:cs="Times New Roman"/>
          <w:sz w:val="26"/>
          <w:szCs w:val="26"/>
        </w:rPr>
      </w:pPr>
      <w:bookmarkStart w:name="_Toc37670455" w:id="214"/>
      <w:bookmarkStart w:name="_Toc68688522" w:id="215"/>
      <w:r w:rsidRPr="00AE1B2B">
        <w:rPr>
          <w:rFonts w:ascii="Times New Roman" w:hAnsi="Times New Roman" w:cs="Times New Roman"/>
          <w:sz w:val="26"/>
          <w:szCs w:val="26"/>
        </w:rPr>
        <w:t>Juzgado Civil, Trabajo, Agrario, Familia, Penal Juvenil, Contra la Violencia Doméstica y Protección Cautelar II Circuito Judicial de Alajuela, sede Upala</w:t>
      </w:r>
      <w:bookmarkEnd w:id="214"/>
      <w:bookmarkEnd w:id="215"/>
    </w:p>
    <w:p w:rsidRPr="00AE1B2B" w:rsidR="009D3FB5" w:rsidP="00163B94" w:rsidRDefault="009D3FB5" w14:paraId="02A6EF8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atención de las personas usuarias cuyos casos se tramitan en el Juzgado Civil, Trabajo, Agrario, Familia, Penal Juvenil, Contra la Violencia Doméstica y Protección Cautelar II Circuito Judicial de Alajuela, sede Upalala realiza la plaza de Defensor Público Agrario o Defensora Pública Agraria destacada en la oficina regional de la Defensa Pública de Upala. En caso de que una persona usuaria contraparte requiera de los servicios de la Defensa Pública, aquélla es atendida por recargo por la plaza de Defensor Público Agrario o Defensora Pública Agraria destacada en la oficina regional de la Defensa Pública de San Carlos.</w:t>
      </w:r>
    </w:p>
    <w:p w:rsidRPr="00AE1B2B" w:rsidR="009D3FB5" w:rsidP="00163B94" w:rsidRDefault="009D3FB5" w14:paraId="594005C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caso de que sean más de dos personas usuarias (actora, demanda y terceras interesadas) las que intervengan en un proceso agrario tramitado en el Juzgado Agrario de Upala, se procede de la siguiente forma:</w:t>
      </w:r>
    </w:p>
    <w:p w:rsidRPr="00AE1B2B" w:rsidR="009D3FB5" w:rsidP="00163B94" w:rsidRDefault="009D3FB5" w14:paraId="082A872E" w14:textId="77777777">
      <w:pPr>
        <w:numPr>
          <w:ilvl w:val="0"/>
          <w:numId w:val="108"/>
        </w:numPr>
        <w:tabs>
          <w:tab w:val="left" w:pos="980"/>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Una de ellas es atendida por la plaza de Defensor Público Agrario o Defensora Pública Agraria destacada en la oficina de la Defensa Pública de Upala;</w:t>
      </w:r>
    </w:p>
    <w:p w:rsidRPr="00AE1B2B" w:rsidR="009D3FB5" w:rsidP="00163B94" w:rsidRDefault="009D3FB5" w14:paraId="629098B2" w14:textId="77777777">
      <w:pPr>
        <w:numPr>
          <w:ilvl w:val="0"/>
          <w:numId w:val="108"/>
        </w:numPr>
        <w:tabs>
          <w:tab w:val="left" w:pos="980"/>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Otra es atendida por la plaza de Defensor Público Agrario o Defensora Pública Agraria destacada en la oficina regional de la Defensa Pública de San Carlos;</w:t>
      </w:r>
    </w:p>
    <w:p w:rsidRPr="00AE1B2B" w:rsidR="009D3FB5" w:rsidP="00163B94" w:rsidRDefault="009D3FB5" w14:paraId="603ECC37" w14:textId="77777777">
      <w:pPr>
        <w:numPr>
          <w:ilvl w:val="0"/>
          <w:numId w:val="108"/>
        </w:numPr>
        <w:tabs>
          <w:tab w:val="left" w:pos="980"/>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Las otras personas usuarias son atendidas por alguna o algunas de las otras plazas de Defensor Público Agrario o Defensora Pública Agraria destacadas en otras oficinas regionales de la Defensa Pública (Alajuela, San Ramón) o por la plaza de Coordinación, según lo disponga con criterio técnico el Defensor Público Agrario Coordinador de la Unidad de Defensa Agraria.</w:t>
      </w:r>
    </w:p>
    <w:p w:rsidRPr="00AE1B2B" w:rsidR="009D3FB5" w:rsidP="00163B94" w:rsidRDefault="009D3FB5" w14:paraId="642D34DE" w14:textId="77777777">
      <w:pPr>
        <w:spacing w:before="120" w:after="120"/>
        <w:ind w:left="851" w:right="851" w:firstLine="709"/>
        <w:jc w:val="both"/>
        <w:rPr>
          <w:rFonts w:ascii="Times New Roman" w:hAnsi="Times New Roman" w:cs="Times New Roman"/>
          <w:sz w:val="26"/>
          <w:szCs w:val="26"/>
        </w:rPr>
      </w:pPr>
      <w:bookmarkStart w:name="_Toc37670456" w:id="216"/>
      <w:bookmarkStart w:name="_Toc68688523" w:id="217"/>
      <w:r w:rsidRPr="00AE1B2B">
        <w:rPr>
          <w:rFonts w:ascii="Times New Roman" w:hAnsi="Times New Roman" w:cs="Times New Roman"/>
          <w:sz w:val="26"/>
          <w:szCs w:val="26"/>
        </w:rPr>
        <w:t>Juzgado Agrario del II Circuito Judicial de Alajuela (San Carlos)</w:t>
      </w:r>
      <w:bookmarkEnd w:id="216"/>
      <w:bookmarkEnd w:id="217"/>
    </w:p>
    <w:p w:rsidRPr="00AE1B2B" w:rsidR="009D3FB5" w:rsidP="00163B94" w:rsidRDefault="009D3FB5" w14:paraId="35520F2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atención de las personas usuarias cuyos casos se tramitan en el Juzgado Agrario de San Carlos la realiza la plaza de Defensor Público Agrario o Defensora Pública Agraria destacada en la oficina regional de la Defensa Pública de San Carlos. En caso de que una persona usuaria contraparte requiera de los servicios de la Defensa Pública, aquélla es atendida por recargo por la plaza de Defensor Público Agrario o Defensora Pública Agraria destacada en la oficina regional de la Defensa Pública de Upala.</w:t>
      </w:r>
    </w:p>
    <w:p w:rsidRPr="00AE1B2B" w:rsidR="009D3FB5" w:rsidP="00163B94" w:rsidRDefault="009D3FB5" w14:paraId="281C113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caso de que sean más de dos personas usuarias (actora, demanda y terceras interesadas) las que intervengan en un proceso agrario tramitado en el Juzgado Agrario de San Carlos, se procede de la siguiente forma:</w:t>
      </w:r>
      <w:r w:rsidRPr="00AE1B2B">
        <w:rPr>
          <w:rFonts w:ascii="Times New Roman" w:hAnsi="Times New Roman" w:cs="Times New Roman"/>
          <w:sz w:val="26"/>
          <w:szCs w:val="26"/>
        </w:rPr>
        <w:tab/>
      </w:r>
    </w:p>
    <w:p w:rsidRPr="00AE1B2B" w:rsidR="009D3FB5" w:rsidP="00163B94" w:rsidRDefault="009D3FB5" w14:paraId="57CDB18A" w14:textId="77777777">
      <w:pPr>
        <w:numPr>
          <w:ilvl w:val="0"/>
          <w:numId w:val="109"/>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Una de ellas es atendida por la plaza de Defensor Público Agrario o Defensora Pública Agraria destacada en la oficina de la Defensa Pública de San Carlos.</w:t>
      </w:r>
    </w:p>
    <w:p w:rsidRPr="00AE1B2B" w:rsidR="009D3FB5" w:rsidP="00163B94" w:rsidRDefault="009D3FB5" w14:paraId="0920E250" w14:textId="77777777">
      <w:pPr>
        <w:numPr>
          <w:ilvl w:val="0"/>
          <w:numId w:val="109"/>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Otra es atendida por la plaza de Defensor Público Agrario o Defensora Pública Agraria destacada en la oficina regional de la Defensa Pública de Upala.</w:t>
      </w:r>
    </w:p>
    <w:p w:rsidRPr="00AE1B2B" w:rsidR="009D3FB5" w:rsidP="00163B94" w:rsidRDefault="009D3FB5" w14:paraId="4D96CF1C" w14:textId="77777777">
      <w:pPr>
        <w:numPr>
          <w:ilvl w:val="0"/>
          <w:numId w:val="109"/>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Las otras personas usuarias son atendidas por alguna o algunas de las otras plazas de Defensor Público Agrario o Defensora Pública Agraria destacadas en otras oficinas regionales de la Defensa Pública (Alajuela, San Ramón) o por la plaza de Coordinación, según lo disponga con criterio técnico el Defensor Público Agrario Coordinador de la Unidad de Defensa Agraria.</w:t>
      </w:r>
    </w:p>
    <w:p w:rsidRPr="00AE1B2B" w:rsidR="009D3FB5" w:rsidP="00163B94" w:rsidRDefault="009D3FB5" w14:paraId="2D9439EB" w14:textId="77777777">
      <w:pPr>
        <w:spacing w:before="120" w:after="120"/>
        <w:ind w:left="851" w:right="851" w:firstLine="709"/>
        <w:jc w:val="both"/>
        <w:rPr>
          <w:rFonts w:ascii="Times New Roman" w:hAnsi="Times New Roman" w:cs="Times New Roman"/>
          <w:sz w:val="26"/>
          <w:szCs w:val="26"/>
        </w:rPr>
      </w:pPr>
      <w:bookmarkStart w:name="_Toc37670457" w:id="218"/>
      <w:bookmarkStart w:name="_Toc68688524" w:id="219"/>
      <w:r w:rsidRPr="00AE1B2B">
        <w:rPr>
          <w:rFonts w:ascii="Times New Roman" w:hAnsi="Times New Roman" w:cs="Times New Roman"/>
          <w:sz w:val="26"/>
          <w:szCs w:val="26"/>
        </w:rPr>
        <w:t>Juzgado Agrario del I Circuito Judicial de la Zona Atlántica (Limón)</w:t>
      </w:r>
      <w:bookmarkEnd w:id="218"/>
      <w:bookmarkEnd w:id="219"/>
    </w:p>
    <w:p w:rsidRPr="00AE1B2B" w:rsidR="009D3FB5" w:rsidP="00163B94" w:rsidRDefault="009D3FB5" w14:paraId="2A7EB08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atención de las personas usuarias cuyos casos se tramitan en el Juzgado Agrario de Limón la realizan las dos plazas de Defensor </w:t>
      </w:r>
      <w:r w:rsidRPr="00AE1B2B">
        <w:rPr>
          <w:rFonts w:ascii="Times New Roman" w:hAnsi="Times New Roman" w:cs="Times New Roman"/>
          <w:sz w:val="26"/>
          <w:szCs w:val="26"/>
        </w:rPr>
        <w:lastRenderedPageBreak/>
        <w:t>Público Agrario o Defensora Pública Agraria destacadas en la oficina regional de la Defensa Pública de Limón, atendiendo ambas también a las personas usuarias que tengan interés contrapuesto.</w:t>
      </w:r>
    </w:p>
    <w:p w:rsidRPr="00AE1B2B" w:rsidR="009D3FB5" w:rsidP="00163B94" w:rsidRDefault="009D3FB5" w14:paraId="59481CA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caso de que sean más de dos personas usuarias (actora, demanda y terceras interesadas) las que intervengan en un proceso agrario tramitado en el Juzgado Agrario de Limón, se procede de la siguiente forma:</w:t>
      </w:r>
    </w:p>
    <w:p w:rsidRPr="00AE1B2B" w:rsidR="009D3FB5" w:rsidP="00163B94" w:rsidRDefault="009D3FB5" w14:paraId="3E8080DF" w14:textId="77777777">
      <w:pPr>
        <w:pStyle w:val="Prrafodelista"/>
        <w:numPr>
          <w:ilvl w:val="0"/>
          <w:numId w:val="110"/>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Una de ellas es atendida por la plaza de Defensor Público Agrario o Defensora Pública Agraria destacada en la oficina de la Defensa Pública de Limón </w:t>
      </w:r>
    </w:p>
    <w:p w:rsidRPr="00AE1B2B" w:rsidR="009D3FB5" w:rsidP="00163B94" w:rsidRDefault="009D3FB5" w14:paraId="62DCC00E" w14:textId="77777777">
      <w:pPr>
        <w:numPr>
          <w:ilvl w:val="0"/>
          <w:numId w:val="110"/>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Otra es atendida por la segunda plaza de Defensor Público Agrario o Defensora Pública Agraria destacada en la oficina regional de la Defensa Pública de Limón.</w:t>
      </w:r>
    </w:p>
    <w:p w:rsidRPr="00AE1B2B" w:rsidR="009D3FB5" w:rsidP="00163B94" w:rsidRDefault="009D3FB5" w14:paraId="49C0B925" w14:textId="77777777">
      <w:pPr>
        <w:numPr>
          <w:ilvl w:val="0"/>
          <w:numId w:val="110"/>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Las otras personas usuarias son atendidas por alguna o algunas de las otras plazas de Defensor Público Agrario o Defensora Pública Agraria destacadas en otras oficinas regionales de la Defensa Pública (Guápiles, Turrialba) o por la plaza de Coordinación, según lo disponga con criterio técnico el Defensor Público Agrario Coordinador de la Unidad de Defensa Agraria.</w:t>
      </w:r>
    </w:p>
    <w:p w:rsidRPr="00AE1B2B" w:rsidR="009D3FB5" w:rsidP="00163B94" w:rsidRDefault="009D3FB5" w14:paraId="018B950A" w14:textId="77777777">
      <w:pPr>
        <w:spacing w:before="120" w:after="120"/>
        <w:ind w:left="851" w:right="851" w:firstLine="709"/>
        <w:jc w:val="both"/>
        <w:rPr>
          <w:rFonts w:ascii="Times New Roman" w:hAnsi="Times New Roman" w:cs="Times New Roman"/>
          <w:sz w:val="26"/>
          <w:szCs w:val="26"/>
        </w:rPr>
      </w:pPr>
      <w:bookmarkStart w:name="_Toc37670458" w:id="220"/>
      <w:bookmarkStart w:name="_Toc68688525" w:id="221"/>
      <w:r w:rsidRPr="00AE1B2B">
        <w:rPr>
          <w:rFonts w:ascii="Times New Roman" w:hAnsi="Times New Roman" w:cs="Times New Roman"/>
          <w:sz w:val="26"/>
          <w:szCs w:val="26"/>
        </w:rPr>
        <w:t>Juzgado Agrario del II Circuito Judicial de la Zona Atlántica (Guápiles)</w:t>
      </w:r>
      <w:bookmarkEnd w:id="220"/>
      <w:bookmarkEnd w:id="221"/>
      <w:r w:rsidRPr="00AE1B2B">
        <w:rPr>
          <w:rFonts w:ascii="Times New Roman" w:hAnsi="Times New Roman" w:cs="Times New Roman"/>
          <w:sz w:val="26"/>
          <w:szCs w:val="26"/>
        </w:rPr>
        <w:t xml:space="preserve"> </w:t>
      </w:r>
    </w:p>
    <w:p w:rsidRPr="00AE1B2B" w:rsidR="009D3FB5" w:rsidP="00163B94" w:rsidRDefault="009D3FB5" w14:paraId="62E156E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atención de las personas usuarias cuyos casos se tramitan en el Juzgado Agrario de Guápiles la realiza la plaza de Defensor Público Agrario o Defensora Pública Agraria destacada en la oficina regional de la Defensa Pública de Guápiles. En caso de que una persona usuaria contraparte requiera de los servicios de la Defensa Pública, aquélla es atendida por recargo por la plaza de Defensor Público Agrario o Defensora Pública Agraria destacada en la oficina regional de la Defensa Pública de Turrialba.</w:t>
      </w:r>
    </w:p>
    <w:p w:rsidRPr="00AE1B2B" w:rsidR="009D3FB5" w:rsidP="00163B94" w:rsidRDefault="009D3FB5" w14:paraId="79CEE30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caso de que sean más de dos personas usuarias (actora, demanda y terceras interesadas) las que intervengan en un proceso agrario tramitado en el Juzgado Agrario de Guápiles, se procede de la siguiente forma:</w:t>
      </w:r>
    </w:p>
    <w:p w:rsidRPr="00AE1B2B" w:rsidR="009D3FB5" w:rsidP="00163B94" w:rsidRDefault="009D3FB5" w14:paraId="10E99C48" w14:textId="77777777">
      <w:pPr>
        <w:pStyle w:val="Prrafodelista"/>
        <w:numPr>
          <w:ilvl w:val="0"/>
          <w:numId w:val="111"/>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Una de ellas es atendida por la plaza de Defensor Público Agrario o Defensora Pública Agraria destacada en la oficina de la Defensa Pública de Guápiles.</w:t>
      </w:r>
    </w:p>
    <w:p w:rsidRPr="00AE1B2B" w:rsidR="009D3FB5" w:rsidP="00163B94" w:rsidRDefault="009D3FB5" w14:paraId="6D1D23EF" w14:textId="77777777">
      <w:pPr>
        <w:pStyle w:val="Prrafodelista"/>
        <w:numPr>
          <w:ilvl w:val="0"/>
          <w:numId w:val="111"/>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Otra es atendida por la plaza de Defensor Público Agrario o Defensora Pública Agraria destacada en la oficina regional de la Defensa Pública de Turrialba.</w:t>
      </w:r>
    </w:p>
    <w:p w:rsidRPr="00AE1B2B" w:rsidR="009D3FB5" w:rsidP="00163B94" w:rsidRDefault="009D3FB5" w14:paraId="11F8875B" w14:textId="77777777">
      <w:pPr>
        <w:pStyle w:val="Prrafodelista"/>
        <w:numPr>
          <w:ilvl w:val="0"/>
          <w:numId w:val="111"/>
        </w:numPr>
        <w:tabs>
          <w:tab w:val="left" w:pos="980"/>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Las otras personas usuarias son atendidas por alguna o algunas de las otras plazas de Defensor Público Agrario o Defensora Pública Agraria destacadas en otras oficinas regionales de la Defensa Pública (Cartago, San José, San Carlos) o por la plaza de Coordinación, según lo disponga con criterio técnico el Defensor Público Agrario Coordinador de la Unidad de Defensa Agraria.</w:t>
      </w:r>
    </w:p>
    <w:p w:rsidRPr="00AE1B2B" w:rsidR="009D3FB5" w:rsidP="00163B94" w:rsidRDefault="009D3FB5" w14:paraId="066D6788" w14:textId="77777777">
      <w:pPr>
        <w:spacing w:before="120" w:after="120"/>
        <w:ind w:left="851" w:right="851" w:firstLine="709"/>
        <w:jc w:val="both"/>
        <w:rPr>
          <w:rFonts w:ascii="Times New Roman" w:hAnsi="Times New Roman" w:cs="Times New Roman"/>
          <w:sz w:val="26"/>
          <w:szCs w:val="26"/>
        </w:rPr>
      </w:pPr>
      <w:bookmarkStart w:name="_Toc37670459" w:id="222"/>
      <w:bookmarkStart w:name="_Toc68688526" w:id="223"/>
      <w:r w:rsidRPr="00AE1B2B">
        <w:rPr>
          <w:rFonts w:ascii="Times New Roman" w:hAnsi="Times New Roman" w:cs="Times New Roman"/>
          <w:sz w:val="26"/>
          <w:szCs w:val="26"/>
        </w:rPr>
        <w:t>Juzgado Civil, Trabajo y Agrario de Turrialba</w:t>
      </w:r>
      <w:bookmarkEnd w:id="222"/>
      <w:bookmarkEnd w:id="223"/>
      <w:r w:rsidRPr="00AE1B2B">
        <w:rPr>
          <w:rFonts w:ascii="Times New Roman" w:hAnsi="Times New Roman" w:cs="Times New Roman"/>
          <w:sz w:val="26"/>
          <w:szCs w:val="26"/>
        </w:rPr>
        <w:t xml:space="preserve"> </w:t>
      </w:r>
    </w:p>
    <w:p w:rsidRPr="00AE1B2B" w:rsidR="009D3FB5" w:rsidP="00163B94" w:rsidRDefault="009D3FB5" w14:paraId="2E298C1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atención de las personas usuarias cuyos casos se tramitan en el Juzgado Agrario de Turrialba la realiza la plaza de Defensor Público Agrario o Defensora Pública Agraria destacada en la oficina regional de la Defensa Pública de Turrialba. En caso de que una persona usuaria contraparte requiera de los servicios de la Defensa Pública, aquélla es atendida por recargo por la plaza de Defensor Público Agrario o Defensora Pública Agraria destacada en la oficina regional de la Defensa Pública de Cartago.</w:t>
      </w:r>
    </w:p>
    <w:p w:rsidRPr="00AE1B2B" w:rsidR="009D3FB5" w:rsidP="00163B94" w:rsidRDefault="009D3FB5" w14:paraId="0AF05DB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caso de que sean más de dos personas usuarias (actora, demanda y terceras interesadas) las que intervengan en un proceso agrario tramitado en el Juzgado Agrario de Turrialba, se procede de la siguiente forma:</w:t>
      </w:r>
    </w:p>
    <w:p w:rsidRPr="00AE1B2B" w:rsidR="009D3FB5" w:rsidP="00163B94" w:rsidRDefault="009D3FB5" w14:paraId="42473B7F" w14:textId="77777777">
      <w:pPr>
        <w:pStyle w:val="Prrafodelista"/>
        <w:numPr>
          <w:ilvl w:val="0"/>
          <w:numId w:val="112"/>
        </w:numPr>
        <w:tabs>
          <w:tab w:val="left" w:pos="980"/>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Una de ellas es atendida por la plaza de Defensor Público Agrario o Defensora Pública Agraria destacada en la oficina de la Defensa Pública de Turrialba;</w:t>
      </w:r>
    </w:p>
    <w:p w:rsidRPr="00AE1B2B" w:rsidR="009D3FB5" w:rsidP="00163B94" w:rsidRDefault="009D3FB5" w14:paraId="41C25C11" w14:textId="77777777">
      <w:pPr>
        <w:pStyle w:val="Prrafodelista"/>
        <w:numPr>
          <w:ilvl w:val="0"/>
          <w:numId w:val="112"/>
        </w:numPr>
        <w:tabs>
          <w:tab w:val="left" w:pos="980"/>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Otra es atendida por la plaza de Defensor Público Agrario o Defensora Pública Agraria destacada en la oficina regional de la Defensa Pública de Cartago;</w:t>
      </w:r>
    </w:p>
    <w:p w:rsidRPr="00AE1B2B" w:rsidR="009D3FB5" w:rsidP="00163B94" w:rsidRDefault="009D3FB5" w14:paraId="5852C55A" w14:textId="77777777">
      <w:pPr>
        <w:pStyle w:val="Prrafodelista"/>
        <w:numPr>
          <w:ilvl w:val="0"/>
          <w:numId w:val="112"/>
        </w:numPr>
        <w:tabs>
          <w:tab w:val="left" w:pos="980"/>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Las otras personas usuarias son atendidas por alguna o algunas de las otras plazas de Defensor Público Agrario o Defensora Pública Agraria destacadas en otras oficinas regionales de la Defensa Pública (San José, Alajuela) o por la plaza de Coordinación, según lo disponga con criterio técnico el Defensor Público Agrario Coordinador de la Unidad de Defensa Agraria.</w:t>
      </w:r>
    </w:p>
    <w:p w:rsidRPr="00AE1B2B" w:rsidR="009D3FB5" w:rsidP="00163B94" w:rsidRDefault="009D3FB5" w14:paraId="7A69EAFA" w14:textId="77777777">
      <w:pPr>
        <w:spacing w:before="120" w:after="120"/>
        <w:ind w:left="851" w:right="851" w:firstLine="709"/>
        <w:jc w:val="both"/>
        <w:rPr>
          <w:rFonts w:ascii="Times New Roman" w:hAnsi="Times New Roman" w:cs="Times New Roman"/>
          <w:sz w:val="26"/>
          <w:szCs w:val="26"/>
        </w:rPr>
      </w:pPr>
      <w:bookmarkStart w:name="_Toc37670460" w:id="224"/>
      <w:bookmarkStart w:name="_Toc68688527" w:id="225"/>
      <w:r w:rsidRPr="00AE1B2B">
        <w:rPr>
          <w:rFonts w:ascii="Times New Roman" w:hAnsi="Times New Roman" w:cs="Times New Roman"/>
          <w:sz w:val="26"/>
          <w:szCs w:val="26"/>
        </w:rPr>
        <w:t>Juzgado Agrario de Cartago</w:t>
      </w:r>
      <w:bookmarkEnd w:id="224"/>
      <w:bookmarkEnd w:id="225"/>
    </w:p>
    <w:p w:rsidRPr="00AE1B2B" w:rsidR="009D3FB5" w:rsidP="00163B94" w:rsidRDefault="009D3FB5" w14:paraId="4C687E7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atención de las personas usuarias cuyos casos se tramitan en el Juzgado Agrario de Cartago la realiza la plaza de Defensor Público Agrario o Defensora Pública Agraria destacada en la oficina regional de la Defensa Pública de Cartago. En caso de que una persona usuaria contraparte requiera de los servicios de la Defensa Pública, aquélla es atendida por recargo por la plaza de Defensor Público Agrario o Defensora Pública Agraria destacada en la oficina regional de la Defensa Pública de Turrialba.</w:t>
      </w:r>
    </w:p>
    <w:p w:rsidRPr="00AE1B2B" w:rsidR="009D3FB5" w:rsidP="00163B94" w:rsidRDefault="009D3FB5" w14:paraId="5FC9836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En caso de que sean más de dos personas usuarias (actora, demanda y terceras interesadas) las que intervengan en un proceso agrario tramitado en el Juzgado Agrario de Cartago, se procede de la siguiente forma:</w:t>
      </w:r>
    </w:p>
    <w:p w:rsidRPr="00AE1B2B" w:rsidR="009D3FB5" w:rsidP="00163B94" w:rsidRDefault="009D3FB5" w14:paraId="50C3329A" w14:textId="77777777">
      <w:pPr>
        <w:pStyle w:val="Prrafodelista"/>
        <w:numPr>
          <w:ilvl w:val="0"/>
          <w:numId w:val="113"/>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Una de ellas es atendida por la plaza de Defensor Público Agrario o Defensora Pública Agraria destacada en la oficina de la Defensa Pública de Cartago;</w:t>
      </w:r>
    </w:p>
    <w:p w:rsidRPr="00AE1B2B" w:rsidR="009D3FB5" w:rsidP="00163B94" w:rsidRDefault="009D3FB5" w14:paraId="6B792784" w14:textId="77777777">
      <w:pPr>
        <w:pStyle w:val="Prrafodelista"/>
        <w:numPr>
          <w:ilvl w:val="0"/>
          <w:numId w:val="113"/>
        </w:numPr>
        <w:tabs>
          <w:tab w:val="left" w:pos="980"/>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Otra es atendida por la plaza de Defensor Público Agrario o Defensora Pública Agraria destacada en la oficina regional de la Defensa Pública de Turrialba;</w:t>
      </w:r>
    </w:p>
    <w:p w:rsidRPr="00AE1B2B" w:rsidR="009D3FB5" w:rsidP="00163B94" w:rsidRDefault="009D3FB5" w14:paraId="21EDF089" w14:textId="77777777">
      <w:pPr>
        <w:pStyle w:val="Prrafodelista"/>
        <w:numPr>
          <w:ilvl w:val="0"/>
          <w:numId w:val="113"/>
        </w:numPr>
        <w:tabs>
          <w:tab w:val="left" w:pos="980"/>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Las otras personas usuarias son atendidas por alguna o algunas de las otras plazas de Defensor Público Agrario o Defensora Pública Agraria destacadas en otras oficinas regionales de la Defensa Pública (San José, Alajuela) o por la plaza de Coordinación, según lo disponga con criterio técnico el Defensor Público Agrario Coordinador de la Unidad de Defensa Agraria.</w:t>
      </w:r>
    </w:p>
    <w:p w:rsidRPr="00AE1B2B" w:rsidR="009D3FB5" w:rsidP="00163B94" w:rsidRDefault="009D3FB5" w14:paraId="40317BBB" w14:textId="77777777">
      <w:pPr>
        <w:spacing w:before="120" w:after="120"/>
        <w:ind w:left="851" w:right="851" w:firstLine="709"/>
        <w:jc w:val="both"/>
        <w:rPr>
          <w:rFonts w:ascii="Times New Roman" w:hAnsi="Times New Roman" w:cs="Times New Roman"/>
          <w:sz w:val="26"/>
          <w:szCs w:val="26"/>
        </w:rPr>
      </w:pPr>
      <w:bookmarkStart w:name="_Toc37670461" w:id="226"/>
      <w:bookmarkStart w:name="_Toc68688528" w:id="227"/>
      <w:r w:rsidRPr="00AE1B2B">
        <w:rPr>
          <w:rFonts w:ascii="Times New Roman" w:hAnsi="Times New Roman" w:cs="Times New Roman"/>
          <w:sz w:val="26"/>
          <w:szCs w:val="26"/>
        </w:rPr>
        <w:t>Juzgado Agrario del I Circuito Judicial de Alajuela</w:t>
      </w:r>
      <w:bookmarkEnd w:id="226"/>
      <w:bookmarkEnd w:id="227"/>
    </w:p>
    <w:p w:rsidRPr="00AE1B2B" w:rsidR="009D3FB5" w:rsidP="00163B94" w:rsidRDefault="009D3FB5" w14:paraId="4564851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atención de las personas usuarias cuyos casos se tramitan en el Juzgado Agrario de Alajuela la realiza la plaza de Defensor Público Agrario o Defensora Pública Agraria destacada en la oficina regional de la Defensa Pública de Alajuela. En caso de que una persona usuaria contraparte requiera de los servicios de la Defensa Pública, aquélla es atendida por recargo por la plaza de Defensor Público Agrario o Defensora Pública Agraria destacada en la oficina regional de la Defensa Pública de San José.</w:t>
      </w:r>
    </w:p>
    <w:p w:rsidRPr="00AE1B2B" w:rsidR="009D3FB5" w:rsidP="00163B94" w:rsidRDefault="009D3FB5" w14:paraId="3C53444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caso de que sean más de dos personas usuarias (actora, demanda y terceras interesadas) las que intervengan en un proceso agrario tramitado en el Juzgado Agrario de Alajuela, se procede de la siguiente forma:</w:t>
      </w:r>
    </w:p>
    <w:p w:rsidRPr="00AE1B2B" w:rsidR="009D3FB5" w:rsidP="00163B94" w:rsidRDefault="009D3FB5" w14:paraId="616F7870" w14:textId="77777777">
      <w:pPr>
        <w:pStyle w:val="Prrafodelista"/>
        <w:numPr>
          <w:ilvl w:val="0"/>
          <w:numId w:val="114"/>
        </w:numPr>
        <w:tabs>
          <w:tab w:val="left" w:pos="980"/>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Una de ellas es atendida por la plaza de Defensor Público Agrario o Defensora Pública Agraria destacada en la oficina de la Defensa Pública de Alajuela;</w:t>
      </w:r>
    </w:p>
    <w:p w:rsidRPr="00AE1B2B" w:rsidR="009D3FB5" w:rsidP="00163B94" w:rsidRDefault="009D3FB5" w14:paraId="0C6C4B50" w14:textId="77777777">
      <w:pPr>
        <w:pStyle w:val="Prrafodelista"/>
        <w:numPr>
          <w:ilvl w:val="0"/>
          <w:numId w:val="114"/>
        </w:numPr>
        <w:tabs>
          <w:tab w:val="left" w:pos="980"/>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Otra es atendida por la plaza de Defensor Público Agrario o Defensora Pública Agraria destacada en la oficina regional de la Defensa Pública de San José;</w:t>
      </w:r>
    </w:p>
    <w:p w:rsidRPr="00AE1B2B" w:rsidR="009D3FB5" w:rsidP="00163B94" w:rsidRDefault="009D3FB5" w14:paraId="319201BF" w14:textId="77777777">
      <w:pPr>
        <w:pStyle w:val="Prrafodelista"/>
        <w:numPr>
          <w:ilvl w:val="0"/>
          <w:numId w:val="114"/>
        </w:numPr>
        <w:tabs>
          <w:tab w:val="left" w:pos="980"/>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Las otras personas usuarias son atendidas por alguna o algunas de las otras plazas de Defensor Público Agrario o Defensora Pública Agraria destacadas en otras oficinas regionales de la Defensa Pública (Cartago, San Ramón) o por la plaza de Coordinación, según </w:t>
      </w:r>
      <w:r w:rsidRPr="00AE1B2B">
        <w:rPr>
          <w:rFonts w:ascii="Times New Roman" w:hAnsi="Times New Roman" w:cs="Times New Roman"/>
          <w:sz w:val="26"/>
          <w:szCs w:val="26"/>
        </w:rPr>
        <w:lastRenderedPageBreak/>
        <w:t>lo disponga con criterio técnico el Defensor Público Agrario Coordinador de la Unidad de Defensa Agraria.</w:t>
      </w:r>
    </w:p>
    <w:p w:rsidRPr="00AE1B2B" w:rsidR="009D3FB5" w:rsidP="00163B94" w:rsidRDefault="009D3FB5" w14:paraId="4959D361" w14:textId="77777777">
      <w:pPr>
        <w:spacing w:before="120" w:after="120"/>
        <w:ind w:left="851" w:right="851" w:firstLine="709"/>
        <w:jc w:val="both"/>
        <w:rPr>
          <w:rFonts w:ascii="Times New Roman" w:hAnsi="Times New Roman" w:cs="Times New Roman"/>
          <w:sz w:val="26"/>
          <w:szCs w:val="26"/>
        </w:rPr>
      </w:pPr>
      <w:bookmarkStart w:name="_Toc37670462" w:id="228"/>
      <w:bookmarkStart w:name="_Toc68688529" w:id="229"/>
      <w:r w:rsidRPr="00AE1B2B">
        <w:rPr>
          <w:rFonts w:ascii="Times New Roman" w:hAnsi="Times New Roman" w:cs="Times New Roman"/>
          <w:sz w:val="26"/>
          <w:szCs w:val="26"/>
        </w:rPr>
        <w:t>Juzgado Agrario del II Circuito Judicial de San José</w:t>
      </w:r>
      <w:bookmarkEnd w:id="228"/>
      <w:bookmarkEnd w:id="229"/>
      <w:r w:rsidRPr="00AE1B2B">
        <w:rPr>
          <w:rFonts w:ascii="Times New Roman" w:hAnsi="Times New Roman" w:cs="Times New Roman"/>
          <w:sz w:val="26"/>
          <w:szCs w:val="26"/>
        </w:rPr>
        <w:t xml:space="preserve"> </w:t>
      </w:r>
    </w:p>
    <w:p w:rsidRPr="00AE1B2B" w:rsidR="009D3FB5" w:rsidP="00163B94" w:rsidRDefault="009D3FB5" w14:paraId="160F05A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atención de las personas usuarias cuyos casos se tramitan en el Juzgado Agrario del Segundo Circuito Judicial de San José la realiza la plaza de Defensor Público Agrario o Defensora Pública Agraria destacada en la oficina regional de la Defensa Pública del Primer Circuito Judicial de San José. En caso de que una persona usuaria contraparte requiera de los servicios de la Defensa Pública, aquélla es atendida por recargo por la plaza de Defensor Público Agrario o Defensora Pública Agraria destacada en la oficina regional de la Defensa Pública de Alajuela. </w:t>
      </w:r>
    </w:p>
    <w:p w:rsidRPr="00AE1B2B" w:rsidR="009D3FB5" w:rsidP="00163B94" w:rsidRDefault="009D3FB5" w14:paraId="5958DA9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caso de que sean más de dos personas usuarias (actora, demanda y terceras interesadas) las que intervengan en un proceso agrario tramitado en el Juzgado Agrario del Segundo Circuito Judicial de San José, se procede de la siguiente forma:</w:t>
      </w:r>
    </w:p>
    <w:p w:rsidRPr="00AE1B2B" w:rsidR="009D3FB5" w:rsidP="00163B94" w:rsidRDefault="009D3FB5" w14:paraId="40C5D307" w14:textId="77777777">
      <w:pPr>
        <w:pStyle w:val="Prrafodelista"/>
        <w:numPr>
          <w:ilvl w:val="0"/>
          <w:numId w:val="116"/>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Una de ellas es atendida por la plaza de Defensor Público Agrario o Defensora Pública Agraria destacada en la oficina de la Defensa Pública del Primer Circuito Judicial de San José.</w:t>
      </w:r>
    </w:p>
    <w:p w:rsidRPr="00AE1B2B" w:rsidR="009D3FB5" w:rsidP="00163B94" w:rsidRDefault="009D3FB5" w14:paraId="003D9208" w14:textId="77777777">
      <w:pPr>
        <w:pStyle w:val="Prrafodelista"/>
        <w:numPr>
          <w:ilvl w:val="0"/>
          <w:numId w:val="116"/>
        </w:numPr>
        <w:tabs>
          <w:tab w:val="left" w:pos="980"/>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Otra es atendida por la plaza de Defensor Público Agrario o Defensora Pública Agraria destacada en la oficina regional de la Defensa Pública de Alajuela;</w:t>
      </w:r>
    </w:p>
    <w:p w:rsidRPr="00AE1B2B" w:rsidR="009D3FB5" w:rsidP="00163B94" w:rsidRDefault="009D3FB5" w14:paraId="5517F241" w14:textId="77777777">
      <w:pPr>
        <w:pStyle w:val="Prrafodelista"/>
        <w:numPr>
          <w:ilvl w:val="0"/>
          <w:numId w:val="116"/>
        </w:numPr>
        <w:tabs>
          <w:tab w:val="left" w:pos="980"/>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Las otras personas usuarias son atendidas por alguna o algunas de las otras plazas de Defensor Público Agrario o Defensora Pública Agraria destacadas en otras oficinas regionales de la Defensa Pública (Cartago, San Ramón) o por la plaza de Coordinación, según lo disponga con criterio técnico el Defensor Público Agrario Coordinador de la Unidad de Defensa Agraria.</w:t>
      </w:r>
    </w:p>
    <w:p w:rsidRPr="00AE1B2B" w:rsidR="009D3FB5" w:rsidP="00163B94" w:rsidRDefault="009D3FB5" w14:paraId="12B58E0B" w14:textId="77777777">
      <w:pPr>
        <w:spacing w:before="120" w:after="120"/>
        <w:ind w:left="851" w:right="851" w:firstLine="709"/>
        <w:jc w:val="both"/>
        <w:rPr>
          <w:rFonts w:ascii="Times New Roman" w:hAnsi="Times New Roman" w:cs="Times New Roman"/>
          <w:sz w:val="26"/>
          <w:szCs w:val="26"/>
        </w:rPr>
      </w:pPr>
      <w:bookmarkStart w:name="_Toc37670463" w:id="230"/>
      <w:bookmarkStart w:name="_Toc68688530" w:id="231"/>
      <w:r w:rsidRPr="00AE1B2B">
        <w:rPr>
          <w:rFonts w:ascii="Times New Roman" w:hAnsi="Times New Roman" w:cs="Times New Roman"/>
          <w:sz w:val="26"/>
          <w:szCs w:val="26"/>
        </w:rPr>
        <w:t>Juzgado Agrario del I Circuito Judicial de la Zona Sur (Pérez Zeledón)</w:t>
      </w:r>
      <w:bookmarkEnd w:id="230"/>
      <w:bookmarkEnd w:id="231"/>
      <w:r w:rsidRPr="00AE1B2B">
        <w:rPr>
          <w:rFonts w:ascii="Times New Roman" w:hAnsi="Times New Roman" w:cs="Times New Roman"/>
          <w:sz w:val="26"/>
          <w:szCs w:val="26"/>
        </w:rPr>
        <w:t xml:space="preserve"> </w:t>
      </w:r>
    </w:p>
    <w:p w:rsidRPr="00AE1B2B" w:rsidR="009D3FB5" w:rsidP="00163B94" w:rsidRDefault="009D3FB5" w14:paraId="5A17097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Respecto de la atención de las personas usuarias cuyos casos se tramitan en el Juzgado Agrario de Pérez Zeledón. La atención de las personas usuarias cuyos casos se tramitan en el Juzgado Agrario de Pérez Zeledón la realiza la plaza de Defensor Público Agrario o Defensora Pública Agraria destacada en la oficina regional de la Defensa Pública de Pérez Zeledón. En caso de que una persona usuaria contraparte requiera de los servicios de la Defensa Pública, aquélla es atendida por recargo por la plaza de Defensor Público Agrario o Defensora Pública Agraria destacada en la oficina regional de la Defensa Pública de Cartago.</w:t>
      </w:r>
    </w:p>
    <w:p w:rsidRPr="00AE1B2B" w:rsidR="009D3FB5" w:rsidP="00163B94" w:rsidRDefault="009D3FB5" w14:paraId="40D339C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En caso de que sean más de dos personas usuarias (actora, demanda y terceras interesadas) las que intervengan en un proceso agrario tramitado en el Juzgado Agrario de Pérez Zeledón, se procede de la siguiente forma:</w:t>
      </w:r>
    </w:p>
    <w:p w:rsidRPr="00AE1B2B" w:rsidR="009D3FB5" w:rsidP="00163B94" w:rsidRDefault="009D3FB5" w14:paraId="025B6FF1" w14:textId="77777777">
      <w:pPr>
        <w:pStyle w:val="Prrafodelista"/>
        <w:numPr>
          <w:ilvl w:val="0"/>
          <w:numId w:val="117"/>
        </w:numPr>
        <w:tabs>
          <w:tab w:val="left" w:pos="980"/>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Una de ellas es atendida por la plaza de Defensor Público Agrario o Defensora Pública Agraria destacada en la oficina de la Defensa Pública de Pérez Zeledón;</w:t>
      </w:r>
    </w:p>
    <w:p w:rsidRPr="00AE1B2B" w:rsidR="009D3FB5" w:rsidP="00163B94" w:rsidRDefault="009D3FB5" w14:paraId="08E22754" w14:textId="77777777">
      <w:pPr>
        <w:pStyle w:val="Prrafodelista"/>
        <w:numPr>
          <w:ilvl w:val="0"/>
          <w:numId w:val="117"/>
        </w:numPr>
        <w:tabs>
          <w:tab w:val="left" w:pos="980"/>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Otra es atendida por la plaza de Defensor Público Agrario o Defensora Pública Agraria destacada en la oficina regional de la Defensa Pública de Cartago;</w:t>
      </w:r>
    </w:p>
    <w:p w:rsidRPr="00AE1B2B" w:rsidR="009D3FB5" w:rsidP="00163B94" w:rsidRDefault="009D3FB5" w14:paraId="670B6C86" w14:textId="77777777">
      <w:pPr>
        <w:pStyle w:val="Prrafodelista"/>
        <w:numPr>
          <w:ilvl w:val="0"/>
          <w:numId w:val="117"/>
        </w:numPr>
        <w:tabs>
          <w:tab w:val="left" w:pos="980"/>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Las otras personas usuarias son atendidas por alguna o algunas de las otras plazas de Defensor Público Agrario o Defensora Pública Agraria destacadas en otras oficinas regionales de la Defensa Pública (Buenos Aires, Corredores) o por la plaza de Coordinación, según lo disponga con criterio técnico el Defensor Público Agrario Coordinador de la Unidad de Defensa Agraria.</w:t>
      </w:r>
    </w:p>
    <w:p w:rsidRPr="00AE1B2B" w:rsidR="009D3FB5" w:rsidP="00163B94" w:rsidRDefault="009D3FB5" w14:paraId="3C4F4B8E" w14:textId="77777777">
      <w:pPr>
        <w:spacing w:before="120" w:after="120"/>
        <w:ind w:left="851" w:right="851" w:firstLine="709"/>
        <w:jc w:val="both"/>
        <w:rPr>
          <w:rFonts w:ascii="Times New Roman" w:hAnsi="Times New Roman" w:cs="Times New Roman"/>
          <w:sz w:val="26"/>
          <w:szCs w:val="26"/>
        </w:rPr>
      </w:pPr>
      <w:bookmarkStart w:name="_Toc37670464" w:id="232"/>
      <w:bookmarkStart w:name="_Toc68688531" w:id="233"/>
      <w:r w:rsidRPr="00AE1B2B">
        <w:rPr>
          <w:rFonts w:ascii="Times New Roman" w:hAnsi="Times New Roman" w:cs="Times New Roman"/>
          <w:sz w:val="26"/>
          <w:szCs w:val="26"/>
        </w:rPr>
        <w:t>Juzgado Agrario del II Circuito Judicial de la Zona Sur (Corredores)</w:t>
      </w:r>
      <w:bookmarkEnd w:id="232"/>
      <w:bookmarkEnd w:id="233"/>
    </w:p>
    <w:p w:rsidRPr="00AE1B2B" w:rsidR="009D3FB5" w:rsidP="00163B94" w:rsidRDefault="009D3FB5" w14:paraId="49124CF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Respecto de la atención de las personas usuarias cuyos casos se tramitan en el Juzgado Agrario de Corredores. La atención de las personas usuarias cuyos casos se tramitan en el Juzgado Agrario de Corredores la realiza la plaza de Defensor Público Agrario o Defensora Pública Agraria destacada en la oficina regional de la Defensa Pública de Corredores. En caso de que una persona usuaria contraparte requiera de los servicios de la Defensa Pública, aquélla es atendida por recargo por la plaza de Defensor Público Agrario o Defensora Pública Agraria destacada en la oficina regional de la Defensa Pública de Buenos Aires o Pérez Zeledón, según lo determine con criterio técnico el Defensor Público Agrario Coordinador de la Unidad de Defensa Agraria.</w:t>
      </w:r>
    </w:p>
    <w:p w:rsidRPr="00AE1B2B" w:rsidR="009D3FB5" w:rsidP="00163B94" w:rsidRDefault="009D3FB5" w14:paraId="5E1EA8E5" w14:textId="77777777">
      <w:pPr>
        <w:pStyle w:val="Prrafodelista"/>
        <w:numPr>
          <w:ilvl w:val="0"/>
          <w:numId w:val="118"/>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En caso de que sean más de dos personas usuarias (actora, demanda y terceras interesadas) las que intervengan en un proceso agrario tramitado en el Juzgado Agrario de Corredores, se procede de la siguiente forma:</w:t>
      </w:r>
    </w:p>
    <w:p w:rsidRPr="00AE1B2B" w:rsidR="009D3FB5" w:rsidP="00163B94" w:rsidRDefault="009D3FB5" w14:paraId="59422FE2" w14:textId="77777777">
      <w:pPr>
        <w:pStyle w:val="Prrafodelista"/>
        <w:numPr>
          <w:ilvl w:val="0"/>
          <w:numId w:val="118"/>
        </w:numPr>
        <w:tabs>
          <w:tab w:val="left" w:pos="980"/>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Una de ellas es atendida por la plaza de Defensor Público Agrario o Defensora Pública Agraria destacada en la oficina de la Defensa Pública de Corredores;</w:t>
      </w:r>
    </w:p>
    <w:p w:rsidRPr="00AE1B2B" w:rsidR="009D3FB5" w:rsidP="00163B94" w:rsidRDefault="009D3FB5" w14:paraId="5B33D102" w14:textId="77777777">
      <w:pPr>
        <w:pStyle w:val="Prrafodelista"/>
        <w:numPr>
          <w:ilvl w:val="0"/>
          <w:numId w:val="118"/>
        </w:numPr>
        <w:tabs>
          <w:tab w:val="left" w:pos="980"/>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Otra es atendida por la plaza de Defensor Público Agrario o Defensora Pública Agraria destacada en la oficina regional de la Defensa Pública de Buenos Aires;</w:t>
      </w:r>
    </w:p>
    <w:p w:rsidRPr="00AE1B2B" w:rsidR="009D3FB5" w:rsidP="00163B94" w:rsidRDefault="009D3FB5" w14:paraId="6DE626BF" w14:textId="77777777">
      <w:pPr>
        <w:pStyle w:val="Prrafodelista"/>
        <w:numPr>
          <w:ilvl w:val="0"/>
          <w:numId w:val="118"/>
        </w:numPr>
        <w:tabs>
          <w:tab w:val="left" w:pos="980"/>
        </w:tabs>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lastRenderedPageBreak/>
        <w:t>Las otras personas usuarias son atendidas por alguna o algunas de las otras plazas de Defensor Público Agrario o Defensora Pública Agraria destacadas en otras oficinas regionales de la Defensa Pública (Pérez Zeledón, Cartago), según lo disponga con criterio técnico el Defensor Público Agrario Coordinador de la Unidad de Defensa Agraria.</w:t>
      </w:r>
    </w:p>
    <w:p w:rsidRPr="00AE1B2B" w:rsidR="009D3FB5" w:rsidP="00163B94" w:rsidRDefault="009D3FB5" w14:paraId="3169523E" w14:textId="77777777">
      <w:pPr>
        <w:tabs>
          <w:tab w:val="left" w:pos="980"/>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caso de que una de las personas usuarias sea indígena, ésta será atendida por la plaza de Defensor Público Agrario o Defensora Pública Agraria de Buenos Aires.</w:t>
      </w:r>
    </w:p>
    <w:p w:rsidRPr="00AE1B2B" w:rsidR="009D3FB5" w:rsidP="00163B94" w:rsidRDefault="009D3FB5" w14:paraId="3084DAE2" w14:textId="77777777">
      <w:pPr>
        <w:spacing w:before="120" w:after="120"/>
        <w:ind w:left="851" w:right="851" w:firstLine="709"/>
        <w:jc w:val="both"/>
        <w:rPr>
          <w:rFonts w:ascii="Times New Roman" w:hAnsi="Times New Roman" w:cs="Times New Roman"/>
          <w:sz w:val="26"/>
          <w:szCs w:val="26"/>
        </w:rPr>
      </w:pPr>
      <w:bookmarkStart w:name="_Toc37670465" w:id="234"/>
      <w:bookmarkStart w:name="_Toc68688532" w:id="235"/>
      <w:r w:rsidRPr="00AE1B2B">
        <w:rPr>
          <w:rFonts w:ascii="Times New Roman" w:hAnsi="Times New Roman" w:cs="Times New Roman"/>
          <w:sz w:val="26"/>
          <w:szCs w:val="26"/>
        </w:rPr>
        <w:t xml:space="preserve">Juzgado Civil, Trabajo, Familia, Agrario, Penal Juvenil, Contra la Violencia Doméstica y Protección Cautelar Buenos Aires </w:t>
      </w:r>
      <w:bookmarkEnd w:id="234"/>
      <w:bookmarkEnd w:id="235"/>
    </w:p>
    <w:p w:rsidRPr="00AE1B2B" w:rsidR="009D3FB5" w:rsidP="00163B94" w:rsidRDefault="009D3FB5" w14:paraId="73CDD91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Respecto de la atención de las personas usuarias cuyos casos se tramitan en el Juzgado Civil, Trabajo, Familia, Agrario, Penal Juvenil, Contra la Violencia Doméstica y Protección Cautelar Buenos Aires . La atención de las personas usuarias cuyos casos se tramitan en el Juzgado Agrario de Buenos Aires la realiza la plaza de Defensor Público Agrario-Indígena o Defensora Pública Agraria-Indígena destacada en la oficina regional de la Defensa Pública de Buenos Aires. En caso de que una persona usuaria contraparte requiera de los servicios de la Defensa Pública, aquélla es atendida por recargo por la plaza de Defensor Público Agrario o Defensora Pública Agraria destacada en la oficina regional de la Defensa Pública de Pérez Zeledón o Corredores, según lo determine con criterio técnico el Defensor Público Agrario Coordinador de la Unidad de Defensa Agraria.</w:t>
      </w:r>
    </w:p>
    <w:p w:rsidRPr="00AE1B2B" w:rsidR="009D3FB5" w:rsidP="00163B94" w:rsidRDefault="009D3FB5" w14:paraId="3B0DD15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caso de que sean más de dos personas usuarias (actora, demanda y terceras interesadas) las que intervengan en un proceso agrario tramitado en el Juzgado Civil, Trabajo, Familia, Agrario, Penal Juvenil, Contra la Violencia Doméstica y Protección Cautelar Buenos Aires se procede de la siguiente forma:</w:t>
      </w:r>
    </w:p>
    <w:p w:rsidRPr="00AE1B2B" w:rsidR="009D3FB5" w:rsidP="00163B94" w:rsidRDefault="009D3FB5" w14:paraId="1C2416C6" w14:textId="77777777">
      <w:pPr>
        <w:pStyle w:val="Prrafodelista"/>
        <w:numPr>
          <w:ilvl w:val="0"/>
          <w:numId w:val="11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Una de ellas es atendida por la plaza de Defensor Público Agrario o Defensora Pública Agraria-Indígena destacada en la oficina de la Defensa Pública de Buenos Aires;</w:t>
      </w:r>
    </w:p>
    <w:p w:rsidRPr="00AE1B2B" w:rsidR="009D3FB5" w:rsidP="00163B94" w:rsidRDefault="009D3FB5" w14:paraId="2F8A778F" w14:textId="77777777">
      <w:pPr>
        <w:pStyle w:val="Prrafodelista"/>
        <w:numPr>
          <w:ilvl w:val="0"/>
          <w:numId w:val="11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Otra es atendida por la plaza de Defensor Público Agrario o Defensora Pública Agraria destacada en la oficina regional de la Defensa Pública de Pérez Zeledón.</w:t>
      </w:r>
    </w:p>
    <w:p w:rsidRPr="00AE1B2B" w:rsidR="009D3FB5" w:rsidP="00163B94" w:rsidRDefault="009D3FB5" w14:paraId="6E196351" w14:textId="77777777">
      <w:pPr>
        <w:pStyle w:val="Prrafodelista"/>
        <w:numPr>
          <w:ilvl w:val="0"/>
          <w:numId w:val="11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Las otras personas usuarias son atendidas por alguna o algunas de las otras plazas de Defensor Público Agrario o Defensora Pública Agraria destacadas en otras oficinas regionales de la Defensa Pública (Pérez Zeledón, Cartago), según lo disponga con criterio </w:t>
      </w:r>
      <w:r w:rsidRPr="00AE1B2B">
        <w:rPr>
          <w:rFonts w:ascii="Times New Roman" w:hAnsi="Times New Roman" w:cs="Times New Roman"/>
          <w:sz w:val="26"/>
          <w:szCs w:val="26"/>
        </w:rPr>
        <w:lastRenderedPageBreak/>
        <w:t>técnico el Defensor Público Agrario Coordinador de la Unidad de Defensa Agraria.</w:t>
      </w:r>
    </w:p>
    <w:p w:rsidRPr="00AE1B2B" w:rsidR="009D3FB5" w:rsidP="00163B94" w:rsidRDefault="009D3FB5" w14:paraId="5F04075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caso de que una de las personas usuarias sea indígena, ésta es atendida siempre por la plaza de Defensor Público Agrario-Indígena o Defensora Pública Agraria-Indígena de Buenos Aires.</w:t>
      </w:r>
    </w:p>
    <w:p w:rsidRPr="00AE1B2B" w:rsidR="009D3FB5" w:rsidP="00163B94" w:rsidRDefault="009D3FB5" w14:paraId="389BA58C" w14:textId="77777777">
      <w:pPr>
        <w:pStyle w:val="Prrafodelista"/>
        <w:numPr>
          <w:ilvl w:val="0"/>
          <w:numId w:val="119"/>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Nótese que la atención de personas usuarias indígenas en los casos que se tramitan en vía judicial Agraria es siempre la prioridad de la plaza de Defensor Público Agrario-Indígena o Defensora Pública Agraria-Indígena de Buenos Aires.</w:t>
      </w:r>
    </w:p>
    <w:p w:rsidRPr="00AE1B2B" w:rsidR="009D3FB5" w:rsidP="00163B94" w:rsidRDefault="009D3FB5" w14:paraId="462AC42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1B2D86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5253DB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0BD5BD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B79102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E6DD28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6336D8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DFD82A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Lo anterior descripción se resume en el siguiente cuadro: </w:t>
      </w:r>
    </w:p>
    <w:p w:rsidRPr="00AE1B2B" w:rsidR="009D3FB5" w:rsidP="00163B94" w:rsidRDefault="009D3FB5" w14:paraId="7189F38B"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4</w:t>
      </w:r>
      <w:r w:rsidRPr="00AE1B2B">
        <w:rPr>
          <w:rFonts w:ascii="Times New Roman" w:hAnsi="Times New Roman"/>
          <w:iCs/>
          <w:sz w:val="26"/>
          <w:szCs w:val="26"/>
        </w:rPr>
        <w:fldChar w:fldCharType="end"/>
      </w:r>
    </w:p>
    <w:p w:rsidRPr="00AE1B2B" w:rsidR="009D3FB5" w:rsidP="00163B94" w:rsidRDefault="009D3FB5" w14:paraId="54510226"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Atención de las personas usuarias por la Defensa Pública, de los casos tramitados en cada Juzgado Agrario</w:t>
      </w:r>
    </w:p>
    <w:tbl>
      <w:tblPr>
        <w:tblW w:w="11126" w:type="dxa"/>
        <w:tblInd w:w="-1157" w:type="dxa"/>
        <w:tblCellMar>
          <w:left w:w="70" w:type="dxa"/>
          <w:right w:w="70" w:type="dxa"/>
        </w:tblCellMar>
        <w:tblLook w:val="04A0" w:firstRow="1" w:lastRow="0" w:firstColumn="1" w:lastColumn="0" w:noHBand="0" w:noVBand="1"/>
      </w:tblPr>
      <w:tblGrid>
        <w:gridCol w:w="3610"/>
        <w:gridCol w:w="1536"/>
        <w:gridCol w:w="2947"/>
        <w:gridCol w:w="3033"/>
      </w:tblGrid>
      <w:tr w:rsidRPr="00AE1B2B" w:rsidR="00AE1B2B" w:rsidTr="009D3FB5" w14:paraId="607E9D5C" w14:textId="77777777">
        <w:trPr>
          <w:trHeight w:val="19"/>
          <w:tblHeader/>
        </w:trPr>
        <w:tc>
          <w:tcPr>
            <w:tcW w:w="3610" w:type="dxa"/>
            <w:tcBorders>
              <w:top w:val="double" w:color="1F497D" w:sz="6" w:space="0"/>
              <w:left w:val="double" w:color="1F497D" w:sz="6" w:space="0"/>
              <w:bottom w:val="double" w:color="1F497D" w:sz="6" w:space="0"/>
              <w:right w:val="double" w:color="1F497D" w:sz="6" w:space="0"/>
            </w:tcBorders>
            <w:shd w:val="clear" w:color="000000" w:fill="0673A5"/>
            <w:vAlign w:val="center"/>
            <w:hideMark/>
          </w:tcPr>
          <w:p w:rsidRPr="00AE1B2B" w:rsidR="009D3FB5" w:rsidP="00163B94" w:rsidRDefault="009D3FB5" w14:paraId="42CC3FF3" w14:textId="77777777">
            <w:pPr>
              <w:spacing w:before="120" w:after="120"/>
              <w:jc w:val="center"/>
              <w:rPr>
                <w:rFonts w:ascii="Times New Roman" w:hAnsi="Times New Roman" w:cs="Times New Roman"/>
                <w:b/>
                <w:bCs/>
                <w:sz w:val="18"/>
                <w:szCs w:val="18"/>
                <w:lang w:eastAsia="es-CR"/>
              </w:rPr>
            </w:pPr>
            <w:r w:rsidRPr="00AE1B2B">
              <w:rPr>
                <w:rFonts w:ascii="Times New Roman" w:hAnsi="Times New Roman" w:cs="Times New Roman"/>
                <w:b/>
                <w:bCs/>
                <w:sz w:val="18"/>
                <w:szCs w:val="18"/>
                <w:lang w:eastAsia="es-CR"/>
              </w:rPr>
              <w:lastRenderedPageBreak/>
              <w:t>Despacho que tramita la causa</w:t>
            </w:r>
          </w:p>
        </w:tc>
        <w:tc>
          <w:tcPr>
            <w:tcW w:w="0" w:type="auto"/>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30BE2671" w14:textId="77777777">
            <w:pPr>
              <w:spacing w:before="120" w:after="120"/>
              <w:jc w:val="center"/>
              <w:rPr>
                <w:rFonts w:ascii="Times New Roman" w:hAnsi="Times New Roman" w:cs="Times New Roman"/>
                <w:b/>
                <w:bCs/>
                <w:sz w:val="18"/>
                <w:szCs w:val="18"/>
                <w:lang w:eastAsia="es-CR"/>
              </w:rPr>
            </w:pPr>
            <w:r w:rsidRPr="00AE1B2B">
              <w:rPr>
                <w:rFonts w:ascii="Times New Roman" w:hAnsi="Times New Roman" w:cs="Times New Roman"/>
                <w:b/>
                <w:bCs/>
                <w:sz w:val="18"/>
                <w:szCs w:val="18"/>
                <w:lang w:eastAsia="es-CR"/>
              </w:rPr>
              <w:t>Plaza de Defensor que atiende</w:t>
            </w:r>
          </w:p>
        </w:tc>
        <w:tc>
          <w:tcPr>
            <w:tcW w:w="0" w:type="auto"/>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09D59CBD" w14:textId="77777777">
            <w:pPr>
              <w:spacing w:before="120" w:after="120"/>
              <w:jc w:val="center"/>
              <w:rPr>
                <w:rFonts w:ascii="Times New Roman" w:hAnsi="Times New Roman" w:cs="Times New Roman"/>
                <w:b/>
                <w:bCs/>
                <w:sz w:val="18"/>
                <w:szCs w:val="18"/>
                <w:lang w:eastAsia="es-CR"/>
              </w:rPr>
            </w:pPr>
            <w:r w:rsidRPr="00AE1B2B">
              <w:rPr>
                <w:rFonts w:ascii="Times New Roman" w:hAnsi="Times New Roman" w:cs="Times New Roman"/>
                <w:b/>
                <w:bCs/>
                <w:sz w:val="18"/>
                <w:szCs w:val="18"/>
                <w:lang w:eastAsia="es-CR"/>
              </w:rPr>
              <w:t>Si la contraparte requiere servicio, atiende la defensa de:</w:t>
            </w:r>
          </w:p>
        </w:tc>
        <w:tc>
          <w:tcPr>
            <w:tcW w:w="3033"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62EAB069" w14:textId="77777777">
            <w:pPr>
              <w:spacing w:before="120" w:after="120"/>
              <w:jc w:val="center"/>
              <w:rPr>
                <w:rFonts w:ascii="Times New Roman" w:hAnsi="Times New Roman" w:cs="Times New Roman"/>
                <w:b/>
                <w:bCs/>
                <w:sz w:val="18"/>
                <w:szCs w:val="18"/>
                <w:lang w:eastAsia="es-CR"/>
              </w:rPr>
            </w:pPr>
            <w:r w:rsidRPr="00AE1B2B">
              <w:rPr>
                <w:rFonts w:ascii="Times New Roman" w:hAnsi="Times New Roman" w:cs="Times New Roman"/>
                <w:b/>
                <w:bCs/>
                <w:sz w:val="18"/>
                <w:szCs w:val="18"/>
                <w:lang w:eastAsia="es-CR"/>
              </w:rPr>
              <w:t>En caso de que sean más de dos personas usuarias</w:t>
            </w:r>
          </w:p>
        </w:tc>
      </w:tr>
      <w:tr w:rsidRPr="00AE1B2B" w:rsidR="00AE1B2B" w:rsidTr="009D3FB5" w14:paraId="55130400" w14:textId="77777777">
        <w:trPr>
          <w:trHeight w:val="19"/>
          <w:tblHeader/>
        </w:trPr>
        <w:tc>
          <w:tcPr>
            <w:tcW w:w="3610"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7467BDDE" w14:textId="77777777">
            <w:pPr>
              <w:spacing w:before="120" w:after="120"/>
              <w:rPr>
                <w:rFonts w:ascii="Times New Roman" w:hAnsi="Times New Roman" w:cs="Times New Roman"/>
                <w:sz w:val="18"/>
                <w:szCs w:val="18"/>
                <w:lang w:eastAsia="es-CR"/>
              </w:rPr>
            </w:pPr>
            <w:r w:rsidRPr="00AE1B2B">
              <w:rPr>
                <w:rFonts w:ascii="Times New Roman" w:hAnsi="Times New Roman" w:cs="Times New Roman"/>
                <w:sz w:val="18"/>
                <w:szCs w:val="18"/>
                <w:lang w:eastAsia="es-CR"/>
              </w:rPr>
              <w:t>Juzgado Agrario del I Circuito Judicial de Guanacaste (Liberia)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AEBD99F"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Liberia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50878DC"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Nicoya</w:t>
            </w:r>
          </w:p>
        </w:tc>
        <w:tc>
          <w:tcPr>
            <w:tcW w:w="303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111706E"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Puntarenas, San Ramón</w:t>
            </w:r>
          </w:p>
        </w:tc>
      </w:tr>
      <w:tr w:rsidRPr="00AE1B2B" w:rsidR="00AE1B2B" w:rsidTr="009D3FB5" w14:paraId="4CFA9A1C" w14:textId="77777777">
        <w:trPr>
          <w:trHeight w:val="19"/>
          <w:tblHeader/>
        </w:trPr>
        <w:tc>
          <w:tcPr>
            <w:tcW w:w="3610"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558D5E3F" w14:textId="77777777">
            <w:pPr>
              <w:spacing w:before="120" w:after="120"/>
              <w:rPr>
                <w:rFonts w:ascii="Times New Roman" w:hAnsi="Times New Roman" w:cs="Times New Roman"/>
                <w:sz w:val="18"/>
                <w:szCs w:val="18"/>
                <w:lang w:eastAsia="es-CR"/>
              </w:rPr>
            </w:pPr>
            <w:r w:rsidRPr="00AE1B2B">
              <w:rPr>
                <w:rFonts w:ascii="Times New Roman" w:hAnsi="Times New Roman" w:cs="Times New Roman"/>
                <w:sz w:val="18"/>
                <w:szCs w:val="18"/>
                <w:lang w:eastAsia="es-CR"/>
              </w:rPr>
              <w:t xml:space="preserve">Juzgado Agrario del II Circuito Judicial de Guanacaste (Santa Cruz) </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B658675"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Nicoya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0E3FBBC"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Liberia</w:t>
            </w:r>
          </w:p>
        </w:tc>
        <w:tc>
          <w:tcPr>
            <w:tcW w:w="303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53D5534"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Puntarenas, San Ramón</w:t>
            </w:r>
          </w:p>
        </w:tc>
      </w:tr>
      <w:tr w:rsidRPr="00AE1B2B" w:rsidR="00AE1B2B" w:rsidTr="009D3FB5" w14:paraId="6EE1050B" w14:textId="77777777">
        <w:trPr>
          <w:trHeight w:val="19"/>
          <w:tblHeader/>
        </w:trPr>
        <w:tc>
          <w:tcPr>
            <w:tcW w:w="3610"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44F70581" w14:textId="77777777">
            <w:pPr>
              <w:spacing w:before="120" w:after="120"/>
              <w:rPr>
                <w:rFonts w:ascii="Times New Roman" w:hAnsi="Times New Roman" w:cs="Times New Roman"/>
                <w:sz w:val="18"/>
                <w:szCs w:val="18"/>
                <w:lang w:eastAsia="es-CR"/>
              </w:rPr>
            </w:pPr>
            <w:r w:rsidRPr="00AE1B2B">
              <w:rPr>
                <w:rFonts w:ascii="Times New Roman" w:hAnsi="Times New Roman" w:cs="Times New Roman"/>
                <w:sz w:val="18"/>
                <w:szCs w:val="18"/>
                <w:lang w:eastAsia="es-CR"/>
              </w:rPr>
              <w:t>Juzgado Agrario de Puntarenas</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39AFDD4"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Puntarenas</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C08914B"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San Ramón</w:t>
            </w:r>
          </w:p>
        </w:tc>
        <w:tc>
          <w:tcPr>
            <w:tcW w:w="303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FBADDEF"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Alajuela, San José</w:t>
            </w:r>
          </w:p>
        </w:tc>
      </w:tr>
      <w:tr w:rsidRPr="00AE1B2B" w:rsidR="00AE1B2B" w:rsidTr="009D3FB5" w14:paraId="24B42B55" w14:textId="77777777">
        <w:trPr>
          <w:trHeight w:val="19"/>
          <w:tblHeader/>
        </w:trPr>
        <w:tc>
          <w:tcPr>
            <w:tcW w:w="3610"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498B7480" w14:textId="77777777">
            <w:pPr>
              <w:spacing w:before="120" w:after="120"/>
              <w:rPr>
                <w:rFonts w:ascii="Times New Roman" w:hAnsi="Times New Roman" w:cs="Times New Roman"/>
                <w:sz w:val="18"/>
                <w:szCs w:val="18"/>
                <w:lang w:eastAsia="es-CR"/>
              </w:rPr>
            </w:pPr>
            <w:r w:rsidRPr="00AE1B2B">
              <w:rPr>
                <w:rFonts w:ascii="Times New Roman" w:hAnsi="Times New Roman" w:cs="Times New Roman"/>
                <w:sz w:val="18"/>
                <w:szCs w:val="18"/>
                <w:lang w:eastAsia="es-CR"/>
              </w:rPr>
              <w:t>Juzgado Agrario del Tercer Circuito Judicial de Alajuela (San Ramón)</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60135EF"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San Ramón</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77EC6B8"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Puntarenas</w:t>
            </w:r>
          </w:p>
        </w:tc>
        <w:tc>
          <w:tcPr>
            <w:tcW w:w="303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59A8A30"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Alajuela, San José, San Carlos</w:t>
            </w:r>
          </w:p>
        </w:tc>
      </w:tr>
      <w:tr w:rsidRPr="00AE1B2B" w:rsidR="00AE1B2B" w:rsidTr="009D3FB5" w14:paraId="1C49382C" w14:textId="77777777">
        <w:trPr>
          <w:trHeight w:val="19"/>
          <w:tblHeader/>
        </w:trPr>
        <w:tc>
          <w:tcPr>
            <w:tcW w:w="3610"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EEF11D4" w14:textId="77777777">
            <w:pPr>
              <w:spacing w:before="120" w:after="120"/>
              <w:rPr>
                <w:rFonts w:ascii="Times New Roman" w:hAnsi="Times New Roman" w:cs="Times New Roman"/>
                <w:sz w:val="18"/>
                <w:szCs w:val="18"/>
                <w:lang w:eastAsia="es-CR"/>
              </w:rPr>
            </w:pPr>
            <w:r w:rsidRPr="00AE1B2B">
              <w:rPr>
                <w:rFonts w:ascii="Times New Roman" w:hAnsi="Times New Roman" w:cs="Times New Roman"/>
                <w:sz w:val="18"/>
                <w:szCs w:val="18"/>
                <w:lang w:eastAsia="es-CR"/>
              </w:rPr>
              <w:t>Juzgado Civil, Trabajo, Agrario, Familia, Penal Juvenil, Contra la Violencia Doméstica y Protección Cautelar II Circuito Judicial de Alajuela, sede Upala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48BC377"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Upala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0D670B8"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San Carlos</w:t>
            </w:r>
          </w:p>
        </w:tc>
        <w:tc>
          <w:tcPr>
            <w:tcW w:w="303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DAEF711"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Alajuela, San Ramón</w:t>
            </w:r>
          </w:p>
        </w:tc>
      </w:tr>
      <w:tr w:rsidRPr="00AE1B2B" w:rsidR="00AE1B2B" w:rsidTr="009D3FB5" w14:paraId="197537CD" w14:textId="77777777">
        <w:trPr>
          <w:trHeight w:val="19"/>
          <w:tblHeader/>
        </w:trPr>
        <w:tc>
          <w:tcPr>
            <w:tcW w:w="3610"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3FFCA02A" w14:textId="77777777">
            <w:pPr>
              <w:spacing w:before="120" w:after="120"/>
              <w:rPr>
                <w:rFonts w:ascii="Times New Roman" w:hAnsi="Times New Roman" w:cs="Times New Roman"/>
                <w:sz w:val="18"/>
                <w:szCs w:val="18"/>
                <w:lang w:eastAsia="es-CR"/>
              </w:rPr>
            </w:pPr>
            <w:r w:rsidRPr="00AE1B2B">
              <w:rPr>
                <w:rFonts w:ascii="Times New Roman" w:hAnsi="Times New Roman" w:cs="Times New Roman"/>
                <w:sz w:val="18"/>
                <w:szCs w:val="18"/>
                <w:lang w:eastAsia="es-CR"/>
              </w:rPr>
              <w:t>Juzgado Agrario del II Circuito Judicial de Alajuela (San Carlos)</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9993D3A"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San Carlos</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6CECF55"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Upala</w:t>
            </w:r>
          </w:p>
        </w:tc>
        <w:tc>
          <w:tcPr>
            <w:tcW w:w="303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6F4D3FC"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Alajuela, San Ramón</w:t>
            </w:r>
          </w:p>
        </w:tc>
      </w:tr>
      <w:tr w:rsidRPr="00AE1B2B" w:rsidR="00AE1B2B" w:rsidTr="009D3FB5" w14:paraId="28531060" w14:textId="77777777">
        <w:trPr>
          <w:trHeight w:val="19"/>
          <w:tblHeader/>
        </w:trPr>
        <w:tc>
          <w:tcPr>
            <w:tcW w:w="3610"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40EA715D" w14:textId="77777777">
            <w:pPr>
              <w:spacing w:before="120" w:after="120"/>
              <w:rPr>
                <w:rFonts w:ascii="Times New Roman" w:hAnsi="Times New Roman" w:cs="Times New Roman"/>
                <w:sz w:val="18"/>
                <w:szCs w:val="18"/>
                <w:lang w:eastAsia="es-CR"/>
              </w:rPr>
            </w:pPr>
            <w:r w:rsidRPr="00AE1B2B">
              <w:rPr>
                <w:rFonts w:ascii="Times New Roman" w:hAnsi="Times New Roman" w:cs="Times New Roman"/>
                <w:sz w:val="18"/>
                <w:szCs w:val="18"/>
                <w:lang w:eastAsia="es-CR"/>
              </w:rPr>
              <w:t>Juzgado Agrario del I Circuito Judicial de la Zona Atlántica (Limón)</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D0BD7F8"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Limón</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A694778"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Segunda Plaza Limón</w:t>
            </w:r>
          </w:p>
        </w:tc>
        <w:tc>
          <w:tcPr>
            <w:tcW w:w="303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3E7A288"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Guápiles, Turrialba</w:t>
            </w:r>
          </w:p>
        </w:tc>
      </w:tr>
      <w:tr w:rsidRPr="00AE1B2B" w:rsidR="00AE1B2B" w:rsidTr="009D3FB5" w14:paraId="43BEC748" w14:textId="77777777">
        <w:trPr>
          <w:trHeight w:val="19"/>
          <w:tblHeader/>
        </w:trPr>
        <w:tc>
          <w:tcPr>
            <w:tcW w:w="3610"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5A80BF8" w14:textId="77777777">
            <w:pPr>
              <w:spacing w:before="120" w:after="120"/>
              <w:rPr>
                <w:rFonts w:ascii="Times New Roman" w:hAnsi="Times New Roman" w:cs="Times New Roman"/>
                <w:sz w:val="18"/>
                <w:szCs w:val="18"/>
                <w:lang w:eastAsia="es-CR"/>
              </w:rPr>
            </w:pPr>
            <w:r w:rsidRPr="00AE1B2B">
              <w:rPr>
                <w:rFonts w:ascii="Times New Roman" w:hAnsi="Times New Roman" w:cs="Times New Roman"/>
                <w:sz w:val="18"/>
                <w:szCs w:val="18"/>
                <w:lang w:eastAsia="es-CR"/>
              </w:rPr>
              <w:t>Juzgado Agrario del II Circuito Judicial de la Zona Atlántica (Guápiles)</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ADFDB71"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Guápiles</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8F280A7"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Turrialba</w:t>
            </w:r>
          </w:p>
        </w:tc>
        <w:tc>
          <w:tcPr>
            <w:tcW w:w="303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A3E5138"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Cartago, San José, San Carlos</w:t>
            </w:r>
          </w:p>
        </w:tc>
      </w:tr>
      <w:tr w:rsidRPr="00AE1B2B" w:rsidR="00AE1B2B" w:rsidTr="009D3FB5" w14:paraId="7E998409" w14:textId="77777777">
        <w:trPr>
          <w:trHeight w:val="19"/>
          <w:tblHeader/>
        </w:trPr>
        <w:tc>
          <w:tcPr>
            <w:tcW w:w="3610"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8EFEB67" w14:textId="77777777">
            <w:pPr>
              <w:spacing w:before="120" w:after="120"/>
              <w:rPr>
                <w:rFonts w:ascii="Times New Roman" w:hAnsi="Times New Roman" w:cs="Times New Roman"/>
                <w:sz w:val="18"/>
                <w:szCs w:val="18"/>
                <w:lang w:eastAsia="es-CR"/>
              </w:rPr>
            </w:pPr>
            <w:r w:rsidRPr="00AE1B2B">
              <w:rPr>
                <w:rFonts w:ascii="Times New Roman" w:hAnsi="Times New Roman" w:cs="Times New Roman"/>
                <w:sz w:val="18"/>
                <w:szCs w:val="18"/>
                <w:lang w:eastAsia="es-CR"/>
              </w:rPr>
              <w:t>Juzgado Civil, Trabajo y Agrario de Turrialba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7268483"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Turrialba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BB69B57"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Cartago</w:t>
            </w:r>
          </w:p>
        </w:tc>
        <w:tc>
          <w:tcPr>
            <w:tcW w:w="303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77214EC"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San José, Alajuela</w:t>
            </w:r>
          </w:p>
        </w:tc>
      </w:tr>
      <w:tr w:rsidRPr="00AE1B2B" w:rsidR="00AE1B2B" w:rsidTr="009D3FB5" w14:paraId="118D28BA" w14:textId="77777777">
        <w:trPr>
          <w:trHeight w:val="19"/>
          <w:tblHeader/>
        </w:trPr>
        <w:tc>
          <w:tcPr>
            <w:tcW w:w="3610"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26B5975" w14:textId="77777777">
            <w:pPr>
              <w:spacing w:before="120" w:after="120"/>
              <w:rPr>
                <w:rFonts w:ascii="Times New Roman" w:hAnsi="Times New Roman" w:cs="Times New Roman"/>
                <w:sz w:val="18"/>
                <w:szCs w:val="18"/>
                <w:lang w:eastAsia="es-CR"/>
              </w:rPr>
            </w:pPr>
            <w:r w:rsidRPr="00AE1B2B">
              <w:rPr>
                <w:rFonts w:ascii="Times New Roman" w:hAnsi="Times New Roman" w:cs="Times New Roman"/>
                <w:sz w:val="18"/>
                <w:szCs w:val="18"/>
                <w:lang w:eastAsia="es-CR"/>
              </w:rPr>
              <w:t>Juzgado Agrario de Cartago</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B53D803"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Cartago</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A92C441"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Turrialba</w:t>
            </w:r>
          </w:p>
        </w:tc>
        <w:tc>
          <w:tcPr>
            <w:tcW w:w="303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B7FD14D"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San José, Alajuela</w:t>
            </w:r>
          </w:p>
        </w:tc>
      </w:tr>
      <w:tr w:rsidRPr="00AE1B2B" w:rsidR="00AE1B2B" w:rsidTr="009D3FB5" w14:paraId="30BF8667" w14:textId="77777777">
        <w:trPr>
          <w:trHeight w:val="19"/>
          <w:tblHeader/>
        </w:trPr>
        <w:tc>
          <w:tcPr>
            <w:tcW w:w="3610"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F60326C" w14:textId="77777777">
            <w:pPr>
              <w:spacing w:before="120" w:after="120"/>
              <w:rPr>
                <w:rFonts w:ascii="Times New Roman" w:hAnsi="Times New Roman" w:cs="Times New Roman"/>
                <w:sz w:val="18"/>
                <w:szCs w:val="18"/>
                <w:lang w:eastAsia="es-CR"/>
              </w:rPr>
            </w:pPr>
            <w:r w:rsidRPr="00AE1B2B">
              <w:rPr>
                <w:rFonts w:ascii="Times New Roman" w:hAnsi="Times New Roman" w:cs="Times New Roman"/>
                <w:sz w:val="18"/>
                <w:szCs w:val="18"/>
                <w:lang w:eastAsia="es-CR"/>
              </w:rPr>
              <w:t>Juzgado Agrario del I Circuito Judicial de Alajuela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87B44AE"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Alajuela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C06B356"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San José</w:t>
            </w:r>
          </w:p>
        </w:tc>
        <w:tc>
          <w:tcPr>
            <w:tcW w:w="303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81AA1D6"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Cartago, San Ramón</w:t>
            </w:r>
          </w:p>
        </w:tc>
      </w:tr>
      <w:tr w:rsidRPr="00AE1B2B" w:rsidR="00AE1B2B" w:rsidTr="009D3FB5" w14:paraId="0F400F15" w14:textId="77777777">
        <w:trPr>
          <w:trHeight w:val="19"/>
          <w:tblHeader/>
        </w:trPr>
        <w:tc>
          <w:tcPr>
            <w:tcW w:w="3610"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3E93FA68" w14:textId="77777777">
            <w:pPr>
              <w:spacing w:before="120" w:after="120"/>
              <w:rPr>
                <w:rFonts w:ascii="Times New Roman" w:hAnsi="Times New Roman" w:cs="Times New Roman"/>
                <w:sz w:val="18"/>
                <w:szCs w:val="18"/>
                <w:lang w:eastAsia="es-CR"/>
              </w:rPr>
            </w:pPr>
            <w:r w:rsidRPr="00AE1B2B">
              <w:rPr>
                <w:rFonts w:ascii="Times New Roman" w:hAnsi="Times New Roman" w:cs="Times New Roman"/>
                <w:sz w:val="18"/>
                <w:szCs w:val="18"/>
                <w:lang w:eastAsia="es-CR"/>
              </w:rPr>
              <w:t>Juzgado Agrario del II Circuito Judicial de San José</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DFA2B37"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San José</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158C91B"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Alajuela</w:t>
            </w:r>
          </w:p>
        </w:tc>
        <w:tc>
          <w:tcPr>
            <w:tcW w:w="303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627C869"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Cartago, San Ramón</w:t>
            </w:r>
          </w:p>
        </w:tc>
      </w:tr>
      <w:tr w:rsidRPr="00AE1B2B" w:rsidR="00AE1B2B" w:rsidTr="009D3FB5" w14:paraId="3C92CBDF" w14:textId="77777777">
        <w:trPr>
          <w:trHeight w:val="19"/>
          <w:tblHeader/>
        </w:trPr>
        <w:tc>
          <w:tcPr>
            <w:tcW w:w="3610"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78F4F2E" w14:textId="77777777">
            <w:pPr>
              <w:spacing w:before="120" w:after="120"/>
              <w:rPr>
                <w:rFonts w:ascii="Times New Roman" w:hAnsi="Times New Roman" w:cs="Times New Roman"/>
                <w:sz w:val="18"/>
                <w:szCs w:val="18"/>
                <w:lang w:eastAsia="es-CR"/>
              </w:rPr>
            </w:pPr>
            <w:r w:rsidRPr="00AE1B2B">
              <w:rPr>
                <w:rFonts w:ascii="Times New Roman" w:hAnsi="Times New Roman" w:cs="Times New Roman"/>
                <w:sz w:val="18"/>
                <w:szCs w:val="18"/>
                <w:lang w:eastAsia="es-CR"/>
              </w:rPr>
              <w:t>Juzgado Agrario del I Circuito Judicial de la Zona Sur (Pérez Zeledón)</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FDD542E"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Pérez Zeledón</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8F33298"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Cartago</w:t>
            </w:r>
          </w:p>
        </w:tc>
        <w:tc>
          <w:tcPr>
            <w:tcW w:w="303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4E8A872"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Buenos Aires, Corredores</w:t>
            </w:r>
          </w:p>
        </w:tc>
      </w:tr>
      <w:tr w:rsidRPr="00AE1B2B" w:rsidR="00AE1B2B" w:rsidTr="009D3FB5" w14:paraId="2EE3455A" w14:textId="77777777">
        <w:trPr>
          <w:trHeight w:val="19"/>
          <w:tblHeader/>
        </w:trPr>
        <w:tc>
          <w:tcPr>
            <w:tcW w:w="3610"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6A3F52A" w14:textId="77777777">
            <w:pPr>
              <w:spacing w:before="120" w:after="120"/>
              <w:rPr>
                <w:rFonts w:ascii="Times New Roman" w:hAnsi="Times New Roman" w:cs="Times New Roman"/>
                <w:sz w:val="18"/>
                <w:szCs w:val="18"/>
                <w:lang w:eastAsia="es-CR"/>
              </w:rPr>
            </w:pPr>
            <w:r w:rsidRPr="00AE1B2B">
              <w:rPr>
                <w:rFonts w:ascii="Times New Roman" w:hAnsi="Times New Roman" w:cs="Times New Roman"/>
                <w:sz w:val="18"/>
                <w:szCs w:val="18"/>
                <w:lang w:eastAsia="es-CR"/>
              </w:rPr>
              <w:t>Juzgado Agrario del II Circuito Judicial de la Zona Sur (Corredores)</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B012D37"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Corredores</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7307278"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Buenos Aires o Pérez Zeledón</w:t>
            </w:r>
          </w:p>
        </w:tc>
        <w:tc>
          <w:tcPr>
            <w:tcW w:w="303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8A4371D"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Pérez Zeledón, Cartago, Buenos Aires</w:t>
            </w:r>
            <w:r w:rsidRPr="00AE1B2B">
              <w:rPr>
                <w:rStyle w:val="Refdenotaalpie"/>
                <w:rFonts w:ascii="Times New Roman" w:hAnsi="Times New Roman"/>
                <w:sz w:val="18"/>
                <w:szCs w:val="18"/>
                <w:lang w:eastAsia="es-CR"/>
              </w:rPr>
              <w:footnoteReference w:id="20"/>
            </w:r>
          </w:p>
        </w:tc>
      </w:tr>
      <w:tr w:rsidRPr="00AE1B2B" w:rsidR="00AE1B2B" w:rsidTr="009D3FB5" w14:paraId="521318F1" w14:textId="77777777">
        <w:trPr>
          <w:trHeight w:val="19"/>
          <w:tblHeader/>
        </w:trPr>
        <w:tc>
          <w:tcPr>
            <w:tcW w:w="3610"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5FE86429" w14:textId="77777777">
            <w:pPr>
              <w:spacing w:before="120" w:after="120"/>
              <w:rPr>
                <w:rFonts w:ascii="Times New Roman" w:hAnsi="Times New Roman" w:cs="Times New Roman"/>
                <w:sz w:val="18"/>
                <w:szCs w:val="18"/>
                <w:lang w:eastAsia="es-CR"/>
              </w:rPr>
            </w:pPr>
            <w:r w:rsidRPr="00AE1B2B">
              <w:rPr>
                <w:rFonts w:ascii="Times New Roman" w:hAnsi="Times New Roman" w:cs="Times New Roman"/>
                <w:sz w:val="18"/>
                <w:szCs w:val="18"/>
                <w:lang w:eastAsia="es-CR"/>
              </w:rPr>
              <w:t xml:space="preserve">Juzgado Civil, Trabajo, Familia, Agrario, Penal Juvenil, Contra la Violencia Doméstica y Protección Cautelar Buenos Aires Estos </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1576A42"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Buenos Aires</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1945F5C"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Pérez Zeledón o Corredores</w:t>
            </w:r>
          </w:p>
        </w:tc>
        <w:tc>
          <w:tcPr>
            <w:tcW w:w="303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41B3026" w14:textId="77777777">
            <w:pPr>
              <w:spacing w:before="120" w:after="120"/>
              <w:jc w:val="center"/>
              <w:rPr>
                <w:rFonts w:ascii="Times New Roman" w:hAnsi="Times New Roman" w:cs="Times New Roman"/>
                <w:sz w:val="18"/>
                <w:szCs w:val="18"/>
                <w:lang w:eastAsia="es-CR"/>
              </w:rPr>
            </w:pPr>
            <w:r w:rsidRPr="00AE1B2B">
              <w:rPr>
                <w:rFonts w:ascii="Times New Roman" w:hAnsi="Times New Roman" w:cs="Times New Roman"/>
                <w:sz w:val="18"/>
                <w:szCs w:val="18"/>
                <w:lang w:eastAsia="es-CR"/>
              </w:rPr>
              <w:t>Pérez Zeledón, Cartago</w:t>
            </w:r>
          </w:p>
        </w:tc>
      </w:tr>
    </w:tbl>
    <w:p w:rsidRPr="00AE1B2B" w:rsidR="009D3FB5" w:rsidP="00163B94" w:rsidRDefault="009D3FB5" w14:paraId="41B0A832"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lastRenderedPageBreak/>
        <w:t xml:space="preserve">Fuente: Información obtenida y verificada por la Administración de la Defensa Pública. </w:t>
      </w:r>
    </w:p>
    <w:p w:rsidRPr="00AE1B2B" w:rsidR="009D3FB5" w:rsidP="00163B94" w:rsidRDefault="009D3FB5" w14:paraId="31316D6B" w14:textId="24EF455C">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Otro punto es que la Defensa Pública requiere de estudios técnicos en topografía y geodesia; entre otros, como parte de su estrategia de defensa.</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En la actualidad, estos estudios los realizan con los peritos oficiales del Poder Judicial; sin embargo, se dan casos en que estos informes técnicos, no se contratan producto del bajo contenido presupuestario en la subpartida asociada a este rubro, lo cual se deriva del criterio técnico emitido por el Coordinador dela Unidad de Defensa Pública Agraria quien adicionalmente indica que muchas veces los peritos no toman esos casos porque los gastos no cubren ni los honorarios, provocando retrasos en la prueba pericial.</w:t>
      </w:r>
      <w:r w:rsidRPr="00AE1B2B" w:rsidR="00BB7720">
        <w:rPr>
          <w:rFonts w:ascii="Times New Roman" w:hAnsi="Times New Roman" w:cs="Times New Roman"/>
          <w:sz w:val="26"/>
          <w:szCs w:val="26"/>
        </w:rPr>
        <w:t xml:space="preserve"> </w:t>
      </w:r>
    </w:p>
    <w:p w:rsidRPr="00AE1B2B" w:rsidR="009D3FB5" w:rsidP="00163B94" w:rsidRDefault="009D3FB5" w14:paraId="503F60E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virtud de lo anterior, la Dirección de Planificación plantea </w:t>
      </w:r>
      <w:bookmarkStart w:name="_Hlk31187681" w:id="236"/>
      <w:r w:rsidRPr="00AE1B2B">
        <w:rPr>
          <w:rFonts w:ascii="Times New Roman" w:hAnsi="Times New Roman" w:cs="Times New Roman"/>
          <w:sz w:val="26"/>
          <w:szCs w:val="26"/>
        </w:rPr>
        <w:t>costear esos peritajes del Fondo de Apoyo a la Defensa Pública Agraria que establece el artículo 47 del Código Procesal Agrario, para atender en forma oportuna esos estudios:</w:t>
      </w:r>
    </w:p>
    <w:p w:rsidRPr="00AE1B2B" w:rsidR="009D3FB5" w:rsidP="00163B94" w:rsidRDefault="009D3FB5" w14:paraId="2A74B51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A53F7EA" w14:textId="77777777">
      <w:pPr>
        <w:spacing w:before="120" w:after="120"/>
        <w:ind w:left="851" w:right="851" w:firstLine="709"/>
        <w:jc w:val="both"/>
        <w:rPr>
          <w:rFonts w:ascii="Times New Roman" w:hAnsi="Times New Roman" w:cs="Times New Roman"/>
          <w:i/>
          <w:iCs/>
          <w:sz w:val="26"/>
          <w:szCs w:val="26"/>
          <w:lang w:eastAsia="es-CR"/>
        </w:rPr>
      </w:pPr>
      <w:r w:rsidRPr="00AE1B2B">
        <w:rPr>
          <w:rFonts w:ascii="Times New Roman" w:hAnsi="Times New Roman" w:cs="Times New Roman"/>
          <w:i/>
          <w:iCs/>
          <w:sz w:val="26"/>
          <w:szCs w:val="26"/>
          <w:lang w:eastAsia="es-CR"/>
        </w:rPr>
        <w:t>“… ARTÍCULO 47- Patrocinio letrado a cargo de la Defensa Pública</w:t>
      </w:r>
    </w:p>
    <w:p w:rsidRPr="00AE1B2B" w:rsidR="009D3FB5" w:rsidP="00163B94" w:rsidRDefault="009D3FB5" w14:paraId="625AAD90" w14:textId="77777777">
      <w:pPr>
        <w:spacing w:before="120" w:after="120"/>
        <w:ind w:left="851" w:right="851" w:firstLine="709"/>
        <w:jc w:val="both"/>
        <w:rPr>
          <w:rFonts w:ascii="Times New Roman" w:hAnsi="Times New Roman" w:cs="Times New Roman"/>
          <w:i/>
          <w:iCs/>
          <w:sz w:val="26"/>
          <w:szCs w:val="26"/>
          <w:lang w:eastAsia="es-CR"/>
        </w:rPr>
      </w:pPr>
      <w:r w:rsidRPr="00AE1B2B">
        <w:rPr>
          <w:rFonts w:ascii="Times New Roman" w:hAnsi="Times New Roman" w:cs="Times New Roman"/>
          <w:i/>
          <w:iCs/>
          <w:sz w:val="26"/>
          <w:szCs w:val="26"/>
          <w:lang w:eastAsia="es-CR"/>
        </w:rPr>
        <w:t>Las defensoras y los defensores públicos agrarios tendrán las facultades de directores del proceso, en los procesos en que intervengan, salvo que la parte amplíe sus atribuciones a las de un apoderado especial judicial, lo cual deberá indicar expresamente. Tendrán esas mismas facultades de abogados o abogadas directoras para los procedimientos administrativos que puedan incidir en la sede judicial.</w:t>
      </w:r>
    </w:p>
    <w:p w:rsidRPr="00AE1B2B" w:rsidR="009D3FB5" w:rsidP="00163B94" w:rsidRDefault="009D3FB5" w14:paraId="4BC15A2F" w14:textId="77777777">
      <w:pPr>
        <w:spacing w:before="120" w:after="120"/>
        <w:ind w:left="851" w:right="851" w:firstLine="709"/>
        <w:jc w:val="both"/>
        <w:rPr>
          <w:rFonts w:ascii="Times New Roman" w:hAnsi="Times New Roman" w:cs="Times New Roman"/>
          <w:i/>
          <w:iCs/>
          <w:sz w:val="26"/>
          <w:szCs w:val="26"/>
          <w:lang w:eastAsia="es-CR"/>
        </w:rPr>
      </w:pPr>
      <w:r w:rsidRPr="00AE1B2B">
        <w:rPr>
          <w:rFonts w:ascii="Times New Roman" w:hAnsi="Times New Roman" w:cs="Times New Roman"/>
          <w:i/>
          <w:iCs/>
          <w:sz w:val="26"/>
          <w:szCs w:val="26"/>
          <w:lang w:eastAsia="es-CR"/>
        </w:rPr>
        <w:t>Si actúan con facultades de mandatario o mandataria, estarán sometidos a las mismas prohibiciones del párrafo final del artículo 46 de esta ley. No tendrá valor ni efecto alguno lo que se haga en oposición a esas prohibiciones.</w:t>
      </w:r>
    </w:p>
    <w:p w:rsidRPr="00AE1B2B" w:rsidR="009D3FB5" w:rsidP="00163B94" w:rsidRDefault="009D3FB5" w14:paraId="53AD93FD" w14:textId="77777777">
      <w:pPr>
        <w:spacing w:before="120" w:after="120"/>
        <w:ind w:left="851" w:right="851" w:firstLine="709"/>
        <w:jc w:val="both"/>
        <w:rPr>
          <w:rFonts w:ascii="Times New Roman" w:hAnsi="Times New Roman" w:cs="Times New Roman"/>
          <w:i/>
          <w:iCs/>
          <w:sz w:val="26"/>
          <w:szCs w:val="26"/>
          <w:lang w:eastAsia="es-CR"/>
        </w:rPr>
      </w:pPr>
      <w:r w:rsidRPr="00AE1B2B">
        <w:rPr>
          <w:rFonts w:ascii="Times New Roman" w:hAnsi="Times New Roman" w:cs="Times New Roman"/>
          <w:i/>
          <w:iCs/>
          <w:sz w:val="26"/>
          <w:szCs w:val="26"/>
          <w:lang w:eastAsia="es-CR"/>
        </w:rPr>
        <w:t>Los dineros por costas personales que se generen a favor de la parte patrocinada por la defensa pública agraria se distribuirán de la siguiente manera:</w:t>
      </w:r>
    </w:p>
    <w:p w:rsidRPr="00AE1B2B" w:rsidR="009D3FB5" w:rsidP="00163B94" w:rsidRDefault="009D3FB5" w14:paraId="451345B9" w14:textId="77777777">
      <w:pPr>
        <w:spacing w:before="120" w:after="120"/>
        <w:ind w:left="851" w:right="851" w:firstLine="709"/>
        <w:jc w:val="both"/>
        <w:rPr>
          <w:rFonts w:ascii="Times New Roman" w:hAnsi="Times New Roman" w:cs="Times New Roman"/>
          <w:i/>
          <w:iCs/>
          <w:sz w:val="26"/>
          <w:szCs w:val="26"/>
          <w:lang w:eastAsia="es-CR"/>
        </w:rPr>
      </w:pPr>
      <w:r w:rsidRPr="00AE1B2B">
        <w:rPr>
          <w:rFonts w:ascii="Times New Roman" w:hAnsi="Times New Roman" w:cs="Times New Roman"/>
          <w:i/>
          <w:iCs/>
          <w:sz w:val="26"/>
          <w:szCs w:val="26"/>
          <w:lang w:eastAsia="es-CR"/>
        </w:rPr>
        <w:t>a) Un cincuenta por ciento (50%) del total recaudado será asignado al Fondo de Apoyo a la Defensa Pública Agraria, para optimizar el servicio y la cobertura en el territorio nacional.</w:t>
      </w:r>
    </w:p>
    <w:p w:rsidRPr="00AE1B2B" w:rsidR="009D3FB5" w:rsidP="00163B94" w:rsidRDefault="009D3FB5" w14:paraId="0F66AADE" w14:textId="77777777">
      <w:pPr>
        <w:spacing w:before="120" w:after="120"/>
        <w:ind w:left="851" w:right="851" w:firstLine="709"/>
        <w:jc w:val="both"/>
        <w:rPr>
          <w:rFonts w:ascii="Times New Roman" w:hAnsi="Times New Roman" w:cs="Times New Roman"/>
          <w:i/>
          <w:iCs/>
          <w:sz w:val="26"/>
          <w:szCs w:val="26"/>
          <w:lang w:eastAsia="es-CR"/>
        </w:rPr>
      </w:pPr>
      <w:r w:rsidRPr="00AE1B2B">
        <w:rPr>
          <w:rFonts w:ascii="Times New Roman" w:hAnsi="Times New Roman" w:cs="Times New Roman"/>
          <w:i/>
          <w:iCs/>
          <w:sz w:val="26"/>
          <w:szCs w:val="26"/>
          <w:lang w:eastAsia="es-CR"/>
        </w:rPr>
        <w:t xml:space="preserve">b) Un cincuenta por ciento (50%) restante será depositado en el Fondo de Apoyo a la Administración de Justicia Agraria para garantizar la eficacia y la eficiencia del servicio público agrario. La </w:t>
      </w:r>
      <w:r w:rsidRPr="00AE1B2B">
        <w:rPr>
          <w:rFonts w:ascii="Times New Roman" w:hAnsi="Times New Roman" w:cs="Times New Roman"/>
          <w:i/>
          <w:iCs/>
          <w:sz w:val="26"/>
          <w:szCs w:val="26"/>
          <w:lang w:eastAsia="es-CR"/>
        </w:rPr>
        <w:lastRenderedPageBreak/>
        <w:t>administración de esos recursos se regirá conforme a la normativa, ambos fondos serán administrados por el Poder Judicial…”.</w:t>
      </w:r>
    </w:p>
    <w:p w:rsidRPr="00AE1B2B" w:rsidR="009D3FB5" w:rsidP="00163B94" w:rsidRDefault="009D3FB5" w14:paraId="70B5C643" w14:textId="77777777">
      <w:pPr>
        <w:spacing w:before="120" w:after="120"/>
        <w:ind w:left="851" w:right="851" w:firstLine="709"/>
        <w:jc w:val="both"/>
        <w:rPr>
          <w:rFonts w:ascii="Times New Roman" w:hAnsi="Times New Roman" w:cs="Times New Roman"/>
          <w:i/>
          <w:iCs/>
          <w:sz w:val="26"/>
          <w:szCs w:val="26"/>
          <w:lang w:eastAsia="es-CR"/>
        </w:rPr>
      </w:pPr>
    </w:p>
    <w:bookmarkEnd w:id="236"/>
    <w:p w:rsidRPr="00AE1B2B" w:rsidR="009D3FB5" w:rsidP="00163B94" w:rsidRDefault="009D3FB5" w14:paraId="0883DA5A" w14:textId="77777777">
      <w:pPr>
        <w:spacing w:before="120" w:after="120"/>
        <w:ind w:left="851" w:right="851" w:firstLine="709"/>
        <w:jc w:val="both"/>
        <w:rPr>
          <w:rFonts w:ascii="Times New Roman" w:hAnsi="Times New Roman" w:cs="Times New Roman"/>
          <w:sz w:val="26"/>
          <w:szCs w:val="26"/>
          <w:lang w:eastAsia="es-CR"/>
        </w:rPr>
      </w:pPr>
      <w:r w:rsidRPr="00AE1B2B">
        <w:rPr>
          <w:rFonts w:ascii="Times New Roman" w:hAnsi="Times New Roman" w:cs="Times New Roman"/>
          <w:sz w:val="26"/>
          <w:szCs w:val="26"/>
        </w:rPr>
        <w:t>En consulta realizada mediante correo electrónico al Lic. José Luis Soto Richmond, Administrador Regional de la Defensa Pública, el 29 de enero del 2020,</w:t>
      </w:r>
      <w:r w:rsidRPr="00AE1B2B">
        <w:rPr>
          <w:rFonts w:ascii="Times New Roman" w:hAnsi="Times New Roman" w:cs="Times New Roman"/>
          <w:i/>
          <w:iCs/>
          <w:sz w:val="26"/>
          <w:szCs w:val="26"/>
        </w:rPr>
        <w:t xml:space="preserve"> (ver anexo 9 </w:t>
      </w:r>
      <w:r w:rsidRPr="00AE1B2B">
        <w:rPr>
          <w:rFonts w:ascii="Times New Roman" w:hAnsi="Times New Roman" w:cs="Times New Roman"/>
          <w:i/>
          <w:iCs/>
          <w:sz w:val="26"/>
          <w:szCs w:val="26"/>
          <w:lang w:eastAsia="es-CR"/>
        </w:rPr>
        <w:t>Consulta sobre costos de peritaje),</w:t>
      </w:r>
      <w:r w:rsidRPr="00AE1B2B">
        <w:rPr>
          <w:rFonts w:ascii="Times New Roman" w:hAnsi="Times New Roman" w:cs="Times New Roman"/>
          <w:sz w:val="26"/>
          <w:szCs w:val="26"/>
          <w:lang w:eastAsia="es-CR"/>
        </w:rPr>
        <w:t xml:space="preserve"> con respecto a los costos de peritajes, indica: </w:t>
      </w:r>
    </w:p>
    <w:p w:rsidRPr="00AE1B2B" w:rsidR="009D3FB5" w:rsidP="00163B94" w:rsidRDefault="009D3FB5" w14:paraId="455C5249" w14:textId="77777777">
      <w:pPr>
        <w:spacing w:before="120" w:after="120"/>
        <w:ind w:left="851" w:right="851" w:firstLine="709"/>
        <w:jc w:val="both"/>
        <w:rPr>
          <w:rFonts w:ascii="Times New Roman" w:hAnsi="Times New Roman" w:cs="Times New Roman"/>
          <w:i/>
          <w:iCs/>
          <w:sz w:val="26"/>
          <w:szCs w:val="26"/>
          <w:lang w:eastAsia="es-CR"/>
        </w:rPr>
      </w:pPr>
      <w:r w:rsidRPr="00AE1B2B">
        <w:rPr>
          <w:rFonts w:ascii="Times New Roman" w:hAnsi="Times New Roman" w:cs="Times New Roman"/>
          <w:i/>
          <w:iCs/>
          <w:sz w:val="26"/>
          <w:szCs w:val="26"/>
          <w:lang w:eastAsia="es-CR"/>
        </w:rPr>
        <w:t>“…Le comunico que los recursos que ingresen podrían servir para sufragar dichos gastos, pero también otros…”.</w:t>
      </w:r>
    </w:p>
    <w:p w:rsidRPr="00AE1B2B" w:rsidR="009D3FB5" w:rsidP="00163B94" w:rsidRDefault="009D3FB5" w14:paraId="01CD9F1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85C6C9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Por otro lado, para el manejo, registro, control contable, presupuestario y ejecución de los recursos que genere el Código Procesal Agrario, estará a cargo de la plaza de Profesional 1, ya que se deberá atender la labor con recursos ordinarios de la Defensa Pública, específicamente con recurso que se brindó para administrar los recursos del Fondo de Materia Laboral, el cual también deberá contar con la colaboración del Departamento de Financiero Contable, como se acordó en sesión extraordinaria del Consejo Superior 44-19 (Presupuesto 2019), celebrada el 16 de mayo del 2019.</w:t>
      </w:r>
    </w:p>
    <w:p w:rsidRPr="00AE1B2B" w:rsidR="009D3FB5" w:rsidP="00163B94" w:rsidRDefault="009D3FB5" w14:paraId="1CBF1B7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9D3FB5" w14:paraId="6A8DE56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Con la creación del nuevo Juzgado Agrario de Puntarenas, sede Jicaral, se contará con Defensa Pública, con recurso ordinario de la Unidad Agraria de Nicoya, que actualmente brinda colaboración para esa zona. Deberá atender los que se traslade según competencia territorial.</w:t>
      </w:r>
    </w:p>
    <w:p w:rsidRPr="00AE1B2B" w:rsidR="009D3FB5" w:rsidP="00163B94" w:rsidRDefault="009D3FB5" w14:paraId="60A637DE" w14:textId="77777777">
      <w:pPr>
        <w:spacing w:before="120" w:after="120"/>
        <w:ind w:left="851" w:right="851" w:firstLine="709"/>
        <w:jc w:val="both"/>
        <w:rPr>
          <w:rFonts w:ascii="Times New Roman" w:hAnsi="Times New Roman" w:cs="Times New Roman"/>
          <w:sz w:val="26"/>
          <w:szCs w:val="26"/>
        </w:rPr>
      </w:pPr>
      <w:bookmarkStart w:name="_Toc37670466" w:id="237"/>
      <w:bookmarkStart w:name="_Toc68688533" w:id="238"/>
      <w:bookmarkStart w:name="_Toc37670474" w:id="239"/>
      <w:r w:rsidRPr="00AE1B2B">
        <w:rPr>
          <w:rFonts w:ascii="Times New Roman" w:hAnsi="Times New Roman" w:cs="Times New Roman"/>
          <w:sz w:val="26"/>
          <w:szCs w:val="26"/>
        </w:rPr>
        <w:t>Variaciones en la Organización y Funcionamiento de los Despachos y Oficinas Judiciales</w:t>
      </w:r>
      <w:bookmarkEnd w:id="237"/>
      <w:bookmarkEnd w:id="238"/>
    </w:p>
    <w:p w:rsidRPr="00AE1B2B" w:rsidR="009D3FB5" w:rsidP="00163B94" w:rsidRDefault="009D3FB5" w14:paraId="63BA3A3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Del estudio realizado al Código Procesal Agrario (Ley 9609), se identificaron las siguientes variaciones en lo que respecta a la organización y funcionamiento de los despachos y oficinas judiciales:</w:t>
      </w:r>
    </w:p>
    <w:p w:rsidRPr="00AE1B2B" w:rsidR="009D3FB5" w:rsidP="00163B94" w:rsidRDefault="009D3FB5" w14:paraId="7A58C990" w14:textId="77777777">
      <w:pPr>
        <w:spacing w:before="120" w:after="120"/>
        <w:ind w:left="851" w:right="851" w:firstLine="709"/>
        <w:jc w:val="both"/>
        <w:rPr>
          <w:rFonts w:ascii="Times New Roman" w:hAnsi="Times New Roman" w:cs="Times New Roman"/>
          <w:sz w:val="26"/>
          <w:szCs w:val="26"/>
        </w:rPr>
      </w:pPr>
      <w:bookmarkStart w:name="_Toc37670467" w:id="240"/>
      <w:bookmarkStart w:name="_Toc68688534" w:id="241"/>
      <w:r w:rsidRPr="00AE1B2B">
        <w:rPr>
          <w:rFonts w:ascii="Times New Roman" w:hAnsi="Times New Roman" w:cs="Times New Roman"/>
          <w:sz w:val="26"/>
          <w:szCs w:val="26"/>
        </w:rPr>
        <w:t>Atribuciones de la Corte Plena sobre la Jurisdicción Agraria</w:t>
      </w:r>
      <w:bookmarkEnd w:id="240"/>
      <w:bookmarkEnd w:id="241"/>
    </w:p>
    <w:p w:rsidRPr="00AE1B2B" w:rsidR="009D3FB5" w:rsidP="00163B94" w:rsidRDefault="009D3FB5" w14:paraId="3B399B3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faculta a la Corte Plena para regular el crecimiento de los Juzgados y del Tribunal Agrario, según los requerimientos de trabajo para ofrecer un servicio público eficiente y de calidad, de acuerdo con el artículo 9:</w:t>
      </w:r>
    </w:p>
    <w:p w:rsidRPr="00AE1B2B" w:rsidR="009D3FB5" w:rsidP="00163B94" w:rsidRDefault="009D3FB5" w14:paraId="2C054BCD" w14:textId="77777777">
      <w:pPr>
        <w:spacing w:before="120" w:after="120"/>
        <w:ind w:left="851" w:right="851" w:firstLine="709"/>
        <w:jc w:val="both"/>
        <w:rPr>
          <w:rFonts w:ascii="Times New Roman" w:hAnsi="Times New Roman" w:cs="Times New Roman"/>
          <w:b/>
          <w:bCs/>
          <w:i/>
          <w:sz w:val="26"/>
          <w:szCs w:val="26"/>
        </w:rPr>
      </w:pPr>
      <w:r w:rsidRPr="00AE1B2B">
        <w:rPr>
          <w:rFonts w:ascii="Times New Roman" w:hAnsi="Times New Roman" w:cs="Times New Roman"/>
          <w:b/>
          <w:bCs/>
          <w:i/>
          <w:sz w:val="26"/>
          <w:szCs w:val="26"/>
        </w:rPr>
        <w:t>“…ARTÍCULO 9.- Órganos jurisdiccionales</w:t>
      </w:r>
    </w:p>
    <w:p w:rsidRPr="00AE1B2B" w:rsidR="009D3FB5" w:rsidP="00163B94" w:rsidRDefault="009D3FB5" w14:paraId="6239CCBD"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 xml:space="preserve">Para su organización, funcionamiento y conformación, se aplicará lo dispuesto en este Código y en la Ley N.° 7333, Ley </w:t>
      </w:r>
      <w:r w:rsidRPr="00AE1B2B">
        <w:rPr>
          <w:rFonts w:ascii="Times New Roman" w:hAnsi="Times New Roman" w:cs="Times New Roman"/>
          <w:i/>
          <w:sz w:val="26"/>
          <w:szCs w:val="26"/>
        </w:rPr>
        <w:lastRenderedPageBreak/>
        <w:t>Orgánica del Poder Judicial, de 5 de mayo de 1993, y sus reformas. Con ese fin, el Tribunal Agrario deberá constituirse con las secciones que sean necesarias y tendrá su sede en el Segundo Circuito Judicial de San José, sin perjuicio de que la Corte Plena disponga la creación de otras sedes regionales del Tribunal, conforme a los requerimientos de trabajo para ofrecer un servicio público eficiente y de calidad.</w:t>
      </w:r>
    </w:p>
    <w:p w:rsidRPr="00AE1B2B" w:rsidR="009D3FB5" w:rsidP="00163B94" w:rsidRDefault="009D3FB5" w14:paraId="5E70639F"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Los juzgados contarán con las personas juzgadoras que sean necesarias. Se faculta a la Corte Plena para que amplíe las sedes de los Juzgados Agrarios conforme a los criterios señalados…”.</w:t>
      </w:r>
    </w:p>
    <w:p w:rsidRPr="00AE1B2B" w:rsidR="009D3FB5" w:rsidP="00163B94" w:rsidRDefault="009D3FB5" w14:paraId="18AAB95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895B5C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 dable indicar que las referidas potestades están amparadas en la actual Ley Orgánica del Poder Judicial, por lo que lo consignado en el proyecto del Código Procesal Agrario reafirma lo estipulado en esa normativa.</w:t>
      </w:r>
    </w:p>
    <w:p w:rsidRPr="00AE1B2B" w:rsidR="009D3FB5" w:rsidP="00163B94" w:rsidRDefault="009D3FB5" w14:paraId="526C0F80" w14:textId="77777777">
      <w:pPr>
        <w:spacing w:before="120" w:after="120"/>
        <w:ind w:left="851" w:right="851" w:firstLine="709"/>
        <w:jc w:val="both"/>
        <w:rPr>
          <w:rFonts w:ascii="Times New Roman" w:hAnsi="Times New Roman" w:cs="Times New Roman"/>
          <w:sz w:val="26"/>
          <w:szCs w:val="26"/>
        </w:rPr>
      </w:pPr>
      <w:bookmarkStart w:name="_Toc37670468" w:id="242"/>
      <w:bookmarkStart w:name="_Toc68688535" w:id="243"/>
      <w:r w:rsidRPr="00AE1B2B">
        <w:rPr>
          <w:rFonts w:ascii="Times New Roman" w:hAnsi="Times New Roman" w:cs="Times New Roman"/>
          <w:sz w:val="26"/>
          <w:szCs w:val="26"/>
        </w:rPr>
        <w:t>Ampliación de competencias en Recursos de Casación</w:t>
      </w:r>
      <w:bookmarkEnd w:id="242"/>
      <w:bookmarkEnd w:id="243"/>
      <w:r w:rsidRPr="00AE1B2B">
        <w:rPr>
          <w:rFonts w:ascii="Times New Roman" w:hAnsi="Times New Roman" w:cs="Times New Roman"/>
          <w:sz w:val="26"/>
          <w:szCs w:val="26"/>
        </w:rPr>
        <w:t xml:space="preserve"> </w:t>
      </w:r>
    </w:p>
    <w:p w:rsidRPr="00AE1B2B" w:rsidR="009D3FB5" w:rsidP="00163B94" w:rsidRDefault="009D3FB5" w14:paraId="169B8AC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Código Procesal Agrario mantiene la competencia actual de la Sala Primera en la atención de los recursos de casación por razones de fondo, con base en el artículo 210: </w:t>
      </w:r>
    </w:p>
    <w:p w:rsidRPr="00AE1B2B" w:rsidR="009D3FB5" w:rsidP="00163B94" w:rsidRDefault="009D3FB5" w14:paraId="6827AFA2" w14:textId="77777777">
      <w:pPr>
        <w:spacing w:before="120" w:after="120"/>
        <w:ind w:left="851" w:right="851" w:firstLine="709"/>
        <w:jc w:val="both"/>
        <w:rPr>
          <w:rFonts w:ascii="Times New Roman" w:hAnsi="Times New Roman" w:cs="Times New Roman"/>
          <w:b/>
          <w:bCs/>
          <w:i/>
          <w:sz w:val="26"/>
          <w:szCs w:val="26"/>
        </w:rPr>
      </w:pPr>
      <w:r w:rsidRPr="00AE1B2B">
        <w:rPr>
          <w:rFonts w:ascii="Times New Roman" w:hAnsi="Times New Roman" w:cs="Times New Roman"/>
          <w:b/>
          <w:bCs/>
          <w:sz w:val="26"/>
          <w:szCs w:val="26"/>
        </w:rPr>
        <w:t>“</w:t>
      </w:r>
      <w:r w:rsidRPr="00AE1B2B">
        <w:rPr>
          <w:rFonts w:ascii="Times New Roman" w:hAnsi="Times New Roman" w:cs="Times New Roman"/>
          <w:b/>
          <w:bCs/>
          <w:i/>
          <w:sz w:val="26"/>
          <w:szCs w:val="26"/>
        </w:rPr>
        <w:t>ARTÍCULO 210.- Casación por razones de fondo</w:t>
      </w:r>
    </w:p>
    <w:p w:rsidRPr="00AE1B2B" w:rsidR="009D3FB5" w:rsidP="00163B94" w:rsidRDefault="009D3FB5" w14:paraId="5589D4A8"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Procederá el recurso de casación por razones de fondo, cuando se base en:</w:t>
      </w:r>
    </w:p>
    <w:p w:rsidRPr="00AE1B2B" w:rsidR="009D3FB5" w:rsidP="00163B94" w:rsidRDefault="009D3FB5" w14:paraId="23B02612" w14:textId="77777777">
      <w:pPr>
        <w:pStyle w:val="Prrafodelista"/>
        <w:numPr>
          <w:ilvl w:val="0"/>
          <w:numId w:val="96"/>
        </w:num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La violación de los principios y las normas sustantivas aplicables al caso concreto. Esta causal comprende la infracción a las normas sobre la apreciación de la prueba.</w:t>
      </w:r>
    </w:p>
    <w:p w:rsidRPr="00AE1B2B" w:rsidR="009D3FB5" w:rsidP="00163B94" w:rsidRDefault="009D3FB5" w14:paraId="37B14FBD" w14:textId="77777777">
      <w:pPr>
        <w:pStyle w:val="Prrafodelista"/>
        <w:numPr>
          <w:ilvl w:val="0"/>
          <w:numId w:val="96"/>
        </w:num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El quebranto de la cosa juzgada material”.</w:t>
      </w:r>
    </w:p>
    <w:p w:rsidRPr="00AE1B2B" w:rsidR="009D3FB5" w:rsidP="00163B94" w:rsidRDefault="009D3FB5" w14:paraId="284CDF4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Sin embargo, esas funciones se amplían al establecer la posibilidad de interponer recursos de casación por razones procesales, es decir por aspectos de forma, para garantizar la tutela judicial efectiva de las personas usuarias, de acuerdo con el artículo 209:</w:t>
      </w:r>
    </w:p>
    <w:p w:rsidRPr="00AE1B2B" w:rsidR="009D3FB5" w:rsidP="00163B94" w:rsidRDefault="009D3FB5" w14:paraId="281E6390" w14:textId="77777777">
      <w:pPr>
        <w:spacing w:before="120" w:after="120"/>
        <w:ind w:left="851" w:right="851" w:firstLine="709"/>
        <w:jc w:val="both"/>
        <w:rPr>
          <w:rFonts w:ascii="Times New Roman" w:hAnsi="Times New Roman" w:cs="Times New Roman"/>
          <w:b/>
          <w:bCs/>
          <w:i/>
          <w:sz w:val="26"/>
          <w:szCs w:val="26"/>
        </w:rPr>
      </w:pPr>
      <w:r w:rsidRPr="00AE1B2B">
        <w:rPr>
          <w:rFonts w:ascii="Times New Roman" w:hAnsi="Times New Roman" w:cs="Times New Roman"/>
          <w:b/>
          <w:bCs/>
          <w:i/>
          <w:sz w:val="26"/>
          <w:szCs w:val="26"/>
        </w:rPr>
        <w:t>ARTÍCULO 209.- Casación por razones procesales</w:t>
      </w:r>
    </w:p>
    <w:p w:rsidRPr="00AE1B2B" w:rsidR="009D3FB5" w:rsidP="00163B94" w:rsidRDefault="009D3FB5" w14:paraId="30DE4AB4" w14:textId="77777777">
      <w:pPr>
        <w:spacing w:before="120" w:after="120"/>
        <w:ind w:left="851" w:right="851" w:firstLine="709"/>
        <w:jc w:val="both"/>
        <w:rPr>
          <w:rFonts w:ascii="Times New Roman" w:hAnsi="Times New Roman" w:cs="Times New Roman"/>
          <w:b/>
          <w:bCs/>
          <w:i/>
          <w:sz w:val="26"/>
          <w:szCs w:val="26"/>
        </w:rPr>
      </w:pPr>
      <w:r w:rsidRPr="00AE1B2B">
        <w:rPr>
          <w:rFonts w:ascii="Times New Roman" w:hAnsi="Times New Roman" w:cs="Times New Roman"/>
          <w:i/>
          <w:sz w:val="26"/>
          <w:szCs w:val="26"/>
        </w:rPr>
        <w:t>“…El recurso de casación será admisible por motivos de orden procesal, cuando se funde en</w:t>
      </w:r>
      <w:r w:rsidRPr="00AE1B2B">
        <w:rPr>
          <w:rFonts w:ascii="Times New Roman" w:hAnsi="Times New Roman" w:cs="Times New Roman"/>
          <w:b/>
          <w:bCs/>
          <w:i/>
          <w:sz w:val="26"/>
          <w:szCs w:val="26"/>
        </w:rPr>
        <w:t>:</w:t>
      </w:r>
    </w:p>
    <w:p w:rsidRPr="00AE1B2B" w:rsidR="009D3FB5" w:rsidP="00163B94" w:rsidRDefault="009D3FB5" w14:paraId="5AE4A87E" w14:textId="77777777">
      <w:pPr>
        <w:pStyle w:val="Prrafodelista"/>
        <w:numPr>
          <w:ilvl w:val="0"/>
          <w:numId w:val="97"/>
        </w:num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La infracción o errónea aplicación de las normas procesales esenciales para garantizar el debido proceso, siempre que la actividad defectuosa produzca indefensión y no se haya subsanado conforme a la ley.</w:t>
      </w:r>
    </w:p>
    <w:p w:rsidRPr="00AE1B2B" w:rsidR="009D3FB5" w:rsidP="00163B94" w:rsidRDefault="009D3FB5" w14:paraId="1120C018" w14:textId="77777777">
      <w:pPr>
        <w:pStyle w:val="Prrafodelista"/>
        <w:numPr>
          <w:ilvl w:val="0"/>
          <w:numId w:val="97"/>
        </w:num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b/>
          <w:bCs/>
          <w:i/>
          <w:sz w:val="26"/>
          <w:szCs w:val="26"/>
        </w:rPr>
        <w:lastRenderedPageBreak/>
        <w:t>b</w:t>
      </w:r>
      <w:r w:rsidRPr="00AE1B2B">
        <w:rPr>
          <w:rFonts w:ascii="Times New Roman" w:hAnsi="Times New Roman" w:cs="Times New Roman"/>
          <w:i/>
          <w:sz w:val="26"/>
          <w:szCs w:val="26"/>
        </w:rPr>
        <w:t>) La vulneración de la inmediación en la audiencia de juicio o en la deliberación.</w:t>
      </w:r>
    </w:p>
    <w:p w:rsidRPr="00AE1B2B" w:rsidR="009D3FB5" w:rsidP="00163B94" w:rsidRDefault="009D3FB5" w14:paraId="307615C9" w14:textId="77777777">
      <w:pPr>
        <w:pStyle w:val="Prrafodelista"/>
        <w:numPr>
          <w:ilvl w:val="0"/>
          <w:numId w:val="97"/>
        </w:num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La falta, insuficiencia o contradicción grave en la fundamentación de la sentencia.</w:t>
      </w:r>
    </w:p>
    <w:p w:rsidRPr="00AE1B2B" w:rsidR="009D3FB5" w:rsidP="00163B94" w:rsidRDefault="009D3FB5" w14:paraId="3D2E9B48" w14:textId="77777777">
      <w:pPr>
        <w:pStyle w:val="Prrafodelista"/>
        <w:numPr>
          <w:ilvl w:val="0"/>
          <w:numId w:val="97"/>
        </w:num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La fundamentación de la sentencia se base en prueba ilegítima o introducida ilegalmente al proceso.</w:t>
      </w:r>
    </w:p>
    <w:p w:rsidRPr="00AE1B2B" w:rsidR="009D3FB5" w:rsidP="00163B94" w:rsidRDefault="009D3FB5" w14:paraId="4007FC23" w14:textId="77777777">
      <w:pPr>
        <w:pStyle w:val="Prrafodelista"/>
        <w:numPr>
          <w:ilvl w:val="0"/>
          <w:numId w:val="97"/>
        </w:num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La incongruencia de la sentencia. No se incurrirá en dicha causal cuando se otorguen derechos de carácter indisponible u otorgados por el legislador, siempre que su existencia se haya debatido y demostrado en el proceso.</w:t>
      </w:r>
    </w:p>
    <w:p w:rsidRPr="00AE1B2B" w:rsidR="009D3FB5" w:rsidP="00163B94" w:rsidRDefault="009D3FB5" w14:paraId="0D60A289" w14:textId="77777777">
      <w:pPr>
        <w:pStyle w:val="Prrafodelista"/>
        <w:numPr>
          <w:ilvl w:val="0"/>
          <w:numId w:val="97"/>
        </w:num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La inobservancia de las disposiciones previstas en este Código para la deliberación, la integración del tribunal y el plazo de la emisión de la resolución impugnada.</w:t>
      </w:r>
    </w:p>
    <w:p w:rsidRPr="00AE1B2B" w:rsidR="009D3FB5" w:rsidP="00163B94" w:rsidRDefault="009D3FB5" w14:paraId="4F4810C0"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No serán motivos para recurrir, la falta de pronunciamiento sobre las costas o los procesos incidentales sin influencia directa en el fondo del asunto, o cuando no se haya pedido subsanar la omisión por medio de adición.</w:t>
      </w:r>
    </w:p>
    <w:p w:rsidRPr="00AE1B2B" w:rsidR="009D3FB5" w:rsidP="00163B94" w:rsidRDefault="009D3FB5" w14:paraId="1AB76B52"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La parte a quien haya perjudicado la inobservancia de la ley procesal podrá alegar una causal de casación por razones procesales. Lo anterior si oportunamente se agotaron todos los recursos contra lo resuelto…”</w:t>
      </w:r>
    </w:p>
    <w:p w:rsidRPr="00AE1B2B" w:rsidR="009D3FB5" w:rsidP="00163B94" w:rsidRDefault="009D3FB5" w14:paraId="099CECE7" w14:textId="77777777">
      <w:pPr>
        <w:spacing w:before="120" w:after="120"/>
        <w:ind w:left="851" w:right="851" w:firstLine="709"/>
        <w:jc w:val="both"/>
        <w:rPr>
          <w:rFonts w:ascii="Times New Roman" w:hAnsi="Times New Roman" w:cs="Times New Roman"/>
          <w:sz w:val="26"/>
          <w:szCs w:val="26"/>
        </w:rPr>
      </w:pPr>
      <w:bookmarkStart w:name="_Toc37670469" w:id="244"/>
      <w:bookmarkStart w:name="_Toc68688536" w:id="245"/>
      <w:r w:rsidRPr="00AE1B2B">
        <w:rPr>
          <w:rFonts w:ascii="Times New Roman" w:hAnsi="Times New Roman" w:cs="Times New Roman"/>
          <w:sz w:val="26"/>
          <w:szCs w:val="26"/>
        </w:rPr>
        <w:t>Personas juzgadoras especialistas para conciliaciones y ejecuciones</w:t>
      </w:r>
      <w:bookmarkEnd w:id="244"/>
      <w:bookmarkEnd w:id="245"/>
    </w:p>
    <w:p w:rsidRPr="00AE1B2B" w:rsidR="009D3FB5" w:rsidP="00163B94" w:rsidRDefault="009D3FB5" w14:paraId="643911A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artículos 9 y 13 del proyecto incorporan las figuras de conciliadores y ejecutores para atender la jurisdicción agraria en forma prioritaria, así como apoyar en otras funciones según lo permitan las cargas de trabajo. Además, se prevé que las funciones de ejecución se realicen de forma itinerante, según se observa:</w:t>
      </w:r>
    </w:p>
    <w:p w:rsidRPr="00AE1B2B" w:rsidR="009D3FB5" w:rsidP="00163B94" w:rsidRDefault="009D3FB5" w14:paraId="7C6785FD" w14:textId="77777777">
      <w:pPr>
        <w:spacing w:before="120" w:after="120"/>
        <w:ind w:left="851" w:right="851" w:firstLine="709"/>
        <w:jc w:val="both"/>
        <w:rPr>
          <w:rFonts w:ascii="Times New Roman" w:hAnsi="Times New Roman" w:cs="Times New Roman"/>
          <w:b/>
          <w:bCs/>
          <w:i/>
          <w:sz w:val="26"/>
          <w:szCs w:val="26"/>
        </w:rPr>
      </w:pPr>
      <w:r w:rsidRPr="00AE1B2B">
        <w:rPr>
          <w:rFonts w:ascii="Times New Roman" w:hAnsi="Times New Roman" w:cs="Times New Roman"/>
          <w:b/>
          <w:bCs/>
          <w:i/>
          <w:sz w:val="26"/>
          <w:szCs w:val="26"/>
        </w:rPr>
        <w:t>ARTÍCULO 9.- Órganos jurisdiccionales</w:t>
      </w:r>
    </w:p>
    <w:p w:rsidRPr="00AE1B2B" w:rsidR="009D3FB5" w:rsidP="00163B94" w:rsidRDefault="009D3FB5" w14:paraId="2A8C35F2"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“…La jurisdicción agraria estará a cargo de los juzgados y los tribunales agrarios, integrados por las personas juzgadoras especializadas y por la Sala Primera de la Corte Suprema de Justicia. Además, se contará con un equipo especializado de personas juzgadoras especialistas en materia agraria, a cargo de conciliaciones y de ejecución, sin perjuicio de que por las cargas de trabajo asuman funciones de las demás personas juzgadoras para lograr una gestión más eficiente…”.</w:t>
      </w:r>
    </w:p>
    <w:p w:rsidRPr="00AE1B2B" w:rsidR="009D3FB5" w:rsidP="00163B94" w:rsidRDefault="009D3FB5" w14:paraId="5FFE424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84194E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Al respecto es importante indicar que estas funciones se mantienen en los puestos ya existentes de Juezas y Jueces agrarias, quienes logran dar soporte a la entrada de asuntos nuevos, así como a las conciliaciones y ejecuciones, por lo que el criterio de la Dirección de Planificación es mantener las funciones actuales con la misma cantidad de plazas, en el tanto y cuando la carga de trabajo así lo permita.</w:t>
      </w:r>
    </w:p>
    <w:p w:rsidRPr="00AE1B2B" w:rsidR="009D3FB5" w:rsidP="00163B94" w:rsidRDefault="009D3FB5" w14:paraId="46FB40F5" w14:textId="77777777">
      <w:pPr>
        <w:spacing w:before="120" w:after="120"/>
        <w:ind w:left="851" w:right="851" w:firstLine="709"/>
        <w:jc w:val="both"/>
        <w:rPr>
          <w:rStyle w:val="Refdecomentario"/>
          <w:rFonts w:ascii="Times New Roman" w:hAnsi="Times New Roman" w:cs="Times New Roman"/>
          <w:sz w:val="26"/>
          <w:szCs w:val="26"/>
        </w:rPr>
      </w:pPr>
      <w:r w:rsidRPr="00AE1B2B">
        <w:rPr>
          <w:rFonts w:ascii="Times New Roman" w:hAnsi="Times New Roman" w:cs="Times New Roman"/>
          <w:sz w:val="26"/>
          <w:szCs w:val="26"/>
        </w:rPr>
        <w:t xml:space="preserve">En caso de ser necesario, según el criterio de la Comisión del Proyecto de Modernización de la Jurisdicción Agraria, emitido en el 2018 como respuesta al oficio 767-PLA-2018 del 6 de julio de 2018, la atención especializada que se menciona en la Ley recaerá en las dos plazas de personas juzgadoras supernumerarias Agrarias que pertenecen al Centro de Apoyo, Coordinación y Mejoramiento de la Función Jurisdiccional. </w:t>
      </w:r>
    </w:p>
    <w:p w:rsidRPr="00AE1B2B" w:rsidR="009D3FB5" w:rsidP="00163B94" w:rsidRDefault="009D3FB5" w14:paraId="2FF7D052" w14:textId="77777777">
      <w:pPr>
        <w:spacing w:before="120" w:after="120"/>
        <w:ind w:left="851" w:right="851" w:firstLine="709"/>
        <w:jc w:val="both"/>
        <w:rPr>
          <w:rFonts w:ascii="Times New Roman" w:hAnsi="Times New Roman" w:cs="Times New Roman"/>
          <w:b/>
          <w:bCs/>
          <w:i/>
          <w:sz w:val="26"/>
          <w:szCs w:val="26"/>
        </w:rPr>
      </w:pPr>
    </w:p>
    <w:p w:rsidRPr="00AE1B2B" w:rsidR="009D3FB5" w:rsidP="00163B94" w:rsidRDefault="009D3FB5" w14:paraId="50FFA10C"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b/>
          <w:bCs/>
          <w:i/>
          <w:sz w:val="26"/>
          <w:szCs w:val="26"/>
        </w:rPr>
        <w:t>ARTÍCULO 13.- Funciones de las personas juzgadoras Agrarias a cargo de la ejecución</w:t>
      </w:r>
    </w:p>
    <w:p w:rsidRPr="00AE1B2B" w:rsidR="009D3FB5" w:rsidP="00163B94" w:rsidRDefault="009D3FB5" w14:paraId="79D2193B"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“…Las personas juzgadoras agrarias, a cargo de la ejecución, ejecutarán las sentencias y demás resoluciones que, conforme a la ley, deban tramitarse por medio del proceso de ejecución; además, los procesos monitorios, de ejecución hipotecaria y prendaria.</w:t>
      </w:r>
    </w:p>
    <w:p w:rsidRPr="00AE1B2B" w:rsidR="009D3FB5" w:rsidP="00163B94" w:rsidRDefault="009D3FB5" w14:paraId="0C1EDE67"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Deberán asumir otras funciones, incluso aquellas asignadas a las personas juzgadoras decisoras, cuando la organización del despacho lo requiera. De ser necesario serán itinerantes, abarcando la competencia territorial de dos o más tribunales agrarios…”</w:t>
      </w:r>
    </w:p>
    <w:p w:rsidRPr="00AE1B2B" w:rsidR="009D3FB5" w:rsidP="00163B94" w:rsidRDefault="009D3FB5" w14:paraId="1746D389" w14:textId="77777777">
      <w:pPr>
        <w:spacing w:before="120" w:after="120"/>
        <w:ind w:left="851" w:right="851" w:firstLine="709"/>
        <w:jc w:val="both"/>
        <w:rPr>
          <w:rFonts w:ascii="Times New Roman" w:hAnsi="Times New Roman" w:cs="Times New Roman"/>
          <w:b/>
          <w:bCs/>
          <w:i/>
          <w:sz w:val="26"/>
          <w:szCs w:val="26"/>
        </w:rPr>
      </w:pPr>
      <w:r w:rsidRPr="00AE1B2B">
        <w:rPr>
          <w:rFonts w:ascii="Times New Roman" w:hAnsi="Times New Roman" w:cs="Times New Roman"/>
          <w:b/>
          <w:bCs/>
          <w:i/>
          <w:sz w:val="26"/>
          <w:szCs w:val="26"/>
        </w:rPr>
        <w:t>ARTÍCULO 186- Conciliación en audiencias</w:t>
      </w:r>
    </w:p>
    <w:p w:rsidRPr="00AE1B2B" w:rsidR="009D3FB5" w:rsidP="00163B94" w:rsidRDefault="009D3FB5" w14:paraId="132DF881"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“…La conciliación, en cualquier audiencia, será puesta en práctica por las personas juzgadoras agrarias, salvo que exista la posibilidad de que se apersone en el acto una persona especializada en conciliación agraria. Los tribunales informarán a las partes de su derecho a conciliar, para que lo gestionen con antelación a la programación de las audiencias…”.</w:t>
      </w:r>
    </w:p>
    <w:p w:rsidRPr="00AE1B2B" w:rsidR="009D3FB5" w:rsidP="00163B94" w:rsidRDefault="009D3FB5" w14:paraId="65A3162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Asimismo, el Transitorio II establece un plazo de seis meses, a partir de la entrada en vigencia del Código Procesal Agrario, para designar un equipo de personas juzgadoras conciliadoras especialistas en Derecho Agrario y Ambiental. </w:t>
      </w:r>
    </w:p>
    <w:p w:rsidRPr="00AE1B2B" w:rsidR="009D3FB5" w:rsidP="00163B94" w:rsidRDefault="009D3FB5" w14:paraId="3C958CD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debe de indicar que estas funciones se mantienen en los puestos ya existentes de Jueces y Juezas Agrarias por lo que no es </w:t>
      </w:r>
      <w:r w:rsidRPr="00AE1B2B">
        <w:rPr>
          <w:rFonts w:ascii="Times New Roman" w:hAnsi="Times New Roman" w:cs="Times New Roman"/>
          <w:sz w:val="26"/>
          <w:szCs w:val="26"/>
        </w:rPr>
        <w:lastRenderedPageBreak/>
        <w:t>necesaria la creación de más plazas para estas funciones específicas,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w:t>
      </w:r>
    </w:p>
    <w:p w:rsidRPr="00AE1B2B" w:rsidR="009D3FB5" w:rsidP="00163B94" w:rsidRDefault="009D3FB5" w14:paraId="5049EB0D" w14:textId="0731D21F">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consecuencia, de lo mencionado y al inicio del Proyecto de la Implementación de la Reforma Procesal Agraria, durante la primera sesión de seguimiento de dicho proyecto, en la minuta 01-2019 del 15 de enero del 2019 </w:t>
      </w:r>
      <w:r w:rsidRPr="00AE1B2B">
        <w:rPr>
          <w:rFonts w:ascii="Times New Roman" w:hAnsi="Times New Roman" w:cs="Times New Roman"/>
          <w:i/>
          <w:iCs/>
          <w:sz w:val="26"/>
          <w:szCs w:val="26"/>
        </w:rPr>
        <w:t>(ver anexo 3 Minuta de primera sesión de seguimiento Implementación Reforma Procesal Agraria)</w:t>
      </w:r>
      <w:r w:rsidRPr="00AE1B2B">
        <w:rPr>
          <w:rFonts w:ascii="Times New Roman" w:hAnsi="Times New Roman" w:cs="Times New Roman"/>
          <w:sz w:val="26"/>
          <w:szCs w:val="26"/>
        </w:rPr>
        <w:t>, se acordó:</w:t>
      </w:r>
      <w:r w:rsidRPr="00AE1B2B" w:rsidR="00BB7720">
        <w:rPr>
          <w:rFonts w:ascii="Times New Roman" w:hAnsi="Times New Roman" w:cs="Times New Roman"/>
          <w:sz w:val="26"/>
          <w:szCs w:val="26"/>
        </w:rPr>
        <w:t xml:space="preserve"> </w:t>
      </w:r>
    </w:p>
    <w:p w:rsidRPr="00AE1B2B" w:rsidR="009D3FB5" w:rsidP="00163B94" w:rsidRDefault="009D3FB5" w14:paraId="3ECB39B9"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p>
    <w:p w:rsidRPr="00AE1B2B" w:rsidR="009D3FB5" w:rsidP="00163B94" w:rsidRDefault="009D3FB5" w14:paraId="15724C8B"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 La conciliación previa facultativa a la que hace alusión el Código, aspecto que estima de especial relevancia pues se puede constituir en un plan piloto para que causas sean atendidas por el Centro y la Defensa Pública. Solicita se coordinen acciones de capacitación en Agrario a personas juzgadoras conciliadoras y en conciliación a las personas juzgadoras Agrarias para un mayor aprovechamiento. Informa la jueza Damaris Vargas Vásquez que ya se tiene coordinada una fecha de reunión con la señora Kattia Escalante de la Escuela Judicial para iniciar la coordinación de la citada capacitación, por lo que se realizarán las articulaciones respectivas con el Centro de Conciliación y la Defensa Pública…”.</w:t>
      </w:r>
    </w:p>
    <w:p w:rsidRPr="00AE1B2B" w:rsidR="009D3FB5" w:rsidP="00163B94" w:rsidRDefault="009D3FB5" w14:paraId="5CEF3E4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cumplimiento de lo anterior, entre las acciones que se realizan en el tema, según lo informado por la Máster Damaris Vargas Vásquez, en su momento Gestora en materia Agraria, mediante correo electrónico del 21 de marzo del 2019 </w:t>
      </w:r>
      <w:r w:rsidRPr="00AE1B2B" w:rsidDel="006E2F0D">
        <w:rPr>
          <w:rFonts w:ascii="Times New Roman" w:hAnsi="Times New Roman" w:cs="Times New Roman"/>
          <w:sz w:val="26"/>
          <w:szCs w:val="26"/>
        </w:rPr>
        <w:t>ver</w:t>
      </w:r>
      <w:r w:rsidRPr="00AE1B2B">
        <w:rPr>
          <w:rFonts w:ascii="Times New Roman" w:hAnsi="Times New Roman" w:cs="Times New Roman"/>
          <w:i/>
          <w:iCs/>
          <w:sz w:val="26"/>
          <w:szCs w:val="26"/>
        </w:rPr>
        <w:t xml:space="preserve"> anexo 4 Respuesta a información Solicitada a la Licda. Vargas respecto Capacitación Conciliación)</w:t>
      </w:r>
      <w:r w:rsidRPr="00AE1B2B">
        <w:rPr>
          <w:rFonts w:ascii="Times New Roman" w:hAnsi="Times New Roman" w:cs="Times New Roman"/>
          <w:sz w:val="26"/>
          <w:szCs w:val="26"/>
        </w:rPr>
        <w:t xml:space="preserve"> se menciona :</w:t>
      </w:r>
    </w:p>
    <w:p w:rsidRPr="00AE1B2B" w:rsidR="009D3FB5" w:rsidP="00163B94" w:rsidRDefault="009D3FB5" w14:paraId="6134CBB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178D00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trabaja en el diseño de capacitaciones en Derecho Agrario y en el nuevo Código Procesal Agrario para personas jugadoras conciliadoras en conjunto con la Escuela Judicial: </w:t>
      </w:r>
    </w:p>
    <w:p w:rsidRPr="00AE1B2B" w:rsidR="009D3FB5" w:rsidP="00163B94" w:rsidRDefault="009D3FB5" w14:paraId="52D06EA2" w14:textId="77777777">
      <w:pPr>
        <w:pStyle w:val="Prrafodelista"/>
        <w:numPr>
          <w:ilvl w:val="1"/>
          <w:numId w:val="102"/>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Ejemplo de ello fue la participación de las Jueza y Jueces conciliadores es el taller de Medidas Cautelares en los procesos Agrarios. </w:t>
      </w:r>
      <w:r w:rsidRPr="00AE1B2B">
        <w:rPr>
          <w:rFonts w:ascii="Times New Roman" w:hAnsi="Times New Roman" w:cs="Times New Roman"/>
          <w:i/>
          <w:iCs/>
          <w:sz w:val="26"/>
          <w:szCs w:val="26"/>
        </w:rPr>
        <w:t>(ver anexo 5 Participación de personas juzgadoras conciliadoras en el Taller Medidas Cautelares)</w:t>
      </w:r>
    </w:p>
    <w:p w:rsidRPr="00AE1B2B" w:rsidR="009D3FB5" w:rsidP="00163B94" w:rsidRDefault="009D3FB5" w14:paraId="21312681"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759EDAAF" w14:textId="77777777">
      <w:pPr>
        <w:pStyle w:val="Prrafodelista"/>
        <w:numPr>
          <w:ilvl w:val="0"/>
          <w:numId w:val="101"/>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lastRenderedPageBreak/>
        <w:t>Capacitación en Conciliación a las personas juzgadoras agrarias:</w:t>
      </w:r>
    </w:p>
    <w:p w:rsidRPr="00AE1B2B" w:rsidR="009D3FB5" w:rsidP="00163B94" w:rsidRDefault="009D3FB5" w14:paraId="6A3851C6"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0DA60FD8" w14:textId="77777777">
      <w:pPr>
        <w:pStyle w:val="Prrafodelista"/>
        <w:numPr>
          <w:ilvl w:val="1"/>
          <w:numId w:val="102"/>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Se coordinó con la Escuela Judicial la inclusión de 20 cupos para personas juzgadoras Agrarias y 5 espacios para personas defensoras públicas Agrarias en el Subprograma Resolución Alterna de Conflictos del Programa de Especialización, el cual se ejecutó en el 2019. </w:t>
      </w:r>
    </w:p>
    <w:p w:rsidRPr="00AE1B2B" w:rsidR="009D3FB5" w:rsidP="00163B94" w:rsidRDefault="009D3FB5" w14:paraId="36BA8F1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Adicionalmente, 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 donde se contemplan los siguientes despachos:</w:t>
      </w:r>
    </w:p>
    <w:p w:rsidRPr="00AE1B2B" w:rsidR="009D3FB5" w:rsidP="00163B94" w:rsidRDefault="009D3FB5" w14:paraId="2E0F182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41D702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1.</w:t>
      </w:r>
      <w:r w:rsidRPr="00AE1B2B">
        <w:rPr>
          <w:rFonts w:ascii="Times New Roman" w:hAnsi="Times New Roman" w:cs="Times New Roman"/>
          <w:sz w:val="26"/>
          <w:szCs w:val="26"/>
        </w:rPr>
        <w:tab/>
      </w:r>
      <w:r w:rsidRPr="00AE1B2B">
        <w:rPr>
          <w:rFonts w:ascii="Times New Roman" w:hAnsi="Times New Roman" w:cs="Times New Roman"/>
          <w:sz w:val="26"/>
          <w:szCs w:val="26"/>
        </w:rPr>
        <w:t>Juzgado Agrario del Primer Circuito Judicial de la Zona Atlántica (Limón)</w:t>
      </w:r>
    </w:p>
    <w:p w:rsidRPr="00AE1B2B" w:rsidR="009D3FB5" w:rsidP="00163B94" w:rsidRDefault="009D3FB5" w14:paraId="48632FB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2.</w:t>
      </w:r>
      <w:r w:rsidRPr="00AE1B2B">
        <w:rPr>
          <w:rFonts w:ascii="Times New Roman" w:hAnsi="Times New Roman" w:cs="Times New Roman"/>
          <w:sz w:val="26"/>
          <w:szCs w:val="26"/>
        </w:rPr>
        <w:tab/>
      </w:r>
      <w:r w:rsidRPr="00AE1B2B">
        <w:rPr>
          <w:rFonts w:ascii="Times New Roman" w:hAnsi="Times New Roman" w:cs="Times New Roman"/>
          <w:sz w:val="26"/>
          <w:szCs w:val="26"/>
        </w:rPr>
        <w:t>Juzgado Agrario del Segundo Circuito Judicial de la Zona Atlántica (Guápiles)</w:t>
      </w:r>
    </w:p>
    <w:p w:rsidRPr="00AE1B2B" w:rsidR="009D3FB5" w:rsidP="00163B94" w:rsidRDefault="009D3FB5" w14:paraId="2029C91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3.</w:t>
      </w:r>
      <w:r w:rsidRPr="00AE1B2B">
        <w:rPr>
          <w:rFonts w:ascii="Times New Roman" w:hAnsi="Times New Roman" w:cs="Times New Roman"/>
          <w:sz w:val="26"/>
          <w:szCs w:val="26"/>
        </w:rPr>
        <w:tab/>
      </w:r>
      <w:r w:rsidRPr="00AE1B2B">
        <w:rPr>
          <w:rFonts w:ascii="Times New Roman" w:hAnsi="Times New Roman" w:cs="Times New Roman"/>
          <w:sz w:val="26"/>
          <w:szCs w:val="26"/>
        </w:rPr>
        <w:t>Juzgado Agrario del I Circuito Judicial de la Zona Sur (Pérez Zeledón)</w:t>
      </w:r>
    </w:p>
    <w:p w:rsidRPr="00AE1B2B" w:rsidR="009D3FB5" w:rsidP="00163B94" w:rsidRDefault="009D3FB5" w14:paraId="7E14096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4.</w:t>
      </w:r>
      <w:r w:rsidRPr="00AE1B2B">
        <w:rPr>
          <w:rFonts w:ascii="Times New Roman" w:hAnsi="Times New Roman" w:cs="Times New Roman"/>
          <w:sz w:val="26"/>
          <w:szCs w:val="26"/>
        </w:rPr>
        <w:tab/>
      </w:r>
      <w:r w:rsidRPr="00AE1B2B">
        <w:rPr>
          <w:rFonts w:ascii="Times New Roman" w:hAnsi="Times New Roman" w:cs="Times New Roman"/>
          <w:sz w:val="26"/>
          <w:szCs w:val="26"/>
        </w:rPr>
        <w:t>Juzgado Agrario del Segundo Circuito Judicial de Guanacaste (Santa Cruz)</w:t>
      </w:r>
    </w:p>
    <w:p w:rsidRPr="00AE1B2B" w:rsidR="009D3FB5" w:rsidP="00163B94" w:rsidRDefault="009D3FB5" w14:paraId="61B9F8B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5.</w:t>
      </w:r>
      <w:r w:rsidRPr="00AE1B2B">
        <w:rPr>
          <w:rFonts w:ascii="Times New Roman" w:hAnsi="Times New Roman" w:cs="Times New Roman"/>
          <w:sz w:val="26"/>
          <w:szCs w:val="26"/>
        </w:rPr>
        <w:tab/>
      </w:r>
      <w:r w:rsidRPr="00AE1B2B">
        <w:rPr>
          <w:rFonts w:ascii="Times New Roman" w:hAnsi="Times New Roman" w:cs="Times New Roman"/>
          <w:sz w:val="26"/>
          <w:szCs w:val="26"/>
        </w:rPr>
        <w:t>Juzgado Agrario de Puntarenas</w:t>
      </w:r>
    </w:p>
    <w:p w:rsidRPr="00AE1B2B" w:rsidR="009D3FB5" w:rsidP="00163B94" w:rsidRDefault="009D3FB5" w14:paraId="3687F3E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6.</w:t>
      </w:r>
      <w:r w:rsidRPr="00AE1B2B">
        <w:rPr>
          <w:rFonts w:ascii="Times New Roman" w:hAnsi="Times New Roman" w:cs="Times New Roman"/>
          <w:sz w:val="26"/>
          <w:szCs w:val="26"/>
        </w:rPr>
        <w:tab/>
      </w:r>
      <w:r w:rsidRPr="00AE1B2B">
        <w:rPr>
          <w:rFonts w:ascii="Times New Roman" w:hAnsi="Times New Roman" w:cs="Times New Roman"/>
          <w:sz w:val="26"/>
          <w:szCs w:val="26"/>
        </w:rPr>
        <w:t>Juzgado Agrario del Primer Circuito Judicial de Guanacaste (Liberia)</w:t>
      </w:r>
    </w:p>
    <w:p w:rsidRPr="00AE1B2B" w:rsidR="009D3FB5" w:rsidP="00163B94" w:rsidRDefault="009D3FB5" w14:paraId="18A3BF54"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CEFC30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este caso este despacho estaría sujeto a conseguir una sede pues el Centro de Conciliación no tiene sede en Liberia, aunado a ello, en este momento el Juzgado Agrario de Liberia está siendo abordado por dos personas juzgadoras y una adicional por una coyuntura de medida cautelar laboral, sin que se tenga certeza la fecha límite de conclusión de ese apoyo.</w:t>
      </w:r>
    </w:p>
    <w:p w:rsidRPr="00AE1B2B" w:rsidR="009D3FB5" w:rsidP="00163B94" w:rsidRDefault="009D3FB5" w14:paraId="751977E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Sin embargo, en correo remitido por el M.Sc. Gustavo Céspedes, Abogado Gestor de Capacitación de la Escuela Judicial, el 25 de marzo del 2019, indica: </w:t>
      </w:r>
    </w:p>
    <w:p w:rsidRPr="00AE1B2B" w:rsidR="009D3FB5" w:rsidP="00163B94" w:rsidRDefault="009D3FB5" w14:paraId="6D1A822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“…analizando el interés mostrado por las personas juzgadoras de los despachos destinatarios, el mismo resulta exiguo, </w:t>
      </w:r>
      <w:r w:rsidRPr="00AE1B2B">
        <w:rPr>
          <w:rFonts w:ascii="Times New Roman" w:hAnsi="Times New Roman" w:cs="Times New Roman"/>
          <w:i/>
          <w:iCs/>
          <w:sz w:val="26"/>
          <w:szCs w:val="26"/>
        </w:rPr>
        <w:lastRenderedPageBreak/>
        <w:t>motivo por el cuál con instrucciones de la Dirección de la Escuela Judicial, no se considera oportuno, en esta oportunidad, ejecutar las capacitaciones aludidas…”(ver anexo 6 Sobre cursos de CONCILIACIÓN EN MATERIA AGRARIA)”.</w:t>
      </w:r>
    </w:p>
    <w:p w:rsidRPr="00AE1B2B" w:rsidR="009D3FB5" w:rsidP="00163B94" w:rsidRDefault="009D3FB5" w14:paraId="2D002840"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sz w:val="26"/>
          <w:szCs w:val="26"/>
        </w:rPr>
        <w:t xml:space="preserve">El plan piloto se ejecutó en el 2019, específicamente del 16 de mayo al 16 de noviembre de 2019, durante siete meses. La información anterior corresponde a lo indicado por la Máster Vargas, por medio de correo electrónico del 21 de marzo del 2019. </w:t>
      </w:r>
      <w:r w:rsidRPr="00AE1B2B">
        <w:rPr>
          <w:rFonts w:ascii="Times New Roman" w:hAnsi="Times New Roman" w:cs="Times New Roman"/>
          <w:i/>
          <w:iCs/>
          <w:sz w:val="26"/>
          <w:szCs w:val="26"/>
        </w:rPr>
        <w:t>(ver anexo 7 Plan Piloto Colaboración del Centro de Conciliación del Poder Judicial para el proyecto de implementación del Código Procesal Agrario).</w:t>
      </w:r>
    </w:p>
    <w:p w:rsidRPr="00AE1B2B" w:rsidR="009D3FB5" w:rsidP="00163B94" w:rsidRDefault="009D3FB5" w14:paraId="7A14F27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Aunado a lo anterior, se realiza la consulta vía correo electrónico a la Licda. María Jesús Ugalde Zamora, Jueza Conciliadora del Centro de Conciliación y a la Licda. Carmen Cerdas Cisneros, Coordinadora del Centro de Conciliación, sobre la ejecución del Plan Piloto y las capacitaciones recibidas según lo indicado en líneas anteriores, quienes manifiestan: </w:t>
      </w:r>
      <w:r w:rsidRPr="00AE1B2B">
        <w:rPr>
          <w:rFonts w:ascii="Times New Roman" w:hAnsi="Times New Roman" w:cs="Times New Roman"/>
          <w:i/>
          <w:iCs/>
          <w:sz w:val="26"/>
          <w:szCs w:val="26"/>
        </w:rPr>
        <w:t>(ver anexo 13. Consulta Plan Piloto Conciliación en materia Agraria)</w:t>
      </w:r>
      <w:r w:rsidRPr="00AE1B2B">
        <w:rPr>
          <w:rFonts w:ascii="Times New Roman" w:hAnsi="Times New Roman" w:cs="Times New Roman"/>
          <w:sz w:val="26"/>
          <w:szCs w:val="26"/>
        </w:rPr>
        <w:t xml:space="preserve">: </w:t>
      </w:r>
    </w:p>
    <w:p w:rsidRPr="00AE1B2B" w:rsidR="009D3FB5" w:rsidP="00163B94" w:rsidRDefault="009D3FB5" w14:paraId="10A7C469"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“…le informo sobre los resultados en la implementación del "PLAN PILOTO: AUDIENCIAS TEMPRANAS DE CONCILIACIÓN EN MATERIA AGRARIA", en el que intervienen cinco de las sedes y los respectivos Juzgados Agrarios.</w:t>
      </w:r>
    </w:p>
    <w:p w:rsidRPr="00AE1B2B" w:rsidR="009D3FB5" w:rsidP="00163B94" w:rsidRDefault="009D3FB5" w14:paraId="0F26B4B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I.- Producto de la coordinación con el Proyecto de Implementación del Código Procesal Agrario, como parte de la capacitación profesional y especialización que se requiere para la atención de la materia agraria, las personas juzgadoras del Centro de Conciliación del Poder Judicial tuvimos la oportunidad de participar en las siguientes actividades realizadas en la Escuela Judicial: </w:t>
      </w:r>
    </w:p>
    <w:p w:rsidRPr="00AE1B2B" w:rsidR="009D3FB5" w:rsidP="00163B94" w:rsidRDefault="009D3FB5" w14:paraId="5AEF3EF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r w:rsidRPr="00AE1B2B">
        <w:rPr>
          <w:rFonts w:ascii="Times New Roman" w:hAnsi="Times New Roman" w:cs="Times New Roman"/>
          <w:i/>
          <w:iCs/>
          <w:sz w:val="26"/>
          <w:szCs w:val="26"/>
        </w:rPr>
        <w:tab/>
      </w:r>
      <w:r w:rsidRPr="00AE1B2B">
        <w:rPr>
          <w:rFonts w:ascii="Times New Roman" w:hAnsi="Times New Roman" w:cs="Times New Roman"/>
          <w:i/>
          <w:iCs/>
          <w:sz w:val="26"/>
          <w:szCs w:val="26"/>
        </w:rPr>
        <w:t>"Taller de medidas cautelares en materia agraria", el día 08 de marzo del 2019.</w:t>
      </w:r>
    </w:p>
    <w:p w:rsidRPr="00AE1B2B" w:rsidR="009D3FB5" w:rsidP="00163B94" w:rsidRDefault="009D3FB5" w14:paraId="274EB6C9"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r w:rsidRPr="00AE1B2B">
        <w:rPr>
          <w:rFonts w:ascii="Times New Roman" w:hAnsi="Times New Roman" w:cs="Times New Roman"/>
          <w:i/>
          <w:iCs/>
          <w:sz w:val="26"/>
          <w:szCs w:val="26"/>
        </w:rPr>
        <w:tab/>
      </w:r>
      <w:r w:rsidRPr="00AE1B2B">
        <w:rPr>
          <w:rFonts w:ascii="Times New Roman" w:hAnsi="Times New Roman" w:cs="Times New Roman"/>
          <w:i/>
          <w:iCs/>
          <w:sz w:val="26"/>
          <w:szCs w:val="26"/>
        </w:rPr>
        <w:t>"Conversatorio: Aspectos Generales de la Materia Agraria y Criterios de Admisibilidad", impartido por la Master Damaris Vargas Vasquez y el señor Frank Álvarez representante de la Defensa Pública, el día 03 de mayo de 2019.</w:t>
      </w:r>
    </w:p>
    <w:p w:rsidRPr="00AE1B2B" w:rsidR="009D3FB5" w:rsidP="00163B94" w:rsidRDefault="009D3FB5" w14:paraId="11C713F1"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w:t>
      </w:r>
      <w:r w:rsidRPr="00AE1B2B">
        <w:rPr>
          <w:rFonts w:ascii="Times New Roman" w:hAnsi="Times New Roman" w:cs="Times New Roman"/>
          <w:i/>
          <w:iCs/>
          <w:sz w:val="26"/>
          <w:szCs w:val="26"/>
        </w:rPr>
        <w:tab/>
      </w:r>
      <w:r w:rsidRPr="00AE1B2B">
        <w:rPr>
          <w:rFonts w:ascii="Times New Roman" w:hAnsi="Times New Roman" w:cs="Times New Roman"/>
          <w:i/>
          <w:iCs/>
          <w:sz w:val="26"/>
          <w:szCs w:val="26"/>
        </w:rPr>
        <w:t>"Taller Competencia Jurisdiccional Agraria", el día 10 de mayo de 2019.</w:t>
      </w:r>
    </w:p>
    <w:p w:rsidRPr="00AE1B2B" w:rsidR="009D3FB5" w:rsidP="00163B94" w:rsidRDefault="009D3FB5" w14:paraId="1D54ACA4"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Se crea enlace con la jurisdicción agraria representada por la señora Damaris Vargas Vásquez, la defensa pública representada por el señor Frank Álvarez y con la Escuela Judicial para que las </w:t>
      </w:r>
      <w:r w:rsidRPr="00AE1B2B">
        <w:rPr>
          <w:rFonts w:ascii="Times New Roman" w:hAnsi="Times New Roman" w:cs="Times New Roman"/>
          <w:i/>
          <w:iCs/>
          <w:sz w:val="26"/>
          <w:szCs w:val="26"/>
        </w:rPr>
        <w:lastRenderedPageBreak/>
        <w:t xml:space="preserve">personas juzgadoras del CCPJ seamos partícipes de las diferentes capacitaciones, talleres, conversatorios, especializaciones, etc. que se impartan en la materia agraria. </w:t>
      </w:r>
    </w:p>
    <w:p w:rsidRPr="00AE1B2B" w:rsidR="009D3FB5" w:rsidP="00163B94" w:rsidRDefault="009D3FB5" w14:paraId="546FC9DF"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II.- El Plan piloto se desarrolló por etapas, siendo la última de ellas la tercera, que se fijó del 16 de mayo al 16 de noviembre de 2019, período de seis meses en los que los Juzgados Agrarios de mayor circulante en el país (según información brindada por la Coordinación del Proyecto de Implementación del CPA) debían remitir expedientes a las sedes del CCPJ para la celebración de las audiencias de conciliación. Se observa que la cantidad de expedientes remitidos a las sedes en general es muy baja (entre cero y cuarenta y uno expedientes), en el caso específico de los Juzgados Agrarios de Puntarenas y de Pococí no remitieron expedientes, lo que incide en los bajos resultados o impidió del todo la implementación del Plan en esos circuitos. </w:t>
      </w:r>
    </w:p>
    <w:p w:rsidRPr="00AE1B2B" w:rsidR="009D3FB5" w:rsidP="00163B94" w:rsidRDefault="009D3FB5" w14:paraId="5FA055FD" w14:textId="1FD63C86">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 esta fecha las personas juzgadoras conciliadoras de cada sede del CCPJ vinculada al Plan Piloto tienen la responsabilidad de entregar un informe de labores y resultados que será presentado por la Coordinación del Centro de Conciliación del Poder Judicial a la Coordinación del Proyecto de Implementación del Código Procesal Agrario, Master Damaris Vargas Vásquez, quien posteriormente lo hará de conocimiento del Consejo Superior.</w:t>
      </w:r>
      <w:r w:rsidRPr="00AE1B2B" w:rsidR="00BB7720">
        <w:rPr>
          <w:rFonts w:ascii="Times New Roman" w:hAnsi="Times New Roman" w:cs="Times New Roman"/>
          <w:i/>
          <w:iCs/>
          <w:sz w:val="26"/>
          <w:szCs w:val="26"/>
        </w:rPr>
        <w:t xml:space="preserve"> </w:t>
      </w:r>
    </w:p>
    <w:p w:rsidRPr="00AE1B2B" w:rsidR="009D3FB5" w:rsidP="00163B94" w:rsidRDefault="009D3FB5" w14:paraId="250FACEB"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Para facilitar la comunicación, la suscrita mediante correo electrónico enviado el día 11 de noviembre de 2019 (del cual su persona fue copiada), solicité información y resultados obtenidos a las sedes del CCPJ vinculadas con el Plan, con fecha de corte al 31-10-2019, no se tuvo respuesta de todas las sedes…”.</w:t>
      </w:r>
    </w:p>
    <w:p w:rsidRPr="00AE1B2B" w:rsidR="009D3FB5" w:rsidP="00163B94" w:rsidRDefault="009D3FB5" w14:paraId="65697D53" w14:textId="77777777">
      <w:pPr>
        <w:spacing w:before="120" w:after="120"/>
        <w:ind w:left="851" w:right="851" w:firstLine="709"/>
        <w:jc w:val="both"/>
        <w:rPr>
          <w:rFonts w:ascii="Times New Roman" w:hAnsi="Times New Roman" w:cs="Times New Roman"/>
          <w:sz w:val="26"/>
          <w:szCs w:val="26"/>
        </w:rPr>
      </w:pPr>
      <w:bookmarkStart w:name="_Toc37670470" w:id="246"/>
      <w:bookmarkStart w:name="_Toc68688537" w:id="247"/>
      <w:r w:rsidRPr="00AE1B2B">
        <w:rPr>
          <w:rFonts w:ascii="Times New Roman" w:hAnsi="Times New Roman" w:cs="Times New Roman"/>
          <w:sz w:val="26"/>
          <w:szCs w:val="26"/>
        </w:rPr>
        <w:t>Intervención de la Defensa Pública</w:t>
      </w:r>
      <w:bookmarkEnd w:id="246"/>
      <w:bookmarkEnd w:id="247"/>
    </w:p>
    <w:p w:rsidRPr="00AE1B2B" w:rsidR="009D3FB5" w:rsidP="00163B94" w:rsidRDefault="009D3FB5" w14:paraId="1AF9BDB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artículo 44 del Código Procesal Agrario menciona el deber de las partes de actuar con patrocinio letrado, en los siguientes términos:</w:t>
      </w:r>
    </w:p>
    <w:p w:rsidRPr="00AE1B2B" w:rsidR="009D3FB5" w:rsidP="00163B94" w:rsidRDefault="009D3FB5" w14:paraId="79EF9973" w14:textId="77777777">
      <w:pPr>
        <w:spacing w:before="120" w:after="120"/>
        <w:ind w:left="851" w:right="851" w:firstLine="709"/>
        <w:jc w:val="both"/>
        <w:rPr>
          <w:rFonts w:ascii="Times New Roman" w:hAnsi="Times New Roman" w:cs="Times New Roman"/>
          <w:b/>
          <w:bCs/>
          <w:i/>
          <w:sz w:val="26"/>
          <w:szCs w:val="26"/>
        </w:rPr>
      </w:pPr>
      <w:r w:rsidRPr="00AE1B2B">
        <w:rPr>
          <w:rFonts w:ascii="Times New Roman" w:hAnsi="Times New Roman" w:cs="Times New Roman"/>
          <w:b/>
          <w:bCs/>
          <w:i/>
          <w:sz w:val="26"/>
          <w:szCs w:val="26"/>
        </w:rPr>
        <w:t>“ARTÍCULO 44.- Patrocinio letrado</w:t>
      </w:r>
    </w:p>
    <w:p w:rsidRPr="00AE1B2B" w:rsidR="009D3FB5" w:rsidP="00163B94" w:rsidRDefault="009D3FB5" w14:paraId="77DEC2AA"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Las partes deberán actuar con patrocinio letrado, salvo que sean profesionales en derecho. Se otorgará el patrocinio letrado gratuito, conforme lo establece esta ley. Quien autentique será responsable de su contenido. Su firma implicará, salvo manifestación expresa en contrario, la dirección del proceso con las facultades de actuar en nombre de la parte para todo lo que le beneficie, siempre y cuando no se requiera su participación personal o poder especial judicial.”.</w:t>
      </w:r>
    </w:p>
    <w:p w:rsidRPr="00AE1B2B" w:rsidR="009D3FB5" w:rsidP="00163B94" w:rsidRDefault="009D3FB5" w14:paraId="37DEF78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FCBEFE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Por su parte, el artículo 51 regula las condiciones del patrocinio letrado gratuito que brindará la Defensa Pública, priorizando la atención en aquellas personas con limitaciones económicas:</w:t>
      </w:r>
    </w:p>
    <w:p w:rsidRPr="00AE1B2B" w:rsidR="009D3FB5" w:rsidP="00163B94" w:rsidRDefault="009D3FB5" w14:paraId="4DBF71A5" w14:textId="77777777">
      <w:pPr>
        <w:spacing w:before="120" w:after="120"/>
        <w:ind w:left="851" w:right="851" w:firstLine="709"/>
        <w:jc w:val="both"/>
        <w:rPr>
          <w:rFonts w:ascii="Times New Roman" w:hAnsi="Times New Roman" w:cs="Times New Roman"/>
          <w:b/>
          <w:bCs/>
          <w:i/>
          <w:sz w:val="26"/>
          <w:szCs w:val="26"/>
        </w:rPr>
      </w:pPr>
      <w:r w:rsidRPr="00AE1B2B">
        <w:rPr>
          <w:rFonts w:ascii="Times New Roman" w:hAnsi="Times New Roman" w:cs="Times New Roman"/>
          <w:b/>
          <w:bCs/>
          <w:i/>
          <w:sz w:val="26"/>
          <w:szCs w:val="26"/>
        </w:rPr>
        <w:t>“ARTÍCULO 51.- Defensa técnica gratuita</w:t>
      </w:r>
    </w:p>
    <w:p w:rsidRPr="00AE1B2B" w:rsidR="009D3FB5" w:rsidP="00163B94" w:rsidRDefault="009D3FB5" w14:paraId="4477A32E"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b/>
          <w:i/>
          <w:sz w:val="26"/>
          <w:szCs w:val="26"/>
          <w:u w:val="single"/>
        </w:rPr>
        <w:t xml:space="preserve">Las partes tendrán acceso a la defensa técnica gratuita especializada, siempre y cuando acrediten plenamente que carecen de recursos económicos suficientes, para lo cual deben emitir una declaración jurada ante la Defensa Pública, cuyos datos serán verificados por ésta. </w:t>
      </w:r>
      <w:r w:rsidRPr="00AE1B2B">
        <w:rPr>
          <w:rFonts w:ascii="Times New Roman" w:hAnsi="Times New Roman" w:cs="Times New Roman"/>
          <w:b/>
          <w:i/>
          <w:sz w:val="26"/>
          <w:szCs w:val="26"/>
        </w:rPr>
        <w:t>(Lo subrayado no pertenece al documento original</w:t>
      </w:r>
      <w:r w:rsidRPr="00AE1B2B">
        <w:rPr>
          <w:rFonts w:ascii="Times New Roman" w:hAnsi="Times New Roman" w:cs="Times New Roman"/>
          <w:i/>
          <w:sz w:val="26"/>
          <w:szCs w:val="26"/>
        </w:rPr>
        <w:t>). Las partes interesadas deberán pedir directamente este beneficio en las oficinas de la Defensa Pública de cada circuito judicial y se acreditará su aceptación en la primera resolución que de curso al proceso. Si se acredita que quien solicita la defensa técnica tiene recursos económicos suficientes para sufragar el costo de la asesoría legal, dicha dependencia requerirá su pago, a través de los mecanismos legales pertinentes.”.</w:t>
      </w:r>
    </w:p>
    <w:p w:rsidRPr="00AE1B2B" w:rsidR="009D3FB5" w:rsidP="00163B94" w:rsidRDefault="009D3FB5" w14:paraId="3CBBE63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Además, el artículo 45 impone la designación de abogados suplentes para evitar la suspensión de las audiencias:</w:t>
      </w:r>
    </w:p>
    <w:p w:rsidRPr="00AE1B2B" w:rsidR="009D3FB5" w:rsidP="00163B94" w:rsidRDefault="009D3FB5" w14:paraId="0F7AAE69" w14:textId="77777777">
      <w:pPr>
        <w:spacing w:before="120" w:after="120"/>
        <w:ind w:left="851" w:right="851" w:firstLine="709"/>
        <w:jc w:val="both"/>
        <w:rPr>
          <w:rFonts w:ascii="Times New Roman" w:hAnsi="Times New Roman" w:cs="Times New Roman"/>
          <w:b/>
          <w:bCs/>
          <w:i/>
          <w:sz w:val="26"/>
          <w:szCs w:val="26"/>
        </w:rPr>
      </w:pPr>
      <w:r w:rsidRPr="00AE1B2B">
        <w:rPr>
          <w:rFonts w:ascii="Times New Roman" w:hAnsi="Times New Roman" w:cs="Times New Roman"/>
          <w:b/>
          <w:bCs/>
          <w:i/>
          <w:sz w:val="26"/>
          <w:szCs w:val="26"/>
        </w:rPr>
        <w:t>“ARTÍCULO 45.- Abogadas o abogados suplentes</w:t>
      </w:r>
    </w:p>
    <w:p w:rsidRPr="00AE1B2B" w:rsidR="009D3FB5" w:rsidP="00163B94" w:rsidRDefault="009D3FB5" w14:paraId="7081A5FE"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 xml:space="preserve">Con el fin de evitar la posposición de audiencias, la persona abogada directora podrá designar a uno o dos suplentes, sin que ello implique costo adicional de honorarios para la parte, siempre y cuando la parte que representa así lo autorice en forma expresa, </w:t>
      </w:r>
      <w:r w:rsidRPr="00AE1B2B">
        <w:rPr>
          <w:rFonts w:ascii="Times New Roman" w:hAnsi="Times New Roman" w:cs="Times New Roman"/>
          <w:b/>
          <w:i/>
          <w:sz w:val="26"/>
          <w:szCs w:val="26"/>
          <w:u w:val="single"/>
        </w:rPr>
        <w:t>sin que sea obligatoria tal designación</w:t>
      </w:r>
      <w:r w:rsidRPr="00AE1B2B">
        <w:rPr>
          <w:rFonts w:ascii="Times New Roman" w:hAnsi="Times New Roman" w:cs="Times New Roman"/>
          <w:i/>
          <w:sz w:val="26"/>
          <w:szCs w:val="26"/>
        </w:rPr>
        <w:t>, (lo subrayado y resaltado no pertenece al original) quienes sean suplentes tendrán las mismas facultades de actuación en el proceso.”.</w:t>
      </w:r>
    </w:p>
    <w:p w:rsidRPr="00AE1B2B" w:rsidR="009D3FB5" w:rsidP="00163B94" w:rsidRDefault="009D3FB5" w14:paraId="38C9F5C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Cabe indicar que, en el presente, la Defensa Pública brinda sus servicios a ambas partes en los procesos agrarios y no requiere de más plazas, según se amplió en el apartado anterior.</w:t>
      </w:r>
    </w:p>
    <w:p w:rsidRPr="00AE1B2B" w:rsidR="009D3FB5" w:rsidP="00163B94" w:rsidRDefault="009D3FB5" w14:paraId="36E70B3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Como se hace mención en el apartado de </w:t>
      </w:r>
      <w:r w:rsidRPr="00AE1B2B">
        <w:rPr>
          <w:rFonts w:ascii="Times New Roman" w:hAnsi="Times New Roman" w:cs="Times New Roman"/>
          <w:i/>
          <w:sz w:val="26"/>
          <w:szCs w:val="26"/>
        </w:rPr>
        <w:t>Antecedentes</w:t>
      </w:r>
      <w:r w:rsidRPr="00AE1B2B">
        <w:rPr>
          <w:rFonts w:ascii="Times New Roman" w:hAnsi="Times New Roman" w:cs="Times New Roman"/>
          <w:sz w:val="26"/>
          <w:szCs w:val="26"/>
        </w:rPr>
        <w:t xml:space="preserve">, mediante oficio 7550-17 del 5 de mayo, de la Secretaría General de la Corte, se remite el acuerdo del Consejo Superior, sesión 15-17 del 31 de mayo, donde se dispuso: </w:t>
      </w:r>
    </w:p>
    <w:p w:rsidRPr="00AE1B2B" w:rsidR="009D3FB5" w:rsidP="00163B94" w:rsidRDefault="009D3FB5" w14:paraId="58A72097"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 xml:space="preserve">“Acoger la solicitud de la Magistrada Escoto, en consecuencia, otorgar a la Jurisdicción Agraria el recurso de </w:t>
      </w:r>
      <w:r w:rsidRPr="00AE1B2B">
        <w:rPr>
          <w:rFonts w:ascii="Times New Roman" w:hAnsi="Times New Roman" w:cs="Times New Roman"/>
          <w:b/>
          <w:i/>
          <w:sz w:val="26"/>
          <w:szCs w:val="26"/>
        </w:rPr>
        <w:t>7 plazas extraordinarias</w:t>
      </w:r>
      <w:r w:rsidRPr="00AE1B2B">
        <w:rPr>
          <w:rFonts w:ascii="Times New Roman" w:hAnsi="Times New Roman" w:cs="Times New Roman"/>
          <w:i/>
          <w:sz w:val="26"/>
          <w:szCs w:val="26"/>
        </w:rPr>
        <w:t xml:space="preserve"> (la negrita no es del original) de Defensora o </w:t>
      </w:r>
      <w:r w:rsidRPr="00AE1B2B">
        <w:rPr>
          <w:rFonts w:ascii="Times New Roman" w:hAnsi="Times New Roman" w:cs="Times New Roman"/>
          <w:i/>
          <w:sz w:val="26"/>
          <w:szCs w:val="26"/>
        </w:rPr>
        <w:lastRenderedPageBreak/>
        <w:t>Defensor Público para garantizar al menos un profesional por cada Juzgado Agrario a nivel nacional (…)”.</w:t>
      </w:r>
    </w:p>
    <w:p w:rsidRPr="00AE1B2B" w:rsidR="009D3FB5" w:rsidP="00163B94" w:rsidRDefault="009D3FB5" w14:paraId="1E9A1D3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Posteriormente, mediante oficio 37-CSP-18 del 9 de abril, de la Secretaría General de la Corte, se remite el acuerdo del Consejo Superior, sesión extraordinaria 25-18 del 4 de abril, donde se aprobó el informe 20-PLA-OI-2018, presentado por la Dirección de Planificación y sus recomendaciones, entre las que se destaca asignar siete plazas extraordinarias de Defensor Público para la atención de materia Agraria, por todo el período 2018 en apoyo del plan de descongestionamiento del Tribunal Agrario, y se estima la continuidad de las plazas de defensores para el período 2019.</w:t>
      </w:r>
    </w:p>
    <w:p w:rsidRPr="00AE1B2B" w:rsidR="009D3FB5" w:rsidP="00163B94" w:rsidRDefault="009D3FB5" w14:paraId="1960ABF1"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sz w:val="26"/>
          <w:szCs w:val="26"/>
        </w:rPr>
        <w:t xml:space="preserve">Por otro lado, </w:t>
      </w:r>
      <w:r w:rsidRPr="00AE1B2B">
        <w:rPr>
          <w:rFonts w:ascii="Times New Roman" w:hAnsi="Times New Roman" w:cs="Times New Roman"/>
          <w:sz w:val="26"/>
          <w:szCs w:val="26"/>
          <w:lang w:val="es-ES" w:eastAsia="zh-CN"/>
        </w:rPr>
        <w:t>sesión extraordinaria 47-19 (Presupuesto 2020), celebrada el 23 de mayo del año 2020, “artículo VIII, informe 102-</w:t>
      </w:r>
      <w:r w:rsidRPr="00AE1B2B">
        <w:rPr>
          <w:rFonts w:ascii="Times New Roman" w:hAnsi="Times New Roman" w:cs="Times New Roman"/>
          <w:sz w:val="26"/>
          <w:szCs w:val="26"/>
          <w:lang w:val="es-ES" w:eastAsia="zh-CN"/>
        </w:rPr>
        <w:softHyphen/>
        <w:t xml:space="preserve">CSP-19, se conoció el consolidado de las plazas aprobadas para el 2020 por el Consejo Superior, donde las plazas extraordinarias de Defensora o Defensor Público se trasladan a plazas Ordinarias. </w:t>
      </w:r>
      <w:r w:rsidRPr="00AE1B2B">
        <w:rPr>
          <w:rFonts w:ascii="Times New Roman" w:hAnsi="Times New Roman" w:cs="Times New Roman"/>
          <w:i/>
          <w:iCs/>
          <w:sz w:val="26"/>
          <w:szCs w:val="26"/>
          <w:lang w:val="es-ES" w:eastAsia="zh-CN"/>
        </w:rPr>
        <w:t>(Ver anexo 8 oficio 102-CPS-2019 Plazas Ordinarias y Extraordinarias).</w:t>
      </w:r>
    </w:p>
    <w:p w:rsidRPr="00AE1B2B" w:rsidR="009D3FB5" w:rsidP="00163B94" w:rsidRDefault="009D3FB5" w14:paraId="2CB0FCE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Por último, mediante oficio JEFDP-63-2019 del 5 de febrero del 2019, remite al Consejo Superior del Poder Judicial, lo dispuesto por esa Dirección, que de forma textual señala: </w:t>
      </w:r>
    </w:p>
    <w:p w:rsidRPr="00AE1B2B" w:rsidR="009D3FB5" w:rsidP="00163B94" w:rsidRDefault="009D3FB5" w14:paraId="1CE377F9" w14:textId="3526D269">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 los defensores públicos de materia agraria, quienes como parte de su labor profesional ya han tramitado caso de población indígena y que como parte de su</w:t>
      </w:r>
      <w:r w:rsidRPr="00AE1B2B" w:rsidR="00BB7720">
        <w:rPr>
          <w:rFonts w:ascii="Times New Roman" w:hAnsi="Times New Roman" w:cs="Times New Roman"/>
          <w:i/>
          <w:sz w:val="26"/>
          <w:szCs w:val="26"/>
        </w:rPr>
        <w:t xml:space="preserve"> </w:t>
      </w:r>
      <w:r w:rsidRPr="00AE1B2B">
        <w:rPr>
          <w:rFonts w:ascii="Times New Roman" w:hAnsi="Times New Roman" w:cs="Times New Roman"/>
          <w:i/>
          <w:sz w:val="26"/>
          <w:szCs w:val="26"/>
        </w:rPr>
        <w:t>formación académica en una mayoría de casos ya han sido capacitados en materia indígena por estudios universitarios de especialidad, asuman la representación de la población indígena en materia contenciosa administrativa,</w:t>
      </w:r>
      <w:r w:rsidRPr="00AE1B2B" w:rsidR="00BB7720">
        <w:rPr>
          <w:rFonts w:ascii="Times New Roman" w:hAnsi="Times New Roman" w:cs="Times New Roman"/>
          <w:i/>
          <w:sz w:val="26"/>
          <w:szCs w:val="26"/>
        </w:rPr>
        <w:t xml:space="preserve"> </w:t>
      </w:r>
      <w:r w:rsidRPr="00AE1B2B">
        <w:rPr>
          <w:rFonts w:ascii="Times New Roman" w:hAnsi="Times New Roman" w:cs="Times New Roman"/>
          <w:i/>
          <w:sz w:val="26"/>
          <w:szCs w:val="26"/>
        </w:rPr>
        <w:t>lo cual, ante la carencia de recursos que enfrenta la institución, se solicita sea avalado por este Consejo Superior en su condición de superior administrativo (…)”</w:t>
      </w:r>
    </w:p>
    <w:p w:rsidRPr="00AE1B2B" w:rsidR="009D3FB5" w:rsidP="00163B94" w:rsidRDefault="009D3FB5" w14:paraId="5D7E5290"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Actualmente se emite una declaración jurada de fe ante la Defensa Pública y los datos son verificados de los que carecen de recurso económico.”.</w:t>
      </w:r>
    </w:p>
    <w:p w:rsidRPr="00AE1B2B" w:rsidR="009D3FB5" w:rsidP="00163B94" w:rsidRDefault="009D3FB5" w14:paraId="5232469D" w14:textId="77777777">
      <w:pPr>
        <w:spacing w:before="120" w:after="120"/>
        <w:ind w:left="851" w:right="851" w:firstLine="709"/>
        <w:jc w:val="both"/>
        <w:rPr>
          <w:rFonts w:ascii="Times New Roman" w:hAnsi="Times New Roman" w:cs="Times New Roman"/>
          <w:sz w:val="26"/>
          <w:szCs w:val="26"/>
        </w:rPr>
      </w:pPr>
      <w:bookmarkStart w:name="_Toc37670471" w:id="248"/>
      <w:bookmarkStart w:name="_Toc68688538" w:id="249"/>
      <w:r w:rsidRPr="00AE1B2B">
        <w:rPr>
          <w:rFonts w:ascii="Times New Roman" w:hAnsi="Times New Roman" w:cs="Times New Roman"/>
          <w:sz w:val="26"/>
          <w:szCs w:val="26"/>
        </w:rPr>
        <w:t>Atención a las personas indígenas</w:t>
      </w:r>
      <w:bookmarkEnd w:id="248"/>
      <w:bookmarkEnd w:id="249"/>
      <w:r w:rsidRPr="00AE1B2B">
        <w:rPr>
          <w:rFonts w:ascii="Times New Roman" w:hAnsi="Times New Roman" w:cs="Times New Roman"/>
          <w:sz w:val="26"/>
          <w:szCs w:val="26"/>
        </w:rPr>
        <w:t xml:space="preserve"> (este capítulo se colocó en el de indígenas también)</w:t>
      </w:r>
    </w:p>
    <w:p w:rsidRPr="00AE1B2B" w:rsidR="009D3FB5" w:rsidP="00163B94" w:rsidRDefault="009D3FB5" w14:paraId="6DCBC8E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Código Procesal Agrario incorpora normas referidas a procesos vinculados con personas indígenas para procurarles una tutela judicial efectiva, según se constató en varios artículos que se mencionan a continuación:</w:t>
      </w:r>
    </w:p>
    <w:p w:rsidRPr="00AE1B2B" w:rsidR="009D3FB5" w:rsidP="00163B94" w:rsidRDefault="009D3FB5" w14:paraId="3DE64365" w14:textId="77777777">
      <w:pPr>
        <w:numPr>
          <w:ilvl w:val="0"/>
          <w:numId w:val="98"/>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deber de considerar el derecho indígena, los dictámenes periciales culturales y sus formas de solución de </w:t>
      </w:r>
      <w:r w:rsidRPr="00AE1B2B">
        <w:rPr>
          <w:rFonts w:ascii="Times New Roman" w:hAnsi="Times New Roman" w:cs="Times New Roman"/>
          <w:sz w:val="26"/>
          <w:szCs w:val="26"/>
        </w:rPr>
        <w:lastRenderedPageBreak/>
        <w:t>conflictos, al momento de aplicar la normativa procesal (artículo 221);</w:t>
      </w:r>
    </w:p>
    <w:p w:rsidRPr="00AE1B2B" w:rsidR="009D3FB5" w:rsidP="00163B94" w:rsidRDefault="009D3FB5" w14:paraId="45B443A5" w14:textId="77777777">
      <w:pPr>
        <w:numPr>
          <w:ilvl w:val="0"/>
          <w:numId w:val="98"/>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traducción de resoluciones y actuaciones a su idioma, así como el nombramiento de intérpretes con cargo al Poder Judicial (artículos 59 y 126);</w:t>
      </w:r>
    </w:p>
    <w:p w:rsidRPr="00AE1B2B" w:rsidR="009D3FB5" w:rsidP="00163B94" w:rsidRDefault="009D3FB5" w14:paraId="2F93F57F" w14:textId="77777777">
      <w:pPr>
        <w:numPr>
          <w:ilvl w:val="0"/>
          <w:numId w:val="98"/>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colaboración por parte del Poder Judicial o de las entidades públicas competentes, para cubrir los gastos derivados de la prueba en custodia (artículo 163).</w:t>
      </w:r>
    </w:p>
    <w:p w:rsidRPr="00AE1B2B" w:rsidR="009D3FB5" w:rsidP="00163B94" w:rsidRDefault="009D3FB5" w14:paraId="5A3DD9D5" w14:textId="77777777">
      <w:pPr>
        <w:numPr>
          <w:ilvl w:val="0"/>
          <w:numId w:val="98"/>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puesta en práctica de los modelos alternativos para la solución de conflictos, conforme al derecho indígena, así como la especialización en derecho indígena de la defensa técnica legal gratuita (artículo 221); y</w:t>
      </w:r>
    </w:p>
    <w:p w:rsidRPr="00AE1B2B" w:rsidR="009D3FB5" w:rsidP="00163B94" w:rsidRDefault="009D3FB5" w14:paraId="11DAB246" w14:textId="77777777">
      <w:pPr>
        <w:numPr>
          <w:ilvl w:val="0"/>
          <w:numId w:val="98"/>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improcedencia de la ejecución provisional en los contratos y en bienes ubicados en territorios indígenas o pertenecientes a sus comunidades (artículo 299).</w:t>
      </w:r>
    </w:p>
    <w:p w:rsidRPr="00AE1B2B" w:rsidR="009D3FB5" w:rsidP="00163B94" w:rsidRDefault="009D3FB5" w14:paraId="0DF5DE81" w14:textId="77777777">
      <w:pPr>
        <w:numPr>
          <w:ilvl w:val="0"/>
          <w:numId w:val="98"/>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le nombrará una persona intérprete, cuyo costo estará a cargo de quien lo requiera, salvo que se trate de una declaración de parte o testimonial. Si se trata de personas indígenas o patrocinadas por la defensa pública, la persona intérprete deberá ser suplida a cargo del Poder Judicial. Lo será también cuando se brinde permanentemente el servicio de traducción en el idioma correspondiente, en el circuito judicial al que pertenece el tribunal. (artículo 59) </w:t>
      </w:r>
      <w:r w:rsidRPr="00AE1B2B">
        <w:rPr>
          <w:rFonts w:ascii="Times New Roman" w:hAnsi="Times New Roman" w:cs="Times New Roman"/>
          <w:bCs/>
          <w:sz w:val="26"/>
          <w:szCs w:val="26"/>
        </w:rPr>
        <w:t xml:space="preserve">En la actualidad el Poder Judicial viene asumiendo los costos en los casos en que forme parte una persona indígena en materia Agraria, tal como se indica en el informe 634-PLA-RH-MI-2019 relacionado con el Impacto organizacional y presupuestario en el Poder Judicial, (Defensa Pública) a partir de la promulgación de la Ley 9593 de Acceso a la Justicia de los Pueblos Indígenas, </w:t>
      </w:r>
      <w:r w:rsidRPr="00AE1B2B">
        <w:rPr>
          <w:rFonts w:ascii="Times New Roman" w:hAnsi="Times New Roman" w:cs="Times New Roman"/>
          <w:sz w:val="26"/>
          <w:szCs w:val="26"/>
        </w:rPr>
        <w:t>aprobado en la Sesión 22-19 de Corte Plena (Presupuesto 2020) celebrada el 6 de junio de 2019, Artículo IV; en el cual, se dispuso de manera textual:</w:t>
      </w:r>
    </w:p>
    <w:p w:rsidRPr="00AE1B2B" w:rsidR="009D3FB5" w:rsidP="00163B94" w:rsidRDefault="009D3FB5" w14:paraId="2C65C1BF"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“Aprobar por separado del Presupuesto Ordinario del Poder Judicial, los requerimientos correspondientes a la “Ley 9593. Acceso a la Justicia de los Pueblos Indígenas de Costa Rica” en la forma indicada. Así votaron las magistradas y los magistrados Cruz, Solís, Molinari, Aguirre, Sánchez, Olaso, Chacón, Ramírez, Solano, Hernández, Salazar Alvarado, Araya, las Suplentes y los Suplentes León Díaz, Aragón Cambronero, Blanco González, Zúñiga Morales, Segura Bonilla, Alfaro Vargas y Chacón Jiménez.”.</w:t>
      </w:r>
    </w:p>
    <w:p w:rsidRPr="00AE1B2B" w:rsidR="009D3FB5" w:rsidP="00163B94" w:rsidRDefault="009D3FB5" w14:paraId="56C68FC8" w14:textId="77777777">
      <w:pPr>
        <w:spacing w:before="120" w:after="120"/>
        <w:ind w:left="851" w:right="851" w:firstLine="709"/>
        <w:jc w:val="both"/>
        <w:rPr>
          <w:rFonts w:ascii="Times New Roman" w:hAnsi="Times New Roman" w:cs="Times New Roman"/>
          <w:bCs/>
          <w:sz w:val="26"/>
          <w:szCs w:val="26"/>
        </w:rPr>
      </w:pPr>
      <w:r w:rsidRPr="00AE1B2B">
        <w:rPr>
          <w:rFonts w:ascii="Times New Roman" w:hAnsi="Times New Roman" w:cs="Times New Roman"/>
          <w:bCs/>
          <w:sz w:val="26"/>
          <w:szCs w:val="26"/>
        </w:rPr>
        <w:lastRenderedPageBreak/>
        <w:t>En el mismo se contempla la atención oportuna de los casos en donde se encuentre una persona indígena interviniente no solo en materia agraria si no en el resto de las materias jurisdiccionales.</w:t>
      </w:r>
    </w:p>
    <w:p w:rsidRPr="00AE1B2B" w:rsidR="009D3FB5" w:rsidP="00163B94" w:rsidRDefault="009D3FB5" w14:paraId="1A86CBDE" w14:textId="77777777">
      <w:pPr>
        <w:spacing w:before="120" w:after="120"/>
        <w:ind w:left="851" w:right="851" w:firstLine="709"/>
        <w:jc w:val="both"/>
        <w:rPr>
          <w:rFonts w:ascii="Times New Roman" w:hAnsi="Times New Roman" w:cs="Times New Roman"/>
          <w:b/>
          <w:bCs/>
          <w:i/>
          <w:sz w:val="26"/>
          <w:szCs w:val="26"/>
        </w:rPr>
      </w:pPr>
    </w:p>
    <w:p w:rsidRPr="00AE1B2B" w:rsidR="009D3FB5" w:rsidP="00163B94" w:rsidRDefault="009D3FB5" w14:paraId="4047BFD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bookmarkStart w:name="_Toc68688539" w:id="250"/>
      <w:r w:rsidRPr="00AE1B2B">
        <w:rPr>
          <w:rFonts w:ascii="Times New Roman" w:hAnsi="Times New Roman" w:cs="Times New Roman"/>
          <w:sz w:val="26"/>
          <w:szCs w:val="26"/>
        </w:rPr>
        <w:t>Oralidad y tramitación electrónica</w:t>
      </w:r>
      <w:bookmarkEnd w:id="250"/>
    </w:p>
    <w:p w:rsidRPr="00AE1B2B" w:rsidR="009D3FB5" w:rsidP="00163B94" w:rsidRDefault="009D3FB5" w14:paraId="1B96894C"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El Código Procesal Agrario introduce varias disposiciones relacionadas con la oralidad y la tramitación electrónica de los procesos agrarios, entre ellos lo indicado en el artículo 170 sobre la concentración de actos en audiencias orales; además el artículo 179 establece que cada Tribunal tendrá un registro de control de audiencias, lo que implicará para los Juzgados Agrarios llevar un orden en cuanto a las audiencias realizadas. De igual forma el artículo 180 se refiere al deber de registrar las audiencias en soportes aptos para la grabación y la reproducción de audio y video, o al menos en audio.</w:t>
      </w:r>
      <w:r w:rsidRPr="00AE1B2B">
        <w:rPr>
          <w:rFonts w:ascii="Times New Roman" w:hAnsi="Times New Roman" w:cs="Times New Roman"/>
          <w:sz w:val="26"/>
          <w:szCs w:val="26"/>
          <w:lang w:val="es-MX"/>
        </w:rPr>
        <w:tab/>
      </w:r>
    </w:p>
    <w:p w:rsidRPr="00AE1B2B" w:rsidR="009D3FB5" w:rsidP="00163B94" w:rsidRDefault="009D3FB5" w14:paraId="791DF050"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Además, el artículo 60 menciona lo relacionado a la formación del expediente electrónico, así como su consulta y conservación por esos medios.</w:t>
      </w:r>
    </w:p>
    <w:p w:rsidRPr="00AE1B2B" w:rsidR="009D3FB5" w:rsidP="00163B94" w:rsidRDefault="009D3FB5" w14:paraId="0C9926C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Debido a que las audiencias se realizan fuera del despacho, todo el personal de la judicatura Agraria cuenta con equipo computo portátil, de acuerdo con el correo remitido por la Licda. Fabiola Arancibia, de Tecnología de la Información</w:t>
      </w:r>
      <w:r w:rsidRPr="00AE1B2B">
        <w:rPr>
          <w:rFonts w:ascii="Times New Roman" w:hAnsi="Times New Roman" w:cs="Times New Roman"/>
          <w:i/>
          <w:iCs/>
          <w:sz w:val="26"/>
          <w:szCs w:val="26"/>
        </w:rPr>
        <w:t xml:space="preserve"> (ver anexo 15.</w:t>
      </w:r>
      <w:r w:rsidRPr="00AE1B2B">
        <w:rPr>
          <w:rFonts w:ascii="Times New Roman" w:hAnsi="Times New Roman" w:cs="Times New Roman"/>
          <w:i/>
          <w:iCs/>
          <w:sz w:val="26"/>
          <w:szCs w:val="26"/>
          <w:lang w:eastAsia="es-CR"/>
        </w:rPr>
        <w:t xml:space="preserve"> Consulta sobre equipo de cómputo).</w:t>
      </w:r>
    </w:p>
    <w:p w:rsidRPr="00AE1B2B" w:rsidR="009D3FB5" w:rsidP="00163B94" w:rsidRDefault="009D3FB5" w14:paraId="6A7046A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 importante indicar que los Juzgados Agrarios y el Tribunal Agrario ya funcionan de manera electrónica, pues a julio de 2017 se produjo el cierre de la brecha digital gracias a la colaboración de las Direcciones de Tecnología de la Información, Planificación y Ejecutiva. De ahí, que los procesos se tramitan, mediante el sistema de Escritorio Virtual. Por ello, no requiere costos adicionales para la implantación electrónica.</w:t>
      </w:r>
    </w:p>
    <w:p w:rsidRPr="00AE1B2B" w:rsidR="009D3FB5" w:rsidP="00163B94" w:rsidRDefault="009D3FB5" w14:paraId="70524EC6" w14:textId="77777777">
      <w:pPr>
        <w:spacing w:before="120" w:after="120"/>
        <w:ind w:left="851" w:right="851" w:firstLine="709"/>
        <w:jc w:val="both"/>
        <w:rPr>
          <w:rFonts w:ascii="Times New Roman" w:hAnsi="Times New Roman" w:cs="Times New Roman"/>
          <w:sz w:val="26"/>
          <w:szCs w:val="26"/>
        </w:rPr>
      </w:pPr>
      <w:bookmarkStart w:name="_Toc37670472" w:id="251"/>
      <w:bookmarkStart w:name="_Toc68688540" w:id="252"/>
      <w:r w:rsidRPr="00AE1B2B">
        <w:rPr>
          <w:rFonts w:ascii="Times New Roman" w:hAnsi="Times New Roman" w:cs="Times New Roman"/>
          <w:sz w:val="26"/>
          <w:szCs w:val="26"/>
        </w:rPr>
        <w:t>Fuentes de Financiamiento</w:t>
      </w:r>
      <w:bookmarkEnd w:id="251"/>
      <w:bookmarkEnd w:id="252"/>
      <w:r w:rsidRPr="00AE1B2B">
        <w:rPr>
          <w:rFonts w:ascii="Times New Roman" w:hAnsi="Times New Roman" w:cs="Times New Roman"/>
          <w:sz w:val="26"/>
          <w:szCs w:val="26"/>
        </w:rPr>
        <w:t xml:space="preserve"> </w:t>
      </w:r>
    </w:p>
    <w:p w:rsidRPr="00AE1B2B" w:rsidR="009D3FB5" w:rsidP="00163B94" w:rsidRDefault="009D3FB5" w14:paraId="20A4FC4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Código Procesal Agrario, plantea dos opciones de financiamiento, como se detallan a continuación:</w:t>
      </w:r>
    </w:p>
    <w:p w:rsidRPr="00AE1B2B" w:rsidR="009D3FB5" w:rsidP="00163B94" w:rsidRDefault="009D3FB5" w14:paraId="746F6E2F" w14:textId="77777777">
      <w:pPr>
        <w:numPr>
          <w:ilvl w:val="0"/>
          <w:numId w:val="99"/>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montos de las multas impuestas a las personas usuarias por su no asistencia de manera injustificada a las audiencias de prueba se impondrá una multa del 50% de un salario base, establecido según el artículo 2 de la Ley 7337, de 5 de mayo de 1993; pasan a formar un fondo de financiamiento de la Jurisdicción Agraria. (artículo 72)</w:t>
      </w:r>
    </w:p>
    <w:p w:rsidRPr="00AE1B2B" w:rsidR="009D3FB5" w:rsidP="00163B94" w:rsidRDefault="009D3FB5" w14:paraId="71E2EFF7" w14:textId="77777777">
      <w:pPr>
        <w:numPr>
          <w:ilvl w:val="0"/>
          <w:numId w:val="99"/>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Las sumas provenientes de las costas personales que deben cancelarse a las personas usuarias que han sido defendidas por defensores públicos agrarios, montos que se asignarán un 50% a fortalecer la Defensa Pública Agraria y otro 50% a la Jurisdicción Agraria. (artículo 47)</w:t>
      </w:r>
    </w:p>
    <w:p w:rsidRPr="00AE1B2B" w:rsidR="009D3FB5" w:rsidP="00163B94" w:rsidRDefault="009D3FB5" w14:paraId="2A1CD05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rsidRPr="00AE1B2B" w:rsidR="009D3FB5" w:rsidP="00163B94" w:rsidRDefault="009D3FB5" w14:paraId="2E716BF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Actualmente, la Defensa Pública cuenta con una plaza de Técnico Administrativo 2 para que dentro de sus funciones también asuma el manejo, registro, control contable, presupuestario y ejecución de los recursos que se generen producto de la Reforma Agraria, tal y como se realiza con la materia de Trabajo.</w:t>
      </w:r>
    </w:p>
    <w:p w:rsidRPr="00AE1B2B" w:rsidR="009D3FB5" w:rsidP="00163B94" w:rsidRDefault="009D3FB5" w14:paraId="50473B05" w14:textId="4337EF3D">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informe de fin de gestión Coordinación Proyecto de Implementación Reforma Procesal Agraria, de la Magistrada Damaris Vargas </w:t>
      </w:r>
      <w:r w:rsidRPr="00AE1B2B">
        <w:rPr>
          <w:rFonts w:ascii="Times New Roman" w:hAnsi="Times New Roman" w:cs="Times New Roman"/>
          <w:i/>
          <w:iCs/>
          <w:sz w:val="26"/>
          <w:szCs w:val="26"/>
        </w:rPr>
        <w:t xml:space="preserve">(ver anexo 16 Informe de Fin de Gestión Coordinación Proyecto de Implementación Reforma Procesal Agraria) </w:t>
      </w:r>
      <w:r w:rsidRPr="00AE1B2B">
        <w:rPr>
          <w:rFonts w:ascii="Times New Roman" w:hAnsi="Times New Roman" w:cs="Times New Roman"/>
          <w:sz w:val="26"/>
          <w:szCs w:val="26"/>
        </w:rPr>
        <w:t>, expone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lo cual se confirmó con entrevista con la actual Jueza Gestora. </w:t>
      </w:r>
      <w:bookmarkStart w:name="_Toc37670473" w:id="253"/>
      <w:bookmarkStart w:name="_Toc68688541" w:id="254"/>
      <w:r w:rsidRPr="00AE1B2B">
        <w:rPr>
          <w:rFonts w:ascii="Times New Roman" w:hAnsi="Times New Roman" w:cs="Times New Roman"/>
          <w:sz w:val="26"/>
          <w:szCs w:val="26"/>
        </w:rPr>
        <w:t>Economía Procesal</w:t>
      </w:r>
      <w:bookmarkEnd w:id="253"/>
      <w:bookmarkEnd w:id="254"/>
    </w:p>
    <w:p w:rsidRPr="00AE1B2B" w:rsidR="009D3FB5" w:rsidP="00163B94" w:rsidRDefault="009D3FB5" w14:paraId="07AC1D72" w14:textId="3F96CC11">
      <w:pPr>
        <w:spacing w:before="120" w:after="120"/>
        <w:ind w:right="851"/>
        <w:jc w:val="both"/>
        <w:rPr>
          <w:rFonts w:ascii="Times New Roman" w:hAnsi="Times New Roman" w:cs="Times New Roman"/>
          <w:sz w:val="26"/>
          <w:szCs w:val="26"/>
        </w:rPr>
      </w:pPr>
    </w:p>
    <w:p w:rsidRPr="00AE1B2B" w:rsidR="009D3FB5" w:rsidP="00163B94" w:rsidRDefault="009D3FB5" w14:paraId="70F259AE" w14:textId="171F823E">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diagrama que se muestra a continuación se puede observar los pasos requeridos actualmente para la ejecución del proceso de atención de asuntos de la materia Agraria.</w:t>
      </w:r>
    </w:p>
    <w:p w:rsidRPr="00AE1B2B" w:rsidR="0094719C" w:rsidP="00163B94" w:rsidRDefault="0094719C" w14:paraId="2ED444B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C675C0D" w14:textId="77777777">
      <w:pPr>
        <w:pStyle w:val="Descripcin"/>
        <w:widowControl/>
        <w:autoSpaceDE/>
        <w:autoSpaceDN/>
        <w:adjustRightInd/>
        <w:spacing w:before="120" w:after="120"/>
        <w:ind w:left="851" w:right="851" w:firstLine="709"/>
        <w:jc w:val="both"/>
        <w:rPr>
          <w:rFonts w:ascii="Times New Roman" w:hAnsi="Times New Roman" w:cs="Times New Roman"/>
          <w:bCs w:val="0"/>
          <w:iCs/>
          <w:sz w:val="26"/>
          <w:szCs w:val="26"/>
          <w:lang w:val="es-CR"/>
        </w:rPr>
      </w:pPr>
      <w:r w:rsidRPr="00AE1B2B">
        <w:rPr>
          <w:rFonts w:ascii="Times New Roman" w:hAnsi="Times New Roman" w:cs="Times New Roman"/>
          <w:bCs w:val="0"/>
          <w:iCs/>
          <w:sz w:val="26"/>
          <w:szCs w:val="26"/>
          <w:lang w:val="es-CR"/>
        </w:rPr>
        <w:t xml:space="preserve">Figura </w:t>
      </w:r>
      <w:r w:rsidRPr="00AE1B2B">
        <w:rPr>
          <w:rFonts w:ascii="Times New Roman" w:hAnsi="Times New Roman" w:cs="Times New Roman"/>
          <w:bCs w:val="0"/>
          <w:iCs/>
          <w:sz w:val="26"/>
          <w:szCs w:val="26"/>
          <w:lang w:val="es-CR"/>
        </w:rPr>
        <w:fldChar w:fldCharType="begin"/>
      </w:r>
      <w:r w:rsidRPr="00AE1B2B">
        <w:rPr>
          <w:rFonts w:ascii="Times New Roman" w:hAnsi="Times New Roman" w:cs="Times New Roman"/>
          <w:bCs w:val="0"/>
          <w:iCs/>
          <w:sz w:val="26"/>
          <w:szCs w:val="26"/>
          <w:lang w:val="es-CR"/>
        </w:rPr>
        <w:instrText xml:space="preserve"> SEQ Diagrama \* ARABIC </w:instrText>
      </w:r>
      <w:r w:rsidRPr="00AE1B2B">
        <w:rPr>
          <w:rFonts w:ascii="Times New Roman" w:hAnsi="Times New Roman" w:cs="Times New Roman"/>
          <w:bCs w:val="0"/>
          <w:iCs/>
          <w:sz w:val="26"/>
          <w:szCs w:val="26"/>
          <w:lang w:val="es-CR"/>
        </w:rPr>
        <w:fldChar w:fldCharType="separate"/>
      </w:r>
      <w:r w:rsidRPr="00AE1B2B">
        <w:rPr>
          <w:rFonts w:ascii="Times New Roman" w:hAnsi="Times New Roman" w:cs="Times New Roman"/>
          <w:bCs w:val="0"/>
          <w:iCs/>
          <w:noProof/>
          <w:sz w:val="26"/>
          <w:szCs w:val="26"/>
          <w:lang w:val="es-CR"/>
        </w:rPr>
        <w:t>1</w:t>
      </w:r>
      <w:r w:rsidRPr="00AE1B2B">
        <w:rPr>
          <w:rFonts w:ascii="Times New Roman" w:hAnsi="Times New Roman" w:cs="Times New Roman"/>
          <w:bCs w:val="0"/>
          <w:iCs/>
          <w:sz w:val="26"/>
          <w:szCs w:val="26"/>
          <w:lang w:val="es-CR"/>
        </w:rPr>
        <w:fldChar w:fldCharType="end"/>
      </w:r>
    </w:p>
    <w:p w:rsidRPr="00AE1B2B" w:rsidR="009D3FB5" w:rsidP="00163B94" w:rsidRDefault="009D3FB5" w14:paraId="444331AB" w14:textId="77777777">
      <w:pPr>
        <w:pStyle w:val="Descripcin"/>
        <w:widowControl/>
        <w:autoSpaceDE/>
        <w:autoSpaceDN/>
        <w:adjustRightInd/>
        <w:spacing w:before="120" w:after="120"/>
        <w:ind w:left="851" w:right="851" w:firstLine="709"/>
        <w:jc w:val="both"/>
        <w:rPr>
          <w:rFonts w:ascii="Times New Roman" w:hAnsi="Times New Roman" w:cs="Times New Roman"/>
          <w:bCs w:val="0"/>
          <w:iCs/>
          <w:sz w:val="26"/>
          <w:szCs w:val="26"/>
          <w:lang w:val="es-CR"/>
        </w:rPr>
      </w:pPr>
      <w:r w:rsidRPr="00AE1B2B">
        <w:rPr>
          <w:rFonts w:ascii="Times New Roman" w:hAnsi="Times New Roman" w:cs="Times New Roman"/>
          <w:bCs w:val="0"/>
          <w:iCs/>
          <w:sz w:val="26"/>
          <w:szCs w:val="26"/>
          <w:lang w:val="es-CR"/>
        </w:rPr>
        <w:t>Flujograma del Proceso actual de tramitación de la materia Agraria</w:t>
      </w:r>
    </w:p>
    <w:p w:rsidRPr="00AE1B2B" w:rsidR="009D3FB5" w:rsidP="00163B94" w:rsidRDefault="009D3FB5" w14:paraId="60D549E1" w14:textId="77777777">
      <w:pPr>
        <w:spacing w:before="120" w:after="120"/>
        <w:jc w:val="center"/>
        <w:rPr>
          <w:rFonts w:ascii="Times New Roman" w:hAnsi="Times New Roman" w:cs="Times New Roman"/>
        </w:rPr>
      </w:pPr>
      <w:r w:rsidRPr="00AE1B2B">
        <w:rPr>
          <w:rFonts w:ascii="Times New Roman" w:hAnsi="Times New Roman" w:cs="Times New Roman"/>
          <w:noProof/>
          <w:lang w:val="en-US"/>
        </w:rPr>
        <w:lastRenderedPageBreak/>
        <w:drawing>
          <wp:inline distT="0" distB="0" distL="0" distR="0" wp14:anchorId="23884225" wp14:editId="3D5E4342">
            <wp:extent cx="4861560" cy="3375660"/>
            <wp:effectExtent l="19050" t="0" r="0" b="0"/>
            <wp:docPr id="121276828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08" cstate="print"/>
                    <a:srcRect/>
                    <a:stretch>
                      <a:fillRect/>
                    </a:stretch>
                  </pic:blipFill>
                  <pic:spPr bwMode="auto">
                    <a:xfrm>
                      <a:off x="0" y="0"/>
                      <a:ext cx="4861560" cy="3375660"/>
                    </a:xfrm>
                    <a:prstGeom prst="rect">
                      <a:avLst/>
                    </a:prstGeom>
                    <a:noFill/>
                    <a:ln w="9525">
                      <a:noFill/>
                      <a:miter lim="800000"/>
                      <a:headEnd/>
                      <a:tailEnd/>
                    </a:ln>
                  </pic:spPr>
                </pic:pic>
              </a:graphicData>
            </a:graphic>
          </wp:inline>
        </w:drawing>
      </w:r>
    </w:p>
    <w:p w:rsidRPr="00AE1B2B" w:rsidR="009D3FB5" w:rsidP="00163B94" w:rsidRDefault="009D3FB5" w14:paraId="718037FE"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 xml:space="preserve">Fuente: Subproceso de Modernización Institucional. </w:t>
      </w:r>
    </w:p>
    <w:p w:rsidRPr="00AE1B2B" w:rsidR="009D3FB5" w:rsidP="00163B94" w:rsidRDefault="009D3FB5" w14:paraId="5EF103C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F2A065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Con la implementación del Código Procesal Agrario surgen una serie de ajustes que vienen a reducir los tiempos de proceso y agilización de los trámites, a continuación, se detallan algunos de los principales cambios:</w:t>
      </w:r>
    </w:p>
    <w:p w:rsidRPr="00AE1B2B" w:rsidR="009D3FB5" w:rsidP="00163B94" w:rsidRDefault="009D3FB5" w14:paraId="6A4106EC" w14:textId="77777777">
      <w:pPr>
        <w:pStyle w:val="Prrafodelista"/>
        <w:numPr>
          <w:ilvl w:val="0"/>
          <w:numId w:val="100"/>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declaración de las incompetencias se podrá declarar de oficio en el Juzgado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rsidRPr="00AE1B2B" w:rsidR="009D3FB5" w:rsidP="00163B94" w:rsidRDefault="009D3FB5" w14:paraId="5BB38019" w14:textId="77777777">
      <w:pPr>
        <w:pStyle w:val="Prrafodelista"/>
        <w:numPr>
          <w:ilvl w:val="0"/>
          <w:numId w:val="100"/>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Otro aspecto importante que permite agilidad en el proceso, serán las audiencias previas que se deben realizar en el sitio (artículo 173 del CPA), esto va a permitir que en esa audiencia se concentren varias acciones (conciliaciones, medidas cautelares, defensas previas, incidentes, ampliaciones, entre otras) del proceso, permitiendo agilizar el proceso.</w:t>
      </w:r>
    </w:p>
    <w:p w:rsidRPr="00AE1B2B" w:rsidR="009D3FB5" w:rsidP="00163B94" w:rsidRDefault="009D3FB5" w14:paraId="10461C4C" w14:textId="77777777">
      <w:pPr>
        <w:pStyle w:val="Prrafodelista"/>
        <w:numPr>
          <w:ilvl w:val="0"/>
          <w:numId w:val="100"/>
        </w:numPr>
        <w:spacing w:before="120" w:after="120"/>
        <w:ind w:left="851" w:right="851" w:firstLine="709"/>
        <w:jc w:val="both"/>
        <w:rPr>
          <w:rFonts w:ascii="Times New Roman" w:hAnsi="Times New Roman" w:cs="Times New Roman"/>
          <w:sz w:val="26"/>
          <w:szCs w:val="26"/>
        </w:rPr>
      </w:pPr>
      <w:bookmarkStart w:name="_Hlk862116" w:id="255"/>
      <w:r w:rsidRPr="00AE1B2B">
        <w:rPr>
          <w:rFonts w:ascii="Times New Roman" w:hAnsi="Times New Roman" w:cs="Times New Roman"/>
          <w:sz w:val="26"/>
          <w:szCs w:val="26"/>
        </w:rPr>
        <w:t xml:space="preserve">Actualmente la legislación establece que las sentencias se deben de dictar de forma </w:t>
      </w:r>
      <w:bookmarkEnd w:id="255"/>
      <w:r w:rsidRPr="00AE1B2B">
        <w:rPr>
          <w:rFonts w:ascii="Times New Roman" w:hAnsi="Times New Roman" w:cs="Times New Roman"/>
          <w:sz w:val="26"/>
          <w:szCs w:val="26"/>
        </w:rPr>
        <w:t xml:space="preserve">escrita y estableciendo un plazo para la elaboración, con la implementación del CPA establece que las sentencias se dicten de forma oral al momento del juicio o audiencia </w:t>
      </w:r>
      <w:r w:rsidRPr="00AE1B2B">
        <w:rPr>
          <w:rFonts w:ascii="Times New Roman" w:hAnsi="Times New Roman" w:cs="Times New Roman"/>
          <w:sz w:val="26"/>
          <w:szCs w:val="26"/>
        </w:rPr>
        <w:lastRenderedPageBreak/>
        <w:t xml:space="preserve">(artículo 79), esto va a permitir agilizar los procesos y beneficiar a la persona usuaria, incluso que la Apelación sea presentada de forma siguiente al dictado de la sentencia. </w:t>
      </w:r>
    </w:p>
    <w:p w:rsidRPr="00AE1B2B" w:rsidR="009D3FB5" w:rsidP="00163B94" w:rsidRDefault="009D3FB5" w14:paraId="6CB8419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Por razones de seguridad e integridad del Tribunal y demás asistentes a la audiencia u otras razones referidas al tiempo y el lugar donde se realice la audiencia, la sentencia podrá emitirse en el plazo de cinco días. En supuestos de excepcional complejidad, su dictado íntegro se podrá realizar en el plazo de veintidós días hábiles. El tribunal deberá exponer el fundamento de la decisión.</w:t>
      </w:r>
    </w:p>
    <w:p w:rsidRPr="00AE1B2B" w:rsidR="009D3FB5" w:rsidP="00163B94" w:rsidRDefault="009D3FB5" w14:paraId="73B8F73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seguida se muestra el nuevo proceso que se plantea en el Código Procesal Agrario (CPA), donde se estima que impulsará una tramitación más simple y expedita, gracias al uso de la conciliación y la oralidad. </w:t>
      </w:r>
    </w:p>
    <w:p w:rsidRPr="00AE1B2B" w:rsidR="009D3FB5" w:rsidP="00163B94" w:rsidRDefault="009D3FB5" w14:paraId="19F2317D" w14:textId="77777777">
      <w:pPr>
        <w:pStyle w:val="Descripcin"/>
        <w:widowControl/>
        <w:autoSpaceDE/>
        <w:autoSpaceDN/>
        <w:adjustRightInd/>
        <w:spacing w:before="120" w:after="120"/>
        <w:ind w:left="851" w:right="851" w:firstLine="709"/>
        <w:jc w:val="both"/>
        <w:rPr>
          <w:rFonts w:ascii="Times New Roman" w:hAnsi="Times New Roman" w:cs="Times New Roman"/>
          <w:bCs w:val="0"/>
          <w:iCs/>
          <w:sz w:val="26"/>
          <w:szCs w:val="26"/>
          <w:lang w:val="es-CR"/>
        </w:rPr>
      </w:pPr>
      <w:r w:rsidRPr="00AE1B2B">
        <w:rPr>
          <w:rFonts w:ascii="Times New Roman" w:hAnsi="Times New Roman" w:cs="Times New Roman"/>
          <w:bCs w:val="0"/>
          <w:iCs/>
          <w:sz w:val="26"/>
          <w:szCs w:val="26"/>
          <w:lang w:val="es-CR"/>
        </w:rPr>
        <w:t xml:space="preserve">Figura </w:t>
      </w:r>
      <w:r w:rsidRPr="00AE1B2B">
        <w:rPr>
          <w:rFonts w:ascii="Times New Roman" w:hAnsi="Times New Roman" w:cs="Times New Roman"/>
          <w:bCs w:val="0"/>
          <w:iCs/>
          <w:sz w:val="26"/>
          <w:szCs w:val="26"/>
          <w:lang w:val="es-CR"/>
        </w:rPr>
        <w:fldChar w:fldCharType="begin"/>
      </w:r>
      <w:r w:rsidRPr="00AE1B2B">
        <w:rPr>
          <w:rFonts w:ascii="Times New Roman" w:hAnsi="Times New Roman" w:cs="Times New Roman"/>
          <w:bCs w:val="0"/>
          <w:iCs/>
          <w:sz w:val="26"/>
          <w:szCs w:val="26"/>
          <w:lang w:val="es-CR"/>
        </w:rPr>
        <w:instrText xml:space="preserve"> SEQ Diagrama \* ARABIC </w:instrText>
      </w:r>
      <w:r w:rsidRPr="00AE1B2B">
        <w:rPr>
          <w:rFonts w:ascii="Times New Roman" w:hAnsi="Times New Roman" w:cs="Times New Roman"/>
          <w:bCs w:val="0"/>
          <w:iCs/>
          <w:sz w:val="26"/>
          <w:szCs w:val="26"/>
          <w:lang w:val="es-CR"/>
        </w:rPr>
        <w:fldChar w:fldCharType="separate"/>
      </w:r>
      <w:r w:rsidRPr="00AE1B2B">
        <w:rPr>
          <w:rFonts w:ascii="Times New Roman" w:hAnsi="Times New Roman" w:cs="Times New Roman"/>
          <w:bCs w:val="0"/>
          <w:iCs/>
          <w:noProof/>
          <w:sz w:val="26"/>
          <w:szCs w:val="26"/>
          <w:lang w:val="es-CR"/>
        </w:rPr>
        <w:t>2</w:t>
      </w:r>
      <w:r w:rsidRPr="00AE1B2B">
        <w:rPr>
          <w:rFonts w:ascii="Times New Roman" w:hAnsi="Times New Roman" w:cs="Times New Roman"/>
          <w:bCs w:val="0"/>
          <w:iCs/>
          <w:sz w:val="26"/>
          <w:szCs w:val="26"/>
          <w:lang w:val="es-CR"/>
        </w:rPr>
        <w:fldChar w:fldCharType="end"/>
      </w:r>
    </w:p>
    <w:p w:rsidRPr="00AE1B2B" w:rsidR="009D3FB5" w:rsidP="00163B94" w:rsidRDefault="009D3FB5" w14:paraId="7B6136CA" w14:textId="77777777">
      <w:pPr>
        <w:pStyle w:val="Descripcin"/>
        <w:widowControl/>
        <w:autoSpaceDE/>
        <w:autoSpaceDN/>
        <w:adjustRightInd/>
        <w:spacing w:before="120" w:after="120"/>
        <w:ind w:left="851" w:right="851" w:firstLine="709"/>
        <w:jc w:val="both"/>
        <w:rPr>
          <w:rFonts w:ascii="Times New Roman" w:hAnsi="Times New Roman" w:cs="Times New Roman"/>
          <w:bCs w:val="0"/>
          <w:iCs/>
          <w:sz w:val="26"/>
          <w:szCs w:val="26"/>
          <w:lang w:val="es-CR"/>
        </w:rPr>
      </w:pPr>
      <w:r w:rsidRPr="00AE1B2B">
        <w:rPr>
          <w:rFonts w:ascii="Times New Roman" w:hAnsi="Times New Roman" w:cs="Times New Roman"/>
          <w:bCs w:val="0"/>
          <w:iCs/>
          <w:sz w:val="26"/>
          <w:szCs w:val="26"/>
          <w:lang w:val="es-CR"/>
        </w:rPr>
        <w:t>Flujograma del Nuevo Proceso según el Proyecto de Código Procesal Agrario</w:t>
      </w:r>
    </w:p>
    <w:p w:rsidRPr="00AE1B2B" w:rsidR="009D3FB5" w:rsidP="00163B94" w:rsidRDefault="009D3FB5" w14:paraId="5B7FCDEE" w14:textId="77777777">
      <w:pPr>
        <w:spacing w:before="120" w:after="120"/>
        <w:jc w:val="center"/>
        <w:rPr>
          <w:rFonts w:ascii="Times New Roman" w:hAnsi="Times New Roman" w:cs="Times New Roman"/>
        </w:rPr>
      </w:pPr>
      <w:r w:rsidRPr="00AE1B2B">
        <w:rPr>
          <w:rFonts w:ascii="Times New Roman" w:hAnsi="Times New Roman" w:cs="Times New Roman"/>
        </w:rPr>
        <w:object w:dxaOrig="13313" w:dyaOrig="9558" w14:anchorId="380868BC">
          <v:shape id="_x0000_i1090" style="width:439.5pt;height:257.3pt" o:ole="" type="#_x0000_t75">
            <v:imagedata o:title="" r:id="rId309"/>
          </v:shape>
          <o:OLEObject Type="Embed" ProgID="Visio.Drawing.11" ShapeID="_x0000_i1090" DrawAspect="Content" ObjectID="_1681900516" r:id="rId310"/>
        </w:object>
      </w:r>
    </w:p>
    <w:p w:rsidRPr="00AE1B2B" w:rsidR="009D3FB5" w:rsidP="00163B94" w:rsidRDefault="009D3FB5" w14:paraId="510C08B0"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w:t>
      </w:r>
    </w:p>
    <w:p w:rsidRPr="00AE1B2B" w:rsidR="009D3FB5" w:rsidP="00163B94" w:rsidRDefault="009D3FB5" w14:paraId="55B630F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Importante mencionar, que se espera que, con este nuevo proceso agrario, los tiempos de respuesta en el dictado de la resolución disminuyan considerablemente; principalmente por incorporar la fase de conciliación que se desarrolla en las actividades de la audiencia preliminar.</w:t>
      </w:r>
    </w:p>
    <w:p w:rsidRPr="00AE1B2B" w:rsidR="009D3FB5" w:rsidP="00163B94" w:rsidRDefault="009D3FB5" w14:paraId="498226B6" w14:textId="77777777">
      <w:pPr>
        <w:spacing w:before="120" w:after="120"/>
        <w:ind w:left="851" w:right="851" w:firstLine="709"/>
        <w:jc w:val="both"/>
        <w:rPr>
          <w:rFonts w:ascii="Times New Roman" w:hAnsi="Times New Roman" w:cs="Times New Roman"/>
          <w:sz w:val="26"/>
          <w:szCs w:val="26"/>
        </w:rPr>
      </w:pPr>
      <w:bookmarkStart w:name="_Toc68688542" w:id="256"/>
      <w:r w:rsidRPr="00AE1B2B">
        <w:rPr>
          <w:rFonts w:ascii="Times New Roman" w:hAnsi="Times New Roman" w:cs="Times New Roman"/>
          <w:sz w:val="26"/>
          <w:szCs w:val="26"/>
        </w:rPr>
        <w:lastRenderedPageBreak/>
        <w:t xml:space="preserve">Análisis de Cargas de Trabajo </w:t>
      </w:r>
      <w:bookmarkEnd w:id="239"/>
      <w:r w:rsidRPr="00AE1B2B">
        <w:rPr>
          <w:rFonts w:ascii="Times New Roman" w:hAnsi="Times New Roman" w:cs="Times New Roman"/>
          <w:sz w:val="26"/>
          <w:szCs w:val="26"/>
        </w:rPr>
        <w:t>Juzgados Especializados Agrarios</w:t>
      </w:r>
      <w:bookmarkEnd w:id="256"/>
    </w:p>
    <w:p w:rsidRPr="00AE1B2B" w:rsidR="009D3FB5" w:rsidP="00163B94" w:rsidRDefault="009D3FB5" w14:paraId="2113F4E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Tomando en consideración el impacto del nuevo Código Procesal Agrario para el 2022, es importante realizar un análisis de las cargas de trabajo (casos entrados nuevos + casos reentrados) durante el periodo 2016 – 2020, con el personal existente en cada una de las dependencias especializadas del país, el cual se resume en el siguiente cuadro: </w:t>
      </w:r>
    </w:p>
    <w:p w:rsidRPr="00AE1B2B" w:rsidR="009D3FB5" w:rsidP="00163B94" w:rsidRDefault="009D3FB5" w14:paraId="15A7F5A7"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5</w:t>
      </w:r>
      <w:r w:rsidRPr="00AE1B2B">
        <w:rPr>
          <w:rFonts w:ascii="Times New Roman" w:hAnsi="Times New Roman"/>
          <w:iCs/>
          <w:sz w:val="26"/>
          <w:szCs w:val="26"/>
        </w:rPr>
        <w:fldChar w:fldCharType="end"/>
      </w:r>
    </w:p>
    <w:p w:rsidRPr="00AE1B2B" w:rsidR="009D3FB5" w:rsidP="00163B94" w:rsidRDefault="009D3FB5" w14:paraId="6787BB11"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Análisis comparativo de la cantidad carga trabajo (entrados + reentrados), en Despachos Especializados Agrarios 2016-2020</w:t>
      </w:r>
    </w:p>
    <w:p w:rsidRPr="00AE1B2B" w:rsidR="009D3FB5" w:rsidP="00163B94" w:rsidRDefault="009D3FB5" w14:paraId="5D206C3E" w14:textId="77777777">
      <w:pPr>
        <w:pStyle w:val="Ttulo"/>
        <w:spacing w:before="120" w:after="120"/>
        <w:rPr>
          <w:rFonts w:ascii="Times New Roman" w:hAnsi="Times New Roman"/>
          <w:iCs/>
          <w:szCs w:val="28"/>
        </w:rPr>
      </w:pPr>
    </w:p>
    <w:tbl>
      <w:tblPr>
        <w:tblW w:w="11341" w:type="dxa"/>
        <w:tblInd w:w="-1299" w:type="dxa"/>
        <w:tblLayout w:type="fixed"/>
        <w:tblCellMar>
          <w:left w:w="70" w:type="dxa"/>
          <w:right w:w="70" w:type="dxa"/>
        </w:tblCellMar>
        <w:tblLook w:val="04A0" w:firstRow="1" w:lastRow="0" w:firstColumn="1" w:lastColumn="0" w:noHBand="0" w:noVBand="1"/>
      </w:tblPr>
      <w:tblGrid>
        <w:gridCol w:w="5245"/>
        <w:gridCol w:w="1276"/>
        <w:gridCol w:w="1134"/>
        <w:gridCol w:w="1276"/>
        <w:gridCol w:w="1134"/>
        <w:gridCol w:w="1276"/>
      </w:tblGrid>
      <w:tr w:rsidRPr="00AE1B2B" w:rsidR="009D3FB5" w:rsidTr="009D3FB5" w14:paraId="02CEC8E6" w14:textId="77777777">
        <w:trPr>
          <w:trHeight w:val="20"/>
          <w:tblHeader/>
        </w:trPr>
        <w:tc>
          <w:tcPr>
            <w:tcW w:w="5245" w:type="dxa"/>
            <w:tcBorders>
              <w:top w:val="double" w:color="44546A" w:sz="6" w:space="0"/>
              <w:left w:val="double" w:color="44546A" w:sz="6" w:space="0"/>
              <w:bottom w:val="double" w:color="44546A" w:sz="6" w:space="0"/>
              <w:right w:val="double" w:color="44546A" w:sz="6" w:space="0"/>
            </w:tcBorders>
            <w:shd w:val="clear" w:color="000000" w:fill="0673A5"/>
            <w:noWrap/>
            <w:vAlign w:val="center"/>
            <w:hideMark/>
          </w:tcPr>
          <w:p w:rsidRPr="00AE1B2B" w:rsidR="009D3FB5" w:rsidP="00163B94" w:rsidRDefault="009D3FB5" w14:paraId="3FE56409"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Despacho</w:t>
            </w:r>
          </w:p>
        </w:tc>
        <w:tc>
          <w:tcPr>
            <w:tcW w:w="1276" w:type="dxa"/>
            <w:tcBorders>
              <w:top w:val="double" w:color="44546A" w:sz="6" w:space="0"/>
              <w:left w:val="nil"/>
              <w:bottom w:val="double" w:color="44546A" w:sz="6" w:space="0"/>
              <w:right w:val="double" w:color="44546A" w:sz="6" w:space="0"/>
            </w:tcBorders>
            <w:shd w:val="clear" w:color="000000" w:fill="0673A5"/>
            <w:vAlign w:val="center"/>
            <w:hideMark/>
          </w:tcPr>
          <w:p w:rsidRPr="00AE1B2B" w:rsidR="009D3FB5" w:rsidP="00163B94" w:rsidRDefault="009D3FB5" w14:paraId="5E3B7B1E"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Entrada + reentrado Promedio Mensual</w:t>
            </w:r>
          </w:p>
        </w:tc>
        <w:tc>
          <w:tcPr>
            <w:tcW w:w="1134" w:type="dxa"/>
            <w:tcBorders>
              <w:top w:val="double" w:color="44546A" w:sz="6" w:space="0"/>
              <w:left w:val="nil"/>
              <w:bottom w:val="double" w:color="44546A" w:sz="6" w:space="0"/>
              <w:right w:val="double" w:color="44546A" w:sz="6" w:space="0"/>
            </w:tcBorders>
            <w:shd w:val="clear" w:color="000000" w:fill="0673A5"/>
            <w:vAlign w:val="center"/>
            <w:hideMark/>
          </w:tcPr>
          <w:p w:rsidRPr="00AE1B2B" w:rsidR="009D3FB5" w:rsidP="00163B94" w:rsidRDefault="009D3FB5" w14:paraId="2AEF238A"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Cantidad Jueza o Juez</w:t>
            </w:r>
          </w:p>
        </w:tc>
        <w:tc>
          <w:tcPr>
            <w:tcW w:w="1276" w:type="dxa"/>
            <w:tcBorders>
              <w:top w:val="double" w:color="44546A" w:sz="6" w:space="0"/>
              <w:left w:val="nil"/>
              <w:bottom w:val="double" w:color="44546A" w:sz="6" w:space="0"/>
              <w:right w:val="double" w:color="44546A" w:sz="6" w:space="0"/>
            </w:tcBorders>
            <w:shd w:val="clear" w:color="000000" w:fill="0673A5"/>
            <w:vAlign w:val="center"/>
            <w:hideMark/>
          </w:tcPr>
          <w:p w:rsidRPr="00AE1B2B" w:rsidR="009D3FB5" w:rsidP="00163B94" w:rsidRDefault="009D3FB5" w14:paraId="33331F5A"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Entrada Promedio Mensual por Jueza o Juez</w:t>
            </w:r>
          </w:p>
        </w:tc>
        <w:tc>
          <w:tcPr>
            <w:tcW w:w="1134" w:type="dxa"/>
            <w:tcBorders>
              <w:top w:val="double" w:color="44546A" w:sz="6" w:space="0"/>
              <w:left w:val="nil"/>
              <w:bottom w:val="double" w:color="44546A" w:sz="6" w:space="0"/>
              <w:right w:val="double" w:color="44546A" w:sz="6" w:space="0"/>
            </w:tcBorders>
            <w:shd w:val="clear" w:color="000000" w:fill="0673A5"/>
            <w:vAlign w:val="center"/>
            <w:hideMark/>
          </w:tcPr>
          <w:p w:rsidRPr="00AE1B2B" w:rsidR="009D3FB5" w:rsidP="00163B94" w:rsidRDefault="009D3FB5" w14:paraId="4B469EB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Cantidad Técnica o Técnico</w:t>
            </w:r>
          </w:p>
        </w:tc>
        <w:tc>
          <w:tcPr>
            <w:tcW w:w="1276" w:type="dxa"/>
            <w:tcBorders>
              <w:top w:val="double" w:color="44546A" w:sz="6" w:space="0"/>
              <w:left w:val="nil"/>
              <w:bottom w:val="double" w:color="44546A" w:sz="6" w:space="0"/>
              <w:right w:val="double" w:color="44546A" w:sz="6" w:space="0"/>
            </w:tcBorders>
            <w:shd w:val="clear" w:color="000000" w:fill="0673A5"/>
            <w:vAlign w:val="center"/>
            <w:hideMark/>
          </w:tcPr>
          <w:p w:rsidRPr="00AE1B2B" w:rsidR="009D3FB5" w:rsidP="00163B94" w:rsidRDefault="009D3FB5" w14:paraId="6F43458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Entrada Promedio Mensual por Técnica o Técnico</w:t>
            </w:r>
          </w:p>
        </w:tc>
      </w:tr>
      <w:tr w:rsidRPr="00AE1B2B" w:rsidR="009D3FB5" w:rsidTr="009D3FB5" w14:paraId="2EAD87F7" w14:textId="77777777">
        <w:trPr>
          <w:trHeight w:val="20"/>
        </w:trPr>
        <w:tc>
          <w:tcPr>
            <w:tcW w:w="5245" w:type="dxa"/>
            <w:tcBorders>
              <w:top w:val="nil"/>
              <w:left w:val="double" w:color="44546A" w:sz="6" w:space="0"/>
              <w:bottom w:val="double" w:color="44546A" w:sz="6" w:space="0"/>
              <w:right w:val="nil"/>
            </w:tcBorders>
            <w:shd w:val="clear" w:color="auto" w:fill="auto"/>
            <w:noWrap/>
            <w:vAlign w:val="center"/>
          </w:tcPr>
          <w:p w:rsidRPr="00AE1B2B" w:rsidR="009D3FB5" w:rsidP="00163B94" w:rsidRDefault="009D3FB5" w14:paraId="51FDE16A" w14:textId="77777777">
            <w:pPr>
              <w:spacing w:before="120" w:after="120"/>
              <w:rPr>
                <w:rFonts w:ascii="Times New Roman" w:hAnsi="Times New Roman" w:cs="Times New Roman"/>
              </w:rPr>
            </w:pPr>
            <w:r w:rsidRPr="00AE1B2B">
              <w:rPr>
                <w:rFonts w:ascii="Times New Roman" w:hAnsi="Times New Roman" w:cs="Times New Roman"/>
              </w:rPr>
              <w:t>Juzgado Agrario del Segundo Circuito Judicial de San José (Goicoechea)</w:t>
            </w:r>
          </w:p>
        </w:tc>
        <w:tc>
          <w:tcPr>
            <w:tcW w:w="1276" w:type="dxa"/>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13BD92C1" w14:textId="77777777">
            <w:pPr>
              <w:spacing w:before="120" w:after="120"/>
              <w:jc w:val="center"/>
              <w:rPr>
                <w:rFonts w:ascii="Times New Roman" w:hAnsi="Times New Roman" w:cs="Times New Roman"/>
              </w:rPr>
            </w:pPr>
            <w:r w:rsidRPr="00AE1B2B">
              <w:rPr>
                <w:rFonts w:ascii="Times New Roman" w:hAnsi="Times New Roman" w:cs="Times New Roman"/>
              </w:rPr>
              <w:t>32</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6AB3A82A" w14:textId="77777777">
            <w:pPr>
              <w:spacing w:before="120" w:after="120"/>
              <w:jc w:val="center"/>
              <w:rPr>
                <w:rFonts w:ascii="Times New Roman" w:hAnsi="Times New Roman" w:cs="Times New Roman"/>
              </w:rPr>
            </w:pPr>
            <w:r w:rsidRPr="00AE1B2B">
              <w:rPr>
                <w:rFonts w:ascii="Times New Roman" w:hAnsi="Times New Roman" w:cs="Times New Roman"/>
              </w:rPr>
              <w:t>2</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094739FD" w14:textId="77777777">
            <w:pPr>
              <w:spacing w:before="120" w:after="120"/>
              <w:jc w:val="center"/>
              <w:rPr>
                <w:rFonts w:ascii="Times New Roman" w:hAnsi="Times New Roman" w:cs="Times New Roman"/>
              </w:rPr>
            </w:pPr>
            <w:r w:rsidRPr="00AE1B2B">
              <w:rPr>
                <w:rFonts w:ascii="Times New Roman" w:hAnsi="Times New Roman" w:cs="Times New Roman"/>
              </w:rPr>
              <w:t>16</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0C885383" w14:textId="77777777">
            <w:pPr>
              <w:spacing w:before="120" w:after="120"/>
              <w:jc w:val="center"/>
              <w:rPr>
                <w:rFonts w:ascii="Times New Roman" w:hAnsi="Times New Roman" w:cs="Times New Roman"/>
              </w:rPr>
            </w:pPr>
            <w:r w:rsidRPr="00AE1B2B">
              <w:rPr>
                <w:rFonts w:ascii="Times New Roman" w:hAnsi="Times New Roman" w:cs="Times New Roman"/>
              </w:rPr>
              <w:t>2</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64F88FB2" w14:textId="77777777">
            <w:pPr>
              <w:spacing w:before="120" w:after="120"/>
              <w:jc w:val="center"/>
              <w:rPr>
                <w:rFonts w:ascii="Times New Roman" w:hAnsi="Times New Roman" w:cs="Times New Roman"/>
              </w:rPr>
            </w:pPr>
            <w:r w:rsidRPr="00AE1B2B">
              <w:rPr>
                <w:rFonts w:ascii="Times New Roman" w:hAnsi="Times New Roman" w:cs="Times New Roman"/>
              </w:rPr>
              <w:t>16</w:t>
            </w:r>
          </w:p>
        </w:tc>
      </w:tr>
      <w:tr w:rsidRPr="00AE1B2B" w:rsidR="009D3FB5" w:rsidTr="009D3FB5" w14:paraId="36FB5226" w14:textId="77777777">
        <w:trPr>
          <w:trHeight w:val="20"/>
        </w:trPr>
        <w:tc>
          <w:tcPr>
            <w:tcW w:w="5245" w:type="dxa"/>
            <w:tcBorders>
              <w:top w:val="nil"/>
              <w:left w:val="double" w:color="44546A" w:sz="6" w:space="0"/>
              <w:bottom w:val="double" w:color="44546A" w:sz="6" w:space="0"/>
              <w:right w:val="nil"/>
            </w:tcBorders>
            <w:shd w:val="clear" w:color="auto" w:fill="auto"/>
            <w:noWrap/>
            <w:vAlign w:val="center"/>
          </w:tcPr>
          <w:p w:rsidRPr="00AE1B2B" w:rsidR="009D3FB5" w:rsidP="00163B94" w:rsidRDefault="009D3FB5" w14:paraId="5245E293" w14:textId="77777777">
            <w:pPr>
              <w:spacing w:before="120" w:after="120"/>
              <w:rPr>
                <w:rFonts w:ascii="Times New Roman" w:hAnsi="Times New Roman" w:cs="Times New Roman"/>
              </w:rPr>
            </w:pPr>
            <w:r w:rsidRPr="00AE1B2B">
              <w:rPr>
                <w:rFonts w:ascii="Times New Roman" w:hAnsi="Times New Roman" w:cs="Times New Roman"/>
              </w:rPr>
              <w:t xml:space="preserve">Juzgado Agrario de Puntarenas </w:t>
            </w:r>
          </w:p>
        </w:tc>
        <w:tc>
          <w:tcPr>
            <w:tcW w:w="1276" w:type="dxa"/>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5E12050E" w14:textId="77777777">
            <w:pPr>
              <w:spacing w:before="120" w:after="120"/>
              <w:jc w:val="center"/>
              <w:rPr>
                <w:rFonts w:ascii="Times New Roman" w:hAnsi="Times New Roman" w:cs="Times New Roman"/>
              </w:rPr>
            </w:pPr>
            <w:r w:rsidRPr="00AE1B2B">
              <w:rPr>
                <w:rFonts w:ascii="Times New Roman" w:hAnsi="Times New Roman" w:cs="Times New Roman"/>
              </w:rPr>
              <w:t>28</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7458DA40" w14:textId="77777777">
            <w:pPr>
              <w:spacing w:before="120" w:after="120"/>
              <w:jc w:val="center"/>
              <w:rPr>
                <w:rFonts w:ascii="Times New Roman" w:hAnsi="Times New Roman" w:cs="Times New Roman"/>
              </w:rPr>
            </w:pPr>
            <w:r w:rsidRPr="00AE1B2B">
              <w:rPr>
                <w:rFonts w:ascii="Times New Roman" w:hAnsi="Times New Roman" w:cs="Times New Roman"/>
              </w:rPr>
              <w:t>2</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0FB9C63C" w14:textId="77777777">
            <w:pPr>
              <w:spacing w:before="120" w:after="120"/>
              <w:jc w:val="center"/>
              <w:rPr>
                <w:rFonts w:ascii="Times New Roman" w:hAnsi="Times New Roman" w:cs="Times New Roman"/>
              </w:rPr>
            </w:pPr>
            <w:r w:rsidRPr="00AE1B2B">
              <w:rPr>
                <w:rFonts w:ascii="Times New Roman" w:hAnsi="Times New Roman" w:cs="Times New Roman"/>
              </w:rPr>
              <w:t>14</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64F69E5F" w14:textId="77777777">
            <w:pPr>
              <w:spacing w:before="120" w:after="120"/>
              <w:jc w:val="center"/>
              <w:rPr>
                <w:rFonts w:ascii="Times New Roman" w:hAnsi="Times New Roman" w:cs="Times New Roman"/>
              </w:rPr>
            </w:pPr>
            <w:r w:rsidRPr="00AE1B2B">
              <w:rPr>
                <w:rFonts w:ascii="Times New Roman" w:hAnsi="Times New Roman" w:cs="Times New Roman"/>
              </w:rPr>
              <w:t>2</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642693A7" w14:textId="77777777">
            <w:pPr>
              <w:spacing w:before="120" w:after="120"/>
              <w:jc w:val="center"/>
              <w:rPr>
                <w:rFonts w:ascii="Times New Roman" w:hAnsi="Times New Roman" w:cs="Times New Roman"/>
              </w:rPr>
            </w:pPr>
            <w:r w:rsidRPr="00AE1B2B">
              <w:rPr>
                <w:rFonts w:ascii="Times New Roman" w:hAnsi="Times New Roman" w:cs="Times New Roman"/>
              </w:rPr>
              <w:t>14</w:t>
            </w:r>
          </w:p>
        </w:tc>
      </w:tr>
      <w:tr w:rsidRPr="00AE1B2B" w:rsidR="009D3FB5" w:rsidTr="009D3FB5" w14:paraId="1D501427" w14:textId="77777777">
        <w:trPr>
          <w:trHeight w:val="20"/>
        </w:trPr>
        <w:tc>
          <w:tcPr>
            <w:tcW w:w="5245" w:type="dxa"/>
            <w:tcBorders>
              <w:top w:val="nil"/>
              <w:left w:val="double" w:color="44546A" w:sz="6" w:space="0"/>
              <w:bottom w:val="double" w:color="44546A" w:sz="6" w:space="0"/>
              <w:right w:val="nil"/>
            </w:tcBorders>
            <w:shd w:val="clear" w:color="auto" w:fill="auto"/>
            <w:noWrap/>
            <w:vAlign w:val="center"/>
          </w:tcPr>
          <w:p w:rsidRPr="00AE1B2B" w:rsidR="009D3FB5" w:rsidP="00163B94" w:rsidRDefault="009D3FB5" w14:paraId="628B4588" w14:textId="77777777">
            <w:pPr>
              <w:spacing w:before="120" w:after="120"/>
              <w:rPr>
                <w:rFonts w:ascii="Times New Roman" w:hAnsi="Times New Roman" w:cs="Times New Roman"/>
              </w:rPr>
            </w:pPr>
            <w:r w:rsidRPr="00AE1B2B">
              <w:rPr>
                <w:rFonts w:ascii="Times New Roman" w:hAnsi="Times New Roman" w:cs="Times New Roman"/>
              </w:rPr>
              <w:t>Juzgado Agrario del Segundo Circuito Judicial de Alajuela (San Carlos)</w:t>
            </w:r>
          </w:p>
        </w:tc>
        <w:tc>
          <w:tcPr>
            <w:tcW w:w="1276" w:type="dxa"/>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13F7686C" w14:textId="77777777">
            <w:pPr>
              <w:spacing w:before="120" w:after="120"/>
              <w:jc w:val="center"/>
              <w:rPr>
                <w:rFonts w:ascii="Times New Roman" w:hAnsi="Times New Roman" w:cs="Times New Roman"/>
              </w:rPr>
            </w:pPr>
            <w:r w:rsidRPr="00AE1B2B">
              <w:rPr>
                <w:rFonts w:ascii="Times New Roman" w:hAnsi="Times New Roman" w:cs="Times New Roman"/>
              </w:rPr>
              <w:t>39</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156DADEF" w14:textId="77777777">
            <w:pPr>
              <w:spacing w:before="120" w:after="120"/>
              <w:jc w:val="center"/>
              <w:rPr>
                <w:rFonts w:ascii="Times New Roman" w:hAnsi="Times New Roman" w:cs="Times New Roman"/>
              </w:rPr>
            </w:pPr>
            <w:r w:rsidRPr="00AE1B2B">
              <w:rPr>
                <w:rFonts w:ascii="Times New Roman" w:hAnsi="Times New Roman" w:cs="Times New Roman"/>
              </w:rPr>
              <w:t>2</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2BB6743B" w14:textId="77777777">
            <w:pPr>
              <w:spacing w:before="120" w:after="120"/>
              <w:jc w:val="center"/>
              <w:rPr>
                <w:rFonts w:ascii="Times New Roman" w:hAnsi="Times New Roman" w:cs="Times New Roman"/>
              </w:rPr>
            </w:pPr>
            <w:r w:rsidRPr="00AE1B2B">
              <w:rPr>
                <w:rFonts w:ascii="Times New Roman" w:hAnsi="Times New Roman" w:cs="Times New Roman"/>
              </w:rPr>
              <w:t>19</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1195BD13" w14:textId="77777777">
            <w:pPr>
              <w:spacing w:before="120" w:after="120"/>
              <w:jc w:val="center"/>
              <w:rPr>
                <w:rFonts w:ascii="Times New Roman" w:hAnsi="Times New Roman" w:cs="Times New Roman"/>
              </w:rPr>
            </w:pPr>
            <w:r w:rsidRPr="00AE1B2B">
              <w:rPr>
                <w:rFonts w:ascii="Times New Roman" w:hAnsi="Times New Roman" w:cs="Times New Roman"/>
              </w:rPr>
              <w:t>3</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388339E0" w14:textId="77777777">
            <w:pPr>
              <w:spacing w:before="120" w:after="120"/>
              <w:jc w:val="center"/>
              <w:rPr>
                <w:rFonts w:ascii="Times New Roman" w:hAnsi="Times New Roman" w:cs="Times New Roman"/>
              </w:rPr>
            </w:pPr>
            <w:r w:rsidRPr="00AE1B2B">
              <w:rPr>
                <w:rFonts w:ascii="Times New Roman" w:hAnsi="Times New Roman" w:cs="Times New Roman"/>
              </w:rPr>
              <w:t>13</w:t>
            </w:r>
          </w:p>
        </w:tc>
      </w:tr>
      <w:tr w:rsidRPr="00AE1B2B" w:rsidR="009D3FB5" w:rsidTr="009D3FB5" w14:paraId="311AEA2B" w14:textId="77777777">
        <w:trPr>
          <w:trHeight w:val="20"/>
        </w:trPr>
        <w:tc>
          <w:tcPr>
            <w:tcW w:w="5245" w:type="dxa"/>
            <w:tcBorders>
              <w:top w:val="nil"/>
              <w:left w:val="double" w:color="44546A" w:sz="6" w:space="0"/>
              <w:bottom w:val="double" w:color="44546A" w:sz="6" w:space="0"/>
              <w:right w:val="nil"/>
            </w:tcBorders>
            <w:shd w:val="clear" w:color="auto" w:fill="auto"/>
            <w:noWrap/>
            <w:vAlign w:val="center"/>
          </w:tcPr>
          <w:p w:rsidRPr="00AE1B2B" w:rsidR="009D3FB5" w:rsidP="00163B94" w:rsidRDefault="009D3FB5" w14:paraId="2421E47A" w14:textId="77777777">
            <w:pPr>
              <w:spacing w:before="120" w:after="120"/>
              <w:rPr>
                <w:rFonts w:ascii="Times New Roman" w:hAnsi="Times New Roman" w:cs="Times New Roman"/>
              </w:rPr>
            </w:pPr>
            <w:r w:rsidRPr="00AE1B2B">
              <w:rPr>
                <w:rFonts w:ascii="Times New Roman" w:hAnsi="Times New Roman" w:cs="Times New Roman"/>
              </w:rPr>
              <w:t>Juzgado Agrario del Tercer Circuito Judicial de Alajuela (San Ramón)</w:t>
            </w:r>
          </w:p>
        </w:tc>
        <w:tc>
          <w:tcPr>
            <w:tcW w:w="1276" w:type="dxa"/>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4346DAA9" w14:textId="77777777">
            <w:pPr>
              <w:spacing w:before="120" w:after="120"/>
              <w:jc w:val="center"/>
              <w:rPr>
                <w:rFonts w:ascii="Times New Roman" w:hAnsi="Times New Roman" w:cs="Times New Roman"/>
              </w:rPr>
            </w:pPr>
            <w:r w:rsidRPr="00AE1B2B">
              <w:rPr>
                <w:rFonts w:ascii="Times New Roman" w:hAnsi="Times New Roman" w:cs="Times New Roman"/>
              </w:rPr>
              <w:t>24</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103F6408" w14:textId="77777777">
            <w:pPr>
              <w:spacing w:before="120" w:after="120"/>
              <w:jc w:val="center"/>
              <w:rPr>
                <w:rFonts w:ascii="Times New Roman" w:hAnsi="Times New Roman" w:cs="Times New Roman"/>
              </w:rPr>
            </w:pPr>
            <w:r w:rsidRPr="00AE1B2B">
              <w:rPr>
                <w:rFonts w:ascii="Times New Roman" w:hAnsi="Times New Roman" w:cs="Times New Roman"/>
              </w:rPr>
              <w:t>2</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6AED4A31" w14:textId="77777777">
            <w:pPr>
              <w:spacing w:before="120" w:after="120"/>
              <w:jc w:val="center"/>
              <w:rPr>
                <w:rFonts w:ascii="Times New Roman" w:hAnsi="Times New Roman" w:cs="Times New Roman"/>
              </w:rPr>
            </w:pPr>
            <w:r w:rsidRPr="00AE1B2B">
              <w:rPr>
                <w:rFonts w:ascii="Times New Roman" w:hAnsi="Times New Roman" w:cs="Times New Roman"/>
              </w:rPr>
              <w:t>12</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2C4417FD" w14:textId="77777777">
            <w:pPr>
              <w:spacing w:before="120" w:after="120"/>
              <w:jc w:val="center"/>
              <w:rPr>
                <w:rFonts w:ascii="Times New Roman" w:hAnsi="Times New Roman" w:cs="Times New Roman"/>
              </w:rPr>
            </w:pPr>
            <w:r w:rsidRPr="00AE1B2B">
              <w:rPr>
                <w:rFonts w:ascii="Times New Roman" w:hAnsi="Times New Roman" w:cs="Times New Roman"/>
              </w:rPr>
              <w:t>2</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4B5904D3" w14:textId="77777777">
            <w:pPr>
              <w:spacing w:before="120" w:after="120"/>
              <w:jc w:val="center"/>
              <w:rPr>
                <w:rFonts w:ascii="Times New Roman" w:hAnsi="Times New Roman" w:cs="Times New Roman"/>
              </w:rPr>
            </w:pPr>
            <w:r w:rsidRPr="00AE1B2B">
              <w:rPr>
                <w:rFonts w:ascii="Times New Roman" w:hAnsi="Times New Roman" w:cs="Times New Roman"/>
              </w:rPr>
              <w:t>12</w:t>
            </w:r>
          </w:p>
        </w:tc>
      </w:tr>
      <w:tr w:rsidRPr="00AE1B2B" w:rsidR="009D3FB5" w:rsidTr="009D3FB5" w14:paraId="137C33DE" w14:textId="77777777">
        <w:trPr>
          <w:trHeight w:val="20"/>
        </w:trPr>
        <w:tc>
          <w:tcPr>
            <w:tcW w:w="5245" w:type="dxa"/>
            <w:tcBorders>
              <w:top w:val="nil"/>
              <w:left w:val="double" w:color="44546A" w:sz="6" w:space="0"/>
              <w:bottom w:val="double" w:color="44546A" w:sz="6" w:space="0"/>
              <w:right w:val="nil"/>
            </w:tcBorders>
            <w:shd w:val="clear" w:color="auto" w:fill="auto"/>
            <w:noWrap/>
            <w:vAlign w:val="center"/>
          </w:tcPr>
          <w:p w:rsidRPr="00AE1B2B" w:rsidR="009D3FB5" w:rsidP="00163B94" w:rsidRDefault="009D3FB5" w14:paraId="70965374" w14:textId="77777777">
            <w:pPr>
              <w:spacing w:before="120" w:after="120"/>
              <w:rPr>
                <w:rFonts w:ascii="Times New Roman" w:hAnsi="Times New Roman" w:cs="Times New Roman"/>
              </w:rPr>
            </w:pPr>
            <w:r w:rsidRPr="00AE1B2B">
              <w:rPr>
                <w:rFonts w:ascii="Times New Roman" w:hAnsi="Times New Roman" w:cs="Times New Roman"/>
              </w:rPr>
              <w:t>Juzgado Agrario del Segundo Circuito Judicial de Guanacaste (Santa Cruz)</w:t>
            </w:r>
          </w:p>
        </w:tc>
        <w:tc>
          <w:tcPr>
            <w:tcW w:w="1276" w:type="dxa"/>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520C6F31" w14:textId="77777777">
            <w:pPr>
              <w:spacing w:before="120" w:after="120"/>
              <w:jc w:val="center"/>
              <w:rPr>
                <w:rFonts w:ascii="Times New Roman" w:hAnsi="Times New Roman" w:cs="Times New Roman"/>
              </w:rPr>
            </w:pPr>
            <w:r w:rsidRPr="00AE1B2B">
              <w:rPr>
                <w:rFonts w:ascii="Times New Roman" w:hAnsi="Times New Roman" w:cs="Times New Roman"/>
              </w:rPr>
              <w:t>44</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421293ED" w14:textId="77777777">
            <w:pPr>
              <w:spacing w:before="120" w:after="120"/>
              <w:jc w:val="center"/>
              <w:rPr>
                <w:rFonts w:ascii="Times New Roman" w:hAnsi="Times New Roman" w:cs="Times New Roman"/>
              </w:rPr>
            </w:pPr>
            <w:r w:rsidRPr="00AE1B2B">
              <w:rPr>
                <w:rFonts w:ascii="Times New Roman" w:hAnsi="Times New Roman" w:cs="Times New Roman"/>
              </w:rPr>
              <w:t>2</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5DC1BEDE" w14:textId="77777777">
            <w:pPr>
              <w:spacing w:before="120" w:after="120"/>
              <w:jc w:val="center"/>
              <w:rPr>
                <w:rFonts w:ascii="Times New Roman" w:hAnsi="Times New Roman" w:cs="Times New Roman"/>
              </w:rPr>
            </w:pPr>
            <w:r w:rsidRPr="00AE1B2B">
              <w:rPr>
                <w:rFonts w:ascii="Times New Roman" w:hAnsi="Times New Roman" w:cs="Times New Roman"/>
              </w:rPr>
              <w:t>22</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6CC42755" w14:textId="77777777">
            <w:pPr>
              <w:spacing w:before="120" w:after="120"/>
              <w:jc w:val="center"/>
              <w:rPr>
                <w:rFonts w:ascii="Times New Roman" w:hAnsi="Times New Roman" w:cs="Times New Roman"/>
              </w:rPr>
            </w:pPr>
            <w:r w:rsidRPr="00AE1B2B">
              <w:rPr>
                <w:rFonts w:ascii="Times New Roman" w:hAnsi="Times New Roman" w:cs="Times New Roman"/>
              </w:rPr>
              <w:t>4</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3C25DC2B" w14:textId="77777777">
            <w:pPr>
              <w:spacing w:before="120" w:after="120"/>
              <w:jc w:val="center"/>
              <w:rPr>
                <w:rFonts w:ascii="Times New Roman" w:hAnsi="Times New Roman" w:cs="Times New Roman"/>
              </w:rPr>
            </w:pPr>
            <w:r w:rsidRPr="00AE1B2B">
              <w:rPr>
                <w:rFonts w:ascii="Times New Roman" w:hAnsi="Times New Roman" w:cs="Times New Roman"/>
              </w:rPr>
              <w:t>11</w:t>
            </w:r>
          </w:p>
        </w:tc>
      </w:tr>
      <w:tr w:rsidRPr="00AE1B2B" w:rsidR="009D3FB5" w:rsidTr="009D3FB5" w14:paraId="56537784" w14:textId="77777777">
        <w:trPr>
          <w:trHeight w:val="20"/>
        </w:trPr>
        <w:tc>
          <w:tcPr>
            <w:tcW w:w="5245" w:type="dxa"/>
            <w:tcBorders>
              <w:top w:val="nil"/>
              <w:left w:val="double" w:color="44546A" w:sz="6" w:space="0"/>
              <w:bottom w:val="double" w:color="44546A" w:sz="6" w:space="0"/>
              <w:right w:val="nil"/>
            </w:tcBorders>
            <w:shd w:val="clear" w:color="auto" w:fill="auto"/>
            <w:noWrap/>
            <w:vAlign w:val="center"/>
          </w:tcPr>
          <w:p w:rsidRPr="00AE1B2B" w:rsidR="009D3FB5" w:rsidP="00163B94" w:rsidRDefault="009D3FB5" w14:paraId="1EDE81C0" w14:textId="77777777">
            <w:pPr>
              <w:spacing w:before="120" w:after="120"/>
              <w:rPr>
                <w:rFonts w:ascii="Times New Roman" w:hAnsi="Times New Roman" w:cs="Times New Roman"/>
              </w:rPr>
            </w:pPr>
            <w:r w:rsidRPr="00AE1B2B">
              <w:rPr>
                <w:rFonts w:ascii="Times New Roman" w:hAnsi="Times New Roman" w:cs="Times New Roman"/>
              </w:rPr>
              <w:t>Juzgado Agrario del Segundo Circuito Judicial de la Zona Sur (Corredores)</w:t>
            </w:r>
          </w:p>
        </w:tc>
        <w:tc>
          <w:tcPr>
            <w:tcW w:w="1276" w:type="dxa"/>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59245BC5" w14:textId="77777777">
            <w:pPr>
              <w:spacing w:before="120" w:after="120"/>
              <w:jc w:val="center"/>
              <w:rPr>
                <w:rFonts w:ascii="Times New Roman" w:hAnsi="Times New Roman" w:cs="Times New Roman"/>
              </w:rPr>
            </w:pPr>
            <w:r w:rsidRPr="00AE1B2B">
              <w:rPr>
                <w:rFonts w:ascii="Times New Roman" w:hAnsi="Times New Roman" w:cs="Times New Roman"/>
              </w:rPr>
              <w:t>31</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62E1772C" w14:textId="77777777">
            <w:pPr>
              <w:spacing w:before="120" w:after="120"/>
              <w:jc w:val="center"/>
              <w:rPr>
                <w:rFonts w:ascii="Times New Roman" w:hAnsi="Times New Roman" w:cs="Times New Roman"/>
              </w:rPr>
            </w:pPr>
            <w:r w:rsidRPr="00AE1B2B">
              <w:rPr>
                <w:rFonts w:ascii="Times New Roman" w:hAnsi="Times New Roman" w:cs="Times New Roman"/>
              </w:rPr>
              <w:t>2</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7EA5AE52" w14:textId="77777777">
            <w:pPr>
              <w:spacing w:before="120" w:after="120"/>
              <w:jc w:val="center"/>
              <w:rPr>
                <w:rFonts w:ascii="Times New Roman" w:hAnsi="Times New Roman" w:cs="Times New Roman"/>
              </w:rPr>
            </w:pPr>
            <w:r w:rsidRPr="00AE1B2B">
              <w:rPr>
                <w:rFonts w:ascii="Times New Roman" w:hAnsi="Times New Roman" w:cs="Times New Roman"/>
              </w:rPr>
              <w:t>15</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351D69BD" w14:textId="77777777">
            <w:pPr>
              <w:spacing w:before="120" w:after="120"/>
              <w:jc w:val="center"/>
              <w:rPr>
                <w:rFonts w:ascii="Times New Roman" w:hAnsi="Times New Roman" w:cs="Times New Roman"/>
              </w:rPr>
            </w:pPr>
            <w:r w:rsidRPr="00AE1B2B">
              <w:rPr>
                <w:rFonts w:ascii="Times New Roman" w:hAnsi="Times New Roman" w:cs="Times New Roman"/>
              </w:rPr>
              <w:t>3</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446E4B81" w14:textId="77777777">
            <w:pPr>
              <w:spacing w:before="120" w:after="120"/>
              <w:jc w:val="center"/>
              <w:rPr>
                <w:rFonts w:ascii="Times New Roman" w:hAnsi="Times New Roman" w:cs="Times New Roman"/>
              </w:rPr>
            </w:pPr>
            <w:r w:rsidRPr="00AE1B2B">
              <w:rPr>
                <w:rFonts w:ascii="Times New Roman" w:hAnsi="Times New Roman" w:cs="Times New Roman"/>
              </w:rPr>
              <w:t>10</w:t>
            </w:r>
          </w:p>
        </w:tc>
      </w:tr>
      <w:tr w:rsidRPr="00AE1B2B" w:rsidR="009D3FB5" w:rsidTr="009D3FB5" w14:paraId="2CBD8DC2" w14:textId="77777777">
        <w:trPr>
          <w:trHeight w:val="20"/>
        </w:trPr>
        <w:tc>
          <w:tcPr>
            <w:tcW w:w="5245" w:type="dxa"/>
            <w:tcBorders>
              <w:top w:val="nil"/>
              <w:left w:val="double" w:color="44546A" w:sz="6" w:space="0"/>
              <w:bottom w:val="double" w:color="44546A" w:sz="6" w:space="0"/>
              <w:right w:val="nil"/>
            </w:tcBorders>
            <w:shd w:val="clear" w:color="auto" w:fill="auto"/>
            <w:noWrap/>
            <w:vAlign w:val="center"/>
          </w:tcPr>
          <w:p w:rsidRPr="00AE1B2B" w:rsidR="009D3FB5" w:rsidP="00163B94" w:rsidRDefault="009D3FB5" w14:paraId="5B1CF31F" w14:textId="77777777">
            <w:pPr>
              <w:spacing w:before="120" w:after="120"/>
              <w:rPr>
                <w:rFonts w:ascii="Times New Roman" w:hAnsi="Times New Roman" w:cs="Times New Roman"/>
              </w:rPr>
            </w:pPr>
            <w:r w:rsidRPr="00AE1B2B">
              <w:rPr>
                <w:rFonts w:ascii="Times New Roman" w:hAnsi="Times New Roman" w:cs="Times New Roman"/>
              </w:rPr>
              <w:t>Juzgado Agrario del Primer Circuito Judicial de la Zona Atlántica (Limón)</w:t>
            </w:r>
          </w:p>
        </w:tc>
        <w:tc>
          <w:tcPr>
            <w:tcW w:w="1276" w:type="dxa"/>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00A7C2E2" w14:textId="77777777">
            <w:pPr>
              <w:spacing w:before="120" w:after="120"/>
              <w:jc w:val="center"/>
              <w:rPr>
                <w:rFonts w:ascii="Times New Roman" w:hAnsi="Times New Roman" w:cs="Times New Roman"/>
              </w:rPr>
            </w:pPr>
            <w:r w:rsidRPr="00AE1B2B">
              <w:rPr>
                <w:rFonts w:ascii="Times New Roman" w:hAnsi="Times New Roman" w:cs="Times New Roman"/>
              </w:rPr>
              <w:t>40</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3EEC0AAE" w14:textId="77777777">
            <w:pPr>
              <w:spacing w:before="120" w:after="120"/>
              <w:jc w:val="center"/>
              <w:rPr>
                <w:rFonts w:ascii="Times New Roman" w:hAnsi="Times New Roman" w:cs="Times New Roman"/>
              </w:rPr>
            </w:pPr>
            <w:r w:rsidRPr="00AE1B2B">
              <w:rPr>
                <w:rFonts w:ascii="Times New Roman" w:hAnsi="Times New Roman" w:cs="Times New Roman"/>
              </w:rPr>
              <w:t>2</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00627FFF" w14:textId="77777777">
            <w:pPr>
              <w:spacing w:before="120" w:after="120"/>
              <w:jc w:val="center"/>
              <w:rPr>
                <w:rFonts w:ascii="Times New Roman" w:hAnsi="Times New Roman" w:cs="Times New Roman"/>
              </w:rPr>
            </w:pPr>
            <w:r w:rsidRPr="00AE1B2B">
              <w:rPr>
                <w:rFonts w:ascii="Times New Roman" w:hAnsi="Times New Roman" w:cs="Times New Roman"/>
              </w:rPr>
              <w:t>20</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5DD4FCDA" w14:textId="77777777">
            <w:pPr>
              <w:spacing w:before="120" w:after="120"/>
              <w:jc w:val="center"/>
              <w:rPr>
                <w:rFonts w:ascii="Times New Roman" w:hAnsi="Times New Roman" w:cs="Times New Roman"/>
              </w:rPr>
            </w:pPr>
            <w:r w:rsidRPr="00AE1B2B">
              <w:rPr>
                <w:rFonts w:ascii="Times New Roman" w:hAnsi="Times New Roman" w:cs="Times New Roman"/>
              </w:rPr>
              <w:t>4</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4EF51F46" w14:textId="77777777">
            <w:pPr>
              <w:spacing w:before="120" w:after="120"/>
              <w:jc w:val="center"/>
              <w:rPr>
                <w:rFonts w:ascii="Times New Roman" w:hAnsi="Times New Roman" w:cs="Times New Roman"/>
              </w:rPr>
            </w:pPr>
            <w:r w:rsidRPr="00AE1B2B">
              <w:rPr>
                <w:rFonts w:ascii="Times New Roman" w:hAnsi="Times New Roman" w:cs="Times New Roman"/>
              </w:rPr>
              <w:t>10</w:t>
            </w:r>
          </w:p>
        </w:tc>
      </w:tr>
      <w:tr w:rsidRPr="00AE1B2B" w:rsidR="009D3FB5" w:rsidTr="009D3FB5" w14:paraId="50ED5C59" w14:textId="77777777">
        <w:trPr>
          <w:trHeight w:val="20"/>
        </w:trPr>
        <w:tc>
          <w:tcPr>
            <w:tcW w:w="5245" w:type="dxa"/>
            <w:tcBorders>
              <w:top w:val="nil"/>
              <w:left w:val="double" w:color="44546A" w:sz="6" w:space="0"/>
              <w:bottom w:val="double" w:color="44546A" w:sz="6" w:space="0"/>
              <w:right w:val="nil"/>
            </w:tcBorders>
            <w:shd w:val="clear" w:color="auto" w:fill="auto"/>
            <w:noWrap/>
            <w:vAlign w:val="center"/>
          </w:tcPr>
          <w:p w:rsidRPr="00AE1B2B" w:rsidR="009D3FB5" w:rsidP="00163B94" w:rsidRDefault="009D3FB5" w14:paraId="7EF41055" w14:textId="77777777">
            <w:pPr>
              <w:spacing w:before="120" w:after="120"/>
              <w:rPr>
                <w:rFonts w:ascii="Times New Roman" w:hAnsi="Times New Roman" w:cs="Times New Roman"/>
              </w:rPr>
            </w:pPr>
            <w:r w:rsidRPr="00AE1B2B">
              <w:rPr>
                <w:rFonts w:ascii="Times New Roman" w:hAnsi="Times New Roman" w:cs="Times New Roman"/>
              </w:rPr>
              <w:t>Juzgado Agrario del Primer Circuito Judicial de la Zona Sur (Pérez Zeledón)</w:t>
            </w:r>
          </w:p>
        </w:tc>
        <w:tc>
          <w:tcPr>
            <w:tcW w:w="1276" w:type="dxa"/>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74238A4E" w14:textId="77777777">
            <w:pPr>
              <w:spacing w:before="120" w:after="120"/>
              <w:jc w:val="center"/>
              <w:rPr>
                <w:rFonts w:ascii="Times New Roman" w:hAnsi="Times New Roman" w:cs="Times New Roman"/>
              </w:rPr>
            </w:pPr>
            <w:r w:rsidRPr="00AE1B2B">
              <w:rPr>
                <w:rFonts w:ascii="Times New Roman" w:hAnsi="Times New Roman" w:cs="Times New Roman"/>
              </w:rPr>
              <w:t>17</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127DD53D" w14:textId="77777777">
            <w:pPr>
              <w:spacing w:before="120" w:after="120"/>
              <w:jc w:val="center"/>
              <w:rPr>
                <w:rFonts w:ascii="Times New Roman" w:hAnsi="Times New Roman" w:cs="Times New Roman"/>
              </w:rPr>
            </w:pPr>
            <w:r w:rsidRPr="00AE1B2B">
              <w:rPr>
                <w:rFonts w:ascii="Times New Roman" w:hAnsi="Times New Roman" w:cs="Times New Roman"/>
              </w:rPr>
              <w:t>1</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006A453A" w14:textId="77777777">
            <w:pPr>
              <w:spacing w:before="120" w:after="120"/>
              <w:jc w:val="center"/>
              <w:rPr>
                <w:rFonts w:ascii="Times New Roman" w:hAnsi="Times New Roman" w:cs="Times New Roman"/>
              </w:rPr>
            </w:pPr>
            <w:r w:rsidRPr="00AE1B2B">
              <w:rPr>
                <w:rFonts w:ascii="Times New Roman" w:hAnsi="Times New Roman" w:cs="Times New Roman"/>
              </w:rPr>
              <w:t>17</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07EE812A" w14:textId="77777777">
            <w:pPr>
              <w:spacing w:before="120" w:after="120"/>
              <w:jc w:val="center"/>
              <w:rPr>
                <w:rFonts w:ascii="Times New Roman" w:hAnsi="Times New Roman" w:cs="Times New Roman"/>
              </w:rPr>
            </w:pPr>
            <w:r w:rsidRPr="00AE1B2B">
              <w:rPr>
                <w:rFonts w:ascii="Times New Roman" w:hAnsi="Times New Roman" w:cs="Times New Roman"/>
              </w:rPr>
              <w:t>2</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63DDD97C" w14:textId="77777777">
            <w:pPr>
              <w:spacing w:before="120" w:after="120"/>
              <w:jc w:val="center"/>
              <w:rPr>
                <w:rFonts w:ascii="Times New Roman" w:hAnsi="Times New Roman" w:cs="Times New Roman"/>
              </w:rPr>
            </w:pPr>
            <w:r w:rsidRPr="00AE1B2B">
              <w:rPr>
                <w:rFonts w:ascii="Times New Roman" w:hAnsi="Times New Roman" w:cs="Times New Roman"/>
              </w:rPr>
              <w:t>9</w:t>
            </w:r>
          </w:p>
        </w:tc>
      </w:tr>
      <w:tr w:rsidRPr="00AE1B2B" w:rsidR="009D3FB5" w:rsidTr="009D3FB5" w14:paraId="3FCD7758" w14:textId="77777777">
        <w:trPr>
          <w:trHeight w:val="20"/>
        </w:trPr>
        <w:tc>
          <w:tcPr>
            <w:tcW w:w="5245" w:type="dxa"/>
            <w:tcBorders>
              <w:top w:val="nil"/>
              <w:left w:val="double" w:color="44546A" w:sz="6" w:space="0"/>
              <w:bottom w:val="double" w:color="44546A" w:sz="6" w:space="0"/>
              <w:right w:val="nil"/>
            </w:tcBorders>
            <w:shd w:val="clear" w:color="auto" w:fill="auto"/>
            <w:noWrap/>
            <w:vAlign w:val="center"/>
          </w:tcPr>
          <w:p w:rsidRPr="00AE1B2B" w:rsidR="009D3FB5" w:rsidP="00163B94" w:rsidRDefault="009D3FB5" w14:paraId="3CFCB2E0" w14:textId="77777777">
            <w:pPr>
              <w:spacing w:before="120" w:after="120"/>
              <w:rPr>
                <w:rFonts w:ascii="Times New Roman" w:hAnsi="Times New Roman" w:cs="Times New Roman"/>
              </w:rPr>
            </w:pPr>
            <w:r w:rsidRPr="00AE1B2B">
              <w:rPr>
                <w:rFonts w:ascii="Times New Roman" w:hAnsi="Times New Roman" w:cs="Times New Roman"/>
              </w:rPr>
              <w:t xml:space="preserve">Juzgado Agrario del Circuito Judicial de Cartago </w:t>
            </w:r>
          </w:p>
        </w:tc>
        <w:tc>
          <w:tcPr>
            <w:tcW w:w="1276" w:type="dxa"/>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45670E78" w14:textId="77777777">
            <w:pPr>
              <w:spacing w:before="120" w:after="120"/>
              <w:jc w:val="center"/>
              <w:rPr>
                <w:rFonts w:ascii="Times New Roman" w:hAnsi="Times New Roman" w:cs="Times New Roman"/>
              </w:rPr>
            </w:pPr>
            <w:r w:rsidRPr="00AE1B2B">
              <w:rPr>
                <w:rFonts w:ascii="Times New Roman" w:hAnsi="Times New Roman" w:cs="Times New Roman"/>
              </w:rPr>
              <w:t>25</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1DA2FC4B" w14:textId="77777777">
            <w:pPr>
              <w:spacing w:before="120" w:after="120"/>
              <w:jc w:val="center"/>
              <w:rPr>
                <w:rFonts w:ascii="Times New Roman" w:hAnsi="Times New Roman" w:cs="Times New Roman"/>
              </w:rPr>
            </w:pPr>
            <w:r w:rsidRPr="00AE1B2B">
              <w:rPr>
                <w:rFonts w:ascii="Times New Roman" w:hAnsi="Times New Roman" w:cs="Times New Roman"/>
              </w:rPr>
              <w:t>2</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10B595E7" w14:textId="77777777">
            <w:pPr>
              <w:spacing w:before="120" w:after="120"/>
              <w:jc w:val="center"/>
              <w:rPr>
                <w:rFonts w:ascii="Times New Roman" w:hAnsi="Times New Roman" w:cs="Times New Roman"/>
              </w:rPr>
            </w:pPr>
            <w:r w:rsidRPr="00AE1B2B">
              <w:rPr>
                <w:rFonts w:ascii="Times New Roman" w:hAnsi="Times New Roman" w:cs="Times New Roman"/>
              </w:rPr>
              <w:t>12</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21446B6D" w14:textId="77777777">
            <w:pPr>
              <w:spacing w:before="120" w:after="120"/>
              <w:jc w:val="center"/>
              <w:rPr>
                <w:rFonts w:ascii="Times New Roman" w:hAnsi="Times New Roman" w:cs="Times New Roman"/>
              </w:rPr>
            </w:pPr>
            <w:r w:rsidRPr="00AE1B2B">
              <w:rPr>
                <w:rFonts w:ascii="Times New Roman" w:hAnsi="Times New Roman" w:cs="Times New Roman"/>
              </w:rPr>
              <w:t>3</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58DA0A64" w14:textId="77777777">
            <w:pPr>
              <w:spacing w:before="120" w:after="120"/>
              <w:jc w:val="center"/>
              <w:rPr>
                <w:rFonts w:ascii="Times New Roman" w:hAnsi="Times New Roman" w:cs="Times New Roman"/>
              </w:rPr>
            </w:pPr>
            <w:r w:rsidRPr="00AE1B2B">
              <w:rPr>
                <w:rFonts w:ascii="Times New Roman" w:hAnsi="Times New Roman" w:cs="Times New Roman"/>
              </w:rPr>
              <w:t>8</w:t>
            </w:r>
          </w:p>
        </w:tc>
      </w:tr>
      <w:tr w:rsidRPr="00AE1B2B" w:rsidR="009D3FB5" w:rsidTr="009D3FB5" w14:paraId="3CB3DFC8" w14:textId="77777777">
        <w:trPr>
          <w:trHeight w:val="20"/>
        </w:trPr>
        <w:tc>
          <w:tcPr>
            <w:tcW w:w="5245" w:type="dxa"/>
            <w:tcBorders>
              <w:top w:val="nil"/>
              <w:left w:val="double" w:color="44546A" w:sz="6" w:space="0"/>
              <w:bottom w:val="double" w:color="44546A" w:sz="6" w:space="0"/>
              <w:right w:val="nil"/>
            </w:tcBorders>
            <w:shd w:val="clear" w:color="auto" w:fill="auto"/>
            <w:noWrap/>
            <w:vAlign w:val="center"/>
          </w:tcPr>
          <w:p w:rsidRPr="00AE1B2B" w:rsidR="009D3FB5" w:rsidP="00163B94" w:rsidRDefault="009D3FB5" w14:paraId="48683CB7" w14:textId="77777777">
            <w:pPr>
              <w:spacing w:before="120" w:after="120"/>
              <w:rPr>
                <w:rFonts w:ascii="Times New Roman" w:hAnsi="Times New Roman" w:cs="Times New Roman"/>
              </w:rPr>
            </w:pPr>
            <w:r w:rsidRPr="00AE1B2B">
              <w:rPr>
                <w:rFonts w:ascii="Times New Roman" w:hAnsi="Times New Roman" w:cs="Times New Roman"/>
              </w:rPr>
              <w:lastRenderedPageBreak/>
              <w:t>Juzgado Agrario del Primer Circuito Judicial de Guanacaste (Liberia)</w:t>
            </w:r>
          </w:p>
        </w:tc>
        <w:tc>
          <w:tcPr>
            <w:tcW w:w="1276" w:type="dxa"/>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61EE18D6" w14:textId="77777777">
            <w:pPr>
              <w:spacing w:before="120" w:after="120"/>
              <w:jc w:val="center"/>
              <w:rPr>
                <w:rFonts w:ascii="Times New Roman" w:hAnsi="Times New Roman" w:cs="Times New Roman"/>
              </w:rPr>
            </w:pPr>
            <w:r w:rsidRPr="00AE1B2B">
              <w:rPr>
                <w:rFonts w:ascii="Times New Roman" w:hAnsi="Times New Roman" w:cs="Times New Roman"/>
              </w:rPr>
              <w:t>31</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063BBA37" w14:textId="77777777">
            <w:pPr>
              <w:spacing w:before="120" w:after="120"/>
              <w:jc w:val="center"/>
              <w:rPr>
                <w:rFonts w:ascii="Times New Roman" w:hAnsi="Times New Roman" w:cs="Times New Roman"/>
              </w:rPr>
            </w:pPr>
            <w:r w:rsidRPr="00AE1B2B">
              <w:rPr>
                <w:rFonts w:ascii="Times New Roman" w:hAnsi="Times New Roman" w:cs="Times New Roman"/>
              </w:rPr>
              <w:t>2</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3C6375BF" w14:textId="77777777">
            <w:pPr>
              <w:spacing w:before="120" w:after="120"/>
              <w:jc w:val="center"/>
              <w:rPr>
                <w:rFonts w:ascii="Times New Roman" w:hAnsi="Times New Roman" w:cs="Times New Roman"/>
              </w:rPr>
            </w:pPr>
            <w:r w:rsidRPr="00AE1B2B">
              <w:rPr>
                <w:rFonts w:ascii="Times New Roman" w:hAnsi="Times New Roman" w:cs="Times New Roman"/>
              </w:rPr>
              <w:t>15</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4EA8E8D8" w14:textId="77777777">
            <w:pPr>
              <w:spacing w:before="120" w:after="120"/>
              <w:jc w:val="center"/>
              <w:rPr>
                <w:rFonts w:ascii="Times New Roman" w:hAnsi="Times New Roman" w:cs="Times New Roman"/>
              </w:rPr>
            </w:pPr>
            <w:r w:rsidRPr="00AE1B2B">
              <w:rPr>
                <w:rFonts w:ascii="Times New Roman" w:hAnsi="Times New Roman" w:cs="Times New Roman"/>
              </w:rPr>
              <w:t>4</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40F972BF" w14:textId="77777777">
            <w:pPr>
              <w:spacing w:before="120" w:after="120"/>
              <w:jc w:val="center"/>
              <w:rPr>
                <w:rFonts w:ascii="Times New Roman" w:hAnsi="Times New Roman" w:cs="Times New Roman"/>
              </w:rPr>
            </w:pPr>
            <w:r w:rsidRPr="00AE1B2B">
              <w:rPr>
                <w:rFonts w:ascii="Times New Roman" w:hAnsi="Times New Roman" w:cs="Times New Roman"/>
              </w:rPr>
              <w:t>8</w:t>
            </w:r>
          </w:p>
        </w:tc>
      </w:tr>
      <w:tr w:rsidRPr="00AE1B2B" w:rsidR="009D3FB5" w:rsidTr="009D3FB5" w14:paraId="30460E98" w14:textId="77777777">
        <w:trPr>
          <w:trHeight w:val="20"/>
        </w:trPr>
        <w:tc>
          <w:tcPr>
            <w:tcW w:w="5245" w:type="dxa"/>
            <w:tcBorders>
              <w:top w:val="nil"/>
              <w:left w:val="double" w:color="44546A" w:sz="6" w:space="0"/>
              <w:bottom w:val="double" w:color="44546A" w:sz="6" w:space="0"/>
              <w:right w:val="nil"/>
            </w:tcBorders>
            <w:shd w:val="clear" w:color="auto" w:fill="auto"/>
            <w:noWrap/>
            <w:vAlign w:val="center"/>
          </w:tcPr>
          <w:p w:rsidRPr="00AE1B2B" w:rsidR="009D3FB5" w:rsidP="00163B94" w:rsidRDefault="009D3FB5" w14:paraId="5B9CBFB1" w14:textId="77777777">
            <w:pPr>
              <w:spacing w:before="120" w:after="120"/>
              <w:rPr>
                <w:rFonts w:ascii="Times New Roman" w:hAnsi="Times New Roman" w:cs="Times New Roman"/>
              </w:rPr>
            </w:pPr>
            <w:r w:rsidRPr="00AE1B2B">
              <w:rPr>
                <w:rFonts w:ascii="Times New Roman" w:hAnsi="Times New Roman" w:cs="Times New Roman"/>
              </w:rPr>
              <w:t>Juzgado Agrario del Segundo Circuito Judicial de la Zona Atlántica (Pococí)</w:t>
            </w:r>
          </w:p>
        </w:tc>
        <w:tc>
          <w:tcPr>
            <w:tcW w:w="1276" w:type="dxa"/>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2772C072" w14:textId="77777777">
            <w:pPr>
              <w:spacing w:before="120" w:after="120"/>
              <w:jc w:val="center"/>
              <w:rPr>
                <w:rFonts w:ascii="Times New Roman" w:hAnsi="Times New Roman" w:cs="Times New Roman"/>
              </w:rPr>
            </w:pPr>
            <w:r w:rsidRPr="00AE1B2B">
              <w:rPr>
                <w:rFonts w:ascii="Times New Roman" w:hAnsi="Times New Roman" w:cs="Times New Roman"/>
              </w:rPr>
              <w:t>34</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784D9267" w14:textId="77777777">
            <w:pPr>
              <w:spacing w:before="120" w:after="120"/>
              <w:jc w:val="center"/>
              <w:rPr>
                <w:rFonts w:ascii="Times New Roman" w:hAnsi="Times New Roman" w:cs="Times New Roman"/>
              </w:rPr>
            </w:pPr>
            <w:r w:rsidRPr="00AE1B2B">
              <w:rPr>
                <w:rFonts w:ascii="Times New Roman" w:hAnsi="Times New Roman" w:cs="Times New Roman"/>
              </w:rPr>
              <w:t>2</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52F67413" w14:textId="77777777">
            <w:pPr>
              <w:spacing w:before="120" w:after="120"/>
              <w:jc w:val="center"/>
              <w:rPr>
                <w:rFonts w:ascii="Times New Roman" w:hAnsi="Times New Roman" w:cs="Times New Roman"/>
              </w:rPr>
            </w:pPr>
            <w:r w:rsidRPr="00AE1B2B">
              <w:rPr>
                <w:rFonts w:ascii="Times New Roman" w:hAnsi="Times New Roman" w:cs="Times New Roman"/>
              </w:rPr>
              <w:t>17</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53CFE414" w14:textId="77777777">
            <w:pPr>
              <w:spacing w:before="120" w:after="120"/>
              <w:jc w:val="center"/>
              <w:rPr>
                <w:rFonts w:ascii="Times New Roman" w:hAnsi="Times New Roman" w:cs="Times New Roman"/>
              </w:rPr>
            </w:pPr>
            <w:r w:rsidRPr="00AE1B2B">
              <w:rPr>
                <w:rFonts w:ascii="Times New Roman" w:hAnsi="Times New Roman" w:cs="Times New Roman"/>
              </w:rPr>
              <w:t>5</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696DB1AC" w14:textId="77777777">
            <w:pPr>
              <w:spacing w:before="120" w:after="120"/>
              <w:jc w:val="center"/>
              <w:rPr>
                <w:rFonts w:ascii="Times New Roman" w:hAnsi="Times New Roman" w:cs="Times New Roman"/>
              </w:rPr>
            </w:pPr>
            <w:r w:rsidRPr="00AE1B2B">
              <w:rPr>
                <w:rFonts w:ascii="Times New Roman" w:hAnsi="Times New Roman" w:cs="Times New Roman"/>
              </w:rPr>
              <w:t>7</w:t>
            </w:r>
          </w:p>
        </w:tc>
      </w:tr>
      <w:tr w:rsidRPr="00AE1B2B" w:rsidR="009D3FB5" w:rsidTr="009D3FB5" w14:paraId="07992C13" w14:textId="77777777">
        <w:trPr>
          <w:trHeight w:val="20"/>
        </w:trPr>
        <w:tc>
          <w:tcPr>
            <w:tcW w:w="5245" w:type="dxa"/>
            <w:tcBorders>
              <w:top w:val="nil"/>
              <w:left w:val="double" w:color="44546A" w:sz="6" w:space="0"/>
              <w:bottom w:val="double" w:color="44546A" w:sz="6" w:space="0"/>
              <w:right w:val="nil"/>
            </w:tcBorders>
            <w:shd w:val="clear" w:color="auto" w:fill="auto"/>
            <w:noWrap/>
            <w:vAlign w:val="center"/>
          </w:tcPr>
          <w:p w:rsidRPr="00AE1B2B" w:rsidR="009D3FB5" w:rsidP="00163B94" w:rsidRDefault="009D3FB5" w14:paraId="0AAAA168" w14:textId="77777777">
            <w:pPr>
              <w:spacing w:before="120" w:after="120"/>
              <w:rPr>
                <w:rFonts w:ascii="Times New Roman" w:hAnsi="Times New Roman" w:cs="Times New Roman"/>
              </w:rPr>
            </w:pPr>
            <w:r w:rsidRPr="00AE1B2B">
              <w:rPr>
                <w:rFonts w:ascii="Times New Roman" w:hAnsi="Times New Roman" w:cs="Times New Roman"/>
              </w:rPr>
              <w:t>Juzgado Agrario del Primer Circuito Judicial de Alajuela (Alajuela)</w:t>
            </w:r>
          </w:p>
        </w:tc>
        <w:tc>
          <w:tcPr>
            <w:tcW w:w="1276" w:type="dxa"/>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4EFED17F" w14:textId="77777777">
            <w:pPr>
              <w:spacing w:before="120" w:after="120"/>
              <w:jc w:val="center"/>
              <w:rPr>
                <w:rFonts w:ascii="Times New Roman" w:hAnsi="Times New Roman" w:cs="Times New Roman"/>
              </w:rPr>
            </w:pPr>
            <w:r w:rsidRPr="00AE1B2B">
              <w:rPr>
                <w:rFonts w:ascii="Times New Roman" w:hAnsi="Times New Roman" w:cs="Times New Roman"/>
              </w:rPr>
              <w:t>20</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20B7D040" w14:textId="77777777">
            <w:pPr>
              <w:spacing w:before="120" w:after="120"/>
              <w:jc w:val="center"/>
              <w:rPr>
                <w:rFonts w:ascii="Times New Roman" w:hAnsi="Times New Roman" w:cs="Times New Roman"/>
              </w:rPr>
            </w:pPr>
            <w:r w:rsidRPr="00AE1B2B">
              <w:rPr>
                <w:rFonts w:ascii="Times New Roman" w:hAnsi="Times New Roman" w:cs="Times New Roman"/>
              </w:rPr>
              <w:t>2</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46BCFC4B" w14:textId="77777777">
            <w:pPr>
              <w:spacing w:before="120" w:after="120"/>
              <w:jc w:val="center"/>
              <w:rPr>
                <w:rFonts w:ascii="Times New Roman" w:hAnsi="Times New Roman" w:cs="Times New Roman"/>
              </w:rPr>
            </w:pPr>
            <w:r w:rsidRPr="00AE1B2B">
              <w:rPr>
                <w:rFonts w:ascii="Times New Roman" w:hAnsi="Times New Roman" w:cs="Times New Roman"/>
              </w:rPr>
              <w:t>10</w:t>
            </w:r>
          </w:p>
        </w:tc>
        <w:tc>
          <w:tcPr>
            <w:tcW w:w="1134"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5B27A94E" w14:textId="77777777">
            <w:pPr>
              <w:spacing w:before="120" w:after="120"/>
              <w:jc w:val="center"/>
              <w:rPr>
                <w:rFonts w:ascii="Times New Roman" w:hAnsi="Times New Roman" w:cs="Times New Roman"/>
              </w:rPr>
            </w:pPr>
            <w:r w:rsidRPr="00AE1B2B">
              <w:rPr>
                <w:rFonts w:ascii="Times New Roman" w:hAnsi="Times New Roman" w:cs="Times New Roman"/>
              </w:rPr>
              <w:t>3</w:t>
            </w:r>
          </w:p>
        </w:tc>
        <w:tc>
          <w:tcPr>
            <w:tcW w:w="1276"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1B96E9EF" w14:textId="77777777">
            <w:pPr>
              <w:spacing w:before="120" w:after="120"/>
              <w:jc w:val="center"/>
              <w:rPr>
                <w:rFonts w:ascii="Times New Roman" w:hAnsi="Times New Roman" w:cs="Times New Roman"/>
              </w:rPr>
            </w:pPr>
            <w:r w:rsidRPr="00AE1B2B">
              <w:rPr>
                <w:rFonts w:ascii="Times New Roman" w:hAnsi="Times New Roman" w:cs="Times New Roman"/>
              </w:rPr>
              <w:t>7</w:t>
            </w:r>
          </w:p>
        </w:tc>
      </w:tr>
    </w:tbl>
    <w:p w:rsidRPr="00AE1B2B" w:rsidR="009D3FB5" w:rsidP="00163B94" w:rsidRDefault="009D3FB5" w14:paraId="1A3C9BDD"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 xml:space="preserve">Fuente: Subproceso de Modernización Institucional con base en datos del Anuario Judicial y Matrices de Indicadores de Gestión. </w:t>
      </w:r>
    </w:p>
    <w:p w:rsidRPr="00AE1B2B" w:rsidR="009D3FB5" w:rsidP="00163B94" w:rsidRDefault="009D3FB5" w14:paraId="2234214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Del cuadro anterior se puede observar que, durante el periodo 2016 al 2020 existe disparidad en cuanto a cargas de trabajo ingresadas en los Juzgados especializados, la cual registra una entrada promedio mensual por persona juzgadora de </w:t>
      </w:r>
      <w:r w:rsidRPr="00AE1B2B">
        <w:rPr>
          <w:rFonts w:ascii="Times New Roman" w:hAnsi="Times New Roman" w:cs="Times New Roman"/>
          <w:b/>
          <w:bCs/>
          <w:sz w:val="26"/>
          <w:szCs w:val="26"/>
        </w:rPr>
        <w:t>16</w:t>
      </w:r>
      <w:r w:rsidRPr="00AE1B2B">
        <w:rPr>
          <w:rFonts w:ascii="Times New Roman" w:hAnsi="Times New Roman" w:cs="Times New Roman"/>
          <w:sz w:val="26"/>
          <w:szCs w:val="26"/>
        </w:rPr>
        <w:t xml:space="preserve"> casos y una entrada promedio mensual por persona técnica judicial de </w:t>
      </w:r>
      <w:r w:rsidRPr="00AE1B2B">
        <w:rPr>
          <w:rFonts w:ascii="Times New Roman" w:hAnsi="Times New Roman" w:cs="Times New Roman"/>
          <w:b/>
          <w:bCs/>
          <w:sz w:val="26"/>
          <w:szCs w:val="26"/>
        </w:rPr>
        <w:t>10</w:t>
      </w:r>
      <w:r w:rsidRPr="00AE1B2B">
        <w:rPr>
          <w:rFonts w:ascii="Times New Roman" w:hAnsi="Times New Roman" w:cs="Times New Roman"/>
          <w:sz w:val="26"/>
          <w:szCs w:val="26"/>
        </w:rPr>
        <w:t xml:space="preserve"> asuntos. </w:t>
      </w:r>
    </w:p>
    <w:p w:rsidRPr="00AE1B2B" w:rsidR="009D3FB5" w:rsidP="00163B94" w:rsidRDefault="009D3FB5" w14:paraId="44EDC99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Juzgado Agrario del Segundo Circuito Judicial de Guanacaste, ubicado en el cantón de Santa Cruz, es el Despacho que más carga de trabajo recibe por plaza de Jueza o Juez, con un promedio de 22 casos al mes, seguido del Juzgado Agrario del Primer Circuito Judicial de la Zona Atlántica, sede Limón, que presenta una carga de trabajo de 20 casos mensuales. </w:t>
      </w:r>
    </w:p>
    <w:p w:rsidRPr="00AE1B2B" w:rsidR="009D3FB5" w:rsidP="00163B94" w:rsidRDefault="009D3FB5" w14:paraId="715C223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También se encuentra el Juzgado Agrario del Segundo Circuito Judicial de Alajuela (San Carlos), con una carga de trabajo de 19 casos entrados por persona juzgadora de forma mensual. Se suman también los Juzgados ubicados en Pérez Zeledón y Pococí con 17 casos al mes, quienes se ubican cerca del promedio. </w:t>
      </w:r>
    </w:p>
    <w:p w:rsidRPr="00AE1B2B" w:rsidR="009D3FB5" w:rsidP="00163B94" w:rsidRDefault="009D3FB5" w14:paraId="769968D3" w14:textId="169B7ED6">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Por lo anterior estos tres Despachos (Santa Cruz, Limón y San Carlos) actualmente son considerados como los de mayor ingreso por plaza de Jueza o Juez, ya que, muestran porcentajes entre los 22% y 37% más que la media nacional (16). En el caso del Juzgado Agrario de Santa Cruz, experimentará un fortalecimiento con la perdida de competencia que será asumida por el nuevo Juzgado Agrario de Puntarenas, sede Jicaral.</w:t>
      </w:r>
      <w:r w:rsidRPr="00AE1B2B" w:rsidR="00BB7720">
        <w:rPr>
          <w:rFonts w:ascii="Times New Roman" w:hAnsi="Times New Roman" w:cs="Times New Roman"/>
          <w:sz w:val="26"/>
          <w:szCs w:val="26"/>
        </w:rPr>
        <w:t xml:space="preserve"> </w:t>
      </w:r>
    </w:p>
    <w:p w:rsidRPr="00AE1B2B" w:rsidR="009D3FB5" w:rsidP="00163B94" w:rsidRDefault="009D3FB5" w14:paraId="7657668D" w14:textId="2DDDD314">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En cuanto a la carga de trabajo del personal técnico judicial, el Juzgado Agrario del Segundo Circuito Judicial de San José (Goicoechea), es el que presenta mayor ingreso por plaza con 16 casos en promedio mensual, seguido del Juzgado Agrario de Puntarenas con 14 y el juzgado Agrario del Segundo Circuito Judicial de Alajuela (San Carlos) con 13, lo que significa que estos Despachos muestran porcentajes entre el 25% y 53% más que la media nacional (10).</w:t>
      </w:r>
      <w:r w:rsidRPr="00AE1B2B" w:rsidR="00BB7720">
        <w:rPr>
          <w:rFonts w:ascii="Times New Roman" w:hAnsi="Times New Roman" w:cs="Times New Roman"/>
          <w:sz w:val="26"/>
          <w:szCs w:val="26"/>
        </w:rPr>
        <w:t xml:space="preserve"> </w:t>
      </w:r>
    </w:p>
    <w:p w:rsidRPr="00AE1B2B" w:rsidR="009D3FB5" w:rsidP="00163B94" w:rsidRDefault="009D3FB5" w14:paraId="120631D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Por otro lado, los Juzgados que presentan en promedio menor ingreso mensual por plaza de Jueza o Juez, son los Juzgados ubicados en San Ramón con 12 asuntos, Cartago con 12 asuntos y Alajuela con 10 asuntos; lo cual significa un ingreso porcentual menor al promedio del 25% y 38% respectivamente. En relación con el ingreso casos entre el personal técnico judicial, los Juzgados Agrarios de Cartago, Liberia, Pococí y Alajuela, presentan una entrada promedio mensual de 7 a 8 casos, por lo cual se consideran estos dos (2) últimos Juzgados como los de menor ingreso por plaza de Técnica o Técnico Judicial. </w:t>
      </w:r>
    </w:p>
    <w:p w:rsidRPr="00AE1B2B" w:rsidR="009D3FB5" w:rsidP="00163B94" w:rsidRDefault="009D3FB5" w14:paraId="12B23636" w14:textId="77777777">
      <w:pPr>
        <w:spacing w:before="120" w:after="120"/>
        <w:ind w:left="851" w:right="851" w:firstLine="709"/>
        <w:jc w:val="both"/>
        <w:rPr>
          <w:rFonts w:ascii="Times New Roman" w:hAnsi="Times New Roman" w:cs="Times New Roman"/>
          <w:sz w:val="26"/>
          <w:szCs w:val="26"/>
        </w:rPr>
      </w:pPr>
      <w:bookmarkStart w:name="_Toc68688543" w:id="257"/>
      <w:r w:rsidRPr="00AE1B2B">
        <w:rPr>
          <w:rFonts w:ascii="Times New Roman" w:hAnsi="Times New Roman" w:cs="Times New Roman"/>
          <w:sz w:val="26"/>
          <w:szCs w:val="26"/>
        </w:rPr>
        <w:t>Análisis de Carga de Trabajo Juzgados Mixtos con Competencia en la Materia Agraria</w:t>
      </w:r>
      <w:bookmarkEnd w:id="257"/>
    </w:p>
    <w:p w:rsidRPr="00AE1B2B" w:rsidR="009D3FB5" w:rsidP="00163B94" w:rsidRDefault="009D3FB5" w14:paraId="59D65ED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lang w:val="es-ES"/>
        </w:rPr>
        <w:t>Actualmente existe tres (3) despachos de naturaleza mixta en el país, que tienen conocimiento de la materia Agraria,</w:t>
      </w:r>
      <w:r w:rsidRPr="00AE1B2B">
        <w:rPr>
          <w:rFonts w:ascii="Times New Roman" w:hAnsi="Times New Roman" w:cs="Times New Roman"/>
          <w:sz w:val="26"/>
          <w:szCs w:val="26"/>
        </w:rPr>
        <w:t xml:space="preserve"> pesar de contar con una persona juzgadora destinada a la atención de esta materia, también deben atender otras materias, por lo que la carga de trabajo total de la Jueza o Juez se incrementa de la siguiente manera:</w:t>
      </w:r>
    </w:p>
    <w:p w:rsidRPr="00AE1B2B" w:rsidR="009D3FB5" w:rsidP="00163B94" w:rsidRDefault="009D3FB5" w14:paraId="1000C11D"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6</w:t>
      </w:r>
      <w:r w:rsidRPr="00AE1B2B">
        <w:rPr>
          <w:rFonts w:ascii="Times New Roman" w:hAnsi="Times New Roman"/>
          <w:iCs/>
          <w:sz w:val="26"/>
          <w:szCs w:val="26"/>
        </w:rPr>
        <w:fldChar w:fldCharType="end"/>
      </w:r>
    </w:p>
    <w:p w:rsidRPr="00AE1B2B" w:rsidR="009D3FB5" w:rsidP="00163B94" w:rsidRDefault="009D3FB5" w14:paraId="07FD1DB3" w14:textId="77777777">
      <w:pPr>
        <w:spacing w:before="120" w:after="120"/>
        <w:ind w:left="851" w:right="851" w:firstLine="709"/>
        <w:jc w:val="both"/>
        <w:rPr>
          <w:rFonts w:ascii="Times New Roman" w:hAnsi="Times New Roman" w:cs="Times New Roman"/>
          <w:b/>
          <w:iCs/>
          <w:sz w:val="26"/>
          <w:szCs w:val="26"/>
        </w:rPr>
      </w:pPr>
      <w:r w:rsidRPr="00AE1B2B">
        <w:rPr>
          <w:rFonts w:ascii="Times New Roman" w:hAnsi="Times New Roman" w:cs="Times New Roman"/>
          <w:b/>
          <w:iCs/>
          <w:sz w:val="26"/>
          <w:szCs w:val="26"/>
        </w:rPr>
        <w:t>Análisis comparativo de la cantidad carga de trabajo (entrados + reentrados) en el 2020 por persona juzgadora Juzgados de naturaleza mixta</w:t>
      </w:r>
    </w:p>
    <w:tbl>
      <w:tblPr>
        <w:tblW w:w="0" w:type="auto"/>
        <w:tblLayout w:type="fixed"/>
        <w:tblCellMar>
          <w:left w:w="70" w:type="dxa"/>
          <w:right w:w="70" w:type="dxa"/>
        </w:tblCellMar>
        <w:tblLook w:val="04A0" w:firstRow="1" w:lastRow="0" w:firstColumn="1" w:lastColumn="0" w:noHBand="0" w:noVBand="1"/>
      </w:tblPr>
      <w:tblGrid>
        <w:gridCol w:w="4655"/>
        <w:gridCol w:w="1574"/>
        <w:gridCol w:w="837"/>
        <w:gridCol w:w="889"/>
        <w:gridCol w:w="837"/>
      </w:tblGrid>
      <w:tr w:rsidRPr="00AE1B2B" w:rsidR="009D3FB5" w:rsidTr="009D3FB5" w14:paraId="3E302238" w14:textId="77777777">
        <w:trPr>
          <w:trHeight w:val="1752"/>
        </w:trPr>
        <w:tc>
          <w:tcPr>
            <w:tcW w:w="4655" w:type="dxa"/>
            <w:tcBorders>
              <w:top w:val="double" w:color="44546A" w:sz="6" w:space="0"/>
              <w:left w:val="double" w:color="44546A" w:sz="6" w:space="0"/>
              <w:bottom w:val="double" w:color="44546A" w:sz="6" w:space="0"/>
              <w:right w:val="double" w:color="44546A" w:sz="6" w:space="0"/>
            </w:tcBorders>
            <w:shd w:val="clear" w:color="000000" w:fill="0673A5"/>
            <w:noWrap/>
            <w:vAlign w:val="center"/>
            <w:hideMark/>
          </w:tcPr>
          <w:p w:rsidRPr="00AE1B2B" w:rsidR="009D3FB5" w:rsidP="00163B94" w:rsidRDefault="009D3FB5" w14:paraId="14691D4B"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Despacho</w:t>
            </w:r>
          </w:p>
        </w:tc>
        <w:tc>
          <w:tcPr>
            <w:tcW w:w="1574" w:type="dxa"/>
            <w:tcBorders>
              <w:top w:val="double" w:color="44546A" w:sz="6" w:space="0"/>
              <w:left w:val="nil"/>
              <w:bottom w:val="double" w:color="44546A" w:sz="6" w:space="0"/>
              <w:right w:val="double" w:color="44546A" w:sz="6" w:space="0"/>
            </w:tcBorders>
            <w:shd w:val="clear" w:color="000000" w:fill="0673A5"/>
            <w:vAlign w:val="center"/>
            <w:hideMark/>
          </w:tcPr>
          <w:p w:rsidRPr="00AE1B2B" w:rsidR="009D3FB5" w:rsidP="00163B94" w:rsidRDefault="009D3FB5" w14:paraId="1F9581BE"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Materias que atiende la persona juzgadora </w:t>
            </w:r>
          </w:p>
        </w:tc>
        <w:tc>
          <w:tcPr>
            <w:tcW w:w="837" w:type="dxa"/>
            <w:tcBorders>
              <w:top w:val="double" w:color="44546A" w:sz="6" w:space="0"/>
              <w:left w:val="nil"/>
              <w:bottom w:val="double" w:color="44546A" w:sz="6" w:space="0"/>
              <w:right w:val="double" w:color="44546A" w:sz="6" w:space="0"/>
            </w:tcBorders>
            <w:shd w:val="clear" w:color="000000" w:fill="0673A5"/>
            <w:vAlign w:val="center"/>
            <w:hideMark/>
          </w:tcPr>
          <w:p w:rsidRPr="00AE1B2B" w:rsidR="009D3FB5" w:rsidP="00163B94" w:rsidRDefault="009D3FB5" w14:paraId="459F120A"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Entrada Promedio Mensual</w:t>
            </w:r>
          </w:p>
        </w:tc>
        <w:tc>
          <w:tcPr>
            <w:tcW w:w="889" w:type="dxa"/>
            <w:tcBorders>
              <w:top w:val="double" w:color="44546A" w:sz="6" w:space="0"/>
              <w:left w:val="nil"/>
              <w:bottom w:val="double" w:color="44546A" w:sz="6" w:space="0"/>
              <w:right w:val="double" w:color="44546A" w:sz="6" w:space="0"/>
            </w:tcBorders>
            <w:shd w:val="clear" w:color="000000" w:fill="0673A5"/>
            <w:vAlign w:val="center"/>
            <w:hideMark/>
          </w:tcPr>
          <w:p w:rsidRPr="00AE1B2B" w:rsidR="009D3FB5" w:rsidP="00163B94" w:rsidRDefault="009D3FB5" w14:paraId="0283F66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Porcentaje de atención </w:t>
            </w:r>
          </w:p>
        </w:tc>
        <w:tc>
          <w:tcPr>
            <w:tcW w:w="837" w:type="dxa"/>
            <w:tcBorders>
              <w:top w:val="double" w:color="44546A" w:sz="6" w:space="0"/>
              <w:left w:val="nil"/>
              <w:bottom w:val="double" w:color="44546A" w:sz="6" w:space="0"/>
              <w:right w:val="double" w:color="44546A" w:sz="6" w:space="0"/>
            </w:tcBorders>
            <w:shd w:val="clear" w:color="000000" w:fill="0673A5"/>
            <w:vAlign w:val="center"/>
            <w:hideMark/>
          </w:tcPr>
          <w:p w:rsidRPr="00AE1B2B" w:rsidR="009D3FB5" w:rsidP="00163B94" w:rsidRDefault="009D3FB5" w14:paraId="1B91A9E9"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Entrada Promedio mensual total por Jueza o Juez</w:t>
            </w:r>
          </w:p>
        </w:tc>
      </w:tr>
      <w:tr w:rsidRPr="00AE1B2B" w:rsidR="009D3FB5" w:rsidTr="009D3FB5" w14:paraId="6D6D42A6" w14:textId="77777777">
        <w:trPr>
          <w:trHeight w:val="300"/>
        </w:trPr>
        <w:tc>
          <w:tcPr>
            <w:tcW w:w="4655" w:type="dxa"/>
            <w:vMerge w:val="restart"/>
            <w:tcBorders>
              <w:top w:val="nil"/>
              <w:left w:val="double" w:color="44546A" w:sz="6" w:space="0"/>
              <w:bottom w:val="double" w:color="44546A" w:sz="6" w:space="0"/>
              <w:right w:val="double" w:color="44546A" w:sz="6" w:space="0"/>
            </w:tcBorders>
            <w:shd w:val="clear" w:color="auto" w:fill="auto"/>
            <w:noWrap/>
            <w:vAlign w:val="center"/>
            <w:hideMark/>
          </w:tcPr>
          <w:p w:rsidRPr="00AE1B2B" w:rsidR="009D3FB5" w:rsidP="00163B94" w:rsidRDefault="009D3FB5" w14:paraId="579D8F44"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Civil, Trabajo, Agrario, Familia, Penal Juvenil, Contra la Violencia Doméstica y Protección Cautelar II Circuito Judicial de Alajuela, sede Upala</w:t>
            </w:r>
          </w:p>
        </w:tc>
        <w:tc>
          <w:tcPr>
            <w:tcW w:w="1574" w:type="dxa"/>
            <w:tcBorders>
              <w:top w:val="nil"/>
              <w:left w:val="nil"/>
              <w:bottom w:val="single" w:color="44546A" w:sz="4" w:space="0"/>
              <w:right w:val="double" w:color="44546A" w:sz="6" w:space="0"/>
            </w:tcBorders>
            <w:shd w:val="clear" w:color="auto" w:fill="auto"/>
            <w:noWrap/>
            <w:vAlign w:val="bottom"/>
            <w:hideMark/>
          </w:tcPr>
          <w:p w:rsidRPr="00AE1B2B" w:rsidR="009D3FB5" w:rsidP="00163B94" w:rsidRDefault="009D3FB5" w14:paraId="528E0423"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Agrario</w:t>
            </w:r>
          </w:p>
        </w:tc>
        <w:tc>
          <w:tcPr>
            <w:tcW w:w="837" w:type="dxa"/>
            <w:tcBorders>
              <w:top w:val="nil"/>
              <w:left w:val="nil"/>
              <w:bottom w:val="single" w:color="44546A" w:sz="4" w:space="0"/>
              <w:right w:val="double" w:color="44546A" w:sz="6" w:space="0"/>
            </w:tcBorders>
            <w:shd w:val="clear" w:color="auto" w:fill="auto"/>
            <w:noWrap/>
            <w:vAlign w:val="center"/>
            <w:hideMark/>
          </w:tcPr>
          <w:p w:rsidRPr="00AE1B2B" w:rsidR="009D3FB5" w:rsidP="00163B94" w:rsidRDefault="009D3FB5" w14:paraId="2D4183C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23</w:t>
            </w:r>
          </w:p>
        </w:tc>
        <w:tc>
          <w:tcPr>
            <w:tcW w:w="889" w:type="dxa"/>
            <w:tcBorders>
              <w:top w:val="nil"/>
              <w:left w:val="nil"/>
              <w:bottom w:val="single" w:color="44546A" w:sz="4" w:space="0"/>
              <w:right w:val="double" w:color="44546A" w:sz="6" w:space="0"/>
            </w:tcBorders>
            <w:shd w:val="clear" w:color="auto" w:fill="auto"/>
            <w:noWrap/>
            <w:vAlign w:val="center"/>
            <w:hideMark/>
          </w:tcPr>
          <w:p w:rsidRPr="00AE1B2B" w:rsidR="009D3FB5" w:rsidP="00163B94" w:rsidRDefault="009D3FB5" w14:paraId="4569A46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66%</w:t>
            </w:r>
          </w:p>
        </w:tc>
        <w:tc>
          <w:tcPr>
            <w:tcW w:w="837" w:type="dxa"/>
            <w:vMerge w:val="restart"/>
            <w:tcBorders>
              <w:top w:val="nil"/>
              <w:left w:val="double" w:color="44546A" w:sz="6" w:space="0"/>
              <w:bottom w:val="double" w:color="44546A" w:sz="6" w:space="0"/>
              <w:right w:val="double" w:color="44546A" w:sz="6" w:space="0"/>
            </w:tcBorders>
            <w:shd w:val="clear" w:color="auto" w:fill="auto"/>
            <w:noWrap/>
            <w:vAlign w:val="center"/>
            <w:hideMark/>
          </w:tcPr>
          <w:p w:rsidRPr="00AE1B2B" w:rsidR="009D3FB5" w:rsidP="00163B94" w:rsidRDefault="009D3FB5" w14:paraId="00D4592A"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34</w:t>
            </w:r>
          </w:p>
        </w:tc>
      </w:tr>
      <w:tr w:rsidRPr="00AE1B2B" w:rsidR="009D3FB5" w:rsidTr="009D3FB5" w14:paraId="5E7B6136" w14:textId="77777777">
        <w:trPr>
          <w:trHeight w:val="300"/>
        </w:trPr>
        <w:tc>
          <w:tcPr>
            <w:tcW w:w="4655" w:type="dxa"/>
            <w:vMerge/>
            <w:tcBorders>
              <w:top w:val="nil"/>
              <w:left w:val="double" w:color="44546A" w:sz="6" w:space="0"/>
              <w:bottom w:val="double" w:color="44546A" w:sz="6" w:space="0"/>
              <w:right w:val="double" w:color="44546A" w:sz="6" w:space="0"/>
            </w:tcBorders>
            <w:vAlign w:val="center"/>
            <w:hideMark/>
          </w:tcPr>
          <w:p w:rsidRPr="00AE1B2B" w:rsidR="009D3FB5" w:rsidP="00163B94" w:rsidRDefault="009D3FB5" w14:paraId="13A2C276" w14:textId="77777777">
            <w:pPr>
              <w:spacing w:before="120" w:after="120"/>
              <w:rPr>
                <w:rFonts w:ascii="Times New Roman" w:hAnsi="Times New Roman" w:cs="Times New Roman"/>
                <w:lang w:eastAsia="es-CR"/>
              </w:rPr>
            </w:pPr>
          </w:p>
        </w:tc>
        <w:tc>
          <w:tcPr>
            <w:tcW w:w="1574" w:type="dxa"/>
            <w:tcBorders>
              <w:top w:val="nil"/>
              <w:left w:val="nil"/>
              <w:bottom w:val="double" w:color="44546A" w:sz="6" w:space="0"/>
              <w:right w:val="double" w:color="44546A" w:sz="6" w:space="0"/>
            </w:tcBorders>
            <w:shd w:val="clear" w:color="auto" w:fill="auto"/>
            <w:noWrap/>
            <w:vAlign w:val="bottom"/>
            <w:hideMark/>
          </w:tcPr>
          <w:p w:rsidRPr="00AE1B2B" w:rsidR="009D3FB5" w:rsidP="00163B94" w:rsidRDefault="009D3FB5" w14:paraId="660AD3F3"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Penal Juvenil</w:t>
            </w:r>
          </w:p>
        </w:tc>
        <w:tc>
          <w:tcPr>
            <w:tcW w:w="837" w:type="dxa"/>
            <w:tcBorders>
              <w:top w:val="nil"/>
              <w:left w:val="nil"/>
              <w:bottom w:val="double" w:color="44546A" w:sz="6" w:space="0"/>
              <w:right w:val="double" w:color="44546A" w:sz="6" w:space="0"/>
            </w:tcBorders>
            <w:shd w:val="clear" w:color="auto" w:fill="auto"/>
            <w:noWrap/>
            <w:vAlign w:val="center"/>
            <w:hideMark/>
          </w:tcPr>
          <w:p w:rsidRPr="00AE1B2B" w:rsidR="009D3FB5" w:rsidP="00163B94" w:rsidRDefault="009D3FB5" w14:paraId="4871FC2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11</w:t>
            </w:r>
          </w:p>
        </w:tc>
        <w:tc>
          <w:tcPr>
            <w:tcW w:w="889" w:type="dxa"/>
            <w:tcBorders>
              <w:top w:val="nil"/>
              <w:left w:val="nil"/>
              <w:bottom w:val="double" w:color="44546A" w:sz="6" w:space="0"/>
              <w:right w:val="double" w:color="44546A" w:sz="6" w:space="0"/>
            </w:tcBorders>
            <w:shd w:val="clear" w:color="auto" w:fill="auto"/>
            <w:noWrap/>
            <w:vAlign w:val="center"/>
            <w:hideMark/>
          </w:tcPr>
          <w:p w:rsidRPr="00AE1B2B" w:rsidR="009D3FB5" w:rsidP="00163B94" w:rsidRDefault="009D3FB5" w14:paraId="57E2323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34%</w:t>
            </w:r>
          </w:p>
        </w:tc>
        <w:tc>
          <w:tcPr>
            <w:tcW w:w="837" w:type="dxa"/>
            <w:vMerge/>
            <w:tcBorders>
              <w:top w:val="nil"/>
              <w:left w:val="double" w:color="44546A" w:sz="6" w:space="0"/>
              <w:bottom w:val="double" w:color="44546A" w:sz="6" w:space="0"/>
              <w:right w:val="double" w:color="44546A" w:sz="6" w:space="0"/>
            </w:tcBorders>
            <w:vAlign w:val="center"/>
            <w:hideMark/>
          </w:tcPr>
          <w:p w:rsidRPr="00AE1B2B" w:rsidR="009D3FB5" w:rsidP="00163B94" w:rsidRDefault="009D3FB5" w14:paraId="1BAD329D" w14:textId="77777777">
            <w:pPr>
              <w:spacing w:before="120" w:after="120"/>
              <w:jc w:val="center"/>
              <w:rPr>
                <w:rFonts w:ascii="Times New Roman" w:hAnsi="Times New Roman" w:cs="Times New Roman"/>
                <w:b/>
                <w:bCs/>
                <w:i/>
                <w:iCs/>
                <w:lang w:eastAsia="es-CR"/>
              </w:rPr>
            </w:pPr>
          </w:p>
        </w:tc>
      </w:tr>
      <w:tr w:rsidRPr="00AE1B2B" w:rsidR="009D3FB5" w:rsidTr="009D3FB5" w14:paraId="1C0B221E" w14:textId="77777777">
        <w:trPr>
          <w:trHeight w:val="300"/>
        </w:trPr>
        <w:tc>
          <w:tcPr>
            <w:tcW w:w="4655" w:type="dxa"/>
            <w:vMerge w:val="restart"/>
            <w:tcBorders>
              <w:top w:val="nil"/>
              <w:left w:val="double" w:color="44546A" w:sz="6" w:space="0"/>
              <w:bottom w:val="double" w:color="44546A" w:sz="6" w:space="0"/>
              <w:right w:val="double" w:color="44546A" w:sz="6" w:space="0"/>
            </w:tcBorders>
            <w:shd w:val="clear" w:color="auto" w:fill="auto"/>
            <w:noWrap/>
            <w:vAlign w:val="center"/>
            <w:hideMark/>
          </w:tcPr>
          <w:p w:rsidRPr="00AE1B2B" w:rsidR="009D3FB5" w:rsidP="00163B94" w:rsidRDefault="009D3FB5" w14:paraId="3E4D4CF4"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Civil, Trabajo, Familia, Agrario, Penal Juvenil, Contra la Violencia Doméstica y Protección Cautelar Buenos Aires</w:t>
            </w:r>
            <w:r w:rsidRPr="00AE1B2B" w:rsidDel="00BE1894">
              <w:rPr>
                <w:rFonts w:ascii="Times New Roman" w:hAnsi="Times New Roman" w:cs="Times New Roman"/>
                <w:lang w:eastAsia="es-CR"/>
              </w:rPr>
              <w:t xml:space="preserve"> </w:t>
            </w:r>
          </w:p>
        </w:tc>
        <w:tc>
          <w:tcPr>
            <w:tcW w:w="1574" w:type="dxa"/>
            <w:tcBorders>
              <w:top w:val="nil"/>
              <w:left w:val="nil"/>
              <w:bottom w:val="single" w:color="44546A" w:sz="4" w:space="0"/>
              <w:right w:val="double" w:color="44546A" w:sz="6" w:space="0"/>
            </w:tcBorders>
            <w:shd w:val="clear" w:color="auto" w:fill="auto"/>
            <w:noWrap/>
            <w:vAlign w:val="bottom"/>
            <w:hideMark/>
          </w:tcPr>
          <w:p w:rsidRPr="00AE1B2B" w:rsidR="009D3FB5" w:rsidP="00163B94" w:rsidRDefault="009D3FB5" w14:paraId="368DFB8B"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Agrario</w:t>
            </w:r>
          </w:p>
        </w:tc>
        <w:tc>
          <w:tcPr>
            <w:tcW w:w="837" w:type="dxa"/>
            <w:tcBorders>
              <w:top w:val="nil"/>
              <w:left w:val="nil"/>
              <w:bottom w:val="single" w:color="44546A" w:sz="4" w:space="0"/>
              <w:right w:val="double" w:color="44546A" w:sz="6" w:space="0"/>
            </w:tcBorders>
            <w:shd w:val="clear" w:color="auto" w:fill="auto"/>
            <w:noWrap/>
            <w:vAlign w:val="center"/>
            <w:hideMark/>
          </w:tcPr>
          <w:p w:rsidRPr="00AE1B2B" w:rsidR="009D3FB5" w:rsidP="00163B94" w:rsidRDefault="009D3FB5" w14:paraId="7FF7C13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11</w:t>
            </w:r>
          </w:p>
        </w:tc>
        <w:tc>
          <w:tcPr>
            <w:tcW w:w="889" w:type="dxa"/>
            <w:tcBorders>
              <w:top w:val="nil"/>
              <w:left w:val="nil"/>
              <w:bottom w:val="single" w:color="44546A" w:sz="4" w:space="0"/>
              <w:right w:val="double" w:color="44546A" w:sz="6" w:space="0"/>
            </w:tcBorders>
            <w:shd w:val="clear" w:color="auto" w:fill="auto"/>
            <w:noWrap/>
            <w:vAlign w:val="center"/>
            <w:hideMark/>
          </w:tcPr>
          <w:p w:rsidRPr="00AE1B2B" w:rsidR="009D3FB5" w:rsidP="00163B94" w:rsidRDefault="009D3FB5" w14:paraId="5EBD0E6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55%</w:t>
            </w:r>
          </w:p>
        </w:tc>
        <w:tc>
          <w:tcPr>
            <w:tcW w:w="837" w:type="dxa"/>
            <w:vMerge w:val="restart"/>
            <w:tcBorders>
              <w:top w:val="nil"/>
              <w:left w:val="double" w:color="44546A" w:sz="6" w:space="0"/>
              <w:bottom w:val="double" w:color="44546A" w:sz="6" w:space="0"/>
              <w:right w:val="double" w:color="44546A" w:sz="6" w:space="0"/>
            </w:tcBorders>
            <w:shd w:val="clear" w:color="auto" w:fill="auto"/>
            <w:noWrap/>
            <w:vAlign w:val="center"/>
            <w:hideMark/>
          </w:tcPr>
          <w:p w:rsidRPr="00AE1B2B" w:rsidR="009D3FB5" w:rsidP="00163B94" w:rsidRDefault="009D3FB5" w14:paraId="15DEB67A"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20</w:t>
            </w:r>
          </w:p>
        </w:tc>
      </w:tr>
      <w:tr w:rsidRPr="00AE1B2B" w:rsidR="009D3FB5" w:rsidTr="009D3FB5" w14:paraId="42D99E50" w14:textId="77777777">
        <w:trPr>
          <w:trHeight w:val="288"/>
        </w:trPr>
        <w:tc>
          <w:tcPr>
            <w:tcW w:w="4655" w:type="dxa"/>
            <w:vMerge/>
            <w:tcBorders>
              <w:top w:val="nil"/>
              <w:left w:val="double" w:color="44546A" w:sz="6" w:space="0"/>
              <w:bottom w:val="double" w:color="44546A" w:sz="6" w:space="0"/>
              <w:right w:val="double" w:color="44546A" w:sz="6" w:space="0"/>
            </w:tcBorders>
            <w:vAlign w:val="center"/>
            <w:hideMark/>
          </w:tcPr>
          <w:p w:rsidRPr="00AE1B2B" w:rsidR="009D3FB5" w:rsidP="00163B94" w:rsidRDefault="009D3FB5" w14:paraId="72288A6C" w14:textId="77777777">
            <w:pPr>
              <w:spacing w:before="120" w:after="120"/>
              <w:rPr>
                <w:rFonts w:ascii="Times New Roman" w:hAnsi="Times New Roman" w:cs="Times New Roman"/>
                <w:lang w:eastAsia="es-CR"/>
              </w:rPr>
            </w:pPr>
          </w:p>
        </w:tc>
        <w:tc>
          <w:tcPr>
            <w:tcW w:w="1574" w:type="dxa"/>
            <w:tcBorders>
              <w:top w:val="nil"/>
              <w:left w:val="nil"/>
              <w:bottom w:val="single" w:color="44546A" w:sz="4" w:space="0"/>
              <w:right w:val="double" w:color="44546A" w:sz="6" w:space="0"/>
            </w:tcBorders>
            <w:shd w:val="clear" w:color="auto" w:fill="auto"/>
            <w:noWrap/>
            <w:vAlign w:val="bottom"/>
            <w:hideMark/>
          </w:tcPr>
          <w:p w:rsidRPr="00AE1B2B" w:rsidR="009D3FB5" w:rsidP="00163B94" w:rsidRDefault="009D3FB5" w14:paraId="185353E9"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 xml:space="preserve">Civil </w:t>
            </w:r>
          </w:p>
        </w:tc>
        <w:tc>
          <w:tcPr>
            <w:tcW w:w="837" w:type="dxa"/>
            <w:tcBorders>
              <w:top w:val="nil"/>
              <w:left w:val="nil"/>
              <w:bottom w:val="single" w:color="44546A" w:sz="4" w:space="0"/>
              <w:right w:val="double" w:color="44546A" w:sz="6" w:space="0"/>
            </w:tcBorders>
            <w:shd w:val="clear" w:color="auto" w:fill="auto"/>
            <w:noWrap/>
            <w:vAlign w:val="center"/>
            <w:hideMark/>
          </w:tcPr>
          <w:p w:rsidRPr="00AE1B2B" w:rsidR="009D3FB5" w:rsidP="00163B94" w:rsidRDefault="009D3FB5" w14:paraId="4FC6E31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w:t>
            </w:r>
          </w:p>
        </w:tc>
        <w:tc>
          <w:tcPr>
            <w:tcW w:w="889" w:type="dxa"/>
            <w:tcBorders>
              <w:top w:val="nil"/>
              <w:left w:val="nil"/>
              <w:bottom w:val="single" w:color="44546A" w:sz="4" w:space="0"/>
              <w:right w:val="double" w:color="44546A" w:sz="6" w:space="0"/>
            </w:tcBorders>
            <w:shd w:val="clear" w:color="auto" w:fill="auto"/>
            <w:noWrap/>
            <w:vAlign w:val="center"/>
            <w:hideMark/>
          </w:tcPr>
          <w:p w:rsidRPr="00AE1B2B" w:rsidR="009D3FB5" w:rsidP="00163B94" w:rsidRDefault="009D3FB5" w14:paraId="1C02D43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21%</w:t>
            </w:r>
          </w:p>
        </w:tc>
        <w:tc>
          <w:tcPr>
            <w:tcW w:w="837" w:type="dxa"/>
            <w:vMerge/>
            <w:tcBorders>
              <w:top w:val="nil"/>
              <w:left w:val="double" w:color="44546A" w:sz="6" w:space="0"/>
              <w:bottom w:val="double" w:color="44546A" w:sz="6" w:space="0"/>
              <w:right w:val="double" w:color="44546A" w:sz="6" w:space="0"/>
            </w:tcBorders>
            <w:vAlign w:val="center"/>
            <w:hideMark/>
          </w:tcPr>
          <w:p w:rsidRPr="00AE1B2B" w:rsidR="009D3FB5" w:rsidP="00163B94" w:rsidRDefault="009D3FB5" w14:paraId="3393A97B" w14:textId="77777777">
            <w:pPr>
              <w:spacing w:before="120" w:after="120"/>
              <w:jc w:val="center"/>
              <w:rPr>
                <w:rFonts w:ascii="Times New Roman" w:hAnsi="Times New Roman" w:cs="Times New Roman"/>
                <w:b/>
                <w:bCs/>
                <w:i/>
                <w:iCs/>
                <w:lang w:eastAsia="es-CR"/>
              </w:rPr>
            </w:pPr>
          </w:p>
        </w:tc>
      </w:tr>
      <w:tr w:rsidRPr="00AE1B2B" w:rsidR="009D3FB5" w:rsidTr="009D3FB5" w14:paraId="653B7AFA" w14:textId="77777777">
        <w:trPr>
          <w:trHeight w:val="300"/>
        </w:trPr>
        <w:tc>
          <w:tcPr>
            <w:tcW w:w="4655" w:type="dxa"/>
            <w:vMerge/>
            <w:tcBorders>
              <w:top w:val="nil"/>
              <w:left w:val="double" w:color="44546A" w:sz="6" w:space="0"/>
              <w:bottom w:val="double" w:color="44546A" w:sz="6" w:space="0"/>
              <w:right w:val="double" w:color="44546A" w:sz="6" w:space="0"/>
            </w:tcBorders>
            <w:vAlign w:val="center"/>
            <w:hideMark/>
          </w:tcPr>
          <w:p w:rsidRPr="00AE1B2B" w:rsidR="009D3FB5" w:rsidP="00163B94" w:rsidRDefault="009D3FB5" w14:paraId="319B399B" w14:textId="77777777">
            <w:pPr>
              <w:spacing w:before="120" w:after="120"/>
              <w:rPr>
                <w:rFonts w:ascii="Times New Roman" w:hAnsi="Times New Roman" w:cs="Times New Roman"/>
                <w:lang w:eastAsia="es-CR"/>
              </w:rPr>
            </w:pPr>
          </w:p>
        </w:tc>
        <w:tc>
          <w:tcPr>
            <w:tcW w:w="1574" w:type="dxa"/>
            <w:tcBorders>
              <w:top w:val="nil"/>
              <w:left w:val="nil"/>
              <w:bottom w:val="double" w:color="44546A" w:sz="6" w:space="0"/>
              <w:right w:val="double" w:color="44546A" w:sz="6" w:space="0"/>
            </w:tcBorders>
            <w:shd w:val="clear" w:color="auto" w:fill="auto"/>
            <w:noWrap/>
            <w:vAlign w:val="bottom"/>
            <w:hideMark/>
          </w:tcPr>
          <w:p w:rsidRPr="00AE1B2B" w:rsidR="009D3FB5" w:rsidP="00163B94" w:rsidRDefault="009D3FB5" w14:paraId="2AFDC148"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Trabajo</w:t>
            </w:r>
          </w:p>
        </w:tc>
        <w:tc>
          <w:tcPr>
            <w:tcW w:w="837" w:type="dxa"/>
            <w:tcBorders>
              <w:top w:val="nil"/>
              <w:left w:val="nil"/>
              <w:bottom w:val="double" w:color="44546A" w:sz="6" w:space="0"/>
              <w:right w:val="double" w:color="44546A" w:sz="6" w:space="0"/>
            </w:tcBorders>
            <w:shd w:val="clear" w:color="auto" w:fill="auto"/>
            <w:noWrap/>
            <w:vAlign w:val="center"/>
            <w:hideMark/>
          </w:tcPr>
          <w:p w:rsidRPr="00AE1B2B" w:rsidR="009D3FB5" w:rsidP="00163B94" w:rsidRDefault="009D3FB5" w14:paraId="63ECB60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w:t>
            </w:r>
          </w:p>
        </w:tc>
        <w:tc>
          <w:tcPr>
            <w:tcW w:w="889" w:type="dxa"/>
            <w:tcBorders>
              <w:top w:val="nil"/>
              <w:left w:val="nil"/>
              <w:bottom w:val="double" w:color="44546A" w:sz="6" w:space="0"/>
              <w:right w:val="double" w:color="44546A" w:sz="6" w:space="0"/>
            </w:tcBorders>
            <w:shd w:val="clear" w:color="auto" w:fill="auto"/>
            <w:noWrap/>
            <w:vAlign w:val="center"/>
            <w:hideMark/>
          </w:tcPr>
          <w:p w:rsidRPr="00AE1B2B" w:rsidR="009D3FB5" w:rsidP="00163B94" w:rsidRDefault="009D3FB5" w14:paraId="0B111B3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24%</w:t>
            </w:r>
          </w:p>
        </w:tc>
        <w:tc>
          <w:tcPr>
            <w:tcW w:w="837" w:type="dxa"/>
            <w:vMerge/>
            <w:tcBorders>
              <w:top w:val="nil"/>
              <w:left w:val="double" w:color="44546A" w:sz="6" w:space="0"/>
              <w:bottom w:val="double" w:color="44546A" w:sz="6" w:space="0"/>
              <w:right w:val="double" w:color="44546A" w:sz="6" w:space="0"/>
            </w:tcBorders>
            <w:vAlign w:val="center"/>
            <w:hideMark/>
          </w:tcPr>
          <w:p w:rsidRPr="00AE1B2B" w:rsidR="009D3FB5" w:rsidP="00163B94" w:rsidRDefault="009D3FB5" w14:paraId="2A4CF40E" w14:textId="77777777">
            <w:pPr>
              <w:spacing w:before="120" w:after="120"/>
              <w:jc w:val="center"/>
              <w:rPr>
                <w:rFonts w:ascii="Times New Roman" w:hAnsi="Times New Roman" w:cs="Times New Roman"/>
                <w:b/>
                <w:bCs/>
                <w:i/>
                <w:iCs/>
                <w:lang w:eastAsia="es-CR"/>
              </w:rPr>
            </w:pPr>
          </w:p>
        </w:tc>
      </w:tr>
      <w:tr w:rsidRPr="00AE1B2B" w:rsidR="009D3FB5" w:rsidTr="009D3FB5" w14:paraId="692A5BC7" w14:textId="77777777">
        <w:trPr>
          <w:trHeight w:val="300"/>
        </w:trPr>
        <w:tc>
          <w:tcPr>
            <w:tcW w:w="4655" w:type="dxa"/>
            <w:vMerge w:val="restart"/>
            <w:tcBorders>
              <w:top w:val="nil"/>
              <w:left w:val="double" w:color="44546A" w:sz="6" w:space="0"/>
              <w:bottom w:val="double" w:color="44546A" w:sz="6" w:space="0"/>
              <w:right w:val="double" w:color="44546A" w:sz="6" w:space="0"/>
            </w:tcBorders>
            <w:shd w:val="clear" w:color="auto" w:fill="auto"/>
            <w:noWrap/>
            <w:vAlign w:val="center"/>
            <w:hideMark/>
          </w:tcPr>
          <w:p w:rsidRPr="00AE1B2B" w:rsidR="009D3FB5" w:rsidP="00163B94" w:rsidRDefault="009D3FB5" w14:paraId="35E9A402"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Civil, Trabajo y Agrario de Turrialba</w:t>
            </w:r>
          </w:p>
        </w:tc>
        <w:tc>
          <w:tcPr>
            <w:tcW w:w="1574" w:type="dxa"/>
            <w:tcBorders>
              <w:top w:val="nil"/>
              <w:left w:val="nil"/>
              <w:bottom w:val="single" w:color="44546A" w:sz="4" w:space="0"/>
              <w:right w:val="double" w:color="44546A" w:sz="6" w:space="0"/>
            </w:tcBorders>
            <w:shd w:val="clear" w:color="auto" w:fill="auto"/>
            <w:noWrap/>
            <w:vAlign w:val="bottom"/>
            <w:hideMark/>
          </w:tcPr>
          <w:p w:rsidRPr="00AE1B2B" w:rsidR="009D3FB5" w:rsidP="00163B94" w:rsidRDefault="009D3FB5" w14:paraId="5F45BCBD"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Agrario</w:t>
            </w:r>
          </w:p>
        </w:tc>
        <w:tc>
          <w:tcPr>
            <w:tcW w:w="837" w:type="dxa"/>
            <w:tcBorders>
              <w:top w:val="nil"/>
              <w:left w:val="nil"/>
              <w:bottom w:val="single" w:color="44546A" w:sz="4" w:space="0"/>
              <w:right w:val="double" w:color="44546A" w:sz="6" w:space="0"/>
            </w:tcBorders>
            <w:shd w:val="clear" w:color="auto" w:fill="auto"/>
            <w:noWrap/>
            <w:vAlign w:val="center"/>
            <w:hideMark/>
          </w:tcPr>
          <w:p w:rsidRPr="00AE1B2B" w:rsidR="009D3FB5" w:rsidP="00163B94" w:rsidRDefault="009D3FB5" w14:paraId="11667A9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w:t>
            </w:r>
          </w:p>
        </w:tc>
        <w:tc>
          <w:tcPr>
            <w:tcW w:w="889" w:type="dxa"/>
            <w:tcBorders>
              <w:top w:val="nil"/>
              <w:left w:val="nil"/>
              <w:bottom w:val="single" w:color="44546A" w:sz="4" w:space="0"/>
              <w:right w:val="double" w:color="44546A" w:sz="6" w:space="0"/>
            </w:tcBorders>
            <w:shd w:val="clear" w:color="auto" w:fill="auto"/>
            <w:noWrap/>
            <w:vAlign w:val="center"/>
            <w:hideMark/>
          </w:tcPr>
          <w:p w:rsidRPr="00AE1B2B" w:rsidR="009D3FB5" w:rsidP="00163B94" w:rsidRDefault="009D3FB5" w14:paraId="237A148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69%</w:t>
            </w:r>
          </w:p>
        </w:tc>
        <w:tc>
          <w:tcPr>
            <w:tcW w:w="837" w:type="dxa"/>
            <w:vMerge w:val="restart"/>
            <w:tcBorders>
              <w:top w:val="nil"/>
              <w:left w:val="double" w:color="44546A" w:sz="6" w:space="0"/>
              <w:bottom w:val="double" w:color="44546A" w:sz="6" w:space="0"/>
              <w:right w:val="double" w:color="44546A" w:sz="6" w:space="0"/>
            </w:tcBorders>
            <w:shd w:val="clear" w:color="auto" w:fill="auto"/>
            <w:noWrap/>
            <w:vAlign w:val="center"/>
            <w:hideMark/>
          </w:tcPr>
          <w:p w:rsidRPr="00AE1B2B" w:rsidR="009D3FB5" w:rsidP="00163B94" w:rsidRDefault="009D3FB5" w14:paraId="1D733E51"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14</w:t>
            </w:r>
          </w:p>
        </w:tc>
      </w:tr>
      <w:tr w:rsidRPr="00AE1B2B" w:rsidR="009D3FB5" w:rsidTr="009D3FB5" w14:paraId="7E3D887C" w14:textId="77777777">
        <w:trPr>
          <w:trHeight w:val="300"/>
        </w:trPr>
        <w:tc>
          <w:tcPr>
            <w:tcW w:w="4655" w:type="dxa"/>
            <w:vMerge/>
            <w:tcBorders>
              <w:top w:val="nil"/>
              <w:left w:val="double" w:color="44546A" w:sz="6" w:space="0"/>
              <w:bottom w:val="double" w:color="44546A" w:sz="6" w:space="0"/>
              <w:right w:val="double" w:color="44546A" w:sz="6" w:space="0"/>
            </w:tcBorders>
            <w:vAlign w:val="center"/>
            <w:hideMark/>
          </w:tcPr>
          <w:p w:rsidRPr="00AE1B2B" w:rsidR="009D3FB5" w:rsidP="00163B94" w:rsidRDefault="009D3FB5" w14:paraId="190FBD88" w14:textId="77777777">
            <w:pPr>
              <w:spacing w:before="120" w:after="120"/>
              <w:rPr>
                <w:rFonts w:ascii="Times New Roman" w:hAnsi="Times New Roman" w:cs="Times New Roman"/>
                <w:lang w:eastAsia="es-CR"/>
              </w:rPr>
            </w:pPr>
          </w:p>
        </w:tc>
        <w:tc>
          <w:tcPr>
            <w:tcW w:w="1574" w:type="dxa"/>
            <w:tcBorders>
              <w:top w:val="nil"/>
              <w:left w:val="nil"/>
              <w:bottom w:val="double" w:color="44546A" w:sz="6" w:space="0"/>
              <w:right w:val="double" w:color="44546A" w:sz="6" w:space="0"/>
            </w:tcBorders>
            <w:shd w:val="clear" w:color="auto" w:fill="auto"/>
            <w:noWrap/>
            <w:vAlign w:val="bottom"/>
            <w:hideMark/>
          </w:tcPr>
          <w:p w:rsidRPr="00AE1B2B" w:rsidR="009D3FB5" w:rsidP="00163B94" w:rsidRDefault="009D3FB5" w14:paraId="0BE6D4E3" w14:textId="77777777">
            <w:pPr>
              <w:spacing w:before="120" w:after="120"/>
              <w:rPr>
                <w:rFonts w:ascii="Times New Roman" w:hAnsi="Times New Roman" w:cs="Times New Roman"/>
                <w:i/>
                <w:iCs/>
                <w:lang w:eastAsia="es-CR"/>
              </w:rPr>
            </w:pPr>
            <w:r w:rsidRPr="00AE1B2B">
              <w:rPr>
                <w:rFonts w:ascii="Times New Roman" w:hAnsi="Times New Roman" w:cs="Times New Roman"/>
                <w:i/>
                <w:iCs/>
                <w:lang w:eastAsia="es-CR"/>
              </w:rPr>
              <w:t xml:space="preserve">Civil </w:t>
            </w:r>
          </w:p>
        </w:tc>
        <w:tc>
          <w:tcPr>
            <w:tcW w:w="837" w:type="dxa"/>
            <w:tcBorders>
              <w:top w:val="nil"/>
              <w:left w:val="nil"/>
              <w:bottom w:val="double" w:color="44546A" w:sz="6" w:space="0"/>
              <w:right w:val="double" w:color="44546A" w:sz="6" w:space="0"/>
            </w:tcBorders>
            <w:shd w:val="clear" w:color="auto" w:fill="auto"/>
            <w:noWrap/>
            <w:vAlign w:val="bottom"/>
            <w:hideMark/>
          </w:tcPr>
          <w:p w:rsidRPr="00AE1B2B" w:rsidR="009D3FB5" w:rsidP="00163B94" w:rsidRDefault="009D3FB5" w14:paraId="3181D11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w:t>
            </w:r>
          </w:p>
        </w:tc>
        <w:tc>
          <w:tcPr>
            <w:tcW w:w="889" w:type="dxa"/>
            <w:tcBorders>
              <w:top w:val="nil"/>
              <w:left w:val="nil"/>
              <w:bottom w:val="double" w:color="44546A" w:sz="6" w:space="0"/>
              <w:right w:val="double" w:color="44546A" w:sz="6" w:space="0"/>
            </w:tcBorders>
            <w:shd w:val="clear" w:color="auto" w:fill="auto"/>
            <w:noWrap/>
            <w:vAlign w:val="bottom"/>
            <w:hideMark/>
          </w:tcPr>
          <w:p w:rsidRPr="00AE1B2B" w:rsidR="009D3FB5" w:rsidP="00163B94" w:rsidRDefault="009D3FB5" w14:paraId="5C3E79C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31%</w:t>
            </w:r>
          </w:p>
        </w:tc>
        <w:tc>
          <w:tcPr>
            <w:tcW w:w="837" w:type="dxa"/>
            <w:vMerge/>
            <w:tcBorders>
              <w:top w:val="nil"/>
              <w:left w:val="double" w:color="44546A" w:sz="6" w:space="0"/>
              <w:bottom w:val="double" w:color="44546A" w:sz="6" w:space="0"/>
              <w:right w:val="double" w:color="44546A" w:sz="6" w:space="0"/>
            </w:tcBorders>
            <w:vAlign w:val="center"/>
            <w:hideMark/>
          </w:tcPr>
          <w:p w:rsidRPr="00AE1B2B" w:rsidR="009D3FB5" w:rsidP="00163B94" w:rsidRDefault="009D3FB5" w14:paraId="63D1AF43" w14:textId="77777777">
            <w:pPr>
              <w:spacing w:before="120" w:after="120"/>
              <w:rPr>
                <w:rFonts w:ascii="Times New Roman" w:hAnsi="Times New Roman" w:cs="Times New Roman"/>
                <w:b/>
                <w:bCs/>
                <w:i/>
                <w:iCs/>
                <w:lang w:eastAsia="es-CR"/>
              </w:rPr>
            </w:pPr>
          </w:p>
        </w:tc>
      </w:tr>
    </w:tbl>
    <w:p w:rsidRPr="00AE1B2B" w:rsidR="009D3FB5" w:rsidP="00163B94" w:rsidRDefault="009D3FB5" w14:paraId="19A9F383"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con base en datos del Anuario Judicial y del sistema SIGMA</w:t>
      </w:r>
    </w:p>
    <w:p w:rsidRPr="00AE1B2B" w:rsidR="009D3FB5" w:rsidP="00163B94" w:rsidRDefault="009D3FB5" w14:paraId="27EFA2D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persona juzgadora del Juzgado Civil, Trabajo, Agrario, Familia, Penal Juvenil, Contra la Violencia Doméstica y Protección Cautelar II Circuito Judicial de Alajuela, sede Upala, tiene a cargo la materia Agraria y Penal Juvenil, las cuales generan una carga de trabajo de 34 casos en promedio mensualmente. Para poder hacerle frente a la carga de trabajo de materia Agraria, debe disponer de un 66% de capacidad de atención. Lo anterior hace indicar únicamente tiene capacidad de atender 10 casos al mes, por lo que quedaría un rezago de 13 casos sin atender, lo cual se detalla de la siguiente manera: </w:t>
      </w:r>
    </w:p>
    <w:p w:rsidRPr="00AE1B2B" w:rsidR="009D3FB5" w:rsidP="00163B94" w:rsidRDefault="009D3FB5" w14:paraId="2F45BE36"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7</w:t>
      </w:r>
      <w:r w:rsidRPr="00AE1B2B">
        <w:rPr>
          <w:rFonts w:ascii="Times New Roman" w:hAnsi="Times New Roman"/>
          <w:iCs/>
          <w:sz w:val="26"/>
          <w:szCs w:val="26"/>
        </w:rPr>
        <w:fldChar w:fldCharType="end"/>
      </w:r>
    </w:p>
    <w:p w:rsidRPr="00AE1B2B" w:rsidR="009D3FB5" w:rsidP="00163B94" w:rsidRDefault="009D3FB5" w14:paraId="219EDD62" w14:textId="77777777">
      <w:pPr>
        <w:spacing w:before="120" w:after="120"/>
        <w:ind w:left="851" w:right="851" w:firstLine="709"/>
        <w:jc w:val="both"/>
        <w:rPr>
          <w:rFonts w:ascii="Times New Roman" w:hAnsi="Times New Roman" w:cs="Times New Roman"/>
          <w:b/>
          <w:iCs/>
          <w:sz w:val="26"/>
          <w:szCs w:val="26"/>
        </w:rPr>
      </w:pPr>
      <w:r w:rsidRPr="00AE1B2B">
        <w:rPr>
          <w:rFonts w:ascii="Times New Roman" w:hAnsi="Times New Roman" w:cs="Times New Roman"/>
          <w:b/>
          <w:iCs/>
          <w:sz w:val="26"/>
          <w:szCs w:val="26"/>
        </w:rPr>
        <w:t>Análisis comparativo de la cantidad carga de trabajo (entrados + reentrados) del 2016 - 2020 para los Juzgados de naturaleza mixta que atienden la materia Agraria</w:t>
      </w:r>
    </w:p>
    <w:p w:rsidRPr="00AE1B2B" w:rsidR="009D3FB5" w:rsidP="00163B94" w:rsidRDefault="009D3FB5" w14:paraId="669FC22E" w14:textId="77777777">
      <w:pPr>
        <w:spacing w:before="120" w:after="120"/>
        <w:rPr>
          <w:rFonts w:ascii="Times New Roman" w:hAnsi="Times New Roman" w:cs="Times New Roman"/>
          <w:highlight w:val="yellow"/>
        </w:rPr>
      </w:pPr>
    </w:p>
    <w:tbl>
      <w:tblPr>
        <w:tblW w:w="10065" w:type="dxa"/>
        <w:tblInd w:w="-874" w:type="dxa"/>
        <w:tblCellMar>
          <w:left w:w="70" w:type="dxa"/>
          <w:right w:w="70" w:type="dxa"/>
        </w:tblCellMar>
        <w:tblLook w:val="04A0" w:firstRow="1" w:lastRow="0" w:firstColumn="1" w:lastColumn="0" w:noHBand="0" w:noVBand="1"/>
      </w:tblPr>
      <w:tblGrid>
        <w:gridCol w:w="4177"/>
        <w:gridCol w:w="1057"/>
        <w:gridCol w:w="1021"/>
        <w:gridCol w:w="947"/>
        <w:gridCol w:w="1155"/>
        <w:gridCol w:w="1130"/>
        <w:gridCol w:w="1373"/>
      </w:tblGrid>
      <w:tr w:rsidRPr="00AE1B2B" w:rsidR="00AE1B2B" w:rsidTr="009D3FB5" w14:paraId="03A7AB5E" w14:textId="77777777">
        <w:trPr>
          <w:trHeight w:val="1464"/>
          <w:tblHeader/>
        </w:trPr>
        <w:tc>
          <w:tcPr>
            <w:tcW w:w="4177" w:type="dxa"/>
            <w:tcBorders>
              <w:top w:val="double" w:color="1F497D" w:sz="6" w:space="0"/>
              <w:left w:val="double" w:color="1F497D" w:sz="6" w:space="0"/>
              <w:bottom w:val="double" w:color="1F497D" w:sz="6" w:space="0"/>
              <w:right w:val="double" w:color="1F497D" w:sz="6" w:space="0"/>
            </w:tcBorders>
            <w:shd w:val="clear" w:color="000000" w:fill="0673A5"/>
            <w:noWrap/>
            <w:vAlign w:val="center"/>
            <w:hideMark/>
          </w:tcPr>
          <w:p w:rsidRPr="00AE1B2B" w:rsidR="009D3FB5" w:rsidP="00163B94" w:rsidRDefault="009D3FB5" w14:paraId="19E946CA"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Despacho</w:t>
            </w:r>
          </w:p>
        </w:tc>
        <w:tc>
          <w:tcPr>
            <w:tcW w:w="0" w:type="auto"/>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254D7253"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Entrada Promedio Mensual</w:t>
            </w:r>
          </w:p>
        </w:tc>
        <w:tc>
          <w:tcPr>
            <w:tcW w:w="0" w:type="auto"/>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2727A3C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Cantidad Jueza o Juez</w:t>
            </w:r>
          </w:p>
        </w:tc>
        <w:tc>
          <w:tcPr>
            <w:tcW w:w="0" w:type="auto"/>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36C404E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Cuota de Trabajo Mensual</w:t>
            </w:r>
          </w:p>
        </w:tc>
        <w:tc>
          <w:tcPr>
            <w:tcW w:w="0" w:type="auto"/>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18FC0CEC"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Capacidad de Atención de la Materia Agraria </w:t>
            </w:r>
          </w:p>
        </w:tc>
        <w:tc>
          <w:tcPr>
            <w:tcW w:w="0" w:type="auto"/>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188883C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Cuota Esperada por Persona Juzgadora </w:t>
            </w:r>
          </w:p>
        </w:tc>
        <w:tc>
          <w:tcPr>
            <w:tcW w:w="1373"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4833BB5D"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Diferencia entre la entrada y la cuota esperada</w:t>
            </w:r>
          </w:p>
        </w:tc>
      </w:tr>
      <w:tr w:rsidRPr="00AE1B2B" w:rsidR="00AE1B2B" w:rsidTr="009D3FB5" w14:paraId="75B1FED5" w14:textId="77777777">
        <w:trPr>
          <w:trHeight w:val="1176"/>
        </w:trPr>
        <w:tc>
          <w:tcPr>
            <w:tcW w:w="4177"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5265DAB0"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Civil, Trabajo, Agrario, Familia, Penal Juvenil, Contra la Violencia Doméstica y Protección Cautelar II Circuito Judicial de Alajuela, sede Upala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8836BD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23</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4CD62D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655810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15</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9431EB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66%</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EFD348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w:t>
            </w:r>
          </w:p>
        </w:tc>
        <w:tc>
          <w:tcPr>
            <w:tcW w:w="137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2D5232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13</w:t>
            </w:r>
          </w:p>
        </w:tc>
      </w:tr>
      <w:tr w:rsidRPr="00AE1B2B" w:rsidR="00AE1B2B" w:rsidTr="009D3FB5" w14:paraId="7FCC4FE5" w14:textId="77777777">
        <w:trPr>
          <w:trHeight w:val="600"/>
        </w:trPr>
        <w:tc>
          <w:tcPr>
            <w:tcW w:w="4177"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488A1ACE"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lastRenderedPageBreak/>
              <w:t xml:space="preserve">Juzgado Civil, Trabajo, Familia, Agrario, Penal Juvenil, Contra la Violencia Doméstica y Protección Cautelar Buenos Aires </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5331A3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11</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4809CF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512C7E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15</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C8C0C1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55%</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3B97F8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w:t>
            </w:r>
          </w:p>
        </w:tc>
        <w:tc>
          <w:tcPr>
            <w:tcW w:w="137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E5EA42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w:t>
            </w:r>
          </w:p>
        </w:tc>
      </w:tr>
      <w:tr w:rsidRPr="00AE1B2B" w:rsidR="00AE1B2B" w:rsidTr="009D3FB5" w14:paraId="46A2C982" w14:textId="77777777">
        <w:trPr>
          <w:trHeight w:val="600"/>
        </w:trPr>
        <w:tc>
          <w:tcPr>
            <w:tcW w:w="4177"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5C21FB53"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Civil, Trabajo y Agrario de Turrialba</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EB3982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AE1442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F0024D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15</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3915CF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69%</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AA9217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w:t>
            </w:r>
          </w:p>
        </w:tc>
        <w:tc>
          <w:tcPr>
            <w:tcW w:w="137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574A31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r>
    </w:tbl>
    <w:p w:rsidRPr="00AE1B2B" w:rsidR="009D3FB5" w:rsidP="00163B94" w:rsidRDefault="009D3FB5" w14:paraId="6E19539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i/>
          <w:sz w:val="26"/>
          <w:szCs w:val="26"/>
        </w:rPr>
        <w:t>Fuente: Subproceso de Modernización Institucional con base en datos del Anuario Judicial y del sistema SIGMA</w:t>
      </w:r>
      <w:r w:rsidRPr="00AE1B2B">
        <w:rPr>
          <w:rFonts w:ascii="Times New Roman" w:hAnsi="Times New Roman" w:cs="Times New Roman"/>
          <w:sz w:val="26"/>
          <w:szCs w:val="26"/>
        </w:rPr>
        <w:t xml:space="preserve"> </w:t>
      </w:r>
    </w:p>
    <w:p w:rsidRPr="00AE1B2B" w:rsidR="009D3FB5" w:rsidP="00163B94" w:rsidRDefault="009D3FB5" w14:paraId="5CA9DAF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informe preliminar 1073-PLA-MI-2019 relaciona con la Estructura de Trabajo de los Juzgados Civiles y de Trabajo y Juzgados Mixtos; en el marco del Código Procesal Civil, según análisis realizado se dispuso que la persona juzgadora de Upala debe generar como mínimo cinco (5) sentencias en materia Agraria complementada con cuatro (4) resoluciones que den termino al proceso por cualquier otro motivo, por lo que podría dar fin a nueve (9) casos al mes. </w:t>
      </w:r>
    </w:p>
    <w:p w:rsidRPr="00AE1B2B" w:rsidR="009D3FB5" w:rsidP="00163B94" w:rsidRDefault="009D3FB5" w14:paraId="7B423E9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misma explicación se aplica para los Juzgados de Buenos Aires y Turrialba, quienes proporcionalmente cuentan con 55% y un 69% respectivamente, de capacidad en la atención de la materia Agraria. En Buenos Aires, tiene capacidad de atender ocho (8) casos al mes. En el informe 1073-PLA-MI-2019, se dispuso una cuota de trabajo de ocho (8) sentencias, de las cuales seis (6) deben ser por sentencia dictada, complementada con dos (2) resoluciones que den termino al proceso por cualquier otro motivo. Lo anterior generaría un rezago de tres (3) casos cada mes. </w:t>
      </w:r>
    </w:p>
    <w:p w:rsidRPr="00AE1B2B" w:rsidR="009D3FB5" w:rsidP="00163B94" w:rsidRDefault="009D3FB5" w14:paraId="3769547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Por último, a Turrialba le ingresa un promedio de 10 casos al mes, dato que se encuentra por debajo del promedio nacional, por lo que, si cuenta con la capacidad operativa para atender la carga de trabajo, ya que, en el informe arriba mencionado, se dispuso una cuota de trabajo de 11 casos al mes, de los cuales seis (6) por sentencia dictada, complementada con cinco (5) resoluciones que den termino al proceso por cualquier otro motivo.</w:t>
      </w:r>
    </w:p>
    <w:p w:rsidRPr="00AE1B2B" w:rsidR="009D3FB5" w:rsidP="00163B94" w:rsidRDefault="009D3FB5" w14:paraId="5EDB53F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relación con el Juzgado Mixto de Upala, en el informe 555-PLA-RH-MI-2019 “Impacto organizacional y presupuestario en el Poder Judicial a partir de la promulgación del Nuevo Código Procesal </w:t>
      </w:r>
      <w:r w:rsidRPr="00AE1B2B">
        <w:rPr>
          <w:rFonts w:ascii="Times New Roman" w:hAnsi="Times New Roman" w:cs="Times New Roman"/>
          <w:sz w:val="26"/>
          <w:szCs w:val="26"/>
        </w:rPr>
        <w:lastRenderedPageBreak/>
        <w:t>Civil para el 2020”, se reconoce la necesidad de realizar un cambio en la organización del Juzgado, por lo que se reforzó el Despacho con una persona juzgadora con competencia en las materias de Familia, Penal Juvenil y Violencia Domestica</w:t>
      </w:r>
      <w:r w:rsidRPr="00AE1B2B">
        <w:rPr>
          <w:rStyle w:val="Refdenotaalpie"/>
          <w:rFonts w:ascii="Times New Roman" w:hAnsi="Times New Roman"/>
          <w:sz w:val="26"/>
          <w:szCs w:val="26"/>
        </w:rPr>
        <w:footnoteReference w:id="21"/>
      </w:r>
      <w:r w:rsidRPr="00AE1B2B">
        <w:rPr>
          <w:rFonts w:ascii="Times New Roman" w:hAnsi="Times New Roman" w:cs="Times New Roman"/>
          <w:sz w:val="26"/>
          <w:szCs w:val="26"/>
        </w:rPr>
        <w:t xml:space="preserve">. Por otro lado, en el informe 555-PLA-RH-MI-2020, realizado en abril del 2020 por la Dirección de Planificación, relacionado “Impacto organizacional y presupuestario en el Poder Judicial a partir de la promulgación del Nuevo Código Procesal Agrario para el 2021 Ley 9609”, se realizó la propuesta de incorporar una plaza de persona juzgadora competente con la materia Agraria. Lo anterior a raíz de contar con una carga de trabajo de 23 casos mensuales, lo cual se ubica dentro del parámetro de especialización, de 20 a 30 casos entrados mensuales por persona juzgadora. </w:t>
      </w:r>
    </w:p>
    <w:p w:rsidRPr="00AE1B2B" w:rsidR="009D3FB5" w:rsidP="00163B94" w:rsidRDefault="009D3FB5" w14:paraId="1F321888" w14:textId="7B6566BB">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Bajo el mismo criterio, se mantiene la propuesta en el presente informe al cumplirse con el mismo promedio de ingreso (23 casos por persona juzgadora), por lo que se deben presupuestar los costos que implican entre mobiliario y equipo de cómputo, para el ejercicio de la persona juzgadora propuesta.</w:t>
      </w:r>
      <w:r w:rsidRPr="00AE1B2B" w:rsidR="00BB7720">
        <w:rPr>
          <w:rFonts w:ascii="Times New Roman" w:hAnsi="Times New Roman" w:cs="Times New Roman"/>
          <w:sz w:val="26"/>
          <w:szCs w:val="26"/>
        </w:rPr>
        <w:t xml:space="preserve"> </w:t>
      </w:r>
    </w:p>
    <w:p w:rsidRPr="00AE1B2B" w:rsidR="009D3FB5" w:rsidP="00163B94" w:rsidRDefault="009D3FB5" w14:paraId="5FE3EA67" w14:textId="77777777">
      <w:pPr>
        <w:pStyle w:val="Pa2"/>
        <w:spacing w:before="120" w:after="120" w:line="240" w:lineRule="auto"/>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 xml:space="preserve">La plaza recomendada de Jueza o Juez Agrario estaría asumiendo la materia Agraria al igual que la personal juzgador que actualmente atiende la materia, ambas con una cuota de 15 casos terminados al mes, de los cuales seis (6) deben ser por sentencia dictada, sentencia en ejecución y homologatorias y nueve (9) terminados por otros motivos. </w:t>
      </w:r>
    </w:p>
    <w:p w:rsidRPr="00AE1B2B" w:rsidR="009D3FB5" w:rsidP="00163B94" w:rsidRDefault="009D3FB5" w14:paraId="45A458D2" w14:textId="77777777">
      <w:pPr>
        <w:pStyle w:val="Pa2"/>
        <w:spacing w:before="120" w:after="120" w:line="240" w:lineRule="auto"/>
        <w:ind w:left="851" w:right="851" w:firstLine="709"/>
        <w:jc w:val="both"/>
        <w:rPr>
          <w:rFonts w:ascii="Times New Roman" w:hAnsi="Times New Roman" w:cs="Times New Roman"/>
          <w:sz w:val="26"/>
          <w:szCs w:val="26"/>
          <w:lang w:val="es-CR"/>
        </w:rPr>
      </w:pPr>
      <w:r w:rsidRPr="00AE1B2B">
        <w:rPr>
          <w:rFonts w:ascii="Times New Roman" w:hAnsi="Times New Roman" w:cs="Times New Roman"/>
          <w:sz w:val="26"/>
          <w:szCs w:val="26"/>
          <w:lang w:val="es-CR"/>
        </w:rPr>
        <w:t xml:space="preserve">En consulta realizada a la Dirección Ejecutiva en relación con el espacio físico para albergar una nueva plaza de jueza o juez </w:t>
      </w:r>
      <w:r w:rsidRPr="00AE1B2B">
        <w:rPr>
          <w:rFonts w:ascii="Times New Roman" w:hAnsi="Times New Roman" w:cs="Times New Roman"/>
          <w:i/>
          <w:iCs/>
          <w:sz w:val="26"/>
          <w:szCs w:val="26"/>
          <w:lang w:val="es-CR"/>
        </w:rPr>
        <w:t>(ver anexo 29)</w:t>
      </w:r>
      <w:r w:rsidRPr="00AE1B2B">
        <w:rPr>
          <w:rFonts w:ascii="Times New Roman" w:hAnsi="Times New Roman" w:cs="Times New Roman"/>
          <w:sz w:val="26"/>
          <w:szCs w:val="26"/>
          <w:lang w:val="es-CR"/>
        </w:rPr>
        <w:t xml:space="preserve">, remite: </w:t>
      </w:r>
    </w:p>
    <w:p w:rsidRPr="00AE1B2B" w:rsidR="009D3FB5" w:rsidP="00163B94" w:rsidRDefault="009D3FB5" w14:paraId="4CF03D3D" w14:textId="77777777">
      <w:pPr>
        <w:pStyle w:val="Pa2"/>
        <w:spacing w:before="120" w:after="120" w:line="240" w:lineRule="auto"/>
        <w:ind w:left="851" w:right="851" w:firstLine="709"/>
        <w:jc w:val="both"/>
        <w:rPr>
          <w:rFonts w:ascii="Times New Roman" w:hAnsi="Times New Roman" w:cs="Times New Roman"/>
          <w:i/>
          <w:iCs/>
          <w:sz w:val="26"/>
          <w:szCs w:val="26"/>
          <w:lang w:val="es-CR"/>
        </w:rPr>
      </w:pPr>
      <w:r w:rsidRPr="00AE1B2B">
        <w:rPr>
          <w:rFonts w:ascii="Times New Roman" w:hAnsi="Times New Roman" w:cs="Times New Roman"/>
          <w:i/>
          <w:iCs/>
          <w:sz w:val="26"/>
          <w:szCs w:val="26"/>
          <w:lang w:val="es-CR"/>
        </w:rPr>
        <w:t>“…Según información que nos remite don Alexander Matarrita, Administrador Regional, si hay espacio para el puesto de personal juzgador, ya que se puede utilizar un espacio de la oficina de Trabajo Social y Piscología de Upala, esta labor la estaría realizando la AR para adecuar el espacio y asignarlo al despacho...”.</w:t>
      </w:r>
    </w:p>
    <w:p w:rsidRPr="00AE1B2B" w:rsidR="009D3FB5" w:rsidP="00163B94" w:rsidRDefault="009D3FB5" w14:paraId="376A3BE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Las funciones del personal juzgador se encuentran establecidas en el perfil competencial de la Dirección de Gestión Humana según sea la clase de puesto, información que se puede accesar a la mediante la dirección electrónica dirección </w:t>
      </w:r>
      <w:hyperlink w:history="1" r:id="rId311">
        <w:r w:rsidRPr="00AE1B2B">
          <w:rPr>
            <w:rStyle w:val="Hipervnculo"/>
            <w:rFonts w:ascii="Times New Roman" w:hAnsi="Times New Roman"/>
            <w:color w:val="auto"/>
            <w:sz w:val="26"/>
            <w:szCs w:val="26"/>
          </w:rPr>
          <w:t>http://intranet/gestionhumana/index.php/manual-perfiles</w:t>
        </w:r>
      </w:hyperlink>
      <w:r w:rsidRPr="00AE1B2B">
        <w:rPr>
          <w:rFonts w:ascii="Times New Roman" w:hAnsi="Times New Roman" w:cs="Times New Roman"/>
          <w:sz w:val="26"/>
          <w:szCs w:val="26"/>
        </w:rPr>
        <w:t xml:space="preserve">. En dicho </w:t>
      </w:r>
      <w:r w:rsidRPr="00AE1B2B">
        <w:rPr>
          <w:rFonts w:ascii="Times New Roman" w:hAnsi="Times New Roman" w:cs="Times New Roman"/>
          <w:sz w:val="26"/>
          <w:szCs w:val="26"/>
        </w:rPr>
        <w:lastRenderedPageBreak/>
        <w:t>perfil se define los conocimientos, habilidades y experiencia imprescindibles para el desempeño y ejecución de las tareas. Sin embargo, se hace de suma importancia resumir las principales actividades que tendrá las personas del equipo de trabajo:</w:t>
      </w:r>
    </w:p>
    <w:p w:rsidRPr="00AE1B2B" w:rsidR="009D3FB5" w:rsidP="00163B94" w:rsidRDefault="009D3FB5" w14:paraId="0188F898"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8</w:t>
      </w:r>
      <w:r w:rsidRPr="00AE1B2B">
        <w:rPr>
          <w:rFonts w:ascii="Times New Roman" w:hAnsi="Times New Roman"/>
          <w:iCs/>
          <w:sz w:val="26"/>
          <w:szCs w:val="26"/>
        </w:rPr>
        <w:fldChar w:fldCharType="end"/>
      </w:r>
    </w:p>
    <w:p w:rsidRPr="00AE1B2B" w:rsidR="009D3FB5" w:rsidP="00163B94" w:rsidRDefault="009D3FB5" w14:paraId="7EB5935E"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Funciones específicas del Personal Juzgador</w:t>
      </w:r>
    </w:p>
    <w:tbl>
      <w:tblPr>
        <w:tblW w:w="0" w:type="auto"/>
        <w:tblCellMar>
          <w:left w:w="70" w:type="dxa"/>
          <w:right w:w="70" w:type="dxa"/>
        </w:tblCellMar>
        <w:tblLook w:val="04A0" w:firstRow="1" w:lastRow="0" w:firstColumn="1" w:lastColumn="0" w:noHBand="0" w:noVBand="1"/>
      </w:tblPr>
      <w:tblGrid>
        <w:gridCol w:w="1582"/>
        <w:gridCol w:w="7210"/>
      </w:tblGrid>
      <w:tr w:rsidRPr="00AE1B2B" w:rsidR="00AE1B2B" w:rsidTr="009D3FB5" w14:paraId="0A7686DC" w14:textId="77777777">
        <w:trPr>
          <w:trHeight w:val="312"/>
          <w:tblHeader/>
        </w:trPr>
        <w:tc>
          <w:tcPr>
            <w:tcW w:w="0" w:type="auto"/>
            <w:tcBorders>
              <w:top w:val="double" w:color="1F497D" w:sz="6" w:space="0"/>
              <w:left w:val="double" w:color="1F497D" w:sz="6" w:space="0"/>
              <w:bottom w:val="double" w:color="1F497D" w:sz="6" w:space="0"/>
              <w:right w:val="double" w:color="1F497D" w:sz="6" w:space="0"/>
            </w:tcBorders>
            <w:shd w:val="clear" w:color="000000" w:fill="0673A5"/>
            <w:vAlign w:val="center"/>
            <w:hideMark/>
          </w:tcPr>
          <w:p w:rsidRPr="00AE1B2B" w:rsidR="009D3FB5" w:rsidP="00163B94" w:rsidRDefault="009D3FB5" w14:paraId="16E3672D"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Personal</w:t>
            </w:r>
          </w:p>
        </w:tc>
        <w:tc>
          <w:tcPr>
            <w:tcW w:w="0" w:type="auto"/>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2CF9E943"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Funciones</w:t>
            </w:r>
          </w:p>
        </w:tc>
      </w:tr>
      <w:tr w:rsidRPr="00AE1B2B" w:rsidR="00AE1B2B" w:rsidTr="009D3FB5" w14:paraId="78562336" w14:textId="77777777">
        <w:trPr>
          <w:trHeight w:val="300"/>
        </w:trPr>
        <w:tc>
          <w:tcPr>
            <w:tcW w:w="0" w:type="auto"/>
            <w:vMerge w:val="restart"/>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00205F65"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val="es-ES" w:eastAsia="es-CR"/>
              </w:rPr>
              <w:t>Juezas o Jueces</w:t>
            </w:r>
          </w:p>
        </w:tc>
        <w:tc>
          <w:tcPr>
            <w:tcW w:w="0" w:type="auto"/>
            <w:tcBorders>
              <w:top w:val="nil"/>
              <w:left w:val="nil"/>
              <w:bottom w:val="nil"/>
              <w:right w:val="double" w:color="1F497D" w:sz="6" w:space="0"/>
            </w:tcBorders>
            <w:shd w:val="clear" w:color="auto" w:fill="auto"/>
            <w:vAlign w:val="center"/>
            <w:hideMark/>
          </w:tcPr>
          <w:p w:rsidRPr="00AE1B2B" w:rsidR="009D3FB5" w:rsidP="00163B94" w:rsidRDefault="009D3FB5" w14:paraId="74F86561" w14:textId="77777777">
            <w:pPr>
              <w:spacing w:before="120" w:after="120"/>
              <w:rPr>
                <w:rFonts w:ascii="Times New Roman" w:hAnsi="Times New Roman" w:cs="Times New Roman"/>
                <w:lang w:eastAsia="es-CR"/>
              </w:rPr>
            </w:pPr>
            <w:r w:rsidRPr="00AE1B2B">
              <w:rPr>
                <w:rFonts w:ascii="Times New Roman" w:hAnsi="Times New Roman" w:cs="Times New Roman"/>
                <w:lang w:val="es-ES" w:eastAsia="es-CR"/>
              </w:rPr>
              <w:t>•Estudio de expedientes.</w:t>
            </w:r>
          </w:p>
        </w:tc>
      </w:tr>
      <w:tr w:rsidRPr="00AE1B2B" w:rsidR="00AE1B2B" w:rsidTr="009D3FB5" w14:paraId="29573DB8" w14:textId="77777777">
        <w:trPr>
          <w:trHeight w:val="288"/>
        </w:trPr>
        <w:tc>
          <w:tcPr>
            <w:tcW w:w="0" w:type="auto"/>
            <w:vMerge/>
            <w:tcBorders>
              <w:top w:val="nil"/>
              <w:left w:val="double" w:color="1F497D" w:sz="6" w:space="0"/>
              <w:bottom w:val="double" w:color="1F497D" w:sz="6" w:space="0"/>
              <w:right w:val="double" w:color="1F497D" w:sz="6" w:space="0"/>
            </w:tcBorders>
            <w:vAlign w:val="center"/>
            <w:hideMark/>
          </w:tcPr>
          <w:p w:rsidRPr="00AE1B2B" w:rsidR="009D3FB5" w:rsidP="00163B94" w:rsidRDefault="009D3FB5" w14:paraId="1B91C947" w14:textId="77777777">
            <w:pPr>
              <w:spacing w:before="120" w:after="120"/>
              <w:rPr>
                <w:rFonts w:ascii="Times New Roman" w:hAnsi="Times New Roman" w:cs="Times New Roman"/>
                <w:b/>
                <w:bCs/>
                <w:lang w:eastAsia="es-CR"/>
              </w:rPr>
            </w:pPr>
          </w:p>
        </w:tc>
        <w:tc>
          <w:tcPr>
            <w:tcW w:w="0" w:type="auto"/>
            <w:tcBorders>
              <w:top w:val="nil"/>
              <w:left w:val="nil"/>
              <w:bottom w:val="nil"/>
              <w:right w:val="double" w:color="1F497D" w:sz="6" w:space="0"/>
            </w:tcBorders>
            <w:shd w:val="clear" w:color="auto" w:fill="auto"/>
            <w:vAlign w:val="center"/>
            <w:hideMark/>
          </w:tcPr>
          <w:p w:rsidRPr="00AE1B2B" w:rsidR="009D3FB5" w:rsidP="00163B94" w:rsidRDefault="009D3FB5" w14:paraId="42E3699B" w14:textId="77777777">
            <w:pPr>
              <w:spacing w:before="120" w:after="120"/>
              <w:rPr>
                <w:rFonts w:ascii="Times New Roman" w:hAnsi="Times New Roman" w:cs="Times New Roman"/>
                <w:lang w:eastAsia="es-CR"/>
              </w:rPr>
            </w:pPr>
            <w:r w:rsidRPr="00AE1B2B">
              <w:rPr>
                <w:rFonts w:ascii="Times New Roman" w:hAnsi="Times New Roman" w:cs="Times New Roman"/>
                <w:lang w:val="es-ES" w:eastAsia="es-CR"/>
              </w:rPr>
              <w:t>•Dictar sentencia en materia Agrario</w:t>
            </w:r>
          </w:p>
        </w:tc>
      </w:tr>
      <w:tr w:rsidRPr="00AE1B2B" w:rsidR="00AE1B2B" w:rsidTr="009D3FB5" w14:paraId="750825B5" w14:textId="77777777">
        <w:trPr>
          <w:trHeight w:val="288"/>
        </w:trPr>
        <w:tc>
          <w:tcPr>
            <w:tcW w:w="0" w:type="auto"/>
            <w:vMerge/>
            <w:tcBorders>
              <w:top w:val="nil"/>
              <w:left w:val="double" w:color="1F497D" w:sz="6" w:space="0"/>
              <w:bottom w:val="double" w:color="1F497D" w:sz="6" w:space="0"/>
              <w:right w:val="double" w:color="1F497D" w:sz="6" w:space="0"/>
            </w:tcBorders>
            <w:vAlign w:val="center"/>
            <w:hideMark/>
          </w:tcPr>
          <w:p w:rsidRPr="00AE1B2B" w:rsidR="009D3FB5" w:rsidP="00163B94" w:rsidRDefault="009D3FB5" w14:paraId="12E79097" w14:textId="77777777">
            <w:pPr>
              <w:spacing w:before="120" w:after="120"/>
              <w:rPr>
                <w:rFonts w:ascii="Times New Roman" w:hAnsi="Times New Roman" w:cs="Times New Roman"/>
                <w:b/>
                <w:bCs/>
                <w:lang w:eastAsia="es-CR"/>
              </w:rPr>
            </w:pPr>
          </w:p>
        </w:tc>
        <w:tc>
          <w:tcPr>
            <w:tcW w:w="0" w:type="auto"/>
            <w:tcBorders>
              <w:top w:val="nil"/>
              <w:left w:val="nil"/>
              <w:bottom w:val="nil"/>
              <w:right w:val="double" w:color="1F497D" w:sz="6" w:space="0"/>
            </w:tcBorders>
            <w:shd w:val="clear" w:color="auto" w:fill="auto"/>
            <w:vAlign w:val="center"/>
            <w:hideMark/>
          </w:tcPr>
          <w:p w:rsidRPr="00AE1B2B" w:rsidR="009D3FB5" w:rsidP="00163B94" w:rsidRDefault="009D3FB5" w14:paraId="58A2B50A" w14:textId="77777777">
            <w:pPr>
              <w:spacing w:before="120" w:after="120"/>
              <w:rPr>
                <w:rFonts w:ascii="Times New Roman" w:hAnsi="Times New Roman" w:cs="Times New Roman"/>
                <w:lang w:eastAsia="es-CR"/>
              </w:rPr>
            </w:pPr>
            <w:r w:rsidRPr="00AE1B2B">
              <w:rPr>
                <w:rFonts w:ascii="Times New Roman" w:hAnsi="Times New Roman" w:cs="Times New Roman"/>
                <w:lang w:val="es-ES" w:eastAsia="es-CR"/>
              </w:rPr>
              <w:t>•Incorporar proyectos en los sistemas correspondientes.</w:t>
            </w:r>
          </w:p>
        </w:tc>
      </w:tr>
      <w:tr w:rsidRPr="00AE1B2B" w:rsidR="00AE1B2B" w:rsidTr="009D3FB5" w14:paraId="60764660" w14:textId="77777777">
        <w:trPr>
          <w:trHeight w:val="288"/>
        </w:trPr>
        <w:tc>
          <w:tcPr>
            <w:tcW w:w="0" w:type="auto"/>
            <w:vMerge/>
            <w:tcBorders>
              <w:top w:val="nil"/>
              <w:left w:val="double" w:color="1F497D" w:sz="6" w:space="0"/>
              <w:bottom w:val="double" w:color="1F497D" w:sz="6" w:space="0"/>
              <w:right w:val="double" w:color="1F497D" w:sz="6" w:space="0"/>
            </w:tcBorders>
            <w:vAlign w:val="center"/>
            <w:hideMark/>
          </w:tcPr>
          <w:p w:rsidRPr="00AE1B2B" w:rsidR="009D3FB5" w:rsidP="00163B94" w:rsidRDefault="009D3FB5" w14:paraId="549B923B" w14:textId="77777777">
            <w:pPr>
              <w:spacing w:before="120" w:after="120"/>
              <w:rPr>
                <w:rFonts w:ascii="Times New Roman" w:hAnsi="Times New Roman" w:cs="Times New Roman"/>
                <w:b/>
                <w:bCs/>
                <w:lang w:eastAsia="es-CR"/>
              </w:rPr>
            </w:pPr>
          </w:p>
        </w:tc>
        <w:tc>
          <w:tcPr>
            <w:tcW w:w="0" w:type="auto"/>
            <w:tcBorders>
              <w:top w:val="nil"/>
              <w:left w:val="nil"/>
              <w:bottom w:val="nil"/>
              <w:right w:val="double" w:color="1F497D" w:sz="6" w:space="0"/>
            </w:tcBorders>
            <w:shd w:val="clear" w:color="auto" w:fill="auto"/>
            <w:vAlign w:val="center"/>
            <w:hideMark/>
          </w:tcPr>
          <w:p w:rsidRPr="00AE1B2B" w:rsidR="009D3FB5" w:rsidP="00163B94" w:rsidRDefault="009D3FB5" w14:paraId="6F45B67A" w14:textId="77777777">
            <w:pPr>
              <w:spacing w:before="120" w:after="120"/>
              <w:rPr>
                <w:rFonts w:ascii="Times New Roman" w:hAnsi="Times New Roman" w:cs="Times New Roman"/>
                <w:lang w:eastAsia="es-CR"/>
              </w:rPr>
            </w:pPr>
            <w:r w:rsidRPr="00AE1B2B">
              <w:rPr>
                <w:rFonts w:ascii="Times New Roman" w:hAnsi="Times New Roman" w:cs="Times New Roman"/>
                <w:lang w:val="es-ES" w:eastAsia="es-CR"/>
              </w:rPr>
              <w:t>•Realizar el registro de la resolución en el Escritorio Virtual.</w:t>
            </w:r>
          </w:p>
        </w:tc>
      </w:tr>
      <w:tr w:rsidRPr="00AE1B2B" w:rsidR="00AE1B2B" w:rsidTr="009D3FB5" w14:paraId="56B25903" w14:textId="77777777">
        <w:trPr>
          <w:trHeight w:val="288"/>
        </w:trPr>
        <w:tc>
          <w:tcPr>
            <w:tcW w:w="0" w:type="auto"/>
            <w:vMerge/>
            <w:tcBorders>
              <w:top w:val="nil"/>
              <w:left w:val="double" w:color="1F497D" w:sz="6" w:space="0"/>
              <w:bottom w:val="double" w:color="1F497D" w:sz="6" w:space="0"/>
              <w:right w:val="double" w:color="1F497D" w:sz="6" w:space="0"/>
            </w:tcBorders>
            <w:vAlign w:val="center"/>
            <w:hideMark/>
          </w:tcPr>
          <w:p w:rsidRPr="00AE1B2B" w:rsidR="009D3FB5" w:rsidP="00163B94" w:rsidRDefault="009D3FB5" w14:paraId="3476CBFC" w14:textId="77777777">
            <w:pPr>
              <w:spacing w:before="120" w:after="120"/>
              <w:rPr>
                <w:rFonts w:ascii="Times New Roman" w:hAnsi="Times New Roman" w:cs="Times New Roman"/>
                <w:b/>
                <w:bCs/>
                <w:lang w:eastAsia="es-CR"/>
              </w:rPr>
            </w:pPr>
          </w:p>
        </w:tc>
        <w:tc>
          <w:tcPr>
            <w:tcW w:w="0" w:type="auto"/>
            <w:tcBorders>
              <w:top w:val="nil"/>
              <w:left w:val="nil"/>
              <w:bottom w:val="nil"/>
              <w:right w:val="double" w:color="1F497D" w:sz="6" w:space="0"/>
            </w:tcBorders>
            <w:shd w:val="clear" w:color="auto" w:fill="auto"/>
            <w:vAlign w:val="bottom"/>
            <w:hideMark/>
          </w:tcPr>
          <w:p w:rsidRPr="00AE1B2B" w:rsidR="009D3FB5" w:rsidP="00163B94" w:rsidRDefault="009D3FB5" w14:paraId="4C7C46BB"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•Realización de Audiencias tanto dentro como fuera del Despacho</w:t>
            </w:r>
          </w:p>
        </w:tc>
      </w:tr>
      <w:tr w:rsidRPr="00AE1B2B" w:rsidR="00AE1B2B" w:rsidTr="009D3FB5" w14:paraId="25546EE2" w14:textId="77777777">
        <w:trPr>
          <w:trHeight w:val="288"/>
        </w:trPr>
        <w:tc>
          <w:tcPr>
            <w:tcW w:w="0" w:type="auto"/>
            <w:vMerge/>
            <w:tcBorders>
              <w:top w:val="nil"/>
              <w:left w:val="double" w:color="1F497D" w:sz="6" w:space="0"/>
              <w:bottom w:val="double" w:color="1F497D" w:sz="6" w:space="0"/>
              <w:right w:val="double" w:color="1F497D" w:sz="6" w:space="0"/>
            </w:tcBorders>
            <w:vAlign w:val="center"/>
            <w:hideMark/>
          </w:tcPr>
          <w:p w:rsidRPr="00AE1B2B" w:rsidR="009D3FB5" w:rsidP="00163B94" w:rsidRDefault="009D3FB5" w14:paraId="130DA335" w14:textId="77777777">
            <w:pPr>
              <w:spacing w:before="120" w:after="120"/>
              <w:rPr>
                <w:rFonts w:ascii="Times New Roman" w:hAnsi="Times New Roman" w:cs="Times New Roman"/>
                <w:b/>
                <w:bCs/>
                <w:lang w:eastAsia="es-CR"/>
              </w:rPr>
            </w:pPr>
          </w:p>
        </w:tc>
        <w:tc>
          <w:tcPr>
            <w:tcW w:w="0" w:type="auto"/>
            <w:tcBorders>
              <w:top w:val="nil"/>
              <w:left w:val="nil"/>
              <w:bottom w:val="nil"/>
              <w:right w:val="double" w:color="1F497D" w:sz="6" w:space="0"/>
            </w:tcBorders>
            <w:shd w:val="clear" w:color="auto" w:fill="auto"/>
            <w:vAlign w:val="center"/>
            <w:hideMark/>
          </w:tcPr>
          <w:p w:rsidRPr="00AE1B2B" w:rsidR="009D3FB5" w:rsidP="00163B94" w:rsidRDefault="009D3FB5" w14:paraId="0D3AD6F0" w14:textId="77777777">
            <w:pPr>
              <w:spacing w:before="120" w:after="120"/>
              <w:rPr>
                <w:rFonts w:ascii="Times New Roman" w:hAnsi="Times New Roman" w:cs="Times New Roman"/>
                <w:lang w:eastAsia="es-CR"/>
              </w:rPr>
            </w:pPr>
            <w:r w:rsidRPr="00AE1B2B">
              <w:rPr>
                <w:rFonts w:ascii="Times New Roman" w:hAnsi="Times New Roman" w:cs="Times New Roman"/>
                <w:lang w:val="es-ES" w:eastAsia="es-CR"/>
              </w:rPr>
              <w:t>•Firmar sentencias de forma electrónica o digital.</w:t>
            </w:r>
          </w:p>
        </w:tc>
      </w:tr>
      <w:tr w:rsidRPr="00AE1B2B" w:rsidR="00AE1B2B" w:rsidTr="009D3FB5" w14:paraId="507417C0" w14:textId="77777777">
        <w:trPr>
          <w:trHeight w:val="576"/>
        </w:trPr>
        <w:tc>
          <w:tcPr>
            <w:tcW w:w="0" w:type="auto"/>
            <w:vMerge/>
            <w:tcBorders>
              <w:top w:val="nil"/>
              <w:left w:val="double" w:color="1F497D" w:sz="6" w:space="0"/>
              <w:bottom w:val="double" w:color="1F497D" w:sz="6" w:space="0"/>
              <w:right w:val="double" w:color="1F497D" w:sz="6" w:space="0"/>
            </w:tcBorders>
            <w:vAlign w:val="center"/>
            <w:hideMark/>
          </w:tcPr>
          <w:p w:rsidRPr="00AE1B2B" w:rsidR="009D3FB5" w:rsidP="00163B94" w:rsidRDefault="009D3FB5" w14:paraId="332EA8B2" w14:textId="77777777">
            <w:pPr>
              <w:spacing w:before="120" w:after="120"/>
              <w:rPr>
                <w:rFonts w:ascii="Times New Roman" w:hAnsi="Times New Roman" w:cs="Times New Roman"/>
                <w:b/>
                <w:bCs/>
                <w:lang w:eastAsia="es-CR"/>
              </w:rPr>
            </w:pPr>
          </w:p>
        </w:tc>
        <w:tc>
          <w:tcPr>
            <w:tcW w:w="0" w:type="auto"/>
            <w:tcBorders>
              <w:top w:val="nil"/>
              <w:left w:val="nil"/>
              <w:bottom w:val="nil"/>
              <w:right w:val="double" w:color="1F497D" w:sz="6" w:space="0"/>
            </w:tcBorders>
            <w:shd w:val="clear" w:color="auto" w:fill="auto"/>
            <w:vAlign w:val="center"/>
            <w:hideMark/>
          </w:tcPr>
          <w:p w:rsidRPr="00AE1B2B" w:rsidR="009D3FB5" w:rsidP="00163B94" w:rsidRDefault="009D3FB5" w14:paraId="200A9147" w14:textId="77777777">
            <w:pPr>
              <w:spacing w:before="120" w:after="120"/>
              <w:rPr>
                <w:rFonts w:ascii="Times New Roman" w:hAnsi="Times New Roman" w:cs="Times New Roman"/>
                <w:lang w:eastAsia="es-CR"/>
              </w:rPr>
            </w:pPr>
            <w:r w:rsidRPr="00AE1B2B">
              <w:rPr>
                <w:rFonts w:ascii="Times New Roman" w:hAnsi="Times New Roman" w:cs="Times New Roman"/>
                <w:lang w:val="es-ES" w:eastAsia="es-CR"/>
              </w:rPr>
              <w:t>•Atender al público, en caso de que se requiera por parte de las personas usuarias.</w:t>
            </w:r>
          </w:p>
        </w:tc>
      </w:tr>
      <w:tr w:rsidRPr="00AE1B2B" w:rsidR="00AE1B2B" w:rsidTr="009D3FB5" w14:paraId="2627ADAB" w14:textId="77777777">
        <w:trPr>
          <w:trHeight w:val="300"/>
        </w:trPr>
        <w:tc>
          <w:tcPr>
            <w:tcW w:w="0" w:type="auto"/>
            <w:vMerge/>
            <w:tcBorders>
              <w:top w:val="nil"/>
              <w:left w:val="double" w:color="1F497D" w:sz="6" w:space="0"/>
              <w:bottom w:val="double" w:color="1F497D" w:sz="6" w:space="0"/>
              <w:right w:val="double" w:color="1F497D" w:sz="6" w:space="0"/>
            </w:tcBorders>
            <w:vAlign w:val="center"/>
            <w:hideMark/>
          </w:tcPr>
          <w:p w:rsidRPr="00AE1B2B" w:rsidR="009D3FB5" w:rsidP="00163B94" w:rsidRDefault="009D3FB5" w14:paraId="10BFFB1E" w14:textId="77777777">
            <w:pPr>
              <w:spacing w:before="120" w:after="120"/>
              <w:rPr>
                <w:rFonts w:ascii="Times New Roman" w:hAnsi="Times New Roman" w:cs="Times New Roman"/>
                <w:b/>
                <w:bCs/>
                <w:lang w:eastAsia="es-CR"/>
              </w:rPr>
            </w:pP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01163A0" w14:textId="77777777">
            <w:pPr>
              <w:spacing w:before="120" w:after="120"/>
              <w:rPr>
                <w:rFonts w:ascii="Times New Roman" w:hAnsi="Times New Roman" w:cs="Times New Roman"/>
                <w:lang w:eastAsia="es-CR"/>
              </w:rPr>
            </w:pPr>
            <w:r w:rsidRPr="00AE1B2B">
              <w:rPr>
                <w:rFonts w:ascii="Times New Roman" w:hAnsi="Times New Roman" w:cs="Times New Roman"/>
                <w:lang w:val="es-ES" w:eastAsia="es-CR"/>
              </w:rPr>
              <w:t xml:space="preserve">•Demás tareas que define el Manual de Puestos del Poder Judicial. </w:t>
            </w:r>
          </w:p>
        </w:tc>
      </w:tr>
    </w:tbl>
    <w:p w:rsidRPr="00AE1B2B" w:rsidR="009D3FB5" w:rsidP="00163B94" w:rsidRDefault="009D3FB5" w14:paraId="5B3E49F8"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w:t>
      </w:r>
    </w:p>
    <w:p w:rsidRPr="00AE1B2B" w:rsidR="009D3FB5" w:rsidP="00163B94" w:rsidRDefault="009D3FB5" w14:paraId="7FA8888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relación con el Juzgado Mixto de Buenos Aries, informe 555-PLA-RH-MI-2020, realizado en abril del 2020 por la Dirección de Planificación, relacionado “Impacto organizacional y presupuestario en el Poder Judicial a partir de la promulgación del Nuevo Código Procesal Agrario para el 2021 Ley 9609”, se recomienda una plaza de persona técnica judicial con conocimiento en los dialectos Bribri y Cabécar, para la atención de las diferentes actividades del Juzgado, la cual va a ayudar con la atención de usuarios, tramitación de expedientes, acompañamiento a giras, entre otras. Esta plaza se estará recomendando en el informe de Presupuesto de Familia en el Poder Judicial a partir de la promulgación del Nuevo Código Procesal de Familia. </w:t>
      </w:r>
    </w:p>
    <w:p w:rsidRPr="00AE1B2B" w:rsidR="009D3FB5" w:rsidP="00163B94" w:rsidRDefault="009D3FB5" w14:paraId="7F8BAB2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Adicional, en el informe preliminar de Presupuesto 2022, de la Jurisdicción Especializada de Asuntos Indígenas, se propone la creación de toda una jurisdicción para la atención de asuntos indígenas. En el caso de Buenos Aires se propone la creación del </w:t>
      </w:r>
      <w:r w:rsidRPr="00AE1B2B">
        <w:rPr>
          <w:rFonts w:ascii="Times New Roman" w:hAnsi="Times New Roman" w:cs="Times New Roman"/>
          <w:sz w:val="26"/>
          <w:szCs w:val="26"/>
        </w:rPr>
        <w:lastRenderedPageBreak/>
        <w:t xml:space="preserve">Juzgado Especializado en Atención de Personas Indígenas de Buenos Aires, el cual absorbería la carga de trabajo del Juzgado mixto de Buenos Aires en asunto indígenas. En materia Agraria, para el 2019 ingresaron un total de 118 casos de la población indígena y para el 2020 disminuyó considerablemente en 43 casos. </w:t>
      </w:r>
    </w:p>
    <w:p w:rsidRPr="00AE1B2B" w:rsidR="009D3FB5" w:rsidP="00163B94" w:rsidRDefault="009D3FB5" w14:paraId="2C317226" w14:textId="77777777">
      <w:pPr>
        <w:spacing w:before="120" w:after="120"/>
        <w:ind w:left="851" w:right="851" w:firstLine="709"/>
        <w:jc w:val="both"/>
        <w:rPr>
          <w:rFonts w:ascii="Times New Roman" w:hAnsi="Times New Roman" w:cs="Times New Roman"/>
          <w:sz w:val="26"/>
          <w:szCs w:val="26"/>
        </w:rPr>
      </w:pPr>
      <w:bookmarkStart w:name="_Toc68688544" w:id="258"/>
      <w:r w:rsidRPr="00AE1B2B">
        <w:rPr>
          <w:rFonts w:ascii="Times New Roman" w:hAnsi="Times New Roman" w:cs="Times New Roman"/>
          <w:sz w:val="26"/>
          <w:szCs w:val="26"/>
        </w:rPr>
        <w:t>Análisis de Indicadores de Gestión de Juzgados Mixtos Agrarios</w:t>
      </w:r>
      <w:bookmarkEnd w:id="258"/>
    </w:p>
    <w:p w:rsidRPr="00AE1B2B" w:rsidR="009D3FB5" w:rsidP="00163B94" w:rsidRDefault="009D3FB5" w14:paraId="7FF4EF3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Es importante conocer la gestión y el avance que han tenido los Despachos de la Jurisdicción Agraria, a partir de la implementación de los Indicadores de Gestión. A continuación, el siguiente análisis de acuerdo con los datos generados en el periodo 2019 al 2020. </w:t>
      </w:r>
    </w:p>
    <w:p w:rsidRPr="00AE1B2B" w:rsidR="009D3FB5" w:rsidP="00163B94" w:rsidRDefault="009D3FB5" w14:paraId="728957B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bookmarkStart w:name="_Toc68688545" w:id="259"/>
      <w:r w:rsidRPr="00AE1B2B">
        <w:rPr>
          <w:rFonts w:ascii="Times New Roman" w:hAnsi="Times New Roman" w:cs="Times New Roman"/>
          <w:sz w:val="26"/>
          <w:szCs w:val="26"/>
        </w:rPr>
        <w:t>Carga de trabajo (casos entrados nuevos + reentrados)</w:t>
      </w:r>
      <w:bookmarkEnd w:id="259"/>
    </w:p>
    <w:p w:rsidRPr="00AE1B2B" w:rsidR="009D3FB5" w:rsidP="00163B94" w:rsidRDefault="009D3FB5" w14:paraId="19F7A9D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Los Juzgados han tenido una entrada con un comportamiento irregular en periodo 2019 al 2020, con una entrada promedio mensual de 34 y 29 casos respectivamente. </w:t>
      </w:r>
    </w:p>
    <w:p w:rsidRPr="00AE1B2B" w:rsidR="009D3FB5" w:rsidP="00163B94" w:rsidRDefault="009D3FB5" w14:paraId="4D3AFE7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siguiente gráfico muestra el comportamiento y comparación de un año al otro entre los Juzgados especializados en la materia: </w:t>
      </w:r>
    </w:p>
    <w:p w:rsidRPr="00AE1B2B" w:rsidR="009D3FB5" w:rsidP="00163B94" w:rsidRDefault="009D3FB5" w14:paraId="6B40C38A" w14:textId="77777777">
      <w:pPr>
        <w:pStyle w:val="Ttulo"/>
        <w:spacing w:before="120" w:after="120"/>
        <w:ind w:left="851" w:right="851" w:firstLine="709"/>
        <w:jc w:val="both"/>
        <w:rPr>
          <w:rFonts w:ascii="Times New Roman" w:hAnsi="Times New Roman"/>
          <w:iCs/>
          <w:sz w:val="26"/>
          <w:szCs w:val="26"/>
        </w:rPr>
      </w:pPr>
      <w:bookmarkStart w:name="_Hlk39740995" w:id="260"/>
    </w:p>
    <w:p w:rsidRPr="00AE1B2B" w:rsidR="009D3FB5" w:rsidP="00163B94" w:rsidRDefault="009D3FB5" w14:paraId="2E9A7AB2"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w:t>
      </w:r>
      <w:r w:rsidRPr="00AE1B2B">
        <w:rPr>
          <w:rFonts w:ascii="Times New Roman" w:hAnsi="Times New Roman"/>
          <w:iCs/>
          <w:sz w:val="26"/>
          <w:szCs w:val="26"/>
        </w:rPr>
        <w:fldChar w:fldCharType="end"/>
      </w:r>
    </w:p>
    <w:p w:rsidRPr="00AE1B2B" w:rsidR="009D3FB5" w:rsidP="00163B94" w:rsidRDefault="009D3FB5" w14:paraId="7761D85A"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Comportamiento de la Carga de Trabajo de los Juzgados Especializados en Materia Agraria en el Periodo 2019 al 2020</w:t>
      </w:r>
    </w:p>
    <w:bookmarkEnd w:id="260"/>
    <w:p w:rsidRPr="00AE1B2B" w:rsidR="009D3FB5" w:rsidP="00163B94" w:rsidRDefault="009D3FB5" w14:paraId="7FB5DECA" w14:textId="77777777">
      <w:pPr>
        <w:spacing w:before="120" w:after="120"/>
        <w:rPr>
          <w:rFonts w:ascii="Times New Roman" w:hAnsi="Times New Roman" w:cs="Times New Roman"/>
        </w:rPr>
      </w:pPr>
    </w:p>
    <w:p w:rsidRPr="00AE1B2B" w:rsidR="009D3FB5" w:rsidP="00163B94" w:rsidRDefault="009D3FB5" w14:paraId="7F30F360" w14:textId="77777777">
      <w:pPr>
        <w:spacing w:before="120" w:after="120"/>
        <w:ind w:left="851" w:right="851" w:firstLine="709"/>
        <w:jc w:val="both"/>
        <w:rPr>
          <w:rFonts w:ascii="Times New Roman" w:hAnsi="Times New Roman" w:cs="Times New Roman"/>
          <w:b/>
          <w:i/>
          <w:sz w:val="26"/>
          <w:szCs w:val="26"/>
        </w:rPr>
      </w:pPr>
      <w:bookmarkStart w:name="_Hlk39741153" w:id="261"/>
      <w:r w:rsidRPr="00AE1B2B">
        <w:rPr>
          <w:rFonts w:ascii="Times New Roman" w:hAnsi="Times New Roman" w:cs="Times New Roman"/>
          <w:noProof/>
          <w:lang w:val="en-US"/>
        </w:rPr>
        <w:lastRenderedPageBreak/>
        <w:drawing>
          <wp:inline distT="0" distB="0" distL="0" distR="0" wp14:anchorId="64470F32" wp14:editId="151ED14D">
            <wp:extent cx="5612130" cy="2964180"/>
            <wp:effectExtent l="0" t="0" r="7620" b="7620"/>
            <wp:docPr id="1212768282" name="Gráfico 1212768282">
              <a:extLst xmlns:a="http://schemas.openxmlformats.org/drawingml/2006/main">
                <a:ext uri="{FF2B5EF4-FFF2-40B4-BE49-F238E27FC236}">
                  <a16:creationId xmlns:a16="http://schemas.microsoft.com/office/drawing/2014/main" id="{C81672AF-A809-4465-9625-7B38B6DA68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r w:rsidRPr="00AE1B2B">
        <w:rPr>
          <w:rFonts w:ascii="Times New Roman" w:hAnsi="Times New Roman" w:cs="Times New Roman"/>
          <w:b/>
          <w:i/>
          <w:sz w:val="26"/>
          <w:szCs w:val="26"/>
        </w:rPr>
        <w:t xml:space="preserve">Fuente: Subproceso de Modernización Institucional con base en los Indicadores de Gestión y en los datos del sistema SIGMA, 2019 al 2020. </w:t>
      </w:r>
    </w:p>
    <w:bookmarkEnd w:id="261"/>
    <w:p w:rsidRPr="00AE1B2B" w:rsidR="009D3FB5" w:rsidP="00163B94" w:rsidRDefault="009D3FB5" w14:paraId="13F59DC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 acuerdo con el grafico, el Despacho que mayor ingreso presentó en el 2019, fue el Juzgado Agrario del Segundo Circuito Judicial de Guanacaste (Santa Cruz), con una entrada promedio mensual de 55. Para el 2020, hubo una reducción del 29%, con un promedio de entrada de 39 casos mensuales. Otra oficina que presentó un comportamiento similar es el Juzgado Agrario del Segundo Circuito Judicial de la Zona Atlántica (Pococí) el cual, para 2019 presentó un ingreso de 47 asuntos en promedio al mes y para el 2020 experimentó una reducción del 40%, con un promedio de ingreso del 28 caso al mes. </w:t>
      </w:r>
    </w:p>
    <w:p w:rsidRPr="00AE1B2B" w:rsidR="009D3FB5" w:rsidP="00163B94" w:rsidRDefault="009D3FB5" w14:paraId="50B3283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nivel general, el mismo comportamiento antes expuesto, es replicado en las diferentes oficinas del país, con excepción de los Juzgados de Puntarenas y Cartago, que para el 2020 obtuvieron un leve aumento en el ingreso promedio de dos (2).</w:t>
      </w:r>
    </w:p>
    <w:p w:rsidRPr="00AE1B2B" w:rsidR="009D3FB5" w:rsidP="00163B94" w:rsidRDefault="009D3FB5" w14:paraId="041AE46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Lo anterior fue de esperarse debido a la problemática mundial que se vive, a raíz de la pandemia por el COVID 19, el cual ha impactado en el ingreso de casos nuevos. </w:t>
      </w:r>
    </w:p>
    <w:p w:rsidRPr="00AE1B2B" w:rsidR="009D3FB5" w:rsidP="00163B94" w:rsidRDefault="009D3FB5" w14:paraId="16B836A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bookmarkStart w:name="_Toc68688546" w:id="262"/>
      <w:r w:rsidRPr="00AE1B2B">
        <w:rPr>
          <w:rFonts w:ascii="Times New Roman" w:hAnsi="Times New Roman" w:cs="Times New Roman"/>
          <w:sz w:val="26"/>
          <w:szCs w:val="26"/>
        </w:rPr>
        <w:t>Casos Terminados</w:t>
      </w:r>
      <w:bookmarkEnd w:id="262"/>
    </w:p>
    <w:p w:rsidRPr="00AE1B2B" w:rsidR="009D3FB5" w:rsidP="00163B94" w:rsidRDefault="009D3FB5" w14:paraId="34148CB7"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En relación con los casos terminados, los Juzgados han experimentado una disminución del 2019 al 2020, con un promedio de salida de 36 a 30 casos respectivamente. </w:t>
      </w:r>
    </w:p>
    <w:p w:rsidRPr="00AE1B2B" w:rsidR="009D3FB5" w:rsidP="00163B94" w:rsidRDefault="009D3FB5" w14:paraId="1367143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El siguiente gráfico muestra el comportamiento y comparación de un año al otro entre los Juzgados especializados en la materia: </w:t>
      </w:r>
    </w:p>
    <w:p w:rsidRPr="00AE1B2B" w:rsidR="009D3FB5" w:rsidP="00163B94" w:rsidRDefault="009D3FB5" w14:paraId="74800DC5"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2</w:t>
      </w:r>
      <w:r w:rsidRPr="00AE1B2B">
        <w:rPr>
          <w:rFonts w:ascii="Times New Roman" w:hAnsi="Times New Roman"/>
          <w:iCs/>
          <w:sz w:val="26"/>
          <w:szCs w:val="26"/>
        </w:rPr>
        <w:fldChar w:fldCharType="end"/>
      </w:r>
    </w:p>
    <w:p w:rsidRPr="00AE1B2B" w:rsidR="009D3FB5" w:rsidP="00163B94" w:rsidRDefault="009D3FB5" w14:paraId="6F9D45CF"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Comportamiento de los Casos Terminados de los Juzgados Especializados en Materia Agraria en el Periodo 2019 al 2020</w:t>
      </w:r>
    </w:p>
    <w:p w:rsidRPr="00AE1B2B" w:rsidR="009D3FB5" w:rsidP="00163B94" w:rsidRDefault="009D3FB5" w14:paraId="7F8C1127" w14:textId="77777777">
      <w:pPr>
        <w:spacing w:before="120" w:after="120"/>
        <w:rPr>
          <w:rFonts w:ascii="Times New Roman" w:hAnsi="Times New Roman" w:cs="Times New Roman"/>
          <w:noProof/>
        </w:rPr>
      </w:pPr>
      <w:r w:rsidRPr="00AE1B2B">
        <w:rPr>
          <w:rFonts w:ascii="Times New Roman" w:hAnsi="Times New Roman" w:cs="Times New Roman"/>
          <w:noProof/>
          <w:lang w:val="en-US"/>
        </w:rPr>
        <w:drawing>
          <wp:inline distT="0" distB="0" distL="0" distR="0" wp14:anchorId="5A502C2C" wp14:editId="50BB6C79">
            <wp:extent cx="5612130" cy="3032760"/>
            <wp:effectExtent l="0" t="0" r="7620" b="15240"/>
            <wp:docPr id="1212768283" name="Gráfico 1212768283">
              <a:extLst xmlns:a="http://schemas.openxmlformats.org/drawingml/2006/main">
                <a:ext uri="{FF2B5EF4-FFF2-40B4-BE49-F238E27FC236}">
                  <a16:creationId xmlns:a16="http://schemas.microsoft.com/office/drawing/2014/main" id="{5685BB7A-2D6E-4DA5-B3A4-A60CDE62CC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3"/>
              </a:graphicData>
            </a:graphic>
          </wp:inline>
        </w:drawing>
      </w:r>
    </w:p>
    <w:p w:rsidRPr="00AE1B2B" w:rsidR="009D3FB5" w:rsidP="00163B94" w:rsidRDefault="009D3FB5" w14:paraId="3B7B0838" w14:textId="77777777">
      <w:pPr>
        <w:tabs>
          <w:tab w:val="left" w:pos="188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con base a los Indicadores de Gestión y en los datos del sistema SIGMA, 2019 al 2020.</w:t>
      </w:r>
    </w:p>
    <w:p w:rsidRPr="00AE1B2B" w:rsidR="009D3FB5" w:rsidP="00163B94" w:rsidRDefault="009D3FB5" w14:paraId="79F71A57" w14:textId="6A40E398">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 la información anterior se desprende que, el 67% de los Juzgados experimentaron una reducción de los casos terminados en 2020 con relación al 2019, de los cuales el Juzgado Agrario de Pococí y Limón, fueron los que mayor impacto tuvieron, los cuales pasaron de 57 casos terminados en promedio en el 2019 a 29 y 37 casos respectivamente. El restante 33% de los Despachos si lograron terminar una cantidad mayor en el 2020 con respecto al 2019, de los cuales se puede considerar como los casos más representativos los Juzgados Agrarios de Cartago, Puntarenas y San Carlos, quienes terminaron un 24%, 17% y 15% respectivamente, de más que el año que le antecede.</w:t>
      </w:r>
      <w:r w:rsidRPr="00AE1B2B" w:rsidR="00BB7720">
        <w:rPr>
          <w:rFonts w:ascii="Times New Roman" w:hAnsi="Times New Roman" w:cs="Times New Roman"/>
          <w:sz w:val="26"/>
          <w:szCs w:val="26"/>
        </w:rPr>
        <w:t xml:space="preserve"> </w:t>
      </w:r>
    </w:p>
    <w:p w:rsidRPr="00AE1B2B" w:rsidR="009D3FB5" w:rsidP="00163B94" w:rsidRDefault="009D3FB5" w14:paraId="17BA7F2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Importante indicar que, el Juzgado Agrario de Puntarenas, Santa Cruz y Guápiles, contaron con colaboración por medio de planes de descongestionamiento de enero a junio del 2020, mediante la modalidad de licencias con goce de salario conforme al artículo 44 de la Ley Orgánica del Poder Judicial. </w:t>
      </w:r>
    </w:p>
    <w:p w:rsidRPr="00AE1B2B" w:rsidR="009D3FB5" w:rsidP="00163B94" w:rsidRDefault="009D3FB5" w14:paraId="68ADE00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Por otro lado los Juzgados Agrarios de Upala, Pérez Zeledón, Goicoechea, San Carlos, Alajuela y Limón, recibieron colaboración por parte del Centro de Apoyo, Coordinación y Mejoramiento de la Función Jurisdiccional (CACMFJ) en el dictado de sentencias </w:t>
      </w:r>
    </w:p>
    <w:p w:rsidRPr="00AE1B2B" w:rsidR="009D3FB5" w:rsidP="00163B94" w:rsidRDefault="009D3FB5" w14:paraId="7179327A" w14:textId="77777777">
      <w:pPr>
        <w:spacing w:before="120" w:after="120"/>
        <w:ind w:left="851" w:right="851" w:firstLine="709"/>
        <w:jc w:val="both"/>
        <w:rPr>
          <w:rFonts w:ascii="Times New Roman" w:hAnsi="Times New Roman" w:cs="Times New Roman"/>
          <w:sz w:val="26"/>
          <w:szCs w:val="26"/>
        </w:rPr>
      </w:pPr>
      <w:bookmarkStart w:name="_Toc68688547" w:id="263"/>
      <w:r w:rsidRPr="00AE1B2B">
        <w:rPr>
          <w:rFonts w:ascii="Times New Roman" w:hAnsi="Times New Roman" w:cs="Times New Roman"/>
          <w:sz w:val="26"/>
          <w:szCs w:val="26"/>
        </w:rPr>
        <w:t>Circulante Final</w:t>
      </w:r>
      <w:bookmarkEnd w:id="263"/>
    </w:p>
    <w:p w:rsidRPr="00AE1B2B" w:rsidR="009D3FB5" w:rsidP="00163B94" w:rsidRDefault="009D3FB5" w14:paraId="519277C4"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A pesar del momento que se vive a raíz de la pandemia mundial, siete (7) de los 12 Juzgados lograron reducir sus circulantes en el 2020, con relación al circulante final del 2019, lo cual provocó una diminución de 133 expedientes del circulante total de los Despachos especializados del país. El detalle se refleja en el siguiente gráfico.</w:t>
      </w:r>
    </w:p>
    <w:p w:rsidRPr="00AE1B2B" w:rsidR="009D3FB5" w:rsidP="00163B94" w:rsidRDefault="009D3FB5" w14:paraId="7B09875F"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3</w:t>
      </w:r>
      <w:r w:rsidRPr="00AE1B2B">
        <w:rPr>
          <w:rFonts w:ascii="Times New Roman" w:hAnsi="Times New Roman"/>
          <w:iCs/>
          <w:sz w:val="26"/>
          <w:szCs w:val="26"/>
        </w:rPr>
        <w:fldChar w:fldCharType="end"/>
      </w:r>
    </w:p>
    <w:p w:rsidRPr="00AE1B2B" w:rsidR="009D3FB5" w:rsidP="00163B94" w:rsidRDefault="009D3FB5" w14:paraId="379B3A4D"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Comportamiento del Circulante Final de los Juzgados Especializados en Materia Agraria en el Periodo 2019 al 2020</w:t>
      </w:r>
    </w:p>
    <w:p w:rsidRPr="00AE1B2B" w:rsidR="009D3FB5" w:rsidP="00163B94" w:rsidRDefault="009D3FB5" w14:paraId="5918804D" w14:textId="77777777">
      <w:pPr>
        <w:spacing w:before="120" w:after="120"/>
        <w:rPr>
          <w:rFonts w:ascii="Times New Roman" w:hAnsi="Times New Roman" w:cs="Times New Roman"/>
          <w:noProof/>
        </w:rPr>
      </w:pPr>
      <w:r w:rsidRPr="00AE1B2B">
        <w:rPr>
          <w:rFonts w:ascii="Times New Roman" w:hAnsi="Times New Roman" w:cs="Times New Roman"/>
          <w:noProof/>
          <w:lang w:val="en-US"/>
        </w:rPr>
        <w:drawing>
          <wp:inline distT="0" distB="0" distL="0" distR="0" wp14:anchorId="413D4BA7" wp14:editId="678C1C82">
            <wp:extent cx="5855970" cy="3185160"/>
            <wp:effectExtent l="0" t="0" r="11430" b="15240"/>
            <wp:docPr id="1212768284" name="Gráfico 1212768284">
              <a:extLst xmlns:a="http://schemas.openxmlformats.org/drawingml/2006/main">
                <a:ext uri="{FF2B5EF4-FFF2-40B4-BE49-F238E27FC236}">
                  <a16:creationId xmlns:a16="http://schemas.microsoft.com/office/drawing/2014/main" id="{7779F33F-6E14-4E5E-94C7-A039C58715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4"/>
              </a:graphicData>
            </a:graphic>
          </wp:inline>
        </w:drawing>
      </w:r>
    </w:p>
    <w:p w:rsidRPr="00AE1B2B" w:rsidR="009D3FB5" w:rsidP="00163B94" w:rsidRDefault="009D3FB5" w14:paraId="1BFEEC22" w14:textId="77777777">
      <w:pPr>
        <w:tabs>
          <w:tab w:val="left" w:pos="188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con base a los Indicadores de Gestión y en los datos del sistema SIGMA, 2019 al 2020.</w:t>
      </w:r>
    </w:p>
    <w:p w:rsidRPr="00AE1B2B" w:rsidR="009D3FB5" w:rsidP="00163B94" w:rsidRDefault="009D3FB5" w14:paraId="1DB585E2" w14:textId="77777777">
      <w:pPr>
        <w:tabs>
          <w:tab w:val="left" w:pos="284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reducción más significativa se realizó por parte el Juzgado Agrario del Primer Circuito Judicial de Guanacaste (Liberia), que para finales del 2019 contó con 514 expedientes dentro de su circulante y para finales del 2020 lo redujo a 413 expedientes, un 20% menor que representan 101 expedientes menos. Otra reducción importante la generó el Juzgado Agrario de Puntarenas el cual redujo </w:t>
      </w:r>
      <w:r w:rsidRPr="00AE1B2B">
        <w:rPr>
          <w:rFonts w:ascii="Times New Roman" w:hAnsi="Times New Roman" w:cs="Times New Roman"/>
          <w:sz w:val="26"/>
          <w:szCs w:val="26"/>
        </w:rPr>
        <w:lastRenderedPageBreak/>
        <w:t xml:space="preserve">su circulante en un 18%. Otros Despachos que redujeron el circulante fueron el de Goicoechea con un 15%, San Carlos y Pérez Zeledón un 2%; y el Juzgado de Pococí un 1%. </w:t>
      </w:r>
    </w:p>
    <w:p w:rsidRPr="00AE1B2B" w:rsidR="009D3FB5" w:rsidP="00163B94" w:rsidRDefault="009D3FB5" w14:paraId="57DDE50C" w14:textId="77777777">
      <w:pPr>
        <w:spacing w:before="120" w:after="120"/>
        <w:ind w:left="851" w:right="851" w:firstLine="709"/>
        <w:jc w:val="both"/>
        <w:rPr>
          <w:rFonts w:ascii="Times New Roman" w:hAnsi="Times New Roman" w:cs="Times New Roman"/>
          <w:sz w:val="26"/>
          <w:szCs w:val="26"/>
        </w:rPr>
      </w:pPr>
      <w:bookmarkStart w:name="_Toc68688548" w:id="264"/>
      <w:bookmarkStart w:name="_Hlk63414873" w:id="265"/>
      <w:r w:rsidRPr="00AE1B2B">
        <w:rPr>
          <w:rFonts w:ascii="Times New Roman" w:hAnsi="Times New Roman" w:cs="Times New Roman"/>
          <w:sz w:val="26"/>
          <w:szCs w:val="26"/>
        </w:rPr>
        <w:t>Plazo de Espera de Dictado de Sentencia</w:t>
      </w:r>
      <w:bookmarkEnd w:id="264"/>
    </w:p>
    <w:bookmarkEnd w:id="265"/>
    <w:p w:rsidRPr="00AE1B2B" w:rsidR="009D3FB5" w:rsidP="00163B94" w:rsidRDefault="009D3FB5" w14:paraId="76A8F52B"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El Plazo de Espera de Dictado de Sentencia es un indicador que permite conocer la dinámica de los Juzgados con respecto al tiempo que otorga en el fallo de los procesos, el cual viene desde el momento que se envía el expediente a fallar hasta su sentencia. Los datos que se obtienen a nivel de los Juzgados especializados son dispersos, ya que los plazos promedios varían de un Despacho a otro, por lo que a continuación, se visualiza el comportamiento y comparación en los últimos dos (2) años. </w:t>
      </w:r>
    </w:p>
    <w:p w:rsidRPr="00AE1B2B" w:rsidR="009D3FB5" w:rsidP="00163B94" w:rsidRDefault="009D3FB5" w14:paraId="4AD25D78"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4</w:t>
      </w:r>
      <w:r w:rsidRPr="00AE1B2B">
        <w:rPr>
          <w:rFonts w:ascii="Times New Roman" w:hAnsi="Times New Roman"/>
          <w:iCs/>
          <w:sz w:val="26"/>
          <w:szCs w:val="26"/>
        </w:rPr>
        <w:fldChar w:fldCharType="end"/>
      </w:r>
    </w:p>
    <w:p w:rsidRPr="00AE1B2B" w:rsidR="009D3FB5" w:rsidP="00163B94" w:rsidRDefault="009D3FB5" w14:paraId="03589F56"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Comportamiento del Plazo de Espera de Dictado de Sentencia de los Juzgados Especializados en Materia Agraria en el Periodo 2019 al 2020</w:t>
      </w:r>
    </w:p>
    <w:p w:rsidRPr="00AE1B2B" w:rsidR="009D3FB5" w:rsidP="00163B94" w:rsidRDefault="009D3FB5" w14:paraId="79E55871" w14:textId="77777777">
      <w:pPr>
        <w:spacing w:before="120" w:after="120"/>
        <w:rPr>
          <w:rFonts w:ascii="Times New Roman" w:hAnsi="Times New Roman" w:cs="Times New Roman"/>
          <w:lang w:val="es-MX"/>
        </w:rPr>
      </w:pPr>
      <w:r w:rsidRPr="00AE1B2B">
        <w:rPr>
          <w:rFonts w:ascii="Times New Roman" w:hAnsi="Times New Roman" w:cs="Times New Roman"/>
          <w:noProof/>
          <w:lang w:val="en-US"/>
        </w:rPr>
        <w:drawing>
          <wp:inline distT="0" distB="0" distL="0" distR="0" wp14:anchorId="052E9513" wp14:editId="6719B851">
            <wp:extent cx="5612130" cy="2909570"/>
            <wp:effectExtent l="0" t="0" r="7620" b="5080"/>
            <wp:docPr id="1212768285" name="Gráfico 1212768285">
              <a:extLst xmlns:a="http://schemas.openxmlformats.org/drawingml/2006/main">
                <a:ext uri="{FF2B5EF4-FFF2-40B4-BE49-F238E27FC236}">
                  <a16:creationId xmlns:a16="http://schemas.microsoft.com/office/drawing/2014/main" id="{3E956E28-30FC-48D6-9D27-BCAC41E15D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5"/>
              </a:graphicData>
            </a:graphic>
          </wp:inline>
        </w:drawing>
      </w:r>
    </w:p>
    <w:p w:rsidRPr="00AE1B2B" w:rsidR="009D3FB5" w:rsidP="00163B94" w:rsidRDefault="009D3FB5" w14:paraId="6E7EDBB6" w14:textId="77777777">
      <w:pPr>
        <w:tabs>
          <w:tab w:val="left" w:pos="188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con base a los Indicadores de Gestión y en los datos del sistema SIGMA, 2019 al 2020.</w:t>
      </w:r>
    </w:p>
    <w:p w:rsidRPr="00AE1B2B" w:rsidR="009D3FB5" w:rsidP="00163B94" w:rsidRDefault="009D3FB5" w14:paraId="13BFCE47" w14:textId="77777777">
      <w:pPr>
        <w:tabs>
          <w:tab w:val="left" w:pos="284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 lo anterior se puede observar que existen Juzgados que han logrado reducir considerablemente este plazo de un año al otro, un ejemplo muy representativo es el caso del Juzgado Agrario de Puntarenas, que se evidencia una reducción de hasta 289 días en promedio en el 2020 con respecto el año que le antecede. Otro caso similar se da en el Juzgado Agrario de Liberia, el cual para 2019 </w:t>
      </w:r>
      <w:r w:rsidRPr="00AE1B2B">
        <w:rPr>
          <w:rFonts w:ascii="Times New Roman" w:hAnsi="Times New Roman" w:cs="Times New Roman"/>
          <w:sz w:val="26"/>
          <w:szCs w:val="26"/>
        </w:rPr>
        <w:lastRenderedPageBreak/>
        <w:t xml:space="preserve">contó con un plazo promedio 269 días y para el 2020 se logra reducir hasta en 49 días. El Juzgado de Corredores pasa de un plazo promedio de 190 días a 103 días al final del 2020. Otros Despachos que logran la reducción de este indicador son los Juzgados Agrarios de Pococí, Goicoechea, Santa Cruz, Pérez Zeledón y Cartago. </w:t>
      </w:r>
    </w:p>
    <w:p w:rsidRPr="00AE1B2B" w:rsidR="009D3FB5" w:rsidP="00163B94" w:rsidRDefault="009D3FB5" w14:paraId="405948B1" w14:textId="77777777">
      <w:pPr>
        <w:tabs>
          <w:tab w:val="left" w:pos="284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Aunque la gestión de estos Juzgados ha sido buena y en otros casos sobresalientes, es importante mantener esta constancia, en la cual se busca la mejora continua, en busca de la reducción de tiempos de atención y se espera que a corto y mediano plazo las oficinas logren acercarse al plazo definido de atención para este indicador, que se encuentra entre cinco (5) y siente (7) días. </w:t>
      </w:r>
    </w:p>
    <w:p w:rsidRPr="00AE1B2B" w:rsidR="009D3FB5" w:rsidP="00163B94" w:rsidRDefault="009D3FB5" w14:paraId="3C469268" w14:textId="77777777">
      <w:pPr>
        <w:tabs>
          <w:tab w:val="left" w:pos="284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Caso contrario ocurre en el Juzgado Agrario de Alajuela, que en el 2019 obtuvo un plazo promedio de 241 días y para finales del 2020 concluye con un promedio de 565 días, es decir aumentó 134% ese dato. Otros Juzgados que han aumentado el plazo de este indicador es el ubicado en San Carlos, que pasó de 144 días a 148 días en promedio, el Juzgado Agrario de San Ramón, que pasa de 18 a 30 días en promedio al finalizar el año.</w:t>
      </w:r>
    </w:p>
    <w:p w:rsidRPr="00AE1B2B" w:rsidR="009D3FB5" w:rsidP="00163B94" w:rsidRDefault="009D3FB5" w14:paraId="7A6B6D07" w14:textId="77777777">
      <w:pPr>
        <w:tabs>
          <w:tab w:val="left" w:pos="284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caso más notable es el Juzgado Agrario de Alajuela, quienes han argumentado que es debido a un expediente que se ha visto afectado debido a la pandemia mundial COVID-19. Ello por cuanto, la mayor parte de las pruebas del expediente se encuentra en forma física y el cantón central de la provincia de Alajuela, fue declarado en alerta amarilla a partir de este año, por lo que se han girado directrices de mantener un porcentaje mínimo de personal, laborando en las Oficinas Judiciales. </w:t>
      </w:r>
    </w:p>
    <w:p w:rsidRPr="00AE1B2B" w:rsidR="009D3FB5" w:rsidP="00163B94" w:rsidRDefault="009D3FB5" w14:paraId="0642B02A" w14:textId="77777777">
      <w:pPr>
        <w:tabs>
          <w:tab w:val="left" w:pos="284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p>
    <w:p w:rsidRPr="00AE1B2B" w:rsidR="009D3FB5" w:rsidP="00163B94" w:rsidRDefault="009D3FB5" w14:paraId="476CF03B" w14:textId="77777777">
      <w:pPr>
        <w:spacing w:before="120" w:after="120"/>
        <w:ind w:left="851" w:right="851" w:firstLine="709"/>
        <w:jc w:val="both"/>
        <w:rPr>
          <w:rFonts w:ascii="Times New Roman" w:hAnsi="Times New Roman" w:cs="Times New Roman"/>
          <w:sz w:val="26"/>
          <w:szCs w:val="26"/>
        </w:rPr>
      </w:pPr>
      <w:bookmarkStart w:name="_Toc68688549" w:id="266"/>
      <w:r w:rsidRPr="00AE1B2B">
        <w:rPr>
          <w:rFonts w:ascii="Times New Roman" w:hAnsi="Times New Roman" w:cs="Times New Roman"/>
          <w:sz w:val="26"/>
          <w:szCs w:val="26"/>
        </w:rPr>
        <w:t>Plazo Espera para Realización de Audiencia</w:t>
      </w:r>
      <w:bookmarkEnd w:id="266"/>
    </w:p>
    <w:p w:rsidRPr="00AE1B2B" w:rsidR="009D3FB5" w:rsidP="00163B94" w:rsidRDefault="009D3FB5" w14:paraId="3948F162" w14:textId="77777777">
      <w:pPr>
        <w:tabs>
          <w:tab w:val="left" w:pos="2844"/>
        </w:tabs>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En este indicador cinco (5) de los 12 Juzgado aumentaron el plazo promedio para la realización de los señalamientos a audiencia, el cual busca visibilizar la fecha a la que va la agenda del Despacho. El destalle se refleja en el siguiente gráfico. </w:t>
      </w:r>
    </w:p>
    <w:p w:rsidRPr="00AE1B2B" w:rsidR="009D3FB5" w:rsidP="00163B94" w:rsidRDefault="009D3FB5" w14:paraId="3E61104C"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5</w:t>
      </w:r>
      <w:r w:rsidRPr="00AE1B2B">
        <w:rPr>
          <w:rFonts w:ascii="Times New Roman" w:hAnsi="Times New Roman"/>
          <w:iCs/>
          <w:sz w:val="26"/>
          <w:szCs w:val="26"/>
        </w:rPr>
        <w:fldChar w:fldCharType="end"/>
      </w:r>
    </w:p>
    <w:p w:rsidRPr="00AE1B2B" w:rsidR="009D3FB5" w:rsidP="00163B94" w:rsidRDefault="009D3FB5" w14:paraId="2CBB0954" w14:textId="77777777">
      <w:pPr>
        <w:pStyle w:val="Ttulo"/>
        <w:spacing w:before="120" w:after="120"/>
        <w:ind w:left="851" w:right="851" w:firstLine="709"/>
        <w:jc w:val="both"/>
        <w:rPr>
          <w:rFonts w:ascii="Times New Roman" w:hAnsi="Times New Roman"/>
          <w:iCs/>
          <w:szCs w:val="28"/>
        </w:rPr>
      </w:pPr>
      <w:r w:rsidRPr="00AE1B2B">
        <w:rPr>
          <w:rFonts w:ascii="Times New Roman" w:hAnsi="Times New Roman"/>
          <w:iCs/>
          <w:sz w:val="26"/>
          <w:szCs w:val="26"/>
        </w:rPr>
        <w:t>Comportamiento del Plazo de Plazo Espera para Realización de Audiencia de los Juzgados Especializados en Materia Agraria en el Periodo 2019 al 2020</w:t>
      </w:r>
    </w:p>
    <w:p w:rsidRPr="00AE1B2B" w:rsidR="009D3FB5" w:rsidP="00163B94" w:rsidRDefault="009D3FB5" w14:paraId="1E61AD91" w14:textId="77777777">
      <w:pPr>
        <w:tabs>
          <w:tab w:val="left" w:pos="2844"/>
        </w:tabs>
        <w:spacing w:before="120" w:after="120"/>
        <w:rPr>
          <w:rFonts w:ascii="Times New Roman" w:hAnsi="Times New Roman" w:cs="Times New Roman"/>
        </w:rPr>
      </w:pPr>
      <w:r w:rsidRPr="00AE1B2B">
        <w:rPr>
          <w:rFonts w:ascii="Times New Roman" w:hAnsi="Times New Roman" w:cs="Times New Roman"/>
          <w:noProof/>
          <w:lang w:val="en-US"/>
        </w:rPr>
        <w:lastRenderedPageBreak/>
        <w:drawing>
          <wp:inline distT="0" distB="0" distL="0" distR="0" wp14:anchorId="60C0E107" wp14:editId="6285AF12">
            <wp:extent cx="5612130" cy="2748915"/>
            <wp:effectExtent l="0" t="0" r="7620" b="13335"/>
            <wp:docPr id="1212768286" name="Gráfico 1212768286">
              <a:extLst xmlns:a="http://schemas.openxmlformats.org/drawingml/2006/main">
                <a:ext uri="{FF2B5EF4-FFF2-40B4-BE49-F238E27FC236}">
                  <a16:creationId xmlns:a16="http://schemas.microsoft.com/office/drawing/2014/main" id="{599E144A-D572-495B-A418-A3B23B6C55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6"/>
              </a:graphicData>
            </a:graphic>
          </wp:inline>
        </w:drawing>
      </w:r>
    </w:p>
    <w:p w:rsidRPr="00AE1B2B" w:rsidR="009D3FB5" w:rsidP="00163B94" w:rsidRDefault="009D3FB5" w14:paraId="244C432F" w14:textId="77777777">
      <w:pPr>
        <w:tabs>
          <w:tab w:val="left" w:pos="188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con base a los Indicadores de Gestión y en los datos del sistema SIGMA, 2019 al 2020.</w:t>
      </w:r>
    </w:p>
    <w:p w:rsidRPr="00AE1B2B" w:rsidR="009D3FB5" w:rsidP="00163B94" w:rsidRDefault="009D3FB5" w14:paraId="1CBA1BB2" w14:textId="77777777">
      <w:pPr>
        <w:tabs>
          <w:tab w:val="left" w:pos="2844"/>
        </w:tabs>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De lo anterior se evidencia significativamente el incremento de este plazo en el Juzgado Agrario de Pococí, el cual pasó de tener un plazo promedio de 173 días en el 2019 a 386 días en promedio al finalizar el 2020. El Juzgado de Corredores pasa de tener 118 días de plazo promedio a 140 días de plazo para el 2020; San Ramón de 51 días en promedio a 70 días y en Cartago el plazo fue de 56 días en el 2019 y al finalizar el 2020 un plazo de 82 días en promedio. </w:t>
      </w:r>
    </w:p>
    <w:p w:rsidRPr="00AE1B2B" w:rsidR="009D3FB5" w:rsidP="00163B94" w:rsidRDefault="009D3FB5" w14:paraId="2AC5494B" w14:textId="77777777">
      <w:pPr>
        <w:tabs>
          <w:tab w:val="left" w:pos="2844"/>
        </w:tabs>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Varias oficinas achacan estos incrementos en la agenda, producto a los señalamientos que se han tenido que cancelar y luego reprogramar, a raíz de la pandemia. </w:t>
      </w:r>
    </w:p>
    <w:p w:rsidRPr="00AE1B2B" w:rsidR="009D3FB5" w:rsidP="00163B94" w:rsidRDefault="009D3FB5" w14:paraId="6D997C9D" w14:textId="77777777">
      <w:pPr>
        <w:tabs>
          <w:tab w:val="left" w:pos="2844"/>
        </w:tabs>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Por otro lado, el Juzgado Agrario de San Carlos redujo este plazo en el 2020, pasando de un promedio mensual de 329 días a 189 días. El Juzgado de Limón reduce su plazo promedio de 373 días en el 2019 a 336 días en promedio en el 2020. Otras oficinas que logran reducir estos plazos en el 2020 fueron los ubicados en Puntarenas, Goicochea, Pérez Zeledón, Liberia y Alajuela. </w:t>
      </w:r>
    </w:p>
    <w:p w:rsidRPr="00AE1B2B" w:rsidR="009D3FB5" w:rsidP="00163B94" w:rsidRDefault="009D3FB5" w14:paraId="344E7FFB" w14:textId="77777777">
      <w:pPr>
        <w:tabs>
          <w:tab w:val="left" w:pos="2844"/>
        </w:tabs>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De acuerdo con el Informe 301-PLA-MI-2021/76-CACMFJ-JEF-2021</w:t>
      </w:r>
      <w:r w:rsidRPr="00AE1B2B">
        <w:rPr>
          <w:rFonts w:ascii="Times New Roman" w:hAnsi="Times New Roman" w:cs="Times New Roman"/>
          <w:sz w:val="26"/>
          <w:szCs w:val="26"/>
        </w:rPr>
        <w:t xml:space="preserve"> </w:t>
      </w:r>
      <w:r w:rsidRPr="00AE1B2B">
        <w:rPr>
          <w:rFonts w:ascii="Times New Roman" w:hAnsi="Times New Roman" w:cs="Times New Roman"/>
          <w:sz w:val="26"/>
          <w:szCs w:val="26"/>
          <w:lang w:val="es-MX"/>
        </w:rPr>
        <w:t>relacionado con los resultados del seguimiento mensual de la materia Penal y no Penal durante la atención de la emergencia COVID-19, de octubre 2020 a enero 2021, los Juzgados especializados realizaron un total de 1.336 audiencias, de las cuales 1.245 fueron presenciales, 90 virtuales y 1 mixta.</w:t>
      </w:r>
    </w:p>
    <w:p w:rsidRPr="00AE1B2B" w:rsidR="009D3FB5" w:rsidP="00163B94" w:rsidRDefault="009D3FB5" w14:paraId="42909E38" w14:textId="77777777">
      <w:pPr>
        <w:spacing w:before="120" w:after="120"/>
        <w:ind w:left="851" w:right="851" w:firstLine="709"/>
        <w:jc w:val="both"/>
        <w:rPr>
          <w:rFonts w:ascii="Times New Roman" w:hAnsi="Times New Roman" w:cs="Times New Roman"/>
          <w:sz w:val="26"/>
          <w:szCs w:val="26"/>
        </w:rPr>
      </w:pPr>
      <w:bookmarkStart w:name="_Hlk63427463" w:id="267"/>
      <w:bookmarkStart w:name="_Toc68688550" w:id="268"/>
      <w:r w:rsidRPr="00AE1B2B">
        <w:rPr>
          <w:rFonts w:ascii="Times New Roman" w:hAnsi="Times New Roman" w:cs="Times New Roman"/>
          <w:sz w:val="26"/>
          <w:szCs w:val="26"/>
        </w:rPr>
        <w:t>Plazo para Resolver Demandas Nuevas</w:t>
      </w:r>
      <w:bookmarkEnd w:id="267"/>
      <w:bookmarkEnd w:id="268"/>
    </w:p>
    <w:p w:rsidRPr="00AE1B2B" w:rsidR="009D3FB5" w:rsidP="00163B94" w:rsidRDefault="009D3FB5" w14:paraId="3CFF746A" w14:textId="2D75CA77">
      <w:pPr>
        <w:tabs>
          <w:tab w:val="left" w:pos="2844"/>
        </w:tabs>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lastRenderedPageBreak/>
        <w:t xml:space="preserve">Este indicador da a conocer el plazo que se tiene en espera la atención de expedientes nuevos desde su ingreso. Para la elaboración de este indicador, se consideró un parámetro de cinco (5) a siete (7) días plazo. Para el 2020, 11 de los 12 Despachos especializados alcanzaron a disminuir el plazo de atención de expedientes nuevos, tal </w:t>
      </w:r>
      <w:r w:rsidRPr="00AE1B2B" w:rsidR="0094719C">
        <w:rPr>
          <w:rFonts w:ascii="Times New Roman" w:hAnsi="Times New Roman" w:cs="Times New Roman"/>
          <w:sz w:val="26"/>
          <w:szCs w:val="26"/>
          <w:lang w:val="es-MX"/>
        </w:rPr>
        <w:t>como se muestra a continuación:</w:t>
      </w:r>
    </w:p>
    <w:p w:rsidRPr="00AE1B2B" w:rsidR="009D3FB5" w:rsidP="00163B94" w:rsidRDefault="009D3FB5" w14:paraId="2F21DEC6"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416C2AB8"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6</w:t>
      </w:r>
      <w:r w:rsidRPr="00AE1B2B">
        <w:rPr>
          <w:rFonts w:ascii="Times New Roman" w:hAnsi="Times New Roman"/>
          <w:iCs/>
          <w:sz w:val="26"/>
          <w:szCs w:val="26"/>
        </w:rPr>
        <w:fldChar w:fldCharType="end"/>
      </w:r>
    </w:p>
    <w:p w:rsidRPr="00AE1B2B" w:rsidR="009D3FB5" w:rsidP="00163B94" w:rsidRDefault="009D3FB5" w14:paraId="6DAFB80C"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Comportamiento del Plazo para Resolver Demandas Nuevas de los Juzgados Especializados en Materia Agraria en el Periodo 2019 al 2020</w:t>
      </w:r>
    </w:p>
    <w:p w:rsidRPr="00AE1B2B" w:rsidR="009D3FB5" w:rsidP="00163B94" w:rsidRDefault="009D3FB5" w14:paraId="09349116" w14:textId="77777777">
      <w:pPr>
        <w:tabs>
          <w:tab w:val="left" w:pos="188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noProof/>
          <w:lang w:val="en-US"/>
        </w:rPr>
        <w:drawing>
          <wp:inline distT="0" distB="0" distL="0" distR="0" wp14:anchorId="3D9A2419" wp14:editId="5D67B5C3">
            <wp:extent cx="5612130" cy="3665220"/>
            <wp:effectExtent l="0" t="0" r="7620" b="11430"/>
            <wp:docPr id="1212768287" name="Gráfico 1212768287">
              <a:extLst xmlns:a="http://schemas.openxmlformats.org/drawingml/2006/main">
                <a:ext uri="{FF2B5EF4-FFF2-40B4-BE49-F238E27FC236}">
                  <a16:creationId xmlns:a16="http://schemas.microsoft.com/office/drawing/2014/main" id="{2F560294-AF2A-49BC-AA81-8602CC3E03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7"/>
              </a:graphicData>
            </a:graphic>
          </wp:inline>
        </w:drawing>
      </w:r>
      <w:r w:rsidRPr="00AE1B2B">
        <w:rPr>
          <w:rFonts w:ascii="Times New Roman" w:hAnsi="Times New Roman" w:cs="Times New Roman"/>
          <w:b/>
          <w:i/>
          <w:sz w:val="18"/>
        </w:rPr>
        <w:t xml:space="preserve"> </w:t>
      </w:r>
      <w:r w:rsidRPr="00AE1B2B">
        <w:rPr>
          <w:rFonts w:ascii="Times New Roman" w:hAnsi="Times New Roman" w:cs="Times New Roman"/>
          <w:b/>
          <w:i/>
          <w:sz w:val="26"/>
          <w:szCs w:val="26"/>
        </w:rPr>
        <w:t>Fuente: Subproceso de Modernización Institucional con base a los Indicadores de Gestión y en los datos del sistema SIGMA, 2019 al 2020.</w:t>
      </w:r>
    </w:p>
    <w:p w:rsidRPr="00AE1B2B" w:rsidR="009D3FB5" w:rsidP="00163B94" w:rsidRDefault="009D3FB5" w14:paraId="40AE9BAF" w14:textId="77777777">
      <w:pPr>
        <w:tabs>
          <w:tab w:val="left" w:pos="284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91% de los Juzgados Agrarios especializados disminuyeron el plazo para la atención de demandas nuevas para el 2020, tal como se mencionó líneas atrás, incluso, sus promedios indica que se encuentran dentro de los parámetros establecidos (5 a 7 días), con excepción del Juzgado Agrario de Santa Cruz, el obtiene un promedio al finalizar el 2020 de 40 días plazo para la atención. Alajuela por otro lado, es el Juzgado que mejor resultado ha obtenido en este indicador, con cero (0) días de atraso.</w:t>
      </w:r>
    </w:p>
    <w:p w:rsidRPr="00AE1B2B" w:rsidR="009D3FB5" w:rsidP="00163B94" w:rsidRDefault="009D3FB5" w14:paraId="0597663D" w14:textId="77777777">
      <w:pPr>
        <w:spacing w:before="120" w:after="120"/>
        <w:ind w:left="851" w:right="851" w:firstLine="709"/>
        <w:jc w:val="both"/>
        <w:rPr>
          <w:rFonts w:ascii="Times New Roman" w:hAnsi="Times New Roman" w:cs="Times New Roman"/>
          <w:sz w:val="26"/>
          <w:szCs w:val="26"/>
        </w:rPr>
      </w:pPr>
      <w:bookmarkStart w:name="_Toc68688551" w:id="269"/>
      <w:r w:rsidRPr="00AE1B2B">
        <w:rPr>
          <w:rFonts w:ascii="Times New Roman" w:hAnsi="Times New Roman" w:cs="Times New Roman"/>
          <w:sz w:val="26"/>
          <w:szCs w:val="26"/>
        </w:rPr>
        <w:lastRenderedPageBreak/>
        <w:t>Plazo para Resolver Escritos de Expedientes que se Encuentran Fuera del Despacho</w:t>
      </w:r>
      <w:bookmarkEnd w:id="269"/>
    </w:p>
    <w:p w:rsidRPr="00AE1B2B" w:rsidR="009D3FB5" w:rsidP="00163B94" w:rsidRDefault="009D3FB5" w14:paraId="1C39E796" w14:textId="740DB67F">
      <w:pPr>
        <w:tabs>
          <w:tab w:val="left" w:pos="2844"/>
        </w:tabs>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Este plazo obedece a la cantidad de días que se encuentra un escrito pendiente de resolver el cual, el expediente se encuentra fuera del Despacho. Esto puede originarse por razones como, un expediente que se encuentre en apelación en segunda instancia, que se encuentre en el archivo judicial, entre otras; por lo que no depende del Juzgado su resultado.</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En el siguiente gráfico se realiza una comparación del plazo promedio entre los Juzgados Agrarios especializados del país, en el periodo 2019 al 2020. </w:t>
      </w:r>
    </w:p>
    <w:p w:rsidRPr="00AE1B2B" w:rsidR="009D3FB5" w:rsidP="00163B94" w:rsidRDefault="009D3FB5" w14:paraId="74762C85"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7496F202"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5DCF3521"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7</w:t>
      </w:r>
      <w:r w:rsidRPr="00AE1B2B">
        <w:rPr>
          <w:rFonts w:ascii="Times New Roman" w:hAnsi="Times New Roman"/>
          <w:iCs/>
          <w:sz w:val="26"/>
          <w:szCs w:val="26"/>
        </w:rPr>
        <w:fldChar w:fldCharType="end"/>
      </w:r>
    </w:p>
    <w:p w:rsidRPr="00AE1B2B" w:rsidR="009D3FB5" w:rsidP="00163B94" w:rsidRDefault="009D3FB5" w14:paraId="71361D4F"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Comportamiento del Plazo para Resolver Escritos de Expedientes que se Encuentran Fuera del Despacho de los Juzgados Especializados en Materia Agraria en el Periodo 2019 al 2020</w:t>
      </w:r>
    </w:p>
    <w:p w:rsidRPr="00AE1B2B" w:rsidR="009D3FB5" w:rsidP="00163B94" w:rsidRDefault="009D3FB5" w14:paraId="440F563C" w14:textId="77777777">
      <w:pPr>
        <w:tabs>
          <w:tab w:val="left" w:pos="2844"/>
        </w:tabs>
        <w:spacing w:before="120" w:after="120"/>
        <w:rPr>
          <w:rFonts w:ascii="Times New Roman" w:hAnsi="Times New Roman" w:cs="Times New Roman"/>
        </w:rPr>
      </w:pPr>
      <w:r w:rsidRPr="00AE1B2B">
        <w:rPr>
          <w:rFonts w:ascii="Times New Roman" w:hAnsi="Times New Roman" w:cs="Times New Roman"/>
          <w:noProof/>
          <w:lang w:val="en-US"/>
        </w:rPr>
        <w:drawing>
          <wp:inline distT="0" distB="0" distL="0" distR="0" wp14:anchorId="6EB4DC25" wp14:editId="2B6E5D45">
            <wp:extent cx="5612130" cy="3970020"/>
            <wp:effectExtent l="0" t="0" r="7620" b="11430"/>
            <wp:docPr id="1212768289" name="Gráfico 1212768289">
              <a:extLst xmlns:a="http://schemas.openxmlformats.org/drawingml/2006/main">
                <a:ext uri="{FF2B5EF4-FFF2-40B4-BE49-F238E27FC236}">
                  <a16:creationId xmlns:a16="http://schemas.microsoft.com/office/drawing/2014/main" id="{FE655DB8-C1C8-4D83-A95F-5B14933C2B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8"/>
              </a:graphicData>
            </a:graphic>
          </wp:inline>
        </w:drawing>
      </w:r>
    </w:p>
    <w:p w:rsidRPr="00AE1B2B" w:rsidR="009D3FB5" w:rsidP="00163B94" w:rsidRDefault="009D3FB5" w14:paraId="1B6C236D" w14:textId="77777777">
      <w:pPr>
        <w:tabs>
          <w:tab w:val="left" w:pos="284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lastRenderedPageBreak/>
        <w:t>Fuente: Subproceso de Modernización Institucional con base a los Indicadores de Gestión y en los datos del sistema SIGMA, 2019 al 2020.</w:t>
      </w:r>
    </w:p>
    <w:p w:rsidRPr="00AE1B2B" w:rsidR="009D3FB5" w:rsidP="00163B94" w:rsidRDefault="009D3FB5" w14:paraId="1E97C818" w14:textId="77777777">
      <w:pPr>
        <w:pStyle w:val="pf0"/>
        <w:spacing w:before="120" w:beforeAutospacing="0" w:after="120" w:afterAutospacing="0"/>
        <w:ind w:left="851" w:right="851" w:firstLine="709"/>
        <w:jc w:val="both"/>
        <w:rPr>
          <w:sz w:val="26"/>
          <w:szCs w:val="26"/>
        </w:rPr>
      </w:pPr>
      <w:r w:rsidRPr="00AE1B2B">
        <w:rPr>
          <w:sz w:val="26"/>
          <w:szCs w:val="26"/>
        </w:rPr>
        <w:t>Se observa que para el 2020, este indicador sufrió un aumento considerable en varias oficinas, ya que se puede evidenciar plazos promedios de hasta 780 días, como es en el caso de San Ramón, 712 días en San Carlos, 651 días en Santa Cruz, entre otros. Como en líneas anteriores se indicó, que este indicador no depende el Juzgado, es importante poner en evidencia los grandes plazos que conlleva la no tramitación de escritos de los expedientes que se encuentran fuera de la oficina, cual sea su gestión, lo cual obedece a escritos de expedientes que se encuentra fuera del despacho y que no se pueden tramitar</w:t>
      </w:r>
      <w:r w:rsidRPr="00AE1B2B">
        <w:rPr>
          <w:rStyle w:val="cf01"/>
          <w:rFonts w:ascii="Times New Roman" w:hAnsi="Times New Roman" w:cs="Times New Roman" w:eastAsiaTheme="majorEastAsia"/>
          <w:sz w:val="26"/>
          <w:szCs w:val="26"/>
        </w:rPr>
        <w:t>, por lo que los plazos van en aumento. Esto s</w:t>
      </w:r>
      <w:r w:rsidRPr="00AE1B2B">
        <w:rPr>
          <w:rStyle w:val="cf11"/>
          <w:rFonts w:ascii="Times New Roman" w:hAnsi="Times New Roman" w:cs="Times New Roman" w:eastAsiaTheme="majorEastAsia"/>
          <w:sz w:val="26"/>
          <w:szCs w:val="26"/>
        </w:rPr>
        <w:t xml:space="preserve">e pude dar por varias razones, como, por ejemplo, un expediente físico que se encuentra en el archivo judicial se encuentra en alzada (en el Tribunal o la sala), entre otros. </w:t>
      </w:r>
    </w:p>
    <w:p w:rsidRPr="00AE1B2B" w:rsidR="009D3FB5" w:rsidP="00163B94" w:rsidRDefault="009D3FB5" w14:paraId="3FE3FCBD" w14:textId="77777777">
      <w:pPr>
        <w:spacing w:before="120" w:after="120"/>
        <w:ind w:left="851" w:right="851" w:firstLine="709"/>
        <w:jc w:val="both"/>
        <w:rPr>
          <w:rFonts w:ascii="Times New Roman" w:hAnsi="Times New Roman" w:cs="Times New Roman"/>
          <w:sz w:val="26"/>
          <w:szCs w:val="26"/>
        </w:rPr>
      </w:pPr>
      <w:bookmarkStart w:name="_Toc68688552" w:id="270"/>
      <w:r w:rsidRPr="00AE1B2B">
        <w:rPr>
          <w:rFonts w:ascii="Times New Roman" w:hAnsi="Times New Roman" w:cs="Times New Roman"/>
          <w:sz w:val="26"/>
          <w:szCs w:val="26"/>
        </w:rPr>
        <w:t>Plazo para Resolver Escritos que Están en el Despacho</w:t>
      </w:r>
      <w:bookmarkEnd w:id="270"/>
    </w:p>
    <w:p w:rsidRPr="00AE1B2B" w:rsidR="009D3FB5" w:rsidP="00163B94" w:rsidRDefault="009D3FB5" w14:paraId="2863A518"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Con este indicador se espera conocer el plazo de tiempo que transcurre del escrito más antiguo ingresado al Despacho, que no se le ha dado el trámite correspondiente. Lo que difiere este indicador con el anterior, es que estos escritos cuentan con el expediente en trámite, es decir, el expediente está disponible para realizar lo correspondiente al escrito. En el siguiente gráfico se puede apreciar el comportamiento de este plazo, a nivel de los Juzgados especializados Agrarios del país, en relación con el año 2019 y 2020. </w:t>
      </w:r>
    </w:p>
    <w:p w:rsidRPr="00AE1B2B" w:rsidR="009D3FB5" w:rsidP="00163B94" w:rsidRDefault="009D3FB5" w14:paraId="11C159AC"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4199C7B1"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12FDDC55" w14:textId="53B83DFD">
      <w:pPr>
        <w:pStyle w:val="Ttulo"/>
        <w:spacing w:before="120" w:after="120"/>
        <w:ind w:right="851"/>
        <w:jc w:val="both"/>
        <w:rPr>
          <w:rFonts w:ascii="Times New Roman" w:hAnsi="Times New Roman"/>
          <w:iCs/>
          <w:sz w:val="26"/>
          <w:szCs w:val="26"/>
        </w:rPr>
      </w:pPr>
    </w:p>
    <w:p w:rsidRPr="00AE1B2B" w:rsidR="009D3FB5" w:rsidP="00163B94" w:rsidRDefault="009D3FB5" w14:paraId="2FFA7289"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8</w:t>
      </w:r>
      <w:r w:rsidRPr="00AE1B2B">
        <w:rPr>
          <w:rFonts w:ascii="Times New Roman" w:hAnsi="Times New Roman"/>
          <w:iCs/>
          <w:sz w:val="26"/>
          <w:szCs w:val="26"/>
        </w:rPr>
        <w:fldChar w:fldCharType="end"/>
      </w:r>
    </w:p>
    <w:p w:rsidRPr="00AE1B2B" w:rsidR="009D3FB5" w:rsidP="00163B94" w:rsidRDefault="009D3FB5" w14:paraId="3608BA73"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Comportamiento del Plazo para Resolver Escritos que se Encuentran Dentro del Despacho de los Juzgados Especializados en Materia Agraria en el Periodo 2019 al 2020</w:t>
      </w:r>
    </w:p>
    <w:p w:rsidRPr="00AE1B2B" w:rsidR="009D3FB5" w:rsidP="00163B94" w:rsidRDefault="009D3FB5" w14:paraId="07E5AEF7" w14:textId="77777777">
      <w:pPr>
        <w:spacing w:before="120" w:after="120"/>
        <w:rPr>
          <w:rFonts w:ascii="Times New Roman" w:hAnsi="Times New Roman" w:cs="Times New Roman"/>
          <w:lang w:val="es-MX"/>
        </w:rPr>
      </w:pPr>
      <w:r w:rsidRPr="00AE1B2B">
        <w:rPr>
          <w:rFonts w:ascii="Times New Roman" w:hAnsi="Times New Roman" w:cs="Times New Roman"/>
          <w:noProof/>
          <w:lang w:val="en-US"/>
        </w:rPr>
        <w:lastRenderedPageBreak/>
        <w:drawing>
          <wp:inline distT="0" distB="0" distL="0" distR="0" wp14:anchorId="43FCF436" wp14:editId="5A3194C8">
            <wp:extent cx="5631180" cy="3749040"/>
            <wp:effectExtent l="0" t="0" r="7620" b="3810"/>
            <wp:docPr id="1212768290" name="Gráfico 1212768290">
              <a:extLst xmlns:a="http://schemas.openxmlformats.org/drawingml/2006/main">
                <a:ext uri="{FF2B5EF4-FFF2-40B4-BE49-F238E27FC236}">
                  <a16:creationId xmlns:a16="http://schemas.microsoft.com/office/drawing/2014/main" id="{4200F40E-AE9B-402B-B66A-DFA53D7D92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9"/>
              </a:graphicData>
            </a:graphic>
          </wp:inline>
        </w:drawing>
      </w:r>
    </w:p>
    <w:p w:rsidRPr="00AE1B2B" w:rsidR="009D3FB5" w:rsidP="00163B94" w:rsidRDefault="009D3FB5" w14:paraId="1175DD66" w14:textId="77777777">
      <w:pPr>
        <w:tabs>
          <w:tab w:val="left" w:pos="284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con base a los Indicadores de Gestión y en los datos del sistema SIGMA, 2019 al 2020.</w:t>
      </w:r>
    </w:p>
    <w:p w:rsidRPr="00AE1B2B" w:rsidR="009D3FB5" w:rsidP="00163B94" w:rsidRDefault="009D3FB5" w14:paraId="71BB573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83% de los Juzgados lograron la reducción de este plazo en el 2020 en relación con el año anterior, de los cuales se puede observar el Juzgado Agrario de Goicoechea que pasó de un plazo promedio de 7 días a 4 días, Alajuela pasar de un promedio de 34 días a siete días, Corredores de 38 a 10 días plazo, Puntarenas de 37 a 14 días, entre otros. A pesar de la reducción, también lograron posicionar estos datos dentro del rango establecido de 10 a 15 días plazo para su atención. </w:t>
      </w:r>
    </w:p>
    <w:p w:rsidRPr="00AE1B2B" w:rsidR="009D3FB5" w:rsidP="00163B94" w:rsidRDefault="009D3FB5" w14:paraId="3B0DA58F" w14:textId="77777777">
      <w:pPr>
        <w:pStyle w:val="pf0"/>
        <w:spacing w:before="120" w:beforeAutospacing="0" w:after="120" w:afterAutospacing="0"/>
        <w:ind w:left="851" w:right="851" w:firstLine="709"/>
        <w:jc w:val="both"/>
        <w:rPr>
          <w:sz w:val="26"/>
          <w:szCs w:val="26"/>
        </w:rPr>
      </w:pPr>
      <w:r w:rsidRPr="00AE1B2B">
        <w:rPr>
          <w:sz w:val="26"/>
          <w:szCs w:val="26"/>
        </w:rPr>
        <w:t>Contrario a lo anterior, se encuentra el Juzgado Agrario de Santa Cruz, el cual pasó de un promedio de 454 días a 738 días plazo en promedio, lo cual muestra con este número que hubo escritos ingresados al Juzgado que no han sido tramitados en 738 días. ( El Juzgado argumenta que corresponde a una contestación de demanda, y debido a la imposibilidad de notificar el traslado de la demanda a todos los demandados, no se ha podido tener por contestada la demanda. Se está gestionando ante el registro civil, por segunda vez, cuentas cedulares de los demandados a notificar)</w:t>
      </w:r>
    </w:p>
    <w:p w:rsidRPr="00AE1B2B" w:rsidR="009D3FB5" w:rsidP="00163B94" w:rsidRDefault="009D3FB5" w14:paraId="15952B01" w14:textId="77777777">
      <w:pPr>
        <w:spacing w:before="120" w:after="120"/>
        <w:ind w:left="851" w:right="851" w:firstLine="709"/>
        <w:jc w:val="both"/>
        <w:rPr>
          <w:rFonts w:ascii="Times New Roman" w:hAnsi="Times New Roman" w:cs="Times New Roman"/>
          <w:sz w:val="26"/>
          <w:szCs w:val="26"/>
        </w:rPr>
      </w:pPr>
      <w:bookmarkStart w:name="_Toc68688553" w:id="271"/>
      <w:r w:rsidRPr="00AE1B2B">
        <w:rPr>
          <w:rFonts w:ascii="Times New Roman" w:hAnsi="Times New Roman" w:cs="Times New Roman"/>
          <w:sz w:val="26"/>
          <w:szCs w:val="26"/>
        </w:rPr>
        <w:t>Plazo de Espera de Firma de Resoluciones Pendientes de Firma por Jueza o Juez</w:t>
      </w:r>
      <w:bookmarkEnd w:id="271"/>
    </w:p>
    <w:p w:rsidRPr="00AE1B2B" w:rsidR="009D3FB5" w:rsidP="00163B94" w:rsidRDefault="009D3FB5" w14:paraId="169F86DA"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lastRenderedPageBreak/>
        <w:t xml:space="preserve">Este indicador muestra la cantidad de días que han pasado desde que se envió un expediente resuelto por parte de la persona técnica judicial a la persona juzgadora para su respectiva firma. A continuación, una comparación gráfica de los resultados que se obtuvieron el periodo 2019 y 2020 de este indicador, entre los Juzgados especializados Agrarios del país. </w:t>
      </w:r>
    </w:p>
    <w:p w:rsidRPr="00AE1B2B" w:rsidR="009D3FB5" w:rsidP="00163B94" w:rsidRDefault="009D3FB5" w14:paraId="01052999"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9</w:t>
      </w:r>
      <w:r w:rsidRPr="00AE1B2B">
        <w:rPr>
          <w:rFonts w:ascii="Times New Roman" w:hAnsi="Times New Roman"/>
          <w:iCs/>
          <w:sz w:val="26"/>
          <w:szCs w:val="26"/>
        </w:rPr>
        <w:fldChar w:fldCharType="end"/>
      </w:r>
    </w:p>
    <w:p w:rsidRPr="00AE1B2B" w:rsidR="009D3FB5" w:rsidP="00163B94" w:rsidRDefault="009D3FB5" w14:paraId="3E19823D"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Comportamiento del Plazo de Espera de Firma de Resoluciones Pendientes de Firma por Jueza o Juez de los Juzgados Especializados en Materia Agraria en el Periodo 2019 al 2020</w:t>
      </w:r>
    </w:p>
    <w:p w:rsidRPr="00AE1B2B" w:rsidR="009D3FB5" w:rsidP="00163B94" w:rsidRDefault="009D3FB5" w14:paraId="73A625B7" w14:textId="77777777">
      <w:pPr>
        <w:spacing w:before="120" w:after="120"/>
        <w:rPr>
          <w:rFonts w:ascii="Times New Roman" w:hAnsi="Times New Roman" w:cs="Times New Roman"/>
          <w:lang w:val="es-MX"/>
        </w:rPr>
      </w:pPr>
      <w:r w:rsidRPr="00AE1B2B">
        <w:rPr>
          <w:rFonts w:ascii="Times New Roman" w:hAnsi="Times New Roman" w:cs="Times New Roman"/>
          <w:noProof/>
          <w:lang w:val="en-US"/>
        </w:rPr>
        <w:drawing>
          <wp:inline distT="0" distB="0" distL="0" distR="0" wp14:anchorId="3B259C57" wp14:editId="2CEB8DB9">
            <wp:extent cx="5627370" cy="3931920"/>
            <wp:effectExtent l="0" t="0" r="11430" b="11430"/>
            <wp:docPr id="1212768291" name="Gráfico 1212768291">
              <a:extLst xmlns:a="http://schemas.openxmlformats.org/drawingml/2006/main">
                <a:ext uri="{FF2B5EF4-FFF2-40B4-BE49-F238E27FC236}">
                  <a16:creationId xmlns:a16="http://schemas.microsoft.com/office/drawing/2014/main" id="{DE18AC6F-F011-405D-9D3B-74EEB1F6C1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p w:rsidRPr="00AE1B2B" w:rsidR="009D3FB5" w:rsidP="00163B94" w:rsidRDefault="009D3FB5" w14:paraId="4801D4B1" w14:textId="77777777">
      <w:pPr>
        <w:tabs>
          <w:tab w:val="left" w:pos="284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con base a los Indicadores de Gestión y en los datos del sistema SIGMA, 2019 al 2020.</w:t>
      </w:r>
    </w:p>
    <w:p w:rsidRPr="00AE1B2B" w:rsidR="009D3FB5" w:rsidP="00163B94" w:rsidRDefault="009D3FB5" w14:paraId="094963D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cuenta con un parámetro para este indicador de 2 a 3 días plazo; y por lo que se observa en el gráfico anterior, 11 de los Juzgado cuentan con resultados para el 2020 dentro del parámetro establecido. Caso contrario con el Juzgado Agrario de San Ramón, que cuenta con un plazo promedio de 5 días. En términos generales, se evidencia reducciones importantes en este plazo en relación con el 2019, donde </w:t>
      </w:r>
      <w:r w:rsidRPr="00AE1B2B">
        <w:rPr>
          <w:rFonts w:ascii="Times New Roman" w:hAnsi="Times New Roman" w:cs="Times New Roman"/>
          <w:sz w:val="26"/>
          <w:szCs w:val="26"/>
        </w:rPr>
        <w:lastRenderedPageBreak/>
        <w:t xml:space="preserve">se puede observar que el Juzgado de Alajuela fue el que mayor reducción obtuvo, pasando de 18 a 3 días plazo para el 2020. </w:t>
      </w:r>
    </w:p>
    <w:p w:rsidRPr="00AE1B2B" w:rsidR="009D3FB5" w:rsidP="00163B94" w:rsidRDefault="009D3FB5" w14:paraId="5F880B44" w14:textId="77777777">
      <w:pPr>
        <w:spacing w:before="120" w:after="120"/>
        <w:ind w:left="851" w:right="851" w:firstLine="709"/>
        <w:jc w:val="both"/>
        <w:rPr>
          <w:rFonts w:ascii="Times New Roman" w:hAnsi="Times New Roman" w:cs="Times New Roman"/>
          <w:sz w:val="26"/>
          <w:szCs w:val="26"/>
        </w:rPr>
      </w:pPr>
      <w:bookmarkStart w:name="_Toc68688554" w:id="272"/>
      <w:r w:rsidRPr="00AE1B2B">
        <w:rPr>
          <w:rFonts w:ascii="Times New Roman" w:hAnsi="Times New Roman" w:cs="Times New Roman"/>
          <w:sz w:val="26"/>
          <w:szCs w:val="26"/>
        </w:rPr>
        <w:t>Cantidad de audiencias pendientes de realización</w:t>
      </w:r>
      <w:bookmarkEnd w:id="272"/>
    </w:p>
    <w:p w:rsidRPr="00AE1B2B" w:rsidR="009D3FB5" w:rsidP="00163B94" w:rsidRDefault="009D3FB5" w14:paraId="01251995"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Para la cantidad de audiencias pendientes de realización, se realiza un análisis de cuantas audiencias en promedio se han quedado pendientes de efectuarse al mes. Para eso se analizan las matrices de indicadores de los años 2019 y 2020 en el siguiente gráfico. </w:t>
      </w:r>
    </w:p>
    <w:p w:rsidRPr="00AE1B2B" w:rsidR="009D3FB5" w:rsidP="00163B94" w:rsidRDefault="009D3FB5" w14:paraId="07530F7F"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10</w:t>
      </w:r>
      <w:r w:rsidRPr="00AE1B2B">
        <w:rPr>
          <w:rFonts w:ascii="Times New Roman" w:hAnsi="Times New Roman"/>
          <w:iCs/>
          <w:sz w:val="26"/>
          <w:szCs w:val="26"/>
        </w:rPr>
        <w:fldChar w:fldCharType="end"/>
      </w:r>
    </w:p>
    <w:p w:rsidRPr="00AE1B2B" w:rsidR="009D3FB5" w:rsidP="00163B94" w:rsidRDefault="009D3FB5" w14:paraId="18862E9E"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Comportamiento de las Cantidad de audiencias pendientes de realización de los Juzgados Especializados en Materia Agraria en el Periodo 2019 al 2020</w:t>
      </w:r>
    </w:p>
    <w:p w:rsidRPr="00AE1B2B" w:rsidR="009D3FB5" w:rsidP="00163B94" w:rsidRDefault="009D3FB5" w14:paraId="6EB71A3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1754B4C" w14:textId="77777777">
      <w:pPr>
        <w:spacing w:before="120" w:after="120"/>
        <w:rPr>
          <w:rFonts w:ascii="Times New Roman" w:hAnsi="Times New Roman" w:cs="Times New Roman"/>
          <w:lang w:val="es-MX"/>
        </w:rPr>
      </w:pPr>
      <w:r w:rsidRPr="00AE1B2B">
        <w:rPr>
          <w:rFonts w:ascii="Times New Roman" w:hAnsi="Times New Roman" w:cs="Times New Roman"/>
          <w:noProof/>
          <w:lang w:val="en-US"/>
        </w:rPr>
        <w:drawing>
          <wp:inline distT="0" distB="0" distL="0" distR="0" wp14:anchorId="63A8BD0F" wp14:editId="5B69D3E5">
            <wp:extent cx="5612130" cy="3383280"/>
            <wp:effectExtent l="0" t="0" r="7620" b="7620"/>
            <wp:docPr id="1212768292" name="Gráfico 1212768292">
              <a:extLst xmlns:a="http://schemas.openxmlformats.org/drawingml/2006/main">
                <a:ext uri="{FF2B5EF4-FFF2-40B4-BE49-F238E27FC236}">
                  <a16:creationId xmlns:a16="http://schemas.microsoft.com/office/drawing/2014/main" id="{A42EB014-14AF-4D2F-A61A-E0ABB45811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inline>
        </w:drawing>
      </w:r>
    </w:p>
    <w:p w:rsidRPr="00AE1B2B" w:rsidR="009D3FB5" w:rsidP="00163B94" w:rsidRDefault="009D3FB5" w14:paraId="0BD64B00" w14:textId="77777777">
      <w:pPr>
        <w:tabs>
          <w:tab w:val="left" w:pos="284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con base a los Indicadores de Gestión y en los datos del sistema SIGMA, 2019 al 2020.</w:t>
      </w:r>
    </w:p>
    <w:p w:rsidRPr="00AE1B2B" w:rsidR="009D3FB5" w:rsidP="00163B94" w:rsidRDefault="009D3FB5" w14:paraId="3707EECE" w14:textId="3C4B892B">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dato de este indicador mayormente se ha visto afectado por la pandemia mundial, ya que muchos indican que se han tenido que suspender señalamientos porque las partes no llegan o han solicitado una reprogramación. En este caso se puede visualizar que el Juzgado de Pococí tuvo un aumento considerable en la cantidad de audiencias pendientes de realizar, ya que para el 2019, se obtuvo un promedio mensual de 39 señalamientos pendientes y para 2020 aumentó a 176 </w:t>
      </w:r>
      <w:r w:rsidRPr="00AE1B2B">
        <w:rPr>
          <w:rFonts w:ascii="Times New Roman" w:hAnsi="Times New Roman" w:cs="Times New Roman"/>
          <w:sz w:val="26"/>
          <w:szCs w:val="26"/>
        </w:rPr>
        <w:lastRenderedPageBreak/>
        <w:t>casos en promedio, es decir una elevación del 351%. Otro despacho que experimentó un dato elevado fue el Juzgado Agrario de Limón, quién para el 2019 presentó un promedio mensual de 262 casos y aumenta a 288 para 2020.</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Caso contrario se presenta en los Juzgados de San Carlos, Pérez Zeledón, Puntarenas, entre otros, que para el 2020 lograron reducir este dato. </w:t>
      </w:r>
    </w:p>
    <w:p w:rsidRPr="00AE1B2B" w:rsidR="009D3FB5" w:rsidP="00163B94" w:rsidRDefault="009D3FB5" w14:paraId="466135D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Como parte de las medidas adoptadas por el tema de la pandemia por el COVID-19, las diferentes oficinas han tomado acciones para realizar las audiencias programadas y reprogramar las que se han sometido a suspensión, como se detalla en la siguiente figura: </w:t>
      </w:r>
    </w:p>
    <w:p w:rsidRPr="00AE1B2B" w:rsidR="009D3FB5" w:rsidP="00163B94" w:rsidRDefault="009D3FB5" w14:paraId="1A5AF835" w14:textId="77777777">
      <w:pPr>
        <w:spacing w:before="120" w:after="120"/>
        <w:rPr>
          <w:rFonts w:ascii="Times New Roman" w:hAnsi="Times New Roman" w:cs="Times New Roman"/>
        </w:rPr>
      </w:pPr>
      <w:r w:rsidRPr="00AE1B2B">
        <w:rPr>
          <w:rFonts w:ascii="Times New Roman" w:hAnsi="Times New Roman" w:cs="Times New Roman"/>
        </w:rPr>
        <w:t xml:space="preserve"> </w:t>
      </w:r>
      <w:r w:rsidRPr="00AE1B2B">
        <w:rPr>
          <w:rFonts w:ascii="Times New Roman" w:hAnsi="Times New Roman" w:cs="Times New Roman"/>
          <w:noProof/>
          <w:lang w:val="en-US"/>
        </w:rPr>
        <w:drawing>
          <wp:anchor distT="0" distB="0" distL="114300" distR="114300" simplePos="0" relativeHeight="251667456" behindDoc="1" locked="0" layoutInCell="1" allowOverlap="1" wp14:anchorId="05F2E42B" wp14:editId="5227EF48">
            <wp:simplePos x="0" y="0"/>
            <wp:positionH relativeFrom="margin">
              <wp:posOffset>0</wp:posOffset>
            </wp:positionH>
            <wp:positionV relativeFrom="paragraph">
              <wp:posOffset>250825</wp:posOffset>
            </wp:positionV>
            <wp:extent cx="5501005" cy="2968625"/>
            <wp:effectExtent l="0" t="0" r="4445" b="3175"/>
            <wp:wrapTight wrapText="bothSides">
              <wp:wrapPolygon edited="0">
                <wp:start x="0" y="0"/>
                <wp:lineTo x="0" y="21484"/>
                <wp:lineTo x="21543" y="21484"/>
                <wp:lineTo x="21543" y="0"/>
                <wp:lineTo x="0" y="0"/>
              </wp:wrapPolygon>
            </wp:wrapTight>
            <wp:docPr id="213" name="Imagen 21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n 213" descr="Imagen que contiene Diagrama&#10;&#10;Descripción generada automáticamente"/>
                    <pic:cNvPicPr/>
                  </pic:nvPicPr>
                  <pic:blipFill>
                    <a:blip r:embed="rId322">
                      <a:extLst>
                        <a:ext uri="{28A0092B-C50C-407E-A947-70E740481C1C}">
                          <a14:useLocalDpi xmlns:a14="http://schemas.microsoft.com/office/drawing/2010/main" val="0"/>
                        </a:ext>
                      </a:extLst>
                    </a:blip>
                    <a:stretch>
                      <a:fillRect/>
                    </a:stretch>
                  </pic:blipFill>
                  <pic:spPr>
                    <a:xfrm>
                      <a:off x="0" y="0"/>
                      <a:ext cx="5506103" cy="2971582"/>
                    </a:xfrm>
                    <a:prstGeom prst="rect">
                      <a:avLst/>
                    </a:prstGeom>
                  </pic:spPr>
                </pic:pic>
              </a:graphicData>
            </a:graphic>
            <wp14:sizeRelV relativeFrom="margin">
              <wp14:pctHeight>0</wp14:pctHeight>
            </wp14:sizeRelV>
          </wp:anchor>
        </w:drawing>
      </w:r>
    </w:p>
    <w:p w:rsidRPr="00AE1B2B" w:rsidR="009D3FB5" w:rsidP="00163B94" w:rsidRDefault="009D3FB5" w14:paraId="2EF0DC33" w14:textId="77777777">
      <w:pPr>
        <w:spacing w:before="120" w:after="120"/>
        <w:rPr>
          <w:rFonts w:ascii="Times New Roman" w:hAnsi="Times New Roman" w:cs="Times New Roman"/>
        </w:rPr>
      </w:pPr>
    </w:p>
    <w:p w:rsidRPr="00AE1B2B" w:rsidR="009D3FB5" w:rsidP="00163B94" w:rsidRDefault="009D3FB5" w14:paraId="693C6D49" w14:textId="77777777">
      <w:pPr>
        <w:spacing w:before="120" w:after="120"/>
        <w:ind w:left="851" w:right="851" w:firstLine="709"/>
        <w:jc w:val="both"/>
        <w:rPr>
          <w:rFonts w:ascii="Times New Roman" w:hAnsi="Times New Roman" w:cs="Times New Roman"/>
          <w:sz w:val="26"/>
          <w:szCs w:val="26"/>
        </w:rPr>
      </w:pPr>
      <w:bookmarkStart w:name="_Toc68688555" w:id="273"/>
      <w:r w:rsidRPr="00AE1B2B">
        <w:rPr>
          <w:rFonts w:ascii="Times New Roman" w:hAnsi="Times New Roman" w:cs="Times New Roman"/>
          <w:sz w:val="26"/>
          <w:szCs w:val="26"/>
        </w:rPr>
        <w:t>Cantidad de Expedientes Pendientes de Fallo</w:t>
      </w:r>
      <w:bookmarkEnd w:id="273"/>
    </w:p>
    <w:p w:rsidRPr="00AE1B2B" w:rsidR="009D3FB5" w:rsidP="00163B94" w:rsidRDefault="009D3FB5" w14:paraId="4E3984C7"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La cantidad de expedientes pendientes de fallo, son todos aquello expedientes que ya se encuentran listos y ha sido enviados al personal juzgador para el dictado de sentencia. Este indicador muestra esa cantidad de expedientes que se han pasado para el dictado de sentencia y el personal juzgador no los ha atendido o no ha terminado el proceso de fallo, es decir se pueden encontrar en estudio, entre otras. En el siguiente grafico se puede apreciar una comparación de los Juzgados especializados, considerando el periodo 2019 al 2020. </w:t>
      </w:r>
    </w:p>
    <w:p w:rsidRPr="00AE1B2B" w:rsidR="009D3FB5" w:rsidP="00163B94" w:rsidRDefault="009D3FB5" w14:paraId="0FA7986B"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088C4686" w14:textId="1F44E561">
      <w:pPr>
        <w:pStyle w:val="Ttulo"/>
        <w:spacing w:before="120" w:after="120"/>
        <w:ind w:right="851"/>
        <w:jc w:val="both"/>
        <w:rPr>
          <w:rFonts w:ascii="Times New Roman" w:hAnsi="Times New Roman"/>
          <w:iCs/>
          <w:sz w:val="26"/>
          <w:szCs w:val="26"/>
        </w:rPr>
      </w:pPr>
    </w:p>
    <w:p w:rsidRPr="00AE1B2B" w:rsidR="009D3FB5" w:rsidP="00163B94" w:rsidRDefault="009D3FB5" w14:paraId="087A2992"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11</w:t>
      </w:r>
      <w:r w:rsidRPr="00AE1B2B">
        <w:rPr>
          <w:rFonts w:ascii="Times New Roman" w:hAnsi="Times New Roman"/>
          <w:iCs/>
          <w:sz w:val="26"/>
          <w:szCs w:val="26"/>
        </w:rPr>
        <w:fldChar w:fldCharType="end"/>
      </w:r>
    </w:p>
    <w:p w:rsidRPr="00AE1B2B" w:rsidR="009D3FB5" w:rsidP="00163B94" w:rsidRDefault="009D3FB5" w14:paraId="519983EE" w14:textId="77777777">
      <w:pPr>
        <w:pStyle w:val="Ttulo"/>
        <w:spacing w:before="120" w:after="120"/>
        <w:ind w:left="851" w:right="851" w:firstLine="709"/>
        <w:jc w:val="both"/>
        <w:rPr>
          <w:rFonts w:ascii="Times New Roman" w:hAnsi="Times New Roman"/>
          <w:iCs/>
          <w:szCs w:val="28"/>
        </w:rPr>
      </w:pPr>
      <w:r w:rsidRPr="00AE1B2B">
        <w:rPr>
          <w:rFonts w:ascii="Times New Roman" w:hAnsi="Times New Roman"/>
          <w:iCs/>
          <w:sz w:val="26"/>
          <w:szCs w:val="26"/>
        </w:rPr>
        <w:t>Comportamiento de las Cantidad de los Expedientes Pendientes de Fallo de los Juzgados Especializados en Materia Agraria en el Periodo 2019 al 2020</w:t>
      </w:r>
    </w:p>
    <w:p w:rsidRPr="00AE1B2B" w:rsidR="009D3FB5" w:rsidP="00163B94" w:rsidRDefault="009D3FB5" w14:paraId="09671CA7" w14:textId="77777777">
      <w:pPr>
        <w:spacing w:before="120" w:after="120"/>
        <w:rPr>
          <w:rFonts w:ascii="Times New Roman" w:hAnsi="Times New Roman" w:cs="Times New Roman"/>
        </w:rPr>
      </w:pPr>
      <w:r w:rsidRPr="00AE1B2B">
        <w:rPr>
          <w:rFonts w:ascii="Times New Roman" w:hAnsi="Times New Roman" w:cs="Times New Roman"/>
          <w:noProof/>
          <w:lang w:val="en-US"/>
        </w:rPr>
        <w:drawing>
          <wp:inline distT="0" distB="0" distL="0" distR="0" wp14:anchorId="611376B2" wp14:editId="42BD66D3">
            <wp:extent cx="5612130" cy="3931920"/>
            <wp:effectExtent l="0" t="0" r="7620" b="11430"/>
            <wp:docPr id="1212768293" name="Gráfico 1212768293">
              <a:extLst xmlns:a="http://schemas.openxmlformats.org/drawingml/2006/main">
                <a:ext uri="{FF2B5EF4-FFF2-40B4-BE49-F238E27FC236}">
                  <a16:creationId xmlns:a16="http://schemas.microsoft.com/office/drawing/2014/main" id="{6F6E8D81-3646-4F3D-BD3E-B9052D5DF1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3"/>
              </a:graphicData>
            </a:graphic>
          </wp:inline>
        </w:drawing>
      </w:r>
    </w:p>
    <w:p w:rsidRPr="00AE1B2B" w:rsidR="009D3FB5" w:rsidP="00163B94" w:rsidRDefault="009D3FB5" w14:paraId="53C2E851" w14:textId="77777777">
      <w:pPr>
        <w:tabs>
          <w:tab w:val="left" w:pos="284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con base a los Indicadores de Gestión y en los datos del sistema SIGMA, 2019 al 2020.</w:t>
      </w:r>
    </w:p>
    <w:p w:rsidRPr="00AE1B2B" w:rsidR="009D3FB5" w:rsidP="00163B94" w:rsidRDefault="009D3FB5" w14:paraId="7757475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Los Juzgados de Puntarenas, Pococí y Liberia, consiguieron reducir el promedio de la cantidad de expedientes pendientes del dictado de sentencia, de forma significativa en el 2020, los cuales pasaron de 43 a 30 expedientes en promedio en Puntarenas, de 55 a 38 expedientes Pococí y de 28 a siete (7) expedientes en promedio. </w:t>
      </w:r>
    </w:p>
    <w:p w:rsidRPr="00AE1B2B" w:rsidR="009D3FB5" w:rsidP="00163B94" w:rsidRDefault="009D3FB5" w14:paraId="6A598FC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Por su parte, los Juzgados Agrarios de Goicoechea, San Carlos y Alajuela, aumentaron la cantidad promedio mensual entre los 26 y 47 casos. </w:t>
      </w:r>
    </w:p>
    <w:p w:rsidRPr="00AE1B2B" w:rsidR="009D3FB5" w:rsidP="00163B94" w:rsidRDefault="009D3FB5" w14:paraId="08ECB85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Con un rango de aceptación establecido de 15 a 30 expedientes pendientes del dictado de sentencia, se puede apreciar que la mayoría </w:t>
      </w:r>
      <w:r w:rsidRPr="00AE1B2B">
        <w:rPr>
          <w:rFonts w:ascii="Times New Roman" w:hAnsi="Times New Roman" w:cs="Times New Roman"/>
          <w:sz w:val="26"/>
          <w:szCs w:val="26"/>
        </w:rPr>
        <w:lastRenderedPageBreak/>
        <w:t xml:space="preserve">se encuentran dentro de los parámetros, con la excepción del Juzgado Agrario de Goicoechea y Pococí. </w:t>
      </w:r>
    </w:p>
    <w:p w:rsidRPr="00AE1B2B" w:rsidR="009D3FB5" w:rsidP="00163B94" w:rsidRDefault="009D3FB5" w14:paraId="7C693B5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C16995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A04F6D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B7D9EE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Para el final del periodo 2020, los Juzgados Agrarios especializados contó con un pendiente de fallo de 292 expedientes en total, tal y como se muestra a continuación: </w:t>
      </w:r>
    </w:p>
    <w:p w:rsidRPr="00AE1B2B" w:rsidR="009D3FB5" w:rsidP="00163B94" w:rsidRDefault="009D3FB5" w14:paraId="4D459168"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12</w:t>
      </w:r>
      <w:r w:rsidRPr="00AE1B2B">
        <w:rPr>
          <w:rFonts w:ascii="Times New Roman" w:hAnsi="Times New Roman"/>
          <w:iCs/>
          <w:sz w:val="26"/>
          <w:szCs w:val="26"/>
        </w:rPr>
        <w:fldChar w:fldCharType="end"/>
      </w:r>
    </w:p>
    <w:p w:rsidRPr="00AE1B2B" w:rsidR="009D3FB5" w:rsidP="00163B94" w:rsidRDefault="009D3FB5" w14:paraId="00E810F0"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Cantidad de los Expedientes Pendientes de Fallo de los Juzgados Especializados en Materia Agraria a diciembre del 2020</w:t>
      </w:r>
    </w:p>
    <w:p w:rsidRPr="00AE1B2B" w:rsidR="009D3FB5" w:rsidP="00163B94" w:rsidRDefault="009D3FB5" w14:paraId="61DE659B" w14:textId="77777777">
      <w:pPr>
        <w:spacing w:before="120" w:after="120"/>
        <w:ind w:left="-1560"/>
        <w:rPr>
          <w:rFonts w:ascii="Times New Roman" w:hAnsi="Times New Roman" w:cs="Times New Roman"/>
        </w:rPr>
      </w:pPr>
      <w:r w:rsidRPr="00AE1B2B">
        <w:rPr>
          <w:rFonts w:ascii="Times New Roman" w:hAnsi="Times New Roman" w:cs="Times New Roman"/>
          <w:noProof/>
          <w:lang w:val="en-US"/>
        </w:rPr>
        <w:drawing>
          <wp:inline distT="0" distB="0" distL="0" distR="0" wp14:anchorId="771E9686" wp14:editId="6B8185C4">
            <wp:extent cx="7543800" cy="3086100"/>
            <wp:effectExtent l="0" t="0" r="0" b="0"/>
            <wp:docPr id="1212768294" name="Gráfico 1212768294">
              <a:extLst xmlns:a="http://schemas.openxmlformats.org/drawingml/2006/main">
                <a:ext uri="{FF2B5EF4-FFF2-40B4-BE49-F238E27FC236}">
                  <a16:creationId xmlns:a16="http://schemas.microsoft.com/office/drawing/2014/main" id="{FB1DC60C-8294-49E5-B182-7980563994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4"/>
              </a:graphicData>
            </a:graphic>
          </wp:inline>
        </w:drawing>
      </w:r>
    </w:p>
    <w:p w:rsidRPr="00AE1B2B" w:rsidR="009D3FB5" w:rsidP="00163B94" w:rsidRDefault="009D3FB5" w14:paraId="5B0A1D2E" w14:textId="19772CE8">
      <w:pPr>
        <w:tabs>
          <w:tab w:val="left" w:pos="284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con bas</w:t>
      </w:r>
      <w:r w:rsidRPr="00AE1B2B" w:rsidR="003F65D2">
        <w:rPr>
          <w:rFonts w:ascii="Times New Roman" w:hAnsi="Times New Roman" w:cs="Times New Roman"/>
          <w:b/>
          <w:i/>
          <w:sz w:val="26"/>
          <w:szCs w:val="26"/>
        </w:rPr>
        <w:t>e a los Indicadores de Gestión.</w:t>
      </w:r>
    </w:p>
    <w:p w:rsidRPr="00AE1B2B" w:rsidR="003F65D2" w:rsidP="00163B94" w:rsidRDefault="003F65D2" w14:paraId="0C028D89" w14:textId="77777777">
      <w:pPr>
        <w:tabs>
          <w:tab w:val="left" w:pos="2844"/>
        </w:tabs>
        <w:spacing w:before="120" w:after="120"/>
        <w:ind w:left="851" w:right="851" w:firstLine="709"/>
        <w:jc w:val="both"/>
        <w:rPr>
          <w:rFonts w:ascii="Times New Roman" w:hAnsi="Times New Roman" w:cs="Times New Roman"/>
          <w:b/>
          <w:i/>
          <w:sz w:val="26"/>
          <w:szCs w:val="26"/>
        </w:rPr>
      </w:pPr>
    </w:p>
    <w:p w:rsidRPr="00AE1B2B" w:rsidR="009D3FB5" w:rsidP="00163B94" w:rsidRDefault="009D3FB5" w14:paraId="2E0E5C88" w14:textId="77777777">
      <w:pPr>
        <w:spacing w:before="120" w:after="120"/>
        <w:ind w:left="851" w:right="851" w:firstLine="709"/>
        <w:jc w:val="both"/>
        <w:rPr>
          <w:rFonts w:ascii="Times New Roman" w:hAnsi="Times New Roman" w:cs="Times New Roman"/>
          <w:sz w:val="26"/>
          <w:szCs w:val="26"/>
        </w:rPr>
      </w:pPr>
      <w:bookmarkStart w:name="_Toc68688556" w:id="274"/>
      <w:r w:rsidRPr="00AE1B2B">
        <w:rPr>
          <w:rFonts w:ascii="Times New Roman" w:hAnsi="Times New Roman" w:cs="Times New Roman"/>
          <w:sz w:val="26"/>
          <w:szCs w:val="26"/>
        </w:rPr>
        <w:t>Cantidad de Escritos Pendientes de Resolver</w:t>
      </w:r>
      <w:bookmarkEnd w:id="274"/>
    </w:p>
    <w:p w:rsidRPr="00AE1B2B" w:rsidR="009D3FB5" w:rsidP="00163B94" w:rsidRDefault="009D3FB5" w14:paraId="780099AE"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Este indicador muestra la cantidad de escritos pendientes de resolver que se encuentra en el Juzgado desde su ingreso hasta la revisión mensual de los Indicadores de Gestión. Para ello se realiza un análisis de comparación de los Despachos especializados en la materia Agrario, en los años 2019 al 2020. </w:t>
      </w:r>
    </w:p>
    <w:p w:rsidRPr="00AE1B2B" w:rsidR="009D3FB5" w:rsidP="00163B94" w:rsidRDefault="009D3FB5" w14:paraId="4A14A4F7"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13</w:t>
      </w:r>
      <w:r w:rsidRPr="00AE1B2B">
        <w:rPr>
          <w:rFonts w:ascii="Times New Roman" w:hAnsi="Times New Roman"/>
          <w:iCs/>
          <w:sz w:val="26"/>
          <w:szCs w:val="26"/>
        </w:rPr>
        <w:fldChar w:fldCharType="end"/>
      </w:r>
    </w:p>
    <w:p w:rsidRPr="00AE1B2B" w:rsidR="009D3FB5" w:rsidP="00163B94" w:rsidRDefault="009D3FB5" w14:paraId="15098235"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lastRenderedPageBreak/>
        <w:t>Comportamiento de las Cantidad de los Escritos Pendientes de Resolver de los Juzgados Especializados en Materia Agraria en el Periodo 2019 al 2020</w:t>
      </w:r>
    </w:p>
    <w:p w:rsidRPr="00AE1B2B" w:rsidR="009D3FB5" w:rsidP="00163B94" w:rsidRDefault="009D3FB5" w14:paraId="28D4E301" w14:textId="77777777">
      <w:pPr>
        <w:spacing w:before="120" w:after="120"/>
        <w:rPr>
          <w:rFonts w:ascii="Times New Roman" w:hAnsi="Times New Roman" w:cs="Times New Roman"/>
        </w:rPr>
      </w:pPr>
      <w:r w:rsidRPr="00AE1B2B">
        <w:rPr>
          <w:rFonts w:ascii="Times New Roman" w:hAnsi="Times New Roman" w:cs="Times New Roman"/>
          <w:noProof/>
          <w:lang w:val="en-US"/>
        </w:rPr>
        <w:drawing>
          <wp:inline distT="0" distB="0" distL="0" distR="0" wp14:anchorId="62F5B067" wp14:editId="067D5788">
            <wp:extent cx="5612130" cy="3619500"/>
            <wp:effectExtent l="0" t="0" r="7620" b="0"/>
            <wp:docPr id="1212768295" name="Gráfico 1212768295">
              <a:extLst xmlns:a="http://schemas.openxmlformats.org/drawingml/2006/main">
                <a:ext uri="{FF2B5EF4-FFF2-40B4-BE49-F238E27FC236}">
                  <a16:creationId xmlns:a16="http://schemas.microsoft.com/office/drawing/2014/main" id="{C81762CB-85C1-4E5B-8A64-067E561820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5"/>
              </a:graphicData>
            </a:graphic>
          </wp:inline>
        </w:drawing>
      </w:r>
    </w:p>
    <w:p w:rsidRPr="00AE1B2B" w:rsidR="009D3FB5" w:rsidP="00163B94" w:rsidRDefault="009D3FB5" w14:paraId="0A15563D" w14:textId="77777777">
      <w:pPr>
        <w:tabs>
          <w:tab w:val="left" w:pos="284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con base a los Indicadores de Gestión y en los datos del sistema SIGMA, 2019 al 2020.</w:t>
      </w:r>
    </w:p>
    <w:p w:rsidRPr="00AE1B2B" w:rsidR="009D3FB5" w:rsidP="00163B94" w:rsidRDefault="009D3FB5" w14:paraId="6F9A1077" w14:textId="77777777">
      <w:pPr>
        <w:pStyle w:val="NormalWeb"/>
        <w:spacing w:before="120" w:after="120"/>
        <w:ind w:left="851" w:right="851" w:firstLine="709"/>
        <w:jc w:val="both"/>
        <w:rPr>
          <w:rFonts w:ascii="Times New Roman" w:hAnsi="Times New Roman" w:cs="Times New Roman"/>
          <w:color w:val="auto"/>
          <w:sz w:val="26"/>
          <w:szCs w:val="26"/>
        </w:rPr>
      </w:pPr>
      <w:r w:rsidRPr="00AE1B2B">
        <w:rPr>
          <w:rFonts w:ascii="Times New Roman" w:hAnsi="Times New Roman" w:cs="Times New Roman"/>
          <w:color w:val="auto"/>
          <w:sz w:val="26"/>
          <w:szCs w:val="26"/>
        </w:rPr>
        <w:t xml:space="preserve">La cantidad de escritos pendientes de resolver para el 2020, reduce el promedio de casos en relación con el 2019. Este comportamiento se aprecia principalmente en los Juzgados Agrarios de Cartago, Limón, Puntarenas y Santa Cruz, quienes redujeron el promedio con diferencias que oscilan entre 81 y 121 escritos. En el caso del Juzgado Agrario de Santa Cruz, es el que promedia más escritos pendientes de tramite al mes, con 513 aproximadamente. Los técnicos no cumplen cuotas de trabajo, ya que indican que, debido a la pandemia, la tramitación se ha visto afectada, porque el personal cuenta con recurso limitados para trabajar desde sus hogares. Por lo que se deben aproximar a la oficina para llevar trabajo para la casa. Se están incorporando paulatinamente al personal del despacho a la modalidad presencial y han notado un leve aumento </w:t>
      </w:r>
    </w:p>
    <w:p w:rsidRPr="00AE1B2B" w:rsidR="009D3FB5" w:rsidP="00163B94" w:rsidRDefault="009D3FB5" w14:paraId="047688D0" w14:textId="77777777">
      <w:pPr>
        <w:spacing w:before="120" w:after="120"/>
        <w:ind w:left="851" w:right="851" w:firstLine="709"/>
        <w:jc w:val="both"/>
        <w:rPr>
          <w:rFonts w:ascii="Times New Roman" w:hAnsi="Times New Roman" w:cs="Times New Roman"/>
          <w:sz w:val="26"/>
          <w:szCs w:val="26"/>
        </w:rPr>
      </w:pPr>
      <w:bookmarkStart w:name="_Toc68688557" w:id="275"/>
      <w:r w:rsidRPr="00AE1B2B">
        <w:rPr>
          <w:rFonts w:ascii="Times New Roman" w:hAnsi="Times New Roman" w:cs="Times New Roman"/>
          <w:sz w:val="26"/>
          <w:szCs w:val="26"/>
        </w:rPr>
        <w:t>Cantidad de Demandas Nuevas Pendientes de Resolver</w:t>
      </w:r>
      <w:bookmarkEnd w:id="275"/>
    </w:p>
    <w:p w:rsidRPr="00AE1B2B" w:rsidR="009D3FB5" w:rsidP="00163B94" w:rsidRDefault="009D3FB5" w14:paraId="526B567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cantidad de demandas nuevas que están pendientes de resolver, son todos esos expedientes de nuevo ingreso que aún no se </w:t>
      </w:r>
      <w:r w:rsidRPr="00AE1B2B">
        <w:rPr>
          <w:rFonts w:ascii="Times New Roman" w:hAnsi="Times New Roman" w:cs="Times New Roman"/>
          <w:sz w:val="26"/>
          <w:szCs w:val="26"/>
        </w:rPr>
        <w:lastRenderedPageBreak/>
        <w:t xml:space="preserve">les ha dado traslado, es decir, aún no se ha iniciado con el conocimiento del caso. Es por ello, que este indicado muestra esa cantidad de casos que aún no se han conocido por parte del Despacho. </w:t>
      </w:r>
    </w:p>
    <w:p w:rsidRPr="00AE1B2B" w:rsidR="009D3FB5" w:rsidP="00163B94" w:rsidRDefault="009D3FB5" w14:paraId="7AE141A9"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EA0EB34"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14</w:t>
      </w:r>
      <w:r w:rsidRPr="00AE1B2B">
        <w:rPr>
          <w:rFonts w:ascii="Times New Roman" w:hAnsi="Times New Roman"/>
          <w:iCs/>
          <w:sz w:val="26"/>
          <w:szCs w:val="26"/>
        </w:rPr>
        <w:fldChar w:fldCharType="end"/>
      </w:r>
    </w:p>
    <w:p w:rsidRPr="00AE1B2B" w:rsidR="009D3FB5" w:rsidP="00163B94" w:rsidRDefault="009D3FB5" w14:paraId="6E6BF8A3"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Comportamiento de las Cantidad de los Demandas Nuevas Pendientes de Resolver de los Juzgados Especializados en Materia Agraria en el Periodo 2019 al 2020</w:t>
      </w:r>
    </w:p>
    <w:p w:rsidRPr="00AE1B2B" w:rsidR="009D3FB5" w:rsidP="00163B94" w:rsidRDefault="009D3FB5" w14:paraId="3F2E81BF" w14:textId="77777777">
      <w:pPr>
        <w:tabs>
          <w:tab w:val="left" w:pos="284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noProof/>
          <w:lang w:val="en-US"/>
        </w:rPr>
        <w:drawing>
          <wp:inline distT="0" distB="0" distL="0" distR="0" wp14:anchorId="1193B667" wp14:editId="6AC95785">
            <wp:extent cx="5791200" cy="3657600"/>
            <wp:effectExtent l="0" t="0" r="0" b="0"/>
            <wp:docPr id="1212768296" name="Gráfico 1212768296">
              <a:extLst xmlns:a="http://schemas.openxmlformats.org/drawingml/2006/main">
                <a:ext uri="{FF2B5EF4-FFF2-40B4-BE49-F238E27FC236}">
                  <a16:creationId xmlns:a16="http://schemas.microsoft.com/office/drawing/2014/main" id="{6D850EA8-69FF-4BCA-A73F-3A7E3BD42F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6"/>
              </a:graphicData>
            </a:graphic>
          </wp:inline>
        </w:drawing>
      </w:r>
      <w:r w:rsidRPr="00AE1B2B">
        <w:rPr>
          <w:rFonts w:ascii="Times New Roman" w:hAnsi="Times New Roman" w:cs="Times New Roman"/>
          <w:b/>
          <w:i/>
          <w:sz w:val="26"/>
          <w:szCs w:val="26"/>
        </w:rPr>
        <w:t>Fuente: Subproceso de Modernización Institucional con base a los Indicadores de Gestión y en los datos del sistema SIGMA, 2019 al 2020.</w:t>
      </w:r>
    </w:p>
    <w:p w:rsidRPr="00AE1B2B" w:rsidR="009D3FB5" w:rsidP="00163B94" w:rsidRDefault="009D3FB5" w14:paraId="7634520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Como se aprecia en el gráfico anterior, </w:t>
      </w:r>
      <w:bookmarkStart w:name="_Hlk64296249" w:id="276"/>
      <w:r w:rsidRPr="00AE1B2B">
        <w:rPr>
          <w:rFonts w:ascii="Times New Roman" w:hAnsi="Times New Roman" w:cs="Times New Roman"/>
          <w:sz w:val="26"/>
          <w:szCs w:val="26"/>
        </w:rPr>
        <w:t xml:space="preserve">se redujo la cantidad promedio de expedientes nuevos pendientes de del primer trámite, con excepción de los Juzgados de Santa Cruz, San Carlos y Corredores, que aumentaron la cantidad en el 2020 con respecto al año que le antecede, el cual oscila entre 0 y 10 casos. </w:t>
      </w:r>
      <w:bookmarkEnd w:id="276"/>
    </w:p>
    <w:p w:rsidRPr="00AE1B2B" w:rsidR="009D3FB5" w:rsidP="00163B94" w:rsidRDefault="009D3FB5" w14:paraId="503BC7F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caso de Alajuela, mantiene un promedio de cero (0) expedientes, esto obedece al poco ingreso de carga de trabajo que tiene este Despacho, el cual cumple con un promedio de siete (7) casos en promedio por persona técnica judicial. </w:t>
      </w:r>
    </w:p>
    <w:p w:rsidRPr="00AE1B2B" w:rsidR="009D3FB5" w:rsidP="00163B94" w:rsidRDefault="009D3FB5" w14:paraId="2073E8B0" w14:textId="77777777">
      <w:pPr>
        <w:spacing w:before="120" w:after="120"/>
        <w:ind w:left="851" w:right="851" w:firstLine="709"/>
        <w:jc w:val="both"/>
        <w:rPr>
          <w:rFonts w:ascii="Times New Roman" w:hAnsi="Times New Roman" w:cs="Times New Roman"/>
          <w:sz w:val="26"/>
          <w:szCs w:val="26"/>
        </w:rPr>
      </w:pPr>
      <w:bookmarkStart w:name="_Toc68688558" w:id="277"/>
      <w:r w:rsidRPr="00AE1B2B">
        <w:rPr>
          <w:rFonts w:ascii="Times New Roman" w:hAnsi="Times New Roman" w:cs="Times New Roman"/>
          <w:sz w:val="26"/>
          <w:szCs w:val="26"/>
        </w:rPr>
        <w:lastRenderedPageBreak/>
        <w:t>Expedientes Pasados a Firmar por persona Técnica Judicial al Personal Juzgador</w:t>
      </w:r>
      <w:bookmarkEnd w:id="277"/>
    </w:p>
    <w:p w:rsidRPr="00AE1B2B" w:rsidR="009D3FB5" w:rsidP="00163B94" w:rsidRDefault="009D3FB5" w14:paraId="19B26F1F"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Este indicador muestra la cantidad de expedientes pasados a firmar por persona técnica judicial al personal juzgador; lo que normalmente se le conoce como proveído generado por la Técnica o Técnico Judicial. Por lo anterior, es importante la aplicación de este indicador, ya que muestra si el personal técnico judicial cumple con cuotas de trabajo, la cual se implementó de al menos 12 expedientes tramitados por días, la cual puede variar de acuerdo con la ejecución de otras tareas fuera del trámite, como por ejemplo la realización de giras in situ para la realización de audiencias, atención de usuarios en el área de manifestación, entre otras. En el siguiente gráfico se muestra la comparación de proveído generado por el personal técnico judicial de cada Juzgado especializado del país, en el cual se considera lo realizado en el 2019 al 2020. </w:t>
      </w:r>
    </w:p>
    <w:p w:rsidRPr="00AE1B2B" w:rsidR="009D3FB5" w:rsidP="00163B94" w:rsidRDefault="009D3FB5" w14:paraId="6D5DC12A"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15</w:t>
      </w:r>
      <w:r w:rsidRPr="00AE1B2B">
        <w:rPr>
          <w:rFonts w:ascii="Times New Roman" w:hAnsi="Times New Roman"/>
          <w:iCs/>
          <w:sz w:val="26"/>
          <w:szCs w:val="26"/>
        </w:rPr>
        <w:fldChar w:fldCharType="end"/>
      </w:r>
    </w:p>
    <w:p w:rsidRPr="00AE1B2B" w:rsidR="009D3FB5" w:rsidP="00163B94" w:rsidRDefault="009D3FB5" w14:paraId="40C85E58"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Comportamiento de las Cantidad de Expedientes Pasados a Firmar al personal juzgador por parte del personal técnico judicial de los Juzgados Especializados en Materia Agraria en el Periodo 2019 al 2020</w:t>
      </w:r>
    </w:p>
    <w:p w:rsidRPr="00AE1B2B" w:rsidR="009D3FB5" w:rsidP="00163B94" w:rsidRDefault="009D3FB5" w14:paraId="61D839FF" w14:textId="77777777">
      <w:pPr>
        <w:tabs>
          <w:tab w:val="left" w:pos="284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noProof/>
          <w:lang w:val="en-US"/>
        </w:rPr>
        <w:drawing>
          <wp:inline distT="0" distB="0" distL="0" distR="0" wp14:anchorId="492F7BCE" wp14:editId="3DAD7CA8">
            <wp:extent cx="5646420" cy="3482340"/>
            <wp:effectExtent l="0" t="0" r="11430" b="3810"/>
            <wp:docPr id="1212768297" name="Gráfico 1212768297">
              <a:extLst xmlns:a="http://schemas.openxmlformats.org/drawingml/2006/main">
                <a:ext uri="{FF2B5EF4-FFF2-40B4-BE49-F238E27FC236}">
                  <a16:creationId xmlns:a16="http://schemas.microsoft.com/office/drawing/2014/main" id="{C53BD19C-6BEB-4170-A624-4AB432D7B9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7"/>
              </a:graphicData>
            </a:graphic>
          </wp:inline>
        </w:drawing>
      </w:r>
      <w:r w:rsidRPr="00AE1B2B">
        <w:rPr>
          <w:rFonts w:ascii="Times New Roman" w:hAnsi="Times New Roman" w:cs="Times New Roman"/>
          <w:b/>
          <w:i/>
          <w:sz w:val="26"/>
          <w:szCs w:val="26"/>
        </w:rPr>
        <w:t>Fuente: Subproceso de Modernización Institucional con base a los Indicadores de Gestión y en los datos del sistema SIGMA, 2019 al 2020.</w:t>
      </w:r>
    </w:p>
    <w:p w:rsidRPr="00AE1B2B" w:rsidR="009D3FB5" w:rsidP="00163B94" w:rsidRDefault="009D3FB5" w14:paraId="3F35D84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En el 50% de los Juzgados, que corresponden a los ubicados en Puntarenas, Corredores, Goicoechea, Pérez Zeledón, Alajuela y Cartago, el personal técnico judicial consigue aumentar la cantidad de proveído generado al mes, el cual ronda entre el 15% y 35% demás con respecto al 2019. </w:t>
      </w:r>
    </w:p>
    <w:p w:rsidRPr="00AE1B2B" w:rsidR="009D3FB5" w:rsidP="00163B94" w:rsidRDefault="009D3FB5" w14:paraId="0FB72A8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caso de los Despachos de Liberia, Limón, San Caros y Pococí, disminuyeron la cantidad de proveído generado; este último con más representación, el cual pasó de generar 137 casos en promedio al mes a 103 casos en promedio por persona técnica judicial. </w:t>
      </w:r>
    </w:p>
    <w:p w:rsidRPr="00AE1B2B" w:rsidR="009D3FB5" w:rsidP="00163B94" w:rsidRDefault="009D3FB5" w14:paraId="00E77E3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 lo anterior es importante indicar que, a grandes rasgos el personal técnico judicial no ha logrado cumplir con la cuota teórica establecida por mes (12x21=252 casos esperados en el mes), lo cual puede obseder a varios factores, como el acompañamiento a la realización de audiencias fuera del Juzgados, atención de usuarios, problemas de conectividad en relación con la pandemia por el COVID-19, entre otros. Estas justificaciones deben estar incorporadas en las minutas mensuales del equipo de trabajo. </w:t>
      </w:r>
    </w:p>
    <w:p w:rsidRPr="00AE1B2B" w:rsidR="009D3FB5" w:rsidP="00163B94" w:rsidRDefault="009D3FB5" w14:paraId="4BE209E0" w14:textId="77777777">
      <w:pPr>
        <w:spacing w:before="120" w:after="120"/>
        <w:ind w:left="851" w:right="851" w:firstLine="709"/>
        <w:jc w:val="both"/>
        <w:rPr>
          <w:rFonts w:ascii="Times New Roman" w:hAnsi="Times New Roman" w:cs="Times New Roman"/>
          <w:sz w:val="26"/>
          <w:szCs w:val="26"/>
        </w:rPr>
      </w:pPr>
      <w:bookmarkStart w:name="_Toc68688559" w:id="278"/>
      <w:r w:rsidRPr="00AE1B2B">
        <w:rPr>
          <w:rFonts w:ascii="Times New Roman" w:hAnsi="Times New Roman" w:cs="Times New Roman"/>
          <w:sz w:val="26"/>
          <w:szCs w:val="26"/>
        </w:rPr>
        <w:t>Cantidad de Sentencias Dictadas y Otros Motivos de Término por Persona Juzgadora</w:t>
      </w:r>
      <w:bookmarkEnd w:id="278"/>
    </w:p>
    <w:p w:rsidRPr="00AE1B2B" w:rsidR="009D3FB5" w:rsidP="00163B94" w:rsidRDefault="009D3FB5" w14:paraId="39A1C6EB"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Este indicador muestra la cantidad de sentencias y otros motivos de término generados por persona juzgadora al mes en cada uno de los Juzgados especializados. En el informe 555-PLA-RH-MI-2020 denominado “Impacto organizacional y presupuestario en el Poder Judicial a partir de la promulgación del Nuevo Código Procesal Agrario para el 2021. Ley 9609”, establece una cuota de trabajo de trabajo de 15 casos terminados, de los cuales seis (6) casos deben ser por sentencia (sentencia dictada, homologaciones y sentencias en ejecución) y nueve (9) casos por otros motivos de término. En el siguiente análisis se mostrará la comparación de la cantidad de casos terminados mensuales por persona juzgadora en el 2020 en relación con el 2019. </w:t>
      </w:r>
    </w:p>
    <w:p w:rsidRPr="00AE1B2B" w:rsidR="009D3FB5" w:rsidP="00163B94" w:rsidRDefault="009D3FB5" w14:paraId="0E5903EF" w14:textId="77777777">
      <w:pPr>
        <w:pStyle w:val="Ttulo"/>
        <w:spacing w:before="120" w:after="120"/>
        <w:rPr>
          <w:rFonts w:ascii="Times New Roman" w:hAnsi="Times New Roman"/>
          <w:iCs/>
          <w:szCs w:val="28"/>
        </w:rPr>
      </w:pPr>
    </w:p>
    <w:p w:rsidRPr="00AE1B2B" w:rsidR="009D3FB5" w:rsidP="00163B94" w:rsidRDefault="009D3FB5" w14:paraId="07F8A425" w14:textId="77777777">
      <w:pPr>
        <w:pStyle w:val="Ttulo"/>
        <w:spacing w:before="120" w:after="120"/>
        <w:rPr>
          <w:rFonts w:ascii="Times New Roman" w:hAnsi="Times New Roman"/>
          <w:iCs/>
          <w:szCs w:val="28"/>
        </w:rPr>
      </w:pPr>
    </w:p>
    <w:p w:rsidRPr="00AE1B2B" w:rsidR="009D3FB5" w:rsidP="00163B94" w:rsidRDefault="009D3FB5" w14:paraId="68BDDB62" w14:textId="77777777">
      <w:pPr>
        <w:pStyle w:val="Ttulo"/>
        <w:spacing w:before="120" w:after="120"/>
        <w:rPr>
          <w:rFonts w:ascii="Times New Roman" w:hAnsi="Times New Roman"/>
          <w:iCs/>
          <w:szCs w:val="28"/>
        </w:rPr>
      </w:pPr>
    </w:p>
    <w:p w:rsidRPr="00AE1B2B" w:rsidR="009D3FB5" w:rsidP="00163B94" w:rsidRDefault="009D3FB5" w14:paraId="5696246E" w14:textId="77777777">
      <w:pPr>
        <w:pStyle w:val="Ttulo"/>
        <w:spacing w:before="120" w:after="120"/>
        <w:rPr>
          <w:rFonts w:ascii="Times New Roman" w:hAnsi="Times New Roman"/>
          <w:iCs/>
          <w:szCs w:val="28"/>
        </w:rPr>
      </w:pPr>
    </w:p>
    <w:p w:rsidRPr="00AE1B2B" w:rsidR="009D3FB5" w:rsidP="00163B94" w:rsidRDefault="009D3FB5" w14:paraId="59006407" w14:textId="77777777">
      <w:pPr>
        <w:pStyle w:val="Ttulo"/>
        <w:spacing w:before="120" w:after="120"/>
        <w:rPr>
          <w:rFonts w:ascii="Times New Roman" w:hAnsi="Times New Roman"/>
          <w:iCs/>
          <w:szCs w:val="28"/>
        </w:rPr>
      </w:pPr>
    </w:p>
    <w:p w:rsidRPr="00AE1B2B" w:rsidR="009D3FB5" w:rsidP="00163B94" w:rsidRDefault="009D3FB5" w14:paraId="7F0A5919" w14:textId="77777777">
      <w:pPr>
        <w:pStyle w:val="Ttulo"/>
        <w:spacing w:before="120" w:after="120"/>
        <w:rPr>
          <w:rFonts w:ascii="Times New Roman" w:hAnsi="Times New Roman"/>
          <w:iCs/>
          <w:szCs w:val="28"/>
        </w:rPr>
      </w:pPr>
    </w:p>
    <w:p w:rsidRPr="00AE1B2B" w:rsidR="009D3FB5" w:rsidP="00163B94" w:rsidRDefault="009D3FB5" w14:paraId="4B091E40" w14:textId="77777777">
      <w:pPr>
        <w:pStyle w:val="Ttulo"/>
        <w:spacing w:before="120" w:after="120"/>
        <w:rPr>
          <w:rFonts w:ascii="Times New Roman" w:hAnsi="Times New Roman"/>
          <w:iCs/>
          <w:szCs w:val="28"/>
        </w:rPr>
      </w:pPr>
    </w:p>
    <w:p w:rsidRPr="00AE1B2B" w:rsidR="009D3FB5" w:rsidP="00163B94" w:rsidRDefault="009D3FB5" w14:paraId="37DA54FE" w14:textId="77777777">
      <w:pPr>
        <w:pStyle w:val="Ttulo"/>
        <w:spacing w:before="120" w:after="120"/>
        <w:rPr>
          <w:rFonts w:ascii="Times New Roman" w:hAnsi="Times New Roman"/>
          <w:iCs/>
          <w:szCs w:val="28"/>
        </w:rPr>
      </w:pPr>
    </w:p>
    <w:p w:rsidRPr="00AE1B2B" w:rsidR="009D3FB5" w:rsidP="00163B94" w:rsidRDefault="009D3FB5" w14:paraId="4DFB62A6" w14:textId="77777777">
      <w:pPr>
        <w:pStyle w:val="Ttulo"/>
        <w:spacing w:before="120" w:after="120"/>
        <w:rPr>
          <w:rFonts w:ascii="Times New Roman" w:hAnsi="Times New Roman"/>
          <w:iCs/>
          <w:szCs w:val="28"/>
        </w:rPr>
      </w:pPr>
    </w:p>
    <w:p w:rsidRPr="00AE1B2B" w:rsidR="009D3FB5" w:rsidP="00163B94" w:rsidRDefault="009D3FB5" w14:paraId="400453FF" w14:textId="77777777">
      <w:pPr>
        <w:pStyle w:val="Ttulo"/>
        <w:spacing w:before="120" w:after="120"/>
        <w:rPr>
          <w:rFonts w:ascii="Times New Roman" w:hAnsi="Times New Roman"/>
          <w:iCs/>
          <w:szCs w:val="28"/>
        </w:rPr>
      </w:pPr>
    </w:p>
    <w:p w:rsidRPr="00AE1B2B" w:rsidR="009D3FB5" w:rsidP="00163B94" w:rsidRDefault="009D3FB5" w14:paraId="01172160" w14:textId="77777777">
      <w:pPr>
        <w:pStyle w:val="Ttulo"/>
        <w:spacing w:before="120" w:after="120"/>
        <w:rPr>
          <w:rFonts w:ascii="Times New Roman" w:hAnsi="Times New Roman"/>
          <w:iCs/>
          <w:szCs w:val="28"/>
        </w:rPr>
      </w:pPr>
    </w:p>
    <w:p w:rsidRPr="00AE1B2B" w:rsidR="009D3FB5" w:rsidP="00163B94" w:rsidRDefault="009D3FB5" w14:paraId="6F681B24" w14:textId="77777777">
      <w:pPr>
        <w:pStyle w:val="Ttulo"/>
        <w:spacing w:before="120" w:after="120"/>
        <w:rPr>
          <w:rFonts w:ascii="Times New Roman" w:hAnsi="Times New Roman"/>
          <w:iCs/>
          <w:szCs w:val="28"/>
        </w:rPr>
      </w:pPr>
    </w:p>
    <w:p w:rsidRPr="00AE1B2B" w:rsidR="009D3FB5" w:rsidP="00163B94" w:rsidRDefault="009D3FB5" w14:paraId="07E627EC" w14:textId="77777777">
      <w:pPr>
        <w:pStyle w:val="Ttulo"/>
        <w:spacing w:before="120" w:after="120"/>
        <w:rPr>
          <w:rFonts w:ascii="Times New Roman" w:hAnsi="Times New Roman"/>
          <w:iCs/>
          <w:szCs w:val="28"/>
        </w:rPr>
      </w:pPr>
    </w:p>
    <w:p w:rsidRPr="00AE1B2B" w:rsidR="009D3FB5" w:rsidP="00163B94" w:rsidRDefault="009D3FB5" w14:paraId="239640B5" w14:textId="77777777">
      <w:pPr>
        <w:pStyle w:val="Ttulo"/>
        <w:spacing w:before="120" w:after="120"/>
        <w:rPr>
          <w:rFonts w:ascii="Times New Roman" w:hAnsi="Times New Roman"/>
          <w:iCs/>
          <w:szCs w:val="28"/>
        </w:rPr>
      </w:pPr>
    </w:p>
    <w:p w:rsidRPr="00AE1B2B" w:rsidR="009D3FB5" w:rsidP="00163B94" w:rsidRDefault="009D3FB5" w14:paraId="563D2D87" w14:textId="77777777">
      <w:pPr>
        <w:pStyle w:val="Ttulo"/>
        <w:spacing w:before="120" w:after="120"/>
        <w:rPr>
          <w:rFonts w:ascii="Times New Roman" w:hAnsi="Times New Roman"/>
          <w:iCs/>
          <w:szCs w:val="28"/>
        </w:rPr>
      </w:pPr>
    </w:p>
    <w:p w:rsidRPr="00AE1B2B" w:rsidR="009D3FB5" w:rsidP="00163B94" w:rsidRDefault="009D3FB5" w14:paraId="040882B7" w14:textId="77777777">
      <w:pPr>
        <w:pStyle w:val="Ttulo"/>
        <w:spacing w:before="120" w:after="120"/>
        <w:rPr>
          <w:rFonts w:ascii="Times New Roman" w:hAnsi="Times New Roman"/>
          <w:iCs/>
          <w:szCs w:val="28"/>
        </w:rPr>
      </w:pPr>
    </w:p>
    <w:p w:rsidRPr="00AE1B2B" w:rsidR="009D3FB5" w:rsidP="00163B94" w:rsidRDefault="009D3FB5" w14:paraId="558B64D2" w14:textId="77777777">
      <w:pPr>
        <w:pStyle w:val="Ttulo"/>
        <w:spacing w:before="120" w:after="120"/>
        <w:rPr>
          <w:rFonts w:ascii="Times New Roman" w:hAnsi="Times New Roman"/>
          <w:iCs/>
          <w:szCs w:val="28"/>
        </w:rPr>
      </w:pPr>
    </w:p>
    <w:p w:rsidRPr="00AE1B2B" w:rsidR="009D3FB5" w:rsidP="00163B94" w:rsidRDefault="009D3FB5" w14:paraId="5FA7AAEC" w14:textId="77777777">
      <w:pPr>
        <w:pStyle w:val="Ttulo"/>
        <w:spacing w:before="120" w:after="120"/>
        <w:rPr>
          <w:rFonts w:ascii="Times New Roman" w:hAnsi="Times New Roman"/>
          <w:iCs/>
          <w:szCs w:val="28"/>
        </w:rPr>
      </w:pPr>
    </w:p>
    <w:p w:rsidRPr="00AE1B2B" w:rsidR="009D3FB5" w:rsidP="00163B94" w:rsidRDefault="009D3FB5" w14:paraId="3E550962" w14:textId="77777777">
      <w:pPr>
        <w:pStyle w:val="Ttulo"/>
        <w:spacing w:before="120" w:after="120"/>
        <w:rPr>
          <w:rFonts w:ascii="Times New Roman" w:hAnsi="Times New Roman"/>
          <w:iCs/>
          <w:szCs w:val="28"/>
        </w:rPr>
      </w:pPr>
    </w:p>
    <w:p w:rsidRPr="00AE1B2B" w:rsidR="009D3FB5" w:rsidP="00163B94" w:rsidRDefault="009D3FB5" w14:paraId="5F55D2C9" w14:textId="77777777">
      <w:pPr>
        <w:pStyle w:val="Ttulo"/>
        <w:spacing w:before="120" w:after="120"/>
        <w:ind w:left="851" w:right="851" w:firstLine="709"/>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16</w:t>
      </w:r>
      <w:r w:rsidRPr="00AE1B2B">
        <w:rPr>
          <w:rFonts w:ascii="Times New Roman" w:hAnsi="Times New Roman"/>
          <w:iCs/>
          <w:sz w:val="26"/>
          <w:szCs w:val="26"/>
        </w:rPr>
        <w:fldChar w:fldCharType="end"/>
      </w:r>
    </w:p>
    <w:p w:rsidRPr="00AE1B2B" w:rsidR="009D3FB5" w:rsidP="00163B94" w:rsidRDefault="009D3FB5" w14:paraId="7A844F38" w14:textId="77777777">
      <w:pPr>
        <w:pStyle w:val="Ttulo"/>
        <w:spacing w:before="120" w:after="120"/>
        <w:ind w:left="851" w:right="851" w:firstLine="709"/>
        <w:rPr>
          <w:rFonts w:ascii="Times New Roman" w:hAnsi="Times New Roman"/>
          <w:iCs/>
          <w:sz w:val="26"/>
          <w:szCs w:val="26"/>
        </w:rPr>
      </w:pPr>
      <w:r w:rsidRPr="00AE1B2B">
        <w:rPr>
          <w:rFonts w:ascii="Times New Roman" w:hAnsi="Times New Roman"/>
          <w:iCs/>
          <w:sz w:val="26"/>
          <w:szCs w:val="26"/>
        </w:rPr>
        <w:t>Comportamiento de la Cantidad de Sentencias Dictadas y Otros Motivos de Término por Persona Juzgadora de los Juzgados Especializados en Materia Agraria en el Periodo 2019 al 2020 (promedios mensuales)</w:t>
      </w:r>
    </w:p>
    <w:p w:rsidRPr="00AE1B2B" w:rsidR="009D3FB5" w:rsidP="00163B94" w:rsidRDefault="009D3FB5" w14:paraId="40E00E41" w14:textId="77777777">
      <w:pPr>
        <w:spacing w:before="120" w:after="120"/>
        <w:rPr>
          <w:rFonts w:ascii="Times New Roman" w:hAnsi="Times New Roman" w:cs="Times New Roman"/>
          <w:lang w:val="es-MX"/>
        </w:rPr>
      </w:pPr>
    </w:p>
    <w:p w:rsidRPr="00AE1B2B" w:rsidR="009D3FB5" w:rsidP="00163B94" w:rsidRDefault="009D3FB5" w14:paraId="6E8FB7A4" w14:textId="77777777">
      <w:pPr>
        <w:tabs>
          <w:tab w:val="left" w:pos="284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noProof/>
          <w:lang w:val="en-US"/>
        </w:rPr>
        <w:lastRenderedPageBreak/>
        <w:drawing>
          <wp:inline distT="0" distB="0" distL="0" distR="0" wp14:anchorId="4394054F" wp14:editId="209C7E18">
            <wp:extent cx="5600700" cy="3718560"/>
            <wp:effectExtent l="0" t="0" r="0" b="15240"/>
            <wp:docPr id="1212768298" name="Gráfico 1212768298">
              <a:extLst xmlns:a="http://schemas.openxmlformats.org/drawingml/2006/main">
                <a:ext uri="{FF2B5EF4-FFF2-40B4-BE49-F238E27FC236}">
                  <a16:creationId xmlns:a16="http://schemas.microsoft.com/office/drawing/2014/main" id="{F307A93F-8262-42FF-A375-034A53D0E2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8"/>
              </a:graphicData>
            </a:graphic>
          </wp:inline>
        </w:drawing>
      </w:r>
      <w:r w:rsidRPr="00AE1B2B">
        <w:rPr>
          <w:rFonts w:ascii="Times New Roman" w:hAnsi="Times New Roman" w:cs="Times New Roman"/>
          <w:b/>
          <w:i/>
          <w:sz w:val="26"/>
          <w:szCs w:val="26"/>
        </w:rPr>
        <w:t>Fuente: Subproceso de Modernización Institucional con base a los Indicadores de Gestión y en los datos del sistema SIGMA, 2019 al 2020.</w:t>
      </w:r>
    </w:p>
    <w:p w:rsidRPr="00AE1B2B" w:rsidR="009D3FB5" w:rsidP="00163B94" w:rsidRDefault="009D3FB5" w14:paraId="1A84FB3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 acuerdo con los datos anteriores, se evidencia que los Despachos Agrarios para el 2020, redujeron la producción del dictado de sentencia en relación con el 2019. Los Juzgados de Puntarenas, Corredores y Pococí son las únicas oficinas que se superaron en si misma de acuerdo con la comparación realizada entre años. Para el 2020 se obtuvo un promedio de 10 casos terminados por persona juzgadora, de los cuales el 36% equivalen a Sentencias Dictadas y 64% a otros motivos de término. </w:t>
      </w:r>
    </w:p>
    <w:p w:rsidRPr="00AE1B2B" w:rsidR="009D3FB5" w:rsidP="00163B94" w:rsidRDefault="009D3FB5" w14:paraId="7AA6A23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5AA9A2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CE9D484" w14:textId="77777777">
      <w:pPr>
        <w:spacing w:before="120" w:after="120"/>
        <w:ind w:left="851" w:right="851" w:firstLine="709"/>
        <w:jc w:val="both"/>
        <w:rPr>
          <w:rFonts w:ascii="Times New Roman" w:hAnsi="Times New Roman" w:cs="Times New Roman"/>
          <w:sz w:val="26"/>
          <w:szCs w:val="26"/>
        </w:rPr>
      </w:pPr>
      <w:bookmarkStart w:name="_Toc68688560" w:id="279"/>
      <w:r w:rsidRPr="00AE1B2B">
        <w:rPr>
          <w:rFonts w:ascii="Times New Roman" w:hAnsi="Times New Roman" w:cs="Times New Roman"/>
          <w:sz w:val="26"/>
          <w:szCs w:val="26"/>
        </w:rPr>
        <w:t>Cantidad de Expedientes Firmados por Persona Juzgadora</w:t>
      </w:r>
      <w:bookmarkEnd w:id="279"/>
    </w:p>
    <w:p w:rsidRPr="00AE1B2B" w:rsidR="009D3FB5" w:rsidP="00163B94" w:rsidRDefault="009D3FB5" w14:paraId="118AA4D2"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Esta cantidad de expedientes representa todo el proveído pasado a firmar por el personal técnico judicial al personal juzgador durante al mes, por lo que a continuación se realiza un abalance promedio de lo generado en el 2020 con relación al 2019. </w:t>
      </w:r>
    </w:p>
    <w:p w:rsidRPr="00AE1B2B" w:rsidR="009D3FB5" w:rsidP="00163B94" w:rsidRDefault="009D3FB5" w14:paraId="0EE1D01A"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17</w:t>
      </w:r>
      <w:r w:rsidRPr="00AE1B2B">
        <w:rPr>
          <w:rFonts w:ascii="Times New Roman" w:hAnsi="Times New Roman"/>
          <w:iCs/>
          <w:sz w:val="26"/>
          <w:szCs w:val="26"/>
        </w:rPr>
        <w:fldChar w:fldCharType="end"/>
      </w:r>
    </w:p>
    <w:p w:rsidRPr="00AE1B2B" w:rsidR="009D3FB5" w:rsidP="00163B94" w:rsidRDefault="009D3FB5" w14:paraId="07F937B0"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lastRenderedPageBreak/>
        <w:t>Comportamiento de la Cantidad de Expedientes firmados por Jueza o Juez de los Juzgados Especializados en Materia Agraria en el Periodo 2019 al 2020</w:t>
      </w:r>
    </w:p>
    <w:p w:rsidRPr="00AE1B2B" w:rsidR="009D3FB5" w:rsidP="00163B94" w:rsidRDefault="009D3FB5" w14:paraId="7ED9FDED" w14:textId="77777777">
      <w:pPr>
        <w:spacing w:before="120" w:after="120"/>
        <w:rPr>
          <w:rFonts w:ascii="Times New Roman" w:hAnsi="Times New Roman" w:cs="Times New Roman"/>
        </w:rPr>
      </w:pPr>
    </w:p>
    <w:p w:rsidRPr="00AE1B2B" w:rsidR="009D3FB5" w:rsidP="00163B94" w:rsidRDefault="009D3FB5" w14:paraId="0BEF66A3" w14:textId="77777777">
      <w:pPr>
        <w:tabs>
          <w:tab w:val="left" w:pos="284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noProof/>
          <w:lang w:val="en-US"/>
        </w:rPr>
        <w:drawing>
          <wp:inline distT="0" distB="0" distL="0" distR="0" wp14:anchorId="2E9E22C1" wp14:editId="03A81D42">
            <wp:extent cx="5806440" cy="3665220"/>
            <wp:effectExtent l="0" t="0" r="3810" b="11430"/>
            <wp:docPr id="148" name="Gráfico 148">
              <a:extLst xmlns:a="http://schemas.openxmlformats.org/drawingml/2006/main">
                <a:ext uri="{FF2B5EF4-FFF2-40B4-BE49-F238E27FC236}">
                  <a16:creationId xmlns:a16="http://schemas.microsoft.com/office/drawing/2014/main" id="{17A97321-7366-4359-BDC9-4957A0B4D2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9"/>
              </a:graphicData>
            </a:graphic>
          </wp:inline>
        </w:drawing>
      </w:r>
      <w:r w:rsidRPr="00AE1B2B">
        <w:rPr>
          <w:rFonts w:ascii="Times New Roman" w:hAnsi="Times New Roman" w:cs="Times New Roman"/>
          <w:b/>
          <w:i/>
          <w:sz w:val="26"/>
          <w:szCs w:val="26"/>
        </w:rPr>
        <w:t>Fuente: Subproceso de Modernización Institucional con base a los Indicadores de Gestión y en los datos del sistema SIGMA, 2019 al 2020.</w:t>
      </w:r>
    </w:p>
    <w:p w:rsidRPr="00AE1B2B" w:rsidR="009D3FB5" w:rsidP="00163B94" w:rsidRDefault="009D3FB5" w14:paraId="7A41204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Siete (7) Despachos especializados en la materia Agraria superaron con respecto al 2019, la cantidad promedio de firmado, los cuales ronda entre 100 y 204 expedientes por persona Juzgadora. Los restantes Despachos experimentaron disminuciones en su productividad que oscilan entre 8% y 25% con respecto al 2019. </w:t>
      </w:r>
    </w:p>
    <w:p w:rsidRPr="00AE1B2B" w:rsidR="009D3FB5" w:rsidP="00163B94" w:rsidRDefault="009D3FB5" w14:paraId="2F8126CE" w14:textId="1E634B50">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Mayormente este dato va a depender de la cantidad de expedientes que genera para firma el personal técnico judicial.</w:t>
      </w:r>
      <w:r w:rsidRPr="00AE1B2B" w:rsidR="00BB7720">
        <w:rPr>
          <w:rFonts w:ascii="Times New Roman" w:hAnsi="Times New Roman" w:cs="Times New Roman"/>
          <w:sz w:val="26"/>
          <w:szCs w:val="26"/>
        </w:rPr>
        <w:t xml:space="preserve"> </w:t>
      </w:r>
    </w:p>
    <w:p w:rsidRPr="00AE1B2B" w:rsidR="009D3FB5" w:rsidP="00163B94" w:rsidRDefault="009D3FB5" w14:paraId="08BA77FE" w14:textId="77777777">
      <w:pPr>
        <w:spacing w:before="120" w:after="120"/>
        <w:ind w:left="851" w:right="851" w:firstLine="709"/>
        <w:jc w:val="both"/>
        <w:rPr>
          <w:rFonts w:ascii="Times New Roman" w:hAnsi="Times New Roman" w:cs="Times New Roman"/>
          <w:sz w:val="26"/>
          <w:szCs w:val="26"/>
        </w:rPr>
      </w:pPr>
      <w:bookmarkStart w:name="_Toc68688561" w:id="280"/>
      <w:r w:rsidRPr="00AE1B2B">
        <w:rPr>
          <w:rFonts w:ascii="Times New Roman" w:hAnsi="Times New Roman" w:cs="Times New Roman"/>
          <w:sz w:val="26"/>
          <w:szCs w:val="26"/>
        </w:rPr>
        <w:t>Cantidad de Expedientes Pendientes de Firma por Jueza o Juez</w:t>
      </w:r>
      <w:bookmarkEnd w:id="280"/>
    </w:p>
    <w:p w:rsidRPr="00AE1B2B" w:rsidR="009D3FB5" w:rsidP="00163B94" w:rsidRDefault="009D3FB5" w14:paraId="749A05DD"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Este indicador muestra la cantidad de expedientes que, en el mes, la persona juzgadora no pudo realizarle la firma correspondiente, los cuales quedan como un remanente para el siguiente mes. En el siguiente gráfico se realiza una comparación sobre el comportamiento de este indicador en relación con el 2020 y 2019.</w:t>
      </w:r>
    </w:p>
    <w:p w:rsidRPr="00AE1B2B" w:rsidR="009D3FB5" w:rsidP="00163B94" w:rsidRDefault="009D3FB5" w14:paraId="53DFF123"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lastRenderedPageBreak/>
        <w:t xml:space="preserve"> </w:t>
      </w:r>
    </w:p>
    <w:p w:rsidRPr="00AE1B2B" w:rsidR="009D3FB5" w:rsidP="00163B94" w:rsidRDefault="009D3FB5" w14:paraId="51329D50"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1DC9D87C"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18</w:t>
      </w:r>
      <w:r w:rsidRPr="00AE1B2B">
        <w:rPr>
          <w:rFonts w:ascii="Times New Roman" w:hAnsi="Times New Roman"/>
          <w:iCs/>
          <w:sz w:val="26"/>
          <w:szCs w:val="26"/>
        </w:rPr>
        <w:fldChar w:fldCharType="end"/>
      </w:r>
    </w:p>
    <w:p w:rsidRPr="00AE1B2B" w:rsidR="009D3FB5" w:rsidP="00163B94" w:rsidRDefault="009D3FB5" w14:paraId="6382DF64" w14:textId="3DD8E3EF">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Comportamiento de la Cantidad de Expedientes firmados por Jueza o Juez de los Juzgados Especializados en Materia Agraria en el Periodo 2019 al 2020 (promedio mensual)</w:t>
      </w:r>
      <w:r w:rsidRPr="00AE1B2B" w:rsidR="00BB7720">
        <w:rPr>
          <w:rFonts w:ascii="Times New Roman" w:hAnsi="Times New Roman"/>
          <w:iCs/>
          <w:sz w:val="26"/>
          <w:szCs w:val="26"/>
        </w:rPr>
        <w:t xml:space="preserve"> </w:t>
      </w:r>
    </w:p>
    <w:p w:rsidRPr="00AE1B2B" w:rsidR="009D3FB5" w:rsidP="00163B94" w:rsidRDefault="009D3FB5" w14:paraId="2EC0F112" w14:textId="77777777">
      <w:pPr>
        <w:tabs>
          <w:tab w:val="left" w:pos="284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noProof/>
          <w:lang w:val="en-US"/>
        </w:rPr>
        <w:drawing>
          <wp:inline distT="0" distB="0" distL="0" distR="0" wp14:anchorId="637729F7" wp14:editId="6D91E363">
            <wp:extent cx="5612130" cy="3741420"/>
            <wp:effectExtent l="0" t="0" r="7620" b="11430"/>
            <wp:docPr id="146" name="Gráfico 146">
              <a:extLst xmlns:a="http://schemas.openxmlformats.org/drawingml/2006/main">
                <a:ext uri="{FF2B5EF4-FFF2-40B4-BE49-F238E27FC236}">
                  <a16:creationId xmlns:a16="http://schemas.microsoft.com/office/drawing/2014/main" id="{17A97321-7366-4359-BDC9-4957A0B4D2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0"/>
              </a:graphicData>
            </a:graphic>
          </wp:inline>
        </w:drawing>
      </w:r>
      <w:r w:rsidRPr="00AE1B2B">
        <w:rPr>
          <w:rFonts w:ascii="Times New Roman" w:hAnsi="Times New Roman" w:cs="Times New Roman"/>
          <w:b/>
          <w:i/>
          <w:sz w:val="26"/>
          <w:szCs w:val="26"/>
        </w:rPr>
        <w:t>Fuente: Subproceso de Modernización Institucional con base a los Indicadores de Gestión y en los datos del sistema SIGMA, 2019 al 2020.</w:t>
      </w:r>
    </w:p>
    <w:p w:rsidRPr="00AE1B2B" w:rsidR="009D3FB5" w:rsidP="00163B94" w:rsidRDefault="009D3FB5" w14:paraId="3AED0F0A" w14:textId="3ED7C09D">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resultado de este indicador deja como evidencia que, el Juzgado Agrario de San Ramón es el que más casos en promedio deja pendientes en el mes, con un promedio de 18 casos, cuatro (4) menos que el 2019. Les continúan los Juzgados de Limón, Pococí y San Carlos, con 16, 15 y 13 casos promedio respectivamente, esto por persona juzgadora. Caso contrario, está los Juzgados Agrarios de Alajuela, Santa Cruz y Goicochea, con uno (1) y tres (3) casos respectivamente.</w:t>
      </w:r>
      <w:r w:rsidRPr="00AE1B2B" w:rsidR="00BB7720">
        <w:rPr>
          <w:rFonts w:ascii="Times New Roman" w:hAnsi="Times New Roman" w:cs="Times New Roman"/>
          <w:sz w:val="26"/>
          <w:szCs w:val="26"/>
        </w:rPr>
        <w:t xml:space="preserve"> </w:t>
      </w:r>
    </w:p>
    <w:p w:rsidRPr="00AE1B2B" w:rsidR="009D3FB5" w:rsidP="00163B94" w:rsidRDefault="009D3FB5" w14:paraId="3366C1C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Con base a los análisis de los indicadores realizados, se presenta una comparación entre los valores de cada indicador entre el 2019 y 2020, el cual se detalla a continuación :</w:t>
      </w:r>
    </w:p>
    <w:p w:rsidRPr="00AE1B2B" w:rsidR="009D3FB5" w:rsidP="00163B94" w:rsidRDefault="009D3FB5" w14:paraId="08240220"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lastRenderedPageBreak/>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9</w:t>
      </w:r>
      <w:r w:rsidRPr="00AE1B2B">
        <w:rPr>
          <w:rFonts w:ascii="Times New Roman" w:hAnsi="Times New Roman"/>
          <w:iCs/>
          <w:sz w:val="26"/>
          <w:szCs w:val="26"/>
        </w:rPr>
        <w:fldChar w:fldCharType="end"/>
      </w:r>
    </w:p>
    <w:p w:rsidRPr="00AE1B2B" w:rsidR="009D3FB5" w:rsidP="00163B94" w:rsidRDefault="009D3FB5" w14:paraId="68724683" w14:textId="77777777">
      <w:pPr>
        <w:spacing w:before="120" w:after="120"/>
        <w:ind w:left="851" w:right="851" w:firstLine="709"/>
        <w:jc w:val="both"/>
        <w:rPr>
          <w:rFonts w:ascii="Times New Roman" w:hAnsi="Times New Roman" w:cs="Times New Roman"/>
          <w:b/>
          <w:iCs/>
          <w:sz w:val="26"/>
          <w:szCs w:val="26"/>
        </w:rPr>
      </w:pPr>
      <w:r w:rsidRPr="00AE1B2B">
        <w:rPr>
          <w:rFonts w:ascii="Times New Roman" w:hAnsi="Times New Roman" w:cs="Times New Roman"/>
          <w:b/>
          <w:iCs/>
          <w:sz w:val="26"/>
          <w:szCs w:val="26"/>
        </w:rPr>
        <w:t>Análisis Comparativo de los Indicadores de Gestión de los Juzgados Agrarios Especializados entre los años 2019 y 2020</w:t>
      </w:r>
    </w:p>
    <w:tbl>
      <w:tblPr>
        <w:tblW w:w="11482" w:type="dxa"/>
        <w:tblInd w:w="-1299" w:type="dxa"/>
        <w:tblLayout w:type="fixed"/>
        <w:tblCellMar>
          <w:left w:w="70" w:type="dxa"/>
          <w:right w:w="70" w:type="dxa"/>
        </w:tblCellMar>
        <w:tblLook w:val="04A0" w:firstRow="1" w:lastRow="0" w:firstColumn="1" w:lastColumn="0" w:noHBand="0" w:noVBand="1"/>
      </w:tblPr>
      <w:tblGrid>
        <w:gridCol w:w="2127"/>
        <w:gridCol w:w="1559"/>
        <w:gridCol w:w="709"/>
        <w:gridCol w:w="709"/>
        <w:gridCol w:w="567"/>
        <w:gridCol w:w="708"/>
        <w:gridCol w:w="709"/>
        <w:gridCol w:w="567"/>
        <w:gridCol w:w="567"/>
        <w:gridCol w:w="709"/>
        <w:gridCol w:w="567"/>
        <w:gridCol w:w="709"/>
        <w:gridCol w:w="567"/>
        <w:gridCol w:w="708"/>
      </w:tblGrid>
      <w:tr w:rsidRPr="00AE1B2B" w:rsidR="009D3FB5" w:rsidTr="009D3FB5" w14:paraId="5113CB6F" w14:textId="77777777">
        <w:trPr>
          <w:trHeight w:val="600"/>
          <w:tblHeader/>
        </w:trPr>
        <w:tc>
          <w:tcPr>
            <w:tcW w:w="2127" w:type="dxa"/>
            <w:tcBorders>
              <w:top w:val="double" w:color="1F497D" w:sz="6" w:space="0"/>
              <w:left w:val="double" w:color="1F497D" w:sz="6" w:space="0"/>
              <w:bottom w:val="double" w:color="1F497D" w:sz="6" w:space="0"/>
              <w:right w:val="double" w:color="1F497D" w:sz="6" w:space="0"/>
            </w:tcBorders>
            <w:shd w:val="clear" w:color="000000" w:fill="31869B"/>
            <w:vAlign w:val="center"/>
            <w:hideMark/>
          </w:tcPr>
          <w:p w:rsidRPr="00AE1B2B" w:rsidR="009D3FB5" w:rsidP="00163B94" w:rsidRDefault="009D3FB5" w14:paraId="0307F4F9"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Indicador</w:t>
            </w:r>
          </w:p>
        </w:tc>
        <w:tc>
          <w:tcPr>
            <w:tcW w:w="1559"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634D9EB7"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Valor objetivo</w:t>
            </w:r>
          </w:p>
        </w:tc>
        <w:tc>
          <w:tcPr>
            <w:tcW w:w="709"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33CEBD68"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 xml:space="preserve"> Cartago</w:t>
            </w:r>
          </w:p>
        </w:tc>
        <w:tc>
          <w:tcPr>
            <w:tcW w:w="709"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1D4510FB"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Alajuela</w:t>
            </w:r>
          </w:p>
        </w:tc>
        <w:tc>
          <w:tcPr>
            <w:tcW w:w="567"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7DA92A9F"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Liberia</w:t>
            </w:r>
          </w:p>
        </w:tc>
        <w:tc>
          <w:tcPr>
            <w:tcW w:w="708"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5DD513DD"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Limón</w:t>
            </w:r>
          </w:p>
        </w:tc>
        <w:tc>
          <w:tcPr>
            <w:tcW w:w="709"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5267FA19"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Pérez Zeledón</w:t>
            </w:r>
          </w:p>
        </w:tc>
        <w:tc>
          <w:tcPr>
            <w:tcW w:w="567"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79F271BC"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San Carlos</w:t>
            </w:r>
          </w:p>
        </w:tc>
        <w:tc>
          <w:tcPr>
            <w:tcW w:w="567"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650245A3"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Santa Cruz</w:t>
            </w:r>
          </w:p>
        </w:tc>
        <w:tc>
          <w:tcPr>
            <w:tcW w:w="709"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2336604C"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Goicoechea</w:t>
            </w:r>
          </w:p>
        </w:tc>
        <w:tc>
          <w:tcPr>
            <w:tcW w:w="567"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78191487"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Pococí</w:t>
            </w:r>
          </w:p>
        </w:tc>
        <w:tc>
          <w:tcPr>
            <w:tcW w:w="709"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753585D6"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Corredores</w:t>
            </w:r>
          </w:p>
        </w:tc>
        <w:tc>
          <w:tcPr>
            <w:tcW w:w="567"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215C5A41"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San Ramón</w:t>
            </w:r>
          </w:p>
        </w:tc>
        <w:tc>
          <w:tcPr>
            <w:tcW w:w="708"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6EFF3EA9"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Puntarenas</w:t>
            </w:r>
          </w:p>
        </w:tc>
      </w:tr>
      <w:tr w:rsidRPr="00AE1B2B" w:rsidR="009D3FB5" w:rsidTr="009D3FB5" w14:paraId="6682C383"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7F704CD8"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t>Entrada</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240ED69"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Estabilización</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5FE0A132"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4794E304"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35D5E0D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-10</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691FE136"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70FC28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2A6ED85"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58F2C26F"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-16</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741A023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24D45D1D"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-18</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204E6B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1113073E"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w:t>
            </w:r>
          </w:p>
        </w:tc>
        <w:tc>
          <w:tcPr>
            <w:tcW w:w="708"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2209A16E"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w:t>
            </w:r>
          </w:p>
        </w:tc>
      </w:tr>
      <w:tr w:rsidRPr="00AE1B2B" w:rsidR="009D3FB5" w:rsidTr="009D3FB5" w14:paraId="118B3C6F"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41936E87"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t>Terminados</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004072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Incremento</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4592983D"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7</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23E743C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-5</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7A2057DF"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w:t>
            </w:r>
          </w:p>
        </w:tc>
        <w:tc>
          <w:tcPr>
            <w:tcW w:w="708"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45D80EC1"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-20</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CBAEEFD"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7A6F1076"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6</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11D773AF"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-9</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117DBAF2"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-8</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1F799C80"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-28</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17759206"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-10</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146FBA8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-8</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1D52EE4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8</w:t>
            </w:r>
          </w:p>
        </w:tc>
      </w:tr>
      <w:tr w:rsidRPr="00AE1B2B" w:rsidR="009D3FB5" w:rsidTr="009D3FB5" w14:paraId="425F57D0"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259A3BBA"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t>Circulante</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8F21A66"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Disminución</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6AEB8DFF"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-43</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69B372C2"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45</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244677E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-101</w:t>
            </w:r>
          </w:p>
        </w:tc>
        <w:tc>
          <w:tcPr>
            <w:tcW w:w="708"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3E71F929"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46</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35706E7D"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-6</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354B8E06"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-8</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2E94432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15</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8E07015"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-44</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25388B5B"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-5</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0546DE9B"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39</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0AD68ACC"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26</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63976735"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-97</w:t>
            </w:r>
          </w:p>
        </w:tc>
      </w:tr>
      <w:tr w:rsidRPr="00AE1B2B" w:rsidR="009D3FB5" w:rsidTr="009D3FB5" w14:paraId="68520A6C"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5EB88E31"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t>Plazo de Dictado sentencia</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933E084"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Disminución</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6390551"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-16</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548DB457"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324</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5B4C451F"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-219</w:t>
            </w:r>
          </w:p>
        </w:tc>
        <w:tc>
          <w:tcPr>
            <w:tcW w:w="708"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18049619"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6</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2FEFCC6"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-24</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0B33FA8B"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35</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641F6C54"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-17</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248BCE71"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-61</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227B79E1"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-17</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75FF6262"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-87</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616E4BE6"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12</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5F62B1F6"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-288</w:t>
            </w:r>
          </w:p>
        </w:tc>
      </w:tr>
      <w:tr w:rsidRPr="00AE1B2B" w:rsidR="009D3FB5" w:rsidTr="009D3FB5" w14:paraId="14F5714E"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2E66CC31"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t>Plazo de realización de audiencia</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8B4506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Disminución</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787DB976"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26</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A40E499"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-18</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768E7774"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52898DFB"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-37</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218C54E"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-19</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B560320"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-140</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7DC2A88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7</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2FC86C4C"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36EF76C0"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213</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1BAB871C"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23</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1E6AEB1B"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19</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6CA2B8D"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-5</w:t>
            </w:r>
          </w:p>
        </w:tc>
      </w:tr>
      <w:tr w:rsidRPr="00AE1B2B" w:rsidR="009D3FB5" w:rsidTr="009D3FB5" w14:paraId="4B423DE7"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27086FD7"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t>Plazo para resolver demanda nueva</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9B74EEB"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Disminución</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585B4F9B"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-22</w:t>
            </w:r>
          </w:p>
        </w:tc>
        <w:tc>
          <w:tcPr>
            <w:tcW w:w="709" w:type="dxa"/>
            <w:tcBorders>
              <w:top w:val="double" w:color="1F497D" w:sz="6" w:space="0"/>
              <w:left w:val="double" w:color="1F497D" w:sz="6" w:space="0"/>
              <w:bottom w:val="double" w:color="1F497D" w:sz="6" w:space="0"/>
              <w:right w:val="double" w:color="1F497D" w:sz="6" w:space="0"/>
            </w:tcBorders>
            <w:shd w:val="clear" w:color="000000" w:fill="FFFF00"/>
            <w:noWrap/>
            <w:vAlign w:val="center"/>
            <w:hideMark/>
          </w:tcPr>
          <w:p w:rsidRPr="00AE1B2B" w:rsidR="009D3FB5" w:rsidP="00163B94" w:rsidRDefault="009D3FB5" w14:paraId="4209DD07"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F7128B7"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333BFC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73514A8C"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-9</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10A5D679"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-8</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4521A2DE"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29</w:t>
            </w:r>
          </w:p>
        </w:tc>
        <w:tc>
          <w:tcPr>
            <w:tcW w:w="709" w:type="dxa"/>
            <w:tcBorders>
              <w:top w:val="double" w:color="1F497D" w:sz="6" w:space="0"/>
              <w:left w:val="double" w:color="1F497D" w:sz="6" w:space="0"/>
              <w:bottom w:val="double" w:color="1F497D" w:sz="6" w:space="0"/>
              <w:right w:val="double" w:color="1F497D" w:sz="6" w:space="0"/>
            </w:tcBorders>
            <w:shd w:val="clear" w:color="000000" w:fill="FFFF00"/>
            <w:noWrap/>
            <w:vAlign w:val="center"/>
            <w:hideMark/>
          </w:tcPr>
          <w:p w:rsidRPr="00AE1B2B" w:rsidR="009D3FB5" w:rsidP="00163B94" w:rsidRDefault="009D3FB5" w14:paraId="3672005B"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4E847781"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-7</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4AE95E8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c>
          <w:tcPr>
            <w:tcW w:w="567" w:type="dxa"/>
            <w:tcBorders>
              <w:top w:val="double" w:color="1F497D" w:sz="6" w:space="0"/>
              <w:left w:val="double" w:color="1F497D" w:sz="6" w:space="0"/>
              <w:bottom w:val="double" w:color="1F497D" w:sz="6" w:space="0"/>
              <w:right w:val="double" w:color="1F497D" w:sz="6" w:space="0"/>
            </w:tcBorders>
            <w:shd w:val="clear" w:color="000000" w:fill="FFFF00"/>
            <w:noWrap/>
            <w:vAlign w:val="center"/>
            <w:hideMark/>
          </w:tcPr>
          <w:p w:rsidRPr="00AE1B2B" w:rsidR="009D3FB5" w:rsidP="00163B94" w:rsidRDefault="009D3FB5" w14:paraId="75DCA354"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2C72CD7F"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w:t>
            </w:r>
          </w:p>
        </w:tc>
      </w:tr>
      <w:tr w:rsidRPr="00AE1B2B" w:rsidR="009D3FB5" w:rsidTr="009D3FB5" w14:paraId="64DDA925"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474DACAC"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t>Plazo para resolver escrito fuera del despacho</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9E60F97"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Disminución</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59F0C3CF"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183</w:t>
            </w:r>
          </w:p>
        </w:tc>
        <w:tc>
          <w:tcPr>
            <w:tcW w:w="709" w:type="dxa"/>
            <w:tcBorders>
              <w:top w:val="double" w:color="1F497D" w:sz="6" w:space="0"/>
              <w:left w:val="double" w:color="1F497D" w:sz="6" w:space="0"/>
              <w:bottom w:val="double" w:color="1F497D" w:sz="6" w:space="0"/>
              <w:right w:val="double" w:color="1F497D" w:sz="6" w:space="0"/>
            </w:tcBorders>
            <w:shd w:val="clear" w:color="000000" w:fill="FFFF00"/>
            <w:noWrap/>
            <w:vAlign w:val="center"/>
            <w:hideMark/>
          </w:tcPr>
          <w:p w:rsidRPr="00AE1B2B" w:rsidR="009D3FB5" w:rsidP="00163B94" w:rsidRDefault="009D3FB5" w14:paraId="0494BFA2"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59885EC0"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-340</w:t>
            </w:r>
          </w:p>
        </w:tc>
        <w:tc>
          <w:tcPr>
            <w:tcW w:w="708"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5FA7CEBB"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368</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43B2B3C0"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-355</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39A6A21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480</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48A54849"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240</w:t>
            </w:r>
          </w:p>
        </w:tc>
        <w:tc>
          <w:tcPr>
            <w:tcW w:w="709" w:type="dxa"/>
            <w:tcBorders>
              <w:top w:val="double" w:color="1F497D" w:sz="6" w:space="0"/>
              <w:left w:val="double" w:color="1F497D" w:sz="6" w:space="0"/>
              <w:bottom w:val="double" w:color="1F497D" w:sz="6" w:space="0"/>
              <w:right w:val="double" w:color="1F497D" w:sz="6" w:space="0"/>
            </w:tcBorders>
            <w:shd w:val="clear" w:color="000000" w:fill="FFFF00"/>
            <w:noWrap/>
            <w:vAlign w:val="center"/>
            <w:hideMark/>
          </w:tcPr>
          <w:p w:rsidRPr="00AE1B2B" w:rsidR="009D3FB5" w:rsidP="00163B94" w:rsidRDefault="009D3FB5" w14:paraId="07D302FF"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4526A862"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-9</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771696D5"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50</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38A56469"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290</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3C09F3E0"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-27</w:t>
            </w:r>
          </w:p>
        </w:tc>
      </w:tr>
      <w:tr w:rsidRPr="00AE1B2B" w:rsidR="009D3FB5" w:rsidTr="009D3FB5" w14:paraId="2980136E"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26AEE94D"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t>Plazo para resolver escrito dentro del despacho</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F39084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Disminución</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69FFC62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-59</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146122F4"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-27</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6D86B63E"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-366</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640A4CED"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-13</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7A36093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-29</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060CA37B"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10</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2DE85C2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284</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46244665"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78AD5EB0"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-17</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2E16898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-27</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31A63EEE"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51C9103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-24</w:t>
            </w:r>
          </w:p>
        </w:tc>
      </w:tr>
      <w:tr w:rsidRPr="00AE1B2B" w:rsidR="009D3FB5" w:rsidTr="009D3FB5" w14:paraId="6FF4377D"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317629B2"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t>Plazo de espera de firma de resoluciones</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D2A5720"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Disminución</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7C5D28B5"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1CEFAFE7"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-16</w:t>
            </w:r>
          </w:p>
        </w:tc>
        <w:tc>
          <w:tcPr>
            <w:tcW w:w="567" w:type="dxa"/>
            <w:tcBorders>
              <w:top w:val="double" w:color="1F497D" w:sz="6" w:space="0"/>
              <w:left w:val="double" w:color="1F497D" w:sz="6" w:space="0"/>
              <w:bottom w:val="double" w:color="1F497D" w:sz="6" w:space="0"/>
              <w:right w:val="double" w:color="1F497D" w:sz="6" w:space="0"/>
            </w:tcBorders>
            <w:shd w:val="clear" w:color="000000" w:fill="FFFF00"/>
            <w:noWrap/>
            <w:vAlign w:val="center"/>
            <w:hideMark/>
          </w:tcPr>
          <w:p w:rsidRPr="00AE1B2B" w:rsidR="009D3FB5" w:rsidP="00163B94" w:rsidRDefault="009D3FB5" w14:paraId="323BE60B"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3EF50585"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c>
          <w:tcPr>
            <w:tcW w:w="709" w:type="dxa"/>
            <w:tcBorders>
              <w:top w:val="double" w:color="1F497D" w:sz="6" w:space="0"/>
              <w:left w:val="double" w:color="1F497D" w:sz="6" w:space="0"/>
              <w:bottom w:val="double" w:color="1F497D" w:sz="6" w:space="0"/>
              <w:right w:val="double" w:color="1F497D" w:sz="6" w:space="0"/>
            </w:tcBorders>
            <w:shd w:val="clear" w:color="000000" w:fill="FFFF00"/>
            <w:noWrap/>
            <w:vAlign w:val="center"/>
            <w:hideMark/>
          </w:tcPr>
          <w:p w:rsidRPr="00AE1B2B" w:rsidR="009D3FB5" w:rsidP="00163B94" w:rsidRDefault="009D3FB5" w14:paraId="58E18AC5"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5F957E0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0510EA47"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c>
          <w:tcPr>
            <w:tcW w:w="709" w:type="dxa"/>
            <w:tcBorders>
              <w:top w:val="double" w:color="1F497D" w:sz="6" w:space="0"/>
              <w:left w:val="double" w:color="1F497D" w:sz="6" w:space="0"/>
              <w:bottom w:val="double" w:color="1F497D" w:sz="6" w:space="0"/>
              <w:right w:val="double" w:color="1F497D" w:sz="6" w:space="0"/>
            </w:tcBorders>
            <w:shd w:val="clear" w:color="000000" w:fill="FFFF00"/>
            <w:noWrap/>
            <w:vAlign w:val="center"/>
            <w:hideMark/>
          </w:tcPr>
          <w:p w:rsidRPr="00AE1B2B" w:rsidR="009D3FB5" w:rsidP="00163B94" w:rsidRDefault="009D3FB5" w14:paraId="74F8527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567" w:type="dxa"/>
            <w:tcBorders>
              <w:top w:val="double" w:color="1F497D" w:sz="6" w:space="0"/>
              <w:left w:val="double" w:color="1F497D" w:sz="6" w:space="0"/>
              <w:bottom w:val="double" w:color="1F497D" w:sz="6" w:space="0"/>
              <w:right w:val="double" w:color="1F497D" w:sz="6" w:space="0"/>
            </w:tcBorders>
            <w:shd w:val="clear" w:color="000000" w:fill="FFFF00"/>
            <w:noWrap/>
            <w:vAlign w:val="center"/>
            <w:hideMark/>
          </w:tcPr>
          <w:p w:rsidRPr="00AE1B2B" w:rsidR="009D3FB5" w:rsidP="00163B94" w:rsidRDefault="009D3FB5" w14:paraId="757FE981"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472DF11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-6</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48863F71"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613CAE36"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w:t>
            </w:r>
          </w:p>
        </w:tc>
      </w:tr>
      <w:tr w:rsidRPr="00AE1B2B" w:rsidR="009D3FB5" w:rsidTr="009D3FB5" w14:paraId="00F5ADDE"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0701A981"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t>Audiencias pendientes de realización</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5D06D56"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Disminución</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07FF744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22</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6E1CA12E"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-5</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5B60564C"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-7</w:t>
            </w:r>
          </w:p>
        </w:tc>
        <w:tc>
          <w:tcPr>
            <w:tcW w:w="708"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19DB93B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26</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17BF128D"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-18</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183765BF"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-32</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2046FE8B"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10</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5E9FF02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38CC602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137</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1391B886"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6</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5860A5EC"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8</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ECA4640"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w:t>
            </w:r>
          </w:p>
        </w:tc>
      </w:tr>
      <w:tr w:rsidRPr="00AE1B2B" w:rsidR="009D3FB5" w:rsidTr="009D3FB5" w14:paraId="348236E3"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6C1BBBFE"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t>Expedientes pendientes de fallo</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F07EEC4"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Disminución</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6E5FC55E"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9</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6B23A434"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-7</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515F3EDF"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24</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4DFBE51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-35</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538FF19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-15</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543489C5"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-18</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7E9628D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6</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61A913D2"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2E6A522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88</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3FDE8D77"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-27</w:t>
            </w:r>
          </w:p>
        </w:tc>
        <w:tc>
          <w:tcPr>
            <w:tcW w:w="567" w:type="dxa"/>
            <w:tcBorders>
              <w:top w:val="double" w:color="1F497D" w:sz="6" w:space="0"/>
              <w:left w:val="double" w:color="1F497D" w:sz="6" w:space="0"/>
              <w:bottom w:val="double" w:color="1F497D" w:sz="6" w:space="0"/>
              <w:right w:val="double" w:color="1F497D" w:sz="6" w:space="0"/>
            </w:tcBorders>
            <w:shd w:val="clear" w:color="000000" w:fill="FFFF00"/>
            <w:noWrap/>
            <w:vAlign w:val="center"/>
            <w:hideMark/>
          </w:tcPr>
          <w:p w:rsidRPr="00AE1B2B" w:rsidR="009D3FB5" w:rsidP="00163B94" w:rsidRDefault="009D3FB5" w14:paraId="57E5EC44"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708"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2AA5C4F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40</w:t>
            </w:r>
          </w:p>
        </w:tc>
      </w:tr>
      <w:tr w:rsidRPr="00AE1B2B" w:rsidR="009D3FB5" w:rsidTr="009D3FB5" w14:paraId="1D44360F"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02805F50"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t>Escritos pendientes de resolver</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1D5200F"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Disminución</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383BA86F"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-121</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63B971A7"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-27</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5C4A10DF"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207628DC"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-97</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700A3E56"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-20</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54064ED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110B9A00"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-74</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051FAA3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9</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2AD122D9"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15</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34329AC7"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-9</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146883C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-7</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8937D8D"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-81</w:t>
            </w:r>
          </w:p>
        </w:tc>
      </w:tr>
      <w:tr w:rsidRPr="00AE1B2B" w:rsidR="009D3FB5" w:rsidTr="009D3FB5" w14:paraId="5BA737AE"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5CDA9AE4"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t>Demandas nuevas pendientes de resolver</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974F492"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Disminución</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26D7536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w:t>
            </w:r>
          </w:p>
        </w:tc>
        <w:tc>
          <w:tcPr>
            <w:tcW w:w="709" w:type="dxa"/>
            <w:tcBorders>
              <w:top w:val="double" w:color="1F497D" w:sz="6" w:space="0"/>
              <w:left w:val="double" w:color="1F497D" w:sz="6" w:space="0"/>
              <w:bottom w:val="double" w:color="1F497D" w:sz="6" w:space="0"/>
              <w:right w:val="double" w:color="1F497D" w:sz="6" w:space="0"/>
            </w:tcBorders>
            <w:shd w:val="clear" w:color="000000" w:fill="FFFF00"/>
            <w:noWrap/>
            <w:vAlign w:val="center"/>
            <w:hideMark/>
          </w:tcPr>
          <w:p w:rsidRPr="00AE1B2B" w:rsidR="009D3FB5" w:rsidP="00163B94" w:rsidRDefault="009D3FB5" w14:paraId="2DA7E33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1CC3DF44"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2158EEF9"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-5</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6BD493EE"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553C0A9E"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7B7044A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1D06EB80"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2D855AC1"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w:t>
            </w:r>
          </w:p>
        </w:tc>
        <w:tc>
          <w:tcPr>
            <w:tcW w:w="709" w:type="dxa"/>
            <w:tcBorders>
              <w:top w:val="double" w:color="1F497D" w:sz="6" w:space="0"/>
              <w:left w:val="double" w:color="1F497D" w:sz="6" w:space="0"/>
              <w:bottom w:val="double" w:color="1F497D" w:sz="6" w:space="0"/>
              <w:right w:val="double" w:color="1F497D" w:sz="6" w:space="0"/>
            </w:tcBorders>
            <w:shd w:val="clear" w:color="auto" w:fill="FFFF00"/>
            <w:noWrap/>
            <w:vAlign w:val="center"/>
            <w:hideMark/>
          </w:tcPr>
          <w:p w:rsidRPr="00AE1B2B" w:rsidR="009D3FB5" w:rsidP="00163B94" w:rsidRDefault="009D3FB5" w14:paraId="6FF75C00"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7F916D8C"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9249650"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r>
      <w:tr w:rsidRPr="00AE1B2B" w:rsidR="009D3FB5" w:rsidTr="009D3FB5" w14:paraId="0301C965"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390FE607"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t>Expedientes pasados a firmar</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1F86FE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Incremento</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22E92D09"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7</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66717661"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29D7455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-5</w:t>
            </w:r>
          </w:p>
        </w:tc>
        <w:tc>
          <w:tcPr>
            <w:tcW w:w="708"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428C4691"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-11</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1A7BFD59"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12</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21B2FC8D"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-14</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6A8F700E"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-7</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1BCACA31"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6</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4DBB6C01"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-34</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2A2B30A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13</w:t>
            </w:r>
          </w:p>
        </w:tc>
        <w:tc>
          <w:tcPr>
            <w:tcW w:w="567" w:type="dxa"/>
            <w:tcBorders>
              <w:top w:val="double" w:color="1F497D" w:sz="6" w:space="0"/>
              <w:left w:val="double" w:color="1F497D" w:sz="6" w:space="0"/>
              <w:bottom w:val="double" w:color="1F497D" w:sz="6" w:space="0"/>
              <w:right w:val="double" w:color="1F497D" w:sz="6" w:space="0"/>
            </w:tcBorders>
            <w:shd w:val="clear" w:color="000000" w:fill="FFFF00"/>
            <w:noWrap/>
            <w:vAlign w:val="center"/>
            <w:hideMark/>
          </w:tcPr>
          <w:p w:rsidRPr="00AE1B2B" w:rsidR="009D3FB5" w:rsidP="00163B94" w:rsidRDefault="009D3FB5" w14:paraId="55F6BC7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75A98289"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36</w:t>
            </w:r>
          </w:p>
        </w:tc>
      </w:tr>
      <w:tr w:rsidRPr="00AE1B2B" w:rsidR="009D3FB5" w:rsidTr="009D3FB5" w14:paraId="0FD75E18"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7697D279"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lastRenderedPageBreak/>
              <w:t>Cantidad de sentencias dictadas</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972614C"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Incremento</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740B7C65"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77B01C15"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3A325953"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w:t>
            </w:r>
          </w:p>
        </w:tc>
        <w:tc>
          <w:tcPr>
            <w:tcW w:w="708"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38999D32"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78304B0C"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6FBBFAED"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-7</w:t>
            </w:r>
          </w:p>
        </w:tc>
        <w:tc>
          <w:tcPr>
            <w:tcW w:w="567" w:type="dxa"/>
            <w:tcBorders>
              <w:top w:val="double" w:color="1F497D" w:sz="6" w:space="0"/>
              <w:left w:val="double" w:color="1F497D" w:sz="6" w:space="0"/>
              <w:bottom w:val="double" w:color="1F497D" w:sz="6" w:space="0"/>
              <w:right w:val="double" w:color="1F497D" w:sz="6" w:space="0"/>
            </w:tcBorders>
            <w:shd w:val="clear" w:color="000000" w:fill="FFFF00"/>
            <w:noWrap/>
            <w:vAlign w:val="center"/>
            <w:hideMark/>
          </w:tcPr>
          <w:p w:rsidRPr="00AE1B2B" w:rsidR="009D3FB5" w:rsidP="00163B94" w:rsidRDefault="009D3FB5" w14:paraId="199641C6"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3465FD2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w:t>
            </w:r>
          </w:p>
        </w:tc>
        <w:tc>
          <w:tcPr>
            <w:tcW w:w="567" w:type="dxa"/>
            <w:tcBorders>
              <w:top w:val="double" w:color="1F497D" w:sz="6" w:space="0"/>
              <w:left w:val="double" w:color="1F497D" w:sz="6" w:space="0"/>
              <w:bottom w:val="double" w:color="1F497D" w:sz="6" w:space="0"/>
              <w:right w:val="double" w:color="1F497D" w:sz="6" w:space="0"/>
            </w:tcBorders>
            <w:shd w:val="clear" w:color="000000" w:fill="FFFF00"/>
            <w:noWrap/>
            <w:vAlign w:val="center"/>
            <w:hideMark/>
          </w:tcPr>
          <w:p w:rsidRPr="00AE1B2B" w:rsidR="009D3FB5" w:rsidP="00163B94" w:rsidRDefault="009D3FB5" w14:paraId="47ADB229"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6D98A56F"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140F8BA9"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336DA172"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r>
      <w:tr w:rsidRPr="00AE1B2B" w:rsidR="009D3FB5" w:rsidTr="009D3FB5" w14:paraId="0CB2410E"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544183BA"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t>Cantidad de expedientes firmados</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0675B92"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Incremento</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4830EA8C"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33</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17A2D61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8</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5CFC63BB"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-9</w:t>
            </w:r>
          </w:p>
        </w:tc>
        <w:tc>
          <w:tcPr>
            <w:tcW w:w="708"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598AF74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-27</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433DC379"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15</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3380E0E2"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5</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72401577"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-43</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1F846E7E"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7</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368F9FC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-60</w:t>
            </w:r>
          </w:p>
        </w:tc>
        <w:tc>
          <w:tcPr>
            <w:tcW w:w="709"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3EF1847D"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18</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5274782A"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-15</w:t>
            </w:r>
          </w:p>
        </w:tc>
        <w:tc>
          <w:tcPr>
            <w:tcW w:w="708"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5932CB6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31</w:t>
            </w:r>
          </w:p>
        </w:tc>
      </w:tr>
      <w:tr w:rsidRPr="00AE1B2B" w:rsidR="009D3FB5" w:rsidTr="009D3FB5" w14:paraId="523915B0" w14:textId="77777777">
        <w:trPr>
          <w:trHeight w:val="312"/>
        </w:trPr>
        <w:tc>
          <w:tcPr>
            <w:tcW w:w="2127"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2D767B9F" w14:textId="77777777">
            <w:pPr>
              <w:spacing w:before="120" w:after="120"/>
              <w:rPr>
                <w:rFonts w:ascii="Times New Roman" w:hAnsi="Times New Roman" w:cs="Times New Roman"/>
                <w:sz w:val="20"/>
                <w:lang w:eastAsia="es-CR"/>
              </w:rPr>
            </w:pPr>
            <w:r w:rsidRPr="00AE1B2B">
              <w:rPr>
                <w:rFonts w:ascii="Times New Roman" w:hAnsi="Times New Roman" w:cs="Times New Roman"/>
                <w:sz w:val="20"/>
                <w:lang w:eastAsia="es-CR"/>
              </w:rPr>
              <w:t>Cantidad de expedientes pendientes de firma</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5714BD1"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Disminución</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56766E96"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-12</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187D4C4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19E42D31"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w:t>
            </w:r>
          </w:p>
        </w:tc>
        <w:tc>
          <w:tcPr>
            <w:tcW w:w="708" w:type="dxa"/>
            <w:tcBorders>
              <w:top w:val="double" w:color="1F497D" w:sz="6" w:space="0"/>
              <w:left w:val="double" w:color="1F497D" w:sz="6" w:space="0"/>
              <w:bottom w:val="double" w:color="1F497D" w:sz="6" w:space="0"/>
              <w:right w:val="double" w:color="1F497D" w:sz="6" w:space="0"/>
            </w:tcBorders>
            <w:shd w:val="clear" w:color="000000" w:fill="FFFF00"/>
            <w:noWrap/>
            <w:vAlign w:val="center"/>
            <w:hideMark/>
          </w:tcPr>
          <w:p w:rsidRPr="00AE1B2B" w:rsidR="009D3FB5" w:rsidP="00163B94" w:rsidRDefault="009D3FB5" w14:paraId="61A66BC5"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48813C8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c>
          <w:tcPr>
            <w:tcW w:w="567" w:type="dxa"/>
            <w:tcBorders>
              <w:top w:val="double" w:color="1F497D" w:sz="6" w:space="0"/>
              <w:left w:val="double" w:color="1F497D" w:sz="6" w:space="0"/>
              <w:bottom w:val="double" w:color="1F497D" w:sz="6" w:space="0"/>
              <w:right w:val="double" w:color="1F497D" w:sz="6" w:space="0"/>
            </w:tcBorders>
            <w:shd w:val="clear" w:color="000000" w:fill="FFFF00"/>
            <w:noWrap/>
            <w:vAlign w:val="center"/>
            <w:hideMark/>
          </w:tcPr>
          <w:p w:rsidRPr="00AE1B2B" w:rsidR="009D3FB5" w:rsidP="00163B94" w:rsidRDefault="009D3FB5" w14:paraId="20FC10B0"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0</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0118FD45"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36B8DE90"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c>
          <w:tcPr>
            <w:tcW w:w="567" w:type="dxa"/>
            <w:tcBorders>
              <w:top w:val="double" w:color="1F497D" w:sz="6" w:space="0"/>
              <w:left w:val="double" w:color="1F497D" w:sz="6" w:space="0"/>
              <w:bottom w:val="double" w:color="1F497D" w:sz="6" w:space="0"/>
              <w:right w:val="double" w:color="1F497D" w:sz="6" w:space="0"/>
            </w:tcBorders>
            <w:shd w:val="clear" w:color="000000" w:fill="00B050"/>
            <w:noWrap/>
            <w:vAlign w:val="center"/>
            <w:hideMark/>
          </w:tcPr>
          <w:p w:rsidRPr="00AE1B2B" w:rsidR="009D3FB5" w:rsidP="00163B94" w:rsidRDefault="009D3FB5" w14:paraId="6D3F1161"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2</w:t>
            </w:r>
          </w:p>
        </w:tc>
        <w:tc>
          <w:tcPr>
            <w:tcW w:w="709"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278A9E17"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c>
          <w:tcPr>
            <w:tcW w:w="567"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0BDFA8E8"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-3</w:t>
            </w:r>
          </w:p>
        </w:tc>
        <w:tc>
          <w:tcPr>
            <w:tcW w:w="708" w:type="dxa"/>
            <w:tcBorders>
              <w:top w:val="double" w:color="1F497D" w:sz="6" w:space="0"/>
              <w:left w:val="double" w:color="1F497D" w:sz="6" w:space="0"/>
              <w:bottom w:val="double" w:color="1F497D" w:sz="6" w:space="0"/>
              <w:right w:val="double" w:color="1F497D" w:sz="6" w:space="0"/>
            </w:tcBorders>
            <w:shd w:val="clear" w:color="000000" w:fill="FF0000"/>
            <w:noWrap/>
            <w:vAlign w:val="center"/>
            <w:hideMark/>
          </w:tcPr>
          <w:p w:rsidRPr="00AE1B2B" w:rsidR="009D3FB5" w:rsidP="00163B94" w:rsidRDefault="009D3FB5" w14:paraId="1E5F89E0" w14:textId="77777777">
            <w:pPr>
              <w:spacing w:before="120" w:after="120"/>
              <w:jc w:val="center"/>
              <w:rPr>
                <w:rFonts w:ascii="Times New Roman" w:hAnsi="Times New Roman" w:cs="Times New Roman"/>
                <w:sz w:val="20"/>
                <w:lang w:eastAsia="es-CR"/>
              </w:rPr>
            </w:pPr>
            <w:r w:rsidRPr="00AE1B2B">
              <w:rPr>
                <w:rFonts w:ascii="Times New Roman" w:hAnsi="Times New Roman" w:cs="Times New Roman"/>
                <w:sz w:val="20"/>
                <w:lang w:eastAsia="es-CR"/>
              </w:rPr>
              <w:t>-1</w:t>
            </w:r>
          </w:p>
        </w:tc>
      </w:tr>
      <w:tr w:rsidRPr="00AE1B2B" w:rsidR="009D3FB5" w:rsidTr="009D3FB5" w14:paraId="06BFB8D8" w14:textId="77777777">
        <w:trPr>
          <w:trHeight w:val="312"/>
        </w:trPr>
        <w:tc>
          <w:tcPr>
            <w:tcW w:w="3686" w:type="dxa"/>
            <w:gridSpan w:val="2"/>
            <w:tcBorders>
              <w:top w:val="double" w:color="1F497D" w:sz="6" w:space="0"/>
              <w:left w:val="double" w:color="1F497D" w:sz="6" w:space="0"/>
              <w:bottom w:val="double" w:color="1F497D" w:sz="6" w:space="0"/>
              <w:right w:val="double" w:color="1F497D" w:sz="6" w:space="0"/>
            </w:tcBorders>
            <w:shd w:val="clear" w:color="000000" w:fill="00B050"/>
            <w:vAlign w:val="center"/>
            <w:hideMark/>
          </w:tcPr>
          <w:p w:rsidRPr="00AE1B2B" w:rsidR="009D3FB5" w:rsidP="00163B94" w:rsidRDefault="009D3FB5" w14:paraId="7301ED6E" w14:textId="77777777">
            <w:pPr>
              <w:spacing w:before="120" w:after="120"/>
              <w:jc w:val="right"/>
              <w:rPr>
                <w:rFonts w:ascii="Times New Roman" w:hAnsi="Times New Roman" w:cs="Times New Roman"/>
                <w:b/>
                <w:bCs/>
                <w:sz w:val="20"/>
                <w:lang w:eastAsia="es-CR"/>
              </w:rPr>
            </w:pPr>
            <w:r w:rsidRPr="00AE1B2B">
              <w:rPr>
                <w:rFonts w:ascii="Times New Roman" w:hAnsi="Times New Roman" w:cs="Times New Roman"/>
                <w:b/>
                <w:bCs/>
                <w:sz w:val="20"/>
                <w:lang w:eastAsia="es-CR"/>
              </w:rPr>
              <w:t>Total de indicadores que mejoraron</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BFE95C4"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10</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0C43CF8"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9</w:t>
            </w:r>
          </w:p>
        </w:tc>
        <w:tc>
          <w:tcPr>
            <w:tcW w:w="56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363DBD8"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10</w:t>
            </w:r>
          </w:p>
        </w:tc>
        <w:tc>
          <w:tcPr>
            <w:tcW w:w="708"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8F5E0F0"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8</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BC30724"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14</w:t>
            </w:r>
          </w:p>
        </w:tc>
        <w:tc>
          <w:tcPr>
            <w:tcW w:w="56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3F5D382"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9</w:t>
            </w:r>
          </w:p>
        </w:tc>
        <w:tc>
          <w:tcPr>
            <w:tcW w:w="56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8BFFD7D"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4</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86C8764"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9</w:t>
            </w:r>
          </w:p>
        </w:tc>
        <w:tc>
          <w:tcPr>
            <w:tcW w:w="56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692DF24"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8</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B8763C9"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9</w:t>
            </w:r>
          </w:p>
        </w:tc>
        <w:tc>
          <w:tcPr>
            <w:tcW w:w="56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40BEB97"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5</w:t>
            </w:r>
          </w:p>
        </w:tc>
        <w:tc>
          <w:tcPr>
            <w:tcW w:w="708"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859C3F7"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14</w:t>
            </w:r>
          </w:p>
        </w:tc>
      </w:tr>
      <w:tr w:rsidRPr="00AE1B2B" w:rsidR="009D3FB5" w:rsidTr="009D3FB5" w14:paraId="3E4ACBF9" w14:textId="77777777">
        <w:trPr>
          <w:trHeight w:val="312"/>
        </w:trPr>
        <w:tc>
          <w:tcPr>
            <w:tcW w:w="3686" w:type="dxa"/>
            <w:gridSpan w:val="2"/>
            <w:tcBorders>
              <w:top w:val="double" w:color="1F497D" w:sz="6" w:space="0"/>
              <w:left w:val="double" w:color="1F497D" w:sz="6" w:space="0"/>
              <w:bottom w:val="double" w:color="1F497D" w:sz="6" w:space="0"/>
              <w:right w:val="double" w:color="1F497D" w:sz="6" w:space="0"/>
            </w:tcBorders>
            <w:shd w:val="clear" w:color="000000" w:fill="FF0000"/>
            <w:vAlign w:val="center"/>
            <w:hideMark/>
          </w:tcPr>
          <w:p w:rsidRPr="00AE1B2B" w:rsidR="009D3FB5" w:rsidP="00163B94" w:rsidRDefault="009D3FB5" w14:paraId="0422EF58" w14:textId="77777777">
            <w:pPr>
              <w:spacing w:before="120" w:after="120"/>
              <w:jc w:val="right"/>
              <w:rPr>
                <w:rFonts w:ascii="Times New Roman" w:hAnsi="Times New Roman" w:cs="Times New Roman"/>
                <w:b/>
                <w:bCs/>
                <w:sz w:val="20"/>
                <w:lang w:eastAsia="es-CR"/>
              </w:rPr>
            </w:pPr>
            <w:r w:rsidRPr="00AE1B2B">
              <w:rPr>
                <w:rFonts w:ascii="Times New Roman" w:hAnsi="Times New Roman" w:cs="Times New Roman"/>
                <w:b/>
                <w:bCs/>
                <w:sz w:val="20"/>
                <w:lang w:eastAsia="es-CR"/>
              </w:rPr>
              <w:t>Total de indicadores que desmejoraron</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B44B146"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7</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551AE03"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5</w:t>
            </w:r>
          </w:p>
        </w:tc>
        <w:tc>
          <w:tcPr>
            <w:tcW w:w="56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98D6BED"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6</w:t>
            </w:r>
          </w:p>
        </w:tc>
        <w:tc>
          <w:tcPr>
            <w:tcW w:w="708"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1723DD6"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8</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6BB134F"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2</w:t>
            </w:r>
          </w:p>
        </w:tc>
        <w:tc>
          <w:tcPr>
            <w:tcW w:w="56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1E08BFF"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7</w:t>
            </w:r>
          </w:p>
        </w:tc>
        <w:tc>
          <w:tcPr>
            <w:tcW w:w="56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E67AEB8"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12</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AA6B70F"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5</w:t>
            </w:r>
          </w:p>
        </w:tc>
        <w:tc>
          <w:tcPr>
            <w:tcW w:w="56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8C9C211"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7</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F26FDB0"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7</w:t>
            </w:r>
          </w:p>
        </w:tc>
        <w:tc>
          <w:tcPr>
            <w:tcW w:w="56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5DF17EA"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9</w:t>
            </w:r>
          </w:p>
        </w:tc>
        <w:tc>
          <w:tcPr>
            <w:tcW w:w="708"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AA530B7"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3</w:t>
            </w:r>
          </w:p>
        </w:tc>
      </w:tr>
      <w:tr w:rsidRPr="00AE1B2B" w:rsidR="009D3FB5" w:rsidTr="009D3FB5" w14:paraId="55C30421" w14:textId="77777777">
        <w:trPr>
          <w:trHeight w:val="312"/>
        </w:trPr>
        <w:tc>
          <w:tcPr>
            <w:tcW w:w="3686" w:type="dxa"/>
            <w:gridSpan w:val="2"/>
            <w:tcBorders>
              <w:top w:val="double" w:color="1F497D" w:sz="6" w:space="0"/>
              <w:left w:val="double" w:color="1F497D" w:sz="6" w:space="0"/>
              <w:bottom w:val="double" w:color="5B9BD5" w:themeColor="accent1" w:sz="4" w:space="0"/>
              <w:right w:val="double" w:color="1F497D" w:sz="6" w:space="0"/>
            </w:tcBorders>
            <w:shd w:val="clear" w:color="000000" w:fill="FFFF00"/>
            <w:vAlign w:val="center"/>
            <w:hideMark/>
          </w:tcPr>
          <w:p w:rsidRPr="00AE1B2B" w:rsidR="009D3FB5" w:rsidP="00163B94" w:rsidRDefault="009D3FB5" w14:paraId="567FF416" w14:textId="77777777">
            <w:pPr>
              <w:spacing w:before="120" w:after="120"/>
              <w:jc w:val="right"/>
              <w:rPr>
                <w:rFonts w:ascii="Times New Roman" w:hAnsi="Times New Roman" w:cs="Times New Roman"/>
                <w:b/>
                <w:bCs/>
                <w:sz w:val="20"/>
                <w:lang w:eastAsia="es-CR"/>
              </w:rPr>
            </w:pPr>
            <w:r w:rsidRPr="00AE1B2B">
              <w:rPr>
                <w:rFonts w:ascii="Times New Roman" w:hAnsi="Times New Roman" w:cs="Times New Roman"/>
                <w:b/>
                <w:bCs/>
                <w:sz w:val="20"/>
                <w:lang w:eastAsia="es-CR"/>
              </w:rPr>
              <w:t xml:space="preserve">Total de indicadores que no variaron </w:t>
            </w:r>
          </w:p>
        </w:tc>
        <w:tc>
          <w:tcPr>
            <w:tcW w:w="709" w:type="dxa"/>
            <w:tcBorders>
              <w:top w:val="nil"/>
              <w:left w:val="nil"/>
              <w:bottom w:val="double" w:color="5B9BD5" w:themeColor="accent1" w:sz="4" w:space="0"/>
              <w:right w:val="double" w:color="1F497D" w:sz="6" w:space="0"/>
            </w:tcBorders>
            <w:shd w:val="clear" w:color="auto" w:fill="auto"/>
            <w:noWrap/>
            <w:vAlign w:val="center"/>
            <w:hideMark/>
          </w:tcPr>
          <w:p w:rsidRPr="00AE1B2B" w:rsidR="009D3FB5" w:rsidP="00163B94" w:rsidRDefault="009D3FB5" w14:paraId="05C3C7AA"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0</w:t>
            </w:r>
          </w:p>
        </w:tc>
        <w:tc>
          <w:tcPr>
            <w:tcW w:w="709" w:type="dxa"/>
            <w:tcBorders>
              <w:top w:val="nil"/>
              <w:left w:val="nil"/>
              <w:bottom w:val="double" w:color="5B9BD5" w:themeColor="accent1" w:sz="4" w:space="0"/>
              <w:right w:val="double" w:color="1F497D" w:sz="6" w:space="0"/>
            </w:tcBorders>
            <w:shd w:val="clear" w:color="auto" w:fill="auto"/>
            <w:noWrap/>
            <w:vAlign w:val="center"/>
            <w:hideMark/>
          </w:tcPr>
          <w:p w:rsidRPr="00AE1B2B" w:rsidR="009D3FB5" w:rsidP="00163B94" w:rsidRDefault="009D3FB5" w14:paraId="42CF65CD"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3</w:t>
            </w:r>
          </w:p>
        </w:tc>
        <w:tc>
          <w:tcPr>
            <w:tcW w:w="567" w:type="dxa"/>
            <w:tcBorders>
              <w:top w:val="nil"/>
              <w:left w:val="nil"/>
              <w:bottom w:val="double" w:color="5B9BD5" w:themeColor="accent1" w:sz="4" w:space="0"/>
              <w:right w:val="double" w:color="1F497D" w:sz="6" w:space="0"/>
            </w:tcBorders>
            <w:shd w:val="clear" w:color="auto" w:fill="auto"/>
            <w:noWrap/>
            <w:vAlign w:val="center"/>
            <w:hideMark/>
          </w:tcPr>
          <w:p w:rsidRPr="00AE1B2B" w:rsidR="009D3FB5" w:rsidP="00163B94" w:rsidRDefault="009D3FB5" w14:paraId="29814749"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1</w:t>
            </w:r>
          </w:p>
        </w:tc>
        <w:tc>
          <w:tcPr>
            <w:tcW w:w="708" w:type="dxa"/>
            <w:tcBorders>
              <w:top w:val="nil"/>
              <w:left w:val="nil"/>
              <w:bottom w:val="double" w:color="5B9BD5" w:themeColor="accent1" w:sz="4" w:space="0"/>
              <w:right w:val="double" w:color="1F497D" w:sz="6" w:space="0"/>
            </w:tcBorders>
            <w:shd w:val="clear" w:color="auto" w:fill="auto"/>
            <w:noWrap/>
            <w:vAlign w:val="center"/>
            <w:hideMark/>
          </w:tcPr>
          <w:p w:rsidRPr="00AE1B2B" w:rsidR="009D3FB5" w:rsidP="00163B94" w:rsidRDefault="009D3FB5" w14:paraId="5F987EE1"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1</w:t>
            </w:r>
          </w:p>
        </w:tc>
        <w:tc>
          <w:tcPr>
            <w:tcW w:w="709" w:type="dxa"/>
            <w:tcBorders>
              <w:top w:val="nil"/>
              <w:left w:val="nil"/>
              <w:bottom w:val="double" w:color="5B9BD5" w:themeColor="accent1" w:sz="4" w:space="0"/>
              <w:right w:val="double" w:color="1F497D" w:sz="6" w:space="0"/>
            </w:tcBorders>
            <w:shd w:val="clear" w:color="auto" w:fill="auto"/>
            <w:noWrap/>
            <w:vAlign w:val="center"/>
            <w:hideMark/>
          </w:tcPr>
          <w:p w:rsidRPr="00AE1B2B" w:rsidR="009D3FB5" w:rsidP="00163B94" w:rsidRDefault="009D3FB5" w14:paraId="784862E3"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1</w:t>
            </w:r>
          </w:p>
        </w:tc>
        <w:tc>
          <w:tcPr>
            <w:tcW w:w="567" w:type="dxa"/>
            <w:tcBorders>
              <w:top w:val="nil"/>
              <w:left w:val="nil"/>
              <w:bottom w:val="double" w:color="5B9BD5" w:themeColor="accent1" w:sz="4" w:space="0"/>
              <w:right w:val="double" w:color="1F497D" w:sz="6" w:space="0"/>
            </w:tcBorders>
            <w:shd w:val="clear" w:color="auto" w:fill="auto"/>
            <w:noWrap/>
            <w:vAlign w:val="center"/>
            <w:hideMark/>
          </w:tcPr>
          <w:p w:rsidRPr="00AE1B2B" w:rsidR="009D3FB5" w:rsidP="00163B94" w:rsidRDefault="009D3FB5" w14:paraId="0C06A6EA"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1</w:t>
            </w:r>
          </w:p>
        </w:tc>
        <w:tc>
          <w:tcPr>
            <w:tcW w:w="567" w:type="dxa"/>
            <w:tcBorders>
              <w:top w:val="nil"/>
              <w:left w:val="nil"/>
              <w:bottom w:val="double" w:color="5B9BD5" w:themeColor="accent1" w:sz="4" w:space="0"/>
              <w:right w:val="double" w:color="1F497D" w:sz="6" w:space="0"/>
            </w:tcBorders>
            <w:shd w:val="clear" w:color="auto" w:fill="auto"/>
            <w:noWrap/>
            <w:vAlign w:val="center"/>
            <w:hideMark/>
          </w:tcPr>
          <w:p w:rsidRPr="00AE1B2B" w:rsidR="009D3FB5" w:rsidP="00163B94" w:rsidRDefault="009D3FB5" w14:paraId="763E09A4"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1</w:t>
            </w:r>
          </w:p>
        </w:tc>
        <w:tc>
          <w:tcPr>
            <w:tcW w:w="709" w:type="dxa"/>
            <w:tcBorders>
              <w:top w:val="nil"/>
              <w:left w:val="nil"/>
              <w:bottom w:val="double" w:color="5B9BD5" w:themeColor="accent1" w:sz="4" w:space="0"/>
              <w:right w:val="double" w:color="1F497D" w:sz="6" w:space="0"/>
            </w:tcBorders>
            <w:shd w:val="clear" w:color="auto" w:fill="auto"/>
            <w:noWrap/>
            <w:vAlign w:val="center"/>
            <w:hideMark/>
          </w:tcPr>
          <w:p w:rsidRPr="00AE1B2B" w:rsidR="009D3FB5" w:rsidP="00163B94" w:rsidRDefault="009D3FB5" w14:paraId="4504BFFB"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3</w:t>
            </w:r>
          </w:p>
        </w:tc>
        <w:tc>
          <w:tcPr>
            <w:tcW w:w="567" w:type="dxa"/>
            <w:tcBorders>
              <w:top w:val="nil"/>
              <w:left w:val="nil"/>
              <w:bottom w:val="double" w:color="5B9BD5" w:themeColor="accent1" w:sz="4" w:space="0"/>
              <w:right w:val="double" w:color="1F497D" w:sz="6" w:space="0"/>
            </w:tcBorders>
            <w:shd w:val="clear" w:color="auto" w:fill="auto"/>
            <w:noWrap/>
            <w:vAlign w:val="center"/>
            <w:hideMark/>
          </w:tcPr>
          <w:p w:rsidRPr="00AE1B2B" w:rsidR="009D3FB5" w:rsidP="00163B94" w:rsidRDefault="009D3FB5" w14:paraId="6245CD22"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2</w:t>
            </w:r>
          </w:p>
        </w:tc>
        <w:tc>
          <w:tcPr>
            <w:tcW w:w="709" w:type="dxa"/>
            <w:tcBorders>
              <w:top w:val="nil"/>
              <w:left w:val="nil"/>
              <w:bottom w:val="double" w:color="5B9BD5" w:themeColor="accent1" w:sz="4" w:space="0"/>
              <w:right w:val="double" w:color="1F497D" w:sz="6" w:space="0"/>
            </w:tcBorders>
            <w:shd w:val="clear" w:color="auto" w:fill="auto"/>
            <w:noWrap/>
            <w:vAlign w:val="center"/>
            <w:hideMark/>
          </w:tcPr>
          <w:p w:rsidRPr="00AE1B2B" w:rsidR="009D3FB5" w:rsidP="00163B94" w:rsidRDefault="009D3FB5" w14:paraId="2ADB8019"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1</w:t>
            </w:r>
          </w:p>
        </w:tc>
        <w:tc>
          <w:tcPr>
            <w:tcW w:w="567" w:type="dxa"/>
            <w:tcBorders>
              <w:top w:val="nil"/>
              <w:left w:val="nil"/>
              <w:bottom w:val="double" w:color="5B9BD5" w:themeColor="accent1" w:sz="4" w:space="0"/>
              <w:right w:val="double" w:color="1F497D" w:sz="6" w:space="0"/>
            </w:tcBorders>
            <w:shd w:val="clear" w:color="auto" w:fill="auto"/>
            <w:noWrap/>
            <w:vAlign w:val="center"/>
            <w:hideMark/>
          </w:tcPr>
          <w:p w:rsidRPr="00AE1B2B" w:rsidR="009D3FB5" w:rsidP="00163B94" w:rsidRDefault="009D3FB5" w14:paraId="41CE0464"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3</w:t>
            </w:r>
          </w:p>
        </w:tc>
        <w:tc>
          <w:tcPr>
            <w:tcW w:w="708" w:type="dxa"/>
            <w:tcBorders>
              <w:top w:val="nil"/>
              <w:left w:val="nil"/>
              <w:bottom w:val="double" w:color="5B9BD5" w:themeColor="accent1" w:sz="4" w:space="0"/>
              <w:right w:val="double" w:color="1F497D" w:sz="6" w:space="0"/>
            </w:tcBorders>
            <w:shd w:val="clear" w:color="auto" w:fill="auto"/>
            <w:noWrap/>
            <w:vAlign w:val="center"/>
            <w:hideMark/>
          </w:tcPr>
          <w:p w:rsidRPr="00AE1B2B" w:rsidR="009D3FB5" w:rsidP="00163B94" w:rsidRDefault="009D3FB5" w14:paraId="178B4AD8"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lang w:eastAsia="es-CR"/>
              </w:rPr>
              <w:t>0</w:t>
            </w:r>
          </w:p>
        </w:tc>
      </w:tr>
      <w:tr w:rsidRPr="00AE1B2B" w:rsidR="009D3FB5" w:rsidTr="009D3FB5" w14:paraId="7BD55DDA" w14:textId="77777777">
        <w:trPr>
          <w:trHeight w:val="312"/>
        </w:trPr>
        <w:tc>
          <w:tcPr>
            <w:tcW w:w="3686" w:type="dxa"/>
            <w:gridSpan w:val="2"/>
            <w:tcBorders>
              <w:top w:val="double" w:color="1F497D" w:sz="6" w:space="0"/>
              <w:left w:val="double" w:color="1F497D" w:sz="6" w:space="0"/>
              <w:bottom w:val="double" w:color="1F497D" w:sz="6" w:space="0"/>
              <w:right w:val="double" w:color="1F497D" w:sz="6" w:space="0"/>
            </w:tcBorders>
            <w:shd w:val="clear" w:color="auto" w:fill="DEEAF6" w:themeFill="accent1" w:themeFillTint="33"/>
            <w:vAlign w:val="center"/>
          </w:tcPr>
          <w:p w:rsidRPr="00AE1B2B" w:rsidR="009D3FB5" w:rsidP="00163B94" w:rsidRDefault="009D3FB5" w14:paraId="358240A7" w14:textId="77777777">
            <w:pPr>
              <w:spacing w:before="120" w:after="120"/>
              <w:jc w:val="right"/>
              <w:rPr>
                <w:rFonts w:ascii="Times New Roman" w:hAnsi="Times New Roman" w:cs="Times New Roman"/>
                <w:b/>
                <w:bCs/>
                <w:sz w:val="20"/>
                <w:lang w:eastAsia="es-CR"/>
              </w:rPr>
            </w:pPr>
            <w:r w:rsidRPr="00AE1B2B">
              <w:rPr>
                <w:rFonts w:ascii="Times New Roman" w:hAnsi="Times New Roman" w:cs="Times New Roman"/>
                <w:b/>
                <w:bCs/>
              </w:rPr>
              <w:t>Porcentaje de mejora</w:t>
            </w:r>
          </w:p>
        </w:tc>
        <w:tc>
          <w:tcPr>
            <w:tcW w:w="709" w:type="dxa"/>
            <w:tcBorders>
              <w:top w:val="nil"/>
              <w:left w:val="nil"/>
              <w:bottom w:val="double" w:color="1F497D" w:sz="6" w:space="0"/>
              <w:right w:val="double" w:color="1F497D" w:sz="6" w:space="0"/>
            </w:tcBorders>
            <w:shd w:val="clear" w:color="auto" w:fill="DEEAF6" w:themeFill="accent1" w:themeFillTint="33"/>
            <w:noWrap/>
            <w:vAlign w:val="center"/>
          </w:tcPr>
          <w:p w:rsidRPr="00AE1B2B" w:rsidR="009D3FB5" w:rsidP="00163B94" w:rsidRDefault="009D3FB5" w14:paraId="60F71843"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rPr>
              <w:t>59%</w:t>
            </w:r>
          </w:p>
        </w:tc>
        <w:tc>
          <w:tcPr>
            <w:tcW w:w="709" w:type="dxa"/>
            <w:tcBorders>
              <w:top w:val="nil"/>
              <w:left w:val="nil"/>
              <w:bottom w:val="double" w:color="1F497D" w:sz="6" w:space="0"/>
              <w:right w:val="double" w:color="1F497D" w:sz="6" w:space="0"/>
            </w:tcBorders>
            <w:shd w:val="clear" w:color="auto" w:fill="DEEAF6" w:themeFill="accent1" w:themeFillTint="33"/>
            <w:noWrap/>
            <w:vAlign w:val="center"/>
          </w:tcPr>
          <w:p w:rsidRPr="00AE1B2B" w:rsidR="009D3FB5" w:rsidP="00163B94" w:rsidRDefault="009D3FB5" w14:paraId="026ABB21"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rPr>
              <w:t>53%</w:t>
            </w:r>
          </w:p>
        </w:tc>
        <w:tc>
          <w:tcPr>
            <w:tcW w:w="567" w:type="dxa"/>
            <w:tcBorders>
              <w:top w:val="nil"/>
              <w:left w:val="nil"/>
              <w:bottom w:val="double" w:color="1F497D" w:sz="6" w:space="0"/>
              <w:right w:val="double" w:color="1F497D" w:sz="6" w:space="0"/>
            </w:tcBorders>
            <w:shd w:val="clear" w:color="auto" w:fill="DEEAF6" w:themeFill="accent1" w:themeFillTint="33"/>
            <w:noWrap/>
            <w:vAlign w:val="center"/>
          </w:tcPr>
          <w:p w:rsidRPr="00AE1B2B" w:rsidR="009D3FB5" w:rsidP="00163B94" w:rsidRDefault="009D3FB5" w14:paraId="53998CF8"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rPr>
              <w:t>59%</w:t>
            </w:r>
          </w:p>
        </w:tc>
        <w:tc>
          <w:tcPr>
            <w:tcW w:w="708" w:type="dxa"/>
            <w:tcBorders>
              <w:top w:val="nil"/>
              <w:left w:val="nil"/>
              <w:bottom w:val="double" w:color="1F497D" w:sz="6" w:space="0"/>
              <w:right w:val="double" w:color="1F497D" w:sz="6" w:space="0"/>
            </w:tcBorders>
            <w:shd w:val="clear" w:color="auto" w:fill="DEEAF6" w:themeFill="accent1" w:themeFillTint="33"/>
            <w:noWrap/>
            <w:vAlign w:val="center"/>
          </w:tcPr>
          <w:p w:rsidRPr="00AE1B2B" w:rsidR="009D3FB5" w:rsidP="00163B94" w:rsidRDefault="009D3FB5" w14:paraId="44C1F7D6"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rPr>
              <w:t>47%</w:t>
            </w:r>
          </w:p>
        </w:tc>
        <w:tc>
          <w:tcPr>
            <w:tcW w:w="709" w:type="dxa"/>
            <w:tcBorders>
              <w:top w:val="nil"/>
              <w:left w:val="nil"/>
              <w:bottom w:val="double" w:color="1F497D" w:sz="6" w:space="0"/>
              <w:right w:val="double" w:color="1F497D" w:sz="6" w:space="0"/>
            </w:tcBorders>
            <w:shd w:val="clear" w:color="auto" w:fill="DEEAF6" w:themeFill="accent1" w:themeFillTint="33"/>
            <w:noWrap/>
            <w:vAlign w:val="center"/>
          </w:tcPr>
          <w:p w:rsidRPr="00AE1B2B" w:rsidR="009D3FB5" w:rsidP="00163B94" w:rsidRDefault="009D3FB5" w14:paraId="604DB33E"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rPr>
              <w:t>82%</w:t>
            </w:r>
          </w:p>
        </w:tc>
        <w:tc>
          <w:tcPr>
            <w:tcW w:w="567" w:type="dxa"/>
            <w:tcBorders>
              <w:top w:val="nil"/>
              <w:left w:val="nil"/>
              <w:bottom w:val="double" w:color="1F497D" w:sz="6" w:space="0"/>
              <w:right w:val="double" w:color="1F497D" w:sz="6" w:space="0"/>
            </w:tcBorders>
            <w:shd w:val="clear" w:color="auto" w:fill="DEEAF6" w:themeFill="accent1" w:themeFillTint="33"/>
            <w:noWrap/>
            <w:vAlign w:val="center"/>
          </w:tcPr>
          <w:p w:rsidRPr="00AE1B2B" w:rsidR="009D3FB5" w:rsidP="00163B94" w:rsidRDefault="009D3FB5" w14:paraId="1FE23DF2"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rPr>
              <w:t>53%</w:t>
            </w:r>
          </w:p>
        </w:tc>
        <w:tc>
          <w:tcPr>
            <w:tcW w:w="567" w:type="dxa"/>
            <w:tcBorders>
              <w:top w:val="nil"/>
              <w:left w:val="nil"/>
              <w:bottom w:val="double" w:color="1F497D" w:sz="6" w:space="0"/>
              <w:right w:val="double" w:color="1F497D" w:sz="6" w:space="0"/>
            </w:tcBorders>
            <w:shd w:val="clear" w:color="auto" w:fill="DEEAF6" w:themeFill="accent1" w:themeFillTint="33"/>
            <w:noWrap/>
            <w:vAlign w:val="center"/>
          </w:tcPr>
          <w:p w:rsidRPr="00AE1B2B" w:rsidR="009D3FB5" w:rsidP="00163B94" w:rsidRDefault="009D3FB5" w14:paraId="456F4062"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rPr>
              <w:t>24%</w:t>
            </w:r>
          </w:p>
        </w:tc>
        <w:tc>
          <w:tcPr>
            <w:tcW w:w="709" w:type="dxa"/>
            <w:tcBorders>
              <w:top w:val="nil"/>
              <w:left w:val="nil"/>
              <w:bottom w:val="double" w:color="1F497D" w:sz="6" w:space="0"/>
              <w:right w:val="double" w:color="1F497D" w:sz="6" w:space="0"/>
            </w:tcBorders>
            <w:shd w:val="clear" w:color="auto" w:fill="DEEAF6" w:themeFill="accent1" w:themeFillTint="33"/>
            <w:noWrap/>
            <w:vAlign w:val="center"/>
          </w:tcPr>
          <w:p w:rsidRPr="00AE1B2B" w:rsidR="009D3FB5" w:rsidP="00163B94" w:rsidRDefault="009D3FB5" w14:paraId="5805D6C7"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rPr>
              <w:t>53%</w:t>
            </w:r>
          </w:p>
        </w:tc>
        <w:tc>
          <w:tcPr>
            <w:tcW w:w="567" w:type="dxa"/>
            <w:tcBorders>
              <w:top w:val="nil"/>
              <w:left w:val="nil"/>
              <w:bottom w:val="double" w:color="1F497D" w:sz="6" w:space="0"/>
              <w:right w:val="double" w:color="1F497D" w:sz="6" w:space="0"/>
            </w:tcBorders>
            <w:shd w:val="clear" w:color="auto" w:fill="DEEAF6" w:themeFill="accent1" w:themeFillTint="33"/>
            <w:noWrap/>
            <w:vAlign w:val="center"/>
          </w:tcPr>
          <w:p w:rsidRPr="00AE1B2B" w:rsidR="009D3FB5" w:rsidP="00163B94" w:rsidRDefault="009D3FB5" w14:paraId="730D6EB3"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rPr>
              <w:t>47%</w:t>
            </w:r>
          </w:p>
        </w:tc>
        <w:tc>
          <w:tcPr>
            <w:tcW w:w="709" w:type="dxa"/>
            <w:tcBorders>
              <w:top w:val="nil"/>
              <w:left w:val="nil"/>
              <w:bottom w:val="double" w:color="1F497D" w:sz="6" w:space="0"/>
              <w:right w:val="double" w:color="1F497D" w:sz="6" w:space="0"/>
            </w:tcBorders>
            <w:shd w:val="clear" w:color="auto" w:fill="DEEAF6" w:themeFill="accent1" w:themeFillTint="33"/>
            <w:noWrap/>
            <w:vAlign w:val="center"/>
          </w:tcPr>
          <w:p w:rsidRPr="00AE1B2B" w:rsidR="009D3FB5" w:rsidP="00163B94" w:rsidRDefault="009D3FB5" w14:paraId="655CC422"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rPr>
              <w:t>53%</w:t>
            </w:r>
          </w:p>
        </w:tc>
        <w:tc>
          <w:tcPr>
            <w:tcW w:w="567" w:type="dxa"/>
            <w:tcBorders>
              <w:top w:val="nil"/>
              <w:left w:val="nil"/>
              <w:bottom w:val="double" w:color="1F497D" w:sz="6" w:space="0"/>
              <w:right w:val="double" w:color="1F497D" w:sz="6" w:space="0"/>
            </w:tcBorders>
            <w:shd w:val="clear" w:color="auto" w:fill="DEEAF6" w:themeFill="accent1" w:themeFillTint="33"/>
            <w:noWrap/>
            <w:vAlign w:val="center"/>
          </w:tcPr>
          <w:p w:rsidRPr="00AE1B2B" w:rsidR="009D3FB5" w:rsidP="00163B94" w:rsidRDefault="009D3FB5" w14:paraId="32DD36FA"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rPr>
              <w:t>29%</w:t>
            </w:r>
          </w:p>
        </w:tc>
        <w:tc>
          <w:tcPr>
            <w:tcW w:w="708" w:type="dxa"/>
            <w:tcBorders>
              <w:top w:val="nil"/>
              <w:left w:val="nil"/>
              <w:bottom w:val="double" w:color="1F497D" w:sz="6" w:space="0"/>
              <w:right w:val="double" w:color="1F497D" w:sz="6" w:space="0"/>
            </w:tcBorders>
            <w:shd w:val="clear" w:color="auto" w:fill="DEEAF6" w:themeFill="accent1" w:themeFillTint="33"/>
            <w:noWrap/>
            <w:vAlign w:val="center"/>
          </w:tcPr>
          <w:p w:rsidRPr="00AE1B2B" w:rsidR="009D3FB5" w:rsidP="00163B94" w:rsidRDefault="009D3FB5" w14:paraId="6B92DA80" w14:textId="77777777">
            <w:pPr>
              <w:spacing w:before="120" w:after="120"/>
              <w:jc w:val="center"/>
              <w:rPr>
                <w:rFonts w:ascii="Times New Roman" w:hAnsi="Times New Roman" w:cs="Times New Roman"/>
                <w:b/>
                <w:bCs/>
                <w:sz w:val="20"/>
                <w:lang w:eastAsia="es-CR"/>
              </w:rPr>
            </w:pPr>
            <w:r w:rsidRPr="00AE1B2B">
              <w:rPr>
                <w:rFonts w:ascii="Times New Roman" w:hAnsi="Times New Roman" w:cs="Times New Roman"/>
                <w:b/>
                <w:bCs/>
                <w:sz w:val="20"/>
              </w:rPr>
              <w:t>82%</w:t>
            </w:r>
          </w:p>
        </w:tc>
      </w:tr>
    </w:tbl>
    <w:p w:rsidRPr="00AE1B2B" w:rsidR="009D3FB5" w:rsidP="00163B94" w:rsidRDefault="009D3FB5" w14:paraId="437E700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i/>
          <w:sz w:val="26"/>
          <w:szCs w:val="26"/>
        </w:rPr>
        <w:t>Fuente: Subproceso de Modernización Institucional con base a los Indicadores de Gestión y en los datos del sistema SIGMA, 2019 al 2020.</w:t>
      </w:r>
    </w:p>
    <w:p w:rsidRPr="00AE1B2B" w:rsidR="009D3FB5" w:rsidP="00163B94" w:rsidRDefault="009D3FB5" w14:paraId="649D864D" w14:textId="77777777">
      <w:pPr>
        <w:pStyle w:val="Ttulo"/>
        <w:spacing w:before="120" w:after="120"/>
        <w:ind w:left="851" w:right="851" w:firstLine="709"/>
        <w:jc w:val="both"/>
        <w:rPr>
          <w:rFonts w:ascii="Times New Roman" w:hAnsi="Times New Roman"/>
          <w:sz w:val="26"/>
          <w:szCs w:val="26"/>
        </w:rPr>
      </w:pPr>
    </w:p>
    <w:p w:rsidRPr="00AE1B2B" w:rsidR="009D3FB5" w:rsidP="00163B94" w:rsidRDefault="009D3FB5" w14:paraId="0A36212D" w14:textId="77777777">
      <w:pPr>
        <w:pStyle w:val="Ttulo"/>
        <w:spacing w:before="120" w:after="120"/>
        <w:ind w:left="851" w:right="851" w:firstLine="709"/>
        <w:jc w:val="both"/>
        <w:rPr>
          <w:rFonts w:ascii="Times New Roman" w:hAnsi="Times New Roman"/>
          <w:sz w:val="26"/>
          <w:szCs w:val="26"/>
        </w:rPr>
      </w:pPr>
      <w:r w:rsidRPr="00AE1B2B">
        <w:rPr>
          <w:rFonts w:ascii="Times New Roman" w:hAnsi="Times New Roman"/>
          <w:sz w:val="26"/>
          <w:szCs w:val="26"/>
        </w:rPr>
        <w:t>A continuación, se analiza la comparación de resultados de los indicadores de gestión en relación con el 2019 y 2020:</w:t>
      </w:r>
    </w:p>
    <w:p w:rsidRPr="00AE1B2B" w:rsidR="009D3FB5" w:rsidP="00163B94" w:rsidRDefault="009D3FB5" w14:paraId="59A36FB9" w14:textId="77777777">
      <w:pPr>
        <w:pStyle w:val="Ttulo"/>
        <w:spacing w:before="120" w:after="120"/>
        <w:ind w:left="851" w:right="851" w:firstLine="709"/>
        <w:jc w:val="both"/>
        <w:rPr>
          <w:rFonts w:ascii="Times New Roman" w:hAnsi="Times New Roman"/>
          <w:sz w:val="26"/>
          <w:szCs w:val="26"/>
        </w:rPr>
      </w:pPr>
    </w:p>
    <w:p w:rsidRPr="00AE1B2B" w:rsidR="009D3FB5" w:rsidP="00163B94" w:rsidRDefault="009D3FB5" w14:paraId="6E01E4C5" w14:textId="77777777">
      <w:pPr>
        <w:pStyle w:val="Ttulo"/>
        <w:spacing w:before="120" w:after="120"/>
        <w:ind w:left="851" w:right="851" w:firstLine="709"/>
        <w:jc w:val="both"/>
        <w:rPr>
          <w:rFonts w:ascii="Times New Roman" w:hAnsi="Times New Roman"/>
          <w:sz w:val="26"/>
          <w:szCs w:val="26"/>
        </w:rPr>
      </w:pPr>
      <w:r w:rsidRPr="00AE1B2B">
        <w:rPr>
          <w:rFonts w:ascii="Times New Roman" w:hAnsi="Times New Roman"/>
          <w:sz w:val="26"/>
          <w:szCs w:val="26"/>
        </w:rPr>
        <w:t xml:space="preserve">Juzgado Agrario de Cartago </w:t>
      </w:r>
    </w:p>
    <w:p w:rsidRPr="00AE1B2B" w:rsidR="009D3FB5" w:rsidP="00163B94" w:rsidRDefault="009D3FB5" w14:paraId="59B24E3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Del análisis realizado, el Juzgado Agrario de Cartago mostró una mejoría en 10 indicadores en el 2020 de acuerdo con el año que le antecede, con un porcentaje de mejora del 59%, entre ellos se encuentran los casos terminados, reducción en el circulante, plazos para el dictado de sentencia, escritos pendientes de resolver, entre otros. En siete (7) indicadores el juzgado desmejoró, como es en el caso del plazo para la realización de audiencias, audiencias pendientes de realización impactados por efecto de pandemia, entre otros. Cabe indicar que existen indicadores con resultados negativos que no dependen de la gestión del Despacho, como es el caso de la entrada y los escritos pendientes de resolver de expedientes que se encuentran fuera de la oficina; por lo que es este caso se consideran en el análisis únicamente para determinar su variación. </w:t>
      </w:r>
    </w:p>
    <w:p w:rsidRPr="00AE1B2B" w:rsidR="009D3FB5" w:rsidP="00163B94" w:rsidRDefault="009D3FB5" w14:paraId="2870003B"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BC5A641" w14:textId="77777777">
      <w:pPr>
        <w:pStyle w:val="Ttulo"/>
        <w:spacing w:before="120" w:after="120"/>
        <w:ind w:left="851" w:right="851" w:firstLine="709"/>
        <w:jc w:val="both"/>
        <w:rPr>
          <w:rFonts w:ascii="Times New Roman" w:hAnsi="Times New Roman"/>
          <w:sz w:val="26"/>
          <w:szCs w:val="26"/>
        </w:rPr>
      </w:pPr>
      <w:r w:rsidRPr="00AE1B2B">
        <w:rPr>
          <w:rFonts w:ascii="Times New Roman" w:hAnsi="Times New Roman"/>
          <w:sz w:val="26"/>
          <w:szCs w:val="26"/>
        </w:rPr>
        <w:lastRenderedPageBreak/>
        <w:t xml:space="preserve">Juzgado Agrario de Alajuela </w:t>
      </w:r>
    </w:p>
    <w:p w:rsidRPr="00AE1B2B" w:rsidR="009D3FB5" w:rsidP="00163B94" w:rsidRDefault="009D3FB5" w14:paraId="18880F1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caso del Juzgado Agrario de Alajuela, tuvo una mejoría en nueve (9) indicadores, lo que equivale a un 53% de mejoría, entre ellos plazo para la realización de audiencias, plazo para resolver escritos, cantidad de escritos pendientes, entre otros. Cinco (5) indicadores presentaron variaciones negativas, de los cuales resaltan, el plazo para el dictado de sentencia, cantidad de expedientes de firma, entre otros. En tres (3) indicadores de gestión no presentaron variación alguna, tal como es el caso del plazo para resolver demandas nuevas, plazo para resolver escritos de expedientes que se encuentran fuera de la oficina y la cantidad de demandas nuevas pendientes de resolver. </w:t>
      </w:r>
    </w:p>
    <w:p w:rsidRPr="00AE1B2B" w:rsidR="009D3FB5" w:rsidP="00163B94" w:rsidRDefault="009D3FB5" w14:paraId="36B89CFC" w14:textId="77777777">
      <w:pPr>
        <w:pStyle w:val="Ttulo"/>
        <w:spacing w:before="120" w:after="120"/>
        <w:ind w:left="851" w:right="851" w:firstLine="709"/>
        <w:jc w:val="both"/>
        <w:rPr>
          <w:rFonts w:ascii="Times New Roman" w:hAnsi="Times New Roman"/>
          <w:sz w:val="26"/>
          <w:szCs w:val="26"/>
        </w:rPr>
      </w:pPr>
      <w:r w:rsidRPr="00AE1B2B">
        <w:rPr>
          <w:rFonts w:ascii="Times New Roman" w:hAnsi="Times New Roman"/>
          <w:sz w:val="26"/>
          <w:szCs w:val="26"/>
        </w:rPr>
        <w:t>Juzgado Agrario de Liberia</w:t>
      </w:r>
    </w:p>
    <w:p w:rsidRPr="00AE1B2B" w:rsidR="009D3FB5" w:rsidP="00163B94" w:rsidRDefault="009D3FB5" w14:paraId="636B340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Esta oficina mostró una mejoría en 10 indicadores de gestión, correspondientes a un 59%, entre los cuales se encuentra la disminución del circulante, plazo para el dictado de sentencia, plazo para resolver escritos, entre otros. Seis (6) indicadores presentaron variaciones negativas, de los cuales se encuentran los casos terminados, expedientes pendientes de fallo (se pasó de 31 a 55), expedientes pasados a firmar, entre otros. </w:t>
      </w:r>
    </w:p>
    <w:p w:rsidRPr="00AE1B2B" w:rsidR="009D3FB5" w:rsidP="00163B94" w:rsidRDefault="009D3FB5" w14:paraId="22B7F17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5B85FC5" w14:textId="77777777">
      <w:pPr>
        <w:pStyle w:val="Ttulo"/>
        <w:spacing w:before="120" w:after="120"/>
        <w:ind w:left="851" w:right="851" w:firstLine="709"/>
        <w:jc w:val="both"/>
        <w:rPr>
          <w:rFonts w:ascii="Times New Roman" w:hAnsi="Times New Roman"/>
          <w:sz w:val="26"/>
          <w:szCs w:val="26"/>
        </w:rPr>
      </w:pPr>
      <w:r w:rsidRPr="00AE1B2B">
        <w:rPr>
          <w:rFonts w:ascii="Times New Roman" w:hAnsi="Times New Roman"/>
          <w:sz w:val="26"/>
          <w:szCs w:val="26"/>
        </w:rPr>
        <w:t xml:space="preserve"> Juzgado Agrario de Limón</w:t>
      </w:r>
    </w:p>
    <w:p w:rsidRPr="00AE1B2B" w:rsidR="009D3FB5" w:rsidP="00163B94" w:rsidRDefault="009D3FB5" w14:paraId="0D3EB8C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Juzgado Agrario de Limón tuvo una mejoría del 47% en el 2020, en relación con el 2019, con un total de ocho (8) indicadores de gestión mejorados, entre ellos se encuentran el plazo para la realización de audiencia, plazo para resolver demandas nuevas, plazo para resolver escritos, entre otros. La misma cantidad de indicadores desmejoraron de acuerdo con los años analizados, entre los cuales se encuentran el circulante, casos terminados, plazo para el dictado de sentencias, entre otros. </w:t>
      </w:r>
    </w:p>
    <w:p w:rsidRPr="00AE1B2B" w:rsidR="009D3FB5" w:rsidP="00163B94" w:rsidRDefault="009D3FB5" w14:paraId="3A42495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C051D53" w14:textId="77777777">
      <w:pPr>
        <w:pStyle w:val="Ttulo"/>
        <w:spacing w:before="120" w:after="120"/>
        <w:ind w:left="851" w:right="851" w:firstLine="709"/>
        <w:jc w:val="both"/>
        <w:rPr>
          <w:rFonts w:ascii="Times New Roman" w:hAnsi="Times New Roman"/>
          <w:sz w:val="26"/>
          <w:szCs w:val="26"/>
        </w:rPr>
      </w:pPr>
      <w:r w:rsidRPr="00AE1B2B">
        <w:rPr>
          <w:rFonts w:ascii="Times New Roman" w:hAnsi="Times New Roman"/>
          <w:sz w:val="26"/>
          <w:szCs w:val="26"/>
        </w:rPr>
        <w:t xml:space="preserve">Juzgado Agrario de Pérez Zeledón </w:t>
      </w:r>
    </w:p>
    <w:p w:rsidRPr="00AE1B2B" w:rsidR="009D3FB5" w:rsidP="00163B94" w:rsidRDefault="009D3FB5" w14:paraId="0B42B6E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Este es uno de los dos (2) Juzgados que presentaron mejor porcentaje de mejora en los indicadores de gestión, con un porcentaje del 82%, con 14 indicadores, dentro de los cuales se encuentran los indicadores de los casos terminados, circulante, plazo dictado de sentencia, plazo para resolver escritos, entre otros. El porcentaje restante desmejoraron dos (2) indicadores, cantidad de sentencias </w:t>
      </w:r>
      <w:r w:rsidRPr="00AE1B2B">
        <w:rPr>
          <w:rFonts w:ascii="Times New Roman" w:hAnsi="Times New Roman" w:cs="Times New Roman"/>
          <w:sz w:val="26"/>
          <w:szCs w:val="26"/>
        </w:rPr>
        <w:lastRenderedPageBreak/>
        <w:t xml:space="preserve">dictadas y cantidad de expedientes pendientes de firma; y el plazo de espera de firma de resoluciones no tuvo variación. </w:t>
      </w:r>
    </w:p>
    <w:p w:rsidRPr="00AE1B2B" w:rsidR="009D3FB5" w:rsidP="00163B94" w:rsidRDefault="009D3FB5" w14:paraId="196F3C7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B6E9F4E" w14:textId="77777777">
      <w:pPr>
        <w:pStyle w:val="Ttulo"/>
        <w:spacing w:before="120" w:after="120"/>
        <w:ind w:left="851" w:right="851" w:firstLine="709"/>
        <w:jc w:val="both"/>
        <w:rPr>
          <w:rFonts w:ascii="Times New Roman" w:hAnsi="Times New Roman"/>
          <w:sz w:val="26"/>
          <w:szCs w:val="26"/>
        </w:rPr>
      </w:pPr>
      <w:r w:rsidRPr="00AE1B2B">
        <w:rPr>
          <w:rFonts w:ascii="Times New Roman" w:hAnsi="Times New Roman"/>
          <w:sz w:val="26"/>
          <w:szCs w:val="26"/>
        </w:rPr>
        <w:t>Juzgado Agrario de San Carlos</w:t>
      </w:r>
    </w:p>
    <w:p w:rsidRPr="00AE1B2B" w:rsidR="009D3FB5" w:rsidP="00163B94" w:rsidRDefault="009D3FB5" w14:paraId="3DE24E8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Cuenta con nueve (9) indicadores mejorados en el 2020 en relación con el 2019, dentro de los cuales se encuentran el circulante, plazo para realización de audiencia, expedientes pendientes de fallo, entre otros, lo que hace indicar que posee un 53% de porcentaje de mejora. Siete (7) indicadores presentaron valores negativos en referencia al año que le antecede, dentro de los cuales se encuentra el plazo para el dictado de sentencia, plazo para resolver escritos, expedientes pasados a firmar, entre otros. </w:t>
      </w:r>
    </w:p>
    <w:p w:rsidRPr="00AE1B2B" w:rsidR="009D3FB5" w:rsidP="00163B94" w:rsidRDefault="009D3FB5" w14:paraId="2DEB46B1"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603D03D" w14:textId="77777777">
      <w:pPr>
        <w:pStyle w:val="Ttulo"/>
        <w:spacing w:before="120" w:after="120"/>
        <w:ind w:left="851" w:right="851" w:firstLine="709"/>
        <w:jc w:val="both"/>
        <w:rPr>
          <w:rFonts w:ascii="Times New Roman" w:hAnsi="Times New Roman"/>
          <w:sz w:val="26"/>
          <w:szCs w:val="26"/>
        </w:rPr>
      </w:pPr>
      <w:r w:rsidRPr="00AE1B2B">
        <w:rPr>
          <w:rFonts w:ascii="Times New Roman" w:hAnsi="Times New Roman"/>
          <w:sz w:val="26"/>
          <w:szCs w:val="26"/>
        </w:rPr>
        <w:t>Juzgado Agrario de Santa Cruz</w:t>
      </w:r>
    </w:p>
    <w:p w:rsidRPr="00AE1B2B" w:rsidR="009D3FB5" w:rsidP="00163B94" w:rsidRDefault="009D3FB5" w14:paraId="4B58892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Despacho presenta una mejoría del 24%, lo hace indicar que mejoraron cuatro (4) indicadores de gestión y desmejoraron en 12 de ellos, dentro de los cuales se encuentran el circulante, plazo para resolver escritos, cantidad de expedientes pasado a firmar, entre otros. </w:t>
      </w:r>
    </w:p>
    <w:p w:rsidRPr="00AE1B2B" w:rsidR="009D3FB5" w:rsidP="00163B94" w:rsidRDefault="009D3FB5" w14:paraId="1E91901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Por otro lado, esta oficina presenta números negativos en cuanto a plazos para la atención de demandas nuevas o para la atención de escritos por parte del personal técnico judicial, quienes han argumentado presentar problemas para realizar sus funciones debido a la pandemia y las diferentes medidas que se tuvieron que acatar, entre ellas el trabajo modalidad virtual, que ha generado que el personal técnico judicial no cumplan con las cuotas de trabajo establecidas, ya que el personal cuanta con recursos limitados para poder ejercer sus funciones desde sus hogares. </w:t>
      </w:r>
    </w:p>
    <w:p w:rsidRPr="00AE1B2B" w:rsidR="009D3FB5" w:rsidP="00163B94" w:rsidRDefault="009D3FB5" w14:paraId="515127F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continuación, se presenta un análisis del trabajo generado por el personal técnico judicial entre el 2019 y 2020: </w:t>
      </w:r>
    </w:p>
    <w:p w:rsidRPr="00AE1B2B" w:rsidR="009D3FB5" w:rsidP="00163B94" w:rsidRDefault="009D3FB5" w14:paraId="3177A46C" w14:textId="77777777">
      <w:pPr>
        <w:spacing w:before="120" w:after="120"/>
        <w:rPr>
          <w:rFonts w:ascii="Times New Roman" w:hAnsi="Times New Roman" w:cs="Times New Roman"/>
        </w:rPr>
      </w:pPr>
      <w:r w:rsidRPr="00AE1B2B">
        <w:rPr>
          <w:rFonts w:ascii="Times New Roman" w:hAnsi="Times New Roman" w:cs="Times New Roman"/>
        </w:rPr>
        <w:t xml:space="preserve"> </w:t>
      </w:r>
    </w:p>
    <w:tbl>
      <w:tblPr>
        <w:tblW w:w="8434" w:type="dxa"/>
        <w:jc w:val="center"/>
        <w:tblCellMar>
          <w:left w:w="70" w:type="dxa"/>
          <w:right w:w="70" w:type="dxa"/>
        </w:tblCellMar>
        <w:tblLook w:val="04A0" w:firstRow="1" w:lastRow="0" w:firstColumn="1" w:lastColumn="0" w:noHBand="0" w:noVBand="1"/>
      </w:tblPr>
      <w:tblGrid>
        <w:gridCol w:w="2458"/>
        <w:gridCol w:w="1372"/>
        <w:gridCol w:w="1616"/>
        <w:gridCol w:w="1372"/>
        <w:gridCol w:w="1616"/>
      </w:tblGrid>
      <w:tr w:rsidRPr="00AE1B2B" w:rsidR="00AE1B2B" w:rsidTr="009D3FB5" w14:paraId="4D0AEB67" w14:textId="77777777">
        <w:trPr>
          <w:trHeight w:val="299"/>
          <w:jc w:val="center"/>
        </w:trPr>
        <w:tc>
          <w:tcPr>
            <w:tcW w:w="2458" w:type="dxa"/>
            <w:vMerge w:val="restart"/>
            <w:tcBorders>
              <w:top w:val="double" w:color="1F497D" w:sz="6" w:space="0"/>
              <w:left w:val="double" w:color="1F497D" w:sz="6" w:space="0"/>
              <w:bottom w:val="double" w:color="1F497D" w:sz="6" w:space="0"/>
              <w:right w:val="double" w:color="1F497D" w:sz="6" w:space="0"/>
            </w:tcBorders>
            <w:shd w:val="clear" w:color="000000" w:fill="31869B"/>
            <w:vAlign w:val="center"/>
            <w:hideMark/>
          </w:tcPr>
          <w:p w:rsidRPr="00AE1B2B" w:rsidR="009D3FB5" w:rsidP="00163B94" w:rsidRDefault="009D3FB5" w14:paraId="55EB8DB6"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Persona Técnica Judicial </w:t>
            </w:r>
          </w:p>
        </w:tc>
        <w:tc>
          <w:tcPr>
            <w:tcW w:w="2988" w:type="dxa"/>
            <w:gridSpan w:val="2"/>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48A86E16"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2019</w:t>
            </w:r>
          </w:p>
        </w:tc>
        <w:tc>
          <w:tcPr>
            <w:tcW w:w="2988" w:type="dxa"/>
            <w:gridSpan w:val="2"/>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00941C36"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2020</w:t>
            </w:r>
          </w:p>
        </w:tc>
      </w:tr>
      <w:tr w:rsidRPr="00AE1B2B" w:rsidR="00AE1B2B" w:rsidTr="009D3FB5" w14:paraId="0F9C4907" w14:textId="77777777">
        <w:trPr>
          <w:trHeight w:val="1546"/>
          <w:jc w:val="center"/>
        </w:trPr>
        <w:tc>
          <w:tcPr>
            <w:tcW w:w="2458" w:type="dxa"/>
            <w:vMerge/>
            <w:tcBorders>
              <w:top w:val="double" w:color="1F497D" w:sz="6" w:space="0"/>
              <w:left w:val="double" w:color="1F497D" w:sz="6" w:space="0"/>
              <w:bottom w:val="double" w:color="1F497D" w:sz="6" w:space="0"/>
              <w:right w:val="double" w:color="1F497D" w:sz="6" w:space="0"/>
            </w:tcBorders>
            <w:vAlign w:val="center"/>
            <w:hideMark/>
          </w:tcPr>
          <w:p w:rsidRPr="00AE1B2B" w:rsidR="009D3FB5" w:rsidP="00163B94" w:rsidRDefault="009D3FB5" w14:paraId="36F5B991" w14:textId="77777777">
            <w:pPr>
              <w:spacing w:before="120" w:after="120"/>
              <w:rPr>
                <w:rFonts w:ascii="Times New Roman" w:hAnsi="Times New Roman" w:cs="Times New Roman"/>
                <w:b/>
                <w:bCs/>
                <w:lang w:eastAsia="es-CR"/>
              </w:rPr>
            </w:pPr>
          </w:p>
        </w:tc>
        <w:tc>
          <w:tcPr>
            <w:tcW w:w="1372" w:type="dxa"/>
            <w:tcBorders>
              <w:top w:val="nil"/>
              <w:left w:val="nil"/>
              <w:bottom w:val="double" w:color="1F497D" w:sz="6" w:space="0"/>
              <w:right w:val="double" w:color="1F497D" w:sz="6" w:space="0"/>
            </w:tcBorders>
            <w:shd w:val="clear" w:color="000000" w:fill="31869B"/>
            <w:vAlign w:val="center"/>
            <w:hideMark/>
          </w:tcPr>
          <w:p w:rsidRPr="00AE1B2B" w:rsidR="009D3FB5" w:rsidP="00163B94" w:rsidRDefault="009D3FB5" w14:paraId="0BDCCB3E"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Promedio Proveído Generado en el Mes</w:t>
            </w:r>
          </w:p>
        </w:tc>
        <w:tc>
          <w:tcPr>
            <w:tcW w:w="1616" w:type="dxa"/>
            <w:tcBorders>
              <w:top w:val="nil"/>
              <w:left w:val="nil"/>
              <w:bottom w:val="double" w:color="1F497D" w:sz="6" w:space="0"/>
              <w:right w:val="double" w:color="1F497D" w:sz="6" w:space="0"/>
            </w:tcBorders>
            <w:shd w:val="clear" w:color="000000" w:fill="31869B"/>
            <w:vAlign w:val="center"/>
            <w:hideMark/>
          </w:tcPr>
          <w:p w:rsidRPr="00AE1B2B" w:rsidR="009D3FB5" w:rsidP="00163B94" w:rsidRDefault="009D3FB5" w14:paraId="306DBBA7"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Porcentaje de rendimiento por Técnico o Técnica</w:t>
            </w:r>
          </w:p>
        </w:tc>
        <w:tc>
          <w:tcPr>
            <w:tcW w:w="1372" w:type="dxa"/>
            <w:tcBorders>
              <w:top w:val="nil"/>
              <w:left w:val="nil"/>
              <w:bottom w:val="double" w:color="1F497D" w:sz="6" w:space="0"/>
              <w:right w:val="double" w:color="1F497D" w:sz="6" w:space="0"/>
            </w:tcBorders>
            <w:shd w:val="clear" w:color="000000" w:fill="31869B"/>
            <w:vAlign w:val="center"/>
            <w:hideMark/>
          </w:tcPr>
          <w:p w:rsidRPr="00AE1B2B" w:rsidR="009D3FB5" w:rsidP="00163B94" w:rsidRDefault="009D3FB5" w14:paraId="7CC4BCF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Promedio Proveído Generado en el Mes</w:t>
            </w:r>
          </w:p>
        </w:tc>
        <w:tc>
          <w:tcPr>
            <w:tcW w:w="1616" w:type="dxa"/>
            <w:tcBorders>
              <w:top w:val="nil"/>
              <w:left w:val="nil"/>
              <w:bottom w:val="double" w:color="1F497D" w:sz="6" w:space="0"/>
              <w:right w:val="double" w:color="1F497D" w:sz="6" w:space="0"/>
            </w:tcBorders>
            <w:shd w:val="clear" w:color="000000" w:fill="31869B"/>
            <w:vAlign w:val="center"/>
            <w:hideMark/>
          </w:tcPr>
          <w:p w:rsidRPr="00AE1B2B" w:rsidR="009D3FB5" w:rsidP="00163B94" w:rsidRDefault="009D3FB5" w14:paraId="22937FD8"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Porcentaje de rendimiento por Técnico o Técnica</w:t>
            </w:r>
          </w:p>
        </w:tc>
      </w:tr>
      <w:tr w:rsidRPr="00AE1B2B" w:rsidR="00AE1B2B" w:rsidTr="009D3FB5" w14:paraId="53D84D8D" w14:textId="77777777">
        <w:trPr>
          <w:trHeight w:val="324"/>
          <w:jc w:val="center"/>
        </w:trPr>
        <w:tc>
          <w:tcPr>
            <w:tcW w:w="24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79AA56E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lastRenderedPageBreak/>
              <w:t>Técnico 1</w:t>
            </w:r>
          </w:p>
        </w:tc>
        <w:tc>
          <w:tcPr>
            <w:tcW w:w="137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6D5A39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64</w:t>
            </w:r>
          </w:p>
        </w:tc>
        <w:tc>
          <w:tcPr>
            <w:tcW w:w="161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CF14AB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65%</w:t>
            </w:r>
          </w:p>
        </w:tc>
        <w:tc>
          <w:tcPr>
            <w:tcW w:w="137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FCD3D0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71</w:t>
            </w:r>
          </w:p>
        </w:tc>
        <w:tc>
          <w:tcPr>
            <w:tcW w:w="161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FAB25D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61%</w:t>
            </w:r>
          </w:p>
        </w:tc>
      </w:tr>
      <w:tr w:rsidRPr="00AE1B2B" w:rsidR="00AE1B2B" w:rsidTr="009D3FB5" w14:paraId="612DF366" w14:textId="77777777">
        <w:trPr>
          <w:trHeight w:val="324"/>
          <w:jc w:val="center"/>
        </w:trPr>
        <w:tc>
          <w:tcPr>
            <w:tcW w:w="24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C23F1E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Técnico 2</w:t>
            </w:r>
          </w:p>
        </w:tc>
        <w:tc>
          <w:tcPr>
            <w:tcW w:w="137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A037F3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89</w:t>
            </w:r>
          </w:p>
        </w:tc>
        <w:tc>
          <w:tcPr>
            <w:tcW w:w="161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334FE9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99%</w:t>
            </w:r>
          </w:p>
        </w:tc>
        <w:tc>
          <w:tcPr>
            <w:tcW w:w="137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3186A0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62</w:t>
            </w:r>
          </w:p>
        </w:tc>
        <w:tc>
          <w:tcPr>
            <w:tcW w:w="161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AA89A2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60%</w:t>
            </w:r>
          </w:p>
        </w:tc>
      </w:tr>
      <w:tr w:rsidRPr="00AE1B2B" w:rsidR="00AE1B2B" w:rsidTr="009D3FB5" w14:paraId="259F8063" w14:textId="77777777">
        <w:trPr>
          <w:trHeight w:val="324"/>
          <w:jc w:val="center"/>
        </w:trPr>
        <w:tc>
          <w:tcPr>
            <w:tcW w:w="24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3ADF833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Técnico 3</w:t>
            </w:r>
          </w:p>
        </w:tc>
        <w:tc>
          <w:tcPr>
            <w:tcW w:w="137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BB9DC2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92</w:t>
            </w:r>
          </w:p>
        </w:tc>
        <w:tc>
          <w:tcPr>
            <w:tcW w:w="161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43F91B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96%</w:t>
            </w:r>
          </w:p>
        </w:tc>
        <w:tc>
          <w:tcPr>
            <w:tcW w:w="137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5C6199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77</w:t>
            </w:r>
          </w:p>
        </w:tc>
        <w:tc>
          <w:tcPr>
            <w:tcW w:w="161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BD1405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68%</w:t>
            </w:r>
          </w:p>
        </w:tc>
      </w:tr>
      <w:tr w:rsidRPr="00AE1B2B" w:rsidR="00AE1B2B" w:rsidTr="009D3FB5" w14:paraId="225F4E18" w14:textId="77777777">
        <w:trPr>
          <w:trHeight w:val="324"/>
          <w:jc w:val="center"/>
        </w:trPr>
        <w:tc>
          <w:tcPr>
            <w:tcW w:w="24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730D23D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Técnico 4</w:t>
            </w:r>
          </w:p>
        </w:tc>
        <w:tc>
          <w:tcPr>
            <w:tcW w:w="137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A23D83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102</w:t>
            </w:r>
          </w:p>
        </w:tc>
        <w:tc>
          <w:tcPr>
            <w:tcW w:w="161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C29FD4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108%</w:t>
            </w:r>
          </w:p>
        </w:tc>
        <w:tc>
          <w:tcPr>
            <w:tcW w:w="137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1E5B9E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79</w:t>
            </w:r>
          </w:p>
        </w:tc>
        <w:tc>
          <w:tcPr>
            <w:tcW w:w="161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51A709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72%</w:t>
            </w:r>
          </w:p>
        </w:tc>
      </w:tr>
      <w:tr w:rsidRPr="00AE1B2B" w:rsidR="00AE1B2B" w:rsidTr="009D3FB5" w14:paraId="566AEC50" w14:textId="77777777">
        <w:trPr>
          <w:trHeight w:val="324"/>
          <w:jc w:val="center"/>
        </w:trPr>
        <w:tc>
          <w:tcPr>
            <w:tcW w:w="245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3D43A963" w14:textId="77777777">
            <w:pPr>
              <w:spacing w:before="120" w:after="120"/>
              <w:jc w:val="right"/>
              <w:rPr>
                <w:rFonts w:ascii="Times New Roman" w:hAnsi="Times New Roman" w:cs="Times New Roman"/>
                <w:b/>
                <w:bCs/>
                <w:lang w:eastAsia="es-CR"/>
              </w:rPr>
            </w:pPr>
            <w:r w:rsidRPr="00AE1B2B">
              <w:rPr>
                <w:rFonts w:ascii="Times New Roman" w:hAnsi="Times New Roman" w:cs="Times New Roman"/>
                <w:b/>
                <w:bCs/>
                <w:lang w:eastAsia="es-CR"/>
              </w:rPr>
              <w:t xml:space="preserve">Promedio Global </w:t>
            </w:r>
          </w:p>
        </w:tc>
        <w:tc>
          <w:tcPr>
            <w:tcW w:w="137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7C61D6B"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87</w:t>
            </w:r>
          </w:p>
        </w:tc>
        <w:tc>
          <w:tcPr>
            <w:tcW w:w="161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66385A3"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92%</w:t>
            </w:r>
          </w:p>
        </w:tc>
        <w:tc>
          <w:tcPr>
            <w:tcW w:w="137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30A8A0B"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72</w:t>
            </w:r>
          </w:p>
        </w:tc>
        <w:tc>
          <w:tcPr>
            <w:tcW w:w="161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65E9AF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65%</w:t>
            </w:r>
          </w:p>
        </w:tc>
      </w:tr>
    </w:tbl>
    <w:p w:rsidRPr="00AE1B2B" w:rsidR="009D3FB5" w:rsidP="00163B94" w:rsidRDefault="009D3FB5" w14:paraId="5EF88DF4" w14:textId="77777777">
      <w:pPr>
        <w:spacing w:before="120" w:after="120"/>
        <w:ind w:left="851" w:right="851" w:firstLine="709"/>
        <w:jc w:val="both"/>
        <w:rPr>
          <w:rFonts w:ascii="Times New Roman" w:hAnsi="Times New Roman" w:cs="Times New Roman"/>
          <w:b/>
          <w:bCs/>
          <w:i/>
          <w:iCs/>
          <w:sz w:val="26"/>
          <w:szCs w:val="26"/>
        </w:rPr>
      </w:pPr>
      <w:r w:rsidRPr="00AE1B2B">
        <w:rPr>
          <w:rFonts w:ascii="Times New Roman" w:hAnsi="Times New Roman" w:cs="Times New Roman"/>
          <w:b/>
          <w:bCs/>
          <w:i/>
          <w:iCs/>
          <w:sz w:val="26"/>
          <w:szCs w:val="26"/>
        </w:rPr>
        <w:t>Fuente: Indicadores de Gestión del Juzgado Agrario de Santa Cruz 2019 - 2020</w:t>
      </w:r>
    </w:p>
    <w:p w:rsidRPr="00AE1B2B" w:rsidR="009D3FB5" w:rsidP="00163B94" w:rsidRDefault="009D3FB5" w14:paraId="006AC22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personal técnico judicial redujo la cantidad de proveído generado en el mes en el 2020 en comparación con el 2019, pasando de 87 casos en promedio a 72, con un porcentaje de cumplimiento de cuota del 65%. </w:t>
      </w:r>
    </w:p>
    <w:p w:rsidRPr="00AE1B2B" w:rsidR="009D3FB5" w:rsidP="00163B94" w:rsidRDefault="009D3FB5" w14:paraId="1AA6227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284E4BA" w14:textId="77777777">
      <w:pPr>
        <w:pStyle w:val="Ttulo"/>
        <w:spacing w:before="120" w:after="120"/>
        <w:ind w:left="851" w:right="851" w:firstLine="709"/>
        <w:jc w:val="both"/>
        <w:rPr>
          <w:rFonts w:ascii="Times New Roman" w:hAnsi="Times New Roman"/>
          <w:sz w:val="26"/>
          <w:szCs w:val="26"/>
        </w:rPr>
      </w:pPr>
      <w:r w:rsidRPr="00AE1B2B">
        <w:rPr>
          <w:rFonts w:ascii="Times New Roman" w:hAnsi="Times New Roman"/>
          <w:sz w:val="26"/>
          <w:szCs w:val="26"/>
        </w:rPr>
        <w:t>Juzgado Agrario de Goicoechea</w:t>
      </w:r>
    </w:p>
    <w:p w:rsidRPr="00AE1B2B" w:rsidR="009D3FB5" w:rsidP="00163B94" w:rsidRDefault="009D3FB5" w14:paraId="6F47B36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Esta oficina presenta un porcentaje de mejoría del 53% en los indicadores de gestión, lo que hace indicar que mejoraron en nueve (9) indicadores, entre ellos se encuentran el circulante, plazo del dictado de sentencia, expedientes pasado a firmar, entre otros. Desmejoraron en cinco (5) indicadores de gestión, de los cuales se encuentran expedientes pendientes de fallo, escritos pendientes de resolver, sentencias dictadas, entre otros. Tres (3) indicadores no presentaron variaciones, tal es el caso del plazo para resolver demandas nuevas, plazo para resolver escritos y el plazo espera firma de resoluciones. </w:t>
      </w:r>
    </w:p>
    <w:p w:rsidRPr="00AE1B2B" w:rsidR="009D3FB5" w:rsidP="00163B94" w:rsidRDefault="009D3FB5" w14:paraId="2CBB954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35B54B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1CD8443" w14:textId="77777777">
      <w:pPr>
        <w:pStyle w:val="Ttulo"/>
        <w:spacing w:before="120" w:after="120"/>
        <w:ind w:left="851" w:right="851" w:firstLine="709"/>
        <w:jc w:val="both"/>
        <w:rPr>
          <w:rFonts w:ascii="Times New Roman" w:hAnsi="Times New Roman"/>
          <w:sz w:val="26"/>
          <w:szCs w:val="26"/>
        </w:rPr>
      </w:pPr>
      <w:r w:rsidRPr="00AE1B2B">
        <w:rPr>
          <w:rFonts w:ascii="Times New Roman" w:hAnsi="Times New Roman"/>
          <w:sz w:val="26"/>
          <w:szCs w:val="26"/>
        </w:rPr>
        <w:t>Juzgado Agrario de Pococí</w:t>
      </w:r>
    </w:p>
    <w:p w:rsidRPr="00AE1B2B" w:rsidR="009D3FB5" w:rsidP="00163B94" w:rsidRDefault="009D3FB5" w14:paraId="5457D66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Juzgado Agrario de Pococí presenta una mejoría de un 47%, lo que hace indicar que mejoró en ocho (8) indicadores de gestión, de los cuales se encuentran el circulante, plazo de dictado de sentencia, plazo para resolver escritos, entre otros. Siete (7) indicadores cuenta con una desmejora de acuerdo con el 2019, dentro de los cuales se encuentran el plazo para la realización de audiencias, audiencias pendientes de realización, cantidad de expedientes pendientes de fallo, entre otros. </w:t>
      </w:r>
    </w:p>
    <w:p w:rsidRPr="00AE1B2B" w:rsidR="009D3FB5" w:rsidP="00163B94" w:rsidRDefault="009D3FB5" w14:paraId="48C8317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31F519E" w14:textId="77777777">
      <w:pPr>
        <w:pStyle w:val="Ttulo"/>
        <w:spacing w:before="120" w:after="120"/>
        <w:ind w:left="851" w:right="851" w:firstLine="709"/>
        <w:jc w:val="both"/>
        <w:rPr>
          <w:rFonts w:ascii="Times New Roman" w:hAnsi="Times New Roman"/>
          <w:sz w:val="26"/>
          <w:szCs w:val="26"/>
        </w:rPr>
      </w:pPr>
    </w:p>
    <w:p w:rsidRPr="00AE1B2B" w:rsidR="009D3FB5" w:rsidP="00163B94" w:rsidRDefault="009D3FB5" w14:paraId="238ADFA2" w14:textId="77777777">
      <w:pPr>
        <w:pStyle w:val="Ttulo"/>
        <w:spacing w:before="120" w:after="120"/>
        <w:ind w:left="851" w:right="851" w:firstLine="709"/>
        <w:jc w:val="both"/>
        <w:rPr>
          <w:rFonts w:ascii="Times New Roman" w:hAnsi="Times New Roman"/>
          <w:sz w:val="26"/>
          <w:szCs w:val="26"/>
        </w:rPr>
      </w:pPr>
    </w:p>
    <w:p w:rsidRPr="00AE1B2B" w:rsidR="009D3FB5" w:rsidP="00163B94" w:rsidRDefault="009D3FB5" w14:paraId="21B21D66" w14:textId="77777777">
      <w:pPr>
        <w:pStyle w:val="Ttulo"/>
        <w:spacing w:before="120" w:after="120"/>
        <w:ind w:left="851" w:right="851" w:firstLine="709"/>
        <w:jc w:val="both"/>
        <w:rPr>
          <w:rFonts w:ascii="Times New Roman" w:hAnsi="Times New Roman"/>
          <w:sz w:val="26"/>
          <w:szCs w:val="26"/>
        </w:rPr>
      </w:pPr>
      <w:r w:rsidRPr="00AE1B2B">
        <w:rPr>
          <w:rFonts w:ascii="Times New Roman" w:hAnsi="Times New Roman"/>
          <w:sz w:val="26"/>
          <w:szCs w:val="26"/>
        </w:rPr>
        <w:t>Juzgado Agrario de Corredores</w:t>
      </w:r>
    </w:p>
    <w:p w:rsidRPr="00AE1B2B" w:rsidR="009D3FB5" w:rsidP="00163B94" w:rsidRDefault="009D3FB5" w14:paraId="491E99D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Presenta una mejoría del 53%, teniendo como resultado nueve (9) indicadores mejorados en relación que el año que le antecede, dentro de los cuales se encuentran el plazo para el dictado de sentencia, plazo para resolver escritos, demandas nuevas pendientes de resolver, entre otros. Caso contrario se detectaron siete (7) indicadores que desmejoraron en el 2020, como es el caso del circulante, audiencias pendientes de realización, plazo para resolver demandas nuevas, entre otros. </w:t>
      </w:r>
    </w:p>
    <w:p w:rsidRPr="00AE1B2B" w:rsidR="009D3FB5" w:rsidP="00163B94" w:rsidRDefault="009D3FB5" w14:paraId="3600810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C62E506" w14:textId="77777777">
      <w:pPr>
        <w:pStyle w:val="Ttulo"/>
        <w:spacing w:before="120" w:after="120"/>
        <w:ind w:left="851" w:right="851" w:firstLine="709"/>
        <w:jc w:val="both"/>
        <w:rPr>
          <w:rFonts w:ascii="Times New Roman" w:hAnsi="Times New Roman"/>
          <w:sz w:val="26"/>
          <w:szCs w:val="26"/>
        </w:rPr>
      </w:pPr>
      <w:r w:rsidRPr="00AE1B2B">
        <w:rPr>
          <w:rFonts w:ascii="Times New Roman" w:hAnsi="Times New Roman"/>
          <w:sz w:val="26"/>
          <w:szCs w:val="26"/>
        </w:rPr>
        <w:t>Juzgado Agrario de San Ramón</w:t>
      </w:r>
    </w:p>
    <w:p w:rsidRPr="00AE1B2B" w:rsidR="009D3FB5" w:rsidP="00163B94" w:rsidRDefault="009D3FB5" w14:paraId="08F8FE3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Este Despacho presenta un porcentaje de mejora en el 2020 de acuerdo con el 2019 del 29%, lo que hace indicar que mejoraron en cinco (5) indicadores dentro de los cuales se encuentran plazo de espera de firma de resoluciones, plazo para resolver escritos de expedientes que se encuentran dentro de la oficina, cantidad de escritos pendientes de resolver, entre otros. Caso contrario se encuentran (9) indicadores que desmejoraron, entre ellos se encuentran el circulante, plazo de dictado de sentencia, plazo para la resolución de audiencias, entre otros. Los indicadores de plazo para resolver demandas nuevas, expedientes pendientes de fallo y expedientes pasados a firmar, no presentaron variaciones. </w:t>
      </w:r>
    </w:p>
    <w:p w:rsidRPr="00AE1B2B" w:rsidR="009D3FB5" w:rsidP="00163B94" w:rsidRDefault="009D3FB5" w14:paraId="533D07B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75E478E" w14:textId="77777777">
      <w:pPr>
        <w:pStyle w:val="Ttulo"/>
        <w:spacing w:before="120" w:after="120"/>
        <w:ind w:left="851" w:right="851" w:firstLine="709"/>
        <w:jc w:val="both"/>
        <w:rPr>
          <w:rFonts w:ascii="Times New Roman" w:hAnsi="Times New Roman"/>
          <w:sz w:val="26"/>
          <w:szCs w:val="26"/>
        </w:rPr>
      </w:pPr>
      <w:r w:rsidRPr="00AE1B2B">
        <w:rPr>
          <w:rFonts w:ascii="Times New Roman" w:hAnsi="Times New Roman"/>
          <w:sz w:val="26"/>
          <w:szCs w:val="26"/>
        </w:rPr>
        <w:t xml:space="preserve">Juzgado Agrario de Puntarenas </w:t>
      </w:r>
    </w:p>
    <w:p w:rsidRPr="00AE1B2B" w:rsidR="009D3FB5" w:rsidP="00163B94" w:rsidRDefault="009D3FB5" w14:paraId="26EBFC6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Este Juzgado al igual que el ubicado en Pérez Zeledón, presenta un porcentaje de mejoramiento del 82%, lo que hace indicar que mejoraron en 14 indicadores, de los cuales se encuentran el circulante, plazo para el dictado de sentencias, plazo para la realización de audiencias, entre otros. En tres (3) indicadores muestran una desmejora, como es el caso de la entrada (no depende de la gestión del Despacho), expedientes pendientes de fallo y cantidad de expedientes pendientes de firma. </w:t>
      </w:r>
    </w:p>
    <w:p w:rsidRPr="00AE1B2B" w:rsidR="009D3FB5" w:rsidP="00163B94" w:rsidRDefault="009D3FB5" w14:paraId="463E27B9" w14:textId="3E3B1E01">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 lo analizado anteriormente, es un reflejo comparativo entre los resultados obtenidos en el 2020 en relación con el 2019. Esta Dirección es consiente que algunos indicadores sufrieron impactos negativos en consecuencia por el momento atípico que se está viviendo producto de la pandemia.</w:t>
      </w:r>
      <w:r w:rsidRPr="00AE1B2B" w:rsidR="00BB7720">
        <w:rPr>
          <w:rFonts w:ascii="Times New Roman" w:hAnsi="Times New Roman" w:cs="Times New Roman"/>
          <w:sz w:val="26"/>
          <w:szCs w:val="26"/>
        </w:rPr>
        <w:t xml:space="preserve"> </w:t>
      </w:r>
    </w:p>
    <w:p w:rsidRPr="00AE1B2B" w:rsidR="009D3FB5" w:rsidP="00163B94" w:rsidRDefault="009D3FB5" w14:paraId="5986C22A" w14:textId="3F38F7C1">
      <w:pPr>
        <w:spacing w:before="120" w:after="120"/>
        <w:ind w:left="851" w:right="851" w:firstLine="709"/>
        <w:jc w:val="both"/>
        <w:rPr>
          <w:rFonts w:ascii="Times New Roman" w:hAnsi="Times New Roman" w:cs="Times New Roman"/>
          <w:sz w:val="26"/>
          <w:szCs w:val="26"/>
        </w:rPr>
      </w:pPr>
      <w:bookmarkStart w:name="_Toc68688562" w:id="281"/>
      <w:r w:rsidRPr="00AE1B2B">
        <w:rPr>
          <w:rFonts w:ascii="Times New Roman" w:hAnsi="Times New Roman" w:cs="Times New Roman"/>
          <w:sz w:val="26"/>
          <w:szCs w:val="26"/>
        </w:rPr>
        <w:lastRenderedPageBreak/>
        <w:t>Análisis de Indicadores de Gestión de los Juzgados Mixtos con Competencia en Materia Agraria</w:t>
      </w:r>
      <w:bookmarkEnd w:id="281"/>
      <w:r w:rsidRPr="00AE1B2B" w:rsidR="00BB7720">
        <w:rPr>
          <w:rFonts w:ascii="Times New Roman" w:hAnsi="Times New Roman" w:cs="Times New Roman"/>
          <w:sz w:val="26"/>
          <w:szCs w:val="26"/>
        </w:rPr>
        <w:t xml:space="preserve"> </w:t>
      </w:r>
    </w:p>
    <w:p w:rsidRPr="00AE1B2B" w:rsidR="009D3FB5" w:rsidP="00163B94" w:rsidRDefault="009D3FB5" w14:paraId="21D3BCEC"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 xml:space="preserve">De los tres (3) Despachos de naturaleza mixta, los de Upala y Buenos Aires tienen características similares, por conocer ambos seis (6) materias cada uno y el ubicado en Turrialba conoce únicamente tres materias; por lo que es importante conocer en este apartado, el comportamiento promedio de los siguientes indicadores: </w:t>
      </w:r>
    </w:p>
    <w:p w:rsidRPr="00AE1B2B" w:rsidR="009D3FB5" w:rsidP="00163B94" w:rsidRDefault="009D3FB5" w14:paraId="53036048" w14:textId="77777777">
      <w:pPr>
        <w:spacing w:before="120" w:after="120"/>
        <w:ind w:left="851" w:right="851" w:firstLine="709"/>
        <w:jc w:val="both"/>
        <w:rPr>
          <w:rFonts w:ascii="Times New Roman" w:hAnsi="Times New Roman" w:cs="Times New Roman"/>
          <w:sz w:val="26"/>
          <w:szCs w:val="26"/>
          <w:lang w:val="es-ES"/>
        </w:rPr>
      </w:pPr>
    </w:p>
    <w:p w:rsidRPr="00AE1B2B" w:rsidR="009D3FB5" w:rsidP="00163B94" w:rsidRDefault="009D3FB5" w14:paraId="43918CFD"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10</w:t>
      </w:r>
      <w:r w:rsidRPr="00AE1B2B">
        <w:rPr>
          <w:rFonts w:ascii="Times New Roman" w:hAnsi="Times New Roman"/>
          <w:iCs/>
          <w:sz w:val="26"/>
          <w:szCs w:val="26"/>
        </w:rPr>
        <w:fldChar w:fldCharType="end"/>
      </w:r>
    </w:p>
    <w:p w:rsidRPr="00AE1B2B" w:rsidR="009D3FB5" w:rsidP="00163B94" w:rsidRDefault="009D3FB5" w14:paraId="41DA8FCA" w14:textId="77777777">
      <w:pPr>
        <w:spacing w:before="120" w:after="120"/>
        <w:ind w:left="851" w:right="851" w:firstLine="709"/>
        <w:jc w:val="both"/>
        <w:rPr>
          <w:rFonts w:ascii="Times New Roman" w:hAnsi="Times New Roman" w:cs="Times New Roman"/>
          <w:b/>
          <w:iCs/>
          <w:sz w:val="24"/>
          <w:szCs w:val="28"/>
        </w:rPr>
      </w:pPr>
      <w:r w:rsidRPr="00AE1B2B">
        <w:rPr>
          <w:rFonts w:ascii="Times New Roman" w:hAnsi="Times New Roman" w:cs="Times New Roman"/>
          <w:b/>
          <w:iCs/>
          <w:sz w:val="26"/>
          <w:szCs w:val="26"/>
        </w:rPr>
        <w:t>Análisis de los Indicadores de Gestión de los Juzgados de Naturaleza Mixta con Competencia en Materia Agraria (Promedio 2019-2020)</w:t>
      </w:r>
      <w:r w:rsidRPr="00AE1B2B">
        <w:rPr>
          <w:rFonts w:ascii="Times New Roman" w:hAnsi="Times New Roman" w:cs="Times New Roman"/>
          <w:b/>
          <w:iCs/>
          <w:sz w:val="24"/>
          <w:szCs w:val="28"/>
        </w:rPr>
        <w:t xml:space="preserve"> </w:t>
      </w:r>
    </w:p>
    <w:tbl>
      <w:tblPr>
        <w:tblW w:w="11624" w:type="dxa"/>
        <w:tblInd w:w="-1441" w:type="dxa"/>
        <w:tblCellMar>
          <w:left w:w="70" w:type="dxa"/>
          <w:right w:w="70" w:type="dxa"/>
        </w:tblCellMar>
        <w:tblLook w:val="04A0" w:firstRow="1" w:lastRow="0" w:firstColumn="1" w:lastColumn="0" w:noHBand="0" w:noVBand="1"/>
      </w:tblPr>
      <w:tblGrid>
        <w:gridCol w:w="7797"/>
        <w:gridCol w:w="1559"/>
        <w:gridCol w:w="1134"/>
        <w:gridCol w:w="1134"/>
      </w:tblGrid>
      <w:tr w:rsidRPr="00AE1B2B" w:rsidR="00AE1B2B" w:rsidTr="009D3FB5" w14:paraId="797D2EAE" w14:textId="77777777">
        <w:trPr>
          <w:trHeight w:val="300"/>
          <w:tblHeader/>
        </w:trPr>
        <w:tc>
          <w:tcPr>
            <w:tcW w:w="7797" w:type="dxa"/>
            <w:tcBorders>
              <w:top w:val="nil"/>
              <w:left w:val="double" w:color="1F497D" w:sz="6" w:space="0"/>
              <w:bottom w:val="double" w:color="1F497D" w:sz="6" w:space="0"/>
              <w:right w:val="double" w:color="1F497D" w:sz="6" w:space="0"/>
            </w:tcBorders>
            <w:shd w:val="clear" w:color="000000" w:fill="0673A5"/>
            <w:noWrap/>
            <w:vAlign w:val="center"/>
            <w:hideMark/>
          </w:tcPr>
          <w:p w:rsidRPr="00AE1B2B" w:rsidR="009D3FB5" w:rsidP="00163B94" w:rsidRDefault="009D3FB5" w14:paraId="78CB15F7"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Indicador </w:t>
            </w:r>
          </w:p>
        </w:tc>
        <w:tc>
          <w:tcPr>
            <w:tcW w:w="1559" w:type="dxa"/>
            <w:tcBorders>
              <w:top w:val="nil"/>
              <w:left w:val="nil"/>
              <w:bottom w:val="double" w:color="1F497D" w:sz="6" w:space="0"/>
              <w:right w:val="double" w:color="1F497D" w:sz="6" w:space="0"/>
            </w:tcBorders>
            <w:shd w:val="clear" w:color="000000" w:fill="0673A5"/>
            <w:noWrap/>
            <w:vAlign w:val="center"/>
            <w:hideMark/>
          </w:tcPr>
          <w:p w:rsidRPr="00AE1B2B" w:rsidR="009D3FB5" w:rsidP="00163B94" w:rsidRDefault="009D3FB5" w14:paraId="22169FEA"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Buenos Aires</w:t>
            </w:r>
          </w:p>
        </w:tc>
        <w:tc>
          <w:tcPr>
            <w:tcW w:w="1134" w:type="dxa"/>
            <w:tcBorders>
              <w:top w:val="nil"/>
              <w:left w:val="nil"/>
              <w:bottom w:val="double" w:color="1F497D" w:sz="6" w:space="0"/>
              <w:right w:val="double" w:color="1F497D" w:sz="6" w:space="0"/>
            </w:tcBorders>
            <w:shd w:val="clear" w:color="000000" w:fill="0673A5"/>
            <w:noWrap/>
            <w:vAlign w:val="center"/>
            <w:hideMark/>
          </w:tcPr>
          <w:p w:rsidRPr="00AE1B2B" w:rsidR="009D3FB5" w:rsidP="00163B94" w:rsidRDefault="009D3FB5" w14:paraId="59019F29"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Upala </w:t>
            </w:r>
          </w:p>
        </w:tc>
        <w:tc>
          <w:tcPr>
            <w:tcW w:w="1134" w:type="dxa"/>
            <w:tcBorders>
              <w:top w:val="nil"/>
              <w:left w:val="nil"/>
              <w:bottom w:val="double" w:color="1F497D" w:sz="6" w:space="0"/>
              <w:right w:val="double" w:color="1F497D" w:sz="6" w:space="0"/>
            </w:tcBorders>
            <w:shd w:val="clear" w:color="000000" w:fill="0673A5"/>
            <w:noWrap/>
            <w:vAlign w:val="center"/>
            <w:hideMark/>
          </w:tcPr>
          <w:p w:rsidRPr="00AE1B2B" w:rsidR="009D3FB5" w:rsidP="00163B94" w:rsidRDefault="009D3FB5" w14:paraId="2E43C8DA"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Turrialba </w:t>
            </w:r>
          </w:p>
        </w:tc>
      </w:tr>
      <w:tr w:rsidRPr="00AE1B2B" w:rsidR="00AE1B2B" w:rsidTr="009D3FB5" w14:paraId="61390247" w14:textId="77777777">
        <w:trPr>
          <w:trHeight w:val="312"/>
        </w:trPr>
        <w:tc>
          <w:tcPr>
            <w:tcW w:w="7797"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5274C118"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Promedio Mensual Casos Entrados Total (Casos Nuevos + Reentrados)</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420A78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3C8093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23</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C17342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r>
      <w:tr w:rsidRPr="00AE1B2B" w:rsidR="00AE1B2B" w:rsidTr="009D3FB5" w14:paraId="0D7BF4AB" w14:textId="77777777">
        <w:trPr>
          <w:trHeight w:val="312"/>
        </w:trPr>
        <w:tc>
          <w:tcPr>
            <w:tcW w:w="7797"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319418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Promedio Mensual Casos Terminados Total (Casos Finalizados + Inactivos)</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AF3827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AE06EA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F013C8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12</w:t>
            </w:r>
          </w:p>
        </w:tc>
      </w:tr>
      <w:tr w:rsidRPr="00AE1B2B" w:rsidR="00AE1B2B" w:rsidTr="009D3FB5" w14:paraId="37421D88" w14:textId="77777777">
        <w:trPr>
          <w:trHeight w:val="312"/>
        </w:trPr>
        <w:tc>
          <w:tcPr>
            <w:tcW w:w="7797"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765EDA1"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 xml:space="preserve">Circulante Final </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C5A2B7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335</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A41E58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727</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D0FEEA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168</w:t>
            </w:r>
          </w:p>
        </w:tc>
      </w:tr>
      <w:tr w:rsidRPr="00AE1B2B" w:rsidR="00AE1B2B" w:rsidTr="009D3FB5" w14:paraId="7C0CD726" w14:textId="77777777">
        <w:trPr>
          <w:trHeight w:val="312"/>
        </w:trPr>
        <w:tc>
          <w:tcPr>
            <w:tcW w:w="7797" w:type="dxa"/>
            <w:tcBorders>
              <w:top w:val="nil"/>
              <w:left w:val="double" w:color="1F497D" w:sz="6" w:space="0"/>
              <w:bottom w:val="double" w:color="1F497D" w:sz="6" w:space="0"/>
              <w:right w:val="double" w:color="1F497D" w:sz="6" w:space="0"/>
            </w:tcBorders>
            <w:shd w:val="clear" w:color="auto" w:fill="auto"/>
            <w:noWrap/>
            <w:vAlign w:val="center"/>
          </w:tcPr>
          <w:p w:rsidRPr="00AE1B2B" w:rsidR="009D3FB5" w:rsidP="00163B94" w:rsidRDefault="009D3FB5" w14:paraId="7E73C717" w14:textId="77777777">
            <w:pPr>
              <w:spacing w:before="120" w:after="120"/>
              <w:rPr>
                <w:rFonts w:ascii="Times New Roman" w:hAnsi="Times New Roman" w:cs="Times New Roman"/>
                <w:lang w:eastAsia="es-CR"/>
              </w:rPr>
            </w:pPr>
            <w:r w:rsidRPr="00AE1B2B">
              <w:rPr>
                <w:rFonts w:ascii="Times New Roman" w:hAnsi="Times New Roman" w:cs="Times New Roman"/>
              </w:rPr>
              <w:t>Relación Salida vs Entrada</w:t>
            </w:r>
          </w:p>
        </w:tc>
        <w:tc>
          <w:tcPr>
            <w:tcW w:w="1559" w:type="dxa"/>
            <w:tcBorders>
              <w:top w:val="nil"/>
              <w:left w:val="nil"/>
              <w:bottom w:val="double" w:color="1F497D" w:sz="6" w:space="0"/>
              <w:right w:val="double" w:color="1F497D" w:sz="6" w:space="0"/>
            </w:tcBorders>
            <w:shd w:val="clear" w:color="auto" w:fill="auto"/>
            <w:noWrap/>
            <w:vAlign w:val="center"/>
          </w:tcPr>
          <w:p w:rsidRPr="00AE1B2B" w:rsidR="009D3FB5" w:rsidP="00163B94" w:rsidRDefault="009D3FB5" w14:paraId="3AA9B1A5" w14:textId="77777777">
            <w:pPr>
              <w:spacing w:before="120" w:after="120"/>
              <w:jc w:val="center"/>
              <w:rPr>
                <w:rFonts w:ascii="Times New Roman" w:hAnsi="Times New Roman" w:cs="Times New Roman"/>
              </w:rPr>
            </w:pPr>
            <w:r w:rsidRPr="00AE1B2B">
              <w:rPr>
                <w:rFonts w:ascii="Times New Roman" w:hAnsi="Times New Roman" w:cs="Times New Roman"/>
              </w:rPr>
              <w:t>75%</w:t>
            </w:r>
          </w:p>
        </w:tc>
        <w:tc>
          <w:tcPr>
            <w:tcW w:w="1134" w:type="dxa"/>
            <w:tcBorders>
              <w:top w:val="nil"/>
              <w:left w:val="nil"/>
              <w:bottom w:val="double" w:color="1F497D" w:sz="6" w:space="0"/>
              <w:right w:val="double" w:color="1F497D" w:sz="6" w:space="0"/>
            </w:tcBorders>
            <w:shd w:val="clear" w:color="auto" w:fill="auto"/>
            <w:noWrap/>
            <w:vAlign w:val="center"/>
          </w:tcPr>
          <w:p w:rsidRPr="00AE1B2B" w:rsidR="009D3FB5" w:rsidP="00163B94" w:rsidRDefault="009D3FB5" w14:paraId="1B10DD30" w14:textId="77777777">
            <w:pPr>
              <w:spacing w:before="120" w:after="120"/>
              <w:jc w:val="center"/>
              <w:rPr>
                <w:rFonts w:ascii="Times New Roman" w:hAnsi="Times New Roman" w:cs="Times New Roman"/>
              </w:rPr>
            </w:pPr>
            <w:r w:rsidRPr="00AE1B2B">
              <w:rPr>
                <w:rFonts w:ascii="Times New Roman" w:hAnsi="Times New Roman" w:cs="Times New Roman"/>
              </w:rPr>
              <w:t>43%</w:t>
            </w:r>
          </w:p>
        </w:tc>
        <w:tc>
          <w:tcPr>
            <w:tcW w:w="1134" w:type="dxa"/>
            <w:tcBorders>
              <w:top w:val="nil"/>
              <w:left w:val="nil"/>
              <w:bottom w:val="double" w:color="1F497D" w:sz="6" w:space="0"/>
              <w:right w:val="double" w:color="1F497D" w:sz="6" w:space="0"/>
            </w:tcBorders>
            <w:shd w:val="clear" w:color="auto" w:fill="auto"/>
            <w:noWrap/>
            <w:vAlign w:val="center"/>
          </w:tcPr>
          <w:p w:rsidRPr="00AE1B2B" w:rsidR="009D3FB5" w:rsidP="00163B94" w:rsidRDefault="009D3FB5" w14:paraId="71023088" w14:textId="77777777">
            <w:pPr>
              <w:spacing w:before="120" w:after="120"/>
              <w:jc w:val="center"/>
              <w:rPr>
                <w:rFonts w:ascii="Times New Roman" w:hAnsi="Times New Roman" w:cs="Times New Roman"/>
              </w:rPr>
            </w:pPr>
            <w:r w:rsidRPr="00AE1B2B">
              <w:rPr>
                <w:rFonts w:ascii="Times New Roman" w:hAnsi="Times New Roman" w:cs="Times New Roman"/>
              </w:rPr>
              <w:t>75%</w:t>
            </w:r>
          </w:p>
        </w:tc>
      </w:tr>
      <w:tr w:rsidRPr="00AE1B2B" w:rsidR="00AE1B2B" w:rsidTr="009D3FB5" w14:paraId="2AAD2814" w14:textId="77777777">
        <w:trPr>
          <w:trHeight w:val="312"/>
        </w:trPr>
        <w:tc>
          <w:tcPr>
            <w:tcW w:w="7797"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3A6D5DA"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Plazo de Espera de Dictado de Sentencia</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266C83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20</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C1BAC6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192</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CB22E7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43</w:t>
            </w:r>
          </w:p>
        </w:tc>
      </w:tr>
      <w:tr w:rsidRPr="00AE1B2B" w:rsidR="00AE1B2B" w:rsidTr="009D3FB5" w14:paraId="4534C091" w14:textId="77777777">
        <w:trPr>
          <w:trHeight w:val="312"/>
        </w:trPr>
        <w:tc>
          <w:tcPr>
            <w:tcW w:w="7797"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4FE75E7B"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Cantidad Mensual Promedio de audiencias pendientes de realización</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A207F0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25</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BB53FE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29</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361422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13</w:t>
            </w:r>
          </w:p>
        </w:tc>
      </w:tr>
      <w:tr w:rsidRPr="00AE1B2B" w:rsidR="00AE1B2B" w:rsidTr="009D3FB5" w14:paraId="264652AE" w14:textId="77777777">
        <w:trPr>
          <w:trHeight w:val="312"/>
        </w:trPr>
        <w:tc>
          <w:tcPr>
            <w:tcW w:w="7797"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3CC5D0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Cantidad Mensual Promedio de Expedientes Pendientes de Fallo</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21ACEE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97F840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29</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BF9B94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w:t>
            </w:r>
          </w:p>
        </w:tc>
      </w:tr>
      <w:tr w:rsidRPr="00AE1B2B" w:rsidR="00AE1B2B" w:rsidTr="009D3FB5" w14:paraId="0AB1F708" w14:textId="77777777">
        <w:trPr>
          <w:trHeight w:val="312"/>
        </w:trPr>
        <w:tc>
          <w:tcPr>
            <w:tcW w:w="7797"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72DEAE48"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Cantidad Mensual Promedio de Escritos Pendientes de Resolver</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3D0EE8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161</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15B79F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146</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D622F0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w:t>
            </w:r>
          </w:p>
        </w:tc>
      </w:tr>
      <w:tr w:rsidRPr="00AE1B2B" w:rsidR="00AE1B2B" w:rsidTr="009D3FB5" w14:paraId="7577A752" w14:textId="77777777">
        <w:trPr>
          <w:trHeight w:val="600"/>
        </w:trPr>
        <w:tc>
          <w:tcPr>
            <w:tcW w:w="7797"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85EB430"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Cantidad Mensual Promedio de Sentencias Dictadas por Persona Juzgadora</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4337DD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66E6F6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13</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5B3956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w:t>
            </w:r>
          </w:p>
        </w:tc>
      </w:tr>
    </w:tbl>
    <w:p w:rsidRPr="00AE1B2B" w:rsidR="009D3FB5" w:rsidP="00163B94" w:rsidRDefault="009D3FB5" w14:paraId="0A5AEE40"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con base a los Indicadores de Gestión 2019 al 2020</w:t>
      </w:r>
    </w:p>
    <w:p w:rsidRPr="00AE1B2B" w:rsidR="009D3FB5" w:rsidP="00163B94" w:rsidRDefault="009D3FB5" w14:paraId="5D72D1A8" w14:textId="276065EF">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 xml:space="preserve">El Juzgado Mixto de Upala, básicamente posee mayores números en sus variables en comparación con los otros dos (2) Despachos, el cual posee una entrada promedio de 23 casos al mes, seguido del Juzgado de Turrialba con una carga promedio de trabajo de 16 casos entrados y el Mixto de Buenos Aires con ocho (8) asuntos. El Despacho de Turrialba es el que más casos promedio al mes termina, con 12 casos terminados, siguiendo del ubicado en </w:t>
      </w:r>
      <w:r w:rsidRPr="00AE1B2B">
        <w:rPr>
          <w:rFonts w:ascii="Times New Roman" w:hAnsi="Times New Roman" w:cs="Times New Roman"/>
          <w:sz w:val="26"/>
          <w:szCs w:val="26"/>
          <w:lang w:val="es-ES"/>
        </w:rPr>
        <w:lastRenderedPageBreak/>
        <w:t>Upala con 10 y 6 casos terminados en Buenos Aires; estos con una relación salida entrada entre los 43% y 75%.</w:t>
      </w:r>
      <w:r w:rsidRPr="00AE1B2B" w:rsidR="00BB7720">
        <w:rPr>
          <w:rFonts w:ascii="Times New Roman" w:hAnsi="Times New Roman" w:cs="Times New Roman"/>
          <w:sz w:val="26"/>
          <w:szCs w:val="26"/>
          <w:lang w:val="es-ES"/>
        </w:rPr>
        <w:t xml:space="preserve"> </w:t>
      </w:r>
    </w:p>
    <w:p w:rsidRPr="00AE1B2B" w:rsidR="009D3FB5" w:rsidP="00163B94" w:rsidRDefault="009D3FB5" w14:paraId="18E21404"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 xml:space="preserve">En cuanto al Circulante al finalizar el 2020, notablemente se aprecia que el Juzgado de Upala posee la mayor cantidad de expedientes, con un total de 727 casos, seguido del Juzgado de Buenos Aires con 335 expedientes y con 168 casos el Juzgado de Turrialba. </w:t>
      </w:r>
    </w:p>
    <w:p w:rsidRPr="00AE1B2B" w:rsidR="009D3FB5" w:rsidP="00163B94" w:rsidRDefault="009D3FB5" w14:paraId="3426AC34"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 xml:space="preserve">El plazo de espera para el dictado se sentencia se ve más marcado entre los tres (3), ya que el Juzgado de Upala tiene un promedio de 192 días plazo, 43 días en Turrialba y 20 días en el ubicado en Buenos Aires. La cantidad de audiencias, el Juzgado Mixto de Upala registra un promedio de 29 señalamientos a audiencia pendientes de realización, mientras que Buenos Aires y Turrialba con 25 y 13 casos respectivamente. </w:t>
      </w:r>
    </w:p>
    <w:p w:rsidRPr="00AE1B2B" w:rsidR="009D3FB5" w:rsidP="00163B94" w:rsidRDefault="009D3FB5" w14:paraId="4AA91D0F"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 xml:space="preserve">De los expedientes pendientes del dictado de sentencia, también encabeza en números el Despacho ubicado en Upala con 29 casos en promedio por mes, seguido de Turrialba con siete (7) y Buenos Aires con dos (2) casos en promedio. La cantidad de escritos pendientes de resolver por parte del personal técnico judicial promedia mensualmente 161 casos en el Juzgado Mixto de Buenos Aires, mientras que en su homologo Upala 146 escritos pendientes. En el caso de Turrialba, este indicador es menor en comparación, ya que presenta un promedio de 8 escritos en el mes. </w:t>
      </w:r>
    </w:p>
    <w:p w:rsidRPr="00AE1B2B" w:rsidR="009D3FB5" w:rsidP="00163B94" w:rsidRDefault="009D3FB5" w14:paraId="54CC9DF1"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 xml:space="preserve">En cuanto a la función del personal juzgador en cuanto al dictado de sentencias, se observa que el Juzgado Mixto de Upala, la persona Juzgadora promedia 13 casos terminados al mes, mientras que, en Turrialba y Buenos Aires, promedian 8 y 4 casos respectivamente. </w:t>
      </w:r>
    </w:p>
    <w:p w:rsidRPr="00AE1B2B" w:rsidR="009D3FB5" w:rsidP="00163B94" w:rsidRDefault="009D3FB5" w14:paraId="48D40A0E" w14:textId="77777777">
      <w:pPr>
        <w:spacing w:before="120" w:after="120"/>
        <w:ind w:left="851" w:right="851" w:firstLine="709"/>
        <w:jc w:val="both"/>
        <w:rPr>
          <w:rFonts w:ascii="Times New Roman" w:hAnsi="Times New Roman" w:cs="Times New Roman"/>
          <w:sz w:val="26"/>
          <w:szCs w:val="26"/>
          <w:lang w:val="es-ES"/>
        </w:rPr>
      </w:pPr>
    </w:p>
    <w:p w:rsidRPr="00AE1B2B" w:rsidR="009D3FB5" w:rsidP="00163B94" w:rsidRDefault="009D3FB5" w14:paraId="09929D52" w14:textId="77777777">
      <w:pPr>
        <w:spacing w:before="120" w:after="120"/>
        <w:ind w:left="851" w:right="851" w:firstLine="709"/>
        <w:jc w:val="both"/>
        <w:rPr>
          <w:rFonts w:ascii="Times New Roman" w:hAnsi="Times New Roman" w:cs="Times New Roman"/>
          <w:sz w:val="26"/>
          <w:szCs w:val="26"/>
          <w:lang w:val="es-ES"/>
        </w:rPr>
      </w:pPr>
    </w:p>
    <w:p w:rsidRPr="00AE1B2B" w:rsidR="009D3FB5" w:rsidP="00163B94" w:rsidRDefault="009D3FB5" w14:paraId="58AA0B49" w14:textId="77777777">
      <w:pPr>
        <w:spacing w:before="120" w:after="120"/>
        <w:ind w:left="851" w:right="851" w:firstLine="709"/>
        <w:jc w:val="both"/>
        <w:rPr>
          <w:rFonts w:ascii="Times New Roman" w:hAnsi="Times New Roman" w:cs="Times New Roman"/>
          <w:sz w:val="26"/>
          <w:szCs w:val="26"/>
        </w:rPr>
      </w:pPr>
      <w:bookmarkStart w:name="_Toc68688563" w:id="282"/>
      <w:r w:rsidRPr="00AE1B2B">
        <w:rPr>
          <w:rFonts w:ascii="Times New Roman" w:hAnsi="Times New Roman" w:cs="Times New Roman"/>
          <w:sz w:val="26"/>
          <w:szCs w:val="26"/>
        </w:rPr>
        <w:t>Análisis de los Indicadores de Gestión del Tribunal Agrario</w:t>
      </w:r>
      <w:bookmarkEnd w:id="282"/>
    </w:p>
    <w:p w:rsidRPr="00AE1B2B" w:rsidR="009D3FB5" w:rsidP="00163B94" w:rsidRDefault="009D3FB5" w14:paraId="0E7FC7B7"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El Tribunal Agrario del II Circuito Judicial de San José, experimentó mejorías en su gestión de acuerdo con la evidencia que arroja la implementación de los Indicadores de Gestión. A continuación, se realiza un balance de cada indicador:</w:t>
      </w:r>
    </w:p>
    <w:p w:rsidRPr="00AE1B2B" w:rsidR="009D3FB5" w:rsidP="00163B94" w:rsidRDefault="009D3FB5" w14:paraId="571D62F0" w14:textId="77777777">
      <w:pPr>
        <w:spacing w:before="120" w:after="120"/>
        <w:ind w:left="851" w:right="851" w:firstLine="709"/>
        <w:jc w:val="both"/>
        <w:rPr>
          <w:rFonts w:ascii="Times New Roman" w:hAnsi="Times New Roman" w:cs="Times New Roman"/>
          <w:sz w:val="26"/>
          <w:szCs w:val="26"/>
        </w:rPr>
      </w:pPr>
      <w:bookmarkStart w:name="_Toc68688564" w:id="283"/>
      <w:r w:rsidRPr="00AE1B2B">
        <w:rPr>
          <w:rFonts w:ascii="Times New Roman" w:hAnsi="Times New Roman" w:cs="Times New Roman"/>
          <w:sz w:val="26"/>
          <w:szCs w:val="26"/>
        </w:rPr>
        <w:t>Cantidad de Casos Entrados, Terminados y Circulante Final</w:t>
      </w:r>
      <w:bookmarkEnd w:id="283"/>
    </w:p>
    <w:p w:rsidRPr="00AE1B2B" w:rsidR="009D3FB5" w:rsidP="00163B94" w:rsidRDefault="009D3FB5" w14:paraId="1D697884"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El comportamiento de estas variables ha sido irregular desde la implementación de los Indicadores de Gestión, con entradas de carga de trabajo que oscilan entre los 55 y 127 casos al mes. En </w:t>
      </w:r>
      <w:r w:rsidRPr="00AE1B2B">
        <w:rPr>
          <w:rFonts w:ascii="Times New Roman" w:hAnsi="Times New Roman" w:cs="Times New Roman"/>
          <w:sz w:val="26"/>
          <w:szCs w:val="26"/>
          <w:lang w:val="es-MX"/>
        </w:rPr>
        <w:lastRenderedPageBreak/>
        <w:t xml:space="preserve">cuanto a los casos terminados, lograron terminar un promedio de 100 sentencias al mes, ayudado también por los planes de trabajo ejecutados en la oficina con ayuda de una sección extraordinaria en los meses de setiembre, octubre y noviembre del 2020. Lo anterior ayudó significativamente la reducción del circulante que, para finales del 2019, se contó con un circulante de 240 expedientes y al finalizar el periodo 2020 se reduce a 116 expedientes, tal como se aprecia en el siguiente gráfico. </w:t>
      </w:r>
    </w:p>
    <w:p w:rsidRPr="00AE1B2B" w:rsidR="009D3FB5" w:rsidP="00163B94" w:rsidRDefault="009D3FB5" w14:paraId="724125EF"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19</w:t>
      </w:r>
      <w:r w:rsidRPr="00AE1B2B">
        <w:rPr>
          <w:rFonts w:ascii="Times New Roman" w:hAnsi="Times New Roman"/>
          <w:iCs/>
          <w:sz w:val="26"/>
          <w:szCs w:val="26"/>
        </w:rPr>
        <w:fldChar w:fldCharType="end"/>
      </w:r>
    </w:p>
    <w:p w:rsidRPr="00AE1B2B" w:rsidR="009D3FB5" w:rsidP="00163B94" w:rsidRDefault="009D3FB5" w14:paraId="485934B0"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Comportamiento de la Entrada, Salida y Circulante del Tribunal Agrario del II Circuito Judicial de San José octubre 2019 al diciembre 2020</w:t>
      </w:r>
    </w:p>
    <w:p w:rsidRPr="00AE1B2B" w:rsidR="009D3FB5" w:rsidP="00163B94" w:rsidRDefault="009D3FB5" w14:paraId="21472F50" w14:textId="77777777">
      <w:pPr>
        <w:spacing w:before="120" w:after="120"/>
        <w:ind w:left="-1276" w:right="-660"/>
        <w:rPr>
          <w:rFonts w:ascii="Times New Roman" w:hAnsi="Times New Roman" w:cs="Times New Roman"/>
          <w:lang w:val="es-MX"/>
        </w:rPr>
      </w:pPr>
      <w:r w:rsidRPr="00AE1B2B">
        <w:rPr>
          <w:rFonts w:ascii="Times New Roman" w:hAnsi="Times New Roman" w:cs="Times New Roman"/>
          <w:noProof/>
          <w:lang w:val="en-US"/>
        </w:rPr>
        <w:drawing>
          <wp:inline distT="0" distB="0" distL="0" distR="0" wp14:anchorId="10CD3412" wp14:editId="2B53479E">
            <wp:extent cx="7147560" cy="2674620"/>
            <wp:effectExtent l="0" t="0" r="15240" b="11430"/>
            <wp:docPr id="1212768299" name="Gráfico 1212768299">
              <a:extLst xmlns:a="http://schemas.openxmlformats.org/drawingml/2006/main">
                <a:ext uri="{FF2B5EF4-FFF2-40B4-BE49-F238E27FC236}">
                  <a16:creationId xmlns:a16="http://schemas.microsoft.com/office/drawing/2014/main" id="{9FE4B50A-B2C6-4F59-B389-BF96E74ED4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1"/>
              </a:graphicData>
            </a:graphic>
          </wp:inline>
        </w:drawing>
      </w:r>
    </w:p>
    <w:p w:rsidRPr="00AE1B2B" w:rsidR="009D3FB5" w:rsidP="00163B94" w:rsidRDefault="009D3FB5" w14:paraId="42EECEB4" w14:textId="77777777">
      <w:pPr>
        <w:tabs>
          <w:tab w:val="left" w:pos="2844"/>
        </w:tabs>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con base a los Indicadores de Gestión 2019 al 2020.</w:t>
      </w:r>
    </w:p>
    <w:p w:rsidRPr="00AE1B2B" w:rsidR="009D3FB5" w:rsidP="00163B94" w:rsidRDefault="009D3FB5" w14:paraId="5E7CA389" w14:textId="77777777">
      <w:pPr>
        <w:spacing w:before="120" w:after="120"/>
        <w:ind w:left="851" w:right="851" w:firstLine="709"/>
        <w:jc w:val="both"/>
        <w:rPr>
          <w:rFonts w:ascii="Times New Roman" w:hAnsi="Times New Roman" w:cs="Times New Roman"/>
          <w:sz w:val="26"/>
          <w:szCs w:val="26"/>
        </w:rPr>
      </w:pPr>
      <w:bookmarkStart w:name="_Toc68688565" w:id="284"/>
      <w:r w:rsidRPr="00AE1B2B">
        <w:rPr>
          <w:rFonts w:ascii="Times New Roman" w:hAnsi="Times New Roman" w:cs="Times New Roman"/>
          <w:sz w:val="26"/>
          <w:szCs w:val="26"/>
        </w:rPr>
        <w:t>Plazos de Espera</w:t>
      </w:r>
      <w:bookmarkEnd w:id="284"/>
    </w:p>
    <w:p w:rsidRPr="00AE1B2B" w:rsidR="009D3FB5" w:rsidP="00163B94" w:rsidRDefault="009D3FB5" w14:paraId="6E9A97EF"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Dentro de estos plazos de espera se encuentran los indicadores de Plazo de Espera para el Dictado de Sentencia, Plazo para resolver Escritos y Plazo de Espera del Expediente Votado más Antiguo Pendiente de Firma de la Sentencia, los cuales experimentaron reducciones positivas, al pasar de 2303 días en la espera del dictado de sentencia de un caso que procedía del 2013 a tener un plazo de 377 días al finalizar el 2020. Similar comportamiento se aprecia en el plazo para la atención de escritos, que en su mayoría esos escritos se terminan con el dictado de la sentencia, plazo que pasó de 2303 días a siete (7) días. El Plazo de espera de expediente votado más antiguo pendiente de firmar la sentencia, esta oficina posee excelentes </w:t>
      </w:r>
      <w:r w:rsidRPr="00AE1B2B">
        <w:rPr>
          <w:rFonts w:ascii="Times New Roman" w:hAnsi="Times New Roman" w:cs="Times New Roman"/>
          <w:sz w:val="26"/>
          <w:szCs w:val="26"/>
          <w:lang w:val="es-MX"/>
        </w:rPr>
        <w:lastRenderedPageBreak/>
        <w:t xml:space="preserve">números, al mantener en cero (0) días plazo, producto de la buena práctica que cuanto se vota el expediente se firma de inmediato. Lo analizado anteriormente se ve visualizado en el siguiente gráfico: </w:t>
      </w:r>
    </w:p>
    <w:p w:rsidRPr="00AE1B2B" w:rsidR="009D3FB5" w:rsidP="00163B94" w:rsidRDefault="009D3FB5" w14:paraId="3BC38B82"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20</w:t>
      </w:r>
      <w:r w:rsidRPr="00AE1B2B">
        <w:rPr>
          <w:rFonts w:ascii="Times New Roman" w:hAnsi="Times New Roman"/>
          <w:iCs/>
          <w:sz w:val="26"/>
          <w:szCs w:val="26"/>
        </w:rPr>
        <w:fldChar w:fldCharType="end"/>
      </w:r>
    </w:p>
    <w:p w:rsidRPr="00AE1B2B" w:rsidR="009D3FB5" w:rsidP="00163B94" w:rsidRDefault="009D3FB5" w14:paraId="57CBD26B"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Comportamiento de Plazos de Atención del Tribunal Agrario del II Circuito Judicial de San José octubre 2019 al diciembre 2020</w:t>
      </w:r>
    </w:p>
    <w:p w:rsidRPr="00AE1B2B" w:rsidR="009D3FB5" w:rsidP="00163B94" w:rsidRDefault="009D3FB5" w14:paraId="415424B1" w14:textId="77777777">
      <w:pPr>
        <w:spacing w:before="120" w:after="120"/>
        <w:ind w:left="-1418"/>
        <w:rPr>
          <w:rFonts w:ascii="Times New Roman" w:hAnsi="Times New Roman" w:cs="Times New Roman"/>
          <w:lang w:val="es-MX"/>
        </w:rPr>
      </w:pPr>
      <w:r w:rsidRPr="00AE1B2B">
        <w:rPr>
          <w:rFonts w:ascii="Times New Roman" w:hAnsi="Times New Roman" w:cs="Times New Roman"/>
          <w:noProof/>
          <w:lang w:val="en-US"/>
        </w:rPr>
        <w:drawing>
          <wp:inline distT="0" distB="0" distL="0" distR="0" wp14:anchorId="34EF5144" wp14:editId="5C0D6183">
            <wp:extent cx="7132320" cy="3025140"/>
            <wp:effectExtent l="0" t="0" r="11430" b="3810"/>
            <wp:docPr id="1212768300" name="Gráfico 1212768300">
              <a:extLst xmlns:a="http://schemas.openxmlformats.org/drawingml/2006/main">
                <a:ext uri="{FF2B5EF4-FFF2-40B4-BE49-F238E27FC236}">
                  <a16:creationId xmlns:a16="http://schemas.microsoft.com/office/drawing/2014/main" id="{00D4F4CC-5495-4C2A-BB0D-163A53B870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2"/>
              </a:graphicData>
            </a:graphic>
          </wp:inline>
        </w:drawing>
      </w:r>
    </w:p>
    <w:p w:rsidRPr="00AE1B2B" w:rsidR="009D3FB5" w:rsidP="00163B94" w:rsidRDefault="009D3FB5" w14:paraId="541081A0"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con base a los Indicadores de Gestión 2019 al 2020</w:t>
      </w:r>
    </w:p>
    <w:p w:rsidRPr="00AE1B2B" w:rsidR="009D3FB5" w:rsidP="00163B94" w:rsidRDefault="009D3FB5" w14:paraId="70267427" w14:textId="51873824">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Se hace la observación que a partir de septiembre este de</w:t>
      </w:r>
      <w:r w:rsidRPr="00AE1B2B" w:rsidR="003F65D2">
        <w:rPr>
          <w:rFonts w:ascii="Times New Roman" w:hAnsi="Times New Roman" w:cs="Times New Roman"/>
          <w:b/>
          <w:i/>
          <w:sz w:val="26"/>
          <w:szCs w:val="26"/>
        </w:rPr>
        <w:t>spacho tuvo un plan de trabajo.</w:t>
      </w:r>
    </w:p>
    <w:p w:rsidRPr="00AE1B2B" w:rsidR="009D3FB5" w:rsidP="00163B94" w:rsidRDefault="009D3FB5" w14:paraId="0E42EB24" w14:textId="77777777">
      <w:pPr>
        <w:spacing w:before="120" w:after="120"/>
        <w:ind w:left="851" w:right="851" w:firstLine="709"/>
        <w:jc w:val="both"/>
        <w:rPr>
          <w:rFonts w:ascii="Times New Roman" w:hAnsi="Times New Roman" w:cs="Times New Roman"/>
          <w:b/>
          <w:i/>
          <w:sz w:val="26"/>
          <w:szCs w:val="26"/>
        </w:rPr>
      </w:pPr>
    </w:p>
    <w:p w:rsidRPr="00AE1B2B" w:rsidR="009D3FB5" w:rsidP="00163B94" w:rsidRDefault="009D3FB5" w14:paraId="38437801" w14:textId="77777777">
      <w:pPr>
        <w:spacing w:before="120" w:after="120"/>
        <w:ind w:left="851" w:right="851" w:firstLine="709"/>
        <w:jc w:val="both"/>
        <w:rPr>
          <w:rFonts w:ascii="Times New Roman" w:hAnsi="Times New Roman" w:cs="Times New Roman"/>
          <w:sz w:val="26"/>
          <w:szCs w:val="26"/>
        </w:rPr>
      </w:pPr>
      <w:bookmarkStart w:name="_Toc68688566" w:id="285"/>
      <w:r w:rsidRPr="00AE1B2B">
        <w:rPr>
          <w:rFonts w:ascii="Times New Roman" w:hAnsi="Times New Roman" w:cs="Times New Roman"/>
          <w:sz w:val="26"/>
          <w:szCs w:val="26"/>
        </w:rPr>
        <w:t>Cantidad de Expedientes Pendientes de Fallo</w:t>
      </w:r>
      <w:bookmarkEnd w:id="285"/>
    </w:p>
    <w:p w:rsidRPr="00AE1B2B" w:rsidR="009D3FB5" w:rsidP="00163B94" w:rsidRDefault="009D3FB5" w14:paraId="0F5F937C"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El Tribunal Agrario terminó el 2019 con 222 casos pendientes del dictado de sentencia, lo cual, ante la buena gestión de la oficio y producto de la colaboración de la una sección extraordinaria, se logra reducir este dato al finalizar el 2020 a 117 casos pendientes de fallo, tal como se registra a continuación: </w:t>
      </w:r>
    </w:p>
    <w:p w:rsidRPr="00AE1B2B" w:rsidR="009D3FB5" w:rsidP="00163B94" w:rsidRDefault="009D3FB5" w14:paraId="60A9BCB5"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21</w:t>
      </w:r>
      <w:r w:rsidRPr="00AE1B2B">
        <w:rPr>
          <w:rFonts w:ascii="Times New Roman" w:hAnsi="Times New Roman"/>
          <w:iCs/>
          <w:sz w:val="26"/>
          <w:szCs w:val="26"/>
        </w:rPr>
        <w:fldChar w:fldCharType="end"/>
      </w:r>
    </w:p>
    <w:p w:rsidRPr="00AE1B2B" w:rsidR="009D3FB5" w:rsidP="00163B94" w:rsidRDefault="009D3FB5" w14:paraId="6AB96297"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Comportamiento de la Cantidad de Expedientes Pendientes de Fallo del Tribunal Agrario del II Circuito Judicial de San José octubre 2019 al diciembre 2020 </w:t>
      </w:r>
    </w:p>
    <w:p w:rsidRPr="00AE1B2B" w:rsidR="009D3FB5" w:rsidP="00163B94" w:rsidRDefault="009D3FB5" w14:paraId="650817D7"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2877CE9" w14:textId="77777777">
      <w:pPr>
        <w:spacing w:before="120" w:after="120"/>
        <w:ind w:left="-1418"/>
        <w:rPr>
          <w:rFonts w:ascii="Times New Roman" w:hAnsi="Times New Roman" w:cs="Times New Roman"/>
          <w:lang w:val="es-MX"/>
        </w:rPr>
      </w:pPr>
      <w:r w:rsidRPr="00AE1B2B">
        <w:rPr>
          <w:rFonts w:ascii="Times New Roman" w:hAnsi="Times New Roman" w:cs="Times New Roman"/>
          <w:noProof/>
          <w:lang w:val="en-US"/>
        </w:rPr>
        <w:lastRenderedPageBreak/>
        <w:drawing>
          <wp:inline distT="0" distB="0" distL="0" distR="0" wp14:anchorId="0862C732" wp14:editId="50806C28">
            <wp:extent cx="7322820" cy="2407920"/>
            <wp:effectExtent l="0" t="0" r="11430" b="11430"/>
            <wp:docPr id="1212768301" name="Gráfico 1212768301">
              <a:extLst xmlns:a="http://schemas.openxmlformats.org/drawingml/2006/main">
                <a:ext uri="{FF2B5EF4-FFF2-40B4-BE49-F238E27FC236}">
                  <a16:creationId xmlns:a16="http://schemas.microsoft.com/office/drawing/2014/main" id="{9C1F6404-04D3-4CF1-A921-09CBFD8CBE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3"/>
              </a:graphicData>
            </a:graphic>
          </wp:inline>
        </w:drawing>
      </w:r>
    </w:p>
    <w:p w:rsidRPr="00AE1B2B" w:rsidR="009D3FB5" w:rsidP="00163B94" w:rsidRDefault="009D3FB5" w14:paraId="22CF960B" w14:textId="77777777">
      <w:pPr>
        <w:spacing w:before="120" w:after="120"/>
        <w:ind w:left="-1418"/>
        <w:rPr>
          <w:rFonts w:ascii="Times New Roman" w:hAnsi="Times New Roman" w:cs="Times New Roman"/>
          <w:b/>
          <w:i/>
          <w:sz w:val="18"/>
        </w:rPr>
      </w:pPr>
      <w:r w:rsidRPr="00AE1B2B">
        <w:rPr>
          <w:rFonts w:ascii="Times New Roman" w:hAnsi="Times New Roman" w:cs="Times New Roman"/>
          <w:b/>
          <w:i/>
          <w:sz w:val="18"/>
        </w:rPr>
        <w:t>Fuente: Subproceso de Modernización Institucional con base a los Indicadores de Gestión 2019 al 2020</w:t>
      </w:r>
    </w:p>
    <w:p w:rsidRPr="00AE1B2B" w:rsidR="009D3FB5" w:rsidP="00163B94" w:rsidRDefault="009D3FB5" w14:paraId="6BBEBB9D" w14:textId="4DD82927">
      <w:pPr>
        <w:spacing w:before="120" w:after="120"/>
        <w:rPr>
          <w:rFonts w:ascii="Times New Roman" w:hAnsi="Times New Roman" w:cs="Times New Roman"/>
          <w:b/>
          <w:i/>
          <w:sz w:val="18"/>
        </w:rPr>
      </w:pPr>
    </w:p>
    <w:p w:rsidRPr="00AE1B2B" w:rsidR="009D3FB5" w:rsidP="00163B94" w:rsidRDefault="009D3FB5" w14:paraId="0F306801" w14:textId="77777777">
      <w:pPr>
        <w:spacing w:before="120" w:after="120"/>
        <w:ind w:left="-1418"/>
        <w:rPr>
          <w:rFonts w:ascii="Times New Roman" w:hAnsi="Times New Roman" w:cs="Times New Roman"/>
          <w:b/>
          <w:i/>
          <w:sz w:val="18"/>
        </w:rPr>
      </w:pPr>
    </w:p>
    <w:p w:rsidRPr="00AE1B2B" w:rsidR="009D3FB5" w:rsidP="00163B94" w:rsidRDefault="009D3FB5" w14:paraId="4F12AC7A" w14:textId="77777777">
      <w:pPr>
        <w:spacing w:before="120" w:after="120"/>
        <w:ind w:left="-1418"/>
        <w:rPr>
          <w:rFonts w:ascii="Times New Roman" w:hAnsi="Times New Roman" w:cs="Times New Roman"/>
          <w:lang w:val="es-MX"/>
        </w:rPr>
      </w:pPr>
    </w:p>
    <w:p w:rsidRPr="00AE1B2B" w:rsidR="009D3FB5" w:rsidP="00163B94" w:rsidRDefault="009D3FB5" w14:paraId="1A6FB46A" w14:textId="77777777">
      <w:pPr>
        <w:spacing w:before="120" w:after="120"/>
        <w:ind w:left="851" w:right="851" w:firstLine="709"/>
        <w:jc w:val="both"/>
        <w:rPr>
          <w:rFonts w:ascii="Times New Roman" w:hAnsi="Times New Roman" w:cs="Times New Roman"/>
          <w:sz w:val="26"/>
          <w:szCs w:val="26"/>
        </w:rPr>
      </w:pPr>
      <w:bookmarkStart w:name="_Toc68688567" w:id="286"/>
      <w:r w:rsidRPr="00AE1B2B">
        <w:rPr>
          <w:rFonts w:ascii="Times New Roman" w:hAnsi="Times New Roman" w:cs="Times New Roman"/>
          <w:sz w:val="26"/>
          <w:szCs w:val="26"/>
        </w:rPr>
        <w:t>Cantidad de Escritos y Casos Nuevos Pendientes de Trámite</w:t>
      </w:r>
      <w:bookmarkEnd w:id="286"/>
    </w:p>
    <w:p w:rsidRPr="00AE1B2B" w:rsidR="009D3FB5" w:rsidP="00163B94" w:rsidRDefault="009D3FB5" w14:paraId="4A691628"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La cantidad de escritos pendientes de resolver tuvo un comportamiento significativamente a la baja, el cual inicia con 154 escritos pendientes en el 2020 y termina con tan solo 2 casos. En el caso de la cantidad de los casos nuevos pendientes, obtuvo un promedio mensual de 28 casos al mes. Lo anterior se refleja en el siguiente gráfico. </w:t>
      </w:r>
    </w:p>
    <w:p w:rsidRPr="00AE1B2B" w:rsidR="009D3FB5" w:rsidP="00163B94" w:rsidRDefault="009D3FB5" w14:paraId="3C83D998" w14:textId="77777777">
      <w:pPr>
        <w:spacing w:before="120" w:after="120"/>
        <w:ind w:left="851" w:right="851" w:firstLine="709"/>
        <w:jc w:val="both"/>
        <w:rPr>
          <w:rFonts w:ascii="Times New Roman" w:hAnsi="Times New Roman" w:cs="Times New Roman"/>
          <w:sz w:val="26"/>
          <w:szCs w:val="26"/>
          <w:lang w:val="es-MX"/>
        </w:rPr>
      </w:pPr>
    </w:p>
    <w:p w:rsidRPr="00AE1B2B" w:rsidR="009D3FB5" w:rsidP="00163B94" w:rsidRDefault="009D3FB5" w14:paraId="293F66A0"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22</w:t>
      </w:r>
      <w:r w:rsidRPr="00AE1B2B">
        <w:rPr>
          <w:rFonts w:ascii="Times New Roman" w:hAnsi="Times New Roman"/>
          <w:iCs/>
          <w:sz w:val="26"/>
          <w:szCs w:val="26"/>
        </w:rPr>
        <w:fldChar w:fldCharType="end"/>
      </w:r>
    </w:p>
    <w:p w:rsidRPr="00AE1B2B" w:rsidR="009D3FB5" w:rsidP="00163B94" w:rsidRDefault="009D3FB5" w14:paraId="0050C9C4"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Comportamiento de la Cantidad de Escritos Pendientes y Casos Nuevos Pendientes de Trámite del Tribunal Agrario del II Circuito Judicial de San José octubre 2019 al diciembre 2020</w:t>
      </w:r>
    </w:p>
    <w:p w:rsidRPr="00AE1B2B" w:rsidR="009D3FB5" w:rsidP="00163B94" w:rsidRDefault="009D3FB5" w14:paraId="36591C2D" w14:textId="77777777">
      <w:pPr>
        <w:spacing w:before="120" w:after="120"/>
        <w:ind w:left="-1134"/>
        <w:rPr>
          <w:rFonts w:ascii="Times New Roman" w:hAnsi="Times New Roman" w:cs="Times New Roman"/>
          <w:lang w:val="es-MX"/>
        </w:rPr>
      </w:pPr>
      <w:r w:rsidRPr="00AE1B2B">
        <w:rPr>
          <w:rFonts w:ascii="Times New Roman" w:hAnsi="Times New Roman" w:cs="Times New Roman"/>
          <w:noProof/>
          <w:lang w:val="en-US"/>
        </w:rPr>
        <w:lastRenderedPageBreak/>
        <w:drawing>
          <wp:inline distT="0" distB="0" distL="0" distR="0" wp14:anchorId="69C20DB3" wp14:editId="54947DB1">
            <wp:extent cx="7010400" cy="2887980"/>
            <wp:effectExtent l="0" t="0" r="0" b="7620"/>
            <wp:docPr id="1212768302" name="Gráfico 1212768302">
              <a:extLst xmlns:a="http://schemas.openxmlformats.org/drawingml/2006/main">
                <a:ext uri="{FF2B5EF4-FFF2-40B4-BE49-F238E27FC236}">
                  <a16:creationId xmlns:a16="http://schemas.microsoft.com/office/drawing/2014/main" id="{35389D74-AB68-4BC6-99AE-E0017098A7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4"/>
              </a:graphicData>
            </a:graphic>
          </wp:inline>
        </w:drawing>
      </w:r>
    </w:p>
    <w:p w:rsidRPr="00AE1B2B" w:rsidR="009D3FB5" w:rsidP="00163B94" w:rsidRDefault="009D3FB5" w14:paraId="1E2DC296" w14:textId="655776E3">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con base a los Indicadores de Gestión 2019 al 2020</w:t>
      </w:r>
    </w:p>
    <w:p w:rsidRPr="00AE1B2B" w:rsidR="009D3FB5" w:rsidP="00163B94" w:rsidRDefault="009D3FB5" w14:paraId="5C8EA9C4" w14:textId="77777777">
      <w:pPr>
        <w:spacing w:before="120" w:after="120"/>
        <w:ind w:left="851" w:right="851" w:firstLine="709"/>
        <w:jc w:val="both"/>
        <w:rPr>
          <w:rFonts w:ascii="Times New Roman" w:hAnsi="Times New Roman" w:cs="Times New Roman"/>
          <w:sz w:val="26"/>
          <w:szCs w:val="26"/>
          <w:lang w:val="es-MX"/>
        </w:rPr>
      </w:pPr>
    </w:p>
    <w:p w:rsidRPr="00AE1B2B" w:rsidR="009D3FB5" w:rsidP="00163B94" w:rsidRDefault="009D3FB5" w14:paraId="6813A3A9" w14:textId="77777777">
      <w:pPr>
        <w:spacing w:before="120" w:after="120"/>
        <w:ind w:left="851" w:right="851" w:firstLine="709"/>
        <w:jc w:val="both"/>
        <w:rPr>
          <w:rFonts w:ascii="Times New Roman" w:hAnsi="Times New Roman" w:cs="Times New Roman"/>
          <w:sz w:val="26"/>
          <w:szCs w:val="26"/>
        </w:rPr>
      </w:pPr>
      <w:bookmarkStart w:name="_Toc68688568" w:id="287"/>
      <w:r w:rsidRPr="00AE1B2B">
        <w:rPr>
          <w:rFonts w:ascii="Times New Roman" w:hAnsi="Times New Roman" w:cs="Times New Roman"/>
          <w:sz w:val="26"/>
          <w:szCs w:val="26"/>
        </w:rPr>
        <w:t>Cantidad de Proveído y Sentencias Dictadas</w:t>
      </w:r>
      <w:bookmarkEnd w:id="287"/>
    </w:p>
    <w:p w:rsidRPr="00AE1B2B" w:rsidR="009D3FB5" w:rsidP="00163B94" w:rsidRDefault="009D3FB5" w14:paraId="547A73F8" w14:textId="6778E0A4">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La cantidad de expedientes enviados a estudio por Técnica o Técnico Judicial al personal juzgador tiene un promedio de 90 casos mensuales, lo cual refleja un promedio de 30 casos por persona técnica judicial al mes. En relación con la cantidad de sentencias dictadas, promedian 91 casos al mes. </w:t>
      </w:r>
    </w:p>
    <w:p w:rsidRPr="00AE1B2B" w:rsidR="003F65D2" w:rsidP="00163B94" w:rsidRDefault="003F65D2" w14:paraId="234EEF49" w14:textId="77777777">
      <w:pPr>
        <w:spacing w:before="120" w:after="120"/>
        <w:ind w:left="851" w:right="851" w:firstLine="709"/>
        <w:jc w:val="both"/>
        <w:rPr>
          <w:rFonts w:ascii="Times New Roman" w:hAnsi="Times New Roman" w:cs="Times New Roman"/>
          <w:sz w:val="26"/>
          <w:szCs w:val="26"/>
          <w:lang w:val="es-MX"/>
        </w:rPr>
      </w:pPr>
    </w:p>
    <w:p w:rsidRPr="00AE1B2B" w:rsidR="009D3FB5" w:rsidP="00163B94" w:rsidRDefault="009D3FB5" w14:paraId="78BFC84F"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23</w:t>
      </w:r>
      <w:r w:rsidRPr="00AE1B2B">
        <w:rPr>
          <w:rFonts w:ascii="Times New Roman" w:hAnsi="Times New Roman"/>
          <w:iCs/>
          <w:sz w:val="26"/>
          <w:szCs w:val="26"/>
        </w:rPr>
        <w:fldChar w:fldCharType="end"/>
      </w:r>
    </w:p>
    <w:p w:rsidRPr="00AE1B2B" w:rsidR="009D3FB5" w:rsidP="00163B94" w:rsidRDefault="009D3FB5" w14:paraId="70746905"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Comportamiento de la Cantidad de Proveído y Sentencias dictadas Generadas en el Tribunal Agrario del II Circuito Judicial de San José octubre 2019 al diciembre 2020</w:t>
      </w:r>
    </w:p>
    <w:p w:rsidRPr="00AE1B2B" w:rsidR="009D3FB5" w:rsidP="00163B94" w:rsidRDefault="009D3FB5" w14:paraId="3CEDDB6E" w14:textId="77777777">
      <w:pPr>
        <w:spacing w:before="120" w:after="120"/>
        <w:ind w:left="-1276"/>
        <w:rPr>
          <w:rFonts w:ascii="Times New Roman" w:hAnsi="Times New Roman" w:cs="Times New Roman"/>
          <w:lang w:val="es-MX"/>
        </w:rPr>
      </w:pPr>
      <w:r w:rsidRPr="00AE1B2B">
        <w:rPr>
          <w:rFonts w:ascii="Times New Roman" w:hAnsi="Times New Roman" w:cs="Times New Roman"/>
          <w:noProof/>
          <w:lang w:val="en-US"/>
        </w:rPr>
        <w:lastRenderedPageBreak/>
        <w:drawing>
          <wp:inline distT="0" distB="0" distL="0" distR="0" wp14:anchorId="5FA6DE31" wp14:editId="1FA6F769">
            <wp:extent cx="7155180" cy="2910840"/>
            <wp:effectExtent l="0" t="0" r="7620" b="3810"/>
            <wp:docPr id="1212768303" name="Gráfico 1212768303">
              <a:extLst xmlns:a="http://schemas.openxmlformats.org/drawingml/2006/main">
                <a:ext uri="{FF2B5EF4-FFF2-40B4-BE49-F238E27FC236}">
                  <a16:creationId xmlns:a16="http://schemas.microsoft.com/office/drawing/2014/main" id="{941CA60A-6EDF-44B0-8A1C-034D7FDE91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5"/>
              </a:graphicData>
            </a:graphic>
          </wp:inline>
        </w:drawing>
      </w:r>
    </w:p>
    <w:p w:rsidRPr="00AE1B2B" w:rsidR="009D3FB5" w:rsidP="00163B94" w:rsidRDefault="009D3FB5" w14:paraId="0C07D31F"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con base a los Indicadores de Gestión 2019 al 2020</w:t>
      </w:r>
    </w:p>
    <w:p w:rsidRPr="00AE1B2B" w:rsidR="009D3FB5" w:rsidP="00163B94" w:rsidRDefault="009D3FB5" w14:paraId="233AFCAB" w14:textId="77777777">
      <w:pPr>
        <w:spacing w:before="120" w:after="120"/>
        <w:ind w:left="851" w:right="851" w:firstLine="709"/>
        <w:jc w:val="both"/>
        <w:rPr>
          <w:rFonts w:ascii="Times New Roman" w:hAnsi="Times New Roman" w:cs="Times New Roman"/>
          <w:b/>
          <w:i/>
          <w:sz w:val="26"/>
          <w:szCs w:val="26"/>
        </w:rPr>
      </w:pPr>
    </w:p>
    <w:p w:rsidRPr="00AE1B2B" w:rsidR="009D3FB5" w:rsidP="00163B94" w:rsidRDefault="009D3FB5" w14:paraId="28FBECA3" w14:textId="77777777">
      <w:pPr>
        <w:spacing w:before="120" w:after="120"/>
        <w:ind w:left="851" w:right="851" w:firstLine="709"/>
        <w:jc w:val="both"/>
        <w:rPr>
          <w:rFonts w:ascii="Times New Roman" w:hAnsi="Times New Roman" w:cs="Times New Roman"/>
          <w:sz w:val="26"/>
          <w:szCs w:val="26"/>
        </w:rPr>
      </w:pPr>
      <w:bookmarkStart w:name="_Toc68688569" w:id="288"/>
      <w:r w:rsidRPr="00AE1B2B">
        <w:rPr>
          <w:rFonts w:ascii="Times New Roman" w:hAnsi="Times New Roman" w:cs="Times New Roman"/>
          <w:sz w:val="26"/>
          <w:szCs w:val="26"/>
        </w:rPr>
        <w:t>Juzgado Agrario de Puntarenas, sede Jicaral</w:t>
      </w:r>
      <w:bookmarkEnd w:id="288"/>
    </w:p>
    <w:p w:rsidRPr="00AE1B2B" w:rsidR="009D3FB5" w:rsidP="00163B94" w:rsidRDefault="009D3FB5" w14:paraId="63B1EBC0"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En sesión del Consejo Superior 45-2020 (Presupuesto 2021) artículo XVIII, celebrada el 8 de mayo del 2020, se acordó entre otros puntos:</w:t>
      </w:r>
    </w:p>
    <w:p w:rsidRPr="00AE1B2B" w:rsidR="009D3FB5" w:rsidP="00163B94" w:rsidRDefault="009D3FB5" w14:paraId="3BAE09FB" w14:textId="0D503585">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“…1.) Aprobar técnicamente el informe 555-PLA-RH-MI-2020 de la Dirección de “…e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w:t>
      </w:r>
      <w:r w:rsidRPr="00AE1B2B" w:rsidR="00BB7720">
        <w:rPr>
          <w:rFonts w:ascii="Times New Roman" w:hAnsi="Times New Roman" w:cs="Times New Roman"/>
          <w:i/>
          <w:iCs/>
          <w:sz w:val="26"/>
          <w:szCs w:val="26"/>
          <w:lang w:val="es-MX"/>
        </w:rPr>
        <w:t xml:space="preserve"> </w:t>
      </w:r>
      <w:r w:rsidRPr="00AE1B2B">
        <w:rPr>
          <w:rFonts w:ascii="Times New Roman" w:hAnsi="Times New Roman" w:cs="Times New Roman"/>
          <w:i/>
          <w:iCs/>
          <w:sz w:val="26"/>
          <w:szCs w:val="26"/>
          <w:lang w:val="es-MX"/>
        </w:rPr>
        <w:t>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Corte Plena, se deberá crear este Juzgado durante el 2020, con una estructura de un Juez, un Coordinador Judicial y un técnico Judicial, con las siguientes consideraciones en relación a los requerimientos:</w:t>
      </w:r>
      <w:r w:rsidRPr="00AE1B2B" w:rsidR="00BB7720">
        <w:rPr>
          <w:rFonts w:ascii="Times New Roman" w:hAnsi="Times New Roman" w:cs="Times New Roman"/>
          <w:i/>
          <w:iCs/>
          <w:sz w:val="26"/>
          <w:szCs w:val="26"/>
          <w:lang w:val="es-MX"/>
        </w:rPr>
        <w:t xml:space="preserve"> </w:t>
      </w:r>
      <w:r w:rsidRPr="00AE1B2B">
        <w:rPr>
          <w:rFonts w:ascii="Times New Roman" w:hAnsi="Times New Roman" w:cs="Times New Roman"/>
          <w:b/>
          <w:bCs/>
          <w:i/>
          <w:iCs/>
          <w:sz w:val="26"/>
          <w:szCs w:val="26"/>
          <w:lang w:val="es-MX"/>
        </w:rPr>
        <w:t xml:space="preserve">El Centro de Apoyo, Coordinación y Mejoramiento de la Función Jurisdiccional, debe otorgar con su personal ordinario y por la importancia que reviste este tema, dos plazas para crear la oficina en Jicaral. Al menos un Juez y un técnico supernumerario, las plazas deben ser vacantes, para recalificarlas </w:t>
      </w:r>
      <w:r w:rsidRPr="00AE1B2B">
        <w:rPr>
          <w:rFonts w:ascii="Times New Roman" w:hAnsi="Times New Roman" w:cs="Times New Roman"/>
          <w:b/>
          <w:bCs/>
          <w:i/>
          <w:iCs/>
          <w:sz w:val="26"/>
          <w:szCs w:val="26"/>
          <w:lang w:val="es-MX"/>
        </w:rPr>
        <w:lastRenderedPageBreak/>
        <w:t>a los perfiles necesarios, y ambos con licencia para conducir vehículos institucionales, como requisito en su nombramiento. La Dirección de 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w:t>
      </w:r>
      <w:r w:rsidRPr="00AE1B2B">
        <w:rPr>
          <w:rFonts w:ascii="Times New Roman" w:hAnsi="Times New Roman" w:cs="Times New Roman"/>
          <w:i/>
          <w:iCs/>
          <w:sz w:val="26"/>
          <w:szCs w:val="26"/>
          <w:lang w:val="es-MX"/>
        </w:rPr>
        <w:t xml:space="preserve">.”. </w:t>
      </w:r>
      <w:r w:rsidRPr="00AE1B2B">
        <w:rPr>
          <w:rFonts w:ascii="Times New Roman" w:hAnsi="Times New Roman" w:cs="Times New Roman"/>
          <w:sz w:val="26"/>
          <w:szCs w:val="26"/>
          <w:lang w:val="es-MX"/>
        </w:rPr>
        <w:t>(Énfasis agregado).</w:t>
      </w:r>
    </w:p>
    <w:p w:rsidRPr="00AE1B2B" w:rsidR="009D3FB5" w:rsidP="00163B94" w:rsidRDefault="009D3FB5" w14:paraId="1EC1A4DF" w14:textId="02F82394">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La creación del Juzgado Agrario de Puntarenas, sede Jicaral fue aprobada por Corte Plena en sesión 53-2020, celebrada el 21 de setiembre de 2020, artículo XV, acogió la propuesta de la Dirección de Planificación contenida en el estudio 555-PLA-RH-MI-2020 denominado “Impacto organizacional y presupuestario en el Poder Judicial a partir de la promulgación del Nuevo Código Procesal Agrario para el 2021. Ley 9609”, en consecuencia, se aprobó la creación del Juzgado Agrario de Jicaral, así como el cambio de competencias territoriales del Juzgado Agrario de Puntarenas y del Juzgado Agrario del Segundo Circuito Judicial de Guanacaste, sede Santa Cruz.</w:t>
      </w:r>
      <w:r w:rsidRPr="00AE1B2B" w:rsidR="00BB7720">
        <w:rPr>
          <w:rFonts w:ascii="Times New Roman" w:hAnsi="Times New Roman" w:cs="Times New Roman"/>
          <w:sz w:val="26"/>
          <w:szCs w:val="26"/>
          <w:lang w:val="es-MX"/>
        </w:rPr>
        <w:t xml:space="preserve"> </w:t>
      </w:r>
    </w:p>
    <w:p w:rsidRPr="00AE1B2B" w:rsidR="009D3FB5" w:rsidP="00163B94" w:rsidRDefault="009D3FB5" w14:paraId="05DECBD1"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Lo anterior, fue comunicado el 15 de enero 2021 por parte de la Secretaría General de la Corte, circular 238-2020: “Creación del Juzgado Agrario de Jicaral, así como el cambio de competencias territoriales del Juzgado Agrario de Puntarenas y del Juzgado Agrario del Segundo Circuito Judicial de Guanacaste, sede Santa Cruz”.</w:t>
      </w:r>
    </w:p>
    <w:p w:rsidRPr="00AE1B2B" w:rsidR="009D3FB5" w:rsidP="00163B94" w:rsidRDefault="009D3FB5" w14:paraId="4F3DCB5F"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“…Sin objeción alguna, se acordó: 1) Tener por hechas las exposiciones de la Dirección de Planificación y de la Dirección Ejecutiva así como las manifestaciones del magistrado Rivas y de la magistrada Vargas. 2) Acoger la propuesta de la Dirección de Planificación contenida en el estudio N° 555-PLA-RH-MI-2020 denominado “Impacto organizacional y presupuestario en el Poder Judicial a partir de la promulgación del Nuevo Código Procesal Agrario para el 2021. Ley 9609”, en consecuencia: Aprobar la creación del Juzgado Agrario de Jicaral, así como el cambio de competencias territoriales del Juzgado Agrario de Puntarenas y del Juzgado Agrario del Segundo Circuito Judicial de Guanacaste, sede Santa Cruz…”.</w:t>
      </w:r>
    </w:p>
    <w:p w:rsidRPr="00AE1B2B" w:rsidR="009D3FB5" w:rsidP="00163B94" w:rsidRDefault="009D3FB5" w14:paraId="10AFC911" w14:textId="77777777">
      <w:pPr>
        <w:spacing w:before="120" w:after="120"/>
        <w:ind w:left="851" w:right="851" w:firstLine="709"/>
        <w:jc w:val="both"/>
        <w:rPr>
          <w:rFonts w:ascii="Times New Roman" w:hAnsi="Times New Roman" w:cs="Times New Roman"/>
          <w:sz w:val="26"/>
          <w:szCs w:val="26"/>
          <w:lang w:val="es-MX"/>
        </w:rPr>
      </w:pPr>
    </w:p>
    <w:p w:rsidRPr="00AE1B2B" w:rsidR="009D3FB5" w:rsidP="00163B94" w:rsidRDefault="009D3FB5" w14:paraId="42C14494" w14:textId="77777777">
      <w:pPr>
        <w:spacing w:before="120" w:after="120"/>
        <w:ind w:left="851" w:right="851" w:firstLine="709"/>
        <w:jc w:val="both"/>
        <w:rPr>
          <w:rFonts w:ascii="Times New Roman" w:hAnsi="Times New Roman" w:cs="Times New Roman"/>
          <w:sz w:val="26"/>
          <w:szCs w:val="26"/>
          <w:lang w:val="es-MX"/>
        </w:rPr>
      </w:pPr>
    </w:p>
    <w:p w:rsidRPr="00AE1B2B" w:rsidR="009D3FB5" w:rsidP="00163B94" w:rsidRDefault="009D3FB5" w14:paraId="0B70AC79"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El Consejo Superior en sesión 82-2020 celebrada el 20 de agosto del 2020, artículo XIX dispuso:</w:t>
      </w:r>
    </w:p>
    <w:p w:rsidRPr="00AE1B2B" w:rsidR="009D3FB5" w:rsidP="00163B94" w:rsidRDefault="009D3FB5" w14:paraId="7C95551A"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lastRenderedPageBreak/>
        <w:t>“…1.) Tomar nota del oficio número 2921-DE-2020 del 12 de agosto del 2020, suscrito por la máster Ana Eugenia Romero Jenkins, Directora Ejecutiva. 2.) Reiterar al Centro de Apoyo, Coordinación y Mejoramiento de la Función Jurisdiccional la necesidad de que atienda a la brevedad la solicitud dispuesta mediante sesión N° 45-2020 celebrada el 08 de mayo del 2020, artículo XVIII, referente al recurso humano necesario para atender el Juzgado Agrario en Jicaral. 3.) Hacer una respetuosa instancia a la Corte Plena para que, con prioridad conozca, el tema relacionado con el traslado de la competencia del Juzgado Agrario de Jicaral, con el fin de que dicho despacho pueda iniciar labores. 4.) Hacer este acuerdo de conocimiento de la Sala Primera y del Consejo de Administración de Nicoya.</w:t>
      </w:r>
    </w:p>
    <w:p w:rsidRPr="00AE1B2B" w:rsidR="009D3FB5" w:rsidP="00163B94" w:rsidRDefault="009D3FB5" w14:paraId="07EEBAAA"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La Dirección Ejecutiva y la Dirección de Planificación, tomarán nota para los fines consiguientes…”.</w:t>
      </w:r>
    </w:p>
    <w:p w:rsidRPr="00AE1B2B" w:rsidR="009D3FB5" w:rsidP="00163B94" w:rsidRDefault="009D3FB5" w14:paraId="6C7BB4BE" w14:textId="77777777">
      <w:pPr>
        <w:spacing w:before="120" w:after="120"/>
        <w:ind w:left="851" w:right="851" w:firstLine="709"/>
        <w:jc w:val="both"/>
        <w:rPr>
          <w:rFonts w:ascii="Times New Roman" w:hAnsi="Times New Roman" w:cs="Times New Roman"/>
          <w:i/>
          <w:iCs/>
          <w:sz w:val="26"/>
          <w:szCs w:val="26"/>
          <w:lang w:val="es-MX"/>
        </w:rPr>
      </w:pPr>
    </w:p>
    <w:p w:rsidRPr="00AE1B2B" w:rsidR="009D3FB5" w:rsidP="00163B94" w:rsidRDefault="009D3FB5" w14:paraId="60D1C493"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El 12 de noviembre del 2020, en sesión 110-2020 artículo XLVIII, el Consejo Superior se dispuso: </w:t>
      </w:r>
    </w:p>
    <w:p w:rsidRPr="00AE1B2B" w:rsidR="009D3FB5" w:rsidP="00163B94" w:rsidRDefault="009D3FB5" w14:paraId="6A6F1670"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1.) Devolver a la Dirección de Gestión Humana el oficio N° PJ-DGH-RS-633-2020 del 3 de noviembre de 2020, con la finalidad de que tomando en cuenta las manifestaciones de la integrante Pizarro Gutiérrez, a partir de la posibilidad de una permuta, realice la consulta correspondiente a la otra parte interesada e informe a este Consejo Superior lo que corresponda. 2.) Deberá el Centro de Apoyo Coordinación y Mejoramiento de la Función Jurisdiccional informar a este Consejo Superior, en el plazo de 5 días hábiles contados a partir de la comunicación de este acuerdo, en qué estado se encuentra el trámite de la designación del Juez y Técnico que se desempeñarán en el Juzgado Agrario de Jicaral. 3.) Hacer este acuerdo de conocimiento de la servidora Emma Gómez Baltodano, Técnica Judicial 2 del Juzgado Penal de Santa Cruz…”.</w:t>
      </w:r>
    </w:p>
    <w:p w:rsidRPr="00AE1B2B" w:rsidR="009D3FB5" w:rsidP="00163B94" w:rsidRDefault="009D3FB5" w14:paraId="42BCBB20"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El Centro de Apoyo, Coordinación y Mejoramiento de la Función Jurisdiccional mediante el oficio dirigido al Consejo Superior 0921-CACMFJ-AGA-2020, referente al inicio de funciones del Juzgado Agrario de Puntarenas, sede Jicaral señaló</w:t>
      </w:r>
    </w:p>
    <w:p w:rsidRPr="00AE1B2B" w:rsidR="009D3FB5" w:rsidP="00163B94" w:rsidRDefault="009D3FB5" w14:paraId="5D639ECD"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“…1. Refiere el acuerdo del Consejo Superior, que una plaza de Técnico Supernumerario debe ser otorgada por este Centro. Al respecto, no se dispone de una plaza en el Programa de Técnicos Supernumerarios en condición vacante (…)”</w:t>
      </w:r>
    </w:p>
    <w:p w:rsidRPr="00AE1B2B" w:rsidR="009D3FB5" w:rsidP="00163B94" w:rsidRDefault="009D3FB5" w14:paraId="51D0190E"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lastRenderedPageBreak/>
        <w:t>2.</w:t>
      </w:r>
      <w:r w:rsidRPr="00AE1B2B">
        <w:rPr>
          <w:rFonts w:ascii="Times New Roman" w:hAnsi="Times New Roman" w:cs="Times New Roman"/>
          <w:i/>
          <w:iCs/>
          <w:sz w:val="26"/>
          <w:szCs w:val="26"/>
          <w:lang w:val="es-MX"/>
        </w:rPr>
        <w:tab/>
      </w:r>
      <w:r w:rsidRPr="00AE1B2B">
        <w:rPr>
          <w:rFonts w:ascii="Times New Roman" w:hAnsi="Times New Roman" w:cs="Times New Roman"/>
          <w:i/>
          <w:iCs/>
          <w:sz w:val="26"/>
          <w:szCs w:val="26"/>
          <w:lang w:val="es-MX"/>
        </w:rPr>
        <w:t xml:space="preserve">Refiere el informe 555-PLA-RH-MI-2020, de la Dirección de Planificación aprobado, que la otra plaza de técnico para complementar la estructura se trasladará del Juzgado Agrario de Santa Cruz. Traslado que estará siendo designado por la Dirección de Gestión Humana…”. </w:t>
      </w:r>
    </w:p>
    <w:p w:rsidRPr="00AE1B2B" w:rsidR="009D3FB5" w:rsidP="00163B94" w:rsidRDefault="009D3FB5" w14:paraId="375E0E38" w14:textId="77777777">
      <w:pPr>
        <w:spacing w:before="120" w:after="120"/>
        <w:ind w:left="851" w:right="851" w:firstLine="709"/>
        <w:jc w:val="both"/>
        <w:rPr>
          <w:rFonts w:ascii="Times New Roman" w:hAnsi="Times New Roman" w:cs="Times New Roman"/>
          <w:sz w:val="26"/>
          <w:szCs w:val="26"/>
          <w:lang w:val="es-MX"/>
        </w:rPr>
      </w:pPr>
    </w:p>
    <w:p w:rsidRPr="00AE1B2B" w:rsidR="009D3FB5" w:rsidP="00163B94" w:rsidRDefault="009D3FB5" w14:paraId="2E5455E8"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El Consejo Superior en la sesión 113-2020 celebrada el pasado 24 de noviembre, artículo XLIV, solicitó a la Dirección de Gestión Humana emitir un informe con el fin de identificar las plazas de Técnico y Coordinador Judicial 2 que se deben asignar para la conformación del Juzgado Agrario de Jicaral. Para este fin se tomó en consideración la anuencia del personal del Juzgado Agrario de Santa Cruz, así como la plaza otorgada por un plazo definido a la Oficina de Cumplimiento procedente del Tribunal de Tránsito del Segundo Circuito Judicial de San José.</w:t>
      </w:r>
    </w:p>
    <w:p w:rsidRPr="00AE1B2B" w:rsidR="009D3FB5" w:rsidP="00163B94" w:rsidRDefault="009D3FB5" w14:paraId="74707DC5"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El 15 de enero del 2021, la Dirección de Gestión Humana mediante oficio PJ-DGH-RS-008-2021 </w:t>
      </w:r>
      <w:r w:rsidRPr="00AE1B2B">
        <w:rPr>
          <w:rFonts w:ascii="Times New Roman" w:hAnsi="Times New Roman" w:cs="Times New Roman"/>
          <w:i/>
          <w:iCs/>
          <w:sz w:val="26"/>
          <w:szCs w:val="26"/>
          <w:lang w:val="es-MX"/>
        </w:rPr>
        <w:t>(ver anexo 27),</w:t>
      </w:r>
      <w:r w:rsidRPr="00AE1B2B">
        <w:rPr>
          <w:rFonts w:ascii="Times New Roman" w:hAnsi="Times New Roman" w:cs="Times New Roman"/>
          <w:sz w:val="26"/>
          <w:szCs w:val="26"/>
          <w:lang w:val="es-MX"/>
        </w:rPr>
        <w:t xml:space="preserve"> se menciona con respecto a la solicitud del Consejo Superior, en sesión 113-2020 celebrada el pasado 24 de noviembre, artículo XLIV: </w:t>
      </w:r>
    </w:p>
    <w:p w:rsidRPr="00AE1B2B" w:rsidR="009D3FB5" w:rsidP="00163B94" w:rsidRDefault="009D3FB5" w14:paraId="1A95DC44"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se procedió con el análisis de la plaza vacante 107815 de Técnico Judicial 2 del Juzgado Agrario de Santa Cruz. En dicho cargo se encuentra nombrada la señora Guiselle Mendoza Briceño hasta el 01 de abril del 2021, con un tiempo laborado para la Institución de un año y trece días y se ha desempeñado durante 9 meses y 29 días en el puesto…”</w:t>
      </w:r>
    </w:p>
    <w:p w:rsidRPr="00AE1B2B" w:rsidR="009D3FB5" w:rsidP="00163B94" w:rsidRDefault="009D3FB5" w14:paraId="022FCD30"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 Por medio del oficio N° 21-OC-2021, </w:t>
      </w:r>
      <w:bookmarkStart w:name="_Hlk64297321" w:id="289"/>
      <w:r w:rsidRPr="00AE1B2B">
        <w:rPr>
          <w:rFonts w:ascii="Times New Roman" w:hAnsi="Times New Roman" w:cs="Times New Roman"/>
          <w:i/>
          <w:iCs/>
          <w:sz w:val="26"/>
          <w:szCs w:val="26"/>
          <w:lang w:val="es-MX"/>
        </w:rPr>
        <w:t>la máster Kenia Alvarado Villalobos, Oficial de Cumplimiento comunica que la plaza N° 22929 de Técnico Judicial 1 se le asignó al Tribunal de Juicio del Segundo Circuito Judicial de San José para completar su estructura mínima de trabajo por medio del acuerdo del Consejo Superior N° 120-2020 del 17 de diciembre del 2020, artículo XCIII, lo cual elimina toda posibilidad de efectuar un movimiento sobre este puesto</w:t>
      </w:r>
      <w:bookmarkEnd w:id="289"/>
      <w:r w:rsidRPr="00AE1B2B">
        <w:rPr>
          <w:rFonts w:ascii="Times New Roman" w:hAnsi="Times New Roman" w:cs="Times New Roman"/>
          <w:i/>
          <w:iCs/>
          <w:sz w:val="26"/>
          <w:szCs w:val="26"/>
          <w:lang w:val="es-MX"/>
        </w:rPr>
        <w:t>…”.</w:t>
      </w:r>
    </w:p>
    <w:p w:rsidRPr="00AE1B2B" w:rsidR="009D3FB5" w:rsidP="00163B94" w:rsidRDefault="009D3FB5" w14:paraId="7EDF4B8D"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Del informe, la Dirección de Gestión Humana recomienda a la Dirección de Planificación lo siguiente: </w:t>
      </w:r>
    </w:p>
    <w:p w:rsidRPr="00AE1B2B" w:rsidR="009D3FB5" w:rsidP="00163B94" w:rsidRDefault="009D3FB5" w14:paraId="57626B5E"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5.2 Para completar la estructura requerida, solicitar a la Dirección de Planificación la plaza a trasladar que ocupará el puesto de Coordinador o Coordinadora Judicial 2 en el Juzgado Agrario de Jicaral…”.</w:t>
      </w:r>
    </w:p>
    <w:p w:rsidRPr="00AE1B2B" w:rsidR="009D3FB5" w:rsidP="00163B94" w:rsidRDefault="009D3FB5" w14:paraId="75BDCB63" w14:textId="77777777">
      <w:pPr>
        <w:spacing w:before="120" w:after="120"/>
        <w:ind w:left="851" w:right="851" w:firstLine="709"/>
        <w:jc w:val="both"/>
        <w:rPr>
          <w:rFonts w:ascii="Times New Roman" w:hAnsi="Times New Roman" w:cs="Times New Roman"/>
          <w:sz w:val="26"/>
          <w:szCs w:val="26"/>
          <w:lang w:val="es-MX"/>
        </w:rPr>
      </w:pPr>
    </w:p>
    <w:p w:rsidRPr="00AE1B2B" w:rsidR="009D3FB5" w:rsidP="00163B94" w:rsidRDefault="009D3FB5" w14:paraId="0D3097CB"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lastRenderedPageBreak/>
        <w:t xml:space="preserve">El 2 de febrero del 2021, la Dirección de Planificación remite a la Secretaría de la Corte, el oficio 159-PLA-MI-2020 </w:t>
      </w:r>
      <w:r w:rsidRPr="00AE1B2B">
        <w:rPr>
          <w:rFonts w:ascii="Times New Roman" w:hAnsi="Times New Roman" w:cs="Times New Roman"/>
          <w:i/>
          <w:iCs/>
          <w:sz w:val="26"/>
          <w:szCs w:val="26"/>
          <w:lang w:val="es-MX"/>
        </w:rPr>
        <w:t>(ver anexo 28)</w:t>
      </w:r>
      <w:r w:rsidRPr="00AE1B2B">
        <w:rPr>
          <w:rFonts w:ascii="Times New Roman" w:hAnsi="Times New Roman" w:cs="Times New Roman"/>
          <w:sz w:val="26"/>
          <w:szCs w:val="26"/>
          <w:lang w:val="es-MX"/>
        </w:rPr>
        <w:t>, en el cual se atiende el oficio 11821-2020 donde se transcribe el acuerdo tomado por el Consejo Superior en sesión celebrada el 24 de noviembre de 2020, artículo XLIV. En el informe se indica la asignación de las dos (2) plazas supernumerarias (1 Jueza o Juez y 1 de Técnica o Técnico Judicial) vacantes por parte del CACMFJ para la conformación del Juzgado Agrario de Jicaral.</w:t>
      </w:r>
    </w:p>
    <w:p w:rsidRPr="00AE1B2B" w:rsidR="009D3FB5" w:rsidP="00163B94" w:rsidRDefault="009D3FB5" w14:paraId="1C3BFFEB"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En lo que respecta la plaza de persona técnica judicial 1 22929 (anteriormente perteneció al Juzgado de Tránsito del Segundo Circuito Judicial de San José), fue asignado temporalmente a la Oficina de Cumplimiento por recomendación del oficio 1600-PLA-MI-2020 aprobado por el Consejo Superior en sesión 102-2020 celebrada el 22 de octubre del 2020, artículo XXVIII. En sesión 111-2020 celebrada el 17 de noviembre de 2020, artículo LXXIV se definieron los números de plaza a asignar a cada oficina a partir del 7 de diciembre 2020: </w:t>
      </w:r>
    </w:p>
    <w:p w:rsidRPr="00AE1B2B" w:rsidR="009D3FB5" w:rsidP="00163B94" w:rsidRDefault="009D3FB5" w14:paraId="44D5A48D"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“…Analizada por este Consejo Superior el acuerdo anterior, Se acordó: 1.) Aclarar el acuerdo tomado en sesión N° 100-2020 celebrada el 20 de octubre de 2020, artículo VIII, en el sentido que el traslado de las plazas vacantes N° 6643, 47465, 22929, a la Fiscalía de Probidad, al Tribunal Penal del Segundo Circuito Judicial de San José y a la Oficina de Cumplimiento, está ultima en forma temporal, será a partir del 07 de diciembre de 2020. 2.) Deberá la máster Ana Catalina Campos Ramírez, Jueza Coordinadora del Juzgado de Tránsito del Segundo Circuito Judicial de San José, informar a este Consejo, cuando quede una plaza vacante en dicho Juzgado, para trasladarla inmediatamente al Tribunal Penal del Segundo Circuito Judicial de San José. Lo anterior, a lo propuesto por la licenciada Campos Ramírez, en sesión Nº 66- 2020 celebrada el 30 de junio de 2020, artículo VII. 3.) Hacer este acuerdo de conocimiento de la Dirección de Planificación, de la Dirección de Gestión Humana, del Tribunal Penal del Segundo Circuito Judicial de San José del Juzgado de Tránsito del Segundo Circuito Judicial de San José y de la Oficina de Cumplimiento, para lo que a cada una corresponda…”.</w:t>
      </w:r>
    </w:p>
    <w:p w:rsidRPr="00AE1B2B" w:rsidR="009D3FB5" w:rsidP="00163B94" w:rsidRDefault="009D3FB5" w14:paraId="53168851"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Con la asignación de las plazas adicionales (número 47465 + una próxima plaza vacante), el Tribunal Penal del Segundo Circuito Judicial de San José logra completar su estructura mínima deseable de 17 plazas de persona Técnica Judicial distribuidas entre todo el personal juzgador. </w:t>
      </w:r>
    </w:p>
    <w:p w:rsidRPr="00AE1B2B" w:rsidR="009D3FB5" w:rsidP="00163B94" w:rsidRDefault="009D3FB5" w14:paraId="22787620"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lastRenderedPageBreak/>
        <w:t xml:space="preserve">Por lo anterior, </w:t>
      </w:r>
      <w:bookmarkStart w:name="_Hlk64297533" w:id="290"/>
      <w:r w:rsidRPr="00AE1B2B">
        <w:rPr>
          <w:rFonts w:ascii="Times New Roman" w:hAnsi="Times New Roman" w:cs="Times New Roman"/>
          <w:sz w:val="26"/>
          <w:szCs w:val="26"/>
          <w:lang w:val="es-MX"/>
        </w:rPr>
        <w:t xml:space="preserve">se solicitó dejar sin efecto el </w:t>
      </w:r>
      <w:r w:rsidRPr="00AE1B2B">
        <w:rPr>
          <w:rFonts w:ascii="Times New Roman" w:hAnsi="Times New Roman" w:cs="Times New Roman"/>
          <w:b/>
          <w:bCs/>
          <w:sz w:val="26"/>
          <w:szCs w:val="26"/>
          <w:lang w:val="es-MX"/>
        </w:rPr>
        <w:t>punto b</w:t>
      </w:r>
      <w:r w:rsidRPr="00AE1B2B">
        <w:rPr>
          <w:rFonts w:ascii="Times New Roman" w:hAnsi="Times New Roman" w:cs="Times New Roman"/>
          <w:sz w:val="26"/>
          <w:szCs w:val="26"/>
          <w:lang w:val="es-MX"/>
        </w:rPr>
        <w:t xml:space="preserve"> del acuerdo de la sesión 120-2020 celebrada el 17 de diciembre en curso</w:t>
      </w:r>
      <w:bookmarkEnd w:id="290"/>
      <w:r w:rsidRPr="00AE1B2B">
        <w:rPr>
          <w:rFonts w:ascii="Times New Roman" w:hAnsi="Times New Roman" w:cs="Times New Roman"/>
          <w:sz w:val="26"/>
          <w:szCs w:val="26"/>
          <w:lang w:val="es-MX"/>
        </w:rPr>
        <w:t>, artículo XCIII que dice:</w:t>
      </w:r>
    </w:p>
    <w:p w:rsidRPr="00AE1B2B" w:rsidR="009D3FB5" w:rsidP="00163B94" w:rsidRDefault="009D3FB5" w14:paraId="092E7392" w14:textId="4850CE82">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b)- Modificar los acuerdos tomados por este Consejo en las sesiones 87-2020 del 8 de setiembre de 2020, artículo XXXI y 102-2020 del 22 de octubre de 2020, artículo XXVIII, donde se conocieron los informes 1346-PLA-2020 y 1600-PLA-2020y dejar sin efecto el traslado de una plaza de Técnico Judicial 1 del Juzgado de Tránsito del Segundo Circuito Judicial de San José a la Oficina de Cumplimiento, y en su lugar trasladar ese recurso al Tribunal de Juicio del Segundo Circuito Judicial de San José para su es</w:t>
      </w:r>
      <w:r w:rsidRPr="00AE1B2B" w:rsidR="003F65D2">
        <w:rPr>
          <w:rFonts w:ascii="Times New Roman" w:hAnsi="Times New Roman" w:cs="Times New Roman"/>
          <w:i/>
          <w:iCs/>
          <w:sz w:val="26"/>
          <w:szCs w:val="26"/>
          <w:lang w:val="es-MX"/>
        </w:rPr>
        <w:t>tructura mínima de trabajo…”.</w:t>
      </w:r>
      <w:r w:rsidRPr="00AE1B2B" w:rsidR="00BB7720">
        <w:rPr>
          <w:rFonts w:ascii="Times New Roman" w:hAnsi="Times New Roman" w:cs="Times New Roman"/>
          <w:i/>
          <w:iCs/>
          <w:sz w:val="26"/>
          <w:szCs w:val="26"/>
          <w:lang w:val="es-MX"/>
        </w:rPr>
        <w:t xml:space="preserve"> </w:t>
      </w:r>
    </w:p>
    <w:p w:rsidRPr="00AE1B2B" w:rsidR="009D3FB5" w:rsidP="00163B94" w:rsidRDefault="009D3FB5" w14:paraId="56146182" w14:textId="77777777">
      <w:pPr>
        <w:spacing w:before="120" w:after="120"/>
        <w:ind w:left="851" w:right="851" w:firstLine="709"/>
        <w:jc w:val="both"/>
        <w:rPr>
          <w:rFonts w:ascii="Times New Roman" w:hAnsi="Times New Roman" w:cs="Times New Roman"/>
          <w:sz w:val="26"/>
          <w:szCs w:val="26"/>
          <w:lang w:val="es-ES"/>
        </w:rPr>
      </w:pPr>
    </w:p>
    <w:p w:rsidRPr="00AE1B2B" w:rsidR="009D3FB5" w:rsidP="00163B94" w:rsidRDefault="009D3FB5" w14:paraId="66ED9E47" w14:textId="1BA85022">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 xml:space="preserve">A partir de enero del 2021, la plaza 22929 debe asignarse al nuevo Juzgado Agrario de Puntarenas, sede Jicaral, el cual debe cumplir con la estructura mínima de trabajo establecida de la siguiente manera: </w:t>
      </w:r>
    </w:p>
    <w:p w:rsidRPr="00AE1B2B" w:rsidR="003F65D2" w:rsidP="00163B94" w:rsidRDefault="003F65D2" w14:paraId="2316F29C" w14:textId="77777777">
      <w:pPr>
        <w:spacing w:before="120" w:after="120"/>
        <w:ind w:left="851" w:right="851" w:firstLine="709"/>
        <w:jc w:val="both"/>
        <w:rPr>
          <w:rFonts w:ascii="Times New Roman" w:hAnsi="Times New Roman" w:cs="Times New Roman"/>
          <w:sz w:val="26"/>
          <w:szCs w:val="26"/>
          <w:lang w:val="es-ES"/>
        </w:rPr>
      </w:pPr>
    </w:p>
    <w:p w:rsidRPr="00AE1B2B" w:rsidR="009D3FB5" w:rsidP="00163B94" w:rsidRDefault="009D3FB5" w14:paraId="44DDF2C4"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11</w:t>
      </w:r>
      <w:r w:rsidRPr="00AE1B2B">
        <w:rPr>
          <w:rFonts w:ascii="Times New Roman" w:hAnsi="Times New Roman"/>
          <w:iCs/>
          <w:sz w:val="26"/>
          <w:szCs w:val="26"/>
        </w:rPr>
        <w:fldChar w:fldCharType="end"/>
      </w:r>
    </w:p>
    <w:p w:rsidRPr="00AE1B2B" w:rsidR="009D3FB5" w:rsidP="00163B94" w:rsidRDefault="009D3FB5" w14:paraId="11B73567" w14:textId="4F2FD8B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Estructura del Nuevo Juzgado Agrario de Puntarenas, sede Jicaral, enero 2021</w:t>
      </w:r>
    </w:p>
    <w:p w:rsidRPr="00AE1B2B" w:rsidR="003F65D2" w:rsidP="00163B94" w:rsidRDefault="003F65D2" w14:paraId="7999C85B" w14:textId="77777777">
      <w:pPr>
        <w:pStyle w:val="Ttulo"/>
        <w:spacing w:before="120" w:after="120"/>
        <w:ind w:left="851" w:right="851" w:firstLine="709"/>
        <w:jc w:val="both"/>
        <w:rPr>
          <w:rFonts w:ascii="Times New Roman" w:hAnsi="Times New Roman"/>
          <w:iCs/>
          <w:sz w:val="26"/>
          <w:szCs w:val="26"/>
        </w:rPr>
      </w:pPr>
    </w:p>
    <w:tbl>
      <w:tblPr>
        <w:tblW w:w="0" w:type="auto"/>
        <w:tblCellMar>
          <w:left w:w="70" w:type="dxa"/>
          <w:right w:w="70" w:type="dxa"/>
        </w:tblCellMar>
        <w:tblLook w:val="04A0" w:firstRow="1" w:lastRow="0" w:firstColumn="1" w:lastColumn="0" w:noHBand="0" w:noVBand="1"/>
      </w:tblPr>
      <w:tblGrid>
        <w:gridCol w:w="3379"/>
        <w:gridCol w:w="5413"/>
      </w:tblGrid>
      <w:tr w:rsidRPr="00AE1B2B" w:rsidR="00AE1B2B" w:rsidTr="009D3FB5" w14:paraId="503B447E" w14:textId="77777777">
        <w:trPr>
          <w:trHeight w:val="312"/>
        </w:trPr>
        <w:tc>
          <w:tcPr>
            <w:tcW w:w="3379" w:type="dxa"/>
            <w:tcBorders>
              <w:top w:val="double" w:color="1F497D" w:sz="6" w:space="0"/>
              <w:left w:val="double" w:color="1F497D" w:sz="6" w:space="0"/>
              <w:bottom w:val="double" w:color="1F497D" w:sz="6" w:space="0"/>
              <w:right w:val="double" w:color="1F497D" w:sz="6" w:space="0"/>
            </w:tcBorders>
            <w:shd w:val="clear" w:color="000000" w:fill="0673A5"/>
            <w:noWrap/>
            <w:vAlign w:val="center"/>
            <w:hideMark/>
          </w:tcPr>
          <w:p w:rsidRPr="00AE1B2B" w:rsidR="009D3FB5" w:rsidP="00163B94" w:rsidRDefault="009D3FB5" w14:paraId="3C886EFC"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Estructura de Trabajo </w:t>
            </w:r>
          </w:p>
        </w:tc>
        <w:tc>
          <w:tcPr>
            <w:tcW w:w="5413" w:type="dxa"/>
            <w:tcBorders>
              <w:top w:val="double" w:color="1F497D" w:sz="6" w:space="0"/>
              <w:left w:val="nil"/>
              <w:bottom w:val="double" w:color="1F497D" w:sz="6" w:space="0"/>
              <w:right w:val="double" w:color="1F497D" w:sz="6" w:space="0"/>
            </w:tcBorders>
            <w:shd w:val="clear" w:color="000000" w:fill="0673A5"/>
            <w:noWrap/>
            <w:vAlign w:val="center"/>
            <w:hideMark/>
          </w:tcPr>
          <w:p w:rsidRPr="00AE1B2B" w:rsidR="009D3FB5" w:rsidP="00163B94" w:rsidRDefault="009D3FB5" w14:paraId="591686B9"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Plaza</w:t>
            </w:r>
          </w:p>
        </w:tc>
      </w:tr>
      <w:tr w:rsidRPr="00AE1B2B" w:rsidR="00AE1B2B" w:rsidTr="009D3FB5" w14:paraId="76C14A29" w14:textId="77777777">
        <w:trPr>
          <w:trHeight w:val="312"/>
        </w:trPr>
        <w:tc>
          <w:tcPr>
            <w:tcW w:w="3379"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CBF7516"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 xml:space="preserve">1 persona Juzgadora </w:t>
            </w:r>
          </w:p>
        </w:tc>
        <w:tc>
          <w:tcPr>
            <w:tcW w:w="541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7FB824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Plaza supernumeraria vacante 102113 del CACMFJ recalificada a Jueza o Juez 3</w:t>
            </w:r>
          </w:p>
        </w:tc>
      </w:tr>
      <w:tr w:rsidRPr="00AE1B2B" w:rsidR="00AE1B2B" w:rsidTr="009D3FB5" w14:paraId="1F6F8978" w14:textId="77777777">
        <w:trPr>
          <w:trHeight w:val="312"/>
        </w:trPr>
        <w:tc>
          <w:tcPr>
            <w:tcW w:w="3379"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7046F077"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 xml:space="preserve">1 persona Coordinadora Judicial </w:t>
            </w:r>
          </w:p>
        </w:tc>
        <w:tc>
          <w:tcPr>
            <w:tcW w:w="541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C8402E2"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Plaza vacante 22929 (anteriormente Oficina de Cumplimiento)</w:t>
            </w:r>
          </w:p>
        </w:tc>
      </w:tr>
      <w:tr w:rsidRPr="00AE1B2B" w:rsidR="00AE1B2B" w:rsidTr="009D3FB5" w14:paraId="33E286DE" w14:textId="77777777">
        <w:trPr>
          <w:trHeight w:val="312"/>
        </w:trPr>
        <w:tc>
          <w:tcPr>
            <w:tcW w:w="3379"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4F993B1"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 xml:space="preserve">1 persona Técnica Judicial </w:t>
            </w:r>
          </w:p>
        </w:tc>
        <w:tc>
          <w:tcPr>
            <w:tcW w:w="541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5A3B1A3"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 xml:space="preserve">Plaza vacante 107815 proveniente del Juzgado Agrario de Santa Cruz </w:t>
            </w:r>
          </w:p>
        </w:tc>
      </w:tr>
    </w:tbl>
    <w:p w:rsidRPr="00AE1B2B" w:rsidR="009D3FB5" w:rsidP="00163B94" w:rsidRDefault="009D3FB5" w14:paraId="145CC58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i/>
          <w:sz w:val="26"/>
          <w:szCs w:val="26"/>
        </w:rPr>
        <w:t>Fuente: Subproceso de Modernización Institucional</w:t>
      </w:r>
    </w:p>
    <w:p w:rsidRPr="00AE1B2B" w:rsidR="009D3FB5" w:rsidP="00163B94" w:rsidRDefault="009D3FB5" w14:paraId="4612551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Adicional, se realizó un compilado de una serie de tareas que se deben ejecutar para la entrada en funcionamiento del nuevo Juzgado:</w:t>
      </w:r>
    </w:p>
    <w:p w:rsidRPr="00AE1B2B" w:rsidR="009D3FB5" w:rsidP="00163B94" w:rsidRDefault="009D3FB5" w14:paraId="4857EC30"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 Cuadro 2 </w:t>
      </w:r>
    </w:p>
    <w:p w:rsidRPr="00AE1B2B" w:rsidR="009D3FB5" w:rsidP="00163B94" w:rsidRDefault="009D3FB5" w14:paraId="700CBF2F"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lastRenderedPageBreak/>
        <w:t>Tareas necesarias para la entrada en funcionamiento del Juzgado Agrario de Jicaral</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388"/>
        <w:gridCol w:w="2297"/>
        <w:gridCol w:w="1835"/>
        <w:gridCol w:w="2308"/>
      </w:tblGrid>
      <w:tr w:rsidRPr="00AE1B2B" w:rsidR="00AE1B2B" w:rsidTr="009D3FB5" w14:paraId="703EFC3E" w14:textId="77777777">
        <w:trPr>
          <w:jc w:val="center"/>
        </w:trPr>
        <w:tc>
          <w:tcPr>
            <w:tcW w:w="2424" w:type="dxa"/>
            <w:shd w:val="clear" w:color="auto" w:fill="auto"/>
            <w:vAlign w:val="center"/>
          </w:tcPr>
          <w:p w:rsidRPr="00AE1B2B" w:rsidR="009D3FB5" w:rsidP="00163B94" w:rsidRDefault="009D3FB5" w14:paraId="340F4E6F" w14:textId="77777777">
            <w:pPr>
              <w:pStyle w:val="xmsonormal"/>
              <w:spacing w:before="120" w:after="120" w:line="276" w:lineRule="auto"/>
              <w:jc w:val="center"/>
              <w:rPr>
                <w:b/>
                <w:bCs/>
                <w:i/>
                <w:iCs/>
                <w:sz w:val="22"/>
                <w:szCs w:val="22"/>
              </w:rPr>
            </w:pPr>
            <w:r w:rsidRPr="00AE1B2B">
              <w:rPr>
                <w:b/>
                <w:bCs/>
                <w:i/>
                <w:iCs/>
                <w:sz w:val="22"/>
                <w:szCs w:val="22"/>
              </w:rPr>
              <w:t>Tarea</w:t>
            </w:r>
          </w:p>
        </w:tc>
        <w:tc>
          <w:tcPr>
            <w:tcW w:w="2378" w:type="dxa"/>
            <w:shd w:val="clear" w:color="auto" w:fill="auto"/>
            <w:vAlign w:val="center"/>
          </w:tcPr>
          <w:p w:rsidRPr="00AE1B2B" w:rsidR="009D3FB5" w:rsidP="00163B94" w:rsidRDefault="009D3FB5" w14:paraId="4A40C294" w14:textId="77777777">
            <w:pPr>
              <w:pStyle w:val="xmsonormal"/>
              <w:spacing w:before="120" w:after="120" w:line="276" w:lineRule="auto"/>
              <w:jc w:val="center"/>
              <w:rPr>
                <w:b/>
                <w:bCs/>
                <w:i/>
                <w:iCs/>
                <w:sz w:val="22"/>
                <w:szCs w:val="22"/>
              </w:rPr>
            </w:pPr>
            <w:r w:rsidRPr="00AE1B2B">
              <w:rPr>
                <w:b/>
                <w:bCs/>
                <w:i/>
                <w:iCs/>
                <w:sz w:val="22"/>
                <w:szCs w:val="22"/>
              </w:rPr>
              <w:t>Responsable</w:t>
            </w:r>
          </w:p>
        </w:tc>
        <w:tc>
          <w:tcPr>
            <w:tcW w:w="1918" w:type="dxa"/>
            <w:shd w:val="clear" w:color="auto" w:fill="auto"/>
            <w:vAlign w:val="center"/>
          </w:tcPr>
          <w:p w:rsidRPr="00AE1B2B" w:rsidR="009D3FB5" w:rsidP="00163B94" w:rsidRDefault="009D3FB5" w14:paraId="317581D5" w14:textId="77777777">
            <w:pPr>
              <w:pStyle w:val="xmsonormal"/>
              <w:spacing w:before="120" w:after="120" w:line="276" w:lineRule="auto"/>
              <w:jc w:val="center"/>
              <w:rPr>
                <w:b/>
                <w:bCs/>
                <w:i/>
                <w:iCs/>
                <w:sz w:val="22"/>
                <w:szCs w:val="22"/>
              </w:rPr>
            </w:pPr>
            <w:r w:rsidRPr="00AE1B2B">
              <w:rPr>
                <w:b/>
                <w:bCs/>
                <w:i/>
                <w:iCs/>
                <w:sz w:val="22"/>
                <w:szCs w:val="22"/>
              </w:rPr>
              <w:t>Estado</w:t>
            </w:r>
          </w:p>
        </w:tc>
        <w:tc>
          <w:tcPr>
            <w:tcW w:w="2336" w:type="dxa"/>
            <w:shd w:val="clear" w:color="auto" w:fill="auto"/>
            <w:vAlign w:val="center"/>
          </w:tcPr>
          <w:p w:rsidRPr="00AE1B2B" w:rsidR="009D3FB5" w:rsidP="00163B94" w:rsidRDefault="009D3FB5" w14:paraId="04028899" w14:textId="77777777">
            <w:pPr>
              <w:pStyle w:val="xmsonormal"/>
              <w:spacing w:before="120" w:after="120" w:line="276" w:lineRule="auto"/>
              <w:jc w:val="center"/>
              <w:rPr>
                <w:b/>
                <w:bCs/>
                <w:i/>
                <w:iCs/>
                <w:sz w:val="22"/>
                <w:szCs w:val="22"/>
              </w:rPr>
            </w:pPr>
            <w:r w:rsidRPr="00AE1B2B">
              <w:rPr>
                <w:b/>
                <w:bCs/>
                <w:i/>
                <w:iCs/>
                <w:sz w:val="22"/>
                <w:szCs w:val="22"/>
              </w:rPr>
              <w:t>Observaciones</w:t>
            </w:r>
          </w:p>
        </w:tc>
      </w:tr>
      <w:tr w:rsidRPr="00AE1B2B" w:rsidR="00AE1B2B" w:rsidTr="009D3FB5" w14:paraId="51E697AB" w14:textId="77777777">
        <w:trPr>
          <w:jc w:val="center"/>
        </w:trPr>
        <w:tc>
          <w:tcPr>
            <w:tcW w:w="2424" w:type="dxa"/>
            <w:shd w:val="clear" w:color="auto" w:fill="auto"/>
            <w:vAlign w:val="center"/>
          </w:tcPr>
          <w:p w:rsidRPr="00AE1B2B" w:rsidR="009D3FB5" w:rsidP="00163B94" w:rsidRDefault="009D3FB5" w14:paraId="3B5FCC3D" w14:textId="77777777">
            <w:pPr>
              <w:pStyle w:val="xmsonormal"/>
              <w:spacing w:before="120" w:after="120" w:line="276" w:lineRule="auto"/>
              <w:jc w:val="both"/>
              <w:rPr>
                <w:i/>
                <w:iCs/>
                <w:sz w:val="22"/>
                <w:szCs w:val="22"/>
              </w:rPr>
            </w:pPr>
            <w:r w:rsidRPr="00AE1B2B">
              <w:rPr>
                <w:i/>
                <w:iCs/>
                <w:sz w:val="22"/>
                <w:szCs w:val="22"/>
              </w:rPr>
              <w:t>Configuración de todos los sistemas (Escritorio Virtual, notificaciones, Cronos, Gestión en línea, entre otros, formatos jurídicos)</w:t>
            </w:r>
          </w:p>
        </w:tc>
        <w:tc>
          <w:tcPr>
            <w:tcW w:w="2378" w:type="dxa"/>
            <w:shd w:val="clear" w:color="auto" w:fill="auto"/>
            <w:vAlign w:val="center"/>
          </w:tcPr>
          <w:p w:rsidRPr="00AE1B2B" w:rsidR="009D3FB5" w:rsidP="00163B94" w:rsidRDefault="009D3FB5" w14:paraId="652B016C" w14:textId="77777777">
            <w:pPr>
              <w:pStyle w:val="xmsonormal"/>
              <w:spacing w:before="120" w:after="120" w:line="276" w:lineRule="auto"/>
              <w:jc w:val="both"/>
              <w:rPr>
                <w:i/>
                <w:iCs/>
                <w:sz w:val="22"/>
                <w:szCs w:val="22"/>
              </w:rPr>
            </w:pPr>
            <w:r w:rsidRPr="00AE1B2B">
              <w:rPr>
                <w:i/>
                <w:iCs/>
                <w:sz w:val="22"/>
                <w:szCs w:val="22"/>
              </w:rPr>
              <w:t>Dirección de Tecnología de la Información</w:t>
            </w:r>
          </w:p>
        </w:tc>
        <w:tc>
          <w:tcPr>
            <w:tcW w:w="1918" w:type="dxa"/>
            <w:shd w:val="clear" w:color="auto" w:fill="auto"/>
            <w:vAlign w:val="center"/>
          </w:tcPr>
          <w:p w:rsidRPr="00AE1B2B" w:rsidR="009D3FB5" w:rsidP="00163B94" w:rsidRDefault="009D3FB5" w14:paraId="3DE26E17" w14:textId="77777777">
            <w:pPr>
              <w:pStyle w:val="xmsonormal"/>
              <w:spacing w:before="120" w:after="120" w:line="276" w:lineRule="auto"/>
              <w:jc w:val="center"/>
              <w:rPr>
                <w:i/>
                <w:iCs/>
                <w:sz w:val="22"/>
                <w:szCs w:val="22"/>
              </w:rPr>
            </w:pPr>
            <w:r w:rsidRPr="00AE1B2B">
              <w:rPr>
                <w:i/>
                <w:iCs/>
                <w:sz w:val="22"/>
                <w:szCs w:val="22"/>
              </w:rPr>
              <w:t>Pendiente</w:t>
            </w:r>
          </w:p>
        </w:tc>
        <w:tc>
          <w:tcPr>
            <w:tcW w:w="2336" w:type="dxa"/>
            <w:vMerge w:val="restart"/>
            <w:shd w:val="clear" w:color="auto" w:fill="auto"/>
            <w:vAlign w:val="center"/>
          </w:tcPr>
          <w:p w:rsidRPr="00AE1B2B" w:rsidR="009D3FB5" w:rsidP="00163B94" w:rsidRDefault="009D3FB5" w14:paraId="32A64ABD" w14:textId="77777777">
            <w:pPr>
              <w:pStyle w:val="xmsonormal"/>
              <w:spacing w:before="120" w:after="120" w:line="276" w:lineRule="auto"/>
              <w:jc w:val="both"/>
              <w:rPr>
                <w:i/>
                <w:iCs/>
                <w:sz w:val="22"/>
                <w:szCs w:val="22"/>
              </w:rPr>
            </w:pPr>
            <w:r w:rsidRPr="00AE1B2B">
              <w:rPr>
                <w:i/>
                <w:iCs/>
                <w:sz w:val="22"/>
                <w:szCs w:val="22"/>
              </w:rPr>
              <w:t>Se incluye en el cronograma de implantaciones de DTI</w:t>
            </w:r>
          </w:p>
          <w:p w:rsidRPr="00AE1B2B" w:rsidR="009D3FB5" w:rsidP="00163B94" w:rsidRDefault="009D3FB5" w14:paraId="308DFB18" w14:textId="77777777">
            <w:pPr>
              <w:pStyle w:val="xmsonormal"/>
              <w:spacing w:before="120" w:after="120" w:line="276" w:lineRule="auto"/>
              <w:jc w:val="both"/>
              <w:rPr>
                <w:i/>
                <w:iCs/>
                <w:sz w:val="22"/>
                <w:szCs w:val="22"/>
              </w:rPr>
            </w:pPr>
            <w:r w:rsidRPr="00AE1B2B">
              <w:rPr>
                <w:i/>
                <w:iCs/>
                <w:sz w:val="22"/>
                <w:szCs w:val="22"/>
              </w:rPr>
              <w:t xml:space="preserve"> </w:t>
            </w:r>
          </w:p>
        </w:tc>
      </w:tr>
      <w:tr w:rsidRPr="00AE1B2B" w:rsidR="00AE1B2B" w:rsidTr="009D3FB5" w14:paraId="57FC0ABD" w14:textId="77777777">
        <w:trPr>
          <w:jc w:val="center"/>
        </w:trPr>
        <w:tc>
          <w:tcPr>
            <w:tcW w:w="2424" w:type="dxa"/>
            <w:shd w:val="clear" w:color="auto" w:fill="auto"/>
            <w:vAlign w:val="center"/>
          </w:tcPr>
          <w:p w:rsidRPr="00AE1B2B" w:rsidR="009D3FB5" w:rsidP="00163B94" w:rsidRDefault="009D3FB5" w14:paraId="16554DB2" w14:textId="77777777">
            <w:pPr>
              <w:pStyle w:val="xmsonormal"/>
              <w:spacing w:before="120" w:after="120" w:line="276" w:lineRule="auto"/>
              <w:jc w:val="both"/>
              <w:rPr>
                <w:i/>
                <w:iCs/>
                <w:sz w:val="22"/>
                <w:szCs w:val="22"/>
                <w:lang w:val="es-ES"/>
              </w:rPr>
            </w:pPr>
            <w:r w:rsidRPr="00AE1B2B">
              <w:rPr>
                <w:i/>
                <w:iCs/>
                <w:sz w:val="22"/>
                <w:szCs w:val="22"/>
                <w:lang w:val="es-ES"/>
              </w:rPr>
              <w:t>Capacitación en todos los sistemas al personal</w:t>
            </w:r>
          </w:p>
        </w:tc>
        <w:tc>
          <w:tcPr>
            <w:tcW w:w="2378" w:type="dxa"/>
            <w:shd w:val="clear" w:color="auto" w:fill="auto"/>
            <w:vAlign w:val="center"/>
          </w:tcPr>
          <w:p w:rsidRPr="00AE1B2B" w:rsidR="009D3FB5" w:rsidP="00163B94" w:rsidRDefault="009D3FB5" w14:paraId="61925F95" w14:textId="77777777">
            <w:pPr>
              <w:pStyle w:val="xmsonormal"/>
              <w:spacing w:before="120" w:after="120" w:line="276" w:lineRule="auto"/>
              <w:jc w:val="both"/>
              <w:rPr>
                <w:i/>
                <w:iCs/>
                <w:sz w:val="22"/>
                <w:szCs w:val="22"/>
              </w:rPr>
            </w:pPr>
            <w:r w:rsidRPr="00AE1B2B">
              <w:rPr>
                <w:i/>
                <w:iCs/>
                <w:sz w:val="22"/>
                <w:szCs w:val="22"/>
              </w:rPr>
              <w:t>Dirección de Tecnología de la Información</w:t>
            </w:r>
          </w:p>
        </w:tc>
        <w:tc>
          <w:tcPr>
            <w:tcW w:w="1918" w:type="dxa"/>
            <w:shd w:val="clear" w:color="auto" w:fill="auto"/>
            <w:vAlign w:val="center"/>
          </w:tcPr>
          <w:p w:rsidRPr="00AE1B2B" w:rsidR="009D3FB5" w:rsidP="00163B94" w:rsidRDefault="009D3FB5" w14:paraId="4769C0A1" w14:textId="77777777">
            <w:pPr>
              <w:pStyle w:val="xmsonormal"/>
              <w:spacing w:before="120" w:after="120" w:line="276" w:lineRule="auto"/>
              <w:jc w:val="center"/>
              <w:rPr>
                <w:i/>
                <w:iCs/>
                <w:sz w:val="22"/>
                <w:szCs w:val="22"/>
              </w:rPr>
            </w:pPr>
            <w:r w:rsidRPr="00AE1B2B">
              <w:rPr>
                <w:i/>
                <w:iCs/>
                <w:sz w:val="22"/>
                <w:szCs w:val="22"/>
              </w:rPr>
              <w:t>Pendiente</w:t>
            </w:r>
          </w:p>
        </w:tc>
        <w:tc>
          <w:tcPr>
            <w:tcW w:w="2336" w:type="dxa"/>
            <w:vMerge/>
            <w:shd w:val="clear" w:color="auto" w:fill="auto"/>
            <w:vAlign w:val="center"/>
          </w:tcPr>
          <w:p w:rsidRPr="00AE1B2B" w:rsidR="009D3FB5" w:rsidP="00163B94" w:rsidRDefault="009D3FB5" w14:paraId="3F0FB0BD" w14:textId="77777777">
            <w:pPr>
              <w:pStyle w:val="xmsonormal"/>
              <w:spacing w:before="120" w:after="120" w:line="276" w:lineRule="auto"/>
              <w:jc w:val="both"/>
              <w:rPr>
                <w:i/>
                <w:iCs/>
                <w:sz w:val="22"/>
                <w:szCs w:val="22"/>
              </w:rPr>
            </w:pPr>
          </w:p>
        </w:tc>
      </w:tr>
      <w:tr w:rsidRPr="00AE1B2B" w:rsidR="00AE1B2B" w:rsidTr="009D3FB5" w14:paraId="4F0466D4" w14:textId="77777777">
        <w:trPr>
          <w:jc w:val="center"/>
        </w:trPr>
        <w:tc>
          <w:tcPr>
            <w:tcW w:w="2424" w:type="dxa"/>
            <w:shd w:val="clear" w:color="auto" w:fill="auto"/>
            <w:vAlign w:val="center"/>
          </w:tcPr>
          <w:p w:rsidRPr="00AE1B2B" w:rsidR="009D3FB5" w:rsidP="00163B94" w:rsidRDefault="009D3FB5" w14:paraId="7B34EAD2" w14:textId="77777777">
            <w:pPr>
              <w:pStyle w:val="xmsonormal"/>
              <w:spacing w:before="120" w:after="120" w:line="276" w:lineRule="auto"/>
              <w:jc w:val="both"/>
              <w:rPr>
                <w:i/>
                <w:iCs/>
                <w:sz w:val="22"/>
                <w:szCs w:val="22"/>
                <w:lang w:val="es-ES"/>
              </w:rPr>
            </w:pPr>
            <w:r w:rsidRPr="00AE1B2B">
              <w:rPr>
                <w:i/>
                <w:iCs/>
                <w:sz w:val="22"/>
                <w:szCs w:val="22"/>
                <w:lang w:val="es-ES"/>
              </w:rPr>
              <w:t>Creación oficina en el SDJ -Banco BCR</w:t>
            </w:r>
          </w:p>
        </w:tc>
        <w:tc>
          <w:tcPr>
            <w:tcW w:w="2378" w:type="dxa"/>
            <w:shd w:val="clear" w:color="auto" w:fill="auto"/>
            <w:vAlign w:val="center"/>
          </w:tcPr>
          <w:p w:rsidRPr="00AE1B2B" w:rsidR="009D3FB5" w:rsidP="00163B94" w:rsidRDefault="009D3FB5" w14:paraId="3821654A" w14:textId="77777777">
            <w:pPr>
              <w:pStyle w:val="xmsonormal"/>
              <w:spacing w:before="120" w:after="120" w:line="276" w:lineRule="auto"/>
              <w:jc w:val="both"/>
              <w:rPr>
                <w:i/>
                <w:iCs/>
                <w:sz w:val="22"/>
                <w:szCs w:val="22"/>
              </w:rPr>
            </w:pPr>
            <w:r w:rsidRPr="00AE1B2B">
              <w:rPr>
                <w:i/>
                <w:iCs/>
                <w:sz w:val="22"/>
                <w:szCs w:val="22"/>
              </w:rPr>
              <w:t>Dirección de Tecnología de la Información</w:t>
            </w:r>
          </w:p>
        </w:tc>
        <w:tc>
          <w:tcPr>
            <w:tcW w:w="1918" w:type="dxa"/>
            <w:shd w:val="clear" w:color="auto" w:fill="auto"/>
            <w:vAlign w:val="center"/>
          </w:tcPr>
          <w:p w:rsidRPr="00AE1B2B" w:rsidR="009D3FB5" w:rsidP="00163B94" w:rsidRDefault="009D3FB5" w14:paraId="74378A0B" w14:textId="77777777">
            <w:pPr>
              <w:spacing w:before="120" w:after="120" w:line="276" w:lineRule="auto"/>
              <w:jc w:val="center"/>
              <w:rPr>
                <w:rFonts w:ascii="Times New Roman" w:hAnsi="Times New Roman" w:cs="Times New Roman"/>
                <w:i/>
                <w:iCs/>
              </w:rPr>
            </w:pPr>
            <w:r w:rsidRPr="00AE1B2B">
              <w:rPr>
                <w:rFonts w:ascii="Times New Roman" w:hAnsi="Times New Roman" w:cs="Times New Roman"/>
                <w:i/>
                <w:iCs/>
              </w:rPr>
              <w:t>Pendiente</w:t>
            </w:r>
          </w:p>
        </w:tc>
        <w:tc>
          <w:tcPr>
            <w:tcW w:w="2336" w:type="dxa"/>
            <w:shd w:val="clear" w:color="auto" w:fill="auto"/>
            <w:vAlign w:val="center"/>
          </w:tcPr>
          <w:p w:rsidRPr="00AE1B2B" w:rsidR="009D3FB5" w:rsidP="00163B94" w:rsidRDefault="009D3FB5" w14:paraId="11B7B0C0" w14:textId="77777777">
            <w:pPr>
              <w:pStyle w:val="xmsonormal"/>
              <w:spacing w:before="120" w:after="120" w:line="276" w:lineRule="auto"/>
              <w:jc w:val="both"/>
              <w:rPr>
                <w:i/>
                <w:iCs/>
                <w:sz w:val="22"/>
                <w:szCs w:val="22"/>
              </w:rPr>
            </w:pPr>
          </w:p>
        </w:tc>
      </w:tr>
      <w:tr w:rsidRPr="00AE1B2B" w:rsidR="00AE1B2B" w:rsidTr="009D3FB5" w14:paraId="62A4E474" w14:textId="77777777">
        <w:trPr>
          <w:jc w:val="center"/>
        </w:trPr>
        <w:tc>
          <w:tcPr>
            <w:tcW w:w="2424" w:type="dxa"/>
            <w:shd w:val="clear" w:color="auto" w:fill="auto"/>
            <w:vAlign w:val="center"/>
          </w:tcPr>
          <w:p w:rsidRPr="00AE1B2B" w:rsidR="009D3FB5" w:rsidP="00163B94" w:rsidRDefault="009D3FB5" w14:paraId="76E9ABE1" w14:textId="77777777">
            <w:pPr>
              <w:pStyle w:val="xmsonormal"/>
              <w:spacing w:before="120" w:after="120" w:line="276" w:lineRule="auto"/>
              <w:jc w:val="both"/>
              <w:rPr>
                <w:i/>
                <w:iCs/>
                <w:sz w:val="22"/>
                <w:szCs w:val="22"/>
              </w:rPr>
            </w:pPr>
            <w:r w:rsidRPr="00AE1B2B">
              <w:rPr>
                <w:i/>
                <w:iCs/>
                <w:sz w:val="22"/>
                <w:szCs w:val="22"/>
              </w:rPr>
              <w:t>Creación cuenta de correo electrónico oficio</w:t>
            </w:r>
          </w:p>
        </w:tc>
        <w:tc>
          <w:tcPr>
            <w:tcW w:w="2378" w:type="dxa"/>
            <w:shd w:val="clear" w:color="auto" w:fill="auto"/>
            <w:vAlign w:val="center"/>
          </w:tcPr>
          <w:p w:rsidRPr="00AE1B2B" w:rsidR="009D3FB5" w:rsidP="00163B94" w:rsidRDefault="009D3FB5" w14:paraId="7D73C0E9" w14:textId="77777777">
            <w:pPr>
              <w:pStyle w:val="xmsonormal"/>
              <w:spacing w:before="120" w:after="120" w:line="276" w:lineRule="auto"/>
              <w:jc w:val="both"/>
              <w:rPr>
                <w:i/>
                <w:iCs/>
                <w:sz w:val="22"/>
                <w:szCs w:val="22"/>
              </w:rPr>
            </w:pPr>
            <w:r w:rsidRPr="00AE1B2B">
              <w:rPr>
                <w:i/>
                <w:iCs/>
                <w:sz w:val="22"/>
                <w:szCs w:val="22"/>
              </w:rPr>
              <w:t>Dirección de Tecnología de la Información</w:t>
            </w:r>
          </w:p>
        </w:tc>
        <w:tc>
          <w:tcPr>
            <w:tcW w:w="1918" w:type="dxa"/>
            <w:shd w:val="clear" w:color="auto" w:fill="auto"/>
            <w:vAlign w:val="center"/>
          </w:tcPr>
          <w:p w:rsidRPr="00AE1B2B" w:rsidR="009D3FB5" w:rsidP="00163B94" w:rsidRDefault="009D3FB5" w14:paraId="5CBC9351" w14:textId="77777777">
            <w:pPr>
              <w:spacing w:before="120" w:after="120" w:line="276" w:lineRule="auto"/>
              <w:jc w:val="center"/>
              <w:rPr>
                <w:rFonts w:ascii="Times New Roman" w:hAnsi="Times New Roman" w:cs="Times New Roman"/>
                <w:i/>
                <w:iCs/>
              </w:rPr>
            </w:pPr>
            <w:r w:rsidRPr="00AE1B2B">
              <w:rPr>
                <w:rFonts w:ascii="Times New Roman" w:hAnsi="Times New Roman" w:cs="Times New Roman"/>
                <w:i/>
                <w:iCs/>
              </w:rPr>
              <w:t>Pendiente</w:t>
            </w:r>
          </w:p>
        </w:tc>
        <w:tc>
          <w:tcPr>
            <w:tcW w:w="2336" w:type="dxa"/>
            <w:shd w:val="clear" w:color="auto" w:fill="auto"/>
            <w:vAlign w:val="center"/>
          </w:tcPr>
          <w:p w:rsidRPr="00AE1B2B" w:rsidR="009D3FB5" w:rsidP="00163B94" w:rsidRDefault="009D3FB5" w14:paraId="496C8130" w14:textId="77777777">
            <w:pPr>
              <w:pStyle w:val="xmsonormal"/>
              <w:spacing w:before="120" w:after="120" w:line="276" w:lineRule="auto"/>
              <w:jc w:val="both"/>
              <w:rPr>
                <w:i/>
                <w:iCs/>
                <w:sz w:val="22"/>
                <w:szCs w:val="22"/>
              </w:rPr>
            </w:pPr>
            <w:r w:rsidRPr="00AE1B2B">
              <w:rPr>
                <w:i/>
                <w:iCs/>
                <w:sz w:val="22"/>
                <w:szCs w:val="22"/>
              </w:rPr>
              <w:t>Una vez asignado el recurso humano</w:t>
            </w:r>
          </w:p>
        </w:tc>
      </w:tr>
      <w:tr w:rsidRPr="00AE1B2B" w:rsidR="00AE1B2B" w:rsidTr="009D3FB5" w14:paraId="220AA24A" w14:textId="77777777">
        <w:trPr>
          <w:jc w:val="center"/>
        </w:trPr>
        <w:tc>
          <w:tcPr>
            <w:tcW w:w="2424" w:type="dxa"/>
            <w:shd w:val="clear" w:color="auto" w:fill="auto"/>
            <w:vAlign w:val="center"/>
          </w:tcPr>
          <w:p w:rsidRPr="00AE1B2B" w:rsidR="009D3FB5" w:rsidP="00163B94" w:rsidRDefault="009D3FB5" w14:paraId="6ADD240F" w14:textId="77777777">
            <w:pPr>
              <w:pStyle w:val="xmsonormal"/>
              <w:spacing w:before="120" w:after="120" w:line="276" w:lineRule="auto"/>
              <w:jc w:val="both"/>
              <w:rPr>
                <w:i/>
                <w:iCs/>
                <w:sz w:val="22"/>
                <w:szCs w:val="22"/>
                <w:lang w:val="es-ES"/>
              </w:rPr>
            </w:pPr>
            <w:r w:rsidRPr="00AE1B2B">
              <w:rPr>
                <w:i/>
                <w:iCs/>
                <w:sz w:val="22"/>
                <w:szCs w:val="22"/>
                <w:lang w:val="es-ES"/>
              </w:rPr>
              <w:t>Configuración de la línea telefónica</w:t>
            </w:r>
          </w:p>
        </w:tc>
        <w:tc>
          <w:tcPr>
            <w:tcW w:w="2378" w:type="dxa"/>
            <w:shd w:val="clear" w:color="auto" w:fill="auto"/>
            <w:vAlign w:val="center"/>
          </w:tcPr>
          <w:p w:rsidRPr="00AE1B2B" w:rsidR="009D3FB5" w:rsidP="00163B94" w:rsidRDefault="009D3FB5" w14:paraId="40BD3F32" w14:textId="77777777">
            <w:pPr>
              <w:pStyle w:val="xmsonormal"/>
              <w:spacing w:before="120" w:after="120" w:line="276" w:lineRule="auto"/>
              <w:jc w:val="both"/>
              <w:rPr>
                <w:i/>
                <w:iCs/>
                <w:sz w:val="22"/>
                <w:szCs w:val="22"/>
              </w:rPr>
            </w:pPr>
            <w:r w:rsidRPr="00AE1B2B">
              <w:rPr>
                <w:i/>
                <w:iCs/>
                <w:sz w:val="22"/>
                <w:szCs w:val="22"/>
              </w:rPr>
              <w:t>Dirección de Tecnología de la Información</w:t>
            </w:r>
          </w:p>
        </w:tc>
        <w:tc>
          <w:tcPr>
            <w:tcW w:w="1918" w:type="dxa"/>
            <w:shd w:val="clear" w:color="auto" w:fill="auto"/>
            <w:vAlign w:val="center"/>
          </w:tcPr>
          <w:p w:rsidRPr="00AE1B2B" w:rsidR="009D3FB5" w:rsidP="00163B94" w:rsidRDefault="009D3FB5" w14:paraId="372E42CC" w14:textId="77777777">
            <w:pPr>
              <w:spacing w:before="120" w:after="120" w:line="276" w:lineRule="auto"/>
              <w:jc w:val="center"/>
              <w:rPr>
                <w:rFonts w:ascii="Times New Roman" w:hAnsi="Times New Roman" w:cs="Times New Roman"/>
                <w:i/>
                <w:iCs/>
              </w:rPr>
            </w:pPr>
            <w:r w:rsidRPr="00AE1B2B">
              <w:rPr>
                <w:rFonts w:ascii="Times New Roman" w:hAnsi="Times New Roman" w:cs="Times New Roman"/>
                <w:i/>
                <w:iCs/>
              </w:rPr>
              <w:t>Pendiente</w:t>
            </w:r>
          </w:p>
        </w:tc>
        <w:tc>
          <w:tcPr>
            <w:tcW w:w="2336" w:type="dxa"/>
            <w:shd w:val="clear" w:color="auto" w:fill="auto"/>
            <w:vAlign w:val="center"/>
          </w:tcPr>
          <w:p w:rsidRPr="00AE1B2B" w:rsidR="009D3FB5" w:rsidP="00163B94" w:rsidRDefault="009D3FB5" w14:paraId="04C55997" w14:textId="77777777">
            <w:pPr>
              <w:pStyle w:val="xmsonormal"/>
              <w:spacing w:before="120" w:after="120" w:line="276" w:lineRule="auto"/>
              <w:jc w:val="both"/>
              <w:rPr>
                <w:i/>
                <w:iCs/>
                <w:sz w:val="22"/>
                <w:szCs w:val="22"/>
              </w:rPr>
            </w:pPr>
            <w:r w:rsidRPr="00AE1B2B">
              <w:rPr>
                <w:i/>
                <w:iCs/>
                <w:sz w:val="22"/>
                <w:szCs w:val="22"/>
              </w:rPr>
              <w:t>Tienen que existir persona que se encargue de hacer el reporte y las pruebas con DTI</w:t>
            </w:r>
          </w:p>
        </w:tc>
      </w:tr>
      <w:tr w:rsidRPr="00AE1B2B" w:rsidR="00AE1B2B" w:rsidTr="009D3FB5" w14:paraId="4CD4533B" w14:textId="77777777">
        <w:trPr>
          <w:jc w:val="center"/>
        </w:trPr>
        <w:tc>
          <w:tcPr>
            <w:tcW w:w="2424" w:type="dxa"/>
            <w:shd w:val="clear" w:color="auto" w:fill="auto"/>
            <w:vAlign w:val="center"/>
          </w:tcPr>
          <w:p w:rsidRPr="00AE1B2B" w:rsidR="009D3FB5" w:rsidP="00163B94" w:rsidRDefault="009D3FB5" w14:paraId="0D00BFB6" w14:textId="77777777">
            <w:pPr>
              <w:pStyle w:val="xmsonormal"/>
              <w:spacing w:before="120" w:after="120" w:line="276" w:lineRule="auto"/>
              <w:jc w:val="both"/>
              <w:rPr>
                <w:i/>
                <w:iCs/>
                <w:sz w:val="22"/>
                <w:szCs w:val="22"/>
              </w:rPr>
            </w:pPr>
            <w:r w:rsidRPr="00AE1B2B">
              <w:rPr>
                <w:i/>
                <w:iCs/>
                <w:sz w:val="22"/>
                <w:szCs w:val="22"/>
              </w:rPr>
              <w:t xml:space="preserve">Configuración de los equipos </w:t>
            </w:r>
          </w:p>
        </w:tc>
        <w:tc>
          <w:tcPr>
            <w:tcW w:w="2378" w:type="dxa"/>
            <w:shd w:val="clear" w:color="auto" w:fill="auto"/>
            <w:vAlign w:val="center"/>
          </w:tcPr>
          <w:p w:rsidRPr="00AE1B2B" w:rsidR="009D3FB5" w:rsidP="00163B94" w:rsidRDefault="009D3FB5" w14:paraId="70C75FE3" w14:textId="77777777">
            <w:pPr>
              <w:pStyle w:val="xmsonormal"/>
              <w:spacing w:before="120" w:after="120" w:line="276" w:lineRule="auto"/>
              <w:jc w:val="both"/>
              <w:rPr>
                <w:i/>
                <w:iCs/>
                <w:sz w:val="22"/>
                <w:szCs w:val="22"/>
              </w:rPr>
            </w:pPr>
            <w:r w:rsidRPr="00AE1B2B">
              <w:rPr>
                <w:i/>
                <w:iCs/>
                <w:sz w:val="22"/>
                <w:szCs w:val="22"/>
              </w:rPr>
              <w:t>Dirección de Tecnología de la Información</w:t>
            </w:r>
          </w:p>
        </w:tc>
        <w:tc>
          <w:tcPr>
            <w:tcW w:w="1918" w:type="dxa"/>
            <w:shd w:val="clear" w:color="auto" w:fill="auto"/>
            <w:vAlign w:val="center"/>
          </w:tcPr>
          <w:p w:rsidRPr="00AE1B2B" w:rsidR="009D3FB5" w:rsidP="00163B94" w:rsidRDefault="009D3FB5" w14:paraId="2BB67F34" w14:textId="77777777">
            <w:pPr>
              <w:spacing w:before="120" w:after="120" w:line="276" w:lineRule="auto"/>
              <w:jc w:val="center"/>
              <w:rPr>
                <w:rFonts w:ascii="Times New Roman" w:hAnsi="Times New Roman" w:cs="Times New Roman"/>
                <w:i/>
                <w:iCs/>
              </w:rPr>
            </w:pPr>
            <w:r w:rsidRPr="00AE1B2B">
              <w:rPr>
                <w:rFonts w:ascii="Times New Roman" w:hAnsi="Times New Roman" w:cs="Times New Roman"/>
                <w:i/>
                <w:iCs/>
              </w:rPr>
              <w:t>Pendiente</w:t>
            </w:r>
          </w:p>
        </w:tc>
        <w:tc>
          <w:tcPr>
            <w:tcW w:w="2336" w:type="dxa"/>
            <w:shd w:val="clear" w:color="auto" w:fill="auto"/>
            <w:vAlign w:val="center"/>
          </w:tcPr>
          <w:p w:rsidRPr="00AE1B2B" w:rsidR="009D3FB5" w:rsidP="00163B94" w:rsidRDefault="009D3FB5" w14:paraId="133AAB8F" w14:textId="77777777">
            <w:pPr>
              <w:pStyle w:val="xmsonormal"/>
              <w:spacing w:before="120" w:after="120" w:line="276" w:lineRule="auto"/>
              <w:jc w:val="both"/>
              <w:rPr>
                <w:i/>
                <w:iCs/>
                <w:sz w:val="22"/>
                <w:szCs w:val="22"/>
              </w:rPr>
            </w:pPr>
            <w:r w:rsidRPr="00AE1B2B">
              <w:rPr>
                <w:i/>
                <w:iCs/>
                <w:sz w:val="22"/>
                <w:szCs w:val="22"/>
              </w:rPr>
              <w:t>Una vez asignado el recurso humano</w:t>
            </w:r>
          </w:p>
        </w:tc>
      </w:tr>
      <w:tr w:rsidRPr="00AE1B2B" w:rsidR="00AE1B2B" w:rsidTr="009D3FB5" w14:paraId="50853F6E" w14:textId="77777777">
        <w:trPr>
          <w:jc w:val="center"/>
        </w:trPr>
        <w:tc>
          <w:tcPr>
            <w:tcW w:w="2424" w:type="dxa"/>
            <w:shd w:val="clear" w:color="auto" w:fill="auto"/>
            <w:vAlign w:val="center"/>
          </w:tcPr>
          <w:p w:rsidRPr="00AE1B2B" w:rsidR="009D3FB5" w:rsidP="00163B94" w:rsidRDefault="009D3FB5" w14:paraId="0889E6D0" w14:textId="77777777">
            <w:pPr>
              <w:pStyle w:val="xmsonormal"/>
              <w:spacing w:before="120" w:after="120" w:line="276" w:lineRule="auto"/>
              <w:jc w:val="both"/>
              <w:rPr>
                <w:i/>
                <w:iCs/>
                <w:sz w:val="22"/>
                <w:szCs w:val="22"/>
              </w:rPr>
            </w:pPr>
            <w:r w:rsidRPr="00AE1B2B">
              <w:rPr>
                <w:i/>
                <w:iCs/>
                <w:sz w:val="22"/>
                <w:szCs w:val="22"/>
              </w:rPr>
              <w:t>Dotación de equipo (computadoras, equipo de grabación, escáner, pad de firmas, equipo para giras, entre otros)</w:t>
            </w:r>
          </w:p>
        </w:tc>
        <w:tc>
          <w:tcPr>
            <w:tcW w:w="2378" w:type="dxa"/>
            <w:shd w:val="clear" w:color="auto" w:fill="auto"/>
            <w:vAlign w:val="center"/>
          </w:tcPr>
          <w:p w:rsidRPr="00AE1B2B" w:rsidR="009D3FB5" w:rsidP="00163B94" w:rsidRDefault="009D3FB5" w14:paraId="2D686E04" w14:textId="77777777">
            <w:pPr>
              <w:pStyle w:val="xmsonormal"/>
              <w:spacing w:before="120" w:after="120" w:line="276" w:lineRule="auto"/>
              <w:jc w:val="both"/>
              <w:rPr>
                <w:i/>
                <w:iCs/>
                <w:sz w:val="22"/>
                <w:szCs w:val="22"/>
              </w:rPr>
            </w:pPr>
            <w:r w:rsidRPr="00AE1B2B">
              <w:rPr>
                <w:i/>
                <w:iCs/>
                <w:sz w:val="22"/>
                <w:szCs w:val="22"/>
              </w:rPr>
              <w:t>Dirección Ejecutiva</w:t>
            </w:r>
          </w:p>
        </w:tc>
        <w:tc>
          <w:tcPr>
            <w:tcW w:w="1918" w:type="dxa"/>
            <w:shd w:val="clear" w:color="auto" w:fill="auto"/>
            <w:vAlign w:val="center"/>
          </w:tcPr>
          <w:p w:rsidRPr="00AE1B2B" w:rsidR="009D3FB5" w:rsidP="00163B94" w:rsidRDefault="009D3FB5" w14:paraId="1A5148A0" w14:textId="77777777">
            <w:pPr>
              <w:spacing w:before="120" w:after="120" w:line="276" w:lineRule="auto"/>
              <w:jc w:val="center"/>
              <w:rPr>
                <w:rFonts w:ascii="Times New Roman" w:hAnsi="Times New Roman" w:cs="Times New Roman"/>
                <w:i/>
                <w:iCs/>
              </w:rPr>
            </w:pPr>
            <w:r w:rsidRPr="00AE1B2B">
              <w:rPr>
                <w:rFonts w:ascii="Times New Roman" w:hAnsi="Times New Roman" w:cs="Times New Roman"/>
                <w:i/>
                <w:iCs/>
              </w:rPr>
              <w:t>Listo</w:t>
            </w:r>
          </w:p>
        </w:tc>
        <w:tc>
          <w:tcPr>
            <w:tcW w:w="2336" w:type="dxa"/>
            <w:shd w:val="clear" w:color="auto" w:fill="auto"/>
            <w:vAlign w:val="center"/>
          </w:tcPr>
          <w:p w:rsidRPr="00AE1B2B" w:rsidR="009D3FB5" w:rsidP="00163B94" w:rsidRDefault="009D3FB5" w14:paraId="3B5BEC4E" w14:textId="77777777">
            <w:pPr>
              <w:pStyle w:val="xmsonormal"/>
              <w:spacing w:before="120" w:after="120" w:line="276" w:lineRule="auto"/>
              <w:jc w:val="both"/>
              <w:rPr>
                <w:i/>
                <w:iCs/>
                <w:sz w:val="22"/>
                <w:szCs w:val="22"/>
              </w:rPr>
            </w:pPr>
          </w:p>
        </w:tc>
      </w:tr>
      <w:tr w:rsidRPr="00AE1B2B" w:rsidR="00AE1B2B" w:rsidTr="009D3FB5" w14:paraId="73EF32D3" w14:textId="77777777">
        <w:trPr>
          <w:jc w:val="center"/>
        </w:trPr>
        <w:tc>
          <w:tcPr>
            <w:tcW w:w="2424" w:type="dxa"/>
            <w:shd w:val="clear" w:color="auto" w:fill="auto"/>
            <w:vAlign w:val="center"/>
          </w:tcPr>
          <w:p w:rsidRPr="00AE1B2B" w:rsidR="009D3FB5" w:rsidP="00163B94" w:rsidRDefault="009D3FB5" w14:paraId="22DF49A9" w14:textId="77777777">
            <w:pPr>
              <w:pStyle w:val="xmsonormal"/>
              <w:spacing w:before="120" w:after="120" w:line="276" w:lineRule="auto"/>
              <w:jc w:val="both"/>
              <w:rPr>
                <w:i/>
                <w:iCs/>
                <w:sz w:val="22"/>
                <w:szCs w:val="22"/>
              </w:rPr>
            </w:pPr>
            <w:r w:rsidRPr="00AE1B2B">
              <w:rPr>
                <w:i/>
                <w:iCs/>
                <w:sz w:val="22"/>
                <w:szCs w:val="22"/>
              </w:rPr>
              <w:t>Dotación de mobiliario</w:t>
            </w:r>
          </w:p>
        </w:tc>
        <w:tc>
          <w:tcPr>
            <w:tcW w:w="2378" w:type="dxa"/>
            <w:shd w:val="clear" w:color="auto" w:fill="auto"/>
            <w:vAlign w:val="center"/>
          </w:tcPr>
          <w:p w:rsidRPr="00AE1B2B" w:rsidR="009D3FB5" w:rsidP="00163B94" w:rsidRDefault="009D3FB5" w14:paraId="6B19A50B" w14:textId="77777777">
            <w:pPr>
              <w:pStyle w:val="xmsonormal"/>
              <w:spacing w:before="120" w:after="120" w:line="276" w:lineRule="auto"/>
              <w:jc w:val="both"/>
              <w:rPr>
                <w:i/>
                <w:iCs/>
                <w:sz w:val="22"/>
                <w:szCs w:val="22"/>
              </w:rPr>
            </w:pPr>
            <w:r w:rsidRPr="00AE1B2B">
              <w:rPr>
                <w:i/>
                <w:iCs/>
                <w:sz w:val="22"/>
                <w:szCs w:val="22"/>
              </w:rPr>
              <w:t>Dirección Ejecutiva</w:t>
            </w:r>
          </w:p>
        </w:tc>
        <w:tc>
          <w:tcPr>
            <w:tcW w:w="1918" w:type="dxa"/>
            <w:shd w:val="clear" w:color="auto" w:fill="auto"/>
            <w:vAlign w:val="center"/>
          </w:tcPr>
          <w:p w:rsidRPr="00AE1B2B" w:rsidR="009D3FB5" w:rsidP="00163B94" w:rsidRDefault="009D3FB5" w14:paraId="51DD903B" w14:textId="77777777">
            <w:pPr>
              <w:spacing w:before="120" w:after="120" w:line="276" w:lineRule="auto"/>
              <w:jc w:val="center"/>
              <w:rPr>
                <w:rFonts w:ascii="Times New Roman" w:hAnsi="Times New Roman" w:cs="Times New Roman"/>
                <w:i/>
                <w:iCs/>
              </w:rPr>
            </w:pPr>
            <w:r w:rsidRPr="00AE1B2B">
              <w:rPr>
                <w:rFonts w:ascii="Times New Roman" w:hAnsi="Times New Roman" w:cs="Times New Roman"/>
                <w:i/>
                <w:iCs/>
              </w:rPr>
              <w:t>Listo</w:t>
            </w:r>
          </w:p>
        </w:tc>
        <w:tc>
          <w:tcPr>
            <w:tcW w:w="2336" w:type="dxa"/>
            <w:shd w:val="clear" w:color="auto" w:fill="auto"/>
            <w:vAlign w:val="center"/>
          </w:tcPr>
          <w:p w:rsidRPr="00AE1B2B" w:rsidR="009D3FB5" w:rsidP="00163B94" w:rsidRDefault="009D3FB5" w14:paraId="3BF2FD60" w14:textId="77777777">
            <w:pPr>
              <w:pStyle w:val="xmsonormal"/>
              <w:spacing w:before="120" w:after="120" w:line="276" w:lineRule="auto"/>
              <w:jc w:val="both"/>
              <w:rPr>
                <w:i/>
                <w:iCs/>
                <w:sz w:val="22"/>
                <w:szCs w:val="22"/>
              </w:rPr>
            </w:pPr>
          </w:p>
        </w:tc>
      </w:tr>
      <w:tr w:rsidRPr="00AE1B2B" w:rsidR="00AE1B2B" w:rsidTr="009D3FB5" w14:paraId="6C0A5040" w14:textId="77777777">
        <w:trPr>
          <w:jc w:val="center"/>
        </w:trPr>
        <w:tc>
          <w:tcPr>
            <w:tcW w:w="2424" w:type="dxa"/>
            <w:shd w:val="clear" w:color="auto" w:fill="auto"/>
            <w:vAlign w:val="center"/>
          </w:tcPr>
          <w:p w:rsidRPr="00AE1B2B" w:rsidR="009D3FB5" w:rsidP="00163B94" w:rsidRDefault="009D3FB5" w14:paraId="3A7DB885" w14:textId="77777777">
            <w:pPr>
              <w:pStyle w:val="xmsonormal"/>
              <w:spacing w:before="120" w:after="120" w:line="276" w:lineRule="auto"/>
              <w:jc w:val="both"/>
              <w:rPr>
                <w:i/>
                <w:iCs/>
                <w:sz w:val="22"/>
                <w:szCs w:val="22"/>
              </w:rPr>
            </w:pPr>
            <w:r w:rsidRPr="00AE1B2B">
              <w:rPr>
                <w:i/>
                <w:iCs/>
                <w:sz w:val="22"/>
                <w:szCs w:val="22"/>
              </w:rPr>
              <w:t>Actualización de la Agenda Telefónica</w:t>
            </w:r>
          </w:p>
        </w:tc>
        <w:tc>
          <w:tcPr>
            <w:tcW w:w="2378" w:type="dxa"/>
            <w:shd w:val="clear" w:color="auto" w:fill="auto"/>
            <w:vAlign w:val="center"/>
          </w:tcPr>
          <w:p w:rsidRPr="00AE1B2B" w:rsidR="009D3FB5" w:rsidP="00163B94" w:rsidRDefault="009D3FB5" w14:paraId="041CA781" w14:textId="77777777">
            <w:pPr>
              <w:pStyle w:val="xmsonormal"/>
              <w:spacing w:before="120" w:after="120" w:line="276" w:lineRule="auto"/>
              <w:jc w:val="both"/>
              <w:rPr>
                <w:i/>
                <w:iCs/>
                <w:sz w:val="22"/>
                <w:szCs w:val="22"/>
              </w:rPr>
            </w:pPr>
            <w:r w:rsidRPr="00AE1B2B">
              <w:rPr>
                <w:i/>
                <w:iCs/>
                <w:sz w:val="22"/>
                <w:szCs w:val="22"/>
              </w:rPr>
              <w:t>Administración Regional de Nicoya</w:t>
            </w:r>
          </w:p>
        </w:tc>
        <w:tc>
          <w:tcPr>
            <w:tcW w:w="1918" w:type="dxa"/>
            <w:shd w:val="clear" w:color="auto" w:fill="auto"/>
            <w:vAlign w:val="center"/>
          </w:tcPr>
          <w:p w:rsidRPr="00AE1B2B" w:rsidR="009D3FB5" w:rsidP="00163B94" w:rsidRDefault="009D3FB5" w14:paraId="5A52A387" w14:textId="77777777">
            <w:pPr>
              <w:spacing w:before="120" w:after="120" w:line="276" w:lineRule="auto"/>
              <w:jc w:val="center"/>
              <w:rPr>
                <w:rFonts w:ascii="Times New Roman" w:hAnsi="Times New Roman" w:cs="Times New Roman"/>
                <w:i/>
                <w:iCs/>
              </w:rPr>
            </w:pPr>
            <w:r w:rsidRPr="00AE1B2B">
              <w:rPr>
                <w:rFonts w:ascii="Times New Roman" w:hAnsi="Times New Roman" w:cs="Times New Roman"/>
                <w:i/>
                <w:iCs/>
              </w:rPr>
              <w:t>Pendiente</w:t>
            </w:r>
          </w:p>
        </w:tc>
        <w:tc>
          <w:tcPr>
            <w:tcW w:w="2336" w:type="dxa"/>
            <w:shd w:val="clear" w:color="auto" w:fill="auto"/>
            <w:vAlign w:val="center"/>
          </w:tcPr>
          <w:p w:rsidRPr="00AE1B2B" w:rsidR="009D3FB5" w:rsidP="00163B94" w:rsidRDefault="009D3FB5" w14:paraId="2F585D91" w14:textId="77777777">
            <w:pPr>
              <w:pStyle w:val="xmsonormal"/>
              <w:spacing w:before="120" w:after="120" w:line="276" w:lineRule="auto"/>
              <w:jc w:val="both"/>
              <w:rPr>
                <w:i/>
                <w:iCs/>
                <w:sz w:val="22"/>
                <w:szCs w:val="22"/>
              </w:rPr>
            </w:pPr>
          </w:p>
        </w:tc>
      </w:tr>
      <w:tr w:rsidRPr="00AE1B2B" w:rsidR="00AE1B2B" w:rsidTr="009D3FB5" w14:paraId="07F185F9" w14:textId="77777777">
        <w:trPr>
          <w:jc w:val="center"/>
        </w:trPr>
        <w:tc>
          <w:tcPr>
            <w:tcW w:w="2424" w:type="dxa"/>
            <w:shd w:val="clear" w:color="auto" w:fill="auto"/>
            <w:vAlign w:val="center"/>
          </w:tcPr>
          <w:p w:rsidRPr="00AE1B2B" w:rsidR="009D3FB5" w:rsidP="00163B94" w:rsidRDefault="009D3FB5" w14:paraId="62B59984" w14:textId="77777777">
            <w:pPr>
              <w:pStyle w:val="xmsonormal"/>
              <w:spacing w:before="120" w:after="120" w:line="276" w:lineRule="auto"/>
              <w:jc w:val="both"/>
              <w:rPr>
                <w:i/>
                <w:iCs/>
                <w:sz w:val="22"/>
                <w:szCs w:val="22"/>
              </w:rPr>
            </w:pPr>
            <w:r w:rsidRPr="00AE1B2B">
              <w:rPr>
                <w:i/>
                <w:iCs/>
                <w:sz w:val="22"/>
                <w:szCs w:val="22"/>
              </w:rPr>
              <w:lastRenderedPageBreak/>
              <w:t>Cambio de la rotulación</w:t>
            </w:r>
          </w:p>
        </w:tc>
        <w:tc>
          <w:tcPr>
            <w:tcW w:w="2378" w:type="dxa"/>
            <w:shd w:val="clear" w:color="auto" w:fill="auto"/>
            <w:vAlign w:val="center"/>
          </w:tcPr>
          <w:p w:rsidRPr="00AE1B2B" w:rsidR="009D3FB5" w:rsidP="00163B94" w:rsidRDefault="009D3FB5" w14:paraId="6BCF36F1" w14:textId="77777777">
            <w:pPr>
              <w:pStyle w:val="xmsonormal"/>
              <w:spacing w:before="120" w:after="120" w:line="276" w:lineRule="auto"/>
              <w:jc w:val="both"/>
              <w:rPr>
                <w:i/>
                <w:iCs/>
                <w:sz w:val="22"/>
                <w:szCs w:val="22"/>
              </w:rPr>
            </w:pPr>
            <w:r w:rsidRPr="00AE1B2B">
              <w:rPr>
                <w:i/>
                <w:iCs/>
                <w:sz w:val="22"/>
                <w:szCs w:val="22"/>
              </w:rPr>
              <w:t>Artes Gráficas-Dirección Ejecutiva</w:t>
            </w:r>
          </w:p>
        </w:tc>
        <w:tc>
          <w:tcPr>
            <w:tcW w:w="1918" w:type="dxa"/>
            <w:shd w:val="clear" w:color="auto" w:fill="auto"/>
            <w:vAlign w:val="center"/>
          </w:tcPr>
          <w:p w:rsidRPr="00AE1B2B" w:rsidR="009D3FB5" w:rsidP="00163B94" w:rsidRDefault="009D3FB5" w14:paraId="077B9B2A" w14:textId="77777777">
            <w:pPr>
              <w:spacing w:before="120" w:after="120" w:line="276" w:lineRule="auto"/>
              <w:jc w:val="center"/>
              <w:rPr>
                <w:rFonts w:ascii="Times New Roman" w:hAnsi="Times New Roman" w:cs="Times New Roman"/>
                <w:i/>
                <w:iCs/>
              </w:rPr>
            </w:pPr>
            <w:r w:rsidRPr="00AE1B2B">
              <w:rPr>
                <w:rFonts w:ascii="Times New Roman" w:hAnsi="Times New Roman" w:cs="Times New Roman"/>
                <w:i/>
                <w:iCs/>
              </w:rPr>
              <w:t>Pendiente</w:t>
            </w:r>
          </w:p>
        </w:tc>
        <w:tc>
          <w:tcPr>
            <w:tcW w:w="2336" w:type="dxa"/>
            <w:shd w:val="clear" w:color="auto" w:fill="auto"/>
            <w:vAlign w:val="center"/>
          </w:tcPr>
          <w:p w:rsidRPr="00AE1B2B" w:rsidR="009D3FB5" w:rsidP="00163B94" w:rsidRDefault="009D3FB5" w14:paraId="2BFC450B" w14:textId="77777777">
            <w:pPr>
              <w:pStyle w:val="xmsonormal"/>
              <w:spacing w:before="120" w:after="120" w:line="276" w:lineRule="auto"/>
              <w:jc w:val="both"/>
              <w:rPr>
                <w:i/>
                <w:iCs/>
                <w:sz w:val="22"/>
                <w:szCs w:val="22"/>
              </w:rPr>
            </w:pPr>
          </w:p>
        </w:tc>
      </w:tr>
      <w:tr w:rsidRPr="00AE1B2B" w:rsidR="00AE1B2B" w:rsidTr="009D3FB5" w14:paraId="63E44DB0" w14:textId="77777777">
        <w:trPr>
          <w:jc w:val="center"/>
        </w:trPr>
        <w:tc>
          <w:tcPr>
            <w:tcW w:w="2424" w:type="dxa"/>
            <w:shd w:val="clear" w:color="auto" w:fill="auto"/>
            <w:vAlign w:val="center"/>
          </w:tcPr>
          <w:p w:rsidRPr="00AE1B2B" w:rsidR="009D3FB5" w:rsidP="00163B94" w:rsidRDefault="009D3FB5" w14:paraId="57AD662A" w14:textId="77777777">
            <w:pPr>
              <w:pStyle w:val="xmsonormal"/>
              <w:spacing w:before="120" w:after="120" w:line="276" w:lineRule="auto"/>
              <w:jc w:val="both"/>
              <w:rPr>
                <w:i/>
                <w:iCs/>
                <w:sz w:val="22"/>
                <w:szCs w:val="22"/>
              </w:rPr>
            </w:pPr>
            <w:r w:rsidRPr="00AE1B2B">
              <w:rPr>
                <w:i/>
                <w:iCs/>
                <w:sz w:val="22"/>
                <w:szCs w:val="22"/>
              </w:rPr>
              <w:t>Creación de la oficina presupuestariamente</w:t>
            </w:r>
          </w:p>
        </w:tc>
        <w:tc>
          <w:tcPr>
            <w:tcW w:w="2378" w:type="dxa"/>
            <w:shd w:val="clear" w:color="auto" w:fill="auto"/>
            <w:vAlign w:val="center"/>
          </w:tcPr>
          <w:p w:rsidRPr="00AE1B2B" w:rsidR="009D3FB5" w:rsidP="00163B94" w:rsidRDefault="009D3FB5" w14:paraId="323548C1" w14:textId="77777777">
            <w:pPr>
              <w:pStyle w:val="xmsonormal"/>
              <w:spacing w:before="120" w:after="120" w:line="276" w:lineRule="auto"/>
              <w:jc w:val="both"/>
              <w:rPr>
                <w:i/>
                <w:iCs/>
                <w:sz w:val="22"/>
                <w:szCs w:val="22"/>
              </w:rPr>
            </w:pPr>
            <w:r w:rsidRPr="00AE1B2B">
              <w:rPr>
                <w:i/>
                <w:iCs/>
                <w:sz w:val="22"/>
                <w:szCs w:val="22"/>
              </w:rPr>
              <w:t>Dirección de Planificación</w:t>
            </w:r>
          </w:p>
        </w:tc>
        <w:tc>
          <w:tcPr>
            <w:tcW w:w="1918" w:type="dxa"/>
            <w:shd w:val="clear" w:color="auto" w:fill="auto"/>
            <w:vAlign w:val="center"/>
          </w:tcPr>
          <w:p w:rsidRPr="00AE1B2B" w:rsidR="009D3FB5" w:rsidP="00163B94" w:rsidRDefault="009D3FB5" w14:paraId="4134D261" w14:textId="77777777">
            <w:pPr>
              <w:pStyle w:val="xmsonormal"/>
              <w:spacing w:before="120" w:after="120" w:line="276" w:lineRule="auto"/>
              <w:jc w:val="center"/>
              <w:rPr>
                <w:i/>
                <w:iCs/>
                <w:sz w:val="22"/>
                <w:szCs w:val="22"/>
              </w:rPr>
            </w:pPr>
            <w:r w:rsidRPr="00AE1B2B">
              <w:rPr>
                <w:i/>
                <w:iCs/>
                <w:sz w:val="22"/>
                <w:szCs w:val="22"/>
              </w:rPr>
              <w:t>Listo</w:t>
            </w:r>
          </w:p>
        </w:tc>
        <w:tc>
          <w:tcPr>
            <w:tcW w:w="2336" w:type="dxa"/>
            <w:shd w:val="clear" w:color="auto" w:fill="auto"/>
            <w:vAlign w:val="center"/>
          </w:tcPr>
          <w:p w:rsidRPr="00AE1B2B" w:rsidR="009D3FB5" w:rsidP="00163B94" w:rsidRDefault="009D3FB5" w14:paraId="2277AAE8" w14:textId="77777777">
            <w:pPr>
              <w:pStyle w:val="xmsonormal"/>
              <w:spacing w:before="120" w:after="120" w:line="276" w:lineRule="auto"/>
              <w:jc w:val="both"/>
              <w:rPr>
                <w:i/>
                <w:iCs/>
                <w:sz w:val="22"/>
                <w:szCs w:val="22"/>
              </w:rPr>
            </w:pPr>
            <w:r w:rsidRPr="00AE1B2B">
              <w:rPr>
                <w:i/>
                <w:iCs/>
                <w:sz w:val="22"/>
                <w:szCs w:val="22"/>
              </w:rPr>
              <w:t>La Dirección de Planificación creó en el sistema SIGA PJ presupuestariamente la oficina “Juzgado Agrario de Jicaral” con él código 1870</w:t>
            </w:r>
          </w:p>
        </w:tc>
      </w:tr>
      <w:tr w:rsidRPr="00AE1B2B" w:rsidR="00AE1B2B" w:rsidTr="009D3FB5" w14:paraId="302D6AB9" w14:textId="77777777">
        <w:trPr>
          <w:jc w:val="center"/>
        </w:trPr>
        <w:tc>
          <w:tcPr>
            <w:tcW w:w="2424" w:type="dxa"/>
            <w:shd w:val="clear" w:color="auto" w:fill="auto"/>
            <w:vAlign w:val="center"/>
          </w:tcPr>
          <w:p w:rsidRPr="00AE1B2B" w:rsidR="009D3FB5" w:rsidP="00163B94" w:rsidRDefault="009D3FB5" w14:paraId="488536BF" w14:textId="77777777">
            <w:pPr>
              <w:pStyle w:val="xmsonormal"/>
              <w:spacing w:before="120" w:after="120" w:line="276" w:lineRule="auto"/>
              <w:jc w:val="both"/>
              <w:rPr>
                <w:i/>
                <w:iCs/>
                <w:sz w:val="22"/>
                <w:szCs w:val="22"/>
              </w:rPr>
            </w:pPr>
            <w:r w:rsidRPr="00AE1B2B">
              <w:rPr>
                <w:i/>
                <w:iCs/>
                <w:sz w:val="22"/>
                <w:szCs w:val="22"/>
              </w:rPr>
              <w:t>Actualización libro de competencia territorial y sistemas asociados</w:t>
            </w:r>
          </w:p>
        </w:tc>
        <w:tc>
          <w:tcPr>
            <w:tcW w:w="2378" w:type="dxa"/>
            <w:shd w:val="clear" w:color="auto" w:fill="auto"/>
            <w:vAlign w:val="center"/>
          </w:tcPr>
          <w:p w:rsidRPr="00AE1B2B" w:rsidR="009D3FB5" w:rsidP="00163B94" w:rsidRDefault="009D3FB5" w14:paraId="3992271C" w14:textId="77777777">
            <w:pPr>
              <w:pStyle w:val="xmsonormal"/>
              <w:spacing w:before="120" w:after="120" w:line="276" w:lineRule="auto"/>
              <w:jc w:val="both"/>
              <w:rPr>
                <w:i/>
                <w:iCs/>
                <w:sz w:val="22"/>
                <w:szCs w:val="22"/>
              </w:rPr>
            </w:pPr>
            <w:r w:rsidRPr="00AE1B2B">
              <w:rPr>
                <w:i/>
                <w:iCs/>
                <w:sz w:val="22"/>
                <w:szCs w:val="22"/>
              </w:rPr>
              <w:t>Dirección de Planificación</w:t>
            </w:r>
          </w:p>
        </w:tc>
        <w:tc>
          <w:tcPr>
            <w:tcW w:w="1918" w:type="dxa"/>
            <w:shd w:val="clear" w:color="auto" w:fill="auto"/>
            <w:vAlign w:val="center"/>
          </w:tcPr>
          <w:p w:rsidRPr="00AE1B2B" w:rsidR="009D3FB5" w:rsidP="00163B94" w:rsidRDefault="009D3FB5" w14:paraId="36F34253" w14:textId="77777777">
            <w:pPr>
              <w:pStyle w:val="xmsonormal"/>
              <w:spacing w:before="120" w:after="120" w:line="276" w:lineRule="auto"/>
              <w:jc w:val="center"/>
              <w:rPr>
                <w:i/>
                <w:iCs/>
                <w:sz w:val="22"/>
                <w:szCs w:val="22"/>
              </w:rPr>
            </w:pPr>
            <w:r w:rsidRPr="00AE1B2B">
              <w:rPr>
                <w:i/>
                <w:iCs/>
                <w:sz w:val="22"/>
                <w:szCs w:val="22"/>
              </w:rPr>
              <w:t>Pendiente</w:t>
            </w:r>
          </w:p>
        </w:tc>
        <w:tc>
          <w:tcPr>
            <w:tcW w:w="2336" w:type="dxa"/>
            <w:shd w:val="clear" w:color="auto" w:fill="auto"/>
            <w:vAlign w:val="center"/>
          </w:tcPr>
          <w:p w:rsidRPr="00AE1B2B" w:rsidR="009D3FB5" w:rsidP="00163B94" w:rsidRDefault="009D3FB5" w14:paraId="2D444C3C" w14:textId="77777777">
            <w:pPr>
              <w:pStyle w:val="xmsonormal"/>
              <w:spacing w:before="120" w:after="120" w:line="276" w:lineRule="auto"/>
              <w:jc w:val="both"/>
              <w:rPr>
                <w:i/>
                <w:iCs/>
                <w:sz w:val="22"/>
                <w:szCs w:val="22"/>
              </w:rPr>
            </w:pPr>
          </w:p>
        </w:tc>
      </w:tr>
      <w:tr w:rsidRPr="00AE1B2B" w:rsidR="00AE1B2B" w:rsidTr="009D3FB5" w14:paraId="2C9F7CEA" w14:textId="77777777">
        <w:trPr>
          <w:jc w:val="center"/>
        </w:trPr>
        <w:tc>
          <w:tcPr>
            <w:tcW w:w="2424" w:type="dxa"/>
            <w:shd w:val="clear" w:color="auto" w:fill="auto"/>
            <w:vAlign w:val="center"/>
          </w:tcPr>
          <w:p w:rsidRPr="00AE1B2B" w:rsidR="009D3FB5" w:rsidP="00163B94" w:rsidRDefault="009D3FB5" w14:paraId="5963F546" w14:textId="77777777">
            <w:pPr>
              <w:pStyle w:val="xmsonormal"/>
              <w:spacing w:before="120" w:after="120" w:line="276" w:lineRule="auto"/>
              <w:jc w:val="both"/>
              <w:rPr>
                <w:i/>
                <w:iCs/>
                <w:sz w:val="22"/>
                <w:szCs w:val="22"/>
              </w:rPr>
            </w:pPr>
            <w:r w:rsidRPr="00AE1B2B">
              <w:rPr>
                <w:i/>
                <w:iCs/>
                <w:sz w:val="22"/>
                <w:szCs w:val="22"/>
              </w:rPr>
              <w:t>Capacitación al personal en el Modelo de Sostenibilidad</w:t>
            </w:r>
          </w:p>
        </w:tc>
        <w:tc>
          <w:tcPr>
            <w:tcW w:w="2378" w:type="dxa"/>
            <w:shd w:val="clear" w:color="auto" w:fill="auto"/>
            <w:vAlign w:val="center"/>
          </w:tcPr>
          <w:p w:rsidRPr="00AE1B2B" w:rsidR="009D3FB5" w:rsidP="00163B94" w:rsidRDefault="009D3FB5" w14:paraId="6AC575DD" w14:textId="77777777">
            <w:pPr>
              <w:pStyle w:val="xmsonormal"/>
              <w:spacing w:before="120" w:after="120" w:line="276" w:lineRule="auto"/>
              <w:jc w:val="both"/>
              <w:rPr>
                <w:i/>
                <w:iCs/>
                <w:sz w:val="22"/>
                <w:szCs w:val="22"/>
              </w:rPr>
            </w:pPr>
            <w:r w:rsidRPr="00AE1B2B">
              <w:rPr>
                <w:i/>
                <w:iCs/>
                <w:sz w:val="22"/>
                <w:szCs w:val="22"/>
              </w:rPr>
              <w:t>Dirección de Planificación</w:t>
            </w:r>
          </w:p>
        </w:tc>
        <w:tc>
          <w:tcPr>
            <w:tcW w:w="1918" w:type="dxa"/>
            <w:shd w:val="clear" w:color="auto" w:fill="auto"/>
            <w:vAlign w:val="center"/>
          </w:tcPr>
          <w:p w:rsidRPr="00AE1B2B" w:rsidR="009D3FB5" w:rsidP="00163B94" w:rsidRDefault="009D3FB5" w14:paraId="34478DA8" w14:textId="77777777">
            <w:pPr>
              <w:pStyle w:val="xmsonormal"/>
              <w:spacing w:before="120" w:after="120" w:line="276" w:lineRule="auto"/>
              <w:jc w:val="center"/>
              <w:rPr>
                <w:i/>
                <w:iCs/>
                <w:sz w:val="22"/>
                <w:szCs w:val="22"/>
              </w:rPr>
            </w:pPr>
            <w:r w:rsidRPr="00AE1B2B">
              <w:rPr>
                <w:i/>
                <w:iCs/>
                <w:sz w:val="22"/>
                <w:szCs w:val="22"/>
              </w:rPr>
              <w:t>Pendiente</w:t>
            </w:r>
          </w:p>
        </w:tc>
        <w:tc>
          <w:tcPr>
            <w:tcW w:w="2336" w:type="dxa"/>
            <w:shd w:val="clear" w:color="auto" w:fill="auto"/>
            <w:vAlign w:val="center"/>
          </w:tcPr>
          <w:p w:rsidRPr="00AE1B2B" w:rsidR="009D3FB5" w:rsidP="00163B94" w:rsidRDefault="009D3FB5" w14:paraId="38122EF0" w14:textId="77777777">
            <w:pPr>
              <w:pStyle w:val="xmsonormal"/>
              <w:spacing w:before="120" w:after="120" w:line="276" w:lineRule="auto"/>
              <w:jc w:val="both"/>
              <w:rPr>
                <w:i/>
                <w:iCs/>
                <w:sz w:val="22"/>
                <w:szCs w:val="22"/>
              </w:rPr>
            </w:pPr>
          </w:p>
        </w:tc>
      </w:tr>
      <w:tr w:rsidRPr="00AE1B2B" w:rsidR="00AE1B2B" w:rsidTr="009D3FB5" w14:paraId="1096A5E6" w14:textId="77777777">
        <w:trPr>
          <w:jc w:val="center"/>
        </w:trPr>
        <w:tc>
          <w:tcPr>
            <w:tcW w:w="2424" w:type="dxa"/>
            <w:shd w:val="clear" w:color="auto" w:fill="auto"/>
            <w:vAlign w:val="center"/>
          </w:tcPr>
          <w:p w:rsidRPr="00AE1B2B" w:rsidR="009D3FB5" w:rsidP="00163B94" w:rsidRDefault="009D3FB5" w14:paraId="7D87DAAC" w14:textId="77777777">
            <w:pPr>
              <w:pStyle w:val="xmsonormal"/>
              <w:spacing w:before="120" w:after="120" w:line="276" w:lineRule="auto"/>
              <w:jc w:val="both"/>
              <w:rPr>
                <w:i/>
                <w:iCs/>
                <w:sz w:val="22"/>
                <w:szCs w:val="22"/>
              </w:rPr>
            </w:pPr>
            <w:r w:rsidRPr="00AE1B2B">
              <w:rPr>
                <w:i/>
                <w:iCs/>
                <w:sz w:val="22"/>
                <w:szCs w:val="22"/>
              </w:rPr>
              <w:t>Diseño de la matriz de indicadores a utilizar por el nuevo Juzgado Agrario en Jicaral</w:t>
            </w:r>
          </w:p>
        </w:tc>
        <w:tc>
          <w:tcPr>
            <w:tcW w:w="2378" w:type="dxa"/>
            <w:shd w:val="clear" w:color="auto" w:fill="auto"/>
            <w:vAlign w:val="center"/>
          </w:tcPr>
          <w:p w:rsidRPr="00AE1B2B" w:rsidR="009D3FB5" w:rsidP="00163B94" w:rsidRDefault="009D3FB5" w14:paraId="5FDCE521" w14:textId="77777777">
            <w:pPr>
              <w:pStyle w:val="xmsonormal"/>
              <w:spacing w:before="120" w:after="120" w:line="276" w:lineRule="auto"/>
              <w:jc w:val="both"/>
              <w:rPr>
                <w:i/>
                <w:iCs/>
                <w:sz w:val="22"/>
                <w:szCs w:val="22"/>
              </w:rPr>
            </w:pPr>
            <w:r w:rsidRPr="00AE1B2B">
              <w:rPr>
                <w:i/>
                <w:iCs/>
                <w:sz w:val="22"/>
                <w:szCs w:val="22"/>
              </w:rPr>
              <w:t>Dirección de Planificación</w:t>
            </w:r>
          </w:p>
        </w:tc>
        <w:tc>
          <w:tcPr>
            <w:tcW w:w="1918" w:type="dxa"/>
            <w:shd w:val="clear" w:color="auto" w:fill="auto"/>
            <w:vAlign w:val="center"/>
          </w:tcPr>
          <w:p w:rsidRPr="00AE1B2B" w:rsidR="009D3FB5" w:rsidP="00163B94" w:rsidRDefault="009D3FB5" w14:paraId="384F0B84" w14:textId="77777777">
            <w:pPr>
              <w:pStyle w:val="xmsonormal"/>
              <w:spacing w:before="120" w:after="120" w:line="276" w:lineRule="auto"/>
              <w:jc w:val="center"/>
              <w:rPr>
                <w:i/>
                <w:iCs/>
                <w:sz w:val="22"/>
                <w:szCs w:val="22"/>
              </w:rPr>
            </w:pPr>
            <w:r w:rsidRPr="00AE1B2B">
              <w:rPr>
                <w:i/>
                <w:iCs/>
                <w:sz w:val="22"/>
                <w:szCs w:val="22"/>
              </w:rPr>
              <w:t>Pendiente</w:t>
            </w:r>
          </w:p>
        </w:tc>
        <w:tc>
          <w:tcPr>
            <w:tcW w:w="2336" w:type="dxa"/>
            <w:shd w:val="clear" w:color="auto" w:fill="auto"/>
            <w:vAlign w:val="center"/>
          </w:tcPr>
          <w:p w:rsidRPr="00AE1B2B" w:rsidR="009D3FB5" w:rsidP="00163B94" w:rsidRDefault="009D3FB5" w14:paraId="4B798957" w14:textId="77777777">
            <w:pPr>
              <w:pStyle w:val="xmsonormal"/>
              <w:spacing w:before="120" w:after="120" w:line="276" w:lineRule="auto"/>
              <w:jc w:val="both"/>
              <w:rPr>
                <w:i/>
                <w:iCs/>
                <w:sz w:val="22"/>
                <w:szCs w:val="22"/>
              </w:rPr>
            </w:pPr>
          </w:p>
        </w:tc>
      </w:tr>
    </w:tbl>
    <w:p w:rsidRPr="00AE1B2B" w:rsidR="009D3FB5" w:rsidP="00163B94" w:rsidRDefault="00BB7720" w14:paraId="7E67337B" w14:textId="67A1BEEA">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lang w:val="es-MX"/>
        </w:rPr>
        <w:t xml:space="preserve"> </w:t>
      </w:r>
      <w:r w:rsidRPr="00AE1B2B" w:rsidR="009D3FB5">
        <w:rPr>
          <w:rFonts w:ascii="Times New Roman" w:hAnsi="Times New Roman" w:cs="Times New Roman"/>
          <w:i/>
          <w:iCs/>
          <w:sz w:val="26"/>
          <w:szCs w:val="26"/>
          <w:lang w:val="es-MX"/>
        </w:rPr>
        <w:t>...”.</w:t>
      </w:r>
    </w:p>
    <w:p w:rsidRPr="00AE1B2B" w:rsidR="009D3FB5" w:rsidP="00163B94" w:rsidRDefault="009D3FB5" w14:paraId="582EE819" w14:textId="77777777">
      <w:pPr>
        <w:spacing w:before="120" w:after="120"/>
        <w:ind w:left="851" w:right="851" w:firstLine="709"/>
        <w:jc w:val="both"/>
        <w:rPr>
          <w:rFonts w:ascii="Times New Roman" w:hAnsi="Times New Roman" w:cs="Times New Roman"/>
          <w:sz w:val="26"/>
          <w:szCs w:val="26"/>
          <w:lang w:val="es-MX"/>
        </w:rPr>
      </w:pPr>
    </w:p>
    <w:p w:rsidRPr="00AE1B2B" w:rsidR="009D3FB5" w:rsidP="00163B94" w:rsidRDefault="009D3FB5" w14:paraId="1A8AEF03" w14:textId="1EBC86B6">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Por lo anterior, el informe 159-PLA-MI-2020 respalda lo relacionado con la estructura y recurso humano del nuevo Juzgado Agrario en la zona de Jicaral,</w:t>
      </w:r>
      <w:r w:rsidRPr="00AE1B2B" w:rsidR="00BB7720">
        <w:rPr>
          <w:rFonts w:ascii="Times New Roman" w:hAnsi="Times New Roman" w:cs="Times New Roman"/>
          <w:sz w:val="26"/>
          <w:szCs w:val="26"/>
          <w:lang w:val="es-MX"/>
        </w:rPr>
        <w:t xml:space="preserve"> </w:t>
      </w:r>
      <w:r w:rsidRPr="00AE1B2B">
        <w:rPr>
          <w:rFonts w:ascii="Times New Roman" w:hAnsi="Times New Roman" w:cs="Times New Roman"/>
          <w:sz w:val="26"/>
          <w:szCs w:val="26"/>
          <w:lang w:val="es-MX"/>
        </w:rPr>
        <w:t xml:space="preserve">por parte del Consejo Superior, para dar inicio del funcionamiento del Juzgado Agrario de Puntarenas, Jicaral. Como parte de la puesta en marcha del proyecto, en el mismo informe se realiza una seria de recomendaciones a las diferentes oficinas involucradas en el proceso, por lo que, una vez aprobado el informe en mención, se requiere la ejecución de estas. </w:t>
      </w:r>
    </w:p>
    <w:p w:rsidRPr="00AE1B2B" w:rsidR="009D3FB5" w:rsidP="00163B94" w:rsidRDefault="009D3FB5" w14:paraId="5EFFF717" w14:textId="77777777">
      <w:pPr>
        <w:spacing w:before="120" w:after="120"/>
        <w:ind w:left="851" w:right="851" w:firstLine="709"/>
        <w:jc w:val="both"/>
        <w:rPr>
          <w:rFonts w:ascii="Times New Roman" w:hAnsi="Times New Roman" w:cs="Times New Roman"/>
          <w:sz w:val="26"/>
          <w:szCs w:val="26"/>
        </w:rPr>
      </w:pPr>
      <w:bookmarkStart w:name="_Toc68688570" w:id="291"/>
      <w:r w:rsidRPr="00AE1B2B">
        <w:rPr>
          <w:rFonts w:ascii="Times New Roman" w:hAnsi="Times New Roman" w:cs="Times New Roman"/>
          <w:sz w:val="26"/>
          <w:szCs w:val="26"/>
        </w:rPr>
        <w:t>Limitantes</w:t>
      </w:r>
      <w:bookmarkEnd w:id="291"/>
    </w:p>
    <w:p w:rsidRPr="00AE1B2B" w:rsidR="009D3FB5" w:rsidP="00163B94" w:rsidRDefault="009D3FB5" w14:paraId="1CB7259E"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Para la realización del presente informe, no se cuenta con los datos a nivel de sistemas informáticos, de los procesos sucesorios, cobratorios, contenciosos, entre otros, que formarán parte de los nuevos asuntos Agrarios, en la actualidad no hay elementos sistemáticos para determinar una cantidad específica, con ocasión del Código Procesal Agraria.</w:t>
      </w:r>
    </w:p>
    <w:p w:rsidRPr="00AE1B2B" w:rsidR="009D3FB5" w:rsidP="00163B94" w:rsidRDefault="009D3FB5" w14:paraId="392AE655" w14:textId="77777777">
      <w:pPr>
        <w:spacing w:before="120" w:after="120"/>
        <w:ind w:left="851" w:right="851" w:firstLine="709"/>
        <w:jc w:val="both"/>
        <w:rPr>
          <w:rFonts w:ascii="Times New Roman" w:hAnsi="Times New Roman" w:cs="Times New Roman"/>
          <w:sz w:val="26"/>
          <w:szCs w:val="26"/>
          <w:lang w:val="es-MX"/>
        </w:rPr>
      </w:pPr>
    </w:p>
    <w:p w:rsidRPr="00AE1B2B" w:rsidR="009D3FB5" w:rsidP="00163B94" w:rsidRDefault="009D3FB5" w14:paraId="3DD30CBE" w14:textId="77777777">
      <w:pPr>
        <w:pStyle w:val="Prrafodelista"/>
        <w:numPr>
          <w:ilvl w:val="0"/>
          <w:numId w:val="120"/>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No es posible proyectar la posible carga de trabajo que tendrá la Sala Primera ,ya que no conocemos sobre la carga de trabajo que va a traer consigo todos estos cambios, ya que ni si quiera se puede hacer un muestro para determinar un aproximado de cuantos casos de los Juzgados Civiles y Cobratorios son de competencia Agraria. </w:t>
      </w:r>
    </w:p>
    <w:p w:rsidRPr="00AE1B2B" w:rsidR="009D3FB5" w:rsidP="00163B94" w:rsidRDefault="009D3FB5" w14:paraId="649CA1E6" w14:textId="77777777">
      <w:pPr>
        <w:pStyle w:val="Prrafodelista"/>
        <w:numPr>
          <w:ilvl w:val="0"/>
          <w:numId w:val="120"/>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No es posible proyectar la carga de trabajo que podrían tener los Juzgados Agrarios una vez entrada en vigencia el Código Procesal Agrario, ya que adquirirán competencia sobre los procesos Sucesorios de naturaleza agrícola en materia Civil y los Cobratorios con garantías Agrarias. </w:t>
      </w:r>
    </w:p>
    <w:p w:rsidRPr="00AE1B2B" w:rsidR="009D3FB5" w:rsidP="00163B94" w:rsidRDefault="009D3FB5" w14:paraId="67FBDC54" w14:textId="77777777">
      <w:pPr>
        <w:pStyle w:val="Prrafodelista"/>
        <w:numPr>
          <w:ilvl w:val="0"/>
          <w:numId w:val="120"/>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Juzgados Civiles y Juzgados de Cobros no tienen identificados esos procesos que llegaran a los Juzgados Agrarios, ni en su circulante, ni en la entrada mensual.</w:t>
      </w:r>
    </w:p>
    <w:p w:rsidRPr="00AE1B2B" w:rsidR="009D3FB5" w:rsidP="00163B94" w:rsidRDefault="009D3FB5" w14:paraId="4440724F" w14:textId="32DFE066">
      <w:pPr>
        <w:pStyle w:val="Prrafodelista"/>
        <w:numPr>
          <w:ilvl w:val="0"/>
          <w:numId w:val="120"/>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Tribunal Contencioso Administrativo no tiene identificados los casos por Responsabilidad Ambiental que, con la entrada en vigencia del Código Procesal Agrario, conocerá el Tribunal Agrario.</w:t>
      </w:r>
      <w:r w:rsidRPr="00AE1B2B" w:rsidR="00BB7720">
        <w:rPr>
          <w:rFonts w:ascii="Times New Roman" w:hAnsi="Times New Roman" w:cs="Times New Roman"/>
          <w:sz w:val="26"/>
          <w:szCs w:val="26"/>
        </w:rPr>
        <w:t xml:space="preserve"> </w:t>
      </w:r>
    </w:p>
    <w:p w:rsidRPr="00AE1B2B" w:rsidR="009D3FB5" w:rsidP="00163B94" w:rsidRDefault="009D3FB5" w14:paraId="776E1AD6" w14:textId="7C1BB70A">
      <w:pPr>
        <w:pStyle w:val="Prrafodelista"/>
        <w:numPr>
          <w:ilvl w:val="0"/>
          <w:numId w:val="120"/>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Tribunal Agrario perderá competencia sobre los casos de Conflicto de Competencia, ya que actualmente los Juzgados Agrarios se inhiben de conocer el caso y es ahí donde llegan el Tribunal. Con la entrada en vigencia del Código Procesal Agrario ya los Juzgados Agrarios se pueden declarar incompetentes. En conversaciones con las Juezas y Jueces del Tribunal, aclararon que efectivamente pierden competencia sobre los conflictos mencionados, pero pueden ingresar al Tribunal por apelación en el fondo, dato que no se tiene identificado.</w:t>
      </w:r>
      <w:r w:rsidRPr="00AE1B2B" w:rsidR="00BB7720">
        <w:rPr>
          <w:rFonts w:ascii="Times New Roman" w:hAnsi="Times New Roman" w:cs="Times New Roman"/>
          <w:sz w:val="26"/>
          <w:szCs w:val="26"/>
        </w:rPr>
        <w:t xml:space="preserve"> </w:t>
      </w:r>
    </w:p>
    <w:p w:rsidRPr="00AE1B2B" w:rsidR="009D3FB5" w:rsidP="00163B94" w:rsidRDefault="009D3FB5" w14:paraId="56087149" w14:textId="38237487">
      <w:pPr>
        <w:pStyle w:val="Prrafodelista"/>
        <w:numPr>
          <w:ilvl w:val="0"/>
          <w:numId w:val="120"/>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Por otro lado, con la entrada en vigencia del Código Procesal Agrario, se crea un nuevo proceso llamado Ordinarios Especiales por Responsabilidad Ambiental, Art. 282-290. Actualmente todos los procesos por daños ambientales contra el Estado los conoce el Tribunal Contencioso Administrativo, por lo que, en consulta realizada vía telefónica al Coordinador Judicial del Tribunal, Andrés Espinoza, y en correo electrónico se valida </w:t>
      </w:r>
      <w:r w:rsidRPr="00AE1B2B">
        <w:rPr>
          <w:rFonts w:ascii="Times New Roman" w:hAnsi="Times New Roman" w:cs="Times New Roman"/>
          <w:i/>
          <w:iCs/>
          <w:sz w:val="26"/>
          <w:szCs w:val="26"/>
        </w:rPr>
        <w:t>(ver anexo 17 Consulta sobre los asuntos con responsabilidad Ambiental)</w:t>
      </w:r>
      <w:r w:rsidRPr="00AE1B2B" w:rsidR="00BB7720">
        <w:rPr>
          <w:rFonts w:ascii="Times New Roman" w:hAnsi="Times New Roman" w:cs="Times New Roman"/>
          <w:i/>
          <w:iCs/>
          <w:sz w:val="26"/>
          <w:szCs w:val="26"/>
        </w:rPr>
        <w:t xml:space="preserve"> </w:t>
      </w:r>
      <w:r w:rsidRPr="00AE1B2B">
        <w:rPr>
          <w:rFonts w:ascii="Times New Roman" w:hAnsi="Times New Roman" w:cs="Times New Roman"/>
          <w:sz w:val="26"/>
          <w:szCs w:val="26"/>
        </w:rPr>
        <w:t xml:space="preserve">que el detectar ese tipo de procesos es complicado, ya que tendría que revisarse aproximadamente los 16 mil expedientes Ordinarios, ya que ellos ven los daños ambientales como un Ordinario. </w:t>
      </w:r>
    </w:p>
    <w:p w:rsidRPr="00AE1B2B" w:rsidR="009D3FB5" w:rsidP="00163B94" w:rsidRDefault="009D3FB5" w14:paraId="1CEEECF1" w14:textId="5111E594">
      <w:pPr>
        <w:pStyle w:val="Prrafodelista"/>
        <w:numPr>
          <w:ilvl w:val="0"/>
          <w:numId w:val="120"/>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procede a revisar en el sistema SIGMA la cantidad de circulante final a febrero del Tribunal Contencioso Administrativo </w:t>
      </w:r>
      <w:r w:rsidRPr="00AE1B2B">
        <w:rPr>
          <w:rFonts w:ascii="Times New Roman" w:hAnsi="Times New Roman" w:cs="Times New Roman"/>
          <w:sz w:val="26"/>
          <w:szCs w:val="26"/>
        </w:rPr>
        <w:lastRenderedPageBreak/>
        <w:t>(contexto 1027) y se indica que existe un total de 7730 casos, de los cuales 4408 son asuntos denominados Conocimientos (posible ordinarios en materia ambiental pero que no existe una certeza del dato porque no se clasifican con esa especificidad), dato muy diferente al indicado por el Coordinador Judicial. Es necesario conocer el dato real de los casos Ordinarios Especiales por Responsabilidad Ambiental para aproximar la carga de trabajo que le correspondería al Tribunal Agrario, lo cual a la fecha a nivel de sistema resulta una limitante, al tener que revisar mediante un muestreo de al menos los actuales 4408 expedientes ordinarios en materia ambiental actual que tiene en su circulante el Tribunal Contencioso, así como su fecha de entrada para conocer la tasa de llegada de estos asuntos de manera mensual.</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Únicamente se identifica la intervención de personas indígenas cuando participan en asociaciones u organizaciones; es decir, la cantidad de asuntos donde se participa como parte demandada o actora sin la representación de una asociación y/u organización presenta una limitante estadística en los sistemas actuales, para determinar la cantidad de asuntos Contenciosos Administrativos donde intervienen personas indígenas y así estimar la proyección de la demanda del proceso.</w:t>
      </w:r>
    </w:p>
    <w:p w:rsidRPr="00AE1B2B" w:rsidR="009D3FB5" w:rsidP="00163B94" w:rsidRDefault="009D3FB5" w14:paraId="150490DA" w14:textId="6452A9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Por lo anterior se considera limitación proyectar la carga de trabajo que podría tener el Tribunal considerando este procedimiento los cuales son considerados prioritarios en su tramitación.</w:t>
      </w:r>
      <w:r w:rsidRPr="00AE1B2B" w:rsidR="00BB7720">
        <w:rPr>
          <w:rFonts w:ascii="Times New Roman" w:hAnsi="Times New Roman" w:cs="Times New Roman"/>
          <w:sz w:val="26"/>
          <w:szCs w:val="26"/>
        </w:rPr>
        <w:t xml:space="preserve"> </w:t>
      </w:r>
    </w:p>
    <w:p w:rsidRPr="00AE1B2B" w:rsidR="009D3FB5" w:rsidP="00163B94" w:rsidRDefault="009D3FB5" w14:paraId="6B35B09E"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sesiones de trabajo realizadas en conjunto con el Equipo Gestor de la Comisión de la Jurisdicción Agraria y en reuniones con el Magistrado Luis Guillermo Rivas Loáiciga, se vio la necesidad de generar un muestreo que permita exponer el impacto a nivel de competencias materiales que la Jurisdicción Agraria va a conocer, como son los casos Sucesorios y Cobratorios </w:t>
      </w:r>
      <w:r w:rsidRPr="00AE1B2B">
        <w:rPr>
          <w:rFonts w:ascii="Times New Roman" w:hAnsi="Times New Roman" w:cs="Times New Roman"/>
          <w:i/>
          <w:iCs/>
          <w:sz w:val="26"/>
          <w:szCs w:val="26"/>
        </w:rPr>
        <w:t>(ver anexo 18 Minuta Reunión Comisión Agraria 20-11-2019)</w:t>
      </w:r>
      <w:r w:rsidRPr="00AE1B2B">
        <w:rPr>
          <w:rFonts w:ascii="Times New Roman" w:hAnsi="Times New Roman" w:cs="Times New Roman"/>
          <w:sz w:val="26"/>
          <w:szCs w:val="26"/>
        </w:rPr>
        <w:t xml:space="preserve">. </w:t>
      </w:r>
    </w:p>
    <w:p w:rsidRPr="00AE1B2B" w:rsidR="009D3FB5" w:rsidP="00163B94" w:rsidRDefault="009D3FB5" w14:paraId="05C58ACC"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la reunión sostenida se trataron temas como el Muestreo de procesos Sucesorios y Cobratorios, Formatos Jurídicos, Indicadores de Gestión y definición de cuotas de trabajo para el personal juzgador. Como acuerdos se toma la reunión que sostendrán las Comisiones tanto la Civil como la Agraria en la emisión de criterios con respecto a las variables que se van a tomar en consideración para el análisis del inventario. Una vez definido los criterios, la Dirección de Planificación desarrollará una herramienta para realizar el muestreo. Se realiza por parte de la Dirección de Planificación el oficio 151-PLA-MI-2019, referente a los acuerdos tomados en la reunión del 20 de noviembre del año 2019 realizada con el Equipo Gestor en Materia Agraria </w:t>
      </w:r>
      <w:r w:rsidRPr="00AE1B2B">
        <w:rPr>
          <w:rFonts w:ascii="Times New Roman" w:hAnsi="Times New Roman" w:cs="Times New Roman"/>
          <w:i/>
          <w:iCs/>
          <w:sz w:val="26"/>
          <w:szCs w:val="26"/>
        </w:rPr>
        <w:t xml:space="preserve">(ver anexo 19 Oficio 151-PLA-MI-2019, </w:t>
      </w:r>
      <w:r w:rsidRPr="00AE1B2B">
        <w:rPr>
          <w:rFonts w:ascii="Times New Roman" w:hAnsi="Times New Roman" w:cs="Times New Roman"/>
          <w:i/>
          <w:iCs/>
          <w:sz w:val="26"/>
          <w:szCs w:val="26"/>
        </w:rPr>
        <w:lastRenderedPageBreak/>
        <w:t xml:space="preserve">relacionados a los acuerdos tomados en la reunión del 20 de noviembre del año 2019 realizada con el Equipo Gestor en Materia Agraria), </w:t>
      </w:r>
      <w:r w:rsidRPr="00AE1B2B">
        <w:rPr>
          <w:rFonts w:ascii="Times New Roman" w:hAnsi="Times New Roman" w:cs="Times New Roman"/>
          <w:sz w:val="26"/>
          <w:szCs w:val="26"/>
        </w:rPr>
        <w:t xml:space="preserve">equipo conformado por la Licda. Damaris Vargas, Dra. Vanessa Fisher y el Dr. Enrique Ulate, estos últimos integrados de acuerdo con la sesión de Corte Plena 39-2019 del 16 de septiembre artículo X, que literalmente indica: </w:t>
      </w:r>
    </w:p>
    <w:p w:rsidRPr="00AE1B2B" w:rsidR="009D3FB5" w:rsidP="00163B94" w:rsidRDefault="009D3FB5" w14:paraId="066A6F15" w14:textId="246CC453">
      <w:pPr>
        <w:pStyle w:val="Prrafodelista"/>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3. Aceptar la colaboración del juez del Tribunal Agrario Enrique Ulate Chacón, y la jueza del Juzgado Agrario del II Circuito Judicial de San José, Vanessa Fischer González, en la ejecución del Proyecto de Implementación de la Reforma Procesal Agraria, sin recursos adicionales, manteniendo sus funciones en los despachos a su cargo y conforme a la Metodología de la Administración por Proyectos aprobada por el Consejo Superior.</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La propuesta de integración se trasladará a la Comisión de la Jurisdicción Agraria y Agroambiental y a la Dirección de Planificación para lo de su cargo…”.</w:t>
      </w:r>
      <w:r w:rsidRPr="00AE1B2B" w:rsidR="00BB7720">
        <w:rPr>
          <w:rFonts w:ascii="Times New Roman" w:hAnsi="Times New Roman" w:cs="Times New Roman"/>
          <w:i/>
          <w:iCs/>
          <w:sz w:val="26"/>
          <w:szCs w:val="26"/>
        </w:rPr>
        <w:t xml:space="preserve"> </w:t>
      </w:r>
    </w:p>
    <w:p w:rsidRPr="00AE1B2B" w:rsidR="009D3FB5" w:rsidP="00163B94" w:rsidRDefault="009D3FB5" w14:paraId="3C342A3B" w14:textId="77777777">
      <w:pPr>
        <w:pStyle w:val="Prrafodelista"/>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oficio mencionado se pone en conocimiento a la Comisión de la Jurisdicción Civil y a la Comisión de la Jurisdicción Agraria el 5 de febrero del 2020, al cual únicamente se refiere con observaciones la Comisión de la Jurisdicción Civil mediante oficio 0006-CJC-2020 </w:t>
      </w:r>
      <w:r w:rsidRPr="00AE1B2B">
        <w:rPr>
          <w:rFonts w:ascii="Times New Roman" w:hAnsi="Times New Roman" w:cs="Times New Roman"/>
          <w:i/>
          <w:iCs/>
          <w:sz w:val="26"/>
          <w:szCs w:val="26"/>
        </w:rPr>
        <w:t>(ver anexo 20 Acuerdo de la Comisión de la Jurisdicción Civil – oficio 0006-CJC-2020)</w:t>
      </w:r>
      <w:r w:rsidRPr="00AE1B2B">
        <w:rPr>
          <w:rFonts w:ascii="Times New Roman" w:hAnsi="Times New Roman" w:cs="Times New Roman"/>
          <w:sz w:val="26"/>
          <w:szCs w:val="26"/>
        </w:rPr>
        <w:t xml:space="preserve"> remitido el 13 de febrero del 2020. Posterior se remite por parte de la Dirección de Planificación el oficio 471-PLA-MI-2020 </w:t>
      </w:r>
      <w:r w:rsidRPr="00AE1B2B">
        <w:rPr>
          <w:rFonts w:ascii="Times New Roman" w:hAnsi="Times New Roman" w:cs="Times New Roman"/>
          <w:i/>
          <w:iCs/>
          <w:sz w:val="26"/>
          <w:szCs w:val="26"/>
        </w:rPr>
        <w:t>(ver anexo 21 oficio 471-PLA-MI-2020)</w:t>
      </w:r>
      <w:r w:rsidRPr="00AE1B2B">
        <w:rPr>
          <w:rFonts w:ascii="Times New Roman" w:hAnsi="Times New Roman" w:cs="Times New Roman"/>
          <w:sz w:val="26"/>
          <w:szCs w:val="26"/>
        </w:rPr>
        <w:t xml:space="preserve"> relacionado con el oficio 0006-CJC-2020 de la Comisión de la Jurisdicción Civil donde plantean su disconformidad al informe 151-PLA-MI-2020, referente a los acuerdos tomados en la reunión del 20 de noviembre del año 2019 realizada con el Equipo Gestor en Materia Agraria, el cual se envía el 19 de marzo del 2020 para conocimiento a la Comisión de la Jurisdicción Agraria y el Consejo Superior. </w:t>
      </w:r>
    </w:p>
    <w:p w:rsidRPr="00AE1B2B" w:rsidR="009D3FB5" w:rsidP="00163B94" w:rsidRDefault="009D3FB5" w14:paraId="3844FCB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Lo indicado en dichos oficios, establece como limitante que, debido a que la Comisión de la Jurisdicción Civil no está de acuerdo con el planteamiento realizado por el Equipo Gestor de la materia Agraria y al no contar con elementos sistemáticos para determinar una cantidad específica de los procesos Sucesorios con bienes de naturaleza agrícola en materia Civil y los Cobratorios con garantías Agrarias, entre otros tipos de procesos, que formarán parte de los nuevos asuntos que ingresarán a los Juzgados Agrarios, y no disponer de claridad en los criterios jurídicos, que permitirán ajustar la herramienta a las necesidades reales, surge la limitante técnica de poder determinar el impacto a nivel de competencias materiales en la </w:t>
      </w:r>
      <w:r w:rsidRPr="00AE1B2B">
        <w:rPr>
          <w:rFonts w:ascii="Times New Roman" w:hAnsi="Times New Roman" w:cs="Times New Roman"/>
          <w:sz w:val="26"/>
          <w:szCs w:val="26"/>
        </w:rPr>
        <w:lastRenderedPageBreak/>
        <w:t xml:space="preserve">Jurisdicción Agraria; es decir, información mínima requerida para realizar las proyecciones de demanda en la jurisdicción Agraria producto de la entrada en vigencia del Código Agrario, esto con fines de la formulación presupuestaria para el 2021. </w:t>
      </w:r>
    </w:p>
    <w:p w:rsidRPr="00AE1B2B" w:rsidR="009D3FB5" w:rsidP="00163B94" w:rsidRDefault="009D3FB5" w14:paraId="499FC5C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Otra limitante que impacta a este informe a nivel de competencias territoriales es que los Juzgados Agrarios de Santa Cruz y Puntarenas, no se incorpora el dato del lugar de procedencia de los procesos en los sistemas informáticos, esto para fines de este análisis de competencia territorial según su carga de trabajo. Cabe indicar que la competencia territorial la determinará el lugar que se encuentra el inmueble en cuestión, tal como lo indica el artículo 21 del nuevo Código Procesal Agrario, que literalmente se menciona lo siguiente: </w:t>
      </w:r>
    </w:p>
    <w:p w:rsidRPr="00AE1B2B" w:rsidR="009D3FB5" w:rsidP="00163B94" w:rsidRDefault="009D3FB5" w14:paraId="11745B10"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“…Artículo 21- Criterios para determinar la competencia territorial</w:t>
      </w:r>
    </w:p>
    <w:p w:rsidRPr="00AE1B2B" w:rsidR="009D3FB5" w:rsidP="00163B94" w:rsidRDefault="009D3FB5" w14:paraId="37D62584" w14:textId="77777777">
      <w:pPr>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La competencia territorial se determinará por el lugar donde se localice el inmueble objeto de las pretensiones o de las cuestiones preliminares y, en su caso, donde se desarrolle la actividad o los hechos en litigio…”.</w:t>
      </w:r>
    </w:p>
    <w:p w:rsidRPr="00AE1B2B" w:rsidR="009D3FB5" w:rsidP="00163B94" w:rsidRDefault="009D3FB5" w14:paraId="2D6A155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Ante esta situación, la Dirección de Planificación envía al Consejo Superior el Informe 816-PLA-MI-2020, del 1 de junio del 2020, relacionado con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 De acuerdo con el acta 6556-2020, el informe fue conocido en sesión 64-2020 del Consejo Superior celebrada el 23 de junio del 2020, donde se acordó lo siguiente: </w:t>
      </w:r>
    </w:p>
    <w:p w:rsidRPr="00AE1B2B" w:rsidR="009D3FB5" w:rsidP="00163B94" w:rsidRDefault="009D3FB5" w14:paraId="59C1830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 1.) Tener por rendido el Informe N° 816-PLA-MI-2020 de la Dirección de Planificación, relacionado con “la imposibilidad de contar con un muestreo de los asuntos ingresados en despachos civiles, que puedan servir como insumo para proyectar de alguna manera los posibles asuntos que puedan ingresar a la jurisdicción agraria producto de la entrada en vigencia del nuevo Código Procesal Agrario.” 2.) Avalar las recomendaciones que fueron emitidas en este informe, por consiguiente se debe: a) Solicitar a la Sala Primera como líder de los temas civiles y agrarios, realicen en consenso entre los Equipos Gestores representantes de la Comisión de la Jurisdicción Agraria en conjunto con la Dirección de Tecnología de Información y el Equipo Gestor representante de la </w:t>
      </w:r>
      <w:r w:rsidRPr="00AE1B2B">
        <w:rPr>
          <w:rFonts w:ascii="Times New Roman" w:hAnsi="Times New Roman" w:cs="Times New Roman"/>
          <w:i/>
          <w:iCs/>
          <w:sz w:val="26"/>
          <w:szCs w:val="26"/>
        </w:rPr>
        <w:lastRenderedPageBreak/>
        <w:t>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b) Para el desarrollo de la mejora indicada se adjunta al presente informe la herramienta del apéndice 4, la cual deberá ser analizada en forma conjunta por parte de los Gestores Agrarios y Gestores Civiles, quienes deberán dar su visto bueno final, según el producto obtenido en la recomendación anterior. c) 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d) La Dirección de Tecnología dará prioridad en implementar la mejora informática una vez que se cuente con la misma. e) 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despachos agrarios partiendo de la implementación. 3.) Comuníquese el presente acuerdo a los Magistrados integrantes de la Sala Primera, a la Dirección de Tecnología de la Información, a los Equipos Gestores de la Comisión de la Jurisdicción Civil y a la Comisión de la Jurisdicción Agraria…”.</w:t>
      </w:r>
    </w:p>
    <w:p w:rsidRPr="00AE1B2B" w:rsidR="009D3FB5" w:rsidP="00163B94" w:rsidRDefault="009D3FB5" w14:paraId="6FCC3D8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oficio 816-PLA-MI-2020 </w:t>
      </w:r>
      <w:r w:rsidRPr="00AE1B2B">
        <w:rPr>
          <w:rFonts w:ascii="Times New Roman" w:hAnsi="Times New Roman" w:cs="Times New Roman"/>
          <w:i/>
          <w:iCs/>
          <w:sz w:val="26"/>
          <w:szCs w:val="26"/>
        </w:rPr>
        <w:t>(ver anexo 22)</w:t>
      </w:r>
      <w:r w:rsidRPr="00AE1B2B">
        <w:rPr>
          <w:rFonts w:ascii="Times New Roman" w:hAnsi="Times New Roman" w:cs="Times New Roman"/>
          <w:sz w:val="26"/>
          <w:szCs w:val="26"/>
        </w:rPr>
        <w:t>, se pone en conocimiento al Consejo Superior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 Además, se pone de manifiesto la necesidad de que la Dirección de Tecnología de la Información de prioridad en implementar la mejora informática.</w:t>
      </w:r>
    </w:p>
    <w:p w:rsidRPr="00AE1B2B" w:rsidR="009D3FB5" w:rsidP="00163B94" w:rsidRDefault="009D3FB5" w14:paraId="0961D87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Posterior, la Dirección de Planificación en atención al oficio 6556-20, el acuerdo tomado por el Consejo Superior en sesión celebrada el 23 de junio de 2020, artículo LI, el 26 de enero del 2021 </w:t>
      </w:r>
      <w:r w:rsidRPr="00AE1B2B">
        <w:rPr>
          <w:rFonts w:ascii="Times New Roman" w:hAnsi="Times New Roman" w:cs="Times New Roman"/>
          <w:sz w:val="26"/>
          <w:szCs w:val="26"/>
        </w:rPr>
        <w:lastRenderedPageBreak/>
        <w:t xml:space="preserve">remite el informe 104-PLA-ES-MI-2021 </w:t>
      </w:r>
      <w:r w:rsidRPr="00AE1B2B">
        <w:rPr>
          <w:rFonts w:ascii="Times New Roman" w:hAnsi="Times New Roman" w:cs="Times New Roman"/>
          <w:i/>
          <w:iCs/>
          <w:sz w:val="26"/>
          <w:szCs w:val="26"/>
        </w:rPr>
        <w:t>(ver anexo 23)</w:t>
      </w:r>
      <w:r w:rsidRPr="00AE1B2B">
        <w:rPr>
          <w:rFonts w:ascii="Times New Roman" w:hAnsi="Times New Roman" w:cs="Times New Roman"/>
          <w:sz w:val="26"/>
          <w:szCs w:val="26"/>
        </w:rPr>
        <w:t xml:space="preserve"> suscrito por La Licda. Ana Ericka Rodríguez Araya, Jefa del Subproceso de Estadística e Ing. Jorge Fernando Rodríguez Salazar, Jefe a.i. de Subproceso de Modernización Institucional, relacionado con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w:t>
      </w:r>
    </w:p>
    <w:p w:rsidRPr="00AE1B2B" w:rsidR="009D3FB5" w:rsidP="00163B94" w:rsidRDefault="009D3FB5" w14:paraId="09B9EE2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Mediante el oficio 7484-2020 de la Secretaría General de la Corte, del 12 de agosto del 2020, artículo XLI, se conoció el oficio 1444-DTI-2020 de 29 de julio de 2020, donde establece que de acuerdo con el oficio 1434-DTI-2020 suscrito por la Máster Vivian Rímola Soto, Jefe a.i. Subproceso Sistemas Jurisdiccionales, señala textualmente:</w:t>
      </w:r>
    </w:p>
    <w:p w:rsidRPr="00AE1B2B" w:rsidR="009D3FB5" w:rsidP="00163B94" w:rsidRDefault="009D3FB5" w14:paraId="3CF11180"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“…Se informa que la mejora solicitada, por las cargas de trabajo y proyectos a cargo no es posible atender este año, pero se procederá a incluir dentro de la lista de mejoras para desarrollar en el nuevo sistema de gestión para materia civil y agrario, para ser analizada durante el año 2021.</w:t>
      </w:r>
    </w:p>
    <w:p w:rsidRPr="00AE1B2B" w:rsidR="009D3FB5" w:rsidP="00163B94" w:rsidRDefault="009D3FB5" w14:paraId="0739271B"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Luego de desarrollar la mejora, se podrán analizar y confeccionar posibles reportes o indicadores por la Unidad de Inteligencia de Negocios…”.</w:t>
      </w:r>
    </w:p>
    <w:p w:rsidRPr="00AE1B2B" w:rsidR="009D3FB5" w:rsidP="00163B94" w:rsidRDefault="009D3FB5" w14:paraId="369DF4DA" w14:textId="77777777">
      <w:pPr>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64C711F4"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Además, se acuerda:</w:t>
      </w:r>
    </w:p>
    <w:p w:rsidRPr="00AE1B2B" w:rsidR="009D3FB5" w:rsidP="00163B94" w:rsidRDefault="009D3FB5" w14:paraId="4408B7C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1.) Tener por rendido el oficio N° 1444-DTI-2020 de 29 de julio de 2020 de la licenciada Kattia Morales Navarro, Directora de Tecnología de Información, en el que trasladó el oficio 1434-DTI-2020, suscrito por la máster Vivian Rímola Soto, Jefa interina del Subproceso de Sistemas Jurisdiccionales. 2.) Tomar nota que la implementación de la mejora requerida se incluirá dentro de la lista de mejoras para desarrollar en el nuevo sistema de gestión para materia civil y agrario, para ser analizada durante el año 2021.</w:t>
      </w:r>
    </w:p>
    <w:p w:rsidRPr="00AE1B2B" w:rsidR="009D3FB5" w:rsidP="00163B94" w:rsidRDefault="009D3FB5" w14:paraId="1D7F039E"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b/>
      </w:r>
      <w:r w:rsidRPr="00AE1B2B">
        <w:rPr>
          <w:rFonts w:ascii="Times New Roman" w:hAnsi="Times New Roman" w:cs="Times New Roman"/>
          <w:i/>
          <w:iCs/>
          <w:sz w:val="26"/>
          <w:szCs w:val="26"/>
        </w:rPr>
        <w:t>La Dirección de Planificación y la Dirección de Tecnología de la Información, tomarán nota para lo que corresponda…”.</w:t>
      </w:r>
    </w:p>
    <w:p w:rsidRPr="00AE1B2B" w:rsidR="009D3FB5" w:rsidP="00163B94" w:rsidRDefault="009D3FB5" w14:paraId="2CBA925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C8C506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Por lo anterior, al no contar con la mejora a nivel de los sistemas para determinar los solicitado, no se podrá realizar el </w:t>
      </w:r>
      <w:r w:rsidRPr="00AE1B2B">
        <w:rPr>
          <w:rFonts w:ascii="Times New Roman" w:hAnsi="Times New Roman" w:cs="Times New Roman"/>
          <w:sz w:val="26"/>
          <w:szCs w:val="26"/>
        </w:rPr>
        <w:lastRenderedPageBreak/>
        <w:t xml:space="preserve">muestreo para definir una posible proyección de carga de trabajo en los Juzgados Agrarios. </w:t>
      </w:r>
    </w:p>
    <w:p w:rsidRPr="00AE1B2B" w:rsidR="009D3FB5" w:rsidP="00163B94" w:rsidRDefault="009D3FB5" w14:paraId="7DF50F2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Por otro lado, la gestoría del Proyecto de implementación del Proyecto del Código procesal Agrario, en su informe de Avance del Proyecto del 18 de diciembre del 2020 </w:t>
      </w:r>
      <w:r w:rsidRPr="00AE1B2B">
        <w:rPr>
          <w:rFonts w:ascii="Times New Roman" w:hAnsi="Times New Roman" w:cs="Times New Roman"/>
          <w:i/>
          <w:iCs/>
          <w:sz w:val="26"/>
          <w:szCs w:val="26"/>
        </w:rPr>
        <w:t xml:space="preserve">(ver anexo 29 Informe de Avance del Proyecto del 18 de diciembre del 2020, Comisión Agraria), </w:t>
      </w:r>
      <w:r w:rsidRPr="00AE1B2B">
        <w:rPr>
          <w:rFonts w:ascii="Times New Roman" w:hAnsi="Times New Roman" w:cs="Times New Roman"/>
          <w:sz w:val="26"/>
          <w:szCs w:val="26"/>
        </w:rPr>
        <w:t xml:space="preserve">mencionan entre otros puntos: </w:t>
      </w:r>
    </w:p>
    <w:p w:rsidRPr="00AE1B2B" w:rsidR="009D3FB5" w:rsidP="00163B94" w:rsidRDefault="009D3FB5" w14:paraId="3D532A8D" w14:textId="77777777">
      <w:pPr>
        <w:pStyle w:val="Prrafodelista"/>
        <w:numPr>
          <w:ilvl w:val="0"/>
          <w:numId w:val="120"/>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El proyecto se está ejecutando con recursos ordinarios de la Institución, por lo que las oficinas administrativas colaboradoras, no tienen equipo especializado que se dedique a su ejecución, esto hace que las acciones que realizan sean un recargo en sus funciones.</w:t>
      </w:r>
    </w:p>
    <w:p w:rsidRPr="00AE1B2B" w:rsidR="009D3FB5" w:rsidP="00163B94" w:rsidRDefault="009D3FB5" w14:paraId="3A9445E7" w14:textId="77777777">
      <w:pPr>
        <w:pStyle w:val="Prrafodelista"/>
        <w:numPr>
          <w:ilvl w:val="0"/>
          <w:numId w:val="120"/>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Los problemas presupuestarios de la Institución, así como la falta de recurso humano hacen que no se puedan priorizar las tareas del proyecto o bien, se desarrolle con la rapidez y forma esperada.</w:t>
      </w:r>
    </w:p>
    <w:p w:rsidRPr="00AE1B2B" w:rsidR="009D3FB5" w:rsidP="00163B94" w:rsidRDefault="009D3FB5" w14:paraId="654A9139" w14:textId="77777777">
      <w:pPr>
        <w:pStyle w:val="Prrafodelista"/>
        <w:numPr>
          <w:ilvl w:val="0"/>
          <w:numId w:val="120"/>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El proyecto estuvo sin persona Coordinadora a su cargo por más de ocho meses, lo cual fue clave en su retraso, pues durante todo ese período no se pudo trabajar ni avanzar en la forma requerida, ya se ha podido nivelar en gran forma la labor de la Coordinadora a partir del momento que asumió el cargo.</w:t>
      </w:r>
    </w:p>
    <w:p w:rsidRPr="00AE1B2B" w:rsidR="009D3FB5" w:rsidP="00163B94" w:rsidRDefault="009D3FB5" w14:paraId="78B21D88" w14:textId="77777777">
      <w:pPr>
        <w:pStyle w:val="Prrafodelista"/>
        <w:numPr>
          <w:ilvl w:val="0"/>
          <w:numId w:val="120"/>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Se ha requerido de una inversión de tiempo en aprendizaje y capacitación para poder ejecutar las labores propias de una coordinación en la forma que corresponde.</w:t>
      </w:r>
    </w:p>
    <w:p w:rsidRPr="00AE1B2B" w:rsidR="009D3FB5" w:rsidP="00163B94" w:rsidRDefault="009D3FB5" w14:paraId="6423E4D6" w14:textId="77777777">
      <w:pPr>
        <w:spacing w:before="120" w:after="120"/>
        <w:ind w:left="851" w:right="851" w:firstLine="709"/>
        <w:jc w:val="both"/>
        <w:rPr>
          <w:rFonts w:ascii="Times New Roman" w:hAnsi="Times New Roman" w:cs="Times New Roman"/>
          <w:sz w:val="26"/>
          <w:szCs w:val="26"/>
        </w:rPr>
      </w:pPr>
      <w:bookmarkStart w:name="_Toc68688571" w:id="292"/>
      <w:r w:rsidRPr="00AE1B2B">
        <w:rPr>
          <w:rFonts w:ascii="Times New Roman" w:hAnsi="Times New Roman" w:cs="Times New Roman"/>
          <w:sz w:val="26"/>
          <w:szCs w:val="26"/>
        </w:rPr>
        <w:t>Planes de Trabajo Realizados</w:t>
      </w:r>
      <w:bookmarkEnd w:id="292"/>
    </w:p>
    <w:p w:rsidRPr="00AE1B2B" w:rsidR="009D3FB5" w:rsidP="00163B94" w:rsidRDefault="009D3FB5" w14:paraId="500EDE73"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A continuación, se presentan los planes de trabajo ejecutados tanto en los Juzgados Agrarios y Tribunal Agrario en el año 2020. </w:t>
      </w:r>
    </w:p>
    <w:p w:rsidRPr="00AE1B2B" w:rsidR="009D3FB5" w:rsidP="00163B94" w:rsidRDefault="009D3FB5" w14:paraId="6578D384" w14:textId="77777777">
      <w:pPr>
        <w:spacing w:before="120" w:after="120"/>
        <w:ind w:left="851" w:right="851" w:firstLine="709"/>
        <w:jc w:val="both"/>
        <w:rPr>
          <w:rFonts w:ascii="Times New Roman" w:hAnsi="Times New Roman" w:cs="Times New Roman"/>
          <w:sz w:val="26"/>
          <w:szCs w:val="26"/>
        </w:rPr>
      </w:pPr>
      <w:bookmarkStart w:name="_Toc68688572" w:id="293"/>
      <w:r w:rsidRPr="00AE1B2B">
        <w:rPr>
          <w:rFonts w:ascii="Times New Roman" w:hAnsi="Times New Roman" w:cs="Times New Roman"/>
          <w:sz w:val="26"/>
          <w:szCs w:val="26"/>
        </w:rPr>
        <w:t>Planes de Trabajos para el Descongestionamiento en los Juzgados Agrarios</w:t>
      </w:r>
      <w:bookmarkEnd w:id="293"/>
      <w:r w:rsidRPr="00AE1B2B">
        <w:rPr>
          <w:rFonts w:ascii="Times New Roman" w:hAnsi="Times New Roman" w:cs="Times New Roman"/>
          <w:sz w:val="26"/>
          <w:szCs w:val="26"/>
        </w:rPr>
        <w:t xml:space="preserve"> </w:t>
      </w:r>
    </w:p>
    <w:p w:rsidRPr="00AE1B2B" w:rsidR="009D3FB5" w:rsidP="00163B94" w:rsidRDefault="009D3FB5" w14:paraId="675764D0"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En sesión del Consejo Superior 20-2020, celebrada el 12 de marzo del 2020, artículo LV, se acordó la aprobación del plan de trabajo para el descongestionamiento en la materia Agraria y dos (2) permisos con goce de salario</w:t>
      </w:r>
      <w:r w:rsidRPr="00AE1B2B">
        <w:rPr>
          <w:rFonts w:ascii="Times New Roman" w:hAnsi="Times New Roman" w:cs="Times New Roman"/>
          <w:sz w:val="26"/>
          <w:szCs w:val="26"/>
        </w:rPr>
        <w:t xml:space="preserve"> </w:t>
      </w:r>
      <w:r w:rsidRPr="00AE1B2B">
        <w:rPr>
          <w:rFonts w:ascii="Times New Roman" w:hAnsi="Times New Roman" w:cs="Times New Roman"/>
          <w:sz w:val="26"/>
          <w:szCs w:val="26"/>
          <w:lang w:val="es-MX"/>
        </w:rPr>
        <w:t>conforme al artículo 44 de la Ley Orgánica del Poder Judicial, un (1) recurso para atención del trámite y fallo de los procesos de Informaciones Posesorias en el Juzgado Agrario del Segundo Circuito Judicial de Guanacaste (Santa Cruz) y otro para atención del pendiente de fallo de los Juzgados Agrarios de Pococí y Puntarenas.</w:t>
      </w:r>
    </w:p>
    <w:p w:rsidRPr="00AE1B2B" w:rsidR="009D3FB5" w:rsidP="00163B94" w:rsidRDefault="009D3FB5" w14:paraId="1EC3750D"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A inicios del año 2020, no se contaba aún con un plan de trabajo, por lo que el Centro de Apoyo Coordinación y Mejoramiento </w:t>
      </w:r>
      <w:r w:rsidRPr="00AE1B2B">
        <w:rPr>
          <w:rFonts w:ascii="Times New Roman" w:hAnsi="Times New Roman" w:cs="Times New Roman"/>
          <w:sz w:val="26"/>
          <w:szCs w:val="26"/>
          <w:lang w:val="es-MX"/>
        </w:rPr>
        <w:lastRenderedPageBreak/>
        <w:t xml:space="preserve">de la Función Jurisdiccional decidió dar continuidad al plan de trabajo del 2019, aprobado en sesión del Consejo Superior 61-19 celebrada el 09 de julio del 2019, artículo XIX. </w:t>
      </w:r>
    </w:p>
    <w:p w:rsidRPr="00AE1B2B" w:rsidR="009D3FB5" w:rsidP="00163B94" w:rsidRDefault="009D3FB5" w14:paraId="4B6E465E"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De acuerdo con los resultados obtenidos del seguimiento, la licenciada Maricruz Chacón Cubillo, Directora del Centro de Apoyo Coordinación y Mejoramiento de la Función Jurisdiccional emite el oficio 294-CACMFJ-JEF-2020, 13 de agosto de 2020, el cual fue conocido por el Consejo Superior en sesión 82-2020 celebrada el 20 de agosto de 2020 </w:t>
      </w:r>
      <w:r w:rsidRPr="00AE1B2B">
        <w:rPr>
          <w:rFonts w:ascii="Times New Roman" w:hAnsi="Times New Roman" w:cs="Times New Roman"/>
          <w:i/>
          <w:iCs/>
          <w:sz w:val="26"/>
          <w:szCs w:val="26"/>
          <w:lang w:val="es-MX"/>
        </w:rPr>
        <w:t>(ver anexo 24).</w:t>
      </w:r>
      <w:r w:rsidRPr="00AE1B2B">
        <w:rPr>
          <w:rFonts w:ascii="Times New Roman" w:hAnsi="Times New Roman" w:cs="Times New Roman"/>
          <w:sz w:val="26"/>
          <w:szCs w:val="26"/>
          <w:lang w:val="es-MX"/>
        </w:rPr>
        <w:t xml:space="preserve"> Como resultados se obtuvo: </w:t>
      </w:r>
    </w:p>
    <w:p w:rsidRPr="00AE1B2B" w:rsidR="009D3FB5" w:rsidP="00163B94" w:rsidRDefault="009D3FB5" w14:paraId="608E6B66"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“…4.1</w:t>
      </w:r>
      <w:r w:rsidRPr="00AE1B2B">
        <w:rPr>
          <w:rFonts w:ascii="Times New Roman" w:hAnsi="Times New Roman" w:cs="Times New Roman"/>
          <w:i/>
          <w:iCs/>
          <w:sz w:val="26"/>
          <w:szCs w:val="26"/>
          <w:lang w:val="es-MX"/>
        </w:rPr>
        <w:tab/>
      </w:r>
      <w:r w:rsidRPr="00AE1B2B">
        <w:rPr>
          <w:rFonts w:ascii="Times New Roman" w:hAnsi="Times New Roman" w:cs="Times New Roman"/>
          <w:i/>
          <w:iCs/>
          <w:sz w:val="26"/>
          <w:szCs w:val="26"/>
          <w:lang w:val="es-MX"/>
        </w:rPr>
        <w:t>Cantidad de sentencias dictadas y porcentaje de efectividad obtenido por los Juzgados Agrarios producto de los permisos con goce de salario</w:t>
      </w:r>
    </w:p>
    <w:p w:rsidRPr="00AE1B2B" w:rsidR="009D3FB5" w:rsidP="00163B94" w:rsidRDefault="009D3FB5" w14:paraId="52BB0D6F"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En el siguiente cuadro se presenta de manera mensual, información relacionada con las cuotas de producción y el porcentaje de efectividad mensual y acumulado de enero a junio de 2020, de acuerdo con el periodo de vigencia de cada permiso con goce de salario, con base en los informes de labores rendidos por las personas juzgadoras que asumieron los permisos con goce de salario.</w:t>
      </w:r>
    </w:p>
    <w:p w:rsidRPr="00AE1B2B" w:rsidR="009D3FB5" w:rsidP="00163B94" w:rsidRDefault="009D3FB5" w14:paraId="6CFF2BF2" w14:textId="51AF205B">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En el Anexo 1, se encuentran los motivos por los cuales se ajustaron las cuotas del cuadro 1.</w:t>
      </w:r>
      <w:r w:rsidRPr="00AE1B2B" w:rsidR="00BB7720">
        <w:rPr>
          <w:rFonts w:ascii="Times New Roman" w:hAnsi="Times New Roman" w:cs="Times New Roman"/>
          <w:i/>
          <w:iCs/>
          <w:sz w:val="26"/>
          <w:szCs w:val="26"/>
          <w:lang w:val="es-MX"/>
        </w:rPr>
        <w:t xml:space="preserve"> </w:t>
      </w:r>
    </w:p>
    <w:p w:rsidRPr="00AE1B2B" w:rsidR="009D3FB5" w:rsidP="00163B94" w:rsidRDefault="009D3FB5" w14:paraId="1445CDD7"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Cuadro 1</w:t>
      </w:r>
    </w:p>
    <w:p w:rsidRPr="00AE1B2B" w:rsidR="009D3FB5" w:rsidP="00163B94" w:rsidRDefault="009D3FB5" w14:paraId="54F66C5F" w14:textId="77777777">
      <w:pPr>
        <w:spacing w:before="120" w:after="120"/>
        <w:ind w:left="-851" w:right="191"/>
        <w:rPr>
          <w:rFonts w:ascii="Times New Roman" w:hAnsi="Times New Roman" w:cs="Times New Roman"/>
          <w:i/>
          <w:iCs/>
          <w:lang w:val="es-MX"/>
        </w:rPr>
      </w:pPr>
      <w:r w:rsidRPr="00AE1B2B">
        <w:rPr>
          <w:rFonts w:ascii="Times New Roman" w:hAnsi="Times New Roman" w:cs="Times New Roman"/>
          <w:b/>
          <w:bCs/>
          <w:i/>
          <w:iCs/>
          <w:noProof/>
          <w:lang w:val="en-US"/>
        </w:rPr>
        <w:lastRenderedPageBreak/>
        <w:drawing>
          <wp:inline distT="0" distB="0" distL="0" distR="0" wp14:anchorId="636E496A" wp14:editId="19035249">
            <wp:extent cx="6458009" cy="3634740"/>
            <wp:effectExtent l="0" t="0" r="0" b="3810"/>
            <wp:docPr id="1212768304" name="Imagen 121276830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304" name="Imagen 1212768304" descr="Tabla&#10;&#10;Descripción generada automáticamente"/>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6467026" cy="3639815"/>
                    </a:xfrm>
                    <a:prstGeom prst="rect">
                      <a:avLst/>
                    </a:prstGeom>
                  </pic:spPr>
                </pic:pic>
              </a:graphicData>
            </a:graphic>
          </wp:inline>
        </w:drawing>
      </w:r>
    </w:p>
    <w:p w:rsidRPr="00AE1B2B" w:rsidR="009D3FB5" w:rsidP="00163B94" w:rsidRDefault="009D3FB5" w14:paraId="0CA86C5B" w14:textId="77777777">
      <w:pPr>
        <w:spacing w:before="120" w:after="120"/>
        <w:ind w:left="426" w:right="191"/>
        <w:rPr>
          <w:rFonts w:ascii="Times New Roman" w:hAnsi="Times New Roman" w:cs="Times New Roman"/>
          <w:i/>
          <w:iCs/>
          <w:lang w:val="es-MX"/>
        </w:rPr>
      </w:pPr>
    </w:p>
    <w:p w:rsidRPr="00AE1B2B" w:rsidR="009D3FB5" w:rsidP="00163B94" w:rsidRDefault="009D3FB5" w14:paraId="34518B7E"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Análisis del Porcentaje de Efectividad </w:t>
      </w:r>
    </w:p>
    <w:p w:rsidRPr="00AE1B2B" w:rsidR="009D3FB5" w:rsidP="00163B94" w:rsidRDefault="009D3FB5" w14:paraId="37612F99"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Como se desprende de la imagen anterior, el Juzgado Agrario de Santa Cruz de enero a junio de 2020, obtuvo un 87% de efectividad; el Juzgado Agrario de Puntarenas de finales de enero a inicios de abril un 90% y el Juzgado Agrario de Pococí de abril a junio un 104%; notándose una baja en el mes de abril para los juzgados agrarios de Santa Cruz y Puntarenas y, en mayo para Santa Cruz y Pococí, como consecuencia de las disposiciones institucionales tomadas ante la Emergencia Nacional por Covid-19, como se evidenciará seguidamente.</w:t>
      </w:r>
    </w:p>
    <w:p w:rsidRPr="00AE1B2B" w:rsidR="009D3FB5" w:rsidP="00163B94" w:rsidRDefault="009D3FB5" w14:paraId="266BDDB8" w14:textId="77777777">
      <w:pPr>
        <w:spacing w:before="120" w:after="120"/>
        <w:ind w:left="851" w:right="851" w:firstLine="709"/>
        <w:jc w:val="both"/>
        <w:rPr>
          <w:rFonts w:ascii="Times New Roman" w:hAnsi="Times New Roman" w:cs="Times New Roman"/>
          <w:i/>
          <w:iCs/>
          <w:sz w:val="26"/>
          <w:szCs w:val="26"/>
          <w:lang w:val="es-MX"/>
        </w:rPr>
      </w:pPr>
    </w:p>
    <w:p w:rsidRPr="00AE1B2B" w:rsidR="009D3FB5" w:rsidP="00163B94" w:rsidRDefault="009D3FB5" w14:paraId="1325AD38" w14:textId="77777777">
      <w:pPr>
        <w:spacing w:before="120" w:after="120"/>
        <w:ind w:left="851" w:right="851" w:firstLine="709"/>
        <w:jc w:val="both"/>
        <w:rPr>
          <w:rFonts w:ascii="Times New Roman" w:hAnsi="Times New Roman" w:cs="Times New Roman"/>
          <w:b/>
          <w:bCs/>
          <w:i/>
          <w:iCs/>
          <w:sz w:val="26"/>
          <w:szCs w:val="26"/>
          <w:lang w:val="es-MX"/>
        </w:rPr>
      </w:pPr>
      <w:r w:rsidRPr="00AE1B2B">
        <w:rPr>
          <w:rFonts w:ascii="Times New Roman" w:hAnsi="Times New Roman" w:cs="Times New Roman"/>
          <w:b/>
          <w:bCs/>
          <w:i/>
          <w:iCs/>
          <w:sz w:val="26"/>
          <w:szCs w:val="26"/>
          <w:lang w:val="es-MX"/>
        </w:rPr>
        <w:t>Juzgado Agrario de Santa Cruz</w:t>
      </w:r>
    </w:p>
    <w:p w:rsidRPr="00AE1B2B" w:rsidR="009D3FB5" w:rsidP="00163B94" w:rsidRDefault="009D3FB5" w14:paraId="2772FADD"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El Juzgado Agrario de Santa Cruz en los tres primeros meses del año mostró porcentajes superiores al 98%. En los meses de abril y mayo, redujo de forma considerable el porcentaje de efectividad, al registrar porcentajes del 61% y 52%, respectivamente. Finalmente, en el mes de junio subió la efectividad al 85%. </w:t>
      </w:r>
    </w:p>
    <w:p w:rsidRPr="00AE1B2B" w:rsidR="009D3FB5" w:rsidP="00163B94" w:rsidRDefault="009D3FB5" w14:paraId="010EA8A3"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Sobre los porcentajes reflejados en los meses de abril y mayo, la persona juzgadora que asumió el permiso con goce de salario, </w:t>
      </w:r>
      <w:r w:rsidRPr="00AE1B2B">
        <w:rPr>
          <w:rFonts w:ascii="Times New Roman" w:hAnsi="Times New Roman" w:cs="Times New Roman"/>
          <w:i/>
          <w:iCs/>
          <w:sz w:val="26"/>
          <w:szCs w:val="26"/>
          <w:lang w:val="es-MX"/>
        </w:rPr>
        <w:lastRenderedPageBreak/>
        <w:t>licenciado José Joaquín Piñar Ballestero, mediante correo electrónico de fecha 11 de mayo indicó:</w:t>
      </w:r>
    </w:p>
    <w:p w:rsidRPr="00AE1B2B" w:rsidR="009D3FB5" w:rsidP="00163B94" w:rsidRDefault="009D3FB5" w14:paraId="2A68191B"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Esa baja producción en los primeros días del mes de abril, el suscrito la atribuye a que el despacho se encontraba cerrado y todo el personal estaba en vacaciones, por lo cual no había nadie que me pasara asuntos para el fallo, el personal auxiliar se reincorporó a sus labores- 3 de 5, hasta después de semana Santa, a instancias del suscrito…</w:t>
      </w:r>
    </w:p>
    <w:p w:rsidRPr="00AE1B2B" w:rsidR="009D3FB5" w:rsidP="00163B94" w:rsidRDefault="009D3FB5" w14:paraId="7697FADF"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Asimismo, mediante correo electrónico de 2 de junio señaló: </w:t>
      </w:r>
    </w:p>
    <w:p w:rsidRPr="00AE1B2B" w:rsidR="009D3FB5" w:rsidP="00163B94" w:rsidRDefault="009D3FB5" w14:paraId="3F802F17"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La poca cantidad de sentencias del mes de mayo las atribuyo a que los compañeros (as) técnicos, no se encuentran todos trabajando de manera presencial, pues una semana asisten un grupo de tres, por ejemplo, lunes, miércoles y viernes, y los dos restantes, el martes y jueves; y la siguiente semana, se cambian, es decir los que vinieron lunes, miércoles y viernes, llegan martes y jueves y los otros, lunes, miércoles y viernes. Lo anterior provoca que uno no pueda darles continuidad a los asuntos en el sentido de que, a pesar, que el suscrito, está continuamente recordándoles que por favor revisen y pasen a fallo, ese hilo conductor se pierde con la no asistencia diaria de los compañeros (as).</w:t>
      </w:r>
    </w:p>
    <w:p w:rsidRPr="00AE1B2B" w:rsidR="009D3FB5" w:rsidP="00163B94" w:rsidRDefault="009D3FB5" w14:paraId="339B6125"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Aunado a lo anterior, es necesario indicar que esta persona juzgadora además de fallo de expedientes, conforme a las funciones asignadas en el plan de trabajo, realiza el trámite de todas las informaciones posesorias del despacho, siendo que, de enero a mayo, según lo reportado en los informes semanales de labores, realizó un total de 93 audiencias y además firmó un total de 1159 expedientes de enero a junio de 2020, para un desglose mensual de 205 en enero, 266 en febrero, 177 en marzo, 55 en abril, 199 en mayo y 257 en el mes de junio.</w:t>
      </w:r>
    </w:p>
    <w:p w:rsidRPr="00AE1B2B" w:rsidR="009D3FB5" w:rsidP="00163B94" w:rsidRDefault="009D3FB5" w14:paraId="6AEA8F79" w14:textId="77777777">
      <w:pPr>
        <w:spacing w:before="120" w:after="120"/>
        <w:ind w:left="851" w:right="851" w:firstLine="709"/>
        <w:jc w:val="both"/>
        <w:rPr>
          <w:rFonts w:ascii="Times New Roman" w:hAnsi="Times New Roman" w:cs="Times New Roman"/>
          <w:b/>
          <w:bCs/>
          <w:i/>
          <w:iCs/>
          <w:sz w:val="26"/>
          <w:szCs w:val="26"/>
          <w:lang w:val="es-MX"/>
        </w:rPr>
      </w:pPr>
    </w:p>
    <w:p w:rsidRPr="00AE1B2B" w:rsidR="009D3FB5" w:rsidP="00163B94" w:rsidRDefault="009D3FB5" w14:paraId="438EF64A" w14:textId="77777777">
      <w:pPr>
        <w:spacing w:before="120" w:after="120"/>
        <w:ind w:left="851" w:right="851" w:firstLine="709"/>
        <w:jc w:val="both"/>
        <w:rPr>
          <w:rFonts w:ascii="Times New Roman" w:hAnsi="Times New Roman" w:cs="Times New Roman"/>
          <w:b/>
          <w:bCs/>
          <w:i/>
          <w:iCs/>
          <w:sz w:val="26"/>
          <w:szCs w:val="26"/>
          <w:lang w:val="es-MX"/>
        </w:rPr>
      </w:pPr>
      <w:r w:rsidRPr="00AE1B2B">
        <w:rPr>
          <w:rFonts w:ascii="Times New Roman" w:hAnsi="Times New Roman" w:cs="Times New Roman"/>
          <w:b/>
          <w:bCs/>
          <w:i/>
          <w:iCs/>
          <w:sz w:val="26"/>
          <w:szCs w:val="26"/>
          <w:lang w:val="es-MX"/>
        </w:rPr>
        <w:t>Juzgado Agrario de Puntarenas</w:t>
      </w:r>
    </w:p>
    <w:p w:rsidRPr="00AE1B2B" w:rsidR="009D3FB5" w:rsidP="00163B94" w:rsidRDefault="009D3FB5" w14:paraId="5E8B4CEC"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Este juzgado, similar al Juzgado Agrario Santa Cruz, en los tres primeros meses del año obtuvo porcentajes superiores al 85%; sin embargo, en abril, mes en que finalizó el permiso, disminuyó a un 61% la efectividad. Como se tiene conocimiento, además de la afectación que se dio en ese mes por las disposiciones institucionales con motivo de la pandemia Covid-19, según se desprende del informe de labores semanal rendido por la licenciada Erika Amador Brenes, otra causal de la disminución fue que se resolvió un expediente complejo.</w:t>
      </w:r>
    </w:p>
    <w:p w:rsidRPr="00AE1B2B" w:rsidR="009D3FB5" w:rsidP="00163B94" w:rsidRDefault="009D3FB5" w14:paraId="2112E3FC" w14:textId="77777777">
      <w:pPr>
        <w:spacing w:before="120" w:after="120"/>
        <w:ind w:left="851" w:right="851" w:firstLine="709"/>
        <w:jc w:val="both"/>
        <w:rPr>
          <w:rFonts w:ascii="Times New Roman" w:hAnsi="Times New Roman" w:cs="Times New Roman"/>
          <w:b/>
          <w:bCs/>
          <w:i/>
          <w:iCs/>
          <w:sz w:val="26"/>
          <w:szCs w:val="26"/>
          <w:lang w:val="es-MX"/>
        </w:rPr>
      </w:pPr>
    </w:p>
    <w:p w:rsidRPr="00AE1B2B" w:rsidR="009D3FB5" w:rsidP="00163B94" w:rsidRDefault="009D3FB5" w14:paraId="6CC103C0" w14:textId="77777777">
      <w:pPr>
        <w:spacing w:before="120" w:after="120"/>
        <w:ind w:left="851" w:right="851" w:firstLine="709"/>
        <w:jc w:val="both"/>
        <w:rPr>
          <w:rFonts w:ascii="Times New Roman" w:hAnsi="Times New Roman" w:cs="Times New Roman"/>
          <w:b/>
          <w:bCs/>
          <w:i/>
          <w:iCs/>
          <w:sz w:val="26"/>
          <w:szCs w:val="26"/>
          <w:lang w:val="es-MX"/>
        </w:rPr>
      </w:pPr>
      <w:r w:rsidRPr="00AE1B2B">
        <w:rPr>
          <w:rFonts w:ascii="Times New Roman" w:hAnsi="Times New Roman" w:cs="Times New Roman"/>
          <w:b/>
          <w:bCs/>
          <w:i/>
          <w:iCs/>
          <w:sz w:val="26"/>
          <w:szCs w:val="26"/>
          <w:lang w:val="es-MX"/>
        </w:rPr>
        <w:t>Juzgado Agrario de Pococí</w:t>
      </w:r>
    </w:p>
    <w:p w:rsidRPr="00AE1B2B" w:rsidR="009D3FB5" w:rsidP="00163B94" w:rsidRDefault="009D3FB5" w14:paraId="43B9C859"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En los meses de abril, mayo y junio de 2020, el porcentaje de efectividad fue del 118%, 83% y 117%, respectivamente. Considerando la disminución que ocurrió en mayo, el licenciado Ronald Rodríguez Cubillo, mediante correo electrónico de 02 de junio del año en curso, indicó lo siguiente:</w:t>
      </w:r>
    </w:p>
    <w:p w:rsidRPr="00AE1B2B" w:rsidR="009D3FB5" w:rsidP="00163B94" w:rsidRDefault="009D3FB5" w14:paraId="4947D1E0"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Autos o Auto-Sentencias incluidos en el Informe.</w:t>
      </w:r>
    </w:p>
    <w:p w:rsidRPr="00AE1B2B" w:rsidR="009D3FB5" w:rsidP="00163B94" w:rsidRDefault="009D3FB5" w14:paraId="634B6C85"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Me parece importante aclarar que, como parte del descongestionamiento del Despacho, nos hemos dado a la tarea de incluir dentro de las listas de expedientes a resolver por mi persona, asuntos interlocutorios como Autos o Auto sentencias dentro de los que se incluyen: 1- Medidas Cautelares 2- Liquidaciones de intereses 3- Demandas Improponibles 4- Excepciones Previas 5- Tasación de Costas, entre otros. </w:t>
      </w:r>
    </w:p>
    <w:p w:rsidRPr="00AE1B2B" w:rsidR="009D3FB5" w:rsidP="00163B94" w:rsidRDefault="009D3FB5" w14:paraId="5F8F049A"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Sobre este tipo de resoluciones, si bien en algunos casos dichas resoluciones podrían poner fin al proceso, como por ejemplo la resolución que resuelve una excepción previa que la declara con lugar o una medida cautelar anticipada, lo cierto es que en la mayoría de ellas lo que se dicta es un Auto o Autosentencia numerado y por ende para efectos estadísticos no cuentan como trabajo efectivo. Por ejemplo, durante el mes de mayo, aunque mi persona resolvió 15 expedientes, no registra un porcentaje de labores del 100% aunque la cuota es de 12 asuntos, simplemente porque lo único que se toma en cuenta son las sentencias que ponen fin al proceso. </w:t>
      </w:r>
    </w:p>
    <w:p w:rsidRPr="00AE1B2B" w:rsidR="009D3FB5" w:rsidP="00163B94" w:rsidRDefault="009D3FB5" w14:paraId="0CB0836E"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Esta situación no permite visibilizar el esfuerzo y trabajo real que se está realizando, lo cual me parece injusto y hasta desmotivante para mí y para cualquier funcionario que se esfuerza en hacer las cosas bien. </w:t>
      </w:r>
    </w:p>
    <w:p w:rsidRPr="00AE1B2B" w:rsidR="009D3FB5" w:rsidP="00163B94" w:rsidRDefault="009D3FB5" w14:paraId="6AAED39F"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Justificación de rendimiento: Sumado a lo anteriormente expuesto, creo que es importante también señalar como parte de mi justificación y del por qué no alcanzaría un 100% de rendimiento, que nos hemos abocado a resolver los expedientes de vieja data en orden cronológico de antigüedad, resolviendo los procesos ordinarios muy complejos que fueron pasados a fallo en el año 2019 y que estaban pegados en fallo. Debido a ello se ha bajado la cantidad de resueltos.</w:t>
      </w:r>
    </w:p>
    <w:p w:rsidRPr="00AE1B2B" w:rsidR="009D3FB5" w:rsidP="00163B94" w:rsidRDefault="009D3FB5" w14:paraId="4FF97199" w14:textId="31619DB1">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En adición a lo anterior, mediante correo electrónico de fecha 4 de junio de 2020, el licenciado Rodríguez Cubillo brindó ejemplos de resoluciones que dictan por otros motivos pero que no están </w:t>
      </w:r>
      <w:r w:rsidRPr="00AE1B2B">
        <w:rPr>
          <w:rFonts w:ascii="Times New Roman" w:hAnsi="Times New Roman" w:cs="Times New Roman"/>
          <w:i/>
          <w:iCs/>
          <w:sz w:val="26"/>
          <w:szCs w:val="26"/>
          <w:lang w:val="es-MX"/>
        </w:rPr>
        <w:lastRenderedPageBreak/>
        <w:t>incluidas en la cuota con la que se mide la efectividad del personal juzgador que asume el permiso con goce de salario, viéndose de esta forma afectado el porcentaje de efectividad al invisibilizarse los asuntos interlocutorios que también son atendidos y que se resuelven con una auto sentencia, siendo que,</w:t>
      </w:r>
      <w:r w:rsidRPr="00AE1B2B" w:rsidR="00BB7720">
        <w:rPr>
          <w:rFonts w:ascii="Times New Roman" w:hAnsi="Times New Roman" w:cs="Times New Roman"/>
          <w:i/>
          <w:iCs/>
          <w:sz w:val="26"/>
          <w:szCs w:val="26"/>
          <w:lang w:val="es-MX"/>
        </w:rPr>
        <w:t xml:space="preserve"> </w:t>
      </w:r>
      <w:r w:rsidRPr="00AE1B2B">
        <w:rPr>
          <w:rFonts w:ascii="Times New Roman" w:hAnsi="Times New Roman" w:cs="Times New Roman"/>
          <w:i/>
          <w:iCs/>
          <w:sz w:val="26"/>
          <w:szCs w:val="26"/>
          <w:lang w:val="es-MX"/>
        </w:rPr>
        <w:t>algunas de estas auto sentencias ponen fin al proceso como sucede como por ejemplo, con las que se emiten por arreglos conciliatorios en procesos cobratorios, las que se dictan en medidas cautelares anticipadas; así como en excepciones previas y demandas improponibles, ambas declaradas con lugar. Además, existen otras auto sentencias que si bien no ponen fin al proceso conllevan un trabajo similar en tiempo al de una sentencia.</w:t>
      </w:r>
    </w:p>
    <w:p w:rsidRPr="00AE1B2B" w:rsidR="009D3FB5" w:rsidP="00163B94" w:rsidRDefault="009D3FB5" w14:paraId="2F87D792" w14:textId="0FBC2EE9">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En relación con la fundamentación dada por el licenciado Rodríguez Cubillo, se tiene que las cuotas establecidas en el plan de trabajo para el personal juzgador que asumió los permisos con goce de salario (15 sentencias para Santa Cruz, 12 sentencias para Pococí y 12 sentencias para Puntarenas), no son congruentes con la cuota establecida para el personal juzgador según informe</w:t>
      </w:r>
      <w:r w:rsidRPr="00AE1B2B" w:rsidR="00BB7720">
        <w:rPr>
          <w:rFonts w:ascii="Times New Roman" w:hAnsi="Times New Roman" w:cs="Times New Roman"/>
          <w:i/>
          <w:iCs/>
          <w:sz w:val="26"/>
          <w:szCs w:val="26"/>
          <w:lang w:val="es-MX"/>
        </w:rPr>
        <w:t xml:space="preserve"> </w:t>
      </w:r>
      <w:r w:rsidRPr="00AE1B2B">
        <w:rPr>
          <w:rFonts w:ascii="Times New Roman" w:hAnsi="Times New Roman" w:cs="Times New Roman"/>
          <w:i/>
          <w:iCs/>
          <w:sz w:val="26"/>
          <w:szCs w:val="26"/>
          <w:lang w:val="es-MX"/>
        </w:rPr>
        <w:t>N°630-PLA-RH-MI-2019 de la Dirección de Planificación, citado anteriormente,</w:t>
      </w:r>
      <w:r w:rsidRPr="00AE1B2B" w:rsidR="00BB7720">
        <w:rPr>
          <w:rFonts w:ascii="Times New Roman" w:hAnsi="Times New Roman" w:cs="Times New Roman"/>
          <w:i/>
          <w:iCs/>
          <w:sz w:val="26"/>
          <w:szCs w:val="26"/>
          <w:lang w:val="es-MX"/>
        </w:rPr>
        <w:t xml:space="preserve"> </w:t>
      </w:r>
      <w:r w:rsidRPr="00AE1B2B">
        <w:rPr>
          <w:rFonts w:ascii="Times New Roman" w:hAnsi="Times New Roman" w:cs="Times New Roman"/>
          <w:i/>
          <w:iCs/>
          <w:sz w:val="26"/>
          <w:szCs w:val="26"/>
          <w:lang w:val="es-MX"/>
        </w:rPr>
        <w:t>aprobado por el Consejo Superior, en sesión N°044-2019, de fecha 16 de mayo del año 2019, de 8 sentencias y 7 resoluciones por otros motivos, para un total de 15 asuntos por mes, ya que las cuotas de los permisos con goce de salario no incluyen otras resoluciones por otros motivos que podrían dar por concluido un expediente y generar de igual manera una reducción del circulante. A continuación, se muestra un extracto del informe citado:</w:t>
      </w:r>
    </w:p>
    <w:p w:rsidRPr="00AE1B2B" w:rsidR="009D3FB5" w:rsidP="00163B94" w:rsidRDefault="009D3FB5" w14:paraId="0965BF7A"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Se identificó que el promedio nacional de entrada ideal por persona juzgadora en materia agraria es de 15 asuntos y la cantidad de sentencias por plaza de Jueza o Juez ideal sería de 8 sentencia al mes, esto porque en el Plan de Acción de la Comisión Agraria a solicitud de la Auditoria Judicial, se estableció de que a menos se realicen dos audiencias de juicio fuera de la oficina por persona juzgadora por semana en las cuales se debería dictar sentencia de forma oral ( según se establece en el Código Procesal Agrario, a entrar en vigencia), para un total por mes de al menos 8 audiencias fuera de la oficina que equivalen al menos a 8 sentencias y 7 asuntos por otros motivos de término por mes, por persona juzgadora.(pág. 122-123) </w:t>
      </w:r>
    </w:p>
    <w:p w:rsidRPr="00AE1B2B" w:rsidR="009D3FB5" w:rsidP="00163B94" w:rsidRDefault="009D3FB5" w14:paraId="1F6F7115"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Con excepción de la persona juzgadora del Juzgado Agrario de Santa Cruz, por tratarse de un permiso con goce de salario exclusivo para el trámite y fallo de informaciones posesorias de todo el despacho; de considerase las “resoluciones por otros motivos” </w:t>
      </w:r>
      <w:r w:rsidRPr="00AE1B2B">
        <w:rPr>
          <w:rFonts w:ascii="Times New Roman" w:hAnsi="Times New Roman" w:cs="Times New Roman"/>
          <w:i/>
          <w:iCs/>
          <w:sz w:val="26"/>
          <w:szCs w:val="26"/>
          <w:lang w:val="es-MX"/>
        </w:rPr>
        <w:lastRenderedPageBreak/>
        <w:t>dentro de la cuota establecida para el personal juzgador a los que se les concedió permiso con goce de salario, se obtendrían los siguientes porcentajes de efectividad:</w:t>
      </w:r>
    </w:p>
    <w:p w:rsidRPr="00AE1B2B" w:rsidR="009D3FB5" w:rsidP="00163B94" w:rsidRDefault="009D3FB5" w14:paraId="1151EA3B"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w:t>
      </w:r>
      <w:r w:rsidRPr="00AE1B2B">
        <w:rPr>
          <w:rFonts w:ascii="Times New Roman" w:hAnsi="Times New Roman" w:cs="Times New Roman"/>
          <w:i/>
          <w:iCs/>
          <w:sz w:val="26"/>
          <w:szCs w:val="26"/>
          <w:lang w:val="es-MX"/>
        </w:rPr>
        <w:tab/>
      </w:r>
      <w:r w:rsidRPr="00AE1B2B">
        <w:rPr>
          <w:rFonts w:ascii="Times New Roman" w:hAnsi="Times New Roman" w:cs="Times New Roman"/>
          <w:i/>
          <w:iCs/>
          <w:sz w:val="26"/>
          <w:szCs w:val="26"/>
          <w:lang w:val="es-MX"/>
        </w:rPr>
        <w:t>El juzgado Agrario de Puntarenas registraría un porcentaje de efectividad acumulado de enero a abril del 132% y no del 90% al considerarse únicamente el dictado de sentencias. Mensualmente registraría un 170% de efectividad en enero, un 115% en febrero, un 142% en marzo y un 61% en abril.</w:t>
      </w:r>
    </w:p>
    <w:p w:rsidRPr="00AE1B2B" w:rsidR="009D3FB5" w:rsidP="00163B94" w:rsidRDefault="009D3FB5" w14:paraId="0E93845F"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w:t>
      </w:r>
      <w:r w:rsidRPr="00AE1B2B">
        <w:rPr>
          <w:rFonts w:ascii="Times New Roman" w:hAnsi="Times New Roman" w:cs="Times New Roman"/>
          <w:i/>
          <w:iCs/>
          <w:sz w:val="26"/>
          <w:szCs w:val="26"/>
          <w:lang w:val="es-MX"/>
        </w:rPr>
        <w:tab/>
      </w:r>
      <w:r w:rsidRPr="00AE1B2B">
        <w:rPr>
          <w:rFonts w:ascii="Times New Roman" w:hAnsi="Times New Roman" w:cs="Times New Roman"/>
          <w:i/>
          <w:iCs/>
          <w:sz w:val="26"/>
          <w:szCs w:val="26"/>
          <w:lang w:val="es-MX"/>
        </w:rPr>
        <w:t>El Juzgado Agrario de Pococí registraría un porcentaje de efectividad acumulado de abril a junio del 139% y no del 97% que considera solo el dictado de sentencias, correspondiendo un porcentaje de efectividad del 157% en el mes de abril, un 125% en el mes de mayo y un 142% en el mes de junio…”</w:t>
      </w:r>
    </w:p>
    <w:p w:rsidRPr="00AE1B2B" w:rsidR="009D3FB5" w:rsidP="00163B94" w:rsidRDefault="009D3FB5" w14:paraId="4C49E70F"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Como se observa en el cuadro sobre la producción alcanzada el personal jugador que se acogió a los permisos con goce de salario, durante plan de trabajo se obtuvo promedios de producción entre el 87% y el 104%. Estos porcentajes no obedecen a las cuotas establecidas desde un inicio de 15 sentencias dictadas para la persona juzgadora del Juzgado Agrarios de Santa Cruz y 12 sentencias para los juzgadores de los Juzgados de Puntarenas y Pococí; si no que se realizan ajustes en las cuotas esperadas por persona juzgadora. La razón del ajuste va desde realización de reuniones, cierres colectivos, vacaciones, entre otras. </w:t>
      </w:r>
    </w:p>
    <w:p w:rsidRPr="00AE1B2B" w:rsidR="009D3FB5" w:rsidP="00163B94" w:rsidRDefault="009D3FB5" w14:paraId="4A320D48" w14:textId="77777777">
      <w:pPr>
        <w:spacing w:before="120" w:after="120"/>
        <w:ind w:left="851" w:right="851" w:firstLine="709"/>
        <w:jc w:val="both"/>
        <w:rPr>
          <w:rFonts w:ascii="Times New Roman" w:hAnsi="Times New Roman" w:cs="Times New Roman"/>
          <w:sz w:val="26"/>
          <w:szCs w:val="26"/>
        </w:rPr>
      </w:pPr>
      <w:bookmarkStart w:name="_Toc68688573" w:id="294"/>
      <w:r w:rsidRPr="00AE1B2B">
        <w:rPr>
          <w:rFonts w:ascii="Times New Roman" w:hAnsi="Times New Roman" w:cs="Times New Roman"/>
          <w:sz w:val="26"/>
          <w:szCs w:val="26"/>
        </w:rPr>
        <w:t>Planes de Trabajos para el Descongestionamiento del Tribunal Agrario</w:t>
      </w:r>
      <w:bookmarkEnd w:id="294"/>
      <w:r w:rsidRPr="00AE1B2B">
        <w:rPr>
          <w:rFonts w:ascii="Times New Roman" w:hAnsi="Times New Roman" w:cs="Times New Roman"/>
          <w:sz w:val="26"/>
          <w:szCs w:val="26"/>
        </w:rPr>
        <w:t xml:space="preserve"> </w:t>
      </w:r>
    </w:p>
    <w:p w:rsidRPr="00AE1B2B" w:rsidR="009D3FB5" w:rsidP="00163B94" w:rsidRDefault="009D3FB5" w14:paraId="7D344D08"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En sesión 84-2020 de Consejo Superior, celebrada el 28 de agosto del 2020, artículo XL, en la cual se aprobó el informe 1247-PLA-MI-2020 de la Dirección de Planificación, relacionado con “la propuesta del plan de descongestionamiento para el Tribunal Agrario, en atención al oficio 6998-2020, como parte del proyecto institucional “Implementación del Código Procesal Agrario”. Posterior en sesión 87-2020, celebrada el 08 de setiembre de 2020, artículo XLVII, en la que se aprobó la modificación del acuerdo tomado en la sesión 86-2020 celebrada el 03 de setiembre del 2020, artículo LXII, en el sentido que los nombramientos de las personas juzgadoras para integrar la nueva sección del Tribunal Agrario del Segundo Circuito Judicial de San José, sería a partir del 01 de setiembre y hasta el 30 de noviembre de 2020.</w:t>
      </w:r>
    </w:p>
    <w:p w:rsidRPr="00AE1B2B" w:rsidR="009D3FB5" w:rsidP="00163B94" w:rsidRDefault="009D3FB5" w14:paraId="5A7C2FDB"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En sesión del Consejo Superior 119-2020 celebrada el 15 de diciembre de 2020, artículo LXXIX, se conoce el oficio 414-CACMFJ-JEF-2020 del 04 de diciembre de 2020, la licenciada </w:t>
      </w:r>
      <w:r w:rsidRPr="00AE1B2B">
        <w:rPr>
          <w:rFonts w:ascii="Times New Roman" w:hAnsi="Times New Roman" w:cs="Times New Roman"/>
          <w:sz w:val="26"/>
          <w:szCs w:val="26"/>
          <w:lang w:val="es-MX"/>
        </w:rPr>
        <w:lastRenderedPageBreak/>
        <w:t xml:space="preserve">Maricruz Chacón Cubillo, Directora del Centro de Apoyo, Coordinación y Mejoramiento de la Función Jurisdiccional, remitió el oficio 98-CACMFJ-ACM-2020-B, suscrito por la máster Lilliana Saborío Saborío, Jefa del Área de Coordinación y Mejoramiento, Centro de Apoyo, Coordinación y Mejoramiento de la Función Jurisdiccional </w:t>
      </w:r>
      <w:r w:rsidRPr="00AE1B2B">
        <w:rPr>
          <w:rFonts w:ascii="Times New Roman" w:hAnsi="Times New Roman" w:cs="Times New Roman"/>
          <w:i/>
          <w:iCs/>
          <w:sz w:val="26"/>
          <w:szCs w:val="26"/>
          <w:lang w:val="es-MX"/>
        </w:rPr>
        <w:t>(ver anexo 25).</w:t>
      </w:r>
      <w:r w:rsidRPr="00AE1B2B">
        <w:rPr>
          <w:rFonts w:ascii="Times New Roman" w:hAnsi="Times New Roman" w:cs="Times New Roman"/>
          <w:sz w:val="26"/>
          <w:szCs w:val="26"/>
          <w:lang w:val="es-MX"/>
        </w:rPr>
        <w:t xml:space="preserve"> </w:t>
      </w:r>
    </w:p>
    <w:p w:rsidRPr="00AE1B2B" w:rsidR="009D3FB5" w:rsidP="00163B94" w:rsidRDefault="009D3FB5" w14:paraId="6944B973" w14:textId="27EF7648">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El plan de descongestionamiento del Tribunal Agrario del Segundo Circuito Judicial inició con 222 expedientes en el circulante, de los cuales 20 fueron ingresados en el año 2019 y 2020,</w:t>
      </w:r>
      <w:r w:rsidRPr="00AE1B2B" w:rsidR="00BB7720">
        <w:rPr>
          <w:rFonts w:ascii="Times New Roman" w:hAnsi="Times New Roman" w:cs="Times New Roman"/>
          <w:sz w:val="26"/>
          <w:szCs w:val="26"/>
          <w:lang w:val="es-MX"/>
        </w:rPr>
        <w:t xml:space="preserve"> </w:t>
      </w:r>
      <w:r w:rsidRPr="00AE1B2B">
        <w:rPr>
          <w:rFonts w:ascii="Times New Roman" w:hAnsi="Times New Roman" w:cs="Times New Roman"/>
          <w:sz w:val="26"/>
          <w:szCs w:val="26"/>
          <w:lang w:val="es-MX"/>
        </w:rPr>
        <w:t xml:space="preserve">( ingresaron de enero al mes de agosto de 2020, por lo que se da inicio con la atención de los expedientes de vieja data. </w:t>
      </w:r>
    </w:p>
    <w:p w:rsidRPr="00AE1B2B" w:rsidR="009D3FB5" w:rsidP="00163B94" w:rsidRDefault="009D3FB5" w14:paraId="0C8B6944"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Esta labor se llevó a cabo por la incorporación de una sección extraordinaria conformada por tres (3) personas juzgadoras acogidas a permisos con goce de salario de acuerdo con el artículo 44 de la Ley Orgánica del Poder Judicial, quienes deben cumplir con una cuota de trabajo de 18 sentencias dictadas en el mes. </w:t>
      </w:r>
    </w:p>
    <w:p w:rsidRPr="00AE1B2B" w:rsidR="009D3FB5" w:rsidP="00163B94" w:rsidRDefault="009D3FB5" w14:paraId="5B520C2D"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A continuación, el resultado obtenido en la ejecución del plan</w:t>
      </w:r>
      <w:r w:rsidRPr="00AE1B2B">
        <w:rPr>
          <w:rFonts w:ascii="Times New Roman" w:hAnsi="Times New Roman" w:cs="Times New Roman"/>
          <w:sz w:val="26"/>
          <w:szCs w:val="26"/>
        </w:rPr>
        <w:t xml:space="preserve"> </w:t>
      </w:r>
      <w:r w:rsidRPr="00AE1B2B">
        <w:rPr>
          <w:rFonts w:ascii="Times New Roman" w:hAnsi="Times New Roman" w:cs="Times New Roman"/>
          <w:sz w:val="26"/>
          <w:szCs w:val="26"/>
          <w:lang w:val="es-MX"/>
        </w:rPr>
        <w:t xml:space="preserve">del 01 de setiembre y hasta el 30 de noviembre de 2020: </w:t>
      </w:r>
    </w:p>
    <w:p w:rsidRPr="00AE1B2B" w:rsidR="009D3FB5" w:rsidP="00163B94" w:rsidRDefault="009D3FB5" w14:paraId="75A9F635" w14:textId="27F63232">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“…5.3</w:t>
      </w:r>
      <w:r w:rsidRPr="00AE1B2B" w:rsidR="00BB7720">
        <w:rPr>
          <w:rFonts w:ascii="Times New Roman" w:hAnsi="Times New Roman" w:cs="Times New Roman"/>
          <w:i/>
          <w:iCs/>
          <w:sz w:val="26"/>
          <w:szCs w:val="26"/>
          <w:lang w:val="es-MX"/>
        </w:rPr>
        <w:t xml:space="preserve"> </w:t>
      </w:r>
      <w:r w:rsidRPr="00AE1B2B">
        <w:rPr>
          <w:rFonts w:ascii="Times New Roman" w:hAnsi="Times New Roman" w:cs="Times New Roman"/>
          <w:i/>
          <w:iCs/>
          <w:sz w:val="26"/>
          <w:szCs w:val="26"/>
          <w:lang w:val="es-MX"/>
        </w:rPr>
        <w:t>Producción por persona juzgadora de la sección adicional</w:t>
      </w:r>
    </w:p>
    <w:p w:rsidRPr="00AE1B2B" w:rsidR="009D3FB5" w:rsidP="00163B94" w:rsidRDefault="009D3FB5" w14:paraId="1457439F"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En la siguiente figura se desagrega la producción alcanzada por persona juzgadora que asumió los permisos con goce de salario, con el fin de reflejar mensualmente la cuota esperada, ajustada y realizada, así como el porcentaje de efectividad obtenido a nivel individual.</w:t>
      </w:r>
    </w:p>
    <w:p w:rsidRPr="00AE1B2B" w:rsidR="009D3FB5" w:rsidP="00163B94" w:rsidRDefault="009D3FB5" w14:paraId="72C9E1AE"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En el Anexo 3, se encuentran los motivos por los cuales se ajustaron las cuotas para cada persona juzgadora. </w:t>
      </w:r>
    </w:p>
    <w:p w:rsidRPr="00AE1B2B" w:rsidR="009D3FB5" w:rsidP="00163B94" w:rsidRDefault="009D3FB5" w14:paraId="45E3D5E2"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Figura 2</w:t>
      </w:r>
    </w:p>
    <w:p w:rsidRPr="00AE1B2B" w:rsidR="009D3FB5" w:rsidP="00163B94" w:rsidRDefault="009D3FB5" w14:paraId="50911ABD" w14:textId="77777777">
      <w:pPr>
        <w:spacing w:before="120" w:after="120"/>
        <w:ind w:left="426" w:right="474"/>
        <w:rPr>
          <w:rFonts w:ascii="Times New Roman" w:hAnsi="Times New Roman" w:cs="Times New Roman"/>
          <w:i/>
          <w:iCs/>
          <w:lang w:val="es-MX"/>
        </w:rPr>
      </w:pPr>
      <w:r w:rsidRPr="00AE1B2B">
        <w:rPr>
          <w:rFonts w:ascii="Times New Roman" w:hAnsi="Times New Roman" w:cs="Times New Roman"/>
          <w:i/>
          <w:iCs/>
          <w:lang w:val="es-MX"/>
        </w:rPr>
        <w:lastRenderedPageBreak/>
        <w:t xml:space="preserve"> </w:t>
      </w:r>
      <w:r w:rsidRPr="00AE1B2B">
        <w:rPr>
          <w:rFonts w:ascii="Times New Roman" w:hAnsi="Times New Roman" w:cs="Times New Roman"/>
          <w:i/>
          <w:iCs/>
          <w:noProof/>
          <w:lang w:val="en-US"/>
        </w:rPr>
        <w:drawing>
          <wp:inline distT="0" distB="0" distL="0" distR="0" wp14:anchorId="2F7867C7" wp14:editId="39320C0B">
            <wp:extent cx="5612130" cy="3194122"/>
            <wp:effectExtent l="0" t="0" r="7620" b="6350"/>
            <wp:docPr id="1212768305" name="Imagen 121276830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305" name="Imagen 1212768305" descr="Interfaz de usuario gráfica, Aplicación&#10;&#10;Descripción generada automáticamente"/>
                    <pic:cNvPicPr/>
                  </pic:nvPicPr>
                  <pic:blipFill>
                    <a:blip r:embed="rId337"/>
                    <a:stretch>
                      <a:fillRect/>
                    </a:stretch>
                  </pic:blipFill>
                  <pic:spPr>
                    <a:xfrm>
                      <a:off x="0" y="0"/>
                      <a:ext cx="5612130" cy="3194122"/>
                    </a:xfrm>
                    <a:prstGeom prst="rect">
                      <a:avLst/>
                    </a:prstGeom>
                  </pic:spPr>
                </pic:pic>
              </a:graphicData>
            </a:graphic>
          </wp:inline>
        </w:drawing>
      </w:r>
    </w:p>
    <w:p w:rsidRPr="00AE1B2B" w:rsidR="009D3FB5" w:rsidP="00163B94" w:rsidRDefault="009D3FB5" w14:paraId="69BBA41E" w14:textId="77777777">
      <w:pPr>
        <w:spacing w:before="120" w:after="120"/>
        <w:ind w:left="426" w:right="474"/>
        <w:rPr>
          <w:rFonts w:ascii="Times New Roman" w:hAnsi="Times New Roman" w:cs="Times New Roman"/>
          <w:i/>
          <w:iCs/>
          <w:lang w:val="es-MX"/>
        </w:rPr>
      </w:pPr>
    </w:p>
    <w:p w:rsidRPr="00AE1B2B" w:rsidR="009D3FB5" w:rsidP="00163B94" w:rsidRDefault="009D3FB5" w14:paraId="5E93FC79"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lang w:val="es-MX"/>
        </w:rPr>
        <w:tab/>
      </w:r>
      <w:r w:rsidRPr="00AE1B2B">
        <w:rPr>
          <w:rFonts w:ascii="Times New Roman" w:hAnsi="Times New Roman" w:cs="Times New Roman"/>
          <w:i/>
          <w:iCs/>
          <w:sz w:val="26"/>
          <w:szCs w:val="26"/>
          <w:lang w:val="es-MX"/>
        </w:rPr>
        <w:t>Como se muestra en la figura anterior, cada una de las personas juzgadoras que asumen los permisos con goce de salario registraron porcentajes de efectividad mensual superiores al 100%, al alcanzar una cuota de expedientes atendidos superior a la establecida en el plan de trabajo, generando con ello un total de 93 asuntos terminados de 87 que se establecía en el dicho plan, lo que significó un porcentaje de efectividad del 107%...”</w:t>
      </w:r>
    </w:p>
    <w:p w:rsidRPr="00AE1B2B" w:rsidR="009D3FB5" w:rsidP="00163B94" w:rsidRDefault="009D3FB5" w14:paraId="6E49852C"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5.4 Producción obtenida por el resto del personal juzgador del Tribunal, según los indicadores de gestión</w:t>
      </w:r>
    </w:p>
    <w:p w:rsidRPr="00AE1B2B" w:rsidR="009D3FB5" w:rsidP="00163B94" w:rsidRDefault="009D3FB5" w14:paraId="1586D34F" w14:textId="5BC40256">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ab/>
      </w:r>
      <w:r w:rsidRPr="00AE1B2B">
        <w:rPr>
          <w:rFonts w:ascii="Times New Roman" w:hAnsi="Times New Roman" w:cs="Times New Roman"/>
          <w:i/>
          <w:iCs/>
          <w:sz w:val="26"/>
          <w:szCs w:val="26"/>
          <w:lang w:val="es-MX"/>
        </w:rPr>
        <w:t>Con el fin de reflejar la producción del resto del personal ordinario y sustituto del Tribunal, se solicitó a ese despacho la matriz de indicadores de gestión correspondiente a los meses de setiembre y octubre de 2020 y; mediante correo electrónico de fecha 12 de noviembre de 2020 fue suministrada la del mes de setiembre, de la cual se obtuvo la cantidad de sentencias dictadas por las seis personas juzgadoras restantes, tanto personal ordinario como sustituto,</w:t>
      </w:r>
      <w:r w:rsidRPr="00AE1B2B" w:rsidR="00BB7720">
        <w:rPr>
          <w:rFonts w:ascii="Times New Roman" w:hAnsi="Times New Roman" w:cs="Times New Roman"/>
          <w:i/>
          <w:iCs/>
          <w:sz w:val="26"/>
          <w:szCs w:val="26"/>
          <w:lang w:val="es-MX"/>
        </w:rPr>
        <w:t xml:space="preserve"> </w:t>
      </w:r>
      <w:r w:rsidRPr="00AE1B2B">
        <w:rPr>
          <w:rFonts w:ascii="Times New Roman" w:hAnsi="Times New Roman" w:cs="Times New Roman"/>
          <w:i/>
          <w:iCs/>
          <w:sz w:val="26"/>
          <w:szCs w:val="26"/>
          <w:lang w:val="es-MX"/>
        </w:rPr>
        <w:t>no así la cantidad de sentencias del mes de octubre por cuanto la matriz de indicadores de ese mes se realiza entre la segunda y tercera semana de noviembre, de acuerdo con lo que establece el Modelo de Sostenibilidad, por lo que al momento de la emisión de este informe aún no se había finalizado, de ahí que dicha información no podrá ser consignada.</w:t>
      </w:r>
    </w:p>
    <w:p w:rsidRPr="00AE1B2B" w:rsidR="009D3FB5" w:rsidP="00163B94" w:rsidRDefault="009D3FB5" w14:paraId="70654DF2"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lastRenderedPageBreak/>
        <w:t>Seguidamente se muestra el detalle de la cantidad de sentencias dictadas durante el mes de setiembre por persona juzgadora, de acuerdo con la matriz de indicadores de gestión suministrada por el despacho.</w:t>
      </w:r>
    </w:p>
    <w:p w:rsidRPr="00AE1B2B" w:rsidR="009D3FB5" w:rsidP="00163B94" w:rsidRDefault="009D3FB5" w14:paraId="796C2B5B" w14:textId="77777777">
      <w:pPr>
        <w:spacing w:before="120" w:after="120"/>
        <w:ind w:left="851" w:right="851" w:firstLine="709"/>
        <w:jc w:val="both"/>
        <w:rPr>
          <w:rFonts w:ascii="Times New Roman" w:hAnsi="Times New Roman" w:cs="Times New Roman"/>
          <w:i/>
          <w:iCs/>
          <w:sz w:val="26"/>
          <w:szCs w:val="26"/>
          <w:lang w:val="es-MX"/>
        </w:rPr>
      </w:pPr>
    </w:p>
    <w:p w:rsidRPr="00AE1B2B" w:rsidR="009D3FB5" w:rsidP="00163B94" w:rsidRDefault="009D3FB5" w14:paraId="45C8385F"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 xml:space="preserve">Figura 4 </w:t>
      </w:r>
    </w:p>
    <w:p w:rsidRPr="00AE1B2B" w:rsidR="009D3FB5" w:rsidP="00163B94" w:rsidRDefault="009D3FB5" w14:paraId="2D276729" w14:textId="77777777">
      <w:pPr>
        <w:spacing w:before="120" w:after="120"/>
        <w:ind w:left="426" w:right="474"/>
        <w:rPr>
          <w:rFonts w:ascii="Times New Roman" w:hAnsi="Times New Roman" w:cs="Times New Roman"/>
          <w:i/>
          <w:iCs/>
          <w:lang w:val="es-MX"/>
        </w:rPr>
      </w:pPr>
      <w:r w:rsidRPr="00AE1B2B">
        <w:rPr>
          <w:rFonts w:ascii="Times New Roman" w:hAnsi="Times New Roman" w:cs="Times New Roman"/>
          <w:i/>
          <w:iCs/>
          <w:lang w:val="es-MX"/>
        </w:rPr>
        <w:t xml:space="preserve"> </w:t>
      </w:r>
      <w:r w:rsidRPr="00AE1B2B">
        <w:rPr>
          <w:rFonts w:ascii="Times New Roman" w:hAnsi="Times New Roman" w:cs="Times New Roman"/>
          <w:noProof/>
          <w:lang w:val="en-US"/>
        </w:rPr>
        <w:drawing>
          <wp:inline distT="0" distB="0" distL="0" distR="0" wp14:anchorId="5004D82A" wp14:editId="64E598C0">
            <wp:extent cx="5612130" cy="3209268"/>
            <wp:effectExtent l="0" t="0" r="7620" b="0"/>
            <wp:docPr id="1212768306" name="Imagen 1212768306"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306" name="Imagen 1212768306" descr="Interfaz de usuario gráfica&#10;&#10;Descripción generada automáticamente con confianza media"/>
                    <pic:cNvPicPr/>
                  </pic:nvPicPr>
                  <pic:blipFill>
                    <a:blip r:embed="rId338"/>
                    <a:stretch>
                      <a:fillRect/>
                    </a:stretch>
                  </pic:blipFill>
                  <pic:spPr>
                    <a:xfrm>
                      <a:off x="0" y="0"/>
                      <a:ext cx="5612130" cy="3209268"/>
                    </a:xfrm>
                    <a:prstGeom prst="rect">
                      <a:avLst/>
                    </a:prstGeom>
                  </pic:spPr>
                </pic:pic>
              </a:graphicData>
            </a:graphic>
          </wp:inline>
        </w:drawing>
      </w:r>
    </w:p>
    <w:p w:rsidRPr="00AE1B2B" w:rsidR="009D3FB5" w:rsidP="00163B94" w:rsidRDefault="009D3FB5" w14:paraId="5BAD50C8" w14:textId="77777777">
      <w:pPr>
        <w:spacing w:before="120" w:after="120"/>
        <w:ind w:left="426" w:right="474"/>
        <w:rPr>
          <w:rFonts w:ascii="Times New Roman" w:hAnsi="Times New Roman" w:cs="Times New Roman"/>
          <w:i/>
          <w:iCs/>
          <w:lang w:val="es-MX"/>
        </w:rPr>
      </w:pPr>
    </w:p>
    <w:p w:rsidRPr="00AE1B2B" w:rsidR="009D3FB5" w:rsidP="00163B94" w:rsidRDefault="009D3FB5" w14:paraId="2300EE09"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ab/>
      </w:r>
      <w:r w:rsidRPr="00AE1B2B">
        <w:rPr>
          <w:rFonts w:ascii="Times New Roman" w:hAnsi="Times New Roman" w:cs="Times New Roman"/>
          <w:i/>
          <w:iCs/>
          <w:sz w:val="26"/>
          <w:szCs w:val="26"/>
          <w:lang w:val="es-MX"/>
        </w:rPr>
        <w:t>Como se desprende de la figura 4, el rendimiento obtenido por cada una de las personas juzgadoras restantes oscila entre el 96% y el 117%. Cabe aclarar que los porcentajes de rendimiento son establecidos en la matriz de indicadores de gestión del despacho y son el resultado del ajuste de la cuota, en relación con los días efectivamente laborados por cada una de las personas juzgadoras. Por otra parte, debido a que no se cuenta con la información del mes de octubre por la razón indicada, no es factible realizar un comparativo que permita describir el comportamiento de esta variable en el tiempo…”.</w:t>
      </w:r>
    </w:p>
    <w:p w:rsidRPr="00AE1B2B" w:rsidR="009D3FB5" w:rsidP="00163B94" w:rsidRDefault="009D3FB5" w14:paraId="75B89FE4" w14:textId="77777777">
      <w:pPr>
        <w:spacing w:before="120" w:after="120"/>
        <w:ind w:left="851" w:right="851" w:firstLine="709"/>
        <w:jc w:val="both"/>
        <w:rPr>
          <w:rFonts w:ascii="Times New Roman" w:hAnsi="Times New Roman" w:cs="Times New Roman"/>
          <w:i/>
          <w:iCs/>
          <w:sz w:val="26"/>
          <w:szCs w:val="26"/>
          <w:lang w:val="es-MX"/>
        </w:rPr>
      </w:pPr>
    </w:p>
    <w:p w:rsidRPr="00AE1B2B" w:rsidR="009D3FB5" w:rsidP="00163B94" w:rsidRDefault="009D3FB5" w14:paraId="46DAD8C0"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Durante el plazo concedido para la ejecución del plan, el personal juzgador de la sección adicional logró la resolución de un total de 93 procesos, de los cuales 6 ingresaron en el año 2019 y 87 en el 2020, de estos últimos expedientes resueltos del año 2020, 56 </w:t>
      </w:r>
      <w:r w:rsidRPr="00AE1B2B">
        <w:rPr>
          <w:rFonts w:ascii="Times New Roman" w:hAnsi="Times New Roman" w:cs="Times New Roman"/>
          <w:sz w:val="26"/>
          <w:szCs w:val="26"/>
          <w:lang w:val="es-MX"/>
        </w:rPr>
        <w:lastRenderedPageBreak/>
        <w:t>entraron al Tribunal antes de iniciar el plan de descongestionamiento y 31 ingresaron posterior.</w:t>
      </w:r>
    </w:p>
    <w:p w:rsidRPr="00AE1B2B" w:rsidR="009D3FB5" w:rsidP="00163B94" w:rsidRDefault="009D3FB5" w14:paraId="54BA1F61"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De acuerdo con la información obtenida de la matriz de indicadores de gestión del Tribunal, las personas juzgadoras que integran las secciones 1 y 2 del Tribunal dictaron 73 sentencias en setiembre, con rendimientos entre del 96% al 117%. </w:t>
      </w:r>
    </w:p>
    <w:p w:rsidRPr="00AE1B2B" w:rsidR="009D3FB5" w:rsidP="00163B94" w:rsidRDefault="009D3FB5" w14:paraId="0352C015"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Del listado inicial de 222 expedientes al comenzar el plan de descongestionamiento, se resolvieron 141 asuntos, quedando un remanente de 81 asuntos por resolver. </w:t>
      </w:r>
    </w:p>
    <w:p w:rsidRPr="00AE1B2B" w:rsidR="009D3FB5" w:rsidP="00163B94" w:rsidRDefault="009D3FB5" w14:paraId="189F9210"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Posterior el Dr. Enrique Ulate Chacón, Coordinador del Tribunal Agrario, eleva una solicitud de prorroga al Consejo Superior, para del Plan de Descongestionamiento del Tribunal Agrario, o bien, la creación de una tercera sección extraordinaria, a partir del próximo año. Mediante oficio 11174-2020 de la Secretaría General de la Corte, solicita a la Dirección de Planificación</w:t>
      </w:r>
      <w:r w:rsidRPr="00AE1B2B">
        <w:rPr>
          <w:rFonts w:ascii="Times New Roman" w:hAnsi="Times New Roman" w:cs="Times New Roman"/>
          <w:sz w:val="26"/>
          <w:szCs w:val="26"/>
        </w:rPr>
        <w:t xml:space="preserve"> </w:t>
      </w:r>
      <w:r w:rsidRPr="00AE1B2B">
        <w:rPr>
          <w:rFonts w:ascii="Times New Roman" w:hAnsi="Times New Roman" w:cs="Times New Roman"/>
          <w:sz w:val="26"/>
          <w:szCs w:val="26"/>
          <w:lang w:val="es-MX"/>
        </w:rPr>
        <w:t>la emisión del criterio técnico, sobre la solicitud de prórroga del Plan de Descongestionamiento del Tribunal Agrario, emitida por el Dr. Enrique Ulate, Juez Coordinador del Tribunal Agrario, según acuerdo del Consejo Superior en sesión 114-2020, celebrada el 26 de noviembre del 2020.</w:t>
      </w:r>
    </w:p>
    <w:p w:rsidRPr="00AE1B2B" w:rsidR="009D3FB5" w:rsidP="00163B94" w:rsidRDefault="009D3FB5" w14:paraId="3CB33EA4"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En respuesta la Dirección de Planificación, remitió el oficio 1968-PLA-MI-2020 del 3 de diciembre de 2020, el cual fue conocido por el Consejo Superior en sesión118-2020 celebrada el 10 de diciembre de 2020, artículo XXX, donde se recomendó la prórroga solicitada por el Tribunal Agrario, la cual se</w:t>
      </w:r>
      <w:r w:rsidRPr="00AE1B2B">
        <w:rPr>
          <w:rFonts w:ascii="Times New Roman" w:hAnsi="Times New Roman" w:cs="Times New Roman"/>
          <w:sz w:val="26"/>
          <w:szCs w:val="26"/>
        </w:rPr>
        <w:t xml:space="preserve"> </w:t>
      </w:r>
      <w:r w:rsidRPr="00AE1B2B">
        <w:rPr>
          <w:rFonts w:ascii="Times New Roman" w:hAnsi="Times New Roman" w:cs="Times New Roman"/>
          <w:sz w:val="26"/>
          <w:szCs w:val="26"/>
          <w:lang w:val="es-MX"/>
        </w:rPr>
        <w:t xml:space="preserve">debería iniciar el 7 de diciembre y finalizar el 18 de diciembre 2020 por ser el último día laboral del año, lo que se traduce a 9 días hábiles laborados (se descuenta el feriado trasladado para el 11 de diciembre), por lo que se espera que se realice un cumplimiento del 43% de lo pendiente del plan (23 asuntos en total); tomando en consideración que la justificación del incumplimiento del plan se debió a situaciones como capacitaciones, período de reacomodo y redistribución de expedientes de todas las oficinas, sumado a los días para el otorgamiento de los equipos de trabajo y las licencias respectivas; y no a las causas pactadas en el plan original, las cuales obedecían a complejidad. </w:t>
      </w:r>
    </w:p>
    <w:p w:rsidRPr="00AE1B2B" w:rsidR="009D3FB5" w:rsidP="00163B94" w:rsidRDefault="00A854DC" w14:paraId="4376E75B" w14:textId="34069FD1">
      <w:pPr>
        <w:spacing w:before="120" w:after="120"/>
        <w:ind w:left="851" w:right="851" w:firstLine="709"/>
        <w:jc w:val="both"/>
        <w:rPr>
          <w:rFonts w:ascii="Times New Roman" w:hAnsi="Times New Roman" w:cs="Times New Roman"/>
          <w:sz w:val="26"/>
          <w:szCs w:val="26"/>
        </w:rPr>
      </w:pPr>
      <w:bookmarkStart w:name="_Toc68688574" w:id="295"/>
      <w:r w:rsidRPr="00AE1B2B">
        <w:rPr>
          <w:rFonts w:ascii="Times New Roman" w:hAnsi="Times New Roman" w:cs="Times New Roman"/>
          <w:sz w:val="26"/>
          <w:szCs w:val="26"/>
        </w:rPr>
        <w:t>|</w:t>
      </w:r>
      <w:r w:rsidRPr="00AE1B2B" w:rsidR="009D3FB5">
        <w:rPr>
          <w:rFonts w:ascii="Times New Roman" w:hAnsi="Times New Roman" w:cs="Times New Roman"/>
          <w:sz w:val="26"/>
          <w:szCs w:val="26"/>
        </w:rPr>
        <w:t>Análisis del Circulante</w:t>
      </w:r>
      <w:bookmarkEnd w:id="295"/>
      <w:r w:rsidRPr="00AE1B2B" w:rsidR="009D3FB5">
        <w:rPr>
          <w:rFonts w:ascii="Times New Roman" w:hAnsi="Times New Roman" w:cs="Times New Roman"/>
          <w:sz w:val="26"/>
          <w:szCs w:val="26"/>
        </w:rPr>
        <w:t xml:space="preserve"> </w:t>
      </w:r>
    </w:p>
    <w:p w:rsidRPr="00AE1B2B" w:rsidR="009D3FB5" w:rsidP="00163B94" w:rsidRDefault="009D3FB5" w14:paraId="4396565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Es importante analizar el circulante de los Juzgados Agrarios con el objetivo de identificar el comportamiento de este respecto a la distribución de las distintas fases del proceso con la finalidad de determinar los verdaderos cuellos de botella y direccionar las </w:t>
      </w:r>
      <w:r w:rsidRPr="00AE1B2B">
        <w:rPr>
          <w:rFonts w:ascii="Times New Roman" w:hAnsi="Times New Roman" w:cs="Times New Roman"/>
          <w:sz w:val="26"/>
          <w:szCs w:val="26"/>
        </w:rPr>
        <w:lastRenderedPageBreak/>
        <w:t>acciones correspondientes. La distribución del circulante por fase del proceso para los Juzgados Agrarios del país a enero del 2021 se presenta a continuación:</w:t>
      </w:r>
    </w:p>
    <w:p w:rsidRPr="00AE1B2B" w:rsidR="009D3FB5" w:rsidP="00163B94" w:rsidRDefault="009D3FB5" w14:paraId="797C127C" w14:textId="77777777">
      <w:pPr>
        <w:pStyle w:val="Ttulo"/>
        <w:spacing w:before="120" w:after="120"/>
        <w:ind w:left="851" w:right="851" w:firstLine="709"/>
        <w:jc w:val="both"/>
        <w:rPr>
          <w:rFonts w:ascii="Times New Roman" w:hAnsi="Times New Roman"/>
          <w:iCs/>
          <w:sz w:val="26"/>
          <w:szCs w:val="26"/>
        </w:rPr>
      </w:pPr>
      <w:bookmarkStart w:name="_Hlk39740358" w:id="296"/>
      <w:r w:rsidRPr="00AE1B2B">
        <w:rPr>
          <w:rFonts w:ascii="Times New Roman" w:hAnsi="Times New Roman"/>
          <w:iCs/>
          <w:sz w:val="26"/>
          <w:szCs w:val="26"/>
        </w:rPr>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12</w:t>
      </w:r>
      <w:r w:rsidRPr="00AE1B2B">
        <w:rPr>
          <w:rFonts w:ascii="Times New Roman" w:hAnsi="Times New Roman"/>
          <w:iCs/>
          <w:sz w:val="26"/>
          <w:szCs w:val="26"/>
        </w:rPr>
        <w:fldChar w:fldCharType="end"/>
      </w:r>
    </w:p>
    <w:p w:rsidRPr="00AE1B2B" w:rsidR="009D3FB5" w:rsidP="00163B94" w:rsidRDefault="009D3FB5" w14:paraId="27DE240C" w14:textId="77777777">
      <w:pPr>
        <w:spacing w:before="120" w:after="120"/>
        <w:ind w:left="851" w:right="851" w:firstLine="709"/>
        <w:jc w:val="both"/>
        <w:rPr>
          <w:rFonts w:ascii="Times New Roman" w:hAnsi="Times New Roman" w:cs="Times New Roman"/>
          <w:b/>
          <w:iCs/>
          <w:sz w:val="26"/>
          <w:szCs w:val="26"/>
        </w:rPr>
      </w:pPr>
      <w:r w:rsidRPr="00AE1B2B">
        <w:rPr>
          <w:rFonts w:ascii="Times New Roman" w:hAnsi="Times New Roman" w:cs="Times New Roman"/>
          <w:b/>
          <w:iCs/>
          <w:sz w:val="26"/>
          <w:szCs w:val="26"/>
        </w:rPr>
        <w:t>Comparación del Circulante Final en Trámite de los Juzgados Agrarios a Nivel Nacional por Fase del Proceso enero 2020</w:t>
      </w:r>
    </w:p>
    <w:tbl>
      <w:tblPr>
        <w:tblW w:w="11908" w:type="dxa"/>
        <w:tblInd w:w="-1583" w:type="dxa"/>
        <w:tblLayout w:type="fixed"/>
        <w:tblCellMar>
          <w:left w:w="70" w:type="dxa"/>
          <w:right w:w="70" w:type="dxa"/>
        </w:tblCellMar>
        <w:tblLook w:val="04A0" w:firstRow="1" w:lastRow="0" w:firstColumn="1" w:lastColumn="0" w:noHBand="0" w:noVBand="1"/>
      </w:tblPr>
      <w:tblGrid>
        <w:gridCol w:w="2836"/>
        <w:gridCol w:w="1276"/>
        <w:gridCol w:w="1559"/>
        <w:gridCol w:w="1276"/>
        <w:gridCol w:w="1183"/>
        <w:gridCol w:w="1368"/>
        <w:gridCol w:w="993"/>
        <w:gridCol w:w="1417"/>
      </w:tblGrid>
      <w:tr w:rsidRPr="00AE1B2B" w:rsidR="009D3FB5" w:rsidTr="009D3FB5" w14:paraId="22A41373" w14:textId="77777777">
        <w:trPr>
          <w:trHeight w:val="1176"/>
          <w:tblHeader/>
        </w:trPr>
        <w:tc>
          <w:tcPr>
            <w:tcW w:w="2836" w:type="dxa"/>
            <w:tcBorders>
              <w:top w:val="double" w:color="1F497D" w:sz="6" w:space="0"/>
              <w:left w:val="double" w:color="1F497D" w:sz="6" w:space="0"/>
              <w:bottom w:val="double" w:color="1F497D" w:sz="6" w:space="0"/>
              <w:right w:val="double" w:color="1F497D" w:sz="6" w:space="0"/>
            </w:tcBorders>
            <w:shd w:val="clear" w:color="000000" w:fill="0673A5"/>
            <w:noWrap/>
            <w:vAlign w:val="center"/>
            <w:hideMark/>
          </w:tcPr>
          <w:p w:rsidRPr="00AE1B2B" w:rsidR="009D3FB5" w:rsidP="00163B94" w:rsidRDefault="009D3FB5" w14:paraId="1019A3B9"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Juzgado Agrario de</w:t>
            </w:r>
          </w:p>
        </w:tc>
        <w:tc>
          <w:tcPr>
            <w:tcW w:w="1276" w:type="dxa"/>
            <w:tcBorders>
              <w:top w:val="double" w:color="1F497D" w:sz="6" w:space="0"/>
              <w:left w:val="nil"/>
              <w:bottom w:val="double" w:color="1F497D" w:sz="6" w:space="0"/>
              <w:right w:val="double" w:color="1F497D" w:sz="6" w:space="0"/>
            </w:tcBorders>
            <w:shd w:val="clear" w:color="000000" w:fill="0673A5"/>
            <w:noWrap/>
            <w:vAlign w:val="center"/>
            <w:hideMark/>
          </w:tcPr>
          <w:p w:rsidRPr="00AE1B2B" w:rsidR="009D3FB5" w:rsidP="00163B94" w:rsidRDefault="009D3FB5" w14:paraId="42AAAEF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Demanda</w:t>
            </w:r>
          </w:p>
        </w:tc>
        <w:tc>
          <w:tcPr>
            <w:tcW w:w="1559" w:type="dxa"/>
            <w:tcBorders>
              <w:top w:val="double" w:color="1F497D" w:sz="6" w:space="0"/>
              <w:left w:val="nil"/>
              <w:bottom w:val="double" w:color="1F497D" w:sz="6" w:space="0"/>
              <w:right w:val="double" w:color="1F497D" w:sz="6" w:space="0"/>
            </w:tcBorders>
            <w:shd w:val="clear" w:color="000000" w:fill="0673A5"/>
            <w:noWrap/>
            <w:vAlign w:val="center"/>
            <w:hideMark/>
          </w:tcPr>
          <w:p w:rsidRPr="00AE1B2B" w:rsidR="009D3FB5" w:rsidP="00163B94" w:rsidRDefault="009D3FB5" w14:paraId="29084EB8"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Demostrativa</w:t>
            </w:r>
          </w:p>
        </w:tc>
        <w:tc>
          <w:tcPr>
            <w:tcW w:w="1276" w:type="dxa"/>
            <w:tcBorders>
              <w:top w:val="double" w:color="1F497D" w:sz="6" w:space="0"/>
              <w:left w:val="nil"/>
              <w:bottom w:val="double" w:color="1F497D" w:sz="6" w:space="0"/>
              <w:right w:val="double" w:color="1F497D" w:sz="6" w:space="0"/>
            </w:tcBorders>
            <w:shd w:val="clear" w:color="000000" w:fill="0673A5"/>
            <w:noWrap/>
            <w:vAlign w:val="center"/>
            <w:hideMark/>
          </w:tcPr>
          <w:p w:rsidRPr="00AE1B2B" w:rsidR="009D3FB5" w:rsidP="00163B94" w:rsidRDefault="009D3FB5" w14:paraId="3EC0B9C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Conclusiva</w:t>
            </w:r>
          </w:p>
        </w:tc>
        <w:tc>
          <w:tcPr>
            <w:tcW w:w="1183" w:type="dxa"/>
            <w:tcBorders>
              <w:top w:val="double" w:color="1F497D" w:sz="6" w:space="0"/>
              <w:left w:val="nil"/>
              <w:bottom w:val="double" w:color="1F497D" w:sz="6" w:space="0"/>
              <w:right w:val="double" w:color="1F497D" w:sz="6" w:space="0"/>
            </w:tcBorders>
            <w:shd w:val="clear" w:color="000000" w:fill="0673A5"/>
            <w:noWrap/>
            <w:vAlign w:val="center"/>
            <w:hideMark/>
          </w:tcPr>
          <w:p w:rsidRPr="00AE1B2B" w:rsidR="009D3FB5" w:rsidP="00163B94" w:rsidRDefault="009D3FB5" w14:paraId="02A374A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En Ejecución</w:t>
            </w:r>
          </w:p>
        </w:tc>
        <w:tc>
          <w:tcPr>
            <w:tcW w:w="1368"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53BE6249"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Itinerado (Actualizar)</w:t>
            </w:r>
          </w:p>
        </w:tc>
        <w:tc>
          <w:tcPr>
            <w:tcW w:w="993"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49CD78E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Total general</w:t>
            </w:r>
          </w:p>
        </w:tc>
        <w:tc>
          <w:tcPr>
            <w:tcW w:w="1417"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6AA3A2A9"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Representación de la Fase de Ejecución en el Circulante</w:t>
            </w:r>
          </w:p>
        </w:tc>
      </w:tr>
      <w:tr w:rsidRPr="00AE1B2B" w:rsidR="009D3FB5" w:rsidTr="009D3FB5" w14:paraId="6A08AE76" w14:textId="77777777">
        <w:trPr>
          <w:trHeight w:val="312"/>
        </w:trPr>
        <w:tc>
          <w:tcPr>
            <w:tcW w:w="2836"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B8AE564"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 Circ. Jud. Guanacaste (Santa Cruz)</w:t>
            </w:r>
          </w:p>
        </w:tc>
        <w:tc>
          <w:tcPr>
            <w:tcW w:w="1276" w:type="dxa"/>
            <w:tcBorders>
              <w:top w:val="double" w:color="1F497D" w:sz="6" w:space="0"/>
              <w:left w:val="double" w:color="1F497D" w:sz="6" w:space="0"/>
              <w:bottom w:val="double" w:color="1F497D" w:sz="6" w:space="0"/>
              <w:right w:val="double" w:color="1F497D" w:sz="6" w:space="0"/>
            </w:tcBorders>
            <w:shd w:val="clear" w:color="000000" w:fill="F8696B"/>
            <w:vAlign w:val="center"/>
            <w:hideMark/>
          </w:tcPr>
          <w:p w:rsidRPr="00AE1B2B" w:rsidR="009D3FB5" w:rsidP="00163B94" w:rsidRDefault="009D3FB5" w14:paraId="6A8EF32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605</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91350D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131</w:t>
            </w:r>
          </w:p>
        </w:tc>
        <w:tc>
          <w:tcPr>
            <w:tcW w:w="127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5107BD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109</w:t>
            </w:r>
          </w:p>
        </w:tc>
        <w:tc>
          <w:tcPr>
            <w:tcW w:w="1183"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46B514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w:t>
            </w:r>
          </w:p>
        </w:tc>
        <w:tc>
          <w:tcPr>
            <w:tcW w:w="136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41AD64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35</w:t>
            </w:r>
          </w:p>
        </w:tc>
        <w:tc>
          <w:tcPr>
            <w:tcW w:w="993"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549B63CB"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887</w:t>
            </w:r>
          </w:p>
        </w:tc>
        <w:tc>
          <w:tcPr>
            <w:tcW w:w="1417" w:type="dxa"/>
            <w:tcBorders>
              <w:top w:val="double" w:color="1F497D" w:sz="6" w:space="0"/>
              <w:left w:val="double" w:color="1F497D" w:sz="6" w:space="0"/>
              <w:bottom w:val="double" w:color="1F497D" w:sz="6" w:space="0"/>
              <w:right w:val="double" w:color="1F497D" w:sz="6" w:space="0"/>
            </w:tcBorders>
            <w:shd w:val="clear" w:color="000000" w:fill="63BE7B"/>
            <w:vAlign w:val="center"/>
            <w:hideMark/>
          </w:tcPr>
          <w:p w:rsidRPr="00AE1B2B" w:rsidR="009D3FB5" w:rsidP="00163B94" w:rsidRDefault="009D3FB5" w14:paraId="6850423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0,8%</w:t>
            </w:r>
          </w:p>
        </w:tc>
      </w:tr>
      <w:tr w:rsidRPr="00AE1B2B" w:rsidR="009D3FB5" w:rsidTr="009D3FB5" w14:paraId="1596F701" w14:textId="77777777">
        <w:trPr>
          <w:trHeight w:val="312"/>
        </w:trPr>
        <w:tc>
          <w:tcPr>
            <w:tcW w:w="2836"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A19E272"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Civil, Trabajo, Agrario, Familia, Penal Juvenil, Contra la Violencia Doméstica y Protección Cautelar II Circuito Judicial de Alajuela, sede Upala</w:t>
            </w:r>
          </w:p>
        </w:tc>
        <w:tc>
          <w:tcPr>
            <w:tcW w:w="1276" w:type="dxa"/>
            <w:tcBorders>
              <w:top w:val="double" w:color="1F497D" w:sz="6" w:space="0"/>
              <w:left w:val="double" w:color="1F497D" w:sz="6" w:space="0"/>
              <w:bottom w:val="double" w:color="1F497D" w:sz="6" w:space="0"/>
              <w:right w:val="double" w:color="1F497D" w:sz="6" w:space="0"/>
            </w:tcBorders>
            <w:shd w:val="clear" w:color="000000" w:fill="FA989A"/>
            <w:vAlign w:val="center"/>
            <w:hideMark/>
          </w:tcPr>
          <w:p w:rsidRPr="00AE1B2B" w:rsidR="009D3FB5" w:rsidP="00163B94" w:rsidRDefault="009D3FB5" w14:paraId="7E1119B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473</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11537D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133</w:t>
            </w:r>
          </w:p>
        </w:tc>
        <w:tc>
          <w:tcPr>
            <w:tcW w:w="127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60BCE0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88</w:t>
            </w:r>
          </w:p>
        </w:tc>
        <w:tc>
          <w:tcPr>
            <w:tcW w:w="1183"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DEADE4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36</w:t>
            </w:r>
          </w:p>
        </w:tc>
        <w:tc>
          <w:tcPr>
            <w:tcW w:w="136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65ECC9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w:t>
            </w:r>
          </w:p>
        </w:tc>
        <w:tc>
          <w:tcPr>
            <w:tcW w:w="993"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0DDBCBE6"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734</w:t>
            </w:r>
          </w:p>
        </w:tc>
        <w:tc>
          <w:tcPr>
            <w:tcW w:w="1417" w:type="dxa"/>
            <w:tcBorders>
              <w:top w:val="double" w:color="1F497D" w:sz="6" w:space="0"/>
              <w:left w:val="double" w:color="1F497D" w:sz="6" w:space="0"/>
              <w:bottom w:val="double" w:color="1F497D" w:sz="6" w:space="0"/>
              <w:right w:val="double" w:color="1F497D" w:sz="6" w:space="0"/>
            </w:tcBorders>
            <w:shd w:val="clear" w:color="000000" w:fill="E6F3EC"/>
            <w:vAlign w:val="center"/>
            <w:hideMark/>
          </w:tcPr>
          <w:p w:rsidRPr="00AE1B2B" w:rsidR="009D3FB5" w:rsidP="00163B94" w:rsidRDefault="009D3FB5" w14:paraId="4429E08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4,9%</w:t>
            </w:r>
          </w:p>
        </w:tc>
      </w:tr>
      <w:tr w:rsidRPr="00AE1B2B" w:rsidR="009D3FB5" w:rsidTr="009D3FB5" w14:paraId="5BDF187C" w14:textId="77777777">
        <w:trPr>
          <w:trHeight w:val="312"/>
        </w:trPr>
        <w:tc>
          <w:tcPr>
            <w:tcW w:w="2836"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5B8EAD0A"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 Circ. Jud. Zona Atlántica (Pococí)</w:t>
            </w:r>
          </w:p>
        </w:tc>
        <w:tc>
          <w:tcPr>
            <w:tcW w:w="1276" w:type="dxa"/>
            <w:tcBorders>
              <w:top w:val="double" w:color="1F497D" w:sz="6" w:space="0"/>
              <w:left w:val="double" w:color="1F497D" w:sz="6" w:space="0"/>
              <w:bottom w:val="double" w:color="1F497D" w:sz="6" w:space="0"/>
              <w:right w:val="double" w:color="1F497D" w:sz="6" w:space="0"/>
            </w:tcBorders>
            <w:shd w:val="clear" w:color="000000" w:fill="FAB0B3"/>
            <w:vAlign w:val="center"/>
            <w:hideMark/>
          </w:tcPr>
          <w:p w:rsidRPr="00AE1B2B" w:rsidR="009D3FB5" w:rsidP="00163B94" w:rsidRDefault="009D3FB5" w14:paraId="0B91440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404</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EEABF5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154</w:t>
            </w:r>
          </w:p>
        </w:tc>
        <w:tc>
          <w:tcPr>
            <w:tcW w:w="127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EBC4D4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70</w:t>
            </w:r>
          </w:p>
        </w:tc>
        <w:tc>
          <w:tcPr>
            <w:tcW w:w="1183"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8EE0F6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w:t>
            </w:r>
          </w:p>
        </w:tc>
        <w:tc>
          <w:tcPr>
            <w:tcW w:w="136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FD20EF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w:t>
            </w:r>
          </w:p>
        </w:tc>
        <w:tc>
          <w:tcPr>
            <w:tcW w:w="993"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689572D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640</w:t>
            </w:r>
          </w:p>
        </w:tc>
        <w:tc>
          <w:tcPr>
            <w:tcW w:w="1417" w:type="dxa"/>
            <w:tcBorders>
              <w:top w:val="double" w:color="1F497D" w:sz="6" w:space="0"/>
              <w:left w:val="double" w:color="1F497D" w:sz="6" w:space="0"/>
              <w:bottom w:val="double" w:color="1F497D" w:sz="6" w:space="0"/>
              <w:right w:val="double" w:color="1F497D" w:sz="6" w:space="0"/>
            </w:tcBorders>
            <w:shd w:val="clear" w:color="000000" w:fill="6CC183"/>
            <w:vAlign w:val="center"/>
            <w:hideMark/>
          </w:tcPr>
          <w:p w:rsidRPr="00AE1B2B" w:rsidR="009D3FB5" w:rsidP="00163B94" w:rsidRDefault="009D3FB5" w14:paraId="4864BE2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1,1%</w:t>
            </w:r>
          </w:p>
        </w:tc>
      </w:tr>
      <w:tr w:rsidRPr="00AE1B2B" w:rsidR="009D3FB5" w:rsidTr="009D3FB5" w14:paraId="0442DD83" w14:textId="77777777">
        <w:trPr>
          <w:trHeight w:val="312"/>
        </w:trPr>
        <w:tc>
          <w:tcPr>
            <w:tcW w:w="2836"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8BB29BC"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Cartago</w:t>
            </w:r>
          </w:p>
        </w:tc>
        <w:tc>
          <w:tcPr>
            <w:tcW w:w="1276" w:type="dxa"/>
            <w:tcBorders>
              <w:top w:val="double" w:color="1F497D" w:sz="6" w:space="0"/>
              <w:left w:val="double" w:color="1F497D" w:sz="6" w:space="0"/>
              <w:bottom w:val="double" w:color="1F497D" w:sz="6" w:space="0"/>
              <w:right w:val="double" w:color="1F497D" w:sz="6" w:space="0"/>
            </w:tcBorders>
            <w:shd w:val="clear" w:color="000000" w:fill="FBBFC2"/>
            <w:vAlign w:val="center"/>
            <w:hideMark/>
          </w:tcPr>
          <w:p w:rsidRPr="00AE1B2B" w:rsidR="009D3FB5" w:rsidP="00163B94" w:rsidRDefault="009D3FB5" w14:paraId="5F3CDF3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362</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D4C63F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17</w:t>
            </w:r>
          </w:p>
        </w:tc>
        <w:tc>
          <w:tcPr>
            <w:tcW w:w="127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6A33DB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52</w:t>
            </w:r>
          </w:p>
        </w:tc>
        <w:tc>
          <w:tcPr>
            <w:tcW w:w="1183"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F845B0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15</w:t>
            </w:r>
          </w:p>
        </w:tc>
        <w:tc>
          <w:tcPr>
            <w:tcW w:w="136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3A5979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93"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02B5CA49"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446</w:t>
            </w:r>
          </w:p>
        </w:tc>
        <w:tc>
          <w:tcPr>
            <w:tcW w:w="1417" w:type="dxa"/>
            <w:tcBorders>
              <w:top w:val="double" w:color="1F497D" w:sz="6" w:space="0"/>
              <w:left w:val="double" w:color="1F497D" w:sz="6" w:space="0"/>
              <w:bottom w:val="double" w:color="1F497D" w:sz="6" w:space="0"/>
              <w:right w:val="double" w:color="1F497D" w:sz="6" w:space="0"/>
            </w:tcBorders>
            <w:shd w:val="clear" w:color="000000" w:fill="B5DFC1"/>
            <w:vAlign w:val="center"/>
            <w:hideMark/>
          </w:tcPr>
          <w:p w:rsidRPr="00AE1B2B" w:rsidR="009D3FB5" w:rsidP="00163B94" w:rsidRDefault="009D3FB5" w14:paraId="131E161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3,4%</w:t>
            </w:r>
          </w:p>
        </w:tc>
      </w:tr>
      <w:tr w:rsidRPr="00AE1B2B" w:rsidR="009D3FB5" w:rsidTr="009D3FB5" w14:paraId="2F9421AE" w14:textId="77777777">
        <w:trPr>
          <w:trHeight w:val="312"/>
        </w:trPr>
        <w:tc>
          <w:tcPr>
            <w:tcW w:w="2836"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4388A96"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Zona Atlántica (Limón)</w:t>
            </w:r>
          </w:p>
        </w:tc>
        <w:tc>
          <w:tcPr>
            <w:tcW w:w="1276" w:type="dxa"/>
            <w:tcBorders>
              <w:top w:val="double" w:color="1F497D" w:sz="6" w:space="0"/>
              <w:left w:val="double" w:color="1F497D" w:sz="6" w:space="0"/>
              <w:bottom w:val="double" w:color="1F497D" w:sz="6" w:space="0"/>
              <w:right w:val="double" w:color="1F497D" w:sz="6" w:space="0"/>
            </w:tcBorders>
            <w:shd w:val="clear" w:color="000000" w:fill="FBC9CC"/>
            <w:vAlign w:val="center"/>
            <w:hideMark/>
          </w:tcPr>
          <w:p w:rsidRPr="00AE1B2B" w:rsidR="009D3FB5" w:rsidP="00163B94" w:rsidRDefault="009D3FB5" w14:paraId="5829657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333</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726A9A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290</w:t>
            </w:r>
          </w:p>
        </w:tc>
        <w:tc>
          <w:tcPr>
            <w:tcW w:w="127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147253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12</w:t>
            </w:r>
          </w:p>
        </w:tc>
        <w:tc>
          <w:tcPr>
            <w:tcW w:w="1183"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16B75A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28</w:t>
            </w:r>
          </w:p>
        </w:tc>
        <w:tc>
          <w:tcPr>
            <w:tcW w:w="136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28CD31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93"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4F8A1FB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663</w:t>
            </w:r>
          </w:p>
        </w:tc>
        <w:tc>
          <w:tcPr>
            <w:tcW w:w="1417" w:type="dxa"/>
            <w:tcBorders>
              <w:top w:val="double" w:color="1F497D" w:sz="6" w:space="0"/>
              <w:left w:val="double" w:color="1F497D" w:sz="6" w:space="0"/>
              <w:bottom w:val="double" w:color="1F497D" w:sz="6" w:space="0"/>
              <w:right w:val="double" w:color="1F497D" w:sz="6" w:space="0"/>
            </w:tcBorders>
            <w:shd w:val="clear" w:color="000000" w:fill="D0EAD9"/>
            <w:vAlign w:val="center"/>
            <w:hideMark/>
          </w:tcPr>
          <w:p w:rsidRPr="00AE1B2B" w:rsidR="009D3FB5" w:rsidP="00163B94" w:rsidRDefault="009D3FB5" w14:paraId="00F0C3C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4,2%</w:t>
            </w:r>
          </w:p>
        </w:tc>
      </w:tr>
      <w:tr w:rsidRPr="00AE1B2B" w:rsidR="009D3FB5" w:rsidTr="009D3FB5" w14:paraId="77D1F142" w14:textId="77777777">
        <w:trPr>
          <w:trHeight w:val="312"/>
        </w:trPr>
        <w:tc>
          <w:tcPr>
            <w:tcW w:w="2836"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0DCEF5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 Circ. Jud. Zona Sur (Corredores)</w:t>
            </w:r>
          </w:p>
        </w:tc>
        <w:tc>
          <w:tcPr>
            <w:tcW w:w="1276" w:type="dxa"/>
            <w:tcBorders>
              <w:top w:val="double" w:color="1F497D" w:sz="6" w:space="0"/>
              <w:left w:val="double" w:color="1F497D" w:sz="6" w:space="0"/>
              <w:bottom w:val="double" w:color="1F497D" w:sz="6" w:space="0"/>
              <w:right w:val="double" w:color="1F497D" w:sz="6" w:space="0"/>
            </w:tcBorders>
            <w:shd w:val="clear" w:color="000000" w:fill="FCE6E8"/>
            <w:vAlign w:val="center"/>
            <w:hideMark/>
          </w:tcPr>
          <w:p w:rsidRPr="00AE1B2B" w:rsidR="009D3FB5" w:rsidP="00163B94" w:rsidRDefault="009D3FB5" w14:paraId="16D7E8B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252</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407848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94</w:t>
            </w:r>
          </w:p>
        </w:tc>
        <w:tc>
          <w:tcPr>
            <w:tcW w:w="127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F73226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91</w:t>
            </w:r>
          </w:p>
        </w:tc>
        <w:tc>
          <w:tcPr>
            <w:tcW w:w="1183"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EFBA5A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67</w:t>
            </w:r>
          </w:p>
        </w:tc>
        <w:tc>
          <w:tcPr>
            <w:tcW w:w="136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70EE88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93"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11FAB233"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504</w:t>
            </w:r>
          </w:p>
        </w:tc>
        <w:tc>
          <w:tcPr>
            <w:tcW w:w="1417" w:type="dxa"/>
            <w:tcBorders>
              <w:top w:val="double" w:color="1F497D" w:sz="6" w:space="0"/>
              <w:left w:val="double" w:color="1F497D" w:sz="6" w:space="0"/>
              <w:bottom w:val="double" w:color="1F497D" w:sz="6" w:space="0"/>
              <w:right w:val="double" w:color="1F497D" w:sz="6" w:space="0"/>
            </w:tcBorders>
            <w:shd w:val="clear" w:color="000000" w:fill="F9797B"/>
            <w:vAlign w:val="center"/>
            <w:hideMark/>
          </w:tcPr>
          <w:p w:rsidRPr="00AE1B2B" w:rsidR="009D3FB5" w:rsidP="00163B94" w:rsidRDefault="009D3FB5" w14:paraId="5993027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13,3%</w:t>
            </w:r>
          </w:p>
        </w:tc>
      </w:tr>
      <w:tr w:rsidRPr="00AE1B2B" w:rsidR="009D3FB5" w:rsidTr="009D3FB5" w14:paraId="42B1EA36" w14:textId="77777777">
        <w:trPr>
          <w:trHeight w:val="312"/>
        </w:trPr>
        <w:tc>
          <w:tcPr>
            <w:tcW w:w="2836"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4C215801"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Alajuela</w:t>
            </w:r>
          </w:p>
        </w:tc>
        <w:tc>
          <w:tcPr>
            <w:tcW w:w="1276" w:type="dxa"/>
            <w:tcBorders>
              <w:top w:val="double" w:color="1F497D" w:sz="6" w:space="0"/>
              <w:left w:val="double" w:color="1F497D" w:sz="6" w:space="0"/>
              <w:bottom w:val="double" w:color="1F497D" w:sz="6" w:space="0"/>
              <w:right w:val="double" w:color="1F497D" w:sz="6" w:space="0"/>
            </w:tcBorders>
            <w:shd w:val="clear" w:color="000000" w:fill="FCEEF1"/>
            <w:vAlign w:val="center"/>
            <w:hideMark/>
          </w:tcPr>
          <w:p w:rsidRPr="00AE1B2B" w:rsidR="009D3FB5" w:rsidP="00163B94" w:rsidRDefault="009D3FB5" w14:paraId="3639EEE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229</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78F449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71</w:t>
            </w:r>
          </w:p>
        </w:tc>
        <w:tc>
          <w:tcPr>
            <w:tcW w:w="127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E47874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44</w:t>
            </w:r>
          </w:p>
        </w:tc>
        <w:tc>
          <w:tcPr>
            <w:tcW w:w="1183"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91CDB7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34</w:t>
            </w:r>
          </w:p>
        </w:tc>
        <w:tc>
          <w:tcPr>
            <w:tcW w:w="136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31C8B6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w:t>
            </w:r>
          </w:p>
        </w:tc>
        <w:tc>
          <w:tcPr>
            <w:tcW w:w="993"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791C84BE"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387</w:t>
            </w:r>
          </w:p>
        </w:tc>
        <w:tc>
          <w:tcPr>
            <w:tcW w:w="1417" w:type="dxa"/>
            <w:tcBorders>
              <w:top w:val="double" w:color="1F497D" w:sz="6" w:space="0"/>
              <w:left w:val="double" w:color="1F497D" w:sz="6" w:space="0"/>
              <w:bottom w:val="double" w:color="1F497D" w:sz="6" w:space="0"/>
              <w:right w:val="double" w:color="1F497D" w:sz="6" w:space="0"/>
            </w:tcBorders>
            <w:shd w:val="clear" w:color="000000" w:fill="FBC6C8"/>
            <w:vAlign w:val="center"/>
            <w:hideMark/>
          </w:tcPr>
          <w:p w:rsidRPr="00AE1B2B" w:rsidR="009D3FB5" w:rsidP="00163B94" w:rsidRDefault="009D3FB5" w14:paraId="561D722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8,8%</w:t>
            </w:r>
          </w:p>
        </w:tc>
      </w:tr>
      <w:tr w:rsidRPr="00AE1B2B" w:rsidR="009D3FB5" w:rsidTr="009D3FB5" w14:paraId="0D18C648" w14:textId="77777777">
        <w:trPr>
          <w:trHeight w:val="312"/>
        </w:trPr>
        <w:tc>
          <w:tcPr>
            <w:tcW w:w="2836"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3E72E67E"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Guanacaste (Liberia)</w:t>
            </w:r>
          </w:p>
        </w:tc>
        <w:tc>
          <w:tcPr>
            <w:tcW w:w="1276" w:type="dxa"/>
            <w:tcBorders>
              <w:top w:val="double" w:color="1F497D" w:sz="6" w:space="0"/>
              <w:left w:val="double" w:color="1F497D" w:sz="6" w:space="0"/>
              <w:bottom w:val="double" w:color="1F497D" w:sz="6" w:space="0"/>
              <w:right w:val="double" w:color="1F497D" w:sz="6" w:space="0"/>
            </w:tcBorders>
            <w:shd w:val="clear" w:color="000000" w:fill="FCFCFF"/>
            <w:vAlign w:val="center"/>
            <w:hideMark/>
          </w:tcPr>
          <w:p w:rsidRPr="00AE1B2B" w:rsidR="009D3FB5" w:rsidP="00163B94" w:rsidRDefault="009D3FB5" w14:paraId="5901578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187</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38885A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130</w:t>
            </w:r>
          </w:p>
        </w:tc>
        <w:tc>
          <w:tcPr>
            <w:tcW w:w="127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77C31C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77</w:t>
            </w:r>
          </w:p>
        </w:tc>
        <w:tc>
          <w:tcPr>
            <w:tcW w:w="1183"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28F996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37</w:t>
            </w:r>
          </w:p>
        </w:tc>
        <w:tc>
          <w:tcPr>
            <w:tcW w:w="136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9FC0D8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93"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359F03F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431</w:t>
            </w:r>
          </w:p>
        </w:tc>
        <w:tc>
          <w:tcPr>
            <w:tcW w:w="1417" w:type="dxa"/>
            <w:tcBorders>
              <w:top w:val="double" w:color="1F497D" w:sz="6" w:space="0"/>
              <w:left w:val="double" w:color="1F497D" w:sz="6" w:space="0"/>
              <w:bottom w:val="double" w:color="1F497D" w:sz="6" w:space="0"/>
              <w:right w:val="double" w:color="1F497D" w:sz="6" w:space="0"/>
            </w:tcBorders>
            <w:shd w:val="clear" w:color="000000" w:fill="FBC9CC"/>
            <w:vAlign w:val="center"/>
            <w:hideMark/>
          </w:tcPr>
          <w:p w:rsidRPr="00AE1B2B" w:rsidR="009D3FB5" w:rsidP="00163B94" w:rsidRDefault="009D3FB5" w14:paraId="30677C5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8,6%</w:t>
            </w:r>
          </w:p>
        </w:tc>
      </w:tr>
      <w:tr w:rsidRPr="00AE1B2B" w:rsidR="009D3FB5" w:rsidTr="009D3FB5" w14:paraId="3AD3E12D" w14:textId="77777777">
        <w:trPr>
          <w:trHeight w:val="312"/>
        </w:trPr>
        <w:tc>
          <w:tcPr>
            <w:tcW w:w="2836"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A7B7AF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III Circ. Jud. Alajuela (San Ramón)</w:t>
            </w:r>
          </w:p>
        </w:tc>
        <w:tc>
          <w:tcPr>
            <w:tcW w:w="1276" w:type="dxa"/>
            <w:tcBorders>
              <w:top w:val="double" w:color="1F497D" w:sz="6" w:space="0"/>
              <w:left w:val="double" w:color="1F497D" w:sz="6" w:space="0"/>
              <w:bottom w:val="double" w:color="1F497D" w:sz="6" w:space="0"/>
              <w:right w:val="double" w:color="1F497D" w:sz="6" w:space="0"/>
            </w:tcBorders>
            <w:shd w:val="clear" w:color="000000" w:fill="FBFBFE"/>
            <w:vAlign w:val="center"/>
            <w:hideMark/>
          </w:tcPr>
          <w:p w:rsidRPr="00AE1B2B" w:rsidR="009D3FB5" w:rsidP="00163B94" w:rsidRDefault="009D3FB5" w14:paraId="3E2A3D0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186</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57374A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80</w:t>
            </w:r>
          </w:p>
        </w:tc>
        <w:tc>
          <w:tcPr>
            <w:tcW w:w="127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94F1F5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43</w:t>
            </w:r>
          </w:p>
        </w:tc>
        <w:tc>
          <w:tcPr>
            <w:tcW w:w="1183"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B71D2A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24</w:t>
            </w:r>
          </w:p>
        </w:tc>
        <w:tc>
          <w:tcPr>
            <w:tcW w:w="136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8AC05A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993"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7A62749E"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335</w:t>
            </w:r>
          </w:p>
        </w:tc>
        <w:tc>
          <w:tcPr>
            <w:tcW w:w="1417" w:type="dxa"/>
            <w:tcBorders>
              <w:top w:val="double" w:color="1F497D" w:sz="6" w:space="0"/>
              <w:left w:val="double" w:color="1F497D" w:sz="6" w:space="0"/>
              <w:bottom w:val="double" w:color="1F497D" w:sz="6" w:space="0"/>
              <w:right w:val="double" w:color="1F497D" w:sz="6" w:space="0"/>
            </w:tcBorders>
            <w:shd w:val="clear" w:color="000000" w:fill="FCE1E4"/>
            <w:vAlign w:val="center"/>
            <w:hideMark/>
          </w:tcPr>
          <w:p w:rsidRPr="00AE1B2B" w:rsidR="009D3FB5" w:rsidP="00163B94" w:rsidRDefault="009D3FB5" w14:paraId="2E20C93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7,2%</w:t>
            </w:r>
          </w:p>
        </w:tc>
      </w:tr>
      <w:tr w:rsidRPr="00AE1B2B" w:rsidR="009D3FB5" w:rsidTr="009D3FB5" w14:paraId="70F80CF1" w14:textId="77777777">
        <w:trPr>
          <w:trHeight w:val="312"/>
        </w:trPr>
        <w:tc>
          <w:tcPr>
            <w:tcW w:w="2836"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D725CE7"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 Circ. Jud. Alajuela (San Carlos)</w:t>
            </w:r>
          </w:p>
        </w:tc>
        <w:tc>
          <w:tcPr>
            <w:tcW w:w="1276" w:type="dxa"/>
            <w:tcBorders>
              <w:top w:val="double" w:color="1F497D" w:sz="6" w:space="0"/>
              <w:left w:val="double" w:color="1F497D" w:sz="6" w:space="0"/>
              <w:bottom w:val="double" w:color="1F497D" w:sz="6" w:space="0"/>
              <w:right w:val="double" w:color="1F497D" w:sz="6" w:space="0"/>
            </w:tcBorders>
            <w:shd w:val="clear" w:color="000000" w:fill="E3F1E9"/>
            <w:vAlign w:val="center"/>
            <w:hideMark/>
          </w:tcPr>
          <w:p w:rsidRPr="00AE1B2B" w:rsidR="009D3FB5" w:rsidP="00163B94" w:rsidRDefault="009D3FB5" w14:paraId="5762F6C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162</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AA27A6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199</w:t>
            </w:r>
          </w:p>
        </w:tc>
        <w:tc>
          <w:tcPr>
            <w:tcW w:w="127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63D8A4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30</w:t>
            </w:r>
          </w:p>
        </w:tc>
        <w:tc>
          <w:tcPr>
            <w:tcW w:w="1183"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1EF3BC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65</w:t>
            </w:r>
          </w:p>
        </w:tc>
        <w:tc>
          <w:tcPr>
            <w:tcW w:w="136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1D54E0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993"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4F1E8136"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458</w:t>
            </w:r>
          </w:p>
        </w:tc>
        <w:tc>
          <w:tcPr>
            <w:tcW w:w="1417" w:type="dxa"/>
            <w:tcBorders>
              <w:top w:val="double" w:color="1F497D" w:sz="6" w:space="0"/>
              <w:left w:val="double" w:color="1F497D" w:sz="6" w:space="0"/>
              <w:bottom w:val="double" w:color="1F497D" w:sz="6" w:space="0"/>
              <w:right w:val="double" w:color="1F497D" w:sz="6" w:space="0"/>
            </w:tcBorders>
            <w:shd w:val="clear" w:color="000000" w:fill="F8696B"/>
            <w:vAlign w:val="center"/>
            <w:hideMark/>
          </w:tcPr>
          <w:p w:rsidRPr="00AE1B2B" w:rsidR="009D3FB5" w:rsidP="00163B94" w:rsidRDefault="009D3FB5" w14:paraId="604FD05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14,2%</w:t>
            </w:r>
          </w:p>
        </w:tc>
      </w:tr>
      <w:tr w:rsidRPr="00AE1B2B" w:rsidR="009D3FB5" w:rsidTr="009D3FB5" w14:paraId="3C07D2FB" w14:textId="77777777">
        <w:trPr>
          <w:trHeight w:val="312"/>
        </w:trPr>
        <w:tc>
          <w:tcPr>
            <w:tcW w:w="2836"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77155F00"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lastRenderedPageBreak/>
              <w:t>Juzgado Civil, Trabajo y Agrario Turrialba</w:t>
            </w:r>
          </w:p>
        </w:tc>
        <w:tc>
          <w:tcPr>
            <w:tcW w:w="1276" w:type="dxa"/>
            <w:tcBorders>
              <w:top w:val="double" w:color="1F497D" w:sz="6" w:space="0"/>
              <w:left w:val="double" w:color="1F497D" w:sz="6" w:space="0"/>
              <w:bottom w:val="double" w:color="1F497D" w:sz="6" w:space="0"/>
              <w:right w:val="double" w:color="1F497D" w:sz="6" w:space="0"/>
            </w:tcBorders>
            <w:shd w:val="clear" w:color="000000" w:fill="CFE9D8"/>
            <w:vAlign w:val="center"/>
            <w:hideMark/>
          </w:tcPr>
          <w:p w:rsidRPr="00AE1B2B" w:rsidR="009D3FB5" w:rsidP="00163B94" w:rsidRDefault="009D3FB5" w14:paraId="09EA811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142</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467B74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20</w:t>
            </w:r>
          </w:p>
        </w:tc>
        <w:tc>
          <w:tcPr>
            <w:tcW w:w="127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9EE3FA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17</w:t>
            </w:r>
          </w:p>
        </w:tc>
        <w:tc>
          <w:tcPr>
            <w:tcW w:w="1183"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40C0FD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w:t>
            </w:r>
          </w:p>
        </w:tc>
        <w:tc>
          <w:tcPr>
            <w:tcW w:w="136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DC81A0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93"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409B2222"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182</w:t>
            </w:r>
          </w:p>
        </w:tc>
        <w:tc>
          <w:tcPr>
            <w:tcW w:w="1417" w:type="dxa"/>
            <w:tcBorders>
              <w:top w:val="double" w:color="1F497D" w:sz="6" w:space="0"/>
              <w:left w:val="double" w:color="1F497D" w:sz="6" w:space="0"/>
              <w:bottom w:val="double" w:color="1F497D" w:sz="6" w:space="0"/>
              <w:right w:val="double" w:color="1F497D" w:sz="6" w:space="0"/>
            </w:tcBorders>
            <w:shd w:val="clear" w:color="000000" w:fill="7EC992"/>
            <w:vAlign w:val="center"/>
            <w:hideMark/>
          </w:tcPr>
          <w:p w:rsidRPr="00AE1B2B" w:rsidR="009D3FB5" w:rsidP="00163B94" w:rsidRDefault="009D3FB5" w14:paraId="1A7956E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r>
      <w:tr w:rsidRPr="00AE1B2B" w:rsidR="009D3FB5" w:rsidTr="009D3FB5" w14:paraId="0C1D9D2F" w14:textId="77777777">
        <w:trPr>
          <w:trHeight w:val="312"/>
        </w:trPr>
        <w:tc>
          <w:tcPr>
            <w:tcW w:w="2836"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335B2B7"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Civil, Trabajo, Familia, Agrario, Penal Juvenil, Contra la Violencia Doméstica y Protección Cautelar Buenos Aires</w:t>
            </w:r>
          </w:p>
        </w:tc>
        <w:tc>
          <w:tcPr>
            <w:tcW w:w="1276" w:type="dxa"/>
            <w:tcBorders>
              <w:top w:val="double" w:color="1F497D" w:sz="6" w:space="0"/>
              <w:left w:val="double" w:color="1F497D" w:sz="6" w:space="0"/>
              <w:bottom w:val="double" w:color="1F497D" w:sz="6" w:space="0"/>
              <w:right w:val="double" w:color="1F497D" w:sz="6" w:space="0"/>
            </w:tcBorders>
            <w:shd w:val="clear" w:color="000000" w:fill="C4E5CF"/>
            <w:vAlign w:val="center"/>
            <w:hideMark/>
          </w:tcPr>
          <w:p w:rsidRPr="00AE1B2B" w:rsidR="009D3FB5" w:rsidP="00163B94" w:rsidRDefault="009D3FB5" w14:paraId="0E15CD8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131</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57B877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145</w:t>
            </w:r>
          </w:p>
        </w:tc>
        <w:tc>
          <w:tcPr>
            <w:tcW w:w="127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F08D9F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41</w:t>
            </w:r>
          </w:p>
        </w:tc>
        <w:tc>
          <w:tcPr>
            <w:tcW w:w="1183"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19F9F3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20</w:t>
            </w:r>
          </w:p>
        </w:tc>
        <w:tc>
          <w:tcPr>
            <w:tcW w:w="136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3AB044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w:t>
            </w:r>
          </w:p>
        </w:tc>
        <w:tc>
          <w:tcPr>
            <w:tcW w:w="993"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62D0CE38"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340</w:t>
            </w:r>
          </w:p>
        </w:tc>
        <w:tc>
          <w:tcPr>
            <w:tcW w:w="1417" w:type="dxa"/>
            <w:tcBorders>
              <w:top w:val="double" w:color="1F497D" w:sz="6" w:space="0"/>
              <w:left w:val="double" w:color="1F497D" w:sz="6" w:space="0"/>
              <w:bottom w:val="double" w:color="1F497D" w:sz="6" w:space="0"/>
              <w:right w:val="double" w:color="1F497D" w:sz="6" w:space="0"/>
            </w:tcBorders>
            <w:shd w:val="clear" w:color="000000" w:fill="FCF7FA"/>
            <w:vAlign w:val="center"/>
            <w:hideMark/>
          </w:tcPr>
          <w:p w:rsidRPr="00AE1B2B" w:rsidR="009D3FB5" w:rsidP="00163B94" w:rsidRDefault="009D3FB5" w14:paraId="7F8428C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5,9%</w:t>
            </w:r>
          </w:p>
        </w:tc>
      </w:tr>
      <w:tr w:rsidRPr="00AE1B2B" w:rsidR="009D3FB5" w:rsidTr="009D3FB5" w14:paraId="5FA76056" w14:textId="77777777">
        <w:trPr>
          <w:trHeight w:val="312"/>
        </w:trPr>
        <w:tc>
          <w:tcPr>
            <w:tcW w:w="2836"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723D8C8"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Zona Sur (Pérez Zeledón)</w:t>
            </w:r>
          </w:p>
        </w:tc>
        <w:tc>
          <w:tcPr>
            <w:tcW w:w="1276" w:type="dxa"/>
            <w:tcBorders>
              <w:top w:val="double" w:color="1F497D" w:sz="6" w:space="0"/>
              <w:left w:val="double" w:color="1F497D" w:sz="6" w:space="0"/>
              <w:bottom w:val="double" w:color="1F497D" w:sz="6" w:space="0"/>
              <w:right w:val="double" w:color="1F497D" w:sz="6" w:space="0"/>
            </w:tcBorders>
            <w:shd w:val="clear" w:color="000000" w:fill="ADDCBB"/>
            <w:vAlign w:val="center"/>
            <w:hideMark/>
          </w:tcPr>
          <w:p w:rsidRPr="00AE1B2B" w:rsidR="009D3FB5" w:rsidP="00163B94" w:rsidRDefault="009D3FB5" w14:paraId="6540602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108</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1B5766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157</w:t>
            </w:r>
          </w:p>
        </w:tc>
        <w:tc>
          <w:tcPr>
            <w:tcW w:w="127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98D57F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71</w:t>
            </w:r>
          </w:p>
        </w:tc>
        <w:tc>
          <w:tcPr>
            <w:tcW w:w="1183"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E7572D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36</w:t>
            </w:r>
          </w:p>
        </w:tc>
        <w:tc>
          <w:tcPr>
            <w:tcW w:w="136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AC31AC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93"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49E68C52"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372</w:t>
            </w:r>
          </w:p>
        </w:tc>
        <w:tc>
          <w:tcPr>
            <w:tcW w:w="1417" w:type="dxa"/>
            <w:tcBorders>
              <w:top w:val="double" w:color="1F497D" w:sz="6" w:space="0"/>
              <w:left w:val="double" w:color="1F497D" w:sz="6" w:space="0"/>
              <w:bottom w:val="double" w:color="1F497D" w:sz="6" w:space="0"/>
              <w:right w:val="double" w:color="1F497D" w:sz="6" w:space="0"/>
            </w:tcBorders>
            <w:shd w:val="clear" w:color="000000" w:fill="FBB7B9"/>
            <w:vAlign w:val="center"/>
            <w:hideMark/>
          </w:tcPr>
          <w:p w:rsidRPr="00AE1B2B" w:rsidR="009D3FB5" w:rsidP="00163B94" w:rsidRDefault="009D3FB5" w14:paraId="2CA20BB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9,7%</w:t>
            </w:r>
          </w:p>
        </w:tc>
      </w:tr>
      <w:tr w:rsidRPr="00AE1B2B" w:rsidR="009D3FB5" w:rsidTr="009D3FB5" w14:paraId="769DF0DC" w14:textId="77777777">
        <w:trPr>
          <w:trHeight w:val="312"/>
        </w:trPr>
        <w:tc>
          <w:tcPr>
            <w:tcW w:w="2836"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3327B7A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 Circ. Jud. San José</w:t>
            </w:r>
          </w:p>
        </w:tc>
        <w:tc>
          <w:tcPr>
            <w:tcW w:w="1276" w:type="dxa"/>
            <w:tcBorders>
              <w:top w:val="double" w:color="1F497D" w:sz="6" w:space="0"/>
              <w:left w:val="double" w:color="1F497D" w:sz="6" w:space="0"/>
              <w:bottom w:val="double" w:color="1F497D" w:sz="6" w:space="0"/>
              <w:right w:val="double" w:color="1F497D" w:sz="6" w:space="0"/>
            </w:tcBorders>
            <w:shd w:val="clear" w:color="000000" w:fill="ADDCBB"/>
            <w:vAlign w:val="center"/>
            <w:hideMark/>
          </w:tcPr>
          <w:p w:rsidRPr="00AE1B2B" w:rsidR="009D3FB5" w:rsidP="00163B94" w:rsidRDefault="009D3FB5" w14:paraId="15BE726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108</w:t>
            </w:r>
          </w:p>
        </w:tc>
        <w:tc>
          <w:tcPr>
            <w:tcW w:w="155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6373A8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57</w:t>
            </w:r>
          </w:p>
        </w:tc>
        <w:tc>
          <w:tcPr>
            <w:tcW w:w="1276"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FCDECF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71</w:t>
            </w:r>
          </w:p>
        </w:tc>
        <w:tc>
          <w:tcPr>
            <w:tcW w:w="1183"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A09A7D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14</w:t>
            </w:r>
          </w:p>
        </w:tc>
        <w:tc>
          <w:tcPr>
            <w:tcW w:w="136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F78953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993"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6001E62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251</w:t>
            </w:r>
          </w:p>
        </w:tc>
        <w:tc>
          <w:tcPr>
            <w:tcW w:w="1417" w:type="dxa"/>
            <w:tcBorders>
              <w:top w:val="double" w:color="1F497D" w:sz="6" w:space="0"/>
              <w:left w:val="double" w:color="1F497D" w:sz="6" w:space="0"/>
              <w:bottom w:val="double" w:color="1F497D" w:sz="6" w:space="0"/>
              <w:right w:val="double" w:color="1F497D" w:sz="6" w:space="0"/>
            </w:tcBorders>
            <w:shd w:val="clear" w:color="000000" w:fill="FCFCFF"/>
            <w:vAlign w:val="center"/>
            <w:hideMark/>
          </w:tcPr>
          <w:p w:rsidRPr="00AE1B2B" w:rsidR="009D3FB5" w:rsidP="00163B94" w:rsidRDefault="009D3FB5" w14:paraId="43E656D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5,6%</w:t>
            </w:r>
          </w:p>
        </w:tc>
      </w:tr>
      <w:tr w:rsidRPr="00AE1B2B" w:rsidR="009D3FB5" w:rsidTr="009D3FB5" w14:paraId="6A4C2377" w14:textId="77777777">
        <w:trPr>
          <w:trHeight w:val="312"/>
        </w:trPr>
        <w:tc>
          <w:tcPr>
            <w:tcW w:w="2836" w:type="dxa"/>
            <w:tcBorders>
              <w:top w:val="nil"/>
              <w:left w:val="double" w:color="1F497D" w:sz="6" w:space="0"/>
              <w:bottom w:val="double" w:color="1F4E79" w:themeColor="accent1" w:themeShade="80" w:sz="4" w:space="0"/>
              <w:right w:val="double" w:color="1F497D" w:sz="6" w:space="0"/>
            </w:tcBorders>
            <w:shd w:val="clear" w:color="auto" w:fill="auto"/>
            <w:noWrap/>
            <w:vAlign w:val="center"/>
            <w:hideMark/>
          </w:tcPr>
          <w:p w:rsidRPr="00AE1B2B" w:rsidR="009D3FB5" w:rsidP="00163B94" w:rsidRDefault="009D3FB5" w14:paraId="242E0CB4"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Puntarenas</w:t>
            </w:r>
          </w:p>
        </w:tc>
        <w:tc>
          <w:tcPr>
            <w:tcW w:w="1276" w:type="dxa"/>
            <w:tcBorders>
              <w:top w:val="double" w:color="1F497D" w:sz="6" w:space="0"/>
              <w:left w:val="double" w:color="1F497D" w:sz="6" w:space="0"/>
              <w:bottom w:val="double" w:color="1F4E79" w:themeColor="accent1" w:themeShade="80" w:sz="4" w:space="0"/>
              <w:right w:val="double" w:color="1F497D" w:sz="6" w:space="0"/>
            </w:tcBorders>
            <w:shd w:val="clear" w:color="000000" w:fill="63BE7B"/>
            <w:vAlign w:val="center"/>
            <w:hideMark/>
          </w:tcPr>
          <w:p w:rsidRPr="00AE1B2B" w:rsidR="009D3FB5" w:rsidP="00163B94" w:rsidRDefault="009D3FB5" w14:paraId="15AA14B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33</w:t>
            </w:r>
          </w:p>
        </w:tc>
        <w:tc>
          <w:tcPr>
            <w:tcW w:w="1559" w:type="dxa"/>
            <w:tcBorders>
              <w:top w:val="nil"/>
              <w:left w:val="nil"/>
              <w:bottom w:val="double" w:color="1F4E79" w:themeColor="accent1" w:themeShade="80" w:sz="4" w:space="0"/>
              <w:right w:val="double" w:color="1F497D" w:sz="6" w:space="0"/>
            </w:tcBorders>
            <w:shd w:val="clear" w:color="auto" w:fill="auto"/>
            <w:vAlign w:val="center"/>
            <w:hideMark/>
          </w:tcPr>
          <w:p w:rsidRPr="00AE1B2B" w:rsidR="009D3FB5" w:rsidP="00163B94" w:rsidRDefault="009D3FB5" w14:paraId="38E929E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351</w:t>
            </w:r>
          </w:p>
        </w:tc>
        <w:tc>
          <w:tcPr>
            <w:tcW w:w="1276" w:type="dxa"/>
            <w:tcBorders>
              <w:top w:val="nil"/>
              <w:left w:val="nil"/>
              <w:bottom w:val="double" w:color="1F4E79" w:themeColor="accent1" w:themeShade="80" w:sz="4" w:space="0"/>
              <w:right w:val="double" w:color="1F497D" w:sz="6" w:space="0"/>
            </w:tcBorders>
            <w:shd w:val="clear" w:color="auto" w:fill="auto"/>
            <w:vAlign w:val="center"/>
            <w:hideMark/>
          </w:tcPr>
          <w:p w:rsidRPr="00AE1B2B" w:rsidR="009D3FB5" w:rsidP="00163B94" w:rsidRDefault="009D3FB5" w14:paraId="63F8C3E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56</w:t>
            </w:r>
          </w:p>
        </w:tc>
        <w:tc>
          <w:tcPr>
            <w:tcW w:w="1183" w:type="dxa"/>
            <w:tcBorders>
              <w:top w:val="nil"/>
              <w:left w:val="nil"/>
              <w:bottom w:val="double" w:color="1F4E79" w:themeColor="accent1" w:themeShade="80" w:sz="4" w:space="0"/>
              <w:right w:val="double" w:color="1F497D" w:sz="6" w:space="0"/>
            </w:tcBorders>
            <w:shd w:val="clear" w:color="auto" w:fill="auto"/>
            <w:vAlign w:val="center"/>
            <w:hideMark/>
          </w:tcPr>
          <w:p w:rsidRPr="00AE1B2B" w:rsidR="009D3FB5" w:rsidP="00163B94" w:rsidRDefault="009D3FB5" w14:paraId="598057F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c>
          <w:tcPr>
            <w:tcW w:w="1368" w:type="dxa"/>
            <w:tcBorders>
              <w:top w:val="nil"/>
              <w:left w:val="nil"/>
              <w:bottom w:val="double" w:color="1F4E79" w:themeColor="accent1" w:themeShade="80" w:sz="4" w:space="0"/>
              <w:right w:val="double" w:color="1F497D" w:sz="6" w:space="0"/>
            </w:tcBorders>
            <w:shd w:val="clear" w:color="auto" w:fill="auto"/>
            <w:vAlign w:val="center"/>
            <w:hideMark/>
          </w:tcPr>
          <w:p w:rsidRPr="00AE1B2B" w:rsidR="009D3FB5" w:rsidP="00163B94" w:rsidRDefault="009D3FB5" w14:paraId="2BBBCA3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0</w:t>
            </w:r>
          </w:p>
        </w:tc>
        <w:tc>
          <w:tcPr>
            <w:tcW w:w="993" w:type="dxa"/>
            <w:tcBorders>
              <w:top w:val="nil"/>
              <w:left w:val="nil"/>
              <w:bottom w:val="double" w:color="1F4E79" w:themeColor="accent1" w:themeShade="80" w:sz="4" w:space="0"/>
              <w:right w:val="double" w:color="1F497D" w:sz="6" w:space="0"/>
            </w:tcBorders>
            <w:shd w:val="clear" w:color="000000" w:fill="DCE6F1"/>
            <w:noWrap/>
            <w:vAlign w:val="center"/>
            <w:hideMark/>
          </w:tcPr>
          <w:p w:rsidRPr="00AE1B2B" w:rsidR="009D3FB5" w:rsidP="00163B94" w:rsidRDefault="009D3FB5" w14:paraId="5E4A7DB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456</w:t>
            </w:r>
          </w:p>
        </w:tc>
        <w:tc>
          <w:tcPr>
            <w:tcW w:w="1417" w:type="dxa"/>
            <w:tcBorders>
              <w:top w:val="double" w:color="1F497D" w:sz="6" w:space="0"/>
              <w:left w:val="double" w:color="1F497D" w:sz="6" w:space="0"/>
              <w:bottom w:val="double" w:color="1F4E79" w:themeColor="accent1" w:themeShade="80" w:sz="4" w:space="0"/>
              <w:right w:val="double" w:color="1F497D" w:sz="6" w:space="0"/>
            </w:tcBorders>
            <w:shd w:val="clear" w:color="000000" w:fill="B9E1C5"/>
            <w:vAlign w:val="center"/>
            <w:hideMark/>
          </w:tcPr>
          <w:p w:rsidRPr="00AE1B2B" w:rsidR="009D3FB5" w:rsidP="00163B94" w:rsidRDefault="009D3FB5" w14:paraId="6AC6DE5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3,5%</w:t>
            </w:r>
          </w:p>
        </w:tc>
      </w:tr>
      <w:tr w:rsidRPr="00AE1B2B" w:rsidR="009D3FB5" w:rsidTr="009D3FB5" w14:paraId="503BADAF" w14:textId="77777777">
        <w:trPr>
          <w:trHeight w:val="312"/>
        </w:trPr>
        <w:tc>
          <w:tcPr>
            <w:tcW w:w="2836" w:type="dxa"/>
            <w:tcBorders>
              <w:top w:val="double" w:color="1F4E79" w:themeColor="accent1" w:themeShade="80" w:sz="4" w:space="0"/>
              <w:left w:val="double" w:color="1F497D" w:sz="6" w:space="0"/>
              <w:bottom w:val="double" w:color="1F4E79" w:themeColor="accent1" w:themeShade="80" w:sz="4" w:space="0"/>
              <w:right w:val="double" w:color="1F497D" w:sz="6" w:space="0"/>
            </w:tcBorders>
            <w:shd w:val="clear" w:color="auto" w:fill="DEEAF6" w:themeFill="accent1" w:themeFillTint="33"/>
            <w:noWrap/>
            <w:vAlign w:val="center"/>
          </w:tcPr>
          <w:p w:rsidRPr="00AE1B2B" w:rsidR="009D3FB5" w:rsidP="00163B94" w:rsidRDefault="009D3FB5" w14:paraId="05F97C41" w14:textId="77777777">
            <w:pPr>
              <w:spacing w:before="120" w:after="120"/>
              <w:jc w:val="right"/>
              <w:rPr>
                <w:rFonts w:ascii="Times New Roman" w:hAnsi="Times New Roman" w:cs="Times New Roman"/>
                <w:lang w:eastAsia="es-CR"/>
              </w:rPr>
            </w:pPr>
            <w:r w:rsidRPr="00AE1B2B">
              <w:rPr>
                <w:rFonts w:ascii="Times New Roman" w:hAnsi="Times New Roman" w:cs="Times New Roman"/>
                <w:b/>
                <w:bCs/>
              </w:rPr>
              <w:t>Total general</w:t>
            </w:r>
          </w:p>
        </w:tc>
        <w:tc>
          <w:tcPr>
            <w:tcW w:w="1276" w:type="dxa"/>
            <w:tcBorders>
              <w:top w:val="double" w:color="1F4E79" w:themeColor="accent1" w:themeShade="80" w:sz="4" w:space="0"/>
              <w:left w:val="double" w:color="1F497D" w:sz="6" w:space="0"/>
              <w:bottom w:val="double" w:color="1F4E79" w:themeColor="accent1" w:themeShade="80" w:sz="4" w:space="0"/>
              <w:right w:val="double" w:color="1F497D" w:sz="6" w:space="0"/>
            </w:tcBorders>
            <w:shd w:val="clear" w:color="auto" w:fill="DEEAF6" w:themeFill="accent1" w:themeFillTint="33"/>
            <w:vAlign w:val="center"/>
          </w:tcPr>
          <w:p w:rsidRPr="00AE1B2B" w:rsidR="009D3FB5" w:rsidP="00163B94" w:rsidRDefault="009D3FB5" w14:paraId="4F206BEE" w14:textId="77777777">
            <w:pPr>
              <w:spacing w:before="120" w:after="120"/>
              <w:jc w:val="center"/>
              <w:rPr>
                <w:rFonts w:ascii="Times New Roman" w:hAnsi="Times New Roman" w:cs="Times New Roman"/>
                <w:lang w:eastAsia="es-CR"/>
              </w:rPr>
            </w:pPr>
            <w:r w:rsidRPr="00AE1B2B">
              <w:rPr>
                <w:rFonts w:ascii="Times New Roman" w:hAnsi="Times New Roman" w:cs="Times New Roman"/>
                <w:b/>
                <w:bCs/>
              </w:rPr>
              <w:t>3715</w:t>
            </w:r>
          </w:p>
        </w:tc>
        <w:tc>
          <w:tcPr>
            <w:tcW w:w="1559" w:type="dxa"/>
            <w:tcBorders>
              <w:top w:val="double" w:color="1F4E79" w:themeColor="accent1" w:themeShade="80" w:sz="4" w:space="0"/>
              <w:left w:val="nil"/>
              <w:bottom w:val="double" w:color="1F4E79" w:themeColor="accent1" w:themeShade="80" w:sz="4" w:space="0"/>
              <w:right w:val="double" w:color="1F497D" w:sz="6" w:space="0"/>
            </w:tcBorders>
            <w:shd w:val="clear" w:color="auto" w:fill="DEEAF6" w:themeFill="accent1" w:themeFillTint="33"/>
            <w:vAlign w:val="center"/>
          </w:tcPr>
          <w:p w:rsidRPr="00AE1B2B" w:rsidR="009D3FB5" w:rsidP="00163B94" w:rsidRDefault="009D3FB5" w14:paraId="29D96AA5" w14:textId="77777777">
            <w:pPr>
              <w:spacing w:before="120" w:after="120"/>
              <w:jc w:val="center"/>
              <w:rPr>
                <w:rFonts w:ascii="Times New Roman" w:hAnsi="Times New Roman" w:cs="Times New Roman"/>
                <w:lang w:eastAsia="es-CR"/>
              </w:rPr>
            </w:pPr>
            <w:r w:rsidRPr="00AE1B2B">
              <w:rPr>
                <w:rFonts w:ascii="Times New Roman" w:hAnsi="Times New Roman" w:cs="Times New Roman"/>
                <w:b/>
                <w:bCs/>
              </w:rPr>
              <w:t>2029</w:t>
            </w:r>
          </w:p>
        </w:tc>
        <w:tc>
          <w:tcPr>
            <w:tcW w:w="1276" w:type="dxa"/>
            <w:tcBorders>
              <w:top w:val="double" w:color="1F4E79" w:themeColor="accent1" w:themeShade="80" w:sz="4" w:space="0"/>
              <w:left w:val="nil"/>
              <w:bottom w:val="double" w:color="1F4E79" w:themeColor="accent1" w:themeShade="80" w:sz="4" w:space="0"/>
              <w:right w:val="double" w:color="1F497D" w:sz="6" w:space="0"/>
            </w:tcBorders>
            <w:shd w:val="clear" w:color="auto" w:fill="DEEAF6" w:themeFill="accent1" w:themeFillTint="33"/>
            <w:vAlign w:val="center"/>
          </w:tcPr>
          <w:p w:rsidRPr="00AE1B2B" w:rsidR="009D3FB5" w:rsidP="00163B94" w:rsidRDefault="009D3FB5" w14:paraId="14DD05F9" w14:textId="77777777">
            <w:pPr>
              <w:spacing w:before="120" w:after="120"/>
              <w:jc w:val="center"/>
              <w:rPr>
                <w:rFonts w:ascii="Times New Roman" w:hAnsi="Times New Roman" w:cs="Times New Roman"/>
                <w:lang w:eastAsia="es-CR"/>
              </w:rPr>
            </w:pPr>
            <w:r w:rsidRPr="00AE1B2B">
              <w:rPr>
                <w:rFonts w:ascii="Times New Roman" w:hAnsi="Times New Roman" w:cs="Times New Roman"/>
                <w:b/>
                <w:bCs/>
              </w:rPr>
              <w:t>872</w:t>
            </w:r>
          </w:p>
        </w:tc>
        <w:tc>
          <w:tcPr>
            <w:tcW w:w="1183" w:type="dxa"/>
            <w:tcBorders>
              <w:top w:val="double" w:color="1F4E79" w:themeColor="accent1" w:themeShade="80" w:sz="4" w:space="0"/>
              <w:left w:val="nil"/>
              <w:bottom w:val="double" w:color="1F4E79" w:themeColor="accent1" w:themeShade="80" w:sz="4" w:space="0"/>
              <w:right w:val="double" w:color="1F497D" w:sz="6" w:space="0"/>
            </w:tcBorders>
            <w:shd w:val="clear" w:color="auto" w:fill="DEEAF6" w:themeFill="accent1" w:themeFillTint="33"/>
            <w:vAlign w:val="center"/>
          </w:tcPr>
          <w:p w:rsidRPr="00AE1B2B" w:rsidR="009D3FB5" w:rsidP="00163B94" w:rsidRDefault="009D3FB5" w14:paraId="7E3AE69D" w14:textId="77777777">
            <w:pPr>
              <w:spacing w:before="120" w:after="120"/>
              <w:jc w:val="center"/>
              <w:rPr>
                <w:rFonts w:ascii="Times New Roman" w:hAnsi="Times New Roman" w:cs="Times New Roman"/>
                <w:lang w:eastAsia="es-CR"/>
              </w:rPr>
            </w:pPr>
            <w:r w:rsidRPr="00AE1B2B">
              <w:rPr>
                <w:rFonts w:ascii="Times New Roman" w:hAnsi="Times New Roman" w:cs="Times New Roman"/>
                <w:b/>
                <w:bCs/>
              </w:rPr>
              <w:t>409</w:t>
            </w:r>
          </w:p>
        </w:tc>
        <w:tc>
          <w:tcPr>
            <w:tcW w:w="1368" w:type="dxa"/>
            <w:tcBorders>
              <w:top w:val="double" w:color="1F4E79" w:themeColor="accent1" w:themeShade="80" w:sz="4" w:space="0"/>
              <w:left w:val="nil"/>
              <w:bottom w:val="double" w:color="1F4E79" w:themeColor="accent1" w:themeShade="80" w:sz="4" w:space="0"/>
              <w:right w:val="double" w:color="1F497D" w:sz="6" w:space="0"/>
            </w:tcBorders>
            <w:shd w:val="clear" w:color="auto" w:fill="DEEAF6" w:themeFill="accent1" w:themeFillTint="33"/>
            <w:vAlign w:val="center"/>
          </w:tcPr>
          <w:p w:rsidRPr="00AE1B2B" w:rsidR="009D3FB5" w:rsidP="00163B94" w:rsidRDefault="009D3FB5" w14:paraId="34AE07FA" w14:textId="77777777">
            <w:pPr>
              <w:spacing w:before="120" w:after="120"/>
              <w:jc w:val="center"/>
              <w:rPr>
                <w:rFonts w:ascii="Times New Roman" w:hAnsi="Times New Roman" w:cs="Times New Roman"/>
                <w:lang w:eastAsia="es-CR"/>
              </w:rPr>
            </w:pPr>
            <w:r w:rsidRPr="00AE1B2B">
              <w:rPr>
                <w:rFonts w:ascii="Times New Roman" w:hAnsi="Times New Roman" w:cs="Times New Roman"/>
                <w:b/>
                <w:bCs/>
              </w:rPr>
              <w:t>61</w:t>
            </w:r>
          </w:p>
        </w:tc>
        <w:tc>
          <w:tcPr>
            <w:tcW w:w="993" w:type="dxa"/>
            <w:tcBorders>
              <w:top w:val="double" w:color="1F4E79" w:themeColor="accent1" w:themeShade="80" w:sz="4" w:space="0"/>
              <w:left w:val="nil"/>
              <w:bottom w:val="double" w:color="1F4E79" w:themeColor="accent1" w:themeShade="80" w:sz="4" w:space="0"/>
              <w:right w:val="double" w:color="1F497D" w:sz="6" w:space="0"/>
            </w:tcBorders>
            <w:shd w:val="clear" w:color="auto" w:fill="DEEAF6" w:themeFill="accent1" w:themeFillTint="33"/>
            <w:noWrap/>
            <w:vAlign w:val="center"/>
          </w:tcPr>
          <w:p w:rsidRPr="00AE1B2B" w:rsidR="009D3FB5" w:rsidP="00163B94" w:rsidRDefault="009D3FB5" w14:paraId="1374CDE0"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rPr>
              <w:t>7086</w:t>
            </w:r>
          </w:p>
        </w:tc>
        <w:tc>
          <w:tcPr>
            <w:tcW w:w="1417" w:type="dxa"/>
            <w:tcBorders>
              <w:top w:val="double" w:color="1F4E79" w:themeColor="accent1" w:themeShade="80" w:sz="4" w:space="0"/>
              <w:left w:val="double" w:color="1F497D" w:sz="6" w:space="0"/>
              <w:bottom w:val="double" w:color="1F4E79" w:themeColor="accent1" w:themeShade="80" w:sz="4" w:space="0"/>
              <w:right w:val="double" w:color="1F497D" w:sz="6" w:space="0"/>
            </w:tcBorders>
            <w:shd w:val="clear" w:color="auto" w:fill="A6A6A6" w:themeFill="background1" w:themeFillShade="A6"/>
            <w:vAlign w:val="center"/>
          </w:tcPr>
          <w:p w:rsidRPr="00AE1B2B" w:rsidR="009D3FB5" w:rsidP="00163B94" w:rsidRDefault="009D3FB5" w14:paraId="030ACBD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100%</w:t>
            </w:r>
          </w:p>
        </w:tc>
      </w:tr>
      <w:tr w:rsidRPr="00AE1B2B" w:rsidR="009D3FB5" w:rsidTr="009D3FB5" w14:paraId="03FF7ACC" w14:textId="77777777">
        <w:trPr>
          <w:trHeight w:val="312"/>
        </w:trPr>
        <w:tc>
          <w:tcPr>
            <w:tcW w:w="2836" w:type="dxa"/>
            <w:tcBorders>
              <w:top w:val="double" w:color="1F4E79" w:themeColor="accent1" w:themeShade="80" w:sz="4" w:space="0"/>
              <w:left w:val="double" w:color="1F497D" w:sz="6" w:space="0"/>
              <w:bottom w:val="double" w:color="1F497D" w:sz="6" w:space="0"/>
              <w:right w:val="double" w:color="1F497D" w:sz="6" w:space="0"/>
            </w:tcBorders>
            <w:shd w:val="clear" w:color="auto" w:fill="D9E2F3" w:themeFill="accent5" w:themeFillTint="33"/>
            <w:noWrap/>
            <w:vAlign w:val="center"/>
          </w:tcPr>
          <w:p w:rsidRPr="00AE1B2B" w:rsidR="009D3FB5" w:rsidP="00163B94" w:rsidRDefault="009D3FB5" w14:paraId="1C82E899" w14:textId="77777777">
            <w:pPr>
              <w:spacing w:before="120" w:after="120"/>
              <w:jc w:val="right"/>
              <w:rPr>
                <w:rFonts w:ascii="Times New Roman" w:hAnsi="Times New Roman" w:cs="Times New Roman"/>
                <w:lang w:eastAsia="es-CR"/>
              </w:rPr>
            </w:pPr>
            <w:r w:rsidRPr="00AE1B2B">
              <w:rPr>
                <w:rFonts w:ascii="Times New Roman" w:hAnsi="Times New Roman" w:cs="Times New Roman"/>
                <w:b/>
                <w:bCs/>
              </w:rPr>
              <w:t xml:space="preserve">Porcentaje </w:t>
            </w:r>
          </w:p>
        </w:tc>
        <w:tc>
          <w:tcPr>
            <w:tcW w:w="1276" w:type="dxa"/>
            <w:tcBorders>
              <w:top w:val="double" w:color="1F4E79" w:themeColor="accent1" w:themeShade="80" w:sz="4" w:space="0"/>
              <w:left w:val="double" w:color="1F497D" w:sz="6" w:space="0"/>
              <w:bottom w:val="double" w:color="1F497D" w:sz="6" w:space="0"/>
              <w:right w:val="double" w:color="1F497D" w:sz="6" w:space="0"/>
            </w:tcBorders>
            <w:shd w:val="clear" w:color="auto" w:fill="D9E2F3" w:themeFill="accent5" w:themeFillTint="33"/>
            <w:vAlign w:val="bottom"/>
          </w:tcPr>
          <w:p w:rsidRPr="00AE1B2B" w:rsidR="009D3FB5" w:rsidP="00163B94" w:rsidRDefault="009D3FB5" w14:paraId="6521EDC7" w14:textId="77777777">
            <w:pPr>
              <w:spacing w:before="120" w:after="120"/>
              <w:jc w:val="center"/>
              <w:rPr>
                <w:rFonts w:ascii="Times New Roman" w:hAnsi="Times New Roman" w:cs="Times New Roman"/>
                <w:lang w:eastAsia="es-CR"/>
              </w:rPr>
            </w:pPr>
            <w:r w:rsidRPr="00AE1B2B">
              <w:rPr>
                <w:rFonts w:ascii="Times New Roman" w:hAnsi="Times New Roman" w:cs="Times New Roman"/>
                <w:b/>
                <w:bCs/>
              </w:rPr>
              <w:t>52%</w:t>
            </w:r>
          </w:p>
        </w:tc>
        <w:tc>
          <w:tcPr>
            <w:tcW w:w="1559" w:type="dxa"/>
            <w:tcBorders>
              <w:top w:val="double" w:color="1F4E79" w:themeColor="accent1" w:themeShade="80" w:sz="4" w:space="0"/>
              <w:left w:val="nil"/>
              <w:bottom w:val="double" w:color="1F497D" w:sz="6" w:space="0"/>
              <w:right w:val="double" w:color="1F497D" w:sz="6" w:space="0"/>
            </w:tcBorders>
            <w:shd w:val="clear" w:color="auto" w:fill="D9E2F3" w:themeFill="accent5" w:themeFillTint="33"/>
            <w:vAlign w:val="bottom"/>
          </w:tcPr>
          <w:p w:rsidRPr="00AE1B2B" w:rsidR="009D3FB5" w:rsidP="00163B94" w:rsidRDefault="009D3FB5" w14:paraId="61ABCDF9" w14:textId="77777777">
            <w:pPr>
              <w:spacing w:before="120" w:after="120"/>
              <w:jc w:val="center"/>
              <w:rPr>
                <w:rFonts w:ascii="Times New Roman" w:hAnsi="Times New Roman" w:cs="Times New Roman"/>
                <w:lang w:eastAsia="es-CR"/>
              </w:rPr>
            </w:pPr>
            <w:r w:rsidRPr="00AE1B2B">
              <w:rPr>
                <w:rFonts w:ascii="Times New Roman" w:hAnsi="Times New Roman" w:cs="Times New Roman"/>
                <w:b/>
                <w:bCs/>
              </w:rPr>
              <w:t>29%</w:t>
            </w:r>
          </w:p>
        </w:tc>
        <w:tc>
          <w:tcPr>
            <w:tcW w:w="1276" w:type="dxa"/>
            <w:tcBorders>
              <w:top w:val="double" w:color="1F4E79" w:themeColor="accent1" w:themeShade="80" w:sz="4" w:space="0"/>
              <w:left w:val="nil"/>
              <w:bottom w:val="double" w:color="1F497D" w:sz="6" w:space="0"/>
              <w:right w:val="double" w:color="1F497D" w:sz="6" w:space="0"/>
            </w:tcBorders>
            <w:shd w:val="clear" w:color="auto" w:fill="D9E2F3" w:themeFill="accent5" w:themeFillTint="33"/>
            <w:vAlign w:val="bottom"/>
          </w:tcPr>
          <w:p w:rsidRPr="00AE1B2B" w:rsidR="009D3FB5" w:rsidP="00163B94" w:rsidRDefault="009D3FB5" w14:paraId="1709ABC4" w14:textId="77777777">
            <w:pPr>
              <w:spacing w:before="120" w:after="120"/>
              <w:jc w:val="center"/>
              <w:rPr>
                <w:rFonts w:ascii="Times New Roman" w:hAnsi="Times New Roman" w:cs="Times New Roman"/>
                <w:lang w:eastAsia="es-CR"/>
              </w:rPr>
            </w:pPr>
            <w:r w:rsidRPr="00AE1B2B">
              <w:rPr>
                <w:rFonts w:ascii="Times New Roman" w:hAnsi="Times New Roman" w:cs="Times New Roman"/>
                <w:b/>
                <w:bCs/>
              </w:rPr>
              <w:t>12%</w:t>
            </w:r>
          </w:p>
        </w:tc>
        <w:tc>
          <w:tcPr>
            <w:tcW w:w="1183" w:type="dxa"/>
            <w:tcBorders>
              <w:top w:val="double" w:color="1F4E79" w:themeColor="accent1" w:themeShade="80" w:sz="4" w:space="0"/>
              <w:left w:val="nil"/>
              <w:bottom w:val="double" w:color="1F497D" w:sz="6" w:space="0"/>
              <w:right w:val="double" w:color="1F497D" w:sz="6" w:space="0"/>
            </w:tcBorders>
            <w:shd w:val="clear" w:color="auto" w:fill="D9E2F3" w:themeFill="accent5" w:themeFillTint="33"/>
            <w:vAlign w:val="bottom"/>
          </w:tcPr>
          <w:p w:rsidRPr="00AE1B2B" w:rsidR="009D3FB5" w:rsidP="00163B94" w:rsidRDefault="009D3FB5" w14:paraId="690F3DAA" w14:textId="77777777">
            <w:pPr>
              <w:spacing w:before="120" w:after="120"/>
              <w:jc w:val="center"/>
              <w:rPr>
                <w:rFonts w:ascii="Times New Roman" w:hAnsi="Times New Roman" w:cs="Times New Roman"/>
                <w:lang w:eastAsia="es-CR"/>
              </w:rPr>
            </w:pPr>
            <w:r w:rsidRPr="00AE1B2B">
              <w:rPr>
                <w:rFonts w:ascii="Times New Roman" w:hAnsi="Times New Roman" w:cs="Times New Roman"/>
                <w:b/>
                <w:bCs/>
              </w:rPr>
              <w:t>6%</w:t>
            </w:r>
          </w:p>
        </w:tc>
        <w:tc>
          <w:tcPr>
            <w:tcW w:w="1368" w:type="dxa"/>
            <w:tcBorders>
              <w:top w:val="double" w:color="1F4E79" w:themeColor="accent1" w:themeShade="80" w:sz="4" w:space="0"/>
              <w:left w:val="nil"/>
              <w:bottom w:val="double" w:color="1F497D" w:sz="6" w:space="0"/>
              <w:right w:val="double" w:color="1F497D" w:sz="6" w:space="0"/>
            </w:tcBorders>
            <w:shd w:val="clear" w:color="auto" w:fill="D9E2F3" w:themeFill="accent5" w:themeFillTint="33"/>
            <w:vAlign w:val="bottom"/>
          </w:tcPr>
          <w:p w:rsidRPr="00AE1B2B" w:rsidR="009D3FB5" w:rsidP="00163B94" w:rsidRDefault="009D3FB5" w14:paraId="08BD9D32" w14:textId="77777777">
            <w:pPr>
              <w:spacing w:before="120" w:after="120"/>
              <w:jc w:val="center"/>
              <w:rPr>
                <w:rFonts w:ascii="Times New Roman" w:hAnsi="Times New Roman" w:cs="Times New Roman"/>
                <w:lang w:eastAsia="es-CR"/>
              </w:rPr>
            </w:pPr>
            <w:r w:rsidRPr="00AE1B2B">
              <w:rPr>
                <w:rFonts w:ascii="Times New Roman" w:hAnsi="Times New Roman" w:cs="Times New Roman"/>
                <w:b/>
                <w:bCs/>
              </w:rPr>
              <w:t>1%</w:t>
            </w:r>
          </w:p>
        </w:tc>
        <w:tc>
          <w:tcPr>
            <w:tcW w:w="993" w:type="dxa"/>
            <w:tcBorders>
              <w:top w:val="double" w:color="1F4E79" w:themeColor="accent1" w:themeShade="80" w:sz="4" w:space="0"/>
              <w:left w:val="nil"/>
              <w:bottom w:val="double" w:color="1F497D" w:sz="6" w:space="0"/>
              <w:right w:val="double" w:color="1F497D" w:sz="6" w:space="0"/>
            </w:tcBorders>
            <w:shd w:val="clear" w:color="auto" w:fill="D9E2F3" w:themeFill="accent5" w:themeFillTint="33"/>
            <w:noWrap/>
            <w:vAlign w:val="bottom"/>
          </w:tcPr>
          <w:p w:rsidRPr="00AE1B2B" w:rsidR="009D3FB5" w:rsidP="00163B94" w:rsidRDefault="009D3FB5" w14:paraId="6D4432F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rPr>
              <w:t>100%</w:t>
            </w:r>
          </w:p>
        </w:tc>
        <w:tc>
          <w:tcPr>
            <w:tcW w:w="1417" w:type="dxa"/>
            <w:tcBorders>
              <w:top w:val="double" w:color="1F4E79" w:themeColor="accent1" w:themeShade="80" w:sz="4" w:space="0"/>
              <w:left w:val="double" w:color="1F497D" w:sz="6" w:space="0"/>
              <w:bottom w:val="double" w:color="1F497D" w:sz="6" w:space="0"/>
              <w:right w:val="double" w:color="1F497D" w:sz="6" w:space="0"/>
            </w:tcBorders>
            <w:shd w:val="clear" w:color="auto" w:fill="A6A6A6" w:themeFill="background1" w:themeFillShade="A6"/>
            <w:vAlign w:val="center"/>
          </w:tcPr>
          <w:p w:rsidRPr="00AE1B2B" w:rsidR="009D3FB5" w:rsidP="00163B94" w:rsidRDefault="009D3FB5" w14:paraId="6C65447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100%</w:t>
            </w:r>
          </w:p>
        </w:tc>
      </w:tr>
    </w:tbl>
    <w:p w:rsidRPr="00AE1B2B" w:rsidR="009D3FB5" w:rsidP="00163B94" w:rsidRDefault="009D3FB5" w14:paraId="7B168C31" w14:textId="77777777">
      <w:pPr>
        <w:spacing w:before="120" w:after="120"/>
        <w:ind w:left="851" w:right="851" w:firstLine="709"/>
        <w:jc w:val="both"/>
        <w:rPr>
          <w:rFonts w:ascii="Times New Roman" w:hAnsi="Times New Roman" w:cs="Times New Roman"/>
          <w:b/>
          <w:i/>
          <w:sz w:val="26"/>
          <w:szCs w:val="26"/>
        </w:rPr>
      </w:pPr>
      <w:bookmarkStart w:name="_Hlk39740717" w:id="297"/>
      <w:r w:rsidRPr="00AE1B2B">
        <w:rPr>
          <w:rFonts w:ascii="Times New Roman" w:hAnsi="Times New Roman" w:cs="Times New Roman"/>
          <w:b/>
          <w:i/>
          <w:sz w:val="26"/>
          <w:szCs w:val="26"/>
        </w:rPr>
        <w:t xml:space="preserve">Fuente: Subproceso de Modernización Institucional con base en datos del sistema SIGMA, enero 2021. </w:t>
      </w:r>
    </w:p>
    <w:p w:rsidRPr="00AE1B2B" w:rsidR="009D3FB5" w:rsidP="00163B94" w:rsidRDefault="009D3FB5" w14:paraId="2B0D3AD3" w14:textId="77777777">
      <w:pPr>
        <w:spacing w:before="120" w:after="120"/>
        <w:ind w:left="851" w:right="851" w:firstLine="709"/>
        <w:jc w:val="both"/>
        <w:rPr>
          <w:rFonts w:ascii="Times New Roman" w:hAnsi="Times New Roman" w:cs="Times New Roman"/>
          <w:sz w:val="26"/>
          <w:szCs w:val="26"/>
        </w:rPr>
      </w:pPr>
      <w:bookmarkStart w:name="_Hlk39740756" w:id="298"/>
      <w:bookmarkEnd w:id="297"/>
      <w:r w:rsidRPr="00AE1B2B">
        <w:rPr>
          <w:rFonts w:ascii="Times New Roman" w:hAnsi="Times New Roman" w:cs="Times New Roman"/>
          <w:sz w:val="26"/>
          <w:szCs w:val="26"/>
        </w:rPr>
        <w:t xml:space="preserve">La información suministrada sobre el comportamiento del circulante por fase de proceso evidencia que la fase de </w:t>
      </w:r>
      <w:r w:rsidRPr="00AE1B2B">
        <w:rPr>
          <w:rFonts w:ascii="Times New Roman" w:hAnsi="Times New Roman" w:cs="Times New Roman"/>
          <w:b/>
          <w:bCs/>
          <w:i/>
          <w:iCs/>
          <w:sz w:val="26"/>
          <w:szCs w:val="26"/>
        </w:rPr>
        <w:t>Demanda</w:t>
      </w:r>
      <w:r w:rsidRPr="00AE1B2B">
        <w:rPr>
          <w:rFonts w:ascii="Times New Roman" w:hAnsi="Times New Roman" w:cs="Times New Roman"/>
          <w:sz w:val="26"/>
          <w:szCs w:val="26"/>
        </w:rPr>
        <w:t xml:space="preserve"> es en la que se acumulan la mayoría de los expedientes de la Jurisdicción Agraria, la cual equivale a un 52% del total del circulante en trámite, donde es de importancia promover, en lo posible, el movimiento de dichos expedientes a otras fases del proceso, buscar la manera oficiosa en la cual los Despachos culminen con la etapa procesal en la cual revisen el expediente cuando ingresa por primera vez al Despacho, previene en caso de existir los errores procesales que pueda contener la demanda, y notificar a la parte accionada para que se apersone al proceso y presente sus pruebas de descargo. La siguiente fase más representativa es la </w:t>
      </w:r>
      <w:r w:rsidRPr="00AE1B2B">
        <w:rPr>
          <w:rFonts w:ascii="Times New Roman" w:hAnsi="Times New Roman" w:cs="Times New Roman"/>
          <w:b/>
          <w:bCs/>
          <w:i/>
          <w:iCs/>
          <w:sz w:val="26"/>
          <w:szCs w:val="26"/>
        </w:rPr>
        <w:t>Demostrativa</w:t>
      </w:r>
      <w:r w:rsidRPr="00AE1B2B">
        <w:rPr>
          <w:rFonts w:ascii="Times New Roman" w:hAnsi="Times New Roman" w:cs="Times New Roman"/>
          <w:sz w:val="26"/>
          <w:szCs w:val="26"/>
        </w:rPr>
        <w:t xml:space="preserve">, equivalente a un 28% del total del circulante analizado; seguido por la </w:t>
      </w:r>
      <w:r w:rsidRPr="00AE1B2B">
        <w:rPr>
          <w:rFonts w:ascii="Times New Roman" w:hAnsi="Times New Roman" w:cs="Times New Roman"/>
          <w:b/>
          <w:bCs/>
          <w:i/>
          <w:iCs/>
          <w:sz w:val="26"/>
          <w:szCs w:val="26"/>
        </w:rPr>
        <w:t>Conclusiva</w:t>
      </w:r>
      <w:r w:rsidRPr="00AE1B2B">
        <w:rPr>
          <w:rFonts w:ascii="Times New Roman" w:hAnsi="Times New Roman" w:cs="Times New Roman"/>
          <w:sz w:val="26"/>
          <w:szCs w:val="26"/>
        </w:rPr>
        <w:t xml:space="preserve"> que representa el 12% y por último la </w:t>
      </w:r>
      <w:r w:rsidRPr="00AE1B2B">
        <w:rPr>
          <w:rFonts w:ascii="Times New Roman" w:hAnsi="Times New Roman" w:cs="Times New Roman"/>
          <w:b/>
          <w:bCs/>
          <w:i/>
          <w:iCs/>
          <w:sz w:val="26"/>
          <w:szCs w:val="26"/>
        </w:rPr>
        <w:t>Ejecución</w:t>
      </w:r>
      <w:r w:rsidRPr="00AE1B2B">
        <w:rPr>
          <w:rFonts w:ascii="Times New Roman" w:hAnsi="Times New Roman" w:cs="Times New Roman"/>
          <w:sz w:val="26"/>
          <w:szCs w:val="26"/>
        </w:rPr>
        <w:t xml:space="preserve"> con un 6%. Se evidencia que existe un 1% del circulante (61 expedientes), que no cuenta con una fase definida. </w:t>
      </w:r>
    </w:p>
    <w:p w:rsidRPr="00AE1B2B" w:rsidR="009D3FB5" w:rsidP="00163B94" w:rsidRDefault="009D3FB5" w14:paraId="3596706B"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67638273"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6F905DDA"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106D5980"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4E0F4D27"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3C0FC036"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434DB8CD"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17B75A81"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7017CC05"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5BFACEC1"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3FDAB487"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444C86E5"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46DFCF97"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132BA9E0"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24</w:t>
      </w:r>
      <w:r w:rsidRPr="00AE1B2B">
        <w:rPr>
          <w:rFonts w:ascii="Times New Roman" w:hAnsi="Times New Roman"/>
          <w:iCs/>
          <w:sz w:val="26"/>
          <w:szCs w:val="26"/>
        </w:rPr>
        <w:fldChar w:fldCharType="end"/>
      </w:r>
    </w:p>
    <w:p w:rsidRPr="00AE1B2B" w:rsidR="009D3FB5" w:rsidP="00163B94" w:rsidRDefault="009D3FB5" w14:paraId="0D20BDEF"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Circulante en trámite por Fase a nivel de todos los Juzgados Agrarios</w:t>
      </w:r>
    </w:p>
    <w:p w:rsidRPr="00AE1B2B" w:rsidR="009D3FB5" w:rsidP="00163B94" w:rsidRDefault="009D3FB5" w14:paraId="3C233F35"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Enero 2021</w:t>
      </w:r>
    </w:p>
    <w:bookmarkEnd w:id="298"/>
    <w:p w:rsidRPr="00AE1B2B" w:rsidR="009D3FB5" w:rsidP="00163B94" w:rsidRDefault="009D3FB5" w14:paraId="2F3CB5BD"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noProof/>
          <w:sz w:val="18"/>
          <w:lang w:val="en-US"/>
        </w:rPr>
        <w:lastRenderedPageBreak/>
        <w:drawing>
          <wp:inline distT="0" distB="0" distL="0" distR="0" wp14:anchorId="5721E141" wp14:editId="49CB5CD8">
            <wp:extent cx="5612130" cy="3540760"/>
            <wp:effectExtent l="0" t="0" r="7620" b="2540"/>
            <wp:docPr id="1212768307" name="Imagen 1212768307"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307" name="Imagen 1212768307" descr="Gráfico, Gráfico circular&#10;&#10;Descripción generada automáticamente"/>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612130" cy="3540760"/>
                    </a:xfrm>
                    <a:prstGeom prst="rect">
                      <a:avLst/>
                    </a:prstGeom>
                    <a:noFill/>
                    <a:ln>
                      <a:noFill/>
                    </a:ln>
                  </pic:spPr>
                </pic:pic>
              </a:graphicData>
            </a:graphic>
          </wp:inline>
        </w:drawing>
      </w:r>
      <w:r w:rsidRPr="00AE1B2B">
        <w:rPr>
          <w:rFonts w:ascii="Times New Roman" w:hAnsi="Times New Roman" w:cs="Times New Roman"/>
          <w:b/>
          <w:i/>
          <w:sz w:val="26"/>
          <w:szCs w:val="26"/>
        </w:rPr>
        <w:t xml:space="preserve">Fuente: Subproceso de Modernización Institucional con base en datos del sistema SIGMA, enero 2021. </w:t>
      </w:r>
    </w:p>
    <w:p w:rsidRPr="00AE1B2B" w:rsidR="009D3FB5" w:rsidP="00163B94" w:rsidRDefault="009D3FB5" w14:paraId="2CE5E26C" w14:textId="0580F62F">
      <w:pPr>
        <w:spacing w:before="120" w:after="120"/>
        <w:ind w:left="851" w:right="851" w:firstLine="709"/>
        <w:jc w:val="both"/>
        <w:rPr>
          <w:rFonts w:ascii="Times New Roman" w:hAnsi="Times New Roman" w:cs="Times New Roman"/>
          <w:sz w:val="26"/>
          <w:szCs w:val="26"/>
        </w:rPr>
      </w:pPr>
      <w:bookmarkStart w:name="_Hlk39741221" w:id="299"/>
      <w:r w:rsidRPr="00AE1B2B">
        <w:rPr>
          <w:rFonts w:ascii="Times New Roman" w:hAnsi="Times New Roman" w:cs="Times New Roman"/>
          <w:sz w:val="26"/>
          <w:szCs w:val="26"/>
        </w:rPr>
        <w:t>El caso más representativo es el del Juzgado Agrario de Santa Cruz, posee 605 expedientes en la fase de Demanda, lo que significa un 68% del total del circulante, de los cuales 358 casos son Informaciones Posesorias, que equivalen a un 40% del circulante total. Otros Juzgados que presentan mayores casos en dicha fase, son el de Upala, Pococí, Cartago y Limón.</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En estos Despachos es necesario impulsar este circulante a las siguientes fases del proceso con el objetivo de brindar una respuesta más expedita al usuario. </w:t>
      </w:r>
      <w:bookmarkEnd w:id="299"/>
    </w:p>
    <w:p w:rsidRPr="00AE1B2B" w:rsidR="009D3FB5" w:rsidP="00163B94" w:rsidRDefault="009D3FB5" w14:paraId="0A2C154A"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5839795E"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25</w:t>
      </w:r>
      <w:r w:rsidRPr="00AE1B2B">
        <w:rPr>
          <w:rFonts w:ascii="Times New Roman" w:hAnsi="Times New Roman"/>
          <w:iCs/>
          <w:sz w:val="26"/>
          <w:szCs w:val="26"/>
        </w:rPr>
        <w:fldChar w:fldCharType="end"/>
      </w:r>
    </w:p>
    <w:p w:rsidRPr="00AE1B2B" w:rsidR="009D3FB5" w:rsidP="00163B94" w:rsidRDefault="009D3FB5" w14:paraId="2FF201E9"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Circulante en trámite en Fase de Demanda por Juzgados Agrarios</w:t>
      </w:r>
    </w:p>
    <w:p w:rsidRPr="00AE1B2B" w:rsidR="009D3FB5" w:rsidP="00163B94" w:rsidRDefault="009D3FB5" w14:paraId="72401DA9"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Enero 2021</w:t>
      </w:r>
    </w:p>
    <w:bookmarkEnd w:id="296"/>
    <w:p w:rsidRPr="00AE1B2B" w:rsidR="009D3FB5" w:rsidP="00163B94" w:rsidRDefault="009D3FB5" w14:paraId="20BECA51"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noProof/>
          <w:sz w:val="18"/>
          <w:lang w:val="en-US"/>
        </w:rPr>
        <w:lastRenderedPageBreak/>
        <w:drawing>
          <wp:inline distT="0" distB="0" distL="0" distR="0" wp14:anchorId="19B5A955" wp14:editId="692DD3B4">
            <wp:extent cx="5608320" cy="2857500"/>
            <wp:effectExtent l="0" t="0" r="0" b="0"/>
            <wp:docPr id="1212768308" name="Imagen 1212768308"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308" name="Imagen 1212768308" descr="Gráfico, Gráfico de barras&#10;&#10;Descripción generada automáticamente"/>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608320" cy="2857500"/>
                    </a:xfrm>
                    <a:prstGeom prst="rect">
                      <a:avLst/>
                    </a:prstGeom>
                    <a:noFill/>
                    <a:ln>
                      <a:noFill/>
                    </a:ln>
                  </pic:spPr>
                </pic:pic>
              </a:graphicData>
            </a:graphic>
          </wp:inline>
        </w:drawing>
      </w:r>
      <w:r w:rsidRPr="00AE1B2B">
        <w:rPr>
          <w:rFonts w:ascii="Times New Roman" w:hAnsi="Times New Roman" w:cs="Times New Roman"/>
          <w:b/>
          <w:i/>
          <w:sz w:val="26"/>
          <w:szCs w:val="26"/>
        </w:rPr>
        <w:t>Fuente: Subproceso de Modernización Institucional con base en datos del sistema SIGMA, enero 2020.</w:t>
      </w:r>
    </w:p>
    <w:p w:rsidRPr="00AE1B2B" w:rsidR="009D3FB5" w:rsidP="00163B94" w:rsidRDefault="009D3FB5" w14:paraId="52644AE2" w14:textId="77777777">
      <w:pPr>
        <w:spacing w:before="120" w:after="120"/>
        <w:ind w:left="851" w:right="851" w:firstLine="709"/>
        <w:jc w:val="both"/>
        <w:rPr>
          <w:rFonts w:ascii="Times New Roman" w:hAnsi="Times New Roman" w:cs="Times New Roman"/>
          <w:sz w:val="26"/>
          <w:szCs w:val="26"/>
        </w:rPr>
      </w:pPr>
      <w:bookmarkStart w:name="_Hlk39742099" w:id="300"/>
      <w:r w:rsidRPr="00AE1B2B">
        <w:rPr>
          <w:rFonts w:ascii="Times New Roman" w:hAnsi="Times New Roman" w:cs="Times New Roman"/>
          <w:sz w:val="26"/>
          <w:szCs w:val="26"/>
        </w:rPr>
        <w:t xml:space="preserve">El Juzgado Agrario de Puntarenas presenta la particularidad de que su fase de demanda es representada por una cantidad pequeña de expedientes y la mayor cantidad de circulante se encuentra en la fase demostrativa, 351 expedientes. Lo anterior podría ser resultado del trámite del expediente al entrar al Juzgado, ya que en los Indicadores de gestión se refleja un promedio de un (1) día el plazo para resolver demandas nuevas. Por otro lado, las personas técnicas judiciales han tramitado un promedio de 14 expedientes diarios, lo cual permite una atención expedita de los casos ingresados al Despacho. </w:t>
      </w:r>
    </w:p>
    <w:bookmarkEnd w:id="300"/>
    <w:p w:rsidRPr="00AE1B2B" w:rsidR="009D3FB5" w:rsidP="00163B94" w:rsidRDefault="009D3FB5" w14:paraId="6C99A88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Durante los abordajes realizados, se identifican los siguientes hallazgos respecto al circulante y movimientos:</w:t>
      </w:r>
    </w:p>
    <w:p w:rsidRPr="00AE1B2B" w:rsidR="009D3FB5" w:rsidP="00163B94" w:rsidRDefault="009D3FB5" w14:paraId="5DE40B01" w14:textId="77777777">
      <w:pPr>
        <w:pStyle w:val="Prrafodelista"/>
        <w:numPr>
          <w:ilvl w:val="0"/>
          <w:numId w:val="121"/>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todos los casos la fase de </w:t>
      </w:r>
      <w:r w:rsidRPr="00AE1B2B">
        <w:rPr>
          <w:rFonts w:ascii="Times New Roman" w:hAnsi="Times New Roman" w:cs="Times New Roman"/>
          <w:b/>
          <w:bCs/>
          <w:i/>
          <w:iCs/>
          <w:sz w:val="26"/>
          <w:szCs w:val="26"/>
        </w:rPr>
        <w:t>Demanda</w:t>
      </w:r>
      <w:r w:rsidRPr="00AE1B2B">
        <w:rPr>
          <w:rFonts w:ascii="Times New Roman" w:hAnsi="Times New Roman" w:cs="Times New Roman"/>
          <w:sz w:val="26"/>
          <w:szCs w:val="26"/>
        </w:rPr>
        <w:t xml:space="preserve"> es la más representativa, por lo tanto; es en la que mayor cantidad de expedientes se acumulan. Los valores de representación fluctúan desde un 43% a un 68% del circulante, a diferencia de Puntarenas que posee un 7%. Los números mostrados evidencian la necesidad de aumentar la tramitación con la finalidad de mover los expedientes a otras fases del proceso para lograr brindar respuesta a las personas usuarias. </w:t>
      </w:r>
    </w:p>
    <w:p w:rsidRPr="00AE1B2B" w:rsidR="009D3FB5" w:rsidP="00163B94" w:rsidRDefault="009D3FB5" w14:paraId="108700DB" w14:textId="517E0A62">
      <w:pPr>
        <w:pStyle w:val="Prrafodelista"/>
        <w:numPr>
          <w:ilvl w:val="0"/>
          <w:numId w:val="121"/>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Existe una porción importante del circulante que se encuentra en tareas relacionadas con la “espera de gestión de la parte” (1709 expedientes), que haciendo un análisis al circulante de enero 2021 a nivel de toda la jurisdicción Agraria (7091 expedientes), esta </w:t>
      </w:r>
      <w:r w:rsidRPr="00AE1B2B">
        <w:rPr>
          <w:rFonts w:ascii="Times New Roman" w:hAnsi="Times New Roman" w:cs="Times New Roman"/>
          <w:sz w:val="26"/>
          <w:szCs w:val="26"/>
        </w:rPr>
        <w:lastRenderedPageBreak/>
        <w:t>porción corresponde al 24% del total, lo que implica que a estos expedientes no se le efectúa trámite debido a que a criterio del Juzgado se necesita impulso de la parte, sin embargo; es de vital importancia que a raíz de la entrada en vigencia de la Reforma al Código de Trabajo y el Nuevo Código Procesal Civil el Despacho se dé a la tarea de revisar los expedientes para definir si procede el dictado de un archivo provisional, una caducidad, una deserción o realizar alguna gestión oficiosa.</w:t>
      </w:r>
      <w:r w:rsidRPr="00AE1B2B" w:rsidR="00BB7720">
        <w:rPr>
          <w:rFonts w:ascii="Times New Roman" w:hAnsi="Times New Roman" w:cs="Times New Roman"/>
          <w:sz w:val="26"/>
          <w:szCs w:val="26"/>
        </w:rPr>
        <w:t xml:space="preserve"> </w:t>
      </w:r>
    </w:p>
    <w:p w:rsidRPr="00AE1B2B" w:rsidR="009D3FB5" w:rsidP="00163B94" w:rsidRDefault="009D3FB5" w14:paraId="26387CB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Analizando específicamente la fase de </w:t>
      </w:r>
      <w:r w:rsidRPr="00AE1B2B">
        <w:rPr>
          <w:rFonts w:ascii="Times New Roman" w:hAnsi="Times New Roman" w:cs="Times New Roman"/>
          <w:b/>
          <w:bCs/>
          <w:i/>
          <w:iCs/>
          <w:sz w:val="26"/>
          <w:szCs w:val="26"/>
        </w:rPr>
        <w:t>Ejecución</w:t>
      </w:r>
      <w:r w:rsidRPr="00AE1B2B">
        <w:rPr>
          <w:rFonts w:ascii="Times New Roman" w:hAnsi="Times New Roman" w:cs="Times New Roman"/>
          <w:sz w:val="26"/>
          <w:szCs w:val="26"/>
        </w:rPr>
        <w:t xml:space="preserve">, que llama la atención a raíz del requerimiento que se enfatiza en el Código Procesal Agrario sobre la figura de </w:t>
      </w:r>
      <w:r w:rsidRPr="00AE1B2B">
        <w:rPr>
          <w:rFonts w:ascii="Times New Roman" w:hAnsi="Times New Roman" w:cs="Times New Roman"/>
          <w:i/>
          <w:iCs/>
          <w:sz w:val="26"/>
          <w:szCs w:val="26"/>
        </w:rPr>
        <w:t>“ejecutores”;</w:t>
      </w:r>
      <w:r w:rsidRPr="00AE1B2B">
        <w:rPr>
          <w:rFonts w:ascii="Times New Roman" w:hAnsi="Times New Roman" w:cs="Times New Roman"/>
          <w:sz w:val="26"/>
          <w:szCs w:val="26"/>
        </w:rPr>
        <w:t xml:space="preserve"> ya que; la representación de esta fase es mínima; lo cual refleja la necesidad de generar mayor trámite para lograr llevar los procesos a dicha fase. El Juzgado Agrario del II Circuito Judicial de Alajuela, San Carlos y el Juzgado Agrario de Corredores, son los despachos con mayor porcentaje de circulante en la fase de ejecución con un 14% (65 expedientes) y 13% (67 expedientes); seguido por el Juzgado Agrario de Pérez Zeledón con un 10%, entre otros. </w:t>
      </w:r>
    </w:p>
    <w:p w:rsidRPr="00AE1B2B" w:rsidR="009D3FB5" w:rsidP="00163B94" w:rsidRDefault="009D3FB5" w14:paraId="60156A4B"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26</w:t>
      </w:r>
      <w:r w:rsidRPr="00AE1B2B">
        <w:rPr>
          <w:rFonts w:ascii="Times New Roman" w:hAnsi="Times New Roman"/>
          <w:iCs/>
          <w:sz w:val="26"/>
          <w:szCs w:val="26"/>
        </w:rPr>
        <w:fldChar w:fldCharType="end"/>
      </w:r>
    </w:p>
    <w:p w:rsidRPr="00AE1B2B" w:rsidR="009D3FB5" w:rsidP="00163B94" w:rsidRDefault="009D3FB5" w14:paraId="309BBC14"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Circulante en trámite en Fase de Ejecución por Juzgados Agrarios</w:t>
      </w:r>
    </w:p>
    <w:p w:rsidRPr="00AE1B2B" w:rsidR="009D3FB5" w:rsidP="00163B94" w:rsidRDefault="009D3FB5" w14:paraId="618B1644"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Enero 2020</w:t>
      </w:r>
    </w:p>
    <w:p w:rsidRPr="00AE1B2B" w:rsidR="009D3FB5" w:rsidP="00163B94" w:rsidRDefault="009D3FB5" w14:paraId="2FE22817" w14:textId="77777777">
      <w:pPr>
        <w:pStyle w:val="Prrafodelista"/>
        <w:spacing w:before="120" w:after="120"/>
        <w:ind w:left="0"/>
        <w:rPr>
          <w:rFonts w:ascii="Times New Roman" w:hAnsi="Times New Roman" w:cs="Times New Roman"/>
          <w:szCs w:val="22"/>
        </w:rPr>
      </w:pPr>
    </w:p>
    <w:p w:rsidRPr="00AE1B2B" w:rsidR="009D3FB5" w:rsidP="00163B94" w:rsidRDefault="009D3FB5" w14:paraId="1228B7BA"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noProof/>
          <w:sz w:val="18"/>
          <w:lang w:val="en-US"/>
        </w:rPr>
        <w:drawing>
          <wp:inline distT="0" distB="0" distL="0" distR="0" wp14:anchorId="1E1F9894" wp14:editId="3D2D26BB">
            <wp:extent cx="5608320" cy="3040380"/>
            <wp:effectExtent l="0" t="0" r="0" b="7620"/>
            <wp:docPr id="1212768309" name="Imagen 1212768309"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309" name="Imagen 1212768309" descr="Gráfico, Gráfico de barras&#10;&#10;Descripción generada automáticamente"/>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608320" cy="3040380"/>
                    </a:xfrm>
                    <a:prstGeom prst="rect">
                      <a:avLst/>
                    </a:prstGeom>
                    <a:noFill/>
                    <a:ln>
                      <a:noFill/>
                    </a:ln>
                  </pic:spPr>
                </pic:pic>
              </a:graphicData>
            </a:graphic>
          </wp:inline>
        </w:drawing>
      </w:r>
      <w:r w:rsidRPr="00AE1B2B">
        <w:rPr>
          <w:rFonts w:ascii="Times New Roman" w:hAnsi="Times New Roman" w:cs="Times New Roman"/>
          <w:b/>
          <w:i/>
          <w:sz w:val="26"/>
          <w:szCs w:val="26"/>
        </w:rPr>
        <w:t xml:space="preserve">Fuente: Subproceso de Modernización Institucional con base en datos del sistema SIGMA, enero 2020. </w:t>
      </w:r>
    </w:p>
    <w:p w:rsidRPr="00AE1B2B" w:rsidR="009D3FB5" w:rsidP="00163B94" w:rsidRDefault="009D3FB5" w14:paraId="3F1D04F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En el caso del Juzgado Agrario de Santa Cruz y el Juzgado Agrario de Pococí, estos Juzgados especializados y el caso del Juzgado de Turrialba, presentan la menor cantidad de circulante en etapa de ejecución con un 1% (7 y 3 expedientes respectivamente), lo que es un dato relevante para la definición de estrategias de trabajo para encaminar los procesos a llegar a dicha fase. Las acciones que se realicen en este Despacho deben ir enfocados en aumentar y controlar la tramitación de los expedientes. </w:t>
      </w:r>
    </w:p>
    <w:p w:rsidRPr="00AE1B2B" w:rsidR="009D3FB5" w:rsidP="00163B94" w:rsidRDefault="009D3FB5" w14:paraId="5754E3AE" w14:textId="08BE2BE2">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datos mostrados anteriormente, recalcan la necesidad de que los planes de descongestionamiento que se están realizando y que se vayan a realizar en materia Agraria deben enfocarse en, atacar el circulante de forma que este inicie a moverse de forma más rápida a través de las distintas fases del proceso para llegar a fase de juicio y ejecución.</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Lo anterior es un punto relevante para el Centro de Apoyo, Coordinación y Mejoramiento de la Función Jurisdiccional, para que amplíe los planes que realiza en reducción del pendiente de fallo con apoyo en el trámite. </w:t>
      </w:r>
    </w:p>
    <w:p w:rsidRPr="00AE1B2B" w:rsidR="009D3FB5" w:rsidP="00163B94" w:rsidRDefault="009D3FB5" w14:paraId="6EAF638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Centro de Apoyo, Coordinación y Mejoramiento de la Función Jurisdiccional, contó con dos (2) personas juzgadoras que están realizando trabajos de descongestionamiento en los despachos identificados como los más críticos, como es el caso del Santa Cruz, Puntarenas y Guápiles. </w:t>
      </w:r>
    </w:p>
    <w:p w:rsidRPr="00AE1B2B" w:rsidR="009D3FB5" w:rsidP="00163B94" w:rsidRDefault="009D3FB5" w14:paraId="5989F94C" w14:textId="77777777">
      <w:pPr>
        <w:spacing w:before="120" w:after="120"/>
        <w:ind w:left="851" w:right="851" w:firstLine="709"/>
        <w:jc w:val="both"/>
        <w:rPr>
          <w:rFonts w:ascii="Times New Roman" w:hAnsi="Times New Roman" w:cs="Times New Roman"/>
          <w:sz w:val="26"/>
          <w:szCs w:val="26"/>
        </w:rPr>
      </w:pPr>
      <w:bookmarkStart w:name="_Toc68688575" w:id="301"/>
      <w:r w:rsidRPr="00AE1B2B">
        <w:rPr>
          <w:rFonts w:ascii="Times New Roman" w:hAnsi="Times New Roman" w:cs="Times New Roman"/>
          <w:sz w:val="26"/>
          <w:szCs w:val="26"/>
        </w:rPr>
        <w:t>Análisis del Circulante por Clase de Asunto</w:t>
      </w:r>
      <w:bookmarkEnd w:id="301"/>
      <w:r w:rsidRPr="00AE1B2B">
        <w:rPr>
          <w:rFonts w:ascii="Times New Roman" w:hAnsi="Times New Roman" w:cs="Times New Roman"/>
          <w:sz w:val="26"/>
          <w:szCs w:val="26"/>
        </w:rPr>
        <w:t xml:space="preserve"> </w:t>
      </w:r>
    </w:p>
    <w:p w:rsidRPr="00AE1B2B" w:rsidR="009D3FB5" w:rsidP="00163B94" w:rsidRDefault="009D3FB5" w14:paraId="1D2DCEE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Como parte del análisis del circulante se identifica la necesidad de verificar como se encuentra el circulante a nivel nacional por clase de asunto a enero 2021, se presenta lo siguiente:</w:t>
      </w:r>
    </w:p>
    <w:p w:rsidRPr="00AE1B2B" w:rsidR="009D3FB5" w:rsidP="00163B94" w:rsidRDefault="009D3FB5" w14:paraId="0168064F"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Gráfico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Gráfico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27</w:t>
      </w:r>
      <w:r w:rsidRPr="00AE1B2B">
        <w:rPr>
          <w:rFonts w:ascii="Times New Roman" w:hAnsi="Times New Roman"/>
          <w:iCs/>
          <w:sz w:val="26"/>
          <w:szCs w:val="26"/>
        </w:rPr>
        <w:fldChar w:fldCharType="end"/>
      </w:r>
    </w:p>
    <w:p w:rsidRPr="00AE1B2B" w:rsidR="009D3FB5" w:rsidP="00163B94" w:rsidRDefault="009D3FB5" w14:paraId="0EC6BE9F"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Circulante en trámite por Clase de Asunto a nivel de todos los Juzgados Agrarios</w:t>
      </w:r>
    </w:p>
    <w:p w:rsidRPr="00AE1B2B" w:rsidR="009D3FB5" w:rsidP="00163B94" w:rsidRDefault="009D3FB5" w14:paraId="798B9CE5"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Enero 2021</w:t>
      </w:r>
    </w:p>
    <w:p w:rsidRPr="00AE1B2B" w:rsidR="009D3FB5" w:rsidP="00163B94" w:rsidRDefault="009D3FB5" w14:paraId="7C0EFF4D" w14:textId="77777777">
      <w:pPr>
        <w:spacing w:before="120" w:after="120"/>
        <w:ind w:left="-709"/>
        <w:rPr>
          <w:rFonts w:ascii="Times New Roman" w:hAnsi="Times New Roman" w:cs="Times New Roman"/>
        </w:rPr>
      </w:pPr>
    </w:p>
    <w:p w:rsidRPr="00AE1B2B" w:rsidR="00F57E5D" w:rsidP="00163B94" w:rsidRDefault="009D3FB5" w14:paraId="38120FD6" w14:textId="77777777">
      <w:pPr>
        <w:spacing w:before="120" w:after="120"/>
        <w:ind w:left="142" w:right="474"/>
        <w:jc w:val="both"/>
        <w:rPr>
          <w:rFonts w:ascii="Times New Roman" w:hAnsi="Times New Roman" w:cs="Times New Roman"/>
          <w:b/>
          <w:i/>
          <w:sz w:val="26"/>
          <w:szCs w:val="26"/>
        </w:rPr>
      </w:pPr>
      <w:bookmarkStart w:name="_Hlk39751857" w:id="302"/>
      <w:r w:rsidRPr="00AE1B2B">
        <w:rPr>
          <w:rFonts w:ascii="Times New Roman" w:hAnsi="Times New Roman" w:cs="Times New Roman"/>
          <w:b/>
          <w:i/>
          <w:noProof/>
          <w:sz w:val="18"/>
          <w:lang w:val="en-US"/>
        </w:rPr>
        <w:lastRenderedPageBreak/>
        <w:drawing>
          <wp:inline distT="0" distB="0" distL="0" distR="0" wp14:anchorId="083399EC" wp14:editId="3EA498E0">
            <wp:extent cx="5608320" cy="3337560"/>
            <wp:effectExtent l="0" t="0" r="0" b="0"/>
            <wp:docPr id="1212768310" name="Imagen 1212768310"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310" name="Imagen 1212768310" descr="Gráfico, Gráfico circular&#10;&#10;Descripción generada automáticamente"/>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608320" cy="3337560"/>
                    </a:xfrm>
                    <a:prstGeom prst="rect">
                      <a:avLst/>
                    </a:prstGeom>
                    <a:noFill/>
                    <a:ln>
                      <a:noFill/>
                    </a:ln>
                  </pic:spPr>
                </pic:pic>
              </a:graphicData>
            </a:graphic>
          </wp:inline>
        </w:drawing>
      </w:r>
    </w:p>
    <w:p w:rsidRPr="00AE1B2B" w:rsidR="00F57E5D" w:rsidP="00163B94" w:rsidRDefault="00F57E5D" w14:paraId="2ED42B9E" w14:textId="77777777">
      <w:pPr>
        <w:spacing w:before="120" w:after="120"/>
        <w:ind w:left="142" w:right="474"/>
        <w:jc w:val="both"/>
        <w:rPr>
          <w:rFonts w:ascii="Times New Roman" w:hAnsi="Times New Roman" w:cs="Times New Roman"/>
          <w:b/>
          <w:i/>
          <w:sz w:val="26"/>
          <w:szCs w:val="26"/>
        </w:rPr>
      </w:pPr>
    </w:p>
    <w:p w:rsidRPr="00AE1B2B" w:rsidR="009D3FB5" w:rsidP="00163B94" w:rsidRDefault="009D3FB5" w14:paraId="66652A2D" w14:textId="27F64C2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 xml:space="preserve">Fuente: Subproceso de Modernización Institucional con base en datos del sistema SIGMA, enero 2021. </w:t>
      </w:r>
    </w:p>
    <w:p w:rsidRPr="00AE1B2B" w:rsidR="009D3FB5" w:rsidP="00163B94" w:rsidRDefault="009D3FB5" w14:paraId="520FEE44" w14:textId="77777777">
      <w:pPr>
        <w:spacing w:before="120" w:after="120"/>
        <w:ind w:left="851" w:right="851" w:firstLine="709"/>
        <w:jc w:val="both"/>
        <w:rPr>
          <w:rFonts w:ascii="Times New Roman" w:hAnsi="Times New Roman" w:cs="Times New Roman"/>
          <w:sz w:val="26"/>
          <w:szCs w:val="26"/>
        </w:rPr>
      </w:pPr>
      <w:bookmarkStart w:name="_Hlk39751984" w:id="303"/>
      <w:bookmarkEnd w:id="302"/>
      <w:r w:rsidRPr="00AE1B2B">
        <w:rPr>
          <w:rFonts w:ascii="Times New Roman" w:hAnsi="Times New Roman" w:cs="Times New Roman"/>
          <w:sz w:val="26"/>
          <w:szCs w:val="26"/>
        </w:rPr>
        <w:t xml:space="preserve">El circulante por clase de asunto a nivel nacional entre los Juzgados Agrarios, está mayormente compuesto por casos de Ordinarios e Informaciones Posesorias con un 35% seguido de Amparos de Posesión 6%, Sucesorios 4% y Monitorios 3%; y otras clases de asuntos con un 17%, donde se encuentran los asuntos no contenciosos de Localización de Derechos, Sumario de Derribo, Ejecución Hipotecaria, entre otros. </w:t>
      </w:r>
    </w:p>
    <w:p w:rsidRPr="00AE1B2B" w:rsidR="009D3FB5" w:rsidP="00163B94" w:rsidRDefault="009D3FB5" w14:paraId="4834927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Para poder dar una solución expedita en la reducción de los circulantes de los Despachos, es importante enfocarse en los asuntos de Informaciones Posesorias (por ser procesos expeditos y poder disminuir el circulante rápidamente)por ser una de la clase de asunto más representativo de los circulantes, los cuales podrán ser mayormente resueltos por el personal juzgador, están distribuidos por Despacho y Fase de la siguiente manera: </w:t>
      </w:r>
    </w:p>
    <w:p w:rsidRPr="00AE1B2B" w:rsidR="009D3FB5" w:rsidP="00163B94" w:rsidRDefault="009D3FB5" w14:paraId="23E32743"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C65F4E1" w14:textId="77777777">
      <w:pPr>
        <w:pStyle w:val="Ttulo"/>
        <w:spacing w:before="120" w:after="120"/>
        <w:ind w:left="851" w:right="851" w:firstLine="709"/>
        <w:jc w:val="both"/>
        <w:rPr>
          <w:rFonts w:ascii="Times New Roman" w:hAnsi="Times New Roman"/>
          <w:iCs/>
          <w:sz w:val="26"/>
          <w:szCs w:val="26"/>
        </w:rPr>
      </w:pPr>
      <w:bookmarkStart w:name="_Hlk39752141" w:id="304"/>
      <w:bookmarkEnd w:id="303"/>
    </w:p>
    <w:p w:rsidRPr="00AE1B2B" w:rsidR="009D3FB5" w:rsidP="00163B94" w:rsidRDefault="009D3FB5" w14:paraId="4E7036C7"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13</w:t>
      </w:r>
      <w:r w:rsidRPr="00AE1B2B">
        <w:rPr>
          <w:rFonts w:ascii="Times New Roman" w:hAnsi="Times New Roman"/>
          <w:iCs/>
          <w:sz w:val="26"/>
          <w:szCs w:val="26"/>
        </w:rPr>
        <w:fldChar w:fldCharType="end"/>
      </w:r>
    </w:p>
    <w:p w:rsidRPr="00AE1B2B" w:rsidR="009D3FB5" w:rsidP="00163B94" w:rsidRDefault="009D3FB5" w14:paraId="41F23E5E" w14:textId="77777777">
      <w:pPr>
        <w:spacing w:before="120" w:after="120"/>
        <w:ind w:left="851" w:right="851" w:firstLine="709"/>
        <w:jc w:val="both"/>
        <w:rPr>
          <w:rFonts w:ascii="Times New Roman" w:hAnsi="Times New Roman" w:cs="Times New Roman"/>
          <w:b/>
          <w:iCs/>
          <w:sz w:val="26"/>
          <w:szCs w:val="26"/>
        </w:rPr>
      </w:pPr>
      <w:r w:rsidRPr="00AE1B2B">
        <w:rPr>
          <w:rFonts w:ascii="Times New Roman" w:hAnsi="Times New Roman" w:cs="Times New Roman"/>
          <w:b/>
          <w:iCs/>
          <w:sz w:val="26"/>
          <w:szCs w:val="26"/>
        </w:rPr>
        <w:t>Informaciones Posesorias en el Circulante en Trámite por Fase de los Juzgados Agrarios a Nivel Nacional, enero 2021</w:t>
      </w:r>
    </w:p>
    <w:tbl>
      <w:tblPr>
        <w:tblW w:w="11766" w:type="dxa"/>
        <w:tblInd w:w="-1441" w:type="dxa"/>
        <w:tblLayout w:type="fixed"/>
        <w:tblCellMar>
          <w:left w:w="70" w:type="dxa"/>
          <w:right w:w="70" w:type="dxa"/>
        </w:tblCellMar>
        <w:tblLook w:val="04A0" w:firstRow="1" w:lastRow="0" w:firstColumn="1" w:lastColumn="0" w:noHBand="0" w:noVBand="1"/>
      </w:tblPr>
      <w:tblGrid>
        <w:gridCol w:w="3678"/>
        <w:gridCol w:w="1142"/>
        <w:gridCol w:w="1701"/>
        <w:gridCol w:w="1418"/>
        <w:gridCol w:w="1417"/>
        <w:gridCol w:w="1134"/>
        <w:gridCol w:w="1276"/>
      </w:tblGrid>
      <w:tr w:rsidRPr="00AE1B2B" w:rsidR="009D3FB5" w:rsidTr="009D3FB5" w14:paraId="48D1258C" w14:textId="77777777">
        <w:trPr>
          <w:trHeight w:val="600"/>
          <w:tblHeader/>
        </w:trPr>
        <w:tc>
          <w:tcPr>
            <w:tcW w:w="3678" w:type="dxa"/>
            <w:tcBorders>
              <w:top w:val="double" w:color="1F497D" w:sz="6" w:space="0"/>
              <w:left w:val="double" w:color="1F497D" w:sz="6" w:space="0"/>
              <w:bottom w:val="double" w:color="1F497D" w:sz="6" w:space="0"/>
              <w:right w:val="double" w:color="1F497D" w:sz="6" w:space="0"/>
            </w:tcBorders>
            <w:shd w:val="clear" w:color="000000" w:fill="0673A5"/>
            <w:noWrap/>
            <w:vAlign w:val="center"/>
            <w:hideMark/>
          </w:tcPr>
          <w:bookmarkEnd w:id="304"/>
          <w:p w:rsidRPr="00AE1B2B" w:rsidR="009D3FB5" w:rsidP="00163B94" w:rsidRDefault="009D3FB5" w14:paraId="054F8055"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lastRenderedPageBreak/>
              <w:t>Juzgado Agrario de</w:t>
            </w:r>
          </w:p>
        </w:tc>
        <w:tc>
          <w:tcPr>
            <w:tcW w:w="1142" w:type="dxa"/>
            <w:tcBorders>
              <w:top w:val="double" w:color="1F497D" w:sz="6" w:space="0"/>
              <w:left w:val="nil"/>
              <w:bottom w:val="double" w:color="1F497D" w:sz="6" w:space="0"/>
              <w:right w:val="double" w:color="1F497D" w:sz="6" w:space="0"/>
            </w:tcBorders>
            <w:shd w:val="clear" w:color="000000" w:fill="0673A5"/>
            <w:noWrap/>
            <w:vAlign w:val="center"/>
            <w:hideMark/>
          </w:tcPr>
          <w:p w:rsidRPr="00AE1B2B" w:rsidR="009D3FB5" w:rsidP="00163B94" w:rsidRDefault="009D3FB5" w14:paraId="55FAEABC"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 Demanda</w:t>
            </w:r>
          </w:p>
        </w:tc>
        <w:tc>
          <w:tcPr>
            <w:tcW w:w="1701" w:type="dxa"/>
            <w:tcBorders>
              <w:top w:val="double" w:color="1F497D" w:sz="6" w:space="0"/>
              <w:left w:val="nil"/>
              <w:bottom w:val="double" w:color="1F497D" w:sz="6" w:space="0"/>
              <w:right w:val="double" w:color="1F497D" w:sz="6" w:space="0"/>
            </w:tcBorders>
            <w:shd w:val="clear" w:color="000000" w:fill="0673A5"/>
            <w:noWrap/>
            <w:vAlign w:val="center"/>
            <w:hideMark/>
          </w:tcPr>
          <w:p w:rsidRPr="00AE1B2B" w:rsidR="009D3FB5" w:rsidP="00163B94" w:rsidRDefault="009D3FB5" w14:paraId="160C0E6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2. Demostrativa</w:t>
            </w:r>
          </w:p>
        </w:tc>
        <w:tc>
          <w:tcPr>
            <w:tcW w:w="1418" w:type="dxa"/>
            <w:tcBorders>
              <w:top w:val="double" w:color="1F497D" w:sz="6" w:space="0"/>
              <w:left w:val="nil"/>
              <w:bottom w:val="double" w:color="1F497D" w:sz="6" w:space="0"/>
              <w:right w:val="double" w:color="1F497D" w:sz="6" w:space="0"/>
            </w:tcBorders>
            <w:shd w:val="clear" w:color="000000" w:fill="0673A5"/>
            <w:noWrap/>
            <w:vAlign w:val="center"/>
            <w:hideMark/>
          </w:tcPr>
          <w:p w:rsidRPr="00AE1B2B" w:rsidR="009D3FB5" w:rsidP="00163B94" w:rsidRDefault="009D3FB5" w14:paraId="67926D85"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3. Conclusiva</w:t>
            </w:r>
          </w:p>
        </w:tc>
        <w:tc>
          <w:tcPr>
            <w:tcW w:w="1417"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7780862B"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Itinerado (Actualizar)</w:t>
            </w:r>
          </w:p>
        </w:tc>
        <w:tc>
          <w:tcPr>
            <w:tcW w:w="1134"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18A80D52"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Total general</w:t>
            </w:r>
          </w:p>
        </w:tc>
        <w:tc>
          <w:tcPr>
            <w:tcW w:w="1276" w:type="dxa"/>
            <w:tcBorders>
              <w:top w:val="double" w:color="1F497D" w:sz="6" w:space="0"/>
              <w:left w:val="nil"/>
              <w:bottom w:val="double" w:color="1F497D" w:sz="6" w:space="0"/>
              <w:right w:val="double" w:color="1F497D" w:sz="6" w:space="0"/>
            </w:tcBorders>
            <w:shd w:val="clear" w:color="000000" w:fill="0673A5"/>
            <w:vAlign w:val="center"/>
          </w:tcPr>
          <w:p w:rsidRPr="00AE1B2B" w:rsidR="009D3FB5" w:rsidP="00163B94" w:rsidRDefault="009D3FB5" w14:paraId="0213B346"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Porcentaje</w:t>
            </w:r>
          </w:p>
        </w:tc>
      </w:tr>
      <w:tr w:rsidRPr="00AE1B2B" w:rsidR="009D3FB5" w:rsidTr="009D3FB5" w14:paraId="11701028" w14:textId="77777777">
        <w:trPr>
          <w:trHeight w:val="312"/>
          <w:tblHeader/>
        </w:trPr>
        <w:tc>
          <w:tcPr>
            <w:tcW w:w="367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A9A50A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 Circ. Jud. Guanacaste (Santa Cruz)</w:t>
            </w:r>
          </w:p>
        </w:tc>
        <w:tc>
          <w:tcPr>
            <w:tcW w:w="114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D1479D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358</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59249C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97</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8242A2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52</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E713CF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14</w:t>
            </w:r>
          </w:p>
        </w:tc>
        <w:tc>
          <w:tcPr>
            <w:tcW w:w="1134"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593C5E57"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521</w:t>
            </w:r>
          </w:p>
        </w:tc>
        <w:tc>
          <w:tcPr>
            <w:tcW w:w="1276" w:type="dxa"/>
            <w:tcBorders>
              <w:top w:val="nil"/>
              <w:left w:val="nil"/>
              <w:bottom w:val="double" w:color="1F497D" w:sz="6" w:space="0"/>
              <w:right w:val="double" w:color="1F497D" w:sz="6" w:space="0"/>
            </w:tcBorders>
            <w:shd w:val="clear" w:color="000000" w:fill="DCE6F1"/>
            <w:vAlign w:val="center"/>
          </w:tcPr>
          <w:p w:rsidRPr="00AE1B2B" w:rsidR="009D3FB5" w:rsidP="00163B94" w:rsidRDefault="009D3FB5" w14:paraId="7BFC19A0"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21%</w:t>
            </w:r>
          </w:p>
        </w:tc>
      </w:tr>
      <w:tr w:rsidRPr="00AE1B2B" w:rsidR="009D3FB5" w:rsidTr="009D3FB5" w14:paraId="14C481E1" w14:textId="77777777">
        <w:trPr>
          <w:trHeight w:val="312"/>
          <w:tblHeader/>
        </w:trPr>
        <w:tc>
          <w:tcPr>
            <w:tcW w:w="367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32879EB"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Civil, Trabajo, Agrario, Familia, Penal Juvenil, Contra la Violencia Doméstica y Protección Cautelar II Circuito Judicial de Alajuela, sede Upala</w:t>
            </w:r>
          </w:p>
        </w:tc>
        <w:tc>
          <w:tcPr>
            <w:tcW w:w="114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2D9E65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195</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C676E4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73</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6FD7FB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32</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61A647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1134"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2D8D8EF6"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301</w:t>
            </w:r>
          </w:p>
        </w:tc>
        <w:tc>
          <w:tcPr>
            <w:tcW w:w="1276" w:type="dxa"/>
            <w:tcBorders>
              <w:top w:val="nil"/>
              <w:left w:val="nil"/>
              <w:bottom w:val="double" w:color="1F497D" w:sz="6" w:space="0"/>
              <w:right w:val="double" w:color="1F497D" w:sz="6" w:space="0"/>
            </w:tcBorders>
            <w:shd w:val="clear" w:color="000000" w:fill="DCE6F1"/>
            <w:vAlign w:val="center"/>
          </w:tcPr>
          <w:p w:rsidRPr="00AE1B2B" w:rsidR="009D3FB5" w:rsidP="00163B94" w:rsidRDefault="009D3FB5" w14:paraId="2AB249C3"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rPr>
              <w:t>12%</w:t>
            </w:r>
          </w:p>
        </w:tc>
      </w:tr>
      <w:tr w:rsidRPr="00AE1B2B" w:rsidR="009D3FB5" w:rsidTr="009D3FB5" w14:paraId="003178EE" w14:textId="77777777">
        <w:trPr>
          <w:trHeight w:val="312"/>
          <w:tblHeader/>
        </w:trPr>
        <w:tc>
          <w:tcPr>
            <w:tcW w:w="367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51B74584"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Zona Sur (Pérez Zeledón)</w:t>
            </w:r>
          </w:p>
        </w:tc>
        <w:tc>
          <w:tcPr>
            <w:tcW w:w="114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EF2BC4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47</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12EF6F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104</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1C6557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40</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0C8FB2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0</w:t>
            </w:r>
          </w:p>
        </w:tc>
        <w:tc>
          <w:tcPr>
            <w:tcW w:w="1134"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6959352E"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191</w:t>
            </w:r>
          </w:p>
        </w:tc>
        <w:tc>
          <w:tcPr>
            <w:tcW w:w="1276" w:type="dxa"/>
            <w:tcBorders>
              <w:top w:val="nil"/>
              <w:left w:val="nil"/>
              <w:bottom w:val="double" w:color="1F497D" w:sz="6" w:space="0"/>
              <w:right w:val="double" w:color="1F497D" w:sz="6" w:space="0"/>
            </w:tcBorders>
            <w:shd w:val="clear" w:color="000000" w:fill="DCE6F1"/>
            <w:vAlign w:val="center"/>
          </w:tcPr>
          <w:p w:rsidRPr="00AE1B2B" w:rsidR="009D3FB5" w:rsidP="00163B94" w:rsidRDefault="009D3FB5" w14:paraId="1E5A1056"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rPr>
              <w:t>8%</w:t>
            </w:r>
          </w:p>
        </w:tc>
      </w:tr>
      <w:tr w:rsidRPr="00AE1B2B" w:rsidR="009D3FB5" w:rsidTr="009D3FB5" w14:paraId="7BF31EBA" w14:textId="77777777">
        <w:trPr>
          <w:trHeight w:val="312"/>
          <w:tblHeader/>
        </w:trPr>
        <w:tc>
          <w:tcPr>
            <w:tcW w:w="367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4F8F318"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Cartago</w:t>
            </w:r>
          </w:p>
        </w:tc>
        <w:tc>
          <w:tcPr>
            <w:tcW w:w="114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D928EC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158</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A7C2CD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8D0FEC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17</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4CC28B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0</w:t>
            </w:r>
          </w:p>
        </w:tc>
        <w:tc>
          <w:tcPr>
            <w:tcW w:w="1134"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17429BF8"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183</w:t>
            </w:r>
          </w:p>
        </w:tc>
        <w:tc>
          <w:tcPr>
            <w:tcW w:w="1276" w:type="dxa"/>
            <w:tcBorders>
              <w:top w:val="nil"/>
              <w:left w:val="nil"/>
              <w:bottom w:val="double" w:color="1F497D" w:sz="6" w:space="0"/>
              <w:right w:val="double" w:color="1F497D" w:sz="6" w:space="0"/>
            </w:tcBorders>
            <w:shd w:val="clear" w:color="000000" w:fill="DCE6F1"/>
            <w:vAlign w:val="center"/>
          </w:tcPr>
          <w:p w:rsidRPr="00AE1B2B" w:rsidR="009D3FB5" w:rsidP="00163B94" w:rsidRDefault="009D3FB5" w14:paraId="7166485D"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rPr>
              <w:t>7%</w:t>
            </w:r>
          </w:p>
        </w:tc>
      </w:tr>
      <w:tr w:rsidRPr="00AE1B2B" w:rsidR="009D3FB5" w:rsidTr="009D3FB5" w14:paraId="4EEC896B" w14:textId="77777777">
        <w:trPr>
          <w:trHeight w:val="312"/>
          <w:tblHeader/>
        </w:trPr>
        <w:tc>
          <w:tcPr>
            <w:tcW w:w="367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38EECB0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Puntarenas</w:t>
            </w:r>
          </w:p>
        </w:tc>
        <w:tc>
          <w:tcPr>
            <w:tcW w:w="114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BEF45A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12</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54ED78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162</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CB0208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BDDA36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0</w:t>
            </w:r>
          </w:p>
        </w:tc>
        <w:tc>
          <w:tcPr>
            <w:tcW w:w="1134"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70D19820"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182</w:t>
            </w:r>
          </w:p>
        </w:tc>
        <w:tc>
          <w:tcPr>
            <w:tcW w:w="1276" w:type="dxa"/>
            <w:tcBorders>
              <w:top w:val="nil"/>
              <w:left w:val="nil"/>
              <w:bottom w:val="double" w:color="1F497D" w:sz="6" w:space="0"/>
              <w:right w:val="double" w:color="1F497D" w:sz="6" w:space="0"/>
            </w:tcBorders>
            <w:shd w:val="clear" w:color="000000" w:fill="DCE6F1"/>
            <w:vAlign w:val="center"/>
          </w:tcPr>
          <w:p w:rsidRPr="00AE1B2B" w:rsidR="009D3FB5" w:rsidP="00163B94" w:rsidRDefault="009D3FB5" w14:paraId="33C6064D"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rPr>
              <w:t>7%</w:t>
            </w:r>
          </w:p>
        </w:tc>
      </w:tr>
      <w:tr w:rsidRPr="00AE1B2B" w:rsidR="009D3FB5" w:rsidTr="009D3FB5" w14:paraId="411242A9" w14:textId="77777777">
        <w:trPr>
          <w:trHeight w:val="312"/>
          <w:tblHeader/>
        </w:trPr>
        <w:tc>
          <w:tcPr>
            <w:tcW w:w="367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360B8B8"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Guanacaste (Liberia)</w:t>
            </w:r>
          </w:p>
        </w:tc>
        <w:tc>
          <w:tcPr>
            <w:tcW w:w="114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09B456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91</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FC37DF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50</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9C3D02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22</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8166D0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0</w:t>
            </w:r>
          </w:p>
        </w:tc>
        <w:tc>
          <w:tcPr>
            <w:tcW w:w="1134"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3F623469"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163</w:t>
            </w:r>
          </w:p>
        </w:tc>
        <w:tc>
          <w:tcPr>
            <w:tcW w:w="1276" w:type="dxa"/>
            <w:tcBorders>
              <w:top w:val="nil"/>
              <w:left w:val="nil"/>
              <w:bottom w:val="double" w:color="1F497D" w:sz="6" w:space="0"/>
              <w:right w:val="double" w:color="1F497D" w:sz="6" w:space="0"/>
            </w:tcBorders>
            <w:shd w:val="clear" w:color="000000" w:fill="DCE6F1"/>
            <w:vAlign w:val="center"/>
          </w:tcPr>
          <w:p w:rsidRPr="00AE1B2B" w:rsidR="009D3FB5" w:rsidP="00163B94" w:rsidRDefault="009D3FB5" w14:paraId="35816BD3"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rPr>
              <w:t>7%</w:t>
            </w:r>
          </w:p>
        </w:tc>
      </w:tr>
      <w:tr w:rsidRPr="00AE1B2B" w:rsidR="009D3FB5" w:rsidTr="009D3FB5" w14:paraId="37E67CED" w14:textId="77777777">
        <w:trPr>
          <w:trHeight w:val="312"/>
          <w:tblHeader/>
        </w:trPr>
        <w:tc>
          <w:tcPr>
            <w:tcW w:w="367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7494326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 Circ. Jud. Zona Atlántica (Pococí)</w:t>
            </w:r>
          </w:p>
        </w:tc>
        <w:tc>
          <w:tcPr>
            <w:tcW w:w="114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45E473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119</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FDE48C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37</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D9A6DE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8781E6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1134"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133402DC"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162</w:t>
            </w:r>
          </w:p>
        </w:tc>
        <w:tc>
          <w:tcPr>
            <w:tcW w:w="1276" w:type="dxa"/>
            <w:tcBorders>
              <w:top w:val="nil"/>
              <w:left w:val="nil"/>
              <w:bottom w:val="double" w:color="1F497D" w:sz="6" w:space="0"/>
              <w:right w:val="double" w:color="1F497D" w:sz="6" w:space="0"/>
            </w:tcBorders>
            <w:shd w:val="clear" w:color="000000" w:fill="DCE6F1"/>
            <w:vAlign w:val="center"/>
          </w:tcPr>
          <w:p w:rsidRPr="00AE1B2B" w:rsidR="009D3FB5" w:rsidP="00163B94" w:rsidRDefault="009D3FB5" w14:paraId="4D5E5B6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rPr>
              <w:t>7%</w:t>
            </w:r>
          </w:p>
        </w:tc>
      </w:tr>
      <w:tr w:rsidRPr="00AE1B2B" w:rsidR="009D3FB5" w:rsidTr="009D3FB5" w14:paraId="7E1E0C1E" w14:textId="77777777">
        <w:trPr>
          <w:trHeight w:val="312"/>
          <w:tblHeader/>
        </w:trPr>
        <w:tc>
          <w:tcPr>
            <w:tcW w:w="367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0537481"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 Circ. Jud. Zona Sur (Corredores)</w:t>
            </w:r>
          </w:p>
        </w:tc>
        <w:tc>
          <w:tcPr>
            <w:tcW w:w="114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CA93BA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100</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3613CE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35</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469F9E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0A3FAA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0</w:t>
            </w:r>
          </w:p>
        </w:tc>
        <w:tc>
          <w:tcPr>
            <w:tcW w:w="1134"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5DD42200"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144</w:t>
            </w:r>
          </w:p>
        </w:tc>
        <w:tc>
          <w:tcPr>
            <w:tcW w:w="1276" w:type="dxa"/>
            <w:tcBorders>
              <w:top w:val="nil"/>
              <w:left w:val="nil"/>
              <w:bottom w:val="double" w:color="1F497D" w:sz="6" w:space="0"/>
              <w:right w:val="double" w:color="1F497D" w:sz="6" w:space="0"/>
            </w:tcBorders>
            <w:shd w:val="clear" w:color="000000" w:fill="DCE6F1"/>
            <w:vAlign w:val="center"/>
          </w:tcPr>
          <w:p w:rsidRPr="00AE1B2B" w:rsidR="009D3FB5" w:rsidP="00163B94" w:rsidRDefault="009D3FB5" w14:paraId="2E29368A"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rPr>
              <w:t>6%</w:t>
            </w:r>
          </w:p>
        </w:tc>
      </w:tr>
      <w:tr w:rsidRPr="00AE1B2B" w:rsidR="009D3FB5" w:rsidTr="009D3FB5" w14:paraId="2F7ECDED" w14:textId="77777777">
        <w:trPr>
          <w:trHeight w:val="312"/>
          <w:tblHeader/>
        </w:trPr>
        <w:tc>
          <w:tcPr>
            <w:tcW w:w="367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1C3DFB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 Circ. Jud. Alajuela (San Carlos)</w:t>
            </w:r>
          </w:p>
        </w:tc>
        <w:tc>
          <w:tcPr>
            <w:tcW w:w="114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26B7E2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55</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0D44B6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66</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B5CA99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CE21E0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0</w:t>
            </w:r>
          </w:p>
        </w:tc>
        <w:tc>
          <w:tcPr>
            <w:tcW w:w="1134"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49A5EFA5"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128</w:t>
            </w:r>
          </w:p>
        </w:tc>
        <w:tc>
          <w:tcPr>
            <w:tcW w:w="1276" w:type="dxa"/>
            <w:tcBorders>
              <w:top w:val="nil"/>
              <w:left w:val="nil"/>
              <w:bottom w:val="double" w:color="1F497D" w:sz="6" w:space="0"/>
              <w:right w:val="double" w:color="1F497D" w:sz="6" w:space="0"/>
            </w:tcBorders>
            <w:shd w:val="clear" w:color="000000" w:fill="DCE6F1"/>
            <w:vAlign w:val="center"/>
          </w:tcPr>
          <w:p w:rsidRPr="00AE1B2B" w:rsidR="009D3FB5" w:rsidP="00163B94" w:rsidRDefault="009D3FB5" w14:paraId="7DE75A4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rPr>
              <w:t>5%</w:t>
            </w:r>
          </w:p>
        </w:tc>
      </w:tr>
      <w:tr w:rsidRPr="00AE1B2B" w:rsidR="009D3FB5" w:rsidTr="009D3FB5" w14:paraId="7C6D4D99" w14:textId="77777777">
        <w:trPr>
          <w:trHeight w:val="312"/>
          <w:tblHeader/>
        </w:trPr>
        <w:tc>
          <w:tcPr>
            <w:tcW w:w="367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EAED43E"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Zona Atlántica (Limón)</w:t>
            </w:r>
          </w:p>
        </w:tc>
        <w:tc>
          <w:tcPr>
            <w:tcW w:w="114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4110B8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47</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CF39B4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64</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897A6F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CEE0F5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0</w:t>
            </w:r>
          </w:p>
        </w:tc>
        <w:tc>
          <w:tcPr>
            <w:tcW w:w="1134"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53CFC88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116</w:t>
            </w:r>
          </w:p>
        </w:tc>
        <w:tc>
          <w:tcPr>
            <w:tcW w:w="1276" w:type="dxa"/>
            <w:tcBorders>
              <w:top w:val="nil"/>
              <w:left w:val="nil"/>
              <w:bottom w:val="double" w:color="1F497D" w:sz="6" w:space="0"/>
              <w:right w:val="double" w:color="1F497D" w:sz="6" w:space="0"/>
            </w:tcBorders>
            <w:shd w:val="clear" w:color="000000" w:fill="DCE6F1"/>
            <w:vAlign w:val="center"/>
          </w:tcPr>
          <w:p w:rsidRPr="00AE1B2B" w:rsidR="009D3FB5" w:rsidP="00163B94" w:rsidRDefault="009D3FB5" w14:paraId="654E0045"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rPr>
              <w:t>5%</w:t>
            </w:r>
          </w:p>
        </w:tc>
      </w:tr>
      <w:tr w:rsidRPr="00AE1B2B" w:rsidR="009D3FB5" w:rsidTr="009D3FB5" w14:paraId="56B2D30D" w14:textId="77777777">
        <w:trPr>
          <w:trHeight w:val="312"/>
          <w:tblHeader/>
        </w:trPr>
        <w:tc>
          <w:tcPr>
            <w:tcW w:w="367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846F46D"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III Circ. Jud. Alajuela (San Ramón)</w:t>
            </w:r>
          </w:p>
        </w:tc>
        <w:tc>
          <w:tcPr>
            <w:tcW w:w="114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51BA73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62</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0EB4DA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29</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E0F345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19</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857052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0</w:t>
            </w:r>
          </w:p>
        </w:tc>
        <w:tc>
          <w:tcPr>
            <w:tcW w:w="1134"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7D6DA16D"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110</w:t>
            </w:r>
          </w:p>
        </w:tc>
        <w:tc>
          <w:tcPr>
            <w:tcW w:w="1276" w:type="dxa"/>
            <w:tcBorders>
              <w:top w:val="nil"/>
              <w:left w:val="nil"/>
              <w:bottom w:val="double" w:color="1F497D" w:sz="6" w:space="0"/>
              <w:right w:val="double" w:color="1F497D" w:sz="6" w:space="0"/>
            </w:tcBorders>
            <w:shd w:val="clear" w:color="000000" w:fill="DCE6F1"/>
            <w:vAlign w:val="center"/>
          </w:tcPr>
          <w:p w:rsidRPr="00AE1B2B" w:rsidR="009D3FB5" w:rsidP="00163B94" w:rsidRDefault="009D3FB5" w14:paraId="71D6C0E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rPr>
              <w:t>4%</w:t>
            </w:r>
          </w:p>
        </w:tc>
      </w:tr>
      <w:tr w:rsidRPr="00AE1B2B" w:rsidR="009D3FB5" w:rsidTr="009D3FB5" w14:paraId="6F97C225" w14:textId="77777777">
        <w:trPr>
          <w:trHeight w:val="312"/>
          <w:tblHeader/>
        </w:trPr>
        <w:tc>
          <w:tcPr>
            <w:tcW w:w="367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5578D0A"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Alajuela</w:t>
            </w:r>
          </w:p>
        </w:tc>
        <w:tc>
          <w:tcPr>
            <w:tcW w:w="114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ACA810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46</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5C43BC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24</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435825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11</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3D6A0B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0</w:t>
            </w:r>
          </w:p>
        </w:tc>
        <w:tc>
          <w:tcPr>
            <w:tcW w:w="1134"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6BE08D8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81</w:t>
            </w:r>
          </w:p>
        </w:tc>
        <w:tc>
          <w:tcPr>
            <w:tcW w:w="1276" w:type="dxa"/>
            <w:tcBorders>
              <w:top w:val="nil"/>
              <w:left w:val="nil"/>
              <w:bottom w:val="double" w:color="1F497D" w:sz="6" w:space="0"/>
              <w:right w:val="double" w:color="1F497D" w:sz="6" w:space="0"/>
            </w:tcBorders>
            <w:shd w:val="clear" w:color="000000" w:fill="DCE6F1"/>
            <w:vAlign w:val="center"/>
          </w:tcPr>
          <w:p w:rsidRPr="00AE1B2B" w:rsidR="009D3FB5" w:rsidP="00163B94" w:rsidRDefault="009D3FB5" w14:paraId="20A185D3"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rPr>
              <w:t>3%</w:t>
            </w:r>
          </w:p>
        </w:tc>
      </w:tr>
      <w:tr w:rsidRPr="00AE1B2B" w:rsidR="009D3FB5" w:rsidTr="009D3FB5" w14:paraId="2D334CC7" w14:textId="77777777">
        <w:trPr>
          <w:trHeight w:val="312"/>
          <w:tblHeader/>
        </w:trPr>
        <w:tc>
          <w:tcPr>
            <w:tcW w:w="367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C00051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 Circ. Jud. San José</w:t>
            </w:r>
          </w:p>
        </w:tc>
        <w:tc>
          <w:tcPr>
            <w:tcW w:w="114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7D13D8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38</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131E73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25</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27F0E6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F5869D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1134"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5DE0866A"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80</w:t>
            </w:r>
          </w:p>
        </w:tc>
        <w:tc>
          <w:tcPr>
            <w:tcW w:w="1276" w:type="dxa"/>
            <w:tcBorders>
              <w:top w:val="nil"/>
              <w:left w:val="nil"/>
              <w:bottom w:val="double" w:color="1F497D" w:sz="6" w:space="0"/>
              <w:right w:val="double" w:color="1F497D" w:sz="6" w:space="0"/>
            </w:tcBorders>
            <w:shd w:val="clear" w:color="000000" w:fill="DCE6F1"/>
            <w:vAlign w:val="center"/>
          </w:tcPr>
          <w:p w:rsidRPr="00AE1B2B" w:rsidR="009D3FB5" w:rsidP="00163B94" w:rsidRDefault="009D3FB5" w14:paraId="09917B49"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rPr>
              <w:t>3%</w:t>
            </w:r>
          </w:p>
        </w:tc>
      </w:tr>
      <w:tr w:rsidRPr="00AE1B2B" w:rsidR="009D3FB5" w:rsidTr="009D3FB5" w14:paraId="7EE19D92" w14:textId="77777777">
        <w:trPr>
          <w:trHeight w:val="312"/>
          <w:tblHeader/>
        </w:trPr>
        <w:tc>
          <w:tcPr>
            <w:tcW w:w="367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4153D0B"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Civil, Trabajo, Familia, Agrario, Penal Juvenil, Contra la Violencia Doméstica y Protección Cautelar Buenos Aires</w:t>
            </w:r>
          </w:p>
        </w:tc>
        <w:tc>
          <w:tcPr>
            <w:tcW w:w="114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DD3A52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27</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B7411C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38</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ED9D64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5FD5DD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0</w:t>
            </w:r>
          </w:p>
        </w:tc>
        <w:tc>
          <w:tcPr>
            <w:tcW w:w="1134"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3406065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73</w:t>
            </w:r>
          </w:p>
        </w:tc>
        <w:tc>
          <w:tcPr>
            <w:tcW w:w="1276" w:type="dxa"/>
            <w:tcBorders>
              <w:top w:val="nil"/>
              <w:left w:val="nil"/>
              <w:bottom w:val="double" w:color="1F497D" w:sz="6" w:space="0"/>
              <w:right w:val="double" w:color="1F497D" w:sz="6" w:space="0"/>
            </w:tcBorders>
            <w:shd w:val="clear" w:color="000000" w:fill="DCE6F1"/>
            <w:vAlign w:val="center"/>
          </w:tcPr>
          <w:p w:rsidRPr="00AE1B2B" w:rsidR="009D3FB5" w:rsidP="00163B94" w:rsidRDefault="009D3FB5" w14:paraId="662D9CB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rPr>
              <w:t>3%</w:t>
            </w:r>
          </w:p>
        </w:tc>
      </w:tr>
      <w:tr w:rsidRPr="00AE1B2B" w:rsidR="009D3FB5" w:rsidTr="009D3FB5" w14:paraId="71096B7C" w14:textId="77777777">
        <w:trPr>
          <w:trHeight w:val="312"/>
          <w:tblHeader/>
        </w:trPr>
        <w:tc>
          <w:tcPr>
            <w:tcW w:w="367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3066F7BB"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Civil, Trabajo y Agrario Turrialba</w:t>
            </w:r>
          </w:p>
        </w:tc>
        <w:tc>
          <w:tcPr>
            <w:tcW w:w="114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93A86F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26</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55991B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8390D5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FC1FBA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0</w:t>
            </w:r>
          </w:p>
        </w:tc>
        <w:tc>
          <w:tcPr>
            <w:tcW w:w="1134"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7FE10EB6"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43</w:t>
            </w:r>
          </w:p>
        </w:tc>
        <w:tc>
          <w:tcPr>
            <w:tcW w:w="1276" w:type="dxa"/>
            <w:tcBorders>
              <w:top w:val="nil"/>
              <w:left w:val="nil"/>
              <w:bottom w:val="double" w:color="1F497D" w:sz="6" w:space="0"/>
              <w:right w:val="double" w:color="1F497D" w:sz="6" w:space="0"/>
            </w:tcBorders>
            <w:shd w:val="clear" w:color="000000" w:fill="DCE6F1"/>
            <w:vAlign w:val="center"/>
          </w:tcPr>
          <w:p w:rsidRPr="00AE1B2B" w:rsidR="009D3FB5" w:rsidP="00163B94" w:rsidRDefault="009D3FB5" w14:paraId="77FE477D"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rPr>
              <w:t>2%</w:t>
            </w:r>
          </w:p>
        </w:tc>
      </w:tr>
      <w:tr w:rsidRPr="00AE1B2B" w:rsidR="009D3FB5" w:rsidTr="009D3FB5" w14:paraId="30F95F6D" w14:textId="77777777">
        <w:trPr>
          <w:trHeight w:val="312"/>
          <w:tblHeader/>
        </w:trPr>
        <w:tc>
          <w:tcPr>
            <w:tcW w:w="3678" w:type="dxa"/>
            <w:tcBorders>
              <w:top w:val="double" w:color="0673A5" w:sz="6" w:space="0"/>
              <w:left w:val="double" w:color="0673A5" w:sz="6" w:space="0"/>
              <w:bottom w:val="nil"/>
              <w:right w:val="double" w:color="0673A5" w:sz="6" w:space="0"/>
            </w:tcBorders>
            <w:shd w:val="clear" w:color="000000" w:fill="DCE6F1"/>
            <w:vAlign w:val="center"/>
            <w:hideMark/>
          </w:tcPr>
          <w:p w:rsidRPr="00AE1B2B" w:rsidR="009D3FB5" w:rsidP="00163B94" w:rsidRDefault="009D3FB5" w14:paraId="116D759A" w14:textId="77777777">
            <w:pPr>
              <w:spacing w:before="120" w:after="120"/>
              <w:jc w:val="right"/>
              <w:rPr>
                <w:rFonts w:ascii="Times New Roman" w:hAnsi="Times New Roman" w:cs="Times New Roman"/>
                <w:b/>
                <w:bCs/>
                <w:lang w:eastAsia="es-CR"/>
              </w:rPr>
            </w:pPr>
            <w:r w:rsidRPr="00AE1B2B">
              <w:rPr>
                <w:rFonts w:ascii="Times New Roman" w:hAnsi="Times New Roman" w:cs="Times New Roman"/>
                <w:b/>
                <w:bCs/>
                <w:lang w:eastAsia="es-CR"/>
              </w:rPr>
              <w:lastRenderedPageBreak/>
              <w:t>Total general</w:t>
            </w:r>
          </w:p>
        </w:tc>
        <w:tc>
          <w:tcPr>
            <w:tcW w:w="1142" w:type="dxa"/>
            <w:tcBorders>
              <w:top w:val="double" w:color="0673A5" w:sz="6" w:space="0"/>
              <w:left w:val="nil"/>
              <w:bottom w:val="nil"/>
              <w:right w:val="double" w:color="0673A5" w:sz="6" w:space="0"/>
            </w:tcBorders>
            <w:shd w:val="clear" w:color="000000" w:fill="DCE6F1"/>
            <w:noWrap/>
            <w:vAlign w:val="center"/>
            <w:hideMark/>
          </w:tcPr>
          <w:p w:rsidRPr="00AE1B2B" w:rsidR="009D3FB5" w:rsidP="00163B94" w:rsidRDefault="009D3FB5" w14:paraId="2F454AAC"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1381</w:t>
            </w:r>
          </w:p>
        </w:tc>
        <w:tc>
          <w:tcPr>
            <w:tcW w:w="1701" w:type="dxa"/>
            <w:tcBorders>
              <w:top w:val="double" w:color="0673A5" w:sz="6" w:space="0"/>
              <w:left w:val="nil"/>
              <w:bottom w:val="nil"/>
              <w:right w:val="double" w:color="0673A5" w:sz="6" w:space="0"/>
            </w:tcBorders>
            <w:shd w:val="clear" w:color="000000" w:fill="DCE6F1"/>
            <w:noWrap/>
            <w:vAlign w:val="center"/>
            <w:hideMark/>
          </w:tcPr>
          <w:p w:rsidRPr="00AE1B2B" w:rsidR="009D3FB5" w:rsidP="00163B94" w:rsidRDefault="009D3FB5" w14:paraId="104E6508"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822</w:t>
            </w:r>
          </w:p>
        </w:tc>
        <w:tc>
          <w:tcPr>
            <w:tcW w:w="1418" w:type="dxa"/>
            <w:tcBorders>
              <w:top w:val="double" w:color="0673A5" w:sz="6" w:space="0"/>
              <w:left w:val="nil"/>
              <w:bottom w:val="nil"/>
              <w:right w:val="double" w:color="0673A5" w:sz="6" w:space="0"/>
            </w:tcBorders>
            <w:shd w:val="clear" w:color="000000" w:fill="DCE6F1"/>
            <w:noWrap/>
            <w:vAlign w:val="center"/>
            <w:hideMark/>
          </w:tcPr>
          <w:p w:rsidRPr="00AE1B2B" w:rsidR="009D3FB5" w:rsidP="00163B94" w:rsidRDefault="009D3FB5" w14:paraId="2A868E6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258</w:t>
            </w:r>
          </w:p>
        </w:tc>
        <w:tc>
          <w:tcPr>
            <w:tcW w:w="1417" w:type="dxa"/>
            <w:tcBorders>
              <w:top w:val="double" w:color="0673A5" w:sz="6" w:space="0"/>
              <w:left w:val="nil"/>
              <w:bottom w:val="nil"/>
              <w:right w:val="double" w:color="0673A5" w:sz="6" w:space="0"/>
            </w:tcBorders>
            <w:shd w:val="clear" w:color="000000" w:fill="DCE6F1"/>
            <w:noWrap/>
            <w:vAlign w:val="center"/>
            <w:hideMark/>
          </w:tcPr>
          <w:p w:rsidRPr="00AE1B2B" w:rsidR="009D3FB5" w:rsidP="00163B94" w:rsidRDefault="009D3FB5" w14:paraId="07116BCC"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17</w:t>
            </w:r>
          </w:p>
        </w:tc>
        <w:tc>
          <w:tcPr>
            <w:tcW w:w="1134" w:type="dxa"/>
            <w:tcBorders>
              <w:top w:val="double" w:color="0673A5" w:sz="6" w:space="0"/>
              <w:left w:val="nil"/>
              <w:bottom w:val="nil"/>
              <w:right w:val="double" w:color="0673A5" w:sz="6" w:space="0"/>
            </w:tcBorders>
            <w:shd w:val="clear" w:color="000000" w:fill="DCE6F1"/>
            <w:noWrap/>
            <w:vAlign w:val="center"/>
            <w:hideMark/>
          </w:tcPr>
          <w:p w:rsidRPr="00AE1B2B" w:rsidR="009D3FB5" w:rsidP="00163B94" w:rsidRDefault="009D3FB5" w14:paraId="42611FF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2478</w:t>
            </w:r>
          </w:p>
        </w:tc>
        <w:tc>
          <w:tcPr>
            <w:tcW w:w="1276" w:type="dxa"/>
            <w:tcBorders>
              <w:top w:val="double" w:color="0673A5" w:sz="6" w:space="0"/>
              <w:left w:val="nil"/>
              <w:bottom w:val="nil"/>
              <w:right w:val="double" w:color="0673A5" w:sz="6" w:space="0"/>
            </w:tcBorders>
            <w:shd w:val="clear" w:color="000000" w:fill="DCE6F1"/>
            <w:vAlign w:val="center"/>
          </w:tcPr>
          <w:p w:rsidRPr="00AE1B2B" w:rsidR="009D3FB5" w:rsidP="00163B94" w:rsidRDefault="009D3FB5" w14:paraId="2313282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100%</w:t>
            </w:r>
          </w:p>
        </w:tc>
      </w:tr>
      <w:tr w:rsidRPr="00AE1B2B" w:rsidR="009D3FB5" w:rsidTr="009D3FB5" w14:paraId="40D61FFB" w14:textId="77777777">
        <w:trPr>
          <w:trHeight w:val="312"/>
          <w:tblHeader/>
        </w:trPr>
        <w:tc>
          <w:tcPr>
            <w:tcW w:w="3678" w:type="dxa"/>
            <w:tcBorders>
              <w:top w:val="double" w:color="1F497D" w:sz="6" w:space="0"/>
              <w:left w:val="double" w:color="1F497D" w:sz="6" w:space="0"/>
              <w:bottom w:val="double" w:color="1F497D" w:sz="6" w:space="0"/>
              <w:right w:val="double" w:color="1F497D" w:sz="6" w:space="0"/>
            </w:tcBorders>
            <w:shd w:val="clear" w:color="000000" w:fill="DAEEF3"/>
            <w:vAlign w:val="center"/>
            <w:hideMark/>
          </w:tcPr>
          <w:p w:rsidRPr="00AE1B2B" w:rsidR="009D3FB5" w:rsidP="00163B94" w:rsidRDefault="009D3FB5" w14:paraId="69CEB5F5" w14:textId="77777777">
            <w:pPr>
              <w:spacing w:before="120" w:after="120"/>
              <w:jc w:val="right"/>
              <w:rPr>
                <w:rFonts w:ascii="Times New Roman" w:hAnsi="Times New Roman" w:cs="Times New Roman"/>
                <w:b/>
                <w:bCs/>
                <w:lang w:eastAsia="es-CR"/>
              </w:rPr>
            </w:pPr>
            <w:r w:rsidRPr="00AE1B2B">
              <w:rPr>
                <w:rFonts w:ascii="Times New Roman" w:hAnsi="Times New Roman" w:cs="Times New Roman"/>
                <w:b/>
                <w:bCs/>
                <w:lang w:eastAsia="es-CR"/>
              </w:rPr>
              <w:t xml:space="preserve">Porcentaje </w:t>
            </w:r>
          </w:p>
        </w:tc>
        <w:tc>
          <w:tcPr>
            <w:tcW w:w="1142" w:type="dxa"/>
            <w:tcBorders>
              <w:top w:val="double" w:color="1F497D" w:sz="6" w:space="0"/>
              <w:left w:val="nil"/>
              <w:bottom w:val="double" w:color="1F497D" w:sz="6" w:space="0"/>
              <w:right w:val="double" w:color="1F497D" w:sz="6" w:space="0"/>
            </w:tcBorders>
            <w:shd w:val="clear" w:color="000000" w:fill="DAEEF3"/>
            <w:noWrap/>
            <w:vAlign w:val="bottom"/>
            <w:hideMark/>
          </w:tcPr>
          <w:p w:rsidRPr="00AE1B2B" w:rsidR="009D3FB5" w:rsidP="00163B94" w:rsidRDefault="009D3FB5" w14:paraId="3A275E48"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55,7%</w:t>
            </w:r>
          </w:p>
        </w:tc>
        <w:tc>
          <w:tcPr>
            <w:tcW w:w="1701" w:type="dxa"/>
            <w:tcBorders>
              <w:top w:val="double" w:color="1F497D" w:sz="6" w:space="0"/>
              <w:left w:val="nil"/>
              <w:bottom w:val="double" w:color="1F497D" w:sz="6" w:space="0"/>
              <w:right w:val="double" w:color="1F497D" w:sz="6" w:space="0"/>
            </w:tcBorders>
            <w:shd w:val="clear" w:color="000000" w:fill="DAEEF3"/>
            <w:noWrap/>
            <w:vAlign w:val="bottom"/>
            <w:hideMark/>
          </w:tcPr>
          <w:p w:rsidRPr="00AE1B2B" w:rsidR="009D3FB5" w:rsidP="00163B94" w:rsidRDefault="009D3FB5" w14:paraId="1358C7AD"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33,2%</w:t>
            </w:r>
          </w:p>
        </w:tc>
        <w:tc>
          <w:tcPr>
            <w:tcW w:w="1418" w:type="dxa"/>
            <w:tcBorders>
              <w:top w:val="double" w:color="1F497D" w:sz="6" w:space="0"/>
              <w:left w:val="nil"/>
              <w:bottom w:val="double" w:color="1F497D" w:sz="6" w:space="0"/>
              <w:right w:val="double" w:color="1F497D" w:sz="6" w:space="0"/>
            </w:tcBorders>
            <w:shd w:val="clear" w:color="000000" w:fill="DAEEF3"/>
            <w:noWrap/>
            <w:vAlign w:val="bottom"/>
            <w:hideMark/>
          </w:tcPr>
          <w:p w:rsidRPr="00AE1B2B" w:rsidR="009D3FB5" w:rsidP="00163B94" w:rsidRDefault="009D3FB5" w14:paraId="4FF0F15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10,4%</w:t>
            </w:r>
          </w:p>
        </w:tc>
        <w:tc>
          <w:tcPr>
            <w:tcW w:w="1417" w:type="dxa"/>
            <w:tcBorders>
              <w:top w:val="double" w:color="1F497D" w:sz="6" w:space="0"/>
              <w:left w:val="nil"/>
              <w:bottom w:val="double" w:color="1F497D" w:sz="6" w:space="0"/>
              <w:right w:val="double" w:color="1F497D" w:sz="6" w:space="0"/>
            </w:tcBorders>
            <w:shd w:val="clear" w:color="000000" w:fill="DAEEF3"/>
            <w:noWrap/>
            <w:vAlign w:val="bottom"/>
            <w:hideMark/>
          </w:tcPr>
          <w:p w:rsidRPr="00AE1B2B" w:rsidR="009D3FB5" w:rsidP="00163B94" w:rsidRDefault="009D3FB5" w14:paraId="6966967A"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0,7%</w:t>
            </w:r>
          </w:p>
        </w:tc>
        <w:tc>
          <w:tcPr>
            <w:tcW w:w="1134" w:type="dxa"/>
            <w:tcBorders>
              <w:top w:val="double" w:color="1F497D" w:sz="6" w:space="0"/>
              <w:left w:val="nil"/>
              <w:bottom w:val="double" w:color="1F497D" w:sz="6" w:space="0"/>
              <w:right w:val="double" w:color="1F497D" w:sz="6" w:space="0"/>
            </w:tcBorders>
            <w:shd w:val="clear" w:color="000000" w:fill="DAEEF3"/>
            <w:noWrap/>
            <w:vAlign w:val="bottom"/>
            <w:hideMark/>
          </w:tcPr>
          <w:p w:rsidRPr="00AE1B2B" w:rsidR="009D3FB5" w:rsidP="00163B94" w:rsidRDefault="009D3FB5" w14:paraId="1FA7AF4C"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100,0%</w:t>
            </w:r>
          </w:p>
        </w:tc>
        <w:tc>
          <w:tcPr>
            <w:tcW w:w="1276" w:type="dxa"/>
            <w:tcBorders>
              <w:top w:val="double" w:color="1F497D" w:sz="6" w:space="0"/>
              <w:left w:val="nil"/>
              <w:bottom w:val="double" w:color="1F497D" w:sz="6" w:space="0"/>
              <w:right w:val="double" w:color="1F497D" w:sz="6" w:space="0"/>
            </w:tcBorders>
            <w:shd w:val="clear" w:color="auto" w:fill="A6A6A6" w:themeFill="background1" w:themeFillShade="A6"/>
          </w:tcPr>
          <w:p w:rsidRPr="00AE1B2B" w:rsidR="009D3FB5" w:rsidP="00163B94" w:rsidRDefault="009D3FB5" w14:paraId="7EFCBC70" w14:textId="77777777">
            <w:pPr>
              <w:spacing w:before="120" w:after="120"/>
              <w:jc w:val="center"/>
              <w:rPr>
                <w:rFonts w:ascii="Times New Roman" w:hAnsi="Times New Roman" w:cs="Times New Roman"/>
                <w:b/>
                <w:bCs/>
                <w:lang w:eastAsia="es-CR"/>
              </w:rPr>
            </w:pPr>
          </w:p>
        </w:tc>
      </w:tr>
      <w:tr w:rsidRPr="00AE1B2B" w:rsidR="009D3FB5" w:rsidTr="009D3FB5" w14:paraId="156C9E78" w14:textId="77777777">
        <w:trPr>
          <w:trHeight w:val="312"/>
          <w:tblHeader/>
        </w:trPr>
        <w:tc>
          <w:tcPr>
            <w:tcW w:w="3678" w:type="dxa"/>
            <w:tcBorders>
              <w:top w:val="nil"/>
              <w:left w:val="double" w:color="1F497D" w:sz="6" w:space="0"/>
              <w:bottom w:val="double" w:color="1F497D" w:sz="6" w:space="0"/>
              <w:right w:val="double" w:color="1F497D" w:sz="6" w:space="0"/>
            </w:tcBorders>
            <w:shd w:val="clear" w:color="000000" w:fill="92CDDC"/>
            <w:noWrap/>
            <w:vAlign w:val="bottom"/>
            <w:hideMark/>
          </w:tcPr>
          <w:p w:rsidRPr="00AE1B2B" w:rsidR="009D3FB5" w:rsidP="00163B94" w:rsidRDefault="009D3FB5" w14:paraId="7195AD6F" w14:textId="77777777">
            <w:pPr>
              <w:spacing w:before="120" w:after="120"/>
              <w:jc w:val="right"/>
              <w:rPr>
                <w:rFonts w:ascii="Times New Roman" w:hAnsi="Times New Roman" w:cs="Times New Roman"/>
                <w:b/>
                <w:bCs/>
                <w:i/>
                <w:iCs/>
                <w:lang w:eastAsia="es-CR"/>
              </w:rPr>
            </w:pPr>
            <w:r w:rsidRPr="00AE1B2B">
              <w:rPr>
                <w:rFonts w:ascii="Times New Roman" w:hAnsi="Times New Roman" w:cs="Times New Roman"/>
                <w:b/>
                <w:bCs/>
                <w:i/>
                <w:iCs/>
                <w:lang w:eastAsia="es-CR"/>
              </w:rPr>
              <w:t xml:space="preserve">Representación porcentual con el circulante nacional Agrario </w:t>
            </w:r>
          </w:p>
        </w:tc>
        <w:tc>
          <w:tcPr>
            <w:tcW w:w="1142" w:type="dxa"/>
            <w:tcBorders>
              <w:top w:val="nil"/>
              <w:left w:val="nil"/>
              <w:bottom w:val="double" w:color="1F497D" w:sz="6" w:space="0"/>
              <w:right w:val="double" w:color="1F497D" w:sz="6" w:space="0"/>
            </w:tcBorders>
            <w:shd w:val="clear" w:color="000000" w:fill="92CDDC"/>
            <w:noWrap/>
            <w:vAlign w:val="center"/>
            <w:hideMark/>
          </w:tcPr>
          <w:p w:rsidRPr="00AE1B2B" w:rsidR="009D3FB5" w:rsidP="00163B94" w:rsidRDefault="009D3FB5" w14:paraId="162B5F95"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37,2%</w:t>
            </w:r>
          </w:p>
        </w:tc>
        <w:tc>
          <w:tcPr>
            <w:tcW w:w="1701" w:type="dxa"/>
            <w:tcBorders>
              <w:top w:val="nil"/>
              <w:left w:val="nil"/>
              <w:bottom w:val="double" w:color="1F497D" w:sz="6" w:space="0"/>
              <w:right w:val="double" w:color="1F497D" w:sz="6" w:space="0"/>
            </w:tcBorders>
            <w:shd w:val="clear" w:color="000000" w:fill="92CDDC"/>
            <w:noWrap/>
            <w:vAlign w:val="center"/>
            <w:hideMark/>
          </w:tcPr>
          <w:p w:rsidRPr="00AE1B2B" w:rsidR="009D3FB5" w:rsidP="00163B94" w:rsidRDefault="009D3FB5" w14:paraId="18FE8C1B"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40,5%</w:t>
            </w:r>
          </w:p>
        </w:tc>
        <w:tc>
          <w:tcPr>
            <w:tcW w:w="1418" w:type="dxa"/>
            <w:tcBorders>
              <w:top w:val="nil"/>
              <w:left w:val="nil"/>
              <w:bottom w:val="double" w:color="1F497D" w:sz="6" w:space="0"/>
              <w:right w:val="double" w:color="1F497D" w:sz="6" w:space="0"/>
            </w:tcBorders>
            <w:shd w:val="clear" w:color="000000" w:fill="92CDDC"/>
            <w:noWrap/>
            <w:vAlign w:val="center"/>
            <w:hideMark/>
          </w:tcPr>
          <w:p w:rsidRPr="00AE1B2B" w:rsidR="009D3FB5" w:rsidP="00163B94" w:rsidRDefault="009D3FB5" w14:paraId="7851AB6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29,6%</w:t>
            </w:r>
          </w:p>
        </w:tc>
        <w:tc>
          <w:tcPr>
            <w:tcW w:w="1417" w:type="dxa"/>
            <w:tcBorders>
              <w:top w:val="nil"/>
              <w:left w:val="nil"/>
              <w:bottom w:val="double" w:color="1F497D" w:sz="6" w:space="0"/>
              <w:right w:val="double" w:color="1F497D" w:sz="6" w:space="0"/>
            </w:tcBorders>
            <w:shd w:val="clear" w:color="000000" w:fill="92CDDC"/>
            <w:noWrap/>
            <w:vAlign w:val="center"/>
            <w:hideMark/>
          </w:tcPr>
          <w:p w:rsidRPr="00AE1B2B" w:rsidR="009D3FB5" w:rsidP="00163B94" w:rsidRDefault="009D3FB5" w14:paraId="70291562"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27,9%</w:t>
            </w:r>
          </w:p>
        </w:tc>
        <w:tc>
          <w:tcPr>
            <w:tcW w:w="1134" w:type="dxa"/>
            <w:tcBorders>
              <w:top w:val="nil"/>
              <w:left w:val="nil"/>
              <w:bottom w:val="double" w:color="1F497D" w:sz="6" w:space="0"/>
              <w:right w:val="double" w:color="1F497D" w:sz="6" w:space="0"/>
            </w:tcBorders>
            <w:shd w:val="clear" w:color="000000" w:fill="92CDDC"/>
            <w:noWrap/>
            <w:vAlign w:val="center"/>
            <w:hideMark/>
          </w:tcPr>
          <w:p w:rsidRPr="00AE1B2B" w:rsidR="009D3FB5" w:rsidP="00163B94" w:rsidRDefault="009D3FB5" w14:paraId="73264CC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35,0%</w:t>
            </w:r>
          </w:p>
        </w:tc>
        <w:tc>
          <w:tcPr>
            <w:tcW w:w="1276" w:type="dxa"/>
            <w:tcBorders>
              <w:top w:val="nil"/>
              <w:left w:val="nil"/>
              <w:bottom w:val="double" w:color="1F497D" w:sz="6" w:space="0"/>
              <w:right w:val="double" w:color="1F497D" w:sz="6" w:space="0"/>
            </w:tcBorders>
            <w:shd w:val="clear" w:color="auto" w:fill="A6A6A6" w:themeFill="background1" w:themeFillShade="A6"/>
          </w:tcPr>
          <w:p w:rsidRPr="00AE1B2B" w:rsidR="009D3FB5" w:rsidP="00163B94" w:rsidRDefault="009D3FB5" w14:paraId="1F5B8792" w14:textId="77777777">
            <w:pPr>
              <w:spacing w:before="120" w:after="120"/>
              <w:jc w:val="center"/>
              <w:rPr>
                <w:rFonts w:ascii="Times New Roman" w:hAnsi="Times New Roman" w:cs="Times New Roman"/>
                <w:b/>
                <w:bCs/>
                <w:lang w:eastAsia="es-CR"/>
              </w:rPr>
            </w:pPr>
          </w:p>
        </w:tc>
      </w:tr>
    </w:tbl>
    <w:p w:rsidRPr="00AE1B2B" w:rsidR="009D3FB5" w:rsidP="00163B94" w:rsidRDefault="009D3FB5" w14:paraId="03081E71" w14:textId="77777777">
      <w:pPr>
        <w:spacing w:before="120" w:after="120"/>
        <w:ind w:left="851" w:right="851" w:firstLine="709"/>
        <w:jc w:val="both"/>
        <w:rPr>
          <w:rFonts w:ascii="Times New Roman" w:hAnsi="Times New Roman" w:cs="Times New Roman"/>
          <w:b/>
          <w:i/>
          <w:sz w:val="26"/>
          <w:szCs w:val="26"/>
        </w:rPr>
      </w:pPr>
      <w:bookmarkStart w:name="_Hlk39753279" w:id="305"/>
      <w:r w:rsidRPr="00AE1B2B">
        <w:rPr>
          <w:rFonts w:ascii="Times New Roman" w:hAnsi="Times New Roman" w:cs="Times New Roman"/>
          <w:b/>
          <w:i/>
          <w:sz w:val="26"/>
          <w:szCs w:val="26"/>
        </w:rPr>
        <w:t xml:space="preserve">Fuente: Subproceso de Modernización Institucional con base al reporte del circulante del sistema SIGMA, enero 2021. </w:t>
      </w:r>
    </w:p>
    <w:bookmarkEnd w:id="305"/>
    <w:p w:rsidRPr="00AE1B2B" w:rsidR="009D3FB5" w:rsidP="00163B94" w:rsidRDefault="009D3FB5" w14:paraId="6984750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Las Informaciones Posesorias a nivel nacional, como se indica en líneas anteriores, representa un 35% del total del circulante, del cual el 56% se encuentra en fase de Demanda, seguido de un 33% en fase Demostrativa, un 10% en Conclusiva y 1% en fase de sin fase asignada. </w:t>
      </w:r>
    </w:p>
    <w:p w:rsidRPr="00AE1B2B" w:rsidR="009D3FB5" w:rsidP="00163B94" w:rsidRDefault="009D3FB5" w14:paraId="198B165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Juzgado Agrario de Santa Cruz posee la mayor cantidad de casos de Informaciones Posesorias del país con 521 (21% del total) y prácticamente el 69% se encuentra en fase de Demanda, por lo que es necesario que el personal juzgador impulse ese circulante a las siguientes fases. </w:t>
      </w:r>
    </w:p>
    <w:p w:rsidRPr="00AE1B2B" w:rsidR="009D3FB5" w:rsidP="00163B94" w:rsidRDefault="009D3FB5" w14:paraId="07E4F54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Otro Despacho que presenta una gran cantidad de casos de este tipo, es el ubicado en la zona de Upala, con 301 casos (12% del total) con un 65% de casos en fase de Demanda. </w:t>
      </w:r>
    </w:p>
    <w:p w:rsidRPr="00AE1B2B" w:rsidR="009D3FB5" w:rsidP="00163B94" w:rsidRDefault="009D3FB5" w14:paraId="75A361D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Juzgado de Pérez Zeledón tiene un total de 191 expedientes de Informaciones Posesorias (8% del total) con un 25% en fase de Demanda. </w:t>
      </w:r>
    </w:p>
    <w:p w:rsidRPr="00AE1B2B" w:rsidR="009D3FB5" w:rsidP="00163B94" w:rsidRDefault="009D3FB5" w14:paraId="17EC566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Juzgado Agrario de Cartago, cuenta con un circulante de 183 expedientes en el proceso de Informaciones Posesorias, de los cuales el 86% se encuentra en fase de Demanda, un 4% en fase Demostrativa y un 9% en fase Conclusiva.</w:t>
      </w:r>
    </w:p>
    <w:p w:rsidRPr="00AE1B2B" w:rsidR="009D3FB5" w:rsidP="00163B94" w:rsidRDefault="009D3FB5" w14:paraId="60BBB8B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Liberia cuenta con un total de 163 expedientes en proceso de Informaciones Posesorias, de los cuales el 56% se encuentran en fase de Demanda, 31% en fase Demostrativa y un 13% en fase Conclusiva. </w:t>
      </w:r>
    </w:p>
    <w:p w:rsidRPr="00AE1B2B" w:rsidR="009D3FB5" w:rsidP="00163B94" w:rsidRDefault="009D3FB5" w14:paraId="1CA9EB4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Puntarenas tiene en su circulante 182 expediente de esta clase de asuntos, pero a diferencia del resto la gran cantidad de casos se encuentra en fase Demostrativa con un 89% de su total. </w:t>
      </w:r>
    </w:p>
    <w:p w:rsidRPr="00AE1B2B" w:rsidR="009D3FB5" w:rsidP="00163B94" w:rsidRDefault="009D3FB5" w14:paraId="3DB4798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FA735B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De los 122 expedientes de Informaciones Posesorias que cuenta el Juzgado de Guápiles, el 73% de los casos se encuentran en fase de Demanda.</w:t>
      </w:r>
    </w:p>
    <w:p w:rsidRPr="00AE1B2B" w:rsidR="009D3FB5" w:rsidP="00163B94" w:rsidRDefault="009D3FB5" w14:paraId="5CC4891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ACD235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cantidad de Informaciones Posesorias entradas durante el 2016 al 2020 por Despacho, se muestra en el siguiente cuadro: </w:t>
      </w:r>
    </w:p>
    <w:p w:rsidRPr="00AE1B2B" w:rsidR="009D3FB5" w:rsidP="00163B94" w:rsidRDefault="009D3FB5" w14:paraId="2AD243A2"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14</w:t>
      </w:r>
      <w:r w:rsidRPr="00AE1B2B">
        <w:rPr>
          <w:rFonts w:ascii="Times New Roman" w:hAnsi="Times New Roman"/>
          <w:iCs/>
          <w:sz w:val="26"/>
          <w:szCs w:val="26"/>
        </w:rPr>
        <w:fldChar w:fldCharType="end"/>
      </w:r>
    </w:p>
    <w:p w:rsidRPr="00AE1B2B" w:rsidR="009D3FB5" w:rsidP="00163B94" w:rsidRDefault="009D3FB5" w14:paraId="5F797524" w14:textId="77777777">
      <w:pPr>
        <w:spacing w:before="120" w:after="120"/>
        <w:ind w:left="851" w:right="851" w:firstLine="709"/>
        <w:jc w:val="both"/>
        <w:rPr>
          <w:rFonts w:ascii="Times New Roman" w:hAnsi="Times New Roman" w:cs="Times New Roman"/>
          <w:b/>
          <w:iCs/>
          <w:sz w:val="26"/>
          <w:szCs w:val="26"/>
        </w:rPr>
      </w:pPr>
      <w:r w:rsidRPr="00AE1B2B">
        <w:rPr>
          <w:rFonts w:ascii="Times New Roman" w:hAnsi="Times New Roman" w:cs="Times New Roman"/>
          <w:b/>
          <w:iCs/>
          <w:sz w:val="26"/>
          <w:szCs w:val="26"/>
        </w:rPr>
        <w:t>Informaciones Posesorias Ingresadas por Despacho en el Periodo 2016-2020</w:t>
      </w:r>
    </w:p>
    <w:tbl>
      <w:tblPr>
        <w:tblW w:w="11624" w:type="dxa"/>
        <w:tblInd w:w="-1441" w:type="dxa"/>
        <w:tblLayout w:type="fixed"/>
        <w:tblCellMar>
          <w:left w:w="70" w:type="dxa"/>
          <w:right w:w="70" w:type="dxa"/>
        </w:tblCellMar>
        <w:tblLook w:val="04A0" w:firstRow="1" w:lastRow="0" w:firstColumn="1" w:lastColumn="0" w:noHBand="0" w:noVBand="1"/>
      </w:tblPr>
      <w:tblGrid>
        <w:gridCol w:w="3828"/>
        <w:gridCol w:w="851"/>
        <w:gridCol w:w="992"/>
        <w:gridCol w:w="850"/>
        <w:gridCol w:w="709"/>
        <w:gridCol w:w="851"/>
        <w:gridCol w:w="1559"/>
        <w:gridCol w:w="1984"/>
      </w:tblGrid>
      <w:tr w:rsidRPr="00AE1B2B" w:rsidR="009D3FB5" w:rsidTr="009D3FB5" w14:paraId="1BCF332A" w14:textId="77777777">
        <w:trPr>
          <w:trHeight w:val="312"/>
          <w:tblHeader/>
        </w:trPr>
        <w:tc>
          <w:tcPr>
            <w:tcW w:w="3828" w:type="dxa"/>
            <w:vMerge w:val="restart"/>
            <w:tcBorders>
              <w:top w:val="double" w:color="1F497D" w:sz="6" w:space="0"/>
              <w:left w:val="double" w:color="1F497D" w:sz="6" w:space="0"/>
              <w:bottom w:val="double" w:color="1F497D" w:sz="6" w:space="0"/>
              <w:right w:val="double" w:color="1F497D" w:sz="6" w:space="0"/>
            </w:tcBorders>
            <w:shd w:val="clear" w:color="000000" w:fill="0673A5"/>
            <w:vAlign w:val="center"/>
            <w:hideMark/>
          </w:tcPr>
          <w:p w:rsidRPr="00AE1B2B" w:rsidR="009D3FB5" w:rsidP="00163B94" w:rsidRDefault="009D3FB5" w14:paraId="518FD75E"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Juzgado </w:t>
            </w:r>
          </w:p>
        </w:tc>
        <w:tc>
          <w:tcPr>
            <w:tcW w:w="7796" w:type="dxa"/>
            <w:gridSpan w:val="7"/>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1646239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Informaciones Posesorias </w:t>
            </w:r>
          </w:p>
        </w:tc>
      </w:tr>
      <w:tr w:rsidRPr="00AE1B2B" w:rsidR="009D3FB5" w:rsidTr="009D3FB5" w14:paraId="16D0DD7E" w14:textId="77777777">
        <w:trPr>
          <w:trHeight w:val="600"/>
          <w:tblHeader/>
        </w:trPr>
        <w:tc>
          <w:tcPr>
            <w:tcW w:w="3828" w:type="dxa"/>
            <w:vMerge/>
            <w:tcBorders>
              <w:top w:val="double" w:color="1F497D" w:sz="6" w:space="0"/>
              <w:left w:val="double" w:color="1F497D" w:sz="6" w:space="0"/>
              <w:bottom w:val="double" w:color="1F497D" w:sz="6" w:space="0"/>
              <w:right w:val="double" w:color="1F497D" w:sz="6" w:space="0"/>
            </w:tcBorders>
            <w:vAlign w:val="center"/>
            <w:hideMark/>
          </w:tcPr>
          <w:p w:rsidRPr="00AE1B2B" w:rsidR="009D3FB5" w:rsidP="00163B94" w:rsidRDefault="009D3FB5" w14:paraId="76EAA2A7" w14:textId="77777777">
            <w:pPr>
              <w:spacing w:before="120" w:after="120"/>
              <w:rPr>
                <w:rFonts w:ascii="Times New Roman" w:hAnsi="Times New Roman" w:cs="Times New Roman"/>
                <w:b/>
                <w:bCs/>
                <w:lang w:eastAsia="es-CR"/>
              </w:rPr>
            </w:pPr>
          </w:p>
        </w:tc>
        <w:tc>
          <w:tcPr>
            <w:tcW w:w="851" w:type="dxa"/>
            <w:tcBorders>
              <w:top w:val="nil"/>
              <w:left w:val="nil"/>
              <w:bottom w:val="double" w:color="1F497D" w:sz="6" w:space="0"/>
              <w:right w:val="double" w:color="1F497D" w:sz="6" w:space="0"/>
            </w:tcBorders>
            <w:shd w:val="clear" w:color="000000" w:fill="0673A5"/>
            <w:vAlign w:val="center"/>
            <w:hideMark/>
          </w:tcPr>
          <w:p w:rsidRPr="00AE1B2B" w:rsidR="009D3FB5" w:rsidP="00163B94" w:rsidRDefault="009D3FB5" w14:paraId="226EDD0D"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2016</w:t>
            </w:r>
          </w:p>
        </w:tc>
        <w:tc>
          <w:tcPr>
            <w:tcW w:w="992" w:type="dxa"/>
            <w:tcBorders>
              <w:top w:val="nil"/>
              <w:left w:val="nil"/>
              <w:bottom w:val="double" w:color="1F497D" w:sz="6" w:space="0"/>
              <w:right w:val="double" w:color="1F497D" w:sz="6" w:space="0"/>
            </w:tcBorders>
            <w:shd w:val="clear" w:color="000000" w:fill="0673A5"/>
            <w:vAlign w:val="center"/>
            <w:hideMark/>
          </w:tcPr>
          <w:p w:rsidRPr="00AE1B2B" w:rsidR="009D3FB5" w:rsidP="00163B94" w:rsidRDefault="009D3FB5" w14:paraId="12230348"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2017</w:t>
            </w:r>
          </w:p>
        </w:tc>
        <w:tc>
          <w:tcPr>
            <w:tcW w:w="850" w:type="dxa"/>
            <w:tcBorders>
              <w:top w:val="nil"/>
              <w:left w:val="nil"/>
              <w:bottom w:val="double" w:color="1F497D" w:sz="6" w:space="0"/>
              <w:right w:val="double" w:color="1F497D" w:sz="6" w:space="0"/>
            </w:tcBorders>
            <w:shd w:val="clear" w:color="000000" w:fill="0673A5"/>
            <w:vAlign w:val="center"/>
            <w:hideMark/>
          </w:tcPr>
          <w:p w:rsidRPr="00AE1B2B" w:rsidR="009D3FB5" w:rsidP="00163B94" w:rsidRDefault="009D3FB5" w14:paraId="6441A68A"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2018</w:t>
            </w:r>
          </w:p>
        </w:tc>
        <w:tc>
          <w:tcPr>
            <w:tcW w:w="709" w:type="dxa"/>
            <w:tcBorders>
              <w:top w:val="nil"/>
              <w:left w:val="nil"/>
              <w:bottom w:val="double" w:color="1F497D" w:sz="6" w:space="0"/>
              <w:right w:val="double" w:color="1F497D" w:sz="6" w:space="0"/>
            </w:tcBorders>
            <w:shd w:val="clear" w:color="000000" w:fill="0673A5"/>
            <w:vAlign w:val="center"/>
            <w:hideMark/>
          </w:tcPr>
          <w:p w:rsidRPr="00AE1B2B" w:rsidR="009D3FB5" w:rsidP="00163B94" w:rsidRDefault="009D3FB5" w14:paraId="459EDD9D"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2019</w:t>
            </w:r>
          </w:p>
        </w:tc>
        <w:tc>
          <w:tcPr>
            <w:tcW w:w="851" w:type="dxa"/>
            <w:tcBorders>
              <w:top w:val="nil"/>
              <w:left w:val="nil"/>
              <w:bottom w:val="double" w:color="1F497D" w:sz="6" w:space="0"/>
              <w:right w:val="double" w:color="1F497D" w:sz="6" w:space="0"/>
            </w:tcBorders>
            <w:shd w:val="clear" w:color="000000" w:fill="0673A5"/>
            <w:vAlign w:val="center"/>
            <w:hideMark/>
          </w:tcPr>
          <w:p w:rsidRPr="00AE1B2B" w:rsidR="009D3FB5" w:rsidP="00163B94" w:rsidRDefault="009D3FB5" w14:paraId="7AA8B5E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2020</w:t>
            </w:r>
          </w:p>
        </w:tc>
        <w:tc>
          <w:tcPr>
            <w:tcW w:w="1559" w:type="dxa"/>
            <w:tcBorders>
              <w:top w:val="nil"/>
              <w:left w:val="nil"/>
              <w:bottom w:val="double" w:color="1F497D" w:sz="6" w:space="0"/>
              <w:right w:val="double" w:color="1F497D" w:sz="6" w:space="0"/>
            </w:tcBorders>
            <w:shd w:val="clear" w:color="000000" w:fill="0673A5"/>
            <w:vAlign w:val="center"/>
            <w:hideMark/>
          </w:tcPr>
          <w:p w:rsidRPr="00AE1B2B" w:rsidR="009D3FB5" w:rsidP="00163B94" w:rsidRDefault="009D3FB5" w14:paraId="3558933A"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Promedio Anual</w:t>
            </w:r>
          </w:p>
        </w:tc>
        <w:tc>
          <w:tcPr>
            <w:tcW w:w="1984" w:type="dxa"/>
            <w:tcBorders>
              <w:top w:val="nil"/>
              <w:left w:val="nil"/>
              <w:bottom w:val="double" w:color="1F497D" w:sz="6" w:space="0"/>
              <w:right w:val="double" w:color="1F497D" w:sz="6" w:space="0"/>
            </w:tcBorders>
            <w:shd w:val="clear" w:color="000000" w:fill="0673A5"/>
            <w:vAlign w:val="center"/>
            <w:hideMark/>
          </w:tcPr>
          <w:p w:rsidRPr="00AE1B2B" w:rsidR="009D3FB5" w:rsidP="00163B94" w:rsidRDefault="009D3FB5" w14:paraId="2214E639"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Promedio Mensual </w:t>
            </w:r>
          </w:p>
        </w:tc>
      </w:tr>
      <w:tr w:rsidRPr="00AE1B2B" w:rsidR="009D3FB5" w:rsidTr="009D3FB5" w14:paraId="06E87173" w14:textId="77777777">
        <w:trPr>
          <w:trHeight w:val="312"/>
        </w:trPr>
        <w:tc>
          <w:tcPr>
            <w:tcW w:w="382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5CDFAD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 Circ. Jud. Guanacaste (Santa Cruz)</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A1E1D8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159</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05F4F5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172</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374404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171</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DD3DFE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35</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4418C8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239</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1B8778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155</w:t>
            </w:r>
          </w:p>
        </w:tc>
        <w:tc>
          <w:tcPr>
            <w:tcW w:w="198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CCD314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14</w:t>
            </w:r>
          </w:p>
        </w:tc>
      </w:tr>
      <w:tr w:rsidRPr="00AE1B2B" w:rsidR="009D3FB5" w:rsidTr="009D3FB5" w14:paraId="03C4982E" w14:textId="77777777">
        <w:trPr>
          <w:trHeight w:val="312"/>
        </w:trPr>
        <w:tc>
          <w:tcPr>
            <w:tcW w:w="382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E550E8A"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 Circ. Jud. Zona Sur (Corredores)</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01B7BB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56</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966863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54</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D38625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54</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721ACC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143</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1EEFE6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80</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8A3802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77</w:t>
            </w:r>
          </w:p>
        </w:tc>
        <w:tc>
          <w:tcPr>
            <w:tcW w:w="198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37828D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w:t>
            </w:r>
          </w:p>
        </w:tc>
      </w:tr>
      <w:tr w:rsidRPr="00AE1B2B" w:rsidR="009D3FB5" w:rsidTr="009D3FB5" w14:paraId="611F48E8" w14:textId="77777777">
        <w:trPr>
          <w:trHeight w:val="312"/>
        </w:trPr>
        <w:tc>
          <w:tcPr>
            <w:tcW w:w="382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80ED3C9"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III Circ. Jud. Alajuela (San Ramón)</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BDF8CE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71</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A2D4D5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78</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6FBD64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66</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657F79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73</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7C27CF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66</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B40645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71</w:t>
            </w:r>
          </w:p>
        </w:tc>
        <w:tc>
          <w:tcPr>
            <w:tcW w:w="198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0567DA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w:t>
            </w:r>
          </w:p>
        </w:tc>
      </w:tr>
      <w:tr w:rsidRPr="00AE1B2B" w:rsidR="009D3FB5" w:rsidTr="009D3FB5" w14:paraId="40210FA5" w14:textId="77777777">
        <w:trPr>
          <w:trHeight w:val="312"/>
        </w:trPr>
        <w:tc>
          <w:tcPr>
            <w:tcW w:w="382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83CD2F0"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Civil, Trabajo, Agrario, Familia, Penal Juvenil, Contra la Violencia Doméstica y Protección Cautelar II Circuito Judicial de Alajuela, sede Upala</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074EED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84</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0FAB98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74</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DABE4E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56</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678631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72</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37ED4D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74</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3B8AB8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72</w:t>
            </w:r>
          </w:p>
        </w:tc>
        <w:tc>
          <w:tcPr>
            <w:tcW w:w="198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E98347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w:t>
            </w:r>
          </w:p>
        </w:tc>
      </w:tr>
      <w:tr w:rsidRPr="00AE1B2B" w:rsidR="009D3FB5" w:rsidTr="009D3FB5" w14:paraId="6FF16068" w14:textId="77777777">
        <w:trPr>
          <w:trHeight w:val="312"/>
        </w:trPr>
        <w:tc>
          <w:tcPr>
            <w:tcW w:w="382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4F620E0C"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Guanacaste (Liberia)</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FC1CBC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75</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8B3A74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82</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F26015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72</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00DAA8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14</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75349D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124</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145A12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73</w:t>
            </w:r>
          </w:p>
        </w:tc>
        <w:tc>
          <w:tcPr>
            <w:tcW w:w="198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744A81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w:t>
            </w:r>
          </w:p>
        </w:tc>
      </w:tr>
      <w:tr w:rsidRPr="00AE1B2B" w:rsidR="009D3FB5" w:rsidTr="009D3FB5" w14:paraId="269AFF82" w14:textId="77777777">
        <w:trPr>
          <w:trHeight w:val="312"/>
        </w:trPr>
        <w:tc>
          <w:tcPr>
            <w:tcW w:w="382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A0C5EC2"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 Circ. Jud. Zona Atlántica (Pococí)</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79BFE6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61</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67AE17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63</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329B48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75</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200893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44</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99E11A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81</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018E0E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65</w:t>
            </w:r>
          </w:p>
        </w:tc>
        <w:tc>
          <w:tcPr>
            <w:tcW w:w="198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577F91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w:t>
            </w:r>
          </w:p>
        </w:tc>
      </w:tr>
      <w:tr w:rsidRPr="00AE1B2B" w:rsidR="009D3FB5" w:rsidTr="009D3FB5" w14:paraId="4113A127" w14:textId="77777777">
        <w:trPr>
          <w:trHeight w:val="312"/>
        </w:trPr>
        <w:tc>
          <w:tcPr>
            <w:tcW w:w="382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348DB2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 Circ. Jud. Alajuela (San Carlos)</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D0BE7C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68</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CC7356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59</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1596DA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66</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ED0EF2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47</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07336D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116</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F0C564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71</w:t>
            </w:r>
          </w:p>
        </w:tc>
        <w:tc>
          <w:tcPr>
            <w:tcW w:w="198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757097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w:t>
            </w:r>
          </w:p>
        </w:tc>
      </w:tr>
      <w:tr w:rsidRPr="00AE1B2B" w:rsidR="009D3FB5" w:rsidTr="009D3FB5" w14:paraId="6A4C69E1" w14:textId="77777777">
        <w:trPr>
          <w:trHeight w:val="312"/>
        </w:trPr>
        <w:tc>
          <w:tcPr>
            <w:tcW w:w="382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91A3D78"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 Circ. Jud. San José</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EB4F87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74</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FABC45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51</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B982DE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51</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8269B4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59</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C2036B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108</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AE07D6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69</w:t>
            </w:r>
          </w:p>
        </w:tc>
        <w:tc>
          <w:tcPr>
            <w:tcW w:w="198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137874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w:t>
            </w:r>
          </w:p>
        </w:tc>
      </w:tr>
      <w:tr w:rsidRPr="00AE1B2B" w:rsidR="009D3FB5" w:rsidTr="009D3FB5" w14:paraId="7ABE7C61" w14:textId="77777777">
        <w:trPr>
          <w:trHeight w:val="312"/>
        </w:trPr>
        <w:tc>
          <w:tcPr>
            <w:tcW w:w="382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086CF7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Cartago</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ED1728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80</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4227EC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58</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A666FD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52</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6DC380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18</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95E70F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106</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7204FF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63</w:t>
            </w:r>
          </w:p>
        </w:tc>
        <w:tc>
          <w:tcPr>
            <w:tcW w:w="198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DA9160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w:t>
            </w:r>
          </w:p>
        </w:tc>
      </w:tr>
      <w:tr w:rsidRPr="00AE1B2B" w:rsidR="009D3FB5" w:rsidTr="009D3FB5" w14:paraId="096BCEDD" w14:textId="77777777">
        <w:trPr>
          <w:trHeight w:val="312"/>
        </w:trPr>
        <w:tc>
          <w:tcPr>
            <w:tcW w:w="382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78B688C6"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Zona Atlántica (Limón)</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DAA17B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55</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15D27E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50</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DD0303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54</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6D5A3E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47</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CFD1E7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67</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585D33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55</w:t>
            </w:r>
          </w:p>
        </w:tc>
        <w:tc>
          <w:tcPr>
            <w:tcW w:w="198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A0553C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w:t>
            </w:r>
          </w:p>
        </w:tc>
      </w:tr>
      <w:tr w:rsidRPr="00AE1B2B" w:rsidR="009D3FB5" w:rsidTr="009D3FB5" w14:paraId="178C6F17" w14:textId="77777777">
        <w:trPr>
          <w:trHeight w:val="312"/>
        </w:trPr>
        <w:tc>
          <w:tcPr>
            <w:tcW w:w="382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7EBB866"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Civil y Agrario Puntarenas</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90DD8C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44</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3430FB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40</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EBE677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62</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9955DA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39</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237E7A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205</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5BECCC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78</w:t>
            </w:r>
          </w:p>
        </w:tc>
        <w:tc>
          <w:tcPr>
            <w:tcW w:w="198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3C2E9B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w:t>
            </w:r>
          </w:p>
        </w:tc>
      </w:tr>
      <w:tr w:rsidRPr="00AE1B2B" w:rsidR="009D3FB5" w:rsidTr="009D3FB5" w14:paraId="559C81F7" w14:textId="77777777">
        <w:trPr>
          <w:trHeight w:val="312"/>
        </w:trPr>
        <w:tc>
          <w:tcPr>
            <w:tcW w:w="382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18E90F6"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Alajuela</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55BEB6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41</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262DDE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38</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5E7EC8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32</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D6958A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32</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D79AF5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32</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04885C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35</w:t>
            </w:r>
          </w:p>
        </w:tc>
        <w:tc>
          <w:tcPr>
            <w:tcW w:w="198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9420A9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w:t>
            </w:r>
          </w:p>
        </w:tc>
      </w:tr>
      <w:tr w:rsidRPr="00AE1B2B" w:rsidR="009D3FB5" w:rsidTr="009D3FB5" w14:paraId="6808A5DD" w14:textId="77777777">
        <w:trPr>
          <w:trHeight w:val="312"/>
        </w:trPr>
        <w:tc>
          <w:tcPr>
            <w:tcW w:w="382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7032D564"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lastRenderedPageBreak/>
              <w:t>Juzgado Agrario I Circ. Jud. Zona Sur (Pérez Zeledón)</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931566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45</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4CCE85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44</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3FB190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41</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2FC8BF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D9376A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55</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D3C97C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39</w:t>
            </w:r>
          </w:p>
        </w:tc>
        <w:tc>
          <w:tcPr>
            <w:tcW w:w="198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8985BD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w:t>
            </w:r>
          </w:p>
        </w:tc>
      </w:tr>
      <w:tr w:rsidRPr="00AE1B2B" w:rsidR="009D3FB5" w:rsidTr="009D3FB5" w14:paraId="5D7B9408" w14:textId="77777777">
        <w:trPr>
          <w:trHeight w:val="312"/>
        </w:trPr>
        <w:tc>
          <w:tcPr>
            <w:tcW w:w="382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ED0102A"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Civil, Trabajo y Agrario Turrialba</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F08DEE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19</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25CB80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17</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A0D030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03990D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73</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B7545A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29</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CFE7D3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31</w:t>
            </w:r>
          </w:p>
        </w:tc>
        <w:tc>
          <w:tcPr>
            <w:tcW w:w="198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A17C8B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w:t>
            </w:r>
          </w:p>
        </w:tc>
      </w:tr>
      <w:tr w:rsidRPr="00AE1B2B" w:rsidR="009D3FB5" w:rsidTr="009D3FB5" w14:paraId="5C8EE9D8" w14:textId="77777777">
        <w:trPr>
          <w:trHeight w:val="312"/>
        </w:trPr>
        <w:tc>
          <w:tcPr>
            <w:tcW w:w="3828"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8EACD4C"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Civil, Trabajo, Familia, Agrario, Penal Juvenil, Contra la Violencia Doméstica y Protección Cautelar Buenos Aires</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2D2C70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23</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B296ED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13</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F8F1E0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18</w:t>
            </w:r>
          </w:p>
        </w:tc>
        <w:tc>
          <w:tcPr>
            <w:tcW w:w="70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07EE0A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31</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E7D742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12</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DDD13C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19</w:t>
            </w:r>
          </w:p>
        </w:tc>
        <w:tc>
          <w:tcPr>
            <w:tcW w:w="198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54D2B9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r>
    </w:tbl>
    <w:p w:rsidRPr="00AE1B2B" w:rsidR="009D3FB5" w:rsidP="00163B94" w:rsidRDefault="009D3FB5" w14:paraId="71ADEC11"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 xml:space="preserve">Fuente: Subproceso de Modernización Jurisdiccional, Anuarios Judiciales 2016-2019 y sistema SIGMA 2020. </w:t>
      </w:r>
    </w:p>
    <w:p w:rsidRPr="00AE1B2B" w:rsidR="009D3FB5" w:rsidP="00163B94" w:rsidRDefault="009D3FB5" w14:paraId="384637E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8DB1F6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Los Despachos presentan una entrada de seis (6) Informaciones Posesorias en promedio por mes, el que rompe ese promedio es el Juzgado Agrario de Santa Cruz que presenta una entrada de 14 casos en promedio. Es decir, cada persona juzgadora debería estar tramitando en promedio 3 casos mensuales de Informaciones Posesorias (en Despachos con dos (2) personas juzgadoras). </w:t>
      </w:r>
    </w:p>
    <w:p w:rsidRPr="00AE1B2B" w:rsidR="009D3FB5" w:rsidP="00163B94" w:rsidRDefault="009D3FB5" w14:paraId="0951DDF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atender de forma oportuna, el circulante de las Informaciones Posesorias en el país, definitivamente representaría una disminución significativa, en la carga de trabajo general de los Despachos del país en materia Agraria y en la estadística en esta Jurisdicción, de forma que sus esfuerzos se enfoquen en el cumplimiento de audiencias fuera de los despachos para los casos ordinarios, todo en beneficio de la disminución de los tiempos de resolución para una mayor cantidad de personas usuarias.</w:t>
      </w:r>
    </w:p>
    <w:p w:rsidRPr="00AE1B2B" w:rsidR="009D3FB5" w:rsidP="00163B94" w:rsidRDefault="009D3FB5" w14:paraId="24BCEAEE" w14:textId="77777777">
      <w:pPr>
        <w:spacing w:before="120" w:after="120"/>
        <w:ind w:left="851" w:right="851" w:firstLine="709"/>
        <w:jc w:val="both"/>
        <w:rPr>
          <w:rFonts w:ascii="Times New Roman" w:hAnsi="Times New Roman" w:cs="Times New Roman"/>
          <w:sz w:val="26"/>
          <w:szCs w:val="26"/>
        </w:rPr>
      </w:pPr>
      <w:bookmarkStart w:name="_Toc68688576" w:id="306"/>
      <w:r w:rsidRPr="00AE1B2B">
        <w:rPr>
          <w:rFonts w:ascii="Times New Roman" w:hAnsi="Times New Roman" w:cs="Times New Roman"/>
          <w:sz w:val="26"/>
          <w:szCs w:val="26"/>
        </w:rPr>
        <w:t>Propuesta de Plan de Trabajo para la Reducción del Circulante</w:t>
      </w:r>
      <w:bookmarkEnd w:id="306"/>
      <w:r w:rsidRPr="00AE1B2B">
        <w:rPr>
          <w:rFonts w:ascii="Times New Roman" w:hAnsi="Times New Roman" w:cs="Times New Roman"/>
          <w:sz w:val="26"/>
          <w:szCs w:val="26"/>
        </w:rPr>
        <w:t xml:space="preserve"> </w:t>
      </w:r>
    </w:p>
    <w:p w:rsidRPr="00AE1B2B" w:rsidR="009D3FB5" w:rsidP="00163B94" w:rsidRDefault="009D3FB5" w14:paraId="7E8D67A7" w14:textId="77777777">
      <w:pPr>
        <w:spacing w:before="120" w:after="120"/>
        <w:ind w:left="851" w:right="851" w:firstLine="709"/>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 xml:space="preserve">De acuerdo con lo mencionado en líneas anteriores, es necesaria la atención inmediata de las Informaciones Posesorias de los circulantes de los Despachos que presentan mayor congestión, con la ayuda de al menos dos (2) personas juzgadoras itinerantes con competencia a nivel nacional, en condición extraordinaria por 12 meses, con una cuota de 15 sentencias mensuales. Las oficinas identificadas para recibir colaboración son las siguientes: </w:t>
      </w:r>
    </w:p>
    <w:p w:rsidRPr="00AE1B2B" w:rsidR="009D3FB5" w:rsidP="00163B94" w:rsidRDefault="009D3FB5" w14:paraId="11CE5E8B" w14:textId="77777777">
      <w:pPr>
        <w:pStyle w:val="Ttulo"/>
        <w:spacing w:before="120" w:after="120"/>
        <w:ind w:left="851" w:right="851" w:firstLine="709"/>
        <w:jc w:val="both"/>
        <w:rPr>
          <w:rFonts w:ascii="Times New Roman" w:hAnsi="Times New Roman"/>
          <w:bCs w:val="0"/>
          <w:iCs/>
          <w:sz w:val="26"/>
          <w:szCs w:val="26"/>
        </w:rPr>
      </w:pPr>
      <w:r w:rsidRPr="00AE1B2B">
        <w:rPr>
          <w:rFonts w:ascii="Times New Roman" w:hAnsi="Times New Roman"/>
          <w:iCs/>
          <w:sz w:val="26"/>
          <w:szCs w:val="26"/>
        </w:rPr>
        <w:lastRenderedPageBreak/>
        <w:t xml:space="preserve">Cuadro </w:t>
      </w:r>
      <w:r w:rsidRPr="00AE1B2B">
        <w:rPr>
          <w:rFonts w:ascii="Times New Roman" w:hAnsi="Times New Roman"/>
          <w:bCs w:val="0"/>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bCs w:val="0"/>
          <w:iCs/>
          <w:sz w:val="26"/>
          <w:szCs w:val="26"/>
        </w:rPr>
        <w:fldChar w:fldCharType="separate"/>
      </w:r>
      <w:r w:rsidRPr="00AE1B2B">
        <w:rPr>
          <w:rFonts w:ascii="Times New Roman" w:hAnsi="Times New Roman"/>
          <w:iCs/>
          <w:noProof/>
          <w:sz w:val="26"/>
          <w:szCs w:val="26"/>
        </w:rPr>
        <w:t>15</w:t>
      </w:r>
      <w:r w:rsidRPr="00AE1B2B">
        <w:rPr>
          <w:rFonts w:ascii="Times New Roman" w:hAnsi="Times New Roman"/>
          <w:bCs w:val="0"/>
          <w:iCs/>
          <w:sz w:val="26"/>
          <w:szCs w:val="26"/>
        </w:rPr>
        <w:fldChar w:fldCharType="end"/>
      </w:r>
    </w:p>
    <w:p w:rsidRPr="00AE1B2B" w:rsidR="009D3FB5" w:rsidP="00163B94" w:rsidRDefault="009D3FB5" w14:paraId="350DAB20" w14:textId="77777777">
      <w:pPr>
        <w:pStyle w:val="Ttulo"/>
        <w:spacing w:before="120" w:after="120"/>
        <w:ind w:left="851" w:right="851" w:firstLine="709"/>
        <w:jc w:val="both"/>
        <w:rPr>
          <w:rFonts w:ascii="Times New Roman" w:hAnsi="Times New Roman"/>
          <w:bCs w:val="0"/>
          <w:iCs/>
          <w:sz w:val="26"/>
          <w:szCs w:val="26"/>
        </w:rPr>
      </w:pPr>
      <w:r w:rsidRPr="00AE1B2B">
        <w:rPr>
          <w:rFonts w:ascii="Times New Roman" w:hAnsi="Times New Roman"/>
          <w:iCs/>
          <w:sz w:val="26"/>
          <w:szCs w:val="26"/>
        </w:rPr>
        <w:t>Cantidad de Sentencias Dictadas en Informaciones Posesorias Esperadas y Porcentaje de Reducción por Colaboración Brindada</w:t>
      </w:r>
    </w:p>
    <w:p w:rsidRPr="00AE1B2B" w:rsidR="009D3FB5" w:rsidP="00163B94" w:rsidRDefault="009D3FB5" w14:paraId="686AC00B" w14:textId="77777777">
      <w:pPr>
        <w:spacing w:before="120" w:after="120"/>
        <w:ind w:left="851" w:right="851" w:firstLine="709"/>
        <w:jc w:val="both"/>
        <w:rPr>
          <w:rFonts w:ascii="Times New Roman" w:hAnsi="Times New Roman" w:cs="Times New Roman"/>
          <w:b/>
          <w:i/>
          <w:sz w:val="26"/>
          <w:szCs w:val="26"/>
        </w:rPr>
      </w:pPr>
      <w:bookmarkStart w:name="_Hlk39755906" w:id="307"/>
    </w:p>
    <w:tbl>
      <w:tblPr>
        <w:tblW w:w="11766" w:type="dxa"/>
        <w:tblInd w:w="-1441" w:type="dxa"/>
        <w:tblLayout w:type="fixed"/>
        <w:tblCellMar>
          <w:left w:w="70" w:type="dxa"/>
          <w:right w:w="70" w:type="dxa"/>
        </w:tblCellMar>
        <w:tblLook w:val="04A0" w:firstRow="1" w:lastRow="0" w:firstColumn="1" w:lastColumn="0" w:noHBand="0" w:noVBand="1"/>
      </w:tblPr>
      <w:tblGrid>
        <w:gridCol w:w="1702"/>
        <w:gridCol w:w="1276"/>
        <w:gridCol w:w="992"/>
        <w:gridCol w:w="1276"/>
        <w:gridCol w:w="1621"/>
        <w:gridCol w:w="930"/>
        <w:gridCol w:w="851"/>
        <w:gridCol w:w="1134"/>
        <w:gridCol w:w="1134"/>
        <w:gridCol w:w="850"/>
      </w:tblGrid>
      <w:tr w:rsidRPr="00AE1B2B" w:rsidR="009D3FB5" w:rsidTr="009D3FB5" w14:paraId="78030202" w14:textId="77777777">
        <w:trPr>
          <w:trHeight w:val="2328"/>
          <w:tblHeader/>
        </w:trPr>
        <w:tc>
          <w:tcPr>
            <w:tcW w:w="1702" w:type="dxa"/>
            <w:tcBorders>
              <w:top w:val="double" w:color="1F497D" w:sz="6" w:space="0"/>
              <w:left w:val="double" w:color="1F497D" w:sz="6" w:space="0"/>
              <w:bottom w:val="double" w:color="1F497D" w:sz="6" w:space="0"/>
              <w:right w:val="double" w:color="1F497D" w:sz="6" w:space="0"/>
            </w:tcBorders>
            <w:shd w:val="clear" w:color="000000" w:fill="0673A5"/>
            <w:noWrap/>
            <w:vAlign w:val="center"/>
            <w:hideMark/>
          </w:tcPr>
          <w:p w:rsidRPr="00AE1B2B" w:rsidR="009D3FB5" w:rsidP="00163B94" w:rsidRDefault="009D3FB5" w14:paraId="62564288"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Juzgado Agrario </w:t>
            </w:r>
          </w:p>
        </w:tc>
        <w:tc>
          <w:tcPr>
            <w:tcW w:w="1276"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224341C3"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Total Circulante Inform. Posesoria </w:t>
            </w:r>
          </w:p>
        </w:tc>
        <w:tc>
          <w:tcPr>
            <w:tcW w:w="992"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093E8DF7"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Cantidad de personas Juzgadoras Itinerantes</w:t>
            </w:r>
          </w:p>
        </w:tc>
        <w:tc>
          <w:tcPr>
            <w:tcW w:w="1276"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3FD8F21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Circulante Inform. Posesoria por persona juzgadora </w:t>
            </w:r>
          </w:p>
        </w:tc>
        <w:tc>
          <w:tcPr>
            <w:tcW w:w="1621"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00CBCFB2"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Plazo de Colaboración por Parte del Personal Juzgador en cada Juzgado </w:t>
            </w:r>
          </w:p>
        </w:tc>
        <w:tc>
          <w:tcPr>
            <w:tcW w:w="930"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25EB9EC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Cuota Teórica de Trabajo Mensual </w:t>
            </w:r>
          </w:p>
        </w:tc>
        <w:tc>
          <w:tcPr>
            <w:tcW w:w="851"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5B3629B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Colaboración Esperada </w:t>
            </w:r>
          </w:p>
        </w:tc>
        <w:tc>
          <w:tcPr>
            <w:tcW w:w="1134"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47EAD0B2"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Circulante al Término de la Colaboración </w:t>
            </w:r>
          </w:p>
        </w:tc>
        <w:tc>
          <w:tcPr>
            <w:tcW w:w="1134"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165506D9"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Circulante Final por Jueza o Juez del Despacho al Término de la Ayuda</w:t>
            </w:r>
          </w:p>
        </w:tc>
        <w:tc>
          <w:tcPr>
            <w:tcW w:w="850" w:type="dxa"/>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56F45F90"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Porcentaje de Reducción </w:t>
            </w:r>
          </w:p>
        </w:tc>
      </w:tr>
      <w:tr w:rsidRPr="00AE1B2B" w:rsidR="009D3FB5" w:rsidTr="009D3FB5" w14:paraId="1DECAAE9" w14:textId="77777777">
        <w:trPr>
          <w:trHeight w:val="312"/>
        </w:trPr>
        <w:tc>
          <w:tcPr>
            <w:tcW w:w="1702"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670F9BE"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II Circ. Jud. Guanacaste (Santa Cruz)</w:t>
            </w:r>
          </w:p>
        </w:tc>
        <w:tc>
          <w:tcPr>
            <w:tcW w:w="1276"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5729C0F8"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521</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7DCC6D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127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BC5947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521</w:t>
            </w:r>
          </w:p>
        </w:tc>
        <w:tc>
          <w:tcPr>
            <w:tcW w:w="162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5DCF85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12</w:t>
            </w:r>
          </w:p>
        </w:tc>
        <w:tc>
          <w:tcPr>
            <w:tcW w:w="93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92FDF1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15</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C8F86F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180</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939C8B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341</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8D5C82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171</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C6D734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35%</w:t>
            </w:r>
          </w:p>
        </w:tc>
      </w:tr>
      <w:tr w:rsidRPr="00AE1B2B" w:rsidR="009D3FB5" w:rsidTr="009D3FB5" w14:paraId="057D5AB6" w14:textId="77777777">
        <w:trPr>
          <w:trHeight w:val="312"/>
        </w:trPr>
        <w:tc>
          <w:tcPr>
            <w:tcW w:w="1702"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B657BF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Civil, Trabajo, Agrario, Familia, Penal Juvenil, Contra la Violencia Doméstica y Protección Cautelar II Circuito Judicial de Alajuela, sede Upala</w:t>
            </w:r>
          </w:p>
        </w:tc>
        <w:tc>
          <w:tcPr>
            <w:tcW w:w="1276"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1F52A6D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301</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0D6C78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127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AB1DFA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301</w:t>
            </w:r>
          </w:p>
        </w:tc>
        <w:tc>
          <w:tcPr>
            <w:tcW w:w="162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4DD364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12</w:t>
            </w:r>
          </w:p>
        </w:tc>
        <w:tc>
          <w:tcPr>
            <w:tcW w:w="93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577EEE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15</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514D4B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180</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B31E85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121</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4AB4CB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121</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AAACCB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60%</w:t>
            </w:r>
          </w:p>
        </w:tc>
      </w:tr>
      <w:tr w:rsidRPr="00AE1B2B" w:rsidR="009D3FB5" w:rsidTr="009D3FB5" w14:paraId="118CD31C" w14:textId="77777777">
        <w:trPr>
          <w:trHeight w:val="312"/>
        </w:trPr>
        <w:tc>
          <w:tcPr>
            <w:tcW w:w="1702"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350DA8E6"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Zona Sur (Pérez Zeledón)</w:t>
            </w:r>
          </w:p>
        </w:tc>
        <w:tc>
          <w:tcPr>
            <w:tcW w:w="1276"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68153C8B"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191</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1C09B2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127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50D0E4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96</w:t>
            </w:r>
          </w:p>
        </w:tc>
        <w:tc>
          <w:tcPr>
            <w:tcW w:w="162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0E9448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w:t>
            </w:r>
          </w:p>
        </w:tc>
        <w:tc>
          <w:tcPr>
            <w:tcW w:w="93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FF6081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15</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CA1448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120</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1CEE32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71</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8ECDA7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71</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1868AE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63%</w:t>
            </w:r>
          </w:p>
        </w:tc>
      </w:tr>
      <w:tr w:rsidRPr="00AE1B2B" w:rsidR="009D3FB5" w:rsidTr="009D3FB5" w14:paraId="5884B174" w14:textId="77777777">
        <w:trPr>
          <w:trHeight w:val="312"/>
        </w:trPr>
        <w:tc>
          <w:tcPr>
            <w:tcW w:w="1702"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28B9C4E"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Cartago</w:t>
            </w:r>
          </w:p>
        </w:tc>
        <w:tc>
          <w:tcPr>
            <w:tcW w:w="1276"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20F852F3"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183</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192FC5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127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EE8253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92</w:t>
            </w:r>
          </w:p>
        </w:tc>
        <w:tc>
          <w:tcPr>
            <w:tcW w:w="162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AE8C06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w:t>
            </w:r>
          </w:p>
        </w:tc>
        <w:tc>
          <w:tcPr>
            <w:tcW w:w="93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E2A920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15</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22FEEA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90</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3E26E3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93</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0AB9BE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47</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2880DC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49%</w:t>
            </w:r>
          </w:p>
        </w:tc>
      </w:tr>
      <w:tr w:rsidRPr="00AE1B2B" w:rsidR="009D3FB5" w:rsidTr="009D3FB5" w14:paraId="388B332D" w14:textId="77777777">
        <w:trPr>
          <w:trHeight w:val="312"/>
        </w:trPr>
        <w:tc>
          <w:tcPr>
            <w:tcW w:w="1702"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7598912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Puntarenas</w:t>
            </w:r>
          </w:p>
        </w:tc>
        <w:tc>
          <w:tcPr>
            <w:tcW w:w="1276"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790528C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182</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5F97F1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127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F8E068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91</w:t>
            </w:r>
          </w:p>
        </w:tc>
        <w:tc>
          <w:tcPr>
            <w:tcW w:w="162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69E1D9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w:t>
            </w:r>
          </w:p>
        </w:tc>
        <w:tc>
          <w:tcPr>
            <w:tcW w:w="93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AE2504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15</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72E512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90</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6EC99E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92</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DD88D4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46</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7B1BC2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49%</w:t>
            </w:r>
          </w:p>
        </w:tc>
      </w:tr>
      <w:tr w:rsidRPr="00AE1B2B" w:rsidR="009D3FB5" w:rsidTr="009D3FB5" w14:paraId="45071101" w14:textId="77777777">
        <w:trPr>
          <w:trHeight w:val="312"/>
        </w:trPr>
        <w:tc>
          <w:tcPr>
            <w:tcW w:w="1702"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4F37227C"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Guanacaste (Liberia)</w:t>
            </w:r>
          </w:p>
        </w:tc>
        <w:tc>
          <w:tcPr>
            <w:tcW w:w="1276"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1132C06C"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163</w:t>
            </w:r>
          </w:p>
        </w:tc>
        <w:tc>
          <w:tcPr>
            <w:tcW w:w="992"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30CACC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1276"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84C207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82</w:t>
            </w:r>
          </w:p>
        </w:tc>
        <w:tc>
          <w:tcPr>
            <w:tcW w:w="162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B86192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93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27E946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15</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D0FFA9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60</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90DAED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103</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CF9C7E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52</w:t>
            </w:r>
          </w:p>
        </w:tc>
        <w:tc>
          <w:tcPr>
            <w:tcW w:w="850"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57783C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37%</w:t>
            </w:r>
          </w:p>
        </w:tc>
      </w:tr>
    </w:tbl>
    <w:p w:rsidRPr="00AE1B2B" w:rsidR="009D3FB5" w:rsidP="00163B94" w:rsidRDefault="009D3FB5" w14:paraId="3B24378B"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lastRenderedPageBreak/>
        <w:t xml:space="preserve">Fuente: Subproceso de Modernización Jurisdiccional con base a al sistema SIGMA y Anuarios Judiciales. </w:t>
      </w:r>
    </w:p>
    <w:bookmarkEnd w:id="307"/>
    <w:p w:rsidRPr="00AE1B2B" w:rsidR="009D3FB5" w:rsidP="00163B94" w:rsidRDefault="009D3FB5" w14:paraId="7773A3B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2A5C839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 acuerdo con lo anterior, la colaboración se llevará a cabo de la siguiente manera: </w:t>
      </w:r>
    </w:p>
    <w:p w:rsidRPr="00AE1B2B" w:rsidR="009D3FB5" w:rsidP="00163B94" w:rsidRDefault="009D3FB5" w14:paraId="3A31F9AC" w14:textId="77777777">
      <w:pPr>
        <w:pStyle w:val="Ttulo"/>
        <w:spacing w:before="120" w:after="120"/>
        <w:ind w:left="851" w:right="851" w:firstLine="709"/>
        <w:jc w:val="both"/>
        <w:rPr>
          <w:rFonts w:ascii="Times New Roman" w:hAnsi="Times New Roman"/>
          <w:bCs w:val="0"/>
          <w:iCs/>
          <w:sz w:val="26"/>
          <w:szCs w:val="26"/>
        </w:rPr>
      </w:pPr>
      <w:r w:rsidRPr="00AE1B2B">
        <w:rPr>
          <w:rFonts w:ascii="Times New Roman" w:hAnsi="Times New Roman"/>
          <w:iCs/>
          <w:sz w:val="26"/>
          <w:szCs w:val="26"/>
        </w:rPr>
        <w:t xml:space="preserve">Cuadro </w:t>
      </w:r>
      <w:r w:rsidRPr="00AE1B2B">
        <w:rPr>
          <w:rFonts w:ascii="Times New Roman" w:hAnsi="Times New Roman"/>
          <w:bCs w:val="0"/>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bCs w:val="0"/>
          <w:iCs/>
          <w:sz w:val="26"/>
          <w:szCs w:val="26"/>
        </w:rPr>
        <w:fldChar w:fldCharType="separate"/>
      </w:r>
      <w:r w:rsidRPr="00AE1B2B">
        <w:rPr>
          <w:rFonts w:ascii="Times New Roman" w:hAnsi="Times New Roman"/>
          <w:iCs/>
          <w:noProof/>
          <w:sz w:val="26"/>
          <w:szCs w:val="26"/>
        </w:rPr>
        <w:t>16</w:t>
      </w:r>
      <w:r w:rsidRPr="00AE1B2B">
        <w:rPr>
          <w:rFonts w:ascii="Times New Roman" w:hAnsi="Times New Roman"/>
          <w:bCs w:val="0"/>
          <w:iCs/>
          <w:sz w:val="26"/>
          <w:szCs w:val="26"/>
        </w:rPr>
        <w:fldChar w:fldCharType="end"/>
      </w:r>
    </w:p>
    <w:p w:rsidRPr="00AE1B2B" w:rsidR="009D3FB5" w:rsidP="00163B94" w:rsidRDefault="009D3FB5" w14:paraId="2A441AF2" w14:textId="77777777">
      <w:pPr>
        <w:pStyle w:val="Ttulo"/>
        <w:spacing w:before="120" w:after="120"/>
        <w:ind w:left="851" w:right="851" w:firstLine="709"/>
        <w:jc w:val="both"/>
        <w:rPr>
          <w:rFonts w:ascii="Times New Roman" w:hAnsi="Times New Roman"/>
          <w:bCs w:val="0"/>
          <w:iCs/>
          <w:sz w:val="26"/>
          <w:szCs w:val="26"/>
        </w:rPr>
      </w:pPr>
      <w:r w:rsidRPr="00AE1B2B">
        <w:rPr>
          <w:rFonts w:ascii="Times New Roman" w:hAnsi="Times New Roman"/>
          <w:iCs/>
          <w:sz w:val="26"/>
          <w:szCs w:val="26"/>
        </w:rPr>
        <w:t>Periodo de Atención para la Atención del Plan de Descongestionamiento en los Procesos de Informaciones Posesorias</w:t>
      </w:r>
    </w:p>
    <w:tbl>
      <w:tblPr>
        <w:tblW w:w="5000" w:type="pct"/>
        <w:tblCellMar>
          <w:left w:w="70" w:type="dxa"/>
          <w:right w:w="70" w:type="dxa"/>
        </w:tblCellMar>
        <w:tblLook w:val="04A0" w:firstRow="1" w:lastRow="0" w:firstColumn="1" w:lastColumn="0" w:noHBand="0" w:noVBand="1"/>
      </w:tblPr>
      <w:tblGrid>
        <w:gridCol w:w="5405"/>
        <w:gridCol w:w="1254"/>
        <w:gridCol w:w="1006"/>
        <w:gridCol w:w="1127"/>
      </w:tblGrid>
      <w:tr w:rsidRPr="00AE1B2B" w:rsidR="00AE1B2B" w:rsidTr="009D3FB5" w14:paraId="456C40D4" w14:textId="77777777">
        <w:trPr>
          <w:trHeight w:val="888"/>
        </w:trPr>
        <w:tc>
          <w:tcPr>
            <w:tcW w:w="3074" w:type="pct"/>
            <w:tcBorders>
              <w:top w:val="double" w:color="1F497D" w:sz="6" w:space="0"/>
              <w:left w:val="double" w:color="1F497D" w:sz="6" w:space="0"/>
              <w:bottom w:val="double" w:color="1F497D" w:sz="6" w:space="0"/>
              <w:right w:val="double" w:color="1F497D" w:sz="6" w:space="0"/>
            </w:tcBorders>
            <w:shd w:val="clear" w:color="000000" w:fill="0673A5"/>
            <w:noWrap/>
            <w:vAlign w:val="center"/>
            <w:hideMark/>
          </w:tcPr>
          <w:p w:rsidRPr="00AE1B2B" w:rsidR="009D3FB5" w:rsidP="00163B94" w:rsidRDefault="009D3FB5" w14:paraId="11CA792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Juzgado Agrario</w:t>
            </w:r>
          </w:p>
        </w:tc>
        <w:tc>
          <w:tcPr>
            <w:tcW w:w="713" w:type="pct"/>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1F9597D8"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Cantidad de personas Juzgadoras Itinerantes </w:t>
            </w:r>
          </w:p>
        </w:tc>
        <w:tc>
          <w:tcPr>
            <w:tcW w:w="572" w:type="pct"/>
            <w:tcBorders>
              <w:top w:val="double" w:color="1F497D" w:sz="6" w:space="0"/>
              <w:left w:val="nil"/>
              <w:bottom w:val="double" w:color="1F497D" w:sz="6" w:space="0"/>
              <w:right w:val="double" w:color="1F497D" w:sz="6" w:space="0"/>
            </w:tcBorders>
            <w:shd w:val="clear" w:color="000000" w:fill="0673A5"/>
            <w:noWrap/>
            <w:vAlign w:val="center"/>
            <w:hideMark/>
          </w:tcPr>
          <w:p w:rsidRPr="00AE1B2B" w:rsidR="009D3FB5" w:rsidP="00163B94" w:rsidRDefault="009D3FB5" w14:paraId="48EEFD6E"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Desde </w:t>
            </w:r>
          </w:p>
        </w:tc>
        <w:tc>
          <w:tcPr>
            <w:tcW w:w="641" w:type="pct"/>
            <w:tcBorders>
              <w:top w:val="double" w:color="1F497D" w:sz="6" w:space="0"/>
              <w:left w:val="nil"/>
              <w:bottom w:val="double" w:color="1F497D" w:sz="6" w:space="0"/>
              <w:right w:val="double" w:color="1F497D" w:sz="6" w:space="0"/>
            </w:tcBorders>
            <w:shd w:val="clear" w:color="000000" w:fill="0673A5"/>
            <w:noWrap/>
            <w:vAlign w:val="center"/>
            <w:hideMark/>
          </w:tcPr>
          <w:p w:rsidRPr="00AE1B2B" w:rsidR="009D3FB5" w:rsidP="00163B94" w:rsidRDefault="009D3FB5" w14:paraId="137D3523"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Hasta </w:t>
            </w:r>
          </w:p>
        </w:tc>
      </w:tr>
      <w:tr w:rsidRPr="00AE1B2B" w:rsidR="00AE1B2B" w:rsidTr="009D3FB5" w14:paraId="4D20E657" w14:textId="77777777">
        <w:trPr>
          <w:trHeight w:val="312"/>
        </w:trPr>
        <w:tc>
          <w:tcPr>
            <w:tcW w:w="3074" w:type="pct"/>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4FFD8E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Zona Sur (Pérez Zeledón)</w:t>
            </w:r>
          </w:p>
        </w:tc>
        <w:tc>
          <w:tcPr>
            <w:tcW w:w="713"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632337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572"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EEC887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ene-22</w:t>
            </w:r>
          </w:p>
        </w:tc>
        <w:tc>
          <w:tcPr>
            <w:tcW w:w="641"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33BEDD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abr-22</w:t>
            </w:r>
          </w:p>
        </w:tc>
      </w:tr>
      <w:tr w:rsidRPr="00AE1B2B" w:rsidR="00AE1B2B" w:rsidTr="009D3FB5" w14:paraId="58A78C6C" w14:textId="77777777">
        <w:trPr>
          <w:trHeight w:val="312"/>
        </w:trPr>
        <w:tc>
          <w:tcPr>
            <w:tcW w:w="3074" w:type="pct"/>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231742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Cartago</w:t>
            </w:r>
          </w:p>
        </w:tc>
        <w:tc>
          <w:tcPr>
            <w:tcW w:w="713"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E416F6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572"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F5CAD7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may-22</w:t>
            </w:r>
          </w:p>
        </w:tc>
        <w:tc>
          <w:tcPr>
            <w:tcW w:w="641"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176E12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jul-22</w:t>
            </w:r>
          </w:p>
        </w:tc>
      </w:tr>
      <w:tr w:rsidRPr="00AE1B2B" w:rsidR="00AE1B2B" w:rsidTr="009D3FB5" w14:paraId="6035DCC7" w14:textId="77777777">
        <w:trPr>
          <w:trHeight w:val="312"/>
        </w:trPr>
        <w:tc>
          <w:tcPr>
            <w:tcW w:w="3074" w:type="pct"/>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EC2F87B"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Puntarenas</w:t>
            </w:r>
          </w:p>
        </w:tc>
        <w:tc>
          <w:tcPr>
            <w:tcW w:w="713"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8C35A1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572"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963917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ago-22</w:t>
            </w:r>
          </w:p>
        </w:tc>
        <w:tc>
          <w:tcPr>
            <w:tcW w:w="641"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BD0B17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oct-22</w:t>
            </w:r>
          </w:p>
        </w:tc>
      </w:tr>
      <w:tr w:rsidRPr="00AE1B2B" w:rsidR="00AE1B2B" w:rsidTr="009D3FB5" w14:paraId="63BC5615" w14:textId="77777777">
        <w:trPr>
          <w:trHeight w:val="312"/>
        </w:trPr>
        <w:tc>
          <w:tcPr>
            <w:tcW w:w="3074" w:type="pct"/>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D63AC5E"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Guanacaste (Liberia)</w:t>
            </w:r>
          </w:p>
        </w:tc>
        <w:tc>
          <w:tcPr>
            <w:tcW w:w="713"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3D83F1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572"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9F9C80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nov-22</w:t>
            </w:r>
          </w:p>
        </w:tc>
        <w:tc>
          <w:tcPr>
            <w:tcW w:w="641"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E7C5B0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dic-22</w:t>
            </w:r>
          </w:p>
        </w:tc>
      </w:tr>
    </w:tbl>
    <w:p w:rsidRPr="00AE1B2B" w:rsidR="009D3FB5" w:rsidP="00163B94" w:rsidRDefault="009D3FB5" w14:paraId="4B3F5538"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Con la colaboración que se brinde en el Juzgado Agrario de Pérez Zeledón se espera que dos (2) personas juzgadoras cumplan con una cuota de 15 sentencias mensuales en el proceso de Informaciones Posesorias, por un plazo de cuatro (4) meses y logre realizar un total de 120 sentencias, lo cual permite que la persona juzgadora del despacho quede con un circulante de 71expedientes en el proceso de Informaciones Posesorias. </w:t>
      </w:r>
    </w:p>
    <w:p w:rsidRPr="00AE1B2B" w:rsidR="009D3FB5" w:rsidP="00163B94" w:rsidRDefault="009D3FB5" w14:paraId="57B52D4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Cabe aclarar que, de acuerdo con el estudio generado, se logra obtener como resultado a nivel nacional un promedio de 84 casos de circulante de Informaciones Posesorias por persona juzgadora a nivel de los Despachos especializados, por lo que con esta ayuda se espera dejar al personal juzgador por debajo de esta media. Para el Juzgado Agrario de Cartago, se espera un cumplimiento de cuota de dos (2) personas juzgadoras durante tres (3) meses para un total de 90 expedientes con sentencia dictada, lo cual permitirá que la persona juzgadora del Despacho quede con un circulante de 47 Informaciones Posesorias.</w:t>
      </w:r>
      <w:r w:rsidRPr="00AE1B2B" w:rsidDel="007F6366">
        <w:rPr>
          <w:rStyle w:val="Refdecomentario"/>
          <w:rFonts w:ascii="Times New Roman" w:hAnsi="Times New Roman" w:cs="Times New Roman"/>
          <w:sz w:val="26"/>
          <w:szCs w:val="26"/>
        </w:rPr>
        <w:t xml:space="preserve"> </w:t>
      </w:r>
    </w:p>
    <w:p w:rsidRPr="00AE1B2B" w:rsidR="009D3FB5" w:rsidP="00163B94" w:rsidRDefault="009D3FB5" w14:paraId="5C96876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Para los Juzgados Agrarios de Puntarenas se espera una colaboración de dos personas juzgadoras por un plazo de tres (3) </w:t>
      </w:r>
      <w:r w:rsidRPr="00AE1B2B">
        <w:rPr>
          <w:rFonts w:ascii="Times New Roman" w:hAnsi="Times New Roman" w:cs="Times New Roman"/>
          <w:sz w:val="26"/>
          <w:szCs w:val="26"/>
        </w:rPr>
        <w:lastRenderedPageBreak/>
        <w:t xml:space="preserve">meses, con una cuota teórica de cumplimiento de 90 sentencias, lo que permitirá que las dos (2) personas juzgadoras del Juzgado, queden con 46 expedientes cada una en este tipo de proceso. </w:t>
      </w:r>
    </w:p>
    <w:p w:rsidRPr="00AE1B2B" w:rsidR="009D3FB5" w:rsidP="00163B94" w:rsidRDefault="009D3FB5" w14:paraId="15D67F39" w14:textId="3D20E9BF">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Juzgado Agrario de Liberia, se esperara que se brindara la colaboración de dos (2) personas juzgadoras durante dos (2) meses, para que se genere un total de 60 sentencias dictadas en total, con una reducción del circulante del 37%, lo cual permitirá que cada persona juzgadora titular del Despacho quede con 52 expedientes.</w:t>
      </w:r>
      <w:r w:rsidRPr="00AE1B2B" w:rsidR="00BB7720">
        <w:rPr>
          <w:rFonts w:ascii="Times New Roman" w:hAnsi="Times New Roman" w:cs="Times New Roman"/>
          <w:sz w:val="26"/>
          <w:szCs w:val="26"/>
        </w:rPr>
        <w:t xml:space="preserve"> </w:t>
      </w:r>
    </w:p>
    <w:p w:rsidRPr="00AE1B2B" w:rsidR="009D3FB5" w:rsidP="00163B94" w:rsidRDefault="009D3FB5" w14:paraId="60DB75A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pesar de ser el Juzgado Agrario de Santa Cruz y el Juzgado de Upala los que mayores casos presentan en el circulante de Informaciones Posesorias a nivel nacional, en el caso de Santa Cruz, se propone mantener la persona que actualmente está colaborando del Centro de Apoyo Coordinación y Mejoramiento de la Función Jurisdiccional mediante PGSS, durante 12 meses más de forma extraordinaria, por lo que no se contempla en este plan adicional. En el caso de Upala, al proponer una persona juzgadora dentro del contenido de este informe en la estructura ordinaria del Despacho, este tipo de proceso podría reducirse significativamente atendiéndole entre dos (2) Juezas o Jueces. </w:t>
      </w:r>
    </w:p>
    <w:p w:rsidRPr="00AE1B2B" w:rsidR="009D3FB5" w:rsidP="00163B94" w:rsidRDefault="009D3FB5" w14:paraId="5E3CD67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Por lo anterior, se propone dos plazas (2) de Jueza o juez categoría 3 con competencia a nivel nacional de forma extraordinaria, adscritos al Centro de Apoyo, Coordinación y Mejoramiento de la Función Jurisdiccional, para la atención de este plan de descongestionamiento en específico,</w:t>
      </w:r>
    </w:p>
    <w:p w:rsidRPr="00AE1B2B" w:rsidR="009D3FB5" w:rsidP="00163B94" w:rsidRDefault="009D3FB5" w14:paraId="29240F45" w14:textId="078B19F8">
      <w:pPr>
        <w:spacing w:before="120" w:after="120"/>
        <w:ind w:left="851" w:right="851" w:firstLine="709"/>
        <w:jc w:val="both"/>
        <w:rPr>
          <w:rFonts w:ascii="Times New Roman" w:hAnsi="Times New Roman" w:cs="Times New Roman"/>
          <w:sz w:val="26"/>
          <w:szCs w:val="26"/>
        </w:rPr>
      </w:pPr>
      <w:r w:rsidRPr="00AE1B2B" w:rsidDel="00025ED5">
        <w:rPr>
          <w:rFonts w:ascii="Times New Roman" w:hAnsi="Times New Roman" w:cs="Times New Roman"/>
          <w:sz w:val="26"/>
          <w:szCs w:val="26"/>
        </w:rPr>
        <w:t xml:space="preserve"> </w:t>
      </w:r>
    </w:p>
    <w:p w:rsidRPr="00AE1B2B" w:rsidR="009D3FB5" w:rsidP="00163B94" w:rsidRDefault="009D3FB5" w14:paraId="676A99C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F9ABE69" w14:textId="77777777">
      <w:pPr>
        <w:pStyle w:val="Ttulo"/>
        <w:spacing w:before="120" w:after="120"/>
        <w:ind w:left="851" w:right="851" w:firstLine="709"/>
        <w:jc w:val="both"/>
        <w:rPr>
          <w:rFonts w:ascii="Times New Roman" w:hAnsi="Times New Roman"/>
          <w:bCs w:val="0"/>
          <w:iCs/>
          <w:sz w:val="26"/>
          <w:szCs w:val="26"/>
        </w:rPr>
      </w:pPr>
      <w:r w:rsidRPr="00AE1B2B">
        <w:rPr>
          <w:rFonts w:ascii="Times New Roman" w:hAnsi="Times New Roman"/>
          <w:iCs/>
          <w:sz w:val="26"/>
          <w:szCs w:val="26"/>
        </w:rPr>
        <w:t xml:space="preserve">Cuadro </w:t>
      </w:r>
      <w:r w:rsidRPr="00AE1B2B">
        <w:rPr>
          <w:rFonts w:ascii="Times New Roman" w:hAnsi="Times New Roman"/>
          <w:bCs w:val="0"/>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bCs w:val="0"/>
          <w:iCs/>
          <w:sz w:val="26"/>
          <w:szCs w:val="26"/>
        </w:rPr>
        <w:fldChar w:fldCharType="separate"/>
      </w:r>
      <w:r w:rsidRPr="00AE1B2B">
        <w:rPr>
          <w:rFonts w:ascii="Times New Roman" w:hAnsi="Times New Roman"/>
          <w:iCs/>
          <w:noProof/>
          <w:sz w:val="26"/>
          <w:szCs w:val="26"/>
        </w:rPr>
        <w:t>15</w:t>
      </w:r>
      <w:r w:rsidRPr="00AE1B2B">
        <w:rPr>
          <w:rFonts w:ascii="Times New Roman" w:hAnsi="Times New Roman"/>
          <w:bCs w:val="0"/>
          <w:iCs/>
          <w:sz w:val="26"/>
          <w:szCs w:val="26"/>
        </w:rPr>
        <w:fldChar w:fldCharType="end"/>
      </w:r>
    </w:p>
    <w:p w:rsidRPr="00AE1B2B" w:rsidR="009D3FB5" w:rsidP="00163B94" w:rsidRDefault="009D3FB5" w14:paraId="6E87AECA" w14:textId="77777777">
      <w:pPr>
        <w:pStyle w:val="Ttulo"/>
        <w:spacing w:before="120" w:after="120"/>
        <w:ind w:left="851" w:right="851" w:firstLine="709"/>
        <w:jc w:val="both"/>
        <w:rPr>
          <w:rFonts w:ascii="Times New Roman" w:hAnsi="Times New Roman"/>
          <w:bCs w:val="0"/>
          <w:iCs/>
          <w:sz w:val="26"/>
          <w:szCs w:val="26"/>
        </w:rPr>
      </w:pPr>
      <w:r w:rsidRPr="00AE1B2B">
        <w:rPr>
          <w:rFonts w:ascii="Times New Roman" w:hAnsi="Times New Roman"/>
          <w:iCs/>
          <w:sz w:val="26"/>
          <w:szCs w:val="26"/>
        </w:rPr>
        <w:t>Impacto a Nivel Nacional por Colaboración Brindada</w:t>
      </w:r>
    </w:p>
    <w:tbl>
      <w:tblPr>
        <w:tblW w:w="0" w:type="auto"/>
        <w:tblCellMar>
          <w:left w:w="70" w:type="dxa"/>
          <w:right w:w="70" w:type="dxa"/>
        </w:tblCellMar>
        <w:tblLook w:val="04A0" w:firstRow="1" w:lastRow="0" w:firstColumn="1" w:lastColumn="0" w:noHBand="0" w:noVBand="1"/>
      </w:tblPr>
      <w:tblGrid>
        <w:gridCol w:w="1701"/>
        <w:gridCol w:w="2003"/>
        <w:gridCol w:w="1875"/>
        <w:gridCol w:w="1184"/>
        <w:gridCol w:w="2029"/>
      </w:tblGrid>
      <w:tr w:rsidRPr="00AE1B2B" w:rsidR="00AE1B2B" w:rsidTr="009D3FB5" w14:paraId="447FC7CE" w14:textId="77777777">
        <w:trPr>
          <w:trHeight w:val="1752"/>
        </w:trPr>
        <w:tc>
          <w:tcPr>
            <w:tcW w:w="0" w:type="auto"/>
            <w:tcBorders>
              <w:top w:val="double" w:color="1F497D" w:sz="6" w:space="0"/>
              <w:left w:val="double" w:color="1F497D" w:sz="6" w:space="0"/>
              <w:bottom w:val="double" w:color="1F497D" w:sz="6" w:space="0"/>
              <w:right w:val="double" w:color="1F497D" w:sz="6" w:space="0"/>
            </w:tcBorders>
            <w:shd w:val="clear" w:color="000000" w:fill="0673A5"/>
            <w:vAlign w:val="center"/>
            <w:hideMark/>
          </w:tcPr>
          <w:p w:rsidRPr="00AE1B2B" w:rsidR="009D3FB5" w:rsidP="00163B94" w:rsidRDefault="009D3FB5" w14:paraId="664963E8"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Total Circulante Jurisdicción Agraria Enero 2021</w:t>
            </w:r>
          </w:p>
        </w:tc>
        <w:tc>
          <w:tcPr>
            <w:tcW w:w="0" w:type="auto"/>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288AA41C"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Cantidad de Informaciones Posesorias en el Circulante Total</w:t>
            </w:r>
          </w:p>
        </w:tc>
        <w:tc>
          <w:tcPr>
            <w:tcW w:w="0" w:type="auto"/>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69C67E1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Cantidad de Informaciones Posesorias Atendidas </w:t>
            </w:r>
          </w:p>
        </w:tc>
        <w:tc>
          <w:tcPr>
            <w:tcW w:w="0" w:type="auto"/>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7EDF3F58"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Impacto a Nivel Nacional </w:t>
            </w:r>
          </w:p>
        </w:tc>
        <w:tc>
          <w:tcPr>
            <w:tcW w:w="0" w:type="auto"/>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558E05C2"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Impacto a Nivel Nacional con respecto al circulante de información posesoria</w:t>
            </w:r>
          </w:p>
        </w:tc>
      </w:tr>
      <w:tr w:rsidRPr="00AE1B2B" w:rsidR="00AE1B2B" w:rsidTr="009D3FB5" w14:paraId="5FD8BB0E" w14:textId="77777777">
        <w:trPr>
          <w:trHeight w:val="312"/>
        </w:trPr>
        <w:tc>
          <w:tcPr>
            <w:tcW w:w="0" w:type="auto"/>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75210BF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7086</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FD5E72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2478</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C1212A6" w14:textId="77777777">
            <w:pPr>
              <w:spacing w:before="120" w:after="120"/>
              <w:jc w:val="center"/>
              <w:rPr>
                <w:rFonts w:ascii="Times New Roman" w:hAnsi="Times New Roman" w:cs="Times New Roman"/>
                <w:lang w:eastAsia="es-CR"/>
              </w:rPr>
            </w:pPr>
            <w:r w:rsidRPr="00AE1B2B">
              <w:rPr>
                <w:rFonts w:ascii="Times New Roman" w:hAnsi="Times New Roman" w:cs="Times New Roman"/>
              </w:rPr>
              <w:t>720</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C621C5A" w14:textId="77777777">
            <w:pPr>
              <w:spacing w:before="120" w:after="120"/>
              <w:jc w:val="center"/>
              <w:rPr>
                <w:rFonts w:ascii="Times New Roman" w:hAnsi="Times New Roman" w:cs="Times New Roman"/>
                <w:lang w:eastAsia="es-CR"/>
              </w:rPr>
            </w:pPr>
            <w:r w:rsidRPr="00AE1B2B">
              <w:rPr>
                <w:rFonts w:ascii="Times New Roman" w:hAnsi="Times New Roman" w:cs="Times New Roman"/>
              </w:rPr>
              <w:t>10%</w:t>
            </w:r>
          </w:p>
        </w:tc>
        <w:tc>
          <w:tcPr>
            <w:tcW w:w="0" w:type="auto"/>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AE6B5C9" w14:textId="77777777">
            <w:pPr>
              <w:spacing w:before="120" w:after="120"/>
              <w:jc w:val="center"/>
              <w:rPr>
                <w:rFonts w:ascii="Times New Roman" w:hAnsi="Times New Roman" w:cs="Times New Roman"/>
                <w:lang w:eastAsia="es-CR"/>
              </w:rPr>
            </w:pPr>
            <w:r w:rsidRPr="00AE1B2B">
              <w:rPr>
                <w:rFonts w:ascii="Times New Roman" w:hAnsi="Times New Roman" w:cs="Times New Roman"/>
              </w:rPr>
              <w:t>29%</w:t>
            </w:r>
          </w:p>
        </w:tc>
      </w:tr>
    </w:tbl>
    <w:p w:rsidRPr="00AE1B2B" w:rsidR="009D3FB5" w:rsidP="00163B94" w:rsidRDefault="009D3FB5" w14:paraId="188CFC8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b/>
          <w:i/>
          <w:sz w:val="26"/>
          <w:szCs w:val="26"/>
        </w:rPr>
        <w:t>Fuente: Subproceso de Modernización Jurisdiccional con base a al sistema SIGMA y Anuarios Judiciales</w:t>
      </w:r>
    </w:p>
    <w:p w:rsidRPr="00AE1B2B" w:rsidR="009D3FB5" w:rsidP="00163B94" w:rsidRDefault="009D3FB5" w14:paraId="73C084D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lastRenderedPageBreak/>
        <w:t xml:space="preserve">Este Plan de Descongestionamiento impactará en un 10% el circulante total de la Jurisdicción Agraria y un 29% en la cantidad total de Informaciones Posesorias que se encuentran dentro del circulante total. </w:t>
      </w:r>
    </w:p>
    <w:p w:rsidRPr="00AE1B2B" w:rsidR="009D3FB5" w:rsidP="00163B94" w:rsidRDefault="009D3FB5" w14:paraId="3BB5C02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Por otro lado, es necesario contar con otras dos (2) personas juzgadoras más, categoría 3 con competencia a nivel nacional de forma extraordinaria, adscritos al Centro de Apoyo, Coordinación y Mejoramiento de la Función Jurisdiccional, para la atención de planes de descongestionamiento como el pendiente de fallo y demás. </w:t>
      </w:r>
    </w:p>
    <w:p w:rsidRPr="00AE1B2B" w:rsidR="009D3FB5" w:rsidP="00163B94" w:rsidRDefault="009D3FB5" w14:paraId="46990536" w14:textId="77777777">
      <w:pPr>
        <w:spacing w:before="120" w:after="120"/>
        <w:ind w:left="851" w:right="851" w:firstLine="709"/>
        <w:jc w:val="both"/>
        <w:rPr>
          <w:rFonts w:ascii="Times New Roman" w:hAnsi="Times New Roman" w:cs="Times New Roman"/>
          <w:sz w:val="26"/>
          <w:szCs w:val="26"/>
        </w:rPr>
      </w:pPr>
      <w:bookmarkStart w:name="_Toc37670482" w:id="308"/>
      <w:bookmarkStart w:name="_Toc68688577" w:id="309"/>
      <w:r w:rsidRPr="00AE1B2B">
        <w:rPr>
          <w:rFonts w:ascii="Times New Roman" w:hAnsi="Times New Roman" w:cs="Times New Roman"/>
          <w:sz w:val="26"/>
          <w:szCs w:val="26"/>
        </w:rPr>
        <w:t>Valoración de Necesidades de Vehículos</w:t>
      </w:r>
      <w:bookmarkEnd w:id="308"/>
      <w:bookmarkEnd w:id="309"/>
      <w:r w:rsidRPr="00AE1B2B">
        <w:rPr>
          <w:rFonts w:ascii="Times New Roman" w:hAnsi="Times New Roman" w:cs="Times New Roman"/>
          <w:sz w:val="26"/>
          <w:szCs w:val="26"/>
        </w:rPr>
        <w:t xml:space="preserve"> </w:t>
      </w:r>
    </w:p>
    <w:p w:rsidRPr="00AE1B2B" w:rsidR="009D3FB5" w:rsidP="00163B94" w:rsidRDefault="009D3FB5" w14:paraId="7769C42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la actualidad, las audiencias se realizan fuera del despacho, es por esa razón que las Juezas y los Jueces agrarios, requieren la disponibilidad de vehículos institucionales, siendo que este servicio lo brindan las Administraciones Regionales una o dos veces por semana, aspecto que limita la atención oportuna de las audiencias señaladas en agenda y que según se indica en el nuevo Código Procesal Agrario, será indispensable la oralidad en el sitio. </w:t>
      </w:r>
    </w:p>
    <w:p w:rsidRPr="00AE1B2B" w:rsidR="009D3FB5" w:rsidP="00163B94" w:rsidRDefault="009D3FB5" w14:paraId="2F97F13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los casos que la Administración Regional no cuente con disponibilidad de facilitar un vehículo, algunas Juezas o Jueces se desplazaban al sitio donde se efectuará la audiencia con alguna de las partes intervinientes en el proceso para poder realizar las audiencias o juicios.</w:t>
      </w:r>
    </w:p>
    <w:p w:rsidRPr="00AE1B2B" w:rsidR="009D3FB5" w:rsidP="00163B94" w:rsidRDefault="009D3FB5" w14:paraId="730D1F4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Auditoría Judicial mediante oficio 1284-2013-AUO-2014, realizó un estudio operativo del proceso Agrario, en el cual realiza una serie de recomendaciones a la Comisión de la Jurisdicción Agraria, en la que destaca la siguiente: “</w:t>
      </w:r>
      <w:r w:rsidRPr="00AE1B2B">
        <w:rPr>
          <w:rFonts w:ascii="Times New Roman" w:hAnsi="Times New Roman" w:cs="Times New Roman"/>
          <w:i/>
          <w:sz w:val="26"/>
          <w:szCs w:val="26"/>
        </w:rPr>
        <w:t>Analizar y establecer los lineamientos necesarios que permitan estandarizar y uniformar el procedimiento y/o la sana práctica, que deben aplicar los Juzgados Agrarios cuando requieran realizar audiencias in situ, específicamente lo relacionado al transporte; con el fin de brindar un servicio oportuno a la persona usuaria, así como de velar por la integridad física de los funcionarios (as) en sus labores.</w:t>
      </w:r>
      <w:r w:rsidRPr="00AE1B2B">
        <w:rPr>
          <w:rFonts w:ascii="Times New Roman" w:hAnsi="Times New Roman" w:cs="Times New Roman"/>
          <w:sz w:val="26"/>
          <w:szCs w:val="26"/>
        </w:rPr>
        <w:t xml:space="preserve">”. </w:t>
      </w:r>
    </w:p>
    <w:p w:rsidRPr="00AE1B2B" w:rsidR="009D3FB5" w:rsidP="00163B94" w:rsidRDefault="009D3FB5" w14:paraId="5976846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Por tal motivo, la Comisión de la Jurisdicción Agraria elabora un plan de acción para corregir las recomendaciones sugeridas por la Auditoría Judicial, a continuación, se presentan las propuestas de solución por parte de la Comisión de la Jurisdicción Agraria:</w:t>
      </w:r>
    </w:p>
    <w:p w:rsidRPr="00AE1B2B" w:rsidR="009D3FB5" w:rsidP="00163B94" w:rsidRDefault="009D3FB5" w14:paraId="32C2E699"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 xml:space="preserve">“...1. Con el objetivo de no comprometer la independencia, imparcialidad y objetividad de las personas juzgadoras agrarias y el personal de apoyo; transparentar y prevenir la corrupción en el ejercicio de la función pública, acorde a lo dispuesto en el artículo 1 </w:t>
      </w:r>
      <w:r w:rsidRPr="00AE1B2B">
        <w:rPr>
          <w:rFonts w:ascii="Times New Roman" w:hAnsi="Times New Roman" w:cs="Times New Roman"/>
          <w:i/>
          <w:sz w:val="26"/>
          <w:szCs w:val="26"/>
        </w:rPr>
        <w:lastRenderedPageBreak/>
        <w:t>de la Ley contra la corrupción y el enriquecimiento ilícito en la función pública; y, velar por la integridad física de las y los servidores judiciales involucrados, establecer la inconveniencia de que los jueces y juezas agrarias y el personal de apoyo se trasladen a audiencias fuera del despacho en medios de transporte particulares, propiedad de alguna de las personas usuarias que sean parte o interesadas en los procesos agrarios respectivos. Emitir una circular en tal sentido.</w:t>
      </w:r>
    </w:p>
    <w:p w:rsidRPr="00AE1B2B" w:rsidR="009D3FB5" w:rsidP="00163B94" w:rsidRDefault="009D3FB5" w14:paraId="7A153A5E"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2.Solicitar a la Dirección de Planificación hacer un estudio de reasignación idónea de recursos institucionales, para brindar una solución oportuna a la situación de escases que enfrenta la Jurisdicción Agraria y que incide en su productividad, enfatizando en el transporte para la realización de audiencias fuera de la sede de los Juzgados Agrarios y los requerimientos humanos y tecnológicos. Con ello, se le daría un uso óptimo a los recursos y un apoyo a la Jurisdicción en su imperiosa necesidad de atender las necesidades de las personas usuarias, sin pedir recurso nuevo o adicional.</w:t>
      </w:r>
    </w:p>
    <w:p w:rsidRPr="00AE1B2B" w:rsidR="009D3FB5" w:rsidP="00163B94" w:rsidRDefault="009D3FB5" w14:paraId="1B6D3098"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3.Con fundamento en el artículo 9 del “Reglamento para el uso, control y mantenimiento de los vehículos del Poder Judicial” aprobado por Corte Plena en sesión Nº 39-09, celebrada el 9 de noviembre del año en curso, artículo XV, disponer la atención prioritaria por parte de las Administraciones Regionales en el uso de bienes de la categoría “Vehículos de uso jurisdiccional y administrativo general”, priorizar su uso a las Juzgados Agrarios en tanto éstos comuniquen con la suficiente anticipación la programación de audiencias fuera del despacho para que no afecte a administración óptima de los vehículos y sus conductores. Lo anterior, debido a que, a diferencia de los demás Juzgados y Tribunales que tienen las salas de audiencias disponibles, los Juzgados Agrarios realizan la mayoría de las audiencias en el lugar donde se localizan los inmuebles objeto del proceso, conforme al artículo 46 de la Ley de Jurisdicción Agraria.</w:t>
      </w:r>
    </w:p>
    <w:p w:rsidRPr="00AE1B2B" w:rsidR="009D3FB5" w:rsidP="00163B94" w:rsidRDefault="009D3FB5" w14:paraId="46EE0837"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4.Establecer como urgentes o especiales las audiencias programadas por los Juzgados Agrarios a realizarse fuera del despacho con ocasión de medidas cautelares, dada su naturaleza, y de procesos en los que intervenga alguna persona en condición de vulnerabilidad. Lo anterior, en relación con lo dispuesto en el artículo 36 del “Reglamento para el uso, control y mantenimiento de los vehículos del Poder Judicial” y en ejecución de las políticas emitidas por Corte Plena en relación con las diferentes poblaciones en condición de vulnerabilidad, entre ellas, personas indígenas, adultas mayores, afrodescendientes, entre otras.</w:t>
      </w:r>
    </w:p>
    <w:p w:rsidRPr="00AE1B2B" w:rsidR="009D3FB5" w:rsidP="00163B94" w:rsidRDefault="009D3FB5" w14:paraId="34BE0D62"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lastRenderedPageBreak/>
        <w:t>5.Los Juzgados Agrarios y los Juzgados Mixtos que conocen de la materia agraria, la Fiscalía y la Defensa Pública de los circuitos judiciales donde los primeros tengan sede, establecerán un mecanismo de comunicación eficaz y eficiente mediante el cual los dos últimos comuniquen a los jueces y juezas agrarias la disponibilidad de los vehículos a su cargo. Lo anterior, con el objetivo de que, conforme al artículo 12 del “Reglamento para el uso, control y mantenimiento de los vehículos del Poder Judicial”, cuando los vehículos de la Fiscalía y de la Defensa Pública no se estén ocupando, presten servicio a los Juzgados Agrarios en forma prioritaria.</w:t>
      </w:r>
    </w:p>
    <w:p w:rsidRPr="00AE1B2B" w:rsidR="009D3FB5" w:rsidP="00163B94" w:rsidRDefault="009D3FB5" w14:paraId="7A14358D"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6.Reiterar a los Juzgados Agrarios y a los Juzgados Mixtos que conocen de la materia agraria, el contenido de las Circulares de la Dirección Ejecutiva 37-2017, 34-2011, 38-2011, 139-2011 y 81-2014, referidas a la posibilidad de utilizar sus vehículos personales en las audiencias que se programen fuera del despacho, siempre que cumplan con los lineamientos indicados; así como la resolución emitida por la Contraloría General de la República N° R-DC-194-2010 de las quince horas del diecinueve de noviembre de dos mil diez. Los Juzgados Agrarios realizarán las audiencias de prueba en el lugar donde se ubique el inmueble en conflicto, salvo que los procesos sean de puro derecho, para lo cual las Administraciones Regionales le suministrarán los vehículos oficiales a su cargo, tanto para el traslado de ida como para el regreso</w:t>
      </w:r>
    </w:p>
    <w:p w:rsidRPr="00AE1B2B" w:rsidR="009D3FB5" w:rsidP="00163B94" w:rsidRDefault="009D3FB5" w14:paraId="745750F7"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 xml:space="preserve">7.Reiterar la Circular N° 173-2013 emitida por el Consejo Superior a solicitud de la Comisión de la Jurisdicción Agraria, denominada “Utilizar el mismo vehículo para trasladarse a realizar las audiencias de prueba en el lugar del conflicto”, dirigida a las personas juzgadoras y defensoras públicas agrarias, en la que se indicó: “El Consejo Superior en sesión N° 88-13, celebrada el 11 de setiembre de 2013, artículo LXXXII, a solicitud de la Comisión de la Jurisdicción Agraria, acordó comunicarles que cuando se trasladen a realizar las audiencias de prueba en el lugar del conflicto, se debe coordinar y realizar las gestiones ante la administración o unidad de transportes correspondiente, para que puedan trasladarse en el mismo vehículo y así maximizar el uso de los recursos materiales de la institución. En tal supuesto y con el ánimo de una mayor transparencia en la gestión, las juezas o los jueces a cargo de la audiencia han de informar a las partes involucradas la razón por la cual utilizan el mismo transporte, además de los lineamientos institucionales que lo permiten.” </w:t>
      </w:r>
    </w:p>
    <w:p w:rsidRPr="00AE1B2B" w:rsidR="009D3FB5" w:rsidP="00163B94" w:rsidRDefault="009D3FB5" w14:paraId="54C9FF8D"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lastRenderedPageBreak/>
        <w:t>8.Solicitar a la Dirección Ejecutiva emita lineamientos a las Administraciones Regionales con el objetivo de que estandaricen la asignación de vehículos a los Juzgados Agrarios conforme a la disponibilidad de automotores y requerimientos de esos despachos.</w:t>
      </w:r>
    </w:p>
    <w:p w:rsidRPr="00AE1B2B" w:rsidR="009D3FB5" w:rsidP="00163B94" w:rsidRDefault="009D3FB5" w14:paraId="645DACBF"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9. Reiterar a los Juzgados Agrarios y a los Juzgados Mixtos que conocen de la materia agraria, la circular emitida por el Consejo Superior conforme a la cual, en los supuestos en los que las Administraciones Regionales, la Defensa Pública y la Fiscalía no cuenten con vehículos oficiales disponibles con conductor, están autorizados a conducir los vehículos oficiales.</w:t>
      </w:r>
    </w:p>
    <w:p w:rsidRPr="00AE1B2B" w:rsidR="009D3FB5" w:rsidP="00163B94" w:rsidRDefault="009D3FB5" w14:paraId="78B90422"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10. Con el objetivo de garantizar la independencia, imparcialidad y objetividad de las personas juzgadoras agrarias,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instar a la Dirección Ejecutiva y a las Administraciones Regionales a su cargo, para que tomen las previsiones a fin de sufragar el costo del alquiler de medios de transporte alternos a los vehículos cuando éstos no sean suficientes, tales como lanchas, caballos u otros medios de traslado de los jueces y juezas agrarias, con el objetivo de que no sean las partes involucradas en los procesos o personas interesadas en éstos, quienes asuman tales costos y garantizar la realización oportuna de la audiencia programada.</w:t>
      </w:r>
    </w:p>
    <w:p w:rsidRPr="00AE1B2B" w:rsidR="009D3FB5" w:rsidP="00163B94" w:rsidRDefault="009D3FB5" w14:paraId="6CE08A01"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 xml:space="preserve">11. Con el objetivo de no debilitar el sistema de control y garantizar que las audiencias de prueba programadas en los procesos agrarios se materialicen de manera oportuna, y maximizar el aprovechamiento de los recursos, instar a la Dirección Ejecutiva por medio de las Administraciones Regionales, para que garanticen que las personas juzgadoras agrarias cuenten con equipo tecnológico portátil (computadoras, pad de firmas, grabadoras compatibles con los sistemas institucionales, GPS, entre otros) en buenas condiciones de mantenimiento, a fin de cada juez o jueza, incluyendo los Juzgados Agrarios que cuentan con dos personas juzgadoras, puedan hacer las programaciones de audiencias respectivas sin que ello incida en la dilación de los procesos agrarios. Tales equipos deben contar con los mecanismos de protección idóneos a fin de disminuir riesgos de posibles daños materiales con ocasión de los sitios donde deben trasladarse los jueces y las juezas agrarias; así como las condiciones necesarias para velar por la integridad física de las personas juzgadoras y el </w:t>
      </w:r>
      <w:r w:rsidRPr="00AE1B2B">
        <w:rPr>
          <w:rFonts w:ascii="Times New Roman" w:hAnsi="Times New Roman" w:cs="Times New Roman"/>
          <w:i/>
          <w:sz w:val="26"/>
          <w:szCs w:val="26"/>
        </w:rPr>
        <w:lastRenderedPageBreak/>
        <w:t>personal de apoyo que le acompañe a tales audiencias. Se facilitará, además, equipo móvil adecuado que permita instalar una oficina portátil idónea para la realización de la audiencia, a saber, sillas, mesas plegables, tienda de campaña, entre otros; así como implementos indispensables como botas de hule, botas culebreras, capas livianas, entre otros.</w:t>
      </w:r>
    </w:p>
    <w:p w:rsidRPr="00AE1B2B" w:rsidR="009D3FB5" w:rsidP="00163B94" w:rsidRDefault="009D3FB5" w14:paraId="7D1B39BA"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12. Autorizar a las Administraciones Regionales donde tienen sede los Juzgados Agrarios, a contratar vehículos oficiales de taxi pagados por el Poder Judicial, en caso de que del todo no exista disponibilidad de vehículos oficiales para trasladar a los jueces y juezas agrarias a las audiencias realizadas fuera del despacho. Los vehículos deben ser doble tracción, según los requerimientos del lugar donde deban trasladarse, y contar siempre con todos los seguros incluidos y actualizados. Lo anterior debido a que lo dispuesto en el artículo 10 de la Ley Orgánica del Poder Judicial es contrario al principio de gratuidad que impera en el proceso agrario y se encuentra regulado entre otros, en los numerales 26 a 29 de la Ley de Jurisdicción Agraria –que es ley especial- manteniéndose en el proyecto de Código Procesal Agrario; así como de las políticas institucionales relacionadas con las personas en condición de vulnerabilidad que según un estudio elaborado por la Administración Regional del II Circuito Judicial de San José, puesto en conocimiento del Consejo Superior, constituyen un alto porcentaje de las personas usuarias agrarias. Aunado a ello, la Procuraduría General de la República, en el dictamen C-94-2010 del 5 de mayo de 2010, señala que uno de los principios desarrollados respecto del Derecho Fundamental a la Tutela Judicial Efectiva es el de la gratuidad de la justicia.</w:t>
      </w:r>
    </w:p>
    <w:p w:rsidRPr="00AE1B2B" w:rsidR="009D3FB5" w:rsidP="00163B94" w:rsidRDefault="009D3FB5" w14:paraId="18828E08"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13. Solicitar a la Dirección de Planificación realizar un estudio del impacto que tiene la eventual asignación insuficiente de vehículos a los Juzgados Agrarios para la realización de audiencias fuera del despacho, en la producción y el servicio que se ofrece a las personas usuarias.</w:t>
      </w:r>
    </w:p>
    <w:p w:rsidRPr="00AE1B2B" w:rsidR="009D3FB5" w:rsidP="00163B94" w:rsidRDefault="009D3FB5" w14:paraId="638F8D50"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 xml:space="preserve">14. Pedir al Consejo Superior solicite a la Comisión de Seguridad valore la situación de riesgo de las personas juzgadoras agrarias y el personal de apoyo que debe trasladarse a audiencias de prueba fuera de los despachos y disponga el otorgamiento del incentivo correspondiente al riesgo; y considerar como antecedente de ello, el acuerdo del Consejo Superior tomado en sesión 63-2009 de 18 de junio de 2009, Artículo LXIX, en el que se dispuso incluir a los jueces y a las juezas agrarias en el Protocolo para trasladar en condiciones de seguridad a representantes de la Judicatura, </w:t>
      </w:r>
      <w:r w:rsidRPr="00AE1B2B">
        <w:rPr>
          <w:rFonts w:ascii="Times New Roman" w:hAnsi="Times New Roman" w:cs="Times New Roman"/>
          <w:i/>
          <w:sz w:val="26"/>
          <w:szCs w:val="26"/>
        </w:rPr>
        <w:lastRenderedPageBreak/>
        <w:t>Ministerio Público y Defensa Pública en el ejercicio de sus labores” que corresponde a la Circular 56-2009, así como la gestión formulada por la Comisión de la Jurisdicción Agraria a la Comisión de Seguridad el 31 de octubre 2012, exponiendo las situaciones de riesgo a las que se enfrentan con el afán de atender los distintos riesgos propios en esta disciplina, no comunes a otras jurisdicciones y la necesidad de reconocimiento…”.</w:t>
      </w:r>
    </w:p>
    <w:p w:rsidRPr="00AE1B2B" w:rsidR="009D3FB5" w:rsidP="00163B94" w:rsidRDefault="009D3FB5" w14:paraId="152D300C"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1990B1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Producto de esas sugerencias por parte de la Comisión de la Jurisdicción Agraria, la Dirección Ejecutiva indica: </w:t>
      </w:r>
    </w:p>
    <w:p w:rsidRPr="00AE1B2B" w:rsidR="009D3FB5" w:rsidP="00163B94" w:rsidRDefault="009D3FB5" w14:paraId="674C0756" w14:textId="4479AE6A">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“respecto al Plan de Acción que propone la Comisión de la Jurisdicción Agraria, esta Dirección Ejecutiva ya se pronunció ante el Consejo Superior, en el sentido de que no es posible, con las condiciones y recursos actuales, atender las necesidades que ahí se señalan, con la exclusividad y especialidad que se nos requiere, principalmente en lo que a transporte se refiere; de ahí que nuestra posición fue variar una serie de requerimientos planteados por dicha Comisión para seguir prestando los servicios como hasta ahora se ha hecho, debido a las limitaciones de choferes y vehículos de la Administración.</w:t>
      </w:r>
      <w:r w:rsidRPr="00AE1B2B" w:rsidR="00BB7720">
        <w:rPr>
          <w:rFonts w:ascii="Times New Roman" w:hAnsi="Times New Roman" w:cs="Times New Roman"/>
          <w:i/>
          <w:iCs/>
          <w:sz w:val="26"/>
          <w:szCs w:val="26"/>
        </w:rPr>
        <w:t xml:space="preserve"> </w:t>
      </w:r>
    </w:p>
    <w:p w:rsidRPr="00AE1B2B" w:rsidR="009D3FB5" w:rsidP="00163B94" w:rsidRDefault="009D3FB5" w14:paraId="6AC26A19"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Ahora bien, si como lo expone la jueza Damaris Vargas Vásquez, en el documento denominado Informe Técnico de Costos de la Implementación del Proyecto de Código Procesal Agrario 15.887, la implementación del Nuevo Código Procesal Agrario no traerá como consecuencia la atención de las necesidades que se planteaban en el Plan de Acción y es posible seguir trabajando con las limitaciones que hoy en día se tienen en el uso de los recursos administrativos a saber: vehículos, equipos portátiles, GPS, etc; que son de uso compartido por las diferentes materias, no habría costos que reflejar en lo que a esta Dirección atañe. Por el contrario, si la nueva legislación impone una forma de trabajo similar a la expuesta en el Plan de Acción, como la misma Comisión Agraria lo solicitó en su momento al Consejo Superior, es necesaria la dotación de vehículos, choferes y equipos de manera exclusiva para esa jurisdicción, por lo que todos esos costos se deben incluir como parte de la implementación del nuevo Código.”.</w:t>
      </w:r>
    </w:p>
    <w:p w:rsidRPr="00AE1B2B" w:rsidR="009D3FB5" w:rsidP="00163B94" w:rsidRDefault="009D3FB5" w14:paraId="3F6D300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Con respecto a este tema, la Presidencia de la Corte Suprema de Justicia mediante oficio 0292-P-2018, relacionado con el informe emitido por la Dirección de Planificación respecto a los escenarios sobre la posible implementación del Código Procesal Agrario </w:t>
      </w:r>
      <w:r w:rsidRPr="00AE1B2B">
        <w:rPr>
          <w:rFonts w:ascii="Times New Roman" w:hAnsi="Times New Roman" w:cs="Times New Roman"/>
          <w:i/>
          <w:iCs/>
          <w:sz w:val="26"/>
          <w:szCs w:val="26"/>
        </w:rPr>
        <w:t xml:space="preserve">(ver anexo 10. Oficio n° 0292-P-2018 Presidencia de la Corte Suprema </w:t>
      </w:r>
      <w:r w:rsidRPr="00AE1B2B">
        <w:rPr>
          <w:rFonts w:ascii="Times New Roman" w:hAnsi="Times New Roman" w:cs="Times New Roman"/>
          <w:i/>
          <w:iCs/>
          <w:sz w:val="26"/>
          <w:szCs w:val="26"/>
        </w:rPr>
        <w:lastRenderedPageBreak/>
        <w:t>de Justicia)</w:t>
      </w:r>
      <w:r w:rsidRPr="00AE1B2B">
        <w:rPr>
          <w:rFonts w:ascii="Times New Roman" w:hAnsi="Times New Roman" w:cs="Times New Roman"/>
          <w:sz w:val="26"/>
          <w:szCs w:val="26"/>
        </w:rPr>
        <w:t>; enviado a la Señora Carolina Hidalgo Herrera, Presidenta de la Asamblea Legislativa el 19 de julio de 2018, indica:</w:t>
      </w:r>
    </w:p>
    <w:p w:rsidRPr="00AE1B2B" w:rsidR="009D3FB5" w:rsidP="00163B94" w:rsidRDefault="009D3FB5" w14:paraId="5AD93CEF"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“…la propuesta hecha por la Comisión de la Jurisdicción Agraria al Consejo Superior para que se haga una redistribución de los vehículos oficiales del Poder Judicial conforme a los requerimientos de las diferentes oficinas.” </w:t>
      </w:r>
    </w:p>
    <w:p w:rsidRPr="00AE1B2B" w:rsidR="009D3FB5" w:rsidP="00163B94" w:rsidRDefault="009D3FB5" w14:paraId="5B03915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Es importante agregar que, aun subcontratando el servicio de transporte privado o público, para que realice el traslado de la persona juzgadora al sitio de la audiencia, se genera un gasto que se debe presupuestar; lo mismo ocurre si las personas juzgadoras realizan las giras en sus vehículos personales, para lo cual se debería presupuestar el costo por concepto de transporte por “pago de kilometraje”.</w:t>
      </w:r>
    </w:p>
    <w:p w:rsidRPr="00AE1B2B" w:rsidR="009D3FB5" w:rsidP="00163B94" w:rsidRDefault="009D3FB5" w14:paraId="32EB7B64" w14:textId="25801A5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Por lo indicado tanto por la Comisión de la Jurisdicción Agraria, como la capacidad de respuesta que indica la</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Dirección Ejecutiva, la Dirección de Planificación mantiene la recomendación de la dotación de vehículos, se visualiza un posible riesgo latente, ya que en la actualidad, la disponibilidad de los vehículos de la Defensa Pública, Ministerio Público o del Organismo de Investigación Judicial, se conoce poco tiempo antes de los señalamientos a audiencia, lo que genera el riesgo de suspensión de audiencias orales en sitio según se establece en el Código Procesal Agrario, al no contar con los recursos mínimos necesarios para desarrollar este acto procesal. </w:t>
      </w:r>
    </w:p>
    <w:p w:rsidRPr="00AE1B2B" w:rsidR="009D3FB5" w:rsidP="00163B94" w:rsidRDefault="009D3FB5" w14:paraId="0EE97B6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el informe de Presupuesto por Reforma Agraria para el 2020 (609-PLA-RH-MI-2019) se proponía reforzar con vehículos y choferes a las siguientes Administraciones Regionales: San Ramón, Cartago, Goicoechea, Limón, Turrialba, Pérez Zeledón, Puntarenas y San Carlos. Aunado a lo anterior, en este mismo informe, no se contempló la compra de vehículos para las Administraciones Regionales de Turrialba, Puntarenas y Limón, ya que, de acuerdo con la Dirección Ejecutiva, había indicado lo siguiente</w:t>
      </w:r>
      <w:r w:rsidRPr="00AE1B2B">
        <w:rPr>
          <w:rFonts w:ascii="Times New Roman" w:hAnsi="Times New Roman" w:cs="Times New Roman"/>
          <w:i/>
          <w:iCs/>
          <w:sz w:val="26"/>
          <w:szCs w:val="26"/>
        </w:rPr>
        <w:t xml:space="preserve"> (ver anexo 11 </w:t>
      </w:r>
      <w:r w:rsidRPr="00AE1B2B">
        <w:rPr>
          <w:rFonts w:ascii="Times New Roman" w:hAnsi="Times New Roman" w:cs="Times New Roman"/>
          <w:i/>
          <w:iCs/>
          <w:sz w:val="26"/>
          <w:szCs w:val="26"/>
          <w:lang w:eastAsia="es-CR"/>
        </w:rPr>
        <w:t>Correo remitido por la Dirección Ejecutiva sobre la necesidad de vehículos para materia Agraria)</w:t>
      </w:r>
      <w:r w:rsidRPr="00AE1B2B">
        <w:rPr>
          <w:rFonts w:ascii="Times New Roman" w:hAnsi="Times New Roman" w:cs="Times New Roman"/>
          <w:i/>
          <w:iCs/>
          <w:sz w:val="26"/>
          <w:szCs w:val="26"/>
        </w:rPr>
        <w:t>:</w:t>
      </w:r>
    </w:p>
    <w:p w:rsidRPr="00AE1B2B" w:rsidR="009D3FB5" w:rsidP="00163B94" w:rsidRDefault="009D3FB5" w14:paraId="2E30E51B"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i/>
          <w:sz w:val="26"/>
          <w:szCs w:val="26"/>
        </w:rPr>
        <w:t xml:space="preserve">“…En atención a lo conversado en cuanto al presupuesto de vehículos para la reforma Agraria para el año 2020, específicamente en el caso de Turrialba, Puntarenas y Limón; una vez consultadas las respectivas Administraciones y valorados los casos con doña Ana Eugenia Romero y doña Dinorah Álvarez, me permito indicarle lo siguiente: </w:t>
      </w:r>
    </w:p>
    <w:p w:rsidRPr="00AE1B2B" w:rsidR="009D3FB5" w:rsidP="00163B94" w:rsidRDefault="009D3FB5" w14:paraId="24D214DA"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b/>
          <w:i/>
          <w:sz w:val="26"/>
          <w:szCs w:val="26"/>
        </w:rPr>
        <w:t>Turrialba:</w:t>
      </w:r>
      <w:r w:rsidRPr="00AE1B2B">
        <w:rPr>
          <w:rFonts w:ascii="Times New Roman" w:hAnsi="Times New Roman" w:cs="Times New Roman"/>
          <w:i/>
          <w:sz w:val="26"/>
          <w:szCs w:val="26"/>
        </w:rPr>
        <w:t xml:space="preserve"> dado que en el presupuesto ordinario 2020 se incluyó un vehículo para la Administración de esa localidad, se </w:t>
      </w:r>
      <w:r w:rsidRPr="00AE1B2B">
        <w:rPr>
          <w:rFonts w:ascii="Times New Roman" w:hAnsi="Times New Roman" w:cs="Times New Roman"/>
          <w:i/>
          <w:sz w:val="26"/>
          <w:szCs w:val="26"/>
        </w:rPr>
        <w:lastRenderedPageBreak/>
        <w:t>puede excluir del presupuesto 2020 el vehículo que se contempló en el plan para Agrario. No obstante, se deben mantener todos los demás rubros (combustible, mantenimiento, etc.), incluido el chofer.</w:t>
      </w:r>
    </w:p>
    <w:p w:rsidRPr="00AE1B2B" w:rsidR="009D3FB5" w:rsidP="00163B94" w:rsidRDefault="009D3FB5" w14:paraId="2A76B315"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b/>
          <w:i/>
          <w:sz w:val="26"/>
          <w:szCs w:val="26"/>
        </w:rPr>
        <w:t>Puntarenas:</w:t>
      </w:r>
      <w:r w:rsidRPr="00AE1B2B">
        <w:rPr>
          <w:rFonts w:ascii="Times New Roman" w:hAnsi="Times New Roman" w:cs="Times New Roman"/>
          <w:i/>
          <w:sz w:val="26"/>
          <w:szCs w:val="26"/>
        </w:rPr>
        <w:t xml:space="preserve"> en el presupuesto 2020 ordinario se tiene contemplado un vehículo para esa Administración; sin embargo, dadas las necesidades de ese circuito judicial, se debe mantener también el vehículo contemplado para Agrario, así como todos los demás rubros incluidos en la estimación (chofer, combustible, mantenimiento, etc.).</w:t>
      </w:r>
    </w:p>
    <w:p w:rsidRPr="00AE1B2B" w:rsidR="009D3FB5" w:rsidP="00163B94" w:rsidRDefault="009D3FB5" w14:paraId="26C0F5D6" w14:textId="77777777">
      <w:pPr>
        <w:spacing w:before="120" w:after="120"/>
        <w:ind w:left="851" w:right="851" w:firstLine="709"/>
        <w:jc w:val="both"/>
        <w:rPr>
          <w:rFonts w:ascii="Times New Roman" w:hAnsi="Times New Roman" w:cs="Times New Roman"/>
          <w:i/>
          <w:sz w:val="26"/>
          <w:szCs w:val="26"/>
        </w:rPr>
      </w:pPr>
      <w:r w:rsidRPr="00AE1B2B">
        <w:rPr>
          <w:rFonts w:ascii="Times New Roman" w:hAnsi="Times New Roman" w:cs="Times New Roman"/>
          <w:b/>
          <w:i/>
          <w:sz w:val="26"/>
          <w:szCs w:val="26"/>
        </w:rPr>
        <w:t>Limón:</w:t>
      </w:r>
      <w:r w:rsidRPr="00AE1B2B">
        <w:rPr>
          <w:rFonts w:ascii="Times New Roman" w:hAnsi="Times New Roman" w:cs="Times New Roman"/>
          <w:i/>
          <w:sz w:val="26"/>
          <w:szCs w:val="26"/>
        </w:rPr>
        <w:t xml:space="preserve"> dado que en el presupuesto ordinario 2020 se incluyó un vehículo tipo microbús para la Administración de esa localidad, se puede excluir del presupuesto el vehículo tipo pick up que se contempló en el plan para Agrario, ya que al adquirirse el microbús la Administración podrá separar uno de sus vehículos actuales para atender a la materia Agraria. No obstante, se aclara que en este caso se deben mantener en el presupuesto para Agrario todos los demás rubros (combustible, mantenimiento, etc.), incluido el chofer…”.</w:t>
      </w:r>
    </w:p>
    <w:p w:rsidRPr="00AE1B2B" w:rsidR="009D3FB5" w:rsidP="00163B94" w:rsidRDefault="009D3FB5" w14:paraId="53A3D7FA" w14:textId="3223D472">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Ahora bien, la Dirección Ejecutiva mediante correo electrónico remitido el 12 de febrero del 2020, en relación con él envió de presupuesto actualizado 2021 para la Jurisdicción Agraria, que contiene el oficio 581-DE-2020 </w:t>
      </w:r>
      <w:r w:rsidRPr="00AE1B2B">
        <w:rPr>
          <w:rFonts w:ascii="Times New Roman" w:hAnsi="Times New Roman" w:cs="Times New Roman"/>
          <w:i/>
          <w:iCs/>
          <w:sz w:val="26"/>
          <w:szCs w:val="26"/>
        </w:rPr>
        <w:t xml:space="preserve">(ver anexo 12. Presupuesto actualizado jurisdicción Agraria), </w:t>
      </w:r>
      <w:r w:rsidRPr="00AE1B2B">
        <w:rPr>
          <w:rFonts w:ascii="Times New Roman" w:hAnsi="Times New Roman" w:cs="Times New Roman"/>
          <w:sz w:val="26"/>
          <w:szCs w:val="26"/>
        </w:rPr>
        <w:t>indica:</w:t>
      </w:r>
      <w:r w:rsidRPr="00AE1B2B" w:rsidR="00BB7720">
        <w:rPr>
          <w:rFonts w:ascii="Times New Roman" w:hAnsi="Times New Roman" w:cs="Times New Roman"/>
          <w:sz w:val="26"/>
          <w:szCs w:val="26"/>
        </w:rPr>
        <w:t xml:space="preserve"> </w:t>
      </w:r>
    </w:p>
    <w:p w:rsidRPr="00AE1B2B" w:rsidR="009D3FB5" w:rsidP="00163B94" w:rsidRDefault="009D3FB5" w14:paraId="4FA1655D"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“…Es importante indicar que, debido a la demanda del servicio por parte de la materia Agraria que se ha observado en cada uno de los circuitos, esta Dirección Ejecutiva considera necesario incorporar los vehículos correspondientes a las Administraciones Regionales de Limón y Turrialba, como se había planteado inicialmente…”.</w:t>
      </w:r>
    </w:p>
    <w:p w:rsidRPr="00AE1B2B" w:rsidR="009D3FB5" w:rsidP="00163B94" w:rsidRDefault="009D3FB5" w14:paraId="7DBA8EE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790A1ABF"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3B10CF2"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A4A67A0"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63761215"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43A088D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Adicionalmente, se realiza la consulta a las diferentes Administraciones Regionales sobre la disponibilidad de vehículo que tienen los Juzgados Agrarios a nivel nacional, dato que se detalla en el siguiente cuadro:</w:t>
      </w:r>
    </w:p>
    <w:p w:rsidRPr="00AE1B2B" w:rsidR="009D3FB5" w:rsidP="00163B94" w:rsidRDefault="009D3FB5" w14:paraId="00AF934E"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16</w:t>
      </w:r>
      <w:r w:rsidRPr="00AE1B2B">
        <w:rPr>
          <w:rFonts w:ascii="Times New Roman" w:hAnsi="Times New Roman"/>
          <w:iCs/>
          <w:sz w:val="26"/>
          <w:szCs w:val="26"/>
        </w:rPr>
        <w:fldChar w:fldCharType="end"/>
      </w:r>
    </w:p>
    <w:p w:rsidRPr="00AE1B2B" w:rsidR="009D3FB5" w:rsidP="00163B94" w:rsidRDefault="009D3FB5" w14:paraId="6AB2C4F7" w14:textId="77777777">
      <w:pPr>
        <w:spacing w:before="120" w:after="120"/>
        <w:ind w:left="851" w:right="851" w:firstLine="709"/>
        <w:jc w:val="both"/>
        <w:rPr>
          <w:rFonts w:ascii="Times New Roman" w:hAnsi="Times New Roman" w:cs="Times New Roman"/>
          <w:b/>
          <w:iCs/>
          <w:sz w:val="26"/>
          <w:szCs w:val="26"/>
        </w:rPr>
      </w:pPr>
      <w:r w:rsidRPr="00AE1B2B">
        <w:rPr>
          <w:rFonts w:ascii="Times New Roman" w:hAnsi="Times New Roman" w:cs="Times New Roman"/>
          <w:b/>
          <w:iCs/>
          <w:sz w:val="26"/>
          <w:szCs w:val="26"/>
        </w:rPr>
        <w:lastRenderedPageBreak/>
        <w:t>Disponibilidad de Vehículo por los Juzgados Agrarios por Parte de las Administraciones Regionales del País</w:t>
      </w:r>
    </w:p>
    <w:tbl>
      <w:tblPr>
        <w:tblW w:w="11908" w:type="dxa"/>
        <w:tblInd w:w="-1583" w:type="dxa"/>
        <w:tblLayout w:type="fixed"/>
        <w:tblCellMar>
          <w:left w:w="70" w:type="dxa"/>
          <w:right w:w="70" w:type="dxa"/>
        </w:tblCellMar>
        <w:tblLook w:val="04A0" w:firstRow="1" w:lastRow="0" w:firstColumn="1" w:lastColumn="0" w:noHBand="0" w:noVBand="1"/>
      </w:tblPr>
      <w:tblGrid>
        <w:gridCol w:w="1418"/>
        <w:gridCol w:w="1418"/>
        <w:gridCol w:w="1134"/>
        <w:gridCol w:w="1134"/>
        <w:gridCol w:w="1070"/>
        <w:gridCol w:w="915"/>
        <w:gridCol w:w="850"/>
        <w:gridCol w:w="851"/>
        <w:gridCol w:w="1417"/>
        <w:gridCol w:w="709"/>
        <w:gridCol w:w="992"/>
      </w:tblGrid>
      <w:tr w:rsidRPr="00AE1B2B" w:rsidR="009D3FB5" w:rsidTr="009D3FB5" w14:paraId="726B2569" w14:textId="77777777">
        <w:trPr>
          <w:trHeight w:val="20"/>
          <w:tblHeader/>
        </w:trPr>
        <w:tc>
          <w:tcPr>
            <w:tcW w:w="1418" w:type="dxa"/>
            <w:tcBorders>
              <w:top w:val="double" w:color="1F497D" w:sz="6" w:space="0"/>
              <w:left w:val="double" w:color="1F497D" w:sz="6" w:space="0"/>
              <w:bottom w:val="double" w:color="1F497D" w:sz="6" w:space="0"/>
              <w:right w:val="double" w:color="1F497D" w:sz="6" w:space="0"/>
            </w:tcBorders>
            <w:shd w:val="clear" w:color="000000" w:fill="31869B"/>
            <w:vAlign w:val="center"/>
            <w:hideMark/>
          </w:tcPr>
          <w:p w:rsidRPr="00AE1B2B" w:rsidR="009D3FB5" w:rsidP="00163B94" w:rsidRDefault="009D3FB5" w14:paraId="673B2952"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Despacho</w:t>
            </w:r>
          </w:p>
        </w:tc>
        <w:tc>
          <w:tcPr>
            <w:tcW w:w="1418"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63AD222D"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Días Asignados para Utilización de Vehículo </w:t>
            </w:r>
          </w:p>
        </w:tc>
        <w:tc>
          <w:tcPr>
            <w:tcW w:w="1134"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04050E10"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Promedio Mensual de Solicitudes Enviadas a la Administración </w:t>
            </w:r>
          </w:p>
        </w:tc>
        <w:tc>
          <w:tcPr>
            <w:tcW w:w="1134"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50F93D00"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Promedio Mensual de Solicitudes Ejecutadas por la Administración </w:t>
            </w:r>
          </w:p>
        </w:tc>
        <w:tc>
          <w:tcPr>
            <w:tcW w:w="1070"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04A603E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Porcentaje </w:t>
            </w:r>
            <w:r w:rsidRPr="00AE1B2B">
              <w:rPr>
                <w:rFonts w:ascii="Times New Roman" w:hAnsi="Times New Roman" w:cs="Times New Roman"/>
                <w:b/>
                <w:bCs/>
                <w:lang w:eastAsia="es-CR"/>
              </w:rPr>
              <w:br/>
            </w:r>
            <w:r w:rsidRPr="00AE1B2B">
              <w:rPr>
                <w:rFonts w:ascii="Times New Roman" w:hAnsi="Times New Roman" w:cs="Times New Roman"/>
                <w:b/>
                <w:bCs/>
                <w:lang w:eastAsia="es-CR"/>
              </w:rPr>
              <w:t xml:space="preserve">Solicitado vs Ejecutado </w:t>
            </w:r>
          </w:p>
        </w:tc>
        <w:tc>
          <w:tcPr>
            <w:tcW w:w="915"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6FF001F7"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Cant Juezas y Jueces </w:t>
            </w:r>
          </w:p>
        </w:tc>
        <w:tc>
          <w:tcPr>
            <w:tcW w:w="850"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65884D26"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Cantidad de solicitudes Esperadas al Mes</w:t>
            </w:r>
          </w:p>
        </w:tc>
        <w:tc>
          <w:tcPr>
            <w:tcW w:w="851"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3904A4B7"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rPr>
              <w:t xml:space="preserve">Porcentaje Esperado vs lo Solicitado </w:t>
            </w:r>
          </w:p>
        </w:tc>
        <w:tc>
          <w:tcPr>
            <w:tcW w:w="1417"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022FC844"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Fecha de Agenda</w:t>
            </w:r>
          </w:p>
        </w:tc>
        <w:tc>
          <w:tcPr>
            <w:tcW w:w="709"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7E228CA0"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Plazo (días)</w:t>
            </w:r>
          </w:p>
        </w:tc>
        <w:tc>
          <w:tcPr>
            <w:tcW w:w="992" w:type="dxa"/>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0E79D19D"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Cantidad Aud. Pendientes</w:t>
            </w:r>
          </w:p>
        </w:tc>
      </w:tr>
      <w:tr w:rsidRPr="00AE1B2B" w:rsidR="009D3FB5" w:rsidTr="009D3FB5" w14:paraId="336944B0" w14:textId="77777777">
        <w:trPr>
          <w:trHeight w:val="20"/>
        </w:trPr>
        <w:tc>
          <w:tcPr>
            <w:tcW w:w="1418"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138721E3"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Cartago</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22BB4F1"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Martes y viernes</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1C9533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38A8B1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w:t>
            </w:r>
          </w:p>
        </w:tc>
        <w:tc>
          <w:tcPr>
            <w:tcW w:w="107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5070C4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50%</w:t>
            </w:r>
          </w:p>
        </w:tc>
        <w:tc>
          <w:tcPr>
            <w:tcW w:w="915"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A6FFE7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5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581741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c>
          <w:tcPr>
            <w:tcW w:w="85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25083C8" w14:textId="77777777">
            <w:pPr>
              <w:spacing w:before="120" w:after="120"/>
              <w:jc w:val="center"/>
              <w:rPr>
                <w:rFonts w:ascii="Times New Roman" w:hAnsi="Times New Roman" w:cs="Times New Roman"/>
                <w:lang w:eastAsia="es-CR"/>
              </w:rPr>
            </w:pPr>
            <w:r w:rsidRPr="00AE1B2B">
              <w:rPr>
                <w:rFonts w:ascii="Times New Roman" w:hAnsi="Times New Roman" w:cs="Times New Roman"/>
              </w:rPr>
              <w:t>50%</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5DC642D" w14:textId="77777777">
            <w:pPr>
              <w:spacing w:before="120" w:after="120"/>
              <w:jc w:val="center"/>
              <w:rPr>
                <w:rFonts w:ascii="Times New Roman" w:hAnsi="Times New Roman" w:cs="Times New Roman"/>
                <w:lang w:eastAsia="es-CR"/>
              </w:rPr>
            </w:pPr>
            <w:r w:rsidRPr="00AE1B2B">
              <w:rPr>
                <w:rFonts w:ascii="Times New Roman" w:hAnsi="Times New Roman" w:cs="Times New Roman"/>
              </w:rPr>
              <w:t>16/04/2021</w:t>
            </w:r>
          </w:p>
        </w:tc>
        <w:tc>
          <w:tcPr>
            <w:tcW w:w="70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2FBE7FF" w14:textId="77777777">
            <w:pPr>
              <w:spacing w:before="120" w:after="120"/>
              <w:jc w:val="center"/>
              <w:rPr>
                <w:rFonts w:ascii="Times New Roman" w:hAnsi="Times New Roman" w:cs="Times New Roman"/>
              </w:rPr>
            </w:pPr>
            <w:r w:rsidRPr="00AE1B2B">
              <w:rPr>
                <w:rFonts w:ascii="Times New Roman" w:hAnsi="Times New Roman" w:cs="Times New Roman"/>
              </w:rPr>
              <w:t>91</w:t>
            </w:r>
          </w:p>
        </w:tc>
        <w:tc>
          <w:tcPr>
            <w:tcW w:w="99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4FFC65B" w14:textId="77777777">
            <w:pPr>
              <w:spacing w:before="120" w:after="120"/>
              <w:jc w:val="center"/>
              <w:rPr>
                <w:rFonts w:ascii="Times New Roman" w:hAnsi="Times New Roman" w:cs="Times New Roman"/>
              </w:rPr>
            </w:pPr>
            <w:r w:rsidRPr="00AE1B2B">
              <w:rPr>
                <w:rFonts w:ascii="Times New Roman" w:hAnsi="Times New Roman" w:cs="Times New Roman"/>
              </w:rPr>
              <w:t>38</w:t>
            </w:r>
          </w:p>
        </w:tc>
      </w:tr>
      <w:tr w:rsidRPr="00AE1B2B" w:rsidR="009D3FB5" w:rsidTr="009D3FB5" w14:paraId="3FE7DD81" w14:textId="77777777">
        <w:trPr>
          <w:trHeight w:val="20"/>
        </w:trPr>
        <w:tc>
          <w:tcPr>
            <w:tcW w:w="1418"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687CE42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Pérez Zeledón</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A4ACD8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 xml:space="preserve">Lunes, miércoles </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2BB371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33E3E8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w:t>
            </w:r>
          </w:p>
        </w:tc>
        <w:tc>
          <w:tcPr>
            <w:tcW w:w="107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5F1CFE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50%</w:t>
            </w:r>
          </w:p>
        </w:tc>
        <w:tc>
          <w:tcPr>
            <w:tcW w:w="915"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8C2C63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85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33ADCE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w:t>
            </w:r>
          </w:p>
        </w:tc>
        <w:tc>
          <w:tcPr>
            <w:tcW w:w="85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439A193" w14:textId="77777777">
            <w:pPr>
              <w:spacing w:before="120" w:after="120"/>
              <w:jc w:val="center"/>
              <w:rPr>
                <w:rFonts w:ascii="Times New Roman" w:hAnsi="Times New Roman" w:cs="Times New Roman"/>
                <w:lang w:eastAsia="es-CR"/>
              </w:rPr>
            </w:pPr>
            <w:r w:rsidRPr="00AE1B2B">
              <w:rPr>
                <w:rFonts w:ascii="Times New Roman" w:hAnsi="Times New Roman" w:cs="Times New Roman"/>
              </w:rPr>
              <w:t>100%</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1F85075" w14:textId="77777777">
            <w:pPr>
              <w:spacing w:before="120" w:after="120"/>
              <w:jc w:val="center"/>
              <w:rPr>
                <w:rFonts w:ascii="Times New Roman" w:hAnsi="Times New Roman" w:cs="Times New Roman"/>
              </w:rPr>
            </w:pPr>
            <w:r w:rsidRPr="00AE1B2B">
              <w:rPr>
                <w:rFonts w:ascii="Times New Roman" w:hAnsi="Times New Roman" w:cs="Times New Roman"/>
              </w:rPr>
              <w:t>28/04/2021</w:t>
            </w:r>
          </w:p>
        </w:tc>
        <w:tc>
          <w:tcPr>
            <w:tcW w:w="70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E3359FE" w14:textId="77777777">
            <w:pPr>
              <w:spacing w:before="120" w:after="120"/>
              <w:jc w:val="center"/>
              <w:rPr>
                <w:rFonts w:ascii="Times New Roman" w:hAnsi="Times New Roman" w:cs="Times New Roman"/>
              </w:rPr>
            </w:pPr>
            <w:r w:rsidRPr="00AE1B2B">
              <w:rPr>
                <w:rFonts w:ascii="Times New Roman" w:hAnsi="Times New Roman" w:cs="Times New Roman"/>
              </w:rPr>
              <w:t>111</w:t>
            </w:r>
          </w:p>
        </w:tc>
        <w:tc>
          <w:tcPr>
            <w:tcW w:w="99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31035AC" w14:textId="77777777">
            <w:pPr>
              <w:spacing w:before="120" w:after="120"/>
              <w:jc w:val="center"/>
              <w:rPr>
                <w:rFonts w:ascii="Times New Roman" w:hAnsi="Times New Roman" w:cs="Times New Roman"/>
              </w:rPr>
            </w:pPr>
            <w:r w:rsidRPr="00AE1B2B">
              <w:rPr>
                <w:rFonts w:ascii="Times New Roman" w:hAnsi="Times New Roman" w:cs="Times New Roman"/>
              </w:rPr>
              <w:t>36</w:t>
            </w:r>
          </w:p>
        </w:tc>
      </w:tr>
      <w:tr w:rsidRPr="00AE1B2B" w:rsidR="009D3FB5" w:rsidTr="009D3FB5" w14:paraId="68784F7D" w14:textId="77777777">
        <w:trPr>
          <w:trHeight w:val="20"/>
        </w:trPr>
        <w:tc>
          <w:tcPr>
            <w:tcW w:w="1418"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3D29656C"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Limón</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824A59D"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No tienen días establecidos, utilizan el vehículo cuando lo necesiten</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0F27FE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18</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220C0B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w:t>
            </w:r>
          </w:p>
        </w:tc>
        <w:tc>
          <w:tcPr>
            <w:tcW w:w="107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D8E0E7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58%</w:t>
            </w:r>
          </w:p>
        </w:tc>
        <w:tc>
          <w:tcPr>
            <w:tcW w:w="915"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DCE9B5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5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A2B235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c>
          <w:tcPr>
            <w:tcW w:w="85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3F79174" w14:textId="77777777">
            <w:pPr>
              <w:spacing w:before="120" w:after="120"/>
              <w:jc w:val="center"/>
              <w:rPr>
                <w:rFonts w:ascii="Times New Roman" w:hAnsi="Times New Roman" w:cs="Times New Roman"/>
                <w:lang w:eastAsia="es-CR"/>
              </w:rPr>
            </w:pPr>
            <w:r w:rsidRPr="00AE1B2B">
              <w:rPr>
                <w:rFonts w:ascii="Times New Roman" w:hAnsi="Times New Roman" w:cs="Times New Roman"/>
              </w:rPr>
              <w:t>113%</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B93E89B" w14:textId="77777777">
            <w:pPr>
              <w:spacing w:before="120" w:after="120"/>
              <w:jc w:val="center"/>
              <w:rPr>
                <w:rFonts w:ascii="Times New Roman" w:hAnsi="Times New Roman" w:cs="Times New Roman"/>
              </w:rPr>
            </w:pPr>
            <w:r w:rsidRPr="00AE1B2B">
              <w:rPr>
                <w:rFonts w:ascii="Times New Roman" w:hAnsi="Times New Roman" w:cs="Times New Roman"/>
              </w:rPr>
              <w:t>01/11/2021</w:t>
            </w:r>
          </w:p>
        </w:tc>
        <w:tc>
          <w:tcPr>
            <w:tcW w:w="70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44F5780" w14:textId="77777777">
            <w:pPr>
              <w:spacing w:before="120" w:after="120"/>
              <w:jc w:val="center"/>
              <w:rPr>
                <w:rFonts w:ascii="Times New Roman" w:hAnsi="Times New Roman" w:cs="Times New Roman"/>
              </w:rPr>
            </w:pPr>
            <w:r w:rsidRPr="00AE1B2B">
              <w:rPr>
                <w:rFonts w:ascii="Times New Roman" w:hAnsi="Times New Roman" w:cs="Times New Roman"/>
              </w:rPr>
              <w:t>293</w:t>
            </w:r>
          </w:p>
        </w:tc>
        <w:tc>
          <w:tcPr>
            <w:tcW w:w="99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2DCB780" w14:textId="77777777">
            <w:pPr>
              <w:spacing w:before="120" w:after="120"/>
              <w:jc w:val="center"/>
              <w:rPr>
                <w:rFonts w:ascii="Times New Roman" w:hAnsi="Times New Roman" w:cs="Times New Roman"/>
              </w:rPr>
            </w:pPr>
            <w:r w:rsidRPr="00AE1B2B">
              <w:rPr>
                <w:rFonts w:ascii="Times New Roman" w:hAnsi="Times New Roman" w:cs="Times New Roman"/>
              </w:rPr>
              <w:t>294</w:t>
            </w:r>
          </w:p>
        </w:tc>
      </w:tr>
      <w:tr w:rsidRPr="00AE1B2B" w:rsidR="009D3FB5" w:rsidTr="009D3FB5" w14:paraId="3B26C246" w14:textId="77777777">
        <w:trPr>
          <w:trHeight w:val="20"/>
        </w:trPr>
        <w:tc>
          <w:tcPr>
            <w:tcW w:w="1418"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6A8E4BC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San Ramón</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FFDC1D8"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 xml:space="preserve">Lunes, miércoles y jueves </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502704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12</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99A5AE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w:t>
            </w:r>
          </w:p>
        </w:tc>
        <w:tc>
          <w:tcPr>
            <w:tcW w:w="107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19DA37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69%</w:t>
            </w:r>
          </w:p>
        </w:tc>
        <w:tc>
          <w:tcPr>
            <w:tcW w:w="915"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795B0F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5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4B3340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c>
          <w:tcPr>
            <w:tcW w:w="85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9DE9AEC" w14:textId="77777777">
            <w:pPr>
              <w:spacing w:before="120" w:after="120"/>
              <w:jc w:val="center"/>
              <w:rPr>
                <w:rFonts w:ascii="Times New Roman" w:hAnsi="Times New Roman" w:cs="Times New Roman"/>
                <w:lang w:eastAsia="es-CR"/>
              </w:rPr>
            </w:pPr>
            <w:r w:rsidRPr="00AE1B2B">
              <w:rPr>
                <w:rFonts w:ascii="Times New Roman" w:hAnsi="Times New Roman" w:cs="Times New Roman"/>
              </w:rPr>
              <w:t>76%</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BEA2F0B" w14:textId="77777777">
            <w:pPr>
              <w:spacing w:before="120" w:after="120"/>
              <w:jc w:val="center"/>
              <w:rPr>
                <w:rFonts w:ascii="Times New Roman" w:hAnsi="Times New Roman" w:cs="Times New Roman"/>
              </w:rPr>
            </w:pPr>
            <w:r w:rsidRPr="00AE1B2B">
              <w:rPr>
                <w:rFonts w:ascii="Times New Roman" w:hAnsi="Times New Roman" w:cs="Times New Roman"/>
              </w:rPr>
              <w:t>08/03/2021</w:t>
            </w:r>
          </w:p>
        </w:tc>
        <w:tc>
          <w:tcPr>
            <w:tcW w:w="70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21B94A2" w14:textId="77777777">
            <w:pPr>
              <w:spacing w:before="120" w:after="120"/>
              <w:jc w:val="center"/>
              <w:rPr>
                <w:rFonts w:ascii="Times New Roman" w:hAnsi="Times New Roman" w:cs="Times New Roman"/>
              </w:rPr>
            </w:pPr>
            <w:r w:rsidRPr="00AE1B2B">
              <w:rPr>
                <w:rFonts w:ascii="Times New Roman" w:hAnsi="Times New Roman" w:cs="Times New Roman"/>
              </w:rPr>
              <w:t>53</w:t>
            </w:r>
          </w:p>
        </w:tc>
        <w:tc>
          <w:tcPr>
            <w:tcW w:w="99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721EA50" w14:textId="77777777">
            <w:pPr>
              <w:spacing w:before="120" w:after="120"/>
              <w:jc w:val="center"/>
              <w:rPr>
                <w:rFonts w:ascii="Times New Roman" w:hAnsi="Times New Roman" w:cs="Times New Roman"/>
              </w:rPr>
            </w:pPr>
            <w:r w:rsidRPr="00AE1B2B">
              <w:rPr>
                <w:rFonts w:ascii="Times New Roman" w:hAnsi="Times New Roman" w:cs="Times New Roman"/>
              </w:rPr>
              <w:t>34</w:t>
            </w:r>
          </w:p>
        </w:tc>
      </w:tr>
      <w:tr w:rsidRPr="00AE1B2B" w:rsidR="009D3FB5" w:rsidTr="009D3FB5" w14:paraId="106F0339" w14:textId="77777777">
        <w:trPr>
          <w:trHeight w:val="20"/>
        </w:trPr>
        <w:tc>
          <w:tcPr>
            <w:tcW w:w="1418"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58F7CEA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Alajuela</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5BF7A44"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Lunes, jueves y Viernes</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DC252E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12</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2F242D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w:t>
            </w:r>
          </w:p>
        </w:tc>
        <w:tc>
          <w:tcPr>
            <w:tcW w:w="107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2FB791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77%</w:t>
            </w:r>
          </w:p>
        </w:tc>
        <w:tc>
          <w:tcPr>
            <w:tcW w:w="915"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462382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5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711429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c>
          <w:tcPr>
            <w:tcW w:w="85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C33FEC3" w14:textId="77777777">
            <w:pPr>
              <w:spacing w:before="120" w:after="120"/>
              <w:jc w:val="center"/>
              <w:rPr>
                <w:rFonts w:ascii="Times New Roman" w:hAnsi="Times New Roman" w:cs="Times New Roman"/>
                <w:lang w:eastAsia="es-CR"/>
              </w:rPr>
            </w:pPr>
            <w:r w:rsidRPr="00AE1B2B">
              <w:rPr>
                <w:rFonts w:ascii="Times New Roman" w:hAnsi="Times New Roman" w:cs="Times New Roman"/>
              </w:rPr>
              <w:t>76%</w:t>
            </w:r>
          </w:p>
        </w:tc>
        <w:tc>
          <w:tcPr>
            <w:tcW w:w="1417"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1C12DE5" w14:textId="77777777">
            <w:pPr>
              <w:spacing w:before="120" w:after="120"/>
              <w:jc w:val="center"/>
              <w:rPr>
                <w:rFonts w:ascii="Times New Roman" w:hAnsi="Times New Roman" w:cs="Times New Roman"/>
              </w:rPr>
            </w:pPr>
            <w:r w:rsidRPr="00AE1B2B">
              <w:rPr>
                <w:rFonts w:ascii="Times New Roman" w:hAnsi="Times New Roman" w:cs="Times New Roman"/>
              </w:rPr>
              <w:t>16/02/2021</w:t>
            </w:r>
          </w:p>
        </w:tc>
        <w:tc>
          <w:tcPr>
            <w:tcW w:w="709"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B0A86BB" w14:textId="77777777">
            <w:pPr>
              <w:spacing w:before="120" w:after="120"/>
              <w:jc w:val="center"/>
              <w:rPr>
                <w:rFonts w:ascii="Times New Roman" w:hAnsi="Times New Roman" w:cs="Times New Roman"/>
              </w:rPr>
            </w:pPr>
            <w:r w:rsidRPr="00AE1B2B">
              <w:rPr>
                <w:rFonts w:ascii="Times New Roman" w:hAnsi="Times New Roman" w:cs="Times New Roman"/>
              </w:rPr>
              <w:t>47</w:t>
            </w:r>
          </w:p>
        </w:tc>
        <w:tc>
          <w:tcPr>
            <w:tcW w:w="992"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DDF73EC" w14:textId="77777777">
            <w:pPr>
              <w:spacing w:before="120" w:after="120"/>
              <w:jc w:val="center"/>
              <w:rPr>
                <w:rFonts w:ascii="Times New Roman" w:hAnsi="Times New Roman" w:cs="Times New Roman"/>
              </w:rPr>
            </w:pPr>
            <w:r w:rsidRPr="00AE1B2B">
              <w:rPr>
                <w:rFonts w:ascii="Times New Roman" w:hAnsi="Times New Roman" w:cs="Times New Roman"/>
              </w:rPr>
              <w:t>14</w:t>
            </w:r>
          </w:p>
        </w:tc>
      </w:tr>
      <w:tr w:rsidRPr="00AE1B2B" w:rsidR="009D3FB5" w:rsidTr="009D3FB5" w14:paraId="677DC463" w14:textId="77777777">
        <w:trPr>
          <w:trHeight w:val="20"/>
        </w:trPr>
        <w:tc>
          <w:tcPr>
            <w:tcW w:w="1418"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0DDB570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San Carlos</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2A79A84"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No tienen días establecidos, utilizan el vehículo cuando lo necesiten</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2DF790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233729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w:t>
            </w:r>
          </w:p>
        </w:tc>
        <w:tc>
          <w:tcPr>
            <w:tcW w:w="107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ABFCB4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100%</w:t>
            </w:r>
          </w:p>
        </w:tc>
        <w:tc>
          <w:tcPr>
            <w:tcW w:w="915"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AE6DE2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5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5E64DC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c>
          <w:tcPr>
            <w:tcW w:w="85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F426E36" w14:textId="77777777">
            <w:pPr>
              <w:spacing w:before="120" w:after="120"/>
              <w:jc w:val="center"/>
              <w:rPr>
                <w:rFonts w:ascii="Times New Roman" w:hAnsi="Times New Roman" w:cs="Times New Roman"/>
                <w:lang w:eastAsia="es-CR"/>
              </w:rPr>
            </w:pPr>
            <w:r w:rsidRPr="00AE1B2B">
              <w:rPr>
                <w:rFonts w:ascii="Times New Roman" w:hAnsi="Times New Roman" w:cs="Times New Roman"/>
              </w:rPr>
              <w:t>56%</w:t>
            </w:r>
          </w:p>
        </w:tc>
        <w:tc>
          <w:tcPr>
            <w:tcW w:w="1417"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528AD9F8" w14:textId="77777777">
            <w:pPr>
              <w:spacing w:before="120" w:after="120"/>
              <w:jc w:val="center"/>
              <w:rPr>
                <w:rFonts w:ascii="Times New Roman" w:hAnsi="Times New Roman" w:cs="Times New Roman"/>
              </w:rPr>
            </w:pPr>
            <w:r w:rsidRPr="00AE1B2B">
              <w:rPr>
                <w:rFonts w:ascii="Times New Roman" w:hAnsi="Times New Roman" w:cs="Times New Roman"/>
              </w:rPr>
              <w:t>17/06/2021</w:t>
            </w:r>
          </w:p>
        </w:tc>
        <w:tc>
          <w:tcPr>
            <w:tcW w:w="709"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33D8DC75" w14:textId="77777777">
            <w:pPr>
              <w:spacing w:before="120" w:after="120"/>
              <w:jc w:val="center"/>
              <w:rPr>
                <w:rFonts w:ascii="Times New Roman" w:hAnsi="Times New Roman" w:cs="Times New Roman"/>
              </w:rPr>
            </w:pPr>
            <w:r w:rsidRPr="00AE1B2B">
              <w:rPr>
                <w:rFonts w:ascii="Times New Roman" w:hAnsi="Times New Roman" w:cs="Times New Roman"/>
              </w:rPr>
              <w:t>149</w:t>
            </w:r>
          </w:p>
        </w:tc>
        <w:tc>
          <w:tcPr>
            <w:tcW w:w="992"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218E346C" w14:textId="77777777">
            <w:pPr>
              <w:spacing w:before="120" w:after="120"/>
              <w:jc w:val="center"/>
              <w:rPr>
                <w:rFonts w:ascii="Times New Roman" w:hAnsi="Times New Roman" w:cs="Times New Roman"/>
              </w:rPr>
            </w:pPr>
            <w:r w:rsidRPr="00AE1B2B">
              <w:rPr>
                <w:rFonts w:ascii="Times New Roman" w:hAnsi="Times New Roman" w:cs="Times New Roman"/>
              </w:rPr>
              <w:t>116</w:t>
            </w:r>
          </w:p>
        </w:tc>
      </w:tr>
      <w:tr w:rsidRPr="00AE1B2B" w:rsidR="009D3FB5" w:rsidTr="009D3FB5" w14:paraId="608F9381" w14:textId="77777777">
        <w:trPr>
          <w:trHeight w:val="20"/>
        </w:trPr>
        <w:tc>
          <w:tcPr>
            <w:tcW w:w="1418"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5EE3E9CC"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Santa Cruz</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88D1D29"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 xml:space="preserve">Utilizan el vehículo los jueves, cuando es solicitado por la Defensa </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8A496D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D3CAED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w:t>
            </w:r>
          </w:p>
        </w:tc>
        <w:tc>
          <w:tcPr>
            <w:tcW w:w="107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C0C796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111%</w:t>
            </w:r>
          </w:p>
        </w:tc>
        <w:tc>
          <w:tcPr>
            <w:tcW w:w="915"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59A0B3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5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1ADB3B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c>
          <w:tcPr>
            <w:tcW w:w="85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FD47927" w14:textId="77777777">
            <w:pPr>
              <w:spacing w:before="120" w:after="120"/>
              <w:jc w:val="center"/>
              <w:rPr>
                <w:rFonts w:ascii="Times New Roman" w:hAnsi="Times New Roman" w:cs="Times New Roman"/>
                <w:lang w:eastAsia="es-CR"/>
              </w:rPr>
            </w:pPr>
            <w:r w:rsidRPr="00AE1B2B">
              <w:rPr>
                <w:rFonts w:ascii="Times New Roman" w:hAnsi="Times New Roman" w:cs="Times New Roman"/>
              </w:rPr>
              <w:t>23%</w:t>
            </w:r>
          </w:p>
        </w:tc>
        <w:tc>
          <w:tcPr>
            <w:tcW w:w="1417"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2538A8CF" w14:textId="77777777">
            <w:pPr>
              <w:spacing w:before="120" w:after="120"/>
              <w:jc w:val="center"/>
              <w:rPr>
                <w:rFonts w:ascii="Times New Roman" w:hAnsi="Times New Roman" w:cs="Times New Roman"/>
              </w:rPr>
            </w:pPr>
            <w:r w:rsidRPr="00AE1B2B">
              <w:rPr>
                <w:rFonts w:ascii="Times New Roman" w:hAnsi="Times New Roman" w:cs="Times New Roman"/>
              </w:rPr>
              <w:t>20/05/2021</w:t>
            </w:r>
          </w:p>
        </w:tc>
        <w:tc>
          <w:tcPr>
            <w:tcW w:w="709"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09B0C64C" w14:textId="77777777">
            <w:pPr>
              <w:spacing w:before="120" w:after="120"/>
              <w:jc w:val="center"/>
              <w:rPr>
                <w:rFonts w:ascii="Times New Roman" w:hAnsi="Times New Roman" w:cs="Times New Roman"/>
              </w:rPr>
            </w:pPr>
            <w:r w:rsidRPr="00AE1B2B">
              <w:rPr>
                <w:rFonts w:ascii="Times New Roman" w:hAnsi="Times New Roman" w:cs="Times New Roman"/>
              </w:rPr>
              <w:t>122</w:t>
            </w:r>
          </w:p>
        </w:tc>
        <w:tc>
          <w:tcPr>
            <w:tcW w:w="992"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5DB414D2" w14:textId="77777777">
            <w:pPr>
              <w:spacing w:before="120" w:after="120"/>
              <w:jc w:val="center"/>
              <w:rPr>
                <w:rFonts w:ascii="Times New Roman" w:hAnsi="Times New Roman" w:cs="Times New Roman"/>
              </w:rPr>
            </w:pPr>
            <w:r w:rsidRPr="00AE1B2B">
              <w:rPr>
                <w:rFonts w:ascii="Times New Roman" w:hAnsi="Times New Roman" w:cs="Times New Roman"/>
              </w:rPr>
              <w:t>52</w:t>
            </w:r>
          </w:p>
        </w:tc>
      </w:tr>
      <w:tr w:rsidRPr="00AE1B2B" w:rsidR="009D3FB5" w:rsidTr="009D3FB5" w14:paraId="135C0D1F" w14:textId="77777777">
        <w:trPr>
          <w:trHeight w:val="20"/>
        </w:trPr>
        <w:tc>
          <w:tcPr>
            <w:tcW w:w="1418"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7F1AA62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lastRenderedPageBreak/>
              <w:t>Juzgado Agrario de Corredores</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C664F9D"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No tienen días establecidos, pueden utilizar el vehículo cuando lo necesiten.</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C08FB4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15</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F9D747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11</w:t>
            </w:r>
          </w:p>
        </w:tc>
        <w:tc>
          <w:tcPr>
            <w:tcW w:w="107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689DB9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78%</w:t>
            </w:r>
          </w:p>
        </w:tc>
        <w:tc>
          <w:tcPr>
            <w:tcW w:w="915"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1BADC7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5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8A8B78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c>
          <w:tcPr>
            <w:tcW w:w="85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B962211" w14:textId="77777777">
            <w:pPr>
              <w:spacing w:before="120" w:after="120"/>
              <w:jc w:val="center"/>
              <w:rPr>
                <w:rFonts w:ascii="Times New Roman" w:hAnsi="Times New Roman" w:cs="Times New Roman"/>
                <w:lang w:eastAsia="es-CR"/>
              </w:rPr>
            </w:pPr>
            <w:r w:rsidRPr="00AE1B2B">
              <w:rPr>
                <w:rFonts w:ascii="Times New Roman" w:hAnsi="Times New Roman" w:cs="Times New Roman"/>
              </w:rPr>
              <w:t>91%</w:t>
            </w:r>
          </w:p>
        </w:tc>
        <w:tc>
          <w:tcPr>
            <w:tcW w:w="1417"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09A5C676" w14:textId="77777777">
            <w:pPr>
              <w:spacing w:before="120" w:after="120"/>
              <w:jc w:val="center"/>
              <w:rPr>
                <w:rFonts w:ascii="Times New Roman" w:hAnsi="Times New Roman" w:cs="Times New Roman"/>
              </w:rPr>
            </w:pPr>
            <w:r w:rsidRPr="00AE1B2B">
              <w:rPr>
                <w:rFonts w:ascii="Times New Roman" w:hAnsi="Times New Roman" w:cs="Times New Roman"/>
              </w:rPr>
              <w:t>26/05/2021</w:t>
            </w:r>
          </w:p>
        </w:tc>
        <w:tc>
          <w:tcPr>
            <w:tcW w:w="709"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37BB6001" w14:textId="77777777">
            <w:pPr>
              <w:spacing w:before="120" w:after="120"/>
              <w:jc w:val="center"/>
              <w:rPr>
                <w:rFonts w:ascii="Times New Roman" w:hAnsi="Times New Roman" w:cs="Times New Roman"/>
              </w:rPr>
            </w:pPr>
            <w:r w:rsidRPr="00AE1B2B">
              <w:rPr>
                <w:rFonts w:ascii="Times New Roman" w:hAnsi="Times New Roman" w:cs="Times New Roman"/>
              </w:rPr>
              <w:t>124</w:t>
            </w:r>
          </w:p>
        </w:tc>
        <w:tc>
          <w:tcPr>
            <w:tcW w:w="992"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2A5ED69D" w14:textId="77777777">
            <w:pPr>
              <w:spacing w:before="120" w:after="120"/>
              <w:jc w:val="center"/>
              <w:rPr>
                <w:rFonts w:ascii="Times New Roman" w:hAnsi="Times New Roman" w:cs="Times New Roman"/>
              </w:rPr>
            </w:pPr>
            <w:r w:rsidRPr="00AE1B2B">
              <w:rPr>
                <w:rFonts w:ascii="Times New Roman" w:hAnsi="Times New Roman" w:cs="Times New Roman"/>
              </w:rPr>
              <w:t>64</w:t>
            </w:r>
          </w:p>
        </w:tc>
      </w:tr>
      <w:tr w:rsidRPr="00AE1B2B" w:rsidR="009D3FB5" w:rsidTr="009D3FB5" w14:paraId="4296114A" w14:textId="77777777">
        <w:trPr>
          <w:trHeight w:val="20"/>
        </w:trPr>
        <w:tc>
          <w:tcPr>
            <w:tcW w:w="1418"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4D7007B2"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Guápiles</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DE422A9"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Lunes, martes, miércoles y jueves</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41295E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80E411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w:t>
            </w:r>
          </w:p>
        </w:tc>
        <w:tc>
          <w:tcPr>
            <w:tcW w:w="107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5E5198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46%</w:t>
            </w:r>
          </w:p>
        </w:tc>
        <w:tc>
          <w:tcPr>
            <w:tcW w:w="915"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112278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5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082BF0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c>
          <w:tcPr>
            <w:tcW w:w="85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2E67138" w14:textId="77777777">
            <w:pPr>
              <w:spacing w:before="120" w:after="120"/>
              <w:jc w:val="center"/>
              <w:rPr>
                <w:rFonts w:ascii="Times New Roman" w:hAnsi="Times New Roman" w:cs="Times New Roman"/>
                <w:lang w:eastAsia="es-CR"/>
              </w:rPr>
            </w:pPr>
            <w:r w:rsidRPr="00AE1B2B">
              <w:rPr>
                <w:rFonts w:ascii="Times New Roman" w:hAnsi="Times New Roman" w:cs="Times New Roman"/>
              </w:rPr>
              <w:t>100%</w:t>
            </w:r>
          </w:p>
        </w:tc>
        <w:tc>
          <w:tcPr>
            <w:tcW w:w="1417"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7D9226E0" w14:textId="77777777">
            <w:pPr>
              <w:spacing w:before="120" w:after="120"/>
              <w:jc w:val="center"/>
              <w:rPr>
                <w:rFonts w:ascii="Times New Roman" w:hAnsi="Times New Roman" w:cs="Times New Roman"/>
              </w:rPr>
            </w:pPr>
            <w:r w:rsidRPr="00AE1B2B">
              <w:rPr>
                <w:rFonts w:ascii="Times New Roman" w:hAnsi="Times New Roman" w:cs="Times New Roman"/>
              </w:rPr>
              <w:t>27/03/2023</w:t>
            </w:r>
          </w:p>
        </w:tc>
        <w:tc>
          <w:tcPr>
            <w:tcW w:w="709"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6AEA6A67" w14:textId="77777777">
            <w:pPr>
              <w:spacing w:before="120" w:after="120"/>
              <w:jc w:val="center"/>
              <w:rPr>
                <w:rFonts w:ascii="Times New Roman" w:hAnsi="Times New Roman" w:cs="Times New Roman"/>
              </w:rPr>
            </w:pPr>
            <w:r w:rsidRPr="00AE1B2B">
              <w:rPr>
                <w:rFonts w:ascii="Times New Roman" w:hAnsi="Times New Roman" w:cs="Times New Roman"/>
              </w:rPr>
              <w:t>791</w:t>
            </w:r>
          </w:p>
        </w:tc>
        <w:tc>
          <w:tcPr>
            <w:tcW w:w="992"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3E00DFCA" w14:textId="77777777">
            <w:pPr>
              <w:spacing w:before="120" w:after="120"/>
              <w:jc w:val="center"/>
              <w:rPr>
                <w:rFonts w:ascii="Times New Roman" w:hAnsi="Times New Roman" w:cs="Times New Roman"/>
              </w:rPr>
            </w:pPr>
            <w:r w:rsidRPr="00AE1B2B">
              <w:rPr>
                <w:rFonts w:ascii="Times New Roman" w:hAnsi="Times New Roman" w:cs="Times New Roman"/>
              </w:rPr>
              <w:t>232</w:t>
            </w:r>
          </w:p>
        </w:tc>
      </w:tr>
      <w:tr w:rsidRPr="00AE1B2B" w:rsidR="009D3FB5" w:rsidTr="009D3FB5" w14:paraId="6C8CBF42" w14:textId="77777777">
        <w:trPr>
          <w:trHeight w:val="20"/>
        </w:trPr>
        <w:tc>
          <w:tcPr>
            <w:tcW w:w="1418"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1222139C"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Liberia</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0570557"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Lunes, martes, miércoles y jueves</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574A0E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7</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64D0CD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5</w:t>
            </w:r>
          </w:p>
        </w:tc>
        <w:tc>
          <w:tcPr>
            <w:tcW w:w="107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4F26EE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64%</w:t>
            </w:r>
          </w:p>
        </w:tc>
        <w:tc>
          <w:tcPr>
            <w:tcW w:w="915"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3960CE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5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E79EA7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c>
          <w:tcPr>
            <w:tcW w:w="85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62483F6" w14:textId="77777777">
            <w:pPr>
              <w:spacing w:before="120" w:after="120"/>
              <w:jc w:val="center"/>
              <w:rPr>
                <w:rFonts w:ascii="Times New Roman" w:hAnsi="Times New Roman" w:cs="Times New Roman"/>
                <w:lang w:eastAsia="es-CR"/>
              </w:rPr>
            </w:pPr>
            <w:r w:rsidRPr="00AE1B2B">
              <w:rPr>
                <w:rFonts w:ascii="Times New Roman" w:hAnsi="Times New Roman" w:cs="Times New Roman"/>
              </w:rPr>
              <w:t>45%</w:t>
            </w:r>
          </w:p>
        </w:tc>
        <w:tc>
          <w:tcPr>
            <w:tcW w:w="1417"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01E75F12" w14:textId="77777777">
            <w:pPr>
              <w:spacing w:before="120" w:after="120"/>
              <w:jc w:val="center"/>
              <w:rPr>
                <w:rFonts w:ascii="Times New Roman" w:hAnsi="Times New Roman" w:cs="Times New Roman"/>
              </w:rPr>
            </w:pPr>
            <w:r w:rsidRPr="00AE1B2B">
              <w:rPr>
                <w:rFonts w:ascii="Times New Roman" w:hAnsi="Times New Roman" w:cs="Times New Roman"/>
              </w:rPr>
              <w:t>24/03/2021</w:t>
            </w:r>
          </w:p>
        </w:tc>
        <w:tc>
          <w:tcPr>
            <w:tcW w:w="709"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2436DBD4" w14:textId="77777777">
            <w:pPr>
              <w:spacing w:before="120" w:after="120"/>
              <w:jc w:val="center"/>
              <w:rPr>
                <w:rFonts w:ascii="Times New Roman" w:hAnsi="Times New Roman" w:cs="Times New Roman"/>
              </w:rPr>
            </w:pPr>
            <w:r w:rsidRPr="00AE1B2B">
              <w:rPr>
                <w:rFonts w:ascii="Times New Roman" w:hAnsi="Times New Roman" w:cs="Times New Roman"/>
              </w:rPr>
              <w:t>89</w:t>
            </w:r>
          </w:p>
        </w:tc>
        <w:tc>
          <w:tcPr>
            <w:tcW w:w="992"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679C26E3" w14:textId="77777777">
            <w:pPr>
              <w:spacing w:before="120" w:after="120"/>
              <w:jc w:val="center"/>
              <w:rPr>
                <w:rFonts w:ascii="Times New Roman" w:hAnsi="Times New Roman" w:cs="Times New Roman"/>
              </w:rPr>
            </w:pPr>
            <w:r w:rsidRPr="00AE1B2B">
              <w:rPr>
                <w:rFonts w:ascii="Times New Roman" w:hAnsi="Times New Roman" w:cs="Times New Roman"/>
              </w:rPr>
              <w:t>55</w:t>
            </w:r>
          </w:p>
        </w:tc>
      </w:tr>
      <w:tr w:rsidRPr="00AE1B2B" w:rsidR="009D3FB5" w:rsidTr="009D3FB5" w14:paraId="049DC467" w14:textId="77777777">
        <w:trPr>
          <w:trHeight w:val="20"/>
        </w:trPr>
        <w:tc>
          <w:tcPr>
            <w:tcW w:w="1418"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6E923D49"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Puntarenas</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B461287"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Lunes, martes, miércoles y jueves</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A41AC5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47E7E9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w:t>
            </w:r>
          </w:p>
        </w:tc>
        <w:tc>
          <w:tcPr>
            <w:tcW w:w="107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3CA7A8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100%</w:t>
            </w:r>
          </w:p>
        </w:tc>
        <w:tc>
          <w:tcPr>
            <w:tcW w:w="915"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9CAB46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5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077B1D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c>
          <w:tcPr>
            <w:tcW w:w="85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AEDE6C3" w14:textId="77777777">
            <w:pPr>
              <w:spacing w:before="120" w:after="120"/>
              <w:jc w:val="center"/>
              <w:rPr>
                <w:rFonts w:ascii="Times New Roman" w:hAnsi="Times New Roman" w:cs="Times New Roman"/>
                <w:lang w:eastAsia="es-CR"/>
              </w:rPr>
            </w:pPr>
            <w:r w:rsidRPr="00AE1B2B">
              <w:rPr>
                <w:rFonts w:ascii="Times New Roman" w:hAnsi="Times New Roman" w:cs="Times New Roman"/>
              </w:rPr>
              <w:t>38%</w:t>
            </w:r>
          </w:p>
        </w:tc>
        <w:tc>
          <w:tcPr>
            <w:tcW w:w="1417"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33BA8B07" w14:textId="77777777">
            <w:pPr>
              <w:spacing w:before="120" w:after="120"/>
              <w:jc w:val="center"/>
              <w:rPr>
                <w:rFonts w:ascii="Times New Roman" w:hAnsi="Times New Roman" w:cs="Times New Roman"/>
              </w:rPr>
            </w:pPr>
            <w:r w:rsidRPr="00AE1B2B">
              <w:rPr>
                <w:rFonts w:ascii="Times New Roman" w:hAnsi="Times New Roman" w:cs="Times New Roman"/>
              </w:rPr>
              <w:t>22/06/2021</w:t>
            </w:r>
          </w:p>
        </w:tc>
        <w:tc>
          <w:tcPr>
            <w:tcW w:w="709"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16744A43" w14:textId="77777777">
            <w:pPr>
              <w:spacing w:before="120" w:after="120"/>
              <w:jc w:val="center"/>
              <w:rPr>
                <w:rFonts w:ascii="Times New Roman" w:hAnsi="Times New Roman" w:cs="Times New Roman"/>
              </w:rPr>
            </w:pPr>
            <w:r w:rsidRPr="00AE1B2B">
              <w:rPr>
                <w:rFonts w:ascii="Times New Roman" w:hAnsi="Times New Roman" w:cs="Times New Roman"/>
              </w:rPr>
              <w:t>154</w:t>
            </w:r>
          </w:p>
        </w:tc>
        <w:tc>
          <w:tcPr>
            <w:tcW w:w="992"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0651A118" w14:textId="77777777">
            <w:pPr>
              <w:spacing w:before="120" w:after="120"/>
              <w:jc w:val="center"/>
              <w:rPr>
                <w:rFonts w:ascii="Times New Roman" w:hAnsi="Times New Roman" w:cs="Times New Roman"/>
              </w:rPr>
            </w:pPr>
            <w:r w:rsidRPr="00AE1B2B">
              <w:rPr>
                <w:rFonts w:ascii="Times New Roman" w:hAnsi="Times New Roman" w:cs="Times New Roman"/>
              </w:rPr>
              <w:t>97</w:t>
            </w:r>
          </w:p>
        </w:tc>
      </w:tr>
      <w:tr w:rsidRPr="00AE1B2B" w:rsidR="009D3FB5" w:rsidTr="009D3FB5" w14:paraId="43B02EC8" w14:textId="77777777">
        <w:trPr>
          <w:trHeight w:val="20"/>
        </w:trPr>
        <w:tc>
          <w:tcPr>
            <w:tcW w:w="1418"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33845D1D"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del II C.J. San José</w:t>
            </w:r>
          </w:p>
        </w:tc>
        <w:tc>
          <w:tcPr>
            <w:tcW w:w="1418"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7F4F620"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Martes y viernes</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B932C9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9</w:t>
            </w:r>
          </w:p>
        </w:tc>
        <w:tc>
          <w:tcPr>
            <w:tcW w:w="1134"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822D6E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w:t>
            </w:r>
          </w:p>
        </w:tc>
        <w:tc>
          <w:tcPr>
            <w:tcW w:w="107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B9B364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83%</w:t>
            </w:r>
          </w:p>
        </w:tc>
        <w:tc>
          <w:tcPr>
            <w:tcW w:w="915"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C7E443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850"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30CE16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16</w:t>
            </w:r>
          </w:p>
        </w:tc>
        <w:tc>
          <w:tcPr>
            <w:tcW w:w="85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03109CF" w14:textId="77777777">
            <w:pPr>
              <w:spacing w:before="120" w:after="120"/>
              <w:jc w:val="center"/>
              <w:rPr>
                <w:rFonts w:ascii="Times New Roman" w:hAnsi="Times New Roman" w:cs="Times New Roman"/>
                <w:lang w:eastAsia="es-CR"/>
              </w:rPr>
            </w:pPr>
            <w:r w:rsidRPr="00AE1B2B">
              <w:rPr>
                <w:rFonts w:ascii="Times New Roman" w:hAnsi="Times New Roman" w:cs="Times New Roman"/>
              </w:rPr>
              <w:t>59%</w:t>
            </w:r>
          </w:p>
        </w:tc>
        <w:tc>
          <w:tcPr>
            <w:tcW w:w="1417"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545223AA" w14:textId="77777777">
            <w:pPr>
              <w:spacing w:before="120" w:after="120"/>
              <w:jc w:val="center"/>
              <w:rPr>
                <w:rFonts w:ascii="Times New Roman" w:hAnsi="Times New Roman" w:cs="Times New Roman"/>
              </w:rPr>
            </w:pPr>
            <w:r w:rsidRPr="00AE1B2B">
              <w:rPr>
                <w:rFonts w:ascii="Times New Roman" w:hAnsi="Times New Roman" w:cs="Times New Roman"/>
              </w:rPr>
              <w:t>06/04/2021</w:t>
            </w:r>
          </w:p>
        </w:tc>
        <w:tc>
          <w:tcPr>
            <w:tcW w:w="709"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6E2F05F3" w14:textId="77777777">
            <w:pPr>
              <w:spacing w:before="120" w:after="120"/>
              <w:jc w:val="center"/>
              <w:rPr>
                <w:rFonts w:ascii="Times New Roman" w:hAnsi="Times New Roman" w:cs="Times New Roman"/>
              </w:rPr>
            </w:pPr>
            <w:r w:rsidRPr="00AE1B2B">
              <w:rPr>
                <w:rFonts w:ascii="Times New Roman" w:hAnsi="Times New Roman" w:cs="Times New Roman"/>
              </w:rPr>
              <w:t>81</w:t>
            </w:r>
          </w:p>
        </w:tc>
        <w:tc>
          <w:tcPr>
            <w:tcW w:w="992" w:type="dxa"/>
            <w:tcBorders>
              <w:top w:val="nil"/>
              <w:left w:val="nil"/>
              <w:bottom w:val="double" w:color="1F497D" w:sz="6" w:space="0"/>
              <w:right w:val="double" w:color="1F497D" w:sz="6" w:space="0"/>
            </w:tcBorders>
            <w:shd w:val="clear" w:color="auto" w:fill="auto"/>
            <w:vAlign w:val="center"/>
          </w:tcPr>
          <w:p w:rsidRPr="00AE1B2B" w:rsidR="009D3FB5" w:rsidP="00163B94" w:rsidRDefault="009D3FB5" w14:paraId="1D042946" w14:textId="77777777">
            <w:pPr>
              <w:spacing w:before="120" w:after="120"/>
              <w:jc w:val="center"/>
              <w:rPr>
                <w:rFonts w:ascii="Times New Roman" w:hAnsi="Times New Roman" w:cs="Times New Roman"/>
              </w:rPr>
            </w:pPr>
            <w:r w:rsidRPr="00AE1B2B">
              <w:rPr>
                <w:rFonts w:ascii="Times New Roman" w:hAnsi="Times New Roman" w:cs="Times New Roman"/>
              </w:rPr>
              <w:t>36</w:t>
            </w:r>
          </w:p>
        </w:tc>
      </w:tr>
    </w:tbl>
    <w:p w:rsidRPr="00AE1B2B" w:rsidR="009D3FB5" w:rsidP="00163B94" w:rsidRDefault="009D3FB5" w14:paraId="58FF8C04" w14:textId="63402581">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Proyección Institucional, solicitud de información a las Administraciones Regionales de cada Circuito Judicial y matrices de Indicadores de Gestión a diciembre 2020.</w:t>
      </w:r>
      <w:r w:rsidRPr="00AE1B2B" w:rsidR="00BB7720">
        <w:rPr>
          <w:rFonts w:ascii="Times New Roman" w:hAnsi="Times New Roman" w:cs="Times New Roman"/>
          <w:b/>
          <w:i/>
          <w:sz w:val="26"/>
          <w:szCs w:val="26"/>
        </w:rPr>
        <w:t xml:space="preserve"> </w:t>
      </w:r>
    </w:p>
    <w:p w:rsidRPr="00AE1B2B" w:rsidR="009D3FB5" w:rsidP="00163B94" w:rsidRDefault="009D3FB5" w14:paraId="5EAB5BB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 acuerdo la información suministrada por las Administraciones Regionales, la mayoría de los Juzgados cuentan con días asignados en los cuales pueden hacer uso de vehículos. </w:t>
      </w:r>
    </w:p>
    <w:p w:rsidRPr="00AE1B2B" w:rsidR="009D3FB5" w:rsidP="00163B94" w:rsidRDefault="009D3FB5" w14:paraId="6EEAEC73"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Con respecto a lo acordado en sesión extraordinaria del Consejo Superior 47-19 artículo XXIII, donde se indica que se deben realizar ocho (8) audiencias fuera del Despacho por persona juzgadora, cada Despacho donde se tienen dos personas juzgadoras, </w:t>
      </w:r>
      <w:r w:rsidRPr="00AE1B2B">
        <w:rPr>
          <w:rFonts w:ascii="Times New Roman" w:hAnsi="Times New Roman" w:cs="Times New Roman"/>
          <w:sz w:val="26"/>
          <w:szCs w:val="26"/>
        </w:rPr>
        <w:lastRenderedPageBreak/>
        <w:t xml:space="preserve">en el mejor de los casos deben realizar 16 salidas a diligencias fuera de la oficina, lo que corresponde en que deben contar con vehículo 16 veces al mes, a diferencia de los Juzgados de naturaleza mixta y el Juzgado Agrario de Pérez Zeledón que es unipersonal. Importante acotar, cada persona juzgadora a parte de las ocho (8) señalamientos fuera del Despacho, también debe realizar 12 señalamientos dentro de la oficina, para un total de 20 señalamientos mensuales por persona juzgadora. </w:t>
      </w:r>
      <w:r w:rsidRPr="00AE1B2B">
        <w:rPr>
          <w:rFonts w:ascii="Times New Roman" w:hAnsi="Times New Roman" w:cs="Times New Roman"/>
          <w:i/>
          <w:iCs/>
          <w:sz w:val="26"/>
          <w:szCs w:val="26"/>
        </w:rPr>
        <w:t>(ver anexo 26 Recomendaciones de Auditoría Judicial 1284-213-AUO-2014)</w:t>
      </w:r>
    </w:p>
    <w:p w:rsidRPr="00AE1B2B" w:rsidR="009D3FB5" w:rsidP="00163B94" w:rsidRDefault="009D3FB5" w14:paraId="457DD79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caso del Juzgado de Cartago tienen asignado el vehículo todo el año los martes y viernes; y en el caso de contar con disponibilidad otros días únicamente sería posible si alguna otra oficina cancelara. De esta forma no sería posible el cumplimiento de la cantidad de salidas esperadas por persona juzgadora ya que prácticamente estarían saliendo el 50% de lo esperado, lo que se traduce a ocho (8) veces por mes (cuatro por Jueza o Juez). De ocho (8) solicitudes en promedio que realiza el Juzgado, se ejecutan cuatro (4) por la administración, según datos suministrados por la Administración Regional de Cartago, que según comentan, el Despacho cancela cuatro (4) solicitudes en promedio por mes. A diciembre del 2020 registra un total de 38 señalamientos a audiencia pendientes de realización con un plazo de 91 días (tres [3] meses), de las cuales se estima que 15 de ellas sean fuera del Despacho. Con la valoración actual, únicamente se está solicitando por parte del Despacho un 50% de los señalamientos esperados por el personal juzgador, aunque la Administración esté ejecutando hasta el 50% de lo solicitado, por lo que parte del problema de no aproximar el cumplimiento de la cuota son las cancelaciones y las solicitudes. Para que el Despacho pueda cumplir la cuota de ocho (8) audiencias fuera de la oficina, tienen que señalar las necesarias para su cumplimiento y no realizar cancelaciones, pero se cuenta con la limitante de transporte para una cuarta salida. </w:t>
      </w:r>
    </w:p>
    <w:p w:rsidRPr="00AE1B2B" w:rsidR="009D3FB5" w:rsidP="00163B94" w:rsidRDefault="009D3FB5" w14:paraId="07C561C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Pérez Zeledón al contar con un Despacho unipersonal, debe salir por mes ocho (8) veces fuera del Despacho, por lo que con la asignación actual se puede cumplir con lo esperado, ya que la Administración le asigna el vehículo los lunes y miércoles. De ocho (8) solicitudes en promedio que realiza el Juzgado, se ejecutan cuatro (4) por la administración, según datos suministrados por la Administración Regional de Pérez Zeledón, que según comentan, el Despacho cancela cuatro (4) solicitudes en promedio por mes. A diciembre del 2020 registra un total de 36 señalamientos a audiencia pendientes de realización con un plazo de 111 días (tres [3] meses </w:t>
      </w:r>
      <w:r w:rsidRPr="00AE1B2B">
        <w:rPr>
          <w:rFonts w:ascii="Times New Roman" w:hAnsi="Times New Roman" w:cs="Times New Roman"/>
          <w:sz w:val="26"/>
          <w:szCs w:val="26"/>
        </w:rPr>
        <w:lastRenderedPageBreak/>
        <w:t>aproximadamente ), de las cuales se estima que 14 de ellas sean fuera del Despacho. Con la valoración actual, se está solicitando un 100% de los señalamientos esperados por la persona juzgadora, aunque la Administración esté ejecutando únicamente el 50% de lo solicitado, por lo que parte del problema de no aproximar el cumplimiento de la cuota son las cancelaciones. Para que el Despacho pueda cumplir la cuota de ocho (8) audiencias fuera de la oficina, tienen que señalar las necesarias para su cumplimiento y no realizar cancelaciones, pero se cuenta con la limitante de transporte para una cuarta salida.</w:t>
      </w:r>
    </w:p>
    <w:p w:rsidRPr="00AE1B2B" w:rsidR="009D3FB5" w:rsidP="00163B94" w:rsidRDefault="009D3FB5" w14:paraId="3A45BF0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Juzgado Agrario de Limón no tiene problemas con la asignación de vehículos, ya que la Administración les da prioridad por ser juicios in situ, por lo que se les da un vehículo cada vez que lo requieran. </w:t>
      </w:r>
    </w:p>
    <w:p w:rsidRPr="00AE1B2B" w:rsidR="009D3FB5" w:rsidP="00163B94" w:rsidRDefault="009D3FB5" w14:paraId="20BF3DCD"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realiza un promedio de 18 solicitudes al mes de las cuales se hacen efectivas 10 en promedio por parte de la Administración, por lo que se ejecuta sólo el 58% de lo solicitado. Con esta valoración el Despacho está solicitando un 113% de lo esperado mensualmente. A diciembre del 2020, el Juzgado cuenta con 279 señalamientos a audiencia, con un plazo de 294 días (aproximadamente 10 meses), de las cuales se estima que 118 de ellas sean fuera del Despacho y que se pueden realizar en siete (7) meses aproximadamente si se cumple con salir 8 veces por semana cada persona jugadora (16 salidas entre las dos personas juzgadoras). La cantidad de 300 audiencias pendientes de realización no obedece a la falta de trasporte para la realización, si no a la cantidad de casos existentes en el Despacho por carga de trabajo. </w:t>
      </w:r>
    </w:p>
    <w:p w:rsidRPr="00AE1B2B" w:rsidR="009D3FB5" w:rsidP="00163B94" w:rsidRDefault="009D3FB5" w14:paraId="63B2A06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San Ramón a partir del 2020 se le está asignando al Juzgado Agrario el vehículo tres (3) veces por semana los lunes, miércoles y jueves. Cabe indicar que han existido problemas con la asignación del servicio por parte de la Administración, por el motivo de choques de agendas con la Defensa Pública y con la contraparte que es Puntarenas, por lo que en algunas ocasiones se complica. Que esta nueva asignación, se estaría cumpliendo con un 76% de lo esperado, siempre y cuando no exista algún tipo de eventualidad, lo que significa que únicamente entre las dos (2) personas juzgadoras estaría realizando 12 de 16 audiencias esperadas. De las 12 solicitudes de transporte que realiza el Despacho en promedio por mes. la Administración concede el vehículo en ocho (8) ocasiones, lo que significa que apenas se ejecuta el 69% de las solicitudes y un 76% de solicitudes esperadas en el mes, lo que equivale a una cuota y media mensual de una sola Jueza o Juez. A diciembre del 2020, el Juzgado cuenta con 34 señalamientos a audiencia con un plazo de 53 </w:t>
      </w:r>
      <w:r w:rsidRPr="00AE1B2B">
        <w:rPr>
          <w:rFonts w:ascii="Times New Roman" w:hAnsi="Times New Roman" w:cs="Times New Roman"/>
          <w:sz w:val="26"/>
          <w:szCs w:val="26"/>
        </w:rPr>
        <w:lastRenderedPageBreak/>
        <w:t>días, de las cuales se estima que 14 de ellas sean audiencias que se realizarán fuera del Despacho y que se podrían realizar cumpliendo la cuota en un (1) mes aproximadamente. Para que se pueda dar el cumplimiento de la cuota esperada, se debe salir mínimo cuatro (4) veces a la semana, lo cual actualmente como se indica en líneas anteriores, la administración solo puede suministrarles el transporte tres (3) por semana.</w:t>
      </w:r>
    </w:p>
    <w:p w:rsidRPr="00AE1B2B" w:rsidR="009D3FB5" w:rsidP="00163B94" w:rsidRDefault="009D3FB5" w14:paraId="56C0CC29" w14:textId="407622A3">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Mismo caso enfrenta el Juzgado Agrario de Alajuela, al contar con vehículo tres (3) veces por semana (12 audiencias fuera del Despacho) y no existe la posibilidad por parte de la Administración en darles otro día, ya que según indican cuentan con la agenda llena por la demanda de otras oficinas del circuito. Por parte del Despacho realiza un promedio de 12 solicitudes de vehículo al mes a la Administración, de los cuales únicamente se les asigna un promedio de nueve (9) ocasiones al mes, lo cual causa que la oficina no cumpla con lo mínimo esperado de diligencias fuera. No se está solicitando lo esperado por parte del Despacho por el motivo de contar con sólo tres (3) días por semana el vehículo, lo que produce un atraso en agenda y hasta incumplimientos en la justicia pronta y cumplida del usuario. Dicho lo anterior, el Juzgado está solicitando apenas el 76% de lo esperado. A diciembre del 2020 el Despacho cuenta con 14 señalamientos pendientes de audiencia con un plazo de agenda de 46 días (un [1] mes 16 días), de las cuales se estima que 6 de ellas sean fuera del Despacho (lo que se realiza prácticamente en menos de un [1] mes), por lo que se necesitaría el vehículo esa cantidad de veces para poder realizarse. De acuerdo con lo anterior, si se están solicitando la cantidad de días permitidos al Despacho conforme al estado actual de la agenda de la Administración, pero para poder cumplir con lo esperado, se necesita que se agende un (1) día más por semana por persona juzgadora para que sean las 16 salidas necesarias para el cumplimiento.</w:t>
      </w:r>
      <w:r w:rsidRPr="00AE1B2B" w:rsidR="00BB7720">
        <w:rPr>
          <w:rFonts w:ascii="Times New Roman" w:hAnsi="Times New Roman" w:cs="Times New Roman"/>
          <w:sz w:val="26"/>
          <w:szCs w:val="26"/>
        </w:rPr>
        <w:t xml:space="preserve"> </w:t>
      </w:r>
    </w:p>
    <w:p w:rsidRPr="00AE1B2B" w:rsidR="009D3FB5" w:rsidP="00163B94" w:rsidRDefault="009D3FB5" w14:paraId="3D652FF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El Juzgado Agrario de San Carlos cuenta con disponibilidad para utilizar el vehículo las veces que sean necesarias, ya que la Administración brinda el servicio porque según indican cuentan con cuatro vehículos a disposición de circuito. El Despacho realiza un promedio de nueve (9) solicitudes al mes de las cuales las mismas nueve (9) la Administración les ha cedido el vehículo. A diciembre del 2020 el Juzgado cuenta con 116 señalamientos pendientes de audiencia con un plazo de 149 días (cinco meses aproximadamente), de las cuales se estima que 46 de ellas sean fuera del Despacho que se podrían realizar prácticamente en tres (3) meses. Se está cumpliendo un 56% de lo esperado en cuanto a diligencias fuera del </w:t>
      </w:r>
      <w:r w:rsidRPr="00AE1B2B">
        <w:rPr>
          <w:rFonts w:ascii="Times New Roman" w:hAnsi="Times New Roman" w:cs="Times New Roman"/>
          <w:sz w:val="26"/>
          <w:szCs w:val="26"/>
        </w:rPr>
        <w:lastRenderedPageBreak/>
        <w:t>Despacho, lo cual hace indicar que no es cuestión de falta de transporte, sino más bien porque no se está agendando la cantidad correspondiente y por consiguiente no se solicita el vehículo la cantidad de días esperados.</w:t>
      </w:r>
    </w:p>
    <w:p w:rsidRPr="00AE1B2B" w:rsidR="009D3FB5" w:rsidP="00163B94" w:rsidRDefault="009D3FB5" w14:paraId="6DECEB5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Un dato interesante se registra en el Juzgado Agrario de Santa Cruz, ya que según indica la Administración Regional, que este Despacho no gestiona con frecuencia las solicitudes de transporte; las solicitudes relacionadas con la materia Agraria ingresan directamente de la Defensa Agraria; con el fin de coordinar y dar un mejor aprovechamiento al vehículo; se estableció de forma conjunta entre Administración y Defensa Agraria; los jueves para realización de las diligencias. Existe disposición por parte de la Administración en brindarle el servicio, pero debe ser gestionada por el Despacho. De acuerdo con los datos suministrados por la Administración Regional, la Defensa Pública gestiona en promedio por mes cuatro (4) veces el transporte de las cuales cuatro (4) se ejecutan por la Administración, lo cual haría indicar que solamente se está cumpliendo con un 23% de lo esperado por el personal juzgador. A diciembre de 2020 el Juzgado cuanta con 52 señalamientos a audiencia con un plazo de 122 días, de las cuales se estima que 21 de ellas son señalamientos fuera del Despacho que se pueden ejecutar si se cumpliera con la cuota en un (1) mes y una semana aproximadamente. Para que se cumpla con la cuota de señalamientos, el Despacho en conjunto con la Administración deben establecer los cuatro (4) días por semana que pueden hacer uso de las unidades. En el caso del Juzgado Agrario de Corredores, cuentan con vehículo las veces que sea necesario salir, pero la limitante es que no se cuenta con chofer. Existe la posibilidad que las personas juzgadoras conduzcan el vehículo, pero no se aceptan las responsabilidades que eso conlleva y el estado del camino pueden generar un riesgo en carretera. Realizan un promedio de 15 solicitudes al mes de las cuales 11 son ejecutadas por la Administración Regional, por lo que se está cumpliendo con el 91% de las solicitudes esperadas al mes por el personal juzgador. AA diciembre del 2020 existe un total de 64 audiencias pendientes de realización con un plazo de 124 días, de las cuales se estima que 26 de ellas sean fuera del Despacho que se podrían realizar prácticamente de dos (2) meses. Lo anterior hace indicar que el Despacho no tiene problemas de transporte, pero sí de trasportista.</w:t>
      </w:r>
    </w:p>
    <w:p w:rsidRPr="00AE1B2B" w:rsidR="009D3FB5" w:rsidP="00163B94" w:rsidRDefault="009D3FB5" w14:paraId="350E658B" w14:textId="2EBFAD22">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Con respecto al caso del Juzgado Agrario de Guápiles, existe servicio de trasporte los lunes, martes, miércoles y jueves por parte de la Administración, por lo que, manteniéndose esa asignación, se puede cumplir con la cantidad de diligencia mensuales de 16 </w:t>
      </w:r>
      <w:r w:rsidRPr="00AE1B2B">
        <w:rPr>
          <w:rFonts w:ascii="Times New Roman" w:hAnsi="Times New Roman" w:cs="Times New Roman"/>
          <w:sz w:val="26"/>
          <w:szCs w:val="26"/>
        </w:rPr>
        <w:lastRenderedPageBreak/>
        <w:t>audiencias fuera del Despacho por parte de las dos (2) personas juzgadoras.</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De acuerdo con los datos brindados, el Despacho ha realizado un promedio de 16 solicitudes al mes, la cuales son la cantidad esperada por el personal juzgador, de las cuales solo siete (7) se ejecutan por parte de la Administración. A diciembre del 2020 el Juzgado cuenta con 232 señalamientos a audiencia con un plazo de 791 días (26 meses aproximadamente), de las cuales se estima que 93 de ellas sean para realizar audiencias fuera de la oficina; y de cumplirse con la cuota esperada esa cantidad se puede finalizar en un periodo de seis (6) meses. Para poder cumplir con la cuota esperada, la Administración debe ajustarse con la cantidad de días concedidos para la utilización de trasporte, ya que el Despacho si cumple con la cantidad de solicitudes y la Administración no con la ejecución.</w:t>
      </w:r>
    </w:p>
    <w:p w:rsidRPr="00AE1B2B" w:rsidR="009D3FB5" w:rsidP="00163B94" w:rsidRDefault="009D3FB5" w14:paraId="045A4AA9"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Mismo caso se da en el Juzgado Agrario de Liberia, donde la Administración le asigna al Despacho el vehículo los lunes, martes, miércoles y jueves, por lo que también cumplen con la cuota esperada. En promedio el Despacho gestiona en promedio siete (7) veces el vehículo ante la Administración Regional, los cuales cinco (5) veces ejecutan dicha solicitud; es decir, el Juzgado está solicitando el vehículo lo casi lo esperado por una (1) persona juzgadora cuando tienen la libertad de solicitarlo las 16 veces al mes, por lo que se comprende que se solicita tan solo el 45% de lo esperado. A diciembre del 2020 el Juzgado cuenta con 55 señalamientos a audiencia con un plazo de 89 días (tres [3] mese), de la cuales se estima que 22 de ellas sean audiencias que se realizaran fuera de la oficina y que se pueden realizar en un plazo de un (1) mes y medio. Al estar realizando únicamente el 29% de las audiencias esperadas fuera del Despacho, no tiene que ver con problemas de transporte si no de la cantidad de casos que tienen por realizar fuera de la oficina. Se aproximaría el cumplimiento de la cuota si el Juzgado señala la cantidad de audiencias necesarias y realice la misma cantidad de gestiones ante la Administración, ya que según manifiestan, tienen la disponibilidad de ceder el transporte hasta cuatro (4) veces por semana (16 veces al mes). </w:t>
      </w:r>
    </w:p>
    <w:p w:rsidRPr="00AE1B2B" w:rsidR="009D3FB5" w:rsidP="00163B94" w:rsidRDefault="009D3FB5" w14:paraId="16EEDB9C" w14:textId="64EDC646">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Para el Juzgado Agrario de Puntarenas, se asigna vehículo lunes, martes, miércoles y jueves, pero con previa anticipación, sin embargo, la Administración en ocasiones tiene problemas con la disponibilidad del vehículo, ya que debe también contar con disponibilidad para otras oficinas. Cuando tienen problemas con la Administración salen con el carro de la Defensa Pública o cuando otra oficina cancela el vehículo lo asignan al Juzgado. El Juzgado realiza un promedio de seis (6) gestiones al mes de las cuales las </w:t>
      </w:r>
      <w:r w:rsidRPr="00AE1B2B">
        <w:rPr>
          <w:rFonts w:ascii="Times New Roman" w:hAnsi="Times New Roman" w:cs="Times New Roman"/>
          <w:sz w:val="26"/>
          <w:szCs w:val="26"/>
        </w:rPr>
        <w:lastRenderedPageBreak/>
        <w:t>mismas seis (6) son ejecutadas por la Administración, de lo cual se concluye que el Despacho únicamente solicita un 38% de lo esperado. A diciembre del 2020 el Juzgado cuenta con 97 señalamientos con un plazo de 154 días (5 meses aproximadamente) de las cuales se estima que 39 de ellas sean audiencias que se realizaran fuera de la oficina que se pueden realizar en tres (3) meses. Para el cumplimiento de la cantidad de señalamientos esperados, es necesario que se realicen la cantidad de solicitudes necesarias y que la Administración las ejecuta, sin embargo, se restringe la cantidad de unidades disponibles.</w:t>
      </w:r>
      <w:r w:rsidRPr="00AE1B2B" w:rsidR="00BB7720">
        <w:rPr>
          <w:rFonts w:ascii="Times New Roman" w:hAnsi="Times New Roman" w:cs="Times New Roman"/>
          <w:sz w:val="26"/>
          <w:szCs w:val="26"/>
        </w:rPr>
        <w:t xml:space="preserve"> </w:t>
      </w:r>
    </w:p>
    <w:p w:rsidRPr="00AE1B2B" w:rsidR="009D3FB5" w:rsidP="00163B94" w:rsidRDefault="009D3FB5" w14:paraId="646BBB93" w14:textId="6E48CF00">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Al respecto con el Juzgado Agrario de Goicoechea, únicamente tienen los martes y vienes asignados, ya que existe mucha demanda por parte de las demás oficinas del circuito, por lo que se ve limitado la asignación para otros días. De nueve (9) solicitudes en promedio que realiza el Despacho a la Administración, esta únicamente ejecuta ocho (8) de ellas, dato que concuerda con la limitante del circuito, por lo que se solicita un 59% de lo esperado. A diciembre del 2020 el Despacho cuenta con 36 señalamientos a audiencia con un plazo de 81 días el ultimo señalamiento, de los cuales se estima que 14 de ellos sean fuera de la oficia y se pueden realizar en un plazo menor a un (1) mes si se cumpliera con la cuota esperada. Se tiene la limitante para este Despacho el poder cumplir con lo esperado, ya como bien se indica en líneas anteriores, no existe la posibilidad de transporte más días a la semana.</w:t>
      </w:r>
      <w:r w:rsidRPr="00AE1B2B" w:rsidR="00BB7720">
        <w:rPr>
          <w:rFonts w:ascii="Times New Roman" w:hAnsi="Times New Roman" w:cs="Times New Roman"/>
          <w:sz w:val="26"/>
          <w:szCs w:val="26"/>
        </w:rPr>
        <w:t xml:space="preserve"> </w:t>
      </w:r>
    </w:p>
    <w:p w:rsidRPr="00AE1B2B" w:rsidR="009D3FB5" w:rsidP="00163B94" w:rsidRDefault="009D3FB5" w14:paraId="1407D05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cuento a los Juzgados de naturaleza mixta, la cantidad de señalamientos fuera del Despacho es menor, por lo que el Juzgado de Buenos Aires realiza prácticamente ocho (8) señalamientos al mes, por lo que la Administración les asigna los lunes el vehículo, pero lo conduce el propio Juez y el jueves con chofer. </w:t>
      </w:r>
    </w:p>
    <w:p w:rsidRPr="00AE1B2B" w:rsidR="009D3FB5" w:rsidP="00163B94" w:rsidRDefault="009D3FB5" w14:paraId="0ACF8C1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caso de Upala, utilizan el vehículo de la OCJ (Oficina de Comunicaciones Judiciales) los lunes y viernes, por lo que realizan en teoría ocho (8) señalamientos diarios. </w:t>
      </w:r>
    </w:p>
    <w:p w:rsidRPr="00AE1B2B" w:rsidR="009D3FB5" w:rsidP="00163B94" w:rsidRDefault="009D3FB5" w14:paraId="573D3D71"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caso de Turrialba, según indica la Administración Regional, en el 2019 le dotaron de un vehículo, pero sin chofer, por lo que todos los jueves tienen asignado un vehículo con chofer y el otro vehículo estaría disponible en el momento que sea requerido, pero en este caso debe ser conducido por el personal del Despacho. </w:t>
      </w:r>
    </w:p>
    <w:p w:rsidRPr="00AE1B2B" w:rsidR="009D3FB5" w:rsidP="00163B94" w:rsidRDefault="009D3FB5" w14:paraId="636B0D03" w14:textId="26357EC8">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Por lo anterior, se considera en el presente informe la propuesta de reforzar con vehículos con sus respectivos choferes, a las </w:t>
      </w:r>
      <w:r w:rsidRPr="00AE1B2B">
        <w:rPr>
          <w:rFonts w:ascii="Times New Roman" w:hAnsi="Times New Roman" w:cs="Times New Roman"/>
          <w:sz w:val="26"/>
          <w:szCs w:val="26"/>
          <w:u w:val="single"/>
        </w:rPr>
        <w:t xml:space="preserve">Administraciones Regionales de San Ramón, Cartago, Goicoechea, Alajuela y Puntarenas; y un chofer para la </w:t>
      </w:r>
      <w:r w:rsidRPr="00AE1B2B">
        <w:rPr>
          <w:rFonts w:ascii="Times New Roman" w:hAnsi="Times New Roman" w:cs="Times New Roman"/>
          <w:sz w:val="26"/>
          <w:szCs w:val="26"/>
          <w:u w:val="single"/>
        </w:rPr>
        <w:lastRenderedPageBreak/>
        <w:t>Administración Regional del Juzgado Agrario del Segundo Circuito Judicial de la Zona Sur, sede Corredores</w:t>
      </w:r>
      <w:r w:rsidRPr="00AE1B2B">
        <w:rPr>
          <w:rFonts w:ascii="Times New Roman" w:hAnsi="Times New Roman" w:cs="Times New Roman"/>
          <w:sz w:val="26"/>
          <w:szCs w:val="26"/>
        </w:rPr>
        <w:t>.</w:t>
      </w:r>
      <w:r w:rsidRPr="00AE1B2B" w:rsidR="00BB7720">
        <w:rPr>
          <w:rFonts w:ascii="Times New Roman" w:hAnsi="Times New Roman" w:cs="Times New Roman"/>
          <w:sz w:val="26"/>
          <w:szCs w:val="26"/>
        </w:rPr>
        <w:t xml:space="preserve"> </w:t>
      </w:r>
    </w:p>
    <w:p w:rsidRPr="00AE1B2B" w:rsidR="009D3FB5" w:rsidP="00163B94" w:rsidRDefault="009D3FB5" w14:paraId="1CDF1AB0" w14:textId="4F3752FD">
      <w:pPr>
        <w:spacing w:before="120" w:after="120"/>
        <w:ind w:left="851" w:right="851" w:firstLine="709"/>
        <w:jc w:val="both"/>
        <w:rPr>
          <w:rFonts w:ascii="Times New Roman" w:hAnsi="Times New Roman" w:cs="Times New Roman"/>
          <w:sz w:val="26"/>
          <w:szCs w:val="26"/>
          <w:highlight w:val="yellow"/>
        </w:rPr>
      </w:pPr>
      <w:r w:rsidRPr="00AE1B2B">
        <w:rPr>
          <w:rFonts w:ascii="Times New Roman" w:hAnsi="Times New Roman" w:cs="Times New Roman"/>
          <w:sz w:val="26"/>
          <w:szCs w:val="26"/>
        </w:rPr>
        <w:t>Importante acotar que, para que los Despachos puedan contar con el vehículo las cuatro (4) días por semana por juzgadora, deben realizar un cronograma anual y planificado; y presentarlo a las Administraciones Regionales para que las unidades sean agendas la cantidad de día requeridos.</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De acuerdo con las posibilidades de la administración y previniendo la necesidad se debe dar esta organización.</w:t>
      </w:r>
    </w:p>
    <w:p w:rsidRPr="00AE1B2B" w:rsidR="009D3FB5" w:rsidP="00163B94" w:rsidRDefault="009D3FB5" w14:paraId="360F894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Sin la dotación de estos vehículos no se tendría la capacidad operativa para brindar el servicio requerido por los Juzgados Agrarios, según la compilación de información respecto al servicio de transporte brindado a las funcionarias y los funcionarios que tramitan la materia Agraria en los circuitos judiciales.</w:t>
      </w:r>
    </w:p>
    <w:p w:rsidRPr="00AE1B2B" w:rsidR="009D3FB5" w:rsidP="00163B94" w:rsidRDefault="009D3FB5" w14:paraId="0D137E75"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Por otra parte, la Dirección Ejecutiva mediante oficio PJ-DGH-SAP-140-2020, incorporado en el anexo 39 (Oficio 693-PLA-RH-MI-2020 (Observaciones Emitidas)), manifiestan: </w:t>
      </w:r>
    </w:p>
    <w:p w:rsidRPr="00AE1B2B" w:rsidR="009D3FB5" w:rsidP="00163B94" w:rsidRDefault="009D3FB5" w14:paraId="3FE7116A"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“…Una vez valoradas las recomendaciones del informe, esta Dirección Ejecutiva considera que al no incluirse todos los vehículos solicitado en el oficio 581-DE-2020, el servicio que puede brindar las Administraciones Regionales de Turrialba, Pérez Zeledón y Limón, será limitado únicamente a los días y señalamientos establecidos en el informe 555-PLA-RH-MI-2021.</w:t>
      </w:r>
    </w:p>
    <w:p w:rsidRPr="00AE1B2B" w:rsidR="009D3FB5" w:rsidP="00163B94" w:rsidRDefault="009D3FB5" w14:paraId="1E93F13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Por lo que, un aumento a futuro de señalamientos en la materia Agraria, así como, un incremento en las solicitudes y diligencias propias del circuito afectará el análisis realizado de la demanda y por ende se verá disminuida la oferta de este servicio…”.</w:t>
      </w:r>
    </w:p>
    <w:p w:rsidRPr="00AE1B2B" w:rsidR="009D3FB5" w:rsidP="00163B94" w:rsidRDefault="009D3FB5" w14:paraId="2C999F6D"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1C85E746"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Como respuesta a esa observación se aclara que, si se diera un aumento de señalamientos fuera del Despacho, se debe programar para los días hábiles que tienen asignados los vehículos, ya que el personal juzgador tiene capacidad de atender únicamente ocho (8) audiencias fuera del Despacho. En el caso de contar con situaciones especiales, el Juzgado debe acordar con la Administración Regional la disposición de otro vehículo fuera de la programación de manera previa.</w:t>
      </w:r>
    </w:p>
    <w:p w:rsidRPr="00AE1B2B" w:rsidR="009D3FB5" w:rsidP="00163B94" w:rsidRDefault="009D3FB5" w14:paraId="580637A1" w14:textId="77777777">
      <w:pPr>
        <w:spacing w:before="120" w:after="120"/>
        <w:ind w:left="851" w:right="851" w:firstLine="709"/>
        <w:jc w:val="both"/>
        <w:rPr>
          <w:rFonts w:ascii="Times New Roman" w:hAnsi="Times New Roman" w:cs="Times New Roman"/>
          <w:sz w:val="26"/>
          <w:szCs w:val="26"/>
        </w:rPr>
      </w:pPr>
      <w:bookmarkStart w:name="_Toc68688578" w:id="310"/>
      <w:r w:rsidRPr="00AE1B2B">
        <w:rPr>
          <w:rFonts w:ascii="Times New Roman" w:hAnsi="Times New Roman" w:cs="Times New Roman"/>
          <w:sz w:val="26"/>
          <w:szCs w:val="26"/>
        </w:rPr>
        <w:t>Rediseño de Despachos previo a la entrada en vigencia del Código Procesal Agrario</w:t>
      </w:r>
      <w:bookmarkEnd w:id="310"/>
    </w:p>
    <w:p w:rsidRPr="00AE1B2B" w:rsidR="009D3FB5" w:rsidP="00163B94" w:rsidRDefault="009D3FB5" w14:paraId="0190F51B"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lastRenderedPageBreak/>
        <w:t>La Dirección de Planificación, como un actor más del Proyecto de Implementación del Código Procesal Agrario, aprobado por el Consejo Superior en sesión extraordinaria 110-18, celebrada el 19 de diciembre del 2018, realizó múltiples tareas relacionadas con réplicas de despachos modelo producto de los Rediseño de Procesos según Manual Metodológico del Rediseño de procesos (Circular 71-15) y que hoy son objeto de seguimiento por parte de los profesionales, en aras de la preparación y estabilización en circulantes de la Jurisdicción a Agraria para la preparación de la entrada en vigencia de esta Ley. Entre las actividades realizadas se encuentran:</w:t>
      </w:r>
    </w:p>
    <w:p w:rsidRPr="00AE1B2B" w:rsidR="009D3FB5" w:rsidP="00163B94" w:rsidRDefault="009D3FB5" w14:paraId="3117C994" w14:textId="77777777">
      <w:pPr>
        <w:pStyle w:val="Prrafodelista"/>
        <w:spacing w:before="120" w:after="120"/>
        <w:ind w:left="851" w:right="851" w:firstLine="709"/>
        <w:jc w:val="both"/>
        <w:rPr>
          <w:rFonts w:ascii="Times New Roman" w:hAnsi="Times New Roman" w:eastAsia="Arial Unicode MS" w:cs="Times New Roman"/>
          <w:b/>
          <w:spacing w:val="10"/>
          <w:sz w:val="26"/>
          <w:szCs w:val="26"/>
          <w:u w:color="000000"/>
          <w:lang w:eastAsia="ja-JP"/>
        </w:rPr>
      </w:pPr>
      <w:r w:rsidRPr="00AE1B2B">
        <w:rPr>
          <w:rFonts w:ascii="Times New Roman" w:hAnsi="Times New Roman" w:eastAsia="Arial Unicode MS" w:cs="Times New Roman"/>
          <w:b/>
          <w:spacing w:val="10"/>
          <w:sz w:val="26"/>
          <w:szCs w:val="26"/>
          <w:u w:color="000000"/>
          <w:lang w:eastAsia="ja-JP"/>
        </w:rPr>
        <w:t>a.</w:t>
      </w:r>
      <w:r w:rsidRPr="00AE1B2B">
        <w:rPr>
          <w:rFonts w:ascii="Times New Roman" w:hAnsi="Times New Roman" w:eastAsia="Arial Unicode MS" w:cs="Times New Roman"/>
          <w:b/>
          <w:spacing w:val="10"/>
          <w:sz w:val="26"/>
          <w:szCs w:val="26"/>
          <w:u w:color="000000"/>
          <w:lang w:eastAsia="ja-JP"/>
        </w:rPr>
        <w:tab/>
      </w:r>
      <w:r w:rsidRPr="00AE1B2B">
        <w:rPr>
          <w:rFonts w:ascii="Times New Roman" w:hAnsi="Times New Roman" w:eastAsia="Arial Unicode MS" w:cs="Times New Roman"/>
          <w:b/>
          <w:spacing w:val="10"/>
          <w:sz w:val="26"/>
          <w:szCs w:val="26"/>
          <w:u w:color="000000"/>
          <w:lang w:eastAsia="ja-JP"/>
        </w:rPr>
        <w:t>Abordaje de Despachos Agrarios</w:t>
      </w:r>
    </w:p>
    <w:p w:rsidRPr="00AE1B2B" w:rsidR="009D3FB5" w:rsidP="00163B94" w:rsidRDefault="009D3FB5" w14:paraId="789CF227"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 xml:space="preserve">Se realiza con la finalidad de replicar los Despachos Modelos, producto de los Rediseño de Procesos, en los cuales se analizan las funciones por puesto de trabajo, distribución de cargas de trabajo, la organización funcional y estructural del despacho, tiempos del dictado de sentencia, proveído de las personas técnicas judiciales; implementación del Modelo de Sostenibilidad que contiene la propuesta de Indicadores de Gestión, entre otras propuestas de solución. De esta actividad se tienen en proceso los informes técnicos correspondientes, que serán enviados en consulta a los despachos involucrados, con la finalidad de atender las consultas pertinentes y posteriormente ser enviados al Consejo Superior para su consideración. A la fecha se abordaron 12 juzgados </w:t>
      </w:r>
      <w:r w:rsidRPr="00AE1B2B">
        <w:rPr>
          <w:rFonts w:ascii="Times New Roman" w:hAnsi="Times New Roman" w:eastAsia="Arial Unicode MS" w:cs="Times New Roman"/>
          <w:sz w:val="26"/>
          <w:szCs w:val="26"/>
        </w:rPr>
        <w:t>y el Tribunal Agrario</w:t>
      </w:r>
      <w:r w:rsidRPr="00AE1B2B">
        <w:rPr>
          <w:rFonts w:ascii="Times New Roman" w:hAnsi="Times New Roman" w:cs="Times New Roman"/>
          <w:sz w:val="26"/>
          <w:szCs w:val="26"/>
          <w:lang w:val="es-ES"/>
        </w:rPr>
        <w:t>.</w:t>
      </w:r>
    </w:p>
    <w:p w:rsidRPr="00AE1B2B" w:rsidR="009D3FB5" w:rsidP="00163B94" w:rsidRDefault="009D3FB5" w14:paraId="3802C123" w14:textId="77777777">
      <w:pPr>
        <w:pStyle w:val="Prrafodelista"/>
        <w:spacing w:before="120" w:after="120"/>
        <w:ind w:left="851" w:right="851" w:firstLine="709"/>
        <w:jc w:val="both"/>
        <w:rPr>
          <w:rFonts w:ascii="Times New Roman" w:hAnsi="Times New Roman" w:eastAsia="Arial Unicode MS" w:cs="Times New Roman"/>
          <w:b/>
          <w:spacing w:val="10"/>
          <w:sz w:val="26"/>
          <w:szCs w:val="26"/>
          <w:u w:color="000000"/>
          <w:lang w:eastAsia="ja-JP"/>
        </w:rPr>
      </w:pPr>
      <w:r w:rsidRPr="00AE1B2B">
        <w:rPr>
          <w:rFonts w:ascii="Times New Roman" w:hAnsi="Times New Roman" w:eastAsia="Arial Unicode MS" w:cs="Times New Roman"/>
          <w:b/>
          <w:spacing w:val="10"/>
          <w:sz w:val="26"/>
          <w:szCs w:val="26"/>
          <w:u w:color="000000"/>
          <w:lang w:eastAsia="ja-JP"/>
        </w:rPr>
        <w:t>b.</w:t>
      </w:r>
      <w:r w:rsidRPr="00AE1B2B">
        <w:rPr>
          <w:rFonts w:ascii="Times New Roman" w:hAnsi="Times New Roman" w:eastAsia="Arial Unicode MS" w:cs="Times New Roman"/>
          <w:b/>
          <w:spacing w:val="10"/>
          <w:sz w:val="26"/>
          <w:szCs w:val="26"/>
          <w:u w:color="000000"/>
          <w:lang w:eastAsia="ja-JP"/>
        </w:rPr>
        <w:tab/>
      </w:r>
      <w:r w:rsidRPr="00AE1B2B">
        <w:rPr>
          <w:rFonts w:ascii="Times New Roman" w:hAnsi="Times New Roman" w:eastAsia="Arial Unicode MS" w:cs="Times New Roman"/>
          <w:b/>
          <w:spacing w:val="10"/>
          <w:sz w:val="26"/>
          <w:szCs w:val="26"/>
          <w:u w:color="000000"/>
          <w:lang w:eastAsia="ja-JP"/>
        </w:rPr>
        <w:t>Revisión y diseño de la Fórmula Estadística</w:t>
      </w:r>
    </w:p>
    <w:p w:rsidRPr="00AE1B2B" w:rsidR="009D3FB5" w:rsidP="00163B94" w:rsidRDefault="009D3FB5" w14:paraId="5CB81A6E"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Se realiza con la finalidad de que la herramienta contenga todas las variables necesarias para la toma de decisiones y en apego a la realidad estadística del despacho. Este ejercicio se realiza para la actual legislación y posteriormente se deben proveer los ajustes necesario una vez entrada en vigencia el Código Procesal Agrario.</w:t>
      </w:r>
    </w:p>
    <w:p w:rsidRPr="00AE1B2B" w:rsidR="009D3FB5" w:rsidP="00163B94" w:rsidRDefault="009D3FB5" w14:paraId="1DDAC913" w14:textId="77777777">
      <w:pPr>
        <w:spacing w:before="120" w:after="120"/>
        <w:ind w:left="851" w:right="851" w:firstLine="709"/>
        <w:jc w:val="both"/>
        <w:rPr>
          <w:rFonts w:ascii="Times New Roman" w:hAnsi="Times New Roman" w:cs="Times New Roman"/>
          <w:sz w:val="26"/>
          <w:szCs w:val="26"/>
          <w:lang w:val="es-ES"/>
        </w:rPr>
      </w:pPr>
    </w:p>
    <w:p w:rsidRPr="00AE1B2B" w:rsidR="009D3FB5" w:rsidP="00163B94" w:rsidRDefault="009D3FB5" w14:paraId="6D60B2F2" w14:textId="77777777">
      <w:pPr>
        <w:pStyle w:val="Prrafodelista"/>
        <w:spacing w:before="120" w:after="120"/>
        <w:ind w:left="851" w:right="851" w:firstLine="709"/>
        <w:jc w:val="both"/>
        <w:rPr>
          <w:rFonts w:ascii="Times New Roman" w:hAnsi="Times New Roman" w:eastAsia="Arial Unicode MS" w:cs="Times New Roman"/>
          <w:b/>
          <w:spacing w:val="10"/>
          <w:sz w:val="26"/>
          <w:szCs w:val="26"/>
          <w:u w:color="000000"/>
          <w:lang w:eastAsia="ja-JP"/>
        </w:rPr>
      </w:pPr>
      <w:r w:rsidRPr="00AE1B2B">
        <w:rPr>
          <w:rFonts w:ascii="Times New Roman" w:hAnsi="Times New Roman" w:eastAsia="Arial Unicode MS" w:cs="Times New Roman"/>
          <w:b/>
          <w:spacing w:val="10"/>
          <w:sz w:val="26"/>
          <w:szCs w:val="26"/>
          <w:u w:color="000000"/>
          <w:lang w:eastAsia="ja-JP"/>
        </w:rPr>
        <w:t>c.</w:t>
      </w:r>
      <w:r w:rsidRPr="00AE1B2B">
        <w:rPr>
          <w:rFonts w:ascii="Times New Roman" w:hAnsi="Times New Roman" w:eastAsia="Arial Unicode MS" w:cs="Times New Roman"/>
          <w:b/>
          <w:spacing w:val="10"/>
          <w:sz w:val="26"/>
          <w:szCs w:val="26"/>
          <w:u w:color="000000"/>
          <w:lang w:eastAsia="ja-JP"/>
        </w:rPr>
        <w:tab/>
      </w:r>
      <w:r w:rsidRPr="00AE1B2B">
        <w:rPr>
          <w:rFonts w:ascii="Times New Roman" w:hAnsi="Times New Roman" w:eastAsia="Arial Unicode MS" w:cs="Times New Roman"/>
          <w:b/>
          <w:spacing w:val="10"/>
          <w:sz w:val="26"/>
          <w:szCs w:val="26"/>
          <w:u w:color="000000"/>
          <w:lang w:eastAsia="ja-JP"/>
        </w:rPr>
        <w:t>Sesiones de trabajo con el Equipo Gestor</w:t>
      </w:r>
    </w:p>
    <w:p w:rsidRPr="00AE1B2B" w:rsidR="009D3FB5" w:rsidP="00163B94" w:rsidRDefault="009D3FB5" w14:paraId="31BDCDF9"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 xml:space="preserve">El Equipo Gestor conformado en su momento por la Jueza Vanessa Fisher González, el Juez Enrique Ulate Chacón, la Jueza Damaris Vargas Vásquez y el licenciado Frank Alvarez Hernández, se realizaron reuniones con la finalidad de realimentarlos en la metodología de trabajo para los Rediseños de Procesos, el Modelo de Sostenibilidad y el diseño de la propuesta de Indicadores de Gestión, en aras de identificar oportunidades de mejora que contengan tanto </w:t>
      </w:r>
      <w:r w:rsidRPr="00AE1B2B">
        <w:rPr>
          <w:rFonts w:ascii="Times New Roman" w:hAnsi="Times New Roman" w:cs="Times New Roman"/>
          <w:sz w:val="26"/>
          <w:szCs w:val="26"/>
          <w:lang w:val="es-ES"/>
        </w:rPr>
        <w:lastRenderedPageBreak/>
        <w:t>los criterios técnicos como los criterios jurídicos en apego a la realidad de la jurisdicción Agraria.</w:t>
      </w:r>
      <w:r w:rsidRPr="00AE1B2B">
        <w:rPr>
          <w:rFonts w:ascii="Times New Roman" w:hAnsi="Times New Roman" w:cs="Times New Roman"/>
          <w:sz w:val="26"/>
          <w:szCs w:val="26"/>
        </w:rPr>
        <w:t xml:space="preserve"> </w:t>
      </w:r>
      <w:r w:rsidRPr="00AE1B2B">
        <w:rPr>
          <w:rFonts w:ascii="Times New Roman" w:hAnsi="Times New Roman" w:cs="Times New Roman"/>
          <w:sz w:val="26"/>
          <w:szCs w:val="26"/>
          <w:lang w:val="es-ES"/>
        </w:rPr>
        <w:t>Es importante indicar que la agenda de estas sesiones de trabajo es:</w:t>
      </w:r>
    </w:p>
    <w:p w:rsidRPr="00AE1B2B" w:rsidR="009D3FB5" w:rsidP="00163B94" w:rsidRDefault="009D3FB5" w14:paraId="59939E33" w14:textId="77777777">
      <w:pPr>
        <w:pStyle w:val="Prrafodelista"/>
        <w:numPr>
          <w:ilvl w:val="0"/>
          <w:numId w:val="127"/>
        </w:numPr>
        <w:spacing w:before="120" w:after="120"/>
        <w:ind w:left="851" w:right="851" w:firstLine="709"/>
        <w:contextualSpacing/>
        <w:jc w:val="both"/>
        <w:rPr>
          <w:rFonts w:ascii="Times New Roman" w:hAnsi="Times New Roman" w:eastAsia="Arial Unicode MS" w:cs="Times New Roman"/>
          <w:i/>
          <w:sz w:val="26"/>
          <w:szCs w:val="26"/>
          <w:lang w:eastAsia="en-US"/>
        </w:rPr>
      </w:pPr>
      <w:r w:rsidRPr="00AE1B2B">
        <w:rPr>
          <w:rFonts w:ascii="Times New Roman" w:hAnsi="Times New Roman" w:eastAsia="Arial Unicode MS" w:cs="Times New Roman"/>
          <w:i/>
          <w:sz w:val="26"/>
          <w:szCs w:val="26"/>
        </w:rPr>
        <w:t xml:space="preserve">Reunión 1: </w:t>
      </w:r>
    </w:p>
    <w:p w:rsidRPr="00AE1B2B" w:rsidR="009D3FB5" w:rsidP="00163B94" w:rsidRDefault="009D3FB5" w14:paraId="0F28F514" w14:textId="77777777">
      <w:pPr>
        <w:pStyle w:val="Prrafodelista"/>
        <w:numPr>
          <w:ilvl w:val="0"/>
          <w:numId w:val="127"/>
        </w:numPr>
        <w:spacing w:before="120" w:after="120"/>
        <w:ind w:left="851" w:right="851" w:firstLine="709"/>
        <w:contextualSpacing/>
        <w:jc w:val="both"/>
        <w:rPr>
          <w:rFonts w:ascii="Times New Roman" w:hAnsi="Times New Roman" w:eastAsia="Arial Unicode MS" w:cs="Times New Roman"/>
          <w:sz w:val="26"/>
          <w:szCs w:val="26"/>
        </w:rPr>
      </w:pPr>
      <w:r w:rsidRPr="00AE1B2B">
        <w:rPr>
          <w:rFonts w:ascii="Times New Roman" w:hAnsi="Times New Roman" w:eastAsia="Arial Unicode MS" w:cs="Times New Roman"/>
          <w:sz w:val="26"/>
          <w:szCs w:val="26"/>
        </w:rPr>
        <w:t xml:space="preserve">Tema: Rediseño de Procesos y Modelo de Sostenibilidad. </w:t>
      </w:r>
    </w:p>
    <w:p w:rsidRPr="00AE1B2B" w:rsidR="009D3FB5" w:rsidP="00163B94" w:rsidRDefault="009D3FB5" w14:paraId="314EBEFB" w14:textId="77777777">
      <w:pPr>
        <w:pStyle w:val="Prrafodelista"/>
        <w:numPr>
          <w:ilvl w:val="0"/>
          <w:numId w:val="127"/>
        </w:numPr>
        <w:spacing w:before="120" w:after="120"/>
        <w:ind w:left="851" w:right="851" w:firstLine="709"/>
        <w:contextualSpacing/>
        <w:jc w:val="both"/>
        <w:rPr>
          <w:rFonts w:ascii="Times New Roman" w:hAnsi="Times New Roman" w:eastAsia="Arial Unicode MS" w:cs="Times New Roman"/>
          <w:i/>
          <w:sz w:val="26"/>
          <w:szCs w:val="26"/>
        </w:rPr>
      </w:pPr>
      <w:r w:rsidRPr="00AE1B2B">
        <w:rPr>
          <w:rFonts w:ascii="Times New Roman" w:hAnsi="Times New Roman" w:eastAsia="Arial Unicode MS" w:cs="Times New Roman"/>
          <w:i/>
          <w:sz w:val="26"/>
          <w:szCs w:val="26"/>
        </w:rPr>
        <w:t xml:space="preserve">Reunión 2: </w:t>
      </w:r>
    </w:p>
    <w:p w:rsidRPr="00AE1B2B" w:rsidR="009D3FB5" w:rsidP="00163B94" w:rsidRDefault="009D3FB5" w14:paraId="35017E4C" w14:textId="77777777">
      <w:pPr>
        <w:pStyle w:val="Prrafodelista"/>
        <w:numPr>
          <w:ilvl w:val="0"/>
          <w:numId w:val="127"/>
        </w:numPr>
        <w:spacing w:before="120" w:after="120"/>
        <w:ind w:left="851" w:right="851" w:firstLine="709"/>
        <w:contextualSpacing/>
        <w:jc w:val="both"/>
        <w:rPr>
          <w:rFonts w:ascii="Times New Roman" w:hAnsi="Times New Roman" w:eastAsia="Arial Unicode MS" w:cs="Times New Roman"/>
          <w:sz w:val="26"/>
          <w:szCs w:val="26"/>
        </w:rPr>
      </w:pPr>
      <w:r w:rsidRPr="00AE1B2B">
        <w:rPr>
          <w:rFonts w:ascii="Times New Roman" w:hAnsi="Times New Roman" w:eastAsia="Arial Unicode MS" w:cs="Times New Roman"/>
          <w:sz w:val="26"/>
          <w:szCs w:val="26"/>
        </w:rPr>
        <w:t>Tema: Diseño y Construcción de Indicadores de Gestión (Parte 1)</w:t>
      </w:r>
    </w:p>
    <w:p w:rsidRPr="00AE1B2B" w:rsidR="009D3FB5" w:rsidP="00163B94" w:rsidRDefault="009D3FB5" w14:paraId="1556FEA8" w14:textId="77777777">
      <w:pPr>
        <w:pStyle w:val="Prrafodelista"/>
        <w:numPr>
          <w:ilvl w:val="0"/>
          <w:numId w:val="127"/>
        </w:numPr>
        <w:spacing w:before="120" w:after="120"/>
        <w:ind w:left="851" w:right="851" w:firstLine="709"/>
        <w:contextualSpacing/>
        <w:jc w:val="both"/>
        <w:rPr>
          <w:rFonts w:ascii="Times New Roman" w:hAnsi="Times New Roman" w:eastAsia="Arial Unicode MS" w:cs="Times New Roman"/>
          <w:i/>
          <w:sz w:val="26"/>
          <w:szCs w:val="26"/>
        </w:rPr>
      </w:pPr>
      <w:r w:rsidRPr="00AE1B2B">
        <w:rPr>
          <w:rFonts w:ascii="Times New Roman" w:hAnsi="Times New Roman" w:eastAsia="Arial Unicode MS" w:cs="Times New Roman"/>
          <w:i/>
          <w:sz w:val="26"/>
          <w:szCs w:val="26"/>
        </w:rPr>
        <w:t xml:space="preserve">Reunión 3: </w:t>
      </w:r>
    </w:p>
    <w:p w:rsidRPr="00AE1B2B" w:rsidR="009D3FB5" w:rsidP="00163B94" w:rsidRDefault="009D3FB5" w14:paraId="45742CBA" w14:textId="77777777">
      <w:pPr>
        <w:pStyle w:val="Prrafodelista"/>
        <w:numPr>
          <w:ilvl w:val="0"/>
          <w:numId w:val="127"/>
        </w:numPr>
        <w:spacing w:before="120" w:after="120"/>
        <w:ind w:left="851" w:right="851" w:firstLine="709"/>
        <w:contextualSpacing/>
        <w:jc w:val="both"/>
        <w:rPr>
          <w:rFonts w:ascii="Times New Roman" w:hAnsi="Times New Roman" w:eastAsia="Arial Unicode MS" w:cs="Times New Roman"/>
          <w:sz w:val="26"/>
          <w:szCs w:val="26"/>
        </w:rPr>
      </w:pPr>
      <w:r w:rsidRPr="00AE1B2B">
        <w:rPr>
          <w:rFonts w:ascii="Times New Roman" w:hAnsi="Times New Roman" w:eastAsia="Arial Unicode MS" w:cs="Times New Roman"/>
          <w:sz w:val="26"/>
          <w:szCs w:val="26"/>
        </w:rPr>
        <w:t>Tema: Diseño y Construcción de Indicadores de Gestión (Parte 2)</w:t>
      </w:r>
    </w:p>
    <w:p w:rsidRPr="00AE1B2B" w:rsidR="009D3FB5" w:rsidP="00163B94" w:rsidRDefault="009D3FB5" w14:paraId="14E4B02B" w14:textId="77777777">
      <w:pPr>
        <w:pStyle w:val="Prrafodelista"/>
        <w:numPr>
          <w:ilvl w:val="0"/>
          <w:numId w:val="127"/>
        </w:numPr>
        <w:spacing w:before="120" w:after="120"/>
        <w:ind w:left="851" w:right="851" w:firstLine="709"/>
        <w:contextualSpacing/>
        <w:jc w:val="both"/>
        <w:rPr>
          <w:rFonts w:ascii="Times New Roman" w:hAnsi="Times New Roman" w:eastAsia="Arial Unicode MS" w:cs="Times New Roman"/>
          <w:i/>
          <w:sz w:val="26"/>
          <w:szCs w:val="26"/>
        </w:rPr>
      </w:pPr>
      <w:r w:rsidRPr="00AE1B2B">
        <w:rPr>
          <w:rFonts w:ascii="Times New Roman" w:hAnsi="Times New Roman" w:eastAsia="Arial Unicode MS" w:cs="Times New Roman"/>
          <w:i/>
          <w:sz w:val="26"/>
          <w:szCs w:val="26"/>
        </w:rPr>
        <w:t xml:space="preserve">Reunión 4: </w:t>
      </w:r>
    </w:p>
    <w:p w:rsidRPr="00AE1B2B" w:rsidR="009D3FB5" w:rsidP="00163B94" w:rsidRDefault="009D3FB5" w14:paraId="244717DF" w14:textId="77777777">
      <w:pPr>
        <w:pStyle w:val="Prrafodelista"/>
        <w:numPr>
          <w:ilvl w:val="0"/>
          <w:numId w:val="127"/>
        </w:numPr>
        <w:spacing w:before="120" w:after="120"/>
        <w:ind w:left="851" w:right="851" w:firstLine="709"/>
        <w:contextualSpacing/>
        <w:jc w:val="both"/>
        <w:rPr>
          <w:rFonts w:ascii="Times New Roman" w:hAnsi="Times New Roman" w:eastAsia="Arial Unicode MS" w:cs="Times New Roman"/>
          <w:sz w:val="26"/>
          <w:szCs w:val="26"/>
        </w:rPr>
      </w:pPr>
      <w:r w:rsidRPr="00AE1B2B">
        <w:rPr>
          <w:rFonts w:ascii="Times New Roman" w:hAnsi="Times New Roman" w:eastAsia="Arial Unicode MS" w:cs="Times New Roman"/>
          <w:sz w:val="26"/>
          <w:szCs w:val="26"/>
        </w:rPr>
        <w:t>Se propone: Atención de consultas</w:t>
      </w:r>
    </w:p>
    <w:p w:rsidRPr="00AE1B2B" w:rsidR="009D3FB5" w:rsidP="00163B94" w:rsidRDefault="009D3FB5" w14:paraId="566B8CF8" w14:textId="77777777">
      <w:pPr>
        <w:pStyle w:val="Prrafodelista"/>
        <w:numPr>
          <w:ilvl w:val="0"/>
          <w:numId w:val="127"/>
        </w:numPr>
        <w:spacing w:before="120" w:after="120"/>
        <w:ind w:left="851" w:right="851" w:firstLine="709"/>
        <w:contextualSpacing/>
        <w:jc w:val="both"/>
        <w:rPr>
          <w:rFonts w:ascii="Times New Roman" w:hAnsi="Times New Roman" w:eastAsia="Arial Unicode MS" w:cs="Times New Roman"/>
          <w:i/>
          <w:sz w:val="26"/>
          <w:szCs w:val="26"/>
        </w:rPr>
      </w:pPr>
      <w:r w:rsidRPr="00AE1B2B">
        <w:rPr>
          <w:rFonts w:ascii="Times New Roman" w:hAnsi="Times New Roman" w:eastAsia="Arial Unicode MS" w:cs="Times New Roman"/>
          <w:i/>
          <w:sz w:val="26"/>
          <w:szCs w:val="26"/>
        </w:rPr>
        <w:t>Reunión 5:</w:t>
      </w:r>
    </w:p>
    <w:p w:rsidRPr="00AE1B2B" w:rsidR="009D3FB5" w:rsidP="00163B94" w:rsidRDefault="009D3FB5" w14:paraId="770BE074" w14:textId="77777777">
      <w:pPr>
        <w:pStyle w:val="Prrafodelista"/>
        <w:numPr>
          <w:ilvl w:val="0"/>
          <w:numId w:val="127"/>
        </w:numPr>
        <w:spacing w:before="120" w:after="120"/>
        <w:ind w:left="851" w:right="851" w:firstLine="709"/>
        <w:contextualSpacing/>
        <w:jc w:val="both"/>
        <w:rPr>
          <w:rFonts w:ascii="Times New Roman" w:hAnsi="Times New Roman" w:eastAsia="Arial Unicode MS" w:cs="Times New Roman"/>
          <w:sz w:val="26"/>
          <w:szCs w:val="26"/>
        </w:rPr>
      </w:pPr>
      <w:r w:rsidRPr="00AE1B2B">
        <w:rPr>
          <w:rFonts w:ascii="Times New Roman" w:hAnsi="Times New Roman" w:eastAsia="Arial Unicode MS" w:cs="Times New Roman"/>
          <w:sz w:val="26"/>
          <w:szCs w:val="26"/>
        </w:rPr>
        <w:t>Taller para la definición de la Fórmula Estadística actual (Subproceso de Estadística)</w:t>
      </w:r>
    </w:p>
    <w:p w:rsidRPr="00AE1B2B" w:rsidR="009D3FB5" w:rsidP="00163B94" w:rsidRDefault="009D3FB5" w14:paraId="1DAEC498" w14:textId="3E4947A1">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Lo anterior, en cumplimiento a lo dispuesto por Corte Plena en la sesión 25-2019, del 24 de junio, artículo XV.</w:t>
      </w:r>
      <w:r w:rsidRPr="00AE1B2B" w:rsidR="00BB7720">
        <w:rPr>
          <w:rFonts w:ascii="Times New Roman" w:hAnsi="Times New Roman" w:cs="Times New Roman"/>
          <w:sz w:val="26"/>
          <w:szCs w:val="26"/>
          <w:lang w:val="es-ES"/>
        </w:rPr>
        <w:t xml:space="preserve"> </w:t>
      </w:r>
    </w:p>
    <w:p w:rsidRPr="00AE1B2B" w:rsidR="009D3FB5" w:rsidP="00163B94" w:rsidRDefault="009D3FB5" w14:paraId="54B8B7D6" w14:textId="6CC64E23">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Adicionalmente, es importante indicar que parte del seguimiento que brindan los profesionales de la Dirección de Planificación durante los abordajes de réplica de los Despachos modelos producto de los Rediseños de Procesos, se tiene la tarea de seguimiento; en donde se realimenta a los Despachos involucrados sobre el diagnóstico realizado, el diseño de propuestas elaboradas, la implementación de las mismas, así como todas aquellas propuestas que nacen a través de la implementación del Modelo de Sostenibilidad (Mejora Continua),</w:t>
      </w:r>
      <w:r w:rsidRPr="00AE1B2B" w:rsidR="00BB7720">
        <w:rPr>
          <w:rFonts w:ascii="Times New Roman" w:hAnsi="Times New Roman" w:cs="Times New Roman"/>
          <w:sz w:val="26"/>
          <w:szCs w:val="26"/>
          <w:lang w:val="es-ES"/>
        </w:rPr>
        <w:t xml:space="preserve"> </w:t>
      </w:r>
      <w:r w:rsidRPr="00AE1B2B">
        <w:rPr>
          <w:rFonts w:ascii="Times New Roman" w:hAnsi="Times New Roman" w:cs="Times New Roman"/>
          <w:sz w:val="26"/>
          <w:szCs w:val="26"/>
          <w:lang w:val="es-ES"/>
        </w:rPr>
        <w:t>donde se toman en consideración las observaciones de fondo, forma, consulta, aclaración, adiciones, entre otro tipo de información; de forma que se logre la comunicación asertiva del proyecto y en cumplimiento con el alcance de los acuerdos indicados anteriormente.</w:t>
      </w:r>
    </w:p>
    <w:p w:rsidRPr="00AE1B2B" w:rsidR="009D3FB5" w:rsidP="00163B94" w:rsidRDefault="009D3FB5" w14:paraId="4D71648F"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Por otro lado, se realizó un plan piloto en la materia Agraria para el diseño de “hoja resumen de Indicadores de Gestión”, en el reporte mensual de los Juzgados Agrarios en SIGMA, que concentrará la mayoría de la información necesaria para la alimentación de los Indicadores de Gestión, con la finalidad de facilitar la generación de la información por parte de los Despachos y reducir las posibilidades del error humano.</w:t>
      </w:r>
    </w:p>
    <w:p w:rsidRPr="00AE1B2B" w:rsidR="009D3FB5" w:rsidP="00163B94" w:rsidRDefault="009D3FB5" w14:paraId="122B974C"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 xml:space="preserve">Con el seguimiento de la implementación de los Indicadores de Gestión y el Modelo de Sostenibilidad; por medio del equipo de </w:t>
      </w:r>
      <w:r w:rsidRPr="00AE1B2B">
        <w:rPr>
          <w:rFonts w:ascii="Times New Roman" w:hAnsi="Times New Roman" w:cs="Times New Roman"/>
          <w:sz w:val="26"/>
          <w:szCs w:val="26"/>
          <w:lang w:val="es-ES"/>
        </w:rPr>
        <w:lastRenderedPageBreak/>
        <w:t>profesionales de la Subproceso de Modernización Institucional de la Dirección de Planificación, se brinda seguimiento mes a mes a los Despachos, de forma que se logre la realimentación hacia los juzgados, para fortalecer las habilidades y conocimientos en el personal que lo conforman, en la aplicación de las herramientas de control parte de este Modelo de Sostenibilidad, en beneficio de la autogestión de cada Despacho.</w:t>
      </w:r>
    </w:p>
    <w:p w:rsidRPr="00AE1B2B" w:rsidR="009D3FB5" w:rsidP="00163B94" w:rsidRDefault="009D3FB5" w14:paraId="2D57EDD1"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En esta etapa de seguimiento de la implementación del Modelo de Sostenibilidad y de la propuesta de Indicadores de Gestión, se detecta la necesidad imperante de realizar trabajo de campo nuevamente en los despachos, con la finalidad de promover un acercamiento con los Equipos de Mejora, de forma que se logren atender las oportunidades de mejora, así como solventar dudas que surgieron a lo largo del proceso de implementación, en caso de que sea requerido. Las actividades realizadas durante las visitas a los Juzgados especializados fueron :</w:t>
      </w:r>
    </w:p>
    <w:p w:rsidRPr="00AE1B2B" w:rsidR="009D3FB5" w:rsidP="00163B94" w:rsidRDefault="009D3FB5" w14:paraId="214B2F0A" w14:textId="77777777">
      <w:pPr>
        <w:pStyle w:val="Prrafodelista"/>
        <w:numPr>
          <w:ilvl w:val="0"/>
          <w:numId w:val="128"/>
        </w:numPr>
        <w:spacing w:before="120" w:after="120"/>
        <w:ind w:left="851" w:right="851" w:firstLine="709"/>
        <w:jc w:val="both"/>
        <w:rPr>
          <w:rFonts w:ascii="Times New Roman" w:hAnsi="Times New Roman" w:eastAsia="Arial Unicode MS" w:cs="Times New Roman"/>
          <w:sz w:val="26"/>
          <w:szCs w:val="26"/>
          <w:lang w:eastAsia="en-US"/>
        </w:rPr>
      </w:pPr>
      <w:r w:rsidRPr="00AE1B2B">
        <w:rPr>
          <w:rFonts w:ascii="Times New Roman" w:hAnsi="Times New Roman" w:eastAsia="Arial Unicode MS" w:cs="Times New Roman"/>
          <w:sz w:val="26"/>
          <w:szCs w:val="26"/>
        </w:rPr>
        <w:t>Retroalimentación al Equipo de trabajo de del Modelo de Sostenibilidad de forma detallada, logrando ampliar así el conocimiento y subsanar dudas. Para esta actividad se realizará una presentación.</w:t>
      </w:r>
    </w:p>
    <w:p w:rsidRPr="00AE1B2B" w:rsidR="009D3FB5" w:rsidP="00163B94" w:rsidRDefault="009D3FB5" w14:paraId="5C584A61" w14:textId="77777777">
      <w:pPr>
        <w:pStyle w:val="Prrafodelista"/>
        <w:numPr>
          <w:ilvl w:val="0"/>
          <w:numId w:val="128"/>
        </w:numPr>
        <w:spacing w:before="120" w:after="120"/>
        <w:ind w:left="851" w:right="851" w:firstLine="709"/>
        <w:jc w:val="both"/>
        <w:rPr>
          <w:rFonts w:ascii="Times New Roman" w:hAnsi="Times New Roman" w:eastAsia="Arial Unicode MS" w:cs="Times New Roman"/>
          <w:sz w:val="26"/>
          <w:szCs w:val="26"/>
        </w:rPr>
      </w:pPr>
      <w:r w:rsidRPr="00AE1B2B">
        <w:rPr>
          <w:rFonts w:ascii="Times New Roman" w:hAnsi="Times New Roman" w:eastAsia="Arial Unicode MS" w:cs="Times New Roman"/>
          <w:sz w:val="26"/>
          <w:szCs w:val="26"/>
        </w:rPr>
        <w:t xml:space="preserve">Retroalimentar al despacho con las oportunidades de mejora detectas de las revisiones que realizan el equipo de la Dirección de Planificación a los indicadores mensuales, minutas de equipo de mejora y planes remediales mes a mes, así como solventar dudas que presente el equipo del Despacho. </w:t>
      </w:r>
    </w:p>
    <w:p w:rsidRPr="00AE1B2B" w:rsidR="009D3FB5" w:rsidP="00163B94" w:rsidRDefault="009D3FB5" w14:paraId="422A4A79" w14:textId="23CCF578">
      <w:pPr>
        <w:pStyle w:val="Prrafodelista"/>
        <w:numPr>
          <w:ilvl w:val="0"/>
          <w:numId w:val="128"/>
        </w:numPr>
        <w:spacing w:before="120" w:after="120"/>
        <w:ind w:left="851" w:right="851" w:firstLine="709"/>
        <w:jc w:val="both"/>
        <w:rPr>
          <w:rFonts w:ascii="Times New Roman" w:hAnsi="Times New Roman" w:eastAsia="Arial Unicode MS" w:cs="Times New Roman"/>
          <w:sz w:val="26"/>
          <w:szCs w:val="26"/>
        </w:rPr>
      </w:pPr>
      <w:r w:rsidRPr="00AE1B2B">
        <w:rPr>
          <w:rFonts w:ascii="Times New Roman" w:hAnsi="Times New Roman" w:eastAsia="Arial Unicode MS" w:cs="Times New Roman"/>
          <w:sz w:val="26"/>
          <w:szCs w:val="26"/>
        </w:rPr>
        <w:t>Realizar un seguimiento de las propuestas de solución que se trabajaron con el Despacho, con lo cual, en los casos que corresponda, se podrán identificar el nivel de implementación, así como las dificultadas vividas durante su implementación.</w:t>
      </w:r>
      <w:r w:rsidRPr="00AE1B2B" w:rsidR="00BB7720">
        <w:rPr>
          <w:rFonts w:ascii="Times New Roman" w:hAnsi="Times New Roman" w:eastAsia="Arial Unicode MS" w:cs="Times New Roman"/>
          <w:sz w:val="26"/>
          <w:szCs w:val="26"/>
        </w:rPr>
        <w:t xml:space="preserve"> </w:t>
      </w:r>
    </w:p>
    <w:p w:rsidRPr="00AE1B2B" w:rsidR="009D3FB5" w:rsidP="00163B94" w:rsidRDefault="009D3FB5" w14:paraId="6B77D8A0" w14:textId="3EED66D1">
      <w:pPr>
        <w:pStyle w:val="Prrafodelista"/>
        <w:numPr>
          <w:ilvl w:val="0"/>
          <w:numId w:val="128"/>
        </w:numPr>
        <w:spacing w:before="120" w:after="120"/>
        <w:ind w:left="851" w:right="851" w:firstLine="709"/>
        <w:jc w:val="both"/>
        <w:rPr>
          <w:rFonts w:ascii="Times New Roman" w:hAnsi="Times New Roman" w:eastAsia="Arial Unicode MS" w:cs="Times New Roman"/>
          <w:sz w:val="26"/>
          <w:szCs w:val="26"/>
        </w:rPr>
      </w:pPr>
      <w:r w:rsidRPr="00AE1B2B">
        <w:rPr>
          <w:rFonts w:ascii="Times New Roman" w:hAnsi="Times New Roman" w:eastAsia="Arial Unicode MS" w:cs="Times New Roman"/>
          <w:sz w:val="26"/>
          <w:szCs w:val="26"/>
        </w:rPr>
        <w:t>Revisión de la matriz de Indicadores de Gestión, donde se aprovechará la ocasión para retroalimentar sobre las modificaciones realizadas, así como solventar consultas.</w:t>
      </w:r>
      <w:r w:rsidRPr="00AE1B2B" w:rsidR="00BB7720">
        <w:rPr>
          <w:rFonts w:ascii="Times New Roman" w:hAnsi="Times New Roman" w:eastAsia="Arial Unicode MS" w:cs="Times New Roman"/>
          <w:sz w:val="26"/>
          <w:szCs w:val="26"/>
        </w:rPr>
        <w:t xml:space="preserve"> </w:t>
      </w:r>
    </w:p>
    <w:p w:rsidRPr="00AE1B2B" w:rsidR="009D3FB5" w:rsidP="00163B94" w:rsidRDefault="009D3FB5" w14:paraId="6FBE55B4" w14:textId="77777777">
      <w:pPr>
        <w:pStyle w:val="Prrafodelista"/>
        <w:numPr>
          <w:ilvl w:val="0"/>
          <w:numId w:val="128"/>
        </w:numPr>
        <w:spacing w:before="120" w:after="120"/>
        <w:ind w:left="851" w:right="851" w:firstLine="709"/>
        <w:jc w:val="both"/>
        <w:rPr>
          <w:rFonts w:ascii="Times New Roman" w:hAnsi="Times New Roman" w:eastAsia="Arial Unicode MS" w:cs="Times New Roman"/>
          <w:sz w:val="26"/>
          <w:szCs w:val="26"/>
        </w:rPr>
      </w:pPr>
      <w:r w:rsidRPr="00AE1B2B">
        <w:rPr>
          <w:rFonts w:ascii="Times New Roman" w:hAnsi="Times New Roman" w:eastAsia="Arial Unicode MS" w:cs="Times New Roman"/>
          <w:sz w:val="26"/>
          <w:szCs w:val="26"/>
        </w:rPr>
        <w:t xml:space="preserve">Retroalimentar al Despacho sobre la mejora que está trabajando esta Dirección en SIGMA, con la finalidad de logar visualizar de forma fácil y unificada, la mayoría de la información necesaria para los Indicadores de Gestión, agilizando el proceso. </w:t>
      </w:r>
    </w:p>
    <w:p w:rsidRPr="00AE1B2B" w:rsidR="009D3FB5" w:rsidP="00163B94" w:rsidRDefault="009D3FB5" w14:paraId="73EAC3A9" w14:textId="50EBB31F">
      <w:pPr>
        <w:pStyle w:val="Prrafodelista"/>
        <w:numPr>
          <w:ilvl w:val="0"/>
          <w:numId w:val="128"/>
        </w:numPr>
        <w:spacing w:before="120" w:after="120"/>
        <w:ind w:left="851" w:right="851" w:firstLine="709"/>
        <w:jc w:val="both"/>
        <w:rPr>
          <w:rFonts w:ascii="Times New Roman" w:hAnsi="Times New Roman" w:eastAsia="Arial Unicode MS" w:cs="Times New Roman"/>
          <w:sz w:val="26"/>
          <w:szCs w:val="26"/>
        </w:rPr>
      </w:pPr>
      <w:r w:rsidRPr="00AE1B2B">
        <w:rPr>
          <w:rFonts w:ascii="Times New Roman" w:hAnsi="Times New Roman" w:eastAsia="Arial Unicode MS" w:cs="Times New Roman"/>
          <w:sz w:val="26"/>
          <w:szCs w:val="26"/>
        </w:rPr>
        <w:t xml:space="preserve">Realizar un ejercicio controlado sobre el tiempo invertido en atención del proveído, con la finalidad de recolectar información a nivel nacional y que sea base para el análisis, ya que </w:t>
      </w:r>
      <w:r w:rsidRPr="00AE1B2B">
        <w:rPr>
          <w:rFonts w:ascii="Times New Roman" w:hAnsi="Times New Roman" w:eastAsia="Arial Unicode MS" w:cs="Times New Roman"/>
          <w:sz w:val="26"/>
          <w:szCs w:val="26"/>
        </w:rPr>
        <w:lastRenderedPageBreak/>
        <w:t>se han recibido solicitudes de revisar los indicadores implementados para el personal técnico de los despachos.</w:t>
      </w:r>
      <w:r w:rsidRPr="00AE1B2B" w:rsidR="00BB7720">
        <w:rPr>
          <w:rFonts w:ascii="Times New Roman" w:hAnsi="Times New Roman" w:eastAsia="Arial Unicode MS" w:cs="Times New Roman"/>
          <w:sz w:val="26"/>
          <w:szCs w:val="26"/>
        </w:rPr>
        <w:t xml:space="preserve"> </w:t>
      </w:r>
    </w:p>
    <w:p w:rsidRPr="00AE1B2B" w:rsidR="009D3FB5" w:rsidP="00163B94" w:rsidRDefault="009D3FB5" w14:paraId="1061328B"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La Dirección de Planificación mediante oficio 1909-PLA-MI-2019, con fecha del 12 de noviembre de 2019, dirigido a realizó a la Máster Kattia Morales Navarro, Directora de Tecnología de Información, realizó la solicitud de la implementación de los formatos jurídicos del Escritorio Virtual que utilizan los Despachos de la Jurisdicción Civil a los Juzgados Agrarios. Lo anterior, como una necesidad imperante, sustentada en qué; la Jurisdicción Agraria utiliza el actual Código Procesal Civil como norma supletoria. Solicitud efectuada al Equipo de Normalización del Área de Gestión de la Dirección de Tecnología realice la incorporación de los formatos jurídicos indicados en los contextos de los despachos que atienden materia Agraria.</w:t>
      </w:r>
    </w:p>
    <w:p w:rsidRPr="00AE1B2B" w:rsidR="009D3FB5" w:rsidP="00163B94" w:rsidRDefault="009D3FB5" w14:paraId="7BDCB39E"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Mediante oficio 1803-PLA-MI-2019 elaborado por la Dirección de la Planificación relacionado con el seguimiento que se requiere realizar a los despachos de materia agraria, con la finalidad de avanzar con las propuestas de mejora que se incorporaran de forma definitiva en los informes finales de Rediseño de procesos de esta jurisdicción, conocido por el Consejo Superior en la sesión 95-19 celebrada el 31 de octubre de 2019, artículo XXVII, donde se acordó:</w:t>
      </w:r>
    </w:p>
    <w:p w:rsidRPr="00AE1B2B" w:rsidR="009D3FB5" w:rsidP="00163B94" w:rsidRDefault="009D3FB5" w14:paraId="5CE3AC48" w14:textId="24DAE9D5">
      <w:pPr>
        <w:spacing w:before="120" w:after="120"/>
        <w:ind w:left="851" w:right="851" w:firstLine="709"/>
        <w:jc w:val="both"/>
        <w:rPr>
          <w:rFonts w:ascii="Times New Roman" w:hAnsi="Times New Roman" w:cs="Times New Roman"/>
          <w:i/>
          <w:iCs/>
          <w:sz w:val="26"/>
          <w:szCs w:val="26"/>
          <w:lang w:val="es-ES"/>
        </w:rPr>
      </w:pPr>
      <w:r w:rsidRPr="00AE1B2B">
        <w:rPr>
          <w:rFonts w:ascii="Times New Roman" w:hAnsi="Times New Roman" w:cs="Times New Roman"/>
          <w:i/>
          <w:iCs/>
          <w:sz w:val="26"/>
          <w:szCs w:val="26"/>
          <w:lang w:val="es-ES"/>
        </w:rPr>
        <w:t>“…Se acordó: 1.)</w:t>
      </w:r>
      <w:r w:rsidRPr="00AE1B2B" w:rsidR="00BB7720">
        <w:rPr>
          <w:rFonts w:ascii="Times New Roman" w:hAnsi="Times New Roman" w:cs="Times New Roman"/>
          <w:i/>
          <w:iCs/>
          <w:sz w:val="26"/>
          <w:szCs w:val="26"/>
          <w:lang w:val="es-ES"/>
        </w:rPr>
        <w:t xml:space="preserve"> </w:t>
      </w:r>
      <w:r w:rsidRPr="00AE1B2B">
        <w:rPr>
          <w:rFonts w:ascii="Times New Roman" w:hAnsi="Times New Roman" w:cs="Times New Roman"/>
          <w:i/>
          <w:iCs/>
          <w:sz w:val="26"/>
          <w:szCs w:val="26"/>
          <w:lang w:val="es-ES"/>
        </w:rPr>
        <w:t>Tener por rendido el oficio N° 1803-PLA-MI-2019 del 30 de octubre de 2019, suscrito por la máster Nacira Valverde Bermúdez, Directora interina de la Dirección de Planificación, en el cual remite el informe suscrito por la ingeniera Elena Gabriela Picado González, Jefa interina de la Subproceso de Modernización Institucional, relacionado con el seguimiento que se requiere realizar a los despachos de materia agraria, con la finalidad de avanzar con las propuestas de mejora que se incorporaran de forma definitiva en los informes finales de rediseño de procesos de esta jurisdicción. 2.) Acoger el cronograma de trabajo propuesto por la Dirección de Planificación, producto abordaje de los despachos Agrarios, con la finalidad de replicar los Despachos Modelos, producto al Rediseño de Procesos según Manual Metodológico del Rediseño.</w:t>
      </w:r>
    </w:p>
    <w:p w:rsidRPr="00AE1B2B" w:rsidR="009D3FB5" w:rsidP="00163B94" w:rsidRDefault="009D3FB5" w14:paraId="255537F9" w14:textId="77777777">
      <w:pPr>
        <w:spacing w:before="120" w:after="120"/>
        <w:ind w:left="851" w:right="851" w:firstLine="709"/>
        <w:jc w:val="both"/>
        <w:rPr>
          <w:rFonts w:ascii="Times New Roman" w:hAnsi="Times New Roman" w:cs="Times New Roman"/>
          <w:i/>
          <w:iCs/>
          <w:sz w:val="26"/>
          <w:szCs w:val="26"/>
          <w:lang w:val="es-ES"/>
        </w:rPr>
      </w:pPr>
      <w:r w:rsidRPr="00AE1B2B">
        <w:rPr>
          <w:rFonts w:ascii="Times New Roman" w:hAnsi="Times New Roman" w:cs="Times New Roman"/>
          <w:i/>
          <w:iCs/>
          <w:sz w:val="26"/>
          <w:szCs w:val="26"/>
          <w:lang w:val="es-ES"/>
        </w:rPr>
        <w:t>La Comisión de la Jurisdicción Agraria y la Dirección de Planificación tomaran nota para lo que cada uno corresponda. Se declara acuerdo firme…”.</w:t>
      </w:r>
    </w:p>
    <w:p w:rsidRPr="00AE1B2B" w:rsidR="009D3FB5" w:rsidP="00163B94" w:rsidRDefault="009D3FB5" w14:paraId="515121EC" w14:textId="77777777">
      <w:pPr>
        <w:spacing w:before="120" w:after="120"/>
        <w:ind w:left="851" w:right="851" w:firstLine="709"/>
        <w:jc w:val="both"/>
        <w:rPr>
          <w:rFonts w:ascii="Times New Roman" w:hAnsi="Times New Roman" w:cs="Times New Roman"/>
          <w:sz w:val="26"/>
          <w:szCs w:val="26"/>
          <w:lang w:val="es-ES"/>
        </w:rPr>
      </w:pPr>
    </w:p>
    <w:p w:rsidRPr="00AE1B2B" w:rsidR="009D3FB5" w:rsidP="00163B94" w:rsidRDefault="009D3FB5" w14:paraId="308F4C1A"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 xml:space="preserve">En línea de lo anterior, mediante oficio preliminar 2051-PLA-MI-2020, enviado a consulta el 17 de diciembre del 2020, relacionado </w:t>
      </w:r>
      <w:r w:rsidRPr="00AE1B2B">
        <w:rPr>
          <w:rFonts w:ascii="Times New Roman" w:hAnsi="Times New Roman" w:cs="Times New Roman"/>
          <w:sz w:val="26"/>
          <w:szCs w:val="26"/>
          <w:lang w:val="es-ES"/>
        </w:rPr>
        <w:lastRenderedPageBreak/>
        <w:t xml:space="preserve">con el seguimiento que se requiere realizar a los despachos de materia Agraria, con la finalidad de avanzar con las propuestas de mejora que se incorporaran de forma definitiva en los informes finales de Rediseño de procesos de la jurisdicción en Materia Agraria; se detalló cada una de las actividades efectuadas en los distintos despachos judiciales encargados de la materia Agraria, así como las diferentes labores desarrolladas en cada uno referente a la metodología de trabajo para los Rediseños de Procesos, el Modelo de Sostenibilidad y el diseño de la propuesta de Indicadores de Gestión, así como las propuestas para el correcto funcionamiento de la reforma procesal Agraria. Lo anterior con motivo del cumplimiento al acuerdo tomado por el Consejo Superior. </w:t>
      </w:r>
    </w:p>
    <w:p w:rsidRPr="00AE1B2B" w:rsidR="009D3FB5" w:rsidP="00163B94" w:rsidRDefault="009D3FB5" w14:paraId="04675478"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 xml:space="preserve">De las tareas realizadas se encuentran: </w:t>
      </w:r>
    </w:p>
    <w:p w:rsidRPr="00AE1B2B" w:rsidR="009D3FB5" w:rsidP="00163B94" w:rsidRDefault="009D3FB5" w14:paraId="0B203CF7"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a.</w:t>
      </w:r>
      <w:r w:rsidRPr="00AE1B2B">
        <w:rPr>
          <w:rFonts w:ascii="Times New Roman" w:hAnsi="Times New Roman" w:cs="Times New Roman"/>
          <w:sz w:val="26"/>
          <w:szCs w:val="26"/>
          <w:lang w:val="es-ES"/>
        </w:rPr>
        <w:tab/>
      </w:r>
      <w:r w:rsidRPr="00AE1B2B">
        <w:rPr>
          <w:rFonts w:ascii="Times New Roman" w:hAnsi="Times New Roman" w:cs="Times New Roman"/>
          <w:sz w:val="26"/>
          <w:szCs w:val="26"/>
          <w:lang w:val="es-ES"/>
        </w:rPr>
        <w:t xml:space="preserve">Análisis de la Estructura de Recurso Humano </w:t>
      </w:r>
    </w:p>
    <w:p w:rsidRPr="00AE1B2B" w:rsidR="009D3FB5" w:rsidP="00163B94" w:rsidRDefault="009D3FB5" w14:paraId="6ECF7A23"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b.</w:t>
      </w:r>
      <w:r w:rsidRPr="00AE1B2B">
        <w:rPr>
          <w:rFonts w:ascii="Times New Roman" w:hAnsi="Times New Roman" w:cs="Times New Roman"/>
          <w:sz w:val="26"/>
          <w:szCs w:val="26"/>
          <w:lang w:val="es-ES"/>
        </w:rPr>
        <w:tab/>
      </w:r>
      <w:r w:rsidRPr="00AE1B2B">
        <w:rPr>
          <w:rFonts w:ascii="Times New Roman" w:hAnsi="Times New Roman" w:cs="Times New Roman"/>
          <w:sz w:val="26"/>
          <w:szCs w:val="26"/>
          <w:lang w:val="es-ES"/>
        </w:rPr>
        <w:t>Conformación de Equipos de Mejora de Procesos</w:t>
      </w:r>
    </w:p>
    <w:p w:rsidRPr="00AE1B2B" w:rsidR="009D3FB5" w:rsidP="00163B94" w:rsidRDefault="009D3FB5" w14:paraId="288D8993"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c.</w:t>
      </w:r>
      <w:r w:rsidRPr="00AE1B2B">
        <w:rPr>
          <w:rFonts w:ascii="Times New Roman" w:hAnsi="Times New Roman" w:cs="Times New Roman"/>
          <w:sz w:val="26"/>
          <w:szCs w:val="26"/>
          <w:lang w:val="es-ES"/>
        </w:rPr>
        <w:tab/>
      </w:r>
      <w:r w:rsidRPr="00AE1B2B">
        <w:rPr>
          <w:rFonts w:ascii="Times New Roman" w:hAnsi="Times New Roman" w:cs="Times New Roman"/>
          <w:sz w:val="26"/>
          <w:szCs w:val="26"/>
          <w:lang w:val="es-ES"/>
        </w:rPr>
        <w:t>Análisis Estadísticos</w:t>
      </w:r>
    </w:p>
    <w:p w:rsidRPr="00AE1B2B" w:rsidR="009D3FB5" w:rsidP="00163B94" w:rsidRDefault="009D3FB5" w14:paraId="58E3A5CA"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d.</w:t>
      </w:r>
      <w:r w:rsidRPr="00AE1B2B">
        <w:rPr>
          <w:rFonts w:ascii="Times New Roman" w:hAnsi="Times New Roman" w:cs="Times New Roman"/>
          <w:sz w:val="26"/>
          <w:szCs w:val="26"/>
          <w:lang w:val="es-ES"/>
        </w:rPr>
        <w:tab/>
      </w:r>
      <w:r w:rsidRPr="00AE1B2B">
        <w:rPr>
          <w:rFonts w:ascii="Times New Roman" w:hAnsi="Times New Roman" w:cs="Times New Roman"/>
          <w:sz w:val="26"/>
          <w:szCs w:val="26"/>
          <w:lang w:val="es-ES"/>
        </w:rPr>
        <w:t>Análisis de la cantidad de entrada de asuntos nuevos</w:t>
      </w:r>
    </w:p>
    <w:p w:rsidRPr="00AE1B2B" w:rsidR="009D3FB5" w:rsidP="00163B94" w:rsidRDefault="009D3FB5" w14:paraId="305C2AF9"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e.</w:t>
      </w:r>
      <w:r w:rsidRPr="00AE1B2B">
        <w:rPr>
          <w:rFonts w:ascii="Times New Roman" w:hAnsi="Times New Roman" w:cs="Times New Roman"/>
          <w:sz w:val="26"/>
          <w:szCs w:val="26"/>
          <w:lang w:val="es-ES"/>
        </w:rPr>
        <w:tab/>
      </w:r>
      <w:r w:rsidRPr="00AE1B2B">
        <w:rPr>
          <w:rFonts w:ascii="Times New Roman" w:hAnsi="Times New Roman" w:cs="Times New Roman"/>
          <w:sz w:val="26"/>
          <w:szCs w:val="26"/>
          <w:lang w:val="es-ES"/>
        </w:rPr>
        <w:t>Análisis de circulantes</w:t>
      </w:r>
    </w:p>
    <w:p w:rsidRPr="00AE1B2B" w:rsidR="009D3FB5" w:rsidP="00163B94" w:rsidRDefault="009D3FB5" w14:paraId="5AE95E35"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f.</w:t>
      </w:r>
      <w:r w:rsidRPr="00AE1B2B">
        <w:rPr>
          <w:rFonts w:ascii="Times New Roman" w:hAnsi="Times New Roman" w:cs="Times New Roman"/>
          <w:sz w:val="26"/>
          <w:szCs w:val="26"/>
          <w:lang w:val="es-ES"/>
        </w:rPr>
        <w:tab/>
      </w:r>
      <w:r w:rsidRPr="00AE1B2B">
        <w:rPr>
          <w:rFonts w:ascii="Times New Roman" w:hAnsi="Times New Roman" w:cs="Times New Roman"/>
          <w:sz w:val="26"/>
          <w:szCs w:val="26"/>
          <w:lang w:val="es-ES"/>
        </w:rPr>
        <w:t>Análisis de la distribución de cargas de trabajo</w:t>
      </w:r>
    </w:p>
    <w:p w:rsidRPr="00AE1B2B" w:rsidR="009D3FB5" w:rsidP="00163B94" w:rsidRDefault="009D3FB5" w14:paraId="45D00998"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g.</w:t>
      </w:r>
      <w:r w:rsidRPr="00AE1B2B">
        <w:rPr>
          <w:rFonts w:ascii="Times New Roman" w:hAnsi="Times New Roman" w:cs="Times New Roman"/>
          <w:sz w:val="26"/>
          <w:szCs w:val="26"/>
          <w:lang w:val="es-ES"/>
        </w:rPr>
        <w:tab/>
      </w:r>
      <w:r w:rsidRPr="00AE1B2B">
        <w:rPr>
          <w:rFonts w:ascii="Times New Roman" w:hAnsi="Times New Roman" w:cs="Times New Roman"/>
          <w:sz w:val="26"/>
          <w:szCs w:val="26"/>
          <w:lang w:val="es-ES"/>
        </w:rPr>
        <w:t>Análisis de escritos en cuanto a entrada y pendientes de resolver.</w:t>
      </w:r>
    </w:p>
    <w:p w:rsidRPr="00AE1B2B" w:rsidR="009D3FB5" w:rsidP="00163B94" w:rsidRDefault="009D3FB5" w14:paraId="590CED1A"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h.</w:t>
      </w:r>
      <w:r w:rsidRPr="00AE1B2B">
        <w:rPr>
          <w:rFonts w:ascii="Times New Roman" w:hAnsi="Times New Roman" w:cs="Times New Roman"/>
          <w:sz w:val="26"/>
          <w:szCs w:val="26"/>
          <w:lang w:val="es-ES"/>
        </w:rPr>
        <w:tab/>
      </w:r>
      <w:r w:rsidRPr="00AE1B2B">
        <w:rPr>
          <w:rFonts w:ascii="Times New Roman" w:hAnsi="Times New Roman" w:cs="Times New Roman"/>
          <w:sz w:val="26"/>
          <w:szCs w:val="26"/>
          <w:lang w:val="es-ES"/>
        </w:rPr>
        <w:t>Análisis de la cantidad de sentencias dictadas y cantidad de pendiente de fallo</w:t>
      </w:r>
    </w:p>
    <w:p w:rsidRPr="00AE1B2B" w:rsidR="009D3FB5" w:rsidP="00163B94" w:rsidRDefault="009D3FB5" w14:paraId="5FF0D2F6"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i.</w:t>
      </w:r>
      <w:r w:rsidRPr="00AE1B2B">
        <w:rPr>
          <w:rFonts w:ascii="Times New Roman" w:hAnsi="Times New Roman" w:cs="Times New Roman"/>
          <w:sz w:val="26"/>
          <w:szCs w:val="26"/>
          <w:lang w:val="es-ES"/>
        </w:rPr>
        <w:tab/>
      </w:r>
      <w:r w:rsidRPr="00AE1B2B">
        <w:rPr>
          <w:rFonts w:ascii="Times New Roman" w:hAnsi="Times New Roman" w:cs="Times New Roman"/>
          <w:sz w:val="26"/>
          <w:szCs w:val="26"/>
          <w:lang w:val="es-ES"/>
        </w:rPr>
        <w:t>Análisis y definición de Estructura de la agenda.</w:t>
      </w:r>
    </w:p>
    <w:p w:rsidRPr="00AE1B2B" w:rsidR="009D3FB5" w:rsidP="00163B94" w:rsidRDefault="009D3FB5" w14:paraId="34DA2360"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j.</w:t>
      </w:r>
      <w:r w:rsidRPr="00AE1B2B">
        <w:rPr>
          <w:rFonts w:ascii="Times New Roman" w:hAnsi="Times New Roman" w:cs="Times New Roman"/>
          <w:sz w:val="26"/>
          <w:szCs w:val="26"/>
          <w:lang w:val="es-ES"/>
        </w:rPr>
        <w:tab/>
      </w:r>
      <w:r w:rsidRPr="00AE1B2B">
        <w:rPr>
          <w:rFonts w:ascii="Times New Roman" w:hAnsi="Times New Roman" w:cs="Times New Roman"/>
          <w:sz w:val="26"/>
          <w:szCs w:val="26"/>
          <w:lang w:val="es-ES"/>
        </w:rPr>
        <w:t>Cantidad de audiencias pendientes de realización</w:t>
      </w:r>
    </w:p>
    <w:p w:rsidRPr="00AE1B2B" w:rsidR="009D3FB5" w:rsidP="00163B94" w:rsidRDefault="009D3FB5" w14:paraId="2F8BE4F4"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k.</w:t>
      </w:r>
      <w:r w:rsidRPr="00AE1B2B">
        <w:rPr>
          <w:rFonts w:ascii="Times New Roman" w:hAnsi="Times New Roman" w:cs="Times New Roman"/>
          <w:sz w:val="26"/>
          <w:szCs w:val="26"/>
          <w:lang w:val="es-ES"/>
        </w:rPr>
        <w:tab/>
      </w:r>
      <w:r w:rsidRPr="00AE1B2B">
        <w:rPr>
          <w:rFonts w:ascii="Times New Roman" w:hAnsi="Times New Roman" w:cs="Times New Roman"/>
          <w:sz w:val="26"/>
          <w:szCs w:val="26"/>
          <w:lang w:val="es-ES"/>
        </w:rPr>
        <w:t>Análisis de despachos homólogos</w:t>
      </w:r>
    </w:p>
    <w:p w:rsidRPr="00AE1B2B" w:rsidR="009D3FB5" w:rsidP="00163B94" w:rsidRDefault="009D3FB5" w14:paraId="24DB3EA2"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l.</w:t>
      </w:r>
      <w:r w:rsidRPr="00AE1B2B">
        <w:rPr>
          <w:rFonts w:ascii="Times New Roman" w:hAnsi="Times New Roman" w:cs="Times New Roman"/>
          <w:sz w:val="26"/>
          <w:szCs w:val="26"/>
          <w:lang w:val="es-ES"/>
        </w:rPr>
        <w:tab/>
      </w:r>
      <w:r w:rsidRPr="00AE1B2B">
        <w:rPr>
          <w:rFonts w:ascii="Times New Roman" w:hAnsi="Times New Roman" w:cs="Times New Roman"/>
          <w:sz w:val="26"/>
          <w:szCs w:val="26"/>
          <w:lang w:val="es-ES"/>
        </w:rPr>
        <w:t>Estandarización de cuotas de trabajo</w:t>
      </w:r>
    </w:p>
    <w:p w:rsidRPr="00AE1B2B" w:rsidR="009D3FB5" w:rsidP="00163B94" w:rsidRDefault="009D3FB5" w14:paraId="09FE861A"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m.</w:t>
      </w:r>
      <w:r w:rsidRPr="00AE1B2B">
        <w:rPr>
          <w:rFonts w:ascii="Times New Roman" w:hAnsi="Times New Roman" w:cs="Times New Roman"/>
          <w:sz w:val="26"/>
          <w:szCs w:val="26"/>
          <w:lang w:val="es-ES"/>
        </w:rPr>
        <w:tab/>
      </w:r>
      <w:r w:rsidRPr="00AE1B2B">
        <w:rPr>
          <w:rFonts w:ascii="Times New Roman" w:hAnsi="Times New Roman" w:cs="Times New Roman"/>
          <w:sz w:val="26"/>
          <w:szCs w:val="26"/>
          <w:lang w:val="es-ES"/>
        </w:rPr>
        <w:t>Estandarización de Indicadores de Gestión</w:t>
      </w:r>
    </w:p>
    <w:p w:rsidRPr="00AE1B2B" w:rsidR="009D3FB5" w:rsidP="00163B94" w:rsidRDefault="009D3FB5" w14:paraId="046B3E3C"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n.</w:t>
      </w:r>
      <w:r w:rsidRPr="00AE1B2B">
        <w:rPr>
          <w:rFonts w:ascii="Times New Roman" w:hAnsi="Times New Roman" w:cs="Times New Roman"/>
          <w:sz w:val="26"/>
          <w:szCs w:val="26"/>
          <w:lang w:val="es-ES"/>
        </w:rPr>
        <w:tab/>
      </w:r>
      <w:r w:rsidRPr="00AE1B2B">
        <w:rPr>
          <w:rFonts w:ascii="Times New Roman" w:hAnsi="Times New Roman" w:cs="Times New Roman"/>
          <w:sz w:val="26"/>
          <w:szCs w:val="26"/>
          <w:lang w:val="es-ES"/>
        </w:rPr>
        <w:t>Planes de Trabajo para atención de circulantes</w:t>
      </w:r>
      <w:r w:rsidRPr="00AE1B2B">
        <w:rPr>
          <w:rFonts w:ascii="Times New Roman" w:hAnsi="Times New Roman" w:cs="Times New Roman"/>
          <w:sz w:val="26"/>
          <w:szCs w:val="26"/>
          <w:lang w:val="es-ES"/>
        </w:rPr>
        <w:tab/>
      </w:r>
    </w:p>
    <w:p w:rsidRPr="00AE1B2B" w:rsidR="009D3FB5" w:rsidP="00163B94" w:rsidRDefault="009D3FB5" w14:paraId="213F2C69" w14:textId="77777777">
      <w:pPr>
        <w:spacing w:before="120" w:after="120"/>
        <w:ind w:left="851" w:right="851" w:firstLine="709"/>
        <w:jc w:val="both"/>
        <w:rPr>
          <w:rFonts w:ascii="Times New Roman" w:hAnsi="Times New Roman" w:cs="Times New Roman"/>
          <w:sz w:val="26"/>
          <w:szCs w:val="26"/>
          <w:lang w:val="es-ES"/>
        </w:rPr>
      </w:pPr>
      <w:r w:rsidRPr="00AE1B2B">
        <w:rPr>
          <w:rFonts w:ascii="Times New Roman" w:hAnsi="Times New Roman" w:cs="Times New Roman"/>
          <w:sz w:val="26"/>
          <w:szCs w:val="26"/>
          <w:lang w:val="es-ES"/>
        </w:rPr>
        <w:t xml:space="preserve"> </w:t>
      </w:r>
    </w:p>
    <w:p w:rsidRPr="00AE1B2B" w:rsidR="009D3FB5" w:rsidP="00163B94" w:rsidRDefault="009D3FB5" w14:paraId="0F977CD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Los informes relacionados a los abordajes realizados se presentan a continuación:</w:t>
      </w:r>
    </w:p>
    <w:p w:rsidRPr="00AE1B2B" w:rsidR="009D3FB5" w:rsidP="00163B94" w:rsidRDefault="009D3FB5" w14:paraId="419DA6B0"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17</w:t>
      </w:r>
      <w:r w:rsidRPr="00AE1B2B">
        <w:rPr>
          <w:rFonts w:ascii="Times New Roman" w:hAnsi="Times New Roman"/>
          <w:iCs/>
          <w:sz w:val="26"/>
          <w:szCs w:val="26"/>
        </w:rPr>
        <w:fldChar w:fldCharType="end"/>
      </w:r>
    </w:p>
    <w:p w:rsidRPr="00AE1B2B" w:rsidR="009D3FB5" w:rsidP="00163B94" w:rsidRDefault="009D3FB5" w14:paraId="58109291"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Resumen de las fechas de abordajes</w:t>
      </w:r>
    </w:p>
    <w:tbl>
      <w:tblPr>
        <w:tblW w:w="0" w:type="auto"/>
        <w:tblCellMar>
          <w:left w:w="70" w:type="dxa"/>
          <w:right w:w="70" w:type="dxa"/>
        </w:tblCellMar>
        <w:tblLook w:val="04A0" w:firstRow="1" w:lastRow="0" w:firstColumn="1" w:lastColumn="0" w:noHBand="0" w:noVBand="1"/>
      </w:tblPr>
      <w:tblGrid>
        <w:gridCol w:w="5033"/>
        <w:gridCol w:w="1578"/>
        <w:gridCol w:w="2181"/>
      </w:tblGrid>
      <w:tr w:rsidRPr="00AE1B2B" w:rsidR="00AE1B2B" w:rsidTr="009D3FB5" w14:paraId="6B4D5E4C" w14:textId="77777777">
        <w:trPr>
          <w:trHeight w:val="1164"/>
          <w:tblHeader/>
        </w:trPr>
        <w:tc>
          <w:tcPr>
            <w:tcW w:w="0" w:type="auto"/>
            <w:tcBorders>
              <w:top w:val="double" w:color="1F497D" w:sz="6" w:space="0"/>
              <w:left w:val="double" w:color="1F497D" w:sz="6" w:space="0"/>
              <w:bottom w:val="double" w:color="1F497D" w:sz="6" w:space="0"/>
              <w:right w:val="double" w:color="1F497D" w:sz="6" w:space="0"/>
            </w:tcBorders>
            <w:shd w:val="clear" w:color="000000" w:fill="31869B"/>
            <w:vAlign w:val="center"/>
            <w:hideMark/>
          </w:tcPr>
          <w:p w:rsidRPr="00AE1B2B" w:rsidR="009D3FB5" w:rsidP="00163B94" w:rsidRDefault="009D3FB5" w14:paraId="0ED39C58"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lastRenderedPageBreak/>
              <w:t>Despacho</w:t>
            </w:r>
          </w:p>
        </w:tc>
        <w:tc>
          <w:tcPr>
            <w:tcW w:w="0" w:type="auto"/>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6721A360"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Fechas de abordaje inicial</w:t>
            </w:r>
          </w:p>
        </w:tc>
        <w:tc>
          <w:tcPr>
            <w:tcW w:w="0" w:type="auto"/>
            <w:tcBorders>
              <w:top w:val="double" w:color="1F497D" w:sz="6" w:space="0"/>
              <w:left w:val="nil"/>
              <w:bottom w:val="double" w:color="1F497D" w:sz="6" w:space="0"/>
              <w:right w:val="double" w:color="1F497D" w:sz="6" w:space="0"/>
            </w:tcBorders>
            <w:shd w:val="clear" w:color="000000" w:fill="31869B"/>
            <w:vAlign w:val="center"/>
            <w:hideMark/>
          </w:tcPr>
          <w:p w:rsidRPr="00AE1B2B" w:rsidR="009D3FB5" w:rsidP="00163B94" w:rsidRDefault="009D3FB5" w14:paraId="108577B0"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Fecha de Presentación de Resultados</w:t>
            </w:r>
          </w:p>
        </w:tc>
      </w:tr>
      <w:tr w:rsidRPr="00AE1B2B" w:rsidR="00AE1B2B" w:rsidTr="009D3FB5" w14:paraId="20FD273F" w14:textId="77777777">
        <w:trPr>
          <w:trHeight w:val="312"/>
        </w:trPr>
        <w:tc>
          <w:tcPr>
            <w:tcW w:w="0" w:type="auto"/>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2276EC4" w14:textId="4FCE63D9">
            <w:pPr>
              <w:spacing w:before="120" w:after="120"/>
              <w:rPr>
                <w:rFonts w:ascii="Times New Roman" w:hAnsi="Times New Roman" w:cs="Times New Roman"/>
                <w:lang w:eastAsia="es-CR"/>
              </w:rPr>
            </w:pPr>
            <w:r w:rsidRPr="00AE1B2B">
              <w:rPr>
                <w:rFonts w:ascii="Times New Roman" w:hAnsi="Times New Roman" w:cs="Times New Roman"/>
                <w:lang w:eastAsia="es-CR"/>
              </w:rPr>
              <w:t>1.</w:t>
            </w:r>
            <w:r w:rsidRPr="00AE1B2B" w:rsidR="00BB7720">
              <w:rPr>
                <w:rFonts w:ascii="Times New Roman" w:hAnsi="Times New Roman" w:cs="Times New Roman"/>
                <w:sz w:val="14"/>
                <w:szCs w:val="14"/>
                <w:lang w:eastAsia="es-CR"/>
              </w:rPr>
              <w:t xml:space="preserve"> </w:t>
            </w:r>
            <w:r w:rsidRPr="00AE1B2B">
              <w:rPr>
                <w:rFonts w:ascii="Times New Roman" w:hAnsi="Times New Roman" w:cs="Times New Roman"/>
                <w:lang w:eastAsia="es-CR"/>
              </w:rPr>
              <w:t>Juzgado Agrario de Liberia</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DD11113"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02 de febrero del 2019</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888BE66"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14 de marzo del 2020</w:t>
            </w:r>
          </w:p>
        </w:tc>
      </w:tr>
      <w:tr w:rsidRPr="00AE1B2B" w:rsidR="00AE1B2B" w:rsidTr="009D3FB5" w14:paraId="5FC45289" w14:textId="77777777">
        <w:trPr>
          <w:trHeight w:val="312"/>
        </w:trPr>
        <w:tc>
          <w:tcPr>
            <w:tcW w:w="0" w:type="auto"/>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AD76DB6" w14:textId="1E507B49">
            <w:pPr>
              <w:spacing w:before="120" w:after="120"/>
              <w:rPr>
                <w:rFonts w:ascii="Times New Roman" w:hAnsi="Times New Roman" w:cs="Times New Roman"/>
                <w:lang w:eastAsia="es-CR"/>
              </w:rPr>
            </w:pPr>
            <w:r w:rsidRPr="00AE1B2B">
              <w:rPr>
                <w:rFonts w:ascii="Times New Roman" w:hAnsi="Times New Roman" w:cs="Times New Roman"/>
                <w:lang w:eastAsia="es-CR"/>
              </w:rPr>
              <w:t>2.</w:t>
            </w:r>
            <w:r w:rsidRPr="00AE1B2B" w:rsidR="00BB7720">
              <w:rPr>
                <w:rFonts w:ascii="Times New Roman" w:hAnsi="Times New Roman" w:cs="Times New Roman"/>
                <w:sz w:val="14"/>
                <w:szCs w:val="14"/>
                <w:lang w:eastAsia="es-CR"/>
              </w:rPr>
              <w:t xml:space="preserve"> </w:t>
            </w:r>
            <w:r w:rsidRPr="00AE1B2B">
              <w:rPr>
                <w:rFonts w:ascii="Times New Roman" w:hAnsi="Times New Roman" w:cs="Times New Roman"/>
                <w:lang w:eastAsia="es-CR"/>
              </w:rPr>
              <w:t>Juzgado Agrario de Santa Cruz</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598A01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18 de marzo de 2019</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B420B9C"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09 de mayo de 2019</w:t>
            </w:r>
          </w:p>
        </w:tc>
      </w:tr>
      <w:tr w:rsidRPr="00AE1B2B" w:rsidR="00AE1B2B" w:rsidTr="009D3FB5" w14:paraId="25B04519" w14:textId="77777777">
        <w:trPr>
          <w:trHeight w:val="312"/>
        </w:trPr>
        <w:tc>
          <w:tcPr>
            <w:tcW w:w="0" w:type="auto"/>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99F3D25" w14:textId="72FAA6CC">
            <w:pPr>
              <w:spacing w:before="120" w:after="120"/>
              <w:rPr>
                <w:rFonts w:ascii="Times New Roman" w:hAnsi="Times New Roman" w:cs="Times New Roman"/>
                <w:lang w:eastAsia="es-CR"/>
              </w:rPr>
            </w:pPr>
            <w:r w:rsidRPr="00AE1B2B">
              <w:rPr>
                <w:rFonts w:ascii="Times New Roman" w:hAnsi="Times New Roman" w:cs="Times New Roman"/>
                <w:lang w:eastAsia="es-CR"/>
              </w:rPr>
              <w:t>3.</w:t>
            </w:r>
            <w:r w:rsidRPr="00AE1B2B" w:rsidR="00BB7720">
              <w:rPr>
                <w:rFonts w:ascii="Times New Roman" w:hAnsi="Times New Roman" w:cs="Times New Roman"/>
                <w:sz w:val="14"/>
                <w:szCs w:val="14"/>
                <w:lang w:eastAsia="es-CR"/>
              </w:rPr>
              <w:t xml:space="preserve"> </w:t>
            </w:r>
            <w:r w:rsidRPr="00AE1B2B">
              <w:rPr>
                <w:rFonts w:ascii="Times New Roman" w:hAnsi="Times New Roman" w:cs="Times New Roman"/>
                <w:lang w:eastAsia="es-CR"/>
              </w:rPr>
              <w:t>Juzgado Agrario de Puntarenas</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3CF9731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06 de mayo de 2019</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8C0C0C6"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20 de junio de 2019</w:t>
            </w:r>
          </w:p>
        </w:tc>
      </w:tr>
      <w:tr w:rsidRPr="00AE1B2B" w:rsidR="00AE1B2B" w:rsidTr="009D3FB5" w14:paraId="28C7F536" w14:textId="77777777">
        <w:trPr>
          <w:trHeight w:val="312"/>
        </w:trPr>
        <w:tc>
          <w:tcPr>
            <w:tcW w:w="0" w:type="auto"/>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76578966" w14:textId="1BA8F4C7">
            <w:pPr>
              <w:spacing w:before="120" w:after="120"/>
              <w:rPr>
                <w:rFonts w:ascii="Times New Roman" w:hAnsi="Times New Roman" w:cs="Times New Roman"/>
                <w:lang w:eastAsia="es-CR"/>
              </w:rPr>
            </w:pPr>
            <w:r w:rsidRPr="00AE1B2B">
              <w:rPr>
                <w:rFonts w:ascii="Times New Roman" w:hAnsi="Times New Roman" w:cs="Times New Roman"/>
                <w:lang w:eastAsia="es-CR"/>
              </w:rPr>
              <w:t>4.</w:t>
            </w:r>
            <w:r w:rsidRPr="00AE1B2B" w:rsidR="00BB7720">
              <w:rPr>
                <w:rFonts w:ascii="Times New Roman" w:hAnsi="Times New Roman" w:cs="Times New Roman"/>
                <w:sz w:val="14"/>
                <w:szCs w:val="14"/>
                <w:lang w:eastAsia="es-CR"/>
              </w:rPr>
              <w:t xml:space="preserve"> </w:t>
            </w:r>
            <w:r w:rsidRPr="00AE1B2B">
              <w:rPr>
                <w:rFonts w:ascii="Times New Roman" w:hAnsi="Times New Roman" w:cs="Times New Roman"/>
                <w:lang w:eastAsia="es-CR"/>
              </w:rPr>
              <w:t>Juzgado Agrario de San Ramón</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73F0C89"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4 de febrero de 2019</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8D0AE9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25 de marzo de 2019</w:t>
            </w:r>
          </w:p>
        </w:tc>
      </w:tr>
      <w:tr w:rsidRPr="00AE1B2B" w:rsidR="00AE1B2B" w:rsidTr="009D3FB5" w14:paraId="1DFDC937" w14:textId="77777777">
        <w:trPr>
          <w:trHeight w:val="312"/>
        </w:trPr>
        <w:tc>
          <w:tcPr>
            <w:tcW w:w="0" w:type="auto"/>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A16DE3A" w14:textId="4DE62588">
            <w:pPr>
              <w:spacing w:before="120" w:after="120"/>
              <w:rPr>
                <w:rFonts w:ascii="Times New Roman" w:hAnsi="Times New Roman" w:cs="Times New Roman"/>
                <w:lang w:eastAsia="es-CR"/>
              </w:rPr>
            </w:pPr>
            <w:r w:rsidRPr="00AE1B2B">
              <w:rPr>
                <w:rFonts w:ascii="Times New Roman" w:hAnsi="Times New Roman" w:cs="Times New Roman"/>
                <w:lang w:eastAsia="es-CR"/>
              </w:rPr>
              <w:t>5.</w:t>
            </w:r>
            <w:r w:rsidRPr="00AE1B2B" w:rsidR="00BB7720">
              <w:rPr>
                <w:rFonts w:ascii="Times New Roman" w:hAnsi="Times New Roman" w:cs="Times New Roman"/>
                <w:sz w:val="14"/>
                <w:szCs w:val="14"/>
                <w:lang w:eastAsia="es-CR"/>
              </w:rPr>
              <w:t xml:space="preserve"> </w:t>
            </w:r>
            <w:r w:rsidRPr="00AE1B2B">
              <w:rPr>
                <w:rFonts w:ascii="Times New Roman" w:hAnsi="Times New Roman" w:cs="Times New Roman"/>
                <w:lang w:eastAsia="es-CR"/>
              </w:rPr>
              <w:t>Juzgado Agrario de San Carlos</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A582717"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24 de junio de 2019</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2E09D43"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01 de agosto de 2019</w:t>
            </w:r>
          </w:p>
        </w:tc>
      </w:tr>
      <w:tr w:rsidRPr="00AE1B2B" w:rsidR="00AE1B2B" w:rsidTr="009D3FB5" w14:paraId="663CA222" w14:textId="77777777">
        <w:trPr>
          <w:trHeight w:val="312"/>
        </w:trPr>
        <w:tc>
          <w:tcPr>
            <w:tcW w:w="0" w:type="auto"/>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C1D0D76" w14:textId="16167A39">
            <w:pPr>
              <w:spacing w:before="120" w:after="120"/>
              <w:rPr>
                <w:rFonts w:ascii="Times New Roman" w:hAnsi="Times New Roman" w:cs="Times New Roman"/>
                <w:lang w:eastAsia="es-CR"/>
              </w:rPr>
            </w:pPr>
            <w:r w:rsidRPr="00AE1B2B">
              <w:rPr>
                <w:rFonts w:ascii="Times New Roman" w:hAnsi="Times New Roman" w:cs="Times New Roman"/>
                <w:lang w:eastAsia="es-CR"/>
              </w:rPr>
              <w:t>6.</w:t>
            </w:r>
            <w:r w:rsidRPr="00AE1B2B" w:rsidR="00BB7720">
              <w:rPr>
                <w:rFonts w:ascii="Times New Roman" w:hAnsi="Times New Roman" w:cs="Times New Roman"/>
                <w:sz w:val="14"/>
                <w:szCs w:val="14"/>
                <w:lang w:eastAsia="es-CR"/>
              </w:rPr>
              <w:t xml:space="preserve"> </w:t>
            </w:r>
            <w:r w:rsidRPr="00AE1B2B">
              <w:rPr>
                <w:rFonts w:ascii="Times New Roman" w:hAnsi="Times New Roman" w:cs="Times New Roman"/>
                <w:lang w:eastAsia="es-CR"/>
              </w:rPr>
              <w:t>Juzgado Agrario de Limón</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19A3078"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14 de mayo de 2019</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3426C2C"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08 de agosto de 2019</w:t>
            </w:r>
          </w:p>
        </w:tc>
      </w:tr>
      <w:tr w:rsidRPr="00AE1B2B" w:rsidR="00AE1B2B" w:rsidTr="009D3FB5" w14:paraId="63AADF65" w14:textId="77777777">
        <w:trPr>
          <w:trHeight w:val="312"/>
        </w:trPr>
        <w:tc>
          <w:tcPr>
            <w:tcW w:w="0" w:type="auto"/>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3F24DD80" w14:textId="0D94D9D0">
            <w:pPr>
              <w:spacing w:before="120" w:after="120"/>
              <w:rPr>
                <w:rFonts w:ascii="Times New Roman" w:hAnsi="Times New Roman" w:cs="Times New Roman"/>
                <w:lang w:eastAsia="es-CR"/>
              </w:rPr>
            </w:pPr>
            <w:r w:rsidRPr="00AE1B2B">
              <w:rPr>
                <w:rFonts w:ascii="Times New Roman" w:hAnsi="Times New Roman" w:cs="Times New Roman"/>
                <w:lang w:eastAsia="es-CR"/>
              </w:rPr>
              <w:t>7.</w:t>
            </w:r>
            <w:r w:rsidRPr="00AE1B2B" w:rsidR="00BB7720">
              <w:rPr>
                <w:rFonts w:ascii="Times New Roman" w:hAnsi="Times New Roman" w:cs="Times New Roman"/>
                <w:sz w:val="14"/>
                <w:szCs w:val="14"/>
                <w:lang w:eastAsia="es-CR"/>
              </w:rPr>
              <w:t xml:space="preserve"> </w:t>
            </w:r>
            <w:r w:rsidRPr="00AE1B2B">
              <w:rPr>
                <w:rFonts w:ascii="Times New Roman" w:hAnsi="Times New Roman" w:cs="Times New Roman"/>
                <w:lang w:eastAsia="es-CR"/>
              </w:rPr>
              <w:t>Juzgado Agrario de Pococí.</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452479A"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06 de mayo de 2019</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3919916"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13 de junio de 2019</w:t>
            </w:r>
          </w:p>
        </w:tc>
      </w:tr>
      <w:tr w:rsidRPr="00AE1B2B" w:rsidR="00AE1B2B" w:rsidTr="009D3FB5" w14:paraId="0F9D15AA" w14:textId="77777777">
        <w:trPr>
          <w:trHeight w:val="312"/>
        </w:trPr>
        <w:tc>
          <w:tcPr>
            <w:tcW w:w="0" w:type="auto"/>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D490FF1" w14:textId="713FFFE8">
            <w:pPr>
              <w:spacing w:before="120" w:after="120"/>
              <w:rPr>
                <w:rFonts w:ascii="Times New Roman" w:hAnsi="Times New Roman" w:cs="Times New Roman"/>
                <w:lang w:eastAsia="es-CR"/>
              </w:rPr>
            </w:pPr>
            <w:r w:rsidRPr="00AE1B2B">
              <w:rPr>
                <w:rFonts w:ascii="Times New Roman" w:hAnsi="Times New Roman" w:cs="Times New Roman"/>
                <w:lang w:eastAsia="es-CR"/>
              </w:rPr>
              <w:t>8.</w:t>
            </w:r>
            <w:r w:rsidRPr="00AE1B2B" w:rsidR="00BB7720">
              <w:rPr>
                <w:rFonts w:ascii="Times New Roman" w:hAnsi="Times New Roman" w:cs="Times New Roman"/>
                <w:sz w:val="14"/>
                <w:szCs w:val="14"/>
                <w:lang w:eastAsia="es-CR"/>
              </w:rPr>
              <w:t xml:space="preserve"> </w:t>
            </w:r>
            <w:r w:rsidRPr="00AE1B2B">
              <w:rPr>
                <w:rFonts w:ascii="Times New Roman" w:hAnsi="Times New Roman" w:cs="Times New Roman"/>
                <w:lang w:eastAsia="es-CR"/>
              </w:rPr>
              <w:t>Juzgado Agrario de Cartago</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6F559C1"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1 de julio de 2019</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D812CB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28 de abril 2020</w:t>
            </w:r>
          </w:p>
        </w:tc>
      </w:tr>
      <w:tr w:rsidRPr="00AE1B2B" w:rsidR="00AE1B2B" w:rsidTr="009D3FB5" w14:paraId="5D7D59EC" w14:textId="77777777">
        <w:trPr>
          <w:trHeight w:val="312"/>
        </w:trPr>
        <w:tc>
          <w:tcPr>
            <w:tcW w:w="0" w:type="auto"/>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854E29E" w14:textId="7CE8DF3D">
            <w:pPr>
              <w:spacing w:before="120" w:after="120"/>
              <w:rPr>
                <w:rFonts w:ascii="Times New Roman" w:hAnsi="Times New Roman" w:cs="Times New Roman"/>
                <w:lang w:eastAsia="es-CR"/>
              </w:rPr>
            </w:pPr>
            <w:r w:rsidRPr="00AE1B2B">
              <w:rPr>
                <w:rFonts w:ascii="Times New Roman" w:hAnsi="Times New Roman" w:cs="Times New Roman"/>
                <w:lang w:eastAsia="es-CR"/>
              </w:rPr>
              <w:t>9.</w:t>
            </w:r>
            <w:r w:rsidRPr="00AE1B2B" w:rsidR="00BB7720">
              <w:rPr>
                <w:rFonts w:ascii="Times New Roman" w:hAnsi="Times New Roman" w:cs="Times New Roman"/>
                <w:sz w:val="14"/>
                <w:szCs w:val="14"/>
                <w:lang w:eastAsia="es-CR"/>
              </w:rPr>
              <w:t xml:space="preserve"> </w:t>
            </w:r>
            <w:r w:rsidRPr="00AE1B2B">
              <w:rPr>
                <w:rFonts w:ascii="Times New Roman" w:hAnsi="Times New Roman" w:cs="Times New Roman"/>
                <w:lang w:eastAsia="es-CR"/>
              </w:rPr>
              <w:t>Juzgado Agrario de Alajuela</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B86824C"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4 de febrero de 2019</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241483E"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22 de marzo de 2019</w:t>
            </w:r>
          </w:p>
        </w:tc>
      </w:tr>
      <w:tr w:rsidRPr="00AE1B2B" w:rsidR="00AE1B2B" w:rsidTr="009D3FB5" w14:paraId="7F315769" w14:textId="77777777">
        <w:trPr>
          <w:trHeight w:val="312"/>
        </w:trPr>
        <w:tc>
          <w:tcPr>
            <w:tcW w:w="0" w:type="auto"/>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CEFA60D" w14:textId="3C73A18F">
            <w:pPr>
              <w:spacing w:before="120" w:after="120"/>
              <w:rPr>
                <w:rFonts w:ascii="Times New Roman" w:hAnsi="Times New Roman" w:cs="Times New Roman"/>
                <w:lang w:eastAsia="es-CR"/>
              </w:rPr>
            </w:pPr>
            <w:r w:rsidRPr="00AE1B2B">
              <w:rPr>
                <w:rFonts w:ascii="Times New Roman" w:hAnsi="Times New Roman" w:cs="Times New Roman"/>
                <w:lang w:eastAsia="es-CR"/>
              </w:rPr>
              <w:t>10.</w:t>
            </w:r>
            <w:r w:rsidRPr="00AE1B2B" w:rsidR="00BB7720">
              <w:rPr>
                <w:rFonts w:ascii="Times New Roman" w:hAnsi="Times New Roman" w:cs="Times New Roman"/>
                <w:sz w:val="14"/>
                <w:szCs w:val="14"/>
                <w:lang w:eastAsia="es-CR"/>
              </w:rPr>
              <w:t xml:space="preserve"> </w:t>
            </w:r>
            <w:r w:rsidRPr="00AE1B2B">
              <w:rPr>
                <w:rFonts w:ascii="Times New Roman" w:hAnsi="Times New Roman" w:cs="Times New Roman"/>
                <w:lang w:eastAsia="es-CR"/>
              </w:rPr>
              <w:t>Juzgado Agrario del II Circuito Judicial de San José</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00C2091C"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20 de marzo de 2019</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2EE4161E"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12 de junio de 2019</w:t>
            </w:r>
          </w:p>
        </w:tc>
      </w:tr>
      <w:tr w:rsidRPr="00AE1B2B" w:rsidR="00AE1B2B" w:rsidTr="009D3FB5" w14:paraId="5AF5726E" w14:textId="77777777">
        <w:trPr>
          <w:trHeight w:val="312"/>
        </w:trPr>
        <w:tc>
          <w:tcPr>
            <w:tcW w:w="0" w:type="auto"/>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22F34CAC" w14:textId="00455144">
            <w:pPr>
              <w:spacing w:before="120" w:after="120"/>
              <w:rPr>
                <w:rFonts w:ascii="Times New Roman" w:hAnsi="Times New Roman" w:cs="Times New Roman"/>
                <w:lang w:eastAsia="es-CR"/>
              </w:rPr>
            </w:pPr>
            <w:r w:rsidRPr="00AE1B2B">
              <w:rPr>
                <w:rFonts w:ascii="Times New Roman" w:hAnsi="Times New Roman" w:cs="Times New Roman"/>
                <w:lang w:eastAsia="es-CR"/>
              </w:rPr>
              <w:t>11.</w:t>
            </w:r>
            <w:r w:rsidRPr="00AE1B2B" w:rsidR="00BB7720">
              <w:rPr>
                <w:rFonts w:ascii="Times New Roman" w:hAnsi="Times New Roman" w:cs="Times New Roman"/>
                <w:sz w:val="14"/>
                <w:szCs w:val="14"/>
                <w:lang w:eastAsia="es-CR"/>
              </w:rPr>
              <w:t xml:space="preserve"> </w:t>
            </w:r>
            <w:r w:rsidRPr="00AE1B2B">
              <w:rPr>
                <w:rFonts w:ascii="Times New Roman" w:hAnsi="Times New Roman" w:cs="Times New Roman"/>
                <w:lang w:eastAsia="es-CR"/>
              </w:rPr>
              <w:t>Juzgado Agrario de Pérez Zeledón</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6AD1258B"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19 de marzo de 2019</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49A3523"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20 de junio de 2019</w:t>
            </w:r>
          </w:p>
        </w:tc>
      </w:tr>
      <w:tr w:rsidRPr="00AE1B2B" w:rsidR="00AE1B2B" w:rsidTr="009D3FB5" w14:paraId="7E4E2C69" w14:textId="77777777">
        <w:trPr>
          <w:trHeight w:val="312"/>
        </w:trPr>
        <w:tc>
          <w:tcPr>
            <w:tcW w:w="0" w:type="auto"/>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533C366" w14:textId="2B4AD9D1">
            <w:pPr>
              <w:spacing w:before="120" w:after="120"/>
              <w:rPr>
                <w:rFonts w:ascii="Times New Roman" w:hAnsi="Times New Roman" w:cs="Times New Roman"/>
                <w:lang w:eastAsia="es-CR"/>
              </w:rPr>
            </w:pPr>
            <w:r w:rsidRPr="00AE1B2B">
              <w:rPr>
                <w:rFonts w:ascii="Times New Roman" w:hAnsi="Times New Roman" w:cs="Times New Roman"/>
                <w:lang w:eastAsia="es-CR"/>
              </w:rPr>
              <w:t>12.</w:t>
            </w:r>
            <w:r w:rsidRPr="00AE1B2B" w:rsidR="00BB7720">
              <w:rPr>
                <w:rFonts w:ascii="Times New Roman" w:hAnsi="Times New Roman" w:cs="Times New Roman"/>
                <w:sz w:val="14"/>
                <w:szCs w:val="14"/>
                <w:lang w:eastAsia="es-CR"/>
              </w:rPr>
              <w:t xml:space="preserve"> </w:t>
            </w:r>
            <w:r w:rsidRPr="00AE1B2B">
              <w:rPr>
                <w:rFonts w:ascii="Times New Roman" w:hAnsi="Times New Roman" w:cs="Times New Roman"/>
                <w:lang w:eastAsia="es-CR"/>
              </w:rPr>
              <w:t>Juzgado Agrario de Corredores</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DDBE6E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24 de junio de 2019</w:t>
            </w:r>
          </w:p>
        </w:tc>
        <w:tc>
          <w:tcPr>
            <w:tcW w:w="0" w:type="auto"/>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78375894"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01 de agosto de 2019</w:t>
            </w:r>
          </w:p>
        </w:tc>
      </w:tr>
    </w:tbl>
    <w:p w:rsidRPr="00AE1B2B" w:rsidR="009D3FB5" w:rsidP="00163B94" w:rsidRDefault="009D3FB5" w14:paraId="180AA1B9"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w:t>
      </w:r>
    </w:p>
    <w:p w:rsidRPr="00AE1B2B" w:rsidR="009D3FB5" w:rsidP="00163B94" w:rsidRDefault="009D3FB5" w14:paraId="6AEAE722" w14:textId="3EC2828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Por su parte, mediante oficio 2048-PLA-MI-2020, del pasado 16 de diciembre, relacionado con el seguimiento realizado al Tribunal Agrario, Segundo Circuito Judicial de San José, el cual se puesto en conocimiento del Mag. Luis Guillermo Rivas Loáiciga, Coordinador de la Comisión de la Jurisdicción Agraria y del Doctor Enrique Ulate </w:t>
      </w:r>
      <w:r w:rsidRPr="00AE1B2B">
        <w:rPr>
          <w:rFonts w:ascii="Times New Roman" w:hAnsi="Times New Roman" w:cs="Times New Roman"/>
          <w:sz w:val="26"/>
          <w:szCs w:val="26"/>
        </w:rPr>
        <w:lastRenderedPageBreak/>
        <w:t>Chacón, Juez Coordinador del Tribunal Agrario, Segundo Circuito Judicial de San José.</w:t>
      </w:r>
      <w:r w:rsidRPr="00AE1B2B" w:rsidR="00BB7720">
        <w:rPr>
          <w:rFonts w:ascii="Times New Roman" w:hAnsi="Times New Roman" w:cs="Times New Roman"/>
          <w:sz w:val="26"/>
          <w:szCs w:val="26"/>
        </w:rPr>
        <w:t xml:space="preserve"> </w:t>
      </w:r>
      <w:r w:rsidRPr="00AE1B2B">
        <w:rPr>
          <w:rFonts w:ascii="Times New Roman" w:hAnsi="Times New Roman" w:cs="Times New Roman"/>
          <w:sz w:val="26"/>
          <w:szCs w:val="26"/>
        </w:rPr>
        <w:t xml:space="preserve">Mediante copia de este oficio, también se le solicitó criterio a la Dirección de Tecnología de Información y al Centro de Apoyo, Coordinación y Mejoramiento de la Función Jurisdiccional. </w:t>
      </w:r>
    </w:p>
    <w:p w:rsidRPr="00AE1B2B" w:rsidR="009D3FB5" w:rsidP="00163B94" w:rsidRDefault="009D3FB5" w14:paraId="50B1F4A4" w14:textId="77777777">
      <w:pPr>
        <w:spacing w:before="120" w:after="120"/>
        <w:ind w:left="851" w:right="851" w:firstLine="709"/>
        <w:jc w:val="both"/>
        <w:rPr>
          <w:rFonts w:ascii="Times New Roman" w:hAnsi="Times New Roman" w:cs="Times New Roman"/>
          <w:sz w:val="26"/>
          <w:szCs w:val="26"/>
        </w:rPr>
      </w:pPr>
      <w:bookmarkStart w:name="_Toc68688579" w:id="311"/>
      <w:r w:rsidRPr="00AE1B2B">
        <w:rPr>
          <w:rFonts w:ascii="Times New Roman" w:hAnsi="Times New Roman" w:cs="Times New Roman"/>
          <w:sz w:val="26"/>
          <w:szCs w:val="26"/>
        </w:rPr>
        <w:t>Atención de Asuntos Varios</w:t>
      </w:r>
      <w:bookmarkEnd w:id="311"/>
    </w:p>
    <w:p w:rsidRPr="00AE1B2B" w:rsidR="009D3FB5" w:rsidP="00163B94" w:rsidRDefault="009D3FB5" w14:paraId="560329F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este apartado se atienden las solicitudes realizadas a la Dirección de Planificación, de las diferentes oficinas involucradas en el proceso de implementación del Código Procesal Agrario: </w:t>
      </w:r>
    </w:p>
    <w:p w:rsidRPr="00AE1B2B" w:rsidR="009D3FB5" w:rsidP="00163B94" w:rsidRDefault="009D3FB5" w14:paraId="526EDD20" w14:textId="77777777">
      <w:pPr>
        <w:pStyle w:val="Prrafodelista"/>
        <w:numPr>
          <w:ilvl w:val="0"/>
          <w:numId w:val="129"/>
        </w:numPr>
        <w:spacing w:before="120" w:after="120"/>
        <w:ind w:left="851" w:right="851" w:firstLine="709"/>
        <w:contextualSpacing/>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Mediante oficio PICPA-39-2020, remitido por la Licda. Jueza Rebeca Salazar Alcócer, Coordinadora Proyecto de Implementación Código Procesal Agrario, el pasado 05 de noviembre de 2020, relacionado con la comunicación del acuerdo tomado por la Comisión de la Jurisdicción Agraria en la sesión 02-2020 celebrada el pasado 02 de septiembre del 2020, Artículo IV, que literalmente indica:</w:t>
      </w:r>
    </w:p>
    <w:p w:rsidRPr="00AE1B2B" w:rsidR="009D3FB5" w:rsidP="00163B94" w:rsidRDefault="009D3FB5" w14:paraId="0225E50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 El pasado 23 de junio del año el curso, el Mag. Luis Guillermo Rivas Loáciga, Presidente de la Sala Primera y Coordinador de la Comisión de la Jurisdicción Agraria comunicó por medio del oficio PSI-48-2020 la designación de la Licda. Rebeca Salazar Alcócer, Jueza del Juzgado Agrario de Cartago, como gestora agraria para liderar el seguimiento del proyecto: </w:t>
      </w:r>
      <w:r w:rsidRPr="00AE1B2B">
        <w:rPr>
          <w:rFonts w:hint="eastAsia" w:ascii="Times New Roman" w:hAnsi="Times New Roman" w:eastAsia="Times New Roman" w:cs="Times New Roman"/>
          <w:i/>
          <w:iCs/>
          <w:sz w:val="26"/>
          <w:szCs w:val="26"/>
        </w:rPr>
        <w:t>􀂴</w:t>
      </w:r>
      <w:r w:rsidRPr="00AE1B2B">
        <w:rPr>
          <w:rFonts w:ascii="Times New Roman" w:hAnsi="Times New Roman" w:cs="Times New Roman"/>
          <w:i/>
          <w:iCs/>
          <w:sz w:val="26"/>
          <w:szCs w:val="26"/>
        </w:rPr>
        <w:t>4000-CA-P01. Implementación de la Reforma Procesal Agraria</w:t>
      </w:r>
      <w:r w:rsidRPr="00AE1B2B">
        <w:rPr>
          <w:rFonts w:hint="eastAsia" w:ascii="Times New Roman" w:hAnsi="Times New Roman" w:eastAsia="Times New Roman" w:cs="Times New Roman"/>
          <w:i/>
          <w:iCs/>
          <w:sz w:val="26"/>
          <w:szCs w:val="26"/>
        </w:rPr>
        <w:t>􀂵</w:t>
      </w:r>
      <w:r w:rsidRPr="00AE1B2B">
        <w:rPr>
          <w:rFonts w:ascii="Times New Roman" w:hAnsi="Times New Roman" w:cs="Times New Roman"/>
          <w:i/>
          <w:iCs/>
          <w:sz w:val="26"/>
          <w:szCs w:val="26"/>
        </w:rPr>
        <w:t xml:space="preserve">. Adicionalmente, por medio del oficio citado supra, se solicitó a la Dirección de Planificación proporcionar los accesos correspondientes al Project Online y capacitar a la Licda. Salazar Alcócer en el tema de la Metodología Institucional de Administración de Proyectos y sus herramientas informáticas. La licenciada Nacira Valverde Bermúdez, Directora de Planificación, remitió el Oficio N° 1331-PLA-PE-2020 de 28 de agosto de 2020 mediante el cual comunica el informe suscrito por el Máster Allan Pow Hing Cordero, Jefe del Subproceso de Planificación Estratégica, relacionado con el proceso de inducción y capacitación de la nueva gestora del proyecto </w:t>
      </w:r>
      <w:r w:rsidRPr="00AE1B2B">
        <w:rPr>
          <w:rFonts w:hint="eastAsia" w:ascii="Times New Roman" w:hAnsi="Times New Roman" w:eastAsia="Times New Roman" w:cs="Times New Roman"/>
          <w:i/>
          <w:iCs/>
          <w:sz w:val="26"/>
          <w:szCs w:val="26"/>
        </w:rPr>
        <w:t>􀂴</w:t>
      </w:r>
      <w:r w:rsidRPr="00AE1B2B">
        <w:rPr>
          <w:rFonts w:ascii="Times New Roman" w:hAnsi="Times New Roman" w:cs="Times New Roman"/>
          <w:i/>
          <w:iCs/>
          <w:sz w:val="26"/>
          <w:szCs w:val="26"/>
        </w:rPr>
        <w:t>4000-CA-P01. Implementación de la Reforma Procesal Agraria.</w:t>
      </w:r>
      <w:r w:rsidRPr="00AE1B2B">
        <w:rPr>
          <w:rFonts w:hint="eastAsia" w:ascii="Times New Roman" w:hAnsi="Times New Roman" w:eastAsia="Times New Roman" w:cs="Times New Roman"/>
          <w:i/>
          <w:iCs/>
          <w:sz w:val="26"/>
          <w:szCs w:val="26"/>
        </w:rPr>
        <w:t>􀂵</w:t>
      </w:r>
      <w:r w:rsidRPr="00AE1B2B">
        <w:rPr>
          <w:rFonts w:ascii="Times New Roman" w:hAnsi="Times New Roman" w:cs="Times New Roman"/>
          <w:i/>
          <w:iCs/>
          <w:sz w:val="26"/>
          <w:szCs w:val="26"/>
        </w:rPr>
        <w:t>, señora Rebeca Salazar Alcócer.</w:t>
      </w:r>
    </w:p>
    <w:p w:rsidRPr="00AE1B2B" w:rsidR="009D3FB5" w:rsidP="00163B94" w:rsidRDefault="009D3FB5" w14:paraId="02CFED34"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En el oficio citado el máster Allan Pow Hing Cordero informa sobre: a) capacitación impartida a la jueza Salazar relacionada con las herramientas informáticas que se utilizan a nivel institucional para la administración de proyectos (Project Online y MS Project). Ambas capacitaciones y sus acuerdos se documentaron mediante las minutas 16-MTT-SPP-2020 y 24-MTT-SPP-2020 adjuntas en los </w:t>
      </w:r>
      <w:r w:rsidRPr="00AE1B2B">
        <w:rPr>
          <w:rFonts w:ascii="Times New Roman" w:hAnsi="Times New Roman" w:cs="Times New Roman"/>
          <w:i/>
          <w:iCs/>
          <w:sz w:val="26"/>
          <w:szCs w:val="26"/>
        </w:rPr>
        <w:lastRenderedPageBreak/>
        <w:t>anexos dos y tres; b) habilitación de accesos en el Project Online; y c) Traslado de licencia de MS Project…”.</w:t>
      </w:r>
    </w:p>
    <w:p w:rsidRPr="00AE1B2B" w:rsidR="009D3FB5" w:rsidP="00163B94" w:rsidRDefault="009D3FB5" w14:paraId="7DCB8515"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03BD7961"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16E628BA"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El Consejo Superior en sesión extraordinaria 68-2020 del 03 de julio del 2020, artículo único, entre otras cosas acordó:</w:t>
      </w:r>
    </w:p>
    <w:p w:rsidRPr="00AE1B2B" w:rsidR="009D3FB5" w:rsidP="00163B94" w:rsidRDefault="009D3FB5" w14:paraId="16B51AAD"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 xml:space="preserve">“.. </w:t>
      </w:r>
      <w:r w:rsidRPr="00AE1B2B">
        <w:rPr>
          <w:rFonts w:ascii="Times New Roman" w:hAnsi="Times New Roman" w:cs="Times New Roman"/>
          <w:i/>
          <w:iCs/>
          <w:sz w:val="26"/>
          <w:szCs w:val="26"/>
        </w:rPr>
        <w:t>1.) Tener por rendido el informe N° 955-PLA-PE-2020 del 26 de junio de 2020 de la Dirección de Planificación, relacionado con el segundo informe de seguimiento del 2020 de los proyectos incorporados al Portafolio de Proyectos Estratégicos y acoger las recomendaciones. 2.) De conformidad con el artículo 44 de la Ley Orgánica del Poder Judicial y por ser un asunto de interés institucional, prorrogar los siguientes permisos con goce de salario y sustitución, a partir del 04 de julio y hasta el 30 de setiembre de 2020</w:t>
      </w:r>
      <w:r w:rsidRPr="00AE1B2B">
        <w:rPr>
          <w:rFonts w:ascii="Times New Roman" w:hAnsi="Times New Roman" w:eastAsia="Book Antiqua" w:cs="Times New Roman"/>
          <w:i/>
          <w:iCs/>
          <w:sz w:val="26"/>
          <w:szCs w:val="26"/>
        </w:rPr>
        <w:t>…”</w:t>
      </w:r>
    </w:p>
    <w:p w:rsidRPr="00AE1B2B" w:rsidR="009D3FB5" w:rsidP="00163B94" w:rsidRDefault="009D3FB5" w14:paraId="3CCD0DA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eastAsia="Book Antiqua" w:cs="Times New Roman"/>
          <w:sz w:val="26"/>
          <w:szCs w:val="26"/>
        </w:rPr>
        <w:t>Del</w:t>
      </w:r>
      <w:r w:rsidRPr="00AE1B2B">
        <w:rPr>
          <w:rFonts w:ascii="Times New Roman" w:hAnsi="Times New Roman" w:cs="Times New Roman"/>
          <w:sz w:val="26"/>
          <w:szCs w:val="26"/>
        </w:rPr>
        <w:t xml:space="preserve"> oficio PICPA-39-2020 se acuerda entre otros puntos: </w:t>
      </w:r>
    </w:p>
    <w:p w:rsidRPr="00AE1B2B" w:rsidR="009D3FB5" w:rsidP="00163B94" w:rsidRDefault="009D3FB5" w14:paraId="219293D8"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“…3° Con el objetivo de presentar el siguiente informe de avance del Proyecto de Implementación del Código Procesal Agrario a la Dirección de Planificación, conforme a la Metodología de Administración de Proyectos, solicítese a las oficinas administrativas citadas en el acuerdo 2°, la remisión de un informe en el plazo de 3 días, donde se indique de acuerdo con sus competencias, las acciones desarrolladas en el último trimestre, con ocasión de la implementación del Código Procesal Agrario. La información deberá remitirse a la dirección electrónica de la máster Rebeca Salazar Alcócer; lo anterior, con el objetivo de incorporarlas como evidencia de los entregables y tareas del Proyecto, al margen de las acciones desplegadas por la Comisión de la Jurisdicción Agraria…”.</w:t>
      </w:r>
    </w:p>
    <w:p w:rsidRPr="00AE1B2B" w:rsidR="009D3FB5" w:rsidP="00163B94" w:rsidRDefault="009D3FB5" w14:paraId="0F3E91D3"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6E6D02A6"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 xml:space="preserve">Por parte de la Dirección de Planificación, la solicitud se atiende con la remisión de los oficios preliminar 2051-PLA-MI-2020, enviado a consulta el 17 de diciembre del 2020, relacionado con el seguimiento que se requiere realizar a los despachos de materia Agraria y el oficio 2048-PLA-MI-2020, del pasado 16 de diciembre, relacionado con el seguimiento realizado al Tribunal Agrario, Segundo Circuito Judicial de San José. </w:t>
      </w:r>
    </w:p>
    <w:p w:rsidRPr="00AE1B2B" w:rsidR="009D3FB5" w:rsidP="00163B94" w:rsidRDefault="009D3FB5" w14:paraId="670B8094"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 xml:space="preserve">En ambos oficios se resume la labor realizada por parte de esta Dirección en la ejecución de todas las tareas relacionadas con los </w:t>
      </w:r>
      <w:r w:rsidRPr="00AE1B2B">
        <w:rPr>
          <w:rFonts w:ascii="Times New Roman" w:hAnsi="Times New Roman" w:eastAsia="Book Antiqua" w:cs="Times New Roman"/>
          <w:sz w:val="26"/>
          <w:szCs w:val="26"/>
        </w:rPr>
        <w:lastRenderedPageBreak/>
        <w:t xml:space="preserve">abordajes de todos los Despachos Judiciales con competencia de la materia Agraria del país. </w:t>
      </w:r>
    </w:p>
    <w:p w:rsidRPr="00AE1B2B" w:rsidR="009D3FB5" w:rsidP="00163B94" w:rsidRDefault="009D3FB5" w14:paraId="3F50ABB8" w14:textId="77777777">
      <w:pPr>
        <w:pStyle w:val="Prrafodelista"/>
        <w:numPr>
          <w:ilvl w:val="0"/>
          <w:numId w:val="129"/>
        </w:numPr>
        <w:spacing w:before="120" w:after="120"/>
        <w:ind w:left="851" w:right="851" w:firstLine="709"/>
        <w:contextualSpacing/>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Mediante oficio PICPA-64-2020, del pasado 09 de noviembre de 2020, remitido por la Licda. Jueza Rebeca Salazar Alcócer, Coordinadora Proyecto de Implementación Código Procesal Agrario, relacionado con el comunicado electrónico del 23 de enero del 2020, al señor Arnold Alvarado Ruiz de la Dirección de Planificación, del Juez Jean Carlo Céspedes Mora, Juez Coordinador del Juzgado Civil, Trabajo, Familia, Agrario, Penal Juvenil, Contra la Violencia Doméstica y Protección Cautelar Buenos Aires, que entre otros puntos, solicita un proceso de evaluación del Juzgado forma integral. </w:t>
      </w:r>
    </w:p>
    <w:p w:rsidRPr="00AE1B2B" w:rsidR="009D3FB5" w:rsidP="00163B94" w:rsidRDefault="009D3FB5" w14:paraId="14D898A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Quisiera gestionar preliminarmente con este correo para que se inicie un proceso de evaluación del Juzgado forma integral, pero no de números a partir de informes; sino acá, en la oficina, que se valore el día a día concretamente para que se observe la dinámica que comento. Los números son fríos y abstractos. La realidad es otra. Ruegole indicarme como proceder si es que esta gestión no es suficiente. Saludos y copio a la comisión de acceso a la justicia, subcomisión de pueblos indígenas, contraloría de servicios y la administración regional. Jean Carlos Céspedes, Juez Coordinador…”.</w:t>
      </w:r>
    </w:p>
    <w:p w:rsidRPr="00AE1B2B" w:rsidR="009D3FB5" w:rsidP="00163B94" w:rsidRDefault="009D3FB5" w14:paraId="5464D3DF"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En respuesta a ese correo, el Profesional de la Dirección de Planificación le indica que ante la solicitud el Consejo Superior aprobó un procedimiento para filtrar</w:t>
      </w:r>
      <w:r w:rsidRPr="00AE1B2B">
        <w:rPr>
          <w:rFonts w:ascii="Times New Roman" w:hAnsi="Times New Roman" w:eastAsia="Book Antiqua" w:cs="Times New Roman"/>
          <w:sz w:val="26"/>
          <w:szCs w:val="26"/>
        </w:rPr>
        <w:t xml:space="preserve"> </w:t>
      </w:r>
      <w:r w:rsidRPr="00AE1B2B">
        <w:rPr>
          <w:rFonts w:ascii="Times New Roman" w:hAnsi="Times New Roman" w:cs="Times New Roman"/>
          <w:sz w:val="26"/>
          <w:szCs w:val="26"/>
        </w:rPr>
        <w:t xml:space="preserve">las solicitudes de estudio por parte de los Despachos Judiciales, de acuerdo con la Circular 09-2018. </w:t>
      </w:r>
    </w:p>
    <w:p w:rsidRPr="00AE1B2B" w:rsidR="009D3FB5" w:rsidP="00163B94" w:rsidRDefault="009D3FB5" w14:paraId="3B20FB5D"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 Ante su solicitud, el Consejo Superior en la sesión 95-16 del 13 de octubre del 2016, artículo LXII, Circular 09-2018, aprobó un procedimiento para </w:t>
      </w:r>
      <w:r w:rsidRPr="00AE1B2B">
        <w:rPr>
          <w:rFonts w:hint="eastAsia" w:ascii="Times New Roman" w:hAnsi="Times New Roman" w:eastAsia="Times New Roman" w:cs="Times New Roman"/>
          <w:i/>
          <w:iCs/>
          <w:sz w:val="26"/>
          <w:szCs w:val="26"/>
        </w:rPr>
        <w:t>􀂴</w:t>
      </w:r>
      <w:r w:rsidRPr="00AE1B2B">
        <w:rPr>
          <w:rFonts w:ascii="Times New Roman" w:hAnsi="Times New Roman" w:cs="Times New Roman"/>
          <w:i/>
          <w:iCs/>
          <w:sz w:val="26"/>
          <w:szCs w:val="26"/>
        </w:rPr>
        <w:t>filtrar</w:t>
      </w:r>
      <w:r w:rsidRPr="00AE1B2B">
        <w:rPr>
          <w:rFonts w:hint="eastAsia" w:ascii="Times New Roman" w:hAnsi="Times New Roman" w:eastAsia="Times New Roman" w:cs="Times New Roman"/>
          <w:i/>
          <w:iCs/>
          <w:sz w:val="26"/>
          <w:szCs w:val="26"/>
        </w:rPr>
        <w:t>􀂵</w:t>
      </w:r>
      <w:r w:rsidRPr="00AE1B2B">
        <w:rPr>
          <w:rFonts w:ascii="Times New Roman" w:hAnsi="Times New Roman" w:cs="Times New Roman"/>
          <w:i/>
          <w:iCs/>
          <w:sz w:val="26"/>
          <w:szCs w:val="26"/>
        </w:rPr>
        <w:t xml:space="preserve">las solicitudes de estudio por parte de los Despachos Judiciales (denominado procedimiento de tamizaje), el cual las gestiones de los despachos y oficinas judiciales del país deben someterse a diferentes etapas de revisión y valoración, de previo a ser puestas en conocimiento de la Dirección de Planificación, como última instancia de análisis. </w:t>
      </w:r>
    </w:p>
    <w:p w:rsidRPr="00AE1B2B" w:rsidR="009D3FB5" w:rsidP="00163B94" w:rsidRDefault="009D3FB5" w14:paraId="7B57E11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Por lo anterior se adjunta la Circular 09-2018 para que realicen la gestión formalmente y se proceda la valoración correspondiente. </w:t>
      </w:r>
    </w:p>
    <w:p w:rsidRPr="00AE1B2B" w:rsidR="009D3FB5" w:rsidP="00163B94" w:rsidRDefault="009D3FB5" w14:paraId="75634C6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Es importante acotar que, el Juzgado a su cargo, fue abordado por la Dirección de Planificación en los meses de enero y febrero 2017, por los profesionales, el Ing. Nelson Arce y el Ing. Arnold </w:t>
      </w:r>
      <w:r w:rsidRPr="00AE1B2B">
        <w:rPr>
          <w:rFonts w:ascii="Times New Roman" w:hAnsi="Times New Roman" w:cs="Times New Roman"/>
          <w:i/>
          <w:iCs/>
          <w:sz w:val="26"/>
          <w:szCs w:val="26"/>
        </w:rPr>
        <w:lastRenderedPageBreak/>
        <w:t>Alvarado, los cuales elaboraron el informe 1203-PLA-2017, relacionado con el proyecto realizado en el Juzgado Civil, Trabajo, Familia, Agrario, Penal Juvenil y Violencia Doméstica de Buenos Aires, en el marco de la Reforma al Código de Trabajo, el cual fue conocido y aprobado por el Consejo Superior en sesión celebrada el 26 de septiembre del 2017, artículo LXXXI…”.</w:t>
      </w:r>
    </w:p>
    <w:p w:rsidRPr="00AE1B2B" w:rsidR="009D3FB5" w:rsidP="00163B94" w:rsidRDefault="009D3FB5" w14:paraId="7D7700D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 acuerdo con el oficio, se acordó: </w:t>
      </w:r>
    </w:p>
    <w:p w:rsidRPr="00AE1B2B" w:rsidR="009D3FB5" w:rsidP="00163B94" w:rsidRDefault="009D3FB5" w14:paraId="5967B721"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1° Se toma nota de la gestión planteada por el juez Agrario del Juzgado Mixto de Buenos Aires de Puntarenas a la Dirección de Planificación. 2° Consultar a la Dirección de Planificación si se realizó la gestión respectiva. 3° Se declara firme este acuerdo por unanimidad y se dispone a comunicarlo a la Dirección de Planificación y al Juzgado Mixto de Buenos Aires de Puntarenas…”.</w:t>
      </w:r>
    </w:p>
    <w:p w:rsidRPr="00AE1B2B" w:rsidR="009D3FB5" w:rsidP="00163B94" w:rsidRDefault="009D3FB5" w14:paraId="7AE95F67" w14:textId="77777777">
      <w:pPr>
        <w:spacing w:before="120" w:after="120"/>
        <w:ind w:left="851" w:right="851" w:firstLine="709"/>
        <w:jc w:val="both"/>
        <w:rPr>
          <w:rFonts w:ascii="Times New Roman" w:hAnsi="Times New Roman" w:cs="Times New Roman"/>
          <w:i/>
          <w:iCs/>
          <w:sz w:val="26"/>
          <w:szCs w:val="26"/>
        </w:rPr>
      </w:pPr>
    </w:p>
    <w:p w:rsidRPr="00AE1B2B" w:rsidR="009D3FB5" w:rsidP="00163B94" w:rsidRDefault="009D3FB5" w14:paraId="65FDDA44"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A la fecha no se cuenta con una solicitud formal por parte del Juzgado Civil, Trabajo, Familia, Agrario, Penal Juvenil, Contra la Violencia Doméstica y Protección Cautelar Buenos Aires en la Dirección de Planificación. Se procedió a consultar vía telefónica el 26 de febrero al Despacho sobre la solicitud, en lo que el Sr. Diego Padilla Monge, Coordinador Judicial, responde que no se envió tal solicitud. </w:t>
      </w:r>
    </w:p>
    <w:p w:rsidRPr="00AE1B2B" w:rsidR="009D3FB5" w:rsidP="00163B94" w:rsidRDefault="009D3FB5" w14:paraId="56AB599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699BFF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53673296"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90C90FD"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223145A"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06D07D64" w14:textId="77777777">
      <w:pPr>
        <w:pStyle w:val="Prrafodelista"/>
        <w:numPr>
          <w:ilvl w:val="0"/>
          <w:numId w:val="129"/>
        </w:numPr>
        <w:spacing w:before="120" w:after="120"/>
        <w:ind w:left="851" w:right="851" w:firstLine="709"/>
        <w:contextualSpacing/>
        <w:jc w:val="both"/>
        <w:rPr>
          <w:rFonts w:ascii="Times New Roman" w:hAnsi="Times New Roman" w:cs="Times New Roman"/>
          <w:sz w:val="26"/>
          <w:szCs w:val="26"/>
          <w:lang w:val="es-MX"/>
        </w:rPr>
      </w:pPr>
      <w:r w:rsidRPr="00AE1B2B">
        <w:rPr>
          <w:rFonts w:ascii="Times New Roman" w:hAnsi="Times New Roman" w:cs="Times New Roman"/>
          <w:sz w:val="26"/>
          <w:szCs w:val="26"/>
          <w:lang w:val="es-MX"/>
        </w:rPr>
        <w:t>El doctor Enrique Ulate Chacón, Juez Coordinador del Tribunal Agrario, en correo electrónico del 7 de diciembre de 2020, comunicó:</w:t>
      </w:r>
    </w:p>
    <w:p w:rsidRPr="00AE1B2B" w:rsidR="009D3FB5" w:rsidP="00163B94" w:rsidRDefault="009D3FB5" w14:paraId="07671DC1"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“…Con el respeto de siempre, me permito informarle que, en seguimiento de lo ordenado por el Consejo Superior 114-2020 celebrada el 26 de noviembre del 2020, hemos recibido el informe técnico de Planificación (No. 1968-PLA-MI-2020), en cuanto a la solicitud del Tribunal Agrario para la prórroga del plan de descongestionamiento (solicitada antes de que vencieran los nombramientos y los anteriores permisos con goce de salario).</w:t>
      </w:r>
    </w:p>
    <w:p w:rsidRPr="00AE1B2B" w:rsidR="009D3FB5" w:rsidP="00163B94" w:rsidRDefault="009D3FB5" w14:paraId="19ED1FFA"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lastRenderedPageBreak/>
        <w:t>Lamentablemente, al no conocerse a tiempo nuestra gestión, es prácticamente imposible terminar de ejecutar el plan en diciembre, toda vez que las personas que estaban sustituyendo, ya devolvieron los respectivos equipos informáticos, y regresaron a sus cargos en propiedad a primera instancia (Me refiero a las juezas Vanessa Fisher, Ruth Alpízar y Silvia Sánchez).</w:t>
      </w:r>
    </w:p>
    <w:p w:rsidRPr="00AE1B2B" w:rsidR="009D3FB5" w:rsidP="00163B94" w:rsidRDefault="009D3FB5" w14:paraId="38F06967" w14:textId="3C3958A8">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Aparte de lo anterior, dos compañeras del Tribunal han solicitado días de vacaciones y en mi caso un día sin goce de salario. Por otra parte doña María Rosa Castro, indica que no podría acogerse a un nuevo permiso porque ya comenzó a cumplir su período de prueba en el Tribunal Agrario. -</w:t>
      </w:r>
      <w:r w:rsidRPr="00AE1B2B" w:rsidR="00BB7720">
        <w:rPr>
          <w:rFonts w:ascii="Times New Roman" w:hAnsi="Times New Roman" w:cs="Times New Roman"/>
          <w:i/>
          <w:iCs/>
          <w:sz w:val="26"/>
          <w:szCs w:val="26"/>
          <w:lang w:val="es-MX"/>
        </w:rPr>
        <w:t xml:space="preserve"> </w:t>
      </w:r>
      <w:r w:rsidRPr="00AE1B2B">
        <w:rPr>
          <w:rFonts w:ascii="Times New Roman" w:hAnsi="Times New Roman" w:cs="Times New Roman"/>
          <w:i/>
          <w:iCs/>
          <w:sz w:val="26"/>
          <w:szCs w:val="26"/>
          <w:lang w:val="es-MX"/>
        </w:rPr>
        <w:t>Además, don Carlos Picado se encuentra con permiso con goce de salario hasta el 15 de diciembre, y sería la única persona que podría eventualmente acogerse a esa prórroga.</w:t>
      </w:r>
    </w:p>
    <w:p w:rsidRPr="00AE1B2B" w:rsidR="009D3FB5" w:rsidP="00163B94" w:rsidRDefault="009D3FB5" w14:paraId="7A085501"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En virtud de lo anterior, solicitamos al Consejo Superior, respetuosamente, que la decisión que se tome, se pueda ejecutar a partir del próximo año, toda vez que este mes tiene pocos días hábiles y feriados, restando menos de diez días.</w:t>
      </w:r>
    </w:p>
    <w:p w:rsidRPr="00AE1B2B" w:rsidR="009D3FB5" w:rsidP="00163B94" w:rsidRDefault="009D3FB5" w14:paraId="2CB1F73C" w14:textId="61FD9869">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En el informe técnico de planificación se recomienda lo siguiente:</w:t>
      </w:r>
      <w:r w:rsidRPr="00AE1B2B" w:rsidR="00BB7720">
        <w:rPr>
          <w:rFonts w:ascii="Times New Roman" w:hAnsi="Times New Roman" w:cs="Times New Roman"/>
          <w:i/>
          <w:iCs/>
          <w:sz w:val="26"/>
          <w:szCs w:val="26"/>
          <w:lang w:val="es-MX"/>
        </w:rPr>
        <w:t xml:space="preserve"> </w:t>
      </w:r>
      <w:r w:rsidRPr="00AE1B2B">
        <w:rPr>
          <w:rFonts w:ascii="Times New Roman" w:hAnsi="Times New Roman" w:cs="Times New Roman"/>
          <w:i/>
          <w:iCs/>
          <w:sz w:val="26"/>
          <w:szCs w:val="26"/>
          <w:lang w:val="es-MX"/>
        </w:rPr>
        <w:t>"Al Consejo Superior</w:t>
      </w:r>
    </w:p>
    <w:p w:rsidRPr="00AE1B2B" w:rsidR="009D3FB5" w:rsidP="00163B94" w:rsidRDefault="009D3FB5" w14:paraId="4266739E"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w:t>
      </w:r>
      <w:r w:rsidRPr="00AE1B2B">
        <w:rPr>
          <w:rFonts w:ascii="Times New Roman" w:hAnsi="Times New Roman" w:cs="Times New Roman"/>
          <w:i/>
          <w:iCs/>
          <w:sz w:val="26"/>
          <w:szCs w:val="26"/>
          <w:lang w:val="es-MX"/>
        </w:rPr>
        <w:tab/>
      </w:r>
      <w:r w:rsidRPr="00AE1B2B">
        <w:rPr>
          <w:rFonts w:ascii="Times New Roman" w:hAnsi="Times New Roman" w:cs="Times New Roman"/>
          <w:i/>
          <w:iCs/>
          <w:sz w:val="26"/>
          <w:szCs w:val="26"/>
          <w:lang w:val="es-MX"/>
        </w:rPr>
        <w:t>Valorar por parte del Consejo Superior la prórroga solicitada por el Tribunal Agrario, tomando en consideración que la justificación del incumplimiento del plan se debió a situaciones como capacitaciones, período de reacomodo y redistribución de expedientes de todas las oficinas, sumado a los días para el otorgamiento de los equipos de trabajo y las licencias respectivas; y no a las causas pactadas en el plan original, las cuales obedecían a complejidad.</w:t>
      </w:r>
    </w:p>
    <w:p w:rsidRPr="00AE1B2B" w:rsidR="009D3FB5" w:rsidP="00163B94" w:rsidRDefault="009D3FB5" w14:paraId="6F6E3E6D"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w:t>
      </w:r>
      <w:r w:rsidRPr="00AE1B2B">
        <w:rPr>
          <w:rFonts w:ascii="Times New Roman" w:hAnsi="Times New Roman" w:cs="Times New Roman"/>
          <w:i/>
          <w:iCs/>
          <w:sz w:val="26"/>
          <w:szCs w:val="26"/>
          <w:lang w:val="es-MX"/>
        </w:rPr>
        <w:tab/>
      </w:r>
      <w:r w:rsidRPr="00AE1B2B">
        <w:rPr>
          <w:rFonts w:ascii="Times New Roman" w:hAnsi="Times New Roman" w:cs="Times New Roman"/>
          <w:i/>
          <w:iCs/>
          <w:sz w:val="26"/>
          <w:szCs w:val="26"/>
          <w:lang w:val="es-MX"/>
        </w:rPr>
        <w:t>Del mismo modo, la Jueza Magda Díaz se recomienda que quede excluida del Plan de descongestionamiento, de la misma forma que el plan anteriormente aprobado por este Consejo Superior.</w:t>
      </w:r>
    </w:p>
    <w:p w:rsidRPr="00AE1B2B" w:rsidR="009D3FB5" w:rsidP="00163B94" w:rsidRDefault="009D3FB5" w14:paraId="735DC71E"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w:t>
      </w:r>
      <w:r w:rsidRPr="00AE1B2B">
        <w:rPr>
          <w:rFonts w:ascii="Times New Roman" w:hAnsi="Times New Roman" w:cs="Times New Roman"/>
          <w:i/>
          <w:iCs/>
          <w:sz w:val="26"/>
          <w:szCs w:val="26"/>
          <w:lang w:val="es-MX"/>
        </w:rPr>
        <w:tab/>
      </w:r>
      <w:r w:rsidRPr="00AE1B2B">
        <w:rPr>
          <w:rFonts w:ascii="Times New Roman" w:hAnsi="Times New Roman" w:cs="Times New Roman"/>
          <w:i/>
          <w:iCs/>
          <w:sz w:val="26"/>
          <w:szCs w:val="26"/>
          <w:lang w:val="es-MX"/>
        </w:rPr>
        <w:t xml:space="preserve">En caso de aprobarse la prórroga, sería a partir de la aprobación de este oficio y hasta el 18 de diciembre, último día laboral del año por cierre colectivo y sujeto al contenido presupuestario para los permisos con goce de salario y sustitución. Por lo que, del plan original, quedarían pendientes 31 asuntos que corresponden al 13% del plan original, lo cual podrá ser atendido a través del tiempo por parte de las personas juzgadoras ordinarias del Tribunal. </w:t>
      </w:r>
    </w:p>
    <w:p w:rsidRPr="00AE1B2B" w:rsidR="009D3FB5" w:rsidP="00163B94" w:rsidRDefault="009D3FB5" w14:paraId="6FACBCE9"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lastRenderedPageBreak/>
        <w:t>Como puede observarse, el criterio técnico nos da un margen muy estrecho y realmente no sería factible terminar de ejecutar el plan en diciembre porque, además, el Tribunal Agrario, ya ha retornado a la normalidad, y se han tenido que redistribuir los expedientes de nuevo ingreso (de los últimos 3 meses), dejados por las suplentes, entre las 6 personas juzgadoras titulares. -</w:t>
      </w:r>
    </w:p>
    <w:p w:rsidRPr="00AE1B2B" w:rsidR="009D3FB5" w:rsidP="00163B94" w:rsidRDefault="009D3FB5" w14:paraId="50D82FF4"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Además, solicitamos una ampliación al informe de planificación para que se considere la gran cantidad de asuntos complejos que, entre todos, tuvimos que resolver, a fin de reducir, de manera significativa la mora judicial, al punto de no dejar expedientes anteriores al año 2020, con lo cual el circulante del Tribunal Agrario, se ha refrescado mucho.</w:t>
      </w:r>
    </w:p>
    <w:p w:rsidRPr="00AE1B2B" w:rsidR="009D3FB5" w:rsidP="00163B94" w:rsidRDefault="009D3FB5" w14:paraId="10B4807B" w14:textId="77777777">
      <w:pPr>
        <w:spacing w:before="120" w:after="120"/>
        <w:ind w:left="851" w:right="851" w:firstLine="709"/>
        <w:jc w:val="both"/>
        <w:rPr>
          <w:rFonts w:ascii="Times New Roman" w:hAnsi="Times New Roman" w:cs="Times New Roman"/>
          <w:i/>
          <w:iCs/>
          <w:sz w:val="26"/>
          <w:szCs w:val="26"/>
          <w:lang w:val="es-MX"/>
        </w:rPr>
      </w:pPr>
      <w:r w:rsidRPr="00AE1B2B">
        <w:rPr>
          <w:rFonts w:ascii="Times New Roman" w:hAnsi="Times New Roman" w:cs="Times New Roman"/>
          <w:i/>
          <w:iCs/>
          <w:sz w:val="26"/>
          <w:szCs w:val="26"/>
          <w:lang w:val="es-MX"/>
        </w:rPr>
        <w:t>No omito agradecer a nombre del Tribunal Agrario, tanto al Consejo Superior, al Centro de Apoyo, y a la Dirección de Planificación, por todo este esfuerzo conjunto de apoyo que es significativo. Sin embargo, seguiremos laborando bajo el convencimiento de que el Tribunal Agrario requiere, sí o sí, de manera permanente una tercera sección, a fin de sobrellevar la carga de trabajo anual, pero también somos conscientes de las limitaciones presupuestarias existentes…”.</w:t>
      </w:r>
    </w:p>
    <w:p w:rsidRPr="00AE1B2B" w:rsidR="009D3FB5" w:rsidP="00163B94" w:rsidRDefault="009D3FB5" w14:paraId="77B1A42E"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acordó por parte del Consejo Superior, trasladar la gestión presentada por el doctor Enrique Ulate Chacón, Coordinador del Tribunal Agrario, a la Dirección de Planificación, a fin de que esta la analice de forma integral con el estudio de los permisos para los planes de descongestionamiento que se otorgan al sector jurisdiccional.</w:t>
      </w:r>
    </w:p>
    <w:p w:rsidRPr="00AE1B2B" w:rsidR="009D3FB5" w:rsidP="00163B94" w:rsidRDefault="009D3FB5" w14:paraId="74F46D1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sz w:val="26"/>
          <w:szCs w:val="26"/>
        </w:rPr>
        <w:t xml:space="preserve">Ante dicha solicitud la Dirección de Planificación realiza la revisión del oficio preliminar del Centro de Apoyo Coordinación y Mejoramiento de la Función Jurisdiccional, 98-CACMFJ-ACM-2020-B relacionado el seguimiento al cumplimiento del plan de descongestionamiento del Tribunal Agrario como parte del proyecto institucional “Implementación del Código Procesal Agrario”, correspondiente a los meses de setiembre y octubre del 2020 </w:t>
      </w:r>
      <w:r w:rsidRPr="00AE1B2B">
        <w:rPr>
          <w:rFonts w:ascii="Times New Roman" w:hAnsi="Times New Roman" w:cs="Times New Roman"/>
          <w:i/>
          <w:iCs/>
          <w:sz w:val="26"/>
          <w:szCs w:val="26"/>
        </w:rPr>
        <w:t xml:space="preserve">(ver anexo 25). </w:t>
      </w:r>
    </w:p>
    <w:p w:rsidRPr="00AE1B2B" w:rsidR="009D3FB5" w:rsidP="00163B94" w:rsidRDefault="009D3FB5" w14:paraId="60094F3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el oficio se puede apreciar el trabajo realizado por el Tribunal con la sección extraordinaria, en el dictado de sentencia, generaron un total de 141 sentencias de las 222 que existían al inicio del Plan, por lo que queda un remanente de 81 expedientes, de los cuales 7 entraron en el año 2019 y 74 en el año 2020. </w:t>
      </w:r>
    </w:p>
    <w:p w:rsidRPr="00AE1B2B" w:rsidR="009D3FB5" w:rsidP="00163B94" w:rsidRDefault="009D3FB5" w14:paraId="602FC3D2"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Dentro de unos de los puntos, el Dr. Enrique Ulate hace énfasis sobre la complejidad de los casos pertenecientes al circulante, los </w:t>
      </w:r>
      <w:r w:rsidRPr="00AE1B2B">
        <w:rPr>
          <w:rFonts w:ascii="Times New Roman" w:hAnsi="Times New Roman" w:cs="Times New Roman"/>
          <w:sz w:val="26"/>
          <w:szCs w:val="26"/>
        </w:rPr>
        <w:lastRenderedPageBreak/>
        <w:t xml:space="preserve">cuales contribuyeron en su mayor parte que no se cumpliera al 100% con la finalización del plan original. </w:t>
      </w:r>
    </w:p>
    <w:p w:rsidRPr="00AE1B2B" w:rsidR="009D3FB5" w:rsidP="00163B94" w:rsidRDefault="009D3FB5" w14:paraId="237831E6" w14:textId="2C32D7AD">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“…se debe tomar en cuenta que la mayoría de los expedientes establecidos en el</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plan, correspondían a asuntos complejos, los cuales se debe aplicar planes o procedimientos de compensación, sin embargo, se trató de minimizar esta situación, aun cuando es necesaria, para cumplir con las cuotas de trabajo al 100%...”.</w:t>
      </w:r>
    </w:p>
    <w:p w:rsidRPr="00AE1B2B" w:rsidR="009D3FB5" w:rsidP="00163B94" w:rsidRDefault="009D3FB5" w14:paraId="551EF987"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La Dirección de Planificación no tiene criterio para determinar la complejidad de los procesos, por lo que, ante esta solicitud hace eco de lo indicado por el Dr. Enrique Ulate sobre la complejidad de casos, para que sea conocido y considerado por el Consejo Superior. </w:t>
      </w:r>
    </w:p>
    <w:p w:rsidRPr="00AE1B2B" w:rsidR="009D3FB5" w:rsidP="00163B94" w:rsidRDefault="009D3FB5" w14:paraId="205799FE" w14:textId="77777777">
      <w:pPr>
        <w:pStyle w:val="Prrafodelista"/>
        <w:numPr>
          <w:ilvl w:val="0"/>
          <w:numId w:val="129"/>
        </w:numPr>
        <w:spacing w:before="120" w:after="120"/>
        <w:ind w:left="851" w:right="851" w:firstLine="709"/>
        <w:contextualSpacing/>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En sesión del Consejo Superior 74-2020 celebrada el 23 de julio del 2020, articulo XVIII, se conoce la gestión realizada por la licenciada Ruth Alpízar Rodríguez, Jueza Agraria de Liberia, mediante correo electrónico del 14 de julio de 2020, comunicó lo siguiente:</w:t>
      </w:r>
    </w:p>
    <w:p w:rsidRPr="00AE1B2B" w:rsidR="009D3FB5" w:rsidP="00163B94" w:rsidRDefault="009D3FB5" w14:paraId="5BBB78F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“…En relación con el permiso concedido en acuerdo del Consejo Superior del Poder Judicial, sesión N° 53-2020 celebrada el 28 de mayo del 2020, comunico que previa comunicación con el Mag. Luis Guillermo Rivas, se le informó que no era posible iniciar ese proyecto a partir del 15 de julio 2020 y mucho menos terminarlo en 15 días, a lo cual el indicó que le parecía razonable la propuesta que le hicimos para modificar la fecha de inicio del proyecto y su duración.</w:t>
      </w:r>
    </w:p>
    <w:p w:rsidRPr="00AE1B2B" w:rsidR="009D3FB5" w:rsidP="00163B94" w:rsidRDefault="009D3FB5" w14:paraId="421C97D0"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Sin embargo, don Luis está con permiso esta semana por fallecimiento de su padre, por lo que no sabemos el resultado de sus gestiones y ante la proximidad de la fecha originalmente concedida, solicito respetuosamente se tome en cuenta que, al menos mi persona, no podría en ese plazo ni fecha iniciar el proyecto de elaboración de plantillas de la reforma agraria, lo cual, como indiqué, fue del conocimiento desde hace más casi un mes del señor Magistrado que Preside la Comisión de Asuntos Agrarios.</w:t>
      </w:r>
    </w:p>
    <w:p w:rsidRPr="00AE1B2B" w:rsidR="009D3FB5" w:rsidP="00163B94" w:rsidRDefault="009D3FB5" w14:paraId="5DF8D89C"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Los motivos por los cuales se le solicitó al señor Magistrado reconsiderar la forma como inicialmente planteó el proyecto y solicitar una ampliación del plazo y ajuste de fecha de inicio son las siguientes, que se transcriben literalmente del correo enviado a don Luis el 18 de junio pasado:</w:t>
      </w:r>
    </w:p>
    <w:p w:rsidRPr="00AE1B2B" w:rsidR="009D3FB5" w:rsidP="00163B94" w:rsidRDefault="009D3FB5" w14:paraId="2E9AAE8B"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 1) Las plantillas debieron hacerse sin presiones durante el periodo en que la persona gestora de la implementación estuvo nombrada (varios años), para poder revisarlas con detenimiento y </w:t>
      </w:r>
      <w:r w:rsidRPr="00AE1B2B">
        <w:rPr>
          <w:rFonts w:ascii="Times New Roman" w:hAnsi="Times New Roman" w:cs="Times New Roman"/>
          <w:i/>
          <w:iCs/>
          <w:sz w:val="26"/>
          <w:szCs w:val="26"/>
        </w:rPr>
        <w:lastRenderedPageBreak/>
        <w:t>luego democratizarlas para su revisión por quienes las iban a aplicar. Eso no fue así. Y cuando se nos solicita a Carlos y a mi persona colaborar, solo se nos da 24 horas para decidir y además solo se piden 15 días para la tarea, lo cual es un plazo insuficiente como luego explicaré. Mi sentido de colaboración y mi compromiso con la materia, aparte de considerarme una persona idónea, me llevó a aceptar la tarea en principio, sin analizar los alcances y el tiempo real requerido para hacerla responsablemente. Pero en estas dos semanas de junio, he podido con detenimiento sopesar lo que se me pide y en el tiempo otorgado es misión imposible, si se quiere un producto de calidad y elaborado con ética y responsablemente.”.</w:t>
      </w:r>
    </w:p>
    <w:p w:rsidRPr="00AE1B2B" w:rsidR="009D3FB5" w:rsidP="00163B94" w:rsidRDefault="009D3FB5" w14:paraId="7F26C41D"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 Siempre he sido responsable con mis tareas y usted sabe que entrego los productos que se me asignan revisados y con la mejor calidad posible. Para esta labor de hacer las plantillas, creo que cumplo con el perfil óptimo, dado que soy responsable, detallista y además conozco como pocas personas el contenido del CPA, por haber colaborado en su redacción. Pero precisamente por eso, analizando lo que la labor requiere en la primera etapa (redacción de las plantillas), el plazo de 15 días es inaceptable.</w:t>
      </w:r>
    </w:p>
    <w:p w:rsidRPr="00AE1B2B" w:rsidR="009D3FB5" w:rsidP="00163B94" w:rsidRDefault="009D3FB5" w14:paraId="0D3E808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Lo anterior porque son más de 25 procesos los que se debe redactar en plantillas y se debe revisar para ello no solo el CPA sino también el CPC, CPCA y leyes especiales (más de 7).</w:t>
      </w:r>
    </w:p>
    <w:p w:rsidRPr="00AE1B2B" w:rsidR="009D3FB5" w:rsidP="00163B94" w:rsidRDefault="009D3FB5" w14:paraId="31D5756A"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 eso debe aunarse que si se quiere ser consecuente con la reforma agraria y además respetar las Políticas de Género del Poder Judicial, la redacción debe hacerse con lenguaje inclusivo (lo cual requiere un esfuerzo adicional).</w:t>
      </w:r>
    </w:p>
    <w:p w:rsidRPr="00AE1B2B" w:rsidR="009D3FB5" w:rsidP="00163B94" w:rsidRDefault="009D3FB5" w14:paraId="65062A1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Los procesos básicos son:</w:t>
      </w:r>
    </w:p>
    <w:p w:rsidRPr="00AE1B2B" w:rsidR="009D3FB5" w:rsidP="00163B94" w:rsidRDefault="009D3FB5" w14:paraId="3889923E"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w:t>
      </w:r>
      <w:r w:rsidRPr="00AE1B2B">
        <w:rPr>
          <w:rFonts w:ascii="Times New Roman" w:hAnsi="Times New Roman" w:cs="Times New Roman"/>
          <w:i/>
          <w:iCs/>
          <w:sz w:val="26"/>
          <w:szCs w:val="26"/>
        </w:rPr>
        <w:tab/>
      </w:r>
      <w:r w:rsidRPr="00AE1B2B">
        <w:rPr>
          <w:rFonts w:ascii="Times New Roman" w:hAnsi="Times New Roman" w:cs="Times New Roman"/>
          <w:i/>
          <w:iCs/>
          <w:sz w:val="26"/>
          <w:szCs w:val="26"/>
        </w:rPr>
        <w:t>Ordinario</w:t>
      </w:r>
    </w:p>
    <w:p w:rsidRPr="00AE1B2B" w:rsidR="009D3FB5" w:rsidP="00163B94" w:rsidRDefault="009D3FB5" w14:paraId="10BC1EDB"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2. Revisión de modificaciones especiales cuando se trate de ordinario de interés ambiental (algunas personas han confundido lo regulado en el CPA y hablan de un proceso ambienta, pero no es así, sino que existen reglas que se deben aplicar cuando el ordinario trata de un tema de interés ambiental).</w:t>
      </w:r>
    </w:p>
    <w:p w:rsidRPr="00AE1B2B" w:rsidR="009D3FB5" w:rsidP="00163B94" w:rsidRDefault="009D3FB5" w14:paraId="1BF8723B"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Sumario general</w:t>
      </w:r>
    </w:p>
    <w:p w:rsidRPr="00AE1B2B" w:rsidR="009D3FB5" w:rsidP="00163B94" w:rsidRDefault="009D3FB5" w14:paraId="2542FD8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4. Desahucio</w:t>
      </w:r>
    </w:p>
    <w:p w:rsidRPr="00AE1B2B" w:rsidR="009D3FB5" w:rsidP="00163B94" w:rsidRDefault="009D3FB5" w14:paraId="1604F17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5. Interdictos</w:t>
      </w:r>
    </w:p>
    <w:p w:rsidRPr="00AE1B2B" w:rsidR="009D3FB5" w:rsidP="00163B94" w:rsidRDefault="009D3FB5" w14:paraId="56AF6E3E"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6. Derribo</w:t>
      </w:r>
    </w:p>
    <w:p w:rsidRPr="00AE1B2B" w:rsidR="009D3FB5" w:rsidP="00163B94" w:rsidRDefault="009D3FB5" w14:paraId="23251379"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7. Suspensión de obra nueva.</w:t>
      </w:r>
    </w:p>
    <w:p w:rsidRPr="00AE1B2B" w:rsidR="009D3FB5" w:rsidP="00163B94" w:rsidRDefault="009D3FB5" w14:paraId="6068BF5A"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lastRenderedPageBreak/>
        <w:t>. Revisión de reglas especiales del sumario de competencia desleal.</w:t>
      </w:r>
    </w:p>
    <w:p w:rsidRPr="00AE1B2B" w:rsidR="009D3FB5" w:rsidP="00163B94" w:rsidRDefault="009D3FB5" w14:paraId="2D81DAF4"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9. Revisión de reglas especiales del sumario para proteger propiedad intelectual (especialmente los modernos relacionadas con la materia agraria y los tradicionales de los cuáles ya hemos tenido casos: patentes, derechos de personas agriculturas, derechos de personas fitomejoradoras y derechos comunitarios sui-géneris).</w:t>
      </w:r>
    </w:p>
    <w:p w:rsidRPr="00AE1B2B" w:rsidR="009D3FB5" w:rsidP="00163B94" w:rsidRDefault="009D3FB5" w14:paraId="69B994C3"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10. Monitorio dinerario.</w:t>
      </w:r>
    </w:p>
    <w:p w:rsidRPr="00AE1B2B" w:rsidR="009D3FB5" w:rsidP="00163B94" w:rsidRDefault="009D3FB5" w14:paraId="0F8CD9AE"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11. Hipotecario.</w:t>
      </w:r>
    </w:p>
    <w:p w:rsidRPr="00AE1B2B" w:rsidR="009D3FB5" w:rsidP="00163B94" w:rsidRDefault="009D3FB5" w14:paraId="29879DB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12. Prendario.</w:t>
      </w:r>
    </w:p>
    <w:p w:rsidRPr="00AE1B2B" w:rsidR="009D3FB5" w:rsidP="00163B94" w:rsidRDefault="009D3FB5" w14:paraId="52BA1D1E"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13. Garantías mobiliarias.</w:t>
      </w:r>
    </w:p>
    <w:p w:rsidRPr="00AE1B2B" w:rsidR="009D3FB5" w:rsidP="00163B94" w:rsidRDefault="009D3FB5" w14:paraId="48FBE51C"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14. Sucesorios.</w:t>
      </w:r>
    </w:p>
    <w:p w:rsidRPr="00AE1B2B" w:rsidR="009D3FB5" w:rsidP="00163B94" w:rsidRDefault="009D3FB5" w14:paraId="02913B84"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15. Administración por intervención judicial.</w:t>
      </w:r>
    </w:p>
    <w:p w:rsidRPr="00AE1B2B" w:rsidR="009D3FB5" w:rsidP="00163B94" w:rsidRDefault="009D3FB5" w14:paraId="18A4F05A"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16. Localización de derechos no contenciosa.</w:t>
      </w:r>
    </w:p>
    <w:p w:rsidRPr="00AE1B2B" w:rsidR="009D3FB5" w:rsidP="00163B94" w:rsidRDefault="009D3FB5" w14:paraId="0AA5656C"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17. Deslinde y amojonamiento no contencioso.</w:t>
      </w:r>
    </w:p>
    <w:p w:rsidRPr="00AE1B2B" w:rsidR="009D3FB5" w:rsidP="00163B94" w:rsidRDefault="009D3FB5" w14:paraId="0630979C"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18. Consignación de pago.</w:t>
      </w:r>
    </w:p>
    <w:p w:rsidRPr="00AE1B2B" w:rsidR="009D3FB5" w:rsidP="00163B94" w:rsidRDefault="009D3FB5" w14:paraId="1134F811"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19. Información Posesoria.</w:t>
      </w:r>
    </w:p>
    <w:p w:rsidRPr="00AE1B2B" w:rsidR="009D3FB5" w:rsidP="00163B94" w:rsidRDefault="009D3FB5" w14:paraId="381D6716"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20. Incidente de nulidad de Información Posesoria.</w:t>
      </w:r>
    </w:p>
    <w:p w:rsidRPr="00AE1B2B" w:rsidR="009D3FB5" w:rsidP="00163B94" w:rsidRDefault="009D3FB5" w14:paraId="5B0898B3"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21. Rectificación de medida.</w:t>
      </w:r>
    </w:p>
    <w:p w:rsidRPr="00AE1B2B" w:rsidR="009D3FB5" w:rsidP="00163B94" w:rsidRDefault="009D3FB5" w14:paraId="73D6DF7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 Homologación de acuerdo extrajudicial sin proceso judicial previo.</w:t>
      </w:r>
    </w:p>
    <w:p w:rsidRPr="00AE1B2B" w:rsidR="009D3FB5" w:rsidP="00163B94" w:rsidRDefault="009D3FB5" w14:paraId="1547F3A2"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23. Prueba anticipada.</w:t>
      </w:r>
    </w:p>
    <w:p w:rsidRPr="00AE1B2B" w:rsidR="009D3FB5" w:rsidP="00163B94" w:rsidRDefault="009D3FB5" w14:paraId="045A5D34"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24. Medida cautelar anticipada.</w:t>
      </w:r>
    </w:p>
    <w:p w:rsidRPr="00AE1B2B" w:rsidR="009D3FB5" w:rsidP="00163B94" w:rsidRDefault="009D3FB5" w14:paraId="19B6551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25. Proceso de ejecución (que conlleva especial estudio por implicar diversas modalidades): ejecución de costas, ejecución de daños y perjuicios, ejecución de dar, etc.</w:t>
      </w:r>
    </w:p>
    <w:p w:rsidRPr="00AE1B2B" w:rsidR="009D3FB5" w:rsidP="00163B94" w:rsidRDefault="009D3FB5" w14:paraId="02EABB2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26. Procedimientos específicos: Incidentes y tercerías.</w:t>
      </w:r>
    </w:p>
    <w:p w:rsidRPr="00AE1B2B" w:rsidR="009D3FB5" w:rsidP="00163B94" w:rsidRDefault="009D3FB5" w14:paraId="021AADAD"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27. Plantillas de segunda instancia.</w:t>
      </w:r>
    </w:p>
    <w:p w:rsidRPr="00AE1B2B" w:rsidR="009D3FB5" w:rsidP="00163B94" w:rsidRDefault="009D3FB5" w14:paraId="5485658B"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Este listado refleja que si se requiere mínimo 1 día para cada proceso (algunos requieren más de 1 día), se requiere un mes laboral continuo solo para hacer las bases de las plantillas. Pero deben ser revisadas por control lógico de calidad por la otra persona compañera que está en el equipo, para lo cual se requiere otro día, y luego uno adicional para debatir observaciones y analizar mejoras. </w:t>
      </w:r>
      <w:r w:rsidRPr="00AE1B2B">
        <w:rPr>
          <w:rFonts w:ascii="Times New Roman" w:hAnsi="Times New Roman" w:cs="Times New Roman"/>
          <w:i/>
          <w:iCs/>
          <w:sz w:val="26"/>
          <w:szCs w:val="26"/>
        </w:rPr>
        <w:lastRenderedPageBreak/>
        <w:t xml:space="preserve">Esto trabajando dos personas, aun cuando se dividan el trabajo inicial de redacción de plantillas. </w:t>
      </w:r>
    </w:p>
    <w:p w:rsidRPr="00AE1B2B" w:rsidR="009D3FB5" w:rsidP="00163B94" w:rsidRDefault="009D3FB5" w14:paraId="1C956FF8"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Lo anterior demuestra que mínimo y con un esfuerzo responsable y con un conocimiento básico del CPA y de las leyes que se deben estudiar adicionalmente (CPC, CPAC, LIP, LCD, leyes sobre propiedad intelectual, etc.), el plazo mínimo para la primera fase de las plantillas debe ser de DOS MESES (un equipo de dos personas).</w:t>
      </w:r>
    </w:p>
    <w:p w:rsidRPr="00AE1B2B" w:rsidR="009D3FB5" w:rsidP="00163B94" w:rsidRDefault="009D3FB5" w14:paraId="2BF52D33"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Debe por ende justificarse ante el Consejo Superior el por qué el plazo inicialmente pedido para esa labor era inadecuado y absolutamente insuficiente y modificarse la petición para pedir el plazo mínimo indicado.</w:t>
      </w:r>
    </w:p>
    <w:p w:rsidRPr="00AE1B2B" w:rsidR="009D3FB5" w:rsidP="00163B94" w:rsidRDefault="009D3FB5" w14:paraId="77D3C887"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3) ...</w:t>
      </w:r>
    </w:p>
    <w:p w:rsidRPr="00AE1B2B" w:rsidR="009D3FB5" w:rsidP="00163B94" w:rsidRDefault="009D3FB5" w14:paraId="12C0DC6E"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4) Por otro lado, a la fecha (ya pasaron más de dos semanas) no hemos recibido respuesta de su persona sobre el procedimiento que se debe seguir luego del plazo uno, pese a que el correo en el cual le planteamos cuáles eran los pasos mínimos para la democratización y revisión por el colectivo que debe usarlas y tiempos idóneos para ello (procedimiento que además facilita la capacitación en el tema en el futuro). Lógicamente ese proceso se debe ajustar en función de que el primer paso no sería de 15 días sino de dos meses mínimo. Pero consideramos que no es problema, porque primero la Comisión de Asuntos Agrarios nunca exigió que esta labor se hiciese en los años anteriores (como era lo lógico y debido) y aun con la modificación planteada en el primer punto, las plantillas pueden estar listas para febrero 2021, si las hace un equipo responsable y comprometido...".</w:t>
      </w:r>
    </w:p>
    <w:p w:rsidRPr="00AE1B2B" w:rsidR="009D3FB5" w:rsidP="00163B94" w:rsidRDefault="009D3FB5" w14:paraId="0BD5255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b/>
          <w:bCs/>
          <w:i/>
          <w:iCs/>
          <w:sz w:val="26"/>
          <w:szCs w:val="26"/>
        </w:rPr>
        <w:t>se acordó:</w:t>
      </w:r>
      <w:r w:rsidRPr="00AE1B2B">
        <w:rPr>
          <w:rFonts w:ascii="Times New Roman" w:hAnsi="Times New Roman" w:cs="Times New Roman"/>
          <w:i/>
          <w:iCs/>
          <w:sz w:val="26"/>
          <w:szCs w:val="26"/>
        </w:rPr>
        <w:t xml:space="preserve"> Trasladar la gestión presentada por la licenciada Ruth Alpízar Rodríguez, Jueza Agraria de Liberia, a la Comisión de la Jurisdicción Agraria y a la Dirección de Planificación, para que de forma conjunta, remitan criterio técnico a este Consejo, referente a la “Elaboración de una Propuesta de Plantillas del Código Procesal Agrario”. Se declara acuerdo firme.”.</w:t>
      </w:r>
    </w:p>
    <w:p w:rsidRPr="00AE1B2B" w:rsidR="009D3FB5" w:rsidP="00163B94" w:rsidRDefault="009D3FB5" w14:paraId="0B05D84B"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Ante esta solicitud, la Dirección de Planificación no es competente para brindar el criterio técnico, sobre el tiempo que se debe invertir para la realización de las plantillas, por lo que, en este caso, la instancia competente para brindar criterio es la Comisión de la Jurisdicción Agraria.</w:t>
      </w:r>
    </w:p>
    <w:p w:rsidRPr="00AE1B2B" w:rsidR="009D3FB5" w:rsidP="00163B94" w:rsidRDefault="009D3FB5" w14:paraId="7A476160"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En sesión 104-2020 celebrada el 29 de octubre de 2020, artículo L, se conoció el acuerdo tomado por la Comisión de la </w:t>
      </w:r>
      <w:r w:rsidRPr="00AE1B2B">
        <w:rPr>
          <w:rFonts w:ascii="Times New Roman" w:hAnsi="Times New Roman" w:cs="Times New Roman"/>
          <w:sz w:val="26"/>
          <w:szCs w:val="26"/>
        </w:rPr>
        <w:lastRenderedPageBreak/>
        <w:t>Jurisdicción Agraria en la sesión 10-2020 celebrada el 16 de octubre de 2020, artículo X, de conformidad con el artículo 44 de la Ley Orgánica del Poder Judicial y por ser un asunto de interés institucional, se concedió permiso con goce de salario y sustitución, al doctor Carlos Picado Vargas, Juez del Tribunal Agrario, del 16 de noviembre al 15 de diciembre de 2020, a efecto de procediera a construir la propuesta de las plantillas o machotes de la Jurisdicción Agraria, asociados al Código Procesal Agrario.</w:t>
      </w:r>
    </w:p>
    <w:p w:rsidRPr="00AE1B2B" w:rsidR="009D3FB5" w:rsidP="00163B94" w:rsidRDefault="009D3FB5" w14:paraId="1F6F9F8E"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1848D1D8" w14:textId="77777777">
      <w:pPr>
        <w:spacing w:before="120" w:after="120"/>
        <w:ind w:left="851" w:right="851" w:firstLine="709"/>
        <w:jc w:val="both"/>
        <w:rPr>
          <w:rFonts w:ascii="Times New Roman" w:hAnsi="Times New Roman" w:cs="Times New Roman"/>
          <w:sz w:val="26"/>
          <w:szCs w:val="26"/>
        </w:rPr>
      </w:pPr>
    </w:p>
    <w:p w:rsidRPr="00AE1B2B" w:rsidR="009D3FB5" w:rsidP="00163B94" w:rsidRDefault="009D3FB5" w14:paraId="3CA71B58" w14:textId="77777777">
      <w:pPr>
        <w:spacing w:before="120" w:after="120"/>
        <w:ind w:left="851" w:right="851" w:firstLine="709"/>
        <w:jc w:val="both"/>
        <w:rPr>
          <w:rFonts w:ascii="Times New Roman" w:hAnsi="Times New Roman" w:cs="Times New Roman"/>
          <w:sz w:val="26"/>
          <w:szCs w:val="26"/>
        </w:rPr>
      </w:pPr>
      <w:bookmarkStart w:name="_Toc68688580" w:id="312"/>
      <w:r w:rsidRPr="00AE1B2B">
        <w:rPr>
          <w:rFonts w:ascii="Times New Roman" w:hAnsi="Times New Roman" w:cs="Times New Roman"/>
          <w:sz w:val="26"/>
          <w:szCs w:val="26"/>
        </w:rPr>
        <w:t>Elementos Resolutivos</w:t>
      </w:r>
      <w:bookmarkEnd w:id="312"/>
      <w:r w:rsidRPr="00AE1B2B">
        <w:rPr>
          <w:rFonts w:ascii="Times New Roman" w:hAnsi="Times New Roman" w:cs="Times New Roman"/>
          <w:sz w:val="26"/>
          <w:szCs w:val="26"/>
        </w:rPr>
        <w:t xml:space="preserve"> </w:t>
      </w:r>
    </w:p>
    <w:p w:rsidRPr="00AE1B2B" w:rsidR="009D3FB5" w:rsidP="00163B94" w:rsidRDefault="009D3FB5" w14:paraId="71D0CA92" w14:textId="6BC46593">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Creación del “Código Procesal Agrario”, el cual fue aprobado bajo Decreto Legislativo 9609 el 27 de febrero del 2019, el cual entra en vigencia 48 meses después de su publicación en el Diario Oficial La Gaceta, de acuerdo con la ampliación de la vacancia por parte de la Asamblea Legislativa de la República de Costa Rica, que entrará en vigencia el 28 de febrero del 2023.</w:t>
      </w:r>
      <w:r w:rsidRPr="00AE1B2B" w:rsidR="00BB7720">
        <w:rPr>
          <w:rFonts w:ascii="Times New Roman" w:hAnsi="Times New Roman" w:cs="Times New Roman"/>
          <w:sz w:val="26"/>
          <w:szCs w:val="26"/>
          <w:lang w:eastAsia="en-US"/>
        </w:rPr>
        <w:t xml:space="preserve"> </w:t>
      </w:r>
    </w:p>
    <w:p w:rsidRPr="00AE1B2B" w:rsidR="009D3FB5" w:rsidP="00163B94" w:rsidRDefault="009D3FB5" w14:paraId="71F82771" w14:textId="77777777">
      <w:pPr>
        <w:pStyle w:val="Prrafodelista"/>
        <w:numPr>
          <w:ilvl w:val="0"/>
          <w:numId w:val="122"/>
        </w:numPr>
        <w:spacing w:before="120" w:after="120"/>
        <w:ind w:left="851" w:right="851" w:firstLine="709"/>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Surge la necesidad de analizar los posibles cambios que implicaría a nivel de estructura organizativa de los despachos y oficinas del Poder Judicial, así como los costos presupuestarios en el 2022 para su debida implementación.</w:t>
      </w:r>
    </w:p>
    <w:p w:rsidRPr="00AE1B2B" w:rsidR="009D3FB5" w:rsidP="00163B94" w:rsidRDefault="009D3FB5" w14:paraId="580E032D" w14:textId="77777777">
      <w:pPr>
        <w:pStyle w:val="Prrafodelista"/>
        <w:numPr>
          <w:ilvl w:val="0"/>
          <w:numId w:val="122"/>
        </w:numPr>
        <w:spacing w:before="120" w:after="120"/>
        <w:ind w:left="851" w:right="851" w:firstLine="709"/>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Para la confección del presente informe se utilizó como documento de referencia, el informe 555-PLA-RH-MI-2020 y Centro de Apoyo, Coordinación y Mejoramiento de la Función Jurisdiccional y Dirección Ejecutiva.</w:t>
      </w:r>
    </w:p>
    <w:p w:rsidRPr="00AE1B2B" w:rsidR="009D3FB5" w:rsidP="00163B94" w:rsidRDefault="009D3FB5" w14:paraId="2C9CA932"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La Jurisdicción Agraria está conformada por una cantidad de Despachos jurisdiccionales, inferior a otras materias, para un total de 13 especializados y tres (3) mixtos. Además, la mayor proporción de ellos están especializados (82%), quedando en una condición mixta tres juzgados (en las zonas de Buenos Aires, Upala y Turrialba) y existe un único Tribunal que tiene la competencia en segunda instancia a nivel nacional, además de que la última instancia en materia agraria le corresponde a la Sala Primera.</w:t>
      </w:r>
    </w:p>
    <w:p w:rsidRPr="00AE1B2B" w:rsidR="009D3FB5" w:rsidP="00163B94" w:rsidRDefault="009D3FB5" w14:paraId="1113A075"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Los Juzgados Agrarios y el Tribunal Agrarios ya funcionan de manera virtual, pues a julio de 2017 se produjo el cierre de la brecha digital gracias a la colaboración de las Direcciones de Tecnología de la Información, Planificación y Ejecutiva. De ahí, que los procesos se tramitan, mediante el sistema de expediente electrónico. Por ello, no requiere costos adicionales para la implantación electrónica.</w:t>
      </w:r>
    </w:p>
    <w:p w:rsidRPr="00AE1B2B" w:rsidR="009D3FB5" w:rsidP="00163B94" w:rsidRDefault="009D3FB5" w14:paraId="38FF724F"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lastRenderedPageBreak/>
        <w:t>La Defensa Pública cuenta con 16 plazas de Defensor Público en materia Agraria, distribuidas en 14 Circuitos Judiciales del país. Los cuáles son los necesarios para cubrir la carga de trabajo.</w:t>
      </w:r>
    </w:p>
    <w:p w:rsidRPr="00AE1B2B" w:rsidR="009D3FB5" w:rsidP="00163B94" w:rsidRDefault="009D3FB5" w14:paraId="3AD11751"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p>
    <w:p w:rsidRPr="00AE1B2B" w:rsidR="009D3FB5" w:rsidP="00163B94" w:rsidRDefault="009D3FB5" w14:paraId="0278575F"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Personas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 para lo que se han diseñado roles para la atención de casos en los que existan intereses contrapuestos. </w:t>
      </w:r>
    </w:p>
    <w:p w:rsidRPr="00AE1B2B" w:rsidR="009D3FB5" w:rsidP="00163B94" w:rsidRDefault="009D3FB5" w14:paraId="5DBC7BED"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El manejo, registro, control contable, presupuestario y ejecución de los recursos que genere el Código Procesal Agrario, estará a cargo de la plaza de Técnico Administrativo 2, ya que se deberá atender la labor con recursos ordinarios de la Defensa Pública, específicamente con recurso que se brindó para administrar los recursos del Fondo de Materia Laboral, ya que la carga de trabajo lo permite. </w:t>
      </w:r>
    </w:p>
    <w:p w:rsidRPr="00AE1B2B" w:rsidR="009D3FB5" w:rsidP="00163B94" w:rsidRDefault="009D3FB5" w14:paraId="22EB1795"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Los artículos 9 y 13 del proyecto incorporan las figuras de conciliadores y ejecutores para atender la jurisdicción agraria en forma prioritaria, así como apoyar en otras funciones según lo permitan las cargas de trabajo. Se debe de indicar que estas funciones se mantienen en los puestos ya existentes de Jueces y Juezas Agrarias por lo que no es necesaria la creación de más plazas para estas funciones específicas, revisada la carga de trabajo en las condiciones actuales. Lo anterior, ya que se tiene la limitante de conocer la posible carga de trabajo producto del conocimiento de los procesos civiles, cobratorios, contenciosos. </w:t>
      </w:r>
    </w:p>
    <w:p w:rsidRPr="00AE1B2B" w:rsidR="009D3FB5" w:rsidP="00163B94" w:rsidRDefault="009D3FB5" w14:paraId="2FF46980"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Según el criterio de la Comisión del Proyecto de Modernización de la Jurisdicción Agraria, emitido en el 2018 como respuesta al oficio 767-PLA-2018 del 6 de julio de 2018, la atención especializada en conciliación y ejecución, que se menciona en la Ley, en caso de ser necesario, recaerá en las dos plazas de personas juzgadoras supernumerarias agrarias que pertenecen al Centro de Apoyo, Coordinación y Mejoramiento de la Función Jurisdiccional</w:t>
      </w:r>
    </w:p>
    <w:p w:rsidRPr="00AE1B2B" w:rsidR="009D3FB5" w:rsidP="00163B94" w:rsidRDefault="009D3FB5" w14:paraId="4E801A15" w14:textId="5AC9225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El Transitorio II establece un plazo de seis meses, a partir de la entrada en vigencia del Código Procesal Agrario, para designar </w:t>
      </w:r>
      <w:r w:rsidRPr="00AE1B2B">
        <w:rPr>
          <w:rFonts w:ascii="Times New Roman" w:hAnsi="Times New Roman" w:cs="Times New Roman"/>
          <w:sz w:val="26"/>
          <w:szCs w:val="26"/>
          <w:lang w:eastAsia="en-US"/>
        </w:rPr>
        <w:lastRenderedPageBreak/>
        <w:t>un equipo de personas juzgadoras conciliadoras especialistas en Derecho Agrario y Ambiental. Se debe de indicar que estas funciones se mantienen en los puestos ya existentes de Jueces y Juezas Agrarias por lo que no es necesaria la creación de más plazas,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 El Código Procesal Agrario entra en vigencia el 28 de febrero del 2023.</w:t>
      </w:r>
      <w:r w:rsidRPr="00AE1B2B" w:rsidR="00BB7720">
        <w:rPr>
          <w:rFonts w:ascii="Times New Roman" w:hAnsi="Times New Roman" w:cs="Times New Roman"/>
          <w:sz w:val="26"/>
          <w:szCs w:val="26"/>
          <w:lang w:eastAsia="en-US"/>
        </w:rPr>
        <w:t xml:space="preserve"> </w:t>
      </w:r>
    </w:p>
    <w:p w:rsidRPr="00AE1B2B" w:rsidR="009D3FB5" w:rsidP="00163B94" w:rsidRDefault="009D3FB5" w14:paraId="23757584"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w:t>
      </w:r>
    </w:p>
    <w:p w:rsidRPr="00AE1B2B" w:rsidR="009D3FB5" w:rsidP="00163B94" w:rsidRDefault="009D3FB5" w14:paraId="6C2A1348"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El personal de la judicatura Agraria cuenta en su totalidad, con equipo de cómputo portátil, debido a que las audiencias se realizan fuera del Despacho y es útil para trasladarlos al lugar del conflicto, de conformidad con el principio de itinerancia que rige esta materia. </w:t>
      </w:r>
    </w:p>
    <w:p w:rsidRPr="00AE1B2B" w:rsidR="009D3FB5" w:rsidP="00163B94" w:rsidRDefault="009D3FB5" w14:paraId="25329231" w14:textId="77777777">
      <w:pPr>
        <w:pStyle w:val="Prrafodelista"/>
        <w:numPr>
          <w:ilvl w:val="0"/>
          <w:numId w:val="122"/>
        </w:numPr>
        <w:spacing w:before="120" w:after="120"/>
        <w:ind w:left="851" w:right="851" w:firstLine="709"/>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 xml:space="preserve">Los traslados a las fincas requieren la disponibilidad de vehículos institucionales, siendo que este servicio lo brindan las Administraciones Regionales una (1) o dos (2) veces por semana por persona juzgadora, aspecto que limita la atención oportuna de las audiencias señaladas en agenda. </w:t>
      </w:r>
    </w:p>
    <w:p w:rsidRPr="00AE1B2B" w:rsidR="009D3FB5" w:rsidP="00163B94" w:rsidRDefault="009D3FB5" w14:paraId="201F1DF8" w14:textId="7BCDC36D">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Por lo indicado tanto por la Comisión de la Jurisdicción Agraria, como la capacidad de respuesta que indica la</w:t>
      </w:r>
      <w:r w:rsidRPr="00AE1B2B" w:rsidR="00BB7720">
        <w:rPr>
          <w:rFonts w:ascii="Times New Roman" w:hAnsi="Times New Roman" w:cs="Times New Roman"/>
          <w:sz w:val="26"/>
          <w:szCs w:val="26"/>
          <w:lang w:eastAsia="en-US"/>
        </w:rPr>
        <w:t xml:space="preserve"> </w:t>
      </w:r>
      <w:r w:rsidRPr="00AE1B2B">
        <w:rPr>
          <w:rFonts w:ascii="Times New Roman" w:hAnsi="Times New Roman" w:cs="Times New Roman"/>
          <w:sz w:val="26"/>
          <w:szCs w:val="26"/>
          <w:lang w:eastAsia="en-US"/>
        </w:rPr>
        <w:t xml:space="preserve">Dirección Ejecutiva, la Dirección de Planificación mantiene la recomendación de la dotación de vehículos, se visualiza un posible riesgo latente, ya que en la actualidad, la disponibilidad de los vehículos de la Defensa Pública, Ministerio Público o del Organismo de Investigación Judicial, se conoce poco tiempo antes de los señalamientos a audiencia, lo que genera el riesgo de suspensión de audiencias orales en sitio según se establece en el Código Procesal Agrario, al no contar con los recursos mínimos necesarios para desarrollar este acto procesal. </w:t>
      </w:r>
    </w:p>
    <w:p w:rsidRPr="00AE1B2B" w:rsidR="009D3FB5" w:rsidP="00163B94" w:rsidRDefault="009D3FB5" w14:paraId="64CD8776"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Ante ello, se propone reforzar con vehículos y choferes a las siguientes Administraciones Regionales: San Ramón, Cartago, Goicoechea, Alajuela y Puntarenas; y un chofer para la Administración Regional del Juzgado Agrario del Segundo Circuito Judicial de la Zona Sur, sede Corredores. </w:t>
      </w:r>
    </w:p>
    <w:p w:rsidRPr="00AE1B2B" w:rsidR="009D3FB5" w:rsidP="00163B94" w:rsidRDefault="009D3FB5" w14:paraId="3BD2A7F0"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lastRenderedPageBreak/>
        <w:t xml:space="preserve">Según políticas internas es necesario la creación de reglamentos para la administración de los fondos, la Magistrada Damaris Vargas en su informe de cierre de gestión de la coordinación de proyecto indica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 </w:t>
      </w:r>
    </w:p>
    <w:p w:rsidRPr="00AE1B2B" w:rsidR="009D3FB5" w:rsidP="00163B94" w:rsidRDefault="009D3FB5" w14:paraId="1B817583"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 El Código Procesal Agrario, plantea dos (2) opciones de financiamiento, como se detallan a continuación:</w:t>
      </w:r>
    </w:p>
    <w:p w:rsidRPr="00AE1B2B" w:rsidR="009D3FB5" w:rsidP="00163B94" w:rsidRDefault="009D3FB5" w14:paraId="5085D577" w14:textId="77777777">
      <w:pPr>
        <w:pStyle w:val="Prrafodelista"/>
        <w:numPr>
          <w:ilvl w:val="0"/>
          <w:numId w:val="123"/>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Los montos de las multas impuestas a las personas usuarias por su no asistencia de manera injustificada a las audiencias de prueba pasan a formar un fondo de financiamiento de la Jurisdicción Agraria.</w:t>
      </w:r>
    </w:p>
    <w:p w:rsidRPr="00AE1B2B" w:rsidR="009D3FB5" w:rsidP="00163B94" w:rsidRDefault="009D3FB5" w14:paraId="395B1CE2" w14:textId="77777777">
      <w:pPr>
        <w:pStyle w:val="Prrafodelista"/>
        <w:numPr>
          <w:ilvl w:val="0"/>
          <w:numId w:val="123"/>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Las sumas provenientes de las costas procesales y personales que deben cancelarse a las personas usuarias que han sido defendidas por defensores públicos agrarios, montos que se asignarán un 50% a fortalecer la Defensa Pública Agraria y otro 50% a la Jurisdicción Agraria.</w:t>
      </w:r>
    </w:p>
    <w:p w:rsidRPr="00AE1B2B" w:rsidR="009D3FB5" w:rsidP="00163B94" w:rsidRDefault="009D3FB5" w14:paraId="776FDE18"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rsidRPr="00AE1B2B" w:rsidR="009D3FB5" w:rsidP="00163B94" w:rsidRDefault="009D3FB5" w14:paraId="19A83050" w14:textId="77777777">
      <w:pPr>
        <w:pStyle w:val="Prrafodelista"/>
        <w:numPr>
          <w:ilvl w:val="0"/>
          <w:numId w:val="122"/>
        </w:numPr>
        <w:spacing w:before="120" w:after="120"/>
        <w:ind w:left="851" w:right="851" w:firstLine="709"/>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Con la implementación del Código Procesal Agrario surgen una serie de ajustes que viene a reducir los tiempos de proceso y agilización de los trámites, a continuación, se detallan algunos de los principales cambios:</w:t>
      </w:r>
    </w:p>
    <w:p w:rsidRPr="00AE1B2B" w:rsidR="009D3FB5" w:rsidP="00163B94" w:rsidRDefault="009D3FB5" w14:paraId="64522E9F" w14:textId="77777777">
      <w:pPr>
        <w:pStyle w:val="Prrafodelista"/>
        <w:numPr>
          <w:ilvl w:val="1"/>
          <w:numId w:val="122"/>
        </w:numPr>
        <w:spacing w:before="120" w:after="120"/>
        <w:ind w:left="851" w:right="851" w:firstLine="709"/>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 xml:space="preserve">La declaración de las incompetencias se podrá declarar de oficio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rsidRPr="00AE1B2B" w:rsidR="009D3FB5" w:rsidP="00163B94" w:rsidRDefault="009D3FB5" w14:paraId="3FD3877E" w14:textId="77777777">
      <w:pPr>
        <w:pStyle w:val="Prrafodelista"/>
        <w:numPr>
          <w:ilvl w:val="1"/>
          <w:numId w:val="122"/>
        </w:numPr>
        <w:spacing w:before="120" w:after="120"/>
        <w:ind w:left="851" w:right="851" w:firstLine="709"/>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 xml:space="preserve">Otro aspecto importante que permite agilidad en el proceso, serán las audiencias previas que se deben realizar en el sitio </w:t>
      </w:r>
      <w:r w:rsidRPr="00AE1B2B">
        <w:rPr>
          <w:rFonts w:ascii="Times New Roman" w:hAnsi="Times New Roman" w:cs="Times New Roman"/>
          <w:sz w:val="26"/>
          <w:szCs w:val="26"/>
          <w:lang w:val="es-ES_tradnl"/>
        </w:rPr>
        <w:lastRenderedPageBreak/>
        <w:t>(artículo 173 del Código Procesal Agrario), esto va a permitir que en esa audiencia se concentren varias acciones (conciliaciones, medidas cautelares, defensas previas, incidentes, ampliaciones, entre otras) del proceso, permitiendo agilizar el proceso.</w:t>
      </w:r>
    </w:p>
    <w:p w:rsidRPr="00AE1B2B" w:rsidR="009D3FB5" w:rsidP="00163B94" w:rsidRDefault="009D3FB5" w14:paraId="3101BEAC" w14:textId="77777777">
      <w:pPr>
        <w:pStyle w:val="Prrafodelista"/>
        <w:numPr>
          <w:ilvl w:val="1"/>
          <w:numId w:val="122"/>
        </w:numPr>
        <w:spacing w:before="120" w:after="120"/>
        <w:ind w:left="851" w:right="851" w:firstLine="709"/>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 xml:space="preserve">Actualmente la legislación establece que las sentencias se deben de dictar de forma escrita y estableciendo un plazo para la elaboración, con la implementación del Código Procesal Agrario establece que las sentencias se dicten de forma oral al momento del juicio o audiencia, esto va a permitir agilizar los procesos y beneficiar a la persona usuaria, incluso que la Apelación sea presentada de forma siguiente al dictado de la sentencia. </w:t>
      </w:r>
    </w:p>
    <w:p w:rsidRPr="00AE1B2B" w:rsidR="009D3FB5" w:rsidP="00163B94" w:rsidRDefault="009D3FB5" w14:paraId="2AFC946B"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En cuanto el análisis de Indicadores de Gestión de los Juzgados Agrarios especializados, para el 2020 hubo reducciones en el ingreso de cargas de trabajo como también una disminución de casos terminados, pasando de 36 casos en promedio en el 2019 a 30 casos en promedio en el 2020. </w:t>
      </w:r>
    </w:p>
    <w:p w:rsidRPr="00AE1B2B" w:rsidR="009D3FB5" w:rsidP="00163B94" w:rsidRDefault="009D3FB5" w14:paraId="36D68EBC"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Los Juzgados Agrarios de Santa Cruz, Limón y San Carlos son considerados como los de mayor ingreso por plaza de Jueza o Juez, ya que, muestran porcentajes entre los 22% y 37% más que la media nacional (16).</w:t>
      </w:r>
    </w:p>
    <w:p w:rsidRPr="00AE1B2B" w:rsidR="009D3FB5" w:rsidP="00163B94" w:rsidRDefault="009D3FB5" w14:paraId="602E8F2C"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El circulante a nivel de los Juzgados Agrarios especializados, experimentó una reducción de 133 expedientes en 2020, en relación con el año que le antecede. </w:t>
      </w:r>
    </w:p>
    <w:p w:rsidRPr="00AE1B2B" w:rsidR="009D3FB5" w:rsidP="00163B94" w:rsidRDefault="009D3FB5" w14:paraId="753772C2"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Han logrado disminuir el plazo de espera para el dictado de sentencia, con la excepción del Juzgado Agrario de Alajuela, que aumentó el plazo considerablemente con respecto al 2019. </w:t>
      </w:r>
    </w:p>
    <w:p w:rsidRPr="00AE1B2B" w:rsidR="009D3FB5" w:rsidP="00163B94" w:rsidRDefault="009D3FB5" w14:paraId="6B3A6C44"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La resolución de demandas nuevas para el 2020 se pudo apreciar plazos menores en comparación con el 2019, producto de la atención expedienta de estos casos. </w:t>
      </w:r>
    </w:p>
    <w:p w:rsidRPr="00AE1B2B" w:rsidR="009D3FB5" w:rsidP="00163B94" w:rsidRDefault="009D3FB5" w14:paraId="3B586D35"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El plazo de espera para la resolución de escritos obtuvo plazos superiores al 2019, evidenciado un Juzgado con 738 días de atraso en este indicador. </w:t>
      </w:r>
    </w:p>
    <w:p w:rsidRPr="00AE1B2B" w:rsidR="009D3FB5" w:rsidP="00163B94" w:rsidRDefault="009D3FB5" w14:paraId="4A625183"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El indicador Cantidad de audiencias pendientes de realización, mayormente se ha visto afectado por la pandemia mundial, ya que muchos indican que se han tenido que suspender señalamientos porque las partes no llegan o han solicitado una reprogramación. En este caso se puede visualizar que el Juzgado de Pococí tuvo un aumento considerable en la cantidad de audiencias pendientes de realizar, ya que para el 2019, se obtuvo un promedio </w:t>
      </w:r>
      <w:r w:rsidRPr="00AE1B2B">
        <w:rPr>
          <w:rFonts w:ascii="Times New Roman" w:hAnsi="Times New Roman" w:cs="Times New Roman"/>
          <w:sz w:val="26"/>
          <w:szCs w:val="26"/>
          <w:lang w:eastAsia="en-US"/>
        </w:rPr>
        <w:lastRenderedPageBreak/>
        <w:t>mensual de 39 señalamientos pendientes y para 2020 aumentó a 176 casos en promedio, es decir una elevación del 351%.</w:t>
      </w:r>
    </w:p>
    <w:p w:rsidRPr="00AE1B2B" w:rsidR="009D3FB5" w:rsidP="00163B94" w:rsidRDefault="009D3FB5" w14:paraId="38DDDE77"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Para el final del periodo 2020, los Juzgados Agrarios especializados contó con un pendiente de fallo de 292 expedientes en total.</w:t>
      </w:r>
    </w:p>
    <w:p w:rsidRPr="00AE1B2B" w:rsidR="009D3FB5" w:rsidP="00163B94" w:rsidRDefault="009D3FB5" w14:paraId="32AC46D6"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La cantidad de escritos pendientes de resolver para el 2020, reduce el promedio de casos en relación con el 2019. Este comportamiento se aprecia principalmente en los Juzgados Agrarios de Cartago, Limón, Puntarenas y Santa Cruz, quienes redujeron el promedio con diferencias que oscilan entre 81 y 121 escritos.</w:t>
      </w:r>
    </w:p>
    <w:p w:rsidRPr="00AE1B2B" w:rsidR="009D3FB5" w:rsidP="00163B94" w:rsidRDefault="009D3FB5" w14:paraId="16263DC9"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En el indicador de Cantidad de demandas nuevas, se redujo la cantidad promedio de expedientes nuevos pendientes de del primer trámite, con excepción de los Juzgados de Santa Cruz, San Carlos y Corredores, que aumentaron la cantidad en el 2020 con respecto al año que le antecede, el cual oscila entre 0 y 10 casos.</w:t>
      </w:r>
    </w:p>
    <w:p w:rsidRPr="00AE1B2B" w:rsidR="009D3FB5" w:rsidP="00163B94" w:rsidRDefault="009D3FB5" w14:paraId="541D0AC8"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Para el 2020 se obtuvo un promedio de 10 casos terminados por persona juzgadora, de los cuales el 36% equivalen a Sentencias Dictadas y 64% a otros motivos de término. </w:t>
      </w:r>
    </w:p>
    <w:p w:rsidRPr="00AE1B2B" w:rsidR="009D3FB5" w:rsidP="00163B94" w:rsidRDefault="009D3FB5" w14:paraId="79336E6C"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Los Juzgados Agrario de Pérez Zeledón y Puntarenas, presentaron un porcentaje de mejoría sobresaliente en relación con sus homólogos, de acuerdo con el 2019 y 2020, con un 82% de mejoría. Por lo contrario, el Juzgado Agrario de Santa Cruz es el Despacho que menor porcentaje de mejoría obtuvo, con un 24%. </w:t>
      </w:r>
    </w:p>
    <w:p w:rsidRPr="00AE1B2B" w:rsidR="009D3FB5" w:rsidP="00163B94" w:rsidRDefault="009D3FB5" w14:paraId="45202849"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En el caso de los Indicadores de Gestión de los Juzgados de naturaleza mixta (Buenos Aires, Upala y Turrialba), el Juzgado de Upala predomina con números mayores en cada uno de los indicadores en comparación con su homólogo de Buenos Aires.</w:t>
      </w:r>
    </w:p>
    <w:p w:rsidRPr="00AE1B2B" w:rsidR="009D3FB5" w:rsidP="00163B94" w:rsidRDefault="009D3FB5" w14:paraId="7DB64684" w14:textId="6B0D5999">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En el caso de Upala, quien actualmente tramita varias materias y la Jueza a cargo de la materia Agraria, debe tramitar adicionalmente la materia Penal Juvenil, al mostrar una entrada de 23 asuntos mensuales (se ubica prácticamente dentro del parámetro de 20 a 30 casos), cumple con el parámetro para la especialización; por lo cual, la Dirección de Planificación replantea la recomendación emitida en informe 27-PLA-MI-2017 de especializar dicho Despacho y especializar la materia agraria en el Cantón de Upala con una estructura mínima reforzada en el actual Juzgado Mixto conformada por dos plazas de Jueza o Juez (una de esta ya se tiene con materia Agraria y Penal Juvenil y la otra sería plaza nueva ordinaria para materia Agraria) y una plaza de técnico o técnica judicial (ya se tiene con materia agraria y penal juvenil). Además, se requiere del </w:t>
      </w:r>
      <w:r w:rsidRPr="00AE1B2B">
        <w:rPr>
          <w:rFonts w:ascii="Times New Roman" w:hAnsi="Times New Roman" w:cs="Times New Roman"/>
          <w:sz w:val="26"/>
          <w:szCs w:val="26"/>
          <w:lang w:eastAsia="en-US"/>
        </w:rPr>
        <w:lastRenderedPageBreak/>
        <w:t>acondicionamiento de la infraestructura física y tecnológica para la plaza.</w:t>
      </w:r>
      <w:r w:rsidRPr="00AE1B2B" w:rsidR="00BB7720">
        <w:rPr>
          <w:rFonts w:ascii="Times New Roman" w:hAnsi="Times New Roman" w:cs="Times New Roman"/>
          <w:sz w:val="26"/>
          <w:szCs w:val="26"/>
          <w:lang w:eastAsia="en-US"/>
        </w:rPr>
        <w:t xml:space="preserve"> </w:t>
      </w:r>
    </w:p>
    <w:p w:rsidRPr="00AE1B2B" w:rsidR="009D3FB5" w:rsidP="00163B94" w:rsidRDefault="009D3FB5" w14:paraId="54BC3987"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Según consulta realizada a la Dirección Ejecutiva, la inclusión de una plaza de persona juzgadora, cuenta espacio para el puesto de personal juzgador, ya que se puede utilizar un espacio de la oficina de Trabajo Social y Piscología de Upala.</w:t>
      </w:r>
    </w:p>
    <w:p w:rsidRPr="00AE1B2B" w:rsidR="009D3FB5" w:rsidP="00163B94" w:rsidRDefault="009D3FB5" w14:paraId="53F7C862"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El Tribunal Agrario ha sido irregular desde la implementación de los Indicadores de Gestión, con entradas de carga de trabajo que oscilan entre los 55 y 127 casos al mes. En cuanto a los casos terminados, lograron terminar un promedio de 100 sentencias al mes, ayudado también por los planes de trabajo ejecutados en la oficina con ayuda de una sección extraordinaria. Lo anterior ayudó significativamente la reducción del circulante, que, para finales del 2019, se contó con un circulante de 240 expedientes y al finalizar el periodo 2020 se reduce a 116 expedientes.</w:t>
      </w:r>
    </w:p>
    <w:p w:rsidRPr="00AE1B2B" w:rsidR="009D3FB5" w:rsidP="00163B94" w:rsidRDefault="009D3FB5" w14:paraId="63CF375C"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Los indicadores de plazos en el Tribunal experimentaron reducciones positivas, al pasar de 2303 días en la espera del dictado de sentencia de un caso que procedía del 2013 a tener un plazo de 377 días al finalizar el 2020. El plazo para la atención de escritos, que en su mayoría esos escritos se terminan con el dictado de la sentencia, plazo que pasó de 2303 días a siete (7) días. El Plazo de espera de expediente votado más antiguo pendiente de firmar la sentencia, esta oficina posee excelentes números, al mantener en cero (0) días plazo, producto de la buena práctica que cuanto se vota el expediente ser firma de inmediato</w:t>
      </w:r>
    </w:p>
    <w:p w:rsidRPr="00AE1B2B" w:rsidR="009D3FB5" w:rsidP="00163B94" w:rsidRDefault="009D3FB5" w14:paraId="1F8BA382"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El Tribunal Agrario terminó el 2019 con 222 casos pendientes del dictado de sentencia, lo cual, ante la buena gestión de la oficio y producto de la colaboración de la una sección extraordinaria, se logra reducir este dato al finalizar el 2020 a 117 casos pendientes de fallo</w:t>
      </w:r>
    </w:p>
    <w:p w:rsidRPr="00AE1B2B" w:rsidR="009D3FB5" w:rsidP="00163B94" w:rsidRDefault="009D3FB5" w14:paraId="4B0C78F5"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La cantidad de expedientes enviados a estudio por Técnica o Técnico Judicial al personal juzgador tiene un promedio de 90 casos mensuales, lo cual refleja un promedio de 30 casos por persona técnica judicial al mes. En relación con la cantidad de sentencias dictadas, promedian 91 casos al mes.</w:t>
      </w:r>
    </w:p>
    <w:p w:rsidRPr="00AE1B2B" w:rsidR="009D3FB5" w:rsidP="00163B94" w:rsidRDefault="009D3FB5" w14:paraId="38893AD4"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La creación del Juzgado Agrario de Puntarenas, sede Jicaral fue aprobada por Corte Plena en sesión 53-2020, celebrada el 21 de setiembre de 2020, artículo XV, acogió la propuesta de la Dirección de Planificación contenida en el estudio 555-PLA-RH-MI-2020 denominado “Impacto organizacional y presupuestario en el Poder Judicial a partir de la promulgación del Nuevo Código Procesal </w:t>
      </w:r>
      <w:r w:rsidRPr="00AE1B2B">
        <w:rPr>
          <w:rFonts w:ascii="Times New Roman" w:hAnsi="Times New Roman" w:cs="Times New Roman"/>
          <w:sz w:val="26"/>
          <w:szCs w:val="26"/>
          <w:lang w:eastAsia="en-US"/>
        </w:rPr>
        <w:lastRenderedPageBreak/>
        <w:t xml:space="preserve">Agrario para el 2021. Ley 9609”, en consecuencia, se aprobó la creación del Juzgado Agrario de Jicaral, así como el cambio de competencias territoriales del Juzgado Agrario de Puntarenas y del Juzgado Agrario del Segundo Circuito Judicial de Guanacaste, sede Santa Cruz; </w:t>
      </w:r>
      <w:r w:rsidRPr="00AE1B2B">
        <w:rPr>
          <w:rFonts w:ascii="Times New Roman" w:hAnsi="Times New Roman" w:cs="Times New Roman"/>
          <w:sz w:val="26"/>
          <w:szCs w:val="26"/>
          <w:lang w:val="es-MX"/>
        </w:rPr>
        <w:t>fue comunicado el 15 de enero 2021 por parte de la Secretaría General de la Corte, circular 238-2020.</w:t>
      </w:r>
    </w:p>
    <w:p w:rsidRPr="00AE1B2B" w:rsidR="009D3FB5" w:rsidP="00163B94" w:rsidRDefault="009D3FB5" w14:paraId="03A2991B"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La plaza vacante 107815 de Técnico Judicial 2 del Juzgado Agrario de Santa Cruz, será el recurso que formará parte de la estructura de trabajo del nuevo Juzgado Agrario de Jicaral. </w:t>
      </w:r>
    </w:p>
    <w:p w:rsidRPr="00AE1B2B" w:rsidR="009D3FB5" w:rsidP="00163B94" w:rsidRDefault="009D3FB5" w14:paraId="0FD85C3B"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La máster Kenia Alvarado Villalobos, Oficial de Cumplimiento comunica que la plaza 22929 de Técnico Judicial 1 se le asignó al Tribunal de Juicio del Segundo Circuito Judicial de San José para completar su estructura mínima de trabajo por medio del acuerdo del Consejo Superior 120-2020 del 17 de diciembre del 2020, artículo XCIII, lo cual elimina toda posibilidad de efectuar un movimiento sobre este puesto para que sea parte de la estructura de trabajo del Juzgado Agrario de Jicaral. </w:t>
      </w:r>
    </w:p>
    <w:p w:rsidRPr="00AE1B2B" w:rsidR="009D3FB5" w:rsidP="00163B94" w:rsidRDefault="009D3FB5" w14:paraId="7A56F87B"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La Dirección de Planificación remite a la Secretaría de la Corte, el oficio 159-PLA-MI-2020, en el cual se solicitó dejar sin efecto el punto b del acuerdo de la sesión 120-2020 celebrada el 17 de diciembre en curso, por lo que la plaza 22929 debe asignarse al nuevo Juzgado Agrario de Jicaral.</w:t>
      </w:r>
    </w:p>
    <w:p w:rsidRPr="00AE1B2B" w:rsidR="009D3FB5" w:rsidP="00163B94" w:rsidRDefault="009D3FB5" w14:paraId="75877799"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La estructura estará conformada por una (1) persona juzgadora supernumeraria vacante 102113 del CACMFJ recalificada a Jueza o Juez 3, una (1) persona coordinadora judicial plaza vacante 22929 (anteriormente Oficina de Cumplimiento) y una persona técnica judicial proveniente del Juzgado Agrario de Santa Cruz plaza vacante 107815. </w:t>
      </w:r>
    </w:p>
    <w:p w:rsidRPr="00AE1B2B" w:rsidR="009D3FB5" w:rsidP="00163B94" w:rsidRDefault="009D3FB5" w14:paraId="69041E98"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Como parte de la puesta en marcha del proyecto, en el mismo informe se realiza una seria de recomendaciones a las diferentes oficinas involucradas en el proceso, por lo que, una vez aprobado el informe en mención, se requiere la ejecución de estas.</w:t>
      </w:r>
    </w:p>
    <w:p w:rsidRPr="00AE1B2B" w:rsidR="009D3FB5" w:rsidP="00163B94" w:rsidRDefault="009D3FB5" w14:paraId="5E168A5A" w14:textId="77777777">
      <w:pPr>
        <w:pStyle w:val="Prrafodelista"/>
        <w:numPr>
          <w:ilvl w:val="0"/>
          <w:numId w:val="122"/>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No es posible proyectar la carga de trabajo que tendrán los Juzgados Agrarios una vez entrada en vigencia el Código Procesal Agrario, ya que adquirirán competencia sobre los procesos Sucesorios de naturaleza agrícola en materia Civil y los Cobratorios con garantías Agrarias. </w:t>
      </w:r>
    </w:p>
    <w:p w:rsidRPr="00AE1B2B" w:rsidR="009D3FB5" w:rsidP="00163B94" w:rsidRDefault="009D3FB5" w14:paraId="21C6966F"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No se cuenta con la mejora a nivel de los sistemas para determinar las cargas de trabajo, no se podrá realizar el muestreo para definir una posible proyección de los posibles asuntos que puedan </w:t>
      </w:r>
      <w:r w:rsidRPr="00AE1B2B">
        <w:rPr>
          <w:rFonts w:ascii="Times New Roman" w:hAnsi="Times New Roman" w:cs="Times New Roman"/>
          <w:sz w:val="26"/>
          <w:szCs w:val="26"/>
          <w:lang w:eastAsia="en-US"/>
        </w:rPr>
        <w:lastRenderedPageBreak/>
        <w:t>ingresar a la jurisdicción agraria producto de la entrada en vigencia del nuevo código procesal agrario.</w:t>
      </w:r>
    </w:p>
    <w:p w:rsidRPr="00AE1B2B" w:rsidR="009D3FB5" w:rsidP="00163B94" w:rsidRDefault="009D3FB5" w14:paraId="5A85DDD7"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En relación con los resultados de planes de trabajo, la producción alcanzada el personal jugador que se acogió a los permisos con goce de salario, obtuvo promedios de producción entre el 87% y el 104%. </w:t>
      </w:r>
    </w:p>
    <w:p w:rsidRPr="00AE1B2B" w:rsidR="009D3FB5" w:rsidP="00163B94" w:rsidRDefault="009D3FB5" w14:paraId="5C9C5FD0"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Estos porcentajes no obedecen a las cuotas establecidas desde un inicio de 15 sentencias dictadas para la persona juzgadora del Juzgado Agrarios de Santa Cruz y 12 sentencias para los juzgadores de los Juzgados de Puntarenas y Pococí; si no que se realizan ajustes en las cuotas esperadas por persona juzgador proporcional a la cantidad de tiempo efectivo. La razón del ajuste va desde realización de reuniones, cierres colectivos, vacaciones, entre otras.</w:t>
      </w:r>
    </w:p>
    <w:p w:rsidRPr="00AE1B2B" w:rsidR="009D3FB5" w:rsidP="00163B94" w:rsidRDefault="009D3FB5" w14:paraId="76149F2D"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El personal juzgador de la sección adicional del Tribunal Agrario logró la resolución de un total de 93 procesos, de los cuales 6 ingresaron en el año 2019 y 87 en el 2020, de estos últimos expedientes resueltos del año 2020, 56 entraron antes de iniciar el plan de descongestionamiento y 31 ingresaron posterior.</w:t>
      </w:r>
    </w:p>
    <w:p w:rsidRPr="00AE1B2B" w:rsidR="009D3FB5" w:rsidP="00163B94" w:rsidRDefault="009D3FB5" w14:paraId="102B81C7"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las personas juzgadoras que integran las secciones 1 y 2 del Tribunal dictaron 73 sentencias en setiembre, con rendimientos entre del 96% al 117%.</w:t>
      </w:r>
    </w:p>
    <w:p w:rsidRPr="00AE1B2B" w:rsidR="009D3FB5" w:rsidP="00163B94" w:rsidRDefault="009D3FB5" w14:paraId="701E6FA7"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El circulante por clase de asunto a nivel nacional entre los Juzgados Agrarios, está mayormente compuesto por casos de Ordinarios e Informaciones Posesorias con un 35% seguido de Amparos de Posesión 6%, Sucesorios 4% y Monitorios 3%; y otras clases de asuntos con un 17%, donde se encuentran los asuntos no contenciosos de Localización de Derechos, Sumario de Derribo, Ejecución Hipotecaria, entre otros.</w:t>
      </w:r>
    </w:p>
    <w:p w:rsidRPr="00AE1B2B" w:rsidR="009D3FB5" w:rsidP="00163B94" w:rsidRDefault="009D3FB5" w14:paraId="5AAE5AFE"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El cual el 56% se encuentra en fase de Demanda, seguido de un 33% en fase Demostrativa, un 10% en Conclusiva y 1% en fase de sin fase asignada.</w:t>
      </w:r>
    </w:p>
    <w:p w:rsidRPr="00AE1B2B" w:rsidR="009D3FB5" w:rsidP="00163B94" w:rsidRDefault="009D3FB5" w14:paraId="6DE5AFE4"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El atender de forma oportuna, el circulante de las Informaciones Posesorias impactará en un 2% el circulante total de la Jurisdicción Agraria y un 6% en la cantidad total de Informaciones Posesorias que se encuentran dentro del circulante total.</w:t>
      </w:r>
    </w:p>
    <w:p w:rsidRPr="00AE1B2B" w:rsidR="009D3FB5" w:rsidP="00163B94" w:rsidRDefault="009D3FB5" w14:paraId="1F99B411"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De acuerdo al criterio técnico de la Dirección de Planificación y a la experiencia relacionada con impactos de Reforma de Ley, por ejemplo, la Reforma al Código Procesal Civil y al Código Laboral, la Dirección de Planificación, trabaja en conjunto con todos </w:t>
      </w:r>
      <w:r w:rsidRPr="00AE1B2B">
        <w:rPr>
          <w:rFonts w:ascii="Times New Roman" w:hAnsi="Times New Roman" w:cs="Times New Roman"/>
          <w:sz w:val="26"/>
          <w:szCs w:val="26"/>
          <w:lang w:eastAsia="en-US"/>
        </w:rPr>
        <w:lastRenderedPageBreak/>
        <w:t>los involucrados tanto directos como indirectos que por el impacto de Ley, tienen requerimientos específicos, que se materializan en costos, que permitan afrontar los cambios de manera responsable, por ejemplo la Dirección de Tecnología como ente responsable en temas de infraestructura tecnológica, Dirección Ejecutiva como entre responsable en temas relacionados con infraestructura física, vigilancia, limpieza, transporte, entre otros, la Escuela Judicial, como ente rector en temas de capacitación principalmente para el Ámbito Jurisdiccional y finalmente, pero no menos importante a cada una de las Comisiones Institucionales expertas en la materia, en el caso particular la Comisión Agraria.</w:t>
      </w:r>
    </w:p>
    <w:p w:rsidRPr="00AE1B2B" w:rsidR="009D3FB5" w:rsidP="00163B94" w:rsidRDefault="009D3FB5" w14:paraId="669DBBED"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Mediante oficio PICPA-39-2020, remitido por la Licda. Jueza Rebeca Salazar Alcócer, Coordinadora Proyecto de Implementación Código Procesal Agrario, relacionado con la comunicación del acuerdo tomado por la Comisión de la Jurisdicción Agraria en la sesión 02-2020 celebrada el pasado 02 de septiembre del 2020, Artículo IV, solicita un informe sobre las acciones desarrolladas en el último trimestre, con ocasión de la implementación del Código Procesal Agrario. La solicitud fue atendida mediante oficio preliminar 2051-PLA-MI-2020, enviado a consulta el 17 de diciembre del 2020, relacionado con el seguimiento que se requiere realizar a los despachos de materia Agraria y el oficio 2048-PLA-MI-2020, del pasado 16 de diciembre, relacionado con el seguimiento realizado al Tribunal Agrario, Segundo Circuito Judicial de San José</w:t>
      </w:r>
    </w:p>
    <w:p w:rsidRPr="00AE1B2B" w:rsidR="009D3FB5" w:rsidP="00163B94" w:rsidRDefault="009D3FB5" w14:paraId="4C3F6570"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El doctor Enrique Ulate Chacón, Juez Coordinador del Tribunal Agrario, en correo electrónico del 7 de diciembre de 2020, solicita una ampliación al informe 1968-PLA-MI-2020 de la Dirección de Planificación para que se considere la gran cantidad de asuntos complejos, a fin de reducir de manera significativa la mora judicial, al punto de no dejar expedientes anteriores al año 2020, con lo cual el circulante del Tribunal Agrario, se ha refrescado mucho. El Consejo Superior acordó trasladar la gestión a la Dirección de Planificación. Ante la solicitud, la Dirección de Planificación no tiene criterio para determinar la complejidad de los procesos, por lo que, ante esta solicitud hace eco de lo indicado por el Dr. Enrique Ulate sobre la complejidad de casos, para que sea conocido y considerado por el Consejo Superior.</w:t>
      </w:r>
    </w:p>
    <w:p w:rsidRPr="00AE1B2B" w:rsidR="009D3FB5" w:rsidP="00163B94" w:rsidRDefault="009D3FB5" w14:paraId="37235A92"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 xml:space="preserve">En sesión del Consejo Superior 74-2020 celebrada el 23 de julio del 2020, articulo XVIII, se conoce la gestión realizada por la licenciada Ruth Alpízar Rodríguez, Jueza Agraria de Liberia, mediante correo electrónico del 14 de julio de 2020, referente a la </w:t>
      </w:r>
      <w:r w:rsidRPr="00AE1B2B">
        <w:rPr>
          <w:rFonts w:ascii="Times New Roman" w:hAnsi="Times New Roman" w:cs="Times New Roman"/>
          <w:sz w:val="26"/>
          <w:szCs w:val="26"/>
          <w:lang w:eastAsia="en-US"/>
        </w:rPr>
        <w:lastRenderedPageBreak/>
        <w:t xml:space="preserve">“Elaboración de una Propuesta de Plantillas del Código Procesal Agrario”. El Consejo Superior solicitó trasladar la gestión a la Comisión de la Jurisdicción Agraria y a la Dirección de Planificación, para que, de forma conjunta, remitan criterio técnico. Ante la solicitud, la Dirección de Planificación no es competente para brindar el criterio técnico, en el tiempo que se debe invertir para la realización de las plantillas, por lo que, en este caso, la instancia competente para brindar criterio es la Comisión de la Jurisdicción Agraria. </w:t>
      </w:r>
    </w:p>
    <w:p w:rsidRPr="00AE1B2B" w:rsidR="009D3FB5" w:rsidP="00163B94" w:rsidRDefault="009D3FB5" w14:paraId="6256678E" w14:textId="77777777">
      <w:pPr>
        <w:pStyle w:val="Prrafodelista"/>
        <w:numPr>
          <w:ilvl w:val="0"/>
          <w:numId w:val="122"/>
        </w:numPr>
        <w:spacing w:before="120" w:after="120"/>
        <w:ind w:left="851" w:right="851" w:firstLine="709"/>
        <w:jc w:val="both"/>
        <w:rPr>
          <w:rFonts w:ascii="Times New Roman" w:hAnsi="Times New Roman" w:cs="Times New Roman"/>
          <w:sz w:val="26"/>
          <w:szCs w:val="26"/>
          <w:lang w:eastAsia="en-US"/>
        </w:rPr>
      </w:pPr>
      <w:r w:rsidRPr="00AE1B2B">
        <w:rPr>
          <w:rFonts w:ascii="Times New Roman" w:hAnsi="Times New Roman" w:cs="Times New Roman"/>
          <w:sz w:val="26"/>
          <w:szCs w:val="26"/>
          <w:lang w:eastAsia="en-US"/>
        </w:rPr>
        <w:t>En sesión 104-2020 celebrada el 29 de octubre de 2020, artículo L, se conoció el acuerdo tomado por la Comisión de la Jurisdicción Agraria en la sesión 10-2020 celebrada el 16 de octubre de 2020, artículo X, de conformidad con el artículo 44 de la Ley Orgánica del Poder Judicial y por ser un asunto de interés institucional, se concedió permiso con goce de salario y sustitución, al doctor Carlos Picado Vargas, Juez del Tribunal Agrario, del 16 de noviembre al 15 de diciembre de 2020, a efecto de procediera a construir la propuesta de las plantillas o machotes de la Jurisdicción Agraria, asociados al Código Procesal Agrario.</w:t>
      </w:r>
    </w:p>
    <w:p w:rsidRPr="00AE1B2B" w:rsidR="009D3FB5" w:rsidP="00163B94" w:rsidRDefault="009D3FB5" w14:paraId="27CFAE98" w14:textId="77777777">
      <w:pPr>
        <w:spacing w:before="120" w:after="120"/>
        <w:ind w:left="851" w:right="851" w:firstLine="709"/>
        <w:jc w:val="both"/>
        <w:rPr>
          <w:rFonts w:ascii="Times New Roman" w:hAnsi="Times New Roman" w:cs="Times New Roman"/>
          <w:sz w:val="26"/>
          <w:szCs w:val="26"/>
        </w:rPr>
      </w:pPr>
      <w:bookmarkStart w:name="_Toc68688581" w:id="313"/>
      <w:r w:rsidRPr="00AE1B2B">
        <w:rPr>
          <w:rFonts w:ascii="Times New Roman" w:hAnsi="Times New Roman" w:cs="Times New Roman"/>
          <w:sz w:val="26"/>
          <w:szCs w:val="26"/>
        </w:rPr>
        <w:t>Recomendaciones</w:t>
      </w:r>
      <w:bookmarkEnd w:id="313"/>
      <w:r w:rsidRPr="00AE1B2B">
        <w:rPr>
          <w:rFonts w:ascii="Times New Roman" w:hAnsi="Times New Roman" w:cs="Times New Roman"/>
          <w:sz w:val="26"/>
          <w:szCs w:val="26"/>
        </w:rPr>
        <w:t xml:space="preserve"> </w:t>
      </w:r>
    </w:p>
    <w:p w:rsidRPr="00AE1B2B" w:rsidR="009D3FB5" w:rsidP="00163B94" w:rsidRDefault="009D3FB5" w14:paraId="6569C84C" w14:textId="7777777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A continuación, se presenta la propuesta por parte de la Dirección de Planificación en relación con los costos de implementación de la Ley 9609 “Código Procesal Agrario”</w:t>
      </w:r>
    </w:p>
    <w:p w:rsidRPr="00AE1B2B" w:rsidR="009D3FB5" w:rsidP="00163B94" w:rsidRDefault="009D3FB5" w14:paraId="2635E59A" w14:textId="77777777">
      <w:pPr>
        <w:spacing w:before="120" w:after="120"/>
        <w:ind w:left="851" w:right="851" w:firstLine="709"/>
        <w:jc w:val="both"/>
        <w:rPr>
          <w:rFonts w:ascii="Times New Roman" w:hAnsi="Times New Roman" w:cs="Times New Roman"/>
          <w:sz w:val="26"/>
          <w:szCs w:val="26"/>
        </w:rPr>
      </w:pPr>
      <w:bookmarkStart w:name="_Toc68688582" w:id="314"/>
      <w:r w:rsidRPr="00AE1B2B">
        <w:rPr>
          <w:rFonts w:ascii="Times New Roman" w:hAnsi="Times New Roman" w:cs="Times New Roman"/>
          <w:sz w:val="26"/>
          <w:szCs w:val="26"/>
        </w:rPr>
        <w:t>A Corte Plena</w:t>
      </w:r>
      <w:bookmarkEnd w:id="314"/>
    </w:p>
    <w:p w:rsidRPr="00AE1B2B" w:rsidR="009D3FB5" w:rsidP="00163B94" w:rsidRDefault="009D3FB5" w14:paraId="7CB5FE30" w14:textId="77777777">
      <w:pPr>
        <w:spacing w:before="120" w:after="120"/>
        <w:ind w:left="851" w:right="851" w:firstLine="709"/>
        <w:jc w:val="both"/>
        <w:rPr>
          <w:rFonts w:ascii="Times New Roman" w:hAnsi="Times New Roman" w:cs="Times New Roman"/>
          <w:sz w:val="26"/>
          <w:szCs w:val="26"/>
          <w:lang w:eastAsia="es-CR"/>
        </w:rPr>
      </w:pPr>
      <w:bookmarkStart w:name="_Toc68688583" w:id="315"/>
      <w:r w:rsidRPr="00AE1B2B">
        <w:rPr>
          <w:rFonts w:ascii="Times New Roman" w:hAnsi="Times New Roman" w:cs="Times New Roman"/>
          <w:sz w:val="26"/>
          <w:szCs w:val="26"/>
        </w:rPr>
        <w:t>Propuesta</w:t>
      </w:r>
      <w:bookmarkEnd w:id="315"/>
    </w:p>
    <w:p w:rsidRPr="00AE1B2B" w:rsidR="009D3FB5" w:rsidP="00163B94" w:rsidRDefault="009D3FB5" w14:paraId="6CE56EF2" w14:textId="77777777">
      <w:pPr>
        <w:pStyle w:val="Prrafodelista"/>
        <w:numPr>
          <w:ilvl w:val="2"/>
          <w:numId w:val="124"/>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Presupuesto aprobado para el ejercicio presupuestario para el 2021</w:t>
      </w:r>
    </w:p>
    <w:p w:rsidRPr="00AE1B2B" w:rsidR="009D3FB5" w:rsidP="00163B94" w:rsidRDefault="009D3FB5" w14:paraId="38DE2F54" w14:textId="191AA76D">
      <w:pPr>
        <w:spacing w:before="120" w:after="120"/>
        <w:ind w:left="851" w:right="851" w:firstLine="709"/>
        <w:jc w:val="both"/>
        <w:rPr>
          <w:rFonts w:ascii="Times New Roman" w:hAnsi="Times New Roman" w:cs="Times New Roman"/>
          <w:sz w:val="26"/>
          <w:szCs w:val="26"/>
          <w:lang w:eastAsia="es-CR"/>
        </w:rPr>
      </w:pPr>
      <w:r w:rsidRPr="00AE1B2B">
        <w:rPr>
          <w:rFonts w:ascii="Times New Roman" w:hAnsi="Times New Roman" w:cs="Times New Roman"/>
          <w:sz w:val="26"/>
          <w:szCs w:val="26"/>
        </w:rPr>
        <w:t>Aprobar mantener el presupuesto del Informe 555-PLA-RH-MI-2020 de Impacto organizacional y presupuestario en el Poder Judicial a partir de la promulgación del Nuevo Código Procesal Agrario para el 2021 Ley 9609, según Acuerdos del Consejo Superior en la Sesión 45-2020 (Presupuesto 2021), Artículo XVIII, celebrada el 8 de mayo del 2020 y en la sesión 48-2020 del 14 de mayo del 2020. Corte Plena sesión 31-2020 (Presupuesto 2021) artículo II, celebrada el 2 de junio del 2020; por un monto de ₡ 612.230.822,57</w:t>
      </w:r>
      <w:r w:rsidRPr="00AE1B2B">
        <w:rPr>
          <w:rFonts w:ascii="Times New Roman" w:hAnsi="Times New Roman" w:cs="Times New Roman"/>
          <w:sz w:val="26"/>
          <w:szCs w:val="26"/>
          <w:lang w:eastAsia="es-CR"/>
        </w:rPr>
        <w:t>.</w:t>
      </w:r>
      <w:r w:rsidRPr="00AE1B2B" w:rsidR="00BB7720">
        <w:rPr>
          <w:rFonts w:ascii="Times New Roman" w:hAnsi="Times New Roman" w:cs="Times New Roman"/>
          <w:sz w:val="26"/>
          <w:szCs w:val="26"/>
          <w:lang w:eastAsia="es-CR"/>
        </w:rPr>
        <w:t xml:space="preserve"> </w:t>
      </w:r>
    </w:p>
    <w:p w:rsidRPr="00AE1B2B" w:rsidR="009D3FB5" w:rsidP="00163B94" w:rsidRDefault="009D3FB5" w14:paraId="3ECA7545" w14:textId="77777777">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“…En sesión del Consejo Superior 45-2020 (Presupuesto 2021) artículo XVIII, celebrada el 8 de mayo del 2020, se acordó:</w:t>
      </w:r>
    </w:p>
    <w:p w:rsidRPr="00AE1B2B" w:rsidR="009D3FB5" w:rsidP="00163B94" w:rsidRDefault="009D3FB5" w14:paraId="7801A40A" w14:textId="39482A1B">
      <w:pPr>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1.) Aprobar técnicamente el informe 555-PLA-RH-MI-2020 de la Dirección de “…e acordó: 1.) Aprobar técnicamente el informe 555-PLA-RH-MI-2020 de la Dirección de Planificación, y sus </w:t>
      </w:r>
      <w:r w:rsidRPr="00AE1B2B">
        <w:rPr>
          <w:rFonts w:ascii="Times New Roman" w:hAnsi="Times New Roman" w:cs="Times New Roman"/>
          <w:i/>
          <w:iCs/>
          <w:sz w:val="26"/>
          <w:szCs w:val="26"/>
        </w:rPr>
        <w:lastRenderedPageBreak/>
        <w:t>recomendaciones con las siguientes consideraciones: El contenido económico requerido se remitirá de forma independiente al presupuesto ordinario ya que responde a una necesidad producto de una ley especial.</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Corte Plena, se deberá crear este Juzgado durante el 2020, con una estructura de un Juez, un Coordinador Judicial y un técnico Judicial, con las siguientes consideraciones en relación con los requerimientos:</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El Centro de Apoyo, Coordinación y Mejoramiento de la Función Jurisdiccional, debe otorgar con su personal ordinario y por la importancia que reviste este tema, dos plazas para crear la oficina en Jicaral. Al menos un Juez y un técnico supernumerario, las plazas deben ser vacantes, para recalificarlas a los perfiles necesarios, y ambos con licencia para conducir vehículos institucionales, como requisito en su nombramiento. La Dirección de 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 Se mantiene el requerimiento para el 2021 de plazas extraordinarias para planes descongestionamiento, sin embargo, se plantea la necesidad de gestar un Plan de Trabajo para la implementación de estos planes a partir del año 2020, para ir brindando apoyo a los Juzgados. Se debe revisar el ahorro de recursos en sustituciones para ver que redireccionamiento se puede brindar, para estos recursos para materia Agrario. 2) Incluir el costo relativo a la remodelación del Juzgado Agrario de Jicaral indicado por la Dirección Ejecutiva por la suma de ¢19.350.000, como parte del presupuesto ordinario del Poder Judicial para el 2021.</w:t>
      </w:r>
      <w:r w:rsidRPr="00AE1B2B" w:rsidR="00BB7720">
        <w:rPr>
          <w:rFonts w:ascii="Times New Roman" w:hAnsi="Times New Roman" w:cs="Times New Roman"/>
          <w:i/>
          <w:iCs/>
          <w:sz w:val="26"/>
          <w:szCs w:val="26"/>
        </w:rPr>
        <w:t xml:space="preserve"> </w:t>
      </w:r>
      <w:r w:rsidRPr="00AE1B2B">
        <w:rPr>
          <w:rFonts w:ascii="Times New Roman" w:hAnsi="Times New Roman" w:cs="Times New Roman"/>
          <w:i/>
          <w:iCs/>
          <w:sz w:val="26"/>
          <w:szCs w:val="26"/>
        </w:rPr>
        <w:t>3.) Remitir a la Corte Plena para que valore el cambio de la competencia propuesto desde el año 2020, a partir de que exista el recurso humano disponible. 4.) Solicitar al Departamento de Proveeduría, valorar que el automóvil asignado al Consejo Superior se utilice por la Comisión de la Jurisdicción Agraria en coordinación con la Dirección Ejecutiva y cuando corresponda el cambio se considere cambiar por un vehículo 4x4. Se declara este acuerdo firme…”</w:t>
      </w:r>
    </w:p>
    <w:p w:rsidRPr="00AE1B2B" w:rsidR="009D3FB5" w:rsidP="00163B94" w:rsidRDefault="009D3FB5" w14:paraId="71FF1AE0"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 xml:space="preserve">“(…)En sesión de Corte Plena 31-2020 (Presupuesto 2021) </w:t>
      </w:r>
      <w:r w:rsidRPr="00AE1B2B">
        <w:rPr>
          <w:rFonts w:ascii="Times New Roman" w:hAnsi="Times New Roman" w:cs="Times New Roman"/>
          <w:i/>
          <w:iCs/>
          <w:sz w:val="26"/>
          <w:szCs w:val="26"/>
        </w:rPr>
        <w:lastRenderedPageBreak/>
        <w:t>artículo II, celebrada el 2 de junio del 2020, se acordó:</w:t>
      </w:r>
    </w:p>
    <w:p w:rsidRPr="00AE1B2B" w:rsidR="009D3FB5" w:rsidP="00163B94" w:rsidRDefault="009D3FB5" w14:paraId="62B6FE55" w14:textId="77777777">
      <w:pPr>
        <w:widowControl w:val="0"/>
        <w:tabs>
          <w:tab w:val="left" w:pos="8080"/>
        </w:tabs>
        <w:suppressAutoHyphens/>
        <w:autoSpaceDE w:val="0"/>
        <w:autoSpaceDN w:val="0"/>
        <w:adjustRightInd w:val="0"/>
        <w:spacing w:before="120" w:after="120"/>
        <w:ind w:left="851" w:right="851" w:firstLine="709"/>
        <w:jc w:val="both"/>
        <w:rPr>
          <w:rFonts w:ascii="Times New Roman" w:hAnsi="Times New Roman" w:cs="Times New Roman"/>
          <w:i/>
          <w:iCs/>
          <w:sz w:val="26"/>
          <w:szCs w:val="26"/>
        </w:rPr>
      </w:pPr>
      <w:r w:rsidRPr="00AE1B2B">
        <w:rPr>
          <w:rFonts w:ascii="Times New Roman" w:hAnsi="Times New Roman" w:cs="Times New Roman"/>
          <w:i/>
          <w:iCs/>
          <w:sz w:val="26"/>
          <w:szCs w:val="26"/>
        </w:rPr>
        <w:t>Aprobar por separado del Presupuesto ordinario del Poder Judicial, los requerimientos correspondientes a la Ley de Jurisdicción Especializada en Delincuencia Organizada, la Reforma Procesal Agraria, la Ley de Acceso a la Justicia de los Pueblos Indígenas de Costa Rica, la Reforma Procesal de Familia, Ley de Bienestar Animal y la propuesta para Anticorrupción, en la forma expuesta…”.</w:t>
      </w:r>
    </w:p>
    <w:p w:rsidRPr="00AE1B2B" w:rsidR="009D3FB5" w:rsidP="00163B94" w:rsidRDefault="009D3FB5" w14:paraId="2147DF91" w14:textId="77777777">
      <w:pPr>
        <w:pStyle w:val="Prrafodelista"/>
        <w:numPr>
          <w:ilvl w:val="2"/>
          <w:numId w:val="124"/>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Especialización de la materia agraria en el Cantón de Upala con una estructura mínima reforzada en el Juzgado Mixto conformada por dos (2) plazas de Jueza o Juez (una (1) de esta ya se tiene con materia Agraria y Penal Juvenil y la otra sería plaza nueva extraordinaria para materia Agraria), y una (1) plaza de técnico o técnica judicial (ya se tiene con materia agraria y penal juvenil). </w:t>
      </w:r>
    </w:p>
    <w:p w:rsidRPr="00AE1B2B" w:rsidR="009D3FB5" w:rsidP="00163B94" w:rsidRDefault="009D3FB5" w14:paraId="5D588B9A" w14:textId="77777777">
      <w:pPr>
        <w:pStyle w:val="Prrafodelista"/>
        <w:numPr>
          <w:ilvl w:val="2"/>
          <w:numId w:val="124"/>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La plaza propuesta requiere de equipo de cómputo y mobiliario mínimo necesario para su labor, con un costo aproximado de ₡1.079.200,00 equipo de cómputo y ₡729.072,61 para el mobiliario.</w:t>
      </w:r>
    </w:p>
    <w:p w:rsidRPr="00AE1B2B" w:rsidR="009D3FB5" w:rsidP="00163B94" w:rsidRDefault="009D3FB5" w14:paraId="28F06931" w14:textId="77777777">
      <w:pPr>
        <w:pStyle w:val="Prrafodelista"/>
        <w:numPr>
          <w:ilvl w:val="2"/>
          <w:numId w:val="124"/>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Reforzar con vehículos con sus respectivos choferes, a las Administraciones Regionales de San Ramón, Cartago, Goicoechea, Alajuela y Puntarenas; y un chofer para la Administración Regional del Juzgado Agrario del Segundo Circuito Judicial de la Zona Sur, sede Corredores. </w:t>
      </w:r>
    </w:p>
    <w:p w:rsidRPr="00AE1B2B" w:rsidR="009D3FB5" w:rsidP="00163B94" w:rsidRDefault="009D3FB5" w14:paraId="2A0032E7" w14:textId="77777777">
      <w:pPr>
        <w:pStyle w:val="Prrafodelista"/>
        <w:numPr>
          <w:ilvl w:val="2"/>
          <w:numId w:val="124"/>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recomienda una (1) plaza de manera extraordinaria por doce meses como figura asesora del proceso de implementación del Código Procesal Agrario. </w:t>
      </w:r>
    </w:p>
    <w:p w:rsidRPr="00AE1B2B" w:rsidR="009D3FB5" w:rsidP="00163B94" w:rsidRDefault="009D3FB5" w14:paraId="64AD80F0" w14:textId="77777777">
      <w:pPr>
        <w:pStyle w:val="Prrafodelista"/>
        <w:numPr>
          <w:ilvl w:val="2"/>
          <w:numId w:val="124"/>
        </w:numPr>
        <w:spacing w:before="120" w:after="120"/>
        <w:ind w:left="851" w:right="851" w:firstLine="709"/>
        <w:contextualSpacing/>
        <w:jc w:val="both"/>
        <w:rPr>
          <w:rFonts w:ascii="Times New Roman" w:hAnsi="Times New Roman" w:cs="Times New Roman"/>
          <w:sz w:val="26"/>
          <w:szCs w:val="26"/>
        </w:rPr>
      </w:pPr>
      <w:bookmarkStart w:name="_Hlk39733588" w:id="316"/>
      <w:r w:rsidRPr="00AE1B2B">
        <w:rPr>
          <w:rFonts w:ascii="Times New Roman" w:hAnsi="Times New Roman" w:cs="Times New Roman"/>
          <w:sz w:val="26"/>
          <w:szCs w:val="26"/>
        </w:rPr>
        <w:t>Cuatro (4) plazas de Juez 3 itinerantes, de forma extraordinaria, adscritos al Centro de Apoyo, Coordinación y Mejoramiento de la Función Jurisdiccional, para la atención de planes de descongestionamiento</w:t>
      </w:r>
      <w:bookmarkEnd w:id="316"/>
      <w:r w:rsidRPr="00AE1B2B">
        <w:rPr>
          <w:rFonts w:ascii="Times New Roman" w:hAnsi="Times New Roman" w:cs="Times New Roman"/>
          <w:sz w:val="26"/>
          <w:szCs w:val="26"/>
        </w:rPr>
        <w:t>.</w:t>
      </w:r>
    </w:p>
    <w:p w:rsidRPr="00AE1B2B" w:rsidR="009D3FB5" w:rsidP="00163B94" w:rsidRDefault="009D3FB5" w14:paraId="6F3859CA" w14:textId="77777777">
      <w:pPr>
        <w:pStyle w:val="Prrafodelista"/>
        <w:numPr>
          <w:ilvl w:val="0"/>
          <w:numId w:val="125"/>
        </w:numPr>
        <w:spacing w:before="120" w:after="120"/>
        <w:ind w:left="851" w:right="851" w:firstLine="709"/>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Dos (2) plazas de personas juzgadoras para la atención de planes de descongestionamiento relacionados con el pendiente de fallo en los Despachos con mayor pendiente de fallo.</w:t>
      </w:r>
    </w:p>
    <w:p w:rsidRPr="00AE1B2B" w:rsidR="009D3FB5" w:rsidP="00163B94" w:rsidRDefault="009D3FB5" w14:paraId="5FD99C15" w14:textId="77777777">
      <w:pPr>
        <w:pStyle w:val="Prrafodelista"/>
        <w:numPr>
          <w:ilvl w:val="0"/>
          <w:numId w:val="125"/>
        </w:numPr>
        <w:spacing w:before="120" w:after="120"/>
        <w:ind w:left="851" w:right="851" w:firstLine="709"/>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 xml:space="preserve">Dos (2) plazas de personas juzgadoras para la atención de casos de Informaciones Posesorias de acuerdo con el siguiente plan: </w:t>
      </w:r>
    </w:p>
    <w:p w:rsidRPr="00AE1B2B" w:rsidR="009D3FB5" w:rsidP="00163B94" w:rsidRDefault="009D3FB5" w14:paraId="3A45BBA7" w14:textId="77777777">
      <w:pPr>
        <w:pStyle w:val="Prrafodelista"/>
        <w:spacing w:before="120" w:after="120"/>
        <w:ind w:left="709"/>
        <w:rPr>
          <w:rFonts w:ascii="Times New Roman" w:hAnsi="Times New Roman" w:cs="Times New Roman"/>
          <w:szCs w:val="22"/>
          <w:lang w:val="es-ES_tradnl"/>
        </w:rPr>
      </w:pPr>
    </w:p>
    <w:tbl>
      <w:tblPr>
        <w:tblW w:w="5000" w:type="pct"/>
        <w:tblCellMar>
          <w:left w:w="70" w:type="dxa"/>
          <w:right w:w="70" w:type="dxa"/>
        </w:tblCellMar>
        <w:tblLook w:val="04A0" w:firstRow="1" w:lastRow="0" w:firstColumn="1" w:lastColumn="0" w:noHBand="0" w:noVBand="1"/>
      </w:tblPr>
      <w:tblGrid>
        <w:gridCol w:w="5405"/>
        <w:gridCol w:w="1254"/>
        <w:gridCol w:w="1006"/>
        <w:gridCol w:w="1127"/>
      </w:tblGrid>
      <w:tr w:rsidRPr="00AE1B2B" w:rsidR="00AE1B2B" w:rsidTr="009D3FB5" w14:paraId="13A046E5" w14:textId="77777777">
        <w:trPr>
          <w:trHeight w:val="888"/>
        </w:trPr>
        <w:tc>
          <w:tcPr>
            <w:tcW w:w="3074" w:type="pct"/>
            <w:tcBorders>
              <w:top w:val="double" w:color="1F497D" w:sz="6" w:space="0"/>
              <w:left w:val="double" w:color="1F497D" w:sz="6" w:space="0"/>
              <w:bottom w:val="double" w:color="1F497D" w:sz="6" w:space="0"/>
              <w:right w:val="double" w:color="1F497D" w:sz="6" w:space="0"/>
            </w:tcBorders>
            <w:shd w:val="clear" w:color="000000" w:fill="0673A5"/>
            <w:noWrap/>
            <w:vAlign w:val="center"/>
            <w:hideMark/>
          </w:tcPr>
          <w:p w:rsidRPr="00AE1B2B" w:rsidR="009D3FB5" w:rsidP="00163B94" w:rsidRDefault="009D3FB5" w14:paraId="203CD055"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lastRenderedPageBreak/>
              <w:t>Juzgado Agrario</w:t>
            </w:r>
          </w:p>
        </w:tc>
        <w:tc>
          <w:tcPr>
            <w:tcW w:w="713" w:type="pct"/>
            <w:tcBorders>
              <w:top w:val="double" w:color="1F497D" w:sz="6" w:space="0"/>
              <w:left w:val="nil"/>
              <w:bottom w:val="double" w:color="1F497D" w:sz="6" w:space="0"/>
              <w:right w:val="double" w:color="1F497D" w:sz="6" w:space="0"/>
            </w:tcBorders>
            <w:shd w:val="clear" w:color="000000" w:fill="0673A5"/>
            <w:vAlign w:val="center"/>
            <w:hideMark/>
          </w:tcPr>
          <w:p w:rsidRPr="00AE1B2B" w:rsidR="009D3FB5" w:rsidP="00163B94" w:rsidRDefault="009D3FB5" w14:paraId="58111E7A"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Cantidad de personas Juzgadoras Itinerantes </w:t>
            </w:r>
          </w:p>
        </w:tc>
        <w:tc>
          <w:tcPr>
            <w:tcW w:w="572" w:type="pct"/>
            <w:tcBorders>
              <w:top w:val="double" w:color="1F497D" w:sz="6" w:space="0"/>
              <w:left w:val="nil"/>
              <w:bottom w:val="double" w:color="1F497D" w:sz="6" w:space="0"/>
              <w:right w:val="double" w:color="1F497D" w:sz="6" w:space="0"/>
            </w:tcBorders>
            <w:shd w:val="clear" w:color="000000" w:fill="0673A5"/>
            <w:noWrap/>
            <w:vAlign w:val="center"/>
            <w:hideMark/>
          </w:tcPr>
          <w:p w:rsidRPr="00AE1B2B" w:rsidR="009D3FB5" w:rsidP="00163B94" w:rsidRDefault="009D3FB5" w14:paraId="23CB00BE"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Desde </w:t>
            </w:r>
          </w:p>
        </w:tc>
        <w:tc>
          <w:tcPr>
            <w:tcW w:w="641" w:type="pct"/>
            <w:tcBorders>
              <w:top w:val="double" w:color="1F497D" w:sz="6" w:space="0"/>
              <w:left w:val="nil"/>
              <w:bottom w:val="double" w:color="1F497D" w:sz="6" w:space="0"/>
              <w:right w:val="double" w:color="1F497D" w:sz="6" w:space="0"/>
            </w:tcBorders>
            <w:shd w:val="clear" w:color="000000" w:fill="0673A5"/>
            <w:noWrap/>
            <w:vAlign w:val="center"/>
            <w:hideMark/>
          </w:tcPr>
          <w:p w:rsidRPr="00AE1B2B" w:rsidR="009D3FB5" w:rsidP="00163B94" w:rsidRDefault="009D3FB5" w14:paraId="3DE84B5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Hasta </w:t>
            </w:r>
          </w:p>
        </w:tc>
      </w:tr>
      <w:tr w:rsidRPr="00AE1B2B" w:rsidR="00AE1B2B" w:rsidTr="009D3FB5" w14:paraId="0F8F8041" w14:textId="77777777">
        <w:trPr>
          <w:trHeight w:val="312"/>
        </w:trPr>
        <w:tc>
          <w:tcPr>
            <w:tcW w:w="3074" w:type="pct"/>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6CC685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Zona Sur (Pérez Zeledón)</w:t>
            </w:r>
          </w:p>
        </w:tc>
        <w:tc>
          <w:tcPr>
            <w:tcW w:w="713"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ACB2DA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572"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FA2BF3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ene-22</w:t>
            </w:r>
          </w:p>
        </w:tc>
        <w:tc>
          <w:tcPr>
            <w:tcW w:w="641"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18ED50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abr-22</w:t>
            </w:r>
          </w:p>
        </w:tc>
      </w:tr>
      <w:tr w:rsidRPr="00AE1B2B" w:rsidR="00AE1B2B" w:rsidTr="009D3FB5" w14:paraId="187DEF55" w14:textId="77777777">
        <w:trPr>
          <w:trHeight w:val="312"/>
        </w:trPr>
        <w:tc>
          <w:tcPr>
            <w:tcW w:w="3074" w:type="pct"/>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F380A4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Cartago</w:t>
            </w:r>
          </w:p>
        </w:tc>
        <w:tc>
          <w:tcPr>
            <w:tcW w:w="713"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3EEA59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572"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552CE3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may-22</w:t>
            </w:r>
          </w:p>
        </w:tc>
        <w:tc>
          <w:tcPr>
            <w:tcW w:w="641"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4BD2D4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jul-22</w:t>
            </w:r>
          </w:p>
        </w:tc>
      </w:tr>
      <w:tr w:rsidRPr="00AE1B2B" w:rsidR="00AE1B2B" w:rsidTr="009D3FB5" w14:paraId="2B62D4CD" w14:textId="77777777">
        <w:trPr>
          <w:trHeight w:val="312"/>
        </w:trPr>
        <w:tc>
          <w:tcPr>
            <w:tcW w:w="3074" w:type="pct"/>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325345C1"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de Puntarenas</w:t>
            </w:r>
          </w:p>
        </w:tc>
        <w:tc>
          <w:tcPr>
            <w:tcW w:w="713"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FA7C79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572"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2A0DAD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ago-22</w:t>
            </w:r>
          </w:p>
        </w:tc>
        <w:tc>
          <w:tcPr>
            <w:tcW w:w="641"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FF7AAD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oct-22</w:t>
            </w:r>
          </w:p>
        </w:tc>
      </w:tr>
      <w:tr w:rsidRPr="00AE1B2B" w:rsidR="00AE1B2B" w:rsidTr="009D3FB5" w14:paraId="5866CF52" w14:textId="77777777">
        <w:trPr>
          <w:trHeight w:val="312"/>
        </w:trPr>
        <w:tc>
          <w:tcPr>
            <w:tcW w:w="3074" w:type="pct"/>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098A8143"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Juzgado Agrario I Circ. Jud. Guanacaste (Liberia)</w:t>
            </w:r>
          </w:p>
        </w:tc>
        <w:tc>
          <w:tcPr>
            <w:tcW w:w="713"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18D911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2</w:t>
            </w:r>
          </w:p>
        </w:tc>
        <w:tc>
          <w:tcPr>
            <w:tcW w:w="572"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F03666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nov-22</w:t>
            </w:r>
          </w:p>
        </w:tc>
        <w:tc>
          <w:tcPr>
            <w:tcW w:w="641" w:type="pct"/>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07CA22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dic-22</w:t>
            </w:r>
          </w:p>
        </w:tc>
      </w:tr>
    </w:tbl>
    <w:p w:rsidRPr="00AE1B2B" w:rsidR="009D3FB5" w:rsidP="00163B94" w:rsidRDefault="009D3FB5" w14:paraId="7B2C6C5B" w14:textId="77777777">
      <w:pPr>
        <w:pStyle w:val="Prrafodelista"/>
        <w:spacing w:before="120" w:after="120"/>
        <w:ind w:left="709"/>
        <w:rPr>
          <w:rFonts w:ascii="Times New Roman" w:hAnsi="Times New Roman" w:cs="Times New Roman"/>
          <w:szCs w:val="22"/>
          <w:lang w:val="es-ES_tradnl"/>
        </w:rPr>
      </w:pPr>
      <w:r w:rsidRPr="00AE1B2B">
        <w:rPr>
          <w:rFonts w:ascii="Times New Roman" w:hAnsi="Times New Roman" w:cs="Times New Roman"/>
          <w:szCs w:val="22"/>
          <w:lang w:val="es-ES_tradnl"/>
        </w:rPr>
        <w:t xml:space="preserve"> </w:t>
      </w:r>
    </w:p>
    <w:p w:rsidRPr="00AE1B2B" w:rsidR="009D3FB5" w:rsidP="00163B94" w:rsidRDefault="009D3FB5" w14:paraId="7245CAA7" w14:textId="77777777">
      <w:pPr>
        <w:spacing w:before="120" w:after="120"/>
        <w:ind w:left="851" w:right="851" w:firstLine="709"/>
        <w:jc w:val="both"/>
        <w:rPr>
          <w:rFonts w:ascii="Times New Roman" w:hAnsi="Times New Roman" w:cs="Times New Roman"/>
          <w:sz w:val="26"/>
          <w:szCs w:val="26"/>
        </w:rPr>
      </w:pPr>
      <w:bookmarkStart w:name="_Toc68688584" w:id="317"/>
      <w:r w:rsidRPr="00AE1B2B">
        <w:rPr>
          <w:rFonts w:ascii="Times New Roman" w:hAnsi="Times New Roman" w:cs="Times New Roman"/>
          <w:sz w:val="26"/>
          <w:szCs w:val="26"/>
        </w:rPr>
        <w:t>Costo Estimado de la Propuesta</w:t>
      </w:r>
      <w:bookmarkEnd w:id="317"/>
      <w:r w:rsidRPr="00AE1B2B">
        <w:rPr>
          <w:rFonts w:ascii="Times New Roman" w:hAnsi="Times New Roman" w:cs="Times New Roman"/>
          <w:sz w:val="26"/>
          <w:szCs w:val="26"/>
        </w:rPr>
        <w:t xml:space="preserve"> </w:t>
      </w:r>
    </w:p>
    <w:p w:rsidRPr="00AE1B2B" w:rsidR="009D3FB5" w:rsidP="00163B94" w:rsidRDefault="009D3FB5" w14:paraId="7A7C6293" w14:textId="77777777">
      <w:pPr>
        <w:pStyle w:val="Prrafodelista"/>
        <w:numPr>
          <w:ilvl w:val="1"/>
          <w:numId w:val="122"/>
        </w:numPr>
        <w:spacing w:before="120" w:after="120"/>
        <w:ind w:left="851" w:right="851" w:firstLine="709"/>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 xml:space="preserve">Reforzamiento del Juzgado Civil, Trabajo, Agrario, Familia, Penal Juvenil, Contra la Violencia Doméstica y Protección Cautelar II Circuito Judicial de Alajuela, sede Upala, con una persona juzgadora especialista en materia Agraria. </w:t>
      </w:r>
    </w:p>
    <w:p w:rsidRPr="00AE1B2B" w:rsidR="009D3FB5" w:rsidP="00163B94" w:rsidRDefault="009D3FB5" w14:paraId="10DE8FA0" w14:textId="77777777">
      <w:pPr>
        <w:pStyle w:val="Prrafodelista"/>
        <w:numPr>
          <w:ilvl w:val="1"/>
          <w:numId w:val="122"/>
        </w:numPr>
        <w:spacing w:before="120" w:after="120"/>
        <w:ind w:left="851" w:right="851" w:firstLine="709"/>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 xml:space="preserve">Dos (2) plazas de personas juzgadoras para la atención de planes de descongestionamiento relacionados con el pendiente de fallo en los Despachos con mayor pendiente de fallo, adscritas al Centro de Apoyo, Coordinación y Mejoramiento de la Función Jurisdiccional. </w:t>
      </w:r>
    </w:p>
    <w:p w:rsidRPr="00AE1B2B" w:rsidR="009D3FB5" w:rsidP="00163B94" w:rsidRDefault="009D3FB5" w14:paraId="4538A818" w14:textId="77777777">
      <w:pPr>
        <w:pStyle w:val="Prrafodelista"/>
        <w:numPr>
          <w:ilvl w:val="1"/>
          <w:numId w:val="122"/>
        </w:numPr>
        <w:spacing w:before="120" w:after="120"/>
        <w:ind w:left="851" w:right="851" w:firstLine="709"/>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Dos (2) plazas de personas juzgadoras para la atención de casos de Informaciones Posesorias, adscritas al Centro de Apoyo, Coordinación y Mejoramiento de la Función Jurisdiccional.</w:t>
      </w:r>
    </w:p>
    <w:p w:rsidRPr="00AE1B2B" w:rsidR="009D3FB5" w:rsidP="00163B94" w:rsidRDefault="009D3FB5" w14:paraId="3DFD790F" w14:textId="063FFC05">
      <w:pPr>
        <w:pStyle w:val="Prrafodelista"/>
        <w:numPr>
          <w:ilvl w:val="1"/>
          <w:numId w:val="122"/>
        </w:numPr>
        <w:spacing w:before="120" w:after="120"/>
        <w:ind w:left="851" w:right="851" w:firstLine="709"/>
        <w:jc w:val="both"/>
        <w:rPr>
          <w:rFonts w:ascii="Times New Roman" w:hAnsi="Times New Roman" w:cs="Times New Roman"/>
          <w:sz w:val="26"/>
          <w:szCs w:val="26"/>
          <w:lang w:val="es-ES_tradnl"/>
        </w:rPr>
      </w:pPr>
      <w:r w:rsidRPr="00AE1B2B">
        <w:rPr>
          <w:rFonts w:ascii="Times New Roman" w:hAnsi="Times New Roman" w:cs="Times New Roman"/>
          <w:sz w:val="26"/>
          <w:szCs w:val="26"/>
          <w:lang w:val="es-ES_tradnl"/>
        </w:rPr>
        <w:t>Reforzamiento con vehículos y sus respectivos choferes, Administraciones Regionales de San Ramón, Cartago, Goicoechea, Alajuela y Puntarenas; y un chofer para la Administración Regional del Juzgado Agrario del Segundo Circuito Judicial de la Zona Sur, sede Corredores.</w:t>
      </w:r>
      <w:r w:rsidRPr="00AE1B2B" w:rsidR="00BB7720">
        <w:rPr>
          <w:rFonts w:ascii="Times New Roman" w:hAnsi="Times New Roman" w:cs="Times New Roman"/>
          <w:sz w:val="26"/>
          <w:szCs w:val="26"/>
          <w:lang w:val="es-ES_tradnl"/>
        </w:rPr>
        <w:t xml:space="preserve"> </w:t>
      </w:r>
    </w:p>
    <w:p w:rsidRPr="00AE1B2B" w:rsidR="009D3FB5" w:rsidP="00163B94" w:rsidRDefault="009D3FB5" w14:paraId="401A0F6A" w14:textId="77777777">
      <w:pPr>
        <w:pStyle w:val="Ttulo"/>
        <w:spacing w:before="120" w:after="120"/>
        <w:ind w:left="851" w:right="851" w:firstLine="709"/>
        <w:jc w:val="both"/>
        <w:rPr>
          <w:rFonts w:ascii="Times New Roman" w:hAnsi="Times New Roman"/>
          <w:iCs/>
          <w:sz w:val="26"/>
          <w:szCs w:val="26"/>
        </w:rPr>
      </w:pPr>
    </w:p>
    <w:p w:rsidRPr="00AE1B2B" w:rsidR="009D3FB5" w:rsidP="00163B94" w:rsidRDefault="009D3FB5" w14:paraId="42CE1C9D"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18</w:t>
      </w:r>
      <w:r w:rsidRPr="00AE1B2B">
        <w:rPr>
          <w:rFonts w:ascii="Times New Roman" w:hAnsi="Times New Roman"/>
          <w:iCs/>
          <w:sz w:val="26"/>
          <w:szCs w:val="26"/>
        </w:rPr>
        <w:fldChar w:fldCharType="end"/>
      </w:r>
    </w:p>
    <w:p w:rsidRPr="00AE1B2B" w:rsidR="009D3FB5" w:rsidP="00163B94" w:rsidRDefault="009D3FB5" w14:paraId="782C9B55"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Recurso Humano Requerido</w:t>
      </w:r>
    </w:p>
    <w:tbl>
      <w:tblPr>
        <w:tblW w:w="11908" w:type="dxa"/>
        <w:tblInd w:w="-1583" w:type="dxa"/>
        <w:tblLayout w:type="fixed"/>
        <w:tblCellMar>
          <w:left w:w="70" w:type="dxa"/>
          <w:right w:w="70" w:type="dxa"/>
        </w:tblCellMar>
        <w:tblLook w:val="04A0" w:firstRow="1" w:lastRow="0" w:firstColumn="1" w:lastColumn="0" w:noHBand="0" w:noVBand="1"/>
      </w:tblPr>
      <w:tblGrid>
        <w:gridCol w:w="3403"/>
        <w:gridCol w:w="1134"/>
        <w:gridCol w:w="1559"/>
        <w:gridCol w:w="1701"/>
        <w:gridCol w:w="851"/>
        <w:gridCol w:w="1559"/>
        <w:gridCol w:w="1701"/>
      </w:tblGrid>
      <w:tr w:rsidRPr="00AE1B2B" w:rsidR="009D3FB5" w:rsidTr="009D3FB5" w14:paraId="0BEA5C70" w14:textId="77777777">
        <w:trPr>
          <w:trHeight w:val="312"/>
          <w:tblHeader/>
        </w:trPr>
        <w:tc>
          <w:tcPr>
            <w:tcW w:w="3403" w:type="dxa"/>
            <w:tcBorders>
              <w:top w:val="double" w:color="366092" w:sz="6" w:space="0"/>
              <w:left w:val="double" w:color="366092" w:sz="6" w:space="0"/>
              <w:bottom w:val="double" w:color="366092" w:sz="6" w:space="0"/>
              <w:right w:val="double" w:color="366092" w:sz="6" w:space="0"/>
            </w:tcBorders>
            <w:shd w:val="clear" w:color="000000" w:fill="0673A5"/>
            <w:vAlign w:val="center"/>
            <w:hideMark/>
          </w:tcPr>
          <w:p w:rsidRPr="00AE1B2B" w:rsidR="009D3FB5" w:rsidP="00163B94" w:rsidRDefault="009D3FB5" w14:paraId="62500616"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Despacho</w:t>
            </w:r>
          </w:p>
        </w:tc>
        <w:tc>
          <w:tcPr>
            <w:tcW w:w="1134" w:type="dxa"/>
            <w:tcBorders>
              <w:top w:val="double" w:color="366092" w:sz="6" w:space="0"/>
              <w:left w:val="nil"/>
              <w:bottom w:val="double" w:color="366092" w:sz="6" w:space="0"/>
              <w:right w:val="double" w:color="366092" w:sz="6" w:space="0"/>
            </w:tcBorders>
            <w:shd w:val="clear" w:color="000000" w:fill="0673A5"/>
            <w:vAlign w:val="center"/>
            <w:hideMark/>
          </w:tcPr>
          <w:p w:rsidRPr="00AE1B2B" w:rsidR="009D3FB5" w:rsidP="00163B94" w:rsidRDefault="009D3FB5" w14:paraId="33065DB9"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Cantidad</w:t>
            </w:r>
          </w:p>
        </w:tc>
        <w:tc>
          <w:tcPr>
            <w:tcW w:w="1559" w:type="dxa"/>
            <w:tcBorders>
              <w:top w:val="double" w:color="366092" w:sz="6" w:space="0"/>
              <w:left w:val="nil"/>
              <w:bottom w:val="double" w:color="366092" w:sz="6" w:space="0"/>
              <w:right w:val="double" w:color="366092" w:sz="6" w:space="0"/>
            </w:tcBorders>
            <w:shd w:val="clear" w:color="000000" w:fill="0673A5"/>
            <w:vAlign w:val="center"/>
            <w:hideMark/>
          </w:tcPr>
          <w:p w:rsidRPr="00AE1B2B" w:rsidR="009D3FB5" w:rsidP="00163B94" w:rsidRDefault="009D3FB5" w14:paraId="164652FC"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Tipo de plaza</w:t>
            </w:r>
          </w:p>
        </w:tc>
        <w:tc>
          <w:tcPr>
            <w:tcW w:w="1701" w:type="dxa"/>
            <w:tcBorders>
              <w:top w:val="double" w:color="366092" w:sz="6" w:space="0"/>
              <w:left w:val="nil"/>
              <w:bottom w:val="double" w:color="366092" w:sz="6" w:space="0"/>
              <w:right w:val="double" w:color="366092" w:sz="6" w:space="0"/>
            </w:tcBorders>
            <w:shd w:val="clear" w:color="000000" w:fill="0673A5"/>
            <w:vAlign w:val="center"/>
            <w:hideMark/>
          </w:tcPr>
          <w:p w:rsidRPr="00AE1B2B" w:rsidR="009D3FB5" w:rsidP="00163B94" w:rsidRDefault="009D3FB5" w14:paraId="22EA39A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Condición</w:t>
            </w:r>
          </w:p>
        </w:tc>
        <w:tc>
          <w:tcPr>
            <w:tcW w:w="851" w:type="dxa"/>
            <w:tcBorders>
              <w:top w:val="double" w:color="366092" w:sz="6" w:space="0"/>
              <w:left w:val="nil"/>
              <w:bottom w:val="double" w:color="366092" w:sz="6" w:space="0"/>
              <w:right w:val="double" w:color="366092" w:sz="6" w:space="0"/>
            </w:tcBorders>
            <w:shd w:val="clear" w:color="000000" w:fill="0673A5"/>
            <w:vAlign w:val="center"/>
            <w:hideMark/>
          </w:tcPr>
          <w:p w:rsidRPr="00AE1B2B" w:rsidR="009D3FB5" w:rsidP="00163B94" w:rsidRDefault="009D3FB5" w14:paraId="0EB3A187"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Período</w:t>
            </w:r>
          </w:p>
        </w:tc>
        <w:tc>
          <w:tcPr>
            <w:tcW w:w="1559" w:type="dxa"/>
            <w:tcBorders>
              <w:top w:val="double" w:color="366092" w:sz="6" w:space="0"/>
              <w:left w:val="nil"/>
              <w:bottom w:val="double" w:color="366092" w:sz="6" w:space="0"/>
              <w:right w:val="double" w:color="366092" w:sz="6" w:space="0"/>
            </w:tcBorders>
            <w:shd w:val="clear" w:color="000000" w:fill="0673A5"/>
            <w:vAlign w:val="center"/>
            <w:hideMark/>
          </w:tcPr>
          <w:p w:rsidRPr="00AE1B2B" w:rsidR="009D3FB5" w:rsidP="00163B94" w:rsidRDefault="009D3FB5" w14:paraId="1C487F4D"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Costo total</w:t>
            </w:r>
          </w:p>
        </w:tc>
        <w:tc>
          <w:tcPr>
            <w:tcW w:w="1701" w:type="dxa"/>
            <w:tcBorders>
              <w:top w:val="double" w:color="366092" w:sz="6" w:space="0"/>
              <w:left w:val="nil"/>
              <w:bottom w:val="double" w:color="366092" w:sz="6" w:space="0"/>
              <w:right w:val="double" w:color="366092" w:sz="6" w:space="0"/>
            </w:tcBorders>
            <w:shd w:val="clear" w:color="000000" w:fill="0673A5"/>
            <w:vAlign w:val="center"/>
            <w:hideMark/>
          </w:tcPr>
          <w:p w:rsidRPr="00AE1B2B" w:rsidR="009D3FB5" w:rsidP="00163B94" w:rsidRDefault="009D3FB5" w14:paraId="24487CD9"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Detalle</w:t>
            </w:r>
          </w:p>
        </w:tc>
      </w:tr>
      <w:tr w:rsidRPr="00AE1B2B" w:rsidR="009D3FB5" w:rsidTr="009D3FB5" w14:paraId="0B554CF5" w14:textId="77777777">
        <w:trPr>
          <w:trHeight w:val="600"/>
        </w:trPr>
        <w:tc>
          <w:tcPr>
            <w:tcW w:w="3403"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38E8F2BB"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 xml:space="preserve">Juzgado Civil, Trabajo, Agrario, Familia, Penal Juvenil, Contra la </w:t>
            </w:r>
            <w:r w:rsidRPr="00AE1B2B">
              <w:rPr>
                <w:rFonts w:ascii="Times New Roman" w:hAnsi="Times New Roman" w:cs="Times New Roman"/>
                <w:lang w:eastAsia="es-CR"/>
              </w:rPr>
              <w:lastRenderedPageBreak/>
              <w:t>Violencia Doméstica y Protección Cautelar II Circuito Judicial de Alajuela, sede Upala</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BB4B2B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lastRenderedPageBreak/>
              <w:t>1</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E382A6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Jueza o Juez 3</w:t>
            </w:r>
          </w:p>
        </w:tc>
        <w:tc>
          <w:tcPr>
            <w:tcW w:w="170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BC0C10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Extraordinaria</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CB95E03"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12 meses</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E5895B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₡54.716.000,00 </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5773AA33" w14:textId="1602812E">
            <w:pPr>
              <w:spacing w:before="120" w:after="120"/>
              <w:rPr>
                <w:rFonts w:ascii="Times New Roman" w:hAnsi="Times New Roman" w:cs="Times New Roman"/>
                <w:lang w:eastAsia="es-CR"/>
              </w:rPr>
            </w:pPr>
            <w:r w:rsidRPr="00AE1B2B">
              <w:rPr>
                <w:rFonts w:ascii="Times New Roman" w:hAnsi="Times New Roman" w:cs="Times New Roman"/>
                <w:lang w:eastAsia="es-CR"/>
              </w:rPr>
              <w:t xml:space="preserve">Jueza o Juez 3 Agrario adscrita </w:t>
            </w:r>
            <w:r w:rsidRPr="00AE1B2B">
              <w:rPr>
                <w:rFonts w:ascii="Times New Roman" w:hAnsi="Times New Roman" w:cs="Times New Roman"/>
                <w:lang w:eastAsia="es-CR"/>
              </w:rPr>
              <w:lastRenderedPageBreak/>
              <w:t>a la Jurisdicción Agraria</w:t>
            </w:r>
            <w:r w:rsidRPr="00AE1B2B" w:rsidR="00BB7720">
              <w:rPr>
                <w:rFonts w:ascii="Times New Roman" w:hAnsi="Times New Roman" w:cs="Times New Roman"/>
                <w:lang w:eastAsia="es-CR"/>
              </w:rPr>
              <w:t xml:space="preserve"> </w:t>
            </w:r>
          </w:p>
        </w:tc>
      </w:tr>
      <w:tr w:rsidRPr="00AE1B2B" w:rsidR="009D3FB5" w:rsidTr="009D3FB5" w14:paraId="3C9C5D94" w14:textId="77777777">
        <w:trPr>
          <w:trHeight w:val="600"/>
        </w:trPr>
        <w:tc>
          <w:tcPr>
            <w:tcW w:w="3403"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62761217"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lastRenderedPageBreak/>
              <w:t>Centro de Apoyo Coordinación y Mejoramiento de la Función Jurisdiccional</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6A0FA4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4</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8AF8F8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Jueza o Juez 3</w:t>
            </w:r>
          </w:p>
        </w:tc>
        <w:tc>
          <w:tcPr>
            <w:tcW w:w="170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221036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Extraordinaria</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78D7C5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12 meses</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9E6CB6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₡218.864.000,00 </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614F233"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Jueza o Juez 3 Agrario adscrita al CACMFJ</w:t>
            </w:r>
          </w:p>
        </w:tc>
      </w:tr>
      <w:tr w:rsidRPr="00AE1B2B" w:rsidR="009D3FB5" w:rsidTr="009D3FB5" w14:paraId="7AE75486" w14:textId="77777777">
        <w:trPr>
          <w:trHeight w:val="600"/>
        </w:trPr>
        <w:tc>
          <w:tcPr>
            <w:tcW w:w="3403"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55BEC271"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Centro de Apoyo Coordinación y Mejoramiento de la Función Jurisdiccional</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236546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951983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Jueza o Juez 4</w:t>
            </w:r>
          </w:p>
        </w:tc>
        <w:tc>
          <w:tcPr>
            <w:tcW w:w="170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A4A304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Extraordinaria</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B2BF98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12 meses</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10F8330"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₡59.053.000,00 </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1B287A44"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Jueza o Juez 4 Agrario adscrita al CACMFJ</w:t>
            </w:r>
          </w:p>
        </w:tc>
      </w:tr>
      <w:tr w:rsidRPr="00AE1B2B" w:rsidR="009D3FB5" w:rsidTr="009D3FB5" w14:paraId="3D37D380" w14:textId="77777777">
        <w:trPr>
          <w:trHeight w:val="600"/>
        </w:trPr>
        <w:tc>
          <w:tcPr>
            <w:tcW w:w="3403" w:type="dxa"/>
            <w:tcBorders>
              <w:top w:val="nil"/>
              <w:left w:val="double" w:color="1F497D" w:sz="6" w:space="0"/>
              <w:bottom w:val="double" w:color="1F497D" w:sz="6" w:space="0"/>
              <w:right w:val="double" w:color="1F497D" w:sz="6" w:space="0"/>
            </w:tcBorders>
            <w:shd w:val="clear" w:color="auto" w:fill="auto"/>
            <w:noWrap/>
            <w:vAlign w:val="center"/>
            <w:hideMark/>
          </w:tcPr>
          <w:p w:rsidRPr="00AE1B2B" w:rsidR="009D3FB5" w:rsidP="00163B94" w:rsidRDefault="009D3FB5" w14:paraId="17A28002"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Dirección Ejecutiva</w:t>
            </w:r>
          </w:p>
        </w:tc>
        <w:tc>
          <w:tcPr>
            <w:tcW w:w="1134"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01592C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6</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6ACFC7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Chofer</w:t>
            </w:r>
          </w:p>
        </w:tc>
        <w:tc>
          <w:tcPr>
            <w:tcW w:w="170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55F2E9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Extraordinarias</w:t>
            </w:r>
          </w:p>
        </w:tc>
        <w:tc>
          <w:tcPr>
            <w:tcW w:w="851"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F8B0EE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12 meses</w:t>
            </w:r>
          </w:p>
        </w:tc>
        <w:tc>
          <w:tcPr>
            <w:tcW w:w="1559"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4C788AA"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₡81.990.000,00 </w:t>
            </w:r>
          </w:p>
        </w:tc>
        <w:tc>
          <w:tcPr>
            <w:tcW w:w="1701" w:type="dxa"/>
            <w:tcBorders>
              <w:top w:val="nil"/>
              <w:left w:val="nil"/>
              <w:bottom w:val="double" w:color="1F497D" w:sz="6" w:space="0"/>
              <w:right w:val="double" w:color="1F497D" w:sz="6" w:space="0"/>
            </w:tcBorders>
            <w:shd w:val="clear" w:color="auto" w:fill="auto"/>
            <w:vAlign w:val="center"/>
            <w:hideMark/>
          </w:tcPr>
          <w:p w:rsidRPr="00AE1B2B" w:rsidR="009D3FB5" w:rsidP="00163B94" w:rsidRDefault="009D3FB5" w14:paraId="45D2A604"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 xml:space="preserve">Choferes adscritos a la Administración </w:t>
            </w:r>
          </w:p>
        </w:tc>
      </w:tr>
      <w:tr w:rsidRPr="00AE1B2B" w:rsidR="009D3FB5" w:rsidTr="009D3FB5" w14:paraId="20FB5D94" w14:textId="77777777">
        <w:trPr>
          <w:trHeight w:val="312"/>
        </w:trPr>
        <w:tc>
          <w:tcPr>
            <w:tcW w:w="3403" w:type="dxa"/>
            <w:tcBorders>
              <w:top w:val="double" w:color="0673A5" w:sz="6" w:space="0"/>
              <w:left w:val="double" w:color="0673A5" w:sz="6" w:space="0"/>
              <w:bottom w:val="double" w:color="0673A5" w:sz="6" w:space="0"/>
              <w:right w:val="double" w:color="0673A5" w:sz="6" w:space="0"/>
            </w:tcBorders>
            <w:shd w:val="clear" w:color="000000" w:fill="DCE6F1"/>
            <w:noWrap/>
            <w:vAlign w:val="center"/>
            <w:hideMark/>
          </w:tcPr>
          <w:p w:rsidRPr="00AE1B2B" w:rsidR="009D3FB5" w:rsidP="00163B94" w:rsidRDefault="009D3FB5" w14:paraId="21B9AC7E" w14:textId="77777777">
            <w:pPr>
              <w:spacing w:before="120" w:after="120"/>
              <w:jc w:val="right"/>
              <w:rPr>
                <w:rFonts w:ascii="Times New Roman" w:hAnsi="Times New Roman" w:cs="Times New Roman"/>
                <w:b/>
                <w:bCs/>
                <w:lang w:eastAsia="es-CR"/>
              </w:rPr>
            </w:pPr>
            <w:r w:rsidRPr="00AE1B2B">
              <w:rPr>
                <w:rFonts w:ascii="Times New Roman" w:hAnsi="Times New Roman" w:cs="Times New Roman"/>
                <w:b/>
                <w:bCs/>
                <w:lang w:eastAsia="es-CR"/>
              </w:rPr>
              <w:t>Total</w:t>
            </w:r>
          </w:p>
        </w:tc>
        <w:tc>
          <w:tcPr>
            <w:tcW w:w="1134" w:type="dxa"/>
            <w:tcBorders>
              <w:top w:val="double" w:color="0673A5" w:sz="6" w:space="0"/>
              <w:left w:val="nil"/>
              <w:bottom w:val="double" w:color="0673A5" w:sz="6" w:space="0"/>
              <w:right w:val="double" w:color="0673A5" w:sz="6" w:space="0"/>
            </w:tcBorders>
            <w:shd w:val="clear" w:color="000000" w:fill="DCE6F1"/>
            <w:noWrap/>
            <w:vAlign w:val="center"/>
            <w:hideMark/>
          </w:tcPr>
          <w:p w:rsidRPr="00AE1B2B" w:rsidR="009D3FB5" w:rsidP="00163B94" w:rsidRDefault="009D3FB5" w14:paraId="6B1B3330"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12</w:t>
            </w:r>
          </w:p>
        </w:tc>
        <w:tc>
          <w:tcPr>
            <w:tcW w:w="4111" w:type="dxa"/>
            <w:gridSpan w:val="3"/>
            <w:tcBorders>
              <w:top w:val="double" w:color="1F497D" w:sz="6" w:space="0"/>
              <w:left w:val="double" w:color="1F497D" w:sz="6" w:space="0"/>
              <w:bottom w:val="double" w:color="1F497D" w:sz="6" w:space="0"/>
              <w:right w:val="double" w:color="1F497D" w:sz="6" w:space="0"/>
            </w:tcBorders>
            <w:shd w:val="clear" w:color="000000" w:fill="DCE6F1"/>
            <w:noWrap/>
            <w:vAlign w:val="center"/>
            <w:hideMark/>
          </w:tcPr>
          <w:p w:rsidRPr="00AE1B2B" w:rsidR="009D3FB5" w:rsidP="00163B94" w:rsidRDefault="009D3FB5" w14:paraId="0D87BB57"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w:t>
            </w:r>
          </w:p>
        </w:tc>
        <w:tc>
          <w:tcPr>
            <w:tcW w:w="3260" w:type="dxa"/>
            <w:gridSpan w:val="2"/>
            <w:tcBorders>
              <w:top w:val="double" w:color="1F497D" w:sz="6" w:space="0"/>
              <w:left w:val="nil"/>
              <w:bottom w:val="double" w:color="1F497D" w:sz="6" w:space="0"/>
              <w:right w:val="double" w:color="1F497D" w:sz="6" w:space="0"/>
            </w:tcBorders>
            <w:shd w:val="clear" w:color="000000" w:fill="DCE6F1"/>
            <w:noWrap/>
            <w:vAlign w:val="center"/>
            <w:hideMark/>
          </w:tcPr>
          <w:p w:rsidRPr="00AE1B2B" w:rsidR="009D3FB5" w:rsidP="00163B94" w:rsidRDefault="009D3FB5" w14:paraId="2B2AB8AC"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₡414.623.000,00 </w:t>
            </w:r>
          </w:p>
        </w:tc>
      </w:tr>
    </w:tbl>
    <w:p w:rsidRPr="00AE1B2B" w:rsidR="009D3FB5" w:rsidP="00163B94" w:rsidRDefault="009D3FB5" w14:paraId="6641A7FE"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Fuente: Subproceso de Modernización Institucional, Dirección de Planificación.</w:t>
      </w:r>
    </w:p>
    <w:p w:rsidRPr="00AE1B2B" w:rsidR="009D3FB5" w:rsidP="00163B94" w:rsidRDefault="009D3FB5" w14:paraId="7FD6A212" w14:textId="77777777">
      <w:pPr>
        <w:pStyle w:val="Ttulo"/>
        <w:spacing w:before="120" w:after="120"/>
        <w:ind w:left="851" w:right="851" w:firstLine="709"/>
        <w:jc w:val="both"/>
        <w:rPr>
          <w:rFonts w:ascii="Times New Roman" w:hAnsi="Times New Roman"/>
          <w:b w:val="0"/>
          <w:sz w:val="26"/>
          <w:szCs w:val="26"/>
        </w:rPr>
      </w:pPr>
      <w:r w:rsidRPr="00AE1B2B">
        <w:rPr>
          <w:rFonts w:ascii="Times New Roman" w:hAnsi="Times New Roman"/>
          <w:b w:val="0"/>
          <w:sz w:val="26"/>
          <w:szCs w:val="26"/>
        </w:rPr>
        <w:t xml:space="preserve">La propuesta de recurso humano necesario para la implementación del Nuevo Código Procesal Agrario tiene un monto total de ₡414.623.000,00. </w:t>
      </w:r>
    </w:p>
    <w:p w:rsidRPr="00AE1B2B" w:rsidR="009D3FB5" w:rsidP="00163B94" w:rsidRDefault="009D3FB5" w14:paraId="681494D5" w14:textId="77777777">
      <w:pPr>
        <w:pStyle w:val="Ttulo"/>
        <w:spacing w:before="120" w:after="120"/>
        <w:ind w:left="851" w:right="851" w:firstLine="709"/>
        <w:jc w:val="both"/>
        <w:rPr>
          <w:rFonts w:ascii="Times New Roman" w:hAnsi="Times New Roman"/>
          <w:b w:val="0"/>
          <w:sz w:val="26"/>
          <w:szCs w:val="26"/>
        </w:rPr>
      </w:pPr>
      <w:r w:rsidRPr="00AE1B2B">
        <w:rPr>
          <w:rFonts w:ascii="Times New Roman" w:hAnsi="Times New Roman"/>
          <w:b w:val="0"/>
          <w:sz w:val="26"/>
          <w:szCs w:val="26"/>
        </w:rPr>
        <w:t xml:space="preserve">Los siguientes montos están asociados a los costos de equipo y mobiliario; y creación de nueva oficina ((Butacas de 4 plazas, Sillas de visita tapizadas, otros), Costo de Remodelación (propuesta arquitectónica) y Servicios Públicos (Monto anual por persona con I.V.A) por un monto de ₡22.903.882,88), como en la adquisición de vehículos con sus respectivos mantenimientos y demás. </w:t>
      </w:r>
    </w:p>
    <w:p w:rsidRPr="00AE1B2B" w:rsidR="009D3FB5" w:rsidP="00163B94" w:rsidRDefault="009D3FB5" w14:paraId="789E98CD"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 xml:space="preserve">Cuadro </w:t>
      </w:r>
      <w:r w:rsidRPr="00AE1B2B">
        <w:rPr>
          <w:rFonts w:ascii="Times New Roman" w:hAnsi="Times New Roman"/>
          <w:iCs/>
          <w:sz w:val="26"/>
          <w:szCs w:val="26"/>
        </w:rPr>
        <w:fldChar w:fldCharType="begin"/>
      </w:r>
      <w:r w:rsidRPr="00AE1B2B">
        <w:rPr>
          <w:rFonts w:ascii="Times New Roman" w:hAnsi="Times New Roman"/>
          <w:iCs/>
          <w:sz w:val="26"/>
          <w:szCs w:val="26"/>
        </w:rPr>
        <w:instrText xml:space="preserve"> SEQ Cuadro \* ARABIC </w:instrText>
      </w:r>
      <w:r w:rsidRPr="00AE1B2B">
        <w:rPr>
          <w:rFonts w:ascii="Times New Roman" w:hAnsi="Times New Roman"/>
          <w:iCs/>
          <w:sz w:val="26"/>
          <w:szCs w:val="26"/>
        </w:rPr>
        <w:fldChar w:fldCharType="separate"/>
      </w:r>
      <w:r w:rsidRPr="00AE1B2B">
        <w:rPr>
          <w:rFonts w:ascii="Times New Roman" w:hAnsi="Times New Roman"/>
          <w:iCs/>
          <w:noProof/>
          <w:sz w:val="26"/>
          <w:szCs w:val="26"/>
        </w:rPr>
        <w:t>19</w:t>
      </w:r>
      <w:r w:rsidRPr="00AE1B2B">
        <w:rPr>
          <w:rFonts w:ascii="Times New Roman" w:hAnsi="Times New Roman"/>
          <w:iCs/>
          <w:sz w:val="26"/>
          <w:szCs w:val="26"/>
        </w:rPr>
        <w:fldChar w:fldCharType="end"/>
      </w:r>
    </w:p>
    <w:p w:rsidRPr="00AE1B2B" w:rsidR="009D3FB5" w:rsidP="00163B94" w:rsidRDefault="009D3FB5" w14:paraId="7758E01D" w14:textId="77777777">
      <w:pPr>
        <w:pStyle w:val="Ttulo"/>
        <w:spacing w:before="120" w:after="120"/>
        <w:ind w:left="851" w:right="851" w:firstLine="709"/>
        <w:jc w:val="both"/>
        <w:rPr>
          <w:rFonts w:ascii="Times New Roman" w:hAnsi="Times New Roman"/>
          <w:iCs/>
          <w:sz w:val="26"/>
          <w:szCs w:val="26"/>
        </w:rPr>
      </w:pPr>
      <w:r w:rsidRPr="00AE1B2B">
        <w:rPr>
          <w:rFonts w:ascii="Times New Roman" w:hAnsi="Times New Roman"/>
          <w:iCs/>
          <w:sz w:val="26"/>
          <w:szCs w:val="26"/>
        </w:rPr>
        <w:t>Costo total estimado para presupuesto 2022</w:t>
      </w:r>
    </w:p>
    <w:tbl>
      <w:tblPr>
        <w:tblW w:w="12050" w:type="dxa"/>
        <w:tblInd w:w="-1583" w:type="dxa"/>
        <w:tblLayout w:type="fixed"/>
        <w:tblCellMar>
          <w:left w:w="70" w:type="dxa"/>
          <w:right w:w="70" w:type="dxa"/>
        </w:tblCellMar>
        <w:tblLook w:val="04A0" w:firstRow="1" w:lastRow="0" w:firstColumn="1" w:lastColumn="0" w:noHBand="0" w:noVBand="1"/>
      </w:tblPr>
      <w:tblGrid>
        <w:gridCol w:w="4395"/>
        <w:gridCol w:w="2127"/>
        <w:gridCol w:w="2693"/>
        <w:gridCol w:w="2835"/>
      </w:tblGrid>
      <w:tr w:rsidRPr="00AE1B2B" w:rsidR="009D3FB5" w:rsidTr="009D3FB5" w14:paraId="73A893AF" w14:textId="77777777">
        <w:trPr>
          <w:trHeight w:val="312"/>
          <w:tblHeader/>
        </w:trPr>
        <w:tc>
          <w:tcPr>
            <w:tcW w:w="12050" w:type="dxa"/>
            <w:gridSpan w:val="4"/>
            <w:tcBorders>
              <w:top w:val="double" w:color="366092" w:sz="6" w:space="0"/>
              <w:left w:val="double" w:color="366092" w:sz="6" w:space="0"/>
              <w:bottom w:val="double" w:color="366092" w:sz="6" w:space="0"/>
              <w:right w:val="double" w:color="366092" w:sz="6" w:space="0"/>
            </w:tcBorders>
            <w:shd w:val="clear" w:color="000000" w:fill="0673A5"/>
            <w:vAlign w:val="center"/>
            <w:hideMark/>
          </w:tcPr>
          <w:p w:rsidRPr="00AE1B2B" w:rsidR="009D3FB5" w:rsidP="00163B94" w:rsidRDefault="009D3FB5" w14:paraId="279AAB41"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Estimación de costos para la implementación de la reforma con cargo al presupuesto del periodo 2022, según programa presupuestario</w:t>
            </w:r>
          </w:p>
        </w:tc>
      </w:tr>
      <w:tr w:rsidRPr="00AE1B2B" w:rsidR="009D3FB5" w:rsidTr="009D3FB5" w14:paraId="3E53CD86" w14:textId="77777777">
        <w:trPr>
          <w:trHeight w:val="312"/>
          <w:tblHeader/>
        </w:trPr>
        <w:tc>
          <w:tcPr>
            <w:tcW w:w="4395" w:type="dxa"/>
            <w:vMerge w:val="restart"/>
            <w:tcBorders>
              <w:top w:val="nil"/>
              <w:left w:val="double" w:color="366092" w:sz="6" w:space="0"/>
              <w:bottom w:val="double" w:color="366092" w:sz="6" w:space="0"/>
              <w:right w:val="double" w:color="366092" w:sz="6" w:space="0"/>
            </w:tcBorders>
            <w:shd w:val="clear" w:color="000000" w:fill="0673A5"/>
            <w:vAlign w:val="center"/>
            <w:hideMark/>
          </w:tcPr>
          <w:p w:rsidRPr="00AE1B2B" w:rsidR="009D3FB5" w:rsidP="00163B94" w:rsidRDefault="009D3FB5" w14:paraId="25368DD2"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REQUERIMIENTO</w:t>
            </w:r>
          </w:p>
        </w:tc>
        <w:tc>
          <w:tcPr>
            <w:tcW w:w="7655" w:type="dxa"/>
            <w:gridSpan w:val="3"/>
            <w:tcBorders>
              <w:top w:val="double" w:color="366092" w:sz="6" w:space="0"/>
              <w:left w:val="nil"/>
              <w:bottom w:val="double" w:color="366092" w:sz="6" w:space="0"/>
              <w:right w:val="double" w:color="366092" w:sz="6" w:space="0"/>
            </w:tcBorders>
            <w:shd w:val="clear" w:color="000000" w:fill="0673A5"/>
            <w:vAlign w:val="center"/>
            <w:hideMark/>
          </w:tcPr>
          <w:p w:rsidRPr="00AE1B2B" w:rsidR="009D3FB5" w:rsidP="00163B94" w:rsidRDefault="009D3FB5" w14:paraId="38EB84D6"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PROGRAMA</w:t>
            </w:r>
          </w:p>
        </w:tc>
      </w:tr>
      <w:tr w:rsidRPr="00AE1B2B" w:rsidR="009D3FB5" w:rsidTr="009D3FB5" w14:paraId="4D34617E" w14:textId="77777777">
        <w:trPr>
          <w:trHeight w:val="600"/>
          <w:tblHeader/>
        </w:trPr>
        <w:tc>
          <w:tcPr>
            <w:tcW w:w="4395" w:type="dxa"/>
            <w:vMerge/>
            <w:tcBorders>
              <w:top w:val="nil"/>
              <w:left w:val="double" w:color="366092" w:sz="6" w:space="0"/>
              <w:bottom w:val="double" w:color="366092" w:sz="6" w:space="0"/>
              <w:right w:val="double" w:color="366092" w:sz="6" w:space="0"/>
            </w:tcBorders>
            <w:vAlign w:val="center"/>
            <w:hideMark/>
          </w:tcPr>
          <w:p w:rsidRPr="00AE1B2B" w:rsidR="009D3FB5" w:rsidP="00163B94" w:rsidRDefault="009D3FB5" w14:paraId="300067F8" w14:textId="77777777">
            <w:pPr>
              <w:spacing w:before="120" w:after="120"/>
              <w:rPr>
                <w:rFonts w:ascii="Times New Roman" w:hAnsi="Times New Roman" w:cs="Times New Roman"/>
                <w:b/>
                <w:bCs/>
                <w:lang w:eastAsia="es-CR"/>
              </w:rPr>
            </w:pPr>
          </w:p>
        </w:tc>
        <w:tc>
          <w:tcPr>
            <w:tcW w:w="2127" w:type="dxa"/>
            <w:tcBorders>
              <w:top w:val="nil"/>
              <w:left w:val="nil"/>
              <w:bottom w:val="double" w:color="366092" w:sz="6" w:space="0"/>
              <w:right w:val="double" w:color="366092" w:sz="6" w:space="0"/>
            </w:tcBorders>
            <w:shd w:val="clear" w:color="000000" w:fill="0673A5"/>
            <w:vAlign w:val="center"/>
            <w:hideMark/>
          </w:tcPr>
          <w:p w:rsidRPr="00AE1B2B" w:rsidR="009D3FB5" w:rsidP="00163B94" w:rsidRDefault="009D3FB5" w14:paraId="1AA16A37"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926</w:t>
            </w:r>
            <w:r w:rsidRPr="00AE1B2B">
              <w:rPr>
                <w:rFonts w:ascii="Times New Roman" w:hAnsi="Times New Roman" w:cs="Times New Roman"/>
                <w:b/>
                <w:bCs/>
                <w:lang w:eastAsia="es-CR"/>
              </w:rPr>
              <w:br/>
            </w:r>
            <w:r w:rsidRPr="00AE1B2B">
              <w:rPr>
                <w:rFonts w:ascii="Times New Roman" w:hAnsi="Times New Roman" w:cs="Times New Roman"/>
                <w:b/>
                <w:bCs/>
                <w:lang w:eastAsia="es-CR"/>
              </w:rPr>
              <w:t>Administrativo</w:t>
            </w:r>
          </w:p>
        </w:tc>
        <w:tc>
          <w:tcPr>
            <w:tcW w:w="2693" w:type="dxa"/>
            <w:tcBorders>
              <w:top w:val="nil"/>
              <w:left w:val="nil"/>
              <w:bottom w:val="double" w:color="366092" w:sz="6" w:space="0"/>
              <w:right w:val="double" w:color="366092" w:sz="6" w:space="0"/>
            </w:tcBorders>
            <w:shd w:val="clear" w:color="000000" w:fill="0673A5"/>
            <w:vAlign w:val="center"/>
            <w:hideMark/>
          </w:tcPr>
          <w:p w:rsidRPr="00AE1B2B" w:rsidR="009D3FB5" w:rsidP="00163B94" w:rsidRDefault="009D3FB5" w14:paraId="3D7480A5"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927</w:t>
            </w:r>
            <w:r w:rsidRPr="00AE1B2B">
              <w:rPr>
                <w:rFonts w:ascii="Times New Roman" w:hAnsi="Times New Roman" w:cs="Times New Roman"/>
                <w:b/>
                <w:bCs/>
                <w:lang w:eastAsia="es-CR"/>
              </w:rPr>
              <w:br/>
            </w:r>
            <w:r w:rsidRPr="00AE1B2B">
              <w:rPr>
                <w:rFonts w:ascii="Times New Roman" w:hAnsi="Times New Roman" w:cs="Times New Roman"/>
                <w:b/>
                <w:bCs/>
                <w:lang w:eastAsia="es-CR"/>
              </w:rPr>
              <w:t xml:space="preserve">Jurisdiccional </w:t>
            </w:r>
          </w:p>
        </w:tc>
        <w:tc>
          <w:tcPr>
            <w:tcW w:w="2835" w:type="dxa"/>
            <w:tcBorders>
              <w:top w:val="nil"/>
              <w:left w:val="nil"/>
              <w:bottom w:val="double" w:color="366092" w:sz="6" w:space="0"/>
              <w:right w:val="double" w:color="366092" w:sz="6" w:space="0"/>
            </w:tcBorders>
            <w:shd w:val="clear" w:color="000000" w:fill="0673A5"/>
            <w:vAlign w:val="center"/>
            <w:hideMark/>
          </w:tcPr>
          <w:p w:rsidRPr="00AE1B2B" w:rsidR="009D3FB5" w:rsidP="00163B94" w:rsidRDefault="009D3FB5" w14:paraId="39780A6A"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Costo total</w:t>
            </w:r>
          </w:p>
        </w:tc>
      </w:tr>
      <w:tr w:rsidRPr="00AE1B2B" w:rsidR="009D3FB5" w:rsidTr="009D3FB5" w14:paraId="54AC0D5C"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6D8D0892" w14:textId="77777777">
            <w:pPr>
              <w:spacing w:before="120" w:after="120"/>
              <w:rPr>
                <w:rFonts w:ascii="Times New Roman" w:hAnsi="Times New Roman" w:cs="Times New Roman"/>
                <w:b/>
                <w:bCs/>
                <w:lang w:eastAsia="es-CR"/>
              </w:rPr>
            </w:pPr>
            <w:r w:rsidRPr="00AE1B2B">
              <w:rPr>
                <w:rFonts w:ascii="Times New Roman" w:hAnsi="Times New Roman" w:cs="Times New Roman"/>
                <w:b/>
                <w:bCs/>
                <w:lang w:eastAsia="es-CR"/>
              </w:rPr>
              <w:t>Recurso humano</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68EB52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₡81.990.000,00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BC8C3EE" w14:textId="48E9FA19">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332.633.000,00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01159BB" w14:textId="55DFFD56">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414.623.000,00 </w:t>
            </w:r>
          </w:p>
        </w:tc>
      </w:tr>
      <w:tr w:rsidRPr="00AE1B2B" w:rsidR="009D3FB5" w:rsidTr="009D3FB5" w14:paraId="1A00BF86"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678965A0"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lastRenderedPageBreak/>
              <w:t xml:space="preserve">Equipo de cómputo </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D0C97D9" w14:textId="6C16F9FF">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72A28D1" w14:textId="2F0C6710">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5.695.200,00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76C8A40" w14:textId="564C32C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5.695.200,00 </w:t>
            </w:r>
          </w:p>
        </w:tc>
      </w:tr>
      <w:tr w:rsidRPr="00AE1B2B" w:rsidR="009D3FB5" w:rsidTr="009D3FB5" w14:paraId="616C00D1"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29C03E57"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Otros dispositivos de cómputo (monitores)</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F244E18" w14:textId="2142635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ED4DB4A" w14:textId="42EAB896">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780.000,00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6ED874B" w14:textId="06C9C882">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780.000,00 </w:t>
            </w:r>
          </w:p>
        </w:tc>
      </w:tr>
      <w:tr w:rsidRPr="00AE1B2B" w:rsidR="009D3FB5" w:rsidTr="009D3FB5" w14:paraId="2717A0EA"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07683117"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Mobiliario de plazas nuevas.</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32FE6B1" w14:textId="4FFFBC45">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FB1FC01" w14:textId="43A0957B">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729.072,61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A1D74D4" w14:textId="2C2C84F2">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729.072,61 </w:t>
            </w:r>
          </w:p>
        </w:tc>
      </w:tr>
      <w:tr w:rsidRPr="00AE1B2B" w:rsidR="009D3FB5" w:rsidTr="009D3FB5" w14:paraId="7059C921"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5084F7D0"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Creación de oficina nueva (Butacas de 4 plazas, Sillas de visita tapizadas, otros)</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823D95B" w14:textId="4E946C56">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880.464,04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2563607" w14:textId="104AFA90">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0636656" w14:textId="3D49162A">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880.464,04 </w:t>
            </w:r>
          </w:p>
        </w:tc>
      </w:tr>
      <w:tr w:rsidRPr="00AE1B2B" w:rsidR="009D3FB5" w:rsidTr="009D3FB5" w14:paraId="548397E1"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3F85F9AA"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 xml:space="preserve">Costo de Remodelación (propuesta arquitectónica) </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1C7C035" w14:textId="33279CE6">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19.350.001,04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72575BD" w14:textId="37853879">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322AE40" w14:textId="40AD24FF">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19.350.001,04 </w:t>
            </w:r>
          </w:p>
        </w:tc>
      </w:tr>
      <w:tr w:rsidRPr="00AE1B2B" w:rsidR="009D3FB5" w:rsidTr="009D3FB5" w14:paraId="497D7B4A"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57666948"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Servicios Públicos (Monto anual por persona con I.V.A)</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EE1C122" w14:textId="71683742">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2.673.417,80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5BADDE4" w14:textId="449A7914">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CDF3191" w14:textId="2F1FC3A2">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2.673.417,80 </w:t>
            </w:r>
          </w:p>
        </w:tc>
      </w:tr>
      <w:tr w:rsidRPr="00AE1B2B" w:rsidR="009D3FB5" w:rsidTr="009D3FB5" w14:paraId="725BBF2C"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6DEFAA36"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Uniformes (2 pantalones y 3 camisas)</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E61BBC7" w14:textId="683D0AA3">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310.757,02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66D72F9" w14:textId="7C3615FE">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FE07E57" w14:textId="1545C3E8">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310.757,02 </w:t>
            </w:r>
          </w:p>
        </w:tc>
      </w:tr>
      <w:tr w:rsidRPr="00AE1B2B" w:rsidR="009D3FB5" w:rsidTr="009D3FB5" w14:paraId="2DFB567D"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44C1E69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Capa</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DB7B5AC" w14:textId="3B13E006">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150.000,00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BC175A0" w14:textId="2D23882D">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7CA7BC6" w14:textId="708FF3C9">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150.000,00 </w:t>
            </w:r>
          </w:p>
        </w:tc>
      </w:tr>
      <w:tr w:rsidRPr="00AE1B2B" w:rsidR="009D3FB5" w:rsidTr="009D3FB5" w14:paraId="16F7CE99"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1E31C11E"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Bota de hule</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5CA6F37" w14:textId="51625182">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60.000,00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2199095" w14:textId="7C2A38F6">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9CC8ADB" w14:textId="49C2E875">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60.000,00 </w:t>
            </w:r>
          </w:p>
        </w:tc>
      </w:tr>
      <w:tr w:rsidRPr="00AE1B2B" w:rsidR="009D3FB5" w:rsidTr="009D3FB5" w14:paraId="235432F1" w14:textId="77777777">
        <w:trPr>
          <w:trHeight w:val="312"/>
        </w:trPr>
        <w:tc>
          <w:tcPr>
            <w:tcW w:w="4395"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AE1B2B" w:rsidR="009D3FB5" w:rsidP="00163B94" w:rsidRDefault="009D3FB5" w14:paraId="3BBD91A8"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Viáticos (solo chofer)</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289BE35" w14:textId="61AEC4BB">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5.560.360,00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952F1D7" w14:textId="545DCA45">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E147EDF" w14:textId="4C76E464">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5.560.360,00 </w:t>
            </w:r>
          </w:p>
        </w:tc>
      </w:tr>
      <w:tr w:rsidRPr="00AE1B2B" w:rsidR="009D3FB5" w:rsidTr="009D3FB5" w14:paraId="3BD54E29"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7032F9D3"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El costo del vehículo ($29.205,00) incluye kit de seguridad, herramientas y tapicería oscura</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EA70F48" w14:textId="7509FF4D">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106.177.858,63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A023246" w14:textId="165C1621">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14F574F" w14:textId="2BAA329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106.177.858,63 </w:t>
            </w:r>
          </w:p>
        </w:tc>
      </w:tr>
      <w:tr w:rsidRPr="00AE1B2B" w:rsidR="009D3FB5" w:rsidTr="009D3FB5" w14:paraId="2ECB2DB4"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01245A48"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Mantenimiento preventivo de vehículo (incluyen los cambios de aceite)</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AA83865" w14:textId="0F767C2C">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2.825.000,00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2887C65" w14:textId="028E298C">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918FDBD" w14:textId="0DB729FF">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2.825.000,00 </w:t>
            </w:r>
          </w:p>
        </w:tc>
      </w:tr>
      <w:tr w:rsidRPr="00AE1B2B" w:rsidR="009D3FB5" w:rsidTr="009D3FB5" w14:paraId="492F4749"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43A51766"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Llantas</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F7F890F" w14:textId="20F016BE">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1.533.498,40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AB9D898" w14:textId="011332AF">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6B71862" w14:textId="13B4E3F1">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1.533.498,40 </w:t>
            </w:r>
          </w:p>
        </w:tc>
      </w:tr>
      <w:tr w:rsidRPr="00AE1B2B" w:rsidR="009D3FB5" w:rsidTr="009D3FB5" w14:paraId="0D20E966"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35CE93A3"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Repuestos</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1029F11" w14:textId="1FF39D9C">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2.825.000,00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C9D3A9F" w14:textId="0E74A0E5">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6DED1BB" w14:textId="487758D6">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2.825.000,00 </w:t>
            </w:r>
          </w:p>
        </w:tc>
      </w:tr>
      <w:tr w:rsidRPr="00AE1B2B" w:rsidR="009D3FB5" w:rsidTr="009D3FB5" w14:paraId="1846C693"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42A6A833"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Mantenimiento Correctivo</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E8F8492" w14:textId="4CE0755F">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1.695.000,00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2DD98ED" w14:textId="4A257E8D">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A40854D" w14:textId="407E7C50">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1.695.000,00 </w:t>
            </w:r>
          </w:p>
        </w:tc>
      </w:tr>
      <w:tr w:rsidRPr="00AE1B2B" w:rsidR="009D3FB5" w:rsidTr="009D3FB5" w14:paraId="5C32DE2C"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6E3CA29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Lona</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7361C46" w14:textId="2DB493FE">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565.000,00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1E783DE" w14:textId="68F7164B">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9BABEB5" w14:textId="67BDB54B">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565.000,00 </w:t>
            </w:r>
          </w:p>
        </w:tc>
      </w:tr>
      <w:tr w:rsidRPr="00AE1B2B" w:rsidR="009D3FB5" w:rsidTr="009D3FB5" w14:paraId="5B736431"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26823592"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Batería para carro</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C4DF7FB" w14:textId="163E599A">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214.250,00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62F3F24" w14:textId="484D1E13">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D95EB5E" w14:textId="3E5928D6">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214.250,00 </w:t>
            </w:r>
          </w:p>
        </w:tc>
      </w:tr>
      <w:tr w:rsidRPr="00AE1B2B" w:rsidR="009D3FB5" w:rsidTr="009D3FB5" w14:paraId="2B1FD7C0"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74D78CFB"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lastRenderedPageBreak/>
              <w:t>Wincther</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C486994" w14:textId="43D36D51">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2.500.000,00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10717EC" w14:textId="5982C820">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82DABAD" w14:textId="553275BF">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2.500.000,00 </w:t>
            </w:r>
          </w:p>
        </w:tc>
      </w:tr>
      <w:tr w:rsidRPr="00AE1B2B" w:rsidR="009D3FB5" w:rsidTr="009D3FB5" w14:paraId="582D861B"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7FA4BAA9"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Instalación del wincther</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D99E465" w14:textId="154E6461">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1.695.000,00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3DBF266" w14:textId="1F3C7ECC">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7EF08B2" w14:textId="4BB2DBE2">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1.695.000,00 </w:t>
            </w:r>
          </w:p>
        </w:tc>
      </w:tr>
      <w:tr w:rsidRPr="00AE1B2B" w:rsidR="009D3FB5" w:rsidTr="009D3FB5" w14:paraId="4F1451F5"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657E93CC"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Cadenas para las llantas</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3F8D8B8" w14:textId="4D4A7C60">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300.000,00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C9EDBFE" w14:textId="1A6CEAD6">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56A6E40" w14:textId="31D9F0A5">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300.000,00 </w:t>
            </w:r>
          </w:p>
        </w:tc>
      </w:tr>
      <w:tr w:rsidRPr="00AE1B2B" w:rsidR="009D3FB5" w:rsidTr="009D3FB5" w14:paraId="36F095AF"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5999137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Combustible</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08DD3C4" w14:textId="2497B0D9">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7.743.099,00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C01DDDF" w14:textId="5E9FF838">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EA97B6B" w14:textId="15D6E60C">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7.743.099,00 </w:t>
            </w:r>
          </w:p>
        </w:tc>
      </w:tr>
      <w:tr w:rsidRPr="00AE1B2B" w:rsidR="009D3FB5" w:rsidTr="009D3FB5" w14:paraId="21F45C8A"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46AB1DEF"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Lingas</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DA83EFB" w14:textId="7C6C4C94">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100.000,00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A84DEE7" w14:textId="0A9F2D7C">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66814D7" w14:textId="692A04D9">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100.000,00 </w:t>
            </w:r>
          </w:p>
        </w:tc>
      </w:tr>
      <w:tr w:rsidRPr="00AE1B2B" w:rsidR="009D3FB5" w:rsidTr="009D3FB5" w14:paraId="7B503DCF"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368EEB35"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GPS</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3E21843" w14:textId="4A13BBD2">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822.373,96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3C98B2C" w14:textId="0AA0497D">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5ECDFBD" w14:textId="52F8F2F3">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822.373,96 </w:t>
            </w:r>
          </w:p>
        </w:tc>
      </w:tr>
      <w:tr w:rsidRPr="00AE1B2B" w:rsidR="009D3FB5" w:rsidTr="009D3FB5" w14:paraId="3A1229D7"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50601A78"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Quick pass (dispositivo – 29999)</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1E45992" w14:textId="4B5FB8DD">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84.750,00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04CDFB4" w14:textId="4791BBC5">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02EAF92" w14:textId="05843B9C">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84.750,00 </w:t>
            </w:r>
          </w:p>
        </w:tc>
      </w:tr>
      <w:tr w:rsidRPr="00AE1B2B" w:rsidR="009D3FB5" w:rsidTr="009D3FB5" w14:paraId="11EB1B28"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65DBEF00"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Quick pass (gasto – 10501)</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16CC14B" w14:textId="4CDD2B16">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465.560,00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440427A" w14:textId="12A82B5A">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042E8D6" w14:textId="50580B5F">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465.560,00 </w:t>
            </w:r>
          </w:p>
        </w:tc>
      </w:tr>
      <w:tr w:rsidRPr="00AE1B2B" w:rsidR="009D3FB5" w:rsidTr="009D3FB5" w14:paraId="6008EE72"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037D96F7"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Quick pass (mantenimiento – 10306)</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4153583" w14:textId="453DFACE">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84.750,00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CB28369" w14:textId="3934E005">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27681C0D" w14:textId="4BBE6AD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84.750,00 </w:t>
            </w:r>
          </w:p>
        </w:tc>
      </w:tr>
      <w:tr w:rsidRPr="00AE1B2B" w:rsidR="009D3FB5" w:rsidTr="009D3FB5" w14:paraId="302969D2"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51B06F71"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Cubreasientos</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8B02EB2" w14:textId="4DB9DE02">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500.000,00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9FC4B0B" w14:textId="066E8231">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ED79984" w14:textId="27FCE04F">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500.000,00 </w:t>
            </w:r>
          </w:p>
        </w:tc>
      </w:tr>
      <w:tr w:rsidRPr="00AE1B2B" w:rsidR="009D3FB5" w:rsidTr="009D3FB5" w14:paraId="18C2BE3A"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3FCD6359"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Lavado</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56920CD" w14:textId="5059BB84">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271.200,00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D1C3FA6" w14:textId="0BDC452D">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FC2A1B6" w14:textId="58C7CEB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271.200,00 </w:t>
            </w:r>
          </w:p>
        </w:tc>
      </w:tr>
      <w:tr w:rsidRPr="00AE1B2B" w:rsidR="009D3FB5" w:rsidTr="009D3FB5" w14:paraId="33C089F3"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02087B56"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Reparación de llantas</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A703191" w14:textId="60905F5E">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169.500,00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D2A384E" w14:textId="3D673004">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37BEF4C2" w14:textId="3B65344C">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169.500,00 </w:t>
            </w:r>
          </w:p>
        </w:tc>
      </w:tr>
      <w:tr w:rsidRPr="00AE1B2B" w:rsidR="009D3FB5" w:rsidTr="009D3FB5" w14:paraId="4EB6D518"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7C78F016"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Bloqueador solar</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69F80C4" w14:textId="2E367418">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75.000,00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01BB3F2" w14:textId="20DDD8CD">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1D33576" w14:textId="21CA9665">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75.000,00 </w:t>
            </w:r>
          </w:p>
        </w:tc>
      </w:tr>
      <w:tr w:rsidRPr="00AE1B2B" w:rsidR="009D3FB5" w:rsidTr="009D3FB5" w14:paraId="0A142EB9"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5719E2D8"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Mangas protectoras</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7204C3E" w14:textId="1AA4B192">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25.000,00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D199CD9" w14:textId="2E5C8676">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AA2FEC1" w14:textId="4ADE5AD4">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25.000,00 </w:t>
            </w:r>
          </w:p>
        </w:tc>
      </w:tr>
      <w:tr w:rsidRPr="00AE1B2B" w:rsidR="009D3FB5" w:rsidTr="009D3FB5" w14:paraId="37E37A8F"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4351254E"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Repelente</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1B1100B9" w14:textId="2FCF7F63">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25.000,00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76557572" w14:textId="2D3C0CD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4787981D" w14:textId="4623E599">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25.000,00 </w:t>
            </w:r>
          </w:p>
        </w:tc>
      </w:tr>
      <w:tr w:rsidRPr="00AE1B2B" w:rsidR="009D3FB5" w:rsidTr="009D3FB5" w14:paraId="608C63AB" w14:textId="77777777">
        <w:trPr>
          <w:trHeight w:val="312"/>
        </w:trPr>
        <w:tc>
          <w:tcPr>
            <w:tcW w:w="4395" w:type="dxa"/>
            <w:tcBorders>
              <w:top w:val="nil"/>
              <w:left w:val="double" w:color="1F497D" w:sz="6" w:space="0"/>
              <w:bottom w:val="double" w:color="1F497D" w:sz="6" w:space="0"/>
              <w:right w:val="double" w:color="1F497D" w:sz="6" w:space="0"/>
            </w:tcBorders>
            <w:shd w:val="clear" w:color="auto" w:fill="auto"/>
            <w:vAlign w:val="center"/>
            <w:hideMark/>
          </w:tcPr>
          <w:p w:rsidRPr="00AE1B2B" w:rsidR="009D3FB5" w:rsidP="00163B94" w:rsidRDefault="009D3FB5" w14:paraId="2CE19A9D" w14:textId="77777777">
            <w:pPr>
              <w:spacing w:before="120" w:after="120"/>
              <w:rPr>
                <w:rFonts w:ascii="Times New Roman" w:hAnsi="Times New Roman" w:cs="Times New Roman"/>
                <w:lang w:eastAsia="es-CR"/>
              </w:rPr>
            </w:pPr>
            <w:r w:rsidRPr="00AE1B2B">
              <w:rPr>
                <w:rFonts w:ascii="Times New Roman" w:hAnsi="Times New Roman" w:cs="Times New Roman"/>
                <w:lang w:eastAsia="es-CR"/>
              </w:rPr>
              <w:t>Alquiler de parqueo</w:t>
            </w:r>
          </w:p>
        </w:tc>
        <w:tc>
          <w:tcPr>
            <w:tcW w:w="2127"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65F54AA1" w14:textId="35CEC2EC">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 xml:space="preserve">610.200,00 </w:t>
            </w:r>
          </w:p>
        </w:tc>
        <w:tc>
          <w:tcPr>
            <w:tcW w:w="2693"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0E3CFB47" w14:textId="772BF930">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 ₡</w:t>
            </w:r>
            <w:r w:rsidRPr="00AE1B2B" w:rsidR="00BB7720">
              <w:rPr>
                <w:rFonts w:ascii="Times New Roman" w:hAnsi="Times New Roman" w:cs="Times New Roman"/>
                <w:lang w:eastAsia="es-CR"/>
              </w:rPr>
              <w:t xml:space="preserve"> </w:t>
            </w:r>
            <w:r w:rsidRPr="00AE1B2B">
              <w:rPr>
                <w:rFonts w:ascii="Times New Roman" w:hAnsi="Times New Roman" w:cs="Times New Roman"/>
                <w:lang w:eastAsia="es-CR"/>
              </w:rPr>
              <w:t>-</w:t>
            </w:r>
            <w:r w:rsidRPr="00AE1B2B" w:rsidR="00BB7720">
              <w:rPr>
                <w:rFonts w:ascii="Times New Roman" w:hAnsi="Times New Roman" w:cs="Times New Roman"/>
                <w:lang w:eastAsia="es-CR"/>
              </w:rPr>
              <w:t xml:space="preserve"> </w:t>
            </w:r>
          </w:p>
        </w:tc>
        <w:tc>
          <w:tcPr>
            <w:tcW w:w="2835" w:type="dxa"/>
            <w:tcBorders>
              <w:top w:val="nil"/>
              <w:left w:val="nil"/>
              <w:bottom w:val="double" w:color="1F497D" w:sz="6" w:space="0"/>
              <w:right w:val="double" w:color="1F497D" w:sz="6" w:space="0"/>
            </w:tcBorders>
            <w:shd w:val="clear" w:color="auto" w:fill="auto"/>
            <w:noWrap/>
            <w:vAlign w:val="center"/>
            <w:hideMark/>
          </w:tcPr>
          <w:p w:rsidRPr="00AE1B2B" w:rsidR="009D3FB5" w:rsidP="00163B94" w:rsidRDefault="009D3FB5" w14:paraId="54807EC6" w14:textId="7B9DB731">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610.200,00 </w:t>
            </w:r>
          </w:p>
        </w:tc>
      </w:tr>
      <w:tr w:rsidRPr="00AE1B2B" w:rsidR="009D3FB5" w:rsidTr="009D3FB5" w14:paraId="03363C8C" w14:textId="77777777">
        <w:trPr>
          <w:trHeight w:val="312"/>
        </w:trPr>
        <w:tc>
          <w:tcPr>
            <w:tcW w:w="4395" w:type="dxa"/>
            <w:tcBorders>
              <w:top w:val="double" w:color="0673A5" w:sz="6" w:space="0"/>
              <w:left w:val="double" w:color="0673A5" w:sz="6" w:space="0"/>
              <w:bottom w:val="double" w:color="0673A5" w:sz="6" w:space="0"/>
              <w:right w:val="double" w:color="0673A5" w:sz="6" w:space="0"/>
            </w:tcBorders>
            <w:shd w:val="clear" w:color="000000" w:fill="DCE6F1"/>
            <w:noWrap/>
            <w:vAlign w:val="center"/>
            <w:hideMark/>
          </w:tcPr>
          <w:p w:rsidRPr="00AE1B2B" w:rsidR="009D3FB5" w:rsidP="00163B94" w:rsidRDefault="009D3FB5" w14:paraId="04D88CFD" w14:textId="77777777">
            <w:pPr>
              <w:spacing w:before="120" w:after="120"/>
              <w:jc w:val="right"/>
              <w:rPr>
                <w:rFonts w:ascii="Times New Roman" w:hAnsi="Times New Roman" w:cs="Times New Roman"/>
                <w:b/>
                <w:bCs/>
                <w:lang w:eastAsia="es-CR"/>
              </w:rPr>
            </w:pPr>
            <w:r w:rsidRPr="00AE1B2B">
              <w:rPr>
                <w:rFonts w:ascii="Times New Roman" w:hAnsi="Times New Roman" w:cs="Times New Roman"/>
                <w:b/>
                <w:bCs/>
                <w:lang w:eastAsia="es-CR"/>
              </w:rPr>
              <w:t>Total por programa presupuestario</w:t>
            </w:r>
          </w:p>
        </w:tc>
        <w:tc>
          <w:tcPr>
            <w:tcW w:w="2127"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02A56EAD" w14:textId="00F2605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242.282.039,89 </w:t>
            </w:r>
          </w:p>
        </w:tc>
        <w:tc>
          <w:tcPr>
            <w:tcW w:w="2693"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1F938F22" w14:textId="498A1F55">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339.837.272,61 </w:t>
            </w:r>
          </w:p>
        </w:tc>
        <w:tc>
          <w:tcPr>
            <w:tcW w:w="2835" w:type="dxa"/>
            <w:tcBorders>
              <w:top w:val="nil"/>
              <w:left w:val="nil"/>
              <w:bottom w:val="double" w:color="1F497D" w:sz="6" w:space="0"/>
              <w:right w:val="double" w:color="1F497D" w:sz="6" w:space="0"/>
            </w:tcBorders>
            <w:shd w:val="clear" w:color="000000" w:fill="DCE6F1"/>
            <w:noWrap/>
            <w:vAlign w:val="center"/>
            <w:hideMark/>
          </w:tcPr>
          <w:p w:rsidRPr="00AE1B2B" w:rsidR="009D3FB5" w:rsidP="00163B94" w:rsidRDefault="009D3FB5" w14:paraId="7AE6CC3D" w14:textId="21ADCEC1">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 xml:space="preserve"> ₡</w:t>
            </w:r>
            <w:r w:rsidRPr="00AE1B2B" w:rsidR="00BB7720">
              <w:rPr>
                <w:rFonts w:ascii="Times New Roman" w:hAnsi="Times New Roman" w:cs="Times New Roman"/>
                <w:b/>
                <w:bCs/>
                <w:lang w:eastAsia="es-CR"/>
              </w:rPr>
              <w:t xml:space="preserve"> </w:t>
            </w:r>
            <w:r w:rsidRPr="00AE1B2B">
              <w:rPr>
                <w:rFonts w:ascii="Times New Roman" w:hAnsi="Times New Roman" w:cs="Times New Roman"/>
                <w:b/>
                <w:bCs/>
                <w:lang w:eastAsia="es-CR"/>
              </w:rPr>
              <w:t xml:space="preserve">582.119.312,50 </w:t>
            </w:r>
          </w:p>
        </w:tc>
      </w:tr>
    </w:tbl>
    <w:p w:rsidRPr="00AE1B2B" w:rsidR="00163B94" w:rsidP="00163B94" w:rsidRDefault="00163B94" w14:paraId="6C48F141" w14:textId="77777777">
      <w:pPr>
        <w:spacing w:before="120" w:after="120"/>
        <w:ind w:left="851" w:right="851" w:firstLine="709"/>
        <w:jc w:val="both"/>
        <w:rPr>
          <w:rFonts w:ascii="Times New Roman" w:hAnsi="Times New Roman" w:cs="Times New Roman"/>
          <w:b/>
          <w:i/>
          <w:sz w:val="26"/>
          <w:szCs w:val="26"/>
        </w:rPr>
      </w:pPr>
    </w:p>
    <w:p w:rsidRPr="00AE1B2B" w:rsidR="009D3FB5" w:rsidP="00163B94" w:rsidRDefault="009D3FB5" w14:paraId="52BD680D" w14:textId="013F1658">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 xml:space="preserve">Fuente: Subproceso de Modernización Institucional, Dirección de Planificación, datos suministrados por la Dirección </w:t>
      </w:r>
      <w:r w:rsidRPr="00AE1B2B">
        <w:rPr>
          <w:rFonts w:ascii="Times New Roman" w:hAnsi="Times New Roman" w:cs="Times New Roman"/>
          <w:b/>
          <w:i/>
          <w:sz w:val="26"/>
          <w:szCs w:val="26"/>
        </w:rPr>
        <w:lastRenderedPageBreak/>
        <w:t>Ejecutiva y Dirección Tecnología, según programa presupuestario 2020.</w:t>
      </w:r>
    </w:p>
    <w:p w:rsidRPr="00AE1B2B" w:rsidR="009D3FB5" w:rsidP="00163B94" w:rsidRDefault="009D3FB5" w14:paraId="474DA679"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Nota: Para el presupuesto del año 2021 se utiliza un tipo de cambio de ¢643.47 por US$1,00.</w:t>
      </w:r>
    </w:p>
    <w:p w:rsidRPr="00AE1B2B" w:rsidR="009D3FB5" w:rsidP="00163B94" w:rsidRDefault="009D3FB5" w14:paraId="08F84215" w14:textId="77777777">
      <w:pPr>
        <w:spacing w:before="120" w:after="120"/>
        <w:ind w:left="851" w:right="851" w:firstLine="709"/>
        <w:jc w:val="both"/>
        <w:rPr>
          <w:rFonts w:ascii="Times New Roman" w:hAnsi="Times New Roman" w:cs="Times New Roman"/>
          <w:b/>
          <w:i/>
          <w:sz w:val="26"/>
          <w:szCs w:val="26"/>
        </w:rPr>
      </w:pPr>
      <w:r w:rsidRPr="00AE1B2B">
        <w:rPr>
          <w:rFonts w:ascii="Times New Roman" w:hAnsi="Times New Roman" w:cs="Times New Roman"/>
          <w:b/>
          <w:i/>
          <w:sz w:val="26"/>
          <w:szCs w:val="26"/>
        </w:rPr>
        <w:t>Los costos son anuales. (Ver anexo 14. Presupuesto actualizado Jurisdicción Agraria)</w:t>
      </w:r>
    </w:p>
    <w:p w:rsidRPr="00AE1B2B" w:rsidR="009D3FB5" w:rsidP="00163B94" w:rsidRDefault="009D3FB5" w14:paraId="370BD61A" w14:textId="77777777">
      <w:pPr>
        <w:spacing w:before="120" w:after="120"/>
        <w:ind w:left="851" w:right="851" w:firstLine="709"/>
        <w:jc w:val="both"/>
        <w:rPr>
          <w:rFonts w:ascii="Times New Roman" w:hAnsi="Times New Roman" w:cs="Times New Roman"/>
          <w:b/>
          <w:bCs/>
          <w:sz w:val="26"/>
          <w:szCs w:val="26"/>
          <w:u w:val="single"/>
        </w:rPr>
      </w:pPr>
      <w:r w:rsidRPr="00AE1B2B">
        <w:rPr>
          <w:rFonts w:ascii="Times New Roman" w:hAnsi="Times New Roman" w:cs="Times New Roman"/>
          <w:b/>
          <w:bCs/>
          <w:sz w:val="26"/>
          <w:szCs w:val="26"/>
          <w:u w:val="single"/>
        </w:rPr>
        <w:t xml:space="preserve">El costo total de esta propuesta es de ₡ 582.119.312,50 colones. </w:t>
      </w:r>
    </w:p>
    <w:p w:rsidRPr="00AE1B2B" w:rsidR="009D3FB5" w:rsidP="00163B94" w:rsidRDefault="009D3FB5" w14:paraId="5C217F4E" w14:textId="77777777">
      <w:pPr>
        <w:spacing w:before="120" w:after="120"/>
        <w:ind w:left="851" w:right="851" w:firstLine="709"/>
        <w:jc w:val="both"/>
        <w:rPr>
          <w:rFonts w:ascii="Times New Roman" w:hAnsi="Times New Roman" w:cs="Times New Roman"/>
          <w:sz w:val="26"/>
          <w:szCs w:val="26"/>
        </w:rPr>
      </w:pPr>
      <w:bookmarkStart w:name="_Toc68688585" w:id="318"/>
      <w:r w:rsidRPr="00AE1B2B">
        <w:rPr>
          <w:rFonts w:ascii="Times New Roman" w:hAnsi="Times New Roman" w:cs="Times New Roman"/>
          <w:sz w:val="26"/>
          <w:szCs w:val="26"/>
        </w:rPr>
        <w:t>Otras Recomendaciones</w:t>
      </w:r>
      <w:bookmarkEnd w:id="318"/>
      <w:r w:rsidRPr="00AE1B2B">
        <w:rPr>
          <w:rFonts w:ascii="Times New Roman" w:hAnsi="Times New Roman" w:cs="Times New Roman"/>
          <w:sz w:val="26"/>
          <w:szCs w:val="26"/>
        </w:rPr>
        <w:t xml:space="preserve"> </w:t>
      </w:r>
    </w:p>
    <w:p w:rsidRPr="00AE1B2B" w:rsidR="009D3FB5" w:rsidP="00163B94" w:rsidRDefault="009D3FB5" w14:paraId="0C1DC7B4" w14:textId="77777777">
      <w:pPr>
        <w:pStyle w:val="Prrafodelista"/>
        <w:numPr>
          <w:ilvl w:val="0"/>
          <w:numId w:val="12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Se recomienda a la Comisión de la Jurisdicción Agraria, redactar el Reglamento para el Fondo de Financiamiento de la Jurisdicción Agraria, el cual debe remitirlo en aprobación a Corte Plena, cuando se implemente la ley, según el apartado 3.3.7. </w:t>
      </w:r>
    </w:p>
    <w:p w:rsidRPr="00AE1B2B" w:rsidR="009D3FB5" w:rsidP="00163B94" w:rsidRDefault="009D3FB5" w14:paraId="6D82FB3C" w14:textId="77777777">
      <w:pPr>
        <w:pStyle w:val="Prrafodelista"/>
        <w:numPr>
          <w:ilvl w:val="0"/>
          <w:numId w:val="126"/>
        </w:num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Se recomienda a la Defensa Pública, redactar el Reglamento para el Fondo de fortalecimiento de la Defensa Pública, el cual debe remitirlo en aprobación a Corte Plena.</w:t>
      </w:r>
    </w:p>
    <w:p w:rsidRPr="00AE1B2B" w:rsidR="009D3FB5" w:rsidP="00163B94" w:rsidRDefault="009D3FB5" w14:paraId="54ED2B80" w14:textId="77777777">
      <w:pPr>
        <w:pStyle w:val="Prrafodelista"/>
        <w:numPr>
          <w:ilvl w:val="0"/>
          <w:numId w:val="126"/>
        </w:numPr>
        <w:spacing w:before="120" w:after="120"/>
        <w:ind w:left="851" w:right="851" w:firstLine="709"/>
        <w:contextualSpacing/>
        <w:jc w:val="both"/>
        <w:rPr>
          <w:rFonts w:ascii="Times New Roman" w:hAnsi="Times New Roman" w:cs="Times New Roman"/>
          <w:sz w:val="26"/>
          <w:szCs w:val="26"/>
        </w:rPr>
      </w:pPr>
      <w:r w:rsidRPr="00AE1B2B">
        <w:rPr>
          <w:rFonts w:ascii="Times New Roman" w:hAnsi="Times New Roman" w:cs="Times New Roman"/>
          <w:sz w:val="26"/>
          <w:szCs w:val="26"/>
        </w:rPr>
        <w:t xml:space="preserve">En Centro de Apoyo, Coordinación y Mejoramiento a la Función Jurisdiccional deberá velar, porque en los planes de descongestionamiento con plazas de personal juzgador que pertenecen al CACMFJ, se cumplan las cuotas de trabajo de las Juezas y Jueces Agrarios y las técnicas y técnicos judiciales, de forma que se colabore a los despachos, además, tomando en consideración el circulante en trámite por fase, para movilizar los expedientes de la fase de demanda y lleguen a ejecución, y la cantidad de fallo por plaza de Jueza o Juez. La recopilación de indicadores a nivel nacional se encargará el Subproceso de Estadística de la Dirección de Planificación, quienes por su parte los estarán subiendo a la página oficial </w:t>
      </w:r>
      <w:r w:rsidRPr="00AE1B2B">
        <w:rPr>
          <w:rFonts w:ascii="Times New Roman" w:hAnsi="Times New Roman" w:cs="Times New Roman"/>
          <w:i/>
          <w:iCs/>
          <w:sz w:val="26"/>
          <w:szCs w:val="26"/>
        </w:rPr>
        <w:t>https://planificacion.poder-judicial.go.cr/index.php/estadisticas-e-indicadores/indicadores-de-gestion-por-oficina</w:t>
      </w:r>
      <w:r w:rsidRPr="00AE1B2B">
        <w:rPr>
          <w:rFonts w:ascii="Times New Roman" w:hAnsi="Times New Roman" w:cs="Times New Roman"/>
          <w:sz w:val="26"/>
          <w:szCs w:val="26"/>
        </w:rPr>
        <w:t xml:space="preserve">. </w:t>
      </w:r>
    </w:p>
    <w:p w:rsidRPr="00AE1B2B" w:rsidR="009D3FB5" w:rsidP="00163B94" w:rsidRDefault="009D3FB5" w14:paraId="29AAAD56" w14:textId="77777777">
      <w:pPr>
        <w:pStyle w:val="Prrafodelista"/>
        <w:spacing w:before="120" w:after="120"/>
        <w:ind w:left="851" w:right="851" w:firstLine="709"/>
        <w:jc w:val="both"/>
        <w:rPr>
          <w:rFonts w:ascii="Times New Roman" w:hAnsi="Times New Roman" w:cs="Times New Roman"/>
          <w:sz w:val="26"/>
          <w:szCs w:val="26"/>
        </w:rPr>
      </w:pPr>
    </w:p>
    <w:p w:rsidRPr="00AE1B2B" w:rsidR="009D3FB5" w:rsidP="00163B94" w:rsidRDefault="009D3FB5" w14:paraId="13C87BEF" w14:textId="117EEC4A">
      <w:pPr>
        <w:spacing w:before="120" w:after="120"/>
        <w:ind w:left="851" w:right="851" w:firstLine="709"/>
        <w:jc w:val="both"/>
        <w:rPr>
          <w:rFonts w:ascii="Times New Roman" w:hAnsi="Times New Roman" w:cs="Times New Roman"/>
          <w:sz w:val="26"/>
          <w:szCs w:val="26"/>
        </w:rPr>
      </w:pPr>
      <w:bookmarkStart w:name="_Toc68688586" w:id="319"/>
      <w:r w:rsidRPr="00AE1B2B">
        <w:rPr>
          <w:rFonts w:ascii="Times New Roman" w:hAnsi="Times New Roman" w:cs="Times New Roman"/>
          <w:sz w:val="26"/>
          <w:szCs w:val="26"/>
        </w:rPr>
        <w:t>Anexos</w:t>
      </w:r>
      <w:bookmarkEnd w:id="319"/>
      <w:r w:rsidRPr="00AE1B2B">
        <w:rPr>
          <w:rFonts w:ascii="Times New Roman" w:hAnsi="Times New Roman" w:cs="Times New Roman"/>
          <w:sz w:val="26"/>
          <w:szCs w:val="26"/>
        </w:rPr>
        <w:t xml:space="preserve"> </w:t>
      </w:r>
    </w:p>
    <w:p w:rsidRPr="00AE1B2B" w:rsidR="00163B94" w:rsidP="00163B94" w:rsidRDefault="00163B94" w14:paraId="4D3B9139" w14:textId="77777777">
      <w:pPr>
        <w:spacing w:before="120" w:after="120"/>
        <w:ind w:left="851" w:right="851" w:firstLine="709"/>
        <w:jc w:val="both"/>
        <w:rPr>
          <w:rFonts w:ascii="Times New Roman" w:hAnsi="Times New Roman" w:cs="Times New Roman"/>
          <w:sz w:val="26"/>
          <w:szCs w:val="26"/>
        </w:rPr>
      </w:pPr>
    </w:p>
    <w:tbl>
      <w:tblPr>
        <w:tblW w:w="8908" w:type="dxa"/>
        <w:jc w:val="center"/>
        <w:tblCellMar>
          <w:left w:w="70" w:type="dxa"/>
          <w:right w:w="70" w:type="dxa"/>
        </w:tblCellMar>
        <w:tblLook w:val="04A0" w:firstRow="1" w:lastRow="0" w:firstColumn="1" w:lastColumn="0" w:noHBand="0" w:noVBand="1"/>
      </w:tblPr>
      <w:tblGrid>
        <w:gridCol w:w="1896"/>
        <w:gridCol w:w="3893"/>
        <w:gridCol w:w="3119"/>
      </w:tblGrid>
      <w:tr w:rsidRPr="00AE1B2B" w:rsidR="00AE1B2B" w:rsidTr="009D3FB5" w14:paraId="3753AD11" w14:textId="77777777">
        <w:trPr>
          <w:trHeight w:val="335"/>
          <w:tblHeader/>
          <w:jc w:val="center"/>
        </w:trPr>
        <w:tc>
          <w:tcPr>
            <w:tcW w:w="0" w:type="auto"/>
            <w:tcBorders>
              <w:top w:val="double" w:color="44546A" w:sz="6" w:space="0"/>
              <w:left w:val="double" w:color="44546A" w:sz="6" w:space="0"/>
              <w:bottom w:val="double" w:color="44546A" w:sz="6" w:space="0"/>
              <w:right w:val="double" w:color="44546A" w:sz="6" w:space="0"/>
            </w:tcBorders>
            <w:shd w:val="clear" w:color="000000" w:fill="0673A5"/>
            <w:noWrap/>
            <w:vAlign w:val="center"/>
            <w:hideMark/>
          </w:tcPr>
          <w:p w:rsidRPr="00AE1B2B" w:rsidR="009D3FB5" w:rsidP="00163B94" w:rsidRDefault="009D3FB5" w14:paraId="0D474270"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lastRenderedPageBreak/>
              <w:t>Anexo</w:t>
            </w:r>
          </w:p>
        </w:tc>
        <w:tc>
          <w:tcPr>
            <w:tcW w:w="3893" w:type="dxa"/>
            <w:tcBorders>
              <w:top w:val="double" w:color="44546A" w:sz="6" w:space="0"/>
              <w:left w:val="nil"/>
              <w:bottom w:val="double" w:color="44546A" w:sz="6" w:space="0"/>
              <w:right w:val="double" w:color="44546A" w:sz="6" w:space="0"/>
            </w:tcBorders>
            <w:shd w:val="clear" w:color="000000" w:fill="0673A5"/>
            <w:noWrap/>
            <w:vAlign w:val="center"/>
            <w:hideMark/>
          </w:tcPr>
          <w:p w:rsidRPr="00AE1B2B" w:rsidR="009D3FB5" w:rsidP="00163B94" w:rsidRDefault="009D3FB5" w14:paraId="01CC8886"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Nombre</w:t>
            </w:r>
          </w:p>
        </w:tc>
        <w:tc>
          <w:tcPr>
            <w:tcW w:w="3119" w:type="dxa"/>
            <w:tcBorders>
              <w:top w:val="double" w:color="44546A" w:sz="6" w:space="0"/>
              <w:left w:val="nil"/>
              <w:bottom w:val="double" w:color="44546A" w:sz="6" w:space="0"/>
              <w:right w:val="double" w:color="44546A" w:sz="6" w:space="0"/>
            </w:tcBorders>
            <w:shd w:val="clear" w:color="000000" w:fill="0673A5"/>
            <w:noWrap/>
            <w:vAlign w:val="center"/>
            <w:hideMark/>
          </w:tcPr>
          <w:p w:rsidRPr="00AE1B2B" w:rsidR="009D3FB5" w:rsidP="00163B94" w:rsidRDefault="009D3FB5" w14:paraId="1E9E3B3F" w14:textId="77777777">
            <w:pPr>
              <w:spacing w:before="120" w:after="120"/>
              <w:jc w:val="center"/>
              <w:rPr>
                <w:rFonts w:ascii="Times New Roman" w:hAnsi="Times New Roman" w:cs="Times New Roman"/>
                <w:b/>
                <w:bCs/>
                <w:lang w:eastAsia="es-CR"/>
              </w:rPr>
            </w:pPr>
            <w:r w:rsidRPr="00AE1B2B">
              <w:rPr>
                <w:rFonts w:ascii="Times New Roman" w:hAnsi="Times New Roman" w:cs="Times New Roman"/>
                <w:b/>
                <w:bCs/>
                <w:lang w:eastAsia="es-CR"/>
              </w:rPr>
              <w:t>Documento</w:t>
            </w:r>
          </w:p>
        </w:tc>
      </w:tr>
      <w:tr w:rsidRPr="00AE1B2B" w:rsidR="00AE1B2B" w:rsidTr="009D3FB5" w14:paraId="13FEC671"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hideMark/>
          </w:tcPr>
          <w:p w:rsidRPr="00AE1B2B" w:rsidR="009D3FB5" w:rsidP="00163B94" w:rsidRDefault="009D3FB5" w14:paraId="2023331A"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1</w:t>
            </w:r>
          </w:p>
        </w:tc>
        <w:tc>
          <w:tcPr>
            <w:tcW w:w="3893" w:type="dxa"/>
            <w:tcBorders>
              <w:top w:val="nil"/>
              <w:left w:val="nil"/>
              <w:bottom w:val="double" w:color="44546A" w:sz="6" w:space="0"/>
              <w:right w:val="double" w:color="44546A" w:sz="6" w:space="0"/>
            </w:tcBorders>
            <w:shd w:val="clear" w:color="auto" w:fill="auto"/>
            <w:vAlign w:val="center"/>
            <w:hideMark/>
          </w:tcPr>
          <w:p w:rsidRPr="00AE1B2B" w:rsidR="009D3FB5" w:rsidP="00163B94" w:rsidRDefault="009D3FB5" w14:paraId="016C42B1" w14:textId="49072CB0">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Correo de la Administración de la Defensa Pública</w:t>
            </w:r>
            <w:r w:rsidRPr="00AE1B2B" w:rsidR="00BB7720">
              <w:rPr>
                <w:rFonts w:ascii="Times New Roman" w:hAnsi="Times New Roman" w:cs="Times New Roman"/>
                <w:lang w:eastAsia="es-CR"/>
              </w:rPr>
              <w:t xml:space="preserve"> </w:t>
            </w:r>
          </w:p>
        </w:tc>
        <w:bookmarkStart w:name="RANGE!F6" w:id="320"/>
        <w:tc>
          <w:tcPr>
            <w:tcW w:w="3119" w:type="dxa"/>
            <w:tcBorders>
              <w:top w:val="nil"/>
              <w:left w:val="nil"/>
              <w:bottom w:val="double" w:color="44546A" w:sz="6" w:space="0"/>
              <w:right w:val="double" w:color="44546A" w:sz="6" w:space="0"/>
            </w:tcBorders>
            <w:shd w:val="clear" w:color="auto" w:fill="auto"/>
            <w:noWrap/>
            <w:vAlign w:val="center"/>
            <w:hideMark/>
          </w:tcPr>
          <w:p w:rsidRPr="00AE1B2B" w:rsidR="009D3FB5" w:rsidP="00163B94" w:rsidRDefault="009D3FB5" w14:paraId="31473666"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object w:dxaOrig="2520" w:dyaOrig="1640" w14:anchorId="35A6B88F">
                <v:shape id="_x0000_i1091" style="width:126.75pt;height:84.75pt" o:ole="" type="#_x0000_t75">
                  <v:imagedata o:title="" r:id="rId343"/>
                </v:shape>
                <o:OLEObject Type="Embed" ProgID="Package" ShapeID="_x0000_i1091" DrawAspect="Icon" ObjectID="_1681900517" r:id="rId344"/>
              </w:object>
            </w:r>
            <w:r w:rsidRPr="00AE1B2B">
              <w:rPr>
                <w:rFonts w:ascii="Times New Roman" w:hAnsi="Times New Roman" w:cs="Times New Roman"/>
                <w:lang w:eastAsia="es-CR"/>
              </w:rPr>
              <w:t> </w:t>
            </w:r>
            <w:bookmarkEnd w:id="320"/>
          </w:p>
        </w:tc>
      </w:tr>
      <w:tr w:rsidRPr="00AE1B2B" w:rsidR="00AE1B2B" w:rsidTr="009D3FB5" w14:paraId="1ECC450D"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hideMark/>
          </w:tcPr>
          <w:p w:rsidRPr="00AE1B2B" w:rsidR="009D3FB5" w:rsidP="00163B94" w:rsidRDefault="009D3FB5" w14:paraId="300FA4CC"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2</w:t>
            </w:r>
          </w:p>
        </w:tc>
        <w:tc>
          <w:tcPr>
            <w:tcW w:w="3893" w:type="dxa"/>
            <w:tcBorders>
              <w:top w:val="nil"/>
              <w:left w:val="nil"/>
              <w:bottom w:val="double" w:color="44546A" w:sz="6" w:space="0"/>
              <w:right w:val="double" w:color="44546A" w:sz="6" w:space="0"/>
            </w:tcBorders>
            <w:shd w:val="clear" w:color="auto" w:fill="auto"/>
            <w:vAlign w:val="center"/>
            <w:hideMark/>
          </w:tcPr>
          <w:p w:rsidRPr="00AE1B2B" w:rsidR="009D3FB5" w:rsidP="00163B94" w:rsidRDefault="009D3FB5" w14:paraId="6331E9B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Correo del Lic. Frank Alvarez, </w:t>
            </w:r>
            <w:r w:rsidRPr="00AE1B2B">
              <w:rPr>
                <w:rFonts w:ascii="Times New Roman" w:hAnsi="Times New Roman" w:cs="Times New Roman"/>
                <w:lang w:val="es-ES" w:eastAsia="zh-CN"/>
              </w:rPr>
              <w:t>Coordinador de la Unidad de Defensa Pública Agraria</w:t>
            </w:r>
            <w:r w:rsidRPr="00AE1B2B">
              <w:rPr>
                <w:rFonts w:ascii="Times New Roman" w:hAnsi="Times New Roman" w:cs="Times New Roman"/>
                <w:lang w:eastAsia="es-CR"/>
              </w:rPr>
              <w:t> </w:t>
            </w:r>
          </w:p>
        </w:tc>
        <w:bookmarkStart w:name="RANGE!F7" w:id="321"/>
        <w:tc>
          <w:tcPr>
            <w:tcW w:w="3119" w:type="dxa"/>
            <w:tcBorders>
              <w:top w:val="nil"/>
              <w:left w:val="nil"/>
              <w:bottom w:val="double" w:color="44546A" w:sz="6" w:space="0"/>
              <w:right w:val="double" w:color="44546A" w:sz="6" w:space="0"/>
            </w:tcBorders>
            <w:shd w:val="clear" w:color="auto" w:fill="auto"/>
            <w:noWrap/>
            <w:vAlign w:val="center"/>
            <w:hideMark/>
          </w:tcPr>
          <w:p w:rsidRPr="00AE1B2B" w:rsidR="009D3FB5" w:rsidP="00163B94" w:rsidRDefault="009D3FB5" w14:paraId="0CE0954C"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object w:dxaOrig="2520" w:dyaOrig="1640" w14:anchorId="58030BA2">
                <v:shape id="_x0000_i1092" style="width:126.75pt;height:84.75pt" o:ole="" type="#_x0000_t75">
                  <v:imagedata o:title="" r:id="rId345"/>
                </v:shape>
                <o:OLEObject Type="Embed" ProgID="Package" ShapeID="_x0000_i1092" DrawAspect="Icon" ObjectID="_1681900518" r:id="rId346"/>
              </w:object>
            </w:r>
            <w:r w:rsidRPr="00AE1B2B">
              <w:rPr>
                <w:rFonts w:ascii="Times New Roman" w:hAnsi="Times New Roman" w:cs="Times New Roman"/>
                <w:lang w:eastAsia="es-CR"/>
              </w:rPr>
              <w:t> </w:t>
            </w:r>
            <w:bookmarkEnd w:id="321"/>
          </w:p>
        </w:tc>
      </w:tr>
      <w:tr w:rsidRPr="00AE1B2B" w:rsidR="00AE1B2B" w:rsidTr="009D3FB5" w14:paraId="08107D80"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hideMark/>
          </w:tcPr>
          <w:p w:rsidRPr="00AE1B2B" w:rsidR="009D3FB5" w:rsidP="00163B94" w:rsidRDefault="009D3FB5" w14:paraId="1D81BF4B"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3</w:t>
            </w:r>
          </w:p>
        </w:tc>
        <w:tc>
          <w:tcPr>
            <w:tcW w:w="3893" w:type="dxa"/>
            <w:tcBorders>
              <w:top w:val="nil"/>
              <w:left w:val="nil"/>
              <w:bottom w:val="double" w:color="44546A" w:sz="6" w:space="0"/>
              <w:right w:val="double" w:color="44546A" w:sz="6" w:space="0"/>
            </w:tcBorders>
            <w:shd w:val="clear" w:color="auto" w:fill="auto"/>
            <w:vAlign w:val="center"/>
            <w:hideMark/>
          </w:tcPr>
          <w:p w:rsidRPr="00AE1B2B" w:rsidR="009D3FB5" w:rsidP="00163B94" w:rsidRDefault="009D3FB5" w14:paraId="1594633C" w14:textId="77777777">
            <w:pPr>
              <w:spacing w:before="120" w:after="120"/>
              <w:jc w:val="center"/>
              <w:rPr>
                <w:rFonts w:ascii="Times New Roman" w:hAnsi="Times New Roman" w:cs="Times New Roman"/>
                <w:lang w:eastAsia="es-CR"/>
              </w:rPr>
            </w:pPr>
            <w:r w:rsidRPr="00AE1B2B">
              <w:rPr>
                <w:rFonts w:ascii="Times New Roman" w:hAnsi="Times New Roman" w:cs="Times New Roman"/>
              </w:rPr>
              <w:t>Minuta de primera sesión de seguimiento Implementación Reforma Procesal Agraria</w:t>
            </w:r>
            <w:r w:rsidRPr="00AE1B2B">
              <w:rPr>
                <w:rFonts w:ascii="Times New Roman" w:hAnsi="Times New Roman" w:cs="Times New Roman"/>
                <w:lang w:eastAsia="es-CR"/>
              </w:rPr>
              <w:t> </w:t>
            </w:r>
          </w:p>
        </w:tc>
        <w:bookmarkStart w:name="_MON_1614689562" w:id="322"/>
        <w:bookmarkEnd w:id="322"/>
        <w:tc>
          <w:tcPr>
            <w:tcW w:w="3119" w:type="dxa"/>
            <w:tcBorders>
              <w:top w:val="nil"/>
              <w:left w:val="nil"/>
              <w:bottom w:val="double" w:color="44546A" w:sz="6" w:space="0"/>
              <w:right w:val="double" w:color="44546A" w:sz="6" w:space="0"/>
            </w:tcBorders>
            <w:shd w:val="clear" w:color="auto" w:fill="auto"/>
            <w:noWrap/>
            <w:vAlign w:val="center"/>
            <w:hideMark/>
          </w:tcPr>
          <w:p w:rsidRPr="00AE1B2B" w:rsidR="009D3FB5" w:rsidP="00163B94" w:rsidRDefault="009D3FB5" w14:paraId="78AFB71B" w14:textId="77777777">
            <w:pPr>
              <w:spacing w:before="120" w:after="120"/>
              <w:jc w:val="center"/>
              <w:rPr>
                <w:rFonts w:ascii="Times New Roman" w:hAnsi="Times New Roman" w:cs="Times New Roman"/>
                <w:lang w:eastAsia="es-CR"/>
              </w:rPr>
            </w:pPr>
            <w:r w:rsidRPr="00AE1B2B">
              <w:rPr>
                <w:rFonts w:ascii="Times New Roman" w:hAnsi="Times New Roman" w:cs="Times New Roman"/>
              </w:rPr>
              <w:object w:dxaOrig="1513" w:dyaOrig="984" w14:anchorId="07E21CD9">
                <v:shape id="_x0000_i1093" style="width:78pt;height:48.75pt" o:ole="" type="#_x0000_t75">
                  <v:imagedata o:title="" r:id="rId347"/>
                </v:shape>
                <o:OLEObject Type="Embed" ProgID="Word.Document.12" ShapeID="_x0000_i1093" DrawAspect="Icon" ObjectID="_1681900519" r:id="rId348">
                  <o:FieldCodes>\s</o:FieldCodes>
                </o:OLEObject>
              </w:object>
            </w:r>
            <w:r w:rsidRPr="00AE1B2B">
              <w:rPr>
                <w:rFonts w:ascii="Times New Roman" w:hAnsi="Times New Roman" w:cs="Times New Roman"/>
                <w:lang w:eastAsia="es-CR"/>
              </w:rPr>
              <w:t> </w:t>
            </w:r>
          </w:p>
        </w:tc>
      </w:tr>
      <w:tr w:rsidRPr="00AE1B2B" w:rsidR="00AE1B2B" w:rsidTr="009D3FB5" w14:paraId="3C3FA51A"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hideMark/>
          </w:tcPr>
          <w:p w:rsidRPr="00AE1B2B" w:rsidR="009D3FB5" w:rsidP="00163B94" w:rsidRDefault="009D3FB5" w14:paraId="7BAB402F"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4</w:t>
            </w:r>
          </w:p>
        </w:tc>
        <w:tc>
          <w:tcPr>
            <w:tcW w:w="3893" w:type="dxa"/>
            <w:tcBorders>
              <w:top w:val="nil"/>
              <w:left w:val="nil"/>
              <w:bottom w:val="double" w:color="44546A" w:sz="6" w:space="0"/>
              <w:right w:val="double" w:color="44546A" w:sz="6" w:space="0"/>
            </w:tcBorders>
            <w:shd w:val="clear" w:color="auto" w:fill="auto"/>
            <w:vAlign w:val="center"/>
            <w:hideMark/>
          </w:tcPr>
          <w:p w:rsidRPr="00AE1B2B" w:rsidR="009D3FB5" w:rsidP="00163B94" w:rsidRDefault="009D3FB5" w14:paraId="73CA3D1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w:t>
            </w:r>
            <w:r w:rsidRPr="00AE1B2B">
              <w:rPr>
                <w:rFonts w:ascii="Times New Roman" w:hAnsi="Times New Roman" w:cs="Times New Roman"/>
              </w:rPr>
              <w:t>Respuesta a información Solicitada a la Licda. Vargas respecto Capacitación CONCILIACION</w:t>
            </w:r>
          </w:p>
        </w:tc>
        <w:tc>
          <w:tcPr>
            <w:tcW w:w="3119" w:type="dxa"/>
            <w:tcBorders>
              <w:top w:val="nil"/>
              <w:left w:val="nil"/>
              <w:bottom w:val="double" w:color="44546A" w:sz="6" w:space="0"/>
              <w:right w:val="double" w:color="44546A" w:sz="6" w:space="0"/>
            </w:tcBorders>
            <w:shd w:val="clear" w:color="auto" w:fill="auto"/>
            <w:noWrap/>
            <w:vAlign w:val="center"/>
            <w:hideMark/>
          </w:tcPr>
          <w:p w:rsidRPr="00AE1B2B" w:rsidR="009D3FB5" w:rsidP="00163B94" w:rsidRDefault="009D3FB5" w14:paraId="30976D0F" w14:textId="77777777">
            <w:pPr>
              <w:spacing w:before="120" w:after="120"/>
              <w:jc w:val="center"/>
              <w:rPr>
                <w:rFonts w:ascii="Times New Roman" w:hAnsi="Times New Roman" w:cs="Times New Roman"/>
                <w:lang w:eastAsia="es-CR"/>
              </w:rPr>
            </w:pPr>
            <w:r w:rsidRPr="00AE1B2B">
              <w:rPr>
                <w:rFonts w:ascii="Times New Roman" w:hAnsi="Times New Roman" w:cs="Times New Roman"/>
              </w:rPr>
              <w:object w:dxaOrig="1513" w:dyaOrig="984" w14:anchorId="08795FE4">
                <v:shape id="_x0000_i1094" style="width:78pt;height:48.75pt" o:ole="" type="#_x0000_t75">
                  <v:imagedata o:title="" r:id="rId349"/>
                </v:shape>
                <o:OLEObject Type="Embed" ProgID="Package" ShapeID="_x0000_i1094" DrawAspect="Icon" ObjectID="_1681900520" r:id="rId350"/>
              </w:object>
            </w:r>
            <w:r w:rsidRPr="00AE1B2B">
              <w:rPr>
                <w:rFonts w:ascii="Times New Roman" w:hAnsi="Times New Roman" w:cs="Times New Roman"/>
                <w:lang w:eastAsia="es-CR"/>
              </w:rPr>
              <w:t> </w:t>
            </w:r>
          </w:p>
        </w:tc>
      </w:tr>
      <w:tr w:rsidRPr="00AE1B2B" w:rsidR="00AE1B2B" w:rsidTr="009D3FB5" w14:paraId="40BF720A"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hideMark/>
          </w:tcPr>
          <w:p w:rsidRPr="00AE1B2B" w:rsidR="009D3FB5" w:rsidP="00163B94" w:rsidRDefault="009D3FB5" w14:paraId="70ADA950"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5</w:t>
            </w:r>
          </w:p>
        </w:tc>
        <w:tc>
          <w:tcPr>
            <w:tcW w:w="3893" w:type="dxa"/>
            <w:tcBorders>
              <w:top w:val="nil"/>
              <w:left w:val="nil"/>
              <w:bottom w:val="double" w:color="44546A" w:sz="6" w:space="0"/>
              <w:right w:val="double" w:color="44546A" w:sz="6" w:space="0"/>
            </w:tcBorders>
            <w:shd w:val="clear" w:color="auto" w:fill="auto"/>
            <w:vAlign w:val="center"/>
            <w:hideMark/>
          </w:tcPr>
          <w:p w:rsidRPr="00AE1B2B" w:rsidR="009D3FB5" w:rsidP="00163B94" w:rsidRDefault="009D3FB5" w14:paraId="51455E38" w14:textId="77777777">
            <w:pPr>
              <w:spacing w:before="120" w:after="120"/>
              <w:jc w:val="center"/>
              <w:rPr>
                <w:rFonts w:ascii="Times New Roman" w:hAnsi="Times New Roman" w:cs="Times New Roman"/>
                <w:lang w:eastAsia="es-CR"/>
              </w:rPr>
            </w:pPr>
            <w:r w:rsidRPr="00AE1B2B">
              <w:rPr>
                <w:rFonts w:ascii="Times New Roman" w:hAnsi="Times New Roman" w:cs="Times New Roman"/>
              </w:rPr>
              <w:t>Participación de personas juzgadoras conciliadoras en el Taller Medidas Cautelares</w:t>
            </w:r>
            <w:r w:rsidRPr="00AE1B2B">
              <w:rPr>
                <w:rFonts w:ascii="Times New Roman" w:hAnsi="Times New Roman" w:cs="Times New Roman"/>
                <w:lang w:eastAsia="es-CR"/>
              </w:rPr>
              <w:t> </w:t>
            </w:r>
          </w:p>
        </w:tc>
        <w:tc>
          <w:tcPr>
            <w:tcW w:w="3119" w:type="dxa"/>
            <w:tcBorders>
              <w:top w:val="nil"/>
              <w:left w:val="nil"/>
              <w:bottom w:val="double" w:color="44546A" w:sz="6" w:space="0"/>
              <w:right w:val="double" w:color="44546A" w:sz="6" w:space="0"/>
            </w:tcBorders>
            <w:shd w:val="clear" w:color="auto" w:fill="auto"/>
            <w:noWrap/>
            <w:vAlign w:val="center"/>
            <w:hideMark/>
          </w:tcPr>
          <w:p w:rsidRPr="00AE1B2B" w:rsidR="009D3FB5" w:rsidP="00163B94" w:rsidRDefault="009D3FB5" w14:paraId="6D3C636E"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w:t>
            </w:r>
            <w:r w:rsidRPr="00AE1B2B">
              <w:rPr>
                <w:rFonts w:ascii="Times New Roman" w:hAnsi="Times New Roman" w:cs="Times New Roman"/>
              </w:rPr>
              <w:object w:dxaOrig="1513" w:dyaOrig="984" w14:anchorId="33606401">
                <v:shape id="_x0000_i1095" style="width:58.5pt;height:39pt" o:ole="" type="#_x0000_t75">
                  <v:imagedata o:title="" r:id="rId351"/>
                </v:shape>
                <o:OLEObject Type="Embed" ProgID="Package" ShapeID="_x0000_i1095" DrawAspect="Icon" ObjectID="_1681900521" r:id="rId352"/>
              </w:object>
            </w:r>
          </w:p>
        </w:tc>
      </w:tr>
      <w:tr w:rsidRPr="00AE1B2B" w:rsidR="00AE1B2B" w:rsidTr="009D3FB5" w14:paraId="0ACA9B75"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hideMark/>
          </w:tcPr>
          <w:p w:rsidRPr="00AE1B2B" w:rsidR="009D3FB5" w:rsidP="00163B94" w:rsidRDefault="009D3FB5" w14:paraId="0B86C5E0"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6</w:t>
            </w:r>
          </w:p>
        </w:tc>
        <w:tc>
          <w:tcPr>
            <w:tcW w:w="3893" w:type="dxa"/>
            <w:tcBorders>
              <w:top w:val="nil"/>
              <w:left w:val="nil"/>
              <w:bottom w:val="double" w:color="44546A" w:sz="6" w:space="0"/>
              <w:right w:val="double" w:color="44546A" w:sz="6" w:space="0"/>
            </w:tcBorders>
            <w:shd w:val="clear" w:color="auto" w:fill="auto"/>
            <w:vAlign w:val="center"/>
            <w:hideMark/>
          </w:tcPr>
          <w:p w:rsidRPr="00AE1B2B" w:rsidR="009D3FB5" w:rsidP="00163B94" w:rsidRDefault="009D3FB5" w14:paraId="4C61C67D"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w:t>
            </w:r>
            <w:r w:rsidRPr="00AE1B2B">
              <w:rPr>
                <w:rFonts w:ascii="Times New Roman" w:hAnsi="Times New Roman" w:cs="Times New Roman"/>
              </w:rPr>
              <w:t>Sobre cursos de CONCILIACIÓN EN MATERIA AGRARIA</w:t>
            </w:r>
          </w:p>
        </w:tc>
        <w:tc>
          <w:tcPr>
            <w:tcW w:w="3119" w:type="dxa"/>
            <w:tcBorders>
              <w:top w:val="nil"/>
              <w:left w:val="nil"/>
              <w:bottom w:val="double" w:color="44546A" w:sz="6" w:space="0"/>
              <w:right w:val="double" w:color="44546A" w:sz="6" w:space="0"/>
            </w:tcBorders>
            <w:shd w:val="clear" w:color="auto" w:fill="auto"/>
            <w:noWrap/>
            <w:vAlign w:val="center"/>
            <w:hideMark/>
          </w:tcPr>
          <w:p w:rsidRPr="00AE1B2B" w:rsidR="009D3FB5" w:rsidP="00163B94" w:rsidRDefault="009D3FB5" w14:paraId="5E089861"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w:t>
            </w:r>
            <w:r w:rsidRPr="00AE1B2B">
              <w:rPr>
                <w:rFonts w:ascii="Times New Roman" w:hAnsi="Times New Roman" w:cs="Times New Roman"/>
              </w:rPr>
              <w:object w:dxaOrig="1513" w:dyaOrig="984" w14:anchorId="13E93A5B">
                <v:shape id="_x0000_i1096" style="width:54pt;height:36.75pt" o:ole="" type="#_x0000_t75">
                  <v:imagedata o:title="" r:id="rId353"/>
                </v:shape>
                <o:OLEObject Type="Embed" ProgID="Package" ShapeID="_x0000_i1096" DrawAspect="Icon" ObjectID="_1681900522" r:id="rId354"/>
              </w:object>
            </w:r>
          </w:p>
        </w:tc>
      </w:tr>
      <w:tr w:rsidRPr="00AE1B2B" w:rsidR="00AE1B2B" w:rsidTr="009D3FB5" w14:paraId="61C62ADF"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hideMark/>
          </w:tcPr>
          <w:p w:rsidRPr="00AE1B2B" w:rsidR="009D3FB5" w:rsidP="00163B94" w:rsidRDefault="009D3FB5" w14:paraId="19BA7F4B"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7</w:t>
            </w:r>
          </w:p>
        </w:tc>
        <w:tc>
          <w:tcPr>
            <w:tcW w:w="3893" w:type="dxa"/>
            <w:tcBorders>
              <w:top w:val="nil"/>
              <w:left w:val="nil"/>
              <w:bottom w:val="double" w:color="44546A" w:sz="6" w:space="0"/>
              <w:right w:val="double" w:color="44546A" w:sz="6" w:space="0"/>
            </w:tcBorders>
            <w:shd w:val="clear" w:color="auto" w:fill="auto"/>
            <w:vAlign w:val="center"/>
            <w:hideMark/>
          </w:tcPr>
          <w:p w:rsidRPr="00AE1B2B" w:rsidR="009D3FB5" w:rsidP="00163B94" w:rsidRDefault="009D3FB5" w14:paraId="22B22508"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w:t>
            </w:r>
            <w:r w:rsidRPr="00AE1B2B">
              <w:rPr>
                <w:rFonts w:ascii="Times New Roman" w:hAnsi="Times New Roman" w:cs="Times New Roman"/>
              </w:rPr>
              <w:t>Plan Piloto Colaboración del Centro de Conciliación del Poder Judicial para el proyecto de implementación del Código Procesal Agrario</w:t>
            </w:r>
          </w:p>
        </w:tc>
        <w:tc>
          <w:tcPr>
            <w:tcW w:w="3119" w:type="dxa"/>
            <w:tcBorders>
              <w:top w:val="nil"/>
              <w:left w:val="nil"/>
              <w:bottom w:val="double" w:color="44546A" w:sz="6" w:space="0"/>
              <w:right w:val="double" w:color="44546A" w:sz="6" w:space="0"/>
            </w:tcBorders>
            <w:shd w:val="clear" w:color="auto" w:fill="auto"/>
            <w:noWrap/>
            <w:vAlign w:val="center"/>
            <w:hideMark/>
          </w:tcPr>
          <w:p w:rsidRPr="00AE1B2B" w:rsidR="009D3FB5" w:rsidP="00163B94" w:rsidRDefault="009D3FB5" w14:paraId="2743740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w:t>
            </w:r>
            <w:r w:rsidRPr="00AE1B2B">
              <w:rPr>
                <w:rFonts w:ascii="Times New Roman" w:hAnsi="Times New Roman" w:cs="Times New Roman"/>
              </w:rPr>
              <w:object w:dxaOrig="1513" w:dyaOrig="984" w14:anchorId="75706D2D">
                <v:shape id="_x0000_i1097" style="width:60pt;height:42pt" o:ole="" type="#_x0000_t75">
                  <v:imagedata o:title="" r:id="rId355"/>
                </v:shape>
                <o:OLEObject Type="Embed" ProgID="Package" ShapeID="_x0000_i1097" DrawAspect="Icon" ObjectID="_1681900523" r:id="rId356"/>
              </w:object>
            </w:r>
          </w:p>
        </w:tc>
      </w:tr>
      <w:tr w:rsidRPr="00AE1B2B" w:rsidR="00AE1B2B" w:rsidTr="009D3FB5" w14:paraId="7A13A8FD"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hideMark/>
          </w:tcPr>
          <w:p w:rsidRPr="00AE1B2B" w:rsidR="009D3FB5" w:rsidP="00163B94" w:rsidRDefault="009D3FB5" w14:paraId="0A67850E"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8</w:t>
            </w:r>
          </w:p>
        </w:tc>
        <w:tc>
          <w:tcPr>
            <w:tcW w:w="3893" w:type="dxa"/>
            <w:tcBorders>
              <w:top w:val="nil"/>
              <w:left w:val="nil"/>
              <w:bottom w:val="double" w:color="44546A" w:sz="6" w:space="0"/>
              <w:right w:val="double" w:color="44546A" w:sz="6" w:space="0"/>
            </w:tcBorders>
            <w:shd w:val="clear" w:color="auto" w:fill="auto"/>
            <w:vAlign w:val="center"/>
            <w:hideMark/>
          </w:tcPr>
          <w:p w:rsidRPr="00AE1B2B" w:rsidR="009D3FB5" w:rsidP="00163B94" w:rsidRDefault="009D3FB5" w14:paraId="40682DF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Oficio 102-CPS-2019 Plazas Ordinarias y Extraordinarias</w:t>
            </w:r>
          </w:p>
        </w:tc>
        <w:bookmarkStart w:name="_MON_1641974253" w:id="323"/>
        <w:bookmarkEnd w:id="323"/>
        <w:tc>
          <w:tcPr>
            <w:tcW w:w="3119" w:type="dxa"/>
            <w:tcBorders>
              <w:top w:val="nil"/>
              <w:left w:val="nil"/>
              <w:bottom w:val="double" w:color="44546A" w:sz="6" w:space="0"/>
              <w:right w:val="double" w:color="44546A" w:sz="6" w:space="0"/>
            </w:tcBorders>
            <w:shd w:val="clear" w:color="auto" w:fill="auto"/>
            <w:noWrap/>
            <w:vAlign w:val="center"/>
            <w:hideMark/>
          </w:tcPr>
          <w:p w:rsidRPr="00AE1B2B" w:rsidR="009D3FB5" w:rsidP="00163B94" w:rsidRDefault="009D3FB5" w14:paraId="77B872A9"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object w:dxaOrig="1513" w:dyaOrig="984" w14:anchorId="7519596C">
                <v:shape id="_x0000_i1098" style="width:78pt;height:48.75pt" o:ole="" type="#_x0000_t75">
                  <v:imagedata o:title="" r:id="rId357"/>
                </v:shape>
                <o:OLEObject Type="Embed" ProgID="Word.Document.8" ShapeID="_x0000_i1098" DrawAspect="Icon" ObjectID="_1681900524" r:id="rId358">
                  <o:FieldCodes>\s</o:FieldCodes>
                </o:OLEObject>
              </w:object>
            </w:r>
            <w:r w:rsidRPr="00AE1B2B">
              <w:rPr>
                <w:rFonts w:ascii="Times New Roman" w:hAnsi="Times New Roman" w:cs="Times New Roman"/>
                <w:lang w:eastAsia="es-CR"/>
              </w:rPr>
              <w:t> </w:t>
            </w:r>
          </w:p>
        </w:tc>
      </w:tr>
      <w:tr w:rsidRPr="00AE1B2B" w:rsidR="00AE1B2B" w:rsidTr="009D3FB5" w14:paraId="62D9B706"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hideMark/>
          </w:tcPr>
          <w:p w:rsidRPr="00AE1B2B" w:rsidR="009D3FB5" w:rsidP="00163B94" w:rsidRDefault="009D3FB5" w14:paraId="5F46EBD1"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lastRenderedPageBreak/>
              <w:t>9</w:t>
            </w:r>
          </w:p>
        </w:tc>
        <w:tc>
          <w:tcPr>
            <w:tcW w:w="3893" w:type="dxa"/>
            <w:tcBorders>
              <w:top w:val="nil"/>
              <w:left w:val="nil"/>
              <w:bottom w:val="double" w:color="44546A" w:sz="6" w:space="0"/>
              <w:right w:val="double" w:color="44546A" w:sz="6" w:space="0"/>
            </w:tcBorders>
            <w:shd w:val="clear" w:color="auto" w:fill="auto"/>
            <w:vAlign w:val="center"/>
            <w:hideMark/>
          </w:tcPr>
          <w:p w:rsidRPr="00AE1B2B" w:rsidR="009D3FB5" w:rsidP="00163B94" w:rsidRDefault="009D3FB5" w14:paraId="3ED19F2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xml:space="preserve">Consulta sobre costos de peritaje </w:t>
            </w:r>
          </w:p>
        </w:tc>
        <w:tc>
          <w:tcPr>
            <w:tcW w:w="3119" w:type="dxa"/>
            <w:tcBorders>
              <w:top w:val="nil"/>
              <w:left w:val="nil"/>
              <w:bottom w:val="double" w:color="44546A" w:sz="6" w:space="0"/>
              <w:right w:val="double" w:color="44546A" w:sz="6" w:space="0"/>
            </w:tcBorders>
            <w:shd w:val="clear" w:color="auto" w:fill="auto"/>
            <w:noWrap/>
            <w:vAlign w:val="center"/>
            <w:hideMark/>
          </w:tcPr>
          <w:p w:rsidRPr="00AE1B2B" w:rsidR="009D3FB5" w:rsidP="00163B94" w:rsidRDefault="009D3FB5" w14:paraId="0AD32FB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w:t>
            </w:r>
            <w:r w:rsidRPr="00AE1B2B">
              <w:rPr>
                <w:rFonts w:ascii="Times New Roman" w:hAnsi="Times New Roman" w:cs="Times New Roman"/>
                <w:lang w:eastAsia="es-CR"/>
              </w:rPr>
              <w:object w:dxaOrig="1513" w:dyaOrig="984" w14:anchorId="68886AA9">
                <v:shape id="_x0000_i1099" style="width:78pt;height:48.75pt" o:ole="" type="#_x0000_t75">
                  <v:imagedata o:title="" r:id="rId359"/>
                </v:shape>
                <o:OLEObject Type="Embed" ProgID="Package" ShapeID="_x0000_i1099" DrawAspect="Icon" ObjectID="_1681900525" r:id="rId360"/>
              </w:object>
            </w:r>
          </w:p>
        </w:tc>
      </w:tr>
      <w:tr w:rsidRPr="00AE1B2B" w:rsidR="00AE1B2B" w:rsidTr="009D3FB5" w14:paraId="1CE8FF67"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554F4894"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10</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5DA0491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Oficio N° 0292-P-2018 Presidencia de la Corte Suprema de Justicia </w:t>
            </w:r>
          </w:p>
        </w:tc>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6920730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 </w:t>
            </w:r>
            <w:r w:rsidRPr="00AE1B2B">
              <w:rPr>
                <w:rFonts w:ascii="Times New Roman" w:hAnsi="Times New Roman" w:cs="Times New Roman"/>
              </w:rPr>
              <w:object w:dxaOrig="2520" w:dyaOrig="1640" w14:anchorId="5470BAEC">
                <v:shape id="_x0000_i1100" style="width:75pt;height:47.25pt" o:ole="" type="#_x0000_t75">
                  <v:imagedata o:title="" r:id="rId361"/>
                </v:shape>
                <o:OLEObject Type="Embed" ProgID="AcroExch.Document.DC" ShapeID="_x0000_i1100" DrawAspect="Icon" ObjectID="_1681900526" r:id="rId362"/>
              </w:object>
            </w:r>
          </w:p>
        </w:tc>
      </w:tr>
      <w:tr w:rsidRPr="00AE1B2B" w:rsidR="00AE1B2B" w:rsidTr="009D3FB5" w14:paraId="2E3BD2E6"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319AC692"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11</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19C092B4"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Correo remitido por la Dirección Ejecutiva sobre la necesidad de vehículos para materia Agraria</w:t>
            </w:r>
          </w:p>
        </w:tc>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0BC8B7B2" w14:textId="77777777">
            <w:pPr>
              <w:spacing w:before="120" w:after="120"/>
              <w:jc w:val="center"/>
              <w:rPr>
                <w:rFonts w:ascii="Times New Roman" w:hAnsi="Times New Roman" w:cs="Times New Roman"/>
                <w:lang w:eastAsia="es-CR"/>
              </w:rPr>
            </w:pPr>
            <w:r w:rsidRPr="00AE1B2B">
              <w:rPr>
                <w:rFonts w:ascii="Times New Roman" w:hAnsi="Times New Roman" w:cs="Times New Roman"/>
              </w:rPr>
              <w:object w:dxaOrig="1376" w:dyaOrig="893" w14:anchorId="03BFCE4C">
                <v:shape id="_x0000_i1101" style="width:65.25pt;height:42pt" o:ole="" type="#_x0000_t75">
                  <v:imagedata o:title="" r:id="rId363"/>
                </v:shape>
                <o:OLEObject Type="Embed" ProgID="Package" ShapeID="_x0000_i1101" DrawAspect="Icon" ObjectID="_1681900527" r:id="rId364"/>
              </w:object>
            </w:r>
          </w:p>
        </w:tc>
      </w:tr>
      <w:tr w:rsidRPr="00AE1B2B" w:rsidR="00AE1B2B" w:rsidTr="009D3FB5" w14:paraId="71C1287F"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481693FA"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12</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2537B02B"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Presupuesto actualizado Jurisdicción Agraria</w:t>
            </w:r>
          </w:p>
        </w:tc>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646E2CFF"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object w:dxaOrig="1513" w:dyaOrig="984" w14:anchorId="7059F5ED">
                <v:shape id="_x0000_i1102" style="width:78pt;height:48.75pt" o:ole="" type="#_x0000_t75">
                  <v:imagedata o:title="" r:id="rId365"/>
                </v:shape>
                <o:OLEObject Type="Embed" ProgID="Package" ShapeID="_x0000_i1102" DrawAspect="Icon" ObjectID="_1681900528" r:id="rId366"/>
              </w:object>
            </w:r>
          </w:p>
        </w:tc>
      </w:tr>
      <w:tr w:rsidRPr="00AE1B2B" w:rsidR="00AE1B2B" w:rsidTr="009D3FB5" w14:paraId="162F3875"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1A3B85A0" w14:textId="77777777">
            <w:pPr>
              <w:spacing w:before="120" w:after="120"/>
              <w:jc w:val="center"/>
              <w:rPr>
                <w:rFonts w:ascii="Times New Roman" w:hAnsi="Times New Roman" w:cs="Times New Roman"/>
                <w:b/>
                <w:bCs/>
                <w:i/>
                <w:iCs/>
                <w:lang w:eastAsia="es-CR"/>
              </w:rPr>
            </w:pPr>
            <w:r w:rsidRPr="00AE1B2B">
              <w:rPr>
                <w:rFonts w:ascii="Times New Roman" w:hAnsi="Times New Roman" w:cs="Times New Roman"/>
                <w:b/>
                <w:bCs/>
                <w:i/>
                <w:iCs/>
                <w:lang w:eastAsia="es-CR"/>
              </w:rPr>
              <w:t>13</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78821DC5"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t>Consulta Plan Piloto Conciliación en materia Agraria</w:t>
            </w:r>
          </w:p>
        </w:tc>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32BCF5D2" w14:textId="77777777">
            <w:pPr>
              <w:spacing w:before="120" w:after="120"/>
              <w:jc w:val="center"/>
              <w:rPr>
                <w:rFonts w:ascii="Times New Roman" w:hAnsi="Times New Roman" w:cs="Times New Roman"/>
                <w:lang w:eastAsia="es-CR"/>
              </w:rPr>
            </w:pPr>
            <w:r w:rsidRPr="00AE1B2B">
              <w:rPr>
                <w:rFonts w:ascii="Times New Roman" w:hAnsi="Times New Roman" w:cs="Times New Roman"/>
                <w:lang w:eastAsia="es-CR"/>
              </w:rPr>
              <w:object w:dxaOrig="1513" w:dyaOrig="984" w14:anchorId="463C6767">
                <v:shape id="_x0000_i1103" style="width:78pt;height:48.75pt" o:ole="" type="#_x0000_t75">
                  <v:imagedata o:title="" r:id="rId367"/>
                </v:shape>
                <o:OLEObject Type="Embed" ProgID="Package" ShapeID="_x0000_i1103" DrawAspect="Icon" ObjectID="_1681900529" r:id="rId368"/>
              </w:object>
            </w:r>
          </w:p>
        </w:tc>
      </w:tr>
      <w:tr w:rsidRPr="00AE1B2B" w:rsidR="00AE1B2B" w:rsidTr="009D3FB5" w14:paraId="1C5DF448"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2C9598B4" w14:textId="77777777">
            <w:pPr>
              <w:spacing w:before="120" w:after="120"/>
              <w:jc w:val="center"/>
              <w:rPr>
                <w:rFonts w:ascii="Times New Roman" w:hAnsi="Times New Roman" w:cs="Times New Roman"/>
                <w:b/>
                <w:i/>
              </w:rPr>
            </w:pPr>
            <w:r w:rsidRPr="00AE1B2B">
              <w:rPr>
                <w:rFonts w:ascii="Times New Roman" w:hAnsi="Times New Roman" w:cs="Times New Roman"/>
                <w:b/>
                <w:i/>
              </w:rPr>
              <w:t>14</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020FEDB6" w14:textId="77777777">
            <w:pPr>
              <w:spacing w:before="120" w:after="120"/>
              <w:jc w:val="center"/>
              <w:rPr>
                <w:rFonts w:ascii="Times New Roman" w:hAnsi="Times New Roman" w:cs="Times New Roman"/>
              </w:rPr>
            </w:pPr>
            <w:r w:rsidRPr="00AE1B2B">
              <w:rPr>
                <w:rFonts w:ascii="Times New Roman" w:hAnsi="Times New Roman" w:cs="Times New Roman"/>
                <w:lang w:eastAsia="es-CR"/>
              </w:rPr>
              <w:t xml:space="preserve">Consulta sobre equipo de cómputo </w:t>
            </w:r>
          </w:p>
        </w:tc>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381F1B10" w14:textId="77777777">
            <w:pPr>
              <w:spacing w:before="120" w:after="120"/>
              <w:jc w:val="center"/>
              <w:rPr>
                <w:rFonts w:ascii="Times New Roman" w:hAnsi="Times New Roman" w:cs="Times New Roman"/>
              </w:rPr>
            </w:pPr>
            <w:r w:rsidRPr="00AE1B2B">
              <w:rPr>
                <w:rFonts w:ascii="Times New Roman" w:hAnsi="Times New Roman" w:cs="Times New Roman"/>
                <w:lang w:eastAsia="es-CR"/>
              </w:rPr>
              <w:object w:dxaOrig="1513" w:dyaOrig="984" w14:anchorId="1657C040">
                <v:shape id="_x0000_i1104" style="width:78pt;height:48.75pt" o:ole="" type="#_x0000_t75">
                  <v:imagedata o:title="" r:id="rId369"/>
                </v:shape>
                <o:OLEObject Type="Embed" ProgID="Package" ShapeID="_x0000_i1104" DrawAspect="Icon" ObjectID="_1681900530" r:id="rId370"/>
              </w:object>
            </w:r>
          </w:p>
        </w:tc>
      </w:tr>
      <w:tr w:rsidRPr="00AE1B2B" w:rsidR="00AE1B2B" w:rsidTr="009D3FB5" w14:paraId="48BF8266"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5B7132DD" w14:textId="77777777">
            <w:pPr>
              <w:spacing w:before="120" w:after="120"/>
              <w:jc w:val="center"/>
              <w:rPr>
                <w:rFonts w:ascii="Times New Roman" w:hAnsi="Times New Roman" w:cs="Times New Roman"/>
                <w:b/>
                <w:i/>
              </w:rPr>
            </w:pPr>
            <w:r w:rsidRPr="00AE1B2B">
              <w:rPr>
                <w:rFonts w:ascii="Times New Roman" w:hAnsi="Times New Roman" w:cs="Times New Roman"/>
                <w:b/>
                <w:i/>
              </w:rPr>
              <w:t>15</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20B937C8" w14:textId="77777777">
            <w:pPr>
              <w:spacing w:before="120" w:after="120"/>
              <w:jc w:val="center"/>
              <w:rPr>
                <w:rFonts w:ascii="Times New Roman" w:hAnsi="Times New Roman" w:cs="Times New Roman"/>
              </w:rPr>
            </w:pPr>
            <w:r w:rsidRPr="00AE1B2B">
              <w:rPr>
                <w:rFonts w:ascii="Times New Roman" w:hAnsi="Times New Roman" w:cs="Times New Roman"/>
              </w:rPr>
              <w:t>Informe de Fin de Gestión Coordinación Proyecto de Implementación Reforma Procesal Agraria, de la Magistrada Damaris Vargas</w:t>
            </w:r>
          </w:p>
        </w:tc>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7C9DB1EB" w14:textId="77777777">
            <w:pPr>
              <w:spacing w:before="120" w:after="120"/>
              <w:jc w:val="center"/>
              <w:rPr>
                <w:rFonts w:ascii="Times New Roman" w:hAnsi="Times New Roman" w:cs="Times New Roman"/>
              </w:rPr>
            </w:pPr>
            <w:r w:rsidRPr="00AE1B2B">
              <w:rPr>
                <w:rFonts w:ascii="Times New Roman" w:hAnsi="Times New Roman" w:cs="Times New Roman"/>
              </w:rPr>
              <w:object w:dxaOrig="2520" w:dyaOrig="1640" w14:anchorId="3F7704F5">
                <v:shape id="_x0000_i1105" style="width:130.5pt;height:80.25pt" o:ole="" type="#_x0000_t75">
                  <v:imagedata o:title="" r:id="rId371"/>
                </v:shape>
                <o:OLEObject Type="Embed" ProgID="Package" ShapeID="_x0000_i1105" DrawAspect="Icon" ObjectID="_1681900531" r:id="rId372"/>
              </w:object>
            </w:r>
          </w:p>
        </w:tc>
      </w:tr>
      <w:tr w:rsidRPr="00AE1B2B" w:rsidR="00AE1B2B" w:rsidTr="009D3FB5" w14:paraId="7D4CAA27"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75FA70F9" w14:textId="77777777">
            <w:pPr>
              <w:spacing w:before="120" w:after="120"/>
              <w:jc w:val="center"/>
              <w:rPr>
                <w:rFonts w:ascii="Times New Roman" w:hAnsi="Times New Roman" w:cs="Times New Roman"/>
                <w:b/>
                <w:i/>
              </w:rPr>
            </w:pPr>
            <w:r w:rsidRPr="00AE1B2B">
              <w:rPr>
                <w:rFonts w:ascii="Times New Roman" w:hAnsi="Times New Roman" w:cs="Times New Roman"/>
                <w:b/>
                <w:i/>
              </w:rPr>
              <w:t>16</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23CCEC35" w14:textId="77777777">
            <w:pPr>
              <w:spacing w:before="120" w:after="120"/>
              <w:jc w:val="center"/>
              <w:rPr>
                <w:rFonts w:ascii="Times New Roman" w:hAnsi="Times New Roman" w:cs="Times New Roman"/>
              </w:rPr>
            </w:pPr>
            <w:r w:rsidRPr="00AE1B2B">
              <w:rPr>
                <w:rFonts w:ascii="Times New Roman" w:hAnsi="Times New Roman" w:cs="Times New Roman"/>
              </w:rPr>
              <w:t>Consulta sobre los asuntos con responsabilidad Ambiental</w:t>
            </w:r>
          </w:p>
        </w:tc>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078E6887" w14:textId="77777777">
            <w:pPr>
              <w:spacing w:before="120" w:after="120"/>
              <w:jc w:val="center"/>
              <w:rPr>
                <w:rFonts w:ascii="Times New Roman" w:hAnsi="Times New Roman" w:cs="Times New Roman"/>
              </w:rPr>
            </w:pPr>
            <w:r w:rsidRPr="00AE1B2B">
              <w:rPr>
                <w:rFonts w:ascii="Times New Roman" w:hAnsi="Times New Roman" w:cs="Times New Roman"/>
              </w:rPr>
              <w:object w:dxaOrig="1513" w:dyaOrig="984" w14:anchorId="5405FD33">
                <v:shape id="_x0000_i1106" style="width:78pt;height:48.75pt" o:ole="" type="#_x0000_t75">
                  <v:imagedata o:title="" r:id="rId373"/>
                </v:shape>
                <o:OLEObject Type="Embed" ProgID="Package" ShapeID="_x0000_i1106" DrawAspect="Icon" ObjectID="_1681900532" r:id="rId374"/>
              </w:object>
            </w:r>
          </w:p>
        </w:tc>
      </w:tr>
      <w:tr w:rsidRPr="00AE1B2B" w:rsidR="00AE1B2B" w:rsidTr="009D3FB5" w14:paraId="7D2079C9"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01289355" w14:textId="77777777">
            <w:pPr>
              <w:spacing w:before="120" w:after="120"/>
              <w:jc w:val="center"/>
              <w:rPr>
                <w:rFonts w:ascii="Times New Roman" w:hAnsi="Times New Roman" w:cs="Times New Roman"/>
                <w:b/>
                <w:i/>
              </w:rPr>
            </w:pPr>
            <w:r w:rsidRPr="00AE1B2B">
              <w:rPr>
                <w:rFonts w:ascii="Times New Roman" w:hAnsi="Times New Roman" w:cs="Times New Roman"/>
                <w:b/>
                <w:i/>
              </w:rPr>
              <w:lastRenderedPageBreak/>
              <w:t>17</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0CA8CC6B" w14:textId="77777777">
            <w:pPr>
              <w:spacing w:before="120" w:after="120"/>
              <w:jc w:val="center"/>
              <w:rPr>
                <w:rFonts w:ascii="Times New Roman" w:hAnsi="Times New Roman" w:cs="Times New Roman"/>
              </w:rPr>
            </w:pPr>
            <w:r w:rsidRPr="00AE1B2B">
              <w:rPr>
                <w:rFonts w:ascii="Times New Roman" w:hAnsi="Times New Roman" w:cs="Times New Roman"/>
              </w:rPr>
              <w:t>Minuta Reunión Comisión Agraria 20-11-2019</w:t>
            </w:r>
          </w:p>
        </w:tc>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42B6E29D" w14:textId="77777777">
            <w:pPr>
              <w:spacing w:before="120" w:after="120"/>
              <w:jc w:val="center"/>
              <w:rPr>
                <w:rFonts w:ascii="Times New Roman" w:hAnsi="Times New Roman" w:cs="Times New Roman"/>
              </w:rPr>
            </w:pPr>
            <w:r w:rsidRPr="00AE1B2B">
              <w:rPr>
                <w:rFonts w:ascii="Times New Roman" w:hAnsi="Times New Roman" w:cs="Times New Roman"/>
              </w:rPr>
              <w:object w:dxaOrig="2520" w:dyaOrig="1640" w14:anchorId="04CF7156">
                <v:shape id="_x0000_i1107" style="width:130.5pt;height:80.25pt" o:ole="" type="#_x0000_t75">
                  <v:imagedata o:title="" r:id="rId375"/>
                </v:shape>
                <o:OLEObject Type="Embed" ProgID="Package" ShapeID="_x0000_i1107" DrawAspect="Icon" ObjectID="_1681900533" r:id="rId376"/>
              </w:object>
            </w:r>
          </w:p>
        </w:tc>
      </w:tr>
      <w:tr w:rsidRPr="00AE1B2B" w:rsidR="00AE1B2B" w:rsidTr="009D3FB5" w14:paraId="635F889A"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61ED06F5" w14:textId="77777777">
            <w:pPr>
              <w:spacing w:before="120" w:after="120"/>
              <w:jc w:val="center"/>
              <w:rPr>
                <w:rFonts w:ascii="Times New Roman" w:hAnsi="Times New Roman" w:cs="Times New Roman"/>
                <w:b/>
                <w:i/>
              </w:rPr>
            </w:pPr>
            <w:r w:rsidRPr="00AE1B2B">
              <w:rPr>
                <w:rFonts w:ascii="Times New Roman" w:hAnsi="Times New Roman" w:cs="Times New Roman"/>
                <w:b/>
                <w:i/>
              </w:rPr>
              <w:t>18</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5D30D76B" w14:textId="77777777">
            <w:pPr>
              <w:spacing w:before="120" w:after="120"/>
              <w:jc w:val="center"/>
              <w:rPr>
                <w:rFonts w:ascii="Times New Roman" w:hAnsi="Times New Roman" w:cs="Times New Roman"/>
              </w:rPr>
            </w:pPr>
            <w:bookmarkStart w:name="_Hlk36123031" w:id="324"/>
            <w:r w:rsidRPr="00AE1B2B">
              <w:rPr>
                <w:rFonts w:ascii="Times New Roman" w:hAnsi="Times New Roman" w:cs="Times New Roman"/>
              </w:rPr>
              <w:t>Oficio 151-PLA-MI-2019, relacionados a los acuerdos tomados en la reunión del 20 de noviembre del año 2019 realizada con el Equipo Gestor en Materia Agraria</w:t>
            </w:r>
            <w:bookmarkEnd w:id="324"/>
          </w:p>
        </w:tc>
        <w:bookmarkStart w:name="_MON_1646735590" w:id="325"/>
        <w:bookmarkEnd w:id="325"/>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35C50BB9" w14:textId="77777777">
            <w:pPr>
              <w:spacing w:before="120" w:after="120"/>
              <w:jc w:val="center"/>
              <w:rPr>
                <w:rFonts w:ascii="Times New Roman" w:hAnsi="Times New Roman" w:cs="Times New Roman"/>
              </w:rPr>
            </w:pPr>
            <w:r w:rsidRPr="00AE1B2B">
              <w:rPr>
                <w:rFonts w:ascii="Times New Roman" w:hAnsi="Times New Roman" w:cs="Times New Roman"/>
              </w:rPr>
              <w:object w:dxaOrig="2520" w:dyaOrig="1640" w14:anchorId="253BA19F">
                <v:shape id="_x0000_i1108" style="width:126.75pt;height:81.75pt" o:ole="" type="#_x0000_t75">
                  <v:imagedata o:title="" r:id="rId377"/>
                </v:shape>
                <o:OLEObject Type="Embed" ProgID="Word.Document.12" ShapeID="_x0000_i1108" DrawAspect="Icon" ObjectID="_1681900534" r:id="rId378">
                  <o:FieldCodes>\s</o:FieldCodes>
                </o:OLEObject>
              </w:object>
            </w:r>
          </w:p>
        </w:tc>
      </w:tr>
      <w:tr w:rsidRPr="00AE1B2B" w:rsidR="00AE1B2B" w:rsidTr="009D3FB5" w14:paraId="59735E00"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63087853" w14:textId="77777777">
            <w:pPr>
              <w:spacing w:before="120" w:after="120"/>
              <w:jc w:val="center"/>
              <w:rPr>
                <w:rFonts w:ascii="Times New Roman" w:hAnsi="Times New Roman" w:cs="Times New Roman"/>
                <w:b/>
                <w:i/>
              </w:rPr>
            </w:pPr>
            <w:r w:rsidRPr="00AE1B2B">
              <w:rPr>
                <w:rFonts w:ascii="Times New Roman" w:hAnsi="Times New Roman" w:cs="Times New Roman"/>
                <w:b/>
                <w:i/>
              </w:rPr>
              <w:t>19</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56FCF612" w14:textId="77777777">
            <w:pPr>
              <w:spacing w:before="120" w:after="120"/>
              <w:jc w:val="center"/>
              <w:rPr>
                <w:rFonts w:ascii="Times New Roman" w:hAnsi="Times New Roman" w:cs="Times New Roman"/>
              </w:rPr>
            </w:pPr>
            <w:bookmarkStart w:name="_Hlk36123107" w:id="326"/>
            <w:r w:rsidRPr="00AE1B2B">
              <w:rPr>
                <w:rFonts w:ascii="Times New Roman" w:hAnsi="Times New Roman" w:cs="Times New Roman"/>
              </w:rPr>
              <w:t>Acuerdo de la Comisión de la Jurisdicción Civil – oficio 0006-CJC-2020</w:t>
            </w:r>
            <w:bookmarkEnd w:id="326"/>
          </w:p>
        </w:tc>
        <w:bookmarkStart w:name="_MON_1646735909" w:id="327"/>
        <w:bookmarkEnd w:id="327"/>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4178FC49" w14:textId="77777777">
            <w:pPr>
              <w:spacing w:before="120" w:after="120"/>
              <w:jc w:val="center"/>
              <w:rPr>
                <w:rFonts w:ascii="Times New Roman" w:hAnsi="Times New Roman" w:cs="Times New Roman"/>
              </w:rPr>
            </w:pPr>
            <w:r w:rsidRPr="00AE1B2B">
              <w:rPr>
                <w:rFonts w:ascii="Times New Roman" w:hAnsi="Times New Roman" w:cs="Times New Roman"/>
              </w:rPr>
              <w:object w:dxaOrig="1513" w:dyaOrig="984" w14:anchorId="7BB41F22">
                <v:shape id="_x0000_i1109" style="width:78pt;height:48.75pt" o:ole="" type="#_x0000_t75">
                  <v:imagedata o:title="" r:id="rId379"/>
                </v:shape>
                <o:OLEObject Type="Embed" ProgID="Word.Document.12" ShapeID="_x0000_i1109" DrawAspect="Icon" ObjectID="_1681900535" r:id="rId380">
                  <o:FieldCodes>\s</o:FieldCodes>
                </o:OLEObject>
              </w:object>
            </w:r>
          </w:p>
        </w:tc>
      </w:tr>
      <w:tr w:rsidRPr="00AE1B2B" w:rsidR="00AE1B2B" w:rsidTr="009D3FB5" w14:paraId="4CD2A372"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39EA0BE7" w14:textId="77777777">
            <w:pPr>
              <w:spacing w:before="120" w:after="120"/>
              <w:jc w:val="center"/>
              <w:rPr>
                <w:rFonts w:ascii="Times New Roman" w:hAnsi="Times New Roman" w:cs="Times New Roman"/>
                <w:b/>
                <w:i/>
              </w:rPr>
            </w:pPr>
            <w:r w:rsidRPr="00AE1B2B">
              <w:rPr>
                <w:rFonts w:ascii="Times New Roman" w:hAnsi="Times New Roman" w:cs="Times New Roman"/>
                <w:b/>
                <w:i/>
              </w:rPr>
              <w:t>20</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62D777F4" w14:textId="77777777">
            <w:pPr>
              <w:spacing w:before="120" w:after="120"/>
              <w:jc w:val="center"/>
              <w:rPr>
                <w:rFonts w:ascii="Times New Roman" w:hAnsi="Times New Roman" w:cs="Times New Roman"/>
              </w:rPr>
            </w:pPr>
            <w:r w:rsidRPr="00AE1B2B">
              <w:rPr>
                <w:rFonts w:ascii="Times New Roman" w:hAnsi="Times New Roman" w:cs="Times New Roman"/>
              </w:rPr>
              <w:t>Oficio 471-PLA-MI-2020</w:t>
            </w:r>
          </w:p>
        </w:tc>
        <w:bookmarkStart w:name="_MON_1646736532" w:id="328"/>
        <w:bookmarkEnd w:id="328"/>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7F21C013" w14:textId="77777777">
            <w:pPr>
              <w:spacing w:before="120" w:after="120"/>
              <w:jc w:val="center"/>
              <w:rPr>
                <w:rFonts w:ascii="Times New Roman" w:hAnsi="Times New Roman" w:cs="Times New Roman"/>
              </w:rPr>
            </w:pPr>
            <w:r w:rsidRPr="00AE1B2B">
              <w:rPr>
                <w:rFonts w:ascii="Times New Roman" w:hAnsi="Times New Roman" w:cs="Times New Roman"/>
              </w:rPr>
              <w:object w:dxaOrig="1513" w:dyaOrig="984" w14:anchorId="481B5B67">
                <v:shape id="_x0000_i1110" style="width:78pt;height:48.75pt" o:ole="" type="#_x0000_t75">
                  <v:imagedata o:title="" r:id="rId381"/>
                </v:shape>
                <o:OLEObject Type="Embed" ProgID="Word.Document.8" ShapeID="_x0000_i1110" DrawAspect="Icon" ObjectID="_1681900536" r:id="rId382">
                  <o:FieldCodes>\s</o:FieldCodes>
                </o:OLEObject>
              </w:object>
            </w:r>
          </w:p>
        </w:tc>
      </w:tr>
      <w:tr w:rsidRPr="00AE1B2B" w:rsidR="00AE1B2B" w:rsidTr="009D3FB5" w14:paraId="62BD93DD"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47D520B5" w14:textId="77777777">
            <w:pPr>
              <w:spacing w:before="120" w:after="120"/>
              <w:jc w:val="center"/>
              <w:rPr>
                <w:rFonts w:ascii="Times New Roman" w:hAnsi="Times New Roman" w:cs="Times New Roman"/>
                <w:b/>
                <w:i/>
              </w:rPr>
            </w:pPr>
            <w:r w:rsidRPr="00AE1B2B">
              <w:rPr>
                <w:rFonts w:ascii="Times New Roman" w:hAnsi="Times New Roman" w:cs="Times New Roman"/>
                <w:b/>
                <w:i/>
              </w:rPr>
              <w:t>21</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5654A6DB" w14:textId="77777777">
            <w:pPr>
              <w:spacing w:before="120" w:after="120"/>
              <w:jc w:val="center"/>
              <w:rPr>
                <w:rFonts w:ascii="Times New Roman" w:hAnsi="Times New Roman" w:cs="Times New Roman"/>
              </w:rPr>
            </w:pPr>
            <w:r w:rsidRPr="00AE1B2B">
              <w:rPr>
                <w:rFonts w:ascii="Times New Roman" w:hAnsi="Times New Roman" w:cs="Times New Roman"/>
              </w:rPr>
              <w:t>Oficio 816-PLA-MI-2020</w:t>
            </w:r>
          </w:p>
        </w:tc>
        <w:bookmarkStart w:name="_MON_1674923053" w:id="329"/>
        <w:bookmarkEnd w:id="329"/>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0891F701" w14:textId="77777777">
            <w:pPr>
              <w:spacing w:before="120" w:after="120"/>
              <w:jc w:val="center"/>
              <w:rPr>
                <w:rFonts w:ascii="Times New Roman" w:hAnsi="Times New Roman" w:cs="Times New Roman"/>
              </w:rPr>
            </w:pPr>
            <w:r w:rsidRPr="00AE1B2B">
              <w:rPr>
                <w:rFonts w:ascii="Times New Roman" w:hAnsi="Times New Roman" w:cs="Times New Roman"/>
              </w:rPr>
              <w:object w:dxaOrig="1513" w:dyaOrig="984" w14:anchorId="5C8E6897">
                <v:shape id="_x0000_i1111" style="width:78pt;height:48.75pt" o:ole="" type="#_x0000_t75">
                  <v:imagedata o:title="" r:id="rId383"/>
                </v:shape>
                <o:OLEObject Type="Embed" ProgID="Word.Document.12" ShapeID="_x0000_i1111" DrawAspect="Icon" ObjectID="_1681900537" r:id="rId384">
                  <o:FieldCodes>\s</o:FieldCodes>
                </o:OLEObject>
              </w:object>
            </w:r>
          </w:p>
        </w:tc>
      </w:tr>
      <w:tr w:rsidRPr="00AE1B2B" w:rsidR="00AE1B2B" w:rsidTr="009D3FB5" w14:paraId="5C326380"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1DDE6F76" w14:textId="77777777">
            <w:pPr>
              <w:spacing w:before="120" w:after="120"/>
              <w:jc w:val="center"/>
              <w:rPr>
                <w:rFonts w:ascii="Times New Roman" w:hAnsi="Times New Roman" w:cs="Times New Roman"/>
                <w:b/>
                <w:i/>
              </w:rPr>
            </w:pPr>
            <w:r w:rsidRPr="00AE1B2B">
              <w:rPr>
                <w:rFonts w:ascii="Times New Roman" w:hAnsi="Times New Roman" w:cs="Times New Roman"/>
                <w:b/>
                <w:i/>
              </w:rPr>
              <w:t>22</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7966C41A" w14:textId="77777777">
            <w:pPr>
              <w:spacing w:before="120" w:after="120"/>
              <w:jc w:val="center"/>
              <w:rPr>
                <w:rFonts w:ascii="Times New Roman" w:hAnsi="Times New Roman" w:cs="Times New Roman"/>
              </w:rPr>
            </w:pPr>
            <w:r w:rsidRPr="00AE1B2B">
              <w:rPr>
                <w:rFonts w:ascii="Times New Roman" w:hAnsi="Times New Roman" w:cs="Times New Roman"/>
              </w:rPr>
              <w:t>Informe 104-PLA-ES-MI-2021</w:t>
            </w:r>
          </w:p>
        </w:tc>
        <w:bookmarkStart w:name="_MON_1674923202" w:id="330"/>
        <w:bookmarkEnd w:id="330"/>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767E0929" w14:textId="77777777">
            <w:pPr>
              <w:spacing w:before="120" w:after="120"/>
              <w:jc w:val="center"/>
              <w:rPr>
                <w:rFonts w:ascii="Times New Roman" w:hAnsi="Times New Roman" w:cs="Times New Roman"/>
              </w:rPr>
            </w:pPr>
            <w:r w:rsidRPr="00AE1B2B">
              <w:rPr>
                <w:rFonts w:ascii="Times New Roman" w:hAnsi="Times New Roman" w:cs="Times New Roman"/>
              </w:rPr>
              <w:object w:dxaOrig="1513" w:dyaOrig="984" w14:anchorId="5E4F5174">
                <v:shape id="_x0000_i1112" style="width:78pt;height:48.75pt" o:ole="" type="#_x0000_t75">
                  <v:imagedata o:title="" r:id="rId385"/>
                </v:shape>
                <o:OLEObject Type="Embed" ProgID="Word.Document.8" ShapeID="_x0000_i1112" DrawAspect="Icon" ObjectID="_1681900538" r:id="rId386">
                  <o:FieldCodes>\s</o:FieldCodes>
                </o:OLEObject>
              </w:object>
            </w:r>
          </w:p>
        </w:tc>
      </w:tr>
      <w:tr w:rsidRPr="00AE1B2B" w:rsidR="00AE1B2B" w:rsidTr="009D3FB5" w14:paraId="11CF43D8"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14201E36" w14:textId="77777777">
            <w:pPr>
              <w:spacing w:before="120" w:after="120"/>
              <w:jc w:val="center"/>
              <w:rPr>
                <w:rFonts w:ascii="Times New Roman" w:hAnsi="Times New Roman" w:cs="Times New Roman"/>
                <w:b/>
                <w:i/>
              </w:rPr>
            </w:pPr>
            <w:r w:rsidRPr="00AE1B2B">
              <w:rPr>
                <w:rFonts w:ascii="Times New Roman" w:hAnsi="Times New Roman" w:cs="Times New Roman"/>
                <w:b/>
                <w:i/>
              </w:rPr>
              <w:t>23</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2F33C8FF" w14:textId="77777777">
            <w:pPr>
              <w:spacing w:before="120" w:after="120"/>
              <w:jc w:val="center"/>
              <w:rPr>
                <w:rFonts w:ascii="Times New Roman" w:hAnsi="Times New Roman" w:cs="Times New Roman"/>
              </w:rPr>
            </w:pPr>
            <w:r w:rsidRPr="00AE1B2B">
              <w:rPr>
                <w:rFonts w:ascii="Times New Roman" w:hAnsi="Times New Roman" w:cs="Times New Roman"/>
              </w:rPr>
              <w:t>Oficio 8400-2020</w:t>
            </w:r>
          </w:p>
        </w:tc>
        <w:bookmarkStart w:name="_MON_1674966784" w:id="331"/>
        <w:bookmarkEnd w:id="331"/>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70B2AE22" w14:textId="77777777">
            <w:pPr>
              <w:spacing w:before="120" w:after="120"/>
              <w:jc w:val="center"/>
              <w:rPr>
                <w:rFonts w:ascii="Times New Roman" w:hAnsi="Times New Roman" w:cs="Times New Roman"/>
              </w:rPr>
            </w:pPr>
            <w:r w:rsidRPr="00AE1B2B">
              <w:rPr>
                <w:rFonts w:ascii="Times New Roman" w:hAnsi="Times New Roman" w:cs="Times New Roman"/>
              </w:rPr>
              <w:object w:dxaOrig="1513" w:dyaOrig="984" w14:anchorId="23F4BEDC">
                <v:shape id="_x0000_i1113" style="width:78pt;height:48.75pt" o:ole="" type="#_x0000_t75">
                  <v:imagedata o:title="" r:id="rId387"/>
                </v:shape>
                <o:OLEObject Type="Embed" ProgID="Word.Document.12" ShapeID="_x0000_i1113" DrawAspect="Icon" ObjectID="_1681900539" r:id="rId388">
                  <o:FieldCodes>\s</o:FieldCodes>
                </o:OLEObject>
              </w:object>
            </w:r>
          </w:p>
        </w:tc>
      </w:tr>
      <w:tr w:rsidRPr="00AE1B2B" w:rsidR="00AE1B2B" w:rsidTr="009D3FB5" w14:paraId="481644DC"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576A61C0" w14:textId="77777777">
            <w:pPr>
              <w:spacing w:before="120" w:after="120"/>
              <w:jc w:val="center"/>
              <w:rPr>
                <w:rFonts w:ascii="Times New Roman" w:hAnsi="Times New Roman" w:cs="Times New Roman"/>
                <w:b/>
                <w:i/>
              </w:rPr>
            </w:pPr>
            <w:r w:rsidRPr="00AE1B2B">
              <w:rPr>
                <w:rFonts w:ascii="Times New Roman" w:hAnsi="Times New Roman" w:cs="Times New Roman"/>
                <w:b/>
                <w:i/>
              </w:rPr>
              <w:t>24</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2734EA01" w14:textId="77777777">
            <w:pPr>
              <w:spacing w:before="120" w:after="120"/>
              <w:jc w:val="center"/>
              <w:rPr>
                <w:rFonts w:ascii="Times New Roman" w:hAnsi="Times New Roman" w:cs="Times New Roman"/>
              </w:rPr>
            </w:pPr>
            <w:r w:rsidRPr="00AE1B2B">
              <w:rPr>
                <w:rFonts w:ascii="Times New Roman" w:hAnsi="Times New Roman" w:cs="Times New Roman"/>
                <w:lang w:val="es-MX"/>
              </w:rPr>
              <w:t>Oficio 98-CACMFJ-ACM-2020-B</w:t>
            </w:r>
          </w:p>
        </w:tc>
        <w:bookmarkStart w:name="_MON_1674967026" w:id="332"/>
        <w:bookmarkEnd w:id="332"/>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3401E761" w14:textId="77777777">
            <w:pPr>
              <w:spacing w:before="120" w:after="120"/>
              <w:jc w:val="center"/>
              <w:rPr>
                <w:rFonts w:ascii="Times New Roman" w:hAnsi="Times New Roman" w:cs="Times New Roman"/>
              </w:rPr>
            </w:pPr>
            <w:r w:rsidRPr="00AE1B2B">
              <w:rPr>
                <w:rFonts w:ascii="Times New Roman" w:hAnsi="Times New Roman" w:cs="Times New Roman"/>
              </w:rPr>
              <w:object w:dxaOrig="1513" w:dyaOrig="984" w14:anchorId="7F4AD117">
                <v:shape id="_x0000_i1114" style="width:78pt;height:48.75pt" o:ole="" type="#_x0000_t75">
                  <v:imagedata o:title="" r:id="rId389"/>
                </v:shape>
                <o:OLEObject Type="Embed" ProgID="Word.Document.12" ShapeID="_x0000_i1114" DrawAspect="Icon" ObjectID="_1681900540" r:id="rId390">
                  <o:FieldCodes>\s</o:FieldCodes>
                </o:OLEObject>
              </w:object>
            </w:r>
          </w:p>
        </w:tc>
      </w:tr>
      <w:tr w:rsidRPr="00AE1B2B" w:rsidR="00AE1B2B" w:rsidTr="009D3FB5" w14:paraId="712C9EA3"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195C96D9" w14:textId="77777777">
            <w:pPr>
              <w:spacing w:before="120" w:after="120"/>
              <w:jc w:val="center"/>
              <w:rPr>
                <w:rFonts w:ascii="Times New Roman" w:hAnsi="Times New Roman" w:cs="Times New Roman"/>
                <w:b/>
                <w:i/>
              </w:rPr>
            </w:pPr>
            <w:r w:rsidRPr="00AE1B2B">
              <w:rPr>
                <w:rFonts w:ascii="Times New Roman" w:hAnsi="Times New Roman" w:cs="Times New Roman"/>
                <w:b/>
                <w:i/>
              </w:rPr>
              <w:lastRenderedPageBreak/>
              <w:t>25</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1013BE07" w14:textId="77777777">
            <w:pPr>
              <w:spacing w:before="120" w:after="120"/>
              <w:jc w:val="center"/>
              <w:rPr>
                <w:rFonts w:ascii="Times New Roman" w:hAnsi="Times New Roman" w:cs="Times New Roman"/>
              </w:rPr>
            </w:pPr>
            <w:r w:rsidRPr="00AE1B2B">
              <w:rPr>
                <w:rFonts w:ascii="Times New Roman" w:hAnsi="Times New Roman" w:cs="Times New Roman"/>
              </w:rPr>
              <w:t>Recomendaciones de Auditoría Judicial 1284-213-AUO-2014</w:t>
            </w:r>
          </w:p>
        </w:tc>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606DD90D" w14:textId="77777777">
            <w:pPr>
              <w:spacing w:before="120" w:after="120"/>
              <w:jc w:val="center"/>
              <w:rPr>
                <w:rFonts w:ascii="Times New Roman" w:hAnsi="Times New Roman" w:cs="Times New Roman"/>
              </w:rPr>
            </w:pPr>
            <w:r w:rsidRPr="00AE1B2B">
              <w:rPr>
                <w:rFonts w:ascii="Times New Roman" w:hAnsi="Times New Roman" w:cs="Times New Roman"/>
              </w:rPr>
              <w:object w:dxaOrig="2520" w:dyaOrig="1640" w14:anchorId="74445105">
                <v:shape id="_x0000_i1115" style="width:130.5pt;height:80.25pt" o:ole="" type="#_x0000_t75">
                  <v:imagedata o:title="" r:id="rId391"/>
                </v:shape>
                <o:OLEObject Type="Embed" ProgID="Package" ShapeID="_x0000_i1115" DrawAspect="Icon" ObjectID="_1681900541" r:id="rId392"/>
              </w:object>
            </w:r>
          </w:p>
        </w:tc>
      </w:tr>
      <w:tr w:rsidRPr="00AE1B2B" w:rsidR="00AE1B2B" w:rsidTr="009D3FB5" w14:paraId="608ABFC2" w14:textId="77777777">
        <w:trPr>
          <w:trHeight w:val="335"/>
          <w:jc w:val="center"/>
        </w:trPr>
        <w:tc>
          <w:tcPr>
            <w:tcW w:w="0" w:type="auto"/>
            <w:tcBorders>
              <w:top w:val="nil"/>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57CEC807" w14:textId="77777777">
            <w:pPr>
              <w:spacing w:before="120" w:after="120"/>
              <w:jc w:val="center"/>
              <w:rPr>
                <w:rFonts w:ascii="Times New Roman" w:hAnsi="Times New Roman" w:cs="Times New Roman"/>
                <w:b/>
                <w:i/>
              </w:rPr>
            </w:pPr>
            <w:r w:rsidRPr="00AE1B2B">
              <w:rPr>
                <w:rFonts w:ascii="Times New Roman" w:hAnsi="Times New Roman" w:cs="Times New Roman"/>
                <w:b/>
                <w:i/>
              </w:rPr>
              <w:t>26</w:t>
            </w:r>
          </w:p>
        </w:tc>
        <w:tc>
          <w:tcPr>
            <w:tcW w:w="3893" w:type="dxa"/>
            <w:tcBorders>
              <w:top w:val="nil"/>
              <w:left w:val="nil"/>
              <w:bottom w:val="double" w:color="44546A" w:sz="6" w:space="0"/>
              <w:right w:val="double" w:color="44546A" w:sz="6" w:space="0"/>
            </w:tcBorders>
            <w:shd w:val="clear" w:color="auto" w:fill="auto"/>
            <w:vAlign w:val="center"/>
          </w:tcPr>
          <w:p w:rsidRPr="00AE1B2B" w:rsidR="009D3FB5" w:rsidP="00163B94" w:rsidRDefault="009D3FB5" w14:paraId="32DC9547" w14:textId="77777777">
            <w:pPr>
              <w:spacing w:before="120" w:after="120"/>
              <w:jc w:val="center"/>
              <w:rPr>
                <w:rFonts w:ascii="Times New Roman" w:hAnsi="Times New Roman" w:cs="Times New Roman"/>
              </w:rPr>
            </w:pPr>
            <w:r w:rsidRPr="00AE1B2B">
              <w:rPr>
                <w:rFonts w:ascii="Times New Roman" w:hAnsi="Times New Roman" w:cs="Times New Roman"/>
              </w:rPr>
              <w:t xml:space="preserve">Oficio PJ-DGH-RS-008-2021 sobre el Juzgado Agrario de Puntarenas, sede Jicaral </w:t>
            </w:r>
          </w:p>
        </w:tc>
        <w:bookmarkStart w:name="_MON_1674968503" w:id="333"/>
        <w:bookmarkEnd w:id="333"/>
        <w:tc>
          <w:tcPr>
            <w:tcW w:w="3119" w:type="dxa"/>
            <w:tcBorders>
              <w:top w:val="nil"/>
              <w:left w:val="nil"/>
              <w:bottom w:val="double" w:color="44546A" w:sz="6" w:space="0"/>
              <w:right w:val="double" w:color="44546A" w:sz="6" w:space="0"/>
            </w:tcBorders>
            <w:shd w:val="clear" w:color="auto" w:fill="auto"/>
            <w:noWrap/>
            <w:vAlign w:val="center"/>
          </w:tcPr>
          <w:p w:rsidRPr="00AE1B2B" w:rsidR="009D3FB5" w:rsidP="00163B94" w:rsidRDefault="009D3FB5" w14:paraId="53578B60" w14:textId="77777777">
            <w:pPr>
              <w:spacing w:before="120" w:after="120"/>
              <w:jc w:val="center"/>
              <w:rPr>
                <w:rFonts w:ascii="Times New Roman" w:hAnsi="Times New Roman" w:cs="Times New Roman"/>
              </w:rPr>
            </w:pPr>
            <w:r w:rsidRPr="00AE1B2B">
              <w:rPr>
                <w:rFonts w:ascii="Times New Roman" w:hAnsi="Times New Roman" w:cs="Times New Roman"/>
              </w:rPr>
              <w:object w:dxaOrig="1513" w:dyaOrig="984" w14:anchorId="7BE51BC8">
                <v:shape id="_x0000_i1116" style="width:78pt;height:48.75pt" o:ole="" type="#_x0000_t75">
                  <v:imagedata o:title="" r:id="rId393"/>
                </v:shape>
                <o:OLEObject Type="Embed" ProgID="Word.Document.12" ShapeID="_x0000_i1116" DrawAspect="Icon" ObjectID="_1681900542" r:id="rId394">
                  <o:FieldCodes>\s</o:FieldCodes>
                </o:OLEObject>
              </w:object>
            </w:r>
          </w:p>
        </w:tc>
      </w:tr>
      <w:tr w:rsidRPr="00AE1B2B" w:rsidR="00AE1B2B" w:rsidTr="009D3FB5" w14:paraId="236B9E2E" w14:textId="77777777">
        <w:trPr>
          <w:trHeight w:val="335"/>
          <w:jc w:val="center"/>
        </w:trPr>
        <w:tc>
          <w:tcPr>
            <w:tcW w:w="0" w:type="auto"/>
            <w:tcBorders>
              <w:top w:val="double" w:color="1F4E79" w:themeColor="accent1" w:themeShade="80" w:sz="4" w:space="0"/>
              <w:left w:val="double" w:color="44546A" w:sz="6" w:space="0"/>
              <w:bottom w:val="double" w:color="1F4E79" w:themeColor="accent1" w:themeShade="80" w:sz="4" w:space="0"/>
              <w:right w:val="double" w:color="44546A" w:sz="6" w:space="0"/>
            </w:tcBorders>
            <w:shd w:val="clear" w:color="auto" w:fill="auto"/>
            <w:noWrap/>
            <w:vAlign w:val="center"/>
          </w:tcPr>
          <w:p w:rsidRPr="00AE1B2B" w:rsidR="009D3FB5" w:rsidP="00163B94" w:rsidRDefault="009D3FB5" w14:paraId="45EB662B" w14:textId="77777777">
            <w:pPr>
              <w:spacing w:before="120" w:after="120"/>
              <w:jc w:val="center"/>
              <w:rPr>
                <w:rFonts w:ascii="Times New Roman" w:hAnsi="Times New Roman" w:cs="Times New Roman"/>
                <w:b/>
                <w:i/>
              </w:rPr>
            </w:pPr>
            <w:r w:rsidRPr="00AE1B2B">
              <w:rPr>
                <w:rFonts w:ascii="Times New Roman" w:hAnsi="Times New Roman" w:cs="Times New Roman"/>
                <w:b/>
                <w:i/>
              </w:rPr>
              <w:t>27</w:t>
            </w:r>
          </w:p>
        </w:tc>
        <w:tc>
          <w:tcPr>
            <w:tcW w:w="3893" w:type="dxa"/>
            <w:tcBorders>
              <w:top w:val="double" w:color="1F4E79" w:themeColor="accent1" w:themeShade="80" w:sz="4" w:space="0"/>
              <w:left w:val="nil"/>
              <w:bottom w:val="double" w:color="1F4E79" w:themeColor="accent1" w:themeShade="80" w:sz="4" w:space="0"/>
              <w:right w:val="double" w:color="44546A" w:sz="6" w:space="0"/>
            </w:tcBorders>
            <w:shd w:val="clear" w:color="auto" w:fill="auto"/>
            <w:vAlign w:val="center"/>
          </w:tcPr>
          <w:p w:rsidRPr="00AE1B2B" w:rsidR="009D3FB5" w:rsidP="00163B94" w:rsidRDefault="009D3FB5" w14:paraId="72BB60A7" w14:textId="77777777">
            <w:pPr>
              <w:spacing w:before="120" w:after="120"/>
              <w:jc w:val="center"/>
              <w:rPr>
                <w:rFonts w:ascii="Times New Roman" w:hAnsi="Times New Roman" w:cs="Times New Roman"/>
              </w:rPr>
            </w:pPr>
            <w:r w:rsidRPr="00AE1B2B">
              <w:rPr>
                <w:rFonts w:ascii="Times New Roman" w:hAnsi="Times New Roman" w:cs="Times New Roman"/>
              </w:rPr>
              <w:t>Oficio 159-PLA-MI-2020</w:t>
            </w:r>
          </w:p>
        </w:tc>
        <w:bookmarkStart w:name="_MON_1674968612" w:id="334"/>
        <w:bookmarkEnd w:id="334"/>
        <w:tc>
          <w:tcPr>
            <w:tcW w:w="3119" w:type="dxa"/>
            <w:tcBorders>
              <w:top w:val="double" w:color="1F4E79" w:themeColor="accent1" w:themeShade="80" w:sz="4" w:space="0"/>
              <w:left w:val="nil"/>
              <w:bottom w:val="double" w:color="1F4E79" w:themeColor="accent1" w:themeShade="80" w:sz="4" w:space="0"/>
              <w:right w:val="double" w:color="44546A" w:sz="6" w:space="0"/>
            </w:tcBorders>
            <w:shd w:val="clear" w:color="auto" w:fill="auto"/>
            <w:noWrap/>
            <w:vAlign w:val="center"/>
          </w:tcPr>
          <w:p w:rsidRPr="00AE1B2B" w:rsidR="009D3FB5" w:rsidP="00163B94" w:rsidRDefault="009D3FB5" w14:paraId="1977C920" w14:textId="77777777">
            <w:pPr>
              <w:spacing w:before="120" w:after="120"/>
              <w:jc w:val="center"/>
              <w:rPr>
                <w:rFonts w:ascii="Times New Roman" w:hAnsi="Times New Roman" w:cs="Times New Roman"/>
              </w:rPr>
            </w:pPr>
            <w:r w:rsidRPr="00AE1B2B">
              <w:rPr>
                <w:rFonts w:ascii="Times New Roman" w:hAnsi="Times New Roman" w:cs="Times New Roman"/>
              </w:rPr>
              <w:object w:dxaOrig="1513" w:dyaOrig="984" w14:anchorId="1F67C84F">
                <v:shape id="_x0000_i1117" style="width:77.95pt;height:49.05pt" o:ole="" type="#_x0000_t75">
                  <v:imagedata o:title="" r:id="rId395"/>
                </v:shape>
                <o:OLEObject Type="Embed" ProgID="Word.Document.8" ShapeID="_x0000_i1117" DrawAspect="Icon" ObjectID="_1681900543" r:id="rId396">
                  <o:FieldCodes>\s</o:FieldCodes>
                </o:OLEObject>
              </w:object>
            </w:r>
          </w:p>
        </w:tc>
      </w:tr>
      <w:tr w:rsidRPr="00AE1B2B" w:rsidR="00AE1B2B" w:rsidTr="009D3FB5" w14:paraId="50294248" w14:textId="77777777">
        <w:trPr>
          <w:trHeight w:val="335"/>
          <w:jc w:val="center"/>
        </w:trPr>
        <w:tc>
          <w:tcPr>
            <w:tcW w:w="0" w:type="auto"/>
            <w:tcBorders>
              <w:top w:val="double" w:color="1F4E79" w:themeColor="accent1" w:themeShade="80" w:sz="4" w:space="0"/>
              <w:left w:val="double" w:color="44546A" w:sz="6" w:space="0"/>
              <w:bottom w:val="double" w:color="1F4E79" w:themeColor="accent1" w:themeShade="80" w:sz="4" w:space="0"/>
              <w:right w:val="double" w:color="44546A" w:sz="6" w:space="0"/>
            </w:tcBorders>
            <w:shd w:val="clear" w:color="auto" w:fill="auto"/>
            <w:noWrap/>
            <w:vAlign w:val="center"/>
          </w:tcPr>
          <w:p w:rsidRPr="00AE1B2B" w:rsidR="009D3FB5" w:rsidP="00163B94" w:rsidRDefault="009D3FB5" w14:paraId="729FFE1C" w14:textId="77777777">
            <w:pPr>
              <w:spacing w:before="120" w:after="120"/>
              <w:jc w:val="center"/>
              <w:rPr>
                <w:rFonts w:ascii="Times New Roman" w:hAnsi="Times New Roman" w:cs="Times New Roman"/>
                <w:b/>
                <w:i/>
              </w:rPr>
            </w:pPr>
            <w:r w:rsidRPr="00AE1B2B">
              <w:rPr>
                <w:rFonts w:ascii="Times New Roman" w:hAnsi="Times New Roman" w:cs="Times New Roman"/>
                <w:b/>
                <w:i/>
              </w:rPr>
              <w:t>28</w:t>
            </w:r>
          </w:p>
        </w:tc>
        <w:tc>
          <w:tcPr>
            <w:tcW w:w="3893" w:type="dxa"/>
            <w:tcBorders>
              <w:top w:val="double" w:color="1F4E79" w:themeColor="accent1" w:themeShade="80" w:sz="4" w:space="0"/>
              <w:left w:val="nil"/>
              <w:bottom w:val="double" w:color="1F4E79" w:themeColor="accent1" w:themeShade="80" w:sz="4" w:space="0"/>
              <w:right w:val="double" w:color="44546A" w:sz="6" w:space="0"/>
            </w:tcBorders>
            <w:shd w:val="clear" w:color="auto" w:fill="auto"/>
            <w:vAlign w:val="center"/>
          </w:tcPr>
          <w:p w:rsidRPr="00AE1B2B" w:rsidR="009D3FB5" w:rsidP="00163B94" w:rsidRDefault="009D3FB5" w14:paraId="7EE4693C" w14:textId="77777777">
            <w:pPr>
              <w:spacing w:before="120" w:after="120"/>
              <w:jc w:val="center"/>
              <w:rPr>
                <w:rFonts w:ascii="Times New Roman" w:hAnsi="Times New Roman" w:cs="Times New Roman"/>
              </w:rPr>
            </w:pPr>
            <w:r w:rsidRPr="00AE1B2B">
              <w:rPr>
                <w:rFonts w:ascii="Times New Roman" w:hAnsi="Times New Roman" w:cs="Times New Roman"/>
              </w:rPr>
              <w:t>Correo sobre consulta de Espacio Físico en Upala</w:t>
            </w:r>
          </w:p>
        </w:tc>
        <w:tc>
          <w:tcPr>
            <w:tcW w:w="3119" w:type="dxa"/>
            <w:tcBorders>
              <w:top w:val="double" w:color="1F4E79" w:themeColor="accent1" w:themeShade="80" w:sz="4" w:space="0"/>
              <w:left w:val="nil"/>
              <w:bottom w:val="double" w:color="1F4E79" w:themeColor="accent1" w:themeShade="80" w:sz="4" w:space="0"/>
              <w:right w:val="double" w:color="44546A" w:sz="6" w:space="0"/>
            </w:tcBorders>
            <w:shd w:val="clear" w:color="auto" w:fill="auto"/>
            <w:noWrap/>
            <w:vAlign w:val="center"/>
          </w:tcPr>
          <w:p w:rsidRPr="00AE1B2B" w:rsidR="009D3FB5" w:rsidP="00163B94" w:rsidRDefault="009D3FB5" w14:paraId="1BA626C0" w14:textId="77777777">
            <w:pPr>
              <w:spacing w:before="120" w:after="120"/>
              <w:jc w:val="center"/>
              <w:rPr>
                <w:rFonts w:ascii="Times New Roman" w:hAnsi="Times New Roman" w:cs="Times New Roman"/>
              </w:rPr>
            </w:pPr>
            <w:r w:rsidRPr="00AE1B2B">
              <w:rPr>
                <w:rFonts w:ascii="Times New Roman" w:hAnsi="Times New Roman" w:cs="Times New Roman"/>
              </w:rPr>
              <w:object w:dxaOrig="1513" w:dyaOrig="984" w14:anchorId="6B7C53E4">
                <v:shape id="_x0000_i1118" style="width:74pt;height:49.45pt" o:ole="" type="#_x0000_t75">
                  <v:imagedata o:title="" r:id="rId397"/>
                </v:shape>
                <o:OLEObject Type="Embed" ProgID="Package" ShapeID="_x0000_i1118" DrawAspect="Icon" ObjectID="_1681900544" r:id="rId398"/>
              </w:object>
            </w:r>
          </w:p>
        </w:tc>
      </w:tr>
      <w:tr w:rsidRPr="00AE1B2B" w:rsidR="009D3FB5" w:rsidTr="009D3FB5" w14:paraId="6C7844B1" w14:textId="77777777">
        <w:trPr>
          <w:trHeight w:val="335"/>
          <w:jc w:val="center"/>
        </w:trPr>
        <w:tc>
          <w:tcPr>
            <w:tcW w:w="0" w:type="auto"/>
            <w:tcBorders>
              <w:top w:val="double" w:color="1F4E79" w:themeColor="accent1" w:themeShade="80" w:sz="4" w:space="0"/>
              <w:left w:val="double" w:color="44546A" w:sz="6" w:space="0"/>
              <w:bottom w:val="double" w:color="44546A" w:sz="6" w:space="0"/>
              <w:right w:val="double" w:color="44546A" w:sz="6" w:space="0"/>
            </w:tcBorders>
            <w:shd w:val="clear" w:color="auto" w:fill="auto"/>
            <w:noWrap/>
            <w:vAlign w:val="center"/>
          </w:tcPr>
          <w:p w:rsidRPr="00AE1B2B" w:rsidR="009D3FB5" w:rsidP="00163B94" w:rsidRDefault="009D3FB5" w14:paraId="59E09647" w14:textId="77777777">
            <w:pPr>
              <w:spacing w:before="120" w:after="120"/>
              <w:jc w:val="center"/>
              <w:rPr>
                <w:rFonts w:ascii="Times New Roman" w:hAnsi="Times New Roman" w:cs="Times New Roman"/>
                <w:b/>
                <w:i/>
              </w:rPr>
            </w:pPr>
            <w:r w:rsidRPr="00AE1B2B">
              <w:rPr>
                <w:rFonts w:ascii="Times New Roman" w:hAnsi="Times New Roman" w:cs="Times New Roman"/>
                <w:b/>
                <w:i/>
              </w:rPr>
              <w:t>29</w:t>
            </w:r>
          </w:p>
        </w:tc>
        <w:tc>
          <w:tcPr>
            <w:tcW w:w="3893" w:type="dxa"/>
            <w:tcBorders>
              <w:top w:val="double" w:color="1F4E79" w:themeColor="accent1" w:themeShade="80" w:sz="4" w:space="0"/>
              <w:left w:val="nil"/>
              <w:bottom w:val="double" w:color="44546A" w:sz="6" w:space="0"/>
              <w:right w:val="double" w:color="44546A" w:sz="6" w:space="0"/>
            </w:tcBorders>
            <w:shd w:val="clear" w:color="auto" w:fill="auto"/>
            <w:vAlign w:val="center"/>
          </w:tcPr>
          <w:p w:rsidRPr="00AE1B2B" w:rsidR="009D3FB5" w:rsidP="00163B94" w:rsidRDefault="009D3FB5" w14:paraId="17F1FEA2" w14:textId="77777777">
            <w:pPr>
              <w:spacing w:before="120" w:after="120"/>
              <w:jc w:val="center"/>
              <w:rPr>
                <w:rFonts w:ascii="Times New Roman" w:hAnsi="Times New Roman" w:cs="Times New Roman"/>
              </w:rPr>
            </w:pPr>
            <w:r w:rsidRPr="00AE1B2B">
              <w:rPr>
                <w:rFonts w:ascii="Times New Roman" w:hAnsi="Times New Roman" w:cs="Times New Roman"/>
              </w:rPr>
              <w:t xml:space="preserve">Informe de Avance del Proyecto del 18 de diciembre del 2020, Comisión Agraria </w:t>
            </w:r>
          </w:p>
        </w:tc>
        <w:bookmarkStart w:name="_MON_1679335756" w:id="335"/>
        <w:bookmarkEnd w:id="335"/>
        <w:tc>
          <w:tcPr>
            <w:tcW w:w="3119" w:type="dxa"/>
            <w:tcBorders>
              <w:top w:val="double" w:color="1F4E79" w:themeColor="accent1" w:themeShade="80" w:sz="4" w:space="0"/>
              <w:left w:val="nil"/>
              <w:bottom w:val="double" w:color="44546A" w:sz="6" w:space="0"/>
              <w:right w:val="double" w:color="44546A" w:sz="6" w:space="0"/>
            </w:tcBorders>
            <w:shd w:val="clear" w:color="auto" w:fill="auto"/>
            <w:noWrap/>
            <w:vAlign w:val="center"/>
          </w:tcPr>
          <w:p w:rsidRPr="00AE1B2B" w:rsidR="009D3FB5" w:rsidP="00163B94" w:rsidRDefault="009D3FB5" w14:paraId="39C2425A" w14:textId="77777777">
            <w:pPr>
              <w:spacing w:before="120" w:after="120"/>
              <w:jc w:val="center"/>
              <w:rPr>
                <w:rFonts w:ascii="Times New Roman" w:hAnsi="Times New Roman" w:cs="Times New Roman"/>
              </w:rPr>
            </w:pPr>
            <w:r w:rsidRPr="00AE1B2B">
              <w:rPr>
                <w:rFonts w:ascii="Times New Roman" w:hAnsi="Times New Roman" w:cs="Times New Roman"/>
              </w:rPr>
              <w:object w:dxaOrig="1513" w:dyaOrig="984" w14:anchorId="1BAB3FD3">
                <v:shape id="_x0000_i1119" style="width:74pt;height:49.45pt" o:ole="" type="#_x0000_t75">
                  <v:imagedata o:title="" r:id="rId399"/>
                </v:shape>
                <o:OLEObject Type="Embed" ProgID="Word.Document.12" ShapeID="_x0000_i1119" DrawAspect="Icon" ObjectID="_1681900545" r:id="rId400">
                  <o:FieldCodes>\s</o:FieldCodes>
                </o:OLEObject>
              </w:object>
            </w:r>
          </w:p>
        </w:tc>
      </w:tr>
    </w:tbl>
    <w:p w:rsidRPr="00AE1B2B" w:rsidR="009D3FB5" w:rsidP="00163B94" w:rsidRDefault="009D3FB5" w14:paraId="5CF03DE0" w14:textId="77777777">
      <w:pPr>
        <w:spacing w:before="120" w:after="120"/>
        <w:rPr>
          <w:rFonts w:ascii="Times New Roman" w:hAnsi="Times New Roman" w:cs="Times New Roman"/>
        </w:rPr>
      </w:pPr>
    </w:p>
    <w:tbl>
      <w:tblPr>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826"/>
        <w:gridCol w:w="6889"/>
      </w:tblGrid>
      <w:tr w:rsidRPr="00AE1B2B" w:rsidR="00AE1B2B" w:rsidTr="009D3FB5" w14:paraId="2D50413F" w14:textId="77777777">
        <w:tc>
          <w:tcPr>
            <w:tcW w:w="1838" w:type="dxa"/>
            <w:shd w:val="clear" w:color="auto" w:fill="auto"/>
            <w:vAlign w:val="center"/>
          </w:tcPr>
          <w:p w:rsidRPr="00AE1B2B" w:rsidR="009D3FB5" w:rsidP="00163B94" w:rsidRDefault="009D3FB5" w14:paraId="078292B8" w14:textId="77777777">
            <w:pPr>
              <w:spacing w:before="120" w:after="120" w:line="276" w:lineRule="auto"/>
              <w:rPr>
                <w:rFonts w:ascii="Times New Roman" w:hAnsi="Times New Roman" w:cs="Times New Roman"/>
                <w:szCs w:val="24"/>
              </w:rPr>
            </w:pPr>
            <w:r w:rsidRPr="00AE1B2B">
              <w:rPr>
                <w:rFonts w:ascii="Times New Roman" w:hAnsi="Times New Roman" w:cs="Times New Roman"/>
                <w:szCs w:val="24"/>
              </w:rPr>
              <w:t xml:space="preserve">Elaborado </w:t>
            </w:r>
          </w:p>
        </w:tc>
        <w:tc>
          <w:tcPr>
            <w:tcW w:w="6990" w:type="dxa"/>
            <w:shd w:val="clear" w:color="auto" w:fill="auto"/>
            <w:vAlign w:val="center"/>
          </w:tcPr>
          <w:p w:rsidRPr="00AE1B2B" w:rsidR="009D3FB5" w:rsidP="00163B94" w:rsidRDefault="009D3FB5" w14:paraId="3743563D" w14:textId="77777777">
            <w:pPr>
              <w:spacing w:before="120" w:after="120" w:line="276" w:lineRule="auto"/>
              <w:rPr>
                <w:rFonts w:ascii="Times New Roman" w:hAnsi="Times New Roman" w:cs="Times New Roman"/>
                <w:szCs w:val="24"/>
              </w:rPr>
            </w:pPr>
            <w:r w:rsidRPr="00AE1B2B">
              <w:rPr>
                <w:rFonts w:ascii="Times New Roman" w:hAnsi="Times New Roman" w:cs="Times New Roman"/>
                <w:szCs w:val="24"/>
              </w:rPr>
              <w:t>Ing. Arnold Alvarado Ruiz, Profesional 2 a.i.</w:t>
            </w:r>
          </w:p>
        </w:tc>
      </w:tr>
      <w:tr w:rsidRPr="00AE1B2B" w:rsidR="00AE1B2B" w:rsidTr="009D3FB5" w14:paraId="427C55DE" w14:textId="77777777">
        <w:tc>
          <w:tcPr>
            <w:tcW w:w="1838" w:type="dxa"/>
            <w:shd w:val="clear" w:color="auto" w:fill="auto"/>
            <w:vAlign w:val="center"/>
          </w:tcPr>
          <w:p w:rsidRPr="00AE1B2B" w:rsidR="009D3FB5" w:rsidP="00163B94" w:rsidRDefault="009D3FB5" w14:paraId="7AE3D49E" w14:textId="77777777">
            <w:pPr>
              <w:spacing w:before="120" w:after="120" w:line="276" w:lineRule="auto"/>
              <w:rPr>
                <w:rFonts w:ascii="Times New Roman" w:hAnsi="Times New Roman" w:cs="Times New Roman"/>
                <w:szCs w:val="24"/>
              </w:rPr>
            </w:pPr>
            <w:r w:rsidRPr="00AE1B2B">
              <w:rPr>
                <w:rFonts w:ascii="Times New Roman" w:hAnsi="Times New Roman" w:cs="Times New Roman"/>
                <w:szCs w:val="24"/>
              </w:rPr>
              <w:t xml:space="preserve">Revisado </w:t>
            </w:r>
          </w:p>
        </w:tc>
        <w:tc>
          <w:tcPr>
            <w:tcW w:w="6990" w:type="dxa"/>
            <w:shd w:val="clear" w:color="auto" w:fill="auto"/>
            <w:vAlign w:val="center"/>
          </w:tcPr>
          <w:p w:rsidRPr="00AE1B2B" w:rsidR="009D3FB5" w:rsidP="00163B94" w:rsidRDefault="009D3FB5" w14:paraId="11609D39" w14:textId="77777777">
            <w:pPr>
              <w:spacing w:before="120" w:after="120" w:line="276" w:lineRule="auto"/>
              <w:rPr>
                <w:rFonts w:ascii="Times New Roman" w:hAnsi="Times New Roman" w:cs="Times New Roman"/>
                <w:szCs w:val="24"/>
              </w:rPr>
            </w:pPr>
            <w:r w:rsidRPr="00AE1B2B">
              <w:rPr>
                <w:rFonts w:ascii="Times New Roman" w:hAnsi="Times New Roman" w:cs="Times New Roman"/>
                <w:szCs w:val="24"/>
              </w:rPr>
              <w:t>Ing. Jorge Fernando Rodríguez Salazar, Jefe a.i. del Subproceso de Modernización Institucional</w:t>
            </w:r>
          </w:p>
        </w:tc>
      </w:tr>
      <w:tr w:rsidRPr="00AE1B2B" w:rsidR="00AE1B2B" w:rsidTr="009D3FB5" w14:paraId="2061BF43" w14:textId="77777777">
        <w:tc>
          <w:tcPr>
            <w:tcW w:w="1838" w:type="dxa"/>
            <w:shd w:val="clear" w:color="auto" w:fill="auto"/>
            <w:vAlign w:val="center"/>
          </w:tcPr>
          <w:p w:rsidRPr="00AE1B2B" w:rsidR="009D3FB5" w:rsidP="00163B94" w:rsidRDefault="009D3FB5" w14:paraId="36F70E66" w14:textId="77777777">
            <w:pPr>
              <w:spacing w:before="120" w:after="120" w:line="276" w:lineRule="auto"/>
              <w:rPr>
                <w:rFonts w:ascii="Times New Roman" w:hAnsi="Times New Roman" w:cs="Times New Roman"/>
                <w:szCs w:val="24"/>
              </w:rPr>
            </w:pPr>
            <w:r w:rsidRPr="00AE1B2B">
              <w:rPr>
                <w:rFonts w:ascii="Times New Roman" w:hAnsi="Times New Roman" w:cs="Times New Roman"/>
                <w:szCs w:val="24"/>
              </w:rPr>
              <w:t>Aprobado</w:t>
            </w:r>
          </w:p>
        </w:tc>
        <w:tc>
          <w:tcPr>
            <w:tcW w:w="6990" w:type="dxa"/>
            <w:shd w:val="clear" w:color="auto" w:fill="auto"/>
            <w:vAlign w:val="center"/>
          </w:tcPr>
          <w:p w:rsidRPr="00AE1B2B" w:rsidR="009D3FB5" w:rsidP="00163B94" w:rsidRDefault="009D3FB5" w14:paraId="3EF03659" w14:textId="77777777">
            <w:pPr>
              <w:spacing w:before="120" w:after="120" w:line="276" w:lineRule="auto"/>
              <w:rPr>
                <w:rFonts w:ascii="Times New Roman" w:hAnsi="Times New Roman" w:cs="Times New Roman"/>
                <w:szCs w:val="24"/>
              </w:rPr>
            </w:pPr>
            <w:r w:rsidRPr="00AE1B2B">
              <w:rPr>
                <w:rFonts w:ascii="Times New Roman" w:hAnsi="Times New Roman" w:cs="Times New Roman"/>
                <w:szCs w:val="24"/>
              </w:rPr>
              <w:t>Ing. Dixon Li Morales, Jefe a.i. del Proceso de Ejecución de las Operaciones</w:t>
            </w:r>
          </w:p>
        </w:tc>
      </w:tr>
      <w:tr w:rsidRPr="00AE1B2B" w:rsidR="00AE1B2B" w:rsidTr="009D3FB5" w14:paraId="4F1A4A1C" w14:textId="77777777">
        <w:tc>
          <w:tcPr>
            <w:tcW w:w="1838" w:type="dxa"/>
            <w:shd w:val="clear" w:color="auto" w:fill="auto"/>
            <w:vAlign w:val="center"/>
          </w:tcPr>
          <w:p w:rsidRPr="00AE1B2B" w:rsidR="009D3FB5" w:rsidP="00163B94" w:rsidRDefault="009D3FB5" w14:paraId="60F33964" w14:textId="77777777">
            <w:pPr>
              <w:spacing w:before="120" w:after="120" w:line="276" w:lineRule="auto"/>
              <w:rPr>
                <w:rFonts w:ascii="Times New Roman" w:hAnsi="Times New Roman" w:cs="Times New Roman"/>
                <w:szCs w:val="24"/>
              </w:rPr>
            </w:pPr>
            <w:r w:rsidRPr="00AE1B2B">
              <w:rPr>
                <w:rFonts w:ascii="Times New Roman" w:hAnsi="Times New Roman" w:cs="Times New Roman"/>
                <w:szCs w:val="24"/>
              </w:rPr>
              <w:t>Autorizado</w:t>
            </w:r>
          </w:p>
        </w:tc>
        <w:tc>
          <w:tcPr>
            <w:tcW w:w="6990" w:type="dxa"/>
            <w:shd w:val="clear" w:color="auto" w:fill="auto"/>
            <w:vAlign w:val="center"/>
          </w:tcPr>
          <w:p w:rsidRPr="00AE1B2B" w:rsidR="009D3FB5" w:rsidP="00163B94" w:rsidRDefault="009D3FB5" w14:paraId="6DED992D" w14:textId="77777777">
            <w:pPr>
              <w:spacing w:before="120" w:after="120" w:line="276" w:lineRule="auto"/>
              <w:rPr>
                <w:rFonts w:ascii="Times New Roman" w:hAnsi="Times New Roman" w:cs="Times New Roman"/>
                <w:szCs w:val="24"/>
              </w:rPr>
            </w:pPr>
            <w:r w:rsidRPr="00AE1B2B">
              <w:rPr>
                <w:rFonts w:ascii="Times New Roman" w:hAnsi="Times New Roman" w:cs="Times New Roman"/>
                <w:szCs w:val="24"/>
              </w:rPr>
              <w:t>Licda. Nacira Valverde Bermudez, Directora de Planificación</w:t>
            </w:r>
          </w:p>
        </w:tc>
      </w:tr>
    </w:tbl>
    <w:p w:rsidRPr="00AE1B2B" w:rsidR="009D3FB5" w:rsidP="00163B94" w:rsidRDefault="00BB7720" w14:paraId="3E99EA44" w14:textId="4296129A">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rPr>
        <w:t xml:space="preserve"> </w:t>
      </w:r>
      <w:r w:rsidRPr="00AE1B2B" w:rsidR="009D3FB5">
        <w:rPr>
          <w:rFonts w:ascii="Times New Roman" w:hAnsi="Times New Roman" w:cs="Times New Roman"/>
          <w:sz w:val="26"/>
          <w:szCs w:val="26"/>
        </w:rPr>
        <w:t>rqp</w:t>
      </w:r>
    </w:p>
    <w:p w:rsidRPr="00AE1B2B" w:rsidR="009D3FB5" w:rsidP="00163B94" w:rsidRDefault="00BB7720" w14:paraId="31BD013B" w14:textId="4BFD3D47">
      <w:pPr>
        <w:spacing w:before="120" w:after="120"/>
        <w:ind w:left="851" w:right="851" w:firstLine="709"/>
        <w:jc w:val="both"/>
        <w:rPr>
          <w:rFonts w:ascii="Times New Roman" w:hAnsi="Times New Roman" w:cs="Times New Roman"/>
          <w:sz w:val="26"/>
          <w:szCs w:val="26"/>
        </w:rPr>
      </w:pPr>
      <w:r w:rsidRPr="00AE1B2B">
        <w:rPr>
          <w:rFonts w:ascii="Times New Roman" w:hAnsi="Times New Roman" w:cs="Times New Roman"/>
          <w:sz w:val="26"/>
          <w:szCs w:val="26"/>
        </w:rPr>
        <w:t xml:space="preserve"> </w:t>
      </w:r>
      <w:r w:rsidRPr="00AE1B2B" w:rsidR="009D3FB5">
        <w:rPr>
          <w:rFonts w:ascii="Times New Roman" w:hAnsi="Times New Roman" w:cs="Times New Roman"/>
          <w:sz w:val="26"/>
          <w:szCs w:val="26"/>
        </w:rPr>
        <w:t>Ref. 289-2021, 493-2019, 2083-2020, 2217-2020, 1318-2020, 1962-2020 y 1946-2020</w:t>
      </w:r>
    </w:p>
    <w:p w:rsidRPr="00AE1B2B" w:rsidR="009D3FB5" w:rsidP="00163B94" w:rsidRDefault="009D3FB5" w14:paraId="3AE4F5B2" w14:textId="77777777">
      <w:pPr>
        <w:spacing w:before="120" w:after="120"/>
        <w:rPr>
          <w:rFonts w:ascii="Times New Roman" w:hAnsi="Times New Roman" w:cs="Times New Roman"/>
        </w:rPr>
      </w:pPr>
    </w:p>
    <w:p w:rsidRPr="00AE1B2B" w:rsidR="00163B94" w:rsidP="00163B94" w:rsidRDefault="00163B94" w14:paraId="4371E8AC" w14:textId="77777777">
      <w:pPr>
        <w:spacing w:before="120" w:after="120" w:line="480" w:lineRule="auto"/>
        <w:jc w:val="center"/>
        <w:rPr>
          <w:rFonts w:ascii="Times New Roman" w:hAnsi="Times New Roman"/>
          <w:bCs/>
          <w:sz w:val="28"/>
          <w:szCs w:val="28"/>
          <w:lang w:val="es-ES"/>
        </w:rPr>
      </w:pPr>
      <w:r w:rsidRPr="00AE1B2B">
        <w:rPr>
          <w:rFonts w:ascii="Times New Roman" w:hAnsi="Times New Roman"/>
          <w:bCs/>
          <w:spacing w:val="2"/>
          <w:sz w:val="28"/>
          <w:szCs w:val="28"/>
          <w:lang w:val="es-ES"/>
        </w:rPr>
        <w:t>- 0 -</w:t>
      </w:r>
    </w:p>
    <w:p w:rsidRPr="00AE1B2B" w:rsidR="009D3FB5" w:rsidP="00163B94" w:rsidRDefault="009D3FB5" w14:paraId="6938C3B2" w14:textId="64E71E36">
      <w:pPr>
        <w:spacing w:before="120" w:after="120" w:line="480" w:lineRule="auto"/>
        <w:ind w:firstLine="708"/>
        <w:jc w:val="both"/>
        <w:rPr>
          <w:rFonts w:ascii="Times New Roman" w:hAnsi="Times New Roman" w:cs="Times New Roman"/>
          <w:sz w:val="28"/>
          <w:szCs w:val="28"/>
        </w:rPr>
      </w:pPr>
      <w:r w:rsidRPr="00AE1B2B">
        <w:rPr>
          <w:rFonts w:ascii="Times New Roman" w:hAnsi="Times New Roman" w:cs="Times New Roman"/>
          <w:b/>
          <w:bCs/>
          <w:sz w:val="28"/>
          <w:szCs w:val="28"/>
        </w:rPr>
        <w:lastRenderedPageBreak/>
        <w:t>Se acordó</w:t>
      </w:r>
      <w:r w:rsidRPr="00AE1B2B">
        <w:rPr>
          <w:rFonts w:ascii="Times New Roman" w:hAnsi="Times New Roman" w:cs="Times New Roman"/>
          <w:sz w:val="28"/>
          <w:szCs w:val="28"/>
        </w:rPr>
        <w:t xml:space="preserve">: </w:t>
      </w:r>
      <w:r w:rsidRPr="00AE1B2B">
        <w:rPr>
          <w:rFonts w:ascii="Times New Roman" w:hAnsi="Times New Roman" w:cs="Times New Roman"/>
          <w:b/>
          <w:bCs/>
          <w:sz w:val="28"/>
          <w:szCs w:val="28"/>
        </w:rPr>
        <w:t>1)</w:t>
      </w:r>
      <w:r w:rsidRPr="00AE1B2B">
        <w:rPr>
          <w:rFonts w:ascii="Times New Roman" w:hAnsi="Times New Roman" w:cs="Times New Roman"/>
          <w:sz w:val="28"/>
          <w:szCs w:val="28"/>
        </w:rPr>
        <w:t xml:space="preserve"> Aprobar el informe </w:t>
      </w:r>
      <w:r w:rsidRPr="00AE1B2B">
        <w:rPr>
          <w:rFonts w:ascii="Times New Roman" w:hAnsi="Times New Roman" w:cs="Times New Roman"/>
          <w:b/>
          <w:bCs/>
          <w:sz w:val="28"/>
          <w:szCs w:val="28"/>
        </w:rPr>
        <w:t>428-PLA-RH-MI-2021</w:t>
      </w:r>
      <w:r w:rsidRPr="00AE1B2B">
        <w:rPr>
          <w:rFonts w:ascii="Times New Roman" w:hAnsi="Times New Roman" w:cs="Times New Roman"/>
          <w:sz w:val="28"/>
          <w:szCs w:val="28"/>
        </w:rPr>
        <w:t>, relacionado con el estudio de Requerimiento Humano sobre el Impacto organizacional y presupuestario en el Poder Judicial a partir de la promulgación del Nuevo Código Procesal Agrario para el 2022, Ley 9609 y sus recomendaciones</w:t>
      </w:r>
      <w:r w:rsidRPr="00AE1B2B" w:rsidR="00163B94">
        <w:rPr>
          <w:rFonts w:ascii="Times New Roman" w:hAnsi="Times New Roman" w:cs="Times New Roman"/>
          <w:sz w:val="28"/>
          <w:szCs w:val="28"/>
        </w:rPr>
        <w:t>.</w:t>
      </w:r>
      <w:r w:rsidRPr="00AE1B2B">
        <w:rPr>
          <w:rFonts w:ascii="Times New Roman" w:hAnsi="Times New Roman" w:cs="Times New Roman"/>
          <w:sz w:val="28"/>
          <w:szCs w:val="28"/>
        </w:rPr>
        <w:t xml:space="preserve"> </w:t>
      </w:r>
      <w:r w:rsidRPr="00AE1B2B">
        <w:rPr>
          <w:rFonts w:ascii="Times New Roman" w:hAnsi="Times New Roman" w:cs="Times New Roman"/>
          <w:b/>
          <w:bCs/>
          <w:sz w:val="28"/>
          <w:szCs w:val="28"/>
        </w:rPr>
        <w:t>2)</w:t>
      </w:r>
      <w:r w:rsidRPr="00AE1B2B">
        <w:rPr>
          <w:rFonts w:ascii="Times New Roman" w:hAnsi="Times New Roman" w:cs="Times New Roman"/>
          <w:sz w:val="28"/>
          <w:szCs w:val="28"/>
        </w:rPr>
        <w:t xml:space="preserve"> El contenido económico requerido se remitirá de forma independiente al presupuesto ordinario ya que responde a una necesidad producto de una ley especial.</w:t>
      </w:r>
      <w:r w:rsidRPr="00AE1B2B">
        <w:rPr>
          <w:rFonts w:ascii="Times New Roman" w:hAnsi="Times New Roman" w:cs="Times New Roman"/>
          <w:b/>
          <w:bCs/>
          <w:sz w:val="28"/>
          <w:szCs w:val="28"/>
        </w:rPr>
        <w:t xml:space="preserve"> </w:t>
      </w:r>
      <w:r w:rsidRPr="00AE1B2B" w:rsidR="00163B94">
        <w:rPr>
          <w:rFonts w:ascii="Times New Roman" w:hAnsi="Times New Roman" w:cs="Times New Roman"/>
          <w:b/>
          <w:bCs/>
          <w:sz w:val="28"/>
          <w:szCs w:val="28"/>
        </w:rPr>
        <w:t>Se declara acuerdo firme</w:t>
      </w:r>
      <w:r w:rsidRPr="00AE1B2B" w:rsidR="00163B94">
        <w:rPr>
          <w:rFonts w:ascii="Times New Roman" w:hAnsi="Times New Roman" w:cs="Times New Roman"/>
          <w:sz w:val="28"/>
          <w:szCs w:val="28"/>
        </w:rPr>
        <w:t>.</w:t>
      </w:r>
    </w:p>
    <w:p w:rsidRPr="00AE1B2B" w:rsidR="009D3FB5" w:rsidP="00163B94" w:rsidRDefault="009D3FB5" w14:paraId="49730FAC" w14:textId="77777777">
      <w:pPr>
        <w:keepNext/>
        <w:shd w:val="clear" w:color="auto" w:fill="FFFFFF"/>
        <w:autoSpaceDE w:val="0"/>
        <w:autoSpaceDN w:val="0"/>
        <w:spacing w:before="120" w:after="120" w:line="360" w:lineRule="auto"/>
        <w:jc w:val="center"/>
        <w:outlineLvl w:val="0"/>
        <w:rPr>
          <w:rFonts w:ascii="Times New Roman" w:hAnsi="Times New Roman" w:eastAsia="Times New Roman" w:cs="Times New Roman"/>
          <w:b/>
          <w:bCs/>
          <w:kern w:val="36"/>
          <w:sz w:val="28"/>
          <w:szCs w:val="28"/>
          <w:u w:val="single"/>
          <w:lang w:eastAsia="es-ES"/>
        </w:rPr>
      </w:pPr>
      <w:r w:rsidRPr="00AE1B2B">
        <w:rPr>
          <w:rFonts w:ascii="Times New Roman" w:hAnsi="Times New Roman" w:eastAsia="Times New Roman" w:cs="Times New Roman"/>
          <w:b/>
          <w:bCs/>
          <w:kern w:val="36"/>
          <w:sz w:val="32"/>
          <w:szCs w:val="32"/>
          <w:u w:val="single"/>
        </w:rPr>
        <w:t>ARTÍCULO XXIII</w:t>
      </w:r>
    </w:p>
    <w:p w:rsidRPr="00AE1B2B" w:rsidR="00580F94" w:rsidP="00163B94" w:rsidRDefault="00580F94" w14:paraId="480AD4E8" w14:textId="70AB9F5B">
      <w:pPr>
        <w:spacing w:before="120" w:after="120"/>
        <w:rPr>
          <w:rFonts w:ascii="Times New Roman" w:hAnsi="Times New Roman" w:cs="Times New Roman"/>
          <w:b/>
          <w:sz w:val="28"/>
          <w:szCs w:val="28"/>
        </w:rPr>
      </w:pPr>
      <w:r w:rsidRPr="00AE1B2B">
        <w:rPr>
          <w:rFonts w:ascii="Times New Roman" w:hAnsi="Times New Roman" w:eastAsia="Times New Roman" w:cs="Times New Roman"/>
          <w:b/>
          <w:bCs/>
          <w:kern w:val="36"/>
          <w:sz w:val="28"/>
          <w:szCs w:val="28"/>
          <w:lang w:eastAsia="es-ES"/>
        </w:rPr>
        <w:t>Documento</w:t>
      </w:r>
      <w:r w:rsidRPr="00AE1B2B" w:rsidR="00637380">
        <w:rPr>
          <w:rFonts w:ascii="Times New Roman" w:hAnsi="Times New Roman" w:cs="Times New Roman"/>
          <w:b/>
          <w:sz w:val="28"/>
          <w:szCs w:val="28"/>
        </w:rPr>
        <w:t xml:space="preserve"> </w:t>
      </w:r>
      <w:r w:rsidRPr="00AE1B2B" w:rsidR="00163B94">
        <w:rPr>
          <w:rFonts w:ascii="Times New Roman" w:hAnsi="Times New Roman" w:cs="Times New Roman"/>
          <w:b/>
          <w:sz w:val="28"/>
          <w:szCs w:val="28"/>
        </w:rPr>
        <w:t xml:space="preserve">N° </w:t>
      </w:r>
      <w:r w:rsidRPr="00AE1B2B" w:rsidR="00637380">
        <w:rPr>
          <w:rFonts w:ascii="Times New Roman" w:hAnsi="Times New Roman" w:cs="Times New Roman"/>
          <w:b/>
          <w:sz w:val="28"/>
          <w:szCs w:val="28"/>
        </w:rPr>
        <w:t>3973-2021</w:t>
      </w:r>
    </w:p>
    <w:p w:rsidRPr="00AE1B2B" w:rsidR="009D3FB5" w:rsidP="00163B94" w:rsidRDefault="009D3FB5" w14:paraId="5E2D27A1" w14:textId="09CE9FD9">
      <w:pPr>
        <w:spacing w:before="120" w:after="120" w:line="480" w:lineRule="auto"/>
        <w:ind w:firstLine="709"/>
        <w:jc w:val="both"/>
        <w:rPr>
          <w:rFonts w:ascii="Times New Roman" w:hAnsi="Times New Roman" w:cs="Times New Roman"/>
        </w:rPr>
      </w:pPr>
      <w:r w:rsidRPr="00AE1B2B">
        <w:rPr>
          <w:rFonts w:ascii="Times New Roman" w:hAnsi="Times New Roman" w:cs="Times New Roman"/>
          <w:sz w:val="28"/>
          <w:szCs w:val="28"/>
        </w:rPr>
        <w:t>En reunión de trabajo de este 16 de abril, la licenciada Nacira Valverde Bermúdez,</w:t>
      </w:r>
      <w:r w:rsidRPr="00AE1B2B">
        <w:rPr>
          <w:rFonts w:ascii="Times New Roman" w:hAnsi="Times New Roman" w:cs="Times New Roman"/>
          <w:sz w:val="28"/>
          <w:szCs w:val="28"/>
          <w:shd w:val="clear" w:color="auto" w:fill="FFFFFF"/>
        </w:rPr>
        <w:t xml:space="preserve"> </w:t>
      </w:r>
      <w:r w:rsidRPr="00AE1B2B">
        <w:rPr>
          <w:rFonts w:ascii="Times New Roman" w:hAnsi="Times New Roman" w:cs="Times New Roman"/>
          <w:sz w:val="28"/>
          <w:szCs w:val="28"/>
        </w:rPr>
        <w:t xml:space="preserve">Directora de Planificación presentó el </w:t>
      </w:r>
      <w:r w:rsidRPr="00AE1B2B">
        <w:rPr>
          <w:rFonts w:ascii="Times New Roman" w:hAnsi="Times New Roman" w:cs="Times New Roman"/>
          <w:b/>
          <w:bCs/>
          <w:sz w:val="28"/>
          <w:szCs w:val="28"/>
        </w:rPr>
        <w:t>Informe 429-PLA-RH-MI-2021</w:t>
      </w:r>
      <w:r w:rsidRPr="00AE1B2B">
        <w:rPr>
          <w:rFonts w:ascii="Times New Roman" w:hAnsi="Times New Roman" w:cs="Times New Roman"/>
          <w:sz w:val="28"/>
          <w:szCs w:val="28"/>
        </w:rPr>
        <w:t>, estudio de Requerimiento Humano sobre el Informe de presupuesto del Impacto de Ley 9582 Justicia Restaurativa y el ejercicio de proyección presupuestaria para el año 2022 en el Programa Justicia Restaurativa.</w:t>
      </w:r>
    </w:p>
    <w:p w:rsidRPr="00AE1B2B" w:rsidR="009D3FB5" w:rsidP="00163B94" w:rsidRDefault="009D3FB5" w14:paraId="055625C8" w14:textId="77777777">
      <w:pPr>
        <w:spacing w:before="120" w:after="120"/>
        <w:rPr>
          <w:rFonts w:ascii="Times New Roman" w:hAnsi="Times New Roman" w:cs="Times New Roman"/>
        </w:rPr>
      </w:pPr>
    </w:p>
    <w:p w:rsidRPr="00AE1B2B" w:rsidR="009D3FB5" w:rsidP="00163B94" w:rsidRDefault="009D3FB5" w14:paraId="37AA0230" w14:textId="25AC472B">
      <w:pPr>
        <w:spacing w:before="120" w:after="120"/>
        <w:ind w:left="851" w:right="851" w:firstLine="709"/>
        <w:jc w:val="both"/>
        <w:rPr>
          <w:rFonts w:ascii="Times New Roman" w:hAnsi="Times New Roman" w:eastAsia="Times New Roman" w:cs="Times New Roman"/>
          <w:b/>
          <w:bCs/>
          <w:kern w:val="32"/>
          <w:sz w:val="26"/>
          <w:szCs w:val="26"/>
          <w:lang w:val="x-none"/>
        </w:rPr>
      </w:pPr>
      <w:r w:rsidRPr="00AE1B2B">
        <w:rPr>
          <w:rFonts w:ascii="Times New Roman" w:hAnsi="Times New Roman" w:eastAsia="Times New Roman" w:cs="Times New Roman"/>
          <w:b/>
          <w:bCs/>
          <w:kern w:val="32"/>
          <w:sz w:val="26"/>
          <w:szCs w:val="26"/>
          <w:lang w:val="x-none"/>
        </w:rPr>
        <w:t>Oficios y referencias</w:t>
      </w:r>
    </w:p>
    <w:p w:rsidRPr="00AE1B2B" w:rsidR="009D3FB5" w:rsidP="00163B94" w:rsidRDefault="009D3FB5" w14:paraId="1022BE9C"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el siguiente cuadro se detallan los números de oficios de la Secretaría General de la Corte que corresponden a las referencias internas de la Dirección de Planificación: </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799"/>
        <w:gridCol w:w="1699"/>
        <w:gridCol w:w="5330"/>
      </w:tblGrid>
      <w:tr w:rsidRPr="00AE1B2B" w:rsidR="00AE1B2B" w:rsidTr="009D3FB5" w14:paraId="708C0ED2" w14:textId="77777777">
        <w:trPr>
          <w:trHeight w:val="637"/>
          <w:jc w:val="center"/>
        </w:trPr>
        <w:tc>
          <w:tcPr>
            <w:tcW w:w="1019" w:type="pct"/>
            <w:shd w:val="clear" w:color="auto" w:fill="1F4E79" w:themeFill="accent1" w:themeFillShade="80"/>
            <w:vAlign w:val="center"/>
          </w:tcPr>
          <w:p w:rsidRPr="00AE1B2B" w:rsidR="009D3FB5" w:rsidP="00163B94" w:rsidRDefault="009D3FB5" w14:paraId="1FF731FA" w14:textId="77777777">
            <w:pPr>
              <w:spacing w:before="120" w:after="120"/>
              <w:jc w:val="center"/>
              <w:rPr>
                <w:rFonts w:ascii="Times New Roman" w:hAnsi="Times New Roman" w:eastAsia="Times New Roman" w:cs="Times New Roman"/>
                <w:b/>
                <w:sz w:val="24"/>
                <w:lang w:eastAsia="es-CR"/>
              </w:rPr>
            </w:pPr>
            <w:r w:rsidRPr="00AE1B2B">
              <w:rPr>
                <w:rFonts w:ascii="Times New Roman" w:hAnsi="Times New Roman" w:eastAsia="Times New Roman" w:cs="Times New Roman"/>
                <w:b/>
                <w:sz w:val="24"/>
                <w:lang w:eastAsia="es-CR"/>
              </w:rPr>
              <w:t>No. Referencia Interna</w:t>
            </w:r>
          </w:p>
        </w:tc>
        <w:tc>
          <w:tcPr>
            <w:tcW w:w="962" w:type="pct"/>
            <w:shd w:val="clear" w:color="auto" w:fill="1F4E79" w:themeFill="accent1" w:themeFillShade="80"/>
            <w:vAlign w:val="center"/>
          </w:tcPr>
          <w:p w:rsidRPr="00AE1B2B" w:rsidR="009D3FB5" w:rsidP="00163B94" w:rsidRDefault="009D3FB5" w14:paraId="69450C59" w14:textId="77777777">
            <w:pPr>
              <w:spacing w:before="120" w:after="120"/>
              <w:jc w:val="center"/>
              <w:rPr>
                <w:rFonts w:ascii="Times New Roman" w:hAnsi="Times New Roman" w:eastAsia="Times New Roman" w:cs="Times New Roman"/>
                <w:b/>
                <w:sz w:val="24"/>
                <w:lang w:eastAsia="es-CR"/>
              </w:rPr>
            </w:pPr>
            <w:r w:rsidRPr="00AE1B2B">
              <w:rPr>
                <w:rFonts w:ascii="Times New Roman" w:hAnsi="Times New Roman" w:eastAsia="Times New Roman" w:cs="Times New Roman"/>
                <w:b/>
                <w:sz w:val="24"/>
                <w:lang w:eastAsia="es-CR"/>
              </w:rPr>
              <w:t>No. Oficio de la Secretaría</w:t>
            </w:r>
          </w:p>
        </w:tc>
        <w:tc>
          <w:tcPr>
            <w:tcW w:w="3019" w:type="pct"/>
            <w:shd w:val="clear" w:color="auto" w:fill="1F4E79" w:themeFill="accent1" w:themeFillShade="80"/>
            <w:vAlign w:val="center"/>
          </w:tcPr>
          <w:p w:rsidRPr="00AE1B2B" w:rsidR="009D3FB5" w:rsidP="00163B94" w:rsidRDefault="009D3FB5" w14:paraId="18F7ABF1" w14:textId="77777777">
            <w:pPr>
              <w:spacing w:before="120" w:after="120"/>
              <w:jc w:val="center"/>
              <w:rPr>
                <w:rFonts w:ascii="Times New Roman" w:hAnsi="Times New Roman" w:eastAsia="Times New Roman" w:cs="Times New Roman"/>
                <w:b/>
                <w:sz w:val="24"/>
                <w:lang w:eastAsia="es-CR"/>
              </w:rPr>
            </w:pPr>
            <w:r w:rsidRPr="00AE1B2B">
              <w:rPr>
                <w:rFonts w:ascii="Times New Roman" w:hAnsi="Times New Roman" w:eastAsia="Times New Roman" w:cs="Times New Roman"/>
                <w:b/>
                <w:sz w:val="24"/>
                <w:lang w:eastAsia="es-CR"/>
              </w:rPr>
              <w:t>Descripción</w:t>
            </w:r>
          </w:p>
        </w:tc>
      </w:tr>
      <w:tr w:rsidRPr="00AE1B2B" w:rsidR="00AE1B2B" w:rsidTr="009D3FB5" w14:paraId="0F0643F7" w14:textId="77777777">
        <w:trPr>
          <w:trHeight w:val="420"/>
          <w:jc w:val="center"/>
        </w:trPr>
        <w:tc>
          <w:tcPr>
            <w:tcW w:w="1019" w:type="pct"/>
            <w:shd w:val="clear" w:color="auto" w:fill="auto"/>
            <w:vAlign w:val="center"/>
          </w:tcPr>
          <w:p w:rsidRPr="00AE1B2B" w:rsidR="009D3FB5" w:rsidP="00163B94" w:rsidRDefault="009D3FB5" w14:paraId="48217910" w14:textId="77777777">
            <w:pPr>
              <w:spacing w:before="120" w:after="120"/>
              <w:jc w:val="center"/>
              <w:rPr>
                <w:rFonts w:ascii="Times New Roman" w:hAnsi="Times New Roman" w:eastAsia="Calibri" w:cs="Times New Roman"/>
                <w:sz w:val="24"/>
              </w:rPr>
            </w:pPr>
            <w:r w:rsidRPr="00AE1B2B">
              <w:rPr>
                <w:rFonts w:ascii="Times New Roman" w:hAnsi="Times New Roman" w:eastAsia="Calibri" w:cs="Times New Roman"/>
                <w:sz w:val="24"/>
              </w:rPr>
              <w:t>290-2021</w:t>
            </w:r>
          </w:p>
        </w:tc>
        <w:tc>
          <w:tcPr>
            <w:tcW w:w="962" w:type="pct"/>
            <w:shd w:val="clear" w:color="auto" w:fill="auto"/>
            <w:vAlign w:val="center"/>
          </w:tcPr>
          <w:p w:rsidRPr="00AE1B2B" w:rsidR="009D3FB5" w:rsidP="00163B94" w:rsidRDefault="009D3FB5" w14:paraId="472E2E82" w14:textId="77777777">
            <w:pPr>
              <w:spacing w:before="120" w:after="120"/>
              <w:jc w:val="center"/>
              <w:rPr>
                <w:rFonts w:ascii="Times New Roman" w:hAnsi="Times New Roman" w:eastAsia="Calibri" w:cs="Times New Roman"/>
                <w:sz w:val="24"/>
              </w:rPr>
            </w:pPr>
            <w:r w:rsidRPr="00AE1B2B">
              <w:rPr>
                <w:rFonts w:ascii="Times New Roman" w:hAnsi="Times New Roman" w:eastAsia="Calibri" w:cs="Times New Roman"/>
                <w:sz w:val="24"/>
              </w:rPr>
              <w:t>---</w:t>
            </w:r>
          </w:p>
        </w:tc>
        <w:tc>
          <w:tcPr>
            <w:tcW w:w="3019" w:type="pct"/>
          </w:tcPr>
          <w:p w:rsidRPr="00AE1B2B" w:rsidR="009D3FB5" w:rsidP="00163B94" w:rsidRDefault="009D3FB5" w14:paraId="51BB06F2" w14:textId="77777777">
            <w:pPr>
              <w:spacing w:before="120" w:after="120"/>
              <w:jc w:val="center"/>
              <w:rPr>
                <w:rFonts w:ascii="Times New Roman" w:hAnsi="Times New Roman" w:eastAsia="Calibri" w:cs="Times New Roman"/>
                <w:sz w:val="24"/>
              </w:rPr>
            </w:pPr>
            <w:r w:rsidRPr="00AE1B2B">
              <w:rPr>
                <w:rFonts w:ascii="Times New Roman" w:hAnsi="Times New Roman" w:eastAsia="Calibri" w:cs="Times New Roman"/>
                <w:sz w:val="24"/>
              </w:rPr>
              <w:t>(Informe de presupuesto Impacto de Ley 9582 Justicia Restaurativa / Presupuesto 2022</w:t>
            </w:r>
          </w:p>
        </w:tc>
      </w:tr>
      <w:tr w:rsidRPr="00AE1B2B" w:rsidR="009D3FB5" w:rsidTr="009D3FB5" w14:paraId="2C3E2FC3" w14:textId="77777777">
        <w:trPr>
          <w:trHeight w:val="420"/>
          <w:jc w:val="center"/>
        </w:trPr>
        <w:tc>
          <w:tcPr>
            <w:tcW w:w="1019" w:type="pct"/>
            <w:shd w:val="clear" w:color="auto" w:fill="auto"/>
            <w:vAlign w:val="center"/>
          </w:tcPr>
          <w:p w:rsidRPr="00AE1B2B" w:rsidR="009D3FB5" w:rsidP="00163B94" w:rsidRDefault="009D3FB5" w14:paraId="7E6A0A3B" w14:textId="77777777">
            <w:pPr>
              <w:spacing w:before="120" w:after="120"/>
              <w:jc w:val="center"/>
              <w:rPr>
                <w:rFonts w:ascii="Times New Roman" w:hAnsi="Times New Roman" w:eastAsia="Calibri" w:cs="Times New Roman"/>
                <w:sz w:val="24"/>
              </w:rPr>
            </w:pPr>
            <w:r w:rsidRPr="00AE1B2B">
              <w:rPr>
                <w:rFonts w:ascii="Times New Roman" w:hAnsi="Times New Roman" w:eastAsia="Calibri" w:cs="Times New Roman"/>
                <w:sz w:val="24"/>
              </w:rPr>
              <w:lastRenderedPageBreak/>
              <w:t>420-2021</w:t>
            </w:r>
          </w:p>
        </w:tc>
        <w:tc>
          <w:tcPr>
            <w:tcW w:w="962" w:type="pct"/>
            <w:shd w:val="clear" w:color="auto" w:fill="auto"/>
            <w:vAlign w:val="center"/>
          </w:tcPr>
          <w:p w:rsidRPr="00AE1B2B" w:rsidR="009D3FB5" w:rsidP="00163B94" w:rsidRDefault="009D3FB5" w14:paraId="45177FC8" w14:textId="77777777">
            <w:pPr>
              <w:spacing w:before="120" w:after="120"/>
              <w:jc w:val="center"/>
              <w:rPr>
                <w:rFonts w:ascii="Times New Roman" w:hAnsi="Times New Roman" w:eastAsia="Calibri" w:cs="Times New Roman"/>
                <w:sz w:val="24"/>
              </w:rPr>
            </w:pPr>
            <w:r w:rsidRPr="00AE1B2B">
              <w:rPr>
                <w:rFonts w:ascii="Times New Roman" w:hAnsi="Times New Roman" w:eastAsia="Calibri" w:cs="Times New Roman"/>
                <w:sz w:val="24"/>
              </w:rPr>
              <w:t>---</w:t>
            </w:r>
          </w:p>
        </w:tc>
        <w:tc>
          <w:tcPr>
            <w:tcW w:w="3019" w:type="pct"/>
          </w:tcPr>
          <w:p w:rsidRPr="00AE1B2B" w:rsidR="009D3FB5" w:rsidP="00163B94" w:rsidRDefault="009D3FB5" w14:paraId="318DE95C" w14:textId="77777777">
            <w:pPr>
              <w:spacing w:before="120" w:after="120"/>
              <w:jc w:val="center"/>
              <w:rPr>
                <w:rFonts w:ascii="Times New Roman" w:hAnsi="Times New Roman" w:eastAsia="Calibri" w:cs="Times New Roman"/>
                <w:szCs w:val="20"/>
              </w:rPr>
            </w:pPr>
            <w:r w:rsidRPr="00AE1B2B">
              <w:rPr>
                <w:rFonts w:ascii="Times New Roman" w:hAnsi="Times New Roman" w:eastAsia="Calibri" w:cs="Times New Roman"/>
                <w:szCs w:val="20"/>
              </w:rPr>
              <w:t>Relacionado con ejercicio de proyección presupuestaria para el año 2022 en el Programa Justicia Restaurativa</w:t>
            </w:r>
          </w:p>
        </w:tc>
      </w:tr>
    </w:tbl>
    <w:p w:rsidRPr="00AE1B2B" w:rsidR="009D3FB5" w:rsidP="00163B94" w:rsidRDefault="009D3FB5" w14:paraId="68BB0E4D" w14:textId="77777777">
      <w:pPr>
        <w:spacing w:before="120" w:after="120" w:line="360" w:lineRule="auto"/>
        <w:jc w:val="both"/>
        <w:rPr>
          <w:rFonts w:ascii="Times New Roman" w:hAnsi="Times New Roman" w:eastAsia="Arial" w:cs="Times New Roman"/>
          <w:sz w:val="24"/>
        </w:rPr>
      </w:pPr>
    </w:p>
    <w:p w:rsidRPr="00AE1B2B" w:rsidR="009D3FB5" w:rsidP="00163B94" w:rsidRDefault="009D3FB5" w14:paraId="6B207E3B" w14:textId="77777777">
      <w:pPr>
        <w:spacing w:before="120" w:after="120" w:line="360" w:lineRule="auto"/>
        <w:jc w:val="both"/>
        <w:rPr>
          <w:rFonts w:ascii="Times New Roman" w:hAnsi="Times New Roman" w:eastAsia="Arial" w:cs="Times New Roman"/>
          <w:sz w:val="24"/>
        </w:rPr>
      </w:pPr>
    </w:p>
    <w:tbl>
      <w:tblPr>
        <w:tblW w:w="10581" w:type="dxa"/>
        <w:jc w:val="center"/>
        <w:tblLayout w:type="fixed"/>
        <w:tblCellMar>
          <w:left w:w="70" w:type="dxa"/>
          <w:right w:w="70" w:type="dxa"/>
        </w:tblCellMar>
        <w:tblLook w:val="0000" w:firstRow="0" w:lastRow="0" w:firstColumn="0" w:lastColumn="0" w:noHBand="0" w:noVBand="0"/>
      </w:tblPr>
      <w:tblGrid>
        <w:gridCol w:w="2016"/>
        <w:gridCol w:w="8565"/>
      </w:tblGrid>
      <w:tr w:rsidRPr="00AE1B2B" w:rsidR="009D3FB5" w:rsidTr="009D3FB5" w14:paraId="3603787F" w14:textId="77777777">
        <w:trPr>
          <w:trHeight w:val="376"/>
          <w:jc w:val="center"/>
        </w:trPr>
        <w:tc>
          <w:tcPr>
            <w:tcW w:w="2016" w:type="dxa"/>
            <w:tcBorders>
              <w:top w:val="single" w:color="000000" w:themeColor="text1" w:sz="4" w:space="0"/>
              <w:left w:val="single" w:color="000000" w:themeColor="text1" w:sz="4" w:space="0"/>
              <w:bottom w:val="single" w:color="000000" w:themeColor="text1" w:sz="4" w:space="0"/>
            </w:tcBorders>
            <w:shd w:val="clear" w:color="auto" w:fill="1F4E79" w:themeFill="accent1" w:themeFillShade="80"/>
          </w:tcPr>
          <w:p w:rsidRPr="00AE1B2B" w:rsidR="009D3FB5" w:rsidP="00163B94" w:rsidRDefault="009D3FB5" w14:paraId="58978A9A" w14:textId="77777777">
            <w:pPr>
              <w:spacing w:before="120" w:after="120" w:line="360" w:lineRule="auto"/>
              <w:ind w:right="74"/>
              <w:jc w:val="center"/>
              <w:rPr>
                <w:rFonts w:ascii="Times New Roman" w:hAnsi="Times New Roman" w:eastAsia="Calibri" w:cs="Times New Roman"/>
                <w:b/>
                <w:sz w:val="24"/>
                <w:szCs w:val="24"/>
              </w:rPr>
            </w:pPr>
            <w:r w:rsidRPr="00AE1B2B">
              <w:rPr>
                <w:rFonts w:ascii="Times New Roman" w:hAnsi="Times New Roman" w:eastAsia="Calibri" w:cs="Times New Roman"/>
                <w:b/>
                <w:sz w:val="24"/>
                <w:szCs w:val="24"/>
              </w:rPr>
              <w:t>Para:</w:t>
            </w:r>
          </w:p>
        </w:tc>
        <w:tc>
          <w:tcPr>
            <w:tcW w:w="856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AE1B2B" w:rsidR="009D3FB5" w:rsidP="00163B94" w:rsidRDefault="009D3FB5" w14:paraId="48AD28CF" w14:textId="77777777">
            <w:pPr>
              <w:spacing w:before="120" w:after="120" w:line="360" w:lineRule="auto"/>
              <w:ind w:right="74"/>
              <w:jc w:val="both"/>
              <w:rPr>
                <w:rFonts w:ascii="Times New Roman" w:hAnsi="Times New Roman" w:eastAsia="Calibri" w:cs="Times New Roman"/>
                <w:bCs/>
                <w:sz w:val="24"/>
                <w:szCs w:val="24"/>
              </w:rPr>
            </w:pPr>
            <w:r w:rsidRPr="00AE1B2B">
              <w:rPr>
                <w:rFonts w:ascii="Times New Roman" w:hAnsi="Times New Roman" w:eastAsia="Calibri" w:cs="Times New Roman"/>
                <w:bCs/>
                <w:sz w:val="24"/>
                <w:szCs w:val="24"/>
              </w:rPr>
              <w:t>Magistrado Gerardo Rubén Alfaro Vargas, Oficina de Justicia Restaurativa</w:t>
            </w:r>
          </w:p>
        </w:tc>
      </w:tr>
      <w:tr w:rsidRPr="00AE1B2B" w:rsidR="009D3FB5" w:rsidTr="009D3FB5" w14:paraId="560C9676" w14:textId="77777777">
        <w:trPr>
          <w:trHeight w:val="313"/>
          <w:jc w:val="center"/>
        </w:trPr>
        <w:tc>
          <w:tcPr>
            <w:tcW w:w="2016" w:type="dxa"/>
            <w:tcBorders>
              <w:top w:val="single" w:color="000000" w:themeColor="text1" w:sz="4" w:space="0"/>
              <w:left w:val="single" w:color="000000" w:themeColor="text1" w:sz="4" w:space="0"/>
              <w:bottom w:val="single" w:color="000000" w:themeColor="text1" w:sz="4" w:space="0"/>
            </w:tcBorders>
            <w:shd w:val="clear" w:color="auto" w:fill="1F4E79" w:themeFill="accent1" w:themeFillShade="80"/>
            <w:vAlign w:val="center"/>
          </w:tcPr>
          <w:p w:rsidRPr="00AE1B2B" w:rsidR="009D3FB5" w:rsidP="00163B94" w:rsidRDefault="009D3FB5" w14:paraId="3E327E2C" w14:textId="77777777">
            <w:pPr>
              <w:spacing w:before="120" w:after="120" w:line="360" w:lineRule="auto"/>
              <w:ind w:right="74"/>
              <w:jc w:val="center"/>
              <w:rPr>
                <w:rFonts w:ascii="Times New Roman" w:hAnsi="Times New Roman" w:eastAsia="Calibri" w:cs="Times New Roman"/>
                <w:b/>
                <w:sz w:val="24"/>
                <w:szCs w:val="24"/>
              </w:rPr>
            </w:pPr>
            <w:r w:rsidRPr="00AE1B2B">
              <w:rPr>
                <w:rFonts w:ascii="Times New Roman" w:hAnsi="Times New Roman" w:eastAsia="Calibri" w:cs="Times New Roman"/>
                <w:b/>
                <w:sz w:val="24"/>
                <w:szCs w:val="24"/>
              </w:rPr>
              <w:t>Copias:</w:t>
            </w:r>
          </w:p>
        </w:tc>
        <w:tc>
          <w:tcPr>
            <w:tcW w:w="856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AE1B2B" w:rsidR="009D3FB5" w:rsidP="00163B94" w:rsidRDefault="009D3FB5" w14:paraId="321F3640" w14:textId="77777777">
            <w:pPr>
              <w:spacing w:before="120" w:after="120" w:line="360" w:lineRule="auto"/>
              <w:ind w:right="74"/>
              <w:jc w:val="both"/>
              <w:rPr>
                <w:rFonts w:ascii="Times New Roman" w:hAnsi="Times New Roman" w:eastAsia="Calibri" w:cs="Times New Roman"/>
                <w:bCs/>
                <w:sz w:val="24"/>
                <w:szCs w:val="24"/>
              </w:rPr>
            </w:pPr>
            <w:r w:rsidRPr="00AE1B2B">
              <w:rPr>
                <w:rFonts w:ascii="Times New Roman" w:hAnsi="Times New Roman" w:eastAsia="Calibri" w:cs="Times New Roman"/>
                <w:bCs/>
                <w:sz w:val="24"/>
                <w:szCs w:val="24"/>
              </w:rPr>
              <w:t>Defensa Pública</w:t>
            </w:r>
          </w:p>
          <w:p w:rsidRPr="00AE1B2B" w:rsidR="009D3FB5" w:rsidP="00163B94" w:rsidRDefault="009D3FB5" w14:paraId="72710E0A" w14:textId="77777777">
            <w:pPr>
              <w:spacing w:before="120" w:after="120" w:line="360" w:lineRule="auto"/>
              <w:ind w:right="74"/>
              <w:jc w:val="both"/>
              <w:rPr>
                <w:rFonts w:ascii="Times New Roman" w:hAnsi="Times New Roman" w:eastAsia="Calibri" w:cs="Times New Roman"/>
                <w:bCs/>
                <w:sz w:val="24"/>
                <w:szCs w:val="24"/>
              </w:rPr>
            </w:pPr>
            <w:r w:rsidRPr="00AE1B2B">
              <w:rPr>
                <w:rFonts w:ascii="Times New Roman" w:hAnsi="Times New Roman" w:eastAsia="Calibri" w:cs="Times New Roman"/>
                <w:bCs/>
                <w:sz w:val="24"/>
                <w:szCs w:val="24"/>
              </w:rPr>
              <w:t>Fiscalía General de la República</w:t>
            </w:r>
          </w:p>
          <w:p w:rsidRPr="00AE1B2B" w:rsidR="009D3FB5" w:rsidP="00163B94" w:rsidRDefault="009D3FB5" w14:paraId="763478D6" w14:textId="77777777">
            <w:pPr>
              <w:spacing w:before="120" w:after="120" w:line="360" w:lineRule="auto"/>
              <w:ind w:right="74"/>
              <w:jc w:val="both"/>
              <w:rPr>
                <w:rFonts w:ascii="Times New Roman" w:hAnsi="Times New Roman" w:eastAsia="Calibri" w:cs="Times New Roman"/>
                <w:bCs/>
                <w:sz w:val="24"/>
                <w:szCs w:val="24"/>
              </w:rPr>
            </w:pPr>
            <w:r w:rsidRPr="00AE1B2B">
              <w:rPr>
                <w:rFonts w:ascii="Times New Roman" w:hAnsi="Times New Roman" w:eastAsia="Calibri" w:cs="Times New Roman"/>
                <w:bCs/>
                <w:sz w:val="24"/>
                <w:szCs w:val="24"/>
              </w:rPr>
              <w:t>Departamento de Trabajo Social y Psicología</w:t>
            </w:r>
          </w:p>
        </w:tc>
      </w:tr>
    </w:tbl>
    <w:p w:rsidRPr="00AE1B2B" w:rsidR="009D3FB5" w:rsidP="00163B94" w:rsidRDefault="009D3FB5" w14:paraId="3BF51C49" w14:textId="77777777">
      <w:pPr>
        <w:spacing w:before="120" w:after="120" w:line="360" w:lineRule="auto"/>
        <w:jc w:val="both"/>
        <w:rPr>
          <w:rFonts w:ascii="Times New Roman" w:hAnsi="Times New Roman" w:eastAsia="Arial" w:cs="Times New Roman"/>
          <w:sz w:val="24"/>
        </w:rPr>
      </w:pPr>
    </w:p>
    <w:p w:rsidRPr="00AE1B2B" w:rsidR="009D3FB5" w:rsidP="00163B94" w:rsidRDefault="009D3FB5" w14:paraId="454AFA2E" w14:textId="77777777">
      <w:pPr>
        <w:spacing w:before="120" w:after="120"/>
        <w:ind w:left="851" w:right="851" w:firstLine="709"/>
        <w:jc w:val="both"/>
        <w:rPr>
          <w:rFonts w:ascii="Times New Roman" w:hAnsi="Times New Roman" w:eastAsia="Times New Roman" w:cs="Times New Roman"/>
          <w:b/>
          <w:bCs/>
          <w:kern w:val="32"/>
          <w:sz w:val="26"/>
          <w:szCs w:val="26"/>
          <w:lang w:val="x-none"/>
        </w:rPr>
      </w:pPr>
      <w:r w:rsidRPr="00AE1B2B">
        <w:rPr>
          <w:rFonts w:ascii="Times New Roman" w:hAnsi="Times New Roman" w:eastAsia="Times New Roman" w:cs="Times New Roman"/>
          <w:b/>
          <w:bCs/>
          <w:kern w:val="32"/>
          <w:sz w:val="26"/>
          <w:szCs w:val="26"/>
          <w:lang w:val="x-none"/>
        </w:rPr>
        <w:t>Proyecto u oficinas analizadas</w:t>
      </w:r>
    </w:p>
    <w:p w:rsidRPr="00AE1B2B" w:rsidR="009D3FB5" w:rsidP="00163B94" w:rsidRDefault="009D3FB5" w14:paraId="686C927F" w14:textId="77777777">
      <w:pPr>
        <w:spacing w:before="120" w:after="120"/>
        <w:ind w:left="851" w:right="851" w:firstLine="709"/>
        <w:jc w:val="both"/>
        <w:rPr>
          <w:rFonts w:ascii="Times New Roman" w:hAnsi="Times New Roman" w:eastAsia="Calibri" w:cs="Times New Roman"/>
          <w:sz w:val="26"/>
          <w:szCs w:val="26"/>
          <w:highlight w:val="red"/>
        </w:rPr>
      </w:pPr>
      <w:r w:rsidRPr="00AE1B2B">
        <w:rPr>
          <w:rFonts w:ascii="Times New Roman" w:hAnsi="Times New Roman" w:eastAsia="Calibri" w:cs="Times New Roman"/>
          <w:sz w:val="26"/>
          <w:szCs w:val="26"/>
        </w:rPr>
        <w:t>Impacto organizacional y presupuestario en el Poder Judicial a partir de la promulgación de la Ley 9582 Justicia Restaurativa.</w:t>
      </w:r>
    </w:p>
    <w:p w:rsidRPr="00AE1B2B" w:rsidR="009D3FB5" w:rsidP="00163B94" w:rsidRDefault="009D3FB5" w14:paraId="283CFF89" w14:textId="15BC990E">
      <w:pPr>
        <w:spacing w:before="120" w:after="120"/>
        <w:ind w:left="851" w:right="851" w:firstLine="709"/>
        <w:jc w:val="both"/>
        <w:rPr>
          <w:rFonts w:ascii="Times New Roman" w:hAnsi="Times New Roman" w:eastAsia="Times New Roman" w:cs="Times New Roman"/>
          <w:b/>
          <w:bCs/>
          <w:kern w:val="32"/>
          <w:sz w:val="26"/>
          <w:szCs w:val="26"/>
          <w:lang w:val="x-none"/>
        </w:rPr>
      </w:pPr>
      <w:r w:rsidRPr="00AE1B2B">
        <w:rPr>
          <w:rFonts w:ascii="Times New Roman" w:hAnsi="Times New Roman" w:eastAsia="Times New Roman" w:cs="Times New Roman"/>
          <w:b/>
          <w:bCs/>
          <w:kern w:val="32"/>
          <w:sz w:val="26"/>
          <w:szCs w:val="26"/>
          <w:lang w:val="x-none"/>
        </w:rPr>
        <w:t>Antecedentes</w:t>
      </w:r>
    </w:p>
    <w:p w:rsidRPr="00AE1B2B" w:rsidR="009D3FB5" w:rsidP="00163B94" w:rsidRDefault="009D3FB5" w14:paraId="4723E5BD" w14:textId="77777777">
      <w:pPr>
        <w:numPr>
          <w:ilvl w:val="1"/>
          <w:numId w:val="130"/>
        </w:num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 xml:space="preserve">El 20 de enero de 2019 entró en vigencia la Ley de Justicia Restaurativa 9582, que conforme al artículo 1 establece su objetivo bajo el siguiente enunciado: </w:t>
      </w:r>
    </w:p>
    <w:p w:rsidRPr="00AE1B2B" w:rsidR="009D3FB5" w:rsidP="00163B94" w:rsidRDefault="009D3FB5" w14:paraId="47315BA0"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4B94EC68"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i/>
          <w:iCs/>
          <w:sz w:val="26"/>
          <w:szCs w:val="26"/>
        </w:rPr>
        <w:t>“… definir un marco conceptual y procedimental para instaurar la justicia restaurativa en el ordenamiento jurídico costarricense, como un instrumento que contribuya a resolver los conflictos jurídicos generados por los hechos delictivos, con la participación activa de las partes intervinientes, a fin de restaurar los daños a la víctima, procurar la inserción social de la persona ofensora, con soluciones integrales y promover la paz social.”.</w:t>
      </w:r>
    </w:p>
    <w:p w:rsidRPr="00AE1B2B" w:rsidR="009D3FB5" w:rsidP="00163B94" w:rsidRDefault="009D3FB5" w14:paraId="2B3E1F1C" w14:textId="77777777">
      <w:pPr>
        <w:numPr>
          <w:ilvl w:val="1"/>
          <w:numId w:val="130"/>
        </w:numPr>
        <w:spacing w:before="120" w:after="120"/>
        <w:ind w:left="851" w:right="851" w:firstLine="709"/>
        <w:jc w:val="both"/>
        <w:rPr>
          <w:rFonts w:ascii="Times New Roman" w:hAnsi="Times New Roman" w:eastAsia="Book Antiqua" w:cs="Times New Roman"/>
          <w:sz w:val="26"/>
          <w:szCs w:val="26"/>
          <w:lang w:val="es-ES" w:eastAsia="es-ES"/>
        </w:rPr>
      </w:pPr>
      <w:r w:rsidRPr="00AE1B2B">
        <w:rPr>
          <w:rFonts w:ascii="Times New Roman" w:hAnsi="Times New Roman" w:eastAsia="Book Antiqua" w:cs="Times New Roman"/>
          <w:sz w:val="26"/>
          <w:szCs w:val="26"/>
          <w:lang w:val="es-ES" w:eastAsia="es-ES"/>
        </w:rPr>
        <w:t xml:space="preserve">Su ámbito de aplicación se extiende a la materia Penal, Penal Juvenil y Contravencional, en todas sus etapas, en atención al artículo 2, por medio de un equipo interdisciplinario integrado por funcionarias y funcionarios del Ministerio Público, Defensa Pública y el Equipo Psicosocial, este último conformado al menos por una plaza en trabajo social y otra en psicología. Las personas juzgadoras se integrarán en cada Circuito Judicial según su competencia (incisos i) y j) del artículo 3 de la Ley de Justicia Restaurativa. </w:t>
      </w:r>
    </w:p>
    <w:p w:rsidRPr="00AE1B2B" w:rsidR="009D3FB5" w:rsidP="00163B94" w:rsidRDefault="009D3FB5" w14:paraId="093C3A09"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668B1BF9" w14:textId="77777777">
      <w:pPr>
        <w:numPr>
          <w:ilvl w:val="1"/>
          <w:numId w:val="130"/>
        </w:numPr>
        <w:spacing w:before="120" w:after="120"/>
        <w:ind w:left="851" w:right="851" w:firstLine="709"/>
        <w:jc w:val="both"/>
        <w:rPr>
          <w:rFonts w:ascii="Times New Roman" w:hAnsi="Times New Roman" w:eastAsia="Book Antiqua" w:cs="Times New Roman"/>
          <w:sz w:val="26"/>
          <w:szCs w:val="26"/>
          <w:lang w:val="es-ES" w:eastAsia="es-ES"/>
        </w:rPr>
      </w:pPr>
      <w:r w:rsidRPr="00AE1B2B">
        <w:rPr>
          <w:rFonts w:ascii="Times New Roman" w:hAnsi="Times New Roman" w:eastAsia="Book Antiqua" w:cs="Times New Roman"/>
          <w:sz w:val="26"/>
          <w:szCs w:val="26"/>
          <w:lang w:val="es-ES" w:eastAsia="es-ES"/>
        </w:rPr>
        <w:t xml:space="preserve">Dentro del tema organizacional y funcional, para la implementación de la Ley, el artículo 6 reza en concreto: </w:t>
      </w:r>
    </w:p>
    <w:p w:rsidRPr="00AE1B2B" w:rsidR="009D3FB5" w:rsidP="00163B94" w:rsidRDefault="009D3FB5" w14:paraId="01BCFBD9"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4A1665E2"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“La implementación de esta ley en el Poder Judicial estará bajo la Dirección de Justicia Restaurativa como ente rector y el ejercicio de la acción penal y penal juvenil estará a cargo del Ministerio Público, en el marco de sus competencias legales.</w:t>
      </w:r>
    </w:p>
    <w:p w:rsidRPr="00AE1B2B" w:rsidR="009D3FB5" w:rsidP="00163B94" w:rsidRDefault="009D3FB5" w14:paraId="584F75D4"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7B6837FA"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 xml:space="preserve">Para tal efecto, en materia penal </w:t>
      </w:r>
      <w:r w:rsidRPr="00AE1B2B">
        <w:rPr>
          <w:rFonts w:ascii="Times New Roman" w:hAnsi="Times New Roman" w:eastAsia="Book Antiqua" w:cs="Times New Roman"/>
          <w:i/>
          <w:iCs/>
          <w:sz w:val="26"/>
          <w:szCs w:val="26"/>
          <w:u w:val="single"/>
        </w:rPr>
        <w:t>se abrirán oficinas de justicia penal restaurativa integradas por equipos interdisciplinarios</w:t>
      </w:r>
      <w:r w:rsidRPr="00AE1B2B">
        <w:rPr>
          <w:rFonts w:ascii="Times New Roman" w:hAnsi="Times New Roman" w:eastAsia="Book Antiqua" w:cs="Times New Roman"/>
          <w:i/>
          <w:iCs/>
          <w:sz w:val="26"/>
          <w:szCs w:val="26"/>
        </w:rPr>
        <w:t xml:space="preserve"> designados según las necesidades del servicio, en los diferentes circuitos judiciales a nivel nacional. </w:t>
      </w:r>
    </w:p>
    <w:p w:rsidRPr="00AE1B2B" w:rsidR="009D3FB5" w:rsidP="00163B94" w:rsidRDefault="009D3FB5" w14:paraId="68387C96"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5A106F9E"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 xml:space="preserve">En materia penal juvenil se conformará en las diferentes jurisdicciones el Programa de Justicia Juvenil Restaurativa; para tal efecto, </w:t>
      </w:r>
      <w:r w:rsidRPr="00AE1B2B">
        <w:rPr>
          <w:rFonts w:ascii="Times New Roman" w:hAnsi="Times New Roman" w:eastAsia="Book Antiqua" w:cs="Times New Roman"/>
          <w:i/>
          <w:iCs/>
          <w:sz w:val="26"/>
          <w:szCs w:val="26"/>
          <w:u w:val="single"/>
        </w:rPr>
        <w:t>se dotará de equipos psicosociales</w:t>
      </w:r>
      <w:r w:rsidRPr="00AE1B2B">
        <w:rPr>
          <w:rFonts w:ascii="Times New Roman" w:hAnsi="Times New Roman" w:eastAsia="Book Antiqua" w:cs="Times New Roman"/>
          <w:i/>
          <w:iCs/>
          <w:sz w:val="26"/>
          <w:szCs w:val="26"/>
        </w:rPr>
        <w:t xml:space="preserve"> que, en conjunto con las personas funcionarias de la Defensa Pública y el Ministerio Público de cada despacho, aplicarán el procedimiento juvenil restaurativo como parte de sus competencias legales y las normas establecidas en esta ley.</w:t>
      </w:r>
    </w:p>
    <w:p w:rsidRPr="00AE1B2B" w:rsidR="009D3FB5" w:rsidP="00163B94" w:rsidRDefault="009D3FB5" w14:paraId="4396D42B"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0C565250"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i/>
          <w:iCs/>
          <w:sz w:val="26"/>
          <w:szCs w:val="26"/>
        </w:rPr>
        <w:t xml:space="preserve">En materia contravencional, se conformará en las diferentes jurisdicciones el Programa de Justicia Contravencional Restaurativa; para tal efecto, </w:t>
      </w:r>
      <w:r w:rsidRPr="00AE1B2B">
        <w:rPr>
          <w:rFonts w:ascii="Times New Roman" w:hAnsi="Times New Roman" w:eastAsia="Book Antiqua" w:cs="Times New Roman"/>
          <w:i/>
          <w:iCs/>
          <w:sz w:val="26"/>
          <w:szCs w:val="26"/>
          <w:u w:val="single"/>
        </w:rPr>
        <w:t>se dotará de equipos psicosociales</w:t>
      </w:r>
      <w:r w:rsidRPr="00AE1B2B">
        <w:rPr>
          <w:rFonts w:ascii="Times New Roman" w:hAnsi="Times New Roman" w:eastAsia="Book Antiqua" w:cs="Times New Roman"/>
          <w:i/>
          <w:iCs/>
          <w:sz w:val="26"/>
          <w:szCs w:val="26"/>
        </w:rPr>
        <w:t>, que en conjunto con la persona juzgadora, desarrollarán la justicia restaurativa como parte de sus competencias legales, las normas establecidas en esta ley y en los reglamentos desarrollados en el marco de esta Ley En el caso de las personas juzgadoras, se integrarán en cada jurisdicción según la competencia, territorio y etapa procesal. También se podrán integrar las personas juzgadoras del Centro de Conciliaciones del Poder Judicial.”.</w:t>
      </w:r>
      <w:r w:rsidRPr="00AE1B2B">
        <w:rPr>
          <w:rFonts w:ascii="Times New Roman" w:hAnsi="Times New Roman" w:eastAsia="Book Antiqua" w:cs="Times New Roman"/>
          <w:sz w:val="26"/>
          <w:szCs w:val="26"/>
        </w:rPr>
        <w:t xml:space="preserve"> (Lo subrayado no es parte del original).</w:t>
      </w:r>
    </w:p>
    <w:p w:rsidRPr="00AE1B2B" w:rsidR="009D3FB5" w:rsidP="00163B94" w:rsidRDefault="009D3FB5" w14:paraId="66A06E9F"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33C0C65E"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0586E09D" w14:textId="77777777">
      <w:pPr>
        <w:numPr>
          <w:ilvl w:val="1"/>
          <w:numId w:val="130"/>
        </w:numPr>
        <w:spacing w:before="120" w:after="120"/>
        <w:ind w:left="851" w:right="851" w:firstLine="709"/>
        <w:jc w:val="both"/>
        <w:rPr>
          <w:rFonts w:ascii="Times New Roman" w:hAnsi="Times New Roman" w:eastAsia="Book Antiqua" w:cs="Times New Roman"/>
          <w:sz w:val="26"/>
          <w:szCs w:val="26"/>
          <w:lang w:val="es-ES" w:eastAsia="es-ES"/>
        </w:rPr>
      </w:pPr>
      <w:r w:rsidRPr="00AE1B2B">
        <w:rPr>
          <w:rFonts w:ascii="Times New Roman" w:hAnsi="Times New Roman" w:eastAsia="Book Antiqua" w:cs="Times New Roman"/>
          <w:sz w:val="26"/>
          <w:szCs w:val="26"/>
          <w:lang w:val="es-ES" w:eastAsia="es-ES"/>
        </w:rPr>
        <w:t xml:space="preserve">El artículo 14 de la Ley de referencia establece en materia penal de adultos, que el procedimiento de Justicia Restaurativa procederá a solicitud del Ministerio Público, Defensa </w:t>
      </w:r>
      <w:r w:rsidRPr="00AE1B2B">
        <w:rPr>
          <w:rFonts w:ascii="Times New Roman" w:hAnsi="Times New Roman" w:eastAsia="Book Antiqua" w:cs="Times New Roman"/>
          <w:sz w:val="26"/>
          <w:szCs w:val="26"/>
          <w:lang w:val="es-ES" w:eastAsia="es-ES"/>
        </w:rPr>
        <w:lastRenderedPageBreak/>
        <w:t>Técnica, autoridades jurisdiccionales, víctima y persona ofensora entre otros, en cualquier etapa del proceso, conforme a los siguientes criterios:</w:t>
      </w:r>
    </w:p>
    <w:p w:rsidRPr="00AE1B2B" w:rsidR="009D3FB5" w:rsidP="00163B94" w:rsidRDefault="009D3FB5" w14:paraId="2263A00F"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w:t>
      </w:r>
    </w:p>
    <w:p w:rsidRPr="00AE1B2B" w:rsidR="009D3FB5" w:rsidP="00163B94" w:rsidRDefault="009D3FB5" w14:paraId="63001BB1"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a)</w:t>
      </w:r>
      <w:r w:rsidRPr="00AE1B2B">
        <w:rPr>
          <w:rFonts w:ascii="Times New Roman" w:hAnsi="Times New Roman" w:eastAsia="Book Antiqua" w:cs="Times New Roman"/>
          <w:i/>
          <w:iCs/>
          <w:sz w:val="26"/>
          <w:szCs w:val="26"/>
        </w:rPr>
        <w:tab/>
      </w:r>
      <w:r w:rsidRPr="00AE1B2B">
        <w:rPr>
          <w:rFonts w:ascii="Times New Roman" w:hAnsi="Times New Roman" w:eastAsia="Book Antiqua" w:cs="Times New Roman"/>
          <w:i/>
          <w:iCs/>
          <w:sz w:val="26"/>
          <w:szCs w:val="26"/>
        </w:rPr>
        <w:t>En la etapa preparatoria e intermedia, cuando proceda la conciliación, la reparación integral del daño y la suspensión del proceso a prueba.</w:t>
      </w:r>
    </w:p>
    <w:p w:rsidRPr="00AE1B2B" w:rsidR="009D3FB5" w:rsidP="00163B94" w:rsidRDefault="009D3FB5" w14:paraId="163330A4"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b)</w:t>
      </w:r>
      <w:r w:rsidRPr="00AE1B2B">
        <w:rPr>
          <w:rFonts w:ascii="Times New Roman" w:hAnsi="Times New Roman" w:eastAsia="Book Antiqua" w:cs="Times New Roman"/>
          <w:i/>
          <w:iCs/>
          <w:sz w:val="26"/>
          <w:szCs w:val="26"/>
        </w:rPr>
        <w:tab/>
      </w:r>
      <w:r w:rsidRPr="00AE1B2B">
        <w:rPr>
          <w:rFonts w:ascii="Times New Roman" w:hAnsi="Times New Roman" w:eastAsia="Book Antiqua" w:cs="Times New Roman"/>
          <w:i/>
          <w:iCs/>
          <w:sz w:val="26"/>
          <w:szCs w:val="26"/>
        </w:rPr>
        <w:t>En la etapa intermedia, cuando se resuelva mediante el procedimiento especial abreviado, en los casos que proceda el beneficio de ejecución condicional y en aquellos supuestos en que se defina una pena alternativa no privativa de libertad.</w:t>
      </w:r>
    </w:p>
    <w:p w:rsidRPr="00AE1B2B" w:rsidR="009D3FB5" w:rsidP="00163B94" w:rsidRDefault="009D3FB5" w14:paraId="44DDC72A"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c)</w:t>
      </w:r>
      <w:r w:rsidRPr="00AE1B2B">
        <w:rPr>
          <w:rFonts w:ascii="Times New Roman" w:hAnsi="Times New Roman" w:eastAsia="Book Antiqua" w:cs="Times New Roman"/>
          <w:i/>
          <w:iCs/>
          <w:sz w:val="26"/>
          <w:szCs w:val="26"/>
        </w:rPr>
        <w:tab/>
      </w:r>
      <w:r w:rsidRPr="00AE1B2B">
        <w:rPr>
          <w:rFonts w:ascii="Times New Roman" w:hAnsi="Times New Roman" w:eastAsia="Book Antiqua" w:cs="Times New Roman"/>
          <w:i/>
          <w:iCs/>
          <w:sz w:val="26"/>
          <w:szCs w:val="26"/>
        </w:rPr>
        <w:t>En la etapa de juicio, en el procedimiento ordinario y especial de flagrancia, únicamente para la determinación judicial de la pena, en los casos cuando proceda el beneficio de ejecución condicional o en aquellos supuestos en que se defina una pena alternativa no privativa de libertad; para esto deberá realizarse el juzgamiento en dos fases, con el fin de que en la primera se discuta lo concerniente a la existencia de la culpabilidad y, en la segunda, la determinación de la pena conforme al procedimiento restaurativo, que deberá solicitarse antes de la apertura a juicio, a solicitud de la persona ofensora.</w:t>
      </w:r>
    </w:p>
    <w:p w:rsidRPr="00AE1B2B" w:rsidR="009D3FB5" w:rsidP="00163B94" w:rsidRDefault="009D3FB5" w14:paraId="0B2E69F5"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d)</w:t>
      </w:r>
      <w:r w:rsidRPr="00AE1B2B">
        <w:rPr>
          <w:rFonts w:ascii="Times New Roman" w:hAnsi="Times New Roman" w:eastAsia="Book Antiqua" w:cs="Times New Roman"/>
          <w:i/>
          <w:iCs/>
          <w:sz w:val="26"/>
          <w:szCs w:val="26"/>
        </w:rPr>
        <w:tab/>
      </w:r>
      <w:r w:rsidRPr="00AE1B2B">
        <w:rPr>
          <w:rFonts w:ascii="Times New Roman" w:hAnsi="Times New Roman" w:eastAsia="Book Antiqua" w:cs="Times New Roman"/>
          <w:i/>
          <w:iCs/>
          <w:sz w:val="26"/>
          <w:szCs w:val="26"/>
        </w:rPr>
        <w:t>En etapa de ejecución de la pena, para el seguimiento de la pena alternativa impuesta mediante la aplicación del procedimiento restaurativo y para definir los planes de atención no institucional con abordaje restaurativo. Lo anterior sin perjuicio de lo que definan los protocolos de actuación en coordinación con el Ministerio de Justicia y Paz o el reglamento de esta ley.</w:t>
      </w:r>
    </w:p>
    <w:p w:rsidRPr="00AE1B2B" w:rsidR="009D3FB5" w:rsidP="00163B94" w:rsidRDefault="009D3FB5" w14:paraId="0EA38B5D"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e)</w:t>
      </w:r>
      <w:r w:rsidRPr="00AE1B2B">
        <w:rPr>
          <w:rFonts w:ascii="Times New Roman" w:hAnsi="Times New Roman" w:eastAsia="Book Antiqua" w:cs="Times New Roman"/>
          <w:i/>
          <w:iCs/>
          <w:sz w:val="26"/>
          <w:szCs w:val="26"/>
        </w:rPr>
        <w:tab/>
      </w:r>
      <w:r w:rsidRPr="00AE1B2B">
        <w:rPr>
          <w:rFonts w:ascii="Times New Roman" w:hAnsi="Times New Roman" w:eastAsia="Book Antiqua" w:cs="Times New Roman"/>
          <w:i/>
          <w:iCs/>
          <w:sz w:val="26"/>
          <w:szCs w:val="26"/>
        </w:rPr>
        <w:t>En los delitos patrimoniales relacionados con la de penalización de la violencia contra las mujeres y violencia intrafamiliar, cuando proceda el beneficio de ejecución condicional de la pena y en los casos de penas alternativas no privativas de libertad podrá aplicarse el procedimiento restaurativo de forma supletoria. En estos casos deberán definirse, en los protocolos o el reglamento de esta ley, los mecanismos de valoración de riesgo y apoyo integral de las víctimas con el acompañamiento de la Oficina de Atención de Víctimas y Testigos del Ministerio Público.</w:t>
      </w:r>
    </w:p>
    <w:p w:rsidRPr="00AE1B2B" w:rsidR="009D3FB5" w:rsidP="00163B94" w:rsidRDefault="009D3FB5" w14:paraId="33261A78"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f)</w:t>
      </w:r>
      <w:r w:rsidRPr="00AE1B2B">
        <w:rPr>
          <w:rFonts w:ascii="Times New Roman" w:hAnsi="Times New Roman" w:eastAsia="Book Antiqua" w:cs="Times New Roman"/>
          <w:i/>
          <w:iCs/>
          <w:sz w:val="26"/>
          <w:szCs w:val="26"/>
        </w:rPr>
        <w:tab/>
      </w:r>
      <w:r w:rsidRPr="00AE1B2B">
        <w:rPr>
          <w:rFonts w:ascii="Times New Roman" w:hAnsi="Times New Roman" w:eastAsia="Book Antiqua" w:cs="Times New Roman"/>
          <w:i/>
          <w:iCs/>
          <w:sz w:val="26"/>
          <w:szCs w:val="26"/>
        </w:rPr>
        <w:t xml:space="preserve">En las contravenciones, mediante la aplicación de medidas alternativas. También la persona juzgadora podrá coordinar con las Casas de Justicia del Ministerio de Justicia y Paz, </w:t>
      </w:r>
      <w:r w:rsidRPr="00AE1B2B">
        <w:rPr>
          <w:rFonts w:ascii="Times New Roman" w:hAnsi="Times New Roman" w:eastAsia="Book Antiqua" w:cs="Times New Roman"/>
          <w:i/>
          <w:iCs/>
          <w:sz w:val="26"/>
          <w:szCs w:val="26"/>
        </w:rPr>
        <w:lastRenderedPageBreak/>
        <w:t xml:space="preserve">con el fin de resolver el conflicto jurídico, según lo definido en el Protocolo de Actuación o en el reglamento de esta ley.” </w:t>
      </w:r>
    </w:p>
    <w:p w:rsidRPr="00AE1B2B" w:rsidR="009D3FB5" w:rsidP="00163B94" w:rsidRDefault="009D3FB5" w14:paraId="57D24376"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3872E5DA"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Asimismo, el artículo 29 establece la procedencia del procedimiento juvenil restaurativo, bajo los siguientes criterios:</w:t>
      </w:r>
    </w:p>
    <w:p w:rsidRPr="00AE1B2B" w:rsidR="009D3FB5" w:rsidP="00163B94" w:rsidRDefault="009D3FB5" w14:paraId="2AE8A9D3"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w:t>
      </w:r>
    </w:p>
    <w:p w:rsidRPr="00AE1B2B" w:rsidR="009D3FB5" w:rsidP="00163B94" w:rsidRDefault="009D3FB5" w14:paraId="3AC7BE06"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a)</w:t>
      </w:r>
      <w:r w:rsidRPr="00AE1B2B">
        <w:rPr>
          <w:rFonts w:ascii="Times New Roman" w:hAnsi="Times New Roman" w:eastAsia="Book Antiqua" w:cs="Times New Roman"/>
          <w:i/>
          <w:iCs/>
          <w:sz w:val="26"/>
          <w:szCs w:val="26"/>
        </w:rPr>
        <w:tab/>
      </w:r>
      <w:r w:rsidRPr="00AE1B2B">
        <w:rPr>
          <w:rFonts w:ascii="Times New Roman" w:hAnsi="Times New Roman" w:eastAsia="Book Antiqua" w:cs="Times New Roman"/>
          <w:i/>
          <w:iCs/>
          <w:sz w:val="26"/>
          <w:szCs w:val="26"/>
        </w:rPr>
        <w:t xml:space="preserve">En los casos que de acuerdo con la Ley N.º 7576, Ley de Justicia Penal Juvenil, de 8 de marzo de 1996, proceda la conciliación, la suspensión del proceso a prueba, hasta antes de la resolución de citación a juicio. </w:t>
      </w:r>
    </w:p>
    <w:p w:rsidRPr="00AE1B2B" w:rsidR="009D3FB5" w:rsidP="00163B94" w:rsidRDefault="009D3FB5" w14:paraId="1BD1B2C4"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b)</w:t>
      </w:r>
      <w:r w:rsidRPr="00AE1B2B">
        <w:rPr>
          <w:rFonts w:ascii="Times New Roman" w:hAnsi="Times New Roman" w:eastAsia="Book Antiqua" w:cs="Times New Roman"/>
          <w:i/>
          <w:iCs/>
          <w:sz w:val="26"/>
          <w:szCs w:val="26"/>
        </w:rPr>
        <w:tab/>
      </w:r>
      <w:r w:rsidRPr="00AE1B2B">
        <w:rPr>
          <w:rFonts w:ascii="Times New Roman" w:hAnsi="Times New Roman" w:eastAsia="Book Antiqua" w:cs="Times New Roman"/>
          <w:i/>
          <w:iCs/>
          <w:sz w:val="26"/>
          <w:szCs w:val="26"/>
        </w:rPr>
        <w:t xml:space="preserve">En la etapa de juicio, para la determinación judicial de la sanción penal juvenil; para esto, deberá realizarse el juzgamiento en dos fases, con el fin de que en la primera se discuta lo concerniente a la existencia de la culpabilidad y, en la segunda, la determinación de la sanción penal juvenil conforme al procedimiento restaurativo y deberá solicitarse antes de la citación a juicio, a solicitud de la persona ofensora. </w:t>
      </w:r>
    </w:p>
    <w:p w:rsidRPr="00AE1B2B" w:rsidR="009D3FB5" w:rsidP="00163B94" w:rsidRDefault="009D3FB5" w14:paraId="56C3C0B9"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c)</w:t>
      </w:r>
      <w:r w:rsidRPr="00AE1B2B">
        <w:rPr>
          <w:rFonts w:ascii="Times New Roman" w:hAnsi="Times New Roman" w:eastAsia="Book Antiqua" w:cs="Times New Roman"/>
          <w:i/>
          <w:iCs/>
          <w:sz w:val="26"/>
          <w:szCs w:val="26"/>
        </w:rPr>
        <w:tab/>
      </w:r>
      <w:r w:rsidRPr="00AE1B2B">
        <w:rPr>
          <w:rFonts w:ascii="Times New Roman" w:hAnsi="Times New Roman" w:eastAsia="Book Antiqua" w:cs="Times New Roman"/>
          <w:i/>
          <w:iCs/>
          <w:sz w:val="26"/>
          <w:szCs w:val="26"/>
        </w:rPr>
        <w:t>En el procedimiento especial abreviado.</w:t>
      </w:r>
    </w:p>
    <w:p w:rsidRPr="00AE1B2B" w:rsidR="009D3FB5" w:rsidP="00163B94" w:rsidRDefault="009D3FB5" w14:paraId="2EC569E7"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d)</w:t>
      </w:r>
      <w:r w:rsidRPr="00AE1B2B">
        <w:rPr>
          <w:rFonts w:ascii="Times New Roman" w:hAnsi="Times New Roman" w:eastAsia="Book Antiqua" w:cs="Times New Roman"/>
          <w:i/>
          <w:iCs/>
          <w:sz w:val="26"/>
          <w:szCs w:val="26"/>
        </w:rPr>
        <w:tab/>
      </w:r>
      <w:r w:rsidRPr="00AE1B2B">
        <w:rPr>
          <w:rFonts w:ascii="Times New Roman" w:hAnsi="Times New Roman" w:eastAsia="Book Antiqua" w:cs="Times New Roman"/>
          <w:i/>
          <w:iCs/>
          <w:sz w:val="26"/>
          <w:szCs w:val="26"/>
        </w:rPr>
        <w:t xml:space="preserve">En la etapa de ejecución de la sanción, el procedimiento juvenil restaurativo se aplicará conforme a la Ley N. º 8460, Ley de Ejecución de las Sanciones Penales Juveniles de 20 octubre de 2005 y los reglamentos de esta ley; para la determinación, modificación y seguimiento del plan de ejecución de las sanciones; en la investigación y sanción de las faltas disciplinarias, cuando la persona ofensora juvenil esté próxima al egreso de la privación de libertad, en la definición y el seguimiento del plan de ejecución de la libertad condicional, modificación y preparación previa para el cese de las sanciones privativas y no privativas de libertad y cualquier ulterior modificación de la sanción. También, en cualquier fase de la ejecución de la sanción que promueva la restauración del daño causado a la víctima o comunidad y facilite el proceso de inserción social y cumplimiento de la sanción de la persona ofensora juvenil. </w:t>
      </w:r>
    </w:p>
    <w:p w:rsidRPr="00AE1B2B" w:rsidR="009D3FB5" w:rsidP="00163B94" w:rsidRDefault="009D3FB5" w14:paraId="667C7D96"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e)</w:t>
      </w:r>
      <w:r w:rsidRPr="00AE1B2B">
        <w:rPr>
          <w:rFonts w:ascii="Times New Roman" w:hAnsi="Times New Roman" w:eastAsia="Book Antiqua" w:cs="Times New Roman"/>
          <w:i/>
          <w:iCs/>
          <w:sz w:val="26"/>
          <w:szCs w:val="26"/>
        </w:rPr>
        <w:tab/>
      </w:r>
      <w:r w:rsidRPr="00AE1B2B">
        <w:rPr>
          <w:rFonts w:ascii="Times New Roman" w:hAnsi="Times New Roman" w:eastAsia="Book Antiqua" w:cs="Times New Roman"/>
          <w:i/>
          <w:iCs/>
          <w:sz w:val="26"/>
          <w:szCs w:val="26"/>
        </w:rPr>
        <w:t xml:space="preserve">En las contravenciones, recibida la denuncia y verificado el cumplimiento de los requisitos de admisibilidad, se procederá a remitir a Casas de Justicia del Ministerio de Justicia y Paz. </w:t>
      </w:r>
    </w:p>
    <w:p w:rsidRPr="00AE1B2B" w:rsidR="009D3FB5" w:rsidP="00163B94" w:rsidRDefault="009D3FB5" w14:paraId="50EAC5F2"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f)</w:t>
      </w:r>
      <w:r w:rsidRPr="00AE1B2B">
        <w:rPr>
          <w:rFonts w:ascii="Times New Roman" w:hAnsi="Times New Roman" w:eastAsia="Book Antiqua" w:cs="Times New Roman"/>
          <w:i/>
          <w:iCs/>
          <w:sz w:val="26"/>
          <w:szCs w:val="26"/>
        </w:rPr>
        <w:tab/>
      </w:r>
      <w:r w:rsidRPr="00AE1B2B">
        <w:rPr>
          <w:rFonts w:ascii="Times New Roman" w:hAnsi="Times New Roman" w:eastAsia="Book Antiqua" w:cs="Times New Roman"/>
          <w:i/>
          <w:iCs/>
          <w:sz w:val="26"/>
          <w:szCs w:val="26"/>
        </w:rPr>
        <w:t>Procederá cuando se cumpla con los requisitos de admisibilidad y viabilidad establecidos en esta ley.”</w:t>
      </w:r>
    </w:p>
    <w:p w:rsidRPr="00AE1B2B" w:rsidR="009D3FB5" w:rsidP="00163B94" w:rsidRDefault="009D3FB5" w14:paraId="59B8C8AD"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20F7870A" w14:textId="77777777">
      <w:pPr>
        <w:numPr>
          <w:ilvl w:val="1"/>
          <w:numId w:val="130"/>
        </w:numPr>
        <w:spacing w:before="120" w:after="120"/>
        <w:ind w:left="851" w:right="851" w:firstLine="709"/>
        <w:jc w:val="both"/>
        <w:rPr>
          <w:rFonts w:ascii="Times New Roman" w:hAnsi="Times New Roman" w:eastAsia="Book Antiqua" w:cs="Times New Roman"/>
          <w:sz w:val="26"/>
          <w:szCs w:val="26"/>
          <w:lang w:val="es-ES" w:eastAsia="es-ES"/>
        </w:rPr>
      </w:pPr>
      <w:r w:rsidRPr="00AE1B2B">
        <w:rPr>
          <w:rFonts w:ascii="Times New Roman" w:hAnsi="Times New Roman" w:eastAsia="Book Antiqua" w:cs="Times New Roman"/>
          <w:sz w:val="26"/>
          <w:szCs w:val="26"/>
          <w:lang w:val="es-ES" w:eastAsia="es-ES"/>
        </w:rPr>
        <w:lastRenderedPageBreak/>
        <w:t>Respecto al tema en concreto, de la aplicación de Justicia Restaurativa en materia de Contravenciones, en sesión del Consejo Superior 45-19 celebrada el 17 de mayo de 2019, artículo XLVI, se le solicitó a la Dirección de Planificación remitir el informe solicitado en sesión celebrada el 9 de octubre de 2018, artículo LXI, que dispuso:</w:t>
      </w:r>
    </w:p>
    <w:p w:rsidRPr="00AE1B2B" w:rsidR="009D3FB5" w:rsidP="00163B94" w:rsidRDefault="009D3FB5" w14:paraId="53045D94" w14:textId="77777777">
      <w:pPr>
        <w:spacing w:before="120" w:after="120"/>
        <w:ind w:left="851" w:right="851" w:firstLine="709"/>
        <w:jc w:val="both"/>
        <w:rPr>
          <w:rFonts w:ascii="Times New Roman" w:hAnsi="Times New Roman" w:eastAsia="Book Antiqua" w:cs="Times New Roman"/>
          <w:sz w:val="26"/>
          <w:szCs w:val="26"/>
          <w:lang w:val="es-ES" w:eastAsia="es-ES"/>
        </w:rPr>
      </w:pPr>
    </w:p>
    <w:p w:rsidRPr="00AE1B2B" w:rsidR="009D3FB5" w:rsidP="00163B94" w:rsidRDefault="009D3FB5" w14:paraId="6986D386"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“Trasladar a estudio de la Dirección de Planificación lo dispuesto por el Consejo Directivo de la Escuela Judicial, mediante sesión virtual Nº. 022-2017, del 05 de diciembre del 2017, artículo II, a fin de que presente a este Consejo un análisis integral acerca de la viabilidad de la implementación de la Justicia Restaurativa en materia contravencional, así como del impacto presupuestario que esto conllevaría.”</w:t>
      </w:r>
    </w:p>
    <w:p w:rsidRPr="00AE1B2B" w:rsidR="009D3FB5" w:rsidP="00163B94" w:rsidRDefault="009D3FB5" w14:paraId="746DB6EF"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300FE74F"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Posteriormente, en oficio 628-PLA-2019 de la Dirección de Planificación, del 7 de mayo de 2019, se le informó al Consejo Superior que el análisis solicitado en relación con la viabilidad de la implementación de la Justicia Restaurativa en materia Contravencional se atendió mediante oficio preliminar de presupuesto 596-PLA-RH-MI-2019, enviado en consulta el 2 de mayo del 2019 y que, una vez recibidas las observaciones, se enviaría al Consejo Superior para ser conocido en sesiones de presupuesto.</w:t>
      </w:r>
    </w:p>
    <w:p w:rsidRPr="00AE1B2B" w:rsidR="009D3FB5" w:rsidP="00163B94" w:rsidRDefault="009D3FB5" w14:paraId="6D299E88"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 xml:space="preserve"> </w:t>
      </w:r>
    </w:p>
    <w:p w:rsidRPr="00AE1B2B" w:rsidR="009D3FB5" w:rsidP="00163B94" w:rsidRDefault="009D3FB5" w14:paraId="70B3C9A1" w14:textId="77777777">
      <w:pPr>
        <w:numPr>
          <w:ilvl w:val="1"/>
          <w:numId w:val="130"/>
        </w:numPr>
        <w:spacing w:before="120" w:after="120"/>
        <w:ind w:left="851" w:right="851" w:firstLine="709"/>
        <w:jc w:val="both"/>
        <w:rPr>
          <w:rFonts w:ascii="Times New Roman" w:hAnsi="Times New Roman" w:eastAsia="Book Antiqua" w:cs="Times New Roman"/>
          <w:sz w:val="26"/>
          <w:szCs w:val="26"/>
          <w:lang w:val="es-ES" w:eastAsia="es-ES"/>
        </w:rPr>
      </w:pPr>
      <w:r w:rsidRPr="00AE1B2B">
        <w:rPr>
          <w:rFonts w:ascii="Times New Roman" w:hAnsi="Times New Roman" w:eastAsia="Book Antiqua" w:cs="Times New Roman"/>
          <w:sz w:val="26"/>
          <w:szCs w:val="26"/>
          <w:lang w:val="es-ES" w:eastAsia="es-ES"/>
        </w:rPr>
        <w:t>De seguido en sesión extraordinaria del Consejo Superior 47-19, del 23 de mayo de 2019, artículo I, se conoció el informe definitivo de presupuesto 726-PLA-RH-MI-2019 de la Dirección de Planificación, mismo que fue conocido y aprobado, en sesión de Corte Plena 22-19 (Presupuesto 2020) del 6 de junio de 2019, artículo III; en el cual se acordó:</w:t>
      </w:r>
    </w:p>
    <w:p w:rsidRPr="00AE1B2B" w:rsidR="009D3FB5" w:rsidP="00163B94" w:rsidRDefault="009D3FB5" w14:paraId="3C4B1A01"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28315D39"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 xml:space="preserve">“1) Aprobar el informe de la Dirección de Planificación y sus recomendaciones, de ese informe acoger el escenario 1, a este se le deberá adicionar un equipo de trabajo para implementar el inicio de la ley en Justicia Restaurativa en Ejecución de la Pena y un equipo de trabajo para iniciar la implementación de la materia de contravenciones ambos equipos con competencia a nivel nacional, se deberá monitorear el comportamiento de la aplicación de la ley. 2) La Dirección Ejecutiva deberá suministrar los costos asociados que corresponden para ubicar físicamente los nuevos equipos de trabajo. </w:t>
      </w:r>
      <w:r w:rsidRPr="00AE1B2B">
        <w:rPr>
          <w:rFonts w:ascii="Times New Roman" w:hAnsi="Times New Roman" w:eastAsia="Book Antiqua" w:cs="Times New Roman"/>
          <w:i/>
          <w:iCs/>
          <w:sz w:val="26"/>
          <w:szCs w:val="26"/>
        </w:rPr>
        <w:lastRenderedPageBreak/>
        <w:t>3)Según lo aprobado en la Ley de Justicia Restaurativa este Programa de Justicia Restaurativa debe considerarse como una oficina independiente, para lo cual la Dirección de Planificación deberá asignar su propio código presupuestario (1377) de forma independiente a la Sala III. 4) En cuanto a los recursos adicionales de alquileres por las limitaciones presupuestarias no se aprueba la incorporación de estos, por tanto, se debe valorar por parte de la Dirección del programa de Justicia Restaurativa los espacios existentes, tal y como lo propuso la Dirección Ejecutiva en este informe adjunto.”.</w:t>
      </w:r>
    </w:p>
    <w:p w:rsidRPr="00AE1B2B" w:rsidR="009D3FB5" w:rsidP="00163B94" w:rsidRDefault="009D3FB5" w14:paraId="08D22AC7"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01BFCA52" w14:textId="1588FEF4">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En línea con lo anterior, el escenario 1 aprobado en el informe 726-PLA-RH-MI-2019, establece las siguientes recomendaciones:</w:t>
      </w:r>
      <w:r w:rsidRPr="00AE1B2B" w:rsidR="00BB7720">
        <w:rPr>
          <w:rFonts w:ascii="Times New Roman" w:hAnsi="Times New Roman" w:eastAsia="Book Antiqua" w:cs="Times New Roman"/>
          <w:sz w:val="26"/>
          <w:szCs w:val="26"/>
        </w:rPr>
        <w:t xml:space="preserve"> </w:t>
      </w:r>
    </w:p>
    <w:p w:rsidRPr="00AE1B2B" w:rsidR="009D3FB5" w:rsidP="00163B94" w:rsidRDefault="009D3FB5" w14:paraId="35C15DD8"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5639E7D5"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“Al Consejo Superior:</w:t>
      </w:r>
    </w:p>
    <w:p w:rsidRPr="00AE1B2B" w:rsidR="009D3FB5" w:rsidP="00163B94" w:rsidRDefault="009D3FB5" w14:paraId="067FC859"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6F35BC5F"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5.1. Establecer para las oficinas de Justicia Restaurativa a nivel nacional, el cumplimiento de los siguientes parámetros:</w:t>
      </w:r>
    </w:p>
    <w:p w:rsidRPr="00AE1B2B" w:rsidR="009D3FB5" w:rsidP="00163B94" w:rsidRDefault="009D3FB5" w14:paraId="7B8871A2"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3C7C4E0F"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a)</w:t>
      </w:r>
      <w:r w:rsidRPr="00AE1B2B">
        <w:rPr>
          <w:rFonts w:ascii="Times New Roman" w:hAnsi="Times New Roman" w:eastAsia="Book Antiqua" w:cs="Times New Roman"/>
          <w:i/>
          <w:iCs/>
          <w:sz w:val="26"/>
          <w:szCs w:val="26"/>
        </w:rPr>
        <w:tab/>
      </w:r>
      <w:r w:rsidRPr="00AE1B2B">
        <w:rPr>
          <w:rFonts w:ascii="Times New Roman" w:hAnsi="Times New Roman" w:eastAsia="Book Antiqua" w:cs="Times New Roman"/>
          <w:i/>
          <w:iCs/>
          <w:sz w:val="26"/>
          <w:szCs w:val="26"/>
        </w:rPr>
        <w:t>Ingreso promedio mensual mínimo de 40 causas.</w:t>
      </w:r>
    </w:p>
    <w:p w:rsidRPr="00AE1B2B" w:rsidR="009D3FB5" w:rsidP="00163B94" w:rsidRDefault="009D3FB5" w14:paraId="07CB792F"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b)</w:t>
      </w:r>
      <w:r w:rsidRPr="00AE1B2B">
        <w:rPr>
          <w:rFonts w:ascii="Times New Roman" w:hAnsi="Times New Roman" w:eastAsia="Book Antiqua" w:cs="Times New Roman"/>
          <w:i/>
          <w:iCs/>
          <w:sz w:val="26"/>
          <w:szCs w:val="26"/>
        </w:rPr>
        <w:tab/>
      </w:r>
      <w:r w:rsidRPr="00AE1B2B">
        <w:rPr>
          <w:rFonts w:ascii="Times New Roman" w:hAnsi="Times New Roman" w:eastAsia="Book Antiqua" w:cs="Times New Roman"/>
          <w:i/>
          <w:iCs/>
          <w:sz w:val="26"/>
          <w:szCs w:val="26"/>
        </w:rPr>
        <w:t>Programar al menos 36 Reuniones Restaurativas al mes.</w:t>
      </w:r>
    </w:p>
    <w:p w:rsidRPr="00AE1B2B" w:rsidR="009D3FB5" w:rsidP="00163B94" w:rsidRDefault="009D3FB5" w14:paraId="23F4AA7C"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c)</w:t>
      </w:r>
      <w:r w:rsidRPr="00AE1B2B">
        <w:rPr>
          <w:rFonts w:ascii="Times New Roman" w:hAnsi="Times New Roman" w:eastAsia="Book Antiqua" w:cs="Times New Roman"/>
          <w:i/>
          <w:iCs/>
          <w:sz w:val="26"/>
          <w:szCs w:val="26"/>
        </w:rPr>
        <w:tab/>
      </w:r>
      <w:r w:rsidRPr="00AE1B2B">
        <w:rPr>
          <w:rFonts w:ascii="Times New Roman" w:hAnsi="Times New Roman" w:eastAsia="Book Antiqua" w:cs="Times New Roman"/>
          <w:i/>
          <w:iCs/>
          <w:sz w:val="26"/>
          <w:szCs w:val="26"/>
        </w:rPr>
        <w:t>Programar al menos 40 Entrevistas y 64 Seguimientos mensuales, por cada profesional del Equipo Psicosocial.</w:t>
      </w:r>
    </w:p>
    <w:p w:rsidRPr="00AE1B2B" w:rsidR="009D3FB5" w:rsidP="00163B94" w:rsidRDefault="009D3FB5" w14:paraId="7C3D298A"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d)</w:t>
      </w:r>
      <w:r w:rsidRPr="00AE1B2B">
        <w:rPr>
          <w:rFonts w:ascii="Times New Roman" w:hAnsi="Times New Roman" w:eastAsia="Book Antiqua" w:cs="Times New Roman"/>
          <w:i/>
          <w:iCs/>
          <w:sz w:val="26"/>
          <w:szCs w:val="26"/>
        </w:rPr>
        <w:tab/>
      </w:r>
      <w:r w:rsidRPr="00AE1B2B">
        <w:rPr>
          <w:rFonts w:ascii="Times New Roman" w:hAnsi="Times New Roman" w:eastAsia="Book Antiqua" w:cs="Times New Roman"/>
          <w:i/>
          <w:iCs/>
          <w:sz w:val="26"/>
          <w:szCs w:val="26"/>
        </w:rPr>
        <w:t>Programar al menos 7 Audiencias de Verificación, por parte del Equipo Legal.</w:t>
      </w:r>
    </w:p>
    <w:p w:rsidRPr="00AE1B2B" w:rsidR="009D3FB5" w:rsidP="00163B94" w:rsidRDefault="009D3FB5" w14:paraId="516F92CF"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405FFCD2"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3D72D42A"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79421ADB"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780D4E53"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3182AF47"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5.2. Aprobar alguno de los siguientes escenarios:</w:t>
      </w:r>
    </w:p>
    <w:p w:rsidRPr="00AE1B2B" w:rsidR="009D3FB5" w:rsidP="00163B94" w:rsidRDefault="009D3FB5" w14:paraId="7D8B0AA2"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5A23F2DE"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Escenario 1. Propuesta de la Dirección de Planificación</w:t>
      </w:r>
    </w:p>
    <w:p w:rsidRPr="00AE1B2B" w:rsidR="009D3FB5" w:rsidP="00163B94" w:rsidRDefault="009D3FB5" w14:paraId="30291EF8"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3495CE49"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lastRenderedPageBreak/>
        <w:t xml:space="preserve">En atención a lo dispuesto en sesiones de Corte Plena 27-2017 de 21 de agosto de 2017, artículo XVI, 28-2017 de 28 de agosto de 2017, artículo XV y 29-2017 de 4 setiembre de 2017, artículo XVI, que aprueban las medidas de contención del gasto en el Poder Judicial (circular 136-2017) y directrices giradas a la Dirección de Planificación, de potenciar la reorganización, tendientes a la implementación de modelos eficientes, que permitan la sujeción de gasto y ahorro en el uso de los recursos públicos, se recomienda: </w:t>
      </w:r>
    </w:p>
    <w:p w:rsidRPr="00AE1B2B" w:rsidR="009D3FB5" w:rsidP="00163B94" w:rsidRDefault="009D3FB5" w14:paraId="72179737"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0E110AE0"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5.2.1. Ampliar el abordaje en materia Penal de Adultos del Primer Circuito Judicial de Alajuela y Primer Circuito Judicial de Guanacaste y Zona Atlántica, con lo equipos Psicosociales destacados en Penal Juvenil de Heredia, y Primer Circuito Judicial de Guanacaste y Zona Atlántica.</w:t>
      </w:r>
    </w:p>
    <w:p w:rsidRPr="00AE1B2B" w:rsidR="009D3FB5" w:rsidP="00163B94" w:rsidRDefault="009D3FB5" w14:paraId="3EDAEA73"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6F6104A8"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La propuesta de abordaje nivel nacional se presenta a continuación</w:t>
      </w:r>
    </w:p>
    <w:tbl>
      <w:tblPr>
        <w:tblW w:w="7284" w:type="dxa"/>
        <w:jc w:val="center"/>
        <w:tblLayout w:type="fixed"/>
        <w:tblCellMar>
          <w:left w:w="70" w:type="dxa"/>
          <w:right w:w="70" w:type="dxa"/>
        </w:tblCellMar>
        <w:tblLook w:val="04A0" w:firstRow="1" w:lastRow="0" w:firstColumn="1" w:lastColumn="0" w:noHBand="0" w:noVBand="1"/>
      </w:tblPr>
      <w:tblGrid>
        <w:gridCol w:w="3190"/>
        <w:gridCol w:w="629"/>
        <w:gridCol w:w="1197"/>
        <w:gridCol w:w="1140"/>
        <w:gridCol w:w="1128"/>
      </w:tblGrid>
      <w:tr w:rsidRPr="00AE1B2B" w:rsidR="009D3FB5" w:rsidTr="009D3FB5" w14:paraId="30CB17AB" w14:textId="77777777">
        <w:trPr>
          <w:trHeight w:val="300"/>
          <w:jc w:val="center"/>
        </w:trPr>
        <w:tc>
          <w:tcPr>
            <w:tcW w:w="7284" w:type="dxa"/>
            <w:gridSpan w:val="5"/>
            <w:tcBorders>
              <w:top w:val="nil"/>
              <w:left w:val="nil"/>
              <w:bottom w:val="nil"/>
              <w:right w:val="nil"/>
            </w:tcBorders>
            <w:shd w:val="clear" w:color="auto" w:fill="auto"/>
            <w:noWrap/>
            <w:vAlign w:val="bottom"/>
            <w:hideMark/>
          </w:tcPr>
          <w:p w:rsidRPr="00AE1B2B" w:rsidR="009D3FB5" w:rsidP="00163B94" w:rsidRDefault="009D3FB5" w14:paraId="77FC9AC9" w14:textId="77777777">
            <w:pPr>
              <w:spacing w:before="120" w:after="120"/>
              <w:ind w:left="851" w:right="851" w:firstLine="709"/>
              <w:jc w:val="both"/>
              <w:rPr>
                <w:rFonts w:ascii="Times New Roman" w:hAnsi="Times New Roman" w:eastAsia="Times New Roman" w:cs="Times New Roman"/>
                <w:b/>
                <w:sz w:val="26"/>
                <w:szCs w:val="26"/>
                <w:lang w:eastAsia="es-CR"/>
              </w:rPr>
            </w:pPr>
            <w:r w:rsidRPr="00AE1B2B">
              <w:rPr>
                <w:rFonts w:ascii="Times New Roman" w:hAnsi="Times New Roman" w:eastAsia="Times New Roman" w:cs="Times New Roman"/>
                <w:b/>
                <w:sz w:val="26"/>
                <w:szCs w:val="26"/>
                <w:lang w:eastAsia="es-CR"/>
              </w:rPr>
              <w:t>Cuadro 27</w:t>
            </w:r>
          </w:p>
        </w:tc>
      </w:tr>
      <w:tr w:rsidRPr="00AE1B2B" w:rsidR="009D3FB5" w:rsidTr="009D3FB5" w14:paraId="132D9A19" w14:textId="77777777">
        <w:trPr>
          <w:trHeight w:val="260"/>
          <w:jc w:val="center"/>
        </w:trPr>
        <w:tc>
          <w:tcPr>
            <w:tcW w:w="7284" w:type="dxa"/>
            <w:gridSpan w:val="5"/>
            <w:tcBorders>
              <w:top w:val="nil"/>
              <w:left w:val="nil"/>
              <w:bottom w:val="nil"/>
              <w:right w:val="nil"/>
            </w:tcBorders>
            <w:shd w:val="clear" w:color="auto" w:fill="auto"/>
            <w:noWrap/>
            <w:vAlign w:val="bottom"/>
            <w:hideMark/>
          </w:tcPr>
          <w:p w:rsidRPr="00AE1B2B" w:rsidR="009D3FB5" w:rsidP="00163B94" w:rsidRDefault="009D3FB5" w14:paraId="7A57BE54" w14:textId="77777777">
            <w:pPr>
              <w:spacing w:before="120" w:after="120"/>
              <w:ind w:left="851" w:right="851" w:firstLine="709"/>
              <w:jc w:val="both"/>
              <w:rPr>
                <w:rFonts w:ascii="Times New Roman" w:hAnsi="Times New Roman" w:eastAsia="Times New Roman" w:cs="Times New Roman"/>
                <w:b/>
                <w:sz w:val="26"/>
                <w:szCs w:val="26"/>
                <w:lang w:eastAsia="es-CR"/>
              </w:rPr>
            </w:pPr>
            <w:r w:rsidRPr="00AE1B2B">
              <w:rPr>
                <w:rFonts w:ascii="Times New Roman" w:hAnsi="Times New Roman" w:eastAsia="Times New Roman" w:cs="Times New Roman"/>
                <w:b/>
                <w:sz w:val="26"/>
                <w:szCs w:val="26"/>
                <w:lang w:eastAsia="es-CR"/>
              </w:rPr>
              <w:t>SITUACION ACTUAL Y PROPUESTA, SOBRE EL ABORDAJE DE JUSTICIA</w:t>
            </w:r>
          </w:p>
        </w:tc>
      </w:tr>
      <w:tr w:rsidRPr="00AE1B2B" w:rsidR="009D3FB5" w:rsidTr="009D3FB5" w14:paraId="02FFF72C" w14:textId="77777777">
        <w:trPr>
          <w:trHeight w:val="270"/>
          <w:jc w:val="center"/>
        </w:trPr>
        <w:tc>
          <w:tcPr>
            <w:tcW w:w="7284" w:type="dxa"/>
            <w:gridSpan w:val="5"/>
            <w:tcBorders>
              <w:top w:val="nil"/>
              <w:left w:val="nil"/>
              <w:bottom w:val="single" w:color="auto" w:sz="8" w:space="0"/>
              <w:right w:val="nil"/>
            </w:tcBorders>
            <w:shd w:val="clear" w:color="auto" w:fill="auto"/>
            <w:noWrap/>
            <w:vAlign w:val="bottom"/>
            <w:hideMark/>
          </w:tcPr>
          <w:p w:rsidRPr="00AE1B2B" w:rsidR="009D3FB5" w:rsidP="00163B94" w:rsidRDefault="009D3FB5" w14:paraId="577D750A" w14:textId="77777777">
            <w:pPr>
              <w:spacing w:before="120" w:after="120"/>
              <w:ind w:left="851" w:right="851" w:firstLine="709"/>
              <w:jc w:val="both"/>
              <w:rPr>
                <w:rFonts w:ascii="Times New Roman" w:hAnsi="Times New Roman" w:eastAsia="Times New Roman" w:cs="Times New Roman"/>
                <w:b/>
                <w:sz w:val="26"/>
                <w:szCs w:val="26"/>
                <w:lang w:eastAsia="es-CR"/>
              </w:rPr>
            </w:pPr>
            <w:r w:rsidRPr="00AE1B2B">
              <w:rPr>
                <w:rFonts w:ascii="Times New Roman" w:hAnsi="Times New Roman" w:eastAsia="Times New Roman" w:cs="Times New Roman"/>
                <w:b/>
                <w:sz w:val="26"/>
                <w:szCs w:val="26"/>
                <w:lang w:eastAsia="es-CR"/>
              </w:rPr>
              <w:t>RESTAURATIVA A NIVEL NACIONAL 2019</w:t>
            </w:r>
          </w:p>
        </w:tc>
      </w:tr>
      <w:tr w:rsidRPr="00AE1B2B" w:rsidR="009D3FB5" w:rsidTr="009D3FB5" w14:paraId="55D10941" w14:textId="77777777">
        <w:trPr>
          <w:trHeight w:val="270"/>
          <w:jc w:val="center"/>
        </w:trPr>
        <w:tc>
          <w:tcPr>
            <w:tcW w:w="3190" w:type="dxa"/>
            <w:vMerge w:val="restart"/>
            <w:tcBorders>
              <w:top w:val="nil"/>
              <w:left w:val="single" w:color="auto" w:sz="8" w:space="0"/>
              <w:bottom w:val="single" w:color="000000" w:sz="8" w:space="0"/>
              <w:right w:val="single" w:color="auto" w:sz="8" w:space="0"/>
            </w:tcBorders>
            <w:shd w:val="clear" w:color="auto" w:fill="auto"/>
            <w:noWrap/>
            <w:vAlign w:val="center"/>
            <w:hideMark/>
          </w:tcPr>
          <w:p w:rsidRPr="00AE1B2B" w:rsidR="009D3FB5" w:rsidP="00163B94" w:rsidRDefault="009D3FB5" w14:paraId="30BA1419" w14:textId="77777777">
            <w:pPr>
              <w:spacing w:before="120" w:after="120"/>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 </w:t>
            </w:r>
          </w:p>
        </w:tc>
        <w:tc>
          <w:tcPr>
            <w:tcW w:w="1826" w:type="dxa"/>
            <w:gridSpan w:val="2"/>
            <w:tcBorders>
              <w:top w:val="single" w:color="auto" w:sz="8" w:space="0"/>
              <w:left w:val="nil"/>
              <w:bottom w:val="single" w:color="auto" w:sz="8" w:space="0"/>
              <w:right w:val="single" w:color="000000" w:sz="8" w:space="0"/>
            </w:tcBorders>
            <w:shd w:val="clear" w:color="auto" w:fill="auto"/>
            <w:noWrap/>
            <w:vAlign w:val="center"/>
            <w:hideMark/>
          </w:tcPr>
          <w:p w:rsidRPr="00AE1B2B" w:rsidR="009D3FB5" w:rsidP="00163B94" w:rsidRDefault="009D3FB5" w14:paraId="6DA1D700"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Distribución actual Equipos</w:t>
            </w:r>
          </w:p>
        </w:tc>
        <w:tc>
          <w:tcPr>
            <w:tcW w:w="2268" w:type="dxa"/>
            <w:gridSpan w:val="2"/>
            <w:tcBorders>
              <w:top w:val="single" w:color="auto" w:sz="8" w:space="0"/>
              <w:left w:val="nil"/>
              <w:bottom w:val="single" w:color="auto" w:sz="8" w:space="0"/>
              <w:right w:val="single" w:color="auto" w:sz="8" w:space="0"/>
            </w:tcBorders>
            <w:shd w:val="clear" w:color="auto" w:fill="auto"/>
            <w:noWrap/>
            <w:vAlign w:val="center"/>
            <w:hideMark/>
          </w:tcPr>
          <w:p w:rsidRPr="00AE1B2B" w:rsidR="009D3FB5" w:rsidP="00163B94" w:rsidRDefault="009D3FB5" w14:paraId="74C21CA0"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Propuesta</w:t>
            </w:r>
          </w:p>
        </w:tc>
      </w:tr>
      <w:tr w:rsidRPr="00AE1B2B" w:rsidR="009D3FB5" w:rsidTr="009D3FB5" w14:paraId="12FB0D6E" w14:textId="77777777">
        <w:trPr>
          <w:trHeight w:val="270"/>
          <w:jc w:val="center"/>
        </w:trPr>
        <w:tc>
          <w:tcPr>
            <w:tcW w:w="3190" w:type="dxa"/>
            <w:vMerge/>
            <w:tcBorders>
              <w:top w:val="nil"/>
              <w:left w:val="single" w:color="auto" w:sz="8" w:space="0"/>
              <w:bottom w:val="single" w:color="000000" w:sz="8" w:space="0"/>
              <w:right w:val="single" w:color="auto" w:sz="8" w:space="0"/>
            </w:tcBorders>
            <w:shd w:val="clear" w:color="auto" w:fill="auto"/>
            <w:vAlign w:val="center"/>
            <w:hideMark/>
          </w:tcPr>
          <w:p w:rsidRPr="00AE1B2B" w:rsidR="009D3FB5" w:rsidP="00163B94" w:rsidRDefault="009D3FB5" w14:paraId="4F5CE871" w14:textId="77777777">
            <w:pPr>
              <w:spacing w:before="120" w:after="120"/>
              <w:rPr>
                <w:rFonts w:ascii="Times New Roman" w:hAnsi="Times New Roman" w:eastAsia="Times New Roman" w:cs="Times New Roman"/>
                <w:b/>
                <w:bCs/>
                <w:sz w:val="18"/>
                <w:szCs w:val="18"/>
                <w:lang w:eastAsia="es-CR"/>
              </w:rPr>
            </w:pPr>
          </w:p>
        </w:tc>
        <w:tc>
          <w:tcPr>
            <w:tcW w:w="629"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3A4E0B1F"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 xml:space="preserve">Penal </w:t>
            </w:r>
          </w:p>
        </w:tc>
        <w:tc>
          <w:tcPr>
            <w:tcW w:w="1197"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5F0D7675"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 xml:space="preserve">Penal Juvenil </w:t>
            </w:r>
          </w:p>
        </w:tc>
        <w:tc>
          <w:tcPr>
            <w:tcW w:w="1140"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22864A4F"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 xml:space="preserve">Penal </w:t>
            </w:r>
          </w:p>
        </w:tc>
        <w:tc>
          <w:tcPr>
            <w:tcW w:w="1128"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14DD9071"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 xml:space="preserve">Penal Juvenil </w:t>
            </w:r>
          </w:p>
        </w:tc>
      </w:tr>
      <w:tr w:rsidRPr="00AE1B2B" w:rsidR="009D3FB5" w:rsidTr="009D3FB5" w14:paraId="199EDEE2" w14:textId="77777777">
        <w:trPr>
          <w:trHeight w:val="270"/>
          <w:jc w:val="center"/>
        </w:trPr>
        <w:tc>
          <w:tcPr>
            <w:tcW w:w="3190" w:type="dxa"/>
            <w:tcBorders>
              <w:top w:val="nil"/>
              <w:left w:val="single" w:color="auto" w:sz="8" w:space="0"/>
              <w:bottom w:val="single" w:color="auto" w:sz="8" w:space="0"/>
              <w:right w:val="single" w:color="auto" w:sz="8" w:space="0"/>
            </w:tcBorders>
            <w:shd w:val="clear" w:color="auto" w:fill="auto"/>
            <w:noWrap/>
            <w:vAlign w:val="center"/>
            <w:hideMark/>
          </w:tcPr>
          <w:p w:rsidRPr="00AE1B2B" w:rsidR="009D3FB5" w:rsidP="00163B94" w:rsidRDefault="009D3FB5" w14:paraId="443EE849"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 Circuito Judicial de San José</w:t>
            </w:r>
          </w:p>
        </w:tc>
        <w:tc>
          <w:tcPr>
            <w:tcW w:w="629"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3C62229E"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w:t>
            </w:r>
          </w:p>
        </w:tc>
        <w:tc>
          <w:tcPr>
            <w:tcW w:w="1197"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1BD6E908"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c>
          <w:tcPr>
            <w:tcW w:w="1140"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1EB6A562"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w:t>
            </w:r>
          </w:p>
        </w:tc>
        <w:tc>
          <w:tcPr>
            <w:tcW w:w="1128"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5FF37365"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r>
      <w:tr w:rsidRPr="00AE1B2B" w:rsidR="009D3FB5" w:rsidTr="009D3FB5" w14:paraId="124FA334" w14:textId="77777777">
        <w:trPr>
          <w:trHeight w:val="270"/>
          <w:jc w:val="center"/>
        </w:trPr>
        <w:tc>
          <w:tcPr>
            <w:tcW w:w="3190" w:type="dxa"/>
            <w:tcBorders>
              <w:top w:val="nil"/>
              <w:left w:val="single" w:color="auto" w:sz="8" w:space="0"/>
              <w:bottom w:val="single" w:color="auto" w:sz="8" w:space="0"/>
              <w:right w:val="single" w:color="auto" w:sz="8" w:space="0"/>
            </w:tcBorders>
            <w:shd w:val="clear" w:color="auto" w:fill="auto"/>
            <w:noWrap/>
            <w:vAlign w:val="center"/>
            <w:hideMark/>
          </w:tcPr>
          <w:p w:rsidRPr="00AE1B2B" w:rsidR="009D3FB5" w:rsidP="00163B94" w:rsidRDefault="009D3FB5" w14:paraId="7ED93ADF"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II Circuito Judicial de San José</w:t>
            </w:r>
          </w:p>
        </w:tc>
        <w:tc>
          <w:tcPr>
            <w:tcW w:w="629"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6EB474BF"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c>
          <w:tcPr>
            <w:tcW w:w="1197"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1BEFA76B"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w:t>
            </w:r>
          </w:p>
        </w:tc>
        <w:tc>
          <w:tcPr>
            <w:tcW w:w="1140"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53F67A3A"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c>
          <w:tcPr>
            <w:tcW w:w="1128"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31BBF26A"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w:t>
            </w:r>
          </w:p>
        </w:tc>
      </w:tr>
      <w:tr w:rsidRPr="00AE1B2B" w:rsidR="009D3FB5" w:rsidTr="009D3FB5" w14:paraId="53981073" w14:textId="77777777">
        <w:trPr>
          <w:trHeight w:val="270"/>
          <w:jc w:val="center"/>
        </w:trPr>
        <w:tc>
          <w:tcPr>
            <w:tcW w:w="3190" w:type="dxa"/>
            <w:tcBorders>
              <w:top w:val="nil"/>
              <w:left w:val="single" w:color="auto" w:sz="8" w:space="0"/>
              <w:bottom w:val="single" w:color="auto" w:sz="8" w:space="0"/>
              <w:right w:val="single" w:color="auto" w:sz="8" w:space="0"/>
            </w:tcBorders>
            <w:shd w:val="clear" w:color="auto" w:fill="auto"/>
            <w:noWrap/>
            <w:vAlign w:val="center"/>
            <w:hideMark/>
          </w:tcPr>
          <w:p w:rsidRPr="00AE1B2B" w:rsidR="009D3FB5" w:rsidP="00163B94" w:rsidRDefault="009D3FB5" w14:paraId="1434BB70"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III Circuito Judicial de San José</w:t>
            </w:r>
          </w:p>
        </w:tc>
        <w:tc>
          <w:tcPr>
            <w:tcW w:w="629"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46077E58"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c>
          <w:tcPr>
            <w:tcW w:w="1197"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2886DAD3"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w:t>
            </w:r>
          </w:p>
        </w:tc>
        <w:tc>
          <w:tcPr>
            <w:tcW w:w="1140"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588596DC"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c>
          <w:tcPr>
            <w:tcW w:w="1128"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17F95755"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w:t>
            </w:r>
          </w:p>
        </w:tc>
      </w:tr>
      <w:tr w:rsidRPr="00AE1B2B" w:rsidR="009D3FB5" w:rsidTr="009D3FB5" w14:paraId="777911E3" w14:textId="77777777">
        <w:trPr>
          <w:trHeight w:val="300"/>
          <w:jc w:val="center"/>
        </w:trPr>
        <w:tc>
          <w:tcPr>
            <w:tcW w:w="3190" w:type="dxa"/>
            <w:tcBorders>
              <w:top w:val="nil"/>
              <w:left w:val="single" w:color="auto" w:sz="8" w:space="0"/>
              <w:bottom w:val="single" w:color="auto" w:sz="8" w:space="0"/>
              <w:right w:val="single" w:color="auto" w:sz="8" w:space="0"/>
            </w:tcBorders>
            <w:shd w:val="clear" w:color="auto" w:fill="auto"/>
            <w:noWrap/>
            <w:vAlign w:val="center"/>
            <w:hideMark/>
          </w:tcPr>
          <w:p w:rsidRPr="00AE1B2B" w:rsidR="009D3FB5" w:rsidP="00163B94" w:rsidRDefault="009D3FB5" w14:paraId="0BBBEAF1"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 Circuito Judicial de Alajuela</w:t>
            </w:r>
          </w:p>
        </w:tc>
        <w:tc>
          <w:tcPr>
            <w:tcW w:w="629"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4330C6E3"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w:t>
            </w:r>
          </w:p>
        </w:tc>
        <w:tc>
          <w:tcPr>
            <w:tcW w:w="1197"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414ADA2A"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0.5</w:t>
            </w:r>
          </w:p>
        </w:tc>
        <w:tc>
          <w:tcPr>
            <w:tcW w:w="2268" w:type="dxa"/>
            <w:gridSpan w:val="2"/>
            <w:tcBorders>
              <w:top w:val="single" w:color="auto" w:sz="8" w:space="0"/>
              <w:left w:val="nil"/>
              <w:bottom w:val="single" w:color="auto" w:sz="8" w:space="0"/>
              <w:right w:val="single" w:color="auto" w:sz="8" w:space="0"/>
            </w:tcBorders>
            <w:shd w:val="clear" w:color="auto" w:fill="auto"/>
            <w:noWrap/>
            <w:vAlign w:val="center"/>
            <w:hideMark/>
          </w:tcPr>
          <w:p w:rsidRPr="00AE1B2B" w:rsidR="009D3FB5" w:rsidP="00163B94" w:rsidRDefault="009D3FB5" w14:paraId="6FA06614"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r>
      <w:tr w:rsidRPr="00AE1B2B" w:rsidR="009D3FB5" w:rsidTr="009D3FB5" w14:paraId="4970CF76" w14:textId="77777777">
        <w:trPr>
          <w:trHeight w:val="270"/>
          <w:jc w:val="center"/>
        </w:trPr>
        <w:tc>
          <w:tcPr>
            <w:tcW w:w="3190" w:type="dxa"/>
            <w:tcBorders>
              <w:top w:val="nil"/>
              <w:left w:val="single" w:color="auto" w:sz="8" w:space="0"/>
              <w:bottom w:val="single" w:color="auto" w:sz="8" w:space="0"/>
              <w:right w:val="single" w:color="auto" w:sz="8" w:space="0"/>
            </w:tcBorders>
            <w:shd w:val="clear" w:color="auto" w:fill="auto"/>
            <w:noWrap/>
            <w:vAlign w:val="center"/>
            <w:hideMark/>
          </w:tcPr>
          <w:p w:rsidRPr="00AE1B2B" w:rsidR="009D3FB5" w:rsidP="00163B94" w:rsidRDefault="009D3FB5" w14:paraId="7AB01EC8"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II Circuito Judicial de Alajuela</w:t>
            </w:r>
          </w:p>
        </w:tc>
        <w:tc>
          <w:tcPr>
            <w:tcW w:w="629"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5199DF75"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w:t>
            </w:r>
          </w:p>
        </w:tc>
        <w:tc>
          <w:tcPr>
            <w:tcW w:w="1197"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171E6EA3"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w:t>
            </w:r>
          </w:p>
        </w:tc>
        <w:tc>
          <w:tcPr>
            <w:tcW w:w="1140"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0587229C"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w:t>
            </w:r>
          </w:p>
        </w:tc>
        <w:tc>
          <w:tcPr>
            <w:tcW w:w="1128"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2C476169"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w:t>
            </w:r>
          </w:p>
        </w:tc>
      </w:tr>
      <w:tr w:rsidRPr="00AE1B2B" w:rsidR="009D3FB5" w:rsidTr="009D3FB5" w14:paraId="57611B98" w14:textId="77777777">
        <w:trPr>
          <w:trHeight w:val="270"/>
          <w:jc w:val="center"/>
        </w:trPr>
        <w:tc>
          <w:tcPr>
            <w:tcW w:w="3190" w:type="dxa"/>
            <w:tcBorders>
              <w:top w:val="nil"/>
              <w:left w:val="single" w:color="auto" w:sz="8" w:space="0"/>
              <w:bottom w:val="single" w:color="auto" w:sz="8" w:space="0"/>
              <w:right w:val="single" w:color="auto" w:sz="8" w:space="0"/>
            </w:tcBorders>
            <w:shd w:val="clear" w:color="auto" w:fill="auto"/>
            <w:noWrap/>
            <w:vAlign w:val="center"/>
            <w:hideMark/>
          </w:tcPr>
          <w:p w:rsidRPr="00AE1B2B" w:rsidR="009D3FB5" w:rsidP="00163B94" w:rsidRDefault="009D3FB5" w14:paraId="07D3C54D"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III Circuito Judicial de Alajuela</w:t>
            </w:r>
          </w:p>
        </w:tc>
        <w:tc>
          <w:tcPr>
            <w:tcW w:w="629"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6244CFDF"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w:t>
            </w:r>
          </w:p>
        </w:tc>
        <w:tc>
          <w:tcPr>
            <w:tcW w:w="1197"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04E780FF"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w:t>
            </w:r>
          </w:p>
        </w:tc>
        <w:tc>
          <w:tcPr>
            <w:tcW w:w="1140"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404C6817"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w:t>
            </w:r>
          </w:p>
        </w:tc>
        <w:tc>
          <w:tcPr>
            <w:tcW w:w="1128"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4E420FB3"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w:t>
            </w:r>
          </w:p>
        </w:tc>
      </w:tr>
      <w:tr w:rsidRPr="00AE1B2B" w:rsidR="009D3FB5" w:rsidTr="009D3FB5" w14:paraId="7DCC97DC" w14:textId="77777777">
        <w:trPr>
          <w:trHeight w:val="300"/>
          <w:jc w:val="center"/>
        </w:trPr>
        <w:tc>
          <w:tcPr>
            <w:tcW w:w="3190" w:type="dxa"/>
            <w:tcBorders>
              <w:top w:val="nil"/>
              <w:left w:val="single" w:color="auto" w:sz="8" w:space="0"/>
              <w:bottom w:val="single" w:color="auto" w:sz="8" w:space="0"/>
              <w:right w:val="single" w:color="auto" w:sz="8" w:space="0"/>
            </w:tcBorders>
            <w:shd w:val="clear" w:color="auto" w:fill="auto"/>
            <w:noWrap/>
            <w:vAlign w:val="center"/>
            <w:hideMark/>
          </w:tcPr>
          <w:p w:rsidRPr="00AE1B2B" w:rsidR="009D3FB5" w:rsidP="00163B94" w:rsidRDefault="009D3FB5" w14:paraId="436C80B1"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Heredia</w:t>
            </w:r>
          </w:p>
        </w:tc>
        <w:tc>
          <w:tcPr>
            <w:tcW w:w="629"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3491E469"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c>
          <w:tcPr>
            <w:tcW w:w="1197"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5BF46F61"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0.5</w:t>
            </w:r>
          </w:p>
        </w:tc>
        <w:tc>
          <w:tcPr>
            <w:tcW w:w="2268" w:type="dxa"/>
            <w:gridSpan w:val="2"/>
            <w:tcBorders>
              <w:top w:val="single" w:color="auto" w:sz="8" w:space="0"/>
              <w:left w:val="nil"/>
              <w:bottom w:val="single" w:color="auto" w:sz="8" w:space="0"/>
              <w:right w:val="single" w:color="auto" w:sz="8" w:space="0"/>
            </w:tcBorders>
            <w:shd w:val="clear" w:color="auto" w:fill="auto"/>
            <w:noWrap/>
            <w:vAlign w:val="center"/>
            <w:hideMark/>
          </w:tcPr>
          <w:p w:rsidRPr="00AE1B2B" w:rsidR="009D3FB5" w:rsidP="00163B94" w:rsidRDefault="009D3FB5" w14:paraId="4B61B0E8"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r>
      <w:tr w:rsidRPr="00AE1B2B" w:rsidR="009D3FB5" w:rsidTr="009D3FB5" w14:paraId="3A902CFA" w14:textId="77777777">
        <w:trPr>
          <w:trHeight w:val="270"/>
          <w:jc w:val="center"/>
        </w:trPr>
        <w:tc>
          <w:tcPr>
            <w:tcW w:w="3190" w:type="dxa"/>
            <w:tcBorders>
              <w:top w:val="nil"/>
              <w:left w:val="single" w:color="auto" w:sz="8" w:space="0"/>
              <w:bottom w:val="single" w:color="auto" w:sz="8" w:space="0"/>
              <w:right w:val="single" w:color="auto" w:sz="8" w:space="0"/>
            </w:tcBorders>
            <w:shd w:val="clear" w:color="auto" w:fill="auto"/>
            <w:noWrap/>
            <w:vAlign w:val="center"/>
            <w:hideMark/>
          </w:tcPr>
          <w:p w:rsidRPr="00AE1B2B" w:rsidR="009D3FB5" w:rsidP="00163B94" w:rsidRDefault="009D3FB5" w14:paraId="2CEABC1F"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 Circuito Judicial de la zona Sur</w:t>
            </w:r>
          </w:p>
        </w:tc>
        <w:tc>
          <w:tcPr>
            <w:tcW w:w="1826" w:type="dxa"/>
            <w:gridSpan w:val="2"/>
            <w:tcBorders>
              <w:top w:val="single" w:color="auto" w:sz="8" w:space="0"/>
              <w:left w:val="nil"/>
              <w:bottom w:val="single" w:color="auto" w:sz="8" w:space="0"/>
              <w:right w:val="single" w:color="000000" w:sz="8" w:space="0"/>
            </w:tcBorders>
            <w:shd w:val="clear" w:color="auto" w:fill="auto"/>
            <w:noWrap/>
            <w:vAlign w:val="center"/>
            <w:hideMark/>
          </w:tcPr>
          <w:p w:rsidRPr="00AE1B2B" w:rsidR="009D3FB5" w:rsidP="00163B94" w:rsidRDefault="009D3FB5" w14:paraId="443FCC00"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c>
          <w:tcPr>
            <w:tcW w:w="2268" w:type="dxa"/>
            <w:gridSpan w:val="2"/>
            <w:tcBorders>
              <w:top w:val="single" w:color="auto" w:sz="8" w:space="0"/>
              <w:left w:val="nil"/>
              <w:bottom w:val="single" w:color="auto" w:sz="8" w:space="0"/>
              <w:right w:val="single" w:color="auto" w:sz="8" w:space="0"/>
            </w:tcBorders>
            <w:shd w:val="clear" w:color="auto" w:fill="auto"/>
            <w:noWrap/>
            <w:vAlign w:val="center"/>
            <w:hideMark/>
          </w:tcPr>
          <w:p w:rsidRPr="00AE1B2B" w:rsidR="009D3FB5" w:rsidP="00163B94" w:rsidRDefault="009D3FB5" w14:paraId="5E81F490"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r>
      <w:tr w:rsidRPr="00AE1B2B" w:rsidR="009D3FB5" w:rsidTr="009D3FB5" w14:paraId="13EF1539" w14:textId="77777777">
        <w:trPr>
          <w:trHeight w:val="270"/>
          <w:jc w:val="center"/>
        </w:trPr>
        <w:tc>
          <w:tcPr>
            <w:tcW w:w="3190" w:type="dxa"/>
            <w:tcBorders>
              <w:top w:val="nil"/>
              <w:left w:val="single" w:color="auto" w:sz="8" w:space="0"/>
              <w:bottom w:val="single" w:color="auto" w:sz="8" w:space="0"/>
              <w:right w:val="single" w:color="auto" w:sz="8" w:space="0"/>
            </w:tcBorders>
            <w:shd w:val="clear" w:color="auto" w:fill="auto"/>
            <w:noWrap/>
            <w:vAlign w:val="center"/>
            <w:hideMark/>
          </w:tcPr>
          <w:p w:rsidRPr="00AE1B2B" w:rsidR="009D3FB5" w:rsidP="00163B94" w:rsidRDefault="009D3FB5" w14:paraId="481A458A"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lastRenderedPageBreak/>
              <w:t>II Circuito Judicial de la zona Sur</w:t>
            </w:r>
          </w:p>
        </w:tc>
        <w:tc>
          <w:tcPr>
            <w:tcW w:w="629"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32EAAD5A"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w:t>
            </w:r>
          </w:p>
        </w:tc>
        <w:tc>
          <w:tcPr>
            <w:tcW w:w="1197"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700936F3"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w:t>
            </w:r>
          </w:p>
        </w:tc>
        <w:tc>
          <w:tcPr>
            <w:tcW w:w="1140"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2C8DFFA4"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w:t>
            </w:r>
          </w:p>
        </w:tc>
        <w:tc>
          <w:tcPr>
            <w:tcW w:w="1128"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5E94F7B0"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w:t>
            </w:r>
          </w:p>
        </w:tc>
      </w:tr>
      <w:tr w:rsidRPr="00AE1B2B" w:rsidR="009D3FB5" w:rsidTr="009D3FB5" w14:paraId="2892BF99" w14:textId="77777777">
        <w:trPr>
          <w:trHeight w:val="300"/>
          <w:jc w:val="center"/>
        </w:trPr>
        <w:tc>
          <w:tcPr>
            <w:tcW w:w="3190" w:type="dxa"/>
            <w:tcBorders>
              <w:top w:val="nil"/>
              <w:left w:val="single" w:color="auto" w:sz="8" w:space="0"/>
              <w:bottom w:val="single" w:color="auto" w:sz="8" w:space="0"/>
              <w:right w:val="single" w:color="auto" w:sz="8" w:space="0"/>
            </w:tcBorders>
            <w:shd w:val="clear" w:color="auto" w:fill="auto"/>
            <w:noWrap/>
            <w:vAlign w:val="center"/>
            <w:hideMark/>
          </w:tcPr>
          <w:p w:rsidRPr="00AE1B2B" w:rsidR="009D3FB5" w:rsidP="00163B94" w:rsidRDefault="009D3FB5" w14:paraId="560DEFF7"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 Circuito Judicial de la zona Atlántica</w:t>
            </w:r>
          </w:p>
        </w:tc>
        <w:tc>
          <w:tcPr>
            <w:tcW w:w="629"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6FBBC2C6"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w:t>
            </w:r>
          </w:p>
        </w:tc>
        <w:tc>
          <w:tcPr>
            <w:tcW w:w="1197"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112C234A"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c>
          <w:tcPr>
            <w:tcW w:w="2268" w:type="dxa"/>
            <w:gridSpan w:val="2"/>
            <w:tcBorders>
              <w:top w:val="single" w:color="auto" w:sz="8" w:space="0"/>
              <w:left w:val="nil"/>
              <w:bottom w:val="single" w:color="auto" w:sz="8" w:space="0"/>
              <w:right w:val="single" w:color="auto" w:sz="8" w:space="0"/>
            </w:tcBorders>
            <w:shd w:val="clear" w:color="auto" w:fill="auto"/>
            <w:noWrap/>
            <w:vAlign w:val="center"/>
            <w:hideMark/>
          </w:tcPr>
          <w:p w:rsidRPr="00AE1B2B" w:rsidR="009D3FB5" w:rsidP="00163B94" w:rsidRDefault="009D3FB5" w14:paraId="65527D03"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r>
      <w:tr w:rsidRPr="00AE1B2B" w:rsidR="009D3FB5" w:rsidTr="009D3FB5" w14:paraId="231A1EAE" w14:textId="77777777">
        <w:trPr>
          <w:trHeight w:val="270"/>
          <w:jc w:val="center"/>
        </w:trPr>
        <w:tc>
          <w:tcPr>
            <w:tcW w:w="3190" w:type="dxa"/>
            <w:tcBorders>
              <w:top w:val="nil"/>
              <w:left w:val="single" w:color="auto" w:sz="8" w:space="0"/>
              <w:bottom w:val="single" w:color="auto" w:sz="8" w:space="0"/>
              <w:right w:val="single" w:color="auto" w:sz="8" w:space="0"/>
            </w:tcBorders>
            <w:shd w:val="clear" w:color="auto" w:fill="auto"/>
            <w:noWrap/>
            <w:vAlign w:val="center"/>
            <w:hideMark/>
          </w:tcPr>
          <w:p w:rsidRPr="00AE1B2B" w:rsidR="009D3FB5" w:rsidP="00163B94" w:rsidRDefault="009D3FB5" w14:paraId="20CD0C74"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II Circuito Judicial de la zona Atlántica</w:t>
            </w:r>
          </w:p>
        </w:tc>
        <w:tc>
          <w:tcPr>
            <w:tcW w:w="1826" w:type="dxa"/>
            <w:gridSpan w:val="2"/>
            <w:tcBorders>
              <w:top w:val="single" w:color="auto" w:sz="8" w:space="0"/>
              <w:left w:val="nil"/>
              <w:bottom w:val="single" w:color="auto" w:sz="8" w:space="0"/>
              <w:right w:val="single" w:color="000000" w:sz="8" w:space="0"/>
            </w:tcBorders>
            <w:shd w:val="clear" w:color="auto" w:fill="auto"/>
            <w:noWrap/>
            <w:vAlign w:val="center"/>
            <w:hideMark/>
          </w:tcPr>
          <w:p w:rsidRPr="00AE1B2B" w:rsidR="009D3FB5" w:rsidP="00163B94" w:rsidRDefault="009D3FB5" w14:paraId="756376A2"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c>
          <w:tcPr>
            <w:tcW w:w="2268" w:type="dxa"/>
            <w:gridSpan w:val="2"/>
            <w:tcBorders>
              <w:top w:val="single" w:color="auto" w:sz="8" w:space="0"/>
              <w:left w:val="nil"/>
              <w:bottom w:val="single" w:color="auto" w:sz="8" w:space="0"/>
              <w:right w:val="single" w:color="auto" w:sz="8" w:space="0"/>
            </w:tcBorders>
            <w:shd w:val="clear" w:color="auto" w:fill="auto"/>
            <w:noWrap/>
            <w:vAlign w:val="center"/>
            <w:hideMark/>
          </w:tcPr>
          <w:p w:rsidRPr="00AE1B2B" w:rsidR="009D3FB5" w:rsidP="00163B94" w:rsidRDefault="009D3FB5" w14:paraId="03CB2369"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r>
      <w:tr w:rsidRPr="00AE1B2B" w:rsidR="009D3FB5" w:rsidTr="009D3FB5" w14:paraId="35AE85DD" w14:textId="77777777">
        <w:trPr>
          <w:trHeight w:val="300"/>
          <w:jc w:val="center"/>
        </w:trPr>
        <w:tc>
          <w:tcPr>
            <w:tcW w:w="3190" w:type="dxa"/>
            <w:tcBorders>
              <w:top w:val="nil"/>
              <w:left w:val="single" w:color="auto" w:sz="8" w:space="0"/>
              <w:bottom w:val="single" w:color="auto" w:sz="8" w:space="0"/>
              <w:right w:val="single" w:color="auto" w:sz="8" w:space="0"/>
            </w:tcBorders>
            <w:shd w:val="clear" w:color="auto" w:fill="auto"/>
            <w:noWrap/>
            <w:vAlign w:val="center"/>
            <w:hideMark/>
          </w:tcPr>
          <w:p w:rsidRPr="00AE1B2B" w:rsidR="009D3FB5" w:rsidP="00163B94" w:rsidRDefault="009D3FB5" w14:paraId="3C17C125"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 Circuito Judicial Guanacaste</w:t>
            </w:r>
          </w:p>
        </w:tc>
        <w:tc>
          <w:tcPr>
            <w:tcW w:w="629"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76596A4D"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w:t>
            </w:r>
          </w:p>
        </w:tc>
        <w:tc>
          <w:tcPr>
            <w:tcW w:w="1197"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5F4FFF36"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c>
          <w:tcPr>
            <w:tcW w:w="2268" w:type="dxa"/>
            <w:gridSpan w:val="2"/>
            <w:tcBorders>
              <w:top w:val="single" w:color="auto" w:sz="8" w:space="0"/>
              <w:left w:val="nil"/>
              <w:bottom w:val="single" w:color="auto" w:sz="8" w:space="0"/>
              <w:right w:val="single" w:color="auto" w:sz="8" w:space="0"/>
            </w:tcBorders>
            <w:shd w:val="clear" w:color="auto" w:fill="auto"/>
            <w:noWrap/>
            <w:vAlign w:val="center"/>
            <w:hideMark/>
          </w:tcPr>
          <w:p w:rsidRPr="00AE1B2B" w:rsidR="009D3FB5" w:rsidP="00163B94" w:rsidRDefault="009D3FB5" w14:paraId="1AFEA28C"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r>
      <w:tr w:rsidRPr="00AE1B2B" w:rsidR="009D3FB5" w:rsidTr="009D3FB5" w14:paraId="684C8ECA" w14:textId="77777777">
        <w:trPr>
          <w:trHeight w:val="270"/>
          <w:jc w:val="center"/>
        </w:trPr>
        <w:tc>
          <w:tcPr>
            <w:tcW w:w="3190" w:type="dxa"/>
            <w:tcBorders>
              <w:top w:val="nil"/>
              <w:left w:val="single" w:color="auto" w:sz="8" w:space="0"/>
              <w:bottom w:val="single" w:color="auto" w:sz="8" w:space="0"/>
              <w:right w:val="single" w:color="auto" w:sz="8" w:space="0"/>
            </w:tcBorders>
            <w:shd w:val="clear" w:color="auto" w:fill="auto"/>
            <w:noWrap/>
            <w:vAlign w:val="center"/>
            <w:hideMark/>
          </w:tcPr>
          <w:p w:rsidRPr="00AE1B2B" w:rsidR="009D3FB5" w:rsidP="00163B94" w:rsidRDefault="009D3FB5" w14:paraId="03524130"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II Circuito Judicial Guanacaste</w:t>
            </w:r>
          </w:p>
        </w:tc>
        <w:tc>
          <w:tcPr>
            <w:tcW w:w="629"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059B7002"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w:t>
            </w:r>
          </w:p>
        </w:tc>
        <w:tc>
          <w:tcPr>
            <w:tcW w:w="1197"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3724BE97"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w:t>
            </w:r>
          </w:p>
        </w:tc>
        <w:tc>
          <w:tcPr>
            <w:tcW w:w="1140"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17B08ABA"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w:t>
            </w:r>
          </w:p>
        </w:tc>
        <w:tc>
          <w:tcPr>
            <w:tcW w:w="1128" w:type="dxa"/>
            <w:tcBorders>
              <w:top w:val="nil"/>
              <w:left w:val="nil"/>
              <w:bottom w:val="single" w:color="auto" w:sz="8" w:space="0"/>
              <w:right w:val="single" w:color="auto" w:sz="8" w:space="0"/>
            </w:tcBorders>
            <w:shd w:val="clear" w:color="auto" w:fill="auto"/>
            <w:noWrap/>
            <w:vAlign w:val="center"/>
            <w:hideMark/>
          </w:tcPr>
          <w:p w:rsidRPr="00AE1B2B" w:rsidR="009D3FB5" w:rsidP="00163B94" w:rsidRDefault="009D3FB5" w14:paraId="6AC6D0FE"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w:t>
            </w:r>
          </w:p>
        </w:tc>
      </w:tr>
      <w:tr w:rsidRPr="00AE1B2B" w:rsidR="009D3FB5" w:rsidTr="009D3FB5" w14:paraId="3EBA2D6B" w14:textId="77777777">
        <w:trPr>
          <w:trHeight w:val="270"/>
          <w:jc w:val="center"/>
        </w:trPr>
        <w:tc>
          <w:tcPr>
            <w:tcW w:w="3190" w:type="dxa"/>
            <w:tcBorders>
              <w:top w:val="nil"/>
              <w:left w:val="single" w:color="auto" w:sz="8" w:space="0"/>
              <w:bottom w:val="single" w:color="auto" w:sz="8" w:space="0"/>
              <w:right w:val="single" w:color="auto" w:sz="8" w:space="0"/>
            </w:tcBorders>
            <w:shd w:val="clear" w:color="auto" w:fill="auto"/>
            <w:noWrap/>
            <w:vAlign w:val="center"/>
            <w:hideMark/>
          </w:tcPr>
          <w:p w:rsidRPr="00AE1B2B" w:rsidR="009D3FB5" w:rsidP="00163B94" w:rsidRDefault="009D3FB5" w14:paraId="5C0ED896"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Cartago</w:t>
            </w:r>
          </w:p>
        </w:tc>
        <w:tc>
          <w:tcPr>
            <w:tcW w:w="1826" w:type="dxa"/>
            <w:gridSpan w:val="2"/>
            <w:tcBorders>
              <w:top w:val="single" w:color="auto" w:sz="8" w:space="0"/>
              <w:left w:val="nil"/>
              <w:bottom w:val="single" w:color="auto" w:sz="8" w:space="0"/>
              <w:right w:val="single" w:color="000000" w:sz="8" w:space="0"/>
            </w:tcBorders>
            <w:shd w:val="clear" w:color="auto" w:fill="auto"/>
            <w:noWrap/>
            <w:vAlign w:val="center"/>
            <w:hideMark/>
          </w:tcPr>
          <w:p w:rsidRPr="00AE1B2B" w:rsidR="009D3FB5" w:rsidP="00163B94" w:rsidRDefault="009D3FB5" w14:paraId="4097E056"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c>
          <w:tcPr>
            <w:tcW w:w="2268" w:type="dxa"/>
            <w:gridSpan w:val="2"/>
            <w:tcBorders>
              <w:top w:val="single" w:color="auto" w:sz="8" w:space="0"/>
              <w:left w:val="nil"/>
              <w:bottom w:val="single" w:color="auto" w:sz="8" w:space="0"/>
              <w:right w:val="single" w:color="auto" w:sz="8" w:space="0"/>
            </w:tcBorders>
            <w:shd w:val="clear" w:color="auto" w:fill="auto"/>
            <w:noWrap/>
            <w:vAlign w:val="center"/>
            <w:hideMark/>
          </w:tcPr>
          <w:p w:rsidRPr="00AE1B2B" w:rsidR="009D3FB5" w:rsidP="00163B94" w:rsidRDefault="009D3FB5" w14:paraId="1D862806"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r>
      <w:tr w:rsidRPr="00AE1B2B" w:rsidR="009D3FB5" w:rsidTr="009D3FB5" w14:paraId="137875CA" w14:textId="77777777">
        <w:trPr>
          <w:trHeight w:val="270"/>
          <w:jc w:val="center"/>
        </w:trPr>
        <w:tc>
          <w:tcPr>
            <w:tcW w:w="3190" w:type="dxa"/>
            <w:tcBorders>
              <w:top w:val="nil"/>
              <w:left w:val="single" w:color="auto" w:sz="8" w:space="0"/>
              <w:bottom w:val="single" w:color="auto" w:sz="8" w:space="0"/>
              <w:right w:val="single" w:color="auto" w:sz="8" w:space="0"/>
            </w:tcBorders>
            <w:shd w:val="clear" w:color="auto" w:fill="auto"/>
            <w:noWrap/>
            <w:vAlign w:val="center"/>
            <w:hideMark/>
          </w:tcPr>
          <w:p w:rsidRPr="00AE1B2B" w:rsidR="009D3FB5" w:rsidP="00163B94" w:rsidRDefault="009D3FB5" w14:paraId="076D4767"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Puntarenas</w:t>
            </w:r>
          </w:p>
        </w:tc>
        <w:tc>
          <w:tcPr>
            <w:tcW w:w="1826" w:type="dxa"/>
            <w:gridSpan w:val="2"/>
            <w:tcBorders>
              <w:top w:val="single" w:color="auto" w:sz="8" w:space="0"/>
              <w:left w:val="nil"/>
              <w:bottom w:val="single" w:color="auto" w:sz="8" w:space="0"/>
              <w:right w:val="single" w:color="000000" w:sz="8" w:space="0"/>
            </w:tcBorders>
            <w:shd w:val="clear" w:color="auto" w:fill="auto"/>
            <w:noWrap/>
            <w:vAlign w:val="center"/>
            <w:hideMark/>
          </w:tcPr>
          <w:p w:rsidRPr="00AE1B2B" w:rsidR="009D3FB5" w:rsidP="00163B94" w:rsidRDefault="009D3FB5" w14:paraId="0658F29E"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c>
          <w:tcPr>
            <w:tcW w:w="2268" w:type="dxa"/>
            <w:gridSpan w:val="2"/>
            <w:tcBorders>
              <w:top w:val="single" w:color="auto" w:sz="8" w:space="0"/>
              <w:left w:val="nil"/>
              <w:bottom w:val="single" w:color="auto" w:sz="8" w:space="0"/>
              <w:right w:val="single" w:color="auto" w:sz="8" w:space="0"/>
            </w:tcBorders>
            <w:shd w:val="clear" w:color="auto" w:fill="auto"/>
            <w:noWrap/>
            <w:vAlign w:val="center"/>
            <w:hideMark/>
          </w:tcPr>
          <w:p w:rsidRPr="00AE1B2B" w:rsidR="009D3FB5" w:rsidP="00163B94" w:rsidRDefault="009D3FB5" w14:paraId="1D6053B8"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w:t>
            </w:r>
          </w:p>
        </w:tc>
      </w:tr>
    </w:tbl>
    <w:p w:rsidRPr="00AE1B2B" w:rsidR="009D3FB5" w:rsidP="00163B94" w:rsidRDefault="009D3FB5" w14:paraId="0F4B85DA" w14:textId="77777777">
      <w:pPr>
        <w:spacing w:before="120" w:after="120" w:line="360" w:lineRule="auto"/>
        <w:ind w:left="851" w:right="758"/>
        <w:jc w:val="both"/>
        <w:rPr>
          <w:rFonts w:ascii="Times New Roman" w:hAnsi="Times New Roman" w:eastAsia="Book Antiqua" w:cs="Times New Roman"/>
          <w:i/>
          <w:iCs/>
          <w:sz w:val="24"/>
          <w:szCs w:val="24"/>
        </w:rPr>
      </w:pPr>
    </w:p>
    <w:p w:rsidRPr="00AE1B2B" w:rsidR="009D3FB5" w:rsidP="00163B94" w:rsidRDefault="009D3FB5" w14:paraId="5F5AA9E6"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5.2.2. Se apruebe un plan piloto para la atención de las causas en Justicia Restaurativa para la etapa de Ejecución e Intermedia del proceso Penal, además de procedimiento especial Abreviado y Contravenciones, a ejecutarse en el Primer Circuito Judicial de San José, por parte del equipo Psicosocial destacado en este circuito y con la cobertura de los tres circuitos judiciales de San José. Este deberá contar con la coordinación previa de los Juezas y Jueces Coordinadores de los despachos judiciales.</w:t>
      </w:r>
    </w:p>
    <w:p w:rsidRPr="00AE1B2B" w:rsidR="009D3FB5" w:rsidP="00163B94" w:rsidRDefault="009D3FB5" w14:paraId="3434D51E"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69E09D56"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5.2.3. Las oficinas de Justicia Restaurativa que las cargas de trabajo sean inferiores a las indicadas en la recomendación 5.1., deben ampliar su abordaje en Ejecución de la Pena y Etapa Intermedia, en el procedimiento especial Abreviado, para efecto de un mejor aprovechamiento de su capacidad instalada.</w:t>
      </w:r>
    </w:p>
    <w:p w:rsidRPr="00AE1B2B" w:rsidR="009D3FB5" w:rsidP="00163B94" w:rsidRDefault="009D3FB5" w14:paraId="6900EA58"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632B26B5"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i/>
          <w:iCs/>
          <w:sz w:val="26"/>
          <w:szCs w:val="26"/>
        </w:rPr>
        <w:t xml:space="preserve">5.2.4. Reservar para el siguiente período de formulación presupuestaria, los requerimientos solicitados por la Dirección de Justicia Restaurativa, hasta tanto no se cuente con un estudio sobre el impacto de la entrada en vigencia de la Ley de Justicia Restaurativa, a nivel del ingreso de las causas ingresadas en función de la capacidad instalada de las oficinas de Justicia Restaurativa. Lo anterior, en vista de que la Ley de Justicia Restaurativa que entró en vigencia el pasado 20 de enero, amplía su aplicación a todas las etapas del proceso penal, incluida la Ejecución de la Pena y Etapa Intermedia, en el procedimiento especial Abreviado, además de las Contravenciones. En ese sentido, la entrada de causas en las oficinas de Justicia Restaurativa, se vería afectada por el incremento en su abordaje, aspecto que en la actualidad resulta incierto estimar, toda </w:t>
      </w:r>
      <w:r w:rsidRPr="00AE1B2B">
        <w:rPr>
          <w:rFonts w:ascii="Times New Roman" w:hAnsi="Times New Roman" w:eastAsia="Book Antiqua" w:cs="Times New Roman"/>
          <w:i/>
          <w:iCs/>
          <w:sz w:val="26"/>
          <w:szCs w:val="26"/>
        </w:rPr>
        <w:lastRenderedPageBreak/>
        <w:t>vez que la aplicación de Justicia Restaurativa en etapa de Ejecución e Intermedia, además de procedimiento especial Abreviado y Contravenciones, hasta la fecha no se ha ejecutado y por ende, no se cuenta con suficiente información estadística para establecer proyecciones de cargas de trabajo.”.</w:t>
      </w:r>
    </w:p>
    <w:p w:rsidRPr="00AE1B2B" w:rsidR="009D3FB5" w:rsidP="00163B94" w:rsidRDefault="009D3FB5" w14:paraId="0978C772"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79882425" w14:textId="77777777">
      <w:pPr>
        <w:numPr>
          <w:ilvl w:val="1"/>
          <w:numId w:val="130"/>
        </w:numPr>
        <w:spacing w:before="120" w:after="120"/>
        <w:ind w:left="851" w:right="851" w:firstLine="709"/>
        <w:jc w:val="both"/>
        <w:rPr>
          <w:rFonts w:ascii="Times New Roman" w:hAnsi="Times New Roman" w:eastAsia="Book Antiqua" w:cs="Times New Roman"/>
          <w:sz w:val="26"/>
          <w:szCs w:val="26"/>
          <w:lang w:val="es-ES" w:eastAsia="es-ES"/>
        </w:rPr>
      </w:pPr>
      <w:r w:rsidRPr="00AE1B2B">
        <w:rPr>
          <w:rFonts w:ascii="Times New Roman" w:hAnsi="Times New Roman" w:eastAsia="Book Antiqua" w:cs="Times New Roman"/>
          <w:sz w:val="26"/>
          <w:szCs w:val="26"/>
          <w:lang w:val="es-ES" w:eastAsia="es-ES"/>
        </w:rPr>
        <w:t xml:space="preserve">Por otra parte, </w:t>
      </w:r>
      <w:bookmarkStart w:name="_Hlk64646360" w:id="336"/>
      <w:r w:rsidRPr="00AE1B2B">
        <w:rPr>
          <w:rFonts w:ascii="Times New Roman" w:hAnsi="Times New Roman" w:eastAsia="Book Antiqua" w:cs="Times New Roman"/>
          <w:sz w:val="26"/>
          <w:szCs w:val="26"/>
          <w:lang w:val="es-ES" w:eastAsia="es-ES"/>
        </w:rPr>
        <w:t>en sesión 98-19 del Consejo Superior, celebrada el 7 de noviembre de 2019, artículo XCVII se conoció el Protocolo del Programa de Justicia Restaurativa para el Bienestar Integral del Personal Judicial para Conductas Relacionadas con el Deterioro de las Finanzas Personales y de Faltas de Respeto, el cual inició en el año 2020</w:t>
      </w:r>
      <w:bookmarkEnd w:id="336"/>
      <w:r w:rsidRPr="00AE1B2B">
        <w:rPr>
          <w:rFonts w:ascii="Times New Roman" w:hAnsi="Times New Roman" w:eastAsia="Book Antiqua" w:cs="Times New Roman"/>
          <w:sz w:val="26"/>
          <w:szCs w:val="26"/>
          <w:lang w:val="es-ES" w:eastAsia="es-ES"/>
        </w:rPr>
        <w:t>. Este programa atenderá durante los primeros tres años los siguientes casos a nivel del Gran Área Metropolitana:</w:t>
      </w:r>
    </w:p>
    <w:p w:rsidRPr="00AE1B2B" w:rsidR="009D3FB5" w:rsidP="00163B94" w:rsidRDefault="009D3FB5" w14:paraId="76DFA76F"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7D27413C"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w:t>
      </w:r>
      <w:r w:rsidRPr="00AE1B2B">
        <w:rPr>
          <w:rFonts w:ascii="Times New Roman" w:hAnsi="Times New Roman" w:eastAsia="Book Antiqua" w:cs="Times New Roman"/>
          <w:sz w:val="26"/>
          <w:szCs w:val="26"/>
        </w:rPr>
        <w:tab/>
      </w:r>
      <w:r w:rsidRPr="00AE1B2B">
        <w:rPr>
          <w:rFonts w:ascii="Times New Roman" w:hAnsi="Times New Roman" w:eastAsia="Book Antiqua" w:cs="Times New Roman"/>
          <w:sz w:val="26"/>
          <w:szCs w:val="26"/>
        </w:rPr>
        <w:t>Procesos por conductas relacionadas con el deterioro de las finanzas personales.</w:t>
      </w:r>
    </w:p>
    <w:p w:rsidRPr="00AE1B2B" w:rsidR="009D3FB5" w:rsidP="00163B94" w:rsidRDefault="009D3FB5" w14:paraId="65FE9AFF"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w:t>
      </w:r>
      <w:r w:rsidRPr="00AE1B2B">
        <w:rPr>
          <w:rFonts w:ascii="Times New Roman" w:hAnsi="Times New Roman" w:eastAsia="Book Antiqua" w:cs="Times New Roman"/>
          <w:sz w:val="26"/>
          <w:szCs w:val="26"/>
        </w:rPr>
        <w:tab/>
      </w:r>
      <w:r w:rsidRPr="00AE1B2B">
        <w:rPr>
          <w:rFonts w:ascii="Times New Roman" w:hAnsi="Times New Roman" w:eastAsia="Book Antiqua" w:cs="Times New Roman"/>
          <w:sz w:val="26"/>
          <w:szCs w:val="26"/>
        </w:rPr>
        <w:t>Procesos por diferencias interpersonales entre funcionarios y/o funcionarias del Organismo de Investigación Judicial, que encuadren en las faltas reguladas por los artículos 192 inciso 1) y 193 inciso 1) de la Ley Orgánica del Poder Judicial.</w:t>
      </w:r>
    </w:p>
    <w:p w:rsidRPr="00AE1B2B" w:rsidR="009D3FB5" w:rsidP="00163B94" w:rsidRDefault="009D3FB5" w14:paraId="738D20BE"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082E1FC0"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6C84ACA3"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38DFE9A5"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Adicionalmente se indica:</w:t>
      </w:r>
    </w:p>
    <w:p w:rsidRPr="00AE1B2B" w:rsidR="009D3FB5" w:rsidP="00163B94" w:rsidRDefault="009D3FB5" w14:paraId="01131F4F"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“Esta cobertura podrá ampliarse paulatinamente, sujeto a un análisis de los resultados semestrales del Plan Piloto que se deberán remitir al Consejo Superior y a la integración a la Red de Apoyo de instituciones y/u organizaciones que permitan el debido cumplimiento de los planes reparadores por parte del personal judicial que labora en jurisdicciones fuera del GAM.</w:t>
      </w:r>
    </w:p>
    <w:p w:rsidRPr="00AE1B2B" w:rsidR="009D3FB5" w:rsidP="00163B94" w:rsidRDefault="009D3FB5" w14:paraId="55A4CE4C" w14:textId="77777777">
      <w:pPr>
        <w:spacing w:before="120" w:after="120"/>
        <w:ind w:left="851" w:right="851" w:firstLine="709"/>
        <w:jc w:val="both"/>
        <w:rPr>
          <w:rFonts w:ascii="Times New Roman" w:hAnsi="Times New Roman" w:eastAsia="Book Antiqua" w:cs="Times New Roman"/>
          <w:i/>
          <w:iCs/>
          <w:sz w:val="26"/>
          <w:szCs w:val="26"/>
        </w:rPr>
      </w:pPr>
    </w:p>
    <w:p w:rsidRPr="00AE1B2B" w:rsidR="009D3FB5" w:rsidP="00163B94" w:rsidRDefault="009D3FB5" w14:paraId="2E8B2715"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Durante el Plan Piloto, el Programa recibirá un máximo de 25 asuntos por mes, cuota que se cuantificará entre todos los órganos disciplinarios y/u oficinas que están participando en esta etapa inicial. Dicha cuota mensual también se encontrará sujeta a ser variada, siempre y cuando no se afecte la atención de calidad de los asuntos por parte del Programa.”</w:t>
      </w:r>
    </w:p>
    <w:p w:rsidRPr="00AE1B2B" w:rsidR="009D3FB5" w:rsidP="00163B94" w:rsidRDefault="009D3FB5" w14:paraId="2B671E08"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2DF7E4BC"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lastRenderedPageBreak/>
        <w:t xml:space="preserve">Sobre este particular, se debe aclarar que este programa no se contempla dentro de las disposiciones mencionadas en la Ley de Justicia Restaurativa. </w:t>
      </w:r>
    </w:p>
    <w:p w:rsidRPr="00AE1B2B" w:rsidR="009D3FB5" w:rsidP="00163B94" w:rsidRDefault="009D3FB5" w14:paraId="1A0ED33F"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45CACE49" w14:textId="791A8929">
      <w:pPr>
        <w:numPr>
          <w:ilvl w:val="1"/>
          <w:numId w:val="130"/>
        </w:numPr>
        <w:spacing w:before="120" w:after="120"/>
        <w:ind w:left="851" w:right="851" w:firstLine="709"/>
        <w:jc w:val="both"/>
        <w:rPr>
          <w:rFonts w:ascii="Times New Roman" w:hAnsi="Times New Roman" w:eastAsia="Book Antiqua" w:cs="Times New Roman"/>
          <w:sz w:val="26"/>
          <w:szCs w:val="26"/>
          <w:lang w:val="es-ES" w:eastAsia="es-ES"/>
        </w:rPr>
      </w:pPr>
      <w:r w:rsidRPr="00AE1B2B">
        <w:rPr>
          <w:rFonts w:ascii="Times New Roman" w:hAnsi="Times New Roman" w:eastAsia="Book Antiqua" w:cs="Times New Roman"/>
          <w:sz w:val="26"/>
          <w:szCs w:val="26"/>
          <w:lang w:val="es-ES" w:eastAsia="es-ES"/>
        </w:rPr>
        <w:t>En sesión del Consejo Superior 45-20 del 08 de mayo de 2020, artículo XX, acogió</w:t>
      </w:r>
      <w:r w:rsidRPr="00AE1B2B" w:rsidR="00BB7720">
        <w:rPr>
          <w:rFonts w:ascii="Times New Roman" w:hAnsi="Times New Roman" w:eastAsia="Book Antiqua" w:cs="Times New Roman"/>
          <w:sz w:val="26"/>
          <w:szCs w:val="26"/>
          <w:lang w:val="es-ES" w:eastAsia="es-ES"/>
        </w:rPr>
        <w:t xml:space="preserve"> </w:t>
      </w:r>
      <w:r w:rsidRPr="00AE1B2B">
        <w:rPr>
          <w:rFonts w:ascii="Times New Roman" w:hAnsi="Times New Roman" w:eastAsia="Book Antiqua" w:cs="Times New Roman"/>
          <w:sz w:val="26"/>
          <w:szCs w:val="26"/>
          <w:lang w:val="es-ES" w:eastAsia="es-ES"/>
        </w:rPr>
        <w:t>la propuesta de abordaje a nivel nacional descrita en el informe 586-PLA-RH-MI-2020, que contempla el cambio de la clase de puesto y por ende, del perfil profesional de las plazas extraordinarias existentes para la atención de Justicia Penal Juvenil Restaurativa según se detalla: dos plazas de Jueza o Juez 3 a una plaza de Fiscala o Fiscal y una de Defensora o Defensor Pública, además de la conversión del perfil competencial de las plazas de Técnica o Técnico Judicial</w:t>
      </w:r>
      <w:r w:rsidRPr="00AE1B2B" w:rsidR="00BB7720">
        <w:rPr>
          <w:rFonts w:ascii="Times New Roman" w:hAnsi="Times New Roman" w:eastAsia="Book Antiqua" w:cs="Times New Roman"/>
          <w:sz w:val="26"/>
          <w:szCs w:val="26"/>
          <w:lang w:val="es-ES" w:eastAsia="es-ES"/>
        </w:rPr>
        <w:t xml:space="preserve"> </w:t>
      </w:r>
      <w:r w:rsidRPr="00AE1B2B">
        <w:rPr>
          <w:rFonts w:ascii="Times New Roman" w:hAnsi="Times New Roman" w:eastAsia="Book Antiqua" w:cs="Times New Roman"/>
          <w:sz w:val="26"/>
          <w:szCs w:val="26"/>
          <w:lang w:val="es-ES" w:eastAsia="es-ES"/>
        </w:rPr>
        <w:t>a Trabajadora o Trabajador Social y Psicóloga o Psicólogo, con el propósito de maximizar la función de estas plazas extraordinarias mediante la conformación dos equipos de trabajo</w:t>
      </w:r>
      <w:r w:rsidRPr="00AE1B2B" w:rsidR="00BB7720">
        <w:rPr>
          <w:rFonts w:ascii="Times New Roman" w:hAnsi="Times New Roman" w:eastAsia="Book Antiqua" w:cs="Times New Roman"/>
          <w:sz w:val="26"/>
          <w:szCs w:val="26"/>
          <w:lang w:val="es-ES" w:eastAsia="es-ES"/>
        </w:rPr>
        <w:t xml:space="preserve"> </w:t>
      </w:r>
      <w:r w:rsidRPr="00AE1B2B">
        <w:rPr>
          <w:rFonts w:ascii="Times New Roman" w:hAnsi="Times New Roman" w:eastAsia="Book Antiqua" w:cs="Times New Roman"/>
          <w:sz w:val="26"/>
          <w:szCs w:val="26"/>
          <w:lang w:val="es-ES" w:eastAsia="es-ES"/>
        </w:rPr>
        <w:t>adicionales para extender la cobertura al I y II Circuito de Guanacaste y el II Circuito de la Zona Sur, con ello dar cumplimiento del Transitorio I de la Ley de Justicia Restaurativa.</w:t>
      </w:r>
    </w:p>
    <w:p w:rsidRPr="00AE1B2B" w:rsidR="009D3FB5" w:rsidP="00163B94" w:rsidRDefault="009D3FB5" w14:paraId="10589B6B"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324F03A1" w14:textId="77777777">
      <w:pPr>
        <w:numPr>
          <w:ilvl w:val="1"/>
          <w:numId w:val="130"/>
        </w:numPr>
        <w:spacing w:before="120" w:after="120"/>
        <w:ind w:left="851" w:right="851" w:firstLine="709"/>
        <w:jc w:val="both"/>
        <w:rPr>
          <w:rFonts w:ascii="Times New Roman" w:hAnsi="Times New Roman" w:eastAsia="Book Antiqua" w:cs="Times New Roman"/>
          <w:sz w:val="26"/>
          <w:szCs w:val="26"/>
          <w:lang w:val="es-ES" w:eastAsia="es-ES"/>
        </w:rPr>
      </w:pPr>
      <w:r w:rsidRPr="00AE1B2B">
        <w:rPr>
          <w:rFonts w:ascii="Times New Roman" w:hAnsi="Times New Roman" w:eastAsia="Book Antiqua" w:cs="Times New Roman"/>
          <w:sz w:val="26"/>
          <w:szCs w:val="26"/>
          <w:lang w:val="es-ES" w:eastAsia="es-ES"/>
        </w:rPr>
        <w:t>Importante indicar que el Consejo Superior acoge la propuesta del escenario planteado por la Dirección de Justicia Restaurativa, tomando en consideración adicionalmente, según la recomendación técnica de Planificación, que el Equipo Psicosocial del ICJ Alajuela tenga cobertura debidamente programada para el II CJ de Alajuela San Carlos y que el resto de Equipos a nivel nacional extiendan su cobertura al resto de materias y etapas, entres estas Penal, Penal Juvenil y Penal en etapa intermedia, Contravenciones y Ejecución de la Pena, según se plateo por la Dirección de Planificación en relación a las capacidades instaladas y cumplimiento de cuotas aprobadas.</w:t>
      </w:r>
    </w:p>
    <w:p w:rsidRPr="00AE1B2B" w:rsidR="009D3FB5" w:rsidP="00163B94" w:rsidRDefault="009D3FB5" w14:paraId="1C4B1454"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07579005" w14:textId="77777777">
      <w:pPr>
        <w:numPr>
          <w:ilvl w:val="1"/>
          <w:numId w:val="130"/>
        </w:numPr>
        <w:spacing w:before="120" w:after="120"/>
        <w:ind w:left="851" w:right="851" w:firstLine="709"/>
        <w:jc w:val="both"/>
        <w:rPr>
          <w:rFonts w:ascii="Times New Roman" w:hAnsi="Times New Roman" w:eastAsia="Book Antiqua" w:cs="Times New Roman"/>
          <w:sz w:val="26"/>
          <w:szCs w:val="26"/>
          <w:lang w:val="es-ES" w:eastAsia="es-ES"/>
        </w:rPr>
      </w:pPr>
      <w:r w:rsidRPr="00AE1B2B">
        <w:rPr>
          <w:rFonts w:ascii="Times New Roman" w:hAnsi="Times New Roman" w:eastAsia="Book Antiqua" w:cs="Times New Roman"/>
          <w:sz w:val="26"/>
          <w:szCs w:val="26"/>
          <w:lang w:val="es-ES" w:eastAsia="es-ES"/>
        </w:rPr>
        <w:t>El informe 586-PLA-RH-MI-2020 fue conocido y aprobado en la Sesión número 31-20 de Corte Plena (Presupuesto 2021) celebrada el 02 de junio de 2020, Artículo II. El acuerdo se cita textualmente:</w:t>
      </w:r>
    </w:p>
    <w:p w:rsidRPr="00AE1B2B" w:rsidR="009D3FB5" w:rsidP="00163B94" w:rsidRDefault="009D3FB5" w14:paraId="453CB774"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4556BA5A"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“Aprobar por separado del Presupuesto ordinario del Poder Judicial, los requerimientos correspondientes a la Ley de Justicia Restaurativa, en la forma propuesta por el magistrado Alfaro…”.</w:t>
      </w:r>
    </w:p>
    <w:p w:rsidRPr="00AE1B2B" w:rsidR="009D3FB5" w:rsidP="00163B94" w:rsidRDefault="009D3FB5" w14:paraId="2B37E70A"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1AA72408"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191DFFA1"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2EE48A39"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1097722B"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La propuesta del Magistrado Alfaro corresponde a la asignación de las siguientes plazas nuevas, para la atención de Justicia Restaurativa:</w:t>
      </w:r>
    </w:p>
    <w:p w:rsidRPr="00AE1B2B" w:rsidR="009D3FB5" w:rsidP="00163B94" w:rsidRDefault="009D3FB5" w14:paraId="1D039DB6"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2EC60A89"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w:t>
      </w:r>
      <w:r w:rsidRPr="00AE1B2B">
        <w:rPr>
          <w:rFonts w:ascii="Times New Roman" w:hAnsi="Times New Roman" w:eastAsia="Book Antiqua" w:cs="Times New Roman"/>
          <w:sz w:val="26"/>
          <w:szCs w:val="26"/>
        </w:rPr>
        <w:tab/>
      </w:r>
      <w:r w:rsidRPr="00AE1B2B">
        <w:rPr>
          <w:rFonts w:ascii="Times New Roman" w:hAnsi="Times New Roman" w:eastAsia="Book Antiqua" w:cs="Times New Roman"/>
          <w:sz w:val="26"/>
          <w:szCs w:val="26"/>
        </w:rPr>
        <w:t>11 Defensoras o Defensores Públicos</w:t>
      </w:r>
    </w:p>
    <w:p w:rsidRPr="00AE1B2B" w:rsidR="009D3FB5" w:rsidP="00163B94" w:rsidRDefault="009D3FB5" w14:paraId="7E8F052E"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w:t>
      </w:r>
      <w:r w:rsidRPr="00AE1B2B">
        <w:rPr>
          <w:rFonts w:ascii="Times New Roman" w:hAnsi="Times New Roman" w:eastAsia="Book Antiqua" w:cs="Times New Roman"/>
          <w:sz w:val="26"/>
          <w:szCs w:val="26"/>
        </w:rPr>
        <w:tab/>
      </w:r>
      <w:r w:rsidRPr="00AE1B2B">
        <w:rPr>
          <w:rFonts w:ascii="Times New Roman" w:hAnsi="Times New Roman" w:eastAsia="Book Antiqua" w:cs="Times New Roman"/>
          <w:sz w:val="26"/>
          <w:szCs w:val="26"/>
        </w:rPr>
        <w:t>6 Fiscalas o Fiscales</w:t>
      </w:r>
    </w:p>
    <w:p w:rsidRPr="00AE1B2B" w:rsidR="009D3FB5" w:rsidP="00163B94" w:rsidRDefault="009D3FB5" w14:paraId="4FC6A6A1"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w:t>
      </w:r>
      <w:r w:rsidRPr="00AE1B2B">
        <w:rPr>
          <w:rFonts w:ascii="Times New Roman" w:hAnsi="Times New Roman" w:eastAsia="Book Antiqua" w:cs="Times New Roman"/>
          <w:sz w:val="26"/>
          <w:szCs w:val="26"/>
        </w:rPr>
        <w:tab/>
      </w:r>
      <w:r w:rsidRPr="00AE1B2B">
        <w:rPr>
          <w:rFonts w:ascii="Times New Roman" w:hAnsi="Times New Roman" w:eastAsia="Book Antiqua" w:cs="Times New Roman"/>
          <w:sz w:val="26"/>
          <w:szCs w:val="26"/>
        </w:rPr>
        <w:t>12 Profesionales en Psicología</w:t>
      </w:r>
    </w:p>
    <w:p w:rsidRPr="00AE1B2B" w:rsidR="009D3FB5" w:rsidP="00163B94" w:rsidRDefault="009D3FB5" w14:paraId="12F33E24"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w:t>
      </w:r>
      <w:r w:rsidRPr="00AE1B2B">
        <w:rPr>
          <w:rFonts w:ascii="Times New Roman" w:hAnsi="Times New Roman" w:eastAsia="Book Antiqua" w:cs="Times New Roman"/>
          <w:sz w:val="26"/>
          <w:szCs w:val="26"/>
        </w:rPr>
        <w:tab/>
      </w:r>
      <w:r w:rsidRPr="00AE1B2B">
        <w:rPr>
          <w:rFonts w:ascii="Times New Roman" w:hAnsi="Times New Roman" w:eastAsia="Book Antiqua" w:cs="Times New Roman"/>
          <w:sz w:val="26"/>
          <w:szCs w:val="26"/>
        </w:rPr>
        <w:t xml:space="preserve">13 Profesionales en Trabajo Social </w:t>
      </w:r>
    </w:p>
    <w:p w:rsidRPr="00AE1B2B" w:rsidR="009D3FB5" w:rsidP="00163B94" w:rsidRDefault="009D3FB5" w14:paraId="18A3A1C7"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w:t>
      </w:r>
      <w:r w:rsidRPr="00AE1B2B">
        <w:rPr>
          <w:rFonts w:ascii="Times New Roman" w:hAnsi="Times New Roman" w:eastAsia="Book Antiqua" w:cs="Times New Roman"/>
          <w:sz w:val="26"/>
          <w:szCs w:val="26"/>
        </w:rPr>
        <w:tab/>
      </w:r>
      <w:r w:rsidRPr="00AE1B2B">
        <w:rPr>
          <w:rFonts w:ascii="Times New Roman" w:hAnsi="Times New Roman" w:eastAsia="Book Antiqua" w:cs="Times New Roman"/>
          <w:sz w:val="26"/>
          <w:szCs w:val="26"/>
        </w:rPr>
        <w:t>11 Técnicas o Técnicos Judiciales</w:t>
      </w:r>
    </w:p>
    <w:p w:rsidRPr="00AE1B2B" w:rsidR="009D3FB5" w:rsidP="00163B94" w:rsidRDefault="009D3FB5" w14:paraId="588219B2"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1220A9AB" w14:textId="77777777">
      <w:pPr>
        <w:numPr>
          <w:ilvl w:val="1"/>
          <w:numId w:val="130"/>
        </w:numPr>
        <w:spacing w:before="120" w:after="120"/>
        <w:ind w:left="851" w:right="851" w:firstLine="709"/>
        <w:jc w:val="both"/>
        <w:rPr>
          <w:rFonts w:ascii="Times New Roman" w:hAnsi="Times New Roman" w:eastAsia="Book Antiqua" w:cs="Times New Roman"/>
          <w:sz w:val="26"/>
          <w:szCs w:val="26"/>
          <w:lang w:val="es-ES" w:eastAsia="es-ES"/>
        </w:rPr>
      </w:pPr>
      <w:r w:rsidRPr="00AE1B2B">
        <w:rPr>
          <w:rFonts w:ascii="Times New Roman" w:hAnsi="Times New Roman" w:eastAsia="Book Antiqua" w:cs="Times New Roman"/>
          <w:sz w:val="26"/>
          <w:szCs w:val="26"/>
          <w:lang w:val="es-ES" w:eastAsia="es-ES"/>
        </w:rPr>
        <w:t>En oficio 139-P-2020, de fecha 12 de junio de 2020 y dirigido al Ministro de Hacienda, el Presidente de la Corte en alusión a la sesión de Corte Plena 31-20 celebrada el 02 de junio de 2020, artículo I, en la que se discutió y aprobó el Proyecto de Presupuesto del Poder Judicial para el año 2021, el cual se ajustó al límite presupuestario establecido por Ministerio de Hacienda, en el que se indicó:</w:t>
      </w:r>
    </w:p>
    <w:p w:rsidRPr="00AE1B2B" w:rsidR="009D3FB5" w:rsidP="00163B94" w:rsidRDefault="009D3FB5" w14:paraId="0A19BD19" w14:textId="77777777">
      <w:pPr>
        <w:spacing w:before="120" w:after="120"/>
        <w:ind w:left="851" w:right="851" w:firstLine="709"/>
        <w:jc w:val="both"/>
        <w:rPr>
          <w:rFonts w:ascii="Times New Roman" w:hAnsi="Times New Roman" w:eastAsia="Book Antiqua" w:cs="Times New Roman"/>
          <w:sz w:val="26"/>
          <w:szCs w:val="26"/>
          <w:lang w:val="es-ES" w:eastAsia="es-ES"/>
        </w:rPr>
      </w:pPr>
    </w:p>
    <w:p w:rsidRPr="00AE1B2B" w:rsidR="009D3FB5" w:rsidP="00163B94" w:rsidRDefault="009D3FB5" w14:paraId="18780F7F" w14:textId="77777777">
      <w:pPr>
        <w:spacing w:before="120" w:after="120"/>
        <w:ind w:left="851" w:right="851" w:firstLine="709"/>
        <w:jc w:val="both"/>
        <w:rPr>
          <w:rFonts w:ascii="Times New Roman" w:hAnsi="Times New Roman" w:eastAsia="Book Antiqua" w:cs="Times New Roman"/>
          <w:i/>
          <w:iCs/>
          <w:sz w:val="26"/>
          <w:szCs w:val="26"/>
          <w:lang w:val="es-ES" w:eastAsia="es-ES"/>
        </w:rPr>
      </w:pPr>
      <w:r w:rsidRPr="00AE1B2B">
        <w:rPr>
          <w:rFonts w:ascii="Times New Roman" w:hAnsi="Times New Roman" w:eastAsia="Book Antiqua" w:cs="Times New Roman"/>
          <w:i/>
          <w:iCs/>
          <w:sz w:val="26"/>
          <w:szCs w:val="26"/>
          <w:lang w:val="es-ES" w:eastAsia="es-ES"/>
        </w:rPr>
        <w:t>“En razón de las limitaciones presupuestarias, la Corte Plena acordó hacer una instancia, tanto al Ministerio de Hacienda como a la Asamblea Legislativa, para que se valore la posibilidad de contar con financiamiento adicional al gasto ordinario para atender las nuevas obligaciones encomendadas por la Asamblea Legislativa …”.</w:t>
      </w:r>
    </w:p>
    <w:p w:rsidRPr="00AE1B2B" w:rsidR="009D3FB5" w:rsidP="00163B94" w:rsidRDefault="009D3FB5" w14:paraId="50F74371" w14:textId="77777777">
      <w:pPr>
        <w:spacing w:before="120" w:after="120"/>
        <w:ind w:left="851" w:right="851" w:firstLine="709"/>
        <w:jc w:val="both"/>
        <w:rPr>
          <w:rFonts w:ascii="Times New Roman" w:hAnsi="Times New Roman" w:eastAsia="Book Antiqua" w:cs="Times New Roman"/>
          <w:i/>
          <w:iCs/>
          <w:sz w:val="26"/>
          <w:szCs w:val="26"/>
          <w:lang w:val="es-ES" w:eastAsia="es-ES"/>
        </w:rPr>
      </w:pPr>
    </w:p>
    <w:p w:rsidRPr="00AE1B2B" w:rsidR="009D3FB5" w:rsidP="00163B94" w:rsidRDefault="009D3FB5" w14:paraId="38E32AC1" w14:textId="77777777">
      <w:pPr>
        <w:spacing w:before="120" w:after="120"/>
        <w:ind w:left="851" w:right="851" w:firstLine="709"/>
        <w:jc w:val="both"/>
        <w:rPr>
          <w:rFonts w:ascii="Times New Roman" w:hAnsi="Times New Roman" w:eastAsia="Book Antiqua" w:cs="Times New Roman"/>
          <w:i/>
          <w:iCs/>
          <w:sz w:val="26"/>
          <w:szCs w:val="26"/>
          <w:lang w:val="es-ES" w:eastAsia="es-ES"/>
        </w:rPr>
      </w:pPr>
    </w:p>
    <w:p w:rsidRPr="00AE1B2B" w:rsidR="009D3FB5" w:rsidP="00163B94" w:rsidRDefault="009D3FB5" w14:paraId="7DEC0CBF" w14:textId="77777777">
      <w:pPr>
        <w:spacing w:before="120" w:after="120"/>
        <w:ind w:left="851" w:right="851" w:firstLine="709"/>
        <w:jc w:val="both"/>
        <w:rPr>
          <w:rFonts w:ascii="Times New Roman" w:hAnsi="Times New Roman" w:eastAsia="Book Antiqua" w:cs="Times New Roman"/>
          <w:i/>
          <w:iCs/>
          <w:sz w:val="26"/>
          <w:szCs w:val="26"/>
          <w:lang w:val="es-ES" w:eastAsia="es-ES"/>
        </w:rPr>
      </w:pPr>
    </w:p>
    <w:p w:rsidRPr="00AE1B2B" w:rsidR="009D3FB5" w:rsidP="00163B94" w:rsidRDefault="009D3FB5" w14:paraId="63B1E509" w14:textId="77777777">
      <w:pPr>
        <w:spacing w:before="120" w:after="120"/>
        <w:ind w:left="851" w:right="851" w:firstLine="709"/>
        <w:jc w:val="both"/>
        <w:rPr>
          <w:rFonts w:ascii="Times New Roman" w:hAnsi="Times New Roman" w:eastAsia="Book Antiqua" w:cs="Times New Roman"/>
          <w:i/>
          <w:iCs/>
          <w:sz w:val="26"/>
          <w:szCs w:val="26"/>
          <w:lang w:val="es-ES" w:eastAsia="es-ES"/>
        </w:rPr>
      </w:pPr>
    </w:p>
    <w:p w:rsidRPr="00AE1B2B" w:rsidR="009D3FB5" w:rsidP="00163B94" w:rsidRDefault="009D3FB5" w14:paraId="3AAC689B" w14:textId="77777777">
      <w:pPr>
        <w:spacing w:before="120" w:after="120"/>
        <w:ind w:left="851" w:right="851" w:firstLine="709"/>
        <w:jc w:val="both"/>
        <w:rPr>
          <w:rFonts w:ascii="Times New Roman" w:hAnsi="Times New Roman" w:eastAsia="Book Antiqua" w:cs="Times New Roman"/>
          <w:i/>
          <w:iCs/>
          <w:sz w:val="26"/>
          <w:szCs w:val="26"/>
          <w:lang w:val="es-ES" w:eastAsia="es-ES"/>
        </w:rPr>
      </w:pPr>
    </w:p>
    <w:p w:rsidRPr="00AE1B2B" w:rsidR="009D3FB5" w:rsidP="00163B94" w:rsidRDefault="009D3FB5" w14:paraId="0335D017" w14:textId="77777777">
      <w:pPr>
        <w:numPr>
          <w:ilvl w:val="1"/>
          <w:numId w:val="130"/>
        </w:num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Mediante oficio 1480-PLA-PP-2020 de fecha 22 de setiembre de 2020, conocido por Corte Plena en sesión 55-2020, celebrada el 28 de setiembre de 2020, artículo XVI; la Dirección de </w:t>
      </w:r>
      <w:r w:rsidRPr="00AE1B2B">
        <w:rPr>
          <w:rFonts w:ascii="Times New Roman" w:hAnsi="Times New Roman" w:eastAsia="Times New Roman" w:cs="Times New Roman"/>
          <w:sz w:val="26"/>
          <w:szCs w:val="26"/>
          <w:lang w:val="es-ES" w:eastAsia="es-ES"/>
        </w:rPr>
        <w:lastRenderedPageBreak/>
        <w:t>Planificación revisa el Proyecto de Presupuesto del Poder Judicial para la atención de nuevas obligaciones legales, sobre lo que se indica:</w:t>
      </w:r>
    </w:p>
    <w:p w:rsidRPr="00AE1B2B" w:rsidR="009D3FB5" w:rsidP="00163B94" w:rsidRDefault="009D3FB5" w14:paraId="427CA44C" w14:textId="77777777">
      <w:pPr>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42B7DC51" w14:textId="77777777">
      <w:pPr>
        <w:spacing w:before="120" w:after="120"/>
        <w:ind w:left="851" w:right="851" w:firstLine="709"/>
        <w:jc w:val="both"/>
        <w:rPr>
          <w:rFonts w:ascii="Times New Roman" w:hAnsi="Times New Roman" w:eastAsia="Times New Roman" w:cs="Times New Roman"/>
          <w:i/>
          <w:iCs/>
          <w:sz w:val="26"/>
          <w:szCs w:val="26"/>
          <w:lang w:val="es-ES" w:eastAsia="es-ES"/>
        </w:rPr>
      </w:pPr>
      <w:r w:rsidRPr="00AE1B2B">
        <w:rPr>
          <w:rFonts w:ascii="Times New Roman" w:hAnsi="Times New Roman" w:eastAsia="Times New Roman" w:cs="Times New Roman"/>
          <w:i/>
          <w:iCs/>
          <w:sz w:val="26"/>
          <w:szCs w:val="26"/>
          <w:lang w:val="es-ES" w:eastAsia="es-ES"/>
        </w:rPr>
        <w:t xml:space="preserve">“El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w:t>
      </w:r>
      <w:r w:rsidRPr="00AE1B2B">
        <w:rPr>
          <w:rFonts w:ascii="Times New Roman" w:hAnsi="Times New Roman" w:eastAsia="Times New Roman" w:cs="Times New Roman"/>
          <w:b/>
          <w:i/>
          <w:iCs/>
          <w:sz w:val="26"/>
          <w:szCs w:val="26"/>
          <w:lang w:val="es-ES" w:eastAsia="es-ES"/>
        </w:rPr>
        <w:t>no fueron incorporados por el Ministerio de Hacienda al presupuesto ordinario, ni tampoco se remitieron como requerimiento adicional a la Asamblea Legislativa</w:t>
      </w:r>
      <w:r w:rsidRPr="00AE1B2B">
        <w:rPr>
          <w:rFonts w:ascii="Times New Roman" w:hAnsi="Times New Roman" w:eastAsia="Times New Roman" w:cs="Times New Roman"/>
          <w:i/>
          <w:iCs/>
          <w:sz w:val="26"/>
          <w:szCs w:val="26"/>
          <w:lang w:val="es-ES" w:eastAsia="es-ES"/>
        </w:rPr>
        <w:t>.”.</w:t>
      </w:r>
    </w:p>
    <w:p w:rsidRPr="00AE1B2B" w:rsidR="009D3FB5" w:rsidP="00163B94" w:rsidRDefault="009D3FB5" w14:paraId="228BDEB4"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6AEB599C" w14:textId="77777777">
      <w:pPr>
        <w:spacing w:before="120" w:after="120"/>
        <w:ind w:left="851" w:right="851" w:firstLine="709"/>
        <w:jc w:val="both"/>
        <w:rPr>
          <w:rFonts w:ascii="Times New Roman" w:hAnsi="Times New Roman" w:eastAsia="Times New Roman" w:cs="Times New Roman"/>
          <w:b/>
          <w:bCs/>
          <w:kern w:val="32"/>
          <w:sz w:val="26"/>
          <w:szCs w:val="26"/>
          <w:lang w:val="x-none"/>
        </w:rPr>
      </w:pPr>
      <w:r w:rsidRPr="00AE1B2B">
        <w:rPr>
          <w:rFonts w:ascii="Times New Roman" w:hAnsi="Times New Roman" w:eastAsia="Times New Roman" w:cs="Times New Roman"/>
          <w:b/>
          <w:bCs/>
          <w:kern w:val="32"/>
          <w:sz w:val="26"/>
          <w:szCs w:val="26"/>
          <w:lang w:val="x-none"/>
        </w:rPr>
        <w:t>Justificación</w:t>
      </w:r>
    </w:p>
    <w:p w:rsidRPr="00AE1B2B" w:rsidR="009D3FB5" w:rsidP="00163B94" w:rsidRDefault="009D3FB5" w14:paraId="61D994AE" w14:textId="2D244B54">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El Transitorio 1 de la Ley de Justicia Restaurativa, dispuso de la creación de nuevas oficinas a nivel nacional, para que de forma gradual dentro de un plazo de tres años a partir de su vigencia (20 de enero de 2022), se mantenga una cobertura Nacional.</w:t>
      </w:r>
      <w:r w:rsidRPr="00AE1B2B" w:rsidR="00BB7720">
        <w:rPr>
          <w:rFonts w:ascii="Times New Roman" w:hAnsi="Times New Roman" w:eastAsia="Calibri" w:cs="Times New Roman"/>
          <w:sz w:val="26"/>
          <w:szCs w:val="26"/>
        </w:rPr>
        <w:t xml:space="preserve"> </w:t>
      </w:r>
    </w:p>
    <w:p w:rsidRPr="00AE1B2B" w:rsidR="009D3FB5" w:rsidP="00163B94" w:rsidRDefault="009D3FB5" w14:paraId="7329BD56"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“TRANSITORIO 1- La Corte Suprema de Justicia creará las nuevas oficinas de justicia restaurativa de forma gradual hasta tener una cobertura nacional, en el plazo de tres años a partir de la vigencia de la ley. Cada dependencia judicial deberá tomar las previsiones para direccionar recursos o presupuestar los requerimientos para la implementación de esta ley.”</w:t>
      </w:r>
    </w:p>
    <w:p w:rsidRPr="00AE1B2B" w:rsidR="009D3FB5" w:rsidP="00163B94" w:rsidRDefault="009D3FB5" w14:paraId="23517C30"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En lo especifico a materia Penal de adultos, conforme al referido artículo 6 de la Ley de Justicia Restaurativa, se estableció de la apertura de oficinas según las necesidades del servicio, en los diferentes circuitos judiciales a nivel nacional. En materia Penal Juvenil, se dispuso que se conformarían en las diferentes jurisdicciones el Programa de Justicia Juvenil Restaurativa y que, para ese efecto, se dotará de equipos psicosociales, que en conjunto con las personas funcionarias de la Defensa Pública y el Ministerio Público de cada despacho, aplicarán el procedimiento juvenil restaurativo como parte de sus competencias legales y las normas establecidas en esta ley.</w:t>
      </w:r>
    </w:p>
    <w:p w:rsidRPr="00AE1B2B" w:rsidR="009D3FB5" w:rsidP="00163B94" w:rsidRDefault="009D3FB5" w14:paraId="0815FF4E"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materia Contravencional, básicamente se dispuso lo mismo que en materia Penal Juvenil, respecto a que se conformará en las diferentes jurisdicciones el Programa de Justicia Contravencional </w:t>
      </w:r>
      <w:r w:rsidRPr="00AE1B2B">
        <w:rPr>
          <w:rFonts w:ascii="Times New Roman" w:hAnsi="Times New Roman" w:eastAsia="Calibri" w:cs="Times New Roman"/>
          <w:sz w:val="26"/>
          <w:szCs w:val="26"/>
        </w:rPr>
        <w:lastRenderedPageBreak/>
        <w:t>Restaurativa y por lo que debe dotarse de equipos psicosociales, que, en conjunto con la persona juzgadora, desarrollarán la justicia restaurativa como parte de sus competencias legales.</w:t>
      </w:r>
    </w:p>
    <w:p w:rsidRPr="00AE1B2B" w:rsidR="009D3FB5" w:rsidP="00163B94" w:rsidRDefault="009D3FB5" w14:paraId="4EEFF9D9" w14:textId="6B7CEBBD">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Por otra parte, a raíz del ejercicio presupuestario para el año 2022 se coordinó una sesión de trabajo con la Licenciada Jovanna Calderón Altamirano, Profesional encargada de la Oficina Rectora de Justicia Restaurativa, con el objetivo de verificar el cumplimiento del escenario aprobado en el informe</w:t>
      </w:r>
      <w:r w:rsidRPr="00AE1B2B" w:rsidR="00BB7720">
        <w:rPr>
          <w:rFonts w:ascii="Times New Roman" w:hAnsi="Times New Roman" w:eastAsia="Calibri" w:cs="Times New Roman"/>
          <w:sz w:val="26"/>
          <w:szCs w:val="26"/>
        </w:rPr>
        <w:t xml:space="preserve"> </w:t>
      </w:r>
    </w:p>
    <w:p w:rsidRPr="00AE1B2B" w:rsidR="009D3FB5" w:rsidP="00163B94" w:rsidRDefault="009D3FB5" w14:paraId="6750E19B"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Posteriormente se remite el oficio 035-ORJR-20 por parte de la Oficina Rectora de Justicia Restaurativa en el que se detalla una propuesta de maximización de los recursos existentes, en la que se considera ampliación de cobertura tanto territorial como respecto a las materias. Por otra parte, se incluye la solicitud de recursos para conformar nuevos equipos interdisciplinarios, con el propósito de abarcar la atención tanto respecto a materias como en la totalidad de los circuitos. En la solicitud de forma concreta se consideran un total de 35 plazas (5 Profesionales 2 de Trabajo Social, 6 Profesionales 2 de Psicología, 3 Defensoras o Defensores Públicos, 3 Fiscalas o Fiscales Auxiliares y 14 Técnicas o Técnicos Judiciales y para el Procedimiento de Justicia Restaurativa para el Bienestar Integral del Personal Judicial se consideran 1 Profesional en Derecho 3B, 1 plaza de Profesional 2 de Trabajo Social, 1 plaza de Profesional 2 de Psicología y 1 plaza de Técnica o Técnico Judicial).</w:t>
      </w:r>
    </w:p>
    <w:p w:rsidRPr="00AE1B2B" w:rsidR="009D3FB5" w:rsidP="00163B94" w:rsidRDefault="009D3FB5" w14:paraId="24EBE71B"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Se indica que esta propuesta, tanto respecto a la ampliación de cobertura como la solicitud de recursos nuevos fue establecida en consenso con el Ministerio Público, la Defensa Pública y el Departamento de Trabajo Social y Psicología.</w:t>
      </w:r>
    </w:p>
    <w:p w:rsidRPr="00AE1B2B" w:rsidR="009D3FB5" w:rsidP="00163B94" w:rsidRDefault="009D3FB5" w14:paraId="090DAA96" w14:textId="77777777">
      <w:pPr>
        <w:spacing w:before="120" w:after="120"/>
        <w:ind w:left="851" w:right="851" w:firstLine="709"/>
        <w:jc w:val="both"/>
        <w:rPr>
          <w:rFonts w:ascii="Times New Roman" w:hAnsi="Times New Roman" w:eastAsia="Times New Roman" w:cs="Times New Roman"/>
          <w:b/>
          <w:bCs/>
          <w:kern w:val="32"/>
          <w:sz w:val="26"/>
          <w:szCs w:val="26"/>
          <w:lang w:val="x-none"/>
        </w:rPr>
      </w:pPr>
      <w:r w:rsidRPr="00AE1B2B">
        <w:rPr>
          <w:rFonts w:ascii="Times New Roman" w:hAnsi="Times New Roman" w:eastAsia="Times New Roman" w:cs="Times New Roman"/>
          <w:b/>
          <w:bCs/>
          <w:kern w:val="32"/>
          <w:sz w:val="26"/>
          <w:szCs w:val="26"/>
          <w:lang w:val="x-none"/>
        </w:rPr>
        <w:t>Información relevante</w:t>
      </w:r>
    </w:p>
    <w:p w:rsidRPr="00AE1B2B" w:rsidR="009D3FB5" w:rsidP="00163B94" w:rsidRDefault="009D3FB5" w14:paraId="6C5603AC" w14:textId="77777777">
      <w:pPr>
        <w:spacing w:before="120" w:after="120"/>
        <w:ind w:left="851" w:right="851" w:firstLine="709"/>
        <w:jc w:val="both"/>
        <w:rPr>
          <w:rFonts w:ascii="Times New Roman" w:hAnsi="Times New Roman" w:eastAsia="Calibri" w:cs="Times New Roman"/>
          <w:b/>
          <w:bCs/>
          <w:iCs/>
          <w:sz w:val="26"/>
          <w:szCs w:val="26"/>
          <w:lang w:val="x-none" w:eastAsia="x-none"/>
        </w:rPr>
      </w:pPr>
      <w:r w:rsidRPr="00AE1B2B">
        <w:rPr>
          <w:rFonts w:ascii="Times New Roman" w:hAnsi="Times New Roman" w:eastAsia="Calibri" w:cs="Times New Roman"/>
          <w:b/>
          <w:bCs/>
          <w:iCs/>
          <w:sz w:val="26"/>
          <w:szCs w:val="26"/>
          <w:lang w:eastAsia="x-none"/>
        </w:rPr>
        <w:t>Estructura de recurso humano y abordaje de Justicia Restaurativa.</w:t>
      </w:r>
    </w:p>
    <w:p w:rsidRPr="00AE1B2B" w:rsidR="009D3FB5" w:rsidP="00163B94" w:rsidRDefault="009D3FB5" w14:paraId="3AD7CCC1"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La Ofician Rectora de Justicia Restaurativa, funciona bajo la coordinación del magistrado Gerardo Rubén Alfaro Vargas y cuenta con el siguiente recurso humano: </w:t>
      </w:r>
    </w:p>
    <w:p w:rsidRPr="00AE1B2B" w:rsidR="009D3FB5" w:rsidP="00163B94" w:rsidRDefault="009D3FB5" w14:paraId="03D6D7EA"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w:t>
      </w:r>
      <w:r w:rsidRPr="00AE1B2B">
        <w:rPr>
          <w:rFonts w:ascii="Times New Roman" w:hAnsi="Times New Roman" w:eastAsia="Calibri" w:cs="Times New Roman"/>
          <w:sz w:val="26"/>
          <w:szCs w:val="26"/>
        </w:rPr>
        <w:tab/>
      </w:r>
      <w:r w:rsidRPr="00AE1B2B">
        <w:rPr>
          <w:rFonts w:ascii="Times New Roman" w:hAnsi="Times New Roman" w:eastAsia="Calibri" w:cs="Times New Roman"/>
          <w:sz w:val="26"/>
          <w:szCs w:val="26"/>
        </w:rPr>
        <w:t>3 plazas de Profesional en Derecho 3B</w:t>
      </w:r>
    </w:p>
    <w:p w:rsidRPr="00AE1B2B" w:rsidR="009D3FB5" w:rsidP="00163B94" w:rsidRDefault="009D3FB5" w14:paraId="6425F0A4"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w:t>
      </w:r>
      <w:r w:rsidRPr="00AE1B2B">
        <w:rPr>
          <w:rFonts w:ascii="Times New Roman" w:hAnsi="Times New Roman" w:eastAsia="Calibri" w:cs="Times New Roman"/>
          <w:sz w:val="26"/>
          <w:szCs w:val="26"/>
        </w:rPr>
        <w:tab/>
      </w:r>
      <w:r w:rsidRPr="00AE1B2B">
        <w:rPr>
          <w:rFonts w:ascii="Times New Roman" w:hAnsi="Times New Roman" w:eastAsia="Calibri" w:cs="Times New Roman"/>
          <w:sz w:val="26"/>
          <w:szCs w:val="26"/>
        </w:rPr>
        <w:t>1 plaza de Técnica o Técnico Judicial</w:t>
      </w:r>
    </w:p>
    <w:p w:rsidRPr="00AE1B2B" w:rsidR="009D3FB5" w:rsidP="00163B94" w:rsidRDefault="009D3FB5" w14:paraId="1E8DAC1B"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w:t>
      </w:r>
      <w:r w:rsidRPr="00AE1B2B">
        <w:rPr>
          <w:rFonts w:ascii="Times New Roman" w:hAnsi="Times New Roman" w:eastAsia="Calibri" w:cs="Times New Roman"/>
          <w:sz w:val="26"/>
          <w:szCs w:val="26"/>
        </w:rPr>
        <w:tab/>
      </w:r>
      <w:r w:rsidRPr="00AE1B2B">
        <w:rPr>
          <w:rFonts w:ascii="Times New Roman" w:hAnsi="Times New Roman" w:eastAsia="Calibri" w:cs="Times New Roman"/>
          <w:sz w:val="26"/>
          <w:szCs w:val="26"/>
        </w:rPr>
        <w:t>1 plaza de Secretaria Ejecutiva</w:t>
      </w:r>
    </w:p>
    <w:p w:rsidRPr="00AE1B2B" w:rsidR="009D3FB5" w:rsidP="00163B94" w:rsidRDefault="009D3FB5" w14:paraId="3C104A32"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w:t>
      </w:r>
      <w:r w:rsidRPr="00AE1B2B">
        <w:rPr>
          <w:rFonts w:ascii="Times New Roman" w:hAnsi="Times New Roman" w:eastAsia="Calibri" w:cs="Times New Roman"/>
          <w:sz w:val="26"/>
          <w:szCs w:val="26"/>
        </w:rPr>
        <w:tab/>
      </w:r>
      <w:r w:rsidRPr="00AE1B2B">
        <w:rPr>
          <w:rFonts w:ascii="Times New Roman" w:hAnsi="Times New Roman" w:eastAsia="Calibri" w:cs="Times New Roman"/>
          <w:sz w:val="26"/>
          <w:szCs w:val="26"/>
        </w:rPr>
        <w:t>1 plaza de Profesional 2</w:t>
      </w:r>
    </w:p>
    <w:p w:rsidRPr="00AE1B2B" w:rsidR="009D3FB5" w:rsidP="00163B94" w:rsidRDefault="009D3FB5" w14:paraId="57FB3774"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Dicho recurso se encuentra destacado dentro las instalaciones de la Sala Tercera y adscrito al Área de Gestión y Apoyo del Centro </w:t>
      </w:r>
      <w:r w:rsidRPr="00AE1B2B">
        <w:rPr>
          <w:rFonts w:ascii="Times New Roman" w:hAnsi="Times New Roman" w:eastAsia="Calibri" w:cs="Times New Roman"/>
          <w:sz w:val="26"/>
          <w:szCs w:val="26"/>
        </w:rPr>
        <w:lastRenderedPageBreak/>
        <w:t>de Apoyo, Coordinación y Mejoramiento de la Función Jurisdiccional (CACMFJ), con excepción de la plaza de Profesional 2 que se encuentra adscrita a la Oficina Administrativa del Segundo Circuito Judicial de San José.</w:t>
      </w:r>
    </w:p>
    <w:p w:rsidRPr="00AE1B2B" w:rsidR="009D3FB5" w:rsidP="00163B94" w:rsidRDefault="009D3FB5" w14:paraId="5B8B4E6E"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el informe 1953-PLA-OI-2020, aprobado en sesión del Consejo Superior 07-2021 celebrada el 26 de enero del 2021, artículo XXXVI, se realiza una actualización de los perfiles de puesto y se analiza la estructura organizacional de la Oficina Rectora de Justicia Restaurativa. A partir de este análisis se realiza una recomendación al Centro de Apoyo, Coordinación y Mejoramiento de la Función Jurisdiccional, según se detalla a continuación: </w:t>
      </w:r>
    </w:p>
    <w:p w:rsidRPr="00AE1B2B" w:rsidR="009D3FB5" w:rsidP="00163B94" w:rsidRDefault="009D3FB5" w14:paraId="0A4CC461" w14:textId="77777777">
      <w:pPr>
        <w:spacing w:before="120" w:after="120"/>
        <w:ind w:left="851" w:right="851" w:firstLine="709"/>
        <w:jc w:val="both"/>
        <w:rPr>
          <w:rFonts w:ascii="Times New Roman" w:hAnsi="Times New Roman" w:eastAsia="Calibri" w:cs="Times New Roman"/>
          <w:i/>
          <w:iCs/>
          <w:sz w:val="26"/>
          <w:szCs w:val="26"/>
        </w:rPr>
      </w:pPr>
      <w:r w:rsidRPr="00AE1B2B">
        <w:rPr>
          <w:rFonts w:ascii="Times New Roman" w:hAnsi="Times New Roman" w:eastAsia="Calibri" w:cs="Times New Roman"/>
          <w:i/>
          <w:iCs/>
          <w:sz w:val="26"/>
          <w:szCs w:val="26"/>
        </w:rPr>
        <w:t>“Se recomienda que las plazas adscritas al Área de Gestión y Apoyo del Centro de Apoyo, Coordinación y Mejoramiento de la Función Jurisdiccional y a la Oficina Administrativa del Segundo Circuito Judicial de San José, las cuales vienen dando el soporte a la oficina de Justicia Restaurativa, sean trasladadas de manera definitiva al actual código de oficina 1377- Programa de Justicia Restaurativa.”.</w:t>
      </w:r>
    </w:p>
    <w:p w:rsidRPr="00AE1B2B" w:rsidR="009D3FB5" w:rsidP="00163B94" w:rsidRDefault="009D3FB5" w14:paraId="3E167EBA" w14:textId="77777777">
      <w:pPr>
        <w:spacing w:before="120" w:after="120"/>
        <w:ind w:left="851" w:right="851" w:firstLine="709"/>
        <w:jc w:val="both"/>
        <w:rPr>
          <w:rFonts w:ascii="Times New Roman" w:hAnsi="Times New Roman" w:eastAsia="Calibri" w:cs="Times New Roman"/>
          <w:i/>
          <w:iCs/>
          <w:sz w:val="26"/>
          <w:szCs w:val="26"/>
        </w:rPr>
      </w:pPr>
    </w:p>
    <w:p w:rsidRPr="00AE1B2B" w:rsidR="009D3FB5" w:rsidP="00163B94" w:rsidRDefault="009D3FB5" w14:paraId="000875F9"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El abordaje de los asuntos se lleva a cabo por medio de un Equipo Interdisciplinario, conformado por un Equipo Legal, que incluye a todas las personas profesionales en la rama del Derecho (Juezas y Jueces, Fiscalas y Fiscales, Defensoras y Defensores) y un Equipo Psicosocial integrado por las y los profesionales en las ramas de Psicología y Trabajo Social. </w:t>
      </w:r>
    </w:p>
    <w:p w:rsidRPr="00AE1B2B" w:rsidR="009D3FB5" w:rsidP="00163B94" w:rsidRDefault="009D3FB5" w14:paraId="5FA2811C"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Este recurso humano, forma parte de las correspondientes dependencias y jurisdicciones a nivel nacional (Departamento de Trabajo Social y Psicología, específicamente a cada oficina regional, Despachos jurisdiccionales, Ministerio Público y Defensa Pública.</w:t>
      </w:r>
    </w:p>
    <w:p w:rsidRPr="00AE1B2B" w:rsidR="009D3FB5" w:rsidP="00163B94" w:rsidRDefault="009D3FB5" w14:paraId="783FFD17"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sesión de trabajo mantenida con la Licda. Jovanna Calderon Altamirano (Ver apéndice 1), se suministró el informe de labores de la Oficina Rectora de Justicia Restaurativa a diciembre 2020, en el que se actualiza la cobertura de la atención de la materia contravencional con la colaboración de las Casas de Justicia que son administradas por el Viceministerio de Justicia y Paz. </w:t>
      </w:r>
    </w:p>
    <w:p w:rsidRPr="00AE1B2B" w:rsidR="009D3FB5" w:rsidP="00163B94" w:rsidRDefault="009D3FB5" w14:paraId="49DD54BD"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Por otra parte, se mencionó por parte de la Licda. Jovanna Calderón Altamirano que en el Departamento de Trabajo Social y Psicología se destinó una plaza de Profesional en Trabajo Social y Psicología para asumir labores de coordinación de los equipos psicosociales.</w:t>
      </w:r>
    </w:p>
    <w:p w:rsidRPr="00AE1B2B" w:rsidR="009D3FB5" w:rsidP="00163B94" w:rsidRDefault="009D3FB5" w14:paraId="4B08BA64"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lastRenderedPageBreak/>
        <w:t>Con relación a lo anterior, es importante indicar que en oficio PJ-DGH-SAP-36-2020, las licenciadas Waiman Hin Herrera, Subdirectora interina de Gestión Humana y la María Gabriela Mora Zamora, Jefa de Sección de Análisis de Puestos comunicaron:</w:t>
      </w:r>
    </w:p>
    <w:p w:rsidRPr="00AE1B2B" w:rsidR="009D3FB5" w:rsidP="00163B94" w:rsidRDefault="009D3FB5" w14:paraId="28E35F1A" w14:textId="77777777">
      <w:pPr>
        <w:shd w:val="clear" w:color="auto" w:fill="FFFFFF"/>
        <w:spacing w:before="120" w:after="120"/>
        <w:ind w:left="851" w:right="851" w:firstLine="709"/>
        <w:jc w:val="both"/>
        <w:rPr>
          <w:rFonts w:ascii="Times New Roman" w:hAnsi="Times New Roman" w:eastAsia="Calibri" w:cs="Times New Roman"/>
          <w:i/>
          <w:iCs/>
          <w:sz w:val="26"/>
          <w:szCs w:val="26"/>
        </w:rPr>
      </w:pPr>
      <w:r w:rsidRPr="00AE1B2B">
        <w:rPr>
          <w:rFonts w:ascii="Times New Roman" w:hAnsi="Times New Roman" w:eastAsia="Calibri" w:cs="Times New Roman"/>
          <w:i/>
          <w:iCs/>
          <w:sz w:val="26"/>
          <w:szCs w:val="26"/>
        </w:rPr>
        <w:t>“La Secretaría General de la Corte, mediante el oficio N° 12794-19 de fecha 04 de noviembre del año en curso, pone en conocimiento de esta Dirección lo acordado por el Consejo Superior en sesión N.º 103-19 celebrada el 04 de diciembre de 2019, artículo XCV, según se cita a continuación:</w:t>
      </w:r>
    </w:p>
    <w:p w:rsidRPr="00AE1B2B" w:rsidR="009D3FB5" w:rsidP="00163B94" w:rsidRDefault="009D3FB5" w14:paraId="35C43AF1" w14:textId="77777777">
      <w:pPr>
        <w:shd w:val="clear" w:color="auto" w:fill="FFFFFF"/>
        <w:spacing w:before="120" w:after="120"/>
        <w:ind w:left="851" w:right="851" w:firstLine="709"/>
        <w:jc w:val="both"/>
        <w:rPr>
          <w:rFonts w:ascii="Times New Roman" w:hAnsi="Times New Roman" w:eastAsia="Calibri" w:cs="Times New Roman"/>
          <w:i/>
          <w:iCs/>
          <w:sz w:val="26"/>
          <w:szCs w:val="26"/>
        </w:rPr>
      </w:pPr>
    </w:p>
    <w:p w:rsidRPr="00AE1B2B" w:rsidR="009D3FB5" w:rsidP="00163B94" w:rsidRDefault="009D3FB5" w14:paraId="441608DE" w14:textId="0B050A3F">
      <w:pPr>
        <w:shd w:val="clear" w:color="auto" w:fill="FFFFFF"/>
        <w:spacing w:before="120" w:after="120"/>
        <w:ind w:left="851" w:right="851" w:firstLine="709"/>
        <w:jc w:val="both"/>
        <w:rPr>
          <w:rFonts w:ascii="Times New Roman" w:hAnsi="Times New Roman" w:eastAsia="Calibri" w:cs="Times New Roman"/>
          <w:i/>
          <w:iCs/>
          <w:sz w:val="26"/>
          <w:szCs w:val="26"/>
        </w:rPr>
      </w:pPr>
      <w:r w:rsidRPr="00AE1B2B">
        <w:rPr>
          <w:rFonts w:ascii="Times New Roman" w:hAnsi="Times New Roman" w:eastAsia="Calibri" w:cs="Times New Roman"/>
          <w:i/>
          <w:iCs/>
          <w:sz w:val="26"/>
          <w:szCs w:val="26"/>
        </w:rPr>
        <w:t>“Acoger la solicitud presentada en oficio N° 173–DNJR-19, del 14 de noviembre de 2019, por el máster Rafael Segura Bonilla, magistrado de la Sala Tercera y Rector de Justicia Restaurativa y la máster Alba Gutiérrez Villalobos, Jefa del Departamento de Trabajo Social y Psicología, en consecuencia: 1.) Trasladar el presenta acuerdo a la Dirección de Planificación para lo relativo al cambio de nomenclatura de profesional 2 de Justicia Restaurativa del Departamento de Trabajo Social y Psicología, a Coordinador de Unidad 3, para la “Unidad </w:t>
      </w:r>
      <w:bookmarkStart w:name="_Hlk26790820" w:id="337"/>
      <w:r w:rsidRPr="00AE1B2B">
        <w:rPr>
          <w:rFonts w:ascii="Times New Roman" w:hAnsi="Times New Roman" w:eastAsia="Calibri" w:cs="Times New Roman"/>
          <w:i/>
          <w:iCs/>
          <w:sz w:val="26"/>
          <w:szCs w:val="26"/>
        </w:rPr>
        <w:t>de Coordinación de Justicia Restaurativa del Departamento de Trabajo Social y Psicología</w:t>
      </w:r>
      <w:bookmarkEnd w:id="337"/>
      <w:r w:rsidRPr="00AE1B2B">
        <w:rPr>
          <w:rFonts w:ascii="Times New Roman" w:hAnsi="Times New Roman" w:eastAsia="Calibri" w:cs="Times New Roman"/>
          <w:i/>
          <w:iCs/>
          <w:sz w:val="26"/>
          <w:szCs w:val="26"/>
        </w:rPr>
        <w:t>”, conforme la Ley de Justicia Restaurativa N°9582.</w:t>
      </w:r>
      <w:r w:rsidRPr="00AE1B2B" w:rsidR="00BB7720">
        <w:rPr>
          <w:rFonts w:ascii="Times New Roman" w:hAnsi="Times New Roman" w:eastAsia="Calibri" w:cs="Times New Roman"/>
          <w:i/>
          <w:iCs/>
          <w:sz w:val="26"/>
          <w:szCs w:val="26"/>
        </w:rPr>
        <w:t xml:space="preserve"> </w:t>
      </w:r>
      <w:r w:rsidRPr="00AE1B2B">
        <w:rPr>
          <w:rFonts w:ascii="Times New Roman" w:hAnsi="Times New Roman" w:eastAsia="Calibri" w:cs="Times New Roman"/>
          <w:i/>
          <w:iCs/>
          <w:sz w:val="26"/>
          <w:szCs w:val="26"/>
        </w:rPr>
        <w:t>2.) Autorizar que las plazas vacantes y las que en adelante se creen para el Programa de Justicia Restaurativa del Departamento de Trabajo Social y Psicología, estén adscritas a la sede central de este, lo anterior, con la finalidad que, en caso necesario para mejor servicio, movilizar el personal de los equipos psicosociales al circuito judicial donde sea requerido”.</w:t>
      </w:r>
    </w:p>
    <w:p w:rsidRPr="00AE1B2B" w:rsidR="009D3FB5" w:rsidP="00163B94" w:rsidRDefault="009D3FB5" w14:paraId="1C5EF3E8" w14:textId="77777777">
      <w:pPr>
        <w:shd w:val="clear" w:color="auto" w:fill="FFFFFF"/>
        <w:spacing w:before="120" w:after="120"/>
        <w:ind w:left="851" w:right="851" w:firstLine="709"/>
        <w:jc w:val="both"/>
        <w:rPr>
          <w:rFonts w:ascii="Times New Roman" w:hAnsi="Times New Roman" w:eastAsia="Calibri" w:cs="Times New Roman"/>
          <w:i/>
          <w:iCs/>
          <w:sz w:val="26"/>
          <w:szCs w:val="26"/>
        </w:rPr>
      </w:pPr>
    </w:p>
    <w:p w:rsidRPr="00AE1B2B" w:rsidR="009D3FB5" w:rsidP="00163B94" w:rsidRDefault="009D3FB5" w14:paraId="01BFDB29" w14:textId="77777777">
      <w:pPr>
        <w:shd w:val="clear" w:color="auto" w:fill="FFFFFF"/>
        <w:spacing w:before="120" w:after="120"/>
        <w:ind w:left="851" w:right="851" w:firstLine="709"/>
        <w:jc w:val="both"/>
        <w:rPr>
          <w:rFonts w:ascii="Times New Roman" w:hAnsi="Times New Roman" w:eastAsia="Calibri" w:cs="Times New Roman"/>
          <w:i/>
          <w:iCs/>
          <w:sz w:val="26"/>
          <w:szCs w:val="26"/>
        </w:rPr>
      </w:pPr>
      <w:r w:rsidRPr="00AE1B2B">
        <w:rPr>
          <w:rFonts w:ascii="Times New Roman" w:hAnsi="Times New Roman" w:eastAsia="Calibri" w:cs="Times New Roman"/>
          <w:i/>
          <w:iCs/>
          <w:sz w:val="26"/>
          <w:szCs w:val="26"/>
        </w:rPr>
        <w:t>Sobre lo anterior, lo que procede técnicamente es que en primera instancia la </w:t>
      </w:r>
      <w:bookmarkStart w:name="_Hlk29801652" w:id="338"/>
      <w:r w:rsidRPr="00AE1B2B">
        <w:rPr>
          <w:rFonts w:ascii="Times New Roman" w:hAnsi="Times New Roman" w:eastAsia="Calibri" w:cs="Times New Roman"/>
          <w:i/>
          <w:iCs/>
          <w:sz w:val="26"/>
          <w:szCs w:val="26"/>
        </w:rPr>
        <w:t>Dirección de Planificación </w:t>
      </w:r>
      <w:bookmarkEnd w:id="338"/>
      <w:r w:rsidRPr="00AE1B2B">
        <w:rPr>
          <w:rFonts w:ascii="Times New Roman" w:hAnsi="Times New Roman" w:eastAsia="Calibri" w:cs="Times New Roman"/>
          <w:i/>
          <w:iCs/>
          <w:sz w:val="26"/>
          <w:szCs w:val="26"/>
        </w:rPr>
        <w:t>defina la ubicación y la conveniencia de una “Unidad de Coordinación de Justicia Restaurativa” para los parámetros propios su competencia; dentro de la estructura orgánica funcional del Departamento de Trabajo Social y Psicología o fuera de éste, para el adecuado ejercicio de las funciones en esa materia; por cuanto es de conocimiento también de esa instancia superior que la Dirección de Planificación se encuentra en desarrollo de un informe relacionado precisamente estructura organizativa del “Programa de Justicia Restaurativa”.</w:t>
      </w:r>
    </w:p>
    <w:p w:rsidRPr="00AE1B2B" w:rsidR="009D3FB5" w:rsidP="00163B94" w:rsidRDefault="009D3FB5" w14:paraId="38475922" w14:textId="77777777">
      <w:pPr>
        <w:shd w:val="clear" w:color="auto" w:fill="FFFFFF"/>
        <w:spacing w:before="120" w:after="120"/>
        <w:ind w:left="851" w:right="851" w:firstLine="709"/>
        <w:jc w:val="both"/>
        <w:rPr>
          <w:rFonts w:ascii="Times New Roman" w:hAnsi="Times New Roman" w:eastAsia="Calibri" w:cs="Times New Roman"/>
          <w:i/>
          <w:iCs/>
          <w:sz w:val="26"/>
          <w:szCs w:val="26"/>
        </w:rPr>
      </w:pPr>
    </w:p>
    <w:p w:rsidRPr="00AE1B2B" w:rsidR="009D3FB5" w:rsidP="00163B94" w:rsidRDefault="009D3FB5" w14:paraId="243351C3" w14:textId="77777777">
      <w:pPr>
        <w:shd w:val="clear" w:color="auto" w:fill="FFFFFF"/>
        <w:spacing w:before="120" w:after="120"/>
        <w:ind w:left="851" w:right="851" w:firstLine="709"/>
        <w:jc w:val="both"/>
        <w:rPr>
          <w:rFonts w:ascii="Times New Roman" w:hAnsi="Times New Roman" w:eastAsia="Calibri" w:cs="Times New Roman"/>
          <w:i/>
          <w:iCs/>
          <w:sz w:val="26"/>
          <w:szCs w:val="26"/>
        </w:rPr>
      </w:pPr>
      <w:r w:rsidRPr="00AE1B2B">
        <w:rPr>
          <w:rFonts w:ascii="Times New Roman" w:hAnsi="Times New Roman" w:eastAsia="Calibri" w:cs="Times New Roman"/>
          <w:i/>
          <w:iCs/>
          <w:sz w:val="26"/>
          <w:szCs w:val="26"/>
        </w:rPr>
        <w:lastRenderedPageBreak/>
        <w:t>Es así, que una vez que se tenga los resultados de esta investigación se procederá desde esta instancia técnica a revisar lo que corresponda.”</w:t>
      </w:r>
    </w:p>
    <w:p w:rsidRPr="00AE1B2B" w:rsidR="009D3FB5" w:rsidP="00163B94" w:rsidRDefault="009D3FB5" w14:paraId="5FD4593D"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Sobre lo anterior, se acordó en sesión 12-2020 del Consejo Superior, celebrada el 13 de febrero de 2020, artículo LI:</w:t>
      </w:r>
    </w:p>
    <w:p w:rsidRPr="00AE1B2B" w:rsidR="009D3FB5" w:rsidP="00163B94" w:rsidRDefault="009D3FB5" w14:paraId="70706A39" w14:textId="77777777">
      <w:pPr>
        <w:spacing w:before="120" w:after="120"/>
        <w:ind w:left="851" w:right="851" w:firstLine="709"/>
        <w:jc w:val="both"/>
        <w:rPr>
          <w:rFonts w:ascii="Times New Roman" w:hAnsi="Times New Roman" w:eastAsia="Calibri" w:cs="Times New Roman"/>
          <w:i/>
          <w:iCs/>
          <w:sz w:val="26"/>
          <w:szCs w:val="26"/>
        </w:rPr>
      </w:pPr>
      <w:r w:rsidRPr="00AE1B2B">
        <w:rPr>
          <w:rFonts w:ascii="Times New Roman" w:hAnsi="Times New Roman" w:eastAsia="Calibri" w:cs="Times New Roman"/>
          <w:i/>
          <w:iCs/>
          <w:sz w:val="26"/>
          <w:szCs w:val="26"/>
        </w:rPr>
        <w:t>“Tomar nota de la comunicación realizada por las licenciadas Waiman Hin Herrera, Subdirectora interina de Gestión Humana y María Gabriela Mora Zamora, Jefa de Sección de Análisis de Puestos, en oficio N° PJ-DGH-SAP-36-2020 del 31 de enero de 2020. 2.) Hacer este acuerdo de conocimiento de la Dirección de Planificación, para que sea tomado en cuenta dentro del informe de la estructura organizativa del “Programa de Justicia Restaurativa”.”</w:t>
      </w:r>
    </w:p>
    <w:p w:rsidRPr="00AE1B2B" w:rsidR="009D3FB5" w:rsidP="00163B94" w:rsidRDefault="009D3FB5" w14:paraId="23A81095" w14:textId="77777777">
      <w:pPr>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0190F1FC"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En oficio 133-DNJR-20 remitido el 25 de junio del 2020 por el Magistrado Gerardo Rubén Alfaro Vargas, Rector de Justicia Restaurativa se realizó la siguiente comunicación:</w:t>
      </w:r>
    </w:p>
    <w:p w:rsidRPr="00AE1B2B" w:rsidR="009D3FB5" w:rsidP="00163B94" w:rsidRDefault="009D3FB5" w14:paraId="309FF976" w14:textId="77777777">
      <w:pPr>
        <w:spacing w:before="120" w:after="120"/>
        <w:ind w:left="851" w:right="851" w:firstLine="709"/>
        <w:jc w:val="both"/>
        <w:rPr>
          <w:rFonts w:ascii="Times New Roman" w:hAnsi="Times New Roman" w:eastAsia="Calibri" w:cs="Times New Roman"/>
          <w:i/>
          <w:iCs/>
          <w:sz w:val="26"/>
          <w:szCs w:val="26"/>
        </w:rPr>
      </w:pPr>
      <w:r w:rsidRPr="00AE1B2B">
        <w:rPr>
          <w:rFonts w:ascii="Times New Roman" w:hAnsi="Times New Roman" w:eastAsia="Calibri" w:cs="Times New Roman"/>
          <w:i/>
          <w:iCs/>
          <w:sz w:val="26"/>
          <w:szCs w:val="26"/>
        </w:rPr>
        <w:t>“… no resulta necesario que sea considerado dentro de la estructura de la Dirección de Justicia Restaurativa, conforme el análisis que continua en la Dirección de Planificación. Por el contrario instamos para que pueda ejecutarse lo antes posible el acuerdo del Consejo Superior y se realice el cambio de nomenclatura de profesional 2 de Justicia Restaurativa del Departamento de Trabajo Social y Psicología, a Coordinador de Unidad 3 para la “Unidad de Coordinación de Justicia Restaurativa del Departamento de Trabajo Social y Psicología.”.</w:t>
      </w:r>
    </w:p>
    <w:p w:rsidRPr="00AE1B2B" w:rsidR="009D3FB5" w:rsidP="00163B94" w:rsidRDefault="009D3FB5" w14:paraId="0431DE17" w14:textId="77777777">
      <w:pPr>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0821DC82"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En consulta realizada al Lic. Dennis Madrigal Quesada, Profesional 2 del Subproceso de Organización Institucional de la Dirección de Planificación, indicó que el informe correspondiente a la recalificación de puesto de Profesional 2 de Justicia Restaurativa del Departamento de Trabajo Social y Psicología, a Coordinador de Unidad 3 se encuentra en proceso, y que la plaza recomendada para estos efectos corresponde a la 377352. Bajo esta línea, se cuenta con 21 plazas de profesionales del Departamento de Trabajo Social y Psicología que integran los equipos psicosociales y una plaza que asume las labores de coordinación.</w:t>
      </w:r>
    </w:p>
    <w:p w:rsidRPr="00AE1B2B" w:rsidR="009D3FB5" w:rsidP="00163B94" w:rsidRDefault="009D3FB5" w14:paraId="16150F47"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Por otra parte, se actualiza a enero 2021 la cobertura por Circuito Judicial en las diferentes materias. El detalle correspondiente se muestra a continuación:</w:t>
      </w:r>
    </w:p>
    <w:p w:rsidRPr="00AE1B2B" w:rsidR="009D3FB5" w:rsidP="00163B94" w:rsidRDefault="009D3FB5" w14:paraId="40F7E0C9" w14:textId="77777777">
      <w:pPr>
        <w:tabs>
          <w:tab w:val="left" w:pos="0"/>
        </w:tabs>
        <w:spacing w:before="120" w:after="120"/>
        <w:ind w:left="851" w:right="851" w:firstLine="709"/>
        <w:jc w:val="both"/>
        <w:rPr>
          <w:rFonts w:ascii="Times New Roman" w:hAnsi="Times New Roman" w:eastAsia="Calibri" w:cs="Times New Roman"/>
          <w:b/>
          <w:bCs/>
          <w:sz w:val="26"/>
          <w:szCs w:val="26"/>
        </w:rPr>
      </w:pPr>
      <w:bookmarkStart w:name="_Ref31006745" w:id="339"/>
      <w:bookmarkStart w:name="_Ref30774968" w:id="340"/>
      <w:r w:rsidRPr="00AE1B2B">
        <w:rPr>
          <w:rFonts w:ascii="Times New Roman" w:hAnsi="Times New Roman" w:eastAsia="Calibri" w:cs="Times New Roman"/>
          <w:b/>
          <w:bCs/>
          <w:sz w:val="26"/>
          <w:szCs w:val="26"/>
        </w:rPr>
        <w:lastRenderedPageBreak/>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1</w:t>
      </w:r>
      <w:r w:rsidRPr="00AE1B2B">
        <w:rPr>
          <w:rFonts w:ascii="Times New Roman" w:hAnsi="Times New Roman" w:eastAsia="Calibri" w:cs="Times New Roman"/>
          <w:b/>
          <w:bCs/>
          <w:sz w:val="26"/>
          <w:szCs w:val="26"/>
        </w:rPr>
        <w:fldChar w:fldCharType="end"/>
      </w:r>
      <w:bookmarkEnd w:id="339"/>
      <w:r w:rsidRPr="00AE1B2B">
        <w:rPr>
          <w:rFonts w:ascii="Times New Roman" w:hAnsi="Times New Roman" w:eastAsia="Calibri" w:cs="Times New Roman"/>
          <w:b/>
          <w:bCs/>
          <w:sz w:val="26"/>
          <w:szCs w:val="26"/>
        </w:rPr>
        <w:t>. Abordaje de Justicia Restaurativa según circuito y materia en el 2021</w:t>
      </w:r>
      <w:bookmarkEnd w:id="340"/>
    </w:p>
    <w:p w:rsidRPr="00AE1B2B" w:rsidR="009D3FB5" w:rsidP="00163B94" w:rsidRDefault="009D3FB5" w14:paraId="007753E1" w14:textId="77777777">
      <w:pPr>
        <w:tabs>
          <w:tab w:val="left" w:pos="0"/>
        </w:tabs>
        <w:spacing w:before="120" w:after="120" w:line="360" w:lineRule="auto"/>
        <w:jc w:val="center"/>
        <w:rPr>
          <w:rFonts w:ascii="Times New Roman" w:hAnsi="Times New Roman" w:eastAsia="Calibri" w:cs="Times New Roman"/>
          <w:b/>
          <w:bCs/>
          <w:sz w:val="18"/>
          <w:szCs w:val="18"/>
        </w:rPr>
      </w:pPr>
      <w:r w:rsidRPr="00AE1B2B">
        <w:rPr>
          <w:rFonts w:ascii="Times New Roman" w:hAnsi="Times New Roman" w:eastAsia="Calibri" w:cs="Times New Roman"/>
          <w:noProof/>
          <w:sz w:val="24"/>
          <w:lang w:val="en-US"/>
        </w:rPr>
        <w:drawing>
          <wp:inline distT="0" distB="0" distL="0" distR="0" wp14:anchorId="1D78B778" wp14:editId="3B233BAE">
            <wp:extent cx="5612130" cy="2561590"/>
            <wp:effectExtent l="0" t="0" r="7620" b="0"/>
            <wp:docPr id="1212768313" name="Imagen 1212768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612130" cy="2561590"/>
                    </a:xfrm>
                    <a:prstGeom prst="rect">
                      <a:avLst/>
                    </a:prstGeom>
                    <a:noFill/>
                    <a:ln>
                      <a:noFill/>
                    </a:ln>
                  </pic:spPr>
                </pic:pic>
              </a:graphicData>
            </a:graphic>
          </wp:inline>
        </w:drawing>
      </w:r>
    </w:p>
    <w:p w:rsidRPr="00AE1B2B" w:rsidR="009D3FB5" w:rsidP="00163B94" w:rsidRDefault="009D3FB5" w14:paraId="7CD99A3A" w14:textId="77777777">
      <w:pPr>
        <w:spacing w:before="120" w:after="120"/>
        <w:ind w:left="851" w:right="851" w:firstLine="709"/>
        <w:jc w:val="both"/>
        <w:rPr>
          <w:rFonts w:ascii="Times New Roman" w:hAnsi="Times New Roman" w:eastAsia="Calibri" w:cs="Times New Roman"/>
          <w:bCs/>
          <w:sz w:val="26"/>
          <w:szCs w:val="26"/>
        </w:rPr>
      </w:pPr>
      <w:r w:rsidRPr="00AE1B2B">
        <w:rPr>
          <w:rFonts w:ascii="Times New Roman" w:hAnsi="Times New Roman" w:eastAsia="Calibri" w:cs="Times New Roman"/>
          <w:b/>
          <w:sz w:val="26"/>
          <w:szCs w:val="26"/>
        </w:rPr>
        <w:t>Fuente:</w:t>
      </w:r>
      <w:r w:rsidRPr="00AE1B2B">
        <w:rPr>
          <w:rFonts w:ascii="Times New Roman" w:hAnsi="Times New Roman" w:eastAsia="Calibri" w:cs="Times New Roman"/>
          <w:bCs/>
          <w:sz w:val="26"/>
          <w:szCs w:val="26"/>
        </w:rPr>
        <w:t xml:space="preserve"> Modernización Institucional a partir de información suministrada por parte de la Oficina Rectora de Justicia Restaurativa. </w:t>
      </w:r>
    </w:p>
    <w:p w:rsidRPr="00AE1B2B" w:rsidR="009D3FB5" w:rsidP="00163B94" w:rsidRDefault="009D3FB5" w14:paraId="38C18553" w14:textId="1A55AF6C">
      <w:pPr>
        <w:tabs>
          <w:tab w:val="left" w:pos="0"/>
        </w:tabs>
        <w:spacing w:before="120" w:after="120"/>
        <w:ind w:right="851"/>
        <w:jc w:val="both"/>
        <w:rPr>
          <w:rFonts w:ascii="Times New Roman" w:hAnsi="Times New Roman" w:eastAsia="Calibri" w:cs="Times New Roman"/>
          <w:sz w:val="26"/>
          <w:szCs w:val="26"/>
        </w:rPr>
      </w:pPr>
    </w:p>
    <w:p w:rsidRPr="00AE1B2B" w:rsidR="009D3FB5" w:rsidP="00163B94" w:rsidRDefault="009D3FB5" w14:paraId="73248B7A"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A continuación, se presenta la simbología</w:t>
      </w:r>
      <w:r w:rsidRPr="00AE1B2B">
        <w:rPr>
          <w:rFonts w:ascii="Times New Roman" w:hAnsi="Times New Roman" w:eastAsia="Calibri" w:cs="Times New Roman"/>
          <w:sz w:val="26"/>
          <w:szCs w:val="26"/>
          <w:vertAlign w:val="superscript"/>
        </w:rPr>
        <w:footnoteReference w:id="22"/>
      </w:r>
      <w:r w:rsidRPr="00AE1B2B">
        <w:rPr>
          <w:rFonts w:ascii="Times New Roman" w:hAnsi="Times New Roman" w:eastAsia="Calibri" w:cs="Times New Roman"/>
          <w:sz w:val="26"/>
          <w:szCs w:val="26"/>
        </w:rPr>
        <w:t xml:space="preserve"> utilizada en el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_Ref30774968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Cuadro 1. Abordaje de Justicia Restaurativa según circuito y materia en el 2021.</w:t>
      </w:r>
      <w:r w:rsidRPr="00AE1B2B">
        <w:rPr>
          <w:rFonts w:ascii="Times New Roman" w:hAnsi="Times New Roman" w:eastAsia="Calibri" w:cs="Times New Roman"/>
          <w:sz w:val="26"/>
          <w:szCs w:val="26"/>
        </w:rPr>
        <w:fldChar w:fldCharType="end"/>
      </w:r>
    </w:p>
    <w:p w:rsidRPr="00AE1B2B" w:rsidR="009D3FB5" w:rsidP="00163B94" w:rsidRDefault="009D3FB5" w14:paraId="5C07CEB7"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noProof/>
          <w:sz w:val="24"/>
          <w:lang w:val="en-US"/>
        </w:rPr>
        <w:drawing>
          <wp:inline distT="0" distB="0" distL="0" distR="0" wp14:anchorId="51B547D2" wp14:editId="32911350">
            <wp:extent cx="2631882" cy="942148"/>
            <wp:effectExtent l="0" t="0" r="0" b="0"/>
            <wp:docPr id="1212768314" name="Imagen 1212768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636010" cy="943626"/>
                    </a:xfrm>
                    <a:prstGeom prst="rect">
                      <a:avLst/>
                    </a:prstGeom>
                    <a:noFill/>
                    <a:ln>
                      <a:noFill/>
                    </a:ln>
                  </pic:spPr>
                </pic:pic>
              </a:graphicData>
            </a:graphic>
          </wp:inline>
        </w:drawing>
      </w:r>
    </w:p>
    <w:p w:rsidRPr="00AE1B2B" w:rsidR="009D3FB5" w:rsidP="00163B94" w:rsidRDefault="009D3FB5" w14:paraId="32922503"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noProof/>
          <w:sz w:val="24"/>
          <w:lang w:val="en-US"/>
        </w:rPr>
        <w:lastRenderedPageBreak/>
        <w:drawing>
          <wp:inline distT="0" distB="0" distL="0" distR="0" wp14:anchorId="029EBD9B" wp14:editId="1EDC991C">
            <wp:extent cx="2405316" cy="2787650"/>
            <wp:effectExtent l="0" t="0" r="0" b="0"/>
            <wp:docPr id="1212768315" name="Imagen 1212768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416927" cy="2801106"/>
                    </a:xfrm>
                    <a:prstGeom prst="rect">
                      <a:avLst/>
                    </a:prstGeom>
                    <a:noFill/>
                    <a:ln>
                      <a:noFill/>
                    </a:ln>
                  </pic:spPr>
                </pic:pic>
              </a:graphicData>
            </a:graphic>
          </wp:inline>
        </w:drawing>
      </w:r>
    </w:p>
    <w:p w:rsidRPr="00AE1B2B" w:rsidR="009D3FB5" w:rsidP="00163B94" w:rsidRDefault="009D3FB5" w14:paraId="2BA2B876"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el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_Ref31006745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Cuadro 1</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 xml:space="preserve"> se muestra el detalle de los Circuitos Judiciales que tienen atención por parte de los nueve equipos de Justicia Restaurativa en la materia de Penal Adulto, los cuales se encuentran conformados por una plaza de Fiscala o Fiscal, una de Defensora o Defensor y adicionalmente con soporte Psicosocial ya sea por parte de una o dos plazas en el área; así como de una plaza técnica o técnico Judicial, esta última es la que tiene a su cargo la Fiscala o Fiscal de Justicia Restaurativa, con excepción del equipo del Primer y Segundo Circuito Judicial de San José que trabajan con una persona Técnica Judicial bajo la modalidad de préstamo por parte del Centro de Apoyo, Coordinación y Mejoramiento de la Función Jurisdiccional (en el caso del ICJSJ se indica que la persona Técnica Judicial se encuentra asignada a raíz de una reubicación ordenada por la Inspección Judicial y que se encuentra en la etapa final del proceso disciplinario por lo que no es segura la continuidad del soporte); así como el equipo del I y II Circuito Judicial de Guanacaste, que no cuenta con una plaza de Técnico Judicial.</w:t>
      </w:r>
    </w:p>
    <w:p w:rsidRPr="00AE1B2B" w:rsidR="009D3FB5" w:rsidP="00163B94" w:rsidRDefault="009D3FB5" w14:paraId="1C8B4E93"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En el caso de la materia de Penal Juvenil, se cuenta con atención por parte de los profesionales destacados en las Fiscalía y Defensas Públicas en la materia Penal Juvenil, los cuales cuentan con acompañamiento de un equipo Psicosocial. Se indica que actualmente se cuenta con atención por parte de 12 equipos psicosociales a lo largo del país, siendo que se extendió la cobertura al II Circuito Judicial de la Zona Sur, II Circuito Judicial de Alajuela, III Circuito Judicial de Alajuela y II Circuito Judicial de Guanacaste, respecto a la atención mantenida durante el 2020.</w:t>
      </w:r>
    </w:p>
    <w:p w:rsidRPr="00AE1B2B" w:rsidR="009D3FB5" w:rsidP="00163B94" w:rsidRDefault="009D3FB5" w14:paraId="275230B9"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lastRenderedPageBreak/>
        <w:t>Sobre la atención de Ejecución de la Pena, se indica que se mantiene una persona Profesional en Psicología para brindar cobertura en los casos correspondientes a San José, adicionalmente, se está brindando colaboración por parte de esta persona en la atención de los altos circulantes que se manejan en el II Circuito Judicial de Goicoechea y I Circuito Judicial de la Zona Sur.</w:t>
      </w:r>
    </w:p>
    <w:p w:rsidRPr="00AE1B2B" w:rsidR="009D3FB5" w:rsidP="00163B94" w:rsidRDefault="009D3FB5" w14:paraId="17240273"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La materia contravencional es atendida por parte de la persona Defensora Pública y el equipo psicosocial en el III Circuito Judicial de Alajuela y en el Circuito Judicial de Puntarenas; mientras que la atención en el I Circuito Judicial de Alajuela, Circuito Judicial de Heredia, Circuito Judicial de Cartago, I Circuito Judicial de la Zona Atlántica y I Circuito Judicial de Guanacaste se realiza únicamente por parte del equipo psicosocial respectivo.</w:t>
      </w:r>
    </w:p>
    <w:p w:rsidRPr="00AE1B2B" w:rsidR="009D3FB5" w:rsidP="00163B94" w:rsidRDefault="009D3FB5" w14:paraId="5B7EB611"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 Adicionalmente, es importante indicar que se cuenta con atención en materia contravencional en las Casas de Justicia que son atendidas por el Viceministerio de Justicia y Paz, por lo que no se requiere en estos casos de equipos del Poder Judicial.</w:t>
      </w:r>
    </w:p>
    <w:p w:rsidRPr="00AE1B2B" w:rsidR="009D3FB5" w:rsidP="00163B94" w:rsidRDefault="009D3FB5" w14:paraId="7657BA01" w14:textId="040A3250">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En resumen, se presenta a continuación el detalle del abordaje realizado por Justicia</w:t>
      </w:r>
      <w:r w:rsidRPr="00AE1B2B" w:rsidR="00F57E5D">
        <w:rPr>
          <w:rFonts w:ascii="Times New Roman" w:hAnsi="Times New Roman" w:eastAsia="Calibri" w:cs="Times New Roman"/>
          <w:sz w:val="26"/>
          <w:szCs w:val="26"/>
        </w:rPr>
        <w:t xml:space="preserve"> Restaurativa a nivel nacional:</w:t>
      </w:r>
    </w:p>
    <w:p w:rsidRPr="00AE1B2B" w:rsidR="00F57E5D" w:rsidP="00163B94" w:rsidRDefault="00F57E5D" w14:paraId="1638DE10" w14:textId="77777777">
      <w:pPr>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1E87A097" w14:textId="0F0DE75E">
      <w:pPr>
        <w:spacing w:before="120" w:after="120"/>
        <w:ind w:left="851" w:right="851" w:firstLine="709"/>
        <w:jc w:val="both"/>
        <w:rPr>
          <w:rFonts w:ascii="Times New Roman" w:hAnsi="Times New Roman" w:eastAsia="Calibri" w:cs="Times New Roman"/>
          <w:b/>
          <w:bCs/>
          <w:sz w:val="26"/>
          <w:szCs w:val="26"/>
        </w:rPr>
      </w:pPr>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2</w:t>
      </w:r>
      <w:r w:rsidRPr="00AE1B2B">
        <w:rPr>
          <w:rFonts w:ascii="Times New Roman" w:hAnsi="Times New Roman" w:eastAsia="Calibri" w:cs="Times New Roman"/>
          <w:b/>
          <w:bCs/>
          <w:sz w:val="26"/>
          <w:szCs w:val="26"/>
        </w:rPr>
        <w:fldChar w:fldCharType="end"/>
      </w:r>
      <w:r w:rsidRPr="00AE1B2B">
        <w:rPr>
          <w:rFonts w:ascii="Times New Roman" w:hAnsi="Times New Roman" w:eastAsia="Calibri" w:cs="Times New Roman"/>
          <w:b/>
          <w:bCs/>
          <w:sz w:val="26"/>
          <w:szCs w:val="26"/>
        </w:rPr>
        <w:t>. Detalle del abordaje de Justicia Restaurativa por circuito y materia en el 2021.</w:t>
      </w:r>
    </w:p>
    <w:p w:rsidRPr="00AE1B2B" w:rsidR="00F57E5D" w:rsidP="00163B94" w:rsidRDefault="00F57E5D" w14:paraId="2371C6FC" w14:textId="77777777">
      <w:pPr>
        <w:spacing w:before="120" w:after="120"/>
        <w:ind w:left="851" w:right="851" w:firstLine="709"/>
        <w:jc w:val="both"/>
        <w:rPr>
          <w:rFonts w:ascii="Times New Roman" w:hAnsi="Times New Roman" w:eastAsia="Calibri" w:cs="Times New Roman"/>
          <w:b/>
          <w:bCs/>
          <w:sz w:val="26"/>
          <w:szCs w:val="26"/>
        </w:rPr>
      </w:pPr>
    </w:p>
    <w:tbl>
      <w:tblPr>
        <w:tblW w:w="10325" w:type="dxa"/>
        <w:jc w:val="center"/>
        <w:tblBorders>
          <w:top w:val="double" w:color="1F4E78" w:sz="6" w:space="0"/>
          <w:left w:val="double" w:color="1F4E78" w:sz="6" w:space="0"/>
          <w:bottom w:val="double" w:color="1F4E78" w:sz="6" w:space="0"/>
          <w:right w:val="double" w:color="1F4E78" w:sz="6" w:space="0"/>
          <w:insideH w:val="double" w:color="1F4E78" w:sz="6" w:space="0"/>
          <w:insideV w:val="double" w:color="1F4E78" w:sz="6" w:space="0"/>
        </w:tblBorders>
        <w:tblCellMar>
          <w:left w:w="70" w:type="dxa"/>
          <w:right w:w="70" w:type="dxa"/>
        </w:tblCellMar>
        <w:tblLook w:val="04A0" w:firstRow="1" w:lastRow="0" w:firstColumn="1" w:lastColumn="0" w:noHBand="0" w:noVBand="1"/>
      </w:tblPr>
      <w:tblGrid>
        <w:gridCol w:w="1985"/>
        <w:gridCol w:w="2551"/>
        <w:gridCol w:w="2245"/>
        <w:gridCol w:w="1843"/>
        <w:gridCol w:w="1701"/>
      </w:tblGrid>
      <w:tr w:rsidRPr="00AE1B2B" w:rsidR="00AE1B2B" w:rsidTr="009D3FB5" w14:paraId="4AD4EFE3" w14:textId="77777777">
        <w:trPr>
          <w:trHeight w:val="630"/>
          <w:jc w:val="center"/>
        </w:trPr>
        <w:tc>
          <w:tcPr>
            <w:tcW w:w="1985" w:type="dxa"/>
            <w:shd w:val="clear" w:color="000000" w:fill="DDEBF7"/>
            <w:noWrap/>
            <w:vAlign w:val="center"/>
            <w:hideMark/>
          </w:tcPr>
          <w:p w:rsidRPr="00AE1B2B" w:rsidR="009D3FB5" w:rsidP="00163B94" w:rsidRDefault="009D3FB5" w14:paraId="54288DCE"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Circuito Judicial</w:t>
            </w:r>
          </w:p>
        </w:tc>
        <w:tc>
          <w:tcPr>
            <w:tcW w:w="2551" w:type="dxa"/>
            <w:shd w:val="clear" w:color="000000" w:fill="DDEBF7"/>
            <w:noWrap/>
            <w:vAlign w:val="center"/>
            <w:hideMark/>
          </w:tcPr>
          <w:p w:rsidRPr="00AE1B2B" w:rsidR="009D3FB5" w:rsidP="00163B94" w:rsidRDefault="009D3FB5" w14:paraId="32D50695"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Recurso Humano Penal de Adultos</w:t>
            </w:r>
          </w:p>
        </w:tc>
        <w:tc>
          <w:tcPr>
            <w:tcW w:w="2245" w:type="dxa"/>
            <w:shd w:val="clear" w:color="000000" w:fill="DDEBF7"/>
            <w:noWrap/>
            <w:vAlign w:val="center"/>
            <w:hideMark/>
          </w:tcPr>
          <w:p w:rsidRPr="00AE1B2B" w:rsidR="009D3FB5" w:rsidP="00163B94" w:rsidRDefault="009D3FB5" w14:paraId="316A4770"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Penal Juvenil</w:t>
            </w:r>
          </w:p>
        </w:tc>
        <w:tc>
          <w:tcPr>
            <w:tcW w:w="1843" w:type="dxa"/>
            <w:shd w:val="clear" w:color="000000" w:fill="DDEBF7"/>
            <w:noWrap/>
            <w:vAlign w:val="center"/>
            <w:hideMark/>
          </w:tcPr>
          <w:p w:rsidRPr="00AE1B2B" w:rsidR="009D3FB5" w:rsidP="00163B94" w:rsidRDefault="009D3FB5" w14:paraId="55436E33"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Ejecución de la Pena</w:t>
            </w:r>
          </w:p>
        </w:tc>
        <w:tc>
          <w:tcPr>
            <w:tcW w:w="1701" w:type="dxa"/>
            <w:shd w:val="clear" w:color="000000" w:fill="DDEBF7"/>
            <w:noWrap/>
            <w:vAlign w:val="center"/>
            <w:hideMark/>
          </w:tcPr>
          <w:p w:rsidRPr="00AE1B2B" w:rsidR="009D3FB5" w:rsidP="00163B94" w:rsidRDefault="009D3FB5" w14:paraId="16E7848E"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Contravenciones</w:t>
            </w:r>
          </w:p>
        </w:tc>
      </w:tr>
      <w:tr w:rsidRPr="00AE1B2B" w:rsidR="00AE1B2B" w:rsidTr="009D3FB5" w14:paraId="3A0FA282" w14:textId="77777777">
        <w:trPr>
          <w:trHeight w:val="2629"/>
          <w:jc w:val="center"/>
        </w:trPr>
        <w:tc>
          <w:tcPr>
            <w:tcW w:w="1985" w:type="dxa"/>
            <w:shd w:val="clear" w:color="auto" w:fill="auto"/>
            <w:noWrap/>
            <w:vAlign w:val="center"/>
            <w:hideMark/>
          </w:tcPr>
          <w:p w:rsidRPr="00AE1B2B" w:rsidR="009D3FB5" w:rsidP="00163B94" w:rsidRDefault="009D3FB5" w14:paraId="6603A90F"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III Circuito Judicial de San José</w:t>
            </w:r>
          </w:p>
        </w:tc>
        <w:tc>
          <w:tcPr>
            <w:tcW w:w="2551" w:type="dxa"/>
            <w:shd w:val="clear" w:color="auto" w:fill="auto"/>
            <w:vAlign w:val="center"/>
            <w:hideMark/>
          </w:tcPr>
          <w:p w:rsidRPr="00AE1B2B" w:rsidR="009D3FB5" w:rsidP="00163B94" w:rsidRDefault="009D3FB5" w14:paraId="35799D3C"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1 Defensor (a) Público de JR</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Fiscal (a) de JR</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Trabajador (a) Social</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Técnico (a) Judicial adscrito al CACMFJ</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Atienden el I Circuito Judicial, Pavas, Hatillo y parte del III Circuito Judicial, se encuentra a raíz de una reubicación ordenada por la Inspección Judicial, sin embargo, ya se está en la etapa final del proceso disciplinario.</w:t>
            </w:r>
          </w:p>
        </w:tc>
        <w:tc>
          <w:tcPr>
            <w:tcW w:w="2245" w:type="dxa"/>
            <w:vMerge w:val="restart"/>
            <w:shd w:val="clear" w:color="auto" w:fill="auto"/>
            <w:vAlign w:val="center"/>
            <w:hideMark/>
          </w:tcPr>
          <w:p w:rsidRPr="00AE1B2B" w:rsidR="009D3FB5" w:rsidP="00163B94" w:rsidRDefault="009D3FB5" w14:paraId="1591D925"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 xml:space="preserve">1 Trabajador (a) Social </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 xml:space="preserve">Las plazas ordinarias de Fiscal (a) y Defensor (a) Público especializadas de Penal Juvenil. </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Atención en el primer, segundo y tercer Circuito Judicial excepto Puriscal y Pérez Zeledón</w:t>
            </w:r>
          </w:p>
        </w:tc>
        <w:tc>
          <w:tcPr>
            <w:tcW w:w="1843" w:type="dxa"/>
            <w:vMerge w:val="restart"/>
            <w:shd w:val="clear" w:color="auto" w:fill="auto"/>
            <w:vAlign w:val="center"/>
            <w:hideMark/>
          </w:tcPr>
          <w:p w:rsidRPr="00AE1B2B" w:rsidR="009D3FB5" w:rsidP="00163B94" w:rsidRDefault="009D3FB5" w14:paraId="17442BD2"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1 Profesional en Psicología. Esta plaza adicionalmente a la atención de Ejecución de la Pena colabora en la atención de los altos circulante que se están manejando en el II CJSJ y ICJZS.</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 xml:space="preserve">La plaza de Trabajador (a) Social atiende los casos de ejecución de las </w:t>
            </w:r>
            <w:r w:rsidRPr="00AE1B2B">
              <w:rPr>
                <w:rFonts w:ascii="Times New Roman" w:hAnsi="Times New Roman" w:eastAsia="Times New Roman" w:cs="Times New Roman"/>
                <w:sz w:val="16"/>
                <w:szCs w:val="16"/>
                <w:lang w:eastAsia="es-CR"/>
              </w:rPr>
              <w:lastRenderedPageBreak/>
              <w:t>sanciones penales juveniles en San José y a nivel nacional</w:t>
            </w:r>
          </w:p>
        </w:tc>
        <w:tc>
          <w:tcPr>
            <w:tcW w:w="1701" w:type="dxa"/>
            <w:shd w:val="clear" w:color="auto" w:fill="auto"/>
            <w:vAlign w:val="center"/>
            <w:hideMark/>
          </w:tcPr>
          <w:p w:rsidRPr="00AE1B2B" w:rsidR="009D3FB5" w:rsidP="00163B94" w:rsidRDefault="009D3FB5" w14:paraId="2D51E6CA"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lastRenderedPageBreak/>
              <w:t>El equipo psicosocial atiende la materia contravencional en conjunto con el Defensor Público</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Casas de Justicia San José</w:t>
            </w:r>
          </w:p>
        </w:tc>
      </w:tr>
      <w:tr w:rsidRPr="00AE1B2B" w:rsidR="00AE1B2B" w:rsidTr="009D3FB5" w14:paraId="3E1EECBA" w14:textId="77777777">
        <w:trPr>
          <w:trHeight w:val="1996"/>
          <w:jc w:val="center"/>
        </w:trPr>
        <w:tc>
          <w:tcPr>
            <w:tcW w:w="1985" w:type="dxa"/>
            <w:shd w:val="clear" w:color="auto" w:fill="auto"/>
            <w:noWrap/>
            <w:vAlign w:val="center"/>
            <w:hideMark/>
          </w:tcPr>
          <w:p w:rsidRPr="00AE1B2B" w:rsidR="009D3FB5" w:rsidP="00163B94" w:rsidRDefault="009D3FB5" w14:paraId="04DA27E0"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lastRenderedPageBreak/>
              <w:t>II Circuito Judicial de San José</w:t>
            </w:r>
          </w:p>
        </w:tc>
        <w:tc>
          <w:tcPr>
            <w:tcW w:w="2551" w:type="dxa"/>
            <w:shd w:val="clear" w:color="auto" w:fill="auto"/>
            <w:vAlign w:val="center"/>
            <w:hideMark/>
          </w:tcPr>
          <w:p w:rsidRPr="00AE1B2B" w:rsidR="009D3FB5" w:rsidP="00163B94" w:rsidRDefault="009D3FB5" w14:paraId="40387D43"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1 Defensor (a) Público de JR</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Fiscal (a) de JR</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Psicólogo (a)</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Trabajador (a) Social</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Técnico (a) Judicial adscrito al CACMFJ</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Atienden el Segundo y Tercer Circuito Judicial (Desamparados), así como flagrancia del I y II Circuito Judicial de SJ</w:t>
            </w:r>
          </w:p>
        </w:tc>
        <w:tc>
          <w:tcPr>
            <w:tcW w:w="2245" w:type="dxa"/>
            <w:vMerge/>
            <w:vAlign w:val="center"/>
            <w:hideMark/>
          </w:tcPr>
          <w:p w:rsidRPr="00AE1B2B" w:rsidR="009D3FB5" w:rsidP="00163B94" w:rsidRDefault="009D3FB5" w14:paraId="522A58B8" w14:textId="77777777">
            <w:pPr>
              <w:spacing w:before="120" w:after="120"/>
              <w:rPr>
                <w:rFonts w:ascii="Times New Roman" w:hAnsi="Times New Roman" w:eastAsia="Times New Roman" w:cs="Times New Roman"/>
                <w:sz w:val="16"/>
                <w:szCs w:val="16"/>
                <w:lang w:eastAsia="es-CR"/>
              </w:rPr>
            </w:pPr>
          </w:p>
        </w:tc>
        <w:tc>
          <w:tcPr>
            <w:tcW w:w="1843" w:type="dxa"/>
            <w:vMerge/>
            <w:vAlign w:val="center"/>
            <w:hideMark/>
          </w:tcPr>
          <w:p w:rsidRPr="00AE1B2B" w:rsidR="009D3FB5" w:rsidP="00163B94" w:rsidRDefault="009D3FB5" w14:paraId="3D9A5B78" w14:textId="77777777">
            <w:pPr>
              <w:spacing w:before="120" w:after="120"/>
              <w:rPr>
                <w:rFonts w:ascii="Times New Roman" w:hAnsi="Times New Roman" w:eastAsia="Times New Roman" w:cs="Times New Roman"/>
                <w:sz w:val="16"/>
                <w:szCs w:val="16"/>
                <w:lang w:eastAsia="es-CR"/>
              </w:rPr>
            </w:pPr>
          </w:p>
        </w:tc>
        <w:tc>
          <w:tcPr>
            <w:tcW w:w="1701" w:type="dxa"/>
            <w:shd w:val="clear" w:color="auto" w:fill="auto"/>
            <w:vAlign w:val="center"/>
            <w:hideMark/>
          </w:tcPr>
          <w:p w:rsidRPr="00AE1B2B" w:rsidR="009D3FB5" w:rsidP="00163B94" w:rsidRDefault="009D3FB5" w14:paraId="65B3CF27"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El equipo psicosocial atiende la materia contravencional</w:t>
            </w:r>
          </w:p>
        </w:tc>
      </w:tr>
      <w:tr w:rsidRPr="00AE1B2B" w:rsidR="00AE1B2B" w:rsidTr="009D3FB5" w14:paraId="6E4C5559" w14:textId="77777777">
        <w:trPr>
          <w:trHeight w:val="1508"/>
          <w:jc w:val="center"/>
        </w:trPr>
        <w:tc>
          <w:tcPr>
            <w:tcW w:w="1985" w:type="dxa"/>
            <w:shd w:val="clear" w:color="auto" w:fill="auto"/>
            <w:noWrap/>
            <w:vAlign w:val="center"/>
            <w:hideMark/>
          </w:tcPr>
          <w:p w:rsidRPr="00AE1B2B" w:rsidR="009D3FB5" w:rsidP="00163B94" w:rsidRDefault="009D3FB5" w14:paraId="436C6214"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I Circuito Judicial de Alajuela</w:t>
            </w:r>
          </w:p>
        </w:tc>
        <w:tc>
          <w:tcPr>
            <w:tcW w:w="2551" w:type="dxa"/>
            <w:shd w:val="clear" w:color="auto" w:fill="auto"/>
            <w:vAlign w:val="center"/>
            <w:hideMark/>
          </w:tcPr>
          <w:p w:rsidRPr="00AE1B2B" w:rsidR="009D3FB5" w:rsidP="00163B94" w:rsidRDefault="009D3FB5" w14:paraId="2FFB702F"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1 Trabajador (a) Social</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**El equipo legal (Defensor, Fiscal y Técnico Judicial del CJ de Heredia brindan soporte en la atención de la materia Penal en ICJ Alajuela</w:t>
            </w:r>
          </w:p>
        </w:tc>
        <w:tc>
          <w:tcPr>
            <w:tcW w:w="2245" w:type="dxa"/>
            <w:shd w:val="clear" w:color="auto" w:fill="auto"/>
            <w:vAlign w:val="center"/>
            <w:hideMark/>
          </w:tcPr>
          <w:p w:rsidRPr="00AE1B2B" w:rsidR="009D3FB5" w:rsidP="00163B94" w:rsidRDefault="009D3FB5" w14:paraId="5C0B8986"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La persona Trabajadora Social atienden la materia Penal Juvenil</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 xml:space="preserve">Las plazas ordinarias de Fiscal (a) y Defensor (a) Público especializadas de Penal Juvenil. </w:t>
            </w:r>
          </w:p>
        </w:tc>
        <w:tc>
          <w:tcPr>
            <w:tcW w:w="1843" w:type="dxa"/>
            <w:shd w:val="clear" w:color="auto" w:fill="auto"/>
            <w:noWrap/>
            <w:vAlign w:val="center"/>
            <w:hideMark/>
          </w:tcPr>
          <w:p w:rsidRPr="00AE1B2B" w:rsidR="009D3FB5" w:rsidP="00163B94" w:rsidRDefault="009D3FB5" w14:paraId="41A7BA56"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No cuenta con equipo</w:t>
            </w:r>
          </w:p>
        </w:tc>
        <w:tc>
          <w:tcPr>
            <w:tcW w:w="1701" w:type="dxa"/>
            <w:shd w:val="clear" w:color="auto" w:fill="auto"/>
            <w:vAlign w:val="center"/>
            <w:hideMark/>
          </w:tcPr>
          <w:p w:rsidRPr="00AE1B2B" w:rsidR="009D3FB5" w:rsidP="00163B94" w:rsidRDefault="009D3FB5" w14:paraId="5AA45B38"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El equipo psicosocial atiende la materia contravencional</w:t>
            </w:r>
          </w:p>
        </w:tc>
      </w:tr>
      <w:tr w:rsidRPr="00AE1B2B" w:rsidR="00AE1B2B" w:rsidTr="009D3FB5" w14:paraId="53F3B350" w14:textId="77777777">
        <w:trPr>
          <w:trHeight w:val="722"/>
          <w:jc w:val="center"/>
        </w:trPr>
        <w:tc>
          <w:tcPr>
            <w:tcW w:w="1985" w:type="dxa"/>
            <w:shd w:val="clear" w:color="auto" w:fill="auto"/>
            <w:noWrap/>
            <w:vAlign w:val="center"/>
            <w:hideMark/>
          </w:tcPr>
          <w:p w:rsidRPr="00AE1B2B" w:rsidR="009D3FB5" w:rsidP="00163B94" w:rsidRDefault="009D3FB5" w14:paraId="017327A7"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II Circuito Judicial de Alajuela</w:t>
            </w:r>
          </w:p>
        </w:tc>
        <w:tc>
          <w:tcPr>
            <w:tcW w:w="2551" w:type="dxa"/>
            <w:shd w:val="clear" w:color="auto" w:fill="auto"/>
            <w:vAlign w:val="center"/>
            <w:hideMark/>
          </w:tcPr>
          <w:p w:rsidRPr="00AE1B2B" w:rsidR="009D3FB5" w:rsidP="00163B94" w:rsidRDefault="009D3FB5" w14:paraId="39C4EFEF"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No cuenta con equipo</w:t>
            </w:r>
          </w:p>
        </w:tc>
        <w:tc>
          <w:tcPr>
            <w:tcW w:w="2245" w:type="dxa"/>
            <w:shd w:val="clear" w:color="auto" w:fill="auto"/>
            <w:vAlign w:val="center"/>
            <w:hideMark/>
          </w:tcPr>
          <w:p w:rsidRPr="00AE1B2B" w:rsidR="009D3FB5" w:rsidP="00163B94" w:rsidRDefault="009D3FB5" w14:paraId="53357B7E"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1 Trabajador (a) Social</w:t>
            </w:r>
          </w:p>
        </w:tc>
        <w:tc>
          <w:tcPr>
            <w:tcW w:w="1843" w:type="dxa"/>
            <w:shd w:val="clear" w:color="auto" w:fill="auto"/>
            <w:noWrap/>
            <w:vAlign w:val="center"/>
            <w:hideMark/>
          </w:tcPr>
          <w:p w:rsidRPr="00AE1B2B" w:rsidR="009D3FB5" w:rsidP="00163B94" w:rsidRDefault="009D3FB5" w14:paraId="45CF63A5"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No cuenta con equipo</w:t>
            </w:r>
          </w:p>
        </w:tc>
        <w:tc>
          <w:tcPr>
            <w:tcW w:w="1701" w:type="dxa"/>
            <w:shd w:val="clear" w:color="auto" w:fill="auto"/>
            <w:vAlign w:val="center"/>
            <w:hideMark/>
          </w:tcPr>
          <w:p w:rsidRPr="00AE1B2B" w:rsidR="009D3FB5" w:rsidP="00163B94" w:rsidRDefault="009D3FB5" w14:paraId="402E86BC"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Casa de Justicia San Carlos</w:t>
            </w:r>
          </w:p>
        </w:tc>
      </w:tr>
      <w:tr w:rsidRPr="00AE1B2B" w:rsidR="00AE1B2B" w:rsidTr="009D3FB5" w14:paraId="1146CDF8" w14:textId="77777777">
        <w:trPr>
          <w:trHeight w:val="1547"/>
          <w:jc w:val="center"/>
        </w:trPr>
        <w:tc>
          <w:tcPr>
            <w:tcW w:w="1985" w:type="dxa"/>
            <w:shd w:val="clear" w:color="auto" w:fill="auto"/>
            <w:noWrap/>
            <w:vAlign w:val="center"/>
            <w:hideMark/>
          </w:tcPr>
          <w:p w:rsidRPr="00AE1B2B" w:rsidR="009D3FB5" w:rsidP="00163B94" w:rsidRDefault="009D3FB5" w14:paraId="4732D5CF"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III Circuito Judicial de Alajuela</w:t>
            </w:r>
          </w:p>
        </w:tc>
        <w:tc>
          <w:tcPr>
            <w:tcW w:w="2551" w:type="dxa"/>
            <w:shd w:val="clear" w:color="auto" w:fill="auto"/>
            <w:vAlign w:val="center"/>
            <w:hideMark/>
          </w:tcPr>
          <w:p w:rsidRPr="00AE1B2B" w:rsidR="009D3FB5" w:rsidP="00163B94" w:rsidRDefault="009D3FB5" w14:paraId="04414690"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1 Trabajador (a) Social</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**El equipo legal (Defensor, Fiscal y Técnico Judicial del CJ de Puntarenas brindan soporte en la atención de la materia Penal en IIICJ Alajuela</w:t>
            </w:r>
          </w:p>
        </w:tc>
        <w:tc>
          <w:tcPr>
            <w:tcW w:w="2245" w:type="dxa"/>
            <w:shd w:val="clear" w:color="auto" w:fill="auto"/>
            <w:vAlign w:val="center"/>
            <w:hideMark/>
          </w:tcPr>
          <w:p w:rsidRPr="00AE1B2B" w:rsidR="009D3FB5" w:rsidP="00163B94" w:rsidRDefault="009D3FB5" w14:paraId="573CA60D"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Atención por parte del equipo psicosocial de Penal de Adultos.</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 xml:space="preserve">Las plazas ordinarias de Fiscal (a) y Defensor (a) Público especializadas de Penal Juvenil. </w:t>
            </w:r>
          </w:p>
        </w:tc>
        <w:tc>
          <w:tcPr>
            <w:tcW w:w="1843" w:type="dxa"/>
            <w:shd w:val="clear" w:color="auto" w:fill="auto"/>
            <w:noWrap/>
            <w:vAlign w:val="center"/>
            <w:hideMark/>
          </w:tcPr>
          <w:p w:rsidRPr="00AE1B2B" w:rsidR="009D3FB5" w:rsidP="00163B94" w:rsidRDefault="009D3FB5" w14:paraId="4CBB3336"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No cuenta con equipo</w:t>
            </w:r>
          </w:p>
        </w:tc>
        <w:tc>
          <w:tcPr>
            <w:tcW w:w="1701" w:type="dxa"/>
            <w:shd w:val="clear" w:color="auto" w:fill="auto"/>
            <w:vAlign w:val="center"/>
            <w:hideMark/>
          </w:tcPr>
          <w:p w:rsidRPr="00AE1B2B" w:rsidR="009D3FB5" w:rsidP="00163B94" w:rsidRDefault="009D3FB5" w14:paraId="44A88D70"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Casa de Justicia San Ramón</w:t>
            </w:r>
          </w:p>
        </w:tc>
      </w:tr>
      <w:tr w:rsidRPr="00AE1B2B" w:rsidR="00AE1B2B" w:rsidTr="009D3FB5" w14:paraId="09990C38" w14:textId="77777777">
        <w:trPr>
          <w:trHeight w:val="1689"/>
          <w:jc w:val="center"/>
        </w:trPr>
        <w:tc>
          <w:tcPr>
            <w:tcW w:w="1985" w:type="dxa"/>
            <w:shd w:val="clear" w:color="auto" w:fill="auto"/>
            <w:noWrap/>
            <w:vAlign w:val="center"/>
            <w:hideMark/>
          </w:tcPr>
          <w:p w:rsidRPr="00AE1B2B" w:rsidR="009D3FB5" w:rsidP="00163B94" w:rsidRDefault="009D3FB5" w14:paraId="6458531F"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Heredia</w:t>
            </w:r>
          </w:p>
        </w:tc>
        <w:tc>
          <w:tcPr>
            <w:tcW w:w="2551" w:type="dxa"/>
            <w:shd w:val="clear" w:color="auto" w:fill="auto"/>
            <w:vAlign w:val="center"/>
            <w:hideMark/>
          </w:tcPr>
          <w:p w:rsidRPr="00AE1B2B" w:rsidR="009D3FB5" w:rsidP="00163B94" w:rsidRDefault="009D3FB5" w14:paraId="2B79B6A9"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 xml:space="preserve">1 Fiscal (a) </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Defensor (a) Público</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Psicólogo (a)</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Trabajador (a) Social</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Técnico (a) Judicial del MP</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Atienden Sarapiquí y el equipo legal brinda soporte al ICJ Alajuela en materia Penal</w:t>
            </w:r>
          </w:p>
        </w:tc>
        <w:tc>
          <w:tcPr>
            <w:tcW w:w="2245" w:type="dxa"/>
            <w:shd w:val="clear" w:color="auto" w:fill="auto"/>
            <w:vAlign w:val="center"/>
            <w:hideMark/>
          </w:tcPr>
          <w:p w:rsidRPr="00AE1B2B" w:rsidR="009D3FB5" w:rsidP="00163B94" w:rsidRDefault="009D3FB5" w14:paraId="77614888"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Atención por parte del equipo psicosocial de Penal de Adultos.</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 xml:space="preserve">Las plazas ordinarias de Fiscal (a) y Defensor (a) Público especializadas de Penal Juvenil. </w:t>
            </w:r>
          </w:p>
        </w:tc>
        <w:tc>
          <w:tcPr>
            <w:tcW w:w="1843" w:type="dxa"/>
            <w:shd w:val="clear" w:color="auto" w:fill="auto"/>
            <w:noWrap/>
            <w:vAlign w:val="center"/>
            <w:hideMark/>
          </w:tcPr>
          <w:p w:rsidRPr="00AE1B2B" w:rsidR="009D3FB5" w:rsidP="00163B94" w:rsidRDefault="009D3FB5" w14:paraId="6A28931F"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No cuenta con equipo</w:t>
            </w:r>
          </w:p>
        </w:tc>
        <w:tc>
          <w:tcPr>
            <w:tcW w:w="1701" w:type="dxa"/>
            <w:shd w:val="clear" w:color="auto" w:fill="auto"/>
            <w:vAlign w:val="center"/>
            <w:hideMark/>
          </w:tcPr>
          <w:p w:rsidRPr="00AE1B2B" w:rsidR="009D3FB5" w:rsidP="00163B94" w:rsidRDefault="009D3FB5" w14:paraId="31A10712"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El equipo psicosocial atiende la materia contravencional</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Casa de Justicia Heredia</w:t>
            </w:r>
          </w:p>
        </w:tc>
      </w:tr>
      <w:tr w:rsidRPr="00AE1B2B" w:rsidR="00AE1B2B" w:rsidTr="009D3FB5" w14:paraId="4D1649B4" w14:textId="77777777">
        <w:trPr>
          <w:trHeight w:val="1406"/>
          <w:jc w:val="center"/>
        </w:trPr>
        <w:tc>
          <w:tcPr>
            <w:tcW w:w="1985" w:type="dxa"/>
            <w:shd w:val="clear" w:color="auto" w:fill="auto"/>
            <w:noWrap/>
            <w:vAlign w:val="center"/>
            <w:hideMark/>
          </w:tcPr>
          <w:p w:rsidRPr="00AE1B2B" w:rsidR="009D3FB5" w:rsidP="00163B94" w:rsidRDefault="009D3FB5" w14:paraId="4F76692E"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Cartago</w:t>
            </w:r>
          </w:p>
        </w:tc>
        <w:tc>
          <w:tcPr>
            <w:tcW w:w="2551" w:type="dxa"/>
            <w:shd w:val="clear" w:color="auto" w:fill="auto"/>
            <w:vAlign w:val="center"/>
            <w:hideMark/>
          </w:tcPr>
          <w:p w:rsidRPr="00AE1B2B" w:rsidR="009D3FB5" w:rsidP="00163B94" w:rsidRDefault="009D3FB5" w14:paraId="0CADE354"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 xml:space="preserve">1 Fiscal (a) </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Defensor (a) Público</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Psicólogo (a)</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Trabajador (a) Social</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Técnico (a) Judicial del MP</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Atienden Turrialba, La Unión y La Zona de los Santos</w:t>
            </w:r>
          </w:p>
        </w:tc>
        <w:tc>
          <w:tcPr>
            <w:tcW w:w="2245" w:type="dxa"/>
            <w:shd w:val="clear" w:color="auto" w:fill="auto"/>
            <w:vAlign w:val="center"/>
            <w:hideMark/>
          </w:tcPr>
          <w:p w:rsidRPr="00AE1B2B" w:rsidR="009D3FB5" w:rsidP="00163B94" w:rsidRDefault="009D3FB5" w14:paraId="05F6CA49"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Atención por parte del equipo psicosocial de Penal de Adultos.</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 xml:space="preserve">Las plazas ordinarias de Fiscal (a) y Defensor (a) Público especializadas de Penal Juvenil. </w:t>
            </w:r>
          </w:p>
        </w:tc>
        <w:tc>
          <w:tcPr>
            <w:tcW w:w="1843" w:type="dxa"/>
            <w:shd w:val="clear" w:color="auto" w:fill="auto"/>
            <w:noWrap/>
            <w:vAlign w:val="center"/>
            <w:hideMark/>
          </w:tcPr>
          <w:p w:rsidRPr="00AE1B2B" w:rsidR="009D3FB5" w:rsidP="00163B94" w:rsidRDefault="009D3FB5" w14:paraId="67BB11E8"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No cuenta con equipo</w:t>
            </w:r>
          </w:p>
        </w:tc>
        <w:tc>
          <w:tcPr>
            <w:tcW w:w="1701" w:type="dxa"/>
            <w:shd w:val="clear" w:color="auto" w:fill="auto"/>
            <w:vAlign w:val="center"/>
            <w:hideMark/>
          </w:tcPr>
          <w:p w:rsidRPr="00AE1B2B" w:rsidR="009D3FB5" w:rsidP="00163B94" w:rsidRDefault="009D3FB5" w14:paraId="0EAAE4C0"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Soporte por parte del equipo psicosocial.</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Casa de Justicia Cartago</w:t>
            </w:r>
          </w:p>
        </w:tc>
      </w:tr>
      <w:tr w:rsidRPr="00AE1B2B" w:rsidR="00AE1B2B" w:rsidTr="009D3FB5" w14:paraId="16AB0C0F" w14:textId="77777777">
        <w:trPr>
          <w:trHeight w:val="1357"/>
          <w:jc w:val="center"/>
        </w:trPr>
        <w:tc>
          <w:tcPr>
            <w:tcW w:w="1985" w:type="dxa"/>
            <w:shd w:val="clear" w:color="auto" w:fill="auto"/>
            <w:noWrap/>
            <w:vAlign w:val="center"/>
            <w:hideMark/>
          </w:tcPr>
          <w:p w:rsidRPr="00AE1B2B" w:rsidR="009D3FB5" w:rsidP="00163B94" w:rsidRDefault="009D3FB5" w14:paraId="6B1661D1"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I Circuito Judicial Zona Sur</w:t>
            </w:r>
          </w:p>
        </w:tc>
        <w:tc>
          <w:tcPr>
            <w:tcW w:w="2551" w:type="dxa"/>
            <w:shd w:val="clear" w:color="auto" w:fill="auto"/>
            <w:vAlign w:val="center"/>
            <w:hideMark/>
          </w:tcPr>
          <w:p w:rsidRPr="00AE1B2B" w:rsidR="009D3FB5" w:rsidP="00163B94" w:rsidRDefault="009D3FB5" w14:paraId="54B3908D"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1 Fiscal (a)</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Defensor (a) Público</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Psicólogo (a)</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Trabajador (a) Social</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Técnico (a) Judicial del MP</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Atienden Buenos Aires</w:t>
            </w:r>
          </w:p>
        </w:tc>
        <w:tc>
          <w:tcPr>
            <w:tcW w:w="2245" w:type="dxa"/>
            <w:shd w:val="clear" w:color="auto" w:fill="auto"/>
            <w:vAlign w:val="center"/>
            <w:hideMark/>
          </w:tcPr>
          <w:p w:rsidRPr="00AE1B2B" w:rsidR="009D3FB5" w:rsidP="00163B94" w:rsidRDefault="009D3FB5" w14:paraId="07BD545B"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Atención por parte del equipo psicosocial de Penal de Adultos.</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 xml:space="preserve">Las plazas ordinarias de Fiscal (a) y Defensor (a) Público especializadas de Penal Juvenil. </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Atienden Buenos Aires</w:t>
            </w:r>
          </w:p>
        </w:tc>
        <w:tc>
          <w:tcPr>
            <w:tcW w:w="1843" w:type="dxa"/>
            <w:shd w:val="clear" w:color="auto" w:fill="auto"/>
            <w:noWrap/>
            <w:vAlign w:val="center"/>
            <w:hideMark/>
          </w:tcPr>
          <w:p w:rsidRPr="00AE1B2B" w:rsidR="009D3FB5" w:rsidP="00163B94" w:rsidRDefault="009D3FB5" w14:paraId="0559E674"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No cuenta con equipo</w:t>
            </w:r>
          </w:p>
        </w:tc>
        <w:tc>
          <w:tcPr>
            <w:tcW w:w="1701" w:type="dxa"/>
            <w:shd w:val="clear" w:color="auto" w:fill="auto"/>
            <w:vAlign w:val="center"/>
            <w:hideMark/>
          </w:tcPr>
          <w:p w:rsidRPr="00AE1B2B" w:rsidR="009D3FB5" w:rsidP="00163B94" w:rsidRDefault="009D3FB5" w14:paraId="64EA96E0"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No cuenta con equipo</w:t>
            </w:r>
          </w:p>
        </w:tc>
      </w:tr>
      <w:tr w:rsidRPr="00AE1B2B" w:rsidR="00AE1B2B" w:rsidTr="009D3FB5" w14:paraId="4E448670" w14:textId="77777777">
        <w:trPr>
          <w:trHeight w:val="1339"/>
          <w:jc w:val="center"/>
        </w:trPr>
        <w:tc>
          <w:tcPr>
            <w:tcW w:w="1985" w:type="dxa"/>
            <w:shd w:val="clear" w:color="auto" w:fill="auto"/>
            <w:noWrap/>
            <w:vAlign w:val="center"/>
            <w:hideMark/>
          </w:tcPr>
          <w:p w:rsidRPr="00AE1B2B" w:rsidR="009D3FB5" w:rsidP="00163B94" w:rsidRDefault="009D3FB5" w14:paraId="3AFA5884"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II Circuito Judicial Zona Sur</w:t>
            </w:r>
          </w:p>
        </w:tc>
        <w:tc>
          <w:tcPr>
            <w:tcW w:w="2551" w:type="dxa"/>
            <w:shd w:val="clear" w:color="auto" w:fill="auto"/>
            <w:vAlign w:val="center"/>
            <w:hideMark/>
          </w:tcPr>
          <w:p w:rsidRPr="00AE1B2B" w:rsidR="009D3FB5" w:rsidP="00163B94" w:rsidRDefault="009D3FB5" w14:paraId="31229B38"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1 Fiscal (a)</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Defensor (a) Público</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Psicólogo (a)</w:t>
            </w:r>
          </w:p>
        </w:tc>
        <w:tc>
          <w:tcPr>
            <w:tcW w:w="2245" w:type="dxa"/>
            <w:shd w:val="clear" w:color="auto" w:fill="auto"/>
            <w:vAlign w:val="center"/>
            <w:hideMark/>
          </w:tcPr>
          <w:p w:rsidRPr="00AE1B2B" w:rsidR="009D3FB5" w:rsidP="00163B94" w:rsidRDefault="009D3FB5" w14:paraId="17A96FF7"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Atención por parte del equipo psicosocial de Penal de Adultos.</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 xml:space="preserve">Las plazas ordinarias de Fiscal (a) y Defensor (a) Público especializadas de Penal Juvenil. </w:t>
            </w:r>
          </w:p>
        </w:tc>
        <w:tc>
          <w:tcPr>
            <w:tcW w:w="1843" w:type="dxa"/>
            <w:shd w:val="clear" w:color="auto" w:fill="auto"/>
            <w:noWrap/>
            <w:vAlign w:val="center"/>
            <w:hideMark/>
          </w:tcPr>
          <w:p w:rsidRPr="00AE1B2B" w:rsidR="009D3FB5" w:rsidP="00163B94" w:rsidRDefault="009D3FB5" w14:paraId="5A39082F"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No cuenta con equipo</w:t>
            </w:r>
          </w:p>
        </w:tc>
        <w:tc>
          <w:tcPr>
            <w:tcW w:w="1701" w:type="dxa"/>
            <w:shd w:val="clear" w:color="auto" w:fill="auto"/>
            <w:vAlign w:val="center"/>
            <w:hideMark/>
          </w:tcPr>
          <w:p w:rsidRPr="00AE1B2B" w:rsidR="009D3FB5" w:rsidP="00163B94" w:rsidRDefault="009D3FB5" w14:paraId="58FBC86B"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No cuenta con equipo</w:t>
            </w:r>
          </w:p>
        </w:tc>
      </w:tr>
      <w:tr w:rsidRPr="00AE1B2B" w:rsidR="00AE1B2B" w:rsidTr="009D3FB5" w14:paraId="3227AB37" w14:textId="77777777">
        <w:trPr>
          <w:trHeight w:val="1770"/>
          <w:jc w:val="center"/>
        </w:trPr>
        <w:tc>
          <w:tcPr>
            <w:tcW w:w="1985" w:type="dxa"/>
            <w:shd w:val="clear" w:color="auto" w:fill="auto"/>
            <w:noWrap/>
            <w:vAlign w:val="center"/>
            <w:hideMark/>
          </w:tcPr>
          <w:p w:rsidRPr="00AE1B2B" w:rsidR="009D3FB5" w:rsidP="00163B94" w:rsidRDefault="009D3FB5" w14:paraId="35E66129"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lastRenderedPageBreak/>
              <w:t>I Circuito Judicial Zona Atlántica</w:t>
            </w:r>
          </w:p>
        </w:tc>
        <w:tc>
          <w:tcPr>
            <w:tcW w:w="2551" w:type="dxa"/>
            <w:shd w:val="clear" w:color="auto" w:fill="auto"/>
            <w:vAlign w:val="center"/>
            <w:hideMark/>
          </w:tcPr>
          <w:p w:rsidRPr="00AE1B2B" w:rsidR="009D3FB5" w:rsidP="00163B94" w:rsidRDefault="009D3FB5" w14:paraId="622A4001"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 xml:space="preserve">1 Psicólogo (a) </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 El equipo legal del II CJZA colabora en la atención de la materia Penal</w:t>
            </w:r>
          </w:p>
        </w:tc>
        <w:tc>
          <w:tcPr>
            <w:tcW w:w="2245" w:type="dxa"/>
            <w:shd w:val="clear" w:color="auto" w:fill="auto"/>
            <w:vAlign w:val="center"/>
            <w:hideMark/>
          </w:tcPr>
          <w:p w:rsidRPr="00AE1B2B" w:rsidR="009D3FB5" w:rsidP="00163B94" w:rsidRDefault="009D3FB5" w14:paraId="09E6459A"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Atención por parte del equipo psicosocial de Penal de Adultos.</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Las plazas ordinarias de Fiscal (a) y Defensor (a) Público especializadas de Penal Juvenil.</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 xml:space="preserve">Atienden Limón, Batán y Bribri </w:t>
            </w:r>
          </w:p>
        </w:tc>
        <w:tc>
          <w:tcPr>
            <w:tcW w:w="1843" w:type="dxa"/>
            <w:shd w:val="clear" w:color="auto" w:fill="auto"/>
            <w:noWrap/>
            <w:vAlign w:val="center"/>
            <w:hideMark/>
          </w:tcPr>
          <w:p w:rsidRPr="00AE1B2B" w:rsidR="009D3FB5" w:rsidP="00163B94" w:rsidRDefault="009D3FB5" w14:paraId="6208D340"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No cuenta con equipo</w:t>
            </w:r>
          </w:p>
        </w:tc>
        <w:tc>
          <w:tcPr>
            <w:tcW w:w="1701" w:type="dxa"/>
            <w:shd w:val="clear" w:color="auto" w:fill="auto"/>
            <w:vAlign w:val="center"/>
            <w:hideMark/>
          </w:tcPr>
          <w:p w:rsidRPr="00AE1B2B" w:rsidR="009D3FB5" w:rsidP="00163B94" w:rsidRDefault="009D3FB5" w14:paraId="079D21D5"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Atención por parte del profesional en Psicología</w:t>
            </w:r>
          </w:p>
        </w:tc>
      </w:tr>
      <w:tr w:rsidRPr="00AE1B2B" w:rsidR="00AE1B2B" w:rsidTr="009D3FB5" w14:paraId="4CB8104C" w14:textId="77777777">
        <w:trPr>
          <w:trHeight w:val="1713"/>
          <w:jc w:val="center"/>
        </w:trPr>
        <w:tc>
          <w:tcPr>
            <w:tcW w:w="1985" w:type="dxa"/>
            <w:shd w:val="clear" w:color="auto" w:fill="auto"/>
            <w:noWrap/>
            <w:vAlign w:val="center"/>
            <w:hideMark/>
          </w:tcPr>
          <w:p w:rsidRPr="00AE1B2B" w:rsidR="009D3FB5" w:rsidP="00163B94" w:rsidRDefault="009D3FB5" w14:paraId="36E037B8"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II Circuito Judicial Zona Atlántica</w:t>
            </w:r>
          </w:p>
        </w:tc>
        <w:tc>
          <w:tcPr>
            <w:tcW w:w="2551" w:type="dxa"/>
            <w:shd w:val="clear" w:color="auto" w:fill="auto"/>
            <w:vAlign w:val="center"/>
            <w:hideMark/>
          </w:tcPr>
          <w:p w:rsidRPr="00AE1B2B" w:rsidR="009D3FB5" w:rsidP="00163B94" w:rsidRDefault="009D3FB5" w14:paraId="52C66668"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1 Fiscal (a)</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Defensor (a) Público</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Psicólogo (a)</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Trabajador (a) Social</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Técnico (a) Judicial del MP</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Atienden Siquirres y Pococí, así como soporte legal al ICJZA</w:t>
            </w:r>
          </w:p>
        </w:tc>
        <w:tc>
          <w:tcPr>
            <w:tcW w:w="2245" w:type="dxa"/>
            <w:shd w:val="clear" w:color="auto" w:fill="auto"/>
            <w:vAlign w:val="center"/>
            <w:hideMark/>
          </w:tcPr>
          <w:p w:rsidRPr="00AE1B2B" w:rsidR="009D3FB5" w:rsidP="00163B94" w:rsidRDefault="009D3FB5" w14:paraId="20539872"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Atención por parte del equipo psicosocial de Penal de Adultos.</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 xml:space="preserve">Las plazas ordinarias de Fiscal (a) y Defensor (a) Público especializadas de Penal Juvenil. </w:t>
            </w:r>
          </w:p>
        </w:tc>
        <w:tc>
          <w:tcPr>
            <w:tcW w:w="1843" w:type="dxa"/>
            <w:shd w:val="clear" w:color="auto" w:fill="auto"/>
            <w:noWrap/>
            <w:vAlign w:val="center"/>
            <w:hideMark/>
          </w:tcPr>
          <w:p w:rsidRPr="00AE1B2B" w:rsidR="009D3FB5" w:rsidP="00163B94" w:rsidRDefault="009D3FB5" w14:paraId="420C2023"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No cuenta con equipo</w:t>
            </w:r>
          </w:p>
        </w:tc>
        <w:tc>
          <w:tcPr>
            <w:tcW w:w="1701" w:type="dxa"/>
            <w:shd w:val="clear" w:color="auto" w:fill="auto"/>
            <w:vAlign w:val="center"/>
            <w:hideMark/>
          </w:tcPr>
          <w:p w:rsidRPr="00AE1B2B" w:rsidR="009D3FB5" w:rsidP="00163B94" w:rsidRDefault="009D3FB5" w14:paraId="6639A692"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No cuenta con equipo</w:t>
            </w:r>
          </w:p>
        </w:tc>
      </w:tr>
      <w:tr w:rsidRPr="00AE1B2B" w:rsidR="00AE1B2B" w:rsidTr="009D3FB5" w14:paraId="32EE0583" w14:textId="77777777">
        <w:trPr>
          <w:trHeight w:val="1831"/>
          <w:jc w:val="center"/>
        </w:trPr>
        <w:tc>
          <w:tcPr>
            <w:tcW w:w="1985" w:type="dxa"/>
            <w:shd w:val="clear" w:color="auto" w:fill="auto"/>
            <w:noWrap/>
            <w:vAlign w:val="center"/>
            <w:hideMark/>
          </w:tcPr>
          <w:p w:rsidRPr="00AE1B2B" w:rsidR="009D3FB5" w:rsidP="00163B94" w:rsidRDefault="009D3FB5" w14:paraId="4C56049B"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Puntarenas</w:t>
            </w:r>
          </w:p>
        </w:tc>
        <w:tc>
          <w:tcPr>
            <w:tcW w:w="2551" w:type="dxa"/>
            <w:shd w:val="clear" w:color="auto" w:fill="auto"/>
            <w:vAlign w:val="center"/>
            <w:hideMark/>
          </w:tcPr>
          <w:p w:rsidRPr="00AE1B2B" w:rsidR="009D3FB5" w:rsidP="00163B94" w:rsidRDefault="009D3FB5" w14:paraId="1AFB95B6"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1 Fiscal (a)</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Defensor (a) Público</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Psicólogo (a)</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Trabajador (a) Social</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Técnico del MP</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Atienden Quepos, Aguirre y Parrita; así como soporte legal al III Circuito Judicial de Alajuela</w:t>
            </w:r>
          </w:p>
        </w:tc>
        <w:tc>
          <w:tcPr>
            <w:tcW w:w="2245" w:type="dxa"/>
            <w:shd w:val="clear" w:color="auto" w:fill="auto"/>
            <w:vAlign w:val="center"/>
            <w:hideMark/>
          </w:tcPr>
          <w:p w:rsidRPr="00AE1B2B" w:rsidR="009D3FB5" w:rsidP="00163B94" w:rsidRDefault="009D3FB5" w14:paraId="40AB3412"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Atención por parte del equipo psicosocial de Penal de Adultos.</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 xml:space="preserve">Las plazas ordinarias de Fiscal (a) y Defensor (a) Público especializadas de Penal Juvenil. </w:t>
            </w:r>
          </w:p>
        </w:tc>
        <w:tc>
          <w:tcPr>
            <w:tcW w:w="1843" w:type="dxa"/>
            <w:shd w:val="clear" w:color="auto" w:fill="auto"/>
            <w:noWrap/>
            <w:vAlign w:val="center"/>
            <w:hideMark/>
          </w:tcPr>
          <w:p w:rsidRPr="00AE1B2B" w:rsidR="009D3FB5" w:rsidP="00163B94" w:rsidRDefault="009D3FB5" w14:paraId="02F95EED"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No cuenta con equipo</w:t>
            </w:r>
          </w:p>
        </w:tc>
        <w:tc>
          <w:tcPr>
            <w:tcW w:w="1701" w:type="dxa"/>
            <w:shd w:val="clear" w:color="auto" w:fill="auto"/>
            <w:vAlign w:val="center"/>
            <w:hideMark/>
          </w:tcPr>
          <w:p w:rsidRPr="00AE1B2B" w:rsidR="009D3FB5" w:rsidP="00163B94" w:rsidRDefault="009D3FB5" w14:paraId="33BB490B" w14:textId="0FEBD9F0">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Soporte por parte del equipo psicosocial.</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Defensor (a)</w:t>
            </w:r>
            <w:r w:rsidRPr="00AE1B2B" w:rsidR="00BB7720">
              <w:rPr>
                <w:rFonts w:ascii="Times New Roman" w:hAnsi="Times New Roman" w:eastAsia="Times New Roman" w:cs="Times New Roman"/>
                <w:sz w:val="16"/>
                <w:szCs w:val="16"/>
                <w:lang w:eastAsia="es-CR"/>
              </w:rPr>
              <w:t xml:space="preserve"> </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Participación de juez conciliador</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Casa de Justicia Puntarenas</w:t>
            </w:r>
          </w:p>
        </w:tc>
      </w:tr>
      <w:tr w:rsidRPr="00AE1B2B" w:rsidR="00AE1B2B" w:rsidTr="009D3FB5" w14:paraId="3DD6AF04" w14:textId="77777777">
        <w:trPr>
          <w:trHeight w:val="1548"/>
          <w:jc w:val="center"/>
        </w:trPr>
        <w:tc>
          <w:tcPr>
            <w:tcW w:w="1985" w:type="dxa"/>
            <w:shd w:val="clear" w:color="auto" w:fill="auto"/>
            <w:noWrap/>
            <w:vAlign w:val="center"/>
            <w:hideMark/>
          </w:tcPr>
          <w:p w:rsidRPr="00AE1B2B" w:rsidR="009D3FB5" w:rsidP="00163B94" w:rsidRDefault="009D3FB5" w14:paraId="70564D40"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I Circuito Judicial Guanacaste</w:t>
            </w:r>
          </w:p>
        </w:tc>
        <w:tc>
          <w:tcPr>
            <w:tcW w:w="2551" w:type="dxa"/>
            <w:shd w:val="clear" w:color="auto" w:fill="auto"/>
            <w:vAlign w:val="center"/>
            <w:hideMark/>
          </w:tcPr>
          <w:p w:rsidRPr="00AE1B2B" w:rsidR="009D3FB5" w:rsidP="00163B94" w:rsidRDefault="009D3FB5" w14:paraId="39DE8836"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1 Fiscal (a)</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Defensor (a) Público</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1 Psicólogo (a)</w:t>
            </w:r>
          </w:p>
        </w:tc>
        <w:tc>
          <w:tcPr>
            <w:tcW w:w="2245" w:type="dxa"/>
            <w:shd w:val="clear" w:color="auto" w:fill="auto"/>
            <w:vAlign w:val="center"/>
            <w:hideMark/>
          </w:tcPr>
          <w:p w:rsidRPr="00AE1B2B" w:rsidR="009D3FB5" w:rsidP="00163B94" w:rsidRDefault="009D3FB5" w14:paraId="291C521D"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 xml:space="preserve">1 Psicólogo (a) </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Las plazas ordinarias de Fiscal (a) y Defensor (a) Público especializadas de Penal Juvenil.</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La plaza de Psicólogo (a) atiende durante una semana en Liberia y una semana en Cañas</w:t>
            </w:r>
          </w:p>
        </w:tc>
        <w:tc>
          <w:tcPr>
            <w:tcW w:w="1843" w:type="dxa"/>
            <w:shd w:val="clear" w:color="auto" w:fill="auto"/>
            <w:noWrap/>
            <w:vAlign w:val="center"/>
            <w:hideMark/>
          </w:tcPr>
          <w:p w:rsidRPr="00AE1B2B" w:rsidR="009D3FB5" w:rsidP="00163B94" w:rsidRDefault="009D3FB5" w14:paraId="3E86FBDA"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No cuenta con equipo</w:t>
            </w:r>
          </w:p>
        </w:tc>
        <w:tc>
          <w:tcPr>
            <w:tcW w:w="1701" w:type="dxa"/>
            <w:shd w:val="clear" w:color="auto" w:fill="auto"/>
            <w:vAlign w:val="center"/>
            <w:hideMark/>
          </w:tcPr>
          <w:p w:rsidRPr="00AE1B2B" w:rsidR="009D3FB5" w:rsidP="00163B94" w:rsidRDefault="009D3FB5" w14:paraId="5B78A173"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Soporte por parte del equipo psicosocial.</w:t>
            </w:r>
          </w:p>
        </w:tc>
      </w:tr>
      <w:tr w:rsidRPr="00AE1B2B" w:rsidR="00AE1B2B" w:rsidTr="009D3FB5" w14:paraId="58B63437" w14:textId="77777777">
        <w:trPr>
          <w:trHeight w:val="300"/>
          <w:jc w:val="center"/>
        </w:trPr>
        <w:tc>
          <w:tcPr>
            <w:tcW w:w="1985" w:type="dxa"/>
            <w:shd w:val="clear" w:color="auto" w:fill="auto"/>
            <w:noWrap/>
            <w:vAlign w:val="center"/>
            <w:hideMark/>
          </w:tcPr>
          <w:p w:rsidRPr="00AE1B2B" w:rsidR="009D3FB5" w:rsidP="00163B94" w:rsidRDefault="009D3FB5" w14:paraId="7004F80E"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II Circuito Judicial Guanacaste</w:t>
            </w:r>
          </w:p>
        </w:tc>
        <w:tc>
          <w:tcPr>
            <w:tcW w:w="2551" w:type="dxa"/>
            <w:shd w:val="clear" w:color="auto" w:fill="auto"/>
            <w:vAlign w:val="center"/>
            <w:hideMark/>
          </w:tcPr>
          <w:p w:rsidRPr="00AE1B2B" w:rsidR="009D3FB5" w:rsidP="00163B94" w:rsidRDefault="009D3FB5" w14:paraId="09AD157E" w14:textId="77777777">
            <w:pPr>
              <w:spacing w:before="120" w:after="120"/>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Aún no se ha iniciado la atención</w:t>
            </w:r>
          </w:p>
        </w:tc>
        <w:tc>
          <w:tcPr>
            <w:tcW w:w="2245" w:type="dxa"/>
            <w:shd w:val="clear" w:color="auto" w:fill="auto"/>
            <w:vAlign w:val="center"/>
            <w:hideMark/>
          </w:tcPr>
          <w:p w:rsidRPr="00AE1B2B" w:rsidR="009D3FB5" w:rsidP="00163B94" w:rsidRDefault="009D3FB5" w14:paraId="501E4589"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 xml:space="preserve">1 Psicólogo (a) </w:t>
            </w:r>
            <w:r w:rsidRPr="00AE1B2B">
              <w:rPr>
                <w:rFonts w:ascii="Times New Roman" w:hAnsi="Times New Roman" w:eastAsia="Times New Roman" w:cs="Times New Roman"/>
                <w:sz w:val="16"/>
                <w:szCs w:val="16"/>
                <w:lang w:eastAsia="es-CR"/>
              </w:rPr>
              <w:br/>
            </w:r>
            <w:r w:rsidRPr="00AE1B2B">
              <w:rPr>
                <w:rFonts w:ascii="Times New Roman" w:hAnsi="Times New Roman" w:eastAsia="Times New Roman" w:cs="Times New Roman"/>
                <w:sz w:val="16"/>
                <w:szCs w:val="16"/>
                <w:lang w:eastAsia="es-CR"/>
              </w:rPr>
              <w:t>Las plazas ordinarias de Fiscal (a) y Defensor (a) Público especializadas de Penal Juvenil.</w:t>
            </w:r>
          </w:p>
        </w:tc>
        <w:tc>
          <w:tcPr>
            <w:tcW w:w="1843" w:type="dxa"/>
            <w:shd w:val="clear" w:color="auto" w:fill="auto"/>
            <w:noWrap/>
            <w:vAlign w:val="center"/>
            <w:hideMark/>
          </w:tcPr>
          <w:p w:rsidRPr="00AE1B2B" w:rsidR="009D3FB5" w:rsidP="00163B94" w:rsidRDefault="009D3FB5" w14:paraId="345E6C8A"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No cuenta con equipo</w:t>
            </w:r>
          </w:p>
        </w:tc>
        <w:tc>
          <w:tcPr>
            <w:tcW w:w="1701" w:type="dxa"/>
            <w:shd w:val="clear" w:color="auto" w:fill="auto"/>
            <w:noWrap/>
            <w:vAlign w:val="center"/>
            <w:hideMark/>
          </w:tcPr>
          <w:p w:rsidRPr="00AE1B2B" w:rsidR="009D3FB5" w:rsidP="00163B94" w:rsidRDefault="009D3FB5" w14:paraId="2576C6D2"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Casa de Justicia Nicoya</w:t>
            </w:r>
          </w:p>
        </w:tc>
      </w:tr>
    </w:tbl>
    <w:p w:rsidRPr="00AE1B2B" w:rsidR="009D3FB5" w:rsidP="00163B94" w:rsidRDefault="009D3FB5" w14:paraId="60FDF839" w14:textId="77777777">
      <w:pPr>
        <w:tabs>
          <w:tab w:val="left" w:pos="0"/>
        </w:tabs>
        <w:spacing w:before="120" w:after="120"/>
        <w:ind w:left="851" w:right="851" w:firstLine="709"/>
        <w:jc w:val="both"/>
        <w:rPr>
          <w:rFonts w:ascii="Times New Roman" w:hAnsi="Times New Roman" w:eastAsia="Calibri" w:cs="Times New Roman"/>
          <w:bCs/>
          <w:sz w:val="26"/>
          <w:szCs w:val="26"/>
        </w:rPr>
      </w:pPr>
      <w:r w:rsidRPr="00AE1B2B">
        <w:rPr>
          <w:rFonts w:ascii="Times New Roman" w:hAnsi="Times New Roman" w:eastAsia="Calibri" w:cs="Times New Roman"/>
          <w:b/>
          <w:sz w:val="26"/>
          <w:szCs w:val="26"/>
        </w:rPr>
        <w:t>Fuente:</w:t>
      </w:r>
      <w:r w:rsidRPr="00AE1B2B">
        <w:rPr>
          <w:rFonts w:ascii="Times New Roman" w:hAnsi="Times New Roman" w:eastAsia="Calibri" w:cs="Times New Roman"/>
          <w:bCs/>
          <w:sz w:val="26"/>
          <w:szCs w:val="26"/>
        </w:rPr>
        <w:t xml:space="preserve"> Modernización Institucional a partir de información suministrada por parte de la Oficina Rectora de Justicia Restaurativa.</w:t>
      </w:r>
    </w:p>
    <w:p w:rsidRPr="00AE1B2B" w:rsidR="009D3FB5" w:rsidP="00163B94" w:rsidRDefault="009D3FB5" w14:paraId="0A287F2C" w14:textId="77777777">
      <w:pPr>
        <w:spacing w:before="120" w:after="120"/>
        <w:ind w:left="851" w:right="851" w:firstLine="709"/>
        <w:jc w:val="both"/>
        <w:rPr>
          <w:rFonts w:ascii="Times New Roman" w:hAnsi="Times New Roman" w:eastAsia="Calibri" w:cs="Times New Roman"/>
          <w:b/>
          <w:bCs/>
          <w:iCs/>
          <w:sz w:val="26"/>
          <w:szCs w:val="26"/>
          <w:lang w:val="x-none" w:eastAsia="x-none"/>
        </w:rPr>
      </w:pPr>
      <w:r w:rsidRPr="00AE1B2B">
        <w:rPr>
          <w:rFonts w:ascii="Times New Roman" w:hAnsi="Times New Roman" w:eastAsia="Calibri" w:cs="Times New Roman"/>
          <w:b/>
          <w:bCs/>
          <w:iCs/>
          <w:sz w:val="26"/>
          <w:szCs w:val="26"/>
          <w:lang w:eastAsia="x-none"/>
        </w:rPr>
        <w:t>Programa de Justicia Restaurativa para el Bienestar Integral del Personal Judicial</w:t>
      </w:r>
    </w:p>
    <w:p w:rsidRPr="00AE1B2B" w:rsidR="009D3FB5" w:rsidP="00163B94" w:rsidRDefault="009D3FB5" w14:paraId="4EA37401" w14:textId="77777777">
      <w:pPr>
        <w:spacing w:before="120" w:after="120"/>
        <w:ind w:left="851" w:right="851" w:firstLine="709"/>
        <w:jc w:val="both"/>
        <w:rPr>
          <w:rFonts w:ascii="Times New Roman" w:hAnsi="Times New Roman" w:eastAsia="Times New Roman" w:cs="Times New Roman"/>
          <w:bCs/>
          <w:sz w:val="26"/>
          <w:szCs w:val="26"/>
          <w:lang w:eastAsia="es-ES"/>
        </w:rPr>
      </w:pPr>
      <w:r w:rsidRPr="00AE1B2B">
        <w:rPr>
          <w:rFonts w:ascii="Times New Roman" w:hAnsi="Times New Roman" w:eastAsia="Times New Roman" w:cs="Times New Roman"/>
          <w:bCs/>
          <w:sz w:val="26"/>
          <w:szCs w:val="26"/>
          <w:lang w:eastAsia="es-ES"/>
        </w:rPr>
        <w:t>En sesión 98-19 del Consejo Superior, celebrada el 7 de noviembre de 2019, artículo XCVII se conoció el Protocolo Programa de Justicia Restaurativa para el Bienestar Integral del Personal Judicial para Conductas Relacionadas con el Deterioro de las Finanzas Personales y de Faltas de Respeto, el cual inició su atención en el mes de febrero de 2020 como un plan piloto durante tres años en el Gran Área Metropolitana, en los siguientes aspectos:</w:t>
      </w:r>
    </w:p>
    <w:p w:rsidRPr="00AE1B2B" w:rsidR="009D3FB5" w:rsidP="00163B94" w:rsidRDefault="009D3FB5" w14:paraId="6FA62CF7" w14:textId="77777777">
      <w:pPr>
        <w:spacing w:before="120" w:after="120"/>
        <w:ind w:left="851" w:right="851" w:firstLine="709"/>
        <w:jc w:val="both"/>
        <w:rPr>
          <w:rFonts w:ascii="Times New Roman" w:hAnsi="Times New Roman" w:eastAsia="Times New Roman" w:cs="Times New Roman"/>
          <w:bCs/>
          <w:sz w:val="26"/>
          <w:szCs w:val="26"/>
          <w:lang w:eastAsia="es-ES"/>
        </w:rPr>
      </w:pPr>
    </w:p>
    <w:p w:rsidRPr="00AE1B2B" w:rsidR="009D3FB5" w:rsidP="00163B94" w:rsidRDefault="009D3FB5" w14:paraId="5518016E" w14:textId="77777777">
      <w:pPr>
        <w:widowControl w:val="0"/>
        <w:numPr>
          <w:ilvl w:val="0"/>
          <w:numId w:val="131"/>
        </w:numPr>
        <w:tabs>
          <w:tab w:val="left" w:pos="0"/>
        </w:tabs>
        <w:autoSpaceDE w:val="0"/>
        <w:autoSpaceDN w:val="0"/>
        <w:adjustRightInd w:val="0"/>
        <w:spacing w:before="120" w:after="120"/>
        <w:ind w:left="851" w:right="851" w:firstLine="709"/>
        <w:jc w:val="both"/>
        <w:rPr>
          <w:rFonts w:ascii="Times New Roman" w:hAnsi="Times New Roman" w:eastAsia="Times New Roman" w:cs="Times New Roman"/>
          <w:bCs/>
          <w:sz w:val="26"/>
          <w:szCs w:val="26"/>
          <w:lang w:eastAsia="es-ES"/>
        </w:rPr>
      </w:pPr>
      <w:r w:rsidRPr="00AE1B2B">
        <w:rPr>
          <w:rFonts w:ascii="Times New Roman" w:hAnsi="Times New Roman" w:eastAsia="Times New Roman" w:cs="Times New Roman"/>
          <w:bCs/>
          <w:sz w:val="26"/>
          <w:szCs w:val="26"/>
          <w:lang w:eastAsia="es-ES"/>
        </w:rPr>
        <w:t xml:space="preserve">Procesos por conductas relacionadas con el deterioro de </w:t>
      </w:r>
      <w:r w:rsidRPr="00AE1B2B">
        <w:rPr>
          <w:rFonts w:ascii="Times New Roman" w:hAnsi="Times New Roman" w:eastAsia="Times New Roman" w:cs="Times New Roman"/>
          <w:bCs/>
          <w:sz w:val="26"/>
          <w:szCs w:val="26"/>
          <w:lang w:eastAsia="es-ES"/>
        </w:rPr>
        <w:lastRenderedPageBreak/>
        <w:t>las finanzas personales.</w:t>
      </w:r>
    </w:p>
    <w:p w:rsidRPr="00AE1B2B" w:rsidR="009D3FB5" w:rsidP="00163B94" w:rsidRDefault="009D3FB5" w14:paraId="14FBC2FD" w14:textId="77777777">
      <w:pPr>
        <w:widowControl w:val="0"/>
        <w:numPr>
          <w:ilvl w:val="0"/>
          <w:numId w:val="131"/>
        </w:numPr>
        <w:tabs>
          <w:tab w:val="left" w:pos="0"/>
        </w:tabs>
        <w:autoSpaceDE w:val="0"/>
        <w:autoSpaceDN w:val="0"/>
        <w:adjustRightInd w:val="0"/>
        <w:spacing w:before="120" w:after="120"/>
        <w:ind w:left="851" w:right="851" w:firstLine="709"/>
        <w:jc w:val="both"/>
        <w:rPr>
          <w:rFonts w:ascii="Times New Roman" w:hAnsi="Times New Roman" w:eastAsia="Times New Roman" w:cs="Times New Roman"/>
          <w:bCs/>
          <w:sz w:val="26"/>
          <w:szCs w:val="26"/>
          <w:lang w:eastAsia="es-ES"/>
        </w:rPr>
      </w:pPr>
      <w:r w:rsidRPr="00AE1B2B">
        <w:rPr>
          <w:rFonts w:ascii="Times New Roman" w:hAnsi="Times New Roman" w:eastAsia="Times New Roman" w:cs="Times New Roman"/>
          <w:bCs/>
          <w:sz w:val="26"/>
          <w:szCs w:val="26"/>
          <w:lang w:eastAsia="es-ES"/>
        </w:rPr>
        <w:t>Procesos por diferencias interpersonales entre funcionarios y/o funcionarias del Organismo de Investigación Judicial, que encuadren en las faltas reguladas por los artículos 192 inciso 1) y 193 inciso 1) de la Ley Orgánica del Poder Judicial.</w:t>
      </w:r>
    </w:p>
    <w:p w:rsidRPr="00AE1B2B" w:rsidR="009D3FB5" w:rsidP="00163B94" w:rsidRDefault="009D3FB5" w14:paraId="19741836"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Adicionalmente se indica:</w:t>
      </w:r>
    </w:p>
    <w:p w:rsidRPr="00AE1B2B" w:rsidR="009D3FB5" w:rsidP="00163B94" w:rsidRDefault="009D3FB5" w14:paraId="15D1A138" w14:textId="77777777">
      <w:pPr>
        <w:tabs>
          <w:tab w:val="left" w:pos="992"/>
        </w:tabs>
        <w:spacing w:before="120" w:after="120"/>
        <w:ind w:left="851" w:right="851" w:firstLine="709"/>
        <w:jc w:val="both"/>
        <w:rPr>
          <w:rFonts w:ascii="Times New Roman" w:hAnsi="Times New Roman" w:eastAsia="Calibri" w:cs="Times New Roman"/>
          <w:i/>
          <w:iCs/>
          <w:sz w:val="26"/>
          <w:szCs w:val="26"/>
        </w:rPr>
      </w:pPr>
      <w:r w:rsidRPr="00AE1B2B">
        <w:rPr>
          <w:rFonts w:ascii="Times New Roman" w:hAnsi="Times New Roman" w:eastAsia="Calibri" w:cs="Times New Roman"/>
          <w:i/>
          <w:iCs/>
          <w:sz w:val="26"/>
          <w:szCs w:val="26"/>
        </w:rPr>
        <w:t>“Esta cobertura podrá ampliarse paulatinamente, sujeto a un análisis de los resultados semestrales del Plan Piloto que se deberán remitir al Consejo Superior y a la integración a la Red de Apoyo de instituciones y/u organizaciones que permitan el debido cumplimiento de los planes reparadores por parte del personal judicial que labora en jurisdicciones fuera del GAM.</w:t>
      </w:r>
    </w:p>
    <w:p w:rsidRPr="00AE1B2B" w:rsidR="009D3FB5" w:rsidP="00163B94" w:rsidRDefault="009D3FB5" w14:paraId="26228D67" w14:textId="77777777">
      <w:pPr>
        <w:tabs>
          <w:tab w:val="left" w:pos="992"/>
        </w:tabs>
        <w:spacing w:before="120" w:after="120"/>
        <w:ind w:left="851" w:right="851" w:firstLine="709"/>
        <w:jc w:val="both"/>
        <w:rPr>
          <w:rFonts w:ascii="Times New Roman" w:hAnsi="Times New Roman" w:eastAsia="Calibri" w:cs="Times New Roman"/>
          <w:i/>
          <w:iCs/>
          <w:sz w:val="26"/>
          <w:szCs w:val="26"/>
        </w:rPr>
      </w:pPr>
      <w:r w:rsidRPr="00AE1B2B">
        <w:rPr>
          <w:rFonts w:ascii="Times New Roman" w:hAnsi="Times New Roman" w:eastAsia="Calibri" w:cs="Times New Roman"/>
          <w:i/>
          <w:iCs/>
          <w:sz w:val="26"/>
          <w:szCs w:val="26"/>
        </w:rPr>
        <w:t>Durante el Plan Piloto, el Programa recibirá un máximo de 25 asuntos por mes, cuota que se cuantificará entre todos los órganos disciplinarios y/u oficinas que están participando en esta etapa inicial. Dicha cuota mensual también se encontrará sujeta a ser variada, siempre y cuando no se afecte la atención de calidad de los asuntos por parte del Programa.”.</w:t>
      </w:r>
    </w:p>
    <w:p w:rsidRPr="00AE1B2B" w:rsidR="009D3FB5" w:rsidP="00163B94" w:rsidRDefault="009D3FB5" w14:paraId="16977AC4" w14:textId="77777777">
      <w:pPr>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4C4D7C95"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En acuerdo del Consejo Superior tomado en sesión 112-2020 celebrada el 20 de noviembre de 2020, artículo XLVIII, se aprueban las rutas de trabajo del Programa de Justicia Restaurativa para el Bienestar del Personal Judicial, a saber:</w:t>
      </w:r>
    </w:p>
    <w:p w:rsidRPr="00AE1B2B" w:rsidR="009D3FB5" w:rsidP="00163B94" w:rsidRDefault="009D3FB5" w14:paraId="53B12FA0"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1-Procedimiento para tramitar acciones u omisiones no sujetas al Régimen Disciplinario</w:t>
      </w:r>
    </w:p>
    <w:p w:rsidRPr="00AE1B2B" w:rsidR="009D3FB5" w:rsidP="00163B94" w:rsidRDefault="009D3FB5" w14:paraId="4F7D029D"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2-Procedimiento para tramitación acciones u omisiones sujetas a Régimen Disciplinario</w:t>
      </w:r>
    </w:p>
    <w:p w:rsidRPr="00AE1B2B" w:rsidR="009D3FB5" w:rsidP="00163B94" w:rsidRDefault="009D3FB5" w14:paraId="09DA13AF"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Actualmente, la atención del Programa de Justicia Restaurativa para el Bienestar Integral del Personal Judicial se encuentra atendido por los siguientes recursos:</w:t>
      </w:r>
    </w:p>
    <w:p w:rsidRPr="00AE1B2B" w:rsidR="009D3FB5" w:rsidP="00163B94" w:rsidRDefault="009D3FB5" w14:paraId="0E31E177" w14:textId="77777777">
      <w:pPr>
        <w:numPr>
          <w:ilvl w:val="0"/>
          <w:numId w:val="132"/>
        </w:num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1 Profesional en Derecho, bajo la modalidad de Permiso con Goce de Salario.</w:t>
      </w:r>
    </w:p>
    <w:p w:rsidRPr="00AE1B2B" w:rsidR="009D3FB5" w:rsidP="00163B94" w:rsidRDefault="009D3FB5" w14:paraId="2AA3513F" w14:textId="77777777">
      <w:pPr>
        <w:numPr>
          <w:ilvl w:val="0"/>
          <w:numId w:val="132"/>
        </w:num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1 Profesional en Psicología, bajo la modalidad de Permiso con Goce de Salario.</w:t>
      </w:r>
    </w:p>
    <w:p w:rsidRPr="00AE1B2B" w:rsidR="009D3FB5" w:rsidP="00163B94" w:rsidRDefault="009D3FB5" w14:paraId="5670AE82" w14:textId="77777777">
      <w:pPr>
        <w:numPr>
          <w:ilvl w:val="0"/>
          <w:numId w:val="132"/>
        </w:num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Medio tiempo del Profesional 2 de la Oficina Rectora de Justicia Restaurativa.</w:t>
      </w:r>
    </w:p>
    <w:p w:rsidRPr="00AE1B2B" w:rsidR="009D3FB5" w:rsidP="00163B94" w:rsidRDefault="009D3FB5" w14:paraId="3BE39C26"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lastRenderedPageBreak/>
        <w:t xml:space="preserve">Sobre este particular, se debe aclarar que este programa no se contempla dentro de las disposiciones mencionadas en la Ley de Justicia Restaurativa. </w:t>
      </w:r>
    </w:p>
    <w:p w:rsidRPr="00AE1B2B" w:rsidR="009D3FB5" w:rsidP="00163B94" w:rsidRDefault="009D3FB5" w14:paraId="25EA3F5D"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268D994B"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213EA92A"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7BEC7EB4" w14:textId="77777777">
      <w:pPr>
        <w:spacing w:before="120" w:after="120"/>
        <w:ind w:left="851" w:right="851" w:firstLine="709"/>
        <w:jc w:val="both"/>
        <w:rPr>
          <w:rFonts w:ascii="Times New Roman" w:hAnsi="Times New Roman" w:eastAsia="Calibri" w:cs="Times New Roman"/>
          <w:b/>
          <w:bCs/>
          <w:iCs/>
          <w:sz w:val="26"/>
          <w:szCs w:val="26"/>
          <w:lang w:val="x-none" w:eastAsia="x-none"/>
        </w:rPr>
      </w:pPr>
      <w:r w:rsidRPr="00AE1B2B">
        <w:rPr>
          <w:rFonts w:ascii="Times New Roman" w:hAnsi="Times New Roman" w:eastAsia="Calibri" w:cs="Times New Roman"/>
          <w:b/>
          <w:bCs/>
          <w:iCs/>
          <w:sz w:val="26"/>
          <w:szCs w:val="26"/>
          <w:lang w:eastAsia="x-none"/>
        </w:rPr>
        <w:t>Análisis del comportamiento estadístico</w:t>
      </w:r>
    </w:p>
    <w:p w:rsidRPr="00AE1B2B" w:rsidR="009D3FB5" w:rsidP="00163B94" w:rsidRDefault="009D3FB5" w14:paraId="3AC5C669" w14:textId="77777777">
      <w:pPr>
        <w:spacing w:before="120" w:after="120"/>
        <w:ind w:left="851" w:right="851" w:firstLine="709"/>
        <w:jc w:val="both"/>
        <w:rPr>
          <w:rFonts w:ascii="Times New Roman" w:hAnsi="Times New Roman" w:eastAsia="Arial" w:cs="Times New Roman"/>
          <w:b/>
          <w:bCs/>
          <w:sz w:val="26"/>
          <w:szCs w:val="26"/>
        </w:rPr>
      </w:pPr>
      <w:r w:rsidRPr="00AE1B2B">
        <w:rPr>
          <w:rFonts w:ascii="Times New Roman" w:hAnsi="Times New Roman" w:eastAsia="Arial" w:cs="Times New Roman"/>
          <w:b/>
          <w:bCs/>
          <w:sz w:val="26"/>
          <w:szCs w:val="26"/>
        </w:rPr>
        <w:t>Justicia Restaurativa Penal de Adultos</w:t>
      </w:r>
    </w:p>
    <w:p w:rsidRPr="00AE1B2B" w:rsidR="009D3FB5" w:rsidP="00163B94" w:rsidRDefault="009D3FB5" w14:paraId="50599045" w14:textId="77777777">
      <w:pPr>
        <w:tabs>
          <w:tab w:val="left" w:pos="0"/>
        </w:tabs>
        <w:spacing w:before="120" w:after="120"/>
        <w:ind w:left="851" w:right="851" w:firstLine="709"/>
        <w:jc w:val="both"/>
        <w:rPr>
          <w:rFonts w:ascii="Times New Roman" w:hAnsi="Times New Roman" w:eastAsia="Calibri" w:cs="Times New Roman"/>
          <w:sz w:val="26"/>
          <w:szCs w:val="26"/>
          <w:lang w:val="es-ES"/>
        </w:rPr>
      </w:pPr>
      <w:r w:rsidRPr="00AE1B2B">
        <w:rPr>
          <w:rFonts w:ascii="Times New Roman" w:hAnsi="Times New Roman" w:eastAsia="Calibri" w:cs="Times New Roman"/>
          <w:sz w:val="26"/>
          <w:szCs w:val="26"/>
        </w:rPr>
        <w:t>En el cuadro siguiente, se presenta el detalle de las variables estadísticas, en Justicia Restaurativa Penal de Adultos, para el período 2017 a 2020.</w:t>
      </w:r>
      <w:r w:rsidRPr="00AE1B2B">
        <w:rPr>
          <w:rFonts w:ascii="Times New Roman" w:hAnsi="Times New Roman" w:eastAsia="Calibri" w:cs="Times New Roman"/>
          <w:sz w:val="26"/>
          <w:szCs w:val="26"/>
          <w:lang w:val="es-ES"/>
        </w:rPr>
        <w:t xml:space="preserve"> </w:t>
      </w:r>
    </w:p>
    <w:p w:rsidRPr="00AE1B2B" w:rsidR="009D3FB5" w:rsidP="00163B94" w:rsidRDefault="009D3FB5" w14:paraId="17009703" w14:textId="77777777">
      <w:pPr>
        <w:spacing w:before="120" w:after="120"/>
        <w:ind w:left="851" w:right="851" w:firstLine="709"/>
        <w:jc w:val="both"/>
        <w:rPr>
          <w:rFonts w:ascii="Times New Roman" w:hAnsi="Times New Roman" w:eastAsia="Calibri" w:cs="Times New Roman"/>
          <w:b/>
          <w:bCs/>
          <w:sz w:val="26"/>
          <w:szCs w:val="26"/>
        </w:rPr>
      </w:pPr>
      <w:bookmarkStart w:name="_Ref30424287" w:id="341"/>
      <w:bookmarkStart w:name="_Ref30424269" w:id="342"/>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3</w:t>
      </w:r>
      <w:r w:rsidRPr="00AE1B2B">
        <w:rPr>
          <w:rFonts w:ascii="Times New Roman" w:hAnsi="Times New Roman" w:eastAsia="Calibri" w:cs="Times New Roman"/>
          <w:b/>
          <w:bCs/>
          <w:sz w:val="26"/>
          <w:szCs w:val="26"/>
        </w:rPr>
        <w:fldChar w:fldCharType="end"/>
      </w:r>
      <w:bookmarkEnd w:id="341"/>
      <w:r w:rsidRPr="00AE1B2B">
        <w:rPr>
          <w:rFonts w:ascii="Times New Roman" w:hAnsi="Times New Roman" w:eastAsia="Calibri" w:cs="Times New Roman"/>
          <w:b/>
          <w:bCs/>
          <w:sz w:val="26"/>
          <w:szCs w:val="26"/>
        </w:rPr>
        <w:t>. Comportamiento de las variables estadísticas de Justicia Restaurativa Penal de Adultos periodo 2017-2020.</w:t>
      </w:r>
      <w:bookmarkEnd w:id="342"/>
    </w:p>
    <w:tbl>
      <w:tblPr>
        <w:tblW w:w="7732" w:type="dxa"/>
        <w:tblInd w:w="828" w:type="dxa"/>
        <w:tblCellMar>
          <w:left w:w="70" w:type="dxa"/>
          <w:right w:w="70" w:type="dxa"/>
        </w:tblCellMar>
        <w:tblLook w:val="04A0" w:firstRow="1" w:lastRow="0" w:firstColumn="1" w:lastColumn="0" w:noHBand="0" w:noVBand="1"/>
      </w:tblPr>
      <w:tblGrid>
        <w:gridCol w:w="2932"/>
        <w:gridCol w:w="1200"/>
        <w:gridCol w:w="1200"/>
        <w:gridCol w:w="1200"/>
        <w:gridCol w:w="1200"/>
      </w:tblGrid>
      <w:tr w:rsidRPr="00AE1B2B" w:rsidR="00AE1B2B" w:rsidTr="009D3FB5" w14:paraId="1A0D6BF3" w14:textId="77777777">
        <w:trPr>
          <w:trHeight w:val="265"/>
        </w:trPr>
        <w:tc>
          <w:tcPr>
            <w:tcW w:w="2932" w:type="dxa"/>
            <w:vMerge w:val="restart"/>
            <w:tcBorders>
              <w:top w:val="double" w:color="305496" w:sz="6" w:space="0"/>
              <w:left w:val="double" w:color="305496" w:sz="6" w:space="0"/>
              <w:bottom w:val="double" w:color="305496" w:sz="6" w:space="0"/>
              <w:right w:val="nil"/>
            </w:tcBorders>
            <w:shd w:val="clear" w:color="000000" w:fill="B4C6E7"/>
            <w:noWrap/>
            <w:vAlign w:val="center"/>
            <w:hideMark/>
          </w:tcPr>
          <w:p w:rsidRPr="00AE1B2B" w:rsidR="009D3FB5" w:rsidP="00163B94" w:rsidRDefault="009D3FB5" w14:paraId="0CAE0FCE"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Variable</w:t>
            </w:r>
          </w:p>
        </w:tc>
        <w:tc>
          <w:tcPr>
            <w:tcW w:w="4800" w:type="dxa"/>
            <w:gridSpan w:val="4"/>
            <w:tcBorders>
              <w:top w:val="double" w:color="305496" w:sz="6" w:space="0"/>
              <w:left w:val="double" w:color="305496" w:sz="6" w:space="0"/>
              <w:bottom w:val="double" w:color="305496" w:sz="6" w:space="0"/>
              <w:right w:val="double" w:color="305496" w:sz="6" w:space="0"/>
            </w:tcBorders>
            <w:shd w:val="clear" w:color="000000" w:fill="B4C6E7"/>
            <w:noWrap/>
            <w:vAlign w:val="bottom"/>
            <w:hideMark/>
          </w:tcPr>
          <w:p w:rsidRPr="00AE1B2B" w:rsidR="009D3FB5" w:rsidP="00163B94" w:rsidRDefault="009D3FB5" w14:paraId="0CA110C7"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Año</w:t>
            </w:r>
          </w:p>
        </w:tc>
      </w:tr>
      <w:tr w:rsidRPr="00AE1B2B" w:rsidR="00AE1B2B" w:rsidTr="009D3FB5" w14:paraId="6827B1BD" w14:textId="77777777">
        <w:trPr>
          <w:trHeight w:val="32"/>
        </w:trPr>
        <w:tc>
          <w:tcPr>
            <w:tcW w:w="2932" w:type="dxa"/>
            <w:vMerge/>
            <w:tcBorders>
              <w:top w:val="double" w:color="305496" w:sz="6" w:space="0"/>
              <w:left w:val="double" w:color="305496" w:sz="6" w:space="0"/>
              <w:bottom w:val="double" w:color="305496" w:sz="6" w:space="0"/>
              <w:right w:val="nil"/>
            </w:tcBorders>
            <w:vAlign w:val="center"/>
            <w:hideMark/>
          </w:tcPr>
          <w:p w:rsidRPr="00AE1B2B" w:rsidR="009D3FB5" w:rsidP="00163B94" w:rsidRDefault="009D3FB5" w14:paraId="0FF311F6" w14:textId="77777777">
            <w:pPr>
              <w:spacing w:before="120" w:after="120"/>
              <w:rPr>
                <w:rFonts w:ascii="Times New Roman" w:hAnsi="Times New Roman" w:eastAsia="Times New Roman" w:cs="Times New Roman"/>
                <w:sz w:val="24"/>
                <w:szCs w:val="24"/>
                <w:lang w:eastAsia="es-CR"/>
              </w:rPr>
            </w:pPr>
          </w:p>
        </w:tc>
        <w:tc>
          <w:tcPr>
            <w:tcW w:w="1200" w:type="dxa"/>
            <w:tcBorders>
              <w:top w:val="nil"/>
              <w:left w:val="double" w:color="305496" w:sz="6" w:space="0"/>
              <w:bottom w:val="double" w:color="305496" w:sz="6" w:space="0"/>
              <w:right w:val="double" w:color="305496" w:sz="6" w:space="0"/>
            </w:tcBorders>
            <w:shd w:val="clear" w:color="000000" w:fill="B4C6E7"/>
            <w:noWrap/>
            <w:vAlign w:val="bottom"/>
            <w:hideMark/>
          </w:tcPr>
          <w:p w:rsidRPr="00AE1B2B" w:rsidR="009D3FB5" w:rsidP="00163B94" w:rsidRDefault="009D3FB5" w14:paraId="7B04C52F"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2017</w:t>
            </w:r>
          </w:p>
        </w:tc>
        <w:tc>
          <w:tcPr>
            <w:tcW w:w="1200" w:type="dxa"/>
            <w:tcBorders>
              <w:top w:val="nil"/>
              <w:left w:val="nil"/>
              <w:bottom w:val="double" w:color="305496" w:sz="6" w:space="0"/>
              <w:right w:val="nil"/>
            </w:tcBorders>
            <w:shd w:val="clear" w:color="000000" w:fill="B4C6E7"/>
            <w:noWrap/>
            <w:vAlign w:val="bottom"/>
            <w:hideMark/>
          </w:tcPr>
          <w:p w:rsidRPr="00AE1B2B" w:rsidR="009D3FB5" w:rsidP="00163B94" w:rsidRDefault="009D3FB5" w14:paraId="010D8C79"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2018</w:t>
            </w:r>
          </w:p>
        </w:tc>
        <w:tc>
          <w:tcPr>
            <w:tcW w:w="1200" w:type="dxa"/>
            <w:tcBorders>
              <w:top w:val="nil"/>
              <w:left w:val="double" w:color="305496" w:sz="6" w:space="0"/>
              <w:bottom w:val="double" w:color="305496" w:sz="6" w:space="0"/>
              <w:right w:val="double" w:color="305496" w:sz="6" w:space="0"/>
            </w:tcBorders>
            <w:shd w:val="clear" w:color="000000" w:fill="B4C6E7"/>
            <w:noWrap/>
            <w:vAlign w:val="bottom"/>
            <w:hideMark/>
          </w:tcPr>
          <w:p w:rsidRPr="00AE1B2B" w:rsidR="009D3FB5" w:rsidP="00163B94" w:rsidRDefault="009D3FB5" w14:paraId="7FD29CC0"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2019</w:t>
            </w:r>
          </w:p>
        </w:tc>
        <w:tc>
          <w:tcPr>
            <w:tcW w:w="1200" w:type="dxa"/>
            <w:tcBorders>
              <w:top w:val="nil"/>
              <w:left w:val="nil"/>
              <w:bottom w:val="double" w:color="305496" w:sz="6" w:space="0"/>
              <w:right w:val="double" w:color="305496" w:sz="6" w:space="0"/>
            </w:tcBorders>
            <w:shd w:val="clear" w:color="000000" w:fill="B4C6E7"/>
            <w:noWrap/>
            <w:vAlign w:val="bottom"/>
            <w:hideMark/>
          </w:tcPr>
          <w:p w:rsidRPr="00AE1B2B" w:rsidR="009D3FB5" w:rsidP="00163B94" w:rsidRDefault="009D3FB5" w14:paraId="4DD464B1"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2020</w:t>
            </w:r>
          </w:p>
        </w:tc>
      </w:tr>
      <w:tr w:rsidRPr="00AE1B2B" w:rsidR="00AE1B2B" w:rsidTr="009D3FB5" w14:paraId="7E2CDAD1" w14:textId="77777777">
        <w:trPr>
          <w:trHeight w:val="390"/>
        </w:trPr>
        <w:tc>
          <w:tcPr>
            <w:tcW w:w="2932" w:type="dxa"/>
            <w:tcBorders>
              <w:top w:val="nil"/>
              <w:left w:val="double" w:color="305496" w:sz="6" w:space="0"/>
              <w:bottom w:val="double" w:color="305496" w:sz="6" w:space="0"/>
              <w:right w:val="double" w:color="305496" w:sz="6" w:space="0"/>
            </w:tcBorders>
            <w:shd w:val="clear" w:color="auto" w:fill="auto"/>
            <w:noWrap/>
            <w:vAlign w:val="bottom"/>
            <w:hideMark/>
          </w:tcPr>
          <w:p w:rsidRPr="00AE1B2B" w:rsidR="009D3FB5" w:rsidP="00163B94" w:rsidRDefault="009D3FB5" w14:paraId="55DA9EE3"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Entrados</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3F0E54A3"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2148</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23D1D9D1"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2411</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449DF048"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2729</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7A17CD53"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2428</w:t>
            </w:r>
          </w:p>
        </w:tc>
      </w:tr>
      <w:tr w:rsidRPr="00AE1B2B" w:rsidR="00AE1B2B" w:rsidTr="009D3FB5" w14:paraId="45671E51" w14:textId="77777777">
        <w:trPr>
          <w:trHeight w:val="390"/>
        </w:trPr>
        <w:tc>
          <w:tcPr>
            <w:tcW w:w="2932" w:type="dxa"/>
            <w:tcBorders>
              <w:top w:val="nil"/>
              <w:left w:val="double" w:color="305496" w:sz="6" w:space="0"/>
              <w:bottom w:val="double" w:color="305496" w:sz="6" w:space="0"/>
              <w:right w:val="double" w:color="305496" w:sz="6" w:space="0"/>
            </w:tcBorders>
            <w:shd w:val="clear" w:color="auto" w:fill="auto"/>
            <w:noWrap/>
            <w:vAlign w:val="bottom"/>
            <w:hideMark/>
          </w:tcPr>
          <w:p w:rsidRPr="00AE1B2B" w:rsidR="009D3FB5" w:rsidP="00163B94" w:rsidRDefault="009D3FB5" w14:paraId="19D372E6"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Reentrados</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5FEB957A"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54</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6BD264CD"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49</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0171F381"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100</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0B97460D"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70</w:t>
            </w:r>
          </w:p>
        </w:tc>
      </w:tr>
      <w:tr w:rsidRPr="00AE1B2B" w:rsidR="00AE1B2B" w:rsidTr="009D3FB5" w14:paraId="2A5F4FE7" w14:textId="77777777">
        <w:trPr>
          <w:trHeight w:val="390"/>
        </w:trPr>
        <w:tc>
          <w:tcPr>
            <w:tcW w:w="2932" w:type="dxa"/>
            <w:tcBorders>
              <w:top w:val="nil"/>
              <w:left w:val="double" w:color="305496" w:sz="6" w:space="0"/>
              <w:bottom w:val="double" w:color="305496" w:sz="6" w:space="0"/>
              <w:right w:val="double" w:color="305496" w:sz="6" w:space="0"/>
            </w:tcBorders>
            <w:shd w:val="clear" w:color="auto" w:fill="auto"/>
            <w:noWrap/>
            <w:vAlign w:val="bottom"/>
            <w:hideMark/>
          </w:tcPr>
          <w:p w:rsidRPr="00AE1B2B" w:rsidR="009D3FB5" w:rsidP="00163B94" w:rsidRDefault="009D3FB5" w14:paraId="2002D43E"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Total de entrados</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27952358"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2202</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1F79B220"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2460</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1AB33039"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2829</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674DAFD4"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2498</w:t>
            </w:r>
          </w:p>
        </w:tc>
      </w:tr>
      <w:tr w:rsidRPr="00AE1B2B" w:rsidR="00AE1B2B" w:rsidTr="009D3FB5" w14:paraId="5DE8D491" w14:textId="77777777">
        <w:trPr>
          <w:trHeight w:val="390"/>
        </w:trPr>
        <w:tc>
          <w:tcPr>
            <w:tcW w:w="2932" w:type="dxa"/>
            <w:tcBorders>
              <w:top w:val="nil"/>
              <w:left w:val="double" w:color="305496" w:sz="6" w:space="0"/>
              <w:bottom w:val="double" w:color="305496" w:sz="6" w:space="0"/>
              <w:right w:val="double" w:color="305496" w:sz="6" w:space="0"/>
            </w:tcBorders>
            <w:shd w:val="clear" w:color="auto" w:fill="auto"/>
            <w:noWrap/>
            <w:vAlign w:val="bottom"/>
            <w:hideMark/>
          </w:tcPr>
          <w:p w:rsidRPr="00AE1B2B" w:rsidR="009D3FB5" w:rsidP="00163B94" w:rsidRDefault="009D3FB5" w14:paraId="25891C5F"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Terminados</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18123EFB"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2066</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0F06EE31"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2318</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17EC7A76"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2985</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6622BE3B"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2287</w:t>
            </w:r>
          </w:p>
        </w:tc>
      </w:tr>
      <w:tr w:rsidRPr="00AE1B2B" w:rsidR="00AE1B2B" w:rsidTr="009D3FB5" w14:paraId="68854A79" w14:textId="77777777">
        <w:trPr>
          <w:trHeight w:val="330"/>
        </w:trPr>
        <w:tc>
          <w:tcPr>
            <w:tcW w:w="2932" w:type="dxa"/>
            <w:tcBorders>
              <w:top w:val="nil"/>
              <w:left w:val="double" w:color="305496" w:sz="6" w:space="0"/>
              <w:bottom w:val="double" w:color="305496" w:sz="6" w:space="0"/>
              <w:right w:val="double" w:color="305496" w:sz="6" w:space="0"/>
            </w:tcBorders>
            <w:shd w:val="clear" w:color="auto" w:fill="auto"/>
            <w:noWrap/>
            <w:vAlign w:val="bottom"/>
            <w:hideMark/>
          </w:tcPr>
          <w:p w:rsidRPr="00AE1B2B" w:rsidR="009D3FB5" w:rsidP="00163B94" w:rsidRDefault="009D3FB5" w14:paraId="482FB789"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Circulante final</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69A0DC15"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357</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5B27FF3F"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499</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28780A20"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329</w:t>
            </w:r>
          </w:p>
        </w:tc>
        <w:tc>
          <w:tcPr>
            <w:tcW w:w="1200" w:type="dxa"/>
            <w:tcBorders>
              <w:top w:val="nil"/>
              <w:left w:val="nil"/>
              <w:bottom w:val="double" w:color="305496" w:sz="6" w:space="0"/>
              <w:right w:val="double" w:color="305496" w:sz="6" w:space="0"/>
            </w:tcBorders>
            <w:shd w:val="clear" w:color="auto" w:fill="auto"/>
            <w:noWrap/>
            <w:vAlign w:val="bottom"/>
            <w:hideMark/>
          </w:tcPr>
          <w:p w:rsidRPr="00AE1B2B" w:rsidR="009D3FB5" w:rsidP="00163B94" w:rsidRDefault="009D3FB5" w14:paraId="2029393B" w14:textId="77777777">
            <w:pPr>
              <w:spacing w:before="120" w:after="120"/>
              <w:jc w:val="center"/>
              <w:rPr>
                <w:rFonts w:ascii="Times New Roman" w:hAnsi="Times New Roman" w:eastAsia="Times New Roman" w:cs="Times New Roman"/>
                <w:sz w:val="24"/>
                <w:szCs w:val="24"/>
                <w:lang w:eastAsia="es-CR"/>
              </w:rPr>
            </w:pPr>
            <w:r w:rsidRPr="00AE1B2B">
              <w:rPr>
                <w:rFonts w:ascii="Times New Roman" w:hAnsi="Times New Roman" w:eastAsia="Times New Roman" w:cs="Times New Roman"/>
                <w:sz w:val="24"/>
                <w:szCs w:val="24"/>
                <w:lang w:eastAsia="es-CR"/>
              </w:rPr>
              <w:t>540</w:t>
            </w:r>
          </w:p>
        </w:tc>
      </w:tr>
    </w:tbl>
    <w:p w:rsidRPr="00AE1B2B" w:rsidR="009D3FB5" w:rsidP="00163B94" w:rsidRDefault="009D3FB5" w14:paraId="5C86ED14" w14:textId="77777777">
      <w:pPr>
        <w:spacing w:before="120" w:after="120"/>
        <w:ind w:left="851" w:right="851" w:firstLine="709"/>
        <w:jc w:val="both"/>
        <w:rPr>
          <w:rFonts w:ascii="Times New Roman" w:hAnsi="Times New Roman" w:eastAsia="Calibri" w:cs="Times New Roman"/>
          <w:bCs/>
          <w:sz w:val="26"/>
          <w:szCs w:val="26"/>
          <w:lang w:eastAsia="es-CR"/>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Modernización Institucional a partir de la información de los anuarios judiciales suministrada por el Sub proceso de Estadística. Nota: Los datos correspondientes al 2020 son preliminares.</w:t>
      </w:r>
    </w:p>
    <w:p w:rsidRPr="00AE1B2B" w:rsidR="009D3FB5" w:rsidP="00163B94" w:rsidRDefault="009D3FB5" w14:paraId="3F421266"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A partir de la información mostrada en el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_Ref30424287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Cuadro 3</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 xml:space="preserve"> se determina una disminución en la cantidad total de asuntos entrados, el cual para el año 2020 representó un 12% menos de la cantidad total de asuntos ingresados en 2019, lo cual tiene una justificación directa en las medidas sanitarias que se dieron en el 2020 producto de la pandemia covid 19. En este caso, se identifica un comportamiento al alza en la cantidad de asuntos entrados hasta el año 2019, mismo que disminuye en el 2020. </w:t>
      </w:r>
    </w:p>
    <w:p w:rsidRPr="00AE1B2B" w:rsidR="009D3FB5" w:rsidP="00163B94" w:rsidRDefault="009D3FB5" w14:paraId="64C8AFBD"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lastRenderedPageBreak/>
        <w:t>Se identifica una disminución en la cantidad de asuntos reentrados, que pasan de 100 asuntos en 2019 a 70 asuntos en 2020, por lo que se evidencia una disminución de un 30%. En este caso, los reentrados corresponden a expedientes que por diferentes razones fueron devueltos al ordinario y posteriormente regresaron a Justicia Restaurativa al contar por ejemplo con la prueba necesaria para continuar el proceso de forma correcta.</w:t>
      </w:r>
    </w:p>
    <w:p w:rsidRPr="00AE1B2B" w:rsidR="009D3FB5" w:rsidP="00163B94" w:rsidRDefault="009D3FB5" w14:paraId="020AD9F4"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En el caso de los asuntos terminados, se identifica una disminución para el año 2020 respecto al 2019, mismo que corresponde a 698 asuntos y representa un 23% menos respecto a la cantidad terminada en 2019.</w:t>
      </w:r>
    </w:p>
    <w:p w:rsidRPr="00AE1B2B" w:rsidR="009D3FB5" w:rsidP="00163B94" w:rsidRDefault="009D3FB5" w14:paraId="75581584" w14:textId="22EED1ED">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Por otra parte, en la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_Ref31184945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Figura 1</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 se presenta el comportamiento de los casos entrados y terminados para el periodo comprendido entre el año 2017 y 2020, en el cual se observa la disminución que se produjo en el año 2020 tanto para asuntos entrados como para terminados.</w:t>
      </w:r>
    </w:p>
    <w:p w:rsidRPr="00AE1B2B" w:rsidR="00227910" w:rsidP="00163B94" w:rsidRDefault="00227910" w14:paraId="3EF82EC4"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4F3E6BC8" w14:textId="77777777">
      <w:pPr>
        <w:spacing w:before="120" w:after="120"/>
        <w:ind w:left="851" w:right="851" w:firstLine="709"/>
        <w:jc w:val="both"/>
        <w:rPr>
          <w:rFonts w:ascii="Times New Roman" w:hAnsi="Times New Roman" w:eastAsia="Calibri" w:cs="Times New Roman"/>
          <w:b/>
          <w:bCs/>
          <w:sz w:val="26"/>
          <w:szCs w:val="26"/>
        </w:rPr>
      </w:pPr>
      <w:bookmarkStart w:name="_Ref31184945" w:id="343"/>
      <w:bookmarkStart w:name="_Ref31184936" w:id="344"/>
      <w:r w:rsidRPr="00AE1B2B">
        <w:rPr>
          <w:rFonts w:ascii="Times New Roman" w:hAnsi="Times New Roman" w:eastAsia="Calibri" w:cs="Times New Roman"/>
          <w:b/>
          <w:bCs/>
          <w:sz w:val="26"/>
          <w:szCs w:val="26"/>
        </w:rPr>
        <w:t xml:space="preserve">Figura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Figura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1</w:t>
      </w:r>
      <w:r w:rsidRPr="00AE1B2B">
        <w:rPr>
          <w:rFonts w:ascii="Times New Roman" w:hAnsi="Times New Roman" w:eastAsia="Calibri" w:cs="Times New Roman"/>
          <w:b/>
          <w:bCs/>
          <w:sz w:val="26"/>
          <w:szCs w:val="26"/>
        </w:rPr>
        <w:fldChar w:fldCharType="end"/>
      </w:r>
      <w:bookmarkEnd w:id="343"/>
      <w:r w:rsidRPr="00AE1B2B">
        <w:rPr>
          <w:rFonts w:ascii="Times New Roman" w:hAnsi="Times New Roman" w:eastAsia="Calibri" w:cs="Times New Roman"/>
          <w:b/>
          <w:bCs/>
          <w:sz w:val="26"/>
          <w:szCs w:val="26"/>
        </w:rPr>
        <w:t>. Comportamiento</w:t>
      </w:r>
      <w:bookmarkEnd w:id="344"/>
      <w:r w:rsidRPr="00AE1B2B">
        <w:rPr>
          <w:rFonts w:ascii="Times New Roman" w:hAnsi="Times New Roman" w:eastAsia="Calibri" w:cs="Times New Roman"/>
          <w:b/>
          <w:bCs/>
          <w:sz w:val="26"/>
          <w:szCs w:val="26"/>
        </w:rPr>
        <w:t xml:space="preserve"> de los asuntos totales entrados y terminados de Justicia Restaurativa para el periodo 2017-2020</w:t>
      </w:r>
    </w:p>
    <w:p w:rsidRPr="00AE1B2B" w:rsidR="009D3FB5" w:rsidP="00163B94" w:rsidRDefault="009D3FB5" w14:paraId="28B9A7C2" w14:textId="77777777">
      <w:pPr>
        <w:spacing w:before="120" w:after="120"/>
        <w:jc w:val="both"/>
        <w:rPr>
          <w:rFonts w:ascii="Times New Roman" w:hAnsi="Times New Roman" w:eastAsia="Calibri" w:cs="Times New Roman"/>
          <w:sz w:val="24"/>
        </w:rPr>
      </w:pPr>
      <w:r w:rsidRPr="00AE1B2B">
        <w:rPr>
          <w:rFonts w:ascii="Times New Roman" w:hAnsi="Times New Roman" w:eastAsia="Calibri" w:cs="Times New Roman"/>
          <w:noProof/>
          <w:sz w:val="24"/>
          <w:lang w:val="en-US"/>
        </w:rPr>
        <w:drawing>
          <wp:inline distT="0" distB="0" distL="0" distR="0" wp14:anchorId="0FEA8AB0" wp14:editId="33D73F4E">
            <wp:extent cx="5303520" cy="2872740"/>
            <wp:effectExtent l="0" t="0" r="11430" b="3810"/>
            <wp:docPr id="1212768316" name="Gráfico 1212768316">
              <a:extLst xmlns:a="http://schemas.openxmlformats.org/drawingml/2006/main">
                <a:ext uri="{FF2B5EF4-FFF2-40B4-BE49-F238E27FC236}">
                  <a16:creationId xmlns:a16="http://schemas.microsoft.com/office/drawing/2014/main" id="{9AAFCE00-608B-4A36-AFCB-B8A395A508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4"/>
              </a:graphicData>
            </a:graphic>
          </wp:inline>
        </w:drawing>
      </w:r>
    </w:p>
    <w:p w:rsidRPr="00AE1B2B" w:rsidR="009D3FB5" w:rsidP="00163B94" w:rsidRDefault="009D3FB5" w14:paraId="7565779E" w14:textId="77777777">
      <w:pPr>
        <w:spacing w:before="120" w:after="120"/>
        <w:ind w:left="851" w:right="851" w:firstLine="709"/>
        <w:jc w:val="both"/>
        <w:rPr>
          <w:rFonts w:ascii="Times New Roman" w:hAnsi="Times New Roman" w:eastAsia="Calibri" w:cs="Times New Roman"/>
          <w:bCs/>
          <w:sz w:val="26"/>
          <w:szCs w:val="26"/>
          <w:lang w:eastAsia="es-CR"/>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Modernización Institucional a partir de la información de los anuarios judiciales suministrada por el Sub proceso de Estadística. Nota: Los datos correspondientes al 2020 son preliminares.</w:t>
      </w:r>
    </w:p>
    <w:p w:rsidRPr="00AE1B2B" w:rsidR="009D3FB5" w:rsidP="00163B94" w:rsidRDefault="009D3FB5" w14:paraId="50AAE6CD"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lastRenderedPageBreak/>
        <w:t xml:space="preserve">En el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_Ref31188259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Cuadro 4</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 xml:space="preserve"> se muestra el promedio mensual de asuntos totales entrados, así como el promedio mensual de asuntos terminados.</w:t>
      </w:r>
    </w:p>
    <w:p w:rsidRPr="00AE1B2B" w:rsidR="009D3FB5" w:rsidP="00163B94" w:rsidRDefault="009D3FB5" w14:paraId="476530CC" w14:textId="1AD955CF">
      <w:pPr>
        <w:tabs>
          <w:tab w:val="left" w:pos="993"/>
        </w:tabs>
        <w:spacing w:before="120" w:after="120"/>
        <w:ind w:left="851" w:right="851" w:firstLine="709"/>
        <w:jc w:val="both"/>
        <w:rPr>
          <w:rFonts w:ascii="Times New Roman" w:hAnsi="Times New Roman" w:eastAsia="Calibri" w:cs="Times New Roman"/>
          <w:b/>
          <w:bCs/>
          <w:sz w:val="26"/>
          <w:szCs w:val="26"/>
          <w:lang w:val="es-ES"/>
        </w:rPr>
      </w:pPr>
      <w:bookmarkStart w:name="_Ref31188259" w:id="345"/>
      <w:r w:rsidRPr="00AE1B2B">
        <w:rPr>
          <w:rFonts w:ascii="Times New Roman" w:hAnsi="Times New Roman" w:eastAsia="Calibri" w:cs="Times New Roman"/>
          <w:b/>
          <w:bCs/>
          <w:sz w:val="26"/>
          <w:szCs w:val="26"/>
          <w:lang w:val="es-ES"/>
        </w:rPr>
        <w:t xml:space="preserve">Cuadro </w:t>
      </w:r>
      <w:r w:rsidRPr="00AE1B2B">
        <w:rPr>
          <w:rFonts w:ascii="Times New Roman" w:hAnsi="Times New Roman" w:eastAsia="Calibri" w:cs="Times New Roman"/>
          <w:b/>
          <w:bCs/>
          <w:sz w:val="26"/>
          <w:szCs w:val="26"/>
          <w:lang w:val="es-ES"/>
        </w:rPr>
        <w:fldChar w:fldCharType="begin"/>
      </w:r>
      <w:r w:rsidRPr="00AE1B2B">
        <w:rPr>
          <w:rFonts w:ascii="Times New Roman" w:hAnsi="Times New Roman" w:eastAsia="Calibri" w:cs="Times New Roman"/>
          <w:b/>
          <w:bCs/>
          <w:sz w:val="26"/>
          <w:szCs w:val="26"/>
          <w:lang w:val="es-ES"/>
        </w:rPr>
        <w:instrText xml:space="preserve"> SEQ Cuadro \* ARABIC </w:instrText>
      </w:r>
      <w:r w:rsidRPr="00AE1B2B">
        <w:rPr>
          <w:rFonts w:ascii="Times New Roman" w:hAnsi="Times New Roman" w:eastAsia="Calibri" w:cs="Times New Roman"/>
          <w:b/>
          <w:bCs/>
          <w:sz w:val="26"/>
          <w:szCs w:val="26"/>
          <w:lang w:val="es-ES"/>
        </w:rPr>
        <w:fldChar w:fldCharType="separate"/>
      </w:r>
      <w:r w:rsidRPr="00AE1B2B">
        <w:rPr>
          <w:rFonts w:ascii="Times New Roman" w:hAnsi="Times New Roman" w:eastAsia="Calibri" w:cs="Times New Roman"/>
          <w:b/>
          <w:bCs/>
          <w:noProof/>
          <w:sz w:val="26"/>
          <w:szCs w:val="26"/>
          <w:lang w:val="es-ES"/>
        </w:rPr>
        <w:t>4</w:t>
      </w:r>
      <w:r w:rsidRPr="00AE1B2B">
        <w:rPr>
          <w:rFonts w:ascii="Times New Roman" w:hAnsi="Times New Roman" w:eastAsia="Calibri" w:cs="Times New Roman"/>
          <w:b/>
          <w:bCs/>
          <w:sz w:val="26"/>
          <w:szCs w:val="26"/>
          <w:lang w:val="es-ES"/>
        </w:rPr>
        <w:fldChar w:fldCharType="end"/>
      </w:r>
      <w:bookmarkEnd w:id="345"/>
      <w:r w:rsidRPr="00AE1B2B">
        <w:rPr>
          <w:rFonts w:ascii="Times New Roman" w:hAnsi="Times New Roman" w:eastAsia="Calibri" w:cs="Times New Roman"/>
          <w:b/>
          <w:bCs/>
          <w:sz w:val="26"/>
          <w:szCs w:val="26"/>
          <w:lang w:val="es-ES"/>
        </w:rPr>
        <w:t>. Promedio mensual de asuntos totales entrados y terminados para el periodo 2016-2019</w:t>
      </w:r>
    </w:p>
    <w:p w:rsidRPr="00AE1B2B" w:rsidR="00227910" w:rsidP="00163B94" w:rsidRDefault="00227910" w14:paraId="1EBD963B" w14:textId="77777777">
      <w:pPr>
        <w:tabs>
          <w:tab w:val="left" w:pos="993"/>
        </w:tabs>
        <w:spacing w:before="120" w:after="120"/>
        <w:ind w:left="851" w:right="851" w:firstLine="709"/>
        <w:jc w:val="both"/>
        <w:rPr>
          <w:rFonts w:ascii="Times New Roman" w:hAnsi="Times New Roman" w:eastAsia="Calibri" w:cs="Times New Roman"/>
          <w:b/>
          <w:bCs/>
          <w:sz w:val="26"/>
          <w:szCs w:val="26"/>
          <w:lang w:val="es-ES"/>
        </w:rPr>
      </w:pPr>
    </w:p>
    <w:tbl>
      <w:tblPr>
        <w:tblW w:w="6923" w:type="dxa"/>
        <w:jc w:val="center"/>
        <w:tblCellMar>
          <w:left w:w="70" w:type="dxa"/>
          <w:right w:w="70" w:type="dxa"/>
        </w:tblCellMar>
        <w:tblLook w:val="04A0" w:firstRow="1" w:lastRow="0" w:firstColumn="1" w:lastColumn="0" w:noHBand="0" w:noVBand="1"/>
      </w:tblPr>
      <w:tblGrid>
        <w:gridCol w:w="1902"/>
        <w:gridCol w:w="1200"/>
        <w:gridCol w:w="1270"/>
        <w:gridCol w:w="1275"/>
        <w:gridCol w:w="1276"/>
      </w:tblGrid>
      <w:tr w:rsidRPr="00AE1B2B" w:rsidR="00AE1B2B" w:rsidTr="009D3FB5" w14:paraId="1E5C31FD" w14:textId="77777777">
        <w:trPr>
          <w:trHeight w:val="390"/>
          <w:jc w:val="center"/>
        </w:trPr>
        <w:tc>
          <w:tcPr>
            <w:tcW w:w="1902" w:type="dxa"/>
            <w:tcBorders>
              <w:top w:val="double" w:color="305496" w:sz="6" w:space="0"/>
              <w:left w:val="double" w:color="305496" w:sz="6" w:space="0"/>
              <w:bottom w:val="double" w:color="305496" w:sz="6" w:space="0"/>
              <w:right w:val="double" w:color="305496" w:sz="6" w:space="0"/>
            </w:tcBorders>
            <w:shd w:val="clear" w:color="000000" w:fill="B4C6E7"/>
            <w:vAlign w:val="center"/>
          </w:tcPr>
          <w:p w:rsidRPr="00AE1B2B" w:rsidR="009D3FB5" w:rsidP="00163B94" w:rsidRDefault="009D3FB5" w14:paraId="100DD249"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Calibri" w:cs="Times New Roman"/>
                <w:lang w:eastAsia="es-CR"/>
              </w:rPr>
              <w:t>Variable</w:t>
            </w:r>
          </w:p>
        </w:tc>
        <w:tc>
          <w:tcPr>
            <w:tcW w:w="1200" w:type="dxa"/>
            <w:tcBorders>
              <w:top w:val="double" w:color="305496" w:sz="6" w:space="0"/>
              <w:left w:val="double" w:color="305496" w:sz="6" w:space="0"/>
              <w:bottom w:val="double" w:color="305496" w:sz="6" w:space="0"/>
              <w:right w:val="double" w:color="305496" w:sz="6" w:space="0"/>
            </w:tcBorders>
            <w:shd w:val="clear" w:color="000000" w:fill="B4C6E7"/>
            <w:noWrap/>
            <w:vAlign w:val="center"/>
            <w:hideMark/>
          </w:tcPr>
          <w:p w:rsidRPr="00AE1B2B" w:rsidR="009D3FB5" w:rsidP="00163B94" w:rsidRDefault="009D3FB5" w14:paraId="7D48FBA1"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2017</w:t>
            </w:r>
          </w:p>
        </w:tc>
        <w:tc>
          <w:tcPr>
            <w:tcW w:w="1270" w:type="dxa"/>
            <w:tcBorders>
              <w:top w:val="double" w:color="305496" w:sz="6" w:space="0"/>
              <w:left w:val="nil"/>
              <w:bottom w:val="double" w:color="305496" w:sz="6" w:space="0"/>
              <w:right w:val="double" w:color="305496" w:sz="6" w:space="0"/>
            </w:tcBorders>
            <w:shd w:val="clear" w:color="000000" w:fill="B4C6E7"/>
            <w:noWrap/>
            <w:vAlign w:val="center"/>
            <w:hideMark/>
          </w:tcPr>
          <w:p w:rsidRPr="00AE1B2B" w:rsidR="009D3FB5" w:rsidP="00163B94" w:rsidRDefault="009D3FB5" w14:paraId="73EA49C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2018</w:t>
            </w:r>
          </w:p>
        </w:tc>
        <w:tc>
          <w:tcPr>
            <w:tcW w:w="1275" w:type="dxa"/>
            <w:tcBorders>
              <w:top w:val="double" w:color="305496" w:sz="6" w:space="0"/>
              <w:left w:val="nil"/>
              <w:bottom w:val="double" w:color="305496" w:sz="6" w:space="0"/>
              <w:right w:val="double" w:color="305496" w:sz="6" w:space="0"/>
            </w:tcBorders>
            <w:shd w:val="clear" w:color="000000" w:fill="B4C6E7"/>
            <w:noWrap/>
            <w:vAlign w:val="center"/>
            <w:hideMark/>
          </w:tcPr>
          <w:p w:rsidRPr="00AE1B2B" w:rsidR="009D3FB5" w:rsidP="00163B94" w:rsidRDefault="009D3FB5" w14:paraId="7E1CF53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2019</w:t>
            </w:r>
          </w:p>
        </w:tc>
        <w:tc>
          <w:tcPr>
            <w:tcW w:w="1276" w:type="dxa"/>
            <w:tcBorders>
              <w:top w:val="double" w:color="305496" w:sz="6" w:space="0"/>
              <w:left w:val="nil"/>
              <w:bottom w:val="double" w:color="305496" w:sz="6" w:space="0"/>
              <w:right w:val="double" w:color="305496" w:sz="6" w:space="0"/>
            </w:tcBorders>
            <w:shd w:val="clear" w:color="000000" w:fill="B4C6E7"/>
            <w:noWrap/>
            <w:vAlign w:val="center"/>
            <w:hideMark/>
          </w:tcPr>
          <w:p w:rsidRPr="00AE1B2B" w:rsidR="009D3FB5" w:rsidP="00163B94" w:rsidRDefault="009D3FB5" w14:paraId="37F71E8F"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2020</w:t>
            </w:r>
          </w:p>
        </w:tc>
      </w:tr>
      <w:tr w:rsidRPr="00AE1B2B" w:rsidR="00AE1B2B" w:rsidTr="009D3FB5" w14:paraId="3683A9A0" w14:textId="77777777">
        <w:trPr>
          <w:trHeight w:val="390"/>
          <w:jc w:val="center"/>
        </w:trPr>
        <w:tc>
          <w:tcPr>
            <w:tcW w:w="1902" w:type="dxa"/>
            <w:tcBorders>
              <w:top w:val="nil"/>
              <w:left w:val="double" w:color="305496" w:sz="6" w:space="0"/>
              <w:bottom w:val="double" w:color="305496" w:sz="6" w:space="0"/>
              <w:right w:val="double" w:color="305496" w:sz="6" w:space="0"/>
            </w:tcBorders>
            <w:vAlign w:val="center"/>
          </w:tcPr>
          <w:p w:rsidRPr="00AE1B2B" w:rsidR="009D3FB5" w:rsidP="00163B94" w:rsidRDefault="009D3FB5" w14:paraId="51F668D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Calibri" w:cs="Times New Roman"/>
                <w:lang w:eastAsia="es-CR"/>
              </w:rPr>
              <w:t>Total entrados</w:t>
            </w:r>
          </w:p>
        </w:tc>
        <w:tc>
          <w:tcPr>
            <w:tcW w:w="1200" w:type="dxa"/>
            <w:tcBorders>
              <w:top w:val="nil"/>
              <w:left w:val="double" w:color="305496" w:sz="6" w:space="0"/>
              <w:bottom w:val="double" w:color="305496" w:sz="6" w:space="0"/>
              <w:right w:val="double" w:color="305496" w:sz="6" w:space="0"/>
            </w:tcBorders>
            <w:shd w:val="clear" w:color="auto" w:fill="auto"/>
            <w:noWrap/>
            <w:vAlign w:val="center"/>
            <w:hideMark/>
          </w:tcPr>
          <w:p w:rsidRPr="00AE1B2B" w:rsidR="009D3FB5" w:rsidP="00163B94" w:rsidRDefault="009D3FB5" w14:paraId="751FCC5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196</w:t>
            </w:r>
          </w:p>
        </w:tc>
        <w:tc>
          <w:tcPr>
            <w:tcW w:w="1270"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5FEF7BE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219</w:t>
            </w:r>
          </w:p>
        </w:tc>
        <w:tc>
          <w:tcPr>
            <w:tcW w:w="1275"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0171134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251</w:t>
            </w:r>
          </w:p>
        </w:tc>
        <w:tc>
          <w:tcPr>
            <w:tcW w:w="1276"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69FD53C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222</w:t>
            </w:r>
          </w:p>
        </w:tc>
      </w:tr>
      <w:tr w:rsidRPr="00AE1B2B" w:rsidR="00AE1B2B" w:rsidTr="009D3FB5" w14:paraId="4D1E6DC2" w14:textId="77777777">
        <w:trPr>
          <w:trHeight w:val="390"/>
          <w:jc w:val="center"/>
        </w:trPr>
        <w:tc>
          <w:tcPr>
            <w:tcW w:w="1902" w:type="dxa"/>
            <w:tcBorders>
              <w:top w:val="nil"/>
              <w:left w:val="double" w:color="305496" w:sz="6" w:space="0"/>
              <w:bottom w:val="double" w:color="305496" w:sz="6" w:space="0"/>
              <w:right w:val="double" w:color="305496" w:sz="6" w:space="0"/>
            </w:tcBorders>
            <w:vAlign w:val="center"/>
          </w:tcPr>
          <w:p w:rsidRPr="00AE1B2B" w:rsidR="009D3FB5" w:rsidP="00163B94" w:rsidRDefault="009D3FB5" w14:paraId="740F2422"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Calibri" w:cs="Times New Roman"/>
                <w:lang w:eastAsia="es-CR"/>
              </w:rPr>
              <w:t>Terminados</w:t>
            </w:r>
          </w:p>
        </w:tc>
        <w:tc>
          <w:tcPr>
            <w:tcW w:w="1200" w:type="dxa"/>
            <w:tcBorders>
              <w:top w:val="nil"/>
              <w:left w:val="double" w:color="305496" w:sz="6" w:space="0"/>
              <w:bottom w:val="double" w:color="305496" w:sz="6" w:space="0"/>
              <w:right w:val="double" w:color="305496" w:sz="6" w:space="0"/>
            </w:tcBorders>
            <w:shd w:val="clear" w:color="auto" w:fill="auto"/>
            <w:noWrap/>
            <w:vAlign w:val="center"/>
            <w:hideMark/>
          </w:tcPr>
          <w:p w:rsidRPr="00AE1B2B" w:rsidR="009D3FB5" w:rsidP="00163B94" w:rsidRDefault="009D3FB5" w14:paraId="03EA115C"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184</w:t>
            </w:r>
          </w:p>
        </w:tc>
        <w:tc>
          <w:tcPr>
            <w:tcW w:w="1270"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45A8A434"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206</w:t>
            </w:r>
          </w:p>
        </w:tc>
        <w:tc>
          <w:tcPr>
            <w:tcW w:w="1275"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71B0380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265</w:t>
            </w:r>
          </w:p>
        </w:tc>
        <w:tc>
          <w:tcPr>
            <w:tcW w:w="1276"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106350C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203</w:t>
            </w:r>
          </w:p>
        </w:tc>
      </w:tr>
    </w:tbl>
    <w:p w:rsidRPr="00AE1B2B" w:rsidR="009D3FB5" w:rsidP="00163B94" w:rsidRDefault="009D3FB5" w14:paraId="23657D4D" w14:textId="77777777">
      <w:pPr>
        <w:spacing w:before="120" w:after="120"/>
        <w:ind w:left="851" w:right="851" w:firstLine="709"/>
        <w:jc w:val="both"/>
        <w:rPr>
          <w:rFonts w:ascii="Times New Roman" w:hAnsi="Times New Roman" w:eastAsia="Calibri" w:cs="Times New Roman"/>
          <w:bCs/>
          <w:sz w:val="26"/>
          <w:szCs w:val="26"/>
          <w:lang w:eastAsia="es-CR"/>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Modernización Institucional a partir de la información de los anuarios judiciales suministrada por el Sub proceso de Estadística. Nota: Los datos correspondientes al 2020 son preliminares.</w:t>
      </w:r>
    </w:p>
    <w:p w:rsidRPr="00AE1B2B" w:rsidR="009D3FB5" w:rsidP="00163B94" w:rsidRDefault="009D3FB5" w14:paraId="0137EE3C" w14:textId="38D201DD">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A partir de la información mostrada en el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_Ref31188259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Cuadro 4</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 xml:space="preserve"> se determina una disminución mensual de 29 asuntos entrados en el 2020 respecto a la cantidad mensual registrada para el 2019, pero aun así sigue siendo mayor que el 2018 y 2017, debe destacarse la afectación por la pandemia covid 19. En el caso de los asuntos terminados, en 2020 también se presenta una disminución que corresponde a 62 asuntos menos respecto al promedio mensual para el año 201</w:t>
      </w:r>
      <w:r w:rsidRPr="00AE1B2B" w:rsidR="00227910">
        <w:rPr>
          <w:rFonts w:ascii="Times New Roman" w:hAnsi="Times New Roman" w:eastAsia="Calibri" w:cs="Times New Roman"/>
          <w:sz w:val="26"/>
          <w:szCs w:val="26"/>
        </w:rPr>
        <w:t>9.</w:t>
      </w:r>
    </w:p>
    <w:p w:rsidRPr="00AE1B2B" w:rsidR="009D3FB5" w:rsidP="00163B94" w:rsidRDefault="009D3FB5" w14:paraId="59BB124B" w14:textId="77777777">
      <w:pPr>
        <w:spacing w:before="120" w:after="120"/>
        <w:ind w:left="851" w:right="851" w:firstLine="709"/>
        <w:jc w:val="both"/>
        <w:rPr>
          <w:rFonts w:ascii="Times New Roman" w:hAnsi="Times New Roman" w:eastAsia="Arial" w:cs="Times New Roman"/>
          <w:b/>
          <w:bCs/>
          <w:sz w:val="26"/>
          <w:szCs w:val="26"/>
        </w:rPr>
      </w:pPr>
      <w:r w:rsidRPr="00AE1B2B">
        <w:rPr>
          <w:rFonts w:ascii="Times New Roman" w:hAnsi="Times New Roman" w:eastAsia="Arial" w:cs="Times New Roman"/>
          <w:b/>
          <w:bCs/>
          <w:sz w:val="26"/>
          <w:szCs w:val="26"/>
        </w:rPr>
        <w:t>Procedencia de las causas ingresadas Justicia Restaurativa Penal de Adultos.</w:t>
      </w:r>
    </w:p>
    <w:p w:rsidRPr="00AE1B2B" w:rsidR="009D3FB5" w:rsidP="00163B94" w:rsidRDefault="009D3FB5" w14:paraId="78B99E50" w14:textId="77777777">
      <w:pPr>
        <w:tabs>
          <w:tab w:val="left" w:pos="0"/>
        </w:tabs>
        <w:spacing w:before="120" w:after="120"/>
        <w:ind w:left="851" w:right="851" w:firstLine="709"/>
        <w:jc w:val="both"/>
        <w:rPr>
          <w:rFonts w:ascii="Times New Roman" w:hAnsi="Times New Roman" w:eastAsia="Calibri" w:cs="Times New Roman"/>
          <w:b/>
          <w:bCs/>
          <w:sz w:val="26"/>
          <w:szCs w:val="26"/>
          <w:lang w:val="es-ES"/>
        </w:rPr>
      </w:pPr>
      <w:bookmarkStart w:name="_Ref31117586" w:id="346"/>
      <w:bookmarkStart w:name="_Ref30490301" w:id="347"/>
      <w:r w:rsidRPr="00AE1B2B">
        <w:rPr>
          <w:rFonts w:ascii="Times New Roman" w:hAnsi="Times New Roman" w:eastAsia="Calibri" w:cs="Times New Roman"/>
          <w:sz w:val="26"/>
          <w:szCs w:val="26"/>
        </w:rPr>
        <w:t>A continuación, se presenta el detalle de la procedencia de las causas ingresada en materia Penal de Adultos, para el año 2020.</w:t>
      </w:r>
    </w:p>
    <w:p w:rsidRPr="00AE1B2B" w:rsidR="009D3FB5" w:rsidP="00163B94" w:rsidRDefault="009D3FB5" w14:paraId="03FB4AEB" w14:textId="77777777">
      <w:pPr>
        <w:spacing w:before="120" w:after="120"/>
        <w:ind w:left="851" w:right="851" w:firstLine="709"/>
        <w:jc w:val="both"/>
        <w:rPr>
          <w:rFonts w:ascii="Times New Roman" w:hAnsi="Times New Roman" w:eastAsia="Calibri" w:cs="Times New Roman"/>
          <w:b/>
          <w:bCs/>
          <w:sz w:val="26"/>
          <w:szCs w:val="26"/>
          <w:lang w:val="es-ES"/>
        </w:rPr>
      </w:pPr>
      <w:bookmarkStart w:name="_Ref63946975" w:id="348"/>
      <w:r w:rsidRPr="00AE1B2B">
        <w:rPr>
          <w:rFonts w:ascii="Times New Roman" w:hAnsi="Times New Roman" w:eastAsia="Calibri" w:cs="Times New Roman"/>
          <w:b/>
          <w:bCs/>
          <w:sz w:val="26"/>
          <w:szCs w:val="26"/>
          <w:lang w:val="es-ES"/>
        </w:rPr>
        <w:t xml:space="preserve">Cuadro </w:t>
      </w:r>
      <w:r w:rsidRPr="00AE1B2B">
        <w:rPr>
          <w:rFonts w:ascii="Times New Roman" w:hAnsi="Times New Roman" w:eastAsia="Calibri" w:cs="Times New Roman"/>
          <w:b/>
          <w:bCs/>
          <w:sz w:val="26"/>
          <w:szCs w:val="26"/>
          <w:lang w:val="es-ES"/>
        </w:rPr>
        <w:fldChar w:fldCharType="begin"/>
      </w:r>
      <w:r w:rsidRPr="00AE1B2B">
        <w:rPr>
          <w:rFonts w:ascii="Times New Roman" w:hAnsi="Times New Roman" w:eastAsia="Calibri" w:cs="Times New Roman"/>
          <w:b/>
          <w:bCs/>
          <w:sz w:val="26"/>
          <w:szCs w:val="26"/>
          <w:lang w:val="es-ES"/>
        </w:rPr>
        <w:instrText xml:space="preserve"> SEQ Cuadro \* ARABIC </w:instrText>
      </w:r>
      <w:r w:rsidRPr="00AE1B2B">
        <w:rPr>
          <w:rFonts w:ascii="Times New Roman" w:hAnsi="Times New Roman" w:eastAsia="Calibri" w:cs="Times New Roman"/>
          <w:b/>
          <w:bCs/>
          <w:sz w:val="26"/>
          <w:szCs w:val="26"/>
          <w:lang w:val="es-ES"/>
        </w:rPr>
        <w:fldChar w:fldCharType="separate"/>
      </w:r>
      <w:r w:rsidRPr="00AE1B2B">
        <w:rPr>
          <w:rFonts w:ascii="Times New Roman" w:hAnsi="Times New Roman" w:eastAsia="Calibri" w:cs="Times New Roman"/>
          <w:b/>
          <w:bCs/>
          <w:noProof/>
          <w:sz w:val="26"/>
          <w:szCs w:val="26"/>
          <w:lang w:val="es-ES"/>
        </w:rPr>
        <w:t>5</w:t>
      </w:r>
      <w:r w:rsidRPr="00AE1B2B">
        <w:rPr>
          <w:rFonts w:ascii="Times New Roman" w:hAnsi="Times New Roman" w:eastAsia="Calibri" w:cs="Times New Roman"/>
          <w:b/>
          <w:bCs/>
          <w:sz w:val="26"/>
          <w:szCs w:val="26"/>
          <w:lang w:val="es-ES"/>
        </w:rPr>
        <w:fldChar w:fldCharType="end"/>
      </w:r>
      <w:bookmarkEnd w:id="346"/>
      <w:bookmarkEnd w:id="348"/>
      <w:r w:rsidRPr="00AE1B2B">
        <w:rPr>
          <w:rFonts w:ascii="Times New Roman" w:hAnsi="Times New Roman" w:eastAsia="Calibri" w:cs="Times New Roman"/>
          <w:b/>
          <w:bCs/>
          <w:sz w:val="26"/>
          <w:szCs w:val="26"/>
          <w:lang w:val="es-ES"/>
        </w:rPr>
        <w:t>. Procedencia de las causas ingresadas a Justicia Restaurativa Penal de Adultos en el año 20</w:t>
      </w:r>
      <w:bookmarkEnd w:id="347"/>
      <w:r w:rsidRPr="00AE1B2B">
        <w:rPr>
          <w:rFonts w:ascii="Times New Roman" w:hAnsi="Times New Roman" w:eastAsia="Calibri" w:cs="Times New Roman"/>
          <w:b/>
          <w:bCs/>
          <w:sz w:val="26"/>
          <w:szCs w:val="26"/>
          <w:lang w:val="es-ES"/>
        </w:rPr>
        <w:t>20</w:t>
      </w:r>
    </w:p>
    <w:tbl>
      <w:tblPr>
        <w:tblW w:w="5997" w:type="dxa"/>
        <w:jc w:val="center"/>
        <w:tblBorders>
          <w:top w:val="double" w:color="203764" w:sz="6" w:space="0"/>
          <w:left w:val="double" w:color="203764" w:sz="6" w:space="0"/>
          <w:bottom w:val="double" w:color="203764" w:sz="6" w:space="0"/>
          <w:right w:val="double" w:color="203764" w:sz="6" w:space="0"/>
          <w:insideH w:val="double" w:color="203764" w:sz="6" w:space="0"/>
          <w:insideV w:val="double" w:color="203764" w:sz="6" w:space="0"/>
        </w:tblBorders>
        <w:tblCellMar>
          <w:left w:w="70" w:type="dxa"/>
          <w:right w:w="70" w:type="dxa"/>
        </w:tblCellMar>
        <w:tblLook w:val="04A0" w:firstRow="1" w:lastRow="0" w:firstColumn="1" w:lastColumn="0" w:noHBand="0" w:noVBand="1"/>
      </w:tblPr>
      <w:tblGrid>
        <w:gridCol w:w="3760"/>
        <w:gridCol w:w="1179"/>
        <w:gridCol w:w="1058"/>
      </w:tblGrid>
      <w:tr w:rsidRPr="00AE1B2B" w:rsidR="00AE1B2B" w:rsidTr="009D3FB5" w14:paraId="0C67EAC6" w14:textId="77777777">
        <w:trPr>
          <w:trHeight w:val="310"/>
          <w:jc w:val="center"/>
        </w:trPr>
        <w:tc>
          <w:tcPr>
            <w:tcW w:w="3760" w:type="dxa"/>
            <w:shd w:val="clear" w:color="000000" w:fill="365F91"/>
            <w:vAlign w:val="center"/>
            <w:hideMark/>
          </w:tcPr>
          <w:p w:rsidRPr="00AE1B2B" w:rsidR="009D3FB5" w:rsidP="00163B94" w:rsidRDefault="009D3FB5" w14:paraId="5A75C38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Circuito Judicial</w:t>
            </w:r>
          </w:p>
        </w:tc>
        <w:tc>
          <w:tcPr>
            <w:tcW w:w="1179" w:type="dxa"/>
            <w:shd w:val="clear" w:color="000000" w:fill="365F91"/>
            <w:noWrap/>
            <w:vAlign w:val="center"/>
            <w:hideMark/>
          </w:tcPr>
          <w:p w:rsidRPr="00AE1B2B" w:rsidR="009D3FB5" w:rsidP="00163B94" w:rsidRDefault="009D3FB5" w14:paraId="72DC028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Entrada 2020</w:t>
            </w:r>
          </w:p>
        </w:tc>
        <w:tc>
          <w:tcPr>
            <w:tcW w:w="1058" w:type="dxa"/>
            <w:shd w:val="clear" w:color="000000" w:fill="365F91"/>
            <w:noWrap/>
            <w:vAlign w:val="center"/>
            <w:hideMark/>
          </w:tcPr>
          <w:p w:rsidRPr="00AE1B2B" w:rsidR="009D3FB5" w:rsidP="00163B94" w:rsidRDefault="009D3FB5" w14:paraId="7D5A4DC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Porcentaje</w:t>
            </w:r>
          </w:p>
        </w:tc>
      </w:tr>
      <w:tr w:rsidRPr="00AE1B2B" w:rsidR="00AE1B2B" w:rsidTr="009D3FB5" w14:paraId="7BA6574F" w14:textId="77777777">
        <w:trPr>
          <w:trHeight w:val="310"/>
          <w:jc w:val="center"/>
        </w:trPr>
        <w:tc>
          <w:tcPr>
            <w:tcW w:w="3760" w:type="dxa"/>
            <w:shd w:val="clear" w:color="000000" w:fill="D9E1F2"/>
            <w:noWrap/>
            <w:vAlign w:val="center"/>
            <w:hideMark/>
          </w:tcPr>
          <w:p w:rsidRPr="00AE1B2B" w:rsidR="009D3FB5" w:rsidP="00163B94" w:rsidRDefault="009D3FB5" w14:paraId="09A6690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II Circuito Judicial de San José</w:t>
            </w:r>
          </w:p>
        </w:tc>
        <w:tc>
          <w:tcPr>
            <w:tcW w:w="1179" w:type="dxa"/>
            <w:shd w:val="clear" w:color="000000" w:fill="FFFFFF"/>
            <w:noWrap/>
            <w:vAlign w:val="center"/>
            <w:hideMark/>
          </w:tcPr>
          <w:p w:rsidRPr="00AE1B2B" w:rsidR="009D3FB5" w:rsidP="00163B94" w:rsidRDefault="009D3FB5" w14:paraId="5018D74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406</w:t>
            </w:r>
          </w:p>
        </w:tc>
        <w:tc>
          <w:tcPr>
            <w:tcW w:w="1058" w:type="dxa"/>
            <w:shd w:val="clear" w:color="000000" w:fill="FFFFFF"/>
            <w:noWrap/>
            <w:vAlign w:val="bottom"/>
            <w:hideMark/>
          </w:tcPr>
          <w:p w:rsidRPr="00AE1B2B" w:rsidR="009D3FB5" w:rsidP="00163B94" w:rsidRDefault="009D3FB5" w14:paraId="6407006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17%</w:t>
            </w:r>
          </w:p>
        </w:tc>
      </w:tr>
      <w:tr w:rsidRPr="00AE1B2B" w:rsidR="00AE1B2B" w:rsidTr="009D3FB5" w14:paraId="2F2A92FC" w14:textId="77777777">
        <w:trPr>
          <w:trHeight w:val="310"/>
          <w:jc w:val="center"/>
        </w:trPr>
        <w:tc>
          <w:tcPr>
            <w:tcW w:w="3760" w:type="dxa"/>
            <w:shd w:val="clear" w:color="000000" w:fill="D9E1F2"/>
            <w:noWrap/>
            <w:vAlign w:val="center"/>
            <w:hideMark/>
          </w:tcPr>
          <w:p w:rsidRPr="00AE1B2B" w:rsidR="009D3FB5" w:rsidP="00163B94" w:rsidRDefault="009D3FB5" w14:paraId="37707C3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III Circuito Judicial de San José</w:t>
            </w:r>
          </w:p>
        </w:tc>
        <w:tc>
          <w:tcPr>
            <w:tcW w:w="1179" w:type="dxa"/>
            <w:shd w:val="clear" w:color="auto" w:fill="auto"/>
            <w:noWrap/>
            <w:vAlign w:val="center"/>
            <w:hideMark/>
          </w:tcPr>
          <w:p w:rsidRPr="00AE1B2B" w:rsidR="009D3FB5" w:rsidP="00163B94" w:rsidRDefault="009D3FB5" w14:paraId="715B2AD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318</w:t>
            </w:r>
          </w:p>
        </w:tc>
        <w:tc>
          <w:tcPr>
            <w:tcW w:w="1058" w:type="dxa"/>
            <w:shd w:val="clear" w:color="auto" w:fill="auto"/>
            <w:noWrap/>
            <w:vAlign w:val="bottom"/>
            <w:hideMark/>
          </w:tcPr>
          <w:p w:rsidRPr="00AE1B2B" w:rsidR="009D3FB5" w:rsidP="00163B94" w:rsidRDefault="009D3FB5" w14:paraId="51867B07"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w:t>
            </w:r>
          </w:p>
        </w:tc>
      </w:tr>
      <w:tr w:rsidRPr="00AE1B2B" w:rsidR="00AE1B2B" w:rsidTr="009D3FB5" w14:paraId="7D57C5E5" w14:textId="77777777">
        <w:trPr>
          <w:trHeight w:val="310"/>
          <w:jc w:val="center"/>
        </w:trPr>
        <w:tc>
          <w:tcPr>
            <w:tcW w:w="3760" w:type="dxa"/>
            <w:shd w:val="clear" w:color="000000" w:fill="D9E1F2"/>
            <w:noWrap/>
            <w:vAlign w:val="center"/>
            <w:hideMark/>
          </w:tcPr>
          <w:p w:rsidRPr="00AE1B2B" w:rsidR="009D3FB5" w:rsidP="00163B94" w:rsidRDefault="009D3FB5" w14:paraId="0F55A66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Cartago</w:t>
            </w:r>
          </w:p>
        </w:tc>
        <w:tc>
          <w:tcPr>
            <w:tcW w:w="1179" w:type="dxa"/>
            <w:shd w:val="clear" w:color="auto" w:fill="auto"/>
            <w:noWrap/>
            <w:vAlign w:val="center"/>
            <w:hideMark/>
          </w:tcPr>
          <w:p w:rsidRPr="00AE1B2B" w:rsidR="009D3FB5" w:rsidP="00163B94" w:rsidRDefault="009D3FB5" w14:paraId="63DDF45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287</w:t>
            </w:r>
          </w:p>
        </w:tc>
        <w:tc>
          <w:tcPr>
            <w:tcW w:w="1058" w:type="dxa"/>
            <w:shd w:val="clear" w:color="auto" w:fill="auto"/>
            <w:noWrap/>
            <w:vAlign w:val="bottom"/>
            <w:hideMark/>
          </w:tcPr>
          <w:p w:rsidRPr="00AE1B2B" w:rsidR="009D3FB5" w:rsidP="00163B94" w:rsidRDefault="009D3FB5" w14:paraId="54F2B006"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12%</w:t>
            </w:r>
          </w:p>
        </w:tc>
      </w:tr>
      <w:tr w:rsidRPr="00AE1B2B" w:rsidR="00AE1B2B" w:rsidTr="009D3FB5" w14:paraId="23DF814F" w14:textId="77777777">
        <w:trPr>
          <w:trHeight w:val="310"/>
          <w:jc w:val="center"/>
        </w:trPr>
        <w:tc>
          <w:tcPr>
            <w:tcW w:w="3760" w:type="dxa"/>
            <w:shd w:val="clear" w:color="000000" w:fill="D9E1F2"/>
            <w:noWrap/>
            <w:vAlign w:val="center"/>
            <w:hideMark/>
          </w:tcPr>
          <w:p w:rsidRPr="00AE1B2B" w:rsidR="009D3FB5" w:rsidP="00163B94" w:rsidRDefault="009D3FB5" w14:paraId="2B4FDBB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Heredia</w:t>
            </w:r>
          </w:p>
        </w:tc>
        <w:tc>
          <w:tcPr>
            <w:tcW w:w="1179" w:type="dxa"/>
            <w:shd w:val="clear" w:color="auto" w:fill="auto"/>
            <w:noWrap/>
            <w:vAlign w:val="center"/>
            <w:hideMark/>
          </w:tcPr>
          <w:p w:rsidRPr="00AE1B2B" w:rsidR="009D3FB5" w:rsidP="00163B94" w:rsidRDefault="009D3FB5" w14:paraId="31AD3A0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326</w:t>
            </w:r>
          </w:p>
        </w:tc>
        <w:tc>
          <w:tcPr>
            <w:tcW w:w="1058" w:type="dxa"/>
            <w:shd w:val="clear" w:color="auto" w:fill="auto"/>
            <w:noWrap/>
            <w:vAlign w:val="bottom"/>
            <w:hideMark/>
          </w:tcPr>
          <w:p w:rsidRPr="00AE1B2B" w:rsidR="009D3FB5" w:rsidP="00163B94" w:rsidRDefault="009D3FB5" w14:paraId="5D97CEA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w:t>
            </w:r>
          </w:p>
        </w:tc>
      </w:tr>
      <w:tr w:rsidRPr="00AE1B2B" w:rsidR="00AE1B2B" w:rsidTr="009D3FB5" w14:paraId="4B914CD8" w14:textId="77777777">
        <w:trPr>
          <w:trHeight w:val="310"/>
          <w:jc w:val="center"/>
        </w:trPr>
        <w:tc>
          <w:tcPr>
            <w:tcW w:w="3760" w:type="dxa"/>
            <w:shd w:val="clear" w:color="000000" w:fill="D9E1F2"/>
            <w:noWrap/>
            <w:vAlign w:val="center"/>
            <w:hideMark/>
          </w:tcPr>
          <w:p w:rsidRPr="00AE1B2B" w:rsidR="009D3FB5" w:rsidP="00163B94" w:rsidRDefault="009D3FB5" w14:paraId="507086B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lastRenderedPageBreak/>
              <w:t>Puntarenas</w:t>
            </w:r>
          </w:p>
        </w:tc>
        <w:tc>
          <w:tcPr>
            <w:tcW w:w="1179" w:type="dxa"/>
            <w:shd w:val="clear" w:color="auto" w:fill="auto"/>
            <w:noWrap/>
            <w:vAlign w:val="center"/>
            <w:hideMark/>
          </w:tcPr>
          <w:p w:rsidRPr="00AE1B2B" w:rsidR="009D3FB5" w:rsidP="00163B94" w:rsidRDefault="009D3FB5" w14:paraId="07ED249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380</w:t>
            </w:r>
          </w:p>
        </w:tc>
        <w:tc>
          <w:tcPr>
            <w:tcW w:w="1058" w:type="dxa"/>
            <w:shd w:val="clear" w:color="auto" w:fill="auto"/>
            <w:noWrap/>
            <w:vAlign w:val="bottom"/>
            <w:hideMark/>
          </w:tcPr>
          <w:p w:rsidRPr="00AE1B2B" w:rsidR="009D3FB5" w:rsidP="00163B94" w:rsidRDefault="009D3FB5" w14:paraId="2FA0EC2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w:t>
            </w:r>
          </w:p>
        </w:tc>
      </w:tr>
      <w:tr w:rsidRPr="00AE1B2B" w:rsidR="00AE1B2B" w:rsidTr="009D3FB5" w14:paraId="5F46E7DF" w14:textId="77777777">
        <w:trPr>
          <w:trHeight w:val="310"/>
          <w:jc w:val="center"/>
        </w:trPr>
        <w:tc>
          <w:tcPr>
            <w:tcW w:w="3760" w:type="dxa"/>
            <w:shd w:val="clear" w:color="000000" w:fill="D9E1F2"/>
            <w:noWrap/>
            <w:vAlign w:val="center"/>
            <w:hideMark/>
          </w:tcPr>
          <w:p w:rsidRPr="00AE1B2B" w:rsidR="009D3FB5" w:rsidP="00163B94" w:rsidRDefault="009D3FB5" w14:paraId="203DD3C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la Zona Sur</w:t>
            </w:r>
          </w:p>
        </w:tc>
        <w:tc>
          <w:tcPr>
            <w:tcW w:w="1179" w:type="dxa"/>
            <w:shd w:val="clear" w:color="auto" w:fill="auto"/>
            <w:noWrap/>
            <w:vAlign w:val="center"/>
            <w:hideMark/>
          </w:tcPr>
          <w:p w:rsidRPr="00AE1B2B" w:rsidR="009D3FB5" w:rsidP="00163B94" w:rsidRDefault="009D3FB5" w14:paraId="7EF28D4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388</w:t>
            </w:r>
          </w:p>
        </w:tc>
        <w:tc>
          <w:tcPr>
            <w:tcW w:w="1058" w:type="dxa"/>
            <w:shd w:val="clear" w:color="auto" w:fill="auto"/>
            <w:noWrap/>
            <w:vAlign w:val="bottom"/>
            <w:hideMark/>
          </w:tcPr>
          <w:p w:rsidRPr="00AE1B2B" w:rsidR="009D3FB5" w:rsidP="00163B94" w:rsidRDefault="009D3FB5" w14:paraId="3A22ACA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16%</w:t>
            </w:r>
          </w:p>
        </w:tc>
      </w:tr>
      <w:tr w:rsidRPr="00AE1B2B" w:rsidR="00AE1B2B" w:rsidTr="009D3FB5" w14:paraId="61DAED29" w14:textId="77777777">
        <w:trPr>
          <w:trHeight w:val="310"/>
          <w:jc w:val="center"/>
        </w:trPr>
        <w:tc>
          <w:tcPr>
            <w:tcW w:w="3760" w:type="dxa"/>
            <w:shd w:val="clear" w:color="000000" w:fill="D9E1F2"/>
            <w:noWrap/>
            <w:vAlign w:val="center"/>
            <w:hideMark/>
          </w:tcPr>
          <w:p w:rsidRPr="00AE1B2B" w:rsidR="009D3FB5" w:rsidP="00163B94" w:rsidRDefault="009D3FB5" w14:paraId="3E3A485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II Circuito Judicial de la Zona Atlántica</w:t>
            </w:r>
          </w:p>
        </w:tc>
        <w:tc>
          <w:tcPr>
            <w:tcW w:w="1179" w:type="dxa"/>
            <w:shd w:val="clear" w:color="auto" w:fill="auto"/>
            <w:noWrap/>
            <w:vAlign w:val="center"/>
            <w:hideMark/>
          </w:tcPr>
          <w:p w:rsidRPr="00AE1B2B" w:rsidR="009D3FB5" w:rsidP="00163B94" w:rsidRDefault="009D3FB5" w14:paraId="5CF6859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323</w:t>
            </w:r>
          </w:p>
        </w:tc>
        <w:tc>
          <w:tcPr>
            <w:tcW w:w="1058" w:type="dxa"/>
            <w:shd w:val="clear" w:color="auto" w:fill="auto"/>
            <w:noWrap/>
            <w:vAlign w:val="bottom"/>
            <w:hideMark/>
          </w:tcPr>
          <w:p w:rsidRPr="00AE1B2B" w:rsidR="009D3FB5" w:rsidP="00163B94" w:rsidRDefault="009D3FB5" w14:paraId="786F5348"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13%</w:t>
            </w:r>
          </w:p>
        </w:tc>
      </w:tr>
    </w:tbl>
    <w:p w:rsidRPr="00AE1B2B" w:rsidR="00227910" w:rsidP="00163B94" w:rsidRDefault="00227910" w14:paraId="1A52FFD1" w14:textId="77777777">
      <w:pPr>
        <w:spacing w:before="120" w:after="120"/>
        <w:ind w:left="851" w:right="851" w:firstLine="709"/>
        <w:jc w:val="both"/>
        <w:rPr>
          <w:rFonts w:ascii="Times New Roman" w:hAnsi="Times New Roman" w:eastAsia="Calibri" w:cs="Times New Roman"/>
          <w:b/>
          <w:bCs/>
          <w:sz w:val="26"/>
          <w:szCs w:val="26"/>
          <w:lang w:val="es-ES"/>
        </w:rPr>
      </w:pPr>
    </w:p>
    <w:p w:rsidRPr="00AE1B2B" w:rsidR="009D3FB5" w:rsidP="00163B94" w:rsidRDefault="009D3FB5" w14:paraId="26C92F6A" w14:textId="1D5D2B4E">
      <w:pPr>
        <w:spacing w:before="120" w:after="120"/>
        <w:ind w:left="851" w:right="851" w:firstLine="709"/>
        <w:jc w:val="both"/>
        <w:rPr>
          <w:rFonts w:ascii="Times New Roman" w:hAnsi="Times New Roman" w:eastAsia="Calibri" w:cs="Times New Roman"/>
          <w:sz w:val="26"/>
          <w:szCs w:val="26"/>
          <w:lang w:val="es-ES"/>
        </w:rPr>
      </w:pPr>
      <w:r w:rsidRPr="00AE1B2B">
        <w:rPr>
          <w:rFonts w:ascii="Times New Roman" w:hAnsi="Times New Roman" w:eastAsia="Calibri" w:cs="Times New Roman"/>
          <w:b/>
          <w:bCs/>
          <w:sz w:val="26"/>
          <w:szCs w:val="26"/>
          <w:lang w:val="es-ES"/>
        </w:rPr>
        <w:t>Fuente:</w:t>
      </w:r>
      <w:r w:rsidRPr="00AE1B2B">
        <w:rPr>
          <w:rFonts w:ascii="Times New Roman" w:hAnsi="Times New Roman" w:eastAsia="Calibri" w:cs="Times New Roman"/>
          <w:sz w:val="26"/>
          <w:szCs w:val="26"/>
          <w:lang w:val="es-ES"/>
        </w:rPr>
        <w:t xml:space="preserve"> Modernización Institucional a partir de la información de los anuarios judiciales suministrada por el Sub proceso de Estadística. Nota: Los datos correspondientes al 2020 son preliminares.</w:t>
      </w:r>
    </w:p>
    <w:p w:rsidRPr="00AE1B2B" w:rsidR="009D3FB5" w:rsidP="00163B94" w:rsidRDefault="009D3FB5" w14:paraId="0F2CB01B"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Con base en lo mostrado en el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_Ref63946975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Cuadro 5</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 xml:space="preserve"> es posible identificar que en el II Circuito Judicial de San José se recibió la mayor cantidad de casos, los cuales corresponden a un 17% de la totalidad ingresada durante el 2020. En segundo lugar, se ubican el Circuito Judicial de Puntarenas y el I Circuito Judicial de la Zona Sur, cada uno con 16% del total de las causas ingresadas.</w:t>
      </w:r>
    </w:p>
    <w:p w:rsidRPr="00AE1B2B" w:rsidR="009D3FB5" w:rsidP="00163B94" w:rsidRDefault="009D3FB5" w14:paraId="406CB0EF"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la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_Ref31196218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Figura 2</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 xml:space="preserve"> se muestra el comportamiento histórico de las causas ingresadas a Justicia Restaurativa durante el periodo comprendido entre 2017 y 2020.</w:t>
      </w:r>
    </w:p>
    <w:p w:rsidRPr="00AE1B2B" w:rsidR="009D3FB5" w:rsidP="00163B94" w:rsidRDefault="009D3FB5" w14:paraId="24CC9259" w14:textId="77777777">
      <w:pPr>
        <w:tabs>
          <w:tab w:val="left" w:pos="0"/>
        </w:tabs>
        <w:spacing w:before="120" w:after="120"/>
        <w:ind w:left="851" w:right="851" w:firstLine="709"/>
        <w:jc w:val="both"/>
        <w:rPr>
          <w:rFonts w:ascii="Times New Roman" w:hAnsi="Times New Roman" w:eastAsia="Calibri" w:cs="Times New Roman"/>
          <w:b/>
          <w:bCs/>
          <w:sz w:val="26"/>
          <w:szCs w:val="26"/>
        </w:rPr>
      </w:pPr>
      <w:bookmarkStart w:name="_Ref31196218" w:id="349"/>
    </w:p>
    <w:p w:rsidRPr="00AE1B2B" w:rsidR="009D3FB5" w:rsidP="00163B94" w:rsidRDefault="009D3FB5" w14:paraId="57172BC9" w14:textId="77777777">
      <w:pPr>
        <w:tabs>
          <w:tab w:val="left" w:pos="0"/>
        </w:tabs>
        <w:spacing w:before="120" w:after="120"/>
        <w:ind w:left="851" w:right="851" w:firstLine="709"/>
        <w:jc w:val="both"/>
        <w:rPr>
          <w:rFonts w:ascii="Times New Roman" w:hAnsi="Times New Roman" w:eastAsia="Calibri" w:cs="Times New Roman"/>
          <w:b/>
          <w:bCs/>
          <w:sz w:val="26"/>
          <w:szCs w:val="26"/>
          <w:lang w:val="es-ES"/>
        </w:rPr>
      </w:pPr>
      <w:r w:rsidRPr="00AE1B2B">
        <w:rPr>
          <w:rFonts w:ascii="Times New Roman" w:hAnsi="Times New Roman" w:eastAsia="Calibri" w:cs="Times New Roman"/>
          <w:b/>
          <w:bCs/>
          <w:sz w:val="26"/>
          <w:szCs w:val="26"/>
        </w:rPr>
        <w:t xml:space="preserve">Figura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Figura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2</w:t>
      </w:r>
      <w:r w:rsidRPr="00AE1B2B">
        <w:rPr>
          <w:rFonts w:ascii="Times New Roman" w:hAnsi="Times New Roman" w:eastAsia="Calibri" w:cs="Times New Roman"/>
          <w:b/>
          <w:bCs/>
          <w:sz w:val="26"/>
          <w:szCs w:val="26"/>
        </w:rPr>
        <w:fldChar w:fldCharType="end"/>
      </w:r>
      <w:bookmarkEnd w:id="349"/>
      <w:r w:rsidRPr="00AE1B2B">
        <w:rPr>
          <w:rFonts w:ascii="Times New Roman" w:hAnsi="Times New Roman" w:eastAsia="Calibri" w:cs="Times New Roman"/>
          <w:b/>
          <w:bCs/>
          <w:sz w:val="26"/>
          <w:szCs w:val="26"/>
        </w:rPr>
        <w:t>. Histórico de causas ingresadas a Justicia Restaurativa Penal de Adultos durante el periodo 2017-2020</w:t>
      </w:r>
    </w:p>
    <w:p w:rsidRPr="00AE1B2B" w:rsidR="009D3FB5" w:rsidP="00163B94" w:rsidRDefault="009D3FB5" w14:paraId="2EF7947D" w14:textId="77777777">
      <w:pPr>
        <w:spacing w:before="120" w:after="120"/>
        <w:jc w:val="both"/>
        <w:rPr>
          <w:rFonts w:ascii="Times New Roman" w:hAnsi="Times New Roman" w:eastAsia="Calibri" w:cs="Times New Roman"/>
          <w:sz w:val="24"/>
        </w:rPr>
      </w:pPr>
      <w:r w:rsidRPr="00AE1B2B">
        <w:rPr>
          <w:rFonts w:ascii="Times New Roman" w:hAnsi="Times New Roman" w:eastAsia="Calibri" w:cs="Times New Roman"/>
          <w:noProof/>
          <w:sz w:val="24"/>
          <w:lang w:val="en-US"/>
        </w:rPr>
        <w:drawing>
          <wp:inline distT="0" distB="0" distL="0" distR="0" wp14:anchorId="63A4641B" wp14:editId="34A158AB">
            <wp:extent cx="5939625" cy="2121915"/>
            <wp:effectExtent l="0" t="0" r="4445" b="0"/>
            <wp:docPr id="1212768317" name="Imagen 121276831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317" name="Imagen 1212768317" descr="Gráfico&#10;&#10;Descripción generada automáticamente"/>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993354" cy="2141109"/>
                    </a:xfrm>
                    <a:prstGeom prst="rect">
                      <a:avLst/>
                    </a:prstGeom>
                    <a:noFill/>
                  </pic:spPr>
                </pic:pic>
              </a:graphicData>
            </a:graphic>
          </wp:inline>
        </w:drawing>
      </w:r>
    </w:p>
    <w:p w:rsidRPr="00AE1B2B" w:rsidR="009D3FB5" w:rsidP="00163B94" w:rsidRDefault="009D3FB5" w14:paraId="6B084A69" w14:textId="77777777">
      <w:pPr>
        <w:spacing w:before="120" w:after="120"/>
        <w:ind w:left="851" w:right="851" w:firstLine="709"/>
        <w:jc w:val="both"/>
        <w:rPr>
          <w:rFonts w:ascii="Times New Roman" w:hAnsi="Times New Roman" w:eastAsia="Calibri" w:cs="Times New Roman"/>
          <w:bCs/>
          <w:sz w:val="26"/>
          <w:szCs w:val="26"/>
          <w:lang w:eastAsia="es-CR"/>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Modernización Institucional a partir de la información de los anuarios judiciales suministrada por el Sub proceso de Estadística. Nota: Los datos correspondientes al 2020 son preliminares.</w:t>
      </w:r>
    </w:p>
    <w:p w:rsidRPr="00AE1B2B" w:rsidR="009D3FB5" w:rsidP="00163B94" w:rsidRDefault="009D3FB5" w14:paraId="381B9787" w14:textId="6CA138A0">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el caso del Segundo Circuito Judicial de San José se observa un comportamiento estable durante el periodo comprendido </w:t>
      </w:r>
      <w:r w:rsidRPr="00AE1B2B">
        <w:rPr>
          <w:rFonts w:ascii="Times New Roman" w:hAnsi="Times New Roman" w:eastAsia="Calibri" w:cs="Times New Roman"/>
          <w:sz w:val="26"/>
          <w:szCs w:val="26"/>
        </w:rPr>
        <w:lastRenderedPageBreak/>
        <w:t>entre 2017 y 2020, mientras que en el Tercer Circuito Judicial de San José se ha experimentado una disminución de los casos ingresados, siendo 2020 el año en el que se recibieron menos causas (318). Es importante indicar que en este último Circuito Judicial se inició en el mes de octubre de 2019 con el plan piloto para la atención de casos en materia contravencional, los cuales aún no son registrados a nivel del sistema informático, esto de acuerdo con lo indicado por el Sub Proceso de Estadística, en consulta realizada a través de correo electrónico el 10 de febrero del 2021 (Ver apéndice).</w:t>
      </w:r>
      <w:r w:rsidRPr="00AE1B2B" w:rsidR="00BB7720">
        <w:rPr>
          <w:rFonts w:ascii="Times New Roman" w:hAnsi="Times New Roman" w:eastAsia="Calibri" w:cs="Times New Roman"/>
          <w:sz w:val="26"/>
          <w:szCs w:val="26"/>
        </w:rPr>
        <w:t xml:space="preserve"> </w:t>
      </w:r>
    </w:p>
    <w:p w:rsidRPr="00AE1B2B" w:rsidR="009D3FB5" w:rsidP="00163B94" w:rsidRDefault="009D3FB5" w14:paraId="1590F9C7"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En el caso del Circuito Judicial de Cartago, se identifica una disminución en los casos ingresados en 2020 respecto al año 2019, mientras que en el Circuito Judicial de Heredia se mantiene de forma estable para los años 2018, 2019 y 2020.</w:t>
      </w:r>
    </w:p>
    <w:p w:rsidRPr="00AE1B2B" w:rsidR="009D3FB5" w:rsidP="00163B94" w:rsidRDefault="009D3FB5" w14:paraId="75CAF1B3"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Se reporta un incremento de casos entrados en el Circuito Judicial de Puntarenas, siendo que para el 2020 ingresaron 109 asuntos más que en el 2019.</w:t>
      </w:r>
    </w:p>
    <w:p w:rsidRPr="00AE1B2B" w:rsidR="009D3FB5" w:rsidP="00163B94" w:rsidRDefault="009D3FB5" w14:paraId="05A758E4"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Respecto al Primer Circuito Judicial de la Zona Sur, se evidencia una disminución de 124 asuntos para el 2020, respecto a la cantidad ingresada en el 2019; misma situación que en el II Circuito Judicial de la Zona Atlántica, donde el ingreso de asuntos disminuye en 181 asuntos en el 2020. </w:t>
      </w:r>
    </w:p>
    <w:p w:rsidRPr="00AE1B2B" w:rsidR="009D3FB5" w:rsidP="00163B94" w:rsidRDefault="009D3FB5" w14:paraId="0009D5DC"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Es importante indicar que en el año 2020 se inicia con la atención en materia Penal Adulta por parte de dos equipos interdisciplinarios adicionales, que corresponden al equipo asignado al II Circuito Judicial de la Zona Sur y el equipo asignado al I y II Circuito Judicial de Guanacaste, para los cuales no se cuenta con información estadística debido a su reciente asignación.</w:t>
      </w:r>
    </w:p>
    <w:p w:rsidRPr="00AE1B2B" w:rsidR="009D3FB5" w:rsidP="00163B94" w:rsidRDefault="009D3FB5" w14:paraId="661A1C40" w14:textId="3D78BB80">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el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_Ref31264531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Cuadro 6</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 xml:space="preserve"> se muestra el promedio mensual de causas ingresadas por Circuito Judicial. Para el año 2018 se observan los mayores ingresos en el Primer y Segundo Circuito Judicial de San José, Primer Circuito Judicial de la Zona Sur y Segundo Circuito Judicial de la Zona Atlántica; mientras que en el 2019 la mayor cantidad de asuntos ingresaron en el Primer Circuito Judicial de la Zona Sur y Segundo Circuito </w:t>
      </w:r>
      <w:bookmarkStart w:name="_Ref31264531" w:id="350"/>
      <w:r w:rsidRPr="00AE1B2B" w:rsidR="00227910">
        <w:rPr>
          <w:rFonts w:ascii="Times New Roman" w:hAnsi="Times New Roman" w:eastAsia="Calibri" w:cs="Times New Roman"/>
          <w:sz w:val="26"/>
          <w:szCs w:val="26"/>
        </w:rPr>
        <w:t xml:space="preserve">Judicial de la Zona Atlántica. </w:t>
      </w:r>
    </w:p>
    <w:p w:rsidRPr="00AE1B2B" w:rsidR="009D3FB5" w:rsidP="00163B94" w:rsidRDefault="009D3FB5" w14:paraId="12BABD50" w14:textId="77777777">
      <w:pPr>
        <w:tabs>
          <w:tab w:val="left" w:pos="851"/>
        </w:tabs>
        <w:spacing w:before="120" w:after="120"/>
        <w:ind w:left="851" w:right="851" w:firstLine="709"/>
        <w:jc w:val="both"/>
        <w:rPr>
          <w:rFonts w:ascii="Times New Roman" w:hAnsi="Times New Roman" w:eastAsia="Calibri" w:cs="Times New Roman"/>
          <w:b/>
          <w:bCs/>
          <w:sz w:val="26"/>
          <w:szCs w:val="26"/>
        </w:rPr>
      </w:pPr>
    </w:p>
    <w:p w:rsidRPr="00AE1B2B" w:rsidR="009D3FB5" w:rsidP="00163B94" w:rsidRDefault="009D3FB5" w14:paraId="20FD556B" w14:textId="77777777">
      <w:pPr>
        <w:tabs>
          <w:tab w:val="left" w:pos="851"/>
        </w:tabs>
        <w:spacing w:before="120" w:after="120"/>
        <w:ind w:left="851" w:right="851" w:firstLine="709"/>
        <w:jc w:val="both"/>
        <w:rPr>
          <w:rFonts w:ascii="Times New Roman" w:hAnsi="Times New Roman" w:eastAsia="Calibri" w:cs="Times New Roman"/>
          <w:b/>
          <w:bCs/>
          <w:sz w:val="26"/>
          <w:szCs w:val="26"/>
        </w:rPr>
      </w:pPr>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6</w:t>
      </w:r>
      <w:r w:rsidRPr="00AE1B2B">
        <w:rPr>
          <w:rFonts w:ascii="Times New Roman" w:hAnsi="Times New Roman" w:eastAsia="Calibri" w:cs="Times New Roman"/>
          <w:b/>
          <w:bCs/>
          <w:sz w:val="26"/>
          <w:szCs w:val="26"/>
        </w:rPr>
        <w:fldChar w:fldCharType="end"/>
      </w:r>
      <w:bookmarkEnd w:id="350"/>
      <w:r w:rsidRPr="00AE1B2B">
        <w:rPr>
          <w:rFonts w:ascii="Times New Roman" w:hAnsi="Times New Roman" w:eastAsia="Calibri" w:cs="Times New Roman"/>
          <w:b/>
          <w:bCs/>
          <w:sz w:val="26"/>
          <w:szCs w:val="26"/>
        </w:rPr>
        <w:t>. Entrada promedio mensual de Justicia Restaurativa por Circuito Judicial para el periodo 2019-2020.</w:t>
      </w:r>
    </w:p>
    <w:tbl>
      <w:tblPr>
        <w:tblW w:w="6199" w:type="dxa"/>
        <w:jc w:val="center"/>
        <w:tblCellMar>
          <w:left w:w="70" w:type="dxa"/>
          <w:right w:w="70" w:type="dxa"/>
        </w:tblCellMar>
        <w:tblLook w:val="04A0" w:firstRow="1" w:lastRow="0" w:firstColumn="1" w:lastColumn="0" w:noHBand="0" w:noVBand="1"/>
      </w:tblPr>
      <w:tblGrid>
        <w:gridCol w:w="3784"/>
        <w:gridCol w:w="1207"/>
        <w:gridCol w:w="1208"/>
      </w:tblGrid>
      <w:tr w:rsidRPr="00AE1B2B" w:rsidR="00AE1B2B" w:rsidTr="009D3FB5" w14:paraId="786C9024" w14:textId="77777777">
        <w:trPr>
          <w:trHeight w:val="324"/>
          <w:jc w:val="center"/>
        </w:trPr>
        <w:tc>
          <w:tcPr>
            <w:tcW w:w="3784" w:type="dxa"/>
            <w:vMerge w:val="restart"/>
            <w:tcBorders>
              <w:top w:val="double" w:color="1F4E78" w:sz="6" w:space="0"/>
              <w:left w:val="double" w:color="1F4E78" w:sz="6" w:space="0"/>
              <w:bottom w:val="double" w:color="305496" w:sz="6" w:space="0"/>
              <w:right w:val="double" w:color="1F4E78" w:sz="6" w:space="0"/>
            </w:tcBorders>
            <w:shd w:val="clear" w:color="000000" w:fill="365F91"/>
            <w:noWrap/>
            <w:vAlign w:val="center"/>
            <w:hideMark/>
          </w:tcPr>
          <w:p w:rsidRPr="00AE1B2B" w:rsidR="009D3FB5" w:rsidP="00163B94" w:rsidRDefault="009D3FB5" w14:paraId="31C2BBE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Circuito Judicial</w:t>
            </w:r>
          </w:p>
        </w:tc>
        <w:tc>
          <w:tcPr>
            <w:tcW w:w="2415" w:type="dxa"/>
            <w:gridSpan w:val="2"/>
            <w:tcBorders>
              <w:top w:val="double" w:color="305496" w:sz="6" w:space="0"/>
              <w:left w:val="nil"/>
              <w:bottom w:val="double" w:color="305496" w:sz="6" w:space="0"/>
              <w:right w:val="double" w:color="305496" w:sz="6" w:space="0"/>
            </w:tcBorders>
            <w:shd w:val="clear" w:color="000000" w:fill="365F91"/>
            <w:noWrap/>
            <w:vAlign w:val="center"/>
            <w:hideMark/>
          </w:tcPr>
          <w:p w:rsidRPr="00AE1B2B" w:rsidR="009D3FB5" w:rsidP="00163B94" w:rsidRDefault="009D3FB5" w14:paraId="16AFFC3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Entrada</w:t>
            </w:r>
          </w:p>
        </w:tc>
      </w:tr>
      <w:tr w:rsidRPr="00AE1B2B" w:rsidR="00AE1B2B" w:rsidTr="009D3FB5" w14:paraId="7BFED4D3" w14:textId="77777777">
        <w:trPr>
          <w:trHeight w:val="324"/>
          <w:jc w:val="center"/>
        </w:trPr>
        <w:tc>
          <w:tcPr>
            <w:tcW w:w="3784" w:type="dxa"/>
            <w:vMerge/>
            <w:tcBorders>
              <w:top w:val="double" w:color="1F4E78" w:sz="6" w:space="0"/>
              <w:left w:val="double" w:color="1F4E78" w:sz="6" w:space="0"/>
              <w:bottom w:val="double" w:color="305496" w:sz="6" w:space="0"/>
              <w:right w:val="double" w:color="1F4E78" w:sz="6" w:space="0"/>
            </w:tcBorders>
            <w:vAlign w:val="center"/>
            <w:hideMark/>
          </w:tcPr>
          <w:p w:rsidRPr="00AE1B2B" w:rsidR="009D3FB5" w:rsidP="00163B94" w:rsidRDefault="009D3FB5" w14:paraId="77E2A910" w14:textId="77777777">
            <w:pPr>
              <w:spacing w:before="120" w:after="120"/>
              <w:rPr>
                <w:rFonts w:ascii="Times New Roman" w:hAnsi="Times New Roman" w:eastAsia="Times New Roman" w:cs="Times New Roman"/>
                <w:sz w:val="20"/>
                <w:szCs w:val="20"/>
                <w:lang w:eastAsia="es-CR"/>
              </w:rPr>
            </w:pPr>
          </w:p>
        </w:tc>
        <w:tc>
          <w:tcPr>
            <w:tcW w:w="1207" w:type="dxa"/>
            <w:tcBorders>
              <w:top w:val="nil"/>
              <w:left w:val="nil"/>
              <w:bottom w:val="nil"/>
              <w:right w:val="double" w:color="305496" w:sz="6" w:space="0"/>
            </w:tcBorders>
            <w:shd w:val="clear" w:color="000000" w:fill="365F91"/>
            <w:noWrap/>
            <w:vAlign w:val="center"/>
            <w:hideMark/>
          </w:tcPr>
          <w:p w:rsidRPr="00AE1B2B" w:rsidR="009D3FB5" w:rsidP="00163B94" w:rsidRDefault="009D3FB5" w14:paraId="4D7CD1E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2019</w:t>
            </w:r>
          </w:p>
        </w:tc>
        <w:tc>
          <w:tcPr>
            <w:tcW w:w="1207" w:type="dxa"/>
            <w:tcBorders>
              <w:top w:val="nil"/>
              <w:left w:val="nil"/>
              <w:bottom w:val="nil"/>
              <w:right w:val="double" w:color="305496" w:sz="6" w:space="0"/>
            </w:tcBorders>
            <w:shd w:val="clear" w:color="000000" w:fill="365F91"/>
            <w:noWrap/>
            <w:vAlign w:val="center"/>
            <w:hideMark/>
          </w:tcPr>
          <w:p w:rsidRPr="00AE1B2B" w:rsidR="009D3FB5" w:rsidP="00163B94" w:rsidRDefault="009D3FB5" w14:paraId="488D9E4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2020</w:t>
            </w:r>
          </w:p>
        </w:tc>
      </w:tr>
      <w:tr w:rsidRPr="00AE1B2B" w:rsidR="00AE1B2B" w:rsidTr="009D3FB5" w14:paraId="3D2EB684" w14:textId="77777777">
        <w:trPr>
          <w:trHeight w:val="324"/>
          <w:jc w:val="center"/>
        </w:trPr>
        <w:tc>
          <w:tcPr>
            <w:tcW w:w="3784" w:type="dxa"/>
            <w:tcBorders>
              <w:top w:val="nil"/>
              <w:left w:val="double" w:color="305496" w:sz="6" w:space="0"/>
              <w:bottom w:val="double" w:color="305496" w:sz="6" w:space="0"/>
              <w:right w:val="double" w:color="305496" w:sz="6" w:space="0"/>
            </w:tcBorders>
            <w:shd w:val="clear" w:color="000000" w:fill="D9E1F2"/>
            <w:noWrap/>
            <w:vAlign w:val="center"/>
            <w:hideMark/>
          </w:tcPr>
          <w:p w:rsidRPr="00AE1B2B" w:rsidR="009D3FB5" w:rsidP="00163B94" w:rsidRDefault="009D3FB5" w14:paraId="7A378F3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II Circuito Judicial de San José</w:t>
            </w:r>
          </w:p>
        </w:tc>
        <w:tc>
          <w:tcPr>
            <w:tcW w:w="1207" w:type="dxa"/>
            <w:tcBorders>
              <w:top w:val="double" w:color="305496" w:sz="6" w:space="0"/>
              <w:left w:val="nil"/>
              <w:bottom w:val="double" w:color="305496" w:sz="6" w:space="0"/>
              <w:right w:val="double" w:color="305496" w:sz="6" w:space="0"/>
            </w:tcBorders>
            <w:shd w:val="clear" w:color="000000" w:fill="FFFFFF"/>
            <w:noWrap/>
            <w:vAlign w:val="center"/>
            <w:hideMark/>
          </w:tcPr>
          <w:p w:rsidRPr="00AE1B2B" w:rsidR="009D3FB5" w:rsidP="00163B94" w:rsidRDefault="009D3FB5" w14:paraId="407E5F3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36</w:t>
            </w:r>
          </w:p>
        </w:tc>
        <w:tc>
          <w:tcPr>
            <w:tcW w:w="1207" w:type="dxa"/>
            <w:tcBorders>
              <w:top w:val="double" w:color="305496" w:sz="6" w:space="0"/>
              <w:left w:val="nil"/>
              <w:bottom w:val="double" w:color="305496" w:sz="6" w:space="0"/>
              <w:right w:val="double" w:color="305496" w:sz="6" w:space="0"/>
            </w:tcBorders>
            <w:shd w:val="clear" w:color="000000" w:fill="FFFFFF"/>
            <w:noWrap/>
            <w:vAlign w:val="center"/>
            <w:hideMark/>
          </w:tcPr>
          <w:p w:rsidRPr="00AE1B2B" w:rsidR="009D3FB5" w:rsidP="00163B94" w:rsidRDefault="009D3FB5" w14:paraId="4B169A6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36</w:t>
            </w:r>
          </w:p>
        </w:tc>
      </w:tr>
      <w:tr w:rsidRPr="00AE1B2B" w:rsidR="00AE1B2B" w:rsidTr="009D3FB5" w14:paraId="7DB22793" w14:textId="77777777">
        <w:trPr>
          <w:trHeight w:val="324"/>
          <w:jc w:val="center"/>
        </w:trPr>
        <w:tc>
          <w:tcPr>
            <w:tcW w:w="3784" w:type="dxa"/>
            <w:tcBorders>
              <w:top w:val="nil"/>
              <w:left w:val="double" w:color="305496" w:sz="6" w:space="0"/>
              <w:bottom w:val="nil"/>
              <w:right w:val="double" w:color="305496" w:sz="6" w:space="0"/>
            </w:tcBorders>
            <w:shd w:val="clear" w:color="000000" w:fill="D9E1F2"/>
            <w:noWrap/>
            <w:vAlign w:val="center"/>
            <w:hideMark/>
          </w:tcPr>
          <w:p w:rsidRPr="00AE1B2B" w:rsidR="009D3FB5" w:rsidP="00163B94" w:rsidRDefault="009D3FB5" w14:paraId="441CAFE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III Circuito Judicial de San José</w:t>
            </w:r>
          </w:p>
        </w:tc>
        <w:tc>
          <w:tcPr>
            <w:tcW w:w="1207"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1B953BD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34</w:t>
            </w:r>
          </w:p>
        </w:tc>
        <w:tc>
          <w:tcPr>
            <w:tcW w:w="1207"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4725517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28</w:t>
            </w:r>
          </w:p>
        </w:tc>
      </w:tr>
      <w:tr w:rsidRPr="00AE1B2B" w:rsidR="00AE1B2B" w:rsidTr="009D3FB5" w14:paraId="7D46C466" w14:textId="77777777">
        <w:trPr>
          <w:trHeight w:val="324"/>
          <w:jc w:val="center"/>
        </w:trPr>
        <w:tc>
          <w:tcPr>
            <w:tcW w:w="3784" w:type="dxa"/>
            <w:tcBorders>
              <w:top w:val="double" w:color="305496" w:sz="6" w:space="0"/>
              <w:left w:val="double" w:color="305496" w:sz="6" w:space="0"/>
              <w:bottom w:val="double" w:color="305496" w:sz="6" w:space="0"/>
              <w:right w:val="double" w:color="305496" w:sz="6" w:space="0"/>
            </w:tcBorders>
            <w:shd w:val="clear" w:color="000000" w:fill="D9E1F2"/>
            <w:noWrap/>
            <w:vAlign w:val="center"/>
            <w:hideMark/>
          </w:tcPr>
          <w:p w:rsidRPr="00AE1B2B" w:rsidR="009D3FB5" w:rsidP="00163B94" w:rsidRDefault="009D3FB5" w14:paraId="36A5363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Cartago</w:t>
            </w:r>
          </w:p>
        </w:tc>
        <w:tc>
          <w:tcPr>
            <w:tcW w:w="1207"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7B1D2FD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29</w:t>
            </w:r>
          </w:p>
        </w:tc>
        <w:tc>
          <w:tcPr>
            <w:tcW w:w="1207"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29C1723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26</w:t>
            </w:r>
          </w:p>
        </w:tc>
      </w:tr>
      <w:tr w:rsidRPr="00AE1B2B" w:rsidR="00AE1B2B" w:rsidTr="009D3FB5" w14:paraId="686ED840" w14:textId="77777777">
        <w:trPr>
          <w:trHeight w:val="324"/>
          <w:jc w:val="center"/>
        </w:trPr>
        <w:tc>
          <w:tcPr>
            <w:tcW w:w="3784" w:type="dxa"/>
            <w:tcBorders>
              <w:top w:val="nil"/>
              <w:left w:val="double" w:color="305496" w:sz="6" w:space="0"/>
              <w:bottom w:val="double" w:color="305496" w:sz="6" w:space="0"/>
              <w:right w:val="double" w:color="305496" w:sz="6" w:space="0"/>
            </w:tcBorders>
            <w:shd w:val="clear" w:color="000000" w:fill="D9E1F2"/>
            <w:noWrap/>
            <w:vAlign w:val="center"/>
            <w:hideMark/>
          </w:tcPr>
          <w:p w:rsidRPr="00AE1B2B" w:rsidR="009D3FB5" w:rsidP="00163B94" w:rsidRDefault="009D3FB5" w14:paraId="1EE96DE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Heredia</w:t>
            </w:r>
          </w:p>
        </w:tc>
        <w:tc>
          <w:tcPr>
            <w:tcW w:w="1207"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7C29D94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28</w:t>
            </w:r>
          </w:p>
        </w:tc>
        <w:tc>
          <w:tcPr>
            <w:tcW w:w="1207"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6C8293D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29</w:t>
            </w:r>
          </w:p>
        </w:tc>
      </w:tr>
      <w:tr w:rsidRPr="00AE1B2B" w:rsidR="00AE1B2B" w:rsidTr="009D3FB5" w14:paraId="0EEE9794" w14:textId="77777777">
        <w:trPr>
          <w:trHeight w:val="324"/>
          <w:jc w:val="center"/>
        </w:trPr>
        <w:tc>
          <w:tcPr>
            <w:tcW w:w="3784" w:type="dxa"/>
            <w:tcBorders>
              <w:top w:val="nil"/>
              <w:left w:val="double" w:color="305496" w:sz="6" w:space="0"/>
              <w:bottom w:val="double" w:color="305496" w:sz="6" w:space="0"/>
              <w:right w:val="double" w:color="305496" w:sz="6" w:space="0"/>
            </w:tcBorders>
            <w:shd w:val="clear" w:color="000000" w:fill="D9E1F2"/>
            <w:noWrap/>
            <w:vAlign w:val="center"/>
            <w:hideMark/>
          </w:tcPr>
          <w:p w:rsidRPr="00AE1B2B" w:rsidR="009D3FB5" w:rsidP="00163B94" w:rsidRDefault="009D3FB5" w14:paraId="7F6B092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Puntarenas</w:t>
            </w:r>
          </w:p>
        </w:tc>
        <w:tc>
          <w:tcPr>
            <w:tcW w:w="1207"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484B31A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24</w:t>
            </w:r>
          </w:p>
        </w:tc>
        <w:tc>
          <w:tcPr>
            <w:tcW w:w="1207"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07BD944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34</w:t>
            </w:r>
          </w:p>
        </w:tc>
      </w:tr>
      <w:tr w:rsidRPr="00AE1B2B" w:rsidR="00AE1B2B" w:rsidTr="009D3FB5" w14:paraId="15250632" w14:textId="77777777">
        <w:trPr>
          <w:trHeight w:val="324"/>
          <w:jc w:val="center"/>
        </w:trPr>
        <w:tc>
          <w:tcPr>
            <w:tcW w:w="3784" w:type="dxa"/>
            <w:tcBorders>
              <w:top w:val="nil"/>
              <w:left w:val="double" w:color="305496" w:sz="6" w:space="0"/>
              <w:bottom w:val="double" w:color="305496" w:sz="6" w:space="0"/>
              <w:right w:val="double" w:color="305496" w:sz="6" w:space="0"/>
            </w:tcBorders>
            <w:shd w:val="clear" w:color="000000" w:fill="D9E1F2"/>
            <w:noWrap/>
            <w:vAlign w:val="center"/>
            <w:hideMark/>
          </w:tcPr>
          <w:p w:rsidRPr="00AE1B2B" w:rsidR="009D3FB5" w:rsidP="00163B94" w:rsidRDefault="009D3FB5" w14:paraId="7239C12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la Zona Sur</w:t>
            </w:r>
          </w:p>
        </w:tc>
        <w:tc>
          <w:tcPr>
            <w:tcW w:w="1207"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2CB51FA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46</w:t>
            </w:r>
          </w:p>
        </w:tc>
        <w:tc>
          <w:tcPr>
            <w:tcW w:w="1207"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3B8C6C5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34</w:t>
            </w:r>
          </w:p>
        </w:tc>
      </w:tr>
      <w:tr w:rsidRPr="00AE1B2B" w:rsidR="00AE1B2B" w:rsidTr="009D3FB5" w14:paraId="70CE556A" w14:textId="77777777">
        <w:trPr>
          <w:trHeight w:val="324"/>
          <w:jc w:val="center"/>
        </w:trPr>
        <w:tc>
          <w:tcPr>
            <w:tcW w:w="3784" w:type="dxa"/>
            <w:tcBorders>
              <w:top w:val="nil"/>
              <w:left w:val="double" w:color="305496" w:sz="6" w:space="0"/>
              <w:bottom w:val="double" w:color="305496" w:sz="6" w:space="0"/>
              <w:right w:val="double" w:color="305496" w:sz="6" w:space="0"/>
            </w:tcBorders>
            <w:shd w:val="clear" w:color="000000" w:fill="D9E1F2"/>
            <w:noWrap/>
            <w:vAlign w:val="center"/>
            <w:hideMark/>
          </w:tcPr>
          <w:p w:rsidRPr="00AE1B2B" w:rsidR="009D3FB5" w:rsidP="00163B94" w:rsidRDefault="009D3FB5" w14:paraId="486B75A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II Circuito Judicial de la Zona Atlántica</w:t>
            </w:r>
          </w:p>
        </w:tc>
        <w:tc>
          <w:tcPr>
            <w:tcW w:w="1207"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5D8E023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45</w:t>
            </w:r>
          </w:p>
        </w:tc>
        <w:tc>
          <w:tcPr>
            <w:tcW w:w="1207"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2BF8547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29</w:t>
            </w:r>
          </w:p>
        </w:tc>
      </w:tr>
      <w:tr w:rsidRPr="00AE1B2B" w:rsidR="00AE1B2B" w:rsidTr="009D3FB5" w14:paraId="2589A325" w14:textId="77777777">
        <w:trPr>
          <w:trHeight w:val="324"/>
          <w:jc w:val="center"/>
        </w:trPr>
        <w:tc>
          <w:tcPr>
            <w:tcW w:w="3784" w:type="dxa"/>
            <w:tcBorders>
              <w:top w:val="nil"/>
              <w:left w:val="double" w:color="305496" w:sz="6" w:space="0"/>
              <w:bottom w:val="double" w:color="305496" w:sz="6" w:space="0"/>
              <w:right w:val="double" w:color="305496" w:sz="6" w:space="0"/>
            </w:tcBorders>
            <w:shd w:val="clear" w:color="000000" w:fill="D9E1F2"/>
            <w:noWrap/>
            <w:vAlign w:val="center"/>
            <w:hideMark/>
          </w:tcPr>
          <w:p w:rsidRPr="00AE1B2B" w:rsidR="009D3FB5" w:rsidP="00163B94" w:rsidRDefault="009D3FB5" w14:paraId="36AFB61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Promedio General</w:t>
            </w:r>
          </w:p>
        </w:tc>
        <w:tc>
          <w:tcPr>
            <w:tcW w:w="1207" w:type="dxa"/>
            <w:tcBorders>
              <w:top w:val="nil"/>
              <w:left w:val="nil"/>
              <w:bottom w:val="double" w:color="305496" w:sz="6" w:space="0"/>
              <w:right w:val="double" w:color="305496" w:sz="6" w:space="0"/>
            </w:tcBorders>
            <w:shd w:val="clear" w:color="000000" w:fill="D9D9D9"/>
            <w:noWrap/>
            <w:vAlign w:val="center"/>
            <w:hideMark/>
          </w:tcPr>
          <w:p w:rsidRPr="00AE1B2B" w:rsidR="009D3FB5" w:rsidP="00163B94" w:rsidRDefault="009D3FB5" w14:paraId="0DE8C66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35</w:t>
            </w:r>
          </w:p>
        </w:tc>
        <w:tc>
          <w:tcPr>
            <w:tcW w:w="1207" w:type="dxa"/>
            <w:tcBorders>
              <w:top w:val="nil"/>
              <w:left w:val="nil"/>
              <w:bottom w:val="double" w:color="305496" w:sz="6" w:space="0"/>
              <w:right w:val="double" w:color="305496" w:sz="6" w:space="0"/>
            </w:tcBorders>
            <w:shd w:val="clear" w:color="000000" w:fill="D9D9D9"/>
            <w:noWrap/>
            <w:vAlign w:val="center"/>
            <w:hideMark/>
          </w:tcPr>
          <w:p w:rsidRPr="00AE1B2B" w:rsidR="009D3FB5" w:rsidP="00163B94" w:rsidRDefault="009D3FB5" w14:paraId="36102C8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31</w:t>
            </w:r>
          </w:p>
        </w:tc>
      </w:tr>
    </w:tbl>
    <w:p w:rsidRPr="00AE1B2B" w:rsidR="009D3FB5" w:rsidP="00163B94" w:rsidRDefault="009D3FB5" w14:paraId="2C448355" w14:textId="77777777">
      <w:pPr>
        <w:spacing w:before="120" w:after="120"/>
        <w:ind w:left="851" w:right="851" w:firstLine="709"/>
        <w:jc w:val="both"/>
        <w:rPr>
          <w:rFonts w:ascii="Times New Roman" w:hAnsi="Times New Roman" w:eastAsia="Calibri" w:cs="Times New Roman"/>
          <w:bCs/>
          <w:sz w:val="26"/>
          <w:szCs w:val="26"/>
          <w:lang w:eastAsia="es-CR"/>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Modernización Institucional a partir de la información de los anuarios judiciales suministrada por el Sub proceso de Estadística. Nota: Los datos correspondientes al 2020 son preliminares.</w:t>
      </w:r>
    </w:p>
    <w:p w:rsidRPr="00AE1B2B" w:rsidR="009D3FB5" w:rsidP="00163B94" w:rsidRDefault="009D3FB5" w14:paraId="5B6F12E4"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Al comparar el promedio mensual de las entradas nuevas correspondiente al año 2019 (35 asuntos), con el promedio mensual de entradas obtenido para 2020 (31 asuntos) se observa que para el año 2020 decrece la cantidad de ingresos nuevos, siendo esta disminución de un 11.42% respecto a la cantidad registrada en el 2019.</w:t>
      </w:r>
    </w:p>
    <w:p w:rsidRPr="00AE1B2B" w:rsidR="009D3FB5" w:rsidP="00163B94" w:rsidRDefault="009D3FB5" w14:paraId="4F34ABD0" w14:textId="77777777">
      <w:pPr>
        <w:spacing w:before="120" w:after="120"/>
        <w:ind w:left="851" w:right="851" w:firstLine="709"/>
        <w:jc w:val="both"/>
        <w:rPr>
          <w:rFonts w:ascii="Times New Roman" w:hAnsi="Times New Roman" w:eastAsia="Arial" w:cs="Times New Roman"/>
          <w:b/>
          <w:bCs/>
          <w:sz w:val="26"/>
          <w:szCs w:val="26"/>
        </w:rPr>
      </w:pPr>
      <w:r w:rsidRPr="00AE1B2B">
        <w:rPr>
          <w:rFonts w:ascii="Times New Roman" w:hAnsi="Times New Roman" w:eastAsia="Arial" w:cs="Times New Roman"/>
          <w:b/>
          <w:bCs/>
          <w:sz w:val="26"/>
          <w:szCs w:val="26"/>
        </w:rPr>
        <w:t>Causas terminadas por Circuito Judicial en Justicia Restaurativa Penal de Adultos.</w:t>
      </w:r>
    </w:p>
    <w:p w:rsidRPr="00AE1B2B" w:rsidR="009D3FB5" w:rsidP="00163B94" w:rsidRDefault="009D3FB5" w14:paraId="32B0357C"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Respecto a la cantidad de casos terminados en Justicia Restaurativa, se muestra en el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_Ref31286719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Cuadro 7</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 xml:space="preserve"> el detalle del promedio mensual registrado en cada uno de los circuitos judiciales. </w:t>
      </w:r>
    </w:p>
    <w:p w:rsidRPr="00AE1B2B" w:rsidR="009D3FB5" w:rsidP="00163B94" w:rsidRDefault="009D3FB5" w14:paraId="2D00B79B" w14:textId="77777777">
      <w:pPr>
        <w:spacing w:before="120" w:after="120"/>
        <w:ind w:left="851" w:right="851" w:firstLine="709"/>
        <w:jc w:val="both"/>
        <w:rPr>
          <w:rFonts w:ascii="Times New Roman" w:hAnsi="Times New Roman" w:eastAsia="Calibri" w:cs="Times New Roman"/>
          <w:b/>
          <w:bCs/>
          <w:sz w:val="26"/>
          <w:szCs w:val="26"/>
        </w:rPr>
      </w:pPr>
      <w:bookmarkStart w:name="_Ref31286719" w:id="351"/>
      <w:bookmarkStart w:name="_Ref31357878" w:id="352"/>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7</w:t>
      </w:r>
      <w:r w:rsidRPr="00AE1B2B">
        <w:rPr>
          <w:rFonts w:ascii="Times New Roman" w:hAnsi="Times New Roman" w:eastAsia="Calibri" w:cs="Times New Roman"/>
          <w:b/>
          <w:bCs/>
          <w:sz w:val="26"/>
          <w:szCs w:val="26"/>
        </w:rPr>
        <w:fldChar w:fldCharType="end"/>
      </w:r>
      <w:bookmarkEnd w:id="351"/>
      <w:r w:rsidRPr="00AE1B2B">
        <w:rPr>
          <w:rFonts w:ascii="Times New Roman" w:hAnsi="Times New Roman" w:eastAsia="Calibri" w:cs="Times New Roman"/>
          <w:b/>
          <w:bCs/>
          <w:sz w:val="26"/>
          <w:szCs w:val="26"/>
        </w:rPr>
        <w:t>. Asuntos terminados en promedio por mes en Justicia Restaurativa por Circuito Judicial para el periodo 2019-2020.</w:t>
      </w:r>
      <w:bookmarkEnd w:id="352"/>
    </w:p>
    <w:tbl>
      <w:tblPr>
        <w:tblW w:w="6117" w:type="dxa"/>
        <w:jc w:val="center"/>
        <w:tblBorders>
          <w:top w:val="double" w:color="305496" w:sz="6" w:space="0"/>
          <w:left w:val="double" w:color="305496" w:sz="6" w:space="0"/>
          <w:bottom w:val="double" w:color="305496" w:sz="6" w:space="0"/>
          <w:right w:val="double" w:color="305496" w:sz="6" w:space="0"/>
          <w:insideH w:val="double" w:color="305496" w:sz="6" w:space="0"/>
          <w:insideV w:val="double" w:color="305496" w:sz="6" w:space="0"/>
        </w:tblBorders>
        <w:tblCellMar>
          <w:left w:w="70" w:type="dxa"/>
          <w:right w:w="70" w:type="dxa"/>
        </w:tblCellMar>
        <w:tblLook w:val="04A0" w:firstRow="1" w:lastRow="0" w:firstColumn="1" w:lastColumn="0" w:noHBand="0" w:noVBand="1"/>
      </w:tblPr>
      <w:tblGrid>
        <w:gridCol w:w="3734"/>
        <w:gridCol w:w="1190"/>
        <w:gridCol w:w="1193"/>
      </w:tblGrid>
      <w:tr w:rsidRPr="00AE1B2B" w:rsidR="00AE1B2B" w:rsidTr="009D3FB5" w14:paraId="306747EC" w14:textId="77777777">
        <w:trPr>
          <w:trHeight w:val="282"/>
          <w:jc w:val="center"/>
        </w:trPr>
        <w:tc>
          <w:tcPr>
            <w:tcW w:w="3734" w:type="dxa"/>
            <w:vMerge w:val="restart"/>
            <w:shd w:val="clear" w:color="000000" w:fill="365F91"/>
            <w:noWrap/>
            <w:vAlign w:val="center"/>
            <w:hideMark/>
          </w:tcPr>
          <w:p w:rsidRPr="00AE1B2B" w:rsidR="009D3FB5" w:rsidP="00163B94" w:rsidRDefault="009D3FB5" w14:paraId="0F907BD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Circuito Judicial</w:t>
            </w:r>
          </w:p>
        </w:tc>
        <w:tc>
          <w:tcPr>
            <w:tcW w:w="2383" w:type="dxa"/>
            <w:gridSpan w:val="2"/>
            <w:shd w:val="clear" w:color="000000" w:fill="365F91"/>
            <w:noWrap/>
            <w:vAlign w:val="center"/>
            <w:hideMark/>
          </w:tcPr>
          <w:p w:rsidRPr="00AE1B2B" w:rsidR="009D3FB5" w:rsidP="00163B94" w:rsidRDefault="009D3FB5" w14:paraId="34EAD7D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Terminados</w:t>
            </w:r>
          </w:p>
        </w:tc>
      </w:tr>
      <w:tr w:rsidRPr="00AE1B2B" w:rsidR="00AE1B2B" w:rsidTr="009D3FB5" w14:paraId="41143B1B" w14:textId="77777777">
        <w:trPr>
          <w:trHeight w:val="282"/>
          <w:jc w:val="center"/>
        </w:trPr>
        <w:tc>
          <w:tcPr>
            <w:tcW w:w="3734" w:type="dxa"/>
            <w:vMerge/>
            <w:vAlign w:val="center"/>
            <w:hideMark/>
          </w:tcPr>
          <w:p w:rsidRPr="00AE1B2B" w:rsidR="009D3FB5" w:rsidP="00163B94" w:rsidRDefault="009D3FB5" w14:paraId="053EE308" w14:textId="77777777">
            <w:pPr>
              <w:spacing w:before="120" w:after="120"/>
              <w:rPr>
                <w:rFonts w:ascii="Times New Roman" w:hAnsi="Times New Roman" w:eastAsia="Times New Roman" w:cs="Times New Roman"/>
                <w:sz w:val="20"/>
                <w:szCs w:val="20"/>
                <w:lang w:eastAsia="es-CR"/>
              </w:rPr>
            </w:pPr>
          </w:p>
        </w:tc>
        <w:tc>
          <w:tcPr>
            <w:tcW w:w="1190" w:type="dxa"/>
            <w:shd w:val="clear" w:color="000000" w:fill="365F91"/>
            <w:noWrap/>
            <w:vAlign w:val="center"/>
            <w:hideMark/>
          </w:tcPr>
          <w:p w:rsidRPr="00AE1B2B" w:rsidR="009D3FB5" w:rsidP="00163B94" w:rsidRDefault="009D3FB5" w14:paraId="5898698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2019</w:t>
            </w:r>
          </w:p>
        </w:tc>
        <w:tc>
          <w:tcPr>
            <w:tcW w:w="1193" w:type="dxa"/>
            <w:shd w:val="clear" w:color="000000" w:fill="365F91"/>
            <w:noWrap/>
            <w:vAlign w:val="center"/>
            <w:hideMark/>
          </w:tcPr>
          <w:p w:rsidRPr="00AE1B2B" w:rsidR="009D3FB5" w:rsidP="00163B94" w:rsidRDefault="009D3FB5" w14:paraId="6A14F55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2020</w:t>
            </w:r>
          </w:p>
        </w:tc>
      </w:tr>
      <w:tr w:rsidRPr="00AE1B2B" w:rsidR="00AE1B2B" w:rsidTr="009D3FB5" w14:paraId="1D9F5FD7" w14:textId="77777777">
        <w:trPr>
          <w:trHeight w:val="282"/>
          <w:jc w:val="center"/>
        </w:trPr>
        <w:tc>
          <w:tcPr>
            <w:tcW w:w="3734" w:type="dxa"/>
            <w:shd w:val="clear" w:color="000000" w:fill="D9E1F2"/>
            <w:noWrap/>
            <w:vAlign w:val="center"/>
            <w:hideMark/>
          </w:tcPr>
          <w:p w:rsidRPr="00AE1B2B" w:rsidR="009D3FB5" w:rsidP="00163B94" w:rsidRDefault="009D3FB5" w14:paraId="402C5F5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II Circuito Judicial de San José</w:t>
            </w:r>
          </w:p>
        </w:tc>
        <w:tc>
          <w:tcPr>
            <w:tcW w:w="1190" w:type="dxa"/>
            <w:shd w:val="clear" w:color="000000" w:fill="FFFFFF"/>
            <w:noWrap/>
            <w:vAlign w:val="center"/>
            <w:hideMark/>
          </w:tcPr>
          <w:p w:rsidRPr="00AE1B2B" w:rsidR="009D3FB5" w:rsidP="00163B94" w:rsidRDefault="009D3FB5" w14:paraId="0153437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42</w:t>
            </w:r>
          </w:p>
        </w:tc>
        <w:tc>
          <w:tcPr>
            <w:tcW w:w="1193" w:type="dxa"/>
            <w:shd w:val="clear" w:color="000000" w:fill="FFFFFF"/>
            <w:noWrap/>
            <w:vAlign w:val="center"/>
            <w:hideMark/>
          </w:tcPr>
          <w:p w:rsidRPr="00AE1B2B" w:rsidR="009D3FB5" w:rsidP="00163B94" w:rsidRDefault="009D3FB5" w14:paraId="7250B79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34</w:t>
            </w:r>
          </w:p>
        </w:tc>
      </w:tr>
      <w:tr w:rsidRPr="00AE1B2B" w:rsidR="00AE1B2B" w:rsidTr="009D3FB5" w14:paraId="21A88088" w14:textId="77777777">
        <w:trPr>
          <w:trHeight w:val="282"/>
          <w:jc w:val="center"/>
        </w:trPr>
        <w:tc>
          <w:tcPr>
            <w:tcW w:w="3734" w:type="dxa"/>
            <w:shd w:val="clear" w:color="000000" w:fill="D9E1F2"/>
            <w:noWrap/>
            <w:vAlign w:val="center"/>
            <w:hideMark/>
          </w:tcPr>
          <w:p w:rsidRPr="00AE1B2B" w:rsidR="009D3FB5" w:rsidP="00163B94" w:rsidRDefault="009D3FB5" w14:paraId="062C8D9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III Circuito Judicial de San José</w:t>
            </w:r>
          </w:p>
        </w:tc>
        <w:tc>
          <w:tcPr>
            <w:tcW w:w="1190" w:type="dxa"/>
            <w:shd w:val="clear" w:color="000000" w:fill="FFFFFF"/>
            <w:noWrap/>
            <w:vAlign w:val="center"/>
            <w:hideMark/>
          </w:tcPr>
          <w:p w:rsidRPr="00AE1B2B" w:rsidR="009D3FB5" w:rsidP="00163B94" w:rsidRDefault="009D3FB5" w14:paraId="7641264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39</w:t>
            </w:r>
          </w:p>
        </w:tc>
        <w:tc>
          <w:tcPr>
            <w:tcW w:w="1193" w:type="dxa"/>
            <w:shd w:val="clear" w:color="000000" w:fill="FFFFFF"/>
            <w:noWrap/>
            <w:vAlign w:val="center"/>
            <w:hideMark/>
          </w:tcPr>
          <w:p w:rsidRPr="00AE1B2B" w:rsidR="009D3FB5" w:rsidP="00163B94" w:rsidRDefault="009D3FB5" w14:paraId="3C659F9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21</w:t>
            </w:r>
          </w:p>
        </w:tc>
      </w:tr>
      <w:tr w:rsidRPr="00AE1B2B" w:rsidR="00AE1B2B" w:rsidTr="009D3FB5" w14:paraId="232FB82A" w14:textId="77777777">
        <w:trPr>
          <w:trHeight w:val="282"/>
          <w:jc w:val="center"/>
        </w:trPr>
        <w:tc>
          <w:tcPr>
            <w:tcW w:w="3734" w:type="dxa"/>
            <w:shd w:val="clear" w:color="000000" w:fill="D9E1F2"/>
            <w:noWrap/>
            <w:vAlign w:val="center"/>
            <w:hideMark/>
          </w:tcPr>
          <w:p w:rsidRPr="00AE1B2B" w:rsidR="009D3FB5" w:rsidP="00163B94" w:rsidRDefault="009D3FB5" w14:paraId="5857B3F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lastRenderedPageBreak/>
              <w:t>Cartago</w:t>
            </w:r>
          </w:p>
        </w:tc>
        <w:tc>
          <w:tcPr>
            <w:tcW w:w="1190" w:type="dxa"/>
            <w:shd w:val="clear" w:color="000000" w:fill="FFFFFF"/>
            <w:noWrap/>
            <w:vAlign w:val="center"/>
            <w:hideMark/>
          </w:tcPr>
          <w:p w:rsidRPr="00AE1B2B" w:rsidR="009D3FB5" w:rsidP="00163B94" w:rsidRDefault="009D3FB5" w14:paraId="37A05E1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30</w:t>
            </w:r>
          </w:p>
        </w:tc>
        <w:tc>
          <w:tcPr>
            <w:tcW w:w="1193" w:type="dxa"/>
            <w:shd w:val="clear" w:color="000000" w:fill="FFFFFF"/>
            <w:noWrap/>
            <w:vAlign w:val="center"/>
            <w:hideMark/>
          </w:tcPr>
          <w:p w:rsidRPr="00AE1B2B" w:rsidR="009D3FB5" w:rsidP="00163B94" w:rsidRDefault="009D3FB5" w14:paraId="1E46F4F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27</w:t>
            </w:r>
          </w:p>
        </w:tc>
      </w:tr>
      <w:tr w:rsidRPr="00AE1B2B" w:rsidR="00AE1B2B" w:rsidTr="009D3FB5" w14:paraId="717D54E7" w14:textId="77777777">
        <w:trPr>
          <w:trHeight w:val="282"/>
          <w:jc w:val="center"/>
        </w:trPr>
        <w:tc>
          <w:tcPr>
            <w:tcW w:w="3734" w:type="dxa"/>
            <w:shd w:val="clear" w:color="000000" w:fill="D9E1F2"/>
            <w:noWrap/>
            <w:vAlign w:val="center"/>
            <w:hideMark/>
          </w:tcPr>
          <w:p w:rsidRPr="00AE1B2B" w:rsidR="009D3FB5" w:rsidP="00163B94" w:rsidRDefault="009D3FB5" w14:paraId="78B8EB5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Heredia</w:t>
            </w:r>
          </w:p>
        </w:tc>
        <w:tc>
          <w:tcPr>
            <w:tcW w:w="1190" w:type="dxa"/>
            <w:shd w:val="clear" w:color="000000" w:fill="FFFFFF"/>
            <w:noWrap/>
            <w:vAlign w:val="center"/>
            <w:hideMark/>
          </w:tcPr>
          <w:p w:rsidRPr="00AE1B2B" w:rsidR="009D3FB5" w:rsidP="00163B94" w:rsidRDefault="009D3FB5" w14:paraId="6929386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31</w:t>
            </w:r>
          </w:p>
        </w:tc>
        <w:tc>
          <w:tcPr>
            <w:tcW w:w="1193" w:type="dxa"/>
            <w:shd w:val="clear" w:color="000000" w:fill="FFFFFF"/>
            <w:noWrap/>
            <w:vAlign w:val="center"/>
            <w:hideMark/>
          </w:tcPr>
          <w:p w:rsidRPr="00AE1B2B" w:rsidR="009D3FB5" w:rsidP="00163B94" w:rsidRDefault="009D3FB5" w14:paraId="6D65B27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28</w:t>
            </w:r>
          </w:p>
        </w:tc>
      </w:tr>
      <w:tr w:rsidRPr="00AE1B2B" w:rsidR="00AE1B2B" w:rsidTr="009D3FB5" w14:paraId="1DE41D5A" w14:textId="77777777">
        <w:trPr>
          <w:trHeight w:val="282"/>
          <w:jc w:val="center"/>
        </w:trPr>
        <w:tc>
          <w:tcPr>
            <w:tcW w:w="3734" w:type="dxa"/>
            <w:shd w:val="clear" w:color="000000" w:fill="D9E1F2"/>
            <w:noWrap/>
            <w:vAlign w:val="center"/>
            <w:hideMark/>
          </w:tcPr>
          <w:p w:rsidRPr="00AE1B2B" w:rsidR="009D3FB5" w:rsidP="00163B94" w:rsidRDefault="009D3FB5" w14:paraId="702F068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Puntarenas</w:t>
            </w:r>
          </w:p>
        </w:tc>
        <w:tc>
          <w:tcPr>
            <w:tcW w:w="1190" w:type="dxa"/>
            <w:shd w:val="clear" w:color="000000" w:fill="FFFFFF"/>
            <w:noWrap/>
            <w:vAlign w:val="center"/>
            <w:hideMark/>
          </w:tcPr>
          <w:p w:rsidRPr="00AE1B2B" w:rsidR="009D3FB5" w:rsidP="00163B94" w:rsidRDefault="009D3FB5" w14:paraId="571B009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23</w:t>
            </w:r>
          </w:p>
        </w:tc>
        <w:tc>
          <w:tcPr>
            <w:tcW w:w="1193" w:type="dxa"/>
            <w:shd w:val="clear" w:color="000000" w:fill="FFFFFF"/>
            <w:noWrap/>
            <w:vAlign w:val="center"/>
            <w:hideMark/>
          </w:tcPr>
          <w:p w:rsidRPr="00AE1B2B" w:rsidR="009D3FB5" w:rsidP="00163B94" w:rsidRDefault="009D3FB5" w14:paraId="41F2E26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22</w:t>
            </w:r>
          </w:p>
        </w:tc>
      </w:tr>
      <w:tr w:rsidRPr="00AE1B2B" w:rsidR="00AE1B2B" w:rsidTr="009D3FB5" w14:paraId="7CC7FA4E" w14:textId="77777777">
        <w:trPr>
          <w:trHeight w:val="282"/>
          <w:jc w:val="center"/>
        </w:trPr>
        <w:tc>
          <w:tcPr>
            <w:tcW w:w="3734" w:type="dxa"/>
            <w:shd w:val="clear" w:color="000000" w:fill="D9E1F2"/>
            <w:noWrap/>
            <w:vAlign w:val="center"/>
            <w:hideMark/>
          </w:tcPr>
          <w:p w:rsidRPr="00AE1B2B" w:rsidR="009D3FB5" w:rsidP="00163B94" w:rsidRDefault="009D3FB5" w14:paraId="5346C54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la Zona Sur</w:t>
            </w:r>
          </w:p>
        </w:tc>
        <w:tc>
          <w:tcPr>
            <w:tcW w:w="1190" w:type="dxa"/>
            <w:shd w:val="clear" w:color="000000" w:fill="FFFFFF"/>
            <w:noWrap/>
            <w:vAlign w:val="center"/>
            <w:hideMark/>
          </w:tcPr>
          <w:p w:rsidRPr="00AE1B2B" w:rsidR="009D3FB5" w:rsidP="00163B94" w:rsidRDefault="009D3FB5" w14:paraId="5D0C49B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50</w:t>
            </w:r>
          </w:p>
        </w:tc>
        <w:tc>
          <w:tcPr>
            <w:tcW w:w="1193" w:type="dxa"/>
            <w:shd w:val="clear" w:color="000000" w:fill="FFFFFF"/>
            <w:noWrap/>
            <w:vAlign w:val="center"/>
            <w:hideMark/>
          </w:tcPr>
          <w:p w:rsidRPr="00AE1B2B" w:rsidR="009D3FB5" w:rsidP="00163B94" w:rsidRDefault="009D3FB5" w14:paraId="3B746EB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39</w:t>
            </w:r>
          </w:p>
        </w:tc>
      </w:tr>
      <w:tr w:rsidRPr="00AE1B2B" w:rsidR="00AE1B2B" w:rsidTr="009D3FB5" w14:paraId="1213C974" w14:textId="77777777">
        <w:trPr>
          <w:trHeight w:val="282"/>
          <w:jc w:val="center"/>
        </w:trPr>
        <w:tc>
          <w:tcPr>
            <w:tcW w:w="3734" w:type="dxa"/>
            <w:shd w:val="clear" w:color="000000" w:fill="D9E1F2"/>
            <w:noWrap/>
            <w:vAlign w:val="center"/>
            <w:hideMark/>
          </w:tcPr>
          <w:p w:rsidRPr="00AE1B2B" w:rsidR="009D3FB5" w:rsidP="00163B94" w:rsidRDefault="009D3FB5" w14:paraId="1EDA796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II Circuito Judicial de la Zona Atlántica</w:t>
            </w:r>
          </w:p>
        </w:tc>
        <w:tc>
          <w:tcPr>
            <w:tcW w:w="1190" w:type="dxa"/>
            <w:shd w:val="clear" w:color="000000" w:fill="FFFFFF"/>
            <w:noWrap/>
            <w:vAlign w:val="center"/>
            <w:hideMark/>
          </w:tcPr>
          <w:p w:rsidRPr="00AE1B2B" w:rsidR="009D3FB5" w:rsidP="00163B94" w:rsidRDefault="009D3FB5" w14:paraId="3E7009A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49</w:t>
            </w:r>
          </w:p>
        </w:tc>
        <w:tc>
          <w:tcPr>
            <w:tcW w:w="1193" w:type="dxa"/>
            <w:shd w:val="clear" w:color="000000" w:fill="FFFFFF"/>
            <w:noWrap/>
            <w:vAlign w:val="center"/>
            <w:hideMark/>
          </w:tcPr>
          <w:p w:rsidRPr="00AE1B2B" w:rsidR="009D3FB5" w:rsidP="00163B94" w:rsidRDefault="009D3FB5" w14:paraId="6B2F566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32</w:t>
            </w:r>
          </w:p>
        </w:tc>
      </w:tr>
      <w:tr w:rsidRPr="00AE1B2B" w:rsidR="00AE1B2B" w:rsidTr="009D3FB5" w14:paraId="680E2076" w14:textId="77777777">
        <w:trPr>
          <w:trHeight w:val="143"/>
          <w:jc w:val="center"/>
        </w:trPr>
        <w:tc>
          <w:tcPr>
            <w:tcW w:w="3734" w:type="dxa"/>
            <w:shd w:val="clear" w:color="000000" w:fill="D9E1F2"/>
            <w:noWrap/>
            <w:vAlign w:val="center"/>
            <w:hideMark/>
          </w:tcPr>
          <w:p w:rsidRPr="00AE1B2B" w:rsidR="009D3FB5" w:rsidP="00163B94" w:rsidRDefault="009D3FB5" w14:paraId="1C2414A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Promedio</w:t>
            </w:r>
          </w:p>
        </w:tc>
        <w:tc>
          <w:tcPr>
            <w:tcW w:w="1190" w:type="dxa"/>
            <w:shd w:val="clear" w:color="000000" w:fill="BFBFBF"/>
            <w:noWrap/>
            <w:vAlign w:val="center"/>
            <w:hideMark/>
          </w:tcPr>
          <w:p w:rsidRPr="00AE1B2B" w:rsidR="009D3FB5" w:rsidP="00163B94" w:rsidRDefault="009D3FB5" w14:paraId="2F37FB6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38</w:t>
            </w:r>
          </w:p>
        </w:tc>
        <w:tc>
          <w:tcPr>
            <w:tcW w:w="1193" w:type="dxa"/>
            <w:shd w:val="clear" w:color="000000" w:fill="BFBFBF"/>
            <w:noWrap/>
            <w:vAlign w:val="center"/>
            <w:hideMark/>
          </w:tcPr>
          <w:p w:rsidRPr="00AE1B2B" w:rsidR="009D3FB5" w:rsidP="00163B94" w:rsidRDefault="009D3FB5" w14:paraId="11B501A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29</w:t>
            </w:r>
          </w:p>
        </w:tc>
      </w:tr>
    </w:tbl>
    <w:p w:rsidRPr="00AE1B2B" w:rsidR="009D3FB5" w:rsidP="00163B94" w:rsidRDefault="009D3FB5" w14:paraId="01004E2D" w14:textId="77777777">
      <w:pPr>
        <w:spacing w:before="120" w:after="120"/>
        <w:ind w:left="851" w:right="851" w:firstLine="709"/>
        <w:jc w:val="both"/>
        <w:rPr>
          <w:rFonts w:ascii="Times New Roman" w:hAnsi="Times New Roman" w:eastAsia="Calibri" w:cs="Times New Roman"/>
          <w:bCs/>
          <w:sz w:val="26"/>
          <w:szCs w:val="26"/>
          <w:lang w:eastAsia="es-CR"/>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Modernización Institucional a partir de la información de los anuarios judiciales suministrada por el Sub proceso de Estadística. Nota: Los datos correspondientes al 2020 son preliminares.</w:t>
      </w:r>
    </w:p>
    <w:p w:rsidRPr="00AE1B2B" w:rsidR="009D3FB5" w:rsidP="00163B94" w:rsidRDefault="009D3FB5" w14:paraId="03C3B8C4" w14:textId="77777777">
      <w:pPr>
        <w:tabs>
          <w:tab w:val="left" w:pos="0"/>
        </w:tabs>
        <w:spacing w:before="120" w:after="120"/>
        <w:ind w:left="851" w:right="851" w:firstLine="709"/>
        <w:jc w:val="both"/>
        <w:rPr>
          <w:rFonts w:ascii="Times New Roman" w:hAnsi="Times New Roman" w:eastAsia="Calibri" w:cs="Times New Roman"/>
          <w:sz w:val="26"/>
          <w:szCs w:val="26"/>
        </w:rPr>
      </w:pPr>
      <w:bookmarkStart w:name="_Ref32821727" w:id="353"/>
      <w:r w:rsidRPr="00AE1B2B">
        <w:rPr>
          <w:rFonts w:ascii="Times New Roman" w:hAnsi="Times New Roman" w:eastAsia="Calibri" w:cs="Times New Roman"/>
          <w:sz w:val="26"/>
          <w:szCs w:val="26"/>
        </w:rPr>
        <w:t>Con base en la información anterior, para el año 2019 se reporta la mayor cantidad de causas terminadas en el Primer Circuito Judicial de la Zona Sur con 50 casos en promedio, seguido del Segundo Circuito Judicial de la Zona Atlántica con un promedio de 49 causas.</w:t>
      </w:r>
    </w:p>
    <w:p w:rsidRPr="00AE1B2B" w:rsidR="009D3FB5" w:rsidP="00163B94" w:rsidRDefault="009D3FB5" w14:paraId="0693F553"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Para el 2020 se registra la mayor cantidad de terminados en el Primer Circuito Judicial de la Zona Sur (39 casos), mientras que en segundo lugar se ubica el Segundo Circuito Judicial de San José con 34 casos.</w:t>
      </w:r>
    </w:p>
    <w:p w:rsidRPr="00AE1B2B" w:rsidR="009D3FB5" w:rsidP="00163B94" w:rsidRDefault="009D3FB5" w14:paraId="75372003"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En resumen, se cuenta con un promedio general de 38 causas finalizadas por mes para el año 2019, mientras que el promedio general para el año 2020 corresponde a 29 asuntos en promedio por mes, cifra que concuerda con la disminución general que se observa en la cantidad de asuntos terminados que se registraron en 2020; por otra parte, es importante analizar la cantidad de asuntos terminados por motivos de devolución, por lo que en las secciones siguientes se analizará la composición de los terminados.</w:t>
      </w:r>
    </w:p>
    <w:p w:rsidRPr="00AE1B2B" w:rsidR="009D3FB5" w:rsidP="00163B94" w:rsidRDefault="009D3FB5" w14:paraId="5ED4101F"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087B5566"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7E87DF40"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3D8C991B"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55DA6837"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36DCE3CB"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531BA61B"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66C03EF6"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783C4572"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3B411DB3" w14:textId="77777777">
      <w:pPr>
        <w:spacing w:before="120" w:after="120"/>
        <w:ind w:left="851" w:right="851" w:firstLine="709"/>
        <w:jc w:val="both"/>
        <w:rPr>
          <w:rFonts w:ascii="Times New Roman" w:hAnsi="Times New Roman" w:eastAsia="Arial" w:cs="Times New Roman"/>
          <w:b/>
          <w:bCs/>
          <w:sz w:val="26"/>
          <w:szCs w:val="26"/>
        </w:rPr>
      </w:pPr>
      <w:r w:rsidRPr="00AE1B2B">
        <w:rPr>
          <w:rFonts w:ascii="Times New Roman" w:hAnsi="Times New Roman" w:eastAsia="Arial" w:cs="Times New Roman"/>
          <w:b/>
          <w:bCs/>
          <w:sz w:val="26"/>
          <w:szCs w:val="26"/>
        </w:rPr>
        <w:t>1.3 Motivo de Término de las causas de Justicia Restaurativa Penal de Adultos</w:t>
      </w:r>
    </w:p>
    <w:p w:rsidRPr="00AE1B2B" w:rsidR="009D3FB5" w:rsidP="00163B94" w:rsidRDefault="009D3FB5" w14:paraId="4C1D3C76"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el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_Ref63966934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Cuadro 8</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 se presenta el detalle de los motivos de término de las causas ingresadas en Justicia Restaurativa Penal de Adultos para el periodo 2019-2020:</w:t>
      </w:r>
    </w:p>
    <w:p w:rsidRPr="00AE1B2B" w:rsidR="009D3FB5" w:rsidP="00163B94" w:rsidRDefault="009D3FB5" w14:paraId="18A54BF1" w14:textId="77777777">
      <w:pPr>
        <w:spacing w:before="120" w:after="120"/>
        <w:ind w:left="851" w:right="851" w:firstLine="709"/>
        <w:jc w:val="both"/>
        <w:rPr>
          <w:rFonts w:ascii="Times New Roman" w:hAnsi="Times New Roman" w:eastAsia="Calibri" w:cs="Times New Roman"/>
          <w:sz w:val="26"/>
          <w:szCs w:val="26"/>
        </w:rPr>
      </w:pPr>
      <w:bookmarkStart w:name="_Ref63966934" w:id="354"/>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8</w:t>
      </w:r>
      <w:r w:rsidRPr="00AE1B2B">
        <w:rPr>
          <w:rFonts w:ascii="Times New Roman" w:hAnsi="Times New Roman" w:eastAsia="Calibri" w:cs="Times New Roman"/>
          <w:b/>
          <w:bCs/>
          <w:sz w:val="26"/>
          <w:szCs w:val="26"/>
        </w:rPr>
        <w:fldChar w:fldCharType="end"/>
      </w:r>
      <w:bookmarkEnd w:id="353"/>
      <w:bookmarkEnd w:id="354"/>
      <w:r w:rsidRPr="00AE1B2B">
        <w:rPr>
          <w:rFonts w:ascii="Times New Roman" w:hAnsi="Times New Roman" w:eastAsia="Calibri" w:cs="Times New Roman"/>
          <w:b/>
          <w:bCs/>
          <w:sz w:val="26"/>
          <w:szCs w:val="26"/>
        </w:rPr>
        <w:t>. Motivo de termino de las causas ingresadas a Justicia Restaurativa Penal de Adultos, periodo 2019-2020</w:t>
      </w:r>
    </w:p>
    <w:tbl>
      <w:tblPr>
        <w:tblW w:w="7843" w:type="dxa"/>
        <w:jc w:val="center"/>
        <w:tblCellMar>
          <w:left w:w="70" w:type="dxa"/>
          <w:right w:w="70" w:type="dxa"/>
        </w:tblCellMar>
        <w:tblLook w:val="04A0" w:firstRow="1" w:lastRow="0" w:firstColumn="1" w:lastColumn="0" w:noHBand="0" w:noVBand="1"/>
      </w:tblPr>
      <w:tblGrid>
        <w:gridCol w:w="3068"/>
        <w:gridCol w:w="1072"/>
        <w:gridCol w:w="1294"/>
        <w:gridCol w:w="1134"/>
        <w:gridCol w:w="1275"/>
      </w:tblGrid>
      <w:tr w:rsidRPr="00AE1B2B" w:rsidR="00AE1B2B" w:rsidTr="009D3FB5" w14:paraId="66588BD9" w14:textId="77777777">
        <w:trPr>
          <w:trHeight w:val="288"/>
          <w:jc w:val="center"/>
        </w:trPr>
        <w:tc>
          <w:tcPr>
            <w:tcW w:w="3068" w:type="dxa"/>
            <w:tcBorders>
              <w:top w:val="double" w:color="203764" w:sz="6" w:space="0"/>
              <w:left w:val="double" w:color="203764" w:sz="6" w:space="0"/>
              <w:bottom w:val="double" w:color="203764" w:sz="6" w:space="0"/>
              <w:right w:val="double" w:color="203764" w:sz="6" w:space="0"/>
            </w:tcBorders>
            <w:shd w:val="clear" w:color="000000" w:fill="365F91"/>
            <w:noWrap/>
            <w:vAlign w:val="center"/>
            <w:hideMark/>
          </w:tcPr>
          <w:p w:rsidRPr="00AE1B2B" w:rsidR="009D3FB5" w:rsidP="00163B94" w:rsidRDefault="009D3FB5" w14:paraId="185F248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Motivo de termino</w:t>
            </w:r>
          </w:p>
        </w:tc>
        <w:tc>
          <w:tcPr>
            <w:tcW w:w="1072" w:type="dxa"/>
            <w:tcBorders>
              <w:top w:val="double" w:color="203764" w:sz="6" w:space="0"/>
              <w:left w:val="nil"/>
              <w:bottom w:val="double" w:color="203764" w:sz="6" w:space="0"/>
              <w:right w:val="double" w:color="203764" w:sz="6" w:space="0"/>
            </w:tcBorders>
            <w:shd w:val="clear" w:color="000000" w:fill="365F91"/>
            <w:noWrap/>
            <w:vAlign w:val="center"/>
            <w:hideMark/>
          </w:tcPr>
          <w:p w:rsidRPr="00AE1B2B" w:rsidR="009D3FB5" w:rsidP="00163B94" w:rsidRDefault="009D3FB5" w14:paraId="150A4AC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2019</w:t>
            </w:r>
          </w:p>
        </w:tc>
        <w:tc>
          <w:tcPr>
            <w:tcW w:w="1294" w:type="dxa"/>
            <w:tcBorders>
              <w:top w:val="double" w:color="203764" w:sz="6" w:space="0"/>
              <w:left w:val="nil"/>
              <w:bottom w:val="double" w:color="203764" w:sz="6" w:space="0"/>
              <w:right w:val="double" w:color="203764" w:sz="6" w:space="0"/>
            </w:tcBorders>
            <w:shd w:val="clear" w:color="000000" w:fill="365F91"/>
            <w:noWrap/>
            <w:vAlign w:val="center"/>
            <w:hideMark/>
          </w:tcPr>
          <w:p w:rsidRPr="00AE1B2B" w:rsidR="009D3FB5" w:rsidP="00163B94" w:rsidRDefault="009D3FB5" w14:paraId="46E3A36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Porcentaje</w:t>
            </w:r>
          </w:p>
        </w:tc>
        <w:tc>
          <w:tcPr>
            <w:tcW w:w="1134" w:type="dxa"/>
            <w:tcBorders>
              <w:top w:val="double" w:color="203764" w:sz="6" w:space="0"/>
              <w:left w:val="nil"/>
              <w:bottom w:val="double" w:color="203764" w:sz="6" w:space="0"/>
              <w:right w:val="double" w:color="203764" w:sz="6" w:space="0"/>
            </w:tcBorders>
            <w:shd w:val="clear" w:color="000000" w:fill="365F91"/>
            <w:noWrap/>
            <w:vAlign w:val="center"/>
            <w:hideMark/>
          </w:tcPr>
          <w:p w:rsidRPr="00AE1B2B" w:rsidR="009D3FB5" w:rsidP="00163B94" w:rsidRDefault="009D3FB5" w14:paraId="2600DB4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2020</w:t>
            </w:r>
          </w:p>
        </w:tc>
        <w:tc>
          <w:tcPr>
            <w:tcW w:w="1275" w:type="dxa"/>
            <w:tcBorders>
              <w:top w:val="double" w:color="203764" w:sz="6" w:space="0"/>
              <w:left w:val="nil"/>
              <w:bottom w:val="double" w:color="203764" w:sz="6" w:space="0"/>
              <w:right w:val="double" w:color="203764" w:sz="6" w:space="0"/>
            </w:tcBorders>
            <w:shd w:val="clear" w:color="000000" w:fill="365F91"/>
            <w:noWrap/>
            <w:vAlign w:val="center"/>
            <w:hideMark/>
          </w:tcPr>
          <w:p w:rsidRPr="00AE1B2B" w:rsidR="009D3FB5" w:rsidP="00163B94" w:rsidRDefault="009D3FB5" w14:paraId="09E9B88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Porcentaje</w:t>
            </w:r>
          </w:p>
        </w:tc>
      </w:tr>
      <w:tr w:rsidRPr="00AE1B2B" w:rsidR="00AE1B2B" w:rsidTr="009D3FB5" w14:paraId="7D0A2270" w14:textId="77777777">
        <w:trPr>
          <w:trHeight w:val="288"/>
          <w:jc w:val="center"/>
        </w:trPr>
        <w:tc>
          <w:tcPr>
            <w:tcW w:w="3068" w:type="dxa"/>
            <w:tcBorders>
              <w:top w:val="nil"/>
              <w:left w:val="double" w:color="203764" w:sz="6" w:space="0"/>
              <w:bottom w:val="nil"/>
              <w:right w:val="double" w:color="203764" w:sz="6" w:space="0"/>
            </w:tcBorders>
            <w:shd w:val="clear" w:color="000000" w:fill="D9E1F2"/>
            <w:noWrap/>
            <w:vAlign w:val="center"/>
            <w:hideMark/>
          </w:tcPr>
          <w:p w:rsidRPr="00AE1B2B" w:rsidR="009D3FB5" w:rsidP="00163B94" w:rsidRDefault="009D3FB5" w14:paraId="6DF9F33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Acumulación</w:t>
            </w:r>
          </w:p>
        </w:tc>
        <w:tc>
          <w:tcPr>
            <w:tcW w:w="107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28F5BBE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19</w:t>
            </w:r>
          </w:p>
        </w:tc>
        <w:tc>
          <w:tcPr>
            <w:tcW w:w="129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7636B59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w:t>
            </w:r>
          </w:p>
        </w:tc>
        <w:tc>
          <w:tcPr>
            <w:tcW w:w="1134" w:type="dxa"/>
            <w:tcBorders>
              <w:top w:val="nil"/>
              <w:left w:val="nil"/>
              <w:bottom w:val="nil"/>
              <w:right w:val="nil"/>
            </w:tcBorders>
            <w:shd w:val="clear" w:color="auto" w:fill="auto"/>
            <w:noWrap/>
            <w:vAlign w:val="center"/>
            <w:hideMark/>
          </w:tcPr>
          <w:p w:rsidRPr="00AE1B2B" w:rsidR="009D3FB5" w:rsidP="00163B94" w:rsidRDefault="009D3FB5" w14:paraId="2BE0EA1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w:t>
            </w:r>
          </w:p>
        </w:tc>
        <w:tc>
          <w:tcPr>
            <w:tcW w:w="1275" w:type="dxa"/>
            <w:tcBorders>
              <w:top w:val="nil"/>
              <w:left w:val="double" w:color="203764" w:sz="6" w:space="0"/>
              <w:bottom w:val="nil"/>
              <w:right w:val="double" w:color="203764" w:sz="6" w:space="0"/>
            </w:tcBorders>
            <w:shd w:val="clear" w:color="auto" w:fill="auto"/>
            <w:noWrap/>
            <w:vAlign w:val="center"/>
            <w:hideMark/>
          </w:tcPr>
          <w:p w:rsidRPr="00AE1B2B" w:rsidR="009D3FB5" w:rsidP="00163B94" w:rsidRDefault="009D3FB5" w14:paraId="6E819A5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0.4%</w:t>
            </w:r>
          </w:p>
        </w:tc>
      </w:tr>
      <w:tr w:rsidRPr="00AE1B2B" w:rsidR="00AE1B2B" w:rsidTr="009D3FB5" w14:paraId="6A50AC8F" w14:textId="77777777">
        <w:trPr>
          <w:trHeight w:val="288"/>
          <w:jc w:val="center"/>
        </w:trPr>
        <w:tc>
          <w:tcPr>
            <w:tcW w:w="3068" w:type="dxa"/>
            <w:tcBorders>
              <w:top w:val="double" w:color="203764" w:sz="6" w:space="0"/>
              <w:left w:val="double" w:color="203764" w:sz="6" w:space="0"/>
              <w:bottom w:val="double" w:color="203764" w:sz="6" w:space="0"/>
              <w:right w:val="double" w:color="203764" w:sz="6" w:space="0"/>
            </w:tcBorders>
            <w:shd w:val="clear" w:color="000000" w:fill="D9E1F2"/>
            <w:noWrap/>
            <w:vAlign w:val="center"/>
            <w:hideMark/>
          </w:tcPr>
          <w:p w:rsidRPr="00AE1B2B" w:rsidR="009D3FB5" w:rsidP="00163B94" w:rsidRDefault="009D3FB5" w14:paraId="08D81D3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Suspensión proceso a prueba</w:t>
            </w:r>
          </w:p>
        </w:tc>
        <w:tc>
          <w:tcPr>
            <w:tcW w:w="107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65E4E06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542</w:t>
            </w:r>
          </w:p>
        </w:tc>
        <w:tc>
          <w:tcPr>
            <w:tcW w:w="129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1881B61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18%</w:t>
            </w:r>
          </w:p>
        </w:tc>
        <w:tc>
          <w:tcPr>
            <w:tcW w:w="1134" w:type="dxa"/>
            <w:tcBorders>
              <w:top w:val="double" w:color="203764" w:sz="6" w:space="0"/>
              <w:left w:val="nil"/>
              <w:bottom w:val="double" w:color="203764" w:sz="6" w:space="0"/>
              <w:right w:val="double" w:color="203764" w:sz="6" w:space="0"/>
            </w:tcBorders>
            <w:shd w:val="clear" w:color="auto" w:fill="auto"/>
            <w:noWrap/>
            <w:vAlign w:val="center"/>
            <w:hideMark/>
          </w:tcPr>
          <w:p w:rsidRPr="00AE1B2B" w:rsidR="009D3FB5" w:rsidP="00163B94" w:rsidRDefault="009D3FB5" w14:paraId="4332A48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446</w:t>
            </w:r>
          </w:p>
        </w:tc>
        <w:tc>
          <w:tcPr>
            <w:tcW w:w="1275" w:type="dxa"/>
            <w:tcBorders>
              <w:top w:val="double" w:color="203764" w:sz="6" w:space="0"/>
              <w:left w:val="nil"/>
              <w:bottom w:val="nil"/>
              <w:right w:val="double" w:color="203764" w:sz="6" w:space="0"/>
            </w:tcBorders>
            <w:shd w:val="clear" w:color="auto" w:fill="auto"/>
            <w:noWrap/>
            <w:vAlign w:val="center"/>
            <w:hideMark/>
          </w:tcPr>
          <w:p w:rsidRPr="00AE1B2B" w:rsidR="009D3FB5" w:rsidP="00163B94" w:rsidRDefault="009D3FB5" w14:paraId="08DEE70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20%</w:t>
            </w:r>
          </w:p>
        </w:tc>
      </w:tr>
      <w:tr w:rsidRPr="00AE1B2B" w:rsidR="00AE1B2B" w:rsidTr="009D3FB5" w14:paraId="7F14BF32" w14:textId="77777777">
        <w:trPr>
          <w:trHeight w:val="288"/>
          <w:jc w:val="center"/>
        </w:trPr>
        <w:tc>
          <w:tcPr>
            <w:tcW w:w="3068" w:type="dxa"/>
            <w:tcBorders>
              <w:top w:val="nil"/>
              <w:left w:val="double" w:color="203764" w:sz="6" w:space="0"/>
              <w:bottom w:val="double" w:color="203764" w:sz="6" w:space="0"/>
              <w:right w:val="double" w:color="203764" w:sz="6" w:space="0"/>
            </w:tcBorders>
            <w:shd w:val="clear" w:color="000000" w:fill="D9E1F2"/>
            <w:noWrap/>
            <w:vAlign w:val="center"/>
            <w:hideMark/>
          </w:tcPr>
          <w:p w:rsidRPr="00AE1B2B" w:rsidR="009D3FB5" w:rsidP="00163B94" w:rsidRDefault="009D3FB5" w14:paraId="33F8E7A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Reparación integral del daño</w:t>
            </w:r>
          </w:p>
        </w:tc>
        <w:tc>
          <w:tcPr>
            <w:tcW w:w="107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6EDCD01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w:t>
            </w:r>
          </w:p>
        </w:tc>
        <w:tc>
          <w:tcPr>
            <w:tcW w:w="129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28288A1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1134" w:type="dxa"/>
            <w:tcBorders>
              <w:top w:val="nil"/>
              <w:left w:val="nil"/>
              <w:bottom w:val="double" w:color="203764" w:sz="6" w:space="0"/>
              <w:right w:val="nil"/>
            </w:tcBorders>
            <w:shd w:val="clear" w:color="auto" w:fill="auto"/>
            <w:noWrap/>
            <w:vAlign w:val="center"/>
            <w:hideMark/>
          </w:tcPr>
          <w:p w:rsidRPr="00AE1B2B" w:rsidR="009D3FB5" w:rsidP="00163B94" w:rsidRDefault="009D3FB5" w14:paraId="3646EFA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w:t>
            </w:r>
          </w:p>
        </w:tc>
        <w:tc>
          <w:tcPr>
            <w:tcW w:w="1275" w:type="dxa"/>
            <w:tcBorders>
              <w:top w:val="double" w:color="203764" w:sz="6" w:space="0"/>
              <w:left w:val="double" w:color="203764" w:sz="6" w:space="0"/>
              <w:bottom w:val="nil"/>
              <w:right w:val="double" w:color="203764" w:sz="6" w:space="0"/>
            </w:tcBorders>
            <w:shd w:val="clear" w:color="auto" w:fill="auto"/>
            <w:noWrap/>
            <w:vAlign w:val="center"/>
            <w:hideMark/>
          </w:tcPr>
          <w:p w:rsidRPr="00AE1B2B" w:rsidR="009D3FB5" w:rsidP="00163B94" w:rsidRDefault="009D3FB5" w14:paraId="5A65665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r>
      <w:tr w:rsidRPr="00AE1B2B" w:rsidR="00AE1B2B" w:rsidTr="009D3FB5" w14:paraId="4DC16484" w14:textId="77777777">
        <w:trPr>
          <w:trHeight w:val="288"/>
          <w:jc w:val="center"/>
        </w:trPr>
        <w:tc>
          <w:tcPr>
            <w:tcW w:w="3068" w:type="dxa"/>
            <w:tcBorders>
              <w:top w:val="nil"/>
              <w:left w:val="double" w:color="203764" w:sz="6" w:space="0"/>
              <w:bottom w:val="double" w:color="203764" w:sz="6" w:space="0"/>
              <w:right w:val="double" w:color="203764" w:sz="6" w:space="0"/>
            </w:tcBorders>
            <w:shd w:val="clear" w:color="000000" w:fill="D9E1F2"/>
            <w:noWrap/>
            <w:vAlign w:val="center"/>
            <w:hideMark/>
          </w:tcPr>
          <w:p w:rsidRPr="00AE1B2B" w:rsidR="009D3FB5" w:rsidP="00163B94" w:rsidRDefault="009D3FB5" w14:paraId="59F7D0F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Con conciliación</w:t>
            </w:r>
          </w:p>
        </w:tc>
        <w:tc>
          <w:tcPr>
            <w:tcW w:w="107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1318212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1075</w:t>
            </w:r>
          </w:p>
        </w:tc>
        <w:tc>
          <w:tcPr>
            <w:tcW w:w="129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1FBC4FA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36.0%</w:t>
            </w:r>
          </w:p>
        </w:tc>
        <w:tc>
          <w:tcPr>
            <w:tcW w:w="1134" w:type="dxa"/>
            <w:tcBorders>
              <w:top w:val="nil"/>
              <w:left w:val="nil"/>
              <w:bottom w:val="double" w:color="203764" w:sz="6" w:space="0"/>
              <w:right w:val="nil"/>
            </w:tcBorders>
            <w:shd w:val="clear" w:color="auto" w:fill="auto"/>
            <w:noWrap/>
            <w:vAlign w:val="center"/>
            <w:hideMark/>
          </w:tcPr>
          <w:p w:rsidRPr="00AE1B2B" w:rsidR="009D3FB5" w:rsidP="00163B94" w:rsidRDefault="009D3FB5" w14:paraId="1647760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888</w:t>
            </w:r>
          </w:p>
        </w:tc>
        <w:tc>
          <w:tcPr>
            <w:tcW w:w="1275" w:type="dxa"/>
            <w:tcBorders>
              <w:top w:val="double" w:color="203764" w:sz="6" w:space="0"/>
              <w:left w:val="double" w:color="203764" w:sz="6" w:space="0"/>
              <w:bottom w:val="nil"/>
              <w:right w:val="double" w:color="203764" w:sz="6" w:space="0"/>
            </w:tcBorders>
            <w:shd w:val="clear" w:color="auto" w:fill="auto"/>
            <w:noWrap/>
            <w:vAlign w:val="center"/>
            <w:hideMark/>
          </w:tcPr>
          <w:p w:rsidRPr="00AE1B2B" w:rsidR="009D3FB5" w:rsidP="00163B94" w:rsidRDefault="009D3FB5" w14:paraId="4E87E0A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39%</w:t>
            </w:r>
          </w:p>
        </w:tc>
      </w:tr>
      <w:tr w:rsidRPr="00AE1B2B" w:rsidR="00AE1B2B" w:rsidTr="009D3FB5" w14:paraId="1DC32F75" w14:textId="77777777">
        <w:trPr>
          <w:trHeight w:val="288"/>
          <w:jc w:val="center"/>
        </w:trPr>
        <w:tc>
          <w:tcPr>
            <w:tcW w:w="3068" w:type="dxa"/>
            <w:tcBorders>
              <w:top w:val="nil"/>
              <w:left w:val="double" w:color="203764" w:sz="6" w:space="0"/>
              <w:bottom w:val="double" w:color="203764" w:sz="6" w:space="0"/>
              <w:right w:val="double" w:color="203764" w:sz="6" w:space="0"/>
            </w:tcBorders>
            <w:shd w:val="clear" w:color="000000" w:fill="D9E1F2"/>
            <w:noWrap/>
            <w:vAlign w:val="center"/>
            <w:hideMark/>
          </w:tcPr>
          <w:p w:rsidRPr="00AE1B2B" w:rsidR="009D3FB5" w:rsidP="00163B94" w:rsidRDefault="009D3FB5" w14:paraId="0F3A089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No hubo acuerdo</w:t>
            </w:r>
          </w:p>
        </w:tc>
        <w:tc>
          <w:tcPr>
            <w:tcW w:w="107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068BDF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58</w:t>
            </w:r>
          </w:p>
        </w:tc>
        <w:tc>
          <w:tcPr>
            <w:tcW w:w="129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0D4C3AD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1.9%</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079437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34</w:t>
            </w:r>
          </w:p>
        </w:tc>
        <w:tc>
          <w:tcPr>
            <w:tcW w:w="1275" w:type="dxa"/>
            <w:tcBorders>
              <w:top w:val="double" w:color="203764" w:sz="6" w:space="0"/>
              <w:left w:val="nil"/>
              <w:bottom w:val="nil"/>
              <w:right w:val="double" w:color="203764" w:sz="6" w:space="0"/>
            </w:tcBorders>
            <w:shd w:val="clear" w:color="auto" w:fill="auto"/>
            <w:noWrap/>
            <w:vAlign w:val="center"/>
            <w:hideMark/>
          </w:tcPr>
          <w:p w:rsidRPr="00AE1B2B" w:rsidR="009D3FB5" w:rsidP="00163B94" w:rsidRDefault="009D3FB5" w14:paraId="071DD00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w:t>
            </w:r>
          </w:p>
        </w:tc>
      </w:tr>
      <w:tr w:rsidRPr="00AE1B2B" w:rsidR="00AE1B2B" w:rsidTr="009D3FB5" w14:paraId="13AD091C" w14:textId="77777777">
        <w:trPr>
          <w:trHeight w:val="288"/>
          <w:jc w:val="center"/>
        </w:trPr>
        <w:tc>
          <w:tcPr>
            <w:tcW w:w="3068" w:type="dxa"/>
            <w:tcBorders>
              <w:top w:val="nil"/>
              <w:left w:val="double" w:color="203764" w:sz="6" w:space="0"/>
              <w:bottom w:val="double" w:color="203764" w:sz="6" w:space="0"/>
              <w:right w:val="double" w:color="203764" w:sz="6" w:space="0"/>
            </w:tcBorders>
            <w:shd w:val="clear" w:color="000000" w:fill="D9E1F2"/>
            <w:noWrap/>
            <w:vAlign w:val="center"/>
            <w:hideMark/>
          </w:tcPr>
          <w:p w:rsidRPr="00AE1B2B" w:rsidR="009D3FB5" w:rsidP="00163B94" w:rsidRDefault="009D3FB5" w14:paraId="64005FD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No se presentó una de las partes</w:t>
            </w:r>
          </w:p>
        </w:tc>
        <w:tc>
          <w:tcPr>
            <w:tcW w:w="107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7D6987C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49</w:t>
            </w:r>
          </w:p>
        </w:tc>
        <w:tc>
          <w:tcPr>
            <w:tcW w:w="129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5489F05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1.6%</w:t>
            </w:r>
          </w:p>
        </w:tc>
        <w:tc>
          <w:tcPr>
            <w:tcW w:w="1134" w:type="dxa"/>
            <w:tcBorders>
              <w:top w:val="nil"/>
              <w:left w:val="nil"/>
              <w:bottom w:val="double" w:color="203764" w:sz="6" w:space="0"/>
              <w:right w:val="nil"/>
            </w:tcBorders>
            <w:shd w:val="clear" w:color="auto" w:fill="auto"/>
            <w:noWrap/>
            <w:vAlign w:val="center"/>
            <w:hideMark/>
          </w:tcPr>
          <w:p w:rsidRPr="00AE1B2B" w:rsidR="009D3FB5" w:rsidP="00163B94" w:rsidRDefault="009D3FB5" w14:paraId="4AD65C4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14</w:t>
            </w:r>
          </w:p>
        </w:tc>
        <w:tc>
          <w:tcPr>
            <w:tcW w:w="1275" w:type="dxa"/>
            <w:tcBorders>
              <w:top w:val="double" w:color="203764" w:sz="6" w:space="0"/>
              <w:left w:val="double" w:color="203764" w:sz="6" w:space="0"/>
              <w:bottom w:val="nil"/>
              <w:right w:val="double" w:color="203764" w:sz="6" w:space="0"/>
            </w:tcBorders>
            <w:shd w:val="clear" w:color="auto" w:fill="auto"/>
            <w:noWrap/>
            <w:vAlign w:val="center"/>
            <w:hideMark/>
          </w:tcPr>
          <w:p w:rsidRPr="00AE1B2B" w:rsidR="009D3FB5" w:rsidP="00163B94" w:rsidRDefault="009D3FB5" w14:paraId="1C9ED06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w:t>
            </w:r>
          </w:p>
        </w:tc>
      </w:tr>
      <w:tr w:rsidRPr="00AE1B2B" w:rsidR="00AE1B2B" w:rsidTr="009D3FB5" w14:paraId="33BC02D0" w14:textId="77777777">
        <w:trPr>
          <w:trHeight w:val="288"/>
          <w:jc w:val="center"/>
        </w:trPr>
        <w:tc>
          <w:tcPr>
            <w:tcW w:w="3068" w:type="dxa"/>
            <w:tcBorders>
              <w:top w:val="nil"/>
              <w:left w:val="double" w:color="203764" w:sz="6" w:space="0"/>
              <w:bottom w:val="double" w:color="203764" w:sz="6" w:space="0"/>
              <w:right w:val="double" w:color="203764" w:sz="6" w:space="0"/>
            </w:tcBorders>
            <w:shd w:val="clear" w:color="000000" w:fill="D9E1F2"/>
            <w:noWrap/>
            <w:vAlign w:val="center"/>
            <w:hideMark/>
          </w:tcPr>
          <w:p w:rsidRPr="00AE1B2B" w:rsidR="009D3FB5" w:rsidP="00163B94" w:rsidRDefault="009D3FB5" w14:paraId="704331E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Devueltos</w:t>
            </w:r>
          </w:p>
        </w:tc>
        <w:tc>
          <w:tcPr>
            <w:tcW w:w="107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5CDEC76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1236</w:t>
            </w:r>
          </w:p>
        </w:tc>
        <w:tc>
          <w:tcPr>
            <w:tcW w:w="129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6995B6A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41%</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2F8E046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865</w:t>
            </w:r>
          </w:p>
        </w:tc>
        <w:tc>
          <w:tcPr>
            <w:tcW w:w="1275" w:type="dxa"/>
            <w:tcBorders>
              <w:top w:val="double" w:color="203764" w:sz="6" w:space="0"/>
              <w:left w:val="nil"/>
              <w:bottom w:val="nil"/>
              <w:right w:val="double" w:color="203764" w:sz="6" w:space="0"/>
            </w:tcBorders>
            <w:shd w:val="clear" w:color="auto" w:fill="auto"/>
            <w:noWrap/>
            <w:vAlign w:val="center"/>
            <w:hideMark/>
          </w:tcPr>
          <w:p w:rsidRPr="00AE1B2B" w:rsidR="009D3FB5" w:rsidP="00163B94" w:rsidRDefault="009D3FB5" w14:paraId="764AEEE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38%</w:t>
            </w:r>
          </w:p>
        </w:tc>
      </w:tr>
      <w:tr w:rsidRPr="00AE1B2B" w:rsidR="00AE1B2B" w:rsidTr="009D3FB5" w14:paraId="1032357D" w14:textId="77777777">
        <w:trPr>
          <w:trHeight w:val="288"/>
          <w:jc w:val="center"/>
        </w:trPr>
        <w:tc>
          <w:tcPr>
            <w:tcW w:w="3068" w:type="dxa"/>
            <w:tcBorders>
              <w:top w:val="nil"/>
              <w:left w:val="double" w:color="203764" w:sz="6" w:space="0"/>
              <w:bottom w:val="double" w:color="203764" w:sz="6" w:space="0"/>
              <w:right w:val="double" w:color="203764" w:sz="6" w:space="0"/>
            </w:tcBorders>
            <w:shd w:val="clear" w:color="000000" w:fill="D9E1F2"/>
            <w:noWrap/>
            <w:vAlign w:val="center"/>
            <w:hideMark/>
          </w:tcPr>
          <w:p w:rsidRPr="00AE1B2B" w:rsidR="009D3FB5" w:rsidP="00163B94" w:rsidRDefault="009D3FB5" w14:paraId="4EC4B8C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Otros</w:t>
            </w:r>
          </w:p>
        </w:tc>
        <w:tc>
          <w:tcPr>
            <w:tcW w:w="107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6BF2AF7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w:t>
            </w:r>
          </w:p>
        </w:tc>
        <w:tc>
          <w:tcPr>
            <w:tcW w:w="129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5842795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0.2%</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0936DED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29</w:t>
            </w:r>
          </w:p>
        </w:tc>
        <w:tc>
          <w:tcPr>
            <w:tcW w:w="1275" w:type="dxa"/>
            <w:tcBorders>
              <w:top w:val="double" w:color="203764" w:sz="6" w:space="0"/>
              <w:left w:val="nil"/>
              <w:bottom w:val="double" w:color="203764" w:sz="6" w:space="0"/>
              <w:right w:val="double" w:color="203764" w:sz="6" w:space="0"/>
            </w:tcBorders>
            <w:shd w:val="clear" w:color="auto" w:fill="auto"/>
            <w:noWrap/>
            <w:vAlign w:val="center"/>
            <w:hideMark/>
          </w:tcPr>
          <w:p w:rsidRPr="00AE1B2B" w:rsidR="009D3FB5" w:rsidP="00163B94" w:rsidRDefault="009D3FB5" w14:paraId="190FDA3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w:t>
            </w:r>
          </w:p>
        </w:tc>
      </w:tr>
      <w:tr w:rsidRPr="00AE1B2B" w:rsidR="00AE1B2B" w:rsidTr="009D3FB5" w14:paraId="6D8C5E35" w14:textId="77777777">
        <w:trPr>
          <w:trHeight w:val="288"/>
          <w:jc w:val="center"/>
        </w:trPr>
        <w:tc>
          <w:tcPr>
            <w:tcW w:w="3068" w:type="dxa"/>
            <w:tcBorders>
              <w:top w:val="nil"/>
              <w:left w:val="double" w:color="203764" w:sz="6" w:space="0"/>
              <w:bottom w:val="double" w:color="203764" w:sz="6" w:space="0"/>
              <w:right w:val="double" w:color="203764" w:sz="6" w:space="0"/>
            </w:tcBorders>
            <w:shd w:val="clear" w:color="000000" w:fill="D9D9D9"/>
            <w:noWrap/>
            <w:vAlign w:val="center"/>
            <w:hideMark/>
          </w:tcPr>
          <w:p w:rsidRPr="00AE1B2B" w:rsidR="009D3FB5" w:rsidP="00163B94" w:rsidRDefault="009D3FB5" w14:paraId="713AABE9" w14:textId="77777777">
            <w:pPr>
              <w:spacing w:before="120" w:after="120"/>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Totales</w:t>
            </w:r>
          </w:p>
        </w:tc>
        <w:tc>
          <w:tcPr>
            <w:tcW w:w="1072" w:type="dxa"/>
            <w:tcBorders>
              <w:top w:val="nil"/>
              <w:left w:val="nil"/>
              <w:bottom w:val="double" w:color="203764" w:sz="6" w:space="0"/>
              <w:right w:val="double" w:color="203764" w:sz="6" w:space="0"/>
            </w:tcBorders>
            <w:shd w:val="clear" w:color="000000" w:fill="D9D9D9"/>
            <w:noWrap/>
            <w:vAlign w:val="center"/>
            <w:hideMark/>
          </w:tcPr>
          <w:p w:rsidRPr="00AE1B2B" w:rsidR="009D3FB5" w:rsidP="00163B94" w:rsidRDefault="009D3FB5" w14:paraId="72E20FFD" w14:textId="77777777">
            <w:pPr>
              <w:spacing w:before="120" w:after="120"/>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2985</w:t>
            </w:r>
          </w:p>
        </w:tc>
        <w:tc>
          <w:tcPr>
            <w:tcW w:w="1294" w:type="dxa"/>
            <w:tcBorders>
              <w:top w:val="nil"/>
              <w:left w:val="nil"/>
              <w:bottom w:val="double" w:color="203764" w:sz="6" w:space="0"/>
              <w:right w:val="double" w:color="203764" w:sz="6" w:space="0"/>
            </w:tcBorders>
            <w:shd w:val="clear" w:color="000000" w:fill="D9D9D9"/>
            <w:noWrap/>
            <w:vAlign w:val="center"/>
            <w:hideMark/>
          </w:tcPr>
          <w:p w:rsidRPr="00AE1B2B" w:rsidR="009D3FB5" w:rsidP="00163B94" w:rsidRDefault="009D3FB5" w14:paraId="658C50F9" w14:textId="77777777">
            <w:pPr>
              <w:spacing w:before="120" w:after="120"/>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100%</w:t>
            </w:r>
          </w:p>
        </w:tc>
        <w:tc>
          <w:tcPr>
            <w:tcW w:w="1134" w:type="dxa"/>
            <w:tcBorders>
              <w:top w:val="nil"/>
              <w:left w:val="nil"/>
              <w:bottom w:val="double" w:color="203764" w:sz="6" w:space="0"/>
              <w:right w:val="double" w:color="203764" w:sz="6" w:space="0"/>
            </w:tcBorders>
            <w:shd w:val="clear" w:color="000000" w:fill="D9D9D9"/>
            <w:noWrap/>
            <w:vAlign w:val="center"/>
            <w:hideMark/>
          </w:tcPr>
          <w:p w:rsidRPr="00AE1B2B" w:rsidR="009D3FB5" w:rsidP="00163B94" w:rsidRDefault="009D3FB5" w14:paraId="530B483B" w14:textId="77777777">
            <w:pPr>
              <w:spacing w:before="120" w:after="120"/>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2287</w:t>
            </w:r>
          </w:p>
        </w:tc>
        <w:tc>
          <w:tcPr>
            <w:tcW w:w="1275" w:type="dxa"/>
            <w:tcBorders>
              <w:top w:val="nil"/>
              <w:left w:val="nil"/>
              <w:bottom w:val="double" w:color="203764" w:sz="6" w:space="0"/>
              <w:right w:val="double" w:color="203764" w:sz="6" w:space="0"/>
            </w:tcBorders>
            <w:shd w:val="clear" w:color="000000" w:fill="D9D9D9"/>
            <w:noWrap/>
            <w:vAlign w:val="center"/>
            <w:hideMark/>
          </w:tcPr>
          <w:p w:rsidRPr="00AE1B2B" w:rsidR="009D3FB5" w:rsidP="00163B94" w:rsidRDefault="009D3FB5" w14:paraId="72DEEF39" w14:textId="77777777">
            <w:pPr>
              <w:spacing w:before="120" w:after="120"/>
              <w:jc w:val="center"/>
              <w:rPr>
                <w:rFonts w:ascii="Times New Roman" w:hAnsi="Times New Roman" w:eastAsia="Times New Roman" w:cs="Times New Roman"/>
                <w:b/>
                <w:bCs/>
                <w:sz w:val="20"/>
                <w:szCs w:val="20"/>
                <w:lang w:eastAsia="es-CR"/>
              </w:rPr>
            </w:pPr>
            <w:r w:rsidRPr="00AE1B2B">
              <w:rPr>
                <w:rFonts w:ascii="Times New Roman" w:hAnsi="Times New Roman" w:eastAsia="Times New Roman" w:cs="Times New Roman"/>
                <w:b/>
                <w:bCs/>
                <w:sz w:val="20"/>
                <w:szCs w:val="20"/>
                <w:lang w:eastAsia="es-CR"/>
              </w:rPr>
              <w:t>100%</w:t>
            </w:r>
          </w:p>
        </w:tc>
      </w:tr>
    </w:tbl>
    <w:p w:rsidRPr="00AE1B2B" w:rsidR="009D3FB5" w:rsidP="00163B94" w:rsidRDefault="009D3FB5" w14:paraId="3D0704E0" w14:textId="77777777">
      <w:pPr>
        <w:spacing w:before="120" w:after="120"/>
        <w:ind w:left="851" w:right="851" w:firstLine="709"/>
        <w:jc w:val="both"/>
        <w:rPr>
          <w:rFonts w:ascii="Times New Roman" w:hAnsi="Times New Roman" w:eastAsia="Calibri" w:cs="Times New Roman"/>
          <w:bCs/>
          <w:sz w:val="26"/>
          <w:szCs w:val="26"/>
          <w:lang w:eastAsia="es-CR"/>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Modernización Institucional a partir de la información de los anuarios judiciales suministrada por el Sub proceso de Estadística. Nota: Los datos correspondientes al 2020 son preliminares.</w:t>
      </w:r>
    </w:p>
    <w:p w:rsidRPr="00AE1B2B" w:rsidR="009D3FB5" w:rsidP="00163B94" w:rsidRDefault="009D3FB5" w14:paraId="5152D553"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el año 2019 los motivos de término con mayores porcentajes corresponden al rubro devueltos con un 41%, seguido de conciliación con 36% y posteriormente, suspensión del proceso a prueba que tiene un 18%. </w:t>
      </w:r>
    </w:p>
    <w:p w:rsidRPr="00AE1B2B" w:rsidR="009D3FB5" w:rsidP="00163B94" w:rsidRDefault="009D3FB5" w14:paraId="71CEA3B8"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Por su parte, en el año 2020 el rubro con el mayor porcentaje es el de conciliación con un 39%, cifra que aumenta en tres por ciento respecto al dato del 2019, lo que indica que para este 2020 se produjo una mayor conciliación entre las partes; seguido del porcentaje de devueltos, con 38%, el cual en este caso disminuyó tres puntos </w:t>
      </w:r>
      <w:r w:rsidRPr="00AE1B2B">
        <w:rPr>
          <w:rFonts w:ascii="Times New Roman" w:hAnsi="Times New Roman" w:eastAsia="Calibri" w:cs="Times New Roman"/>
          <w:sz w:val="26"/>
          <w:szCs w:val="26"/>
        </w:rPr>
        <w:lastRenderedPageBreak/>
        <w:t xml:space="preserve">porcentuales respecto al dato obtenido en 2019, sin embargo, esta cantidad aún continúa representando un valor significativo en el importe total de terminados, por lo que es necesario continuar trabajando en la capacitación del personal encargado de realizar los tamizajes para asegurarse de que los casos que son remitidos a Justicia Restaurativa cumplen con todos los requisitos necesarios. </w:t>
      </w:r>
    </w:p>
    <w:p w:rsidRPr="00AE1B2B" w:rsidR="009D3FB5" w:rsidP="00163B94" w:rsidRDefault="009D3FB5" w14:paraId="1F6BD07E"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Por último, en tercer lugar, el rubro de suspensión del proceso a prueba se mantiene con un valor de 20%.</w:t>
      </w:r>
    </w:p>
    <w:p w:rsidRPr="00AE1B2B" w:rsidR="009D3FB5" w:rsidP="00163B94" w:rsidRDefault="009D3FB5" w14:paraId="062A34FD"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1C3F7EC4"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4AEEE92A"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4A73C06E"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55AA2370"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7B1E539B"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557A4BEE"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4FBFD595"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 Sobre el particular de las causas devueltas, a continuación, se presenta el detalle: </w:t>
      </w:r>
    </w:p>
    <w:p w:rsidRPr="00AE1B2B" w:rsidR="009D3FB5" w:rsidP="00163B94" w:rsidRDefault="009D3FB5" w14:paraId="0D719318" w14:textId="77777777">
      <w:pPr>
        <w:tabs>
          <w:tab w:val="left" w:pos="0"/>
        </w:tabs>
        <w:spacing w:before="120" w:after="120"/>
        <w:ind w:left="851" w:right="851" w:firstLine="709"/>
        <w:jc w:val="both"/>
        <w:rPr>
          <w:rFonts w:ascii="Times New Roman" w:hAnsi="Times New Roman" w:eastAsia="Calibri" w:cs="Times New Roman"/>
          <w:sz w:val="26"/>
          <w:szCs w:val="26"/>
        </w:rPr>
      </w:pPr>
      <w:bookmarkStart w:name="_Ref31364377" w:id="355"/>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9</w:t>
      </w:r>
      <w:r w:rsidRPr="00AE1B2B">
        <w:rPr>
          <w:rFonts w:ascii="Times New Roman" w:hAnsi="Times New Roman" w:eastAsia="Calibri" w:cs="Times New Roman"/>
          <w:b/>
          <w:bCs/>
          <w:sz w:val="26"/>
          <w:szCs w:val="26"/>
        </w:rPr>
        <w:fldChar w:fldCharType="end"/>
      </w:r>
      <w:bookmarkEnd w:id="355"/>
      <w:r w:rsidRPr="00AE1B2B">
        <w:rPr>
          <w:rFonts w:ascii="Times New Roman" w:hAnsi="Times New Roman" w:eastAsia="Calibri" w:cs="Times New Roman"/>
          <w:b/>
          <w:bCs/>
          <w:sz w:val="26"/>
          <w:szCs w:val="26"/>
        </w:rPr>
        <w:t>. Motivo de las devoluciones de las causas terminadas en Justicia Restaurativa Penal de Adultos para el periodo 2019-2020.</w:t>
      </w:r>
    </w:p>
    <w:tbl>
      <w:tblPr>
        <w:tblW w:w="9758" w:type="dxa"/>
        <w:jc w:val="center"/>
        <w:tblCellMar>
          <w:left w:w="70" w:type="dxa"/>
          <w:right w:w="70" w:type="dxa"/>
        </w:tblCellMar>
        <w:tblLook w:val="04A0" w:firstRow="1" w:lastRow="0" w:firstColumn="1" w:lastColumn="0" w:noHBand="0" w:noVBand="1"/>
      </w:tblPr>
      <w:tblGrid>
        <w:gridCol w:w="938"/>
        <w:gridCol w:w="4460"/>
        <w:gridCol w:w="1100"/>
        <w:gridCol w:w="1134"/>
        <w:gridCol w:w="992"/>
        <w:gridCol w:w="1134"/>
      </w:tblGrid>
      <w:tr w:rsidRPr="00AE1B2B" w:rsidR="00AE1B2B" w:rsidTr="009D3FB5" w14:paraId="4550509D" w14:textId="77777777">
        <w:trPr>
          <w:trHeight w:val="310"/>
          <w:jc w:val="center"/>
        </w:trPr>
        <w:tc>
          <w:tcPr>
            <w:tcW w:w="938" w:type="dxa"/>
            <w:tcBorders>
              <w:top w:val="double" w:color="203764" w:sz="6" w:space="0"/>
              <w:left w:val="double" w:color="203764" w:sz="6" w:space="0"/>
              <w:bottom w:val="double" w:color="203764" w:sz="6" w:space="0"/>
              <w:right w:val="double" w:color="203764" w:sz="6" w:space="0"/>
            </w:tcBorders>
            <w:shd w:val="clear" w:color="000000" w:fill="365F91"/>
            <w:noWrap/>
            <w:vAlign w:val="center"/>
            <w:hideMark/>
          </w:tcPr>
          <w:p w:rsidRPr="00AE1B2B" w:rsidR="009D3FB5" w:rsidP="00163B94" w:rsidRDefault="009D3FB5" w14:paraId="5924AAA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Instancia</w:t>
            </w:r>
          </w:p>
        </w:tc>
        <w:tc>
          <w:tcPr>
            <w:tcW w:w="4460" w:type="dxa"/>
            <w:tcBorders>
              <w:top w:val="double" w:color="203764" w:sz="6" w:space="0"/>
              <w:left w:val="nil"/>
              <w:bottom w:val="double" w:color="203764" w:sz="6" w:space="0"/>
              <w:right w:val="double" w:color="203764" w:sz="6" w:space="0"/>
            </w:tcBorders>
            <w:shd w:val="clear" w:color="000000" w:fill="365F91"/>
            <w:noWrap/>
            <w:vAlign w:val="center"/>
            <w:hideMark/>
          </w:tcPr>
          <w:p w:rsidRPr="00AE1B2B" w:rsidR="009D3FB5" w:rsidP="00163B94" w:rsidRDefault="009D3FB5" w14:paraId="6EB3A59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Motivo de devolución</w:t>
            </w:r>
          </w:p>
        </w:tc>
        <w:tc>
          <w:tcPr>
            <w:tcW w:w="1100" w:type="dxa"/>
            <w:tcBorders>
              <w:top w:val="double" w:color="203764" w:sz="6" w:space="0"/>
              <w:left w:val="nil"/>
              <w:bottom w:val="double" w:color="203764" w:sz="6" w:space="0"/>
              <w:right w:val="double" w:color="203764" w:sz="6" w:space="0"/>
            </w:tcBorders>
            <w:shd w:val="clear" w:color="000000" w:fill="365F91"/>
            <w:noWrap/>
            <w:vAlign w:val="center"/>
            <w:hideMark/>
          </w:tcPr>
          <w:p w:rsidRPr="00AE1B2B" w:rsidR="009D3FB5" w:rsidP="00163B94" w:rsidRDefault="009D3FB5" w14:paraId="7CE4019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2019</w:t>
            </w:r>
          </w:p>
        </w:tc>
        <w:tc>
          <w:tcPr>
            <w:tcW w:w="1134" w:type="dxa"/>
            <w:tcBorders>
              <w:top w:val="double" w:color="203764" w:sz="6" w:space="0"/>
              <w:left w:val="nil"/>
              <w:bottom w:val="double" w:color="203764" w:sz="6" w:space="0"/>
              <w:right w:val="double" w:color="203764" w:sz="6" w:space="0"/>
            </w:tcBorders>
            <w:shd w:val="clear" w:color="000000" w:fill="365F91"/>
            <w:noWrap/>
            <w:vAlign w:val="center"/>
            <w:hideMark/>
          </w:tcPr>
          <w:p w:rsidRPr="00AE1B2B" w:rsidR="009D3FB5" w:rsidP="00163B94" w:rsidRDefault="009D3FB5" w14:paraId="521E148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Porcentaje</w:t>
            </w:r>
          </w:p>
        </w:tc>
        <w:tc>
          <w:tcPr>
            <w:tcW w:w="992" w:type="dxa"/>
            <w:tcBorders>
              <w:top w:val="double" w:color="203764" w:sz="6" w:space="0"/>
              <w:left w:val="nil"/>
              <w:bottom w:val="double" w:color="203764" w:sz="6" w:space="0"/>
              <w:right w:val="double" w:color="203764" w:sz="6" w:space="0"/>
            </w:tcBorders>
            <w:shd w:val="clear" w:color="000000" w:fill="365F91"/>
            <w:noWrap/>
            <w:vAlign w:val="center"/>
            <w:hideMark/>
          </w:tcPr>
          <w:p w:rsidRPr="00AE1B2B" w:rsidR="009D3FB5" w:rsidP="00163B94" w:rsidRDefault="009D3FB5" w14:paraId="6706B06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2020</w:t>
            </w:r>
          </w:p>
        </w:tc>
        <w:tc>
          <w:tcPr>
            <w:tcW w:w="1134" w:type="dxa"/>
            <w:tcBorders>
              <w:top w:val="double" w:color="203764" w:sz="6" w:space="0"/>
              <w:left w:val="nil"/>
              <w:bottom w:val="double" w:color="203764" w:sz="6" w:space="0"/>
              <w:right w:val="double" w:color="203764" w:sz="6" w:space="0"/>
            </w:tcBorders>
            <w:shd w:val="clear" w:color="000000" w:fill="365F91"/>
            <w:noWrap/>
            <w:vAlign w:val="center"/>
            <w:hideMark/>
          </w:tcPr>
          <w:p w:rsidRPr="00AE1B2B" w:rsidR="009D3FB5" w:rsidP="00163B94" w:rsidRDefault="009D3FB5" w14:paraId="06AA10B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Porcentaje</w:t>
            </w:r>
          </w:p>
        </w:tc>
      </w:tr>
      <w:tr w:rsidRPr="00AE1B2B" w:rsidR="00AE1B2B" w:rsidTr="009D3FB5" w14:paraId="2908D64F" w14:textId="77777777">
        <w:trPr>
          <w:trHeight w:val="310"/>
          <w:jc w:val="center"/>
        </w:trPr>
        <w:tc>
          <w:tcPr>
            <w:tcW w:w="938" w:type="dxa"/>
            <w:vMerge w:val="restart"/>
            <w:tcBorders>
              <w:top w:val="nil"/>
              <w:left w:val="double" w:color="203764" w:sz="6" w:space="0"/>
              <w:bottom w:val="double" w:color="203764" w:sz="6" w:space="0"/>
              <w:right w:val="double" w:color="203764" w:sz="6" w:space="0"/>
            </w:tcBorders>
            <w:shd w:val="clear" w:color="000000" w:fill="D9E1F2"/>
            <w:noWrap/>
            <w:textDirection w:val="btLr"/>
            <w:vAlign w:val="center"/>
            <w:hideMark/>
          </w:tcPr>
          <w:p w:rsidRPr="00AE1B2B" w:rsidR="009D3FB5" w:rsidP="00163B94" w:rsidRDefault="009D3FB5" w14:paraId="353174D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Ministerio Público</w:t>
            </w:r>
          </w:p>
        </w:tc>
        <w:tc>
          <w:tcPr>
            <w:tcW w:w="44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BB7720" w14:paraId="455C6C31" w14:textId="09DC9CF2">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 </w:t>
            </w:r>
            <w:r w:rsidRPr="00AE1B2B" w:rsidR="009D3FB5">
              <w:rPr>
                <w:rFonts w:ascii="Times New Roman" w:hAnsi="Times New Roman" w:eastAsia="Times New Roman" w:cs="Times New Roman"/>
                <w:sz w:val="20"/>
                <w:szCs w:val="20"/>
                <w:lang w:eastAsia="es-CR"/>
              </w:rPr>
              <w:t>Por estrategia de la defensa particular</w:t>
            </w:r>
          </w:p>
        </w:tc>
        <w:tc>
          <w:tcPr>
            <w:tcW w:w="110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05AF78F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12</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37C00AB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w:t>
            </w:r>
          </w:p>
        </w:tc>
        <w:tc>
          <w:tcPr>
            <w:tcW w:w="99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5D682C2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0071CE6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1.2%</w:t>
            </w:r>
          </w:p>
        </w:tc>
      </w:tr>
      <w:tr w:rsidRPr="00AE1B2B" w:rsidR="00AE1B2B" w:rsidTr="009D3FB5" w14:paraId="5F4BDDB8" w14:textId="77777777">
        <w:trPr>
          <w:trHeight w:val="310"/>
          <w:jc w:val="center"/>
        </w:trPr>
        <w:tc>
          <w:tcPr>
            <w:tcW w:w="938" w:type="dxa"/>
            <w:vMerge/>
            <w:tcBorders>
              <w:top w:val="nil"/>
              <w:left w:val="double" w:color="203764" w:sz="6" w:space="0"/>
              <w:bottom w:val="double" w:color="203764" w:sz="6" w:space="0"/>
              <w:right w:val="double" w:color="203764" w:sz="6" w:space="0"/>
            </w:tcBorders>
            <w:vAlign w:val="center"/>
            <w:hideMark/>
          </w:tcPr>
          <w:p w:rsidRPr="00AE1B2B" w:rsidR="009D3FB5" w:rsidP="00163B94" w:rsidRDefault="009D3FB5" w14:paraId="53125CB5" w14:textId="77777777">
            <w:pPr>
              <w:spacing w:before="120" w:after="120"/>
              <w:rPr>
                <w:rFonts w:ascii="Times New Roman" w:hAnsi="Times New Roman" w:eastAsia="Times New Roman" w:cs="Times New Roman"/>
                <w:sz w:val="20"/>
                <w:szCs w:val="20"/>
                <w:lang w:eastAsia="es-CR"/>
              </w:rPr>
            </w:pPr>
          </w:p>
        </w:tc>
        <w:tc>
          <w:tcPr>
            <w:tcW w:w="44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BB7720" w14:paraId="027B6017" w14:textId="3FC18BE0">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 </w:t>
            </w:r>
            <w:r w:rsidRPr="00AE1B2B" w:rsidR="009D3FB5">
              <w:rPr>
                <w:rFonts w:ascii="Times New Roman" w:hAnsi="Times New Roman" w:eastAsia="Times New Roman" w:cs="Times New Roman"/>
                <w:sz w:val="20"/>
                <w:szCs w:val="20"/>
                <w:lang w:eastAsia="es-CR"/>
              </w:rPr>
              <w:t>Falta viabilidad probatoria</w:t>
            </w:r>
          </w:p>
        </w:tc>
        <w:tc>
          <w:tcPr>
            <w:tcW w:w="110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5222035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54</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7DE7B25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4.4%</w:t>
            </w:r>
          </w:p>
        </w:tc>
        <w:tc>
          <w:tcPr>
            <w:tcW w:w="99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3CB0D2B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11</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6690E27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1.3%</w:t>
            </w:r>
          </w:p>
        </w:tc>
      </w:tr>
      <w:tr w:rsidRPr="00AE1B2B" w:rsidR="00AE1B2B" w:rsidTr="009D3FB5" w14:paraId="50F48A6A" w14:textId="77777777">
        <w:trPr>
          <w:trHeight w:val="310"/>
          <w:jc w:val="center"/>
        </w:trPr>
        <w:tc>
          <w:tcPr>
            <w:tcW w:w="938" w:type="dxa"/>
            <w:vMerge/>
            <w:tcBorders>
              <w:top w:val="nil"/>
              <w:left w:val="double" w:color="203764" w:sz="6" w:space="0"/>
              <w:bottom w:val="double" w:color="203764" w:sz="6" w:space="0"/>
              <w:right w:val="double" w:color="203764" w:sz="6" w:space="0"/>
            </w:tcBorders>
            <w:vAlign w:val="center"/>
            <w:hideMark/>
          </w:tcPr>
          <w:p w:rsidRPr="00AE1B2B" w:rsidR="009D3FB5" w:rsidP="00163B94" w:rsidRDefault="009D3FB5" w14:paraId="7C85BF6C" w14:textId="77777777">
            <w:pPr>
              <w:spacing w:before="120" w:after="120"/>
              <w:rPr>
                <w:rFonts w:ascii="Times New Roman" w:hAnsi="Times New Roman" w:eastAsia="Times New Roman" w:cs="Times New Roman"/>
                <w:sz w:val="20"/>
                <w:szCs w:val="20"/>
                <w:lang w:eastAsia="es-CR"/>
              </w:rPr>
            </w:pPr>
          </w:p>
        </w:tc>
        <w:tc>
          <w:tcPr>
            <w:tcW w:w="44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BB7720" w14:paraId="320D7B6F" w14:textId="05385F5D">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 </w:t>
            </w:r>
            <w:r w:rsidRPr="00AE1B2B" w:rsidR="009D3FB5">
              <w:rPr>
                <w:rFonts w:ascii="Times New Roman" w:hAnsi="Times New Roman" w:eastAsia="Times New Roman" w:cs="Times New Roman"/>
                <w:sz w:val="20"/>
                <w:szCs w:val="20"/>
                <w:lang w:eastAsia="es-CR"/>
              </w:rPr>
              <w:t>No se presenta a cita persona imputada</w:t>
            </w:r>
          </w:p>
        </w:tc>
        <w:tc>
          <w:tcPr>
            <w:tcW w:w="110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A452C1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38</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5AB83A6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3.1%</w:t>
            </w:r>
          </w:p>
        </w:tc>
        <w:tc>
          <w:tcPr>
            <w:tcW w:w="99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68A4698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23</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0671A5D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2.7%</w:t>
            </w:r>
          </w:p>
        </w:tc>
      </w:tr>
      <w:tr w:rsidRPr="00AE1B2B" w:rsidR="00AE1B2B" w:rsidTr="009D3FB5" w14:paraId="24925E3B" w14:textId="77777777">
        <w:trPr>
          <w:trHeight w:val="310"/>
          <w:jc w:val="center"/>
        </w:trPr>
        <w:tc>
          <w:tcPr>
            <w:tcW w:w="938" w:type="dxa"/>
            <w:vMerge/>
            <w:tcBorders>
              <w:top w:val="nil"/>
              <w:left w:val="double" w:color="203764" w:sz="6" w:space="0"/>
              <w:bottom w:val="double" w:color="203764" w:sz="6" w:space="0"/>
              <w:right w:val="double" w:color="203764" w:sz="6" w:space="0"/>
            </w:tcBorders>
            <w:vAlign w:val="center"/>
            <w:hideMark/>
          </w:tcPr>
          <w:p w:rsidRPr="00AE1B2B" w:rsidR="009D3FB5" w:rsidP="00163B94" w:rsidRDefault="009D3FB5" w14:paraId="506EE5C4" w14:textId="77777777">
            <w:pPr>
              <w:spacing w:before="120" w:after="120"/>
              <w:rPr>
                <w:rFonts w:ascii="Times New Roman" w:hAnsi="Times New Roman" w:eastAsia="Times New Roman" w:cs="Times New Roman"/>
                <w:sz w:val="20"/>
                <w:szCs w:val="20"/>
                <w:lang w:eastAsia="es-CR"/>
              </w:rPr>
            </w:pPr>
          </w:p>
        </w:tc>
        <w:tc>
          <w:tcPr>
            <w:tcW w:w="44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BB7720" w14:paraId="49716133" w14:textId="0283912F">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 </w:t>
            </w:r>
            <w:r w:rsidRPr="00AE1B2B" w:rsidR="009D3FB5">
              <w:rPr>
                <w:rFonts w:ascii="Times New Roman" w:hAnsi="Times New Roman" w:eastAsia="Times New Roman" w:cs="Times New Roman"/>
                <w:sz w:val="20"/>
                <w:szCs w:val="20"/>
                <w:lang w:eastAsia="es-CR"/>
              </w:rPr>
              <w:t>No acepta persona imputada</w:t>
            </w:r>
          </w:p>
        </w:tc>
        <w:tc>
          <w:tcPr>
            <w:tcW w:w="110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1DAAC8E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61</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3BEB1F6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4.9%</w:t>
            </w:r>
          </w:p>
        </w:tc>
        <w:tc>
          <w:tcPr>
            <w:tcW w:w="99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620EDE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42</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7853092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4.9%</w:t>
            </w:r>
          </w:p>
        </w:tc>
      </w:tr>
      <w:tr w:rsidRPr="00AE1B2B" w:rsidR="00AE1B2B" w:rsidTr="009D3FB5" w14:paraId="2D5DC05D" w14:textId="77777777">
        <w:trPr>
          <w:trHeight w:val="310"/>
          <w:jc w:val="center"/>
        </w:trPr>
        <w:tc>
          <w:tcPr>
            <w:tcW w:w="938" w:type="dxa"/>
            <w:vMerge/>
            <w:tcBorders>
              <w:top w:val="nil"/>
              <w:left w:val="double" w:color="203764" w:sz="6" w:space="0"/>
              <w:bottom w:val="double" w:color="203764" w:sz="6" w:space="0"/>
              <w:right w:val="double" w:color="203764" w:sz="6" w:space="0"/>
            </w:tcBorders>
            <w:vAlign w:val="center"/>
            <w:hideMark/>
          </w:tcPr>
          <w:p w:rsidRPr="00AE1B2B" w:rsidR="009D3FB5" w:rsidP="00163B94" w:rsidRDefault="009D3FB5" w14:paraId="1E35C119" w14:textId="77777777">
            <w:pPr>
              <w:spacing w:before="120" w:after="120"/>
              <w:rPr>
                <w:rFonts w:ascii="Times New Roman" w:hAnsi="Times New Roman" w:eastAsia="Times New Roman" w:cs="Times New Roman"/>
                <w:sz w:val="20"/>
                <w:szCs w:val="20"/>
                <w:lang w:eastAsia="es-CR"/>
              </w:rPr>
            </w:pPr>
          </w:p>
        </w:tc>
        <w:tc>
          <w:tcPr>
            <w:tcW w:w="44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BB7720" w14:paraId="0F3D9063" w14:textId="2BF279D8">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 </w:t>
            </w:r>
            <w:r w:rsidRPr="00AE1B2B" w:rsidR="009D3FB5">
              <w:rPr>
                <w:rFonts w:ascii="Times New Roman" w:hAnsi="Times New Roman" w:eastAsia="Times New Roman" w:cs="Times New Roman"/>
                <w:sz w:val="20"/>
                <w:szCs w:val="20"/>
                <w:lang w:eastAsia="es-CR"/>
              </w:rPr>
              <w:t>No acepta victima</w:t>
            </w:r>
          </w:p>
        </w:tc>
        <w:tc>
          <w:tcPr>
            <w:tcW w:w="110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7D8D13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60</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63DE63F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4.9%</w:t>
            </w:r>
          </w:p>
        </w:tc>
        <w:tc>
          <w:tcPr>
            <w:tcW w:w="99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65AD339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40</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0A24C8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4.6%</w:t>
            </w:r>
          </w:p>
        </w:tc>
      </w:tr>
      <w:tr w:rsidRPr="00AE1B2B" w:rsidR="00AE1B2B" w:rsidTr="009D3FB5" w14:paraId="6EB0726B" w14:textId="77777777">
        <w:trPr>
          <w:trHeight w:val="310"/>
          <w:jc w:val="center"/>
        </w:trPr>
        <w:tc>
          <w:tcPr>
            <w:tcW w:w="938" w:type="dxa"/>
            <w:vMerge/>
            <w:tcBorders>
              <w:top w:val="nil"/>
              <w:left w:val="double" w:color="203764" w:sz="6" w:space="0"/>
              <w:bottom w:val="double" w:color="203764" w:sz="6" w:space="0"/>
              <w:right w:val="double" w:color="203764" w:sz="6" w:space="0"/>
            </w:tcBorders>
            <w:vAlign w:val="center"/>
            <w:hideMark/>
          </w:tcPr>
          <w:p w:rsidRPr="00AE1B2B" w:rsidR="009D3FB5" w:rsidP="00163B94" w:rsidRDefault="009D3FB5" w14:paraId="00A97EEA" w14:textId="77777777">
            <w:pPr>
              <w:spacing w:before="120" w:after="120"/>
              <w:rPr>
                <w:rFonts w:ascii="Times New Roman" w:hAnsi="Times New Roman" w:eastAsia="Times New Roman" w:cs="Times New Roman"/>
                <w:sz w:val="20"/>
                <w:szCs w:val="20"/>
                <w:lang w:eastAsia="es-CR"/>
              </w:rPr>
            </w:pPr>
          </w:p>
        </w:tc>
        <w:tc>
          <w:tcPr>
            <w:tcW w:w="44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BB7720" w14:paraId="0176834B" w14:textId="7A49DF63">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 </w:t>
            </w:r>
            <w:r w:rsidRPr="00AE1B2B" w:rsidR="009D3FB5">
              <w:rPr>
                <w:rFonts w:ascii="Times New Roman" w:hAnsi="Times New Roman" w:eastAsia="Times New Roman" w:cs="Times New Roman"/>
                <w:sz w:val="20"/>
                <w:szCs w:val="20"/>
                <w:lang w:eastAsia="es-CR"/>
              </w:rPr>
              <w:t>No se logró ubicar a imputado/a</w:t>
            </w:r>
          </w:p>
        </w:tc>
        <w:tc>
          <w:tcPr>
            <w:tcW w:w="110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3A97952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61</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64412A3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4.9%</w:t>
            </w:r>
          </w:p>
        </w:tc>
        <w:tc>
          <w:tcPr>
            <w:tcW w:w="99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32FDE1B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25</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50C9F45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2.9%</w:t>
            </w:r>
          </w:p>
        </w:tc>
      </w:tr>
      <w:tr w:rsidRPr="00AE1B2B" w:rsidR="00AE1B2B" w:rsidTr="009D3FB5" w14:paraId="2038152B" w14:textId="77777777">
        <w:trPr>
          <w:trHeight w:val="310"/>
          <w:jc w:val="center"/>
        </w:trPr>
        <w:tc>
          <w:tcPr>
            <w:tcW w:w="938" w:type="dxa"/>
            <w:vMerge/>
            <w:tcBorders>
              <w:top w:val="nil"/>
              <w:left w:val="double" w:color="203764" w:sz="6" w:space="0"/>
              <w:bottom w:val="double" w:color="203764" w:sz="6" w:space="0"/>
              <w:right w:val="double" w:color="203764" w:sz="6" w:space="0"/>
            </w:tcBorders>
            <w:vAlign w:val="center"/>
            <w:hideMark/>
          </w:tcPr>
          <w:p w:rsidRPr="00AE1B2B" w:rsidR="009D3FB5" w:rsidP="00163B94" w:rsidRDefault="009D3FB5" w14:paraId="02225C86" w14:textId="77777777">
            <w:pPr>
              <w:spacing w:before="120" w:after="120"/>
              <w:rPr>
                <w:rFonts w:ascii="Times New Roman" w:hAnsi="Times New Roman" w:eastAsia="Times New Roman" w:cs="Times New Roman"/>
                <w:sz w:val="20"/>
                <w:szCs w:val="20"/>
                <w:lang w:eastAsia="es-CR"/>
              </w:rPr>
            </w:pPr>
          </w:p>
        </w:tc>
        <w:tc>
          <w:tcPr>
            <w:tcW w:w="44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BB7720" w14:paraId="7B4438A6" w14:textId="054220B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 </w:t>
            </w:r>
            <w:r w:rsidRPr="00AE1B2B" w:rsidR="009D3FB5">
              <w:rPr>
                <w:rFonts w:ascii="Times New Roman" w:hAnsi="Times New Roman" w:eastAsia="Times New Roman" w:cs="Times New Roman"/>
                <w:sz w:val="20"/>
                <w:szCs w:val="20"/>
                <w:lang w:eastAsia="es-CR"/>
              </w:rPr>
              <w:t>No se logró ubicar a ofendido/a</w:t>
            </w:r>
          </w:p>
        </w:tc>
        <w:tc>
          <w:tcPr>
            <w:tcW w:w="110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033E2C7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30</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033BF0C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2.4%</w:t>
            </w:r>
          </w:p>
        </w:tc>
        <w:tc>
          <w:tcPr>
            <w:tcW w:w="99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2D91A4B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17</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768F2D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2.0%</w:t>
            </w:r>
          </w:p>
        </w:tc>
      </w:tr>
      <w:tr w:rsidRPr="00AE1B2B" w:rsidR="00AE1B2B" w:rsidTr="009D3FB5" w14:paraId="3AC40B1A" w14:textId="77777777">
        <w:trPr>
          <w:trHeight w:val="310"/>
          <w:jc w:val="center"/>
        </w:trPr>
        <w:tc>
          <w:tcPr>
            <w:tcW w:w="938" w:type="dxa"/>
            <w:vMerge/>
            <w:tcBorders>
              <w:top w:val="nil"/>
              <w:left w:val="double" w:color="203764" w:sz="6" w:space="0"/>
              <w:bottom w:val="double" w:color="203764" w:sz="6" w:space="0"/>
              <w:right w:val="double" w:color="203764" w:sz="6" w:space="0"/>
            </w:tcBorders>
            <w:vAlign w:val="center"/>
            <w:hideMark/>
          </w:tcPr>
          <w:p w:rsidRPr="00AE1B2B" w:rsidR="009D3FB5" w:rsidP="00163B94" w:rsidRDefault="009D3FB5" w14:paraId="2290D2E9" w14:textId="77777777">
            <w:pPr>
              <w:spacing w:before="120" w:after="120"/>
              <w:rPr>
                <w:rFonts w:ascii="Times New Roman" w:hAnsi="Times New Roman" w:eastAsia="Times New Roman" w:cs="Times New Roman"/>
                <w:sz w:val="20"/>
                <w:szCs w:val="20"/>
                <w:lang w:eastAsia="es-CR"/>
              </w:rPr>
            </w:pPr>
          </w:p>
        </w:tc>
        <w:tc>
          <w:tcPr>
            <w:tcW w:w="44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BB7720" w14:paraId="28F808A4" w14:textId="3F2C3436">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 </w:t>
            </w:r>
            <w:r w:rsidRPr="00AE1B2B" w:rsidR="009D3FB5">
              <w:rPr>
                <w:rFonts w:ascii="Times New Roman" w:hAnsi="Times New Roman" w:eastAsia="Times New Roman" w:cs="Times New Roman"/>
                <w:sz w:val="20"/>
                <w:szCs w:val="20"/>
                <w:lang w:eastAsia="es-CR"/>
              </w:rPr>
              <w:t>No cumple con los requisitos de admisibilidad</w:t>
            </w:r>
          </w:p>
        </w:tc>
        <w:tc>
          <w:tcPr>
            <w:tcW w:w="110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E7046C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277</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45934C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22.4%</w:t>
            </w:r>
          </w:p>
        </w:tc>
        <w:tc>
          <w:tcPr>
            <w:tcW w:w="99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2D49F43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203</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092A672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23.5%</w:t>
            </w:r>
          </w:p>
        </w:tc>
      </w:tr>
      <w:tr w:rsidRPr="00AE1B2B" w:rsidR="00AE1B2B" w:rsidTr="009D3FB5" w14:paraId="73A40C39" w14:textId="77777777">
        <w:trPr>
          <w:trHeight w:val="310"/>
          <w:jc w:val="center"/>
        </w:trPr>
        <w:tc>
          <w:tcPr>
            <w:tcW w:w="938" w:type="dxa"/>
            <w:vMerge w:val="restart"/>
            <w:tcBorders>
              <w:top w:val="nil"/>
              <w:left w:val="double" w:color="203764" w:sz="6" w:space="0"/>
              <w:bottom w:val="double" w:color="203764" w:sz="6" w:space="0"/>
              <w:right w:val="double" w:color="203764" w:sz="6" w:space="0"/>
            </w:tcBorders>
            <w:shd w:val="clear" w:color="000000" w:fill="D9E1F2"/>
            <w:noWrap/>
            <w:textDirection w:val="btLr"/>
            <w:vAlign w:val="center"/>
            <w:hideMark/>
          </w:tcPr>
          <w:p w:rsidRPr="00AE1B2B" w:rsidR="009D3FB5" w:rsidP="00163B94" w:rsidRDefault="009D3FB5" w14:paraId="0DEAA65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Defensa </w:t>
            </w:r>
          </w:p>
        </w:tc>
        <w:tc>
          <w:tcPr>
            <w:tcW w:w="44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BB7720" w14:paraId="7DFAF192" w14:textId="160BB601">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 </w:t>
            </w:r>
            <w:r w:rsidRPr="00AE1B2B" w:rsidR="009D3FB5">
              <w:rPr>
                <w:rFonts w:ascii="Times New Roman" w:hAnsi="Times New Roman" w:eastAsia="Times New Roman" w:cs="Times New Roman"/>
                <w:sz w:val="20"/>
                <w:szCs w:val="20"/>
                <w:lang w:eastAsia="es-CR"/>
              </w:rPr>
              <w:t>Ausencia de prueba determinante</w:t>
            </w:r>
          </w:p>
        </w:tc>
        <w:tc>
          <w:tcPr>
            <w:tcW w:w="110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1F127C2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18</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2332BA3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1.5%</w:t>
            </w:r>
          </w:p>
        </w:tc>
        <w:tc>
          <w:tcPr>
            <w:tcW w:w="99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6C1EB11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9</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707C826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w:t>
            </w:r>
          </w:p>
        </w:tc>
      </w:tr>
      <w:tr w:rsidRPr="00AE1B2B" w:rsidR="00AE1B2B" w:rsidTr="009D3FB5" w14:paraId="5E247A42" w14:textId="77777777">
        <w:trPr>
          <w:trHeight w:val="310"/>
          <w:jc w:val="center"/>
        </w:trPr>
        <w:tc>
          <w:tcPr>
            <w:tcW w:w="938" w:type="dxa"/>
            <w:vMerge/>
            <w:tcBorders>
              <w:top w:val="nil"/>
              <w:left w:val="double" w:color="203764" w:sz="6" w:space="0"/>
              <w:bottom w:val="double" w:color="203764" w:sz="6" w:space="0"/>
              <w:right w:val="double" w:color="203764" w:sz="6" w:space="0"/>
            </w:tcBorders>
            <w:vAlign w:val="center"/>
            <w:hideMark/>
          </w:tcPr>
          <w:p w:rsidRPr="00AE1B2B" w:rsidR="009D3FB5" w:rsidP="00163B94" w:rsidRDefault="009D3FB5" w14:paraId="7775E050" w14:textId="77777777">
            <w:pPr>
              <w:spacing w:before="120" w:after="120"/>
              <w:rPr>
                <w:rFonts w:ascii="Times New Roman" w:hAnsi="Times New Roman" w:eastAsia="Times New Roman" w:cs="Times New Roman"/>
                <w:sz w:val="20"/>
                <w:szCs w:val="20"/>
                <w:lang w:eastAsia="es-CR"/>
              </w:rPr>
            </w:pPr>
          </w:p>
        </w:tc>
        <w:tc>
          <w:tcPr>
            <w:tcW w:w="44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BB7720" w14:paraId="002B55C7" w14:textId="19975700">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 </w:t>
            </w:r>
            <w:r w:rsidRPr="00AE1B2B" w:rsidR="009D3FB5">
              <w:rPr>
                <w:rFonts w:ascii="Times New Roman" w:hAnsi="Times New Roman" w:eastAsia="Times New Roman" w:cs="Times New Roman"/>
                <w:sz w:val="20"/>
                <w:szCs w:val="20"/>
                <w:lang w:eastAsia="es-CR"/>
              </w:rPr>
              <w:t>No se logró ubicar imputado/a</w:t>
            </w:r>
          </w:p>
        </w:tc>
        <w:tc>
          <w:tcPr>
            <w:tcW w:w="110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1986586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130</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51F97E1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10.5%</w:t>
            </w:r>
          </w:p>
        </w:tc>
        <w:tc>
          <w:tcPr>
            <w:tcW w:w="99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6B6651E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108</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F612DB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12.5%</w:t>
            </w:r>
          </w:p>
        </w:tc>
      </w:tr>
      <w:tr w:rsidRPr="00AE1B2B" w:rsidR="00AE1B2B" w:rsidTr="009D3FB5" w14:paraId="1CF24E71" w14:textId="77777777">
        <w:trPr>
          <w:trHeight w:val="310"/>
          <w:jc w:val="center"/>
        </w:trPr>
        <w:tc>
          <w:tcPr>
            <w:tcW w:w="938" w:type="dxa"/>
            <w:vMerge/>
            <w:tcBorders>
              <w:top w:val="nil"/>
              <w:left w:val="double" w:color="203764" w:sz="6" w:space="0"/>
              <w:bottom w:val="double" w:color="203764" w:sz="6" w:space="0"/>
              <w:right w:val="double" w:color="203764" w:sz="6" w:space="0"/>
            </w:tcBorders>
            <w:vAlign w:val="center"/>
            <w:hideMark/>
          </w:tcPr>
          <w:p w:rsidRPr="00AE1B2B" w:rsidR="009D3FB5" w:rsidP="00163B94" w:rsidRDefault="009D3FB5" w14:paraId="38732492" w14:textId="77777777">
            <w:pPr>
              <w:spacing w:before="120" w:after="120"/>
              <w:rPr>
                <w:rFonts w:ascii="Times New Roman" w:hAnsi="Times New Roman" w:eastAsia="Times New Roman" w:cs="Times New Roman"/>
                <w:sz w:val="20"/>
                <w:szCs w:val="20"/>
                <w:lang w:eastAsia="es-CR"/>
              </w:rPr>
            </w:pPr>
          </w:p>
        </w:tc>
        <w:tc>
          <w:tcPr>
            <w:tcW w:w="44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BB7720" w14:paraId="344ED2C7" w14:textId="0D22F295">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 </w:t>
            </w:r>
            <w:r w:rsidRPr="00AE1B2B" w:rsidR="009D3FB5">
              <w:rPr>
                <w:rFonts w:ascii="Times New Roman" w:hAnsi="Times New Roman" w:eastAsia="Times New Roman" w:cs="Times New Roman"/>
                <w:sz w:val="20"/>
                <w:szCs w:val="20"/>
                <w:lang w:eastAsia="es-CR"/>
              </w:rPr>
              <w:t>Pers. imputada no se apersonó a la cita</w:t>
            </w:r>
          </w:p>
        </w:tc>
        <w:tc>
          <w:tcPr>
            <w:tcW w:w="110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EF8D8A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86</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3B9D9AD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7.0%</w:t>
            </w:r>
          </w:p>
        </w:tc>
        <w:tc>
          <w:tcPr>
            <w:tcW w:w="99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284A588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55</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7337A9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6.4%</w:t>
            </w:r>
          </w:p>
        </w:tc>
      </w:tr>
      <w:tr w:rsidRPr="00AE1B2B" w:rsidR="00AE1B2B" w:rsidTr="009D3FB5" w14:paraId="50686A3B" w14:textId="77777777">
        <w:trPr>
          <w:trHeight w:val="310"/>
          <w:jc w:val="center"/>
        </w:trPr>
        <w:tc>
          <w:tcPr>
            <w:tcW w:w="938" w:type="dxa"/>
            <w:vMerge/>
            <w:tcBorders>
              <w:top w:val="nil"/>
              <w:left w:val="double" w:color="203764" w:sz="6" w:space="0"/>
              <w:bottom w:val="double" w:color="203764" w:sz="6" w:space="0"/>
              <w:right w:val="double" w:color="203764" w:sz="6" w:space="0"/>
            </w:tcBorders>
            <w:vAlign w:val="center"/>
            <w:hideMark/>
          </w:tcPr>
          <w:p w:rsidRPr="00AE1B2B" w:rsidR="009D3FB5" w:rsidP="00163B94" w:rsidRDefault="009D3FB5" w14:paraId="16B81441" w14:textId="77777777">
            <w:pPr>
              <w:spacing w:before="120" w:after="120"/>
              <w:rPr>
                <w:rFonts w:ascii="Times New Roman" w:hAnsi="Times New Roman" w:eastAsia="Times New Roman" w:cs="Times New Roman"/>
                <w:sz w:val="20"/>
                <w:szCs w:val="20"/>
                <w:lang w:eastAsia="es-CR"/>
              </w:rPr>
            </w:pPr>
          </w:p>
        </w:tc>
        <w:tc>
          <w:tcPr>
            <w:tcW w:w="44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BB7720" w14:paraId="2EEDB4DE" w14:textId="55CACFED">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 </w:t>
            </w:r>
            <w:r w:rsidRPr="00AE1B2B" w:rsidR="009D3FB5">
              <w:rPr>
                <w:rFonts w:ascii="Times New Roman" w:hAnsi="Times New Roman" w:eastAsia="Times New Roman" w:cs="Times New Roman"/>
                <w:sz w:val="20"/>
                <w:szCs w:val="20"/>
                <w:lang w:eastAsia="es-CR"/>
              </w:rPr>
              <w:t>Pers. imputada no se acoge al programa</w:t>
            </w:r>
          </w:p>
        </w:tc>
        <w:tc>
          <w:tcPr>
            <w:tcW w:w="110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7040656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277</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717F794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22.4%</w:t>
            </w:r>
          </w:p>
        </w:tc>
        <w:tc>
          <w:tcPr>
            <w:tcW w:w="99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25BCC9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207</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56C4A12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23.9%</w:t>
            </w:r>
          </w:p>
        </w:tc>
      </w:tr>
      <w:tr w:rsidRPr="00AE1B2B" w:rsidR="00AE1B2B" w:rsidTr="009D3FB5" w14:paraId="26CFB645" w14:textId="77777777">
        <w:trPr>
          <w:trHeight w:val="310"/>
          <w:jc w:val="center"/>
        </w:trPr>
        <w:tc>
          <w:tcPr>
            <w:tcW w:w="938" w:type="dxa"/>
            <w:vMerge/>
            <w:tcBorders>
              <w:top w:val="nil"/>
              <w:left w:val="double" w:color="203764" w:sz="6" w:space="0"/>
              <w:bottom w:val="double" w:color="203764" w:sz="6" w:space="0"/>
              <w:right w:val="double" w:color="203764" w:sz="6" w:space="0"/>
            </w:tcBorders>
            <w:vAlign w:val="center"/>
            <w:hideMark/>
          </w:tcPr>
          <w:p w:rsidRPr="00AE1B2B" w:rsidR="009D3FB5" w:rsidP="00163B94" w:rsidRDefault="009D3FB5" w14:paraId="50C03153" w14:textId="77777777">
            <w:pPr>
              <w:spacing w:before="120" w:after="120"/>
              <w:rPr>
                <w:rFonts w:ascii="Times New Roman" w:hAnsi="Times New Roman" w:eastAsia="Times New Roman" w:cs="Times New Roman"/>
                <w:sz w:val="20"/>
                <w:szCs w:val="20"/>
                <w:lang w:eastAsia="es-CR"/>
              </w:rPr>
            </w:pPr>
          </w:p>
        </w:tc>
        <w:tc>
          <w:tcPr>
            <w:tcW w:w="44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BB7720" w14:paraId="78311976" w14:textId="3451F9D2">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 </w:t>
            </w:r>
            <w:r w:rsidRPr="00AE1B2B" w:rsidR="009D3FB5">
              <w:rPr>
                <w:rFonts w:ascii="Times New Roman" w:hAnsi="Times New Roman" w:eastAsia="Times New Roman" w:cs="Times New Roman"/>
                <w:sz w:val="20"/>
                <w:szCs w:val="20"/>
                <w:lang w:eastAsia="es-CR"/>
              </w:rPr>
              <w:t>Por estrategia de la defensa pública</w:t>
            </w:r>
          </w:p>
        </w:tc>
        <w:tc>
          <w:tcPr>
            <w:tcW w:w="110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0EAABBA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84</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6EEC6C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6.8%</w:t>
            </w:r>
          </w:p>
        </w:tc>
        <w:tc>
          <w:tcPr>
            <w:tcW w:w="99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514C551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66</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786A732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7.6%</w:t>
            </w:r>
          </w:p>
        </w:tc>
      </w:tr>
      <w:tr w:rsidRPr="00AE1B2B" w:rsidR="00AE1B2B" w:rsidTr="009D3FB5" w14:paraId="288975A1" w14:textId="77777777">
        <w:trPr>
          <w:trHeight w:val="1035"/>
          <w:jc w:val="center"/>
        </w:trPr>
        <w:tc>
          <w:tcPr>
            <w:tcW w:w="938" w:type="dxa"/>
            <w:tcBorders>
              <w:top w:val="nil"/>
              <w:left w:val="double" w:color="203764" w:sz="6" w:space="0"/>
              <w:bottom w:val="double" w:color="203764" w:sz="6" w:space="0"/>
              <w:right w:val="double" w:color="203764" w:sz="6" w:space="0"/>
            </w:tcBorders>
            <w:shd w:val="clear" w:color="000000" w:fill="D9E1F2"/>
            <w:textDirection w:val="btLr"/>
            <w:vAlign w:val="center"/>
            <w:hideMark/>
          </w:tcPr>
          <w:p w:rsidRPr="00AE1B2B" w:rsidR="009D3FB5" w:rsidP="00163B94" w:rsidRDefault="009D3FB5" w14:paraId="0990438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Dupla </w:t>
            </w:r>
            <w:r w:rsidRPr="00AE1B2B">
              <w:rPr>
                <w:rFonts w:ascii="Times New Roman" w:hAnsi="Times New Roman" w:eastAsia="Times New Roman" w:cs="Times New Roman"/>
                <w:sz w:val="20"/>
                <w:szCs w:val="20"/>
                <w:lang w:eastAsia="es-CR"/>
              </w:rPr>
              <w:br/>
            </w:r>
            <w:r w:rsidRPr="00AE1B2B">
              <w:rPr>
                <w:rFonts w:ascii="Times New Roman" w:hAnsi="Times New Roman" w:eastAsia="Times New Roman" w:cs="Times New Roman"/>
                <w:sz w:val="20"/>
                <w:szCs w:val="20"/>
                <w:lang w:eastAsia="es-CR"/>
              </w:rPr>
              <w:t>Psicosocial</w:t>
            </w:r>
          </w:p>
        </w:tc>
        <w:tc>
          <w:tcPr>
            <w:tcW w:w="44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BB7720" w14:paraId="7E7AFF9B" w14:textId="6FB9C0F3">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xml:space="preserve"> </w:t>
            </w:r>
            <w:r w:rsidRPr="00AE1B2B" w:rsidR="009D3FB5">
              <w:rPr>
                <w:rFonts w:ascii="Times New Roman" w:hAnsi="Times New Roman" w:eastAsia="Times New Roman" w:cs="Times New Roman"/>
                <w:sz w:val="20"/>
                <w:szCs w:val="20"/>
                <w:lang w:eastAsia="es-CR"/>
              </w:rPr>
              <w:t>Por criterio técnico-psicosocial</w:t>
            </w:r>
          </w:p>
        </w:tc>
        <w:tc>
          <w:tcPr>
            <w:tcW w:w="110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FACE9A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48</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378C676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3.9%</w:t>
            </w:r>
          </w:p>
        </w:tc>
        <w:tc>
          <w:tcPr>
            <w:tcW w:w="992"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206711E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49</w:t>
            </w:r>
          </w:p>
        </w:tc>
        <w:tc>
          <w:tcPr>
            <w:tcW w:w="1134"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2D2611E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5.7%</w:t>
            </w:r>
          </w:p>
        </w:tc>
      </w:tr>
    </w:tbl>
    <w:p w:rsidRPr="00AE1B2B" w:rsidR="009D3FB5" w:rsidP="00163B94" w:rsidRDefault="009D3FB5" w14:paraId="3C72697F"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b/>
          <w:bCs/>
          <w:sz w:val="26"/>
          <w:szCs w:val="26"/>
        </w:rPr>
        <w:t>Fuente:</w:t>
      </w:r>
      <w:r w:rsidRPr="00AE1B2B">
        <w:rPr>
          <w:rFonts w:ascii="Times New Roman" w:hAnsi="Times New Roman" w:eastAsia="Calibri" w:cs="Times New Roman"/>
          <w:sz w:val="26"/>
          <w:szCs w:val="26"/>
        </w:rPr>
        <w:t xml:space="preserve"> Modernización Institucional a partir de la información de los anuarios judiciales suministrada por el Sub proceso de Estadística. Nota: Los datos correspondientes al 2020 son preliminares.</w:t>
      </w:r>
    </w:p>
    <w:p w:rsidRPr="00AE1B2B" w:rsidR="009D3FB5" w:rsidP="00163B94" w:rsidRDefault="009D3FB5" w14:paraId="0C45F5F8"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En el 2019 los motivos de “No cumple con los requisitos de admisibilidad” y “Persona imputada no se acoge al programa”, representan un 23.5% y 23.9% respectivamente</w:t>
      </w:r>
      <w:r w:rsidRPr="00AE1B2B" w:rsidDel="00D35A4B">
        <w:rPr>
          <w:rFonts w:ascii="Times New Roman" w:hAnsi="Times New Roman" w:eastAsia="Calibri" w:cs="Times New Roman"/>
          <w:sz w:val="26"/>
          <w:szCs w:val="26"/>
        </w:rPr>
        <w:t xml:space="preserve"> </w:t>
      </w:r>
      <w:r w:rsidRPr="00AE1B2B">
        <w:rPr>
          <w:rFonts w:ascii="Times New Roman" w:hAnsi="Times New Roman" w:eastAsia="Calibri" w:cs="Times New Roman"/>
          <w:sz w:val="26"/>
          <w:szCs w:val="26"/>
        </w:rPr>
        <w:t>, en el caso del primero, se genera a instancia del Ministerio Público, dentro de la evaluación de las causas admisibles a tramitarse por la vía de Justicia Restaurativa. Para el año 2020 este primer rubro alcanzó un 23.5%, cantidad que supera en 1.1% el dato para el 2019, lo que evidencia un detrimento en la metodología de evaluación que se usa para remitir los casos a Justicia Restaurativa; por lo que es importante trabajar fuertemente en este tema para disminuir el ingreso de causas que no cuentan con las características para ser tramitadas a través de Justicia Restaurativa.</w:t>
      </w:r>
    </w:p>
    <w:p w:rsidRPr="00AE1B2B" w:rsidR="009D3FB5" w:rsidP="00163B94" w:rsidRDefault="009D3FB5" w14:paraId="72F9F3D9"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En el caso de del rubro persona imputada no se acoge al programa, el porcentaje también aumenta, en este caso en 1.5%, sin embargo, este rubro no depende directamente de las funciones propias de la oficina.</w:t>
      </w:r>
    </w:p>
    <w:p w:rsidRPr="00AE1B2B" w:rsidR="009D3FB5" w:rsidP="00163B94" w:rsidRDefault="009D3FB5" w14:paraId="7A0CB3FB"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Por otra parte, se presenta a continuación el detalle de la entrada por Circuito Judicial para Justicia Restaurativa considerando el 38% de devolución que fue identificado en el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_Ref63966934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Cuadro 8</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 para esto se tomaron los datos estadísticos correspondientes al año 2020.</w:t>
      </w:r>
    </w:p>
    <w:p w:rsidRPr="00AE1B2B" w:rsidR="009D3FB5" w:rsidP="00163B94" w:rsidRDefault="009D3FB5" w14:paraId="5461909B" w14:textId="77777777">
      <w:pPr>
        <w:spacing w:before="120" w:after="120"/>
        <w:ind w:left="851" w:right="851" w:firstLine="709"/>
        <w:jc w:val="both"/>
        <w:rPr>
          <w:rFonts w:ascii="Times New Roman" w:hAnsi="Times New Roman" w:eastAsia="Calibri" w:cs="Times New Roman"/>
          <w:b/>
          <w:bCs/>
          <w:sz w:val="26"/>
          <w:szCs w:val="26"/>
        </w:rPr>
      </w:pPr>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10</w:t>
      </w:r>
      <w:r w:rsidRPr="00AE1B2B">
        <w:rPr>
          <w:rFonts w:ascii="Times New Roman" w:hAnsi="Times New Roman" w:eastAsia="Calibri" w:cs="Times New Roman"/>
          <w:b/>
          <w:bCs/>
          <w:sz w:val="26"/>
          <w:szCs w:val="26"/>
        </w:rPr>
        <w:fldChar w:fldCharType="end"/>
      </w:r>
      <w:r w:rsidRPr="00AE1B2B">
        <w:rPr>
          <w:rFonts w:ascii="Times New Roman" w:hAnsi="Times New Roman" w:eastAsia="Calibri" w:cs="Times New Roman"/>
          <w:b/>
          <w:bCs/>
          <w:sz w:val="26"/>
          <w:szCs w:val="26"/>
        </w:rPr>
        <w:t>. Entrada promedio mensual de Justicia Restaurativa por Circuito Judicial considerando la reducción del 38% correspondiente al porcentaje de devolución de asuntos.</w:t>
      </w:r>
    </w:p>
    <w:tbl>
      <w:tblPr>
        <w:tblW w:w="8340" w:type="dxa"/>
        <w:jc w:val="center"/>
        <w:tblCellMar>
          <w:left w:w="70" w:type="dxa"/>
          <w:right w:w="70" w:type="dxa"/>
        </w:tblCellMar>
        <w:tblLook w:val="04A0" w:firstRow="1" w:lastRow="0" w:firstColumn="1" w:lastColumn="0" w:noHBand="0" w:noVBand="1"/>
      </w:tblPr>
      <w:tblGrid>
        <w:gridCol w:w="3800"/>
        <w:gridCol w:w="1340"/>
        <w:gridCol w:w="1600"/>
        <w:gridCol w:w="1600"/>
      </w:tblGrid>
      <w:tr w:rsidRPr="00AE1B2B" w:rsidR="00AE1B2B" w:rsidTr="009D3FB5" w14:paraId="6BEFB0B9" w14:textId="77777777">
        <w:trPr>
          <w:trHeight w:val="540"/>
          <w:jc w:val="center"/>
        </w:trPr>
        <w:tc>
          <w:tcPr>
            <w:tcW w:w="3800" w:type="dxa"/>
            <w:tcBorders>
              <w:top w:val="double" w:color="1F4E78" w:sz="6" w:space="0"/>
              <w:left w:val="double" w:color="1F4E78" w:sz="6" w:space="0"/>
              <w:bottom w:val="nil"/>
              <w:right w:val="double" w:color="1F4E78" w:sz="6" w:space="0"/>
            </w:tcBorders>
            <w:shd w:val="clear" w:color="000000" w:fill="365F91"/>
            <w:noWrap/>
            <w:vAlign w:val="center"/>
            <w:hideMark/>
          </w:tcPr>
          <w:p w:rsidRPr="00AE1B2B" w:rsidR="009D3FB5" w:rsidP="00163B94" w:rsidRDefault="009D3FB5" w14:paraId="3DF55DDB" w14:textId="77777777">
            <w:pPr>
              <w:spacing w:before="120" w:after="120"/>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Circuito Judicial</w:t>
            </w:r>
          </w:p>
        </w:tc>
        <w:tc>
          <w:tcPr>
            <w:tcW w:w="1340" w:type="dxa"/>
            <w:tcBorders>
              <w:top w:val="double" w:color="305496" w:sz="6" w:space="0"/>
              <w:left w:val="nil"/>
              <w:bottom w:val="nil"/>
              <w:right w:val="double" w:color="305496" w:sz="6" w:space="0"/>
            </w:tcBorders>
            <w:shd w:val="clear" w:color="000000" w:fill="365F91"/>
            <w:noWrap/>
            <w:vAlign w:val="center"/>
            <w:hideMark/>
          </w:tcPr>
          <w:p w:rsidRPr="00AE1B2B" w:rsidR="009D3FB5" w:rsidP="00163B94" w:rsidRDefault="009D3FB5" w14:paraId="091E625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Entrada bruta</w:t>
            </w:r>
          </w:p>
        </w:tc>
        <w:tc>
          <w:tcPr>
            <w:tcW w:w="1600" w:type="dxa"/>
            <w:tcBorders>
              <w:top w:val="double" w:color="305496" w:sz="6" w:space="0"/>
              <w:left w:val="nil"/>
              <w:bottom w:val="nil"/>
              <w:right w:val="double" w:color="305496" w:sz="6" w:space="0"/>
            </w:tcBorders>
            <w:shd w:val="clear" w:color="000000" w:fill="365F91"/>
            <w:noWrap/>
            <w:vAlign w:val="center"/>
            <w:hideMark/>
          </w:tcPr>
          <w:p w:rsidRPr="00AE1B2B" w:rsidR="009D3FB5" w:rsidP="00163B94" w:rsidRDefault="009D3FB5" w14:paraId="6DAF7DE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Devolución 38%</w:t>
            </w:r>
          </w:p>
        </w:tc>
        <w:tc>
          <w:tcPr>
            <w:tcW w:w="1600" w:type="dxa"/>
            <w:tcBorders>
              <w:top w:val="double" w:color="305496" w:sz="6" w:space="0"/>
              <w:left w:val="nil"/>
              <w:bottom w:val="nil"/>
              <w:right w:val="double" w:color="305496" w:sz="6" w:space="0"/>
            </w:tcBorders>
            <w:shd w:val="clear" w:color="000000" w:fill="365F91"/>
            <w:noWrap/>
            <w:vAlign w:val="center"/>
            <w:hideMark/>
          </w:tcPr>
          <w:p w:rsidRPr="00AE1B2B" w:rsidR="009D3FB5" w:rsidP="00163B94" w:rsidRDefault="009D3FB5" w14:paraId="007D8F5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Entrada real</w:t>
            </w:r>
          </w:p>
        </w:tc>
      </w:tr>
      <w:tr w:rsidRPr="00AE1B2B" w:rsidR="00AE1B2B" w:rsidTr="009D3FB5" w14:paraId="3A51F286" w14:textId="77777777">
        <w:trPr>
          <w:trHeight w:val="310"/>
          <w:jc w:val="center"/>
        </w:trPr>
        <w:tc>
          <w:tcPr>
            <w:tcW w:w="3800" w:type="dxa"/>
            <w:tcBorders>
              <w:top w:val="double" w:color="305496" w:sz="6" w:space="0"/>
              <w:left w:val="double" w:color="305496" w:sz="6" w:space="0"/>
              <w:bottom w:val="double" w:color="305496" w:sz="6" w:space="0"/>
              <w:right w:val="double" w:color="305496" w:sz="6" w:space="0"/>
            </w:tcBorders>
            <w:shd w:val="clear" w:color="000000" w:fill="D9E1F2"/>
            <w:noWrap/>
            <w:vAlign w:val="center"/>
            <w:hideMark/>
          </w:tcPr>
          <w:p w:rsidRPr="00AE1B2B" w:rsidR="009D3FB5" w:rsidP="00163B94" w:rsidRDefault="009D3FB5" w14:paraId="655BA00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lastRenderedPageBreak/>
              <w:t>II Circuito Judicial de San José</w:t>
            </w:r>
          </w:p>
        </w:tc>
        <w:tc>
          <w:tcPr>
            <w:tcW w:w="1340" w:type="dxa"/>
            <w:tcBorders>
              <w:top w:val="double" w:color="305496" w:sz="6" w:space="0"/>
              <w:left w:val="nil"/>
              <w:bottom w:val="double" w:color="305496" w:sz="6" w:space="0"/>
              <w:right w:val="double" w:color="305496" w:sz="6" w:space="0"/>
            </w:tcBorders>
            <w:shd w:val="clear" w:color="000000" w:fill="FFFFFF"/>
            <w:noWrap/>
            <w:vAlign w:val="center"/>
            <w:hideMark/>
          </w:tcPr>
          <w:p w:rsidRPr="00AE1B2B" w:rsidR="009D3FB5" w:rsidP="00163B94" w:rsidRDefault="009D3FB5" w14:paraId="0717AE8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36</w:t>
            </w:r>
          </w:p>
        </w:tc>
        <w:tc>
          <w:tcPr>
            <w:tcW w:w="1600" w:type="dxa"/>
            <w:tcBorders>
              <w:top w:val="double" w:color="305496" w:sz="6" w:space="0"/>
              <w:left w:val="nil"/>
              <w:bottom w:val="double" w:color="305496" w:sz="6" w:space="0"/>
              <w:right w:val="double" w:color="305496" w:sz="6" w:space="0"/>
            </w:tcBorders>
            <w:shd w:val="clear" w:color="000000" w:fill="FFFFFF"/>
            <w:noWrap/>
            <w:vAlign w:val="center"/>
            <w:hideMark/>
          </w:tcPr>
          <w:p w:rsidRPr="00AE1B2B" w:rsidR="009D3FB5" w:rsidP="00163B94" w:rsidRDefault="009D3FB5" w14:paraId="328F0D1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14</w:t>
            </w:r>
          </w:p>
        </w:tc>
        <w:tc>
          <w:tcPr>
            <w:tcW w:w="1600" w:type="dxa"/>
            <w:tcBorders>
              <w:top w:val="double" w:color="305496" w:sz="6" w:space="0"/>
              <w:left w:val="nil"/>
              <w:bottom w:val="double" w:color="305496" w:sz="6" w:space="0"/>
              <w:right w:val="double" w:color="305496" w:sz="6" w:space="0"/>
            </w:tcBorders>
            <w:shd w:val="clear" w:color="000000" w:fill="FFFFFF"/>
            <w:noWrap/>
            <w:vAlign w:val="center"/>
            <w:hideMark/>
          </w:tcPr>
          <w:p w:rsidRPr="00AE1B2B" w:rsidR="009D3FB5" w:rsidP="00163B94" w:rsidRDefault="009D3FB5" w14:paraId="34F51C7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22</w:t>
            </w:r>
          </w:p>
        </w:tc>
      </w:tr>
      <w:tr w:rsidRPr="00AE1B2B" w:rsidR="00AE1B2B" w:rsidTr="009D3FB5" w14:paraId="51D59E2A" w14:textId="77777777">
        <w:trPr>
          <w:trHeight w:val="310"/>
          <w:jc w:val="center"/>
        </w:trPr>
        <w:tc>
          <w:tcPr>
            <w:tcW w:w="3800" w:type="dxa"/>
            <w:tcBorders>
              <w:top w:val="nil"/>
              <w:left w:val="double" w:color="305496" w:sz="6" w:space="0"/>
              <w:bottom w:val="nil"/>
              <w:right w:val="double" w:color="305496" w:sz="6" w:space="0"/>
            </w:tcBorders>
            <w:shd w:val="clear" w:color="000000" w:fill="D9E1F2"/>
            <w:noWrap/>
            <w:vAlign w:val="center"/>
            <w:hideMark/>
          </w:tcPr>
          <w:p w:rsidRPr="00AE1B2B" w:rsidR="009D3FB5" w:rsidP="00163B94" w:rsidRDefault="009D3FB5" w14:paraId="74D1CAB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III Circuito Judicial de San José</w:t>
            </w:r>
          </w:p>
        </w:tc>
        <w:tc>
          <w:tcPr>
            <w:tcW w:w="1340"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2F5B4FC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28</w:t>
            </w:r>
          </w:p>
        </w:tc>
        <w:tc>
          <w:tcPr>
            <w:tcW w:w="1600" w:type="dxa"/>
            <w:tcBorders>
              <w:top w:val="nil"/>
              <w:left w:val="nil"/>
              <w:bottom w:val="double" w:color="305496" w:sz="6" w:space="0"/>
              <w:right w:val="double" w:color="305496" w:sz="6" w:space="0"/>
            </w:tcBorders>
            <w:shd w:val="clear" w:color="000000" w:fill="FFFFFF"/>
            <w:noWrap/>
            <w:vAlign w:val="center"/>
            <w:hideMark/>
          </w:tcPr>
          <w:p w:rsidRPr="00AE1B2B" w:rsidR="009D3FB5" w:rsidP="00163B94" w:rsidRDefault="009D3FB5" w14:paraId="5D10A29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11</w:t>
            </w:r>
          </w:p>
        </w:tc>
        <w:tc>
          <w:tcPr>
            <w:tcW w:w="1600" w:type="dxa"/>
            <w:tcBorders>
              <w:top w:val="nil"/>
              <w:left w:val="nil"/>
              <w:bottom w:val="double" w:color="305496" w:sz="6" w:space="0"/>
              <w:right w:val="double" w:color="305496" w:sz="6" w:space="0"/>
            </w:tcBorders>
            <w:shd w:val="clear" w:color="000000" w:fill="FFFFFF"/>
            <w:noWrap/>
            <w:vAlign w:val="center"/>
            <w:hideMark/>
          </w:tcPr>
          <w:p w:rsidRPr="00AE1B2B" w:rsidR="009D3FB5" w:rsidP="00163B94" w:rsidRDefault="009D3FB5" w14:paraId="623978A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18</w:t>
            </w:r>
          </w:p>
        </w:tc>
      </w:tr>
      <w:tr w:rsidRPr="00AE1B2B" w:rsidR="00AE1B2B" w:rsidTr="009D3FB5" w14:paraId="6FBF67FC" w14:textId="77777777">
        <w:trPr>
          <w:trHeight w:val="310"/>
          <w:jc w:val="center"/>
        </w:trPr>
        <w:tc>
          <w:tcPr>
            <w:tcW w:w="3800" w:type="dxa"/>
            <w:tcBorders>
              <w:top w:val="double" w:color="305496" w:sz="6" w:space="0"/>
              <w:left w:val="double" w:color="305496" w:sz="6" w:space="0"/>
              <w:bottom w:val="double" w:color="305496" w:sz="6" w:space="0"/>
              <w:right w:val="double" w:color="305496" w:sz="6" w:space="0"/>
            </w:tcBorders>
            <w:shd w:val="clear" w:color="000000" w:fill="D9E1F2"/>
            <w:noWrap/>
            <w:vAlign w:val="center"/>
            <w:hideMark/>
          </w:tcPr>
          <w:p w:rsidRPr="00AE1B2B" w:rsidR="009D3FB5" w:rsidP="00163B94" w:rsidRDefault="009D3FB5" w14:paraId="0B219DC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Cartago</w:t>
            </w:r>
          </w:p>
        </w:tc>
        <w:tc>
          <w:tcPr>
            <w:tcW w:w="1340"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23ADCF8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26</w:t>
            </w:r>
          </w:p>
        </w:tc>
        <w:tc>
          <w:tcPr>
            <w:tcW w:w="1600" w:type="dxa"/>
            <w:tcBorders>
              <w:top w:val="nil"/>
              <w:left w:val="nil"/>
              <w:bottom w:val="double" w:color="305496" w:sz="6" w:space="0"/>
              <w:right w:val="double" w:color="305496" w:sz="6" w:space="0"/>
            </w:tcBorders>
            <w:shd w:val="clear" w:color="000000" w:fill="FFFFFF"/>
            <w:noWrap/>
            <w:vAlign w:val="center"/>
            <w:hideMark/>
          </w:tcPr>
          <w:p w:rsidRPr="00AE1B2B" w:rsidR="009D3FB5" w:rsidP="00163B94" w:rsidRDefault="009D3FB5" w14:paraId="5E00374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w:t>
            </w:r>
          </w:p>
        </w:tc>
        <w:tc>
          <w:tcPr>
            <w:tcW w:w="1600" w:type="dxa"/>
            <w:tcBorders>
              <w:top w:val="nil"/>
              <w:left w:val="nil"/>
              <w:bottom w:val="double" w:color="305496" w:sz="6" w:space="0"/>
              <w:right w:val="double" w:color="305496" w:sz="6" w:space="0"/>
            </w:tcBorders>
            <w:shd w:val="clear" w:color="000000" w:fill="FFFFFF"/>
            <w:noWrap/>
            <w:vAlign w:val="center"/>
            <w:hideMark/>
          </w:tcPr>
          <w:p w:rsidRPr="00AE1B2B" w:rsidR="009D3FB5" w:rsidP="00163B94" w:rsidRDefault="009D3FB5" w14:paraId="49557D9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16</w:t>
            </w:r>
          </w:p>
        </w:tc>
      </w:tr>
      <w:tr w:rsidRPr="00AE1B2B" w:rsidR="00AE1B2B" w:rsidTr="009D3FB5" w14:paraId="49FF4A76" w14:textId="77777777">
        <w:trPr>
          <w:trHeight w:val="310"/>
          <w:jc w:val="center"/>
        </w:trPr>
        <w:tc>
          <w:tcPr>
            <w:tcW w:w="3800" w:type="dxa"/>
            <w:tcBorders>
              <w:top w:val="nil"/>
              <w:left w:val="double" w:color="305496" w:sz="6" w:space="0"/>
              <w:bottom w:val="double" w:color="305496" w:sz="6" w:space="0"/>
              <w:right w:val="double" w:color="305496" w:sz="6" w:space="0"/>
            </w:tcBorders>
            <w:shd w:val="clear" w:color="000000" w:fill="D9E1F2"/>
            <w:noWrap/>
            <w:vAlign w:val="center"/>
            <w:hideMark/>
          </w:tcPr>
          <w:p w:rsidRPr="00AE1B2B" w:rsidR="009D3FB5" w:rsidP="00163B94" w:rsidRDefault="009D3FB5" w14:paraId="1D052AD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Heredia</w:t>
            </w:r>
          </w:p>
        </w:tc>
        <w:tc>
          <w:tcPr>
            <w:tcW w:w="1340"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6A49D43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29</w:t>
            </w:r>
          </w:p>
        </w:tc>
        <w:tc>
          <w:tcPr>
            <w:tcW w:w="1600" w:type="dxa"/>
            <w:tcBorders>
              <w:top w:val="nil"/>
              <w:left w:val="nil"/>
              <w:bottom w:val="double" w:color="305496" w:sz="6" w:space="0"/>
              <w:right w:val="double" w:color="305496" w:sz="6" w:space="0"/>
            </w:tcBorders>
            <w:shd w:val="clear" w:color="000000" w:fill="FFFFFF"/>
            <w:noWrap/>
            <w:vAlign w:val="center"/>
            <w:hideMark/>
          </w:tcPr>
          <w:p w:rsidRPr="00AE1B2B" w:rsidR="009D3FB5" w:rsidP="00163B94" w:rsidRDefault="009D3FB5" w14:paraId="2D5F5F2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11</w:t>
            </w:r>
          </w:p>
        </w:tc>
        <w:tc>
          <w:tcPr>
            <w:tcW w:w="1600" w:type="dxa"/>
            <w:tcBorders>
              <w:top w:val="nil"/>
              <w:left w:val="nil"/>
              <w:bottom w:val="double" w:color="305496" w:sz="6" w:space="0"/>
              <w:right w:val="double" w:color="305496" w:sz="6" w:space="0"/>
            </w:tcBorders>
            <w:shd w:val="clear" w:color="000000" w:fill="FFFFFF"/>
            <w:noWrap/>
            <w:vAlign w:val="center"/>
            <w:hideMark/>
          </w:tcPr>
          <w:p w:rsidRPr="00AE1B2B" w:rsidR="009D3FB5" w:rsidP="00163B94" w:rsidRDefault="009D3FB5" w14:paraId="3ED344B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18</w:t>
            </w:r>
          </w:p>
        </w:tc>
      </w:tr>
      <w:tr w:rsidRPr="00AE1B2B" w:rsidR="00AE1B2B" w:rsidTr="009D3FB5" w14:paraId="0F5F8581" w14:textId="77777777">
        <w:trPr>
          <w:trHeight w:val="310"/>
          <w:jc w:val="center"/>
        </w:trPr>
        <w:tc>
          <w:tcPr>
            <w:tcW w:w="3800" w:type="dxa"/>
            <w:tcBorders>
              <w:top w:val="nil"/>
              <w:left w:val="double" w:color="305496" w:sz="6" w:space="0"/>
              <w:bottom w:val="double" w:color="305496" w:sz="6" w:space="0"/>
              <w:right w:val="double" w:color="305496" w:sz="6" w:space="0"/>
            </w:tcBorders>
            <w:shd w:val="clear" w:color="000000" w:fill="D9E1F2"/>
            <w:noWrap/>
            <w:vAlign w:val="center"/>
            <w:hideMark/>
          </w:tcPr>
          <w:p w:rsidRPr="00AE1B2B" w:rsidR="009D3FB5" w:rsidP="00163B94" w:rsidRDefault="009D3FB5" w14:paraId="61D87CF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Puntarenas</w:t>
            </w:r>
          </w:p>
        </w:tc>
        <w:tc>
          <w:tcPr>
            <w:tcW w:w="1340"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493FD3D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34</w:t>
            </w:r>
          </w:p>
        </w:tc>
        <w:tc>
          <w:tcPr>
            <w:tcW w:w="1600" w:type="dxa"/>
            <w:tcBorders>
              <w:top w:val="nil"/>
              <w:left w:val="nil"/>
              <w:bottom w:val="double" w:color="305496" w:sz="6" w:space="0"/>
              <w:right w:val="double" w:color="305496" w:sz="6" w:space="0"/>
            </w:tcBorders>
            <w:shd w:val="clear" w:color="000000" w:fill="FFFFFF"/>
            <w:noWrap/>
            <w:vAlign w:val="center"/>
            <w:hideMark/>
          </w:tcPr>
          <w:p w:rsidRPr="00AE1B2B" w:rsidR="009D3FB5" w:rsidP="00163B94" w:rsidRDefault="009D3FB5" w14:paraId="30AFE34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13</w:t>
            </w:r>
          </w:p>
        </w:tc>
        <w:tc>
          <w:tcPr>
            <w:tcW w:w="1600" w:type="dxa"/>
            <w:tcBorders>
              <w:top w:val="nil"/>
              <w:left w:val="nil"/>
              <w:bottom w:val="double" w:color="305496" w:sz="6" w:space="0"/>
              <w:right w:val="double" w:color="305496" w:sz="6" w:space="0"/>
            </w:tcBorders>
            <w:shd w:val="clear" w:color="000000" w:fill="FFFFFF"/>
            <w:noWrap/>
            <w:vAlign w:val="center"/>
            <w:hideMark/>
          </w:tcPr>
          <w:p w:rsidRPr="00AE1B2B" w:rsidR="009D3FB5" w:rsidP="00163B94" w:rsidRDefault="009D3FB5" w14:paraId="66B02A9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21</w:t>
            </w:r>
          </w:p>
        </w:tc>
      </w:tr>
      <w:tr w:rsidRPr="00AE1B2B" w:rsidR="00AE1B2B" w:rsidTr="009D3FB5" w14:paraId="0C2BCB0F" w14:textId="77777777">
        <w:trPr>
          <w:trHeight w:val="310"/>
          <w:jc w:val="center"/>
        </w:trPr>
        <w:tc>
          <w:tcPr>
            <w:tcW w:w="3800" w:type="dxa"/>
            <w:tcBorders>
              <w:top w:val="nil"/>
              <w:left w:val="double" w:color="305496" w:sz="6" w:space="0"/>
              <w:bottom w:val="double" w:color="305496" w:sz="6" w:space="0"/>
              <w:right w:val="double" w:color="305496" w:sz="6" w:space="0"/>
            </w:tcBorders>
            <w:shd w:val="clear" w:color="000000" w:fill="D9E1F2"/>
            <w:noWrap/>
            <w:vAlign w:val="center"/>
            <w:hideMark/>
          </w:tcPr>
          <w:p w:rsidRPr="00AE1B2B" w:rsidR="009D3FB5" w:rsidP="00163B94" w:rsidRDefault="009D3FB5" w14:paraId="5E916FB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la Zona Sur</w:t>
            </w:r>
          </w:p>
        </w:tc>
        <w:tc>
          <w:tcPr>
            <w:tcW w:w="1340"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0C78A99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34</w:t>
            </w:r>
          </w:p>
        </w:tc>
        <w:tc>
          <w:tcPr>
            <w:tcW w:w="1600" w:type="dxa"/>
            <w:tcBorders>
              <w:top w:val="nil"/>
              <w:left w:val="nil"/>
              <w:bottom w:val="double" w:color="305496" w:sz="6" w:space="0"/>
              <w:right w:val="double" w:color="305496" w:sz="6" w:space="0"/>
            </w:tcBorders>
            <w:shd w:val="clear" w:color="000000" w:fill="FFFFFF"/>
            <w:noWrap/>
            <w:vAlign w:val="center"/>
            <w:hideMark/>
          </w:tcPr>
          <w:p w:rsidRPr="00AE1B2B" w:rsidR="009D3FB5" w:rsidP="00163B94" w:rsidRDefault="009D3FB5" w14:paraId="0C0F9A7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13</w:t>
            </w:r>
          </w:p>
        </w:tc>
        <w:tc>
          <w:tcPr>
            <w:tcW w:w="1600" w:type="dxa"/>
            <w:tcBorders>
              <w:top w:val="nil"/>
              <w:left w:val="nil"/>
              <w:bottom w:val="double" w:color="305496" w:sz="6" w:space="0"/>
              <w:right w:val="double" w:color="305496" w:sz="6" w:space="0"/>
            </w:tcBorders>
            <w:shd w:val="clear" w:color="000000" w:fill="FFFFFF"/>
            <w:noWrap/>
            <w:vAlign w:val="center"/>
            <w:hideMark/>
          </w:tcPr>
          <w:p w:rsidRPr="00AE1B2B" w:rsidR="009D3FB5" w:rsidP="00163B94" w:rsidRDefault="009D3FB5" w14:paraId="4DA69EE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21</w:t>
            </w:r>
          </w:p>
        </w:tc>
      </w:tr>
      <w:tr w:rsidRPr="00AE1B2B" w:rsidR="00AE1B2B" w:rsidTr="009D3FB5" w14:paraId="40D77BF1" w14:textId="77777777">
        <w:trPr>
          <w:trHeight w:val="310"/>
          <w:jc w:val="center"/>
        </w:trPr>
        <w:tc>
          <w:tcPr>
            <w:tcW w:w="3800" w:type="dxa"/>
            <w:tcBorders>
              <w:top w:val="nil"/>
              <w:left w:val="double" w:color="305496" w:sz="6" w:space="0"/>
              <w:bottom w:val="double" w:color="305496" w:sz="6" w:space="0"/>
              <w:right w:val="double" w:color="305496" w:sz="6" w:space="0"/>
            </w:tcBorders>
            <w:shd w:val="clear" w:color="000000" w:fill="D9E1F2"/>
            <w:noWrap/>
            <w:vAlign w:val="center"/>
            <w:hideMark/>
          </w:tcPr>
          <w:p w:rsidRPr="00AE1B2B" w:rsidR="009D3FB5" w:rsidP="00163B94" w:rsidRDefault="009D3FB5" w14:paraId="0719B39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II Circuito Judicial de la Zona Atlántica</w:t>
            </w:r>
          </w:p>
        </w:tc>
        <w:tc>
          <w:tcPr>
            <w:tcW w:w="1340"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000ADFE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29</w:t>
            </w:r>
          </w:p>
        </w:tc>
        <w:tc>
          <w:tcPr>
            <w:tcW w:w="1600" w:type="dxa"/>
            <w:tcBorders>
              <w:top w:val="nil"/>
              <w:left w:val="nil"/>
              <w:bottom w:val="double" w:color="305496" w:sz="6" w:space="0"/>
              <w:right w:val="double" w:color="305496" w:sz="6" w:space="0"/>
            </w:tcBorders>
            <w:shd w:val="clear" w:color="000000" w:fill="FFFFFF"/>
            <w:noWrap/>
            <w:vAlign w:val="center"/>
            <w:hideMark/>
          </w:tcPr>
          <w:p w:rsidRPr="00AE1B2B" w:rsidR="009D3FB5" w:rsidP="00163B94" w:rsidRDefault="009D3FB5" w14:paraId="3C3D528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11</w:t>
            </w:r>
          </w:p>
        </w:tc>
        <w:tc>
          <w:tcPr>
            <w:tcW w:w="1600" w:type="dxa"/>
            <w:tcBorders>
              <w:top w:val="nil"/>
              <w:left w:val="nil"/>
              <w:bottom w:val="double" w:color="305496" w:sz="6" w:space="0"/>
              <w:right w:val="double" w:color="305496" w:sz="6" w:space="0"/>
            </w:tcBorders>
            <w:shd w:val="clear" w:color="000000" w:fill="FFFFFF"/>
            <w:noWrap/>
            <w:vAlign w:val="center"/>
            <w:hideMark/>
          </w:tcPr>
          <w:p w:rsidRPr="00AE1B2B" w:rsidR="009D3FB5" w:rsidP="00163B94" w:rsidRDefault="009D3FB5" w14:paraId="1794C1B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18</w:t>
            </w:r>
          </w:p>
        </w:tc>
      </w:tr>
      <w:tr w:rsidRPr="00AE1B2B" w:rsidR="00AE1B2B" w:rsidTr="009D3FB5" w14:paraId="140DCA10" w14:textId="77777777">
        <w:trPr>
          <w:trHeight w:val="310"/>
          <w:jc w:val="center"/>
        </w:trPr>
        <w:tc>
          <w:tcPr>
            <w:tcW w:w="6740" w:type="dxa"/>
            <w:gridSpan w:val="3"/>
            <w:tcBorders>
              <w:top w:val="double" w:color="305496" w:sz="6" w:space="0"/>
              <w:left w:val="double" w:color="305496" w:sz="6" w:space="0"/>
              <w:bottom w:val="double" w:color="305496" w:sz="6" w:space="0"/>
              <w:right w:val="double" w:color="305496" w:sz="6" w:space="0"/>
            </w:tcBorders>
            <w:shd w:val="clear" w:color="000000" w:fill="D9E1F2"/>
            <w:noWrap/>
            <w:vAlign w:val="center"/>
            <w:hideMark/>
          </w:tcPr>
          <w:p w:rsidRPr="00AE1B2B" w:rsidR="009D3FB5" w:rsidP="00163B94" w:rsidRDefault="009D3FB5" w14:paraId="25BAA1D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Promedio General</w:t>
            </w:r>
          </w:p>
        </w:tc>
        <w:tc>
          <w:tcPr>
            <w:tcW w:w="1600" w:type="dxa"/>
            <w:tcBorders>
              <w:top w:val="nil"/>
              <w:left w:val="nil"/>
              <w:bottom w:val="double" w:color="305496" w:sz="6" w:space="0"/>
              <w:right w:val="double" w:color="305496" w:sz="6" w:space="0"/>
            </w:tcBorders>
            <w:shd w:val="clear" w:color="000000" w:fill="D9D9D9"/>
            <w:noWrap/>
            <w:vAlign w:val="center"/>
            <w:hideMark/>
          </w:tcPr>
          <w:p w:rsidRPr="00AE1B2B" w:rsidR="009D3FB5" w:rsidP="00163B94" w:rsidRDefault="009D3FB5" w14:paraId="03DEC3E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19</w:t>
            </w:r>
          </w:p>
        </w:tc>
      </w:tr>
    </w:tbl>
    <w:p w:rsidRPr="00AE1B2B" w:rsidR="009D3FB5" w:rsidP="00163B94" w:rsidRDefault="009D3FB5" w14:paraId="700D7F2F" w14:textId="77777777">
      <w:pPr>
        <w:spacing w:before="120" w:after="120"/>
        <w:ind w:left="851" w:right="851" w:firstLine="709"/>
        <w:jc w:val="both"/>
        <w:rPr>
          <w:rFonts w:ascii="Times New Roman" w:hAnsi="Times New Roman" w:eastAsia="Calibri" w:cs="Times New Roman"/>
          <w:bCs/>
          <w:sz w:val="26"/>
          <w:szCs w:val="26"/>
          <w:lang w:eastAsia="es-CR"/>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 xml:space="preserve">Modernización Institucional a partir de la información de los anuarios judiciales suministrada por el Sub proceso de Estadística. </w:t>
      </w:r>
    </w:p>
    <w:p w:rsidRPr="00AE1B2B" w:rsidR="009D3FB5" w:rsidP="00163B94" w:rsidRDefault="009D3FB5" w14:paraId="50D510D4"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A partir de los resultados obtenidos en el cuadro anterior, es posible establecer la carga de trabajo real por Circuito Judicial que cumple con la ejecución de las diferentes etapas del proceso de Justicia Restaurativa, como lo es la realización de Reuniones Restaurativas y las audiencias de seguimiento. Adicionalmente, con base en el detalle del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_Ref31364377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Cuadro 9</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 xml:space="preserve"> se identificó que al descomponer los expedientes devueltos, un 23.5% de estos obedece a que no se cumplen los requisitos de admisibilidad mientras que otros 23.9% se deben a que el imputado no se acoge al programa, por lo que el expediente no completó las diferentes etapas del proceso de Justicia Restaurativa y permite de esta forma que ese tiempo sea destinado a la atención de otros casos que si cumplen con los requisitos para completar la totalidad de las actividades requeridas.</w:t>
      </w:r>
    </w:p>
    <w:p w:rsidRPr="00AE1B2B" w:rsidR="009D3FB5" w:rsidP="00163B94" w:rsidRDefault="009D3FB5" w14:paraId="18F37E71"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Es importante recalcar la importancia de establecer medidas de verificación con el propósito de comprobar los requisitos de admisibilidad de los casos, esto antes de direccionarlos a Justicia Restaurativa para evitar el mantener porcentajes considerables a raíz de este rubro. </w:t>
      </w:r>
    </w:p>
    <w:p w:rsidRPr="00AE1B2B" w:rsidR="009D3FB5" w:rsidP="00163B94" w:rsidRDefault="009D3FB5" w14:paraId="50467E54" w14:textId="77777777">
      <w:pPr>
        <w:spacing w:before="120" w:after="120"/>
        <w:ind w:left="851" w:right="851" w:firstLine="709"/>
        <w:jc w:val="both"/>
        <w:rPr>
          <w:rFonts w:ascii="Times New Roman" w:hAnsi="Times New Roman" w:eastAsia="Arial" w:cs="Times New Roman"/>
          <w:b/>
          <w:bCs/>
          <w:sz w:val="26"/>
          <w:szCs w:val="26"/>
        </w:rPr>
      </w:pPr>
      <w:r w:rsidRPr="00AE1B2B">
        <w:rPr>
          <w:rFonts w:ascii="Times New Roman" w:hAnsi="Times New Roman" w:eastAsia="Arial" w:cs="Times New Roman"/>
          <w:b/>
          <w:bCs/>
          <w:sz w:val="26"/>
          <w:szCs w:val="26"/>
        </w:rPr>
        <w:t>1.4 Capacidad instalada para la entrada de asuntos de acuerdo con las cuotas de trabajo establecidas en el informe 726-PLA-RH-MI-2019.</w:t>
      </w:r>
    </w:p>
    <w:p w:rsidRPr="00AE1B2B" w:rsidR="009D3FB5" w:rsidP="00163B94" w:rsidRDefault="009D3FB5" w14:paraId="3B694F15"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el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_Ref33521938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Cuadro 11</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 xml:space="preserve"> se muestra la capacidad disponible de los equipos interdisciplinarios con base en la cuota de entrados establecida en el informe 726-PLA-RH-MI-2019. Adicionalmente, </w:t>
      </w:r>
      <w:r w:rsidRPr="00AE1B2B">
        <w:rPr>
          <w:rFonts w:ascii="Times New Roman" w:hAnsi="Times New Roman" w:eastAsia="Calibri" w:cs="Times New Roman"/>
          <w:sz w:val="26"/>
          <w:szCs w:val="26"/>
        </w:rPr>
        <w:lastRenderedPageBreak/>
        <w:t xml:space="preserve">es importante destacar que la cantidad de asuntos entrados durante el 2020 disminuyó en promedio respecto a la cantidad de asuntos entrados en el 2019, según se identifica en el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_Ref31264531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Cuadro 6</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w:t>
      </w:r>
    </w:p>
    <w:p w:rsidRPr="00AE1B2B" w:rsidR="00227910" w:rsidP="00163B94" w:rsidRDefault="00227910" w14:paraId="1D3DD482" w14:textId="381AB0AD">
      <w:pPr>
        <w:tabs>
          <w:tab w:val="left" w:pos="8080"/>
        </w:tabs>
        <w:spacing w:before="120" w:after="120"/>
        <w:ind w:left="851" w:right="851" w:firstLine="709"/>
        <w:jc w:val="both"/>
        <w:rPr>
          <w:rFonts w:ascii="Times New Roman" w:hAnsi="Times New Roman" w:eastAsia="Calibri" w:cs="Times New Roman"/>
          <w:b/>
          <w:bCs/>
          <w:sz w:val="26"/>
          <w:szCs w:val="26"/>
        </w:rPr>
      </w:pPr>
      <w:bookmarkStart w:name="_Ref33521938" w:id="356"/>
    </w:p>
    <w:p w:rsidRPr="00AE1B2B" w:rsidR="009D3FB5" w:rsidP="00163B94" w:rsidRDefault="009D3FB5" w14:paraId="025A5A62" w14:textId="77777777">
      <w:pPr>
        <w:tabs>
          <w:tab w:val="left" w:pos="8080"/>
        </w:tabs>
        <w:spacing w:before="120" w:after="120"/>
        <w:ind w:left="851" w:right="851" w:firstLine="709"/>
        <w:jc w:val="both"/>
        <w:rPr>
          <w:rFonts w:ascii="Times New Roman" w:hAnsi="Times New Roman" w:eastAsia="Calibri" w:cs="Times New Roman"/>
          <w:b/>
          <w:bCs/>
          <w:sz w:val="26"/>
          <w:szCs w:val="26"/>
        </w:rPr>
      </w:pPr>
    </w:p>
    <w:p w:rsidRPr="00AE1B2B" w:rsidR="009D3FB5" w:rsidP="00163B94" w:rsidRDefault="009D3FB5" w14:paraId="5F4A111A" w14:textId="77777777">
      <w:pPr>
        <w:tabs>
          <w:tab w:val="left" w:pos="808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11</w:t>
      </w:r>
      <w:r w:rsidRPr="00AE1B2B">
        <w:rPr>
          <w:rFonts w:ascii="Times New Roman" w:hAnsi="Times New Roman" w:eastAsia="Calibri" w:cs="Times New Roman"/>
          <w:b/>
          <w:bCs/>
          <w:sz w:val="26"/>
          <w:szCs w:val="26"/>
        </w:rPr>
        <w:fldChar w:fldCharType="end"/>
      </w:r>
      <w:bookmarkEnd w:id="356"/>
      <w:r w:rsidRPr="00AE1B2B">
        <w:rPr>
          <w:rFonts w:ascii="Times New Roman" w:hAnsi="Times New Roman" w:eastAsia="Calibri" w:cs="Times New Roman"/>
          <w:b/>
          <w:bCs/>
          <w:sz w:val="26"/>
          <w:szCs w:val="26"/>
        </w:rPr>
        <w:t>. Evaluación de la capacidad instalada para la entrada de asuntos con base en la cuota de trabajo establecida en el informe 726-PLA-RH-MI-2019</w:t>
      </w:r>
    </w:p>
    <w:tbl>
      <w:tblPr>
        <w:tblW w:w="7207" w:type="dxa"/>
        <w:jc w:val="center"/>
        <w:tblCellMar>
          <w:left w:w="70" w:type="dxa"/>
          <w:right w:w="70" w:type="dxa"/>
        </w:tblCellMar>
        <w:tblLook w:val="04A0" w:firstRow="1" w:lastRow="0" w:firstColumn="1" w:lastColumn="0" w:noHBand="0" w:noVBand="1"/>
      </w:tblPr>
      <w:tblGrid>
        <w:gridCol w:w="3080"/>
        <w:gridCol w:w="1540"/>
        <w:gridCol w:w="1169"/>
        <w:gridCol w:w="1418"/>
      </w:tblGrid>
      <w:tr w:rsidRPr="00AE1B2B" w:rsidR="00AE1B2B" w:rsidTr="009D3FB5" w14:paraId="2D64B576" w14:textId="77777777">
        <w:trPr>
          <w:trHeight w:val="460"/>
          <w:jc w:val="center"/>
        </w:trPr>
        <w:tc>
          <w:tcPr>
            <w:tcW w:w="3080" w:type="dxa"/>
            <w:tcBorders>
              <w:top w:val="double" w:color="305496" w:sz="6" w:space="0"/>
              <w:left w:val="double" w:color="305496" w:sz="6" w:space="0"/>
              <w:bottom w:val="double" w:color="305496" w:sz="6" w:space="0"/>
              <w:right w:val="double" w:color="305496" w:sz="6" w:space="0"/>
            </w:tcBorders>
            <w:shd w:val="clear" w:color="000000" w:fill="B4C6E7"/>
            <w:vAlign w:val="center"/>
            <w:hideMark/>
          </w:tcPr>
          <w:p w:rsidRPr="00AE1B2B" w:rsidR="009D3FB5" w:rsidP="00163B94" w:rsidRDefault="009D3FB5" w14:paraId="377EEACE"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Circuito Judicial</w:t>
            </w:r>
          </w:p>
        </w:tc>
        <w:tc>
          <w:tcPr>
            <w:tcW w:w="1540" w:type="dxa"/>
            <w:tcBorders>
              <w:top w:val="double" w:color="305496" w:sz="6" w:space="0"/>
              <w:left w:val="nil"/>
              <w:bottom w:val="double" w:color="305496" w:sz="6" w:space="0"/>
              <w:right w:val="double" w:color="305496" w:sz="6" w:space="0"/>
            </w:tcBorders>
            <w:shd w:val="clear" w:color="000000" w:fill="B4C6E7"/>
            <w:vAlign w:val="center"/>
            <w:hideMark/>
          </w:tcPr>
          <w:p w:rsidRPr="00AE1B2B" w:rsidR="009D3FB5" w:rsidP="00163B94" w:rsidRDefault="009D3FB5" w14:paraId="1B02A1BA"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Capacidad entrada</w:t>
            </w:r>
          </w:p>
        </w:tc>
        <w:tc>
          <w:tcPr>
            <w:tcW w:w="1169" w:type="dxa"/>
            <w:tcBorders>
              <w:top w:val="double" w:color="305496" w:sz="6" w:space="0"/>
              <w:left w:val="nil"/>
              <w:bottom w:val="double" w:color="305496" w:sz="6" w:space="0"/>
              <w:right w:val="double" w:color="305496" w:sz="6" w:space="0"/>
            </w:tcBorders>
            <w:shd w:val="clear" w:color="000000" w:fill="B4C6E7"/>
            <w:vAlign w:val="center"/>
            <w:hideMark/>
          </w:tcPr>
          <w:p w:rsidRPr="00AE1B2B" w:rsidR="009D3FB5" w:rsidP="00163B94" w:rsidRDefault="009D3FB5" w14:paraId="4F031B96"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Entrada 2020</w:t>
            </w:r>
          </w:p>
        </w:tc>
        <w:tc>
          <w:tcPr>
            <w:tcW w:w="1418" w:type="dxa"/>
            <w:tcBorders>
              <w:top w:val="double" w:color="305496" w:sz="6" w:space="0"/>
              <w:left w:val="nil"/>
              <w:bottom w:val="double" w:color="305496" w:sz="6" w:space="0"/>
              <w:right w:val="double" w:color="305496" w:sz="6" w:space="0"/>
            </w:tcBorders>
            <w:shd w:val="clear" w:color="000000" w:fill="B4C6E7"/>
            <w:vAlign w:val="center"/>
            <w:hideMark/>
          </w:tcPr>
          <w:p w:rsidRPr="00AE1B2B" w:rsidR="009D3FB5" w:rsidP="00163B94" w:rsidRDefault="009D3FB5" w14:paraId="45461A1D"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Capacidad disponible</w:t>
            </w:r>
          </w:p>
        </w:tc>
      </w:tr>
      <w:tr w:rsidRPr="00AE1B2B" w:rsidR="00AE1B2B" w:rsidTr="009D3FB5" w14:paraId="60924403" w14:textId="77777777">
        <w:trPr>
          <w:trHeight w:val="310"/>
          <w:jc w:val="center"/>
        </w:trPr>
        <w:tc>
          <w:tcPr>
            <w:tcW w:w="3080" w:type="dxa"/>
            <w:tcBorders>
              <w:top w:val="nil"/>
              <w:left w:val="double" w:color="305496" w:sz="6" w:space="0"/>
              <w:bottom w:val="double" w:color="305496" w:sz="6" w:space="0"/>
              <w:right w:val="double" w:color="305496" w:sz="6" w:space="0"/>
            </w:tcBorders>
            <w:shd w:val="clear" w:color="000000" w:fill="B4C6E7"/>
            <w:vAlign w:val="center"/>
            <w:hideMark/>
          </w:tcPr>
          <w:p w:rsidRPr="00AE1B2B" w:rsidR="009D3FB5" w:rsidP="00163B94" w:rsidRDefault="009D3FB5" w14:paraId="0B922B10"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II Circuito Judicial de San José</w:t>
            </w:r>
          </w:p>
        </w:tc>
        <w:tc>
          <w:tcPr>
            <w:tcW w:w="1540"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018ACB53"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40</w:t>
            </w:r>
          </w:p>
        </w:tc>
        <w:tc>
          <w:tcPr>
            <w:tcW w:w="1169"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44A6DFB5"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36</w:t>
            </w:r>
          </w:p>
        </w:tc>
        <w:tc>
          <w:tcPr>
            <w:tcW w:w="1418"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50E0F134"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4</w:t>
            </w:r>
          </w:p>
        </w:tc>
      </w:tr>
      <w:tr w:rsidRPr="00AE1B2B" w:rsidR="00AE1B2B" w:rsidTr="009D3FB5" w14:paraId="6ACB184C" w14:textId="77777777">
        <w:trPr>
          <w:trHeight w:val="310"/>
          <w:jc w:val="center"/>
        </w:trPr>
        <w:tc>
          <w:tcPr>
            <w:tcW w:w="3080" w:type="dxa"/>
            <w:tcBorders>
              <w:top w:val="nil"/>
              <w:left w:val="double" w:color="305496" w:sz="6" w:space="0"/>
              <w:bottom w:val="double" w:color="305496" w:sz="6" w:space="0"/>
              <w:right w:val="double" w:color="305496" w:sz="6" w:space="0"/>
            </w:tcBorders>
            <w:shd w:val="clear" w:color="000000" w:fill="B4C6E7"/>
            <w:vAlign w:val="center"/>
            <w:hideMark/>
          </w:tcPr>
          <w:p w:rsidRPr="00AE1B2B" w:rsidR="009D3FB5" w:rsidP="00163B94" w:rsidRDefault="009D3FB5" w14:paraId="6648050C"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III Circuito Judicial de San José</w:t>
            </w:r>
          </w:p>
        </w:tc>
        <w:tc>
          <w:tcPr>
            <w:tcW w:w="1540"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73F69504"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40</w:t>
            </w:r>
          </w:p>
        </w:tc>
        <w:tc>
          <w:tcPr>
            <w:tcW w:w="1169"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55BFBDBA"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28</w:t>
            </w:r>
          </w:p>
        </w:tc>
        <w:tc>
          <w:tcPr>
            <w:tcW w:w="1418"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37DE6B67"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12</w:t>
            </w:r>
          </w:p>
        </w:tc>
      </w:tr>
      <w:tr w:rsidRPr="00AE1B2B" w:rsidR="00AE1B2B" w:rsidTr="009D3FB5" w14:paraId="5213573C" w14:textId="77777777">
        <w:trPr>
          <w:trHeight w:val="310"/>
          <w:jc w:val="center"/>
        </w:trPr>
        <w:tc>
          <w:tcPr>
            <w:tcW w:w="3080" w:type="dxa"/>
            <w:tcBorders>
              <w:top w:val="nil"/>
              <w:left w:val="double" w:color="305496" w:sz="6" w:space="0"/>
              <w:bottom w:val="nil"/>
              <w:right w:val="double" w:color="305496" w:sz="6" w:space="0"/>
            </w:tcBorders>
            <w:shd w:val="clear" w:color="000000" w:fill="B4C6E7"/>
            <w:vAlign w:val="center"/>
            <w:hideMark/>
          </w:tcPr>
          <w:p w:rsidRPr="00AE1B2B" w:rsidR="009D3FB5" w:rsidP="00163B94" w:rsidRDefault="009D3FB5" w14:paraId="0C6FF933"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Cartago</w:t>
            </w:r>
          </w:p>
        </w:tc>
        <w:tc>
          <w:tcPr>
            <w:tcW w:w="1540"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3EB7C80F"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40</w:t>
            </w:r>
          </w:p>
        </w:tc>
        <w:tc>
          <w:tcPr>
            <w:tcW w:w="1169"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2B82B992"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26</w:t>
            </w:r>
          </w:p>
        </w:tc>
        <w:tc>
          <w:tcPr>
            <w:tcW w:w="1418"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5115F2E0"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14</w:t>
            </w:r>
          </w:p>
        </w:tc>
      </w:tr>
      <w:tr w:rsidRPr="00AE1B2B" w:rsidR="00AE1B2B" w:rsidTr="009D3FB5" w14:paraId="11014B66" w14:textId="77777777">
        <w:trPr>
          <w:trHeight w:val="310"/>
          <w:jc w:val="center"/>
        </w:trPr>
        <w:tc>
          <w:tcPr>
            <w:tcW w:w="3080" w:type="dxa"/>
            <w:tcBorders>
              <w:top w:val="double" w:color="305496" w:sz="6" w:space="0"/>
              <w:left w:val="double" w:color="305496" w:sz="6" w:space="0"/>
              <w:bottom w:val="nil"/>
              <w:right w:val="double" w:color="305496" w:sz="6" w:space="0"/>
            </w:tcBorders>
            <w:shd w:val="clear" w:color="000000" w:fill="B4C6E7"/>
            <w:vAlign w:val="center"/>
            <w:hideMark/>
          </w:tcPr>
          <w:p w:rsidRPr="00AE1B2B" w:rsidR="009D3FB5" w:rsidP="00163B94" w:rsidRDefault="009D3FB5" w14:paraId="4B068D29"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Heredia</w:t>
            </w:r>
          </w:p>
        </w:tc>
        <w:tc>
          <w:tcPr>
            <w:tcW w:w="1540"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55623B1B"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40</w:t>
            </w:r>
          </w:p>
        </w:tc>
        <w:tc>
          <w:tcPr>
            <w:tcW w:w="1169"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34825326"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29</w:t>
            </w:r>
          </w:p>
        </w:tc>
        <w:tc>
          <w:tcPr>
            <w:tcW w:w="1418"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06BCB891"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11</w:t>
            </w:r>
          </w:p>
        </w:tc>
      </w:tr>
      <w:tr w:rsidRPr="00AE1B2B" w:rsidR="00AE1B2B" w:rsidTr="009D3FB5" w14:paraId="5ACD4073" w14:textId="77777777">
        <w:trPr>
          <w:trHeight w:val="310"/>
          <w:jc w:val="center"/>
        </w:trPr>
        <w:tc>
          <w:tcPr>
            <w:tcW w:w="3080" w:type="dxa"/>
            <w:tcBorders>
              <w:top w:val="double" w:color="305496" w:sz="6" w:space="0"/>
              <w:left w:val="double" w:color="305496" w:sz="6" w:space="0"/>
              <w:bottom w:val="double" w:color="305496" w:sz="6" w:space="0"/>
              <w:right w:val="double" w:color="305496" w:sz="6" w:space="0"/>
            </w:tcBorders>
            <w:shd w:val="clear" w:color="000000" w:fill="B4C6E7"/>
            <w:vAlign w:val="center"/>
            <w:hideMark/>
          </w:tcPr>
          <w:p w:rsidRPr="00AE1B2B" w:rsidR="009D3FB5" w:rsidP="00163B94" w:rsidRDefault="009D3FB5" w14:paraId="79B64EC9"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Puntarenas</w:t>
            </w:r>
          </w:p>
        </w:tc>
        <w:tc>
          <w:tcPr>
            <w:tcW w:w="1540"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61F960D7"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40</w:t>
            </w:r>
          </w:p>
        </w:tc>
        <w:tc>
          <w:tcPr>
            <w:tcW w:w="1169"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370500A2"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34</w:t>
            </w:r>
          </w:p>
        </w:tc>
        <w:tc>
          <w:tcPr>
            <w:tcW w:w="1418"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55F6093D"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6</w:t>
            </w:r>
          </w:p>
        </w:tc>
      </w:tr>
      <w:tr w:rsidRPr="00AE1B2B" w:rsidR="00AE1B2B" w:rsidTr="009D3FB5" w14:paraId="17023031" w14:textId="77777777">
        <w:trPr>
          <w:trHeight w:val="310"/>
          <w:jc w:val="center"/>
        </w:trPr>
        <w:tc>
          <w:tcPr>
            <w:tcW w:w="3080" w:type="dxa"/>
            <w:tcBorders>
              <w:top w:val="nil"/>
              <w:left w:val="double" w:color="305496" w:sz="6" w:space="0"/>
              <w:bottom w:val="nil"/>
              <w:right w:val="double" w:color="305496" w:sz="6" w:space="0"/>
            </w:tcBorders>
            <w:shd w:val="clear" w:color="000000" w:fill="B4C6E7"/>
            <w:vAlign w:val="center"/>
            <w:hideMark/>
          </w:tcPr>
          <w:p w:rsidRPr="00AE1B2B" w:rsidR="009D3FB5" w:rsidP="00163B94" w:rsidRDefault="009D3FB5" w14:paraId="0F2E6D12"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 Circuito de la Zona Sur</w:t>
            </w:r>
          </w:p>
        </w:tc>
        <w:tc>
          <w:tcPr>
            <w:tcW w:w="1540"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031B1798"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40</w:t>
            </w:r>
          </w:p>
        </w:tc>
        <w:tc>
          <w:tcPr>
            <w:tcW w:w="1169"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4164E3B5"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34</w:t>
            </w:r>
          </w:p>
        </w:tc>
        <w:tc>
          <w:tcPr>
            <w:tcW w:w="1418"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56806727"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6</w:t>
            </w:r>
          </w:p>
        </w:tc>
      </w:tr>
      <w:tr w:rsidRPr="00AE1B2B" w:rsidR="00AE1B2B" w:rsidTr="009D3FB5" w14:paraId="573D2FE7" w14:textId="77777777">
        <w:trPr>
          <w:trHeight w:val="310"/>
          <w:jc w:val="center"/>
        </w:trPr>
        <w:tc>
          <w:tcPr>
            <w:tcW w:w="3080" w:type="dxa"/>
            <w:tcBorders>
              <w:top w:val="double" w:color="305496" w:sz="6" w:space="0"/>
              <w:left w:val="double" w:color="305496" w:sz="6" w:space="0"/>
              <w:bottom w:val="double" w:color="305496" w:sz="6" w:space="0"/>
              <w:right w:val="double" w:color="305496" w:sz="6" w:space="0"/>
            </w:tcBorders>
            <w:shd w:val="clear" w:color="000000" w:fill="B4C6E7"/>
            <w:vAlign w:val="center"/>
            <w:hideMark/>
          </w:tcPr>
          <w:p w:rsidRPr="00AE1B2B" w:rsidR="009D3FB5" w:rsidP="00163B94" w:rsidRDefault="009D3FB5" w14:paraId="49FF864A"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II Circuito de la Zona Atlántica</w:t>
            </w:r>
          </w:p>
        </w:tc>
        <w:tc>
          <w:tcPr>
            <w:tcW w:w="1540"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6ACFB174"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40</w:t>
            </w:r>
          </w:p>
        </w:tc>
        <w:tc>
          <w:tcPr>
            <w:tcW w:w="1169"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3CD7908C"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29</w:t>
            </w:r>
          </w:p>
        </w:tc>
        <w:tc>
          <w:tcPr>
            <w:tcW w:w="1418" w:type="dxa"/>
            <w:tcBorders>
              <w:top w:val="nil"/>
              <w:left w:val="nil"/>
              <w:bottom w:val="double" w:color="305496" w:sz="6" w:space="0"/>
              <w:right w:val="double" w:color="305496" w:sz="6" w:space="0"/>
            </w:tcBorders>
            <w:shd w:val="clear" w:color="auto" w:fill="auto"/>
            <w:noWrap/>
            <w:vAlign w:val="center"/>
            <w:hideMark/>
          </w:tcPr>
          <w:p w:rsidRPr="00AE1B2B" w:rsidR="009D3FB5" w:rsidP="00163B94" w:rsidRDefault="009D3FB5" w14:paraId="34D129CB"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11</w:t>
            </w:r>
          </w:p>
        </w:tc>
      </w:tr>
    </w:tbl>
    <w:p w:rsidRPr="00AE1B2B" w:rsidR="009D3FB5" w:rsidP="00163B94" w:rsidRDefault="009D3FB5" w14:paraId="6163A4FB" w14:textId="77777777">
      <w:pPr>
        <w:spacing w:before="120" w:after="120"/>
        <w:ind w:left="851" w:right="851" w:firstLine="709"/>
        <w:jc w:val="both"/>
        <w:rPr>
          <w:rFonts w:ascii="Times New Roman" w:hAnsi="Times New Roman" w:eastAsia="Calibri" w:cs="Times New Roman"/>
          <w:bCs/>
          <w:sz w:val="26"/>
          <w:szCs w:val="26"/>
          <w:lang w:eastAsia="es-CR"/>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Modernización Institucional a partir de la información de los anuarios judiciales suministrada por el Sub proceso de Estadística. Nota: Los datos son preliminares.</w:t>
      </w:r>
    </w:p>
    <w:p w:rsidRPr="00AE1B2B" w:rsidR="009D3FB5" w:rsidP="00163B94" w:rsidRDefault="009D3FB5" w14:paraId="46BD18E2"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Se identifica que la mayor capacidad disponible respecto a la entrada de asuntos se presenta en el Circuito Judicial de Cartago, seguido del III Circuito Judicial de San José y posteriormente del Circuito Judicial de Heredia y II Circuito Judicial de la Zona Atlántica.</w:t>
      </w:r>
    </w:p>
    <w:p w:rsidRPr="00AE1B2B" w:rsidR="009D3FB5" w:rsidP="00163B94" w:rsidRDefault="009D3FB5" w14:paraId="5F707EED"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Aunado a lo anterior, se hace la salvedad de que la entrada mostrada corresponde al ingreso bruto de asuntos, y que con base en lo determinado en el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_Ref63966934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Cuadro 8</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 para el año 2020 se contó con un 38% de devolución de los casos ingresados, aspecto que implica que un 38% de estos asuntos no atravesará todas las etapas del proceso, lo que permite la concentración del recurso humano en otras tareas.</w:t>
      </w:r>
    </w:p>
    <w:p w:rsidRPr="00AE1B2B" w:rsidR="009D3FB5" w:rsidP="00163B94" w:rsidRDefault="009D3FB5" w14:paraId="79C2285B"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 Sobre este particular, se reitera la necesidad de ampliar el abordaje de la materia Penal Adulta, incluida la Ejecución de la Pena y Etapa Intermedia, en el procedimiento especial Abreviado, además </w:t>
      </w:r>
      <w:r w:rsidRPr="00AE1B2B">
        <w:rPr>
          <w:rFonts w:ascii="Times New Roman" w:hAnsi="Times New Roman" w:eastAsia="Calibri" w:cs="Times New Roman"/>
          <w:sz w:val="26"/>
          <w:szCs w:val="26"/>
        </w:rPr>
        <w:lastRenderedPageBreak/>
        <w:t xml:space="preserve">de las Contravenciones, con la capacidad instalada actual de los equipos de trabajo. </w:t>
      </w:r>
    </w:p>
    <w:p w:rsidRPr="00AE1B2B" w:rsidR="009D3FB5" w:rsidP="00163B94" w:rsidRDefault="009D3FB5" w14:paraId="2893183B" w14:textId="77777777">
      <w:pPr>
        <w:spacing w:before="120" w:after="120"/>
        <w:ind w:left="851" w:right="851" w:firstLine="709"/>
        <w:jc w:val="both"/>
        <w:rPr>
          <w:rFonts w:ascii="Times New Roman" w:hAnsi="Times New Roman" w:eastAsia="Arial" w:cs="Times New Roman"/>
          <w:b/>
          <w:bCs/>
          <w:sz w:val="26"/>
          <w:szCs w:val="26"/>
        </w:rPr>
      </w:pPr>
      <w:r w:rsidRPr="00AE1B2B">
        <w:rPr>
          <w:rFonts w:ascii="Times New Roman" w:hAnsi="Times New Roman" w:eastAsia="Arial" w:cs="Times New Roman"/>
          <w:b/>
          <w:bCs/>
          <w:sz w:val="26"/>
          <w:szCs w:val="26"/>
        </w:rPr>
        <w:t>Análisis del costo de la Justicia Penal respecto a Justicia Restaurativa</w:t>
      </w:r>
    </w:p>
    <w:p w:rsidRPr="00AE1B2B" w:rsidR="009D3FB5" w:rsidP="00163B94" w:rsidRDefault="009D3FB5" w14:paraId="2E155BF0" w14:textId="56D5825D">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Es importante destacar, obviando aspectos de índole social resueltos en los procesos jurisdiccionales, por la vía de la solución alterna de conflictos, conciliación y Justicia Restaurativa, que la institución incurre en menos costos, respecto a los procesos resueltos por la vía ordinaria. En ese sentido y conforme a valor económico estimado para el proceso de Justicia Restaurativa (¢343,122) y resolución de la causa mediante el proceso ordinario (¢2.505.403), según informe </w:t>
      </w:r>
      <w:bookmarkStart w:name="_Hlk65680910" w:id="357"/>
      <w:r w:rsidRPr="00AE1B2B">
        <w:rPr>
          <w:rFonts w:ascii="Times New Roman" w:hAnsi="Times New Roman" w:eastAsia="Calibri" w:cs="Times New Roman"/>
          <w:sz w:val="26"/>
          <w:szCs w:val="26"/>
        </w:rPr>
        <w:t>2052-PLA-PP-2020</w:t>
      </w:r>
      <w:bookmarkEnd w:id="357"/>
      <w:r w:rsidRPr="00AE1B2B">
        <w:rPr>
          <w:rFonts w:ascii="Times New Roman" w:hAnsi="Times New Roman" w:eastAsia="Calibri" w:cs="Times New Roman"/>
          <w:sz w:val="26"/>
          <w:szCs w:val="26"/>
        </w:rPr>
        <w:t xml:space="preserve"> de la Dirección de Planificación, aprobado en sesión del Consejo Superior 03-2021 celebrada el 12 de enero de 2021, artículo XL. Con base en esta información cada asunto terminado en Justicia Restaurativa le genera a la Institución un ahorro aproximado de ¢2.162.281, sea un 86% menos del monto en que se incurre, tramitando la causa por la vía ordinaria ((¢2.505.403).</w:t>
      </w:r>
      <w:r w:rsidRPr="00AE1B2B" w:rsidR="00BB7720">
        <w:rPr>
          <w:rFonts w:ascii="Times New Roman" w:hAnsi="Times New Roman" w:eastAsia="Calibri" w:cs="Times New Roman"/>
          <w:sz w:val="26"/>
          <w:szCs w:val="26"/>
        </w:rPr>
        <w:t xml:space="preserve"> </w:t>
      </w:r>
    </w:p>
    <w:p w:rsidRPr="00AE1B2B" w:rsidR="009D3FB5" w:rsidP="00163B94" w:rsidRDefault="009D3FB5" w14:paraId="0474CB20"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la práctica y desde un punto de vista aritmético, un proceso en materia Penal que se concluya en la etapa intermedia inherentemente es menos oneroso que otro que agote la vía recursiva hasta ser conocido por la Sala Tercera, toda vez que este último en principio va a requerir de una mayor inversión de recursos en el transcurso del Juicio y confirmación de la sentencia por parte de los órganos jerárquicos, entre otros. </w:t>
      </w:r>
    </w:p>
    <w:p w:rsidRPr="00AE1B2B" w:rsidR="009D3FB5" w:rsidP="00163B94" w:rsidRDefault="009D3FB5" w14:paraId="0FA1424D" w14:textId="77777777">
      <w:pPr>
        <w:spacing w:before="120" w:after="120"/>
        <w:ind w:left="851" w:right="851" w:firstLine="709"/>
        <w:jc w:val="both"/>
        <w:rPr>
          <w:rFonts w:ascii="Times New Roman" w:hAnsi="Times New Roman" w:eastAsia="Arial" w:cs="Times New Roman"/>
          <w:b/>
          <w:bCs/>
          <w:sz w:val="26"/>
          <w:szCs w:val="26"/>
        </w:rPr>
      </w:pPr>
      <w:r w:rsidRPr="00AE1B2B">
        <w:rPr>
          <w:rFonts w:ascii="Times New Roman" w:hAnsi="Times New Roman" w:eastAsia="Arial" w:cs="Times New Roman"/>
          <w:b/>
          <w:bCs/>
          <w:sz w:val="26"/>
          <w:szCs w:val="26"/>
        </w:rPr>
        <w:t>Justicia Restaurativa Penal Juvenil</w:t>
      </w:r>
    </w:p>
    <w:p w:rsidRPr="00AE1B2B" w:rsidR="009D3FB5" w:rsidP="00163B94" w:rsidRDefault="009D3FB5" w14:paraId="387935E0"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materia Penal Juvenil, a nivel nacional el Ministerio Público y Defensa Pública, ya tienen destacados, profesionales especializados para la atención de la materia y en ese sentido, en conjunto con las Juezas y Jueces de la materia, ya conforman un equipo a cargo de la materia Penal Juvenil y que conforme al artículo 6 de la Ley de referencia, básicamente se requiere de equipos Psicosociales que trabajen en conjunto, con los equipos legales, para aplicar la entrada en vigencia de la Ley de Justicia Restaurativa. </w:t>
      </w:r>
    </w:p>
    <w:p w:rsidRPr="00AE1B2B" w:rsidR="009D3FB5" w:rsidP="00163B94" w:rsidRDefault="009D3FB5" w14:paraId="1D14AB2B"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El procedimiento en materia Penal Juvenil, mantiene en esencia el proceso seguido en materia Penal de Adultos, con la excepción de que primero se obtiene el consentimiento informado por parte de la víctima y posteriormente el de la persona ofensora, además de que la Fiscalía por imperativo legal debe presentar la acusación ante el órgano jurisdiccional competente. </w:t>
      </w:r>
    </w:p>
    <w:p w:rsidRPr="00AE1B2B" w:rsidR="009D3FB5" w:rsidP="00163B94" w:rsidRDefault="009D3FB5" w14:paraId="3CF74D77"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lastRenderedPageBreak/>
        <w:t>Las estadísticas que se generan en Justicia Restaurativa para la materia de Penal Juvenil básicamente recopilan la información de las reuniones restaurativas, audiencias, seguimientos y Red de apoyo, esto a raíz de que los casos son abordados por parte de las plazas de Fiscala o Fiscal y Defensora o Defensor especializados en la materia Penal Juvenil, por lo que el expediente únicamente recibe un proceso diferente al ser remitido a Justicia Restaurativa y tener la atención psicosocial correspondiente.</w:t>
      </w:r>
    </w:p>
    <w:p w:rsidRPr="00AE1B2B" w:rsidR="009D3FB5" w:rsidP="00163B94" w:rsidRDefault="009D3FB5" w14:paraId="76639496"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65482DD5"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1D134196"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06C7DEFA"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3CC1DB3C"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74047266"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 </w:t>
      </w:r>
    </w:p>
    <w:p w:rsidRPr="00AE1B2B" w:rsidR="009D3FB5" w:rsidP="00163B94" w:rsidRDefault="009D3FB5" w14:paraId="69A59895" w14:textId="77777777">
      <w:pPr>
        <w:spacing w:before="120" w:after="120"/>
        <w:ind w:left="851" w:right="851" w:firstLine="709"/>
        <w:jc w:val="both"/>
        <w:rPr>
          <w:rFonts w:ascii="Times New Roman" w:hAnsi="Times New Roman" w:eastAsia="Arial" w:cs="Times New Roman"/>
          <w:b/>
          <w:bCs/>
          <w:sz w:val="26"/>
          <w:szCs w:val="26"/>
        </w:rPr>
      </w:pPr>
      <w:r w:rsidRPr="00AE1B2B">
        <w:rPr>
          <w:rFonts w:ascii="Times New Roman" w:hAnsi="Times New Roman" w:eastAsia="Arial" w:cs="Times New Roman"/>
          <w:b/>
          <w:bCs/>
          <w:sz w:val="26"/>
          <w:szCs w:val="26"/>
        </w:rPr>
        <w:t>3.1 Reuniones Restaurativas Justicia Penal Juvenil.</w:t>
      </w:r>
    </w:p>
    <w:p w:rsidRPr="00AE1B2B" w:rsidR="009D3FB5" w:rsidP="00163B94" w:rsidRDefault="009D3FB5" w14:paraId="10DB6AC4"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A continuación, se presenta el detalle de las reuniones restaurativas, en materia de Justicia Penal Juvenil para el 2020. Es importante aclarar que debido a que a la fecha de realización de este informe el Sub Proceso de Estadística no contaba con la información total del año 2020, se toma en consideración únicamente el I y II Trimestre de 2020 (Ver apéndice 3):</w:t>
      </w:r>
    </w:p>
    <w:p w:rsidRPr="00AE1B2B" w:rsidR="009D3FB5" w:rsidP="00163B94" w:rsidRDefault="009D3FB5" w14:paraId="4C9BA47D" w14:textId="77777777">
      <w:pPr>
        <w:tabs>
          <w:tab w:val="left" w:pos="0"/>
        </w:tabs>
        <w:spacing w:before="120" w:after="120"/>
        <w:ind w:left="851" w:right="851" w:firstLine="709"/>
        <w:jc w:val="both"/>
        <w:rPr>
          <w:rFonts w:ascii="Times New Roman" w:hAnsi="Times New Roman" w:eastAsia="Calibri" w:cs="Times New Roman"/>
          <w:sz w:val="26"/>
          <w:szCs w:val="26"/>
          <w:lang w:val="es-ES"/>
        </w:rPr>
      </w:pPr>
      <w:bookmarkStart w:name="_Ref31636350" w:id="358"/>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12</w:t>
      </w:r>
      <w:r w:rsidRPr="00AE1B2B">
        <w:rPr>
          <w:rFonts w:ascii="Times New Roman" w:hAnsi="Times New Roman" w:eastAsia="Calibri" w:cs="Times New Roman"/>
          <w:b/>
          <w:bCs/>
          <w:sz w:val="26"/>
          <w:szCs w:val="26"/>
        </w:rPr>
        <w:fldChar w:fldCharType="end"/>
      </w:r>
      <w:bookmarkEnd w:id="358"/>
      <w:r w:rsidRPr="00AE1B2B">
        <w:rPr>
          <w:rFonts w:ascii="Times New Roman" w:hAnsi="Times New Roman" w:eastAsia="Calibri" w:cs="Times New Roman"/>
          <w:b/>
          <w:bCs/>
          <w:sz w:val="26"/>
          <w:szCs w:val="26"/>
        </w:rPr>
        <w:t>. Reuniones Restaurativas en materia Penal Juvenil durante el I y II Trimestre del 2020.</w:t>
      </w:r>
    </w:p>
    <w:tbl>
      <w:tblPr>
        <w:tblW w:w="9278" w:type="dxa"/>
        <w:tblBorders>
          <w:top w:val="double" w:color="002060" w:sz="6" w:space="0"/>
          <w:left w:val="double" w:color="002060" w:sz="6" w:space="0"/>
          <w:bottom w:val="double" w:color="002060" w:sz="6" w:space="0"/>
          <w:right w:val="double" w:color="002060" w:sz="6" w:space="0"/>
          <w:insideH w:val="double" w:color="002060" w:sz="6" w:space="0"/>
          <w:insideV w:val="double" w:color="002060" w:sz="6" w:space="0"/>
        </w:tblBorders>
        <w:tblCellMar>
          <w:left w:w="70" w:type="dxa"/>
          <w:right w:w="70" w:type="dxa"/>
        </w:tblCellMar>
        <w:tblLook w:val="04A0" w:firstRow="1" w:lastRow="0" w:firstColumn="1" w:lastColumn="0" w:noHBand="0" w:noVBand="1"/>
      </w:tblPr>
      <w:tblGrid>
        <w:gridCol w:w="3793"/>
        <w:gridCol w:w="1124"/>
        <w:gridCol w:w="1162"/>
        <w:gridCol w:w="1162"/>
        <w:gridCol w:w="1162"/>
        <w:gridCol w:w="875"/>
      </w:tblGrid>
      <w:tr w:rsidRPr="00AE1B2B" w:rsidR="00AE1B2B" w:rsidTr="009D3FB5" w14:paraId="4CAF2DC8" w14:textId="77777777">
        <w:trPr>
          <w:trHeight w:val="321"/>
        </w:trPr>
        <w:tc>
          <w:tcPr>
            <w:tcW w:w="3793" w:type="dxa"/>
            <w:vMerge w:val="restart"/>
            <w:shd w:val="clear" w:color="000000" w:fill="365F91"/>
            <w:noWrap/>
            <w:vAlign w:val="center"/>
            <w:hideMark/>
          </w:tcPr>
          <w:p w:rsidRPr="00AE1B2B" w:rsidR="009D3FB5" w:rsidP="00163B94" w:rsidRDefault="009D3FB5" w14:paraId="0A022D9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Circuito Judicial</w:t>
            </w:r>
          </w:p>
        </w:tc>
        <w:tc>
          <w:tcPr>
            <w:tcW w:w="5485" w:type="dxa"/>
            <w:gridSpan w:val="5"/>
            <w:shd w:val="clear" w:color="000000" w:fill="365F91"/>
            <w:noWrap/>
            <w:vAlign w:val="center"/>
            <w:hideMark/>
          </w:tcPr>
          <w:p w:rsidRPr="00AE1B2B" w:rsidR="009D3FB5" w:rsidP="00163B94" w:rsidRDefault="009D3FB5" w14:paraId="109C066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Reuniones programadas I y II Semestre 2020</w:t>
            </w:r>
          </w:p>
        </w:tc>
      </w:tr>
      <w:tr w:rsidRPr="00AE1B2B" w:rsidR="00AE1B2B" w:rsidTr="009D3FB5" w14:paraId="7923F411" w14:textId="77777777">
        <w:trPr>
          <w:trHeight w:val="321"/>
        </w:trPr>
        <w:tc>
          <w:tcPr>
            <w:tcW w:w="3793" w:type="dxa"/>
            <w:vMerge/>
            <w:vAlign w:val="center"/>
            <w:hideMark/>
          </w:tcPr>
          <w:p w:rsidRPr="00AE1B2B" w:rsidR="009D3FB5" w:rsidP="00163B94" w:rsidRDefault="009D3FB5" w14:paraId="777C359C" w14:textId="77777777">
            <w:pPr>
              <w:spacing w:before="120" w:after="120"/>
              <w:rPr>
                <w:rFonts w:ascii="Times New Roman" w:hAnsi="Times New Roman" w:eastAsia="Times New Roman" w:cs="Times New Roman"/>
                <w:sz w:val="20"/>
                <w:szCs w:val="20"/>
                <w:lang w:eastAsia="es-CR"/>
              </w:rPr>
            </w:pPr>
          </w:p>
        </w:tc>
        <w:tc>
          <w:tcPr>
            <w:tcW w:w="1124" w:type="dxa"/>
            <w:shd w:val="clear" w:color="000000" w:fill="365F91"/>
            <w:noWrap/>
            <w:vAlign w:val="center"/>
            <w:hideMark/>
          </w:tcPr>
          <w:p w:rsidRPr="00AE1B2B" w:rsidR="009D3FB5" w:rsidP="00163B94" w:rsidRDefault="009D3FB5" w14:paraId="7321875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Realizadas</w:t>
            </w:r>
          </w:p>
        </w:tc>
        <w:tc>
          <w:tcPr>
            <w:tcW w:w="1162" w:type="dxa"/>
            <w:shd w:val="clear" w:color="000000" w:fill="365F91"/>
            <w:noWrap/>
            <w:vAlign w:val="center"/>
            <w:hideMark/>
          </w:tcPr>
          <w:p w:rsidRPr="00AE1B2B" w:rsidR="009D3FB5" w:rsidP="00163B94" w:rsidRDefault="009D3FB5" w14:paraId="68524DE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Porcentaje</w:t>
            </w:r>
          </w:p>
        </w:tc>
        <w:tc>
          <w:tcPr>
            <w:tcW w:w="1162" w:type="dxa"/>
            <w:shd w:val="clear" w:color="000000" w:fill="365F91"/>
            <w:noWrap/>
            <w:vAlign w:val="center"/>
            <w:hideMark/>
          </w:tcPr>
          <w:p w:rsidRPr="00AE1B2B" w:rsidR="009D3FB5" w:rsidP="00163B94" w:rsidRDefault="009D3FB5" w14:paraId="3883786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No realizadas</w:t>
            </w:r>
          </w:p>
        </w:tc>
        <w:tc>
          <w:tcPr>
            <w:tcW w:w="1162" w:type="dxa"/>
            <w:shd w:val="clear" w:color="000000" w:fill="365F91"/>
            <w:noWrap/>
            <w:vAlign w:val="center"/>
            <w:hideMark/>
          </w:tcPr>
          <w:p w:rsidRPr="00AE1B2B" w:rsidR="009D3FB5" w:rsidP="00163B94" w:rsidRDefault="009D3FB5" w14:paraId="26AEC6F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Porcentaje</w:t>
            </w:r>
          </w:p>
        </w:tc>
        <w:tc>
          <w:tcPr>
            <w:tcW w:w="875" w:type="dxa"/>
            <w:shd w:val="clear" w:color="000000" w:fill="365F91"/>
            <w:noWrap/>
            <w:vAlign w:val="center"/>
            <w:hideMark/>
          </w:tcPr>
          <w:p w:rsidRPr="00AE1B2B" w:rsidR="009D3FB5" w:rsidP="00163B94" w:rsidRDefault="009D3FB5" w14:paraId="1A13800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Total</w:t>
            </w:r>
          </w:p>
        </w:tc>
      </w:tr>
      <w:tr w:rsidRPr="00AE1B2B" w:rsidR="00AE1B2B" w:rsidTr="009D3FB5" w14:paraId="608D9183" w14:textId="77777777">
        <w:trPr>
          <w:trHeight w:val="321"/>
        </w:trPr>
        <w:tc>
          <w:tcPr>
            <w:tcW w:w="3793" w:type="dxa"/>
            <w:shd w:val="clear" w:color="auto" w:fill="auto"/>
            <w:noWrap/>
            <w:vAlign w:val="bottom"/>
            <w:hideMark/>
          </w:tcPr>
          <w:p w:rsidRPr="00AE1B2B" w:rsidR="009D3FB5" w:rsidP="00163B94" w:rsidRDefault="009D3FB5" w14:paraId="73573AB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San José</w:t>
            </w:r>
          </w:p>
        </w:tc>
        <w:tc>
          <w:tcPr>
            <w:tcW w:w="1124" w:type="dxa"/>
            <w:shd w:val="clear" w:color="auto" w:fill="auto"/>
            <w:noWrap/>
            <w:vAlign w:val="bottom"/>
            <w:hideMark/>
          </w:tcPr>
          <w:p w:rsidRPr="00AE1B2B" w:rsidR="009D3FB5" w:rsidP="00163B94" w:rsidRDefault="009D3FB5" w14:paraId="7474792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28</w:t>
            </w:r>
          </w:p>
        </w:tc>
        <w:tc>
          <w:tcPr>
            <w:tcW w:w="1162" w:type="dxa"/>
            <w:shd w:val="clear" w:color="auto" w:fill="auto"/>
            <w:noWrap/>
            <w:vAlign w:val="bottom"/>
            <w:hideMark/>
          </w:tcPr>
          <w:p w:rsidRPr="00AE1B2B" w:rsidR="009D3FB5" w:rsidP="00163B94" w:rsidRDefault="009D3FB5" w14:paraId="33581AE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72%</w:t>
            </w:r>
          </w:p>
        </w:tc>
        <w:tc>
          <w:tcPr>
            <w:tcW w:w="1162" w:type="dxa"/>
            <w:shd w:val="clear" w:color="auto" w:fill="auto"/>
            <w:noWrap/>
            <w:vAlign w:val="bottom"/>
            <w:hideMark/>
          </w:tcPr>
          <w:p w:rsidRPr="00AE1B2B" w:rsidR="009D3FB5" w:rsidP="00163B94" w:rsidRDefault="009D3FB5" w14:paraId="560C7B5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11</w:t>
            </w:r>
          </w:p>
        </w:tc>
        <w:tc>
          <w:tcPr>
            <w:tcW w:w="1162" w:type="dxa"/>
            <w:shd w:val="clear" w:color="auto" w:fill="auto"/>
            <w:noWrap/>
            <w:vAlign w:val="bottom"/>
            <w:hideMark/>
          </w:tcPr>
          <w:p w:rsidRPr="00AE1B2B" w:rsidR="009D3FB5" w:rsidP="00163B94" w:rsidRDefault="009D3FB5" w14:paraId="37E387C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28%</w:t>
            </w:r>
          </w:p>
        </w:tc>
        <w:tc>
          <w:tcPr>
            <w:tcW w:w="875" w:type="dxa"/>
            <w:shd w:val="clear" w:color="auto" w:fill="auto"/>
            <w:noWrap/>
            <w:vAlign w:val="bottom"/>
            <w:hideMark/>
          </w:tcPr>
          <w:p w:rsidRPr="00AE1B2B" w:rsidR="009D3FB5" w:rsidP="00163B94" w:rsidRDefault="009D3FB5" w14:paraId="2EDC9D5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39</w:t>
            </w:r>
          </w:p>
        </w:tc>
      </w:tr>
      <w:tr w:rsidRPr="00AE1B2B" w:rsidR="00AE1B2B" w:rsidTr="009D3FB5" w14:paraId="09E8AA4A" w14:textId="77777777">
        <w:trPr>
          <w:trHeight w:val="321"/>
        </w:trPr>
        <w:tc>
          <w:tcPr>
            <w:tcW w:w="3793" w:type="dxa"/>
            <w:shd w:val="clear" w:color="auto" w:fill="auto"/>
            <w:noWrap/>
            <w:vAlign w:val="bottom"/>
            <w:hideMark/>
          </w:tcPr>
          <w:p w:rsidRPr="00AE1B2B" w:rsidR="009D3FB5" w:rsidP="00163B94" w:rsidRDefault="009D3FB5" w14:paraId="3214262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Cartago</w:t>
            </w:r>
          </w:p>
        </w:tc>
        <w:tc>
          <w:tcPr>
            <w:tcW w:w="1124" w:type="dxa"/>
            <w:shd w:val="clear" w:color="auto" w:fill="auto"/>
            <w:noWrap/>
            <w:vAlign w:val="bottom"/>
            <w:hideMark/>
          </w:tcPr>
          <w:p w:rsidRPr="00AE1B2B" w:rsidR="009D3FB5" w:rsidP="00163B94" w:rsidRDefault="009D3FB5" w14:paraId="4A09998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11</w:t>
            </w:r>
          </w:p>
        </w:tc>
        <w:tc>
          <w:tcPr>
            <w:tcW w:w="1162" w:type="dxa"/>
            <w:shd w:val="clear" w:color="auto" w:fill="auto"/>
            <w:noWrap/>
            <w:vAlign w:val="bottom"/>
            <w:hideMark/>
          </w:tcPr>
          <w:p w:rsidRPr="00AE1B2B" w:rsidR="009D3FB5" w:rsidP="00163B94" w:rsidRDefault="009D3FB5" w14:paraId="6D53188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65%</w:t>
            </w:r>
          </w:p>
        </w:tc>
        <w:tc>
          <w:tcPr>
            <w:tcW w:w="1162" w:type="dxa"/>
            <w:shd w:val="clear" w:color="auto" w:fill="auto"/>
            <w:noWrap/>
            <w:vAlign w:val="bottom"/>
            <w:hideMark/>
          </w:tcPr>
          <w:p w:rsidRPr="00AE1B2B" w:rsidR="009D3FB5" w:rsidP="00163B94" w:rsidRDefault="009D3FB5" w14:paraId="27E08FA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w:t>
            </w:r>
          </w:p>
        </w:tc>
        <w:tc>
          <w:tcPr>
            <w:tcW w:w="1162" w:type="dxa"/>
            <w:shd w:val="clear" w:color="auto" w:fill="auto"/>
            <w:noWrap/>
            <w:vAlign w:val="bottom"/>
            <w:hideMark/>
          </w:tcPr>
          <w:p w:rsidRPr="00AE1B2B" w:rsidR="009D3FB5" w:rsidP="00163B94" w:rsidRDefault="009D3FB5" w14:paraId="6CF4559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35%</w:t>
            </w:r>
          </w:p>
        </w:tc>
        <w:tc>
          <w:tcPr>
            <w:tcW w:w="875" w:type="dxa"/>
            <w:shd w:val="clear" w:color="auto" w:fill="auto"/>
            <w:noWrap/>
            <w:vAlign w:val="bottom"/>
            <w:hideMark/>
          </w:tcPr>
          <w:p w:rsidRPr="00AE1B2B" w:rsidR="009D3FB5" w:rsidP="00163B94" w:rsidRDefault="009D3FB5" w14:paraId="7484136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17</w:t>
            </w:r>
          </w:p>
        </w:tc>
      </w:tr>
      <w:tr w:rsidRPr="00AE1B2B" w:rsidR="00AE1B2B" w:rsidTr="009D3FB5" w14:paraId="0C8E7E78" w14:textId="77777777">
        <w:trPr>
          <w:trHeight w:val="321"/>
        </w:trPr>
        <w:tc>
          <w:tcPr>
            <w:tcW w:w="3793" w:type="dxa"/>
            <w:shd w:val="clear" w:color="auto" w:fill="auto"/>
            <w:noWrap/>
            <w:vAlign w:val="bottom"/>
            <w:hideMark/>
          </w:tcPr>
          <w:p w:rsidRPr="00AE1B2B" w:rsidR="009D3FB5" w:rsidP="00163B94" w:rsidRDefault="009D3FB5" w14:paraId="3DD98CF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Heredia</w:t>
            </w:r>
          </w:p>
        </w:tc>
        <w:tc>
          <w:tcPr>
            <w:tcW w:w="1124" w:type="dxa"/>
            <w:shd w:val="clear" w:color="auto" w:fill="auto"/>
            <w:noWrap/>
            <w:vAlign w:val="bottom"/>
            <w:hideMark/>
          </w:tcPr>
          <w:p w:rsidRPr="00AE1B2B" w:rsidR="009D3FB5" w:rsidP="00163B94" w:rsidRDefault="009D3FB5" w14:paraId="5E01760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1162" w:type="dxa"/>
            <w:shd w:val="clear" w:color="auto" w:fill="auto"/>
            <w:noWrap/>
            <w:vAlign w:val="bottom"/>
            <w:hideMark/>
          </w:tcPr>
          <w:p w:rsidRPr="00AE1B2B" w:rsidR="009D3FB5" w:rsidP="00163B94" w:rsidRDefault="009D3FB5" w14:paraId="791AFC3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1162" w:type="dxa"/>
            <w:shd w:val="clear" w:color="auto" w:fill="auto"/>
            <w:noWrap/>
            <w:vAlign w:val="bottom"/>
            <w:hideMark/>
          </w:tcPr>
          <w:p w:rsidRPr="00AE1B2B" w:rsidR="009D3FB5" w:rsidP="00163B94" w:rsidRDefault="009D3FB5" w14:paraId="1B4B5B0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1162" w:type="dxa"/>
            <w:shd w:val="clear" w:color="auto" w:fill="auto"/>
            <w:noWrap/>
            <w:vAlign w:val="bottom"/>
            <w:hideMark/>
          </w:tcPr>
          <w:p w:rsidRPr="00AE1B2B" w:rsidR="009D3FB5" w:rsidP="00163B94" w:rsidRDefault="009D3FB5" w14:paraId="34EFA4C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875" w:type="dxa"/>
            <w:shd w:val="clear" w:color="auto" w:fill="auto"/>
            <w:noWrap/>
            <w:vAlign w:val="bottom"/>
            <w:hideMark/>
          </w:tcPr>
          <w:p w:rsidRPr="00AE1B2B" w:rsidR="009D3FB5" w:rsidP="00163B94" w:rsidRDefault="009D3FB5" w14:paraId="68908D6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r>
      <w:tr w:rsidRPr="00AE1B2B" w:rsidR="00AE1B2B" w:rsidTr="009D3FB5" w14:paraId="1E204FE1" w14:textId="77777777">
        <w:trPr>
          <w:trHeight w:val="321"/>
        </w:trPr>
        <w:tc>
          <w:tcPr>
            <w:tcW w:w="3793" w:type="dxa"/>
            <w:shd w:val="clear" w:color="auto" w:fill="auto"/>
            <w:noWrap/>
            <w:vAlign w:val="bottom"/>
            <w:hideMark/>
          </w:tcPr>
          <w:p w:rsidRPr="00AE1B2B" w:rsidR="009D3FB5" w:rsidP="00163B94" w:rsidRDefault="009D3FB5" w14:paraId="51967C5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Alajuela</w:t>
            </w:r>
          </w:p>
        </w:tc>
        <w:tc>
          <w:tcPr>
            <w:tcW w:w="1124" w:type="dxa"/>
            <w:shd w:val="clear" w:color="auto" w:fill="auto"/>
            <w:noWrap/>
            <w:vAlign w:val="bottom"/>
            <w:hideMark/>
          </w:tcPr>
          <w:p w:rsidRPr="00AE1B2B" w:rsidR="009D3FB5" w:rsidP="00163B94" w:rsidRDefault="009D3FB5" w14:paraId="152CD8A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11</w:t>
            </w:r>
          </w:p>
        </w:tc>
        <w:tc>
          <w:tcPr>
            <w:tcW w:w="1162" w:type="dxa"/>
            <w:shd w:val="clear" w:color="auto" w:fill="auto"/>
            <w:noWrap/>
            <w:vAlign w:val="bottom"/>
            <w:hideMark/>
          </w:tcPr>
          <w:p w:rsidRPr="00AE1B2B" w:rsidR="009D3FB5" w:rsidP="00163B94" w:rsidRDefault="009D3FB5" w14:paraId="7480E16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73%</w:t>
            </w:r>
          </w:p>
        </w:tc>
        <w:tc>
          <w:tcPr>
            <w:tcW w:w="1162" w:type="dxa"/>
            <w:shd w:val="clear" w:color="auto" w:fill="auto"/>
            <w:noWrap/>
            <w:vAlign w:val="bottom"/>
            <w:hideMark/>
          </w:tcPr>
          <w:p w:rsidRPr="00AE1B2B" w:rsidR="009D3FB5" w:rsidP="00163B94" w:rsidRDefault="009D3FB5" w14:paraId="0F53F8A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w:t>
            </w:r>
          </w:p>
        </w:tc>
        <w:tc>
          <w:tcPr>
            <w:tcW w:w="1162" w:type="dxa"/>
            <w:shd w:val="clear" w:color="auto" w:fill="auto"/>
            <w:noWrap/>
            <w:vAlign w:val="bottom"/>
            <w:hideMark/>
          </w:tcPr>
          <w:p w:rsidRPr="00AE1B2B" w:rsidR="009D3FB5" w:rsidP="00163B94" w:rsidRDefault="009D3FB5" w14:paraId="2375BB4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27%</w:t>
            </w:r>
          </w:p>
        </w:tc>
        <w:tc>
          <w:tcPr>
            <w:tcW w:w="875" w:type="dxa"/>
            <w:shd w:val="clear" w:color="auto" w:fill="auto"/>
            <w:noWrap/>
            <w:vAlign w:val="bottom"/>
            <w:hideMark/>
          </w:tcPr>
          <w:p w:rsidRPr="00AE1B2B" w:rsidR="009D3FB5" w:rsidP="00163B94" w:rsidRDefault="009D3FB5" w14:paraId="769DC87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15</w:t>
            </w:r>
          </w:p>
        </w:tc>
      </w:tr>
      <w:tr w:rsidRPr="00AE1B2B" w:rsidR="00AE1B2B" w:rsidTr="009D3FB5" w14:paraId="0DA9C76C" w14:textId="77777777">
        <w:trPr>
          <w:trHeight w:val="321"/>
        </w:trPr>
        <w:tc>
          <w:tcPr>
            <w:tcW w:w="3793" w:type="dxa"/>
            <w:shd w:val="clear" w:color="auto" w:fill="auto"/>
            <w:noWrap/>
            <w:vAlign w:val="bottom"/>
            <w:hideMark/>
          </w:tcPr>
          <w:p w:rsidRPr="00AE1B2B" w:rsidR="009D3FB5" w:rsidP="00163B94" w:rsidRDefault="009D3FB5" w14:paraId="58A52BB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San Ramón</w:t>
            </w:r>
          </w:p>
        </w:tc>
        <w:tc>
          <w:tcPr>
            <w:tcW w:w="1124" w:type="dxa"/>
            <w:shd w:val="clear" w:color="auto" w:fill="auto"/>
            <w:noWrap/>
            <w:vAlign w:val="bottom"/>
            <w:hideMark/>
          </w:tcPr>
          <w:p w:rsidRPr="00AE1B2B" w:rsidR="009D3FB5" w:rsidP="00163B94" w:rsidRDefault="009D3FB5" w14:paraId="538A5E5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w:t>
            </w:r>
          </w:p>
        </w:tc>
        <w:tc>
          <w:tcPr>
            <w:tcW w:w="1162" w:type="dxa"/>
            <w:shd w:val="clear" w:color="auto" w:fill="auto"/>
            <w:noWrap/>
            <w:vAlign w:val="bottom"/>
            <w:hideMark/>
          </w:tcPr>
          <w:p w:rsidRPr="00AE1B2B" w:rsidR="009D3FB5" w:rsidP="00163B94" w:rsidRDefault="009D3FB5" w14:paraId="7E53556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100%</w:t>
            </w:r>
          </w:p>
        </w:tc>
        <w:tc>
          <w:tcPr>
            <w:tcW w:w="1162" w:type="dxa"/>
            <w:shd w:val="clear" w:color="auto" w:fill="auto"/>
            <w:noWrap/>
            <w:vAlign w:val="bottom"/>
            <w:hideMark/>
          </w:tcPr>
          <w:p w:rsidRPr="00AE1B2B" w:rsidR="009D3FB5" w:rsidP="00163B94" w:rsidRDefault="009D3FB5" w14:paraId="5DFF2F2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1162" w:type="dxa"/>
            <w:shd w:val="clear" w:color="auto" w:fill="auto"/>
            <w:noWrap/>
            <w:vAlign w:val="bottom"/>
            <w:hideMark/>
          </w:tcPr>
          <w:p w:rsidRPr="00AE1B2B" w:rsidR="009D3FB5" w:rsidP="00163B94" w:rsidRDefault="009D3FB5" w14:paraId="21C1890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875" w:type="dxa"/>
            <w:shd w:val="clear" w:color="auto" w:fill="auto"/>
            <w:noWrap/>
            <w:vAlign w:val="bottom"/>
            <w:hideMark/>
          </w:tcPr>
          <w:p w:rsidRPr="00AE1B2B" w:rsidR="009D3FB5" w:rsidP="00163B94" w:rsidRDefault="009D3FB5" w14:paraId="18B25D1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w:t>
            </w:r>
          </w:p>
        </w:tc>
      </w:tr>
      <w:tr w:rsidRPr="00AE1B2B" w:rsidR="00AE1B2B" w:rsidTr="009D3FB5" w14:paraId="25259C38" w14:textId="77777777">
        <w:trPr>
          <w:trHeight w:val="321"/>
        </w:trPr>
        <w:tc>
          <w:tcPr>
            <w:tcW w:w="3793" w:type="dxa"/>
            <w:shd w:val="clear" w:color="auto" w:fill="auto"/>
            <w:noWrap/>
            <w:vAlign w:val="bottom"/>
            <w:hideMark/>
          </w:tcPr>
          <w:p w:rsidRPr="00AE1B2B" w:rsidR="009D3FB5" w:rsidP="00163B94" w:rsidRDefault="009D3FB5" w14:paraId="4554371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Puntarenas</w:t>
            </w:r>
          </w:p>
        </w:tc>
        <w:tc>
          <w:tcPr>
            <w:tcW w:w="1124" w:type="dxa"/>
            <w:shd w:val="clear" w:color="auto" w:fill="auto"/>
            <w:noWrap/>
            <w:vAlign w:val="bottom"/>
            <w:hideMark/>
          </w:tcPr>
          <w:p w:rsidRPr="00AE1B2B" w:rsidR="009D3FB5" w:rsidP="00163B94" w:rsidRDefault="009D3FB5" w14:paraId="4AD1C09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w:t>
            </w:r>
          </w:p>
        </w:tc>
        <w:tc>
          <w:tcPr>
            <w:tcW w:w="1162" w:type="dxa"/>
            <w:shd w:val="clear" w:color="auto" w:fill="auto"/>
            <w:noWrap/>
            <w:vAlign w:val="bottom"/>
            <w:hideMark/>
          </w:tcPr>
          <w:p w:rsidRPr="00AE1B2B" w:rsidR="009D3FB5" w:rsidP="00163B94" w:rsidRDefault="009D3FB5" w14:paraId="6BD7831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60%</w:t>
            </w:r>
          </w:p>
        </w:tc>
        <w:tc>
          <w:tcPr>
            <w:tcW w:w="1162" w:type="dxa"/>
            <w:shd w:val="clear" w:color="auto" w:fill="auto"/>
            <w:noWrap/>
            <w:vAlign w:val="bottom"/>
            <w:hideMark/>
          </w:tcPr>
          <w:p w:rsidRPr="00AE1B2B" w:rsidR="009D3FB5" w:rsidP="00163B94" w:rsidRDefault="009D3FB5" w14:paraId="45CD798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w:t>
            </w:r>
          </w:p>
        </w:tc>
        <w:tc>
          <w:tcPr>
            <w:tcW w:w="1162" w:type="dxa"/>
            <w:shd w:val="clear" w:color="auto" w:fill="auto"/>
            <w:noWrap/>
            <w:vAlign w:val="bottom"/>
            <w:hideMark/>
          </w:tcPr>
          <w:p w:rsidRPr="00AE1B2B" w:rsidR="009D3FB5" w:rsidP="00163B94" w:rsidRDefault="009D3FB5" w14:paraId="76BB037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40%</w:t>
            </w:r>
          </w:p>
        </w:tc>
        <w:tc>
          <w:tcPr>
            <w:tcW w:w="875" w:type="dxa"/>
            <w:shd w:val="clear" w:color="auto" w:fill="auto"/>
            <w:noWrap/>
            <w:vAlign w:val="bottom"/>
            <w:hideMark/>
          </w:tcPr>
          <w:p w:rsidRPr="00AE1B2B" w:rsidR="009D3FB5" w:rsidP="00163B94" w:rsidRDefault="009D3FB5" w14:paraId="7F8179A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w:t>
            </w:r>
          </w:p>
        </w:tc>
      </w:tr>
      <w:tr w:rsidRPr="00AE1B2B" w:rsidR="00AE1B2B" w:rsidTr="009D3FB5" w14:paraId="6BC367AA" w14:textId="77777777">
        <w:trPr>
          <w:trHeight w:val="321"/>
        </w:trPr>
        <w:tc>
          <w:tcPr>
            <w:tcW w:w="3793" w:type="dxa"/>
            <w:shd w:val="clear" w:color="auto" w:fill="auto"/>
            <w:noWrap/>
            <w:vAlign w:val="bottom"/>
            <w:hideMark/>
          </w:tcPr>
          <w:p w:rsidRPr="00AE1B2B" w:rsidR="009D3FB5" w:rsidP="00163B94" w:rsidRDefault="009D3FB5" w14:paraId="2EE6D70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la Zona Atlántica</w:t>
            </w:r>
          </w:p>
        </w:tc>
        <w:tc>
          <w:tcPr>
            <w:tcW w:w="1124" w:type="dxa"/>
            <w:shd w:val="clear" w:color="auto" w:fill="auto"/>
            <w:noWrap/>
            <w:vAlign w:val="bottom"/>
            <w:hideMark/>
          </w:tcPr>
          <w:p w:rsidRPr="00AE1B2B" w:rsidR="009D3FB5" w:rsidP="00163B94" w:rsidRDefault="009D3FB5" w14:paraId="68D2FFD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9</w:t>
            </w:r>
          </w:p>
        </w:tc>
        <w:tc>
          <w:tcPr>
            <w:tcW w:w="1162" w:type="dxa"/>
            <w:shd w:val="clear" w:color="auto" w:fill="auto"/>
            <w:noWrap/>
            <w:vAlign w:val="bottom"/>
            <w:hideMark/>
          </w:tcPr>
          <w:p w:rsidRPr="00AE1B2B" w:rsidR="009D3FB5" w:rsidP="00163B94" w:rsidRDefault="009D3FB5" w14:paraId="01AE3AC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100%</w:t>
            </w:r>
          </w:p>
        </w:tc>
        <w:tc>
          <w:tcPr>
            <w:tcW w:w="1162" w:type="dxa"/>
            <w:shd w:val="clear" w:color="auto" w:fill="auto"/>
            <w:noWrap/>
            <w:vAlign w:val="bottom"/>
            <w:hideMark/>
          </w:tcPr>
          <w:p w:rsidRPr="00AE1B2B" w:rsidR="009D3FB5" w:rsidP="00163B94" w:rsidRDefault="009D3FB5" w14:paraId="1411529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1162" w:type="dxa"/>
            <w:shd w:val="clear" w:color="auto" w:fill="auto"/>
            <w:noWrap/>
            <w:vAlign w:val="bottom"/>
            <w:hideMark/>
          </w:tcPr>
          <w:p w:rsidRPr="00AE1B2B" w:rsidR="009D3FB5" w:rsidP="00163B94" w:rsidRDefault="009D3FB5" w14:paraId="779B099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875" w:type="dxa"/>
            <w:shd w:val="clear" w:color="auto" w:fill="auto"/>
            <w:noWrap/>
            <w:vAlign w:val="bottom"/>
            <w:hideMark/>
          </w:tcPr>
          <w:p w:rsidRPr="00AE1B2B" w:rsidR="009D3FB5" w:rsidP="00163B94" w:rsidRDefault="009D3FB5" w14:paraId="11CC757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9</w:t>
            </w:r>
          </w:p>
        </w:tc>
      </w:tr>
      <w:tr w:rsidRPr="00AE1B2B" w:rsidR="00AE1B2B" w:rsidTr="009D3FB5" w14:paraId="557E4BB7" w14:textId="77777777">
        <w:trPr>
          <w:trHeight w:val="321"/>
        </w:trPr>
        <w:tc>
          <w:tcPr>
            <w:tcW w:w="3793" w:type="dxa"/>
            <w:shd w:val="clear" w:color="auto" w:fill="auto"/>
            <w:noWrap/>
            <w:vAlign w:val="bottom"/>
            <w:hideMark/>
          </w:tcPr>
          <w:p w:rsidRPr="00AE1B2B" w:rsidR="009D3FB5" w:rsidP="00163B94" w:rsidRDefault="009D3FB5" w14:paraId="426CD44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lastRenderedPageBreak/>
              <w:t>II Circuito Judicial de la Zona Atlántica</w:t>
            </w:r>
          </w:p>
        </w:tc>
        <w:tc>
          <w:tcPr>
            <w:tcW w:w="1124" w:type="dxa"/>
            <w:shd w:val="clear" w:color="auto" w:fill="auto"/>
            <w:noWrap/>
            <w:vAlign w:val="bottom"/>
            <w:hideMark/>
          </w:tcPr>
          <w:p w:rsidRPr="00AE1B2B" w:rsidR="009D3FB5" w:rsidP="00163B94" w:rsidRDefault="009D3FB5" w14:paraId="64177FE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8</w:t>
            </w:r>
          </w:p>
        </w:tc>
        <w:tc>
          <w:tcPr>
            <w:tcW w:w="1162" w:type="dxa"/>
            <w:shd w:val="clear" w:color="auto" w:fill="auto"/>
            <w:noWrap/>
            <w:vAlign w:val="bottom"/>
            <w:hideMark/>
          </w:tcPr>
          <w:p w:rsidRPr="00AE1B2B" w:rsidR="009D3FB5" w:rsidP="00163B94" w:rsidRDefault="009D3FB5" w14:paraId="7491B26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73%</w:t>
            </w:r>
          </w:p>
        </w:tc>
        <w:tc>
          <w:tcPr>
            <w:tcW w:w="1162" w:type="dxa"/>
            <w:shd w:val="clear" w:color="auto" w:fill="auto"/>
            <w:noWrap/>
            <w:vAlign w:val="bottom"/>
            <w:hideMark/>
          </w:tcPr>
          <w:p w:rsidRPr="00AE1B2B" w:rsidR="009D3FB5" w:rsidP="00163B94" w:rsidRDefault="009D3FB5" w14:paraId="1476073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w:t>
            </w:r>
          </w:p>
        </w:tc>
        <w:tc>
          <w:tcPr>
            <w:tcW w:w="1162" w:type="dxa"/>
            <w:shd w:val="clear" w:color="auto" w:fill="auto"/>
            <w:noWrap/>
            <w:vAlign w:val="bottom"/>
            <w:hideMark/>
          </w:tcPr>
          <w:p w:rsidRPr="00AE1B2B" w:rsidR="009D3FB5" w:rsidP="00163B94" w:rsidRDefault="009D3FB5" w14:paraId="0EFE9A5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27%</w:t>
            </w:r>
          </w:p>
        </w:tc>
        <w:tc>
          <w:tcPr>
            <w:tcW w:w="875" w:type="dxa"/>
            <w:shd w:val="clear" w:color="auto" w:fill="auto"/>
            <w:noWrap/>
            <w:vAlign w:val="bottom"/>
            <w:hideMark/>
          </w:tcPr>
          <w:p w:rsidRPr="00AE1B2B" w:rsidR="009D3FB5" w:rsidP="00163B94" w:rsidRDefault="009D3FB5" w14:paraId="58732C7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11</w:t>
            </w:r>
          </w:p>
        </w:tc>
      </w:tr>
      <w:tr w:rsidRPr="00AE1B2B" w:rsidR="00AE1B2B" w:rsidTr="009D3FB5" w14:paraId="3351FF18" w14:textId="77777777">
        <w:trPr>
          <w:trHeight w:val="321"/>
        </w:trPr>
        <w:tc>
          <w:tcPr>
            <w:tcW w:w="3793" w:type="dxa"/>
            <w:shd w:val="clear" w:color="auto" w:fill="auto"/>
            <w:noWrap/>
            <w:vAlign w:val="bottom"/>
            <w:hideMark/>
          </w:tcPr>
          <w:p w:rsidRPr="00AE1B2B" w:rsidR="009D3FB5" w:rsidP="00163B94" w:rsidRDefault="009D3FB5" w14:paraId="692B8DE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la Zona Sur</w:t>
            </w:r>
          </w:p>
        </w:tc>
        <w:tc>
          <w:tcPr>
            <w:tcW w:w="1124" w:type="dxa"/>
            <w:shd w:val="clear" w:color="auto" w:fill="auto"/>
            <w:noWrap/>
            <w:vAlign w:val="bottom"/>
            <w:hideMark/>
          </w:tcPr>
          <w:p w:rsidRPr="00AE1B2B" w:rsidR="009D3FB5" w:rsidP="00163B94" w:rsidRDefault="009D3FB5" w14:paraId="46F0FD9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w:t>
            </w:r>
          </w:p>
        </w:tc>
        <w:tc>
          <w:tcPr>
            <w:tcW w:w="1162" w:type="dxa"/>
            <w:shd w:val="clear" w:color="auto" w:fill="auto"/>
            <w:noWrap/>
            <w:vAlign w:val="bottom"/>
            <w:hideMark/>
          </w:tcPr>
          <w:p w:rsidRPr="00AE1B2B" w:rsidR="009D3FB5" w:rsidP="00163B94" w:rsidRDefault="009D3FB5" w14:paraId="263D55A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50%</w:t>
            </w:r>
          </w:p>
        </w:tc>
        <w:tc>
          <w:tcPr>
            <w:tcW w:w="1162" w:type="dxa"/>
            <w:shd w:val="clear" w:color="auto" w:fill="auto"/>
            <w:noWrap/>
            <w:vAlign w:val="bottom"/>
            <w:hideMark/>
          </w:tcPr>
          <w:p w:rsidRPr="00AE1B2B" w:rsidR="009D3FB5" w:rsidP="00163B94" w:rsidRDefault="009D3FB5" w14:paraId="1A0CED8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w:t>
            </w:r>
          </w:p>
        </w:tc>
        <w:tc>
          <w:tcPr>
            <w:tcW w:w="1162" w:type="dxa"/>
            <w:shd w:val="clear" w:color="auto" w:fill="auto"/>
            <w:noWrap/>
            <w:vAlign w:val="bottom"/>
            <w:hideMark/>
          </w:tcPr>
          <w:p w:rsidRPr="00AE1B2B" w:rsidR="009D3FB5" w:rsidP="00163B94" w:rsidRDefault="009D3FB5" w14:paraId="7D00E41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50%</w:t>
            </w:r>
          </w:p>
        </w:tc>
        <w:tc>
          <w:tcPr>
            <w:tcW w:w="875" w:type="dxa"/>
            <w:shd w:val="clear" w:color="auto" w:fill="auto"/>
            <w:noWrap/>
            <w:vAlign w:val="bottom"/>
            <w:hideMark/>
          </w:tcPr>
          <w:p w:rsidRPr="00AE1B2B" w:rsidR="009D3FB5" w:rsidP="00163B94" w:rsidRDefault="009D3FB5" w14:paraId="263AA82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8</w:t>
            </w:r>
          </w:p>
        </w:tc>
      </w:tr>
      <w:tr w:rsidRPr="00AE1B2B" w:rsidR="00AE1B2B" w:rsidTr="009D3FB5" w14:paraId="69B36A22" w14:textId="77777777">
        <w:trPr>
          <w:trHeight w:val="321"/>
        </w:trPr>
        <w:tc>
          <w:tcPr>
            <w:tcW w:w="3793" w:type="dxa"/>
            <w:shd w:val="clear" w:color="auto" w:fill="auto"/>
            <w:noWrap/>
            <w:vAlign w:val="bottom"/>
            <w:hideMark/>
          </w:tcPr>
          <w:p w:rsidRPr="00AE1B2B" w:rsidR="009D3FB5" w:rsidP="00163B94" w:rsidRDefault="009D3FB5" w14:paraId="6BB3F92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Guanacaste</w:t>
            </w:r>
          </w:p>
        </w:tc>
        <w:tc>
          <w:tcPr>
            <w:tcW w:w="1124" w:type="dxa"/>
            <w:shd w:val="clear" w:color="auto" w:fill="auto"/>
            <w:noWrap/>
            <w:vAlign w:val="bottom"/>
            <w:hideMark/>
          </w:tcPr>
          <w:p w:rsidRPr="00AE1B2B" w:rsidR="009D3FB5" w:rsidP="00163B94" w:rsidRDefault="009D3FB5" w14:paraId="726A71A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7</w:t>
            </w:r>
          </w:p>
        </w:tc>
        <w:tc>
          <w:tcPr>
            <w:tcW w:w="1162" w:type="dxa"/>
            <w:shd w:val="clear" w:color="auto" w:fill="auto"/>
            <w:noWrap/>
            <w:vAlign w:val="bottom"/>
            <w:hideMark/>
          </w:tcPr>
          <w:p w:rsidRPr="00AE1B2B" w:rsidR="009D3FB5" w:rsidP="00163B94" w:rsidRDefault="009D3FB5" w14:paraId="789648A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70%</w:t>
            </w:r>
          </w:p>
        </w:tc>
        <w:tc>
          <w:tcPr>
            <w:tcW w:w="1162" w:type="dxa"/>
            <w:shd w:val="clear" w:color="auto" w:fill="auto"/>
            <w:noWrap/>
            <w:vAlign w:val="bottom"/>
            <w:hideMark/>
          </w:tcPr>
          <w:p w:rsidRPr="00AE1B2B" w:rsidR="009D3FB5" w:rsidP="00163B94" w:rsidRDefault="009D3FB5" w14:paraId="386E827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w:t>
            </w:r>
          </w:p>
        </w:tc>
        <w:tc>
          <w:tcPr>
            <w:tcW w:w="1162" w:type="dxa"/>
            <w:shd w:val="clear" w:color="auto" w:fill="auto"/>
            <w:noWrap/>
            <w:vAlign w:val="bottom"/>
            <w:hideMark/>
          </w:tcPr>
          <w:p w:rsidRPr="00AE1B2B" w:rsidR="009D3FB5" w:rsidP="00163B94" w:rsidRDefault="009D3FB5" w14:paraId="0290E26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30%</w:t>
            </w:r>
          </w:p>
        </w:tc>
        <w:tc>
          <w:tcPr>
            <w:tcW w:w="875" w:type="dxa"/>
            <w:shd w:val="clear" w:color="auto" w:fill="auto"/>
            <w:noWrap/>
            <w:vAlign w:val="bottom"/>
            <w:hideMark/>
          </w:tcPr>
          <w:p w:rsidRPr="00AE1B2B" w:rsidR="009D3FB5" w:rsidP="00163B94" w:rsidRDefault="009D3FB5" w14:paraId="0B4B7AD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w:t>
            </w:r>
          </w:p>
        </w:tc>
      </w:tr>
      <w:tr w:rsidRPr="00AE1B2B" w:rsidR="00AE1B2B" w:rsidTr="009D3FB5" w14:paraId="2CC77EF1" w14:textId="77777777">
        <w:trPr>
          <w:trHeight w:val="321"/>
        </w:trPr>
        <w:tc>
          <w:tcPr>
            <w:tcW w:w="3793" w:type="dxa"/>
            <w:shd w:val="clear" w:color="auto" w:fill="auto"/>
            <w:noWrap/>
            <w:vAlign w:val="bottom"/>
          </w:tcPr>
          <w:p w:rsidRPr="00AE1B2B" w:rsidR="009D3FB5" w:rsidP="00163B94" w:rsidRDefault="009D3FB5" w14:paraId="22FB92C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Promedio Nacional</w:t>
            </w:r>
          </w:p>
        </w:tc>
        <w:tc>
          <w:tcPr>
            <w:tcW w:w="1124" w:type="dxa"/>
            <w:shd w:val="clear" w:color="auto" w:fill="auto"/>
            <w:noWrap/>
            <w:vAlign w:val="bottom"/>
          </w:tcPr>
          <w:p w:rsidRPr="00AE1B2B" w:rsidR="009D3FB5" w:rsidP="00163B94" w:rsidRDefault="009D3FB5" w14:paraId="2839BCB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8.6</w:t>
            </w:r>
          </w:p>
        </w:tc>
        <w:tc>
          <w:tcPr>
            <w:tcW w:w="1162" w:type="dxa"/>
            <w:shd w:val="clear" w:color="auto" w:fill="auto"/>
            <w:noWrap/>
            <w:vAlign w:val="bottom"/>
          </w:tcPr>
          <w:p w:rsidRPr="00AE1B2B" w:rsidR="009D3FB5" w:rsidP="00163B94" w:rsidRDefault="009D3FB5" w14:paraId="4A08D68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66%</w:t>
            </w:r>
          </w:p>
        </w:tc>
        <w:tc>
          <w:tcPr>
            <w:tcW w:w="1162" w:type="dxa"/>
            <w:shd w:val="clear" w:color="auto" w:fill="auto"/>
            <w:noWrap/>
            <w:vAlign w:val="bottom"/>
          </w:tcPr>
          <w:p w:rsidRPr="00AE1B2B" w:rsidR="009D3FB5" w:rsidP="00163B94" w:rsidRDefault="009D3FB5" w14:paraId="501BA98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3.5</w:t>
            </w:r>
          </w:p>
        </w:tc>
        <w:tc>
          <w:tcPr>
            <w:tcW w:w="1162" w:type="dxa"/>
            <w:shd w:val="clear" w:color="auto" w:fill="auto"/>
            <w:noWrap/>
            <w:vAlign w:val="bottom"/>
          </w:tcPr>
          <w:p w:rsidRPr="00AE1B2B" w:rsidR="009D3FB5" w:rsidP="00163B94" w:rsidRDefault="009D3FB5" w14:paraId="5044674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24%</w:t>
            </w:r>
          </w:p>
        </w:tc>
        <w:tc>
          <w:tcPr>
            <w:tcW w:w="875" w:type="dxa"/>
            <w:shd w:val="clear" w:color="auto" w:fill="auto"/>
            <w:noWrap/>
            <w:vAlign w:val="bottom"/>
          </w:tcPr>
          <w:p w:rsidRPr="00AE1B2B" w:rsidR="009D3FB5" w:rsidP="00163B94" w:rsidRDefault="009D3FB5" w14:paraId="6B3A0B1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12.1</w:t>
            </w:r>
          </w:p>
        </w:tc>
      </w:tr>
    </w:tbl>
    <w:p w:rsidRPr="00AE1B2B" w:rsidR="009D3FB5" w:rsidP="00163B94" w:rsidRDefault="009D3FB5" w14:paraId="7C5DAF73" w14:textId="77777777">
      <w:pPr>
        <w:spacing w:before="120" w:after="120"/>
        <w:ind w:left="851" w:right="851" w:firstLine="709"/>
        <w:jc w:val="both"/>
        <w:rPr>
          <w:rFonts w:ascii="Times New Roman" w:hAnsi="Times New Roman" w:eastAsia="Calibri" w:cs="Times New Roman"/>
          <w:bCs/>
          <w:sz w:val="26"/>
          <w:szCs w:val="26"/>
          <w:lang w:eastAsia="es-CR"/>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Modernización Institucional a partir de la información de los anuarios judiciales suministrada por el Sub proceso de Estadística. Nota: Los datos son preliminares para el año 2020 y corresponden al I y II Trimestre del 2020.</w:t>
      </w:r>
    </w:p>
    <w:p w:rsidRPr="00AE1B2B" w:rsidR="009D3FB5" w:rsidP="00163B94" w:rsidRDefault="009D3FB5" w14:paraId="3120CF0E"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Respecto a los tres Circuitos Judiciales de San José, se cuenta con una plaza de Trabajadora o Trabajador Social para atender la materia Penal Juvenil. En el caso del Primer Circuito Judicial de Alajuela, Tercer Circuito Judicial de Alajuela y Segundo Circuito Judicial de la Zona Sur, se cuenta con una plaza de Trabajadora o Trabajador Social que atienden de forma conjunta la materia Penal Juvenil y Penal Adulto, mientras que el recurso del equipo psicosocial se comparte con la materia Penal Adulta en el caso de Heredia, Cartago y Primer Circuito de la Zona Sur. Para el Primer Circuito de la Zona Atlántica, Puntarenas, Primer Circuito Judicial de Guanacaste y Segundo Circuito Judicial de Guanacaste se cuenta con la atención de una plaza de Psicóloga o Psicólogo. </w:t>
      </w:r>
    </w:p>
    <w:p w:rsidRPr="00AE1B2B" w:rsidR="009D3FB5" w:rsidP="00163B94" w:rsidRDefault="009D3FB5" w14:paraId="52B424BA"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 En el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_Ref31636350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Cuadro 12</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 xml:space="preserve"> se muestra el comportamiento de las reuniones restaurativas programadas para la materia Penal Juvenil durante el I y II Trimestre del año 2020, para las que se cuenta con un porcentaje de realización promedio de 74% y un porcentaje promedio de no realización equivalente a un 26%.</w:t>
      </w:r>
    </w:p>
    <w:p w:rsidRPr="00AE1B2B" w:rsidR="009D3FB5" w:rsidP="00163B94" w:rsidRDefault="009D3FB5" w14:paraId="63F1C8D6"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Por otra parte, se identifica que la mayor cantidad de reuniones restaurativas fueron realizadas en San José, y que, en este caso, es importante indicar que en este caso se cuenta con una plaza de Trabajadora Social o Trabajador Social dedicada de forma exclusiva a la atención de los asuntos en Penal Juvenil y que su cobertura corresponde a los tres Circuitos Judiciales de San José.</w:t>
      </w:r>
    </w:p>
    <w:p w:rsidRPr="00AE1B2B" w:rsidR="009D3FB5" w:rsidP="00163B94" w:rsidRDefault="009D3FB5" w14:paraId="4DB2AEB4"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segundo lugar, se ubican los Circuitos Judiciales de Cartago y Alajuela, con 11 reuniones restaurativas realizadas, seguido del Primer Circuito Judicial de la Zona Atlántica con 9 reuniones restaurativas. </w:t>
      </w:r>
    </w:p>
    <w:p w:rsidRPr="00AE1B2B" w:rsidR="009D3FB5" w:rsidP="00163B94" w:rsidRDefault="009D3FB5" w14:paraId="5AE51DFC"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En el cuadro siguiente se muestra la cantidad de reuniones restaurativas realizadas de forma mensual por los equipos psicosociales que atienden la materia Penal Juvenil:</w:t>
      </w:r>
    </w:p>
    <w:p w:rsidRPr="00AE1B2B" w:rsidR="009D3FB5" w:rsidP="00163B94" w:rsidRDefault="009D3FB5" w14:paraId="22BC2A49"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27AEEEEA"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7D1049EA" w14:textId="77777777">
      <w:pPr>
        <w:tabs>
          <w:tab w:val="left" w:pos="0"/>
        </w:tabs>
        <w:spacing w:before="120" w:after="120"/>
        <w:ind w:left="851" w:right="851" w:firstLine="709"/>
        <w:jc w:val="both"/>
        <w:rPr>
          <w:rFonts w:ascii="Times New Roman" w:hAnsi="Times New Roman" w:eastAsia="Calibri" w:cs="Times New Roman"/>
          <w:sz w:val="26"/>
          <w:szCs w:val="26"/>
          <w:lang w:val="es-ES"/>
        </w:rPr>
      </w:pPr>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13</w:t>
      </w:r>
      <w:r w:rsidRPr="00AE1B2B">
        <w:rPr>
          <w:rFonts w:ascii="Times New Roman" w:hAnsi="Times New Roman" w:eastAsia="Calibri" w:cs="Times New Roman"/>
          <w:b/>
          <w:bCs/>
          <w:sz w:val="26"/>
          <w:szCs w:val="26"/>
        </w:rPr>
        <w:fldChar w:fldCharType="end"/>
      </w:r>
      <w:r w:rsidRPr="00AE1B2B">
        <w:rPr>
          <w:rFonts w:ascii="Times New Roman" w:hAnsi="Times New Roman" w:eastAsia="Calibri" w:cs="Times New Roman"/>
          <w:b/>
          <w:bCs/>
          <w:sz w:val="26"/>
          <w:szCs w:val="26"/>
        </w:rPr>
        <w:t>. Reuniones Restaurativas mensuales en materia Penal Juvenil durante el I y II Trimestre del 2020.</w:t>
      </w:r>
    </w:p>
    <w:tbl>
      <w:tblPr>
        <w:tblW w:w="6218" w:type="dxa"/>
        <w:jc w:val="center"/>
        <w:tblBorders>
          <w:top w:val="double" w:color="002060" w:sz="6" w:space="0"/>
          <w:left w:val="double" w:color="002060" w:sz="6" w:space="0"/>
          <w:bottom w:val="double" w:color="002060" w:sz="6" w:space="0"/>
          <w:right w:val="double" w:color="002060" w:sz="6" w:space="0"/>
          <w:insideH w:val="double" w:color="002060" w:sz="6" w:space="0"/>
          <w:insideV w:val="double" w:color="002060" w:sz="6" w:space="0"/>
        </w:tblBorders>
        <w:tblCellMar>
          <w:left w:w="70" w:type="dxa"/>
          <w:right w:w="70" w:type="dxa"/>
        </w:tblCellMar>
        <w:tblLook w:val="04A0" w:firstRow="1" w:lastRow="0" w:firstColumn="1" w:lastColumn="0" w:noHBand="0" w:noVBand="1"/>
      </w:tblPr>
      <w:tblGrid>
        <w:gridCol w:w="3700"/>
        <w:gridCol w:w="1250"/>
        <w:gridCol w:w="1268"/>
      </w:tblGrid>
      <w:tr w:rsidRPr="00AE1B2B" w:rsidR="00AE1B2B" w:rsidTr="009D3FB5" w14:paraId="450C1FD1" w14:textId="77777777">
        <w:trPr>
          <w:trHeight w:val="310"/>
          <w:jc w:val="center"/>
        </w:trPr>
        <w:tc>
          <w:tcPr>
            <w:tcW w:w="3700" w:type="dxa"/>
            <w:shd w:val="clear" w:color="000000" w:fill="365F91"/>
            <w:vAlign w:val="center"/>
            <w:hideMark/>
          </w:tcPr>
          <w:p w:rsidRPr="00AE1B2B" w:rsidR="009D3FB5" w:rsidP="00163B94" w:rsidRDefault="009D3FB5" w14:paraId="74F09E1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Circuito Judicial</w:t>
            </w:r>
          </w:p>
        </w:tc>
        <w:tc>
          <w:tcPr>
            <w:tcW w:w="1250" w:type="dxa"/>
            <w:shd w:val="clear" w:color="000000" w:fill="365F91"/>
            <w:noWrap/>
            <w:vAlign w:val="center"/>
            <w:hideMark/>
          </w:tcPr>
          <w:p w:rsidRPr="00AE1B2B" w:rsidR="009D3FB5" w:rsidP="00163B94" w:rsidRDefault="009D3FB5" w14:paraId="4DED39B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Realizadas</w:t>
            </w:r>
          </w:p>
        </w:tc>
        <w:tc>
          <w:tcPr>
            <w:tcW w:w="1268" w:type="dxa"/>
            <w:shd w:val="clear" w:color="000000" w:fill="365F91"/>
            <w:noWrap/>
            <w:vAlign w:val="center"/>
            <w:hideMark/>
          </w:tcPr>
          <w:p w:rsidRPr="00AE1B2B" w:rsidR="009D3FB5" w:rsidP="00163B94" w:rsidRDefault="009D3FB5" w14:paraId="20CBC9D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Realizadas por mes</w:t>
            </w:r>
          </w:p>
        </w:tc>
      </w:tr>
      <w:tr w:rsidRPr="00AE1B2B" w:rsidR="00AE1B2B" w:rsidTr="009D3FB5" w14:paraId="02DB59AC" w14:textId="77777777">
        <w:trPr>
          <w:trHeight w:val="310"/>
          <w:jc w:val="center"/>
        </w:trPr>
        <w:tc>
          <w:tcPr>
            <w:tcW w:w="3700" w:type="dxa"/>
            <w:shd w:val="clear" w:color="auto" w:fill="auto"/>
            <w:noWrap/>
            <w:vAlign w:val="bottom"/>
            <w:hideMark/>
          </w:tcPr>
          <w:p w:rsidRPr="00AE1B2B" w:rsidR="009D3FB5" w:rsidP="00163B94" w:rsidRDefault="009D3FB5" w14:paraId="7D2D6A6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San José</w:t>
            </w:r>
          </w:p>
        </w:tc>
        <w:tc>
          <w:tcPr>
            <w:tcW w:w="1250" w:type="dxa"/>
            <w:shd w:val="clear" w:color="auto" w:fill="auto"/>
            <w:noWrap/>
            <w:vAlign w:val="bottom"/>
            <w:hideMark/>
          </w:tcPr>
          <w:p w:rsidRPr="00AE1B2B" w:rsidR="009D3FB5" w:rsidP="00163B94" w:rsidRDefault="009D3FB5" w14:paraId="52586E6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28</w:t>
            </w:r>
          </w:p>
        </w:tc>
        <w:tc>
          <w:tcPr>
            <w:tcW w:w="1268" w:type="dxa"/>
            <w:shd w:val="clear" w:color="auto" w:fill="auto"/>
            <w:noWrap/>
            <w:vAlign w:val="bottom"/>
            <w:hideMark/>
          </w:tcPr>
          <w:p w:rsidRPr="00AE1B2B" w:rsidR="009D3FB5" w:rsidP="00163B94" w:rsidRDefault="009D3FB5" w14:paraId="258F3B1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4.87</w:t>
            </w:r>
          </w:p>
        </w:tc>
      </w:tr>
      <w:tr w:rsidRPr="00AE1B2B" w:rsidR="00AE1B2B" w:rsidTr="009D3FB5" w14:paraId="6BBE0A3D" w14:textId="77777777">
        <w:trPr>
          <w:trHeight w:val="310"/>
          <w:jc w:val="center"/>
        </w:trPr>
        <w:tc>
          <w:tcPr>
            <w:tcW w:w="3700" w:type="dxa"/>
            <w:shd w:val="clear" w:color="auto" w:fill="auto"/>
            <w:noWrap/>
            <w:vAlign w:val="bottom"/>
            <w:hideMark/>
          </w:tcPr>
          <w:p w:rsidRPr="00AE1B2B" w:rsidR="009D3FB5" w:rsidP="00163B94" w:rsidRDefault="009D3FB5" w14:paraId="340BCD5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Cartago</w:t>
            </w:r>
          </w:p>
        </w:tc>
        <w:tc>
          <w:tcPr>
            <w:tcW w:w="1250" w:type="dxa"/>
            <w:shd w:val="clear" w:color="auto" w:fill="auto"/>
            <w:noWrap/>
            <w:vAlign w:val="bottom"/>
            <w:hideMark/>
          </w:tcPr>
          <w:p w:rsidRPr="00AE1B2B" w:rsidR="009D3FB5" w:rsidP="00163B94" w:rsidRDefault="009D3FB5" w14:paraId="43D047E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11</w:t>
            </w:r>
          </w:p>
        </w:tc>
        <w:tc>
          <w:tcPr>
            <w:tcW w:w="1268" w:type="dxa"/>
            <w:shd w:val="clear" w:color="auto" w:fill="auto"/>
            <w:noWrap/>
            <w:vAlign w:val="bottom"/>
            <w:hideMark/>
          </w:tcPr>
          <w:p w:rsidRPr="00AE1B2B" w:rsidR="009D3FB5" w:rsidP="00163B94" w:rsidRDefault="009D3FB5" w14:paraId="2862A76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1.91</w:t>
            </w:r>
          </w:p>
        </w:tc>
      </w:tr>
      <w:tr w:rsidRPr="00AE1B2B" w:rsidR="00AE1B2B" w:rsidTr="009D3FB5" w14:paraId="0412516E" w14:textId="77777777">
        <w:trPr>
          <w:trHeight w:val="310"/>
          <w:jc w:val="center"/>
        </w:trPr>
        <w:tc>
          <w:tcPr>
            <w:tcW w:w="3700" w:type="dxa"/>
            <w:shd w:val="clear" w:color="auto" w:fill="auto"/>
            <w:noWrap/>
            <w:vAlign w:val="bottom"/>
            <w:hideMark/>
          </w:tcPr>
          <w:p w:rsidRPr="00AE1B2B" w:rsidR="009D3FB5" w:rsidP="00163B94" w:rsidRDefault="009D3FB5" w14:paraId="749BB9D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Heredia</w:t>
            </w:r>
          </w:p>
        </w:tc>
        <w:tc>
          <w:tcPr>
            <w:tcW w:w="1250" w:type="dxa"/>
            <w:shd w:val="clear" w:color="auto" w:fill="auto"/>
            <w:noWrap/>
            <w:vAlign w:val="bottom"/>
            <w:hideMark/>
          </w:tcPr>
          <w:p w:rsidRPr="00AE1B2B" w:rsidR="009D3FB5" w:rsidP="00163B94" w:rsidRDefault="009D3FB5" w14:paraId="1535A50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1268" w:type="dxa"/>
            <w:shd w:val="clear" w:color="auto" w:fill="auto"/>
            <w:noWrap/>
            <w:vAlign w:val="bottom"/>
            <w:hideMark/>
          </w:tcPr>
          <w:p w:rsidRPr="00AE1B2B" w:rsidR="009D3FB5" w:rsidP="00163B94" w:rsidRDefault="009D3FB5" w14:paraId="4609E13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0.00</w:t>
            </w:r>
          </w:p>
        </w:tc>
      </w:tr>
      <w:tr w:rsidRPr="00AE1B2B" w:rsidR="00AE1B2B" w:rsidTr="009D3FB5" w14:paraId="619A9ADB" w14:textId="77777777">
        <w:trPr>
          <w:trHeight w:val="310"/>
          <w:jc w:val="center"/>
        </w:trPr>
        <w:tc>
          <w:tcPr>
            <w:tcW w:w="3700" w:type="dxa"/>
            <w:shd w:val="clear" w:color="auto" w:fill="auto"/>
            <w:noWrap/>
            <w:vAlign w:val="bottom"/>
            <w:hideMark/>
          </w:tcPr>
          <w:p w:rsidRPr="00AE1B2B" w:rsidR="009D3FB5" w:rsidP="00163B94" w:rsidRDefault="009D3FB5" w14:paraId="4DCA96E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Alajuela</w:t>
            </w:r>
          </w:p>
        </w:tc>
        <w:tc>
          <w:tcPr>
            <w:tcW w:w="1250" w:type="dxa"/>
            <w:shd w:val="clear" w:color="auto" w:fill="auto"/>
            <w:noWrap/>
            <w:vAlign w:val="bottom"/>
            <w:hideMark/>
          </w:tcPr>
          <w:p w:rsidRPr="00AE1B2B" w:rsidR="009D3FB5" w:rsidP="00163B94" w:rsidRDefault="009D3FB5" w14:paraId="700B8FE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11</w:t>
            </w:r>
          </w:p>
        </w:tc>
        <w:tc>
          <w:tcPr>
            <w:tcW w:w="1268" w:type="dxa"/>
            <w:shd w:val="clear" w:color="auto" w:fill="auto"/>
            <w:noWrap/>
            <w:vAlign w:val="bottom"/>
            <w:hideMark/>
          </w:tcPr>
          <w:p w:rsidRPr="00AE1B2B" w:rsidR="009D3FB5" w:rsidP="00163B94" w:rsidRDefault="009D3FB5" w14:paraId="069D74E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1.91</w:t>
            </w:r>
          </w:p>
        </w:tc>
      </w:tr>
      <w:tr w:rsidRPr="00AE1B2B" w:rsidR="00AE1B2B" w:rsidTr="009D3FB5" w14:paraId="3DEE84BB" w14:textId="77777777">
        <w:trPr>
          <w:trHeight w:val="310"/>
          <w:jc w:val="center"/>
        </w:trPr>
        <w:tc>
          <w:tcPr>
            <w:tcW w:w="3700" w:type="dxa"/>
            <w:shd w:val="clear" w:color="auto" w:fill="auto"/>
            <w:noWrap/>
            <w:vAlign w:val="bottom"/>
            <w:hideMark/>
          </w:tcPr>
          <w:p w:rsidRPr="00AE1B2B" w:rsidR="009D3FB5" w:rsidP="00163B94" w:rsidRDefault="009D3FB5" w14:paraId="0333B4B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San Ramón</w:t>
            </w:r>
          </w:p>
        </w:tc>
        <w:tc>
          <w:tcPr>
            <w:tcW w:w="1250" w:type="dxa"/>
            <w:shd w:val="clear" w:color="auto" w:fill="auto"/>
            <w:noWrap/>
            <w:vAlign w:val="bottom"/>
            <w:hideMark/>
          </w:tcPr>
          <w:p w:rsidRPr="00AE1B2B" w:rsidR="009D3FB5" w:rsidP="00163B94" w:rsidRDefault="009D3FB5" w14:paraId="71A81B8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w:t>
            </w:r>
          </w:p>
        </w:tc>
        <w:tc>
          <w:tcPr>
            <w:tcW w:w="1268" w:type="dxa"/>
            <w:shd w:val="clear" w:color="auto" w:fill="auto"/>
            <w:noWrap/>
            <w:vAlign w:val="bottom"/>
            <w:hideMark/>
          </w:tcPr>
          <w:p w:rsidRPr="00AE1B2B" w:rsidR="009D3FB5" w:rsidP="00163B94" w:rsidRDefault="009D3FB5" w14:paraId="593413F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0.67</w:t>
            </w:r>
          </w:p>
        </w:tc>
      </w:tr>
      <w:tr w:rsidRPr="00AE1B2B" w:rsidR="00AE1B2B" w:rsidTr="009D3FB5" w14:paraId="3D4CD883" w14:textId="77777777">
        <w:trPr>
          <w:trHeight w:val="310"/>
          <w:jc w:val="center"/>
        </w:trPr>
        <w:tc>
          <w:tcPr>
            <w:tcW w:w="3700" w:type="dxa"/>
            <w:shd w:val="clear" w:color="auto" w:fill="auto"/>
            <w:noWrap/>
            <w:vAlign w:val="bottom"/>
            <w:hideMark/>
          </w:tcPr>
          <w:p w:rsidRPr="00AE1B2B" w:rsidR="009D3FB5" w:rsidP="00163B94" w:rsidRDefault="009D3FB5" w14:paraId="0266D4E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Puntarenas</w:t>
            </w:r>
          </w:p>
        </w:tc>
        <w:tc>
          <w:tcPr>
            <w:tcW w:w="1250" w:type="dxa"/>
            <w:shd w:val="clear" w:color="auto" w:fill="auto"/>
            <w:noWrap/>
            <w:vAlign w:val="bottom"/>
            <w:hideMark/>
          </w:tcPr>
          <w:p w:rsidRPr="00AE1B2B" w:rsidR="009D3FB5" w:rsidP="00163B94" w:rsidRDefault="009D3FB5" w14:paraId="3E0242A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w:t>
            </w:r>
          </w:p>
        </w:tc>
        <w:tc>
          <w:tcPr>
            <w:tcW w:w="1268" w:type="dxa"/>
            <w:shd w:val="clear" w:color="auto" w:fill="auto"/>
            <w:noWrap/>
            <w:vAlign w:val="bottom"/>
            <w:hideMark/>
          </w:tcPr>
          <w:p w:rsidRPr="00AE1B2B" w:rsidR="009D3FB5" w:rsidP="00163B94" w:rsidRDefault="009D3FB5" w14:paraId="77C435B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1.04</w:t>
            </w:r>
          </w:p>
        </w:tc>
      </w:tr>
      <w:tr w:rsidRPr="00AE1B2B" w:rsidR="00AE1B2B" w:rsidTr="009D3FB5" w14:paraId="401FAF2F" w14:textId="77777777">
        <w:trPr>
          <w:trHeight w:val="310"/>
          <w:jc w:val="center"/>
        </w:trPr>
        <w:tc>
          <w:tcPr>
            <w:tcW w:w="3700" w:type="dxa"/>
            <w:shd w:val="clear" w:color="auto" w:fill="auto"/>
            <w:noWrap/>
            <w:vAlign w:val="bottom"/>
            <w:hideMark/>
          </w:tcPr>
          <w:p w:rsidRPr="00AE1B2B" w:rsidR="009D3FB5" w:rsidP="00163B94" w:rsidRDefault="009D3FB5" w14:paraId="481AF45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la Zona Atlántica</w:t>
            </w:r>
          </w:p>
        </w:tc>
        <w:tc>
          <w:tcPr>
            <w:tcW w:w="1250" w:type="dxa"/>
            <w:shd w:val="clear" w:color="auto" w:fill="auto"/>
            <w:noWrap/>
            <w:vAlign w:val="bottom"/>
            <w:hideMark/>
          </w:tcPr>
          <w:p w:rsidRPr="00AE1B2B" w:rsidR="009D3FB5" w:rsidP="00163B94" w:rsidRDefault="009D3FB5" w14:paraId="4D1C131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9</w:t>
            </w:r>
          </w:p>
        </w:tc>
        <w:tc>
          <w:tcPr>
            <w:tcW w:w="1268" w:type="dxa"/>
            <w:shd w:val="clear" w:color="auto" w:fill="auto"/>
            <w:noWrap/>
            <w:vAlign w:val="bottom"/>
            <w:hideMark/>
          </w:tcPr>
          <w:p w:rsidRPr="00AE1B2B" w:rsidR="009D3FB5" w:rsidP="00163B94" w:rsidRDefault="009D3FB5" w14:paraId="4914DAE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1.57</w:t>
            </w:r>
          </w:p>
        </w:tc>
      </w:tr>
      <w:tr w:rsidRPr="00AE1B2B" w:rsidR="00AE1B2B" w:rsidTr="009D3FB5" w14:paraId="6F013281" w14:textId="77777777">
        <w:trPr>
          <w:trHeight w:val="310"/>
          <w:jc w:val="center"/>
        </w:trPr>
        <w:tc>
          <w:tcPr>
            <w:tcW w:w="3700" w:type="dxa"/>
            <w:shd w:val="clear" w:color="auto" w:fill="auto"/>
            <w:noWrap/>
            <w:vAlign w:val="bottom"/>
            <w:hideMark/>
          </w:tcPr>
          <w:p w:rsidRPr="00AE1B2B" w:rsidR="009D3FB5" w:rsidP="00163B94" w:rsidRDefault="009D3FB5" w14:paraId="1A9065E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II Circuito Judicial de la Zona Atlántica</w:t>
            </w:r>
          </w:p>
        </w:tc>
        <w:tc>
          <w:tcPr>
            <w:tcW w:w="1250" w:type="dxa"/>
            <w:shd w:val="clear" w:color="auto" w:fill="auto"/>
            <w:noWrap/>
            <w:vAlign w:val="bottom"/>
            <w:hideMark/>
          </w:tcPr>
          <w:p w:rsidRPr="00AE1B2B" w:rsidR="009D3FB5" w:rsidP="00163B94" w:rsidRDefault="009D3FB5" w14:paraId="30A33CB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8</w:t>
            </w:r>
          </w:p>
        </w:tc>
        <w:tc>
          <w:tcPr>
            <w:tcW w:w="1268" w:type="dxa"/>
            <w:shd w:val="clear" w:color="auto" w:fill="auto"/>
            <w:noWrap/>
            <w:vAlign w:val="bottom"/>
            <w:hideMark/>
          </w:tcPr>
          <w:p w:rsidRPr="00AE1B2B" w:rsidR="009D3FB5" w:rsidP="00163B94" w:rsidRDefault="009D3FB5" w14:paraId="015D2FD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1.39</w:t>
            </w:r>
          </w:p>
        </w:tc>
      </w:tr>
      <w:tr w:rsidRPr="00AE1B2B" w:rsidR="00AE1B2B" w:rsidTr="009D3FB5" w14:paraId="71BB391B" w14:textId="77777777">
        <w:trPr>
          <w:trHeight w:val="310"/>
          <w:jc w:val="center"/>
        </w:trPr>
        <w:tc>
          <w:tcPr>
            <w:tcW w:w="3700" w:type="dxa"/>
            <w:shd w:val="clear" w:color="auto" w:fill="auto"/>
            <w:noWrap/>
            <w:vAlign w:val="bottom"/>
            <w:hideMark/>
          </w:tcPr>
          <w:p w:rsidRPr="00AE1B2B" w:rsidR="009D3FB5" w:rsidP="00163B94" w:rsidRDefault="009D3FB5" w14:paraId="1BFB722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la Zona Sur</w:t>
            </w:r>
          </w:p>
        </w:tc>
        <w:tc>
          <w:tcPr>
            <w:tcW w:w="1250" w:type="dxa"/>
            <w:shd w:val="clear" w:color="auto" w:fill="auto"/>
            <w:noWrap/>
            <w:vAlign w:val="bottom"/>
            <w:hideMark/>
          </w:tcPr>
          <w:p w:rsidRPr="00AE1B2B" w:rsidR="009D3FB5" w:rsidP="00163B94" w:rsidRDefault="009D3FB5" w14:paraId="185822B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4</w:t>
            </w:r>
          </w:p>
        </w:tc>
        <w:tc>
          <w:tcPr>
            <w:tcW w:w="1268" w:type="dxa"/>
            <w:shd w:val="clear" w:color="auto" w:fill="auto"/>
            <w:noWrap/>
            <w:vAlign w:val="bottom"/>
            <w:hideMark/>
          </w:tcPr>
          <w:p w:rsidRPr="00AE1B2B" w:rsidR="009D3FB5" w:rsidP="00163B94" w:rsidRDefault="009D3FB5" w14:paraId="083844F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0.70</w:t>
            </w:r>
          </w:p>
        </w:tc>
      </w:tr>
      <w:tr w:rsidRPr="00AE1B2B" w:rsidR="00AE1B2B" w:rsidTr="009D3FB5" w14:paraId="76DCD5BF" w14:textId="77777777">
        <w:trPr>
          <w:trHeight w:val="310"/>
          <w:jc w:val="center"/>
        </w:trPr>
        <w:tc>
          <w:tcPr>
            <w:tcW w:w="3700" w:type="dxa"/>
            <w:shd w:val="clear" w:color="auto" w:fill="auto"/>
            <w:noWrap/>
            <w:vAlign w:val="bottom"/>
            <w:hideMark/>
          </w:tcPr>
          <w:p w:rsidRPr="00AE1B2B" w:rsidR="009D3FB5" w:rsidP="00163B94" w:rsidRDefault="009D3FB5" w14:paraId="368ABE8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Guanacaste</w:t>
            </w:r>
          </w:p>
        </w:tc>
        <w:tc>
          <w:tcPr>
            <w:tcW w:w="1250" w:type="dxa"/>
            <w:shd w:val="clear" w:color="auto" w:fill="auto"/>
            <w:noWrap/>
            <w:vAlign w:val="bottom"/>
            <w:hideMark/>
          </w:tcPr>
          <w:p w:rsidRPr="00AE1B2B" w:rsidR="009D3FB5" w:rsidP="00163B94" w:rsidRDefault="009D3FB5" w14:paraId="03BC862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7</w:t>
            </w:r>
          </w:p>
        </w:tc>
        <w:tc>
          <w:tcPr>
            <w:tcW w:w="1268" w:type="dxa"/>
            <w:shd w:val="clear" w:color="auto" w:fill="auto"/>
            <w:noWrap/>
            <w:vAlign w:val="bottom"/>
            <w:hideMark/>
          </w:tcPr>
          <w:p w:rsidRPr="00AE1B2B" w:rsidR="009D3FB5" w:rsidP="00163B94" w:rsidRDefault="009D3FB5" w14:paraId="7274689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1.22</w:t>
            </w:r>
          </w:p>
        </w:tc>
      </w:tr>
      <w:tr w:rsidRPr="00AE1B2B" w:rsidR="00AE1B2B" w:rsidTr="009D3FB5" w14:paraId="5C18DF97" w14:textId="77777777">
        <w:trPr>
          <w:trHeight w:val="310"/>
          <w:jc w:val="center"/>
        </w:trPr>
        <w:tc>
          <w:tcPr>
            <w:tcW w:w="3700" w:type="dxa"/>
            <w:shd w:val="clear" w:color="auto" w:fill="auto"/>
            <w:noWrap/>
            <w:vAlign w:val="bottom"/>
          </w:tcPr>
          <w:p w:rsidRPr="00AE1B2B" w:rsidR="009D3FB5" w:rsidP="00163B94" w:rsidRDefault="009D3FB5" w14:paraId="1100F47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Promedio Nacional</w:t>
            </w:r>
          </w:p>
        </w:tc>
        <w:tc>
          <w:tcPr>
            <w:tcW w:w="1250" w:type="dxa"/>
            <w:shd w:val="clear" w:color="auto" w:fill="auto"/>
            <w:noWrap/>
            <w:vAlign w:val="bottom"/>
          </w:tcPr>
          <w:p w:rsidRPr="00AE1B2B" w:rsidR="009D3FB5" w:rsidP="00163B94" w:rsidRDefault="009D3FB5" w14:paraId="6CAEC78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8.6</w:t>
            </w:r>
          </w:p>
        </w:tc>
        <w:tc>
          <w:tcPr>
            <w:tcW w:w="1268" w:type="dxa"/>
            <w:shd w:val="clear" w:color="auto" w:fill="auto"/>
            <w:noWrap/>
            <w:vAlign w:val="bottom"/>
          </w:tcPr>
          <w:p w:rsidRPr="00AE1B2B" w:rsidR="009D3FB5" w:rsidP="00163B94" w:rsidRDefault="009D3FB5" w14:paraId="082A5C0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1.53</w:t>
            </w:r>
          </w:p>
        </w:tc>
      </w:tr>
    </w:tbl>
    <w:p w:rsidRPr="00AE1B2B" w:rsidR="009D3FB5" w:rsidP="00163B94" w:rsidRDefault="009D3FB5" w14:paraId="41469167" w14:textId="77777777">
      <w:pPr>
        <w:spacing w:before="120" w:after="120"/>
        <w:ind w:left="851" w:right="851" w:firstLine="709"/>
        <w:jc w:val="both"/>
        <w:rPr>
          <w:rFonts w:ascii="Times New Roman" w:hAnsi="Times New Roman" w:eastAsia="Calibri" w:cs="Times New Roman"/>
          <w:bCs/>
          <w:sz w:val="26"/>
          <w:szCs w:val="26"/>
          <w:lang w:eastAsia="es-CR"/>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Modernización Institucional a partir de la información de los anuarios judiciales suministrada por el Sub proceso de Estadística. Nota: Los datos son preliminares para el año 2020 y corresponden al I y II Trimestre del 2020.</w:t>
      </w:r>
    </w:p>
    <w:p w:rsidRPr="00AE1B2B" w:rsidR="009D3FB5" w:rsidP="00163B94" w:rsidRDefault="009D3FB5" w14:paraId="4B44E553"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A partir de la información anterior, se evidencia que durante el I y II Trimestre del 2020, los equipos psicosociales de Justicia Restaurativa que atienden Penal Juvenil atendieron en promedio una Reunión Restaurativa, con excepción de San José que atendió 4.8 reuniones por mes, así como Cartago y Alajuela que atendieron 1.9 reuniones por mes.</w:t>
      </w:r>
    </w:p>
    <w:p w:rsidRPr="00AE1B2B" w:rsidR="009D3FB5" w:rsidP="00163B94" w:rsidRDefault="009D3FB5" w14:paraId="2D1E70E1"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03DD2569"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55F0CD10"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11F7C731"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lastRenderedPageBreak/>
        <w:t xml:space="preserve">En el </w:t>
      </w:r>
      <w:r w:rsidRPr="00AE1B2B">
        <w:rPr>
          <w:rFonts w:ascii="Times New Roman" w:hAnsi="Times New Roman" w:eastAsia="Calibri" w:cs="Times New Roman"/>
          <w:sz w:val="26"/>
          <w:szCs w:val="26"/>
        </w:rPr>
        <w:fldChar w:fldCharType="begin"/>
      </w:r>
      <w:r w:rsidRPr="00AE1B2B">
        <w:rPr>
          <w:rFonts w:ascii="Times New Roman" w:hAnsi="Times New Roman" w:eastAsia="Calibri" w:cs="Times New Roman"/>
          <w:sz w:val="26"/>
          <w:szCs w:val="26"/>
        </w:rPr>
        <w:instrText xml:space="preserve"> REF _Ref31707596 \h  \* MERGEFORMAT </w:instrText>
      </w:r>
      <w:r w:rsidRPr="00AE1B2B">
        <w:rPr>
          <w:rFonts w:ascii="Times New Roman" w:hAnsi="Times New Roman" w:eastAsia="Calibri" w:cs="Times New Roman"/>
          <w:sz w:val="26"/>
          <w:szCs w:val="26"/>
        </w:rPr>
      </w:r>
      <w:r w:rsidRPr="00AE1B2B">
        <w:rPr>
          <w:rFonts w:ascii="Times New Roman" w:hAnsi="Times New Roman" w:eastAsia="Calibri" w:cs="Times New Roman"/>
          <w:sz w:val="26"/>
          <w:szCs w:val="26"/>
        </w:rPr>
        <w:fldChar w:fldCharType="separate"/>
      </w:r>
      <w:r w:rsidRPr="00AE1B2B">
        <w:rPr>
          <w:rFonts w:ascii="Times New Roman" w:hAnsi="Times New Roman" w:eastAsia="Calibri" w:cs="Times New Roman"/>
          <w:sz w:val="26"/>
          <w:szCs w:val="26"/>
        </w:rPr>
        <w:t>Cuadro 14</w:t>
      </w:r>
      <w:r w:rsidRPr="00AE1B2B">
        <w:rPr>
          <w:rFonts w:ascii="Times New Roman" w:hAnsi="Times New Roman" w:eastAsia="Calibri" w:cs="Times New Roman"/>
          <w:sz w:val="26"/>
          <w:szCs w:val="26"/>
        </w:rPr>
        <w:fldChar w:fldCharType="end"/>
      </w:r>
      <w:r w:rsidRPr="00AE1B2B">
        <w:rPr>
          <w:rFonts w:ascii="Times New Roman" w:hAnsi="Times New Roman" w:eastAsia="Calibri" w:cs="Times New Roman"/>
          <w:sz w:val="26"/>
          <w:szCs w:val="26"/>
        </w:rPr>
        <w:t xml:space="preserve"> se muestra la cantidad de reuniones y el porcentaje respectivo que tuvieron como resultado un acuerdo.</w:t>
      </w:r>
    </w:p>
    <w:p w:rsidRPr="00AE1B2B" w:rsidR="009D3FB5" w:rsidP="00163B94" w:rsidRDefault="009D3FB5" w14:paraId="69A15740" w14:textId="77777777">
      <w:pPr>
        <w:tabs>
          <w:tab w:val="left" w:pos="0"/>
        </w:tabs>
        <w:spacing w:before="120" w:after="120"/>
        <w:ind w:left="851" w:right="851" w:firstLine="709"/>
        <w:jc w:val="both"/>
        <w:rPr>
          <w:rFonts w:ascii="Times New Roman" w:hAnsi="Times New Roman" w:eastAsia="Calibri" w:cs="Times New Roman"/>
          <w:sz w:val="26"/>
          <w:szCs w:val="26"/>
          <w:lang w:val="es-ES"/>
        </w:rPr>
      </w:pPr>
      <w:bookmarkStart w:name="_Ref31707596" w:id="359"/>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14</w:t>
      </w:r>
      <w:r w:rsidRPr="00AE1B2B">
        <w:rPr>
          <w:rFonts w:ascii="Times New Roman" w:hAnsi="Times New Roman" w:eastAsia="Calibri" w:cs="Times New Roman"/>
          <w:b/>
          <w:bCs/>
          <w:sz w:val="26"/>
          <w:szCs w:val="26"/>
        </w:rPr>
        <w:fldChar w:fldCharType="end"/>
      </w:r>
      <w:bookmarkEnd w:id="359"/>
      <w:r w:rsidRPr="00AE1B2B">
        <w:rPr>
          <w:rFonts w:ascii="Times New Roman" w:hAnsi="Times New Roman" w:eastAsia="Calibri" w:cs="Times New Roman"/>
          <w:b/>
          <w:bCs/>
          <w:sz w:val="26"/>
          <w:szCs w:val="26"/>
        </w:rPr>
        <w:t>. Detalle de reuniones restaurativas en Penal Juvenil efectuadas durante el I y II Trimestre del 2020.</w:t>
      </w:r>
    </w:p>
    <w:tbl>
      <w:tblPr>
        <w:tblW w:w="7884" w:type="dxa"/>
        <w:jc w:val="center"/>
        <w:tblCellMar>
          <w:left w:w="70" w:type="dxa"/>
          <w:right w:w="70" w:type="dxa"/>
        </w:tblCellMar>
        <w:tblLook w:val="04A0" w:firstRow="1" w:lastRow="0" w:firstColumn="1" w:lastColumn="0" w:noHBand="0" w:noVBand="1"/>
      </w:tblPr>
      <w:tblGrid>
        <w:gridCol w:w="3731"/>
        <w:gridCol w:w="1290"/>
        <w:gridCol w:w="1452"/>
        <w:gridCol w:w="1411"/>
      </w:tblGrid>
      <w:tr w:rsidRPr="00AE1B2B" w:rsidR="00AE1B2B" w:rsidTr="009D3FB5" w14:paraId="5815324D" w14:textId="77777777">
        <w:trPr>
          <w:trHeight w:val="636"/>
          <w:jc w:val="center"/>
        </w:trPr>
        <w:tc>
          <w:tcPr>
            <w:tcW w:w="3731" w:type="dxa"/>
            <w:tcBorders>
              <w:top w:val="double" w:color="002060" w:sz="6" w:space="0"/>
              <w:left w:val="double" w:color="002060" w:sz="6" w:space="0"/>
              <w:bottom w:val="nil"/>
              <w:right w:val="double" w:color="002060" w:sz="6" w:space="0"/>
            </w:tcBorders>
            <w:shd w:val="clear" w:color="000000" w:fill="365F91"/>
            <w:noWrap/>
            <w:vAlign w:val="center"/>
            <w:hideMark/>
          </w:tcPr>
          <w:p w:rsidRPr="00AE1B2B" w:rsidR="009D3FB5" w:rsidP="00163B94" w:rsidRDefault="009D3FB5" w14:paraId="6D9D11C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Circuito Judicial</w:t>
            </w:r>
          </w:p>
        </w:tc>
        <w:tc>
          <w:tcPr>
            <w:tcW w:w="1290" w:type="dxa"/>
            <w:tcBorders>
              <w:top w:val="double" w:color="002060" w:sz="6" w:space="0"/>
              <w:left w:val="nil"/>
              <w:bottom w:val="double" w:color="203764" w:sz="6" w:space="0"/>
              <w:right w:val="double" w:color="002060" w:sz="6" w:space="0"/>
            </w:tcBorders>
            <w:shd w:val="clear" w:color="000000" w:fill="365F91"/>
            <w:noWrap/>
            <w:vAlign w:val="center"/>
            <w:hideMark/>
          </w:tcPr>
          <w:p w:rsidRPr="00AE1B2B" w:rsidR="009D3FB5" w:rsidP="00163B94" w:rsidRDefault="009D3FB5" w14:paraId="3DC0163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Con acuerdo</w:t>
            </w:r>
          </w:p>
        </w:tc>
        <w:tc>
          <w:tcPr>
            <w:tcW w:w="1452" w:type="dxa"/>
            <w:tcBorders>
              <w:top w:val="double" w:color="002060" w:sz="6" w:space="0"/>
              <w:left w:val="nil"/>
              <w:bottom w:val="double" w:color="203764" w:sz="6" w:space="0"/>
              <w:right w:val="double" w:color="002060" w:sz="6" w:space="0"/>
            </w:tcBorders>
            <w:shd w:val="clear" w:color="000000" w:fill="365F91"/>
            <w:noWrap/>
            <w:vAlign w:val="center"/>
            <w:hideMark/>
          </w:tcPr>
          <w:p w:rsidRPr="00AE1B2B" w:rsidR="009D3FB5" w:rsidP="00163B94" w:rsidRDefault="009D3FB5" w14:paraId="0D2075C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Sin acuerdo</w:t>
            </w:r>
          </w:p>
        </w:tc>
        <w:tc>
          <w:tcPr>
            <w:tcW w:w="1411" w:type="dxa"/>
            <w:tcBorders>
              <w:top w:val="double" w:color="002060" w:sz="6" w:space="0"/>
              <w:left w:val="nil"/>
              <w:bottom w:val="double" w:color="203764" w:sz="6" w:space="0"/>
              <w:right w:val="double" w:color="002060" w:sz="6" w:space="0"/>
            </w:tcBorders>
            <w:shd w:val="clear" w:color="000000" w:fill="365F91"/>
            <w:vAlign w:val="center"/>
            <w:hideMark/>
          </w:tcPr>
          <w:p w:rsidRPr="00AE1B2B" w:rsidR="009D3FB5" w:rsidP="00163B94" w:rsidRDefault="009D3FB5" w14:paraId="3152FF3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Porcentaje sin acuerdo</w:t>
            </w:r>
          </w:p>
        </w:tc>
      </w:tr>
      <w:tr w:rsidRPr="00AE1B2B" w:rsidR="00AE1B2B" w:rsidTr="009D3FB5" w14:paraId="6397F1E2" w14:textId="77777777">
        <w:trPr>
          <w:trHeight w:val="328"/>
          <w:jc w:val="center"/>
        </w:trPr>
        <w:tc>
          <w:tcPr>
            <w:tcW w:w="3731" w:type="dxa"/>
            <w:tcBorders>
              <w:top w:val="double" w:color="203764" w:sz="6" w:space="0"/>
              <w:left w:val="double" w:color="203764" w:sz="6" w:space="0"/>
              <w:bottom w:val="double" w:color="002060" w:sz="6" w:space="0"/>
              <w:right w:val="nil"/>
            </w:tcBorders>
            <w:shd w:val="clear" w:color="auto" w:fill="auto"/>
            <w:noWrap/>
            <w:vAlign w:val="bottom"/>
            <w:hideMark/>
          </w:tcPr>
          <w:p w:rsidRPr="00AE1B2B" w:rsidR="009D3FB5" w:rsidP="00163B94" w:rsidRDefault="009D3FB5" w14:paraId="4037879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San José</w:t>
            </w:r>
          </w:p>
        </w:tc>
        <w:tc>
          <w:tcPr>
            <w:tcW w:w="1290"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2D59A0F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26</w:t>
            </w:r>
          </w:p>
        </w:tc>
        <w:tc>
          <w:tcPr>
            <w:tcW w:w="1452"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6281204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w:t>
            </w:r>
          </w:p>
        </w:tc>
        <w:tc>
          <w:tcPr>
            <w:tcW w:w="1411"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0EBF7FD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7%</w:t>
            </w:r>
          </w:p>
        </w:tc>
      </w:tr>
      <w:tr w:rsidRPr="00AE1B2B" w:rsidR="00AE1B2B" w:rsidTr="009D3FB5" w14:paraId="291EC7C8" w14:textId="77777777">
        <w:trPr>
          <w:trHeight w:val="328"/>
          <w:jc w:val="center"/>
        </w:trPr>
        <w:tc>
          <w:tcPr>
            <w:tcW w:w="3731" w:type="dxa"/>
            <w:tcBorders>
              <w:top w:val="nil"/>
              <w:left w:val="double" w:color="203764" w:sz="6" w:space="0"/>
              <w:bottom w:val="double" w:color="002060" w:sz="6" w:space="0"/>
              <w:right w:val="nil"/>
            </w:tcBorders>
            <w:shd w:val="clear" w:color="auto" w:fill="auto"/>
            <w:noWrap/>
            <w:vAlign w:val="bottom"/>
            <w:hideMark/>
          </w:tcPr>
          <w:p w:rsidRPr="00AE1B2B" w:rsidR="009D3FB5" w:rsidP="00163B94" w:rsidRDefault="009D3FB5" w14:paraId="57274D5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Cartago</w:t>
            </w:r>
          </w:p>
        </w:tc>
        <w:tc>
          <w:tcPr>
            <w:tcW w:w="1290"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19CE94B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11</w:t>
            </w:r>
          </w:p>
        </w:tc>
        <w:tc>
          <w:tcPr>
            <w:tcW w:w="1452"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252CEED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1411"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47D3F30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r>
      <w:tr w:rsidRPr="00AE1B2B" w:rsidR="00AE1B2B" w:rsidTr="009D3FB5" w14:paraId="117E8B9A" w14:textId="77777777">
        <w:trPr>
          <w:trHeight w:val="328"/>
          <w:jc w:val="center"/>
        </w:trPr>
        <w:tc>
          <w:tcPr>
            <w:tcW w:w="3731" w:type="dxa"/>
            <w:tcBorders>
              <w:top w:val="nil"/>
              <w:left w:val="double" w:color="203764" w:sz="6" w:space="0"/>
              <w:bottom w:val="nil"/>
              <w:right w:val="nil"/>
            </w:tcBorders>
            <w:shd w:val="clear" w:color="auto" w:fill="auto"/>
            <w:noWrap/>
            <w:vAlign w:val="bottom"/>
            <w:hideMark/>
          </w:tcPr>
          <w:p w:rsidRPr="00AE1B2B" w:rsidR="009D3FB5" w:rsidP="00163B94" w:rsidRDefault="009D3FB5" w14:paraId="1CE309A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Heredia</w:t>
            </w:r>
          </w:p>
        </w:tc>
        <w:tc>
          <w:tcPr>
            <w:tcW w:w="1290"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4CF5A51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1452"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06CADB9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1411"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2F56015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r>
      <w:tr w:rsidRPr="00AE1B2B" w:rsidR="00AE1B2B" w:rsidTr="009D3FB5" w14:paraId="2EB579B5" w14:textId="77777777">
        <w:trPr>
          <w:trHeight w:val="328"/>
          <w:jc w:val="center"/>
        </w:trPr>
        <w:tc>
          <w:tcPr>
            <w:tcW w:w="3731" w:type="dxa"/>
            <w:tcBorders>
              <w:top w:val="double" w:color="002060" w:sz="6" w:space="0"/>
              <w:left w:val="double" w:color="203764" w:sz="6" w:space="0"/>
              <w:bottom w:val="double" w:color="002060" w:sz="6" w:space="0"/>
              <w:right w:val="nil"/>
            </w:tcBorders>
            <w:shd w:val="clear" w:color="auto" w:fill="auto"/>
            <w:noWrap/>
            <w:vAlign w:val="bottom"/>
            <w:hideMark/>
          </w:tcPr>
          <w:p w:rsidRPr="00AE1B2B" w:rsidR="009D3FB5" w:rsidP="00163B94" w:rsidRDefault="009D3FB5" w14:paraId="3EBE455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Alajuela</w:t>
            </w:r>
          </w:p>
        </w:tc>
        <w:tc>
          <w:tcPr>
            <w:tcW w:w="1290"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247830B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11</w:t>
            </w:r>
          </w:p>
        </w:tc>
        <w:tc>
          <w:tcPr>
            <w:tcW w:w="1452"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31F1C93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1411"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23C098D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r>
      <w:tr w:rsidRPr="00AE1B2B" w:rsidR="00AE1B2B" w:rsidTr="009D3FB5" w14:paraId="3BE8210D" w14:textId="77777777">
        <w:trPr>
          <w:trHeight w:val="328"/>
          <w:jc w:val="center"/>
        </w:trPr>
        <w:tc>
          <w:tcPr>
            <w:tcW w:w="3731" w:type="dxa"/>
            <w:tcBorders>
              <w:top w:val="nil"/>
              <w:left w:val="double" w:color="203764" w:sz="6" w:space="0"/>
              <w:bottom w:val="double" w:color="002060" w:sz="6" w:space="0"/>
              <w:right w:val="nil"/>
            </w:tcBorders>
            <w:shd w:val="clear" w:color="auto" w:fill="auto"/>
            <w:noWrap/>
            <w:vAlign w:val="bottom"/>
            <w:hideMark/>
          </w:tcPr>
          <w:p w:rsidRPr="00AE1B2B" w:rsidR="009D3FB5" w:rsidP="00163B94" w:rsidRDefault="009D3FB5" w14:paraId="030ACE4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San Ramón</w:t>
            </w:r>
          </w:p>
        </w:tc>
        <w:tc>
          <w:tcPr>
            <w:tcW w:w="1290"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509926A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w:t>
            </w:r>
          </w:p>
        </w:tc>
        <w:tc>
          <w:tcPr>
            <w:tcW w:w="1452"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1E6BD35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1411"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2997B42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r>
      <w:tr w:rsidRPr="00AE1B2B" w:rsidR="00AE1B2B" w:rsidTr="009D3FB5" w14:paraId="6D7C4369" w14:textId="77777777">
        <w:trPr>
          <w:trHeight w:val="328"/>
          <w:jc w:val="center"/>
        </w:trPr>
        <w:tc>
          <w:tcPr>
            <w:tcW w:w="3731" w:type="dxa"/>
            <w:tcBorders>
              <w:top w:val="nil"/>
              <w:left w:val="double" w:color="203764" w:sz="6" w:space="0"/>
              <w:bottom w:val="double" w:color="002060" w:sz="6" w:space="0"/>
              <w:right w:val="nil"/>
            </w:tcBorders>
            <w:shd w:val="clear" w:color="auto" w:fill="auto"/>
            <w:noWrap/>
            <w:vAlign w:val="bottom"/>
            <w:hideMark/>
          </w:tcPr>
          <w:p w:rsidRPr="00AE1B2B" w:rsidR="009D3FB5" w:rsidP="00163B94" w:rsidRDefault="009D3FB5" w14:paraId="5348CF7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Puntarenas</w:t>
            </w:r>
          </w:p>
        </w:tc>
        <w:tc>
          <w:tcPr>
            <w:tcW w:w="1290"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2B4C80C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w:t>
            </w:r>
          </w:p>
        </w:tc>
        <w:tc>
          <w:tcPr>
            <w:tcW w:w="1452"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30F4CC4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1411"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3A4E6B6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r>
      <w:tr w:rsidRPr="00AE1B2B" w:rsidR="00AE1B2B" w:rsidTr="009D3FB5" w14:paraId="09A6A9C1" w14:textId="77777777">
        <w:trPr>
          <w:trHeight w:val="328"/>
          <w:jc w:val="center"/>
        </w:trPr>
        <w:tc>
          <w:tcPr>
            <w:tcW w:w="3731" w:type="dxa"/>
            <w:tcBorders>
              <w:top w:val="nil"/>
              <w:left w:val="double" w:color="203764" w:sz="6" w:space="0"/>
              <w:bottom w:val="double" w:color="002060" w:sz="6" w:space="0"/>
              <w:right w:val="nil"/>
            </w:tcBorders>
            <w:shd w:val="clear" w:color="auto" w:fill="auto"/>
            <w:noWrap/>
            <w:vAlign w:val="bottom"/>
            <w:hideMark/>
          </w:tcPr>
          <w:p w:rsidRPr="00AE1B2B" w:rsidR="009D3FB5" w:rsidP="00163B94" w:rsidRDefault="009D3FB5" w14:paraId="5332F4E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la Zona Atlántica</w:t>
            </w:r>
          </w:p>
        </w:tc>
        <w:tc>
          <w:tcPr>
            <w:tcW w:w="1290"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64EB039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9</w:t>
            </w:r>
          </w:p>
        </w:tc>
        <w:tc>
          <w:tcPr>
            <w:tcW w:w="1452"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26F5630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1411"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2EE45BE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r>
      <w:tr w:rsidRPr="00AE1B2B" w:rsidR="00AE1B2B" w:rsidTr="009D3FB5" w14:paraId="03E53BEB" w14:textId="77777777">
        <w:trPr>
          <w:trHeight w:val="328"/>
          <w:jc w:val="center"/>
        </w:trPr>
        <w:tc>
          <w:tcPr>
            <w:tcW w:w="3731" w:type="dxa"/>
            <w:tcBorders>
              <w:top w:val="nil"/>
              <w:left w:val="double" w:color="203764" w:sz="6" w:space="0"/>
              <w:bottom w:val="double" w:color="002060" w:sz="6" w:space="0"/>
              <w:right w:val="nil"/>
            </w:tcBorders>
            <w:shd w:val="clear" w:color="auto" w:fill="auto"/>
            <w:noWrap/>
            <w:vAlign w:val="bottom"/>
            <w:hideMark/>
          </w:tcPr>
          <w:p w:rsidRPr="00AE1B2B" w:rsidR="009D3FB5" w:rsidP="00163B94" w:rsidRDefault="009D3FB5" w14:paraId="59CAF5C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II Circuito Judicial de la Zona Atlántica</w:t>
            </w:r>
          </w:p>
        </w:tc>
        <w:tc>
          <w:tcPr>
            <w:tcW w:w="1290"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5A42C02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w:t>
            </w:r>
          </w:p>
        </w:tc>
        <w:tc>
          <w:tcPr>
            <w:tcW w:w="1452"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4DD1BC1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w:t>
            </w:r>
          </w:p>
        </w:tc>
        <w:tc>
          <w:tcPr>
            <w:tcW w:w="1411"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0229426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25%</w:t>
            </w:r>
          </w:p>
        </w:tc>
      </w:tr>
      <w:tr w:rsidRPr="00AE1B2B" w:rsidR="00AE1B2B" w:rsidTr="009D3FB5" w14:paraId="3BD1147C" w14:textId="77777777">
        <w:trPr>
          <w:trHeight w:val="328"/>
          <w:jc w:val="center"/>
        </w:trPr>
        <w:tc>
          <w:tcPr>
            <w:tcW w:w="3731" w:type="dxa"/>
            <w:tcBorders>
              <w:top w:val="nil"/>
              <w:left w:val="double" w:color="203764" w:sz="6" w:space="0"/>
              <w:bottom w:val="double" w:color="002060" w:sz="6" w:space="0"/>
              <w:right w:val="nil"/>
            </w:tcBorders>
            <w:shd w:val="clear" w:color="auto" w:fill="auto"/>
            <w:noWrap/>
            <w:vAlign w:val="bottom"/>
            <w:hideMark/>
          </w:tcPr>
          <w:p w:rsidRPr="00AE1B2B" w:rsidR="009D3FB5" w:rsidP="00163B94" w:rsidRDefault="009D3FB5" w14:paraId="0C38595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la Zona Sur</w:t>
            </w:r>
          </w:p>
        </w:tc>
        <w:tc>
          <w:tcPr>
            <w:tcW w:w="1290"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68C7A36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w:t>
            </w:r>
          </w:p>
        </w:tc>
        <w:tc>
          <w:tcPr>
            <w:tcW w:w="1452"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4DD4845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w:t>
            </w:r>
          </w:p>
        </w:tc>
        <w:tc>
          <w:tcPr>
            <w:tcW w:w="1411"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6CE582A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50%</w:t>
            </w:r>
          </w:p>
        </w:tc>
      </w:tr>
      <w:tr w:rsidRPr="00AE1B2B" w:rsidR="00AE1B2B" w:rsidTr="009D3FB5" w14:paraId="210BB246" w14:textId="77777777">
        <w:trPr>
          <w:trHeight w:val="328"/>
          <w:jc w:val="center"/>
        </w:trPr>
        <w:tc>
          <w:tcPr>
            <w:tcW w:w="3731" w:type="dxa"/>
            <w:tcBorders>
              <w:top w:val="nil"/>
              <w:left w:val="double" w:color="203764" w:sz="6" w:space="0"/>
              <w:bottom w:val="double" w:color="203764" w:sz="6" w:space="0"/>
              <w:right w:val="nil"/>
            </w:tcBorders>
            <w:shd w:val="clear" w:color="auto" w:fill="auto"/>
            <w:noWrap/>
            <w:vAlign w:val="bottom"/>
            <w:hideMark/>
          </w:tcPr>
          <w:p w:rsidRPr="00AE1B2B" w:rsidR="009D3FB5" w:rsidP="00163B94" w:rsidRDefault="009D3FB5" w14:paraId="5F0BA34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Guanacaste</w:t>
            </w:r>
          </w:p>
        </w:tc>
        <w:tc>
          <w:tcPr>
            <w:tcW w:w="1290"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5C849B0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7</w:t>
            </w:r>
          </w:p>
        </w:tc>
        <w:tc>
          <w:tcPr>
            <w:tcW w:w="1452"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663C8ED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c>
          <w:tcPr>
            <w:tcW w:w="1411" w:type="dxa"/>
            <w:tcBorders>
              <w:top w:val="nil"/>
              <w:left w:val="nil"/>
              <w:bottom w:val="double" w:color="002060" w:sz="6" w:space="0"/>
              <w:right w:val="double" w:color="002060" w:sz="6" w:space="0"/>
            </w:tcBorders>
            <w:shd w:val="clear" w:color="auto" w:fill="auto"/>
            <w:noWrap/>
            <w:vAlign w:val="bottom"/>
            <w:hideMark/>
          </w:tcPr>
          <w:p w:rsidRPr="00AE1B2B" w:rsidR="009D3FB5" w:rsidP="00163B94" w:rsidRDefault="009D3FB5" w14:paraId="3C40E7D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r>
    </w:tbl>
    <w:p w:rsidRPr="00AE1B2B" w:rsidR="009D3FB5" w:rsidP="00163B94" w:rsidRDefault="009D3FB5" w14:paraId="58C2E89E" w14:textId="77777777">
      <w:pPr>
        <w:spacing w:before="120" w:after="120"/>
        <w:ind w:left="851" w:right="851" w:firstLine="709"/>
        <w:jc w:val="both"/>
        <w:rPr>
          <w:rFonts w:ascii="Times New Roman" w:hAnsi="Times New Roman" w:eastAsia="Calibri" w:cs="Times New Roman"/>
          <w:bCs/>
          <w:sz w:val="26"/>
          <w:szCs w:val="26"/>
          <w:lang w:eastAsia="es-CR"/>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Modernización Institucional a partir de la información de los anuarios judiciales suministrada por el Sub proceso de Estadística. Nota: Los datos son preliminares para el año 2020 y corresponden al I y II Trimestre del 2020.</w:t>
      </w:r>
    </w:p>
    <w:p w:rsidRPr="00AE1B2B" w:rsidR="009D3FB5" w:rsidP="00163B94" w:rsidRDefault="009D3FB5" w14:paraId="4862D049"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A partir de la información anterior, se tiene que, del total de Reuniones Restaurativas realizadas durante el I y II Trimestre del 2020, seis de estas no tuvieron acuerdo, mismas que se distribuyen en San José, II Circuito Judicial de la Zona Atlántica y I Circuito Judicial de la Zona Sur, que cuentan cada uno con 2 reuniones restaurativas sin acuerdo. </w:t>
      </w:r>
    </w:p>
    <w:p w:rsidRPr="00AE1B2B" w:rsidR="009D3FB5" w:rsidP="00163B94" w:rsidRDefault="009D3FB5" w14:paraId="11DD6706"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El establecimiento de este acuerdo en la Reunión Restaurativa implica que, al cumplirse las medidas acordadas (las cuales deben ser sujetas de verificación por parte del equipo psicosocial) se puede dar por terminado el proceso en materia Penal Juvenil.</w:t>
      </w:r>
    </w:p>
    <w:p w:rsidRPr="00AE1B2B" w:rsidR="009D3FB5" w:rsidP="00163B94" w:rsidRDefault="009D3FB5" w14:paraId="75C6173C"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A continuación, se muestra el detalle de las audiencias de seguimiento realizadas por los equipos psicosociales que atienden la materia Penal Juvenil en Justicia Restaurativa:</w:t>
      </w:r>
    </w:p>
    <w:p w:rsidRPr="00AE1B2B" w:rsidR="009D3FB5" w:rsidP="00163B94" w:rsidRDefault="009D3FB5" w14:paraId="4B7652A1" w14:textId="77777777">
      <w:pPr>
        <w:tabs>
          <w:tab w:val="left" w:pos="1701"/>
        </w:tabs>
        <w:spacing w:before="120" w:after="120"/>
        <w:ind w:left="851" w:right="851" w:firstLine="709"/>
        <w:jc w:val="both"/>
        <w:rPr>
          <w:rFonts w:ascii="Times New Roman" w:hAnsi="Times New Roman" w:eastAsia="Calibri" w:cs="Times New Roman"/>
          <w:sz w:val="26"/>
          <w:szCs w:val="26"/>
          <w:lang w:val="es-ES"/>
        </w:rPr>
      </w:pPr>
      <w:r w:rsidRPr="00AE1B2B">
        <w:rPr>
          <w:rFonts w:ascii="Times New Roman" w:hAnsi="Times New Roman" w:eastAsia="Calibri" w:cs="Times New Roman"/>
          <w:b/>
          <w:bCs/>
          <w:sz w:val="26"/>
          <w:szCs w:val="26"/>
        </w:rPr>
        <w:lastRenderedPageBreak/>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15</w:t>
      </w:r>
      <w:r w:rsidRPr="00AE1B2B">
        <w:rPr>
          <w:rFonts w:ascii="Times New Roman" w:hAnsi="Times New Roman" w:eastAsia="Calibri" w:cs="Times New Roman"/>
          <w:b/>
          <w:bCs/>
          <w:sz w:val="26"/>
          <w:szCs w:val="26"/>
        </w:rPr>
        <w:fldChar w:fldCharType="end"/>
      </w:r>
      <w:r w:rsidRPr="00AE1B2B">
        <w:rPr>
          <w:rFonts w:ascii="Times New Roman" w:hAnsi="Times New Roman" w:eastAsia="Calibri" w:cs="Times New Roman"/>
          <w:b/>
          <w:bCs/>
          <w:sz w:val="26"/>
          <w:szCs w:val="26"/>
        </w:rPr>
        <w:t>. Detalle de reuniones restaurativas en Penal Juvenil efectuadas durante el I y II Trimestre del 2020.</w:t>
      </w:r>
    </w:p>
    <w:tbl>
      <w:tblPr>
        <w:tblW w:w="5067" w:type="dxa"/>
        <w:jc w:val="center"/>
        <w:tblCellMar>
          <w:left w:w="70" w:type="dxa"/>
          <w:right w:w="70" w:type="dxa"/>
        </w:tblCellMar>
        <w:tblLook w:val="04A0" w:firstRow="1" w:lastRow="0" w:firstColumn="1" w:lastColumn="0" w:noHBand="0" w:noVBand="1"/>
      </w:tblPr>
      <w:tblGrid>
        <w:gridCol w:w="3765"/>
        <w:gridCol w:w="1302"/>
      </w:tblGrid>
      <w:tr w:rsidRPr="00AE1B2B" w:rsidR="00AE1B2B" w:rsidTr="009D3FB5" w14:paraId="643B2B25" w14:textId="77777777">
        <w:trPr>
          <w:trHeight w:val="323"/>
          <w:jc w:val="center"/>
        </w:trPr>
        <w:tc>
          <w:tcPr>
            <w:tcW w:w="3765" w:type="dxa"/>
            <w:tcBorders>
              <w:top w:val="double" w:color="002060" w:sz="6" w:space="0"/>
              <w:left w:val="double" w:color="002060" w:sz="6" w:space="0"/>
              <w:bottom w:val="double" w:color="203764" w:sz="6" w:space="0"/>
              <w:right w:val="double" w:color="002060" w:sz="6" w:space="0"/>
            </w:tcBorders>
            <w:shd w:val="clear" w:color="000000" w:fill="365F91"/>
            <w:noWrap/>
            <w:vAlign w:val="center"/>
            <w:hideMark/>
          </w:tcPr>
          <w:p w:rsidRPr="00AE1B2B" w:rsidR="009D3FB5" w:rsidP="00163B94" w:rsidRDefault="009D3FB5" w14:paraId="154CD1D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Circuito Judicial</w:t>
            </w:r>
          </w:p>
        </w:tc>
        <w:tc>
          <w:tcPr>
            <w:tcW w:w="1302" w:type="dxa"/>
            <w:tcBorders>
              <w:top w:val="double" w:color="002060" w:sz="6" w:space="0"/>
              <w:left w:val="nil"/>
              <w:bottom w:val="double" w:color="203764" w:sz="6" w:space="0"/>
              <w:right w:val="double" w:color="002060" w:sz="6" w:space="0"/>
            </w:tcBorders>
            <w:shd w:val="clear" w:color="000000" w:fill="365F91"/>
            <w:noWrap/>
            <w:vAlign w:val="center"/>
            <w:hideMark/>
          </w:tcPr>
          <w:p w:rsidRPr="00AE1B2B" w:rsidR="009D3FB5" w:rsidP="00163B94" w:rsidRDefault="009D3FB5" w14:paraId="3F1A04E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Realizadas</w:t>
            </w:r>
          </w:p>
        </w:tc>
      </w:tr>
      <w:tr w:rsidRPr="00AE1B2B" w:rsidR="00AE1B2B" w:rsidTr="009D3FB5" w14:paraId="229A71EF" w14:textId="77777777">
        <w:trPr>
          <w:trHeight w:val="323"/>
          <w:jc w:val="center"/>
        </w:trPr>
        <w:tc>
          <w:tcPr>
            <w:tcW w:w="3765" w:type="dxa"/>
            <w:tcBorders>
              <w:top w:val="nil"/>
              <w:left w:val="double" w:color="203764" w:sz="6" w:space="0"/>
              <w:bottom w:val="double" w:color="002060" w:sz="6" w:space="0"/>
              <w:right w:val="nil"/>
            </w:tcBorders>
            <w:shd w:val="clear" w:color="auto" w:fill="auto"/>
            <w:noWrap/>
            <w:vAlign w:val="bottom"/>
            <w:hideMark/>
          </w:tcPr>
          <w:p w:rsidRPr="00AE1B2B" w:rsidR="009D3FB5" w:rsidP="00163B94" w:rsidRDefault="009D3FB5" w14:paraId="4CF315B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San José</w:t>
            </w:r>
          </w:p>
        </w:tc>
        <w:tc>
          <w:tcPr>
            <w:tcW w:w="1302"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2495D1B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17</w:t>
            </w:r>
          </w:p>
        </w:tc>
      </w:tr>
      <w:tr w:rsidRPr="00AE1B2B" w:rsidR="00AE1B2B" w:rsidTr="009D3FB5" w14:paraId="277EB0DD" w14:textId="77777777">
        <w:trPr>
          <w:trHeight w:val="323"/>
          <w:jc w:val="center"/>
        </w:trPr>
        <w:tc>
          <w:tcPr>
            <w:tcW w:w="3765" w:type="dxa"/>
            <w:tcBorders>
              <w:top w:val="nil"/>
              <w:left w:val="double" w:color="203764" w:sz="6" w:space="0"/>
              <w:bottom w:val="double" w:color="002060" w:sz="6" w:space="0"/>
              <w:right w:val="nil"/>
            </w:tcBorders>
            <w:shd w:val="clear" w:color="auto" w:fill="auto"/>
            <w:noWrap/>
            <w:vAlign w:val="bottom"/>
            <w:hideMark/>
          </w:tcPr>
          <w:p w:rsidRPr="00AE1B2B" w:rsidR="009D3FB5" w:rsidP="00163B94" w:rsidRDefault="009D3FB5" w14:paraId="1A11904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Heredia</w:t>
            </w:r>
          </w:p>
        </w:tc>
        <w:tc>
          <w:tcPr>
            <w:tcW w:w="1302"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2ED7CA7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r>
      <w:tr w:rsidRPr="00AE1B2B" w:rsidR="00AE1B2B" w:rsidTr="009D3FB5" w14:paraId="40125C9A" w14:textId="77777777">
        <w:trPr>
          <w:trHeight w:val="323"/>
          <w:jc w:val="center"/>
        </w:trPr>
        <w:tc>
          <w:tcPr>
            <w:tcW w:w="3765" w:type="dxa"/>
            <w:tcBorders>
              <w:top w:val="nil"/>
              <w:left w:val="double" w:color="203764" w:sz="6" w:space="0"/>
              <w:bottom w:val="nil"/>
              <w:right w:val="nil"/>
            </w:tcBorders>
            <w:shd w:val="clear" w:color="auto" w:fill="auto"/>
            <w:noWrap/>
            <w:vAlign w:val="bottom"/>
            <w:hideMark/>
          </w:tcPr>
          <w:p w:rsidRPr="00AE1B2B" w:rsidR="009D3FB5" w:rsidP="00163B94" w:rsidRDefault="009D3FB5" w14:paraId="4253D74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Cartago</w:t>
            </w:r>
          </w:p>
        </w:tc>
        <w:tc>
          <w:tcPr>
            <w:tcW w:w="1302"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2576226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6</w:t>
            </w:r>
          </w:p>
        </w:tc>
      </w:tr>
      <w:tr w:rsidRPr="00AE1B2B" w:rsidR="00AE1B2B" w:rsidTr="009D3FB5" w14:paraId="27608CAF" w14:textId="77777777">
        <w:trPr>
          <w:trHeight w:val="323"/>
          <w:jc w:val="center"/>
        </w:trPr>
        <w:tc>
          <w:tcPr>
            <w:tcW w:w="3765" w:type="dxa"/>
            <w:tcBorders>
              <w:top w:val="double" w:color="002060" w:sz="6" w:space="0"/>
              <w:left w:val="double" w:color="203764" w:sz="6" w:space="0"/>
              <w:bottom w:val="double" w:color="002060" w:sz="6" w:space="0"/>
              <w:right w:val="nil"/>
            </w:tcBorders>
            <w:shd w:val="clear" w:color="auto" w:fill="auto"/>
            <w:noWrap/>
            <w:vAlign w:val="bottom"/>
            <w:hideMark/>
          </w:tcPr>
          <w:p w:rsidRPr="00AE1B2B" w:rsidR="009D3FB5" w:rsidP="00163B94" w:rsidRDefault="009D3FB5" w14:paraId="1B77469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Alajuela</w:t>
            </w:r>
          </w:p>
        </w:tc>
        <w:tc>
          <w:tcPr>
            <w:tcW w:w="1302"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49DC66C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r>
      <w:tr w:rsidRPr="00AE1B2B" w:rsidR="00AE1B2B" w:rsidTr="009D3FB5" w14:paraId="1A24C80A" w14:textId="77777777">
        <w:trPr>
          <w:trHeight w:val="323"/>
          <w:jc w:val="center"/>
        </w:trPr>
        <w:tc>
          <w:tcPr>
            <w:tcW w:w="3765" w:type="dxa"/>
            <w:tcBorders>
              <w:top w:val="nil"/>
              <w:left w:val="double" w:color="203764" w:sz="6" w:space="0"/>
              <w:bottom w:val="double" w:color="002060" w:sz="6" w:space="0"/>
              <w:right w:val="nil"/>
            </w:tcBorders>
            <w:shd w:val="clear" w:color="auto" w:fill="auto"/>
            <w:noWrap/>
            <w:vAlign w:val="bottom"/>
            <w:hideMark/>
          </w:tcPr>
          <w:p w:rsidRPr="00AE1B2B" w:rsidR="009D3FB5" w:rsidP="00163B94" w:rsidRDefault="009D3FB5" w14:paraId="3E01D09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la Zona Atlántica</w:t>
            </w:r>
          </w:p>
        </w:tc>
        <w:tc>
          <w:tcPr>
            <w:tcW w:w="1302"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66AD1C5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5</w:t>
            </w:r>
          </w:p>
        </w:tc>
      </w:tr>
      <w:tr w:rsidRPr="00AE1B2B" w:rsidR="00AE1B2B" w:rsidTr="009D3FB5" w14:paraId="18D70798" w14:textId="77777777">
        <w:trPr>
          <w:trHeight w:val="323"/>
          <w:jc w:val="center"/>
        </w:trPr>
        <w:tc>
          <w:tcPr>
            <w:tcW w:w="3765" w:type="dxa"/>
            <w:tcBorders>
              <w:top w:val="nil"/>
              <w:left w:val="double" w:color="203764" w:sz="6" w:space="0"/>
              <w:bottom w:val="double" w:color="002060" w:sz="6" w:space="0"/>
              <w:right w:val="nil"/>
            </w:tcBorders>
            <w:shd w:val="clear" w:color="auto" w:fill="auto"/>
            <w:noWrap/>
            <w:vAlign w:val="bottom"/>
            <w:hideMark/>
          </w:tcPr>
          <w:p w:rsidRPr="00AE1B2B" w:rsidR="009D3FB5" w:rsidP="00163B94" w:rsidRDefault="009D3FB5" w14:paraId="101AF55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II Circuito Judicial de la Zona Atlántica</w:t>
            </w:r>
          </w:p>
        </w:tc>
        <w:tc>
          <w:tcPr>
            <w:tcW w:w="1302"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7542A59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1</w:t>
            </w:r>
          </w:p>
        </w:tc>
      </w:tr>
      <w:tr w:rsidRPr="00AE1B2B" w:rsidR="00AE1B2B" w:rsidTr="009D3FB5" w14:paraId="723F4112" w14:textId="77777777">
        <w:trPr>
          <w:trHeight w:val="323"/>
          <w:jc w:val="center"/>
        </w:trPr>
        <w:tc>
          <w:tcPr>
            <w:tcW w:w="3765" w:type="dxa"/>
            <w:tcBorders>
              <w:top w:val="nil"/>
              <w:left w:val="double" w:color="203764" w:sz="6" w:space="0"/>
              <w:bottom w:val="double" w:color="002060" w:sz="6" w:space="0"/>
              <w:right w:val="nil"/>
            </w:tcBorders>
            <w:shd w:val="clear" w:color="auto" w:fill="auto"/>
            <w:noWrap/>
            <w:vAlign w:val="bottom"/>
            <w:hideMark/>
          </w:tcPr>
          <w:p w:rsidRPr="00AE1B2B" w:rsidR="009D3FB5" w:rsidP="00163B94" w:rsidRDefault="009D3FB5" w14:paraId="0C4B0A32"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la Zona Sur</w:t>
            </w:r>
          </w:p>
        </w:tc>
        <w:tc>
          <w:tcPr>
            <w:tcW w:w="1302"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35D2C79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2</w:t>
            </w:r>
          </w:p>
        </w:tc>
      </w:tr>
      <w:tr w:rsidRPr="00AE1B2B" w:rsidR="00AE1B2B" w:rsidTr="009D3FB5" w14:paraId="5FF2A141" w14:textId="77777777">
        <w:trPr>
          <w:trHeight w:val="323"/>
          <w:jc w:val="center"/>
        </w:trPr>
        <w:tc>
          <w:tcPr>
            <w:tcW w:w="3765" w:type="dxa"/>
            <w:tcBorders>
              <w:top w:val="nil"/>
              <w:left w:val="double" w:color="203764" w:sz="6" w:space="0"/>
              <w:bottom w:val="double" w:color="203764" w:sz="6" w:space="0"/>
              <w:right w:val="nil"/>
            </w:tcBorders>
            <w:shd w:val="clear" w:color="auto" w:fill="auto"/>
            <w:noWrap/>
            <w:vAlign w:val="bottom"/>
            <w:hideMark/>
          </w:tcPr>
          <w:p w:rsidRPr="00AE1B2B" w:rsidR="009D3FB5" w:rsidP="00163B94" w:rsidRDefault="009D3FB5" w14:paraId="7FB0343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Guanacaste</w:t>
            </w:r>
          </w:p>
        </w:tc>
        <w:tc>
          <w:tcPr>
            <w:tcW w:w="1302" w:type="dxa"/>
            <w:tcBorders>
              <w:top w:val="nil"/>
              <w:left w:val="double" w:color="002060" w:sz="6" w:space="0"/>
              <w:bottom w:val="double" w:color="002060" w:sz="6" w:space="0"/>
              <w:right w:val="double" w:color="002060" w:sz="6" w:space="0"/>
            </w:tcBorders>
            <w:shd w:val="clear" w:color="auto" w:fill="auto"/>
            <w:noWrap/>
            <w:vAlign w:val="bottom"/>
            <w:hideMark/>
          </w:tcPr>
          <w:p w:rsidRPr="00AE1B2B" w:rsidR="009D3FB5" w:rsidP="00163B94" w:rsidRDefault="009D3FB5" w14:paraId="25D10D2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0</w:t>
            </w:r>
          </w:p>
        </w:tc>
      </w:tr>
    </w:tbl>
    <w:p w:rsidRPr="00AE1B2B" w:rsidR="009D3FB5" w:rsidP="00163B94" w:rsidRDefault="009D3FB5" w14:paraId="7A211FC3" w14:textId="77777777">
      <w:pPr>
        <w:spacing w:before="120" w:after="120"/>
        <w:ind w:left="851" w:right="851" w:firstLine="709"/>
        <w:jc w:val="both"/>
        <w:rPr>
          <w:rFonts w:ascii="Times New Roman" w:hAnsi="Times New Roman" w:eastAsia="Calibri" w:cs="Times New Roman"/>
          <w:bCs/>
          <w:sz w:val="26"/>
          <w:szCs w:val="26"/>
          <w:lang w:eastAsia="es-CR"/>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Modernización Institucional a partir de la información de los anuarios judiciales suministrada por el Sub proceso de Estadística. Nota: Los datos son preliminares para el año 2020 y corresponden al I y II Trimestre del 2020.</w:t>
      </w:r>
    </w:p>
    <w:p w:rsidRPr="00AE1B2B" w:rsidR="009D3FB5" w:rsidP="00163B94" w:rsidRDefault="009D3FB5" w14:paraId="63CC8448" w14:textId="39D7485C">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Durante el I y II Trimestre del año 2020 se realizaron un total de 31 audiencias de seguimiento, siendo que el 54% de estas audiencias fue efectuada por parte del equipo psicosocial que atienden Penal Juvenil en San José.</w:t>
      </w:r>
      <w:r w:rsidRPr="00AE1B2B" w:rsidR="00BB7720">
        <w:rPr>
          <w:rFonts w:ascii="Times New Roman" w:hAnsi="Times New Roman" w:eastAsia="Calibri" w:cs="Times New Roman"/>
          <w:sz w:val="26"/>
          <w:szCs w:val="26"/>
        </w:rPr>
        <w:t xml:space="preserve"> </w:t>
      </w:r>
    </w:p>
    <w:p w:rsidRPr="00AE1B2B" w:rsidR="009D3FB5" w:rsidP="00163B94" w:rsidRDefault="009D3FB5" w14:paraId="37FBB585" w14:textId="77777777">
      <w:pPr>
        <w:spacing w:before="120" w:after="120"/>
        <w:ind w:left="851" w:right="851" w:firstLine="709"/>
        <w:jc w:val="both"/>
        <w:rPr>
          <w:rFonts w:ascii="Times New Roman" w:hAnsi="Times New Roman" w:eastAsia="Arial" w:cs="Times New Roman"/>
          <w:b/>
          <w:bCs/>
          <w:sz w:val="26"/>
          <w:szCs w:val="26"/>
        </w:rPr>
      </w:pPr>
      <w:r w:rsidRPr="00AE1B2B">
        <w:rPr>
          <w:rFonts w:ascii="Times New Roman" w:hAnsi="Times New Roman" w:eastAsia="Arial" w:cs="Times New Roman"/>
          <w:b/>
          <w:bCs/>
          <w:sz w:val="26"/>
          <w:szCs w:val="26"/>
        </w:rPr>
        <w:t>Justicia Restaurativa Contravenciones</w:t>
      </w:r>
    </w:p>
    <w:p w:rsidRPr="00AE1B2B" w:rsidR="009D3FB5" w:rsidP="00163B94" w:rsidRDefault="009D3FB5" w14:paraId="4E6F705B"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Durante el año 2020 se dio inicio a la atención de la materia Contravencional en el III Circuito Judicial de San José (Pavas) y en el Circuito Judicial de Puntarenas, donde participan la plaza de Defensora o Defensor Público y el equipo psicosocial. </w:t>
      </w:r>
    </w:p>
    <w:p w:rsidRPr="00AE1B2B" w:rsidR="009D3FB5" w:rsidP="00163B94" w:rsidRDefault="009D3FB5" w14:paraId="24362003"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Es importante indicar que en consulta realizada al Sub Proceso de Estadística, no se cuenta en la actualidad con un anuario judicial para la atención de Justicia Restaurativa en materia de Contravenciones (Ver apéndice 3); no obstante, se extrajo del anuario judicial de la materia contravencional los asuntos con motivo de término </w:t>
      </w:r>
      <w:r w:rsidRPr="00AE1B2B">
        <w:rPr>
          <w:rFonts w:ascii="Times New Roman" w:hAnsi="Times New Roman" w:eastAsia="Calibri" w:cs="Times New Roman"/>
          <w:i/>
          <w:iCs/>
          <w:sz w:val="26"/>
          <w:szCs w:val="26"/>
        </w:rPr>
        <w:t>“Remitido a Ofic.Just.Restaurativa”</w:t>
      </w:r>
      <w:r w:rsidRPr="00AE1B2B">
        <w:rPr>
          <w:rFonts w:ascii="Times New Roman" w:hAnsi="Times New Roman" w:eastAsia="Calibri" w:cs="Times New Roman"/>
          <w:sz w:val="26"/>
          <w:szCs w:val="26"/>
        </w:rPr>
        <w:t xml:space="preserve"> con el objetivo de tener una base de la cantidad de asuntos que se terminaron por estos efectos.</w:t>
      </w:r>
    </w:p>
    <w:p w:rsidRPr="00AE1B2B" w:rsidR="009D3FB5" w:rsidP="00163B94" w:rsidRDefault="009D3FB5" w14:paraId="4B76DB78"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Para el año 2021 se dará inicio con la atención por parte del equipo psicosocial en materia contravencional en el II Circuito </w:t>
      </w:r>
      <w:r w:rsidRPr="00AE1B2B">
        <w:rPr>
          <w:rFonts w:ascii="Times New Roman" w:hAnsi="Times New Roman" w:eastAsia="Calibri" w:cs="Times New Roman"/>
          <w:sz w:val="26"/>
          <w:szCs w:val="26"/>
        </w:rPr>
        <w:lastRenderedPageBreak/>
        <w:t>Judicial de San José (Goicoechea), I Circuito Judicial de Alajuela, Circuito Judicial de Heredia, Circuito Judicial de Cartago, I Circuito Judicial de la Zona Atlántica y I Circuito Judicial de Guanacaste.</w:t>
      </w:r>
    </w:p>
    <w:p w:rsidRPr="00AE1B2B" w:rsidR="009D3FB5" w:rsidP="00163B94" w:rsidRDefault="009D3FB5" w14:paraId="29CE7644"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Seguidamente se muestra la información correspondiente al motivo de término </w:t>
      </w:r>
      <w:r w:rsidRPr="00AE1B2B">
        <w:rPr>
          <w:rFonts w:ascii="Times New Roman" w:hAnsi="Times New Roman" w:eastAsia="Calibri" w:cs="Times New Roman"/>
          <w:i/>
          <w:iCs/>
          <w:sz w:val="26"/>
          <w:szCs w:val="26"/>
        </w:rPr>
        <w:t>“Remitido a Ofic.Just.Restaurativa”</w:t>
      </w:r>
      <w:r w:rsidRPr="00AE1B2B">
        <w:rPr>
          <w:rFonts w:ascii="Times New Roman" w:hAnsi="Times New Roman" w:eastAsia="Calibri" w:cs="Times New Roman"/>
          <w:sz w:val="26"/>
          <w:szCs w:val="26"/>
        </w:rPr>
        <w:t xml:space="preserve"> extraído del anuario judicial preliminar para el 2020 de la materia contravencional:</w:t>
      </w:r>
    </w:p>
    <w:p w:rsidRPr="00AE1B2B" w:rsidR="009D3FB5" w:rsidP="00163B94" w:rsidRDefault="009D3FB5" w14:paraId="709BE937" w14:textId="77777777">
      <w:pPr>
        <w:tabs>
          <w:tab w:val="left" w:pos="1701"/>
        </w:tabs>
        <w:spacing w:before="120" w:after="120"/>
        <w:ind w:left="851" w:right="851" w:firstLine="709"/>
        <w:jc w:val="both"/>
        <w:rPr>
          <w:rFonts w:ascii="Times New Roman" w:hAnsi="Times New Roman" w:eastAsia="Calibri" w:cs="Times New Roman"/>
          <w:b/>
          <w:bCs/>
          <w:sz w:val="26"/>
          <w:szCs w:val="26"/>
        </w:rPr>
      </w:pPr>
    </w:p>
    <w:p w:rsidRPr="00AE1B2B" w:rsidR="009D3FB5" w:rsidP="00163B94" w:rsidRDefault="009D3FB5" w14:paraId="284ECD01" w14:textId="77777777">
      <w:pPr>
        <w:tabs>
          <w:tab w:val="left" w:pos="1701"/>
        </w:tabs>
        <w:spacing w:before="120" w:after="120"/>
        <w:ind w:left="851" w:right="851" w:firstLine="709"/>
        <w:jc w:val="both"/>
        <w:rPr>
          <w:rFonts w:ascii="Times New Roman" w:hAnsi="Times New Roman" w:eastAsia="Calibri" w:cs="Times New Roman"/>
          <w:b/>
          <w:bCs/>
          <w:sz w:val="26"/>
          <w:szCs w:val="26"/>
        </w:rPr>
      </w:pPr>
    </w:p>
    <w:p w:rsidRPr="00AE1B2B" w:rsidR="009D3FB5" w:rsidP="00163B94" w:rsidRDefault="009D3FB5" w14:paraId="721B7A19" w14:textId="77777777">
      <w:pPr>
        <w:tabs>
          <w:tab w:val="left" w:pos="1701"/>
        </w:tabs>
        <w:spacing w:before="120" w:after="120"/>
        <w:ind w:left="851" w:right="851" w:firstLine="709"/>
        <w:jc w:val="both"/>
        <w:rPr>
          <w:rFonts w:ascii="Times New Roman" w:hAnsi="Times New Roman" w:eastAsia="Calibri" w:cs="Times New Roman"/>
          <w:b/>
          <w:bCs/>
          <w:sz w:val="26"/>
          <w:szCs w:val="26"/>
        </w:rPr>
      </w:pPr>
    </w:p>
    <w:p w:rsidRPr="00AE1B2B" w:rsidR="009D3FB5" w:rsidP="00163B94" w:rsidRDefault="009D3FB5" w14:paraId="23281003" w14:textId="77777777">
      <w:pPr>
        <w:tabs>
          <w:tab w:val="left" w:pos="1701"/>
        </w:tabs>
        <w:spacing w:before="120" w:after="120"/>
        <w:ind w:left="851" w:right="851" w:firstLine="709"/>
        <w:jc w:val="both"/>
        <w:rPr>
          <w:rFonts w:ascii="Times New Roman" w:hAnsi="Times New Roman" w:eastAsia="Calibri" w:cs="Times New Roman"/>
          <w:b/>
          <w:bCs/>
          <w:sz w:val="26"/>
          <w:szCs w:val="26"/>
        </w:rPr>
      </w:pPr>
    </w:p>
    <w:p w:rsidRPr="00AE1B2B" w:rsidR="009D3FB5" w:rsidP="00163B94" w:rsidRDefault="009D3FB5" w14:paraId="52FB118A" w14:textId="77777777">
      <w:pPr>
        <w:tabs>
          <w:tab w:val="left" w:pos="1701"/>
        </w:tabs>
        <w:spacing w:before="120" w:after="120"/>
        <w:ind w:left="851" w:right="851" w:firstLine="709"/>
        <w:jc w:val="both"/>
        <w:rPr>
          <w:rFonts w:ascii="Times New Roman" w:hAnsi="Times New Roman" w:eastAsia="Calibri" w:cs="Times New Roman"/>
          <w:sz w:val="26"/>
          <w:szCs w:val="26"/>
          <w:lang w:val="es-ES"/>
        </w:rPr>
      </w:pPr>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16</w:t>
      </w:r>
      <w:r w:rsidRPr="00AE1B2B">
        <w:rPr>
          <w:rFonts w:ascii="Times New Roman" w:hAnsi="Times New Roman" w:eastAsia="Calibri" w:cs="Times New Roman"/>
          <w:b/>
          <w:bCs/>
          <w:sz w:val="26"/>
          <w:szCs w:val="26"/>
        </w:rPr>
        <w:fldChar w:fldCharType="end"/>
      </w:r>
      <w:r w:rsidRPr="00AE1B2B">
        <w:rPr>
          <w:rFonts w:ascii="Times New Roman" w:hAnsi="Times New Roman" w:eastAsia="Calibri" w:cs="Times New Roman"/>
          <w:b/>
          <w:bCs/>
          <w:sz w:val="26"/>
          <w:szCs w:val="26"/>
        </w:rPr>
        <w:t>. Asuntos terminados por motivo de término “</w:t>
      </w:r>
      <w:r w:rsidRPr="00AE1B2B">
        <w:rPr>
          <w:rFonts w:ascii="Times New Roman" w:hAnsi="Times New Roman" w:eastAsia="Calibri" w:cs="Times New Roman"/>
          <w:b/>
          <w:bCs/>
          <w:i/>
          <w:iCs/>
          <w:sz w:val="26"/>
          <w:szCs w:val="26"/>
        </w:rPr>
        <w:t xml:space="preserve">Remitido a Ofic. Just. Restaurativa” </w:t>
      </w:r>
      <w:r w:rsidRPr="00AE1B2B">
        <w:rPr>
          <w:rFonts w:ascii="Times New Roman" w:hAnsi="Times New Roman" w:eastAsia="Calibri" w:cs="Times New Roman"/>
          <w:b/>
          <w:bCs/>
          <w:sz w:val="26"/>
          <w:szCs w:val="26"/>
        </w:rPr>
        <w:t>para la materia contravencional</w:t>
      </w:r>
    </w:p>
    <w:tbl>
      <w:tblPr>
        <w:tblW w:w="5060" w:type="dxa"/>
        <w:jc w:val="center"/>
        <w:tblCellMar>
          <w:left w:w="70" w:type="dxa"/>
          <w:right w:w="70" w:type="dxa"/>
        </w:tblCellMar>
        <w:tblLook w:val="04A0" w:firstRow="1" w:lastRow="0" w:firstColumn="1" w:lastColumn="0" w:noHBand="0" w:noVBand="1"/>
      </w:tblPr>
      <w:tblGrid>
        <w:gridCol w:w="3860"/>
        <w:gridCol w:w="1200"/>
      </w:tblGrid>
      <w:tr w:rsidRPr="00AE1B2B" w:rsidR="00AE1B2B" w:rsidTr="009D3FB5" w14:paraId="2E891D6E" w14:textId="77777777">
        <w:trPr>
          <w:trHeight w:val="310"/>
          <w:jc w:val="center"/>
        </w:trPr>
        <w:tc>
          <w:tcPr>
            <w:tcW w:w="3860" w:type="dxa"/>
            <w:tcBorders>
              <w:top w:val="double" w:color="1F4E78" w:sz="6" w:space="0"/>
              <w:left w:val="double" w:color="1F4E78" w:sz="6" w:space="0"/>
              <w:bottom w:val="double" w:color="1F4E78" w:sz="6" w:space="0"/>
              <w:right w:val="double" w:color="1F4E78" w:sz="6" w:space="0"/>
            </w:tcBorders>
            <w:shd w:val="clear" w:color="000000" w:fill="203764"/>
            <w:noWrap/>
            <w:vAlign w:val="bottom"/>
            <w:hideMark/>
          </w:tcPr>
          <w:p w:rsidRPr="00AE1B2B" w:rsidR="009D3FB5" w:rsidP="00163B94" w:rsidRDefault="009D3FB5" w14:paraId="04DCBBCB"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Despacho</w:t>
            </w:r>
          </w:p>
        </w:tc>
        <w:tc>
          <w:tcPr>
            <w:tcW w:w="1200" w:type="dxa"/>
            <w:tcBorders>
              <w:top w:val="double" w:color="1F4E78" w:sz="6" w:space="0"/>
              <w:left w:val="nil"/>
              <w:bottom w:val="double" w:color="1F4E78" w:sz="6" w:space="0"/>
              <w:right w:val="double" w:color="1F4E78" w:sz="6" w:space="0"/>
            </w:tcBorders>
            <w:shd w:val="clear" w:color="000000" w:fill="203764"/>
            <w:noWrap/>
            <w:vAlign w:val="bottom"/>
            <w:hideMark/>
          </w:tcPr>
          <w:p w:rsidRPr="00AE1B2B" w:rsidR="009D3FB5" w:rsidP="00163B94" w:rsidRDefault="009D3FB5" w14:paraId="231D1A5D"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Cantidad</w:t>
            </w:r>
          </w:p>
        </w:tc>
      </w:tr>
      <w:tr w:rsidRPr="00AE1B2B" w:rsidR="00AE1B2B" w:rsidTr="009D3FB5" w14:paraId="692E2402" w14:textId="77777777">
        <w:trPr>
          <w:trHeight w:val="330"/>
          <w:jc w:val="center"/>
        </w:trPr>
        <w:tc>
          <w:tcPr>
            <w:tcW w:w="3860" w:type="dxa"/>
            <w:tcBorders>
              <w:top w:val="nil"/>
              <w:left w:val="double" w:color="1F4E78" w:sz="6" w:space="0"/>
              <w:bottom w:val="nil"/>
              <w:right w:val="double" w:color="1F4E78" w:sz="6" w:space="0"/>
            </w:tcBorders>
            <w:shd w:val="clear" w:color="auto" w:fill="auto"/>
            <w:noWrap/>
            <w:vAlign w:val="bottom"/>
            <w:hideMark/>
          </w:tcPr>
          <w:p w:rsidRPr="00AE1B2B" w:rsidR="009D3FB5" w:rsidP="00163B94" w:rsidRDefault="009D3FB5" w14:paraId="5D3ACEE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de Pavas</w:t>
            </w:r>
          </w:p>
        </w:tc>
        <w:tc>
          <w:tcPr>
            <w:tcW w:w="1200" w:type="dxa"/>
            <w:tcBorders>
              <w:top w:val="nil"/>
              <w:left w:val="nil"/>
              <w:bottom w:val="nil"/>
              <w:right w:val="double" w:color="1F4E78" w:sz="6" w:space="0"/>
            </w:tcBorders>
            <w:shd w:val="clear" w:color="auto" w:fill="auto"/>
            <w:noWrap/>
            <w:vAlign w:val="bottom"/>
            <w:hideMark/>
          </w:tcPr>
          <w:p w:rsidRPr="00AE1B2B" w:rsidR="009D3FB5" w:rsidP="00163B94" w:rsidRDefault="009D3FB5" w14:paraId="3420CB90"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5</w:t>
            </w:r>
          </w:p>
        </w:tc>
      </w:tr>
      <w:tr w:rsidRPr="00AE1B2B" w:rsidR="00AE1B2B" w:rsidTr="009D3FB5" w14:paraId="70215C9F" w14:textId="77777777">
        <w:trPr>
          <w:trHeight w:val="310"/>
          <w:jc w:val="center"/>
        </w:trPr>
        <w:tc>
          <w:tcPr>
            <w:tcW w:w="3860" w:type="dxa"/>
            <w:tcBorders>
              <w:top w:val="double" w:color="1F4E78" w:sz="6" w:space="0"/>
              <w:left w:val="double" w:color="1F4E78" w:sz="6" w:space="0"/>
              <w:bottom w:val="double" w:color="1F4E78" w:sz="6" w:space="0"/>
              <w:right w:val="double" w:color="1F4E78" w:sz="6" w:space="0"/>
            </w:tcBorders>
            <w:shd w:val="clear" w:color="auto" w:fill="auto"/>
            <w:noWrap/>
            <w:vAlign w:val="bottom"/>
            <w:hideMark/>
          </w:tcPr>
          <w:p w:rsidRPr="00AE1B2B" w:rsidR="009D3FB5" w:rsidP="00163B94" w:rsidRDefault="009D3FB5" w14:paraId="2A28529F" w14:textId="77777777">
            <w:pPr>
              <w:spacing w:before="120" w:after="120"/>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Juzgado Contravencional Puntarenas</w:t>
            </w:r>
          </w:p>
        </w:tc>
        <w:tc>
          <w:tcPr>
            <w:tcW w:w="1200" w:type="dxa"/>
            <w:tcBorders>
              <w:top w:val="double" w:color="1F4E78" w:sz="6" w:space="0"/>
              <w:left w:val="nil"/>
              <w:bottom w:val="double" w:color="1F4E78" w:sz="6" w:space="0"/>
              <w:right w:val="double" w:color="1F4E78" w:sz="6" w:space="0"/>
            </w:tcBorders>
            <w:shd w:val="clear" w:color="auto" w:fill="auto"/>
            <w:noWrap/>
            <w:vAlign w:val="bottom"/>
            <w:hideMark/>
          </w:tcPr>
          <w:p w:rsidRPr="00AE1B2B" w:rsidR="009D3FB5" w:rsidP="00163B94" w:rsidRDefault="009D3FB5" w14:paraId="67F654D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2</w:t>
            </w:r>
          </w:p>
        </w:tc>
      </w:tr>
      <w:tr w:rsidRPr="00AE1B2B" w:rsidR="00AE1B2B" w:rsidTr="009D3FB5" w14:paraId="57676E14" w14:textId="77777777">
        <w:trPr>
          <w:trHeight w:val="310"/>
          <w:jc w:val="center"/>
        </w:trPr>
        <w:tc>
          <w:tcPr>
            <w:tcW w:w="3860" w:type="dxa"/>
            <w:tcBorders>
              <w:top w:val="nil"/>
              <w:left w:val="double" w:color="1F4E78" w:sz="6" w:space="0"/>
              <w:bottom w:val="double" w:color="1F4E78" w:sz="6" w:space="0"/>
              <w:right w:val="double" w:color="1F4E78" w:sz="6" w:space="0"/>
            </w:tcBorders>
            <w:shd w:val="clear" w:color="auto" w:fill="auto"/>
            <w:noWrap/>
            <w:vAlign w:val="bottom"/>
            <w:hideMark/>
          </w:tcPr>
          <w:p w:rsidRPr="00AE1B2B" w:rsidR="009D3FB5" w:rsidP="00163B94" w:rsidRDefault="009D3FB5" w14:paraId="4AEB3985"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Total</w:t>
            </w:r>
          </w:p>
        </w:tc>
        <w:tc>
          <w:tcPr>
            <w:tcW w:w="1200" w:type="dxa"/>
            <w:tcBorders>
              <w:top w:val="nil"/>
              <w:left w:val="nil"/>
              <w:bottom w:val="double" w:color="1F4E78" w:sz="6" w:space="0"/>
              <w:right w:val="double" w:color="1F4E78" w:sz="6" w:space="0"/>
            </w:tcBorders>
            <w:shd w:val="clear" w:color="auto" w:fill="auto"/>
            <w:noWrap/>
            <w:vAlign w:val="bottom"/>
            <w:hideMark/>
          </w:tcPr>
          <w:p w:rsidRPr="00AE1B2B" w:rsidR="009D3FB5" w:rsidP="00163B94" w:rsidRDefault="009D3FB5" w14:paraId="3D0A839A" w14:textId="77777777">
            <w:pPr>
              <w:spacing w:before="120" w:after="120"/>
              <w:jc w:val="center"/>
              <w:rPr>
                <w:rFonts w:ascii="Times New Roman" w:hAnsi="Times New Roman" w:eastAsia="Times New Roman" w:cs="Times New Roman"/>
                <w:lang w:eastAsia="es-CR"/>
              </w:rPr>
            </w:pPr>
            <w:r w:rsidRPr="00AE1B2B">
              <w:rPr>
                <w:rFonts w:ascii="Times New Roman" w:hAnsi="Times New Roman" w:eastAsia="Times New Roman" w:cs="Times New Roman"/>
                <w:lang w:eastAsia="es-CR"/>
              </w:rPr>
              <w:t>7</w:t>
            </w:r>
          </w:p>
        </w:tc>
      </w:tr>
    </w:tbl>
    <w:p w:rsidRPr="00AE1B2B" w:rsidR="009D3FB5" w:rsidP="00163B94" w:rsidRDefault="009D3FB5" w14:paraId="35F6EBE1" w14:textId="77777777">
      <w:pPr>
        <w:spacing w:before="120" w:after="120"/>
        <w:ind w:left="851" w:right="851" w:firstLine="709"/>
        <w:jc w:val="both"/>
        <w:rPr>
          <w:rFonts w:ascii="Times New Roman" w:hAnsi="Times New Roman" w:eastAsia="Calibri" w:cs="Times New Roman"/>
          <w:bCs/>
          <w:sz w:val="26"/>
          <w:szCs w:val="26"/>
          <w:lang w:eastAsia="es-CR"/>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Modernización Institucional a partir de la información de los anuarios judiciales suministrada por el Sub proceso de Estadística. Nota: Los datos son preliminares para el año 2020.</w:t>
      </w:r>
    </w:p>
    <w:p w:rsidRPr="00AE1B2B" w:rsidR="009D3FB5" w:rsidP="00163B94" w:rsidRDefault="009D3FB5" w14:paraId="5CC3DED1"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A partir de lo anterior, se identifica que durante el 2020 en materia contravencional se terminaron 7 asuntos por motivo de remisión a la oficina de Justicia Restaurativa, de los cuales 5 pertenecen al Juzgado Contravencional de Pavas y 2 al Juzgado Contravencional de Puntarenas.</w:t>
      </w:r>
    </w:p>
    <w:p w:rsidRPr="00AE1B2B" w:rsidR="009D3FB5" w:rsidP="00163B94" w:rsidRDefault="009D3FB5" w14:paraId="6147EE16" w14:textId="77777777">
      <w:pPr>
        <w:spacing w:before="120" w:after="120"/>
        <w:ind w:left="851" w:right="851" w:firstLine="709"/>
        <w:jc w:val="both"/>
        <w:rPr>
          <w:rFonts w:ascii="Times New Roman" w:hAnsi="Times New Roman" w:eastAsia="Calibri" w:cs="Times New Roman"/>
          <w:b/>
          <w:bCs/>
          <w:iCs/>
          <w:sz w:val="26"/>
          <w:szCs w:val="26"/>
          <w:lang w:val="x-none" w:eastAsia="x-none"/>
        </w:rPr>
      </w:pPr>
      <w:r w:rsidRPr="00AE1B2B">
        <w:rPr>
          <w:rFonts w:ascii="Times New Roman" w:hAnsi="Times New Roman" w:eastAsia="Calibri" w:cs="Times New Roman"/>
          <w:b/>
          <w:bCs/>
          <w:iCs/>
          <w:sz w:val="26"/>
          <w:szCs w:val="26"/>
          <w:lang w:eastAsia="x-none"/>
        </w:rPr>
        <w:t>Cumplimiento de los escenarios aprobados en el informe 586-PLA-MI-2020</w:t>
      </w:r>
    </w:p>
    <w:p w:rsidRPr="00AE1B2B" w:rsidR="009D3FB5" w:rsidP="00163B94" w:rsidRDefault="009D3FB5" w14:paraId="1F85ACFE"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El informe 586-PLA-MI-2020 fue aprobado en sesión del Consejo Superior 45-20, artículo XX del 08 de mayo de 2020 y conocido en sesión extraordinaria 31-20 de Corte Plena (Presupuesto 2021) del 02 de junio de 2020, artículo II. Se detalla a continuación los escenarios aprobados.</w:t>
      </w:r>
    </w:p>
    <w:p w:rsidRPr="00AE1B2B" w:rsidR="009D3FB5" w:rsidP="00163B94" w:rsidRDefault="009D3FB5" w14:paraId="664A4E6F" w14:textId="21469328">
      <w:pPr>
        <w:numPr>
          <w:ilvl w:val="0"/>
          <w:numId w:val="135"/>
        </w:num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lastRenderedPageBreak/>
        <w:t>Abordaje a nivel nacional que contempla el cambio de la clase de puesto y por ende, del perfil profesional de las dos plazas de Jueza o Juez 3 a una plaza de Fiscala o Fiscal y una de Defensora o Defensor Pública, además de la conversión del perfil competencial de las plazas de Técnica o Técnico Judicial</w:t>
      </w:r>
      <w:r w:rsidRPr="00AE1B2B" w:rsidR="00BB7720">
        <w:rPr>
          <w:rFonts w:ascii="Times New Roman" w:hAnsi="Times New Roman" w:eastAsia="Calibri" w:cs="Times New Roman"/>
          <w:sz w:val="26"/>
          <w:szCs w:val="26"/>
        </w:rPr>
        <w:t xml:space="preserve"> </w:t>
      </w:r>
      <w:r w:rsidRPr="00AE1B2B">
        <w:rPr>
          <w:rFonts w:ascii="Times New Roman" w:hAnsi="Times New Roman" w:eastAsia="Calibri" w:cs="Times New Roman"/>
          <w:sz w:val="26"/>
          <w:szCs w:val="26"/>
        </w:rPr>
        <w:t>a Trabajadora o Trabajador Social y Psicóloga o Psicólogo, con el propósito de maximizar la función de estas plazas extraordinarias mediante la conformación dos equipos de trabajo</w:t>
      </w:r>
      <w:r w:rsidRPr="00AE1B2B" w:rsidR="00BB7720">
        <w:rPr>
          <w:rFonts w:ascii="Times New Roman" w:hAnsi="Times New Roman" w:eastAsia="Calibri" w:cs="Times New Roman"/>
          <w:sz w:val="26"/>
          <w:szCs w:val="26"/>
        </w:rPr>
        <w:t xml:space="preserve"> </w:t>
      </w:r>
      <w:r w:rsidRPr="00AE1B2B">
        <w:rPr>
          <w:rFonts w:ascii="Times New Roman" w:hAnsi="Times New Roman" w:eastAsia="Calibri" w:cs="Times New Roman"/>
          <w:sz w:val="26"/>
          <w:szCs w:val="26"/>
        </w:rPr>
        <w:t>adicionales para extender la cobertura al I y II Circuito de Guanacaste y el II Circuito de la Zona Sur, con ello dar cumplimiento del Transitorio I de la Ley de Justicia Restaurativa.</w:t>
      </w:r>
    </w:p>
    <w:p w:rsidRPr="00AE1B2B" w:rsidR="009D3FB5" w:rsidP="00163B94" w:rsidRDefault="009D3FB5" w14:paraId="4BAFE113" w14:textId="77777777">
      <w:pPr>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355A6D32" w14:textId="77777777">
      <w:pPr>
        <w:widowControl w:val="0"/>
        <w:autoSpaceDE w:val="0"/>
        <w:autoSpaceDN w:val="0"/>
        <w:adjustRightInd w:val="0"/>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Se toma en consideración adicionalmente, según la recomendación técnica de Planificación, que el Equipo Psicosocial del ICJ Alajuela tenga cobertura debidamente programada para el II CJ de Alajuela San Carlos y que el resto de Equipos a nivel nacional extiendan su cobertura al resto de materias y etapas, entre estas Penal, Penal Juvenil y Penal en etapa intermedia, Contravenciones y Ejecución de la Pena, según se plateo por la Dirección de Planificación en relación a las capacidades instaladas y cumplimiento de cuotas aprobadas.</w:t>
      </w:r>
    </w:p>
    <w:p w:rsidRPr="00AE1B2B" w:rsidR="009D3FB5" w:rsidP="00163B94" w:rsidRDefault="009D3FB5" w14:paraId="691BE217"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informe 691-PLA-RH-OI-2020 aprobado sesión del Consejo Superior 48-2020 celebrada el 14 de mayo de 2020, artículo IX se acuerda realizar la recalificación de las plazas extraordinarias para Justicia Penal Juvenil Restaurativa según detalle establecido en el informe </w:t>
      </w:r>
      <w:r w:rsidRPr="00AE1B2B">
        <w:rPr>
          <w:rFonts w:ascii="Times New Roman" w:hAnsi="Times New Roman" w:eastAsia="Times New Roman" w:cs="Times New Roman"/>
          <w:sz w:val="26"/>
          <w:szCs w:val="26"/>
          <w:lang w:val="es-ES" w:eastAsia="es-ES"/>
        </w:rPr>
        <w:t>586-PLA-MI-2020.</w:t>
      </w:r>
    </w:p>
    <w:p w:rsidRPr="00AE1B2B" w:rsidR="009D3FB5" w:rsidP="00163B94" w:rsidRDefault="009D3FB5" w14:paraId="6DBD7EC5"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Por otra parte, en sesión de trabajo realizada con la Licda. Jovanna Calderón Altamirano, Profesional Encargada de la Oficina Rectora de Justicia Restaurativa (ver apéndice 1), se verificó el cumplimiento del escenario aprobado por el Consejo Superior según se detalla:</w:t>
      </w:r>
    </w:p>
    <w:p w:rsidRPr="00AE1B2B" w:rsidR="009D3FB5" w:rsidP="00163B94" w:rsidRDefault="009D3FB5" w14:paraId="19B5336B" w14:textId="77777777">
      <w:pPr>
        <w:numPr>
          <w:ilvl w:val="0"/>
          <w:numId w:val="137"/>
        </w:numPr>
        <w:spacing w:before="120" w:after="120"/>
        <w:ind w:left="851" w:right="851" w:firstLine="709"/>
        <w:jc w:val="both"/>
        <w:rPr>
          <w:rFonts w:ascii="Times New Roman" w:hAnsi="Times New Roman" w:eastAsia="Calibri" w:cs="Times New Roman"/>
          <w:sz w:val="26"/>
          <w:szCs w:val="26"/>
          <w:lang w:val="es-ES" w:eastAsia="es-ES"/>
        </w:rPr>
      </w:pPr>
      <w:r w:rsidRPr="00AE1B2B">
        <w:rPr>
          <w:rFonts w:ascii="Times New Roman" w:hAnsi="Times New Roman" w:eastAsia="Calibri" w:cs="Times New Roman"/>
          <w:sz w:val="26"/>
          <w:szCs w:val="26"/>
          <w:lang w:val="es-ES" w:eastAsia="es-ES"/>
        </w:rPr>
        <w:t>Se cuenta con un equipo interdisciplinario asignado al II Circuito Judicial de la Zona Sur, el mismo se compone de una plaza de Fiscala o Fiscal Auxiliar, una plaza de Defensora o Defensor Público y una plaza de Psicóloga o Psicólogo.</w:t>
      </w:r>
    </w:p>
    <w:p w:rsidRPr="00AE1B2B" w:rsidR="009D3FB5" w:rsidP="00163B94" w:rsidRDefault="009D3FB5" w14:paraId="5782606B" w14:textId="77777777">
      <w:pPr>
        <w:numPr>
          <w:ilvl w:val="0"/>
          <w:numId w:val="137"/>
        </w:numPr>
        <w:spacing w:before="120" w:after="120"/>
        <w:ind w:left="851" w:right="851" w:firstLine="709"/>
        <w:jc w:val="both"/>
        <w:rPr>
          <w:rFonts w:ascii="Times New Roman" w:hAnsi="Times New Roman" w:eastAsia="Calibri" w:cs="Times New Roman"/>
          <w:sz w:val="26"/>
          <w:szCs w:val="26"/>
          <w:lang w:val="es-ES" w:eastAsia="es-ES"/>
        </w:rPr>
      </w:pPr>
      <w:r w:rsidRPr="00AE1B2B">
        <w:rPr>
          <w:rFonts w:ascii="Times New Roman" w:hAnsi="Times New Roman" w:eastAsia="Calibri" w:cs="Times New Roman"/>
          <w:sz w:val="26"/>
          <w:szCs w:val="26"/>
          <w:lang w:val="es-ES" w:eastAsia="es-ES"/>
        </w:rPr>
        <w:t xml:space="preserve">Se cuenta con un equipo interdisciplinario asignado al I y II Circuito Judicial de Guanacaste, mismo que por el momento se encuentra trabajando la materia Penal Adulto únicamente en el I Circuito Judicial de Guanacaste, mientras que en el II Circuito Judicial de Guanacaste se brinda atención solamente en Penal </w:t>
      </w:r>
      <w:r w:rsidRPr="00AE1B2B">
        <w:rPr>
          <w:rFonts w:ascii="Times New Roman" w:hAnsi="Times New Roman" w:eastAsia="Calibri" w:cs="Times New Roman"/>
          <w:sz w:val="26"/>
          <w:szCs w:val="26"/>
          <w:lang w:val="es-ES" w:eastAsia="es-ES"/>
        </w:rPr>
        <w:lastRenderedPageBreak/>
        <w:t>Juvenil. Este equipo está conformado por una plaza de Fiscala o Fiscal Auxiliar, una plaza de Defensora o Defensor Público y dos plazas de Psicóloga o Psicólogo. Respecto a la ampliación de cobertura en el II Circuito Judicial de Alajuela, se indica que designó una plaza de Trabajadora o Trabajador Social a este Circuito Judicial y que la misma está destinada a la atención de Justicia Penal Juvenil Restaurativa.</w:t>
      </w:r>
    </w:p>
    <w:p w:rsidRPr="00AE1B2B" w:rsidR="009D3FB5" w:rsidP="00163B94" w:rsidRDefault="009D3FB5" w14:paraId="3FB9CCD3" w14:textId="77777777">
      <w:pPr>
        <w:numPr>
          <w:ilvl w:val="0"/>
          <w:numId w:val="137"/>
        </w:numPr>
        <w:spacing w:before="120" w:after="120"/>
        <w:ind w:left="851" w:right="851" w:firstLine="709"/>
        <w:jc w:val="both"/>
        <w:rPr>
          <w:rFonts w:ascii="Times New Roman" w:hAnsi="Times New Roman" w:eastAsia="Calibri" w:cs="Times New Roman"/>
          <w:sz w:val="26"/>
          <w:szCs w:val="26"/>
          <w:lang w:val="es-ES" w:eastAsia="es-ES"/>
        </w:rPr>
      </w:pPr>
      <w:r w:rsidRPr="00AE1B2B">
        <w:rPr>
          <w:rFonts w:ascii="Times New Roman" w:hAnsi="Times New Roman" w:eastAsia="Calibri" w:cs="Times New Roman"/>
          <w:sz w:val="26"/>
          <w:szCs w:val="26"/>
          <w:lang w:val="es-ES" w:eastAsia="es-ES"/>
        </w:rPr>
        <w:t>En cuanto a la ampliación de cobertura por materias, se tiene que para el 2021 se inició con la atención de la materia de contravenciones en el II Circuito Judicial de San José (Goicoechea), I Circuito Judicial de Alajuela, Circuito Judicial de Heredia, Circuito Judicial de Cartago, I Circuito Judicial de la Zona Atlántica y I Circuito Judicial de Guanacaste.</w:t>
      </w:r>
    </w:p>
    <w:p w:rsidRPr="00AE1B2B" w:rsidR="009D3FB5" w:rsidP="00163B94" w:rsidRDefault="009D3FB5" w14:paraId="55F3A054" w14:textId="77777777">
      <w:pPr>
        <w:numPr>
          <w:ilvl w:val="0"/>
          <w:numId w:val="137"/>
        </w:numPr>
        <w:spacing w:before="120" w:after="120"/>
        <w:ind w:left="851" w:right="851" w:firstLine="709"/>
        <w:jc w:val="both"/>
        <w:rPr>
          <w:rFonts w:ascii="Times New Roman" w:hAnsi="Times New Roman" w:eastAsia="Calibri" w:cs="Times New Roman"/>
          <w:sz w:val="26"/>
          <w:szCs w:val="26"/>
          <w:lang w:val="es-ES" w:eastAsia="es-ES"/>
        </w:rPr>
      </w:pPr>
      <w:r w:rsidRPr="00AE1B2B">
        <w:rPr>
          <w:rFonts w:ascii="Times New Roman" w:hAnsi="Times New Roman" w:eastAsia="Calibri" w:cs="Times New Roman"/>
          <w:sz w:val="26"/>
          <w:szCs w:val="26"/>
          <w:lang w:val="es-ES" w:eastAsia="es-ES"/>
        </w:rPr>
        <w:t xml:space="preserve">Por otra parte, es importante indicar que en el I Circuito Judicial de Alajuela se dará inicio en el 2021 con la atención de la materia Penal Adulta, esto a raíz de la colaboración que se establecerá con el equipo legal del Circuito Judicial de Heredia y la plaza del Profesional del equipo Psicosocial destacado en el I Circuito Judicial de Alajuela. </w:t>
      </w:r>
    </w:p>
    <w:p w:rsidRPr="00AE1B2B" w:rsidR="009D3FB5" w:rsidP="00163B94" w:rsidRDefault="009D3FB5" w14:paraId="7E5AA302" w14:textId="77777777">
      <w:pPr>
        <w:spacing w:before="120" w:after="120"/>
        <w:ind w:left="851" w:right="851" w:firstLine="709"/>
        <w:jc w:val="both"/>
        <w:rPr>
          <w:rFonts w:ascii="Times New Roman" w:hAnsi="Times New Roman" w:eastAsia="Calibri" w:cs="Times New Roman"/>
          <w:sz w:val="26"/>
          <w:szCs w:val="26"/>
          <w:lang w:val="es-ES" w:eastAsia="es-ES"/>
        </w:rPr>
      </w:pPr>
    </w:p>
    <w:p w:rsidRPr="00AE1B2B" w:rsidR="009D3FB5" w:rsidP="00163B94" w:rsidRDefault="009D3FB5" w14:paraId="762C8486" w14:textId="77777777">
      <w:pPr>
        <w:widowControl w:val="0"/>
        <w:numPr>
          <w:ilvl w:val="0"/>
          <w:numId w:val="135"/>
        </w:numPr>
        <w:tabs>
          <w:tab w:val="left" w:pos="0"/>
        </w:tabs>
        <w:autoSpaceDE w:val="0"/>
        <w:autoSpaceDN w:val="0"/>
        <w:adjustRightInd w:val="0"/>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En sesión número 31-20 de Corte Plena (Presupuesto 2021) celebrada el 02 de junio de 2020, Artículo II se acuerda:</w:t>
      </w:r>
    </w:p>
    <w:p w:rsidRPr="00AE1B2B" w:rsidR="009D3FB5" w:rsidP="00163B94" w:rsidRDefault="009D3FB5" w14:paraId="24E5122D" w14:textId="77777777">
      <w:pPr>
        <w:tabs>
          <w:tab w:val="left" w:pos="0"/>
        </w:tabs>
        <w:spacing w:before="120" w:after="120"/>
        <w:ind w:left="851" w:right="851" w:firstLine="709"/>
        <w:jc w:val="both"/>
        <w:rPr>
          <w:rFonts w:ascii="Times New Roman" w:hAnsi="Times New Roman" w:eastAsia="Calibri" w:cs="Times New Roman"/>
          <w:i/>
          <w:iCs/>
          <w:sz w:val="26"/>
          <w:szCs w:val="26"/>
        </w:rPr>
      </w:pPr>
      <w:r w:rsidRPr="00AE1B2B">
        <w:rPr>
          <w:rFonts w:ascii="Times New Roman" w:hAnsi="Times New Roman" w:eastAsia="Calibri" w:cs="Times New Roman"/>
          <w:i/>
          <w:iCs/>
          <w:sz w:val="26"/>
          <w:szCs w:val="26"/>
        </w:rPr>
        <w:t>“Aprobar por separado del Presupuesto ordinario del Poder Judicial, los requerimientos correspondientes a la Ley de Justicia Restaurativa, en la forma propuesta por el magistrado Alfaro…”</w:t>
      </w:r>
    </w:p>
    <w:p w:rsidRPr="00AE1B2B" w:rsidR="009D3FB5" w:rsidP="00163B94" w:rsidRDefault="009D3FB5" w14:paraId="02F707D1"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La propuesta del Magistrado Alfaro corresponde a la asignación de las siguientes plazas nuevas, para la atención de Justicia Restaurativa:</w:t>
      </w:r>
    </w:p>
    <w:p w:rsidRPr="00AE1B2B" w:rsidR="009D3FB5" w:rsidP="00163B94" w:rsidRDefault="009D3FB5" w14:paraId="59F38AA1" w14:textId="77777777">
      <w:pPr>
        <w:widowControl w:val="0"/>
        <w:numPr>
          <w:ilvl w:val="0"/>
          <w:numId w:val="134"/>
        </w:numPr>
        <w:tabs>
          <w:tab w:val="left" w:pos="0"/>
        </w:tabs>
        <w:autoSpaceDE w:val="0"/>
        <w:autoSpaceDN w:val="0"/>
        <w:adjustRightInd w:val="0"/>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11 Defensoras o Defensores Públicos</w:t>
      </w:r>
    </w:p>
    <w:p w:rsidRPr="00AE1B2B" w:rsidR="009D3FB5" w:rsidP="00163B94" w:rsidRDefault="009D3FB5" w14:paraId="6F1A3B0C" w14:textId="77777777">
      <w:pPr>
        <w:widowControl w:val="0"/>
        <w:numPr>
          <w:ilvl w:val="0"/>
          <w:numId w:val="134"/>
        </w:numPr>
        <w:tabs>
          <w:tab w:val="left" w:pos="0"/>
        </w:tabs>
        <w:autoSpaceDE w:val="0"/>
        <w:autoSpaceDN w:val="0"/>
        <w:adjustRightInd w:val="0"/>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6 Fiscalas o Fiscales</w:t>
      </w:r>
    </w:p>
    <w:p w:rsidRPr="00AE1B2B" w:rsidR="009D3FB5" w:rsidP="00163B94" w:rsidRDefault="009D3FB5" w14:paraId="5C58362A" w14:textId="77777777">
      <w:pPr>
        <w:widowControl w:val="0"/>
        <w:numPr>
          <w:ilvl w:val="0"/>
          <w:numId w:val="134"/>
        </w:numPr>
        <w:tabs>
          <w:tab w:val="left" w:pos="0"/>
        </w:tabs>
        <w:autoSpaceDE w:val="0"/>
        <w:autoSpaceDN w:val="0"/>
        <w:adjustRightInd w:val="0"/>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12 Profesionales en Psicología</w:t>
      </w:r>
    </w:p>
    <w:p w:rsidRPr="00AE1B2B" w:rsidR="009D3FB5" w:rsidP="00163B94" w:rsidRDefault="009D3FB5" w14:paraId="3F22DE5F" w14:textId="77777777">
      <w:pPr>
        <w:widowControl w:val="0"/>
        <w:numPr>
          <w:ilvl w:val="0"/>
          <w:numId w:val="134"/>
        </w:numPr>
        <w:tabs>
          <w:tab w:val="left" w:pos="0"/>
        </w:tabs>
        <w:autoSpaceDE w:val="0"/>
        <w:autoSpaceDN w:val="0"/>
        <w:adjustRightInd w:val="0"/>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13 Profesionales en Trabajo Social </w:t>
      </w:r>
    </w:p>
    <w:p w:rsidRPr="00AE1B2B" w:rsidR="009D3FB5" w:rsidP="00163B94" w:rsidRDefault="009D3FB5" w14:paraId="37B9B8AE" w14:textId="77777777">
      <w:pPr>
        <w:widowControl w:val="0"/>
        <w:numPr>
          <w:ilvl w:val="0"/>
          <w:numId w:val="134"/>
        </w:numPr>
        <w:tabs>
          <w:tab w:val="left" w:pos="0"/>
        </w:tabs>
        <w:autoSpaceDE w:val="0"/>
        <w:autoSpaceDN w:val="0"/>
        <w:adjustRightInd w:val="0"/>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11 Técnicas o Técnicos Judiciales</w:t>
      </w:r>
    </w:p>
    <w:p w:rsidRPr="00AE1B2B" w:rsidR="009D3FB5" w:rsidP="00163B94" w:rsidRDefault="009D3FB5" w14:paraId="6AEEC0B4"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El presupuesto requerido para estos recursos corresponde a ₡2,078,012,060.39, el cual se compone de ₡1,994,495,000.00 por concepto de recurso humano y de ₡83,517,060.39 por concepto de equipo y mobiliario.</w:t>
      </w:r>
    </w:p>
    <w:p w:rsidRPr="00AE1B2B" w:rsidR="009D3FB5" w:rsidP="00163B94" w:rsidRDefault="009D3FB5" w14:paraId="64639CE5"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lastRenderedPageBreak/>
        <w:t xml:space="preserve">Sobre este escenario de aprobación de presupuesto para Justicia Restaurativa por fuera del presupuesto ordinario, se debe indicar que </w:t>
      </w:r>
      <w:bookmarkStart w:name="_Hlk65745886" w:id="360"/>
      <w:r w:rsidRPr="00AE1B2B">
        <w:rPr>
          <w:rFonts w:ascii="Times New Roman" w:hAnsi="Times New Roman" w:eastAsia="Calibri" w:cs="Times New Roman"/>
          <w:sz w:val="26"/>
          <w:szCs w:val="26"/>
        </w:rPr>
        <w:t>mediante oficio 1480-PLA-PP-2020 de fecha 22 de setiembre de 2020, conocido por Corte Plena en sesión 55-2020, celebrada el 28 de setiembre de 2020, artículo XVI; la Dirección de Planificación revisa el Proyecto de Presupuesto del Poder Judicial para la atención de nuevas obligaciones legales, sobre lo que se indica:</w:t>
      </w:r>
    </w:p>
    <w:p w:rsidRPr="00AE1B2B" w:rsidR="009D3FB5" w:rsidP="00163B94" w:rsidRDefault="009D3FB5" w14:paraId="5C86DF6C" w14:textId="77777777">
      <w:pPr>
        <w:spacing w:before="120" w:after="120"/>
        <w:ind w:left="851" w:right="851" w:firstLine="709"/>
        <w:jc w:val="both"/>
        <w:rPr>
          <w:rFonts w:ascii="Times New Roman" w:hAnsi="Times New Roman" w:eastAsia="Times New Roman" w:cs="Times New Roman"/>
          <w:i/>
          <w:iCs/>
          <w:sz w:val="26"/>
          <w:szCs w:val="26"/>
          <w:lang w:val="es-ES" w:eastAsia="es-ES"/>
        </w:rPr>
      </w:pPr>
      <w:r w:rsidRPr="00AE1B2B">
        <w:rPr>
          <w:rFonts w:ascii="Times New Roman" w:hAnsi="Times New Roman" w:eastAsia="Times New Roman" w:cs="Times New Roman"/>
          <w:i/>
          <w:iCs/>
          <w:sz w:val="26"/>
          <w:szCs w:val="26"/>
          <w:lang w:val="es-ES" w:eastAsia="es-ES"/>
        </w:rPr>
        <w:t xml:space="preserve">“El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w:t>
      </w:r>
      <w:r w:rsidRPr="00AE1B2B">
        <w:rPr>
          <w:rFonts w:ascii="Times New Roman" w:hAnsi="Times New Roman" w:eastAsia="Times New Roman" w:cs="Times New Roman"/>
          <w:b/>
          <w:i/>
          <w:iCs/>
          <w:sz w:val="26"/>
          <w:szCs w:val="26"/>
          <w:lang w:val="es-ES" w:eastAsia="es-ES"/>
        </w:rPr>
        <w:t>no fueron incorporados por el Ministerio de Hacienda al presupuesto ordinario, ni tampoco se remitieron como requerimiento adicional a la Asamblea Legislativa</w:t>
      </w:r>
      <w:r w:rsidRPr="00AE1B2B">
        <w:rPr>
          <w:rFonts w:ascii="Times New Roman" w:hAnsi="Times New Roman" w:eastAsia="Times New Roman" w:cs="Times New Roman"/>
          <w:i/>
          <w:iCs/>
          <w:sz w:val="26"/>
          <w:szCs w:val="26"/>
          <w:lang w:val="es-ES" w:eastAsia="es-ES"/>
        </w:rPr>
        <w:t>.”.</w:t>
      </w:r>
    </w:p>
    <w:bookmarkEnd w:id="360"/>
    <w:p w:rsidRPr="00AE1B2B" w:rsidR="009D3FB5" w:rsidP="00163B94" w:rsidRDefault="009D3FB5" w14:paraId="3D361118" w14:textId="77777777">
      <w:pPr>
        <w:spacing w:before="120" w:after="120"/>
        <w:ind w:left="851" w:right="851" w:firstLine="709"/>
        <w:jc w:val="both"/>
        <w:rPr>
          <w:rFonts w:ascii="Times New Roman" w:hAnsi="Times New Roman" w:eastAsia="Calibri" w:cs="Times New Roman"/>
          <w:sz w:val="26"/>
          <w:szCs w:val="26"/>
          <w:lang w:val="x-none"/>
        </w:rPr>
      </w:pPr>
    </w:p>
    <w:p w:rsidRPr="00AE1B2B" w:rsidR="009D3FB5" w:rsidP="00163B94" w:rsidRDefault="009D3FB5" w14:paraId="5E3A9DE8" w14:textId="77777777">
      <w:pPr>
        <w:spacing w:before="120" w:after="120"/>
        <w:ind w:left="851" w:right="851" w:firstLine="709"/>
        <w:jc w:val="both"/>
        <w:rPr>
          <w:rFonts w:ascii="Times New Roman" w:hAnsi="Times New Roman" w:eastAsia="Times New Roman" w:cs="Times New Roman"/>
          <w:b/>
          <w:bCs/>
          <w:kern w:val="32"/>
          <w:sz w:val="26"/>
          <w:szCs w:val="26"/>
          <w:lang w:val="x-none"/>
        </w:rPr>
      </w:pPr>
      <w:r w:rsidRPr="00AE1B2B">
        <w:rPr>
          <w:rFonts w:ascii="Times New Roman" w:hAnsi="Times New Roman" w:eastAsia="Times New Roman" w:cs="Times New Roman"/>
          <w:b/>
          <w:bCs/>
          <w:kern w:val="32"/>
          <w:sz w:val="26"/>
          <w:szCs w:val="26"/>
          <w:lang w:val="x-none"/>
        </w:rPr>
        <w:t>Limitantes del estudio</w:t>
      </w:r>
    </w:p>
    <w:p w:rsidRPr="00AE1B2B" w:rsidR="009D3FB5" w:rsidP="00163B94" w:rsidRDefault="009D3FB5" w14:paraId="09C8C578" w14:textId="77777777">
      <w:pPr>
        <w:numPr>
          <w:ilvl w:val="0"/>
          <w:numId w:val="133"/>
        </w:numPr>
        <w:spacing w:before="120" w:after="120"/>
        <w:ind w:left="851" w:right="851" w:firstLine="709"/>
        <w:jc w:val="both"/>
        <w:rPr>
          <w:rFonts w:ascii="Times New Roman" w:hAnsi="Times New Roman" w:eastAsia="Times New Roman" w:cs="Times New Roman"/>
          <w:sz w:val="26"/>
          <w:szCs w:val="26"/>
          <w:lang w:val="es-ES" w:eastAsia="es-ES"/>
        </w:rPr>
      </w:pPr>
      <w:bookmarkStart w:name="_Hlk65749512" w:id="361"/>
      <w:r w:rsidRPr="00AE1B2B">
        <w:rPr>
          <w:rFonts w:ascii="Times New Roman" w:hAnsi="Times New Roman" w:eastAsia="Times New Roman" w:cs="Times New Roman"/>
          <w:sz w:val="26"/>
          <w:szCs w:val="26"/>
          <w:lang w:val="es-ES" w:eastAsia="es-ES"/>
        </w:rPr>
        <w:t xml:space="preserve">El Subproceso de Estadística para la materia de Penal Adulto en Justicia Restaurativa cuenta a la fecha de realización de este informe, únicamente con la verificación de la información del balance general y motivos de términos para el año 2020; motivo por el que no es posible analizar la realización de las Reuniones Restaurativas y Audiencias de Verificación para esta materia. </w:t>
      </w:r>
      <w:bookmarkEnd w:id="361"/>
      <w:r w:rsidRPr="00AE1B2B">
        <w:rPr>
          <w:rFonts w:ascii="Times New Roman" w:hAnsi="Times New Roman" w:eastAsia="Times New Roman" w:cs="Times New Roman"/>
          <w:sz w:val="26"/>
          <w:szCs w:val="26"/>
          <w:lang w:val="es-ES" w:eastAsia="es-ES"/>
        </w:rPr>
        <w:t>(Ver apéndice 3)</w:t>
      </w:r>
    </w:p>
    <w:p w:rsidRPr="00AE1B2B" w:rsidR="009D3FB5" w:rsidP="00163B94" w:rsidRDefault="009D3FB5" w14:paraId="764C4D8E" w14:textId="77777777">
      <w:pPr>
        <w:numPr>
          <w:ilvl w:val="0"/>
          <w:numId w:val="133"/>
        </w:num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Para la materia Penal Juvenil atendida en Justicia Restaurativa, se cuenta únicamente con los cuadros estadísticos correspondientes al I y II Trimestre del 2020. (Ver apéndice 3)</w:t>
      </w:r>
    </w:p>
    <w:p w:rsidRPr="00AE1B2B" w:rsidR="009D3FB5" w:rsidP="00163B94" w:rsidRDefault="009D3FB5" w14:paraId="68482CEE" w14:textId="77777777">
      <w:pPr>
        <w:numPr>
          <w:ilvl w:val="0"/>
          <w:numId w:val="133"/>
        </w:num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El Sub Proceso de Estadística no cuenta actualmente con anuarios judiciales para la atención de la materia de Contravenciones por parte de los equipos de Justicia Restaurativa. (Ver apéndice 3)</w:t>
      </w:r>
    </w:p>
    <w:p w:rsidRPr="00AE1B2B" w:rsidR="009D3FB5" w:rsidP="00163B94" w:rsidRDefault="009D3FB5" w14:paraId="33F0997A" w14:textId="77777777">
      <w:pPr>
        <w:numPr>
          <w:ilvl w:val="0"/>
          <w:numId w:val="133"/>
        </w:num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En el año 2021 se inicia con la atención por parte de dos equipos interdisciplinarios nuevos, uno asignado al II Circuito Judicial de la Zona Sur y el otro destinado a la atención del I y II Circuito Judicial de Guanacaste, motivo por el que, al ser de reciente incorporación, no se cuenta con datos estadísticos (Ver apéndice 4).</w:t>
      </w:r>
    </w:p>
    <w:p w:rsidRPr="00AE1B2B" w:rsidR="009D3FB5" w:rsidP="00163B94" w:rsidRDefault="009D3FB5" w14:paraId="303CB031" w14:textId="77777777">
      <w:pPr>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23401D99" w14:textId="77777777">
      <w:pPr>
        <w:spacing w:before="120" w:after="120"/>
        <w:ind w:left="851" w:right="851" w:firstLine="709"/>
        <w:jc w:val="both"/>
        <w:rPr>
          <w:rFonts w:ascii="Times New Roman" w:hAnsi="Times New Roman" w:eastAsia="Times New Roman" w:cs="Times New Roman"/>
          <w:b/>
          <w:bCs/>
          <w:kern w:val="32"/>
          <w:sz w:val="26"/>
          <w:szCs w:val="26"/>
          <w:lang w:val="x-none"/>
        </w:rPr>
      </w:pPr>
      <w:r w:rsidRPr="00AE1B2B">
        <w:rPr>
          <w:rFonts w:ascii="Times New Roman" w:hAnsi="Times New Roman" w:eastAsia="Times New Roman" w:cs="Times New Roman"/>
          <w:b/>
          <w:bCs/>
          <w:kern w:val="32"/>
          <w:sz w:val="26"/>
          <w:szCs w:val="26"/>
          <w:lang w:val="x-none"/>
        </w:rPr>
        <w:lastRenderedPageBreak/>
        <w:t>Elementos conclusivos</w:t>
      </w:r>
    </w:p>
    <w:p w:rsidRPr="00AE1B2B" w:rsidR="009D3FB5" w:rsidP="00163B94" w:rsidRDefault="009D3FB5" w14:paraId="6DBC293B" w14:textId="77777777">
      <w:pPr>
        <w:numPr>
          <w:ilvl w:val="1"/>
          <w:numId w:val="105"/>
        </w:numPr>
        <w:tabs>
          <w:tab w:val="clear" w:pos="-452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La ley de Justicia Restaurativa 9582 entró en vigencia el 20 de enero de 2019 con un ámbito de aplicación que se extiende a la materia Penal, Penal Juvenil y Contravencional en todas sus etapas; con participación de un equipo interdisciplinario conformado por un equipo legal, un equipo psicosocial y personas juzgadoras.</w:t>
      </w:r>
    </w:p>
    <w:p w:rsidRPr="00AE1B2B" w:rsidR="009D3FB5" w:rsidP="00163B94" w:rsidRDefault="009D3FB5" w14:paraId="6686B48B" w14:textId="1FB2ADB6">
      <w:pPr>
        <w:numPr>
          <w:ilvl w:val="1"/>
          <w:numId w:val="105"/>
        </w:numPr>
        <w:tabs>
          <w:tab w:val="clear" w:pos="-452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En sesión del Consejo Superior 47-19 celebrada el 23 de mayo de 2019, artículo I se acuerda aprobar el escenario 1 descrito en el informe 726-PLA-RH-MI-2019 de la Dirección de Planificación, y adicionalmente adicionar dos equipos de trabajo, uno para atender Justicia Restaurativa en Ejecución de la Pena y el segundo para atender la materia de Contravenciones.</w:t>
      </w:r>
      <w:r w:rsidRPr="00AE1B2B" w:rsidR="00BB7720">
        <w:rPr>
          <w:rFonts w:ascii="Times New Roman" w:hAnsi="Times New Roman" w:eastAsia="Times New Roman" w:cs="Times New Roman"/>
          <w:sz w:val="26"/>
          <w:szCs w:val="26"/>
          <w:lang w:val="es-ES" w:eastAsia="es-ES"/>
        </w:rPr>
        <w:t xml:space="preserve"> </w:t>
      </w:r>
      <w:r w:rsidRPr="00AE1B2B">
        <w:rPr>
          <w:rFonts w:ascii="Times New Roman" w:hAnsi="Times New Roman" w:eastAsia="Times New Roman" w:cs="Times New Roman"/>
          <w:sz w:val="26"/>
          <w:szCs w:val="26"/>
          <w:lang w:val="es-ES" w:eastAsia="es-ES"/>
        </w:rPr>
        <w:t xml:space="preserve">Este acuerdo es conocido y aprobado en sesión de Corte Plena 22-19 (Presupuesto 2020) del 6 de junio de 2019, artículo III. </w:t>
      </w:r>
    </w:p>
    <w:p w:rsidRPr="00AE1B2B" w:rsidR="009D3FB5" w:rsidP="00163B94" w:rsidRDefault="009D3FB5" w14:paraId="58C918ED" w14:textId="77777777">
      <w:pPr>
        <w:numPr>
          <w:ilvl w:val="1"/>
          <w:numId w:val="105"/>
        </w:numPr>
        <w:tabs>
          <w:tab w:val="clear" w:pos="-452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En sesión 98-19 del Consejo Superior, celebrada el 7 de noviembre de 2019, artículo XCVII se conoció el Protocolo del Programa de Justicia Restaurativa para el Bienestar Integral del Personal Judicial para Conductas Relacionadas con el Deterioro de las Finanzas Personales y de Faltas de Respeto, el cual inició en el año 2020.</w:t>
      </w:r>
    </w:p>
    <w:p w:rsidRPr="00AE1B2B" w:rsidR="009D3FB5" w:rsidP="00163B94" w:rsidRDefault="009D3FB5" w14:paraId="35CE3389" w14:textId="77777777">
      <w:pPr>
        <w:numPr>
          <w:ilvl w:val="1"/>
          <w:numId w:val="105"/>
        </w:numPr>
        <w:tabs>
          <w:tab w:val="clear" w:pos="-452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Book Antiqua" w:cs="Times New Roman"/>
          <w:sz w:val="26"/>
          <w:szCs w:val="26"/>
          <w:lang w:val="es-ES" w:eastAsia="es-ES"/>
        </w:rPr>
        <w:t>En sesión del Consejo Superior 45-20 del 08 de mayo de 2020, artículo XX, acogió la propuesta de abordaje a nivel nacional descrita en el informe 586-PLA-RH-MI-2020.</w:t>
      </w:r>
    </w:p>
    <w:p w:rsidRPr="00AE1B2B" w:rsidR="009D3FB5" w:rsidP="00163B94" w:rsidRDefault="009D3FB5" w14:paraId="429BD6C7" w14:textId="77777777">
      <w:pPr>
        <w:numPr>
          <w:ilvl w:val="1"/>
          <w:numId w:val="105"/>
        </w:numPr>
        <w:tabs>
          <w:tab w:val="clear" w:pos="-4526"/>
        </w:tabs>
        <w:spacing w:before="120" w:after="120"/>
        <w:ind w:left="851" w:right="851" w:firstLine="709"/>
        <w:jc w:val="both"/>
        <w:rPr>
          <w:rFonts w:ascii="Times New Roman" w:hAnsi="Times New Roman" w:eastAsia="Book Antiqua" w:cs="Times New Roman"/>
          <w:sz w:val="26"/>
          <w:szCs w:val="26"/>
          <w:lang w:val="es-ES" w:eastAsia="es-ES"/>
        </w:rPr>
      </w:pPr>
      <w:r w:rsidRPr="00AE1B2B">
        <w:rPr>
          <w:rFonts w:ascii="Times New Roman" w:hAnsi="Times New Roman" w:eastAsia="Book Antiqua" w:cs="Times New Roman"/>
          <w:sz w:val="26"/>
          <w:szCs w:val="26"/>
          <w:lang w:val="es-ES" w:eastAsia="es-ES"/>
        </w:rPr>
        <w:t>El informe 586-PLA-RH-MI-2020 fue conocido y aprobado en la Sesión número 31-20 de Corte Plena (Presupuesto 2021) celebrada el 02 de junio de 2020, Artículo II. El acuerdo se cita textualmente:</w:t>
      </w:r>
    </w:p>
    <w:p w:rsidRPr="00AE1B2B" w:rsidR="009D3FB5" w:rsidP="00163B94" w:rsidRDefault="009D3FB5" w14:paraId="6F8B591F" w14:textId="77777777">
      <w:pPr>
        <w:spacing w:before="120" w:after="120"/>
        <w:ind w:left="851" w:right="851" w:firstLine="709"/>
        <w:jc w:val="both"/>
        <w:rPr>
          <w:rFonts w:ascii="Times New Roman" w:hAnsi="Times New Roman" w:eastAsia="Book Antiqua" w:cs="Times New Roman"/>
          <w:i/>
          <w:iCs/>
          <w:sz w:val="26"/>
          <w:szCs w:val="26"/>
        </w:rPr>
      </w:pPr>
      <w:r w:rsidRPr="00AE1B2B">
        <w:rPr>
          <w:rFonts w:ascii="Times New Roman" w:hAnsi="Times New Roman" w:eastAsia="Book Antiqua" w:cs="Times New Roman"/>
          <w:i/>
          <w:iCs/>
          <w:sz w:val="26"/>
          <w:szCs w:val="26"/>
        </w:rPr>
        <w:t>“Aprobar por separado del Presupuesto ordinario del Poder Judicial, los requerimientos correspondientes a la Ley de Justicia Restaurativa, en la forma propuesta por el magistrado Alfaro…”.</w:t>
      </w:r>
    </w:p>
    <w:p w:rsidRPr="00AE1B2B" w:rsidR="009D3FB5" w:rsidP="00163B94" w:rsidRDefault="009D3FB5" w14:paraId="4FE6E961"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68941676"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La propuesta del Magistrado Alfaro corresponde a la asignación de las siguientes plazas nuevas, para la atención de Justicia Restaurativa:</w:t>
      </w:r>
    </w:p>
    <w:p w:rsidRPr="00AE1B2B" w:rsidR="009D3FB5" w:rsidP="00163B94" w:rsidRDefault="009D3FB5" w14:paraId="142EA01C"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5BC11395"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w:t>
      </w:r>
      <w:r w:rsidRPr="00AE1B2B">
        <w:rPr>
          <w:rFonts w:ascii="Times New Roman" w:hAnsi="Times New Roman" w:eastAsia="Book Antiqua" w:cs="Times New Roman"/>
          <w:sz w:val="26"/>
          <w:szCs w:val="26"/>
        </w:rPr>
        <w:tab/>
      </w:r>
      <w:r w:rsidRPr="00AE1B2B">
        <w:rPr>
          <w:rFonts w:ascii="Times New Roman" w:hAnsi="Times New Roman" w:eastAsia="Book Antiqua" w:cs="Times New Roman"/>
          <w:sz w:val="26"/>
          <w:szCs w:val="26"/>
        </w:rPr>
        <w:t>11 Defensoras o Defensores Públicos</w:t>
      </w:r>
    </w:p>
    <w:p w:rsidRPr="00AE1B2B" w:rsidR="009D3FB5" w:rsidP="00163B94" w:rsidRDefault="009D3FB5" w14:paraId="19192AED"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w:t>
      </w:r>
      <w:r w:rsidRPr="00AE1B2B">
        <w:rPr>
          <w:rFonts w:ascii="Times New Roman" w:hAnsi="Times New Roman" w:eastAsia="Book Antiqua" w:cs="Times New Roman"/>
          <w:sz w:val="26"/>
          <w:szCs w:val="26"/>
        </w:rPr>
        <w:tab/>
      </w:r>
      <w:r w:rsidRPr="00AE1B2B">
        <w:rPr>
          <w:rFonts w:ascii="Times New Roman" w:hAnsi="Times New Roman" w:eastAsia="Book Antiqua" w:cs="Times New Roman"/>
          <w:sz w:val="26"/>
          <w:szCs w:val="26"/>
        </w:rPr>
        <w:t>6 Fiscalas o Fiscales</w:t>
      </w:r>
    </w:p>
    <w:p w:rsidRPr="00AE1B2B" w:rsidR="009D3FB5" w:rsidP="00163B94" w:rsidRDefault="009D3FB5" w14:paraId="759079DF"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lastRenderedPageBreak/>
        <w:t>•</w:t>
      </w:r>
      <w:r w:rsidRPr="00AE1B2B">
        <w:rPr>
          <w:rFonts w:ascii="Times New Roman" w:hAnsi="Times New Roman" w:eastAsia="Book Antiqua" w:cs="Times New Roman"/>
          <w:sz w:val="26"/>
          <w:szCs w:val="26"/>
        </w:rPr>
        <w:tab/>
      </w:r>
      <w:r w:rsidRPr="00AE1B2B">
        <w:rPr>
          <w:rFonts w:ascii="Times New Roman" w:hAnsi="Times New Roman" w:eastAsia="Book Antiqua" w:cs="Times New Roman"/>
          <w:sz w:val="26"/>
          <w:szCs w:val="26"/>
        </w:rPr>
        <w:t>12 Profesionales en Psicología</w:t>
      </w:r>
    </w:p>
    <w:p w:rsidRPr="00AE1B2B" w:rsidR="009D3FB5" w:rsidP="00163B94" w:rsidRDefault="009D3FB5" w14:paraId="42A04D8F"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w:t>
      </w:r>
      <w:r w:rsidRPr="00AE1B2B">
        <w:rPr>
          <w:rFonts w:ascii="Times New Roman" w:hAnsi="Times New Roman" w:eastAsia="Book Antiqua" w:cs="Times New Roman"/>
          <w:sz w:val="26"/>
          <w:szCs w:val="26"/>
        </w:rPr>
        <w:tab/>
      </w:r>
      <w:r w:rsidRPr="00AE1B2B">
        <w:rPr>
          <w:rFonts w:ascii="Times New Roman" w:hAnsi="Times New Roman" w:eastAsia="Book Antiqua" w:cs="Times New Roman"/>
          <w:sz w:val="26"/>
          <w:szCs w:val="26"/>
        </w:rPr>
        <w:t xml:space="preserve">13 Profesionales en Trabajo Social </w:t>
      </w:r>
    </w:p>
    <w:p w:rsidRPr="00AE1B2B" w:rsidR="009D3FB5" w:rsidP="00163B94" w:rsidRDefault="009D3FB5" w14:paraId="1ACC3002" w14:textId="77777777">
      <w:pPr>
        <w:spacing w:before="120" w:after="120"/>
        <w:ind w:left="851" w:right="851" w:firstLine="709"/>
        <w:jc w:val="both"/>
        <w:rPr>
          <w:rFonts w:ascii="Times New Roman" w:hAnsi="Times New Roman" w:eastAsia="Book Antiqua" w:cs="Times New Roman"/>
          <w:sz w:val="26"/>
          <w:szCs w:val="26"/>
        </w:rPr>
      </w:pPr>
      <w:r w:rsidRPr="00AE1B2B">
        <w:rPr>
          <w:rFonts w:ascii="Times New Roman" w:hAnsi="Times New Roman" w:eastAsia="Book Antiqua" w:cs="Times New Roman"/>
          <w:sz w:val="26"/>
          <w:szCs w:val="26"/>
        </w:rPr>
        <w:t>•</w:t>
      </w:r>
      <w:r w:rsidRPr="00AE1B2B">
        <w:rPr>
          <w:rFonts w:ascii="Times New Roman" w:hAnsi="Times New Roman" w:eastAsia="Book Antiqua" w:cs="Times New Roman"/>
          <w:sz w:val="26"/>
          <w:szCs w:val="26"/>
        </w:rPr>
        <w:tab/>
      </w:r>
      <w:r w:rsidRPr="00AE1B2B">
        <w:rPr>
          <w:rFonts w:ascii="Times New Roman" w:hAnsi="Times New Roman" w:eastAsia="Book Antiqua" w:cs="Times New Roman"/>
          <w:sz w:val="26"/>
          <w:szCs w:val="26"/>
        </w:rPr>
        <w:t>11 Técnicas o Técnicos Judiciales</w:t>
      </w:r>
    </w:p>
    <w:p w:rsidRPr="00AE1B2B" w:rsidR="009D3FB5" w:rsidP="00163B94" w:rsidRDefault="009D3FB5" w14:paraId="265A7407" w14:textId="77777777">
      <w:pPr>
        <w:spacing w:before="120" w:after="120"/>
        <w:ind w:left="851" w:right="851" w:firstLine="709"/>
        <w:jc w:val="both"/>
        <w:rPr>
          <w:rFonts w:ascii="Times New Roman" w:hAnsi="Times New Roman" w:eastAsia="Book Antiqua" w:cs="Times New Roman"/>
          <w:sz w:val="26"/>
          <w:szCs w:val="26"/>
        </w:rPr>
      </w:pPr>
    </w:p>
    <w:p w:rsidRPr="00AE1B2B" w:rsidR="009D3FB5" w:rsidP="00163B94" w:rsidRDefault="009D3FB5" w14:paraId="7721E5F7" w14:textId="77777777">
      <w:pPr>
        <w:numPr>
          <w:ilvl w:val="0"/>
          <w:numId w:val="130"/>
        </w:numPr>
        <w:spacing w:before="120" w:after="120"/>
        <w:ind w:left="851" w:right="851" w:firstLine="709"/>
        <w:jc w:val="both"/>
        <w:rPr>
          <w:rFonts w:ascii="Times New Roman" w:hAnsi="Times New Roman" w:eastAsia="Times New Roman" w:cs="Times New Roman"/>
          <w:vanish/>
          <w:sz w:val="26"/>
          <w:szCs w:val="26"/>
          <w:lang w:val="es-ES" w:eastAsia="es-ES"/>
        </w:rPr>
      </w:pPr>
    </w:p>
    <w:p w:rsidRPr="00AE1B2B" w:rsidR="009D3FB5" w:rsidP="00163B94" w:rsidRDefault="009D3FB5" w14:paraId="6A802220" w14:textId="77777777">
      <w:pPr>
        <w:numPr>
          <w:ilvl w:val="0"/>
          <w:numId w:val="130"/>
        </w:numPr>
        <w:spacing w:before="120" w:after="120"/>
        <w:ind w:left="851" w:right="851" w:firstLine="709"/>
        <w:jc w:val="both"/>
        <w:rPr>
          <w:rFonts w:ascii="Times New Roman" w:hAnsi="Times New Roman" w:eastAsia="Times New Roman" w:cs="Times New Roman"/>
          <w:vanish/>
          <w:sz w:val="26"/>
          <w:szCs w:val="26"/>
          <w:lang w:val="es-ES" w:eastAsia="es-ES"/>
        </w:rPr>
      </w:pPr>
    </w:p>
    <w:p w:rsidRPr="00AE1B2B" w:rsidR="009D3FB5" w:rsidP="00163B94" w:rsidRDefault="009D3FB5" w14:paraId="50AA06F5" w14:textId="77777777">
      <w:pPr>
        <w:numPr>
          <w:ilvl w:val="0"/>
          <w:numId w:val="130"/>
        </w:numPr>
        <w:spacing w:before="120" w:after="120"/>
        <w:ind w:left="851" w:right="851" w:firstLine="709"/>
        <w:jc w:val="both"/>
        <w:rPr>
          <w:rFonts w:ascii="Times New Roman" w:hAnsi="Times New Roman" w:eastAsia="Times New Roman" w:cs="Times New Roman"/>
          <w:vanish/>
          <w:sz w:val="26"/>
          <w:szCs w:val="26"/>
          <w:lang w:val="es-ES" w:eastAsia="es-ES"/>
        </w:rPr>
      </w:pPr>
    </w:p>
    <w:p w:rsidRPr="00AE1B2B" w:rsidR="009D3FB5" w:rsidP="00163B94" w:rsidRDefault="009D3FB5" w14:paraId="25D9BCF9" w14:textId="77777777">
      <w:pPr>
        <w:numPr>
          <w:ilvl w:val="0"/>
          <w:numId w:val="130"/>
        </w:numPr>
        <w:spacing w:before="120" w:after="120"/>
        <w:ind w:left="851" w:right="851" w:firstLine="709"/>
        <w:jc w:val="both"/>
        <w:rPr>
          <w:rFonts w:ascii="Times New Roman" w:hAnsi="Times New Roman" w:eastAsia="Times New Roman" w:cs="Times New Roman"/>
          <w:vanish/>
          <w:sz w:val="26"/>
          <w:szCs w:val="26"/>
          <w:lang w:val="es-ES" w:eastAsia="es-ES"/>
        </w:rPr>
      </w:pPr>
    </w:p>
    <w:p w:rsidRPr="00AE1B2B" w:rsidR="009D3FB5" w:rsidP="00163B94" w:rsidRDefault="009D3FB5" w14:paraId="2D335960" w14:textId="77777777">
      <w:pPr>
        <w:numPr>
          <w:ilvl w:val="0"/>
          <w:numId w:val="130"/>
        </w:numPr>
        <w:spacing w:before="120" w:after="120"/>
        <w:ind w:left="851" w:right="851" w:firstLine="709"/>
        <w:jc w:val="both"/>
        <w:rPr>
          <w:rFonts w:ascii="Times New Roman" w:hAnsi="Times New Roman" w:eastAsia="Times New Roman" w:cs="Times New Roman"/>
          <w:vanish/>
          <w:sz w:val="26"/>
          <w:szCs w:val="26"/>
          <w:lang w:val="es-ES" w:eastAsia="es-ES"/>
        </w:rPr>
      </w:pPr>
    </w:p>
    <w:p w:rsidRPr="00AE1B2B" w:rsidR="009D3FB5" w:rsidP="00163B94" w:rsidRDefault="009D3FB5" w14:paraId="25F88534" w14:textId="77777777">
      <w:pPr>
        <w:numPr>
          <w:ilvl w:val="0"/>
          <w:numId w:val="130"/>
        </w:numPr>
        <w:spacing w:before="120" w:after="120"/>
        <w:ind w:left="851" w:right="851" w:firstLine="709"/>
        <w:jc w:val="both"/>
        <w:rPr>
          <w:rFonts w:ascii="Times New Roman" w:hAnsi="Times New Roman" w:eastAsia="Times New Roman" w:cs="Times New Roman"/>
          <w:vanish/>
          <w:sz w:val="26"/>
          <w:szCs w:val="26"/>
          <w:lang w:val="es-ES" w:eastAsia="es-ES"/>
        </w:rPr>
      </w:pPr>
    </w:p>
    <w:p w:rsidRPr="00AE1B2B" w:rsidR="009D3FB5" w:rsidP="00163B94" w:rsidRDefault="009D3FB5" w14:paraId="4A1AE0C0" w14:textId="77777777">
      <w:pPr>
        <w:numPr>
          <w:ilvl w:val="1"/>
          <w:numId w:val="130"/>
        </w:numPr>
        <w:spacing w:before="120" w:after="120"/>
        <w:ind w:left="851" w:right="851" w:firstLine="709"/>
        <w:jc w:val="both"/>
        <w:rPr>
          <w:rFonts w:ascii="Times New Roman" w:hAnsi="Times New Roman" w:eastAsia="Times New Roman" w:cs="Times New Roman"/>
          <w:vanish/>
          <w:sz w:val="26"/>
          <w:szCs w:val="26"/>
          <w:lang w:val="es-ES" w:eastAsia="es-ES"/>
        </w:rPr>
      </w:pPr>
    </w:p>
    <w:p w:rsidRPr="00AE1B2B" w:rsidR="009D3FB5" w:rsidP="00163B94" w:rsidRDefault="009D3FB5" w14:paraId="042CFCD2" w14:textId="77777777">
      <w:pPr>
        <w:numPr>
          <w:ilvl w:val="1"/>
          <w:numId w:val="130"/>
        </w:numPr>
        <w:spacing w:before="120" w:after="120"/>
        <w:ind w:left="851" w:right="851" w:firstLine="709"/>
        <w:jc w:val="both"/>
        <w:rPr>
          <w:rFonts w:ascii="Times New Roman" w:hAnsi="Times New Roman" w:eastAsia="Times New Roman" w:cs="Times New Roman"/>
          <w:vanish/>
          <w:sz w:val="26"/>
          <w:szCs w:val="26"/>
          <w:lang w:val="es-ES" w:eastAsia="es-ES"/>
        </w:rPr>
      </w:pPr>
    </w:p>
    <w:p w:rsidRPr="00AE1B2B" w:rsidR="009D3FB5" w:rsidP="00163B94" w:rsidRDefault="009D3FB5" w14:paraId="4CEBBA50" w14:textId="77777777">
      <w:pPr>
        <w:numPr>
          <w:ilvl w:val="1"/>
          <w:numId w:val="130"/>
        </w:numPr>
        <w:spacing w:before="120" w:after="120"/>
        <w:ind w:left="851" w:right="851" w:firstLine="709"/>
        <w:jc w:val="both"/>
        <w:rPr>
          <w:rFonts w:ascii="Times New Roman" w:hAnsi="Times New Roman" w:eastAsia="Times New Roman" w:cs="Times New Roman"/>
          <w:vanish/>
          <w:sz w:val="26"/>
          <w:szCs w:val="26"/>
          <w:lang w:val="es-ES" w:eastAsia="es-ES"/>
        </w:rPr>
      </w:pPr>
    </w:p>
    <w:p w:rsidRPr="00AE1B2B" w:rsidR="009D3FB5" w:rsidP="00163B94" w:rsidRDefault="009D3FB5" w14:paraId="0A57677B" w14:textId="77777777">
      <w:pPr>
        <w:numPr>
          <w:ilvl w:val="1"/>
          <w:numId w:val="130"/>
        </w:numPr>
        <w:spacing w:before="120" w:after="120"/>
        <w:ind w:left="851" w:right="851" w:firstLine="709"/>
        <w:jc w:val="both"/>
        <w:rPr>
          <w:rFonts w:ascii="Times New Roman" w:hAnsi="Times New Roman" w:eastAsia="Times New Roman" w:cs="Times New Roman"/>
          <w:vanish/>
          <w:sz w:val="26"/>
          <w:szCs w:val="26"/>
          <w:lang w:val="es-ES" w:eastAsia="es-ES"/>
        </w:rPr>
      </w:pPr>
    </w:p>
    <w:p w:rsidRPr="00AE1B2B" w:rsidR="009D3FB5" w:rsidP="00163B94" w:rsidRDefault="009D3FB5" w14:paraId="56299A0C" w14:textId="77777777">
      <w:pPr>
        <w:numPr>
          <w:ilvl w:val="1"/>
          <w:numId w:val="130"/>
        </w:numPr>
        <w:spacing w:before="120" w:after="120"/>
        <w:ind w:left="851" w:right="851" w:firstLine="709"/>
        <w:jc w:val="both"/>
        <w:rPr>
          <w:rFonts w:ascii="Times New Roman" w:hAnsi="Times New Roman" w:eastAsia="Times New Roman" w:cs="Times New Roman"/>
          <w:vanish/>
          <w:sz w:val="26"/>
          <w:szCs w:val="26"/>
          <w:lang w:val="es-ES" w:eastAsia="es-ES"/>
        </w:rPr>
      </w:pPr>
    </w:p>
    <w:p w:rsidRPr="00AE1B2B" w:rsidR="009D3FB5" w:rsidP="00163B94" w:rsidRDefault="009D3FB5" w14:paraId="15079953" w14:textId="77777777">
      <w:pPr>
        <w:numPr>
          <w:ilvl w:val="1"/>
          <w:numId w:val="130"/>
        </w:num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Mediante oficio 1480-PLA-PP-2020 de fecha 22 de setiembre de 2020, conocido por Corte Plena en sesión 55-2020, celebrada el 28 de setiembre de 2020, artículo XVI; la Dirección de Planificación revisa el Proyecto de Presupuesto del Poder Judicial para la atención de nuevas obligaciones legales, sobre lo que se indica:</w:t>
      </w:r>
    </w:p>
    <w:p w:rsidRPr="00AE1B2B" w:rsidR="009D3FB5" w:rsidP="00163B94" w:rsidRDefault="009D3FB5" w14:paraId="5F91CC42" w14:textId="77777777">
      <w:pPr>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7755E846" w14:textId="77777777">
      <w:pPr>
        <w:spacing w:before="120" w:after="120"/>
        <w:ind w:left="851" w:right="851" w:firstLine="709"/>
        <w:jc w:val="both"/>
        <w:rPr>
          <w:rFonts w:ascii="Times New Roman" w:hAnsi="Times New Roman" w:eastAsia="Times New Roman" w:cs="Times New Roman"/>
          <w:i/>
          <w:iCs/>
          <w:sz w:val="26"/>
          <w:szCs w:val="26"/>
          <w:lang w:val="es-ES" w:eastAsia="es-ES"/>
        </w:rPr>
      </w:pPr>
      <w:r w:rsidRPr="00AE1B2B">
        <w:rPr>
          <w:rFonts w:ascii="Times New Roman" w:hAnsi="Times New Roman" w:eastAsia="Times New Roman" w:cs="Times New Roman"/>
          <w:i/>
          <w:iCs/>
          <w:sz w:val="26"/>
          <w:szCs w:val="26"/>
          <w:lang w:val="es-ES" w:eastAsia="es-ES"/>
        </w:rPr>
        <w:t xml:space="preserve">“El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w:t>
      </w:r>
      <w:r w:rsidRPr="00AE1B2B">
        <w:rPr>
          <w:rFonts w:ascii="Times New Roman" w:hAnsi="Times New Roman" w:eastAsia="Times New Roman" w:cs="Times New Roman"/>
          <w:b/>
          <w:i/>
          <w:iCs/>
          <w:sz w:val="26"/>
          <w:szCs w:val="26"/>
          <w:lang w:val="es-ES" w:eastAsia="es-ES"/>
        </w:rPr>
        <w:t>no fueron incorporados por el Ministerio de Hacienda al presupuesto ordinario, ni tampoco se remitieron como requerimiento adicional a la Asamblea Legislativa</w:t>
      </w:r>
      <w:r w:rsidRPr="00AE1B2B">
        <w:rPr>
          <w:rFonts w:ascii="Times New Roman" w:hAnsi="Times New Roman" w:eastAsia="Times New Roman" w:cs="Times New Roman"/>
          <w:i/>
          <w:iCs/>
          <w:sz w:val="26"/>
          <w:szCs w:val="26"/>
          <w:lang w:val="es-ES" w:eastAsia="es-ES"/>
        </w:rPr>
        <w:t>.”.</w:t>
      </w:r>
    </w:p>
    <w:p w:rsidRPr="00AE1B2B" w:rsidR="009D3FB5" w:rsidP="00163B94" w:rsidRDefault="009D3FB5" w14:paraId="35BCBFA4" w14:textId="77777777">
      <w:pPr>
        <w:spacing w:before="120" w:after="120"/>
        <w:ind w:left="851" w:right="851" w:firstLine="709"/>
        <w:jc w:val="both"/>
        <w:rPr>
          <w:rFonts w:ascii="Times New Roman" w:hAnsi="Times New Roman" w:eastAsia="Times New Roman" w:cs="Times New Roman"/>
          <w:i/>
          <w:iCs/>
          <w:sz w:val="26"/>
          <w:szCs w:val="26"/>
          <w:lang w:val="es-ES" w:eastAsia="es-ES"/>
        </w:rPr>
      </w:pPr>
    </w:p>
    <w:p w:rsidRPr="00AE1B2B" w:rsidR="009D3FB5" w:rsidP="00163B94" w:rsidRDefault="009D3FB5" w14:paraId="2510B3F2" w14:textId="77777777">
      <w:pPr>
        <w:numPr>
          <w:ilvl w:val="1"/>
          <w:numId w:val="115"/>
        </w:num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La Dirección de Justicia Restaurativa, funciona bajo la coordinación del magistrado Gerardo Rubén Alfaro Vargas y cuenta </w:t>
      </w:r>
      <w:r w:rsidRPr="00AE1B2B">
        <w:rPr>
          <w:rFonts w:ascii="Times New Roman" w:hAnsi="Times New Roman" w:eastAsia="Times New Roman" w:cs="Times New Roman"/>
          <w:sz w:val="26"/>
          <w:szCs w:val="26"/>
          <w:lang w:val="es-ES" w:eastAsia="es-ES"/>
        </w:rPr>
        <w:lastRenderedPageBreak/>
        <w:t>con tres plazas de Profesional en Derecho 3B, una plaza de Técnica o Técnico Judicial, una plaza de Secretaria Ejecutiva y una plaza de Profesional 2. Dicho recurso se encuentra destacado dentro las instalaciones de la Sala Tercera y adscrito Área de Gestión y Apoyo del Centro de Apoyo, Coordinación y Mejoramiento de la Función Jurisdiccional, a excepción de la plaza de Profesional 2.</w:t>
      </w:r>
    </w:p>
    <w:p w:rsidRPr="00AE1B2B" w:rsidR="009D3FB5" w:rsidP="00163B94" w:rsidRDefault="009D3FB5" w14:paraId="0CD41BB1" w14:textId="77777777">
      <w:pPr>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4037016F" w14:textId="77777777">
      <w:pPr>
        <w:numPr>
          <w:ilvl w:val="1"/>
          <w:numId w:val="115"/>
        </w:num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En el informe 1953-PLA-OI-2020, aprobado en sesión del Consejo Superior 07-2021 celebrada el 26 de enero del 2021, artículo XXXVI se realiza una actualización de los perfiles de puesto y se analiza la estructura organizacional de la Oficina Rectora de Justicia Restaurativa. A partir de este análisis se realiza una recomendación al Centro de Apoyo, Coordinación y Mejoramiento de la Función Jurisdiccional respecto al traslado definitivo de estas plazas al código de oficina 1377- Programa de Justicia Restaurativa.</w:t>
      </w:r>
    </w:p>
    <w:p w:rsidRPr="00AE1B2B" w:rsidR="009D3FB5" w:rsidP="00163B94" w:rsidRDefault="009D3FB5" w14:paraId="193ED8A4" w14:textId="77777777">
      <w:pPr>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1B09D2D6" w14:textId="77777777">
      <w:pPr>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62EA2B9D" w14:textId="77777777">
      <w:pPr>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4C981800" w14:textId="77777777">
      <w:pPr>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01DD9C68" w14:textId="77777777">
      <w:pPr>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2DC6048B" w14:textId="77777777">
      <w:pPr>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20A91C45" w14:textId="77777777">
      <w:pPr>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12AE5065" w14:textId="77777777">
      <w:pPr>
        <w:numPr>
          <w:ilvl w:val="1"/>
          <w:numId w:val="115"/>
        </w:num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En oficio 139-P-2020, de fecha 12 de junio de 2020 y dirigido al Ministro de Hacienda, el Presidente de la Corte en alusión a la sesión de Corte Plena 31-20 celebrada el 02 de junio de 2020, artículo I, en la que se discutió y aprobó el Proyecto de Presupuesto del Poder Judicial para el año 2021, el cual se ajustó al límite presupuestario establecido por Ministerio de Hacienda, en el que se indicó:</w:t>
      </w:r>
    </w:p>
    <w:p w:rsidRPr="00AE1B2B" w:rsidR="009D3FB5" w:rsidP="00163B94" w:rsidRDefault="009D3FB5" w14:paraId="444EF78D" w14:textId="77777777">
      <w:pPr>
        <w:spacing w:before="120" w:after="120"/>
        <w:ind w:left="851" w:right="851" w:firstLine="709"/>
        <w:jc w:val="both"/>
        <w:rPr>
          <w:rFonts w:ascii="Times New Roman" w:hAnsi="Times New Roman" w:eastAsia="Times New Roman" w:cs="Times New Roman"/>
          <w:i/>
          <w:iCs/>
          <w:sz w:val="26"/>
          <w:szCs w:val="26"/>
          <w:lang w:val="es-ES" w:eastAsia="es-ES"/>
        </w:rPr>
      </w:pPr>
      <w:r w:rsidRPr="00AE1B2B">
        <w:rPr>
          <w:rFonts w:ascii="Times New Roman" w:hAnsi="Times New Roman" w:eastAsia="Times New Roman" w:cs="Times New Roman"/>
          <w:i/>
          <w:iCs/>
          <w:sz w:val="26"/>
          <w:szCs w:val="26"/>
          <w:lang w:val="es-ES" w:eastAsia="es-ES"/>
        </w:rPr>
        <w:t>“En razón de las limitaciones presupuestarias, la Corte Plena acordó hacer una instancia, tanto al Ministerio de Hacienda como a la Asamblea Legislativa, para que se valore la posibilidad de contar con financiamiento adicional al gasto ordinario para atender las nuevas obligaciones encomendadas por la Asamblea Legislativa …”.</w:t>
      </w:r>
    </w:p>
    <w:p w:rsidRPr="00AE1B2B" w:rsidR="009D3FB5" w:rsidP="00163B94" w:rsidRDefault="009D3FB5" w14:paraId="247BB34B" w14:textId="77777777">
      <w:pPr>
        <w:spacing w:before="120" w:after="120"/>
        <w:ind w:left="851" w:right="851" w:firstLine="709"/>
        <w:jc w:val="both"/>
        <w:rPr>
          <w:rFonts w:ascii="Times New Roman" w:hAnsi="Times New Roman" w:eastAsia="Times New Roman" w:cs="Times New Roman"/>
          <w:i/>
          <w:iCs/>
          <w:sz w:val="26"/>
          <w:szCs w:val="26"/>
          <w:lang w:val="es-ES" w:eastAsia="es-ES"/>
        </w:rPr>
      </w:pPr>
    </w:p>
    <w:p w:rsidRPr="00AE1B2B" w:rsidR="009D3FB5" w:rsidP="00163B94" w:rsidRDefault="009D3FB5" w14:paraId="3899FA45" w14:textId="77777777">
      <w:pPr>
        <w:spacing w:before="120" w:after="120"/>
        <w:ind w:left="851" w:right="851" w:firstLine="709"/>
        <w:jc w:val="both"/>
        <w:rPr>
          <w:rFonts w:ascii="Times New Roman" w:hAnsi="Times New Roman" w:eastAsia="Times New Roman" w:cs="Times New Roman"/>
          <w:i/>
          <w:iCs/>
          <w:sz w:val="26"/>
          <w:szCs w:val="26"/>
          <w:lang w:val="es-ES" w:eastAsia="es-ES"/>
        </w:rPr>
      </w:pPr>
    </w:p>
    <w:p w:rsidRPr="00AE1B2B" w:rsidR="009D3FB5" w:rsidP="00163B94" w:rsidRDefault="009D3FB5" w14:paraId="0623017C" w14:textId="77777777">
      <w:pPr>
        <w:numPr>
          <w:ilvl w:val="1"/>
          <w:numId w:val="115"/>
        </w:num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lastRenderedPageBreak/>
        <w:t>Mediante oficio 1480-PLA-PP-2020 de fecha 22 de setiembre de 2020, conocido por Corte Plena en sesión 55-2020, celebrada el 28 de setiembre de 2020, artículo XVI; la Dirección de Planificación revisa el Proyecto de Presupuesto del Poder Judicial para la atención de nuevas obligaciones legales, sobre lo que se indica:</w:t>
      </w:r>
    </w:p>
    <w:p w:rsidRPr="00AE1B2B" w:rsidR="009D3FB5" w:rsidP="00163B94" w:rsidRDefault="009D3FB5" w14:paraId="07FCB26A" w14:textId="77777777">
      <w:pPr>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0455411D" w14:textId="77777777">
      <w:pPr>
        <w:spacing w:before="120" w:after="120"/>
        <w:ind w:left="851" w:right="851" w:firstLine="709"/>
        <w:jc w:val="both"/>
        <w:rPr>
          <w:rFonts w:ascii="Times New Roman" w:hAnsi="Times New Roman" w:eastAsia="Calibri" w:cs="Times New Roman"/>
          <w:i/>
          <w:iCs/>
          <w:sz w:val="26"/>
          <w:szCs w:val="26"/>
        </w:rPr>
      </w:pPr>
      <w:r w:rsidRPr="00AE1B2B">
        <w:rPr>
          <w:rFonts w:ascii="Times New Roman" w:hAnsi="Times New Roman" w:eastAsia="Calibri" w:cs="Times New Roman"/>
          <w:i/>
          <w:iCs/>
          <w:sz w:val="26"/>
          <w:szCs w:val="26"/>
        </w:rPr>
        <w:t>“El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no fueron incorporados por el Ministerio de Hacienda al presupuesto ordinario, ni tampoco se remitieron como requerimiento adicional a la Asamblea Legislativa.”.</w:t>
      </w:r>
    </w:p>
    <w:p w:rsidRPr="00AE1B2B" w:rsidR="009D3FB5" w:rsidP="00163B94" w:rsidRDefault="009D3FB5" w14:paraId="55AF9647"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La Oficina Rectora de Justicia Restaurativa, funciona bajo la coordinación del magistrado Gerardo Rubén Alfaro Vargas y cuenta con tres plazas de Profesional en Derecho 3B, una plaza de Técnica o Técnico Judicial, una plaza de Secretaria Ejecutiva y una plaza de Profesional 2. Dicho recurso se encuentra destacado dentro las instalaciones de la Sala Tercera y adscrito Área de Gestión y Apoyo del Centro de Apoyo, Coordinación y Mejoramiento de la Función Jurisdiccional, a excepción de la plaza de Profesional 2.</w:t>
      </w:r>
    </w:p>
    <w:p w:rsidRPr="00AE1B2B" w:rsidR="009D3FB5" w:rsidP="00163B94" w:rsidRDefault="009D3FB5" w14:paraId="4C250A18"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El abordaje de los asuntos se lleva a cabo por medio de un Equipo Interdisciplinario, conformado por un Equipo Legal, que incluye a todas las personas profesionales en la rama del Derecho (Juezas y Jueces, Fiscalas y Fiscales, Defensoras y Defensores) y un Equipo Psicosocial integrado por las y los profesionales en las ramas de Psicología y Trabajo Social.</w:t>
      </w:r>
    </w:p>
    <w:p w:rsidRPr="00AE1B2B" w:rsidR="009D3FB5" w:rsidP="00163B94" w:rsidRDefault="009D3FB5" w14:paraId="44010E90"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En materia Penal de adultos, se encuentran conformados nueve equipos Interdisciplinarios a nivel nacional, con una plaza de Fiscala o Fiscal, una de Defensora o Defensor, 2 en el área Psicosocial y una plaza técnica o técnico Judicial. Para el caso de Penal Juvenil se cuenta con atención en doce circuitos judiciales, y con la colaboración de las plazas de Fiscala o Fiscal y Defensora o Defensor Público en algunos de los cuales se comparte la atención del equipo psicosocial entre penal juvenil y penal adulto, o inclusive con contravenciones.</w:t>
      </w:r>
    </w:p>
    <w:p w:rsidRPr="00AE1B2B" w:rsidR="009D3FB5" w:rsidP="00163B94" w:rsidRDefault="009D3FB5" w14:paraId="77988DF7"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lastRenderedPageBreak/>
        <w:t>En la actualidad no se cuenta con atención de la materia Penal Adulto en el II Circuito Judicial de Alajuela y II Circuito Judicial de Guanacaste. En el caso de la materia Penal Juvenil se cuenta con atención en 15 Circuitos Judiciales.</w:t>
      </w:r>
    </w:p>
    <w:p w:rsidRPr="00AE1B2B" w:rsidR="009D3FB5" w:rsidP="00163B94" w:rsidRDefault="009D3FB5" w14:paraId="328B2CE6"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La atención en materia contravencional por parte de un equipo del Poder Judicial comprende: I y II Circuito Judicial de San José, I Circuito Judicial de Alajuela, Circuito Judicial de Heredia, Circuito Judicial de Cartago, I Circuito Judicial de la Zona Atlántica, Circuito Judicial de Puntarenas y I Circuito Judicial de Guanacaste.</w:t>
      </w:r>
    </w:p>
    <w:p w:rsidRPr="00AE1B2B" w:rsidR="009D3FB5" w:rsidP="00163B94" w:rsidRDefault="009D3FB5" w14:paraId="20464A40"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Se cuenta con apoyo en la atención de la materia contravencional por parte de las Casas de Justicia en: I, II y III Circuito Judicial de San José, II y III Circuito Judicial de Alajuela, III Circuito Judicial de Alajuela, Circuito Judicial de Heredia, Circuito Judicial de Cartago, Circuito Judicial de Puntarenas y II Circuito Judicial de Guanacaste.</w:t>
      </w:r>
    </w:p>
    <w:p w:rsidRPr="00AE1B2B" w:rsidR="009D3FB5" w:rsidP="00163B94" w:rsidRDefault="009D3FB5" w14:paraId="439B32CC"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Para el año 2020 se redujo en un 12% la cantidad de asuntos ingresados respecto a la entrada que se tuvo para el año 2019, lo que corresponde a 331 asuntos menos. </w:t>
      </w:r>
    </w:p>
    <w:p w:rsidRPr="00AE1B2B" w:rsidR="009D3FB5" w:rsidP="00163B94" w:rsidRDefault="009D3FB5" w14:paraId="33F882C5"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En el año 2020 la cantidad de asuntos terminados fue de 2287, lo que corresponde a 698 asuntos menos que en el 2019 y que equivale a una reducción del 23%.</w:t>
      </w:r>
    </w:p>
    <w:p w:rsidRPr="00AE1B2B" w:rsidR="009D3FB5" w:rsidP="00163B94" w:rsidRDefault="009D3FB5" w14:paraId="5FBD7E0E"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Al analizar la procedencia de los casos, se identifica que la mayor cantidad ingresó en el Segundo Circuito Judicial de San José con 406 causas que equivale a 17%, seguido del I Circuito Judicial de la Zona Sur con 388 asuntos, lo que representa un 16% y en un tercer lugar el Circuito Judicial de Puntarenas.</w:t>
      </w:r>
    </w:p>
    <w:p w:rsidRPr="00AE1B2B" w:rsidR="009D3FB5" w:rsidP="00163B94" w:rsidRDefault="009D3FB5" w14:paraId="0399CBA9"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En el caso del Segundo Circuito Judicial de San José se observa un comportamiento estable durante el periodo comprendido entre 2017 y 2020, mientras que en el Tercer Circuito Judicial de San José se ha experimentado una disminución de los casos ingresados en ese mismo periodo. En el Circuito Judicial de Cartago se identifica una disminución en los casos ingresados en 2020 respecto al año 2019 mientras que en el Circuito Judicial de Heredia se mantiene de forma estable. En el Circuito Judicial de Puntarenas, siendo que para el 2020 ingresaron 109 asuntos más que en el 2019. Respecto al Primer Circuito Judicial de la Zona Sur, se evidencia una disminución de 124 asuntos para el 2020.</w:t>
      </w:r>
    </w:p>
    <w:p w:rsidRPr="00AE1B2B" w:rsidR="009D3FB5" w:rsidP="00163B94" w:rsidRDefault="009D3FB5" w14:paraId="3E26CD70"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Es importante indicar que en el año 2020 se inicia con la atención en materia Penal Adulta por parte de dos equipos interdisciplinarios adicionales, que corresponden al equipo asignado </w:t>
      </w:r>
      <w:r w:rsidRPr="00AE1B2B">
        <w:rPr>
          <w:rFonts w:ascii="Times New Roman" w:hAnsi="Times New Roman" w:eastAsia="Times New Roman" w:cs="Times New Roman"/>
          <w:sz w:val="26"/>
          <w:szCs w:val="26"/>
          <w:lang w:val="es-ES" w:eastAsia="es-ES"/>
        </w:rPr>
        <w:lastRenderedPageBreak/>
        <w:t>al II Circuito Judicial de la Zona Sur y el equipo asignado al I y II Circuito Judicial de Guanacaste, para los cuales no se cuenta con información estadística debido a su reciente asignación.</w:t>
      </w:r>
    </w:p>
    <w:p w:rsidRPr="00AE1B2B" w:rsidR="009D3FB5" w:rsidP="00163B94" w:rsidRDefault="009D3FB5" w14:paraId="71A4209E"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Al realizar el análisis comparativo del promedio mensual por circuito judicial, se evidencia que, se ha producido una disminución en la cantidad de casos ingresados, siendo para el 2019 este rubro de 35 casos y para el 2020 disminuyó a 31 expedientes por mes. </w:t>
      </w:r>
    </w:p>
    <w:p w:rsidRPr="00AE1B2B" w:rsidR="009D3FB5" w:rsidP="00163B94" w:rsidRDefault="009D3FB5" w14:paraId="408452EC"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El promedio general de causas mensuales terminadas en 2019 es de 38 asuntos, para el año 2020 este promedio mensual disminuye a 29 asuntos, siendo el Primer Circuito Judicial de la Zona Sur el que reporta la mayor cantidad promedio mensual con 39 casos. </w:t>
      </w:r>
    </w:p>
    <w:p w:rsidRPr="00AE1B2B" w:rsidR="009D3FB5" w:rsidP="00163B94" w:rsidRDefault="009D3FB5" w14:paraId="2F6DF596"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Para el año 2019 se reportó un 41% de causas terminadas por el motivo “Devueltos”, valor que disminuyó a un 38% en el 2020. Pese a esta disminución, el porcentaje de devueltos aún sigue representando un valor elevado de los motivos de término de las causas.</w:t>
      </w:r>
    </w:p>
    <w:p w:rsidRPr="00AE1B2B" w:rsidR="009D3FB5" w:rsidP="00163B94" w:rsidRDefault="009D3FB5" w14:paraId="28734AC5"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Para 2019 el mayor porcentaje de causas terminadas corresponde al rubro conciliación con un 39%, seguido de un 38% correspondiente a devueltos y en tercer lugar un 18% para el rubro suspensión del proceso a prueba.</w:t>
      </w:r>
    </w:p>
    <w:p w:rsidRPr="00AE1B2B" w:rsidR="009D3FB5" w:rsidP="00163B94" w:rsidRDefault="009D3FB5" w14:paraId="6A0821C9"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En el desglose de la cantidad de casos devueltos, se muestra el motivo </w:t>
      </w:r>
      <w:r w:rsidRPr="00AE1B2B">
        <w:rPr>
          <w:rFonts w:ascii="Times New Roman" w:hAnsi="Times New Roman" w:eastAsia="Times New Roman" w:cs="Times New Roman"/>
          <w:i/>
          <w:iCs/>
          <w:sz w:val="26"/>
          <w:szCs w:val="26"/>
          <w:lang w:val="es-ES" w:eastAsia="es-ES"/>
        </w:rPr>
        <w:t>“No cumple con los requisitos de admisibilidad”</w:t>
      </w:r>
      <w:r w:rsidRPr="00AE1B2B">
        <w:rPr>
          <w:rFonts w:ascii="Times New Roman" w:hAnsi="Times New Roman" w:eastAsia="Times New Roman" w:cs="Times New Roman"/>
          <w:sz w:val="26"/>
          <w:szCs w:val="26"/>
          <w:lang w:val="es-ES" w:eastAsia="es-ES"/>
        </w:rPr>
        <w:t xml:space="preserve"> y “</w:t>
      </w:r>
      <w:r w:rsidRPr="00AE1B2B">
        <w:rPr>
          <w:rFonts w:ascii="Times New Roman" w:hAnsi="Times New Roman" w:eastAsia="Times New Roman" w:cs="Times New Roman"/>
          <w:i/>
          <w:iCs/>
          <w:sz w:val="26"/>
          <w:szCs w:val="26"/>
          <w:lang w:val="es-ES" w:eastAsia="es-ES"/>
        </w:rPr>
        <w:t>Persona imputada no se acoge al programa”</w:t>
      </w:r>
      <w:r w:rsidRPr="00AE1B2B">
        <w:rPr>
          <w:rFonts w:ascii="Times New Roman" w:hAnsi="Times New Roman" w:eastAsia="Times New Roman" w:cs="Times New Roman"/>
          <w:sz w:val="26"/>
          <w:szCs w:val="26"/>
          <w:lang w:val="es-ES" w:eastAsia="es-ES"/>
        </w:rPr>
        <w:t xml:space="preserve"> como los motivos principales de devolución, que representan un 23.5% y 23.9% respectivamente. En el caso del primero, se genera a instancia del Ministerio Público, dentro de la evaluación de las causas admisibles a tramitarse por la vía de Justicia Restaurativa, que pasa por una incorrecta verificación de requisitos legales de las causas remitidas por parte de la Fiscalía. Por otra parte, las causas devueltas en virtud de que la persona imputada no se acogió al programa, ocurre una vez que la Defensa Pública, consulta al imputado su interés de participar en el proceso de Justicia Restaurativa, situación que únicamente se puede verificar, una vez iniciado el proceso de Justicia Restaurativa y se debe a la falta de interés de la persona ofensora.</w:t>
      </w:r>
    </w:p>
    <w:p w:rsidRPr="00AE1B2B" w:rsidR="009D3FB5" w:rsidP="00163B94" w:rsidRDefault="009D3FB5" w14:paraId="5504FB07"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Se realiza el cálculo de la carga de trabajo real ingresada por Circuito Judicial, considerando la disminución del 38% registrado por concepto de devoluciones. Esta carga real corresponde a 19 asuntos en promedio por Circuito. </w:t>
      </w:r>
    </w:p>
    <w:p w:rsidRPr="00AE1B2B" w:rsidR="009D3FB5" w:rsidP="00163B94" w:rsidRDefault="009D3FB5" w14:paraId="3B1F21AC"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lastRenderedPageBreak/>
        <w:t>Conforme a valor económico estimado para el proceso de Justicia Restaurativa (¢343,122) y resolución de la causa mediante el proceso ordinario (¢2.505.403), según informe 2052-PLA-PP-2020 de la Dirección de Planificación, cada asunto terminado en Justicia Restaurativa, le genera a la Institución un ahorro aproximado de ¢2.162.281, sea un 86% menos del monto en que se incurre, tramitando la causa por la vía ordinaria ((¢2.505.403).</w:t>
      </w:r>
    </w:p>
    <w:p w:rsidRPr="00AE1B2B" w:rsidR="009D3FB5" w:rsidP="00163B94" w:rsidRDefault="009D3FB5" w14:paraId="345B8D11"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En materia Penal Juvenil, a nivel nacional el Ministerio Público y Defensa Pública, ya tienen destacados, profesionales especializados para la atención de la materia y en ese sentido, en conjunto con las juezas y jueces de la materia, ya conforman un equipo a cargo de la materia Penal Juvenil y que conforme al artículo 6 de la Ley de referencia, básicamente se requiere de equipos Psicosociales que trabajen en conjunto, con los equipos legales, para aplicar la entrada en vigencia de la Ley de Justicia Restaurativa.</w:t>
      </w:r>
    </w:p>
    <w:p w:rsidRPr="00AE1B2B" w:rsidR="009D3FB5" w:rsidP="00163B94" w:rsidRDefault="009D3FB5" w14:paraId="373F86E4"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En San José, II Circuito Judicial de Alajuela y II Circuito Judicial de Guanacaste se cuenta con profesionales en el ámbito Psicosocial que se dedican de manera exclusiva a la materia Penal Juvenil.</w:t>
      </w:r>
    </w:p>
    <w:p w:rsidRPr="00AE1B2B" w:rsidR="009D3FB5" w:rsidP="00163B94" w:rsidRDefault="009D3FB5" w14:paraId="1B2697C5"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Las reuniones restaurativas programadas para la materia Penal Juvenil durante los dos primeros trimestres del año 2020, contaron con un porcentaje de realización general promedio de 74% y un porcentaje promedio de no realización equivalente a un 26%. De las reuniones restaurativas realizadas se determina que en el caso del I Circuito Judicial de la Zona Sur se obtiene el mayor porcentaje de reuniones sin acuerdo, el cual corresponde a un 50%; seguido del II Circuito Judicial de la Zona Atlántica con 25% y en tercer lugar San José con un 7%. En el caso de Cartago, Alajuela, San Ramón, Puntarenas, I Circuito Judicial Zona Atlántica y I Circuito Judicial de Guanacaste se obtuvo un 100% de acuerdos en las reuniones realizadas.</w:t>
      </w:r>
    </w:p>
    <w:p w:rsidRPr="00AE1B2B" w:rsidR="009D3FB5" w:rsidP="00163B94" w:rsidRDefault="009D3FB5" w14:paraId="32992A39" w14:textId="49231190">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Durante el I y II Trimestre del año 2020 se realizaron un total de 31 audiencias de seguimiento, siendo que el 54% de estas audiencias fue efectuada por parte del equipo psicosocial que atienden Penal Juvenil en San José.</w:t>
      </w:r>
      <w:r w:rsidRPr="00AE1B2B" w:rsidR="00BB7720">
        <w:rPr>
          <w:rFonts w:ascii="Times New Roman" w:hAnsi="Times New Roman" w:eastAsia="Times New Roman" w:cs="Times New Roman"/>
          <w:sz w:val="26"/>
          <w:szCs w:val="26"/>
          <w:lang w:val="es-ES" w:eastAsia="es-ES"/>
        </w:rPr>
        <w:t xml:space="preserve"> </w:t>
      </w:r>
    </w:p>
    <w:p w:rsidRPr="00AE1B2B" w:rsidR="009D3FB5" w:rsidP="00163B94" w:rsidRDefault="009D3FB5" w14:paraId="38F59563"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En el año 2020 se dio inicio a la atención de la materia Contravencional en el III Circuito Judicial de San José (Pavas) y en el Circuito Judicial de Puntarenas, donde participan la plaza de Defensora o Defensor Público y el equipo psicosocial.</w:t>
      </w:r>
    </w:p>
    <w:p w:rsidRPr="00AE1B2B" w:rsidR="009D3FB5" w:rsidP="00163B94" w:rsidRDefault="009D3FB5" w14:paraId="4070D826"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lastRenderedPageBreak/>
        <w:t>Actualmente no se cuenta con un anuario judicial para la atención de los asuntos en materia contravencional que son remitidos al proceso de Justicia Restaurativa.</w:t>
      </w:r>
    </w:p>
    <w:p w:rsidRPr="00AE1B2B" w:rsidR="009D3FB5" w:rsidP="00163B94" w:rsidRDefault="009D3FB5" w14:paraId="4420F3D5"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Se extrajo del anuario judicial para la materia contravencional los asuntos que cuentan con motivo de término </w:t>
      </w:r>
      <w:r w:rsidRPr="00AE1B2B">
        <w:rPr>
          <w:rFonts w:ascii="Times New Roman" w:hAnsi="Times New Roman" w:eastAsia="Times New Roman" w:cs="Times New Roman"/>
          <w:i/>
          <w:iCs/>
          <w:sz w:val="26"/>
          <w:szCs w:val="26"/>
          <w:lang w:val="es-ES" w:eastAsia="es-ES"/>
        </w:rPr>
        <w:t xml:space="preserve">“Remitido a Ofic.Just.Restaurativa”, </w:t>
      </w:r>
      <w:r w:rsidRPr="00AE1B2B">
        <w:rPr>
          <w:rFonts w:ascii="Times New Roman" w:hAnsi="Times New Roman" w:eastAsia="Times New Roman" w:cs="Times New Roman"/>
          <w:sz w:val="26"/>
          <w:szCs w:val="26"/>
          <w:lang w:val="es-ES" w:eastAsia="es-ES"/>
        </w:rPr>
        <w:t>siendo que en este caso se reportaron 5 asuntos en el Juzgado Contravencional de Pavas y 2 asuntos en el Juzgado Contravencional de Puntarenas.</w:t>
      </w:r>
    </w:p>
    <w:p w:rsidRPr="00AE1B2B" w:rsidR="009D3FB5" w:rsidP="00163B94" w:rsidRDefault="009D3FB5" w14:paraId="3F371DE7"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En el informe 691-PLA-RH-OI-2020 aprobado sesión del Consejo Superior 48-2020 celebrada el 14 de mayo de 2020, artículo IX se acuerda realizar la recalificación de las plazas extraordinarias para Justicia Penal Juvenil Restaurativa según detalle establecido en el informe 586-PLA-MI-2020.</w:t>
      </w:r>
    </w:p>
    <w:p w:rsidRPr="00AE1B2B" w:rsidR="009D3FB5" w:rsidP="00163B94" w:rsidRDefault="009D3FB5" w14:paraId="4082F37F"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Se conforman para 2021 dos equipos interdisciplinarios nuevos, uno asignado al II Circuito Judicial de la Zona Sur, el mismo se compone de una plaza de Fiscala o Fiscal Auxiliar, una plaza de Defensora o Defensor Público y una plaza de Psicóloga o Psicólogo y otro asignado al I y II Circuito Judicial de Guanacaste que se encuentra </w:t>
      </w:r>
      <w:r w:rsidRPr="00AE1B2B">
        <w:rPr>
          <w:rFonts w:ascii="Times New Roman" w:hAnsi="Times New Roman" w:eastAsia="Calibri" w:cs="Times New Roman"/>
          <w:sz w:val="26"/>
          <w:szCs w:val="26"/>
          <w:lang w:val="es-ES" w:eastAsia="es-ES"/>
        </w:rPr>
        <w:t>conformado por una plaza de Fiscala o Fiscal Auxiliar, una plaza de Defensora o Defensor Público y dos plazas de Psicóloga o Psicólogo</w:t>
      </w:r>
      <w:r w:rsidRPr="00AE1B2B">
        <w:rPr>
          <w:rFonts w:ascii="Times New Roman" w:hAnsi="Times New Roman" w:eastAsia="Times New Roman" w:cs="Times New Roman"/>
          <w:sz w:val="26"/>
          <w:szCs w:val="26"/>
          <w:lang w:val="es-ES" w:eastAsia="es-ES"/>
        </w:rPr>
        <w:t>.</w:t>
      </w:r>
    </w:p>
    <w:p w:rsidRPr="00AE1B2B" w:rsidR="009D3FB5" w:rsidP="00163B94" w:rsidRDefault="009D3FB5" w14:paraId="7AC41B09"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Respecto a la ampliación de cobertura por materias, se tiene que para el 2021 se inició con la atención de la materia de contravenciones en el II Circuito Judicial de San José (Goicoechea), I Circuito Judicial de Alajuela, Circuito Judicial de Heredia, Circuito Judicial de Cartago, I Circuito Judicial de la Zona Atlántica y I Circuito Judicial de Guanacaste.</w:t>
      </w:r>
    </w:p>
    <w:p w:rsidRPr="00AE1B2B" w:rsidR="009D3FB5" w:rsidP="00163B94" w:rsidRDefault="009D3FB5" w14:paraId="504E288C"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En el I Circuito Judicial de Alajuela se dará inicio en el 2021 con la atención de la materia Penal Adulta, esto a raíz de la colaboración que se establecerá con el equipo legal del Circuito Judicial de Heredia y la plaza del Profesional del equipo Psicosocial destacado en el I Circuito Judicial de Alajuela.</w:t>
      </w:r>
    </w:p>
    <w:p w:rsidRPr="00AE1B2B" w:rsidR="009D3FB5" w:rsidP="00163B94" w:rsidRDefault="009D3FB5" w14:paraId="61765B7F"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Mediante oficio 1480-PLA-PP-2020 de fecha 22 de setiembre de 2020, conocido por Corte Plena en sesión 55-2020, celebrada el 28 de setiembre de 2020, artículo XVI; la Dirección de Planificación revisa el Proyecto de Presupuesto del Poder Judicial para la atención de nuevas obligaciones legales, sobre lo que se indica:</w:t>
      </w:r>
    </w:p>
    <w:p w:rsidRPr="00AE1B2B" w:rsidR="009D3FB5" w:rsidP="00163B94" w:rsidRDefault="009D3FB5" w14:paraId="14A112C5" w14:textId="77777777">
      <w:pPr>
        <w:tabs>
          <w:tab w:val="left" w:pos="851"/>
          <w:tab w:val="left" w:pos="1276"/>
        </w:tabs>
        <w:spacing w:before="120" w:after="120"/>
        <w:ind w:left="851" w:right="851" w:firstLine="709"/>
        <w:jc w:val="both"/>
        <w:rPr>
          <w:rFonts w:ascii="Times New Roman" w:hAnsi="Times New Roman" w:eastAsia="Calibri" w:cs="Times New Roman"/>
          <w:i/>
          <w:iCs/>
          <w:sz w:val="26"/>
          <w:szCs w:val="26"/>
        </w:rPr>
      </w:pPr>
      <w:r w:rsidRPr="00AE1B2B">
        <w:rPr>
          <w:rFonts w:ascii="Times New Roman" w:hAnsi="Times New Roman" w:eastAsia="Calibri" w:cs="Times New Roman"/>
          <w:i/>
          <w:iCs/>
          <w:sz w:val="26"/>
          <w:szCs w:val="26"/>
        </w:rPr>
        <w:t xml:space="preserve">“El presupuesto solicitado para el financiamiento de las Leyes 9841 Creación de la Jurisdicción Especializada en </w:t>
      </w:r>
      <w:r w:rsidRPr="00AE1B2B">
        <w:rPr>
          <w:rFonts w:ascii="Times New Roman" w:hAnsi="Times New Roman" w:eastAsia="Calibri" w:cs="Times New Roman"/>
          <w:i/>
          <w:iCs/>
          <w:sz w:val="26"/>
          <w:szCs w:val="26"/>
        </w:rPr>
        <w:lastRenderedPageBreak/>
        <w:t>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no fueron incorporados por el Ministerio de Hacienda al presupuesto ordinario, ni tampoco se remitieron como requerimiento adicional a la Asamblea Legislativa.”.</w:t>
      </w:r>
    </w:p>
    <w:p w:rsidRPr="00AE1B2B" w:rsidR="009D3FB5" w:rsidP="00163B94" w:rsidRDefault="009D3FB5" w14:paraId="0259DE2C" w14:textId="77777777">
      <w:pPr>
        <w:tabs>
          <w:tab w:val="left" w:pos="851"/>
          <w:tab w:val="left" w:pos="1276"/>
        </w:tabs>
        <w:spacing w:before="120" w:after="120"/>
        <w:ind w:left="851" w:right="851" w:firstLine="709"/>
        <w:jc w:val="both"/>
        <w:rPr>
          <w:rFonts w:ascii="Times New Roman" w:hAnsi="Times New Roman" w:eastAsia="Calibri" w:cs="Times New Roman"/>
          <w:i/>
          <w:iCs/>
          <w:sz w:val="26"/>
          <w:szCs w:val="26"/>
        </w:rPr>
      </w:pPr>
    </w:p>
    <w:p w:rsidRPr="00AE1B2B" w:rsidR="009D3FB5" w:rsidP="00163B94" w:rsidRDefault="009D3FB5" w14:paraId="4CACDFDA" w14:textId="77777777">
      <w:pPr>
        <w:tabs>
          <w:tab w:val="left" w:pos="851"/>
          <w:tab w:val="left" w:pos="1276"/>
        </w:tabs>
        <w:spacing w:before="120" w:after="120"/>
        <w:ind w:left="851" w:right="851" w:firstLine="709"/>
        <w:jc w:val="both"/>
        <w:rPr>
          <w:rFonts w:ascii="Times New Roman" w:hAnsi="Times New Roman" w:eastAsia="Calibri" w:cs="Times New Roman"/>
          <w:i/>
          <w:iCs/>
          <w:sz w:val="26"/>
          <w:szCs w:val="26"/>
        </w:rPr>
      </w:pPr>
    </w:p>
    <w:p w:rsidRPr="00AE1B2B" w:rsidR="009D3FB5" w:rsidP="00163B94" w:rsidRDefault="009D3FB5" w14:paraId="1F148BEF" w14:textId="77777777">
      <w:pPr>
        <w:numPr>
          <w:ilvl w:val="1"/>
          <w:numId w:val="115"/>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Como limitantes del estudio, se mencionan los siguientes aspectos:</w:t>
      </w:r>
    </w:p>
    <w:p w:rsidRPr="00AE1B2B" w:rsidR="009D3FB5" w:rsidP="00163B94" w:rsidRDefault="009D3FB5" w14:paraId="72492337" w14:textId="77777777">
      <w:pPr>
        <w:numPr>
          <w:ilvl w:val="0"/>
          <w:numId w:val="138"/>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El Subproceso de Estadística para la materia de Penal Adulto en Justicia Restaurativa cuenta a la fecha de realización de este informe, únicamente con la verificación de la información del balance general y motivos de términos para el año 2020; motivo por el que no es posible analizar la realización de las Reuniones Restaurativas y Audiencias de Verificación para esta materia.</w:t>
      </w:r>
    </w:p>
    <w:p w:rsidRPr="00AE1B2B" w:rsidR="009D3FB5" w:rsidP="00163B94" w:rsidRDefault="009D3FB5" w14:paraId="7AD8FB8C" w14:textId="77777777">
      <w:pPr>
        <w:numPr>
          <w:ilvl w:val="0"/>
          <w:numId w:val="138"/>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Para la materia Penal Juvenil atendida en Justicia Restaurativa, se cuenta únicamente con los cuadros estadísticos correspondientes al I y II Trimestre del 2020.</w:t>
      </w:r>
    </w:p>
    <w:p w:rsidRPr="00AE1B2B" w:rsidR="009D3FB5" w:rsidP="00163B94" w:rsidRDefault="009D3FB5" w14:paraId="713732C0" w14:textId="77777777">
      <w:pPr>
        <w:numPr>
          <w:ilvl w:val="0"/>
          <w:numId w:val="138"/>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El Subproceso de Estadística no cuenta actualmente con anuarios judiciales para la atención de la materia de Contravenciones por parte de los equipos de Justicia Restaurativa.</w:t>
      </w:r>
    </w:p>
    <w:p w:rsidRPr="00AE1B2B" w:rsidR="009D3FB5" w:rsidP="00163B94" w:rsidRDefault="009D3FB5" w14:paraId="6DA2EA8E" w14:textId="77777777">
      <w:pPr>
        <w:numPr>
          <w:ilvl w:val="0"/>
          <w:numId w:val="138"/>
        </w:num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En el año 2021 se inicia con la atención por parte de dos equipos interdisciplinarios nuevos, uno asignado al II Circuito Judicial de la Zona Sur y el otro destinado a la atención del I y II Circuito Judicial de Guanacaste, motivo por el que, al ser de reciente incorporación, no se cuenta con datos estadísticos.</w:t>
      </w:r>
    </w:p>
    <w:p w:rsidRPr="00AE1B2B" w:rsidR="009D3FB5" w:rsidP="00163B94" w:rsidRDefault="009D3FB5" w14:paraId="1E0D3EB4" w14:textId="77777777">
      <w:p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7D2B2F44" w14:textId="77777777">
      <w:p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7CC14686" w14:textId="77777777">
      <w:p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1DBB8894" w14:textId="77777777">
      <w:p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3E736005" w14:textId="77777777">
      <w:p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6B3779E1" w14:textId="77777777">
      <w:p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4A4B9351" w14:textId="77777777">
      <w:pPr>
        <w:tabs>
          <w:tab w:val="left" w:pos="851"/>
          <w:tab w:val="left" w:pos="1276"/>
        </w:tabs>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505F5787" w14:textId="77777777">
      <w:pPr>
        <w:tabs>
          <w:tab w:val="left" w:pos="851"/>
          <w:tab w:val="left" w:pos="1276"/>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74ADAC5C" w14:textId="77777777">
      <w:pPr>
        <w:spacing w:before="120" w:after="120"/>
        <w:ind w:left="851" w:right="851" w:firstLine="709"/>
        <w:jc w:val="both"/>
        <w:rPr>
          <w:rFonts w:ascii="Times New Roman" w:hAnsi="Times New Roman" w:eastAsia="Times New Roman" w:cs="Times New Roman"/>
          <w:b/>
          <w:bCs/>
          <w:kern w:val="32"/>
          <w:sz w:val="26"/>
          <w:szCs w:val="26"/>
          <w:lang w:val="x-none"/>
        </w:rPr>
      </w:pPr>
      <w:r w:rsidRPr="00AE1B2B">
        <w:rPr>
          <w:rFonts w:ascii="Times New Roman" w:hAnsi="Times New Roman" w:eastAsia="Times New Roman" w:cs="Times New Roman"/>
          <w:b/>
          <w:bCs/>
          <w:kern w:val="32"/>
          <w:sz w:val="26"/>
          <w:szCs w:val="26"/>
          <w:lang w:val="x-none"/>
        </w:rPr>
        <w:lastRenderedPageBreak/>
        <w:t>Recomendaciones</w:t>
      </w:r>
    </w:p>
    <w:p w:rsidRPr="00AE1B2B" w:rsidR="009D3FB5" w:rsidP="00163B94" w:rsidRDefault="009D3FB5" w14:paraId="45BA28DA" w14:textId="77777777">
      <w:pPr>
        <w:spacing w:before="120" w:after="120"/>
        <w:ind w:left="851" w:right="851" w:firstLine="709"/>
        <w:jc w:val="both"/>
        <w:rPr>
          <w:rFonts w:ascii="Times New Roman" w:hAnsi="Times New Roman" w:eastAsia="Times New Roman" w:cs="Times New Roman"/>
          <w:b/>
          <w:bCs/>
          <w:sz w:val="26"/>
          <w:szCs w:val="26"/>
          <w:lang w:val="es-ES" w:eastAsia="es-ES"/>
        </w:rPr>
      </w:pPr>
      <w:r w:rsidRPr="00AE1B2B">
        <w:rPr>
          <w:rFonts w:ascii="Times New Roman" w:hAnsi="Times New Roman" w:eastAsia="Times New Roman" w:cs="Times New Roman"/>
          <w:b/>
          <w:bCs/>
          <w:sz w:val="26"/>
          <w:szCs w:val="26"/>
          <w:lang w:val="es-ES" w:eastAsia="es-ES"/>
        </w:rPr>
        <w:t>A Corte Plena:</w:t>
      </w:r>
    </w:p>
    <w:p w:rsidRPr="00AE1B2B" w:rsidR="009D3FB5" w:rsidP="00163B94" w:rsidRDefault="009D3FB5" w14:paraId="11BE0E89" w14:textId="77777777">
      <w:pPr>
        <w:numPr>
          <w:ilvl w:val="0"/>
          <w:numId w:val="136"/>
        </w:numPr>
        <w:spacing w:before="120" w:after="120"/>
        <w:ind w:left="851" w:right="851" w:firstLine="709"/>
        <w:jc w:val="both"/>
        <w:rPr>
          <w:rFonts w:ascii="Times New Roman" w:hAnsi="Times New Roman" w:eastAsia="Times New Roman" w:cs="Times New Roman"/>
          <w:b/>
          <w:bCs/>
          <w:sz w:val="26"/>
          <w:szCs w:val="26"/>
          <w:lang w:val="es-ES" w:eastAsia="es-ES"/>
        </w:rPr>
      </w:pPr>
      <w:r w:rsidRPr="00AE1B2B">
        <w:rPr>
          <w:rFonts w:ascii="Times New Roman" w:hAnsi="Times New Roman" w:eastAsia="Times New Roman" w:cs="Times New Roman"/>
          <w:b/>
          <w:bCs/>
          <w:sz w:val="26"/>
          <w:szCs w:val="26"/>
          <w:lang w:val="es-ES" w:eastAsia="es-ES"/>
        </w:rPr>
        <w:t>Escenario 1: Ampliación de cobertura por materia</w:t>
      </w:r>
    </w:p>
    <w:p w:rsidRPr="00AE1B2B" w:rsidR="009D3FB5" w:rsidP="00163B94" w:rsidRDefault="009D3FB5" w14:paraId="4340615B"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atención a lo dispuesto en sesiones de Corte Plena 27-2017 de 21 de agosto de 2017, artículo XVI, 28-2017 de 28 de agosto de 2017, artículo XV y 29-2017 de 4 setiembre de 2017, artículo XVI, que aprueban las medidas de contención del gasto en el Poder Judicial (circular 136-2017) y directrices giradas a la Dirección de Planificación, de potenciar la reorganización, tendientes a la implementación de modelos eficientes, que permitan la sujeción de gasto y ahorro en el uso de los recursos públicos, se recomienda el escenario de Ampliación de cobertura por materia, mismo que maximiza la atención de casos al considerar las cargas de trabajo actuales de los equipos existentes y ampliar la cobertura respecto a la capacidad instalada que aún se mantiene disponible (Cuota de 40 asuntos ingresados por mes, establecida en el informe 726-PLA-RH-MI-2019). </w:t>
      </w:r>
    </w:p>
    <w:p w:rsidRPr="00AE1B2B" w:rsidR="009D3FB5" w:rsidP="00163B94" w:rsidRDefault="009D3FB5" w14:paraId="17E3B3C2"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1573C8D6"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15EC656E"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28FBDC78"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6145A136"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4746889B"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77F3830A"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53F70394" w14:textId="77777777">
      <w:pPr>
        <w:tabs>
          <w:tab w:val="left" w:pos="0"/>
        </w:tabs>
        <w:spacing w:before="120" w:after="120"/>
        <w:ind w:left="851" w:right="851" w:firstLine="709"/>
        <w:jc w:val="both"/>
        <w:rPr>
          <w:rFonts w:ascii="Times New Roman" w:hAnsi="Times New Roman" w:eastAsia="Calibri" w:cs="Times New Roman"/>
          <w:sz w:val="26"/>
          <w:szCs w:val="26"/>
          <w:highlight w:val="yellow"/>
        </w:rPr>
      </w:pPr>
      <w:r w:rsidRPr="00AE1B2B">
        <w:rPr>
          <w:rFonts w:ascii="Times New Roman" w:hAnsi="Times New Roman" w:eastAsia="Calibri" w:cs="Times New Roman"/>
          <w:sz w:val="26"/>
          <w:szCs w:val="26"/>
        </w:rPr>
        <w:t>En el siguiente cuadro se muestra la carga de trabajo de los equipos considerando la reducción del 38% por concepto de devoluciones y la disponibilidad de atención para otras materias con base en la cuota de trabajo asignada de 40 asuntos ingresados por mes:</w:t>
      </w:r>
    </w:p>
    <w:p w:rsidRPr="00AE1B2B" w:rsidR="009D3FB5" w:rsidP="00163B94" w:rsidRDefault="009D3FB5" w14:paraId="465122CD" w14:textId="77777777">
      <w:pPr>
        <w:spacing w:before="120" w:after="120"/>
        <w:ind w:left="851" w:right="851" w:firstLine="709"/>
        <w:jc w:val="both"/>
        <w:rPr>
          <w:rFonts w:ascii="Times New Roman" w:hAnsi="Times New Roman" w:eastAsia="Calibri" w:cs="Times New Roman"/>
          <w:b/>
          <w:bCs/>
          <w:sz w:val="26"/>
          <w:szCs w:val="26"/>
        </w:rPr>
      </w:pPr>
      <w:bookmarkStart w:name="_Hlk66094367" w:id="362"/>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17</w:t>
      </w:r>
      <w:r w:rsidRPr="00AE1B2B">
        <w:rPr>
          <w:rFonts w:ascii="Times New Roman" w:hAnsi="Times New Roman" w:eastAsia="Calibri" w:cs="Times New Roman"/>
          <w:b/>
          <w:bCs/>
          <w:sz w:val="26"/>
          <w:szCs w:val="26"/>
        </w:rPr>
        <w:fldChar w:fldCharType="end"/>
      </w:r>
      <w:r w:rsidRPr="00AE1B2B">
        <w:rPr>
          <w:rFonts w:ascii="Times New Roman" w:hAnsi="Times New Roman" w:eastAsia="Calibri" w:cs="Times New Roman"/>
          <w:b/>
          <w:bCs/>
          <w:sz w:val="26"/>
          <w:szCs w:val="26"/>
        </w:rPr>
        <w:t xml:space="preserve">. Propuesta </w:t>
      </w:r>
      <w:bookmarkEnd w:id="362"/>
      <w:r w:rsidRPr="00AE1B2B">
        <w:rPr>
          <w:rFonts w:ascii="Times New Roman" w:hAnsi="Times New Roman" w:eastAsia="Calibri" w:cs="Times New Roman"/>
          <w:b/>
          <w:bCs/>
          <w:sz w:val="26"/>
          <w:szCs w:val="26"/>
        </w:rPr>
        <w:t>de ampliación de competencia material para los equipos existentes en Justicia Restaurativa</w:t>
      </w:r>
    </w:p>
    <w:p w:rsidRPr="00AE1B2B" w:rsidR="009D3FB5" w:rsidP="00163B94" w:rsidRDefault="009D3FB5" w14:paraId="31B0EABD" w14:textId="77777777">
      <w:pPr>
        <w:spacing w:before="120" w:after="120"/>
        <w:jc w:val="both"/>
        <w:rPr>
          <w:rFonts w:ascii="Times New Roman" w:hAnsi="Times New Roman" w:eastAsia="Calibri" w:cs="Times New Roman"/>
          <w:b/>
          <w:bCs/>
          <w:sz w:val="26"/>
          <w:szCs w:val="26"/>
        </w:rPr>
      </w:pPr>
      <w:r w:rsidRPr="00AE1B2B">
        <w:rPr>
          <w:rFonts w:ascii="Times New Roman" w:hAnsi="Times New Roman" w:eastAsia="Calibri" w:cs="Times New Roman"/>
          <w:noProof/>
          <w:sz w:val="26"/>
          <w:szCs w:val="26"/>
          <w:lang w:val="en-US"/>
        </w:rPr>
        <w:lastRenderedPageBreak/>
        <w:drawing>
          <wp:inline distT="0" distB="0" distL="0" distR="0" wp14:anchorId="2CD37170" wp14:editId="46B39CF2">
            <wp:extent cx="5612130" cy="2185035"/>
            <wp:effectExtent l="0" t="0" r="7620" b="5715"/>
            <wp:docPr id="1212768318" name="Imagen 1212768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5612130" cy="2185035"/>
                    </a:xfrm>
                    <a:prstGeom prst="rect">
                      <a:avLst/>
                    </a:prstGeom>
                    <a:noFill/>
                    <a:ln>
                      <a:noFill/>
                    </a:ln>
                  </pic:spPr>
                </pic:pic>
              </a:graphicData>
            </a:graphic>
          </wp:inline>
        </w:drawing>
      </w:r>
      <w:r w:rsidRPr="00AE1B2B">
        <w:rPr>
          <w:rFonts w:ascii="Times New Roman" w:hAnsi="Times New Roman" w:eastAsia="Calibri" w:cs="Times New Roman"/>
          <w:b/>
          <w:bCs/>
          <w:sz w:val="26"/>
          <w:szCs w:val="26"/>
        </w:rPr>
        <w:t xml:space="preserve">Fuente: </w:t>
      </w:r>
      <w:r w:rsidRPr="00AE1B2B">
        <w:rPr>
          <w:rFonts w:ascii="Times New Roman" w:hAnsi="Times New Roman" w:eastAsia="Calibri" w:cs="Times New Roman"/>
          <w:sz w:val="26"/>
          <w:szCs w:val="26"/>
        </w:rPr>
        <w:t>Modernización Institucional</w:t>
      </w:r>
    </w:p>
    <w:p w:rsidRPr="00AE1B2B" w:rsidR="009D3FB5" w:rsidP="00163B94" w:rsidRDefault="009D3FB5" w14:paraId="6B2A2D73" w14:textId="77777777">
      <w:pPr>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56171095" w14:textId="17C755D7">
      <w:pPr>
        <w:spacing w:before="120" w:after="120"/>
        <w:ind w:right="851"/>
        <w:jc w:val="both"/>
        <w:rPr>
          <w:rFonts w:ascii="Times New Roman" w:hAnsi="Times New Roman" w:eastAsia="Calibri" w:cs="Times New Roman"/>
          <w:sz w:val="26"/>
          <w:szCs w:val="26"/>
        </w:rPr>
      </w:pPr>
    </w:p>
    <w:p w:rsidRPr="00AE1B2B" w:rsidR="009D3FB5" w:rsidP="00163B94" w:rsidRDefault="009D3FB5" w14:paraId="4DE408FB"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Se muestra a continuación el resumen de la ampliación de competencia material:</w:t>
      </w:r>
    </w:p>
    <w:p w:rsidRPr="00AE1B2B" w:rsidR="009D3FB5" w:rsidP="00163B94" w:rsidRDefault="009D3FB5" w14:paraId="403971C1" w14:textId="77777777">
      <w:pPr>
        <w:spacing w:before="120" w:after="120"/>
        <w:ind w:left="851" w:right="851" w:firstLine="709"/>
        <w:jc w:val="both"/>
        <w:rPr>
          <w:rFonts w:ascii="Times New Roman" w:hAnsi="Times New Roman" w:eastAsia="Calibri" w:cs="Times New Roman"/>
          <w:b/>
          <w:bCs/>
          <w:sz w:val="26"/>
          <w:szCs w:val="26"/>
        </w:rPr>
      </w:pPr>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sz w:val="26"/>
          <w:szCs w:val="26"/>
        </w:rPr>
        <w:t>18</w:t>
      </w:r>
      <w:r w:rsidRPr="00AE1B2B">
        <w:rPr>
          <w:rFonts w:ascii="Times New Roman" w:hAnsi="Times New Roman" w:eastAsia="Calibri" w:cs="Times New Roman"/>
          <w:b/>
          <w:bCs/>
          <w:sz w:val="26"/>
          <w:szCs w:val="26"/>
        </w:rPr>
        <w:fldChar w:fldCharType="end"/>
      </w:r>
      <w:r w:rsidRPr="00AE1B2B">
        <w:rPr>
          <w:rFonts w:ascii="Times New Roman" w:hAnsi="Times New Roman" w:eastAsia="Calibri" w:cs="Times New Roman"/>
          <w:b/>
          <w:bCs/>
          <w:sz w:val="26"/>
          <w:szCs w:val="26"/>
        </w:rPr>
        <w:t>. Resumen de propuesta de ampliación de competencia material para los equipos existentes en Justicia Restaurativa</w:t>
      </w:r>
    </w:p>
    <w:tbl>
      <w:tblPr>
        <w:tblW w:w="6640" w:type="dxa"/>
        <w:jc w:val="center"/>
        <w:tblCellMar>
          <w:left w:w="70" w:type="dxa"/>
          <w:right w:w="70" w:type="dxa"/>
        </w:tblCellMar>
        <w:tblLook w:val="04A0" w:firstRow="1" w:lastRow="0" w:firstColumn="1" w:lastColumn="0" w:noHBand="0" w:noVBand="1"/>
      </w:tblPr>
      <w:tblGrid>
        <w:gridCol w:w="3234"/>
        <w:gridCol w:w="1846"/>
        <w:gridCol w:w="1560"/>
      </w:tblGrid>
      <w:tr w:rsidRPr="00AE1B2B" w:rsidR="00AE1B2B" w:rsidTr="009D3FB5" w14:paraId="113B7EB8" w14:textId="77777777">
        <w:trPr>
          <w:trHeight w:val="375"/>
          <w:jc w:val="center"/>
        </w:trPr>
        <w:tc>
          <w:tcPr>
            <w:tcW w:w="3234" w:type="dxa"/>
            <w:tcBorders>
              <w:top w:val="double" w:color="203764" w:sz="6" w:space="0"/>
              <w:left w:val="double" w:color="203764" w:sz="6" w:space="0"/>
              <w:bottom w:val="double" w:color="203764" w:sz="6" w:space="0"/>
              <w:right w:val="double" w:color="203764" w:sz="6" w:space="0"/>
            </w:tcBorders>
            <w:shd w:val="clear" w:color="000000" w:fill="8EA9DB"/>
            <w:noWrap/>
            <w:vAlign w:val="center"/>
            <w:hideMark/>
          </w:tcPr>
          <w:p w:rsidRPr="00AE1B2B" w:rsidR="009D3FB5" w:rsidP="00163B94" w:rsidRDefault="009D3FB5" w14:paraId="76CDDA84"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Circuito Judicial</w:t>
            </w:r>
          </w:p>
        </w:tc>
        <w:tc>
          <w:tcPr>
            <w:tcW w:w="1846" w:type="dxa"/>
            <w:tcBorders>
              <w:top w:val="double" w:color="203764" w:sz="6" w:space="0"/>
              <w:left w:val="nil"/>
              <w:bottom w:val="double" w:color="203764" w:sz="6" w:space="0"/>
              <w:right w:val="double" w:color="203764" w:sz="6" w:space="0"/>
            </w:tcBorders>
            <w:shd w:val="clear" w:color="000000" w:fill="8EA9DB"/>
            <w:noWrap/>
            <w:vAlign w:val="center"/>
            <w:hideMark/>
          </w:tcPr>
          <w:p w:rsidRPr="00AE1B2B" w:rsidR="009D3FB5" w:rsidP="00163B94" w:rsidRDefault="009D3FB5" w14:paraId="5244FF40"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Contravenciones</w:t>
            </w:r>
          </w:p>
        </w:tc>
        <w:tc>
          <w:tcPr>
            <w:tcW w:w="1560" w:type="dxa"/>
            <w:tcBorders>
              <w:top w:val="double" w:color="203764" w:sz="6" w:space="0"/>
              <w:left w:val="nil"/>
              <w:bottom w:val="double" w:color="203764" w:sz="6" w:space="0"/>
              <w:right w:val="double" w:color="203764" w:sz="6" w:space="0"/>
            </w:tcBorders>
            <w:shd w:val="clear" w:color="000000" w:fill="8EA9DB"/>
            <w:noWrap/>
            <w:vAlign w:val="center"/>
            <w:hideMark/>
          </w:tcPr>
          <w:p w:rsidRPr="00AE1B2B" w:rsidR="009D3FB5" w:rsidP="00163B94" w:rsidRDefault="009D3FB5" w14:paraId="3C01197C"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Ejecución de la Pena</w:t>
            </w:r>
          </w:p>
        </w:tc>
      </w:tr>
      <w:tr w:rsidRPr="00AE1B2B" w:rsidR="00AE1B2B" w:rsidTr="009D3FB5" w14:paraId="10814391" w14:textId="77777777">
        <w:trPr>
          <w:trHeight w:val="375"/>
          <w:jc w:val="center"/>
        </w:trPr>
        <w:tc>
          <w:tcPr>
            <w:tcW w:w="3234" w:type="dxa"/>
            <w:tcBorders>
              <w:top w:val="nil"/>
              <w:left w:val="double" w:color="203764" w:sz="6" w:space="0"/>
              <w:bottom w:val="double" w:color="203764" w:sz="6" w:space="0"/>
              <w:right w:val="double" w:color="203764" w:sz="6" w:space="0"/>
            </w:tcBorders>
            <w:shd w:val="clear" w:color="auto" w:fill="auto"/>
            <w:noWrap/>
            <w:vAlign w:val="center"/>
            <w:hideMark/>
          </w:tcPr>
          <w:p w:rsidRPr="00AE1B2B" w:rsidR="009D3FB5" w:rsidP="00163B94" w:rsidRDefault="009D3FB5" w14:paraId="32791610"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I Circuito Judicial de Alajuela</w:t>
            </w:r>
          </w:p>
        </w:tc>
        <w:tc>
          <w:tcPr>
            <w:tcW w:w="1846"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6A5026A5"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 </w:t>
            </w:r>
          </w:p>
        </w:tc>
        <w:tc>
          <w:tcPr>
            <w:tcW w:w="15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1FE7890C"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X</w:t>
            </w:r>
          </w:p>
        </w:tc>
      </w:tr>
      <w:tr w:rsidRPr="00AE1B2B" w:rsidR="00AE1B2B" w:rsidTr="009D3FB5" w14:paraId="41A14E36" w14:textId="77777777">
        <w:trPr>
          <w:trHeight w:val="375"/>
          <w:jc w:val="center"/>
        </w:trPr>
        <w:tc>
          <w:tcPr>
            <w:tcW w:w="3234" w:type="dxa"/>
            <w:tcBorders>
              <w:top w:val="nil"/>
              <w:left w:val="double" w:color="203764" w:sz="6" w:space="0"/>
              <w:bottom w:val="double" w:color="203764" w:sz="6" w:space="0"/>
              <w:right w:val="double" w:color="203764" w:sz="6" w:space="0"/>
            </w:tcBorders>
            <w:shd w:val="clear" w:color="auto" w:fill="auto"/>
            <w:noWrap/>
            <w:vAlign w:val="center"/>
            <w:hideMark/>
          </w:tcPr>
          <w:p w:rsidRPr="00AE1B2B" w:rsidR="009D3FB5" w:rsidP="00163B94" w:rsidRDefault="009D3FB5" w14:paraId="4A09B99D"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II Circuito Judicial de Alajuela</w:t>
            </w:r>
          </w:p>
        </w:tc>
        <w:tc>
          <w:tcPr>
            <w:tcW w:w="1846"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72228EC1"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X</w:t>
            </w:r>
          </w:p>
        </w:tc>
        <w:tc>
          <w:tcPr>
            <w:tcW w:w="15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32CB7055"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X</w:t>
            </w:r>
          </w:p>
        </w:tc>
      </w:tr>
      <w:tr w:rsidRPr="00AE1B2B" w:rsidR="00AE1B2B" w:rsidTr="009D3FB5" w14:paraId="224733D1" w14:textId="77777777">
        <w:trPr>
          <w:trHeight w:val="375"/>
          <w:jc w:val="center"/>
        </w:trPr>
        <w:tc>
          <w:tcPr>
            <w:tcW w:w="3234" w:type="dxa"/>
            <w:tcBorders>
              <w:top w:val="nil"/>
              <w:left w:val="double" w:color="203764" w:sz="6" w:space="0"/>
              <w:bottom w:val="double" w:color="203764" w:sz="6" w:space="0"/>
              <w:right w:val="double" w:color="203764" w:sz="6" w:space="0"/>
            </w:tcBorders>
            <w:shd w:val="clear" w:color="auto" w:fill="auto"/>
            <w:noWrap/>
            <w:vAlign w:val="center"/>
            <w:hideMark/>
          </w:tcPr>
          <w:p w:rsidRPr="00AE1B2B" w:rsidR="009D3FB5" w:rsidP="00163B94" w:rsidRDefault="009D3FB5" w14:paraId="64424595"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III Circuito Judicial de Alajuela</w:t>
            </w:r>
          </w:p>
        </w:tc>
        <w:tc>
          <w:tcPr>
            <w:tcW w:w="1846"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5D744868"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X</w:t>
            </w:r>
          </w:p>
        </w:tc>
        <w:tc>
          <w:tcPr>
            <w:tcW w:w="15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510AB178"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X</w:t>
            </w:r>
          </w:p>
        </w:tc>
      </w:tr>
      <w:tr w:rsidRPr="00AE1B2B" w:rsidR="00AE1B2B" w:rsidTr="009D3FB5" w14:paraId="2A6541ED" w14:textId="77777777">
        <w:trPr>
          <w:trHeight w:val="375"/>
          <w:jc w:val="center"/>
        </w:trPr>
        <w:tc>
          <w:tcPr>
            <w:tcW w:w="3234" w:type="dxa"/>
            <w:tcBorders>
              <w:top w:val="nil"/>
              <w:left w:val="double" w:color="203764" w:sz="6" w:space="0"/>
              <w:bottom w:val="double" w:color="203764" w:sz="6" w:space="0"/>
              <w:right w:val="double" w:color="203764" w:sz="6" w:space="0"/>
            </w:tcBorders>
            <w:shd w:val="clear" w:color="auto" w:fill="auto"/>
            <w:noWrap/>
            <w:vAlign w:val="center"/>
            <w:hideMark/>
          </w:tcPr>
          <w:p w:rsidRPr="00AE1B2B" w:rsidR="009D3FB5" w:rsidP="00163B94" w:rsidRDefault="009D3FB5" w14:paraId="209BAFFF"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II Circuito Judicial Zona Sur</w:t>
            </w:r>
          </w:p>
        </w:tc>
        <w:tc>
          <w:tcPr>
            <w:tcW w:w="1846"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0FBB7FAA"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X</w:t>
            </w:r>
          </w:p>
        </w:tc>
        <w:tc>
          <w:tcPr>
            <w:tcW w:w="15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271D4ED0"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X</w:t>
            </w:r>
          </w:p>
        </w:tc>
      </w:tr>
      <w:tr w:rsidRPr="00AE1B2B" w:rsidR="00AE1B2B" w:rsidTr="009D3FB5" w14:paraId="7F9C5553" w14:textId="77777777">
        <w:trPr>
          <w:trHeight w:val="375"/>
          <w:jc w:val="center"/>
        </w:trPr>
        <w:tc>
          <w:tcPr>
            <w:tcW w:w="3234" w:type="dxa"/>
            <w:tcBorders>
              <w:top w:val="nil"/>
              <w:left w:val="double" w:color="203764" w:sz="6" w:space="0"/>
              <w:bottom w:val="double" w:color="203764" w:sz="6" w:space="0"/>
              <w:right w:val="double" w:color="203764" w:sz="6" w:space="0"/>
            </w:tcBorders>
            <w:shd w:val="clear" w:color="auto" w:fill="auto"/>
            <w:noWrap/>
            <w:vAlign w:val="center"/>
            <w:hideMark/>
          </w:tcPr>
          <w:p w:rsidRPr="00AE1B2B" w:rsidR="009D3FB5" w:rsidP="00163B94" w:rsidRDefault="009D3FB5" w14:paraId="099EFC10"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I Circuito Judicial Zona Atlántica</w:t>
            </w:r>
          </w:p>
        </w:tc>
        <w:tc>
          <w:tcPr>
            <w:tcW w:w="1846"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3338B8EC"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 </w:t>
            </w:r>
          </w:p>
        </w:tc>
        <w:tc>
          <w:tcPr>
            <w:tcW w:w="15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221AF7AC"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X</w:t>
            </w:r>
          </w:p>
        </w:tc>
      </w:tr>
      <w:tr w:rsidRPr="00AE1B2B" w:rsidR="00AE1B2B" w:rsidTr="009D3FB5" w14:paraId="5DE2C8B8" w14:textId="77777777">
        <w:trPr>
          <w:trHeight w:val="375"/>
          <w:jc w:val="center"/>
        </w:trPr>
        <w:tc>
          <w:tcPr>
            <w:tcW w:w="3234" w:type="dxa"/>
            <w:tcBorders>
              <w:top w:val="nil"/>
              <w:left w:val="double" w:color="203764" w:sz="6" w:space="0"/>
              <w:bottom w:val="double" w:color="203764" w:sz="6" w:space="0"/>
              <w:right w:val="double" w:color="203764" w:sz="6" w:space="0"/>
            </w:tcBorders>
            <w:shd w:val="clear" w:color="auto" w:fill="auto"/>
            <w:noWrap/>
            <w:vAlign w:val="center"/>
            <w:hideMark/>
          </w:tcPr>
          <w:p w:rsidRPr="00AE1B2B" w:rsidR="009D3FB5" w:rsidP="00163B94" w:rsidRDefault="009D3FB5" w14:paraId="2B825B2C"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I Circuito Judicial de Guanacaste</w:t>
            </w:r>
          </w:p>
        </w:tc>
        <w:tc>
          <w:tcPr>
            <w:tcW w:w="1846"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2F070F0"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 </w:t>
            </w:r>
          </w:p>
        </w:tc>
        <w:tc>
          <w:tcPr>
            <w:tcW w:w="15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1D298BBE"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X</w:t>
            </w:r>
          </w:p>
        </w:tc>
      </w:tr>
      <w:tr w:rsidRPr="00AE1B2B" w:rsidR="00AE1B2B" w:rsidTr="009D3FB5" w14:paraId="426AEC1B" w14:textId="77777777">
        <w:trPr>
          <w:trHeight w:val="375"/>
          <w:jc w:val="center"/>
        </w:trPr>
        <w:tc>
          <w:tcPr>
            <w:tcW w:w="3234" w:type="dxa"/>
            <w:tcBorders>
              <w:top w:val="nil"/>
              <w:left w:val="double" w:color="203764" w:sz="6" w:space="0"/>
              <w:bottom w:val="double" w:color="203764" w:sz="6" w:space="0"/>
              <w:right w:val="double" w:color="203764" w:sz="6" w:space="0"/>
            </w:tcBorders>
            <w:shd w:val="clear" w:color="auto" w:fill="auto"/>
            <w:noWrap/>
            <w:vAlign w:val="center"/>
            <w:hideMark/>
          </w:tcPr>
          <w:p w:rsidRPr="00AE1B2B" w:rsidR="009D3FB5" w:rsidP="00163B94" w:rsidRDefault="009D3FB5" w14:paraId="603B2CBC"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II Circuito Judicial de Guanacaste</w:t>
            </w:r>
          </w:p>
        </w:tc>
        <w:tc>
          <w:tcPr>
            <w:tcW w:w="1846"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593005BB"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X</w:t>
            </w:r>
          </w:p>
        </w:tc>
        <w:tc>
          <w:tcPr>
            <w:tcW w:w="1560"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2258C42E" w14:textId="77777777">
            <w:pPr>
              <w:spacing w:before="120" w:after="120"/>
              <w:jc w:val="center"/>
              <w:rPr>
                <w:rFonts w:ascii="Times New Roman" w:hAnsi="Times New Roman" w:eastAsia="Calibri" w:cs="Times New Roman"/>
                <w:sz w:val="20"/>
                <w:szCs w:val="18"/>
              </w:rPr>
            </w:pPr>
            <w:r w:rsidRPr="00AE1B2B">
              <w:rPr>
                <w:rFonts w:ascii="Times New Roman" w:hAnsi="Times New Roman" w:eastAsia="Calibri" w:cs="Times New Roman"/>
                <w:sz w:val="20"/>
                <w:szCs w:val="18"/>
              </w:rPr>
              <w:t>X</w:t>
            </w:r>
          </w:p>
        </w:tc>
      </w:tr>
    </w:tbl>
    <w:p w:rsidRPr="00AE1B2B" w:rsidR="009D3FB5" w:rsidP="00163B94" w:rsidRDefault="00BB7720" w14:paraId="1AF0A805" w14:textId="1C82A6DB">
      <w:p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b/>
          <w:bCs/>
          <w:sz w:val="26"/>
          <w:szCs w:val="26"/>
          <w:lang w:val="es-ES"/>
        </w:rPr>
        <w:t xml:space="preserve"> </w:t>
      </w:r>
      <w:r w:rsidRPr="00AE1B2B" w:rsidR="009D3FB5">
        <w:rPr>
          <w:rFonts w:ascii="Times New Roman" w:hAnsi="Times New Roman" w:eastAsia="Times New Roman" w:cs="Times New Roman"/>
          <w:b/>
          <w:bCs/>
          <w:sz w:val="26"/>
          <w:szCs w:val="26"/>
          <w:lang w:val="es-ES"/>
        </w:rPr>
        <w:t xml:space="preserve">Fuente: </w:t>
      </w:r>
      <w:r w:rsidRPr="00AE1B2B" w:rsidR="009D3FB5">
        <w:rPr>
          <w:rFonts w:ascii="Times New Roman" w:hAnsi="Times New Roman" w:eastAsia="Times New Roman" w:cs="Times New Roman"/>
          <w:sz w:val="26"/>
          <w:szCs w:val="26"/>
          <w:lang w:val="es-ES"/>
        </w:rPr>
        <w:t>Modernización Institucional</w:t>
      </w:r>
    </w:p>
    <w:p w:rsidRPr="00AE1B2B" w:rsidR="009D3FB5" w:rsidP="00163B94" w:rsidRDefault="009D3FB5" w14:paraId="1D6A83FC" w14:textId="77777777">
      <w:pPr>
        <w:numPr>
          <w:ilvl w:val="0"/>
          <w:numId w:val="136"/>
        </w:numPr>
        <w:spacing w:before="120" w:after="120"/>
        <w:ind w:left="851" w:right="851" w:firstLine="709"/>
        <w:jc w:val="both"/>
        <w:rPr>
          <w:rFonts w:ascii="Times New Roman" w:hAnsi="Times New Roman" w:eastAsia="Times New Roman" w:cs="Times New Roman"/>
          <w:b/>
          <w:bCs/>
          <w:sz w:val="26"/>
          <w:szCs w:val="26"/>
          <w:lang w:val="es-ES" w:eastAsia="es-ES"/>
        </w:rPr>
      </w:pPr>
      <w:r w:rsidRPr="00AE1B2B">
        <w:rPr>
          <w:rFonts w:ascii="Times New Roman" w:hAnsi="Times New Roman" w:eastAsia="Times New Roman" w:cs="Times New Roman"/>
          <w:b/>
          <w:bCs/>
          <w:sz w:val="26"/>
          <w:szCs w:val="26"/>
          <w:lang w:val="es-ES" w:eastAsia="es-ES"/>
        </w:rPr>
        <w:t>Escenario 2: Recomendado por la Oficina Rectora de Justicia Restaurativa.</w:t>
      </w:r>
    </w:p>
    <w:p w:rsidRPr="00AE1B2B" w:rsidR="009D3FB5" w:rsidP="00163B94" w:rsidRDefault="009D3FB5" w14:paraId="1A562EEB" w14:textId="77777777">
      <w:p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En oficio 35-ORJR-2021 remitido por la Oficina Rectora de Justicia Restaurativa en fecha 23 de febrero de 2021 se presenta la propuesta de ampliación de cobertura al considerar la maximización </w:t>
      </w:r>
      <w:r w:rsidRPr="00AE1B2B">
        <w:rPr>
          <w:rFonts w:ascii="Times New Roman" w:hAnsi="Times New Roman" w:eastAsia="Times New Roman" w:cs="Times New Roman"/>
          <w:sz w:val="26"/>
          <w:szCs w:val="26"/>
          <w:lang w:val="es-ES" w:eastAsia="es-ES"/>
        </w:rPr>
        <w:lastRenderedPageBreak/>
        <w:t>de los recursos existentes, y adicionalmente se plantea la solicitud de nuevos recursos con el propósito de conformar equipos de trabajo especializados en atención por materia (Ver apéndice 5).</w:t>
      </w:r>
    </w:p>
    <w:p w:rsidRPr="00AE1B2B" w:rsidR="009D3FB5" w:rsidP="00163B94" w:rsidRDefault="009D3FB5" w14:paraId="7752B513" w14:textId="77777777">
      <w:pPr>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3AF99396" w14:textId="77777777">
      <w:pPr>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139FBABC" w14:textId="77777777">
      <w:pPr>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71CB7E95" w14:textId="77777777">
      <w:pPr>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26C4147D" w14:textId="77777777">
      <w:pPr>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4B52CAB6" w14:textId="77777777">
      <w:pPr>
        <w:numPr>
          <w:ilvl w:val="0"/>
          <w:numId w:val="139"/>
        </w:numPr>
        <w:spacing w:before="120" w:after="120"/>
        <w:ind w:left="851" w:right="851" w:firstLine="709"/>
        <w:jc w:val="both"/>
        <w:rPr>
          <w:rFonts w:ascii="Times New Roman" w:hAnsi="Times New Roman" w:eastAsia="Times New Roman" w:cs="Times New Roman"/>
          <w:b/>
          <w:bCs/>
          <w:sz w:val="26"/>
          <w:szCs w:val="26"/>
          <w:lang w:val="es-ES" w:eastAsia="es-ES"/>
        </w:rPr>
      </w:pPr>
      <w:r w:rsidRPr="00AE1B2B">
        <w:rPr>
          <w:rFonts w:ascii="Times New Roman" w:hAnsi="Times New Roman" w:eastAsia="Times New Roman" w:cs="Times New Roman"/>
          <w:b/>
          <w:bCs/>
          <w:sz w:val="26"/>
          <w:szCs w:val="26"/>
          <w:lang w:val="es-ES" w:eastAsia="es-ES"/>
        </w:rPr>
        <w:t>Ampliación de cobertura por materia con recurso existente.</w:t>
      </w:r>
    </w:p>
    <w:p w:rsidRPr="00AE1B2B" w:rsidR="009D3FB5" w:rsidP="00163B94" w:rsidRDefault="009D3FB5" w14:paraId="42379703" w14:textId="77777777">
      <w:p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La Oficina Rectora de Justicia Restaurativa plantea el siguiente escenario de ampliación de cobertura por materia considerando los recursos existentes:</w:t>
      </w:r>
    </w:p>
    <w:p w:rsidRPr="00AE1B2B" w:rsidR="009D3FB5" w:rsidP="00163B94" w:rsidRDefault="009D3FB5" w14:paraId="69A92155" w14:textId="77777777">
      <w:pPr>
        <w:spacing w:before="120" w:after="120"/>
        <w:ind w:left="851" w:right="851" w:firstLine="709"/>
        <w:jc w:val="both"/>
        <w:rPr>
          <w:rFonts w:ascii="Times New Roman" w:hAnsi="Times New Roman" w:eastAsia="Calibri" w:cs="Times New Roman"/>
          <w:b/>
          <w:bCs/>
          <w:sz w:val="26"/>
          <w:szCs w:val="26"/>
        </w:rPr>
      </w:pPr>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19</w:t>
      </w:r>
      <w:r w:rsidRPr="00AE1B2B">
        <w:rPr>
          <w:rFonts w:ascii="Times New Roman" w:hAnsi="Times New Roman" w:eastAsia="Calibri" w:cs="Times New Roman"/>
          <w:b/>
          <w:bCs/>
          <w:sz w:val="26"/>
          <w:szCs w:val="26"/>
        </w:rPr>
        <w:fldChar w:fldCharType="end"/>
      </w:r>
      <w:r w:rsidRPr="00AE1B2B">
        <w:rPr>
          <w:rFonts w:ascii="Times New Roman" w:hAnsi="Times New Roman" w:eastAsia="Calibri" w:cs="Times New Roman"/>
          <w:b/>
          <w:bCs/>
          <w:sz w:val="26"/>
          <w:szCs w:val="26"/>
        </w:rPr>
        <w:t>. Propuesta de ampliación de competencia material para los equipos existentes en Justicia Restaurativa.</w:t>
      </w:r>
    </w:p>
    <w:tbl>
      <w:tblPr>
        <w:tblW w:w="8080" w:type="dxa"/>
        <w:jc w:val="center"/>
        <w:tblCellMar>
          <w:left w:w="70" w:type="dxa"/>
          <w:right w:w="70" w:type="dxa"/>
        </w:tblCellMar>
        <w:tblLook w:val="04A0" w:firstRow="1" w:lastRow="0" w:firstColumn="1" w:lastColumn="0" w:noHBand="0" w:noVBand="1"/>
      </w:tblPr>
      <w:tblGrid>
        <w:gridCol w:w="3187"/>
        <w:gridCol w:w="1491"/>
        <w:gridCol w:w="1769"/>
        <w:gridCol w:w="1633"/>
      </w:tblGrid>
      <w:tr w:rsidRPr="00AE1B2B" w:rsidR="00AE1B2B" w:rsidTr="009D3FB5" w14:paraId="16E5B4A7" w14:textId="77777777">
        <w:trPr>
          <w:trHeight w:val="375"/>
          <w:jc w:val="center"/>
        </w:trPr>
        <w:tc>
          <w:tcPr>
            <w:tcW w:w="3187" w:type="dxa"/>
            <w:tcBorders>
              <w:top w:val="double" w:color="203764" w:sz="6" w:space="0"/>
              <w:left w:val="double" w:color="203764" w:sz="6" w:space="0"/>
              <w:bottom w:val="double" w:color="203764" w:sz="6" w:space="0"/>
              <w:right w:val="double" w:color="203764" w:sz="6" w:space="0"/>
            </w:tcBorders>
            <w:shd w:val="clear" w:color="000000" w:fill="8EA9DB"/>
            <w:noWrap/>
            <w:vAlign w:val="center"/>
            <w:hideMark/>
          </w:tcPr>
          <w:p w:rsidRPr="00AE1B2B" w:rsidR="009D3FB5" w:rsidP="00163B94" w:rsidRDefault="009D3FB5" w14:paraId="1870B28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Circuito Judicial</w:t>
            </w:r>
          </w:p>
        </w:tc>
        <w:tc>
          <w:tcPr>
            <w:tcW w:w="1491" w:type="dxa"/>
            <w:tcBorders>
              <w:top w:val="double" w:color="203764" w:sz="6" w:space="0"/>
              <w:left w:val="nil"/>
              <w:bottom w:val="double" w:color="203764" w:sz="6" w:space="0"/>
              <w:right w:val="double" w:color="203764" w:sz="6" w:space="0"/>
            </w:tcBorders>
            <w:shd w:val="clear" w:color="000000" w:fill="8EA9DB"/>
            <w:noWrap/>
            <w:vAlign w:val="center"/>
            <w:hideMark/>
          </w:tcPr>
          <w:p w:rsidRPr="00AE1B2B" w:rsidR="009D3FB5" w:rsidP="00163B94" w:rsidRDefault="009D3FB5" w14:paraId="367D365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Penal Adulto</w:t>
            </w:r>
          </w:p>
        </w:tc>
        <w:tc>
          <w:tcPr>
            <w:tcW w:w="1769" w:type="dxa"/>
            <w:tcBorders>
              <w:top w:val="double" w:color="203764" w:sz="6" w:space="0"/>
              <w:left w:val="nil"/>
              <w:bottom w:val="double" w:color="203764" w:sz="6" w:space="0"/>
              <w:right w:val="double" w:color="203764" w:sz="6" w:space="0"/>
            </w:tcBorders>
            <w:shd w:val="clear" w:color="000000" w:fill="8EA9DB"/>
            <w:noWrap/>
            <w:vAlign w:val="center"/>
            <w:hideMark/>
          </w:tcPr>
          <w:p w:rsidRPr="00AE1B2B" w:rsidR="009D3FB5" w:rsidP="00163B94" w:rsidRDefault="009D3FB5" w14:paraId="7C9B616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Contravenciones</w:t>
            </w:r>
          </w:p>
        </w:tc>
        <w:tc>
          <w:tcPr>
            <w:tcW w:w="1633" w:type="dxa"/>
            <w:tcBorders>
              <w:top w:val="double" w:color="203764" w:sz="6" w:space="0"/>
              <w:left w:val="nil"/>
              <w:bottom w:val="double" w:color="203764" w:sz="6" w:space="0"/>
              <w:right w:val="double" w:color="203764" w:sz="6" w:space="0"/>
            </w:tcBorders>
            <w:shd w:val="clear" w:color="000000" w:fill="8EA9DB"/>
            <w:noWrap/>
            <w:vAlign w:val="center"/>
            <w:hideMark/>
          </w:tcPr>
          <w:p w:rsidRPr="00AE1B2B" w:rsidR="009D3FB5" w:rsidP="00163B94" w:rsidRDefault="009D3FB5" w14:paraId="6FF4A18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Ejecución de la Pena</w:t>
            </w:r>
          </w:p>
        </w:tc>
      </w:tr>
      <w:tr w:rsidRPr="00AE1B2B" w:rsidR="00AE1B2B" w:rsidTr="009D3FB5" w14:paraId="709EF70F" w14:textId="77777777">
        <w:trPr>
          <w:trHeight w:val="375"/>
          <w:jc w:val="center"/>
        </w:trPr>
        <w:tc>
          <w:tcPr>
            <w:tcW w:w="3187" w:type="dxa"/>
            <w:tcBorders>
              <w:top w:val="nil"/>
              <w:left w:val="double" w:color="203764" w:sz="6" w:space="0"/>
              <w:bottom w:val="double" w:color="203764" w:sz="6" w:space="0"/>
              <w:right w:val="double" w:color="203764" w:sz="6" w:space="0"/>
            </w:tcBorders>
            <w:shd w:val="clear" w:color="auto" w:fill="auto"/>
            <w:noWrap/>
            <w:vAlign w:val="center"/>
            <w:hideMark/>
          </w:tcPr>
          <w:p w:rsidRPr="00AE1B2B" w:rsidR="009D3FB5" w:rsidP="00163B94" w:rsidRDefault="009D3FB5" w14:paraId="055020D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Alajuela</w:t>
            </w:r>
          </w:p>
        </w:tc>
        <w:tc>
          <w:tcPr>
            <w:tcW w:w="1491"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6E08BE7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c>
          <w:tcPr>
            <w:tcW w:w="1769"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607F6CF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c>
          <w:tcPr>
            <w:tcW w:w="1633"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138501B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X</w:t>
            </w:r>
          </w:p>
        </w:tc>
      </w:tr>
      <w:tr w:rsidRPr="00AE1B2B" w:rsidR="00AE1B2B" w:rsidTr="009D3FB5" w14:paraId="05C3D638" w14:textId="77777777">
        <w:trPr>
          <w:trHeight w:val="375"/>
          <w:jc w:val="center"/>
        </w:trPr>
        <w:tc>
          <w:tcPr>
            <w:tcW w:w="3187" w:type="dxa"/>
            <w:tcBorders>
              <w:top w:val="nil"/>
              <w:left w:val="double" w:color="203764" w:sz="6" w:space="0"/>
              <w:bottom w:val="double" w:color="203764" w:sz="6" w:space="0"/>
              <w:right w:val="double" w:color="203764" w:sz="6" w:space="0"/>
            </w:tcBorders>
            <w:shd w:val="clear" w:color="auto" w:fill="auto"/>
            <w:noWrap/>
            <w:vAlign w:val="center"/>
            <w:hideMark/>
          </w:tcPr>
          <w:p w:rsidRPr="00AE1B2B" w:rsidR="009D3FB5" w:rsidP="00163B94" w:rsidRDefault="009D3FB5" w14:paraId="1D78DBC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III Circuito Judicial de Alajuela</w:t>
            </w:r>
          </w:p>
        </w:tc>
        <w:tc>
          <w:tcPr>
            <w:tcW w:w="1491"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0945FB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c>
          <w:tcPr>
            <w:tcW w:w="1769"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172819E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X</w:t>
            </w:r>
          </w:p>
        </w:tc>
        <w:tc>
          <w:tcPr>
            <w:tcW w:w="1633"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7876EF36"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r>
      <w:tr w:rsidRPr="00AE1B2B" w:rsidR="00AE1B2B" w:rsidTr="009D3FB5" w14:paraId="3B10B226" w14:textId="77777777">
        <w:trPr>
          <w:trHeight w:val="375"/>
          <w:jc w:val="center"/>
        </w:trPr>
        <w:tc>
          <w:tcPr>
            <w:tcW w:w="3187" w:type="dxa"/>
            <w:tcBorders>
              <w:top w:val="nil"/>
              <w:left w:val="double" w:color="203764" w:sz="6" w:space="0"/>
              <w:bottom w:val="double" w:color="203764" w:sz="6" w:space="0"/>
              <w:right w:val="double" w:color="203764" w:sz="6" w:space="0"/>
            </w:tcBorders>
            <w:shd w:val="clear" w:color="auto" w:fill="auto"/>
            <w:noWrap/>
            <w:vAlign w:val="center"/>
            <w:hideMark/>
          </w:tcPr>
          <w:p w:rsidRPr="00AE1B2B" w:rsidR="009D3FB5" w:rsidP="00163B94" w:rsidRDefault="009D3FB5" w14:paraId="44FDCF8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Zona Sur</w:t>
            </w:r>
          </w:p>
        </w:tc>
        <w:tc>
          <w:tcPr>
            <w:tcW w:w="1491"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580F35D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c>
          <w:tcPr>
            <w:tcW w:w="1769"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5A90B9F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X</w:t>
            </w:r>
          </w:p>
        </w:tc>
        <w:tc>
          <w:tcPr>
            <w:tcW w:w="1633"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7D3A27A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r>
      <w:tr w:rsidRPr="00AE1B2B" w:rsidR="00AE1B2B" w:rsidTr="009D3FB5" w14:paraId="270C2BA7" w14:textId="77777777">
        <w:trPr>
          <w:trHeight w:val="375"/>
          <w:jc w:val="center"/>
        </w:trPr>
        <w:tc>
          <w:tcPr>
            <w:tcW w:w="3187" w:type="dxa"/>
            <w:tcBorders>
              <w:top w:val="nil"/>
              <w:left w:val="double" w:color="203764" w:sz="6" w:space="0"/>
              <w:bottom w:val="double" w:color="203764" w:sz="6" w:space="0"/>
              <w:right w:val="double" w:color="203764" w:sz="6" w:space="0"/>
            </w:tcBorders>
            <w:shd w:val="clear" w:color="auto" w:fill="auto"/>
            <w:noWrap/>
            <w:vAlign w:val="center"/>
            <w:hideMark/>
          </w:tcPr>
          <w:p w:rsidRPr="00AE1B2B" w:rsidR="009D3FB5" w:rsidP="00163B94" w:rsidRDefault="009D3FB5" w14:paraId="0A8F2C5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Guanacaste</w:t>
            </w:r>
          </w:p>
        </w:tc>
        <w:tc>
          <w:tcPr>
            <w:tcW w:w="1491"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31A55CA7"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Cañas</w:t>
            </w:r>
          </w:p>
        </w:tc>
        <w:tc>
          <w:tcPr>
            <w:tcW w:w="1769"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2FE031F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c>
          <w:tcPr>
            <w:tcW w:w="1633"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6EA56AE"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r>
      <w:tr w:rsidRPr="00AE1B2B" w:rsidR="00AE1B2B" w:rsidTr="009D3FB5" w14:paraId="4645734B" w14:textId="77777777">
        <w:trPr>
          <w:trHeight w:val="375"/>
          <w:jc w:val="center"/>
        </w:trPr>
        <w:tc>
          <w:tcPr>
            <w:tcW w:w="3187" w:type="dxa"/>
            <w:tcBorders>
              <w:top w:val="nil"/>
              <w:left w:val="double" w:color="203764" w:sz="6" w:space="0"/>
              <w:bottom w:val="double" w:color="203764" w:sz="6" w:space="0"/>
              <w:right w:val="double" w:color="203764" w:sz="6" w:space="0"/>
            </w:tcBorders>
            <w:shd w:val="clear" w:color="auto" w:fill="auto"/>
            <w:noWrap/>
            <w:vAlign w:val="center"/>
            <w:hideMark/>
          </w:tcPr>
          <w:p w:rsidRPr="00AE1B2B" w:rsidR="009D3FB5" w:rsidP="00163B94" w:rsidRDefault="009D3FB5" w14:paraId="18F3625D"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II Circuito Judicial de Guanacaste</w:t>
            </w:r>
          </w:p>
        </w:tc>
        <w:tc>
          <w:tcPr>
            <w:tcW w:w="1491"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C11423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c>
          <w:tcPr>
            <w:tcW w:w="1769"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D25BC7A"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X</w:t>
            </w:r>
          </w:p>
        </w:tc>
        <w:tc>
          <w:tcPr>
            <w:tcW w:w="1633"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3BBC6A43"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r>
      <w:tr w:rsidRPr="00AE1B2B" w:rsidR="00AE1B2B" w:rsidTr="009D3FB5" w14:paraId="01D11239" w14:textId="77777777">
        <w:trPr>
          <w:trHeight w:val="375"/>
          <w:jc w:val="center"/>
        </w:trPr>
        <w:tc>
          <w:tcPr>
            <w:tcW w:w="3187" w:type="dxa"/>
            <w:tcBorders>
              <w:top w:val="nil"/>
              <w:left w:val="double" w:color="203764" w:sz="6" w:space="0"/>
              <w:bottom w:val="double" w:color="203764" w:sz="6" w:space="0"/>
              <w:right w:val="double" w:color="203764" w:sz="6" w:space="0"/>
            </w:tcBorders>
            <w:shd w:val="clear" w:color="auto" w:fill="auto"/>
            <w:noWrap/>
            <w:vAlign w:val="center"/>
            <w:hideMark/>
          </w:tcPr>
          <w:p w:rsidRPr="00AE1B2B" w:rsidR="009D3FB5" w:rsidP="00163B94" w:rsidRDefault="009D3FB5" w14:paraId="7164CDC0"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la Zona Atlántica</w:t>
            </w:r>
          </w:p>
        </w:tc>
        <w:tc>
          <w:tcPr>
            <w:tcW w:w="1491"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3361FDB"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c>
          <w:tcPr>
            <w:tcW w:w="1769"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0E70FDFC"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c>
          <w:tcPr>
            <w:tcW w:w="1633"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1FCC75D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X</w:t>
            </w:r>
          </w:p>
        </w:tc>
      </w:tr>
      <w:tr w:rsidRPr="00AE1B2B" w:rsidR="00AE1B2B" w:rsidTr="009D3FB5" w14:paraId="26F2B237" w14:textId="77777777">
        <w:trPr>
          <w:trHeight w:val="375"/>
          <w:jc w:val="center"/>
        </w:trPr>
        <w:tc>
          <w:tcPr>
            <w:tcW w:w="3187" w:type="dxa"/>
            <w:tcBorders>
              <w:top w:val="nil"/>
              <w:left w:val="double" w:color="203764" w:sz="6" w:space="0"/>
              <w:bottom w:val="double" w:color="203764" w:sz="6" w:space="0"/>
              <w:right w:val="double" w:color="203764" w:sz="6" w:space="0"/>
            </w:tcBorders>
            <w:shd w:val="clear" w:color="auto" w:fill="auto"/>
            <w:noWrap/>
            <w:vAlign w:val="center"/>
            <w:hideMark/>
          </w:tcPr>
          <w:p w:rsidRPr="00AE1B2B" w:rsidR="009D3FB5" w:rsidP="00163B94" w:rsidRDefault="009D3FB5" w14:paraId="4CB4BDC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Circuito Judicial de Puntarenas</w:t>
            </w:r>
          </w:p>
        </w:tc>
        <w:tc>
          <w:tcPr>
            <w:tcW w:w="1491"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4CE0F6B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Jacó</w:t>
            </w:r>
          </w:p>
        </w:tc>
        <w:tc>
          <w:tcPr>
            <w:tcW w:w="1769"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6D6604F9"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c>
          <w:tcPr>
            <w:tcW w:w="1633"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7DD9C8A1"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r>
      <w:tr w:rsidRPr="00AE1B2B" w:rsidR="00AE1B2B" w:rsidTr="009D3FB5" w14:paraId="3F9A2C4E" w14:textId="77777777">
        <w:trPr>
          <w:trHeight w:val="375"/>
          <w:jc w:val="center"/>
        </w:trPr>
        <w:tc>
          <w:tcPr>
            <w:tcW w:w="3187" w:type="dxa"/>
            <w:tcBorders>
              <w:top w:val="nil"/>
              <w:left w:val="double" w:color="203764" w:sz="6" w:space="0"/>
              <w:bottom w:val="double" w:color="203764" w:sz="6" w:space="0"/>
              <w:right w:val="double" w:color="203764" w:sz="6" w:space="0"/>
            </w:tcBorders>
            <w:shd w:val="clear" w:color="auto" w:fill="auto"/>
            <w:noWrap/>
            <w:vAlign w:val="center"/>
            <w:hideMark/>
          </w:tcPr>
          <w:p w:rsidRPr="00AE1B2B" w:rsidR="009D3FB5" w:rsidP="00163B94" w:rsidRDefault="009D3FB5" w14:paraId="47ABA6D8"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I Circuito Judicial de San José</w:t>
            </w:r>
          </w:p>
        </w:tc>
        <w:tc>
          <w:tcPr>
            <w:tcW w:w="1491"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1F2C9585"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Puriscal</w:t>
            </w:r>
          </w:p>
        </w:tc>
        <w:tc>
          <w:tcPr>
            <w:tcW w:w="1769"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0C70DC1F"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c>
          <w:tcPr>
            <w:tcW w:w="1633" w:type="dxa"/>
            <w:tcBorders>
              <w:top w:val="nil"/>
              <w:left w:val="nil"/>
              <w:bottom w:val="double" w:color="203764" w:sz="6" w:space="0"/>
              <w:right w:val="double" w:color="203764" w:sz="6" w:space="0"/>
            </w:tcBorders>
            <w:shd w:val="clear" w:color="auto" w:fill="auto"/>
            <w:noWrap/>
            <w:vAlign w:val="center"/>
            <w:hideMark/>
          </w:tcPr>
          <w:p w:rsidRPr="00AE1B2B" w:rsidR="009D3FB5" w:rsidP="00163B94" w:rsidRDefault="009D3FB5" w14:paraId="60B94BB4" w14:textId="77777777">
            <w:pPr>
              <w:spacing w:before="120" w:after="120"/>
              <w:jc w:val="center"/>
              <w:rPr>
                <w:rFonts w:ascii="Times New Roman" w:hAnsi="Times New Roman" w:eastAsia="Times New Roman" w:cs="Times New Roman"/>
                <w:sz w:val="20"/>
                <w:szCs w:val="20"/>
                <w:lang w:eastAsia="es-CR"/>
              </w:rPr>
            </w:pPr>
            <w:r w:rsidRPr="00AE1B2B">
              <w:rPr>
                <w:rFonts w:ascii="Times New Roman" w:hAnsi="Times New Roman" w:eastAsia="Times New Roman" w:cs="Times New Roman"/>
                <w:sz w:val="20"/>
                <w:szCs w:val="20"/>
                <w:lang w:eastAsia="es-CR"/>
              </w:rPr>
              <w:t> </w:t>
            </w:r>
          </w:p>
        </w:tc>
      </w:tr>
    </w:tbl>
    <w:p w:rsidRPr="00AE1B2B" w:rsidR="009D3FB5" w:rsidP="00163B94" w:rsidRDefault="009D3FB5" w14:paraId="18A2861A" w14:textId="77777777">
      <w:p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b/>
          <w:sz w:val="26"/>
          <w:szCs w:val="26"/>
          <w:lang w:val="es-ES" w:eastAsia="es-CR"/>
        </w:rPr>
        <w:t xml:space="preserve">Fuente: </w:t>
      </w:r>
      <w:r w:rsidRPr="00AE1B2B">
        <w:rPr>
          <w:rFonts w:ascii="Times New Roman" w:hAnsi="Times New Roman" w:eastAsia="Times New Roman" w:cs="Times New Roman"/>
          <w:bCs/>
          <w:sz w:val="26"/>
          <w:szCs w:val="26"/>
          <w:lang w:val="es-ES" w:eastAsia="es-CR"/>
        </w:rPr>
        <w:t>Oficina Rectora de Justicia Restaurativa</w:t>
      </w:r>
    </w:p>
    <w:p w:rsidRPr="00AE1B2B" w:rsidR="009D3FB5" w:rsidP="00163B94" w:rsidRDefault="009D3FB5" w14:paraId="2DFF5E26" w14:textId="77777777">
      <w:p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Bajo este escenario, se plantea ampliar la cobertura en materia Penal Adulto en Cañas, Jacó y Puriscal, mientras que en contravenciones se plantea la ampliación para el III Circuito Judicial de Alajuela, I Circuito Judicial de la Zona Sur y II Circuito Judicial de Guanacaste. Para la materia de Ejecución de la Pena, se considera </w:t>
      </w:r>
      <w:r w:rsidRPr="00AE1B2B">
        <w:rPr>
          <w:rFonts w:ascii="Times New Roman" w:hAnsi="Times New Roman" w:eastAsia="Times New Roman" w:cs="Times New Roman"/>
          <w:sz w:val="26"/>
          <w:szCs w:val="26"/>
          <w:lang w:val="es-ES" w:eastAsia="es-ES"/>
        </w:rPr>
        <w:lastRenderedPageBreak/>
        <w:t xml:space="preserve">ampliar la atención en el I Circuito Judicial de Alajuela y en el I Circuito Judicial de la Zona Atlántica. </w:t>
      </w:r>
    </w:p>
    <w:p w:rsidRPr="00AE1B2B" w:rsidR="009D3FB5" w:rsidP="00163B94" w:rsidRDefault="009D3FB5" w14:paraId="38CBB551" w14:textId="77777777">
      <w:p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Adicional a esta propuesta, se indica en el oficio 35-ORJR-2021 que se recibieron correos por parte de la Fiscalía Adjunta de Penal Juvenil, de la Fiscalía Adjunta de Justicia Restaurativa, del Departamento de Trabajo Social y Psicología.</w:t>
      </w:r>
    </w:p>
    <w:p w:rsidRPr="00AE1B2B" w:rsidR="009D3FB5" w:rsidP="00163B94" w:rsidRDefault="009D3FB5" w14:paraId="79F7B246" w14:textId="77777777">
      <w:p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Sobre lo indicado por parte de la Fiscalia Adjunta de Penal Juvenil se extrae textualmente:</w:t>
      </w:r>
    </w:p>
    <w:p w:rsidRPr="00AE1B2B" w:rsidR="009D3FB5" w:rsidP="00163B94" w:rsidRDefault="009D3FB5" w14:paraId="2E7F1D12" w14:textId="77777777">
      <w:pPr>
        <w:spacing w:before="120" w:after="120"/>
        <w:ind w:left="851" w:right="851" w:firstLine="709"/>
        <w:jc w:val="both"/>
        <w:rPr>
          <w:rFonts w:ascii="Times New Roman" w:hAnsi="Times New Roman" w:eastAsia="Times New Roman" w:cs="Times New Roman"/>
          <w:i/>
          <w:iCs/>
          <w:sz w:val="26"/>
          <w:szCs w:val="26"/>
          <w:lang w:val="es-ES" w:eastAsia="es-ES"/>
        </w:rPr>
      </w:pPr>
      <w:r w:rsidRPr="00AE1B2B">
        <w:rPr>
          <w:rFonts w:ascii="Times New Roman" w:hAnsi="Times New Roman" w:eastAsia="Times New Roman" w:cs="Times New Roman"/>
          <w:i/>
          <w:iCs/>
          <w:sz w:val="26"/>
          <w:szCs w:val="26"/>
          <w:lang w:val="es-ES" w:eastAsia="es-ES"/>
        </w:rPr>
        <w:t xml:space="preserve">“Respecto a la gestión de la licda. Adriana les comento que como ya es de su conocimiento la Fiscalía Adjunta Penal Juvenil, perdió una plaza de Fiscal Auxiliar (de Justicia Juvenil Restaurativa), misma que se encontraba destacada en la localidad de Pococí, y esto ha generado una serie de cambios a lo interno, que han afectado de alguna forma el desempeño de la fiscalía de Limón, al trasladarse una de las plazas que estaba en ese lugar a Pococí. En razón de lo anterior, me parece importante valorar la posibilidad de asignar una nueva plaza de fiscal auxiliar para esta localidad, propiamente en Limón, lugar donde es de su conocimiento tiene una amplia competencia territorial, sin omitir el tipo de criminalidad que se desarrolla en el sitio. Esto ha traído grandes cambios, ya que el tiempo que asumía un fiscal en Justicia Juvenil Restaurativa, ya no lo puede realizar de la misma forma, considerando que debe de atender también todos los otros asuntos que se generan de ordinario. </w:t>
      </w:r>
    </w:p>
    <w:p w:rsidRPr="00AE1B2B" w:rsidR="009D3FB5" w:rsidP="00163B94" w:rsidRDefault="009D3FB5" w14:paraId="5D8AF5E8" w14:textId="77777777">
      <w:pPr>
        <w:spacing w:before="120" w:after="120"/>
        <w:ind w:left="851" w:right="851" w:firstLine="709"/>
        <w:jc w:val="both"/>
        <w:rPr>
          <w:rFonts w:ascii="Times New Roman" w:hAnsi="Times New Roman" w:eastAsia="Times New Roman" w:cs="Times New Roman"/>
          <w:i/>
          <w:iCs/>
          <w:sz w:val="26"/>
          <w:szCs w:val="26"/>
          <w:lang w:val="es-ES" w:eastAsia="es-ES"/>
        </w:rPr>
      </w:pPr>
      <w:r w:rsidRPr="00AE1B2B">
        <w:rPr>
          <w:rFonts w:ascii="Times New Roman" w:hAnsi="Times New Roman" w:eastAsia="Times New Roman" w:cs="Times New Roman"/>
          <w:i/>
          <w:iCs/>
          <w:sz w:val="26"/>
          <w:szCs w:val="26"/>
          <w:lang w:val="es-ES" w:eastAsia="es-ES"/>
        </w:rPr>
        <w:t xml:space="preserve">En el mismo sentido, con los cambios realizados, se perdieron dos plazas de técnicos judiciales que eran de gran apoyo para el personal fiscal y que aportaban de forma significativa en el trabajo que se había venido realizando desde la Fiscalía Adjunta Penal Juvenil, para Justicia Juvenil Restaurativa, propiamente las ubicadas en la localidad de Pococí y Cartago. Por esta razón, también consideramos oportuno y necesario gestionar la asignación de estás plazas a ambas localidades. </w:t>
      </w:r>
    </w:p>
    <w:p w:rsidRPr="00AE1B2B" w:rsidR="009D3FB5" w:rsidP="00163B94" w:rsidRDefault="009D3FB5" w14:paraId="3708B23A" w14:textId="77777777">
      <w:pPr>
        <w:spacing w:before="120" w:after="120"/>
        <w:ind w:left="851" w:right="851" w:firstLine="709"/>
        <w:jc w:val="both"/>
        <w:rPr>
          <w:rFonts w:ascii="Times New Roman" w:hAnsi="Times New Roman" w:eastAsia="Times New Roman" w:cs="Times New Roman"/>
          <w:i/>
          <w:iCs/>
          <w:sz w:val="26"/>
          <w:szCs w:val="26"/>
          <w:lang w:val="es-ES" w:eastAsia="es-ES"/>
        </w:rPr>
      </w:pPr>
      <w:r w:rsidRPr="00AE1B2B">
        <w:rPr>
          <w:rFonts w:ascii="Times New Roman" w:hAnsi="Times New Roman" w:eastAsia="Times New Roman" w:cs="Times New Roman"/>
          <w:i/>
          <w:iCs/>
          <w:sz w:val="26"/>
          <w:szCs w:val="26"/>
          <w:lang w:val="es-ES" w:eastAsia="es-ES"/>
        </w:rPr>
        <w:t>No omito manifestar que, desde la Fiscalía Adjunta Penal Juvenil, se han realizado movimientos con las plazas, que vengan a minimizar la afectación al trabajo que se había venido realizando con la aplicación de Justicia Juvenil Restaurativa, sin embargo, al existir esta posibilidad, consideramos oportuno solicitar su colaboración para la ubicación de estas plazas (la de fiscal y dos técnicos) en las localidades ya mencionadas.”.</w:t>
      </w:r>
    </w:p>
    <w:p w:rsidRPr="00AE1B2B" w:rsidR="009D3FB5" w:rsidP="00163B94" w:rsidRDefault="009D3FB5" w14:paraId="63AA38F4" w14:textId="77777777">
      <w:pPr>
        <w:spacing w:before="120" w:after="120"/>
        <w:ind w:left="851" w:right="851" w:firstLine="709"/>
        <w:jc w:val="both"/>
        <w:rPr>
          <w:rFonts w:ascii="Times New Roman" w:hAnsi="Times New Roman" w:eastAsia="Times New Roman" w:cs="Times New Roman"/>
          <w:i/>
          <w:iCs/>
          <w:sz w:val="26"/>
          <w:szCs w:val="26"/>
          <w:lang w:val="es-ES" w:eastAsia="es-ES"/>
        </w:rPr>
      </w:pPr>
      <w:r w:rsidRPr="00AE1B2B">
        <w:rPr>
          <w:rFonts w:ascii="Times New Roman" w:hAnsi="Times New Roman" w:eastAsia="Times New Roman" w:cs="Times New Roman"/>
          <w:sz w:val="26"/>
          <w:szCs w:val="26"/>
          <w:lang w:val="es-ES" w:eastAsia="es-ES"/>
        </w:rPr>
        <w:t xml:space="preserve">Respecto a lo anterior, se aclara que las plazas mencionadas son plazas extraordinarias que estaban asignadas a Justicia Restaurativa y que las mismas fueron analizadas en el informe de </w:t>
      </w:r>
      <w:r w:rsidRPr="00AE1B2B">
        <w:rPr>
          <w:rFonts w:ascii="Times New Roman" w:hAnsi="Times New Roman" w:eastAsia="Times New Roman" w:cs="Times New Roman"/>
          <w:sz w:val="26"/>
          <w:szCs w:val="26"/>
          <w:lang w:val="es-ES" w:eastAsia="es-ES"/>
        </w:rPr>
        <w:lastRenderedPageBreak/>
        <w:t>presupuesto 586-PLA-MI-2020, en el que se determina la necesidad de utilizarlas para conformar nuevos equipos interdisciplinarios con el fin de brindar cobertura en Justicia Restaurativa en el II Circuito Judicial de la Zona Sur y en el I y II Circuito Judicial de Guanacaste. Adicionalmente, se indica que lo mencionado en el correo compete propiamente al funcionamiento de la Fiscalía de Penal Juvenil, no a Justicia Restaurativa como tal. Por último, de acuerdo con lo indicado en el artículo 6 de la Ley 9582 Justicia Restaurativa, la atención en Penal Juvenil se realizará en coordinación con el recurso ordinario de la Defensa Pública y el Ministerio Público, según se detalla a continuación:</w:t>
      </w:r>
    </w:p>
    <w:p w:rsidRPr="00AE1B2B" w:rsidR="009D3FB5" w:rsidP="00163B94" w:rsidRDefault="009D3FB5" w14:paraId="1457D956" w14:textId="77777777">
      <w:pPr>
        <w:tabs>
          <w:tab w:val="left" w:pos="698"/>
        </w:tabs>
        <w:spacing w:before="120" w:after="120"/>
        <w:ind w:left="851" w:right="851" w:firstLine="709"/>
        <w:jc w:val="both"/>
        <w:rPr>
          <w:rFonts w:ascii="Times New Roman" w:hAnsi="Times New Roman" w:eastAsia="Times New Roman" w:cs="Times New Roman"/>
          <w:i/>
          <w:iCs/>
          <w:sz w:val="26"/>
          <w:szCs w:val="26"/>
          <w:lang w:val="es-ES" w:eastAsia="es-ES"/>
        </w:rPr>
      </w:pPr>
      <w:r w:rsidRPr="00AE1B2B">
        <w:rPr>
          <w:rFonts w:ascii="Times New Roman" w:hAnsi="Times New Roman" w:eastAsia="Times New Roman" w:cs="Times New Roman"/>
          <w:i/>
          <w:iCs/>
          <w:sz w:val="26"/>
          <w:szCs w:val="26"/>
          <w:lang w:val="es-ES" w:eastAsia="es-ES"/>
        </w:rPr>
        <w:t>“En materia penal juvenil se conformará en las diferentes jurisdicciones el Programa de Justicia Juvenil Restaurativa; para tal efecto, se dotará de equipos psicosociales que, en conjunto con las personas funcionarias de la Defensa Pública y el Ministerio Público de cada despacho, aplicarán el procedimiento juvenil restaurativo como parte de sus competencias legales y las normas establecidas en esta ley.”.</w:t>
      </w:r>
    </w:p>
    <w:p w:rsidRPr="00AE1B2B" w:rsidR="009D3FB5" w:rsidP="00163B94" w:rsidRDefault="009D3FB5" w14:paraId="093972EA" w14:textId="77777777">
      <w:pPr>
        <w:tabs>
          <w:tab w:val="left" w:pos="698"/>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Relacionado con lo anterior, se indica que en los equipos existentes de Justicia Restaurativa no se cuenta con equipos legales para la atención de los casos y que los mismos son atendidos por el recurso ordinario con que se cuenta a nivel de Defensa y Fiscalía de Penal Juvenil en los Circuitos Judiciales correspondientes.</w:t>
      </w:r>
    </w:p>
    <w:p w:rsidRPr="00AE1B2B" w:rsidR="009D3FB5" w:rsidP="00163B94" w:rsidRDefault="009D3FB5" w14:paraId="7BFA3719" w14:textId="3835EF11">
      <w:pPr>
        <w:tabs>
          <w:tab w:val="left" w:pos="698"/>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Por su parte, el Departamento de Trabajo Social y Psicología remitió una serie de requerimientos para que sean considerados como parte del presupuesto de Justicia Restaurativa (Ver apéndice 6), los cuales se detallan a continuación:</w:t>
      </w:r>
    </w:p>
    <w:p w:rsidRPr="00AE1B2B" w:rsidR="00094B47" w:rsidP="00163B94" w:rsidRDefault="00094B47" w14:paraId="0821228A" w14:textId="77777777">
      <w:pPr>
        <w:tabs>
          <w:tab w:val="left" w:pos="698"/>
        </w:tabs>
        <w:spacing w:before="120" w:after="120"/>
        <w:ind w:left="851" w:right="851" w:firstLine="709"/>
        <w:jc w:val="both"/>
        <w:rPr>
          <w:rFonts w:ascii="Times New Roman" w:hAnsi="Times New Roman" w:eastAsia="Times New Roman" w:cs="Times New Roman"/>
          <w:sz w:val="26"/>
          <w:szCs w:val="26"/>
          <w:lang w:val="es-ES" w:eastAsia="es-ES"/>
        </w:rPr>
      </w:pPr>
    </w:p>
    <w:p w:rsidRPr="00AE1B2B" w:rsidR="009D3FB5" w:rsidP="00163B94" w:rsidRDefault="009D3FB5" w14:paraId="4920ADD9" w14:textId="7A36C6EB">
      <w:pPr>
        <w:spacing w:before="120" w:after="120"/>
        <w:ind w:left="851" w:right="851" w:firstLine="709"/>
        <w:jc w:val="both"/>
        <w:rPr>
          <w:rFonts w:ascii="Times New Roman" w:hAnsi="Times New Roman" w:eastAsia="Times New Roman" w:cs="Times New Roman"/>
          <w:b/>
          <w:bCs/>
          <w:sz w:val="26"/>
          <w:szCs w:val="26"/>
          <w:lang w:eastAsia="es-ES"/>
        </w:rPr>
      </w:pPr>
      <w:r w:rsidRPr="00AE1B2B">
        <w:rPr>
          <w:rFonts w:ascii="Times New Roman" w:hAnsi="Times New Roman" w:eastAsia="Times New Roman" w:cs="Times New Roman"/>
          <w:b/>
          <w:bCs/>
          <w:sz w:val="26"/>
          <w:szCs w:val="26"/>
          <w:lang w:eastAsia="es-ES"/>
        </w:rPr>
        <w:t xml:space="preserve">Cuadro </w:t>
      </w:r>
      <w:r w:rsidRPr="00AE1B2B">
        <w:rPr>
          <w:rFonts w:ascii="Times New Roman" w:hAnsi="Times New Roman" w:eastAsia="Times New Roman" w:cs="Times New Roman"/>
          <w:b/>
          <w:bCs/>
          <w:sz w:val="26"/>
          <w:szCs w:val="26"/>
          <w:lang w:eastAsia="es-ES"/>
        </w:rPr>
        <w:fldChar w:fldCharType="begin"/>
      </w:r>
      <w:r w:rsidRPr="00AE1B2B">
        <w:rPr>
          <w:rFonts w:ascii="Times New Roman" w:hAnsi="Times New Roman" w:eastAsia="Times New Roman" w:cs="Times New Roman"/>
          <w:b/>
          <w:bCs/>
          <w:sz w:val="26"/>
          <w:szCs w:val="26"/>
          <w:lang w:eastAsia="es-ES"/>
        </w:rPr>
        <w:instrText xml:space="preserve"> SEQ Cuadro \* ARABIC </w:instrText>
      </w:r>
      <w:r w:rsidRPr="00AE1B2B">
        <w:rPr>
          <w:rFonts w:ascii="Times New Roman" w:hAnsi="Times New Roman" w:eastAsia="Times New Roman" w:cs="Times New Roman"/>
          <w:b/>
          <w:bCs/>
          <w:sz w:val="26"/>
          <w:szCs w:val="26"/>
          <w:lang w:eastAsia="es-ES"/>
        </w:rPr>
        <w:fldChar w:fldCharType="separate"/>
      </w:r>
      <w:r w:rsidRPr="00AE1B2B">
        <w:rPr>
          <w:rFonts w:ascii="Times New Roman" w:hAnsi="Times New Roman" w:eastAsia="Times New Roman" w:cs="Times New Roman"/>
          <w:b/>
          <w:bCs/>
          <w:noProof/>
          <w:sz w:val="26"/>
          <w:szCs w:val="26"/>
          <w:lang w:eastAsia="es-ES"/>
        </w:rPr>
        <w:t>20</w:t>
      </w:r>
      <w:r w:rsidRPr="00AE1B2B">
        <w:rPr>
          <w:rFonts w:ascii="Times New Roman" w:hAnsi="Times New Roman" w:eastAsia="Times New Roman" w:cs="Times New Roman"/>
          <w:b/>
          <w:bCs/>
          <w:sz w:val="26"/>
          <w:szCs w:val="26"/>
          <w:lang w:eastAsia="es-ES"/>
        </w:rPr>
        <w:fldChar w:fldCharType="end"/>
      </w:r>
      <w:r w:rsidRPr="00AE1B2B">
        <w:rPr>
          <w:rFonts w:ascii="Times New Roman" w:hAnsi="Times New Roman" w:eastAsia="Times New Roman" w:cs="Times New Roman"/>
          <w:b/>
          <w:bCs/>
          <w:sz w:val="26"/>
          <w:szCs w:val="26"/>
          <w:lang w:eastAsia="es-ES"/>
        </w:rPr>
        <w:t>. Requerimiento Humano con base en la propuesta enviada por la Oficina Rectora de Justicia Restaurativa para el año 2022.</w:t>
      </w:r>
    </w:p>
    <w:p w:rsidRPr="00AE1B2B" w:rsidR="00094B47" w:rsidP="00163B94" w:rsidRDefault="00094B47" w14:paraId="227A2DD1" w14:textId="77777777">
      <w:pPr>
        <w:spacing w:before="120" w:after="120"/>
        <w:ind w:left="851" w:right="851" w:firstLine="709"/>
        <w:jc w:val="both"/>
        <w:rPr>
          <w:rFonts w:ascii="Times New Roman" w:hAnsi="Times New Roman" w:eastAsia="Times New Roman" w:cs="Times New Roman"/>
          <w:b/>
          <w:bCs/>
          <w:sz w:val="26"/>
          <w:szCs w:val="26"/>
          <w:lang w:eastAsia="es-ES"/>
        </w:rPr>
      </w:pPr>
    </w:p>
    <w:tbl>
      <w:tblPr>
        <w:tblW w:w="10631" w:type="dxa"/>
        <w:jc w:val="center"/>
        <w:tblCellMar>
          <w:left w:w="70" w:type="dxa"/>
          <w:right w:w="70" w:type="dxa"/>
        </w:tblCellMar>
        <w:tblLook w:val="04A0" w:firstRow="1" w:lastRow="0" w:firstColumn="1" w:lastColumn="0" w:noHBand="0" w:noVBand="1"/>
      </w:tblPr>
      <w:tblGrid>
        <w:gridCol w:w="890"/>
        <w:gridCol w:w="1263"/>
        <w:gridCol w:w="1409"/>
        <w:gridCol w:w="891"/>
        <w:gridCol w:w="1937"/>
        <w:gridCol w:w="1237"/>
        <w:gridCol w:w="3004"/>
      </w:tblGrid>
      <w:tr w:rsidRPr="00AE1B2B" w:rsidR="00AE1B2B" w:rsidTr="009D3FB5" w14:paraId="543F32B7" w14:textId="77777777">
        <w:trPr>
          <w:trHeight w:val="290"/>
          <w:jc w:val="center"/>
        </w:trPr>
        <w:tc>
          <w:tcPr>
            <w:tcW w:w="802" w:type="dxa"/>
            <w:vMerge w:val="restart"/>
            <w:tcBorders>
              <w:top w:val="single" w:color="auto" w:sz="4" w:space="0"/>
              <w:left w:val="single" w:color="auto" w:sz="4" w:space="0"/>
              <w:bottom w:val="single" w:color="000000" w:sz="4" w:space="0"/>
              <w:right w:val="single" w:color="auto" w:sz="4" w:space="0"/>
            </w:tcBorders>
            <w:shd w:val="clear" w:color="000000" w:fill="B4C6E7"/>
            <w:vAlign w:val="center"/>
            <w:hideMark/>
          </w:tcPr>
          <w:p w:rsidRPr="00AE1B2B" w:rsidR="009D3FB5" w:rsidP="00163B94" w:rsidRDefault="009D3FB5" w14:paraId="05BA29BD"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Prioridad</w:t>
            </w:r>
          </w:p>
        </w:tc>
        <w:tc>
          <w:tcPr>
            <w:tcW w:w="1277" w:type="dxa"/>
            <w:vMerge w:val="restart"/>
            <w:tcBorders>
              <w:top w:val="single" w:color="auto" w:sz="4" w:space="0"/>
              <w:left w:val="single" w:color="auto" w:sz="4" w:space="0"/>
              <w:bottom w:val="single" w:color="000000" w:sz="4" w:space="0"/>
              <w:right w:val="single" w:color="auto" w:sz="4" w:space="0"/>
            </w:tcBorders>
            <w:shd w:val="clear" w:color="000000" w:fill="B4C6E7"/>
            <w:vAlign w:val="center"/>
            <w:hideMark/>
          </w:tcPr>
          <w:p w:rsidRPr="00AE1B2B" w:rsidR="009D3FB5" w:rsidP="00163B94" w:rsidRDefault="009D3FB5" w14:paraId="51DFEB36"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Equipo psicosocial</w:t>
            </w:r>
          </w:p>
        </w:tc>
        <w:tc>
          <w:tcPr>
            <w:tcW w:w="1413" w:type="dxa"/>
            <w:vMerge w:val="restart"/>
            <w:tcBorders>
              <w:top w:val="single" w:color="auto" w:sz="4" w:space="0"/>
              <w:left w:val="single" w:color="auto" w:sz="4" w:space="0"/>
              <w:bottom w:val="single" w:color="000000" w:sz="4" w:space="0"/>
              <w:right w:val="single" w:color="auto" w:sz="4" w:space="0"/>
            </w:tcBorders>
            <w:shd w:val="clear" w:color="000000" w:fill="B4C6E7"/>
            <w:vAlign w:val="center"/>
            <w:hideMark/>
          </w:tcPr>
          <w:p w:rsidRPr="00AE1B2B" w:rsidR="009D3FB5" w:rsidP="00163B94" w:rsidRDefault="009D3FB5" w14:paraId="164F4F43"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Solicitudes o requerimientos</w:t>
            </w:r>
          </w:p>
        </w:tc>
        <w:tc>
          <w:tcPr>
            <w:tcW w:w="4067" w:type="dxa"/>
            <w:gridSpan w:val="3"/>
            <w:tcBorders>
              <w:top w:val="single" w:color="auto" w:sz="4" w:space="0"/>
              <w:left w:val="nil"/>
              <w:bottom w:val="single" w:color="auto" w:sz="4" w:space="0"/>
              <w:right w:val="single" w:color="000000" w:sz="4" w:space="0"/>
            </w:tcBorders>
            <w:shd w:val="clear" w:color="000000" w:fill="B4C6E7"/>
            <w:vAlign w:val="center"/>
            <w:hideMark/>
          </w:tcPr>
          <w:p w:rsidRPr="00AE1B2B" w:rsidR="009D3FB5" w:rsidP="00163B94" w:rsidRDefault="009D3FB5" w14:paraId="7BA06C3E"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SISTEMA SIGA</w:t>
            </w:r>
          </w:p>
        </w:tc>
        <w:tc>
          <w:tcPr>
            <w:tcW w:w="3072" w:type="dxa"/>
            <w:vMerge w:val="restart"/>
            <w:tcBorders>
              <w:top w:val="single" w:color="auto" w:sz="4" w:space="0"/>
              <w:left w:val="single" w:color="auto" w:sz="4" w:space="0"/>
              <w:bottom w:val="single" w:color="000000" w:sz="4" w:space="0"/>
              <w:right w:val="single" w:color="auto" w:sz="4" w:space="0"/>
            </w:tcBorders>
            <w:shd w:val="clear" w:color="000000" w:fill="B4C6E7"/>
            <w:vAlign w:val="center"/>
            <w:hideMark/>
          </w:tcPr>
          <w:p w:rsidRPr="00AE1B2B" w:rsidR="009D3FB5" w:rsidP="00163B94" w:rsidRDefault="009D3FB5" w14:paraId="54657B7C"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Justificación del requerimiento</w:t>
            </w:r>
          </w:p>
        </w:tc>
      </w:tr>
      <w:tr w:rsidRPr="00AE1B2B" w:rsidR="00AE1B2B" w:rsidTr="009D3FB5" w14:paraId="00C0A3FD" w14:textId="77777777">
        <w:trPr>
          <w:trHeight w:val="450"/>
          <w:jc w:val="center"/>
        </w:trPr>
        <w:tc>
          <w:tcPr>
            <w:tcW w:w="802" w:type="dxa"/>
            <w:vMerge/>
            <w:tcBorders>
              <w:top w:val="single" w:color="auto" w:sz="4" w:space="0"/>
              <w:left w:val="single" w:color="auto" w:sz="4" w:space="0"/>
              <w:bottom w:val="single" w:color="000000" w:sz="4" w:space="0"/>
              <w:right w:val="single" w:color="auto" w:sz="4" w:space="0"/>
            </w:tcBorders>
            <w:vAlign w:val="center"/>
            <w:hideMark/>
          </w:tcPr>
          <w:p w:rsidRPr="00AE1B2B" w:rsidR="009D3FB5" w:rsidP="00163B94" w:rsidRDefault="009D3FB5" w14:paraId="17897B30" w14:textId="77777777">
            <w:pPr>
              <w:spacing w:before="120" w:after="120"/>
              <w:rPr>
                <w:rFonts w:ascii="Times New Roman" w:hAnsi="Times New Roman" w:eastAsia="Times New Roman" w:cs="Times New Roman"/>
                <w:b/>
                <w:bCs/>
                <w:sz w:val="18"/>
                <w:szCs w:val="18"/>
                <w:lang w:eastAsia="es-CR"/>
              </w:rPr>
            </w:pPr>
          </w:p>
        </w:tc>
        <w:tc>
          <w:tcPr>
            <w:tcW w:w="1277" w:type="dxa"/>
            <w:vMerge/>
            <w:tcBorders>
              <w:top w:val="single" w:color="auto" w:sz="4" w:space="0"/>
              <w:left w:val="single" w:color="auto" w:sz="4" w:space="0"/>
              <w:bottom w:val="single" w:color="000000" w:sz="4" w:space="0"/>
              <w:right w:val="single" w:color="auto" w:sz="4" w:space="0"/>
            </w:tcBorders>
            <w:vAlign w:val="center"/>
            <w:hideMark/>
          </w:tcPr>
          <w:p w:rsidRPr="00AE1B2B" w:rsidR="009D3FB5" w:rsidP="00163B94" w:rsidRDefault="009D3FB5" w14:paraId="104798B6" w14:textId="77777777">
            <w:pPr>
              <w:spacing w:before="120" w:after="120"/>
              <w:rPr>
                <w:rFonts w:ascii="Times New Roman" w:hAnsi="Times New Roman" w:eastAsia="Times New Roman" w:cs="Times New Roman"/>
                <w:b/>
                <w:bCs/>
                <w:sz w:val="18"/>
                <w:szCs w:val="18"/>
                <w:lang w:eastAsia="es-CR"/>
              </w:rPr>
            </w:pPr>
          </w:p>
        </w:tc>
        <w:tc>
          <w:tcPr>
            <w:tcW w:w="1413" w:type="dxa"/>
            <w:vMerge/>
            <w:tcBorders>
              <w:top w:val="single" w:color="auto" w:sz="4" w:space="0"/>
              <w:left w:val="single" w:color="auto" w:sz="4" w:space="0"/>
              <w:bottom w:val="single" w:color="000000" w:sz="4" w:space="0"/>
              <w:right w:val="single" w:color="auto" w:sz="4" w:space="0"/>
            </w:tcBorders>
            <w:vAlign w:val="center"/>
            <w:hideMark/>
          </w:tcPr>
          <w:p w:rsidRPr="00AE1B2B" w:rsidR="009D3FB5" w:rsidP="00163B94" w:rsidRDefault="009D3FB5" w14:paraId="25BA4168" w14:textId="77777777">
            <w:pPr>
              <w:spacing w:before="120" w:after="120"/>
              <w:rPr>
                <w:rFonts w:ascii="Times New Roman" w:hAnsi="Times New Roman" w:eastAsia="Times New Roman" w:cs="Times New Roman"/>
                <w:b/>
                <w:bCs/>
                <w:sz w:val="18"/>
                <w:szCs w:val="18"/>
                <w:lang w:eastAsia="es-CR"/>
              </w:rPr>
            </w:pPr>
          </w:p>
        </w:tc>
        <w:tc>
          <w:tcPr>
            <w:tcW w:w="848" w:type="dxa"/>
            <w:tcBorders>
              <w:top w:val="nil"/>
              <w:left w:val="nil"/>
              <w:bottom w:val="single" w:color="auto" w:sz="4" w:space="0"/>
              <w:right w:val="single" w:color="auto" w:sz="4" w:space="0"/>
            </w:tcBorders>
            <w:shd w:val="clear" w:color="000000" w:fill="B4C6E7"/>
            <w:vAlign w:val="center"/>
            <w:hideMark/>
          </w:tcPr>
          <w:p w:rsidRPr="00AE1B2B" w:rsidR="009D3FB5" w:rsidP="00163B94" w:rsidRDefault="009D3FB5" w14:paraId="756BEA9A"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CODIGO</w:t>
            </w:r>
          </w:p>
        </w:tc>
        <w:tc>
          <w:tcPr>
            <w:tcW w:w="1961" w:type="dxa"/>
            <w:tcBorders>
              <w:top w:val="nil"/>
              <w:left w:val="nil"/>
              <w:bottom w:val="single" w:color="auto" w:sz="4" w:space="0"/>
              <w:right w:val="single" w:color="auto" w:sz="4" w:space="0"/>
            </w:tcBorders>
            <w:shd w:val="clear" w:color="000000" w:fill="B4C6E7"/>
            <w:vAlign w:val="center"/>
            <w:hideMark/>
          </w:tcPr>
          <w:p w:rsidRPr="00AE1B2B" w:rsidR="009D3FB5" w:rsidP="00163B94" w:rsidRDefault="009D3FB5" w14:paraId="4813FC26"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DESCRIPCION</w:t>
            </w:r>
          </w:p>
        </w:tc>
        <w:tc>
          <w:tcPr>
            <w:tcW w:w="1258" w:type="dxa"/>
            <w:tcBorders>
              <w:top w:val="nil"/>
              <w:left w:val="nil"/>
              <w:bottom w:val="single" w:color="auto" w:sz="4" w:space="0"/>
              <w:right w:val="single" w:color="auto" w:sz="4" w:space="0"/>
            </w:tcBorders>
            <w:shd w:val="clear" w:color="000000" w:fill="B4C6E7"/>
            <w:vAlign w:val="center"/>
            <w:hideMark/>
          </w:tcPr>
          <w:p w:rsidRPr="00AE1B2B" w:rsidR="009D3FB5" w:rsidP="00163B94" w:rsidRDefault="009D3FB5" w14:paraId="41BD0E5A"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COSTO</w:t>
            </w:r>
          </w:p>
        </w:tc>
        <w:tc>
          <w:tcPr>
            <w:tcW w:w="3072" w:type="dxa"/>
            <w:vMerge/>
            <w:tcBorders>
              <w:top w:val="single" w:color="auto" w:sz="4" w:space="0"/>
              <w:left w:val="single" w:color="auto" w:sz="4" w:space="0"/>
              <w:bottom w:val="single" w:color="000000" w:sz="4" w:space="0"/>
              <w:right w:val="single" w:color="auto" w:sz="4" w:space="0"/>
            </w:tcBorders>
            <w:vAlign w:val="center"/>
            <w:hideMark/>
          </w:tcPr>
          <w:p w:rsidRPr="00AE1B2B" w:rsidR="009D3FB5" w:rsidP="00163B94" w:rsidRDefault="009D3FB5" w14:paraId="0CDC76A7" w14:textId="77777777">
            <w:pPr>
              <w:spacing w:before="120" w:after="120"/>
              <w:rPr>
                <w:rFonts w:ascii="Times New Roman" w:hAnsi="Times New Roman" w:eastAsia="Times New Roman" w:cs="Times New Roman"/>
                <w:b/>
                <w:bCs/>
                <w:sz w:val="18"/>
                <w:szCs w:val="18"/>
                <w:lang w:eastAsia="es-CR"/>
              </w:rPr>
            </w:pPr>
          </w:p>
        </w:tc>
      </w:tr>
      <w:tr w:rsidRPr="00AE1B2B" w:rsidR="00AE1B2B" w:rsidTr="009D3FB5" w14:paraId="26A70240" w14:textId="77777777">
        <w:trPr>
          <w:trHeight w:val="1480"/>
          <w:jc w:val="center"/>
        </w:trPr>
        <w:tc>
          <w:tcPr>
            <w:tcW w:w="802"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795FC0AD"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1</w:t>
            </w:r>
          </w:p>
        </w:tc>
        <w:tc>
          <w:tcPr>
            <w:tcW w:w="12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96FADA6"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Equipo psicosocial de JPR y JJR de Cartago</w:t>
            </w:r>
          </w:p>
        </w:tc>
        <w:tc>
          <w:tcPr>
            <w:tcW w:w="141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C65A7F8"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Un escáner</w:t>
            </w: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62E9E029"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21348</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41496387"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Escáner de mediana capacidad, Subpartida 50105</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377C1BB1"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₡395 500.00</w:t>
            </w:r>
          </w:p>
        </w:tc>
        <w:tc>
          <w:tcPr>
            <w:tcW w:w="307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F3F337D"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xml:space="preserve">Se ve la necesidad de contar con uno debido a las distancias entre la oficina donde se encuentra la persona técnica del MP y la de la Licda. Gabriela Quirós, Trabajadora Social (en diferentes edificios) quien debe respaldar y subir al EV los documentos </w:t>
            </w:r>
            <w:r w:rsidRPr="00AE1B2B">
              <w:rPr>
                <w:rFonts w:ascii="Times New Roman" w:hAnsi="Times New Roman" w:eastAsia="Times New Roman" w:cs="Times New Roman"/>
                <w:sz w:val="18"/>
                <w:szCs w:val="18"/>
                <w:lang w:eastAsia="es-CR"/>
              </w:rPr>
              <w:lastRenderedPageBreak/>
              <w:t>que le entregan las personas usuarias en seguimiento.</w:t>
            </w:r>
          </w:p>
        </w:tc>
      </w:tr>
      <w:tr w:rsidRPr="00AE1B2B" w:rsidR="00AE1B2B" w:rsidTr="009D3FB5" w14:paraId="60B3330B" w14:textId="77777777">
        <w:trPr>
          <w:trHeight w:val="1530"/>
          <w:jc w:val="center"/>
        </w:trPr>
        <w:tc>
          <w:tcPr>
            <w:tcW w:w="802"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700E21CC"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lastRenderedPageBreak/>
              <w:t>2</w:t>
            </w:r>
          </w:p>
        </w:tc>
        <w:tc>
          <w:tcPr>
            <w:tcW w:w="12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9337310"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Solicitud general para los equipos de JR</w:t>
            </w:r>
          </w:p>
        </w:tc>
        <w:tc>
          <w:tcPr>
            <w:tcW w:w="141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5D212A3"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Una tablet</w:t>
            </w: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1721F1A7"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22619</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0C403FA8"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Computador tipo tableta, Subpartida 50105</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17D6B50C"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₡666 700.00</w:t>
            </w:r>
          </w:p>
        </w:tc>
        <w:tc>
          <w:tcPr>
            <w:tcW w:w="307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2EC5CDC"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xml:space="preserve">Una tablet moderna y con los recursos necesarios para su conectividad a internet: Esta podría utilizarse para realizar las encuestas de manera digital a las personas cuando finaliza la RR. También podría utilizarse para mostrar videos explicativos de JR a quienes atendemos en valoración inicial. </w:t>
            </w:r>
          </w:p>
        </w:tc>
      </w:tr>
      <w:tr w:rsidRPr="00AE1B2B" w:rsidR="00AE1B2B" w:rsidTr="009D3FB5" w14:paraId="74C7C70B" w14:textId="77777777">
        <w:trPr>
          <w:trHeight w:val="668"/>
          <w:jc w:val="center"/>
        </w:trPr>
        <w:tc>
          <w:tcPr>
            <w:tcW w:w="802"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55BA2601"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3</w:t>
            </w:r>
          </w:p>
        </w:tc>
        <w:tc>
          <w:tcPr>
            <w:tcW w:w="1277"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6150DB9D"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Solicitud general para los equipos de JR</w:t>
            </w:r>
          </w:p>
        </w:tc>
        <w:tc>
          <w:tcPr>
            <w:tcW w:w="1413"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7605FB69"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Parlantes y cámaras compatibles con el equipo de cómputo</w:t>
            </w: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5E8AE221"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23794</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1111F6EA"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Parlantes para computadora, Subpartida 20304</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793A2A33"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₡24 860.00</w:t>
            </w:r>
          </w:p>
        </w:tc>
        <w:tc>
          <w:tcPr>
            <w:tcW w:w="3072"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4771D366"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Para cuando se utiliza equipo de escritorio o portátil en reuniones restaurativas, para que el audio sea accesible para todas las personas participantes y cuando los equipos se trasladan a atender a otras jurisdicciones.</w:t>
            </w:r>
          </w:p>
        </w:tc>
      </w:tr>
      <w:tr w:rsidRPr="00AE1B2B" w:rsidR="00AE1B2B" w:rsidTr="009D3FB5" w14:paraId="3FDCD921" w14:textId="77777777">
        <w:trPr>
          <w:trHeight w:val="1544"/>
          <w:jc w:val="center"/>
        </w:trPr>
        <w:tc>
          <w:tcPr>
            <w:tcW w:w="802"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2F2BECC7" w14:textId="77777777">
            <w:pPr>
              <w:spacing w:before="120" w:after="120"/>
              <w:rPr>
                <w:rFonts w:ascii="Times New Roman" w:hAnsi="Times New Roman" w:eastAsia="Times New Roman" w:cs="Times New Roman"/>
                <w:b/>
                <w:bCs/>
                <w:sz w:val="18"/>
                <w:szCs w:val="18"/>
                <w:lang w:eastAsia="es-CR"/>
              </w:rPr>
            </w:pPr>
          </w:p>
        </w:tc>
        <w:tc>
          <w:tcPr>
            <w:tcW w:w="127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43276AD4" w14:textId="77777777">
            <w:pPr>
              <w:spacing w:before="120" w:after="120"/>
              <w:rPr>
                <w:rFonts w:ascii="Times New Roman" w:hAnsi="Times New Roman" w:eastAsia="Times New Roman" w:cs="Times New Roman"/>
                <w:sz w:val="18"/>
                <w:szCs w:val="18"/>
                <w:lang w:eastAsia="es-CR"/>
              </w:rPr>
            </w:pPr>
          </w:p>
        </w:tc>
        <w:tc>
          <w:tcPr>
            <w:tcW w:w="1413"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5A3A2D5E" w14:textId="77777777">
            <w:pPr>
              <w:spacing w:before="120" w:after="120"/>
              <w:rPr>
                <w:rFonts w:ascii="Times New Roman" w:hAnsi="Times New Roman" w:eastAsia="Times New Roman" w:cs="Times New Roman"/>
                <w:sz w:val="18"/>
                <w:szCs w:val="18"/>
                <w:lang w:eastAsia="es-CR"/>
              </w:rPr>
            </w:pP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04EB4DA3"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520E1B90"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Cámara para computadora (no se encuentra en el catálogo), por lo que se brinda un costo aproximado, tomado de consulta telefónica</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024449BE"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₡35 000.00</w:t>
            </w:r>
          </w:p>
        </w:tc>
        <w:tc>
          <w:tcPr>
            <w:tcW w:w="3072"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10CDBD1E" w14:textId="77777777">
            <w:pPr>
              <w:spacing w:before="120" w:after="120"/>
              <w:rPr>
                <w:rFonts w:ascii="Times New Roman" w:hAnsi="Times New Roman" w:eastAsia="Times New Roman" w:cs="Times New Roman"/>
                <w:sz w:val="18"/>
                <w:szCs w:val="18"/>
                <w:lang w:eastAsia="es-CR"/>
              </w:rPr>
            </w:pPr>
          </w:p>
        </w:tc>
      </w:tr>
      <w:tr w:rsidRPr="00AE1B2B" w:rsidR="00AE1B2B" w:rsidTr="009D3FB5" w14:paraId="7E532D41" w14:textId="77777777">
        <w:trPr>
          <w:trHeight w:val="1120"/>
          <w:jc w:val="center"/>
        </w:trPr>
        <w:tc>
          <w:tcPr>
            <w:tcW w:w="802"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6829E6F"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4</w:t>
            </w:r>
          </w:p>
        </w:tc>
        <w:tc>
          <w:tcPr>
            <w:tcW w:w="12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C04BAD4"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Solicitud general para los equipos de JR</w:t>
            </w:r>
          </w:p>
        </w:tc>
        <w:tc>
          <w:tcPr>
            <w:tcW w:w="141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C801AD3"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Contenido presupuestario para reuniones anuales presenciales</w:t>
            </w: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6991F940"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19560</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2013FBF8"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Otros, Alimentos y bebidas, Subpartida 20203</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39B62C44"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₡200 000.00</w:t>
            </w:r>
          </w:p>
        </w:tc>
        <w:tc>
          <w:tcPr>
            <w:tcW w:w="307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1CCCF802"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En las reuniones anuales de la Red se incurre en gastos que son asumidos por todo el equipo, por ejemplo, el refrigerio, materiales o cuando se les brinda algún tipo de reconocimiento.</w:t>
            </w:r>
          </w:p>
        </w:tc>
      </w:tr>
      <w:tr w:rsidRPr="00AE1B2B" w:rsidR="00AE1B2B" w:rsidTr="009D3FB5" w14:paraId="791E6914" w14:textId="77777777">
        <w:trPr>
          <w:trHeight w:val="1740"/>
          <w:jc w:val="center"/>
        </w:trPr>
        <w:tc>
          <w:tcPr>
            <w:tcW w:w="802"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57FC1039"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5</w:t>
            </w:r>
          </w:p>
        </w:tc>
        <w:tc>
          <w:tcPr>
            <w:tcW w:w="1277"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7C072D0D"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Solicitud general para los equipos de JR</w:t>
            </w:r>
          </w:p>
        </w:tc>
        <w:tc>
          <w:tcPr>
            <w:tcW w:w="141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A583D77"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xml:space="preserve">Una partida presupuestaria para brindar agua embotellada, pañuelos desechables y refrigerio en las Reuniones Restaurativas. </w:t>
            </w: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663ACDE1"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19560</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78F90DCC"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Otros, Alimentos y bebidas, Subpartida 20203</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05933BE1"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₡200 000.00</w:t>
            </w:r>
          </w:p>
        </w:tc>
        <w:tc>
          <w:tcPr>
            <w:tcW w:w="307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C6CE872" w14:textId="25311BD6">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En capacitaciones nos han indicado de la importancia de este espacio, que creo que con el pasar del tiempo se ha ido perdiendo, más cuando las personas lo que deben hacer al final la RR es la encuesta, por lo que sería beneficioso rescatar este espacio de compartir con un refrigerio u algo similar que pueda aportar la institución para las personas usuarias.</w:t>
            </w:r>
            <w:r w:rsidRPr="00AE1B2B" w:rsidR="00BB7720">
              <w:rPr>
                <w:rFonts w:ascii="Times New Roman" w:hAnsi="Times New Roman" w:eastAsia="Times New Roman" w:cs="Times New Roman"/>
                <w:sz w:val="18"/>
                <w:szCs w:val="18"/>
                <w:lang w:eastAsia="es-CR"/>
              </w:rPr>
              <w:t xml:space="preserve"> </w:t>
            </w:r>
          </w:p>
        </w:tc>
      </w:tr>
      <w:tr w:rsidRPr="00AE1B2B" w:rsidR="00AE1B2B" w:rsidTr="009D3FB5" w14:paraId="633BC61B" w14:textId="77777777">
        <w:trPr>
          <w:trHeight w:val="950"/>
          <w:jc w:val="center"/>
        </w:trPr>
        <w:tc>
          <w:tcPr>
            <w:tcW w:w="802"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1EB21449" w14:textId="77777777">
            <w:pPr>
              <w:spacing w:before="120" w:after="120"/>
              <w:rPr>
                <w:rFonts w:ascii="Times New Roman" w:hAnsi="Times New Roman" w:eastAsia="Times New Roman" w:cs="Times New Roman"/>
                <w:b/>
                <w:bCs/>
                <w:sz w:val="18"/>
                <w:szCs w:val="18"/>
                <w:lang w:eastAsia="es-CR"/>
              </w:rPr>
            </w:pPr>
          </w:p>
        </w:tc>
        <w:tc>
          <w:tcPr>
            <w:tcW w:w="127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30C0FD47" w14:textId="77777777">
            <w:pPr>
              <w:spacing w:before="120" w:after="120"/>
              <w:rPr>
                <w:rFonts w:ascii="Times New Roman" w:hAnsi="Times New Roman" w:eastAsia="Times New Roman" w:cs="Times New Roman"/>
                <w:sz w:val="18"/>
                <w:szCs w:val="18"/>
                <w:lang w:eastAsia="es-CR"/>
              </w:rPr>
            </w:pPr>
          </w:p>
        </w:tc>
        <w:tc>
          <w:tcPr>
            <w:tcW w:w="1413"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76C14E94"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Así como también para adquirir insumos para confeccionar gafetes, marcadores, alcohol, desinfectante, entre otros.</w:t>
            </w: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70F07009"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19572</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5306F53E"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Gafetes (Otros productos de papel, cartón e impresos, Subpartida 29903)</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4CFB1B9F"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₡150 000.00</w:t>
            </w:r>
          </w:p>
        </w:tc>
        <w:tc>
          <w:tcPr>
            <w:tcW w:w="3072"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585F8345"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Estos insumos salen del bolsillo de los equipos interdisciplinarios.</w:t>
            </w:r>
          </w:p>
        </w:tc>
      </w:tr>
      <w:tr w:rsidRPr="00AE1B2B" w:rsidR="00AE1B2B" w:rsidTr="009D3FB5" w14:paraId="1641B22F" w14:textId="77777777">
        <w:trPr>
          <w:trHeight w:val="773"/>
          <w:jc w:val="center"/>
        </w:trPr>
        <w:tc>
          <w:tcPr>
            <w:tcW w:w="802"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072BE410" w14:textId="77777777">
            <w:pPr>
              <w:spacing w:before="120" w:after="120"/>
              <w:rPr>
                <w:rFonts w:ascii="Times New Roman" w:hAnsi="Times New Roman" w:eastAsia="Times New Roman" w:cs="Times New Roman"/>
                <w:b/>
                <w:bCs/>
                <w:sz w:val="18"/>
                <w:szCs w:val="18"/>
                <w:lang w:eastAsia="es-CR"/>
              </w:rPr>
            </w:pPr>
          </w:p>
        </w:tc>
        <w:tc>
          <w:tcPr>
            <w:tcW w:w="127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39D8DCA8" w14:textId="77777777">
            <w:pPr>
              <w:spacing w:before="120" w:after="120"/>
              <w:rPr>
                <w:rFonts w:ascii="Times New Roman" w:hAnsi="Times New Roman" w:eastAsia="Times New Roman" w:cs="Times New Roman"/>
                <w:sz w:val="18"/>
                <w:szCs w:val="18"/>
                <w:lang w:eastAsia="es-CR"/>
              </w:rPr>
            </w:pPr>
          </w:p>
        </w:tc>
        <w:tc>
          <w:tcPr>
            <w:tcW w:w="1413"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4F95DE44" w14:textId="77777777">
            <w:pPr>
              <w:spacing w:before="120" w:after="120"/>
              <w:rPr>
                <w:rFonts w:ascii="Times New Roman" w:hAnsi="Times New Roman" w:eastAsia="Times New Roman" w:cs="Times New Roman"/>
                <w:sz w:val="18"/>
                <w:szCs w:val="18"/>
                <w:lang w:eastAsia="es-CR"/>
              </w:rPr>
            </w:pP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437CAA40"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14363</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209C2109"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Marcador Punta fina color negro, Subpartida 29901</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20AC0A32"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₡10 803.00</w:t>
            </w:r>
          </w:p>
        </w:tc>
        <w:tc>
          <w:tcPr>
            <w:tcW w:w="3072"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030FF549" w14:textId="77777777">
            <w:pPr>
              <w:spacing w:before="120" w:after="120"/>
              <w:rPr>
                <w:rFonts w:ascii="Times New Roman" w:hAnsi="Times New Roman" w:eastAsia="Times New Roman" w:cs="Times New Roman"/>
                <w:sz w:val="18"/>
                <w:szCs w:val="18"/>
                <w:lang w:eastAsia="es-CR"/>
              </w:rPr>
            </w:pPr>
          </w:p>
        </w:tc>
      </w:tr>
      <w:tr w:rsidRPr="00AE1B2B" w:rsidR="00AE1B2B" w:rsidTr="009D3FB5" w14:paraId="67F21CA1" w14:textId="77777777">
        <w:trPr>
          <w:trHeight w:val="557"/>
          <w:jc w:val="center"/>
        </w:trPr>
        <w:tc>
          <w:tcPr>
            <w:tcW w:w="802"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715D858C" w14:textId="77777777">
            <w:pPr>
              <w:spacing w:before="120" w:after="120"/>
              <w:rPr>
                <w:rFonts w:ascii="Times New Roman" w:hAnsi="Times New Roman" w:eastAsia="Times New Roman" w:cs="Times New Roman"/>
                <w:b/>
                <w:bCs/>
                <w:sz w:val="18"/>
                <w:szCs w:val="18"/>
                <w:lang w:eastAsia="es-CR"/>
              </w:rPr>
            </w:pPr>
          </w:p>
        </w:tc>
        <w:tc>
          <w:tcPr>
            <w:tcW w:w="127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2BD93FDA" w14:textId="77777777">
            <w:pPr>
              <w:spacing w:before="120" w:after="120"/>
              <w:rPr>
                <w:rFonts w:ascii="Times New Roman" w:hAnsi="Times New Roman" w:eastAsia="Times New Roman" w:cs="Times New Roman"/>
                <w:sz w:val="18"/>
                <w:szCs w:val="18"/>
                <w:lang w:eastAsia="es-CR"/>
              </w:rPr>
            </w:pPr>
          </w:p>
        </w:tc>
        <w:tc>
          <w:tcPr>
            <w:tcW w:w="1413"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48734890" w14:textId="77777777">
            <w:pPr>
              <w:spacing w:before="120" w:after="120"/>
              <w:rPr>
                <w:rFonts w:ascii="Times New Roman" w:hAnsi="Times New Roman" w:eastAsia="Times New Roman" w:cs="Times New Roman"/>
                <w:sz w:val="18"/>
                <w:szCs w:val="18"/>
                <w:lang w:eastAsia="es-CR"/>
              </w:rPr>
            </w:pP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09B3A943"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25219</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4C7126DC"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Solución Alcohólica 1000ml (3 litro), subpartida 20102</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2BECB69E"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₡15 000.00</w:t>
            </w:r>
          </w:p>
        </w:tc>
        <w:tc>
          <w:tcPr>
            <w:tcW w:w="3072"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33268612" w14:textId="77777777">
            <w:pPr>
              <w:spacing w:before="120" w:after="120"/>
              <w:rPr>
                <w:rFonts w:ascii="Times New Roman" w:hAnsi="Times New Roman" w:eastAsia="Times New Roman" w:cs="Times New Roman"/>
                <w:sz w:val="18"/>
                <w:szCs w:val="18"/>
                <w:lang w:eastAsia="es-CR"/>
              </w:rPr>
            </w:pPr>
          </w:p>
        </w:tc>
      </w:tr>
      <w:tr w:rsidRPr="00AE1B2B" w:rsidR="00AE1B2B" w:rsidTr="009D3FB5" w14:paraId="714BF5B0" w14:textId="77777777">
        <w:trPr>
          <w:trHeight w:val="1290"/>
          <w:jc w:val="center"/>
        </w:trPr>
        <w:tc>
          <w:tcPr>
            <w:tcW w:w="802"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4E414040"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lastRenderedPageBreak/>
              <w:t>6</w:t>
            </w:r>
          </w:p>
        </w:tc>
        <w:tc>
          <w:tcPr>
            <w:tcW w:w="12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84AC971"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Equipo psicosocial de JPR y JJR Heredia</w:t>
            </w:r>
          </w:p>
        </w:tc>
        <w:tc>
          <w:tcPr>
            <w:tcW w:w="141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81EC700"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Impresora</w:t>
            </w: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3FC50166"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19618</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03D37AF4"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Impresora lpaser de baja capacidad, Subpartida 50105</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63208E66"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₡733 370.00</w:t>
            </w:r>
          </w:p>
        </w:tc>
        <w:tc>
          <w:tcPr>
            <w:tcW w:w="307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303BBE3"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El equipo cuenta con una impresora que es préstamo del MP y no se tiene certeza por cuánto tiempo podrán contar con ella. Es un recurso necesario para brindarle a la persona usuaria todos los documentos necesarios para el inicio del plan reparador.</w:t>
            </w:r>
          </w:p>
        </w:tc>
      </w:tr>
      <w:tr w:rsidRPr="00AE1B2B" w:rsidR="00AE1B2B" w:rsidTr="009D3FB5" w14:paraId="5626F1B6" w14:textId="77777777">
        <w:trPr>
          <w:trHeight w:val="2240"/>
          <w:jc w:val="center"/>
        </w:trPr>
        <w:tc>
          <w:tcPr>
            <w:tcW w:w="802"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0A1D5574"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7</w:t>
            </w:r>
          </w:p>
        </w:tc>
        <w:tc>
          <w:tcPr>
            <w:tcW w:w="12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2640800"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Solicitud general para los equipos de JR</w:t>
            </w:r>
          </w:p>
        </w:tc>
        <w:tc>
          <w:tcPr>
            <w:tcW w:w="141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293BF10"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Viáticos que puedan costear transporte y alimentación de personas usuarias</w:t>
            </w: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2915CB90"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19622</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442F2BCE"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Viáticos para empleados, Subpartida 10502</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60B0452A"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₡1 000 000.00</w:t>
            </w:r>
          </w:p>
        </w:tc>
        <w:tc>
          <w:tcPr>
            <w:tcW w:w="307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55A5976" w14:textId="3B13A2FF">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Se debe contemplar especialmente para personas usuarias de zonas alejadas o de recursos económicos limitados, incluyendo cuando asisten a citas de seguimiento o tratamientos como parte del plan reparador.</w:t>
            </w:r>
            <w:r w:rsidRPr="00AE1B2B" w:rsidR="00BB7720">
              <w:rPr>
                <w:rFonts w:ascii="Times New Roman" w:hAnsi="Times New Roman" w:eastAsia="Times New Roman" w:cs="Times New Roman"/>
                <w:sz w:val="18"/>
                <w:szCs w:val="18"/>
                <w:lang w:eastAsia="es-CR"/>
              </w:rPr>
              <w:t xml:space="preserve"> </w:t>
            </w:r>
            <w:r w:rsidRPr="00AE1B2B">
              <w:rPr>
                <w:rFonts w:ascii="Times New Roman" w:hAnsi="Times New Roman" w:eastAsia="Times New Roman" w:cs="Times New Roman"/>
                <w:sz w:val="18"/>
                <w:szCs w:val="18"/>
                <w:lang w:eastAsia="es-CR"/>
              </w:rPr>
              <w:t>Actualmente se supone que las administraciones valoran los casos cuando se dan a conocer, pero en la práctica no es para nada diligente, puesto que las atenciones en la oficina son mucho más rápidas que el análisis administrativo (muchas veces sin respuesta o con la indicación de que no existen fondos para este fin) y las personas usuarias deben retirarse.</w:t>
            </w:r>
          </w:p>
        </w:tc>
      </w:tr>
      <w:tr w:rsidRPr="00AE1B2B" w:rsidR="00AE1B2B" w:rsidTr="009D3FB5" w14:paraId="4F5D975A" w14:textId="77777777">
        <w:trPr>
          <w:trHeight w:val="565"/>
          <w:jc w:val="center"/>
        </w:trPr>
        <w:tc>
          <w:tcPr>
            <w:tcW w:w="802"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2F13B7E6"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8</w:t>
            </w:r>
          </w:p>
        </w:tc>
        <w:tc>
          <w:tcPr>
            <w:tcW w:w="1277"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2282B1CC"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Solicitud general para los equipos de JR</w:t>
            </w:r>
          </w:p>
        </w:tc>
        <w:tc>
          <w:tcPr>
            <w:tcW w:w="1413"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0AEB9E47"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Un teléfono celular con su propia línea</w:t>
            </w: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0C23C1FE"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16558</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52D5E997"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Teléfono celular, Subpartida 50103</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736F2829"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₡714 725.00</w:t>
            </w:r>
          </w:p>
        </w:tc>
        <w:tc>
          <w:tcPr>
            <w:tcW w:w="3072"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0A6492BA"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Siendo otorgado por el Poder Judicial y al ser un bien institucional, podría pensarse en utilizar aplicaciones como WhatsApp para la comunicación con las personas usuarias durante todo el proceso.</w:t>
            </w:r>
          </w:p>
        </w:tc>
      </w:tr>
      <w:tr w:rsidRPr="00AE1B2B" w:rsidR="00AE1B2B" w:rsidTr="009D3FB5" w14:paraId="26047057" w14:textId="77777777">
        <w:trPr>
          <w:trHeight w:val="547"/>
          <w:jc w:val="center"/>
        </w:trPr>
        <w:tc>
          <w:tcPr>
            <w:tcW w:w="802"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548430DC" w14:textId="77777777">
            <w:pPr>
              <w:spacing w:before="120" w:after="120"/>
              <w:rPr>
                <w:rFonts w:ascii="Times New Roman" w:hAnsi="Times New Roman" w:eastAsia="Times New Roman" w:cs="Times New Roman"/>
                <w:b/>
                <w:bCs/>
                <w:sz w:val="18"/>
                <w:szCs w:val="18"/>
                <w:lang w:eastAsia="es-CR"/>
              </w:rPr>
            </w:pPr>
          </w:p>
        </w:tc>
        <w:tc>
          <w:tcPr>
            <w:tcW w:w="127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6E53479A" w14:textId="77777777">
            <w:pPr>
              <w:spacing w:before="120" w:after="120"/>
              <w:rPr>
                <w:rFonts w:ascii="Times New Roman" w:hAnsi="Times New Roman" w:eastAsia="Times New Roman" w:cs="Times New Roman"/>
                <w:sz w:val="18"/>
                <w:szCs w:val="18"/>
                <w:lang w:eastAsia="es-CR"/>
              </w:rPr>
            </w:pPr>
          </w:p>
        </w:tc>
        <w:tc>
          <w:tcPr>
            <w:tcW w:w="1413"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0BEEDD6E" w14:textId="77777777">
            <w:pPr>
              <w:spacing w:before="120" w:after="120"/>
              <w:rPr>
                <w:rFonts w:ascii="Times New Roman" w:hAnsi="Times New Roman" w:eastAsia="Times New Roman" w:cs="Times New Roman"/>
                <w:sz w:val="18"/>
                <w:szCs w:val="18"/>
                <w:lang w:eastAsia="es-CR"/>
              </w:rPr>
            </w:pP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65B16973"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19617</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62274C39"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Línea celular (mensualidad)</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18A412AE"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₡35 000.00</w:t>
            </w:r>
          </w:p>
        </w:tc>
        <w:tc>
          <w:tcPr>
            <w:tcW w:w="3072"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696D6D3B" w14:textId="77777777">
            <w:pPr>
              <w:spacing w:before="120" w:after="120"/>
              <w:rPr>
                <w:rFonts w:ascii="Times New Roman" w:hAnsi="Times New Roman" w:eastAsia="Times New Roman" w:cs="Times New Roman"/>
                <w:sz w:val="18"/>
                <w:szCs w:val="18"/>
                <w:lang w:eastAsia="es-CR"/>
              </w:rPr>
            </w:pPr>
          </w:p>
        </w:tc>
      </w:tr>
      <w:tr w:rsidRPr="00AE1B2B" w:rsidR="00AE1B2B" w:rsidTr="009D3FB5" w14:paraId="1D62DC06" w14:textId="77777777">
        <w:trPr>
          <w:trHeight w:val="1230"/>
          <w:jc w:val="center"/>
        </w:trPr>
        <w:tc>
          <w:tcPr>
            <w:tcW w:w="802"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13566F68"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9</w:t>
            </w:r>
          </w:p>
        </w:tc>
        <w:tc>
          <w:tcPr>
            <w:tcW w:w="12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5FCAC4A"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Equipo psicosocial de JPR y JJR San Ramón</w:t>
            </w:r>
          </w:p>
        </w:tc>
        <w:tc>
          <w:tcPr>
            <w:tcW w:w="141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96A85F8"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Un disco duro externo</w:t>
            </w: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06A27B4D"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20408</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2260E45C"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Disco Duro USB externo, Subpartida 20304</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7A25576A"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₡90 400.00</w:t>
            </w:r>
          </w:p>
        </w:tc>
        <w:tc>
          <w:tcPr>
            <w:tcW w:w="307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5976DFB"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Para respaldar la información de las personas usuarias cuando la profesional se traslada a Tribunales o al RAC, ya que, si bien se le facilita un equipo de cómputo, no siempre cuenta con punto de red.</w:t>
            </w:r>
          </w:p>
        </w:tc>
      </w:tr>
      <w:tr w:rsidRPr="00AE1B2B" w:rsidR="00AE1B2B" w:rsidTr="009D3FB5" w14:paraId="0782337D" w14:textId="77777777">
        <w:trPr>
          <w:trHeight w:val="657"/>
          <w:jc w:val="center"/>
        </w:trPr>
        <w:tc>
          <w:tcPr>
            <w:tcW w:w="802"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749FA19A"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10</w:t>
            </w:r>
          </w:p>
        </w:tc>
        <w:tc>
          <w:tcPr>
            <w:tcW w:w="12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2B077F77"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Equipo psicosocial de JPR y JJR Heredia</w:t>
            </w:r>
          </w:p>
        </w:tc>
        <w:tc>
          <w:tcPr>
            <w:tcW w:w="141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9B1CF12"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Auriculares</w:t>
            </w: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1561D363"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24617</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64F73B61"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Audífonos convencionales, Subpartida 29901</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7BADDDD6"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₡21 798.00</w:t>
            </w:r>
          </w:p>
        </w:tc>
        <w:tc>
          <w:tcPr>
            <w:tcW w:w="307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82466A2"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En Heredia no se cuenta con auriculares adecuados para conectarse de manera virtual.</w:t>
            </w:r>
          </w:p>
        </w:tc>
      </w:tr>
      <w:tr w:rsidRPr="00AE1B2B" w:rsidR="00AE1B2B" w:rsidTr="009D3FB5" w14:paraId="4011ECCD" w14:textId="77777777">
        <w:trPr>
          <w:trHeight w:val="620"/>
          <w:jc w:val="center"/>
        </w:trPr>
        <w:tc>
          <w:tcPr>
            <w:tcW w:w="802"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28FE05B3"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11</w:t>
            </w:r>
          </w:p>
        </w:tc>
        <w:tc>
          <w:tcPr>
            <w:tcW w:w="1277"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342D5BDA"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Equipo psicosocial de JPR y JJR Limón</w:t>
            </w:r>
          </w:p>
        </w:tc>
        <w:tc>
          <w:tcPr>
            <w:tcW w:w="1413"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4B297A09"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Paraguas, repelente, bloqueador</w:t>
            </w: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113B7BD2"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15437</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3209E4E2"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(4) Paraguas, Subpartida 29904</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409E716B"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₡39 052.00</w:t>
            </w:r>
          </w:p>
        </w:tc>
        <w:tc>
          <w:tcPr>
            <w:tcW w:w="3072"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1971DC02" w14:textId="77777777">
            <w:pPr>
              <w:spacing w:before="120" w:after="120"/>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Para las giras principalmente cuando se visitan poblaciones indígenas .</w:t>
            </w:r>
          </w:p>
        </w:tc>
      </w:tr>
      <w:tr w:rsidRPr="00AE1B2B" w:rsidR="00AE1B2B" w:rsidTr="009D3FB5" w14:paraId="05975F84" w14:textId="77777777">
        <w:trPr>
          <w:trHeight w:val="620"/>
          <w:jc w:val="center"/>
        </w:trPr>
        <w:tc>
          <w:tcPr>
            <w:tcW w:w="802"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0AB65788" w14:textId="77777777">
            <w:pPr>
              <w:spacing w:before="120" w:after="120"/>
              <w:rPr>
                <w:rFonts w:ascii="Times New Roman" w:hAnsi="Times New Roman" w:eastAsia="Times New Roman" w:cs="Times New Roman"/>
                <w:b/>
                <w:bCs/>
                <w:sz w:val="18"/>
                <w:szCs w:val="18"/>
                <w:lang w:eastAsia="es-CR"/>
              </w:rPr>
            </w:pPr>
          </w:p>
        </w:tc>
        <w:tc>
          <w:tcPr>
            <w:tcW w:w="127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1048B4D5" w14:textId="77777777">
            <w:pPr>
              <w:spacing w:before="120" w:after="120"/>
              <w:rPr>
                <w:rFonts w:ascii="Times New Roman" w:hAnsi="Times New Roman" w:eastAsia="Times New Roman" w:cs="Times New Roman"/>
                <w:sz w:val="18"/>
                <w:szCs w:val="18"/>
                <w:lang w:eastAsia="es-CR"/>
              </w:rPr>
            </w:pPr>
          </w:p>
        </w:tc>
        <w:tc>
          <w:tcPr>
            <w:tcW w:w="1413"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504DFA3D" w14:textId="77777777">
            <w:pPr>
              <w:spacing w:before="120" w:after="120"/>
              <w:rPr>
                <w:rFonts w:ascii="Times New Roman" w:hAnsi="Times New Roman" w:eastAsia="Times New Roman" w:cs="Times New Roman"/>
                <w:sz w:val="18"/>
                <w:szCs w:val="18"/>
                <w:lang w:eastAsia="es-CR"/>
              </w:rPr>
            </w:pP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5A85CC1A"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20218</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59F3E865"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(4) Repelente, Subpartida 20199</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7D275A8E"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₡27 572.00</w:t>
            </w:r>
          </w:p>
        </w:tc>
        <w:tc>
          <w:tcPr>
            <w:tcW w:w="3072"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69CA010E" w14:textId="77777777">
            <w:pPr>
              <w:spacing w:before="120" w:after="120"/>
              <w:rPr>
                <w:rFonts w:ascii="Times New Roman" w:hAnsi="Times New Roman" w:eastAsia="Times New Roman" w:cs="Times New Roman"/>
                <w:sz w:val="18"/>
                <w:szCs w:val="18"/>
                <w:lang w:eastAsia="es-CR"/>
              </w:rPr>
            </w:pPr>
          </w:p>
        </w:tc>
      </w:tr>
      <w:tr w:rsidRPr="00AE1B2B" w:rsidR="00AE1B2B" w:rsidTr="009D3FB5" w14:paraId="6586964B" w14:textId="77777777">
        <w:trPr>
          <w:trHeight w:val="620"/>
          <w:jc w:val="center"/>
        </w:trPr>
        <w:tc>
          <w:tcPr>
            <w:tcW w:w="802"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1B37EDDF" w14:textId="77777777">
            <w:pPr>
              <w:spacing w:before="120" w:after="120"/>
              <w:rPr>
                <w:rFonts w:ascii="Times New Roman" w:hAnsi="Times New Roman" w:eastAsia="Times New Roman" w:cs="Times New Roman"/>
                <w:b/>
                <w:bCs/>
                <w:sz w:val="18"/>
                <w:szCs w:val="18"/>
                <w:lang w:eastAsia="es-CR"/>
              </w:rPr>
            </w:pPr>
          </w:p>
        </w:tc>
        <w:tc>
          <w:tcPr>
            <w:tcW w:w="127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4BAD5037" w14:textId="77777777">
            <w:pPr>
              <w:spacing w:before="120" w:after="120"/>
              <w:rPr>
                <w:rFonts w:ascii="Times New Roman" w:hAnsi="Times New Roman" w:eastAsia="Times New Roman" w:cs="Times New Roman"/>
                <w:sz w:val="18"/>
                <w:szCs w:val="18"/>
                <w:lang w:eastAsia="es-CR"/>
              </w:rPr>
            </w:pPr>
          </w:p>
        </w:tc>
        <w:tc>
          <w:tcPr>
            <w:tcW w:w="1413"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52EB1D67" w14:textId="77777777">
            <w:pPr>
              <w:spacing w:before="120" w:after="120"/>
              <w:rPr>
                <w:rFonts w:ascii="Times New Roman" w:hAnsi="Times New Roman" w:eastAsia="Times New Roman" w:cs="Times New Roman"/>
                <w:sz w:val="18"/>
                <w:szCs w:val="18"/>
                <w:lang w:eastAsia="es-CR"/>
              </w:rPr>
            </w:pP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20D3E6F0"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10226</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7C4F5BF3"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 Bloqueador, Subpartida 20102</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0B878685"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₡43 860.00</w:t>
            </w:r>
          </w:p>
        </w:tc>
        <w:tc>
          <w:tcPr>
            <w:tcW w:w="3072"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69405EED" w14:textId="77777777">
            <w:pPr>
              <w:spacing w:before="120" w:after="120"/>
              <w:rPr>
                <w:rFonts w:ascii="Times New Roman" w:hAnsi="Times New Roman" w:eastAsia="Times New Roman" w:cs="Times New Roman"/>
                <w:sz w:val="18"/>
                <w:szCs w:val="18"/>
                <w:lang w:eastAsia="es-CR"/>
              </w:rPr>
            </w:pPr>
          </w:p>
        </w:tc>
      </w:tr>
      <w:tr w:rsidRPr="00AE1B2B" w:rsidR="00AE1B2B" w:rsidTr="009D3FB5" w14:paraId="05611A8A" w14:textId="77777777">
        <w:trPr>
          <w:trHeight w:val="1330"/>
          <w:jc w:val="center"/>
        </w:trPr>
        <w:tc>
          <w:tcPr>
            <w:tcW w:w="802"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7740A02C"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12</w:t>
            </w:r>
          </w:p>
        </w:tc>
        <w:tc>
          <w:tcPr>
            <w:tcW w:w="12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54DAB87"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Equipo psicosocial de JPR y JJR Pérez Zeledón</w:t>
            </w:r>
          </w:p>
        </w:tc>
        <w:tc>
          <w:tcPr>
            <w:tcW w:w="141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0FBA111E"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Un par de baterías recargables para el teléfono inalámbrico</w:t>
            </w: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702F72C7"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21293</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6753360D"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(4) Baterías recargables de litio, Subpartida 20402</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7E4D7101"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₡9 952.00</w:t>
            </w:r>
          </w:p>
        </w:tc>
        <w:tc>
          <w:tcPr>
            <w:tcW w:w="307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BF51CDC"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xml:space="preserve">En el caso de la trabajadora social, sería importante contar con este insumo, ya que desde hace un tiempo se agotaron y en la administración regional no cuentan con ellas, por lo que cada 15 o </w:t>
            </w:r>
            <w:r w:rsidRPr="00AE1B2B">
              <w:rPr>
                <w:rFonts w:ascii="Times New Roman" w:hAnsi="Times New Roman" w:eastAsia="Times New Roman" w:cs="Times New Roman"/>
                <w:sz w:val="18"/>
                <w:szCs w:val="18"/>
                <w:lang w:eastAsia="es-CR"/>
              </w:rPr>
              <w:lastRenderedPageBreak/>
              <w:t>22 días se deben solicitar baterías convencionales.</w:t>
            </w:r>
          </w:p>
        </w:tc>
      </w:tr>
      <w:tr w:rsidRPr="00AE1B2B" w:rsidR="00AE1B2B" w:rsidTr="009D3FB5" w14:paraId="6326C929" w14:textId="77777777">
        <w:trPr>
          <w:trHeight w:val="1650"/>
          <w:jc w:val="center"/>
        </w:trPr>
        <w:tc>
          <w:tcPr>
            <w:tcW w:w="802" w:type="dxa"/>
            <w:tcBorders>
              <w:top w:val="nil"/>
              <w:left w:val="single" w:color="auto" w:sz="4" w:space="0"/>
              <w:bottom w:val="single" w:color="auto" w:sz="4" w:space="0"/>
              <w:right w:val="single" w:color="auto" w:sz="4" w:space="0"/>
            </w:tcBorders>
            <w:shd w:val="clear" w:color="auto" w:fill="auto"/>
            <w:vAlign w:val="center"/>
            <w:hideMark/>
          </w:tcPr>
          <w:p w:rsidRPr="00AE1B2B" w:rsidR="009D3FB5" w:rsidP="00163B94" w:rsidRDefault="009D3FB5" w14:paraId="7943C1EC"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lastRenderedPageBreak/>
              <w:t>13</w:t>
            </w:r>
          </w:p>
        </w:tc>
        <w:tc>
          <w:tcPr>
            <w:tcW w:w="1277"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377377DE" w14:textId="4F4CA4C9">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xml:space="preserve"> Solicitud general para los equipos de JR</w:t>
            </w:r>
            <w:r w:rsidRPr="00AE1B2B" w:rsidR="00BB7720">
              <w:rPr>
                <w:rFonts w:ascii="Times New Roman" w:hAnsi="Times New Roman" w:eastAsia="Times New Roman" w:cs="Times New Roman"/>
                <w:sz w:val="18"/>
                <w:szCs w:val="18"/>
                <w:lang w:eastAsia="es-CR"/>
              </w:rPr>
              <w:t xml:space="preserve"> </w:t>
            </w:r>
          </w:p>
        </w:tc>
        <w:tc>
          <w:tcPr>
            <w:tcW w:w="1413"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63CA404F"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Partida para recargas telefónicas para las PME</w:t>
            </w: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61120D89"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0C9E1DC2"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28E85EEA"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₡0.00</w:t>
            </w:r>
          </w:p>
        </w:tc>
        <w:tc>
          <w:tcPr>
            <w:tcW w:w="307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758DFCC3"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Con el fin de que puedan hacer cursos y capacitaciones virtuales podría ser una forma de incentivar la participación y el cumplimiento de planes reparadores por estos medios, sin que la falta de recursos y de posibilidades de conectividad sea un factor de exclusión, sobre todo ahora que se utiliza mucho la virtualidad.</w:t>
            </w:r>
          </w:p>
        </w:tc>
      </w:tr>
      <w:tr w:rsidRPr="00AE1B2B" w:rsidR="00AE1B2B" w:rsidTr="009D3FB5" w14:paraId="279B70E3" w14:textId="77777777">
        <w:trPr>
          <w:trHeight w:val="1370"/>
          <w:jc w:val="center"/>
        </w:trPr>
        <w:tc>
          <w:tcPr>
            <w:tcW w:w="802"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620021B4" w14:textId="77777777">
            <w:pPr>
              <w:spacing w:before="120" w:after="120"/>
              <w:jc w:val="center"/>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14</w:t>
            </w:r>
          </w:p>
        </w:tc>
        <w:tc>
          <w:tcPr>
            <w:tcW w:w="1277"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3A19E13D" w14:textId="108F91F0">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Solicitud general para los equipos de JR</w:t>
            </w:r>
            <w:r w:rsidRPr="00AE1B2B" w:rsidR="00BB7720">
              <w:rPr>
                <w:rFonts w:ascii="Times New Roman" w:hAnsi="Times New Roman" w:eastAsia="Times New Roman" w:cs="Times New Roman"/>
                <w:sz w:val="18"/>
                <w:szCs w:val="18"/>
                <w:lang w:eastAsia="es-CR"/>
              </w:rPr>
              <w:t xml:space="preserve"> </w:t>
            </w:r>
          </w:p>
        </w:tc>
        <w:tc>
          <w:tcPr>
            <w:tcW w:w="1413" w:type="dxa"/>
            <w:vMerge w:val="restart"/>
            <w:tcBorders>
              <w:top w:val="nil"/>
              <w:left w:val="single" w:color="auto" w:sz="4" w:space="0"/>
              <w:bottom w:val="single" w:color="000000" w:sz="4" w:space="0"/>
              <w:right w:val="single" w:color="auto" w:sz="4" w:space="0"/>
            </w:tcBorders>
            <w:shd w:val="clear" w:color="auto" w:fill="auto"/>
            <w:vAlign w:val="center"/>
            <w:hideMark/>
          </w:tcPr>
          <w:p w:rsidRPr="00AE1B2B" w:rsidR="009D3FB5" w:rsidP="00163B94" w:rsidRDefault="009D3FB5" w14:paraId="0DE2BBC0"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Presupuesto para material didáctico</w:t>
            </w: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4E497F61"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20655</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74A882C7"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Papel Couche 150 grs (4 resmas)</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7FAE04A0"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₡92 501.00</w:t>
            </w:r>
          </w:p>
        </w:tc>
        <w:tc>
          <w:tcPr>
            <w:tcW w:w="307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51F46389"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Es necesario que nos faciliten material didáctico impreso para llevar a las instituciones, pues a pesar de que se cuenta de manera virtual con material, al momento de imprimir ( en blanco y negro) no queda tan llamativo como lo observado en el material didáctico.</w:t>
            </w:r>
          </w:p>
        </w:tc>
      </w:tr>
      <w:tr w:rsidRPr="00AE1B2B" w:rsidR="00AE1B2B" w:rsidTr="009D3FB5" w14:paraId="749C453B" w14:textId="77777777">
        <w:trPr>
          <w:trHeight w:val="1370"/>
          <w:jc w:val="center"/>
        </w:trPr>
        <w:tc>
          <w:tcPr>
            <w:tcW w:w="802"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11468072" w14:textId="77777777">
            <w:pPr>
              <w:spacing w:before="120" w:after="120"/>
              <w:rPr>
                <w:rFonts w:ascii="Times New Roman" w:hAnsi="Times New Roman" w:eastAsia="Times New Roman" w:cs="Times New Roman"/>
                <w:b/>
                <w:bCs/>
                <w:sz w:val="18"/>
                <w:szCs w:val="18"/>
                <w:lang w:eastAsia="es-CR"/>
              </w:rPr>
            </w:pPr>
          </w:p>
        </w:tc>
        <w:tc>
          <w:tcPr>
            <w:tcW w:w="1277"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58BA4FEF" w14:textId="77777777">
            <w:pPr>
              <w:spacing w:before="120" w:after="120"/>
              <w:rPr>
                <w:rFonts w:ascii="Times New Roman" w:hAnsi="Times New Roman" w:eastAsia="Times New Roman" w:cs="Times New Roman"/>
                <w:sz w:val="18"/>
                <w:szCs w:val="18"/>
                <w:lang w:eastAsia="es-CR"/>
              </w:rPr>
            </w:pPr>
          </w:p>
        </w:tc>
        <w:tc>
          <w:tcPr>
            <w:tcW w:w="1413" w:type="dxa"/>
            <w:vMerge/>
            <w:tcBorders>
              <w:top w:val="nil"/>
              <w:left w:val="single" w:color="auto" w:sz="4" w:space="0"/>
              <w:bottom w:val="single" w:color="000000" w:sz="4" w:space="0"/>
              <w:right w:val="single" w:color="auto" w:sz="4" w:space="0"/>
            </w:tcBorders>
            <w:vAlign w:val="center"/>
            <w:hideMark/>
          </w:tcPr>
          <w:p w:rsidRPr="00AE1B2B" w:rsidR="009D3FB5" w:rsidP="00163B94" w:rsidRDefault="009D3FB5" w14:paraId="7E995857" w14:textId="77777777">
            <w:pPr>
              <w:spacing w:before="120" w:after="120"/>
              <w:rPr>
                <w:rFonts w:ascii="Times New Roman" w:hAnsi="Times New Roman" w:eastAsia="Times New Roman" w:cs="Times New Roman"/>
                <w:sz w:val="18"/>
                <w:szCs w:val="18"/>
                <w:lang w:eastAsia="es-CR"/>
              </w:rPr>
            </w:pPr>
          </w:p>
        </w:tc>
        <w:tc>
          <w:tcPr>
            <w:tcW w:w="84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5BDEFD9C" w14:textId="77777777">
            <w:pPr>
              <w:spacing w:before="120" w:after="120"/>
              <w:jc w:val="center"/>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14956</w:t>
            </w:r>
          </w:p>
        </w:tc>
        <w:tc>
          <w:tcPr>
            <w:tcW w:w="1961"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14B43B31"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Cartulina barnizable 2 caras (resmas) 4</w:t>
            </w:r>
          </w:p>
        </w:tc>
        <w:tc>
          <w:tcPr>
            <w:tcW w:w="1258" w:type="dxa"/>
            <w:tcBorders>
              <w:top w:val="nil"/>
              <w:left w:val="nil"/>
              <w:bottom w:val="single" w:color="auto" w:sz="4" w:space="0"/>
              <w:right w:val="single" w:color="auto" w:sz="4" w:space="0"/>
            </w:tcBorders>
            <w:shd w:val="clear" w:color="000000" w:fill="E7E6E6"/>
            <w:vAlign w:val="center"/>
            <w:hideMark/>
          </w:tcPr>
          <w:p w:rsidRPr="00AE1B2B" w:rsidR="009D3FB5" w:rsidP="00163B94" w:rsidRDefault="009D3FB5" w14:paraId="614F8165" w14:textId="77777777">
            <w:pPr>
              <w:spacing w:before="120" w:after="120"/>
              <w:jc w:val="right"/>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₡50 850.00</w:t>
            </w:r>
          </w:p>
        </w:tc>
        <w:tc>
          <w:tcPr>
            <w:tcW w:w="3072" w:type="dxa"/>
            <w:tcBorders>
              <w:top w:val="nil"/>
              <w:left w:val="nil"/>
              <w:bottom w:val="single" w:color="auto" w:sz="4" w:space="0"/>
              <w:right w:val="single" w:color="auto" w:sz="4" w:space="0"/>
            </w:tcBorders>
            <w:shd w:val="clear" w:color="auto" w:fill="auto"/>
            <w:vAlign w:val="center"/>
            <w:hideMark/>
          </w:tcPr>
          <w:p w:rsidRPr="00AE1B2B" w:rsidR="009D3FB5" w:rsidP="00163B94" w:rsidRDefault="009D3FB5" w14:paraId="4223DB2E"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Durante este proceso de diagnóstico de JJR se ha verificado la importancia de contar con brochures o información que se le pueda brindar a la persona para informar sobre JR, ojalá se pueda contar con más acceso a esta información para brindársela a los usuarios desde la entrevista inicial</w:t>
            </w:r>
          </w:p>
        </w:tc>
      </w:tr>
      <w:tr w:rsidRPr="00AE1B2B" w:rsidR="00AE1B2B" w:rsidTr="009D3FB5" w14:paraId="75CC61BE" w14:textId="77777777">
        <w:trPr>
          <w:trHeight w:val="492"/>
          <w:jc w:val="center"/>
        </w:trPr>
        <w:tc>
          <w:tcPr>
            <w:tcW w:w="6301" w:type="dxa"/>
            <w:gridSpan w:val="5"/>
            <w:tcBorders>
              <w:top w:val="single" w:color="auto" w:sz="4" w:space="0"/>
              <w:left w:val="single" w:color="auto" w:sz="4" w:space="0"/>
              <w:bottom w:val="single" w:color="auto" w:sz="4" w:space="0"/>
              <w:right w:val="single" w:color="000000" w:sz="4" w:space="0"/>
            </w:tcBorders>
            <w:shd w:val="clear" w:color="000000" w:fill="8EA9DB"/>
            <w:vAlign w:val="center"/>
            <w:hideMark/>
          </w:tcPr>
          <w:p w:rsidRPr="00AE1B2B" w:rsidR="009D3FB5" w:rsidP="00163B94" w:rsidRDefault="009D3FB5" w14:paraId="2A18DA40" w14:textId="77777777">
            <w:pPr>
              <w:spacing w:before="120" w:after="120"/>
              <w:jc w:val="right"/>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TOTAL RECURSOS REQUERIDOS</w:t>
            </w:r>
          </w:p>
        </w:tc>
        <w:tc>
          <w:tcPr>
            <w:tcW w:w="1258" w:type="dxa"/>
            <w:tcBorders>
              <w:top w:val="nil"/>
              <w:left w:val="nil"/>
              <w:bottom w:val="single" w:color="auto" w:sz="4" w:space="0"/>
              <w:right w:val="single" w:color="auto" w:sz="4" w:space="0"/>
            </w:tcBorders>
            <w:shd w:val="clear" w:color="000000" w:fill="8EA9DB"/>
            <w:vAlign w:val="center"/>
            <w:hideMark/>
          </w:tcPr>
          <w:p w:rsidRPr="00AE1B2B" w:rsidR="009D3FB5" w:rsidP="00163B94" w:rsidRDefault="009D3FB5" w14:paraId="16799FCC" w14:textId="77777777">
            <w:pPr>
              <w:spacing w:before="120" w:after="120"/>
              <w:jc w:val="right"/>
              <w:rPr>
                <w:rFonts w:ascii="Times New Roman" w:hAnsi="Times New Roman" w:eastAsia="Times New Roman" w:cs="Times New Roman"/>
                <w:b/>
                <w:bCs/>
                <w:sz w:val="18"/>
                <w:szCs w:val="18"/>
                <w:lang w:eastAsia="es-CR"/>
              </w:rPr>
            </w:pPr>
            <w:r w:rsidRPr="00AE1B2B">
              <w:rPr>
                <w:rFonts w:ascii="Times New Roman" w:hAnsi="Times New Roman" w:eastAsia="Times New Roman" w:cs="Times New Roman"/>
                <w:b/>
                <w:bCs/>
                <w:sz w:val="18"/>
                <w:szCs w:val="18"/>
                <w:lang w:eastAsia="es-CR"/>
              </w:rPr>
              <w:t>₡4 556 943.00</w:t>
            </w:r>
          </w:p>
        </w:tc>
        <w:tc>
          <w:tcPr>
            <w:tcW w:w="3072" w:type="dxa"/>
            <w:tcBorders>
              <w:top w:val="nil"/>
              <w:left w:val="nil"/>
              <w:bottom w:val="single" w:color="auto" w:sz="4" w:space="0"/>
              <w:right w:val="single" w:color="auto" w:sz="4" w:space="0"/>
            </w:tcBorders>
            <w:shd w:val="clear" w:color="000000" w:fill="8EA9DB"/>
            <w:vAlign w:val="center"/>
            <w:hideMark/>
          </w:tcPr>
          <w:p w:rsidRPr="00AE1B2B" w:rsidR="009D3FB5" w:rsidP="00163B94" w:rsidRDefault="009D3FB5" w14:paraId="52F400B8" w14:textId="77777777">
            <w:pPr>
              <w:spacing w:before="120" w:after="120"/>
              <w:jc w:val="both"/>
              <w:rPr>
                <w:rFonts w:ascii="Times New Roman" w:hAnsi="Times New Roman" w:eastAsia="Times New Roman" w:cs="Times New Roman"/>
                <w:sz w:val="18"/>
                <w:szCs w:val="18"/>
                <w:lang w:eastAsia="es-CR"/>
              </w:rPr>
            </w:pPr>
            <w:r w:rsidRPr="00AE1B2B">
              <w:rPr>
                <w:rFonts w:ascii="Times New Roman" w:hAnsi="Times New Roman" w:eastAsia="Times New Roman" w:cs="Times New Roman"/>
                <w:sz w:val="18"/>
                <w:szCs w:val="18"/>
                <w:lang w:eastAsia="es-CR"/>
              </w:rPr>
              <w:t> </w:t>
            </w:r>
          </w:p>
        </w:tc>
      </w:tr>
    </w:tbl>
    <w:p w:rsidRPr="00AE1B2B" w:rsidR="009D3FB5" w:rsidP="00163B94" w:rsidRDefault="009D3FB5" w14:paraId="3CCE9A21"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Departamento de Trabajo Social y Psicología</w:t>
      </w:r>
    </w:p>
    <w:p w:rsidRPr="00AE1B2B" w:rsidR="009D3FB5" w:rsidP="00163B94" w:rsidRDefault="009D3FB5" w14:paraId="5CFBB13D" w14:textId="77777777">
      <w:pPr>
        <w:tabs>
          <w:tab w:val="left" w:pos="698"/>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A partir de la información anterior, se determina que el monto solicitado por el Departamento de Trabajo Social y Psicología para destinar a la compra de artículos de oficina y otros insumos administrativos corresponde a ₡4 556 943.00.</w:t>
      </w:r>
    </w:p>
    <w:p w:rsidRPr="00AE1B2B" w:rsidR="009D3FB5" w:rsidP="00163B94" w:rsidRDefault="009D3FB5" w14:paraId="3ECB556A" w14:textId="77777777">
      <w:pPr>
        <w:numPr>
          <w:ilvl w:val="1"/>
          <w:numId w:val="140"/>
        </w:numPr>
        <w:spacing w:before="120" w:after="120"/>
        <w:ind w:left="851" w:right="851" w:firstLine="709"/>
        <w:jc w:val="both"/>
        <w:rPr>
          <w:rFonts w:ascii="Times New Roman" w:hAnsi="Times New Roman" w:eastAsia="Times New Roman" w:cs="Times New Roman"/>
          <w:b/>
          <w:bCs/>
          <w:sz w:val="26"/>
          <w:szCs w:val="26"/>
          <w:lang w:val="es-ES" w:eastAsia="es-ES"/>
        </w:rPr>
      </w:pPr>
      <w:r w:rsidRPr="00AE1B2B">
        <w:rPr>
          <w:rFonts w:ascii="Times New Roman" w:hAnsi="Times New Roman" w:eastAsia="Times New Roman" w:cs="Times New Roman"/>
          <w:b/>
          <w:bCs/>
          <w:sz w:val="26"/>
          <w:szCs w:val="26"/>
          <w:lang w:val="es-ES" w:eastAsia="es-ES"/>
        </w:rPr>
        <w:t>Escenario 3: Solicitud de recursos para conformar equipos para la atención por materias</w:t>
      </w:r>
    </w:p>
    <w:p w:rsidRPr="00AE1B2B" w:rsidR="009D3FB5" w:rsidP="00163B94" w:rsidRDefault="009D3FB5" w14:paraId="19989EB3"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Adicional a la ampliación de cobertura por materia considerando los equipos existentes, se incluye por parte de la Oficina Rectora de Justicia Restaurativa una solicitud de recurso humano para completar los equipos existentes y conformar nuevos equipos de trabajo que permitan contar con recursos enfocados en la atención de la materia contravencional y ejecución de la pena.</w:t>
      </w:r>
    </w:p>
    <w:p w:rsidRPr="00AE1B2B" w:rsidR="009D3FB5" w:rsidP="00163B94" w:rsidRDefault="009D3FB5" w14:paraId="0F0CEEAE"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La cantidad de recursos solicitados es la siguiente:</w:t>
      </w:r>
    </w:p>
    <w:p w:rsidRPr="00AE1B2B" w:rsidR="009D3FB5" w:rsidP="00163B94" w:rsidRDefault="009D3FB5" w14:paraId="7E2D3EC8" w14:textId="77777777">
      <w:pPr>
        <w:numPr>
          <w:ilvl w:val="0"/>
          <w:numId w:val="139"/>
        </w:numPr>
        <w:spacing w:before="120" w:after="120"/>
        <w:ind w:left="851" w:right="851" w:firstLine="709"/>
        <w:jc w:val="both"/>
        <w:rPr>
          <w:rFonts w:ascii="Times New Roman" w:hAnsi="Times New Roman" w:eastAsia="Times New Roman" w:cs="Times New Roman"/>
          <w:sz w:val="26"/>
          <w:szCs w:val="26"/>
          <w:lang w:val="es-ES"/>
        </w:rPr>
      </w:pPr>
      <w:r w:rsidRPr="00AE1B2B">
        <w:rPr>
          <w:rFonts w:ascii="Times New Roman" w:hAnsi="Times New Roman" w:eastAsia="Times New Roman" w:cs="Times New Roman"/>
          <w:sz w:val="26"/>
          <w:szCs w:val="26"/>
          <w:lang w:val="es-ES" w:eastAsia="es-ES"/>
        </w:rPr>
        <w:t xml:space="preserve">15 plazas para persona técnica judicial adscritas a la Oficina Rectora de Justicia Restaurativa. </w:t>
      </w:r>
    </w:p>
    <w:p w:rsidRPr="00AE1B2B" w:rsidR="009D3FB5" w:rsidP="00163B94" w:rsidRDefault="009D3FB5" w14:paraId="28CE79FD" w14:textId="77777777">
      <w:pPr>
        <w:numPr>
          <w:ilvl w:val="0"/>
          <w:numId w:val="139"/>
        </w:num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lastRenderedPageBreak/>
        <w:t>1 plaza de profesional en Trabajo Social adscrita a la Oficina Rectora de Justicia Restaurativa.</w:t>
      </w:r>
    </w:p>
    <w:p w:rsidRPr="00AE1B2B" w:rsidR="009D3FB5" w:rsidP="00163B94" w:rsidRDefault="009D3FB5" w14:paraId="142AB827" w14:textId="77777777">
      <w:pPr>
        <w:numPr>
          <w:ilvl w:val="0"/>
          <w:numId w:val="139"/>
        </w:num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1 plaza de profesional en Psicología adscrita a la Oficina Rectora de Justicia Restaurativa. </w:t>
      </w:r>
    </w:p>
    <w:p w:rsidRPr="00AE1B2B" w:rsidR="009D3FB5" w:rsidP="00163B94" w:rsidRDefault="009D3FB5" w14:paraId="45E77075" w14:textId="77777777">
      <w:pPr>
        <w:numPr>
          <w:ilvl w:val="0"/>
          <w:numId w:val="139"/>
        </w:num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5 plazas de profesional en Trabajo Social del Departamento de Trabajo Social y Psicología. </w:t>
      </w:r>
    </w:p>
    <w:p w:rsidRPr="00AE1B2B" w:rsidR="009D3FB5" w:rsidP="00163B94" w:rsidRDefault="009D3FB5" w14:paraId="5AD20C7F" w14:textId="77777777">
      <w:pPr>
        <w:numPr>
          <w:ilvl w:val="0"/>
          <w:numId w:val="139"/>
        </w:num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6 plazas de profesional en Psicología del Departamento de Trabajo Social y Psicología. </w:t>
      </w:r>
    </w:p>
    <w:p w:rsidRPr="00AE1B2B" w:rsidR="009D3FB5" w:rsidP="00163B94" w:rsidRDefault="009D3FB5" w14:paraId="473655BA" w14:textId="77777777">
      <w:pPr>
        <w:numPr>
          <w:ilvl w:val="0"/>
          <w:numId w:val="139"/>
        </w:num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3 plazas de personas fiscales auxiliares. </w:t>
      </w:r>
    </w:p>
    <w:p w:rsidRPr="00AE1B2B" w:rsidR="009D3FB5" w:rsidP="00163B94" w:rsidRDefault="009D3FB5" w14:paraId="0A83A880" w14:textId="77777777">
      <w:pPr>
        <w:numPr>
          <w:ilvl w:val="0"/>
          <w:numId w:val="139"/>
        </w:num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3 plazas de personas defensoras públicas. </w:t>
      </w:r>
    </w:p>
    <w:p w:rsidRPr="00AE1B2B" w:rsidR="009D3FB5" w:rsidP="00163B94" w:rsidRDefault="009D3FB5" w14:paraId="77E3E780" w14:textId="77777777">
      <w:pPr>
        <w:numPr>
          <w:ilvl w:val="0"/>
          <w:numId w:val="139"/>
        </w:num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1 plaza de profesional en Derecho 3B.</w:t>
      </w:r>
    </w:p>
    <w:p w:rsidRPr="00AE1B2B" w:rsidR="009D3FB5" w:rsidP="00163B94" w:rsidRDefault="009D3FB5" w14:paraId="7D3511C2"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Sobre lo anterior, se aclara que la solicitud de las plazas nuevas de personas Técnicas Judiciales adscritas a la Oficina Rectora de Justicia Restaurativa se detallan de tal forma a raíz de que la solicitud de recursos se realiza bajo esta línea, no obstante, en el informe preliminar 1055-PLA-OI-2019, relacionado con el análisis de las plazas de personas Técnicas Judiciales adscritas al Ministerio Público que actualmente se encuentran destacadas en el Programa de Justicia Restaurativa respecto a su viabilidad de traslado al Centro de Apoyo, Gestión y Mejoramiento de la Función Jurisdiccional, se recomienda que estas plazas permanezcan adscritas al Ministerio Público </w:t>
      </w:r>
      <w:r w:rsidRPr="00AE1B2B">
        <w:rPr>
          <w:rFonts w:ascii="Times New Roman" w:hAnsi="Times New Roman" w:eastAsia="Calibri" w:cs="Times New Roman"/>
          <w:bCs/>
          <w:sz w:val="26"/>
          <w:szCs w:val="26"/>
        </w:rPr>
        <w:t xml:space="preserve">esto con el fin de </w:t>
      </w:r>
      <w:r w:rsidRPr="00AE1B2B">
        <w:rPr>
          <w:rFonts w:ascii="Times New Roman" w:hAnsi="Times New Roman" w:eastAsia="Calibri" w:cs="Times New Roman"/>
          <w:b/>
          <w:bCs/>
          <w:sz w:val="26"/>
          <w:szCs w:val="26"/>
        </w:rPr>
        <w:t>evitar que se pueda vulnerar el principio de independencia funcional del Ministerio Público (artículo 3 de la Ley Orgánica del Ministerio Público)</w:t>
      </w:r>
      <w:r w:rsidRPr="00AE1B2B">
        <w:rPr>
          <w:rFonts w:ascii="Times New Roman" w:hAnsi="Times New Roman" w:eastAsia="Calibri" w:cs="Times New Roman"/>
          <w:sz w:val="26"/>
          <w:szCs w:val="26"/>
        </w:rPr>
        <w:t>, siendo que</w:t>
      </w:r>
      <w:r w:rsidRPr="00AE1B2B">
        <w:rPr>
          <w:rFonts w:ascii="Times New Roman" w:hAnsi="Times New Roman" w:eastAsia="Calibri" w:cs="Times New Roman"/>
          <w:bCs/>
          <w:sz w:val="26"/>
          <w:szCs w:val="26"/>
        </w:rPr>
        <w:t xml:space="preserve"> el servicio que brindan las plazas de Técnica o Técnico Judicial es necesario para la buena marcha de los equipos interdisciplinarios, por lo que es preciso que el personal técnico judicial, dentro del marco de sus competencias, colabore a los integrantes de los equipos de manera equitativa, considerando en este caso también a la materia de Contravenciones.</w:t>
      </w:r>
    </w:p>
    <w:p w:rsidRPr="00AE1B2B" w:rsidR="009D3FB5" w:rsidP="00163B94" w:rsidRDefault="009D3FB5" w14:paraId="77F72DD8"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Conforme a los requerimientos solicitados en el apéndice 5, para los que se estima un costo total de ₡1,087,901,103.25; distribuido en ₡1,036,568,000 correspondientes al costo del recurso humano; por otra parte, se tiene el presupuesto necesario para cubrir las necesidades de equipo y mobiliario del recurso humano, cuyo costo corresponde a ₡51,333,103.25.</w:t>
      </w:r>
    </w:p>
    <w:p w:rsidRPr="00AE1B2B" w:rsidR="009D3FB5" w:rsidP="00163B94" w:rsidRDefault="009D3FB5" w14:paraId="60A6A6BC" w14:textId="35BBF71D">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A continuación, se presenta el detalle de los costos mencionados anteriormente:</w:t>
      </w:r>
      <w:r w:rsidRPr="00AE1B2B" w:rsidR="00BB7720">
        <w:rPr>
          <w:rFonts w:ascii="Times New Roman" w:hAnsi="Times New Roman" w:eastAsia="Calibri" w:cs="Times New Roman"/>
          <w:sz w:val="26"/>
          <w:szCs w:val="26"/>
        </w:rPr>
        <w:t xml:space="preserve"> </w:t>
      </w:r>
    </w:p>
    <w:p w:rsidRPr="00AE1B2B" w:rsidR="009D3FB5" w:rsidP="00163B94" w:rsidRDefault="009D3FB5" w14:paraId="74577075" w14:textId="77777777">
      <w:pPr>
        <w:spacing w:before="120" w:after="120"/>
        <w:ind w:left="851" w:right="851" w:firstLine="709"/>
        <w:jc w:val="both"/>
        <w:rPr>
          <w:rFonts w:ascii="Times New Roman" w:hAnsi="Times New Roman" w:eastAsia="Times New Roman" w:cs="Times New Roman"/>
          <w:b/>
          <w:bCs/>
          <w:sz w:val="26"/>
          <w:szCs w:val="26"/>
          <w:lang w:eastAsia="es-ES"/>
        </w:rPr>
      </w:pPr>
      <w:r w:rsidRPr="00AE1B2B">
        <w:rPr>
          <w:rFonts w:ascii="Times New Roman" w:hAnsi="Times New Roman" w:eastAsia="Times New Roman" w:cs="Times New Roman"/>
          <w:b/>
          <w:bCs/>
          <w:sz w:val="26"/>
          <w:szCs w:val="26"/>
          <w:lang w:eastAsia="es-ES"/>
        </w:rPr>
        <w:lastRenderedPageBreak/>
        <w:t xml:space="preserve">Cuadro </w:t>
      </w:r>
      <w:r w:rsidRPr="00AE1B2B">
        <w:rPr>
          <w:rFonts w:ascii="Times New Roman" w:hAnsi="Times New Roman" w:eastAsia="Times New Roman" w:cs="Times New Roman"/>
          <w:b/>
          <w:bCs/>
          <w:sz w:val="26"/>
          <w:szCs w:val="26"/>
          <w:lang w:eastAsia="es-ES"/>
        </w:rPr>
        <w:fldChar w:fldCharType="begin"/>
      </w:r>
      <w:r w:rsidRPr="00AE1B2B">
        <w:rPr>
          <w:rFonts w:ascii="Times New Roman" w:hAnsi="Times New Roman" w:eastAsia="Times New Roman" w:cs="Times New Roman"/>
          <w:b/>
          <w:bCs/>
          <w:sz w:val="26"/>
          <w:szCs w:val="26"/>
          <w:lang w:eastAsia="es-ES"/>
        </w:rPr>
        <w:instrText xml:space="preserve"> SEQ Cuadro \* ARABIC </w:instrText>
      </w:r>
      <w:r w:rsidRPr="00AE1B2B">
        <w:rPr>
          <w:rFonts w:ascii="Times New Roman" w:hAnsi="Times New Roman" w:eastAsia="Times New Roman" w:cs="Times New Roman"/>
          <w:b/>
          <w:bCs/>
          <w:sz w:val="26"/>
          <w:szCs w:val="26"/>
          <w:lang w:eastAsia="es-ES"/>
        </w:rPr>
        <w:fldChar w:fldCharType="separate"/>
      </w:r>
      <w:r w:rsidRPr="00AE1B2B">
        <w:rPr>
          <w:rFonts w:ascii="Times New Roman" w:hAnsi="Times New Roman" w:eastAsia="Times New Roman" w:cs="Times New Roman"/>
          <w:b/>
          <w:bCs/>
          <w:noProof/>
          <w:sz w:val="26"/>
          <w:szCs w:val="26"/>
          <w:lang w:eastAsia="es-ES"/>
        </w:rPr>
        <w:t>21</w:t>
      </w:r>
      <w:r w:rsidRPr="00AE1B2B">
        <w:rPr>
          <w:rFonts w:ascii="Times New Roman" w:hAnsi="Times New Roman" w:eastAsia="Times New Roman" w:cs="Times New Roman"/>
          <w:b/>
          <w:bCs/>
          <w:sz w:val="26"/>
          <w:szCs w:val="26"/>
          <w:lang w:eastAsia="es-ES"/>
        </w:rPr>
        <w:fldChar w:fldCharType="end"/>
      </w:r>
      <w:r w:rsidRPr="00AE1B2B">
        <w:rPr>
          <w:rFonts w:ascii="Times New Roman" w:hAnsi="Times New Roman" w:eastAsia="Times New Roman" w:cs="Times New Roman"/>
          <w:b/>
          <w:bCs/>
          <w:sz w:val="26"/>
          <w:szCs w:val="26"/>
          <w:lang w:eastAsia="es-ES"/>
        </w:rPr>
        <w:t>. Requerimiento Humano con base en la propuesta enviada por la Oficina Rectora de Justicia Restaurativa para el año 2022</w:t>
      </w:r>
    </w:p>
    <w:tbl>
      <w:tblPr>
        <w:tblW w:w="5789" w:type="dxa"/>
        <w:jc w:val="center"/>
        <w:tblCellMar>
          <w:left w:w="70" w:type="dxa"/>
          <w:right w:w="70" w:type="dxa"/>
        </w:tblCellMar>
        <w:tblLook w:val="04A0" w:firstRow="1" w:lastRow="0" w:firstColumn="1" w:lastColumn="0" w:noHBand="0" w:noVBand="1"/>
      </w:tblPr>
      <w:tblGrid>
        <w:gridCol w:w="2160"/>
        <w:gridCol w:w="1078"/>
        <w:gridCol w:w="2551"/>
      </w:tblGrid>
      <w:tr w:rsidRPr="00AE1B2B" w:rsidR="00AE1B2B" w:rsidTr="009D3FB5" w14:paraId="65D815E6" w14:textId="77777777">
        <w:trPr>
          <w:trHeight w:val="460"/>
          <w:jc w:val="center"/>
        </w:trPr>
        <w:tc>
          <w:tcPr>
            <w:tcW w:w="2160" w:type="dxa"/>
            <w:tcBorders>
              <w:top w:val="double" w:color="1F4E78" w:sz="6" w:space="0"/>
              <w:left w:val="double" w:color="1F4E78" w:sz="6" w:space="0"/>
              <w:bottom w:val="double" w:color="1F4E78" w:sz="6" w:space="0"/>
              <w:right w:val="nil"/>
            </w:tcBorders>
            <w:shd w:val="clear" w:color="000000" w:fill="B4C6E7"/>
            <w:vAlign w:val="center"/>
            <w:hideMark/>
          </w:tcPr>
          <w:p w:rsidRPr="00AE1B2B" w:rsidR="009D3FB5" w:rsidP="00163B94" w:rsidRDefault="009D3FB5" w14:paraId="59822380"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Oficina</w:t>
            </w:r>
          </w:p>
        </w:tc>
        <w:tc>
          <w:tcPr>
            <w:tcW w:w="1078" w:type="dxa"/>
            <w:tcBorders>
              <w:top w:val="double" w:color="1F4E78" w:sz="6" w:space="0"/>
              <w:left w:val="double" w:color="1F4E78" w:sz="6" w:space="0"/>
              <w:bottom w:val="double" w:color="1F4E78" w:sz="6" w:space="0"/>
              <w:right w:val="double" w:color="1F4E78" w:sz="6" w:space="0"/>
            </w:tcBorders>
            <w:shd w:val="clear" w:color="000000" w:fill="B4C6E7"/>
            <w:vAlign w:val="center"/>
            <w:hideMark/>
          </w:tcPr>
          <w:p w:rsidRPr="00AE1B2B" w:rsidR="009D3FB5" w:rsidP="00163B94" w:rsidRDefault="009D3FB5" w14:paraId="7098CE06"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Cantidad</w:t>
            </w:r>
          </w:p>
        </w:tc>
        <w:tc>
          <w:tcPr>
            <w:tcW w:w="2551" w:type="dxa"/>
            <w:tcBorders>
              <w:top w:val="double" w:color="1F4E78" w:sz="6" w:space="0"/>
              <w:left w:val="nil"/>
              <w:bottom w:val="double" w:color="1F4E78" w:sz="6" w:space="0"/>
              <w:right w:val="double" w:color="1F4E78" w:sz="6" w:space="0"/>
            </w:tcBorders>
            <w:shd w:val="clear" w:color="000000" w:fill="B4C6E7"/>
            <w:vAlign w:val="center"/>
            <w:hideMark/>
          </w:tcPr>
          <w:p w:rsidRPr="00AE1B2B" w:rsidR="009D3FB5" w:rsidP="00163B94" w:rsidRDefault="009D3FB5" w14:paraId="3124A4EE"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Tipo de plaza</w:t>
            </w:r>
          </w:p>
        </w:tc>
      </w:tr>
      <w:tr w:rsidRPr="00AE1B2B" w:rsidR="00AE1B2B" w:rsidTr="009D3FB5" w14:paraId="4B8C34C1" w14:textId="77777777">
        <w:trPr>
          <w:trHeight w:val="240"/>
          <w:jc w:val="center"/>
        </w:trPr>
        <w:tc>
          <w:tcPr>
            <w:tcW w:w="2160" w:type="dxa"/>
            <w:vMerge w:val="restart"/>
            <w:tcBorders>
              <w:top w:val="nil"/>
              <w:left w:val="double" w:color="1F4E78" w:sz="6" w:space="0"/>
              <w:bottom w:val="double" w:color="203764" w:sz="6" w:space="0"/>
              <w:right w:val="double" w:color="1F4E78" w:sz="6" w:space="0"/>
            </w:tcBorders>
            <w:shd w:val="clear" w:color="auto" w:fill="auto"/>
            <w:vAlign w:val="center"/>
            <w:hideMark/>
          </w:tcPr>
          <w:p w:rsidRPr="00AE1B2B" w:rsidR="009D3FB5" w:rsidP="00163B94" w:rsidRDefault="009D3FB5" w14:paraId="2DCD17C9"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I, II y III Circuito Judicial de San José</w:t>
            </w:r>
          </w:p>
        </w:tc>
        <w:tc>
          <w:tcPr>
            <w:tcW w:w="1078" w:type="dxa"/>
            <w:tcBorders>
              <w:top w:val="single" w:color="1F4E78" w:sz="4" w:space="0"/>
              <w:left w:val="nil"/>
              <w:bottom w:val="single" w:color="1F4E78" w:sz="4" w:space="0"/>
              <w:right w:val="double" w:color="1F4E78" w:sz="6" w:space="0"/>
            </w:tcBorders>
            <w:shd w:val="clear" w:color="auto" w:fill="auto"/>
            <w:vAlign w:val="center"/>
            <w:hideMark/>
          </w:tcPr>
          <w:p w:rsidRPr="00AE1B2B" w:rsidR="009D3FB5" w:rsidP="00163B94" w:rsidRDefault="009D3FB5" w14:paraId="30163DD5"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single" w:color="1F4E78" w:sz="4" w:space="0"/>
              <w:left w:val="nil"/>
              <w:bottom w:val="single" w:color="1F4E78" w:sz="4" w:space="0"/>
              <w:right w:val="double" w:color="1F4E78" w:sz="6" w:space="0"/>
            </w:tcBorders>
            <w:shd w:val="clear" w:color="auto" w:fill="auto"/>
            <w:vAlign w:val="center"/>
            <w:hideMark/>
          </w:tcPr>
          <w:p w:rsidRPr="00AE1B2B" w:rsidR="009D3FB5" w:rsidP="00163B94" w:rsidRDefault="009D3FB5" w14:paraId="604ED69D"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Profesional 2 (Psicólogo)</w:t>
            </w:r>
          </w:p>
        </w:tc>
      </w:tr>
      <w:tr w:rsidRPr="00AE1B2B" w:rsidR="00AE1B2B" w:rsidTr="009D3FB5" w14:paraId="099B4B53" w14:textId="77777777">
        <w:trPr>
          <w:trHeight w:val="240"/>
          <w:jc w:val="center"/>
        </w:trPr>
        <w:tc>
          <w:tcPr>
            <w:tcW w:w="2160" w:type="dxa"/>
            <w:vMerge/>
            <w:tcBorders>
              <w:top w:val="nil"/>
              <w:left w:val="double" w:color="1F4E78" w:sz="6" w:space="0"/>
              <w:bottom w:val="double" w:color="203764" w:sz="6" w:space="0"/>
              <w:right w:val="double" w:color="1F4E78" w:sz="6" w:space="0"/>
            </w:tcBorders>
            <w:vAlign w:val="center"/>
            <w:hideMark/>
          </w:tcPr>
          <w:p w:rsidRPr="00AE1B2B" w:rsidR="009D3FB5" w:rsidP="00163B94" w:rsidRDefault="009D3FB5" w14:paraId="5CD0A348"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double" w:color="203764" w:sz="6" w:space="0"/>
              <w:right w:val="double" w:color="1F4E78" w:sz="6" w:space="0"/>
            </w:tcBorders>
            <w:shd w:val="clear" w:color="auto" w:fill="auto"/>
            <w:vAlign w:val="center"/>
            <w:hideMark/>
          </w:tcPr>
          <w:p w:rsidRPr="00AE1B2B" w:rsidR="009D3FB5" w:rsidP="00163B94" w:rsidRDefault="009D3FB5" w14:paraId="4B14F2D2"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2</w:t>
            </w:r>
          </w:p>
        </w:tc>
        <w:tc>
          <w:tcPr>
            <w:tcW w:w="2551"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7DB4512E"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Técnico o Técnica Judicial 2</w:t>
            </w:r>
          </w:p>
        </w:tc>
      </w:tr>
      <w:tr w:rsidRPr="00AE1B2B" w:rsidR="00AE1B2B" w:rsidTr="009D3FB5" w14:paraId="54599C78" w14:textId="77777777">
        <w:trPr>
          <w:trHeight w:val="240"/>
          <w:jc w:val="center"/>
        </w:trPr>
        <w:tc>
          <w:tcPr>
            <w:tcW w:w="2160" w:type="dxa"/>
            <w:vMerge w:val="restart"/>
            <w:tcBorders>
              <w:top w:val="nil"/>
              <w:left w:val="double" w:color="1F4E78" w:sz="6" w:space="0"/>
              <w:bottom w:val="double" w:color="1F4E78" w:sz="6" w:space="0"/>
              <w:right w:val="double" w:color="1F4E78" w:sz="6" w:space="0"/>
            </w:tcBorders>
            <w:shd w:val="clear" w:color="auto" w:fill="auto"/>
            <w:vAlign w:val="center"/>
            <w:hideMark/>
          </w:tcPr>
          <w:p w:rsidRPr="00AE1B2B" w:rsidR="009D3FB5" w:rsidP="00163B94" w:rsidRDefault="009D3FB5" w14:paraId="25A55B23"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I Circuito Judicial de Alajuela</w:t>
            </w: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53A61918"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single" w:color="1F4E78" w:sz="4" w:space="0"/>
              <w:left w:val="nil"/>
              <w:bottom w:val="single" w:color="1F4E78" w:sz="4" w:space="0"/>
              <w:right w:val="double" w:color="1F4E78" w:sz="6" w:space="0"/>
            </w:tcBorders>
            <w:shd w:val="clear" w:color="auto" w:fill="auto"/>
            <w:vAlign w:val="center"/>
            <w:hideMark/>
          </w:tcPr>
          <w:p w:rsidRPr="00AE1B2B" w:rsidR="009D3FB5" w:rsidP="00163B94" w:rsidRDefault="009D3FB5" w14:paraId="261D7D38"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Profesional 2 (Psicólogo)</w:t>
            </w:r>
          </w:p>
        </w:tc>
      </w:tr>
      <w:tr w:rsidRPr="00AE1B2B" w:rsidR="00AE1B2B" w:rsidTr="009D3FB5" w14:paraId="4151674E" w14:textId="77777777">
        <w:trPr>
          <w:trHeight w:val="240"/>
          <w:jc w:val="center"/>
        </w:trPr>
        <w:tc>
          <w:tcPr>
            <w:tcW w:w="2160" w:type="dxa"/>
            <w:vMerge/>
            <w:tcBorders>
              <w:top w:val="nil"/>
              <w:left w:val="double" w:color="1F4E78" w:sz="6" w:space="0"/>
              <w:bottom w:val="double" w:color="1F4E78" w:sz="6" w:space="0"/>
              <w:right w:val="double" w:color="1F4E78" w:sz="6" w:space="0"/>
            </w:tcBorders>
            <w:vAlign w:val="center"/>
            <w:hideMark/>
          </w:tcPr>
          <w:p w:rsidRPr="00AE1B2B" w:rsidR="009D3FB5" w:rsidP="00163B94" w:rsidRDefault="009D3FB5" w14:paraId="0CD47A3E"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4E625D69"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2EA66A86"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Técnico o Técnica Judicial 2</w:t>
            </w:r>
          </w:p>
        </w:tc>
      </w:tr>
      <w:tr w:rsidRPr="00AE1B2B" w:rsidR="00AE1B2B" w:rsidTr="009D3FB5" w14:paraId="53F4F3A2" w14:textId="77777777">
        <w:trPr>
          <w:trHeight w:val="240"/>
          <w:jc w:val="center"/>
        </w:trPr>
        <w:tc>
          <w:tcPr>
            <w:tcW w:w="2160" w:type="dxa"/>
            <w:vMerge w:val="restart"/>
            <w:tcBorders>
              <w:top w:val="nil"/>
              <w:left w:val="double" w:color="1F4E78" w:sz="6" w:space="0"/>
              <w:bottom w:val="double" w:color="1F4E78" w:sz="6" w:space="0"/>
              <w:right w:val="double" w:color="1F4E78" w:sz="6" w:space="0"/>
            </w:tcBorders>
            <w:shd w:val="clear" w:color="auto" w:fill="auto"/>
            <w:vAlign w:val="center"/>
            <w:hideMark/>
          </w:tcPr>
          <w:p w:rsidRPr="00AE1B2B" w:rsidR="009D3FB5" w:rsidP="00163B94" w:rsidRDefault="009D3FB5" w14:paraId="6AF4DFE5"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II Circuito Judicial de Alajuela</w:t>
            </w: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4F3E35BF"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single" w:color="1F4E78" w:sz="4" w:space="0"/>
              <w:left w:val="nil"/>
              <w:bottom w:val="single" w:color="1F4E78" w:sz="4" w:space="0"/>
              <w:right w:val="double" w:color="1F4E78" w:sz="6" w:space="0"/>
            </w:tcBorders>
            <w:shd w:val="clear" w:color="auto" w:fill="auto"/>
            <w:vAlign w:val="center"/>
            <w:hideMark/>
          </w:tcPr>
          <w:p w:rsidRPr="00AE1B2B" w:rsidR="009D3FB5" w:rsidP="00163B94" w:rsidRDefault="009D3FB5" w14:paraId="20A0CD69"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Profesional 2 (Psicólogo)</w:t>
            </w:r>
          </w:p>
        </w:tc>
      </w:tr>
      <w:tr w:rsidRPr="00AE1B2B" w:rsidR="00AE1B2B" w:rsidTr="009D3FB5" w14:paraId="4E99DCC0" w14:textId="77777777">
        <w:trPr>
          <w:trHeight w:val="20"/>
          <w:jc w:val="center"/>
        </w:trPr>
        <w:tc>
          <w:tcPr>
            <w:tcW w:w="2160" w:type="dxa"/>
            <w:vMerge/>
            <w:tcBorders>
              <w:top w:val="nil"/>
              <w:left w:val="double" w:color="1F4E78" w:sz="6" w:space="0"/>
              <w:bottom w:val="double" w:color="1F4E78" w:sz="6" w:space="0"/>
              <w:right w:val="double" w:color="1F4E78" w:sz="6" w:space="0"/>
            </w:tcBorders>
            <w:vAlign w:val="center"/>
            <w:hideMark/>
          </w:tcPr>
          <w:p w:rsidRPr="00AE1B2B" w:rsidR="009D3FB5" w:rsidP="00163B94" w:rsidRDefault="009D3FB5" w14:paraId="77337A6B"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0CEC62A5"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63910C83"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Defensora o Defensor Público</w:t>
            </w:r>
          </w:p>
        </w:tc>
      </w:tr>
      <w:tr w:rsidRPr="00AE1B2B" w:rsidR="00AE1B2B" w:rsidTr="009D3FB5" w14:paraId="7CF62CB3" w14:textId="77777777">
        <w:trPr>
          <w:trHeight w:val="20"/>
          <w:jc w:val="center"/>
        </w:trPr>
        <w:tc>
          <w:tcPr>
            <w:tcW w:w="2160" w:type="dxa"/>
            <w:vMerge/>
            <w:tcBorders>
              <w:top w:val="nil"/>
              <w:left w:val="double" w:color="1F4E78" w:sz="6" w:space="0"/>
              <w:bottom w:val="double" w:color="1F4E78" w:sz="6" w:space="0"/>
              <w:right w:val="double" w:color="1F4E78" w:sz="6" w:space="0"/>
            </w:tcBorders>
            <w:vAlign w:val="center"/>
            <w:hideMark/>
          </w:tcPr>
          <w:p w:rsidRPr="00AE1B2B" w:rsidR="009D3FB5" w:rsidP="00163B94" w:rsidRDefault="009D3FB5" w14:paraId="7FB67F72"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1744467B"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31509F25"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Fiscala o Fiscal Auxiliar</w:t>
            </w:r>
          </w:p>
        </w:tc>
      </w:tr>
      <w:tr w:rsidRPr="00AE1B2B" w:rsidR="00AE1B2B" w:rsidTr="009D3FB5" w14:paraId="11D83625" w14:textId="77777777">
        <w:trPr>
          <w:trHeight w:val="20"/>
          <w:jc w:val="center"/>
        </w:trPr>
        <w:tc>
          <w:tcPr>
            <w:tcW w:w="2160" w:type="dxa"/>
            <w:vMerge/>
            <w:tcBorders>
              <w:top w:val="nil"/>
              <w:left w:val="double" w:color="1F4E78" w:sz="6" w:space="0"/>
              <w:bottom w:val="double" w:color="1F4E78" w:sz="6" w:space="0"/>
              <w:right w:val="double" w:color="1F4E78" w:sz="6" w:space="0"/>
            </w:tcBorders>
            <w:vAlign w:val="center"/>
            <w:hideMark/>
          </w:tcPr>
          <w:p w:rsidRPr="00AE1B2B" w:rsidR="009D3FB5" w:rsidP="00163B94" w:rsidRDefault="009D3FB5" w14:paraId="0B1DBC34"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0EC9BD08"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6C65A0D7"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Técnico o Técnica Judicial 2</w:t>
            </w:r>
          </w:p>
        </w:tc>
      </w:tr>
      <w:tr w:rsidRPr="00AE1B2B" w:rsidR="00AE1B2B" w:rsidTr="009D3FB5" w14:paraId="0BA8E023" w14:textId="77777777">
        <w:trPr>
          <w:trHeight w:val="20"/>
          <w:jc w:val="center"/>
        </w:trPr>
        <w:tc>
          <w:tcPr>
            <w:tcW w:w="2160" w:type="dxa"/>
            <w:vMerge w:val="restart"/>
            <w:tcBorders>
              <w:top w:val="nil"/>
              <w:left w:val="double" w:color="1F4E78" w:sz="6" w:space="0"/>
              <w:bottom w:val="double" w:color="1F4E78" w:sz="6" w:space="0"/>
              <w:right w:val="double" w:color="1F4E78" w:sz="6" w:space="0"/>
            </w:tcBorders>
            <w:shd w:val="clear" w:color="auto" w:fill="auto"/>
            <w:vAlign w:val="center"/>
            <w:hideMark/>
          </w:tcPr>
          <w:p w:rsidRPr="00AE1B2B" w:rsidR="009D3FB5" w:rsidP="00163B94" w:rsidRDefault="009D3FB5" w14:paraId="2EA1DB6C"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III Circuito Judicial de Alajuela</w:t>
            </w: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126B77A2"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single" w:color="1F4E78" w:sz="4" w:space="0"/>
              <w:left w:val="nil"/>
              <w:bottom w:val="single" w:color="1F4E78" w:sz="4" w:space="0"/>
              <w:right w:val="double" w:color="1F4E78" w:sz="6" w:space="0"/>
            </w:tcBorders>
            <w:shd w:val="clear" w:color="auto" w:fill="auto"/>
            <w:vAlign w:val="center"/>
            <w:hideMark/>
          </w:tcPr>
          <w:p w:rsidRPr="00AE1B2B" w:rsidR="009D3FB5" w:rsidP="00163B94" w:rsidRDefault="009D3FB5" w14:paraId="3FD93A93"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Profesional 2 (Psicólogo)</w:t>
            </w:r>
          </w:p>
        </w:tc>
      </w:tr>
      <w:tr w:rsidRPr="00AE1B2B" w:rsidR="00AE1B2B" w:rsidTr="009D3FB5" w14:paraId="5BAA4F38" w14:textId="77777777">
        <w:trPr>
          <w:trHeight w:val="20"/>
          <w:jc w:val="center"/>
        </w:trPr>
        <w:tc>
          <w:tcPr>
            <w:tcW w:w="2160" w:type="dxa"/>
            <w:vMerge/>
            <w:tcBorders>
              <w:top w:val="nil"/>
              <w:left w:val="double" w:color="1F4E78" w:sz="6" w:space="0"/>
              <w:bottom w:val="double" w:color="1F4E78" w:sz="6" w:space="0"/>
              <w:right w:val="double" w:color="1F4E78" w:sz="6" w:space="0"/>
            </w:tcBorders>
            <w:vAlign w:val="center"/>
            <w:hideMark/>
          </w:tcPr>
          <w:p w:rsidRPr="00AE1B2B" w:rsidR="009D3FB5" w:rsidP="00163B94" w:rsidRDefault="009D3FB5" w14:paraId="68AB642C"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122ED470"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2998881B"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Defensora o Defensor Público</w:t>
            </w:r>
          </w:p>
        </w:tc>
      </w:tr>
      <w:tr w:rsidRPr="00AE1B2B" w:rsidR="00AE1B2B" w:rsidTr="009D3FB5" w14:paraId="1E8D27F9" w14:textId="77777777">
        <w:trPr>
          <w:trHeight w:val="20"/>
          <w:jc w:val="center"/>
        </w:trPr>
        <w:tc>
          <w:tcPr>
            <w:tcW w:w="2160" w:type="dxa"/>
            <w:vMerge/>
            <w:tcBorders>
              <w:top w:val="nil"/>
              <w:left w:val="double" w:color="1F4E78" w:sz="6" w:space="0"/>
              <w:bottom w:val="double" w:color="1F4E78" w:sz="6" w:space="0"/>
              <w:right w:val="double" w:color="1F4E78" w:sz="6" w:space="0"/>
            </w:tcBorders>
            <w:vAlign w:val="center"/>
            <w:hideMark/>
          </w:tcPr>
          <w:p w:rsidRPr="00AE1B2B" w:rsidR="009D3FB5" w:rsidP="00163B94" w:rsidRDefault="009D3FB5" w14:paraId="2FAE0843"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427FC1EA"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3A3F041A"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Fiscala o Fiscal Auxiliar</w:t>
            </w:r>
          </w:p>
        </w:tc>
      </w:tr>
      <w:tr w:rsidRPr="00AE1B2B" w:rsidR="00AE1B2B" w:rsidTr="009D3FB5" w14:paraId="5DFE8393" w14:textId="77777777">
        <w:trPr>
          <w:trHeight w:val="310"/>
          <w:jc w:val="center"/>
        </w:trPr>
        <w:tc>
          <w:tcPr>
            <w:tcW w:w="2160" w:type="dxa"/>
            <w:vMerge/>
            <w:tcBorders>
              <w:top w:val="nil"/>
              <w:left w:val="double" w:color="1F4E78" w:sz="6" w:space="0"/>
              <w:bottom w:val="double" w:color="1F4E78" w:sz="6" w:space="0"/>
              <w:right w:val="double" w:color="1F4E78" w:sz="6" w:space="0"/>
            </w:tcBorders>
            <w:vAlign w:val="center"/>
            <w:hideMark/>
          </w:tcPr>
          <w:p w:rsidRPr="00AE1B2B" w:rsidR="009D3FB5" w:rsidP="00163B94" w:rsidRDefault="009D3FB5" w14:paraId="28433CB9"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367D40B3"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7E27F568"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Técnico o Técnica Judicial 2</w:t>
            </w:r>
          </w:p>
        </w:tc>
      </w:tr>
      <w:tr w:rsidRPr="00AE1B2B" w:rsidR="00AE1B2B" w:rsidTr="009D3FB5" w14:paraId="14B311DE" w14:textId="77777777">
        <w:trPr>
          <w:trHeight w:val="240"/>
          <w:jc w:val="center"/>
        </w:trPr>
        <w:tc>
          <w:tcPr>
            <w:tcW w:w="2160" w:type="dxa"/>
            <w:vMerge w:val="restart"/>
            <w:tcBorders>
              <w:top w:val="nil"/>
              <w:left w:val="double" w:color="1F4E78" w:sz="6" w:space="0"/>
              <w:bottom w:val="double" w:color="1F4E78" w:sz="6" w:space="0"/>
              <w:right w:val="double" w:color="1F4E78" w:sz="6" w:space="0"/>
            </w:tcBorders>
            <w:shd w:val="clear" w:color="auto" w:fill="auto"/>
            <w:vAlign w:val="center"/>
            <w:hideMark/>
          </w:tcPr>
          <w:p w:rsidRPr="00AE1B2B" w:rsidR="009D3FB5" w:rsidP="00163B94" w:rsidRDefault="009D3FB5" w14:paraId="080A94B8"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Cartago</w:t>
            </w: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18F8030E"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7D99EA01"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Profesional 2 (Trabajador Social)</w:t>
            </w:r>
          </w:p>
        </w:tc>
      </w:tr>
      <w:tr w:rsidRPr="00AE1B2B" w:rsidR="00AE1B2B" w:rsidTr="009D3FB5" w14:paraId="362BDB59" w14:textId="77777777">
        <w:trPr>
          <w:trHeight w:val="240"/>
          <w:jc w:val="center"/>
        </w:trPr>
        <w:tc>
          <w:tcPr>
            <w:tcW w:w="2160" w:type="dxa"/>
            <w:vMerge/>
            <w:tcBorders>
              <w:top w:val="nil"/>
              <w:left w:val="double" w:color="1F4E78" w:sz="6" w:space="0"/>
              <w:bottom w:val="double" w:color="1F4E78" w:sz="6" w:space="0"/>
              <w:right w:val="double" w:color="1F4E78" w:sz="6" w:space="0"/>
            </w:tcBorders>
            <w:vAlign w:val="center"/>
            <w:hideMark/>
          </w:tcPr>
          <w:p w:rsidRPr="00AE1B2B" w:rsidR="009D3FB5" w:rsidP="00163B94" w:rsidRDefault="009D3FB5" w14:paraId="34C11B89"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6F4A1ED9"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098E60FF"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Técnico o Técnica Judicial 2</w:t>
            </w:r>
          </w:p>
        </w:tc>
      </w:tr>
      <w:tr w:rsidRPr="00AE1B2B" w:rsidR="00AE1B2B" w:rsidTr="009D3FB5" w14:paraId="77077A3D" w14:textId="77777777">
        <w:trPr>
          <w:trHeight w:val="240"/>
          <w:jc w:val="center"/>
        </w:trPr>
        <w:tc>
          <w:tcPr>
            <w:tcW w:w="2160" w:type="dxa"/>
            <w:vMerge w:val="restart"/>
            <w:tcBorders>
              <w:top w:val="nil"/>
              <w:left w:val="double" w:color="1F4E78" w:sz="6" w:space="0"/>
              <w:bottom w:val="double" w:color="1F4E78" w:sz="6" w:space="0"/>
              <w:right w:val="double" w:color="1F4E78" w:sz="6" w:space="0"/>
            </w:tcBorders>
            <w:shd w:val="clear" w:color="auto" w:fill="auto"/>
            <w:vAlign w:val="center"/>
            <w:hideMark/>
          </w:tcPr>
          <w:p w:rsidRPr="00AE1B2B" w:rsidR="009D3FB5" w:rsidP="00163B94" w:rsidRDefault="009D3FB5" w14:paraId="4B8AAE76"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Heredia</w:t>
            </w: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2253C97F"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0365E4CF"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Profesional 2 (Trabajador Social)</w:t>
            </w:r>
          </w:p>
        </w:tc>
      </w:tr>
      <w:tr w:rsidRPr="00AE1B2B" w:rsidR="00AE1B2B" w:rsidTr="009D3FB5" w14:paraId="1CABAE09" w14:textId="77777777">
        <w:trPr>
          <w:trHeight w:val="240"/>
          <w:jc w:val="center"/>
        </w:trPr>
        <w:tc>
          <w:tcPr>
            <w:tcW w:w="2160" w:type="dxa"/>
            <w:vMerge/>
            <w:tcBorders>
              <w:top w:val="nil"/>
              <w:left w:val="double" w:color="1F4E78" w:sz="6" w:space="0"/>
              <w:bottom w:val="double" w:color="1F4E78" w:sz="6" w:space="0"/>
              <w:right w:val="double" w:color="1F4E78" w:sz="6" w:space="0"/>
            </w:tcBorders>
            <w:vAlign w:val="center"/>
            <w:hideMark/>
          </w:tcPr>
          <w:p w:rsidRPr="00AE1B2B" w:rsidR="009D3FB5" w:rsidP="00163B94" w:rsidRDefault="009D3FB5" w14:paraId="74E97A55"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3C06F89A"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727C112C"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Técnico o Técnica Judicial 2</w:t>
            </w:r>
          </w:p>
        </w:tc>
      </w:tr>
      <w:tr w:rsidRPr="00AE1B2B" w:rsidR="00AE1B2B" w:rsidTr="009D3FB5" w14:paraId="695B51C5" w14:textId="77777777">
        <w:trPr>
          <w:trHeight w:val="460"/>
          <w:jc w:val="center"/>
        </w:trPr>
        <w:tc>
          <w:tcPr>
            <w:tcW w:w="2160" w:type="dxa"/>
            <w:tcBorders>
              <w:top w:val="nil"/>
              <w:left w:val="double" w:color="1F4E78" w:sz="6" w:space="0"/>
              <w:bottom w:val="double" w:color="203764" w:sz="6" w:space="0"/>
              <w:right w:val="double" w:color="1F4E78" w:sz="6" w:space="0"/>
            </w:tcBorders>
            <w:shd w:val="clear" w:color="auto" w:fill="auto"/>
            <w:vAlign w:val="center"/>
            <w:hideMark/>
          </w:tcPr>
          <w:p w:rsidRPr="00AE1B2B" w:rsidR="009D3FB5" w:rsidP="00163B94" w:rsidRDefault="009D3FB5" w14:paraId="01405C3A"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I Circuito Judicial Zona Sur</w:t>
            </w:r>
          </w:p>
        </w:tc>
        <w:tc>
          <w:tcPr>
            <w:tcW w:w="1078"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1D1EBF17"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3F959AAA"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Técnico o Técnica Judicial 2</w:t>
            </w:r>
          </w:p>
        </w:tc>
      </w:tr>
      <w:tr w:rsidRPr="00AE1B2B" w:rsidR="00AE1B2B" w:rsidTr="009D3FB5" w14:paraId="27EE1CD7" w14:textId="77777777">
        <w:trPr>
          <w:trHeight w:val="20"/>
          <w:jc w:val="center"/>
        </w:trPr>
        <w:tc>
          <w:tcPr>
            <w:tcW w:w="2160" w:type="dxa"/>
            <w:vMerge w:val="restart"/>
            <w:tcBorders>
              <w:top w:val="nil"/>
              <w:left w:val="double" w:color="1F4E78" w:sz="6" w:space="0"/>
              <w:bottom w:val="double" w:color="203764" w:sz="6" w:space="0"/>
              <w:right w:val="double" w:color="1F4E78" w:sz="6" w:space="0"/>
            </w:tcBorders>
            <w:shd w:val="clear" w:color="auto" w:fill="auto"/>
            <w:vAlign w:val="center"/>
            <w:hideMark/>
          </w:tcPr>
          <w:p w:rsidRPr="00AE1B2B" w:rsidR="009D3FB5" w:rsidP="00163B94" w:rsidRDefault="009D3FB5" w14:paraId="6F5CEB33"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II Circuito Judicial Zona Sur</w:t>
            </w: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5AB7EE4D"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single" w:color="1F4E78" w:sz="4" w:space="0"/>
              <w:left w:val="nil"/>
              <w:bottom w:val="single" w:color="1F4E78" w:sz="4" w:space="0"/>
              <w:right w:val="double" w:color="1F4E78" w:sz="6" w:space="0"/>
            </w:tcBorders>
            <w:shd w:val="clear" w:color="auto" w:fill="auto"/>
            <w:vAlign w:val="center"/>
            <w:hideMark/>
          </w:tcPr>
          <w:p w:rsidRPr="00AE1B2B" w:rsidR="009D3FB5" w:rsidP="00163B94" w:rsidRDefault="009D3FB5" w14:paraId="5D3DD3AB"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Profesional 2 (Psicólogo)</w:t>
            </w:r>
          </w:p>
        </w:tc>
      </w:tr>
      <w:tr w:rsidRPr="00AE1B2B" w:rsidR="00AE1B2B" w:rsidTr="009D3FB5" w14:paraId="4637ABFB" w14:textId="77777777">
        <w:trPr>
          <w:trHeight w:val="20"/>
          <w:jc w:val="center"/>
        </w:trPr>
        <w:tc>
          <w:tcPr>
            <w:tcW w:w="2160" w:type="dxa"/>
            <w:vMerge/>
            <w:tcBorders>
              <w:top w:val="nil"/>
              <w:left w:val="double" w:color="1F4E78" w:sz="6" w:space="0"/>
              <w:bottom w:val="double" w:color="203764" w:sz="6" w:space="0"/>
              <w:right w:val="double" w:color="1F4E78" w:sz="6" w:space="0"/>
            </w:tcBorders>
            <w:vAlign w:val="center"/>
            <w:hideMark/>
          </w:tcPr>
          <w:p w:rsidRPr="00AE1B2B" w:rsidR="009D3FB5" w:rsidP="00163B94" w:rsidRDefault="009D3FB5" w14:paraId="74D53626"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328B4C09"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24F0D568"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Técnico o Técnica Judicial 2</w:t>
            </w:r>
          </w:p>
        </w:tc>
      </w:tr>
      <w:tr w:rsidRPr="00AE1B2B" w:rsidR="00AE1B2B" w:rsidTr="009D3FB5" w14:paraId="0AFA3612" w14:textId="77777777">
        <w:trPr>
          <w:trHeight w:val="107"/>
          <w:jc w:val="center"/>
        </w:trPr>
        <w:tc>
          <w:tcPr>
            <w:tcW w:w="2160" w:type="dxa"/>
            <w:vMerge w:val="restart"/>
            <w:tcBorders>
              <w:top w:val="nil"/>
              <w:left w:val="double" w:color="1F4E78" w:sz="6" w:space="0"/>
              <w:bottom w:val="double" w:color="203764" w:sz="6" w:space="0"/>
              <w:right w:val="double" w:color="1F4E78" w:sz="6" w:space="0"/>
            </w:tcBorders>
            <w:shd w:val="clear" w:color="auto" w:fill="auto"/>
            <w:vAlign w:val="center"/>
            <w:hideMark/>
          </w:tcPr>
          <w:p w:rsidRPr="00AE1B2B" w:rsidR="009D3FB5" w:rsidP="00163B94" w:rsidRDefault="009D3FB5" w14:paraId="60CD94AC"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I Circuito Judicial de Guanacaste</w:t>
            </w: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49CD782E"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single" w:color="1F4E78" w:sz="4" w:space="0"/>
              <w:left w:val="nil"/>
              <w:bottom w:val="single" w:color="1F4E78" w:sz="4" w:space="0"/>
              <w:right w:val="double" w:color="1F4E78" w:sz="6" w:space="0"/>
            </w:tcBorders>
            <w:shd w:val="clear" w:color="auto" w:fill="auto"/>
            <w:vAlign w:val="center"/>
            <w:hideMark/>
          </w:tcPr>
          <w:p w:rsidRPr="00AE1B2B" w:rsidR="009D3FB5" w:rsidP="00163B94" w:rsidRDefault="009D3FB5" w14:paraId="6A88538D"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Profesional 2 (Trabajador Social)</w:t>
            </w:r>
          </w:p>
        </w:tc>
      </w:tr>
      <w:tr w:rsidRPr="00AE1B2B" w:rsidR="00AE1B2B" w:rsidTr="009D3FB5" w14:paraId="6DFF2D48" w14:textId="77777777">
        <w:trPr>
          <w:trHeight w:val="20"/>
          <w:jc w:val="center"/>
        </w:trPr>
        <w:tc>
          <w:tcPr>
            <w:tcW w:w="2160" w:type="dxa"/>
            <w:vMerge/>
            <w:tcBorders>
              <w:top w:val="nil"/>
              <w:left w:val="double" w:color="1F4E78" w:sz="6" w:space="0"/>
              <w:bottom w:val="double" w:color="203764" w:sz="6" w:space="0"/>
              <w:right w:val="double" w:color="1F4E78" w:sz="6" w:space="0"/>
            </w:tcBorders>
            <w:vAlign w:val="center"/>
            <w:hideMark/>
          </w:tcPr>
          <w:p w:rsidRPr="00AE1B2B" w:rsidR="009D3FB5" w:rsidP="00163B94" w:rsidRDefault="009D3FB5" w14:paraId="3BF90EF4"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5CBF8C3E"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3B740C0D"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Técnico o Técnica Judicial 2</w:t>
            </w:r>
          </w:p>
        </w:tc>
      </w:tr>
      <w:tr w:rsidRPr="00AE1B2B" w:rsidR="00AE1B2B" w:rsidTr="009D3FB5" w14:paraId="00D4A646" w14:textId="77777777">
        <w:trPr>
          <w:trHeight w:val="185"/>
          <w:jc w:val="center"/>
        </w:trPr>
        <w:tc>
          <w:tcPr>
            <w:tcW w:w="2160" w:type="dxa"/>
            <w:vMerge w:val="restart"/>
            <w:tcBorders>
              <w:top w:val="nil"/>
              <w:left w:val="double" w:color="1F4E78" w:sz="6" w:space="0"/>
              <w:bottom w:val="double" w:color="203764" w:sz="6" w:space="0"/>
              <w:right w:val="double" w:color="1F4E78" w:sz="6" w:space="0"/>
            </w:tcBorders>
            <w:shd w:val="clear" w:color="auto" w:fill="auto"/>
            <w:vAlign w:val="center"/>
            <w:hideMark/>
          </w:tcPr>
          <w:p w:rsidRPr="00AE1B2B" w:rsidR="009D3FB5" w:rsidP="00163B94" w:rsidRDefault="009D3FB5" w14:paraId="717905D6"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II Circuito Judicial de Guanacaste</w:t>
            </w: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4AE1C51F"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double" w:color="203764" w:sz="6" w:space="0"/>
              <w:left w:val="nil"/>
              <w:bottom w:val="single" w:color="1F4E78" w:sz="4" w:space="0"/>
              <w:right w:val="double" w:color="1F4E78" w:sz="6" w:space="0"/>
            </w:tcBorders>
            <w:shd w:val="clear" w:color="auto" w:fill="auto"/>
            <w:vAlign w:val="center"/>
            <w:hideMark/>
          </w:tcPr>
          <w:p w:rsidRPr="00AE1B2B" w:rsidR="009D3FB5" w:rsidP="00163B94" w:rsidRDefault="009D3FB5" w14:paraId="52542322"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Profesional 2 (Trabajador Social)</w:t>
            </w:r>
          </w:p>
        </w:tc>
      </w:tr>
      <w:tr w:rsidRPr="00AE1B2B" w:rsidR="00AE1B2B" w:rsidTr="009D3FB5" w14:paraId="33DF0365" w14:textId="77777777">
        <w:trPr>
          <w:trHeight w:val="76"/>
          <w:jc w:val="center"/>
        </w:trPr>
        <w:tc>
          <w:tcPr>
            <w:tcW w:w="2160" w:type="dxa"/>
            <w:vMerge/>
            <w:tcBorders>
              <w:top w:val="nil"/>
              <w:left w:val="double" w:color="1F4E78" w:sz="6" w:space="0"/>
              <w:bottom w:val="double" w:color="203764" w:sz="6" w:space="0"/>
              <w:right w:val="double" w:color="1F4E78" w:sz="6" w:space="0"/>
            </w:tcBorders>
            <w:vAlign w:val="center"/>
            <w:hideMark/>
          </w:tcPr>
          <w:p w:rsidRPr="00AE1B2B" w:rsidR="009D3FB5" w:rsidP="00163B94" w:rsidRDefault="009D3FB5" w14:paraId="78FB7383"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618B6F9C"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3D45A530"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Defensora o Defensor Público</w:t>
            </w:r>
          </w:p>
        </w:tc>
      </w:tr>
      <w:tr w:rsidRPr="00AE1B2B" w:rsidR="00AE1B2B" w:rsidTr="009D3FB5" w14:paraId="7AF0C1B7" w14:textId="77777777">
        <w:trPr>
          <w:trHeight w:val="20"/>
          <w:jc w:val="center"/>
        </w:trPr>
        <w:tc>
          <w:tcPr>
            <w:tcW w:w="2160" w:type="dxa"/>
            <w:vMerge/>
            <w:tcBorders>
              <w:top w:val="nil"/>
              <w:left w:val="double" w:color="1F4E78" w:sz="6" w:space="0"/>
              <w:bottom w:val="double" w:color="203764" w:sz="6" w:space="0"/>
              <w:right w:val="double" w:color="1F4E78" w:sz="6" w:space="0"/>
            </w:tcBorders>
            <w:vAlign w:val="center"/>
            <w:hideMark/>
          </w:tcPr>
          <w:p w:rsidRPr="00AE1B2B" w:rsidR="009D3FB5" w:rsidP="00163B94" w:rsidRDefault="009D3FB5" w14:paraId="0D92152F"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3843573C"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0A766441"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Fiscala o Fiscal Auxiliar</w:t>
            </w:r>
          </w:p>
        </w:tc>
      </w:tr>
      <w:tr w:rsidRPr="00AE1B2B" w:rsidR="00AE1B2B" w:rsidTr="009D3FB5" w14:paraId="78921139" w14:textId="77777777">
        <w:trPr>
          <w:trHeight w:val="20"/>
          <w:jc w:val="center"/>
        </w:trPr>
        <w:tc>
          <w:tcPr>
            <w:tcW w:w="2160" w:type="dxa"/>
            <w:vMerge/>
            <w:tcBorders>
              <w:top w:val="nil"/>
              <w:left w:val="double" w:color="1F4E78" w:sz="6" w:space="0"/>
              <w:bottom w:val="double" w:color="203764" w:sz="6" w:space="0"/>
              <w:right w:val="double" w:color="1F4E78" w:sz="6" w:space="0"/>
            </w:tcBorders>
            <w:vAlign w:val="center"/>
            <w:hideMark/>
          </w:tcPr>
          <w:p w:rsidRPr="00AE1B2B" w:rsidR="009D3FB5" w:rsidP="00163B94" w:rsidRDefault="009D3FB5" w14:paraId="01447ADA"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double" w:color="203764" w:sz="6" w:space="0"/>
              <w:right w:val="double" w:color="1F4E78" w:sz="6" w:space="0"/>
            </w:tcBorders>
            <w:shd w:val="clear" w:color="auto" w:fill="auto"/>
            <w:vAlign w:val="center"/>
            <w:hideMark/>
          </w:tcPr>
          <w:p w:rsidRPr="00AE1B2B" w:rsidR="009D3FB5" w:rsidP="00163B94" w:rsidRDefault="009D3FB5" w14:paraId="3B29A9EE"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double" w:color="203764" w:sz="6" w:space="0"/>
              <w:right w:val="double" w:color="1F4E78" w:sz="6" w:space="0"/>
            </w:tcBorders>
            <w:shd w:val="clear" w:color="auto" w:fill="auto"/>
            <w:vAlign w:val="center"/>
            <w:hideMark/>
          </w:tcPr>
          <w:p w:rsidRPr="00AE1B2B" w:rsidR="009D3FB5" w:rsidP="00163B94" w:rsidRDefault="009D3FB5" w14:paraId="4868D3CC"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Técnico o Técnica Judicial 2</w:t>
            </w:r>
          </w:p>
        </w:tc>
      </w:tr>
      <w:tr w:rsidRPr="00AE1B2B" w:rsidR="00AE1B2B" w:rsidTr="009D3FB5" w14:paraId="4AE89C7D" w14:textId="77777777">
        <w:trPr>
          <w:trHeight w:val="460"/>
          <w:jc w:val="center"/>
        </w:trPr>
        <w:tc>
          <w:tcPr>
            <w:tcW w:w="2160" w:type="dxa"/>
            <w:tcBorders>
              <w:top w:val="nil"/>
              <w:left w:val="double" w:color="1F4E78" w:sz="6" w:space="0"/>
              <w:bottom w:val="double" w:color="203764" w:sz="6" w:space="0"/>
              <w:right w:val="double" w:color="1F4E78" w:sz="6" w:space="0"/>
            </w:tcBorders>
            <w:shd w:val="clear" w:color="auto" w:fill="auto"/>
            <w:vAlign w:val="center"/>
            <w:hideMark/>
          </w:tcPr>
          <w:p w:rsidRPr="00AE1B2B" w:rsidR="009D3FB5" w:rsidP="00163B94" w:rsidRDefault="009D3FB5" w14:paraId="16ABA8ED"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I Circuito Judicial de la Zona Atlántica</w:t>
            </w:r>
          </w:p>
        </w:tc>
        <w:tc>
          <w:tcPr>
            <w:tcW w:w="1078" w:type="dxa"/>
            <w:tcBorders>
              <w:top w:val="nil"/>
              <w:left w:val="nil"/>
              <w:bottom w:val="double" w:color="203764" w:sz="6" w:space="0"/>
              <w:right w:val="double" w:color="1F4E78" w:sz="6" w:space="0"/>
            </w:tcBorders>
            <w:shd w:val="clear" w:color="auto" w:fill="auto"/>
            <w:vAlign w:val="center"/>
            <w:hideMark/>
          </w:tcPr>
          <w:p w:rsidRPr="00AE1B2B" w:rsidR="009D3FB5" w:rsidP="00163B94" w:rsidRDefault="009D3FB5" w14:paraId="527C5141"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double" w:color="203764" w:sz="6" w:space="0"/>
              <w:right w:val="double" w:color="1F4E78" w:sz="6" w:space="0"/>
            </w:tcBorders>
            <w:shd w:val="clear" w:color="auto" w:fill="auto"/>
            <w:vAlign w:val="center"/>
            <w:hideMark/>
          </w:tcPr>
          <w:p w:rsidRPr="00AE1B2B" w:rsidR="009D3FB5" w:rsidP="00163B94" w:rsidRDefault="009D3FB5" w14:paraId="06461D8F"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Técnico o Técnica Judicial 2</w:t>
            </w:r>
          </w:p>
        </w:tc>
      </w:tr>
      <w:tr w:rsidRPr="00AE1B2B" w:rsidR="00AE1B2B" w:rsidTr="009D3FB5" w14:paraId="501CD20D" w14:textId="77777777">
        <w:trPr>
          <w:trHeight w:val="121"/>
          <w:jc w:val="center"/>
        </w:trPr>
        <w:tc>
          <w:tcPr>
            <w:tcW w:w="2160" w:type="dxa"/>
            <w:vMerge w:val="restart"/>
            <w:tcBorders>
              <w:top w:val="nil"/>
              <w:left w:val="double" w:color="1F4E78" w:sz="6" w:space="0"/>
              <w:bottom w:val="double" w:color="203764" w:sz="6" w:space="0"/>
              <w:right w:val="double" w:color="1F4E78" w:sz="6" w:space="0"/>
            </w:tcBorders>
            <w:shd w:val="clear" w:color="auto" w:fill="auto"/>
            <w:vAlign w:val="center"/>
            <w:hideMark/>
          </w:tcPr>
          <w:p w:rsidRPr="00AE1B2B" w:rsidR="009D3FB5" w:rsidP="00163B94" w:rsidRDefault="009D3FB5" w14:paraId="58C84153"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II Circuito Judicial de la Zona Atlántica</w:t>
            </w: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157EE5CC"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40427204"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Profesional 2 (Psicólogo)</w:t>
            </w:r>
          </w:p>
        </w:tc>
      </w:tr>
      <w:tr w:rsidRPr="00AE1B2B" w:rsidR="00AE1B2B" w:rsidTr="009D3FB5" w14:paraId="1992D474" w14:textId="77777777">
        <w:trPr>
          <w:trHeight w:val="167"/>
          <w:jc w:val="center"/>
        </w:trPr>
        <w:tc>
          <w:tcPr>
            <w:tcW w:w="2160" w:type="dxa"/>
            <w:vMerge/>
            <w:tcBorders>
              <w:top w:val="nil"/>
              <w:left w:val="double" w:color="1F4E78" w:sz="6" w:space="0"/>
              <w:bottom w:val="double" w:color="203764" w:sz="6" w:space="0"/>
              <w:right w:val="double" w:color="1F4E78" w:sz="6" w:space="0"/>
            </w:tcBorders>
            <w:vAlign w:val="center"/>
            <w:hideMark/>
          </w:tcPr>
          <w:p w:rsidRPr="00AE1B2B" w:rsidR="009D3FB5" w:rsidP="00163B94" w:rsidRDefault="009D3FB5" w14:paraId="7CB32B50"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double" w:color="203764" w:sz="6" w:space="0"/>
              <w:right w:val="double" w:color="1F4E78" w:sz="6" w:space="0"/>
            </w:tcBorders>
            <w:shd w:val="clear" w:color="auto" w:fill="auto"/>
            <w:vAlign w:val="center"/>
            <w:hideMark/>
          </w:tcPr>
          <w:p w:rsidRPr="00AE1B2B" w:rsidR="009D3FB5" w:rsidP="00163B94" w:rsidRDefault="009D3FB5" w14:paraId="0091A02A"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double" w:color="203764" w:sz="6" w:space="0"/>
              <w:right w:val="double" w:color="1F4E78" w:sz="6" w:space="0"/>
            </w:tcBorders>
            <w:shd w:val="clear" w:color="auto" w:fill="auto"/>
            <w:vAlign w:val="center"/>
            <w:hideMark/>
          </w:tcPr>
          <w:p w:rsidRPr="00AE1B2B" w:rsidR="009D3FB5" w:rsidP="00163B94" w:rsidRDefault="009D3FB5" w14:paraId="6DBA27B9"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Técnico o Técnica Judicial 2</w:t>
            </w:r>
          </w:p>
        </w:tc>
      </w:tr>
      <w:tr w:rsidRPr="00AE1B2B" w:rsidR="00AE1B2B" w:rsidTr="009D3FB5" w14:paraId="2CDC150D" w14:textId="77777777">
        <w:trPr>
          <w:trHeight w:val="310"/>
          <w:jc w:val="center"/>
        </w:trPr>
        <w:tc>
          <w:tcPr>
            <w:tcW w:w="2160" w:type="dxa"/>
            <w:vMerge w:val="restart"/>
            <w:tcBorders>
              <w:top w:val="nil"/>
              <w:left w:val="double" w:color="1F4E78" w:sz="6" w:space="0"/>
              <w:bottom w:val="double" w:color="203764" w:sz="6" w:space="0"/>
              <w:right w:val="double" w:color="1F4E78" w:sz="6" w:space="0"/>
            </w:tcBorders>
            <w:shd w:val="clear" w:color="auto" w:fill="auto"/>
            <w:vAlign w:val="center"/>
            <w:hideMark/>
          </w:tcPr>
          <w:p w:rsidRPr="00AE1B2B" w:rsidR="009D3FB5" w:rsidP="00163B94" w:rsidRDefault="009D3FB5" w14:paraId="30ED28E7"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Puntarenas</w:t>
            </w: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1546F9B1"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5EE5B19F"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Profesional 2 (Trabajador Social)</w:t>
            </w:r>
          </w:p>
        </w:tc>
      </w:tr>
      <w:tr w:rsidRPr="00AE1B2B" w:rsidR="00AE1B2B" w:rsidTr="009D3FB5" w14:paraId="75C8D5AE" w14:textId="77777777">
        <w:trPr>
          <w:trHeight w:val="310"/>
          <w:jc w:val="center"/>
        </w:trPr>
        <w:tc>
          <w:tcPr>
            <w:tcW w:w="2160" w:type="dxa"/>
            <w:vMerge/>
            <w:tcBorders>
              <w:top w:val="nil"/>
              <w:left w:val="double" w:color="1F4E78" w:sz="6" w:space="0"/>
              <w:bottom w:val="double" w:color="203764" w:sz="6" w:space="0"/>
              <w:right w:val="double" w:color="1F4E78" w:sz="6" w:space="0"/>
            </w:tcBorders>
            <w:vAlign w:val="center"/>
            <w:hideMark/>
          </w:tcPr>
          <w:p w:rsidRPr="00AE1B2B" w:rsidR="009D3FB5" w:rsidP="00163B94" w:rsidRDefault="009D3FB5" w14:paraId="122069F8"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double" w:color="203764" w:sz="6" w:space="0"/>
              <w:right w:val="double" w:color="1F4E78" w:sz="6" w:space="0"/>
            </w:tcBorders>
            <w:shd w:val="clear" w:color="auto" w:fill="auto"/>
            <w:vAlign w:val="center"/>
            <w:hideMark/>
          </w:tcPr>
          <w:p w:rsidRPr="00AE1B2B" w:rsidR="009D3FB5" w:rsidP="00163B94" w:rsidRDefault="009D3FB5" w14:paraId="008E0532"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double" w:color="203764" w:sz="6" w:space="0"/>
              <w:right w:val="double" w:color="1F4E78" w:sz="6" w:space="0"/>
            </w:tcBorders>
            <w:shd w:val="clear" w:color="auto" w:fill="auto"/>
            <w:vAlign w:val="center"/>
            <w:hideMark/>
          </w:tcPr>
          <w:p w:rsidRPr="00AE1B2B" w:rsidR="009D3FB5" w:rsidP="00163B94" w:rsidRDefault="009D3FB5" w14:paraId="636A082F"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Técnico o Técnica Judicial 2</w:t>
            </w:r>
          </w:p>
        </w:tc>
      </w:tr>
      <w:tr w:rsidRPr="00AE1B2B" w:rsidR="00AE1B2B" w:rsidTr="009D3FB5" w14:paraId="16141D16" w14:textId="77777777">
        <w:trPr>
          <w:trHeight w:val="53"/>
          <w:jc w:val="center"/>
        </w:trPr>
        <w:tc>
          <w:tcPr>
            <w:tcW w:w="2160" w:type="dxa"/>
            <w:vMerge w:val="restart"/>
            <w:tcBorders>
              <w:top w:val="nil"/>
              <w:left w:val="double" w:color="1F4E78" w:sz="6" w:space="0"/>
              <w:bottom w:val="double" w:color="1F4E78" w:sz="6" w:space="0"/>
              <w:right w:val="double" w:color="1F4E78" w:sz="6" w:space="0"/>
            </w:tcBorders>
            <w:shd w:val="clear" w:color="auto" w:fill="auto"/>
            <w:vAlign w:val="center"/>
            <w:hideMark/>
          </w:tcPr>
          <w:p w:rsidRPr="00AE1B2B" w:rsidR="009D3FB5" w:rsidP="00163B94" w:rsidRDefault="009D3FB5" w14:paraId="34BA5B03"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Bienestar Integral del Personal Judicial</w:t>
            </w:r>
          </w:p>
        </w:tc>
        <w:tc>
          <w:tcPr>
            <w:tcW w:w="1078" w:type="dxa"/>
            <w:tcBorders>
              <w:top w:val="nil"/>
              <w:left w:val="nil"/>
              <w:bottom w:val="nil"/>
              <w:right w:val="double" w:color="1F4E78" w:sz="6" w:space="0"/>
            </w:tcBorders>
            <w:shd w:val="clear" w:color="auto" w:fill="auto"/>
            <w:vAlign w:val="center"/>
            <w:hideMark/>
          </w:tcPr>
          <w:p w:rsidRPr="00AE1B2B" w:rsidR="009D3FB5" w:rsidP="00163B94" w:rsidRDefault="009D3FB5" w14:paraId="6C426405"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4A03FD2A"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Profesional en Derecho 3B</w:t>
            </w:r>
          </w:p>
        </w:tc>
      </w:tr>
      <w:tr w:rsidRPr="00AE1B2B" w:rsidR="00AE1B2B" w:rsidTr="009D3FB5" w14:paraId="0DA821E9" w14:textId="77777777">
        <w:trPr>
          <w:trHeight w:val="242"/>
          <w:jc w:val="center"/>
        </w:trPr>
        <w:tc>
          <w:tcPr>
            <w:tcW w:w="2160" w:type="dxa"/>
            <w:vMerge/>
            <w:tcBorders>
              <w:top w:val="nil"/>
              <w:left w:val="double" w:color="1F4E78" w:sz="6" w:space="0"/>
              <w:bottom w:val="double" w:color="1F4E78" w:sz="6" w:space="0"/>
              <w:right w:val="double" w:color="1F4E78" w:sz="6" w:space="0"/>
            </w:tcBorders>
            <w:vAlign w:val="center"/>
            <w:hideMark/>
          </w:tcPr>
          <w:p w:rsidRPr="00AE1B2B" w:rsidR="009D3FB5" w:rsidP="00163B94" w:rsidRDefault="009D3FB5" w14:paraId="1CAC8CE4" w14:textId="77777777">
            <w:pPr>
              <w:spacing w:before="120" w:after="120"/>
              <w:rPr>
                <w:rFonts w:ascii="Times New Roman" w:hAnsi="Times New Roman" w:eastAsia="Times New Roman" w:cs="Times New Roman"/>
                <w:b/>
                <w:bCs/>
                <w:sz w:val="16"/>
                <w:szCs w:val="16"/>
                <w:lang w:eastAsia="es-CR"/>
              </w:rPr>
            </w:pPr>
          </w:p>
        </w:tc>
        <w:tc>
          <w:tcPr>
            <w:tcW w:w="1078" w:type="dxa"/>
            <w:tcBorders>
              <w:top w:val="single" w:color="1F4E78" w:sz="4" w:space="0"/>
              <w:left w:val="nil"/>
              <w:bottom w:val="single" w:color="1F4E78" w:sz="4" w:space="0"/>
              <w:right w:val="double" w:color="1F4E78" w:sz="6" w:space="0"/>
            </w:tcBorders>
            <w:shd w:val="clear" w:color="auto" w:fill="auto"/>
            <w:vAlign w:val="center"/>
            <w:hideMark/>
          </w:tcPr>
          <w:p w:rsidRPr="00AE1B2B" w:rsidR="009D3FB5" w:rsidP="00163B94" w:rsidRDefault="009D3FB5" w14:paraId="22A5CDA3"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4DCEB2A4"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Profesional 2 (Psicólogo)</w:t>
            </w:r>
          </w:p>
        </w:tc>
      </w:tr>
      <w:tr w:rsidRPr="00AE1B2B" w:rsidR="00AE1B2B" w:rsidTr="009D3FB5" w14:paraId="32D141B7" w14:textId="77777777">
        <w:trPr>
          <w:trHeight w:val="240"/>
          <w:jc w:val="center"/>
        </w:trPr>
        <w:tc>
          <w:tcPr>
            <w:tcW w:w="2160" w:type="dxa"/>
            <w:vMerge/>
            <w:tcBorders>
              <w:top w:val="nil"/>
              <w:left w:val="double" w:color="1F4E78" w:sz="6" w:space="0"/>
              <w:bottom w:val="double" w:color="1F4E78" w:sz="6" w:space="0"/>
              <w:right w:val="double" w:color="1F4E78" w:sz="6" w:space="0"/>
            </w:tcBorders>
            <w:vAlign w:val="center"/>
            <w:hideMark/>
          </w:tcPr>
          <w:p w:rsidRPr="00AE1B2B" w:rsidR="009D3FB5" w:rsidP="00163B94" w:rsidRDefault="009D3FB5" w14:paraId="0629A371"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066FD795"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single" w:color="1F4E78" w:sz="4" w:space="0"/>
              <w:right w:val="double" w:color="1F4E78" w:sz="6" w:space="0"/>
            </w:tcBorders>
            <w:shd w:val="clear" w:color="auto" w:fill="auto"/>
            <w:vAlign w:val="center"/>
            <w:hideMark/>
          </w:tcPr>
          <w:p w:rsidRPr="00AE1B2B" w:rsidR="009D3FB5" w:rsidP="00163B94" w:rsidRDefault="009D3FB5" w14:paraId="0BAE2515"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Profesional 2 (Trabajador Social)</w:t>
            </w:r>
          </w:p>
        </w:tc>
      </w:tr>
      <w:tr w:rsidRPr="00AE1B2B" w:rsidR="00AE1B2B" w:rsidTr="009D3FB5" w14:paraId="4484726A" w14:textId="77777777">
        <w:trPr>
          <w:trHeight w:val="240"/>
          <w:jc w:val="center"/>
        </w:trPr>
        <w:tc>
          <w:tcPr>
            <w:tcW w:w="2160" w:type="dxa"/>
            <w:vMerge/>
            <w:tcBorders>
              <w:top w:val="nil"/>
              <w:left w:val="double" w:color="1F4E78" w:sz="6" w:space="0"/>
              <w:bottom w:val="double" w:color="1F4E78" w:sz="6" w:space="0"/>
              <w:right w:val="double" w:color="1F4E78" w:sz="6" w:space="0"/>
            </w:tcBorders>
            <w:vAlign w:val="center"/>
            <w:hideMark/>
          </w:tcPr>
          <w:p w:rsidRPr="00AE1B2B" w:rsidR="009D3FB5" w:rsidP="00163B94" w:rsidRDefault="009D3FB5" w14:paraId="20D2CDF8" w14:textId="77777777">
            <w:pPr>
              <w:spacing w:before="120" w:after="120"/>
              <w:rPr>
                <w:rFonts w:ascii="Times New Roman" w:hAnsi="Times New Roman" w:eastAsia="Times New Roman" w:cs="Times New Roman"/>
                <w:b/>
                <w:bCs/>
                <w:sz w:val="16"/>
                <w:szCs w:val="16"/>
                <w:lang w:eastAsia="es-CR"/>
              </w:rPr>
            </w:pPr>
          </w:p>
        </w:tc>
        <w:tc>
          <w:tcPr>
            <w:tcW w:w="1078"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52345751"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w:t>
            </w:r>
          </w:p>
        </w:tc>
        <w:tc>
          <w:tcPr>
            <w:tcW w:w="2551"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3D06AF6B"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Técnico o Técnica Judicial 2</w:t>
            </w:r>
          </w:p>
        </w:tc>
      </w:tr>
    </w:tbl>
    <w:p w:rsidRPr="00AE1B2B" w:rsidR="009D3FB5" w:rsidP="00163B94" w:rsidRDefault="009D3FB5" w14:paraId="28261E7B" w14:textId="77777777">
      <w:pPr>
        <w:tabs>
          <w:tab w:val="left" w:pos="1560"/>
        </w:tabs>
        <w:spacing w:before="120" w:after="120"/>
        <w:ind w:left="851" w:right="851" w:firstLine="709"/>
        <w:jc w:val="both"/>
        <w:rPr>
          <w:rFonts w:ascii="Times New Roman" w:hAnsi="Times New Roman" w:eastAsia="Times New Roman" w:cs="Times New Roman"/>
          <w:sz w:val="26"/>
          <w:szCs w:val="26"/>
          <w:lang w:eastAsia="es-ES"/>
        </w:rPr>
      </w:pPr>
      <w:r w:rsidRPr="00AE1B2B">
        <w:rPr>
          <w:rFonts w:ascii="Times New Roman" w:hAnsi="Times New Roman" w:eastAsia="Times New Roman" w:cs="Times New Roman"/>
          <w:b/>
          <w:bCs/>
          <w:sz w:val="26"/>
          <w:szCs w:val="26"/>
          <w:lang w:eastAsia="es-ES"/>
        </w:rPr>
        <w:t xml:space="preserve">Fuente: </w:t>
      </w:r>
      <w:r w:rsidRPr="00AE1B2B">
        <w:rPr>
          <w:rFonts w:ascii="Times New Roman" w:hAnsi="Times New Roman" w:eastAsia="Times New Roman" w:cs="Times New Roman"/>
          <w:sz w:val="26"/>
          <w:szCs w:val="26"/>
          <w:lang w:eastAsia="es-ES"/>
        </w:rPr>
        <w:t>Subproceso de Modernización Institucional a partir de la información suministrada por la Dirección de Justicia Restaurativa.</w:t>
      </w:r>
    </w:p>
    <w:p w:rsidRPr="00AE1B2B" w:rsidR="009D3FB5" w:rsidP="00163B94" w:rsidRDefault="009D3FB5" w14:paraId="596C2395" w14:textId="77777777">
      <w:pPr>
        <w:tabs>
          <w:tab w:val="left" w:pos="0"/>
        </w:tabs>
        <w:spacing w:before="120" w:after="120"/>
        <w:ind w:left="851" w:right="851" w:firstLine="709"/>
        <w:jc w:val="both"/>
        <w:rPr>
          <w:rFonts w:ascii="Times New Roman" w:hAnsi="Times New Roman" w:eastAsia="Times New Roman" w:cs="Times New Roman"/>
          <w:b/>
          <w:bCs/>
          <w:sz w:val="26"/>
          <w:szCs w:val="26"/>
          <w:lang w:eastAsia="es-ES"/>
        </w:rPr>
      </w:pPr>
    </w:p>
    <w:p w:rsidRPr="00AE1B2B" w:rsidR="009D3FB5" w:rsidP="00163B94" w:rsidRDefault="009D3FB5" w14:paraId="249DEF3C"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En el caso del personal solicitado para el Programa de Bienestar Integral del Personal Judicial, es importante aclarar que este requerimiento no está contemplado dentro de la Ley 9582 de Justicia Restaurativa; sino que es un programa que inició sus funciones en 2020, con base en la aprobación del </w:t>
      </w:r>
      <w:r w:rsidRPr="00AE1B2B">
        <w:rPr>
          <w:rFonts w:ascii="Times New Roman" w:hAnsi="Times New Roman" w:eastAsia="Calibri" w:cs="Times New Roman"/>
          <w:i/>
          <w:iCs/>
          <w:sz w:val="26"/>
          <w:szCs w:val="26"/>
        </w:rPr>
        <w:t xml:space="preserve">“Reglamento del Programa de Justicia Restaurativa para el Bienestar Integral del Personal Judicial”, </w:t>
      </w:r>
      <w:r w:rsidRPr="00AE1B2B">
        <w:rPr>
          <w:rFonts w:ascii="Times New Roman" w:hAnsi="Times New Roman" w:eastAsia="Calibri" w:cs="Times New Roman"/>
          <w:sz w:val="26"/>
          <w:szCs w:val="26"/>
        </w:rPr>
        <w:t>aprobado en sesión de Corte Plena 39-19 celebrada el 16 de setiembre del 2019, artículo VII.</w:t>
      </w:r>
    </w:p>
    <w:p w:rsidRPr="00AE1B2B" w:rsidR="009D3FB5" w:rsidP="00163B94" w:rsidRDefault="009D3FB5" w14:paraId="59EF9E0C"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588F169D"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0463603A"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A continuación, se muestra la asignación de costos del recurso humano, mobiliario y equipo solicitado:</w:t>
      </w:r>
    </w:p>
    <w:p w:rsidRPr="00AE1B2B" w:rsidR="009D3FB5" w:rsidP="00163B94" w:rsidRDefault="009D3FB5" w14:paraId="736F46B7" w14:textId="77777777">
      <w:pPr>
        <w:spacing w:before="120" w:after="120"/>
        <w:ind w:left="851" w:right="851" w:firstLine="709"/>
        <w:jc w:val="both"/>
        <w:rPr>
          <w:rFonts w:ascii="Times New Roman" w:hAnsi="Times New Roman" w:eastAsia="Calibri" w:cs="Times New Roman"/>
          <w:b/>
          <w:bCs/>
          <w:sz w:val="26"/>
          <w:szCs w:val="26"/>
          <w:lang w:eastAsia="es-CR"/>
        </w:rPr>
      </w:pPr>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22</w:t>
      </w:r>
      <w:r w:rsidRPr="00AE1B2B">
        <w:rPr>
          <w:rFonts w:ascii="Times New Roman" w:hAnsi="Times New Roman" w:eastAsia="Calibri" w:cs="Times New Roman"/>
          <w:b/>
          <w:bCs/>
          <w:sz w:val="26"/>
          <w:szCs w:val="26"/>
        </w:rPr>
        <w:fldChar w:fldCharType="end"/>
      </w:r>
      <w:r w:rsidRPr="00AE1B2B">
        <w:rPr>
          <w:rFonts w:ascii="Times New Roman" w:hAnsi="Times New Roman" w:eastAsia="Calibri" w:cs="Times New Roman"/>
          <w:b/>
          <w:bCs/>
          <w:sz w:val="26"/>
          <w:szCs w:val="26"/>
        </w:rPr>
        <w:t>. Estimación de costos del requerimiento humano, equipo y mobiliario enviado como propuesta de la Oficina Rectora de Justicia Restaurativa para el presupuesto del 2022</w:t>
      </w:r>
    </w:p>
    <w:tbl>
      <w:tblPr>
        <w:tblStyle w:val="Tablaconcuadrcula4-nfasis5"/>
        <w:tblW w:w="7230" w:type="dxa"/>
        <w:tblInd w:w="1129" w:type="dxa"/>
        <w:tblLook w:val="04A0" w:firstRow="1" w:lastRow="0" w:firstColumn="1" w:lastColumn="0" w:noHBand="0" w:noVBand="1"/>
      </w:tblPr>
      <w:tblGrid>
        <w:gridCol w:w="2611"/>
        <w:gridCol w:w="1642"/>
        <w:gridCol w:w="1417"/>
        <w:gridCol w:w="1560"/>
      </w:tblGrid>
      <w:tr w:rsidRPr="00AE1B2B" w:rsidR="00AE1B2B" w:rsidTr="009D3FB5" w14:paraId="4BC4DEEB" w14:textId="77777777">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rsidRPr="00AE1B2B" w:rsidR="009D3FB5" w:rsidP="00163B94" w:rsidRDefault="009D3FB5" w14:paraId="0EF8DCC9" w14:textId="77777777">
            <w:pPr>
              <w:spacing w:before="120" w:after="120"/>
              <w:jc w:val="center"/>
              <w:rPr>
                <w:rFonts w:ascii="Times New Roman" w:hAnsi="Times New Roman" w:eastAsia="Times New Roman" w:cs="Times New Roman"/>
                <w:color w:val="auto"/>
                <w:sz w:val="16"/>
                <w:szCs w:val="16"/>
              </w:rPr>
            </w:pPr>
            <w:r w:rsidRPr="00AE1B2B">
              <w:rPr>
                <w:rFonts w:ascii="Times New Roman" w:hAnsi="Times New Roman" w:eastAsia="Times New Roman" w:cs="Times New Roman"/>
                <w:color w:val="auto"/>
                <w:sz w:val="16"/>
                <w:szCs w:val="16"/>
              </w:rPr>
              <w:t>Circuito</w:t>
            </w:r>
          </w:p>
        </w:tc>
        <w:tc>
          <w:tcPr>
            <w:tcW w:w="1642" w:type="dxa"/>
            <w:noWrap/>
            <w:vAlign w:val="center"/>
            <w:hideMark/>
          </w:tcPr>
          <w:p w:rsidRPr="00AE1B2B" w:rsidR="009D3FB5" w:rsidP="00163B94" w:rsidRDefault="009D3FB5" w14:paraId="7C3AB9B2" w14:textId="7777777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eastAsia="Times New Roman" w:cs="Times New Roman"/>
                <w:color w:val="auto"/>
                <w:sz w:val="16"/>
                <w:szCs w:val="16"/>
              </w:rPr>
            </w:pPr>
            <w:r w:rsidRPr="00AE1B2B">
              <w:rPr>
                <w:rFonts w:ascii="Times New Roman" w:hAnsi="Times New Roman" w:eastAsia="Times New Roman" w:cs="Times New Roman"/>
                <w:color w:val="auto"/>
                <w:sz w:val="16"/>
                <w:szCs w:val="16"/>
              </w:rPr>
              <w:t>Requ. Humano</w:t>
            </w:r>
          </w:p>
        </w:tc>
        <w:tc>
          <w:tcPr>
            <w:tcW w:w="1417" w:type="dxa"/>
            <w:noWrap/>
            <w:vAlign w:val="center"/>
            <w:hideMark/>
          </w:tcPr>
          <w:p w:rsidRPr="00AE1B2B" w:rsidR="009D3FB5" w:rsidP="00163B94" w:rsidRDefault="009D3FB5" w14:paraId="73F2E815" w14:textId="7777777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eastAsia="Times New Roman" w:cs="Times New Roman"/>
                <w:color w:val="auto"/>
                <w:sz w:val="16"/>
                <w:szCs w:val="16"/>
              </w:rPr>
            </w:pPr>
            <w:r w:rsidRPr="00AE1B2B">
              <w:rPr>
                <w:rFonts w:ascii="Times New Roman" w:hAnsi="Times New Roman" w:eastAsia="Times New Roman" w:cs="Times New Roman"/>
                <w:color w:val="auto"/>
                <w:sz w:val="16"/>
                <w:szCs w:val="16"/>
              </w:rPr>
              <w:t>Equipo y Mob</w:t>
            </w:r>
          </w:p>
        </w:tc>
        <w:tc>
          <w:tcPr>
            <w:tcW w:w="1560" w:type="dxa"/>
            <w:noWrap/>
            <w:vAlign w:val="center"/>
            <w:hideMark/>
          </w:tcPr>
          <w:p w:rsidRPr="00AE1B2B" w:rsidR="009D3FB5" w:rsidP="00163B94" w:rsidRDefault="009D3FB5" w14:paraId="48BE68BC" w14:textId="7777777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eastAsia="Times New Roman" w:cs="Times New Roman"/>
                <w:color w:val="auto"/>
                <w:sz w:val="16"/>
                <w:szCs w:val="16"/>
              </w:rPr>
            </w:pPr>
            <w:r w:rsidRPr="00AE1B2B">
              <w:rPr>
                <w:rFonts w:ascii="Times New Roman" w:hAnsi="Times New Roman" w:eastAsia="Times New Roman" w:cs="Times New Roman"/>
                <w:color w:val="auto"/>
                <w:sz w:val="16"/>
                <w:szCs w:val="16"/>
              </w:rPr>
              <w:t>Total</w:t>
            </w:r>
          </w:p>
        </w:tc>
      </w:tr>
      <w:tr w:rsidRPr="00AE1B2B" w:rsidR="00AE1B2B" w:rsidTr="009D3FB5" w14:paraId="62350A86" w14:textId="7777777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rsidRPr="00AE1B2B" w:rsidR="009D3FB5" w:rsidP="00163B94" w:rsidRDefault="009D3FB5" w14:paraId="5AA8C96B" w14:textId="77777777">
            <w:pPr>
              <w:spacing w:before="120" w:after="12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I, II y III Circuito de San José</w:t>
            </w:r>
          </w:p>
        </w:tc>
        <w:tc>
          <w:tcPr>
            <w:tcW w:w="1642" w:type="dxa"/>
            <w:noWrap/>
            <w:vAlign w:val="center"/>
            <w:hideMark/>
          </w:tcPr>
          <w:p w:rsidRPr="00AE1B2B" w:rsidR="009D3FB5" w:rsidP="00163B94" w:rsidRDefault="009D3FB5" w14:paraId="1843E4DE"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64 354 000.00 </w:t>
            </w:r>
          </w:p>
        </w:tc>
        <w:tc>
          <w:tcPr>
            <w:tcW w:w="1417" w:type="dxa"/>
            <w:noWrap/>
            <w:vAlign w:val="center"/>
            <w:hideMark/>
          </w:tcPr>
          <w:p w:rsidRPr="00AE1B2B" w:rsidR="009D3FB5" w:rsidP="00163B94" w:rsidRDefault="009D3FB5" w14:paraId="7FAFC7B3"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4 047 292.75 </w:t>
            </w:r>
          </w:p>
        </w:tc>
        <w:tc>
          <w:tcPr>
            <w:tcW w:w="1560" w:type="dxa"/>
            <w:noWrap/>
            <w:vAlign w:val="center"/>
            <w:hideMark/>
          </w:tcPr>
          <w:p w:rsidRPr="00AE1B2B" w:rsidR="009D3FB5" w:rsidP="00163B94" w:rsidRDefault="009D3FB5" w14:paraId="158D20EE"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68 401 292.75 </w:t>
            </w:r>
          </w:p>
        </w:tc>
      </w:tr>
      <w:tr w:rsidRPr="00AE1B2B" w:rsidR="00AE1B2B" w:rsidTr="009D3FB5" w14:paraId="3F233479" w14:textId="77777777">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rsidRPr="00AE1B2B" w:rsidR="009D3FB5" w:rsidP="00163B94" w:rsidRDefault="009D3FB5" w14:paraId="27E19C22" w14:textId="77777777">
            <w:pPr>
              <w:spacing w:before="120" w:after="12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lastRenderedPageBreak/>
              <w:t>I Circuito Judicial de Alajuela</w:t>
            </w:r>
          </w:p>
        </w:tc>
        <w:tc>
          <w:tcPr>
            <w:tcW w:w="1642" w:type="dxa"/>
            <w:noWrap/>
            <w:vAlign w:val="center"/>
            <w:hideMark/>
          </w:tcPr>
          <w:p w:rsidRPr="00AE1B2B" w:rsidR="009D3FB5" w:rsidP="00163B94" w:rsidRDefault="009D3FB5" w14:paraId="152F9BF2"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49 834 000.00 </w:t>
            </w:r>
          </w:p>
        </w:tc>
        <w:tc>
          <w:tcPr>
            <w:tcW w:w="1417" w:type="dxa"/>
            <w:noWrap/>
            <w:vAlign w:val="center"/>
            <w:hideMark/>
          </w:tcPr>
          <w:p w:rsidRPr="00AE1B2B" w:rsidR="009D3FB5" w:rsidP="00163B94" w:rsidRDefault="009D3FB5" w14:paraId="5E7E535A"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2 862 782.68 </w:t>
            </w:r>
          </w:p>
        </w:tc>
        <w:tc>
          <w:tcPr>
            <w:tcW w:w="1560" w:type="dxa"/>
            <w:noWrap/>
            <w:vAlign w:val="center"/>
            <w:hideMark/>
          </w:tcPr>
          <w:p w:rsidRPr="00AE1B2B" w:rsidR="009D3FB5" w:rsidP="00163B94" w:rsidRDefault="009D3FB5" w14:paraId="2F5085A1"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52 696 782.68 </w:t>
            </w:r>
          </w:p>
        </w:tc>
      </w:tr>
      <w:tr w:rsidRPr="00AE1B2B" w:rsidR="00AE1B2B" w:rsidTr="009D3FB5" w14:paraId="019F8B2E" w14:textId="7777777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rsidRPr="00AE1B2B" w:rsidR="009D3FB5" w:rsidP="00163B94" w:rsidRDefault="009D3FB5" w14:paraId="44A0EEA2" w14:textId="77777777">
            <w:pPr>
              <w:spacing w:before="120" w:after="12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II Circuito Judicial de Alajuela</w:t>
            </w:r>
          </w:p>
        </w:tc>
        <w:tc>
          <w:tcPr>
            <w:tcW w:w="1642" w:type="dxa"/>
            <w:noWrap/>
            <w:vAlign w:val="center"/>
            <w:hideMark/>
          </w:tcPr>
          <w:p w:rsidRPr="00AE1B2B" w:rsidR="009D3FB5" w:rsidP="00163B94" w:rsidRDefault="009D3FB5" w14:paraId="6CEF8D2C"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153 335 000.00 </w:t>
            </w:r>
          </w:p>
        </w:tc>
        <w:tc>
          <w:tcPr>
            <w:tcW w:w="1417" w:type="dxa"/>
            <w:noWrap/>
            <w:vAlign w:val="center"/>
            <w:hideMark/>
          </w:tcPr>
          <w:p w:rsidRPr="00AE1B2B" w:rsidR="009D3FB5" w:rsidP="00163B94" w:rsidRDefault="009D3FB5" w14:paraId="3D07C666"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6 219 327.90 </w:t>
            </w:r>
          </w:p>
        </w:tc>
        <w:tc>
          <w:tcPr>
            <w:tcW w:w="1560" w:type="dxa"/>
            <w:noWrap/>
            <w:vAlign w:val="center"/>
            <w:hideMark/>
          </w:tcPr>
          <w:p w:rsidRPr="00AE1B2B" w:rsidR="009D3FB5" w:rsidP="00163B94" w:rsidRDefault="009D3FB5" w14:paraId="6E5302CE"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159 554 327.90 </w:t>
            </w:r>
          </w:p>
        </w:tc>
      </w:tr>
      <w:tr w:rsidRPr="00AE1B2B" w:rsidR="00AE1B2B" w:rsidTr="009D3FB5" w14:paraId="44BC9995" w14:textId="77777777">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rsidRPr="00AE1B2B" w:rsidR="009D3FB5" w:rsidP="00163B94" w:rsidRDefault="009D3FB5" w14:paraId="60AB1E61" w14:textId="77777777">
            <w:pPr>
              <w:spacing w:before="120" w:after="12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III Circuito Judicial de Alajuela</w:t>
            </w:r>
          </w:p>
        </w:tc>
        <w:tc>
          <w:tcPr>
            <w:tcW w:w="1642" w:type="dxa"/>
            <w:noWrap/>
            <w:vAlign w:val="center"/>
            <w:hideMark/>
          </w:tcPr>
          <w:p w:rsidRPr="00AE1B2B" w:rsidR="009D3FB5" w:rsidP="00163B94" w:rsidRDefault="009D3FB5" w14:paraId="1FB951B3"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153 335 000.00 </w:t>
            </w:r>
          </w:p>
        </w:tc>
        <w:tc>
          <w:tcPr>
            <w:tcW w:w="1417" w:type="dxa"/>
            <w:noWrap/>
            <w:vAlign w:val="center"/>
            <w:hideMark/>
          </w:tcPr>
          <w:p w:rsidRPr="00AE1B2B" w:rsidR="009D3FB5" w:rsidP="00163B94" w:rsidRDefault="009D3FB5" w14:paraId="237FF288"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6 219 327.90 </w:t>
            </w:r>
          </w:p>
        </w:tc>
        <w:tc>
          <w:tcPr>
            <w:tcW w:w="1560" w:type="dxa"/>
            <w:noWrap/>
            <w:vAlign w:val="center"/>
            <w:hideMark/>
          </w:tcPr>
          <w:p w:rsidRPr="00AE1B2B" w:rsidR="009D3FB5" w:rsidP="00163B94" w:rsidRDefault="009D3FB5" w14:paraId="7E880F36"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159 554 327.90 </w:t>
            </w:r>
          </w:p>
        </w:tc>
      </w:tr>
      <w:tr w:rsidRPr="00AE1B2B" w:rsidR="00AE1B2B" w:rsidTr="009D3FB5" w14:paraId="59482DFC" w14:textId="7777777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rsidRPr="00AE1B2B" w:rsidR="009D3FB5" w:rsidP="00163B94" w:rsidRDefault="009D3FB5" w14:paraId="125CB27D" w14:textId="77777777">
            <w:pPr>
              <w:spacing w:before="120" w:after="12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Cartago</w:t>
            </w:r>
          </w:p>
        </w:tc>
        <w:tc>
          <w:tcPr>
            <w:tcW w:w="1642" w:type="dxa"/>
            <w:noWrap/>
            <w:vAlign w:val="center"/>
            <w:hideMark/>
          </w:tcPr>
          <w:p w:rsidRPr="00AE1B2B" w:rsidR="009D3FB5" w:rsidP="00163B94" w:rsidRDefault="009D3FB5" w14:paraId="09381239"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49 834 000.00 </w:t>
            </w:r>
          </w:p>
        </w:tc>
        <w:tc>
          <w:tcPr>
            <w:tcW w:w="1417" w:type="dxa"/>
            <w:noWrap/>
            <w:vAlign w:val="center"/>
            <w:hideMark/>
          </w:tcPr>
          <w:p w:rsidRPr="00AE1B2B" w:rsidR="009D3FB5" w:rsidP="00163B94" w:rsidRDefault="009D3FB5" w14:paraId="471FB9A6"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2 862 782.68 </w:t>
            </w:r>
          </w:p>
        </w:tc>
        <w:tc>
          <w:tcPr>
            <w:tcW w:w="1560" w:type="dxa"/>
            <w:noWrap/>
            <w:vAlign w:val="center"/>
            <w:hideMark/>
          </w:tcPr>
          <w:p w:rsidRPr="00AE1B2B" w:rsidR="009D3FB5" w:rsidP="00163B94" w:rsidRDefault="009D3FB5" w14:paraId="2721DDD6"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52 696 782.68 </w:t>
            </w:r>
          </w:p>
        </w:tc>
      </w:tr>
      <w:tr w:rsidRPr="00AE1B2B" w:rsidR="00AE1B2B" w:rsidTr="009D3FB5" w14:paraId="3AF10F2E" w14:textId="77777777">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rsidRPr="00AE1B2B" w:rsidR="009D3FB5" w:rsidP="00163B94" w:rsidRDefault="009D3FB5" w14:paraId="4119152F" w14:textId="77777777">
            <w:pPr>
              <w:spacing w:before="120" w:after="12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Heredia</w:t>
            </w:r>
          </w:p>
        </w:tc>
        <w:tc>
          <w:tcPr>
            <w:tcW w:w="1642" w:type="dxa"/>
            <w:noWrap/>
            <w:vAlign w:val="center"/>
            <w:hideMark/>
          </w:tcPr>
          <w:p w:rsidRPr="00AE1B2B" w:rsidR="009D3FB5" w:rsidP="00163B94" w:rsidRDefault="009D3FB5" w14:paraId="7A4E707B"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49 834 000.00 </w:t>
            </w:r>
          </w:p>
        </w:tc>
        <w:tc>
          <w:tcPr>
            <w:tcW w:w="1417" w:type="dxa"/>
            <w:noWrap/>
            <w:vAlign w:val="center"/>
            <w:hideMark/>
          </w:tcPr>
          <w:p w:rsidRPr="00AE1B2B" w:rsidR="009D3FB5" w:rsidP="00163B94" w:rsidRDefault="009D3FB5" w14:paraId="2E3E18AB"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2 862 782.68 </w:t>
            </w:r>
          </w:p>
        </w:tc>
        <w:tc>
          <w:tcPr>
            <w:tcW w:w="1560" w:type="dxa"/>
            <w:noWrap/>
            <w:vAlign w:val="center"/>
            <w:hideMark/>
          </w:tcPr>
          <w:p w:rsidRPr="00AE1B2B" w:rsidR="009D3FB5" w:rsidP="00163B94" w:rsidRDefault="009D3FB5" w14:paraId="1F4526E0"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52 696 782.68 </w:t>
            </w:r>
          </w:p>
        </w:tc>
      </w:tr>
      <w:tr w:rsidRPr="00AE1B2B" w:rsidR="00AE1B2B" w:rsidTr="009D3FB5" w14:paraId="46FBB28F" w14:textId="7777777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rsidRPr="00AE1B2B" w:rsidR="009D3FB5" w:rsidP="00163B94" w:rsidRDefault="009D3FB5" w14:paraId="4CE02D34" w14:textId="77777777">
            <w:pPr>
              <w:spacing w:before="120" w:after="12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I Circuito Judicial Zona Sur</w:t>
            </w:r>
          </w:p>
        </w:tc>
        <w:tc>
          <w:tcPr>
            <w:tcW w:w="1642" w:type="dxa"/>
            <w:noWrap/>
            <w:vAlign w:val="center"/>
            <w:hideMark/>
          </w:tcPr>
          <w:p w:rsidRPr="00AE1B2B" w:rsidR="009D3FB5" w:rsidP="00163B94" w:rsidRDefault="009D3FB5" w14:paraId="4F330765"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14 520 000.00 </w:t>
            </w:r>
          </w:p>
        </w:tc>
        <w:tc>
          <w:tcPr>
            <w:tcW w:w="1417" w:type="dxa"/>
            <w:noWrap/>
            <w:vAlign w:val="center"/>
            <w:hideMark/>
          </w:tcPr>
          <w:p w:rsidRPr="00AE1B2B" w:rsidR="009D3FB5" w:rsidP="00163B94" w:rsidRDefault="009D3FB5" w14:paraId="73AF8FEB"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1 184 510.07 </w:t>
            </w:r>
          </w:p>
        </w:tc>
        <w:tc>
          <w:tcPr>
            <w:tcW w:w="1560" w:type="dxa"/>
            <w:noWrap/>
            <w:vAlign w:val="center"/>
            <w:hideMark/>
          </w:tcPr>
          <w:p w:rsidRPr="00AE1B2B" w:rsidR="009D3FB5" w:rsidP="00163B94" w:rsidRDefault="009D3FB5" w14:paraId="31312F98"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15 704 510.07 </w:t>
            </w:r>
          </w:p>
        </w:tc>
      </w:tr>
      <w:tr w:rsidRPr="00AE1B2B" w:rsidR="00AE1B2B" w:rsidTr="009D3FB5" w14:paraId="75D170C2" w14:textId="77777777">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rsidRPr="00AE1B2B" w:rsidR="009D3FB5" w:rsidP="00163B94" w:rsidRDefault="009D3FB5" w14:paraId="40FDF7B5" w14:textId="77777777">
            <w:pPr>
              <w:spacing w:before="120" w:after="12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II Circuito Judicial Zona Sur</w:t>
            </w:r>
          </w:p>
        </w:tc>
        <w:tc>
          <w:tcPr>
            <w:tcW w:w="1642" w:type="dxa"/>
            <w:noWrap/>
            <w:vAlign w:val="center"/>
            <w:hideMark/>
          </w:tcPr>
          <w:p w:rsidRPr="00AE1B2B" w:rsidR="009D3FB5" w:rsidP="00163B94" w:rsidRDefault="009D3FB5" w14:paraId="6A14B9D6"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49 834 000.00 </w:t>
            </w:r>
          </w:p>
        </w:tc>
        <w:tc>
          <w:tcPr>
            <w:tcW w:w="1417" w:type="dxa"/>
            <w:noWrap/>
            <w:vAlign w:val="center"/>
            <w:hideMark/>
          </w:tcPr>
          <w:p w:rsidRPr="00AE1B2B" w:rsidR="009D3FB5" w:rsidP="00163B94" w:rsidRDefault="009D3FB5" w14:paraId="382A33D7"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2 862 782.68 </w:t>
            </w:r>
          </w:p>
        </w:tc>
        <w:tc>
          <w:tcPr>
            <w:tcW w:w="1560" w:type="dxa"/>
            <w:noWrap/>
            <w:vAlign w:val="center"/>
            <w:hideMark/>
          </w:tcPr>
          <w:p w:rsidRPr="00AE1B2B" w:rsidR="009D3FB5" w:rsidP="00163B94" w:rsidRDefault="009D3FB5" w14:paraId="46138490"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52 696 782.68 </w:t>
            </w:r>
          </w:p>
        </w:tc>
      </w:tr>
      <w:tr w:rsidRPr="00AE1B2B" w:rsidR="00AE1B2B" w:rsidTr="009D3FB5" w14:paraId="694227F5" w14:textId="7777777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rsidRPr="00AE1B2B" w:rsidR="009D3FB5" w:rsidP="00163B94" w:rsidRDefault="009D3FB5" w14:paraId="7EDFCA9E" w14:textId="77777777">
            <w:pPr>
              <w:spacing w:before="120" w:after="12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I Circuito Judicial de Guanacaste</w:t>
            </w:r>
          </w:p>
        </w:tc>
        <w:tc>
          <w:tcPr>
            <w:tcW w:w="1642" w:type="dxa"/>
            <w:noWrap/>
            <w:vAlign w:val="center"/>
            <w:hideMark/>
          </w:tcPr>
          <w:p w:rsidRPr="00AE1B2B" w:rsidR="009D3FB5" w:rsidP="00163B94" w:rsidRDefault="009D3FB5" w14:paraId="6A6D113F"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49 834 000.00 </w:t>
            </w:r>
          </w:p>
        </w:tc>
        <w:tc>
          <w:tcPr>
            <w:tcW w:w="1417" w:type="dxa"/>
            <w:noWrap/>
            <w:vAlign w:val="center"/>
            <w:hideMark/>
          </w:tcPr>
          <w:p w:rsidRPr="00AE1B2B" w:rsidR="009D3FB5" w:rsidP="00163B94" w:rsidRDefault="009D3FB5" w14:paraId="753B95D8"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2 862 782.68 </w:t>
            </w:r>
          </w:p>
        </w:tc>
        <w:tc>
          <w:tcPr>
            <w:tcW w:w="1560" w:type="dxa"/>
            <w:noWrap/>
            <w:vAlign w:val="center"/>
            <w:hideMark/>
          </w:tcPr>
          <w:p w:rsidRPr="00AE1B2B" w:rsidR="009D3FB5" w:rsidP="00163B94" w:rsidRDefault="009D3FB5" w14:paraId="09F07842"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52 696 782.68 </w:t>
            </w:r>
          </w:p>
        </w:tc>
      </w:tr>
      <w:tr w:rsidRPr="00AE1B2B" w:rsidR="00AE1B2B" w:rsidTr="009D3FB5" w14:paraId="5760F0C0" w14:textId="77777777">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rsidRPr="00AE1B2B" w:rsidR="009D3FB5" w:rsidP="00163B94" w:rsidRDefault="009D3FB5" w14:paraId="2A03D3BF" w14:textId="77777777">
            <w:pPr>
              <w:spacing w:before="120" w:after="12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II Circuito Judicial de Guanacaste</w:t>
            </w:r>
          </w:p>
        </w:tc>
        <w:tc>
          <w:tcPr>
            <w:tcW w:w="1642" w:type="dxa"/>
            <w:noWrap/>
            <w:vAlign w:val="center"/>
            <w:hideMark/>
          </w:tcPr>
          <w:p w:rsidRPr="00AE1B2B" w:rsidR="009D3FB5" w:rsidP="00163B94" w:rsidRDefault="009D3FB5" w14:paraId="6FDF15E2"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153 335 000.00 </w:t>
            </w:r>
          </w:p>
        </w:tc>
        <w:tc>
          <w:tcPr>
            <w:tcW w:w="1417" w:type="dxa"/>
            <w:noWrap/>
            <w:vAlign w:val="center"/>
            <w:hideMark/>
          </w:tcPr>
          <w:p w:rsidRPr="00AE1B2B" w:rsidR="009D3FB5" w:rsidP="00163B94" w:rsidRDefault="009D3FB5" w14:paraId="5C577496"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6 219 327.90 </w:t>
            </w:r>
          </w:p>
        </w:tc>
        <w:tc>
          <w:tcPr>
            <w:tcW w:w="1560" w:type="dxa"/>
            <w:noWrap/>
            <w:vAlign w:val="center"/>
            <w:hideMark/>
          </w:tcPr>
          <w:p w:rsidRPr="00AE1B2B" w:rsidR="009D3FB5" w:rsidP="00163B94" w:rsidRDefault="009D3FB5" w14:paraId="22209781"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159 554 327.90 </w:t>
            </w:r>
          </w:p>
        </w:tc>
      </w:tr>
      <w:tr w:rsidRPr="00AE1B2B" w:rsidR="00AE1B2B" w:rsidTr="009D3FB5" w14:paraId="24A518F4" w14:textId="7777777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rsidRPr="00AE1B2B" w:rsidR="009D3FB5" w:rsidP="00163B94" w:rsidRDefault="009D3FB5" w14:paraId="3D00DB21" w14:textId="77777777">
            <w:pPr>
              <w:spacing w:before="120" w:after="12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I Circuito Judicial de la Zona Atlántica</w:t>
            </w:r>
          </w:p>
        </w:tc>
        <w:tc>
          <w:tcPr>
            <w:tcW w:w="1642" w:type="dxa"/>
            <w:noWrap/>
            <w:vAlign w:val="center"/>
            <w:hideMark/>
          </w:tcPr>
          <w:p w:rsidRPr="00AE1B2B" w:rsidR="009D3FB5" w:rsidP="00163B94" w:rsidRDefault="009D3FB5" w14:paraId="64E3519C"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14 520 000.00 </w:t>
            </w:r>
          </w:p>
        </w:tc>
        <w:tc>
          <w:tcPr>
            <w:tcW w:w="1417" w:type="dxa"/>
            <w:noWrap/>
            <w:vAlign w:val="center"/>
            <w:hideMark/>
          </w:tcPr>
          <w:p w:rsidRPr="00AE1B2B" w:rsidR="009D3FB5" w:rsidP="00163B94" w:rsidRDefault="009D3FB5" w14:paraId="7FBEB897"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1 184 510.07 </w:t>
            </w:r>
          </w:p>
        </w:tc>
        <w:tc>
          <w:tcPr>
            <w:tcW w:w="1560" w:type="dxa"/>
            <w:noWrap/>
            <w:vAlign w:val="center"/>
            <w:hideMark/>
          </w:tcPr>
          <w:p w:rsidRPr="00AE1B2B" w:rsidR="009D3FB5" w:rsidP="00163B94" w:rsidRDefault="009D3FB5" w14:paraId="52BC80C6"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15 704 510.07 </w:t>
            </w:r>
          </w:p>
        </w:tc>
      </w:tr>
      <w:tr w:rsidRPr="00AE1B2B" w:rsidR="00AE1B2B" w:rsidTr="009D3FB5" w14:paraId="3FCE4A53" w14:textId="77777777">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rsidRPr="00AE1B2B" w:rsidR="009D3FB5" w:rsidP="00163B94" w:rsidRDefault="009D3FB5" w14:paraId="6CBB0721" w14:textId="77777777">
            <w:pPr>
              <w:spacing w:before="120" w:after="12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II Circuito Judicial de la Zona Atlántica</w:t>
            </w:r>
          </w:p>
        </w:tc>
        <w:tc>
          <w:tcPr>
            <w:tcW w:w="1642" w:type="dxa"/>
            <w:noWrap/>
            <w:vAlign w:val="center"/>
            <w:hideMark/>
          </w:tcPr>
          <w:p w:rsidRPr="00AE1B2B" w:rsidR="009D3FB5" w:rsidP="00163B94" w:rsidRDefault="009D3FB5" w14:paraId="5E0D698F"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49 834 000.00 </w:t>
            </w:r>
          </w:p>
        </w:tc>
        <w:tc>
          <w:tcPr>
            <w:tcW w:w="1417" w:type="dxa"/>
            <w:noWrap/>
            <w:vAlign w:val="center"/>
            <w:hideMark/>
          </w:tcPr>
          <w:p w:rsidRPr="00AE1B2B" w:rsidR="009D3FB5" w:rsidP="00163B94" w:rsidRDefault="009D3FB5" w14:paraId="4397746E"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2 862 782.68 </w:t>
            </w:r>
          </w:p>
        </w:tc>
        <w:tc>
          <w:tcPr>
            <w:tcW w:w="1560" w:type="dxa"/>
            <w:noWrap/>
            <w:vAlign w:val="center"/>
            <w:hideMark/>
          </w:tcPr>
          <w:p w:rsidRPr="00AE1B2B" w:rsidR="009D3FB5" w:rsidP="00163B94" w:rsidRDefault="009D3FB5" w14:paraId="245A85DE"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52 696 782.68 </w:t>
            </w:r>
          </w:p>
        </w:tc>
      </w:tr>
      <w:tr w:rsidRPr="00AE1B2B" w:rsidR="00AE1B2B" w:rsidTr="009D3FB5" w14:paraId="472D5622" w14:textId="7777777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rsidRPr="00AE1B2B" w:rsidR="009D3FB5" w:rsidP="00163B94" w:rsidRDefault="009D3FB5" w14:paraId="6806203A" w14:textId="77777777">
            <w:pPr>
              <w:spacing w:before="120" w:after="12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Puntarenas</w:t>
            </w:r>
          </w:p>
        </w:tc>
        <w:tc>
          <w:tcPr>
            <w:tcW w:w="1642" w:type="dxa"/>
            <w:noWrap/>
            <w:vAlign w:val="center"/>
            <w:hideMark/>
          </w:tcPr>
          <w:p w:rsidRPr="00AE1B2B" w:rsidR="009D3FB5" w:rsidP="00163B94" w:rsidRDefault="009D3FB5" w14:paraId="4E0F3540"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49 834 000.00 </w:t>
            </w:r>
          </w:p>
        </w:tc>
        <w:tc>
          <w:tcPr>
            <w:tcW w:w="1417" w:type="dxa"/>
            <w:noWrap/>
            <w:vAlign w:val="center"/>
            <w:hideMark/>
          </w:tcPr>
          <w:p w:rsidRPr="00AE1B2B" w:rsidR="009D3FB5" w:rsidP="00163B94" w:rsidRDefault="009D3FB5" w14:paraId="387AAC78"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2 862 782.68 </w:t>
            </w:r>
          </w:p>
        </w:tc>
        <w:tc>
          <w:tcPr>
            <w:tcW w:w="1560" w:type="dxa"/>
            <w:noWrap/>
            <w:vAlign w:val="center"/>
            <w:hideMark/>
          </w:tcPr>
          <w:p w:rsidRPr="00AE1B2B" w:rsidR="009D3FB5" w:rsidP="00163B94" w:rsidRDefault="009D3FB5" w14:paraId="553757BA"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52 696 782.68 </w:t>
            </w:r>
          </w:p>
        </w:tc>
      </w:tr>
      <w:tr w:rsidRPr="00AE1B2B" w:rsidR="00AE1B2B" w:rsidTr="009D3FB5" w14:paraId="15DE3936" w14:textId="77777777">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rsidRPr="00AE1B2B" w:rsidR="009D3FB5" w:rsidP="00163B94" w:rsidRDefault="009D3FB5" w14:paraId="314E2ED8" w14:textId="77777777">
            <w:pPr>
              <w:spacing w:before="120" w:after="12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Bienestar Integral del Personal Judicial</w:t>
            </w:r>
          </w:p>
        </w:tc>
        <w:tc>
          <w:tcPr>
            <w:tcW w:w="1642" w:type="dxa"/>
            <w:noWrap/>
            <w:vAlign w:val="center"/>
            <w:hideMark/>
          </w:tcPr>
          <w:p w:rsidRPr="00AE1B2B" w:rsidR="009D3FB5" w:rsidP="00163B94" w:rsidRDefault="009D3FB5" w14:paraId="1F67DBCE"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134 331 000.00 </w:t>
            </w:r>
          </w:p>
        </w:tc>
        <w:tc>
          <w:tcPr>
            <w:tcW w:w="1417" w:type="dxa"/>
            <w:noWrap/>
            <w:vAlign w:val="center"/>
            <w:hideMark/>
          </w:tcPr>
          <w:p w:rsidRPr="00AE1B2B" w:rsidR="009D3FB5" w:rsidP="00163B94" w:rsidRDefault="009D3FB5" w14:paraId="6E681E50"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6 219 327.90 </w:t>
            </w:r>
          </w:p>
        </w:tc>
        <w:tc>
          <w:tcPr>
            <w:tcW w:w="1560" w:type="dxa"/>
            <w:noWrap/>
            <w:vAlign w:val="center"/>
            <w:hideMark/>
          </w:tcPr>
          <w:p w:rsidRPr="00AE1B2B" w:rsidR="009D3FB5" w:rsidP="00163B94" w:rsidRDefault="009D3FB5" w14:paraId="2B5FD0E9" w14:textId="7777777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 xml:space="preserve"> ₡ 140 550 327.90 </w:t>
            </w:r>
          </w:p>
        </w:tc>
      </w:tr>
      <w:tr w:rsidRPr="00AE1B2B" w:rsidR="00AE1B2B" w:rsidTr="009D3FB5" w14:paraId="591C19DB"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rsidRPr="00AE1B2B" w:rsidR="009D3FB5" w:rsidP="00163B94" w:rsidRDefault="009D3FB5" w14:paraId="094599CC" w14:textId="77777777">
            <w:pPr>
              <w:spacing w:before="120" w:after="120"/>
              <w:rPr>
                <w:rFonts w:ascii="Times New Roman" w:hAnsi="Times New Roman" w:eastAsia="Times New Roman" w:cs="Times New Roman"/>
                <w:sz w:val="16"/>
                <w:szCs w:val="16"/>
              </w:rPr>
            </w:pPr>
            <w:r w:rsidRPr="00AE1B2B">
              <w:rPr>
                <w:rFonts w:ascii="Times New Roman" w:hAnsi="Times New Roman" w:eastAsia="Times New Roman" w:cs="Times New Roman"/>
                <w:sz w:val="16"/>
                <w:szCs w:val="16"/>
              </w:rPr>
              <w:t>Total</w:t>
            </w:r>
          </w:p>
        </w:tc>
        <w:tc>
          <w:tcPr>
            <w:tcW w:w="1642" w:type="dxa"/>
            <w:noWrap/>
            <w:vAlign w:val="center"/>
            <w:hideMark/>
          </w:tcPr>
          <w:p w:rsidRPr="00AE1B2B" w:rsidR="009D3FB5" w:rsidP="00163B94" w:rsidRDefault="009D3FB5" w14:paraId="4E29DE08"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b/>
                <w:bCs/>
                <w:sz w:val="16"/>
                <w:szCs w:val="16"/>
              </w:rPr>
            </w:pPr>
            <w:r w:rsidRPr="00AE1B2B">
              <w:rPr>
                <w:rFonts w:ascii="Times New Roman" w:hAnsi="Times New Roman" w:eastAsia="Times New Roman" w:cs="Times New Roman"/>
                <w:b/>
                <w:bCs/>
                <w:sz w:val="16"/>
                <w:szCs w:val="16"/>
              </w:rPr>
              <w:t xml:space="preserve"> ₡ 1 036 568 000.00 </w:t>
            </w:r>
          </w:p>
        </w:tc>
        <w:tc>
          <w:tcPr>
            <w:tcW w:w="1417" w:type="dxa"/>
            <w:noWrap/>
            <w:vAlign w:val="center"/>
            <w:hideMark/>
          </w:tcPr>
          <w:p w:rsidRPr="00AE1B2B" w:rsidR="009D3FB5" w:rsidP="00163B94" w:rsidRDefault="009D3FB5" w14:paraId="3737B837"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b/>
                <w:bCs/>
                <w:sz w:val="16"/>
                <w:szCs w:val="16"/>
              </w:rPr>
            </w:pPr>
            <w:r w:rsidRPr="00AE1B2B">
              <w:rPr>
                <w:rFonts w:ascii="Times New Roman" w:hAnsi="Times New Roman" w:eastAsia="Times New Roman" w:cs="Times New Roman"/>
                <w:b/>
                <w:bCs/>
                <w:sz w:val="16"/>
                <w:szCs w:val="16"/>
              </w:rPr>
              <w:t xml:space="preserve"> ₡ 51 333 103.25 </w:t>
            </w:r>
          </w:p>
        </w:tc>
        <w:tc>
          <w:tcPr>
            <w:tcW w:w="1560" w:type="dxa"/>
            <w:noWrap/>
            <w:vAlign w:val="center"/>
            <w:hideMark/>
          </w:tcPr>
          <w:p w:rsidRPr="00AE1B2B" w:rsidR="009D3FB5" w:rsidP="00163B94" w:rsidRDefault="009D3FB5" w14:paraId="6FA2F19D" w14:textId="7777777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b/>
                <w:bCs/>
                <w:sz w:val="16"/>
                <w:szCs w:val="16"/>
              </w:rPr>
            </w:pPr>
            <w:r w:rsidRPr="00AE1B2B">
              <w:rPr>
                <w:rFonts w:ascii="Times New Roman" w:hAnsi="Times New Roman" w:eastAsia="Times New Roman" w:cs="Times New Roman"/>
                <w:b/>
                <w:bCs/>
                <w:sz w:val="16"/>
                <w:szCs w:val="16"/>
              </w:rPr>
              <w:t xml:space="preserve"> ₡ 1 087 901 103.25 </w:t>
            </w:r>
          </w:p>
        </w:tc>
      </w:tr>
    </w:tbl>
    <w:p w:rsidRPr="00AE1B2B" w:rsidR="009D3FB5" w:rsidP="00163B94" w:rsidRDefault="009D3FB5" w14:paraId="2618D049" w14:textId="77777777">
      <w:pPr>
        <w:tabs>
          <w:tab w:val="left" w:pos="993"/>
        </w:tabs>
        <w:spacing w:before="120" w:after="120"/>
        <w:ind w:left="851" w:right="851" w:firstLine="709"/>
        <w:jc w:val="both"/>
        <w:rPr>
          <w:rFonts w:ascii="Times New Roman" w:hAnsi="Times New Roman" w:eastAsia="Calibri" w:cs="Times New Roman"/>
          <w:bCs/>
          <w:sz w:val="26"/>
          <w:szCs w:val="26"/>
          <w:lang w:eastAsia="es-CR"/>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Modernización Institucional a partir de la información suministrada por el Subproceso de Formulación Presupuestaria. Nota: En apéndice 7 se presenta el detalle de cada rubro.</w:t>
      </w:r>
    </w:p>
    <w:p w:rsidRPr="00AE1B2B" w:rsidR="009D3FB5" w:rsidP="00163B94" w:rsidRDefault="009D3FB5" w14:paraId="20FB3F50"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61B89BC7"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023D1895"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7CE4C632" w14:textId="77777777">
      <w:pPr>
        <w:tabs>
          <w:tab w:val="left" w:pos="0"/>
        </w:tabs>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6F946399" w14:textId="77777777">
      <w:pPr>
        <w:tabs>
          <w:tab w:val="left" w:pos="0"/>
        </w:tabs>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En el cuadro siguiente se muestra el resumen por programa del presupuesto requerido para atender la solicitud de recurso humano por parte de la Oficina Rectora de Justicia Restaurativa.</w:t>
      </w:r>
    </w:p>
    <w:p w:rsidRPr="00AE1B2B" w:rsidR="009D3FB5" w:rsidP="00163B94" w:rsidRDefault="009D3FB5" w14:paraId="2ABDEA08" w14:textId="77777777">
      <w:pPr>
        <w:tabs>
          <w:tab w:val="left" w:pos="426"/>
        </w:tabs>
        <w:spacing w:before="120" w:after="120"/>
        <w:ind w:left="851" w:right="851" w:firstLine="709"/>
        <w:jc w:val="both"/>
        <w:rPr>
          <w:rFonts w:ascii="Times New Roman" w:hAnsi="Times New Roman" w:eastAsia="Calibri" w:cs="Times New Roman"/>
          <w:b/>
          <w:bCs/>
          <w:sz w:val="26"/>
          <w:szCs w:val="26"/>
        </w:rPr>
      </w:pPr>
      <w:r w:rsidRPr="00AE1B2B">
        <w:rPr>
          <w:rFonts w:ascii="Times New Roman" w:hAnsi="Times New Roman" w:eastAsia="Calibri" w:cs="Times New Roman"/>
          <w:b/>
          <w:bCs/>
          <w:sz w:val="26"/>
          <w:szCs w:val="26"/>
        </w:rPr>
        <w:t xml:space="preserve">Cuadro </w:t>
      </w:r>
      <w:r w:rsidRPr="00AE1B2B">
        <w:rPr>
          <w:rFonts w:ascii="Times New Roman" w:hAnsi="Times New Roman" w:eastAsia="Calibri" w:cs="Times New Roman"/>
          <w:b/>
          <w:bCs/>
          <w:sz w:val="26"/>
          <w:szCs w:val="26"/>
        </w:rPr>
        <w:fldChar w:fldCharType="begin"/>
      </w:r>
      <w:r w:rsidRPr="00AE1B2B">
        <w:rPr>
          <w:rFonts w:ascii="Times New Roman" w:hAnsi="Times New Roman" w:eastAsia="Calibri" w:cs="Times New Roman"/>
          <w:b/>
          <w:bCs/>
          <w:sz w:val="26"/>
          <w:szCs w:val="26"/>
        </w:rPr>
        <w:instrText xml:space="preserve"> SEQ Cuadro \* ARABIC </w:instrText>
      </w:r>
      <w:r w:rsidRPr="00AE1B2B">
        <w:rPr>
          <w:rFonts w:ascii="Times New Roman" w:hAnsi="Times New Roman" w:eastAsia="Calibri" w:cs="Times New Roman"/>
          <w:b/>
          <w:bCs/>
          <w:sz w:val="26"/>
          <w:szCs w:val="26"/>
        </w:rPr>
        <w:fldChar w:fldCharType="separate"/>
      </w:r>
      <w:r w:rsidRPr="00AE1B2B">
        <w:rPr>
          <w:rFonts w:ascii="Times New Roman" w:hAnsi="Times New Roman" w:eastAsia="Calibri" w:cs="Times New Roman"/>
          <w:b/>
          <w:bCs/>
          <w:noProof/>
          <w:sz w:val="26"/>
          <w:szCs w:val="26"/>
        </w:rPr>
        <w:t>23</w:t>
      </w:r>
      <w:r w:rsidRPr="00AE1B2B">
        <w:rPr>
          <w:rFonts w:ascii="Times New Roman" w:hAnsi="Times New Roman" w:eastAsia="Calibri" w:cs="Times New Roman"/>
          <w:b/>
          <w:bCs/>
          <w:sz w:val="26"/>
          <w:szCs w:val="26"/>
        </w:rPr>
        <w:fldChar w:fldCharType="end"/>
      </w:r>
      <w:r w:rsidRPr="00AE1B2B">
        <w:rPr>
          <w:rFonts w:ascii="Times New Roman" w:hAnsi="Times New Roman" w:eastAsia="Calibri" w:cs="Times New Roman"/>
          <w:b/>
          <w:bCs/>
          <w:sz w:val="26"/>
          <w:szCs w:val="26"/>
        </w:rPr>
        <w:t>. Presupuesto por programa para la cantidad de Recurso Humano solicitado por la Oficina Rectora de Justicia Restaurativa.</w:t>
      </w:r>
    </w:p>
    <w:tbl>
      <w:tblPr>
        <w:tblW w:w="8363" w:type="dxa"/>
        <w:tblInd w:w="403" w:type="dxa"/>
        <w:tblCellMar>
          <w:left w:w="70" w:type="dxa"/>
          <w:right w:w="70" w:type="dxa"/>
        </w:tblCellMar>
        <w:tblLook w:val="04A0" w:firstRow="1" w:lastRow="0" w:firstColumn="1" w:lastColumn="0" w:noHBand="0" w:noVBand="1"/>
      </w:tblPr>
      <w:tblGrid>
        <w:gridCol w:w="1559"/>
        <w:gridCol w:w="1334"/>
        <w:gridCol w:w="1509"/>
        <w:gridCol w:w="1257"/>
        <w:gridCol w:w="1286"/>
        <w:gridCol w:w="1418"/>
      </w:tblGrid>
      <w:tr w:rsidRPr="00AE1B2B" w:rsidR="00AE1B2B" w:rsidTr="009D3FB5" w14:paraId="155029D5" w14:textId="77777777">
        <w:trPr>
          <w:trHeight w:val="312"/>
        </w:trPr>
        <w:tc>
          <w:tcPr>
            <w:tcW w:w="1559" w:type="dxa"/>
            <w:vMerge w:val="restart"/>
            <w:tcBorders>
              <w:top w:val="double" w:color="1F4E78" w:sz="6" w:space="0"/>
              <w:left w:val="double" w:color="1F4E78" w:sz="6" w:space="0"/>
              <w:bottom w:val="double" w:color="1F4E78" w:sz="6" w:space="0"/>
              <w:right w:val="double" w:color="1F4E78" w:sz="6" w:space="0"/>
            </w:tcBorders>
            <w:shd w:val="clear" w:color="000000" w:fill="B4C6E7"/>
            <w:vAlign w:val="center"/>
            <w:hideMark/>
          </w:tcPr>
          <w:p w:rsidRPr="00AE1B2B" w:rsidR="009D3FB5" w:rsidP="00163B94" w:rsidRDefault="009D3FB5" w14:paraId="52C7FBB6"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Concepto del gasto</w:t>
            </w:r>
          </w:p>
        </w:tc>
        <w:tc>
          <w:tcPr>
            <w:tcW w:w="5386" w:type="dxa"/>
            <w:gridSpan w:val="4"/>
            <w:tcBorders>
              <w:top w:val="double" w:color="203764" w:sz="6" w:space="0"/>
              <w:left w:val="double" w:color="203764" w:sz="6" w:space="0"/>
              <w:bottom w:val="double" w:color="203764" w:sz="6" w:space="0"/>
              <w:right w:val="double" w:color="203764" w:sz="6" w:space="0"/>
            </w:tcBorders>
            <w:shd w:val="clear" w:color="000000" w:fill="B4C6E7"/>
            <w:vAlign w:val="center"/>
            <w:hideMark/>
          </w:tcPr>
          <w:p w:rsidRPr="00AE1B2B" w:rsidR="009D3FB5" w:rsidP="00163B94" w:rsidRDefault="009D3FB5" w14:paraId="5D1067E8"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 xml:space="preserve"> Oficina / Programa </w:t>
            </w:r>
          </w:p>
        </w:tc>
        <w:tc>
          <w:tcPr>
            <w:tcW w:w="1418" w:type="dxa"/>
            <w:vMerge w:val="restart"/>
            <w:tcBorders>
              <w:top w:val="double" w:color="1F4E78" w:sz="6" w:space="0"/>
              <w:left w:val="nil"/>
              <w:bottom w:val="double" w:color="1F4E78" w:sz="6" w:space="0"/>
              <w:right w:val="double" w:color="1F4E78" w:sz="6" w:space="0"/>
            </w:tcBorders>
            <w:shd w:val="clear" w:color="000000" w:fill="B4C6E7"/>
            <w:vAlign w:val="center"/>
            <w:hideMark/>
          </w:tcPr>
          <w:p w:rsidRPr="00AE1B2B" w:rsidR="009D3FB5" w:rsidP="00163B94" w:rsidRDefault="009D3FB5" w14:paraId="596F139C"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Costo total</w:t>
            </w:r>
          </w:p>
        </w:tc>
      </w:tr>
      <w:tr w:rsidRPr="00AE1B2B" w:rsidR="00AE1B2B" w:rsidTr="009D3FB5" w14:paraId="1C26549E" w14:textId="77777777">
        <w:trPr>
          <w:trHeight w:val="685"/>
        </w:trPr>
        <w:tc>
          <w:tcPr>
            <w:tcW w:w="1559" w:type="dxa"/>
            <w:vMerge/>
            <w:tcBorders>
              <w:top w:val="double" w:color="1F4E78" w:sz="6" w:space="0"/>
              <w:left w:val="double" w:color="1F4E78" w:sz="6" w:space="0"/>
              <w:bottom w:val="double" w:color="1F4E78" w:sz="6" w:space="0"/>
              <w:right w:val="double" w:color="1F4E78" w:sz="6" w:space="0"/>
            </w:tcBorders>
            <w:vAlign w:val="center"/>
            <w:hideMark/>
          </w:tcPr>
          <w:p w:rsidRPr="00AE1B2B" w:rsidR="009D3FB5" w:rsidP="00163B94" w:rsidRDefault="009D3FB5" w14:paraId="3F6181E8" w14:textId="77777777">
            <w:pPr>
              <w:spacing w:before="120" w:after="120"/>
              <w:rPr>
                <w:rFonts w:ascii="Times New Roman" w:hAnsi="Times New Roman" w:eastAsia="Times New Roman" w:cs="Times New Roman"/>
                <w:b/>
                <w:bCs/>
                <w:sz w:val="16"/>
                <w:szCs w:val="16"/>
                <w:lang w:eastAsia="es-CR"/>
              </w:rPr>
            </w:pPr>
          </w:p>
        </w:tc>
        <w:tc>
          <w:tcPr>
            <w:tcW w:w="1334" w:type="dxa"/>
            <w:tcBorders>
              <w:top w:val="nil"/>
              <w:left w:val="nil"/>
              <w:bottom w:val="double" w:color="1F4E78" w:sz="6" w:space="0"/>
              <w:right w:val="double" w:color="1F4E78" w:sz="6" w:space="0"/>
            </w:tcBorders>
            <w:shd w:val="clear" w:color="000000" w:fill="B4C6E7"/>
            <w:vAlign w:val="center"/>
            <w:hideMark/>
          </w:tcPr>
          <w:p w:rsidRPr="00AE1B2B" w:rsidR="009D3FB5" w:rsidP="00163B94" w:rsidRDefault="009D3FB5" w14:paraId="1AC17D98"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Departamento de Trabajo Social y Psicología</w:t>
            </w:r>
          </w:p>
        </w:tc>
        <w:tc>
          <w:tcPr>
            <w:tcW w:w="1509" w:type="dxa"/>
            <w:tcBorders>
              <w:top w:val="nil"/>
              <w:left w:val="nil"/>
              <w:bottom w:val="double" w:color="1F4E78" w:sz="6" w:space="0"/>
              <w:right w:val="double" w:color="1F4E78" w:sz="6" w:space="0"/>
            </w:tcBorders>
            <w:shd w:val="clear" w:color="000000" w:fill="B4C6E7"/>
            <w:vAlign w:val="center"/>
            <w:hideMark/>
          </w:tcPr>
          <w:p w:rsidRPr="00AE1B2B" w:rsidR="009D3FB5" w:rsidP="00163B94" w:rsidRDefault="009D3FB5" w14:paraId="0BFC01AB"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Oficina Rectora Justicia Restaurativa</w:t>
            </w:r>
          </w:p>
        </w:tc>
        <w:tc>
          <w:tcPr>
            <w:tcW w:w="1257" w:type="dxa"/>
            <w:tcBorders>
              <w:top w:val="nil"/>
              <w:left w:val="nil"/>
              <w:bottom w:val="double" w:color="1F4E78" w:sz="6" w:space="0"/>
              <w:right w:val="double" w:color="1F4E78" w:sz="6" w:space="0"/>
            </w:tcBorders>
            <w:shd w:val="clear" w:color="000000" w:fill="B4C6E7"/>
            <w:vAlign w:val="center"/>
            <w:hideMark/>
          </w:tcPr>
          <w:p w:rsidRPr="00AE1B2B" w:rsidR="009D3FB5" w:rsidP="00163B94" w:rsidRDefault="009D3FB5" w14:paraId="5DD8C19B"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Defensa Pública</w:t>
            </w:r>
          </w:p>
        </w:tc>
        <w:tc>
          <w:tcPr>
            <w:tcW w:w="1286" w:type="dxa"/>
            <w:tcBorders>
              <w:top w:val="nil"/>
              <w:left w:val="nil"/>
              <w:bottom w:val="double" w:color="1F4E78" w:sz="6" w:space="0"/>
              <w:right w:val="double" w:color="1F4E78" w:sz="6" w:space="0"/>
            </w:tcBorders>
            <w:shd w:val="clear" w:color="000000" w:fill="B4C6E7"/>
            <w:vAlign w:val="center"/>
            <w:hideMark/>
          </w:tcPr>
          <w:p w:rsidRPr="00AE1B2B" w:rsidR="009D3FB5" w:rsidP="00163B94" w:rsidRDefault="009D3FB5" w14:paraId="5F8831E5"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Ministerio Publico</w:t>
            </w:r>
          </w:p>
        </w:tc>
        <w:tc>
          <w:tcPr>
            <w:tcW w:w="1418" w:type="dxa"/>
            <w:vMerge/>
            <w:tcBorders>
              <w:top w:val="double" w:color="1F4E78" w:sz="6" w:space="0"/>
              <w:left w:val="nil"/>
              <w:bottom w:val="double" w:color="1F4E78" w:sz="6" w:space="0"/>
              <w:right w:val="double" w:color="1F4E78" w:sz="6" w:space="0"/>
            </w:tcBorders>
            <w:vAlign w:val="center"/>
            <w:hideMark/>
          </w:tcPr>
          <w:p w:rsidRPr="00AE1B2B" w:rsidR="009D3FB5" w:rsidP="00163B94" w:rsidRDefault="009D3FB5" w14:paraId="06EF0F30" w14:textId="77777777">
            <w:pPr>
              <w:spacing w:before="120" w:after="120"/>
              <w:rPr>
                <w:rFonts w:ascii="Times New Roman" w:hAnsi="Times New Roman" w:eastAsia="Times New Roman" w:cs="Times New Roman"/>
                <w:b/>
                <w:bCs/>
                <w:sz w:val="16"/>
                <w:szCs w:val="16"/>
                <w:lang w:eastAsia="es-CR"/>
              </w:rPr>
            </w:pPr>
          </w:p>
        </w:tc>
      </w:tr>
      <w:tr w:rsidRPr="00AE1B2B" w:rsidR="00AE1B2B" w:rsidTr="009D3FB5" w14:paraId="0684E0FD" w14:textId="77777777">
        <w:trPr>
          <w:trHeight w:val="242"/>
        </w:trPr>
        <w:tc>
          <w:tcPr>
            <w:tcW w:w="1559" w:type="dxa"/>
            <w:vMerge/>
            <w:tcBorders>
              <w:top w:val="double" w:color="1F4E78" w:sz="6" w:space="0"/>
              <w:left w:val="double" w:color="1F4E78" w:sz="6" w:space="0"/>
              <w:bottom w:val="double" w:color="1F4E78" w:sz="6" w:space="0"/>
              <w:right w:val="double" w:color="1F4E78" w:sz="6" w:space="0"/>
            </w:tcBorders>
            <w:vAlign w:val="center"/>
            <w:hideMark/>
          </w:tcPr>
          <w:p w:rsidRPr="00AE1B2B" w:rsidR="009D3FB5" w:rsidP="00163B94" w:rsidRDefault="009D3FB5" w14:paraId="05890360" w14:textId="77777777">
            <w:pPr>
              <w:spacing w:before="120" w:after="120"/>
              <w:rPr>
                <w:rFonts w:ascii="Times New Roman" w:hAnsi="Times New Roman" w:eastAsia="Times New Roman" w:cs="Times New Roman"/>
                <w:b/>
                <w:bCs/>
                <w:sz w:val="16"/>
                <w:szCs w:val="16"/>
                <w:lang w:eastAsia="es-CR"/>
              </w:rPr>
            </w:pPr>
          </w:p>
        </w:tc>
        <w:tc>
          <w:tcPr>
            <w:tcW w:w="1334" w:type="dxa"/>
            <w:tcBorders>
              <w:top w:val="nil"/>
              <w:left w:val="nil"/>
              <w:bottom w:val="double" w:color="1F4E78" w:sz="6" w:space="0"/>
              <w:right w:val="double" w:color="1F4E78" w:sz="6" w:space="0"/>
            </w:tcBorders>
            <w:shd w:val="clear" w:color="000000" w:fill="B4C6E7"/>
            <w:vAlign w:val="center"/>
            <w:hideMark/>
          </w:tcPr>
          <w:p w:rsidRPr="00AE1B2B" w:rsidR="009D3FB5" w:rsidP="00163B94" w:rsidRDefault="009D3FB5" w14:paraId="74532269"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926</w:t>
            </w:r>
          </w:p>
        </w:tc>
        <w:tc>
          <w:tcPr>
            <w:tcW w:w="1509" w:type="dxa"/>
            <w:tcBorders>
              <w:top w:val="nil"/>
              <w:left w:val="nil"/>
              <w:bottom w:val="double" w:color="1F4E78" w:sz="6" w:space="0"/>
              <w:right w:val="double" w:color="1F4E78" w:sz="6" w:space="0"/>
            </w:tcBorders>
            <w:shd w:val="clear" w:color="000000" w:fill="B4C6E7"/>
            <w:vAlign w:val="center"/>
            <w:hideMark/>
          </w:tcPr>
          <w:p w:rsidRPr="00AE1B2B" w:rsidR="009D3FB5" w:rsidP="00163B94" w:rsidRDefault="009D3FB5" w14:paraId="345BFA40"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 </w:t>
            </w:r>
          </w:p>
        </w:tc>
        <w:tc>
          <w:tcPr>
            <w:tcW w:w="1257" w:type="dxa"/>
            <w:tcBorders>
              <w:top w:val="nil"/>
              <w:left w:val="nil"/>
              <w:bottom w:val="double" w:color="1F4E78" w:sz="6" w:space="0"/>
              <w:right w:val="double" w:color="1F4E78" w:sz="6" w:space="0"/>
            </w:tcBorders>
            <w:shd w:val="clear" w:color="000000" w:fill="B4C6E7"/>
            <w:vAlign w:val="center"/>
            <w:hideMark/>
          </w:tcPr>
          <w:p w:rsidRPr="00AE1B2B" w:rsidR="009D3FB5" w:rsidP="00163B94" w:rsidRDefault="009D3FB5" w14:paraId="479C3680"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930</w:t>
            </w:r>
          </w:p>
        </w:tc>
        <w:tc>
          <w:tcPr>
            <w:tcW w:w="1286" w:type="dxa"/>
            <w:tcBorders>
              <w:top w:val="nil"/>
              <w:left w:val="nil"/>
              <w:bottom w:val="double" w:color="1F4E78" w:sz="6" w:space="0"/>
              <w:right w:val="double" w:color="1F4E78" w:sz="6" w:space="0"/>
            </w:tcBorders>
            <w:shd w:val="clear" w:color="000000" w:fill="B4C6E7"/>
            <w:vAlign w:val="center"/>
            <w:hideMark/>
          </w:tcPr>
          <w:p w:rsidRPr="00AE1B2B" w:rsidR="009D3FB5" w:rsidP="00163B94" w:rsidRDefault="009D3FB5" w14:paraId="4EE3B0C1"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929</w:t>
            </w:r>
          </w:p>
        </w:tc>
        <w:tc>
          <w:tcPr>
            <w:tcW w:w="1418" w:type="dxa"/>
            <w:vMerge/>
            <w:tcBorders>
              <w:top w:val="double" w:color="1F4E78" w:sz="6" w:space="0"/>
              <w:left w:val="nil"/>
              <w:bottom w:val="double" w:color="1F4E78" w:sz="6" w:space="0"/>
              <w:right w:val="double" w:color="1F4E78" w:sz="6" w:space="0"/>
            </w:tcBorders>
            <w:vAlign w:val="center"/>
            <w:hideMark/>
          </w:tcPr>
          <w:p w:rsidRPr="00AE1B2B" w:rsidR="009D3FB5" w:rsidP="00163B94" w:rsidRDefault="009D3FB5" w14:paraId="1000B74E" w14:textId="77777777">
            <w:pPr>
              <w:spacing w:before="120" w:after="120"/>
              <w:rPr>
                <w:rFonts w:ascii="Times New Roman" w:hAnsi="Times New Roman" w:eastAsia="Times New Roman" w:cs="Times New Roman"/>
                <w:b/>
                <w:bCs/>
                <w:sz w:val="16"/>
                <w:szCs w:val="16"/>
                <w:lang w:eastAsia="es-CR"/>
              </w:rPr>
            </w:pPr>
          </w:p>
        </w:tc>
      </w:tr>
      <w:tr w:rsidRPr="00AE1B2B" w:rsidR="00AE1B2B" w:rsidTr="009D3FB5" w14:paraId="1C5F3B64" w14:textId="77777777">
        <w:trPr>
          <w:trHeight w:val="231"/>
        </w:trPr>
        <w:tc>
          <w:tcPr>
            <w:tcW w:w="1559" w:type="dxa"/>
            <w:tcBorders>
              <w:top w:val="nil"/>
              <w:left w:val="double" w:color="1F4E78" w:sz="6" w:space="0"/>
              <w:bottom w:val="double" w:color="1F4E78" w:sz="6" w:space="0"/>
              <w:right w:val="double" w:color="1F4E78" w:sz="6" w:space="0"/>
            </w:tcBorders>
            <w:shd w:val="clear" w:color="auto" w:fill="auto"/>
            <w:noWrap/>
            <w:vAlign w:val="center"/>
            <w:hideMark/>
          </w:tcPr>
          <w:p w:rsidRPr="00AE1B2B" w:rsidR="009D3FB5" w:rsidP="00163B94" w:rsidRDefault="009D3FB5" w14:paraId="32B7FF7C"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Recurso Humano</w:t>
            </w:r>
          </w:p>
        </w:tc>
        <w:tc>
          <w:tcPr>
            <w:tcW w:w="1334"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57D10D04"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₡388 454 000.00</w:t>
            </w:r>
          </w:p>
        </w:tc>
        <w:tc>
          <w:tcPr>
            <w:tcW w:w="1509"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09ED2B8C"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₡337 611 000.00</w:t>
            </w:r>
          </w:p>
        </w:tc>
        <w:tc>
          <w:tcPr>
            <w:tcW w:w="1257"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6AAC4C35"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₡152 997 000.00</w:t>
            </w:r>
          </w:p>
        </w:tc>
        <w:tc>
          <w:tcPr>
            <w:tcW w:w="1286" w:type="dxa"/>
            <w:tcBorders>
              <w:top w:val="nil"/>
              <w:left w:val="nil"/>
              <w:bottom w:val="double" w:color="1F4E78" w:sz="6" w:space="0"/>
              <w:right w:val="double" w:color="1F4E78" w:sz="6" w:space="0"/>
            </w:tcBorders>
            <w:shd w:val="clear" w:color="auto" w:fill="auto"/>
            <w:vAlign w:val="center"/>
            <w:hideMark/>
          </w:tcPr>
          <w:p w:rsidRPr="00AE1B2B" w:rsidR="009D3FB5" w:rsidP="00163B94" w:rsidRDefault="009D3FB5" w14:paraId="6EF48FDA"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₡157 506 000.00</w:t>
            </w:r>
          </w:p>
        </w:tc>
        <w:tc>
          <w:tcPr>
            <w:tcW w:w="1418" w:type="dxa"/>
            <w:tcBorders>
              <w:top w:val="nil"/>
              <w:left w:val="nil"/>
              <w:bottom w:val="double" w:color="1F4E78" w:sz="6" w:space="0"/>
              <w:right w:val="double" w:color="1F4E78" w:sz="6" w:space="0"/>
            </w:tcBorders>
            <w:shd w:val="clear" w:color="auto" w:fill="auto"/>
            <w:noWrap/>
            <w:vAlign w:val="center"/>
            <w:hideMark/>
          </w:tcPr>
          <w:p w:rsidRPr="00AE1B2B" w:rsidR="009D3FB5" w:rsidP="00163B94" w:rsidRDefault="009D3FB5" w14:paraId="373F8F0A"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₡1 036 568 000.00</w:t>
            </w:r>
          </w:p>
        </w:tc>
      </w:tr>
      <w:tr w:rsidRPr="00AE1B2B" w:rsidR="00AE1B2B" w:rsidTr="009D3FB5" w14:paraId="59E4C7DD" w14:textId="77777777">
        <w:trPr>
          <w:trHeight w:val="231"/>
        </w:trPr>
        <w:tc>
          <w:tcPr>
            <w:tcW w:w="1559" w:type="dxa"/>
            <w:tcBorders>
              <w:top w:val="nil"/>
              <w:left w:val="double" w:color="1F4E78" w:sz="6" w:space="0"/>
              <w:bottom w:val="nil"/>
              <w:right w:val="double" w:color="1F4E78" w:sz="6" w:space="0"/>
            </w:tcBorders>
            <w:shd w:val="clear" w:color="auto" w:fill="auto"/>
            <w:noWrap/>
            <w:vAlign w:val="center"/>
            <w:hideMark/>
          </w:tcPr>
          <w:p w:rsidRPr="00AE1B2B" w:rsidR="009D3FB5" w:rsidP="00163B94" w:rsidRDefault="009D3FB5" w14:paraId="0C762D1E"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Equipo y mobiliario</w:t>
            </w:r>
          </w:p>
        </w:tc>
        <w:tc>
          <w:tcPr>
            <w:tcW w:w="1334" w:type="dxa"/>
            <w:tcBorders>
              <w:top w:val="nil"/>
              <w:left w:val="nil"/>
              <w:bottom w:val="nil"/>
              <w:right w:val="double" w:color="1F4E78" w:sz="6" w:space="0"/>
            </w:tcBorders>
            <w:shd w:val="clear" w:color="auto" w:fill="auto"/>
            <w:vAlign w:val="center"/>
            <w:hideMark/>
          </w:tcPr>
          <w:p w:rsidRPr="00AE1B2B" w:rsidR="009D3FB5" w:rsidP="00163B94" w:rsidRDefault="009D3FB5" w14:paraId="2CAD9DCF"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₡18 460 998.71</w:t>
            </w:r>
          </w:p>
        </w:tc>
        <w:tc>
          <w:tcPr>
            <w:tcW w:w="1509" w:type="dxa"/>
            <w:tcBorders>
              <w:top w:val="nil"/>
              <w:left w:val="nil"/>
              <w:bottom w:val="nil"/>
              <w:right w:val="double" w:color="1F4E78" w:sz="6" w:space="0"/>
            </w:tcBorders>
            <w:shd w:val="clear" w:color="auto" w:fill="auto"/>
            <w:vAlign w:val="center"/>
            <w:hideMark/>
          </w:tcPr>
          <w:p w:rsidRPr="00AE1B2B" w:rsidR="009D3FB5" w:rsidP="00163B94" w:rsidRDefault="009D3FB5" w14:paraId="1B8BD3BC"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₡22 802 468.88</w:t>
            </w:r>
          </w:p>
        </w:tc>
        <w:tc>
          <w:tcPr>
            <w:tcW w:w="1257" w:type="dxa"/>
            <w:tcBorders>
              <w:top w:val="nil"/>
              <w:left w:val="nil"/>
              <w:bottom w:val="nil"/>
              <w:right w:val="double" w:color="1F4E78" w:sz="6" w:space="0"/>
            </w:tcBorders>
            <w:shd w:val="clear" w:color="auto" w:fill="auto"/>
            <w:vAlign w:val="center"/>
            <w:hideMark/>
          </w:tcPr>
          <w:p w:rsidRPr="00AE1B2B" w:rsidR="009D3FB5" w:rsidP="00163B94" w:rsidRDefault="009D3FB5" w14:paraId="5E469C5A"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₡5 034 817.83</w:t>
            </w:r>
          </w:p>
        </w:tc>
        <w:tc>
          <w:tcPr>
            <w:tcW w:w="1286" w:type="dxa"/>
            <w:tcBorders>
              <w:top w:val="nil"/>
              <w:left w:val="nil"/>
              <w:bottom w:val="nil"/>
              <w:right w:val="double" w:color="1F4E78" w:sz="6" w:space="0"/>
            </w:tcBorders>
            <w:shd w:val="clear" w:color="auto" w:fill="auto"/>
            <w:vAlign w:val="center"/>
            <w:hideMark/>
          </w:tcPr>
          <w:p w:rsidRPr="00AE1B2B" w:rsidR="009D3FB5" w:rsidP="00163B94" w:rsidRDefault="009D3FB5" w14:paraId="55E9065B"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₡5 034 817.83</w:t>
            </w:r>
          </w:p>
        </w:tc>
        <w:tc>
          <w:tcPr>
            <w:tcW w:w="1418" w:type="dxa"/>
            <w:tcBorders>
              <w:top w:val="nil"/>
              <w:left w:val="nil"/>
              <w:bottom w:val="double" w:color="1F4E78" w:sz="6" w:space="0"/>
              <w:right w:val="double" w:color="1F4E78" w:sz="6" w:space="0"/>
            </w:tcBorders>
            <w:shd w:val="clear" w:color="auto" w:fill="auto"/>
            <w:noWrap/>
            <w:vAlign w:val="center"/>
            <w:hideMark/>
          </w:tcPr>
          <w:p w:rsidRPr="00AE1B2B" w:rsidR="009D3FB5" w:rsidP="00163B94" w:rsidRDefault="009D3FB5" w14:paraId="67A5ACD8" w14:textId="77777777">
            <w:pPr>
              <w:spacing w:before="120" w:after="120"/>
              <w:jc w:val="center"/>
              <w:rPr>
                <w:rFonts w:ascii="Times New Roman" w:hAnsi="Times New Roman" w:eastAsia="Times New Roman" w:cs="Times New Roman"/>
                <w:sz w:val="16"/>
                <w:szCs w:val="16"/>
                <w:lang w:eastAsia="es-CR"/>
              </w:rPr>
            </w:pPr>
            <w:r w:rsidRPr="00AE1B2B">
              <w:rPr>
                <w:rFonts w:ascii="Times New Roman" w:hAnsi="Times New Roman" w:eastAsia="Times New Roman" w:cs="Times New Roman"/>
                <w:sz w:val="16"/>
                <w:szCs w:val="16"/>
                <w:lang w:eastAsia="es-CR"/>
              </w:rPr>
              <w:t>₡51 333 103.25</w:t>
            </w:r>
          </w:p>
        </w:tc>
      </w:tr>
      <w:tr w:rsidRPr="00AE1B2B" w:rsidR="00AE1B2B" w:rsidTr="009D3FB5" w14:paraId="726D3E10" w14:textId="77777777">
        <w:trPr>
          <w:trHeight w:val="312"/>
        </w:trPr>
        <w:tc>
          <w:tcPr>
            <w:tcW w:w="6945" w:type="dxa"/>
            <w:gridSpan w:val="5"/>
            <w:tcBorders>
              <w:top w:val="double" w:color="203764" w:sz="6" w:space="0"/>
              <w:left w:val="double" w:color="203764" w:sz="6" w:space="0"/>
              <w:bottom w:val="double" w:color="203764" w:sz="6" w:space="0"/>
              <w:right w:val="double" w:color="203764" w:sz="6" w:space="0"/>
            </w:tcBorders>
            <w:shd w:val="clear" w:color="auto" w:fill="auto"/>
            <w:noWrap/>
            <w:vAlign w:val="center"/>
            <w:hideMark/>
          </w:tcPr>
          <w:p w:rsidRPr="00AE1B2B" w:rsidR="009D3FB5" w:rsidP="00163B94" w:rsidRDefault="009D3FB5" w14:paraId="38D44A9E"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Total General</w:t>
            </w:r>
          </w:p>
        </w:tc>
        <w:tc>
          <w:tcPr>
            <w:tcW w:w="1418" w:type="dxa"/>
            <w:tcBorders>
              <w:top w:val="nil"/>
              <w:left w:val="nil"/>
              <w:bottom w:val="double" w:color="1F4E78" w:sz="6" w:space="0"/>
              <w:right w:val="double" w:color="1F4E78" w:sz="6" w:space="0"/>
            </w:tcBorders>
            <w:shd w:val="clear" w:color="auto" w:fill="auto"/>
            <w:noWrap/>
            <w:vAlign w:val="center"/>
            <w:hideMark/>
          </w:tcPr>
          <w:p w:rsidRPr="00AE1B2B" w:rsidR="009D3FB5" w:rsidP="00163B94" w:rsidRDefault="009D3FB5" w14:paraId="433F675D" w14:textId="77777777">
            <w:pPr>
              <w:spacing w:before="120" w:after="120"/>
              <w:jc w:val="center"/>
              <w:rPr>
                <w:rFonts w:ascii="Times New Roman" w:hAnsi="Times New Roman" w:eastAsia="Times New Roman" w:cs="Times New Roman"/>
                <w:b/>
                <w:bCs/>
                <w:sz w:val="16"/>
                <w:szCs w:val="16"/>
                <w:lang w:eastAsia="es-CR"/>
              </w:rPr>
            </w:pPr>
            <w:r w:rsidRPr="00AE1B2B">
              <w:rPr>
                <w:rFonts w:ascii="Times New Roman" w:hAnsi="Times New Roman" w:eastAsia="Times New Roman" w:cs="Times New Roman"/>
                <w:b/>
                <w:bCs/>
                <w:sz w:val="16"/>
                <w:szCs w:val="16"/>
                <w:lang w:eastAsia="es-CR"/>
              </w:rPr>
              <w:t>₡1 087 901 103.25</w:t>
            </w:r>
          </w:p>
        </w:tc>
      </w:tr>
    </w:tbl>
    <w:p w:rsidRPr="00AE1B2B" w:rsidR="009D3FB5" w:rsidP="00163B94" w:rsidRDefault="009D3FB5" w14:paraId="63F2DF80" w14:textId="77777777">
      <w:pPr>
        <w:tabs>
          <w:tab w:val="left" w:pos="284"/>
        </w:tabs>
        <w:spacing w:before="120" w:after="120"/>
        <w:ind w:left="851" w:right="851" w:firstLine="709"/>
        <w:jc w:val="both"/>
        <w:rPr>
          <w:rFonts w:ascii="Times New Roman" w:hAnsi="Times New Roman" w:eastAsia="Calibri" w:cs="Times New Roman"/>
          <w:bCs/>
          <w:sz w:val="26"/>
          <w:szCs w:val="26"/>
          <w:lang w:eastAsia="es-CR"/>
        </w:rPr>
      </w:pPr>
      <w:r w:rsidRPr="00AE1B2B">
        <w:rPr>
          <w:rFonts w:ascii="Times New Roman" w:hAnsi="Times New Roman" w:eastAsia="Calibri" w:cs="Times New Roman"/>
          <w:b/>
          <w:sz w:val="26"/>
          <w:szCs w:val="26"/>
          <w:lang w:eastAsia="es-CR"/>
        </w:rPr>
        <w:t xml:space="preserve">Fuente: </w:t>
      </w:r>
      <w:r w:rsidRPr="00AE1B2B">
        <w:rPr>
          <w:rFonts w:ascii="Times New Roman" w:hAnsi="Times New Roman" w:eastAsia="Calibri" w:cs="Times New Roman"/>
          <w:bCs/>
          <w:sz w:val="26"/>
          <w:szCs w:val="26"/>
          <w:lang w:eastAsia="es-CR"/>
        </w:rPr>
        <w:t>Modernización Institucional a partir de la información suministrada por el Subproceso de Formulación de Presupuestaria. Nota: En apéndice 7 se presenta el detalle de cada rubro.</w:t>
      </w:r>
    </w:p>
    <w:p w:rsidRPr="00AE1B2B" w:rsidR="009D3FB5" w:rsidP="00163B94" w:rsidRDefault="009D3FB5" w14:paraId="77751CB8" w14:textId="77777777">
      <w:pPr>
        <w:spacing w:before="120" w:after="120"/>
        <w:ind w:left="851" w:right="851" w:firstLine="709"/>
        <w:jc w:val="both"/>
        <w:rPr>
          <w:rFonts w:ascii="Times New Roman" w:hAnsi="Times New Roman" w:eastAsia="Times New Roman" w:cs="Times New Roman"/>
          <w:b/>
          <w:bCs/>
          <w:sz w:val="26"/>
          <w:szCs w:val="26"/>
          <w:lang w:val="es-ES" w:eastAsia="es-ES"/>
        </w:rPr>
      </w:pPr>
      <w:r w:rsidRPr="00AE1B2B">
        <w:rPr>
          <w:rFonts w:ascii="Times New Roman" w:hAnsi="Times New Roman" w:eastAsia="Times New Roman" w:cs="Times New Roman"/>
          <w:b/>
          <w:bCs/>
          <w:sz w:val="26"/>
          <w:szCs w:val="26"/>
          <w:lang w:val="es-ES" w:eastAsia="es-ES"/>
        </w:rPr>
        <w:t>A la Oficina Rectora de Justicia Restaurativa:</w:t>
      </w:r>
    </w:p>
    <w:p w:rsidRPr="00AE1B2B" w:rsidR="009D3FB5" w:rsidP="00163B94" w:rsidRDefault="009D3FB5" w14:paraId="62DBBC46" w14:textId="77777777">
      <w:pPr>
        <w:numPr>
          <w:ilvl w:val="1"/>
          <w:numId w:val="140"/>
        </w:numPr>
        <w:tabs>
          <w:tab w:val="left" w:pos="0"/>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Presentar dos informes de seguimiento al Consejo Superior semestrales, que incluya al menos las siguientes variables: ingreso mensual de causas, reuniones restaurativas señaladas y realizadas mensuales, entrevistas señaladas y realizadas mensualmente, cantidad de seguimientos efectuados y audiencias de verificación, mensual. Se deberá incluir adicionalmente el análisis de la carga de trabajo obtenida como resultado de la atención en materia contravencional y ejecución de la pena y los resultados obtenidos.</w:t>
      </w:r>
    </w:p>
    <w:p w:rsidRPr="00AE1B2B" w:rsidR="009D3FB5" w:rsidP="00163B94" w:rsidRDefault="009D3FB5" w14:paraId="22D2A5F8" w14:textId="77777777">
      <w:pPr>
        <w:numPr>
          <w:ilvl w:val="1"/>
          <w:numId w:val="140"/>
        </w:numPr>
        <w:tabs>
          <w:tab w:val="left" w:pos="0"/>
        </w:tabs>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 xml:space="preserve"> En el caso de aprobarse el Escenario 1 o 2; implementar los procedimientos del caso para que las oficinas que mantengan cargas de trabajo inferiores a las indicadas en la recomendación 5.1 del informe 726-PLA-RH-MI-2019, amplíen su abordaje en Ejecución de la Pena y Etapa Intermedia, en el procedimiento especial Abreviado, para efecto de un mejor aprovechamiento de su capacidad instalada.</w:t>
      </w:r>
    </w:p>
    <w:p w:rsidRPr="00AE1B2B" w:rsidR="009D3FB5" w:rsidP="00163B94" w:rsidRDefault="009D3FB5" w14:paraId="0635DB16" w14:textId="77777777">
      <w:pPr>
        <w:spacing w:before="120" w:after="120"/>
        <w:ind w:left="851" w:right="851" w:firstLine="709"/>
        <w:jc w:val="both"/>
        <w:rPr>
          <w:rFonts w:ascii="Times New Roman" w:hAnsi="Times New Roman" w:eastAsia="Times New Roman" w:cs="Times New Roman"/>
          <w:b/>
          <w:bCs/>
          <w:sz w:val="26"/>
          <w:szCs w:val="26"/>
          <w:lang w:val="es-ES" w:eastAsia="es-ES"/>
        </w:rPr>
      </w:pPr>
      <w:r w:rsidRPr="00AE1B2B">
        <w:rPr>
          <w:rFonts w:ascii="Times New Roman" w:hAnsi="Times New Roman" w:eastAsia="Times New Roman" w:cs="Times New Roman"/>
          <w:b/>
          <w:bCs/>
          <w:sz w:val="26"/>
          <w:szCs w:val="26"/>
          <w:lang w:val="es-ES" w:eastAsia="es-ES"/>
        </w:rPr>
        <w:t>Al Subproceso de Estadística de la Dirección de Planificación:</w:t>
      </w:r>
    </w:p>
    <w:p w:rsidRPr="00AE1B2B" w:rsidR="009D3FB5" w:rsidP="00163B94" w:rsidRDefault="009D3FB5" w14:paraId="6149FC14" w14:textId="59EF5978">
      <w:pPr>
        <w:spacing w:before="120" w:after="120"/>
        <w:ind w:left="851" w:right="851" w:firstLine="709"/>
        <w:jc w:val="both"/>
        <w:rPr>
          <w:rFonts w:ascii="Times New Roman" w:hAnsi="Times New Roman" w:eastAsia="Times New Roman" w:cs="Times New Roman"/>
          <w:sz w:val="26"/>
          <w:szCs w:val="26"/>
          <w:lang w:val="es-ES" w:eastAsia="es-ES"/>
        </w:rPr>
      </w:pPr>
      <w:r w:rsidRPr="00AE1B2B">
        <w:rPr>
          <w:rFonts w:ascii="Times New Roman" w:hAnsi="Times New Roman" w:eastAsia="Times New Roman" w:cs="Times New Roman"/>
          <w:sz w:val="26"/>
          <w:szCs w:val="26"/>
          <w:lang w:val="es-ES" w:eastAsia="es-ES"/>
        </w:rPr>
        <w:t>Contemplar en la construcción de los cuadros estadísticos de Justicia Restaurativa que se brinda atención adicionalmente de la materia Penal Adulto y Penal Juvenil, en la materia de contrav</w:t>
      </w:r>
      <w:r w:rsidRPr="00AE1B2B" w:rsidR="00094B47">
        <w:rPr>
          <w:rFonts w:ascii="Times New Roman" w:hAnsi="Times New Roman" w:eastAsia="Times New Roman" w:cs="Times New Roman"/>
          <w:sz w:val="26"/>
          <w:szCs w:val="26"/>
          <w:lang w:val="es-ES" w:eastAsia="es-ES"/>
        </w:rPr>
        <w:t>enciones y ejecución de la penal.</w:t>
      </w:r>
    </w:p>
    <w:p w:rsidRPr="00AE1B2B" w:rsidR="009D3FB5" w:rsidP="00163B94" w:rsidRDefault="009D3FB5" w14:paraId="6E587C7B" w14:textId="77777777">
      <w:pPr>
        <w:spacing w:before="120" w:after="120"/>
        <w:ind w:left="851" w:right="851" w:firstLine="709"/>
        <w:jc w:val="both"/>
        <w:rPr>
          <w:rFonts w:ascii="Times New Roman" w:hAnsi="Times New Roman" w:eastAsia="Times New Roman" w:cs="Times New Roman"/>
          <w:b/>
          <w:bCs/>
          <w:kern w:val="32"/>
          <w:sz w:val="26"/>
          <w:szCs w:val="26"/>
          <w:lang w:val="x-none"/>
        </w:rPr>
      </w:pPr>
      <w:r w:rsidRPr="00AE1B2B">
        <w:rPr>
          <w:rFonts w:ascii="Times New Roman" w:hAnsi="Times New Roman" w:eastAsia="Times New Roman" w:cs="Times New Roman"/>
          <w:b/>
          <w:bCs/>
          <w:kern w:val="32"/>
          <w:sz w:val="26"/>
          <w:szCs w:val="26"/>
        </w:rPr>
        <w:t>A</w:t>
      </w:r>
      <w:r w:rsidRPr="00AE1B2B">
        <w:rPr>
          <w:rFonts w:ascii="Times New Roman" w:hAnsi="Times New Roman" w:eastAsia="Times New Roman" w:cs="Times New Roman"/>
          <w:b/>
          <w:bCs/>
          <w:kern w:val="32"/>
          <w:sz w:val="26"/>
          <w:szCs w:val="26"/>
          <w:lang w:val="x-none"/>
        </w:rPr>
        <w:t>péndices</w:t>
      </w:r>
    </w:p>
    <w:tbl>
      <w:tblPr>
        <w:tblW w:w="5000" w:type="pct"/>
        <w:tblCellSpacing w:w="1440" w:type="nil"/>
        <w:tblBorders>
          <w:top w:val="outset" w:color="365F91" w:sz="6" w:space="0"/>
          <w:left w:val="outset" w:color="365F91" w:sz="6" w:space="0"/>
          <w:bottom w:val="inset" w:color="365F91" w:sz="6" w:space="0"/>
          <w:right w:val="inset" w:color="365F91" w:sz="6" w:space="0"/>
          <w:insideH w:val="single" w:color="365F91" w:sz="6" w:space="0"/>
          <w:insideV w:val="single" w:color="365F91" w:sz="6" w:space="0"/>
        </w:tblBorders>
        <w:tblLook w:val="04A0" w:firstRow="1" w:lastRow="0" w:firstColumn="1" w:lastColumn="0" w:noHBand="0" w:noVBand="1"/>
      </w:tblPr>
      <w:tblGrid>
        <w:gridCol w:w="1536"/>
        <w:gridCol w:w="4692"/>
        <w:gridCol w:w="2594"/>
      </w:tblGrid>
      <w:tr w:rsidRPr="00AE1B2B" w:rsidR="00AE1B2B" w:rsidTr="009D3FB5" w14:paraId="70A005A5" w14:textId="77777777">
        <w:trPr>
          <w:tblCellSpacing w:w="1440" w:type="nil"/>
        </w:trPr>
        <w:tc>
          <w:tcPr>
            <w:tcW w:w="871" w:type="pct"/>
            <w:shd w:val="clear" w:color="auto" w:fill="1F4E79" w:themeFill="accent1" w:themeFillShade="80"/>
            <w:vAlign w:val="center"/>
          </w:tcPr>
          <w:p w:rsidRPr="00AE1B2B" w:rsidR="009D3FB5" w:rsidP="00163B94" w:rsidRDefault="009D3FB5" w14:paraId="53AC6621" w14:textId="77777777">
            <w:pPr>
              <w:spacing w:before="120" w:after="120" w:line="360" w:lineRule="auto"/>
              <w:jc w:val="center"/>
              <w:rPr>
                <w:rFonts w:ascii="Times New Roman" w:hAnsi="Times New Roman" w:eastAsia="Calibri" w:cs="Times New Roman"/>
                <w:b/>
                <w:sz w:val="24"/>
              </w:rPr>
            </w:pPr>
            <w:r w:rsidRPr="00AE1B2B">
              <w:rPr>
                <w:rFonts w:ascii="Times New Roman" w:hAnsi="Times New Roman" w:eastAsia="Calibri" w:cs="Times New Roman"/>
                <w:b/>
                <w:sz w:val="24"/>
              </w:rPr>
              <w:t>Apéndice</w:t>
            </w:r>
          </w:p>
        </w:tc>
        <w:tc>
          <w:tcPr>
            <w:tcW w:w="2659" w:type="pct"/>
            <w:shd w:val="clear" w:color="auto" w:fill="1F4E79" w:themeFill="accent1" w:themeFillShade="80"/>
            <w:vAlign w:val="center"/>
          </w:tcPr>
          <w:p w:rsidRPr="00AE1B2B" w:rsidR="009D3FB5" w:rsidP="00163B94" w:rsidRDefault="009D3FB5" w14:paraId="17D6EC1D" w14:textId="77777777">
            <w:pPr>
              <w:spacing w:before="120" w:after="120" w:line="360" w:lineRule="auto"/>
              <w:jc w:val="center"/>
              <w:rPr>
                <w:rFonts w:ascii="Times New Roman" w:hAnsi="Times New Roman" w:eastAsia="Calibri" w:cs="Times New Roman"/>
                <w:b/>
                <w:sz w:val="24"/>
              </w:rPr>
            </w:pPr>
            <w:r w:rsidRPr="00AE1B2B">
              <w:rPr>
                <w:rFonts w:ascii="Times New Roman" w:hAnsi="Times New Roman" w:eastAsia="Calibri" w:cs="Times New Roman"/>
                <w:b/>
                <w:sz w:val="24"/>
              </w:rPr>
              <w:t>Nombre</w:t>
            </w:r>
          </w:p>
        </w:tc>
        <w:tc>
          <w:tcPr>
            <w:tcW w:w="1470" w:type="pct"/>
            <w:shd w:val="clear" w:color="auto" w:fill="1F4E79" w:themeFill="accent1" w:themeFillShade="80"/>
            <w:vAlign w:val="center"/>
          </w:tcPr>
          <w:p w:rsidRPr="00AE1B2B" w:rsidR="009D3FB5" w:rsidP="00163B94" w:rsidRDefault="009D3FB5" w14:paraId="2B2CCC22" w14:textId="77777777">
            <w:pPr>
              <w:spacing w:before="120" w:after="120" w:line="360" w:lineRule="auto"/>
              <w:jc w:val="center"/>
              <w:rPr>
                <w:rFonts w:ascii="Times New Roman" w:hAnsi="Times New Roman" w:eastAsia="Calibri" w:cs="Times New Roman"/>
                <w:b/>
                <w:sz w:val="24"/>
              </w:rPr>
            </w:pPr>
            <w:r w:rsidRPr="00AE1B2B">
              <w:rPr>
                <w:rFonts w:ascii="Times New Roman" w:hAnsi="Times New Roman" w:eastAsia="Calibri" w:cs="Times New Roman"/>
                <w:b/>
                <w:sz w:val="24"/>
              </w:rPr>
              <w:t>Documento</w:t>
            </w:r>
          </w:p>
        </w:tc>
      </w:tr>
      <w:tr w:rsidRPr="00AE1B2B" w:rsidR="00AE1B2B" w:rsidTr="009D3FB5" w14:paraId="7BB5B3A2" w14:textId="77777777">
        <w:trPr>
          <w:tblCellSpacing w:w="1440" w:type="nil"/>
        </w:trPr>
        <w:tc>
          <w:tcPr>
            <w:tcW w:w="871" w:type="pct"/>
            <w:shd w:val="clear" w:color="auto" w:fill="auto"/>
            <w:vAlign w:val="center"/>
          </w:tcPr>
          <w:p w:rsidRPr="00AE1B2B" w:rsidR="009D3FB5" w:rsidP="00163B94" w:rsidRDefault="009D3FB5" w14:paraId="46058E37" w14:textId="77777777">
            <w:pPr>
              <w:spacing w:before="120" w:after="120" w:line="360" w:lineRule="auto"/>
              <w:jc w:val="center"/>
              <w:rPr>
                <w:rFonts w:ascii="Times New Roman" w:hAnsi="Times New Roman" w:eastAsia="Calibri" w:cs="Times New Roman"/>
                <w:b/>
                <w:i/>
                <w:sz w:val="24"/>
              </w:rPr>
            </w:pPr>
            <w:r w:rsidRPr="00AE1B2B">
              <w:rPr>
                <w:rFonts w:ascii="Times New Roman" w:hAnsi="Times New Roman" w:eastAsia="Calibri" w:cs="Times New Roman"/>
                <w:b/>
                <w:i/>
                <w:sz w:val="24"/>
              </w:rPr>
              <w:lastRenderedPageBreak/>
              <w:t>Apéndice 1</w:t>
            </w:r>
          </w:p>
        </w:tc>
        <w:tc>
          <w:tcPr>
            <w:tcW w:w="2659" w:type="pct"/>
            <w:shd w:val="clear" w:color="auto" w:fill="auto"/>
            <w:vAlign w:val="center"/>
          </w:tcPr>
          <w:p w:rsidRPr="00AE1B2B" w:rsidR="009D3FB5" w:rsidP="00163B94" w:rsidRDefault="009D3FB5" w14:paraId="5E2DB6CF"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sz w:val="24"/>
              </w:rPr>
              <w:t>Minuta de reunión con la Licenciada Jovanna Calderón Altamirano. Requerimientos presupuestarios para Justicia Restaurativa.</w:t>
            </w:r>
          </w:p>
        </w:tc>
        <w:bookmarkStart w:name="_MON_1674382176" w:id="363"/>
        <w:bookmarkEnd w:id="363"/>
        <w:tc>
          <w:tcPr>
            <w:tcW w:w="1470" w:type="pct"/>
            <w:shd w:val="clear" w:color="auto" w:fill="auto"/>
            <w:vAlign w:val="center"/>
          </w:tcPr>
          <w:p w:rsidRPr="00AE1B2B" w:rsidR="009D3FB5" w:rsidP="00163B94" w:rsidRDefault="009D3FB5" w14:paraId="1ACB1372"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sz w:val="24"/>
              </w:rPr>
              <w:object w:dxaOrig="1508" w:dyaOrig="983" w14:anchorId="13BC4E02">
                <v:shape id="_x0000_i1120" style="width:76.35pt;height:49.45pt" o:ole="" type="#_x0000_t75">
                  <v:imagedata o:title="" r:id="rId407"/>
                </v:shape>
                <o:OLEObject Type="Embed" ProgID="Word.Document.8" ShapeID="_x0000_i1120" DrawAspect="Icon" ObjectID="_1681900546" r:id="rId408">
                  <o:FieldCodes>\s</o:FieldCodes>
                </o:OLEObject>
              </w:object>
            </w:r>
          </w:p>
        </w:tc>
      </w:tr>
      <w:tr w:rsidRPr="00AE1B2B" w:rsidR="00AE1B2B" w:rsidTr="009D3FB5" w14:paraId="5357B44A" w14:textId="77777777">
        <w:trPr>
          <w:tblCellSpacing w:w="1440" w:type="nil"/>
        </w:trPr>
        <w:tc>
          <w:tcPr>
            <w:tcW w:w="871" w:type="pct"/>
            <w:shd w:val="clear" w:color="auto" w:fill="auto"/>
            <w:vAlign w:val="center"/>
          </w:tcPr>
          <w:p w:rsidRPr="00AE1B2B" w:rsidR="009D3FB5" w:rsidP="00163B94" w:rsidRDefault="009D3FB5" w14:paraId="04B9490A" w14:textId="77777777">
            <w:pPr>
              <w:spacing w:before="120" w:after="120" w:line="360" w:lineRule="auto"/>
              <w:jc w:val="center"/>
              <w:rPr>
                <w:rFonts w:ascii="Times New Roman" w:hAnsi="Times New Roman" w:eastAsia="Calibri" w:cs="Times New Roman"/>
                <w:b/>
                <w:i/>
                <w:sz w:val="24"/>
              </w:rPr>
            </w:pPr>
            <w:r w:rsidRPr="00AE1B2B">
              <w:rPr>
                <w:rFonts w:ascii="Times New Roman" w:hAnsi="Times New Roman" w:eastAsia="Calibri" w:cs="Times New Roman"/>
                <w:b/>
                <w:i/>
                <w:sz w:val="24"/>
              </w:rPr>
              <w:t>Apéndice 2</w:t>
            </w:r>
          </w:p>
        </w:tc>
        <w:tc>
          <w:tcPr>
            <w:tcW w:w="2659" w:type="pct"/>
            <w:shd w:val="clear" w:color="auto" w:fill="auto"/>
            <w:vAlign w:val="center"/>
          </w:tcPr>
          <w:p w:rsidRPr="00AE1B2B" w:rsidR="009D3FB5" w:rsidP="00163B94" w:rsidRDefault="009D3FB5" w14:paraId="5333A96C"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sz w:val="24"/>
              </w:rPr>
              <w:t>Informe de labores de la Oficina Rectora de Justicia Restaurativa remitida en diciembre 2020</w:t>
            </w:r>
          </w:p>
        </w:tc>
        <w:bookmarkStart w:name="_MON_1673956913" w:id="364"/>
        <w:bookmarkEnd w:id="364"/>
        <w:tc>
          <w:tcPr>
            <w:tcW w:w="1470" w:type="pct"/>
            <w:shd w:val="clear" w:color="auto" w:fill="auto"/>
            <w:vAlign w:val="center"/>
          </w:tcPr>
          <w:p w:rsidRPr="00AE1B2B" w:rsidR="009D3FB5" w:rsidP="00163B94" w:rsidRDefault="009D3FB5" w14:paraId="7FF77530"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sz w:val="24"/>
              </w:rPr>
              <w:object w:dxaOrig="1508" w:dyaOrig="983" w14:anchorId="3A0959BA">
                <v:shape id="_x0000_i1121" style="width:76.35pt;height:49.45pt" o:ole="" type="#_x0000_t75">
                  <v:imagedata o:title="" r:id="rId409"/>
                </v:shape>
                <o:OLEObject Type="Embed" ProgID="Word.Document.12" ShapeID="_x0000_i1121" DrawAspect="Icon" ObjectID="_1681900547" r:id="rId410">
                  <o:FieldCodes>\s</o:FieldCodes>
                </o:OLEObject>
              </w:object>
            </w:r>
          </w:p>
        </w:tc>
      </w:tr>
      <w:tr w:rsidRPr="00AE1B2B" w:rsidR="00AE1B2B" w:rsidTr="009D3FB5" w14:paraId="0F6BF4FD" w14:textId="77777777">
        <w:trPr>
          <w:tblCellSpacing w:w="1440" w:type="nil"/>
        </w:trPr>
        <w:tc>
          <w:tcPr>
            <w:tcW w:w="871" w:type="pct"/>
            <w:shd w:val="clear" w:color="auto" w:fill="auto"/>
            <w:vAlign w:val="center"/>
          </w:tcPr>
          <w:p w:rsidRPr="00AE1B2B" w:rsidR="009D3FB5" w:rsidP="00163B94" w:rsidRDefault="009D3FB5" w14:paraId="66AC4C7A" w14:textId="77777777">
            <w:pPr>
              <w:spacing w:before="120" w:after="120" w:line="360" w:lineRule="auto"/>
              <w:jc w:val="center"/>
              <w:rPr>
                <w:rFonts w:ascii="Times New Roman" w:hAnsi="Times New Roman" w:eastAsia="Calibri" w:cs="Times New Roman"/>
                <w:b/>
                <w:i/>
                <w:sz w:val="24"/>
              </w:rPr>
            </w:pPr>
            <w:r w:rsidRPr="00AE1B2B">
              <w:rPr>
                <w:rFonts w:ascii="Times New Roman" w:hAnsi="Times New Roman" w:eastAsia="Calibri" w:cs="Times New Roman"/>
                <w:b/>
                <w:i/>
                <w:sz w:val="24"/>
              </w:rPr>
              <w:t>Apéndice 3</w:t>
            </w:r>
          </w:p>
        </w:tc>
        <w:tc>
          <w:tcPr>
            <w:tcW w:w="2659" w:type="pct"/>
            <w:shd w:val="clear" w:color="auto" w:fill="auto"/>
            <w:vAlign w:val="center"/>
          </w:tcPr>
          <w:p w:rsidRPr="00AE1B2B" w:rsidR="009D3FB5" w:rsidP="00163B94" w:rsidRDefault="009D3FB5" w14:paraId="7AFEDD1A"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sz w:val="24"/>
              </w:rPr>
              <w:t>Anuarios Judiciales Justicia Restaurativa 2020</w:t>
            </w:r>
          </w:p>
        </w:tc>
        <w:tc>
          <w:tcPr>
            <w:tcW w:w="1470" w:type="pct"/>
            <w:shd w:val="clear" w:color="auto" w:fill="auto"/>
            <w:vAlign w:val="center"/>
          </w:tcPr>
          <w:p w:rsidRPr="00AE1B2B" w:rsidR="009D3FB5" w:rsidP="00163B94" w:rsidRDefault="009D3FB5" w14:paraId="1E752728"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sz w:val="24"/>
              </w:rPr>
              <w:object w:dxaOrig="1508" w:dyaOrig="983" w14:anchorId="13C3F47D">
                <v:shape id="_x0000_i1122" style="width:74pt;height:49.45pt" o:ole="" type="#_x0000_t75">
                  <v:imagedata o:title="" r:id="rId411"/>
                </v:shape>
                <o:OLEObject Type="Embed" ProgID="Package" ShapeID="_x0000_i1122" DrawAspect="Icon" ObjectID="_1681900548" r:id="rId412"/>
              </w:object>
            </w:r>
          </w:p>
        </w:tc>
      </w:tr>
      <w:tr w:rsidRPr="00AE1B2B" w:rsidR="00AE1B2B" w:rsidTr="009D3FB5" w14:paraId="379CC169" w14:textId="77777777">
        <w:trPr>
          <w:tblCellSpacing w:w="1440" w:type="nil"/>
        </w:trPr>
        <w:tc>
          <w:tcPr>
            <w:tcW w:w="871" w:type="pct"/>
            <w:shd w:val="clear" w:color="auto" w:fill="auto"/>
            <w:vAlign w:val="center"/>
          </w:tcPr>
          <w:p w:rsidRPr="00AE1B2B" w:rsidR="009D3FB5" w:rsidP="00163B94" w:rsidRDefault="009D3FB5" w14:paraId="3BA23E04" w14:textId="77777777">
            <w:pPr>
              <w:spacing w:before="120" w:after="120" w:line="360" w:lineRule="auto"/>
              <w:jc w:val="center"/>
              <w:rPr>
                <w:rFonts w:ascii="Times New Roman" w:hAnsi="Times New Roman" w:eastAsia="Calibri" w:cs="Times New Roman"/>
                <w:b/>
                <w:i/>
                <w:sz w:val="24"/>
              </w:rPr>
            </w:pPr>
            <w:r w:rsidRPr="00AE1B2B">
              <w:rPr>
                <w:rFonts w:ascii="Times New Roman" w:hAnsi="Times New Roman" w:eastAsia="Calibri" w:cs="Times New Roman"/>
                <w:b/>
                <w:i/>
                <w:sz w:val="24"/>
              </w:rPr>
              <w:t>Apéndice 4</w:t>
            </w:r>
          </w:p>
        </w:tc>
        <w:tc>
          <w:tcPr>
            <w:tcW w:w="2659" w:type="pct"/>
            <w:shd w:val="clear" w:color="auto" w:fill="auto"/>
            <w:vAlign w:val="center"/>
          </w:tcPr>
          <w:p w:rsidRPr="00AE1B2B" w:rsidR="009D3FB5" w:rsidP="00163B94" w:rsidRDefault="009D3FB5" w14:paraId="5A31EA74"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sz w:val="24"/>
              </w:rPr>
              <w:t>Atención de los equipos interdisciplinarios para el II Circuito Judicial de la Zona, así como I y II Circuito Judicial de Guanacaste</w:t>
            </w:r>
          </w:p>
        </w:tc>
        <w:tc>
          <w:tcPr>
            <w:tcW w:w="1470" w:type="pct"/>
            <w:shd w:val="clear" w:color="auto" w:fill="auto"/>
            <w:vAlign w:val="center"/>
          </w:tcPr>
          <w:p w:rsidRPr="00AE1B2B" w:rsidR="009D3FB5" w:rsidP="00163B94" w:rsidRDefault="009D3FB5" w14:paraId="47FC5D86"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sz w:val="24"/>
              </w:rPr>
              <w:object w:dxaOrig="1508" w:dyaOrig="983" w14:anchorId="5F871090">
                <v:shape id="_x0000_i1123" style="width:74pt;height:49.45pt" o:ole="" type="#_x0000_t75">
                  <v:imagedata o:title="" r:id="rId413"/>
                </v:shape>
                <o:OLEObject Type="Embed" ProgID="Package" ShapeID="_x0000_i1123" DrawAspect="Icon" ObjectID="_1681900549" r:id="rId414"/>
              </w:object>
            </w:r>
          </w:p>
        </w:tc>
      </w:tr>
      <w:tr w:rsidRPr="00AE1B2B" w:rsidR="00AE1B2B" w:rsidTr="009D3FB5" w14:paraId="465806C9" w14:textId="77777777">
        <w:trPr>
          <w:tblCellSpacing w:w="1440" w:type="nil"/>
        </w:trPr>
        <w:tc>
          <w:tcPr>
            <w:tcW w:w="871" w:type="pct"/>
            <w:shd w:val="clear" w:color="auto" w:fill="auto"/>
            <w:vAlign w:val="center"/>
          </w:tcPr>
          <w:p w:rsidRPr="00AE1B2B" w:rsidR="009D3FB5" w:rsidP="00163B94" w:rsidRDefault="009D3FB5" w14:paraId="13B4A9EC" w14:textId="77777777">
            <w:pPr>
              <w:spacing w:before="120" w:after="120" w:line="360" w:lineRule="auto"/>
              <w:jc w:val="center"/>
              <w:rPr>
                <w:rFonts w:ascii="Times New Roman" w:hAnsi="Times New Roman" w:eastAsia="Calibri" w:cs="Times New Roman"/>
                <w:b/>
                <w:i/>
                <w:sz w:val="24"/>
              </w:rPr>
            </w:pPr>
            <w:r w:rsidRPr="00AE1B2B">
              <w:rPr>
                <w:rFonts w:ascii="Times New Roman" w:hAnsi="Times New Roman" w:eastAsia="Calibri" w:cs="Times New Roman"/>
                <w:b/>
                <w:i/>
                <w:sz w:val="24"/>
              </w:rPr>
              <w:t>Apéndice 5</w:t>
            </w:r>
          </w:p>
        </w:tc>
        <w:tc>
          <w:tcPr>
            <w:tcW w:w="2659" w:type="pct"/>
            <w:shd w:val="clear" w:color="auto" w:fill="auto"/>
            <w:vAlign w:val="center"/>
          </w:tcPr>
          <w:p w:rsidRPr="00AE1B2B" w:rsidR="009D3FB5" w:rsidP="00163B94" w:rsidRDefault="009D3FB5" w14:paraId="14E76EDF"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sz w:val="24"/>
              </w:rPr>
              <w:t>Propuesta de maximización de recursos existentes y nuevos recursos</w:t>
            </w:r>
          </w:p>
        </w:tc>
        <w:tc>
          <w:tcPr>
            <w:tcW w:w="1470" w:type="pct"/>
            <w:shd w:val="clear" w:color="auto" w:fill="auto"/>
            <w:vAlign w:val="center"/>
          </w:tcPr>
          <w:p w:rsidRPr="00AE1B2B" w:rsidR="009D3FB5" w:rsidP="00163B94" w:rsidRDefault="009D3FB5" w14:paraId="0D9513F7"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sz w:val="24"/>
              </w:rPr>
              <w:object w:dxaOrig="1810" w:dyaOrig="1180" w14:anchorId="5B934425">
                <v:shape id="_x0000_i1124" style="width:89.4pt;height:58.95pt" o:ole="" type="#_x0000_t75">
                  <v:imagedata o:title="" r:id="rId415"/>
                </v:shape>
                <o:OLEObject Type="Embed" ProgID="AcroExch.Document.DC" ShapeID="_x0000_i1124" DrawAspect="Icon" ObjectID="_1681900550" r:id="rId416"/>
              </w:object>
            </w:r>
          </w:p>
          <w:p w:rsidRPr="00AE1B2B" w:rsidR="009D3FB5" w:rsidP="00163B94" w:rsidRDefault="009D3FB5" w14:paraId="2B2BB1FD"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sz w:val="24"/>
              </w:rPr>
              <w:object w:dxaOrig="1508" w:dyaOrig="983" w14:anchorId="3BAA257F">
                <v:shape id="_x0000_i1125" style="width:74pt;height:49.45pt" o:ole="" type="#_x0000_t75">
                  <v:imagedata o:title="" r:id="rId417"/>
                </v:shape>
                <o:OLEObject Type="Embed" ProgID="Package" ShapeID="_x0000_i1125" DrawAspect="Icon" ObjectID="_1681900551" r:id="rId418"/>
              </w:object>
            </w:r>
          </w:p>
        </w:tc>
      </w:tr>
      <w:tr w:rsidRPr="00AE1B2B" w:rsidR="00AE1B2B" w:rsidTr="009D3FB5" w14:paraId="03675760" w14:textId="77777777">
        <w:trPr>
          <w:tblCellSpacing w:w="1440" w:type="nil"/>
        </w:trPr>
        <w:tc>
          <w:tcPr>
            <w:tcW w:w="871" w:type="pct"/>
            <w:shd w:val="clear" w:color="auto" w:fill="auto"/>
            <w:vAlign w:val="center"/>
          </w:tcPr>
          <w:p w:rsidRPr="00AE1B2B" w:rsidR="009D3FB5" w:rsidP="00163B94" w:rsidRDefault="009D3FB5" w14:paraId="3A09189F" w14:textId="77777777">
            <w:pPr>
              <w:spacing w:before="120" w:after="120" w:line="360" w:lineRule="auto"/>
              <w:jc w:val="center"/>
              <w:rPr>
                <w:rFonts w:ascii="Times New Roman" w:hAnsi="Times New Roman" w:eastAsia="Calibri" w:cs="Times New Roman"/>
                <w:b/>
                <w:i/>
                <w:sz w:val="24"/>
              </w:rPr>
            </w:pPr>
            <w:r w:rsidRPr="00AE1B2B">
              <w:rPr>
                <w:rFonts w:ascii="Times New Roman" w:hAnsi="Times New Roman" w:eastAsia="Calibri" w:cs="Times New Roman"/>
                <w:b/>
                <w:i/>
                <w:sz w:val="24"/>
              </w:rPr>
              <w:t>Apéndice 6</w:t>
            </w:r>
          </w:p>
        </w:tc>
        <w:tc>
          <w:tcPr>
            <w:tcW w:w="2659" w:type="pct"/>
            <w:shd w:val="clear" w:color="auto" w:fill="auto"/>
            <w:vAlign w:val="center"/>
          </w:tcPr>
          <w:p w:rsidRPr="00AE1B2B" w:rsidR="009D3FB5" w:rsidP="00163B94" w:rsidRDefault="009D3FB5" w14:paraId="0A02702B"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sz w:val="24"/>
              </w:rPr>
              <w:t>Necesidades presupuestarias Departamento de Trabajo Social y Psicología</w:t>
            </w:r>
          </w:p>
        </w:tc>
        <w:tc>
          <w:tcPr>
            <w:tcW w:w="1470" w:type="pct"/>
            <w:shd w:val="clear" w:color="auto" w:fill="auto"/>
            <w:vAlign w:val="center"/>
          </w:tcPr>
          <w:p w:rsidRPr="00AE1B2B" w:rsidR="009D3FB5" w:rsidP="00163B94" w:rsidRDefault="009D3FB5" w14:paraId="1A95E463"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sz w:val="24"/>
              </w:rPr>
              <w:object w:dxaOrig="1508" w:dyaOrig="983" w14:anchorId="096D3BC0">
                <v:shape id="_x0000_i1126" style="width:74pt;height:49.45pt" o:ole="" type="#_x0000_t75">
                  <v:imagedata o:title="" r:id="rId419"/>
                </v:shape>
                <o:OLEObject Type="Embed" ProgID="Package" ShapeID="_x0000_i1126" DrawAspect="Icon" ObjectID="_1681900552" r:id="rId420"/>
              </w:object>
            </w:r>
          </w:p>
        </w:tc>
      </w:tr>
      <w:tr w:rsidRPr="00AE1B2B" w:rsidR="009D3FB5" w:rsidTr="009D3FB5" w14:paraId="640BEA10" w14:textId="77777777">
        <w:trPr>
          <w:tblCellSpacing w:w="1440" w:type="nil"/>
        </w:trPr>
        <w:tc>
          <w:tcPr>
            <w:tcW w:w="871" w:type="pct"/>
            <w:shd w:val="clear" w:color="auto" w:fill="auto"/>
            <w:vAlign w:val="center"/>
          </w:tcPr>
          <w:p w:rsidRPr="00AE1B2B" w:rsidR="009D3FB5" w:rsidP="00163B94" w:rsidRDefault="009D3FB5" w14:paraId="2E8FB433" w14:textId="77777777">
            <w:pPr>
              <w:spacing w:before="120" w:after="120" w:line="360" w:lineRule="auto"/>
              <w:jc w:val="center"/>
              <w:rPr>
                <w:rFonts w:ascii="Times New Roman" w:hAnsi="Times New Roman" w:eastAsia="Calibri" w:cs="Times New Roman"/>
                <w:b/>
                <w:i/>
                <w:sz w:val="24"/>
              </w:rPr>
            </w:pPr>
            <w:r w:rsidRPr="00AE1B2B">
              <w:rPr>
                <w:rFonts w:ascii="Times New Roman" w:hAnsi="Times New Roman" w:eastAsia="Calibri" w:cs="Times New Roman"/>
                <w:b/>
                <w:i/>
                <w:sz w:val="24"/>
              </w:rPr>
              <w:t>Apéndice 7</w:t>
            </w:r>
          </w:p>
        </w:tc>
        <w:tc>
          <w:tcPr>
            <w:tcW w:w="2659" w:type="pct"/>
            <w:shd w:val="clear" w:color="auto" w:fill="auto"/>
            <w:vAlign w:val="center"/>
          </w:tcPr>
          <w:p w:rsidRPr="00AE1B2B" w:rsidR="009D3FB5" w:rsidP="00163B94" w:rsidRDefault="009D3FB5" w14:paraId="5A00D674"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sz w:val="24"/>
              </w:rPr>
              <w:t>Estimación costos Recurso Humano y Mobiliario Equipo, propuesta Dirección Justicia Restaurativa y propuesta de la Dirección de Planificación.</w:t>
            </w:r>
          </w:p>
        </w:tc>
        <w:tc>
          <w:tcPr>
            <w:tcW w:w="1470" w:type="pct"/>
            <w:shd w:val="clear" w:color="auto" w:fill="auto"/>
            <w:vAlign w:val="center"/>
          </w:tcPr>
          <w:p w:rsidRPr="00AE1B2B" w:rsidR="009D3FB5" w:rsidP="00163B94" w:rsidRDefault="009D3FB5" w14:paraId="6D2FF661" w14:textId="77777777">
            <w:pPr>
              <w:spacing w:before="120" w:after="120" w:line="360" w:lineRule="auto"/>
              <w:jc w:val="center"/>
              <w:rPr>
                <w:rFonts w:ascii="Times New Roman" w:hAnsi="Times New Roman" w:eastAsia="Calibri" w:cs="Times New Roman"/>
                <w:sz w:val="24"/>
              </w:rPr>
            </w:pPr>
            <w:r w:rsidRPr="00AE1B2B">
              <w:rPr>
                <w:rFonts w:ascii="Times New Roman" w:hAnsi="Times New Roman" w:eastAsia="Calibri" w:cs="Times New Roman"/>
                <w:sz w:val="24"/>
              </w:rPr>
              <w:object w:dxaOrig="1810" w:dyaOrig="1180" w14:anchorId="3E99FA95">
                <v:shape id="_x0000_i1127" style="width:90.6pt;height:58.95pt" o:ole="" type="#_x0000_t75">
                  <v:imagedata o:title="" r:id="rId421"/>
                </v:shape>
                <o:OLEObject Type="Embed" ProgID="Excel.Sheet.12" ShapeID="_x0000_i1127" DrawAspect="Icon" ObjectID="_1681900553" r:id="rId422"/>
              </w:object>
            </w:r>
          </w:p>
        </w:tc>
      </w:tr>
    </w:tbl>
    <w:p w:rsidRPr="00AE1B2B" w:rsidR="009D3FB5" w:rsidP="00163B94" w:rsidRDefault="009D3FB5" w14:paraId="381F4759" w14:textId="77777777">
      <w:pPr>
        <w:spacing w:before="120" w:after="120" w:line="360" w:lineRule="auto"/>
        <w:jc w:val="both"/>
        <w:rPr>
          <w:rFonts w:ascii="Times New Roman" w:hAnsi="Times New Roman" w:eastAsia="Calibri" w:cs="Times New Roman"/>
          <w:sz w:val="24"/>
        </w:rPr>
      </w:pPr>
    </w:p>
    <w:p w:rsidRPr="00AE1B2B" w:rsidR="009D3FB5" w:rsidP="00163B94" w:rsidRDefault="009D3FB5" w14:paraId="2300EB83" w14:textId="77777777">
      <w:pPr>
        <w:spacing w:before="120" w:after="120" w:line="360" w:lineRule="auto"/>
        <w:jc w:val="both"/>
        <w:rPr>
          <w:rFonts w:ascii="Times New Roman" w:hAnsi="Times New Roman" w:eastAsia="Calibri" w:cs="Times New Roman"/>
          <w:sz w:val="24"/>
        </w:rPr>
      </w:pPr>
    </w:p>
    <w:tbl>
      <w:tblPr>
        <w:tblW w:w="9918" w:type="dxa"/>
        <w:jc w:val="center"/>
        <w:tblLayout w:type="fixed"/>
        <w:tblCellMar>
          <w:left w:w="70" w:type="dxa"/>
          <w:right w:w="70" w:type="dxa"/>
        </w:tblCellMar>
        <w:tblLook w:val="0000" w:firstRow="0" w:lastRow="0" w:firstColumn="0" w:lastColumn="0" w:noHBand="0" w:noVBand="0"/>
      </w:tblPr>
      <w:tblGrid>
        <w:gridCol w:w="2016"/>
        <w:gridCol w:w="7902"/>
      </w:tblGrid>
      <w:tr w:rsidRPr="00AE1B2B" w:rsidR="009D3FB5" w:rsidTr="009D3FB5" w14:paraId="2D630915" w14:textId="77777777">
        <w:trPr>
          <w:trHeight w:val="1053"/>
          <w:jc w:val="center"/>
        </w:trPr>
        <w:tc>
          <w:tcPr>
            <w:tcW w:w="2016" w:type="dxa"/>
            <w:tcBorders>
              <w:top w:val="single" w:color="000000" w:themeColor="text1" w:sz="4" w:space="0"/>
              <w:left w:val="single" w:color="000000" w:themeColor="text1" w:sz="4" w:space="0"/>
              <w:bottom w:val="single" w:color="000000" w:themeColor="text1" w:sz="4" w:space="0"/>
            </w:tcBorders>
            <w:shd w:val="clear" w:color="auto" w:fill="1F4E79" w:themeFill="accent1" w:themeFillShade="80"/>
            <w:vAlign w:val="center"/>
          </w:tcPr>
          <w:p w:rsidRPr="00AE1B2B" w:rsidR="009D3FB5" w:rsidP="00163B94" w:rsidRDefault="009D3FB5" w14:paraId="7557D3AF" w14:textId="77777777">
            <w:pPr>
              <w:spacing w:before="120" w:after="120" w:line="360" w:lineRule="auto"/>
              <w:ind w:right="74"/>
              <w:jc w:val="both"/>
              <w:rPr>
                <w:rFonts w:ascii="Times New Roman" w:hAnsi="Times New Roman" w:eastAsia="Calibri" w:cs="Times New Roman"/>
                <w:b/>
                <w:sz w:val="24"/>
                <w:szCs w:val="24"/>
              </w:rPr>
            </w:pPr>
            <w:r w:rsidRPr="00AE1B2B">
              <w:rPr>
                <w:rFonts w:ascii="Times New Roman" w:hAnsi="Times New Roman" w:eastAsia="Calibri" w:cs="Times New Roman"/>
                <w:b/>
                <w:sz w:val="24"/>
                <w:szCs w:val="24"/>
              </w:rPr>
              <w:lastRenderedPageBreak/>
              <w:t>Realizado por:</w:t>
            </w:r>
          </w:p>
        </w:tc>
        <w:tc>
          <w:tcPr>
            <w:tcW w:w="790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rsidRPr="00AE1B2B" w:rsidR="009D3FB5" w:rsidP="00163B94" w:rsidRDefault="009D3FB5" w14:paraId="4560CB46" w14:textId="77777777">
            <w:pPr>
              <w:spacing w:before="120" w:after="120" w:line="360" w:lineRule="auto"/>
              <w:ind w:right="74"/>
              <w:jc w:val="both"/>
              <w:rPr>
                <w:rFonts w:ascii="Times New Roman" w:hAnsi="Times New Roman" w:eastAsia="Calibri" w:cs="Times New Roman"/>
                <w:bCs/>
                <w:sz w:val="24"/>
                <w:szCs w:val="24"/>
              </w:rPr>
            </w:pPr>
            <w:r w:rsidRPr="00AE1B2B">
              <w:rPr>
                <w:rFonts w:ascii="Times New Roman" w:hAnsi="Times New Roman" w:eastAsia="Calibri" w:cs="Times New Roman"/>
                <w:bCs/>
                <w:sz w:val="24"/>
                <w:szCs w:val="24"/>
              </w:rPr>
              <w:t>Ing. Karla Calvo Herrera, Profesional 2 del Subproceso de Modernización Institucional</w:t>
            </w:r>
          </w:p>
        </w:tc>
      </w:tr>
      <w:tr w:rsidRPr="00AE1B2B" w:rsidR="009D3FB5" w:rsidTr="009D3FB5" w14:paraId="74EA6F42" w14:textId="77777777">
        <w:trPr>
          <w:trHeight w:val="313"/>
          <w:jc w:val="center"/>
        </w:trPr>
        <w:tc>
          <w:tcPr>
            <w:tcW w:w="2016" w:type="dxa"/>
            <w:tcBorders>
              <w:top w:val="single" w:color="000000" w:themeColor="text1" w:sz="4" w:space="0"/>
              <w:left w:val="single" w:color="000000" w:themeColor="text1" w:sz="4" w:space="0"/>
              <w:bottom w:val="single" w:color="000000" w:themeColor="text1" w:sz="4" w:space="0"/>
            </w:tcBorders>
            <w:shd w:val="clear" w:color="auto" w:fill="1F4E79" w:themeFill="accent1" w:themeFillShade="80"/>
            <w:vAlign w:val="center"/>
          </w:tcPr>
          <w:p w:rsidRPr="00AE1B2B" w:rsidR="009D3FB5" w:rsidP="00163B94" w:rsidRDefault="009D3FB5" w14:paraId="4B603D80" w14:textId="77777777">
            <w:pPr>
              <w:spacing w:before="120" w:after="120" w:line="360" w:lineRule="auto"/>
              <w:ind w:right="74"/>
              <w:jc w:val="both"/>
              <w:rPr>
                <w:rFonts w:ascii="Times New Roman" w:hAnsi="Times New Roman" w:eastAsia="Calibri" w:cs="Times New Roman"/>
                <w:b/>
                <w:sz w:val="24"/>
                <w:szCs w:val="24"/>
              </w:rPr>
            </w:pPr>
            <w:r w:rsidRPr="00AE1B2B">
              <w:rPr>
                <w:rFonts w:ascii="Times New Roman" w:hAnsi="Times New Roman" w:eastAsia="Calibri" w:cs="Times New Roman"/>
                <w:b/>
                <w:sz w:val="24"/>
                <w:szCs w:val="24"/>
              </w:rPr>
              <w:t>Revisado por:</w:t>
            </w:r>
          </w:p>
        </w:tc>
        <w:tc>
          <w:tcPr>
            <w:tcW w:w="790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rsidRPr="00AE1B2B" w:rsidR="009D3FB5" w:rsidP="00163B94" w:rsidRDefault="009D3FB5" w14:paraId="46242D4B" w14:textId="77777777">
            <w:pPr>
              <w:spacing w:before="120" w:after="120" w:line="360" w:lineRule="auto"/>
              <w:ind w:right="74"/>
              <w:jc w:val="both"/>
              <w:rPr>
                <w:rFonts w:ascii="Times New Roman" w:hAnsi="Times New Roman" w:eastAsia="Calibri" w:cs="Times New Roman"/>
                <w:bCs/>
                <w:sz w:val="24"/>
                <w:szCs w:val="24"/>
              </w:rPr>
            </w:pPr>
            <w:r w:rsidRPr="00AE1B2B">
              <w:rPr>
                <w:rFonts w:ascii="Times New Roman" w:hAnsi="Times New Roman" w:eastAsia="Calibri" w:cs="Times New Roman"/>
                <w:bCs/>
                <w:sz w:val="24"/>
                <w:szCs w:val="24"/>
              </w:rPr>
              <w:t>Ing. Jorge Fernando Rodríguez Salazar, Jefe a.i. Subproceso de Modernización Institucional</w:t>
            </w:r>
          </w:p>
        </w:tc>
      </w:tr>
      <w:tr w:rsidRPr="00AE1B2B" w:rsidR="009D3FB5" w:rsidTr="009D3FB5" w14:paraId="0C3009AC" w14:textId="77777777">
        <w:trPr>
          <w:trHeight w:val="51"/>
          <w:jc w:val="center"/>
        </w:trPr>
        <w:tc>
          <w:tcPr>
            <w:tcW w:w="2016" w:type="dxa"/>
            <w:tcBorders>
              <w:top w:val="single" w:color="000000" w:themeColor="text1" w:sz="4" w:space="0"/>
              <w:left w:val="single" w:color="000000" w:themeColor="text1" w:sz="4" w:space="0"/>
              <w:bottom w:val="single" w:color="000000" w:themeColor="text1" w:sz="4" w:space="0"/>
            </w:tcBorders>
            <w:shd w:val="clear" w:color="auto" w:fill="1F4E79" w:themeFill="accent1" w:themeFillShade="80"/>
            <w:vAlign w:val="center"/>
          </w:tcPr>
          <w:p w:rsidRPr="00AE1B2B" w:rsidR="009D3FB5" w:rsidP="00163B94" w:rsidRDefault="009D3FB5" w14:paraId="60BB2F16" w14:textId="77777777">
            <w:pPr>
              <w:spacing w:before="120" w:after="120" w:line="360" w:lineRule="auto"/>
              <w:ind w:right="74"/>
              <w:jc w:val="both"/>
              <w:rPr>
                <w:rFonts w:ascii="Times New Roman" w:hAnsi="Times New Roman" w:eastAsia="Calibri" w:cs="Times New Roman"/>
                <w:b/>
                <w:sz w:val="24"/>
                <w:szCs w:val="24"/>
              </w:rPr>
            </w:pPr>
            <w:r w:rsidRPr="00AE1B2B">
              <w:rPr>
                <w:rFonts w:ascii="Times New Roman" w:hAnsi="Times New Roman" w:eastAsia="Calibri" w:cs="Times New Roman"/>
                <w:b/>
                <w:sz w:val="24"/>
                <w:szCs w:val="24"/>
              </w:rPr>
              <w:t>Aprobado por:</w:t>
            </w:r>
          </w:p>
        </w:tc>
        <w:tc>
          <w:tcPr>
            <w:tcW w:w="790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rsidRPr="00AE1B2B" w:rsidR="009D3FB5" w:rsidP="00163B94" w:rsidRDefault="009D3FB5" w14:paraId="080A3F6E" w14:textId="77777777">
            <w:pPr>
              <w:keepNext/>
              <w:spacing w:before="120" w:after="120" w:line="360" w:lineRule="auto"/>
              <w:ind w:right="74"/>
              <w:jc w:val="both"/>
              <w:rPr>
                <w:rFonts w:ascii="Times New Roman" w:hAnsi="Times New Roman" w:eastAsia="Calibri" w:cs="Times New Roman"/>
                <w:bCs/>
                <w:sz w:val="24"/>
                <w:szCs w:val="24"/>
              </w:rPr>
            </w:pPr>
            <w:r w:rsidRPr="00AE1B2B">
              <w:rPr>
                <w:rFonts w:ascii="Times New Roman" w:hAnsi="Times New Roman" w:eastAsia="Calibri" w:cs="Times New Roman"/>
                <w:bCs/>
                <w:sz w:val="24"/>
                <w:szCs w:val="24"/>
              </w:rPr>
              <w:t>Lic. Nacira Valverde Bermúdez, Directora a.i. de Planificación</w:t>
            </w:r>
          </w:p>
        </w:tc>
      </w:tr>
    </w:tbl>
    <w:p w:rsidRPr="00AE1B2B" w:rsidR="009D3FB5" w:rsidP="00163B94" w:rsidRDefault="009D3FB5" w14:paraId="29EFD37E"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rqp</w:t>
      </w:r>
    </w:p>
    <w:p w:rsidRPr="00AE1B2B" w:rsidR="009D3FB5" w:rsidP="00163B94" w:rsidRDefault="009D3FB5" w14:paraId="7091519A"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Ref.420-2021,290-2021</w:t>
      </w:r>
    </w:p>
    <w:p w:rsidRPr="00AE1B2B" w:rsidR="00163B94" w:rsidP="005D1E2B" w:rsidRDefault="00163B94" w14:paraId="61644C09" w14:textId="77777777">
      <w:pPr>
        <w:spacing w:before="120" w:after="120" w:line="480" w:lineRule="auto"/>
        <w:jc w:val="center"/>
        <w:rPr>
          <w:rFonts w:ascii="Times New Roman" w:hAnsi="Times New Roman"/>
          <w:bCs/>
          <w:sz w:val="28"/>
          <w:szCs w:val="28"/>
          <w:lang w:val="es-ES"/>
        </w:rPr>
      </w:pPr>
      <w:r w:rsidRPr="00AE1B2B">
        <w:rPr>
          <w:rFonts w:ascii="Times New Roman" w:hAnsi="Times New Roman"/>
          <w:bCs/>
          <w:spacing w:val="2"/>
          <w:sz w:val="28"/>
          <w:szCs w:val="28"/>
          <w:lang w:val="es-ES"/>
        </w:rPr>
        <w:t>- 0 -</w:t>
      </w:r>
    </w:p>
    <w:p w:rsidRPr="00AE1B2B" w:rsidR="009D3FB5" w:rsidP="00163B94" w:rsidRDefault="009D3FB5" w14:paraId="697BFE09" w14:textId="4CB5D894">
      <w:pPr>
        <w:spacing w:before="120" w:after="120" w:line="480" w:lineRule="auto"/>
        <w:ind w:firstLine="709"/>
        <w:jc w:val="both"/>
        <w:rPr>
          <w:rFonts w:ascii="Times New Roman" w:hAnsi="Times New Roman" w:cs="Times New Roman"/>
          <w:sz w:val="28"/>
          <w:szCs w:val="28"/>
        </w:rPr>
      </w:pPr>
      <w:r w:rsidRPr="00AE1B2B">
        <w:rPr>
          <w:rFonts w:ascii="Times New Roman" w:hAnsi="Times New Roman" w:eastAsia="Calibri" w:cs="Times New Roman"/>
          <w:b/>
          <w:bCs/>
          <w:sz w:val="28"/>
          <w:szCs w:val="28"/>
        </w:rPr>
        <w:t>Se acordó</w:t>
      </w:r>
      <w:r w:rsidRPr="00AE1B2B">
        <w:rPr>
          <w:rFonts w:ascii="Times New Roman" w:hAnsi="Times New Roman" w:eastAsia="Calibri" w:cs="Times New Roman"/>
          <w:sz w:val="28"/>
          <w:szCs w:val="28"/>
        </w:rPr>
        <w:t xml:space="preserve">: </w:t>
      </w:r>
      <w:r w:rsidRPr="00AE1B2B">
        <w:rPr>
          <w:rFonts w:ascii="Times New Roman" w:hAnsi="Times New Roman" w:eastAsia="Calibri" w:cs="Times New Roman"/>
          <w:b/>
          <w:bCs/>
          <w:sz w:val="28"/>
          <w:szCs w:val="28"/>
        </w:rPr>
        <w:t>1)</w:t>
      </w:r>
      <w:r w:rsidRPr="00AE1B2B">
        <w:rPr>
          <w:rFonts w:ascii="Times New Roman" w:hAnsi="Times New Roman" w:eastAsia="Calibri" w:cs="Times New Roman"/>
          <w:sz w:val="28"/>
          <w:szCs w:val="28"/>
        </w:rPr>
        <w:t xml:space="preserve"> Aprobar </w:t>
      </w:r>
      <w:r w:rsidRPr="00AE1B2B">
        <w:rPr>
          <w:rFonts w:ascii="Times New Roman" w:hAnsi="Times New Roman" w:cs="Times New Roman"/>
          <w:sz w:val="28"/>
          <w:szCs w:val="28"/>
        </w:rPr>
        <w:t xml:space="preserve">el escenario 3 del </w:t>
      </w:r>
      <w:r w:rsidRPr="00AE1B2B">
        <w:rPr>
          <w:rFonts w:ascii="Times New Roman" w:hAnsi="Times New Roman" w:cs="Times New Roman"/>
          <w:b/>
          <w:bCs/>
          <w:sz w:val="28"/>
          <w:szCs w:val="28"/>
        </w:rPr>
        <w:t>Informe 429-PLA-RH-MI-2021</w:t>
      </w:r>
      <w:r w:rsidRPr="00AE1B2B">
        <w:rPr>
          <w:rFonts w:ascii="Times New Roman" w:hAnsi="Times New Roman" w:cs="Times New Roman"/>
          <w:sz w:val="28"/>
          <w:szCs w:val="28"/>
        </w:rPr>
        <w:t xml:space="preserve">, estudio de Requerimiento Humano sobre el Informe de presupuesto del Impacto de Ley 9582 Justicia Restaurativa y el ejercicio de proyección presupuestaria para el año 2022 en el Programa Justicia Restaurativa. </w:t>
      </w:r>
      <w:r w:rsidRPr="00AE1B2B">
        <w:rPr>
          <w:rFonts w:ascii="Times New Roman" w:hAnsi="Times New Roman" w:cs="Times New Roman"/>
          <w:b/>
          <w:bCs/>
          <w:sz w:val="28"/>
          <w:szCs w:val="28"/>
        </w:rPr>
        <w:t>2)</w:t>
      </w:r>
      <w:r w:rsidRPr="00AE1B2B">
        <w:rPr>
          <w:rFonts w:ascii="Times New Roman" w:hAnsi="Times New Roman" w:cs="Times New Roman"/>
          <w:sz w:val="28"/>
          <w:szCs w:val="28"/>
        </w:rPr>
        <w:t xml:space="preserve"> El contenido económico requerido se remitirá de forma independiente al presupuesto ordinario ya que responde a una necesidad producto de una ley especial. </w:t>
      </w:r>
      <w:r w:rsidRPr="00AE1B2B" w:rsidR="00163B94">
        <w:rPr>
          <w:rFonts w:ascii="Times New Roman" w:hAnsi="Times New Roman" w:cs="Times New Roman"/>
          <w:b/>
          <w:bCs/>
          <w:sz w:val="28"/>
          <w:szCs w:val="28"/>
        </w:rPr>
        <w:t>Se declara acuerdo firme</w:t>
      </w:r>
      <w:r w:rsidRPr="00AE1B2B" w:rsidR="00163B94">
        <w:rPr>
          <w:rFonts w:ascii="Times New Roman" w:hAnsi="Times New Roman" w:cs="Times New Roman"/>
          <w:sz w:val="28"/>
          <w:szCs w:val="28"/>
        </w:rPr>
        <w:t>.</w:t>
      </w:r>
    </w:p>
    <w:p w:rsidRPr="00AE1B2B" w:rsidR="009D3FB5" w:rsidP="00163B94" w:rsidRDefault="009D3FB5" w14:paraId="04F0ADE4" w14:textId="2C4BCD47">
      <w:pPr>
        <w:keepNext/>
        <w:shd w:val="clear" w:color="auto" w:fill="FFFFFF"/>
        <w:autoSpaceDE w:val="0"/>
        <w:autoSpaceDN w:val="0"/>
        <w:spacing w:before="120" w:after="120" w:line="360" w:lineRule="auto"/>
        <w:jc w:val="center"/>
        <w:outlineLvl w:val="0"/>
        <w:rPr>
          <w:rFonts w:ascii="Times New Roman" w:hAnsi="Times New Roman" w:eastAsia="Times New Roman" w:cs="Times New Roman"/>
          <w:b/>
          <w:bCs/>
          <w:kern w:val="36"/>
          <w:sz w:val="28"/>
          <w:szCs w:val="28"/>
          <w:u w:val="single"/>
          <w:lang w:eastAsia="es-ES"/>
        </w:rPr>
      </w:pPr>
      <w:r w:rsidRPr="00AE1B2B">
        <w:rPr>
          <w:rFonts w:ascii="Times New Roman" w:hAnsi="Times New Roman" w:eastAsia="Times New Roman" w:cs="Times New Roman"/>
          <w:b/>
          <w:bCs/>
          <w:kern w:val="36"/>
          <w:sz w:val="32"/>
          <w:szCs w:val="32"/>
          <w:u w:val="single"/>
        </w:rPr>
        <w:t>ARTÍCULO X</w:t>
      </w:r>
      <w:r w:rsidRPr="00AE1B2B" w:rsidR="00637380">
        <w:rPr>
          <w:rFonts w:ascii="Times New Roman" w:hAnsi="Times New Roman" w:eastAsia="Times New Roman" w:cs="Times New Roman"/>
          <w:b/>
          <w:bCs/>
          <w:kern w:val="36"/>
          <w:sz w:val="32"/>
          <w:szCs w:val="32"/>
          <w:u w:val="single"/>
        </w:rPr>
        <w:t>X</w:t>
      </w:r>
      <w:r w:rsidRPr="00AE1B2B">
        <w:rPr>
          <w:rFonts w:ascii="Times New Roman" w:hAnsi="Times New Roman" w:eastAsia="Times New Roman" w:cs="Times New Roman"/>
          <w:b/>
          <w:bCs/>
          <w:kern w:val="36"/>
          <w:sz w:val="32"/>
          <w:szCs w:val="32"/>
          <w:u w:val="single"/>
        </w:rPr>
        <w:t>IV</w:t>
      </w:r>
    </w:p>
    <w:p w:rsidRPr="00AE1B2B" w:rsidR="00580F94" w:rsidP="004C4746" w:rsidRDefault="00580F94" w14:paraId="18EAC0AA" w14:textId="01EBD8BA">
      <w:pPr>
        <w:spacing w:before="120" w:after="120"/>
        <w:rPr>
          <w:rFonts w:ascii="Times New Roman" w:hAnsi="Times New Roman" w:cs="Times New Roman"/>
          <w:b/>
          <w:sz w:val="28"/>
          <w:szCs w:val="28"/>
        </w:rPr>
      </w:pPr>
      <w:r w:rsidRPr="00AE1B2B">
        <w:rPr>
          <w:rFonts w:ascii="Times New Roman" w:hAnsi="Times New Roman" w:eastAsia="Times New Roman" w:cs="Times New Roman"/>
          <w:b/>
          <w:bCs/>
          <w:kern w:val="36"/>
          <w:sz w:val="28"/>
          <w:szCs w:val="28"/>
          <w:lang w:eastAsia="es-ES"/>
        </w:rPr>
        <w:t>Documento</w:t>
      </w:r>
      <w:r w:rsidRPr="00AE1B2B" w:rsidR="00637380">
        <w:rPr>
          <w:rFonts w:ascii="Times New Roman" w:hAnsi="Times New Roman" w:cs="Times New Roman"/>
          <w:b/>
          <w:sz w:val="28"/>
          <w:szCs w:val="28"/>
        </w:rPr>
        <w:t xml:space="preserve"> 3974-2021</w:t>
      </w:r>
    </w:p>
    <w:p w:rsidRPr="00AE1B2B" w:rsidR="009D3FB5" w:rsidP="00163B94" w:rsidRDefault="009D3FB5" w14:paraId="10F83D37" w14:textId="77777777">
      <w:pPr>
        <w:spacing w:before="120" w:after="120" w:line="480" w:lineRule="auto"/>
        <w:ind w:firstLine="708"/>
        <w:jc w:val="both"/>
        <w:rPr>
          <w:rFonts w:ascii="Times New Roman" w:hAnsi="Times New Roman" w:cs="Times New Roman"/>
        </w:rPr>
      </w:pPr>
      <w:r w:rsidRPr="00AE1B2B">
        <w:rPr>
          <w:rFonts w:ascii="Times New Roman" w:hAnsi="Times New Roman" w:cs="Times New Roman"/>
          <w:sz w:val="28"/>
          <w:szCs w:val="28"/>
        </w:rPr>
        <w:t>En reunión de trabajo de este 16 de abril, la licenciada Nacira Valverde Bermúdez,</w:t>
      </w:r>
      <w:r w:rsidRPr="00AE1B2B">
        <w:rPr>
          <w:rFonts w:ascii="Times New Roman" w:hAnsi="Times New Roman" w:cs="Times New Roman"/>
          <w:sz w:val="28"/>
          <w:szCs w:val="28"/>
          <w:shd w:val="clear" w:color="auto" w:fill="FFFFFF"/>
        </w:rPr>
        <w:t xml:space="preserve"> </w:t>
      </w:r>
      <w:r w:rsidRPr="00AE1B2B">
        <w:rPr>
          <w:rFonts w:ascii="Times New Roman" w:hAnsi="Times New Roman" w:cs="Times New Roman"/>
          <w:sz w:val="28"/>
          <w:szCs w:val="28"/>
        </w:rPr>
        <w:t xml:space="preserve">Directora de Planificación presentó el </w:t>
      </w:r>
      <w:bookmarkStart w:name="_Hlk69370275" w:id="365"/>
      <w:r w:rsidRPr="00AE1B2B">
        <w:rPr>
          <w:rFonts w:ascii="Times New Roman" w:hAnsi="Times New Roman" w:cs="Times New Roman"/>
          <w:b/>
          <w:bCs/>
          <w:sz w:val="28"/>
          <w:szCs w:val="28"/>
        </w:rPr>
        <w:t>Informe 433-PLA-RH-MI-2021</w:t>
      </w:r>
      <w:r w:rsidRPr="00AE1B2B">
        <w:rPr>
          <w:rFonts w:ascii="Times New Roman" w:hAnsi="Times New Roman" w:cs="Times New Roman"/>
          <w:sz w:val="28"/>
          <w:szCs w:val="28"/>
        </w:rPr>
        <w:t>, estudio de Requerimiento Humano sobre Ley 9458 que reforma la Ley 4573, Código Penal y Ley 7451, Ley de Bienestar de los Animales 9458.</w:t>
      </w:r>
    </w:p>
    <w:bookmarkEnd w:id="365"/>
    <w:p w:rsidRPr="00AE1B2B" w:rsidR="009D3FB5" w:rsidP="00163B94" w:rsidRDefault="009D3FB5" w14:paraId="6333DC7F" w14:textId="77777777">
      <w:pPr>
        <w:spacing w:before="120" w:after="120"/>
        <w:ind w:left="851" w:right="851" w:firstLine="709"/>
        <w:jc w:val="both"/>
        <w:rPr>
          <w:rFonts w:ascii="Times New Roman" w:hAnsi="Times New Roman" w:eastAsia="Calibri" w:cs="Times New Roman"/>
          <w:b/>
          <w:bCs/>
          <w:sz w:val="26"/>
          <w:szCs w:val="26"/>
        </w:rPr>
      </w:pPr>
      <w:r w:rsidRPr="00AE1B2B">
        <w:rPr>
          <w:rFonts w:ascii="Times New Roman" w:hAnsi="Times New Roman" w:eastAsia="Calibri" w:cs="Times New Roman"/>
          <w:b/>
          <w:bCs/>
          <w:sz w:val="26"/>
          <w:szCs w:val="26"/>
        </w:rPr>
        <w:lastRenderedPageBreak/>
        <w:t>IMPLICACIONES ORGANIZACIONALES</w:t>
      </w:r>
    </w:p>
    <w:p w:rsidRPr="00AE1B2B" w:rsidR="009D3FB5" w:rsidP="00163B94" w:rsidRDefault="009D3FB5" w14:paraId="579EDC83" w14:textId="77777777">
      <w:pPr>
        <w:spacing w:before="120" w:after="120"/>
        <w:ind w:left="851" w:right="851" w:firstLine="709"/>
        <w:jc w:val="both"/>
        <w:rPr>
          <w:rFonts w:ascii="Times New Roman" w:hAnsi="Times New Roman" w:eastAsia="Calibri" w:cs="Times New Roman"/>
          <w:sz w:val="26"/>
          <w:szCs w:val="26"/>
          <w:lang w:val="es-MX"/>
        </w:rPr>
      </w:pPr>
      <w:r w:rsidRPr="00AE1B2B">
        <w:rPr>
          <w:rFonts w:ascii="Times New Roman" w:hAnsi="Times New Roman" w:eastAsia="Calibri" w:cs="Times New Roman"/>
          <w:sz w:val="26"/>
          <w:szCs w:val="26"/>
          <w:lang w:val="es-MX"/>
        </w:rPr>
        <w:t>Impacto de la Ley 9458 que reforma la Ley 4573, Código Penal y Ley 7451, Ley de Bienestar de los Animales 9458 publicada en la Gaceta No. 95 el 22 de mayo del 2017.</w:t>
      </w:r>
    </w:p>
    <w:p w:rsidRPr="00AE1B2B" w:rsidR="009D3FB5" w:rsidP="00163B94" w:rsidRDefault="009D3FB5" w14:paraId="047E6868" w14:textId="77777777">
      <w:pPr>
        <w:spacing w:before="120" w:after="120"/>
        <w:ind w:left="851" w:right="851" w:firstLine="709"/>
        <w:jc w:val="both"/>
        <w:rPr>
          <w:rFonts w:ascii="Times New Roman" w:hAnsi="Times New Roman" w:eastAsia="Calibri" w:cs="Times New Roman"/>
          <w:sz w:val="26"/>
          <w:szCs w:val="26"/>
          <w:lang w:val="es-MX"/>
        </w:rPr>
      </w:pPr>
      <w:r w:rsidRPr="00AE1B2B">
        <w:rPr>
          <w:rFonts w:ascii="Times New Roman" w:hAnsi="Times New Roman" w:eastAsia="Calibri" w:cs="Times New Roman"/>
          <w:sz w:val="26"/>
          <w:szCs w:val="26"/>
          <w:lang w:val="es-MX"/>
        </w:rPr>
        <w:t>Esta reforma a la Ley trajo consigo una serie de variantes en la tramitación e investigación de Crueldad contra los animales, al ser normado como delito.</w:t>
      </w:r>
    </w:p>
    <w:p w:rsidRPr="00AE1B2B" w:rsidR="009D3FB5" w:rsidP="00163B94" w:rsidRDefault="009D3FB5" w14:paraId="007816F5"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Dentro de las particularidades de la Ley, se identificó cambios que impactan en el Poder Judicial:</w:t>
      </w:r>
    </w:p>
    <w:p w:rsidRPr="00AE1B2B" w:rsidR="009D3FB5" w:rsidP="00163B94" w:rsidRDefault="009D3FB5" w14:paraId="1A1558D3" w14:textId="77777777">
      <w:pPr>
        <w:numPr>
          <w:ilvl w:val="0"/>
          <w:numId w:val="142"/>
        </w:numPr>
        <w:spacing w:before="120" w:after="120"/>
        <w:ind w:left="851" w:right="851" w:firstLine="709"/>
        <w:jc w:val="both"/>
        <w:rPr>
          <w:rFonts w:ascii="Times New Roman" w:hAnsi="Times New Roman" w:eastAsia="Calibri" w:cs="Times New Roman"/>
          <w:sz w:val="26"/>
          <w:szCs w:val="26"/>
          <w:u w:val="single"/>
          <w:lang w:eastAsia="es-CR"/>
        </w:rPr>
      </w:pPr>
      <w:r w:rsidRPr="00AE1B2B">
        <w:rPr>
          <w:rFonts w:ascii="Times New Roman" w:hAnsi="Times New Roman" w:eastAsia="Calibri" w:cs="Times New Roman"/>
          <w:sz w:val="26"/>
          <w:szCs w:val="26"/>
          <w:lang w:val="es-MX"/>
        </w:rPr>
        <w:t>El artículo 2 adiciona una sección V al título IX "Delitos contra la seguridad común" de la Ley N° 4573, Código Penal, de 4 de mayo de 1970, los cuales son el artículo</w:t>
      </w:r>
      <w:r w:rsidRPr="00AE1B2B">
        <w:rPr>
          <w:rFonts w:ascii="Times New Roman" w:hAnsi="Times New Roman" w:eastAsia="Calibri" w:cs="Times New Roman"/>
          <w:sz w:val="26"/>
          <w:szCs w:val="26"/>
          <w:lang w:eastAsia="es-CR"/>
        </w:rPr>
        <w:t xml:space="preserve"> </w:t>
      </w:r>
      <w:r w:rsidRPr="00AE1B2B">
        <w:rPr>
          <w:rFonts w:ascii="Times New Roman" w:hAnsi="Times New Roman" w:eastAsia="Calibri" w:cs="Times New Roman"/>
          <w:i/>
          <w:sz w:val="26"/>
          <w:szCs w:val="26"/>
          <w:lang w:eastAsia="es-CR"/>
        </w:rPr>
        <w:t>279 bis, 279 ter, 279 ter, 279 quáter, 279 quinquies y 279 sexies</w:t>
      </w:r>
      <w:r w:rsidRPr="00AE1B2B">
        <w:rPr>
          <w:rFonts w:ascii="Times New Roman" w:hAnsi="Times New Roman" w:eastAsia="Calibri" w:cs="Times New Roman"/>
          <w:sz w:val="26"/>
          <w:szCs w:val="26"/>
          <w:lang w:eastAsia="es-CR"/>
        </w:rPr>
        <w:t xml:space="preserve">, </w:t>
      </w:r>
      <w:r w:rsidRPr="00AE1B2B">
        <w:rPr>
          <w:rFonts w:ascii="Times New Roman" w:hAnsi="Times New Roman" w:eastAsia="Calibri" w:cs="Times New Roman"/>
          <w:i/>
          <w:sz w:val="26"/>
          <w:szCs w:val="26"/>
          <w:lang w:eastAsia="es-CR"/>
        </w:rPr>
        <w:t>“Crueldad contra los animales” “Muerte del animal”, “Actividades exceptuadas”, “Peleas entre animales” y “Pena alternativa”,</w:t>
      </w:r>
      <w:r w:rsidRPr="00AE1B2B">
        <w:rPr>
          <w:rFonts w:ascii="Times New Roman" w:hAnsi="Times New Roman" w:eastAsia="Calibri" w:cs="Times New Roman"/>
          <w:sz w:val="26"/>
          <w:szCs w:val="26"/>
          <w:lang w:eastAsia="es-CR"/>
        </w:rPr>
        <w:t xml:space="preserve"> </w:t>
      </w:r>
      <w:r w:rsidRPr="00AE1B2B">
        <w:rPr>
          <w:rFonts w:ascii="Times New Roman" w:hAnsi="Times New Roman" w:eastAsia="Calibri" w:cs="Times New Roman"/>
          <w:sz w:val="26"/>
          <w:szCs w:val="26"/>
          <w:u w:val="single"/>
          <w:lang w:eastAsia="es-CR"/>
        </w:rPr>
        <w:t>delitos que son competencia de las instancias judiciales.</w:t>
      </w:r>
    </w:p>
    <w:p w:rsidRPr="00AE1B2B" w:rsidR="009D3FB5" w:rsidP="00163B94" w:rsidRDefault="009D3FB5" w14:paraId="3FFD4363" w14:textId="77777777">
      <w:pPr>
        <w:numPr>
          <w:ilvl w:val="0"/>
          <w:numId w:val="142"/>
        </w:numPr>
        <w:spacing w:before="120" w:after="120"/>
        <w:ind w:left="851" w:right="851" w:firstLine="709"/>
        <w:jc w:val="both"/>
        <w:rPr>
          <w:rFonts w:ascii="Times New Roman" w:hAnsi="Times New Roman" w:eastAsia="Calibri" w:cs="Times New Roman"/>
          <w:sz w:val="26"/>
          <w:szCs w:val="26"/>
          <w:lang w:val="es-MX"/>
        </w:rPr>
      </w:pPr>
      <w:r w:rsidRPr="00AE1B2B">
        <w:rPr>
          <w:rFonts w:ascii="Times New Roman" w:hAnsi="Times New Roman" w:eastAsia="Calibri" w:cs="Times New Roman"/>
          <w:sz w:val="26"/>
          <w:szCs w:val="26"/>
          <w:lang w:val="es-MX"/>
        </w:rPr>
        <w:t xml:space="preserve">Asimismo, el artículo 3, adiciona un nuevo artículo 405 bis, “Maltrato de animales” en que se castiga con multa el “Maltrato animal”. </w:t>
      </w:r>
    </w:p>
    <w:p w:rsidRPr="00AE1B2B" w:rsidR="009D3FB5" w:rsidP="00163B94" w:rsidRDefault="009D3FB5" w14:paraId="720EFCCC" w14:textId="77777777">
      <w:pPr>
        <w:numPr>
          <w:ilvl w:val="0"/>
          <w:numId w:val="142"/>
        </w:numPr>
        <w:spacing w:before="120" w:after="120"/>
        <w:ind w:left="851" w:right="851" w:firstLine="709"/>
        <w:jc w:val="both"/>
        <w:rPr>
          <w:rFonts w:ascii="Times New Roman" w:hAnsi="Times New Roman" w:eastAsia="Calibri" w:cs="Times New Roman"/>
          <w:sz w:val="26"/>
          <w:szCs w:val="26"/>
          <w:lang w:eastAsia="es-CR"/>
        </w:rPr>
      </w:pPr>
      <w:r w:rsidRPr="00AE1B2B">
        <w:rPr>
          <w:rFonts w:ascii="Times New Roman" w:hAnsi="Times New Roman" w:eastAsia="Calibri" w:cs="Times New Roman"/>
          <w:sz w:val="26"/>
          <w:szCs w:val="26"/>
          <w:lang w:val="es-MX"/>
        </w:rPr>
        <w:t>En los artículos 2 y 3 de la reforma de Ley 9458 en estudio, en su parte dispositiva final establecen:</w:t>
      </w:r>
      <w:r w:rsidRPr="00AE1B2B">
        <w:rPr>
          <w:rFonts w:ascii="Times New Roman" w:hAnsi="Times New Roman" w:eastAsia="Calibri" w:cs="Times New Roman"/>
          <w:sz w:val="26"/>
          <w:szCs w:val="26"/>
          <w:lang w:eastAsia="es-CR"/>
        </w:rPr>
        <w:t xml:space="preserve"> </w:t>
      </w:r>
      <w:r w:rsidRPr="00AE1B2B">
        <w:rPr>
          <w:rFonts w:ascii="Times New Roman" w:hAnsi="Times New Roman" w:eastAsia="Calibri" w:cs="Times New Roman"/>
          <w:i/>
          <w:sz w:val="26"/>
          <w:szCs w:val="26"/>
          <w:lang w:eastAsia="es-CR"/>
        </w:rPr>
        <w:t>“Las organizaciones debidamente inscritas en el Registro Judicial podrán representar los intereses difusos de los animales afectados por las conductas descritas en esta norma”</w:t>
      </w:r>
      <w:r w:rsidRPr="00AE1B2B">
        <w:rPr>
          <w:rFonts w:ascii="Times New Roman" w:hAnsi="Times New Roman" w:eastAsia="Calibri" w:cs="Times New Roman"/>
          <w:sz w:val="26"/>
          <w:szCs w:val="26"/>
          <w:lang w:eastAsia="es-CR"/>
        </w:rPr>
        <w:t>.</w:t>
      </w:r>
    </w:p>
    <w:p w:rsidRPr="00AE1B2B" w:rsidR="009D3FB5" w:rsidP="00163B94" w:rsidRDefault="009D3FB5" w14:paraId="44051FBC"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En virtud de la importancia de esta Reforma y las implicaciones sobre el Poder Judicial, se procedió a realizar un análisis de esta, para estimar el presupuesto de su implementación.</w:t>
      </w:r>
    </w:p>
    <w:p w:rsidRPr="00AE1B2B" w:rsidR="009D3FB5" w:rsidP="00163B94" w:rsidRDefault="009D3FB5" w14:paraId="139F526E"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El Registro Judicial deberá registrar aquellas instituciones que representen los intereses difusos de los animales, por lo que debe crearse un módulo en el Sistema de Registro. (se requiere una plaza de Informático para su desarrollo). Al 2019 se cuentan con únicamente 4 empresas inscritas. </w:t>
      </w:r>
    </w:p>
    <w:p w:rsidRPr="00AE1B2B" w:rsidR="009D3FB5" w:rsidP="00163B94" w:rsidRDefault="009D3FB5" w14:paraId="622A0559" w14:textId="77777777">
      <w:pPr>
        <w:widowControl w:val="0"/>
        <w:autoSpaceDE w:val="0"/>
        <w:autoSpaceDN w:val="0"/>
        <w:adjustRightInd w:val="0"/>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Arial Unicode MS" w:cs="Times New Roman"/>
          <w:sz w:val="26"/>
          <w:szCs w:val="26"/>
          <w:u w:color="000000"/>
          <w:lang w:val="es-ES"/>
        </w:rPr>
        <w:t xml:space="preserve">Se debe reforzar con dos investigadores 1 y un Jefe 1, a la Sección de Delitos Varios del Departamento de Investigaciones Criminales y se crean cinco plazas para el Departamento de Ciencias Forenses para el análisis de las pruebas derivadas de los delitos contra los animales, ambos Departamentos del Organismo de Investigación Judicial. Así mismo 11 investigadores 1, para las delegaciones Regionales del OIJ y un profesional 2 para la Administración y </w:t>
      </w:r>
      <w:r w:rsidRPr="00AE1B2B">
        <w:rPr>
          <w:rFonts w:ascii="Times New Roman" w:hAnsi="Times New Roman" w:eastAsia="Arial Unicode MS" w:cs="Times New Roman"/>
          <w:sz w:val="26"/>
          <w:szCs w:val="26"/>
          <w:u w:color="000000"/>
          <w:lang w:val="es-ES"/>
        </w:rPr>
        <w:lastRenderedPageBreak/>
        <w:t xml:space="preserve">ejecución presupuestaria. </w:t>
      </w:r>
      <w:r w:rsidRPr="00AE1B2B">
        <w:rPr>
          <w:rFonts w:ascii="Times New Roman" w:hAnsi="Times New Roman" w:eastAsia="Calibri" w:cs="Times New Roman"/>
          <w:sz w:val="26"/>
          <w:szCs w:val="26"/>
        </w:rPr>
        <w:t>Cada uno de estos funcionarios, debe contar con su equipo de trabajo tal como: esposas, chaleco antibalas, gorra, camiseta, jacket, municiones y arma de fuego. Además, como parte del equipo de oficina deben contar con su respectivo escritorio, silla y una computadora para esta pareja de trabajo.</w:t>
      </w:r>
    </w:p>
    <w:p w:rsidRPr="00AE1B2B" w:rsidR="009D3FB5" w:rsidP="00163B94" w:rsidRDefault="009D3FB5" w14:paraId="011C1ACD" w14:textId="77777777">
      <w:pPr>
        <w:widowControl w:val="0"/>
        <w:autoSpaceDE w:val="0"/>
        <w:autoSpaceDN w:val="0"/>
        <w:adjustRightInd w:val="0"/>
        <w:spacing w:before="120" w:after="120"/>
        <w:ind w:left="851" w:right="851" w:firstLine="709"/>
        <w:jc w:val="both"/>
        <w:rPr>
          <w:rFonts w:ascii="Times New Roman" w:hAnsi="Times New Roman" w:eastAsia="Times New Roman" w:cs="Times New Roman"/>
          <w:sz w:val="26"/>
          <w:szCs w:val="26"/>
          <w:u w:color="000000"/>
          <w:lang w:val="es-ES" w:eastAsia="es-CR"/>
        </w:rPr>
      </w:pPr>
      <w:r w:rsidRPr="00AE1B2B">
        <w:rPr>
          <w:rFonts w:ascii="Times New Roman" w:hAnsi="Times New Roman" w:eastAsia="Calibri" w:cs="Times New Roman"/>
          <w:sz w:val="26"/>
          <w:szCs w:val="26"/>
        </w:rPr>
        <w:t>Por otro lado, como parte de equipo especializado para el trato y manejo de animales deberán contar con; kenels de transporte, palos de ahorque, bozal, manga de entrenamiento, los cuales deberán ser distribuidos al menos uno en cada delegación regional, para atención de eventuales casos</w:t>
      </w:r>
      <w:r w:rsidRPr="00AE1B2B">
        <w:rPr>
          <w:rFonts w:ascii="Times New Roman" w:hAnsi="Times New Roman" w:eastAsia="Times New Roman" w:cs="Times New Roman"/>
          <w:sz w:val="26"/>
          <w:szCs w:val="26"/>
          <w:u w:color="000000"/>
          <w:lang w:val="es-ES" w:eastAsia="es-CR"/>
        </w:rPr>
        <w:t xml:space="preserve">. </w:t>
      </w:r>
    </w:p>
    <w:p w:rsidRPr="00AE1B2B" w:rsidR="009D3FB5" w:rsidP="00163B94" w:rsidRDefault="009D3FB5" w14:paraId="2E3CDA6E" w14:textId="77777777">
      <w:pPr>
        <w:widowControl w:val="0"/>
        <w:autoSpaceDE w:val="0"/>
        <w:autoSpaceDN w:val="0"/>
        <w:adjustRightInd w:val="0"/>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Finalmente, se consideró el criterio del señor </w:t>
      </w:r>
      <w:r w:rsidRPr="00AE1B2B">
        <w:rPr>
          <w:rFonts w:ascii="Times New Roman" w:hAnsi="Times New Roman" w:eastAsia="Arial Unicode MS" w:cs="Times New Roman"/>
          <w:sz w:val="26"/>
          <w:szCs w:val="26"/>
          <w:u w:color="000000"/>
          <w:bdr w:val="none" w:color="auto" w:sz="0" w:space="0" w:frame="1"/>
          <w:lang w:val="es-ES"/>
        </w:rPr>
        <w:t xml:space="preserve">Walter Espinoza, Director General del Organismo de Investigación Judicial y </w:t>
      </w:r>
      <w:r w:rsidRPr="00AE1B2B">
        <w:rPr>
          <w:rFonts w:ascii="Times New Roman" w:hAnsi="Times New Roman" w:eastAsia="Calibri" w:cs="Times New Roman"/>
          <w:sz w:val="26"/>
          <w:szCs w:val="26"/>
        </w:rPr>
        <w:t xml:space="preserve">del Licenciado Mauricio Chacón Hernández Jefe de la Departamento de Ciencias Forenses, relacionado con el impacto a nivel de este ente, tanto en investigación como en pruebas de laboratorio donde se requiere de dos Peritos Judiciales 2B, uno para la sección de Bioquímica y otro para la sección de Toxicología, un Perito 2 y un Técnico especializado 6 para la sección de Química Analítica y un Perito Judicial 1 para la sección de Pericias físicas, quienes se encargarán no solo de la atención y el mejoramiento en el servicio, como en capacidad de respuesta, sino en la atención de los casos que se deben atender por la Ley de Bienestar animal. Estas plazas deben contar con su respectivo escritorio, silla y una computadora. Además, se tiene la necesidad de equipo para la investigación de este tipo de delitos, relacionados con los animales. Así como el equipo mínimo necesario para el manejo y traslado de los animales, además de los costos por la atención veterinaria por parte de veterinarios privados estimado en </w:t>
      </w:r>
      <w:r w:rsidRPr="00AE1B2B">
        <w:rPr>
          <w:rFonts w:ascii="Times New Roman" w:hAnsi="Times New Roman" w:eastAsia="Arial Unicode MS" w:cs="Times New Roman"/>
          <w:sz w:val="26"/>
          <w:szCs w:val="26"/>
          <w:u w:color="000000"/>
          <w:lang w:val="es-ES"/>
        </w:rPr>
        <w:t>₡100,000,000,00.</w:t>
      </w:r>
    </w:p>
    <w:p w:rsidRPr="00AE1B2B" w:rsidR="009D3FB5" w:rsidP="00163B94" w:rsidRDefault="009D3FB5" w14:paraId="6F946B07" w14:textId="77777777">
      <w:p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b/>
          <w:bCs/>
          <w:sz w:val="26"/>
          <w:szCs w:val="26"/>
        </w:rPr>
        <w:t>El monto de presupuesto requerido para el 2022 es de ₡780 065 160,00</w:t>
      </w:r>
      <w:r w:rsidRPr="00AE1B2B">
        <w:rPr>
          <w:rFonts w:ascii="Times New Roman" w:hAnsi="Times New Roman" w:eastAsia="Times New Roman" w:cs="Times New Roman"/>
          <w:b/>
          <w:bCs/>
          <w:sz w:val="26"/>
          <w:szCs w:val="26"/>
          <w:lang w:eastAsia="es-CR"/>
        </w:rPr>
        <w:t xml:space="preserve">. </w:t>
      </w:r>
      <w:r w:rsidRPr="00AE1B2B">
        <w:rPr>
          <w:rFonts w:ascii="Times New Roman" w:hAnsi="Times New Roman" w:eastAsia="Calibri" w:cs="Times New Roman"/>
          <w:sz w:val="26"/>
          <w:szCs w:val="26"/>
        </w:rPr>
        <w:t>Se crean 14 plazas extraordinarias por un periodo de un año (un profesional 2 en informática, 11 investigadores 1, un Jefe 1 y un profesional 2) más gastos variables.</w:t>
      </w:r>
    </w:p>
    <w:p w:rsidRPr="00AE1B2B" w:rsidR="009D3FB5" w:rsidP="00163B94" w:rsidRDefault="009D3FB5" w14:paraId="2BDAD24F" w14:textId="77777777">
      <w:pPr>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04C2EC02" w14:textId="77777777">
      <w:pPr>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44E4AAE5" w14:textId="77777777">
      <w:pPr>
        <w:spacing w:before="120" w:after="120"/>
        <w:ind w:left="851" w:right="851" w:firstLine="709"/>
        <w:jc w:val="center"/>
        <w:rPr>
          <w:rFonts w:ascii="Times New Roman" w:hAnsi="Times New Roman" w:eastAsia="Calibri" w:cs="Times New Roman"/>
          <w:b/>
          <w:bCs/>
          <w:sz w:val="26"/>
          <w:szCs w:val="26"/>
        </w:rPr>
      </w:pPr>
      <w:r w:rsidRPr="00AE1B2B">
        <w:rPr>
          <w:rFonts w:ascii="Times New Roman" w:hAnsi="Times New Roman" w:eastAsia="Calibri" w:cs="Times New Roman"/>
          <w:b/>
          <w:bCs/>
          <w:sz w:val="26"/>
          <w:szCs w:val="26"/>
        </w:rPr>
        <w:t>Detalle del costo total requerido para el 2022</w:t>
      </w:r>
    </w:p>
    <w:p w:rsidRPr="00AE1B2B" w:rsidR="009D3FB5" w:rsidP="00163B94" w:rsidRDefault="009D3FB5" w14:paraId="137CE671" w14:textId="77777777">
      <w:pPr>
        <w:spacing w:before="120" w:after="120"/>
        <w:jc w:val="center"/>
        <w:rPr>
          <w:rFonts w:ascii="Times New Roman" w:hAnsi="Times New Roman" w:eastAsia="Calibri" w:cs="Times New Roman"/>
          <w:b/>
          <w:bCs/>
        </w:rPr>
      </w:pPr>
    </w:p>
    <w:p w:rsidRPr="00AE1B2B" w:rsidR="009D3FB5" w:rsidP="00163B94" w:rsidRDefault="009D3FB5" w14:paraId="39A128F6" w14:textId="77777777">
      <w:pPr>
        <w:spacing w:before="120" w:after="120"/>
        <w:jc w:val="both"/>
        <w:rPr>
          <w:rFonts w:ascii="Times New Roman" w:hAnsi="Times New Roman" w:eastAsia="Calibri" w:cs="Times New Roman"/>
          <w:b/>
          <w:sz w:val="24"/>
          <w:szCs w:val="24"/>
        </w:rPr>
      </w:pPr>
      <w:r w:rsidRPr="00AE1B2B">
        <w:rPr>
          <w:rFonts w:ascii="Times New Roman" w:hAnsi="Times New Roman" w:eastAsia="Calibri" w:cs="Times New Roman"/>
          <w:b/>
          <w:noProof/>
          <w:sz w:val="24"/>
          <w:szCs w:val="24"/>
          <w:lang w:val="en-US"/>
        </w:rPr>
        <w:lastRenderedPageBreak/>
        <w:drawing>
          <wp:inline distT="0" distB="0" distL="0" distR="0" wp14:anchorId="7398BFC9" wp14:editId="460273FC">
            <wp:extent cx="5555615" cy="2045335"/>
            <wp:effectExtent l="0" t="0" r="6985" b="0"/>
            <wp:docPr id="1212768319" name="Imagen 1212768319"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68319" name="Imagen 1212768319" descr="Imagen que contiene Gráfico&#10;&#10;Descripción generada automáticamente"/>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5555615" cy="2045335"/>
                    </a:xfrm>
                    <a:prstGeom prst="rect">
                      <a:avLst/>
                    </a:prstGeom>
                    <a:noFill/>
                  </pic:spPr>
                </pic:pic>
              </a:graphicData>
            </a:graphic>
          </wp:inline>
        </w:drawing>
      </w:r>
    </w:p>
    <w:p w:rsidRPr="00AE1B2B" w:rsidR="009D3FB5" w:rsidP="00163B94" w:rsidRDefault="009D3FB5" w14:paraId="76AD29C6" w14:textId="77777777">
      <w:pPr>
        <w:spacing w:before="120" w:after="120" w:line="360" w:lineRule="auto"/>
        <w:ind w:left="851" w:right="851" w:firstLine="709"/>
        <w:jc w:val="both"/>
        <w:rPr>
          <w:rFonts w:ascii="Times New Roman" w:hAnsi="Times New Roman" w:eastAsia="Calibri" w:cs="Times New Roman"/>
          <w:b/>
          <w:sz w:val="26"/>
          <w:szCs w:val="26"/>
        </w:rPr>
      </w:pPr>
      <w:r w:rsidRPr="00AE1B2B">
        <w:rPr>
          <w:rFonts w:ascii="Times New Roman" w:hAnsi="Times New Roman" w:eastAsia="Calibri" w:cs="Times New Roman"/>
          <w:b/>
          <w:i/>
          <w:sz w:val="26"/>
          <w:szCs w:val="26"/>
        </w:rPr>
        <w:t>Fuente: Subproceso de Modernización Institucional</w:t>
      </w:r>
    </w:p>
    <w:p w:rsidRPr="00AE1B2B" w:rsidR="009D3FB5" w:rsidP="00163B94" w:rsidRDefault="009D3FB5" w14:paraId="6C288AE9" w14:textId="77777777">
      <w:pPr>
        <w:spacing w:before="120" w:after="120"/>
        <w:ind w:left="851" w:right="851" w:firstLine="709"/>
        <w:jc w:val="both"/>
        <w:rPr>
          <w:rFonts w:ascii="Times New Roman" w:hAnsi="Times New Roman" w:eastAsia="Times New Roman" w:cs="Times New Roman"/>
          <w:b/>
          <w:bCs/>
          <w:sz w:val="26"/>
          <w:szCs w:val="26"/>
          <w:lang w:eastAsia="es-CR"/>
        </w:rPr>
      </w:pPr>
    </w:p>
    <w:p w:rsidRPr="00AE1B2B" w:rsidR="009D3FB5" w:rsidP="00163B94" w:rsidRDefault="009D3FB5" w14:paraId="6A6601C1" w14:textId="77777777">
      <w:pPr>
        <w:widowControl w:val="0"/>
        <w:autoSpaceDE w:val="0"/>
        <w:autoSpaceDN w:val="0"/>
        <w:adjustRightInd w:val="0"/>
        <w:spacing w:before="120" w:after="120" w:line="360" w:lineRule="auto"/>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Seguidamente se presentan los costos por programa.</w:t>
      </w:r>
    </w:p>
    <w:p w:rsidRPr="00AE1B2B" w:rsidR="009D3FB5" w:rsidP="00163B94" w:rsidRDefault="009D3FB5" w14:paraId="665E45B8" w14:textId="77777777">
      <w:pPr>
        <w:widowControl w:val="0"/>
        <w:autoSpaceDE w:val="0"/>
        <w:autoSpaceDN w:val="0"/>
        <w:adjustRightInd w:val="0"/>
        <w:spacing w:before="120" w:after="120" w:line="240" w:lineRule="atLeast"/>
        <w:ind w:left="851" w:right="851" w:firstLine="709"/>
        <w:rPr>
          <w:rFonts w:ascii="Times New Roman" w:hAnsi="Times New Roman" w:eastAsia="Calibri" w:cs="Times New Roman"/>
          <w:b/>
          <w:bCs/>
          <w:sz w:val="26"/>
          <w:szCs w:val="26"/>
        </w:rPr>
      </w:pPr>
      <w:r w:rsidRPr="00AE1B2B">
        <w:rPr>
          <w:rFonts w:ascii="Times New Roman" w:hAnsi="Times New Roman" w:eastAsia="Calibri" w:cs="Times New Roman"/>
          <w:b/>
          <w:bCs/>
          <w:sz w:val="26"/>
          <w:szCs w:val="26"/>
        </w:rPr>
        <w:t>Gasto por recurso humano</w:t>
      </w:r>
    </w:p>
    <w:tbl>
      <w:tblPr>
        <w:tblpPr w:leftFromText="141" w:rightFromText="141" w:vertAnchor="text" w:horzAnchor="margin" w:tblpXSpec="center" w:tblpY="216"/>
        <w:tblW w:w="89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3073"/>
        <w:gridCol w:w="3128"/>
        <w:gridCol w:w="2779"/>
      </w:tblGrid>
      <w:tr w:rsidRPr="00AE1B2B" w:rsidR="009D3FB5" w:rsidTr="009D3FB5" w14:paraId="4F455F1D" w14:textId="77777777">
        <w:trPr>
          <w:trHeight w:val="424"/>
        </w:trPr>
        <w:tc>
          <w:tcPr>
            <w:tcW w:w="3073" w:type="dxa"/>
            <w:shd w:val="clear" w:color="auto" w:fill="4BACC6"/>
            <w:vAlign w:val="center"/>
            <w:hideMark/>
          </w:tcPr>
          <w:p w:rsidRPr="00AE1B2B" w:rsidR="009D3FB5" w:rsidP="00163B94" w:rsidRDefault="009D3FB5" w14:paraId="49A5804E" w14:textId="77777777">
            <w:pPr>
              <w:spacing w:before="120" w:after="120" w:line="240" w:lineRule="atLeast"/>
              <w:jc w:val="center"/>
              <w:rPr>
                <w:rFonts w:ascii="Times New Roman" w:hAnsi="Times New Roman" w:eastAsia="Calibri" w:cs="Times New Roman"/>
                <w:b/>
                <w:bCs/>
                <w:sz w:val="24"/>
                <w:szCs w:val="24"/>
                <w:lang w:eastAsia="es-CR"/>
              </w:rPr>
            </w:pPr>
            <w:r w:rsidRPr="00AE1B2B">
              <w:rPr>
                <w:rFonts w:ascii="Times New Roman" w:hAnsi="Times New Roman" w:eastAsia="Calibri" w:cs="Times New Roman"/>
                <w:b/>
                <w:bCs/>
                <w:sz w:val="24"/>
                <w:szCs w:val="24"/>
                <w:lang w:eastAsia="es-CR"/>
              </w:rPr>
              <w:t>Programa 926</w:t>
            </w:r>
          </w:p>
        </w:tc>
        <w:tc>
          <w:tcPr>
            <w:tcW w:w="3128" w:type="dxa"/>
            <w:shd w:val="clear" w:color="auto" w:fill="4BACC6"/>
            <w:vAlign w:val="center"/>
            <w:hideMark/>
          </w:tcPr>
          <w:p w:rsidRPr="00AE1B2B" w:rsidR="009D3FB5" w:rsidP="00163B94" w:rsidRDefault="009D3FB5" w14:paraId="6D380FB8" w14:textId="77777777">
            <w:pPr>
              <w:spacing w:before="120" w:after="120" w:line="240" w:lineRule="atLeast"/>
              <w:jc w:val="center"/>
              <w:rPr>
                <w:rFonts w:ascii="Times New Roman" w:hAnsi="Times New Roman" w:eastAsia="Calibri" w:cs="Times New Roman"/>
                <w:b/>
                <w:bCs/>
                <w:sz w:val="24"/>
                <w:szCs w:val="24"/>
                <w:lang w:eastAsia="es-CR"/>
              </w:rPr>
            </w:pPr>
            <w:r w:rsidRPr="00AE1B2B">
              <w:rPr>
                <w:rFonts w:ascii="Times New Roman" w:hAnsi="Times New Roman" w:eastAsia="Calibri" w:cs="Times New Roman"/>
                <w:b/>
                <w:bCs/>
                <w:sz w:val="24"/>
                <w:szCs w:val="24"/>
                <w:lang w:eastAsia="es-CR"/>
              </w:rPr>
              <w:t>Programa 928</w:t>
            </w:r>
          </w:p>
        </w:tc>
        <w:tc>
          <w:tcPr>
            <w:tcW w:w="2779" w:type="dxa"/>
            <w:shd w:val="clear" w:color="auto" w:fill="4BACC6"/>
            <w:vAlign w:val="center"/>
            <w:hideMark/>
          </w:tcPr>
          <w:p w:rsidRPr="00AE1B2B" w:rsidR="009D3FB5" w:rsidP="00163B94" w:rsidRDefault="009D3FB5" w14:paraId="1ABFE874" w14:textId="77777777">
            <w:pPr>
              <w:spacing w:before="120" w:after="120" w:line="240" w:lineRule="atLeast"/>
              <w:jc w:val="center"/>
              <w:rPr>
                <w:rFonts w:ascii="Times New Roman" w:hAnsi="Times New Roman" w:eastAsia="Calibri" w:cs="Times New Roman"/>
                <w:b/>
                <w:bCs/>
                <w:sz w:val="24"/>
                <w:szCs w:val="24"/>
                <w:lang w:eastAsia="es-CR"/>
              </w:rPr>
            </w:pPr>
            <w:r w:rsidRPr="00AE1B2B">
              <w:rPr>
                <w:rFonts w:ascii="Times New Roman" w:hAnsi="Times New Roman" w:eastAsia="Calibri" w:cs="Times New Roman"/>
                <w:b/>
                <w:bCs/>
                <w:sz w:val="24"/>
                <w:szCs w:val="24"/>
                <w:lang w:eastAsia="es-CR"/>
              </w:rPr>
              <w:t>Total solicitado</w:t>
            </w:r>
          </w:p>
        </w:tc>
      </w:tr>
      <w:tr w:rsidRPr="00AE1B2B" w:rsidR="009D3FB5" w:rsidTr="009D3FB5" w14:paraId="3CBE1FD4" w14:textId="77777777">
        <w:trPr>
          <w:trHeight w:val="532"/>
        </w:trPr>
        <w:tc>
          <w:tcPr>
            <w:tcW w:w="3073" w:type="dxa"/>
            <w:shd w:val="clear" w:color="auto" w:fill="auto"/>
            <w:vAlign w:val="center"/>
            <w:hideMark/>
          </w:tcPr>
          <w:p w:rsidRPr="00AE1B2B" w:rsidR="009D3FB5" w:rsidP="00163B94" w:rsidRDefault="009D3FB5" w14:paraId="335EC57C" w14:textId="77777777">
            <w:pPr>
              <w:spacing w:before="120" w:after="120"/>
              <w:rPr>
                <w:rFonts w:ascii="Times New Roman" w:hAnsi="Times New Roman" w:eastAsia="Calibri" w:cs="Times New Roman"/>
                <w:b/>
                <w:bCs/>
                <w:sz w:val="24"/>
                <w:szCs w:val="24"/>
              </w:rPr>
            </w:pPr>
          </w:p>
          <w:p w:rsidRPr="00AE1B2B" w:rsidR="009D3FB5" w:rsidP="00163B94" w:rsidRDefault="009D3FB5" w14:paraId="55CAF9BE" w14:textId="77777777">
            <w:pPr>
              <w:spacing w:before="120" w:after="120"/>
              <w:jc w:val="center"/>
              <w:rPr>
                <w:rFonts w:ascii="Times New Roman" w:hAnsi="Times New Roman" w:eastAsia="Calibri" w:cs="Times New Roman"/>
                <w:lang w:eastAsia="es-CR"/>
              </w:rPr>
            </w:pPr>
            <w:r w:rsidRPr="00AE1B2B">
              <w:rPr>
                <w:rFonts w:ascii="Times New Roman" w:hAnsi="Times New Roman" w:eastAsia="Calibri" w:cs="Times New Roman"/>
              </w:rPr>
              <w:t xml:space="preserve">₡486 408 000,00 </w:t>
            </w:r>
          </w:p>
          <w:p w:rsidRPr="00AE1B2B" w:rsidR="009D3FB5" w:rsidP="00163B94" w:rsidRDefault="009D3FB5" w14:paraId="66DBC3BD" w14:textId="77777777">
            <w:pPr>
              <w:spacing w:before="120" w:after="120"/>
              <w:jc w:val="center"/>
              <w:rPr>
                <w:rFonts w:ascii="Times New Roman" w:hAnsi="Times New Roman" w:eastAsia="Calibri" w:cs="Times New Roman"/>
                <w:b/>
                <w:bCs/>
                <w:sz w:val="24"/>
                <w:szCs w:val="24"/>
                <w:lang w:eastAsia="es-CR"/>
              </w:rPr>
            </w:pPr>
          </w:p>
          <w:p w:rsidRPr="00AE1B2B" w:rsidR="009D3FB5" w:rsidP="00163B94" w:rsidRDefault="009D3FB5" w14:paraId="17F12213" w14:textId="77777777">
            <w:pPr>
              <w:spacing w:before="120" w:after="120"/>
              <w:jc w:val="center"/>
              <w:rPr>
                <w:rFonts w:ascii="Times New Roman" w:hAnsi="Times New Roman" w:eastAsia="Calibri" w:cs="Times New Roman"/>
                <w:b/>
                <w:bCs/>
                <w:sz w:val="24"/>
                <w:szCs w:val="24"/>
                <w:lang w:eastAsia="es-CR"/>
              </w:rPr>
            </w:pPr>
          </w:p>
        </w:tc>
        <w:tc>
          <w:tcPr>
            <w:tcW w:w="3128" w:type="dxa"/>
            <w:shd w:val="clear" w:color="auto" w:fill="auto"/>
            <w:vAlign w:val="center"/>
            <w:hideMark/>
          </w:tcPr>
          <w:p w:rsidRPr="00AE1B2B" w:rsidR="009D3FB5" w:rsidP="00163B94" w:rsidRDefault="009D3FB5" w14:paraId="18B4E269" w14:textId="77777777">
            <w:pPr>
              <w:spacing w:before="120" w:after="120"/>
              <w:jc w:val="center"/>
              <w:rPr>
                <w:rFonts w:ascii="Times New Roman" w:hAnsi="Times New Roman" w:eastAsia="Calibri" w:cs="Times New Roman"/>
                <w:lang w:eastAsia="es-CR"/>
              </w:rPr>
            </w:pPr>
            <w:r w:rsidRPr="00AE1B2B">
              <w:rPr>
                <w:rFonts w:ascii="Times New Roman" w:hAnsi="Times New Roman" w:eastAsia="Calibri" w:cs="Times New Roman"/>
              </w:rPr>
              <w:t xml:space="preserve">₡35 314 000,00 </w:t>
            </w:r>
          </w:p>
        </w:tc>
        <w:tc>
          <w:tcPr>
            <w:tcW w:w="2779" w:type="dxa"/>
            <w:shd w:val="clear" w:color="auto" w:fill="auto"/>
            <w:vAlign w:val="center"/>
            <w:hideMark/>
          </w:tcPr>
          <w:p w:rsidRPr="00AE1B2B" w:rsidR="009D3FB5" w:rsidP="00163B94" w:rsidRDefault="009D3FB5" w14:paraId="6E5E8FC3" w14:textId="77777777">
            <w:pPr>
              <w:spacing w:before="120" w:after="120"/>
              <w:jc w:val="center"/>
              <w:rPr>
                <w:rFonts w:ascii="Times New Roman" w:hAnsi="Times New Roman" w:eastAsia="Calibri" w:cs="Times New Roman"/>
                <w:lang w:eastAsia="es-CR"/>
              </w:rPr>
            </w:pPr>
            <w:r w:rsidRPr="00AE1B2B">
              <w:rPr>
                <w:rFonts w:ascii="Times New Roman" w:hAnsi="Times New Roman" w:eastAsia="Calibri" w:cs="Times New Roman"/>
              </w:rPr>
              <w:t xml:space="preserve">₡521 722 000,00 </w:t>
            </w:r>
          </w:p>
        </w:tc>
      </w:tr>
    </w:tbl>
    <w:p w:rsidRPr="00AE1B2B" w:rsidR="009D3FB5" w:rsidP="00163B94" w:rsidRDefault="009D3FB5" w14:paraId="64D7E8BF" w14:textId="77777777">
      <w:pPr>
        <w:spacing w:before="120" w:after="120"/>
        <w:ind w:left="851" w:right="851" w:firstLine="709"/>
        <w:jc w:val="both"/>
        <w:rPr>
          <w:rFonts w:ascii="Times New Roman" w:hAnsi="Times New Roman" w:eastAsia="Calibri" w:cs="Times New Roman"/>
          <w:b/>
          <w:i/>
          <w:sz w:val="26"/>
          <w:szCs w:val="26"/>
        </w:rPr>
      </w:pPr>
      <w:r w:rsidRPr="00AE1B2B">
        <w:rPr>
          <w:rFonts w:ascii="Times New Roman" w:hAnsi="Times New Roman" w:eastAsia="Calibri" w:cs="Times New Roman"/>
          <w:b/>
          <w:i/>
          <w:sz w:val="26"/>
          <w:szCs w:val="26"/>
        </w:rPr>
        <w:t>Fuente: Subproceso de Modernización Institucional.</w:t>
      </w:r>
    </w:p>
    <w:p w:rsidRPr="00AE1B2B" w:rsidR="009D3FB5" w:rsidP="00163B94" w:rsidRDefault="009D3FB5" w14:paraId="4A08D455" w14:textId="77777777">
      <w:pPr>
        <w:spacing w:before="120" w:after="120"/>
        <w:ind w:left="851" w:right="851" w:firstLine="709"/>
        <w:jc w:val="both"/>
        <w:rPr>
          <w:rFonts w:ascii="Times New Roman" w:hAnsi="Times New Roman" w:eastAsia="Calibri" w:cs="Times New Roman"/>
          <w:i/>
          <w:sz w:val="26"/>
          <w:szCs w:val="26"/>
        </w:rPr>
      </w:pPr>
      <w:r w:rsidRPr="00AE1B2B">
        <w:rPr>
          <w:rFonts w:ascii="Times New Roman" w:hAnsi="Times New Roman" w:eastAsia="Calibri" w:cs="Times New Roman"/>
          <w:b/>
          <w:i/>
          <w:sz w:val="26"/>
          <w:szCs w:val="26"/>
        </w:rPr>
        <w:t>Nota:</w:t>
      </w:r>
      <w:r w:rsidRPr="00AE1B2B">
        <w:rPr>
          <w:rFonts w:ascii="Times New Roman" w:hAnsi="Times New Roman" w:eastAsia="Calibri" w:cs="Times New Roman"/>
          <w:i/>
          <w:sz w:val="26"/>
          <w:szCs w:val="26"/>
        </w:rPr>
        <w:t xml:space="preserve"> Programas: </w:t>
      </w:r>
      <w:r w:rsidRPr="00AE1B2B">
        <w:rPr>
          <w:rFonts w:ascii="Times New Roman" w:hAnsi="Times New Roman" w:eastAsia="Calibri" w:cs="Times New Roman"/>
          <w:i/>
          <w:sz w:val="26"/>
          <w:szCs w:val="26"/>
          <w:lang w:eastAsia="es-CR"/>
        </w:rPr>
        <w:t>926 (</w:t>
      </w:r>
      <w:r w:rsidRPr="00AE1B2B">
        <w:rPr>
          <w:rFonts w:ascii="Times New Roman" w:hAnsi="Times New Roman" w:eastAsia="Calibri" w:cs="Times New Roman"/>
          <w:i/>
          <w:sz w:val="26"/>
          <w:szCs w:val="26"/>
        </w:rPr>
        <w:t>Dirección, Administración y otros Órganos de Apoyo), 928 (Organismo Investigación Judicial).</w:t>
      </w:r>
    </w:p>
    <w:p w:rsidRPr="00AE1B2B" w:rsidR="009D3FB5" w:rsidP="00163B94" w:rsidRDefault="009D3FB5" w14:paraId="4FC69EC3" w14:textId="77777777">
      <w:pPr>
        <w:spacing w:before="120" w:after="120"/>
        <w:ind w:left="851" w:right="851" w:firstLine="709"/>
        <w:jc w:val="both"/>
        <w:rPr>
          <w:rFonts w:ascii="Times New Roman" w:hAnsi="Times New Roman" w:eastAsia="Calibri" w:cs="Times New Roman"/>
          <w:b/>
          <w:bCs/>
          <w:iCs/>
          <w:sz w:val="26"/>
          <w:szCs w:val="26"/>
        </w:rPr>
      </w:pPr>
    </w:p>
    <w:p w:rsidRPr="00AE1B2B" w:rsidR="009D3FB5" w:rsidP="00163B94" w:rsidRDefault="009D3FB5" w14:paraId="11C58F89" w14:textId="77777777">
      <w:pPr>
        <w:spacing w:before="120" w:after="120"/>
        <w:ind w:left="851" w:right="851" w:firstLine="709"/>
        <w:jc w:val="both"/>
        <w:rPr>
          <w:rFonts w:ascii="Times New Roman" w:hAnsi="Times New Roman" w:eastAsia="Calibri" w:cs="Times New Roman"/>
          <w:b/>
          <w:bCs/>
          <w:iCs/>
          <w:sz w:val="26"/>
          <w:szCs w:val="26"/>
        </w:rPr>
      </w:pPr>
      <w:r w:rsidRPr="00AE1B2B">
        <w:rPr>
          <w:rFonts w:ascii="Times New Roman" w:hAnsi="Times New Roman" w:eastAsia="Calibri" w:cs="Times New Roman"/>
          <w:b/>
          <w:bCs/>
          <w:iCs/>
          <w:sz w:val="26"/>
          <w:szCs w:val="26"/>
        </w:rPr>
        <w:t>Detalle de las remuneraciones por Recurso Humano.</w:t>
      </w:r>
    </w:p>
    <w:p w:rsidRPr="00AE1B2B" w:rsidR="009D3FB5" w:rsidP="00163B94" w:rsidRDefault="009D3FB5" w14:paraId="63203570" w14:textId="77777777">
      <w:pPr>
        <w:spacing w:before="120" w:after="120" w:line="276" w:lineRule="auto"/>
        <w:jc w:val="both"/>
        <w:rPr>
          <w:rFonts w:ascii="Times New Roman" w:hAnsi="Times New Roman" w:eastAsia="Calibri" w:cs="Times New Roman"/>
          <w:i/>
          <w:sz w:val="24"/>
          <w:szCs w:val="24"/>
        </w:rPr>
      </w:pPr>
      <w:r w:rsidRPr="00AE1B2B">
        <w:rPr>
          <w:rFonts w:ascii="Times New Roman" w:hAnsi="Times New Roman" w:eastAsia="Calibri" w:cs="Times New Roman"/>
          <w:noProof/>
          <w:lang w:val="en-US"/>
        </w:rPr>
        <w:lastRenderedPageBreak/>
        <w:drawing>
          <wp:inline distT="0" distB="0" distL="0" distR="0" wp14:anchorId="67286F06" wp14:editId="15382946">
            <wp:extent cx="5612130" cy="2030095"/>
            <wp:effectExtent l="0" t="0" r="7620" b="8255"/>
            <wp:docPr id="1263269083" name="Imagen 1263269083" descr="Escala de tiemp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69083" name="Imagen 1263269083" descr="Escala de tiempo&#10;&#10;Descripción generada automáticamente con confianza baja"/>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5612130" cy="2030095"/>
                    </a:xfrm>
                    <a:prstGeom prst="rect">
                      <a:avLst/>
                    </a:prstGeom>
                    <a:noFill/>
                  </pic:spPr>
                </pic:pic>
              </a:graphicData>
            </a:graphic>
          </wp:inline>
        </w:drawing>
      </w:r>
    </w:p>
    <w:p w:rsidRPr="00AE1B2B" w:rsidR="009D3FB5" w:rsidP="00163B94" w:rsidRDefault="009D3FB5" w14:paraId="65AEEC24" w14:textId="77777777">
      <w:pPr>
        <w:spacing w:before="120" w:after="120"/>
        <w:ind w:left="851" w:right="851" w:firstLine="709"/>
        <w:jc w:val="both"/>
        <w:rPr>
          <w:rFonts w:ascii="Times New Roman" w:hAnsi="Times New Roman" w:eastAsia="Calibri" w:cs="Times New Roman"/>
          <w:b/>
          <w:i/>
          <w:sz w:val="26"/>
          <w:szCs w:val="26"/>
        </w:rPr>
      </w:pPr>
      <w:r w:rsidRPr="00AE1B2B">
        <w:rPr>
          <w:rFonts w:ascii="Times New Roman" w:hAnsi="Times New Roman" w:eastAsia="Calibri" w:cs="Times New Roman"/>
          <w:b/>
          <w:i/>
          <w:sz w:val="26"/>
          <w:szCs w:val="26"/>
        </w:rPr>
        <w:t>Fuente: Subproceso de Modernización Institucional.</w:t>
      </w:r>
    </w:p>
    <w:p w:rsidRPr="00AE1B2B" w:rsidR="009D3FB5" w:rsidP="00163B94" w:rsidRDefault="009D3FB5" w14:paraId="02A614D9" w14:textId="77777777">
      <w:pPr>
        <w:spacing w:before="120" w:after="120"/>
        <w:ind w:left="851" w:right="851" w:firstLine="709"/>
        <w:jc w:val="both"/>
        <w:rPr>
          <w:rFonts w:ascii="Times New Roman" w:hAnsi="Times New Roman" w:eastAsia="Calibri" w:cs="Times New Roman"/>
          <w:b/>
          <w:i/>
          <w:sz w:val="26"/>
          <w:szCs w:val="26"/>
        </w:rPr>
      </w:pPr>
    </w:p>
    <w:p w:rsidRPr="00AE1B2B" w:rsidR="009D3FB5" w:rsidP="00163B94" w:rsidRDefault="009D3FB5" w14:paraId="387A6E4C" w14:textId="77777777">
      <w:pPr>
        <w:widowControl w:val="0"/>
        <w:autoSpaceDE w:val="0"/>
        <w:autoSpaceDN w:val="0"/>
        <w:adjustRightInd w:val="0"/>
        <w:spacing w:before="120" w:after="120"/>
        <w:ind w:left="851" w:right="851" w:firstLine="709"/>
        <w:rPr>
          <w:rFonts w:ascii="Times New Roman" w:hAnsi="Times New Roman" w:eastAsia="Arial Unicode MS" w:cs="Times New Roman"/>
          <w:i/>
          <w:sz w:val="26"/>
          <w:szCs w:val="26"/>
          <w:u w:color="000000"/>
          <w:lang w:val="es-ES"/>
        </w:rPr>
      </w:pPr>
      <w:r w:rsidRPr="00AE1B2B">
        <w:rPr>
          <w:rFonts w:ascii="Times New Roman" w:hAnsi="Times New Roman" w:eastAsia="Calibri" w:cs="Times New Roman"/>
          <w:b/>
          <w:bCs/>
          <w:sz w:val="26"/>
          <w:szCs w:val="26"/>
        </w:rPr>
        <w:t xml:space="preserve">Gasto Variable </w:t>
      </w:r>
    </w:p>
    <w:tbl>
      <w:tblPr>
        <w:tblpPr w:leftFromText="141" w:rightFromText="141" w:vertAnchor="text" w:horzAnchor="margin" w:tblpXSpec="center" w:tblpY="216"/>
        <w:tblW w:w="5283"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101"/>
        <w:gridCol w:w="1920"/>
        <w:gridCol w:w="2117"/>
        <w:gridCol w:w="2190"/>
      </w:tblGrid>
      <w:tr w:rsidRPr="00AE1B2B" w:rsidR="009D3FB5" w:rsidTr="009D3FB5" w14:paraId="388E5CE3" w14:textId="77777777">
        <w:trPr>
          <w:trHeight w:val="362"/>
        </w:trPr>
        <w:tc>
          <w:tcPr>
            <w:tcW w:w="1662" w:type="pct"/>
            <w:shd w:val="clear" w:color="auto" w:fill="4BACC6"/>
            <w:vAlign w:val="center"/>
          </w:tcPr>
          <w:p w:rsidRPr="00AE1B2B" w:rsidR="009D3FB5" w:rsidP="00163B94" w:rsidRDefault="009D3FB5" w14:paraId="4BE62C8F" w14:textId="77777777">
            <w:pPr>
              <w:spacing w:before="120" w:after="120" w:line="240" w:lineRule="atLeast"/>
              <w:jc w:val="center"/>
              <w:rPr>
                <w:rFonts w:ascii="Times New Roman" w:hAnsi="Times New Roman" w:eastAsia="Calibri" w:cs="Times New Roman"/>
                <w:b/>
                <w:bCs/>
                <w:sz w:val="24"/>
                <w:szCs w:val="24"/>
                <w:lang w:eastAsia="es-CR"/>
              </w:rPr>
            </w:pPr>
            <w:r w:rsidRPr="00AE1B2B">
              <w:rPr>
                <w:rFonts w:ascii="Times New Roman" w:hAnsi="Times New Roman" w:eastAsia="Calibri" w:cs="Times New Roman"/>
                <w:b/>
                <w:bCs/>
                <w:sz w:val="24"/>
                <w:szCs w:val="24"/>
                <w:lang w:eastAsia="es-CR"/>
              </w:rPr>
              <w:t>Detalle</w:t>
            </w:r>
          </w:p>
        </w:tc>
        <w:tc>
          <w:tcPr>
            <w:tcW w:w="1029" w:type="pct"/>
            <w:shd w:val="clear" w:color="auto" w:fill="4BACC6"/>
            <w:vAlign w:val="center"/>
            <w:hideMark/>
          </w:tcPr>
          <w:p w:rsidRPr="00AE1B2B" w:rsidR="009D3FB5" w:rsidP="00163B94" w:rsidRDefault="009D3FB5" w14:paraId="58483759" w14:textId="77777777">
            <w:pPr>
              <w:spacing w:before="120" w:after="120" w:line="240" w:lineRule="atLeast"/>
              <w:jc w:val="center"/>
              <w:rPr>
                <w:rFonts w:ascii="Times New Roman" w:hAnsi="Times New Roman" w:eastAsia="Calibri" w:cs="Times New Roman"/>
                <w:b/>
                <w:bCs/>
                <w:sz w:val="24"/>
                <w:szCs w:val="24"/>
                <w:lang w:eastAsia="es-CR"/>
              </w:rPr>
            </w:pPr>
            <w:r w:rsidRPr="00AE1B2B">
              <w:rPr>
                <w:rFonts w:ascii="Times New Roman" w:hAnsi="Times New Roman" w:eastAsia="Calibri" w:cs="Times New Roman"/>
                <w:b/>
                <w:bCs/>
                <w:sz w:val="24"/>
                <w:szCs w:val="24"/>
                <w:lang w:eastAsia="es-CR"/>
              </w:rPr>
              <w:t>Programa 926</w:t>
            </w:r>
          </w:p>
        </w:tc>
        <w:tc>
          <w:tcPr>
            <w:tcW w:w="1135" w:type="pct"/>
            <w:shd w:val="clear" w:color="auto" w:fill="4BACC6"/>
            <w:vAlign w:val="center"/>
            <w:hideMark/>
          </w:tcPr>
          <w:p w:rsidRPr="00AE1B2B" w:rsidR="009D3FB5" w:rsidP="00163B94" w:rsidRDefault="009D3FB5" w14:paraId="65804385" w14:textId="77777777">
            <w:pPr>
              <w:spacing w:before="120" w:after="120" w:line="240" w:lineRule="atLeast"/>
              <w:jc w:val="center"/>
              <w:rPr>
                <w:rFonts w:ascii="Times New Roman" w:hAnsi="Times New Roman" w:eastAsia="Calibri" w:cs="Times New Roman"/>
                <w:b/>
                <w:bCs/>
                <w:sz w:val="24"/>
                <w:szCs w:val="24"/>
                <w:lang w:eastAsia="es-CR"/>
              </w:rPr>
            </w:pPr>
            <w:r w:rsidRPr="00AE1B2B">
              <w:rPr>
                <w:rFonts w:ascii="Times New Roman" w:hAnsi="Times New Roman" w:eastAsia="Calibri" w:cs="Times New Roman"/>
                <w:b/>
                <w:bCs/>
                <w:sz w:val="24"/>
                <w:szCs w:val="24"/>
                <w:lang w:eastAsia="es-CR"/>
              </w:rPr>
              <w:t>Programa 928</w:t>
            </w:r>
          </w:p>
        </w:tc>
        <w:tc>
          <w:tcPr>
            <w:tcW w:w="1174" w:type="pct"/>
            <w:shd w:val="clear" w:color="auto" w:fill="4BACC6"/>
            <w:vAlign w:val="center"/>
            <w:hideMark/>
          </w:tcPr>
          <w:p w:rsidRPr="00AE1B2B" w:rsidR="009D3FB5" w:rsidP="00163B94" w:rsidRDefault="009D3FB5" w14:paraId="04AB3EA1" w14:textId="77777777">
            <w:pPr>
              <w:spacing w:before="120" w:after="120" w:line="240" w:lineRule="atLeast"/>
              <w:jc w:val="center"/>
              <w:rPr>
                <w:rFonts w:ascii="Times New Roman" w:hAnsi="Times New Roman" w:eastAsia="Calibri" w:cs="Times New Roman"/>
                <w:b/>
                <w:bCs/>
                <w:sz w:val="24"/>
                <w:szCs w:val="24"/>
                <w:lang w:eastAsia="es-CR"/>
              </w:rPr>
            </w:pPr>
            <w:r w:rsidRPr="00AE1B2B">
              <w:rPr>
                <w:rFonts w:ascii="Times New Roman" w:hAnsi="Times New Roman" w:eastAsia="Calibri" w:cs="Times New Roman"/>
                <w:b/>
                <w:bCs/>
                <w:sz w:val="24"/>
                <w:szCs w:val="24"/>
                <w:lang w:eastAsia="es-CR"/>
              </w:rPr>
              <w:t>Total solicitado</w:t>
            </w:r>
          </w:p>
        </w:tc>
      </w:tr>
      <w:tr w:rsidRPr="00AE1B2B" w:rsidR="009D3FB5" w:rsidTr="009D3FB5" w14:paraId="27ACD407" w14:textId="77777777">
        <w:trPr>
          <w:trHeight w:val="138"/>
        </w:trPr>
        <w:tc>
          <w:tcPr>
            <w:tcW w:w="1662" w:type="pct"/>
            <w:vAlign w:val="center"/>
          </w:tcPr>
          <w:p w:rsidRPr="00AE1B2B" w:rsidR="009D3FB5" w:rsidP="00163B94" w:rsidRDefault="009D3FB5" w14:paraId="488E455C" w14:textId="77777777">
            <w:pPr>
              <w:spacing w:before="120" w:after="120"/>
              <w:jc w:val="center"/>
              <w:rPr>
                <w:rFonts w:ascii="Times New Roman" w:hAnsi="Times New Roman" w:eastAsia="Calibri" w:cs="Times New Roman"/>
                <w:b/>
                <w:bCs/>
                <w:sz w:val="24"/>
                <w:szCs w:val="24"/>
              </w:rPr>
            </w:pPr>
            <w:r w:rsidRPr="00AE1B2B">
              <w:rPr>
                <w:rFonts w:ascii="Times New Roman" w:hAnsi="Times New Roman" w:eastAsia="Calibri" w:cs="Times New Roman"/>
                <w:b/>
                <w:bCs/>
                <w:sz w:val="24"/>
                <w:szCs w:val="24"/>
              </w:rPr>
              <w:t>Materiales y Suministros</w:t>
            </w:r>
          </w:p>
        </w:tc>
        <w:tc>
          <w:tcPr>
            <w:tcW w:w="1029" w:type="pct"/>
            <w:shd w:val="clear" w:color="auto" w:fill="auto"/>
            <w:vAlign w:val="bottom"/>
          </w:tcPr>
          <w:p w:rsidRPr="00AE1B2B" w:rsidR="009D3FB5" w:rsidP="00163B94" w:rsidRDefault="009D3FB5" w14:paraId="1507AC8C" w14:textId="77777777">
            <w:pPr>
              <w:spacing w:before="120" w:after="120"/>
              <w:jc w:val="center"/>
              <w:rPr>
                <w:rFonts w:ascii="Times New Roman" w:hAnsi="Times New Roman" w:eastAsia="Calibri" w:cs="Times New Roman"/>
                <w:b/>
                <w:bCs/>
                <w:sz w:val="24"/>
                <w:szCs w:val="24"/>
              </w:rPr>
            </w:pPr>
            <w:r w:rsidRPr="00AE1B2B">
              <w:rPr>
                <w:rFonts w:ascii="Times New Roman" w:hAnsi="Times New Roman" w:eastAsia="Calibri" w:cs="Times New Roman"/>
              </w:rPr>
              <w:t xml:space="preserve">₡10 608 450,00 </w:t>
            </w:r>
          </w:p>
        </w:tc>
        <w:tc>
          <w:tcPr>
            <w:tcW w:w="1135" w:type="pct"/>
            <w:shd w:val="clear" w:color="auto" w:fill="auto"/>
            <w:vAlign w:val="center"/>
            <w:hideMark/>
          </w:tcPr>
          <w:p w:rsidRPr="00AE1B2B" w:rsidR="009D3FB5" w:rsidP="00163B94" w:rsidRDefault="009D3FB5" w14:paraId="62732D55" w14:textId="77777777">
            <w:pPr>
              <w:spacing w:before="120" w:after="120"/>
              <w:jc w:val="center"/>
              <w:rPr>
                <w:rFonts w:ascii="Times New Roman" w:hAnsi="Times New Roman" w:eastAsia="Calibri" w:cs="Times New Roman"/>
                <w:b/>
                <w:bCs/>
                <w:sz w:val="24"/>
                <w:szCs w:val="24"/>
              </w:rPr>
            </w:pPr>
            <w:r w:rsidRPr="00AE1B2B">
              <w:rPr>
                <w:rFonts w:ascii="Times New Roman" w:hAnsi="Times New Roman" w:eastAsia="Calibri" w:cs="Times New Roman"/>
                <w:b/>
                <w:bCs/>
                <w:sz w:val="24"/>
                <w:szCs w:val="24"/>
              </w:rPr>
              <w:t>₡</w:t>
            </w:r>
          </w:p>
        </w:tc>
        <w:tc>
          <w:tcPr>
            <w:tcW w:w="1174" w:type="pct"/>
            <w:shd w:val="clear" w:color="auto" w:fill="auto"/>
            <w:vAlign w:val="bottom"/>
            <w:hideMark/>
          </w:tcPr>
          <w:p w:rsidRPr="00AE1B2B" w:rsidR="009D3FB5" w:rsidP="00163B94" w:rsidRDefault="009D3FB5" w14:paraId="779EF1BD" w14:textId="77777777">
            <w:pPr>
              <w:spacing w:before="120" w:after="120"/>
              <w:jc w:val="center"/>
              <w:rPr>
                <w:rFonts w:ascii="Times New Roman" w:hAnsi="Times New Roman" w:eastAsia="Calibri" w:cs="Times New Roman"/>
                <w:b/>
                <w:bCs/>
                <w:sz w:val="24"/>
                <w:szCs w:val="24"/>
              </w:rPr>
            </w:pPr>
            <w:r w:rsidRPr="00AE1B2B">
              <w:rPr>
                <w:rFonts w:ascii="Times New Roman" w:hAnsi="Times New Roman" w:eastAsia="Calibri" w:cs="Times New Roman"/>
              </w:rPr>
              <w:t xml:space="preserve">₡10 608 450,00 </w:t>
            </w:r>
          </w:p>
        </w:tc>
      </w:tr>
      <w:tr w:rsidRPr="00AE1B2B" w:rsidR="009D3FB5" w:rsidTr="009D3FB5" w14:paraId="29870CE8" w14:textId="77777777">
        <w:trPr>
          <w:trHeight w:val="138"/>
        </w:trPr>
        <w:tc>
          <w:tcPr>
            <w:tcW w:w="1662" w:type="pct"/>
            <w:vAlign w:val="center"/>
          </w:tcPr>
          <w:p w:rsidRPr="00AE1B2B" w:rsidR="009D3FB5" w:rsidP="00163B94" w:rsidRDefault="009D3FB5" w14:paraId="2C4EC778" w14:textId="77777777">
            <w:pPr>
              <w:spacing w:before="120" w:after="120"/>
              <w:jc w:val="center"/>
              <w:rPr>
                <w:rFonts w:ascii="Times New Roman" w:hAnsi="Times New Roman" w:eastAsia="Calibri" w:cs="Times New Roman"/>
                <w:b/>
                <w:bCs/>
                <w:sz w:val="24"/>
                <w:szCs w:val="24"/>
              </w:rPr>
            </w:pPr>
            <w:r w:rsidRPr="00AE1B2B">
              <w:rPr>
                <w:rFonts w:ascii="Times New Roman" w:hAnsi="Times New Roman" w:eastAsia="Calibri" w:cs="Times New Roman"/>
                <w:b/>
                <w:bCs/>
                <w:sz w:val="24"/>
                <w:szCs w:val="24"/>
              </w:rPr>
              <w:t>Bienes Duraderos</w:t>
            </w:r>
          </w:p>
        </w:tc>
        <w:tc>
          <w:tcPr>
            <w:tcW w:w="1029" w:type="pct"/>
            <w:shd w:val="clear" w:color="auto" w:fill="auto"/>
            <w:vAlign w:val="bottom"/>
          </w:tcPr>
          <w:p w:rsidRPr="00AE1B2B" w:rsidR="009D3FB5" w:rsidP="00163B94" w:rsidRDefault="009D3FB5" w14:paraId="6546FF8A" w14:textId="77777777">
            <w:pPr>
              <w:spacing w:before="120" w:after="120"/>
              <w:jc w:val="center"/>
              <w:rPr>
                <w:rFonts w:ascii="Times New Roman" w:hAnsi="Times New Roman" w:eastAsia="Calibri" w:cs="Times New Roman"/>
                <w:b/>
                <w:bCs/>
                <w:sz w:val="24"/>
                <w:szCs w:val="24"/>
              </w:rPr>
            </w:pPr>
            <w:r w:rsidRPr="00AE1B2B">
              <w:rPr>
                <w:rFonts w:ascii="Times New Roman" w:hAnsi="Times New Roman" w:eastAsia="Calibri" w:cs="Times New Roman"/>
              </w:rPr>
              <w:t xml:space="preserve">₡122 860 000,00 </w:t>
            </w:r>
          </w:p>
        </w:tc>
        <w:tc>
          <w:tcPr>
            <w:tcW w:w="1135" w:type="pct"/>
            <w:shd w:val="clear" w:color="auto" w:fill="auto"/>
            <w:vAlign w:val="center"/>
          </w:tcPr>
          <w:p w:rsidRPr="00AE1B2B" w:rsidR="009D3FB5" w:rsidP="00163B94" w:rsidRDefault="009D3FB5" w14:paraId="6FC62CC4" w14:textId="77777777">
            <w:pPr>
              <w:spacing w:before="120" w:after="120"/>
              <w:jc w:val="center"/>
              <w:rPr>
                <w:rFonts w:ascii="Times New Roman" w:hAnsi="Times New Roman" w:eastAsia="Calibri" w:cs="Times New Roman"/>
                <w:b/>
                <w:bCs/>
                <w:sz w:val="24"/>
                <w:szCs w:val="24"/>
              </w:rPr>
            </w:pPr>
            <w:r w:rsidRPr="00AE1B2B">
              <w:rPr>
                <w:rFonts w:ascii="Times New Roman" w:hAnsi="Times New Roman" w:eastAsia="Calibri" w:cs="Times New Roman"/>
                <w:b/>
                <w:bCs/>
                <w:sz w:val="24"/>
                <w:szCs w:val="24"/>
              </w:rPr>
              <w:t>₡</w:t>
            </w:r>
          </w:p>
        </w:tc>
        <w:tc>
          <w:tcPr>
            <w:tcW w:w="1174" w:type="pct"/>
            <w:shd w:val="clear" w:color="auto" w:fill="auto"/>
            <w:vAlign w:val="bottom"/>
          </w:tcPr>
          <w:p w:rsidRPr="00AE1B2B" w:rsidR="009D3FB5" w:rsidP="00163B94" w:rsidRDefault="009D3FB5" w14:paraId="20B06107" w14:textId="77777777">
            <w:pPr>
              <w:spacing w:before="120" w:after="120"/>
              <w:jc w:val="center"/>
              <w:rPr>
                <w:rFonts w:ascii="Times New Roman" w:hAnsi="Times New Roman" w:eastAsia="Calibri" w:cs="Times New Roman"/>
                <w:b/>
                <w:bCs/>
                <w:sz w:val="24"/>
                <w:szCs w:val="24"/>
              </w:rPr>
            </w:pPr>
            <w:r w:rsidRPr="00AE1B2B">
              <w:rPr>
                <w:rFonts w:ascii="Times New Roman" w:hAnsi="Times New Roman" w:eastAsia="Calibri" w:cs="Times New Roman"/>
              </w:rPr>
              <w:t xml:space="preserve">₡122 860 000,00 </w:t>
            </w:r>
          </w:p>
        </w:tc>
      </w:tr>
      <w:tr w:rsidRPr="00AE1B2B" w:rsidR="009D3FB5" w:rsidTr="009D3FB5" w14:paraId="243946CD" w14:textId="77777777">
        <w:trPr>
          <w:trHeight w:val="138"/>
        </w:trPr>
        <w:tc>
          <w:tcPr>
            <w:tcW w:w="1662" w:type="pct"/>
            <w:vAlign w:val="center"/>
          </w:tcPr>
          <w:p w:rsidRPr="00AE1B2B" w:rsidR="009D3FB5" w:rsidP="00163B94" w:rsidRDefault="009D3FB5" w14:paraId="3D06DF12" w14:textId="77777777">
            <w:pPr>
              <w:spacing w:before="120" w:after="120"/>
              <w:jc w:val="center"/>
              <w:rPr>
                <w:rFonts w:ascii="Times New Roman" w:hAnsi="Times New Roman" w:eastAsia="Calibri" w:cs="Times New Roman"/>
                <w:b/>
                <w:bCs/>
                <w:sz w:val="24"/>
                <w:szCs w:val="24"/>
              </w:rPr>
            </w:pPr>
            <w:r w:rsidRPr="00AE1B2B">
              <w:rPr>
                <w:rFonts w:ascii="Times New Roman" w:hAnsi="Times New Roman" w:eastAsia="Calibri" w:cs="Times New Roman"/>
                <w:b/>
                <w:bCs/>
                <w:sz w:val="24"/>
                <w:szCs w:val="24"/>
              </w:rPr>
              <w:t>Mobiliario y equipo</w:t>
            </w:r>
          </w:p>
        </w:tc>
        <w:tc>
          <w:tcPr>
            <w:tcW w:w="1029" w:type="pct"/>
            <w:shd w:val="clear" w:color="auto" w:fill="auto"/>
            <w:vAlign w:val="bottom"/>
          </w:tcPr>
          <w:p w:rsidRPr="00AE1B2B" w:rsidR="009D3FB5" w:rsidP="00163B94" w:rsidRDefault="009D3FB5" w14:paraId="4BA8979F" w14:textId="77777777">
            <w:pPr>
              <w:spacing w:before="120" w:after="120"/>
              <w:jc w:val="center"/>
              <w:rPr>
                <w:rFonts w:ascii="Times New Roman" w:hAnsi="Times New Roman" w:eastAsia="Calibri" w:cs="Times New Roman"/>
                <w:b/>
                <w:bCs/>
                <w:sz w:val="24"/>
                <w:szCs w:val="24"/>
              </w:rPr>
            </w:pPr>
            <w:r w:rsidRPr="00AE1B2B">
              <w:rPr>
                <w:rFonts w:ascii="Times New Roman" w:hAnsi="Times New Roman" w:eastAsia="Calibri" w:cs="Times New Roman"/>
              </w:rPr>
              <w:t xml:space="preserve">₡23 690 200,00 </w:t>
            </w:r>
          </w:p>
        </w:tc>
        <w:tc>
          <w:tcPr>
            <w:tcW w:w="1135" w:type="pct"/>
            <w:shd w:val="clear" w:color="auto" w:fill="auto"/>
            <w:vAlign w:val="center"/>
          </w:tcPr>
          <w:p w:rsidRPr="00AE1B2B" w:rsidR="009D3FB5" w:rsidP="00163B94" w:rsidRDefault="009D3FB5" w14:paraId="1DCD7FB0" w14:textId="77777777">
            <w:pPr>
              <w:spacing w:before="120" w:after="120"/>
              <w:jc w:val="center"/>
              <w:rPr>
                <w:rFonts w:ascii="Times New Roman" w:hAnsi="Times New Roman" w:eastAsia="Calibri" w:cs="Times New Roman"/>
                <w:lang w:eastAsia="es-CR"/>
              </w:rPr>
            </w:pPr>
            <w:r w:rsidRPr="00AE1B2B">
              <w:rPr>
                <w:rFonts w:ascii="Times New Roman" w:hAnsi="Times New Roman" w:eastAsia="Calibri" w:cs="Times New Roman"/>
              </w:rPr>
              <w:t xml:space="preserve">₡1 184 510,00 </w:t>
            </w:r>
          </w:p>
        </w:tc>
        <w:tc>
          <w:tcPr>
            <w:tcW w:w="1174" w:type="pct"/>
            <w:shd w:val="clear" w:color="auto" w:fill="auto"/>
            <w:vAlign w:val="bottom"/>
          </w:tcPr>
          <w:p w:rsidRPr="00AE1B2B" w:rsidR="009D3FB5" w:rsidP="00163B94" w:rsidRDefault="009D3FB5" w14:paraId="6FA83D01" w14:textId="77777777">
            <w:pPr>
              <w:spacing w:before="120" w:after="120"/>
              <w:jc w:val="center"/>
              <w:rPr>
                <w:rFonts w:ascii="Times New Roman" w:hAnsi="Times New Roman" w:eastAsia="Calibri" w:cs="Times New Roman"/>
                <w:b/>
                <w:bCs/>
                <w:sz w:val="24"/>
                <w:szCs w:val="24"/>
              </w:rPr>
            </w:pPr>
            <w:r w:rsidRPr="00AE1B2B">
              <w:rPr>
                <w:rFonts w:ascii="Times New Roman" w:hAnsi="Times New Roman" w:eastAsia="Calibri" w:cs="Times New Roman"/>
              </w:rPr>
              <w:t xml:space="preserve">₡24 874 710,00 </w:t>
            </w:r>
          </w:p>
        </w:tc>
      </w:tr>
      <w:tr w:rsidRPr="00AE1B2B" w:rsidR="009D3FB5" w:rsidTr="009D3FB5" w14:paraId="58EC34ED" w14:textId="77777777">
        <w:trPr>
          <w:trHeight w:val="138"/>
        </w:trPr>
        <w:tc>
          <w:tcPr>
            <w:tcW w:w="1662" w:type="pct"/>
            <w:vAlign w:val="center"/>
          </w:tcPr>
          <w:p w:rsidRPr="00AE1B2B" w:rsidR="009D3FB5" w:rsidP="00163B94" w:rsidRDefault="009D3FB5" w14:paraId="445DEEA1" w14:textId="77777777">
            <w:pPr>
              <w:spacing w:before="120" w:after="120"/>
              <w:jc w:val="center"/>
              <w:rPr>
                <w:rFonts w:ascii="Times New Roman" w:hAnsi="Times New Roman" w:eastAsia="Calibri" w:cs="Times New Roman"/>
                <w:b/>
                <w:bCs/>
                <w:sz w:val="24"/>
                <w:szCs w:val="24"/>
              </w:rPr>
            </w:pPr>
            <w:r w:rsidRPr="00AE1B2B">
              <w:rPr>
                <w:rFonts w:ascii="Times New Roman" w:hAnsi="Times New Roman" w:eastAsia="Calibri" w:cs="Times New Roman"/>
                <w:b/>
                <w:bCs/>
                <w:sz w:val="24"/>
                <w:szCs w:val="24"/>
              </w:rPr>
              <w:t xml:space="preserve">Atención Veterinaria </w:t>
            </w:r>
          </w:p>
        </w:tc>
        <w:tc>
          <w:tcPr>
            <w:tcW w:w="1029" w:type="pct"/>
            <w:shd w:val="clear" w:color="auto" w:fill="auto"/>
            <w:vAlign w:val="center"/>
          </w:tcPr>
          <w:p w:rsidRPr="00AE1B2B" w:rsidR="009D3FB5" w:rsidP="00163B94" w:rsidRDefault="009D3FB5" w14:paraId="62986D41" w14:textId="77777777">
            <w:pPr>
              <w:spacing w:before="120" w:after="120"/>
              <w:jc w:val="center"/>
              <w:rPr>
                <w:rFonts w:ascii="Times New Roman" w:hAnsi="Times New Roman" w:eastAsia="Calibri" w:cs="Times New Roman"/>
                <w:lang w:eastAsia="es-CR"/>
              </w:rPr>
            </w:pPr>
            <w:r w:rsidRPr="00AE1B2B">
              <w:rPr>
                <w:rFonts w:ascii="Times New Roman" w:hAnsi="Times New Roman" w:eastAsia="Calibri" w:cs="Times New Roman"/>
              </w:rPr>
              <w:t xml:space="preserve">₡100 000 000,00 </w:t>
            </w:r>
          </w:p>
        </w:tc>
        <w:tc>
          <w:tcPr>
            <w:tcW w:w="1135" w:type="pct"/>
            <w:shd w:val="clear" w:color="auto" w:fill="auto"/>
            <w:vAlign w:val="center"/>
          </w:tcPr>
          <w:p w:rsidRPr="00AE1B2B" w:rsidR="009D3FB5" w:rsidP="00163B94" w:rsidRDefault="009D3FB5" w14:paraId="0CA43D7E" w14:textId="77777777">
            <w:pPr>
              <w:spacing w:before="120" w:after="120"/>
              <w:jc w:val="center"/>
              <w:rPr>
                <w:rFonts w:ascii="Times New Roman" w:hAnsi="Times New Roman" w:eastAsia="Calibri" w:cs="Times New Roman"/>
                <w:b/>
                <w:bCs/>
                <w:sz w:val="24"/>
                <w:szCs w:val="24"/>
              </w:rPr>
            </w:pPr>
            <w:r w:rsidRPr="00AE1B2B">
              <w:rPr>
                <w:rFonts w:ascii="Times New Roman" w:hAnsi="Times New Roman" w:eastAsia="Calibri" w:cs="Times New Roman"/>
                <w:b/>
                <w:bCs/>
                <w:sz w:val="24"/>
                <w:szCs w:val="24"/>
              </w:rPr>
              <w:t>₡</w:t>
            </w:r>
          </w:p>
        </w:tc>
        <w:tc>
          <w:tcPr>
            <w:tcW w:w="1174" w:type="pct"/>
            <w:shd w:val="clear" w:color="auto" w:fill="auto"/>
            <w:vAlign w:val="center"/>
          </w:tcPr>
          <w:p w:rsidRPr="00AE1B2B" w:rsidR="009D3FB5" w:rsidP="00163B94" w:rsidRDefault="009D3FB5" w14:paraId="13D7CD50" w14:textId="77777777">
            <w:pPr>
              <w:spacing w:before="120" w:after="120"/>
              <w:jc w:val="center"/>
              <w:rPr>
                <w:rFonts w:ascii="Times New Roman" w:hAnsi="Times New Roman" w:eastAsia="Calibri" w:cs="Times New Roman"/>
                <w:b/>
                <w:bCs/>
                <w:sz w:val="24"/>
                <w:szCs w:val="24"/>
              </w:rPr>
            </w:pPr>
            <w:r w:rsidRPr="00AE1B2B">
              <w:rPr>
                <w:rFonts w:ascii="Times New Roman" w:hAnsi="Times New Roman" w:eastAsia="Calibri" w:cs="Times New Roman"/>
              </w:rPr>
              <w:t>₡100 000 000,00</w:t>
            </w:r>
          </w:p>
        </w:tc>
      </w:tr>
      <w:tr w:rsidRPr="00AE1B2B" w:rsidR="009D3FB5" w:rsidTr="009D3FB5" w14:paraId="60F39E67" w14:textId="77777777">
        <w:trPr>
          <w:trHeight w:val="416"/>
        </w:trPr>
        <w:tc>
          <w:tcPr>
            <w:tcW w:w="1662" w:type="pct"/>
            <w:vAlign w:val="center"/>
          </w:tcPr>
          <w:p w:rsidRPr="00AE1B2B" w:rsidR="009D3FB5" w:rsidP="00163B94" w:rsidRDefault="009D3FB5" w14:paraId="78B75125" w14:textId="77777777">
            <w:pPr>
              <w:spacing w:before="120" w:after="120"/>
              <w:jc w:val="center"/>
              <w:rPr>
                <w:rFonts w:ascii="Times New Roman" w:hAnsi="Times New Roman" w:eastAsia="Calibri" w:cs="Times New Roman"/>
                <w:b/>
                <w:bCs/>
                <w:sz w:val="24"/>
                <w:szCs w:val="24"/>
              </w:rPr>
            </w:pPr>
            <w:r w:rsidRPr="00AE1B2B">
              <w:rPr>
                <w:rFonts w:ascii="Times New Roman" w:hAnsi="Times New Roman" w:eastAsia="Calibri" w:cs="Times New Roman"/>
                <w:b/>
                <w:bCs/>
                <w:sz w:val="24"/>
                <w:szCs w:val="24"/>
              </w:rPr>
              <w:t>Total</w:t>
            </w:r>
          </w:p>
        </w:tc>
        <w:tc>
          <w:tcPr>
            <w:tcW w:w="1029" w:type="pct"/>
            <w:shd w:val="clear" w:color="auto" w:fill="auto"/>
            <w:vAlign w:val="center"/>
          </w:tcPr>
          <w:p w:rsidRPr="00AE1B2B" w:rsidR="009D3FB5" w:rsidP="00163B94" w:rsidRDefault="009D3FB5" w14:paraId="2BB0EB9C" w14:textId="77777777">
            <w:pPr>
              <w:spacing w:before="120" w:after="120"/>
              <w:jc w:val="center"/>
              <w:rPr>
                <w:rFonts w:ascii="Times New Roman" w:hAnsi="Times New Roman" w:eastAsia="Calibri" w:cs="Times New Roman"/>
                <w:b/>
                <w:bCs/>
                <w:sz w:val="24"/>
                <w:szCs w:val="24"/>
              </w:rPr>
            </w:pPr>
          </w:p>
        </w:tc>
        <w:tc>
          <w:tcPr>
            <w:tcW w:w="1135" w:type="pct"/>
            <w:shd w:val="clear" w:color="auto" w:fill="auto"/>
            <w:vAlign w:val="center"/>
          </w:tcPr>
          <w:p w:rsidRPr="00AE1B2B" w:rsidR="009D3FB5" w:rsidP="00163B94" w:rsidRDefault="009D3FB5" w14:paraId="3D4B7A31" w14:textId="77777777">
            <w:pPr>
              <w:spacing w:before="120" w:after="120"/>
              <w:jc w:val="center"/>
              <w:rPr>
                <w:rFonts w:ascii="Times New Roman" w:hAnsi="Times New Roman" w:eastAsia="Calibri" w:cs="Times New Roman"/>
                <w:b/>
                <w:bCs/>
                <w:sz w:val="24"/>
                <w:szCs w:val="24"/>
              </w:rPr>
            </w:pPr>
          </w:p>
        </w:tc>
        <w:tc>
          <w:tcPr>
            <w:tcW w:w="1174" w:type="pct"/>
            <w:shd w:val="clear" w:color="auto" w:fill="auto"/>
            <w:vAlign w:val="center"/>
          </w:tcPr>
          <w:p w:rsidRPr="00AE1B2B" w:rsidR="009D3FB5" w:rsidP="00163B94" w:rsidRDefault="009D3FB5" w14:paraId="139B7E53" w14:textId="77777777">
            <w:pPr>
              <w:spacing w:before="120" w:after="120"/>
              <w:jc w:val="center"/>
              <w:rPr>
                <w:rFonts w:ascii="Times New Roman" w:hAnsi="Times New Roman" w:eastAsia="Calibri" w:cs="Times New Roman"/>
                <w:b/>
                <w:bCs/>
                <w:sz w:val="24"/>
                <w:szCs w:val="24"/>
              </w:rPr>
            </w:pPr>
            <w:r w:rsidRPr="00AE1B2B">
              <w:rPr>
                <w:rFonts w:ascii="Times New Roman" w:hAnsi="Times New Roman" w:eastAsia="Calibri" w:cs="Times New Roman"/>
                <w:b/>
                <w:bCs/>
                <w:sz w:val="24"/>
                <w:szCs w:val="24"/>
              </w:rPr>
              <w:t>₡258 343 160,00</w:t>
            </w:r>
          </w:p>
          <w:p w:rsidRPr="00AE1B2B" w:rsidR="009D3FB5" w:rsidP="00163B94" w:rsidRDefault="009D3FB5" w14:paraId="4F49E56E" w14:textId="77777777">
            <w:pPr>
              <w:spacing w:before="120" w:after="120"/>
              <w:jc w:val="center"/>
              <w:rPr>
                <w:rFonts w:ascii="Times New Roman" w:hAnsi="Times New Roman" w:eastAsia="Calibri" w:cs="Times New Roman"/>
                <w:b/>
                <w:bCs/>
                <w:sz w:val="24"/>
                <w:szCs w:val="24"/>
              </w:rPr>
            </w:pPr>
          </w:p>
        </w:tc>
      </w:tr>
    </w:tbl>
    <w:p w:rsidRPr="00AE1B2B" w:rsidR="009D3FB5" w:rsidP="00163B94" w:rsidRDefault="009D3FB5" w14:paraId="7D10AF67" w14:textId="77777777">
      <w:pPr>
        <w:spacing w:before="120" w:after="120"/>
        <w:ind w:left="851" w:right="851" w:firstLine="709"/>
        <w:jc w:val="both"/>
        <w:rPr>
          <w:rFonts w:ascii="Times New Roman" w:hAnsi="Times New Roman" w:eastAsia="Calibri" w:cs="Times New Roman"/>
          <w:b/>
          <w:i/>
          <w:sz w:val="26"/>
          <w:szCs w:val="26"/>
        </w:rPr>
      </w:pPr>
      <w:r w:rsidRPr="00AE1B2B">
        <w:rPr>
          <w:rFonts w:ascii="Times New Roman" w:hAnsi="Times New Roman" w:eastAsia="Calibri" w:cs="Times New Roman"/>
          <w:b/>
          <w:i/>
          <w:sz w:val="26"/>
          <w:szCs w:val="26"/>
        </w:rPr>
        <w:t>Fuente: Subproceso de Modernización Institucional.</w:t>
      </w:r>
    </w:p>
    <w:p w:rsidRPr="00AE1B2B" w:rsidR="009D3FB5" w:rsidP="00163B94" w:rsidRDefault="009D3FB5" w14:paraId="04260865" w14:textId="77777777">
      <w:pPr>
        <w:spacing w:before="120" w:after="120"/>
        <w:ind w:left="851" w:right="851" w:firstLine="709"/>
        <w:jc w:val="both"/>
        <w:rPr>
          <w:rFonts w:ascii="Times New Roman" w:hAnsi="Times New Roman" w:eastAsia="Calibri" w:cs="Times New Roman"/>
          <w:i/>
          <w:sz w:val="26"/>
          <w:szCs w:val="26"/>
        </w:rPr>
      </w:pPr>
      <w:r w:rsidRPr="00AE1B2B">
        <w:rPr>
          <w:rFonts w:ascii="Times New Roman" w:hAnsi="Times New Roman" w:eastAsia="Calibri" w:cs="Times New Roman"/>
          <w:b/>
          <w:i/>
          <w:sz w:val="26"/>
          <w:szCs w:val="26"/>
        </w:rPr>
        <w:t>Nota:</w:t>
      </w:r>
      <w:r w:rsidRPr="00AE1B2B">
        <w:rPr>
          <w:rFonts w:ascii="Times New Roman" w:hAnsi="Times New Roman" w:eastAsia="Calibri" w:cs="Times New Roman"/>
          <w:i/>
          <w:sz w:val="26"/>
          <w:szCs w:val="26"/>
        </w:rPr>
        <w:t xml:space="preserve"> Programas: </w:t>
      </w:r>
      <w:r w:rsidRPr="00AE1B2B">
        <w:rPr>
          <w:rFonts w:ascii="Times New Roman" w:hAnsi="Times New Roman" w:eastAsia="Calibri" w:cs="Times New Roman"/>
          <w:i/>
          <w:sz w:val="26"/>
          <w:szCs w:val="26"/>
          <w:lang w:eastAsia="es-CR"/>
        </w:rPr>
        <w:t>926 (</w:t>
      </w:r>
      <w:r w:rsidRPr="00AE1B2B">
        <w:rPr>
          <w:rFonts w:ascii="Times New Roman" w:hAnsi="Times New Roman" w:eastAsia="Calibri" w:cs="Times New Roman"/>
          <w:i/>
          <w:sz w:val="26"/>
          <w:szCs w:val="26"/>
        </w:rPr>
        <w:t>Dirección, Administración y otros Órganos de Apoyo), 928 (Organismo Investigación Judicial).</w:t>
      </w:r>
    </w:p>
    <w:p w:rsidRPr="00AE1B2B" w:rsidR="009D3FB5" w:rsidP="00163B94" w:rsidRDefault="009D3FB5" w14:paraId="421CB57A" w14:textId="77777777">
      <w:pPr>
        <w:spacing w:before="120" w:after="120"/>
        <w:ind w:left="851" w:right="851" w:firstLine="709"/>
        <w:jc w:val="both"/>
        <w:rPr>
          <w:rFonts w:ascii="Times New Roman" w:hAnsi="Times New Roman" w:eastAsia="Calibri" w:cs="Times New Roman"/>
          <w:b/>
          <w:sz w:val="26"/>
          <w:szCs w:val="26"/>
        </w:rPr>
      </w:pPr>
    </w:p>
    <w:p w:rsidRPr="00AE1B2B" w:rsidR="009D3FB5" w:rsidP="00163B94" w:rsidRDefault="009D3FB5" w14:paraId="626AD84B" w14:textId="77777777">
      <w:pPr>
        <w:spacing w:before="120" w:after="120"/>
        <w:ind w:left="851" w:right="851" w:firstLine="709"/>
        <w:jc w:val="both"/>
        <w:rPr>
          <w:rFonts w:ascii="Times New Roman" w:hAnsi="Times New Roman" w:eastAsia="Calibri" w:cs="Times New Roman"/>
          <w:b/>
          <w:sz w:val="26"/>
          <w:szCs w:val="26"/>
        </w:rPr>
      </w:pPr>
      <w:r w:rsidRPr="00AE1B2B">
        <w:rPr>
          <w:rFonts w:ascii="Times New Roman" w:hAnsi="Times New Roman" w:eastAsia="Calibri" w:cs="Times New Roman"/>
          <w:b/>
          <w:sz w:val="26"/>
          <w:szCs w:val="26"/>
        </w:rPr>
        <w:t>Programa 926 “Dirección, Administración y otros Órganos de Apoyo”</w:t>
      </w:r>
    </w:p>
    <w:p w:rsidRPr="00AE1B2B" w:rsidR="009D3FB5" w:rsidP="00163B94" w:rsidRDefault="009D3FB5" w14:paraId="37F8A052" w14:textId="77777777">
      <w:pPr>
        <w:spacing w:before="120" w:after="120"/>
        <w:ind w:left="851" w:right="851" w:firstLine="709"/>
        <w:jc w:val="both"/>
        <w:rPr>
          <w:rFonts w:ascii="Times New Roman" w:hAnsi="Times New Roman" w:eastAsia="Times New Roman" w:cs="Times New Roman"/>
          <w:sz w:val="26"/>
          <w:szCs w:val="26"/>
          <w:lang w:eastAsia="es-CR"/>
        </w:rPr>
      </w:pPr>
      <w:r w:rsidRPr="00AE1B2B">
        <w:rPr>
          <w:rFonts w:ascii="Times New Roman" w:hAnsi="Times New Roman" w:eastAsia="Calibri" w:cs="Times New Roman"/>
          <w:sz w:val="26"/>
          <w:szCs w:val="26"/>
        </w:rPr>
        <w:t xml:space="preserve">Incluye el costo de una plaza de </w:t>
      </w:r>
      <w:r w:rsidRPr="00AE1B2B">
        <w:rPr>
          <w:rFonts w:ascii="Times New Roman" w:hAnsi="Times New Roman" w:eastAsia="Calibri" w:cs="Times New Roman"/>
          <w:b/>
          <w:bCs/>
          <w:sz w:val="26"/>
          <w:szCs w:val="26"/>
        </w:rPr>
        <w:t>un profesional en Informática 2</w:t>
      </w:r>
      <w:r w:rsidRPr="00AE1B2B">
        <w:rPr>
          <w:rFonts w:ascii="Times New Roman" w:hAnsi="Times New Roman" w:eastAsia="Calibri" w:cs="Times New Roman"/>
          <w:sz w:val="26"/>
          <w:szCs w:val="26"/>
        </w:rPr>
        <w:t xml:space="preserve"> por un período de 12 meses, en condición extraordinaria, para que se avoque al desarrollo de un módulo en el Registro Judicial, para el registro de las instituciones que</w:t>
      </w:r>
      <w:r w:rsidRPr="00AE1B2B">
        <w:rPr>
          <w:rFonts w:ascii="Times New Roman" w:hAnsi="Times New Roman" w:eastAsia="Times New Roman" w:cs="Times New Roman"/>
          <w:sz w:val="26"/>
          <w:szCs w:val="26"/>
          <w:lang w:eastAsia="es-CR"/>
        </w:rPr>
        <w:t xml:space="preserve"> </w:t>
      </w:r>
      <w:r w:rsidRPr="00AE1B2B">
        <w:rPr>
          <w:rFonts w:ascii="Times New Roman" w:hAnsi="Times New Roman" w:eastAsia="Calibri" w:cs="Times New Roman"/>
          <w:i/>
          <w:sz w:val="26"/>
          <w:szCs w:val="26"/>
          <w:lang w:eastAsia="es-CR"/>
        </w:rPr>
        <w:t>representan los intereses difusos de los animales afectados por las conductas descritas (</w:t>
      </w:r>
      <w:r w:rsidRPr="00AE1B2B">
        <w:rPr>
          <w:rFonts w:ascii="Times New Roman" w:hAnsi="Times New Roman" w:eastAsia="Calibri" w:cs="Times New Roman"/>
          <w:sz w:val="26"/>
          <w:szCs w:val="26"/>
          <w:lang w:eastAsia="es-CR"/>
        </w:rPr>
        <w:t>artículo</w:t>
      </w:r>
      <w:r w:rsidRPr="00AE1B2B">
        <w:rPr>
          <w:rFonts w:ascii="Times New Roman" w:hAnsi="Times New Roman" w:eastAsia="Calibri" w:cs="Times New Roman"/>
          <w:i/>
          <w:sz w:val="26"/>
          <w:szCs w:val="26"/>
          <w:lang w:eastAsia="es-CR"/>
        </w:rPr>
        <w:t xml:space="preserve"> </w:t>
      </w:r>
      <w:r w:rsidRPr="00AE1B2B">
        <w:rPr>
          <w:rFonts w:ascii="Times New Roman" w:hAnsi="Times New Roman" w:eastAsia="Calibri" w:cs="Times New Roman"/>
          <w:sz w:val="26"/>
          <w:szCs w:val="26"/>
          <w:lang w:eastAsia="es-CR"/>
        </w:rPr>
        <w:t>2 y 3 de la reforma de Ley 9458)</w:t>
      </w:r>
    </w:p>
    <w:p w:rsidRPr="00AE1B2B" w:rsidR="009D3FB5" w:rsidP="00163B94" w:rsidRDefault="009D3FB5" w14:paraId="582B32EB" w14:textId="77777777">
      <w:pPr>
        <w:spacing w:before="120" w:after="120"/>
        <w:ind w:left="851" w:right="851" w:firstLine="709"/>
        <w:jc w:val="both"/>
        <w:rPr>
          <w:rFonts w:ascii="Times New Roman" w:hAnsi="Times New Roman" w:eastAsia="Times New Roman" w:cs="Times New Roman"/>
          <w:sz w:val="26"/>
          <w:szCs w:val="26"/>
          <w:lang w:eastAsia="es-CR"/>
        </w:rPr>
      </w:pPr>
      <w:r w:rsidRPr="00AE1B2B">
        <w:rPr>
          <w:rFonts w:ascii="Times New Roman" w:hAnsi="Times New Roman" w:eastAsia="Calibri" w:cs="Times New Roman"/>
          <w:sz w:val="26"/>
          <w:szCs w:val="26"/>
        </w:rPr>
        <w:lastRenderedPageBreak/>
        <w:t xml:space="preserve">El monto requerido para recurso humano en este programa es de </w:t>
      </w:r>
      <w:r w:rsidRPr="00AE1B2B">
        <w:rPr>
          <w:rFonts w:ascii="Times New Roman" w:hAnsi="Times New Roman" w:eastAsia="Times New Roman" w:cs="Times New Roman"/>
          <w:b/>
          <w:bCs/>
          <w:sz w:val="26"/>
          <w:szCs w:val="26"/>
          <w:lang w:eastAsia="es-CR"/>
        </w:rPr>
        <w:t>₡35 314 000,00</w:t>
      </w:r>
      <w:r w:rsidRPr="00AE1B2B">
        <w:rPr>
          <w:rFonts w:ascii="Times New Roman" w:hAnsi="Times New Roman" w:eastAsia="Times New Roman" w:cs="Times New Roman"/>
          <w:sz w:val="26"/>
          <w:szCs w:val="26"/>
          <w:lang w:eastAsia="es-CR"/>
        </w:rPr>
        <w:t xml:space="preserve"> </w:t>
      </w:r>
    </w:p>
    <w:p w:rsidRPr="00AE1B2B" w:rsidR="009D3FB5" w:rsidP="00163B94" w:rsidRDefault="009D3FB5" w14:paraId="0C4D4601" w14:textId="77777777">
      <w:pPr>
        <w:spacing w:before="120" w:after="120"/>
        <w:ind w:left="851" w:right="851" w:firstLine="709"/>
        <w:jc w:val="both"/>
        <w:rPr>
          <w:rFonts w:ascii="Times New Roman" w:hAnsi="Times New Roman" w:eastAsia="Times New Roman" w:cs="Times New Roman"/>
          <w:sz w:val="26"/>
          <w:szCs w:val="26"/>
          <w:lang w:eastAsia="es-CR"/>
        </w:rPr>
      </w:pPr>
    </w:p>
    <w:p w:rsidRPr="00AE1B2B" w:rsidR="009D3FB5" w:rsidP="00163B94" w:rsidRDefault="009D3FB5" w14:paraId="0B8345AB" w14:textId="77777777">
      <w:pPr>
        <w:spacing w:before="120" w:after="120"/>
        <w:ind w:left="851" w:right="851" w:firstLine="709"/>
        <w:jc w:val="both"/>
        <w:rPr>
          <w:rFonts w:ascii="Times New Roman" w:hAnsi="Times New Roman" w:eastAsia="Calibri" w:cs="Times New Roman"/>
          <w:b/>
          <w:sz w:val="26"/>
          <w:szCs w:val="26"/>
        </w:rPr>
      </w:pPr>
      <w:r w:rsidRPr="00AE1B2B">
        <w:rPr>
          <w:rFonts w:ascii="Times New Roman" w:hAnsi="Times New Roman" w:eastAsia="Calibri" w:cs="Times New Roman"/>
          <w:b/>
          <w:sz w:val="26"/>
          <w:szCs w:val="26"/>
        </w:rPr>
        <w:t>Programa 928 “Organismo de Investigación Judicial”</w:t>
      </w:r>
    </w:p>
    <w:p w:rsidRPr="00AE1B2B" w:rsidR="009D3FB5" w:rsidP="00163B94" w:rsidRDefault="009D3FB5" w14:paraId="46147887" w14:textId="77777777">
      <w:pPr>
        <w:numPr>
          <w:ilvl w:val="0"/>
          <w:numId w:val="141"/>
        </w:num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Unidad de Alerta Temprana del Departamento de Investigaciones Criminales.</w:t>
      </w:r>
    </w:p>
    <w:p w:rsidRPr="00AE1B2B" w:rsidR="009D3FB5" w:rsidP="00163B94" w:rsidRDefault="009D3FB5" w14:paraId="1A60B0DB" w14:textId="20244BC4">
      <w:pPr>
        <w:widowControl w:val="0"/>
        <w:autoSpaceDE w:val="0"/>
        <w:autoSpaceDN w:val="0"/>
        <w:adjustRightInd w:val="0"/>
        <w:spacing w:before="120" w:after="120"/>
        <w:ind w:left="851" w:right="851" w:firstLine="709"/>
        <w:jc w:val="both"/>
        <w:rPr>
          <w:rFonts w:ascii="Times New Roman" w:hAnsi="Times New Roman" w:eastAsia="Calibri" w:cs="Times New Roman"/>
          <w:b/>
          <w:bCs/>
          <w:sz w:val="26"/>
          <w:szCs w:val="26"/>
        </w:rPr>
      </w:pPr>
      <w:r w:rsidRPr="00AE1B2B">
        <w:rPr>
          <w:rFonts w:ascii="Times New Roman" w:hAnsi="Times New Roman" w:eastAsia="Calibri" w:cs="Times New Roman"/>
          <w:sz w:val="26"/>
          <w:szCs w:val="26"/>
        </w:rPr>
        <w:t>Al tomar como referencia la media de denuncia que atiende mensualmente un Investigador, la cual es de ocho casos mensuales, según lo establecido por la Oficina de Planes y Operaciones y el modelo de oficina que se pretende aplicar bajo el Proyecto institucional denominado </w:t>
      </w:r>
      <w:r w:rsidRPr="00AE1B2B">
        <w:rPr>
          <w:rFonts w:ascii="Times New Roman" w:hAnsi="Times New Roman" w:eastAsia="Calibri" w:cs="Times New Roman"/>
          <w:i/>
          <w:sz w:val="26"/>
          <w:szCs w:val="26"/>
        </w:rPr>
        <w:t>“Mejora Integral del Proceso Penal”</w:t>
      </w:r>
      <w:r w:rsidRPr="00AE1B2B">
        <w:rPr>
          <w:rFonts w:ascii="Times New Roman" w:hAnsi="Times New Roman" w:eastAsia="Calibri" w:cs="Times New Roman"/>
          <w:sz w:val="26"/>
          <w:szCs w:val="26"/>
        </w:rPr>
        <w:t xml:space="preserve"> y tomando en consideración los 162 casos a nivel nacional atendidos (2018), se necesitaría de una pareja de investigadores para su atención anual, partiendo de la premisa de que un investigador no debe atender en forma individual un caso, los cuales se ubicaran en San José, en la Unidad de Alerta Temprano de la Sección de Delitos Varios del Departamentos de Investigaciones Criminales, </w:t>
      </w:r>
      <w:r w:rsidRPr="00AE1B2B">
        <w:rPr>
          <w:rFonts w:ascii="Times New Roman" w:hAnsi="Times New Roman" w:eastAsia="Calibri" w:cs="Times New Roman"/>
          <w:b/>
          <w:bCs/>
          <w:sz w:val="26"/>
          <w:szCs w:val="26"/>
        </w:rPr>
        <w:t>sin embargo de acuerdo con las reconsideraciones planteadas por el Director General del OIJ en el oficio 596-DG-2019</w:t>
      </w:r>
      <w:r w:rsidRPr="00AE1B2B" w:rsidR="00BB7720">
        <w:rPr>
          <w:rFonts w:ascii="Times New Roman" w:hAnsi="Times New Roman" w:eastAsia="Calibri" w:cs="Times New Roman"/>
          <w:b/>
          <w:bCs/>
          <w:sz w:val="26"/>
          <w:szCs w:val="26"/>
        </w:rPr>
        <w:t xml:space="preserve"> </w:t>
      </w:r>
      <w:r w:rsidRPr="00AE1B2B">
        <w:rPr>
          <w:rFonts w:ascii="Times New Roman" w:hAnsi="Times New Roman" w:eastAsia="Calibri" w:cs="Times New Roman"/>
          <w:b/>
          <w:bCs/>
          <w:sz w:val="26"/>
          <w:szCs w:val="26"/>
        </w:rPr>
        <w:t xml:space="preserve">del 17 de mayo de año en curso y lo acordado por el Consejo Superior en su sesión </w:t>
      </w:r>
      <w:r w:rsidRPr="00AE1B2B">
        <w:rPr>
          <w:rFonts w:ascii="Times New Roman" w:hAnsi="Times New Roman" w:eastAsia="Arial Unicode MS" w:cs="Times New Roman"/>
          <w:b/>
          <w:bCs/>
          <w:sz w:val="26"/>
          <w:szCs w:val="26"/>
          <w:u w:color="000000"/>
          <w:lang w:val="es-ES"/>
        </w:rPr>
        <w:t xml:space="preserve">47-19, del 24 de mayo de 2019, artículo XIX, se adicionó 11 investigadores 1 para las regionales del OIJ, un jefe 1 para la sección de Delitos Varios y un profesional 2. </w:t>
      </w:r>
    </w:p>
    <w:p w:rsidRPr="00AE1B2B" w:rsidR="009D3FB5" w:rsidP="00163B94" w:rsidRDefault="009D3FB5" w14:paraId="0A6D84EC" w14:textId="77777777">
      <w:pPr>
        <w:widowControl w:val="0"/>
        <w:autoSpaceDE w:val="0"/>
        <w:autoSpaceDN w:val="0"/>
        <w:adjustRightInd w:val="0"/>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Cada uno de estos funcionarios, debe contar con su equipo de trabajo tal como: esposas, chaleco antibalas, gorra, camiseta, jacket, municiones y arma de fuego. Además, como parte del equipo de oficina deben contar con su respectivo escritorio, silla y una computadora para esta pareja de trabajo.</w:t>
      </w:r>
    </w:p>
    <w:p w:rsidRPr="00AE1B2B" w:rsidR="009D3FB5" w:rsidP="00163B94" w:rsidRDefault="009D3FB5" w14:paraId="26911087" w14:textId="77777777">
      <w:pPr>
        <w:widowControl w:val="0"/>
        <w:autoSpaceDE w:val="0"/>
        <w:autoSpaceDN w:val="0"/>
        <w:adjustRightInd w:val="0"/>
        <w:spacing w:before="120" w:after="120"/>
        <w:ind w:left="851" w:right="851" w:firstLine="709"/>
        <w:jc w:val="both"/>
        <w:rPr>
          <w:rFonts w:ascii="Times New Roman" w:hAnsi="Times New Roman" w:eastAsia="Times New Roman" w:cs="Times New Roman"/>
          <w:sz w:val="26"/>
          <w:szCs w:val="26"/>
          <w:u w:color="000000"/>
          <w:lang w:val="es-ES" w:eastAsia="es-CR"/>
        </w:rPr>
      </w:pPr>
      <w:r w:rsidRPr="00AE1B2B">
        <w:rPr>
          <w:rFonts w:ascii="Times New Roman" w:hAnsi="Times New Roman" w:eastAsia="Calibri" w:cs="Times New Roman"/>
          <w:sz w:val="26"/>
          <w:szCs w:val="26"/>
        </w:rPr>
        <w:t>Por otro lado, como parte de equipo especializado para el trato y manejo de animales deberán contar con kenels de transporte, palos de ahorque, bozal, manga de entrenamiento, los cuales deberán ser distribuidos al menos uno en cada delegación regional, para atención de eventuales casos</w:t>
      </w:r>
      <w:r w:rsidRPr="00AE1B2B">
        <w:rPr>
          <w:rFonts w:ascii="Times New Roman" w:hAnsi="Times New Roman" w:eastAsia="Times New Roman" w:cs="Times New Roman"/>
          <w:sz w:val="26"/>
          <w:szCs w:val="26"/>
          <w:u w:color="000000"/>
          <w:lang w:val="es-ES" w:eastAsia="es-CR"/>
        </w:rPr>
        <w:t xml:space="preserve">. </w:t>
      </w:r>
    </w:p>
    <w:p w:rsidRPr="00AE1B2B" w:rsidR="009D3FB5" w:rsidP="00163B94" w:rsidRDefault="009D3FB5" w14:paraId="2633C6C3" w14:textId="77777777">
      <w:pPr>
        <w:numPr>
          <w:ilvl w:val="0"/>
          <w:numId w:val="141"/>
        </w:numPr>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Departamento de Ciencias Forenses.</w:t>
      </w:r>
    </w:p>
    <w:p w:rsidRPr="00AE1B2B" w:rsidR="009D3FB5" w:rsidP="00163B94" w:rsidRDefault="009D3FB5" w14:paraId="2B5CF7C4" w14:textId="77777777">
      <w:pPr>
        <w:widowControl w:val="0"/>
        <w:autoSpaceDE w:val="0"/>
        <w:autoSpaceDN w:val="0"/>
        <w:adjustRightInd w:val="0"/>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Se estima necesario incorporar dos Peritos Judiciales 2B uno para Bioquímica y otro para Toxicología, un Perito 2 y un Técnico especializado 6 para Química Analítica y un Perito Judicial 1 para Pericias físicas, quienes se encargarán no solo de la atención y el mejoramiento en el servicio, como en capacidad de respuesta, sino en la atención de los casos que se deben atender por la Ley de Bienestar </w:t>
      </w:r>
      <w:r w:rsidRPr="00AE1B2B">
        <w:rPr>
          <w:rFonts w:ascii="Times New Roman" w:hAnsi="Times New Roman" w:eastAsia="Calibri" w:cs="Times New Roman"/>
          <w:sz w:val="26"/>
          <w:szCs w:val="26"/>
        </w:rPr>
        <w:lastRenderedPageBreak/>
        <w:t>animal. Estas plazas deben contar con su respectivo escritorio, silla y una computadora.</w:t>
      </w:r>
    </w:p>
    <w:p w:rsidRPr="00AE1B2B" w:rsidR="009D3FB5" w:rsidP="00163B94" w:rsidRDefault="009D3FB5" w14:paraId="2899D446" w14:textId="77777777">
      <w:pPr>
        <w:widowControl w:val="0"/>
        <w:autoSpaceDE w:val="0"/>
        <w:autoSpaceDN w:val="0"/>
        <w:adjustRightInd w:val="0"/>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30715281" w14:textId="77777777">
      <w:pPr>
        <w:widowControl w:val="0"/>
        <w:autoSpaceDE w:val="0"/>
        <w:autoSpaceDN w:val="0"/>
        <w:adjustRightInd w:val="0"/>
        <w:spacing w:before="120" w:after="120"/>
        <w:ind w:left="851" w:right="851" w:firstLine="709"/>
        <w:jc w:val="both"/>
        <w:rPr>
          <w:rFonts w:ascii="Times New Roman" w:hAnsi="Times New Roman" w:eastAsia="Calibri" w:cs="Times New Roman"/>
          <w:i/>
          <w:sz w:val="26"/>
          <w:szCs w:val="26"/>
        </w:rPr>
      </w:pPr>
      <w:r w:rsidRPr="00AE1B2B">
        <w:rPr>
          <w:rFonts w:ascii="Times New Roman" w:hAnsi="Times New Roman" w:eastAsia="Calibri" w:cs="Times New Roman"/>
          <w:i/>
          <w:sz w:val="26"/>
          <w:szCs w:val="26"/>
        </w:rPr>
        <w:t xml:space="preserve">2.1 Equipo Requerido </w:t>
      </w:r>
    </w:p>
    <w:p w:rsidRPr="00AE1B2B" w:rsidR="009D3FB5" w:rsidP="00163B94" w:rsidRDefault="009D3FB5" w14:paraId="0676E6E0" w14:textId="77777777">
      <w:pPr>
        <w:widowControl w:val="0"/>
        <w:autoSpaceDE w:val="0"/>
        <w:autoSpaceDN w:val="0"/>
        <w:adjustRightInd w:val="0"/>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Para analizar las distintas pruebas, será necesaria la adquisición de un </w:t>
      </w:r>
      <w:r w:rsidRPr="00AE1B2B">
        <w:rPr>
          <w:rFonts w:ascii="Times New Roman" w:hAnsi="Times New Roman" w:eastAsia="Calibri" w:cs="Times New Roman"/>
          <w:b/>
          <w:bCs/>
          <w:sz w:val="26"/>
          <w:szCs w:val="26"/>
        </w:rPr>
        <w:t xml:space="preserve">cromatógrafo </w:t>
      </w:r>
      <w:r w:rsidRPr="00AE1B2B">
        <w:rPr>
          <w:rFonts w:ascii="Times New Roman" w:hAnsi="Times New Roman" w:eastAsia="Calibri" w:cs="Times New Roman"/>
          <w:sz w:val="26"/>
          <w:szCs w:val="26"/>
        </w:rPr>
        <w:t xml:space="preserve">de gases para no frenar los flujos de trabajo actuales en análisis de drogas y otras sustancias que habitualmente son estudiadas con dicho equipo, según criterio de Don Mauricio Chacón Hernández, jefe del Departamento de Ciencias Forenses, además se consideró que el equipo será de gran utilidad en otras investigaciones. </w:t>
      </w:r>
    </w:p>
    <w:p w:rsidRPr="00AE1B2B" w:rsidR="009D3FB5" w:rsidP="00163B94" w:rsidRDefault="009D3FB5" w14:paraId="1A83C1D8" w14:textId="38ED245C">
      <w:pPr>
        <w:widowControl w:val="0"/>
        <w:autoSpaceDE w:val="0"/>
        <w:autoSpaceDN w:val="0"/>
        <w:adjustRightInd w:val="0"/>
        <w:spacing w:before="120" w:after="120"/>
        <w:ind w:left="851" w:right="851" w:firstLine="709"/>
        <w:jc w:val="both"/>
        <w:rPr>
          <w:rFonts w:ascii="Times New Roman" w:hAnsi="Times New Roman" w:eastAsia="Calibri" w:cs="Times New Roman"/>
          <w:sz w:val="26"/>
          <w:szCs w:val="26"/>
        </w:rPr>
      </w:pPr>
      <w:r w:rsidRPr="00AE1B2B">
        <w:rPr>
          <w:rFonts w:ascii="Times New Roman" w:hAnsi="Times New Roman" w:eastAsia="Calibri" w:cs="Times New Roman"/>
          <w:sz w:val="26"/>
          <w:szCs w:val="26"/>
        </w:rPr>
        <w:t xml:space="preserve">Se requiere un </w:t>
      </w:r>
      <w:r w:rsidRPr="00AE1B2B">
        <w:rPr>
          <w:rFonts w:ascii="Times New Roman" w:hAnsi="Times New Roman" w:eastAsia="Calibri" w:cs="Times New Roman"/>
          <w:b/>
          <w:bCs/>
          <w:sz w:val="26"/>
          <w:szCs w:val="26"/>
        </w:rPr>
        <w:t>Microscopio de Comparación</w:t>
      </w:r>
      <w:r w:rsidRPr="00AE1B2B">
        <w:rPr>
          <w:rFonts w:ascii="Times New Roman" w:hAnsi="Times New Roman" w:eastAsia="Calibri" w:cs="Times New Roman"/>
          <w:sz w:val="26"/>
          <w:szCs w:val="26"/>
        </w:rPr>
        <w:t xml:space="preserve"> específicamente para el análisis balístico que eventualmente se le debe realizar a un animal que recibe uno o varios impactos de bala (una vez extraído el elemento balístico por parte de un profesional en veterinaria o alguien con la competencia).</w:t>
      </w:r>
      <w:r w:rsidRPr="00AE1B2B" w:rsidR="00BB7720">
        <w:rPr>
          <w:rFonts w:ascii="Times New Roman" w:hAnsi="Times New Roman" w:eastAsia="Calibri" w:cs="Times New Roman"/>
          <w:sz w:val="26"/>
          <w:szCs w:val="26"/>
        </w:rPr>
        <w:t xml:space="preserve"> </w:t>
      </w:r>
      <w:r w:rsidRPr="00AE1B2B">
        <w:rPr>
          <w:rFonts w:ascii="Times New Roman" w:hAnsi="Times New Roman" w:eastAsia="Calibri" w:cs="Times New Roman"/>
          <w:sz w:val="26"/>
          <w:szCs w:val="26"/>
        </w:rPr>
        <w:t>Según lo indicado por el señor Chacón Hernández, jefe del Departamento, se requiere por cuanto los casos de balística derivados de homicidios, sicariato y otros tienen colapsada la Unidad y sería imposible atender adicionalmente lo relacionado con bienestar animal (particularmente el asunto de lesiones con arma de fuego).</w:t>
      </w:r>
    </w:p>
    <w:p w:rsidRPr="00AE1B2B" w:rsidR="009D3FB5" w:rsidP="00163B94" w:rsidRDefault="009D3FB5" w14:paraId="4BB04439" w14:textId="77777777">
      <w:pPr>
        <w:spacing w:before="120" w:after="120"/>
        <w:ind w:left="851" w:right="851" w:firstLine="709"/>
        <w:jc w:val="both"/>
        <w:rPr>
          <w:rFonts w:ascii="Times New Roman" w:hAnsi="Times New Roman" w:eastAsia="Calibri" w:cs="Times New Roman"/>
          <w:sz w:val="26"/>
          <w:szCs w:val="26"/>
        </w:rPr>
      </w:pPr>
    </w:p>
    <w:p w:rsidRPr="00AE1B2B" w:rsidR="009D3FB5" w:rsidP="00163B94" w:rsidRDefault="009D3FB5" w14:paraId="443626DC" w14:textId="77777777">
      <w:pPr>
        <w:spacing w:before="120" w:after="120"/>
        <w:ind w:left="851" w:right="851" w:firstLine="709"/>
        <w:jc w:val="both"/>
        <w:rPr>
          <w:rFonts w:ascii="Times New Roman" w:hAnsi="Times New Roman" w:eastAsia="Calibri" w:cs="Times New Roman"/>
          <w:i/>
          <w:sz w:val="26"/>
          <w:szCs w:val="26"/>
        </w:rPr>
      </w:pPr>
      <w:r w:rsidRPr="00AE1B2B">
        <w:rPr>
          <w:rFonts w:ascii="Times New Roman" w:hAnsi="Times New Roman" w:eastAsia="Calibri" w:cs="Times New Roman"/>
          <w:sz w:val="26"/>
          <w:szCs w:val="26"/>
        </w:rPr>
        <w:t xml:space="preserve">El monto requerido para recurso humano en este programa es de </w:t>
      </w:r>
      <w:r w:rsidRPr="00AE1B2B">
        <w:rPr>
          <w:rFonts w:ascii="Times New Roman" w:hAnsi="Times New Roman" w:eastAsia="Times New Roman" w:cs="Times New Roman"/>
          <w:b/>
          <w:bCs/>
          <w:sz w:val="26"/>
          <w:szCs w:val="26"/>
          <w:lang w:eastAsia="es-CR"/>
        </w:rPr>
        <w:t>₡486 408 000,00</w:t>
      </w:r>
      <w:r w:rsidRPr="00AE1B2B">
        <w:rPr>
          <w:rFonts w:ascii="Times New Roman" w:hAnsi="Times New Roman" w:eastAsia="Times New Roman" w:cs="Times New Roman"/>
          <w:sz w:val="26"/>
          <w:szCs w:val="26"/>
          <w:lang w:eastAsia="es-CR"/>
        </w:rPr>
        <w:t>.</w:t>
      </w:r>
    </w:p>
    <w:p w:rsidRPr="00AE1B2B" w:rsidR="004C4746" w:rsidP="005D1E2B" w:rsidRDefault="004C4746" w14:paraId="746B680E" w14:textId="77777777">
      <w:pPr>
        <w:spacing w:before="120" w:after="120" w:line="480" w:lineRule="auto"/>
        <w:jc w:val="center"/>
        <w:rPr>
          <w:rFonts w:ascii="Times New Roman" w:hAnsi="Times New Roman"/>
          <w:bCs/>
          <w:sz w:val="28"/>
          <w:szCs w:val="28"/>
          <w:lang w:val="es-ES"/>
        </w:rPr>
      </w:pPr>
      <w:r w:rsidRPr="00AE1B2B">
        <w:rPr>
          <w:rFonts w:ascii="Times New Roman" w:hAnsi="Times New Roman"/>
          <w:bCs/>
          <w:spacing w:val="2"/>
          <w:sz w:val="28"/>
          <w:szCs w:val="28"/>
          <w:lang w:val="es-ES"/>
        </w:rPr>
        <w:t>- 0 -</w:t>
      </w:r>
    </w:p>
    <w:p w:rsidRPr="00AE1B2B" w:rsidR="009D3FB5" w:rsidP="00163B94" w:rsidRDefault="009D3FB5" w14:paraId="276A2FEA" w14:textId="2C2E7EFF">
      <w:pPr>
        <w:spacing w:before="120" w:after="120" w:line="480" w:lineRule="auto"/>
        <w:ind w:firstLine="709"/>
        <w:jc w:val="both"/>
        <w:rPr>
          <w:rFonts w:ascii="Times New Roman" w:hAnsi="Times New Roman" w:eastAsia="Calibri" w:cs="Times New Roman"/>
          <w:iCs/>
          <w:sz w:val="28"/>
          <w:szCs w:val="28"/>
        </w:rPr>
      </w:pPr>
      <w:r w:rsidRPr="00AE1B2B">
        <w:rPr>
          <w:rFonts w:ascii="Times New Roman" w:hAnsi="Times New Roman" w:eastAsia="Calibri" w:cs="Times New Roman"/>
          <w:b/>
          <w:bCs/>
          <w:iCs/>
          <w:sz w:val="28"/>
          <w:szCs w:val="28"/>
        </w:rPr>
        <w:t>Se acordó</w:t>
      </w:r>
      <w:r w:rsidRPr="00AE1B2B">
        <w:rPr>
          <w:rFonts w:ascii="Times New Roman" w:hAnsi="Times New Roman" w:eastAsia="Calibri" w:cs="Times New Roman"/>
          <w:iCs/>
          <w:sz w:val="28"/>
          <w:szCs w:val="28"/>
        </w:rPr>
        <w:t xml:space="preserve">: </w:t>
      </w:r>
      <w:r w:rsidRPr="00AE1B2B">
        <w:rPr>
          <w:rFonts w:ascii="Times New Roman" w:hAnsi="Times New Roman" w:eastAsia="Calibri" w:cs="Times New Roman"/>
          <w:b/>
          <w:bCs/>
          <w:iCs/>
          <w:sz w:val="28"/>
          <w:szCs w:val="28"/>
        </w:rPr>
        <w:t>1)</w:t>
      </w:r>
      <w:r w:rsidRPr="00AE1B2B">
        <w:rPr>
          <w:rFonts w:ascii="Times New Roman" w:hAnsi="Times New Roman" w:eastAsia="Calibri" w:cs="Times New Roman"/>
          <w:iCs/>
          <w:sz w:val="28"/>
          <w:szCs w:val="28"/>
        </w:rPr>
        <w:t xml:space="preserve"> Aprobar el informe 433-PLA-RH-MI-2021, estudio de Requerimiento Humano sobre Ley 9458 que reforma la Ley 4573, Código Penal y Ley 7451, Ley de Bienestar de los Animales 9458.</w:t>
      </w:r>
      <w:r w:rsidRPr="00AE1B2B" w:rsidR="00BB7720">
        <w:rPr>
          <w:rFonts w:ascii="Times New Roman" w:hAnsi="Times New Roman" w:eastAsia="Calibri" w:cs="Times New Roman"/>
          <w:iCs/>
          <w:sz w:val="28"/>
          <w:szCs w:val="28"/>
        </w:rPr>
        <w:t xml:space="preserve"> </w:t>
      </w:r>
      <w:r w:rsidRPr="00AE1B2B">
        <w:rPr>
          <w:rFonts w:ascii="Times New Roman" w:hAnsi="Times New Roman" w:cs="Times New Roman"/>
          <w:b/>
          <w:bCs/>
          <w:sz w:val="28"/>
          <w:szCs w:val="28"/>
        </w:rPr>
        <w:t>2)</w:t>
      </w:r>
      <w:r w:rsidRPr="00AE1B2B">
        <w:rPr>
          <w:rFonts w:ascii="Times New Roman" w:hAnsi="Times New Roman" w:cs="Times New Roman"/>
          <w:sz w:val="28"/>
          <w:szCs w:val="28"/>
        </w:rPr>
        <w:t xml:space="preserve"> </w:t>
      </w:r>
      <w:r w:rsidRPr="00AE1B2B">
        <w:rPr>
          <w:rFonts w:ascii="Times New Roman" w:hAnsi="Times New Roman" w:eastAsia="Calibri" w:cs="Times New Roman"/>
          <w:iCs/>
          <w:sz w:val="28"/>
          <w:szCs w:val="28"/>
        </w:rPr>
        <w:t xml:space="preserve">El contenido económico actualizado y requerido se remitirá de forma independiente al presupuesto ordinario, ya que responde a una necesidad producto de una ley especial, que a la fecha se encuentra vigente y que la Asamblea Legislativa no ha asignado </w:t>
      </w:r>
      <w:r w:rsidRPr="00AE1B2B">
        <w:rPr>
          <w:rFonts w:ascii="Times New Roman" w:hAnsi="Times New Roman" w:eastAsia="Calibri" w:cs="Times New Roman"/>
          <w:iCs/>
          <w:sz w:val="28"/>
          <w:szCs w:val="28"/>
        </w:rPr>
        <w:lastRenderedPageBreak/>
        <w:t>ningún recurso económico</w:t>
      </w:r>
      <w:r w:rsidRPr="00AE1B2B" w:rsidR="00BB7720">
        <w:rPr>
          <w:rFonts w:ascii="Times New Roman" w:hAnsi="Times New Roman" w:eastAsia="Calibri" w:cs="Times New Roman"/>
          <w:iCs/>
          <w:sz w:val="28"/>
          <w:szCs w:val="28"/>
        </w:rPr>
        <w:t xml:space="preserve"> </w:t>
      </w:r>
      <w:r w:rsidRPr="00AE1B2B">
        <w:rPr>
          <w:rFonts w:ascii="Times New Roman" w:hAnsi="Times New Roman" w:eastAsia="Calibri" w:cs="Times New Roman"/>
          <w:iCs/>
          <w:sz w:val="28"/>
          <w:szCs w:val="28"/>
        </w:rPr>
        <w:t>adicional para su implementación</w:t>
      </w:r>
      <w:r w:rsidRPr="00AE1B2B" w:rsidR="004C4746">
        <w:rPr>
          <w:rFonts w:ascii="Times New Roman" w:hAnsi="Times New Roman" w:eastAsia="Calibri" w:cs="Times New Roman"/>
          <w:iCs/>
          <w:sz w:val="28"/>
          <w:szCs w:val="28"/>
        </w:rPr>
        <w:t xml:space="preserve">. </w:t>
      </w:r>
      <w:r w:rsidRPr="00AE1B2B" w:rsidR="004C4746">
        <w:rPr>
          <w:rFonts w:ascii="Times New Roman" w:hAnsi="Times New Roman" w:eastAsia="Calibri" w:cs="Times New Roman"/>
          <w:b/>
          <w:bCs/>
          <w:iCs/>
          <w:sz w:val="28"/>
          <w:szCs w:val="28"/>
        </w:rPr>
        <w:t>Se declara acuerdo firme</w:t>
      </w:r>
      <w:r w:rsidRPr="00AE1B2B" w:rsidR="004C4746">
        <w:rPr>
          <w:rFonts w:ascii="Times New Roman" w:hAnsi="Times New Roman" w:eastAsia="Calibri" w:cs="Times New Roman"/>
          <w:iCs/>
          <w:sz w:val="28"/>
          <w:szCs w:val="28"/>
        </w:rPr>
        <w:t>.</w:t>
      </w:r>
    </w:p>
    <w:p w:rsidRPr="00AE1B2B" w:rsidR="00D0558E" w:rsidP="00D0558E" w:rsidRDefault="00D0558E" w14:paraId="13F23642" w14:textId="77777777">
      <w:pPr>
        <w:spacing w:line="480" w:lineRule="auto"/>
        <w:ind w:firstLine="709"/>
        <w:jc w:val="center"/>
        <w:rPr>
          <w:rFonts w:ascii="Times New Roman" w:hAnsi="Times New Roman" w:cs="Times New Roman"/>
          <w:b/>
          <w:bCs/>
          <w:sz w:val="28"/>
          <w:szCs w:val="28"/>
        </w:rPr>
      </w:pPr>
      <w:r w:rsidRPr="00AE1B2B">
        <w:rPr>
          <w:rFonts w:ascii="Times New Roman" w:hAnsi="Times New Roman" w:cs="Times New Roman"/>
          <w:b/>
          <w:bCs/>
          <w:sz w:val="28"/>
          <w:szCs w:val="28"/>
        </w:rPr>
        <w:t>---o0o---</w:t>
      </w:r>
    </w:p>
    <w:p w:rsidRPr="00AE1B2B" w:rsidR="00D0558E" w:rsidP="00D0558E" w:rsidRDefault="00D0558E" w14:paraId="4E183A3F" w14:textId="1818F3D8">
      <w:pPr>
        <w:spacing w:line="480" w:lineRule="auto"/>
        <w:jc w:val="both"/>
        <w:rPr>
          <w:rFonts w:ascii="Times New Roman" w:hAnsi="Times New Roman" w:cs="Times New Roman"/>
          <w:b/>
          <w:bCs/>
          <w:sz w:val="28"/>
          <w:szCs w:val="28"/>
        </w:rPr>
      </w:pPr>
      <w:r w:rsidRPr="00AE1B2B">
        <w:rPr>
          <w:rFonts w:ascii="Times New Roman" w:hAnsi="Times New Roman" w:cs="Times New Roman"/>
          <w:b/>
          <w:bCs/>
          <w:sz w:val="28"/>
          <w:szCs w:val="28"/>
        </w:rPr>
        <w:t>A las quince horas cincuenta minutos terminó la sesión</w:t>
      </w:r>
      <w:r w:rsidRPr="00AE1B2B">
        <w:rPr>
          <w:rFonts w:ascii="Times New Roman" w:hAnsi="Times New Roman" w:cs="Times New Roman"/>
          <w:b/>
          <w:bCs/>
          <w:sz w:val="28"/>
          <w:szCs w:val="28"/>
        </w:rPr>
        <w:t>.</w:t>
      </w:r>
    </w:p>
    <w:p w:rsidRPr="00AE1B2B" w:rsidR="00D0558E" w:rsidP="00163B94" w:rsidRDefault="00D0558E" w14:paraId="0ECAC4F2" w14:textId="77777777">
      <w:pPr>
        <w:spacing w:before="120" w:after="120" w:line="480" w:lineRule="auto"/>
        <w:ind w:firstLine="709"/>
        <w:jc w:val="both"/>
        <w:rPr>
          <w:rFonts w:ascii="Times New Roman" w:hAnsi="Times New Roman" w:eastAsia="Calibri" w:cs="Times New Roman"/>
          <w:iCs/>
          <w:sz w:val="28"/>
          <w:szCs w:val="28"/>
        </w:rPr>
      </w:pPr>
    </w:p>
    <w:p w:rsidRPr="00AE1B2B" w:rsidR="009D3FB5" w:rsidP="00163B94" w:rsidRDefault="009D3FB5" w14:paraId="2FBCED10" w14:textId="77777777">
      <w:pPr>
        <w:spacing w:before="120" w:after="120"/>
        <w:rPr>
          <w:rFonts w:ascii="Times New Roman" w:hAnsi="Times New Roman" w:eastAsia="Times New Roman" w:cs="Times New Roman"/>
          <w:b/>
          <w:bCs/>
          <w:kern w:val="36"/>
          <w:sz w:val="28"/>
          <w:szCs w:val="28"/>
          <w:u w:val="single"/>
          <w:lang w:eastAsia="es-ES"/>
        </w:rPr>
      </w:pPr>
      <w:r w:rsidRPr="00AE1B2B">
        <w:t xml:space="preserve"> </w:t>
      </w:r>
    </w:p>
    <w:p w:rsidRPr="00AE1B2B" w:rsidR="009D3FB5" w:rsidP="00163B94" w:rsidRDefault="009D3FB5" w14:paraId="03F8AB66" w14:textId="77777777">
      <w:pPr>
        <w:spacing w:before="120" w:after="120"/>
      </w:pPr>
    </w:p>
    <w:sectPr w:rsidRPr="00AE1B2B" w:rsidR="009D3FB5" w:rsidSect="00116A5A">
      <w:headerReference w:type="even" r:id="rId425"/>
      <w:headerReference w:type="first" r:id="rId42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A57DFB" w:rsidP="00487DE0" w:rsidRDefault="00A57DFB" w14:paraId="1A837077" w14:textId="77777777">
      <w:r>
        <w:separator/>
      </w:r>
    </w:p>
  </w:endnote>
  <w:endnote w:type="continuationSeparator" w:id="0">
    <w:p w:rsidR="00A57DFB" w:rsidP="00487DE0" w:rsidRDefault="00A57DFB" w14:paraId="69F036CD"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OpenSymbol">
    <w:charset w:val="00"/>
    <w:family w:val="auto"/>
    <w:pitch w:val="variable"/>
    <w:sig w:usb0="800000AF" w:usb1="1001ECEA"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Roman">
    <w:altName w:val="Times New Roman"/>
    <w:charset w:val="00"/>
    <w:family w:val="roman"/>
    <w:pitch w:val="default"/>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A57DFB" w:rsidP="00487DE0" w:rsidRDefault="00A57DFB" w14:paraId="6623CAFE" w14:textId="77777777">
      <w:r>
        <w:separator/>
      </w:r>
    </w:p>
  </w:footnote>
  <w:footnote w:type="continuationSeparator" w:id="0">
    <w:p w:rsidR="00A57DFB" w:rsidP="00487DE0" w:rsidRDefault="00A57DFB" w14:paraId="63FA12FE" w14:textId="77777777">
      <w:r>
        <w:continuationSeparator/>
      </w:r>
    </w:p>
  </w:footnote>
  <w:footnote w:id="1">
    <w:p w:rsidRPr="007F7AB3" w:rsidR="00F31A99" w:rsidP="00F31A99" w:rsidRDefault="00F31A99" w14:paraId="78895B26" w14:textId="77777777">
      <w:pPr>
        <w:pStyle w:val="Textonotapie"/>
        <w:jc w:val="both"/>
        <w:rPr>
          <w:rFonts w:ascii="Arial" w:hAnsi="Arial" w:cs="Arial"/>
          <w:sz w:val="18"/>
          <w:szCs w:val="18"/>
        </w:rPr>
      </w:pPr>
    </w:p>
  </w:footnote>
  <w:footnote w:id="2">
    <w:p w:rsidR="000458B6" w:rsidP="009D3FB5" w:rsidRDefault="000458B6" w14:paraId="26943215" w14:textId="77777777">
      <w:pPr>
        <w:spacing w:line="276" w:lineRule="auto"/>
        <w:jc w:val="both"/>
      </w:pPr>
      <w:r w:rsidRPr="00D831C7">
        <w:rPr>
          <w:rStyle w:val="Caracteresdenotaalpie"/>
          <w:sz w:val="16"/>
          <w:szCs w:val="16"/>
        </w:rPr>
        <w:footnoteRef/>
      </w:r>
      <w:r>
        <w:t xml:space="preserve"> </w:t>
      </w:r>
      <w:r>
        <w:rPr>
          <w:sz w:val="16"/>
        </w:rPr>
        <w:t>Acorde con el modelo de sostenibilidad propuesto por la Dirección de Planificación mediante oficio 1981-PLA-2016 y aprobado por el Consejo Superior en sesión 107-16 del 29 de noviembre de 2016, artículo XLIX.</w:t>
      </w:r>
    </w:p>
    <w:p w:rsidR="000458B6" w:rsidP="009D3FB5" w:rsidRDefault="000458B6" w14:paraId="1E520654" w14:textId="77777777">
      <w:pPr>
        <w:pStyle w:val="Textonotapie"/>
      </w:pPr>
    </w:p>
  </w:footnote>
  <w:footnote w:id="3">
    <w:p w:rsidRPr="00D831C7" w:rsidR="000458B6" w:rsidP="009D3FB5" w:rsidRDefault="000458B6" w14:paraId="4BC98EEB" w14:textId="77777777">
      <w:pPr>
        <w:pStyle w:val="Textonotapie"/>
        <w:rPr>
          <w:sz w:val="18"/>
          <w:szCs w:val="18"/>
        </w:rPr>
      </w:pPr>
      <w:r>
        <w:rPr>
          <w:rStyle w:val="Refdenotaalpie"/>
        </w:rPr>
        <w:footnoteRef/>
      </w:r>
      <w:r>
        <w:t xml:space="preserve"> </w:t>
      </w:r>
      <w:r w:rsidRPr="00D831C7">
        <w:rPr>
          <w:sz w:val="18"/>
          <w:szCs w:val="18"/>
        </w:rPr>
        <w:t>Adscritas al Centro de Apoyo, Coordinación y Mejoramiento de la Función Jurisdiccional.</w:t>
      </w:r>
    </w:p>
  </w:footnote>
  <w:footnote w:id="4">
    <w:p w:rsidR="000458B6" w:rsidP="009D3FB5" w:rsidRDefault="000458B6" w14:paraId="0E7CB560" w14:textId="77777777">
      <w:pPr>
        <w:pStyle w:val="Textonotapie"/>
        <w:jc w:val="both"/>
      </w:pPr>
      <w:r w:rsidRPr="00D831C7">
        <w:rPr>
          <w:rStyle w:val="Caracteresdenotaalpie"/>
          <w:sz w:val="18"/>
          <w:szCs w:val="18"/>
        </w:rPr>
        <w:footnoteRef/>
      </w:r>
      <w:r w:rsidRPr="00D831C7">
        <w:rPr>
          <w:rStyle w:val="Caracteresdenotaalpie"/>
          <w:sz w:val="18"/>
          <w:szCs w:val="18"/>
        </w:rPr>
        <w:t xml:space="preserve"> </w:t>
      </w:r>
      <w:r w:rsidRPr="00D831C7">
        <w:rPr>
          <w:sz w:val="18"/>
          <w:szCs w:val="18"/>
        </w:rPr>
        <w:t>Requirió de la conversión de dos plazas de Técnica o Técnico Judicial 2, a la categoría de Jueza o Juez 3, estos técnicos son los que apoyaban de manera itinerante y los restantes dos se convirtieron para satisfacer nuevas necesidades de la Jurisdicción Laboral, sean un Profesional en Derecho 3B en la Sala Segunda y una Jueza o Juez 3 en el Juzgado de Trabajo del Segundo Circuito Judicial de Alajuela.</w:t>
      </w:r>
    </w:p>
  </w:footnote>
  <w:footnote w:id="5">
    <w:p w:rsidRPr="00CF56C9" w:rsidR="000458B6" w:rsidP="009D3FB5" w:rsidRDefault="000458B6" w14:paraId="6146DBD8" w14:textId="77777777">
      <w:pPr>
        <w:pStyle w:val="Textonotapie"/>
        <w:rPr>
          <w:sz w:val="18"/>
          <w:szCs w:val="18"/>
        </w:rPr>
      </w:pPr>
      <w:r w:rsidRPr="00CF56C9">
        <w:rPr>
          <w:rStyle w:val="Refdenotaalpie"/>
          <w:sz w:val="18"/>
          <w:szCs w:val="18"/>
        </w:rPr>
        <w:footnoteRef/>
      </w:r>
      <w:r w:rsidRPr="00CF56C9">
        <w:rPr>
          <w:sz w:val="18"/>
          <w:szCs w:val="18"/>
        </w:rPr>
        <w:t xml:space="preserve"> Adscritas al CACMFJ.</w:t>
      </w:r>
    </w:p>
  </w:footnote>
  <w:footnote w:id="6">
    <w:p w:rsidR="000458B6" w:rsidP="009D3FB5" w:rsidRDefault="000458B6" w14:paraId="766CE19B" w14:textId="77777777">
      <w:pPr>
        <w:pStyle w:val="Textonotapie"/>
      </w:pPr>
      <w:r w:rsidRPr="00CF56C9">
        <w:rPr>
          <w:rStyle w:val="Refdenotaalpie"/>
          <w:sz w:val="18"/>
          <w:szCs w:val="18"/>
        </w:rPr>
        <w:footnoteRef/>
      </w:r>
      <w:r w:rsidRPr="00CF56C9">
        <w:rPr>
          <w:sz w:val="18"/>
          <w:szCs w:val="18"/>
        </w:rPr>
        <w:t xml:space="preserve"> Los datos de 2020 no se pueden contemplar para la toma de decisiones dado lo atípico de ese año.</w:t>
      </w:r>
    </w:p>
  </w:footnote>
  <w:footnote w:id="7">
    <w:p w:rsidR="000458B6" w:rsidP="009D3FB5" w:rsidRDefault="000458B6" w14:paraId="4A17E5FA" w14:textId="77777777">
      <w:pPr>
        <w:pStyle w:val="Textonotapie"/>
      </w:pPr>
      <w:r>
        <w:rPr>
          <w:rStyle w:val="Refdenotaalpie"/>
        </w:rPr>
        <w:footnoteRef/>
      </w:r>
      <w:r>
        <w:t xml:space="preserve"> Para los efectos se analizó la entrada que constituye la variable que refleja fielmente el volumen de trabajo acarreado por la oficina en determinado período.</w:t>
      </w:r>
    </w:p>
  </w:footnote>
  <w:footnote w:id="8">
    <w:p w:rsidR="000458B6" w:rsidP="009D3FB5" w:rsidRDefault="000458B6" w14:paraId="11DE8C9A" w14:textId="77777777">
      <w:pPr>
        <w:pStyle w:val="Textonotapie"/>
      </w:pPr>
      <w:r w:rsidRPr="00CF05DB">
        <w:rPr>
          <w:rStyle w:val="Refdenotaalpie"/>
          <w:sz w:val="16"/>
          <w:szCs w:val="16"/>
        </w:rPr>
        <w:footnoteRef/>
      </w:r>
      <w:r w:rsidRPr="00CF05DB">
        <w:rPr>
          <w:sz w:val="16"/>
          <w:szCs w:val="16"/>
        </w:rPr>
        <w:t xml:space="preserve"> Adscritas al Centro de Apoyo, Coordinación y Mejoramiento de la Función Jurisdiccional.</w:t>
      </w:r>
    </w:p>
  </w:footnote>
  <w:footnote w:id="9">
    <w:p w:rsidR="000458B6" w:rsidP="009D3FB5" w:rsidRDefault="000458B6" w14:paraId="21C4AF30" w14:textId="77777777">
      <w:pPr>
        <w:pStyle w:val="Textonotapie"/>
      </w:pPr>
      <w:r>
        <w:rPr>
          <w:rStyle w:val="Refdenotaalpie"/>
        </w:rPr>
        <w:footnoteRef/>
      </w:r>
      <w:r>
        <w:t xml:space="preserve"> </w:t>
      </w:r>
      <w:r w:rsidRPr="00D6370D">
        <w:rPr>
          <w:sz w:val="16"/>
          <w:szCs w:val="16"/>
        </w:rPr>
        <w:t>Información suministrada por el propio despacho.</w:t>
      </w:r>
    </w:p>
  </w:footnote>
  <w:footnote w:id="10">
    <w:p w:rsidR="000458B6" w:rsidP="009D3FB5" w:rsidRDefault="000458B6" w14:paraId="1181839B" w14:textId="77777777">
      <w:pPr>
        <w:pStyle w:val="Textonotapie"/>
      </w:pPr>
      <w:r>
        <w:rPr>
          <w:rStyle w:val="Refdenotaalpie"/>
        </w:rPr>
        <w:footnoteRef/>
      </w:r>
      <w:r>
        <w:t xml:space="preserve"> S</w:t>
      </w:r>
      <w:r w:rsidRPr="00D90461">
        <w:t>egún información facilitada por el licenciado Erick Monge Sandí, Secretario de la Sala Primera.</w:t>
      </w:r>
    </w:p>
  </w:footnote>
  <w:footnote w:id="11">
    <w:p w:rsidR="000458B6" w:rsidP="009D3FB5" w:rsidRDefault="000458B6" w14:paraId="30A28982" w14:textId="77777777">
      <w:pPr>
        <w:pStyle w:val="Textonotapie"/>
      </w:pPr>
      <w:r>
        <w:rPr>
          <w:rStyle w:val="Refdenotaalpie"/>
        </w:rPr>
        <w:footnoteRef/>
      </w:r>
      <w:r>
        <w:t xml:space="preserve"> S</w:t>
      </w:r>
      <w:r w:rsidRPr="00D90461">
        <w:t>egún información facilitada por el licenciado Erick Monge Sandí, Secretario de la Sala Primera.</w:t>
      </w:r>
    </w:p>
  </w:footnote>
  <w:footnote w:id="12">
    <w:p w:rsidR="000458B6" w:rsidP="009D3FB5" w:rsidRDefault="000458B6" w14:paraId="6681FC8B" w14:textId="77777777">
      <w:pPr>
        <w:pStyle w:val="Textonotapie"/>
      </w:pPr>
      <w:r>
        <w:rPr>
          <w:rStyle w:val="Refdenotaalpie"/>
        </w:rPr>
        <w:footnoteRef/>
      </w:r>
      <w:r>
        <w:t xml:space="preserve"> Fuente Sigma.</w:t>
      </w:r>
    </w:p>
  </w:footnote>
  <w:footnote w:id="13">
    <w:p w:rsidRPr="004930CB" w:rsidR="000458B6" w:rsidP="009D3FB5" w:rsidRDefault="000458B6" w14:paraId="23C242CE" w14:textId="77777777">
      <w:pPr>
        <w:widowControl w:val="0"/>
        <w:jc w:val="both"/>
        <w:rPr>
          <w:rFonts w:ascii="Book Antiqua" w:hAnsi="Book Antiqua" w:cs="Arial"/>
          <w:sz w:val="18"/>
          <w:szCs w:val="16"/>
          <w:lang w:val="es-ES" w:eastAsia="zh-CN"/>
        </w:rPr>
      </w:pPr>
      <w:r>
        <w:rPr>
          <w:rStyle w:val="Refdenotaalpie"/>
        </w:rPr>
        <w:footnoteRef/>
      </w:r>
      <w:r>
        <w:t xml:space="preserve"> </w:t>
      </w:r>
      <w:r>
        <w:rPr>
          <w:rFonts w:ascii="Book Antiqua" w:hAnsi="Book Antiqua" w:cs="Arial"/>
          <w:sz w:val="18"/>
          <w:szCs w:val="16"/>
          <w:lang w:val="es-ES" w:eastAsia="zh-CN"/>
        </w:rPr>
        <w:t>El</w:t>
      </w:r>
      <w:r w:rsidRPr="00182E95">
        <w:rPr>
          <w:rFonts w:ascii="Book Antiqua" w:hAnsi="Book Antiqua" w:cs="Arial"/>
          <w:sz w:val="18"/>
          <w:szCs w:val="16"/>
          <w:lang w:val="es-ES" w:eastAsia="zh-CN"/>
        </w:rPr>
        <w:t xml:space="preserve"> Consejo Superior en sesión 08-2021 celebrada el 28 de enero del 2021, artículo XLVIII, </w:t>
      </w:r>
      <w:r>
        <w:rPr>
          <w:rFonts w:ascii="Book Antiqua" w:hAnsi="Book Antiqua" w:cs="Arial"/>
          <w:sz w:val="18"/>
          <w:szCs w:val="16"/>
          <w:lang w:val="es-ES" w:eastAsia="zh-CN"/>
        </w:rPr>
        <w:t xml:space="preserve">acogió el </w:t>
      </w:r>
      <w:r w:rsidRPr="00182E95">
        <w:rPr>
          <w:rFonts w:ascii="Book Antiqua" w:hAnsi="Book Antiqua" w:cs="Arial"/>
          <w:sz w:val="18"/>
          <w:szCs w:val="16"/>
          <w:lang w:val="es-ES" w:eastAsia="zh-CN"/>
        </w:rPr>
        <w:t xml:space="preserve">Plan de Implantación de la </w:t>
      </w:r>
      <w:r>
        <w:rPr>
          <w:rFonts w:ascii="Book Antiqua" w:hAnsi="Book Antiqua" w:cs="Arial"/>
          <w:sz w:val="18"/>
          <w:szCs w:val="16"/>
          <w:lang w:val="es-ES" w:eastAsia="zh-CN"/>
        </w:rPr>
        <w:t>p</w:t>
      </w:r>
      <w:r w:rsidRPr="00182E95">
        <w:rPr>
          <w:rFonts w:ascii="Book Antiqua" w:hAnsi="Book Antiqua" w:cs="Arial"/>
          <w:sz w:val="18"/>
          <w:szCs w:val="16"/>
          <w:lang w:val="es-ES" w:eastAsia="zh-CN"/>
        </w:rPr>
        <w:t>rimera fase del Sistema Integrado de Apoyo a la Gestión de Procesos</w:t>
      </w:r>
      <w:r>
        <w:rPr>
          <w:rFonts w:ascii="Book Antiqua" w:hAnsi="Book Antiqua" w:cs="Arial"/>
          <w:sz w:val="18"/>
          <w:szCs w:val="16"/>
          <w:lang w:val="es-ES" w:eastAsia="zh-CN"/>
        </w:rPr>
        <w:t xml:space="preserve"> </w:t>
      </w:r>
      <w:r w:rsidRPr="00182E95">
        <w:rPr>
          <w:rFonts w:ascii="Book Antiqua" w:hAnsi="Book Antiqua" w:cs="Arial"/>
          <w:sz w:val="18"/>
          <w:szCs w:val="16"/>
          <w:lang w:val="es-ES" w:eastAsia="zh-CN"/>
        </w:rPr>
        <w:t>Judiciales (SIAGPJ)</w:t>
      </w:r>
      <w:r>
        <w:rPr>
          <w:rFonts w:ascii="Book Antiqua" w:hAnsi="Book Antiqua" w:cs="Arial"/>
          <w:sz w:val="18"/>
          <w:szCs w:val="16"/>
          <w:lang w:val="es-ES" w:eastAsia="zh-CN"/>
        </w:rPr>
        <w:t>.</w:t>
      </w:r>
    </w:p>
  </w:footnote>
  <w:footnote w:id="14">
    <w:p w:rsidRPr="00CF10A0" w:rsidR="000458B6" w:rsidP="009D3FB5" w:rsidRDefault="000458B6" w14:paraId="6E89984C" w14:textId="77777777">
      <w:pPr>
        <w:pStyle w:val="Textonotapie"/>
        <w:rPr>
          <w:rFonts w:ascii="Book Antiqua" w:hAnsi="Book Antiqua"/>
          <w:sz w:val="18"/>
          <w:szCs w:val="18"/>
        </w:rPr>
      </w:pPr>
      <w:r>
        <w:rPr>
          <w:rStyle w:val="Refdenotaalpie"/>
        </w:rPr>
        <w:footnoteRef/>
      </w:r>
      <w:r>
        <w:t xml:space="preserve"> </w:t>
      </w:r>
      <w:r w:rsidRPr="005A3DA0">
        <w:rPr>
          <w:rFonts w:ascii="Book Antiqua" w:hAnsi="Book Antiqua"/>
          <w:sz w:val="18"/>
          <w:szCs w:val="18"/>
        </w:rPr>
        <w:t xml:space="preserve">Se proyecta </w:t>
      </w:r>
      <w:r>
        <w:rPr>
          <w:rFonts w:ascii="Book Antiqua" w:hAnsi="Book Antiqua"/>
          <w:sz w:val="18"/>
          <w:szCs w:val="18"/>
        </w:rPr>
        <w:t xml:space="preserve">hacer </w:t>
      </w:r>
      <w:r w:rsidRPr="00173B6C">
        <w:rPr>
          <w:rFonts w:ascii="Book Antiqua" w:hAnsi="Book Antiqua"/>
          <w:sz w:val="18"/>
          <w:szCs w:val="18"/>
        </w:rPr>
        <w:t xml:space="preserve">la solicitud </w:t>
      </w:r>
      <w:r>
        <w:rPr>
          <w:rFonts w:ascii="Book Antiqua" w:hAnsi="Book Antiqua"/>
          <w:sz w:val="18"/>
          <w:szCs w:val="18"/>
        </w:rPr>
        <w:t xml:space="preserve">hacia </w:t>
      </w:r>
      <w:r w:rsidRPr="00173B6C">
        <w:rPr>
          <w:rFonts w:ascii="Book Antiqua" w:hAnsi="Book Antiqua"/>
          <w:sz w:val="18"/>
          <w:szCs w:val="18"/>
        </w:rPr>
        <w:t xml:space="preserve">la Dirección de Planificación </w:t>
      </w:r>
      <w:r>
        <w:rPr>
          <w:rFonts w:ascii="Book Antiqua" w:hAnsi="Book Antiqua"/>
          <w:sz w:val="18"/>
          <w:szCs w:val="18"/>
        </w:rPr>
        <w:t>para realizar</w:t>
      </w:r>
      <w:r w:rsidRPr="00173B6C">
        <w:rPr>
          <w:rFonts w:ascii="Book Antiqua" w:hAnsi="Book Antiqua"/>
          <w:sz w:val="18"/>
          <w:szCs w:val="18"/>
        </w:rPr>
        <w:t xml:space="preserve"> los estudios pertinentes</w:t>
      </w:r>
      <w:r>
        <w:rPr>
          <w:rFonts w:ascii="Book Antiqua" w:hAnsi="Book Antiqua"/>
          <w:sz w:val="18"/>
          <w:szCs w:val="18"/>
        </w:rPr>
        <w:t xml:space="preserve"> y elaborar los Modelos de Tramitación en otras materias.</w:t>
      </w:r>
      <w:r w:rsidRPr="00173B6C">
        <w:rPr>
          <w:rFonts w:ascii="Book Antiqua" w:hAnsi="Book Antiqua"/>
          <w:sz w:val="18"/>
          <w:szCs w:val="18"/>
        </w:rPr>
        <w:t xml:space="preserve"> </w:t>
      </w:r>
    </w:p>
  </w:footnote>
  <w:footnote w:id="15">
    <w:p w:rsidRPr="00F46E4E" w:rsidR="000458B6" w:rsidP="009D3FB5" w:rsidRDefault="000458B6" w14:paraId="2FA4960B" w14:textId="77777777">
      <w:pPr>
        <w:pStyle w:val="Textonotapie"/>
        <w:rPr>
          <w:rFonts w:ascii="Book Antiqua" w:hAnsi="Book Antiqua"/>
          <w:sz w:val="18"/>
          <w:szCs w:val="18"/>
        </w:rPr>
      </w:pPr>
      <w:r w:rsidRPr="00F46E4E">
        <w:rPr>
          <w:rStyle w:val="Refdenotaalpie"/>
          <w:rFonts w:ascii="Book Antiqua" w:hAnsi="Book Antiqua"/>
          <w:sz w:val="18"/>
          <w:szCs w:val="18"/>
        </w:rPr>
        <w:footnoteRef/>
      </w:r>
      <w:r w:rsidRPr="00F46E4E">
        <w:rPr>
          <w:rFonts w:ascii="Book Antiqua" w:hAnsi="Book Antiqua"/>
          <w:sz w:val="18"/>
          <w:szCs w:val="18"/>
        </w:rPr>
        <w:t xml:space="preserve"> </w:t>
      </w:r>
      <w:r>
        <w:rPr>
          <w:rFonts w:ascii="Book Antiqua" w:hAnsi="Book Antiqua"/>
          <w:sz w:val="18"/>
          <w:szCs w:val="18"/>
        </w:rPr>
        <w:t>Además, m</w:t>
      </w:r>
      <w:r w:rsidRPr="00F46E4E">
        <w:rPr>
          <w:rFonts w:ascii="Book Antiqua" w:hAnsi="Book Antiqua"/>
          <w:sz w:val="18"/>
          <w:szCs w:val="18"/>
        </w:rPr>
        <w:t>ediante el informe 217-PLA-2020 de la Dirección de Planificación se planteó propuestas de mejora en la aplicación del Modelo de Sostenibilidad, cuya aprobación se dio en la 16-20, artículo LXXIII.</w:t>
      </w:r>
    </w:p>
  </w:footnote>
  <w:footnote w:id="16">
    <w:p w:rsidRPr="00982DA9" w:rsidR="000458B6" w:rsidP="009D3FB5" w:rsidRDefault="000458B6" w14:paraId="581CF657" w14:textId="77777777">
      <w:pPr>
        <w:pStyle w:val="Textonotapie"/>
        <w:rPr>
          <w:lang w:val="es-MX"/>
        </w:rPr>
      </w:pPr>
      <w:r>
        <w:rPr>
          <w:rStyle w:val="Refdenotaalpie"/>
        </w:rPr>
        <w:footnoteRef/>
      </w:r>
      <w:r>
        <w:t xml:space="preserve"> </w:t>
      </w:r>
      <w:r>
        <w:rPr>
          <w:lang w:val="es-MX"/>
        </w:rPr>
        <w:t xml:space="preserve">Adicionalmente hay un análisis de la necesidad de recurso por la Ley 9593 (población indígena). </w:t>
      </w:r>
    </w:p>
  </w:footnote>
  <w:footnote w:id="17">
    <w:p w:rsidRPr="00BB62AD" w:rsidR="000458B6" w:rsidP="009D3FB5" w:rsidRDefault="000458B6" w14:paraId="6A235958" w14:textId="3B044113">
      <w:pPr>
        <w:pStyle w:val="Textonotapie"/>
        <w:jc w:val="both"/>
      </w:pPr>
      <w:r w:rsidRPr="00EA26F8">
        <w:rPr>
          <w:rStyle w:val="Refdenotaalpie"/>
        </w:rPr>
        <w:footnoteRef/>
      </w:r>
      <w:r w:rsidRPr="00EB345C">
        <w:t xml:space="preserve"> </w:t>
      </w:r>
      <w:r w:rsidRPr="003C01DF">
        <w:rPr>
          <w:lang w:val="es-MX"/>
        </w:rPr>
        <w:t>Respecto al criterio técnico que recomendó 33 plazas, se remonta al informe de la Dirección de Planificación 34-PLA-EV-2017, en donde se co</w:t>
      </w:r>
      <w:r w:rsidRPr="00A32E9A">
        <w:rPr>
          <w:lang w:val="es-MX"/>
        </w:rPr>
        <w:t xml:space="preserve">nsideró el servicio para la parte actora </w:t>
      </w:r>
      <w:r w:rsidRPr="00EA26F8">
        <w:rPr>
          <w:lang w:val="es-MX"/>
        </w:rPr>
        <w:t>conforme al proyecto de ley del expediente 19455 que estaba en la Asamblea Legislativa pendiente de ser convocado por el Poder Ejecutivo para su respectiva discusión y aprobación</w:t>
      </w:r>
      <w:r>
        <w:rPr>
          <w:lang w:val="es-MX"/>
        </w:rPr>
        <w:t>.</w:t>
      </w:r>
      <w:r w:rsidR="00BB7720">
        <w:rPr>
          <w:lang w:val="es-MX"/>
        </w:rPr>
        <w:t xml:space="preserve"> </w:t>
      </w:r>
    </w:p>
  </w:footnote>
  <w:footnote w:id="18">
    <w:p w:rsidRPr="00073FC4" w:rsidR="000458B6" w:rsidP="009D3FB5" w:rsidRDefault="000458B6" w14:paraId="69277AD4" w14:textId="77777777">
      <w:pPr>
        <w:pStyle w:val="Textonotapie"/>
        <w:jc w:val="both"/>
      </w:pPr>
      <w:r>
        <w:rPr>
          <w:rStyle w:val="Refdenotaalpie"/>
        </w:rPr>
        <w:footnoteRef/>
      </w:r>
      <w:r>
        <w:t xml:space="preserve"> En consulta efectuada a la Secretaria de Comisiones, la señora Sandra Aguero Monge, el 10 de febrero 2021 informa que “</w:t>
      </w:r>
      <w:r w:rsidRPr="00982DA9">
        <w:rPr>
          <w:i/>
          <w:iCs/>
        </w:rPr>
        <w:t>Este tema se recibió y está en agenda de próxima sesión, fecha por definir.”</w:t>
      </w:r>
    </w:p>
  </w:footnote>
  <w:footnote w:id="19">
    <w:p w:rsidRPr="00A2252A" w:rsidR="000458B6" w:rsidP="009D3FB5" w:rsidRDefault="000458B6" w14:paraId="2AA00C81" w14:textId="77777777">
      <w:pPr>
        <w:pStyle w:val="Textonotapie"/>
        <w:rPr>
          <w:i/>
          <w:iCs/>
        </w:rPr>
      </w:pPr>
      <w:r>
        <w:rPr>
          <w:rStyle w:val="Refdenotaalpie"/>
        </w:rPr>
        <w:footnoteRef/>
      </w:r>
      <w:r>
        <w:t xml:space="preserve"> </w:t>
      </w:r>
      <w:r w:rsidRPr="00223DF3">
        <w:rPr>
          <w:i/>
          <w:iCs/>
          <w:sz w:val="18"/>
          <w:szCs w:val="18"/>
        </w:rPr>
        <w:t xml:space="preserve">En </w:t>
      </w:r>
      <w:r w:rsidRPr="00223DF3">
        <w:rPr>
          <w:rFonts w:cs="Arial"/>
          <w:i/>
          <w:iCs/>
          <w:sz w:val="18"/>
          <w:szCs w:val="18"/>
          <w:lang w:eastAsia="zh-CN"/>
        </w:rPr>
        <w:t>sesión extraordinaria 47-19 (Presupuesto 2020), celebrada el 23 de mayo del año 2020, “artículo VIII, informe 102-</w:t>
      </w:r>
      <w:r w:rsidRPr="00223DF3">
        <w:rPr>
          <w:rFonts w:cs="Arial"/>
          <w:i/>
          <w:iCs/>
          <w:sz w:val="18"/>
          <w:szCs w:val="18"/>
          <w:lang w:eastAsia="zh-CN"/>
        </w:rPr>
        <w:softHyphen/>
        <w:t>CSP-19, se conoce el consolidado de las plazas aprobadas para el 2020 por el Consejo Superior, donde las plazas extraordinarias de Defensora o Defensor Público se trasladan a plazas Ordinarias</w:t>
      </w:r>
    </w:p>
  </w:footnote>
  <w:footnote w:id="20">
    <w:p w:rsidRPr="007B58DD" w:rsidR="000458B6" w:rsidP="009D3FB5" w:rsidRDefault="000458B6" w14:paraId="590C8382" w14:textId="77777777">
      <w:pPr>
        <w:spacing w:line="235" w:lineRule="auto"/>
        <w:ind w:right="261"/>
        <w:rPr>
          <w:bCs/>
          <w:i/>
          <w:sz w:val="18"/>
        </w:rPr>
      </w:pPr>
      <w:r>
        <w:rPr>
          <w:rStyle w:val="Refdenotaalpie"/>
        </w:rPr>
        <w:footnoteRef/>
      </w:r>
      <w:r>
        <w:t xml:space="preserve"> </w:t>
      </w:r>
      <w:r w:rsidRPr="007B58DD">
        <w:rPr>
          <w:bCs/>
          <w:i/>
          <w:sz w:val="18"/>
        </w:rPr>
        <w:t>En caso de que una de las personas usuarias sea indígena</w:t>
      </w:r>
      <w:r>
        <w:rPr>
          <w:bCs/>
          <w:i/>
          <w:sz w:val="18"/>
        </w:rPr>
        <w:t>, l</w:t>
      </w:r>
      <w:r w:rsidRPr="00BF4348">
        <w:rPr>
          <w:bCs/>
          <w:i/>
          <w:sz w:val="18"/>
        </w:rPr>
        <w:t xml:space="preserve">os </w:t>
      </w:r>
      <w:r>
        <w:rPr>
          <w:bCs/>
          <w:i/>
          <w:sz w:val="18"/>
        </w:rPr>
        <w:t>D</w:t>
      </w:r>
      <w:r w:rsidRPr="00BF4348">
        <w:rPr>
          <w:bCs/>
          <w:i/>
          <w:sz w:val="18"/>
        </w:rPr>
        <w:t>efensores</w:t>
      </w:r>
      <w:r>
        <w:rPr>
          <w:bCs/>
          <w:i/>
          <w:sz w:val="18"/>
        </w:rPr>
        <w:t xml:space="preserve"> Públicos</w:t>
      </w:r>
      <w:r w:rsidRPr="00BF4348">
        <w:rPr>
          <w:bCs/>
          <w:i/>
          <w:sz w:val="18"/>
        </w:rPr>
        <w:t xml:space="preserve"> </w:t>
      </w:r>
      <w:r>
        <w:rPr>
          <w:bCs/>
          <w:i/>
          <w:sz w:val="18"/>
        </w:rPr>
        <w:t>A</w:t>
      </w:r>
      <w:r w:rsidRPr="00BF4348">
        <w:rPr>
          <w:bCs/>
          <w:i/>
          <w:sz w:val="18"/>
        </w:rPr>
        <w:t>grarios puede</w:t>
      </w:r>
      <w:r>
        <w:rPr>
          <w:bCs/>
          <w:i/>
          <w:sz w:val="18"/>
        </w:rPr>
        <w:t>n desplazarse</w:t>
      </w:r>
      <w:r w:rsidRPr="00BF4348">
        <w:rPr>
          <w:bCs/>
          <w:i/>
          <w:sz w:val="18"/>
        </w:rPr>
        <w:t xml:space="preserve"> a nivel nacional según</w:t>
      </w:r>
      <w:r>
        <w:rPr>
          <w:bCs/>
          <w:i/>
          <w:sz w:val="18"/>
        </w:rPr>
        <w:t xml:space="preserve"> </w:t>
      </w:r>
      <w:r w:rsidRPr="00BF4348">
        <w:rPr>
          <w:bCs/>
          <w:i/>
          <w:sz w:val="18"/>
        </w:rPr>
        <w:t>sea la necesidad institucional</w:t>
      </w:r>
    </w:p>
    <w:p w:rsidRPr="00A34CEF" w:rsidR="000458B6" w:rsidP="009D3FB5" w:rsidRDefault="000458B6" w14:paraId="501DF97A" w14:textId="77777777">
      <w:pPr>
        <w:pStyle w:val="Textonotapie"/>
      </w:pPr>
    </w:p>
  </w:footnote>
  <w:footnote w:id="21">
    <w:p w:rsidRPr="00921A27" w:rsidR="000458B6" w:rsidP="009D3FB5" w:rsidRDefault="000458B6" w14:paraId="28F8A2B3" w14:textId="77777777">
      <w:pPr>
        <w:pStyle w:val="Textonotapie"/>
        <w:rPr>
          <w:lang w:val="es-MX"/>
        </w:rPr>
      </w:pPr>
      <w:r>
        <w:rPr>
          <w:rStyle w:val="Refdenotaalpie"/>
        </w:rPr>
        <w:footnoteRef/>
      </w:r>
      <w:r>
        <w:t xml:space="preserve"> </w:t>
      </w:r>
      <w:r w:rsidRPr="00921A27">
        <w:rPr>
          <w:sz w:val="18"/>
          <w:szCs w:val="16"/>
        </w:rPr>
        <w:t>Acuerdos del Consejo Superior en sesión de Presupuesto 38-19, del dos de mayo del 2019, artículo I y sesión 47-19 del veintitrés de mayo del 2019, artículo III. Conocido y aprobado por Corte Plena en sesión de presupuesto 22-19 del 6 de junio 2019.</w:t>
      </w:r>
    </w:p>
  </w:footnote>
  <w:footnote w:id="22">
    <w:p w:rsidRPr="00D00E25" w:rsidR="000458B6" w:rsidP="009D3FB5" w:rsidRDefault="000458B6" w14:paraId="65867DA6" w14:textId="3ED08FDC">
      <w:pPr>
        <w:pStyle w:val="Textonotapie"/>
        <w:rPr>
          <w:lang w:val="es-MX"/>
        </w:rPr>
      </w:pPr>
      <w:r w:rsidRPr="00D00E25">
        <w:rPr>
          <w:rStyle w:val="Refdenotaalpie"/>
          <w:sz w:val="18"/>
          <w:szCs w:val="18"/>
        </w:rPr>
        <w:footnoteRef/>
      </w:r>
      <w:r w:rsidRPr="00D00E25">
        <w:rPr>
          <w:sz w:val="18"/>
          <w:szCs w:val="18"/>
        </w:rPr>
        <w:t xml:space="preserve"> </w:t>
      </w:r>
      <w:r w:rsidRPr="00D00E25">
        <w:rPr>
          <w:b/>
          <w:bCs/>
          <w:sz w:val="18"/>
          <w:szCs w:val="18"/>
          <w:lang w:val="es-MX"/>
        </w:rPr>
        <w:t>Simbología:</w:t>
      </w:r>
      <w:r w:rsidRPr="00D00E25">
        <w:rPr>
          <w:sz w:val="18"/>
          <w:szCs w:val="18"/>
          <w:lang w:val="es-MX"/>
        </w:rPr>
        <w:t xml:space="preserve"> Léase con código de colores los Circuitos Judiciales en los que se cuenta con atención de Justicia Restaurativa en cualquiera de las materias. En columnas se muestra el código de las plazas y las cantidades asignadas. Adicionalmente, entiéndase que, las celdas que cuentan con código de color pero no con numeración implica la atención por parte de la plaza asignada al circuito, de acuerdo a la materia en la que han sido marcada.</w:t>
      </w:r>
      <w:r w:rsidR="00BB7720">
        <w:rPr>
          <w:sz w:val="18"/>
          <w:szCs w:val="18"/>
          <w:lang w:val="es-MX"/>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p w:rsidR="00F31A99" w:rsidRDefault="00F31A99" w14:paraId="487AAFEC" w14:textId="77777777">
    <w:pPr>
      <w:spacing w:line="259" w:lineRule="auto"/>
      <w:ind w:left="51"/>
      <w:jc w:val="center"/>
    </w:pPr>
    <w:r>
      <w:rPr>
        <w:noProof/>
        <w:lang w:val="en-US"/>
      </w:rPr>
      <w:drawing>
        <wp:anchor distT="0" distB="0" distL="114300" distR="114300" simplePos="0" relativeHeight="251662336" behindDoc="0" locked="0" layoutInCell="1" allowOverlap="0" wp14:anchorId="3961D083" wp14:editId="7889111F">
          <wp:simplePos x="0" y="0"/>
          <wp:positionH relativeFrom="page">
            <wp:posOffset>3619500</wp:posOffset>
          </wp:positionH>
          <wp:positionV relativeFrom="page">
            <wp:posOffset>449580</wp:posOffset>
          </wp:positionV>
          <wp:extent cx="533400" cy="601980"/>
          <wp:effectExtent l="0" t="0" r="0" b="0"/>
          <wp:wrapSquare wrapText="bothSides"/>
          <wp:docPr id="23" name="Pictu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
                  <a:stretch>
                    <a:fillRect/>
                  </a:stretch>
                </pic:blipFill>
                <pic:spPr>
                  <a:xfrm>
                    <a:off x="0" y="0"/>
                    <a:ext cx="533400" cy="601980"/>
                  </a:xfrm>
                  <a:prstGeom prst="rect">
                    <a:avLst/>
                  </a:prstGeom>
                </pic:spPr>
              </pic:pic>
            </a:graphicData>
          </a:graphic>
        </wp:anchor>
      </w:drawing>
    </w:r>
    <w:r>
      <w:rPr>
        <w:sz w:val="20"/>
      </w:rPr>
      <w:t xml:space="preserve"> </w:t>
    </w:r>
  </w:p>
  <w:p w:rsidR="00F31A99" w:rsidRDefault="00F31A99" w14:paraId="25BBD8F6" w14:textId="77777777">
    <w:pPr>
      <w:spacing w:line="259" w:lineRule="auto"/>
      <w:ind w:right="2"/>
      <w:jc w:val="center"/>
    </w:pPr>
    <w:r>
      <w:rPr>
        <w:b/>
        <w:sz w:val="24"/>
      </w:rPr>
      <w:t xml:space="preserve"> PODER JUDICIAL DIRECCION EJECUTIVA </w:t>
    </w:r>
  </w:p>
  <w:p w:rsidR="00F31A99" w:rsidRDefault="00F31A99" w14:paraId="327F223F" w14:textId="77777777">
    <w:pPr>
      <w:spacing w:line="259" w:lineRule="auto"/>
    </w:pPr>
    <w:r>
      <w:rPr>
        <w:sz w:val="18"/>
      </w:rPr>
      <w:t xml:space="preserve">Tel. 2295-4322 San José </w:t>
    </w:r>
  </w:p>
  <w:p w:rsidR="00F31A99" w:rsidRDefault="00F31A99" w14:paraId="52518C4C" w14:textId="77777777">
    <w:pPr>
      <w:spacing w:line="259" w:lineRule="auto"/>
    </w:pPr>
    <w:r>
      <w:rPr>
        <w:sz w:val="18"/>
        <w:u w:val="single"/>
      </w:rPr>
      <w:t xml:space="preserve">Fax 2233-8438 </w:t>
    </w:r>
    <w:r>
      <w:rPr>
        <w:color w:val="0000FF"/>
        <w:sz w:val="18"/>
        <w:u w:val="single" w:color="0000FF"/>
      </w:rPr>
      <w:t>direc_ejecutiva@poder-judicial.go.cr</w:t>
    </w:r>
    <w:r>
      <w:rPr>
        <w:sz w:val="18"/>
        <w:u w:val="single"/>
      </w:rPr>
      <w:t xml:space="preserve"> Costa Rica</w:t>
    </w:r>
    <w:r>
      <w:rPr>
        <w:sz w:val="18"/>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31A99" w:rsidRDefault="00F31A99" w14:paraId="59A75C8E" w14:textId="77777777">
    <w:pPr>
      <w:spacing w:line="259" w:lineRule="auto"/>
      <w:ind w:left="51"/>
      <w:jc w:val="center"/>
    </w:pPr>
    <w:r>
      <w:rPr>
        <w:sz w:val="2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p w:rsidR="00F31A99" w:rsidRDefault="00F31A99" w14:paraId="21B05E42" w14:textId="77777777">
    <w:pPr>
      <w:spacing w:line="259" w:lineRule="auto"/>
      <w:ind w:left="51"/>
      <w:jc w:val="center"/>
    </w:pPr>
    <w:r>
      <w:rPr>
        <w:noProof/>
        <w:lang w:val="en-US"/>
      </w:rPr>
      <w:drawing>
        <wp:anchor distT="0" distB="0" distL="114300" distR="114300" simplePos="0" relativeHeight="251663360" behindDoc="0" locked="0" layoutInCell="1" allowOverlap="0" wp14:anchorId="3D62C2CE" wp14:editId="10D82C16">
          <wp:simplePos x="0" y="0"/>
          <wp:positionH relativeFrom="page">
            <wp:posOffset>3619500</wp:posOffset>
          </wp:positionH>
          <wp:positionV relativeFrom="page">
            <wp:posOffset>449580</wp:posOffset>
          </wp:positionV>
          <wp:extent cx="533400" cy="601980"/>
          <wp:effectExtent l="0" t="0" r="0" b="0"/>
          <wp:wrapSquare wrapText="bothSides"/>
          <wp:docPr id="57" name="Pictu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
                  <a:stretch>
                    <a:fillRect/>
                  </a:stretch>
                </pic:blipFill>
                <pic:spPr>
                  <a:xfrm>
                    <a:off x="0" y="0"/>
                    <a:ext cx="533400" cy="601980"/>
                  </a:xfrm>
                  <a:prstGeom prst="rect">
                    <a:avLst/>
                  </a:prstGeom>
                </pic:spPr>
              </pic:pic>
            </a:graphicData>
          </a:graphic>
        </wp:anchor>
      </w:drawing>
    </w:r>
    <w:r>
      <w:rPr>
        <w:sz w:val="20"/>
      </w:rPr>
      <w:t xml:space="preserve"> </w:t>
    </w:r>
  </w:p>
  <w:p w:rsidR="00F31A99" w:rsidRDefault="00F31A99" w14:paraId="061CD9B4" w14:textId="77777777">
    <w:pPr>
      <w:spacing w:line="259" w:lineRule="auto"/>
      <w:ind w:right="2"/>
      <w:jc w:val="center"/>
    </w:pPr>
    <w:r>
      <w:rPr>
        <w:b/>
        <w:sz w:val="24"/>
      </w:rPr>
      <w:t xml:space="preserve"> PODER JUDICIAL DIRECCION EJECUTIVA </w:t>
    </w:r>
  </w:p>
  <w:p w:rsidR="00F31A99" w:rsidRDefault="00F31A99" w14:paraId="1BD88C0F" w14:textId="77777777">
    <w:pPr>
      <w:spacing w:line="259" w:lineRule="auto"/>
    </w:pPr>
    <w:r>
      <w:rPr>
        <w:sz w:val="18"/>
      </w:rPr>
      <w:t xml:space="preserve">Tel. 2295-4322 San José </w:t>
    </w:r>
  </w:p>
  <w:p w:rsidR="00F31A99" w:rsidRDefault="00F31A99" w14:paraId="5D81E1BB" w14:textId="77777777">
    <w:pPr>
      <w:spacing w:line="259" w:lineRule="auto"/>
    </w:pPr>
    <w:r>
      <w:rPr>
        <w:sz w:val="18"/>
        <w:u w:val="single"/>
      </w:rPr>
      <w:t xml:space="preserve">Fax 2233-8438 </w:t>
    </w:r>
    <w:r>
      <w:rPr>
        <w:color w:val="0000FF"/>
        <w:sz w:val="18"/>
        <w:u w:val="single" w:color="0000FF"/>
      </w:rPr>
      <w:t>direc_ejecutiva@poder-judicial.go.cr</w:t>
    </w:r>
    <w:r>
      <w:rPr>
        <w:sz w:val="18"/>
        <w:u w:val="single"/>
      </w:rPr>
      <w:t xml:space="preserve"> Costa Rica</w:t>
    </w:r>
    <w:r>
      <w:rPr>
        <w:sz w:val="18"/>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p w:rsidR="000458B6" w:rsidRDefault="000458B6" w14:paraId="6D65A9B8" w14:textId="77777777">
    <w:pPr>
      <w:ind w:left="47"/>
      <w:jc w:val="center"/>
    </w:pPr>
    <w:r>
      <w:rPr>
        <w:noProof/>
        <w:lang w:val="en-US"/>
      </w:rPr>
      <w:drawing>
        <wp:anchor distT="0" distB="0" distL="114300" distR="114300" simplePos="0" relativeHeight="251656192" behindDoc="0" locked="0" layoutInCell="1" allowOverlap="0" wp14:anchorId="2DE1D2C8" wp14:editId="4B6013F4">
          <wp:simplePos x="0" y="0"/>
          <wp:positionH relativeFrom="page">
            <wp:posOffset>3648964</wp:posOffset>
          </wp:positionH>
          <wp:positionV relativeFrom="page">
            <wp:posOffset>450215</wp:posOffset>
          </wp:positionV>
          <wp:extent cx="533400" cy="601980"/>
          <wp:effectExtent l="0" t="0" r="0" b="0"/>
          <wp:wrapSquare wrapText="bothSides"/>
          <wp:docPr id="28"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
                  <a:stretch>
                    <a:fillRect/>
                  </a:stretch>
                </pic:blipFill>
                <pic:spPr>
                  <a:xfrm>
                    <a:off x="0" y="0"/>
                    <a:ext cx="533400" cy="601980"/>
                  </a:xfrm>
                  <a:prstGeom prst="rect">
                    <a:avLst/>
                  </a:prstGeom>
                </pic:spPr>
              </pic:pic>
            </a:graphicData>
          </a:graphic>
        </wp:anchor>
      </w:drawing>
    </w:r>
    <w:r>
      <w:rPr>
        <w:sz w:val="20"/>
      </w:rPr>
      <w:t xml:space="preserve"> </w:t>
    </w:r>
  </w:p>
  <w:p w:rsidR="000458B6" w:rsidRDefault="00BB7720" w14:paraId="702CF353" w14:textId="3842C8BC">
    <w:pPr>
      <w:ind w:right="10"/>
      <w:jc w:val="center"/>
    </w:pPr>
    <w:r>
      <w:rPr>
        <w:b/>
        <w:sz w:val="24"/>
      </w:rPr>
      <w:t xml:space="preserve"> </w:t>
    </w:r>
    <w:r w:rsidR="000458B6">
      <w:rPr>
        <w:b/>
        <w:sz w:val="24"/>
      </w:rPr>
      <w:t>PODER JUDICIAL</w:t>
    </w:r>
    <w:r>
      <w:rPr>
        <w:b/>
        <w:sz w:val="24"/>
      </w:rPr>
      <w:t xml:space="preserve"> </w:t>
    </w:r>
    <w:r w:rsidR="000458B6">
      <w:rPr>
        <w:b/>
        <w:sz w:val="24"/>
      </w:rPr>
      <w:t xml:space="preserve">DIRECCION EJECUTIVA </w:t>
    </w:r>
  </w:p>
  <w:p w:rsidR="000458B6" w:rsidRDefault="000458B6" w14:paraId="077F9E2F" w14:textId="244D2736">
    <w:r>
      <w:rPr>
        <w:sz w:val="18"/>
      </w:rPr>
      <w:t>Tel. 2295-4322</w:t>
    </w:r>
    <w:r w:rsidR="00BB7720">
      <w:rPr>
        <w:sz w:val="18"/>
      </w:rPr>
      <w:t xml:space="preserve"> </w:t>
    </w:r>
    <w:r>
      <w:rPr>
        <w:sz w:val="18"/>
      </w:rPr>
      <w:t xml:space="preserve">San José </w:t>
    </w:r>
  </w:p>
  <w:p w:rsidR="000458B6" w:rsidRDefault="000458B6" w14:paraId="45E41B42" w14:textId="7FF7A435">
    <w:r>
      <w:rPr>
        <w:sz w:val="18"/>
        <w:u w:val="single" w:color="000000"/>
      </w:rPr>
      <w:t>Fax 2233-8438</w:t>
    </w:r>
    <w:r w:rsidR="00BB7720">
      <w:rPr>
        <w:sz w:val="18"/>
        <w:u w:val="single" w:color="000000"/>
      </w:rPr>
      <w:t xml:space="preserve"> </w:t>
    </w:r>
    <w:r>
      <w:rPr>
        <w:color w:val="0000FF"/>
        <w:sz w:val="18"/>
        <w:u w:val="single" w:color="0000FF"/>
      </w:rPr>
      <w:t>direc_ejecutiva@poder-judicial.go.cr</w:t>
    </w:r>
    <w:r w:rsidR="00BB7720">
      <w:rPr>
        <w:sz w:val="18"/>
        <w:u w:val="single" w:color="000000"/>
      </w:rPr>
      <w:t xml:space="preserve"> </w:t>
    </w:r>
    <w:r>
      <w:rPr>
        <w:sz w:val="18"/>
        <w:u w:val="single" w:color="000000"/>
      </w:rPr>
      <w:t>Costa Rica</w:t>
    </w:r>
    <w:r>
      <w:rPr>
        <w:sz w:val="18"/>
      </w:rPr>
      <w:t xml:space="preserve"> </w:t>
    </w:r>
  </w:p>
  <w:p w:rsidR="000458B6" w:rsidRDefault="000458B6" w14:paraId="5AF696EE" w14:textId="77777777">
    <w:r>
      <w:rPr>
        <w:i/>
        <w:noProof/>
        <w:lang w:val="en-US"/>
      </w:rPr>
      <mc:AlternateContent>
        <mc:Choice Requires="wpg">
          <w:drawing>
            <wp:anchor distT="0" distB="0" distL="114300" distR="114300" simplePos="0" relativeHeight="251658240" behindDoc="1" locked="0" layoutInCell="1" allowOverlap="1" wp14:anchorId="3FEA548D" wp14:editId="1BBA880E">
              <wp:simplePos x="0" y="0"/>
              <wp:positionH relativeFrom="page">
                <wp:posOffset>0</wp:posOffset>
              </wp:positionH>
              <wp:positionV relativeFrom="page">
                <wp:posOffset>0</wp:posOffset>
              </wp:positionV>
              <wp:extent cx="1" cy="1"/>
              <wp:effectExtent l="0" t="0" r="0" b="0"/>
              <wp:wrapNone/>
              <wp:docPr id="8862" name="Group 886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w14:anchorId="42E89547">
            <v:group id="Group 8862" style="position:absolute;margin-left:0;margin-top:0;width:0;height:0;z-index:-251658240;mso-position-horizontal-relative:page;mso-position-vertical-relative:page" coordsize="1,1" o:spid="_x0000_s1026" w14:anchorId="57D70B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">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p w:rsidR="000458B6" w:rsidRDefault="000458B6" w14:paraId="13704137" w14:textId="77777777">
    <w:pPr>
      <w:ind w:left="47"/>
      <w:jc w:val="center"/>
    </w:pPr>
    <w:r>
      <w:rPr>
        <w:noProof/>
        <w:lang w:val="en-US"/>
      </w:rPr>
      <w:drawing>
        <wp:anchor distT="0" distB="0" distL="114300" distR="114300" simplePos="0" relativeHeight="251659264" behindDoc="0" locked="0" layoutInCell="1" allowOverlap="0" wp14:anchorId="5E024AF7" wp14:editId="1902C352">
          <wp:simplePos x="0" y="0"/>
          <wp:positionH relativeFrom="page">
            <wp:posOffset>3648964</wp:posOffset>
          </wp:positionH>
          <wp:positionV relativeFrom="page">
            <wp:posOffset>450215</wp:posOffset>
          </wp:positionV>
          <wp:extent cx="533400" cy="601980"/>
          <wp:effectExtent l="0" t="0" r="0" b="0"/>
          <wp:wrapSquare wrapText="bothSides"/>
          <wp:docPr id="29"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
                  <a:stretch>
                    <a:fillRect/>
                  </a:stretch>
                </pic:blipFill>
                <pic:spPr>
                  <a:xfrm>
                    <a:off x="0" y="0"/>
                    <a:ext cx="533400" cy="601980"/>
                  </a:xfrm>
                  <a:prstGeom prst="rect">
                    <a:avLst/>
                  </a:prstGeom>
                </pic:spPr>
              </pic:pic>
            </a:graphicData>
          </a:graphic>
        </wp:anchor>
      </w:drawing>
    </w:r>
    <w:r>
      <w:rPr>
        <w:sz w:val="20"/>
      </w:rPr>
      <w:t xml:space="preserve"> </w:t>
    </w:r>
  </w:p>
  <w:p w:rsidR="000458B6" w:rsidRDefault="00BB7720" w14:paraId="54828F0E" w14:textId="3ADB89ED">
    <w:pPr>
      <w:ind w:right="10"/>
      <w:jc w:val="center"/>
    </w:pPr>
    <w:r>
      <w:rPr>
        <w:b/>
        <w:sz w:val="24"/>
      </w:rPr>
      <w:t xml:space="preserve"> </w:t>
    </w:r>
    <w:r w:rsidR="000458B6">
      <w:rPr>
        <w:b/>
        <w:sz w:val="24"/>
      </w:rPr>
      <w:t>PODER JUDICIAL</w:t>
    </w:r>
    <w:r>
      <w:rPr>
        <w:b/>
        <w:sz w:val="24"/>
      </w:rPr>
      <w:t xml:space="preserve"> </w:t>
    </w:r>
    <w:r w:rsidR="000458B6">
      <w:rPr>
        <w:b/>
        <w:sz w:val="24"/>
      </w:rPr>
      <w:t xml:space="preserve">DIRECCION EJECUTIVA </w:t>
    </w:r>
  </w:p>
  <w:p w:rsidR="000458B6" w:rsidRDefault="000458B6" w14:paraId="2FB6EF24" w14:textId="171348E9">
    <w:r>
      <w:rPr>
        <w:sz w:val="18"/>
      </w:rPr>
      <w:t>Tel. 2295-4322</w:t>
    </w:r>
    <w:r w:rsidR="00BB7720">
      <w:rPr>
        <w:sz w:val="18"/>
      </w:rPr>
      <w:t xml:space="preserve"> </w:t>
    </w:r>
    <w:r>
      <w:rPr>
        <w:sz w:val="18"/>
      </w:rPr>
      <w:t xml:space="preserve">San José </w:t>
    </w:r>
  </w:p>
  <w:p w:rsidR="000458B6" w:rsidRDefault="000458B6" w14:paraId="180116DD" w14:textId="0E1EB1B3">
    <w:r>
      <w:rPr>
        <w:sz w:val="18"/>
        <w:u w:val="single" w:color="000000"/>
      </w:rPr>
      <w:t>Fax 2233-8438</w:t>
    </w:r>
    <w:r w:rsidR="00BB7720">
      <w:rPr>
        <w:sz w:val="18"/>
        <w:u w:val="single" w:color="000000"/>
      </w:rPr>
      <w:t xml:space="preserve"> </w:t>
    </w:r>
    <w:r>
      <w:rPr>
        <w:color w:val="0000FF"/>
        <w:sz w:val="18"/>
        <w:u w:val="single" w:color="0000FF"/>
      </w:rPr>
      <w:t>direc_ejecutiva@poder-judicial.go.cr</w:t>
    </w:r>
    <w:r w:rsidR="00BB7720">
      <w:rPr>
        <w:sz w:val="18"/>
        <w:u w:val="single" w:color="000000"/>
      </w:rPr>
      <w:t xml:space="preserve"> </w:t>
    </w:r>
    <w:r>
      <w:rPr>
        <w:sz w:val="18"/>
        <w:u w:val="single" w:color="000000"/>
      </w:rPr>
      <w:t>Costa Rica</w:t>
    </w:r>
    <w:r>
      <w:rPr>
        <w:sz w:val="18"/>
      </w:rPr>
      <w:t xml:space="preserve"> </w:t>
    </w:r>
  </w:p>
  <w:p w:rsidR="000458B6" w:rsidRDefault="000458B6" w14:paraId="7CD6ED81" w14:textId="77777777">
    <w:r>
      <w:rPr>
        <w:i/>
        <w:noProof/>
        <w:lang w:val="en-US"/>
      </w:rPr>
      <mc:AlternateContent>
        <mc:Choice Requires="wpg">
          <w:drawing>
            <wp:anchor distT="0" distB="0" distL="114300" distR="114300" simplePos="0" relativeHeight="251660288" behindDoc="1" locked="0" layoutInCell="1" allowOverlap="1" wp14:anchorId="1A0BCF3F" wp14:editId="521A6F0A">
              <wp:simplePos x="0" y="0"/>
              <wp:positionH relativeFrom="page">
                <wp:posOffset>0</wp:posOffset>
              </wp:positionH>
              <wp:positionV relativeFrom="page">
                <wp:posOffset>0</wp:posOffset>
              </wp:positionV>
              <wp:extent cx="1" cy="1"/>
              <wp:effectExtent l="0" t="0" r="0" b="0"/>
              <wp:wrapNone/>
              <wp:docPr id="8788" name="Group 8788"/>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w14:anchorId="4F1ACA71">
            <v:group id="Group 8788" style="position:absolute;margin-left:0;margin-top:0;width:0;height:0;z-index:-251656192;mso-position-horizontal-relative:page;mso-position-vertical-relative:page" coordsize="1,1" o:spid="_x0000_s1026" w14:anchorId="6C85F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">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C5F28588"/>
    <w:lvl w:ilvl="0">
      <w:start w:val="1"/>
      <w:numFmt w:val="decimal"/>
      <w:lvlText w:val="%1."/>
      <w:lvlJc w:val="left"/>
      <w:pPr>
        <w:tabs>
          <w:tab w:val="num" w:pos="375"/>
        </w:tabs>
        <w:ind w:left="375" w:hanging="375"/>
      </w:pPr>
      <w:rPr>
        <w:rFonts w:hint="default" w:ascii="Arial" w:hAnsi="Arial" w:cs="Arial"/>
        <w:b/>
        <w:color w:val="auto"/>
        <w:sz w:val="28"/>
        <w:szCs w:val="26"/>
      </w:rPr>
    </w:lvl>
    <w:lvl w:ilvl="1">
      <w:start w:val="1"/>
      <w:numFmt w:val="bullet"/>
      <w:lvlText w:val=""/>
      <w:lvlJc w:val="left"/>
      <w:pPr>
        <w:tabs>
          <w:tab w:val="num" w:pos="-4526"/>
        </w:tabs>
        <w:ind w:left="-4526" w:hanging="720"/>
      </w:pPr>
      <w:rPr>
        <w:rFonts w:hint="default" w:ascii="Symbol" w:hAnsi="Symbol"/>
        <w:color w:val="806000"/>
        <w:sz w:val="32"/>
      </w:rPr>
    </w:lvl>
    <w:lvl w:ilvl="2">
      <w:start w:val="1"/>
      <w:numFmt w:val="decimal"/>
      <w:lvlText w:val="%1.%2.%3."/>
      <w:lvlJc w:val="left"/>
      <w:pPr>
        <w:tabs>
          <w:tab w:val="num" w:pos="-5223"/>
        </w:tabs>
        <w:ind w:left="-5223" w:hanging="720"/>
      </w:pPr>
    </w:lvl>
    <w:lvl w:ilvl="3">
      <w:start w:val="1"/>
      <w:numFmt w:val="decimal"/>
      <w:lvlText w:val="%1.%2.%3.%4."/>
      <w:lvlJc w:val="left"/>
      <w:pPr>
        <w:tabs>
          <w:tab w:val="num" w:pos="-4503"/>
        </w:tabs>
        <w:ind w:left="-4503" w:hanging="1080"/>
      </w:pPr>
    </w:lvl>
    <w:lvl w:ilvl="4">
      <w:start w:val="1"/>
      <w:numFmt w:val="decimal"/>
      <w:lvlText w:val="%1.%2.%3.%4.%5."/>
      <w:lvlJc w:val="left"/>
      <w:pPr>
        <w:tabs>
          <w:tab w:val="num" w:pos="-4143"/>
        </w:tabs>
        <w:ind w:left="-4143" w:hanging="1080"/>
      </w:pPr>
    </w:lvl>
    <w:lvl w:ilvl="5">
      <w:start w:val="1"/>
      <w:numFmt w:val="decimal"/>
      <w:lvlText w:val="%1.%2.%3.%4.%5.%6."/>
      <w:lvlJc w:val="left"/>
      <w:pPr>
        <w:tabs>
          <w:tab w:val="num" w:pos="-3423"/>
        </w:tabs>
        <w:ind w:left="-3423" w:hanging="1440"/>
      </w:pPr>
    </w:lvl>
    <w:lvl w:ilvl="6">
      <w:start w:val="1"/>
      <w:numFmt w:val="decimal"/>
      <w:lvlText w:val="%1.%2.%3.%4.%5.%6.%7."/>
      <w:lvlJc w:val="left"/>
      <w:pPr>
        <w:tabs>
          <w:tab w:val="num" w:pos="-3063"/>
        </w:tabs>
        <w:ind w:left="-3063" w:hanging="1440"/>
      </w:pPr>
    </w:lvl>
    <w:lvl w:ilvl="7">
      <w:start w:val="1"/>
      <w:numFmt w:val="decimal"/>
      <w:lvlText w:val="%1.%2.%3.%4.%5.%6.%7.%8."/>
      <w:lvlJc w:val="left"/>
      <w:pPr>
        <w:tabs>
          <w:tab w:val="num" w:pos="-2343"/>
        </w:tabs>
        <w:ind w:left="-2343" w:hanging="1800"/>
      </w:pPr>
    </w:lvl>
    <w:lvl w:ilvl="8">
      <w:start w:val="1"/>
      <w:numFmt w:val="decimal"/>
      <w:lvlText w:val="%1.%2.%3.%4.%5.%6.%7.%8.%9."/>
      <w:lvlJc w:val="left"/>
      <w:pPr>
        <w:tabs>
          <w:tab w:val="num" w:pos="-1983"/>
        </w:tabs>
        <w:ind w:left="-1983" w:hanging="1800"/>
      </w:pPr>
    </w:lvl>
  </w:abstractNum>
  <w:abstractNum w:abstractNumId="1" w15:restartNumberingAfterBreak="0">
    <w:nsid w:val="00AD2887"/>
    <w:multiLevelType w:val="hybridMultilevel"/>
    <w:tmpl w:val="E7B8335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24D7761"/>
    <w:multiLevelType w:val="hybridMultilevel"/>
    <w:tmpl w:val="98CAE1FE"/>
    <w:lvl w:ilvl="0" w:tplc="5FB408F2">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30F04B6"/>
    <w:multiLevelType w:val="hybridMultilevel"/>
    <w:tmpl w:val="015C8C5E"/>
    <w:lvl w:ilvl="0" w:tplc="140A0003">
      <w:start w:val="1"/>
      <w:numFmt w:val="bullet"/>
      <w:lvlText w:val="o"/>
      <w:lvlJc w:val="left"/>
      <w:pPr>
        <w:ind w:left="720" w:hanging="360"/>
      </w:pPr>
      <w:rPr>
        <w:rFonts w:hint="default" w:ascii="Courier New" w:hAnsi="Courier New" w:cs="Courier New"/>
      </w:rPr>
    </w:lvl>
    <w:lvl w:ilvl="1" w:tplc="140A0003">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4" w15:restartNumberingAfterBreak="0">
    <w:nsid w:val="054315A8"/>
    <w:multiLevelType w:val="hybridMultilevel"/>
    <w:tmpl w:val="E4FC298C"/>
    <w:lvl w:ilvl="0" w:tplc="140A000D">
      <w:start w:val="1"/>
      <w:numFmt w:val="bullet"/>
      <w:lvlText w:val=""/>
      <w:lvlJc w:val="left"/>
      <w:pPr>
        <w:ind w:left="1287" w:hanging="360"/>
      </w:pPr>
      <w:rPr>
        <w:rFonts w:hint="default" w:ascii="Wingdings" w:hAnsi="Wingdings"/>
      </w:rPr>
    </w:lvl>
    <w:lvl w:ilvl="1" w:tplc="140A0003">
      <w:start w:val="1"/>
      <w:numFmt w:val="bullet"/>
      <w:lvlText w:val="o"/>
      <w:lvlJc w:val="left"/>
      <w:pPr>
        <w:ind w:left="2007" w:hanging="360"/>
      </w:pPr>
      <w:rPr>
        <w:rFonts w:hint="default" w:ascii="Courier New" w:hAnsi="Courier New" w:cs="Courier New"/>
      </w:rPr>
    </w:lvl>
    <w:lvl w:ilvl="2" w:tplc="140A0005">
      <w:start w:val="1"/>
      <w:numFmt w:val="bullet"/>
      <w:lvlText w:val=""/>
      <w:lvlJc w:val="left"/>
      <w:pPr>
        <w:ind w:left="2727" w:hanging="360"/>
      </w:pPr>
      <w:rPr>
        <w:rFonts w:hint="default" w:ascii="Wingdings" w:hAnsi="Wingdings"/>
      </w:rPr>
    </w:lvl>
    <w:lvl w:ilvl="3" w:tplc="140A0001">
      <w:start w:val="1"/>
      <w:numFmt w:val="bullet"/>
      <w:lvlText w:val=""/>
      <w:lvlJc w:val="left"/>
      <w:pPr>
        <w:ind w:left="3447" w:hanging="360"/>
      </w:pPr>
      <w:rPr>
        <w:rFonts w:hint="default" w:ascii="Symbol" w:hAnsi="Symbol"/>
      </w:rPr>
    </w:lvl>
    <w:lvl w:ilvl="4" w:tplc="140A0003">
      <w:start w:val="1"/>
      <w:numFmt w:val="bullet"/>
      <w:lvlText w:val="o"/>
      <w:lvlJc w:val="left"/>
      <w:pPr>
        <w:ind w:left="4167" w:hanging="360"/>
      </w:pPr>
      <w:rPr>
        <w:rFonts w:hint="default" w:ascii="Courier New" w:hAnsi="Courier New" w:cs="Courier New"/>
      </w:rPr>
    </w:lvl>
    <w:lvl w:ilvl="5" w:tplc="140A0005">
      <w:start w:val="1"/>
      <w:numFmt w:val="bullet"/>
      <w:lvlText w:val=""/>
      <w:lvlJc w:val="left"/>
      <w:pPr>
        <w:ind w:left="4887" w:hanging="360"/>
      </w:pPr>
      <w:rPr>
        <w:rFonts w:hint="default" w:ascii="Wingdings" w:hAnsi="Wingdings"/>
      </w:rPr>
    </w:lvl>
    <w:lvl w:ilvl="6" w:tplc="140A0001">
      <w:start w:val="1"/>
      <w:numFmt w:val="bullet"/>
      <w:lvlText w:val=""/>
      <w:lvlJc w:val="left"/>
      <w:pPr>
        <w:ind w:left="5607" w:hanging="360"/>
      </w:pPr>
      <w:rPr>
        <w:rFonts w:hint="default" w:ascii="Symbol" w:hAnsi="Symbol"/>
      </w:rPr>
    </w:lvl>
    <w:lvl w:ilvl="7" w:tplc="140A0003">
      <w:start w:val="1"/>
      <w:numFmt w:val="bullet"/>
      <w:lvlText w:val="o"/>
      <w:lvlJc w:val="left"/>
      <w:pPr>
        <w:ind w:left="6327" w:hanging="360"/>
      </w:pPr>
      <w:rPr>
        <w:rFonts w:hint="default" w:ascii="Courier New" w:hAnsi="Courier New" w:cs="Courier New"/>
      </w:rPr>
    </w:lvl>
    <w:lvl w:ilvl="8" w:tplc="140A0005">
      <w:start w:val="1"/>
      <w:numFmt w:val="bullet"/>
      <w:lvlText w:val=""/>
      <w:lvlJc w:val="left"/>
      <w:pPr>
        <w:ind w:left="7047" w:hanging="360"/>
      </w:pPr>
      <w:rPr>
        <w:rFonts w:hint="default" w:ascii="Wingdings" w:hAnsi="Wingdings"/>
      </w:rPr>
    </w:lvl>
  </w:abstractNum>
  <w:abstractNum w:abstractNumId="5" w15:restartNumberingAfterBreak="0">
    <w:nsid w:val="055B2704"/>
    <w:multiLevelType w:val="hybridMultilevel"/>
    <w:tmpl w:val="D8B4EFDC"/>
    <w:lvl w:ilvl="0" w:tplc="140A0001">
      <w:start w:val="1"/>
      <w:numFmt w:val="bullet"/>
      <w:lvlText w:val=""/>
      <w:lvlJc w:val="left"/>
      <w:pPr>
        <w:ind w:left="720" w:hanging="360"/>
      </w:pPr>
      <w:rPr>
        <w:rFonts w:hint="default" w:ascii="Symbol" w:hAnsi="Symbol"/>
      </w:rPr>
    </w:lvl>
    <w:lvl w:ilvl="1" w:tplc="140A000D">
      <w:start w:val="1"/>
      <w:numFmt w:val="bullet"/>
      <w:lvlText w:val=""/>
      <w:lvlJc w:val="left"/>
      <w:pPr>
        <w:ind w:left="1440" w:hanging="360"/>
      </w:pPr>
      <w:rPr>
        <w:rFonts w:hint="default" w:ascii="Wingdings" w:hAnsi="Wingdings"/>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6" w15:restartNumberingAfterBreak="0">
    <w:nsid w:val="06017C33"/>
    <w:multiLevelType w:val="hybridMultilevel"/>
    <w:tmpl w:val="F72AB0FE"/>
    <w:lvl w:ilvl="0" w:tplc="140A000D">
      <w:start w:val="1"/>
      <w:numFmt w:val="bullet"/>
      <w:lvlText w:val=""/>
      <w:lvlJc w:val="left"/>
      <w:pPr>
        <w:ind w:left="2136" w:hanging="360"/>
      </w:pPr>
      <w:rPr>
        <w:rFonts w:hint="default" w:ascii="Wingdings" w:hAnsi="Wingdings"/>
      </w:rPr>
    </w:lvl>
    <w:lvl w:ilvl="1" w:tplc="140A0003" w:tentative="1">
      <w:start w:val="1"/>
      <w:numFmt w:val="bullet"/>
      <w:lvlText w:val="o"/>
      <w:lvlJc w:val="left"/>
      <w:pPr>
        <w:ind w:left="2856" w:hanging="360"/>
      </w:pPr>
      <w:rPr>
        <w:rFonts w:hint="default" w:ascii="Courier New" w:hAnsi="Courier New" w:cs="Courier New"/>
      </w:rPr>
    </w:lvl>
    <w:lvl w:ilvl="2" w:tplc="140A0005" w:tentative="1">
      <w:start w:val="1"/>
      <w:numFmt w:val="bullet"/>
      <w:lvlText w:val=""/>
      <w:lvlJc w:val="left"/>
      <w:pPr>
        <w:ind w:left="3576" w:hanging="360"/>
      </w:pPr>
      <w:rPr>
        <w:rFonts w:hint="default" w:ascii="Wingdings" w:hAnsi="Wingdings"/>
      </w:rPr>
    </w:lvl>
    <w:lvl w:ilvl="3" w:tplc="140A0001" w:tentative="1">
      <w:start w:val="1"/>
      <w:numFmt w:val="bullet"/>
      <w:lvlText w:val=""/>
      <w:lvlJc w:val="left"/>
      <w:pPr>
        <w:ind w:left="4296" w:hanging="360"/>
      </w:pPr>
      <w:rPr>
        <w:rFonts w:hint="default" w:ascii="Symbol" w:hAnsi="Symbol"/>
      </w:rPr>
    </w:lvl>
    <w:lvl w:ilvl="4" w:tplc="140A0003" w:tentative="1">
      <w:start w:val="1"/>
      <w:numFmt w:val="bullet"/>
      <w:lvlText w:val="o"/>
      <w:lvlJc w:val="left"/>
      <w:pPr>
        <w:ind w:left="5016" w:hanging="360"/>
      </w:pPr>
      <w:rPr>
        <w:rFonts w:hint="default" w:ascii="Courier New" w:hAnsi="Courier New" w:cs="Courier New"/>
      </w:rPr>
    </w:lvl>
    <w:lvl w:ilvl="5" w:tplc="140A0005" w:tentative="1">
      <w:start w:val="1"/>
      <w:numFmt w:val="bullet"/>
      <w:lvlText w:val=""/>
      <w:lvlJc w:val="left"/>
      <w:pPr>
        <w:ind w:left="5736" w:hanging="360"/>
      </w:pPr>
      <w:rPr>
        <w:rFonts w:hint="default" w:ascii="Wingdings" w:hAnsi="Wingdings"/>
      </w:rPr>
    </w:lvl>
    <w:lvl w:ilvl="6" w:tplc="140A0001" w:tentative="1">
      <w:start w:val="1"/>
      <w:numFmt w:val="bullet"/>
      <w:lvlText w:val=""/>
      <w:lvlJc w:val="left"/>
      <w:pPr>
        <w:ind w:left="6456" w:hanging="360"/>
      </w:pPr>
      <w:rPr>
        <w:rFonts w:hint="default" w:ascii="Symbol" w:hAnsi="Symbol"/>
      </w:rPr>
    </w:lvl>
    <w:lvl w:ilvl="7" w:tplc="140A0003" w:tentative="1">
      <w:start w:val="1"/>
      <w:numFmt w:val="bullet"/>
      <w:lvlText w:val="o"/>
      <w:lvlJc w:val="left"/>
      <w:pPr>
        <w:ind w:left="7176" w:hanging="360"/>
      </w:pPr>
      <w:rPr>
        <w:rFonts w:hint="default" w:ascii="Courier New" w:hAnsi="Courier New" w:cs="Courier New"/>
      </w:rPr>
    </w:lvl>
    <w:lvl w:ilvl="8" w:tplc="140A0005" w:tentative="1">
      <w:start w:val="1"/>
      <w:numFmt w:val="bullet"/>
      <w:lvlText w:val=""/>
      <w:lvlJc w:val="left"/>
      <w:pPr>
        <w:ind w:left="7896" w:hanging="360"/>
      </w:pPr>
      <w:rPr>
        <w:rFonts w:hint="default" w:ascii="Wingdings" w:hAnsi="Wingdings"/>
      </w:rPr>
    </w:lvl>
  </w:abstractNum>
  <w:abstractNum w:abstractNumId="7" w15:restartNumberingAfterBreak="0">
    <w:nsid w:val="065F0EC3"/>
    <w:multiLevelType w:val="hybridMultilevel"/>
    <w:tmpl w:val="1DEC714C"/>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8" w15:restartNumberingAfterBreak="0">
    <w:nsid w:val="0666149A"/>
    <w:multiLevelType w:val="multilevel"/>
    <w:tmpl w:val="C72C7026"/>
    <w:lvl w:ilvl="0">
      <w:start w:val="1"/>
      <w:numFmt w:val="bullet"/>
      <w:lvlText w:val=""/>
      <w:lvlJc w:val="left"/>
      <w:pPr>
        <w:tabs>
          <w:tab w:val="num" w:pos="720"/>
        </w:tabs>
        <w:ind w:left="720" w:hanging="360"/>
      </w:pPr>
      <w:rPr>
        <w:rFonts w:hint="default" w:ascii="Symbol" w:hAnsi="Symbol"/>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 w15:restartNumberingAfterBreak="0">
    <w:nsid w:val="082E0848"/>
    <w:multiLevelType w:val="hybridMultilevel"/>
    <w:tmpl w:val="B044A61E"/>
    <w:lvl w:ilvl="0" w:tplc="140A0017">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10" w15:restartNumberingAfterBreak="0">
    <w:nsid w:val="0B101356"/>
    <w:multiLevelType w:val="hybridMultilevel"/>
    <w:tmpl w:val="01546694"/>
    <w:lvl w:ilvl="0" w:tplc="140A0001">
      <w:start w:val="1"/>
      <w:numFmt w:val="bullet"/>
      <w:lvlText w:val=""/>
      <w:lvlJc w:val="left"/>
      <w:pPr>
        <w:ind w:left="775" w:hanging="360"/>
      </w:pPr>
      <w:rPr>
        <w:rFonts w:hint="default" w:ascii="Symbol" w:hAnsi="Symbol"/>
      </w:rPr>
    </w:lvl>
    <w:lvl w:ilvl="1" w:tplc="140A0003" w:tentative="1">
      <w:start w:val="1"/>
      <w:numFmt w:val="bullet"/>
      <w:lvlText w:val="o"/>
      <w:lvlJc w:val="left"/>
      <w:pPr>
        <w:ind w:left="1495" w:hanging="360"/>
      </w:pPr>
      <w:rPr>
        <w:rFonts w:hint="default" w:ascii="Courier New" w:hAnsi="Courier New" w:cs="Courier New"/>
      </w:rPr>
    </w:lvl>
    <w:lvl w:ilvl="2" w:tplc="140A0005" w:tentative="1">
      <w:start w:val="1"/>
      <w:numFmt w:val="bullet"/>
      <w:lvlText w:val=""/>
      <w:lvlJc w:val="left"/>
      <w:pPr>
        <w:ind w:left="2215" w:hanging="360"/>
      </w:pPr>
      <w:rPr>
        <w:rFonts w:hint="default" w:ascii="Wingdings" w:hAnsi="Wingdings"/>
      </w:rPr>
    </w:lvl>
    <w:lvl w:ilvl="3" w:tplc="140A0001" w:tentative="1">
      <w:start w:val="1"/>
      <w:numFmt w:val="bullet"/>
      <w:lvlText w:val=""/>
      <w:lvlJc w:val="left"/>
      <w:pPr>
        <w:ind w:left="2935" w:hanging="360"/>
      </w:pPr>
      <w:rPr>
        <w:rFonts w:hint="default" w:ascii="Symbol" w:hAnsi="Symbol"/>
      </w:rPr>
    </w:lvl>
    <w:lvl w:ilvl="4" w:tplc="140A0003" w:tentative="1">
      <w:start w:val="1"/>
      <w:numFmt w:val="bullet"/>
      <w:lvlText w:val="o"/>
      <w:lvlJc w:val="left"/>
      <w:pPr>
        <w:ind w:left="3655" w:hanging="360"/>
      </w:pPr>
      <w:rPr>
        <w:rFonts w:hint="default" w:ascii="Courier New" w:hAnsi="Courier New" w:cs="Courier New"/>
      </w:rPr>
    </w:lvl>
    <w:lvl w:ilvl="5" w:tplc="140A0005" w:tentative="1">
      <w:start w:val="1"/>
      <w:numFmt w:val="bullet"/>
      <w:lvlText w:val=""/>
      <w:lvlJc w:val="left"/>
      <w:pPr>
        <w:ind w:left="4375" w:hanging="360"/>
      </w:pPr>
      <w:rPr>
        <w:rFonts w:hint="default" w:ascii="Wingdings" w:hAnsi="Wingdings"/>
      </w:rPr>
    </w:lvl>
    <w:lvl w:ilvl="6" w:tplc="140A0001" w:tentative="1">
      <w:start w:val="1"/>
      <w:numFmt w:val="bullet"/>
      <w:lvlText w:val=""/>
      <w:lvlJc w:val="left"/>
      <w:pPr>
        <w:ind w:left="5095" w:hanging="360"/>
      </w:pPr>
      <w:rPr>
        <w:rFonts w:hint="default" w:ascii="Symbol" w:hAnsi="Symbol"/>
      </w:rPr>
    </w:lvl>
    <w:lvl w:ilvl="7" w:tplc="140A0003" w:tentative="1">
      <w:start w:val="1"/>
      <w:numFmt w:val="bullet"/>
      <w:lvlText w:val="o"/>
      <w:lvlJc w:val="left"/>
      <w:pPr>
        <w:ind w:left="5815" w:hanging="360"/>
      </w:pPr>
      <w:rPr>
        <w:rFonts w:hint="default" w:ascii="Courier New" w:hAnsi="Courier New" w:cs="Courier New"/>
      </w:rPr>
    </w:lvl>
    <w:lvl w:ilvl="8" w:tplc="140A0005" w:tentative="1">
      <w:start w:val="1"/>
      <w:numFmt w:val="bullet"/>
      <w:lvlText w:val=""/>
      <w:lvlJc w:val="left"/>
      <w:pPr>
        <w:ind w:left="6535" w:hanging="360"/>
      </w:pPr>
      <w:rPr>
        <w:rFonts w:hint="default" w:ascii="Wingdings" w:hAnsi="Wingdings"/>
      </w:rPr>
    </w:lvl>
  </w:abstractNum>
  <w:abstractNum w:abstractNumId="11" w15:restartNumberingAfterBreak="0">
    <w:nsid w:val="0BAF5A2F"/>
    <w:multiLevelType w:val="multilevel"/>
    <w:tmpl w:val="F2A2FA7E"/>
    <w:lvl w:ilvl="0">
      <w:start w:val="5"/>
      <w:numFmt w:val="decimal"/>
      <w:lvlText w:val="%1."/>
      <w:lvlJc w:val="left"/>
      <w:pPr>
        <w:ind w:left="612" w:hanging="612"/>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0C39165F"/>
    <w:multiLevelType w:val="hybridMultilevel"/>
    <w:tmpl w:val="0244601C"/>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13" w15:restartNumberingAfterBreak="0">
    <w:nsid w:val="0C4F5895"/>
    <w:multiLevelType w:val="hybridMultilevel"/>
    <w:tmpl w:val="D3E6B0D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0D1F0EC4"/>
    <w:multiLevelType w:val="hybridMultilevel"/>
    <w:tmpl w:val="802ED6DA"/>
    <w:lvl w:ilvl="0" w:tplc="58FAD532">
      <w:start w:val="1"/>
      <w:numFmt w:val="decimal"/>
      <w:lvlText w:val="%1.)"/>
      <w:lvlJc w:val="left"/>
      <w:pPr>
        <w:ind w:left="977" w:hanging="360"/>
      </w:pPr>
      <w:rPr>
        <w:rFonts w:hint="default"/>
      </w:rPr>
    </w:lvl>
    <w:lvl w:ilvl="1" w:tplc="140A0019" w:tentative="1">
      <w:start w:val="1"/>
      <w:numFmt w:val="lowerLetter"/>
      <w:lvlText w:val="%2."/>
      <w:lvlJc w:val="left"/>
      <w:pPr>
        <w:ind w:left="1697" w:hanging="360"/>
      </w:pPr>
    </w:lvl>
    <w:lvl w:ilvl="2" w:tplc="140A001B" w:tentative="1">
      <w:start w:val="1"/>
      <w:numFmt w:val="lowerRoman"/>
      <w:lvlText w:val="%3."/>
      <w:lvlJc w:val="right"/>
      <w:pPr>
        <w:ind w:left="2417" w:hanging="180"/>
      </w:pPr>
    </w:lvl>
    <w:lvl w:ilvl="3" w:tplc="140A000F" w:tentative="1">
      <w:start w:val="1"/>
      <w:numFmt w:val="decimal"/>
      <w:lvlText w:val="%4."/>
      <w:lvlJc w:val="left"/>
      <w:pPr>
        <w:ind w:left="3137" w:hanging="360"/>
      </w:pPr>
    </w:lvl>
    <w:lvl w:ilvl="4" w:tplc="140A0019" w:tentative="1">
      <w:start w:val="1"/>
      <w:numFmt w:val="lowerLetter"/>
      <w:lvlText w:val="%5."/>
      <w:lvlJc w:val="left"/>
      <w:pPr>
        <w:ind w:left="3857" w:hanging="360"/>
      </w:pPr>
    </w:lvl>
    <w:lvl w:ilvl="5" w:tplc="140A001B" w:tentative="1">
      <w:start w:val="1"/>
      <w:numFmt w:val="lowerRoman"/>
      <w:lvlText w:val="%6."/>
      <w:lvlJc w:val="right"/>
      <w:pPr>
        <w:ind w:left="4577" w:hanging="180"/>
      </w:pPr>
    </w:lvl>
    <w:lvl w:ilvl="6" w:tplc="140A000F" w:tentative="1">
      <w:start w:val="1"/>
      <w:numFmt w:val="decimal"/>
      <w:lvlText w:val="%7."/>
      <w:lvlJc w:val="left"/>
      <w:pPr>
        <w:ind w:left="5297" w:hanging="360"/>
      </w:pPr>
    </w:lvl>
    <w:lvl w:ilvl="7" w:tplc="140A0019" w:tentative="1">
      <w:start w:val="1"/>
      <w:numFmt w:val="lowerLetter"/>
      <w:lvlText w:val="%8."/>
      <w:lvlJc w:val="left"/>
      <w:pPr>
        <w:ind w:left="6017" w:hanging="360"/>
      </w:pPr>
    </w:lvl>
    <w:lvl w:ilvl="8" w:tplc="140A001B" w:tentative="1">
      <w:start w:val="1"/>
      <w:numFmt w:val="lowerRoman"/>
      <w:lvlText w:val="%9."/>
      <w:lvlJc w:val="right"/>
      <w:pPr>
        <w:ind w:left="6737" w:hanging="180"/>
      </w:pPr>
    </w:lvl>
  </w:abstractNum>
  <w:abstractNum w:abstractNumId="15" w15:restartNumberingAfterBreak="0">
    <w:nsid w:val="0D2736A8"/>
    <w:multiLevelType w:val="hybridMultilevel"/>
    <w:tmpl w:val="2E04B97E"/>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16" w15:restartNumberingAfterBreak="0">
    <w:nsid w:val="0DAA63F8"/>
    <w:multiLevelType w:val="multilevel"/>
    <w:tmpl w:val="846A3D56"/>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ulo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color="000000" w:sz="0" w:space="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0E951431"/>
    <w:multiLevelType w:val="hybridMultilevel"/>
    <w:tmpl w:val="A99AE9C2"/>
    <w:lvl w:ilvl="0" w:tplc="140A0001">
      <w:start w:val="1"/>
      <w:numFmt w:val="bullet"/>
      <w:lvlText w:val=""/>
      <w:lvlJc w:val="left"/>
      <w:pPr>
        <w:ind w:left="720" w:hanging="360"/>
      </w:pPr>
      <w:rPr>
        <w:rFonts w:hint="default" w:ascii="Symbol" w:hAnsi="Symbol"/>
      </w:rPr>
    </w:lvl>
    <w:lvl w:ilvl="1" w:tplc="140A0003">
      <w:start w:val="1"/>
      <w:numFmt w:val="bullet"/>
      <w:lvlText w:val="o"/>
      <w:lvlJc w:val="left"/>
      <w:pPr>
        <w:ind w:left="644" w:hanging="360"/>
      </w:pPr>
      <w:rPr>
        <w:rFonts w:hint="default" w:ascii="Courier New" w:hAnsi="Courier New" w:cs="Courier New"/>
      </w:rPr>
    </w:lvl>
    <w:lvl w:ilvl="2" w:tplc="140A0005">
      <w:start w:val="1"/>
      <w:numFmt w:val="bullet"/>
      <w:lvlText w:val=""/>
      <w:lvlJc w:val="left"/>
      <w:pPr>
        <w:ind w:left="502"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18" w15:restartNumberingAfterBreak="0">
    <w:nsid w:val="10A259C6"/>
    <w:multiLevelType w:val="hybridMultilevel"/>
    <w:tmpl w:val="85185130"/>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19" w15:restartNumberingAfterBreak="0">
    <w:nsid w:val="123F2DE0"/>
    <w:multiLevelType w:val="hybridMultilevel"/>
    <w:tmpl w:val="55D2E7C4"/>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13B36DB5"/>
    <w:multiLevelType w:val="hybridMultilevel"/>
    <w:tmpl w:val="9C165D64"/>
    <w:lvl w:ilvl="0" w:tplc="0C0A0015">
      <w:start w:val="1"/>
      <w:numFmt w:val="upperLetter"/>
      <w:lvlText w:val="%1."/>
      <w:lvlJc w:val="left"/>
      <w:pPr>
        <w:ind w:left="720" w:hanging="360"/>
      </w:pPr>
      <w:rPr>
        <w:rFonts w:hint="default"/>
        <w:b/>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14A6666F"/>
    <w:multiLevelType w:val="hybridMultilevel"/>
    <w:tmpl w:val="EDD82434"/>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22" w15:restartNumberingAfterBreak="0">
    <w:nsid w:val="14EC56A1"/>
    <w:multiLevelType w:val="hybridMultilevel"/>
    <w:tmpl w:val="3E384400"/>
    <w:lvl w:ilvl="0" w:tplc="5DF02EAE">
      <w:start w:val="1"/>
      <w:numFmt w:val="decimal"/>
      <w:lvlText w:val="%1."/>
      <w:lvlJc w:val="left"/>
      <w:pPr>
        <w:ind w:left="720" w:hanging="360"/>
      </w:pPr>
      <w:rPr>
        <w:rFonts w:hint="default" w:ascii="Book Antiqua" w:hAnsi="Book Antiqua"/>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16E178BA"/>
    <w:multiLevelType w:val="hybridMultilevel"/>
    <w:tmpl w:val="B09CBD8C"/>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24" w15:restartNumberingAfterBreak="0">
    <w:nsid w:val="175D7537"/>
    <w:multiLevelType w:val="hybridMultilevel"/>
    <w:tmpl w:val="084CA61A"/>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25" w15:restartNumberingAfterBreak="0">
    <w:nsid w:val="17BD6DDB"/>
    <w:multiLevelType w:val="hybridMultilevel"/>
    <w:tmpl w:val="41ACE552"/>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26" w15:restartNumberingAfterBreak="0">
    <w:nsid w:val="18F2321A"/>
    <w:multiLevelType w:val="hybridMultilevel"/>
    <w:tmpl w:val="AF386E2A"/>
    <w:lvl w:ilvl="0" w:tplc="140A000D">
      <w:start w:val="1"/>
      <w:numFmt w:val="bullet"/>
      <w:lvlText w:val=""/>
      <w:lvlJc w:val="left"/>
      <w:pPr>
        <w:ind w:left="720" w:hanging="360"/>
      </w:pPr>
      <w:rPr>
        <w:rFonts w:hint="default" w:ascii="Wingdings" w:hAnsi="Wingdings"/>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27" w15:restartNumberingAfterBreak="0">
    <w:nsid w:val="19481E5F"/>
    <w:multiLevelType w:val="hybridMultilevel"/>
    <w:tmpl w:val="0986B5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9D07B35"/>
    <w:multiLevelType w:val="hybridMultilevel"/>
    <w:tmpl w:val="F606C8A4"/>
    <w:lvl w:ilvl="0" w:tplc="0E701BEE">
      <w:start w:val="1"/>
      <w:numFmt w:val="lowerLetter"/>
      <w:lvlText w:val="%1."/>
      <w:lvlJc w:val="left"/>
      <w:pPr>
        <w:ind w:left="720" w:hanging="360"/>
      </w:pPr>
    </w:lvl>
    <w:lvl w:ilvl="1" w:tplc="03367B74" w:tentative="1">
      <w:start w:val="1"/>
      <w:numFmt w:val="lowerLetter"/>
      <w:lvlText w:val="%2."/>
      <w:lvlJc w:val="left"/>
      <w:pPr>
        <w:ind w:left="1440" w:hanging="360"/>
      </w:pPr>
    </w:lvl>
    <w:lvl w:ilvl="2" w:tplc="9D20507E" w:tentative="1">
      <w:start w:val="1"/>
      <w:numFmt w:val="lowerRoman"/>
      <w:lvlText w:val="%3."/>
      <w:lvlJc w:val="right"/>
      <w:pPr>
        <w:ind w:left="2160" w:hanging="180"/>
      </w:pPr>
    </w:lvl>
    <w:lvl w:ilvl="3" w:tplc="859890C8" w:tentative="1">
      <w:start w:val="1"/>
      <w:numFmt w:val="decimal"/>
      <w:lvlText w:val="%4."/>
      <w:lvlJc w:val="left"/>
      <w:pPr>
        <w:ind w:left="2880" w:hanging="360"/>
      </w:pPr>
    </w:lvl>
    <w:lvl w:ilvl="4" w:tplc="DB087DDE" w:tentative="1">
      <w:start w:val="1"/>
      <w:numFmt w:val="lowerLetter"/>
      <w:lvlText w:val="%5."/>
      <w:lvlJc w:val="left"/>
      <w:pPr>
        <w:ind w:left="3600" w:hanging="360"/>
      </w:pPr>
    </w:lvl>
    <w:lvl w:ilvl="5" w:tplc="1CFAE248" w:tentative="1">
      <w:start w:val="1"/>
      <w:numFmt w:val="lowerRoman"/>
      <w:lvlText w:val="%6."/>
      <w:lvlJc w:val="right"/>
      <w:pPr>
        <w:ind w:left="4320" w:hanging="180"/>
      </w:pPr>
    </w:lvl>
    <w:lvl w:ilvl="6" w:tplc="65F0417A" w:tentative="1">
      <w:start w:val="1"/>
      <w:numFmt w:val="decimal"/>
      <w:lvlText w:val="%7."/>
      <w:lvlJc w:val="left"/>
      <w:pPr>
        <w:ind w:left="5040" w:hanging="360"/>
      </w:pPr>
    </w:lvl>
    <w:lvl w:ilvl="7" w:tplc="61A2E3E6" w:tentative="1">
      <w:start w:val="1"/>
      <w:numFmt w:val="lowerLetter"/>
      <w:lvlText w:val="%8."/>
      <w:lvlJc w:val="left"/>
      <w:pPr>
        <w:ind w:left="5760" w:hanging="360"/>
      </w:pPr>
    </w:lvl>
    <w:lvl w:ilvl="8" w:tplc="9998C160" w:tentative="1">
      <w:start w:val="1"/>
      <w:numFmt w:val="lowerRoman"/>
      <w:lvlText w:val="%9."/>
      <w:lvlJc w:val="right"/>
      <w:pPr>
        <w:ind w:left="6480" w:hanging="180"/>
      </w:pPr>
    </w:lvl>
  </w:abstractNum>
  <w:abstractNum w:abstractNumId="29" w15:restartNumberingAfterBreak="0">
    <w:nsid w:val="1A3C29AA"/>
    <w:multiLevelType w:val="hybridMultilevel"/>
    <w:tmpl w:val="1ACA1BDE"/>
    <w:lvl w:ilvl="0" w:tplc="140A0019">
      <w:start w:val="1"/>
      <w:numFmt w:val="lowerLetter"/>
      <w:lvlText w:val="%1."/>
      <w:lvlJc w:val="left"/>
      <w:pPr>
        <w:tabs>
          <w:tab w:val="num" w:pos="770"/>
        </w:tabs>
        <w:ind w:left="770" w:hanging="360"/>
      </w:pPr>
      <w:rPr>
        <w:rFonts w:hint="default"/>
      </w:rPr>
    </w:lvl>
    <w:lvl w:ilvl="1" w:tplc="140A0019" w:tentative="1">
      <w:start w:val="1"/>
      <w:numFmt w:val="bullet"/>
      <w:lvlText w:val="o"/>
      <w:lvlJc w:val="left"/>
      <w:pPr>
        <w:tabs>
          <w:tab w:val="num" w:pos="1490"/>
        </w:tabs>
        <w:ind w:left="1490" w:hanging="360"/>
      </w:pPr>
      <w:rPr>
        <w:rFonts w:hint="default" w:ascii="Courier New" w:hAnsi="Courier New" w:cs="Courier New"/>
      </w:rPr>
    </w:lvl>
    <w:lvl w:ilvl="2" w:tplc="140A001B" w:tentative="1">
      <w:start w:val="1"/>
      <w:numFmt w:val="bullet"/>
      <w:lvlText w:val=""/>
      <w:lvlJc w:val="left"/>
      <w:pPr>
        <w:tabs>
          <w:tab w:val="num" w:pos="2210"/>
        </w:tabs>
        <w:ind w:left="2210" w:hanging="360"/>
      </w:pPr>
      <w:rPr>
        <w:rFonts w:hint="default" w:ascii="Wingdings" w:hAnsi="Wingdings"/>
      </w:rPr>
    </w:lvl>
    <w:lvl w:ilvl="3" w:tplc="140A000F" w:tentative="1">
      <w:start w:val="1"/>
      <w:numFmt w:val="bullet"/>
      <w:lvlText w:val=""/>
      <w:lvlJc w:val="left"/>
      <w:pPr>
        <w:tabs>
          <w:tab w:val="num" w:pos="2930"/>
        </w:tabs>
        <w:ind w:left="2930" w:hanging="360"/>
      </w:pPr>
      <w:rPr>
        <w:rFonts w:hint="default" w:ascii="Symbol" w:hAnsi="Symbol"/>
      </w:rPr>
    </w:lvl>
    <w:lvl w:ilvl="4" w:tplc="140A0019" w:tentative="1">
      <w:start w:val="1"/>
      <w:numFmt w:val="bullet"/>
      <w:lvlText w:val="o"/>
      <w:lvlJc w:val="left"/>
      <w:pPr>
        <w:tabs>
          <w:tab w:val="num" w:pos="3650"/>
        </w:tabs>
        <w:ind w:left="3650" w:hanging="360"/>
      </w:pPr>
      <w:rPr>
        <w:rFonts w:hint="default" w:ascii="Courier New" w:hAnsi="Courier New" w:cs="Courier New"/>
      </w:rPr>
    </w:lvl>
    <w:lvl w:ilvl="5" w:tplc="140A001B" w:tentative="1">
      <w:start w:val="1"/>
      <w:numFmt w:val="bullet"/>
      <w:lvlText w:val=""/>
      <w:lvlJc w:val="left"/>
      <w:pPr>
        <w:tabs>
          <w:tab w:val="num" w:pos="4370"/>
        </w:tabs>
        <w:ind w:left="4370" w:hanging="360"/>
      </w:pPr>
      <w:rPr>
        <w:rFonts w:hint="default" w:ascii="Wingdings" w:hAnsi="Wingdings"/>
      </w:rPr>
    </w:lvl>
    <w:lvl w:ilvl="6" w:tplc="140A000F" w:tentative="1">
      <w:start w:val="1"/>
      <w:numFmt w:val="bullet"/>
      <w:lvlText w:val=""/>
      <w:lvlJc w:val="left"/>
      <w:pPr>
        <w:tabs>
          <w:tab w:val="num" w:pos="5090"/>
        </w:tabs>
        <w:ind w:left="5090" w:hanging="360"/>
      </w:pPr>
      <w:rPr>
        <w:rFonts w:hint="default" w:ascii="Symbol" w:hAnsi="Symbol"/>
      </w:rPr>
    </w:lvl>
    <w:lvl w:ilvl="7" w:tplc="140A0019" w:tentative="1">
      <w:start w:val="1"/>
      <w:numFmt w:val="bullet"/>
      <w:lvlText w:val="o"/>
      <w:lvlJc w:val="left"/>
      <w:pPr>
        <w:tabs>
          <w:tab w:val="num" w:pos="5810"/>
        </w:tabs>
        <w:ind w:left="5810" w:hanging="360"/>
      </w:pPr>
      <w:rPr>
        <w:rFonts w:hint="default" w:ascii="Courier New" w:hAnsi="Courier New" w:cs="Courier New"/>
      </w:rPr>
    </w:lvl>
    <w:lvl w:ilvl="8" w:tplc="140A001B" w:tentative="1">
      <w:start w:val="1"/>
      <w:numFmt w:val="bullet"/>
      <w:lvlText w:val=""/>
      <w:lvlJc w:val="left"/>
      <w:pPr>
        <w:tabs>
          <w:tab w:val="num" w:pos="6530"/>
        </w:tabs>
        <w:ind w:left="6530" w:hanging="360"/>
      </w:pPr>
      <w:rPr>
        <w:rFonts w:hint="default" w:ascii="Wingdings" w:hAnsi="Wingdings"/>
      </w:rPr>
    </w:lvl>
  </w:abstractNum>
  <w:abstractNum w:abstractNumId="30" w15:restartNumberingAfterBreak="0">
    <w:nsid w:val="1D26723E"/>
    <w:multiLevelType w:val="multilevel"/>
    <w:tmpl w:val="6074DD02"/>
    <w:lvl w:ilvl="0">
      <w:start w:val="3"/>
      <w:numFmt w:val="upperRoman"/>
      <w:lvlText w:val="%1."/>
      <w:lvlJc w:val="left"/>
      <w:pPr>
        <w:ind w:left="720" w:hanging="720"/>
      </w:pPr>
      <w:rPr>
        <w:rFonts w:hint="default"/>
      </w:rPr>
    </w:lvl>
    <w:lvl w:ilvl="1">
      <w:start w:val="1"/>
      <w:numFmt w:val="decimal"/>
      <w:lvlText w:val="%1.%2"/>
      <w:lvlJc w:val="left"/>
      <w:pPr>
        <w:ind w:left="360" w:hanging="360"/>
      </w:pPr>
      <w:rPr>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31" w15:restartNumberingAfterBreak="0">
    <w:nsid w:val="1E960E4F"/>
    <w:multiLevelType w:val="hybridMultilevel"/>
    <w:tmpl w:val="18CA814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21F61D0D"/>
    <w:multiLevelType w:val="hybridMultilevel"/>
    <w:tmpl w:val="5B9E20C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22097DD8"/>
    <w:multiLevelType w:val="hybridMultilevel"/>
    <w:tmpl w:val="3BEA109C"/>
    <w:lvl w:ilvl="0" w:tplc="140A0001">
      <w:start w:val="1"/>
      <w:numFmt w:val="bullet"/>
      <w:lvlText w:val=""/>
      <w:lvlJc w:val="left"/>
      <w:pPr>
        <w:ind w:left="720" w:hanging="360"/>
      </w:pPr>
      <w:rPr>
        <w:rFonts w:hint="default" w:ascii="Symbol" w:hAnsi="Symbol"/>
      </w:rPr>
    </w:lvl>
    <w:lvl w:ilvl="1" w:tplc="140A0003">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34" w15:restartNumberingAfterBreak="0">
    <w:nsid w:val="22C178D6"/>
    <w:multiLevelType w:val="hybridMultilevel"/>
    <w:tmpl w:val="C4CC5480"/>
    <w:lvl w:ilvl="0" w:tplc="3F227E46">
      <w:start w:val="1"/>
      <w:numFmt w:val="decimal"/>
      <w:lvlText w:val="8.%1"/>
      <w:lvlJc w:val="left"/>
      <w:pPr>
        <w:ind w:left="720" w:hanging="360"/>
      </w:pPr>
      <w:rPr>
        <w:rFonts w:hint="default"/>
        <w:i w:val="0"/>
        <w:i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251E2A91"/>
    <w:multiLevelType w:val="hybridMultilevel"/>
    <w:tmpl w:val="7102D752"/>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36" w15:restartNumberingAfterBreak="0">
    <w:nsid w:val="27231C3F"/>
    <w:multiLevelType w:val="hybridMultilevel"/>
    <w:tmpl w:val="AB822CB4"/>
    <w:lvl w:ilvl="0" w:tplc="9794984C">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273E4183"/>
    <w:multiLevelType w:val="multilevel"/>
    <w:tmpl w:val="1D2C8DAA"/>
    <w:lvl w:ilvl="0">
      <w:start w:val="1"/>
      <w:numFmt w:val="bullet"/>
      <w:lvlText w:val=""/>
      <w:lvlJc w:val="left"/>
      <w:pPr>
        <w:tabs>
          <w:tab w:val="num" w:pos="720"/>
        </w:tabs>
        <w:ind w:left="720" w:hanging="360"/>
      </w:pPr>
      <w:rPr>
        <w:rFonts w:hint="default" w:ascii="Wingdings" w:hAnsi="Wingdings" w:cs="OpenSymbol"/>
      </w:rPr>
    </w:lvl>
    <w:lvl w:ilvl="1">
      <w:start w:val="1"/>
      <w:numFmt w:val="bullet"/>
      <w:lvlText w:val="◦"/>
      <w:lvlJc w:val="left"/>
      <w:pPr>
        <w:tabs>
          <w:tab w:val="num" w:pos="1080"/>
        </w:tabs>
        <w:ind w:left="1080" w:hanging="360"/>
      </w:pPr>
      <w:rPr>
        <w:rFonts w:hint="default" w:ascii="OpenSymbol" w:hAnsi="OpenSymbol" w:cs="OpenSymbol"/>
      </w:rPr>
    </w:lvl>
    <w:lvl w:ilvl="2">
      <w:start w:val="1"/>
      <w:numFmt w:val="bullet"/>
      <w:lvlText w:val="▪"/>
      <w:lvlJc w:val="left"/>
      <w:pPr>
        <w:tabs>
          <w:tab w:val="num" w:pos="1440"/>
        </w:tabs>
        <w:ind w:left="1440" w:hanging="360"/>
      </w:pPr>
      <w:rPr>
        <w:rFonts w:hint="default" w:ascii="OpenSymbol" w:hAnsi="OpenSymbol" w:cs="OpenSymbol"/>
      </w:rPr>
    </w:lvl>
    <w:lvl w:ilvl="3">
      <w:start w:val="1"/>
      <w:numFmt w:val="bullet"/>
      <w:lvlText w:val=""/>
      <w:lvlJc w:val="left"/>
      <w:pPr>
        <w:tabs>
          <w:tab w:val="num" w:pos="1800"/>
        </w:tabs>
        <w:ind w:left="1800" w:hanging="360"/>
      </w:pPr>
      <w:rPr>
        <w:rFonts w:hint="default" w:ascii="Symbol" w:hAnsi="Symbol" w:cs="OpenSymbol"/>
      </w:rPr>
    </w:lvl>
    <w:lvl w:ilvl="4">
      <w:start w:val="1"/>
      <w:numFmt w:val="bullet"/>
      <w:lvlText w:val="◦"/>
      <w:lvlJc w:val="left"/>
      <w:pPr>
        <w:tabs>
          <w:tab w:val="num" w:pos="2160"/>
        </w:tabs>
        <w:ind w:left="2160" w:hanging="360"/>
      </w:pPr>
      <w:rPr>
        <w:rFonts w:hint="default" w:ascii="OpenSymbol" w:hAnsi="OpenSymbol" w:cs="OpenSymbol"/>
      </w:rPr>
    </w:lvl>
    <w:lvl w:ilvl="5">
      <w:start w:val="1"/>
      <w:numFmt w:val="bullet"/>
      <w:lvlText w:val="▪"/>
      <w:lvlJc w:val="left"/>
      <w:pPr>
        <w:tabs>
          <w:tab w:val="num" w:pos="2520"/>
        </w:tabs>
        <w:ind w:left="2520" w:hanging="360"/>
      </w:pPr>
      <w:rPr>
        <w:rFonts w:hint="default" w:ascii="OpenSymbol" w:hAnsi="OpenSymbol" w:cs="OpenSymbol"/>
      </w:rPr>
    </w:lvl>
    <w:lvl w:ilvl="6">
      <w:start w:val="1"/>
      <w:numFmt w:val="bullet"/>
      <w:lvlText w:val=""/>
      <w:lvlJc w:val="left"/>
      <w:pPr>
        <w:tabs>
          <w:tab w:val="num" w:pos="2880"/>
        </w:tabs>
        <w:ind w:left="2880" w:hanging="360"/>
      </w:pPr>
      <w:rPr>
        <w:rFonts w:hint="default" w:ascii="Symbol" w:hAnsi="Symbol" w:cs="OpenSymbol"/>
      </w:rPr>
    </w:lvl>
    <w:lvl w:ilvl="7">
      <w:start w:val="1"/>
      <w:numFmt w:val="bullet"/>
      <w:lvlText w:val="◦"/>
      <w:lvlJc w:val="left"/>
      <w:pPr>
        <w:tabs>
          <w:tab w:val="num" w:pos="3240"/>
        </w:tabs>
        <w:ind w:left="3240" w:hanging="360"/>
      </w:pPr>
      <w:rPr>
        <w:rFonts w:hint="default" w:ascii="OpenSymbol" w:hAnsi="OpenSymbol" w:cs="OpenSymbol"/>
      </w:rPr>
    </w:lvl>
    <w:lvl w:ilvl="8">
      <w:start w:val="1"/>
      <w:numFmt w:val="bullet"/>
      <w:lvlText w:val="▪"/>
      <w:lvlJc w:val="left"/>
      <w:pPr>
        <w:tabs>
          <w:tab w:val="num" w:pos="3600"/>
        </w:tabs>
        <w:ind w:left="3600" w:hanging="360"/>
      </w:pPr>
      <w:rPr>
        <w:rFonts w:hint="default" w:ascii="OpenSymbol" w:hAnsi="OpenSymbol" w:cs="OpenSymbol"/>
      </w:rPr>
    </w:lvl>
  </w:abstractNum>
  <w:abstractNum w:abstractNumId="38" w15:restartNumberingAfterBreak="0">
    <w:nsid w:val="283834B7"/>
    <w:multiLevelType w:val="multilevel"/>
    <w:tmpl w:val="0AF811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9514388"/>
    <w:multiLevelType w:val="hybridMultilevel"/>
    <w:tmpl w:val="F6688E26"/>
    <w:lvl w:ilvl="0" w:tplc="140A0019">
      <w:start w:val="1"/>
      <w:numFmt w:val="bullet"/>
      <w:lvlText w:val=""/>
      <w:lvlJc w:val="left"/>
      <w:pPr>
        <w:ind w:left="720" w:hanging="360"/>
      </w:pPr>
      <w:rPr>
        <w:rFonts w:hint="default" w:ascii="Symbol" w:hAnsi="Symbol"/>
      </w:rPr>
    </w:lvl>
    <w:lvl w:ilvl="1" w:tplc="140A0019">
      <w:start w:val="1"/>
      <w:numFmt w:val="bullet"/>
      <w:lvlText w:val="o"/>
      <w:lvlJc w:val="left"/>
      <w:pPr>
        <w:ind w:left="1440" w:hanging="360"/>
      </w:pPr>
      <w:rPr>
        <w:rFonts w:hint="default" w:ascii="Courier New" w:hAnsi="Courier New" w:cs="Courier New"/>
      </w:rPr>
    </w:lvl>
    <w:lvl w:ilvl="2" w:tplc="140A001B">
      <w:start w:val="1"/>
      <w:numFmt w:val="bullet"/>
      <w:lvlText w:val=""/>
      <w:lvlJc w:val="left"/>
      <w:pPr>
        <w:ind w:left="2160" w:hanging="360"/>
      </w:pPr>
      <w:rPr>
        <w:rFonts w:hint="default" w:ascii="Wingdings" w:hAnsi="Wingdings"/>
      </w:rPr>
    </w:lvl>
    <w:lvl w:ilvl="3" w:tplc="140A000F">
      <w:start w:val="1"/>
      <w:numFmt w:val="bullet"/>
      <w:lvlText w:val=""/>
      <w:lvlJc w:val="left"/>
      <w:pPr>
        <w:ind w:left="2880" w:hanging="360"/>
      </w:pPr>
      <w:rPr>
        <w:rFonts w:hint="default" w:ascii="Symbol" w:hAnsi="Symbol"/>
      </w:rPr>
    </w:lvl>
    <w:lvl w:ilvl="4" w:tplc="140A0019">
      <w:start w:val="1"/>
      <w:numFmt w:val="bullet"/>
      <w:lvlText w:val="o"/>
      <w:lvlJc w:val="left"/>
      <w:pPr>
        <w:ind w:left="3600" w:hanging="360"/>
      </w:pPr>
      <w:rPr>
        <w:rFonts w:hint="default" w:ascii="Courier New" w:hAnsi="Courier New" w:cs="Courier New"/>
      </w:rPr>
    </w:lvl>
    <w:lvl w:ilvl="5" w:tplc="140A001B">
      <w:start w:val="1"/>
      <w:numFmt w:val="bullet"/>
      <w:lvlText w:val=""/>
      <w:lvlJc w:val="left"/>
      <w:pPr>
        <w:ind w:left="4320" w:hanging="360"/>
      </w:pPr>
      <w:rPr>
        <w:rFonts w:hint="default" w:ascii="Wingdings" w:hAnsi="Wingdings"/>
      </w:rPr>
    </w:lvl>
    <w:lvl w:ilvl="6" w:tplc="140A000F">
      <w:start w:val="1"/>
      <w:numFmt w:val="bullet"/>
      <w:lvlText w:val=""/>
      <w:lvlJc w:val="left"/>
      <w:pPr>
        <w:ind w:left="5040" w:hanging="360"/>
      </w:pPr>
      <w:rPr>
        <w:rFonts w:hint="default" w:ascii="Symbol" w:hAnsi="Symbol"/>
      </w:rPr>
    </w:lvl>
    <w:lvl w:ilvl="7" w:tplc="140A0019">
      <w:start w:val="1"/>
      <w:numFmt w:val="bullet"/>
      <w:lvlText w:val="o"/>
      <w:lvlJc w:val="left"/>
      <w:pPr>
        <w:ind w:left="5760" w:hanging="360"/>
      </w:pPr>
      <w:rPr>
        <w:rFonts w:hint="default" w:ascii="Courier New" w:hAnsi="Courier New" w:cs="Courier New"/>
      </w:rPr>
    </w:lvl>
    <w:lvl w:ilvl="8" w:tplc="140A001B">
      <w:start w:val="1"/>
      <w:numFmt w:val="bullet"/>
      <w:lvlText w:val=""/>
      <w:lvlJc w:val="left"/>
      <w:pPr>
        <w:ind w:left="6480" w:hanging="360"/>
      </w:pPr>
      <w:rPr>
        <w:rFonts w:hint="default" w:ascii="Wingdings" w:hAnsi="Wingdings"/>
      </w:rPr>
    </w:lvl>
  </w:abstractNum>
  <w:abstractNum w:abstractNumId="40" w15:restartNumberingAfterBreak="0">
    <w:nsid w:val="29C24509"/>
    <w:multiLevelType w:val="hybridMultilevel"/>
    <w:tmpl w:val="4A646F48"/>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41" w15:restartNumberingAfterBreak="0">
    <w:nsid w:val="2A2B690F"/>
    <w:multiLevelType w:val="hybridMultilevel"/>
    <w:tmpl w:val="3BFC9ADE"/>
    <w:lvl w:ilvl="0" w:tplc="140A000D">
      <w:start w:val="1"/>
      <w:numFmt w:val="bullet"/>
      <w:lvlText w:val=""/>
      <w:lvlJc w:val="left"/>
      <w:pPr>
        <w:ind w:left="720" w:hanging="360"/>
      </w:pPr>
      <w:rPr>
        <w:rFonts w:hint="default" w:ascii="Wingdings" w:hAnsi="Wingdings"/>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42" w15:restartNumberingAfterBreak="0">
    <w:nsid w:val="2AA12F8F"/>
    <w:multiLevelType w:val="hybridMultilevel"/>
    <w:tmpl w:val="7E502BE0"/>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43" w15:restartNumberingAfterBreak="0">
    <w:nsid w:val="2BD36746"/>
    <w:multiLevelType w:val="hybridMultilevel"/>
    <w:tmpl w:val="8D986602"/>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44" w15:restartNumberingAfterBreak="0">
    <w:nsid w:val="2C464580"/>
    <w:multiLevelType w:val="hybridMultilevel"/>
    <w:tmpl w:val="E7927BE8"/>
    <w:lvl w:ilvl="0" w:tplc="0C0A0001">
      <w:start w:val="1"/>
      <w:numFmt w:val="bullet"/>
      <w:lvlText w:val=""/>
      <w:lvlJc w:val="left"/>
      <w:pPr>
        <w:ind w:left="2160" w:hanging="360"/>
      </w:pPr>
      <w:rPr>
        <w:rFonts w:hint="default" w:ascii="Symbol" w:hAnsi="Symbol"/>
      </w:rPr>
    </w:lvl>
    <w:lvl w:ilvl="1" w:tplc="0C0A0019" w:tentative="1">
      <w:start w:val="1"/>
      <w:numFmt w:val="lowerLetter"/>
      <w:lvlText w:val="%2."/>
      <w:lvlJc w:val="left"/>
      <w:pPr>
        <w:ind w:left="2880" w:hanging="360"/>
      </w:pPr>
    </w:lvl>
    <w:lvl w:ilvl="2" w:tplc="0C0A001B" w:tentative="1">
      <w:start w:val="1"/>
      <w:numFmt w:val="lowerRoman"/>
      <w:lvlText w:val="%3."/>
      <w:lvlJc w:val="right"/>
      <w:pPr>
        <w:ind w:left="3600" w:hanging="180"/>
      </w:pPr>
    </w:lvl>
    <w:lvl w:ilvl="3" w:tplc="0C0A000F" w:tentative="1">
      <w:start w:val="1"/>
      <w:numFmt w:val="decimal"/>
      <w:lvlText w:val="%4."/>
      <w:lvlJc w:val="left"/>
      <w:pPr>
        <w:ind w:left="4320" w:hanging="360"/>
      </w:pPr>
    </w:lvl>
    <w:lvl w:ilvl="4" w:tplc="0C0A0019" w:tentative="1">
      <w:start w:val="1"/>
      <w:numFmt w:val="lowerLetter"/>
      <w:lvlText w:val="%5."/>
      <w:lvlJc w:val="left"/>
      <w:pPr>
        <w:ind w:left="5040" w:hanging="360"/>
      </w:pPr>
    </w:lvl>
    <w:lvl w:ilvl="5" w:tplc="0C0A001B" w:tentative="1">
      <w:start w:val="1"/>
      <w:numFmt w:val="lowerRoman"/>
      <w:lvlText w:val="%6."/>
      <w:lvlJc w:val="right"/>
      <w:pPr>
        <w:ind w:left="5760" w:hanging="180"/>
      </w:pPr>
    </w:lvl>
    <w:lvl w:ilvl="6" w:tplc="0C0A000F" w:tentative="1">
      <w:start w:val="1"/>
      <w:numFmt w:val="decimal"/>
      <w:lvlText w:val="%7."/>
      <w:lvlJc w:val="left"/>
      <w:pPr>
        <w:ind w:left="6480" w:hanging="360"/>
      </w:pPr>
    </w:lvl>
    <w:lvl w:ilvl="7" w:tplc="0C0A0019" w:tentative="1">
      <w:start w:val="1"/>
      <w:numFmt w:val="lowerLetter"/>
      <w:lvlText w:val="%8."/>
      <w:lvlJc w:val="left"/>
      <w:pPr>
        <w:ind w:left="7200" w:hanging="360"/>
      </w:pPr>
    </w:lvl>
    <w:lvl w:ilvl="8" w:tplc="0C0A001B" w:tentative="1">
      <w:start w:val="1"/>
      <w:numFmt w:val="lowerRoman"/>
      <w:lvlText w:val="%9."/>
      <w:lvlJc w:val="right"/>
      <w:pPr>
        <w:ind w:left="7920" w:hanging="180"/>
      </w:pPr>
    </w:lvl>
  </w:abstractNum>
  <w:abstractNum w:abstractNumId="45" w15:restartNumberingAfterBreak="0">
    <w:nsid w:val="2CCC51FC"/>
    <w:multiLevelType w:val="hybridMultilevel"/>
    <w:tmpl w:val="CFEC23A2"/>
    <w:lvl w:ilvl="0" w:tplc="580A000B">
      <w:start w:val="1"/>
      <w:numFmt w:val="bullet"/>
      <w:lvlText w:val=""/>
      <w:lvlJc w:val="left"/>
      <w:pPr>
        <w:ind w:left="784" w:hanging="360"/>
      </w:pPr>
      <w:rPr>
        <w:rFonts w:hint="default" w:ascii="Wingdings" w:hAnsi="Wingdings"/>
      </w:rPr>
    </w:lvl>
    <w:lvl w:ilvl="1" w:tplc="580A0003" w:tentative="1">
      <w:start w:val="1"/>
      <w:numFmt w:val="bullet"/>
      <w:lvlText w:val="o"/>
      <w:lvlJc w:val="left"/>
      <w:pPr>
        <w:ind w:left="1504" w:hanging="360"/>
      </w:pPr>
      <w:rPr>
        <w:rFonts w:hint="default" w:ascii="Courier New" w:hAnsi="Courier New" w:cs="Courier New"/>
      </w:rPr>
    </w:lvl>
    <w:lvl w:ilvl="2" w:tplc="580A0005" w:tentative="1">
      <w:start w:val="1"/>
      <w:numFmt w:val="bullet"/>
      <w:lvlText w:val=""/>
      <w:lvlJc w:val="left"/>
      <w:pPr>
        <w:ind w:left="2224" w:hanging="360"/>
      </w:pPr>
      <w:rPr>
        <w:rFonts w:hint="default" w:ascii="Wingdings" w:hAnsi="Wingdings"/>
      </w:rPr>
    </w:lvl>
    <w:lvl w:ilvl="3" w:tplc="580A0001" w:tentative="1">
      <w:start w:val="1"/>
      <w:numFmt w:val="bullet"/>
      <w:lvlText w:val=""/>
      <w:lvlJc w:val="left"/>
      <w:pPr>
        <w:ind w:left="2944" w:hanging="360"/>
      </w:pPr>
      <w:rPr>
        <w:rFonts w:hint="default" w:ascii="Symbol" w:hAnsi="Symbol"/>
      </w:rPr>
    </w:lvl>
    <w:lvl w:ilvl="4" w:tplc="580A0003" w:tentative="1">
      <w:start w:val="1"/>
      <w:numFmt w:val="bullet"/>
      <w:lvlText w:val="o"/>
      <w:lvlJc w:val="left"/>
      <w:pPr>
        <w:ind w:left="3664" w:hanging="360"/>
      </w:pPr>
      <w:rPr>
        <w:rFonts w:hint="default" w:ascii="Courier New" w:hAnsi="Courier New" w:cs="Courier New"/>
      </w:rPr>
    </w:lvl>
    <w:lvl w:ilvl="5" w:tplc="580A0005" w:tentative="1">
      <w:start w:val="1"/>
      <w:numFmt w:val="bullet"/>
      <w:lvlText w:val=""/>
      <w:lvlJc w:val="left"/>
      <w:pPr>
        <w:ind w:left="4384" w:hanging="360"/>
      </w:pPr>
      <w:rPr>
        <w:rFonts w:hint="default" w:ascii="Wingdings" w:hAnsi="Wingdings"/>
      </w:rPr>
    </w:lvl>
    <w:lvl w:ilvl="6" w:tplc="580A0001" w:tentative="1">
      <w:start w:val="1"/>
      <w:numFmt w:val="bullet"/>
      <w:lvlText w:val=""/>
      <w:lvlJc w:val="left"/>
      <w:pPr>
        <w:ind w:left="5104" w:hanging="360"/>
      </w:pPr>
      <w:rPr>
        <w:rFonts w:hint="default" w:ascii="Symbol" w:hAnsi="Symbol"/>
      </w:rPr>
    </w:lvl>
    <w:lvl w:ilvl="7" w:tplc="580A0003" w:tentative="1">
      <w:start w:val="1"/>
      <w:numFmt w:val="bullet"/>
      <w:lvlText w:val="o"/>
      <w:lvlJc w:val="left"/>
      <w:pPr>
        <w:ind w:left="5824" w:hanging="360"/>
      </w:pPr>
      <w:rPr>
        <w:rFonts w:hint="default" w:ascii="Courier New" w:hAnsi="Courier New" w:cs="Courier New"/>
      </w:rPr>
    </w:lvl>
    <w:lvl w:ilvl="8" w:tplc="580A0005" w:tentative="1">
      <w:start w:val="1"/>
      <w:numFmt w:val="bullet"/>
      <w:lvlText w:val=""/>
      <w:lvlJc w:val="left"/>
      <w:pPr>
        <w:ind w:left="6544" w:hanging="360"/>
      </w:pPr>
      <w:rPr>
        <w:rFonts w:hint="default" w:ascii="Wingdings" w:hAnsi="Wingdings"/>
      </w:rPr>
    </w:lvl>
  </w:abstractNum>
  <w:abstractNum w:abstractNumId="46" w15:restartNumberingAfterBreak="0">
    <w:nsid w:val="2E38558F"/>
    <w:multiLevelType w:val="hybridMultilevel"/>
    <w:tmpl w:val="13D42ADA"/>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47" w15:restartNumberingAfterBreak="0">
    <w:nsid w:val="30480372"/>
    <w:multiLevelType w:val="hybridMultilevel"/>
    <w:tmpl w:val="FAC85582"/>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48" w15:restartNumberingAfterBreak="0">
    <w:nsid w:val="308E6E99"/>
    <w:multiLevelType w:val="hybridMultilevel"/>
    <w:tmpl w:val="042C7838"/>
    <w:lvl w:ilvl="0" w:tplc="140A000F">
      <w:start w:val="1"/>
      <w:numFmt w:val="decimal"/>
      <w:lvlText w:val="%1."/>
      <w:lvlJc w:val="left"/>
      <w:pPr>
        <w:ind w:left="720" w:hanging="360"/>
      </w:pPr>
    </w:lvl>
    <w:lvl w:ilvl="1" w:tplc="AA26F336">
      <w:numFmt w:val="bullet"/>
      <w:lvlText w:val="•"/>
      <w:lvlJc w:val="left"/>
      <w:pPr>
        <w:ind w:left="1800" w:hanging="720"/>
      </w:pPr>
      <w:rPr>
        <w:rFonts w:hint="default" w:ascii="Book Antiqua" w:hAnsi="Book Antiqua" w:eastAsia="Calibri" w:cs="Times New Roman"/>
      </w:rPr>
    </w:lvl>
    <w:lvl w:ilvl="2" w:tplc="887EB040">
      <w:start w:val="1"/>
      <w:numFmt w:val="decimal"/>
      <w:lvlText w:val="%3)"/>
      <w:lvlJc w:val="left"/>
      <w:pPr>
        <w:ind w:left="2340" w:hanging="360"/>
      </w:pPr>
      <w:rPr>
        <w:rFonts w:hint="default"/>
      </w:r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15:restartNumberingAfterBreak="0">
    <w:nsid w:val="31733D79"/>
    <w:multiLevelType w:val="hybridMultilevel"/>
    <w:tmpl w:val="13364622"/>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50" w15:restartNumberingAfterBreak="0">
    <w:nsid w:val="326630F5"/>
    <w:multiLevelType w:val="hybridMultilevel"/>
    <w:tmpl w:val="ECB6A5E2"/>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51" w15:restartNumberingAfterBreak="0">
    <w:nsid w:val="34E439CC"/>
    <w:multiLevelType w:val="hybridMultilevel"/>
    <w:tmpl w:val="C2E2C950"/>
    <w:lvl w:ilvl="0" w:tplc="140A000F">
      <w:start w:val="1"/>
      <w:numFmt w:val="decimal"/>
      <w:lvlText w:val="%1."/>
      <w:lvlJc w:val="left"/>
      <w:pPr>
        <w:ind w:left="720" w:hanging="360"/>
      </w:pPr>
      <w:rPr>
        <w:rFonts w:hint="default"/>
        <w:u w:val="none"/>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15:restartNumberingAfterBreak="0">
    <w:nsid w:val="36E81FEC"/>
    <w:multiLevelType w:val="hybridMultilevel"/>
    <w:tmpl w:val="B74ED3C8"/>
    <w:lvl w:ilvl="0" w:tplc="140A0001">
      <w:start w:val="1"/>
      <w:numFmt w:val="bullet"/>
      <w:lvlText w:val=""/>
      <w:lvlJc w:val="left"/>
      <w:pPr>
        <w:ind w:left="780" w:hanging="360"/>
      </w:pPr>
      <w:rPr>
        <w:rFonts w:hint="default" w:ascii="Symbol" w:hAnsi="Symbol"/>
      </w:rPr>
    </w:lvl>
    <w:lvl w:ilvl="1" w:tplc="140A0003" w:tentative="1">
      <w:start w:val="1"/>
      <w:numFmt w:val="bullet"/>
      <w:lvlText w:val="o"/>
      <w:lvlJc w:val="left"/>
      <w:pPr>
        <w:ind w:left="1500" w:hanging="360"/>
      </w:pPr>
      <w:rPr>
        <w:rFonts w:hint="default" w:ascii="Courier New" w:hAnsi="Courier New" w:cs="Courier New"/>
      </w:rPr>
    </w:lvl>
    <w:lvl w:ilvl="2" w:tplc="140A0005" w:tentative="1">
      <w:start w:val="1"/>
      <w:numFmt w:val="bullet"/>
      <w:lvlText w:val=""/>
      <w:lvlJc w:val="left"/>
      <w:pPr>
        <w:ind w:left="2220" w:hanging="360"/>
      </w:pPr>
      <w:rPr>
        <w:rFonts w:hint="default" w:ascii="Wingdings" w:hAnsi="Wingdings"/>
      </w:rPr>
    </w:lvl>
    <w:lvl w:ilvl="3" w:tplc="140A0001" w:tentative="1">
      <w:start w:val="1"/>
      <w:numFmt w:val="bullet"/>
      <w:lvlText w:val=""/>
      <w:lvlJc w:val="left"/>
      <w:pPr>
        <w:ind w:left="2940" w:hanging="360"/>
      </w:pPr>
      <w:rPr>
        <w:rFonts w:hint="default" w:ascii="Symbol" w:hAnsi="Symbol"/>
      </w:rPr>
    </w:lvl>
    <w:lvl w:ilvl="4" w:tplc="140A0003" w:tentative="1">
      <w:start w:val="1"/>
      <w:numFmt w:val="bullet"/>
      <w:lvlText w:val="o"/>
      <w:lvlJc w:val="left"/>
      <w:pPr>
        <w:ind w:left="3660" w:hanging="360"/>
      </w:pPr>
      <w:rPr>
        <w:rFonts w:hint="default" w:ascii="Courier New" w:hAnsi="Courier New" w:cs="Courier New"/>
      </w:rPr>
    </w:lvl>
    <w:lvl w:ilvl="5" w:tplc="140A0005" w:tentative="1">
      <w:start w:val="1"/>
      <w:numFmt w:val="bullet"/>
      <w:lvlText w:val=""/>
      <w:lvlJc w:val="left"/>
      <w:pPr>
        <w:ind w:left="4380" w:hanging="360"/>
      </w:pPr>
      <w:rPr>
        <w:rFonts w:hint="default" w:ascii="Wingdings" w:hAnsi="Wingdings"/>
      </w:rPr>
    </w:lvl>
    <w:lvl w:ilvl="6" w:tplc="140A0001" w:tentative="1">
      <w:start w:val="1"/>
      <w:numFmt w:val="bullet"/>
      <w:lvlText w:val=""/>
      <w:lvlJc w:val="left"/>
      <w:pPr>
        <w:ind w:left="5100" w:hanging="360"/>
      </w:pPr>
      <w:rPr>
        <w:rFonts w:hint="default" w:ascii="Symbol" w:hAnsi="Symbol"/>
      </w:rPr>
    </w:lvl>
    <w:lvl w:ilvl="7" w:tplc="140A0003" w:tentative="1">
      <w:start w:val="1"/>
      <w:numFmt w:val="bullet"/>
      <w:lvlText w:val="o"/>
      <w:lvlJc w:val="left"/>
      <w:pPr>
        <w:ind w:left="5820" w:hanging="360"/>
      </w:pPr>
      <w:rPr>
        <w:rFonts w:hint="default" w:ascii="Courier New" w:hAnsi="Courier New" w:cs="Courier New"/>
      </w:rPr>
    </w:lvl>
    <w:lvl w:ilvl="8" w:tplc="140A0005" w:tentative="1">
      <w:start w:val="1"/>
      <w:numFmt w:val="bullet"/>
      <w:lvlText w:val=""/>
      <w:lvlJc w:val="left"/>
      <w:pPr>
        <w:ind w:left="6540" w:hanging="360"/>
      </w:pPr>
      <w:rPr>
        <w:rFonts w:hint="default" w:ascii="Wingdings" w:hAnsi="Wingdings"/>
      </w:rPr>
    </w:lvl>
  </w:abstractNum>
  <w:abstractNum w:abstractNumId="53" w15:restartNumberingAfterBreak="0">
    <w:nsid w:val="374E67D7"/>
    <w:multiLevelType w:val="hybridMultilevel"/>
    <w:tmpl w:val="EB3E6B20"/>
    <w:lvl w:ilvl="0" w:tplc="14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54" w15:restartNumberingAfterBreak="0">
    <w:nsid w:val="37D652E3"/>
    <w:multiLevelType w:val="hybridMultilevel"/>
    <w:tmpl w:val="B37ADB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82E6D25"/>
    <w:multiLevelType w:val="hybridMultilevel"/>
    <w:tmpl w:val="E0A0F554"/>
    <w:lvl w:ilvl="0" w:tplc="140A0001">
      <w:start w:val="1"/>
      <w:numFmt w:val="lowerLetter"/>
      <w:lvlText w:val="%1."/>
      <w:lvlJc w:val="left"/>
      <w:pPr>
        <w:ind w:left="720" w:hanging="360"/>
      </w:pPr>
    </w:lvl>
    <w:lvl w:ilvl="1" w:tplc="140A0003" w:tentative="1">
      <w:start w:val="1"/>
      <w:numFmt w:val="lowerLetter"/>
      <w:lvlText w:val="%2."/>
      <w:lvlJc w:val="left"/>
      <w:pPr>
        <w:ind w:left="1440" w:hanging="360"/>
      </w:pPr>
    </w:lvl>
    <w:lvl w:ilvl="2" w:tplc="140A0005" w:tentative="1">
      <w:start w:val="1"/>
      <w:numFmt w:val="lowerRoman"/>
      <w:lvlText w:val="%3."/>
      <w:lvlJc w:val="right"/>
      <w:pPr>
        <w:ind w:left="2160" w:hanging="180"/>
      </w:pPr>
    </w:lvl>
    <w:lvl w:ilvl="3" w:tplc="140A0001" w:tentative="1">
      <w:start w:val="1"/>
      <w:numFmt w:val="decimal"/>
      <w:lvlText w:val="%4."/>
      <w:lvlJc w:val="left"/>
      <w:pPr>
        <w:ind w:left="2880" w:hanging="360"/>
      </w:pPr>
    </w:lvl>
    <w:lvl w:ilvl="4" w:tplc="140A0003" w:tentative="1">
      <w:start w:val="1"/>
      <w:numFmt w:val="lowerLetter"/>
      <w:lvlText w:val="%5."/>
      <w:lvlJc w:val="left"/>
      <w:pPr>
        <w:ind w:left="3600" w:hanging="360"/>
      </w:pPr>
    </w:lvl>
    <w:lvl w:ilvl="5" w:tplc="140A0005" w:tentative="1">
      <w:start w:val="1"/>
      <w:numFmt w:val="lowerRoman"/>
      <w:lvlText w:val="%6."/>
      <w:lvlJc w:val="right"/>
      <w:pPr>
        <w:ind w:left="4320" w:hanging="180"/>
      </w:pPr>
    </w:lvl>
    <w:lvl w:ilvl="6" w:tplc="140A0001" w:tentative="1">
      <w:start w:val="1"/>
      <w:numFmt w:val="decimal"/>
      <w:lvlText w:val="%7."/>
      <w:lvlJc w:val="left"/>
      <w:pPr>
        <w:ind w:left="5040" w:hanging="360"/>
      </w:pPr>
    </w:lvl>
    <w:lvl w:ilvl="7" w:tplc="140A0003" w:tentative="1">
      <w:start w:val="1"/>
      <w:numFmt w:val="lowerLetter"/>
      <w:lvlText w:val="%8."/>
      <w:lvlJc w:val="left"/>
      <w:pPr>
        <w:ind w:left="5760" w:hanging="360"/>
      </w:pPr>
    </w:lvl>
    <w:lvl w:ilvl="8" w:tplc="140A0005" w:tentative="1">
      <w:start w:val="1"/>
      <w:numFmt w:val="lowerRoman"/>
      <w:lvlText w:val="%9."/>
      <w:lvlJc w:val="right"/>
      <w:pPr>
        <w:ind w:left="6480" w:hanging="180"/>
      </w:pPr>
    </w:lvl>
  </w:abstractNum>
  <w:abstractNum w:abstractNumId="56" w15:restartNumberingAfterBreak="0">
    <w:nsid w:val="39035A0F"/>
    <w:multiLevelType w:val="hybridMultilevel"/>
    <w:tmpl w:val="8F60BEA2"/>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57" w15:restartNumberingAfterBreak="0">
    <w:nsid w:val="39BA5145"/>
    <w:multiLevelType w:val="hybridMultilevel"/>
    <w:tmpl w:val="11A2B4D6"/>
    <w:lvl w:ilvl="0" w:tplc="EAFE9F1E">
      <w:start w:val="1"/>
      <w:numFmt w:val="lowerLetter"/>
      <w:lvlText w:val="%1."/>
      <w:lvlJc w:val="left"/>
      <w:pPr>
        <w:ind w:left="720" w:hanging="360"/>
      </w:pPr>
      <w:rPr>
        <w:rFonts w:ascii="Book Antiqua" w:hAnsi="Book Antiqua" w:eastAsia="Times New Roman" w:cs="Arial"/>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8" w15:restartNumberingAfterBreak="0">
    <w:nsid w:val="3BDA664C"/>
    <w:multiLevelType w:val="multilevel"/>
    <w:tmpl w:val="9872C142"/>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9" w15:restartNumberingAfterBreak="0">
    <w:nsid w:val="3EC970FA"/>
    <w:multiLevelType w:val="hybridMultilevel"/>
    <w:tmpl w:val="4BDA4AE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0" w15:restartNumberingAfterBreak="0">
    <w:nsid w:val="3F48677A"/>
    <w:multiLevelType w:val="hybridMultilevel"/>
    <w:tmpl w:val="27A64DE4"/>
    <w:lvl w:ilvl="0" w:tplc="140A0019">
      <w:start w:val="1"/>
      <w:numFmt w:val="lowerLetter"/>
      <w:lvlText w:val="%1."/>
      <w:lvlJc w:val="left"/>
      <w:pPr>
        <w:ind w:left="644" w:hanging="360"/>
      </w:pPr>
      <w:rPr>
        <w:rFonts w:hint="default"/>
      </w:rPr>
    </w:lvl>
    <w:lvl w:ilvl="1" w:tplc="140A0019" w:tentative="1">
      <w:start w:val="1"/>
      <w:numFmt w:val="lowerLetter"/>
      <w:lvlText w:val="%2."/>
      <w:lvlJc w:val="left"/>
      <w:pPr>
        <w:ind w:left="1364" w:hanging="360"/>
      </w:pPr>
    </w:lvl>
    <w:lvl w:ilvl="2" w:tplc="140A001B" w:tentative="1">
      <w:start w:val="1"/>
      <w:numFmt w:val="lowerRoman"/>
      <w:lvlText w:val="%3."/>
      <w:lvlJc w:val="right"/>
      <w:pPr>
        <w:ind w:left="2084" w:hanging="180"/>
      </w:pPr>
    </w:lvl>
    <w:lvl w:ilvl="3" w:tplc="140A000F" w:tentative="1">
      <w:start w:val="1"/>
      <w:numFmt w:val="decimal"/>
      <w:lvlText w:val="%4."/>
      <w:lvlJc w:val="left"/>
      <w:pPr>
        <w:ind w:left="2804" w:hanging="360"/>
      </w:pPr>
    </w:lvl>
    <w:lvl w:ilvl="4" w:tplc="140A0019" w:tentative="1">
      <w:start w:val="1"/>
      <w:numFmt w:val="lowerLetter"/>
      <w:lvlText w:val="%5."/>
      <w:lvlJc w:val="left"/>
      <w:pPr>
        <w:ind w:left="3524" w:hanging="360"/>
      </w:pPr>
    </w:lvl>
    <w:lvl w:ilvl="5" w:tplc="140A001B" w:tentative="1">
      <w:start w:val="1"/>
      <w:numFmt w:val="lowerRoman"/>
      <w:lvlText w:val="%6."/>
      <w:lvlJc w:val="right"/>
      <w:pPr>
        <w:ind w:left="4244" w:hanging="180"/>
      </w:pPr>
    </w:lvl>
    <w:lvl w:ilvl="6" w:tplc="140A000F" w:tentative="1">
      <w:start w:val="1"/>
      <w:numFmt w:val="decimal"/>
      <w:lvlText w:val="%7."/>
      <w:lvlJc w:val="left"/>
      <w:pPr>
        <w:ind w:left="4964" w:hanging="360"/>
      </w:pPr>
    </w:lvl>
    <w:lvl w:ilvl="7" w:tplc="140A0019" w:tentative="1">
      <w:start w:val="1"/>
      <w:numFmt w:val="lowerLetter"/>
      <w:lvlText w:val="%8."/>
      <w:lvlJc w:val="left"/>
      <w:pPr>
        <w:ind w:left="5684" w:hanging="360"/>
      </w:pPr>
    </w:lvl>
    <w:lvl w:ilvl="8" w:tplc="140A001B" w:tentative="1">
      <w:start w:val="1"/>
      <w:numFmt w:val="lowerRoman"/>
      <w:lvlText w:val="%9."/>
      <w:lvlJc w:val="right"/>
      <w:pPr>
        <w:ind w:left="6404" w:hanging="180"/>
      </w:pPr>
    </w:lvl>
  </w:abstractNum>
  <w:abstractNum w:abstractNumId="61" w15:restartNumberingAfterBreak="0">
    <w:nsid w:val="3F525EAA"/>
    <w:multiLevelType w:val="hybridMultilevel"/>
    <w:tmpl w:val="C9BA82A0"/>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62" w15:restartNumberingAfterBreak="0">
    <w:nsid w:val="3F6121E2"/>
    <w:multiLevelType w:val="hybridMultilevel"/>
    <w:tmpl w:val="BEC888FE"/>
    <w:lvl w:ilvl="0" w:tplc="140A0001">
      <w:start w:val="1"/>
      <w:numFmt w:val="bullet"/>
      <w:lvlText w:val=""/>
      <w:lvlJc w:val="left"/>
      <w:pPr>
        <w:tabs>
          <w:tab w:val="num" w:pos="720"/>
        </w:tabs>
        <w:ind w:left="720" w:hanging="360"/>
      </w:pPr>
      <w:rPr>
        <w:rFonts w:hint="default" w:ascii="Wingdings" w:hAnsi="Wingdings"/>
      </w:rPr>
    </w:lvl>
    <w:lvl w:ilvl="1" w:tplc="140A0003" w:tentative="1">
      <w:start w:val="1"/>
      <w:numFmt w:val="bullet"/>
      <w:lvlText w:val="o"/>
      <w:lvlJc w:val="left"/>
      <w:pPr>
        <w:tabs>
          <w:tab w:val="num" w:pos="1440"/>
        </w:tabs>
        <w:ind w:left="1440" w:hanging="360"/>
      </w:pPr>
      <w:rPr>
        <w:rFonts w:hint="default" w:ascii="Courier New" w:hAnsi="Courier New" w:cs="Courier New"/>
      </w:rPr>
    </w:lvl>
    <w:lvl w:ilvl="2" w:tplc="140A0005" w:tentative="1">
      <w:start w:val="1"/>
      <w:numFmt w:val="bullet"/>
      <w:lvlText w:val=""/>
      <w:lvlJc w:val="left"/>
      <w:pPr>
        <w:tabs>
          <w:tab w:val="num" w:pos="2160"/>
        </w:tabs>
        <w:ind w:left="2160" w:hanging="360"/>
      </w:pPr>
      <w:rPr>
        <w:rFonts w:hint="default" w:ascii="Wingdings" w:hAnsi="Wingdings"/>
      </w:rPr>
    </w:lvl>
    <w:lvl w:ilvl="3" w:tplc="140A0001" w:tentative="1">
      <w:start w:val="1"/>
      <w:numFmt w:val="bullet"/>
      <w:lvlText w:val=""/>
      <w:lvlJc w:val="left"/>
      <w:pPr>
        <w:tabs>
          <w:tab w:val="num" w:pos="2880"/>
        </w:tabs>
        <w:ind w:left="2880" w:hanging="360"/>
      </w:pPr>
      <w:rPr>
        <w:rFonts w:hint="default" w:ascii="Symbol" w:hAnsi="Symbol"/>
      </w:rPr>
    </w:lvl>
    <w:lvl w:ilvl="4" w:tplc="140A0003" w:tentative="1">
      <w:start w:val="1"/>
      <w:numFmt w:val="bullet"/>
      <w:lvlText w:val="o"/>
      <w:lvlJc w:val="left"/>
      <w:pPr>
        <w:tabs>
          <w:tab w:val="num" w:pos="3600"/>
        </w:tabs>
        <w:ind w:left="3600" w:hanging="360"/>
      </w:pPr>
      <w:rPr>
        <w:rFonts w:hint="default" w:ascii="Courier New" w:hAnsi="Courier New" w:cs="Courier New"/>
      </w:rPr>
    </w:lvl>
    <w:lvl w:ilvl="5" w:tplc="140A0005" w:tentative="1">
      <w:start w:val="1"/>
      <w:numFmt w:val="bullet"/>
      <w:lvlText w:val=""/>
      <w:lvlJc w:val="left"/>
      <w:pPr>
        <w:tabs>
          <w:tab w:val="num" w:pos="4320"/>
        </w:tabs>
        <w:ind w:left="4320" w:hanging="360"/>
      </w:pPr>
      <w:rPr>
        <w:rFonts w:hint="default" w:ascii="Wingdings" w:hAnsi="Wingdings"/>
      </w:rPr>
    </w:lvl>
    <w:lvl w:ilvl="6" w:tplc="140A0001" w:tentative="1">
      <w:start w:val="1"/>
      <w:numFmt w:val="bullet"/>
      <w:lvlText w:val=""/>
      <w:lvlJc w:val="left"/>
      <w:pPr>
        <w:tabs>
          <w:tab w:val="num" w:pos="5040"/>
        </w:tabs>
        <w:ind w:left="5040" w:hanging="360"/>
      </w:pPr>
      <w:rPr>
        <w:rFonts w:hint="default" w:ascii="Symbol" w:hAnsi="Symbol"/>
      </w:rPr>
    </w:lvl>
    <w:lvl w:ilvl="7" w:tplc="140A0003" w:tentative="1">
      <w:start w:val="1"/>
      <w:numFmt w:val="bullet"/>
      <w:lvlText w:val="o"/>
      <w:lvlJc w:val="left"/>
      <w:pPr>
        <w:tabs>
          <w:tab w:val="num" w:pos="5760"/>
        </w:tabs>
        <w:ind w:left="5760" w:hanging="360"/>
      </w:pPr>
      <w:rPr>
        <w:rFonts w:hint="default" w:ascii="Courier New" w:hAnsi="Courier New" w:cs="Courier New"/>
      </w:rPr>
    </w:lvl>
    <w:lvl w:ilvl="8" w:tplc="140A0005" w:tentative="1">
      <w:start w:val="1"/>
      <w:numFmt w:val="bullet"/>
      <w:lvlText w:val=""/>
      <w:lvlJc w:val="left"/>
      <w:pPr>
        <w:tabs>
          <w:tab w:val="num" w:pos="6480"/>
        </w:tabs>
        <w:ind w:left="6480" w:hanging="360"/>
      </w:pPr>
      <w:rPr>
        <w:rFonts w:hint="default" w:ascii="Wingdings" w:hAnsi="Wingdings"/>
      </w:rPr>
    </w:lvl>
  </w:abstractNum>
  <w:abstractNum w:abstractNumId="63" w15:restartNumberingAfterBreak="0">
    <w:nsid w:val="3F70613A"/>
    <w:multiLevelType w:val="hybridMultilevel"/>
    <w:tmpl w:val="4DA4DA4E"/>
    <w:lvl w:ilvl="0" w:tplc="140A0001">
      <w:start w:val="1"/>
      <w:numFmt w:val="bullet"/>
      <w:lvlText w:val=""/>
      <w:lvlJc w:val="left"/>
      <w:pPr>
        <w:ind w:left="720" w:hanging="360"/>
      </w:pPr>
      <w:rPr>
        <w:rFonts w:hint="default" w:ascii="Symbol" w:hAnsi="Symbol"/>
      </w:rPr>
    </w:lvl>
    <w:lvl w:ilvl="1" w:tplc="140A0003">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64" w15:restartNumberingAfterBreak="0">
    <w:nsid w:val="412B46DB"/>
    <w:multiLevelType w:val="multilevel"/>
    <w:tmpl w:val="205E15CA"/>
    <w:lvl w:ilvl="0">
      <w:start w:val="7"/>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5" w15:restartNumberingAfterBreak="0">
    <w:nsid w:val="41483159"/>
    <w:multiLevelType w:val="hybridMultilevel"/>
    <w:tmpl w:val="331ACC8A"/>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66" w15:restartNumberingAfterBreak="0">
    <w:nsid w:val="42AA2D7A"/>
    <w:multiLevelType w:val="hybridMultilevel"/>
    <w:tmpl w:val="7E2853D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7" w15:restartNumberingAfterBreak="0">
    <w:nsid w:val="42CD7A96"/>
    <w:multiLevelType w:val="hybridMultilevel"/>
    <w:tmpl w:val="20A0F27C"/>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68" w15:restartNumberingAfterBreak="0">
    <w:nsid w:val="435A2389"/>
    <w:multiLevelType w:val="hybridMultilevel"/>
    <w:tmpl w:val="DCD0D2A6"/>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69" w15:restartNumberingAfterBreak="0">
    <w:nsid w:val="435E2C12"/>
    <w:multiLevelType w:val="hybridMultilevel"/>
    <w:tmpl w:val="C374AF94"/>
    <w:lvl w:ilvl="0" w:tplc="1584BDF2">
      <w:start w:val="1"/>
      <w:numFmt w:val="lowerLetter"/>
      <w:lvlText w:val="%1."/>
      <w:lvlJc w:val="left"/>
      <w:pPr>
        <w:tabs>
          <w:tab w:val="num" w:pos="720"/>
        </w:tabs>
        <w:ind w:left="720" w:hanging="360"/>
      </w:pPr>
      <w:rPr>
        <w:rFonts w:hint="default" w:ascii="Times-Roman" w:hAnsi="Times-Roman" w:cs="Times-Roman"/>
        <w:b w:val="0"/>
      </w:rPr>
    </w:lvl>
    <w:lvl w:ilvl="1" w:tplc="53566D52">
      <w:start w:val="9"/>
      <w:numFmt w:val="bullet"/>
      <w:pStyle w:val="heading2"/>
      <w:lvlText w:val="-"/>
      <w:lvlJc w:val="left"/>
      <w:pPr>
        <w:tabs>
          <w:tab w:val="num" w:pos="1440"/>
        </w:tabs>
        <w:ind w:left="1440" w:hanging="360"/>
      </w:pPr>
      <w:rPr>
        <w:rFonts w:hint="default" w:ascii="Times New Roman" w:hAnsi="Times New Roman" w:eastAsia="Times New Roman" w:cs="Times New Roman"/>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0" w15:restartNumberingAfterBreak="0">
    <w:nsid w:val="44D97FBA"/>
    <w:multiLevelType w:val="hybridMultilevel"/>
    <w:tmpl w:val="B044A61E"/>
    <w:lvl w:ilvl="0" w:tplc="140A0019">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71" w15:restartNumberingAfterBreak="0">
    <w:nsid w:val="44FD61AB"/>
    <w:multiLevelType w:val="hybridMultilevel"/>
    <w:tmpl w:val="C6228E6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2" w15:restartNumberingAfterBreak="0">
    <w:nsid w:val="46EC0161"/>
    <w:multiLevelType w:val="hybridMultilevel"/>
    <w:tmpl w:val="152481B8"/>
    <w:lvl w:ilvl="0" w:tplc="140A000F">
      <w:start w:val="1"/>
      <w:numFmt w:val="decimal"/>
      <w:lvlText w:val="%1."/>
      <w:lvlJc w:val="left"/>
      <w:pPr>
        <w:ind w:left="720" w:hanging="360"/>
      </w:pPr>
    </w:lvl>
    <w:lvl w:ilvl="1" w:tplc="0124099A">
      <w:numFmt w:val="bullet"/>
      <w:lvlText w:val="•"/>
      <w:lvlJc w:val="left"/>
      <w:pPr>
        <w:ind w:left="1785" w:hanging="705"/>
      </w:pPr>
      <w:rPr>
        <w:rFonts w:hint="default" w:ascii="Book Antiqua" w:hAnsi="Book Antiqua" w:eastAsiaTheme="minorHAnsi" w:cstheme="minorBidi"/>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3" w15:restartNumberingAfterBreak="0">
    <w:nsid w:val="47332179"/>
    <w:multiLevelType w:val="hybridMultilevel"/>
    <w:tmpl w:val="1C00B02E"/>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4" w15:restartNumberingAfterBreak="0">
    <w:nsid w:val="47553F69"/>
    <w:multiLevelType w:val="hybridMultilevel"/>
    <w:tmpl w:val="A24CC2AE"/>
    <w:lvl w:ilvl="0" w:tplc="0C0A0001">
      <w:start w:val="1"/>
      <w:numFmt w:val="lowerLetter"/>
      <w:lvlText w:val="%1."/>
      <w:lvlJc w:val="left"/>
    </w:lvl>
    <w:lvl w:ilvl="1" w:tplc="0C0A0003">
      <w:start w:val="1"/>
      <w:numFmt w:val="bullet"/>
      <w:lvlText w:val=""/>
      <w:lvlJc w:val="left"/>
    </w:lvl>
    <w:lvl w:ilvl="2" w:tplc="0C0A0005">
      <w:start w:val="1"/>
      <w:numFmt w:val="bullet"/>
      <w:lvlText w:val=""/>
      <w:lvlJc w:val="left"/>
    </w:lvl>
    <w:lvl w:ilvl="3" w:tplc="0C0A0001">
      <w:start w:val="1"/>
      <w:numFmt w:val="bullet"/>
      <w:lvlText w:val=""/>
      <w:lvlJc w:val="left"/>
    </w:lvl>
    <w:lvl w:ilvl="4" w:tplc="0C0A0003">
      <w:start w:val="1"/>
      <w:numFmt w:val="bullet"/>
      <w:lvlText w:val=""/>
      <w:lvlJc w:val="left"/>
    </w:lvl>
    <w:lvl w:ilvl="5" w:tplc="0C0A0005">
      <w:start w:val="1"/>
      <w:numFmt w:val="bullet"/>
      <w:lvlText w:val=""/>
      <w:lvlJc w:val="left"/>
    </w:lvl>
    <w:lvl w:ilvl="6" w:tplc="0C0A0001">
      <w:start w:val="1"/>
      <w:numFmt w:val="bullet"/>
      <w:lvlText w:val=""/>
      <w:lvlJc w:val="left"/>
    </w:lvl>
    <w:lvl w:ilvl="7" w:tplc="0C0A0003">
      <w:start w:val="1"/>
      <w:numFmt w:val="bullet"/>
      <w:lvlText w:val=""/>
      <w:lvlJc w:val="left"/>
    </w:lvl>
    <w:lvl w:ilvl="8" w:tplc="0C0A0005">
      <w:start w:val="1"/>
      <w:numFmt w:val="bullet"/>
      <w:lvlText w:val=""/>
      <w:lvlJc w:val="left"/>
    </w:lvl>
  </w:abstractNum>
  <w:abstractNum w:abstractNumId="75" w15:restartNumberingAfterBreak="0">
    <w:nsid w:val="49092B6D"/>
    <w:multiLevelType w:val="hybridMultilevel"/>
    <w:tmpl w:val="AEE8684C"/>
    <w:lvl w:ilvl="0" w:tplc="7BA02604">
      <w:start w:val="1"/>
      <w:numFmt w:val="lowerLetter"/>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76" w15:restartNumberingAfterBreak="0">
    <w:nsid w:val="4A3E01C2"/>
    <w:multiLevelType w:val="hybridMultilevel"/>
    <w:tmpl w:val="2AE4C340"/>
    <w:lvl w:ilvl="0" w:tplc="140A000B">
      <w:start w:val="1"/>
      <w:numFmt w:val="bullet"/>
      <w:lvlText w:val=""/>
      <w:lvlJc w:val="left"/>
      <w:pPr>
        <w:ind w:left="720" w:hanging="360"/>
      </w:pPr>
      <w:rPr>
        <w:rFonts w:hint="default" w:ascii="Wingdings" w:hAnsi="Wingdings"/>
      </w:rPr>
    </w:lvl>
    <w:lvl w:ilvl="1" w:tplc="040A0003" w:tentative="1">
      <w:start w:val="1"/>
      <w:numFmt w:val="bullet"/>
      <w:lvlText w:val="o"/>
      <w:lvlJc w:val="left"/>
      <w:pPr>
        <w:ind w:left="1440" w:hanging="360"/>
      </w:pPr>
      <w:rPr>
        <w:rFonts w:hint="default" w:ascii="Courier New" w:hAnsi="Courier New" w:cs="Courier New"/>
      </w:rPr>
    </w:lvl>
    <w:lvl w:ilvl="2" w:tplc="040A0005" w:tentative="1">
      <w:start w:val="1"/>
      <w:numFmt w:val="bullet"/>
      <w:lvlText w:val=""/>
      <w:lvlJc w:val="left"/>
      <w:pPr>
        <w:ind w:left="2160" w:hanging="360"/>
      </w:pPr>
      <w:rPr>
        <w:rFonts w:hint="default" w:ascii="Wingdings" w:hAnsi="Wingdings"/>
      </w:rPr>
    </w:lvl>
    <w:lvl w:ilvl="3" w:tplc="040A0001" w:tentative="1">
      <w:start w:val="1"/>
      <w:numFmt w:val="bullet"/>
      <w:lvlText w:val=""/>
      <w:lvlJc w:val="left"/>
      <w:pPr>
        <w:ind w:left="2880" w:hanging="360"/>
      </w:pPr>
      <w:rPr>
        <w:rFonts w:hint="default" w:ascii="Symbol" w:hAnsi="Symbol"/>
      </w:rPr>
    </w:lvl>
    <w:lvl w:ilvl="4" w:tplc="040A0003" w:tentative="1">
      <w:start w:val="1"/>
      <w:numFmt w:val="bullet"/>
      <w:lvlText w:val="o"/>
      <w:lvlJc w:val="left"/>
      <w:pPr>
        <w:ind w:left="3600" w:hanging="360"/>
      </w:pPr>
      <w:rPr>
        <w:rFonts w:hint="default" w:ascii="Courier New" w:hAnsi="Courier New" w:cs="Courier New"/>
      </w:rPr>
    </w:lvl>
    <w:lvl w:ilvl="5" w:tplc="040A0005" w:tentative="1">
      <w:start w:val="1"/>
      <w:numFmt w:val="bullet"/>
      <w:lvlText w:val=""/>
      <w:lvlJc w:val="left"/>
      <w:pPr>
        <w:ind w:left="4320" w:hanging="360"/>
      </w:pPr>
      <w:rPr>
        <w:rFonts w:hint="default" w:ascii="Wingdings" w:hAnsi="Wingdings"/>
      </w:rPr>
    </w:lvl>
    <w:lvl w:ilvl="6" w:tplc="040A0001" w:tentative="1">
      <w:start w:val="1"/>
      <w:numFmt w:val="bullet"/>
      <w:lvlText w:val=""/>
      <w:lvlJc w:val="left"/>
      <w:pPr>
        <w:ind w:left="5040" w:hanging="360"/>
      </w:pPr>
      <w:rPr>
        <w:rFonts w:hint="default" w:ascii="Symbol" w:hAnsi="Symbol"/>
      </w:rPr>
    </w:lvl>
    <w:lvl w:ilvl="7" w:tplc="040A0003" w:tentative="1">
      <w:start w:val="1"/>
      <w:numFmt w:val="bullet"/>
      <w:lvlText w:val="o"/>
      <w:lvlJc w:val="left"/>
      <w:pPr>
        <w:ind w:left="5760" w:hanging="360"/>
      </w:pPr>
      <w:rPr>
        <w:rFonts w:hint="default" w:ascii="Courier New" w:hAnsi="Courier New" w:cs="Courier New"/>
      </w:rPr>
    </w:lvl>
    <w:lvl w:ilvl="8" w:tplc="040A0005" w:tentative="1">
      <w:start w:val="1"/>
      <w:numFmt w:val="bullet"/>
      <w:lvlText w:val=""/>
      <w:lvlJc w:val="left"/>
      <w:pPr>
        <w:ind w:left="6480" w:hanging="360"/>
      </w:pPr>
      <w:rPr>
        <w:rFonts w:hint="default" w:ascii="Wingdings" w:hAnsi="Wingdings"/>
      </w:rPr>
    </w:lvl>
  </w:abstractNum>
  <w:abstractNum w:abstractNumId="77" w15:restartNumberingAfterBreak="0">
    <w:nsid w:val="4B693707"/>
    <w:multiLevelType w:val="hybridMultilevel"/>
    <w:tmpl w:val="8DB6FE86"/>
    <w:lvl w:ilvl="0" w:tplc="140A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4B787E0A"/>
    <w:multiLevelType w:val="hybridMultilevel"/>
    <w:tmpl w:val="F24AC930"/>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BA4100A"/>
    <w:multiLevelType w:val="hybridMultilevel"/>
    <w:tmpl w:val="083079E0"/>
    <w:lvl w:ilvl="0" w:tplc="0C0A000F">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0" w15:restartNumberingAfterBreak="0">
    <w:nsid w:val="4C924836"/>
    <w:multiLevelType w:val="hybridMultilevel"/>
    <w:tmpl w:val="E6FAAAE8"/>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81" w15:restartNumberingAfterBreak="0">
    <w:nsid w:val="4D10173F"/>
    <w:multiLevelType w:val="multilevel"/>
    <w:tmpl w:val="140A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786" w:hanging="360"/>
      </w:pPr>
    </w:lvl>
    <w:lvl w:ilvl="8">
      <w:start w:val="1"/>
      <w:numFmt w:val="lowerRoman"/>
      <w:lvlText w:val="%9."/>
      <w:lvlJc w:val="left"/>
      <w:pPr>
        <w:ind w:left="3240" w:hanging="360"/>
      </w:pPr>
    </w:lvl>
  </w:abstractNum>
  <w:abstractNum w:abstractNumId="82" w15:restartNumberingAfterBreak="0">
    <w:nsid w:val="4D1140F2"/>
    <w:multiLevelType w:val="hybridMultilevel"/>
    <w:tmpl w:val="4194355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3" w15:restartNumberingAfterBreak="0">
    <w:nsid w:val="4E165C9F"/>
    <w:multiLevelType w:val="hybridMultilevel"/>
    <w:tmpl w:val="08CA8D5C"/>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84" w15:restartNumberingAfterBreak="0">
    <w:nsid w:val="513D5706"/>
    <w:multiLevelType w:val="hybridMultilevel"/>
    <w:tmpl w:val="74A2EE9C"/>
    <w:lvl w:ilvl="0" w:tplc="14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85" w15:restartNumberingAfterBreak="0">
    <w:nsid w:val="52276207"/>
    <w:multiLevelType w:val="hybridMultilevel"/>
    <w:tmpl w:val="8F568138"/>
    <w:lvl w:ilvl="0" w:tplc="0C0A0001">
      <w:start w:val="1"/>
      <w:numFmt w:val="bullet"/>
      <w:lvlText w:val=""/>
      <w:lvlJc w:val="left"/>
      <w:pPr>
        <w:ind w:left="720" w:hanging="360"/>
      </w:pPr>
      <w:rPr>
        <w:rFonts w:hint="default" w:ascii="Symbol" w:hAnsi="Symbol"/>
      </w:rPr>
    </w:lvl>
    <w:lvl w:ilvl="1" w:tplc="0C0A0003">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86" w15:restartNumberingAfterBreak="0">
    <w:nsid w:val="523753FB"/>
    <w:multiLevelType w:val="hybridMultilevel"/>
    <w:tmpl w:val="F63CFE24"/>
    <w:lvl w:ilvl="0" w:tplc="140A0001">
      <w:start w:val="1"/>
      <w:numFmt w:val="bullet"/>
      <w:lvlText w:val=""/>
      <w:lvlJc w:val="left"/>
      <w:pPr>
        <w:ind w:left="720" w:hanging="360"/>
      </w:pPr>
      <w:rPr>
        <w:rFonts w:hint="default" w:ascii="Symbol" w:hAnsi="Symbol"/>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15:restartNumberingAfterBreak="0">
    <w:nsid w:val="53C61555"/>
    <w:multiLevelType w:val="hybridMultilevel"/>
    <w:tmpl w:val="DDAE0246"/>
    <w:lvl w:ilvl="0" w:tplc="140A000D">
      <w:start w:val="1"/>
      <w:numFmt w:val="bullet"/>
      <w:lvlText w:val=""/>
      <w:lvlJc w:val="left"/>
      <w:pPr>
        <w:ind w:left="1506" w:hanging="360"/>
      </w:pPr>
      <w:rPr>
        <w:rFonts w:hint="default" w:ascii="Wingdings" w:hAnsi="Wingdings"/>
      </w:rPr>
    </w:lvl>
    <w:lvl w:ilvl="1" w:tplc="140A0003" w:tentative="1">
      <w:start w:val="1"/>
      <w:numFmt w:val="bullet"/>
      <w:lvlText w:val="o"/>
      <w:lvlJc w:val="left"/>
      <w:pPr>
        <w:ind w:left="2226" w:hanging="360"/>
      </w:pPr>
      <w:rPr>
        <w:rFonts w:hint="default" w:ascii="Courier New" w:hAnsi="Courier New" w:cs="Courier New"/>
      </w:rPr>
    </w:lvl>
    <w:lvl w:ilvl="2" w:tplc="140A0005" w:tentative="1">
      <w:start w:val="1"/>
      <w:numFmt w:val="bullet"/>
      <w:lvlText w:val=""/>
      <w:lvlJc w:val="left"/>
      <w:pPr>
        <w:ind w:left="2946" w:hanging="360"/>
      </w:pPr>
      <w:rPr>
        <w:rFonts w:hint="default" w:ascii="Wingdings" w:hAnsi="Wingdings"/>
      </w:rPr>
    </w:lvl>
    <w:lvl w:ilvl="3" w:tplc="140A0001" w:tentative="1">
      <w:start w:val="1"/>
      <w:numFmt w:val="bullet"/>
      <w:lvlText w:val=""/>
      <w:lvlJc w:val="left"/>
      <w:pPr>
        <w:ind w:left="3666" w:hanging="360"/>
      </w:pPr>
      <w:rPr>
        <w:rFonts w:hint="default" w:ascii="Symbol" w:hAnsi="Symbol"/>
      </w:rPr>
    </w:lvl>
    <w:lvl w:ilvl="4" w:tplc="140A0003" w:tentative="1">
      <w:start w:val="1"/>
      <w:numFmt w:val="bullet"/>
      <w:lvlText w:val="o"/>
      <w:lvlJc w:val="left"/>
      <w:pPr>
        <w:ind w:left="4386" w:hanging="360"/>
      </w:pPr>
      <w:rPr>
        <w:rFonts w:hint="default" w:ascii="Courier New" w:hAnsi="Courier New" w:cs="Courier New"/>
      </w:rPr>
    </w:lvl>
    <w:lvl w:ilvl="5" w:tplc="140A0005" w:tentative="1">
      <w:start w:val="1"/>
      <w:numFmt w:val="bullet"/>
      <w:lvlText w:val=""/>
      <w:lvlJc w:val="left"/>
      <w:pPr>
        <w:ind w:left="5106" w:hanging="360"/>
      </w:pPr>
      <w:rPr>
        <w:rFonts w:hint="default" w:ascii="Wingdings" w:hAnsi="Wingdings"/>
      </w:rPr>
    </w:lvl>
    <w:lvl w:ilvl="6" w:tplc="140A0001" w:tentative="1">
      <w:start w:val="1"/>
      <w:numFmt w:val="bullet"/>
      <w:lvlText w:val=""/>
      <w:lvlJc w:val="left"/>
      <w:pPr>
        <w:ind w:left="5826" w:hanging="360"/>
      </w:pPr>
      <w:rPr>
        <w:rFonts w:hint="default" w:ascii="Symbol" w:hAnsi="Symbol"/>
      </w:rPr>
    </w:lvl>
    <w:lvl w:ilvl="7" w:tplc="140A0003" w:tentative="1">
      <w:start w:val="1"/>
      <w:numFmt w:val="bullet"/>
      <w:lvlText w:val="o"/>
      <w:lvlJc w:val="left"/>
      <w:pPr>
        <w:ind w:left="6546" w:hanging="360"/>
      </w:pPr>
      <w:rPr>
        <w:rFonts w:hint="default" w:ascii="Courier New" w:hAnsi="Courier New" w:cs="Courier New"/>
      </w:rPr>
    </w:lvl>
    <w:lvl w:ilvl="8" w:tplc="140A0005" w:tentative="1">
      <w:start w:val="1"/>
      <w:numFmt w:val="bullet"/>
      <w:lvlText w:val=""/>
      <w:lvlJc w:val="left"/>
      <w:pPr>
        <w:ind w:left="7266" w:hanging="360"/>
      </w:pPr>
      <w:rPr>
        <w:rFonts w:hint="default" w:ascii="Wingdings" w:hAnsi="Wingdings"/>
      </w:rPr>
    </w:lvl>
  </w:abstractNum>
  <w:abstractNum w:abstractNumId="88" w15:restartNumberingAfterBreak="0">
    <w:nsid w:val="53F47494"/>
    <w:multiLevelType w:val="hybridMultilevel"/>
    <w:tmpl w:val="629672B0"/>
    <w:lvl w:ilvl="0" w:tplc="0D04AB14">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9" w15:restartNumberingAfterBreak="0">
    <w:nsid w:val="54307723"/>
    <w:multiLevelType w:val="hybridMultilevel"/>
    <w:tmpl w:val="876A5D64"/>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90" w15:restartNumberingAfterBreak="0">
    <w:nsid w:val="54C70E4A"/>
    <w:multiLevelType w:val="hybridMultilevel"/>
    <w:tmpl w:val="DBFCD60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1" w15:restartNumberingAfterBreak="0">
    <w:nsid w:val="5551539E"/>
    <w:multiLevelType w:val="hybridMultilevel"/>
    <w:tmpl w:val="DAD4AA4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2" w15:restartNumberingAfterBreak="0">
    <w:nsid w:val="55916C2C"/>
    <w:multiLevelType w:val="multilevel"/>
    <w:tmpl w:val="CF3CC11E"/>
    <w:lvl w:ilvl="0">
      <w:start w:val="3"/>
      <w:numFmt w:val="decimal"/>
      <w:isLgl/>
      <w:lvlText w:val="%1.1.1 "/>
      <w:lvlJc w:val="left"/>
      <w:pPr>
        <w:ind w:left="360" w:hanging="360"/>
      </w:pPr>
      <w:rPr>
        <w:rFonts w:hint="default"/>
        <w:b/>
        <w:color w:val="000000"/>
      </w:rPr>
    </w:lvl>
    <w:lvl w:ilvl="1">
      <w:start w:val="1"/>
      <w:numFmt w:val="decimal"/>
      <w:lvlText w:val="5.%2."/>
      <w:lvlJc w:val="left"/>
      <w:pPr>
        <w:ind w:left="432" w:hanging="432"/>
      </w:pPr>
      <w:rPr>
        <w:rFonts w:hint="default"/>
      </w:rPr>
    </w:lvl>
    <w:lvl w:ilvl="2">
      <w:start w:val="1"/>
      <w:numFmt w:val="decimal"/>
      <w:lvlText w:val="5.%2.%3."/>
      <w:lvlJc w:val="left"/>
      <w:pPr>
        <w:ind w:left="1224" w:hanging="504"/>
      </w:pPr>
      <w:rPr>
        <w:rFonts w:hint="default"/>
        <w:b/>
        <w:bCs/>
        <w:lang w:val="es-E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3" w15:restartNumberingAfterBreak="0">
    <w:nsid w:val="55C108DD"/>
    <w:multiLevelType w:val="hybridMultilevel"/>
    <w:tmpl w:val="C122B3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561360A3"/>
    <w:multiLevelType w:val="multilevel"/>
    <w:tmpl w:val="588A1CA8"/>
    <w:lvl w:ilvl="0">
      <w:start w:val="2"/>
      <w:numFmt w:val="decimal"/>
      <w:lvlText w:val="%1."/>
      <w:lvlJc w:val="left"/>
      <w:pPr>
        <w:tabs>
          <w:tab w:val="num" w:pos="720"/>
        </w:tabs>
        <w:ind w:left="720" w:hanging="360"/>
      </w:pPr>
    </w:lvl>
    <w:lvl w:ilvl="1">
      <w:start w:val="1"/>
      <w:numFmt w:val="decimal"/>
      <w:lvlText w:val="(%2)"/>
      <w:lvlJc w:val="left"/>
      <w:pPr>
        <w:ind w:left="1440" w:hanging="360"/>
      </w:pPr>
      <w:rPr>
        <w:rFonts w:hint="default"/>
        <w:sz w:val="16"/>
        <w:szCs w:val="16"/>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562F1FCF"/>
    <w:multiLevelType w:val="hybridMultilevel"/>
    <w:tmpl w:val="F0767992"/>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96" w15:restartNumberingAfterBreak="0">
    <w:nsid w:val="58876CD9"/>
    <w:multiLevelType w:val="hybridMultilevel"/>
    <w:tmpl w:val="9D1233EA"/>
    <w:lvl w:ilvl="0" w:tplc="1FAA38AA">
      <w:start w:val="1"/>
      <w:numFmt w:val="bullet"/>
      <w:lvlText w:val=""/>
      <w:lvlJc w:val="left"/>
      <w:pPr>
        <w:ind w:left="720" w:hanging="360"/>
      </w:pPr>
      <w:rPr>
        <w:rFonts w:hint="default" w:ascii="Symbol" w:hAnsi="Symbol"/>
        <w:color w:val="auto"/>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97" w15:restartNumberingAfterBreak="0">
    <w:nsid w:val="58F744EF"/>
    <w:multiLevelType w:val="hybridMultilevel"/>
    <w:tmpl w:val="27AE8406"/>
    <w:lvl w:ilvl="0" w:tplc="140A0019">
      <w:start w:val="1"/>
      <w:numFmt w:val="lowerLetter"/>
      <w:lvlText w:val="%1."/>
      <w:lvlJc w:val="left"/>
      <w:pPr>
        <w:ind w:left="720" w:hanging="360"/>
      </w:pPr>
    </w:lvl>
    <w:lvl w:ilvl="1" w:tplc="D0DAB50A">
      <w:start w:val="1"/>
      <w:numFmt w:val="lowerLetter"/>
      <w:lvlText w:val="%2."/>
      <w:lvlJc w:val="left"/>
      <w:pPr>
        <w:ind w:left="1440" w:hanging="360"/>
      </w:pPr>
      <w:rPr>
        <w:b/>
        <w:bC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8" w15:restartNumberingAfterBreak="0">
    <w:nsid w:val="5945715F"/>
    <w:multiLevelType w:val="hybridMultilevel"/>
    <w:tmpl w:val="3322064E"/>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99" w15:restartNumberingAfterBreak="0">
    <w:nsid w:val="5A496F6B"/>
    <w:multiLevelType w:val="hybridMultilevel"/>
    <w:tmpl w:val="48CE647A"/>
    <w:lvl w:ilvl="0" w:tplc="140A0001">
      <w:start w:val="1"/>
      <w:numFmt w:val="bullet"/>
      <w:lvlText w:val=""/>
      <w:lvlJc w:val="left"/>
      <w:pPr>
        <w:ind w:left="1854" w:hanging="360"/>
      </w:pPr>
      <w:rPr>
        <w:rFonts w:hint="default" w:ascii="Symbol" w:hAnsi="Symbol"/>
      </w:rPr>
    </w:lvl>
    <w:lvl w:ilvl="1" w:tplc="140A0003" w:tentative="1">
      <w:start w:val="1"/>
      <w:numFmt w:val="bullet"/>
      <w:lvlText w:val="o"/>
      <w:lvlJc w:val="left"/>
      <w:pPr>
        <w:ind w:left="2574" w:hanging="360"/>
      </w:pPr>
      <w:rPr>
        <w:rFonts w:hint="default" w:ascii="Courier New" w:hAnsi="Courier New" w:cs="Courier New"/>
      </w:rPr>
    </w:lvl>
    <w:lvl w:ilvl="2" w:tplc="140A0005" w:tentative="1">
      <w:start w:val="1"/>
      <w:numFmt w:val="bullet"/>
      <w:lvlText w:val=""/>
      <w:lvlJc w:val="left"/>
      <w:pPr>
        <w:ind w:left="3294" w:hanging="360"/>
      </w:pPr>
      <w:rPr>
        <w:rFonts w:hint="default" w:ascii="Wingdings" w:hAnsi="Wingdings"/>
      </w:rPr>
    </w:lvl>
    <w:lvl w:ilvl="3" w:tplc="140A0001" w:tentative="1">
      <w:start w:val="1"/>
      <w:numFmt w:val="bullet"/>
      <w:lvlText w:val=""/>
      <w:lvlJc w:val="left"/>
      <w:pPr>
        <w:ind w:left="4014" w:hanging="360"/>
      </w:pPr>
      <w:rPr>
        <w:rFonts w:hint="default" w:ascii="Symbol" w:hAnsi="Symbol"/>
      </w:rPr>
    </w:lvl>
    <w:lvl w:ilvl="4" w:tplc="140A0003" w:tentative="1">
      <w:start w:val="1"/>
      <w:numFmt w:val="bullet"/>
      <w:lvlText w:val="o"/>
      <w:lvlJc w:val="left"/>
      <w:pPr>
        <w:ind w:left="4734" w:hanging="360"/>
      </w:pPr>
      <w:rPr>
        <w:rFonts w:hint="default" w:ascii="Courier New" w:hAnsi="Courier New" w:cs="Courier New"/>
      </w:rPr>
    </w:lvl>
    <w:lvl w:ilvl="5" w:tplc="140A0005" w:tentative="1">
      <w:start w:val="1"/>
      <w:numFmt w:val="bullet"/>
      <w:lvlText w:val=""/>
      <w:lvlJc w:val="left"/>
      <w:pPr>
        <w:ind w:left="5454" w:hanging="360"/>
      </w:pPr>
      <w:rPr>
        <w:rFonts w:hint="default" w:ascii="Wingdings" w:hAnsi="Wingdings"/>
      </w:rPr>
    </w:lvl>
    <w:lvl w:ilvl="6" w:tplc="140A0001" w:tentative="1">
      <w:start w:val="1"/>
      <w:numFmt w:val="bullet"/>
      <w:lvlText w:val=""/>
      <w:lvlJc w:val="left"/>
      <w:pPr>
        <w:ind w:left="6174" w:hanging="360"/>
      </w:pPr>
      <w:rPr>
        <w:rFonts w:hint="default" w:ascii="Symbol" w:hAnsi="Symbol"/>
      </w:rPr>
    </w:lvl>
    <w:lvl w:ilvl="7" w:tplc="140A0003" w:tentative="1">
      <w:start w:val="1"/>
      <w:numFmt w:val="bullet"/>
      <w:lvlText w:val="o"/>
      <w:lvlJc w:val="left"/>
      <w:pPr>
        <w:ind w:left="6894" w:hanging="360"/>
      </w:pPr>
      <w:rPr>
        <w:rFonts w:hint="default" w:ascii="Courier New" w:hAnsi="Courier New" w:cs="Courier New"/>
      </w:rPr>
    </w:lvl>
    <w:lvl w:ilvl="8" w:tplc="140A0005" w:tentative="1">
      <w:start w:val="1"/>
      <w:numFmt w:val="bullet"/>
      <w:lvlText w:val=""/>
      <w:lvlJc w:val="left"/>
      <w:pPr>
        <w:ind w:left="7614" w:hanging="360"/>
      </w:pPr>
      <w:rPr>
        <w:rFonts w:hint="default" w:ascii="Wingdings" w:hAnsi="Wingdings"/>
      </w:rPr>
    </w:lvl>
  </w:abstractNum>
  <w:abstractNum w:abstractNumId="100" w15:restartNumberingAfterBreak="0">
    <w:nsid w:val="5AEA0576"/>
    <w:multiLevelType w:val="hybridMultilevel"/>
    <w:tmpl w:val="DC369668"/>
    <w:lvl w:ilvl="0" w:tplc="BD76E410">
      <w:start w:val="1"/>
      <w:numFmt w:val="decimal"/>
      <w:lvlText w:val="%1."/>
      <w:lvlJc w:val="left"/>
      <w:pPr>
        <w:ind w:left="644" w:hanging="360"/>
      </w:pPr>
      <w:rPr>
        <w:rFonts w:hint="default"/>
      </w:rPr>
    </w:lvl>
    <w:lvl w:ilvl="1" w:tplc="140A0019">
      <w:start w:val="1"/>
      <w:numFmt w:val="lowerLetter"/>
      <w:lvlText w:val="%2."/>
      <w:lvlJc w:val="left"/>
      <w:pPr>
        <w:ind w:left="1364" w:hanging="360"/>
      </w:pPr>
    </w:lvl>
    <w:lvl w:ilvl="2" w:tplc="140A001B" w:tentative="1">
      <w:start w:val="1"/>
      <w:numFmt w:val="lowerRoman"/>
      <w:lvlText w:val="%3."/>
      <w:lvlJc w:val="right"/>
      <w:pPr>
        <w:ind w:left="2084" w:hanging="180"/>
      </w:pPr>
    </w:lvl>
    <w:lvl w:ilvl="3" w:tplc="140A000F" w:tentative="1">
      <w:start w:val="1"/>
      <w:numFmt w:val="decimal"/>
      <w:lvlText w:val="%4."/>
      <w:lvlJc w:val="left"/>
      <w:pPr>
        <w:ind w:left="2804" w:hanging="360"/>
      </w:pPr>
    </w:lvl>
    <w:lvl w:ilvl="4" w:tplc="140A0019" w:tentative="1">
      <w:start w:val="1"/>
      <w:numFmt w:val="lowerLetter"/>
      <w:lvlText w:val="%5."/>
      <w:lvlJc w:val="left"/>
      <w:pPr>
        <w:ind w:left="3524" w:hanging="360"/>
      </w:pPr>
    </w:lvl>
    <w:lvl w:ilvl="5" w:tplc="140A001B" w:tentative="1">
      <w:start w:val="1"/>
      <w:numFmt w:val="lowerRoman"/>
      <w:lvlText w:val="%6."/>
      <w:lvlJc w:val="right"/>
      <w:pPr>
        <w:ind w:left="4244" w:hanging="180"/>
      </w:pPr>
    </w:lvl>
    <w:lvl w:ilvl="6" w:tplc="140A000F" w:tentative="1">
      <w:start w:val="1"/>
      <w:numFmt w:val="decimal"/>
      <w:lvlText w:val="%7."/>
      <w:lvlJc w:val="left"/>
      <w:pPr>
        <w:ind w:left="4964" w:hanging="360"/>
      </w:pPr>
    </w:lvl>
    <w:lvl w:ilvl="7" w:tplc="140A0019" w:tentative="1">
      <w:start w:val="1"/>
      <w:numFmt w:val="lowerLetter"/>
      <w:lvlText w:val="%8."/>
      <w:lvlJc w:val="left"/>
      <w:pPr>
        <w:ind w:left="5684" w:hanging="360"/>
      </w:pPr>
    </w:lvl>
    <w:lvl w:ilvl="8" w:tplc="140A001B" w:tentative="1">
      <w:start w:val="1"/>
      <w:numFmt w:val="lowerRoman"/>
      <w:lvlText w:val="%9."/>
      <w:lvlJc w:val="right"/>
      <w:pPr>
        <w:ind w:left="6404" w:hanging="180"/>
      </w:pPr>
    </w:lvl>
  </w:abstractNum>
  <w:abstractNum w:abstractNumId="101" w15:restartNumberingAfterBreak="0">
    <w:nsid w:val="5AEC5574"/>
    <w:multiLevelType w:val="multilevel"/>
    <w:tmpl w:val="18747FCA"/>
    <w:lvl w:ilvl="0">
      <w:start w:val="1"/>
      <w:numFmt w:val="decimal"/>
      <w:lvlText w:val="%1."/>
      <w:lvlJc w:val="left"/>
      <w:pPr>
        <w:ind w:left="720" w:hanging="360"/>
      </w:pPr>
      <w:rPr>
        <w:b/>
        <w:bCs w:val="0"/>
      </w:rPr>
    </w:lvl>
    <w:lvl w:ilvl="1">
      <w:start w:val="1"/>
      <w:numFmt w:val="bullet"/>
      <w:lvlText w:val=""/>
      <w:lvlJc w:val="left"/>
      <w:pPr>
        <w:ind w:left="760" w:hanging="400"/>
      </w:pPr>
      <w:rPr>
        <w:rFonts w:hint="default" w:ascii="Symbol" w:hAnsi="Symbol"/>
        <w:b/>
        <w:bCs/>
        <w:color w:val="auto"/>
      </w:rPr>
    </w:lvl>
    <w:lvl w:ilvl="2">
      <w:start w:val="1"/>
      <w:numFmt w:val="decimal"/>
      <w:lvlText w:val="%1.%2.%3"/>
      <w:lvlJc w:val="left"/>
      <w:pPr>
        <w:ind w:left="1080" w:hanging="720"/>
      </w:pPr>
      <w:rPr>
        <w:color w:val="auto"/>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2" w15:restartNumberingAfterBreak="0">
    <w:nsid w:val="5C51609E"/>
    <w:multiLevelType w:val="hybridMultilevel"/>
    <w:tmpl w:val="A0FEAC2C"/>
    <w:lvl w:ilvl="0" w:tplc="580A000B">
      <w:start w:val="1"/>
      <w:numFmt w:val="bullet"/>
      <w:lvlText w:val=""/>
      <w:lvlJc w:val="left"/>
      <w:pPr>
        <w:ind w:left="1440" w:hanging="360"/>
      </w:pPr>
      <w:rPr>
        <w:rFonts w:hint="default" w:ascii="Wingdings" w:hAnsi="Wingdings"/>
      </w:rPr>
    </w:lvl>
    <w:lvl w:ilvl="1" w:tplc="580A0003" w:tentative="1">
      <w:start w:val="1"/>
      <w:numFmt w:val="bullet"/>
      <w:lvlText w:val="o"/>
      <w:lvlJc w:val="left"/>
      <w:pPr>
        <w:ind w:left="2160" w:hanging="360"/>
      </w:pPr>
      <w:rPr>
        <w:rFonts w:hint="default" w:ascii="Courier New" w:hAnsi="Courier New" w:cs="Courier New"/>
      </w:rPr>
    </w:lvl>
    <w:lvl w:ilvl="2" w:tplc="580A0005" w:tentative="1">
      <w:start w:val="1"/>
      <w:numFmt w:val="bullet"/>
      <w:lvlText w:val=""/>
      <w:lvlJc w:val="left"/>
      <w:pPr>
        <w:ind w:left="2880" w:hanging="360"/>
      </w:pPr>
      <w:rPr>
        <w:rFonts w:hint="default" w:ascii="Wingdings" w:hAnsi="Wingdings"/>
      </w:rPr>
    </w:lvl>
    <w:lvl w:ilvl="3" w:tplc="580A0001" w:tentative="1">
      <w:start w:val="1"/>
      <w:numFmt w:val="bullet"/>
      <w:lvlText w:val=""/>
      <w:lvlJc w:val="left"/>
      <w:pPr>
        <w:ind w:left="3600" w:hanging="360"/>
      </w:pPr>
      <w:rPr>
        <w:rFonts w:hint="default" w:ascii="Symbol" w:hAnsi="Symbol"/>
      </w:rPr>
    </w:lvl>
    <w:lvl w:ilvl="4" w:tplc="580A0003" w:tentative="1">
      <w:start w:val="1"/>
      <w:numFmt w:val="bullet"/>
      <w:lvlText w:val="o"/>
      <w:lvlJc w:val="left"/>
      <w:pPr>
        <w:ind w:left="4320" w:hanging="360"/>
      </w:pPr>
      <w:rPr>
        <w:rFonts w:hint="default" w:ascii="Courier New" w:hAnsi="Courier New" w:cs="Courier New"/>
      </w:rPr>
    </w:lvl>
    <w:lvl w:ilvl="5" w:tplc="580A0005" w:tentative="1">
      <w:start w:val="1"/>
      <w:numFmt w:val="bullet"/>
      <w:lvlText w:val=""/>
      <w:lvlJc w:val="left"/>
      <w:pPr>
        <w:ind w:left="5040" w:hanging="360"/>
      </w:pPr>
      <w:rPr>
        <w:rFonts w:hint="default" w:ascii="Wingdings" w:hAnsi="Wingdings"/>
      </w:rPr>
    </w:lvl>
    <w:lvl w:ilvl="6" w:tplc="580A0001" w:tentative="1">
      <w:start w:val="1"/>
      <w:numFmt w:val="bullet"/>
      <w:lvlText w:val=""/>
      <w:lvlJc w:val="left"/>
      <w:pPr>
        <w:ind w:left="5760" w:hanging="360"/>
      </w:pPr>
      <w:rPr>
        <w:rFonts w:hint="default" w:ascii="Symbol" w:hAnsi="Symbol"/>
      </w:rPr>
    </w:lvl>
    <w:lvl w:ilvl="7" w:tplc="580A0003" w:tentative="1">
      <w:start w:val="1"/>
      <w:numFmt w:val="bullet"/>
      <w:lvlText w:val="o"/>
      <w:lvlJc w:val="left"/>
      <w:pPr>
        <w:ind w:left="6480" w:hanging="360"/>
      </w:pPr>
      <w:rPr>
        <w:rFonts w:hint="default" w:ascii="Courier New" w:hAnsi="Courier New" w:cs="Courier New"/>
      </w:rPr>
    </w:lvl>
    <w:lvl w:ilvl="8" w:tplc="580A0005" w:tentative="1">
      <w:start w:val="1"/>
      <w:numFmt w:val="bullet"/>
      <w:lvlText w:val=""/>
      <w:lvlJc w:val="left"/>
      <w:pPr>
        <w:ind w:left="7200" w:hanging="360"/>
      </w:pPr>
      <w:rPr>
        <w:rFonts w:hint="default" w:ascii="Wingdings" w:hAnsi="Wingdings"/>
      </w:rPr>
    </w:lvl>
  </w:abstractNum>
  <w:abstractNum w:abstractNumId="103" w15:restartNumberingAfterBreak="0">
    <w:nsid w:val="5DC81242"/>
    <w:multiLevelType w:val="hybridMultilevel"/>
    <w:tmpl w:val="B50C1ABC"/>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104" w15:restartNumberingAfterBreak="0">
    <w:nsid w:val="5DD576BC"/>
    <w:multiLevelType w:val="hybridMultilevel"/>
    <w:tmpl w:val="999A2204"/>
    <w:lvl w:ilvl="0" w:tplc="7B6A37DC">
      <w:start w:val="1"/>
      <w:numFmt w:val="lowerLetter"/>
      <w:lvlText w:val="%1."/>
      <w:lvlJc w:val="left"/>
    </w:lvl>
    <w:lvl w:ilvl="1" w:tplc="6CAEAAEA">
      <w:start w:val="1"/>
      <w:numFmt w:val="bullet"/>
      <w:lvlText w:val=""/>
      <w:lvlJc w:val="left"/>
    </w:lvl>
    <w:lvl w:ilvl="2" w:tplc="44606514">
      <w:start w:val="1"/>
      <w:numFmt w:val="bullet"/>
      <w:lvlText w:val=""/>
      <w:lvlJc w:val="left"/>
    </w:lvl>
    <w:lvl w:ilvl="3" w:tplc="10308272">
      <w:start w:val="1"/>
      <w:numFmt w:val="bullet"/>
      <w:lvlText w:val=""/>
      <w:lvlJc w:val="left"/>
    </w:lvl>
    <w:lvl w:ilvl="4" w:tplc="E93AEE1A">
      <w:start w:val="1"/>
      <w:numFmt w:val="bullet"/>
      <w:lvlText w:val=""/>
      <w:lvlJc w:val="left"/>
    </w:lvl>
    <w:lvl w:ilvl="5" w:tplc="23D03CD6">
      <w:start w:val="1"/>
      <w:numFmt w:val="bullet"/>
      <w:lvlText w:val=""/>
      <w:lvlJc w:val="left"/>
    </w:lvl>
    <w:lvl w:ilvl="6" w:tplc="4AB4396A">
      <w:start w:val="1"/>
      <w:numFmt w:val="bullet"/>
      <w:lvlText w:val=""/>
      <w:lvlJc w:val="left"/>
    </w:lvl>
    <w:lvl w:ilvl="7" w:tplc="12B4DDBC">
      <w:start w:val="1"/>
      <w:numFmt w:val="bullet"/>
      <w:lvlText w:val=""/>
      <w:lvlJc w:val="left"/>
    </w:lvl>
    <w:lvl w:ilvl="8" w:tplc="F5CE663C">
      <w:start w:val="1"/>
      <w:numFmt w:val="bullet"/>
      <w:lvlText w:val=""/>
      <w:lvlJc w:val="left"/>
    </w:lvl>
  </w:abstractNum>
  <w:abstractNum w:abstractNumId="105" w15:restartNumberingAfterBreak="0">
    <w:nsid w:val="5DDB5654"/>
    <w:multiLevelType w:val="hybridMultilevel"/>
    <w:tmpl w:val="4D8E8F02"/>
    <w:lvl w:ilvl="0" w:tplc="140A0001">
      <w:start w:val="1"/>
      <w:numFmt w:val="bullet"/>
      <w:lvlText w:val=""/>
      <w:lvlJc w:val="left"/>
      <w:pPr>
        <w:ind w:left="1440" w:hanging="360"/>
      </w:pPr>
      <w:rPr>
        <w:rFonts w:hint="default" w:ascii="Symbol" w:hAnsi="Symbol"/>
      </w:rPr>
    </w:lvl>
    <w:lvl w:ilvl="1" w:tplc="140A0003" w:tentative="1">
      <w:start w:val="1"/>
      <w:numFmt w:val="bullet"/>
      <w:lvlText w:val="o"/>
      <w:lvlJc w:val="left"/>
      <w:pPr>
        <w:ind w:left="2160" w:hanging="360"/>
      </w:pPr>
      <w:rPr>
        <w:rFonts w:hint="default" w:ascii="Courier New" w:hAnsi="Courier New" w:cs="Courier New"/>
      </w:rPr>
    </w:lvl>
    <w:lvl w:ilvl="2" w:tplc="140A0005" w:tentative="1">
      <w:start w:val="1"/>
      <w:numFmt w:val="bullet"/>
      <w:lvlText w:val=""/>
      <w:lvlJc w:val="left"/>
      <w:pPr>
        <w:ind w:left="2880" w:hanging="360"/>
      </w:pPr>
      <w:rPr>
        <w:rFonts w:hint="default" w:ascii="Wingdings" w:hAnsi="Wingdings"/>
      </w:rPr>
    </w:lvl>
    <w:lvl w:ilvl="3" w:tplc="140A0001" w:tentative="1">
      <w:start w:val="1"/>
      <w:numFmt w:val="bullet"/>
      <w:lvlText w:val=""/>
      <w:lvlJc w:val="left"/>
      <w:pPr>
        <w:ind w:left="3600" w:hanging="360"/>
      </w:pPr>
      <w:rPr>
        <w:rFonts w:hint="default" w:ascii="Symbol" w:hAnsi="Symbol"/>
      </w:rPr>
    </w:lvl>
    <w:lvl w:ilvl="4" w:tplc="140A0003" w:tentative="1">
      <w:start w:val="1"/>
      <w:numFmt w:val="bullet"/>
      <w:lvlText w:val="o"/>
      <w:lvlJc w:val="left"/>
      <w:pPr>
        <w:ind w:left="4320" w:hanging="360"/>
      </w:pPr>
      <w:rPr>
        <w:rFonts w:hint="default" w:ascii="Courier New" w:hAnsi="Courier New" w:cs="Courier New"/>
      </w:rPr>
    </w:lvl>
    <w:lvl w:ilvl="5" w:tplc="140A0005" w:tentative="1">
      <w:start w:val="1"/>
      <w:numFmt w:val="bullet"/>
      <w:lvlText w:val=""/>
      <w:lvlJc w:val="left"/>
      <w:pPr>
        <w:ind w:left="5040" w:hanging="360"/>
      </w:pPr>
      <w:rPr>
        <w:rFonts w:hint="default" w:ascii="Wingdings" w:hAnsi="Wingdings"/>
      </w:rPr>
    </w:lvl>
    <w:lvl w:ilvl="6" w:tplc="140A0001" w:tentative="1">
      <w:start w:val="1"/>
      <w:numFmt w:val="bullet"/>
      <w:lvlText w:val=""/>
      <w:lvlJc w:val="left"/>
      <w:pPr>
        <w:ind w:left="5760" w:hanging="360"/>
      </w:pPr>
      <w:rPr>
        <w:rFonts w:hint="default" w:ascii="Symbol" w:hAnsi="Symbol"/>
      </w:rPr>
    </w:lvl>
    <w:lvl w:ilvl="7" w:tplc="140A0003" w:tentative="1">
      <w:start w:val="1"/>
      <w:numFmt w:val="bullet"/>
      <w:lvlText w:val="o"/>
      <w:lvlJc w:val="left"/>
      <w:pPr>
        <w:ind w:left="6480" w:hanging="360"/>
      </w:pPr>
      <w:rPr>
        <w:rFonts w:hint="default" w:ascii="Courier New" w:hAnsi="Courier New" w:cs="Courier New"/>
      </w:rPr>
    </w:lvl>
    <w:lvl w:ilvl="8" w:tplc="140A0005" w:tentative="1">
      <w:start w:val="1"/>
      <w:numFmt w:val="bullet"/>
      <w:lvlText w:val=""/>
      <w:lvlJc w:val="left"/>
      <w:pPr>
        <w:ind w:left="7200" w:hanging="360"/>
      </w:pPr>
      <w:rPr>
        <w:rFonts w:hint="default" w:ascii="Wingdings" w:hAnsi="Wingdings"/>
      </w:rPr>
    </w:lvl>
  </w:abstractNum>
  <w:abstractNum w:abstractNumId="106" w15:restartNumberingAfterBreak="0">
    <w:nsid w:val="5E07721A"/>
    <w:multiLevelType w:val="hybridMultilevel"/>
    <w:tmpl w:val="A78661B6"/>
    <w:lvl w:ilvl="0" w:tplc="140A000F">
      <w:start w:val="1"/>
      <w:numFmt w:val="decimal"/>
      <w:lvlText w:val="%1."/>
      <w:lvlJc w:val="left"/>
      <w:pPr>
        <w:ind w:left="720" w:hanging="360"/>
      </w:pPr>
    </w:lvl>
    <w:lvl w:ilvl="1" w:tplc="EED40360">
      <w:start w:val="1"/>
      <w:numFmt w:val="lowerLetter"/>
      <w:lvlText w:val="%2."/>
      <w:lvlJc w:val="left"/>
      <w:pPr>
        <w:ind w:left="1440" w:hanging="360"/>
      </w:pPr>
      <w:rPr>
        <w:b/>
        <w:bCs/>
        <w:lang w:val="es-E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7" w15:restartNumberingAfterBreak="0">
    <w:nsid w:val="5EBF0349"/>
    <w:multiLevelType w:val="hybridMultilevel"/>
    <w:tmpl w:val="6D106D56"/>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8" w15:restartNumberingAfterBreak="0">
    <w:nsid w:val="5F04620A"/>
    <w:multiLevelType w:val="hybridMultilevel"/>
    <w:tmpl w:val="A07636FE"/>
    <w:lvl w:ilvl="0" w:tplc="140A0001">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9" w15:restartNumberingAfterBreak="0">
    <w:nsid w:val="60CE7F39"/>
    <w:multiLevelType w:val="hybridMultilevel"/>
    <w:tmpl w:val="6E8C94BE"/>
    <w:lvl w:ilvl="0" w:tplc="140A0001">
      <w:start w:val="1"/>
      <w:numFmt w:val="bullet"/>
      <w:lvlText w:val=""/>
      <w:lvlJc w:val="left"/>
      <w:pPr>
        <w:ind w:left="1060" w:hanging="360"/>
      </w:pPr>
      <w:rPr>
        <w:rFonts w:hint="default" w:ascii="Symbol" w:hAnsi="Symbol"/>
      </w:rPr>
    </w:lvl>
    <w:lvl w:ilvl="1" w:tplc="140A0003">
      <w:start w:val="1"/>
      <w:numFmt w:val="bullet"/>
      <w:lvlText w:val="o"/>
      <w:lvlJc w:val="left"/>
      <w:pPr>
        <w:ind w:left="1780" w:hanging="360"/>
      </w:pPr>
      <w:rPr>
        <w:rFonts w:hint="default" w:ascii="Courier New" w:hAnsi="Courier New" w:cs="Courier New"/>
      </w:rPr>
    </w:lvl>
    <w:lvl w:ilvl="2" w:tplc="140A0005" w:tentative="1">
      <w:start w:val="1"/>
      <w:numFmt w:val="bullet"/>
      <w:lvlText w:val=""/>
      <w:lvlJc w:val="left"/>
      <w:pPr>
        <w:ind w:left="2500" w:hanging="360"/>
      </w:pPr>
      <w:rPr>
        <w:rFonts w:hint="default" w:ascii="Wingdings" w:hAnsi="Wingdings"/>
      </w:rPr>
    </w:lvl>
    <w:lvl w:ilvl="3" w:tplc="140A0001" w:tentative="1">
      <w:start w:val="1"/>
      <w:numFmt w:val="bullet"/>
      <w:lvlText w:val=""/>
      <w:lvlJc w:val="left"/>
      <w:pPr>
        <w:ind w:left="3220" w:hanging="360"/>
      </w:pPr>
      <w:rPr>
        <w:rFonts w:hint="default" w:ascii="Symbol" w:hAnsi="Symbol"/>
      </w:rPr>
    </w:lvl>
    <w:lvl w:ilvl="4" w:tplc="140A0003" w:tentative="1">
      <w:start w:val="1"/>
      <w:numFmt w:val="bullet"/>
      <w:lvlText w:val="o"/>
      <w:lvlJc w:val="left"/>
      <w:pPr>
        <w:ind w:left="3940" w:hanging="360"/>
      </w:pPr>
      <w:rPr>
        <w:rFonts w:hint="default" w:ascii="Courier New" w:hAnsi="Courier New" w:cs="Courier New"/>
      </w:rPr>
    </w:lvl>
    <w:lvl w:ilvl="5" w:tplc="140A0005" w:tentative="1">
      <w:start w:val="1"/>
      <w:numFmt w:val="bullet"/>
      <w:lvlText w:val=""/>
      <w:lvlJc w:val="left"/>
      <w:pPr>
        <w:ind w:left="4660" w:hanging="360"/>
      </w:pPr>
      <w:rPr>
        <w:rFonts w:hint="default" w:ascii="Wingdings" w:hAnsi="Wingdings"/>
      </w:rPr>
    </w:lvl>
    <w:lvl w:ilvl="6" w:tplc="140A0001" w:tentative="1">
      <w:start w:val="1"/>
      <w:numFmt w:val="bullet"/>
      <w:lvlText w:val=""/>
      <w:lvlJc w:val="left"/>
      <w:pPr>
        <w:ind w:left="5380" w:hanging="360"/>
      </w:pPr>
      <w:rPr>
        <w:rFonts w:hint="default" w:ascii="Symbol" w:hAnsi="Symbol"/>
      </w:rPr>
    </w:lvl>
    <w:lvl w:ilvl="7" w:tplc="140A0003" w:tentative="1">
      <w:start w:val="1"/>
      <w:numFmt w:val="bullet"/>
      <w:lvlText w:val="o"/>
      <w:lvlJc w:val="left"/>
      <w:pPr>
        <w:ind w:left="6100" w:hanging="360"/>
      </w:pPr>
      <w:rPr>
        <w:rFonts w:hint="default" w:ascii="Courier New" w:hAnsi="Courier New" w:cs="Courier New"/>
      </w:rPr>
    </w:lvl>
    <w:lvl w:ilvl="8" w:tplc="140A0005" w:tentative="1">
      <w:start w:val="1"/>
      <w:numFmt w:val="bullet"/>
      <w:lvlText w:val=""/>
      <w:lvlJc w:val="left"/>
      <w:pPr>
        <w:ind w:left="6820" w:hanging="360"/>
      </w:pPr>
      <w:rPr>
        <w:rFonts w:hint="default" w:ascii="Wingdings" w:hAnsi="Wingdings"/>
      </w:rPr>
    </w:lvl>
  </w:abstractNum>
  <w:abstractNum w:abstractNumId="110" w15:restartNumberingAfterBreak="0">
    <w:nsid w:val="638F3BB8"/>
    <w:multiLevelType w:val="hybridMultilevel"/>
    <w:tmpl w:val="73609D6C"/>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111" w15:restartNumberingAfterBreak="0">
    <w:nsid w:val="6445097D"/>
    <w:multiLevelType w:val="hybridMultilevel"/>
    <w:tmpl w:val="1E72537E"/>
    <w:lvl w:ilvl="0" w:tplc="140A0001">
      <w:start w:val="1"/>
      <w:numFmt w:val="bullet"/>
      <w:lvlText w:val=""/>
      <w:lvlJc w:val="left"/>
      <w:pPr>
        <w:ind w:left="720" w:hanging="360"/>
      </w:pPr>
      <w:rPr>
        <w:rFonts w:hint="default" w:ascii="Symbol" w:hAnsi="Symbol"/>
      </w:rPr>
    </w:lvl>
    <w:lvl w:ilvl="1" w:tplc="140A0003">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112" w15:restartNumberingAfterBreak="0">
    <w:nsid w:val="64DC0941"/>
    <w:multiLevelType w:val="hybridMultilevel"/>
    <w:tmpl w:val="F8C8ABD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3" w15:restartNumberingAfterBreak="0">
    <w:nsid w:val="65437554"/>
    <w:multiLevelType w:val="multilevel"/>
    <w:tmpl w:val="B22CCE2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4" w15:restartNumberingAfterBreak="0">
    <w:nsid w:val="66994C36"/>
    <w:multiLevelType w:val="multilevel"/>
    <w:tmpl w:val="F26CB4C0"/>
    <w:lvl w:ilvl="0">
      <w:start w:val="1"/>
      <w:numFmt w:val="bullet"/>
      <w:lvlText w:val=""/>
      <w:lvlJc w:val="left"/>
      <w:pPr>
        <w:ind w:left="720" w:hanging="360"/>
      </w:pPr>
      <w:rPr>
        <w:rFonts w:hint="default" w:ascii="Wingdings" w:hAnsi="Wingdings" w:cs="Wingdings"/>
        <w:sz w:val="22"/>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cs="Wingdings"/>
      </w:rPr>
    </w:lvl>
    <w:lvl w:ilvl="3">
      <w:start w:val="1"/>
      <w:numFmt w:val="bullet"/>
      <w:lvlText w:val=""/>
      <w:lvlJc w:val="left"/>
      <w:pPr>
        <w:ind w:left="2880" w:hanging="360"/>
      </w:pPr>
      <w:rPr>
        <w:rFonts w:hint="default" w:ascii="Symbol" w:hAnsi="Symbol" w:cs="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cs="Wingdings"/>
      </w:rPr>
    </w:lvl>
    <w:lvl w:ilvl="6">
      <w:start w:val="1"/>
      <w:numFmt w:val="bullet"/>
      <w:lvlText w:val=""/>
      <w:lvlJc w:val="left"/>
      <w:pPr>
        <w:ind w:left="5040" w:hanging="360"/>
      </w:pPr>
      <w:rPr>
        <w:rFonts w:hint="default" w:ascii="Symbol" w:hAnsi="Symbol" w:cs="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cs="Wingdings"/>
      </w:rPr>
    </w:lvl>
  </w:abstractNum>
  <w:abstractNum w:abstractNumId="115" w15:restartNumberingAfterBreak="0">
    <w:nsid w:val="68CE7F08"/>
    <w:multiLevelType w:val="hybridMultilevel"/>
    <w:tmpl w:val="2CCCF7E4"/>
    <w:lvl w:ilvl="0" w:tplc="14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116" w15:restartNumberingAfterBreak="0">
    <w:nsid w:val="692742BC"/>
    <w:multiLevelType w:val="hybridMultilevel"/>
    <w:tmpl w:val="1D14EEC0"/>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117" w15:restartNumberingAfterBreak="0">
    <w:nsid w:val="6A3E14A0"/>
    <w:multiLevelType w:val="hybridMultilevel"/>
    <w:tmpl w:val="EBBC4AF2"/>
    <w:lvl w:ilvl="0" w:tplc="140A0019">
      <w:start w:val="1"/>
      <w:numFmt w:val="lowerLetter"/>
      <w:lvlText w:val="%1."/>
      <w:lvlJc w:val="left"/>
      <w:pPr>
        <w:ind w:left="1340" w:hanging="360"/>
      </w:pPr>
      <w:rPr>
        <w:rFonts w:hint="default"/>
      </w:rPr>
    </w:lvl>
    <w:lvl w:ilvl="1" w:tplc="140A0019" w:tentative="1">
      <w:start w:val="1"/>
      <w:numFmt w:val="lowerLetter"/>
      <w:lvlText w:val="%2."/>
      <w:lvlJc w:val="left"/>
      <w:pPr>
        <w:ind w:left="2060" w:hanging="360"/>
      </w:pPr>
    </w:lvl>
    <w:lvl w:ilvl="2" w:tplc="140A001B" w:tentative="1">
      <w:start w:val="1"/>
      <w:numFmt w:val="lowerRoman"/>
      <w:lvlText w:val="%3."/>
      <w:lvlJc w:val="right"/>
      <w:pPr>
        <w:ind w:left="2780" w:hanging="180"/>
      </w:pPr>
    </w:lvl>
    <w:lvl w:ilvl="3" w:tplc="140A000F" w:tentative="1">
      <w:start w:val="1"/>
      <w:numFmt w:val="decimal"/>
      <w:lvlText w:val="%4."/>
      <w:lvlJc w:val="left"/>
      <w:pPr>
        <w:ind w:left="3500" w:hanging="360"/>
      </w:pPr>
    </w:lvl>
    <w:lvl w:ilvl="4" w:tplc="140A0019" w:tentative="1">
      <w:start w:val="1"/>
      <w:numFmt w:val="lowerLetter"/>
      <w:lvlText w:val="%5."/>
      <w:lvlJc w:val="left"/>
      <w:pPr>
        <w:ind w:left="4220" w:hanging="360"/>
      </w:pPr>
    </w:lvl>
    <w:lvl w:ilvl="5" w:tplc="140A001B" w:tentative="1">
      <w:start w:val="1"/>
      <w:numFmt w:val="lowerRoman"/>
      <w:lvlText w:val="%6."/>
      <w:lvlJc w:val="right"/>
      <w:pPr>
        <w:ind w:left="4940" w:hanging="180"/>
      </w:pPr>
    </w:lvl>
    <w:lvl w:ilvl="6" w:tplc="140A000F" w:tentative="1">
      <w:start w:val="1"/>
      <w:numFmt w:val="decimal"/>
      <w:lvlText w:val="%7."/>
      <w:lvlJc w:val="left"/>
      <w:pPr>
        <w:ind w:left="5660" w:hanging="360"/>
      </w:pPr>
    </w:lvl>
    <w:lvl w:ilvl="7" w:tplc="140A0019" w:tentative="1">
      <w:start w:val="1"/>
      <w:numFmt w:val="lowerLetter"/>
      <w:lvlText w:val="%8."/>
      <w:lvlJc w:val="left"/>
      <w:pPr>
        <w:ind w:left="6380" w:hanging="360"/>
      </w:pPr>
    </w:lvl>
    <w:lvl w:ilvl="8" w:tplc="140A001B" w:tentative="1">
      <w:start w:val="1"/>
      <w:numFmt w:val="lowerRoman"/>
      <w:lvlText w:val="%9."/>
      <w:lvlJc w:val="right"/>
      <w:pPr>
        <w:ind w:left="7100" w:hanging="180"/>
      </w:pPr>
    </w:lvl>
  </w:abstractNum>
  <w:abstractNum w:abstractNumId="118" w15:restartNumberingAfterBreak="0">
    <w:nsid w:val="6B015162"/>
    <w:multiLevelType w:val="hybridMultilevel"/>
    <w:tmpl w:val="E7C02FDC"/>
    <w:lvl w:ilvl="0" w:tplc="140A0001">
      <w:start w:val="1"/>
      <w:numFmt w:val="bullet"/>
      <w:lvlText w:val=""/>
      <w:lvlJc w:val="left"/>
      <w:pPr>
        <w:ind w:left="1060" w:hanging="360"/>
      </w:pPr>
      <w:rPr>
        <w:rFonts w:hint="default" w:ascii="Symbol" w:hAnsi="Symbol"/>
      </w:rPr>
    </w:lvl>
    <w:lvl w:ilvl="1" w:tplc="140A0003" w:tentative="1">
      <w:start w:val="1"/>
      <w:numFmt w:val="bullet"/>
      <w:lvlText w:val="o"/>
      <w:lvlJc w:val="left"/>
      <w:pPr>
        <w:ind w:left="1780" w:hanging="360"/>
      </w:pPr>
      <w:rPr>
        <w:rFonts w:hint="default" w:ascii="Courier New" w:hAnsi="Courier New" w:cs="Courier New"/>
      </w:rPr>
    </w:lvl>
    <w:lvl w:ilvl="2" w:tplc="140A0005" w:tentative="1">
      <w:start w:val="1"/>
      <w:numFmt w:val="bullet"/>
      <w:lvlText w:val=""/>
      <w:lvlJc w:val="left"/>
      <w:pPr>
        <w:ind w:left="2500" w:hanging="360"/>
      </w:pPr>
      <w:rPr>
        <w:rFonts w:hint="default" w:ascii="Wingdings" w:hAnsi="Wingdings"/>
      </w:rPr>
    </w:lvl>
    <w:lvl w:ilvl="3" w:tplc="140A0001" w:tentative="1">
      <w:start w:val="1"/>
      <w:numFmt w:val="bullet"/>
      <w:lvlText w:val=""/>
      <w:lvlJc w:val="left"/>
      <w:pPr>
        <w:ind w:left="3220" w:hanging="360"/>
      </w:pPr>
      <w:rPr>
        <w:rFonts w:hint="default" w:ascii="Symbol" w:hAnsi="Symbol"/>
      </w:rPr>
    </w:lvl>
    <w:lvl w:ilvl="4" w:tplc="140A0003" w:tentative="1">
      <w:start w:val="1"/>
      <w:numFmt w:val="bullet"/>
      <w:lvlText w:val="o"/>
      <w:lvlJc w:val="left"/>
      <w:pPr>
        <w:ind w:left="3940" w:hanging="360"/>
      </w:pPr>
      <w:rPr>
        <w:rFonts w:hint="default" w:ascii="Courier New" w:hAnsi="Courier New" w:cs="Courier New"/>
      </w:rPr>
    </w:lvl>
    <w:lvl w:ilvl="5" w:tplc="140A0005" w:tentative="1">
      <w:start w:val="1"/>
      <w:numFmt w:val="bullet"/>
      <w:lvlText w:val=""/>
      <w:lvlJc w:val="left"/>
      <w:pPr>
        <w:ind w:left="4660" w:hanging="360"/>
      </w:pPr>
      <w:rPr>
        <w:rFonts w:hint="default" w:ascii="Wingdings" w:hAnsi="Wingdings"/>
      </w:rPr>
    </w:lvl>
    <w:lvl w:ilvl="6" w:tplc="140A0001" w:tentative="1">
      <w:start w:val="1"/>
      <w:numFmt w:val="bullet"/>
      <w:lvlText w:val=""/>
      <w:lvlJc w:val="left"/>
      <w:pPr>
        <w:ind w:left="5380" w:hanging="360"/>
      </w:pPr>
      <w:rPr>
        <w:rFonts w:hint="default" w:ascii="Symbol" w:hAnsi="Symbol"/>
      </w:rPr>
    </w:lvl>
    <w:lvl w:ilvl="7" w:tplc="140A0003" w:tentative="1">
      <w:start w:val="1"/>
      <w:numFmt w:val="bullet"/>
      <w:lvlText w:val="o"/>
      <w:lvlJc w:val="left"/>
      <w:pPr>
        <w:ind w:left="6100" w:hanging="360"/>
      </w:pPr>
      <w:rPr>
        <w:rFonts w:hint="default" w:ascii="Courier New" w:hAnsi="Courier New" w:cs="Courier New"/>
      </w:rPr>
    </w:lvl>
    <w:lvl w:ilvl="8" w:tplc="140A0005" w:tentative="1">
      <w:start w:val="1"/>
      <w:numFmt w:val="bullet"/>
      <w:lvlText w:val=""/>
      <w:lvlJc w:val="left"/>
      <w:pPr>
        <w:ind w:left="6820" w:hanging="360"/>
      </w:pPr>
      <w:rPr>
        <w:rFonts w:hint="default" w:ascii="Wingdings" w:hAnsi="Wingdings"/>
      </w:rPr>
    </w:lvl>
  </w:abstractNum>
  <w:abstractNum w:abstractNumId="119" w15:restartNumberingAfterBreak="0">
    <w:nsid w:val="6B0F7A23"/>
    <w:multiLevelType w:val="hybridMultilevel"/>
    <w:tmpl w:val="E14A678C"/>
    <w:lvl w:ilvl="0" w:tplc="140A0001">
      <w:start w:val="1"/>
      <w:numFmt w:val="bullet"/>
      <w:lvlText w:val=""/>
      <w:lvlJc w:val="left"/>
      <w:pPr>
        <w:ind w:left="780" w:hanging="360"/>
      </w:pPr>
      <w:rPr>
        <w:rFonts w:hint="default" w:ascii="Symbol" w:hAnsi="Symbol"/>
      </w:rPr>
    </w:lvl>
    <w:lvl w:ilvl="1" w:tplc="140A0003" w:tentative="1">
      <w:start w:val="1"/>
      <w:numFmt w:val="bullet"/>
      <w:lvlText w:val="o"/>
      <w:lvlJc w:val="left"/>
      <w:pPr>
        <w:ind w:left="1500" w:hanging="360"/>
      </w:pPr>
      <w:rPr>
        <w:rFonts w:hint="default" w:ascii="Courier New" w:hAnsi="Courier New" w:cs="Courier New"/>
      </w:rPr>
    </w:lvl>
    <w:lvl w:ilvl="2" w:tplc="140A0005" w:tentative="1">
      <w:start w:val="1"/>
      <w:numFmt w:val="bullet"/>
      <w:lvlText w:val=""/>
      <w:lvlJc w:val="left"/>
      <w:pPr>
        <w:ind w:left="2220" w:hanging="360"/>
      </w:pPr>
      <w:rPr>
        <w:rFonts w:hint="default" w:ascii="Wingdings" w:hAnsi="Wingdings"/>
      </w:rPr>
    </w:lvl>
    <w:lvl w:ilvl="3" w:tplc="140A0001" w:tentative="1">
      <w:start w:val="1"/>
      <w:numFmt w:val="bullet"/>
      <w:lvlText w:val=""/>
      <w:lvlJc w:val="left"/>
      <w:pPr>
        <w:ind w:left="2940" w:hanging="360"/>
      </w:pPr>
      <w:rPr>
        <w:rFonts w:hint="default" w:ascii="Symbol" w:hAnsi="Symbol"/>
      </w:rPr>
    </w:lvl>
    <w:lvl w:ilvl="4" w:tplc="140A0003" w:tentative="1">
      <w:start w:val="1"/>
      <w:numFmt w:val="bullet"/>
      <w:lvlText w:val="o"/>
      <w:lvlJc w:val="left"/>
      <w:pPr>
        <w:ind w:left="3660" w:hanging="360"/>
      </w:pPr>
      <w:rPr>
        <w:rFonts w:hint="default" w:ascii="Courier New" w:hAnsi="Courier New" w:cs="Courier New"/>
      </w:rPr>
    </w:lvl>
    <w:lvl w:ilvl="5" w:tplc="140A0005" w:tentative="1">
      <w:start w:val="1"/>
      <w:numFmt w:val="bullet"/>
      <w:lvlText w:val=""/>
      <w:lvlJc w:val="left"/>
      <w:pPr>
        <w:ind w:left="4380" w:hanging="360"/>
      </w:pPr>
      <w:rPr>
        <w:rFonts w:hint="default" w:ascii="Wingdings" w:hAnsi="Wingdings"/>
      </w:rPr>
    </w:lvl>
    <w:lvl w:ilvl="6" w:tplc="140A0001" w:tentative="1">
      <w:start w:val="1"/>
      <w:numFmt w:val="bullet"/>
      <w:lvlText w:val=""/>
      <w:lvlJc w:val="left"/>
      <w:pPr>
        <w:ind w:left="5100" w:hanging="360"/>
      </w:pPr>
      <w:rPr>
        <w:rFonts w:hint="default" w:ascii="Symbol" w:hAnsi="Symbol"/>
      </w:rPr>
    </w:lvl>
    <w:lvl w:ilvl="7" w:tplc="140A0003" w:tentative="1">
      <w:start w:val="1"/>
      <w:numFmt w:val="bullet"/>
      <w:lvlText w:val="o"/>
      <w:lvlJc w:val="left"/>
      <w:pPr>
        <w:ind w:left="5820" w:hanging="360"/>
      </w:pPr>
      <w:rPr>
        <w:rFonts w:hint="default" w:ascii="Courier New" w:hAnsi="Courier New" w:cs="Courier New"/>
      </w:rPr>
    </w:lvl>
    <w:lvl w:ilvl="8" w:tplc="140A0005" w:tentative="1">
      <w:start w:val="1"/>
      <w:numFmt w:val="bullet"/>
      <w:lvlText w:val=""/>
      <w:lvlJc w:val="left"/>
      <w:pPr>
        <w:ind w:left="6540" w:hanging="360"/>
      </w:pPr>
      <w:rPr>
        <w:rFonts w:hint="default" w:ascii="Wingdings" w:hAnsi="Wingdings"/>
      </w:rPr>
    </w:lvl>
  </w:abstractNum>
  <w:abstractNum w:abstractNumId="120" w15:restartNumberingAfterBreak="0">
    <w:nsid w:val="6BB9699D"/>
    <w:multiLevelType w:val="hybridMultilevel"/>
    <w:tmpl w:val="CAD84AAE"/>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121" w15:restartNumberingAfterBreak="0">
    <w:nsid w:val="6DA34E3C"/>
    <w:multiLevelType w:val="hybridMultilevel"/>
    <w:tmpl w:val="518272B2"/>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22" w15:restartNumberingAfterBreak="0">
    <w:nsid w:val="6E4655D3"/>
    <w:multiLevelType w:val="hybridMultilevel"/>
    <w:tmpl w:val="AA60A9E4"/>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23" w15:restartNumberingAfterBreak="0">
    <w:nsid w:val="6EC71A3E"/>
    <w:multiLevelType w:val="hybridMultilevel"/>
    <w:tmpl w:val="F638885E"/>
    <w:lvl w:ilvl="0" w:tplc="140A000D">
      <w:start w:val="1"/>
      <w:numFmt w:val="bullet"/>
      <w:lvlText w:val=""/>
      <w:lvlJc w:val="left"/>
      <w:pPr>
        <w:ind w:left="720" w:hanging="360"/>
      </w:pPr>
      <w:rPr>
        <w:rFonts w:hint="default" w:ascii="Wingdings" w:hAnsi="Wingdings"/>
      </w:rPr>
    </w:lvl>
    <w:lvl w:ilvl="1" w:tplc="140A0003">
      <w:start w:val="1"/>
      <w:numFmt w:val="bullet"/>
      <w:lvlText w:val="o"/>
      <w:lvlJc w:val="left"/>
      <w:pPr>
        <w:ind w:left="1440" w:hanging="360"/>
      </w:pPr>
      <w:rPr>
        <w:rFonts w:hint="default" w:ascii="Courier New" w:hAnsi="Courier New" w:cs="Courier New"/>
      </w:rPr>
    </w:lvl>
    <w:lvl w:ilvl="2" w:tplc="140A0005">
      <w:start w:val="1"/>
      <w:numFmt w:val="bullet"/>
      <w:lvlText w:val=""/>
      <w:lvlJc w:val="left"/>
      <w:pPr>
        <w:ind w:left="2160" w:hanging="360"/>
      </w:pPr>
      <w:rPr>
        <w:rFonts w:hint="default" w:ascii="Wingdings" w:hAnsi="Wingdings"/>
      </w:rPr>
    </w:lvl>
    <w:lvl w:ilvl="3" w:tplc="140A0001">
      <w:start w:val="1"/>
      <w:numFmt w:val="bullet"/>
      <w:lvlText w:val=""/>
      <w:lvlJc w:val="left"/>
      <w:pPr>
        <w:ind w:left="2880" w:hanging="360"/>
      </w:pPr>
      <w:rPr>
        <w:rFonts w:hint="default" w:ascii="Symbol" w:hAnsi="Symbol"/>
      </w:rPr>
    </w:lvl>
    <w:lvl w:ilvl="4" w:tplc="140A0003">
      <w:start w:val="1"/>
      <w:numFmt w:val="bullet"/>
      <w:lvlText w:val="o"/>
      <w:lvlJc w:val="left"/>
      <w:pPr>
        <w:ind w:left="3600" w:hanging="360"/>
      </w:pPr>
      <w:rPr>
        <w:rFonts w:hint="default" w:ascii="Courier New" w:hAnsi="Courier New" w:cs="Courier New"/>
      </w:rPr>
    </w:lvl>
    <w:lvl w:ilvl="5" w:tplc="140A0005">
      <w:start w:val="1"/>
      <w:numFmt w:val="bullet"/>
      <w:lvlText w:val=""/>
      <w:lvlJc w:val="left"/>
      <w:pPr>
        <w:ind w:left="4320" w:hanging="360"/>
      </w:pPr>
      <w:rPr>
        <w:rFonts w:hint="default" w:ascii="Wingdings" w:hAnsi="Wingdings"/>
      </w:rPr>
    </w:lvl>
    <w:lvl w:ilvl="6" w:tplc="140A0001">
      <w:start w:val="1"/>
      <w:numFmt w:val="bullet"/>
      <w:lvlText w:val=""/>
      <w:lvlJc w:val="left"/>
      <w:pPr>
        <w:ind w:left="5040" w:hanging="360"/>
      </w:pPr>
      <w:rPr>
        <w:rFonts w:hint="default" w:ascii="Symbol" w:hAnsi="Symbol"/>
      </w:rPr>
    </w:lvl>
    <w:lvl w:ilvl="7" w:tplc="140A0003">
      <w:start w:val="1"/>
      <w:numFmt w:val="bullet"/>
      <w:lvlText w:val="o"/>
      <w:lvlJc w:val="left"/>
      <w:pPr>
        <w:ind w:left="5760" w:hanging="360"/>
      </w:pPr>
      <w:rPr>
        <w:rFonts w:hint="default" w:ascii="Courier New" w:hAnsi="Courier New" w:cs="Courier New"/>
      </w:rPr>
    </w:lvl>
    <w:lvl w:ilvl="8" w:tplc="140A0005">
      <w:start w:val="1"/>
      <w:numFmt w:val="bullet"/>
      <w:lvlText w:val=""/>
      <w:lvlJc w:val="left"/>
      <w:pPr>
        <w:ind w:left="6480" w:hanging="360"/>
      </w:pPr>
      <w:rPr>
        <w:rFonts w:hint="default" w:ascii="Wingdings" w:hAnsi="Wingdings"/>
      </w:rPr>
    </w:lvl>
  </w:abstractNum>
  <w:abstractNum w:abstractNumId="124" w15:restartNumberingAfterBreak="0">
    <w:nsid w:val="707330BB"/>
    <w:multiLevelType w:val="hybridMultilevel"/>
    <w:tmpl w:val="5DE0AE46"/>
    <w:lvl w:ilvl="0" w:tplc="48AEB01E">
      <w:start w:val="1"/>
      <w:numFmt w:val="lowerLetter"/>
      <w:lvlText w:val="%1."/>
      <w:lvlJc w:val="left"/>
    </w:lvl>
    <w:lvl w:ilvl="1" w:tplc="FBDCED6E">
      <w:start w:val="1"/>
      <w:numFmt w:val="bullet"/>
      <w:lvlText w:val=""/>
      <w:lvlJc w:val="left"/>
    </w:lvl>
    <w:lvl w:ilvl="2" w:tplc="5AC6FA46">
      <w:start w:val="1"/>
      <w:numFmt w:val="bullet"/>
      <w:lvlText w:val=""/>
      <w:lvlJc w:val="left"/>
    </w:lvl>
    <w:lvl w:ilvl="3" w:tplc="EF56565C">
      <w:start w:val="1"/>
      <w:numFmt w:val="bullet"/>
      <w:lvlText w:val=""/>
      <w:lvlJc w:val="left"/>
    </w:lvl>
    <w:lvl w:ilvl="4" w:tplc="8646BF20">
      <w:start w:val="1"/>
      <w:numFmt w:val="bullet"/>
      <w:lvlText w:val=""/>
      <w:lvlJc w:val="left"/>
    </w:lvl>
    <w:lvl w:ilvl="5" w:tplc="DAC8DFF6">
      <w:start w:val="1"/>
      <w:numFmt w:val="bullet"/>
      <w:lvlText w:val=""/>
      <w:lvlJc w:val="left"/>
    </w:lvl>
    <w:lvl w:ilvl="6" w:tplc="8878FAEE">
      <w:start w:val="1"/>
      <w:numFmt w:val="bullet"/>
      <w:lvlText w:val=""/>
      <w:lvlJc w:val="left"/>
    </w:lvl>
    <w:lvl w:ilvl="7" w:tplc="3524FDC0">
      <w:start w:val="1"/>
      <w:numFmt w:val="bullet"/>
      <w:lvlText w:val=""/>
      <w:lvlJc w:val="left"/>
    </w:lvl>
    <w:lvl w:ilvl="8" w:tplc="6712A69C">
      <w:start w:val="1"/>
      <w:numFmt w:val="bullet"/>
      <w:lvlText w:val=""/>
      <w:lvlJc w:val="left"/>
    </w:lvl>
  </w:abstractNum>
  <w:abstractNum w:abstractNumId="125" w15:restartNumberingAfterBreak="0">
    <w:nsid w:val="70D30D87"/>
    <w:multiLevelType w:val="hybridMultilevel"/>
    <w:tmpl w:val="ACA84FC2"/>
    <w:lvl w:ilvl="0" w:tplc="140A0015">
      <w:start w:val="1"/>
      <w:numFmt w:val="upp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26" w15:restartNumberingAfterBreak="0">
    <w:nsid w:val="72CD6E51"/>
    <w:multiLevelType w:val="multilevel"/>
    <w:tmpl w:val="386E59B6"/>
    <w:lvl w:ilvl="0">
      <w:start w:val="1"/>
      <w:numFmt w:val="decimal"/>
      <w:lvlText w:val="%1"/>
      <w:lvlJc w:val="left"/>
      <w:pPr>
        <w:ind w:left="710" w:hanging="710"/>
      </w:pPr>
      <w:rPr>
        <w:rFonts w:hint="default"/>
      </w:rPr>
    </w:lvl>
    <w:lvl w:ilvl="1">
      <w:start w:val="1"/>
      <w:numFmt w:val="decimal"/>
      <w:lvlText w:val="%1.%2"/>
      <w:lvlJc w:val="left"/>
      <w:pPr>
        <w:ind w:left="710" w:hanging="710"/>
      </w:pPr>
      <w:rPr>
        <w:rFonts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7" w15:restartNumberingAfterBreak="0">
    <w:nsid w:val="74135CA1"/>
    <w:multiLevelType w:val="hybridMultilevel"/>
    <w:tmpl w:val="A178095C"/>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128" w15:restartNumberingAfterBreak="0">
    <w:nsid w:val="74F07AA2"/>
    <w:multiLevelType w:val="hybridMultilevel"/>
    <w:tmpl w:val="EF203304"/>
    <w:lvl w:ilvl="0" w:tplc="140A000B">
      <w:start w:val="1"/>
      <w:numFmt w:val="bullet"/>
      <w:lvlText w:val=""/>
      <w:lvlJc w:val="left"/>
      <w:pPr>
        <w:ind w:left="720" w:hanging="360"/>
      </w:pPr>
      <w:rPr>
        <w:rFonts w:hint="default" w:ascii="Wingdings" w:hAnsi="Wingdings"/>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129" w15:restartNumberingAfterBreak="0">
    <w:nsid w:val="753F35B7"/>
    <w:multiLevelType w:val="hybridMultilevel"/>
    <w:tmpl w:val="B8B46BB2"/>
    <w:lvl w:ilvl="0" w:tplc="83A03698">
      <w:start w:val="1"/>
      <w:numFmt w:val="lowerLetter"/>
      <w:lvlText w:val="%1."/>
      <w:lvlJc w:val="left"/>
      <w:pPr>
        <w:ind w:left="720" w:hanging="360"/>
      </w:pPr>
    </w:lvl>
    <w:lvl w:ilvl="1" w:tplc="EA544366" w:tentative="1">
      <w:start w:val="1"/>
      <w:numFmt w:val="lowerLetter"/>
      <w:lvlText w:val="%2."/>
      <w:lvlJc w:val="left"/>
      <w:pPr>
        <w:ind w:left="1440" w:hanging="360"/>
      </w:pPr>
    </w:lvl>
    <w:lvl w:ilvl="2" w:tplc="F28C7E6A" w:tentative="1">
      <w:start w:val="1"/>
      <w:numFmt w:val="lowerRoman"/>
      <w:lvlText w:val="%3."/>
      <w:lvlJc w:val="right"/>
      <w:pPr>
        <w:ind w:left="2160" w:hanging="180"/>
      </w:pPr>
    </w:lvl>
    <w:lvl w:ilvl="3" w:tplc="33A80932" w:tentative="1">
      <w:start w:val="1"/>
      <w:numFmt w:val="decimal"/>
      <w:lvlText w:val="%4."/>
      <w:lvlJc w:val="left"/>
      <w:pPr>
        <w:ind w:left="2880" w:hanging="360"/>
      </w:pPr>
    </w:lvl>
    <w:lvl w:ilvl="4" w:tplc="0AD62614" w:tentative="1">
      <w:start w:val="1"/>
      <w:numFmt w:val="lowerLetter"/>
      <w:lvlText w:val="%5."/>
      <w:lvlJc w:val="left"/>
      <w:pPr>
        <w:ind w:left="3600" w:hanging="360"/>
      </w:pPr>
    </w:lvl>
    <w:lvl w:ilvl="5" w:tplc="3C78397C" w:tentative="1">
      <w:start w:val="1"/>
      <w:numFmt w:val="lowerRoman"/>
      <w:lvlText w:val="%6."/>
      <w:lvlJc w:val="right"/>
      <w:pPr>
        <w:ind w:left="4320" w:hanging="180"/>
      </w:pPr>
    </w:lvl>
    <w:lvl w:ilvl="6" w:tplc="CA68A2E2" w:tentative="1">
      <w:start w:val="1"/>
      <w:numFmt w:val="decimal"/>
      <w:lvlText w:val="%7."/>
      <w:lvlJc w:val="left"/>
      <w:pPr>
        <w:ind w:left="5040" w:hanging="360"/>
      </w:pPr>
    </w:lvl>
    <w:lvl w:ilvl="7" w:tplc="46127D68" w:tentative="1">
      <w:start w:val="1"/>
      <w:numFmt w:val="lowerLetter"/>
      <w:lvlText w:val="%8."/>
      <w:lvlJc w:val="left"/>
      <w:pPr>
        <w:ind w:left="5760" w:hanging="360"/>
      </w:pPr>
    </w:lvl>
    <w:lvl w:ilvl="8" w:tplc="7F68227C" w:tentative="1">
      <w:start w:val="1"/>
      <w:numFmt w:val="lowerRoman"/>
      <w:lvlText w:val="%9."/>
      <w:lvlJc w:val="right"/>
      <w:pPr>
        <w:ind w:left="6480" w:hanging="180"/>
      </w:pPr>
    </w:lvl>
  </w:abstractNum>
  <w:abstractNum w:abstractNumId="130" w15:restartNumberingAfterBreak="0">
    <w:nsid w:val="7755540F"/>
    <w:multiLevelType w:val="hybridMultilevel"/>
    <w:tmpl w:val="062AC810"/>
    <w:lvl w:ilvl="0" w:tplc="140A0001">
      <w:start w:val="1"/>
      <w:numFmt w:val="bullet"/>
      <w:lvlText w:val=""/>
      <w:lvlJc w:val="left"/>
      <w:pPr>
        <w:ind w:left="780" w:hanging="360"/>
      </w:pPr>
      <w:rPr>
        <w:rFonts w:hint="default" w:ascii="Symbol" w:hAnsi="Symbol"/>
      </w:rPr>
    </w:lvl>
    <w:lvl w:ilvl="1" w:tplc="140A0003" w:tentative="1">
      <w:start w:val="1"/>
      <w:numFmt w:val="bullet"/>
      <w:lvlText w:val="o"/>
      <w:lvlJc w:val="left"/>
      <w:pPr>
        <w:ind w:left="1500" w:hanging="360"/>
      </w:pPr>
      <w:rPr>
        <w:rFonts w:hint="default" w:ascii="Courier New" w:hAnsi="Courier New" w:cs="Courier New"/>
      </w:rPr>
    </w:lvl>
    <w:lvl w:ilvl="2" w:tplc="140A0005" w:tentative="1">
      <w:start w:val="1"/>
      <w:numFmt w:val="bullet"/>
      <w:lvlText w:val=""/>
      <w:lvlJc w:val="left"/>
      <w:pPr>
        <w:ind w:left="2220" w:hanging="360"/>
      </w:pPr>
      <w:rPr>
        <w:rFonts w:hint="default" w:ascii="Wingdings" w:hAnsi="Wingdings"/>
      </w:rPr>
    </w:lvl>
    <w:lvl w:ilvl="3" w:tplc="140A0001" w:tentative="1">
      <w:start w:val="1"/>
      <w:numFmt w:val="bullet"/>
      <w:lvlText w:val=""/>
      <w:lvlJc w:val="left"/>
      <w:pPr>
        <w:ind w:left="2940" w:hanging="360"/>
      </w:pPr>
      <w:rPr>
        <w:rFonts w:hint="default" w:ascii="Symbol" w:hAnsi="Symbol"/>
      </w:rPr>
    </w:lvl>
    <w:lvl w:ilvl="4" w:tplc="140A0003" w:tentative="1">
      <w:start w:val="1"/>
      <w:numFmt w:val="bullet"/>
      <w:lvlText w:val="o"/>
      <w:lvlJc w:val="left"/>
      <w:pPr>
        <w:ind w:left="3660" w:hanging="360"/>
      </w:pPr>
      <w:rPr>
        <w:rFonts w:hint="default" w:ascii="Courier New" w:hAnsi="Courier New" w:cs="Courier New"/>
      </w:rPr>
    </w:lvl>
    <w:lvl w:ilvl="5" w:tplc="140A0005" w:tentative="1">
      <w:start w:val="1"/>
      <w:numFmt w:val="bullet"/>
      <w:lvlText w:val=""/>
      <w:lvlJc w:val="left"/>
      <w:pPr>
        <w:ind w:left="4380" w:hanging="360"/>
      </w:pPr>
      <w:rPr>
        <w:rFonts w:hint="default" w:ascii="Wingdings" w:hAnsi="Wingdings"/>
      </w:rPr>
    </w:lvl>
    <w:lvl w:ilvl="6" w:tplc="140A0001" w:tentative="1">
      <w:start w:val="1"/>
      <w:numFmt w:val="bullet"/>
      <w:lvlText w:val=""/>
      <w:lvlJc w:val="left"/>
      <w:pPr>
        <w:ind w:left="5100" w:hanging="360"/>
      </w:pPr>
      <w:rPr>
        <w:rFonts w:hint="default" w:ascii="Symbol" w:hAnsi="Symbol"/>
      </w:rPr>
    </w:lvl>
    <w:lvl w:ilvl="7" w:tplc="140A0003" w:tentative="1">
      <w:start w:val="1"/>
      <w:numFmt w:val="bullet"/>
      <w:lvlText w:val="o"/>
      <w:lvlJc w:val="left"/>
      <w:pPr>
        <w:ind w:left="5820" w:hanging="360"/>
      </w:pPr>
      <w:rPr>
        <w:rFonts w:hint="default" w:ascii="Courier New" w:hAnsi="Courier New" w:cs="Courier New"/>
      </w:rPr>
    </w:lvl>
    <w:lvl w:ilvl="8" w:tplc="140A0005" w:tentative="1">
      <w:start w:val="1"/>
      <w:numFmt w:val="bullet"/>
      <w:lvlText w:val=""/>
      <w:lvlJc w:val="left"/>
      <w:pPr>
        <w:ind w:left="6540" w:hanging="360"/>
      </w:pPr>
      <w:rPr>
        <w:rFonts w:hint="default" w:ascii="Wingdings" w:hAnsi="Wingdings"/>
      </w:rPr>
    </w:lvl>
  </w:abstractNum>
  <w:abstractNum w:abstractNumId="131" w15:restartNumberingAfterBreak="0">
    <w:nsid w:val="77E86057"/>
    <w:multiLevelType w:val="multilevel"/>
    <w:tmpl w:val="5C106BE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2" w15:restartNumberingAfterBreak="0">
    <w:nsid w:val="783F6BE2"/>
    <w:multiLevelType w:val="multilevel"/>
    <w:tmpl w:val="014409A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78DE3094"/>
    <w:multiLevelType w:val="hybridMultilevel"/>
    <w:tmpl w:val="D12E5436"/>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4" w15:restartNumberingAfterBreak="0">
    <w:nsid w:val="78FC23B8"/>
    <w:multiLevelType w:val="hybridMultilevel"/>
    <w:tmpl w:val="C30087A6"/>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135" w15:restartNumberingAfterBreak="0">
    <w:nsid w:val="79601885"/>
    <w:multiLevelType w:val="hybridMultilevel"/>
    <w:tmpl w:val="B40A71FA"/>
    <w:lvl w:ilvl="0" w:tplc="C0C609EA">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6" w15:restartNumberingAfterBreak="0">
    <w:nsid w:val="7A710BF1"/>
    <w:multiLevelType w:val="multilevel"/>
    <w:tmpl w:val="14D6B492"/>
    <w:lvl w:ilvl="0">
      <w:start w:val="1"/>
      <w:numFmt w:val="decimal"/>
      <w:lvlText w:val="%1."/>
      <w:lvlJc w:val="left"/>
      <w:pPr>
        <w:ind w:left="720" w:hanging="360"/>
      </w:pPr>
      <w:rPr>
        <w:b/>
        <w:bCs w:val="0"/>
      </w:rPr>
    </w:lvl>
    <w:lvl w:ilvl="1">
      <w:start w:val="1"/>
      <w:numFmt w:val="decimal"/>
      <w:lvlText w:val="%1.%2"/>
      <w:lvlJc w:val="left"/>
      <w:pPr>
        <w:ind w:left="760" w:hanging="400"/>
      </w:pPr>
      <w:rPr>
        <w:b/>
        <w:bCs/>
        <w:color w:val="auto"/>
      </w:rPr>
    </w:lvl>
    <w:lvl w:ilvl="2">
      <w:start w:val="1"/>
      <w:numFmt w:val="decimal"/>
      <w:lvlText w:val="%1.%2.%3"/>
      <w:lvlJc w:val="left"/>
      <w:pPr>
        <w:ind w:left="1080" w:hanging="720"/>
      </w:pPr>
      <w:rPr>
        <w:color w:val="auto"/>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7" w15:restartNumberingAfterBreak="0">
    <w:nsid w:val="7B5C3D1F"/>
    <w:multiLevelType w:val="multilevel"/>
    <w:tmpl w:val="09926AB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8" w15:restartNumberingAfterBreak="0">
    <w:nsid w:val="7BF37BBD"/>
    <w:multiLevelType w:val="multilevel"/>
    <w:tmpl w:val="B28AEBAE"/>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9" w15:restartNumberingAfterBreak="0">
    <w:nsid w:val="7D5748FA"/>
    <w:multiLevelType w:val="hybridMultilevel"/>
    <w:tmpl w:val="E2D819E4"/>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140" w15:restartNumberingAfterBreak="0">
    <w:nsid w:val="7D7D7517"/>
    <w:multiLevelType w:val="hybridMultilevel"/>
    <w:tmpl w:val="457E48E8"/>
    <w:lvl w:ilvl="0" w:tplc="6E4A6576">
      <w:start w:val="1"/>
      <w:numFmt w:val="decimal"/>
      <w:lvlText w:val="%1."/>
      <w:lvlJc w:val="left"/>
      <w:pPr>
        <w:ind w:left="1080" w:hanging="720"/>
      </w:pPr>
      <w:rPr>
        <w:rFonts w:hint="default"/>
        <w:color w:val="auto"/>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1" w15:restartNumberingAfterBreak="0">
    <w:nsid w:val="7E0C5944"/>
    <w:multiLevelType w:val="hybridMultilevel"/>
    <w:tmpl w:val="7CC659D4"/>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142" w15:restartNumberingAfterBreak="0">
    <w:nsid w:val="7EC51C7D"/>
    <w:multiLevelType w:val="hybridMultilevel"/>
    <w:tmpl w:val="B8AE5D40"/>
    <w:lvl w:ilvl="0" w:tplc="170CA6BA">
      <w:numFmt w:val="bullet"/>
      <w:lvlText w:val="-"/>
      <w:lvlJc w:val="left"/>
      <w:pPr>
        <w:ind w:left="720" w:hanging="360"/>
      </w:pPr>
      <w:rPr>
        <w:rFonts w:hint="default" w:ascii="Calibri" w:hAnsi="Calibri" w:cs="Calibri" w:eastAsiaTheme="minorHAnsi"/>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143" w15:restartNumberingAfterBreak="0">
    <w:nsid w:val="7ED46600"/>
    <w:multiLevelType w:val="hybridMultilevel"/>
    <w:tmpl w:val="D15A26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6"/>
  </w:num>
  <w:num w:numId="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6"/>
  </w:num>
  <w:num w:numId="4">
    <w:abstractNumId w:val="136"/>
  </w:num>
  <w:num w:numId="5">
    <w:abstractNumId w:val="101"/>
  </w:num>
  <w:num w:numId="6">
    <w:abstractNumId w:val="66"/>
  </w:num>
  <w:num w:numId="7">
    <w:abstractNumId w:val="32"/>
  </w:num>
  <w:num w:numId="8">
    <w:abstractNumId w:val="112"/>
  </w:num>
  <w:num w:numId="9">
    <w:abstractNumId w:val="140"/>
  </w:num>
  <w:num w:numId="10">
    <w:abstractNumId w:val="63"/>
  </w:num>
  <w:num w:numId="11">
    <w:abstractNumId w:val="38"/>
  </w:num>
  <w:num w:numId="12">
    <w:abstractNumId w:val="113"/>
  </w:num>
  <w:num w:numId="13">
    <w:abstractNumId w:val="8"/>
  </w:num>
  <w:num w:numId="14">
    <w:abstractNumId w:val="94"/>
  </w:num>
  <w:num w:numId="15">
    <w:abstractNumId w:val="131"/>
  </w:num>
  <w:num w:numId="16">
    <w:abstractNumId w:val="137"/>
  </w:num>
  <w:num w:numId="17">
    <w:abstractNumId w:val="132"/>
  </w:num>
  <w:num w:numId="18">
    <w:abstractNumId w:val="62"/>
  </w:num>
  <w:num w:numId="19">
    <w:abstractNumId w:val="76"/>
  </w:num>
  <w:num w:numId="20">
    <w:abstractNumId w:val="60"/>
  </w:num>
  <w:num w:numId="21">
    <w:abstractNumId w:val="22"/>
  </w:num>
  <w:num w:numId="22">
    <w:abstractNumId w:val="118"/>
  </w:num>
  <w:num w:numId="23">
    <w:abstractNumId w:val="100"/>
  </w:num>
  <w:num w:numId="24">
    <w:abstractNumId w:val="109"/>
  </w:num>
  <w:num w:numId="25">
    <w:abstractNumId w:val="96"/>
  </w:num>
  <w:num w:numId="26">
    <w:abstractNumId w:val="68"/>
  </w:num>
  <w:num w:numId="27">
    <w:abstractNumId w:val="12"/>
  </w:num>
  <w:num w:numId="28">
    <w:abstractNumId w:val="142"/>
  </w:num>
  <w:num w:numId="29">
    <w:abstractNumId w:val="93"/>
  </w:num>
  <w:num w:numId="30">
    <w:abstractNumId w:val="143"/>
  </w:num>
  <w:num w:numId="31">
    <w:abstractNumId w:val="54"/>
  </w:num>
  <w:num w:numId="32">
    <w:abstractNumId w:val="27"/>
  </w:num>
  <w:num w:numId="33">
    <w:abstractNumId w:val="114"/>
  </w:num>
  <w:num w:numId="34">
    <w:abstractNumId w:val="37"/>
  </w:num>
  <w:num w:numId="35">
    <w:abstractNumId w:val="45"/>
  </w:num>
  <w:num w:numId="36">
    <w:abstractNumId w:val="102"/>
  </w:num>
  <w:num w:numId="37">
    <w:abstractNumId w:val="57"/>
  </w:num>
  <w:num w:numId="38">
    <w:abstractNumId w:val="119"/>
  </w:num>
  <w:num w:numId="39">
    <w:abstractNumId w:val="59"/>
  </w:num>
  <w:num w:numId="40">
    <w:abstractNumId w:val="91"/>
  </w:num>
  <w:num w:numId="41">
    <w:abstractNumId w:val="17"/>
  </w:num>
  <w:num w:numId="42">
    <w:abstractNumId w:val="128"/>
  </w:num>
  <w:num w:numId="43">
    <w:abstractNumId w:val="111"/>
  </w:num>
  <w:num w:numId="44">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34"/>
  </w:num>
  <w:num w:numId="46">
    <w:abstractNumId w:val="48"/>
  </w:num>
  <w:num w:numId="47">
    <w:abstractNumId w:val="18"/>
  </w:num>
  <w:num w:numId="48">
    <w:abstractNumId w:val="90"/>
  </w:num>
  <w:num w:numId="49">
    <w:abstractNumId w:val="86"/>
  </w:num>
  <w:num w:numId="50">
    <w:abstractNumId w:val="121"/>
  </w:num>
  <w:num w:numId="51">
    <w:abstractNumId w:val="44"/>
  </w:num>
  <w:num w:numId="52">
    <w:abstractNumId w:val="26"/>
  </w:num>
  <w:num w:numId="53">
    <w:abstractNumId w:val="139"/>
  </w:num>
  <w:num w:numId="54">
    <w:abstractNumId w:val="5"/>
  </w:num>
  <w:num w:numId="55">
    <w:abstractNumId w:val="6"/>
  </w:num>
  <w:num w:numId="56">
    <w:abstractNumId w:val="67"/>
  </w:num>
  <w:num w:numId="57">
    <w:abstractNumId w:val="107"/>
  </w:num>
  <w:num w:numId="58">
    <w:abstractNumId w:val="14"/>
  </w:num>
  <w:num w:numId="59">
    <w:abstractNumId w:val="30"/>
  </w:num>
  <w:num w:numId="60">
    <w:abstractNumId w:val="35"/>
  </w:num>
  <w:num w:numId="61">
    <w:abstractNumId w:val="98"/>
  </w:num>
  <w:num w:numId="62">
    <w:abstractNumId w:val="72"/>
  </w:num>
  <w:num w:numId="63">
    <w:abstractNumId w:val="40"/>
  </w:num>
  <w:num w:numId="64">
    <w:abstractNumId w:val="115"/>
  </w:num>
  <w:num w:numId="65">
    <w:abstractNumId w:val="53"/>
  </w:num>
  <w:num w:numId="66">
    <w:abstractNumId w:val="95"/>
  </w:num>
  <w:num w:numId="67">
    <w:abstractNumId w:val="84"/>
  </w:num>
  <w:num w:numId="68">
    <w:abstractNumId w:val="61"/>
  </w:num>
  <w:num w:numId="69">
    <w:abstractNumId w:val="33"/>
  </w:num>
  <w:num w:numId="70">
    <w:abstractNumId w:val="20"/>
  </w:num>
  <w:num w:numId="71">
    <w:abstractNumId w:val="141"/>
  </w:num>
  <w:num w:numId="72">
    <w:abstractNumId w:val="85"/>
  </w:num>
  <w:num w:numId="73">
    <w:abstractNumId w:val="103"/>
  </w:num>
  <w:num w:numId="74">
    <w:abstractNumId w:val="56"/>
  </w:num>
  <w:num w:numId="75">
    <w:abstractNumId w:val="15"/>
  </w:num>
  <w:num w:numId="76">
    <w:abstractNumId w:val="24"/>
  </w:num>
  <w:num w:numId="77">
    <w:abstractNumId w:val="69"/>
  </w:num>
  <w:num w:numId="78">
    <w:abstractNumId w:val="80"/>
  </w:num>
  <w:num w:numId="79">
    <w:abstractNumId w:val="71"/>
  </w:num>
  <w:num w:numId="80">
    <w:abstractNumId w:val="43"/>
  </w:num>
  <w:num w:numId="81">
    <w:abstractNumId w:val="82"/>
  </w:num>
  <w:num w:numId="82">
    <w:abstractNumId w:val="1"/>
  </w:num>
  <w:num w:numId="83">
    <w:abstractNumId w:val="105"/>
  </w:num>
  <w:num w:numId="84">
    <w:abstractNumId w:val="127"/>
  </w:num>
  <w:num w:numId="85">
    <w:abstractNumId w:val="11"/>
  </w:num>
  <w:num w:numId="86">
    <w:abstractNumId w:val="23"/>
  </w:num>
  <w:num w:numId="87">
    <w:abstractNumId w:val="130"/>
  </w:num>
  <w:num w:numId="88">
    <w:abstractNumId w:val="50"/>
  </w:num>
  <w:num w:numId="89">
    <w:abstractNumId w:val="52"/>
  </w:num>
  <w:num w:numId="90">
    <w:abstractNumId w:val="49"/>
  </w:num>
  <w:num w:numId="91">
    <w:abstractNumId w:val="64"/>
  </w:num>
  <w:num w:numId="92">
    <w:abstractNumId w:val="58"/>
  </w:num>
  <w:num w:numId="93">
    <w:abstractNumId w:val="39"/>
  </w:num>
  <w:num w:numId="94">
    <w:abstractNumId w:val="81"/>
  </w:num>
  <w:num w:numId="95">
    <w:abstractNumId w:val="21"/>
  </w:num>
  <w:num w:numId="96">
    <w:abstractNumId w:val="70"/>
  </w:num>
  <w:num w:numId="97">
    <w:abstractNumId w:val="9"/>
  </w:num>
  <w:num w:numId="98">
    <w:abstractNumId w:val="29"/>
  </w:num>
  <w:num w:numId="99">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7"/>
  </w:num>
  <w:num w:numId="101">
    <w:abstractNumId w:val="120"/>
  </w:num>
  <w:num w:numId="102">
    <w:abstractNumId w:val="3"/>
  </w:num>
  <w:num w:numId="103">
    <w:abstractNumId w:val="16"/>
  </w:num>
  <w:num w:numId="104">
    <w:abstractNumId w:val="19"/>
  </w:num>
  <w:num w:numId="105">
    <w:abstractNumId w:val="0"/>
  </w:num>
  <w:num w:numId="106">
    <w:abstractNumId w:val="117"/>
  </w:num>
  <w:num w:numId="107">
    <w:abstractNumId w:val="124"/>
  </w:num>
  <w:num w:numId="108">
    <w:abstractNumId w:val="104"/>
  </w:num>
  <w:num w:numId="109">
    <w:abstractNumId w:val="74"/>
  </w:num>
  <w:num w:numId="110">
    <w:abstractNumId w:val="97"/>
  </w:num>
  <w:num w:numId="111">
    <w:abstractNumId w:val="79"/>
  </w:num>
  <w:num w:numId="112">
    <w:abstractNumId w:val="133"/>
  </w:num>
  <w:num w:numId="113">
    <w:abstractNumId w:val="55"/>
  </w:num>
  <w:num w:numId="114">
    <w:abstractNumId w:val="28"/>
  </w:num>
  <w:num w:numId="115">
    <w:abstractNumId w:val="16"/>
    <w:lvlOverride w:ilvl="0">
      <w:startOverride w:val="3"/>
    </w:lvlOverride>
    <w:lvlOverride w:ilvl="1">
      <w:startOverride w:val="1"/>
    </w:lvlOverride>
    <w:lvlOverride w:ilvl="2">
      <w:startOverride w:val="2"/>
    </w:lvlOverride>
    <w:lvlOverride w:ilvl="3">
      <w:startOverride w:val="1"/>
    </w:lvlOverride>
  </w:num>
  <w:num w:numId="116">
    <w:abstractNumId w:val="135"/>
  </w:num>
  <w:num w:numId="117">
    <w:abstractNumId w:val="88"/>
  </w:num>
  <w:num w:numId="118">
    <w:abstractNumId w:val="129"/>
  </w:num>
  <w:num w:numId="119">
    <w:abstractNumId w:val="36"/>
  </w:num>
  <w:num w:numId="120">
    <w:abstractNumId w:val="25"/>
  </w:num>
  <w:num w:numId="121">
    <w:abstractNumId w:val="7"/>
  </w:num>
  <w:num w:numId="122">
    <w:abstractNumId w:val="106"/>
  </w:num>
  <w:num w:numId="123">
    <w:abstractNumId w:val="73"/>
  </w:num>
  <w:num w:numId="124">
    <w:abstractNumId w:val="92"/>
  </w:num>
  <w:num w:numId="125">
    <w:abstractNumId w:val="87"/>
  </w:num>
  <w:num w:numId="126">
    <w:abstractNumId w:val="41"/>
  </w:num>
  <w:num w:numId="127">
    <w:abstractNumId w:val="4"/>
  </w:num>
  <w:num w:numId="128">
    <w:abstractNumId w:val="123"/>
  </w:num>
  <w:num w:numId="129">
    <w:abstractNumId w:val="13"/>
  </w:num>
  <w:num w:numId="130">
    <w:abstractNumId w:val="126"/>
  </w:num>
  <w:num w:numId="131">
    <w:abstractNumId w:val="110"/>
  </w:num>
  <w:num w:numId="132">
    <w:abstractNumId w:val="89"/>
  </w:num>
  <w:num w:numId="133">
    <w:abstractNumId w:val="65"/>
  </w:num>
  <w:num w:numId="134">
    <w:abstractNumId w:val="42"/>
  </w:num>
  <w:num w:numId="135">
    <w:abstractNumId w:val="2"/>
  </w:num>
  <w:num w:numId="136">
    <w:abstractNumId w:val="34"/>
  </w:num>
  <w:num w:numId="137">
    <w:abstractNumId w:val="10"/>
  </w:num>
  <w:num w:numId="138">
    <w:abstractNumId w:val="99"/>
  </w:num>
  <w:num w:numId="139">
    <w:abstractNumId w:val="47"/>
  </w:num>
  <w:num w:numId="140">
    <w:abstractNumId w:val="138"/>
  </w:num>
  <w:num w:numId="141">
    <w:abstractNumId w:val="31"/>
  </w:num>
  <w:num w:numId="142">
    <w:abstractNumId w:val="51"/>
  </w:num>
  <w:num w:numId="143">
    <w:abstractNumId w:val="108"/>
  </w:num>
  <w:num w:numId="144">
    <w:abstractNumId w:val="78"/>
  </w:num>
  <w:num w:numId="145">
    <w:abstractNumId w:val="75"/>
  </w:num>
  <w:num w:numId="146">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3"/>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7DE0"/>
    <w:rsid w:val="00014F38"/>
    <w:rsid w:val="00022F2F"/>
    <w:rsid w:val="000373CF"/>
    <w:rsid w:val="000458B6"/>
    <w:rsid w:val="000700CF"/>
    <w:rsid w:val="0007105A"/>
    <w:rsid w:val="00094B47"/>
    <w:rsid w:val="00116A5A"/>
    <w:rsid w:val="00144AB6"/>
    <w:rsid w:val="00163B94"/>
    <w:rsid w:val="00194CA2"/>
    <w:rsid w:val="001F07B8"/>
    <w:rsid w:val="001F202D"/>
    <w:rsid w:val="0020357C"/>
    <w:rsid w:val="0022308F"/>
    <w:rsid w:val="002241C3"/>
    <w:rsid w:val="00227910"/>
    <w:rsid w:val="00243714"/>
    <w:rsid w:val="00253B92"/>
    <w:rsid w:val="00253DC8"/>
    <w:rsid w:val="002656E2"/>
    <w:rsid w:val="002745AF"/>
    <w:rsid w:val="002B562B"/>
    <w:rsid w:val="002E3C25"/>
    <w:rsid w:val="002F7DC8"/>
    <w:rsid w:val="003527C8"/>
    <w:rsid w:val="0038110D"/>
    <w:rsid w:val="003979DE"/>
    <w:rsid w:val="003F43D2"/>
    <w:rsid w:val="003F65D2"/>
    <w:rsid w:val="00420D52"/>
    <w:rsid w:val="00433D98"/>
    <w:rsid w:val="004606FE"/>
    <w:rsid w:val="00471D24"/>
    <w:rsid w:val="00487DE0"/>
    <w:rsid w:val="004C4746"/>
    <w:rsid w:val="00513005"/>
    <w:rsid w:val="00532F49"/>
    <w:rsid w:val="00580F94"/>
    <w:rsid w:val="00603185"/>
    <w:rsid w:val="00637380"/>
    <w:rsid w:val="00652EA9"/>
    <w:rsid w:val="006565F0"/>
    <w:rsid w:val="0073072F"/>
    <w:rsid w:val="00753ECC"/>
    <w:rsid w:val="007B5FDF"/>
    <w:rsid w:val="00812C6B"/>
    <w:rsid w:val="00825416"/>
    <w:rsid w:val="008812F1"/>
    <w:rsid w:val="00883E9A"/>
    <w:rsid w:val="00894B36"/>
    <w:rsid w:val="008A2B96"/>
    <w:rsid w:val="008D0C98"/>
    <w:rsid w:val="008F4340"/>
    <w:rsid w:val="0094719C"/>
    <w:rsid w:val="00961107"/>
    <w:rsid w:val="00980495"/>
    <w:rsid w:val="00995473"/>
    <w:rsid w:val="009B6692"/>
    <w:rsid w:val="009D3FB5"/>
    <w:rsid w:val="009D400C"/>
    <w:rsid w:val="00A46837"/>
    <w:rsid w:val="00A57DFB"/>
    <w:rsid w:val="00A854DC"/>
    <w:rsid w:val="00A904EB"/>
    <w:rsid w:val="00AA21D4"/>
    <w:rsid w:val="00AE1B2B"/>
    <w:rsid w:val="00B01158"/>
    <w:rsid w:val="00BB7720"/>
    <w:rsid w:val="00BE5897"/>
    <w:rsid w:val="00BE79E4"/>
    <w:rsid w:val="00C20FC1"/>
    <w:rsid w:val="00C4280C"/>
    <w:rsid w:val="00C43966"/>
    <w:rsid w:val="00C5524E"/>
    <w:rsid w:val="00CB3163"/>
    <w:rsid w:val="00CB68CC"/>
    <w:rsid w:val="00CC239D"/>
    <w:rsid w:val="00CC2989"/>
    <w:rsid w:val="00CD7D76"/>
    <w:rsid w:val="00CE58C4"/>
    <w:rsid w:val="00CF5EED"/>
    <w:rsid w:val="00D02707"/>
    <w:rsid w:val="00D0558E"/>
    <w:rsid w:val="00D627BD"/>
    <w:rsid w:val="00D90F88"/>
    <w:rsid w:val="00DB0717"/>
    <w:rsid w:val="00DC4CAA"/>
    <w:rsid w:val="00DF24A2"/>
    <w:rsid w:val="00DF34AD"/>
    <w:rsid w:val="00E42346"/>
    <w:rsid w:val="00EA1C55"/>
    <w:rsid w:val="00EC5B94"/>
    <w:rsid w:val="00ED5857"/>
    <w:rsid w:val="00F10713"/>
    <w:rsid w:val="00F31A99"/>
    <w:rsid w:val="00F35BFE"/>
    <w:rsid w:val="00F57E5D"/>
    <w:rsid w:val="00F66C09"/>
    <w:rsid w:val="00F72807"/>
    <w:rsid w:val="00F80D91"/>
    <w:rsid w:val="00F93153"/>
    <w:rsid w:val="00FA36F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9FA3C0"/>
  <w15:chartTrackingRefBased/>
  <w15:docId w15:val="{1A0470FB-4684-490C-8F2E-BF94D8EF7DD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0"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qFormat="1"/>
    <w:lsdException w:name="annotation text" w:semiHidden="1" w:unhideWhenUsed="1"/>
    <w:lsdException w:name="header" w:uiPriority="0" w:semiHidden="1" w:unhideWhenUsed="1"/>
    <w:lsdException w:name="footer" w:uiPriority="0" w:semiHidden="1" w:unhideWhenUsed="1"/>
    <w:lsdException w:name="index heading" w:semiHidden="1" w:unhideWhenUsed="1"/>
    <w:lsdException w:name="caption"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qFormat="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lsdException w:name="Body Text 3" w:uiPriority="0" w:semiHidden="1" w:unhideWhenUsed="1"/>
    <w:lsdException w:name="Body Text Indent 2" w:uiPriority="0" w:semiHidden="1" w:unhideWhenUsed="1"/>
    <w:lsdException w:name="Body Text Indent 3" w:uiPriority="0" w:semiHidden="1" w:unhideWhenUsed="1"/>
    <w:lsdException w:name="Block Text" w:uiPriority="0" w:semiHidden="1" w:unhideWhenUsed="1"/>
    <w:lsdException w:name="Hyperlink" w:uiPriority="0" w:semiHidden="1" w:unhideWhenUsed="1"/>
    <w:lsdException w:name="FollowedHyperlink" w:uiPriority="0" w:semiHidden="1" w:unhideWhenUsed="1"/>
    <w:lsdException w:name="Strong" w:uiPriority="22" w:qFormat="1"/>
    <w:lsdException w:name="Emphasis" w:uiPriority="0" w:qFormat="1"/>
    <w:lsdException w:name="Document Map" w:uiPriority="0"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0"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uiPriority="0"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487DE0"/>
    <w:pPr>
      <w:spacing w:after="0" w:line="240" w:lineRule="auto"/>
    </w:pPr>
    <w:rPr>
      <w:rFonts w:ascii="Calibri" w:hAnsi="Calibri" w:cs="Calibri"/>
    </w:rPr>
  </w:style>
  <w:style w:type="paragraph" w:styleId="Ttulo1">
    <w:name w:val="heading 1"/>
    <w:aliases w:val="Título Principal"/>
    <w:basedOn w:val="Normal"/>
    <w:link w:val="Ttulo1Car"/>
    <w:qFormat/>
    <w:rsid w:val="00487DE0"/>
    <w:pPr>
      <w:keepNext/>
      <w:shd w:val="clear" w:color="auto" w:fill="FFFFFF"/>
      <w:autoSpaceDE w:val="0"/>
      <w:autoSpaceDN w:val="0"/>
      <w:jc w:val="both"/>
      <w:outlineLvl w:val="0"/>
    </w:pPr>
    <w:rPr>
      <w:rFonts w:ascii="Arial" w:hAnsi="Arial" w:cs="Arial"/>
      <w:sz w:val="28"/>
      <w:szCs w:val="28"/>
      <w:lang w:eastAsia="es-ES"/>
    </w:rPr>
  </w:style>
  <w:style w:type="paragraph" w:styleId="Ttulo2">
    <w:name w:val="heading 2"/>
    <w:basedOn w:val="Normal"/>
    <w:next w:val="Normal"/>
    <w:link w:val="Ttulo2Car"/>
    <w:qFormat/>
    <w:rsid w:val="00487DE0"/>
    <w:pPr>
      <w:keepNext/>
      <w:widowControl w:val="0"/>
      <w:autoSpaceDE w:val="0"/>
      <w:autoSpaceDN w:val="0"/>
      <w:adjustRightInd w:val="0"/>
      <w:spacing w:before="240" w:after="60"/>
      <w:outlineLvl w:val="1"/>
    </w:pPr>
    <w:rPr>
      <w:rFonts w:ascii="Arial" w:hAnsi="Arial" w:eastAsia="Times New Roman" w:cs="Arial"/>
      <w:b/>
      <w:bCs/>
      <w:i/>
      <w:iCs/>
      <w:sz w:val="28"/>
      <w:szCs w:val="28"/>
      <w:lang w:val="es-ES" w:eastAsia="es-ES"/>
    </w:rPr>
  </w:style>
  <w:style w:type="paragraph" w:styleId="Ttulo3">
    <w:name w:val="heading 3"/>
    <w:aliases w:val="Subtítulos de Hallazgo,Graficos,otros,heading 3"/>
    <w:basedOn w:val="Normal"/>
    <w:next w:val="Normal"/>
    <w:link w:val="Ttulo3Car"/>
    <w:qFormat/>
    <w:rsid w:val="00487DE0"/>
    <w:pPr>
      <w:keepNext/>
      <w:widowControl w:val="0"/>
      <w:autoSpaceDE w:val="0"/>
      <w:autoSpaceDN w:val="0"/>
      <w:adjustRightInd w:val="0"/>
      <w:spacing w:before="240" w:after="60"/>
      <w:outlineLvl w:val="2"/>
    </w:pPr>
    <w:rPr>
      <w:rFonts w:ascii="Arial" w:hAnsi="Arial" w:eastAsia="Times New Roman" w:cs="Arial"/>
      <w:b/>
      <w:bCs/>
      <w:sz w:val="26"/>
      <w:szCs w:val="26"/>
      <w:lang w:val="es-ES" w:eastAsia="es-ES"/>
    </w:rPr>
  </w:style>
  <w:style w:type="paragraph" w:styleId="Ttulo4">
    <w:name w:val="heading 4"/>
    <w:basedOn w:val="Normal"/>
    <w:next w:val="Normal"/>
    <w:link w:val="Ttulo4Car"/>
    <w:qFormat/>
    <w:rsid w:val="00487DE0"/>
    <w:pPr>
      <w:keepNext/>
      <w:widowControl w:val="0"/>
      <w:autoSpaceDE w:val="0"/>
      <w:autoSpaceDN w:val="0"/>
      <w:adjustRightInd w:val="0"/>
      <w:outlineLvl w:val="3"/>
    </w:pPr>
    <w:rPr>
      <w:rFonts w:ascii="Book Antiqua" w:hAnsi="Book Antiqua" w:eastAsia="Times New Roman" w:cs="Times New Roman"/>
      <w:b/>
      <w:bCs/>
      <w:sz w:val="24"/>
      <w:szCs w:val="24"/>
      <w:u w:color="000000"/>
      <w:lang w:val="es-ES" w:eastAsia="es-ES"/>
    </w:rPr>
  </w:style>
  <w:style w:type="paragraph" w:styleId="Ttulo5">
    <w:name w:val="heading 5"/>
    <w:basedOn w:val="Normal"/>
    <w:next w:val="Normal"/>
    <w:link w:val="Ttulo5Car"/>
    <w:qFormat/>
    <w:rsid w:val="00487DE0"/>
    <w:pPr>
      <w:keepNext/>
      <w:widowControl w:val="0"/>
      <w:autoSpaceDE w:val="0"/>
      <w:autoSpaceDN w:val="0"/>
      <w:adjustRightInd w:val="0"/>
      <w:jc w:val="both"/>
      <w:outlineLvl w:val="4"/>
    </w:pPr>
    <w:rPr>
      <w:rFonts w:ascii="Arial" w:hAnsi="Arial" w:eastAsia="Times New Roman" w:cs="Arial"/>
      <w:b/>
      <w:bCs/>
      <w:i/>
      <w:iCs/>
      <w:color w:val="000000"/>
      <w:sz w:val="24"/>
      <w:szCs w:val="24"/>
      <w:u w:color="000000"/>
      <w:lang w:val="es-ES" w:eastAsia="es-ES"/>
    </w:rPr>
  </w:style>
  <w:style w:type="paragraph" w:styleId="Ttulo6">
    <w:name w:val="heading 6"/>
    <w:basedOn w:val="Normal"/>
    <w:next w:val="Normal"/>
    <w:link w:val="Ttulo6Car"/>
    <w:qFormat/>
    <w:rsid w:val="00487DE0"/>
    <w:pPr>
      <w:widowControl w:val="0"/>
      <w:autoSpaceDE w:val="0"/>
      <w:autoSpaceDN w:val="0"/>
      <w:adjustRightInd w:val="0"/>
      <w:spacing w:before="240" w:after="60"/>
      <w:outlineLvl w:val="5"/>
    </w:pPr>
    <w:rPr>
      <w:rFonts w:ascii="Times New Roman" w:hAnsi="Times New Roman" w:eastAsia="Times New Roman" w:cs="Times New Roman"/>
      <w:b/>
      <w:bCs/>
      <w:lang w:val="es-ES" w:eastAsia="es-ES"/>
    </w:rPr>
  </w:style>
  <w:style w:type="paragraph" w:styleId="Ttulo7">
    <w:name w:val="heading 7"/>
    <w:basedOn w:val="Normal"/>
    <w:link w:val="Ttulo7Car"/>
    <w:qFormat/>
    <w:rsid w:val="00487DE0"/>
    <w:pPr>
      <w:keepNext/>
      <w:shd w:val="clear" w:color="auto" w:fill="FFFFFF"/>
      <w:tabs>
        <w:tab w:val="num" w:pos="360"/>
      </w:tabs>
      <w:autoSpaceDE w:val="0"/>
      <w:jc w:val="right"/>
      <w:outlineLvl w:val="6"/>
    </w:pPr>
    <w:rPr>
      <w:rFonts w:ascii="Arial" w:hAnsi="Arial" w:eastAsia="Times New Roman" w:cs="Arial"/>
      <w:b/>
      <w:bCs/>
      <w:sz w:val="24"/>
      <w:szCs w:val="24"/>
      <w:u w:val="single"/>
      <w:lang w:val="es-ES" w:eastAsia="es-ES"/>
    </w:rPr>
  </w:style>
  <w:style w:type="paragraph" w:styleId="Ttulo8">
    <w:name w:val="heading 8"/>
    <w:basedOn w:val="Normal"/>
    <w:next w:val="Normal"/>
    <w:link w:val="Ttulo8Car"/>
    <w:qFormat/>
    <w:rsid w:val="00487DE0"/>
    <w:pPr>
      <w:keepNext/>
      <w:widowControl w:val="0"/>
      <w:autoSpaceDE w:val="0"/>
      <w:autoSpaceDN w:val="0"/>
      <w:adjustRightInd w:val="0"/>
      <w:jc w:val="right"/>
      <w:outlineLvl w:val="7"/>
    </w:pPr>
    <w:rPr>
      <w:rFonts w:ascii="Book Antiqua" w:hAnsi="Book Antiqua" w:eastAsia="Times New Roman" w:cs="Book Antiqua"/>
      <w:sz w:val="24"/>
      <w:szCs w:val="24"/>
      <w:lang w:val="es-ES" w:eastAsia="es-ES"/>
    </w:rPr>
  </w:style>
  <w:style w:type="paragraph" w:styleId="Ttulo9">
    <w:name w:val="heading 9"/>
    <w:basedOn w:val="Normal"/>
    <w:next w:val="Normal"/>
    <w:link w:val="Ttulo9Car"/>
    <w:qFormat/>
    <w:rsid w:val="00487DE0"/>
    <w:pPr>
      <w:keepNext/>
      <w:jc w:val="right"/>
      <w:outlineLvl w:val="8"/>
    </w:pPr>
    <w:rPr>
      <w:rFonts w:ascii="Arial" w:hAnsi="Arial" w:eastAsia="Times New Roman" w:cs="Arial"/>
      <w:b/>
      <w:bCs/>
      <w:sz w:val="18"/>
      <w:szCs w:val="18"/>
      <w:lang w:val="es-ES_tradnl" w:eastAsia="es-ES"/>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character" w:styleId="Ttulo1Car" w:customStyle="1">
    <w:name w:val="Título 1 Car"/>
    <w:aliases w:val="Título Principal Car"/>
    <w:basedOn w:val="Fuentedeprrafopredeter"/>
    <w:link w:val="Ttulo1"/>
    <w:rsid w:val="00487DE0"/>
    <w:rPr>
      <w:rFonts w:ascii="Arial" w:hAnsi="Arial" w:cs="Arial"/>
      <w:sz w:val="28"/>
      <w:szCs w:val="28"/>
      <w:shd w:val="clear" w:color="auto" w:fill="FFFFFF"/>
      <w:lang w:eastAsia="es-ES"/>
    </w:rPr>
  </w:style>
  <w:style w:type="character" w:styleId="Ttulo2Car" w:customStyle="1">
    <w:name w:val="Título 2 Car"/>
    <w:basedOn w:val="Fuentedeprrafopredeter"/>
    <w:link w:val="Ttulo2"/>
    <w:rsid w:val="00487DE0"/>
    <w:rPr>
      <w:rFonts w:ascii="Arial" w:hAnsi="Arial" w:eastAsia="Times New Roman" w:cs="Arial"/>
      <w:b/>
      <w:bCs/>
      <w:i/>
      <w:iCs/>
      <w:sz w:val="28"/>
      <w:szCs w:val="28"/>
      <w:lang w:val="es-ES" w:eastAsia="es-ES"/>
    </w:rPr>
  </w:style>
  <w:style w:type="character" w:styleId="Ttulo3Car" w:customStyle="1">
    <w:name w:val="Título 3 Car"/>
    <w:aliases w:val="Subtítulos de Hallazgo Car,Graficos Car,otros Car,heading 3 Car"/>
    <w:basedOn w:val="Fuentedeprrafopredeter"/>
    <w:link w:val="Ttulo3"/>
    <w:qFormat/>
    <w:rsid w:val="00487DE0"/>
    <w:rPr>
      <w:rFonts w:ascii="Arial" w:hAnsi="Arial" w:eastAsia="Times New Roman" w:cs="Arial"/>
      <w:b/>
      <w:bCs/>
      <w:sz w:val="26"/>
      <w:szCs w:val="26"/>
      <w:lang w:val="es-ES" w:eastAsia="es-ES"/>
    </w:rPr>
  </w:style>
  <w:style w:type="character" w:styleId="Ttulo4Car" w:customStyle="1">
    <w:name w:val="Título 4 Car"/>
    <w:basedOn w:val="Fuentedeprrafopredeter"/>
    <w:link w:val="Ttulo4"/>
    <w:rsid w:val="00487DE0"/>
    <w:rPr>
      <w:rFonts w:ascii="Book Antiqua" w:hAnsi="Book Antiqua" w:eastAsia="Times New Roman" w:cs="Times New Roman"/>
      <w:b/>
      <w:bCs/>
      <w:sz w:val="24"/>
      <w:szCs w:val="24"/>
      <w:u w:color="000000"/>
      <w:lang w:val="es-ES" w:eastAsia="es-ES"/>
    </w:rPr>
  </w:style>
  <w:style w:type="character" w:styleId="Ttulo5Car" w:customStyle="1">
    <w:name w:val="Título 5 Car"/>
    <w:basedOn w:val="Fuentedeprrafopredeter"/>
    <w:link w:val="Ttulo5"/>
    <w:rsid w:val="00487DE0"/>
    <w:rPr>
      <w:rFonts w:ascii="Arial" w:hAnsi="Arial" w:eastAsia="Times New Roman" w:cs="Arial"/>
      <w:b/>
      <w:bCs/>
      <w:i/>
      <w:iCs/>
      <w:color w:val="000000"/>
      <w:sz w:val="24"/>
      <w:szCs w:val="24"/>
      <w:u w:color="000000"/>
      <w:lang w:val="es-ES" w:eastAsia="es-ES"/>
    </w:rPr>
  </w:style>
  <w:style w:type="character" w:styleId="Ttulo6Car" w:customStyle="1">
    <w:name w:val="Título 6 Car"/>
    <w:basedOn w:val="Fuentedeprrafopredeter"/>
    <w:link w:val="Ttulo6"/>
    <w:rsid w:val="00487DE0"/>
    <w:rPr>
      <w:rFonts w:ascii="Times New Roman" w:hAnsi="Times New Roman" w:eastAsia="Times New Roman" w:cs="Times New Roman"/>
      <w:b/>
      <w:bCs/>
      <w:lang w:val="es-ES" w:eastAsia="es-ES"/>
    </w:rPr>
  </w:style>
  <w:style w:type="character" w:styleId="Ttulo7Car" w:customStyle="1">
    <w:name w:val="Título 7 Car"/>
    <w:basedOn w:val="Fuentedeprrafopredeter"/>
    <w:link w:val="Ttulo7"/>
    <w:rsid w:val="00487DE0"/>
    <w:rPr>
      <w:rFonts w:ascii="Arial" w:hAnsi="Arial" w:eastAsia="Times New Roman" w:cs="Arial"/>
      <w:b/>
      <w:bCs/>
      <w:sz w:val="24"/>
      <w:szCs w:val="24"/>
      <w:u w:val="single"/>
      <w:shd w:val="clear" w:color="auto" w:fill="FFFFFF"/>
      <w:lang w:val="es-ES" w:eastAsia="es-ES"/>
    </w:rPr>
  </w:style>
  <w:style w:type="character" w:styleId="Ttulo8Car" w:customStyle="1">
    <w:name w:val="Título 8 Car"/>
    <w:basedOn w:val="Fuentedeprrafopredeter"/>
    <w:link w:val="Ttulo8"/>
    <w:rsid w:val="00487DE0"/>
    <w:rPr>
      <w:rFonts w:ascii="Book Antiqua" w:hAnsi="Book Antiqua" w:eastAsia="Times New Roman" w:cs="Book Antiqua"/>
      <w:sz w:val="24"/>
      <w:szCs w:val="24"/>
      <w:lang w:val="es-ES" w:eastAsia="es-ES"/>
    </w:rPr>
  </w:style>
  <w:style w:type="character" w:styleId="Ttulo9Car" w:customStyle="1">
    <w:name w:val="Título 9 Car"/>
    <w:basedOn w:val="Fuentedeprrafopredeter"/>
    <w:link w:val="Ttulo9"/>
    <w:rsid w:val="00487DE0"/>
    <w:rPr>
      <w:rFonts w:ascii="Arial" w:hAnsi="Arial" w:eastAsia="Times New Roman" w:cs="Arial"/>
      <w:b/>
      <w:bCs/>
      <w:sz w:val="18"/>
      <w:szCs w:val="18"/>
      <w:lang w:val="es-ES_tradnl" w:eastAsia="es-ES"/>
    </w:rPr>
  </w:style>
  <w:style w:type="character" w:styleId="TextodegloboCar" w:customStyle="1">
    <w:name w:val="Texto de globo Car"/>
    <w:basedOn w:val="Fuentedeprrafopredeter"/>
    <w:link w:val="Textodeglobo"/>
    <w:rsid w:val="00487DE0"/>
    <w:rPr>
      <w:rFonts w:ascii="Tahoma" w:hAnsi="Tahoma" w:eastAsia="Times New Roman" w:cs="Tahoma"/>
      <w:sz w:val="16"/>
      <w:szCs w:val="16"/>
      <w:lang w:val="es-ES" w:eastAsia="es-ES"/>
    </w:rPr>
  </w:style>
  <w:style w:type="paragraph" w:styleId="Textodeglobo">
    <w:name w:val="Balloon Text"/>
    <w:basedOn w:val="Normal"/>
    <w:link w:val="TextodegloboCar"/>
    <w:rsid w:val="00487DE0"/>
    <w:rPr>
      <w:rFonts w:ascii="Tahoma" w:hAnsi="Tahoma" w:eastAsia="Times New Roman" w:cs="Tahoma"/>
      <w:sz w:val="16"/>
      <w:szCs w:val="16"/>
      <w:lang w:val="es-ES" w:eastAsia="es-ES"/>
    </w:rPr>
  </w:style>
  <w:style w:type="character" w:styleId="TextodegloboCar1" w:customStyle="1">
    <w:name w:val="Texto de globo Car1"/>
    <w:basedOn w:val="Fuentedeprrafopredeter"/>
    <w:uiPriority w:val="99"/>
    <w:semiHidden/>
    <w:rsid w:val="00487DE0"/>
    <w:rPr>
      <w:rFonts w:ascii="Segoe UI" w:hAnsi="Segoe UI" w:cs="Segoe UI"/>
      <w:sz w:val="18"/>
      <w:szCs w:val="18"/>
    </w:rPr>
  </w:style>
  <w:style w:type="paragraph" w:styleId="Textoindependiente2">
    <w:name w:val="Body Text 2"/>
    <w:basedOn w:val="Normal"/>
    <w:link w:val="Textoindependiente2Car"/>
    <w:rsid w:val="00487DE0"/>
    <w:pPr>
      <w:jc w:val="both"/>
    </w:pPr>
    <w:rPr>
      <w:rFonts w:ascii="Bookman Old Style" w:hAnsi="Bookman Old Style" w:eastAsia="Times New Roman" w:cs="Bookman Old Style"/>
      <w:sz w:val="24"/>
      <w:szCs w:val="24"/>
      <w:lang w:val="es-ES_tradnl" w:eastAsia="es-ES"/>
    </w:rPr>
  </w:style>
  <w:style w:type="character" w:styleId="Textoindependiente2Car" w:customStyle="1">
    <w:name w:val="Texto independiente 2 Car"/>
    <w:basedOn w:val="Fuentedeprrafopredeter"/>
    <w:link w:val="Textoindependiente2"/>
    <w:rsid w:val="00487DE0"/>
    <w:rPr>
      <w:rFonts w:ascii="Bookman Old Style" w:hAnsi="Bookman Old Style" w:eastAsia="Times New Roman" w:cs="Bookman Old Style"/>
      <w:sz w:val="24"/>
      <w:szCs w:val="24"/>
      <w:lang w:val="es-ES_tradnl" w:eastAsia="es-ES"/>
    </w:rPr>
  </w:style>
  <w:style w:type="character" w:styleId="Hipervnculo">
    <w:name w:val="Hyperlink"/>
    <w:rsid w:val="00487DE0"/>
    <w:rPr>
      <w:rFonts w:cs="Times New Roman"/>
      <w:color w:val="0000FF"/>
      <w:u w:val="single"/>
    </w:rPr>
  </w:style>
  <w:style w:type="paragraph" w:styleId="Encabezado">
    <w:name w:val="header"/>
    <w:aliases w:val="encabezado,h"/>
    <w:basedOn w:val="Normal"/>
    <w:link w:val="EncabezadoCar"/>
    <w:rsid w:val="00487DE0"/>
    <w:pPr>
      <w:tabs>
        <w:tab w:val="center" w:pos="4252"/>
        <w:tab w:val="right" w:pos="8504"/>
      </w:tabs>
    </w:pPr>
    <w:rPr>
      <w:rFonts w:ascii="Times New Roman" w:hAnsi="Times New Roman" w:eastAsia="Times New Roman" w:cs="Times New Roman"/>
      <w:sz w:val="20"/>
      <w:szCs w:val="20"/>
      <w:lang w:eastAsia="es-ES"/>
    </w:rPr>
  </w:style>
  <w:style w:type="character" w:styleId="EncabezadoCar" w:customStyle="1">
    <w:name w:val="Encabezado Car"/>
    <w:aliases w:val="encabezado Car,h Car"/>
    <w:basedOn w:val="Fuentedeprrafopredeter"/>
    <w:link w:val="Encabezado"/>
    <w:rsid w:val="00487DE0"/>
    <w:rPr>
      <w:rFonts w:ascii="Times New Roman" w:hAnsi="Times New Roman" w:eastAsia="Times New Roman" w:cs="Times New Roman"/>
      <w:sz w:val="20"/>
      <w:szCs w:val="20"/>
      <w:lang w:eastAsia="es-ES"/>
    </w:rPr>
  </w:style>
  <w:style w:type="paragraph" w:styleId="Piedepgina">
    <w:name w:val="footer"/>
    <w:basedOn w:val="Normal"/>
    <w:link w:val="PiedepginaCar"/>
    <w:rsid w:val="00487DE0"/>
    <w:pPr>
      <w:tabs>
        <w:tab w:val="center" w:pos="4252"/>
        <w:tab w:val="right" w:pos="8504"/>
      </w:tabs>
    </w:pPr>
    <w:rPr>
      <w:rFonts w:ascii="Times New Roman" w:hAnsi="Times New Roman" w:eastAsia="Times New Roman" w:cs="Times New Roman"/>
      <w:sz w:val="20"/>
      <w:szCs w:val="20"/>
      <w:lang w:eastAsia="es-ES"/>
    </w:rPr>
  </w:style>
  <w:style w:type="character" w:styleId="PiedepginaCar" w:customStyle="1">
    <w:name w:val="Pie de página Car"/>
    <w:basedOn w:val="Fuentedeprrafopredeter"/>
    <w:link w:val="Piedepgina"/>
    <w:rsid w:val="00487DE0"/>
    <w:rPr>
      <w:rFonts w:ascii="Times New Roman" w:hAnsi="Times New Roman" w:eastAsia="Times New Roman" w:cs="Times New Roman"/>
      <w:sz w:val="20"/>
      <w:szCs w:val="20"/>
      <w:lang w:eastAsia="es-ES"/>
    </w:rPr>
  </w:style>
  <w:style w:type="character" w:styleId="Nmerodepgina">
    <w:name w:val="page number"/>
    <w:rsid w:val="00487DE0"/>
    <w:rPr>
      <w:rFonts w:cs="Times New Roman"/>
    </w:rPr>
  </w:style>
  <w:style w:type="paragraph" w:styleId="NormalWeb">
    <w:name w:val="Normal (Web)"/>
    <w:basedOn w:val="Normal"/>
    <w:link w:val="NormalWebCar"/>
    <w:uiPriority w:val="99"/>
    <w:qFormat/>
    <w:rsid w:val="00487DE0"/>
    <w:pPr>
      <w:widowControl w:val="0"/>
      <w:autoSpaceDE w:val="0"/>
      <w:autoSpaceDN w:val="0"/>
      <w:adjustRightInd w:val="0"/>
    </w:pPr>
    <w:rPr>
      <w:rFonts w:ascii="Arial Unicode MS" w:hAnsi="Arial" w:eastAsia="Arial Unicode MS" w:cs="Arial Unicode MS"/>
      <w:color w:val="000000"/>
      <w:sz w:val="24"/>
      <w:szCs w:val="24"/>
      <w:u w:color="000000"/>
      <w:lang w:val="es-ES" w:eastAsia="es-ES"/>
    </w:rPr>
  </w:style>
  <w:style w:type="character" w:styleId="NormalWebCar" w:customStyle="1">
    <w:name w:val="Normal (Web) Car"/>
    <w:basedOn w:val="Fuentedeprrafopredeter"/>
    <w:link w:val="NormalWeb"/>
    <w:uiPriority w:val="99"/>
    <w:qFormat/>
    <w:locked/>
    <w:rsid w:val="00487DE0"/>
    <w:rPr>
      <w:rFonts w:ascii="Arial Unicode MS" w:hAnsi="Arial" w:eastAsia="Arial Unicode MS" w:cs="Arial Unicode MS"/>
      <w:color w:val="000000"/>
      <w:sz w:val="24"/>
      <w:szCs w:val="24"/>
      <w:u w:color="000000"/>
      <w:lang w:val="es-ES" w:eastAsia="es-ES"/>
    </w:rPr>
  </w:style>
  <w:style w:type="table" w:styleId="Tablaconcuadrcula">
    <w:name w:val="Table Grid"/>
    <w:basedOn w:val="Tablanormal"/>
    <w:uiPriority w:val="39"/>
    <w:rsid w:val="00487DE0"/>
    <w:pPr>
      <w:spacing w:after="0" w:line="240" w:lineRule="auto"/>
    </w:pPr>
    <w:rPr>
      <w:rFonts w:ascii="Times New Roman" w:hAnsi="Times New Roman" w:eastAsia="Times New Roman" w:cs="Times New Roman"/>
      <w:sz w:val="20"/>
      <w:szCs w:val="20"/>
      <w:lang w:val="es-ES" w:eastAsia="es-E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extoindependiente">
    <w:name w:val="Body Text"/>
    <w:basedOn w:val="Normal"/>
    <w:link w:val="TextoindependienteCar"/>
    <w:rsid w:val="00487DE0"/>
    <w:pPr>
      <w:spacing w:after="120"/>
    </w:pPr>
    <w:rPr>
      <w:rFonts w:ascii="Times New Roman" w:hAnsi="Times New Roman" w:eastAsia="Times New Roman" w:cs="Times New Roman"/>
      <w:sz w:val="20"/>
      <w:szCs w:val="20"/>
      <w:lang w:eastAsia="es-ES"/>
    </w:rPr>
  </w:style>
  <w:style w:type="character" w:styleId="TextoindependienteCar" w:customStyle="1">
    <w:name w:val="Texto independiente Car"/>
    <w:basedOn w:val="Fuentedeprrafopredeter"/>
    <w:link w:val="Textoindependiente"/>
    <w:rsid w:val="00487DE0"/>
    <w:rPr>
      <w:rFonts w:ascii="Times New Roman" w:hAnsi="Times New Roman" w:eastAsia="Times New Roman" w:cs="Times New Roman"/>
      <w:sz w:val="20"/>
      <w:szCs w:val="20"/>
      <w:lang w:eastAsia="es-ES"/>
    </w:rPr>
  </w:style>
  <w:style w:type="paragraph" w:styleId="Textonotapie">
    <w:name w:val="footnote text"/>
    <w:aliases w:val="Footnote reference,FA Fu,Footnote Text Char Char Char Char Char,Footnote Text Char Char Char Char,Footnote Text Char Char Char,Footnote Text Cha,FA Fußnotentext,FA Fuﬂnotentext,Footnote Text Char Char,Texto,nota,pie,Ref.,al,Ca,Footnote Te"/>
    <w:basedOn w:val="Normal"/>
    <w:link w:val="TextonotapieCar"/>
    <w:qFormat/>
    <w:rsid w:val="00487DE0"/>
    <w:rPr>
      <w:rFonts w:ascii="Times New Roman" w:hAnsi="Times New Roman" w:eastAsia="Times New Roman" w:cs="Times New Roman"/>
      <w:sz w:val="20"/>
      <w:szCs w:val="20"/>
      <w:lang w:val="es-ES" w:eastAsia="es-ES"/>
    </w:rPr>
  </w:style>
  <w:style w:type="character" w:styleId="TextonotapieCar" w:customStyle="1">
    <w:name w:val="Texto nota pie Car"/>
    <w:aliases w:val="Footnote reference Car,FA Fu Car,Footnote Text Char Char Char Char Char Car,Footnote Text Char Char Char Char Car,Footnote Text Char Char Char Car,Footnote Text Cha Car,FA Fußnotentext Car,FA Fuﬂnotentext Car,Texto Car,nota Car,al Car"/>
    <w:basedOn w:val="Fuentedeprrafopredeter"/>
    <w:link w:val="Textonotapie"/>
    <w:qFormat/>
    <w:rsid w:val="00487DE0"/>
    <w:rPr>
      <w:rFonts w:ascii="Times New Roman" w:hAnsi="Times New Roman" w:eastAsia="Times New Roman" w:cs="Times New Roman"/>
      <w:sz w:val="20"/>
      <w:szCs w:val="20"/>
      <w:lang w:val="es-ES" w:eastAsia="es-ES"/>
    </w:rPr>
  </w:style>
  <w:style w:type="character" w:styleId="Refdenotaalpie">
    <w:name w:val="footnote reference"/>
    <w:aliases w:val="ƒ89,^ƒ89,Footnotes refss,Texto de nota al pie,Appel note de bas de page,Referencia nota al pie,Footnote number,referencia nota al pie,BVI fnr,f,Ref,de nota al pie,FC"/>
    <w:qFormat/>
    <w:rsid w:val="00487DE0"/>
    <w:rPr>
      <w:rFonts w:cs="Times New Roman"/>
      <w:vertAlign w:val="superscript"/>
    </w:rPr>
  </w:style>
  <w:style w:type="character" w:styleId="Textoennegrita">
    <w:name w:val="Strong"/>
    <w:uiPriority w:val="22"/>
    <w:qFormat/>
    <w:rsid w:val="00487DE0"/>
    <w:rPr>
      <w:rFonts w:cs="Times New Roman"/>
      <w:b/>
      <w:bCs/>
    </w:rPr>
  </w:style>
  <w:style w:type="paragraph" w:styleId="Estilo" w:customStyle="1">
    <w:name w:val="Estilo"/>
    <w:next w:val="Normal"/>
    <w:rsid w:val="00487DE0"/>
    <w:pPr>
      <w:widowControl w:val="0"/>
      <w:autoSpaceDE w:val="0"/>
      <w:autoSpaceDN w:val="0"/>
      <w:adjustRightInd w:val="0"/>
      <w:spacing w:after="0" w:line="240" w:lineRule="auto"/>
    </w:pPr>
    <w:rPr>
      <w:rFonts w:ascii="Arial" w:hAnsi="Arial" w:eastAsia="Times New Roman" w:cs="Arial"/>
      <w:sz w:val="24"/>
      <w:szCs w:val="24"/>
      <w:lang w:val="es-ES" w:eastAsia="es-ES"/>
    </w:rPr>
  </w:style>
  <w:style w:type="paragraph" w:styleId="Estilo1" w:customStyle="1">
    <w:name w:val="Estilo1"/>
    <w:next w:val="Normal"/>
    <w:rsid w:val="00487DE0"/>
    <w:pPr>
      <w:widowControl w:val="0"/>
      <w:autoSpaceDE w:val="0"/>
      <w:autoSpaceDN w:val="0"/>
      <w:adjustRightInd w:val="0"/>
      <w:spacing w:after="0" w:line="240" w:lineRule="auto"/>
    </w:pPr>
    <w:rPr>
      <w:rFonts w:ascii="Arial" w:hAnsi="Arial" w:eastAsia="Times New Roman" w:cs="Arial"/>
      <w:sz w:val="24"/>
      <w:szCs w:val="24"/>
      <w:u w:color="000000"/>
      <w:lang w:val="es-ES" w:eastAsia="es-ES"/>
    </w:rPr>
  </w:style>
  <w:style w:type="paragraph" w:styleId="Textoindependiente3">
    <w:name w:val="Body Text 3"/>
    <w:basedOn w:val="Normal"/>
    <w:link w:val="Textoindependiente3Car"/>
    <w:rsid w:val="00487DE0"/>
    <w:pPr>
      <w:widowControl w:val="0"/>
      <w:autoSpaceDE w:val="0"/>
      <w:autoSpaceDN w:val="0"/>
      <w:adjustRightInd w:val="0"/>
      <w:jc w:val="both"/>
    </w:pPr>
    <w:rPr>
      <w:rFonts w:ascii="Book Antiqua" w:hAnsi="Book Antiqua" w:eastAsia="Times New Roman" w:cs="Book Antiqua"/>
      <w:sz w:val="24"/>
      <w:szCs w:val="24"/>
      <w:lang w:val="es-ES" w:eastAsia="es-ES"/>
    </w:rPr>
  </w:style>
  <w:style w:type="character" w:styleId="Textoindependiente3Car" w:customStyle="1">
    <w:name w:val="Texto independiente 3 Car"/>
    <w:basedOn w:val="Fuentedeprrafopredeter"/>
    <w:link w:val="Textoindependiente3"/>
    <w:rsid w:val="00487DE0"/>
    <w:rPr>
      <w:rFonts w:ascii="Book Antiqua" w:hAnsi="Book Antiqua" w:eastAsia="Times New Roman" w:cs="Book Antiqua"/>
      <w:sz w:val="24"/>
      <w:szCs w:val="24"/>
      <w:lang w:val="es-ES" w:eastAsia="es-ES"/>
    </w:rPr>
  </w:style>
  <w:style w:type="character" w:styleId="Hipervnculovisitado">
    <w:name w:val="FollowedHyperlink"/>
    <w:rsid w:val="00487DE0"/>
    <w:rPr>
      <w:rFonts w:cs="Times New Roman"/>
      <w:color w:val="800080"/>
      <w:u w:val="single"/>
    </w:rPr>
  </w:style>
  <w:style w:type="paragraph" w:styleId="Ttulo30" w:customStyle="1">
    <w:name w:val="TÍtulo 3"/>
    <w:next w:val="Normal"/>
    <w:rsid w:val="00487DE0"/>
    <w:pPr>
      <w:keepNext/>
      <w:widowControl w:val="0"/>
      <w:autoSpaceDE w:val="0"/>
      <w:autoSpaceDN w:val="0"/>
      <w:adjustRightInd w:val="0"/>
      <w:spacing w:after="0" w:line="240" w:lineRule="auto"/>
      <w:jc w:val="both"/>
    </w:pPr>
    <w:rPr>
      <w:rFonts w:ascii="Arial" w:hAnsi="Arial" w:eastAsia="Times New Roman" w:cs="Arial"/>
      <w:sz w:val="24"/>
      <w:szCs w:val="24"/>
      <w:lang w:val="es-ES" w:eastAsia="es-ES"/>
    </w:rPr>
  </w:style>
  <w:style w:type="paragraph" w:styleId="Sangra2detindependiente">
    <w:name w:val="Body Text Indent 2"/>
    <w:basedOn w:val="Normal"/>
    <w:link w:val="Sangra2detindependienteCar"/>
    <w:rsid w:val="00487DE0"/>
    <w:pPr>
      <w:widowControl w:val="0"/>
      <w:autoSpaceDE w:val="0"/>
      <w:autoSpaceDN w:val="0"/>
      <w:adjustRightInd w:val="0"/>
      <w:ind w:left="497"/>
      <w:jc w:val="both"/>
    </w:pPr>
    <w:rPr>
      <w:rFonts w:ascii="Arial" w:hAnsi="Arial" w:eastAsia="Times New Roman" w:cs="Arial"/>
      <w:color w:val="000000"/>
      <w:spacing w:val="-10"/>
      <w:sz w:val="28"/>
      <w:szCs w:val="28"/>
      <w:u w:color="000000"/>
      <w:lang w:val="es-ES" w:eastAsia="es-ES"/>
    </w:rPr>
  </w:style>
  <w:style w:type="character" w:styleId="Sangra2detindependienteCar" w:customStyle="1">
    <w:name w:val="Sangría 2 de t. independiente Car"/>
    <w:basedOn w:val="Fuentedeprrafopredeter"/>
    <w:link w:val="Sangra2detindependiente"/>
    <w:rsid w:val="00487DE0"/>
    <w:rPr>
      <w:rFonts w:ascii="Arial" w:hAnsi="Arial" w:eastAsia="Times New Roman" w:cs="Arial"/>
      <w:color w:val="000000"/>
      <w:spacing w:val="-10"/>
      <w:sz w:val="28"/>
      <w:szCs w:val="28"/>
      <w:u w:color="000000"/>
      <w:lang w:val="es-ES" w:eastAsia="es-ES"/>
    </w:rPr>
  </w:style>
  <w:style w:type="character" w:styleId="MapadeldocumentoCar" w:customStyle="1">
    <w:name w:val="Mapa del documento Car"/>
    <w:basedOn w:val="Fuentedeprrafopredeter"/>
    <w:link w:val="Mapadeldocumento"/>
    <w:semiHidden/>
    <w:rsid w:val="00487DE0"/>
    <w:rPr>
      <w:rFonts w:ascii="Tahoma" w:hAnsi="Tahoma" w:eastAsia="Times New Roman" w:cs="Tahoma"/>
      <w:color w:val="000000"/>
      <w:sz w:val="20"/>
      <w:szCs w:val="20"/>
      <w:u w:color="000000"/>
      <w:shd w:val="clear" w:color="auto" w:fill="000080"/>
      <w:lang w:val="es-ES" w:eastAsia="es-ES"/>
    </w:rPr>
  </w:style>
  <w:style w:type="paragraph" w:styleId="Mapadeldocumento">
    <w:name w:val="Document Map"/>
    <w:basedOn w:val="Normal"/>
    <w:link w:val="MapadeldocumentoCar"/>
    <w:semiHidden/>
    <w:rsid w:val="00487DE0"/>
    <w:pPr>
      <w:widowControl w:val="0"/>
      <w:shd w:val="clear" w:color="auto" w:fill="000080"/>
      <w:autoSpaceDE w:val="0"/>
      <w:autoSpaceDN w:val="0"/>
      <w:adjustRightInd w:val="0"/>
    </w:pPr>
    <w:rPr>
      <w:rFonts w:ascii="Tahoma" w:hAnsi="Tahoma" w:eastAsia="Times New Roman" w:cs="Tahoma"/>
      <w:color w:val="000000"/>
      <w:sz w:val="20"/>
      <w:szCs w:val="20"/>
      <w:u w:color="000000"/>
      <w:lang w:val="es-ES" w:eastAsia="es-ES"/>
    </w:rPr>
  </w:style>
  <w:style w:type="character" w:styleId="MapadeldocumentoCar1" w:customStyle="1">
    <w:name w:val="Mapa del documento Car1"/>
    <w:basedOn w:val="Fuentedeprrafopredeter"/>
    <w:uiPriority w:val="99"/>
    <w:semiHidden/>
    <w:rsid w:val="00487DE0"/>
    <w:rPr>
      <w:rFonts w:ascii="Segoe UI" w:hAnsi="Segoe UI" w:cs="Segoe UI"/>
      <w:sz w:val="16"/>
      <w:szCs w:val="16"/>
    </w:rPr>
  </w:style>
  <w:style w:type="paragraph" w:styleId="H5" w:customStyle="1">
    <w:name w:val="H5"/>
    <w:next w:val="Normal"/>
    <w:rsid w:val="00487DE0"/>
    <w:pPr>
      <w:keepNext/>
      <w:widowControl w:val="0"/>
      <w:autoSpaceDE w:val="0"/>
      <w:autoSpaceDN w:val="0"/>
      <w:adjustRightInd w:val="0"/>
      <w:spacing w:before="100" w:after="100" w:line="240" w:lineRule="auto"/>
      <w:outlineLvl w:val="5"/>
    </w:pPr>
    <w:rPr>
      <w:rFonts w:ascii="Arial" w:hAnsi="Arial" w:eastAsia="Times New Roman" w:cs="Arial"/>
      <w:b/>
      <w:bCs/>
      <w:sz w:val="20"/>
      <w:szCs w:val="20"/>
      <w:shd w:val="clear" w:color="auto" w:fill="FFFFFF"/>
      <w:lang w:val="es-ES" w:eastAsia="es-ES"/>
    </w:rPr>
  </w:style>
  <w:style w:type="paragraph" w:styleId="estilo2" w:customStyle="1">
    <w:name w:val="estilo2"/>
    <w:basedOn w:val="Normal"/>
    <w:rsid w:val="00487DE0"/>
    <w:pPr>
      <w:spacing w:before="100" w:beforeAutospacing="1" w:after="100" w:afterAutospacing="1"/>
    </w:pPr>
    <w:rPr>
      <w:rFonts w:ascii="Verdana" w:hAnsi="Verdana" w:eastAsia="Times New Roman" w:cs="Verdana"/>
      <w:sz w:val="24"/>
      <w:szCs w:val="24"/>
      <w:lang w:val="es-ES" w:eastAsia="es-ES"/>
    </w:rPr>
  </w:style>
  <w:style w:type="character" w:styleId="estilo51" w:customStyle="1">
    <w:name w:val="estilo51"/>
    <w:rsid w:val="00487DE0"/>
    <w:rPr>
      <w:rFonts w:cs="Times New Roman"/>
      <w:b/>
      <w:bCs/>
    </w:rPr>
  </w:style>
  <w:style w:type="character" w:styleId="estilo41" w:customStyle="1">
    <w:name w:val="estilo41"/>
    <w:rsid w:val="00487DE0"/>
    <w:rPr>
      <w:rFonts w:cs="Times New Roman"/>
    </w:rPr>
  </w:style>
  <w:style w:type="paragraph" w:styleId="Prrafodelista">
    <w:name w:val="List Paragraph"/>
    <w:aliases w:val="Bullet 1,Use Case List Paragraph,Lista vistosa - Énfasis 11,Párrafo de lista Car Car Car,Footnote,List Paragraph2,Informe,3,FooterText,numbered,Paragraphe de liste1,Bulletr List Paragraph,列出段落,列出段落1,lp1,lp11,List Paragraph 1,Bullets"/>
    <w:basedOn w:val="Normal"/>
    <w:link w:val="PrrafodelistaCar"/>
    <w:uiPriority w:val="34"/>
    <w:qFormat/>
    <w:rsid w:val="00487DE0"/>
    <w:pPr>
      <w:ind w:left="708"/>
    </w:pPr>
    <w:rPr>
      <w:rFonts w:ascii="Arial" w:hAnsi="Arial" w:eastAsia="Times New Roman" w:cs="Arial"/>
      <w:sz w:val="24"/>
      <w:szCs w:val="24"/>
      <w:lang w:val="es-ES" w:eastAsia="es-ES"/>
    </w:rPr>
  </w:style>
  <w:style w:type="character" w:styleId="PrrafodelistaCar" w:customStyle="1">
    <w:name w:val="Párrafo de lista Car"/>
    <w:aliases w:val="Bullet 1 Car,Use Case List Paragraph Car,Lista vistosa - Énfasis 11 Car,Párrafo de lista Car Car Car Car,Footnote Car,List Paragraph2 Car,Informe Car,3 Car,FooterText Car,numbered Car,Paragraphe de liste1 Car,列出段落 Car,列出段落1 Car"/>
    <w:link w:val="Prrafodelista"/>
    <w:uiPriority w:val="34"/>
    <w:qFormat/>
    <w:locked/>
    <w:rsid w:val="00487DE0"/>
    <w:rPr>
      <w:rFonts w:ascii="Arial" w:hAnsi="Arial" w:eastAsia="Times New Roman" w:cs="Arial"/>
      <w:sz w:val="24"/>
      <w:szCs w:val="24"/>
      <w:lang w:val="es-ES" w:eastAsia="es-ES"/>
    </w:rPr>
  </w:style>
  <w:style w:type="character" w:styleId="nfasis">
    <w:name w:val="Emphasis"/>
    <w:qFormat/>
    <w:rsid w:val="00487DE0"/>
    <w:rPr>
      <w:rFonts w:cs="Times New Roman"/>
      <w:i/>
      <w:iCs/>
    </w:rPr>
  </w:style>
  <w:style w:type="paragraph" w:styleId="Prrafodelista1" w:customStyle="1">
    <w:name w:val="Párrafo de lista1"/>
    <w:basedOn w:val="Normal"/>
    <w:qFormat/>
    <w:rsid w:val="00487DE0"/>
    <w:pPr>
      <w:spacing w:after="200" w:line="276" w:lineRule="auto"/>
      <w:ind w:left="720"/>
    </w:pPr>
    <w:rPr>
      <w:rFonts w:eastAsia="Times New Roman"/>
    </w:rPr>
  </w:style>
  <w:style w:type="paragraph" w:styleId="Sangradetextonormal">
    <w:name w:val="Body Text Indent"/>
    <w:basedOn w:val="Normal"/>
    <w:link w:val="SangradetextonormalCar"/>
    <w:rsid w:val="00487DE0"/>
    <w:pPr>
      <w:widowControl w:val="0"/>
      <w:autoSpaceDE w:val="0"/>
      <w:autoSpaceDN w:val="0"/>
      <w:adjustRightInd w:val="0"/>
      <w:spacing w:after="120"/>
      <w:ind w:left="283"/>
    </w:pPr>
    <w:rPr>
      <w:rFonts w:ascii="Arial" w:hAnsi="Arial" w:eastAsia="Times New Roman" w:cs="Arial"/>
      <w:sz w:val="24"/>
      <w:szCs w:val="24"/>
      <w:lang w:val="es-ES" w:eastAsia="es-ES"/>
    </w:rPr>
  </w:style>
  <w:style w:type="character" w:styleId="SangradetextonormalCar" w:customStyle="1">
    <w:name w:val="Sangría de texto normal Car"/>
    <w:basedOn w:val="Fuentedeprrafopredeter"/>
    <w:link w:val="Sangradetextonormal"/>
    <w:rsid w:val="00487DE0"/>
    <w:rPr>
      <w:rFonts w:ascii="Arial" w:hAnsi="Arial" w:eastAsia="Times New Roman" w:cs="Arial"/>
      <w:sz w:val="24"/>
      <w:szCs w:val="24"/>
      <w:lang w:val="es-ES" w:eastAsia="es-ES"/>
    </w:rPr>
  </w:style>
  <w:style w:type="paragraph" w:styleId="BodyText22" w:customStyle="1">
    <w:name w:val="Body Text 22"/>
    <w:qFormat/>
    <w:rsid w:val="00487DE0"/>
    <w:pPr>
      <w:widowControl w:val="0"/>
      <w:autoSpaceDE w:val="0"/>
      <w:autoSpaceDN w:val="0"/>
      <w:adjustRightInd w:val="0"/>
      <w:spacing w:after="0" w:line="240" w:lineRule="auto"/>
      <w:jc w:val="both"/>
    </w:pPr>
    <w:rPr>
      <w:rFonts w:ascii="Arial" w:hAnsi="Arial" w:eastAsia="Times New Roman" w:cs="Arial"/>
      <w:sz w:val="24"/>
      <w:szCs w:val="24"/>
      <w:u w:color="000000"/>
      <w:shd w:val="clear" w:color="auto" w:fill="FFFFFF"/>
      <w:lang w:val="es-ES" w:eastAsia="es-ES"/>
    </w:rPr>
  </w:style>
  <w:style w:type="paragraph" w:styleId="Textodebloque">
    <w:name w:val="Block Text"/>
    <w:basedOn w:val="Normal"/>
    <w:rsid w:val="00487DE0"/>
    <w:pPr>
      <w:widowControl w:val="0"/>
      <w:autoSpaceDE w:val="0"/>
      <w:autoSpaceDN w:val="0"/>
      <w:adjustRightInd w:val="0"/>
      <w:jc w:val="both"/>
    </w:pPr>
    <w:rPr>
      <w:rFonts w:ascii="Arial" w:hAnsi="Arial" w:eastAsia="Times New Roman" w:cs="Arial"/>
      <w:b/>
      <w:bCs/>
      <w:sz w:val="24"/>
      <w:szCs w:val="24"/>
      <w:u w:color="000000"/>
      <w:shd w:val="clear" w:color="auto" w:fill="FFFFFF"/>
      <w:lang w:val="es-ES_tradnl" w:eastAsia="es-ES"/>
    </w:rPr>
  </w:style>
  <w:style w:type="paragraph" w:styleId="Ttulo">
    <w:name w:val="Title"/>
    <w:basedOn w:val="Normal"/>
    <w:link w:val="TtuloCar"/>
    <w:qFormat/>
    <w:rsid w:val="00487DE0"/>
    <w:pPr>
      <w:jc w:val="center"/>
    </w:pPr>
    <w:rPr>
      <w:rFonts w:ascii="Arial" w:hAnsi="Arial" w:eastAsia="Times New Roman" w:cs="Times New Roman"/>
      <w:b/>
      <w:bCs/>
      <w:sz w:val="36"/>
      <w:szCs w:val="36"/>
      <w:lang w:eastAsia="es-ES"/>
    </w:rPr>
  </w:style>
  <w:style w:type="character" w:styleId="TtuloCar" w:customStyle="1">
    <w:name w:val="Título Car"/>
    <w:basedOn w:val="Fuentedeprrafopredeter"/>
    <w:link w:val="Ttulo"/>
    <w:rsid w:val="00487DE0"/>
    <w:rPr>
      <w:rFonts w:ascii="Arial" w:hAnsi="Arial" w:eastAsia="Times New Roman" w:cs="Times New Roman"/>
      <w:b/>
      <w:bCs/>
      <w:sz w:val="36"/>
      <w:szCs w:val="36"/>
      <w:lang w:eastAsia="es-ES"/>
    </w:rPr>
  </w:style>
  <w:style w:type="paragraph" w:styleId="Prrafodelista2" w:customStyle="1">
    <w:name w:val="Párrafo de lista2"/>
    <w:basedOn w:val="Normal"/>
    <w:qFormat/>
    <w:rsid w:val="00487DE0"/>
    <w:pPr>
      <w:spacing w:after="200" w:line="276" w:lineRule="auto"/>
      <w:ind w:left="720"/>
      <w:contextualSpacing/>
    </w:pPr>
    <w:rPr>
      <w:rFonts w:eastAsia="Times New Roman" w:cs="Times New Roman"/>
      <w:lang w:val="es-ES"/>
    </w:rPr>
  </w:style>
  <w:style w:type="paragraph" w:styleId="ListParagraph1" w:customStyle="1">
    <w:name w:val="List Paragraph1"/>
    <w:basedOn w:val="Normal"/>
    <w:qFormat/>
    <w:rsid w:val="00487DE0"/>
    <w:pPr>
      <w:ind w:left="720"/>
    </w:pPr>
    <w:rPr>
      <w:rFonts w:ascii="Times New Roman" w:hAnsi="Times New Roman" w:eastAsia="Times New Roman" w:cs="Times New Roman"/>
      <w:sz w:val="24"/>
      <w:szCs w:val="24"/>
      <w:lang w:val="es-ES" w:eastAsia="es-ES"/>
    </w:rPr>
  </w:style>
  <w:style w:type="paragraph" w:styleId="Sangra3detindependiente">
    <w:name w:val="Body Text Indent 3"/>
    <w:basedOn w:val="Normal"/>
    <w:link w:val="Sangra3detindependienteCar"/>
    <w:rsid w:val="00487DE0"/>
    <w:pPr>
      <w:ind w:left="709" w:hanging="709"/>
      <w:jc w:val="both"/>
    </w:pPr>
    <w:rPr>
      <w:rFonts w:ascii="Bookman Old Style" w:hAnsi="Bookman Old Style" w:eastAsia="Times New Roman" w:cs="Bookman Old Style"/>
      <w:sz w:val="24"/>
      <w:szCs w:val="24"/>
      <w:lang w:val="es-ES_tradnl" w:eastAsia="es-ES"/>
    </w:rPr>
  </w:style>
  <w:style w:type="character" w:styleId="Sangra3detindependienteCar" w:customStyle="1">
    <w:name w:val="Sangría 3 de t. independiente Car"/>
    <w:basedOn w:val="Fuentedeprrafopredeter"/>
    <w:link w:val="Sangra3detindependiente"/>
    <w:rsid w:val="00487DE0"/>
    <w:rPr>
      <w:rFonts w:ascii="Bookman Old Style" w:hAnsi="Bookman Old Style" w:eastAsia="Times New Roman" w:cs="Bookman Old Style"/>
      <w:sz w:val="24"/>
      <w:szCs w:val="24"/>
      <w:lang w:val="es-ES_tradnl" w:eastAsia="es-ES"/>
    </w:rPr>
  </w:style>
  <w:style w:type="paragraph" w:styleId="Subttulo">
    <w:name w:val="Subtitle"/>
    <w:basedOn w:val="Normal"/>
    <w:link w:val="SubttuloCar"/>
    <w:qFormat/>
    <w:rsid w:val="00487DE0"/>
    <w:pPr>
      <w:jc w:val="center"/>
    </w:pPr>
    <w:rPr>
      <w:rFonts w:ascii="Times New Roman" w:hAnsi="Times New Roman" w:eastAsia="Times New Roman" w:cs="Times New Roman"/>
      <w:b/>
      <w:bCs/>
      <w:sz w:val="32"/>
      <w:szCs w:val="32"/>
      <w:lang w:val="es-ES" w:eastAsia="es-ES"/>
    </w:rPr>
  </w:style>
  <w:style w:type="character" w:styleId="SubttuloCar" w:customStyle="1">
    <w:name w:val="Subtítulo Car"/>
    <w:basedOn w:val="Fuentedeprrafopredeter"/>
    <w:link w:val="Subttulo"/>
    <w:rsid w:val="00487DE0"/>
    <w:rPr>
      <w:rFonts w:ascii="Times New Roman" w:hAnsi="Times New Roman" w:eastAsia="Times New Roman" w:cs="Times New Roman"/>
      <w:b/>
      <w:bCs/>
      <w:sz w:val="32"/>
      <w:szCs w:val="32"/>
      <w:lang w:val="es-ES" w:eastAsia="es-ES"/>
    </w:rPr>
  </w:style>
  <w:style w:type="paragraph" w:styleId="Lista">
    <w:name w:val="List"/>
    <w:basedOn w:val="Normal"/>
    <w:rsid w:val="00487DE0"/>
    <w:pPr>
      <w:ind w:left="283" w:hanging="283"/>
    </w:pPr>
    <w:rPr>
      <w:rFonts w:ascii="Times New Roman" w:hAnsi="Times New Roman" w:eastAsia="Times New Roman" w:cs="Times New Roman"/>
      <w:sz w:val="28"/>
      <w:szCs w:val="28"/>
      <w:lang w:val="es-ES" w:eastAsia="es-ES"/>
    </w:rPr>
  </w:style>
  <w:style w:type="paragraph" w:styleId="Ttulo60" w:customStyle="1">
    <w:name w:val="TÍtulo 6"/>
    <w:basedOn w:val="Normal"/>
    <w:next w:val="Normal"/>
    <w:rsid w:val="00487DE0"/>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eastAsia="Times New Roman" w:cs="Bookman Old Style"/>
      <w:spacing w:val="-3"/>
      <w:sz w:val="24"/>
      <w:szCs w:val="24"/>
      <w:lang w:val="es-ES" w:eastAsia="es-ES"/>
    </w:rPr>
  </w:style>
  <w:style w:type="paragraph" w:styleId="Ttulo90" w:customStyle="1">
    <w:name w:val="TÕtulo 9"/>
    <w:basedOn w:val="Normal"/>
    <w:next w:val="Normal"/>
    <w:rsid w:val="00487DE0"/>
    <w:pPr>
      <w:keepNext/>
      <w:tabs>
        <w:tab w:val="left" w:pos="142"/>
      </w:tabs>
      <w:overflowPunct w:val="0"/>
      <w:autoSpaceDE w:val="0"/>
      <w:autoSpaceDN w:val="0"/>
      <w:adjustRightInd w:val="0"/>
      <w:jc w:val="both"/>
      <w:textAlignment w:val="baseline"/>
    </w:pPr>
    <w:rPr>
      <w:rFonts w:ascii="Book Antiqua" w:hAnsi="Book Antiqua" w:eastAsia="Times New Roman" w:cs="Book Antiqua"/>
      <w:b/>
      <w:bCs/>
      <w:lang w:val="es-ES" w:eastAsia="es-ES"/>
    </w:rPr>
  </w:style>
  <w:style w:type="paragraph" w:styleId="xl24" w:customStyle="1">
    <w:name w:val="xl24"/>
    <w:basedOn w:val="Normal"/>
    <w:rsid w:val="00487DE0"/>
    <w:pPr>
      <w:spacing w:before="100" w:beforeAutospacing="1" w:after="100" w:afterAutospacing="1"/>
      <w:jc w:val="center"/>
    </w:pPr>
    <w:rPr>
      <w:rFonts w:ascii="Arial Unicode MS" w:hAnsi="Arial Unicode MS" w:eastAsia="Arial Unicode MS" w:cs="Arial Unicode MS"/>
      <w:sz w:val="24"/>
      <w:szCs w:val="24"/>
      <w:lang w:val="es-ES" w:eastAsia="es-ES"/>
    </w:rPr>
  </w:style>
  <w:style w:type="paragraph" w:styleId="Cpi" w:customStyle="1">
    <w:name w:val="Cpi"/>
    <w:basedOn w:val="Normal"/>
    <w:rsid w:val="00487DE0"/>
    <w:pPr>
      <w:widowControl w:val="0"/>
      <w:autoSpaceDE w:val="0"/>
      <w:autoSpaceDN w:val="0"/>
      <w:adjustRightInd w:val="0"/>
      <w:spacing w:line="360" w:lineRule="auto"/>
    </w:pPr>
    <w:rPr>
      <w:rFonts w:ascii="Times New Roman" w:hAnsi="Times New Roman" w:eastAsia="Times New Roman" w:cs="Times New Roman"/>
      <w:sz w:val="28"/>
      <w:szCs w:val="28"/>
      <w:shd w:val="clear" w:color="auto" w:fill="FFFFFF"/>
      <w:lang w:val="es-MX" w:eastAsia="es-ES"/>
    </w:rPr>
  </w:style>
  <w:style w:type="paragraph" w:styleId="Descripcin">
    <w:name w:val="caption"/>
    <w:aliases w:val="Epígrafe,Epígrafe2,Descripción1"/>
    <w:basedOn w:val="Normal"/>
    <w:next w:val="Normal"/>
    <w:qFormat/>
    <w:rsid w:val="00487DE0"/>
    <w:pPr>
      <w:widowControl w:val="0"/>
      <w:autoSpaceDE w:val="0"/>
      <w:autoSpaceDN w:val="0"/>
      <w:adjustRightInd w:val="0"/>
    </w:pPr>
    <w:rPr>
      <w:rFonts w:ascii="Arial" w:hAnsi="Arial" w:eastAsia="Times New Roman" w:cs="Arial"/>
      <w:b/>
      <w:bCs/>
      <w:sz w:val="20"/>
      <w:szCs w:val="20"/>
      <w:lang w:val="es-ES" w:eastAsia="es-ES"/>
    </w:rPr>
  </w:style>
  <w:style w:type="paragraph" w:styleId="Prrafodelista21" w:customStyle="1">
    <w:name w:val="Párrafo de lista21"/>
    <w:basedOn w:val="Normal"/>
    <w:qFormat/>
    <w:rsid w:val="00487DE0"/>
    <w:pPr>
      <w:spacing w:after="200" w:line="276" w:lineRule="auto"/>
      <w:ind w:left="720"/>
      <w:contextualSpacing/>
    </w:pPr>
    <w:rPr>
      <w:rFonts w:eastAsia="Times New Roman" w:cs="Times New Roman"/>
      <w:lang w:val="es-ES"/>
    </w:rPr>
  </w:style>
  <w:style w:type="paragraph" w:styleId="Epgrafe1" w:customStyle="1">
    <w:name w:val="Epígrafe1"/>
    <w:basedOn w:val="Normal"/>
    <w:next w:val="Normal"/>
    <w:qFormat/>
    <w:rsid w:val="00487DE0"/>
    <w:pPr>
      <w:widowControl w:val="0"/>
      <w:autoSpaceDE w:val="0"/>
      <w:autoSpaceDN w:val="0"/>
      <w:adjustRightInd w:val="0"/>
    </w:pPr>
    <w:rPr>
      <w:rFonts w:ascii="Arial" w:hAnsi="Arial" w:eastAsia="Times New Roman" w:cs="Arial"/>
      <w:b/>
      <w:bCs/>
      <w:sz w:val="20"/>
      <w:szCs w:val="20"/>
      <w:lang w:val="es-ES" w:eastAsia="es-ES"/>
    </w:rPr>
  </w:style>
  <w:style w:type="paragraph" w:styleId="ecxttulo3" w:customStyle="1">
    <w:name w:val="ecxttulo3"/>
    <w:rsid w:val="00487DE0"/>
    <w:pPr>
      <w:widowControl w:val="0"/>
      <w:autoSpaceDE w:val="0"/>
      <w:autoSpaceDN w:val="0"/>
      <w:adjustRightInd w:val="0"/>
      <w:spacing w:after="0" w:line="240" w:lineRule="auto"/>
    </w:pPr>
    <w:rPr>
      <w:rFonts w:ascii="Arial" w:hAnsi="Arial" w:eastAsia="Times New Roman" w:cs="Times New Roman"/>
      <w:sz w:val="24"/>
      <w:szCs w:val="24"/>
      <w:lang w:val="es-ES" w:eastAsia="es-ES"/>
    </w:rPr>
  </w:style>
  <w:style w:type="paragraph" w:styleId="Default" w:customStyle="1">
    <w:name w:val="Default"/>
    <w:qFormat/>
    <w:rsid w:val="00487DE0"/>
    <w:pPr>
      <w:autoSpaceDE w:val="0"/>
      <w:autoSpaceDN w:val="0"/>
      <w:adjustRightInd w:val="0"/>
      <w:spacing w:after="0" w:line="240" w:lineRule="auto"/>
    </w:pPr>
    <w:rPr>
      <w:rFonts w:ascii="Arial" w:hAnsi="Arial" w:eastAsia="Times New Roman" w:cs="Arial"/>
      <w:color w:val="000000"/>
      <w:sz w:val="24"/>
      <w:szCs w:val="24"/>
      <w:lang w:eastAsia="es-CR"/>
    </w:rPr>
  </w:style>
  <w:style w:type="character" w:styleId="Refdecomentario">
    <w:name w:val="annotation reference"/>
    <w:uiPriority w:val="99"/>
    <w:unhideWhenUsed/>
    <w:rsid w:val="00487DE0"/>
    <w:rPr>
      <w:sz w:val="16"/>
      <w:szCs w:val="16"/>
    </w:rPr>
  </w:style>
  <w:style w:type="paragraph" w:styleId="Textocomentario">
    <w:name w:val="annotation text"/>
    <w:basedOn w:val="Normal"/>
    <w:link w:val="TextocomentarioCar"/>
    <w:uiPriority w:val="99"/>
    <w:unhideWhenUsed/>
    <w:rsid w:val="00487DE0"/>
    <w:rPr>
      <w:rFonts w:ascii="Times New Roman" w:hAnsi="Times New Roman" w:eastAsia="Times New Roman" w:cs="Times New Roman"/>
      <w:sz w:val="20"/>
      <w:szCs w:val="20"/>
      <w:lang w:eastAsia="es-ES"/>
    </w:rPr>
  </w:style>
  <w:style w:type="character" w:styleId="TextocomentarioCar" w:customStyle="1">
    <w:name w:val="Texto comentario Car"/>
    <w:basedOn w:val="Fuentedeprrafopredeter"/>
    <w:link w:val="Textocomentario"/>
    <w:uiPriority w:val="99"/>
    <w:rsid w:val="00487DE0"/>
    <w:rPr>
      <w:rFonts w:ascii="Times New Roman" w:hAnsi="Times New Roman"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unhideWhenUsed/>
    <w:rsid w:val="00487DE0"/>
    <w:rPr>
      <w:b/>
      <w:bCs/>
    </w:rPr>
  </w:style>
  <w:style w:type="character" w:styleId="AsuntodelcomentarioCar" w:customStyle="1">
    <w:name w:val="Asunto del comentario Car"/>
    <w:basedOn w:val="TextocomentarioCar"/>
    <w:link w:val="Asuntodelcomentario"/>
    <w:uiPriority w:val="99"/>
    <w:rsid w:val="00487DE0"/>
    <w:rPr>
      <w:rFonts w:ascii="Times New Roman" w:hAnsi="Times New Roman" w:eastAsia="Times New Roman" w:cs="Times New Roman"/>
      <w:b/>
      <w:bCs/>
      <w:sz w:val="20"/>
      <w:szCs w:val="20"/>
      <w:lang w:eastAsia="es-ES"/>
    </w:rPr>
  </w:style>
  <w:style w:type="paragraph" w:styleId="xmsonormal" w:customStyle="1">
    <w:name w:val="x_msonormal"/>
    <w:basedOn w:val="Normal"/>
    <w:qFormat/>
    <w:rsid w:val="00487DE0"/>
    <w:rPr>
      <w:rFonts w:ascii="Times New Roman" w:hAnsi="Times New Roman" w:eastAsia="Calibri" w:cs="Times New Roman"/>
      <w:sz w:val="24"/>
      <w:szCs w:val="24"/>
      <w:lang w:eastAsia="es-CR"/>
    </w:rPr>
  </w:style>
  <w:style w:type="character" w:styleId="ListLabel11" w:customStyle="1">
    <w:name w:val="ListLabel 11"/>
    <w:qFormat/>
    <w:rsid w:val="00487DE0"/>
    <w:rPr>
      <w:b/>
    </w:rPr>
  </w:style>
  <w:style w:type="character" w:styleId="x998142620-04022016" w:customStyle="1">
    <w:name w:val="x_998142620-04022016"/>
    <w:basedOn w:val="Fuentedeprrafopredeter"/>
    <w:rsid w:val="00487DE0"/>
  </w:style>
  <w:style w:type="paragraph" w:styleId="WW-Predeterminado123" w:customStyle="1">
    <w:name w:val="WW-Predeterminado123"/>
    <w:next w:val="Normal"/>
    <w:rsid w:val="00487DE0"/>
    <w:pPr>
      <w:widowControl w:val="0"/>
      <w:suppressAutoHyphens/>
      <w:autoSpaceDE w:val="0"/>
      <w:spacing w:after="0" w:line="240" w:lineRule="auto"/>
    </w:pPr>
    <w:rPr>
      <w:rFonts w:ascii="Times New Roman" w:hAnsi="Times New Roman" w:eastAsia="Times New Roman" w:cs="Times New Roman"/>
      <w:color w:val="000000"/>
      <w:kern w:val="1"/>
      <w:sz w:val="20"/>
      <w:szCs w:val="20"/>
      <w:lang w:val="es-ES" w:eastAsia="hi-IN" w:bidi="hi-IN"/>
    </w:rPr>
  </w:style>
  <w:style w:type="character" w:styleId="TextonotaalfinalCar" w:customStyle="1">
    <w:name w:val="Texto nota al final Car"/>
    <w:basedOn w:val="Fuentedeprrafopredeter"/>
    <w:link w:val="Textonotaalfinal"/>
    <w:uiPriority w:val="99"/>
    <w:rsid w:val="00487DE0"/>
    <w:rPr>
      <w:rFonts w:ascii="Times New Roman" w:hAnsi="Times New Roman" w:eastAsia="Times New Roman" w:cs="Times New Roman"/>
      <w:sz w:val="20"/>
      <w:szCs w:val="20"/>
      <w:lang w:eastAsia="es-ES"/>
    </w:rPr>
  </w:style>
  <w:style w:type="paragraph" w:styleId="Textonotaalfinal">
    <w:name w:val="endnote text"/>
    <w:basedOn w:val="Normal"/>
    <w:link w:val="TextonotaalfinalCar"/>
    <w:uiPriority w:val="99"/>
    <w:unhideWhenUsed/>
    <w:rsid w:val="00487DE0"/>
    <w:rPr>
      <w:rFonts w:ascii="Times New Roman" w:hAnsi="Times New Roman" w:eastAsia="Times New Roman" w:cs="Times New Roman"/>
      <w:sz w:val="20"/>
      <w:szCs w:val="20"/>
      <w:lang w:eastAsia="es-ES"/>
    </w:rPr>
  </w:style>
  <w:style w:type="character" w:styleId="TextonotaalfinalCar1" w:customStyle="1">
    <w:name w:val="Texto nota al final Car1"/>
    <w:basedOn w:val="Fuentedeprrafopredeter"/>
    <w:uiPriority w:val="99"/>
    <w:semiHidden/>
    <w:rsid w:val="00487DE0"/>
    <w:rPr>
      <w:rFonts w:ascii="Calibri" w:hAnsi="Calibri" w:cs="Calibri"/>
      <w:sz w:val="20"/>
      <w:szCs w:val="20"/>
    </w:rPr>
  </w:style>
  <w:style w:type="paragraph" w:styleId="app-page-detaildocumentany" w:customStyle="1">
    <w:name w:val="app-page-detail_document_any"/>
    <w:basedOn w:val="Normal"/>
    <w:rsid w:val="00487DE0"/>
    <w:pPr>
      <w:widowControl w:val="0"/>
      <w:spacing w:line="300" w:lineRule="atLeast"/>
    </w:pPr>
    <w:rPr>
      <w:rFonts w:ascii="Arial" w:hAnsi="Arial" w:eastAsia="Times New Roman" w:cs="Arial"/>
      <w:color w:val="000000"/>
      <w:sz w:val="21"/>
      <w:szCs w:val="21"/>
      <w:lang w:eastAsia="es-CR"/>
    </w:rPr>
  </w:style>
  <w:style w:type="table" w:styleId="Cuadrculaclara-nfasis6">
    <w:name w:val="Light Grid Accent 6"/>
    <w:basedOn w:val="Tablanormal"/>
    <w:uiPriority w:val="62"/>
    <w:rsid w:val="00487DE0"/>
    <w:pPr>
      <w:spacing w:after="0" w:line="240" w:lineRule="auto"/>
    </w:pPr>
    <w:rPr>
      <w:rFonts w:ascii="Calibri" w:hAnsi="Calibri" w:eastAsia="Times New Roman" w:cs="Calibri"/>
      <w:sz w:val="20"/>
      <w:szCs w:val="20"/>
      <w:lang w:eastAsia="es-CR"/>
    </w:rPr>
    <w:tblPr>
      <w:tblStyleRowBandSize w:val="1"/>
      <w:tblStyleColBandSize w:val="1"/>
      <w:tblBorders>
        <w:top w:val="single" w:color="70AD47" w:themeColor="accent6" w:sz="8" w:space="0"/>
        <w:left w:val="single" w:color="70AD47" w:themeColor="accent6" w:sz="8" w:space="0"/>
        <w:bottom w:val="single" w:color="70AD47" w:themeColor="accent6" w:sz="8" w:space="0"/>
        <w:right w:val="single" w:color="70AD47" w:themeColor="accent6" w:sz="8" w:space="0"/>
        <w:insideH w:val="single" w:color="70AD47" w:themeColor="accent6" w:sz="8" w:space="0"/>
        <w:insideV w:val="single" w:color="70AD47" w:themeColor="accent6"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70AD47" w:themeColor="accent6" w:sz="8" w:space="0"/>
          <w:left w:val="single" w:color="70AD47" w:themeColor="accent6" w:sz="8" w:space="0"/>
          <w:bottom w:val="single" w:color="70AD47" w:themeColor="accent6" w:sz="18" w:space="0"/>
          <w:right w:val="single" w:color="70AD47" w:themeColor="accent6" w:sz="8" w:space="0"/>
          <w:insideH w:val="nil"/>
          <w:insideV w:val="single" w:color="70AD47" w:themeColor="accent6"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70AD47" w:themeColor="accent6" w:sz="6" w:space="0"/>
          <w:left w:val="single" w:color="70AD47" w:themeColor="accent6" w:sz="8" w:space="0"/>
          <w:bottom w:val="single" w:color="70AD47" w:themeColor="accent6" w:sz="8" w:space="0"/>
          <w:right w:val="single" w:color="70AD47" w:themeColor="accent6" w:sz="8" w:space="0"/>
          <w:insideH w:val="nil"/>
          <w:insideV w:val="single" w:color="70AD47" w:themeColor="accent6"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70AD47" w:themeColor="accent6" w:sz="8" w:space="0"/>
          <w:left w:val="single" w:color="70AD47" w:themeColor="accent6" w:sz="8" w:space="0"/>
          <w:bottom w:val="single" w:color="70AD47" w:themeColor="accent6" w:sz="8" w:space="0"/>
          <w:right w:val="single" w:color="70AD47" w:themeColor="accent6" w:sz="8" w:space="0"/>
        </w:tcBorders>
      </w:tcPr>
    </w:tblStylePr>
    <w:tblStylePr w:type="band1Vert">
      <w:tblPr/>
      <w:tcPr>
        <w:tcBorders>
          <w:top w:val="single" w:color="70AD47" w:themeColor="accent6" w:sz="8" w:space="0"/>
          <w:left w:val="single" w:color="70AD47" w:themeColor="accent6" w:sz="8" w:space="0"/>
          <w:bottom w:val="single" w:color="70AD47" w:themeColor="accent6" w:sz="8" w:space="0"/>
          <w:right w:val="single" w:color="70AD47" w:themeColor="accent6" w:sz="8" w:space="0"/>
        </w:tcBorders>
        <w:shd w:val="clear" w:color="auto" w:fill="DBEBD0" w:themeFill="accent6" w:themeFillTint="3F"/>
      </w:tcPr>
    </w:tblStylePr>
    <w:tblStylePr w:type="band1Horz">
      <w:tblPr/>
      <w:tcPr>
        <w:tcBorders>
          <w:top w:val="single" w:color="70AD47" w:themeColor="accent6" w:sz="8" w:space="0"/>
          <w:left w:val="single" w:color="70AD47" w:themeColor="accent6" w:sz="8" w:space="0"/>
          <w:bottom w:val="single" w:color="70AD47" w:themeColor="accent6" w:sz="8" w:space="0"/>
          <w:right w:val="single" w:color="70AD47" w:themeColor="accent6" w:sz="8" w:space="0"/>
          <w:insideV w:val="single" w:color="70AD47" w:themeColor="accent6" w:sz="8" w:space="0"/>
        </w:tcBorders>
        <w:shd w:val="clear" w:color="auto" w:fill="DBEBD0" w:themeFill="accent6" w:themeFillTint="3F"/>
      </w:tcPr>
    </w:tblStylePr>
    <w:tblStylePr w:type="band2Horz">
      <w:tblPr/>
      <w:tcPr>
        <w:tcBorders>
          <w:top w:val="single" w:color="70AD47" w:themeColor="accent6" w:sz="8" w:space="0"/>
          <w:left w:val="single" w:color="70AD47" w:themeColor="accent6" w:sz="8" w:space="0"/>
          <w:bottom w:val="single" w:color="70AD47" w:themeColor="accent6" w:sz="8" w:space="0"/>
          <w:right w:val="single" w:color="70AD47" w:themeColor="accent6" w:sz="8" w:space="0"/>
          <w:insideV w:val="single" w:color="70AD47" w:themeColor="accent6" w:sz="8" w:space="0"/>
        </w:tcBorders>
      </w:tcPr>
    </w:tblStylePr>
  </w:style>
  <w:style w:type="character" w:styleId="normaltextrun" w:customStyle="1">
    <w:name w:val="normaltextrun"/>
    <w:basedOn w:val="Fuentedeprrafopredeter"/>
    <w:rsid w:val="00487DE0"/>
  </w:style>
  <w:style w:type="paragraph" w:styleId="1" w:customStyle="1">
    <w:name w:val="1"/>
    <w:basedOn w:val="Normal"/>
    <w:semiHidden/>
    <w:rsid w:val="00487DE0"/>
    <w:pPr>
      <w:spacing w:after="160" w:line="240" w:lineRule="exact"/>
    </w:pPr>
    <w:rPr>
      <w:rFonts w:ascii="Verdana" w:hAnsi="Verdana" w:eastAsia="Times New Roman" w:cs="Times New Roman"/>
      <w:sz w:val="20"/>
      <w:szCs w:val="21"/>
      <w:lang w:val="en-AU"/>
    </w:rPr>
  </w:style>
  <w:style w:type="paragraph" w:styleId="Car" w:customStyle="1">
    <w:name w:val="Car"/>
    <w:basedOn w:val="Normal"/>
    <w:semiHidden/>
    <w:rsid w:val="00487DE0"/>
    <w:pPr>
      <w:spacing w:after="160" w:line="240" w:lineRule="exact"/>
    </w:pPr>
    <w:rPr>
      <w:rFonts w:ascii="Verdana" w:hAnsi="Verdana" w:eastAsia="Times New Roman" w:cs="Verdana"/>
      <w:sz w:val="20"/>
      <w:szCs w:val="20"/>
      <w:lang w:val="en-AU"/>
    </w:rPr>
  </w:style>
  <w:style w:type="paragraph" w:styleId="HTMLconformatoprevio">
    <w:name w:val="HTML Preformatted"/>
    <w:basedOn w:val="Normal"/>
    <w:link w:val="HTMLconformatoprevioCar"/>
    <w:rsid w:val="00487D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eastAsia="Times New Roman" w:cs="Courier New"/>
      <w:color w:val="000000"/>
      <w:sz w:val="20"/>
      <w:szCs w:val="20"/>
      <w:lang w:val="es-ES" w:eastAsia="es-ES"/>
    </w:rPr>
  </w:style>
  <w:style w:type="character" w:styleId="HTMLconformatoprevioCar" w:customStyle="1">
    <w:name w:val="HTML con formato previo Car"/>
    <w:basedOn w:val="Fuentedeprrafopredeter"/>
    <w:link w:val="HTMLconformatoprevio"/>
    <w:rsid w:val="00487DE0"/>
    <w:rPr>
      <w:rFonts w:ascii="Courier New" w:hAnsi="Courier New" w:eastAsia="Times New Roman" w:cs="Courier New"/>
      <w:color w:val="000000"/>
      <w:sz w:val="20"/>
      <w:szCs w:val="20"/>
      <w:lang w:val="es-ES" w:eastAsia="es-ES"/>
    </w:rPr>
  </w:style>
  <w:style w:type="paragraph" w:styleId="CarCar" w:customStyle="1">
    <w:name w:val="Car Car"/>
    <w:basedOn w:val="Normal"/>
    <w:semiHidden/>
    <w:rsid w:val="00487DE0"/>
    <w:pPr>
      <w:spacing w:after="160" w:line="240" w:lineRule="exact"/>
    </w:pPr>
    <w:rPr>
      <w:rFonts w:ascii="Verdana" w:hAnsi="Verdana" w:eastAsia="Times New Roman" w:cs="Times New Roman"/>
      <w:sz w:val="20"/>
      <w:szCs w:val="21"/>
      <w:lang w:val="en-AU"/>
    </w:rPr>
  </w:style>
  <w:style w:type="paragraph" w:styleId="Car2" w:customStyle="1">
    <w:name w:val="Car2"/>
    <w:basedOn w:val="Normal"/>
    <w:semiHidden/>
    <w:rsid w:val="00487DE0"/>
    <w:pPr>
      <w:spacing w:after="160" w:line="240" w:lineRule="exact"/>
    </w:pPr>
    <w:rPr>
      <w:rFonts w:ascii="Verdana" w:hAnsi="Verdana" w:eastAsia="Times New Roman" w:cs="Times New Roman"/>
      <w:sz w:val="20"/>
      <w:szCs w:val="21"/>
      <w:lang w:val="en-AU"/>
    </w:rPr>
  </w:style>
  <w:style w:type="paragraph" w:styleId="CarCarCarCarCarCarCarCar" w:customStyle="1">
    <w:name w:val="Car Car Car Car Car Car Car Car"/>
    <w:basedOn w:val="Normal"/>
    <w:semiHidden/>
    <w:rsid w:val="00487DE0"/>
    <w:pPr>
      <w:spacing w:after="160" w:line="240" w:lineRule="exact"/>
    </w:pPr>
    <w:rPr>
      <w:rFonts w:ascii="Verdana" w:hAnsi="Verdana" w:eastAsia="Times New Roman" w:cs="Times New Roman"/>
      <w:sz w:val="20"/>
      <w:szCs w:val="21"/>
      <w:lang w:val="en-AU"/>
    </w:rPr>
  </w:style>
  <w:style w:type="paragraph" w:styleId="CarCar1" w:customStyle="1">
    <w:name w:val="Car Car1"/>
    <w:basedOn w:val="Normal"/>
    <w:semiHidden/>
    <w:rsid w:val="00487DE0"/>
    <w:pPr>
      <w:spacing w:after="160" w:line="240" w:lineRule="exact"/>
    </w:pPr>
    <w:rPr>
      <w:rFonts w:ascii="Verdana" w:hAnsi="Verdana" w:eastAsia="Times New Roman" w:cs="Verdana"/>
      <w:sz w:val="20"/>
      <w:szCs w:val="20"/>
      <w:lang w:val="en-AU"/>
    </w:rPr>
  </w:style>
  <w:style w:type="paragraph" w:styleId="Car1" w:customStyle="1">
    <w:name w:val="Car1"/>
    <w:basedOn w:val="Normal"/>
    <w:semiHidden/>
    <w:rsid w:val="00487DE0"/>
    <w:pPr>
      <w:spacing w:after="160" w:line="240" w:lineRule="exact"/>
    </w:pPr>
    <w:rPr>
      <w:rFonts w:ascii="Verdana" w:hAnsi="Verdana" w:eastAsia="Times New Roman" w:cs="Times New Roman"/>
      <w:sz w:val="20"/>
      <w:szCs w:val="21"/>
      <w:lang w:val="en-AU"/>
    </w:rPr>
  </w:style>
  <w:style w:type="paragraph" w:styleId="Revisin">
    <w:name w:val="Revision"/>
    <w:hidden/>
    <w:uiPriority w:val="99"/>
    <w:semiHidden/>
    <w:rsid w:val="00487DE0"/>
    <w:pPr>
      <w:spacing w:after="0" w:line="240" w:lineRule="auto"/>
    </w:pPr>
    <w:rPr>
      <w:rFonts w:ascii="Times New Roman" w:hAnsi="Times New Roman" w:eastAsia="Times New Roman" w:cs="Times New Roman"/>
      <w:sz w:val="24"/>
      <w:szCs w:val="24"/>
      <w:lang w:eastAsia="es-ES"/>
    </w:rPr>
  </w:style>
  <w:style w:type="paragraph" w:styleId="msonormal0" w:customStyle="1">
    <w:name w:val="msonormal"/>
    <w:basedOn w:val="Normal"/>
    <w:rsid w:val="00487DE0"/>
    <w:pPr>
      <w:spacing w:before="100" w:beforeAutospacing="1" w:after="100" w:afterAutospacing="1"/>
    </w:pPr>
    <w:rPr>
      <w:rFonts w:ascii="Times New Roman" w:hAnsi="Times New Roman" w:eastAsia="Times New Roman" w:cs="Times New Roman"/>
      <w:sz w:val="24"/>
      <w:szCs w:val="24"/>
      <w:lang w:eastAsia="es-CR"/>
    </w:rPr>
  </w:style>
  <w:style w:type="paragraph" w:styleId="xl72" w:customStyle="1">
    <w:name w:val="xl72"/>
    <w:basedOn w:val="Normal"/>
    <w:rsid w:val="00487DE0"/>
    <w:pPr>
      <w:spacing w:before="100" w:beforeAutospacing="1" w:after="100" w:afterAutospacing="1"/>
    </w:pPr>
    <w:rPr>
      <w:rFonts w:ascii="Times New Roman" w:hAnsi="Times New Roman" w:eastAsia="Times New Roman" w:cs="Times New Roman"/>
      <w:lang w:eastAsia="es-CR"/>
    </w:rPr>
  </w:style>
  <w:style w:type="paragraph" w:styleId="xl73" w:customStyle="1">
    <w:name w:val="xl73"/>
    <w:basedOn w:val="Normal"/>
    <w:rsid w:val="00487DE0"/>
    <w:pPr>
      <w:pBdr>
        <w:top w:val="single" w:color="auto" w:sz="8" w:space="0"/>
        <w:left w:val="single" w:color="auto" w:sz="8" w:space="0"/>
        <w:bottom w:val="single" w:color="auto" w:sz="8" w:space="0"/>
        <w:right w:val="single" w:color="auto" w:sz="8" w:space="0"/>
      </w:pBdr>
      <w:shd w:val="clear" w:color="000000" w:fill="C4D79B"/>
      <w:spacing w:before="100" w:beforeAutospacing="1" w:after="100" w:afterAutospacing="1"/>
      <w:jc w:val="center"/>
      <w:textAlignment w:val="center"/>
    </w:pPr>
    <w:rPr>
      <w:rFonts w:ascii="Times New Roman" w:hAnsi="Times New Roman" w:eastAsia="Times New Roman" w:cs="Times New Roman"/>
      <w:b/>
      <w:bCs/>
      <w:lang w:eastAsia="es-CR"/>
    </w:rPr>
  </w:style>
  <w:style w:type="paragraph" w:styleId="xl74" w:customStyle="1">
    <w:name w:val="xl74"/>
    <w:basedOn w:val="Normal"/>
    <w:rsid w:val="00487DE0"/>
    <w:pPr>
      <w:pBdr>
        <w:top w:val="single" w:color="auto" w:sz="8" w:space="0"/>
        <w:bottom w:val="single" w:color="auto" w:sz="8" w:space="0"/>
        <w:right w:val="single" w:color="auto" w:sz="8" w:space="0"/>
      </w:pBdr>
      <w:shd w:val="clear" w:color="000000" w:fill="C4D79B"/>
      <w:spacing w:before="100" w:beforeAutospacing="1" w:after="100" w:afterAutospacing="1"/>
      <w:jc w:val="center"/>
      <w:textAlignment w:val="center"/>
    </w:pPr>
    <w:rPr>
      <w:rFonts w:ascii="Times New Roman" w:hAnsi="Times New Roman" w:eastAsia="Times New Roman" w:cs="Times New Roman"/>
      <w:b/>
      <w:bCs/>
      <w:lang w:eastAsia="es-CR"/>
    </w:rPr>
  </w:style>
  <w:style w:type="paragraph" w:styleId="xl75" w:customStyle="1">
    <w:name w:val="xl75"/>
    <w:basedOn w:val="Normal"/>
    <w:rsid w:val="00487DE0"/>
    <w:pPr>
      <w:pBdr>
        <w:left w:val="single" w:color="auto" w:sz="8" w:space="0"/>
        <w:bottom w:val="single" w:color="auto" w:sz="8" w:space="0"/>
      </w:pBdr>
      <w:shd w:val="clear" w:color="000000" w:fill="F3C85B"/>
      <w:spacing w:before="100" w:beforeAutospacing="1" w:after="100" w:afterAutospacing="1"/>
      <w:jc w:val="right"/>
      <w:textAlignment w:val="center"/>
    </w:pPr>
    <w:rPr>
      <w:rFonts w:ascii="Times New Roman" w:hAnsi="Times New Roman" w:eastAsia="Times New Roman" w:cs="Times New Roman"/>
      <w:b/>
      <w:bCs/>
      <w:lang w:eastAsia="es-CR"/>
    </w:rPr>
  </w:style>
  <w:style w:type="paragraph" w:styleId="xl76" w:customStyle="1">
    <w:name w:val="xl76"/>
    <w:basedOn w:val="Normal"/>
    <w:rsid w:val="00487DE0"/>
    <w:pPr>
      <w:pBdr>
        <w:bottom w:val="single" w:color="auto" w:sz="8" w:space="0"/>
        <w:right w:val="single" w:color="auto" w:sz="8" w:space="0"/>
      </w:pBdr>
      <w:shd w:val="clear" w:color="000000" w:fill="F3C85B"/>
      <w:spacing w:before="100" w:beforeAutospacing="1" w:after="100" w:afterAutospacing="1"/>
      <w:textAlignment w:val="center"/>
    </w:pPr>
    <w:rPr>
      <w:rFonts w:ascii="Times New Roman" w:hAnsi="Times New Roman" w:eastAsia="Times New Roman" w:cs="Times New Roman"/>
      <w:b/>
      <w:bCs/>
      <w:lang w:eastAsia="es-CR"/>
    </w:rPr>
  </w:style>
  <w:style w:type="paragraph" w:styleId="xl77" w:customStyle="1">
    <w:name w:val="xl77"/>
    <w:basedOn w:val="Normal"/>
    <w:rsid w:val="00487DE0"/>
    <w:pPr>
      <w:pBdr>
        <w:bottom w:val="single" w:color="auto" w:sz="8" w:space="0"/>
        <w:right w:val="single" w:color="auto" w:sz="8" w:space="0"/>
      </w:pBdr>
      <w:shd w:val="clear" w:color="000000" w:fill="F3C85B"/>
      <w:spacing w:before="100" w:beforeAutospacing="1" w:after="100" w:afterAutospacing="1"/>
      <w:jc w:val="center"/>
      <w:textAlignment w:val="center"/>
    </w:pPr>
    <w:rPr>
      <w:rFonts w:ascii="Times New Roman" w:hAnsi="Times New Roman" w:eastAsia="Times New Roman" w:cs="Times New Roman"/>
      <w:b/>
      <w:bCs/>
      <w:lang w:eastAsia="es-CR"/>
    </w:rPr>
  </w:style>
  <w:style w:type="paragraph" w:styleId="xl78" w:customStyle="1">
    <w:name w:val="xl78"/>
    <w:basedOn w:val="Normal"/>
    <w:rsid w:val="00487DE0"/>
    <w:pPr>
      <w:pBdr>
        <w:bottom w:val="single" w:color="auto" w:sz="8" w:space="0"/>
        <w:right w:val="single" w:color="auto" w:sz="8" w:space="0"/>
      </w:pBdr>
      <w:shd w:val="clear" w:color="000000" w:fill="F3C85B"/>
      <w:spacing w:before="100" w:beforeAutospacing="1" w:after="100" w:afterAutospacing="1"/>
      <w:jc w:val="center"/>
      <w:textAlignment w:val="center"/>
    </w:pPr>
    <w:rPr>
      <w:rFonts w:ascii="Times New Roman" w:hAnsi="Times New Roman" w:eastAsia="Times New Roman" w:cs="Times New Roman"/>
      <w:b/>
      <w:bCs/>
      <w:lang w:eastAsia="es-CR"/>
    </w:rPr>
  </w:style>
  <w:style w:type="paragraph" w:styleId="xl79" w:customStyle="1">
    <w:name w:val="xl79"/>
    <w:basedOn w:val="Normal"/>
    <w:rsid w:val="00487DE0"/>
    <w:pPr>
      <w:pBdr>
        <w:left w:val="single" w:color="auto" w:sz="8" w:space="0"/>
        <w:bottom w:val="single" w:color="auto" w:sz="8" w:space="0"/>
      </w:pBdr>
      <w:shd w:val="clear" w:color="000000" w:fill="92CDDC"/>
      <w:spacing w:before="100" w:beforeAutospacing="1" w:after="100" w:afterAutospacing="1"/>
      <w:textAlignment w:val="center"/>
    </w:pPr>
    <w:rPr>
      <w:rFonts w:ascii="Times New Roman" w:hAnsi="Times New Roman" w:eastAsia="Times New Roman" w:cs="Times New Roman"/>
      <w:b/>
      <w:bCs/>
      <w:lang w:eastAsia="es-CR"/>
    </w:rPr>
  </w:style>
  <w:style w:type="paragraph" w:styleId="xl80" w:customStyle="1">
    <w:name w:val="xl80"/>
    <w:basedOn w:val="Normal"/>
    <w:rsid w:val="00487DE0"/>
    <w:pPr>
      <w:pBdr>
        <w:bottom w:val="single" w:color="auto" w:sz="8" w:space="0"/>
        <w:right w:val="single" w:color="auto" w:sz="8" w:space="0"/>
      </w:pBdr>
      <w:shd w:val="clear" w:color="000000" w:fill="92CDDC"/>
      <w:spacing w:before="100" w:beforeAutospacing="1" w:after="100" w:afterAutospacing="1"/>
      <w:textAlignment w:val="center"/>
    </w:pPr>
    <w:rPr>
      <w:rFonts w:ascii="Times New Roman" w:hAnsi="Times New Roman" w:eastAsia="Times New Roman" w:cs="Times New Roman"/>
      <w:b/>
      <w:bCs/>
      <w:lang w:eastAsia="es-CR"/>
    </w:rPr>
  </w:style>
  <w:style w:type="paragraph" w:styleId="xl81" w:customStyle="1">
    <w:name w:val="xl81"/>
    <w:basedOn w:val="Normal"/>
    <w:rsid w:val="00487DE0"/>
    <w:pPr>
      <w:pBdr>
        <w:bottom w:val="single" w:color="auto" w:sz="8" w:space="0"/>
        <w:right w:val="single" w:color="auto" w:sz="8" w:space="0"/>
      </w:pBdr>
      <w:shd w:val="clear" w:color="000000" w:fill="92CDDC"/>
      <w:spacing w:before="100" w:beforeAutospacing="1" w:after="100" w:afterAutospacing="1"/>
      <w:jc w:val="center"/>
      <w:textAlignment w:val="center"/>
    </w:pPr>
    <w:rPr>
      <w:rFonts w:ascii="Times New Roman" w:hAnsi="Times New Roman" w:eastAsia="Times New Roman" w:cs="Times New Roman"/>
      <w:b/>
      <w:bCs/>
      <w:lang w:eastAsia="es-CR"/>
    </w:rPr>
  </w:style>
  <w:style w:type="paragraph" w:styleId="xl82" w:customStyle="1">
    <w:name w:val="xl82"/>
    <w:basedOn w:val="Normal"/>
    <w:rsid w:val="00487DE0"/>
    <w:pPr>
      <w:pBdr>
        <w:bottom w:val="single" w:color="auto" w:sz="8" w:space="0"/>
        <w:right w:val="single" w:color="auto" w:sz="8" w:space="0"/>
      </w:pBdr>
      <w:shd w:val="clear" w:color="000000" w:fill="92CDDC"/>
      <w:spacing w:before="100" w:beforeAutospacing="1" w:after="100" w:afterAutospacing="1"/>
      <w:jc w:val="center"/>
      <w:textAlignment w:val="center"/>
    </w:pPr>
    <w:rPr>
      <w:rFonts w:ascii="Times New Roman" w:hAnsi="Times New Roman" w:eastAsia="Times New Roman" w:cs="Times New Roman"/>
      <w:b/>
      <w:bCs/>
      <w:lang w:eastAsia="es-CR"/>
    </w:rPr>
  </w:style>
  <w:style w:type="paragraph" w:styleId="xl83" w:customStyle="1">
    <w:name w:val="xl83"/>
    <w:basedOn w:val="Normal"/>
    <w:rsid w:val="00487DE0"/>
    <w:pPr>
      <w:pBdr>
        <w:left w:val="single" w:color="auto" w:sz="8" w:space="0"/>
        <w:bottom w:val="single" w:color="auto" w:sz="8" w:space="0"/>
      </w:pBdr>
      <w:shd w:val="clear" w:color="000000" w:fill="D9D9D9"/>
      <w:spacing w:before="100" w:beforeAutospacing="1" w:after="100" w:afterAutospacing="1"/>
      <w:textAlignment w:val="center"/>
    </w:pPr>
    <w:rPr>
      <w:rFonts w:ascii="Times New Roman" w:hAnsi="Times New Roman" w:eastAsia="Times New Roman" w:cs="Times New Roman"/>
      <w:b/>
      <w:bCs/>
      <w:lang w:eastAsia="es-CR"/>
    </w:rPr>
  </w:style>
  <w:style w:type="paragraph" w:styleId="xl84" w:customStyle="1">
    <w:name w:val="xl84"/>
    <w:basedOn w:val="Normal"/>
    <w:rsid w:val="00487DE0"/>
    <w:pPr>
      <w:pBdr>
        <w:bottom w:val="single" w:color="auto" w:sz="8" w:space="0"/>
        <w:right w:val="single" w:color="auto" w:sz="8" w:space="0"/>
      </w:pBdr>
      <w:shd w:val="clear" w:color="000000" w:fill="D9D9D9"/>
      <w:spacing w:before="100" w:beforeAutospacing="1" w:after="100" w:afterAutospacing="1"/>
      <w:textAlignment w:val="center"/>
    </w:pPr>
    <w:rPr>
      <w:rFonts w:ascii="Times New Roman" w:hAnsi="Times New Roman" w:eastAsia="Times New Roman" w:cs="Times New Roman"/>
      <w:b/>
      <w:bCs/>
      <w:lang w:eastAsia="es-CR"/>
    </w:rPr>
  </w:style>
  <w:style w:type="paragraph" w:styleId="xl85" w:customStyle="1">
    <w:name w:val="xl85"/>
    <w:basedOn w:val="Normal"/>
    <w:rsid w:val="00487DE0"/>
    <w:pPr>
      <w:pBdr>
        <w:bottom w:val="single" w:color="auto" w:sz="8" w:space="0"/>
        <w:right w:val="single" w:color="auto" w:sz="8" w:space="0"/>
      </w:pBdr>
      <w:shd w:val="clear" w:color="000000" w:fill="D9D9D9"/>
      <w:spacing w:before="100" w:beforeAutospacing="1" w:after="100" w:afterAutospacing="1"/>
      <w:jc w:val="center"/>
      <w:textAlignment w:val="center"/>
    </w:pPr>
    <w:rPr>
      <w:rFonts w:ascii="Times New Roman" w:hAnsi="Times New Roman" w:eastAsia="Times New Roman" w:cs="Times New Roman"/>
      <w:b/>
      <w:bCs/>
      <w:lang w:eastAsia="es-CR"/>
    </w:rPr>
  </w:style>
  <w:style w:type="paragraph" w:styleId="xl86" w:customStyle="1">
    <w:name w:val="xl86"/>
    <w:basedOn w:val="Normal"/>
    <w:rsid w:val="00487DE0"/>
    <w:pPr>
      <w:pBdr>
        <w:bottom w:val="single" w:color="auto" w:sz="8" w:space="0"/>
        <w:right w:val="single" w:color="auto" w:sz="8" w:space="0"/>
      </w:pBdr>
      <w:shd w:val="clear" w:color="000000" w:fill="D9D9D9"/>
      <w:spacing w:before="100" w:beforeAutospacing="1" w:after="100" w:afterAutospacing="1"/>
      <w:jc w:val="center"/>
      <w:textAlignment w:val="center"/>
    </w:pPr>
    <w:rPr>
      <w:rFonts w:ascii="Times New Roman" w:hAnsi="Times New Roman" w:eastAsia="Times New Roman" w:cs="Times New Roman"/>
      <w:b/>
      <w:bCs/>
      <w:lang w:eastAsia="es-CR"/>
    </w:rPr>
  </w:style>
  <w:style w:type="paragraph" w:styleId="xl87" w:customStyle="1">
    <w:name w:val="xl87"/>
    <w:basedOn w:val="Normal"/>
    <w:rsid w:val="00487DE0"/>
    <w:pPr>
      <w:pBdr>
        <w:left w:val="single" w:color="auto" w:sz="8" w:space="0"/>
        <w:bottom w:val="single" w:color="auto" w:sz="8" w:space="0"/>
        <w:right w:val="single" w:color="auto" w:sz="8" w:space="0"/>
      </w:pBdr>
      <w:spacing w:before="100" w:beforeAutospacing="1" w:after="100" w:afterAutospacing="1"/>
      <w:textAlignment w:val="center"/>
    </w:pPr>
    <w:rPr>
      <w:rFonts w:ascii="Times New Roman" w:hAnsi="Times New Roman" w:eastAsia="Times New Roman" w:cs="Times New Roman"/>
      <w:lang w:eastAsia="es-CR"/>
    </w:rPr>
  </w:style>
  <w:style w:type="paragraph" w:styleId="xl88" w:customStyle="1">
    <w:name w:val="xl88"/>
    <w:basedOn w:val="Normal"/>
    <w:rsid w:val="00487DE0"/>
    <w:pPr>
      <w:pBdr>
        <w:bottom w:val="single" w:color="auto" w:sz="8" w:space="0"/>
        <w:right w:val="single" w:color="auto" w:sz="8" w:space="0"/>
      </w:pBdr>
      <w:spacing w:before="100" w:beforeAutospacing="1" w:after="100" w:afterAutospacing="1"/>
      <w:textAlignment w:val="center"/>
    </w:pPr>
    <w:rPr>
      <w:rFonts w:ascii="Times New Roman" w:hAnsi="Times New Roman" w:eastAsia="Times New Roman" w:cs="Times New Roman"/>
      <w:lang w:eastAsia="es-CR"/>
    </w:rPr>
  </w:style>
  <w:style w:type="paragraph" w:styleId="xl89" w:customStyle="1">
    <w:name w:val="xl89"/>
    <w:basedOn w:val="Normal"/>
    <w:rsid w:val="00487DE0"/>
    <w:pPr>
      <w:pBdr>
        <w:bottom w:val="single" w:color="auto" w:sz="8" w:space="0"/>
        <w:right w:val="single" w:color="auto" w:sz="8" w:space="0"/>
      </w:pBdr>
      <w:spacing w:before="100" w:beforeAutospacing="1" w:after="100" w:afterAutospacing="1"/>
      <w:jc w:val="center"/>
      <w:textAlignment w:val="center"/>
    </w:pPr>
    <w:rPr>
      <w:rFonts w:ascii="Times New Roman" w:hAnsi="Times New Roman" w:eastAsia="Times New Roman" w:cs="Times New Roman"/>
      <w:lang w:eastAsia="es-CR"/>
    </w:rPr>
  </w:style>
  <w:style w:type="paragraph" w:styleId="xl90" w:customStyle="1">
    <w:name w:val="xl90"/>
    <w:basedOn w:val="Normal"/>
    <w:rsid w:val="00487DE0"/>
    <w:pPr>
      <w:pBdr>
        <w:bottom w:val="single" w:color="auto" w:sz="8" w:space="0"/>
        <w:right w:val="single" w:color="auto" w:sz="8" w:space="0"/>
      </w:pBdr>
      <w:spacing w:before="100" w:beforeAutospacing="1" w:after="100" w:afterAutospacing="1"/>
      <w:jc w:val="center"/>
      <w:textAlignment w:val="center"/>
    </w:pPr>
    <w:rPr>
      <w:rFonts w:ascii="Times New Roman" w:hAnsi="Times New Roman" w:eastAsia="Times New Roman" w:cs="Times New Roman"/>
      <w:lang w:eastAsia="es-CR"/>
    </w:rPr>
  </w:style>
  <w:style w:type="paragraph" w:styleId="xl91" w:customStyle="1">
    <w:name w:val="xl91"/>
    <w:basedOn w:val="Normal"/>
    <w:rsid w:val="00487DE0"/>
    <w:pPr>
      <w:pBdr>
        <w:left w:val="single" w:color="auto" w:sz="8" w:space="0"/>
        <w:bottom w:val="single" w:color="auto" w:sz="8" w:space="0"/>
      </w:pBdr>
      <w:spacing w:before="100" w:beforeAutospacing="1" w:after="100" w:afterAutospacing="1"/>
      <w:textAlignment w:val="center"/>
    </w:pPr>
    <w:rPr>
      <w:rFonts w:ascii="Times New Roman" w:hAnsi="Times New Roman" w:eastAsia="Times New Roman" w:cs="Times New Roman"/>
      <w:b/>
      <w:bCs/>
      <w:lang w:eastAsia="es-CR"/>
    </w:rPr>
  </w:style>
  <w:style w:type="paragraph" w:styleId="xl92" w:customStyle="1">
    <w:name w:val="xl92"/>
    <w:basedOn w:val="Normal"/>
    <w:rsid w:val="00487DE0"/>
    <w:pPr>
      <w:pBdr>
        <w:bottom w:val="single" w:color="auto" w:sz="8" w:space="0"/>
        <w:right w:val="single" w:color="auto" w:sz="8" w:space="0"/>
      </w:pBdr>
      <w:spacing w:before="100" w:beforeAutospacing="1" w:after="100" w:afterAutospacing="1"/>
      <w:jc w:val="center"/>
      <w:textAlignment w:val="center"/>
    </w:pPr>
    <w:rPr>
      <w:rFonts w:ascii="Times New Roman" w:hAnsi="Times New Roman" w:eastAsia="Times New Roman" w:cs="Times New Roman"/>
      <w:b/>
      <w:bCs/>
      <w:lang w:eastAsia="es-CR"/>
    </w:rPr>
  </w:style>
  <w:style w:type="paragraph" w:styleId="xl93" w:customStyle="1">
    <w:name w:val="xl93"/>
    <w:basedOn w:val="Normal"/>
    <w:rsid w:val="00487DE0"/>
    <w:pPr>
      <w:pBdr>
        <w:bottom w:val="single" w:color="auto" w:sz="8" w:space="0"/>
        <w:right w:val="single" w:color="auto" w:sz="8" w:space="0"/>
      </w:pBdr>
      <w:spacing w:before="100" w:beforeAutospacing="1" w:after="100" w:afterAutospacing="1"/>
      <w:jc w:val="center"/>
      <w:textAlignment w:val="center"/>
    </w:pPr>
    <w:rPr>
      <w:rFonts w:ascii="Times New Roman" w:hAnsi="Times New Roman" w:eastAsia="Times New Roman" w:cs="Times New Roman"/>
      <w:b/>
      <w:bCs/>
      <w:lang w:eastAsia="es-CR"/>
    </w:rPr>
  </w:style>
  <w:style w:type="paragraph" w:styleId="xl94" w:customStyle="1">
    <w:name w:val="xl94"/>
    <w:basedOn w:val="Normal"/>
    <w:rsid w:val="00487DE0"/>
    <w:pPr>
      <w:pBdr>
        <w:left w:val="single" w:color="auto" w:sz="8" w:space="0"/>
        <w:bottom w:val="single" w:color="auto" w:sz="8" w:space="0"/>
        <w:right w:val="single" w:color="auto" w:sz="8" w:space="0"/>
      </w:pBdr>
      <w:spacing w:before="100" w:beforeAutospacing="1" w:after="100" w:afterAutospacing="1"/>
      <w:textAlignment w:val="center"/>
    </w:pPr>
    <w:rPr>
      <w:rFonts w:ascii="Times New Roman" w:hAnsi="Times New Roman" w:eastAsia="Times New Roman" w:cs="Times New Roman"/>
      <w:color w:val="000000"/>
      <w:lang w:eastAsia="es-CR"/>
    </w:rPr>
  </w:style>
  <w:style w:type="paragraph" w:styleId="xl95" w:customStyle="1">
    <w:name w:val="xl95"/>
    <w:basedOn w:val="Normal"/>
    <w:rsid w:val="00487DE0"/>
    <w:pPr>
      <w:pBdr>
        <w:bottom w:val="single" w:color="auto" w:sz="8" w:space="0"/>
        <w:right w:val="single" w:color="auto" w:sz="8" w:space="0"/>
      </w:pBdr>
      <w:spacing w:before="100" w:beforeAutospacing="1" w:after="100" w:afterAutospacing="1"/>
      <w:jc w:val="center"/>
      <w:textAlignment w:val="center"/>
    </w:pPr>
    <w:rPr>
      <w:rFonts w:ascii="Times New Roman" w:hAnsi="Times New Roman" w:eastAsia="Times New Roman" w:cs="Times New Roman"/>
      <w:color w:val="000000"/>
      <w:lang w:eastAsia="es-CR"/>
    </w:rPr>
  </w:style>
  <w:style w:type="paragraph" w:styleId="xl96" w:customStyle="1">
    <w:name w:val="xl96"/>
    <w:basedOn w:val="Normal"/>
    <w:rsid w:val="00487DE0"/>
    <w:pPr>
      <w:pBdr>
        <w:bottom w:val="single" w:color="auto" w:sz="8" w:space="0"/>
        <w:right w:val="single" w:color="auto" w:sz="8" w:space="0"/>
      </w:pBdr>
      <w:spacing w:before="100" w:beforeAutospacing="1" w:after="100" w:afterAutospacing="1"/>
      <w:jc w:val="center"/>
      <w:textAlignment w:val="center"/>
    </w:pPr>
    <w:rPr>
      <w:rFonts w:ascii="Times New Roman" w:hAnsi="Times New Roman" w:eastAsia="Times New Roman" w:cs="Times New Roman"/>
      <w:color w:val="000000"/>
      <w:lang w:eastAsia="es-CR"/>
    </w:rPr>
  </w:style>
  <w:style w:type="paragraph" w:styleId="xl97" w:customStyle="1">
    <w:name w:val="xl97"/>
    <w:basedOn w:val="Normal"/>
    <w:rsid w:val="00487DE0"/>
    <w:pPr>
      <w:pBdr>
        <w:bottom w:val="single" w:color="auto" w:sz="8" w:space="0"/>
      </w:pBdr>
      <w:shd w:val="clear" w:color="000000" w:fill="92CDDC"/>
      <w:spacing w:before="100" w:beforeAutospacing="1" w:after="100" w:afterAutospacing="1"/>
      <w:jc w:val="center"/>
      <w:textAlignment w:val="center"/>
    </w:pPr>
    <w:rPr>
      <w:rFonts w:ascii="Times New Roman" w:hAnsi="Times New Roman" w:eastAsia="Times New Roman" w:cs="Times New Roman"/>
      <w:b/>
      <w:bCs/>
      <w:lang w:eastAsia="es-CR"/>
    </w:rPr>
  </w:style>
  <w:style w:type="paragraph" w:styleId="xl98" w:customStyle="1">
    <w:name w:val="xl98"/>
    <w:basedOn w:val="Normal"/>
    <w:rsid w:val="00487DE0"/>
    <w:pPr>
      <w:pBdr>
        <w:left w:val="single" w:color="auto" w:sz="8" w:space="0"/>
        <w:bottom w:val="single" w:color="auto" w:sz="8" w:space="0"/>
        <w:right w:val="single" w:color="auto" w:sz="8" w:space="0"/>
      </w:pBdr>
      <w:shd w:val="clear" w:color="000000" w:fill="92CDDC"/>
      <w:spacing w:before="100" w:beforeAutospacing="1" w:after="100" w:afterAutospacing="1"/>
      <w:jc w:val="center"/>
      <w:textAlignment w:val="center"/>
    </w:pPr>
    <w:rPr>
      <w:rFonts w:ascii="Times New Roman" w:hAnsi="Times New Roman" w:eastAsia="Times New Roman" w:cs="Times New Roman"/>
      <w:b/>
      <w:bCs/>
      <w:lang w:eastAsia="es-CR"/>
    </w:rPr>
  </w:style>
  <w:style w:type="paragraph" w:styleId="xl99" w:customStyle="1">
    <w:name w:val="xl99"/>
    <w:basedOn w:val="Normal"/>
    <w:rsid w:val="00487DE0"/>
    <w:pPr>
      <w:pBdr>
        <w:bottom w:val="single" w:color="auto" w:sz="8" w:space="0"/>
        <w:right w:val="single" w:color="auto" w:sz="8" w:space="0"/>
      </w:pBdr>
      <w:shd w:val="clear" w:color="000000" w:fill="FFFFFF"/>
      <w:spacing w:before="100" w:beforeAutospacing="1" w:after="100" w:afterAutospacing="1"/>
      <w:jc w:val="center"/>
      <w:textAlignment w:val="center"/>
    </w:pPr>
    <w:rPr>
      <w:rFonts w:ascii="Times New Roman" w:hAnsi="Times New Roman" w:eastAsia="Times New Roman" w:cs="Times New Roman"/>
      <w:lang w:eastAsia="es-CR"/>
    </w:rPr>
  </w:style>
  <w:style w:type="paragraph" w:styleId="xl118" w:customStyle="1">
    <w:name w:val="xl118"/>
    <w:basedOn w:val="Normal"/>
    <w:rsid w:val="00487DE0"/>
    <w:pPr>
      <w:spacing w:before="100" w:beforeAutospacing="1" w:after="100" w:afterAutospacing="1"/>
    </w:pPr>
    <w:rPr>
      <w:rFonts w:ascii="Arial" w:hAnsi="Arial" w:eastAsia="Times New Roman" w:cs="Arial"/>
      <w:sz w:val="16"/>
      <w:szCs w:val="16"/>
      <w:lang w:eastAsia="es-CR"/>
    </w:rPr>
  </w:style>
  <w:style w:type="paragraph" w:styleId="xl119" w:customStyle="1">
    <w:name w:val="xl119"/>
    <w:basedOn w:val="Normal"/>
    <w:rsid w:val="00487DE0"/>
    <w:pPr>
      <w:spacing w:before="100" w:beforeAutospacing="1" w:after="100" w:afterAutospacing="1"/>
    </w:pPr>
    <w:rPr>
      <w:rFonts w:ascii="Arial" w:hAnsi="Arial" w:eastAsia="Times New Roman" w:cs="Arial"/>
      <w:b/>
      <w:bCs/>
      <w:sz w:val="16"/>
      <w:szCs w:val="16"/>
      <w:lang w:eastAsia="es-CR"/>
    </w:rPr>
  </w:style>
  <w:style w:type="paragraph" w:styleId="xl120" w:customStyle="1">
    <w:name w:val="xl120"/>
    <w:basedOn w:val="Normal"/>
    <w:rsid w:val="00487DE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w:hAnsi="Arial" w:eastAsia="Times New Roman" w:cs="Arial"/>
      <w:color w:val="000000"/>
      <w:sz w:val="16"/>
      <w:szCs w:val="16"/>
      <w:lang w:eastAsia="es-CR"/>
    </w:rPr>
  </w:style>
  <w:style w:type="paragraph" w:styleId="xl121" w:customStyle="1">
    <w:name w:val="xl121"/>
    <w:basedOn w:val="Normal"/>
    <w:rsid w:val="00487DE0"/>
    <w:pPr>
      <w:pBdr>
        <w:top w:val="single" w:color="auto" w:sz="4" w:space="0"/>
        <w:left w:val="single" w:color="auto" w:sz="4" w:space="0"/>
        <w:bottom w:val="single" w:color="auto" w:sz="4" w:space="0"/>
        <w:right w:val="single" w:color="auto" w:sz="4" w:space="0"/>
      </w:pBdr>
      <w:shd w:val="clear" w:color="C0C0C0" w:fill="4F81BD"/>
      <w:spacing w:before="100" w:beforeAutospacing="1" w:after="100" w:afterAutospacing="1"/>
      <w:textAlignment w:val="center"/>
    </w:pPr>
    <w:rPr>
      <w:rFonts w:ascii="Arial" w:hAnsi="Arial" w:eastAsia="Times New Roman" w:cs="Arial"/>
      <w:b/>
      <w:bCs/>
      <w:sz w:val="16"/>
      <w:szCs w:val="16"/>
      <w:lang w:eastAsia="es-CR"/>
    </w:rPr>
  </w:style>
  <w:style w:type="paragraph" w:styleId="xl122" w:customStyle="1">
    <w:name w:val="xl122"/>
    <w:basedOn w:val="Normal"/>
    <w:rsid w:val="00487DE0"/>
    <w:pPr>
      <w:pBdr>
        <w:top w:val="single" w:color="auto" w:sz="4" w:space="0"/>
        <w:left w:val="single" w:color="auto" w:sz="4" w:space="0"/>
        <w:bottom w:val="single" w:color="auto" w:sz="4" w:space="0"/>
        <w:right w:val="single" w:color="auto" w:sz="4" w:space="0"/>
      </w:pBdr>
      <w:shd w:val="clear" w:color="000000" w:fill="4F81BD"/>
      <w:spacing w:before="100" w:beforeAutospacing="1" w:after="100" w:afterAutospacing="1"/>
      <w:jc w:val="center"/>
    </w:pPr>
    <w:rPr>
      <w:rFonts w:ascii="Arial" w:hAnsi="Arial" w:eastAsia="Times New Roman" w:cs="Arial"/>
      <w:b/>
      <w:bCs/>
      <w:sz w:val="16"/>
      <w:szCs w:val="16"/>
      <w:lang w:eastAsia="es-CR"/>
    </w:rPr>
  </w:style>
  <w:style w:type="paragraph" w:styleId="xl123" w:customStyle="1">
    <w:name w:val="xl123"/>
    <w:basedOn w:val="Normal"/>
    <w:rsid w:val="00487DE0"/>
    <w:pPr>
      <w:spacing w:before="100" w:beforeAutospacing="1" w:after="100" w:afterAutospacing="1"/>
      <w:jc w:val="center"/>
    </w:pPr>
    <w:rPr>
      <w:rFonts w:ascii="Arial" w:hAnsi="Arial" w:eastAsia="Times New Roman" w:cs="Arial"/>
      <w:sz w:val="16"/>
      <w:szCs w:val="16"/>
      <w:lang w:eastAsia="es-CR"/>
    </w:rPr>
  </w:style>
  <w:style w:type="paragraph" w:styleId="xl124" w:customStyle="1">
    <w:name w:val="xl124"/>
    <w:basedOn w:val="Normal"/>
    <w:rsid w:val="00487DE0"/>
    <w:pPr>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center"/>
    </w:pPr>
    <w:rPr>
      <w:rFonts w:ascii="Arial" w:hAnsi="Arial" w:eastAsia="Times New Roman" w:cs="Arial"/>
      <w:b/>
      <w:bCs/>
      <w:sz w:val="16"/>
      <w:szCs w:val="16"/>
      <w:lang w:eastAsia="es-CR"/>
    </w:rPr>
  </w:style>
  <w:style w:type="paragraph" w:styleId="xl125" w:customStyle="1">
    <w:name w:val="xl125"/>
    <w:basedOn w:val="Normal"/>
    <w:rsid w:val="00487DE0"/>
    <w:pPr>
      <w:pBdr>
        <w:top w:val="single" w:color="auto" w:sz="4" w:space="0"/>
        <w:left w:val="single" w:color="auto" w:sz="4" w:space="0"/>
        <w:bottom w:val="single" w:color="auto" w:sz="4" w:space="0"/>
        <w:right w:val="single" w:color="auto" w:sz="4" w:space="0"/>
      </w:pBdr>
      <w:shd w:val="clear" w:color="000000" w:fill="4F81BD"/>
      <w:spacing w:before="100" w:beforeAutospacing="1" w:after="100" w:afterAutospacing="1"/>
      <w:jc w:val="center"/>
    </w:pPr>
    <w:rPr>
      <w:rFonts w:ascii="Arial" w:hAnsi="Arial" w:eastAsia="Times New Roman" w:cs="Arial"/>
      <w:b/>
      <w:bCs/>
      <w:sz w:val="20"/>
      <w:szCs w:val="20"/>
      <w:lang w:eastAsia="es-CR"/>
    </w:rPr>
  </w:style>
  <w:style w:type="paragraph" w:styleId="xl126" w:customStyle="1">
    <w:name w:val="xl126"/>
    <w:basedOn w:val="Normal"/>
    <w:rsid w:val="00487DE0"/>
    <w:pPr>
      <w:pBdr>
        <w:top w:val="single" w:color="auto" w:sz="4" w:space="0"/>
        <w:left w:val="single" w:color="auto" w:sz="4" w:space="0"/>
        <w:bottom w:val="single" w:color="auto" w:sz="4" w:space="0"/>
        <w:right w:val="single" w:color="auto" w:sz="4" w:space="0"/>
      </w:pBdr>
      <w:shd w:val="clear" w:color="C0C0C0" w:fill="4F81BD"/>
      <w:spacing w:before="100" w:beforeAutospacing="1" w:after="100" w:afterAutospacing="1"/>
      <w:jc w:val="center"/>
      <w:textAlignment w:val="center"/>
    </w:pPr>
    <w:rPr>
      <w:rFonts w:ascii="Arial" w:hAnsi="Arial" w:eastAsia="Times New Roman" w:cs="Arial"/>
      <w:b/>
      <w:bCs/>
      <w:sz w:val="20"/>
      <w:szCs w:val="20"/>
      <w:lang w:eastAsia="es-CR"/>
    </w:rPr>
  </w:style>
  <w:style w:type="paragraph" w:styleId="xl127" w:customStyle="1">
    <w:name w:val="xl127"/>
    <w:basedOn w:val="Normal"/>
    <w:rsid w:val="00487DE0"/>
    <w:pPr>
      <w:pBdr>
        <w:top w:val="single" w:color="auto" w:sz="4" w:space="0"/>
        <w:left w:val="single" w:color="auto" w:sz="4" w:space="0"/>
        <w:bottom w:val="single" w:color="auto" w:sz="4" w:space="0"/>
        <w:right w:val="single" w:color="auto" w:sz="4" w:space="0"/>
      </w:pBdr>
      <w:shd w:val="clear" w:color="000000" w:fill="4F81BD"/>
      <w:spacing w:before="100" w:beforeAutospacing="1" w:after="100" w:afterAutospacing="1"/>
      <w:jc w:val="center"/>
      <w:textAlignment w:val="center"/>
    </w:pPr>
    <w:rPr>
      <w:rFonts w:ascii="Arial" w:hAnsi="Arial" w:eastAsia="Times New Roman" w:cs="Arial"/>
      <w:b/>
      <w:bCs/>
      <w:sz w:val="20"/>
      <w:szCs w:val="20"/>
      <w:lang w:eastAsia="es-CR"/>
    </w:rPr>
  </w:style>
  <w:style w:type="paragraph" w:styleId="xl128" w:customStyle="1">
    <w:name w:val="xl128"/>
    <w:basedOn w:val="Normal"/>
    <w:rsid w:val="00487DE0"/>
    <w:pPr>
      <w:pBdr>
        <w:top w:val="single" w:color="auto" w:sz="4" w:space="0"/>
        <w:left w:val="single" w:color="auto" w:sz="4" w:space="0"/>
        <w:bottom w:val="single" w:color="auto" w:sz="4" w:space="0"/>
        <w:right w:val="single" w:color="auto" w:sz="4" w:space="0"/>
      </w:pBdr>
      <w:shd w:val="clear" w:color="C0C0C0" w:fill="4F81BD"/>
      <w:spacing w:before="100" w:beforeAutospacing="1" w:after="100" w:afterAutospacing="1"/>
      <w:jc w:val="center"/>
      <w:textAlignment w:val="center"/>
    </w:pPr>
    <w:rPr>
      <w:rFonts w:ascii="Arial" w:hAnsi="Arial" w:eastAsia="Times New Roman" w:cs="Arial"/>
      <w:b/>
      <w:bCs/>
      <w:sz w:val="20"/>
      <w:szCs w:val="20"/>
      <w:lang w:eastAsia="es-CR"/>
    </w:rPr>
  </w:style>
  <w:style w:type="paragraph" w:styleId="xl129" w:customStyle="1">
    <w:name w:val="xl129"/>
    <w:basedOn w:val="Normal"/>
    <w:rsid w:val="00487DE0"/>
    <w:pPr>
      <w:pBdr>
        <w:top w:val="single" w:color="auto" w:sz="4" w:space="0"/>
        <w:left w:val="single" w:color="auto" w:sz="4" w:space="0"/>
        <w:bottom w:val="single" w:color="auto" w:sz="4" w:space="0"/>
        <w:right w:val="single" w:color="auto" w:sz="4" w:space="0"/>
      </w:pBdr>
      <w:shd w:val="clear" w:color="000000" w:fill="4F81BD"/>
      <w:spacing w:before="100" w:beforeAutospacing="1" w:after="100" w:afterAutospacing="1"/>
      <w:jc w:val="center"/>
      <w:textAlignment w:val="center"/>
    </w:pPr>
    <w:rPr>
      <w:rFonts w:ascii="Arial" w:hAnsi="Arial" w:eastAsia="Times New Roman" w:cs="Arial"/>
      <w:b/>
      <w:bCs/>
      <w:sz w:val="20"/>
      <w:szCs w:val="20"/>
      <w:lang w:eastAsia="es-CR"/>
    </w:rPr>
  </w:style>
  <w:style w:type="paragraph" w:styleId="xl130" w:customStyle="1">
    <w:name w:val="xl130"/>
    <w:basedOn w:val="Normal"/>
    <w:rsid w:val="00487DE0"/>
    <w:pPr>
      <w:pBdr>
        <w:top w:val="single" w:color="auto" w:sz="4" w:space="0"/>
        <w:left w:val="single" w:color="auto" w:sz="4" w:space="0"/>
        <w:bottom w:val="single" w:color="auto" w:sz="4" w:space="0"/>
        <w:right w:val="single" w:color="auto" w:sz="4" w:space="0"/>
      </w:pBdr>
      <w:shd w:val="clear" w:color="C0C0C0" w:fill="4F81BD"/>
      <w:spacing w:before="100" w:beforeAutospacing="1" w:after="100" w:afterAutospacing="1"/>
      <w:jc w:val="center"/>
      <w:textAlignment w:val="center"/>
    </w:pPr>
    <w:rPr>
      <w:rFonts w:ascii="Arial" w:hAnsi="Arial" w:eastAsia="Times New Roman" w:cs="Arial"/>
      <w:b/>
      <w:bCs/>
      <w:sz w:val="16"/>
      <w:szCs w:val="16"/>
      <w:lang w:eastAsia="es-CR"/>
    </w:rPr>
  </w:style>
  <w:style w:type="paragraph" w:styleId="xl131" w:customStyle="1">
    <w:name w:val="xl131"/>
    <w:basedOn w:val="Normal"/>
    <w:rsid w:val="00487DE0"/>
    <w:pPr>
      <w:pBdr>
        <w:top w:val="single" w:color="auto" w:sz="4" w:space="0"/>
        <w:left w:val="single" w:color="auto" w:sz="4" w:space="0"/>
        <w:bottom w:val="single" w:color="auto" w:sz="4" w:space="0"/>
        <w:right w:val="single" w:color="auto" w:sz="4" w:space="0"/>
      </w:pBdr>
      <w:shd w:val="clear" w:color="000000" w:fill="4F81BD"/>
      <w:spacing w:before="100" w:beforeAutospacing="1" w:after="100" w:afterAutospacing="1"/>
      <w:jc w:val="center"/>
      <w:textAlignment w:val="center"/>
    </w:pPr>
    <w:rPr>
      <w:rFonts w:ascii="Arial" w:hAnsi="Arial" w:eastAsia="Times New Roman" w:cs="Arial"/>
      <w:b/>
      <w:bCs/>
      <w:sz w:val="16"/>
      <w:szCs w:val="16"/>
      <w:lang w:eastAsia="es-CR"/>
    </w:rPr>
  </w:style>
  <w:style w:type="paragraph" w:styleId="xl132" w:customStyle="1">
    <w:name w:val="xl132"/>
    <w:basedOn w:val="Normal"/>
    <w:rsid w:val="00487DE0"/>
    <w:pPr>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center"/>
      <w:textAlignment w:val="center"/>
    </w:pPr>
    <w:rPr>
      <w:rFonts w:ascii="Arial" w:hAnsi="Arial" w:eastAsia="Times New Roman" w:cs="Arial"/>
      <w:b/>
      <w:bCs/>
      <w:sz w:val="16"/>
      <w:szCs w:val="16"/>
      <w:lang w:eastAsia="es-CR"/>
    </w:rPr>
  </w:style>
  <w:style w:type="paragraph" w:styleId="xl133" w:customStyle="1">
    <w:name w:val="xl133"/>
    <w:basedOn w:val="Normal"/>
    <w:rsid w:val="00487DE0"/>
    <w:pPr>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center"/>
      <w:textAlignment w:val="center"/>
    </w:pPr>
    <w:rPr>
      <w:rFonts w:ascii="Arial" w:hAnsi="Arial" w:eastAsia="Times New Roman" w:cs="Arial"/>
      <w:b/>
      <w:bCs/>
      <w:sz w:val="16"/>
      <w:szCs w:val="16"/>
      <w:lang w:eastAsia="es-CR"/>
    </w:rPr>
  </w:style>
  <w:style w:type="paragraph" w:styleId="xl134" w:customStyle="1">
    <w:name w:val="xl134"/>
    <w:basedOn w:val="Normal"/>
    <w:rsid w:val="00487DE0"/>
    <w:pPr>
      <w:pBdr>
        <w:top w:val="single" w:color="auto" w:sz="4" w:space="0"/>
        <w:left w:val="single" w:color="auto" w:sz="4" w:space="0"/>
        <w:bottom w:val="single" w:color="auto" w:sz="4" w:space="0"/>
        <w:right w:val="single" w:color="auto" w:sz="4" w:space="0"/>
      </w:pBdr>
      <w:shd w:val="clear" w:color="000000" w:fill="4F81BD"/>
      <w:spacing w:before="100" w:beforeAutospacing="1" w:after="100" w:afterAutospacing="1"/>
    </w:pPr>
    <w:rPr>
      <w:rFonts w:ascii="Arial" w:hAnsi="Arial" w:eastAsia="Times New Roman" w:cs="Arial"/>
      <w:b/>
      <w:bCs/>
      <w:sz w:val="12"/>
      <w:szCs w:val="12"/>
      <w:lang w:eastAsia="es-CR"/>
    </w:rPr>
  </w:style>
  <w:style w:type="paragraph" w:styleId="xl135" w:customStyle="1">
    <w:name w:val="xl135"/>
    <w:basedOn w:val="Normal"/>
    <w:rsid w:val="00487DE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ascii="Arial" w:hAnsi="Arial" w:eastAsia="Times New Roman" w:cs="Arial"/>
      <w:color w:val="000000"/>
      <w:sz w:val="14"/>
      <w:szCs w:val="14"/>
      <w:lang w:eastAsia="es-CR"/>
    </w:rPr>
  </w:style>
  <w:style w:type="paragraph" w:styleId="xl136" w:customStyle="1">
    <w:name w:val="xl136"/>
    <w:basedOn w:val="Normal"/>
    <w:rsid w:val="00487DE0"/>
    <w:pPr>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Arial" w:hAnsi="Arial" w:eastAsia="Times New Roman" w:cs="Arial"/>
      <w:color w:val="000000"/>
      <w:sz w:val="16"/>
      <w:szCs w:val="16"/>
      <w:lang w:eastAsia="es-CR"/>
    </w:rPr>
  </w:style>
  <w:style w:type="paragraph" w:styleId="xl137" w:customStyle="1">
    <w:name w:val="xl137"/>
    <w:basedOn w:val="Normal"/>
    <w:rsid w:val="00487DE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ascii="Arial" w:hAnsi="Arial" w:eastAsia="Times New Roman" w:cs="Arial"/>
      <w:color w:val="000000"/>
      <w:sz w:val="12"/>
      <w:szCs w:val="12"/>
      <w:lang w:eastAsia="es-CR"/>
    </w:rPr>
  </w:style>
  <w:style w:type="paragraph" w:styleId="xl138" w:customStyle="1">
    <w:name w:val="xl138"/>
    <w:basedOn w:val="Normal"/>
    <w:rsid w:val="00487DE0"/>
    <w:pPr>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center"/>
      <w:textAlignment w:val="center"/>
    </w:pPr>
    <w:rPr>
      <w:rFonts w:ascii="Arial" w:hAnsi="Arial" w:eastAsia="Times New Roman" w:cs="Arial"/>
      <w:b/>
      <w:bCs/>
      <w:sz w:val="20"/>
      <w:szCs w:val="20"/>
      <w:lang w:eastAsia="es-CR"/>
    </w:rPr>
  </w:style>
  <w:style w:type="paragraph" w:styleId="xl139" w:customStyle="1">
    <w:name w:val="xl139"/>
    <w:basedOn w:val="Normal"/>
    <w:rsid w:val="00487DE0"/>
    <w:pPr>
      <w:pBdr>
        <w:top w:val="single" w:color="auto" w:sz="4" w:space="0"/>
        <w:left w:val="single" w:color="auto" w:sz="4" w:space="0"/>
        <w:bottom w:val="single" w:color="auto" w:sz="4" w:space="0"/>
      </w:pBdr>
      <w:shd w:val="clear" w:color="C0C0C0" w:fill="4F81BD"/>
      <w:spacing w:before="100" w:beforeAutospacing="1" w:after="100" w:afterAutospacing="1"/>
      <w:textAlignment w:val="center"/>
    </w:pPr>
    <w:rPr>
      <w:rFonts w:ascii="Arial" w:hAnsi="Arial" w:eastAsia="Times New Roman" w:cs="Arial"/>
      <w:b/>
      <w:bCs/>
      <w:sz w:val="20"/>
      <w:szCs w:val="20"/>
      <w:lang w:eastAsia="es-CR"/>
    </w:rPr>
  </w:style>
  <w:style w:type="paragraph" w:styleId="xl140" w:customStyle="1">
    <w:name w:val="xl140"/>
    <w:basedOn w:val="Normal"/>
    <w:rsid w:val="00487DE0"/>
    <w:pPr>
      <w:pBdr>
        <w:top w:val="single" w:color="auto" w:sz="4" w:space="0"/>
        <w:bottom w:val="single" w:color="auto" w:sz="4" w:space="0"/>
        <w:right w:val="single" w:color="auto" w:sz="4" w:space="0"/>
      </w:pBdr>
      <w:shd w:val="clear" w:color="C0C0C0" w:fill="4F81BD"/>
      <w:spacing w:before="100" w:beforeAutospacing="1" w:after="100" w:afterAutospacing="1"/>
      <w:textAlignment w:val="center"/>
    </w:pPr>
    <w:rPr>
      <w:rFonts w:ascii="Arial" w:hAnsi="Arial" w:eastAsia="Times New Roman" w:cs="Arial"/>
      <w:b/>
      <w:bCs/>
      <w:sz w:val="20"/>
      <w:szCs w:val="20"/>
      <w:lang w:eastAsia="es-CR"/>
    </w:rPr>
  </w:style>
  <w:style w:type="paragraph" w:styleId="xxxmsonormal" w:customStyle="1">
    <w:name w:val="x_xxmsonormal"/>
    <w:basedOn w:val="Normal"/>
    <w:uiPriority w:val="99"/>
    <w:rsid w:val="00487DE0"/>
    <w:pPr>
      <w:spacing w:before="100" w:beforeAutospacing="1" w:after="100" w:afterAutospacing="1"/>
    </w:pPr>
    <w:rPr>
      <w:lang w:eastAsia="es-CR"/>
    </w:rPr>
  </w:style>
  <w:style w:type="character" w:styleId="Smbolodenotaalpie" w:customStyle="1">
    <w:name w:val="Símbolo de nota al pie"/>
    <w:basedOn w:val="Fuentedeprrafopredeter"/>
    <w:rsid w:val="00487DE0"/>
    <w:rPr>
      <w:rFonts w:hint="default" w:ascii="Times New Roman" w:hAnsi="Times New Roman" w:cs="Times New Roman"/>
      <w:vertAlign w:val="superscript"/>
    </w:rPr>
  </w:style>
  <w:style w:type="paragraph" w:styleId="Normal2" w:customStyle="1">
    <w:name w:val="Normal2"/>
    <w:rsid w:val="00487DE0"/>
    <w:pPr>
      <w:suppressAutoHyphens/>
      <w:spacing w:after="0" w:line="240" w:lineRule="auto"/>
    </w:pPr>
    <w:rPr>
      <w:rFonts w:ascii="Times New Roman" w:hAnsi="Times New Roman" w:eastAsia="Times New Roman" w:cs="Times New Roman"/>
      <w:sz w:val="24"/>
      <w:szCs w:val="20"/>
      <w:lang w:val="es-ES" w:eastAsia="es-CR"/>
    </w:rPr>
  </w:style>
  <w:style w:type="table" w:styleId="Tablaconcuadrcula1" w:customStyle="1">
    <w:name w:val="Tabla con cuadrícula1"/>
    <w:basedOn w:val="Tablanormal"/>
    <w:next w:val="Tablaconcuadrcula"/>
    <w:uiPriority w:val="39"/>
    <w:rsid w:val="00487DE0"/>
    <w:pPr>
      <w:spacing w:after="0" w:line="240" w:lineRule="auto"/>
    </w:pPr>
    <w:rPr>
      <w:rFonts w:ascii="Times New Roman" w:hAnsi="Times New Roman" w:eastAsia="Times New Roman" w:cs="Times New Roman"/>
      <w:sz w:val="20"/>
      <w:szCs w:val="20"/>
      <w:lang w:eastAsia="es-CR"/>
    </w:rPr>
    <w:tblPr>
      <w:tblInd w:w="0" w:type="nil"/>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487DE0"/>
    <w:pPr>
      <w:spacing w:after="0" w:line="240" w:lineRule="auto"/>
    </w:pPr>
    <w:rPr>
      <w:rFonts w:ascii="Calibri" w:hAnsi="Calibri" w:eastAsia="Calibri" w:cs="Times New Roman"/>
    </w:rPr>
  </w:style>
  <w:style w:type="paragraph" w:styleId="z-Principiodelformulario">
    <w:name w:val="HTML Top of Form"/>
    <w:basedOn w:val="Normal"/>
    <w:next w:val="Normal"/>
    <w:link w:val="z-PrincipiodelformularioCar"/>
    <w:hidden/>
    <w:uiPriority w:val="99"/>
    <w:semiHidden/>
    <w:unhideWhenUsed/>
    <w:rsid w:val="00487DE0"/>
    <w:pPr>
      <w:pBdr>
        <w:bottom w:val="single" w:color="auto" w:sz="6" w:space="1"/>
      </w:pBdr>
      <w:jc w:val="center"/>
    </w:pPr>
    <w:rPr>
      <w:rFonts w:ascii="Arial" w:hAnsi="Arial" w:eastAsia="Times New Roman" w:cs="Arial"/>
      <w:vanish/>
      <w:sz w:val="16"/>
      <w:szCs w:val="16"/>
      <w:lang w:eastAsia="es-CR"/>
    </w:rPr>
  </w:style>
  <w:style w:type="character" w:styleId="z-PrincipiodelformularioCar" w:customStyle="1">
    <w:name w:val="z-Principio del formulario Car"/>
    <w:basedOn w:val="Fuentedeprrafopredeter"/>
    <w:link w:val="z-Principiodelformulario"/>
    <w:uiPriority w:val="99"/>
    <w:semiHidden/>
    <w:rsid w:val="00487DE0"/>
    <w:rPr>
      <w:rFonts w:ascii="Arial" w:hAnsi="Arial" w:eastAsia="Times New Roman" w:cs="Arial"/>
      <w:vanish/>
      <w:sz w:val="16"/>
      <w:szCs w:val="16"/>
      <w:lang w:eastAsia="es-CR"/>
    </w:rPr>
  </w:style>
  <w:style w:type="paragraph" w:styleId="z-Finaldelformulario">
    <w:name w:val="HTML Bottom of Form"/>
    <w:basedOn w:val="Normal"/>
    <w:next w:val="Normal"/>
    <w:link w:val="z-FinaldelformularioCar"/>
    <w:hidden/>
    <w:uiPriority w:val="99"/>
    <w:semiHidden/>
    <w:unhideWhenUsed/>
    <w:rsid w:val="00487DE0"/>
    <w:pPr>
      <w:pBdr>
        <w:top w:val="single" w:color="auto" w:sz="6" w:space="1"/>
      </w:pBdr>
      <w:jc w:val="center"/>
    </w:pPr>
    <w:rPr>
      <w:rFonts w:ascii="Arial" w:hAnsi="Arial" w:eastAsia="Times New Roman" w:cs="Arial"/>
      <w:vanish/>
      <w:sz w:val="16"/>
      <w:szCs w:val="16"/>
      <w:lang w:eastAsia="es-CR"/>
    </w:rPr>
  </w:style>
  <w:style w:type="character" w:styleId="z-FinaldelformularioCar" w:customStyle="1">
    <w:name w:val="z-Final del formulario Car"/>
    <w:basedOn w:val="Fuentedeprrafopredeter"/>
    <w:link w:val="z-Finaldelformulario"/>
    <w:uiPriority w:val="99"/>
    <w:semiHidden/>
    <w:rsid w:val="00487DE0"/>
    <w:rPr>
      <w:rFonts w:ascii="Arial" w:hAnsi="Arial" w:eastAsia="Times New Roman" w:cs="Arial"/>
      <w:vanish/>
      <w:sz w:val="16"/>
      <w:szCs w:val="16"/>
      <w:lang w:eastAsia="es-CR"/>
    </w:rPr>
  </w:style>
  <w:style w:type="paragraph" w:styleId="Predeterminado" w:customStyle="1">
    <w:name w:val="Predeterminado"/>
    <w:qFormat/>
    <w:rsid w:val="00487DE0"/>
    <w:pPr>
      <w:suppressAutoHyphens/>
      <w:spacing w:after="0" w:line="240" w:lineRule="auto"/>
    </w:pPr>
    <w:rPr>
      <w:rFonts w:ascii="Arial" w:hAnsi="Arial" w:eastAsia="Courier New" w:cs="Wingdings"/>
      <w:kern w:val="1"/>
      <w:sz w:val="24"/>
      <w:szCs w:val="24"/>
      <w:lang w:eastAsia="zh-CN" w:bidi="hi-IN"/>
    </w:rPr>
  </w:style>
  <w:style w:type="paragraph" w:styleId="Textoindependiente31" w:customStyle="1">
    <w:name w:val="Texto independiente 31"/>
    <w:rsid w:val="00487DE0"/>
    <w:pPr>
      <w:suppressAutoHyphens/>
      <w:spacing w:after="0" w:line="240" w:lineRule="auto"/>
      <w:jc w:val="both"/>
    </w:pPr>
    <w:rPr>
      <w:rFonts w:ascii="Arial" w:hAnsi="Arial" w:eastAsia="Courier New" w:cs="Wingdings"/>
      <w:kern w:val="1"/>
      <w:sz w:val="24"/>
      <w:szCs w:val="24"/>
      <w:lang w:eastAsia="zh-CN" w:bidi="hi-IN"/>
    </w:rPr>
  </w:style>
  <w:style w:type="paragraph" w:styleId="xmsolistparagraph" w:customStyle="1">
    <w:name w:val="x_msolistparagraph"/>
    <w:basedOn w:val="Normal"/>
    <w:rsid w:val="00487DE0"/>
    <w:rPr>
      <w:rFonts w:eastAsia="SimSun"/>
      <w:lang w:val="es-ES" w:eastAsia="es-ES"/>
    </w:rPr>
  </w:style>
  <w:style w:type="paragraph" w:styleId="paragraph" w:customStyle="1">
    <w:name w:val="paragraph"/>
    <w:basedOn w:val="Normal"/>
    <w:qFormat/>
    <w:rsid w:val="00487DE0"/>
    <w:pPr>
      <w:spacing w:before="100" w:beforeAutospacing="1" w:after="100" w:afterAutospacing="1"/>
    </w:pPr>
    <w:rPr>
      <w:rFonts w:ascii="Times New Roman" w:hAnsi="Times New Roman" w:eastAsia="Times New Roman" w:cs="Times New Roman"/>
      <w:sz w:val="24"/>
      <w:szCs w:val="24"/>
      <w:lang w:eastAsia="es-CR"/>
    </w:rPr>
  </w:style>
  <w:style w:type="character" w:styleId="eop" w:customStyle="1">
    <w:name w:val="eop"/>
    <w:basedOn w:val="Fuentedeprrafopredeter"/>
    <w:rsid w:val="00487DE0"/>
  </w:style>
  <w:style w:type="character" w:styleId="PuestoCar" w:customStyle="1">
    <w:name w:val="Puesto Car"/>
    <w:locked/>
    <w:rsid w:val="00487DE0"/>
    <w:rPr>
      <w:rFonts w:ascii="Arial" w:hAnsi="Arial"/>
      <w:b/>
      <w:bCs/>
      <w:sz w:val="36"/>
      <w:szCs w:val="36"/>
      <w:lang w:val="es-CR" w:eastAsia="es-ES" w:bidi="ar-SA"/>
    </w:rPr>
  </w:style>
  <w:style w:type="paragraph" w:styleId="Cita">
    <w:name w:val="Quote"/>
    <w:basedOn w:val="Normal"/>
    <w:next w:val="Normal"/>
    <w:link w:val="CitaCar"/>
    <w:uiPriority w:val="29"/>
    <w:qFormat/>
    <w:rsid w:val="00487DE0"/>
    <w:pPr>
      <w:spacing w:before="120" w:after="120" w:line="259" w:lineRule="auto"/>
      <w:ind w:left="720"/>
    </w:pPr>
    <w:rPr>
      <w:rFonts w:asciiTheme="minorHAnsi" w:hAnsiTheme="minorHAnsi" w:eastAsiaTheme="minorEastAsia" w:cstheme="minorBidi"/>
      <w:color w:val="44546A" w:themeColor="text2"/>
      <w:sz w:val="24"/>
      <w:szCs w:val="24"/>
    </w:rPr>
  </w:style>
  <w:style w:type="character" w:styleId="CitaCar" w:customStyle="1">
    <w:name w:val="Cita Car"/>
    <w:basedOn w:val="Fuentedeprrafopredeter"/>
    <w:link w:val="Cita"/>
    <w:uiPriority w:val="29"/>
    <w:rsid w:val="00487DE0"/>
    <w:rPr>
      <w:rFonts w:eastAsiaTheme="minorEastAsia"/>
      <w:color w:val="44546A" w:themeColor="text2"/>
      <w:sz w:val="24"/>
      <w:szCs w:val="24"/>
    </w:rPr>
  </w:style>
  <w:style w:type="paragraph" w:styleId="Citadestacada">
    <w:name w:val="Intense Quote"/>
    <w:basedOn w:val="Normal"/>
    <w:next w:val="Normal"/>
    <w:link w:val="CitadestacadaCar"/>
    <w:uiPriority w:val="30"/>
    <w:qFormat/>
    <w:rsid w:val="00487DE0"/>
    <w:pPr>
      <w:spacing w:before="100" w:beforeAutospacing="1" w:after="240"/>
      <w:ind w:left="720"/>
      <w:jc w:val="center"/>
    </w:pPr>
    <w:rPr>
      <w:rFonts w:asciiTheme="majorHAnsi" w:hAnsiTheme="majorHAnsi" w:eastAsiaTheme="majorEastAsia" w:cstheme="majorBidi"/>
      <w:color w:val="44546A" w:themeColor="text2"/>
      <w:spacing w:val="-6"/>
      <w:sz w:val="32"/>
      <w:szCs w:val="32"/>
    </w:rPr>
  </w:style>
  <w:style w:type="character" w:styleId="CitadestacadaCar" w:customStyle="1">
    <w:name w:val="Cita destacada Car"/>
    <w:basedOn w:val="Fuentedeprrafopredeter"/>
    <w:link w:val="Citadestacada"/>
    <w:uiPriority w:val="30"/>
    <w:rsid w:val="00487DE0"/>
    <w:rPr>
      <w:rFonts w:asciiTheme="majorHAnsi" w:hAnsiTheme="majorHAnsi" w:eastAsiaTheme="majorEastAsia" w:cstheme="majorBidi"/>
      <w:color w:val="44546A" w:themeColor="text2"/>
      <w:spacing w:val="-6"/>
      <w:sz w:val="32"/>
      <w:szCs w:val="32"/>
    </w:rPr>
  </w:style>
  <w:style w:type="character" w:styleId="nfasissutil">
    <w:name w:val="Subtle Emphasis"/>
    <w:basedOn w:val="Fuentedeprrafopredeter"/>
    <w:uiPriority w:val="19"/>
    <w:qFormat/>
    <w:rsid w:val="00487DE0"/>
    <w:rPr>
      <w:i/>
      <w:iCs/>
      <w:color w:val="595959" w:themeColor="text1" w:themeTint="A6"/>
    </w:rPr>
  </w:style>
  <w:style w:type="character" w:styleId="nfasisintenso">
    <w:name w:val="Intense Emphasis"/>
    <w:basedOn w:val="Fuentedeprrafopredeter"/>
    <w:uiPriority w:val="21"/>
    <w:qFormat/>
    <w:rsid w:val="00487DE0"/>
    <w:rPr>
      <w:b/>
      <w:bCs/>
      <w:i/>
      <w:iCs/>
    </w:rPr>
  </w:style>
  <w:style w:type="character" w:styleId="Referenciasutil">
    <w:name w:val="Subtle Reference"/>
    <w:basedOn w:val="Fuentedeprrafopredeter"/>
    <w:uiPriority w:val="31"/>
    <w:qFormat/>
    <w:rsid w:val="00487DE0"/>
    <w:rPr>
      <w:smallCaps/>
      <w:color w:val="595959" w:themeColor="text1" w:themeTint="A6"/>
      <w:u w:val="none" w:color="7F7F7F" w:themeColor="text1" w:themeTint="80"/>
      <w:bdr w:val="none" w:color="auto" w:sz="0" w:space="0"/>
    </w:rPr>
  </w:style>
  <w:style w:type="character" w:styleId="Referenciaintensa">
    <w:name w:val="Intense Reference"/>
    <w:basedOn w:val="Fuentedeprrafopredeter"/>
    <w:uiPriority w:val="32"/>
    <w:qFormat/>
    <w:rsid w:val="00487DE0"/>
    <w:rPr>
      <w:b/>
      <w:bCs/>
      <w:smallCaps/>
      <w:color w:val="44546A" w:themeColor="text2"/>
      <w:u w:val="single"/>
    </w:rPr>
  </w:style>
  <w:style w:type="character" w:styleId="Ttulodellibro">
    <w:name w:val="Book Title"/>
    <w:basedOn w:val="Fuentedeprrafopredeter"/>
    <w:uiPriority w:val="33"/>
    <w:qFormat/>
    <w:rsid w:val="00487DE0"/>
    <w:rPr>
      <w:b/>
      <w:bCs/>
      <w:smallCaps/>
      <w:spacing w:val="10"/>
    </w:rPr>
  </w:style>
  <w:style w:type="paragraph" w:styleId="TtuloTDC">
    <w:name w:val="TOC Heading"/>
    <w:basedOn w:val="Ttulo1"/>
    <w:next w:val="Normal"/>
    <w:uiPriority w:val="39"/>
    <w:unhideWhenUsed/>
    <w:qFormat/>
    <w:rsid w:val="00487DE0"/>
    <w:pPr>
      <w:keepLines/>
      <w:shd w:val="clear" w:color="auto" w:fill="auto"/>
      <w:autoSpaceDE/>
      <w:autoSpaceDN/>
      <w:spacing w:before="400" w:after="40"/>
      <w:jc w:val="left"/>
      <w:outlineLvl w:val="9"/>
    </w:pPr>
    <w:rPr>
      <w:rFonts w:asciiTheme="majorHAnsi" w:hAnsiTheme="majorHAnsi" w:eastAsiaTheme="majorEastAsia" w:cstheme="majorBidi"/>
      <w:color w:val="1F4E79" w:themeColor="accent1" w:themeShade="80"/>
      <w:sz w:val="36"/>
      <w:szCs w:val="36"/>
      <w:lang w:eastAsia="en-US"/>
    </w:rPr>
  </w:style>
  <w:style w:type="character" w:styleId="Ancladenotaalpie" w:customStyle="1">
    <w:name w:val="Ancla de nota al pie"/>
    <w:rsid w:val="00487DE0"/>
    <w:rPr>
      <w:vertAlign w:val="superscript"/>
    </w:rPr>
  </w:style>
  <w:style w:type="character" w:styleId="Caracteresdenotaalpie" w:customStyle="1">
    <w:name w:val="Caracteres de nota al pie"/>
    <w:qFormat/>
    <w:rsid w:val="00487DE0"/>
  </w:style>
  <w:style w:type="table" w:styleId="Tablaconcuadrcula4-nfasis11" w:customStyle="1">
    <w:name w:val="Tabla con cuadrícula 4 - Énfasis 11"/>
    <w:basedOn w:val="Tablanormal"/>
    <w:uiPriority w:val="49"/>
    <w:rsid w:val="00487DE0"/>
    <w:pPr>
      <w:spacing w:after="0" w:line="240" w:lineRule="auto"/>
    </w:pPr>
    <w:rPr>
      <w:sz w:val="24"/>
      <w:szCs w:val="24"/>
      <w:lang w:val="es-ES_tradnl"/>
    </w:rPr>
    <w:tblPr>
      <w:tblStyleRowBandSize w:val="1"/>
      <w:tblStyleColBandSize w:val="1"/>
      <w:tblBorders>
        <w:top w:val="single" w:color="9CC2E5" w:themeColor="accent1" w:themeTint="99" w:sz="4" w:space="0"/>
        <w:left w:val="single" w:color="9CC2E5" w:themeColor="accent1" w:themeTint="99" w:sz="4" w:space="0"/>
        <w:bottom w:val="single" w:color="9CC2E5" w:themeColor="accent1" w:themeTint="99" w:sz="4" w:space="0"/>
        <w:right w:val="single" w:color="9CC2E5" w:themeColor="accent1" w:themeTint="99" w:sz="4" w:space="0"/>
        <w:insideH w:val="single" w:color="9CC2E5" w:themeColor="accent1" w:themeTint="99" w:sz="4" w:space="0"/>
        <w:insideV w:val="single" w:color="9CC2E5" w:themeColor="accent1" w:themeTint="99" w:sz="4" w:space="0"/>
      </w:tblBorders>
    </w:tblPr>
    <w:tblStylePr w:type="firstRow">
      <w:rPr>
        <w:b/>
        <w:bCs/>
        <w:color w:val="FFFFFF" w:themeColor="background1"/>
      </w:rPr>
      <w:tblPr/>
      <w:tcPr>
        <w:tcBorders>
          <w:top w:val="single" w:color="5B9BD5" w:themeColor="accent1" w:sz="4" w:space="0"/>
          <w:left w:val="single" w:color="5B9BD5" w:themeColor="accent1" w:sz="4" w:space="0"/>
          <w:bottom w:val="single" w:color="5B9BD5" w:themeColor="accent1" w:sz="4" w:space="0"/>
          <w:right w:val="single" w:color="5B9BD5" w:themeColor="accent1" w:sz="4" w:space="0"/>
          <w:insideH w:val="nil"/>
          <w:insideV w:val="nil"/>
        </w:tcBorders>
        <w:shd w:val="clear" w:color="auto" w:fill="5B9BD5" w:themeFill="accent1"/>
      </w:tcPr>
    </w:tblStylePr>
    <w:tblStylePr w:type="lastRow">
      <w:rPr>
        <w:b/>
        <w:bCs/>
      </w:rPr>
      <w:tblPr/>
      <w:tcPr>
        <w:tcBorders>
          <w:top w:val="double" w:color="5B9BD5" w:themeColor="accent1" w:sz="4" w:space="0"/>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normaltextrun1" w:customStyle="1">
    <w:name w:val="normaltextrun1"/>
    <w:basedOn w:val="Fuentedeprrafopredeter"/>
    <w:qFormat/>
    <w:rsid w:val="00487DE0"/>
    <w:rPr>
      <w:rFonts w:ascii="Arial" w:hAnsi="Arial" w:cs="Arial"/>
    </w:rPr>
  </w:style>
  <w:style w:type="table" w:styleId="Tablaconcuadrcula1clara-nfasis1">
    <w:name w:val="Grid Table 1 Light Accent 1"/>
    <w:basedOn w:val="Tablanormal"/>
    <w:uiPriority w:val="46"/>
    <w:rsid w:val="00487DE0"/>
    <w:pPr>
      <w:spacing w:after="0" w:line="240" w:lineRule="auto"/>
    </w:pPr>
    <w:tblPr>
      <w:tblStyleRowBandSize w:val="1"/>
      <w:tblStyleColBandSize w:val="1"/>
      <w:tblBorders>
        <w:top w:val="single" w:color="BDD6EE" w:themeColor="accent1" w:themeTint="66" w:sz="4" w:space="0"/>
        <w:left w:val="single" w:color="BDD6EE" w:themeColor="accent1" w:themeTint="66" w:sz="4" w:space="0"/>
        <w:bottom w:val="single" w:color="BDD6EE" w:themeColor="accent1" w:themeTint="66" w:sz="4" w:space="0"/>
        <w:right w:val="single" w:color="BDD6EE" w:themeColor="accent1" w:themeTint="66" w:sz="4" w:space="0"/>
        <w:insideH w:val="single" w:color="BDD6EE" w:themeColor="accent1" w:themeTint="66" w:sz="4" w:space="0"/>
        <w:insideV w:val="single" w:color="BDD6EE" w:themeColor="accent1" w:themeTint="66" w:sz="4" w:space="0"/>
      </w:tblBorders>
    </w:tblPr>
    <w:tblStylePr w:type="firstRow">
      <w:rPr>
        <w:b/>
        <w:bCs/>
      </w:rPr>
      <w:tblPr/>
      <w:tcPr>
        <w:tcBorders>
          <w:bottom w:val="single" w:color="9CC2E5" w:themeColor="accent1" w:themeTint="99" w:sz="12" w:space="0"/>
        </w:tcBorders>
      </w:tcPr>
    </w:tblStylePr>
    <w:tblStylePr w:type="lastRow">
      <w:rPr>
        <w:b/>
        <w:bCs/>
      </w:rPr>
      <w:tblPr/>
      <w:tcPr>
        <w:tcBorders>
          <w:top w:val="double" w:color="9CC2E5" w:themeColor="accent1" w:themeTint="99" w:sz="2" w:space="0"/>
        </w:tcBorders>
      </w:tcPr>
    </w:tblStylePr>
    <w:tblStylePr w:type="firstCol">
      <w:rPr>
        <w:b/>
        <w:bCs/>
      </w:rPr>
    </w:tblStylePr>
    <w:tblStylePr w:type="lastCol">
      <w:rPr>
        <w:b/>
        <w:bCs/>
      </w:rPr>
    </w:tblStylePr>
  </w:style>
  <w:style w:type="table" w:styleId="TableGrid" w:customStyle="1">
    <w:name w:val="Table Grid0"/>
    <w:rsid w:val="00487DE0"/>
    <w:pPr>
      <w:spacing w:after="0" w:line="240" w:lineRule="auto"/>
    </w:pPr>
    <w:rPr>
      <w:rFonts w:eastAsiaTheme="minorEastAsia"/>
      <w:lang w:eastAsia="es-CR"/>
    </w:rPr>
    <w:tblPr>
      <w:tblCellMar>
        <w:top w:w="0" w:type="dxa"/>
        <w:left w:w="0" w:type="dxa"/>
        <w:bottom w:w="0" w:type="dxa"/>
        <w:right w:w="0" w:type="dxa"/>
      </w:tblCellMar>
    </w:tblPr>
  </w:style>
  <w:style w:type="paragraph" w:styleId="Informal1" w:customStyle="1">
    <w:name w:val="Informal1"/>
    <w:uiPriority w:val="99"/>
    <w:rsid w:val="009D3FB5"/>
    <w:pPr>
      <w:widowControl w:val="0"/>
      <w:autoSpaceDE w:val="0"/>
      <w:autoSpaceDN w:val="0"/>
      <w:adjustRightInd w:val="0"/>
      <w:spacing w:before="60" w:after="60" w:line="240" w:lineRule="auto"/>
    </w:pPr>
    <w:rPr>
      <w:rFonts w:ascii="Arial" w:hAnsi="Arial" w:eastAsia="Times New Roman" w:cs="Arial"/>
      <w:sz w:val="20"/>
      <w:szCs w:val="20"/>
      <w:lang w:eastAsia="es-CR"/>
    </w:rPr>
  </w:style>
  <w:style w:type="paragraph" w:styleId="Textodecampo" w:customStyle="1">
    <w:name w:val="Texto de campo"/>
    <w:basedOn w:val="Normal"/>
    <w:rsid w:val="009D3FB5"/>
    <w:pPr>
      <w:spacing w:before="60" w:after="60"/>
      <w:jc w:val="both"/>
    </w:pPr>
    <w:rPr>
      <w:rFonts w:ascii="Arial" w:hAnsi="Arial" w:eastAsia="Times New Roman" w:cs="Arial"/>
      <w:sz w:val="19"/>
      <w:szCs w:val="19"/>
      <w:lang w:val="en-US" w:bidi="en-US"/>
    </w:rPr>
  </w:style>
  <w:style w:type="paragraph" w:styleId="Etiquetadecampo" w:customStyle="1">
    <w:name w:val="Etiqueta de campo"/>
    <w:basedOn w:val="Normal"/>
    <w:rsid w:val="009D3FB5"/>
    <w:pPr>
      <w:spacing w:before="60" w:after="60"/>
      <w:jc w:val="both"/>
    </w:pPr>
    <w:rPr>
      <w:rFonts w:ascii="Arial" w:hAnsi="Arial" w:eastAsia="Times New Roman" w:cs="Arial"/>
      <w:b/>
      <w:sz w:val="19"/>
      <w:szCs w:val="19"/>
      <w:lang w:val="en-US" w:bidi="en-US"/>
    </w:rPr>
  </w:style>
  <w:style w:type="character" w:styleId="st1" w:customStyle="1">
    <w:name w:val="st1"/>
    <w:rsid w:val="009D3FB5"/>
  </w:style>
  <w:style w:type="paragraph" w:styleId="western" w:customStyle="1">
    <w:name w:val="western"/>
    <w:basedOn w:val="Normal"/>
    <w:rsid w:val="009D3FB5"/>
    <w:pPr>
      <w:spacing w:before="100" w:beforeAutospacing="1" w:after="119"/>
      <w:jc w:val="both"/>
    </w:pPr>
    <w:rPr>
      <w:rFonts w:ascii="Times New Roman" w:hAnsi="Times New Roman" w:eastAsia="Times New Roman" w:cs="Times New Roman"/>
      <w:color w:val="000000"/>
      <w:sz w:val="24"/>
      <w:szCs w:val="24"/>
      <w:lang w:eastAsia="es-CR"/>
    </w:rPr>
  </w:style>
  <w:style w:type="paragraph" w:styleId="Estilopredeterminado" w:customStyle="1">
    <w:name w:val="Estilo predeterminado"/>
    <w:rsid w:val="009D3FB5"/>
    <w:pPr>
      <w:suppressAutoHyphens/>
      <w:spacing w:after="0" w:line="100" w:lineRule="atLeast"/>
    </w:pPr>
    <w:rPr>
      <w:rFonts w:ascii="Times New Roman" w:hAnsi="Times New Roman" w:eastAsia="SimSun" w:cs="Times New Roman"/>
      <w:color w:val="000000"/>
      <w:sz w:val="24"/>
      <w:szCs w:val="24"/>
      <w:lang w:val="es-ES"/>
    </w:rPr>
  </w:style>
  <w:style w:type="paragraph" w:styleId="ListParagraph0" w:customStyle="1">
    <w:name w:val="List Paragraph0"/>
    <w:basedOn w:val="Normal"/>
    <w:qFormat/>
    <w:rsid w:val="009D3FB5"/>
    <w:pPr>
      <w:spacing w:before="240" w:after="240" w:line="360" w:lineRule="auto"/>
      <w:ind w:left="720"/>
      <w:contextualSpacing/>
      <w:jc w:val="both"/>
    </w:pPr>
    <w:rPr>
      <w:rFonts w:ascii="Arial" w:hAnsi="Arial" w:eastAsia="Times New Roman" w:cs="Times New Roman"/>
      <w:sz w:val="24"/>
      <w:lang w:val="es-ES"/>
    </w:rPr>
  </w:style>
  <w:style w:type="character" w:styleId="Mencionar1" w:customStyle="1">
    <w:name w:val="Mencionar1"/>
    <w:uiPriority w:val="99"/>
    <w:unhideWhenUsed/>
    <w:rsid w:val="009D3FB5"/>
    <w:rPr>
      <w:color w:val="2B579A"/>
      <w:shd w:val="clear" w:color="auto" w:fill="E6E6E6"/>
    </w:rPr>
  </w:style>
  <w:style w:type="paragraph" w:styleId="Fuente" w:customStyle="1">
    <w:name w:val="Fuente"/>
    <w:basedOn w:val="Normal"/>
    <w:link w:val="FuenteCar"/>
    <w:rsid w:val="009D3FB5"/>
    <w:pPr>
      <w:jc w:val="center"/>
    </w:pPr>
    <w:rPr>
      <w:rFonts w:ascii="Book Antiqua" w:hAnsi="Book Antiqua" w:cstheme="minorBidi"/>
      <w:b/>
      <w:i/>
      <w:sz w:val="20"/>
    </w:rPr>
  </w:style>
  <w:style w:type="character" w:styleId="FuenteCar" w:customStyle="1">
    <w:name w:val="Fuente Car"/>
    <w:basedOn w:val="Fuentedeprrafopredeter"/>
    <w:link w:val="Fuente"/>
    <w:rsid w:val="009D3FB5"/>
    <w:rPr>
      <w:rFonts w:ascii="Book Antiqua" w:hAnsi="Book Antiqua"/>
      <w:b/>
      <w:i/>
      <w:sz w:val="20"/>
    </w:rPr>
  </w:style>
  <w:style w:type="character" w:styleId="Mencinsinresolver1" w:customStyle="1">
    <w:name w:val="Mención sin resolver1"/>
    <w:basedOn w:val="Fuentedeprrafopredeter"/>
    <w:uiPriority w:val="99"/>
    <w:unhideWhenUsed/>
    <w:rsid w:val="009D3FB5"/>
    <w:rPr>
      <w:color w:val="605E5C"/>
      <w:shd w:val="clear" w:color="auto" w:fill="E1DFDD"/>
    </w:rPr>
  </w:style>
  <w:style w:type="paragraph" w:styleId="Fuentes" w:customStyle="1">
    <w:name w:val="Fuentes"/>
    <w:basedOn w:val="Fuente"/>
    <w:link w:val="FuentesCar"/>
    <w:autoRedefine/>
    <w:qFormat/>
    <w:rsid w:val="009D3FB5"/>
    <w:pPr>
      <w:tabs>
        <w:tab w:val="left" w:pos="8364"/>
      </w:tabs>
      <w:spacing w:line="276" w:lineRule="auto"/>
      <w:ind w:right="49"/>
      <w:jc w:val="both"/>
    </w:pPr>
    <w:rPr>
      <w:b w:val="0"/>
      <w:bCs/>
      <w:szCs w:val="20"/>
    </w:rPr>
  </w:style>
  <w:style w:type="character" w:styleId="FuentesCar" w:customStyle="1">
    <w:name w:val="Fuentes Car"/>
    <w:basedOn w:val="FuenteCar"/>
    <w:link w:val="Fuentes"/>
    <w:rsid w:val="009D3FB5"/>
    <w:rPr>
      <w:rFonts w:ascii="Book Antiqua" w:hAnsi="Book Antiqua"/>
      <w:b w:val="0"/>
      <w:bCs/>
      <w:i/>
      <w:sz w:val="20"/>
      <w:szCs w:val="20"/>
    </w:rPr>
  </w:style>
  <w:style w:type="paragraph" w:styleId="Trabajo2" w:customStyle="1">
    <w:name w:val="Trabajo2"/>
    <w:rsid w:val="009D3FB5"/>
    <w:pPr>
      <w:suppressAutoHyphens/>
      <w:spacing w:after="0" w:line="360" w:lineRule="auto"/>
      <w:jc w:val="both"/>
    </w:pPr>
    <w:rPr>
      <w:rFonts w:ascii="Arial" w:hAnsi="Arial" w:eastAsia="Times New Roman" w:cs="Arial"/>
      <w:sz w:val="20"/>
      <w:szCs w:val="20"/>
      <w:lang w:val="es-ES" w:eastAsia="ar-SA"/>
    </w:rPr>
  </w:style>
  <w:style w:type="numbering" w:styleId="Sinlista1" w:customStyle="1">
    <w:name w:val="Sin lista1"/>
    <w:next w:val="Sinlista"/>
    <w:uiPriority w:val="99"/>
    <w:semiHidden/>
    <w:unhideWhenUsed/>
    <w:rsid w:val="009D3FB5"/>
  </w:style>
  <w:style w:type="table" w:styleId="Tablaconcuadrcula2" w:customStyle="1">
    <w:name w:val="Tabla con cuadrícula2"/>
    <w:basedOn w:val="Tablanormal"/>
    <w:next w:val="Tablaconcuadrcula"/>
    <w:uiPriority w:val="39"/>
    <w:rsid w:val="009D3FB5"/>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ListBulletBold" w:customStyle="1">
    <w:name w:val="List Bullet Bold"/>
    <w:basedOn w:val="Listaconvietas"/>
    <w:next w:val="Continuarlista"/>
    <w:rsid w:val="009D3FB5"/>
    <w:pPr>
      <w:keepNext/>
      <w:keepLines/>
      <w:tabs>
        <w:tab w:val="num" w:pos="1080"/>
      </w:tabs>
      <w:spacing w:before="60" w:after="60"/>
      <w:ind w:left="432" w:hanging="432"/>
      <w:contextualSpacing w:val="0"/>
    </w:pPr>
    <w:rPr>
      <w:rFonts w:ascii="Tahoma" w:hAnsi="Tahoma" w:eastAsia="Times New Roman" w:cs="Tahoma"/>
      <w:b/>
      <w:bCs/>
      <w:sz w:val="20"/>
      <w:szCs w:val="20"/>
      <w:lang w:val="es-CL"/>
    </w:rPr>
  </w:style>
  <w:style w:type="paragraph" w:styleId="heading2" w:customStyle="1">
    <w:name w:val="heading2"/>
    <w:basedOn w:val="Normal"/>
    <w:rsid w:val="009D3FB5"/>
    <w:pPr>
      <w:keepNext/>
      <w:numPr>
        <w:ilvl w:val="1"/>
        <w:numId w:val="77"/>
      </w:numPr>
      <w:shd w:val="clear" w:color="auto" w:fill="FFFFFF"/>
      <w:autoSpaceDE w:val="0"/>
      <w:spacing w:line="480" w:lineRule="auto"/>
      <w:jc w:val="both"/>
    </w:pPr>
    <w:rPr>
      <w:rFonts w:ascii="Arial" w:hAnsi="Arial" w:eastAsia="Times New Roman" w:cs="Arial"/>
      <w:b/>
      <w:bCs/>
      <w:sz w:val="24"/>
      <w:szCs w:val="24"/>
      <w:u w:val="single"/>
      <w:lang w:val="es-ES" w:eastAsia="es-ES"/>
    </w:rPr>
  </w:style>
  <w:style w:type="paragraph" w:styleId="Listaconvietas">
    <w:name w:val="List Bullet"/>
    <w:basedOn w:val="Normal"/>
    <w:uiPriority w:val="99"/>
    <w:semiHidden/>
    <w:unhideWhenUsed/>
    <w:rsid w:val="009D3FB5"/>
    <w:pPr>
      <w:tabs>
        <w:tab w:val="num" w:pos="720"/>
      </w:tabs>
      <w:ind w:left="720" w:hanging="360"/>
      <w:contextualSpacing/>
      <w:jc w:val="both"/>
    </w:pPr>
    <w:rPr>
      <w:rFonts w:ascii="Book Antiqua" w:hAnsi="Book Antiqua" w:cstheme="minorBidi"/>
    </w:rPr>
  </w:style>
  <w:style w:type="paragraph" w:styleId="Continuarlista">
    <w:name w:val="List Continue"/>
    <w:basedOn w:val="Normal"/>
    <w:uiPriority w:val="99"/>
    <w:semiHidden/>
    <w:unhideWhenUsed/>
    <w:rsid w:val="009D3FB5"/>
    <w:pPr>
      <w:spacing w:after="120"/>
      <w:ind w:left="283"/>
      <w:contextualSpacing/>
      <w:jc w:val="both"/>
    </w:pPr>
    <w:rPr>
      <w:rFonts w:ascii="Book Antiqua" w:hAnsi="Book Antiqua" w:cstheme="minorBidi"/>
    </w:rPr>
  </w:style>
  <w:style w:type="paragraph" w:styleId="pa4" w:customStyle="1">
    <w:name w:val="pa4"/>
    <w:basedOn w:val="Normal"/>
    <w:rsid w:val="009D3FB5"/>
    <w:pPr>
      <w:spacing w:before="100" w:beforeAutospacing="1" w:after="100" w:afterAutospacing="1"/>
    </w:pPr>
    <w:rPr>
      <w:rFonts w:ascii="Times New Roman" w:hAnsi="Times New Roman" w:eastAsia="Times New Roman" w:cs="Times New Roman"/>
      <w:sz w:val="24"/>
      <w:szCs w:val="24"/>
      <w:lang w:eastAsia="es-CR"/>
    </w:rPr>
  </w:style>
  <w:style w:type="paragraph" w:styleId="default0" w:customStyle="1">
    <w:name w:val="default"/>
    <w:basedOn w:val="Normal"/>
    <w:rsid w:val="009D3FB5"/>
    <w:pPr>
      <w:spacing w:before="100" w:beforeAutospacing="1" w:after="100" w:afterAutospacing="1"/>
    </w:pPr>
    <w:rPr>
      <w:rFonts w:ascii="Times New Roman" w:hAnsi="Times New Roman" w:eastAsia="Times New Roman" w:cs="Times New Roman"/>
      <w:sz w:val="24"/>
      <w:szCs w:val="24"/>
      <w:lang w:eastAsia="es-CR"/>
    </w:rPr>
  </w:style>
  <w:style w:type="paragraph" w:styleId="pa18" w:customStyle="1">
    <w:name w:val="pa18"/>
    <w:basedOn w:val="Normal"/>
    <w:rsid w:val="009D3FB5"/>
    <w:pPr>
      <w:spacing w:before="100" w:beforeAutospacing="1" w:after="100" w:afterAutospacing="1"/>
    </w:pPr>
    <w:rPr>
      <w:rFonts w:ascii="Times New Roman" w:hAnsi="Times New Roman" w:eastAsia="Times New Roman" w:cs="Times New Roman"/>
      <w:sz w:val="24"/>
      <w:szCs w:val="24"/>
      <w:lang w:eastAsia="es-CR"/>
    </w:rPr>
  </w:style>
  <w:style w:type="table" w:styleId="Tablaconcuadrcula81" w:customStyle="1">
    <w:name w:val="Tabla con cuadrícula 81"/>
    <w:basedOn w:val="Tablanormal"/>
    <w:next w:val="Tablaconcuadrcula8"/>
    <w:rsid w:val="009D3FB5"/>
    <w:pPr>
      <w:spacing w:after="0" w:line="240" w:lineRule="auto"/>
    </w:pPr>
    <w:rPr>
      <w:rFonts w:ascii="Times New Roman" w:hAnsi="Times New Roman" w:eastAsia="Times New Roman" w:cs="Times New Roman"/>
      <w:sz w:val="20"/>
      <w:szCs w:val="20"/>
      <w:lang w:eastAsia="es-CR"/>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styleId="Tablaconcuadrcula8">
    <w:name w:val="Table Grid 8"/>
    <w:basedOn w:val="Tablanormal"/>
    <w:uiPriority w:val="99"/>
    <w:semiHidden/>
    <w:unhideWhenUsed/>
    <w:rsid w:val="009D3FB5"/>
    <w:pPr>
      <w:spacing w:after="0" w:line="240" w:lineRule="auto"/>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paragraph" w:styleId="TDC1">
    <w:name w:val="toc 1"/>
    <w:basedOn w:val="Normal"/>
    <w:next w:val="Normal"/>
    <w:autoRedefine/>
    <w:uiPriority w:val="39"/>
    <w:unhideWhenUsed/>
    <w:rsid w:val="009D3FB5"/>
    <w:pPr>
      <w:spacing w:after="100"/>
    </w:pPr>
  </w:style>
  <w:style w:type="paragraph" w:styleId="TDC3">
    <w:name w:val="toc 3"/>
    <w:basedOn w:val="Normal"/>
    <w:next w:val="Normal"/>
    <w:autoRedefine/>
    <w:uiPriority w:val="39"/>
    <w:unhideWhenUsed/>
    <w:rsid w:val="009D3FB5"/>
    <w:pPr>
      <w:spacing w:after="100"/>
      <w:ind w:left="440"/>
    </w:pPr>
  </w:style>
  <w:style w:type="paragraph" w:styleId="TDC2">
    <w:name w:val="toc 2"/>
    <w:basedOn w:val="Normal"/>
    <w:next w:val="Normal"/>
    <w:autoRedefine/>
    <w:uiPriority w:val="39"/>
    <w:unhideWhenUsed/>
    <w:rsid w:val="009D3FB5"/>
    <w:pPr>
      <w:spacing w:after="100"/>
      <w:ind w:left="220"/>
    </w:pPr>
  </w:style>
  <w:style w:type="paragraph" w:styleId="Titulo3" w:customStyle="1">
    <w:name w:val="Titulo 3"/>
    <w:basedOn w:val="Ttulo3"/>
    <w:rsid w:val="009D3FB5"/>
    <w:pPr>
      <w:numPr>
        <w:ilvl w:val="2"/>
        <w:numId w:val="103"/>
      </w:numPr>
      <w:autoSpaceDE/>
      <w:autoSpaceDN/>
      <w:adjustRightInd/>
      <w:spacing w:after="240"/>
      <w:jc w:val="both"/>
    </w:pPr>
    <w:rPr>
      <w:rFonts w:ascii="Book Antiqua" w:hAnsi="Book Antiqua" w:cs="Times New Roman"/>
      <w:bCs w:val="0"/>
      <w:color w:val="1F4E79" w:themeColor="accent1" w:themeShade="80"/>
      <w:sz w:val="22"/>
      <w:szCs w:val="18"/>
      <w:lang w:val="es-MX"/>
    </w:rPr>
  </w:style>
  <w:style w:type="paragraph" w:styleId="Pa2" w:customStyle="1">
    <w:name w:val="Pa2"/>
    <w:next w:val="Normal"/>
    <w:uiPriority w:val="99"/>
    <w:rsid w:val="009D3FB5"/>
    <w:pPr>
      <w:widowControl w:val="0"/>
      <w:autoSpaceDE w:val="0"/>
      <w:autoSpaceDN w:val="0"/>
      <w:adjustRightInd w:val="0"/>
      <w:spacing w:after="0" w:line="221" w:lineRule="atLeast"/>
    </w:pPr>
    <w:rPr>
      <w:rFonts w:ascii="Arial" w:hAnsi="Arial" w:eastAsia="Times New Roman" w:cs="Arial"/>
      <w:sz w:val="24"/>
      <w:szCs w:val="24"/>
      <w:lang w:val="es-ES" w:eastAsia="es-ES"/>
    </w:rPr>
  </w:style>
  <w:style w:type="paragraph" w:styleId="pf0" w:customStyle="1">
    <w:name w:val="pf0"/>
    <w:basedOn w:val="Normal"/>
    <w:rsid w:val="009D3FB5"/>
    <w:pPr>
      <w:spacing w:before="100" w:beforeAutospacing="1" w:after="100" w:afterAutospacing="1"/>
    </w:pPr>
    <w:rPr>
      <w:rFonts w:ascii="Times New Roman" w:hAnsi="Times New Roman" w:eastAsia="Times New Roman" w:cs="Times New Roman"/>
      <w:sz w:val="24"/>
      <w:szCs w:val="24"/>
      <w:lang w:eastAsia="es-CR"/>
    </w:rPr>
  </w:style>
  <w:style w:type="character" w:styleId="cf01" w:customStyle="1">
    <w:name w:val="cf01"/>
    <w:basedOn w:val="Fuentedeprrafopredeter"/>
    <w:rsid w:val="009D3FB5"/>
    <w:rPr>
      <w:rFonts w:hint="default" w:ascii="Segoe UI" w:hAnsi="Segoe UI" w:cs="Segoe UI"/>
      <w:sz w:val="18"/>
      <w:szCs w:val="18"/>
    </w:rPr>
  </w:style>
  <w:style w:type="character" w:styleId="cf11" w:customStyle="1">
    <w:name w:val="cf11"/>
    <w:basedOn w:val="Fuentedeprrafopredeter"/>
    <w:rsid w:val="009D3FB5"/>
    <w:rPr>
      <w:rFonts w:hint="default" w:ascii="Segoe UI" w:hAnsi="Segoe UI" w:cs="Segoe UI"/>
      <w:sz w:val="18"/>
      <w:szCs w:val="18"/>
    </w:rPr>
  </w:style>
  <w:style w:type="table" w:styleId="Tablaconcuadrcula4-nfasis5">
    <w:name w:val="Grid Table 4 Accent 5"/>
    <w:basedOn w:val="Tablanormal"/>
    <w:uiPriority w:val="49"/>
    <w:rsid w:val="009D3FB5"/>
    <w:pPr>
      <w:spacing w:after="0" w:line="240" w:lineRule="auto"/>
    </w:pPr>
    <w:rPr>
      <w:rFonts w:ascii="Calibri" w:hAnsi="Calibri" w:eastAsia="Calibri" w:cs="Times New Roman"/>
      <w:sz w:val="20"/>
      <w:szCs w:val="20"/>
      <w:lang w:eastAsia="es-CR"/>
    </w:rPr>
    <w:tblPr>
      <w:tblStyleRowBandSize w:val="1"/>
      <w:tblStyleColBandSize w:val="1"/>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Pr>
    <w:tblStylePr w:type="firstRow">
      <w:rPr>
        <w:b/>
        <w:bCs/>
        <w:color w:val="FFFFFF" w:themeColor="background1"/>
      </w:rPr>
      <w:tblPr/>
      <w:tcPr>
        <w:tcBorders>
          <w:top w:val="single" w:color="4472C4" w:themeColor="accent5" w:sz="4" w:space="0"/>
          <w:left w:val="single" w:color="4472C4" w:themeColor="accent5" w:sz="4" w:space="0"/>
          <w:bottom w:val="single" w:color="4472C4" w:themeColor="accent5" w:sz="4" w:space="0"/>
          <w:right w:val="single" w:color="4472C4" w:themeColor="accent5" w:sz="4" w:space="0"/>
          <w:insideH w:val="nil"/>
          <w:insideV w:val="nil"/>
        </w:tcBorders>
        <w:shd w:val="clear" w:color="auto" w:fill="4472C4" w:themeFill="accent5"/>
      </w:tcPr>
    </w:tblStylePr>
    <w:tblStylePr w:type="lastRow">
      <w:rPr>
        <w:b/>
        <w:bCs/>
      </w:rPr>
      <w:tblPr/>
      <w:tcPr>
        <w:tcBorders>
          <w:top w:val="double" w:color="4472C4" w:themeColor="accent5" w:sz="4" w:space="0"/>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CharChar" w:customStyle="1">
    <w:name w:val="Char Char"/>
    <w:basedOn w:val="Normal"/>
    <w:semiHidden/>
    <w:rsid w:val="009D3FB5"/>
    <w:pPr>
      <w:spacing w:after="160" w:line="240" w:lineRule="exact"/>
    </w:pPr>
    <w:rPr>
      <w:rFonts w:ascii="Verdana" w:hAnsi="Verdana" w:eastAsia="Times New Roman" w:cs="Verdana"/>
      <w:sz w:val="20"/>
      <w:szCs w:val="20"/>
      <w:lang w:val="en-AU"/>
    </w:rPr>
  </w:style>
  <w:style w:type="character" w:styleId="CarCar2" w:customStyle="1">
    <w:name w:val="Car Car2"/>
    <w:semiHidden/>
    <w:rsid w:val="009D3FB5"/>
    <w:rPr>
      <w:rFonts w:cs="Times New Roman"/>
      <w:lang w:val="es-ES" w:eastAsia="es-ES"/>
    </w:rPr>
  </w:style>
  <w:style w:type="paragraph" w:styleId="Textbody" w:customStyle="1">
    <w:name w:val="Text body"/>
    <w:basedOn w:val="Normal"/>
    <w:rsid w:val="009D3FB5"/>
    <w:pPr>
      <w:suppressAutoHyphens/>
      <w:autoSpaceDN w:val="0"/>
    </w:pPr>
    <w:rPr>
      <w:rFonts w:ascii="Times New Roman" w:hAnsi="Times New Roman" w:eastAsia="Batang, 바탕" w:cs="Times New Roman"/>
      <w:kern w:val="3"/>
      <w:sz w:val="18"/>
      <w:szCs w:val="24"/>
      <w:lang w:eastAsia="zh-CN"/>
    </w:rPr>
  </w:style>
  <w:style w:type="paragraph" w:styleId="Normal1" w:customStyle="1">
    <w:name w:val="Normal1"/>
    <w:rsid w:val="009D3FB5"/>
    <w:pPr>
      <w:spacing w:after="200" w:line="276" w:lineRule="auto"/>
    </w:pPr>
    <w:rPr>
      <w:rFonts w:ascii="Calibri" w:hAnsi="Calibri" w:eastAsia="Calibri" w:cs="Calibri"/>
      <w:color w:val="000000"/>
      <w:lang w:val="es-ES" w:eastAsia="es-ES"/>
    </w:rPr>
  </w:style>
  <w:style w:type="character" w:styleId="Refdenotaalfinal">
    <w:name w:val="endnote reference"/>
    <w:uiPriority w:val="99"/>
    <w:rsid w:val="009D3FB5"/>
    <w:rPr>
      <w:vertAlign w:val="superscript"/>
    </w:rPr>
  </w:style>
  <w:style w:type="character" w:styleId="apple-converted-space" w:customStyle="1">
    <w:name w:val="apple-converted-space"/>
    <w:rsid w:val="009D3FB5"/>
  </w:style>
  <w:style w:type="character" w:styleId="ElacuerdoCar" w:customStyle="1">
    <w:name w:val="El acuerdo Car"/>
    <w:link w:val="Elacuerdo"/>
    <w:locked/>
    <w:rsid w:val="009D3FB5"/>
  </w:style>
  <w:style w:type="paragraph" w:styleId="Elacuerdo" w:customStyle="1">
    <w:name w:val="El acuerdo"/>
    <w:basedOn w:val="Normal"/>
    <w:link w:val="ElacuerdoCar"/>
    <w:rsid w:val="009D3FB5"/>
    <w:pPr>
      <w:autoSpaceDE w:val="0"/>
      <w:autoSpaceDN w:val="0"/>
      <w:spacing w:before="120" w:after="120" w:line="480" w:lineRule="auto"/>
      <w:ind w:firstLine="708"/>
      <w:jc w:val="both"/>
    </w:pPr>
    <w:rPr>
      <w:rFonts w:asciiTheme="minorHAnsi" w:hAnsiTheme="minorHAnsi" w:cstheme="minorBidi"/>
    </w:rPr>
  </w:style>
  <w:style w:type="character" w:styleId="AcueryAnteCar" w:customStyle="1">
    <w:name w:val="Acuer y Ante Car"/>
    <w:link w:val="AcueryAnte"/>
    <w:locked/>
    <w:rsid w:val="009D3FB5"/>
    <w:rPr>
      <w:rFonts w:ascii="Batang" w:eastAsia="Batang"/>
      <w:color w:val="000099"/>
    </w:rPr>
  </w:style>
  <w:style w:type="paragraph" w:styleId="AcueryAnte" w:customStyle="1">
    <w:name w:val="Acuer y Ante"/>
    <w:basedOn w:val="Normal"/>
    <w:link w:val="AcueryAnteCar"/>
    <w:rsid w:val="009D3FB5"/>
    <w:pPr>
      <w:spacing w:line="480" w:lineRule="auto"/>
      <w:ind w:firstLine="708"/>
      <w:jc w:val="both"/>
    </w:pPr>
    <w:rPr>
      <w:rFonts w:ascii="Batang" w:eastAsia="Batang" w:hAnsiTheme="minorHAnsi" w:cstheme="minorBidi"/>
      <w:color w:val="000099"/>
    </w:rPr>
  </w:style>
  <w:style w:type="paragraph" w:styleId="SingleTxtG" w:customStyle="1">
    <w:name w:val="_ Single Txt_G"/>
    <w:basedOn w:val="Normal"/>
    <w:uiPriority w:val="99"/>
    <w:rsid w:val="009D3FB5"/>
    <w:pPr>
      <w:spacing w:after="120" w:line="240" w:lineRule="atLeast"/>
      <w:ind w:left="1134" w:right="1134"/>
      <w:jc w:val="both"/>
    </w:pPr>
    <w:rPr>
      <w:rFonts w:ascii="Times New Roman" w:hAnsi="Times New Roman" w:eastAsia="Calibri" w:cs="Times New Roman"/>
      <w:sz w:val="20"/>
      <w:szCs w:val="20"/>
      <w:lang w:eastAsia="es-CR"/>
    </w:rPr>
  </w:style>
  <w:style w:type="character" w:styleId="AgestinCar" w:customStyle="1">
    <w:name w:val="A gestión Car"/>
    <w:link w:val="Agestin"/>
    <w:locked/>
    <w:rsid w:val="009D3FB5"/>
    <w:rPr>
      <w:color w:val="000099"/>
    </w:rPr>
  </w:style>
  <w:style w:type="paragraph" w:styleId="Agestin" w:customStyle="1">
    <w:name w:val="A gestión"/>
    <w:basedOn w:val="Normal"/>
    <w:link w:val="AgestinCar"/>
    <w:rsid w:val="009D3FB5"/>
    <w:pPr>
      <w:spacing w:before="120" w:after="120"/>
      <w:ind w:left="851" w:right="851" w:firstLine="567"/>
      <w:jc w:val="both"/>
    </w:pPr>
    <w:rPr>
      <w:rFonts w:asciiTheme="minorHAnsi" w:hAnsiTheme="minorHAnsi" w:cstheme="minorBidi"/>
      <w:color w:val="000099"/>
    </w:rPr>
  </w:style>
  <w:style w:type="paragraph" w:styleId="Contenidodelatabla" w:customStyle="1">
    <w:name w:val="Contenido de la tabla"/>
    <w:basedOn w:val="Predeterminado"/>
    <w:qFormat/>
    <w:rsid w:val="009D3FB5"/>
  </w:style>
  <w:style w:type="paragraph" w:styleId="xxmsonormal" w:customStyle="1">
    <w:name w:val="x_x_msonormal"/>
    <w:basedOn w:val="Normal"/>
    <w:uiPriority w:val="99"/>
    <w:semiHidden/>
    <w:rsid w:val="009D3FB5"/>
    <w:rPr>
      <w:rFonts w:ascii="Times New Roman" w:hAnsi="Times New Roman" w:eastAsia="Calibri" w:cs="Times New Roman"/>
      <w:sz w:val="24"/>
      <w:szCs w:val="24"/>
      <w:lang w:eastAsia="es-CR"/>
    </w:rPr>
  </w:style>
  <w:style w:type="table" w:styleId="Tablamoderna">
    <w:name w:val="Table Contemporary"/>
    <w:basedOn w:val="Tablanormal"/>
    <w:rsid w:val="009D3FB5"/>
    <w:pPr>
      <w:spacing w:after="0" w:line="240" w:lineRule="auto"/>
    </w:pPr>
    <w:rPr>
      <w:rFonts w:ascii="Times New Roman" w:hAnsi="Times New Roman" w:eastAsia="Times New Roman" w:cs="Times New Roman"/>
      <w:sz w:val="20"/>
      <w:szCs w:val="20"/>
      <w:lang w:eastAsia="es-CR"/>
    </w:rPr>
    <w:tblPr>
      <w:tblStyleRowBandSize w:val="1"/>
      <w:tblBorders>
        <w:insideH w:val="single" w:color="FFFFFF" w:sz="18" w:space="0"/>
        <w:insideV w:val="single" w:color="FFFFFF" w:sz="18" w:space="0"/>
      </w:tblBorders>
    </w:tblPr>
    <w:tblStylePr w:type="firstRow">
      <w:rPr>
        <w:b/>
        <w:bCs/>
        <w:color w:val="auto"/>
      </w:rPr>
      <w:tblPr/>
      <w:tcPr>
        <w:tcBorders>
          <w:tl2br w:val="none" w:color="auto" w:sz="0" w:space="0"/>
          <w:tr2bl w:val="none" w:color="auto" w:sz="0" w:space="0"/>
        </w:tcBorders>
        <w:shd w:val="pct20" w:color="000000" w:fill="FFFFFF"/>
      </w:tcPr>
    </w:tblStylePr>
    <w:tblStylePr w:type="band1Horz">
      <w:rPr>
        <w:color w:val="auto"/>
      </w:rPr>
      <w:tblPr/>
      <w:tcPr>
        <w:tcBorders>
          <w:tl2br w:val="none" w:color="auto" w:sz="0" w:space="0"/>
          <w:tr2bl w:val="none" w:color="auto" w:sz="0" w:space="0"/>
        </w:tcBorders>
        <w:shd w:val="pct5" w:color="000000" w:fill="FFFFFF"/>
      </w:tcPr>
    </w:tblStylePr>
    <w:tblStylePr w:type="band2Horz">
      <w:rPr>
        <w:color w:val="auto"/>
      </w:rPr>
      <w:tblPr/>
      <w:tcPr>
        <w:tcBorders>
          <w:tl2br w:val="none" w:color="auto" w:sz="0" w:space="0"/>
          <w:tr2bl w:val="none" w:color="auto" w:sz="0" w:space="0"/>
        </w:tcBorders>
        <w:shd w:val="pct20" w:color="000000" w:fill="FFFFFF"/>
      </w:tcPr>
    </w:tblStylePr>
  </w:style>
  <w:style w:type="table" w:styleId="Tablaconcuadrcula4-nfasis3">
    <w:name w:val="Grid Table 4 Accent 3"/>
    <w:basedOn w:val="Tablanormal"/>
    <w:uiPriority w:val="49"/>
    <w:rsid w:val="009D3FB5"/>
    <w:pPr>
      <w:spacing w:after="0" w:line="240" w:lineRule="auto"/>
    </w:pPr>
    <w:rPr>
      <w:rFonts w:ascii="Times New Roman" w:hAnsi="Times New Roman" w:eastAsia="Times New Roman" w:cs="Times New Roman"/>
      <w:sz w:val="20"/>
      <w:szCs w:val="20"/>
      <w:lang w:eastAsia="es-CR"/>
    </w:rPr>
    <w:tblPr>
      <w:tblStyleRowBandSize w:val="1"/>
      <w:tblStyleColBandSize w:val="1"/>
      <w:tblBorders>
        <w:top w:val="single" w:color="C9C9C9" w:sz="4" w:space="0"/>
        <w:left w:val="single" w:color="C9C9C9" w:sz="4" w:space="0"/>
        <w:bottom w:val="single" w:color="C9C9C9" w:sz="4" w:space="0"/>
        <w:right w:val="single" w:color="C9C9C9" w:sz="4" w:space="0"/>
        <w:insideH w:val="single" w:color="C9C9C9" w:sz="4" w:space="0"/>
        <w:insideV w:val="single" w:color="C9C9C9" w:sz="4" w:space="0"/>
      </w:tblBorders>
    </w:tblPr>
    <w:tblStylePr w:type="firstRow">
      <w:rPr>
        <w:b/>
        <w:bCs/>
        <w:color w:val="FFFFFF"/>
      </w:rPr>
      <w:tblPr/>
      <w:tcPr>
        <w:tcBorders>
          <w:top w:val="single" w:color="A5A5A5" w:sz="4" w:space="0"/>
          <w:left w:val="single" w:color="A5A5A5" w:sz="4" w:space="0"/>
          <w:bottom w:val="single" w:color="A5A5A5" w:sz="4" w:space="0"/>
          <w:right w:val="single" w:color="A5A5A5" w:sz="4" w:space="0"/>
          <w:insideH w:val="nil"/>
          <w:insideV w:val="nil"/>
        </w:tcBorders>
        <w:shd w:val="clear" w:color="auto" w:fill="A5A5A5"/>
      </w:tcPr>
    </w:tblStylePr>
    <w:tblStylePr w:type="lastRow">
      <w:rPr>
        <w:b/>
        <w:bCs/>
      </w:rPr>
      <w:tblPr/>
      <w:tcPr>
        <w:tcBorders>
          <w:top w:val="double" w:color="A5A5A5" w:sz="4" w:space="0"/>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styleId="Sinlista2" w:customStyle="1">
    <w:name w:val="Sin lista2"/>
    <w:next w:val="Sinlista"/>
    <w:uiPriority w:val="99"/>
    <w:semiHidden/>
    <w:unhideWhenUsed/>
    <w:rsid w:val="00F31A99"/>
  </w:style>
  <w:style w:type="table" w:styleId="Tablaconcuadrcula3" w:customStyle="1">
    <w:name w:val="Tabla con cuadrícula3"/>
    <w:basedOn w:val="Tablanormal"/>
    <w:next w:val="Tablaconcuadrcula"/>
    <w:uiPriority w:val="39"/>
    <w:rsid w:val="00F31A99"/>
    <w:pPr>
      <w:spacing w:after="0" w:line="240" w:lineRule="auto"/>
    </w:pPr>
    <w:rPr>
      <w:rFonts w:ascii="Times New Roman" w:hAnsi="Times New Roman" w:eastAsia="Times New Roman" w:cs="Times New Roman"/>
      <w:sz w:val="20"/>
      <w:szCs w:val="20"/>
      <w:lang w:val="es-ES" w:eastAsia="es-E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Cuadrculaclara-nfasis61" w:customStyle="1">
    <w:name w:val="Cuadrícula clara - Énfasis 61"/>
    <w:basedOn w:val="Tablanormal"/>
    <w:next w:val="Cuadrculaclara-nfasis6"/>
    <w:uiPriority w:val="62"/>
    <w:rsid w:val="00F31A99"/>
    <w:pPr>
      <w:spacing w:after="0" w:line="240" w:lineRule="auto"/>
    </w:pPr>
    <w:rPr>
      <w:rFonts w:ascii="Calibri" w:hAnsi="Calibri" w:eastAsia="Times New Roman" w:cs="Calibri"/>
      <w:sz w:val="20"/>
      <w:szCs w:val="20"/>
      <w:lang w:eastAsia="es-CR"/>
    </w:rPr>
    <w:tblPr>
      <w:tblStyleRowBandSize w:val="1"/>
      <w:tblStyleColBandSize w:val="1"/>
      <w:tblBorders>
        <w:top w:val="single" w:color="70AD47" w:sz="8" w:space="0"/>
        <w:left w:val="single" w:color="70AD47" w:sz="8" w:space="0"/>
        <w:bottom w:val="single" w:color="70AD47" w:sz="8" w:space="0"/>
        <w:right w:val="single" w:color="70AD47" w:sz="8" w:space="0"/>
        <w:insideH w:val="single" w:color="70AD47" w:sz="8" w:space="0"/>
        <w:insideV w:val="single" w:color="70AD47" w:sz="8" w:space="0"/>
      </w:tblBorders>
    </w:tblPr>
    <w:tblStylePr w:type="firstRow">
      <w:pPr>
        <w:spacing w:before="0" w:after="0" w:line="240" w:lineRule="auto"/>
      </w:pPr>
      <w:rPr>
        <w:rFonts w:ascii="Calibri Light" w:hAnsi="Calibri Light" w:eastAsia="Times New Roman" w:cs="Times New Roman"/>
        <w:b/>
        <w:bCs/>
      </w:rPr>
      <w:tblPr/>
      <w:tcPr>
        <w:tcBorders>
          <w:top w:val="single" w:color="70AD47" w:sz="8" w:space="0"/>
          <w:left w:val="single" w:color="70AD47" w:sz="8" w:space="0"/>
          <w:bottom w:val="single" w:color="70AD47" w:sz="18" w:space="0"/>
          <w:right w:val="single" w:color="70AD47" w:sz="8" w:space="0"/>
          <w:insideH w:val="nil"/>
          <w:insideV w:val="single" w:color="70AD47" w:sz="8" w:space="0"/>
        </w:tcBorders>
      </w:tcPr>
    </w:tblStylePr>
    <w:tblStylePr w:type="lastRow">
      <w:pPr>
        <w:spacing w:before="0" w:after="0" w:line="240" w:lineRule="auto"/>
      </w:pPr>
      <w:rPr>
        <w:rFonts w:ascii="Calibri Light" w:hAnsi="Calibri Light" w:eastAsia="Times New Roman" w:cs="Times New Roman"/>
        <w:b/>
        <w:bCs/>
      </w:rPr>
      <w:tblPr/>
      <w:tcPr>
        <w:tcBorders>
          <w:top w:val="double" w:color="70AD47" w:sz="6" w:space="0"/>
          <w:left w:val="single" w:color="70AD47" w:sz="8" w:space="0"/>
          <w:bottom w:val="single" w:color="70AD47" w:sz="8" w:space="0"/>
          <w:right w:val="single" w:color="70AD47" w:sz="8" w:space="0"/>
          <w:insideH w:val="nil"/>
          <w:insideV w:val="single" w:color="70AD47" w:sz="8" w:space="0"/>
        </w:tcBorders>
      </w:tcPr>
    </w:tblStylePr>
    <w:tblStylePr w:type="firstCol">
      <w:rPr>
        <w:rFonts w:ascii="Calibri Light" w:hAnsi="Calibri Light" w:eastAsia="Times New Roman" w:cs="Times New Roman"/>
        <w:b/>
        <w:bCs/>
      </w:rPr>
    </w:tblStylePr>
    <w:tblStylePr w:type="lastCol">
      <w:rPr>
        <w:rFonts w:ascii="Calibri Light" w:hAnsi="Calibri Light" w:eastAsia="Times New Roman" w:cs="Times New Roman"/>
        <w:b/>
        <w:bCs/>
      </w:rPr>
      <w:tblPr/>
      <w:tcPr>
        <w:tcBorders>
          <w:top w:val="single" w:color="70AD47" w:sz="8" w:space="0"/>
          <w:left w:val="single" w:color="70AD47" w:sz="8" w:space="0"/>
          <w:bottom w:val="single" w:color="70AD47" w:sz="8" w:space="0"/>
          <w:right w:val="single" w:color="70AD47" w:sz="8" w:space="0"/>
        </w:tcBorders>
      </w:tcPr>
    </w:tblStylePr>
    <w:tblStylePr w:type="band1Vert">
      <w:tblPr/>
      <w:tcPr>
        <w:tcBorders>
          <w:top w:val="single" w:color="70AD47" w:sz="8" w:space="0"/>
          <w:left w:val="single" w:color="70AD47" w:sz="8" w:space="0"/>
          <w:bottom w:val="single" w:color="70AD47" w:sz="8" w:space="0"/>
          <w:right w:val="single" w:color="70AD47" w:sz="8" w:space="0"/>
        </w:tcBorders>
        <w:shd w:val="clear" w:color="auto" w:fill="DBEBD0"/>
      </w:tcPr>
    </w:tblStylePr>
    <w:tblStylePr w:type="band1Horz">
      <w:tblPr/>
      <w:tcPr>
        <w:tcBorders>
          <w:top w:val="single" w:color="70AD47" w:sz="8" w:space="0"/>
          <w:left w:val="single" w:color="70AD47" w:sz="8" w:space="0"/>
          <w:bottom w:val="single" w:color="70AD47" w:sz="8" w:space="0"/>
          <w:right w:val="single" w:color="70AD47" w:sz="8" w:space="0"/>
          <w:insideV w:val="single" w:color="70AD47" w:sz="8" w:space="0"/>
        </w:tcBorders>
        <w:shd w:val="clear" w:color="auto" w:fill="DBEBD0"/>
      </w:tcPr>
    </w:tblStylePr>
    <w:tblStylePr w:type="band2Horz">
      <w:tblPr/>
      <w:tcPr>
        <w:tcBorders>
          <w:top w:val="single" w:color="70AD47" w:sz="8" w:space="0"/>
          <w:left w:val="single" w:color="70AD47" w:sz="8" w:space="0"/>
          <w:bottom w:val="single" w:color="70AD47" w:sz="8" w:space="0"/>
          <w:right w:val="single" w:color="70AD47" w:sz="8" w:space="0"/>
          <w:insideV w:val="single" w:color="70AD47" w:sz="8" w:space="0"/>
        </w:tcBorders>
      </w:tcPr>
    </w:tblStylePr>
  </w:style>
  <w:style w:type="table" w:styleId="Tablaconcuadrcula11" w:customStyle="1">
    <w:name w:val="Tabla con cuadrícula11"/>
    <w:basedOn w:val="Tablanormal"/>
    <w:next w:val="Tablaconcuadrcula"/>
    <w:uiPriority w:val="39"/>
    <w:rsid w:val="00F31A99"/>
    <w:pPr>
      <w:spacing w:after="0" w:line="240" w:lineRule="auto"/>
    </w:pPr>
    <w:rPr>
      <w:rFonts w:ascii="Times New Roman" w:hAnsi="Times New Roman" w:eastAsia="Times New Roman" w:cs="Times New Roman"/>
      <w:sz w:val="20"/>
      <w:szCs w:val="20"/>
      <w:lang w:eastAsia="es-CR"/>
    </w:rPr>
    <w:tblPr>
      <w:tblInd w:w="0" w:type="nil"/>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aconcuadrcula4-nfasis111" w:customStyle="1">
    <w:name w:val="Tabla con cuadrícula 4 - Énfasis 111"/>
    <w:basedOn w:val="Tablanormal"/>
    <w:uiPriority w:val="49"/>
    <w:rsid w:val="00F31A99"/>
    <w:pPr>
      <w:spacing w:after="0" w:line="240" w:lineRule="auto"/>
    </w:pPr>
    <w:rPr>
      <w:sz w:val="24"/>
      <w:szCs w:val="24"/>
      <w:lang w:val="es-ES_tradnl"/>
    </w:rPr>
    <w:tblPr>
      <w:tblStyleRowBandSize w:val="1"/>
      <w:tblStyleColBandSize w:val="1"/>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Pr>
    <w:tblStylePr w:type="firstRow">
      <w:rPr>
        <w:b/>
        <w:bCs/>
        <w:color w:val="FFFFFF"/>
      </w:rPr>
      <w:tblPr/>
      <w:tcPr>
        <w:tcBorders>
          <w:top w:val="single" w:color="4472C4" w:sz="4" w:space="0"/>
          <w:left w:val="single" w:color="4472C4" w:sz="4" w:space="0"/>
          <w:bottom w:val="single" w:color="4472C4" w:sz="4" w:space="0"/>
          <w:right w:val="single" w:color="4472C4" w:sz="4" w:space="0"/>
          <w:insideH w:val="nil"/>
          <w:insideV w:val="nil"/>
        </w:tcBorders>
        <w:shd w:val="clear" w:color="auto" w:fill="4472C4"/>
      </w:tcPr>
    </w:tblStylePr>
    <w:tblStylePr w:type="lastRow">
      <w:rPr>
        <w:b/>
        <w:bCs/>
      </w:rPr>
      <w:tblPr/>
      <w:tcPr>
        <w:tcBorders>
          <w:top w:val="double" w:color="4472C4" w:sz="4" w:space="0"/>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laconcuadrcula1clara-nfasis11" w:customStyle="1">
    <w:name w:val="Tabla con cuadrícula 1 clara - Énfasis 11"/>
    <w:basedOn w:val="Tablanormal"/>
    <w:next w:val="Tablaconcuadrcula1clara-nfasis1"/>
    <w:uiPriority w:val="46"/>
    <w:rsid w:val="00F31A99"/>
    <w:pPr>
      <w:spacing w:after="0" w:line="240" w:lineRule="auto"/>
    </w:pPr>
    <w:tblPr>
      <w:tblStyleRowBandSize w:val="1"/>
      <w:tblStyleColBandSize w:val="1"/>
      <w:tblBorders>
        <w:top w:val="single" w:color="B4C6E7" w:sz="4" w:space="0"/>
        <w:left w:val="single" w:color="B4C6E7" w:sz="4" w:space="0"/>
        <w:bottom w:val="single" w:color="B4C6E7" w:sz="4" w:space="0"/>
        <w:right w:val="single" w:color="B4C6E7" w:sz="4" w:space="0"/>
        <w:insideH w:val="single" w:color="B4C6E7" w:sz="4" w:space="0"/>
        <w:insideV w:val="single" w:color="B4C6E7" w:sz="4" w:space="0"/>
      </w:tblBorders>
    </w:tblPr>
    <w:tblStylePr w:type="firstRow">
      <w:rPr>
        <w:b/>
        <w:bCs/>
      </w:rPr>
      <w:tblPr/>
      <w:tcPr>
        <w:tcBorders>
          <w:bottom w:val="single" w:color="8EAADB" w:sz="12" w:space="0"/>
        </w:tcBorders>
      </w:tcPr>
    </w:tblStylePr>
    <w:tblStylePr w:type="lastRow">
      <w:rPr>
        <w:b/>
        <w:bCs/>
      </w:rPr>
      <w:tblPr/>
      <w:tcPr>
        <w:tcBorders>
          <w:top w:val="double" w:color="8EAADB" w:sz="2" w:space="0"/>
        </w:tcBorders>
      </w:tcPr>
    </w:tblStylePr>
    <w:tblStylePr w:type="firstCol">
      <w:rPr>
        <w:b/>
        <w:bCs/>
      </w:rPr>
    </w:tblStylePr>
    <w:tblStylePr w:type="lastCol">
      <w:rPr>
        <w:b/>
        <w:bCs/>
      </w:rPr>
    </w:tblStylePr>
  </w:style>
  <w:style w:type="table" w:styleId="TableGrid1" w:customStyle="1">
    <w:name w:val="TableGrid1"/>
    <w:rsid w:val="00F31A99"/>
    <w:pPr>
      <w:spacing w:after="0" w:line="240" w:lineRule="auto"/>
    </w:pPr>
    <w:rPr>
      <w:rFonts w:eastAsia="Times New Roman"/>
      <w:lang w:eastAsia="es-CR"/>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83.emf" Id="rId117" /><Relationship Type="http://schemas.openxmlformats.org/officeDocument/2006/relationships/image" Target="media/image185.emf" Id="rId299" /><Relationship Type="http://schemas.openxmlformats.org/officeDocument/2006/relationships/oleObject" Target="embeddings/oleObject2.bin" Id="rId21" /><Relationship Type="http://schemas.openxmlformats.org/officeDocument/2006/relationships/image" Target="media/image38.emf" Id="rId63" /><Relationship Type="http://schemas.openxmlformats.org/officeDocument/2006/relationships/image" Target="media/image111.png" Id="rId159" /><Relationship Type="http://schemas.openxmlformats.org/officeDocument/2006/relationships/chart" Target="charts/chart38.xml" Id="rId324" /><Relationship Type="http://schemas.openxmlformats.org/officeDocument/2006/relationships/oleObject" Target="embeddings/oleObject52.bin" Id="rId366" /><Relationship Type="http://schemas.openxmlformats.org/officeDocument/2006/relationships/package" Target="embeddings/Microsoft_Word_Document14.docx" Id="rId170" /><Relationship Type="http://schemas.openxmlformats.org/officeDocument/2006/relationships/image" Target="media/image145.png" Id="rId226" /><Relationship Type="http://schemas.openxmlformats.org/officeDocument/2006/relationships/oleObject" Target="embeddings/oleObject28.bin" Id="rId268" /><Relationship Type="http://schemas.openxmlformats.org/officeDocument/2006/relationships/image" Target="media/image15.emf" Id="rId32" /><Relationship Type="http://schemas.openxmlformats.org/officeDocument/2006/relationships/chart" Target="charts/chart7.xml" Id="rId74" /><Relationship Type="http://schemas.openxmlformats.org/officeDocument/2006/relationships/image" Target="media/image91.png" Id="rId128" /><Relationship Type="http://schemas.openxmlformats.org/officeDocument/2006/relationships/chart" Target="charts/chart49.xml" Id="rId335" /><Relationship Type="http://schemas.openxmlformats.org/officeDocument/2006/relationships/image" Target="media/image217.emf" Id="rId377" /><Relationship Type="http://schemas.openxmlformats.org/officeDocument/2006/relationships/webSettings" Target="webSettings.xml" Id="rId5" /><Relationship Type="http://schemas.openxmlformats.org/officeDocument/2006/relationships/image" Target="media/image123.emf" Id="rId181" /><Relationship Type="http://schemas.openxmlformats.org/officeDocument/2006/relationships/image" Target="media/image152.png" Id="rId237" /><Relationship Type="http://schemas.openxmlformats.org/officeDocument/2006/relationships/image" Target="media/image230.emf" Id="rId402" /><Relationship Type="http://schemas.openxmlformats.org/officeDocument/2006/relationships/image" Target="media/image175.emf" Id="rId279" /><Relationship Type="http://schemas.openxmlformats.org/officeDocument/2006/relationships/image" Target="media/image22.png" Id="rId43" /><Relationship Type="http://schemas.openxmlformats.org/officeDocument/2006/relationships/image" Target="media/image100.png" Id="rId139" /><Relationship Type="http://schemas.openxmlformats.org/officeDocument/2006/relationships/package" Target="embeddings/Microsoft_Excel_Worksheet35.xlsx" Id="rId290" /><Relationship Type="http://schemas.openxmlformats.org/officeDocument/2006/relationships/oleObject" Target="embeddings/oleObject40.bin" Id="rId304" /><Relationship Type="http://schemas.openxmlformats.org/officeDocument/2006/relationships/oleObject" Target="embeddings/oleObject44.bin" Id="rId346" /><Relationship Type="http://schemas.openxmlformats.org/officeDocument/2006/relationships/package" Target="embeddings/Microsoft_Word_Document44.docx" Id="rId388" /><Relationship Type="http://schemas.openxmlformats.org/officeDocument/2006/relationships/chart" Target="charts/chart8.xml" Id="rId85" /><Relationship Type="http://schemas.openxmlformats.org/officeDocument/2006/relationships/oleObject" Target="embeddings/oleObject11.bin" Id="rId150" /><Relationship Type="http://schemas.openxmlformats.org/officeDocument/2006/relationships/package" Target="embeddings/Microsoft_Excel_Worksheet24.xlsx" Id="rId192" /><Relationship Type="http://schemas.openxmlformats.org/officeDocument/2006/relationships/oleObject" Target="embeddings/oleObject20.bin" Id="rId206" /><Relationship Type="http://schemas.openxmlformats.org/officeDocument/2006/relationships/image" Target="media/image237.emf" Id="rId413" /><Relationship Type="http://schemas.openxmlformats.org/officeDocument/2006/relationships/hyperlink" Target="mailto:planiestadisticanp@poder-judicial.go.cr" TargetMode="External" Id="rId248" /><Relationship Type="http://schemas.openxmlformats.org/officeDocument/2006/relationships/package" Target="embeddings/Microsoft_Word_Document1.docx" Id="rId12" /><Relationship Type="http://schemas.openxmlformats.org/officeDocument/2006/relationships/image" Target="media/image74.emf" Id="rId108" /><Relationship Type="http://schemas.openxmlformats.org/officeDocument/2006/relationships/chart" Target="charts/chart30.xml" Id="rId315" /><Relationship Type="http://schemas.openxmlformats.org/officeDocument/2006/relationships/image" Target="media/image207.emf" Id="rId357" /><Relationship Type="http://schemas.openxmlformats.org/officeDocument/2006/relationships/image" Target="media/image29.png" Id="rId54" /><Relationship Type="http://schemas.openxmlformats.org/officeDocument/2006/relationships/image" Target="media/image62.emf" Id="rId96" /><Relationship Type="http://schemas.openxmlformats.org/officeDocument/2006/relationships/image" Target="media/image113.png" Id="rId161" /><Relationship Type="http://schemas.openxmlformats.org/officeDocument/2006/relationships/chart" Target="charts/chart19.xml" Id="rId217" /><Relationship Type="http://schemas.openxmlformats.org/officeDocument/2006/relationships/image" Target="media/image228.emf" Id="rId399" /><Relationship Type="http://schemas.openxmlformats.org/officeDocument/2006/relationships/image" Target="media/image165.emf" Id="rId259" /><Relationship Type="http://schemas.openxmlformats.org/officeDocument/2006/relationships/image" Target="media/image243.png" Id="rId424" /><Relationship Type="http://schemas.openxmlformats.org/officeDocument/2006/relationships/oleObject" Target="embeddings/oleObject3.bin" Id="rId23" /><Relationship Type="http://schemas.openxmlformats.org/officeDocument/2006/relationships/chart" Target="charts/chart11.xml" Id="rId119" /><Relationship Type="http://schemas.openxmlformats.org/officeDocument/2006/relationships/oleObject" Target="embeddings/oleObject29.bin" Id="rId270" /><Relationship Type="http://schemas.openxmlformats.org/officeDocument/2006/relationships/chart" Target="charts/chart40.xml" Id="rId326" /><Relationship Type="http://schemas.openxmlformats.org/officeDocument/2006/relationships/image" Target="media/image39.emf" Id="rId65" /><Relationship Type="http://schemas.openxmlformats.org/officeDocument/2006/relationships/image" Target="media/image93.emf" Id="rId130" /><Relationship Type="http://schemas.openxmlformats.org/officeDocument/2006/relationships/oleObject" Target="embeddings/oleObject53.bin" Id="rId368" /><Relationship Type="http://schemas.openxmlformats.org/officeDocument/2006/relationships/package" Target="embeddings/Microsoft_Word_Document15.docx" Id="rId172" /><Relationship Type="http://schemas.openxmlformats.org/officeDocument/2006/relationships/image" Target="cid:image002.jpg@01D6C8B9.3AA19020" TargetMode="External" Id="rId228" /><Relationship Type="http://schemas.openxmlformats.org/officeDocument/2006/relationships/image" Target="media/image176.emf" Id="rId281" /><Relationship Type="http://schemas.openxmlformats.org/officeDocument/2006/relationships/image" Target="media/image194.png" Id="rId337" /><Relationship Type="http://schemas.openxmlformats.org/officeDocument/2006/relationships/image" Target="media/image16.emf" Id="rId34" /><Relationship Type="http://schemas.openxmlformats.org/officeDocument/2006/relationships/header" Target="header1.xml" Id="rId76" /><Relationship Type="http://schemas.openxmlformats.org/officeDocument/2006/relationships/image" Target="media/image102.emf" Id="rId141" /><Relationship Type="http://schemas.openxmlformats.org/officeDocument/2006/relationships/image" Target="media/image218.emf" Id="rId379" /><Relationship Type="http://schemas.openxmlformats.org/officeDocument/2006/relationships/endnotes" Target="endnotes.xml" Id="rId7" /><Relationship Type="http://schemas.openxmlformats.org/officeDocument/2006/relationships/image" Target="media/image124.emf" Id="rId183" /><Relationship Type="http://schemas.openxmlformats.org/officeDocument/2006/relationships/chart" Target="charts/chart25.xml" Id="rId239" /><Relationship Type="http://schemas.openxmlformats.org/officeDocument/2006/relationships/package" Target="embeddings/Microsoft_Word_Document45.docx" Id="rId390" /><Relationship Type="http://schemas.openxmlformats.org/officeDocument/2006/relationships/chart" Target="charts/chart50.xml" Id="rId404" /><Relationship Type="http://schemas.openxmlformats.org/officeDocument/2006/relationships/package" Target="embeddings/Microsoft_Word_Document27.docx" Id="rId250" /><Relationship Type="http://schemas.openxmlformats.org/officeDocument/2006/relationships/oleObject" Target="embeddings/oleObject35.bin" Id="rId292" /><Relationship Type="http://schemas.openxmlformats.org/officeDocument/2006/relationships/oleObject" Target="embeddings/oleObject41.bin" Id="rId306" /><Relationship Type="http://schemas.openxmlformats.org/officeDocument/2006/relationships/image" Target="media/image24.emf" Id="rId45" /><Relationship Type="http://schemas.openxmlformats.org/officeDocument/2006/relationships/image" Target="media/image54.emf" Id="rId87" /><Relationship Type="http://schemas.openxmlformats.org/officeDocument/2006/relationships/image" Target="media/image76.png" Id="rId110" /><Relationship Type="http://schemas.openxmlformats.org/officeDocument/2006/relationships/package" Target="embeddings/Microsoft_Word_Document40.docx" Id="rId348" /><Relationship Type="http://schemas.openxmlformats.org/officeDocument/2006/relationships/oleObject" Target="embeddings/oleObject12.bin" Id="rId152" /><Relationship Type="http://schemas.openxmlformats.org/officeDocument/2006/relationships/oleObject" Target="embeddings/oleObject15.bin" Id="rId194" /><Relationship Type="http://schemas.openxmlformats.org/officeDocument/2006/relationships/oleObject" Target="embeddings/oleObject21.bin" Id="rId208" /><Relationship Type="http://schemas.openxmlformats.org/officeDocument/2006/relationships/image" Target="media/image238.emf" Id="rId415" /><Relationship Type="http://schemas.openxmlformats.org/officeDocument/2006/relationships/image" Target="media/image166.emf" Id="rId261" /><Relationship Type="http://schemas.openxmlformats.org/officeDocument/2006/relationships/package" Target="embeddings/Microsoft_Word_Document2.docx" Id="rId14" /><Relationship Type="http://schemas.openxmlformats.org/officeDocument/2006/relationships/image" Target="media/image31.emf" Id="rId56" /><Relationship Type="http://schemas.openxmlformats.org/officeDocument/2006/relationships/chart" Target="charts/chart32.xml" Id="rId317" /><Relationship Type="http://schemas.openxmlformats.org/officeDocument/2006/relationships/image" Target="media/image208.emf" Id="rId359" /><Relationship Type="http://schemas.openxmlformats.org/officeDocument/2006/relationships/image" Target="media/image64.emf" Id="rId98" /><Relationship Type="http://schemas.openxmlformats.org/officeDocument/2006/relationships/image" Target="media/image85.emf" Id="rId121" /><Relationship Type="http://schemas.openxmlformats.org/officeDocument/2006/relationships/image" Target="media/image114.png" Id="rId163" /><Relationship Type="http://schemas.openxmlformats.org/officeDocument/2006/relationships/chart" Target="charts/chart20.xml" Id="rId219" /><Relationship Type="http://schemas.openxmlformats.org/officeDocument/2006/relationships/oleObject" Target="embeddings/oleObject54.bin" Id="rId370" /><Relationship Type="http://schemas.openxmlformats.org/officeDocument/2006/relationships/header" Target="header5.xml" Id="rId426" /><Relationship Type="http://schemas.openxmlformats.org/officeDocument/2006/relationships/image" Target="cid:image004.jpg@01D6C8B9.3AA19020" TargetMode="External" Id="rId230" /><Relationship Type="http://schemas.openxmlformats.org/officeDocument/2006/relationships/oleObject" Target="embeddings/oleObject4.bin" Id="rId25" /><Relationship Type="http://schemas.openxmlformats.org/officeDocument/2006/relationships/image" Target="media/image41.emf" Id="rId67" /><Relationship Type="http://schemas.openxmlformats.org/officeDocument/2006/relationships/oleObject" Target="embeddings/oleObject30.bin" Id="rId272" /><Relationship Type="http://schemas.openxmlformats.org/officeDocument/2006/relationships/chart" Target="charts/chart42.xml" Id="rId328" /><Relationship Type="http://schemas.openxmlformats.org/officeDocument/2006/relationships/image" Target="media/image94.emf" Id="rId132" /><Relationship Type="http://schemas.openxmlformats.org/officeDocument/2006/relationships/package" Target="embeddings/Microsoft_Word_Document16.docx" Id="rId174" /><Relationship Type="http://schemas.openxmlformats.org/officeDocument/2006/relationships/image" Target="media/image219.emf" Id="rId381" /><Relationship Type="http://schemas.openxmlformats.org/officeDocument/2006/relationships/image" Target="media/image153.png" Id="rId241" /><Relationship Type="http://schemas.openxmlformats.org/officeDocument/2006/relationships/image" Target="media/image17.emf" Id="rId36" /><Relationship Type="http://schemas.openxmlformats.org/officeDocument/2006/relationships/image" Target="media/image177.emf" Id="rId283" /><Relationship Type="http://schemas.openxmlformats.org/officeDocument/2006/relationships/image" Target="media/image196.png" Id="rId339" /><Relationship Type="http://schemas.openxmlformats.org/officeDocument/2006/relationships/header" Target="header3.xml" Id="rId78" /><Relationship Type="http://schemas.openxmlformats.org/officeDocument/2006/relationships/image" Target="media/image67.emf" Id="rId101" /><Relationship Type="http://schemas.openxmlformats.org/officeDocument/2006/relationships/image" Target="media/image103.emf" Id="rId143" /><Relationship Type="http://schemas.openxmlformats.org/officeDocument/2006/relationships/image" Target="media/image125.emf" Id="rId185" /><Relationship Type="http://schemas.openxmlformats.org/officeDocument/2006/relationships/oleObject" Target="embeddings/oleObject45.bin" Id="rId350" /><Relationship Type="http://schemas.openxmlformats.org/officeDocument/2006/relationships/image" Target="media/image233.emf" Id="rId406" /><Relationship Type="http://schemas.openxmlformats.org/officeDocument/2006/relationships/image" Target="media/image2.emf" Id="rId9" /><Relationship Type="http://schemas.openxmlformats.org/officeDocument/2006/relationships/oleObject" Target="embeddings/oleObject22.bin" Id="rId210" /><Relationship Type="http://schemas.openxmlformats.org/officeDocument/2006/relationships/oleObject" Target="embeddings/oleObject58.bin" Id="rId392" /><Relationship Type="http://schemas.openxmlformats.org/officeDocument/2006/relationships/package" Target="embeddings/Microsoft_Excel_Worksheet28.xlsx" Id="rId252" /><Relationship Type="http://schemas.openxmlformats.org/officeDocument/2006/relationships/package" Target="embeddings/Microsoft_Excel_Worksheet36.xlsx" Id="rId294" /><Relationship Type="http://schemas.openxmlformats.org/officeDocument/2006/relationships/image" Target="media/image190.emf" Id="rId308" /><Relationship Type="http://schemas.openxmlformats.org/officeDocument/2006/relationships/chart" Target="charts/chart1.xml" Id="rId47" /><Relationship Type="http://schemas.openxmlformats.org/officeDocument/2006/relationships/image" Target="media/image56.png" Id="rId89" /><Relationship Type="http://schemas.openxmlformats.org/officeDocument/2006/relationships/image" Target="media/image78.png" Id="rId112" /><Relationship Type="http://schemas.openxmlformats.org/officeDocument/2006/relationships/oleObject" Target="embeddings/oleObject13.bin" Id="rId154" /><Relationship Type="http://schemas.openxmlformats.org/officeDocument/2006/relationships/image" Target="media/image209.emf" Id="rId361" /><Relationship Type="http://schemas.openxmlformats.org/officeDocument/2006/relationships/oleObject" Target="embeddings/oleObject16.bin" Id="rId196" /><Relationship Type="http://schemas.openxmlformats.org/officeDocument/2006/relationships/image" Target="media/image239.emf" Id="rId417" /><Relationship Type="http://schemas.openxmlformats.org/officeDocument/2006/relationships/image" Target="media/image6.emf" Id="rId16" /><Relationship Type="http://schemas.openxmlformats.org/officeDocument/2006/relationships/chart" Target="charts/chart22.xml" Id="rId221" /><Relationship Type="http://schemas.openxmlformats.org/officeDocument/2006/relationships/image" Target="media/image167.emf" Id="rId263" /><Relationship Type="http://schemas.openxmlformats.org/officeDocument/2006/relationships/chart" Target="charts/chart34.xml" Id="rId319" /><Relationship Type="http://schemas.openxmlformats.org/officeDocument/2006/relationships/image" Target="media/image33.emf" Id="rId58" /><Relationship Type="http://schemas.openxmlformats.org/officeDocument/2006/relationships/image" Target="media/image87.emf" Id="rId123" /><Relationship Type="http://schemas.openxmlformats.org/officeDocument/2006/relationships/chart" Target="charts/chart44.xml" Id="rId330" /><Relationship Type="http://schemas.openxmlformats.org/officeDocument/2006/relationships/chart" Target="charts/chart16.xml" Id="rId165" /><Relationship Type="http://schemas.openxmlformats.org/officeDocument/2006/relationships/oleObject" Target="embeddings/oleObject55.bin" Id="rId372" /><Relationship Type="http://schemas.openxmlformats.org/officeDocument/2006/relationships/theme" Target="theme/theme1.xml" Id="rId428" /><Relationship Type="http://schemas.openxmlformats.org/officeDocument/2006/relationships/image" Target="cid:image006.png@01D6C8B9.3AA19020" TargetMode="External" Id="rId232" /><Relationship Type="http://schemas.openxmlformats.org/officeDocument/2006/relationships/package" Target="embeddings/Microsoft_Word_Document31.docx" Id="rId274" /><Relationship Type="http://schemas.openxmlformats.org/officeDocument/2006/relationships/oleObject" Target="embeddings/oleObject5.bin" Id="rId27" /><Relationship Type="http://schemas.openxmlformats.org/officeDocument/2006/relationships/image" Target="media/image42.emf" Id="rId69" /><Relationship Type="http://schemas.openxmlformats.org/officeDocument/2006/relationships/image" Target="media/image96.emf" Id="rId134" /><Relationship Type="http://schemas.openxmlformats.org/officeDocument/2006/relationships/oleObject" Target="embeddings/oleObject7.bin" Id="rId80" /><Relationship Type="http://schemas.openxmlformats.org/officeDocument/2006/relationships/package" Target="embeddings/Microsoft_Word_Document17.docx" Id="rId176" /><Relationship Type="http://schemas.openxmlformats.org/officeDocument/2006/relationships/image" Target="media/image198.png" Id="rId341" /><Relationship Type="http://schemas.openxmlformats.org/officeDocument/2006/relationships/image" Target="media/image220.emf" Id="rId383" /><Relationship Type="http://schemas.openxmlformats.org/officeDocument/2006/relationships/image" Target="media/image133.emf" Id="rId201" /><Relationship Type="http://schemas.openxmlformats.org/officeDocument/2006/relationships/image" Target="media/image155.png" Id="rId243" /><Relationship Type="http://schemas.openxmlformats.org/officeDocument/2006/relationships/image" Target="media/image178.emf" Id="rId285" /><Relationship Type="http://schemas.openxmlformats.org/officeDocument/2006/relationships/image" Target="media/image18.emf" Id="rId38" /><Relationship Type="http://schemas.openxmlformats.org/officeDocument/2006/relationships/image" Target="media/image69.png" Id="rId103" /><Relationship Type="http://schemas.openxmlformats.org/officeDocument/2006/relationships/oleObject" Target="embeddings/oleObject42.bin" Id="rId310" /><Relationship Type="http://schemas.openxmlformats.org/officeDocument/2006/relationships/chart" Target="charts/chart6.xml" Id="rId70" /><Relationship Type="http://schemas.openxmlformats.org/officeDocument/2006/relationships/chart" Target="charts/chart9.xml" Id="rId91" /><Relationship Type="http://schemas.openxmlformats.org/officeDocument/2006/relationships/image" Target="media/image104.emf" Id="rId145" /><Relationship Type="http://schemas.openxmlformats.org/officeDocument/2006/relationships/chart" Target="charts/chart17.xml" Id="rId166" /><Relationship Type="http://schemas.openxmlformats.org/officeDocument/2006/relationships/image" Target="media/image126.emf" Id="rId187" /><Relationship Type="http://schemas.openxmlformats.org/officeDocument/2006/relationships/chart" Target="charts/chart45.xml" Id="rId331" /><Relationship Type="http://schemas.openxmlformats.org/officeDocument/2006/relationships/oleObject" Target="embeddings/oleObject46.bin" Id="rId352" /><Relationship Type="http://schemas.openxmlformats.org/officeDocument/2006/relationships/image" Target="media/image215.emf" Id="rId373" /><Relationship Type="http://schemas.openxmlformats.org/officeDocument/2006/relationships/package" Target="embeddings/Microsoft_Word_Document46.docx" Id="rId394" /><Relationship Type="http://schemas.openxmlformats.org/officeDocument/2006/relationships/oleObject" Target="embeddings/Microsoft_Word_97_-_2003_Document6.doc" Id="rId408" /><Relationship Type="http://schemas.openxmlformats.org/officeDocument/2006/relationships/customXml" Target="../customXml/item1.xml" Id="rId1" /><Relationship Type="http://schemas.openxmlformats.org/officeDocument/2006/relationships/package" Target="embeddings/Microsoft_Word_Document25.docx" Id="rId212" /><Relationship Type="http://schemas.openxmlformats.org/officeDocument/2006/relationships/image" Target="media/image149.png" Id="rId233" /><Relationship Type="http://schemas.openxmlformats.org/officeDocument/2006/relationships/package" Target="embeddings/Microsoft_Excel_Worksheet29.xlsx" Id="rId254" /><Relationship Type="http://schemas.openxmlformats.org/officeDocument/2006/relationships/hyperlink" Target="file:///\\sjointpro02\sitio\subsitios\planificacion\AppData\Local\Microsoft\Windows\INetCache\Content.Outlook\AppData\Local\Microsoft\Windows\Temporary%20Internet%20Files\Content.Outlook\AppData\Local\Microsoft\Windows\Temporary%20Internet%20Files\Content.Outlook\AppData\Local\Microsoft\Windows\Temporary%20Internet%20Files\Content.Outlook\AppData\malvarado\AppData\Local\Microsoft\Windows\AppData\Local\Microsoft\Windows\Temporary%20Internet%20Files\AppData\Local\Microsoft\Windows\Temporary%20Internet%20Files\AppData\Local\Microsoft\Windows\Temporary%20Internet%20Files\AppData\Local\Microsoft\Windows\Temporary%20Internet%20Files\AppData\Local\Microsoft\Windows\Temporary%20Internet%20Files\Presupuesto%202011\27-04-2011\Presupuesto%20PLA\SESION%2028-04-2010%20(I%20PARTE)\Calculo%20Salario%20Escolar.XLS" TargetMode="External" Id="rId28" /><Relationship Type="http://schemas.openxmlformats.org/officeDocument/2006/relationships/chart" Target="charts/chart2.xml" Id="rId49" /><Relationship Type="http://schemas.openxmlformats.org/officeDocument/2006/relationships/image" Target="media/image80.emf" Id="rId114" /><Relationship Type="http://schemas.openxmlformats.org/officeDocument/2006/relationships/image" Target="media/image173.emf" Id="rId275" /><Relationship Type="http://schemas.openxmlformats.org/officeDocument/2006/relationships/oleObject" Target="embeddings/oleObject36.bin" Id="rId296" /><Relationship Type="http://schemas.openxmlformats.org/officeDocument/2006/relationships/oleObject" Target="embeddings/oleObject38.bin" Id="rId300" /><Relationship Type="http://schemas.openxmlformats.org/officeDocument/2006/relationships/image" Target="media/image35.emf" Id="rId60" /><Relationship Type="http://schemas.openxmlformats.org/officeDocument/2006/relationships/image" Target="media/image49.emf" Id="rId81" /><Relationship Type="http://schemas.openxmlformats.org/officeDocument/2006/relationships/image" Target="media/image97.emf" Id="rId135" /><Relationship Type="http://schemas.openxmlformats.org/officeDocument/2006/relationships/oleObject" Target="embeddings/oleObject14.bin" Id="rId156" /><Relationship Type="http://schemas.openxmlformats.org/officeDocument/2006/relationships/image" Target="media/image121.emf" Id="rId177" /><Relationship Type="http://schemas.openxmlformats.org/officeDocument/2006/relationships/oleObject" Target="embeddings/Microsoft_Excel_97-2003_Worksheet.xls" Id="rId198" /><Relationship Type="http://schemas.openxmlformats.org/officeDocument/2006/relationships/chart" Target="charts/chart36.xml" Id="rId321" /><Relationship Type="http://schemas.openxmlformats.org/officeDocument/2006/relationships/image" Target="media/image199.png" Id="rId342" /><Relationship Type="http://schemas.openxmlformats.org/officeDocument/2006/relationships/image" Target="media/image210.emf" Id="rId363" /><Relationship Type="http://schemas.openxmlformats.org/officeDocument/2006/relationships/package" Target="embeddings/Microsoft_Word_Document43.docx" Id="rId384" /><Relationship Type="http://schemas.openxmlformats.org/officeDocument/2006/relationships/image" Target="media/image240.emf" Id="rId419" /><Relationship Type="http://schemas.openxmlformats.org/officeDocument/2006/relationships/oleObject" Target="embeddings/oleObject18.bin" Id="rId202" /><Relationship Type="http://schemas.openxmlformats.org/officeDocument/2006/relationships/image" Target="media/image142.jpeg" Id="rId223" /><Relationship Type="http://schemas.openxmlformats.org/officeDocument/2006/relationships/image" Target="media/image156.png" Id="rId244" /><Relationship Type="http://schemas.openxmlformats.org/officeDocument/2006/relationships/image" Target="media/image7.wmf" Id="rId18" /><Relationship Type="http://schemas.openxmlformats.org/officeDocument/2006/relationships/image" Target="media/image19.emf" Id="rId39" /><Relationship Type="http://schemas.openxmlformats.org/officeDocument/2006/relationships/image" Target="media/image168.emf" Id="rId265" /><Relationship Type="http://schemas.openxmlformats.org/officeDocument/2006/relationships/oleObject" Target="embeddings/oleObject34.bin" Id="rId286" /><Relationship Type="http://schemas.openxmlformats.org/officeDocument/2006/relationships/image" Target="media/image27.png" Id="rId50" /><Relationship Type="http://schemas.openxmlformats.org/officeDocument/2006/relationships/image" Target="media/image70.png" Id="rId104" /><Relationship Type="http://schemas.openxmlformats.org/officeDocument/2006/relationships/image" Target="media/image89.emf" Id="rId125" /><Relationship Type="http://schemas.openxmlformats.org/officeDocument/2006/relationships/oleObject" Target="embeddings/oleObject10.bin" Id="rId146" /><Relationship Type="http://schemas.openxmlformats.org/officeDocument/2006/relationships/image" Target="media/image116.png" Id="rId167" /><Relationship Type="http://schemas.openxmlformats.org/officeDocument/2006/relationships/package" Target="embeddings/Microsoft_Excel_Worksheet22.xlsx" Id="rId188" /><Relationship Type="http://schemas.openxmlformats.org/officeDocument/2006/relationships/hyperlink" Target="http://intranet/gestionhumana/index.php/manual-perfiles" TargetMode="External" Id="rId311" /><Relationship Type="http://schemas.openxmlformats.org/officeDocument/2006/relationships/chart" Target="charts/chart46.xml" Id="rId332" /><Relationship Type="http://schemas.openxmlformats.org/officeDocument/2006/relationships/image" Target="media/image205.emf" Id="rId353" /><Relationship Type="http://schemas.openxmlformats.org/officeDocument/2006/relationships/oleObject" Target="embeddings/oleObject56.bin" Id="rId374" /><Relationship Type="http://schemas.openxmlformats.org/officeDocument/2006/relationships/image" Target="media/image226.emf" Id="rId395" /><Relationship Type="http://schemas.openxmlformats.org/officeDocument/2006/relationships/image" Target="media/image235.emf" Id="rId409" /><Relationship Type="http://schemas.openxmlformats.org/officeDocument/2006/relationships/image" Target="media/image43.emf" Id="rId71" /><Relationship Type="http://schemas.openxmlformats.org/officeDocument/2006/relationships/image" Target="media/image58.emf" Id="rId92" /><Relationship Type="http://schemas.openxmlformats.org/officeDocument/2006/relationships/image" Target="media/image139.emf" Id="rId213" /><Relationship Type="http://schemas.openxmlformats.org/officeDocument/2006/relationships/image" Target="cid:image012.png@01D6C8B9.3AA19020" TargetMode="External" Id="rId234" /><Relationship Type="http://schemas.openxmlformats.org/officeDocument/2006/relationships/oleObject" Target="embeddings/oleObject64.bin" Id="rId420" /><Relationship Type="http://schemas.openxmlformats.org/officeDocument/2006/relationships/numbering" Target="numbering.xml" Id="rId2" /><Relationship Type="http://schemas.openxmlformats.org/officeDocument/2006/relationships/image" Target="media/image12.emf" Id="rId29" /><Relationship Type="http://schemas.openxmlformats.org/officeDocument/2006/relationships/image" Target="media/image163.emf" Id="rId255" /><Relationship Type="http://schemas.openxmlformats.org/officeDocument/2006/relationships/package" Target="embeddings/Microsoft_Word_Document32.docx" Id="rId276" /><Relationship Type="http://schemas.openxmlformats.org/officeDocument/2006/relationships/image" Target="media/image184.emf" Id="rId297" /><Relationship Type="http://schemas.openxmlformats.org/officeDocument/2006/relationships/package" Target="embeddings/Microsoft_Word_Document5.docx" Id="rId40" /><Relationship Type="http://schemas.openxmlformats.org/officeDocument/2006/relationships/image" Target="media/image81.png" Id="rId115" /><Relationship Type="http://schemas.openxmlformats.org/officeDocument/2006/relationships/chart" Target="charts/chart14.xml" Id="rId136" /><Relationship Type="http://schemas.openxmlformats.org/officeDocument/2006/relationships/hyperlink" Target="https://accesoalajusticia.poder-judicial.go.cr/index.php/documentos-indigenas" TargetMode="External" Id="rId157" /><Relationship Type="http://schemas.openxmlformats.org/officeDocument/2006/relationships/oleObject" Target="embeddings/Microsoft_Word_97_-_2003_Document.doc" Id="rId178" /><Relationship Type="http://schemas.openxmlformats.org/officeDocument/2006/relationships/image" Target="media/image186.emf" Id="rId301" /><Relationship Type="http://schemas.openxmlformats.org/officeDocument/2006/relationships/image" Target="media/image192.png" Id="rId322" /><Relationship Type="http://schemas.openxmlformats.org/officeDocument/2006/relationships/image" Target="media/image200.emf" Id="rId343" /><Relationship Type="http://schemas.openxmlformats.org/officeDocument/2006/relationships/oleObject" Target="embeddings/oleObject51.bin" Id="rId364" /><Relationship Type="http://schemas.openxmlformats.org/officeDocument/2006/relationships/image" Target="media/image36.png" Id="rId61" /><Relationship Type="http://schemas.openxmlformats.org/officeDocument/2006/relationships/image" Target="media/image50.png" Id="rId82" /><Relationship Type="http://schemas.openxmlformats.org/officeDocument/2006/relationships/image" Target="media/image132.emf" Id="rId199" /><Relationship Type="http://schemas.openxmlformats.org/officeDocument/2006/relationships/image" Target="media/image134.emf" Id="rId203" /><Relationship Type="http://schemas.openxmlformats.org/officeDocument/2006/relationships/image" Target="media/image221.emf" Id="rId385" /><Relationship Type="http://schemas.openxmlformats.org/officeDocument/2006/relationships/oleObject" Target="embeddings/oleObject1.bin" Id="rId19" /><Relationship Type="http://schemas.openxmlformats.org/officeDocument/2006/relationships/image" Target="media/image143.jpeg" Id="rId224" /><Relationship Type="http://schemas.openxmlformats.org/officeDocument/2006/relationships/image" Target="media/image157.png" Id="rId245" /><Relationship Type="http://schemas.openxmlformats.org/officeDocument/2006/relationships/oleObject" Target="embeddings/oleObject27.bin" Id="rId266" /><Relationship Type="http://schemas.openxmlformats.org/officeDocument/2006/relationships/image" Target="media/image179.emf" Id="rId287" /><Relationship Type="http://schemas.openxmlformats.org/officeDocument/2006/relationships/package" Target="embeddings/Microsoft_Word_Document48.docx" Id="rId410" /><Relationship Type="http://schemas.openxmlformats.org/officeDocument/2006/relationships/image" Target="media/image13.emf" Id="rId30" /><Relationship Type="http://schemas.openxmlformats.org/officeDocument/2006/relationships/image" Target="media/image71.emf" Id="rId105" /><Relationship Type="http://schemas.openxmlformats.org/officeDocument/2006/relationships/chart" Target="charts/chart12.xml" Id="rId126" /><Relationship Type="http://schemas.openxmlformats.org/officeDocument/2006/relationships/image" Target="media/image105.emf" Id="rId147" /><Relationship Type="http://schemas.openxmlformats.org/officeDocument/2006/relationships/chart" Target="charts/chart18.xml" Id="rId168" /><Relationship Type="http://schemas.openxmlformats.org/officeDocument/2006/relationships/chart" Target="charts/chart27.xml" Id="rId312" /><Relationship Type="http://schemas.openxmlformats.org/officeDocument/2006/relationships/chart" Target="charts/chart47.xml" Id="rId333" /><Relationship Type="http://schemas.openxmlformats.org/officeDocument/2006/relationships/oleObject" Target="embeddings/oleObject47.bin" Id="rId354" /><Relationship Type="http://schemas.openxmlformats.org/officeDocument/2006/relationships/chart" Target="charts/chart3.xml" Id="rId51" /><Relationship Type="http://schemas.openxmlformats.org/officeDocument/2006/relationships/image" Target="media/image44.png" Id="rId72" /><Relationship Type="http://schemas.openxmlformats.org/officeDocument/2006/relationships/image" Target="media/image59.png" Id="rId93" /><Relationship Type="http://schemas.openxmlformats.org/officeDocument/2006/relationships/image" Target="media/image127.emf" Id="rId189" /><Relationship Type="http://schemas.openxmlformats.org/officeDocument/2006/relationships/image" Target="media/image216.emf" Id="rId375" /><Relationship Type="http://schemas.openxmlformats.org/officeDocument/2006/relationships/oleObject" Target="embeddings/Microsoft_Word_97_-_2003_Document5.doc" Id="rId396" /><Relationship Type="http://schemas.openxmlformats.org/officeDocument/2006/relationships/styles" Target="styles.xml" Id="rId3" /><Relationship Type="http://schemas.openxmlformats.org/officeDocument/2006/relationships/oleObject" Target="embeddings/oleObject23.bin" Id="rId214" /><Relationship Type="http://schemas.openxmlformats.org/officeDocument/2006/relationships/image" Target="media/image150.emf" Id="rId235" /><Relationship Type="http://schemas.openxmlformats.org/officeDocument/2006/relationships/package" Target="embeddings/Microsoft_PowerPoint_Presentation.pptx" Id="rId256" /><Relationship Type="http://schemas.openxmlformats.org/officeDocument/2006/relationships/image" Target="media/image174.emf" Id="rId277" /><Relationship Type="http://schemas.openxmlformats.org/officeDocument/2006/relationships/oleObject" Target="embeddings/oleObject37.bin" Id="rId298" /><Relationship Type="http://schemas.openxmlformats.org/officeDocument/2006/relationships/package" Target="embeddings/Microsoft_Word_Document47.docx" Id="rId400" /><Relationship Type="http://schemas.openxmlformats.org/officeDocument/2006/relationships/image" Target="media/image241.emf" Id="rId421" /><Relationship Type="http://schemas.openxmlformats.org/officeDocument/2006/relationships/image" Target="media/image82.emf" Id="rId116" /><Relationship Type="http://schemas.openxmlformats.org/officeDocument/2006/relationships/image" Target="media/image98.emf" Id="rId137" /><Relationship Type="http://schemas.openxmlformats.org/officeDocument/2006/relationships/image" Target="media/image110.png" Id="rId158" /><Relationship Type="http://schemas.openxmlformats.org/officeDocument/2006/relationships/oleObject" Target="embeddings/oleObject39.bin" Id="rId302" /><Relationship Type="http://schemas.openxmlformats.org/officeDocument/2006/relationships/chart" Target="charts/chart37.xml" Id="rId323" /><Relationship Type="http://schemas.openxmlformats.org/officeDocument/2006/relationships/oleObject" Target="embeddings/oleObject43.bin" Id="rId344" /><Relationship Type="http://schemas.openxmlformats.org/officeDocument/2006/relationships/image" Target="media/image8.wmf" Id="rId20" /><Relationship Type="http://schemas.openxmlformats.org/officeDocument/2006/relationships/image" Target="media/image20.png" Id="rId41" /><Relationship Type="http://schemas.openxmlformats.org/officeDocument/2006/relationships/image" Target="media/image37.emf" Id="rId62" /><Relationship Type="http://schemas.openxmlformats.org/officeDocument/2006/relationships/image" Target="media/image51.emf" Id="rId83" /><Relationship Type="http://schemas.openxmlformats.org/officeDocument/2006/relationships/image" Target="media/image122.emf" Id="rId179" /><Relationship Type="http://schemas.openxmlformats.org/officeDocument/2006/relationships/image" Target="media/image211.emf" Id="rId365" /><Relationship Type="http://schemas.openxmlformats.org/officeDocument/2006/relationships/oleObject" Target="embeddings/Microsoft_Word_97_-_2003_Document4.doc" Id="rId386" /><Relationship Type="http://schemas.openxmlformats.org/officeDocument/2006/relationships/package" Target="embeddings/Microsoft_Excel_Worksheet23.xlsx" Id="rId190" /><Relationship Type="http://schemas.openxmlformats.org/officeDocument/2006/relationships/oleObject" Target="embeddings/oleObject19.bin" Id="rId204" /><Relationship Type="http://schemas.openxmlformats.org/officeDocument/2006/relationships/image" Target="media/image144.png" Id="rId225" /><Relationship Type="http://schemas.openxmlformats.org/officeDocument/2006/relationships/image" Target="media/image158.png" Id="rId246" /><Relationship Type="http://schemas.openxmlformats.org/officeDocument/2006/relationships/image" Target="media/image169.emf" Id="rId267" /><Relationship Type="http://schemas.openxmlformats.org/officeDocument/2006/relationships/package" Target="embeddings/Microsoft_Excel_Worksheet34.xlsx" Id="rId288" /><Relationship Type="http://schemas.openxmlformats.org/officeDocument/2006/relationships/image" Target="media/image236.emf" Id="rId411" /><Relationship Type="http://schemas.openxmlformats.org/officeDocument/2006/relationships/image" Target="media/image72.emf" Id="rId106" /><Relationship Type="http://schemas.openxmlformats.org/officeDocument/2006/relationships/image" Target="media/image90.emf" Id="rId127" /><Relationship Type="http://schemas.openxmlformats.org/officeDocument/2006/relationships/chart" Target="charts/chart28.xml" Id="rId313" /><Relationship Type="http://schemas.openxmlformats.org/officeDocument/2006/relationships/package" Target="embeddings/Microsoft_Word_Document.docx" Id="rId10" /><Relationship Type="http://schemas.openxmlformats.org/officeDocument/2006/relationships/image" Target="media/image14.emf" Id="rId31" /><Relationship Type="http://schemas.openxmlformats.org/officeDocument/2006/relationships/image" Target="media/image28.emf" Id="rId52" /><Relationship Type="http://schemas.openxmlformats.org/officeDocument/2006/relationships/image" Target="media/image45.emf" Id="rId73" /><Relationship Type="http://schemas.openxmlformats.org/officeDocument/2006/relationships/image" Target="media/image60.emf" Id="rId94" /><Relationship Type="http://schemas.openxmlformats.org/officeDocument/2006/relationships/package" Target="embeddings/Microsoft_Word_Document13.docx" Id="rId148" /><Relationship Type="http://schemas.openxmlformats.org/officeDocument/2006/relationships/image" Target="media/image117.emf" Id="rId169" /><Relationship Type="http://schemas.openxmlformats.org/officeDocument/2006/relationships/chart" Target="charts/chart48.xml" Id="rId334" /><Relationship Type="http://schemas.openxmlformats.org/officeDocument/2006/relationships/image" Target="media/image206.emf" Id="rId355" /><Relationship Type="http://schemas.openxmlformats.org/officeDocument/2006/relationships/oleObject" Target="embeddings/oleObject57.bin" Id="rId376" /><Relationship Type="http://schemas.openxmlformats.org/officeDocument/2006/relationships/image" Target="media/image227.emf" Id="rId397" /><Relationship Type="http://schemas.openxmlformats.org/officeDocument/2006/relationships/settings" Target="settings.xml" Id="rId4" /><Relationship Type="http://schemas.openxmlformats.org/officeDocument/2006/relationships/package" Target="embeddings/Microsoft_Excel_Worksheet18.xlsx" Id="rId180" /><Relationship Type="http://schemas.openxmlformats.org/officeDocument/2006/relationships/image" Target="media/image140.emf" Id="rId215" /><Relationship Type="http://schemas.openxmlformats.org/officeDocument/2006/relationships/image" Target="media/image151.png" Id="rId236" /><Relationship Type="http://schemas.openxmlformats.org/officeDocument/2006/relationships/image" Target="media/image164.emf" Id="rId257" /><Relationship Type="http://schemas.openxmlformats.org/officeDocument/2006/relationships/oleObject" Target="embeddings/oleObject31.bin" Id="rId278" /><Relationship Type="http://schemas.openxmlformats.org/officeDocument/2006/relationships/image" Target="media/image229.emf" Id="rId401" /><Relationship Type="http://schemas.openxmlformats.org/officeDocument/2006/relationships/package" Target="embeddings/Microsoft_Excel_Worksheet49.xlsx" Id="rId422" /><Relationship Type="http://schemas.openxmlformats.org/officeDocument/2006/relationships/image" Target="media/image187.emf" Id="rId303" /><Relationship Type="http://schemas.openxmlformats.org/officeDocument/2006/relationships/image" Target="media/image21.emf" Id="rId42" /><Relationship Type="http://schemas.openxmlformats.org/officeDocument/2006/relationships/image" Target="media/image52.emf" Id="rId84" /><Relationship Type="http://schemas.openxmlformats.org/officeDocument/2006/relationships/image" Target="media/image99.png" Id="rId138" /><Relationship Type="http://schemas.openxmlformats.org/officeDocument/2006/relationships/image" Target="media/image201.emf" Id="rId345" /><Relationship Type="http://schemas.openxmlformats.org/officeDocument/2006/relationships/image" Target="media/image222.emf" Id="rId387" /><Relationship Type="http://schemas.openxmlformats.org/officeDocument/2006/relationships/image" Target="media/image128.emf" Id="rId191" /><Relationship Type="http://schemas.openxmlformats.org/officeDocument/2006/relationships/image" Target="media/image135.emf" Id="rId205" /><Relationship Type="http://schemas.openxmlformats.org/officeDocument/2006/relationships/image" Target="media/image159.png" Id="rId247" /><Relationship Type="http://schemas.openxmlformats.org/officeDocument/2006/relationships/oleObject" Target="embeddings/oleObject60.bin" Id="rId412" /><Relationship Type="http://schemas.openxmlformats.org/officeDocument/2006/relationships/image" Target="media/image73.png" Id="rId107" /><Relationship Type="http://schemas.openxmlformats.org/officeDocument/2006/relationships/image" Target="media/image180.emf" Id="rId289" /><Relationship Type="http://schemas.openxmlformats.org/officeDocument/2006/relationships/image" Target="media/image3.emf" Id="rId11" /><Relationship Type="http://schemas.openxmlformats.org/officeDocument/2006/relationships/package" Target="embeddings/Microsoft_Word_Document8.docx" Id="rId53" /><Relationship Type="http://schemas.openxmlformats.org/officeDocument/2006/relationships/image" Target="media/image106.emf" Id="rId149" /><Relationship Type="http://schemas.openxmlformats.org/officeDocument/2006/relationships/chart" Target="charts/chart29.xml" Id="rId314" /><Relationship Type="http://schemas.openxmlformats.org/officeDocument/2006/relationships/oleObject" Target="embeddings/oleObject48.bin" Id="rId356" /><Relationship Type="http://schemas.openxmlformats.org/officeDocument/2006/relationships/oleObject" Target="embeddings/oleObject59.bin" Id="rId398" /><Relationship Type="http://schemas.openxmlformats.org/officeDocument/2006/relationships/image" Target="media/image61.emf" Id="rId95" /><Relationship Type="http://schemas.openxmlformats.org/officeDocument/2006/relationships/image" Target="media/image112.png" Id="rId160" /><Relationship Type="http://schemas.openxmlformats.org/officeDocument/2006/relationships/oleObject" Target="embeddings/oleObject24.bin" Id="rId216" /><Relationship Type="http://schemas.openxmlformats.org/officeDocument/2006/relationships/image" Target="media/image242.png" Id="rId423" /><Relationship Type="http://schemas.openxmlformats.org/officeDocument/2006/relationships/package" Target="embeddings/Microsoft_Excel_Worksheet30.xlsx" Id="rId258" /><Relationship Type="http://schemas.openxmlformats.org/officeDocument/2006/relationships/image" Target="media/image9.wmf" Id="rId22" /><Relationship Type="http://schemas.openxmlformats.org/officeDocument/2006/relationships/chart" Target="charts/chart4.xml" Id="rId64" /><Relationship Type="http://schemas.openxmlformats.org/officeDocument/2006/relationships/chart" Target="charts/chart10.xml" Id="rId118" /><Relationship Type="http://schemas.openxmlformats.org/officeDocument/2006/relationships/chart" Target="charts/chart39.xml" Id="rId325" /><Relationship Type="http://schemas.openxmlformats.org/officeDocument/2006/relationships/image" Target="media/image212.emf" Id="rId367" /><Relationship Type="http://schemas.openxmlformats.org/officeDocument/2006/relationships/image" Target="media/image118.emf" Id="rId171" /><Relationship Type="http://schemas.openxmlformats.org/officeDocument/2006/relationships/image" Target="media/image146.jpeg" Id="rId227" /><Relationship Type="http://schemas.openxmlformats.org/officeDocument/2006/relationships/image" Target="media/image170.emf" Id="rId269" /><Relationship Type="http://schemas.openxmlformats.org/officeDocument/2006/relationships/oleObject" Target="embeddings/oleObject6.bin" Id="rId33" /><Relationship Type="http://schemas.openxmlformats.org/officeDocument/2006/relationships/image" Target="media/image92.emf" Id="rId129" /><Relationship Type="http://schemas.openxmlformats.org/officeDocument/2006/relationships/oleObject" Target="embeddings/oleObject32.bin" Id="rId280" /><Relationship Type="http://schemas.openxmlformats.org/officeDocument/2006/relationships/image" Target="media/image193.jpeg" Id="rId336" /><Relationship Type="http://schemas.openxmlformats.org/officeDocument/2006/relationships/image" Target="media/image46.emf" Id="rId75" /><Relationship Type="http://schemas.openxmlformats.org/officeDocument/2006/relationships/image" Target="media/image101.emf" Id="rId140" /><Relationship Type="http://schemas.openxmlformats.org/officeDocument/2006/relationships/package" Target="embeddings/Microsoft_Excel_Worksheet19.xlsx" Id="rId182" /><Relationship Type="http://schemas.openxmlformats.org/officeDocument/2006/relationships/package" Target="embeddings/Microsoft_Word_Document41.docx" Id="rId378" /><Relationship Type="http://schemas.openxmlformats.org/officeDocument/2006/relationships/image" Target="media/image231.emf" Id="rId403" /><Relationship Type="http://schemas.openxmlformats.org/officeDocument/2006/relationships/footnotes" Target="footnotes.xml" Id="rId6" /><Relationship Type="http://schemas.openxmlformats.org/officeDocument/2006/relationships/chart" Target="charts/chart24.xml" Id="rId238" /><Relationship Type="http://schemas.openxmlformats.org/officeDocument/2006/relationships/image" Target="media/image181.emf" Id="rId291" /><Relationship Type="http://schemas.openxmlformats.org/officeDocument/2006/relationships/image" Target="media/image188.emf" Id="rId305" /><Relationship Type="http://schemas.openxmlformats.org/officeDocument/2006/relationships/image" Target="media/image202.emf" Id="rId347" /><Relationship Type="http://schemas.openxmlformats.org/officeDocument/2006/relationships/image" Target="media/image23.png" Id="rId44" /><Relationship Type="http://schemas.openxmlformats.org/officeDocument/2006/relationships/image" Target="media/image53.emf" Id="rId86" /><Relationship Type="http://schemas.openxmlformats.org/officeDocument/2006/relationships/image" Target="media/image107.emf" Id="rId151" /><Relationship Type="http://schemas.openxmlformats.org/officeDocument/2006/relationships/image" Target="media/image223.emf" Id="rId389" /><Relationship Type="http://schemas.openxmlformats.org/officeDocument/2006/relationships/image" Target="media/image129.emf" Id="rId193" /><Relationship Type="http://schemas.openxmlformats.org/officeDocument/2006/relationships/image" Target="media/image136.emf" Id="rId207" /><Relationship Type="http://schemas.openxmlformats.org/officeDocument/2006/relationships/image" Target="media/image160.emf" Id="rId249" /><Relationship Type="http://schemas.openxmlformats.org/officeDocument/2006/relationships/oleObject" Target="embeddings/oleObject61.bin" Id="rId414" /><Relationship Type="http://schemas.openxmlformats.org/officeDocument/2006/relationships/image" Target="media/image4.emf" Id="rId13" /><Relationship Type="http://schemas.openxmlformats.org/officeDocument/2006/relationships/image" Target="media/image75.emf" Id="rId109" /><Relationship Type="http://schemas.openxmlformats.org/officeDocument/2006/relationships/oleObject" Target="embeddings/oleObject25.bin" Id="rId260" /><Relationship Type="http://schemas.openxmlformats.org/officeDocument/2006/relationships/chart" Target="charts/chart31.xml" Id="rId316" /><Relationship Type="http://schemas.openxmlformats.org/officeDocument/2006/relationships/image" Target="media/image30.emf" Id="rId55" /><Relationship Type="http://schemas.openxmlformats.org/officeDocument/2006/relationships/image" Target="media/image63.emf" Id="rId97" /><Relationship Type="http://schemas.openxmlformats.org/officeDocument/2006/relationships/image" Target="media/image84.emf" Id="rId120" /><Relationship Type="http://schemas.openxmlformats.org/officeDocument/2006/relationships/oleObject" Target="embeddings/Microsoft_Word_97_-_2003_Document2.doc" Id="rId358" /><Relationship Type="http://schemas.openxmlformats.org/officeDocument/2006/relationships/chart" Target="charts/chart15.xml" Id="rId162" /><Relationship Type="http://schemas.openxmlformats.org/officeDocument/2006/relationships/image" Target="media/image141.png" Id="rId218" /><Relationship Type="http://schemas.openxmlformats.org/officeDocument/2006/relationships/header" Target="header4.xml" Id="rId425" /><Relationship Type="http://schemas.openxmlformats.org/officeDocument/2006/relationships/image" Target="media/image171.emf" Id="rId271" /><Relationship Type="http://schemas.openxmlformats.org/officeDocument/2006/relationships/image" Target="media/image10.wmf" Id="rId24" /><Relationship Type="http://schemas.openxmlformats.org/officeDocument/2006/relationships/image" Target="media/image40.png" Id="rId66" /><Relationship Type="http://schemas.openxmlformats.org/officeDocument/2006/relationships/chart" Target="charts/chart13.xml" Id="rId131" /><Relationship Type="http://schemas.openxmlformats.org/officeDocument/2006/relationships/chart" Target="charts/chart41.xml" Id="rId327" /><Relationship Type="http://schemas.openxmlformats.org/officeDocument/2006/relationships/image" Target="media/image213.emf" Id="rId369" /><Relationship Type="http://schemas.openxmlformats.org/officeDocument/2006/relationships/image" Target="media/image119.emf" Id="rId173" /><Relationship Type="http://schemas.openxmlformats.org/officeDocument/2006/relationships/image" Target="media/image147.jpeg" Id="rId229" /><Relationship Type="http://schemas.openxmlformats.org/officeDocument/2006/relationships/package" Target="embeddings/Microsoft_Word_Document42.docx" Id="rId380" /><Relationship Type="http://schemas.openxmlformats.org/officeDocument/2006/relationships/chart" Target="charts/chart26.xml" Id="rId240" /><Relationship Type="http://schemas.openxmlformats.org/officeDocument/2006/relationships/package" Target="embeddings/Microsoft_Word_Document3.docx" Id="rId35" /><Relationship Type="http://schemas.openxmlformats.org/officeDocument/2006/relationships/header" Target="header2.xml" Id="rId77" /><Relationship Type="http://schemas.openxmlformats.org/officeDocument/2006/relationships/image" Target="media/image66.emf" Id="rId100" /><Relationship Type="http://schemas.openxmlformats.org/officeDocument/2006/relationships/package" Target="embeddings/Microsoft_Excel_Worksheet33.xlsx" Id="rId282" /><Relationship Type="http://schemas.openxmlformats.org/officeDocument/2006/relationships/image" Target="media/image195.png" Id="rId338" /><Relationship Type="http://schemas.openxmlformats.org/officeDocument/2006/relationships/image" Target="media/image1.emf" Id="rId8" /><Relationship Type="http://schemas.openxmlformats.org/officeDocument/2006/relationships/oleObject" Target="embeddings/oleObject8.bin" Id="rId142" /><Relationship Type="http://schemas.openxmlformats.org/officeDocument/2006/relationships/package" Target="embeddings/Microsoft_Excel_Worksheet20.xlsx" Id="rId184" /><Relationship Type="http://schemas.openxmlformats.org/officeDocument/2006/relationships/image" Target="media/image224.emf" Id="rId391" /><Relationship Type="http://schemas.openxmlformats.org/officeDocument/2006/relationships/image" Target="media/image232.png" Id="rId405" /><Relationship Type="http://schemas.openxmlformats.org/officeDocument/2006/relationships/image" Target="media/image161.emf" Id="rId251" /><Relationship Type="http://schemas.openxmlformats.org/officeDocument/2006/relationships/image" Target="media/image25.png" Id="rId46" /><Relationship Type="http://schemas.openxmlformats.org/officeDocument/2006/relationships/image" Target="media/image182.emf" Id="rId293" /><Relationship Type="http://schemas.openxmlformats.org/officeDocument/2006/relationships/image" Target="media/image189.emf" Id="rId307" /><Relationship Type="http://schemas.openxmlformats.org/officeDocument/2006/relationships/image" Target="media/image203.emf" Id="rId349" /><Relationship Type="http://schemas.openxmlformats.org/officeDocument/2006/relationships/image" Target="media/image55.emf" Id="rId88" /><Relationship Type="http://schemas.openxmlformats.org/officeDocument/2006/relationships/image" Target="media/image77.png" Id="rId111" /><Relationship Type="http://schemas.openxmlformats.org/officeDocument/2006/relationships/image" Target="media/image108.emf" Id="rId153" /><Relationship Type="http://schemas.openxmlformats.org/officeDocument/2006/relationships/image" Target="media/image130.emf" Id="rId195" /><Relationship Type="http://schemas.openxmlformats.org/officeDocument/2006/relationships/image" Target="media/image137.emf" Id="rId209" /><Relationship Type="http://schemas.openxmlformats.org/officeDocument/2006/relationships/oleObject" Target="embeddings/oleObject49.bin" Id="rId360" /><Relationship Type="http://schemas.openxmlformats.org/officeDocument/2006/relationships/oleObject" Target="embeddings/oleObject62.bin" Id="rId416" /><Relationship Type="http://schemas.openxmlformats.org/officeDocument/2006/relationships/chart" Target="charts/chart21.xml" Id="rId220" /><Relationship Type="http://schemas.openxmlformats.org/officeDocument/2006/relationships/image" Target="media/image5.emf" Id="rId15" /><Relationship Type="http://schemas.openxmlformats.org/officeDocument/2006/relationships/image" Target="media/image32.png" Id="rId57" /><Relationship Type="http://schemas.openxmlformats.org/officeDocument/2006/relationships/oleObject" Target="embeddings/Microsoft_Word_97_-_2003_Document1.doc" Id="rId262" /><Relationship Type="http://schemas.openxmlformats.org/officeDocument/2006/relationships/chart" Target="charts/chart33.xml" Id="rId318" /><Relationship Type="http://schemas.openxmlformats.org/officeDocument/2006/relationships/image" Target="media/image65.png" Id="rId99" /><Relationship Type="http://schemas.openxmlformats.org/officeDocument/2006/relationships/image" Target="media/image86.png" Id="rId122" /><Relationship Type="http://schemas.openxmlformats.org/officeDocument/2006/relationships/image" Target="media/image115.emf" Id="rId164" /><Relationship Type="http://schemas.openxmlformats.org/officeDocument/2006/relationships/image" Target="media/image214.emf" Id="rId371" /><Relationship Type="http://schemas.openxmlformats.org/officeDocument/2006/relationships/fontTable" Target="fontTable.xml" Id="rId427" /><Relationship Type="http://schemas.openxmlformats.org/officeDocument/2006/relationships/image" Target="media/image11.wmf" Id="rId26" /><Relationship Type="http://schemas.openxmlformats.org/officeDocument/2006/relationships/image" Target="media/image148.png" Id="rId231" /><Relationship Type="http://schemas.openxmlformats.org/officeDocument/2006/relationships/image" Target="media/image172.emf" Id="rId273" /><Relationship Type="http://schemas.openxmlformats.org/officeDocument/2006/relationships/chart" Target="charts/chart43.xml" Id="rId329" /><Relationship Type="http://schemas.openxmlformats.org/officeDocument/2006/relationships/chart" Target="charts/chart5.xml" Id="rId68" /><Relationship Type="http://schemas.openxmlformats.org/officeDocument/2006/relationships/image" Target="media/image95.png" Id="rId133" /><Relationship Type="http://schemas.openxmlformats.org/officeDocument/2006/relationships/image" Target="media/image120.emf" Id="rId175" /><Relationship Type="http://schemas.openxmlformats.org/officeDocument/2006/relationships/image" Target="media/image197.png" Id="rId340" /><Relationship Type="http://schemas.openxmlformats.org/officeDocument/2006/relationships/oleObject" Target="embeddings/oleObject17.bin" Id="rId200" /><Relationship Type="http://schemas.openxmlformats.org/officeDocument/2006/relationships/oleObject" Target="embeddings/Microsoft_Word_97_-_2003_Document3.doc" Id="rId382" /><Relationship Type="http://schemas.openxmlformats.org/officeDocument/2006/relationships/image" Target="media/image154.png" Id="rId242" /><Relationship Type="http://schemas.openxmlformats.org/officeDocument/2006/relationships/oleObject" Target="embeddings/oleObject33.bin" Id="rId284" /><Relationship Type="http://schemas.openxmlformats.org/officeDocument/2006/relationships/package" Target="embeddings/Microsoft_Word_Document4.docx" Id="rId37" /><Relationship Type="http://schemas.openxmlformats.org/officeDocument/2006/relationships/image" Target="media/image48.emf" Id="rId79" /><Relationship Type="http://schemas.openxmlformats.org/officeDocument/2006/relationships/image" Target="media/image68.emf" Id="rId102" /><Relationship Type="http://schemas.openxmlformats.org/officeDocument/2006/relationships/oleObject" Target="embeddings/oleObject9.bin" Id="rId144" /><Relationship Type="http://schemas.openxmlformats.org/officeDocument/2006/relationships/image" Target="media/image57.emf" Id="rId90" /><Relationship Type="http://schemas.openxmlformats.org/officeDocument/2006/relationships/package" Target="embeddings/Microsoft_Excel_Worksheet21.xlsx" Id="rId186" /><Relationship Type="http://schemas.openxmlformats.org/officeDocument/2006/relationships/image" Target="media/image204.emf" Id="rId351" /><Relationship Type="http://schemas.openxmlformats.org/officeDocument/2006/relationships/image" Target="media/image225.emf" Id="rId393" /><Relationship Type="http://schemas.openxmlformats.org/officeDocument/2006/relationships/image" Target="media/image234.emf" Id="rId407" /><Relationship Type="http://schemas.openxmlformats.org/officeDocument/2006/relationships/image" Target="media/image138.emf" Id="rId211" /><Relationship Type="http://schemas.openxmlformats.org/officeDocument/2006/relationships/image" Target="media/image162.emf" Id="rId253" /><Relationship Type="http://schemas.openxmlformats.org/officeDocument/2006/relationships/image" Target="media/image183.emf" Id="rId295" /><Relationship Type="http://schemas.openxmlformats.org/officeDocument/2006/relationships/image" Target="media/image191.emf" Id="rId309" /><Relationship Type="http://schemas.openxmlformats.org/officeDocument/2006/relationships/image" Target="media/image26.png" Id="rId48" /><Relationship Type="http://schemas.openxmlformats.org/officeDocument/2006/relationships/image" Target="media/image79.emf" Id="rId113" /><Relationship Type="http://schemas.openxmlformats.org/officeDocument/2006/relationships/chart" Target="charts/chart35.xml" Id="rId320" /><Relationship Type="http://schemas.openxmlformats.org/officeDocument/2006/relationships/image" Target="media/image109.emf" Id="rId155" /><Relationship Type="http://schemas.openxmlformats.org/officeDocument/2006/relationships/image" Target="media/image131.emf" Id="rId197" /><Relationship Type="http://schemas.openxmlformats.org/officeDocument/2006/relationships/oleObject" Target="embeddings/oleObject50.bin" Id="rId362" /><Relationship Type="http://schemas.openxmlformats.org/officeDocument/2006/relationships/oleObject" Target="embeddings/oleObject63.bin" Id="rId418" /><Relationship Type="http://schemas.openxmlformats.org/officeDocument/2006/relationships/chart" Target="charts/chart23.xml" Id="rId222" /><Relationship Type="http://schemas.openxmlformats.org/officeDocument/2006/relationships/oleObject" Target="embeddings/oleObject26.bin" Id="rId264" /><Relationship Type="http://schemas.openxmlformats.org/officeDocument/2006/relationships/package" Target="embeddings/Microsoft_Excel_Worksheet.xlsx" Id="rId17" /><Relationship Type="http://schemas.openxmlformats.org/officeDocument/2006/relationships/image" Target="media/image34.emf" Id="rId59" /><Relationship Type="http://schemas.openxmlformats.org/officeDocument/2006/relationships/image" Target="media/image88.emf" Id="rId124" /></Relationships>
</file>

<file path=word/_rels/header1.xml.rels><?xml version="1.0" encoding="UTF-8" standalone="yes"?>
<Relationships xmlns="http://schemas.openxmlformats.org/package/2006/relationships"><Relationship Id="rId1" Type="http://schemas.openxmlformats.org/officeDocument/2006/relationships/image" Target="media/image47.jpg"/></Relationships>
</file>

<file path=word/_rels/header3.xml.rels><?xml version="1.0" encoding="UTF-8" standalone="yes"?>
<Relationships xmlns="http://schemas.openxmlformats.org/package/2006/relationships"><Relationship Id="rId1" Type="http://schemas.openxmlformats.org/officeDocument/2006/relationships/image" Target="media/image47.jpg"/></Relationships>
</file>

<file path=word/_rels/header4.xml.rels><?xml version="1.0" encoding="UTF-8" standalone="yes"?>
<Relationships xmlns="http://schemas.openxmlformats.org/package/2006/relationships"><Relationship Id="rId1" Type="http://schemas.openxmlformats.org/officeDocument/2006/relationships/image" Target="media/image47.jpg"/></Relationships>
</file>

<file path=word/_rels/header5.xml.rels><?xml version="1.0" encoding="UTF-8" standalone="yes"?>
<Relationships xmlns="http://schemas.openxmlformats.org/package/2006/relationships"><Relationship Id="rId1" Type="http://schemas.openxmlformats.org/officeDocument/2006/relationships/image" Target="media/image47.jp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D:\PRESUPUESTO%202022\19-%20AN&#193;LISIS%20DE%20SUBPARTIDAS%20SENSIBLES\Cuadros%20de%20Ejecuci&#243;n%20y%20Formulaci&#243;n.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D:\PRESUPUESTO%202022\19-%20AN&#193;LISIS%20DE%20SUBPARTIDAS%20SENSIBLES\Subpartida%20Gastos%20de%20Viaje%20y%20Transporte.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D:\PRESUPUESTO%202022\19-%20AN&#193;LISIS%20DE%20SUBPARTIDAS%20SENSIBLES\Subpartida%20Gastos%20de%20Viaje%20y%20Transporte.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3" Type="http://schemas.openxmlformats.org/officeDocument/2006/relationships/oleObject" Target="file:///C:\Users\hcalderonm\Desktop\Presupuesto.%20Asuntos%20ind&#237;genas\Control%20de%20versiones%20del%20informe\Memorias%20de%20calculo\An&#225;lisis%20entrados_Personas%20ind&#237;genas.xlsx" TargetMode="External"/><Relationship Id="rId2" Type="http://schemas.microsoft.com/office/2011/relationships/chartColorStyle" Target="colors12.xml"/><Relationship Id="rId1" Type="http://schemas.microsoft.com/office/2011/relationships/chartStyle" Target="style12.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hcalderonm\Desktop\Presupuesto.%20Asuntos%20ind&#237;genas\Control%20de%20versiones%20del%20informe\Anexos\9.An&#225;lisis%20agrario.xlsx" TargetMode="External"/><Relationship Id="rId2" Type="http://schemas.microsoft.com/office/2011/relationships/chartColorStyle" Target="colors13.xml"/><Relationship Id="rId1" Type="http://schemas.microsoft.com/office/2011/relationships/chartStyle" Target="style13.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hcalderonm\Desktop\Presupuesto.%20Asuntos%20ind&#237;genas\Control%20de%20versiones%20del%20informe\Anexos\9.An&#225;lisis%20agrario.xlsx" TargetMode="External"/><Relationship Id="rId2" Type="http://schemas.microsoft.com/office/2011/relationships/chartColorStyle" Target="colors14.xml"/><Relationship Id="rId1" Type="http://schemas.microsoft.com/office/2011/relationships/chartStyle" Target="style14.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hcalderonm\Desktop\Presupuesto.%20Asuntos%20ind&#237;genas\Control%20de%20versiones%20del%20informe\Anexos\6.Entrados%20Personas%20Ind&#237;genas%202020.xlsx" TargetMode="External"/><Relationship Id="rId2" Type="http://schemas.microsoft.com/office/2011/relationships/chartColorStyle" Target="colors15.xml"/><Relationship Id="rId1" Type="http://schemas.microsoft.com/office/2011/relationships/chartStyle" Target="style15.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2" Type="http://schemas.openxmlformats.org/officeDocument/2006/relationships/oleObject" Target="file:///D:\RESPALDO%20ORBE\ASUBPROCESO%20PRESUPUESTO\An&#225;lisis%20de%20subpartidas%202022\cuadros.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17.xml"/><Relationship Id="rId1" Type="http://schemas.microsoft.com/office/2011/relationships/chartStyle" Target="style17.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18.xml"/><Relationship Id="rId1" Type="http://schemas.microsoft.com/office/2011/relationships/chartStyle" Target="style18.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19.xml"/><Relationship Id="rId1" Type="http://schemas.microsoft.com/office/2011/relationships/chartStyle" Target="style19.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mdurang\Desktop\Info%20para%20Presupuesto%20CPF%202022.xlsx" TargetMode="External"/><Relationship Id="rId2" Type="http://schemas.microsoft.com/office/2011/relationships/chartColorStyle" Target="colors20.xml"/><Relationship Id="rId1" Type="http://schemas.microsoft.com/office/2011/relationships/chartStyle" Target="style20.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6.xlsx"/></Relationships>
</file>

<file path=word/charts/_rels/chart25.xml.rels><?xml version="1.0" encoding="UTF-8" standalone="yes"?>
<Relationships xmlns="http://schemas.openxmlformats.org/package/2006/relationships"><Relationship Id="rId3" Type="http://schemas.openxmlformats.org/officeDocument/2006/relationships/oleObject" Target="file:///C:\Users\mdurang\Desktop\Info%20para%20Presupuesto%20CPF%202022.xlsx" TargetMode="External"/><Relationship Id="rId2" Type="http://schemas.microsoft.com/office/2011/relationships/chartColorStyle" Target="colors22.xml"/><Relationship Id="rId1" Type="http://schemas.microsoft.com/office/2011/relationships/chartStyle" Target="style22.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mdurang\Desktop\Ref%20295-2021%20xxx-PLA-RH-MI-2021%20Anteproyecto%20presupuesto%20FA%202022\Info%20para%20Presupuesto%20CPF%202022.xlsx" TargetMode="External"/><Relationship Id="rId2" Type="http://schemas.microsoft.com/office/2011/relationships/chartColorStyle" Target="colors23.xml"/><Relationship Id="rId1" Type="http://schemas.microsoft.com/office/2011/relationships/chartStyle" Target="style23.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24.xml"/><Relationship Id="rId1" Type="http://schemas.microsoft.com/office/2011/relationships/chartStyle" Target="style24.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25.xml"/><Relationship Id="rId1" Type="http://schemas.microsoft.com/office/2011/relationships/chartStyle" Target="style25.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26.xml"/><Relationship Id="rId1" Type="http://schemas.microsoft.com/office/2011/relationships/chartStyle" Target="style26.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27.xml"/><Relationship Id="rId1" Type="http://schemas.microsoft.com/office/2011/relationships/chartStyle" Target="style27.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28.xml"/><Relationship Id="rId1" Type="http://schemas.microsoft.com/office/2011/relationships/chartStyle" Target="style28.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29.xml"/><Relationship Id="rId1" Type="http://schemas.microsoft.com/office/2011/relationships/chartStyle" Target="style29.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30.xml"/><Relationship Id="rId1" Type="http://schemas.microsoft.com/office/2011/relationships/chartStyle" Target="style30.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31.xml"/><Relationship Id="rId1" Type="http://schemas.microsoft.com/office/2011/relationships/chartStyle" Target="style31.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32.xml"/><Relationship Id="rId1" Type="http://schemas.microsoft.com/office/2011/relationships/chartStyle" Target="style32.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33.xml"/><Relationship Id="rId1" Type="http://schemas.microsoft.com/office/2011/relationships/chartStyle" Target="style33.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34.xml"/><Relationship Id="rId1" Type="http://schemas.microsoft.com/office/2011/relationships/chartStyle" Target="style34.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35.xml"/><Relationship Id="rId1" Type="http://schemas.microsoft.com/office/2011/relationships/chartStyle" Target="style35.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36.xml"/><Relationship Id="rId1" Type="http://schemas.microsoft.com/office/2011/relationships/chartStyle" Target="style36.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Paulo\2021\PRESUPUESTO%202022\An&#225;lisis%20de%20Presupuesto\Subpartidas%20Sensibles\20203%20Alimentos%20y%20Bebidas\Datos%20Adicionales%2020203.xlsx" TargetMode="External"/></Relationships>
</file>

<file path=word/charts/_rels/chart40.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37.xml"/><Relationship Id="rId1" Type="http://schemas.microsoft.com/office/2011/relationships/chartStyle" Target="style37.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38.xml"/><Relationship Id="rId1" Type="http://schemas.microsoft.com/office/2011/relationships/chartStyle" Target="style38.xml"/></Relationships>
</file>

<file path=word/charts/_rels/chart42.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39.xml"/><Relationship Id="rId1" Type="http://schemas.microsoft.com/office/2011/relationships/chartStyle" Target="style39.xml"/></Relationships>
</file>

<file path=word/charts/_rels/chart43.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40.xml"/><Relationship Id="rId1" Type="http://schemas.microsoft.com/office/2011/relationships/chartStyle" Target="style40.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41.xml"/><Relationship Id="rId1" Type="http://schemas.microsoft.com/office/2011/relationships/chartStyle" Target="style41.xml"/></Relationships>
</file>

<file path=word/charts/_rels/chart45.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42.xml"/><Relationship Id="rId1" Type="http://schemas.microsoft.com/office/2011/relationships/chartStyle" Target="style42.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43.xml"/><Relationship Id="rId1" Type="http://schemas.microsoft.com/office/2011/relationships/chartStyle" Target="style43.xml"/></Relationships>
</file>

<file path=word/charts/_rels/chart47.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44.xml"/><Relationship Id="rId1" Type="http://schemas.microsoft.com/office/2011/relationships/chartStyle" Target="style44.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45.xml"/><Relationship Id="rId1" Type="http://schemas.microsoft.com/office/2011/relationships/chartStyle" Target="style45.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46.xml"/><Relationship Id="rId1" Type="http://schemas.microsoft.com/office/2011/relationships/chartStyle" Target="style46.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ysalazarg\OneDrive%20-%20Poder%20Judicial%20CR\4.%20Presupuesto%202021\An&#225;lisis%20de%20subpartidas%202021\An&#225;lisis%20de%20subpartidas%20sensibles.xlsx" TargetMode="Externa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oleObject" Target="file:///C:\Users\kcalvoh\Documents\PJ\Justicia%20Restaurativa\Justicia%20Restaurativa%202021\An&#225;lisis%20de%20datos%20Justicia%20Restaurativa%202021.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ysalazarg\OneDrive%20-%20Poder%20Judicial%20CR\4.%20Presupuesto%202021\An&#225;lisis%20de%20subpartidas%202021\An&#225;lisis%20de%20subpartidas%20sensibles.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pjcr-my.sharepoint.com/personal/ysalazarg_poder-judicial_go_cr/Documents/4.%20Presupuesto%202021/An&#225;lisis%20de%20subpartidas%202021/An&#225;lisis%20de%20subpartidas%20sensibles.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9.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0.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3FD5-4937-8CD0-029B954AAC8B}"/>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3FD5-4937-8CD0-029B954AAC8B}"/>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3FD5-4937-8CD0-029B954AAC8B}"/>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3FD5-4937-8CD0-029B954AAC8B}"/>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3FD5-4937-8CD0-029B954AAC8B}"/>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3FD5-4937-8CD0-029B954AAC8B}"/>
              </c:ext>
            </c:extLst>
          </c:dPt>
          <c:dLbls>
            <c:dLbl>
              <c:idx val="0"/>
              <c:layout>
                <c:manualLayout>
                  <c:x val="5.0042555874286791E-2"/>
                  <c:y val="6.3507223990947104E-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mn-lt"/>
                        <a:ea typeface="+mn-ea"/>
                        <a:cs typeface="+mn-cs"/>
                      </a:defRPr>
                    </a:pPr>
                    <a:fld id="{24AEF0C3-5FB2-4C5A-8DBA-0D97D44A3D88}" type="CELLRANGE">
                      <a:rPr lang="en-US" sz="900" baseline="0"/>
                      <a:pPr>
                        <a:defRPr sz="900" b="0" i="0" u="none" strike="noStrike" kern="1200" spc="0" baseline="0">
                          <a:solidFill>
                            <a:sysClr val="windowText" lastClr="000000"/>
                          </a:solidFill>
                          <a:latin typeface="+mn-lt"/>
                          <a:ea typeface="+mn-ea"/>
                          <a:cs typeface="+mn-cs"/>
                        </a:defRPr>
                      </a:pPr>
                      <a:t>[CELLRANGE]</a:t>
                    </a:fld>
                    <a:r>
                      <a:rPr lang="en-US" sz="900" baseline="0"/>
                      <a:t> </a:t>
                    </a:r>
                    <a:fld id="{90E7DEEB-00CD-4DB2-B62A-3A1B2395A57B}" type="CATEGORYNAME">
                      <a:rPr lang="en-US" sz="900" baseline="0"/>
                      <a:pPr>
                        <a:defRPr sz="900" b="0" i="0" u="none" strike="noStrike" kern="1200" spc="0" baseline="0">
                          <a:solidFill>
                            <a:sysClr val="windowText" lastClr="000000"/>
                          </a:solidFill>
                          <a:latin typeface="+mn-lt"/>
                          <a:ea typeface="+mn-ea"/>
                          <a:cs typeface="+mn-cs"/>
                        </a:defRPr>
                      </a:pPr>
                      <a:t>[NOMBRE DE CATEGORÍA]</a:t>
                    </a:fld>
                    <a:endParaRPr lang="en-US" sz="900" baseline="0"/>
                  </a:p>
                </c:rich>
              </c:tx>
              <c:spPr>
                <a:noFill/>
                <a:ln>
                  <a:noFill/>
                </a:ln>
                <a:effectLst/>
              </c:spPr>
              <c:dLblPos val="bestFit"/>
              <c:showLegendKey val="0"/>
              <c:showVal val="0"/>
              <c:showCatName val="1"/>
              <c:showSerName val="0"/>
              <c:showPercent val="0"/>
              <c:showBubbleSize val="0"/>
              <c:separator> </c:separator>
              <c:extLst>
                <c:ext xmlns:c15="http://schemas.microsoft.com/office/drawing/2012/chart" uri="{CE6537A1-D6FC-4f65-9D91-7224C49458BB}">
                  <c15:layout>
                    <c:manualLayout>
                      <c:w val="0.23136351769362518"/>
                      <c:h val="0.15552258874646485"/>
                    </c:manualLayout>
                  </c15:layout>
                  <c15:dlblFieldTable/>
                  <c15:showDataLabelsRange val="1"/>
                </c:ext>
                <c:ext xmlns:c16="http://schemas.microsoft.com/office/drawing/2014/chart" uri="{C3380CC4-5D6E-409C-BE32-E72D297353CC}">
                  <c16:uniqueId val="{00000001-3FD5-4937-8CD0-029B954AAC8B}"/>
                </c:ext>
              </c:extLst>
            </c:dLbl>
            <c:dLbl>
              <c:idx val="1"/>
              <c:layout>
                <c:manualLayout>
                  <c:x val="7.6988547498902764E-3"/>
                  <c:y val="-4.704252533165898E-2"/>
                </c:manualLayout>
              </c:layout>
              <c:tx>
                <c:rich>
                  <a:bodyPr/>
                  <a:lstStyle/>
                  <a:p>
                    <a:fld id="{090758A7-84FB-4E2A-9853-22163C790642}" type="CELLRANGE">
                      <a:rPr lang="en-US" sz="900" baseline="0"/>
                      <a:pPr/>
                      <a:t>[CELLRANGE]</a:t>
                    </a:fld>
                    <a:r>
                      <a:rPr lang="en-US" sz="900" baseline="0"/>
                      <a:t> </a:t>
                    </a:r>
                    <a:fld id="{CA8050A8-FB6F-400F-9D9E-FD3178DDA600}" type="CATEGORYNAME">
                      <a:rPr lang="en-US" sz="900" baseline="0"/>
                      <a:pPr/>
                      <a:t>[NOMBRE DE CATEGORÍA]</a:t>
                    </a:fld>
                    <a:endParaRPr lang="en-US" sz="900" baseline="0"/>
                  </a:p>
                </c:rich>
              </c:tx>
              <c:dLblPos val="bestFit"/>
              <c:showLegendKey val="0"/>
              <c:showVal val="0"/>
              <c:showCatName val="1"/>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3FD5-4937-8CD0-029B954AAC8B}"/>
                </c:ext>
              </c:extLst>
            </c:dLbl>
            <c:dLbl>
              <c:idx val="2"/>
              <c:layout>
                <c:manualLayout>
                  <c:x val="0"/>
                  <c:y val="-1.8817010132663625E-2"/>
                </c:manualLayout>
              </c:layout>
              <c:tx>
                <c:rich>
                  <a:bodyPr/>
                  <a:lstStyle/>
                  <a:p>
                    <a:fld id="{92D5CA35-D4CD-4CE6-9555-89F736FC1AC3}" type="CELLRANGE">
                      <a:rPr lang="en-US" sz="900" baseline="0"/>
                      <a:pPr/>
                      <a:t>[CELLRANGE]</a:t>
                    </a:fld>
                    <a:r>
                      <a:rPr lang="en-US" sz="900" baseline="0"/>
                      <a:t> </a:t>
                    </a:r>
                    <a:fld id="{1CF4DAE3-CDDB-4EF5-9E8D-5716E6F4E080}" type="CATEGORYNAME">
                      <a:rPr lang="en-US" sz="900" baseline="0"/>
                      <a:pPr/>
                      <a:t>[NOMBRE DE CATEGORÍA]</a:t>
                    </a:fld>
                    <a:endParaRPr lang="en-US" sz="900" baseline="0"/>
                  </a:p>
                </c:rich>
              </c:tx>
              <c:dLblPos val="bestFit"/>
              <c:showLegendKey val="0"/>
              <c:showVal val="0"/>
              <c:showCatName val="1"/>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3FD5-4937-8CD0-029B954AAC8B}"/>
                </c:ext>
              </c:extLst>
            </c:dLbl>
            <c:dLbl>
              <c:idx val="3"/>
              <c:layout>
                <c:manualLayout>
                  <c:x val="2.3524006651110294E-17"/>
                  <c:y val="9.4085050663317918E-3"/>
                </c:manualLayout>
              </c:layout>
              <c:tx>
                <c:rich>
                  <a:bodyPr/>
                  <a:lstStyle/>
                  <a:p>
                    <a:fld id="{2BDF3AC6-40BF-4333-A1C5-7740D109B98E}" type="CELLRANGE">
                      <a:rPr lang="en-US" sz="900" baseline="0"/>
                      <a:pPr/>
                      <a:t>[CELLRANGE]</a:t>
                    </a:fld>
                    <a:r>
                      <a:rPr lang="en-US" sz="900" baseline="0"/>
                      <a:t> </a:t>
                    </a:r>
                    <a:fld id="{5A037E78-301B-4F53-A830-704CF078F712}" type="CATEGORYNAME">
                      <a:rPr lang="en-US" sz="900" baseline="0"/>
                      <a:pPr/>
                      <a:t>[NOMBRE DE CATEGORÍA]</a:t>
                    </a:fld>
                    <a:endParaRPr lang="en-US" sz="900" baseline="0"/>
                  </a:p>
                </c:rich>
              </c:tx>
              <c:dLblPos val="bestFit"/>
              <c:showLegendKey val="0"/>
              <c:showVal val="0"/>
              <c:showCatName val="1"/>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3FD5-4937-8CD0-029B954AAC8B}"/>
                </c:ext>
              </c:extLst>
            </c:dLbl>
            <c:dLbl>
              <c:idx val="4"/>
              <c:layout>
                <c:manualLayout>
                  <c:x val="-3.611348866143637E-2"/>
                  <c:y val="1.8843603653730237E-2"/>
                </c:manualLayout>
              </c:layout>
              <c:tx>
                <c:rich>
                  <a:bodyPr/>
                  <a:lstStyle/>
                  <a:p>
                    <a:fld id="{C55232E4-DBF0-43F3-8F3D-75B62A45CF3A}" type="CELLRANGE">
                      <a:rPr lang="en-US" sz="900" baseline="0"/>
                      <a:pPr/>
                      <a:t>[CELLRANGE]</a:t>
                    </a:fld>
                    <a:r>
                      <a:rPr lang="en-US" sz="900" baseline="0"/>
                      <a:t> </a:t>
                    </a:r>
                    <a:fld id="{B1A50950-1D83-40E7-9173-426CE9FBF262}" type="CATEGORYNAME">
                      <a:rPr lang="en-US" sz="900" baseline="0"/>
                      <a:pPr/>
                      <a:t>[NOMBRE DE CATEGORÍA]</a:t>
                    </a:fld>
                    <a:endParaRPr lang="en-US" sz="900" baseline="0"/>
                  </a:p>
                </c:rich>
              </c:tx>
              <c:dLblPos val="bestFit"/>
              <c:showLegendKey val="0"/>
              <c:showVal val="0"/>
              <c:showCatName val="1"/>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3FD5-4937-8CD0-029B954AAC8B}"/>
                </c:ext>
              </c:extLst>
            </c:dLbl>
            <c:dLbl>
              <c:idx val="5"/>
              <c:layout>
                <c:manualLayout>
                  <c:x val="8.7253788200262389E-2"/>
                  <c:y val="0"/>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mn-lt"/>
                        <a:ea typeface="+mn-ea"/>
                        <a:cs typeface="+mn-cs"/>
                      </a:defRPr>
                    </a:pPr>
                    <a:fld id="{247D2EDC-8FFF-4862-94F1-8969C5ED4F5C}" type="CELLRANGE">
                      <a:rPr lang="en-US" sz="900" baseline="0"/>
                      <a:pPr>
                        <a:defRPr sz="900" b="0" i="0" u="none" strike="noStrike" kern="1200" spc="0" baseline="0">
                          <a:solidFill>
                            <a:sysClr val="windowText" lastClr="000000"/>
                          </a:solidFill>
                          <a:latin typeface="+mn-lt"/>
                          <a:ea typeface="+mn-ea"/>
                          <a:cs typeface="+mn-cs"/>
                        </a:defRPr>
                      </a:pPr>
                      <a:t>[CELLRANGE]</a:t>
                    </a:fld>
                    <a:r>
                      <a:rPr lang="en-US" sz="900" baseline="0"/>
                      <a:t> </a:t>
                    </a:r>
                    <a:fld id="{A434D90A-FA3C-4160-BC29-340016901CE0}" type="CATEGORYNAME">
                      <a:rPr lang="en-US" sz="900" baseline="0"/>
                      <a:pPr>
                        <a:defRPr sz="900" b="0" i="0" u="none" strike="noStrike" kern="1200" spc="0" baseline="0">
                          <a:solidFill>
                            <a:sysClr val="windowText" lastClr="000000"/>
                          </a:solidFill>
                          <a:latin typeface="+mn-lt"/>
                          <a:ea typeface="+mn-ea"/>
                          <a:cs typeface="+mn-cs"/>
                        </a:defRPr>
                      </a:pPr>
                      <a:t>[NOMBRE DE CATEGORÍA]</a:t>
                    </a:fld>
                    <a:endParaRPr lang="en-US" sz="900" baseline="0"/>
                  </a:p>
                </c:rich>
              </c:tx>
              <c:spPr>
                <a:noFill/>
                <a:ln>
                  <a:noFill/>
                </a:ln>
                <a:effectLst/>
              </c:spPr>
              <c:dLblPos val="bestFit"/>
              <c:showLegendKey val="0"/>
              <c:showVal val="0"/>
              <c:showCatName val="1"/>
              <c:showSerName val="0"/>
              <c:showPercent val="0"/>
              <c:showBubbleSize val="0"/>
              <c:separator> </c:separator>
              <c:extLst>
                <c:ext xmlns:c15="http://schemas.microsoft.com/office/drawing/2012/chart" uri="{CE6537A1-D6FC-4f65-9D91-7224C49458BB}">
                  <c15:layout>
                    <c:manualLayout>
                      <c:w val="0.20544404003566125"/>
                      <c:h val="0.11899425303322425"/>
                    </c:manualLayout>
                  </c15:layout>
                  <c15:dlblFieldTable/>
                  <c15:showDataLabelsRange val="1"/>
                </c:ext>
                <c:ext xmlns:c16="http://schemas.microsoft.com/office/drawing/2014/chart" uri="{C3380CC4-5D6E-409C-BE32-E72D297353CC}">
                  <c16:uniqueId val="{0000000B-3FD5-4937-8CD0-029B954AAC8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mn-lt"/>
                    <a:ea typeface="+mn-ea"/>
                    <a:cs typeface="+mn-cs"/>
                  </a:defRPr>
                </a:pPr>
                <a:endParaRPr lang="es-CR"/>
              </a:p>
            </c:txPr>
            <c:dLblPos val="outEnd"/>
            <c:showLegendKey val="0"/>
            <c:showVal val="0"/>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howDataLabelsRange val="1"/>
              </c:ext>
            </c:extLst>
          </c:dLbls>
          <c:cat>
            <c:strRef>
              <c:f>Hoja3!$A$10:$A$15</c:f>
              <c:strCache>
                <c:ptCount val="6"/>
                <c:pt idx="0">
                  <c:v>Dirección, Administración y Otros Órganos de Apoyo</c:v>
                </c:pt>
                <c:pt idx="1">
                  <c:v>Servicio Jurisdiccional</c:v>
                </c:pt>
                <c:pt idx="2">
                  <c:v>Organismo de Investigación Judicial</c:v>
                </c:pt>
                <c:pt idx="3">
                  <c:v>Ministerio Público</c:v>
                </c:pt>
                <c:pt idx="4">
                  <c:v>Defensa Pública</c:v>
                </c:pt>
                <c:pt idx="5">
                  <c:v>Serv. Atenc - Protec Víctimas y Testigos</c:v>
                </c:pt>
              </c:strCache>
            </c:strRef>
          </c:cat>
          <c:val>
            <c:numRef>
              <c:f>Hoja3!$C$10:$C$15</c:f>
              <c:numCache>
                <c:formatCode>0%</c:formatCode>
                <c:ptCount val="6"/>
                <c:pt idx="0">
                  <c:v>0.19401603465005712</c:v>
                </c:pt>
                <c:pt idx="1">
                  <c:v>0.38630268932874195</c:v>
                </c:pt>
                <c:pt idx="2">
                  <c:v>0.20520443287668011</c:v>
                </c:pt>
                <c:pt idx="3">
                  <c:v>0.13210776009010528</c:v>
                </c:pt>
                <c:pt idx="4">
                  <c:v>6.7006924429394946E-2</c:v>
                </c:pt>
                <c:pt idx="5">
                  <c:v>1.5362158625020597E-2</c:v>
                </c:pt>
              </c:numCache>
            </c:numRef>
          </c:val>
          <c:extLst>
            <c:ext xmlns:c15="http://schemas.microsoft.com/office/drawing/2012/chart" uri="{02D57815-91ED-43cb-92C2-25804820EDAC}">
              <c15:datalabelsRange>
                <c15:f>Hoja3!$C$10:$C$15</c15:f>
                <c15:dlblRangeCache>
                  <c:ptCount val="6"/>
                  <c:pt idx="0">
                    <c:v>19%</c:v>
                  </c:pt>
                  <c:pt idx="1">
                    <c:v>39%</c:v>
                  </c:pt>
                  <c:pt idx="2">
                    <c:v>21%</c:v>
                  </c:pt>
                  <c:pt idx="3">
                    <c:v>13%</c:v>
                  </c:pt>
                  <c:pt idx="4">
                    <c:v>7%</c:v>
                  </c:pt>
                  <c:pt idx="5">
                    <c:v>2%</c:v>
                  </c:pt>
                </c15:dlblRangeCache>
              </c15:datalabelsRange>
            </c:ext>
            <c:ext xmlns:c16="http://schemas.microsoft.com/office/drawing/2014/chart" uri="{C3380CC4-5D6E-409C-BE32-E72D297353CC}">
              <c16:uniqueId val="{0000000C-3FD5-4937-8CD0-029B954AAC8B}"/>
            </c:ext>
          </c:extLst>
        </c:ser>
        <c:ser>
          <c:idx val="1"/>
          <c:order val="1"/>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3FD5-4937-8CD0-029B954AAC8B}"/>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3FD5-4937-8CD0-029B954AAC8B}"/>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3FD5-4937-8CD0-029B954AAC8B}"/>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3FD5-4937-8CD0-029B954AAC8B}"/>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6-3FD5-4937-8CD0-029B954AAC8B}"/>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8-3FD5-4937-8CD0-029B954AAC8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CR"/>
                </a:p>
              </c:txPr>
              <c:dLblPos val="outEnd"/>
              <c:showLegendKey val="0"/>
              <c:showVal val="0"/>
              <c:showCatName val="1"/>
              <c:showSerName val="0"/>
              <c:showPercent val="0"/>
              <c:showBubbleSize val="0"/>
              <c:extLst>
                <c:ext xmlns:c16="http://schemas.microsoft.com/office/drawing/2014/chart" uri="{C3380CC4-5D6E-409C-BE32-E72D297353CC}">
                  <c16:uniqueId val="{0000000E-3FD5-4937-8CD0-029B954AAC8B}"/>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CR"/>
                </a:p>
              </c:txPr>
              <c:dLblPos val="outEnd"/>
              <c:showLegendKey val="0"/>
              <c:showVal val="0"/>
              <c:showCatName val="1"/>
              <c:showSerName val="0"/>
              <c:showPercent val="0"/>
              <c:showBubbleSize val="0"/>
              <c:extLst>
                <c:ext xmlns:c16="http://schemas.microsoft.com/office/drawing/2014/chart" uri="{C3380CC4-5D6E-409C-BE32-E72D297353CC}">
                  <c16:uniqueId val="{00000010-3FD5-4937-8CD0-029B954AAC8B}"/>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CR"/>
                </a:p>
              </c:txPr>
              <c:dLblPos val="outEnd"/>
              <c:showLegendKey val="0"/>
              <c:showVal val="0"/>
              <c:showCatName val="1"/>
              <c:showSerName val="0"/>
              <c:showPercent val="0"/>
              <c:showBubbleSize val="0"/>
              <c:extLst>
                <c:ext xmlns:c16="http://schemas.microsoft.com/office/drawing/2014/chart" uri="{C3380CC4-5D6E-409C-BE32-E72D297353CC}">
                  <c16:uniqueId val="{00000012-3FD5-4937-8CD0-029B954AAC8B}"/>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CR"/>
                </a:p>
              </c:txPr>
              <c:dLblPos val="outEnd"/>
              <c:showLegendKey val="0"/>
              <c:showVal val="0"/>
              <c:showCatName val="1"/>
              <c:showSerName val="0"/>
              <c:showPercent val="0"/>
              <c:showBubbleSize val="0"/>
              <c:extLst>
                <c:ext xmlns:c16="http://schemas.microsoft.com/office/drawing/2014/chart" uri="{C3380CC4-5D6E-409C-BE32-E72D297353CC}">
                  <c16:uniqueId val="{00000014-3FD5-4937-8CD0-029B954AAC8B}"/>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CR"/>
                </a:p>
              </c:txPr>
              <c:dLblPos val="outEnd"/>
              <c:showLegendKey val="0"/>
              <c:showVal val="0"/>
              <c:showCatName val="1"/>
              <c:showSerName val="0"/>
              <c:showPercent val="0"/>
              <c:showBubbleSize val="0"/>
              <c:extLst>
                <c:ext xmlns:c16="http://schemas.microsoft.com/office/drawing/2014/chart" uri="{C3380CC4-5D6E-409C-BE32-E72D297353CC}">
                  <c16:uniqueId val="{00000016-3FD5-4937-8CD0-029B954AAC8B}"/>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CR"/>
                </a:p>
              </c:txPr>
              <c:dLblPos val="outEnd"/>
              <c:showLegendKey val="0"/>
              <c:showVal val="0"/>
              <c:showCatName val="1"/>
              <c:showSerName val="0"/>
              <c:showPercent val="0"/>
              <c:showBubbleSize val="0"/>
              <c:extLst>
                <c:ext xmlns:c16="http://schemas.microsoft.com/office/drawing/2014/chart" uri="{C3380CC4-5D6E-409C-BE32-E72D297353CC}">
                  <c16:uniqueId val="{00000018-3FD5-4937-8CD0-029B954AAC8B}"/>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Hoja3!$A$10:$A$15</c:f>
              <c:strCache>
                <c:ptCount val="6"/>
                <c:pt idx="0">
                  <c:v>Dirección, Administración y Otros Órganos de Apoyo</c:v>
                </c:pt>
                <c:pt idx="1">
                  <c:v>Servicio Jurisdiccional</c:v>
                </c:pt>
                <c:pt idx="2">
                  <c:v>Organismo de Investigación Judicial</c:v>
                </c:pt>
                <c:pt idx="3">
                  <c:v>Ministerio Público</c:v>
                </c:pt>
                <c:pt idx="4">
                  <c:v>Defensa Pública</c:v>
                </c:pt>
                <c:pt idx="5">
                  <c:v>Serv. Atenc - Protec Víctimas y Testigos</c:v>
                </c:pt>
              </c:strCache>
            </c:strRef>
          </c:cat>
          <c:val>
            <c:numRef>
              <c:f>Hoja3!$C$10:$C$15</c:f>
              <c:numCache>
                <c:formatCode>0%</c:formatCode>
                <c:ptCount val="6"/>
                <c:pt idx="0">
                  <c:v>0.19401603465005712</c:v>
                </c:pt>
                <c:pt idx="1">
                  <c:v>0.38630268932874195</c:v>
                </c:pt>
                <c:pt idx="2">
                  <c:v>0.20520443287668011</c:v>
                </c:pt>
                <c:pt idx="3">
                  <c:v>0.13210776009010528</c:v>
                </c:pt>
                <c:pt idx="4">
                  <c:v>6.7006924429394946E-2</c:v>
                </c:pt>
                <c:pt idx="5">
                  <c:v>1.5362158625020597E-2</c:v>
                </c:pt>
              </c:numCache>
            </c:numRef>
          </c:val>
          <c:extLst>
            <c:ext xmlns:c16="http://schemas.microsoft.com/office/drawing/2014/chart" uri="{C3380CC4-5D6E-409C-BE32-E72D297353CC}">
              <c16:uniqueId val="{00000019-3FD5-4937-8CD0-029B954AAC8B}"/>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01C-4DE1-A9BE-0B67C13435C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01C-4DE1-A9BE-0B67C13435C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01C-4DE1-A9BE-0B67C13435C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01C-4DE1-A9BE-0B67C13435C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01C-4DE1-A9BE-0B67C13435C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01C-4DE1-A9BE-0B67C13435C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'Cuadros y Gráficos'!$G$42:$G$47</c:f>
              <c:strCache>
                <c:ptCount val="6"/>
                <c:pt idx="0">
                  <c:v>Dirección, Administración y Otros Órganos</c:v>
                </c:pt>
                <c:pt idx="1">
                  <c:v>Servicio Jurisdiccional</c:v>
                </c:pt>
                <c:pt idx="2">
                  <c:v>Organismo de Investigación Judicial</c:v>
                </c:pt>
                <c:pt idx="3">
                  <c:v>Ministerio Público</c:v>
                </c:pt>
                <c:pt idx="4">
                  <c:v>Defensa Pública</c:v>
                </c:pt>
                <c:pt idx="5">
                  <c:v>Servicio de Atención y Protección</c:v>
                </c:pt>
              </c:strCache>
            </c:strRef>
          </c:cat>
          <c:val>
            <c:numRef>
              <c:f>'Cuadros y Gráficos'!$I$42:$I$47</c:f>
              <c:numCache>
                <c:formatCode>0.00%</c:formatCode>
                <c:ptCount val="6"/>
                <c:pt idx="0">
                  <c:v>0.11755756294237646</c:v>
                </c:pt>
                <c:pt idx="1">
                  <c:v>0.11755756294237646</c:v>
                </c:pt>
                <c:pt idx="2">
                  <c:v>0.34973374975356997</c:v>
                </c:pt>
                <c:pt idx="3">
                  <c:v>0.30271072457661935</c:v>
                </c:pt>
                <c:pt idx="4">
                  <c:v>0.10950146071149834</c:v>
                </c:pt>
                <c:pt idx="5">
                  <c:v>2.9389390735594114E-3</c:v>
                </c:pt>
              </c:numCache>
            </c:numRef>
          </c:val>
          <c:extLst>
            <c:ext xmlns:c16="http://schemas.microsoft.com/office/drawing/2014/chart" uri="{C3380CC4-5D6E-409C-BE32-E72D297353CC}">
              <c16:uniqueId val="{0000000C-301C-4DE1-A9BE-0B67C13435C0}"/>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'10503 CyG'!$B$21:$B$25</c:f>
              <c:strCache>
                <c:ptCount val="5"/>
                <c:pt idx="0">
                  <c:v>Organismo de Investigación Judicial</c:v>
                </c:pt>
                <c:pt idx="1">
                  <c:v>Ministerio Público</c:v>
                </c:pt>
                <c:pt idx="2">
                  <c:v>Presidencia de la Corte</c:v>
                </c:pt>
                <c:pt idx="3">
                  <c:v>Defensa Pública</c:v>
                </c:pt>
                <c:pt idx="4">
                  <c:v>Servicio de Atención y Protección</c:v>
                </c:pt>
              </c:strCache>
            </c:strRef>
          </c:cat>
          <c:val>
            <c:numRef>
              <c:f>'10503 CyG'!$C$21:$C$25</c:f>
              <c:numCache>
                <c:formatCode>#,##0</c:formatCode>
                <c:ptCount val="5"/>
                <c:pt idx="0">
                  <c:v>5950000</c:v>
                </c:pt>
                <c:pt idx="1">
                  <c:v>5150000</c:v>
                </c:pt>
                <c:pt idx="2">
                  <c:v>4000000</c:v>
                </c:pt>
                <c:pt idx="3">
                  <c:v>1862942</c:v>
                </c:pt>
                <c:pt idx="4">
                  <c:v>50000</c:v>
                </c:pt>
              </c:numCache>
            </c:numRef>
          </c:val>
          <c:extLst>
            <c:ext xmlns:c16="http://schemas.microsoft.com/office/drawing/2014/chart" uri="{C3380CC4-5D6E-409C-BE32-E72D297353CC}">
              <c16:uniqueId val="{00000000-C450-4DF0-8180-8CA281C95FCF}"/>
            </c:ext>
          </c:extLst>
        </c:ser>
        <c:dLbls>
          <c:dLblPos val="outEnd"/>
          <c:showLegendKey val="0"/>
          <c:showVal val="1"/>
          <c:showCatName val="0"/>
          <c:showSerName val="0"/>
          <c:showPercent val="0"/>
          <c:showBubbleSize val="0"/>
        </c:dLbls>
        <c:gapWidth val="182"/>
        <c:axId val="481336448"/>
        <c:axId val="481336120"/>
      </c:barChart>
      <c:catAx>
        <c:axId val="481336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81336120"/>
        <c:crosses val="autoZero"/>
        <c:auto val="1"/>
        <c:lblAlgn val="ctr"/>
        <c:lblOffset val="100"/>
        <c:noMultiLvlLbl val="0"/>
      </c:catAx>
      <c:valAx>
        <c:axId val="481336120"/>
        <c:scaling>
          <c:orientation val="minMax"/>
        </c:scaling>
        <c:delete val="1"/>
        <c:axPos val="b"/>
        <c:numFmt formatCode="#,##0" sourceLinked="1"/>
        <c:majorTickMark val="none"/>
        <c:minorTickMark val="none"/>
        <c:tickLblPos val="nextTo"/>
        <c:crossAx val="481336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7981933508311461"/>
          <c:y val="0.17171296296296296"/>
          <c:w val="0.54719466316710408"/>
          <c:h val="0.72088764946048411"/>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'10504 CyG'!$C$21:$C$25</c:f>
              <c:strCache>
                <c:ptCount val="5"/>
                <c:pt idx="0">
                  <c:v>Organismo de Investigación Judicial</c:v>
                </c:pt>
                <c:pt idx="1">
                  <c:v>Ministerio Público</c:v>
                </c:pt>
                <c:pt idx="2">
                  <c:v>Presidencia de la Corte</c:v>
                </c:pt>
                <c:pt idx="3">
                  <c:v>Defensa Pública</c:v>
                </c:pt>
                <c:pt idx="4">
                  <c:v>Servicio de Atención y Protección</c:v>
                </c:pt>
              </c:strCache>
            </c:strRef>
          </c:cat>
          <c:val>
            <c:numRef>
              <c:f>'10504 CyG'!$D$21:$D$25</c:f>
              <c:numCache>
                <c:formatCode>#,##0</c:formatCode>
                <c:ptCount val="5"/>
                <c:pt idx="0">
                  <c:v>5665000</c:v>
                </c:pt>
                <c:pt idx="1">
                  <c:v>5150000</c:v>
                </c:pt>
                <c:pt idx="2">
                  <c:v>4000000</c:v>
                </c:pt>
                <c:pt idx="3">
                  <c:v>1628193</c:v>
                </c:pt>
                <c:pt idx="4">
                  <c:v>50000</c:v>
                </c:pt>
              </c:numCache>
            </c:numRef>
          </c:val>
          <c:extLst>
            <c:ext xmlns:c16="http://schemas.microsoft.com/office/drawing/2014/chart" uri="{C3380CC4-5D6E-409C-BE32-E72D297353CC}">
              <c16:uniqueId val="{00000000-777D-4C29-97C0-9B3DEB0FDD6F}"/>
            </c:ext>
          </c:extLst>
        </c:ser>
        <c:dLbls>
          <c:dLblPos val="outEnd"/>
          <c:showLegendKey val="0"/>
          <c:showVal val="1"/>
          <c:showCatName val="0"/>
          <c:showSerName val="0"/>
          <c:showPercent val="0"/>
          <c:showBubbleSize val="0"/>
        </c:dLbls>
        <c:gapWidth val="182"/>
        <c:axId val="470813608"/>
        <c:axId val="470812952"/>
      </c:barChart>
      <c:catAx>
        <c:axId val="4708136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70812952"/>
        <c:crosses val="autoZero"/>
        <c:auto val="1"/>
        <c:lblAlgn val="ctr"/>
        <c:lblOffset val="100"/>
        <c:noMultiLvlLbl val="0"/>
      </c:catAx>
      <c:valAx>
        <c:axId val="470812952"/>
        <c:scaling>
          <c:orientation val="minMax"/>
        </c:scaling>
        <c:delete val="1"/>
        <c:axPos val="b"/>
        <c:numFmt formatCode="#,##0" sourceLinked="1"/>
        <c:majorTickMark val="none"/>
        <c:minorTickMark val="none"/>
        <c:tickLblPos val="nextTo"/>
        <c:crossAx val="4708136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375158750317499"/>
          <c:y val="0.1834225972350115"/>
          <c:w val="0.53755080010160017"/>
          <c:h val="0.63633698532313532"/>
        </c:manualLayout>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1C96-4030-93BB-0153D25F5CDE}"/>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1C96-4030-93BB-0153D25F5CDE}"/>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1C96-4030-93BB-0153D25F5CDE}"/>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1C96-4030-93BB-0153D25F5CDE}"/>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1C96-4030-93BB-0153D25F5CDE}"/>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1C96-4030-93BB-0153D25F5CDE}"/>
              </c:ext>
            </c:extLst>
          </c:dPt>
          <c:dLbls>
            <c:dLbl>
              <c:idx val="0"/>
              <c:layout>
                <c:manualLayout>
                  <c:x val="8.6021505376343982E-2"/>
                  <c:y val="-5.7279236276849645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fld id="{F26BD17B-E15E-46A3-8AD3-5FC2B47B0298}" type="CATEGORYNAME">
                      <a:rPr lang="en-US"/>
                      <a:pPr>
                        <a:defRPr>
                          <a:solidFill>
                            <a:sysClr val="windowText" lastClr="000000"/>
                          </a:solidFill>
                        </a:defRPr>
                      </a:pPr>
                      <a:t>[NOMBRE DE CATEGORÍA]</a:t>
                    </a:fld>
                    <a:r>
                      <a:rPr lang="en-US" baseline="0"/>
                      <a:t>
67%</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CR"/>
                </a:p>
              </c:tx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C96-4030-93BB-0153D25F5CDE}"/>
                </c:ext>
              </c:extLst>
            </c:dLbl>
            <c:dLbl>
              <c:idx val="1"/>
              <c:layout>
                <c:manualLayout>
                  <c:x val="-5.6451612903225805E-2"/>
                  <c:y val="4.1368337311058073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fld id="{D1326975-64F5-400F-857A-FC59C5E38CAC}" type="CATEGORYNAME">
                      <a:rPr lang="en-US"/>
                      <a:pPr>
                        <a:defRPr>
                          <a:solidFill>
                            <a:sysClr val="windowText" lastClr="000000"/>
                          </a:solidFill>
                        </a:defRPr>
                      </a:pPr>
                      <a:t>[NOMBRE DE CATEGORÍA]</a:t>
                    </a:fld>
                    <a:r>
                      <a:rPr lang="en-US" baseline="0"/>
                      <a:t>
15%</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CR"/>
                </a:p>
              </c:tx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C96-4030-93BB-0153D25F5CDE}"/>
                </c:ext>
              </c:extLst>
            </c:dLbl>
            <c:dLbl>
              <c:idx val="2"/>
              <c:layout>
                <c:manualLayout>
                  <c:x val="-0.15322580645161293"/>
                  <c:y val="-9.5465393794749408E-3"/>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fld id="{2504C058-6CB0-4896-AA76-5D4937E1CD10}" type="CATEGORYNAME">
                      <a:rPr lang="en-US"/>
                      <a:pPr>
                        <a:defRPr>
                          <a:solidFill>
                            <a:sysClr val="windowText" lastClr="000000"/>
                          </a:solidFill>
                        </a:defRPr>
                      </a:pPr>
                      <a:t>[NOMBRE DE CATEGORÍA]</a:t>
                    </a:fld>
                    <a:r>
                      <a:rPr lang="en-US" baseline="0"/>
                      <a:t>
9%</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CR"/>
                </a:p>
              </c:tx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C96-4030-93BB-0153D25F5CDE}"/>
                </c:ext>
              </c:extLst>
            </c:dLbl>
            <c:dLbl>
              <c:idx val="3"/>
              <c:layout>
                <c:manualLayout>
                  <c:x val="-3.0234736558990241E-2"/>
                  <c:y val="-3.571428571428572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C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C96-4030-93BB-0153D25F5CDE}"/>
                </c:ext>
              </c:extLst>
            </c:dLbl>
            <c:dLbl>
              <c:idx val="4"/>
              <c:layout>
                <c:manualLayout>
                  <c:x val="0.14499323326771654"/>
                  <c:y val="-4.5267314558653141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fld id="{E921C1AD-1EFB-4097-8264-A98320DDA5BB}" type="CATEGORYNAME">
                      <a:rPr lang="en-US"/>
                      <a:pPr>
                        <a:defRPr>
                          <a:solidFill>
                            <a:sysClr val="windowText" lastClr="000000"/>
                          </a:solidFill>
                        </a:defRPr>
                      </a:pPr>
                      <a:t>[NOMBRE DE CATEGORÍA]</a:t>
                    </a:fld>
                    <a:r>
                      <a:rPr lang="en-US" baseline="0"/>
                      <a:t>
3%</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CR"/>
                </a:p>
              </c:tx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1C96-4030-93BB-0153D25F5CDE}"/>
                </c:ext>
              </c:extLst>
            </c:dLbl>
            <c:dLbl>
              <c:idx val="5"/>
              <c:layout>
                <c:manualLayout>
                  <c:x val="0.32476480479002623"/>
                  <c:y val="1.2012012012012012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fld id="{DAB727C6-5485-4190-A47B-D7EB7D74AB63}" type="CATEGORYNAME">
                      <a:rPr lang="en-US"/>
                      <a:pPr>
                        <a:defRPr>
                          <a:solidFill>
                            <a:sysClr val="windowText" lastClr="000000"/>
                          </a:solidFill>
                        </a:defRPr>
                      </a:pPr>
                      <a:t>[NOMBRE DE CATEGORÍA]</a:t>
                    </a:fld>
                    <a:r>
                      <a:rPr lang="en-US" baseline="0"/>
                      <a:t>
2%</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CR"/>
                </a:p>
              </c:tx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1C96-4030-93BB-0153D25F5CD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C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VARIACIÓN!$B$5:$B$10</c:f>
              <c:strCache>
                <c:ptCount val="6"/>
                <c:pt idx="0">
                  <c:v>Dirección, Administración y Otros Órganos de Apoyo</c:v>
                </c:pt>
                <c:pt idx="1">
                  <c:v>Servicio Jurisdiccional</c:v>
                </c:pt>
                <c:pt idx="2">
                  <c:v>Organismo de Investigación Judicial</c:v>
                </c:pt>
                <c:pt idx="3">
                  <c:v>Ministerio Público</c:v>
                </c:pt>
                <c:pt idx="4">
                  <c:v>Defensa Pública</c:v>
                </c:pt>
                <c:pt idx="5">
                  <c:v>Servicio de Atención y Protección de Víctimas y Testigos</c:v>
                </c:pt>
              </c:strCache>
            </c:strRef>
          </c:cat>
          <c:val>
            <c:numRef>
              <c:f>VARIACIÓN!$E$5:$E$10</c:f>
              <c:numCache>
                <c:formatCode>_(* #,##0_);_(* \(#,##0\);_(* "-"_);_(@_)</c:formatCode>
                <c:ptCount val="6"/>
                <c:pt idx="0">
                  <c:v>343424554</c:v>
                </c:pt>
                <c:pt idx="1">
                  <c:v>43195328</c:v>
                </c:pt>
                <c:pt idx="2">
                  <c:v>20685896</c:v>
                </c:pt>
                <c:pt idx="3">
                  <c:v>15976536</c:v>
                </c:pt>
                <c:pt idx="4">
                  <c:v>6600000</c:v>
                </c:pt>
                <c:pt idx="5">
                  <c:v>4500000</c:v>
                </c:pt>
              </c:numCache>
            </c:numRef>
          </c:val>
          <c:extLst>
            <c:ext xmlns:c16="http://schemas.microsoft.com/office/drawing/2014/chart" uri="{C3380CC4-5D6E-409C-BE32-E72D297353CC}">
              <c16:uniqueId val="{0000000C-1C96-4030-93BB-0153D25F5CDE}"/>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008080"/>
              </a:solidFill>
              <a:ln w="19050">
                <a:solidFill>
                  <a:schemeClr val="lt1"/>
                </a:solidFill>
              </a:ln>
              <a:effectLst/>
            </c:spPr>
            <c:extLst>
              <c:ext xmlns:c16="http://schemas.microsoft.com/office/drawing/2014/chart" uri="{C3380CC4-5D6E-409C-BE32-E72D297353CC}">
                <c16:uniqueId val="{00000001-90AA-4FFA-AEBF-019FD9CCEB77}"/>
              </c:ext>
            </c:extLst>
          </c:dPt>
          <c:dPt>
            <c:idx val="1"/>
            <c:bubble3D val="0"/>
            <c:spPr>
              <a:solidFill>
                <a:srgbClr val="FF6699"/>
              </a:solidFill>
              <a:ln w="19050">
                <a:solidFill>
                  <a:schemeClr val="lt1"/>
                </a:solidFill>
              </a:ln>
              <a:effectLst/>
            </c:spPr>
            <c:extLst>
              <c:ext xmlns:c16="http://schemas.microsoft.com/office/drawing/2014/chart" uri="{C3380CC4-5D6E-409C-BE32-E72D297353CC}">
                <c16:uniqueId val="{00000003-90AA-4FFA-AEBF-019FD9CCEB77}"/>
              </c:ext>
            </c:extLst>
          </c:dPt>
          <c:dPt>
            <c:idx val="2"/>
            <c:bubble3D val="0"/>
            <c:spPr>
              <a:solidFill>
                <a:srgbClr val="0070C0"/>
              </a:solidFill>
              <a:ln w="19050">
                <a:solidFill>
                  <a:schemeClr val="lt1"/>
                </a:solidFill>
              </a:ln>
              <a:effectLst/>
            </c:spPr>
            <c:extLst>
              <c:ext xmlns:c16="http://schemas.microsoft.com/office/drawing/2014/chart" uri="{C3380CC4-5D6E-409C-BE32-E72D297353CC}">
                <c16:uniqueId val="{00000005-90AA-4FFA-AEBF-019FD9CCEB7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0AA-4FFA-AEBF-019FD9CCEB7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0AA-4FFA-AEBF-019FD9CCEB77}"/>
              </c:ext>
            </c:extLst>
          </c:dPt>
          <c:dPt>
            <c:idx val="5"/>
            <c:bubble3D val="0"/>
            <c:spPr>
              <a:solidFill>
                <a:sysClr val="window" lastClr="FFFFFF"/>
              </a:solidFill>
              <a:ln w="19050">
                <a:solidFill>
                  <a:schemeClr val="lt1"/>
                </a:solidFill>
              </a:ln>
              <a:effectLst/>
            </c:spPr>
            <c:extLst>
              <c:ext xmlns:c16="http://schemas.microsoft.com/office/drawing/2014/chart" uri="{C3380CC4-5D6E-409C-BE32-E72D297353CC}">
                <c16:uniqueId val="{0000000B-90AA-4FFA-AEBF-019FD9CCEB77}"/>
              </c:ext>
            </c:extLst>
          </c:dPt>
          <c:dLbls>
            <c:dLbl>
              <c:idx val="0"/>
              <c:layout>
                <c:manualLayout>
                  <c:x val="-0.1408986220472441"/>
                  <c:y val="-0.13936280482260732"/>
                </c:manualLayout>
              </c:layout>
              <c:tx>
                <c:rich>
                  <a:bodyPr rot="0" spcFirstLastPara="1" vertOverflow="ellipsis" vert="horz" wrap="square" lIns="38100" tIns="19050" rIns="38100" bIns="19050" anchor="ctr" anchorCtr="1">
                    <a:spAutoFit/>
                  </a:bodyPr>
                  <a:lstStyle/>
                  <a:p>
                    <a:pPr>
                      <a:defRPr sz="1400" b="1" i="0" u="none" strike="noStrike" kern="1200" baseline="0">
                        <a:solidFill>
                          <a:sysClr val="windowText" lastClr="000000"/>
                        </a:solidFill>
                        <a:latin typeface="+mn-lt"/>
                        <a:ea typeface="+mn-ea"/>
                        <a:cs typeface="+mn-cs"/>
                      </a:defRPr>
                    </a:pPr>
                    <a:r>
                      <a:rPr lang="en-US"/>
                      <a:t>56%</a:t>
                    </a:r>
                  </a:p>
                </c:rich>
              </c:tx>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ysClr val="windowText" lastClr="000000"/>
                      </a:solidFill>
                      <a:latin typeface="+mn-lt"/>
                      <a:ea typeface="+mn-ea"/>
                      <a:cs typeface="+mn-cs"/>
                    </a:defRPr>
                  </a:pPr>
                  <a:endParaRPr lang="es-CR"/>
                </a:p>
              </c:tx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90AA-4FFA-AEBF-019FD9CCEB77}"/>
                </c:ext>
              </c:extLst>
            </c:dLbl>
            <c:dLbl>
              <c:idx val="1"/>
              <c:layout>
                <c:manualLayout>
                  <c:x val="8.8249737621901109E-2"/>
                  <c:y val="2.2211690977397523E-2"/>
                </c:manualLayout>
              </c:layout>
              <c:tx>
                <c:rich>
                  <a:bodyPr/>
                  <a:lstStyle/>
                  <a:p>
                    <a:r>
                      <a:rPr lang="en-US"/>
                      <a:t>8%</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90AA-4FFA-AEBF-019FD9CCEB77}"/>
                </c:ext>
              </c:extLst>
            </c:dLbl>
            <c:dLbl>
              <c:idx val="2"/>
              <c:tx>
                <c:rich>
                  <a:bodyPr/>
                  <a:lstStyle/>
                  <a:p>
                    <a:r>
                      <a:rPr lang="en-US"/>
                      <a:t>4%</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90AA-4FFA-AEBF-019FD9CCEB77}"/>
                </c:ext>
              </c:extLst>
            </c:dLbl>
            <c:dLbl>
              <c:idx val="3"/>
              <c:layout>
                <c:manualLayout>
                  <c:x val="8.474500768870287E-2"/>
                  <c:y val="0.14882383104428257"/>
                </c:manualLayout>
              </c:layout>
              <c:tx>
                <c:rich>
                  <a:bodyPr/>
                  <a:lstStyle/>
                  <a:p>
                    <a:r>
                      <a:rPr lang="en-US"/>
                      <a:t>29%</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90AA-4FFA-AEBF-019FD9CCEB77}"/>
                </c:ext>
              </c:extLst>
            </c:dLbl>
            <c:dLbl>
              <c:idx val="4"/>
              <c:tx>
                <c:rich>
                  <a:bodyPr/>
                  <a:lstStyle/>
                  <a:p>
                    <a:r>
                      <a:rPr lang="en-US"/>
                      <a:t>3%</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90AA-4FFA-AEBF-019FD9CCEB77}"/>
                </c:ext>
              </c:extLst>
            </c:dLbl>
            <c:dLbl>
              <c:idx val="5"/>
              <c:delete val="1"/>
              <c:extLst>
                <c:ext xmlns:c15="http://schemas.microsoft.com/office/drawing/2012/chart" uri="{CE6537A1-D6FC-4f65-9D91-7224C49458BB}"/>
                <c:ext xmlns:c16="http://schemas.microsoft.com/office/drawing/2014/chart" uri="{C3380CC4-5D6E-409C-BE32-E72D297353CC}">
                  <c16:uniqueId val="{0000000B-90AA-4FFA-AEBF-019FD9CCEB77}"/>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'10702'!$B$28:$B$33</c:f>
              <c:strCache>
                <c:ptCount val="6"/>
                <c:pt idx="0">
                  <c:v>Dirección, Administración y Otros Órganos de Apoyo</c:v>
                </c:pt>
                <c:pt idx="1">
                  <c:v>Servicio Jurisdiccional</c:v>
                </c:pt>
                <c:pt idx="2">
                  <c:v>Organismo de Investigación Judicial</c:v>
                </c:pt>
                <c:pt idx="3">
                  <c:v>Ministerio Público</c:v>
                </c:pt>
                <c:pt idx="4">
                  <c:v>Defensa Pública</c:v>
                </c:pt>
                <c:pt idx="5">
                  <c:v>Servicio de Atención y Protección de Víctimas y Testigos</c:v>
                </c:pt>
              </c:strCache>
            </c:strRef>
          </c:cat>
          <c:val>
            <c:numRef>
              <c:f>'10702'!$D$28:$D$33</c:f>
              <c:numCache>
                <c:formatCode>#,##0_ ;\-#,##0\ </c:formatCode>
                <c:ptCount val="6"/>
                <c:pt idx="0">
                  <c:v>14303190</c:v>
                </c:pt>
                <c:pt idx="1">
                  <c:v>926075</c:v>
                </c:pt>
                <c:pt idx="2">
                  <c:v>462045</c:v>
                </c:pt>
                <c:pt idx="3">
                  <c:v>3165698</c:v>
                </c:pt>
                <c:pt idx="4">
                  <c:v>295503</c:v>
                </c:pt>
                <c:pt idx="5">
                  <c:v>170000</c:v>
                </c:pt>
              </c:numCache>
            </c:numRef>
          </c:val>
          <c:extLst>
            <c:ext xmlns:c16="http://schemas.microsoft.com/office/drawing/2014/chart" uri="{C3380CC4-5D6E-409C-BE32-E72D297353CC}">
              <c16:uniqueId val="{0000000C-90AA-4FFA-AEBF-019FD9CCEB77}"/>
            </c:ext>
          </c:extLst>
        </c:ser>
        <c:dLbls>
          <c:showLegendKey val="0"/>
          <c:showVal val="0"/>
          <c:showCatName val="0"/>
          <c:showSerName val="0"/>
          <c:showPercent val="1"/>
          <c:showBubbleSize val="0"/>
          <c:showLeaderLines val="1"/>
        </c:dLbls>
        <c:firstSliceAng val="0"/>
      </c:pieChart>
      <c:spPr>
        <a:noFill/>
        <a:ln>
          <a:noFill/>
        </a:ln>
        <a:effectLst/>
      </c:spPr>
    </c:plotArea>
    <c:legend>
      <c:legendPos val="r"/>
      <c:legendEntry>
        <c:idx val="5"/>
        <c:delete val="1"/>
      </c:legendEntry>
      <c:layout>
        <c:manualLayout>
          <c:xMode val="edge"/>
          <c:yMode val="edge"/>
          <c:x val="0.62473053368328957"/>
          <c:y val="0.20572506561679793"/>
          <c:w val="0.35860279965004371"/>
          <c:h val="0.593521485333963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R"/>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Análisis!$C$6</c:f>
              <c:strCache>
                <c:ptCount val="1"/>
                <c:pt idx="0">
                  <c:v>Promedio ingreso mensual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Análisis!$A$7:$A$23</c:f>
              <c:strCache>
                <c:ptCount val="17"/>
                <c:pt idx="0">
                  <c:v>Penal</c:v>
                </c:pt>
                <c:pt idx="1">
                  <c:v>Violencia Doméstica</c:v>
                </c:pt>
                <c:pt idx="2">
                  <c:v>Faltas y Contravenciones</c:v>
                </c:pt>
                <c:pt idx="3">
                  <c:v>Pensiones Alimentarias</c:v>
                </c:pt>
                <c:pt idx="4">
                  <c:v>Penal Juvenil</c:v>
                </c:pt>
                <c:pt idx="5">
                  <c:v>Familia</c:v>
                </c:pt>
                <c:pt idx="6">
                  <c:v>Laboral</c:v>
                </c:pt>
                <c:pt idx="7">
                  <c:v>Tránsito</c:v>
                </c:pt>
                <c:pt idx="8">
                  <c:v>Agrario</c:v>
                </c:pt>
                <c:pt idx="9">
                  <c:v>Civil</c:v>
                </c:pt>
                <c:pt idx="10">
                  <c:v>Cobro Judicial</c:v>
                </c:pt>
                <c:pt idx="11">
                  <c:v>Constitucional</c:v>
                </c:pt>
                <c:pt idx="12">
                  <c:v>Centro de Conciliación</c:v>
                </c:pt>
                <c:pt idx="13">
                  <c:v>Contencioso Administrativo</c:v>
                </c:pt>
                <c:pt idx="14">
                  <c:v>Notariado</c:v>
                </c:pt>
                <c:pt idx="15">
                  <c:v>Niñez y Adolescencia</c:v>
                </c:pt>
                <c:pt idx="16">
                  <c:v>Disciplinario</c:v>
                </c:pt>
              </c:strCache>
            </c:strRef>
          </c:cat>
          <c:val>
            <c:numRef>
              <c:f>Análisis!$C$7:$C$23</c:f>
              <c:numCache>
                <c:formatCode>0</c:formatCode>
                <c:ptCount val="17"/>
                <c:pt idx="0">
                  <c:v>105.77777777777777</c:v>
                </c:pt>
                <c:pt idx="1">
                  <c:v>36.222222222222221</c:v>
                </c:pt>
                <c:pt idx="2">
                  <c:v>26.4</c:v>
                </c:pt>
                <c:pt idx="3">
                  <c:v>26.266666666666666</c:v>
                </c:pt>
                <c:pt idx="4">
                  <c:v>7.7333333333333334</c:v>
                </c:pt>
                <c:pt idx="5">
                  <c:v>5.3777777777777782</c:v>
                </c:pt>
                <c:pt idx="6">
                  <c:v>5.2888888888888888</c:v>
                </c:pt>
                <c:pt idx="7">
                  <c:v>4.3555555555555552</c:v>
                </c:pt>
                <c:pt idx="8">
                  <c:v>4.2666666666666666</c:v>
                </c:pt>
                <c:pt idx="9">
                  <c:v>2.8888888888888888</c:v>
                </c:pt>
                <c:pt idx="10">
                  <c:v>2.2222222222222223</c:v>
                </c:pt>
                <c:pt idx="11">
                  <c:v>1.1555555555555554</c:v>
                </c:pt>
                <c:pt idx="12">
                  <c:v>0.26666666666666666</c:v>
                </c:pt>
                <c:pt idx="13">
                  <c:v>0.17777777777777778</c:v>
                </c:pt>
                <c:pt idx="14">
                  <c:v>8.8888888888888892E-2</c:v>
                </c:pt>
                <c:pt idx="15">
                  <c:v>4.4444444444444446E-2</c:v>
                </c:pt>
                <c:pt idx="16">
                  <c:v>4.4444444444444446E-2</c:v>
                </c:pt>
              </c:numCache>
            </c:numRef>
          </c:val>
          <c:extLst>
            <c:ext xmlns:c16="http://schemas.microsoft.com/office/drawing/2014/chart" uri="{C3380CC4-5D6E-409C-BE32-E72D297353CC}">
              <c16:uniqueId val="{00000000-3562-41E0-B922-78426F23440B}"/>
            </c:ext>
          </c:extLst>
        </c:ser>
        <c:dLbls>
          <c:showLegendKey val="0"/>
          <c:showVal val="0"/>
          <c:showCatName val="0"/>
          <c:showSerName val="0"/>
          <c:showPercent val="0"/>
          <c:showBubbleSize val="0"/>
        </c:dLbls>
        <c:gapWidth val="219"/>
        <c:overlap val="-27"/>
        <c:axId val="786760896"/>
        <c:axId val="786758928"/>
      </c:barChart>
      <c:lineChart>
        <c:grouping val="standard"/>
        <c:varyColors val="0"/>
        <c:ser>
          <c:idx val="3"/>
          <c:order val="1"/>
          <c:tx>
            <c:strRef>
              <c:f>Análisis!$E$6</c:f>
              <c:strCache>
                <c:ptCount val="1"/>
                <c:pt idx="0">
                  <c:v>Rep. % acumulada</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Análisis!$A$7:$A$23</c:f>
              <c:strCache>
                <c:ptCount val="17"/>
                <c:pt idx="0">
                  <c:v>Penal</c:v>
                </c:pt>
                <c:pt idx="1">
                  <c:v>Violencia Doméstica</c:v>
                </c:pt>
                <c:pt idx="2">
                  <c:v>Faltas y Contravenciones</c:v>
                </c:pt>
                <c:pt idx="3">
                  <c:v>Pensiones Alimentarias</c:v>
                </c:pt>
                <c:pt idx="4">
                  <c:v>Penal Juvenil</c:v>
                </c:pt>
                <c:pt idx="5">
                  <c:v>Familia</c:v>
                </c:pt>
                <c:pt idx="6">
                  <c:v>Laboral</c:v>
                </c:pt>
                <c:pt idx="7">
                  <c:v>Tránsito</c:v>
                </c:pt>
                <c:pt idx="8">
                  <c:v>Agrario</c:v>
                </c:pt>
                <c:pt idx="9">
                  <c:v>Civil</c:v>
                </c:pt>
                <c:pt idx="10">
                  <c:v>Cobro Judicial</c:v>
                </c:pt>
                <c:pt idx="11">
                  <c:v>Constitucional</c:v>
                </c:pt>
                <c:pt idx="12">
                  <c:v>Centro de Conciliación</c:v>
                </c:pt>
                <c:pt idx="13">
                  <c:v>Contencioso Administrativo</c:v>
                </c:pt>
                <c:pt idx="14">
                  <c:v>Notariado</c:v>
                </c:pt>
                <c:pt idx="15">
                  <c:v>Niñez y Adolescencia</c:v>
                </c:pt>
                <c:pt idx="16">
                  <c:v>Disciplinario</c:v>
                </c:pt>
              </c:strCache>
            </c:strRef>
          </c:cat>
          <c:val>
            <c:numRef>
              <c:f>Análisis!$E$7:$E$23</c:f>
              <c:numCache>
                <c:formatCode>0%</c:formatCode>
                <c:ptCount val="17"/>
                <c:pt idx="0">
                  <c:v>0.46841172997441444</c:v>
                </c:pt>
                <c:pt idx="1">
                  <c:v>0.62881322574296394</c:v>
                </c:pt>
                <c:pt idx="2">
                  <c:v>0.7457193465853178</c:v>
                </c:pt>
                <c:pt idx="3">
                  <c:v>0.86203503247392244</c:v>
                </c:pt>
                <c:pt idx="4">
                  <c:v>0.8962802597913796</c:v>
                </c:pt>
                <c:pt idx="5">
                  <c:v>0.92009446959259988</c:v>
                </c:pt>
                <c:pt idx="6">
                  <c:v>0.94351505609132058</c:v>
                </c:pt>
                <c:pt idx="7">
                  <c:v>0.96280259791379652</c:v>
                </c:pt>
                <c:pt idx="8">
                  <c:v>0.98169651643377287</c:v>
                </c:pt>
                <c:pt idx="9">
                  <c:v>0.99448927376500684</c:v>
                </c:pt>
                <c:pt idx="10">
                  <c:v>1.0043298563274945</c:v>
                </c:pt>
                <c:pt idx="11">
                  <c:v>1.0094469592599882</c:v>
                </c:pt>
                <c:pt idx="12">
                  <c:v>1.0106278291674866</c:v>
                </c:pt>
                <c:pt idx="13">
                  <c:v>1.0114150757724856</c:v>
                </c:pt>
                <c:pt idx="14">
                  <c:v>1.0118086990749851</c:v>
                </c:pt>
                <c:pt idx="15">
                  <c:v>1.0120055107262349</c:v>
                </c:pt>
                <c:pt idx="16">
                  <c:v>1.0122023223774848</c:v>
                </c:pt>
              </c:numCache>
            </c:numRef>
          </c:val>
          <c:smooth val="0"/>
          <c:extLst>
            <c:ext xmlns:c16="http://schemas.microsoft.com/office/drawing/2014/chart" uri="{C3380CC4-5D6E-409C-BE32-E72D297353CC}">
              <c16:uniqueId val="{00000001-3562-41E0-B922-78426F23440B}"/>
            </c:ext>
          </c:extLst>
        </c:ser>
        <c:dLbls>
          <c:showLegendKey val="0"/>
          <c:showVal val="0"/>
          <c:showCatName val="0"/>
          <c:showSerName val="0"/>
          <c:showPercent val="0"/>
          <c:showBubbleSize val="0"/>
        </c:dLbls>
        <c:marker val="1"/>
        <c:smooth val="0"/>
        <c:axId val="786757616"/>
        <c:axId val="786759584"/>
      </c:lineChart>
      <c:catAx>
        <c:axId val="786760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86758928"/>
        <c:crosses val="autoZero"/>
        <c:auto val="1"/>
        <c:lblAlgn val="ctr"/>
        <c:lblOffset val="100"/>
        <c:noMultiLvlLbl val="0"/>
      </c:catAx>
      <c:valAx>
        <c:axId val="7867589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86760896"/>
        <c:crosses val="autoZero"/>
        <c:crossBetween val="between"/>
      </c:valAx>
      <c:valAx>
        <c:axId val="786759584"/>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86757616"/>
        <c:crosses val="max"/>
        <c:crossBetween val="between"/>
      </c:valAx>
      <c:catAx>
        <c:axId val="786757616"/>
        <c:scaling>
          <c:orientation val="minMax"/>
        </c:scaling>
        <c:delete val="1"/>
        <c:axPos val="b"/>
        <c:numFmt formatCode="General" sourceLinked="1"/>
        <c:majorTickMark val="none"/>
        <c:minorTickMark val="none"/>
        <c:tickLblPos val="nextTo"/>
        <c:crossAx val="7867595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Análisis!$B$47</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Análisis!$C$46:$E$46</c:f>
              <c:strCache>
                <c:ptCount val="3"/>
                <c:pt idx="0">
                  <c:v>Entrados</c:v>
                </c:pt>
                <c:pt idx="1">
                  <c:v>Terminados</c:v>
                </c:pt>
                <c:pt idx="2">
                  <c:v>Circulante</c:v>
                </c:pt>
              </c:strCache>
            </c:strRef>
          </c:cat>
          <c:val>
            <c:numRef>
              <c:f>Análisis!$C$47:$E$47</c:f>
              <c:numCache>
                <c:formatCode>General</c:formatCode>
                <c:ptCount val="3"/>
                <c:pt idx="0">
                  <c:v>935</c:v>
                </c:pt>
                <c:pt idx="1">
                  <c:v>1013</c:v>
                </c:pt>
                <c:pt idx="2">
                  <c:v>1752</c:v>
                </c:pt>
              </c:numCache>
            </c:numRef>
          </c:val>
          <c:extLst>
            <c:ext xmlns:c16="http://schemas.microsoft.com/office/drawing/2014/chart" uri="{C3380CC4-5D6E-409C-BE32-E72D297353CC}">
              <c16:uniqueId val="{00000000-FAEA-4BD2-BA31-84E6B236FC5D}"/>
            </c:ext>
          </c:extLst>
        </c:ser>
        <c:ser>
          <c:idx val="1"/>
          <c:order val="1"/>
          <c:tx>
            <c:strRef>
              <c:f>Análisis!$B$48</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Análisis!$C$46:$E$46</c:f>
              <c:strCache>
                <c:ptCount val="3"/>
                <c:pt idx="0">
                  <c:v>Entrados</c:v>
                </c:pt>
                <c:pt idx="1">
                  <c:v>Terminados</c:v>
                </c:pt>
                <c:pt idx="2">
                  <c:v>Circulante</c:v>
                </c:pt>
              </c:strCache>
            </c:strRef>
          </c:cat>
          <c:val>
            <c:numRef>
              <c:f>Análisis!$C$48:$E$48</c:f>
              <c:numCache>
                <c:formatCode>General</c:formatCode>
                <c:ptCount val="3"/>
                <c:pt idx="0">
                  <c:v>1204</c:v>
                </c:pt>
                <c:pt idx="1">
                  <c:v>1215</c:v>
                </c:pt>
                <c:pt idx="2">
                  <c:v>1793</c:v>
                </c:pt>
              </c:numCache>
            </c:numRef>
          </c:val>
          <c:extLst>
            <c:ext xmlns:c16="http://schemas.microsoft.com/office/drawing/2014/chart" uri="{C3380CC4-5D6E-409C-BE32-E72D297353CC}">
              <c16:uniqueId val="{00000001-FAEA-4BD2-BA31-84E6B236FC5D}"/>
            </c:ext>
          </c:extLst>
        </c:ser>
        <c:ser>
          <c:idx val="2"/>
          <c:order val="2"/>
          <c:tx>
            <c:strRef>
              <c:f>Análisis!$B$49</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Análisis!$C$46:$E$46</c:f>
              <c:strCache>
                <c:ptCount val="3"/>
                <c:pt idx="0">
                  <c:v>Entrados</c:v>
                </c:pt>
                <c:pt idx="1">
                  <c:v>Terminados</c:v>
                </c:pt>
                <c:pt idx="2">
                  <c:v>Circulante</c:v>
                </c:pt>
              </c:strCache>
            </c:strRef>
          </c:cat>
          <c:val>
            <c:numRef>
              <c:f>Análisis!$C$49:$E$49</c:f>
              <c:numCache>
                <c:formatCode>General</c:formatCode>
                <c:ptCount val="3"/>
                <c:pt idx="0">
                  <c:v>1649</c:v>
                </c:pt>
                <c:pt idx="1">
                  <c:v>1292</c:v>
                </c:pt>
                <c:pt idx="2">
                  <c:v>2469</c:v>
                </c:pt>
              </c:numCache>
            </c:numRef>
          </c:val>
          <c:extLst>
            <c:ext xmlns:c16="http://schemas.microsoft.com/office/drawing/2014/chart" uri="{C3380CC4-5D6E-409C-BE32-E72D297353CC}">
              <c16:uniqueId val="{00000002-FAEA-4BD2-BA31-84E6B236FC5D}"/>
            </c:ext>
          </c:extLst>
        </c:ser>
        <c:ser>
          <c:idx val="3"/>
          <c:order val="3"/>
          <c:tx>
            <c:strRef>
              <c:f>Análisis!$B$50</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Análisis!$C$46:$E$46</c:f>
              <c:strCache>
                <c:ptCount val="3"/>
                <c:pt idx="0">
                  <c:v>Entrados</c:v>
                </c:pt>
                <c:pt idx="1">
                  <c:v>Terminados</c:v>
                </c:pt>
                <c:pt idx="2">
                  <c:v>Circulante</c:v>
                </c:pt>
              </c:strCache>
            </c:strRef>
          </c:cat>
          <c:val>
            <c:numRef>
              <c:f>Análisis!$C$50:$E$50</c:f>
              <c:numCache>
                <c:formatCode>General</c:formatCode>
                <c:ptCount val="3"/>
                <c:pt idx="0">
                  <c:v>1529</c:v>
                </c:pt>
                <c:pt idx="1">
                  <c:v>1115</c:v>
                </c:pt>
                <c:pt idx="2">
                  <c:v>3210</c:v>
                </c:pt>
              </c:numCache>
            </c:numRef>
          </c:val>
          <c:extLst>
            <c:ext xmlns:c16="http://schemas.microsoft.com/office/drawing/2014/chart" uri="{C3380CC4-5D6E-409C-BE32-E72D297353CC}">
              <c16:uniqueId val="{00000003-FAEA-4BD2-BA31-84E6B236FC5D}"/>
            </c:ext>
          </c:extLst>
        </c:ser>
        <c:dLbls>
          <c:showLegendKey val="0"/>
          <c:showVal val="0"/>
          <c:showCatName val="0"/>
          <c:showSerName val="0"/>
          <c:showPercent val="0"/>
          <c:showBubbleSize val="0"/>
        </c:dLbls>
        <c:gapWidth val="219"/>
        <c:overlap val="-27"/>
        <c:axId val="835748728"/>
        <c:axId val="835752336"/>
      </c:barChart>
      <c:catAx>
        <c:axId val="835748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35752336"/>
        <c:crosses val="autoZero"/>
        <c:auto val="1"/>
        <c:lblAlgn val="ctr"/>
        <c:lblOffset val="100"/>
        <c:noMultiLvlLbl val="0"/>
      </c:catAx>
      <c:valAx>
        <c:axId val="8357523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35748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0"/>
          <c:tx>
            <c:strRef>
              <c:f>Análisis!$I$3</c:f>
              <c:strCache>
                <c:ptCount val="1"/>
                <c:pt idx="0">
                  <c:v>Activos al cierre de diciembre 2020</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Análisis!$F$4:$F$19</c:f>
              <c:strCache>
                <c:ptCount val="16"/>
                <c:pt idx="0">
                  <c:v>San José </c:v>
                </c:pt>
                <c:pt idx="1">
                  <c:v>Alajuela </c:v>
                </c:pt>
                <c:pt idx="2">
                  <c:v>Cartago </c:v>
                </c:pt>
                <c:pt idx="3">
                  <c:v>Puntarenas </c:v>
                </c:pt>
                <c:pt idx="4">
                  <c:v>Limón #1 </c:v>
                </c:pt>
                <c:pt idx="5">
                  <c:v>Limón #2 </c:v>
                </c:pt>
                <c:pt idx="6">
                  <c:v>San Ramón </c:v>
                </c:pt>
                <c:pt idx="7">
                  <c:v>Guápiles </c:v>
                </c:pt>
                <c:pt idx="8">
                  <c:v>Turrialba </c:v>
                </c:pt>
                <c:pt idx="9">
                  <c:v>San Carlos </c:v>
                </c:pt>
                <c:pt idx="10">
                  <c:v>Upala   </c:v>
                </c:pt>
                <c:pt idx="11">
                  <c:v>Nicoya </c:v>
                </c:pt>
                <c:pt idx="12">
                  <c:v>Liberia  </c:v>
                </c:pt>
                <c:pt idx="13">
                  <c:v>Pérez Zeledón </c:v>
                </c:pt>
                <c:pt idx="14">
                  <c:v>Buenos Aires </c:v>
                </c:pt>
                <c:pt idx="15">
                  <c:v>Corredores </c:v>
                </c:pt>
              </c:strCache>
            </c:strRef>
          </c:cat>
          <c:val>
            <c:numRef>
              <c:f>Análisis!$I$4:$I$19</c:f>
              <c:numCache>
                <c:formatCode>General</c:formatCode>
                <c:ptCount val="16"/>
                <c:pt idx="0">
                  <c:v>143</c:v>
                </c:pt>
                <c:pt idx="1">
                  <c:v>149</c:v>
                </c:pt>
                <c:pt idx="2">
                  <c:v>195</c:v>
                </c:pt>
                <c:pt idx="3">
                  <c:v>186</c:v>
                </c:pt>
                <c:pt idx="4">
                  <c:v>336</c:v>
                </c:pt>
                <c:pt idx="5">
                  <c:v>242</c:v>
                </c:pt>
                <c:pt idx="6">
                  <c:v>164</c:v>
                </c:pt>
                <c:pt idx="7">
                  <c:v>336</c:v>
                </c:pt>
                <c:pt idx="8">
                  <c:v>191</c:v>
                </c:pt>
                <c:pt idx="9">
                  <c:v>242</c:v>
                </c:pt>
                <c:pt idx="10">
                  <c:v>248</c:v>
                </c:pt>
                <c:pt idx="11">
                  <c:v>203</c:v>
                </c:pt>
                <c:pt idx="12">
                  <c:v>160</c:v>
                </c:pt>
                <c:pt idx="13">
                  <c:v>130</c:v>
                </c:pt>
                <c:pt idx="14">
                  <c:v>138</c:v>
                </c:pt>
                <c:pt idx="15">
                  <c:v>147</c:v>
                </c:pt>
              </c:numCache>
            </c:numRef>
          </c:val>
          <c:extLst>
            <c:ext xmlns:c16="http://schemas.microsoft.com/office/drawing/2014/chart" uri="{C3380CC4-5D6E-409C-BE32-E72D297353CC}">
              <c16:uniqueId val="{00000000-96EC-4BFE-8ED2-39D79EAE9958}"/>
            </c:ext>
          </c:extLst>
        </c:ser>
        <c:dLbls>
          <c:dLblPos val="outEnd"/>
          <c:showLegendKey val="0"/>
          <c:showVal val="1"/>
          <c:showCatName val="0"/>
          <c:showSerName val="0"/>
          <c:showPercent val="0"/>
          <c:showBubbleSize val="0"/>
        </c:dLbls>
        <c:gapWidth val="219"/>
        <c:overlap val="-27"/>
        <c:axId val="625195160"/>
        <c:axId val="625195816"/>
      </c:barChart>
      <c:lineChart>
        <c:grouping val="standard"/>
        <c:varyColors val="0"/>
        <c:ser>
          <c:idx val="0"/>
          <c:order val="1"/>
          <c:tx>
            <c:strRef>
              <c:f>Análisis!$J$3</c:f>
              <c:strCache>
                <c:ptCount val="1"/>
                <c:pt idx="0">
                  <c:v>Circulante recomendado</c:v>
                </c:pt>
              </c:strCache>
            </c:strRef>
          </c:tx>
          <c:spPr>
            <a:ln w="28575" cap="rnd">
              <a:solidFill>
                <a:schemeClr val="accent2">
                  <a:lumMod val="60000"/>
                  <a:lumOff val="40000"/>
                </a:schemeClr>
              </a:solidFill>
              <a:round/>
            </a:ln>
            <a:effectLst/>
          </c:spPr>
          <c:marker>
            <c:symbol val="none"/>
          </c:marker>
          <c:val>
            <c:numRef>
              <c:f>Análisis!$J$4:$J$20</c:f>
              <c:numCache>
                <c:formatCode>General</c:formatCode>
                <c:ptCount val="17"/>
                <c:pt idx="0">
                  <c:v>180</c:v>
                </c:pt>
                <c:pt idx="1">
                  <c:v>180</c:v>
                </c:pt>
                <c:pt idx="2">
                  <c:v>180</c:v>
                </c:pt>
                <c:pt idx="3">
                  <c:v>180</c:v>
                </c:pt>
                <c:pt idx="4">
                  <c:v>180</c:v>
                </c:pt>
                <c:pt idx="5">
                  <c:v>180</c:v>
                </c:pt>
                <c:pt idx="6">
                  <c:v>180</c:v>
                </c:pt>
                <c:pt idx="7">
                  <c:v>180</c:v>
                </c:pt>
                <c:pt idx="8">
                  <c:v>180</c:v>
                </c:pt>
                <c:pt idx="9">
                  <c:v>180</c:v>
                </c:pt>
                <c:pt idx="10">
                  <c:v>180</c:v>
                </c:pt>
                <c:pt idx="11">
                  <c:v>180</c:v>
                </c:pt>
                <c:pt idx="12">
                  <c:v>180</c:v>
                </c:pt>
                <c:pt idx="13">
                  <c:v>180</c:v>
                </c:pt>
                <c:pt idx="14">
                  <c:v>180</c:v>
                </c:pt>
                <c:pt idx="15">
                  <c:v>180</c:v>
                </c:pt>
                <c:pt idx="16">
                  <c:v>180</c:v>
                </c:pt>
              </c:numCache>
            </c:numRef>
          </c:val>
          <c:smooth val="0"/>
          <c:extLst>
            <c:ext xmlns:c16="http://schemas.microsoft.com/office/drawing/2014/chart" uri="{C3380CC4-5D6E-409C-BE32-E72D297353CC}">
              <c16:uniqueId val="{00000001-96EC-4BFE-8ED2-39D79EAE9958}"/>
            </c:ext>
          </c:extLst>
        </c:ser>
        <c:dLbls>
          <c:showLegendKey val="0"/>
          <c:showVal val="0"/>
          <c:showCatName val="0"/>
          <c:showSerName val="0"/>
          <c:showPercent val="0"/>
          <c:showBubbleSize val="0"/>
        </c:dLbls>
        <c:marker val="1"/>
        <c:smooth val="0"/>
        <c:axId val="625195160"/>
        <c:axId val="625195816"/>
      </c:lineChart>
      <c:catAx>
        <c:axId val="625195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25195816"/>
        <c:crosses val="autoZero"/>
        <c:auto val="1"/>
        <c:lblAlgn val="ctr"/>
        <c:lblOffset val="100"/>
        <c:noMultiLvlLbl val="0"/>
      </c:catAx>
      <c:valAx>
        <c:axId val="625195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25195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Laboral!$B$4</c:f>
              <c:strCache>
                <c:ptCount val="1"/>
                <c:pt idx="0">
                  <c:v>Entrada Primer Año (de octubre 2018 a setiembre de 2019)</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Laboral!$A$5:$A$6</c:f>
              <c:strCache>
                <c:ptCount val="2"/>
                <c:pt idx="0">
                  <c:v>Buenos Aires</c:v>
                </c:pt>
                <c:pt idx="1">
                  <c:v>Bribri</c:v>
                </c:pt>
              </c:strCache>
            </c:strRef>
          </c:cat>
          <c:val>
            <c:numRef>
              <c:f>Laboral!$B$5:$B$6</c:f>
              <c:numCache>
                <c:formatCode>General</c:formatCode>
                <c:ptCount val="2"/>
                <c:pt idx="0">
                  <c:v>10</c:v>
                </c:pt>
                <c:pt idx="1">
                  <c:v>28</c:v>
                </c:pt>
              </c:numCache>
            </c:numRef>
          </c:val>
          <c:extLst>
            <c:ext xmlns:c16="http://schemas.microsoft.com/office/drawing/2014/chart" uri="{C3380CC4-5D6E-409C-BE32-E72D297353CC}">
              <c16:uniqueId val="{00000000-83FA-4315-B373-03926DA53C3A}"/>
            </c:ext>
          </c:extLst>
        </c:ser>
        <c:ser>
          <c:idx val="1"/>
          <c:order val="1"/>
          <c:tx>
            <c:strRef>
              <c:f>Laboral!$C$4</c:f>
              <c:strCache>
                <c:ptCount val="1"/>
                <c:pt idx="0">
                  <c:v>Entrada Segundo Año (de octubre 2019 a setiembre de 2020)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Laboral!$A$5:$A$6</c:f>
              <c:strCache>
                <c:ptCount val="2"/>
                <c:pt idx="0">
                  <c:v>Buenos Aires</c:v>
                </c:pt>
                <c:pt idx="1">
                  <c:v>Bribri</c:v>
                </c:pt>
              </c:strCache>
            </c:strRef>
          </c:cat>
          <c:val>
            <c:numRef>
              <c:f>Laboral!$C$5:$C$6</c:f>
              <c:numCache>
                <c:formatCode>General</c:formatCode>
                <c:ptCount val="2"/>
                <c:pt idx="0">
                  <c:v>10</c:v>
                </c:pt>
                <c:pt idx="1">
                  <c:v>10</c:v>
                </c:pt>
              </c:numCache>
            </c:numRef>
          </c:val>
          <c:extLst>
            <c:ext xmlns:c16="http://schemas.microsoft.com/office/drawing/2014/chart" uri="{C3380CC4-5D6E-409C-BE32-E72D297353CC}">
              <c16:uniqueId val="{00000001-83FA-4315-B373-03926DA53C3A}"/>
            </c:ext>
          </c:extLst>
        </c:ser>
        <c:dLbls>
          <c:showLegendKey val="0"/>
          <c:showVal val="0"/>
          <c:showCatName val="0"/>
          <c:showSerName val="0"/>
          <c:showPercent val="0"/>
          <c:showBubbleSize val="0"/>
        </c:dLbls>
        <c:gapWidth val="100"/>
        <c:overlap val="-24"/>
        <c:axId val="580539064"/>
        <c:axId val="580542672"/>
      </c:barChart>
      <c:catAx>
        <c:axId val="5805390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580542672"/>
        <c:crosses val="autoZero"/>
        <c:auto val="1"/>
        <c:lblAlgn val="ctr"/>
        <c:lblOffset val="100"/>
        <c:noMultiLvlLbl val="0"/>
      </c:catAx>
      <c:valAx>
        <c:axId val="58054267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580539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y Reent.'!$A$2</c:f>
              <c:strCache>
                <c:ptCount val="1"/>
                <c:pt idx="0">
                  <c:v>Entrada</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'Entrada y Reent.'!$B$1:$F$1</c:f>
              <c:numCache>
                <c:formatCode>General</c:formatCode>
                <c:ptCount val="5"/>
                <c:pt idx="0">
                  <c:v>2015</c:v>
                </c:pt>
                <c:pt idx="1">
                  <c:v>2016</c:v>
                </c:pt>
                <c:pt idx="2">
                  <c:v>2017</c:v>
                </c:pt>
                <c:pt idx="3">
                  <c:v>2018</c:v>
                </c:pt>
                <c:pt idx="4">
                  <c:v>2019</c:v>
                </c:pt>
              </c:numCache>
            </c:numRef>
          </c:cat>
          <c:val>
            <c:numRef>
              <c:f>'Entrada y Reent.'!$B$2:$F$2</c:f>
              <c:numCache>
                <c:formatCode>General</c:formatCode>
                <c:ptCount val="5"/>
                <c:pt idx="0">
                  <c:v>22334</c:v>
                </c:pt>
                <c:pt idx="1">
                  <c:v>22563</c:v>
                </c:pt>
                <c:pt idx="2">
                  <c:v>22432</c:v>
                </c:pt>
                <c:pt idx="3">
                  <c:v>21385</c:v>
                </c:pt>
                <c:pt idx="4">
                  <c:v>23529</c:v>
                </c:pt>
              </c:numCache>
            </c:numRef>
          </c:val>
          <c:extLst>
            <c:ext xmlns:c16="http://schemas.microsoft.com/office/drawing/2014/chart" uri="{C3380CC4-5D6E-409C-BE32-E72D297353CC}">
              <c16:uniqueId val="{00000000-776A-4B19-A8C7-A67CA32B2D46}"/>
            </c:ext>
          </c:extLst>
        </c:ser>
        <c:ser>
          <c:idx val="1"/>
          <c:order val="1"/>
          <c:tx>
            <c:strRef>
              <c:f>'Entrada y Reent.'!$A$3</c:f>
              <c:strCache>
                <c:ptCount val="1"/>
                <c:pt idx="0">
                  <c:v>Reentrados</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'Entrada y Reent.'!$B$1:$F$1</c:f>
              <c:numCache>
                <c:formatCode>General</c:formatCode>
                <c:ptCount val="5"/>
                <c:pt idx="0">
                  <c:v>2015</c:v>
                </c:pt>
                <c:pt idx="1">
                  <c:v>2016</c:v>
                </c:pt>
                <c:pt idx="2">
                  <c:v>2017</c:v>
                </c:pt>
                <c:pt idx="3">
                  <c:v>2018</c:v>
                </c:pt>
                <c:pt idx="4">
                  <c:v>2019</c:v>
                </c:pt>
              </c:numCache>
            </c:numRef>
          </c:cat>
          <c:val>
            <c:numRef>
              <c:f>'Entrada y Reent.'!$B$3:$F$3</c:f>
              <c:numCache>
                <c:formatCode>General</c:formatCode>
                <c:ptCount val="5"/>
                <c:pt idx="0">
                  <c:v>1412</c:v>
                </c:pt>
                <c:pt idx="1">
                  <c:v>1704</c:v>
                </c:pt>
                <c:pt idx="2">
                  <c:v>1305</c:v>
                </c:pt>
                <c:pt idx="3">
                  <c:v>1664</c:v>
                </c:pt>
                <c:pt idx="4">
                  <c:v>1556</c:v>
                </c:pt>
              </c:numCache>
            </c:numRef>
          </c:val>
          <c:extLst>
            <c:ext xmlns:c16="http://schemas.microsoft.com/office/drawing/2014/chart" uri="{C3380CC4-5D6E-409C-BE32-E72D297353CC}">
              <c16:uniqueId val="{00000001-776A-4B19-A8C7-A67CA32B2D46}"/>
            </c:ext>
          </c:extLst>
        </c:ser>
        <c:dLbls>
          <c:dLblPos val="outEnd"/>
          <c:showLegendKey val="0"/>
          <c:showVal val="1"/>
          <c:showCatName val="0"/>
          <c:showSerName val="0"/>
          <c:showPercent val="0"/>
          <c:showBubbleSize val="0"/>
        </c:dLbls>
        <c:gapWidth val="100"/>
        <c:overlap val="-24"/>
        <c:axId val="1188145552"/>
        <c:axId val="1354788384"/>
      </c:barChart>
      <c:catAx>
        <c:axId val="11881455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2"/>
                </a:solidFill>
                <a:latin typeface="Book Antiqua" panose="02040602050305030304" pitchFamily="18" charset="0"/>
                <a:ea typeface="+mn-ea"/>
                <a:cs typeface="+mn-cs"/>
              </a:defRPr>
            </a:pPr>
            <a:endParaRPr lang="es-CR"/>
          </a:p>
        </c:txPr>
        <c:crossAx val="1354788384"/>
        <c:crosses val="autoZero"/>
        <c:auto val="1"/>
        <c:lblAlgn val="ctr"/>
        <c:lblOffset val="100"/>
        <c:noMultiLvlLbl val="0"/>
      </c:catAx>
      <c:valAx>
        <c:axId val="135478838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118814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26E7-499E-AEF8-8B99B8CA3C42}"/>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26E7-499E-AEF8-8B99B8CA3C42}"/>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26E7-499E-AEF8-8B99B8CA3C42}"/>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26E7-499E-AEF8-8B99B8CA3C42}"/>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26E7-499E-AEF8-8B99B8CA3C42}"/>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26E7-499E-AEF8-8B99B8CA3C42}"/>
              </c:ext>
            </c:extLst>
          </c:dPt>
          <c:dLbls>
            <c:dLbl>
              <c:idx val="0"/>
              <c:layout>
                <c:manualLayout>
                  <c:x val="7.512520868113523E-2"/>
                  <c:y val="0.11103400416377515"/>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E7-499E-AEF8-8B99B8CA3C42}"/>
                </c:ext>
              </c:extLst>
            </c:dLbl>
            <c:dLbl>
              <c:idx val="1"/>
              <c:layout>
                <c:manualLayout>
                  <c:x val="3.3388981636060099E-2"/>
                  <c:y val="-5.5517002081887576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6E7-499E-AEF8-8B99B8CA3C42}"/>
                </c:ext>
              </c:extLst>
            </c:dLbl>
            <c:dLbl>
              <c:idx val="2"/>
              <c:layout>
                <c:manualLayout>
                  <c:x val="-5.5648302726766831E-3"/>
                  <c:y val="2.7758501040943788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6E7-499E-AEF8-8B99B8CA3C42}"/>
                </c:ext>
              </c:extLst>
            </c:dLbl>
            <c:dLbl>
              <c:idx val="3"/>
              <c:layout>
                <c:manualLayout>
                  <c:x val="-1.3912075681691708E-2"/>
                  <c:y val="4.6264168401572985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6E7-499E-AEF8-8B99B8CA3C42}"/>
                </c:ext>
              </c:extLst>
            </c:dLbl>
            <c:dLbl>
              <c:idx val="4"/>
              <c:layout>
                <c:manualLayout>
                  <c:x val="-3.3388981636060099E-2"/>
                  <c:y val="4.6264168401572983E-3"/>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6E7-499E-AEF8-8B99B8CA3C42}"/>
                </c:ext>
              </c:extLst>
            </c:dLbl>
            <c:dLbl>
              <c:idx val="5"/>
              <c:layout>
                <c:manualLayout>
                  <c:x val="0.15859766277128548"/>
                  <c:y val="0"/>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6E7-499E-AEF8-8B99B8CA3C4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mn-lt"/>
                    <a:ea typeface="+mn-ea"/>
                    <a:cs typeface="+mn-cs"/>
                  </a:defRPr>
                </a:pPr>
                <a:endParaRPr lang="es-C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Programa!$B$11:$B$16</c:f>
              <c:strCache>
                <c:ptCount val="6"/>
                <c:pt idx="0">
                  <c:v>Dirección, Administración y Otros Órganos de Apoyo</c:v>
                </c:pt>
                <c:pt idx="1">
                  <c:v>Servicio Jurisdiccional</c:v>
                </c:pt>
                <c:pt idx="2">
                  <c:v>Organismo de Investigación Judicial</c:v>
                </c:pt>
                <c:pt idx="3">
                  <c:v>Ministerio Público</c:v>
                </c:pt>
                <c:pt idx="4">
                  <c:v>Defensa Pública</c:v>
                </c:pt>
                <c:pt idx="5">
                  <c:v>Serv. Atenc - Protec Víctimas y Testigos</c:v>
                </c:pt>
              </c:strCache>
            </c:strRef>
          </c:cat>
          <c:val>
            <c:numRef>
              <c:f>Programa!$D$11:$D$16</c:f>
              <c:numCache>
                <c:formatCode>0%</c:formatCode>
                <c:ptCount val="6"/>
                <c:pt idx="0">
                  <c:v>0.25499891056547402</c:v>
                </c:pt>
                <c:pt idx="1">
                  <c:v>0.38969665237888285</c:v>
                </c:pt>
                <c:pt idx="2">
                  <c:v>0.22003200914735568</c:v>
                </c:pt>
                <c:pt idx="3">
                  <c:v>8.6468183376620697E-2</c:v>
                </c:pt>
                <c:pt idx="4">
                  <c:v>3.6964101358307515E-2</c:v>
                </c:pt>
                <c:pt idx="5">
                  <c:v>1.184014317335921E-2</c:v>
                </c:pt>
              </c:numCache>
            </c:numRef>
          </c:val>
          <c:extLst>
            <c:ext xmlns:c16="http://schemas.microsoft.com/office/drawing/2014/chart" uri="{C3380CC4-5D6E-409C-BE32-E72D297353CC}">
              <c16:uniqueId val="{0000000C-26E7-499E-AEF8-8B99B8CA3C42}"/>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Incidentes'!$B$25</c:f>
              <c:strCache>
                <c:ptCount val="1"/>
                <c:pt idx="0">
                  <c:v>2018</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Incidentes'!$A$26:$A$27</c:f>
              <c:strCache>
                <c:ptCount val="2"/>
                <c:pt idx="0">
                  <c:v>Incidentes</c:v>
                </c:pt>
                <c:pt idx="1">
                  <c:v>Segunda Inst.</c:v>
                </c:pt>
              </c:strCache>
            </c:strRef>
          </c:cat>
          <c:val>
            <c:numRef>
              <c:f>'Entrada Incidentes'!$B$26:$B$27</c:f>
              <c:numCache>
                <c:formatCode>General</c:formatCode>
                <c:ptCount val="2"/>
                <c:pt idx="0">
                  <c:v>425</c:v>
                </c:pt>
                <c:pt idx="1">
                  <c:v>4536</c:v>
                </c:pt>
              </c:numCache>
            </c:numRef>
          </c:val>
          <c:extLst>
            <c:ext xmlns:c16="http://schemas.microsoft.com/office/drawing/2014/chart" uri="{C3380CC4-5D6E-409C-BE32-E72D297353CC}">
              <c16:uniqueId val="{00000000-3D0F-4E07-81FE-447D1BC04BD3}"/>
            </c:ext>
          </c:extLst>
        </c:ser>
        <c:ser>
          <c:idx val="1"/>
          <c:order val="1"/>
          <c:tx>
            <c:strRef>
              <c:f>'Entrada Incidentes'!$C$25</c:f>
              <c:strCache>
                <c:ptCount val="1"/>
                <c:pt idx="0">
                  <c:v>2019</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Incidentes'!$A$26:$A$27</c:f>
              <c:strCache>
                <c:ptCount val="2"/>
                <c:pt idx="0">
                  <c:v>Incidentes</c:v>
                </c:pt>
                <c:pt idx="1">
                  <c:v>Segunda Inst.</c:v>
                </c:pt>
              </c:strCache>
            </c:strRef>
          </c:cat>
          <c:val>
            <c:numRef>
              <c:f>'Entrada Incidentes'!$C$26:$C$27</c:f>
              <c:numCache>
                <c:formatCode>General</c:formatCode>
                <c:ptCount val="2"/>
                <c:pt idx="0">
                  <c:v>579</c:v>
                </c:pt>
                <c:pt idx="1">
                  <c:v>4622</c:v>
                </c:pt>
              </c:numCache>
            </c:numRef>
          </c:val>
          <c:extLst>
            <c:ext xmlns:c16="http://schemas.microsoft.com/office/drawing/2014/chart" uri="{C3380CC4-5D6E-409C-BE32-E72D297353CC}">
              <c16:uniqueId val="{00000001-3D0F-4E07-81FE-447D1BC04BD3}"/>
            </c:ext>
          </c:extLst>
        </c:ser>
        <c:dLbls>
          <c:showLegendKey val="0"/>
          <c:showVal val="0"/>
          <c:showCatName val="0"/>
          <c:showSerName val="0"/>
          <c:showPercent val="0"/>
          <c:showBubbleSize val="0"/>
        </c:dLbls>
        <c:gapWidth val="219"/>
        <c:overlap val="-27"/>
        <c:axId val="1959856095"/>
        <c:axId val="1312522335"/>
      </c:barChart>
      <c:catAx>
        <c:axId val="1959856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1312522335"/>
        <c:crosses val="autoZero"/>
        <c:auto val="1"/>
        <c:lblAlgn val="ctr"/>
        <c:lblOffset val="100"/>
        <c:noMultiLvlLbl val="0"/>
      </c:catAx>
      <c:valAx>
        <c:axId val="13125223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59856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'Terminados e Inactivos'!$A$2</c:f>
              <c:strCache>
                <c:ptCount val="1"/>
                <c:pt idx="0">
                  <c:v>Terminados</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e Inactivos'!$B$1:$F$1</c:f>
              <c:numCache>
                <c:formatCode>General</c:formatCode>
                <c:ptCount val="5"/>
                <c:pt idx="0">
                  <c:v>2015</c:v>
                </c:pt>
                <c:pt idx="1">
                  <c:v>2016</c:v>
                </c:pt>
                <c:pt idx="2">
                  <c:v>2017</c:v>
                </c:pt>
                <c:pt idx="3">
                  <c:v>2018</c:v>
                </c:pt>
                <c:pt idx="4">
                  <c:v>2019</c:v>
                </c:pt>
              </c:numCache>
            </c:numRef>
          </c:cat>
          <c:val>
            <c:numRef>
              <c:f>'Terminados e Inactivos'!$B$2:$F$2</c:f>
              <c:numCache>
                <c:formatCode>General</c:formatCode>
                <c:ptCount val="5"/>
                <c:pt idx="0">
                  <c:v>21361</c:v>
                </c:pt>
                <c:pt idx="1">
                  <c:v>22213</c:v>
                </c:pt>
                <c:pt idx="2">
                  <c:v>21443</c:v>
                </c:pt>
                <c:pt idx="3">
                  <c:v>20435</c:v>
                </c:pt>
                <c:pt idx="4">
                  <c:v>23141</c:v>
                </c:pt>
              </c:numCache>
            </c:numRef>
          </c:val>
          <c:extLst>
            <c:ext xmlns:c16="http://schemas.microsoft.com/office/drawing/2014/chart" uri="{C3380CC4-5D6E-409C-BE32-E72D297353CC}">
              <c16:uniqueId val="{00000000-2A3F-4361-93F7-11D2FF4BF683}"/>
            </c:ext>
          </c:extLst>
        </c:ser>
        <c:ser>
          <c:idx val="1"/>
          <c:order val="1"/>
          <c:tx>
            <c:strRef>
              <c:f>'Terminados e Inactivos'!$A$3</c:f>
              <c:strCache>
                <c:ptCount val="1"/>
                <c:pt idx="0">
                  <c:v>Inactivos</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e Inactivos'!$B$1:$F$1</c:f>
              <c:numCache>
                <c:formatCode>General</c:formatCode>
                <c:ptCount val="5"/>
                <c:pt idx="0">
                  <c:v>2015</c:v>
                </c:pt>
                <c:pt idx="1">
                  <c:v>2016</c:v>
                </c:pt>
                <c:pt idx="2">
                  <c:v>2017</c:v>
                </c:pt>
                <c:pt idx="3">
                  <c:v>2018</c:v>
                </c:pt>
                <c:pt idx="4">
                  <c:v>2019</c:v>
                </c:pt>
              </c:numCache>
            </c:numRef>
          </c:cat>
          <c:val>
            <c:numRef>
              <c:f>'Terminados e Inactivos'!$B$3:$F$3</c:f>
              <c:numCache>
                <c:formatCode>General</c:formatCode>
                <c:ptCount val="5"/>
                <c:pt idx="0">
                  <c:v>2276</c:v>
                </c:pt>
                <c:pt idx="1">
                  <c:v>2069</c:v>
                </c:pt>
                <c:pt idx="2">
                  <c:v>1858</c:v>
                </c:pt>
                <c:pt idx="3">
                  <c:v>1725</c:v>
                </c:pt>
                <c:pt idx="4">
                  <c:v>1767</c:v>
                </c:pt>
              </c:numCache>
            </c:numRef>
          </c:val>
          <c:extLst>
            <c:ext xmlns:c16="http://schemas.microsoft.com/office/drawing/2014/chart" uri="{C3380CC4-5D6E-409C-BE32-E72D297353CC}">
              <c16:uniqueId val="{00000001-2A3F-4361-93F7-11D2FF4BF683}"/>
            </c:ext>
          </c:extLst>
        </c:ser>
        <c:dLbls>
          <c:showLegendKey val="0"/>
          <c:showVal val="0"/>
          <c:showCatName val="0"/>
          <c:showSerName val="0"/>
          <c:showPercent val="0"/>
          <c:showBubbleSize val="0"/>
        </c:dLbls>
        <c:gapWidth val="219"/>
        <c:overlap val="-27"/>
        <c:axId val="314131007"/>
        <c:axId val="228318751"/>
      </c:barChart>
      <c:catAx>
        <c:axId val="3141310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228318751"/>
        <c:crosses val="autoZero"/>
        <c:auto val="1"/>
        <c:lblAlgn val="ctr"/>
        <c:lblOffset val="100"/>
        <c:noMultiLvlLbl val="0"/>
      </c:catAx>
      <c:valAx>
        <c:axId val="2283187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3141310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'Terminados Incidentes'!$A$26</c:f>
              <c:strCache>
                <c:ptCount val="1"/>
                <c:pt idx="0">
                  <c:v>Incidentes</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Incidentes'!$B$25:$C$25</c:f>
              <c:numCache>
                <c:formatCode>General</c:formatCode>
                <c:ptCount val="2"/>
                <c:pt idx="0">
                  <c:v>2018</c:v>
                </c:pt>
                <c:pt idx="1">
                  <c:v>2019</c:v>
                </c:pt>
              </c:numCache>
            </c:numRef>
          </c:cat>
          <c:val>
            <c:numRef>
              <c:f>'Terminados Incidentes'!$B$26:$C$26</c:f>
              <c:numCache>
                <c:formatCode>General</c:formatCode>
                <c:ptCount val="2"/>
                <c:pt idx="0">
                  <c:v>335</c:v>
                </c:pt>
                <c:pt idx="1">
                  <c:v>655</c:v>
                </c:pt>
              </c:numCache>
            </c:numRef>
          </c:val>
          <c:extLst>
            <c:ext xmlns:c16="http://schemas.microsoft.com/office/drawing/2014/chart" uri="{C3380CC4-5D6E-409C-BE32-E72D297353CC}">
              <c16:uniqueId val="{00000000-A396-4737-BEA6-7B6139E31C16}"/>
            </c:ext>
          </c:extLst>
        </c:ser>
        <c:ser>
          <c:idx val="1"/>
          <c:order val="1"/>
          <c:tx>
            <c:strRef>
              <c:f>'Terminados Incidentes'!$A$27</c:f>
              <c:strCache>
                <c:ptCount val="1"/>
                <c:pt idx="0">
                  <c:v>Segunda Instancia</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Incidentes'!$B$25:$C$25</c:f>
              <c:numCache>
                <c:formatCode>General</c:formatCode>
                <c:ptCount val="2"/>
                <c:pt idx="0">
                  <c:v>2018</c:v>
                </c:pt>
                <c:pt idx="1">
                  <c:v>2019</c:v>
                </c:pt>
              </c:numCache>
            </c:numRef>
          </c:cat>
          <c:val>
            <c:numRef>
              <c:f>'Terminados Incidentes'!$B$27:$C$27</c:f>
              <c:numCache>
                <c:formatCode>General</c:formatCode>
                <c:ptCount val="2"/>
                <c:pt idx="0">
                  <c:v>5298</c:v>
                </c:pt>
                <c:pt idx="1">
                  <c:v>5685</c:v>
                </c:pt>
              </c:numCache>
            </c:numRef>
          </c:val>
          <c:extLst>
            <c:ext xmlns:c16="http://schemas.microsoft.com/office/drawing/2014/chart" uri="{C3380CC4-5D6E-409C-BE32-E72D297353CC}">
              <c16:uniqueId val="{00000001-A396-4737-BEA6-7B6139E31C16}"/>
            </c:ext>
          </c:extLst>
        </c:ser>
        <c:dLbls>
          <c:showLegendKey val="0"/>
          <c:showVal val="0"/>
          <c:showCatName val="0"/>
          <c:showSerName val="0"/>
          <c:showPercent val="0"/>
          <c:showBubbleSize val="0"/>
        </c:dLbls>
        <c:gapWidth val="219"/>
        <c:overlap val="-27"/>
        <c:axId val="1988841871"/>
        <c:axId val="1998601759"/>
      </c:barChart>
      <c:catAx>
        <c:axId val="1988841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998601759"/>
        <c:crosses val="autoZero"/>
        <c:auto val="1"/>
        <c:lblAlgn val="ctr"/>
        <c:lblOffset val="100"/>
        <c:noMultiLvlLbl val="0"/>
      </c:catAx>
      <c:valAx>
        <c:axId val="19986017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88841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5'!$C$5</c:f>
              <c:strCache>
                <c:ptCount val="1"/>
                <c:pt idx="0">
                  <c:v>Entrados totales</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5'!$D$5:$H$5</c:f>
              <c:numCache>
                <c:formatCode>General</c:formatCode>
                <c:ptCount val="5"/>
                <c:pt idx="0">
                  <c:v>22836</c:v>
                </c:pt>
                <c:pt idx="1">
                  <c:v>23399</c:v>
                </c:pt>
                <c:pt idx="2">
                  <c:v>22703</c:v>
                </c:pt>
                <c:pt idx="3">
                  <c:v>22018</c:v>
                </c:pt>
                <c:pt idx="4">
                  <c:v>25114</c:v>
                </c:pt>
              </c:numCache>
            </c:numRef>
          </c:val>
          <c:smooth val="0"/>
          <c:extLst>
            <c:ext xmlns:c16="http://schemas.microsoft.com/office/drawing/2014/chart" uri="{C3380CC4-5D6E-409C-BE32-E72D297353CC}">
              <c16:uniqueId val="{00000000-EF7C-4870-AC36-4570BDD4AFAE}"/>
            </c:ext>
          </c:extLst>
        </c:ser>
        <c:ser>
          <c:idx val="1"/>
          <c:order val="1"/>
          <c:tx>
            <c:strRef>
              <c:f>'Gráfico 5'!$C$6</c:f>
              <c:strCache>
                <c:ptCount val="1"/>
                <c:pt idx="0">
                  <c:v>Terminados totales</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5'!$D$6:$H$6</c:f>
              <c:numCache>
                <c:formatCode>General</c:formatCode>
                <c:ptCount val="5"/>
                <c:pt idx="0">
                  <c:v>22634</c:v>
                </c:pt>
                <c:pt idx="1">
                  <c:v>23347</c:v>
                </c:pt>
                <c:pt idx="2">
                  <c:v>22540</c:v>
                </c:pt>
                <c:pt idx="3">
                  <c:v>21273</c:v>
                </c:pt>
                <c:pt idx="4">
                  <c:v>24908</c:v>
                </c:pt>
              </c:numCache>
            </c:numRef>
          </c:val>
          <c:smooth val="0"/>
          <c:extLst>
            <c:ext xmlns:c16="http://schemas.microsoft.com/office/drawing/2014/chart" uri="{C3380CC4-5D6E-409C-BE32-E72D297353CC}">
              <c16:uniqueId val="{00000001-EF7C-4870-AC36-4570BDD4AFAE}"/>
            </c:ext>
          </c:extLst>
        </c:ser>
        <c:ser>
          <c:idx val="2"/>
          <c:order val="2"/>
          <c:tx>
            <c:strRef>
              <c:f>'Gráfico 5'!$C$7</c:f>
              <c:strCache>
                <c:ptCount val="1"/>
                <c:pt idx="0">
                  <c:v>Circulante al finalizar el periodo</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5'!$D$7:$H$7</c:f>
              <c:numCache>
                <c:formatCode>General</c:formatCode>
                <c:ptCount val="5"/>
                <c:pt idx="0">
                  <c:v>13483</c:v>
                </c:pt>
                <c:pt idx="1">
                  <c:v>13535</c:v>
                </c:pt>
                <c:pt idx="2">
                  <c:v>13698</c:v>
                </c:pt>
                <c:pt idx="3">
                  <c:v>14443</c:v>
                </c:pt>
                <c:pt idx="4">
                  <c:v>15647</c:v>
                </c:pt>
              </c:numCache>
            </c:numRef>
          </c:val>
          <c:smooth val="0"/>
          <c:extLst>
            <c:ext xmlns:c16="http://schemas.microsoft.com/office/drawing/2014/chart" uri="{C3380CC4-5D6E-409C-BE32-E72D297353CC}">
              <c16:uniqueId val="{00000002-EF7C-4870-AC36-4570BDD4AFAE}"/>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Hoja1!$C$2</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Atenc. Inmediata</c:v>
                </c:pt>
                <c:pt idx="1">
                  <c:v>Psicología</c:v>
                </c:pt>
                <c:pt idx="2">
                  <c:v>Trabajo Social</c:v>
                </c:pt>
              </c:strCache>
            </c:strRef>
          </c:cat>
          <c:val>
            <c:numRef>
              <c:f>Hoja1!$C$3:$C$5</c:f>
              <c:numCache>
                <c:formatCode>General</c:formatCode>
                <c:ptCount val="3"/>
                <c:pt idx="0">
                  <c:v>6665</c:v>
                </c:pt>
                <c:pt idx="1">
                  <c:v>7813</c:v>
                </c:pt>
                <c:pt idx="2">
                  <c:v>16933</c:v>
                </c:pt>
              </c:numCache>
            </c:numRef>
          </c:val>
          <c:extLst>
            <c:ext xmlns:c16="http://schemas.microsoft.com/office/drawing/2014/chart" uri="{C3380CC4-5D6E-409C-BE32-E72D297353CC}">
              <c16:uniqueId val="{00000000-24BB-43D0-A0A9-FD9D52C23A23}"/>
            </c:ext>
          </c:extLst>
        </c:ser>
        <c:ser>
          <c:idx val="1"/>
          <c:order val="1"/>
          <c:tx>
            <c:strRef>
              <c:f>Hoja1!$D$2</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Atenc. Inmediata</c:v>
                </c:pt>
                <c:pt idx="1">
                  <c:v>Psicología</c:v>
                </c:pt>
                <c:pt idx="2">
                  <c:v>Trabajo Social</c:v>
                </c:pt>
              </c:strCache>
            </c:strRef>
          </c:cat>
          <c:val>
            <c:numRef>
              <c:f>Hoja1!$D$3:$D$5</c:f>
              <c:numCache>
                <c:formatCode>General</c:formatCode>
                <c:ptCount val="3"/>
                <c:pt idx="0">
                  <c:v>8513</c:v>
                </c:pt>
                <c:pt idx="1">
                  <c:v>9603</c:v>
                </c:pt>
                <c:pt idx="2">
                  <c:v>15426</c:v>
                </c:pt>
              </c:numCache>
            </c:numRef>
          </c:val>
          <c:extLst>
            <c:ext xmlns:c16="http://schemas.microsoft.com/office/drawing/2014/chart" uri="{C3380CC4-5D6E-409C-BE32-E72D297353CC}">
              <c16:uniqueId val="{00000001-24BB-43D0-A0A9-FD9D52C23A23}"/>
            </c:ext>
          </c:extLst>
        </c:ser>
        <c:dLbls>
          <c:showLegendKey val="0"/>
          <c:showVal val="0"/>
          <c:showCatName val="0"/>
          <c:showSerName val="0"/>
          <c:showPercent val="0"/>
          <c:showBubbleSize val="0"/>
        </c:dLbls>
        <c:gapWidth val="219"/>
        <c:overlap val="-27"/>
        <c:axId val="513562015"/>
        <c:axId val="574554975"/>
      </c:barChart>
      <c:catAx>
        <c:axId val="513562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74554975"/>
        <c:crosses val="autoZero"/>
        <c:auto val="1"/>
        <c:lblAlgn val="ctr"/>
        <c:lblOffset val="100"/>
        <c:noMultiLvlLbl val="0"/>
      </c:catAx>
      <c:valAx>
        <c:axId val="57455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135620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9'!$C$5</c:f>
              <c:strCache>
                <c:ptCount val="1"/>
                <c:pt idx="0">
                  <c:v>Entrados totales</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9'!$D$5:$H$5</c:f>
              <c:numCache>
                <c:formatCode>General</c:formatCode>
                <c:ptCount val="5"/>
                <c:pt idx="0">
                  <c:v>910</c:v>
                </c:pt>
                <c:pt idx="1">
                  <c:v>879</c:v>
                </c:pt>
                <c:pt idx="2">
                  <c:v>1053</c:v>
                </c:pt>
                <c:pt idx="3">
                  <c:v>1045</c:v>
                </c:pt>
                <c:pt idx="4">
                  <c:v>1190</c:v>
                </c:pt>
              </c:numCache>
            </c:numRef>
          </c:val>
          <c:smooth val="0"/>
          <c:extLst>
            <c:ext xmlns:c16="http://schemas.microsoft.com/office/drawing/2014/chart" uri="{C3380CC4-5D6E-409C-BE32-E72D297353CC}">
              <c16:uniqueId val="{00000000-E1CE-4A79-9306-CC34338ACA35}"/>
            </c:ext>
          </c:extLst>
        </c:ser>
        <c:ser>
          <c:idx val="1"/>
          <c:order val="1"/>
          <c:tx>
            <c:strRef>
              <c:f>'Gráfico 9'!$C$6</c:f>
              <c:strCache>
                <c:ptCount val="1"/>
                <c:pt idx="0">
                  <c:v>Terminados totales</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9'!$D$6:$H$6</c:f>
              <c:numCache>
                <c:formatCode>General</c:formatCode>
                <c:ptCount val="5"/>
                <c:pt idx="0">
                  <c:v>1003</c:v>
                </c:pt>
                <c:pt idx="1">
                  <c:v>935</c:v>
                </c:pt>
                <c:pt idx="2">
                  <c:v>761</c:v>
                </c:pt>
                <c:pt idx="3">
                  <c:v>887</c:v>
                </c:pt>
                <c:pt idx="4">
                  <c:v>985</c:v>
                </c:pt>
              </c:numCache>
            </c:numRef>
          </c:val>
          <c:smooth val="0"/>
          <c:extLst>
            <c:ext xmlns:c16="http://schemas.microsoft.com/office/drawing/2014/chart" uri="{C3380CC4-5D6E-409C-BE32-E72D297353CC}">
              <c16:uniqueId val="{00000001-E1CE-4A79-9306-CC34338ACA35}"/>
            </c:ext>
          </c:extLst>
        </c:ser>
        <c:ser>
          <c:idx val="2"/>
          <c:order val="2"/>
          <c:tx>
            <c:strRef>
              <c:f>'Gráfico 9'!$C$7</c:f>
              <c:strCache>
                <c:ptCount val="1"/>
                <c:pt idx="0">
                  <c:v>Circulante al finalizar el periodo</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9'!$D$7:$H$7</c:f>
              <c:numCache>
                <c:formatCode>General</c:formatCode>
                <c:ptCount val="5"/>
                <c:pt idx="0">
                  <c:v>600</c:v>
                </c:pt>
                <c:pt idx="1">
                  <c:v>545</c:v>
                </c:pt>
                <c:pt idx="2">
                  <c:v>838</c:v>
                </c:pt>
                <c:pt idx="3">
                  <c:v>996</c:v>
                </c:pt>
                <c:pt idx="4">
                  <c:v>1203</c:v>
                </c:pt>
              </c:numCache>
            </c:numRef>
          </c:val>
          <c:smooth val="0"/>
          <c:extLst>
            <c:ext xmlns:c16="http://schemas.microsoft.com/office/drawing/2014/chart" uri="{C3380CC4-5D6E-409C-BE32-E72D297353CC}">
              <c16:uniqueId val="{00000002-E1CE-4A79-9306-CC34338ACA35}"/>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8 PA'!$C$5</c:f>
              <c:strCache>
                <c:ptCount val="1"/>
                <c:pt idx="0">
                  <c:v>Ejecución activa+pasiva</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8 PA'!$D$4:$H$4</c:f>
              <c:numCache>
                <c:formatCode>General</c:formatCode>
                <c:ptCount val="5"/>
                <c:pt idx="0">
                  <c:v>2015</c:v>
                </c:pt>
                <c:pt idx="1">
                  <c:v>2016</c:v>
                </c:pt>
                <c:pt idx="2">
                  <c:v>2017</c:v>
                </c:pt>
                <c:pt idx="3">
                  <c:v>2018</c:v>
                </c:pt>
                <c:pt idx="4">
                  <c:v>2019</c:v>
                </c:pt>
              </c:numCache>
            </c:numRef>
          </c:cat>
          <c:val>
            <c:numRef>
              <c:f>'Gráfico 8 PA'!$D$5:$H$5</c:f>
              <c:numCache>
                <c:formatCode>General</c:formatCode>
                <c:ptCount val="5"/>
                <c:pt idx="0">
                  <c:v>67762</c:v>
                </c:pt>
                <c:pt idx="1">
                  <c:v>71351</c:v>
                </c:pt>
                <c:pt idx="2">
                  <c:v>71323</c:v>
                </c:pt>
                <c:pt idx="3">
                  <c:v>75336</c:v>
                </c:pt>
                <c:pt idx="4">
                  <c:v>77418</c:v>
                </c:pt>
              </c:numCache>
            </c:numRef>
          </c:val>
          <c:smooth val="0"/>
          <c:extLst>
            <c:ext xmlns:c16="http://schemas.microsoft.com/office/drawing/2014/chart" uri="{C3380CC4-5D6E-409C-BE32-E72D297353CC}">
              <c16:uniqueId val="{00000000-11B4-431E-9CD6-DA09B5605EB9}"/>
            </c:ext>
          </c:extLst>
        </c:ser>
        <c:ser>
          <c:idx val="1"/>
          <c:order val="1"/>
          <c:tx>
            <c:strRef>
              <c:f>'Gráfico 8 PA'!$C$6</c:f>
              <c:strCache>
                <c:ptCount val="1"/>
                <c:pt idx="0">
                  <c:v>Demanda+demostrativa+conclusiva</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8 PA'!$D$4:$H$4</c:f>
              <c:numCache>
                <c:formatCode>General</c:formatCode>
                <c:ptCount val="5"/>
                <c:pt idx="0">
                  <c:v>2015</c:v>
                </c:pt>
                <c:pt idx="1">
                  <c:v>2016</c:v>
                </c:pt>
                <c:pt idx="2">
                  <c:v>2017</c:v>
                </c:pt>
                <c:pt idx="3">
                  <c:v>2018</c:v>
                </c:pt>
                <c:pt idx="4">
                  <c:v>2019</c:v>
                </c:pt>
              </c:numCache>
            </c:numRef>
          </c:cat>
          <c:val>
            <c:numRef>
              <c:f>'Gráfico 8 PA'!$D$6:$H$6</c:f>
              <c:numCache>
                <c:formatCode>General</c:formatCode>
                <c:ptCount val="5"/>
                <c:pt idx="0">
                  <c:v>7395</c:v>
                </c:pt>
                <c:pt idx="1">
                  <c:v>7289</c:v>
                </c:pt>
                <c:pt idx="2">
                  <c:v>7659</c:v>
                </c:pt>
                <c:pt idx="3">
                  <c:v>7903</c:v>
                </c:pt>
                <c:pt idx="4">
                  <c:v>7452</c:v>
                </c:pt>
              </c:numCache>
            </c:numRef>
          </c:val>
          <c:smooth val="0"/>
          <c:extLst>
            <c:ext xmlns:c16="http://schemas.microsoft.com/office/drawing/2014/chart" uri="{C3380CC4-5D6E-409C-BE32-E72D297353CC}">
              <c16:uniqueId val="{00000001-11B4-431E-9CD6-DA09B5605EB9}"/>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Carga de Trabajo 2019 - 2020</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SEGUIMIENTO!$B$50</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1"/>
              <c:layout>
                <c:manualLayout>
                  <c:x val="-8.2974073534957184E-17"/>
                  <c:y val="1.34680134680133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7F2-47D7-9DED-7F4D2CEF3E8F}"/>
                </c:ext>
              </c:extLst>
            </c:dLbl>
            <c:dLbl>
              <c:idx val="2"/>
              <c:layout>
                <c:manualLayout>
                  <c:x val="-2.2629554197782305E-3"/>
                  <c:y val="8.978675645342312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7F2-47D7-9DED-7F4D2CEF3E8F}"/>
                </c:ext>
              </c:extLst>
            </c:dLbl>
            <c:dLbl>
              <c:idx val="3"/>
              <c:layout>
                <c:manualLayout>
                  <c:x val="-4.5259108395565434E-3"/>
                  <c:y val="1.79573512906845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7F2-47D7-9DED-7F4D2CEF3E8F}"/>
                </c:ext>
              </c:extLst>
            </c:dLbl>
            <c:dLbl>
              <c:idx val="4"/>
              <c:layout>
                <c:manualLayout>
                  <c:x val="-9.0518216791130052E-3"/>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7F2-47D7-9DED-7F4D2CEF3E8F}"/>
                </c:ext>
              </c:extLst>
            </c:dLbl>
            <c:dLbl>
              <c:idx val="5"/>
              <c:layout>
                <c:manualLayout>
                  <c:x val="-2.2629554197783133E-3"/>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7F2-47D7-9DED-7F4D2CEF3E8F}"/>
                </c:ext>
              </c:extLst>
            </c:dLbl>
            <c:dLbl>
              <c:idx val="6"/>
              <c:layout>
                <c:manualLayout>
                  <c:x val="0"/>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7F2-47D7-9DED-7F4D2CEF3E8F}"/>
                </c:ext>
              </c:extLst>
            </c:dLbl>
            <c:dLbl>
              <c:idx val="7"/>
              <c:layout>
                <c:manualLayout>
                  <c:x val="-2.2629554197783133E-3"/>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7F2-47D7-9DED-7F4D2CEF3E8F}"/>
                </c:ext>
              </c:extLst>
            </c:dLbl>
            <c:dLbl>
              <c:idx val="9"/>
              <c:layout>
                <c:manualLayout>
                  <c:x val="-2.2629554197782305E-3"/>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7F2-47D7-9DED-7F4D2CEF3E8F}"/>
                </c:ext>
              </c:extLst>
            </c:dLbl>
            <c:dLbl>
              <c:idx val="10"/>
              <c:layout>
                <c:manualLayout>
                  <c:x val="0"/>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7F2-47D7-9DED-7F4D2CEF3E8F}"/>
                </c:ext>
              </c:extLst>
            </c:dLbl>
            <c:dLbl>
              <c:idx val="11"/>
              <c:layout>
                <c:manualLayout>
                  <c:x val="2.262955419778147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7F2-47D7-9DED-7F4D2CEF3E8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SEGUIMIENTO!$C$49:$N$49</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SEGUIMIENTO!$C$50:$N$50</c:f>
              <c:numCache>
                <c:formatCode>0</c:formatCode>
                <c:ptCount val="12"/>
                <c:pt idx="0">
                  <c:v>24.622222222222224</c:v>
                </c:pt>
                <c:pt idx="1">
                  <c:v>16.977777777777778</c:v>
                </c:pt>
                <c:pt idx="2">
                  <c:v>27.822222222222223</c:v>
                </c:pt>
                <c:pt idx="3">
                  <c:v>41.06666666666667</c:v>
                </c:pt>
                <c:pt idx="4">
                  <c:v>17.155555555555555</c:v>
                </c:pt>
                <c:pt idx="5">
                  <c:v>40.355555555555554</c:v>
                </c:pt>
                <c:pt idx="6">
                  <c:v>39.200000000000003</c:v>
                </c:pt>
                <c:pt idx="7">
                  <c:v>30.844444444444445</c:v>
                </c:pt>
                <c:pt idx="8">
                  <c:v>28.444444444444443</c:v>
                </c:pt>
                <c:pt idx="9">
                  <c:v>31.466666666666665</c:v>
                </c:pt>
                <c:pt idx="10">
                  <c:v>20.888888888888889</c:v>
                </c:pt>
                <c:pt idx="11">
                  <c:v>33.777777777777779</c:v>
                </c:pt>
              </c:numCache>
            </c:numRef>
          </c:val>
          <c:extLst>
            <c:ext xmlns:c16="http://schemas.microsoft.com/office/drawing/2014/chart" uri="{C3380CC4-5D6E-409C-BE32-E72D297353CC}">
              <c16:uniqueId val="{0000000A-27F2-47D7-9DED-7F4D2CEF3E8F}"/>
            </c:ext>
          </c:extLst>
        </c:ser>
        <c:ser>
          <c:idx val="1"/>
          <c:order val="1"/>
          <c:tx>
            <c:strRef>
              <c:f>SEGUIMIENTO!$B$51</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0"/>
              <c:layout>
                <c:manualLayout>
                  <c:x val="0"/>
                  <c:y val="-1.34680134680135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7F2-47D7-9DED-7F4D2CEF3E8F}"/>
                </c:ext>
              </c:extLst>
            </c:dLbl>
            <c:dLbl>
              <c:idx val="10"/>
              <c:layout>
                <c:manualLayout>
                  <c:x val="-8.2974073534957184E-17"/>
                  <c:y val="-8.978675645342352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7F2-47D7-9DED-7F4D2CEF3E8F}"/>
                </c:ext>
              </c:extLst>
            </c:dLbl>
            <c:dLbl>
              <c:idx val="11"/>
              <c:layout>
                <c:manualLayout>
                  <c:x val="-6.7888662593347743E-3"/>
                  <c:y val="-1.79573512906846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7F2-47D7-9DED-7F4D2CEF3E8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SEGUIMIENTO!$C$49:$N$49</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SEGUIMIENTO!$C$51:$N$51</c:f>
              <c:numCache>
                <c:formatCode>0</c:formatCode>
                <c:ptCount val="12"/>
                <c:pt idx="0">
                  <c:v>23.022222222222222</c:v>
                </c:pt>
                <c:pt idx="1">
                  <c:v>19.733333333333334</c:v>
                </c:pt>
                <c:pt idx="2">
                  <c:v>37.6</c:v>
                </c:pt>
                <c:pt idx="3">
                  <c:v>42.4</c:v>
                </c:pt>
                <c:pt idx="4">
                  <c:v>18.399999999999999</c:v>
                </c:pt>
                <c:pt idx="5">
                  <c:v>42.133333333333333</c:v>
                </c:pt>
                <c:pt idx="6">
                  <c:v>55.2</c:v>
                </c:pt>
                <c:pt idx="7">
                  <c:v>32</c:v>
                </c:pt>
                <c:pt idx="8">
                  <c:v>46.93333333333333</c:v>
                </c:pt>
                <c:pt idx="9">
                  <c:v>34.044444444444444</c:v>
                </c:pt>
                <c:pt idx="10">
                  <c:v>24.977777777777778</c:v>
                </c:pt>
                <c:pt idx="11">
                  <c:v>31.555555555555557</c:v>
                </c:pt>
              </c:numCache>
            </c:numRef>
          </c:val>
          <c:extLst>
            <c:ext xmlns:c16="http://schemas.microsoft.com/office/drawing/2014/chart" uri="{C3380CC4-5D6E-409C-BE32-E72D297353CC}">
              <c16:uniqueId val="{0000000E-27F2-47D7-9DED-7F4D2CEF3E8F}"/>
            </c:ext>
          </c:extLst>
        </c:ser>
        <c:dLbls>
          <c:showLegendKey val="0"/>
          <c:showVal val="0"/>
          <c:showCatName val="0"/>
          <c:showSerName val="0"/>
          <c:showPercent val="0"/>
          <c:showBubbleSize val="0"/>
        </c:dLbls>
        <c:gapWidth val="100"/>
        <c:axId val="505589120"/>
        <c:axId val="505640288"/>
      </c:barChart>
      <c:catAx>
        <c:axId val="505589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b="1"/>
              <a:t>Casos Terminados </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SEGUIMIENTO!$B$84</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1"/>
              <c:layout>
                <c:manualLayout>
                  <c:x val="0"/>
                  <c:y val="1.2562814070351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FC6-4CA8-B74D-FE7805DFB4A3}"/>
                </c:ext>
              </c:extLst>
            </c:dLbl>
            <c:dLbl>
              <c:idx val="2"/>
              <c:layout>
                <c:manualLayout>
                  <c:x val="0"/>
                  <c:y val="1.6750418760468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FC6-4CA8-B74D-FE7805DFB4A3}"/>
                </c:ext>
              </c:extLst>
            </c:dLbl>
            <c:dLbl>
              <c:idx val="3"/>
              <c:layout>
                <c:manualLayout>
                  <c:x val="0"/>
                  <c:y val="1.25628140703516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FC6-4CA8-B74D-FE7805DFB4A3}"/>
                </c:ext>
              </c:extLst>
            </c:dLbl>
            <c:dLbl>
              <c:idx val="6"/>
              <c:layout>
                <c:manualLayout>
                  <c:x val="-2.2629554197782305E-3"/>
                  <c:y val="4.187604690117252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FC6-4CA8-B74D-FE7805DFB4A3}"/>
                </c:ext>
              </c:extLst>
            </c:dLbl>
            <c:dLbl>
              <c:idx val="7"/>
              <c:layout>
                <c:manualLayout>
                  <c:x val="-9.051821679112922E-3"/>
                  <c:y val="1.2562814070351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FC6-4CA8-B74D-FE7805DFB4A3}"/>
                </c:ext>
              </c:extLst>
            </c:dLbl>
            <c:dLbl>
              <c:idx val="8"/>
              <c:layout>
                <c:manualLayout>
                  <c:x val="-9.051821679112922E-3"/>
                  <c:y val="8.37520938023450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FC6-4CA8-B74D-FE7805DFB4A3}"/>
                </c:ext>
              </c:extLst>
            </c:dLbl>
            <c:dLbl>
              <c:idx val="9"/>
              <c:layout>
                <c:manualLayout>
                  <c:x val="-8.2974073534957184E-17"/>
                  <c:y val="1.2562814070351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FC6-4CA8-B74D-FE7805DFB4A3}"/>
                </c:ext>
              </c:extLst>
            </c:dLbl>
            <c:dLbl>
              <c:idx val="10"/>
              <c:layout>
                <c:manualLayout>
                  <c:x val="-4.1487036767478592E-17"/>
                  <c:y val="1.6750418760469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FC6-4CA8-B74D-FE7805DFB4A3}"/>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SEGUIMIENTO!$C$83:$N$83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SEGUIMIENTO!$C$84:$N$84</c:f>
              <c:numCache>
                <c:formatCode>0</c:formatCode>
                <c:ptCount val="12"/>
                <c:pt idx="0">
                  <c:v>28.533333333333335</c:v>
                </c:pt>
                <c:pt idx="1">
                  <c:v>12.977777777777778</c:v>
                </c:pt>
                <c:pt idx="2">
                  <c:v>36.711111111111109</c:v>
                </c:pt>
                <c:pt idx="3">
                  <c:v>36.977777777777774</c:v>
                </c:pt>
                <c:pt idx="4">
                  <c:v>17.68888888888889</c:v>
                </c:pt>
                <c:pt idx="5">
                  <c:v>41.155555555555559</c:v>
                </c:pt>
                <c:pt idx="6">
                  <c:v>37.866666666666667</c:v>
                </c:pt>
                <c:pt idx="7">
                  <c:v>34.755555555555553</c:v>
                </c:pt>
                <c:pt idx="8">
                  <c:v>28.8</c:v>
                </c:pt>
                <c:pt idx="9">
                  <c:v>28</c:v>
                </c:pt>
                <c:pt idx="10">
                  <c:v>16.8</c:v>
                </c:pt>
                <c:pt idx="11">
                  <c:v>42.4</c:v>
                </c:pt>
              </c:numCache>
            </c:numRef>
          </c:val>
          <c:extLst>
            <c:ext xmlns:c16="http://schemas.microsoft.com/office/drawing/2014/chart" uri="{C3380CC4-5D6E-409C-BE32-E72D297353CC}">
              <c16:uniqueId val="{00000008-1FC6-4CA8-B74D-FE7805DFB4A3}"/>
            </c:ext>
          </c:extLst>
        </c:ser>
        <c:ser>
          <c:idx val="1"/>
          <c:order val="1"/>
          <c:tx>
            <c:strRef>
              <c:f>SEGUIMIENTO!$B$85</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0"/>
              <c:layout>
                <c:manualLayout>
                  <c:x val="-8.2974073534957184E-17"/>
                  <c:y val="-1.6750418760469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FC6-4CA8-B74D-FE7805DFB4A3}"/>
                </c:ext>
              </c:extLst>
            </c:dLbl>
            <c:dLbl>
              <c:idx val="4"/>
              <c:layout>
                <c:manualLayout>
                  <c:x val="-2.2629554197781889E-3"/>
                  <c:y val="-1.25628140703518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FC6-4CA8-B74D-FE7805DFB4A3}"/>
                </c:ext>
              </c:extLst>
            </c:dLbl>
            <c:dLbl>
              <c:idx val="5"/>
              <c:layout>
                <c:manualLayout>
                  <c:x val="0"/>
                  <c:y val="-8.37520938023450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FC6-4CA8-B74D-FE7805DFB4A3}"/>
                </c:ext>
              </c:extLst>
            </c:dLbl>
            <c:dLbl>
              <c:idx val="11"/>
              <c:layout>
                <c:manualLayout>
                  <c:x val="-6.788866259334691E-3"/>
                  <c:y val="-1.2562814070351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FC6-4CA8-B74D-FE7805DFB4A3}"/>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SEGUIMIENTO!$C$83:$N$83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SEGUIMIENTO!$C$85:$N$85</c:f>
              <c:numCache>
                <c:formatCode>0</c:formatCode>
                <c:ptCount val="12"/>
                <c:pt idx="0">
                  <c:v>21.6</c:v>
                </c:pt>
                <c:pt idx="1">
                  <c:v>18.222222222222221</c:v>
                </c:pt>
                <c:pt idx="2">
                  <c:v>40.62222222222222</c:v>
                </c:pt>
                <c:pt idx="3">
                  <c:v>57.244444444444447</c:v>
                </c:pt>
                <c:pt idx="4">
                  <c:v>14.844444444444445</c:v>
                </c:pt>
                <c:pt idx="5">
                  <c:v>35.200000000000003</c:v>
                </c:pt>
                <c:pt idx="6">
                  <c:v>46.755555555555553</c:v>
                </c:pt>
                <c:pt idx="7">
                  <c:v>42.31111111111111</c:v>
                </c:pt>
                <c:pt idx="8">
                  <c:v>56.711111111111109</c:v>
                </c:pt>
                <c:pt idx="9">
                  <c:v>38.31111111111111</c:v>
                </c:pt>
                <c:pt idx="10">
                  <c:v>24.622222222222224</c:v>
                </c:pt>
                <c:pt idx="11">
                  <c:v>34.577777777777776</c:v>
                </c:pt>
              </c:numCache>
            </c:numRef>
          </c:val>
          <c:extLst>
            <c:ext xmlns:c16="http://schemas.microsoft.com/office/drawing/2014/chart" uri="{C3380CC4-5D6E-409C-BE32-E72D297353CC}">
              <c16:uniqueId val="{0000000D-1FC6-4CA8-B74D-FE7805DFB4A3}"/>
            </c:ext>
          </c:extLst>
        </c:ser>
        <c:dLbls>
          <c:showLegendKey val="0"/>
          <c:showVal val="0"/>
          <c:showCatName val="0"/>
          <c:showSerName val="0"/>
          <c:showPercent val="0"/>
          <c:showBubbleSize val="0"/>
        </c:dLbls>
        <c:gapWidth val="100"/>
        <c:axId val="506656008"/>
        <c:axId val="506657320"/>
      </c:barChart>
      <c:catAx>
        <c:axId val="506656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6657320"/>
        <c:crosses val="autoZero"/>
        <c:auto val="1"/>
        <c:lblAlgn val="ctr"/>
        <c:lblOffset val="100"/>
        <c:noMultiLvlLbl val="0"/>
      </c:catAx>
      <c:valAx>
        <c:axId val="5066573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6656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Circulante Final 2019- 2020</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SEGUIMIENTO!$B$114</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0"/>
              <c:layout>
                <c:manualLayout>
                  <c:x val="-2.1687269572760789E-3"/>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2B5-4D89-9E8D-1F5D67CDF0FB}"/>
                </c:ext>
              </c:extLst>
            </c:dLbl>
            <c:dLbl>
              <c:idx val="2"/>
              <c:layout>
                <c:manualLayout>
                  <c:x val="0"/>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2B5-4D89-9E8D-1F5D67CDF0FB}"/>
                </c:ext>
              </c:extLst>
            </c:dLbl>
            <c:dLbl>
              <c:idx val="4"/>
              <c:layout>
                <c:manualLayout>
                  <c:x val="0"/>
                  <c:y val="1.19617224880382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2B5-4D89-9E8D-1F5D67CDF0FB}"/>
                </c:ext>
              </c:extLst>
            </c:dLbl>
            <c:dLbl>
              <c:idx val="5"/>
              <c:layout>
                <c:manualLayout>
                  <c:x val="0"/>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2B5-4D89-9E8D-1F5D67CDF0FB}"/>
                </c:ext>
              </c:extLst>
            </c:dLbl>
            <c:dLbl>
              <c:idx val="7"/>
              <c:layout>
                <c:manualLayout>
                  <c:x val="-6.5061808718282765E-3"/>
                  <c:y val="1.1961722488038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2B5-4D89-9E8D-1F5D67CDF0FB}"/>
                </c:ext>
              </c:extLst>
            </c:dLbl>
            <c:dLbl>
              <c:idx val="8"/>
              <c:layout>
                <c:manualLayout>
                  <c:x val="0"/>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2B5-4D89-9E8D-1F5D67CDF0FB}"/>
                </c:ext>
              </c:extLst>
            </c:dLbl>
            <c:dLbl>
              <c:idx val="10"/>
              <c:layout>
                <c:manualLayout>
                  <c:x val="6.506180871828236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2B5-4D89-9E8D-1F5D67CDF0FB}"/>
                </c:ext>
              </c:extLst>
            </c:dLbl>
            <c:dLbl>
              <c:idx val="11"/>
              <c:layout>
                <c:manualLayout>
                  <c:x val="-2.1687269572760789E-3"/>
                  <c:y val="1.5948963317384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2B5-4D89-9E8D-1F5D67CDF0FB}"/>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SEGUIMIENTO!$C$113:$N$113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SEGUIMIENTO!$C$114:$N$114</c:f>
              <c:numCache>
                <c:formatCode>0</c:formatCode>
                <c:ptCount val="12"/>
                <c:pt idx="0">
                  <c:v>431</c:v>
                </c:pt>
                <c:pt idx="1">
                  <c:v>379</c:v>
                </c:pt>
                <c:pt idx="2">
                  <c:v>413</c:v>
                </c:pt>
                <c:pt idx="3">
                  <c:v>630</c:v>
                </c:pt>
                <c:pt idx="4">
                  <c:v>368</c:v>
                </c:pt>
                <c:pt idx="5">
                  <c:v>405</c:v>
                </c:pt>
                <c:pt idx="6">
                  <c:v>1018</c:v>
                </c:pt>
                <c:pt idx="7">
                  <c:v>253</c:v>
                </c:pt>
                <c:pt idx="8">
                  <c:v>674</c:v>
                </c:pt>
                <c:pt idx="9">
                  <c:v>515</c:v>
                </c:pt>
                <c:pt idx="10">
                  <c:v>333</c:v>
                </c:pt>
                <c:pt idx="11">
                  <c:v>446</c:v>
                </c:pt>
              </c:numCache>
            </c:numRef>
          </c:val>
          <c:extLst>
            <c:ext xmlns:c16="http://schemas.microsoft.com/office/drawing/2014/chart" uri="{C3380CC4-5D6E-409C-BE32-E72D297353CC}">
              <c16:uniqueId val="{00000008-A2B5-4D89-9E8D-1F5D67CDF0FB}"/>
            </c:ext>
          </c:extLst>
        </c:ser>
        <c:ser>
          <c:idx val="1"/>
          <c:order val="1"/>
          <c:tx>
            <c:strRef>
              <c:f>SEGUIMIENTO!$B$115</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
              <c:layout>
                <c:manualLayout>
                  <c:x val="0"/>
                  <c:y val="-1.1961722488038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2B5-4D89-9E8D-1F5D67CDF0FB}"/>
                </c:ext>
              </c:extLst>
            </c:dLbl>
            <c:dLbl>
              <c:idx val="3"/>
              <c:layout>
                <c:manualLayout>
                  <c:x val="-4.3374539145522376E-3"/>
                  <c:y val="-1.1961722488038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2B5-4D89-9E8D-1F5D67CDF0FB}"/>
                </c:ext>
              </c:extLst>
            </c:dLbl>
            <c:dLbl>
              <c:idx val="4"/>
              <c:layout>
                <c:manualLayout>
                  <c:x val="2.168726957276078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2B5-4D89-9E8D-1F5D67CDF0FB}"/>
                </c:ext>
              </c:extLst>
            </c:dLbl>
            <c:dLbl>
              <c:idx val="5"/>
              <c:layout>
                <c:manualLayout>
                  <c:x val="6.5061808718282366E-3"/>
                  <c:y val="-3.98724082934616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2B5-4D89-9E8D-1F5D67CDF0FB}"/>
                </c:ext>
              </c:extLst>
            </c:dLbl>
            <c:dLbl>
              <c:idx val="6"/>
              <c:layout>
                <c:manualLayout>
                  <c:x val="-2.1687269572760789E-3"/>
                  <c:y val="-1.1961722488038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2B5-4D89-9E8D-1F5D67CDF0FB}"/>
                </c:ext>
              </c:extLst>
            </c:dLbl>
            <c:dLbl>
              <c:idx val="8"/>
              <c:layout>
                <c:manualLayout>
                  <c:x val="-4.3374539145521578E-3"/>
                  <c:y val="-1.19617224880383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2B5-4D89-9E8D-1F5D67CDF0FB}"/>
                </c:ext>
              </c:extLst>
            </c:dLbl>
            <c:dLbl>
              <c:idx val="9"/>
              <c:layout>
                <c:manualLayout>
                  <c:x val="-4.3374539145521578E-3"/>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2B5-4D89-9E8D-1F5D67CDF0FB}"/>
                </c:ext>
              </c:extLst>
            </c:dLbl>
            <c:dLbl>
              <c:idx val="10"/>
              <c:layout>
                <c:manualLayout>
                  <c:x val="-2.1687269572760789E-3"/>
                  <c:y val="-3.987240829346128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2B5-4D89-9E8D-1F5D67CDF0FB}"/>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SEGUIMIENTO!$C$113:$N$113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SEGUIMIENTO!$C$115:$N$115</c:f>
              <c:numCache>
                <c:formatCode>0</c:formatCode>
                <c:ptCount val="12"/>
                <c:pt idx="0">
                  <c:v>474</c:v>
                </c:pt>
                <c:pt idx="1">
                  <c:v>334</c:v>
                </c:pt>
                <c:pt idx="2">
                  <c:v>514</c:v>
                </c:pt>
                <c:pt idx="3">
                  <c:v>584</c:v>
                </c:pt>
                <c:pt idx="4">
                  <c:v>374</c:v>
                </c:pt>
                <c:pt idx="5">
                  <c:v>413</c:v>
                </c:pt>
                <c:pt idx="6">
                  <c:v>1003</c:v>
                </c:pt>
                <c:pt idx="7">
                  <c:v>297</c:v>
                </c:pt>
                <c:pt idx="8">
                  <c:v>679</c:v>
                </c:pt>
                <c:pt idx="9">
                  <c:v>476</c:v>
                </c:pt>
                <c:pt idx="10">
                  <c:v>307</c:v>
                </c:pt>
                <c:pt idx="11">
                  <c:v>543</c:v>
                </c:pt>
              </c:numCache>
            </c:numRef>
          </c:val>
          <c:extLst>
            <c:ext xmlns:c16="http://schemas.microsoft.com/office/drawing/2014/chart" uri="{C3380CC4-5D6E-409C-BE32-E72D297353CC}">
              <c16:uniqueId val="{00000011-A2B5-4D89-9E8D-1F5D67CDF0FB}"/>
            </c:ext>
          </c:extLst>
        </c:ser>
        <c:dLbls>
          <c:showLegendKey val="0"/>
          <c:showVal val="0"/>
          <c:showCatName val="0"/>
          <c:showSerName val="0"/>
          <c:showPercent val="0"/>
          <c:showBubbleSize val="0"/>
        </c:dLbls>
        <c:gapWidth val="100"/>
        <c:axId val="771686184"/>
        <c:axId val="771679296"/>
      </c:barChart>
      <c:catAx>
        <c:axId val="771686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71679296"/>
        <c:crosses val="autoZero"/>
        <c:auto val="1"/>
        <c:lblAlgn val="ctr"/>
        <c:lblOffset val="100"/>
        <c:noMultiLvlLbl val="0"/>
      </c:catAx>
      <c:valAx>
        <c:axId val="7716792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71686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909426148986656"/>
          <c:y val="0.2012093454761108"/>
          <c:w val="0.5384686223243208"/>
          <c:h val="0.62761107881649025"/>
        </c:manualLayout>
      </c:layout>
      <c:pieChart>
        <c:varyColors val="1"/>
        <c:ser>
          <c:idx val="0"/>
          <c:order val="0"/>
          <c:explosion val="2"/>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5517-46F1-A549-AFAB5AE5B5FE}"/>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5517-46F1-A549-AFAB5AE5B5FE}"/>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5517-46F1-A549-AFAB5AE5B5FE}"/>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5517-46F1-A549-AFAB5AE5B5FE}"/>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5517-46F1-A549-AFAB5AE5B5FE}"/>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5517-46F1-A549-AFAB5AE5B5FE}"/>
              </c:ext>
            </c:extLst>
          </c:dPt>
          <c:dLbls>
            <c:dLbl>
              <c:idx val="0"/>
              <c:layout>
                <c:manualLayout>
                  <c:x val="5.6797900262467067E-2"/>
                  <c:y val="1.212997498119752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517-46F1-A549-AFAB5AE5B5FE}"/>
                </c:ext>
              </c:extLst>
            </c:dLbl>
            <c:dLbl>
              <c:idx val="1"/>
              <c:layout>
                <c:manualLayout>
                  <c:x val="9.7248880358285258E-2"/>
                  <c:y val="2.52961561622977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517-46F1-A549-AFAB5AE5B5FE}"/>
                </c:ext>
              </c:extLst>
            </c:dLbl>
            <c:dLbl>
              <c:idx val="3"/>
              <c:layout>
                <c:manualLayout>
                  <c:x val="-7.6775431861804216E-2"/>
                  <c:y val="-1.3671231579081872E-1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517-46F1-A549-AFAB5AE5B5FE}"/>
                </c:ext>
              </c:extLst>
            </c:dLbl>
            <c:dLbl>
              <c:idx val="4"/>
              <c:layout>
                <c:manualLayout>
                  <c:x val="-3.5665294924554183E-2"/>
                  <c:y val="-6.060606060606062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517-46F1-A549-AFAB5AE5B5FE}"/>
                </c:ext>
              </c:extLst>
            </c:dLbl>
            <c:dLbl>
              <c:idx val="5"/>
              <c:layout>
                <c:manualLayout>
                  <c:x val="0.14713130819887826"/>
                  <c:y val="2.2758871648221008E-2"/>
                </c:manualLayout>
              </c:layout>
              <c:spPr>
                <a:noFill/>
                <a:ln>
                  <a:noFill/>
                </a:ln>
                <a:effectLst/>
              </c:spPr>
              <c:txPr>
                <a:bodyPr rot="0" spcFirstLastPara="1" vertOverflow="ellipsis" vert="horz" wrap="square" lIns="38100" tIns="19050" rIns="38100" bIns="19050" anchor="ctr" anchorCtr="1">
                  <a:noAutofit/>
                </a:bodyPr>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s-CR"/>
                </a:p>
              </c:txPr>
              <c:dLblPos val="bestFit"/>
              <c:showLegendKey val="0"/>
              <c:showVal val="0"/>
              <c:showCatName val="1"/>
              <c:showSerName val="0"/>
              <c:showPercent val="1"/>
              <c:showBubbleSize val="0"/>
              <c:extLst>
                <c:ext xmlns:c15="http://schemas.microsoft.com/office/drawing/2012/chart" uri="{CE6537A1-D6FC-4f65-9D91-7224C49458BB}">
                  <c15:layout>
                    <c:manualLayout>
                      <c:w val="0.25867789782091194"/>
                      <c:h val="0.24701846479716352"/>
                    </c:manualLayout>
                  </c15:layout>
                </c:ext>
                <c:ext xmlns:c16="http://schemas.microsoft.com/office/drawing/2014/chart" uri="{C3380CC4-5D6E-409C-BE32-E72D297353CC}">
                  <c16:uniqueId val="{0000000B-5517-46F1-A549-AFAB5AE5B5FE}"/>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s-C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'VARIACIÓN '!$B$43:$B$48</c:f>
              <c:strCache>
                <c:ptCount val="6"/>
                <c:pt idx="0">
                  <c:v>Dirección, Administración y Otros Órganos de Apoyo</c:v>
                </c:pt>
                <c:pt idx="1">
                  <c:v>Servicio Jurisdiccional</c:v>
                </c:pt>
                <c:pt idx="2">
                  <c:v>Organismo de Investigación Judicial</c:v>
                </c:pt>
                <c:pt idx="3">
                  <c:v>Ministerio Público</c:v>
                </c:pt>
                <c:pt idx="4">
                  <c:v>Defensa Pública</c:v>
                </c:pt>
                <c:pt idx="5">
                  <c:v>Serv. Atenc - Protec Víctimas y Testigos</c:v>
                </c:pt>
              </c:strCache>
            </c:strRef>
          </c:cat>
          <c:val>
            <c:numRef>
              <c:f>'VARIACIÓN '!$D$43:$D$48</c:f>
              <c:numCache>
                <c:formatCode>_(* #,##0_);_(* \(#,##0\);_(* "-"_);_(@_)</c:formatCode>
                <c:ptCount val="6"/>
                <c:pt idx="0">
                  <c:v>991795480</c:v>
                </c:pt>
                <c:pt idx="1">
                  <c:v>1332475027</c:v>
                </c:pt>
                <c:pt idx="2">
                  <c:v>853433275</c:v>
                </c:pt>
                <c:pt idx="3">
                  <c:v>228685738</c:v>
                </c:pt>
                <c:pt idx="4">
                  <c:v>121147548</c:v>
                </c:pt>
                <c:pt idx="5">
                  <c:v>38205755</c:v>
                </c:pt>
              </c:numCache>
            </c:numRef>
          </c:val>
          <c:extLst>
            <c:ext xmlns:c16="http://schemas.microsoft.com/office/drawing/2014/chart" uri="{C3380CC4-5D6E-409C-BE32-E72D297353CC}">
              <c16:uniqueId val="{0000000C-5517-46F1-A549-AFAB5AE5B5FE}"/>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R"/>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Plazo de Espera de Dictado de Sentencia</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SEGUIMIENTO!$C$169</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0"/>
              <c:layout>
                <c:manualLayout>
                  <c:x val="-2.0743518383739296E-17"/>
                  <c:y val="8.7298123090351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CA2-46EB-A7A3-5D58FADA6D55}"/>
                </c:ext>
              </c:extLst>
            </c:dLbl>
            <c:dLbl>
              <c:idx val="2"/>
              <c:layout>
                <c:manualLayout>
                  <c:x val="-2.2629554197782305E-3"/>
                  <c:y val="8.729812309035356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CA2-46EB-A7A3-5D58FADA6D55}"/>
                </c:ext>
              </c:extLst>
            </c:dLbl>
            <c:dLbl>
              <c:idx val="4"/>
              <c:layout>
                <c:manualLayout>
                  <c:x val="0"/>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CA2-46EB-A7A3-5D58FADA6D55}"/>
                </c:ext>
              </c:extLst>
            </c:dLbl>
            <c:dLbl>
              <c:idx val="6"/>
              <c:layout>
                <c:manualLayout>
                  <c:x val="-2.0743518383739296E-17"/>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CA2-46EB-A7A3-5D58FADA6D55}"/>
                </c:ext>
              </c:extLst>
            </c:dLbl>
            <c:dLbl>
              <c:idx val="7"/>
              <c:layout>
                <c:manualLayout>
                  <c:x val="-2.2629554197782305E-3"/>
                  <c:y val="1.30947184635530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CA2-46EB-A7A3-5D58FADA6D55}"/>
                </c:ext>
              </c:extLst>
            </c:dLbl>
            <c:dLbl>
              <c:idx val="8"/>
              <c:layout>
                <c:manualLayout>
                  <c:x val="0"/>
                  <c:y val="4.36490615451759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CA2-46EB-A7A3-5D58FADA6D55}"/>
                </c:ext>
              </c:extLst>
            </c:dLbl>
            <c:dLbl>
              <c:idx val="9"/>
              <c:layout>
                <c:manualLayout>
                  <c:x val="0"/>
                  <c:y val="8.729812309035316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CA2-46EB-A7A3-5D58FADA6D55}"/>
                </c:ext>
              </c:extLst>
            </c:dLbl>
            <c:dLbl>
              <c:idx val="10"/>
              <c:layout>
                <c:manualLayout>
                  <c:x val="0"/>
                  <c:y val="8.729812309035316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CA2-46EB-A7A3-5D58FADA6D55}"/>
                </c:ext>
              </c:extLst>
            </c:dLbl>
            <c:dLbl>
              <c:idx val="11"/>
              <c:layout>
                <c:manualLayout>
                  <c:x val="-2.2629554197783133E-3"/>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CA2-46EB-A7A3-5D58FADA6D5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SEGUIMIENTO!$D$168:$O$168</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SEGUIMIENTO!$D$169:$O$169</c:f>
              <c:numCache>
                <c:formatCode>0</c:formatCode>
                <c:ptCount val="12"/>
                <c:pt idx="0">
                  <c:v>10.199999999999999</c:v>
                </c:pt>
                <c:pt idx="1">
                  <c:v>564.71428571428567</c:v>
                </c:pt>
                <c:pt idx="2">
                  <c:v>49.4</c:v>
                </c:pt>
                <c:pt idx="3">
                  <c:v>117.16666666666667</c:v>
                </c:pt>
                <c:pt idx="4">
                  <c:v>38.4</c:v>
                </c:pt>
                <c:pt idx="5">
                  <c:v>148.11111111111111</c:v>
                </c:pt>
                <c:pt idx="6">
                  <c:v>20.2</c:v>
                </c:pt>
                <c:pt idx="7">
                  <c:v>388.875</c:v>
                </c:pt>
                <c:pt idx="8">
                  <c:v>360.16666666666669</c:v>
                </c:pt>
                <c:pt idx="9">
                  <c:v>103</c:v>
                </c:pt>
                <c:pt idx="10">
                  <c:v>30.333333333333332</c:v>
                </c:pt>
                <c:pt idx="11">
                  <c:v>303.33333333333331</c:v>
                </c:pt>
              </c:numCache>
            </c:numRef>
          </c:val>
          <c:extLst>
            <c:ext xmlns:c16="http://schemas.microsoft.com/office/drawing/2014/chart" uri="{C3380CC4-5D6E-409C-BE32-E72D297353CC}">
              <c16:uniqueId val="{00000009-1CA2-46EB-A7A3-5D58FADA6D55}"/>
            </c:ext>
          </c:extLst>
        </c:ser>
        <c:ser>
          <c:idx val="1"/>
          <c:order val="1"/>
          <c:tx>
            <c:strRef>
              <c:f>SEGUIMIENTO!$C$170</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
              <c:layout>
                <c:manualLayout>
                  <c:x val="-2.2629554197783133E-3"/>
                  <c:y val="-1.30947184635530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CA2-46EB-A7A3-5D58FADA6D55}"/>
                </c:ext>
              </c:extLst>
            </c:dLbl>
            <c:dLbl>
              <c:idx val="3"/>
              <c:layout>
                <c:manualLayout>
                  <c:x val="-6.788866259334691E-3"/>
                  <c:y val="-1.74596246180707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CA2-46EB-A7A3-5D58FADA6D55}"/>
                </c:ext>
              </c:extLst>
            </c:dLbl>
            <c:dLbl>
              <c:idx val="5"/>
              <c:layout>
                <c:manualLayout>
                  <c:x val="-4.525910839556461E-3"/>
                  <c:y val="-8.729812309035356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CA2-46EB-A7A3-5D58FADA6D55}"/>
                </c:ext>
              </c:extLst>
            </c:dLbl>
            <c:dLbl>
              <c:idx val="6"/>
              <c:layout>
                <c:manualLayout>
                  <c:x val="0"/>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CA2-46EB-A7A3-5D58FADA6D55}"/>
                </c:ext>
              </c:extLst>
            </c:dLbl>
            <c:dLbl>
              <c:idx val="8"/>
              <c:layout>
                <c:manualLayout>
                  <c:x val="-6.788866259334691E-3"/>
                  <c:y val="-1.30947184635530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CA2-46EB-A7A3-5D58FADA6D55}"/>
                </c:ext>
              </c:extLst>
            </c:dLbl>
            <c:dLbl>
              <c:idx val="10"/>
              <c:layout>
                <c:manualLayout>
                  <c:x val="0"/>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CA2-46EB-A7A3-5D58FADA6D5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SEGUIMIENTO!$D$168:$O$168</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SEGUIMIENTO!$D$170:$O$170</c:f>
              <c:numCache>
                <c:formatCode>0</c:formatCode>
                <c:ptCount val="12"/>
                <c:pt idx="0">
                  <c:v>26.5</c:v>
                </c:pt>
                <c:pt idx="1">
                  <c:v>240.66666666666666</c:v>
                </c:pt>
                <c:pt idx="2">
                  <c:v>268.5</c:v>
                </c:pt>
                <c:pt idx="3">
                  <c:v>111</c:v>
                </c:pt>
                <c:pt idx="4">
                  <c:v>62.4</c:v>
                </c:pt>
                <c:pt idx="5">
                  <c:v>113.5</c:v>
                </c:pt>
                <c:pt idx="6">
                  <c:v>37.166666666666664</c:v>
                </c:pt>
                <c:pt idx="7">
                  <c:v>450</c:v>
                </c:pt>
                <c:pt idx="8">
                  <c:v>376.83333333333331</c:v>
                </c:pt>
                <c:pt idx="9">
                  <c:v>190.25</c:v>
                </c:pt>
                <c:pt idx="10">
                  <c:v>18.142857142857142</c:v>
                </c:pt>
                <c:pt idx="11">
                  <c:v>591.66666666666663</c:v>
                </c:pt>
              </c:numCache>
            </c:numRef>
          </c:val>
          <c:extLst>
            <c:ext xmlns:c16="http://schemas.microsoft.com/office/drawing/2014/chart" uri="{C3380CC4-5D6E-409C-BE32-E72D297353CC}">
              <c16:uniqueId val="{00000010-1CA2-46EB-A7A3-5D58FADA6D55}"/>
            </c:ext>
          </c:extLst>
        </c:ser>
        <c:dLbls>
          <c:showLegendKey val="0"/>
          <c:showVal val="0"/>
          <c:showCatName val="0"/>
          <c:showSerName val="0"/>
          <c:showPercent val="0"/>
          <c:showBubbleSize val="0"/>
        </c:dLbls>
        <c:gapWidth val="100"/>
        <c:axId val="505647176"/>
        <c:axId val="505590760"/>
      </c:barChart>
      <c:catAx>
        <c:axId val="505647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590760"/>
        <c:crosses val="autoZero"/>
        <c:auto val="1"/>
        <c:lblAlgn val="ctr"/>
        <c:lblOffset val="100"/>
        <c:noMultiLvlLbl val="0"/>
      </c:catAx>
      <c:valAx>
        <c:axId val="5055907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647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Plazo Espera para Realización Audiencia</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SEGUIMIENTO!$C$203</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1"/>
              <c:layout>
                <c:manualLayout>
                  <c:x val="0"/>
                  <c:y val="8.469910624878165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DA9-4324-8383-3853C0983A47}"/>
                </c:ext>
              </c:extLst>
            </c:dLbl>
            <c:dLbl>
              <c:idx val="3"/>
              <c:layout>
                <c:manualLayout>
                  <c:x val="-1.6594814706991437E-16"/>
                  <c:y val="1.3860013860013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DA9-4324-8383-3853C0983A47}"/>
                </c:ext>
              </c:extLst>
            </c:dLbl>
            <c:dLbl>
              <c:idx val="4"/>
              <c:layout>
                <c:manualLayout>
                  <c:x val="-2.2629554197782305E-3"/>
                  <c:y val="1.38600138600137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DA9-4324-8383-3853C0983A47}"/>
                </c:ext>
              </c:extLst>
            </c:dLbl>
            <c:dLbl>
              <c:idx val="6"/>
              <c:layout>
                <c:manualLayout>
                  <c:x val="9.051821679112922E-3"/>
                  <c:y val="4.62000462000462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DA9-4324-8383-3853C0983A4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SEGUIMIENTO!$D$202:$O$202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SEGUIMIENTO!$D$203:$O$203</c:f>
              <c:numCache>
                <c:formatCode>0</c:formatCode>
                <c:ptCount val="12"/>
                <c:pt idx="0">
                  <c:v>81.5</c:v>
                </c:pt>
                <c:pt idx="1">
                  <c:v>57.111111111111114</c:v>
                </c:pt>
                <c:pt idx="2">
                  <c:v>78.75</c:v>
                </c:pt>
                <c:pt idx="3">
                  <c:v>335.88888888888891</c:v>
                </c:pt>
                <c:pt idx="4">
                  <c:v>132.125</c:v>
                </c:pt>
                <c:pt idx="5">
                  <c:v>189</c:v>
                </c:pt>
                <c:pt idx="6">
                  <c:v>77.142857142857139</c:v>
                </c:pt>
                <c:pt idx="7">
                  <c:v>77.7</c:v>
                </c:pt>
                <c:pt idx="8">
                  <c:v>386</c:v>
                </c:pt>
                <c:pt idx="9">
                  <c:v>140.22222222222223</c:v>
                </c:pt>
                <c:pt idx="10">
                  <c:v>69.5</c:v>
                </c:pt>
                <c:pt idx="11">
                  <c:v>119.88888888888889</c:v>
                </c:pt>
              </c:numCache>
            </c:numRef>
          </c:val>
          <c:extLst>
            <c:ext xmlns:c16="http://schemas.microsoft.com/office/drawing/2014/chart" uri="{C3380CC4-5D6E-409C-BE32-E72D297353CC}">
              <c16:uniqueId val="{00000004-7DA9-4324-8383-3853C0983A47}"/>
            </c:ext>
          </c:extLst>
        </c:ser>
        <c:ser>
          <c:idx val="1"/>
          <c:order val="1"/>
          <c:tx>
            <c:strRef>
              <c:f>SEGUIMIENTO!$C$204</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2"/>
              <c:layout>
                <c:manualLayout>
                  <c:x val="2.9418420457117036E-2"/>
                  <c:y val="-4.62000462000462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DA9-4324-8383-3853C0983A47}"/>
                </c:ext>
              </c:extLst>
            </c:dLbl>
            <c:dLbl>
              <c:idx val="7"/>
              <c:layout>
                <c:manualLayout>
                  <c:x val="1.8103643358225844E-2"/>
                  <c:y val="-4.234955312439082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DA9-4324-8383-3853C0983A47}"/>
                </c:ext>
              </c:extLst>
            </c:dLbl>
            <c:dLbl>
              <c:idx val="8"/>
              <c:layout>
                <c:manualLayout>
                  <c:x val="0"/>
                  <c:y val="-1.84800184800184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DA9-4324-8383-3853C0983A47}"/>
                </c:ext>
              </c:extLst>
            </c:dLbl>
            <c:dLbl>
              <c:idx val="9"/>
              <c:layout>
                <c:manualLayout>
                  <c:x val="-2.2629554197782305E-3"/>
                  <c:y val="-1.84800184800185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DA9-4324-8383-3853C0983A47}"/>
                </c:ext>
              </c:extLst>
            </c:dLbl>
            <c:dLbl>
              <c:idx val="10"/>
              <c:layout>
                <c:manualLayout>
                  <c:x val="-6.788866259334691E-3"/>
                  <c:y val="-4.62000462000462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DA9-4324-8383-3853C0983A47}"/>
                </c:ext>
              </c:extLst>
            </c:dLbl>
            <c:dLbl>
              <c:idx val="11"/>
              <c:layout>
                <c:manualLayout>
                  <c:x val="0"/>
                  <c:y val="-1.84800184800184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DA9-4324-8383-3853C0983A4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SEGUIMIENTO!$D$202:$O$202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SEGUIMIENTO!$D$204:$O$204</c:f>
              <c:numCache>
                <c:formatCode>0</c:formatCode>
                <c:ptCount val="12"/>
                <c:pt idx="0">
                  <c:v>56</c:v>
                </c:pt>
                <c:pt idx="1">
                  <c:v>74.666666666666671</c:v>
                </c:pt>
                <c:pt idx="2">
                  <c:v>79.5</c:v>
                </c:pt>
                <c:pt idx="3">
                  <c:v>372.5</c:v>
                </c:pt>
                <c:pt idx="4">
                  <c:v>150.875</c:v>
                </c:pt>
                <c:pt idx="5">
                  <c:v>328.57142857142856</c:v>
                </c:pt>
                <c:pt idx="6">
                  <c:v>69.714285714285708</c:v>
                </c:pt>
                <c:pt idx="7">
                  <c:v>80.125</c:v>
                </c:pt>
                <c:pt idx="8">
                  <c:v>173.42857142857142</c:v>
                </c:pt>
                <c:pt idx="9">
                  <c:v>117.5</c:v>
                </c:pt>
                <c:pt idx="10">
                  <c:v>51</c:v>
                </c:pt>
                <c:pt idx="11">
                  <c:v>124.57142857142857</c:v>
                </c:pt>
              </c:numCache>
            </c:numRef>
          </c:val>
          <c:extLst>
            <c:ext xmlns:c16="http://schemas.microsoft.com/office/drawing/2014/chart" uri="{C3380CC4-5D6E-409C-BE32-E72D297353CC}">
              <c16:uniqueId val="{0000000B-7DA9-4324-8383-3853C0983A47}"/>
            </c:ext>
          </c:extLst>
        </c:ser>
        <c:dLbls>
          <c:showLegendKey val="0"/>
          <c:showVal val="0"/>
          <c:showCatName val="0"/>
          <c:showSerName val="0"/>
          <c:showPercent val="0"/>
          <c:showBubbleSize val="0"/>
        </c:dLbls>
        <c:gapWidth val="100"/>
        <c:axId val="505636352"/>
        <c:axId val="505630776"/>
      </c:barChart>
      <c:catAx>
        <c:axId val="505636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630776"/>
        <c:crosses val="autoZero"/>
        <c:auto val="1"/>
        <c:lblAlgn val="ctr"/>
        <c:lblOffset val="100"/>
        <c:noMultiLvlLbl val="0"/>
      </c:catAx>
      <c:valAx>
        <c:axId val="5056307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636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Plazo para Resolver Demandas Nuevas</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SEGUIMIENTO!$C$236</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3"/>
              <c:layout>
                <c:manualLayout>
                  <c:x val="-4.1487036767478592E-17"/>
                  <c:y val="6.93000693000680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5F9-4FB0-9103-EF200025C863}"/>
                </c:ext>
              </c:extLst>
            </c:dLbl>
            <c:dLbl>
              <c:idx val="5"/>
              <c:layout>
                <c:manualLayout>
                  <c:x val="0"/>
                  <c:y val="3.46500346500346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5F9-4FB0-9103-EF200025C863}"/>
                </c:ext>
              </c:extLst>
            </c:dLbl>
            <c:dLbl>
              <c:idx val="7"/>
              <c:layout>
                <c:manualLayout>
                  <c:x val="-2.0743518383739296E-17"/>
                  <c:y val="3.46500346500346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5F9-4FB0-9103-EF200025C863}"/>
                </c:ext>
              </c:extLst>
            </c:dLbl>
            <c:dLbl>
              <c:idx val="11"/>
              <c:layout>
                <c:manualLayout>
                  <c:x val="0"/>
                  <c:y val="1.03950103950103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5F9-4FB0-9103-EF200025C8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SEGUIMIENTO!$D$235:$O$235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SEGUIMIENTO!$D$236:$O$236</c:f>
              <c:numCache>
                <c:formatCode>0</c:formatCode>
                <c:ptCount val="12"/>
                <c:pt idx="0">
                  <c:v>7.125</c:v>
                </c:pt>
                <c:pt idx="1">
                  <c:v>0</c:v>
                </c:pt>
                <c:pt idx="2">
                  <c:v>2.8333333333333335</c:v>
                </c:pt>
                <c:pt idx="3">
                  <c:v>1.25</c:v>
                </c:pt>
                <c:pt idx="4">
                  <c:v>5.8</c:v>
                </c:pt>
                <c:pt idx="5">
                  <c:v>5.5454545454545459</c:v>
                </c:pt>
                <c:pt idx="6">
                  <c:v>39.875</c:v>
                </c:pt>
                <c:pt idx="7">
                  <c:v>0.91666666666666663</c:v>
                </c:pt>
                <c:pt idx="8">
                  <c:v>3.6</c:v>
                </c:pt>
                <c:pt idx="9">
                  <c:v>3.1666666666666665</c:v>
                </c:pt>
                <c:pt idx="10">
                  <c:v>2.25</c:v>
                </c:pt>
                <c:pt idx="11">
                  <c:v>0.63636363636363635</c:v>
                </c:pt>
              </c:numCache>
            </c:numRef>
          </c:val>
          <c:extLst>
            <c:ext xmlns:c16="http://schemas.microsoft.com/office/drawing/2014/chart" uri="{C3380CC4-5D6E-409C-BE32-E72D297353CC}">
              <c16:uniqueId val="{00000004-55F9-4FB0-9103-EF200025C863}"/>
            </c:ext>
          </c:extLst>
        </c:ser>
        <c:ser>
          <c:idx val="1"/>
          <c:order val="1"/>
          <c:tx>
            <c:strRef>
              <c:f>SEGUIMIENTO!$C$237</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9"/>
              <c:layout>
                <c:manualLayout>
                  <c:x val="-2.2629554197782305E-3"/>
                  <c:y val="-3.46500346500343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5F9-4FB0-9103-EF200025C863}"/>
                </c:ext>
              </c:extLst>
            </c:dLbl>
            <c:dLbl>
              <c:idx val="10"/>
              <c:layout>
                <c:manualLayout>
                  <c:x val="-4.1487036767478592E-17"/>
                  <c:y val="-3.46500346500346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5F9-4FB0-9103-EF200025C8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SEGUIMIENTO!$D$235:$O$235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SEGUIMIENTO!$D$237:$O$237</c:f>
              <c:numCache>
                <c:formatCode>0</c:formatCode>
                <c:ptCount val="12"/>
                <c:pt idx="0">
                  <c:v>29</c:v>
                </c:pt>
                <c:pt idx="1">
                  <c:v>0</c:v>
                </c:pt>
                <c:pt idx="2">
                  <c:v>6.625</c:v>
                </c:pt>
                <c:pt idx="3">
                  <c:v>4.8571428571428568</c:v>
                </c:pt>
                <c:pt idx="4">
                  <c:v>14.5</c:v>
                </c:pt>
                <c:pt idx="5">
                  <c:v>13.666666666666666</c:v>
                </c:pt>
                <c:pt idx="6">
                  <c:v>11.166666666666666</c:v>
                </c:pt>
                <c:pt idx="7">
                  <c:v>0.77777777777777779</c:v>
                </c:pt>
                <c:pt idx="8">
                  <c:v>10.333333333333334</c:v>
                </c:pt>
                <c:pt idx="9">
                  <c:v>1.875</c:v>
                </c:pt>
                <c:pt idx="10">
                  <c:v>2</c:v>
                </c:pt>
                <c:pt idx="11">
                  <c:v>2.375</c:v>
                </c:pt>
              </c:numCache>
            </c:numRef>
          </c:val>
          <c:extLst>
            <c:ext xmlns:c16="http://schemas.microsoft.com/office/drawing/2014/chart" uri="{C3380CC4-5D6E-409C-BE32-E72D297353CC}">
              <c16:uniqueId val="{00000007-55F9-4FB0-9103-EF200025C863}"/>
            </c:ext>
          </c:extLst>
        </c:ser>
        <c:dLbls>
          <c:showLegendKey val="0"/>
          <c:showVal val="0"/>
          <c:showCatName val="0"/>
          <c:showSerName val="0"/>
          <c:showPercent val="0"/>
          <c:showBubbleSize val="0"/>
        </c:dLbls>
        <c:gapWidth val="100"/>
        <c:axId val="567087584"/>
        <c:axId val="567079712"/>
      </c:barChart>
      <c:catAx>
        <c:axId val="567087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67079712"/>
        <c:crosses val="autoZero"/>
        <c:auto val="1"/>
        <c:lblAlgn val="ctr"/>
        <c:lblOffset val="100"/>
        <c:noMultiLvlLbl val="0"/>
      </c:catAx>
      <c:valAx>
        <c:axId val="5670797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67087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Plazo para Resolver Escritos de Expedientes que se Encuentran Fuera del Despacho</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SEGUIMIENTO!$C$273</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SEGUIMIENTO!$D$272:$O$272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SEGUIMIENTO!$D$273:$O$273</c:f>
              <c:numCache>
                <c:formatCode>0</c:formatCode>
                <c:ptCount val="12"/>
                <c:pt idx="0">
                  <c:v>250.14285714285714</c:v>
                </c:pt>
                <c:pt idx="1">
                  <c:v>0</c:v>
                </c:pt>
                <c:pt idx="2">
                  <c:v>19.714285714285715</c:v>
                </c:pt>
                <c:pt idx="3">
                  <c:v>568.125</c:v>
                </c:pt>
                <c:pt idx="4">
                  <c:v>4.0999999999999996</c:v>
                </c:pt>
                <c:pt idx="5">
                  <c:v>712.33333333333337</c:v>
                </c:pt>
                <c:pt idx="6">
                  <c:v>650.66666666666663</c:v>
                </c:pt>
                <c:pt idx="7">
                  <c:v>0</c:v>
                </c:pt>
                <c:pt idx="8">
                  <c:v>6</c:v>
                </c:pt>
                <c:pt idx="9">
                  <c:v>52.666666666666664</c:v>
                </c:pt>
                <c:pt idx="10">
                  <c:v>780.22222222222217</c:v>
                </c:pt>
                <c:pt idx="11">
                  <c:v>3.5454545454545454</c:v>
                </c:pt>
              </c:numCache>
            </c:numRef>
          </c:val>
          <c:extLst>
            <c:ext xmlns:c16="http://schemas.microsoft.com/office/drawing/2014/chart" uri="{C3380CC4-5D6E-409C-BE32-E72D297353CC}">
              <c16:uniqueId val="{00000000-4B5B-4268-96D1-06954A599C78}"/>
            </c:ext>
          </c:extLst>
        </c:ser>
        <c:ser>
          <c:idx val="1"/>
          <c:order val="1"/>
          <c:tx>
            <c:strRef>
              <c:f>SEGUIMIENTO!$C$274</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SEGUIMIENTO!$D$272:$O$272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SEGUIMIENTO!$D$274:$O$274</c:f>
              <c:numCache>
                <c:formatCode>0</c:formatCode>
                <c:ptCount val="12"/>
                <c:pt idx="0">
                  <c:v>67.333333333333329</c:v>
                </c:pt>
                <c:pt idx="1">
                  <c:v>0</c:v>
                </c:pt>
                <c:pt idx="2">
                  <c:v>360.2</c:v>
                </c:pt>
                <c:pt idx="3">
                  <c:v>200</c:v>
                </c:pt>
                <c:pt idx="4">
                  <c:v>359.2</c:v>
                </c:pt>
                <c:pt idx="5">
                  <c:v>232.75</c:v>
                </c:pt>
                <c:pt idx="6">
                  <c:v>411</c:v>
                </c:pt>
                <c:pt idx="7">
                  <c:v>0</c:v>
                </c:pt>
                <c:pt idx="8">
                  <c:v>14.875</c:v>
                </c:pt>
                <c:pt idx="9">
                  <c:v>2.25</c:v>
                </c:pt>
                <c:pt idx="10">
                  <c:v>490.625</c:v>
                </c:pt>
                <c:pt idx="11">
                  <c:v>30.125</c:v>
                </c:pt>
              </c:numCache>
            </c:numRef>
          </c:val>
          <c:extLst>
            <c:ext xmlns:c16="http://schemas.microsoft.com/office/drawing/2014/chart" uri="{C3380CC4-5D6E-409C-BE32-E72D297353CC}">
              <c16:uniqueId val="{00000001-4B5B-4268-96D1-06954A599C78}"/>
            </c:ext>
          </c:extLst>
        </c:ser>
        <c:dLbls>
          <c:showLegendKey val="0"/>
          <c:showVal val="0"/>
          <c:showCatName val="0"/>
          <c:showSerName val="0"/>
          <c:showPercent val="0"/>
          <c:showBubbleSize val="0"/>
        </c:dLbls>
        <c:gapWidth val="100"/>
        <c:axId val="505397424"/>
        <c:axId val="505405624"/>
      </c:barChart>
      <c:catAx>
        <c:axId val="505397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405624"/>
        <c:crosses val="autoZero"/>
        <c:auto val="1"/>
        <c:lblAlgn val="ctr"/>
        <c:lblOffset val="100"/>
        <c:noMultiLvlLbl val="0"/>
      </c:catAx>
      <c:valAx>
        <c:axId val="505405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397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Plazo para Resolver Escritos que Expediente</a:t>
            </a:r>
            <a:r>
              <a:rPr lang="en-US" b="1" baseline="0"/>
              <a:t> </a:t>
            </a:r>
            <a:r>
              <a:rPr lang="en-US" b="1"/>
              <a:t>se Encuentra Dentro del </a:t>
            </a:r>
            <a:r>
              <a:rPr lang="en-US" sz="1200" b="1"/>
              <a:t>Despacho</a:t>
            </a:r>
            <a:endParaRPr lang="en-US" b="1"/>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SEGUIMIENTO!$C$307</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SEGUIMIENTO!$D$306:$O$306</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SEGUIMIENTO!$D$307:$O$307</c:f>
              <c:numCache>
                <c:formatCode>0</c:formatCode>
                <c:ptCount val="12"/>
                <c:pt idx="0">
                  <c:v>62.111111111111114</c:v>
                </c:pt>
                <c:pt idx="1">
                  <c:v>7.2</c:v>
                </c:pt>
                <c:pt idx="2">
                  <c:v>19</c:v>
                </c:pt>
                <c:pt idx="3">
                  <c:v>20.727272727272727</c:v>
                </c:pt>
                <c:pt idx="4">
                  <c:v>15.454545454545455</c:v>
                </c:pt>
                <c:pt idx="5">
                  <c:v>40.799999999999997</c:v>
                </c:pt>
                <c:pt idx="6">
                  <c:v>737.66666666666663</c:v>
                </c:pt>
                <c:pt idx="7">
                  <c:v>3.7272727272727271</c:v>
                </c:pt>
                <c:pt idx="8">
                  <c:v>11.75</c:v>
                </c:pt>
                <c:pt idx="9">
                  <c:v>10.333333333333334</c:v>
                </c:pt>
                <c:pt idx="10">
                  <c:v>18.727272727272727</c:v>
                </c:pt>
                <c:pt idx="11">
                  <c:v>13.636363636363637</c:v>
                </c:pt>
              </c:numCache>
            </c:numRef>
          </c:val>
          <c:extLst>
            <c:ext xmlns:c16="http://schemas.microsoft.com/office/drawing/2014/chart" uri="{C3380CC4-5D6E-409C-BE32-E72D297353CC}">
              <c16:uniqueId val="{00000000-A32F-4ED8-A1AC-E349DF3EF5A2}"/>
            </c:ext>
          </c:extLst>
        </c:ser>
        <c:ser>
          <c:idx val="1"/>
          <c:order val="1"/>
          <c:tx>
            <c:strRef>
              <c:f>SEGUIMIENTO!$C$308</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6"/>
              <c:layout>
                <c:manualLayout>
                  <c:x val="0"/>
                  <c:y val="-9.72447325769860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32F-4ED8-A1AC-E349DF3EF5A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SEGUIMIENTO!$D$306:$O$306</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SEGUIMIENTO!$D$308:$O$308</c:f>
              <c:numCache>
                <c:formatCode>0</c:formatCode>
                <c:ptCount val="12"/>
                <c:pt idx="0">
                  <c:v>121</c:v>
                </c:pt>
                <c:pt idx="1">
                  <c:v>34.333333333333336</c:v>
                </c:pt>
                <c:pt idx="2">
                  <c:v>384.66666666666669</c:v>
                </c:pt>
                <c:pt idx="3">
                  <c:v>34</c:v>
                </c:pt>
                <c:pt idx="4">
                  <c:v>44.5</c:v>
                </c:pt>
                <c:pt idx="5">
                  <c:v>30.333333333333332</c:v>
                </c:pt>
                <c:pt idx="6">
                  <c:v>454</c:v>
                </c:pt>
                <c:pt idx="7">
                  <c:v>6.5</c:v>
                </c:pt>
                <c:pt idx="8">
                  <c:v>28.857142857142858</c:v>
                </c:pt>
                <c:pt idx="9">
                  <c:v>37.625</c:v>
                </c:pt>
                <c:pt idx="10">
                  <c:v>22.9</c:v>
                </c:pt>
                <c:pt idx="11">
                  <c:v>37.142857142857146</c:v>
                </c:pt>
              </c:numCache>
            </c:numRef>
          </c:val>
          <c:extLst>
            <c:ext xmlns:c16="http://schemas.microsoft.com/office/drawing/2014/chart" uri="{C3380CC4-5D6E-409C-BE32-E72D297353CC}">
              <c16:uniqueId val="{00000002-A32F-4ED8-A1AC-E349DF3EF5A2}"/>
            </c:ext>
          </c:extLst>
        </c:ser>
        <c:dLbls>
          <c:showLegendKey val="0"/>
          <c:showVal val="0"/>
          <c:showCatName val="0"/>
          <c:showSerName val="0"/>
          <c:showPercent val="0"/>
          <c:showBubbleSize val="0"/>
        </c:dLbls>
        <c:gapWidth val="100"/>
        <c:axId val="530003072"/>
        <c:axId val="530003400"/>
      </c:barChart>
      <c:catAx>
        <c:axId val="530003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30003400"/>
        <c:crosses val="autoZero"/>
        <c:auto val="1"/>
        <c:lblAlgn val="ctr"/>
        <c:lblOffset val="100"/>
        <c:noMultiLvlLbl val="0"/>
      </c:catAx>
      <c:valAx>
        <c:axId val="5300034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3000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sz="1200" b="1"/>
              <a:t>Plazo de Espera de Firma de Resoluciones Pendientes de Firma por Jueza o Juez</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SEGUIMIENTO!$C$341</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SEGUIMIENTO!$D$340:$O$340</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SEGUIMIENTO!$D$341:$O$341</c:f>
              <c:numCache>
                <c:formatCode>0</c:formatCode>
                <c:ptCount val="12"/>
                <c:pt idx="0">
                  <c:v>2.0833333333333335</c:v>
                </c:pt>
                <c:pt idx="1">
                  <c:v>2.6363636363636362</c:v>
                </c:pt>
                <c:pt idx="2">
                  <c:v>1.3636363636363635</c:v>
                </c:pt>
                <c:pt idx="3">
                  <c:v>2.5833333333333335</c:v>
                </c:pt>
                <c:pt idx="4">
                  <c:v>0.58333333333333337</c:v>
                </c:pt>
                <c:pt idx="5">
                  <c:v>1.9166666666666667</c:v>
                </c:pt>
                <c:pt idx="6">
                  <c:v>2.5</c:v>
                </c:pt>
                <c:pt idx="7">
                  <c:v>0.90909090909090906</c:v>
                </c:pt>
                <c:pt idx="8">
                  <c:v>1.9166666666666667</c:v>
                </c:pt>
                <c:pt idx="9">
                  <c:v>3.0833333333333335</c:v>
                </c:pt>
                <c:pt idx="10">
                  <c:v>5.041666666666667</c:v>
                </c:pt>
                <c:pt idx="11">
                  <c:v>1.9166666666666667</c:v>
                </c:pt>
              </c:numCache>
            </c:numRef>
          </c:val>
          <c:extLst>
            <c:ext xmlns:c16="http://schemas.microsoft.com/office/drawing/2014/chart" uri="{C3380CC4-5D6E-409C-BE32-E72D297353CC}">
              <c16:uniqueId val="{00000000-1347-41A9-9E95-D96AE356144A}"/>
            </c:ext>
          </c:extLst>
        </c:ser>
        <c:ser>
          <c:idx val="1"/>
          <c:order val="1"/>
          <c:tx>
            <c:strRef>
              <c:f>SEGUIMIENTO!$C$342</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SEGUIMIENTO!$D$340:$O$340</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SEGUIMIENTO!$D$342:$O$342</c:f>
              <c:numCache>
                <c:formatCode>0</c:formatCode>
                <c:ptCount val="12"/>
                <c:pt idx="0">
                  <c:v>5.666666666666667</c:v>
                </c:pt>
                <c:pt idx="1">
                  <c:v>18.375</c:v>
                </c:pt>
                <c:pt idx="2">
                  <c:v>1</c:v>
                </c:pt>
                <c:pt idx="3">
                  <c:v>3.5555555555555554</c:v>
                </c:pt>
                <c:pt idx="4">
                  <c:v>0.6</c:v>
                </c:pt>
                <c:pt idx="5">
                  <c:v>6</c:v>
                </c:pt>
                <c:pt idx="6">
                  <c:v>2</c:v>
                </c:pt>
                <c:pt idx="7">
                  <c:v>0.72727272727272729</c:v>
                </c:pt>
                <c:pt idx="8">
                  <c:v>1.6666666666666667</c:v>
                </c:pt>
                <c:pt idx="9">
                  <c:v>9.5</c:v>
                </c:pt>
                <c:pt idx="10">
                  <c:v>8.8333333333333339</c:v>
                </c:pt>
                <c:pt idx="11">
                  <c:v>3.9</c:v>
                </c:pt>
              </c:numCache>
            </c:numRef>
          </c:val>
          <c:extLst>
            <c:ext xmlns:c16="http://schemas.microsoft.com/office/drawing/2014/chart" uri="{C3380CC4-5D6E-409C-BE32-E72D297353CC}">
              <c16:uniqueId val="{00000001-1347-41A9-9E95-D96AE356144A}"/>
            </c:ext>
          </c:extLst>
        </c:ser>
        <c:dLbls>
          <c:showLegendKey val="0"/>
          <c:showVal val="0"/>
          <c:showCatName val="0"/>
          <c:showSerName val="0"/>
          <c:showPercent val="0"/>
          <c:showBubbleSize val="0"/>
        </c:dLbls>
        <c:gapWidth val="100"/>
        <c:axId val="538183888"/>
        <c:axId val="538187496"/>
      </c:barChart>
      <c:catAx>
        <c:axId val="538183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38187496"/>
        <c:crosses val="autoZero"/>
        <c:auto val="1"/>
        <c:lblAlgn val="ctr"/>
        <c:lblOffset val="100"/>
        <c:noMultiLvlLbl val="0"/>
      </c:catAx>
      <c:valAx>
        <c:axId val="5381874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38183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b="1"/>
              <a:t>Cantidad de </a:t>
            </a:r>
            <a:r>
              <a:rPr lang="es-CR" sz="1200" b="1"/>
              <a:t>audiencias</a:t>
            </a:r>
            <a:r>
              <a:rPr lang="es-CR" b="1"/>
              <a:t> pendientes de realización</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SEGUIMIENTO!$C$377</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SEGUIMIENTO!$D$376:$O$376</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SEGUIMIENTO!$D$377:$O$377</c:f>
              <c:numCache>
                <c:formatCode>0</c:formatCode>
                <c:ptCount val="12"/>
                <c:pt idx="0">
                  <c:v>36.25</c:v>
                </c:pt>
                <c:pt idx="1">
                  <c:v>16.083333333333332</c:v>
                </c:pt>
                <c:pt idx="2">
                  <c:v>41.9</c:v>
                </c:pt>
                <c:pt idx="3">
                  <c:v>288.39999999999998</c:v>
                </c:pt>
                <c:pt idx="4">
                  <c:v>41.2</c:v>
                </c:pt>
                <c:pt idx="5">
                  <c:v>112.6</c:v>
                </c:pt>
                <c:pt idx="6">
                  <c:v>19.818181818181817</c:v>
                </c:pt>
                <c:pt idx="7">
                  <c:v>33.333333333333336</c:v>
                </c:pt>
                <c:pt idx="8">
                  <c:v>176.33333333333334</c:v>
                </c:pt>
                <c:pt idx="9">
                  <c:v>71.5</c:v>
                </c:pt>
                <c:pt idx="10">
                  <c:v>29.75</c:v>
                </c:pt>
                <c:pt idx="11">
                  <c:v>44.777777777777779</c:v>
                </c:pt>
              </c:numCache>
            </c:numRef>
          </c:val>
          <c:extLst>
            <c:ext xmlns:c16="http://schemas.microsoft.com/office/drawing/2014/chart" uri="{C3380CC4-5D6E-409C-BE32-E72D297353CC}">
              <c16:uniqueId val="{00000000-BE9A-42F4-80BA-81D02EA16CF4}"/>
            </c:ext>
          </c:extLst>
        </c:ser>
        <c:ser>
          <c:idx val="1"/>
          <c:order val="1"/>
          <c:tx>
            <c:strRef>
              <c:f>SEGUIMIENTO!$C$378</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SEGUIMIENTO!$D$376:$O$376</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SEGUIMIENTO!$D$378:$O$378</c:f>
              <c:numCache>
                <c:formatCode>0</c:formatCode>
                <c:ptCount val="12"/>
                <c:pt idx="0">
                  <c:v>14</c:v>
                </c:pt>
                <c:pt idx="1">
                  <c:v>20.666666666666668</c:v>
                </c:pt>
                <c:pt idx="2">
                  <c:v>48.727272727272727</c:v>
                </c:pt>
                <c:pt idx="3">
                  <c:v>262</c:v>
                </c:pt>
                <c:pt idx="4">
                  <c:v>59.6</c:v>
                </c:pt>
                <c:pt idx="5">
                  <c:v>144.5</c:v>
                </c:pt>
                <c:pt idx="6">
                  <c:v>9.8181818181818183</c:v>
                </c:pt>
                <c:pt idx="7">
                  <c:v>35.363636363636367</c:v>
                </c:pt>
                <c:pt idx="8">
                  <c:v>39.111111111111114</c:v>
                </c:pt>
                <c:pt idx="9">
                  <c:v>65.375</c:v>
                </c:pt>
                <c:pt idx="10">
                  <c:v>21.416666666666668</c:v>
                </c:pt>
                <c:pt idx="11">
                  <c:v>49.2</c:v>
                </c:pt>
              </c:numCache>
            </c:numRef>
          </c:val>
          <c:extLst>
            <c:ext xmlns:c16="http://schemas.microsoft.com/office/drawing/2014/chart" uri="{C3380CC4-5D6E-409C-BE32-E72D297353CC}">
              <c16:uniqueId val="{00000001-BE9A-42F4-80BA-81D02EA16CF4}"/>
            </c:ext>
          </c:extLst>
        </c:ser>
        <c:dLbls>
          <c:showLegendKey val="0"/>
          <c:showVal val="0"/>
          <c:showCatName val="0"/>
          <c:showSerName val="0"/>
          <c:showPercent val="0"/>
          <c:showBubbleSize val="0"/>
        </c:dLbls>
        <c:gapWidth val="100"/>
        <c:axId val="609862424"/>
        <c:axId val="609860784"/>
      </c:barChart>
      <c:catAx>
        <c:axId val="609862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609860784"/>
        <c:crosses val="autoZero"/>
        <c:auto val="1"/>
        <c:lblAlgn val="ctr"/>
        <c:lblOffset val="100"/>
        <c:noMultiLvlLbl val="0"/>
      </c:catAx>
      <c:valAx>
        <c:axId val="6098607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60986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Cantidad de Expedientes Pendientes de Fallo </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SEGUIMIENTO!$C$444</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SEGUIMIENTO!$D$443:$O$443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SEGUIMIENTO!$D$444:$O$444</c:f>
              <c:numCache>
                <c:formatCode>0</c:formatCode>
                <c:ptCount val="12"/>
                <c:pt idx="0">
                  <c:v>4.583333333333333</c:v>
                </c:pt>
                <c:pt idx="1">
                  <c:v>25.545454545454547</c:v>
                </c:pt>
                <c:pt idx="2">
                  <c:v>7</c:v>
                </c:pt>
                <c:pt idx="3">
                  <c:v>19.583333333333332</c:v>
                </c:pt>
                <c:pt idx="4">
                  <c:v>9.5</c:v>
                </c:pt>
                <c:pt idx="5">
                  <c:v>31.181818181818183</c:v>
                </c:pt>
                <c:pt idx="6">
                  <c:v>4.083333333333333</c:v>
                </c:pt>
                <c:pt idx="7">
                  <c:v>47.4</c:v>
                </c:pt>
                <c:pt idx="8">
                  <c:v>38.1</c:v>
                </c:pt>
                <c:pt idx="9">
                  <c:v>16.333333333333332</c:v>
                </c:pt>
                <c:pt idx="10">
                  <c:v>8.8000000000000007</c:v>
                </c:pt>
                <c:pt idx="11">
                  <c:v>30.2</c:v>
                </c:pt>
              </c:numCache>
            </c:numRef>
          </c:val>
          <c:extLst>
            <c:ext xmlns:c16="http://schemas.microsoft.com/office/drawing/2014/chart" uri="{C3380CC4-5D6E-409C-BE32-E72D297353CC}">
              <c16:uniqueId val="{00000000-BD1B-4FA9-94F6-CE4FACB5FDD9}"/>
            </c:ext>
          </c:extLst>
        </c:ser>
        <c:ser>
          <c:idx val="1"/>
          <c:order val="1"/>
          <c:tx>
            <c:strRef>
              <c:f>SEGUIMIENTO!$C$445</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SEGUIMIENTO!$D$443:$O$443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SEGUIMIENTO!$D$445:$O$445</c:f>
              <c:numCache>
                <c:formatCode>0</c:formatCode>
                <c:ptCount val="12"/>
                <c:pt idx="0">
                  <c:v>6</c:v>
                </c:pt>
                <c:pt idx="1">
                  <c:v>22</c:v>
                </c:pt>
                <c:pt idx="2">
                  <c:v>27.666666666666668</c:v>
                </c:pt>
                <c:pt idx="3">
                  <c:v>21.111111111111111</c:v>
                </c:pt>
                <c:pt idx="4">
                  <c:v>24.25</c:v>
                </c:pt>
                <c:pt idx="5">
                  <c:v>24</c:v>
                </c:pt>
                <c:pt idx="6">
                  <c:v>10.272727272727273</c:v>
                </c:pt>
                <c:pt idx="7">
                  <c:v>43.5</c:v>
                </c:pt>
                <c:pt idx="8">
                  <c:v>54.777777777777779</c:v>
                </c:pt>
                <c:pt idx="9">
                  <c:v>20</c:v>
                </c:pt>
                <c:pt idx="10">
                  <c:v>5.166666666666667</c:v>
                </c:pt>
                <c:pt idx="11">
                  <c:v>43</c:v>
                </c:pt>
              </c:numCache>
            </c:numRef>
          </c:val>
          <c:extLst>
            <c:ext xmlns:c16="http://schemas.microsoft.com/office/drawing/2014/chart" uri="{C3380CC4-5D6E-409C-BE32-E72D297353CC}">
              <c16:uniqueId val="{00000001-BD1B-4FA9-94F6-CE4FACB5FDD9}"/>
            </c:ext>
          </c:extLst>
        </c:ser>
        <c:dLbls>
          <c:showLegendKey val="0"/>
          <c:showVal val="0"/>
          <c:showCatName val="0"/>
          <c:showSerName val="0"/>
          <c:showPercent val="0"/>
          <c:showBubbleSize val="0"/>
        </c:dLbls>
        <c:gapWidth val="100"/>
        <c:axId val="528479240"/>
        <c:axId val="528480552"/>
      </c:barChart>
      <c:catAx>
        <c:axId val="5284792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28480552"/>
        <c:crosses val="autoZero"/>
        <c:auto val="1"/>
        <c:lblAlgn val="ctr"/>
        <c:lblOffset val="100"/>
        <c:noMultiLvlLbl val="0"/>
      </c:catAx>
      <c:valAx>
        <c:axId val="5284805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28479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Cantidad de Expedientes Pendientes de Fallo Diciembre</a:t>
            </a:r>
            <a:r>
              <a:rPr lang="en-US" b="1" baseline="0"/>
              <a:t> 2020</a:t>
            </a:r>
            <a:endParaRPr lang="en-US" b="1"/>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col"/>
        <c:grouping val="clustered"/>
        <c:varyColors val="0"/>
        <c:ser>
          <c:idx val="0"/>
          <c:order val="0"/>
          <c:tx>
            <c:strRef>
              <c:f>'Pendiente de fallo'!$A$6</c:f>
              <c:strCache>
                <c:ptCount val="1"/>
                <c:pt idx="0">
                  <c:v>Cantidad de expedientes pendientes de fallo</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'Pendiente de fallo'!$B$5:$M$5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'Pendiente de fallo'!$B$6:$M$6</c:f>
              <c:numCache>
                <c:formatCode>0</c:formatCode>
                <c:ptCount val="12"/>
                <c:pt idx="0">
                  <c:v>11</c:v>
                </c:pt>
                <c:pt idx="1">
                  <c:v>24</c:v>
                </c:pt>
                <c:pt idx="2">
                  <c:v>14</c:v>
                </c:pt>
                <c:pt idx="3">
                  <c:v>11</c:v>
                </c:pt>
                <c:pt idx="4">
                  <c:v>7</c:v>
                </c:pt>
                <c:pt idx="5">
                  <c:v>57</c:v>
                </c:pt>
                <c:pt idx="6">
                  <c:v>9</c:v>
                </c:pt>
                <c:pt idx="7">
                  <c:v>48</c:v>
                </c:pt>
                <c:pt idx="8">
                  <c:v>50</c:v>
                </c:pt>
                <c:pt idx="9">
                  <c:v>29</c:v>
                </c:pt>
                <c:pt idx="10">
                  <c:v>11</c:v>
                </c:pt>
                <c:pt idx="11">
                  <c:v>21</c:v>
                </c:pt>
              </c:numCache>
            </c:numRef>
          </c:val>
          <c:extLst>
            <c:ext xmlns:c16="http://schemas.microsoft.com/office/drawing/2014/chart" uri="{C3380CC4-5D6E-409C-BE32-E72D297353CC}">
              <c16:uniqueId val="{00000000-DB66-48F9-A038-1E8159746457}"/>
            </c:ext>
          </c:extLst>
        </c:ser>
        <c:dLbls>
          <c:showLegendKey val="0"/>
          <c:showVal val="0"/>
          <c:showCatName val="0"/>
          <c:showSerName val="0"/>
          <c:showPercent val="0"/>
          <c:showBubbleSize val="0"/>
        </c:dLbls>
        <c:gapWidth val="100"/>
        <c:overlap val="-24"/>
        <c:axId val="930458800"/>
        <c:axId val="930440760"/>
      </c:barChart>
      <c:catAx>
        <c:axId val="930458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930440760"/>
        <c:crosses val="autoZero"/>
        <c:auto val="1"/>
        <c:lblAlgn val="ctr"/>
        <c:lblOffset val="100"/>
        <c:noMultiLvlLbl val="0"/>
      </c:catAx>
      <c:valAx>
        <c:axId val="930440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930458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Cantidad de Escritos Pendientes de Resolver</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SEGUIMIENTO!$C$483</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SEGUIMIENTO!$D$482:$O$482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SEGUIMIENTO!$D$483:$O$483</c:f>
              <c:numCache>
                <c:formatCode>0</c:formatCode>
                <c:ptCount val="12"/>
                <c:pt idx="0">
                  <c:v>214.45454545454547</c:v>
                </c:pt>
                <c:pt idx="1">
                  <c:v>6.3636363636363633</c:v>
                </c:pt>
                <c:pt idx="2">
                  <c:v>59.272727272727273</c:v>
                </c:pt>
                <c:pt idx="3">
                  <c:v>77.75</c:v>
                </c:pt>
                <c:pt idx="4">
                  <c:v>55</c:v>
                </c:pt>
                <c:pt idx="5">
                  <c:v>79.7</c:v>
                </c:pt>
                <c:pt idx="6">
                  <c:v>513.33333333333337</c:v>
                </c:pt>
                <c:pt idx="7">
                  <c:v>17.454545454545453</c:v>
                </c:pt>
                <c:pt idx="8">
                  <c:v>39.1</c:v>
                </c:pt>
                <c:pt idx="9">
                  <c:v>40.545454545454547</c:v>
                </c:pt>
                <c:pt idx="10">
                  <c:v>100.88888888888889</c:v>
                </c:pt>
                <c:pt idx="11">
                  <c:v>90.8</c:v>
                </c:pt>
              </c:numCache>
            </c:numRef>
          </c:val>
          <c:extLst>
            <c:ext xmlns:c16="http://schemas.microsoft.com/office/drawing/2014/chart" uri="{C3380CC4-5D6E-409C-BE32-E72D297353CC}">
              <c16:uniqueId val="{00000000-A904-4A6F-AD63-CBC2614EF22F}"/>
            </c:ext>
          </c:extLst>
        </c:ser>
        <c:ser>
          <c:idx val="1"/>
          <c:order val="1"/>
          <c:tx>
            <c:strRef>
              <c:f>SEGUIMIENTO!$C$484</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SEGUIMIENTO!$D$482:$O$482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SEGUIMIENTO!$D$484:$O$484</c:f>
              <c:numCache>
                <c:formatCode>0</c:formatCode>
                <c:ptCount val="12"/>
                <c:pt idx="0">
                  <c:v>335</c:v>
                </c:pt>
                <c:pt idx="1">
                  <c:v>32.888888888888886</c:v>
                </c:pt>
                <c:pt idx="2">
                  <c:v>57.625</c:v>
                </c:pt>
                <c:pt idx="3">
                  <c:v>175.2</c:v>
                </c:pt>
                <c:pt idx="4">
                  <c:v>75.333333333333329</c:v>
                </c:pt>
                <c:pt idx="5">
                  <c:v>77</c:v>
                </c:pt>
                <c:pt idx="6">
                  <c:v>587.77777777777783</c:v>
                </c:pt>
                <c:pt idx="7">
                  <c:v>8.4</c:v>
                </c:pt>
                <c:pt idx="8">
                  <c:v>24.571428571428573</c:v>
                </c:pt>
                <c:pt idx="9">
                  <c:v>50</c:v>
                </c:pt>
                <c:pt idx="10">
                  <c:v>108.22222222222223</c:v>
                </c:pt>
                <c:pt idx="11">
                  <c:v>171.57142857142858</c:v>
                </c:pt>
              </c:numCache>
            </c:numRef>
          </c:val>
          <c:extLst>
            <c:ext xmlns:c16="http://schemas.microsoft.com/office/drawing/2014/chart" uri="{C3380CC4-5D6E-409C-BE32-E72D297353CC}">
              <c16:uniqueId val="{00000001-A904-4A6F-AD63-CBC2614EF22F}"/>
            </c:ext>
          </c:extLst>
        </c:ser>
        <c:dLbls>
          <c:showLegendKey val="0"/>
          <c:showVal val="0"/>
          <c:showCatName val="0"/>
          <c:showSerName val="0"/>
          <c:showPercent val="0"/>
          <c:showBubbleSize val="0"/>
        </c:dLbls>
        <c:gapWidth val="100"/>
        <c:axId val="857173008"/>
        <c:axId val="857168744"/>
      </c:barChart>
      <c:catAx>
        <c:axId val="857173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857168744"/>
        <c:crosses val="autoZero"/>
        <c:auto val="1"/>
        <c:lblAlgn val="ctr"/>
        <c:lblOffset val="100"/>
        <c:noMultiLvlLbl val="0"/>
      </c:catAx>
      <c:valAx>
        <c:axId val="8571687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857173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B1C5-463A-81A3-C84DD4F6BCC6}"/>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B1C5-463A-81A3-C84DD4F6BCC6}"/>
              </c:ext>
            </c:extLst>
          </c:dPt>
          <c:dPt>
            <c:idx val="2"/>
            <c:bubble3D val="0"/>
            <c:spPr>
              <a:solidFill>
                <a:schemeClr val="accent2">
                  <a:lumMod val="40000"/>
                  <a:lumOff val="60000"/>
                </a:schemeClr>
              </a:solidFill>
              <a:ln w="19050">
                <a:solidFill>
                  <a:schemeClr val="lt1"/>
                </a:solidFill>
              </a:ln>
              <a:effectLst/>
            </c:spPr>
            <c:extLst>
              <c:ext xmlns:c16="http://schemas.microsoft.com/office/drawing/2014/chart" uri="{C3380CC4-5D6E-409C-BE32-E72D297353CC}">
                <c16:uniqueId val="{00000005-B1C5-463A-81A3-C84DD4F6BCC6}"/>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B1C5-463A-81A3-C84DD4F6BCC6}"/>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B1C5-463A-81A3-C84DD4F6BCC6}"/>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B1C5-463A-81A3-C84DD4F6BCC6}"/>
              </c:ext>
            </c:extLst>
          </c:dPt>
          <c:dLbls>
            <c:dLbl>
              <c:idx val="0"/>
              <c:layout>
                <c:manualLayout>
                  <c:x val="-3.7224025410920548E-2"/>
                  <c:y val="0.12705700444835691"/>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1C5-463A-81A3-C84DD4F6BCC6}"/>
                </c:ext>
              </c:extLst>
            </c:dLbl>
            <c:dLbl>
              <c:idx val="1"/>
              <c:layout>
                <c:manualLayout>
                  <c:x val="5.5798377625704276E-2"/>
                  <c:y val="-6.8430640754487071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1C5-463A-81A3-C84DD4F6BCC6}"/>
                </c:ext>
              </c:extLst>
            </c:dLbl>
            <c:dLbl>
              <c:idx val="2"/>
              <c:layout>
                <c:manualLayout>
                  <c:x val="4.665441048943772E-2"/>
                  <c:y val="-0.31935310299879505"/>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1C5-463A-81A3-C84DD4F6BCC6}"/>
                </c:ext>
              </c:extLst>
            </c:dLbl>
            <c:dLbl>
              <c:idx val="3"/>
              <c:layout>
                <c:manualLayout>
                  <c:x val="-0.10163198763150201"/>
                  <c:y val="1.310921312891711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1C5-463A-81A3-C84DD4F6BCC6}"/>
                </c:ext>
              </c:extLst>
            </c:dLbl>
            <c:dLbl>
              <c:idx val="4"/>
              <c:layout>
                <c:manualLayout>
                  <c:x val="-4.9939792768194699E-2"/>
                  <c:y val="-5.933489296232196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1C5-463A-81A3-C84DD4F6BCC6}"/>
                </c:ext>
              </c:extLst>
            </c:dLbl>
            <c:dLbl>
              <c:idx val="5"/>
              <c:layout>
                <c:manualLayout>
                  <c:x val="3.069984093398017E-2"/>
                  <c:y val="-7.026747046052285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1C5-463A-81A3-C84DD4F6BCC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es-CR"/>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'Datos por Programa'!$B$4:$B$9</c:f>
              <c:strCache>
                <c:ptCount val="6"/>
                <c:pt idx="0">
                  <c:v>Dirección, Administración y Otros Órganos de Apoyo</c:v>
                </c:pt>
                <c:pt idx="1">
                  <c:v>Servicio Jurisdiccional</c:v>
                </c:pt>
                <c:pt idx="2">
                  <c:v>Organismo de Investigación Judicial</c:v>
                </c:pt>
                <c:pt idx="3">
                  <c:v>Ministerio Público</c:v>
                </c:pt>
                <c:pt idx="4">
                  <c:v>Defensa Pública</c:v>
                </c:pt>
                <c:pt idx="5">
                  <c:v>Servicio Atención y Protección Víctimas y Testigos</c:v>
                </c:pt>
              </c:strCache>
            </c:strRef>
          </c:cat>
          <c:val>
            <c:numRef>
              <c:f>'Datos por Programa'!$I$4:$I$9</c:f>
              <c:numCache>
                <c:formatCode>0.0%</c:formatCode>
                <c:ptCount val="6"/>
                <c:pt idx="0">
                  <c:v>8.0232627715531649E-2</c:v>
                </c:pt>
                <c:pt idx="1">
                  <c:v>1.7539194308285229E-3</c:v>
                </c:pt>
                <c:pt idx="2">
                  <c:v>0.87782928200788779</c:v>
                </c:pt>
                <c:pt idx="3">
                  <c:v>1.2021995964490401E-2</c:v>
                </c:pt>
                <c:pt idx="4">
                  <c:v>9.369473150949711E-4</c:v>
                </c:pt>
                <c:pt idx="5">
                  <c:v>2.7225227566166656E-2</c:v>
                </c:pt>
              </c:numCache>
            </c:numRef>
          </c:val>
          <c:extLst>
            <c:ext xmlns:c16="http://schemas.microsoft.com/office/drawing/2014/chart" uri="{C3380CC4-5D6E-409C-BE32-E72D297353CC}">
              <c16:uniqueId val="{0000000C-B1C5-463A-81A3-C84DD4F6BCC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CR"/>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Cantidad de Demandas Nuevas Pendientes de Resolver</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SEGUIMIENTO!$C$526</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SEGUIMIENTO!$D$525:$O$525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SEGUIMIENTO!$D$526:$O$526</c:f>
              <c:numCache>
                <c:formatCode>0</c:formatCode>
                <c:ptCount val="12"/>
                <c:pt idx="0">
                  <c:v>6.25</c:v>
                </c:pt>
                <c:pt idx="1">
                  <c:v>0</c:v>
                </c:pt>
                <c:pt idx="2">
                  <c:v>1.8333333333333333</c:v>
                </c:pt>
                <c:pt idx="3">
                  <c:v>2.4166666666666665</c:v>
                </c:pt>
                <c:pt idx="4">
                  <c:v>3.5</c:v>
                </c:pt>
                <c:pt idx="5">
                  <c:v>4.5</c:v>
                </c:pt>
                <c:pt idx="6">
                  <c:v>9.6999999999999993</c:v>
                </c:pt>
                <c:pt idx="7">
                  <c:v>0</c:v>
                </c:pt>
                <c:pt idx="8">
                  <c:v>3.1666666666666665</c:v>
                </c:pt>
                <c:pt idx="9">
                  <c:v>2</c:v>
                </c:pt>
                <c:pt idx="10">
                  <c:v>1.4166666666666667</c:v>
                </c:pt>
                <c:pt idx="11">
                  <c:v>1.6666666666666667</c:v>
                </c:pt>
              </c:numCache>
            </c:numRef>
          </c:val>
          <c:extLst>
            <c:ext xmlns:c16="http://schemas.microsoft.com/office/drawing/2014/chart" uri="{C3380CC4-5D6E-409C-BE32-E72D297353CC}">
              <c16:uniqueId val="{00000000-0FC9-4DC1-AA01-252BC8E5EFE3}"/>
            </c:ext>
          </c:extLst>
        </c:ser>
        <c:ser>
          <c:idx val="1"/>
          <c:order val="1"/>
          <c:tx>
            <c:strRef>
              <c:f>SEGUIMIENTO!$C$527</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
              <c:layout>
                <c:manualLayout>
                  <c:x val="-2.0102106960031569E-17"/>
                  <c:y val="-1.041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FC9-4DC1-AA01-252BC8E5EF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SEGUIMIENTO!$D$525:$O$525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SEGUIMIENTO!$D$527:$O$527</c:f>
              <c:numCache>
                <c:formatCode>0</c:formatCode>
                <c:ptCount val="12"/>
                <c:pt idx="0">
                  <c:v>9.6666666666666661</c:v>
                </c:pt>
                <c:pt idx="1">
                  <c:v>0</c:v>
                </c:pt>
                <c:pt idx="2">
                  <c:v>4.2727272727272725</c:v>
                </c:pt>
                <c:pt idx="3">
                  <c:v>7</c:v>
                </c:pt>
                <c:pt idx="4">
                  <c:v>5.4</c:v>
                </c:pt>
                <c:pt idx="5">
                  <c:v>2.1666666666666665</c:v>
                </c:pt>
                <c:pt idx="6">
                  <c:v>7</c:v>
                </c:pt>
                <c:pt idx="7">
                  <c:v>0.90909090909090906</c:v>
                </c:pt>
                <c:pt idx="8">
                  <c:v>6.7777777777777777</c:v>
                </c:pt>
                <c:pt idx="9">
                  <c:v>1.75</c:v>
                </c:pt>
                <c:pt idx="10">
                  <c:v>2.0833333333333335</c:v>
                </c:pt>
                <c:pt idx="11">
                  <c:v>2.5</c:v>
                </c:pt>
              </c:numCache>
            </c:numRef>
          </c:val>
          <c:extLst>
            <c:ext xmlns:c16="http://schemas.microsoft.com/office/drawing/2014/chart" uri="{C3380CC4-5D6E-409C-BE32-E72D297353CC}">
              <c16:uniqueId val="{00000002-0FC9-4DC1-AA01-252BC8E5EFE3}"/>
            </c:ext>
          </c:extLst>
        </c:ser>
        <c:dLbls>
          <c:showLegendKey val="0"/>
          <c:showVal val="0"/>
          <c:showCatName val="0"/>
          <c:showSerName val="0"/>
          <c:showPercent val="0"/>
          <c:showBubbleSize val="0"/>
        </c:dLbls>
        <c:gapWidth val="100"/>
        <c:axId val="592251296"/>
        <c:axId val="592251624"/>
      </c:barChart>
      <c:catAx>
        <c:axId val="592251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92251624"/>
        <c:crosses val="autoZero"/>
        <c:auto val="1"/>
        <c:lblAlgn val="ctr"/>
        <c:lblOffset val="100"/>
        <c:noMultiLvlLbl val="0"/>
      </c:catAx>
      <c:valAx>
        <c:axId val="592251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92251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sz="1200" b="1"/>
              <a:t>Cantidad de Expedientes Pasados a Firmar</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SEGUIMIENTO!$C$562</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SEGUIMIENTO!$D$561:$O$561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SEGUIMIENTO!$D$562:$O$562</c:f>
              <c:numCache>
                <c:formatCode>0</c:formatCode>
                <c:ptCount val="12"/>
                <c:pt idx="0">
                  <c:v>51.704545454545453</c:v>
                </c:pt>
                <c:pt idx="1">
                  <c:v>52.863636363636367</c:v>
                </c:pt>
                <c:pt idx="2">
                  <c:v>72.708333333333329</c:v>
                </c:pt>
                <c:pt idx="3">
                  <c:v>88.205163740580403</c:v>
                </c:pt>
                <c:pt idx="4">
                  <c:v>71.289339826839822</c:v>
                </c:pt>
                <c:pt idx="5">
                  <c:v>78.454545454545453</c:v>
                </c:pt>
                <c:pt idx="6">
                  <c:v>69.272727272727266</c:v>
                </c:pt>
                <c:pt idx="7">
                  <c:v>88.556536140627045</c:v>
                </c:pt>
                <c:pt idx="8">
                  <c:v>102.90489793771043</c:v>
                </c:pt>
                <c:pt idx="9">
                  <c:v>105.25484207150873</c:v>
                </c:pt>
                <c:pt idx="10">
                  <c:v>33.072727272727271</c:v>
                </c:pt>
                <c:pt idx="11">
                  <c:v>103.75757575757575</c:v>
                </c:pt>
              </c:numCache>
            </c:numRef>
          </c:val>
          <c:extLst>
            <c:ext xmlns:c16="http://schemas.microsoft.com/office/drawing/2014/chart" uri="{C3380CC4-5D6E-409C-BE32-E72D297353CC}">
              <c16:uniqueId val="{00000000-461F-4BE2-BDE9-1BC2EA4602F8}"/>
            </c:ext>
          </c:extLst>
        </c:ser>
        <c:ser>
          <c:idx val="1"/>
          <c:order val="1"/>
          <c:tx>
            <c:strRef>
              <c:f>SEGUIMIENTO!$C$563</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SEGUIMIENTO!$D$561:$O$561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SEGUIMIENTO!$D$563:$O$563</c:f>
              <c:numCache>
                <c:formatCode>0</c:formatCode>
                <c:ptCount val="12"/>
                <c:pt idx="0">
                  <c:v>44.590277777777771</c:v>
                </c:pt>
                <c:pt idx="1">
                  <c:v>48.9375</c:v>
                </c:pt>
                <c:pt idx="2">
                  <c:v>77.8</c:v>
                </c:pt>
                <c:pt idx="3">
                  <c:v>98.710622710622701</c:v>
                </c:pt>
                <c:pt idx="4">
                  <c:v>59.737362637362637</c:v>
                </c:pt>
                <c:pt idx="5">
                  <c:v>92.549999999999983</c:v>
                </c:pt>
                <c:pt idx="6">
                  <c:v>76.539999999999992</c:v>
                </c:pt>
                <c:pt idx="7">
                  <c:v>82.205544455544455</c:v>
                </c:pt>
                <c:pt idx="8">
                  <c:v>136.99679487179486</c:v>
                </c:pt>
                <c:pt idx="9">
                  <c:v>92.104395604395592</c:v>
                </c:pt>
                <c:pt idx="10">
                  <c:v>32.694444444444443</c:v>
                </c:pt>
                <c:pt idx="11">
                  <c:v>67.518518518518533</c:v>
                </c:pt>
              </c:numCache>
            </c:numRef>
          </c:val>
          <c:extLst>
            <c:ext xmlns:c16="http://schemas.microsoft.com/office/drawing/2014/chart" uri="{C3380CC4-5D6E-409C-BE32-E72D297353CC}">
              <c16:uniqueId val="{00000001-461F-4BE2-BDE9-1BC2EA4602F8}"/>
            </c:ext>
          </c:extLst>
        </c:ser>
        <c:dLbls>
          <c:showLegendKey val="0"/>
          <c:showVal val="0"/>
          <c:showCatName val="0"/>
          <c:showSerName val="0"/>
          <c:showPercent val="0"/>
          <c:showBubbleSize val="0"/>
        </c:dLbls>
        <c:gapWidth val="100"/>
        <c:axId val="391196840"/>
        <c:axId val="391194544"/>
      </c:barChart>
      <c:catAx>
        <c:axId val="391196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391194544"/>
        <c:crosses val="autoZero"/>
        <c:auto val="1"/>
        <c:lblAlgn val="ctr"/>
        <c:lblOffset val="100"/>
        <c:noMultiLvlLbl val="0"/>
      </c:catAx>
      <c:valAx>
        <c:axId val="3911945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391196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i="0" baseline="0">
                <a:effectLst/>
              </a:rPr>
              <a:t>Cantidad de Casos Terminados por Sentencia y Otros</a:t>
            </a:r>
            <a:endParaRPr lang="es-CR" sz="1200" b="1">
              <a:effectLst/>
            </a:endParaRP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SEGUIMIENTO!$C$598</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SEGUIMIENTO!$D$597:$O$597</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SEGUIMIENTO!$D$598:$O$598</c:f>
              <c:numCache>
                <c:formatCode>0</c:formatCode>
                <c:ptCount val="12"/>
                <c:pt idx="0">
                  <c:v>6.833333333333333</c:v>
                </c:pt>
                <c:pt idx="1">
                  <c:v>4.666666666666667</c:v>
                </c:pt>
                <c:pt idx="2">
                  <c:v>8.1363636363636367</c:v>
                </c:pt>
                <c:pt idx="3">
                  <c:v>5.2777777777777777</c:v>
                </c:pt>
                <c:pt idx="4">
                  <c:v>10.5</c:v>
                </c:pt>
                <c:pt idx="5">
                  <c:v>9.7083333333333339</c:v>
                </c:pt>
                <c:pt idx="6">
                  <c:v>9.2777777777777786</c:v>
                </c:pt>
                <c:pt idx="7">
                  <c:v>7.8181818181818183</c:v>
                </c:pt>
                <c:pt idx="8">
                  <c:v>12.9375</c:v>
                </c:pt>
                <c:pt idx="9">
                  <c:v>10.3125</c:v>
                </c:pt>
                <c:pt idx="10">
                  <c:v>7.333333333333333</c:v>
                </c:pt>
                <c:pt idx="11">
                  <c:v>11.45</c:v>
                </c:pt>
              </c:numCache>
            </c:numRef>
          </c:val>
          <c:extLst>
            <c:ext xmlns:c16="http://schemas.microsoft.com/office/drawing/2014/chart" uri="{C3380CC4-5D6E-409C-BE32-E72D297353CC}">
              <c16:uniqueId val="{00000000-2CF2-44A9-B68C-B7F0FC8C8335}"/>
            </c:ext>
          </c:extLst>
        </c:ser>
        <c:ser>
          <c:idx val="1"/>
          <c:order val="1"/>
          <c:tx>
            <c:strRef>
              <c:f>SEGUIMIENTO!$C$599</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SEGUIMIENTO!$D$597:$O$597</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SEGUIMIENTO!$D$599:$O$599</c:f>
              <c:numCache>
                <c:formatCode>0</c:formatCode>
                <c:ptCount val="12"/>
                <c:pt idx="0">
                  <c:v>8.1333333333333329</c:v>
                </c:pt>
                <c:pt idx="1">
                  <c:v>5.2888888888888888</c:v>
                </c:pt>
                <c:pt idx="2">
                  <c:v>9.8666666666666671</c:v>
                </c:pt>
                <c:pt idx="3">
                  <c:v>9.1111111111111107</c:v>
                </c:pt>
                <c:pt idx="4">
                  <c:v>13.688888888888888</c:v>
                </c:pt>
                <c:pt idx="5">
                  <c:v>17.155555555555555</c:v>
                </c:pt>
                <c:pt idx="6">
                  <c:v>9.6</c:v>
                </c:pt>
                <c:pt idx="7">
                  <c:v>10.933333333333334</c:v>
                </c:pt>
                <c:pt idx="8">
                  <c:v>12.488888888888889</c:v>
                </c:pt>
                <c:pt idx="9">
                  <c:v>8.4444444444444446</c:v>
                </c:pt>
                <c:pt idx="10">
                  <c:v>9.5111111111111111</c:v>
                </c:pt>
                <c:pt idx="11">
                  <c:v>10.888888888888889</c:v>
                </c:pt>
              </c:numCache>
            </c:numRef>
          </c:val>
          <c:extLst>
            <c:ext xmlns:c16="http://schemas.microsoft.com/office/drawing/2014/chart" uri="{C3380CC4-5D6E-409C-BE32-E72D297353CC}">
              <c16:uniqueId val="{00000001-2CF2-44A9-B68C-B7F0FC8C8335}"/>
            </c:ext>
          </c:extLst>
        </c:ser>
        <c:dLbls>
          <c:showLegendKey val="0"/>
          <c:showVal val="0"/>
          <c:showCatName val="0"/>
          <c:showSerName val="0"/>
          <c:showPercent val="0"/>
          <c:showBubbleSize val="0"/>
        </c:dLbls>
        <c:gapWidth val="100"/>
        <c:axId val="505176144"/>
        <c:axId val="505175816"/>
      </c:barChart>
      <c:catAx>
        <c:axId val="505176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175816"/>
        <c:crosses val="autoZero"/>
        <c:auto val="1"/>
        <c:lblAlgn val="ctr"/>
        <c:lblOffset val="100"/>
        <c:noMultiLvlLbl val="0"/>
      </c:catAx>
      <c:valAx>
        <c:axId val="5051758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176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b="1"/>
              <a:t>Cantidad de Expedientes firmados por Jueza o Juez</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SEGUIMIENTO!$C$632</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SEGUIMIENTO!$D$631:$O$631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SEGUIMIENTO!$D$632:$O$632</c:f>
              <c:numCache>
                <c:formatCode>0</c:formatCode>
                <c:ptCount val="12"/>
                <c:pt idx="0">
                  <c:v>100.5</c:v>
                </c:pt>
                <c:pt idx="1">
                  <c:v>99.85</c:v>
                </c:pt>
                <c:pt idx="2">
                  <c:v>111.1969696969697</c:v>
                </c:pt>
                <c:pt idx="3">
                  <c:v>178.5</c:v>
                </c:pt>
                <c:pt idx="4">
                  <c:v>203.63636363636363</c:v>
                </c:pt>
                <c:pt idx="5">
                  <c:v>163.35</c:v>
                </c:pt>
                <c:pt idx="6">
                  <c:v>131.2833333333333</c:v>
                </c:pt>
                <c:pt idx="7">
                  <c:v>98.388888888888886</c:v>
                </c:pt>
                <c:pt idx="8">
                  <c:v>232.55</c:v>
                </c:pt>
                <c:pt idx="9">
                  <c:v>151.94999999999999</c:v>
                </c:pt>
                <c:pt idx="10">
                  <c:v>82.344975048100039</c:v>
                </c:pt>
                <c:pt idx="11">
                  <c:v>166.5</c:v>
                </c:pt>
              </c:numCache>
            </c:numRef>
          </c:val>
          <c:extLst>
            <c:ext xmlns:c16="http://schemas.microsoft.com/office/drawing/2014/chart" uri="{C3380CC4-5D6E-409C-BE32-E72D297353CC}">
              <c16:uniqueId val="{00000000-1FE0-4628-BCBD-6C608C492969}"/>
            </c:ext>
          </c:extLst>
        </c:ser>
        <c:ser>
          <c:idx val="1"/>
          <c:order val="1"/>
          <c:tx>
            <c:strRef>
              <c:f>SEGUIMIENTO!$C$633</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SEGUIMIENTO!$D$631:$O$631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SEGUIMIENTO!$D$633:$O$633</c:f>
              <c:numCache>
                <c:formatCode>0</c:formatCode>
                <c:ptCount val="12"/>
                <c:pt idx="0">
                  <c:v>68</c:v>
                </c:pt>
                <c:pt idx="1">
                  <c:v>91.7</c:v>
                </c:pt>
                <c:pt idx="2">
                  <c:v>119.92592592592594</c:v>
                </c:pt>
                <c:pt idx="3">
                  <c:v>205.8125</c:v>
                </c:pt>
                <c:pt idx="4">
                  <c:v>188.625</c:v>
                </c:pt>
                <c:pt idx="5">
                  <c:v>158.08333333333334</c:v>
                </c:pt>
                <c:pt idx="6">
                  <c:v>174.44444444444446</c:v>
                </c:pt>
                <c:pt idx="7">
                  <c:v>91.611111111111114</c:v>
                </c:pt>
                <c:pt idx="8">
                  <c:v>292.21428571428572</c:v>
                </c:pt>
                <c:pt idx="9">
                  <c:v>133.85714285714286</c:v>
                </c:pt>
                <c:pt idx="10">
                  <c:v>97.081272893772905</c:v>
                </c:pt>
                <c:pt idx="11">
                  <c:v>135.3125</c:v>
                </c:pt>
              </c:numCache>
            </c:numRef>
          </c:val>
          <c:extLst>
            <c:ext xmlns:c16="http://schemas.microsoft.com/office/drawing/2014/chart" uri="{C3380CC4-5D6E-409C-BE32-E72D297353CC}">
              <c16:uniqueId val="{00000001-1FE0-4628-BCBD-6C608C492969}"/>
            </c:ext>
          </c:extLst>
        </c:ser>
        <c:dLbls>
          <c:showLegendKey val="0"/>
          <c:showVal val="0"/>
          <c:showCatName val="0"/>
          <c:showSerName val="0"/>
          <c:showPercent val="0"/>
          <c:showBubbleSize val="0"/>
        </c:dLbls>
        <c:gapWidth val="100"/>
        <c:axId val="720729112"/>
        <c:axId val="720729440"/>
      </c:barChart>
      <c:catAx>
        <c:axId val="720729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20729440"/>
        <c:crosses val="autoZero"/>
        <c:auto val="1"/>
        <c:lblAlgn val="ctr"/>
        <c:lblOffset val="100"/>
        <c:noMultiLvlLbl val="0"/>
      </c:catAx>
      <c:valAx>
        <c:axId val="7207294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20729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Cantidad de Expedientes firmados por Jueza o Juez</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SEGUIMIENTO!$C$632</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SEGUIMIENTO!$D$631:$O$631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SEGUIMIENTO!$D$632:$O$632</c:f>
              <c:numCache>
                <c:formatCode>0</c:formatCode>
                <c:ptCount val="12"/>
                <c:pt idx="0">
                  <c:v>100.5</c:v>
                </c:pt>
                <c:pt idx="1">
                  <c:v>99.85</c:v>
                </c:pt>
                <c:pt idx="2">
                  <c:v>111.1969696969697</c:v>
                </c:pt>
                <c:pt idx="3">
                  <c:v>178.5</c:v>
                </c:pt>
                <c:pt idx="4">
                  <c:v>203.63636363636363</c:v>
                </c:pt>
                <c:pt idx="5">
                  <c:v>163.35</c:v>
                </c:pt>
                <c:pt idx="6">
                  <c:v>131.2833333333333</c:v>
                </c:pt>
                <c:pt idx="7">
                  <c:v>98.388888888888886</c:v>
                </c:pt>
                <c:pt idx="8">
                  <c:v>232.55</c:v>
                </c:pt>
                <c:pt idx="9">
                  <c:v>151.94999999999999</c:v>
                </c:pt>
                <c:pt idx="10">
                  <c:v>82.344975048100039</c:v>
                </c:pt>
                <c:pt idx="11">
                  <c:v>166.5</c:v>
                </c:pt>
              </c:numCache>
            </c:numRef>
          </c:val>
          <c:extLst>
            <c:ext xmlns:c16="http://schemas.microsoft.com/office/drawing/2014/chart" uri="{C3380CC4-5D6E-409C-BE32-E72D297353CC}">
              <c16:uniqueId val="{00000000-CCB8-480E-B552-62A1137B0E05}"/>
            </c:ext>
          </c:extLst>
        </c:ser>
        <c:ser>
          <c:idx val="1"/>
          <c:order val="1"/>
          <c:tx>
            <c:strRef>
              <c:f>SEGUIMIENTO!$C$633</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SEGUIMIENTO!$D$631:$O$631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SEGUIMIENTO!$D$633:$O$633</c:f>
              <c:numCache>
                <c:formatCode>0</c:formatCode>
                <c:ptCount val="12"/>
                <c:pt idx="0">
                  <c:v>68</c:v>
                </c:pt>
                <c:pt idx="1">
                  <c:v>91.7</c:v>
                </c:pt>
                <c:pt idx="2">
                  <c:v>119.92592592592594</c:v>
                </c:pt>
                <c:pt idx="3">
                  <c:v>205.8125</c:v>
                </c:pt>
                <c:pt idx="4">
                  <c:v>188.625</c:v>
                </c:pt>
                <c:pt idx="5">
                  <c:v>158.08333333333334</c:v>
                </c:pt>
                <c:pt idx="6">
                  <c:v>174.44444444444446</c:v>
                </c:pt>
                <c:pt idx="7">
                  <c:v>91.611111111111114</c:v>
                </c:pt>
                <c:pt idx="8">
                  <c:v>292.21428571428572</c:v>
                </c:pt>
                <c:pt idx="9">
                  <c:v>133.85714285714286</c:v>
                </c:pt>
                <c:pt idx="10">
                  <c:v>97.081272893772905</c:v>
                </c:pt>
                <c:pt idx="11">
                  <c:v>135.3125</c:v>
                </c:pt>
              </c:numCache>
            </c:numRef>
          </c:val>
          <c:extLst>
            <c:ext xmlns:c16="http://schemas.microsoft.com/office/drawing/2014/chart" uri="{C3380CC4-5D6E-409C-BE32-E72D297353CC}">
              <c16:uniqueId val="{00000001-CCB8-480E-B552-62A1137B0E05}"/>
            </c:ext>
          </c:extLst>
        </c:ser>
        <c:dLbls>
          <c:showLegendKey val="0"/>
          <c:showVal val="0"/>
          <c:showCatName val="0"/>
          <c:showSerName val="0"/>
          <c:showPercent val="0"/>
          <c:showBubbleSize val="0"/>
        </c:dLbls>
        <c:gapWidth val="100"/>
        <c:axId val="720729112"/>
        <c:axId val="720729440"/>
      </c:barChart>
      <c:catAx>
        <c:axId val="720729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20729440"/>
        <c:crosses val="autoZero"/>
        <c:auto val="1"/>
        <c:lblAlgn val="ctr"/>
        <c:lblOffset val="100"/>
        <c:noMultiLvlLbl val="0"/>
      </c:catAx>
      <c:valAx>
        <c:axId val="7207294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20729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b="1"/>
              <a:t>Casos Entrados , Terminados y Circulante Final </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col"/>
        <c:grouping val="clustered"/>
        <c:varyColors val="0"/>
        <c:ser>
          <c:idx val="0"/>
          <c:order val="0"/>
          <c:tx>
            <c:strRef>
              <c:f>'Tribunal '!$A$143</c:f>
              <c:strCache>
                <c:ptCount val="1"/>
                <c:pt idx="0">
                  <c:v>Casos Entrados Total</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4"/>
              <c:layout>
                <c:manualLayout>
                  <c:x val="-3.553660270078213E-3"/>
                  <c:y val="-4.27350427350427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697-4E44-A0EB-69911E3DD9A7}"/>
                </c:ext>
              </c:extLst>
            </c:dLbl>
            <c:dLbl>
              <c:idx val="9"/>
              <c:layout>
                <c:manualLayout>
                  <c:x val="-1.3029937134007668E-16"/>
                  <c:y val="-2.8490028490028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697-4E44-A0EB-69911E3DD9A7}"/>
                </c:ext>
              </c:extLst>
            </c:dLbl>
            <c:dLbl>
              <c:idx val="12"/>
              <c:layout>
                <c:manualLayout>
                  <c:x val="-5.330490405117270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697-4E44-A0EB-69911E3DD9A7}"/>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'!$B$143:$P$143</c:f>
              <c:numCache>
                <c:formatCode>General</c:formatCode>
                <c:ptCount val="15"/>
                <c:pt idx="0">
                  <c:v>120</c:v>
                </c:pt>
                <c:pt idx="1">
                  <c:v>127</c:v>
                </c:pt>
                <c:pt idx="2">
                  <c:v>59</c:v>
                </c:pt>
                <c:pt idx="3">
                  <c:v>96</c:v>
                </c:pt>
                <c:pt idx="4">
                  <c:v>113</c:v>
                </c:pt>
                <c:pt idx="5">
                  <c:v>90</c:v>
                </c:pt>
                <c:pt idx="6">
                  <c:v>72</c:v>
                </c:pt>
                <c:pt idx="7">
                  <c:v>102</c:v>
                </c:pt>
                <c:pt idx="8">
                  <c:v>95</c:v>
                </c:pt>
                <c:pt idx="9">
                  <c:v>106</c:v>
                </c:pt>
                <c:pt idx="10">
                  <c:v>90</c:v>
                </c:pt>
                <c:pt idx="11">
                  <c:v>101</c:v>
                </c:pt>
                <c:pt idx="12">
                  <c:v>107</c:v>
                </c:pt>
                <c:pt idx="13">
                  <c:v>89</c:v>
                </c:pt>
                <c:pt idx="14">
                  <c:v>55</c:v>
                </c:pt>
              </c:numCache>
            </c:numRef>
          </c:val>
          <c:extLst>
            <c:ext xmlns:c16="http://schemas.microsoft.com/office/drawing/2014/chart" uri="{C3380CC4-5D6E-409C-BE32-E72D297353CC}">
              <c16:uniqueId val="{00000003-E697-4E44-A0EB-69911E3DD9A7}"/>
            </c:ext>
          </c:extLst>
        </c:ser>
        <c:ser>
          <c:idx val="1"/>
          <c:order val="1"/>
          <c:tx>
            <c:strRef>
              <c:f>'Tribunal '!$A$144</c:f>
              <c:strCache>
                <c:ptCount val="1"/>
                <c:pt idx="0">
                  <c:v>Casos Terminados Total </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7"/>
              <c:layout>
                <c:manualLayout>
                  <c:x val="-6.514968567003834E-17"/>
                  <c:y val="-3.79867046533713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697-4E44-A0EB-69911E3DD9A7}"/>
                </c:ext>
              </c:extLst>
            </c:dLbl>
            <c:dLbl>
              <c:idx val="8"/>
              <c:layout>
                <c:manualLayout>
                  <c:x val="6.514968567003834E-17"/>
                  <c:y val="-2.8490028490028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697-4E44-A0EB-69911E3DD9A7}"/>
                </c:ext>
              </c:extLst>
            </c:dLbl>
            <c:dLbl>
              <c:idx val="11"/>
              <c:layout>
                <c:manualLayout>
                  <c:x val="-8.884150675195452E-3"/>
                  <c:y val="-4.748338081671414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697-4E44-A0EB-69911E3DD9A7}"/>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'!$B$144:$P$144</c:f>
              <c:numCache>
                <c:formatCode>General</c:formatCode>
                <c:ptCount val="15"/>
                <c:pt idx="0">
                  <c:v>94</c:v>
                </c:pt>
                <c:pt idx="1">
                  <c:v>98</c:v>
                </c:pt>
                <c:pt idx="2">
                  <c:v>70</c:v>
                </c:pt>
                <c:pt idx="3">
                  <c:v>95</c:v>
                </c:pt>
                <c:pt idx="4">
                  <c:v>109</c:v>
                </c:pt>
                <c:pt idx="5">
                  <c:v>100</c:v>
                </c:pt>
                <c:pt idx="6">
                  <c:v>91</c:v>
                </c:pt>
                <c:pt idx="7">
                  <c:v>106</c:v>
                </c:pt>
                <c:pt idx="8">
                  <c:v>102</c:v>
                </c:pt>
                <c:pt idx="9">
                  <c:v>101</c:v>
                </c:pt>
                <c:pt idx="10">
                  <c:v>72</c:v>
                </c:pt>
                <c:pt idx="11">
                  <c:v>123</c:v>
                </c:pt>
                <c:pt idx="12">
                  <c:v>144</c:v>
                </c:pt>
                <c:pt idx="13">
                  <c:v>136</c:v>
                </c:pt>
                <c:pt idx="14">
                  <c:v>62</c:v>
                </c:pt>
              </c:numCache>
            </c:numRef>
          </c:val>
          <c:extLst>
            <c:ext xmlns:c16="http://schemas.microsoft.com/office/drawing/2014/chart" uri="{C3380CC4-5D6E-409C-BE32-E72D297353CC}">
              <c16:uniqueId val="{00000007-E697-4E44-A0EB-69911E3DD9A7}"/>
            </c:ext>
          </c:extLst>
        </c:ser>
        <c:ser>
          <c:idx val="2"/>
          <c:order val="2"/>
          <c:tx>
            <c:strRef>
              <c:f>'Tribunal '!$A$145</c:f>
              <c:strCache>
                <c:ptCount val="1"/>
                <c:pt idx="0">
                  <c:v>Circulante Final </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dLbl>
              <c:idx val="13"/>
              <c:layout>
                <c:manualLayout>
                  <c:x val="3.553660270078050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697-4E44-A0EB-69911E3DD9A7}"/>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'!$B$145:$P$145</c:f>
              <c:numCache>
                <c:formatCode>General</c:formatCode>
                <c:ptCount val="15"/>
                <c:pt idx="0">
                  <c:v>223</c:v>
                </c:pt>
                <c:pt idx="1">
                  <c:v>252</c:v>
                </c:pt>
                <c:pt idx="2">
                  <c:v>240</c:v>
                </c:pt>
                <c:pt idx="3">
                  <c:v>241</c:v>
                </c:pt>
                <c:pt idx="4">
                  <c:v>245</c:v>
                </c:pt>
                <c:pt idx="5">
                  <c:v>234</c:v>
                </c:pt>
                <c:pt idx="6">
                  <c:v>216</c:v>
                </c:pt>
                <c:pt idx="7">
                  <c:v>212</c:v>
                </c:pt>
                <c:pt idx="8">
                  <c:v>205</c:v>
                </c:pt>
                <c:pt idx="9">
                  <c:v>211</c:v>
                </c:pt>
                <c:pt idx="10">
                  <c:v>229</c:v>
                </c:pt>
                <c:pt idx="11">
                  <c:v>207</c:v>
                </c:pt>
                <c:pt idx="12">
                  <c:v>170</c:v>
                </c:pt>
                <c:pt idx="13">
                  <c:v>123</c:v>
                </c:pt>
                <c:pt idx="14">
                  <c:v>116</c:v>
                </c:pt>
              </c:numCache>
            </c:numRef>
          </c:val>
          <c:extLst>
            <c:ext xmlns:c16="http://schemas.microsoft.com/office/drawing/2014/chart" uri="{C3380CC4-5D6E-409C-BE32-E72D297353CC}">
              <c16:uniqueId val="{00000009-E697-4E44-A0EB-69911E3DD9A7}"/>
            </c:ext>
          </c:extLst>
        </c:ser>
        <c:dLbls>
          <c:showLegendKey val="0"/>
          <c:showVal val="0"/>
          <c:showCatName val="0"/>
          <c:showSerName val="0"/>
          <c:showPercent val="0"/>
          <c:showBubbleSize val="0"/>
        </c:dLbls>
        <c:gapWidth val="100"/>
        <c:overlap val="-24"/>
        <c:axId val="448540152"/>
        <c:axId val="448539824"/>
      </c:barChart>
      <c:dateAx>
        <c:axId val="448540152"/>
        <c:scaling>
          <c:orientation val="minMax"/>
        </c:scaling>
        <c:delete val="0"/>
        <c:axPos val="b"/>
        <c:numFmt formatCode="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448539824"/>
        <c:crosses val="autoZero"/>
        <c:auto val="1"/>
        <c:lblOffset val="100"/>
        <c:baseTimeUnit val="months"/>
      </c:dateAx>
      <c:valAx>
        <c:axId val="448539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448540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latin typeface="Book Antiqua" panose="02040602050305030304" pitchFamily="18" charset="0"/>
        </a:defRPr>
      </a:pPr>
      <a:endParaRPr lang="es-C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Plazos de Espera</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col"/>
        <c:grouping val="clustered"/>
        <c:varyColors val="0"/>
        <c:ser>
          <c:idx val="0"/>
          <c:order val="0"/>
          <c:tx>
            <c:strRef>
              <c:f>'Tribunal '!$A$146</c:f>
              <c:strCache>
                <c:ptCount val="1"/>
                <c:pt idx="0">
                  <c:v>Plazo de Espera de Dictado de Sentencia</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0"/>
              <c:layout>
                <c:manualLayout>
                  <c:x val="0"/>
                  <c:y val="-3.33333333333333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767-40A6-BD46-EDF3170A4BA4}"/>
                </c:ext>
              </c:extLst>
            </c:dLbl>
            <c:dLbl>
              <c:idx val="1"/>
              <c:layout>
                <c:manualLayout>
                  <c:x val="0"/>
                  <c:y val="-3.33333333333333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767-40A6-BD46-EDF3170A4BA4}"/>
                </c:ext>
              </c:extLst>
            </c:dLbl>
            <c:dLbl>
              <c:idx val="2"/>
              <c:layout>
                <c:manualLayout>
                  <c:x val="-3.0252675821037609E-17"/>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767-40A6-BD46-EDF3170A4BA4}"/>
                </c:ext>
              </c:extLst>
            </c:dLbl>
            <c:dLbl>
              <c:idx val="3"/>
              <c:layout>
                <c:manualLayout>
                  <c:x val="-1.6501650165016502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767-40A6-BD46-EDF3170A4BA4}"/>
                </c:ext>
              </c:extLst>
            </c:dLbl>
            <c:dLbl>
              <c:idx val="4"/>
              <c:layout>
                <c:manualLayout>
                  <c:x val="-3.3003300330033607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767-40A6-BD46-EDF3170A4BA4}"/>
                </c:ext>
              </c:extLst>
            </c:dLbl>
            <c:dLbl>
              <c:idx val="5"/>
              <c:layout>
                <c:manualLayout>
                  <c:x val="-3.3003300330033004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767-40A6-BD46-EDF3170A4BA4}"/>
                </c:ext>
              </c:extLst>
            </c:dLbl>
            <c:dLbl>
              <c:idx val="6"/>
              <c:layout>
                <c:manualLayout>
                  <c:x val="-1.6501650165016502E-3"/>
                  <c:y val="-0.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767-40A6-BD46-EDF3170A4BA4}"/>
                </c:ext>
              </c:extLst>
            </c:dLbl>
            <c:dLbl>
              <c:idx val="7"/>
              <c:layout>
                <c:manualLayout>
                  <c:x val="-4.9504950495048898E-3"/>
                  <c:y val="-3.7500000000000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767-40A6-BD46-EDF3170A4BA4}"/>
                </c:ext>
              </c:extLst>
            </c:dLbl>
            <c:dLbl>
              <c:idx val="8"/>
              <c:layout>
                <c:manualLayout>
                  <c:x val="-4.9504950495049506E-3"/>
                  <c:y val="-1.66666666666667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767-40A6-BD46-EDF3170A4BA4}"/>
                </c:ext>
              </c:extLst>
            </c:dLbl>
            <c:dLbl>
              <c:idx val="9"/>
              <c:layout>
                <c:manualLayout>
                  <c:x val="-4.9504950495049506E-3"/>
                  <c:y val="-1.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767-40A6-BD46-EDF3170A4BA4}"/>
                </c:ext>
              </c:extLst>
            </c:dLbl>
            <c:dLbl>
              <c:idx val="10"/>
              <c:layout>
                <c:manualLayout>
                  <c:x val="-4.9504950495049506E-3"/>
                  <c:y val="-1.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767-40A6-BD46-EDF3170A4BA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'!$B$146:$P$146</c:f>
              <c:numCache>
                <c:formatCode>0</c:formatCode>
                <c:ptCount val="15"/>
                <c:pt idx="0">
                  <c:v>2303</c:v>
                </c:pt>
                <c:pt idx="1">
                  <c:v>2308</c:v>
                </c:pt>
                <c:pt idx="2">
                  <c:v>2344</c:v>
                </c:pt>
                <c:pt idx="3">
                  <c:v>2379</c:v>
                </c:pt>
                <c:pt idx="4">
                  <c:v>2386</c:v>
                </c:pt>
                <c:pt idx="5">
                  <c:v>2436</c:v>
                </c:pt>
                <c:pt idx="6">
                  <c:v>447</c:v>
                </c:pt>
                <c:pt idx="7">
                  <c:v>483</c:v>
                </c:pt>
                <c:pt idx="8">
                  <c:v>462</c:v>
                </c:pt>
                <c:pt idx="9">
                  <c:v>500</c:v>
                </c:pt>
                <c:pt idx="10">
                  <c:v>504</c:v>
                </c:pt>
                <c:pt idx="11">
                  <c:v>547</c:v>
                </c:pt>
                <c:pt idx="12">
                  <c:v>574</c:v>
                </c:pt>
                <c:pt idx="13">
                  <c:v>335</c:v>
                </c:pt>
                <c:pt idx="14">
                  <c:v>377</c:v>
                </c:pt>
              </c:numCache>
            </c:numRef>
          </c:val>
          <c:extLst>
            <c:ext xmlns:c16="http://schemas.microsoft.com/office/drawing/2014/chart" uri="{C3380CC4-5D6E-409C-BE32-E72D297353CC}">
              <c16:uniqueId val="{0000000B-C767-40A6-BD46-EDF3170A4BA4}"/>
            </c:ext>
          </c:extLst>
        </c:ser>
        <c:ser>
          <c:idx val="1"/>
          <c:order val="1"/>
          <c:tx>
            <c:strRef>
              <c:f>'Tribunal '!$A$147</c:f>
              <c:strCache>
                <c:ptCount val="1"/>
                <c:pt idx="0">
                  <c:v>Plazo para resolver escritos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1"/>
              <c:layout>
                <c:manualLayout>
                  <c:x val="6.6006600660066007E-3"/>
                  <c:y val="-4.16666666666674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767-40A6-BD46-EDF3170A4BA4}"/>
                </c:ext>
              </c:extLst>
            </c:dLbl>
            <c:dLbl>
              <c:idx val="12"/>
              <c:layout>
                <c:manualLayout>
                  <c:x val="4.9504950495049506E-3"/>
                  <c:y val="-1.25000000000000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767-40A6-BD46-EDF3170A4BA4}"/>
                </c:ext>
              </c:extLst>
            </c:dLbl>
            <c:dLbl>
              <c:idx val="13"/>
              <c:layout>
                <c:manualLayout>
                  <c:x val="4.9504950495048291E-3"/>
                  <c:y val="-2.08333333333333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767-40A6-BD46-EDF3170A4BA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'!$B$147:$P$147</c:f>
              <c:numCache>
                <c:formatCode>General</c:formatCode>
                <c:ptCount val="15"/>
                <c:pt idx="0">
                  <c:v>2303</c:v>
                </c:pt>
                <c:pt idx="1">
                  <c:v>2308</c:v>
                </c:pt>
                <c:pt idx="2">
                  <c:v>2344</c:v>
                </c:pt>
                <c:pt idx="3">
                  <c:v>2379</c:v>
                </c:pt>
                <c:pt idx="4">
                  <c:v>2386</c:v>
                </c:pt>
                <c:pt idx="5">
                  <c:v>2436</c:v>
                </c:pt>
                <c:pt idx="6">
                  <c:v>377</c:v>
                </c:pt>
                <c:pt idx="7">
                  <c:v>388</c:v>
                </c:pt>
                <c:pt idx="8">
                  <c:v>420</c:v>
                </c:pt>
                <c:pt idx="9">
                  <c:v>458</c:v>
                </c:pt>
                <c:pt idx="10">
                  <c:v>462</c:v>
                </c:pt>
                <c:pt idx="11">
                  <c:v>233</c:v>
                </c:pt>
                <c:pt idx="12">
                  <c:v>25</c:v>
                </c:pt>
                <c:pt idx="13">
                  <c:v>10</c:v>
                </c:pt>
                <c:pt idx="14">
                  <c:v>7</c:v>
                </c:pt>
              </c:numCache>
            </c:numRef>
          </c:val>
          <c:extLst>
            <c:ext xmlns:c16="http://schemas.microsoft.com/office/drawing/2014/chart" uri="{C3380CC4-5D6E-409C-BE32-E72D297353CC}">
              <c16:uniqueId val="{0000000F-C767-40A6-BD46-EDF3170A4BA4}"/>
            </c:ext>
          </c:extLst>
        </c:ser>
        <c:ser>
          <c:idx val="2"/>
          <c:order val="2"/>
          <c:tx>
            <c:strRef>
              <c:f>'Tribunal '!$A$151</c:f>
              <c:strCache>
                <c:ptCount val="1"/>
                <c:pt idx="0">
                  <c:v>Plazo de espera de expediente votado más antiguo pendiente de firmar la sentencia (días)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dLbl>
              <c:idx val="12"/>
              <c:layout>
                <c:manualLayout>
                  <c:x val="4.9504950495048291E-3"/>
                  <c:y val="-7.63880064481199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767-40A6-BD46-EDF3170A4BA4}"/>
                </c:ext>
              </c:extLst>
            </c:dLbl>
            <c:dLbl>
              <c:idx val="13"/>
              <c:layout>
                <c:manualLayout>
                  <c:x val="4.9504950495048291E-3"/>
                  <c:y val="1.2500000000000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767-40A6-BD46-EDF3170A4BA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'!$B$151:$P$151</c:f>
              <c:numCache>
                <c:formatCode>0</c:formatCode>
                <c:ptCount val="1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numCache>
            </c:numRef>
          </c:val>
          <c:extLst>
            <c:ext xmlns:c16="http://schemas.microsoft.com/office/drawing/2014/chart" uri="{C3380CC4-5D6E-409C-BE32-E72D297353CC}">
              <c16:uniqueId val="{00000012-C767-40A6-BD46-EDF3170A4BA4}"/>
            </c:ext>
          </c:extLst>
        </c:ser>
        <c:dLbls>
          <c:showLegendKey val="0"/>
          <c:showVal val="0"/>
          <c:showCatName val="0"/>
          <c:showSerName val="0"/>
          <c:showPercent val="0"/>
          <c:showBubbleSize val="0"/>
        </c:dLbls>
        <c:gapWidth val="100"/>
        <c:overlap val="-24"/>
        <c:axId val="569860344"/>
        <c:axId val="569875760"/>
      </c:barChart>
      <c:dateAx>
        <c:axId val="569860344"/>
        <c:scaling>
          <c:orientation val="minMax"/>
        </c:scaling>
        <c:delete val="0"/>
        <c:axPos val="b"/>
        <c:numFmt formatCode="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69875760"/>
        <c:crosses val="autoZero"/>
        <c:auto val="1"/>
        <c:lblOffset val="100"/>
        <c:baseTimeUnit val="months"/>
      </c:dateAx>
      <c:valAx>
        <c:axId val="569875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69860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none" spc="20" baseline="0">
              <a:solidFill>
                <a:schemeClr val="dk1">
                  <a:lumMod val="50000"/>
                  <a:lumOff val="50000"/>
                </a:schemeClr>
              </a:solidFill>
              <a:latin typeface="Book Antiqua" panose="02040602050305030304" pitchFamily="18" charset="0"/>
              <a:ea typeface="+mn-ea"/>
              <a:cs typeface="+mn-cs"/>
            </a:defRPr>
          </a:pPr>
          <a:endParaRPr lang="es-CR"/>
        </a:p>
      </c:txPr>
    </c:title>
    <c:autoTitleDeleted val="0"/>
    <c:plotArea>
      <c:layout/>
      <c:lineChart>
        <c:grouping val="stacked"/>
        <c:varyColors val="0"/>
        <c:ser>
          <c:idx val="0"/>
          <c:order val="0"/>
          <c:tx>
            <c:strRef>
              <c:f>'Tribunal '!$A$148</c:f>
              <c:strCache>
                <c:ptCount val="1"/>
                <c:pt idx="0">
                  <c:v>Cantidad de expedientes pendientes de fallo</c:v>
                </c:pt>
              </c:strCache>
            </c:strRef>
          </c:tx>
          <c:spPr>
            <a:ln w="22225" cap="rnd" cmpd="sng" algn="ctr">
              <a:solidFill>
                <a:schemeClr val="accent1"/>
              </a:solidFill>
              <a:round/>
            </a:ln>
            <a:effectLst/>
          </c:spPr>
          <c:marker>
            <c:symbol val="circle"/>
            <c:size val="4"/>
            <c:spPr>
              <a:solidFill>
                <a:schemeClr val="accent1"/>
              </a:solidFill>
              <a:ln w="9525" cap="flat" cmpd="sng" algn="ctr">
                <a:solidFill>
                  <a:schemeClr val="accent1"/>
                </a:solidFill>
                <a:round/>
              </a:ln>
              <a:effectLst/>
            </c:spPr>
          </c:marker>
          <c:dLbls>
            <c:dLbl>
              <c:idx val="0"/>
              <c:layout>
                <c:manualLayout>
                  <c:x val="0"/>
                  <c:y val="3.05410122164048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68F-4D63-B130-2C6748C03974}"/>
                </c:ext>
              </c:extLst>
            </c:dLbl>
            <c:dLbl>
              <c:idx val="2"/>
              <c:layout>
                <c:manualLayout>
                  <c:x val="1.6452780519907865E-3"/>
                  <c:y val="-5.23560209424083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8F-4D63-B130-2C6748C03974}"/>
                </c:ext>
              </c:extLst>
            </c:dLbl>
            <c:dLbl>
              <c:idx val="3"/>
              <c:layout>
                <c:manualLayout>
                  <c:x val="-6.0326165013322775E-17"/>
                  <c:y val="-2.6178010471204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68F-4D63-B130-2C6748C03974}"/>
                </c:ext>
              </c:extLst>
            </c:dLbl>
            <c:dLbl>
              <c:idx val="4"/>
              <c:layout>
                <c:manualLayout>
                  <c:x val="0"/>
                  <c:y val="-2.1815008726003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68F-4D63-B130-2C6748C03974}"/>
                </c:ext>
              </c:extLst>
            </c:dLbl>
            <c:dLbl>
              <c:idx val="6"/>
              <c:layout>
                <c:manualLayout>
                  <c:x val="0"/>
                  <c:y val="-3.4904013961605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68F-4D63-B130-2C6748C03974}"/>
                </c:ext>
              </c:extLst>
            </c:dLbl>
            <c:dLbl>
              <c:idx val="7"/>
              <c:layout>
                <c:manualLayout>
                  <c:x val="0"/>
                  <c:y val="-4.7993019197207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68F-4D63-B130-2C6748C03974}"/>
                </c:ext>
              </c:extLst>
            </c:dLbl>
            <c:dLbl>
              <c:idx val="8"/>
              <c:layout>
                <c:manualLayout>
                  <c:x val="-1.2065233002664555E-16"/>
                  <c:y val="-5.6719022687609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68F-4D63-B130-2C6748C03974}"/>
                </c:ext>
              </c:extLst>
            </c:dLbl>
            <c:dLbl>
              <c:idx val="9"/>
              <c:layout>
                <c:manualLayout>
                  <c:x val="-1.6452780519907865E-3"/>
                  <c:y val="-7.85340314136125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68F-4D63-B130-2C6748C03974}"/>
                </c:ext>
              </c:extLst>
            </c:dLbl>
            <c:dLbl>
              <c:idx val="10"/>
              <c:layout>
                <c:manualLayout>
                  <c:x val="6.5811122079631459E-3"/>
                  <c:y val="-3.05410122164049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68F-4D63-B130-2C6748C03974}"/>
                </c:ext>
              </c:extLst>
            </c:dLbl>
            <c:dLbl>
              <c:idx val="12"/>
              <c:layout>
                <c:manualLayout>
                  <c:x val="1.6452780519906657E-3"/>
                  <c:y val="-3.4904013961605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68F-4D63-B130-2C6748C03974}"/>
                </c:ext>
              </c:extLst>
            </c:dLbl>
            <c:dLbl>
              <c:idx val="13"/>
              <c:layout>
                <c:manualLayout>
                  <c:x val="-1.645278051990907E-3"/>
                  <c:y val="-5.6719022687609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68F-4D63-B130-2C6748C03974}"/>
                </c:ext>
              </c:extLst>
            </c:dLbl>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'!$B$148:$P$148</c:f>
              <c:numCache>
                <c:formatCode>0</c:formatCode>
                <c:ptCount val="15"/>
                <c:pt idx="0">
                  <c:v>188</c:v>
                </c:pt>
                <c:pt idx="1">
                  <c:v>196</c:v>
                </c:pt>
                <c:pt idx="2">
                  <c:v>222</c:v>
                </c:pt>
                <c:pt idx="3">
                  <c:v>226</c:v>
                </c:pt>
                <c:pt idx="4">
                  <c:v>213</c:v>
                </c:pt>
                <c:pt idx="5">
                  <c:v>184</c:v>
                </c:pt>
                <c:pt idx="6">
                  <c:v>210</c:v>
                </c:pt>
                <c:pt idx="7">
                  <c:v>195</c:v>
                </c:pt>
                <c:pt idx="8">
                  <c:v>192</c:v>
                </c:pt>
                <c:pt idx="9">
                  <c:v>199</c:v>
                </c:pt>
                <c:pt idx="10">
                  <c:v>206</c:v>
                </c:pt>
                <c:pt idx="11">
                  <c:v>186</c:v>
                </c:pt>
                <c:pt idx="12">
                  <c:v>132</c:v>
                </c:pt>
                <c:pt idx="13">
                  <c:v>117</c:v>
                </c:pt>
                <c:pt idx="14">
                  <c:v>117</c:v>
                </c:pt>
              </c:numCache>
            </c:numRef>
          </c:val>
          <c:smooth val="0"/>
          <c:extLst>
            <c:ext xmlns:c16="http://schemas.microsoft.com/office/drawing/2014/chart" uri="{C3380CC4-5D6E-409C-BE32-E72D297353CC}">
              <c16:uniqueId val="{0000000B-268F-4D63-B130-2C6748C03974}"/>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marker val="1"/>
        <c:smooth val="0"/>
        <c:axId val="886611512"/>
        <c:axId val="886615448"/>
      </c:lineChart>
      <c:dateAx>
        <c:axId val="886611512"/>
        <c:scaling>
          <c:orientation val="minMax"/>
        </c:scaling>
        <c:delete val="0"/>
        <c:axPos val="b"/>
        <c:numFmt formatCode="mm/yy"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Book Antiqua" panose="02040602050305030304" pitchFamily="18" charset="0"/>
                <a:ea typeface="+mn-ea"/>
                <a:cs typeface="+mn-cs"/>
              </a:defRPr>
            </a:pPr>
            <a:endParaRPr lang="es-CR"/>
          </a:p>
        </c:txPr>
        <c:crossAx val="886615448"/>
        <c:crosses val="autoZero"/>
        <c:auto val="1"/>
        <c:lblOffset val="100"/>
        <c:baseTimeUnit val="months"/>
      </c:dateAx>
      <c:valAx>
        <c:axId val="8866154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Book Antiqua" panose="02040602050305030304" pitchFamily="18" charset="0"/>
                <a:ea typeface="+mn-ea"/>
                <a:cs typeface="+mn-cs"/>
              </a:defRPr>
            </a:pPr>
            <a:endParaRPr lang="es-CR"/>
          </a:p>
        </c:txPr>
        <c:crossAx val="886611512"/>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lgn="just">
        <a:defRPr>
          <a:latin typeface="Book Antiqua" panose="02040602050305030304" pitchFamily="18" charset="0"/>
        </a:defRPr>
      </a:pPr>
      <a:endParaRPr lang="es-CR"/>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Book Antiqua" panose="02040602050305030304" pitchFamily="18" charset="0"/>
                <a:ea typeface="+mn-ea"/>
                <a:cs typeface="+mn-cs"/>
              </a:defRPr>
            </a:pPr>
            <a:r>
              <a:rPr lang="es-CR" b="1"/>
              <a:t>Cantidad de Escritos y Casos Nuevos Pendientes de Trámite</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Book Antiqua" panose="02040602050305030304" pitchFamily="18" charset="0"/>
              <a:ea typeface="+mn-ea"/>
              <a:cs typeface="+mn-cs"/>
            </a:defRPr>
          </a:pPr>
          <a:endParaRPr lang="es-CR"/>
        </a:p>
      </c:txPr>
    </c:title>
    <c:autoTitleDeleted val="0"/>
    <c:plotArea>
      <c:layout/>
      <c:lineChart>
        <c:grouping val="standard"/>
        <c:varyColors val="0"/>
        <c:ser>
          <c:idx val="0"/>
          <c:order val="0"/>
          <c:tx>
            <c:strRef>
              <c:f>'Tribunal '!$A$149</c:f>
              <c:strCache>
                <c:ptCount val="1"/>
                <c:pt idx="0">
                  <c:v>Cantidad de escritos pendientes de resolver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2.5164041994750665E-2"/>
                  <c:y val="-3.19744204636290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C96-4D09-826E-18CA31A3BE40}"/>
                </c:ext>
              </c:extLst>
            </c:dLbl>
            <c:dLbl>
              <c:idx val="1"/>
              <c:layout>
                <c:manualLayout>
                  <c:x val="-2.5164041994750672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C96-4D09-826E-18CA31A3BE40}"/>
                </c:ext>
              </c:extLst>
            </c:dLbl>
            <c:dLbl>
              <c:idx val="2"/>
              <c:layout>
                <c:manualLayout>
                  <c:x val="-2.5164041994750686E-2"/>
                  <c:y val="-2.79776179056754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C96-4D09-826E-18CA31A3BE40}"/>
                </c:ext>
              </c:extLst>
            </c:dLbl>
            <c:dLbl>
              <c:idx val="3"/>
              <c:layout>
                <c:manualLayout>
                  <c:x val="-2.3523622047244095E-2"/>
                  <c:y val="-2.39808153477218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C96-4D09-826E-18CA31A3BE40}"/>
                </c:ext>
              </c:extLst>
            </c:dLbl>
            <c:dLbl>
              <c:idx val="4"/>
              <c:layout>
                <c:manualLayout>
                  <c:x val="-2.3523622047244095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C96-4D09-826E-18CA31A3BE40}"/>
                </c:ext>
              </c:extLst>
            </c:dLbl>
            <c:dLbl>
              <c:idx val="5"/>
              <c:layout>
                <c:manualLayout>
                  <c:x val="-2.5164041994750655E-2"/>
                  <c:y val="-3.19744204636290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C96-4D09-826E-18CA31A3BE40}"/>
                </c:ext>
              </c:extLst>
            </c:dLbl>
            <c:dLbl>
              <c:idx val="6"/>
              <c:layout>
                <c:manualLayout>
                  <c:x val="-2.5164041994750717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C96-4D09-826E-18CA31A3BE40}"/>
                </c:ext>
              </c:extLst>
            </c:dLbl>
            <c:dLbl>
              <c:idx val="7"/>
              <c:layout>
                <c:manualLayout>
                  <c:x val="-2.5164041994750717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C96-4D09-826E-18CA31A3BE40}"/>
                </c:ext>
              </c:extLst>
            </c:dLbl>
            <c:dLbl>
              <c:idx val="8"/>
              <c:layout>
                <c:manualLayout>
                  <c:x val="-2.6804461942257218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C96-4D09-826E-18CA31A3BE40}"/>
                </c:ext>
              </c:extLst>
            </c:dLbl>
            <c:dLbl>
              <c:idx val="9"/>
              <c:layout>
                <c:manualLayout>
                  <c:x val="-2.5164041994750655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C96-4D09-826E-18CA31A3BE40}"/>
                </c:ext>
              </c:extLst>
            </c:dLbl>
            <c:dLbl>
              <c:idx val="10"/>
              <c:layout>
                <c:manualLayout>
                  <c:x val="-2.3523622047244095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C96-4D09-826E-18CA31A3BE40}"/>
                </c:ext>
              </c:extLst>
            </c:dLbl>
            <c:dLbl>
              <c:idx val="11"/>
              <c:layout>
                <c:manualLayout>
                  <c:x val="-6.6601049868766403E-3"/>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C96-4D09-826E-18CA31A3BE40}"/>
                </c:ext>
              </c:extLst>
            </c:dLbl>
            <c:dLbl>
              <c:idx val="12"/>
              <c:layout>
                <c:manualLayout>
                  <c:x val="-9.4816272965879272E-3"/>
                  <c:y val="-1.99840127897683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C96-4D09-826E-18CA31A3BE40}"/>
                </c:ext>
              </c:extLst>
            </c:dLbl>
            <c:dLbl>
              <c:idx val="13"/>
              <c:layout>
                <c:manualLayout>
                  <c:x val="-1.6043307086614292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C96-4D09-826E-18CA31A3BE40}"/>
                </c:ext>
              </c:extLst>
            </c:dLbl>
            <c:dLbl>
              <c:idx val="14"/>
              <c:layout>
                <c:manualLayout>
                  <c:x val="-1.7683727034120734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C96-4D09-826E-18CA31A3BE40}"/>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'!$B$149:$P$149</c:f>
              <c:numCache>
                <c:formatCode>0</c:formatCode>
                <c:ptCount val="15"/>
                <c:pt idx="0">
                  <c:v>149</c:v>
                </c:pt>
                <c:pt idx="1">
                  <c:v>153</c:v>
                </c:pt>
                <c:pt idx="2">
                  <c:v>154</c:v>
                </c:pt>
                <c:pt idx="3">
                  <c:v>141</c:v>
                </c:pt>
                <c:pt idx="4">
                  <c:v>121</c:v>
                </c:pt>
                <c:pt idx="5">
                  <c:v>119</c:v>
                </c:pt>
                <c:pt idx="6">
                  <c:v>113</c:v>
                </c:pt>
                <c:pt idx="7">
                  <c:v>110</c:v>
                </c:pt>
                <c:pt idx="8">
                  <c:v>149</c:v>
                </c:pt>
                <c:pt idx="9">
                  <c:v>157</c:v>
                </c:pt>
                <c:pt idx="10">
                  <c:v>164</c:v>
                </c:pt>
                <c:pt idx="11">
                  <c:v>59</c:v>
                </c:pt>
                <c:pt idx="12">
                  <c:v>4</c:v>
                </c:pt>
                <c:pt idx="13">
                  <c:v>3</c:v>
                </c:pt>
                <c:pt idx="14">
                  <c:v>2</c:v>
                </c:pt>
              </c:numCache>
            </c:numRef>
          </c:val>
          <c:smooth val="0"/>
          <c:extLst>
            <c:ext xmlns:c16="http://schemas.microsoft.com/office/drawing/2014/chart" uri="{C3380CC4-5D6E-409C-BE32-E72D297353CC}">
              <c16:uniqueId val="{0000000F-4C96-4D09-826E-18CA31A3BE40}"/>
            </c:ext>
          </c:extLst>
        </c:ser>
        <c:ser>
          <c:idx val="1"/>
          <c:order val="1"/>
          <c:tx>
            <c:strRef>
              <c:f>'Tribunal '!$A$150</c:f>
              <c:strCache>
                <c:ptCount val="1"/>
                <c:pt idx="0">
                  <c:v>Cantidad de Casos Nuevos pendientes de tramitar</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1423884514435696E-2"/>
                  <c:y val="-2.398081534772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C96-4D09-826E-18CA31A3BE40}"/>
                </c:ext>
              </c:extLst>
            </c:dLbl>
            <c:dLbl>
              <c:idx val="1"/>
              <c:layout>
                <c:manualLayout>
                  <c:x val="-1.6502624671916009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C96-4D09-826E-18CA31A3BE40}"/>
                </c:ext>
              </c:extLst>
            </c:dLbl>
            <c:dLbl>
              <c:idx val="2"/>
              <c:layout>
                <c:manualLayout>
                  <c:x val="-1.9783464566929164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C96-4D09-826E-18CA31A3BE40}"/>
                </c:ext>
              </c:extLst>
            </c:dLbl>
            <c:dLbl>
              <c:idx val="3"/>
              <c:layout>
                <c:manualLayout>
                  <c:x val="-2.1423884514435696E-2"/>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4C96-4D09-826E-18CA31A3BE40}"/>
                </c:ext>
              </c:extLst>
            </c:dLbl>
            <c:dLbl>
              <c:idx val="4"/>
              <c:layout>
                <c:manualLayout>
                  <c:x val="-2.1423884514435755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C96-4D09-826E-18CA31A3BE40}"/>
                </c:ext>
              </c:extLst>
            </c:dLbl>
            <c:dLbl>
              <c:idx val="5"/>
              <c:layout>
                <c:manualLayout>
                  <c:x val="-1.9783464566929133E-2"/>
                  <c:y val="-4.79616306954436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4C96-4D09-826E-18CA31A3BE40}"/>
                </c:ext>
              </c:extLst>
            </c:dLbl>
            <c:dLbl>
              <c:idx val="6"/>
              <c:layout>
                <c:manualLayout>
                  <c:x val="-2.1423884514435696E-2"/>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4C96-4D09-826E-18CA31A3BE40}"/>
                </c:ext>
              </c:extLst>
            </c:dLbl>
            <c:dLbl>
              <c:idx val="7"/>
              <c:layout>
                <c:manualLayout>
                  <c:x val="-2.1423884514435755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4C96-4D09-826E-18CA31A3BE40}"/>
                </c:ext>
              </c:extLst>
            </c:dLbl>
            <c:dLbl>
              <c:idx val="8"/>
              <c:layout>
                <c:manualLayout>
                  <c:x val="-1.9783464566929133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4C96-4D09-826E-18CA31A3BE40}"/>
                </c:ext>
              </c:extLst>
            </c:dLbl>
            <c:dLbl>
              <c:idx val="9"/>
              <c:layout>
                <c:manualLayout>
                  <c:x val="-2.1423884514435696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4C96-4D09-826E-18CA31A3BE40}"/>
                </c:ext>
              </c:extLst>
            </c:dLbl>
            <c:dLbl>
              <c:idx val="10"/>
              <c:layout>
                <c:manualLayout>
                  <c:x val="-2.1423884514435818E-2"/>
                  <c:y val="-3.59712230215828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4C96-4D09-826E-18CA31A3BE40}"/>
                </c:ext>
              </c:extLst>
            </c:dLbl>
            <c:dLbl>
              <c:idx val="11"/>
              <c:layout>
                <c:manualLayout>
                  <c:x val="-2.4704724409448819E-2"/>
                  <c:y val="-3.59712230215828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4C96-4D09-826E-18CA31A3BE40}"/>
                </c:ext>
              </c:extLst>
            </c:dLbl>
            <c:dLbl>
              <c:idx val="12"/>
              <c:layout>
                <c:manualLayout>
                  <c:x val="-1.8143044619422573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4C96-4D09-826E-18CA31A3BE40}"/>
                </c:ext>
              </c:extLst>
            </c:dLbl>
            <c:dLbl>
              <c:idx val="13"/>
              <c:layout>
                <c:manualLayout>
                  <c:x val="-2.1423884514435696E-2"/>
                  <c:y val="-4.79616306954437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4C96-4D09-826E-18CA31A3BE40}"/>
                </c:ext>
              </c:extLst>
            </c:dLbl>
            <c:dLbl>
              <c:idx val="14"/>
              <c:layout>
                <c:manualLayout>
                  <c:x val="-2.3064304461942256E-2"/>
                  <c:y val="-5.19584332533972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4C96-4D09-826E-18CA31A3BE40}"/>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'!$B$150:$P$150</c:f>
              <c:numCache>
                <c:formatCode>0</c:formatCode>
                <c:ptCount val="15"/>
                <c:pt idx="0">
                  <c:v>50</c:v>
                </c:pt>
                <c:pt idx="1">
                  <c:v>34</c:v>
                </c:pt>
                <c:pt idx="2">
                  <c:v>23</c:v>
                </c:pt>
                <c:pt idx="3">
                  <c:v>30</c:v>
                </c:pt>
                <c:pt idx="4">
                  <c:v>35</c:v>
                </c:pt>
                <c:pt idx="5">
                  <c:v>21</c:v>
                </c:pt>
                <c:pt idx="6">
                  <c:v>30</c:v>
                </c:pt>
                <c:pt idx="7">
                  <c:v>18</c:v>
                </c:pt>
                <c:pt idx="8">
                  <c:v>19</c:v>
                </c:pt>
                <c:pt idx="9">
                  <c:v>30</c:v>
                </c:pt>
                <c:pt idx="10">
                  <c:v>30</c:v>
                </c:pt>
                <c:pt idx="11">
                  <c:v>21</c:v>
                </c:pt>
                <c:pt idx="12">
                  <c:v>26</c:v>
                </c:pt>
                <c:pt idx="13">
                  <c:v>28</c:v>
                </c:pt>
                <c:pt idx="14">
                  <c:v>30</c:v>
                </c:pt>
              </c:numCache>
            </c:numRef>
          </c:val>
          <c:smooth val="0"/>
          <c:extLst>
            <c:ext xmlns:c16="http://schemas.microsoft.com/office/drawing/2014/chart" uri="{C3380CC4-5D6E-409C-BE32-E72D297353CC}">
              <c16:uniqueId val="{0000001F-4C96-4D09-826E-18CA31A3BE40}"/>
            </c:ext>
          </c:extLst>
        </c:ser>
        <c:dLbls>
          <c:dLblPos val="ctr"/>
          <c:showLegendKey val="0"/>
          <c:showVal val="1"/>
          <c:showCatName val="0"/>
          <c:showSerName val="0"/>
          <c:showPercent val="0"/>
          <c:showBubbleSize val="0"/>
        </c:dLbls>
        <c:marker val="1"/>
        <c:smooth val="0"/>
        <c:axId val="876646432"/>
        <c:axId val="876651680"/>
      </c:lineChart>
      <c:dateAx>
        <c:axId val="876646432"/>
        <c:scaling>
          <c:orientation val="minMax"/>
        </c:scaling>
        <c:delete val="0"/>
        <c:axPos val="b"/>
        <c:numFmt formatCode="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876651680"/>
        <c:crosses val="autoZero"/>
        <c:auto val="1"/>
        <c:lblOffset val="100"/>
        <c:baseTimeUnit val="months"/>
      </c:dateAx>
      <c:valAx>
        <c:axId val="876651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876646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a:t>Cantidad de Proveído y Sentencias Dictadas </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col"/>
        <c:grouping val="clustered"/>
        <c:varyColors val="0"/>
        <c:ser>
          <c:idx val="0"/>
          <c:order val="0"/>
          <c:tx>
            <c:strRef>
              <c:f>'Tribunal '!$A$152</c:f>
              <c:strCache>
                <c:ptCount val="1"/>
                <c:pt idx="0">
                  <c:v>Cantidad de expedientes pasados a estudio por Técnico o Técnica a las personas juzgadoras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'!$B$152:$P$152</c:f>
              <c:numCache>
                <c:formatCode>0</c:formatCode>
                <c:ptCount val="15"/>
                <c:pt idx="0">
                  <c:v>90</c:v>
                </c:pt>
                <c:pt idx="1">
                  <c:v>90</c:v>
                </c:pt>
                <c:pt idx="2">
                  <c:v>51</c:v>
                </c:pt>
                <c:pt idx="3">
                  <c:v>110</c:v>
                </c:pt>
                <c:pt idx="4">
                  <c:v>96</c:v>
                </c:pt>
                <c:pt idx="5">
                  <c:v>105</c:v>
                </c:pt>
                <c:pt idx="6">
                  <c:v>76</c:v>
                </c:pt>
                <c:pt idx="7">
                  <c:v>104</c:v>
                </c:pt>
                <c:pt idx="8">
                  <c:v>80</c:v>
                </c:pt>
                <c:pt idx="9">
                  <c:v>91</c:v>
                </c:pt>
                <c:pt idx="10">
                  <c:v>73</c:v>
                </c:pt>
                <c:pt idx="11">
                  <c:v>106</c:v>
                </c:pt>
                <c:pt idx="12">
                  <c:v>120</c:v>
                </c:pt>
                <c:pt idx="13">
                  <c:v>92</c:v>
                </c:pt>
                <c:pt idx="14">
                  <c:v>62</c:v>
                </c:pt>
              </c:numCache>
            </c:numRef>
          </c:val>
          <c:extLst>
            <c:ext xmlns:c16="http://schemas.microsoft.com/office/drawing/2014/chart" uri="{C3380CC4-5D6E-409C-BE32-E72D297353CC}">
              <c16:uniqueId val="{00000000-E38F-4058-8D78-852CA4E5F1DD}"/>
            </c:ext>
          </c:extLst>
        </c:ser>
        <c:ser>
          <c:idx val="1"/>
          <c:order val="1"/>
          <c:tx>
            <c:strRef>
              <c:f>'Tribunal '!$A$153</c:f>
              <c:strCache>
                <c:ptCount val="1"/>
                <c:pt idx="0">
                  <c:v>Cantidad de sentencias dictadas por juez o jueza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0"/>
              <c:layout>
                <c:manualLayout>
                  <c:x val="1.643655489809336E-3"/>
                  <c:y val="-3.8138825324180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38F-4058-8D78-852CA4E5F1DD}"/>
                </c:ext>
              </c:extLst>
            </c:dLbl>
            <c:dLbl>
              <c:idx val="1"/>
              <c:layout>
                <c:manualLayout>
                  <c:x val="0"/>
                  <c:y val="-2.28832951945080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38F-4058-8D78-852CA4E5F1DD}"/>
                </c:ext>
              </c:extLst>
            </c:dLbl>
            <c:dLbl>
              <c:idx val="2"/>
              <c:layout>
                <c:manualLayout>
                  <c:x val="0"/>
                  <c:y val="-3.8138825324180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38F-4058-8D78-852CA4E5F1DD}"/>
                </c:ext>
              </c:extLst>
            </c:dLbl>
            <c:dLbl>
              <c:idx val="3"/>
              <c:layout>
                <c:manualLayout>
                  <c:x val="-6.02666717539408E-17"/>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38F-4058-8D78-852CA4E5F1DD}"/>
                </c:ext>
              </c:extLst>
            </c:dLbl>
            <c:dLbl>
              <c:idx val="4"/>
              <c:layout>
                <c:manualLayout>
                  <c:x val="1.643655489809336E-3"/>
                  <c:y val="-4.5766590389016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38F-4058-8D78-852CA4E5F1DD}"/>
                </c:ext>
              </c:extLst>
            </c:dLbl>
            <c:dLbl>
              <c:idx val="5"/>
              <c:layout>
                <c:manualLayout>
                  <c:x val="0"/>
                  <c:y val="-3.8138825324180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38F-4058-8D78-852CA4E5F1DD}"/>
                </c:ext>
              </c:extLst>
            </c:dLbl>
            <c:dLbl>
              <c:idx val="6"/>
              <c:layout>
                <c:manualLayout>
                  <c:x val="-6.02666717539408E-17"/>
                  <c:y val="-3.43249427917620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38F-4058-8D78-852CA4E5F1DD}"/>
                </c:ext>
              </c:extLst>
            </c:dLbl>
            <c:dLbl>
              <c:idx val="7"/>
              <c:layout>
                <c:manualLayout>
                  <c:x val="0"/>
                  <c:y val="-3.4324942791762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38F-4058-8D78-852CA4E5F1DD}"/>
                </c:ext>
              </c:extLst>
            </c:dLbl>
            <c:dLbl>
              <c:idx val="8"/>
              <c:layout>
                <c:manualLayout>
                  <c:x val="0"/>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38F-4058-8D78-852CA4E5F1DD}"/>
                </c:ext>
              </c:extLst>
            </c:dLbl>
            <c:dLbl>
              <c:idx val="9"/>
              <c:layout>
                <c:manualLayout>
                  <c:x val="-1.643655489809336E-3"/>
                  <c:y val="-4.5766590389016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38F-4058-8D78-852CA4E5F1DD}"/>
                </c:ext>
              </c:extLst>
            </c:dLbl>
            <c:dLbl>
              <c:idx val="10"/>
              <c:layout>
                <c:manualLayout>
                  <c:x val="0"/>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38F-4058-8D78-852CA4E5F1DD}"/>
                </c:ext>
              </c:extLst>
            </c:dLbl>
            <c:dLbl>
              <c:idx val="11"/>
              <c:layout>
                <c:manualLayout>
                  <c:x val="-1.643655489809336E-3"/>
                  <c:y val="-2.6697177726926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38F-4058-8D78-852CA4E5F1DD}"/>
                </c:ext>
              </c:extLst>
            </c:dLbl>
            <c:dLbl>
              <c:idx val="12"/>
              <c:layout>
                <c:manualLayout>
                  <c:x val="-1.6436554898094564E-3"/>
                  <c:y val="-4.5766590389016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38F-4058-8D78-852CA4E5F1DD}"/>
                </c:ext>
              </c:extLst>
            </c:dLbl>
            <c:dLbl>
              <c:idx val="13"/>
              <c:layout>
                <c:manualLayout>
                  <c:x val="-1.643655489809336E-3"/>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38F-4058-8D78-852CA4E5F1DD}"/>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'!$B$153:$P$153</c:f>
              <c:numCache>
                <c:formatCode>0</c:formatCode>
                <c:ptCount val="15"/>
                <c:pt idx="0">
                  <c:v>98</c:v>
                </c:pt>
                <c:pt idx="1">
                  <c:v>101</c:v>
                </c:pt>
                <c:pt idx="2">
                  <c:v>69</c:v>
                </c:pt>
                <c:pt idx="3">
                  <c:v>95</c:v>
                </c:pt>
                <c:pt idx="4">
                  <c:v>105</c:v>
                </c:pt>
                <c:pt idx="5">
                  <c:v>102</c:v>
                </c:pt>
                <c:pt idx="6">
                  <c:v>90</c:v>
                </c:pt>
                <c:pt idx="7">
                  <c:v>106</c:v>
                </c:pt>
                <c:pt idx="8">
                  <c:v>104</c:v>
                </c:pt>
                <c:pt idx="9">
                  <c:v>100</c:v>
                </c:pt>
                <c:pt idx="10">
                  <c:v>78</c:v>
                </c:pt>
                <c:pt idx="11">
                  <c:v>73</c:v>
                </c:pt>
                <c:pt idx="12">
                  <c:v>88</c:v>
                </c:pt>
                <c:pt idx="13">
                  <c:v>85</c:v>
                </c:pt>
                <c:pt idx="14">
                  <c:v>69</c:v>
                </c:pt>
              </c:numCache>
            </c:numRef>
          </c:val>
          <c:extLst>
            <c:ext xmlns:c16="http://schemas.microsoft.com/office/drawing/2014/chart" uri="{C3380CC4-5D6E-409C-BE32-E72D297353CC}">
              <c16:uniqueId val="{0000000F-E38F-4058-8D78-852CA4E5F1DD}"/>
            </c:ext>
          </c:extLst>
        </c:ser>
        <c:dLbls>
          <c:showLegendKey val="0"/>
          <c:showVal val="0"/>
          <c:showCatName val="0"/>
          <c:showSerName val="0"/>
          <c:showPercent val="0"/>
          <c:showBubbleSize val="0"/>
        </c:dLbls>
        <c:gapWidth val="100"/>
        <c:overlap val="-24"/>
        <c:axId val="876650368"/>
        <c:axId val="876649712"/>
      </c:barChart>
      <c:dateAx>
        <c:axId val="876650368"/>
        <c:scaling>
          <c:orientation val="minMax"/>
        </c:scaling>
        <c:delete val="0"/>
        <c:axPos val="b"/>
        <c:numFmt formatCode="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876649712"/>
        <c:crosses val="autoZero"/>
        <c:auto val="1"/>
        <c:lblOffset val="100"/>
        <c:baseTimeUnit val="months"/>
      </c:dateAx>
      <c:valAx>
        <c:axId val="876649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87665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691819772528445E-2"/>
          <c:y val="3.4722222222222224E-2"/>
          <c:w val="0.53611111111111109"/>
          <c:h val="0.89351851851851849"/>
        </c:manualLayout>
      </c:layout>
      <c:doughnut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38BB-4202-A256-3CB0F0020C9E}"/>
              </c:ext>
            </c:extLst>
          </c:dPt>
          <c:dPt>
            <c:idx val="1"/>
            <c:bubble3D val="0"/>
            <c:spPr>
              <a:solidFill>
                <a:schemeClr val="tx2">
                  <a:lumMod val="75000"/>
                </a:schemeClr>
              </a:solidFill>
              <a:ln w="19050">
                <a:solidFill>
                  <a:schemeClr val="lt1"/>
                </a:solidFill>
              </a:ln>
              <a:effectLst/>
            </c:spPr>
            <c:extLst>
              <c:ext xmlns:c16="http://schemas.microsoft.com/office/drawing/2014/chart" uri="{C3380CC4-5D6E-409C-BE32-E72D297353CC}">
                <c16:uniqueId val="{00000003-38BB-4202-A256-3CB0F0020C9E}"/>
              </c:ext>
            </c:extLst>
          </c:dPt>
          <c:dPt>
            <c:idx val="2"/>
            <c:bubble3D val="0"/>
            <c:spPr>
              <a:solidFill>
                <a:srgbClr val="008080"/>
              </a:solidFill>
              <a:ln w="19050">
                <a:solidFill>
                  <a:schemeClr val="lt1"/>
                </a:solidFill>
              </a:ln>
              <a:effectLst/>
            </c:spPr>
            <c:extLst>
              <c:ext xmlns:c16="http://schemas.microsoft.com/office/drawing/2014/chart" uri="{C3380CC4-5D6E-409C-BE32-E72D297353CC}">
                <c16:uniqueId val="{00000005-38BB-4202-A256-3CB0F0020C9E}"/>
              </c:ext>
            </c:extLst>
          </c:dPt>
          <c:dLbls>
            <c:dLbl>
              <c:idx val="0"/>
              <c:tx>
                <c:rich>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Arial" panose="020B0604020202020204" pitchFamily="34" charset="0"/>
                        <a:ea typeface="+mn-ea"/>
                        <a:cs typeface="Arial" panose="020B0604020202020204" pitchFamily="34" charset="0"/>
                      </a:defRPr>
                    </a:pPr>
                    <a:r>
                      <a:rPr lang="en-US"/>
                      <a:t>54%</a:t>
                    </a:r>
                  </a:p>
                </c:rich>
              </c:tx>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Arial" panose="020B0604020202020204" pitchFamily="34" charset="0"/>
                      <a:ea typeface="+mn-ea"/>
                      <a:cs typeface="Arial" panose="020B0604020202020204" pitchFamily="34" charset="0"/>
                    </a:defRPr>
                  </a:pPr>
                  <a:endParaRPr lang="es-CR"/>
                </a:p>
              </c:tx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38BB-4202-A256-3CB0F0020C9E}"/>
                </c:ext>
              </c:extLst>
            </c:dLbl>
            <c:dLbl>
              <c:idx val="1"/>
              <c:tx>
                <c:rich>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Arial" panose="020B0604020202020204" pitchFamily="34" charset="0"/>
                        <a:ea typeface="+mn-ea"/>
                        <a:cs typeface="Arial" panose="020B0604020202020204" pitchFamily="34" charset="0"/>
                      </a:defRPr>
                    </a:pPr>
                    <a:r>
                      <a:rPr lang="en-US"/>
                      <a:t>42%</a:t>
                    </a:r>
                  </a:p>
                </c:rich>
              </c:tx>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Arial" panose="020B0604020202020204" pitchFamily="34" charset="0"/>
                      <a:ea typeface="+mn-ea"/>
                      <a:cs typeface="Arial" panose="020B0604020202020204" pitchFamily="34" charset="0"/>
                    </a:defRPr>
                  </a:pPr>
                  <a:endParaRPr lang="es-CR"/>
                </a:p>
              </c:tx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38BB-4202-A256-3CB0F0020C9E}"/>
                </c:ext>
              </c:extLst>
            </c:dLbl>
            <c:dLbl>
              <c:idx val="2"/>
              <c:tx>
                <c:rich>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Arial" panose="020B0604020202020204" pitchFamily="34" charset="0"/>
                        <a:ea typeface="+mn-ea"/>
                        <a:cs typeface="Arial" panose="020B0604020202020204" pitchFamily="34" charset="0"/>
                      </a:defRPr>
                    </a:pPr>
                    <a:r>
                      <a:rPr lang="en-US"/>
                      <a:t>4%</a:t>
                    </a:r>
                  </a:p>
                </c:rich>
              </c:tx>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Arial" panose="020B0604020202020204" pitchFamily="34" charset="0"/>
                      <a:ea typeface="+mn-ea"/>
                      <a:cs typeface="Arial" panose="020B0604020202020204" pitchFamily="34" charset="0"/>
                    </a:defRPr>
                  </a:pPr>
                  <a:endParaRPr lang="es-CR"/>
                </a:p>
              </c:tx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38BB-4202-A256-3CB0F0020C9E}"/>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'1.04.06'!$B$8:$B$10</c:f>
              <c:strCache>
                <c:ptCount val="3"/>
                <c:pt idx="0">
                  <c:v>Servicios de vigilancia</c:v>
                </c:pt>
                <c:pt idx="1">
                  <c:v>Servicio limpieza</c:v>
                </c:pt>
                <c:pt idx="2">
                  <c:v>Otros</c:v>
                </c:pt>
              </c:strCache>
            </c:strRef>
          </c:cat>
          <c:val>
            <c:numRef>
              <c:f>'1.04.06'!$G$8:$G$10</c:f>
              <c:numCache>
                <c:formatCode>#,##0_ ;\-#,##0\ </c:formatCode>
                <c:ptCount val="3"/>
                <c:pt idx="0">
                  <c:v>4261830567</c:v>
                </c:pt>
                <c:pt idx="1">
                  <c:v>2789629260</c:v>
                </c:pt>
                <c:pt idx="2">
                  <c:v>360378718</c:v>
                </c:pt>
              </c:numCache>
            </c:numRef>
          </c:val>
          <c:extLst>
            <c:ext xmlns:c16="http://schemas.microsoft.com/office/drawing/2014/chart" uri="{C3380CC4-5D6E-409C-BE32-E72D297353CC}">
              <c16:uniqueId val="{00000006-38BB-4202-A256-3CB0F0020C9E}"/>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6480811061783673"/>
          <c:y val="0.39690543890347046"/>
          <c:w val="0.29965069390558813"/>
          <c:h val="0.206188757655293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85000"/>
        </a:schemeClr>
      </a:solidFill>
      <a:round/>
    </a:ln>
    <a:effectLst/>
  </c:spPr>
  <c:txPr>
    <a:bodyPr/>
    <a:lstStyle/>
    <a:p>
      <a:pPr>
        <a:defRPr/>
      </a:pPr>
      <a:endParaRPr lang="es-CR"/>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Resumen!$P$3</c:f>
              <c:strCache>
                <c:ptCount val="1"/>
                <c:pt idx="0">
                  <c:v>Entrados</c:v>
                </c:pt>
              </c:strCache>
            </c:strRef>
          </c:tx>
          <c:spPr>
            <a:solidFill>
              <a:schemeClr val="accent5">
                <a:lumMod val="60000"/>
                <a:lumOff val="40000"/>
              </a:schemeClr>
            </a:solidFill>
            <a:ln>
              <a:noFill/>
            </a:ln>
            <a:effectLst/>
          </c:spPr>
          <c:invertIfNegative val="0"/>
          <c:cat>
            <c:multiLvlStrRef>
              <c:f>Resumen!$N$4:$O$11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2017</c:v>
                  </c:pt>
                  <c:pt idx="2">
                    <c:v>2018</c:v>
                  </c:pt>
                  <c:pt idx="4">
                    <c:v>2019</c:v>
                  </c:pt>
                  <c:pt idx="6">
                    <c:v>2020</c:v>
                  </c:pt>
                </c:lvl>
              </c:multiLvlStrCache>
            </c:multiLvlStrRef>
          </c:cat>
          <c:val>
            <c:numRef>
              <c:f>Resumen!$P$4:$P$11</c:f>
              <c:numCache>
                <c:formatCode>General</c:formatCode>
                <c:ptCount val="8"/>
                <c:pt idx="0">
                  <c:v>2148</c:v>
                </c:pt>
                <c:pt idx="2">
                  <c:v>2411</c:v>
                </c:pt>
                <c:pt idx="4">
                  <c:v>2729</c:v>
                </c:pt>
                <c:pt idx="6">
                  <c:v>2428</c:v>
                </c:pt>
              </c:numCache>
            </c:numRef>
          </c:val>
          <c:extLst>
            <c:ext xmlns:c16="http://schemas.microsoft.com/office/drawing/2014/chart" uri="{C3380CC4-5D6E-409C-BE32-E72D297353CC}">
              <c16:uniqueId val="{00000000-F8C1-48A9-90A8-A1AB4E59E9AD}"/>
            </c:ext>
          </c:extLst>
        </c:ser>
        <c:ser>
          <c:idx val="1"/>
          <c:order val="1"/>
          <c:tx>
            <c:strRef>
              <c:f>Resumen!$Q$3</c:f>
              <c:strCache>
                <c:ptCount val="1"/>
                <c:pt idx="0">
                  <c:v>Reentrados</c:v>
                </c:pt>
              </c:strCache>
            </c:strRef>
          </c:tx>
          <c:spPr>
            <a:solidFill>
              <a:schemeClr val="accent2">
                <a:lumMod val="60000"/>
                <a:lumOff val="40000"/>
              </a:schemeClr>
            </a:solidFill>
            <a:ln>
              <a:noFill/>
            </a:ln>
            <a:effectLst/>
          </c:spPr>
          <c:invertIfNegative val="0"/>
          <c:cat>
            <c:multiLvlStrRef>
              <c:f>Resumen!$N$4:$O$11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2017</c:v>
                  </c:pt>
                  <c:pt idx="2">
                    <c:v>2018</c:v>
                  </c:pt>
                  <c:pt idx="4">
                    <c:v>2019</c:v>
                  </c:pt>
                  <c:pt idx="6">
                    <c:v>2020</c:v>
                  </c:pt>
                </c:lvl>
              </c:multiLvlStrCache>
            </c:multiLvlStrRef>
          </c:cat>
          <c:val>
            <c:numRef>
              <c:f>Resumen!$Q$4:$Q$11</c:f>
              <c:numCache>
                <c:formatCode>General</c:formatCode>
                <c:ptCount val="8"/>
                <c:pt idx="0">
                  <c:v>54</c:v>
                </c:pt>
                <c:pt idx="2">
                  <c:v>49</c:v>
                </c:pt>
                <c:pt idx="4">
                  <c:v>100</c:v>
                </c:pt>
                <c:pt idx="6">
                  <c:v>70</c:v>
                </c:pt>
              </c:numCache>
            </c:numRef>
          </c:val>
          <c:extLst>
            <c:ext xmlns:c16="http://schemas.microsoft.com/office/drawing/2014/chart" uri="{C3380CC4-5D6E-409C-BE32-E72D297353CC}">
              <c16:uniqueId val="{00000001-F8C1-48A9-90A8-A1AB4E59E9AD}"/>
            </c:ext>
          </c:extLst>
        </c:ser>
        <c:ser>
          <c:idx val="2"/>
          <c:order val="2"/>
          <c:tx>
            <c:strRef>
              <c:f>Resumen!$R$3</c:f>
              <c:strCache>
                <c:ptCount val="1"/>
                <c:pt idx="0">
                  <c:v>Terminados</c:v>
                </c:pt>
              </c:strCache>
            </c:strRef>
          </c:tx>
          <c:spPr>
            <a:solidFill>
              <a:schemeClr val="accent6">
                <a:lumMod val="60000"/>
                <a:lumOff val="40000"/>
              </a:schemeClr>
            </a:solidFill>
            <a:ln>
              <a:noFill/>
            </a:ln>
            <a:effectLst/>
          </c:spPr>
          <c:invertIfNegative val="0"/>
          <c:cat>
            <c:multiLvlStrRef>
              <c:f>Resumen!$N$4:$O$11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2017</c:v>
                  </c:pt>
                  <c:pt idx="2">
                    <c:v>2018</c:v>
                  </c:pt>
                  <c:pt idx="4">
                    <c:v>2019</c:v>
                  </c:pt>
                  <c:pt idx="6">
                    <c:v>2020</c:v>
                  </c:pt>
                </c:lvl>
              </c:multiLvlStrCache>
            </c:multiLvlStrRef>
          </c:cat>
          <c:val>
            <c:numRef>
              <c:f>Resumen!$R$4:$R$11</c:f>
              <c:numCache>
                <c:formatCode>General</c:formatCode>
                <c:ptCount val="8"/>
                <c:pt idx="1">
                  <c:v>2066</c:v>
                </c:pt>
                <c:pt idx="3">
                  <c:v>2318</c:v>
                </c:pt>
                <c:pt idx="5">
                  <c:v>2985</c:v>
                </c:pt>
                <c:pt idx="7">
                  <c:v>2287</c:v>
                </c:pt>
              </c:numCache>
            </c:numRef>
          </c:val>
          <c:extLst>
            <c:ext xmlns:c16="http://schemas.microsoft.com/office/drawing/2014/chart" uri="{C3380CC4-5D6E-409C-BE32-E72D297353CC}">
              <c16:uniqueId val="{00000002-F8C1-48A9-90A8-A1AB4E59E9AD}"/>
            </c:ext>
          </c:extLst>
        </c:ser>
        <c:dLbls>
          <c:showLegendKey val="0"/>
          <c:showVal val="0"/>
          <c:showCatName val="0"/>
          <c:showSerName val="0"/>
          <c:showPercent val="0"/>
          <c:showBubbleSize val="0"/>
        </c:dLbls>
        <c:gapWidth val="150"/>
        <c:overlap val="100"/>
        <c:axId val="506028744"/>
        <c:axId val="506028088"/>
      </c:barChart>
      <c:catAx>
        <c:axId val="506028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06028088"/>
        <c:crosses val="autoZero"/>
        <c:auto val="1"/>
        <c:lblAlgn val="ctr"/>
        <c:lblOffset val="100"/>
        <c:noMultiLvlLbl val="0"/>
      </c:catAx>
      <c:valAx>
        <c:axId val="506028088"/>
        <c:scaling>
          <c:orientation val="minMax"/>
          <c:max val="3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06028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30949256342957"/>
          <c:y val="0.15046296296296297"/>
          <c:w val="0.46388888888888891"/>
          <c:h val="0.77314814814814814"/>
        </c:manualLayout>
      </c:layout>
      <c:pieChart>
        <c:varyColors val="1"/>
        <c:ser>
          <c:idx val="0"/>
          <c:order val="0"/>
          <c:dPt>
            <c:idx val="0"/>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1-2CFC-454B-AB8A-3F09ADF4B7FF}"/>
              </c:ext>
            </c:extLst>
          </c:dPt>
          <c:dPt>
            <c:idx val="1"/>
            <c:bubble3D val="0"/>
            <c:spPr>
              <a:solidFill>
                <a:srgbClr val="FF6600"/>
              </a:solidFill>
              <a:ln w="19050">
                <a:solidFill>
                  <a:schemeClr val="lt1"/>
                </a:solidFill>
              </a:ln>
              <a:effectLst/>
            </c:spPr>
            <c:extLst>
              <c:ext xmlns:c16="http://schemas.microsoft.com/office/drawing/2014/chart" uri="{C3380CC4-5D6E-409C-BE32-E72D297353CC}">
                <c16:uniqueId val="{00000003-2CFC-454B-AB8A-3F09ADF4B7FF}"/>
              </c:ext>
            </c:extLst>
          </c:dPt>
          <c:dPt>
            <c:idx val="2"/>
            <c:bubble3D val="0"/>
            <c:spPr>
              <a:solidFill>
                <a:srgbClr val="FF66CC"/>
              </a:solidFill>
              <a:ln w="19050">
                <a:solidFill>
                  <a:schemeClr val="lt1"/>
                </a:solidFill>
              </a:ln>
              <a:effectLst/>
            </c:spPr>
            <c:extLst>
              <c:ext xmlns:c16="http://schemas.microsoft.com/office/drawing/2014/chart" uri="{C3380CC4-5D6E-409C-BE32-E72D297353CC}">
                <c16:uniqueId val="{00000005-2CFC-454B-AB8A-3F09ADF4B7FF}"/>
              </c:ext>
            </c:extLst>
          </c:dPt>
          <c:dPt>
            <c:idx val="3"/>
            <c:bubble3D val="0"/>
            <c:spPr>
              <a:solidFill>
                <a:srgbClr val="008080"/>
              </a:solidFill>
              <a:ln w="19050">
                <a:solidFill>
                  <a:schemeClr val="lt1"/>
                </a:solidFill>
              </a:ln>
              <a:effectLst/>
            </c:spPr>
            <c:extLst>
              <c:ext xmlns:c16="http://schemas.microsoft.com/office/drawing/2014/chart" uri="{C3380CC4-5D6E-409C-BE32-E72D297353CC}">
                <c16:uniqueId val="{00000007-2CFC-454B-AB8A-3F09ADF4B7FF}"/>
              </c:ext>
            </c:extLst>
          </c:dPt>
          <c:dPt>
            <c:idx val="4"/>
            <c:bubble3D val="0"/>
            <c:spPr>
              <a:solidFill>
                <a:srgbClr val="00B0F0"/>
              </a:solidFill>
              <a:ln w="19050">
                <a:solidFill>
                  <a:schemeClr val="lt1"/>
                </a:solidFill>
              </a:ln>
              <a:effectLst/>
            </c:spPr>
            <c:extLst>
              <c:ext xmlns:c16="http://schemas.microsoft.com/office/drawing/2014/chart" uri="{C3380CC4-5D6E-409C-BE32-E72D297353CC}">
                <c16:uniqueId val="{00000009-2CFC-454B-AB8A-3F09ADF4B7F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CFC-454B-AB8A-3F09ADF4B7FF}"/>
              </c:ext>
            </c:extLst>
          </c:dPt>
          <c:dLbls>
            <c:dLbl>
              <c:idx val="0"/>
              <c:layout>
                <c:manualLayout>
                  <c:x val="-0.15564807524059493"/>
                  <c:y val="-5.9268008165645959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mn-lt"/>
                      <a:ea typeface="+mn-ea"/>
                      <a:cs typeface="+mn-cs"/>
                    </a:defRPr>
                  </a:pPr>
                  <a:endParaRPr lang="es-CR"/>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CFC-454B-AB8A-3F09ADF4B7FF}"/>
                </c:ext>
              </c:extLst>
            </c:dLbl>
            <c:dLbl>
              <c:idx val="1"/>
              <c:layout>
                <c:manualLayout>
                  <c:x val="0.11719181977252843"/>
                  <c:y val="-8.6418416447944013E-2"/>
                </c:manualLayout>
              </c:layout>
              <c:tx>
                <c:rich>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r>
                      <a:rPr lang="en-US"/>
                      <a:t>17%</a:t>
                    </a:r>
                  </a:p>
                </c:rich>
              </c:tx>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CR"/>
                </a:p>
              </c:tx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2CFC-454B-AB8A-3F09ADF4B7FF}"/>
                </c:ext>
              </c:extLst>
            </c:dLbl>
            <c:dLbl>
              <c:idx val="2"/>
              <c:layout>
                <c:manualLayout>
                  <c:x val="0.10013232720909886"/>
                  <c:y val="8.8284849810440366E-2"/>
                </c:manualLayout>
              </c:layout>
              <c:tx>
                <c:rich>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r>
                      <a:rPr lang="en-US"/>
                      <a:t>13%</a:t>
                    </a:r>
                  </a:p>
                </c:rich>
              </c:tx>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CR"/>
                </a:p>
              </c:tx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2CFC-454B-AB8A-3F09ADF4B7FF}"/>
                </c:ext>
              </c:extLst>
            </c:dLbl>
            <c:dLbl>
              <c:idx val="3"/>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CR"/>
                </a:p>
              </c:txPr>
              <c:showLegendKey val="0"/>
              <c:showVal val="0"/>
              <c:showCatName val="0"/>
              <c:showSerName val="0"/>
              <c:showPercent val="1"/>
              <c:showBubbleSize val="0"/>
              <c:extLst>
                <c:ext xmlns:c16="http://schemas.microsoft.com/office/drawing/2014/chart" uri="{C3380CC4-5D6E-409C-BE32-E72D297353CC}">
                  <c16:uniqueId val="{00000007-2CFC-454B-AB8A-3F09ADF4B7FF}"/>
                </c:ext>
              </c:extLst>
            </c:dLbl>
            <c:dLbl>
              <c:idx val="4"/>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CR"/>
                </a:p>
              </c:txPr>
              <c:showLegendKey val="0"/>
              <c:showVal val="0"/>
              <c:showCatName val="0"/>
              <c:showSerName val="0"/>
              <c:showPercent val="1"/>
              <c:showBubbleSize val="0"/>
              <c:extLst>
                <c:ext xmlns:c16="http://schemas.microsoft.com/office/drawing/2014/chart" uri="{C3380CC4-5D6E-409C-BE32-E72D297353CC}">
                  <c16:uniqueId val="{00000009-2CFC-454B-AB8A-3F09ADF4B7FF}"/>
                </c:ext>
              </c:extLst>
            </c:dLbl>
            <c:dLbl>
              <c:idx val="5"/>
              <c:tx>
                <c:rich>
                  <a:bodyPr/>
                  <a:lstStyle/>
                  <a:p>
                    <a:r>
                      <a:rPr lang="en-US"/>
                      <a:t>1%</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B-2CFC-454B-AB8A-3F09ADF4B7FF}"/>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'1.04.06'!$B$40:$B$45</c:f>
              <c:strCache>
                <c:ptCount val="6"/>
                <c:pt idx="0">
                  <c:v>Direc, Adm y Otros Órganos de Apoyo</c:v>
                </c:pt>
                <c:pt idx="1">
                  <c:v>Servicio Jurisdiccional</c:v>
                </c:pt>
                <c:pt idx="2">
                  <c:v>Organismo de Investigación Judicial</c:v>
                </c:pt>
                <c:pt idx="3">
                  <c:v>Ministerio Público</c:v>
                </c:pt>
                <c:pt idx="4">
                  <c:v>Defensa Pública</c:v>
                </c:pt>
                <c:pt idx="5">
                  <c:v>Serv. Atención-Protección Víctimas y Testigos</c:v>
                </c:pt>
              </c:strCache>
            </c:strRef>
          </c:cat>
          <c:val>
            <c:numRef>
              <c:f>'1.04.06'!$D$40:$D$45</c:f>
              <c:numCache>
                <c:formatCode>#,##0_ ;\-#,##0\ </c:formatCode>
                <c:ptCount val="6"/>
                <c:pt idx="0">
                  <c:v>2491455333</c:v>
                </c:pt>
                <c:pt idx="1">
                  <c:v>795775178</c:v>
                </c:pt>
                <c:pt idx="2">
                  <c:v>488035241</c:v>
                </c:pt>
                <c:pt idx="3">
                  <c:v>180674553</c:v>
                </c:pt>
                <c:pt idx="4">
                  <c:v>216634541</c:v>
                </c:pt>
                <c:pt idx="5">
                  <c:v>89255721</c:v>
                </c:pt>
              </c:numCache>
            </c:numRef>
          </c:val>
          <c:extLst>
            <c:ext xmlns:c16="http://schemas.microsoft.com/office/drawing/2014/chart" uri="{C3380CC4-5D6E-409C-BE32-E72D297353CC}">
              <c16:uniqueId val="{0000000C-2CFC-454B-AB8A-3F09ADF4B7FF}"/>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4938363954505685"/>
          <c:y val="0.17918088363954507"/>
          <c:w val="0.31450524934383201"/>
          <c:h val="0.6837215660542432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008080"/>
              </a:solidFill>
              <a:ln w="19050">
                <a:solidFill>
                  <a:schemeClr val="lt1"/>
                </a:solidFill>
              </a:ln>
              <a:effectLst/>
            </c:spPr>
            <c:extLst>
              <c:ext xmlns:c16="http://schemas.microsoft.com/office/drawing/2014/chart" uri="{C3380CC4-5D6E-409C-BE32-E72D297353CC}">
                <c16:uniqueId val="{00000001-CF4E-435A-8213-8E783E7A2EC0}"/>
              </c:ext>
            </c:extLst>
          </c:dPt>
          <c:dPt>
            <c:idx val="1"/>
            <c:bubble3D val="0"/>
            <c:spPr>
              <a:solidFill>
                <a:srgbClr val="FF6699"/>
              </a:solidFill>
              <a:ln w="19050">
                <a:solidFill>
                  <a:schemeClr val="lt1"/>
                </a:solidFill>
              </a:ln>
              <a:effectLst/>
            </c:spPr>
            <c:extLst>
              <c:ext xmlns:c16="http://schemas.microsoft.com/office/drawing/2014/chart" uri="{C3380CC4-5D6E-409C-BE32-E72D297353CC}">
                <c16:uniqueId val="{00000003-CF4E-435A-8213-8E783E7A2EC0}"/>
              </c:ext>
            </c:extLst>
          </c:dPt>
          <c:dPt>
            <c:idx val="2"/>
            <c:bubble3D val="0"/>
            <c:spPr>
              <a:solidFill>
                <a:srgbClr val="0070C0"/>
              </a:solidFill>
              <a:ln w="19050">
                <a:solidFill>
                  <a:schemeClr val="lt1"/>
                </a:solidFill>
              </a:ln>
              <a:effectLst/>
            </c:spPr>
            <c:extLst>
              <c:ext xmlns:c16="http://schemas.microsoft.com/office/drawing/2014/chart" uri="{C3380CC4-5D6E-409C-BE32-E72D297353CC}">
                <c16:uniqueId val="{00000005-CF4E-435A-8213-8E783E7A2EC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F4E-435A-8213-8E783E7A2EC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F4E-435A-8213-8E783E7A2EC0}"/>
              </c:ext>
            </c:extLst>
          </c:dPt>
          <c:dPt>
            <c:idx val="5"/>
            <c:bubble3D val="0"/>
            <c:spPr>
              <a:solidFill>
                <a:schemeClr val="accent2"/>
              </a:solidFill>
              <a:ln w="19050">
                <a:solidFill>
                  <a:schemeClr val="lt1"/>
                </a:solidFill>
              </a:ln>
              <a:effectLst/>
            </c:spPr>
            <c:extLst>
              <c:ext xmlns:c16="http://schemas.microsoft.com/office/drawing/2014/chart" uri="{C3380CC4-5D6E-409C-BE32-E72D297353CC}">
                <c16:uniqueId val="{0000000B-CF4E-435A-8213-8E783E7A2EC0}"/>
              </c:ext>
            </c:extLst>
          </c:dPt>
          <c:dLbls>
            <c:dLbl>
              <c:idx val="0"/>
              <c:layout>
                <c:manualLayout>
                  <c:x val="-0.1408986220472441"/>
                  <c:y val="-0.13936280482260732"/>
                </c:manualLayout>
              </c:layout>
              <c:tx>
                <c:rich>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mn-lt"/>
                        <a:ea typeface="+mn-ea"/>
                        <a:cs typeface="+mn-cs"/>
                      </a:defRPr>
                    </a:pPr>
                    <a:r>
                      <a:rPr lang="en-US"/>
                      <a:t>70%</a:t>
                    </a:r>
                  </a:p>
                </c:rich>
              </c:tx>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mn-lt"/>
                      <a:ea typeface="+mn-ea"/>
                      <a:cs typeface="+mn-cs"/>
                    </a:defRPr>
                  </a:pPr>
                  <a:endParaRPr lang="es-CR"/>
                </a:p>
              </c:tx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CF4E-435A-8213-8E783E7A2EC0}"/>
                </c:ext>
              </c:extLst>
            </c:dLbl>
            <c:dLbl>
              <c:idx val="1"/>
              <c:layout>
                <c:manualLayout>
                  <c:x val="0.14029779090113736"/>
                  <c:y val="3.7400665563455837E-2"/>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r>
                      <a:rPr lang="en-US"/>
                      <a:t>15%</a:t>
                    </a:r>
                  </a:p>
                </c:rich>
              </c:tx>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s-CR"/>
                </a:p>
              </c:tx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CF4E-435A-8213-8E783E7A2EC0}"/>
                </c:ext>
              </c:extLst>
            </c:dLbl>
            <c:dLbl>
              <c:idx val="2"/>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s-CR"/>
                </a:p>
              </c:txPr>
              <c:showLegendKey val="0"/>
              <c:showVal val="0"/>
              <c:showCatName val="0"/>
              <c:showSerName val="0"/>
              <c:showPercent val="1"/>
              <c:showBubbleSize val="0"/>
              <c:extLst>
                <c:ext xmlns:c16="http://schemas.microsoft.com/office/drawing/2014/chart" uri="{C3380CC4-5D6E-409C-BE32-E72D297353CC}">
                  <c16:uniqueId val="{00000005-CF4E-435A-8213-8E783E7A2EC0}"/>
                </c:ext>
              </c:extLst>
            </c:dLbl>
            <c:dLbl>
              <c:idx val="4"/>
              <c:tx>
                <c:rich>
                  <a:bodyPr/>
                  <a:lstStyle/>
                  <a:p>
                    <a:r>
                      <a:rPr lang="en-US"/>
                      <a:t>5%</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CF4E-435A-8213-8E783E7A2EC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'1.04.06'!$B$156:$B$161</c:f>
              <c:strCache>
                <c:ptCount val="6"/>
                <c:pt idx="0">
                  <c:v>Direc, Adm y Otros Órganos de Apoyo</c:v>
                </c:pt>
                <c:pt idx="1">
                  <c:v>Servicio Jurisdiccional</c:v>
                </c:pt>
                <c:pt idx="2">
                  <c:v>Organismo de Investigación Judicial</c:v>
                </c:pt>
                <c:pt idx="3">
                  <c:v>Ministerio Público</c:v>
                </c:pt>
                <c:pt idx="4">
                  <c:v>Defensa Pública</c:v>
                </c:pt>
                <c:pt idx="5">
                  <c:v>Serv. Atenc. Protec. Víctimas-Testigos</c:v>
                </c:pt>
              </c:strCache>
            </c:strRef>
          </c:cat>
          <c:val>
            <c:numRef>
              <c:f>'1.04.06'!$D$156:$D$161</c:f>
              <c:numCache>
                <c:formatCode>#,##0_ ;\-#,##0\ </c:formatCode>
                <c:ptCount val="6"/>
                <c:pt idx="0">
                  <c:v>1863506852</c:v>
                </c:pt>
                <c:pt idx="1">
                  <c:v>515540948</c:v>
                </c:pt>
                <c:pt idx="2">
                  <c:v>134312924</c:v>
                </c:pt>
                <c:pt idx="3">
                  <c:v>83109311</c:v>
                </c:pt>
                <c:pt idx="4">
                  <c:v>160689813</c:v>
                </c:pt>
                <c:pt idx="5">
                  <c:v>32469412</c:v>
                </c:pt>
              </c:numCache>
            </c:numRef>
          </c:val>
          <c:extLst>
            <c:ext xmlns:c16="http://schemas.microsoft.com/office/drawing/2014/chart" uri="{C3380CC4-5D6E-409C-BE32-E72D297353CC}">
              <c16:uniqueId val="{0000000C-CF4E-435A-8213-8E783E7A2EC0}"/>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2473053368328957"/>
          <c:y val="0.20572506561679793"/>
          <c:w val="0.35860279965004371"/>
          <c:h val="0.593521485333963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R" sz="1400"/>
              <a:t>Distribución de recursos por Programa</a:t>
            </a:r>
            <a:r>
              <a:rPr lang="es-CR" sz="1400" baseline="0"/>
              <a:t> </a:t>
            </a:r>
            <a:r>
              <a:rPr lang="es-CR" sz="1400"/>
              <a:t>Subpartida 10499 Servivios de Gestión y Apoyo</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R"/>
        </a:p>
      </c:txPr>
    </c:title>
    <c:autoTitleDeleted val="0"/>
    <c:plotArea>
      <c:layout>
        <c:manualLayout>
          <c:layoutTarget val="inner"/>
          <c:xMode val="edge"/>
          <c:yMode val="edge"/>
          <c:x val="3.5774068799910651E-2"/>
          <c:y val="0.22414042305193391"/>
          <c:w val="0.558289181604959"/>
          <c:h val="0.74339684286549501"/>
        </c:manualLayout>
      </c:layout>
      <c:pieChart>
        <c:varyColors val="1"/>
        <c:ser>
          <c:idx val="1"/>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027-4F99-9EE9-113BBA643FC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027-4F99-9EE9-113BBA643FC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027-4F99-9EE9-113BBA643FC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027-4F99-9EE9-113BBA643FC9}"/>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9027-4F99-9EE9-113BBA643FC9}"/>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9027-4F99-9EE9-113BBA643FC9}"/>
              </c:ext>
            </c:extLst>
          </c:dPt>
          <c:dLbls>
            <c:dLbl>
              <c:idx val="0"/>
              <c:tx>
                <c:rich>
                  <a:bodyPr/>
                  <a:lstStyle/>
                  <a:p>
                    <a:fld id="{07E2E6B7-488D-4382-AB24-94B774E8B627}" type="VALUE">
                      <a:rPr lang="en-US"/>
                      <a:pPr/>
                      <a:t>[VALOR]</a:t>
                    </a:fld>
                    <a:endParaRPr lang="es-C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027-4F99-9EE9-113BBA643FC9}"/>
                </c:ext>
              </c:extLst>
            </c:dLbl>
            <c:dLbl>
              <c:idx val="1"/>
              <c:tx>
                <c:rich>
                  <a:bodyPr/>
                  <a:lstStyle/>
                  <a:p>
                    <a:fld id="{D2D6C781-7645-4A9C-8A63-634BA1169BD8}" type="PERCENTAGE">
                      <a:rPr lang="en-US" baseline="0"/>
                      <a:pPr/>
                      <a:t>[PORCENTAJE]</a:t>
                    </a:fld>
                    <a:endParaRPr lang="es-C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027-4F99-9EE9-113BBA643FC9}"/>
                </c:ext>
              </c:extLst>
            </c:dLbl>
            <c:dLbl>
              <c:idx val="2"/>
              <c:tx>
                <c:rich>
                  <a:bodyPr/>
                  <a:lstStyle/>
                  <a:p>
                    <a:fld id="{5D1F5A5A-447B-451F-8A95-832F31FD77DB}" type="PERCENTAGE">
                      <a:rPr lang="en-US" baseline="0"/>
                      <a:pPr/>
                      <a:t>[PORCENTAJE]</a:t>
                    </a:fld>
                    <a:endParaRPr lang="es-C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027-4F99-9EE9-113BBA643FC9}"/>
                </c:ext>
              </c:extLst>
            </c:dLbl>
            <c:dLbl>
              <c:idx val="3"/>
              <c:layout>
                <c:manualLayout>
                  <c:x val="0.12847062252191879"/>
                  <c:y val="0.12229027958384489"/>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11C4004A-8B7C-48E4-A332-25891EC0E60D}" type="PERCENTAGE">
                      <a:rPr lang="en-US" baseline="0"/>
                      <a:pPr>
                        <a:defRPr/>
                      </a:pPr>
                      <a:t>[PORCENTAJE]</a:t>
                    </a:fld>
                    <a:endParaRPr lang="es-CR"/>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CR"/>
                </a:p>
              </c:txPr>
              <c:dLblPos val="bestFit"/>
              <c:showLegendKey val="0"/>
              <c:showVal val="1"/>
              <c:showCatName val="0"/>
              <c:showSerName val="0"/>
              <c:showPercent val="1"/>
              <c:showBubbleSize val="0"/>
              <c:extLst>
                <c:ext xmlns:c15="http://schemas.microsoft.com/office/drawing/2012/chart" uri="{CE6537A1-D6FC-4f65-9D91-7224C49458BB}">
                  <c15:layout>
                    <c:manualLayout>
                      <c:w val="9.9091486569497941E-2"/>
                      <c:h val="4.4700046196073977E-2"/>
                    </c:manualLayout>
                  </c15:layout>
                  <c15:dlblFieldTable/>
                  <c15:showDataLabelsRange val="0"/>
                </c:ext>
                <c:ext xmlns:c16="http://schemas.microsoft.com/office/drawing/2014/chart" uri="{C3380CC4-5D6E-409C-BE32-E72D297353CC}">
                  <c16:uniqueId val="{00000007-9027-4F99-9EE9-113BBA643FC9}"/>
                </c:ext>
              </c:extLst>
            </c:dLbl>
            <c:dLbl>
              <c:idx val="4"/>
              <c:layout>
                <c:manualLayout>
                  <c:x val="-3.5270472440944931E-2"/>
                  <c:y val="5.8097228156376562E-3"/>
                </c:manualLayout>
              </c:layout>
              <c:tx>
                <c:rich>
                  <a:bodyPr/>
                  <a:lstStyle/>
                  <a:p>
                    <a:fld id="{6176CCA9-22DB-4D4C-9309-4C6D3EFDA01B}" type="PERCENTAGE">
                      <a:rPr lang="en-US" baseline="0"/>
                      <a:pPr/>
                      <a:t>[PORCENTAJE]</a:t>
                    </a:fld>
                    <a:endParaRPr lang="es-CR"/>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9027-4F99-9EE9-113BBA643FC9}"/>
                </c:ext>
              </c:extLst>
            </c:dLbl>
            <c:dLbl>
              <c:idx val="5"/>
              <c:layout>
                <c:manualLayout>
                  <c:x val="2.9788582677165356E-2"/>
                  <c:y val="1.8791533783989962E-2"/>
                </c:manualLayout>
              </c:layout>
              <c:tx>
                <c:rich>
                  <a:bodyPr/>
                  <a:lstStyle/>
                  <a:p>
                    <a:fld id="{45A11BB2-4F31-4BA2-A32B-43A0448104D8}" type="PERCENTAGE">
                      <a:rPr lang="en-US" baseline="0"/>
                      <a:pPr/>
                      <a:t>[PORCENTAJE]</a:t>
                    </a:fld>
                    <a:endParaRPr lang="es-CR"/>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9027-4F99-9EE9-113BBA643FC9}"/>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Hoja2!$B$6:$B$11</c:f>
              <c:strCache>
                <c:ptCount val="6"/>
                <c:pt idx="0">
                  <c:v>Dirección, Administración y Otros Órganos de Apoyo</c:v>
                </c:pt>
                <c:pt idx="1">
                  <c:v>Servicio Jurisdiccional</c:v>
                </c:pt>
                <c:pt idx="2">
                  <c:v>Organismo de Investigación Judicial</c:v>
                </c:pt>
                <c:pt idx="3">
                  <c:v>Ministerio Público</c:v>
                </c:pt>
                <c:pt idx="4">
                  <c:v>Defensa Pública</c:v>
                </c:pt>
                <c:pt idx="5">
                  <c:v>Servicio de Atención y Protección de Víctimas y Testigos</c:v>
                </c:pt>
              </c:strCache>
            </c:strRef>
          </c:cat>
          <c:val>
            <c:numRef>
              <c:f>Hoja2!$D$6:$D$11</c:f>
              <c:numCache>
                <c:formatCode>0%</c:formatCode>
                <c:ptCount val="6"/>
                <c:pt idx="0">
                  <c:v>0.34923874120225662</c:v>
                </c:pt>
                <c:pt idx="1">
                  <c:v>0.27691376098085302</c:v>
                </c:pt>
                <c:pt idx="2">
                  <c:v>0.10386093062922273</c:v>
                </c:pt>
                <c:pt idx="3">
                  <c:v>0.24861727832014288</c:v>
                </c:pt>
                <c:pt idx="4">
                  <c:v>1.2578516315225009E-2</c:v>
                </c:pt>
                <c:pt idx="5">
                  <c:v>8.787618221820814E-3</c:v>
                </c:pt>
              </c:numCache>
            </c:numRef>
          </c:val>
          <c:extLst>
            <c:ext xmlns:c16="http://schemas.microsoft.com/office/drawing/2014/chart" uri="{C3380CC4-5D6E-409C-BE32-E72D297353CC}">
              <c16:uniqueId val="{0000000C-9027-4F99-9EE9-113BBA643FC9}"/>
            </c:ext>
          </c:extLst>
        </c:ser>
        <c:dLbls>
          <c:dLblPos val="ctr"/>
          <c:showLegendKey val="0"/>
          <c:showVal val="1"/>
          <c:showCatName val="0"/>
          <c:showSerName val="0"/>
          <c:showPercent val="0"/>
          <c:showBubbleSize val="0"/>
          <c:showLeaderLines val="1"/>
        </c:dLbls>
        <c:firstSliceAng val="0"/>
        <c:extLst>
          <c:ext xmlns:c15="http://schemas.microsoft.com/office/drawing/2012/chart" uri="{02D57815-91ED-43cb-92C2-25804820EDAC}">
            <c15:filteredPieSeries>
              <c15: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E-9027-4F99-9EE9-113BBA643FC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0-9027-4F99-9EE9-113BBA643FC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9027-4F99-9EE9-113BBA643FC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9027-4F99-9EE9-113BBA643FC9}"/>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6-9027-4F99-9EE9-113BBA643FC9}"/>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8-9027-4F99-9EE9-113BBA643FC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uri="{CE6537A1-D6FC-4f65-9D91-7224C49458BB}"/>
                  </c:extLst>
                </c:dLbls>
                <c:cat>
                  <c:strRef>
                    <c:extLst>
                      <c:ext uri="{02D57815-91ED-43cb-92C2-25804820EDAC}">
                        <c15:formulaRef>
                          <c15:sqref>Hoja2!$B$6:$B$11</c15:sqref>
                        </c15:formulaRef>
                      </c:ext>
                    </c:extLst>
                    <c:strCache>
                      <c:ptCount val="6"/>
                      <c:pt idx="0">
                        <c:v>Dirección, Administración y Otros Órganos de Apoyo</c:v>
                      </c:pt>
                      <c:pt idx="1">
                        <c:v>Servicio Jurisdiccional</c:v>
                      </c:pt>
                      <c:pt idx="2">
                        <c:v>Organismo de Investigación Judicial</c:v>
                      </c:pt>
                      <c:pt idx="3">
                        <c:v>Ministerio Público</c:v>
                      </c:pt>
                      <c:pt idx="4">
                        <c:v>Defensa Pública</c:v>
                      </c:pt>
                      <c:pt idx="5">
                        <c:v>Servicio de Atención y Protección de Víctimas y Testigos</c:v>
                      </c:pt>
                    </c:strCache>
                  </c:strRef>
                </c:cat>
                <c:val>
                  <c:numRef>
                    <c:extLst>
                      <c:ext uri="{02D57815-91ED-43cb-92C2-25804820EDAC}">
                        <c15:formulaRef>
                          <c15:sqref>Hoja2!$C$6:$C$11</c15:sqref>
                        </c15:formulaRef>
                      </c:ext>
                    </c:extLst>
                    <c:numCache>
                      <c:formatCode>_-* #,##0_-;\-* #,##0_-;_-* "-"??_-;_-@_-</c:formatCode>
                      <c:ptCount val="6"/>
                      <c:pt idx="0">
                        <c:v>223759527</c:v>
                      </c:pt>
                      <c:pt idx="1">
                        <c:v>177420443</c:v>
                      </c:pt>
                      <c:pt idx="2">
                        <c:v>66544372</c:v>
                      </c:pt>
                      <c:pt idx="3">
                        <c:v>159290703</c:v>
                      </c:pt>
                      <c:pt idx="4">
                        <c:v>8059137</c:v>
                      </c:pt>
                      <c:pt idx="5">
                        <c:v>5630284</c:v>
                      </c:pt>
                    </c:numCache>
                  </c:numRef>
                </c:val>
                <c:extLst>
                  <c:ext xmlns:c16="http://schemas.microsoft.com/office/drawing/2014/chart" uri="{C3380CC4-5D6E-409C-BE32-E72D297353CC}">
                    <c16:uniqueId val="{00000019-9027-4F99-9EE9-113BBA643FC9}"/>
                  </c:ext>
                </c:extLst>
              </c15:ser>
            </c15:filteredPieSeries>
          </c:ext>
        </c:extLst>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R"/>
              <a:t>Distribución de recursos por Programa Subpartida 10301-2022</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R"/>
        </a:p>
      </c:txPr>
    </c:title>
    <c:autoTitleDeleted val="0"/>
    <c:plotArea>
      <c:layout/>
      <c:pieChart>
        <c:varyColors val="1"/>
        <c:ser>
          <c:idx val="1"/>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7C8-404B-B83E-95C9BBE6609F}"/>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7C8-404B-B83E-95C9BBE6609F}"/>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7C8-404B-B83E-95C9BBE6609F}"/>
              </c:ext>
            </c:extLst>
          </c:dPt>
          <c:dLbls>
            <c:dLbl>
              <c:idx val="0"/>
              <c:tx>
                <c:rich>
                  <a:bodyPr/>
                  <a:lstStyle/>
                  <a:p>
                    <a:fld id="{07E2E6B7-488D-4382-AB24-94B774E8B627}" type="VALUE">
                      <a:rPr lang="en-US"/>
                      <a:pPr/>
                      <a:t>[VALOR]</a:t>
                    </a:fld>
                    <a:endParaRPr lang="es-C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7C8-404B-B83E-95C9BBE6609F}"/>
                </c:ext>
              </c:extLst>
            </c:dLbl>
            <c:dLbl>
              <c:idx val="1"/>
              <c:tx>
                <c:rich>
                  <a:bodyPr/>
                  <a:lstStyle/>
                  <a:p>
                    <a:fld id="{D2D6C781-7645-4A9C-8A63-634BA1169BD8}" type="PERCENTAGE">
                      <a:rPr lang="en-US" baseline="0"/>
                      <a:pPr/>
                      <a:t>[PORCENTAJE]</a:t>
                    </a:fld>
                    <a:endParaRPr lang="es-C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7C8-404B-B83E-95C9BBE6609F}"/>
                </c:ext>
              </c:extLst>
            </c:dLbl>
            <c:dLbl>
              <c:idx val="2"/>
              <c:tx>
                <c:rich>
                  <a:bodyPr/>
                  <a:lstStyle/>
                  <a:p>
                    <a:fld id="{5D1F5A5A-447B-451F-8A95-832F31FD77DB}" type="PERCENTAGE">
                      <a:rPr lang="en-US" baseline="0"/>
                      <a:pPr/>
                      <a:t>[PORCENTAJE]</a:t>
                    </a:fld>
                    <a:endParaRPr lang="es-C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7C8-404B-B83E-95C9BBE6609F}"/>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Hoja2!$B$4:$B$9</c:f>
              <c:strCache>
                <c:ptCount val="3"/>
                <c:pt idx="0">
                  <c:v>Dirección, Administración y Otros Órganos de Apoyo</c:v>
                </c:pt>
                <c:pt idx="1">
                  <c:v>Servicio Jurisdiccional</c:v>
                </c:pt>
                <c:pt idx="2">
                  <c:v>Organismo de Investigación Judicial</c:v>
                </c:pt>
              </c:strCache>
            </c:strRef>
          </c:cat>
          <c:val>
            <c:numRef>
              <c:f>Hoja2!$D$4:$D$9</c:f>
              <c:numCache>
                <c:formatCode>0%</c:formatCode>
                <c:ptCount val="3"/>
                <c:pt idx="0">
                  <c:v>0.67578775130991198</c:v>
                </c:pt>
                <c:pt idx="1">
                  <c:v>0.313845153348216</c:v>
                </c:pt>
                <c:pt idx="2">
                  <c:v>1.0367095341871699E-2</c:v>
                </c:pt>
              </c:numCache>
            </c:numRef>
          </c:val>
          <c:extLst>
            <c:ext xmlns:c16="http://schemas.microsoft.com/office/drawing/2014/chart" uri="{C3380CC4-5D6E-409C-BE32-E72D297353CC}">
              <c16:uniqueId val="{00000006-C7C8-404B-B83E-95C9BBE6609F}"/>
            </c:ext>
          </c:extLst>
        </c:ser>
        <c:dLbls>
          <c:dLblPos val="ctr"/>
          <c:showLegendKey val="0"/>
          <c:showVal val="1"/>
          <c:showCatName val="0"/>
          <c:showSerName val="0"/>
          <c:showPercent val="0"/>
          <c:showBubbleSize val="0"/>
          <c:showLeaderLines val="1"/>
        </c:dLbls>
        <c:firstSliceAng val="0"/>
        <c:extLst>
          <c:ext xmlns:c15="http://schemas.microsoft.com/office/drawing/2012/chart" uri="{02D57815-91ED-43cb-92C2-25804820EDAC}">
            <c15:filteredPieSeries>
              <c15: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8-C7C8-404B-B83E-95C9BBE6609F}"/>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A-C7C8-404B-B83E-95C9BBE6609F}"/>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C-C7C8-404B-B83E-95C9BBE6609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uri="{CE6537A1-D6FC-4f65-9D91-7224C49458BB}"/>
                  </c:extLst>
                </c:dLbls>
                <c:cat>
                  <c:strRef>
                    <c:extLst>
                      <c:ext uri="{02D57815-91ED-43cb-92C2-25804820EDAC}">
                        <c15:formulaRef>
                          <c15:sqref>Hoja2!$B$4:$B$9</c15:sqref>
                        </c15:formulaRef>
                      </c:ext>
                    </c:extLst>
                    <c:strCache>
                      <c:ptCount val="3"/>
                      <c:pt idx="0">
                        <c:v>Dirección, Administración y Otros Órganos de Apoyo</c:v>
                      </c:pt>
                      <c:pt idx="1">
                        <c:v>Servicio Jurisdiccional</c:v>
                      </c:pt>
                      <c:pt idx="2">
                        <c:v>Organismo de Investigación Judicial</c:v>
                      </c:pt>
                    </c:strCache>
                  </c:strRef>
                </c:cat>
                <c:val>
                  <c:numRef>
                    <c:extLst>
                      <c:ext uri="{02D57815-91ED-43cb-92C2-25804820EDAC}">
                        <c15:formulaRef>
                          <c15:sqref>Hoja2!$C$4:$C$9</c15:sqref>
                        </c15:formulaRef>
                      </c:ext>
                    </c:extLst>
                    <c:numCache>
                      <c:formatCode>_-* #,##0_-;\-* #,##0_-;_-* "-"??_-;_-@_-</c:formatCode>
                      <c:ptCount val="3"/>
                      <c:pt idx="0">
                        <c:v>102211387</c:v>
                      </c:pt>
                      <c:pt idx="1">
                        <c:v>47468378</c:v>
                      </c:pt>
                      <c:pt idx="2">
                        <c:v>1568000</c:v>
                      </c:pt>
                    </c:numCache>
                  </c:numRef>
                </c:val>
                <c:extLst>
                  <c:ext xmlns:c16="http://schemas.microsoft.com/office/drawing/2014/chart" uri="{C3380CC4-5D6E-409C-BE32-E72D297353CC}">
                    <c16:uniqueId val="{0000000D-C7C8-404B-B83E-95C9BBE6609F}"/>
                  </c:ext>
                </c:extLst>
              </c15:ser>
            </c15:filteredPieSeries>
          </c:ext>
        </c:extLst>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3.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4.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4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3DD8F5-F7CC-4665-92EF-42E72D461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874</Pages>
  <Words>227595</Words>
  <Characters>1251776</Characters>
  <Application>Microsoft Office Word</Application>
  <DocSecurity>0</DocSecurity>
  <Lines>10431</Lines>
  <Paragraphs>2952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1476419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Secretaría General de la Corte - Comunicaciones -Marisela Duran Salazar</dc:creator>
  <cp:keywords/>
  <dc:description/>
  <cp:lastModifiedBy>Eduardo Chacón Monge (Autorizado/Secretaria General de la Corte)</cp:lastModifiedBy>
  <cp:revision>4</cp:revision>
  <dcterms:created xsi:type="dcterms:W3CDTF">2021-05-07T19:29:00Z</dcterms:created>
  <dcterms:modified xsi:type="dcterms:W3CDTF">2021-05-07T19:36:00Z</dcterms:modified>
</cp:coreProperties>
</file>